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D456" w14:textId="2155136D" w:rsidR="00780D44" w:rsidRPr="007B5599" w:rsidRDefault="00563DC5" w:rsidP="00780D44">
      <w:pPr>
        <w:rPr>
          <w:highlight w:val="green"/>
        </w:rPr>
      </w:pPr>
      <w:bookmarkStart w:id="0" w:name="_Toc198813632"/>
      <w:bookmarkStart w:id="1" w:name="Ch1_KeyConcepts"/>
      <w:r>
        <w:rPr>
          <w:noProof/>
        </w:rPr>
        <w:drawing>
          <wp:anchor distT="0" distB="0" distL="114300" distR="114300" simplePos="0" relativeHeight="251658287" behindDoc="0" locked="0" layoutInCell="1" allowOverlap="1" wp14:anchorId="057E760B" wp14:editId="7D95C26B">
            <wp:simplePos x="0" y="0"/>
            <wp:positionH relativeFrom="page">
              <wp:align>right</wp:align>
            </wp:positionH>
            <wp:positionV relativeFrom="paragraph">
              <wp:posOffset>-904415</wp:posOffset>
            </wp:positionV>
            <wp:extent cx="765810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58100" cy="10720705"/>
                    </a:xfrm>
                    <a:prstGeom prst="rect">
                      <a:avLst/>
                    </a:prstGeom>
                  </pic:spPr>
                </pic:pic>
              </a:graphicData>
            </a:graphic>
            <wp14:sizeRelH relativeFrom="page">
              <wp14:pctWidth>0</wp14:pctWidth>
            </wp14:sizeRelH>
            <wp14:sizeRelV relativeFrom="page">
              <wp14:pctHeight>0</wp14:pctHeight>
            </wp14:sizeRelV>
          </wp:anchor>
        </w:drawing>
      </w:r>
      <w:r w:rsidR="00A6318D" w:rsidRPr="00F9320A">
        <w:rPr>
          <w:noProof/>
          <w:highlight w:val="green"/>
          <w:lang w:val="en-AU"/>
        </w:rPr>
        <w:drawing>
          <wp:anchor distT="0" distB="0" distL="114300" distR="114300" simplePos="0" relativeHeight="251658286" behindDoc="0" locked="0" layoutInCell="1" allowOverlap="1" wp14:anchorId="2FB04423" wp14:editId="7838B92E">
            <wp:simplePos x="0" y="0"/>
            <wp:positionH relativeFrom="margin">
              <wp:posOffset>-944474</wp:posOffset>
            </wp:positionH>
            <wp:positionV relativeFrom="page">
              <wp:align>top</wp:align>
            </wp:positionV>
            <wp:extent cx="7591425" cy="5205457"/>
            <wp:effectExtent l="0" t="0" r="0" b="0"/>
            <wp:wrapSquare wrapText="bothSides"/>
            <wp:docPr id="986727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1425" cy="5205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21021" w14:textId="29A2DD57" w:rsidR="00780D44" w:rsidRPr="00473F20" w:rsidRDefault="00780D44" w:rsidP="00780D44">
      <w:pPr>
        <w:pStyle w:val="Title"/>
        <w:rPr>
          <w:rFonts w:ascii="Arial" w:hAnsi="Arial" w:cs="Arial"/>
          <w:color w:val="3F4A75"/>
        </w:rPr>
      </w:pPr>
      <w:r w:rsidRPr="00473F20">
        <w:rPr>
          <w:rFonts w:ascii="Arial" w:hAnsi="Arial" w:cs="Arial"/>
          <w:color w:val="3F4A75"/>
        </w:rPr>
        <w:t>Aged Care Assessment Manual</w:t>
      </w:r>
    </w:p>
    <w:p w14:paraId="6769453D" w14:textId="6B6E9D4B" w:rsidR="009E222A" w:rsidRDefault="00473F20" w:rsidP="00473F20">
      <w:pPr>
        <w:rPr>
          <w:color w:val="3F4A75"/>
          <w:spacing w:val="-10"/>
          <w:kern w:val="28"/>
          <w:sz w:val="44"/>
          <w:szCs w:val="44"/>
        </w:rPr>
      </w:pPr>
      <w:r w:rsidRPr="00473F20">
        <w:rPr>
          <w:color w:val="3F4A75"/>
          <w:spacing w:val="-10"/>
          <w:kern w:val="28"/>
          <w:sz w:val="44"/>
          <w:szCs w:val="44"/>
        </w:rPr>
        <w:t>Version 8</w:t>
      </w:r>
      <w:r w:rsidR="00B52C42">
        <w:rPr>
          <w:color w:val="3F4A75"/>
          <w:spacing w:val="-10"/>
          <w:kern w:val="28"/>
          <w:sz w:val="44"/>
          <w:szCs w:val="44"/>
        </w:rPr>
        <w:t>.</w:t>
      </w:r>
      <w:r w:rsidR="007E2185">
        <w:rPr>
          <w:color w:val="3F4A75"/>
          <w:spacing w:val="-10"/>
          <w:kern w:val="28"/>
          <w:sz w:val="44"/>
          <w:szCs w:val="44"/>
        </w:rPr>
        <w:t>2</w:t>
      </w:r>
    </w:p>
    <w:p w14:paraId="23D22C1A" w14:textId="54FFB5B8" w:rsidR="00536669" w:rsidRDefault="00536669" w:rsidP="00473F20">
      <w:pPr>
        <w:rPr>
          <w:color w:val="3F4A75"/>
          <w:spacing w:val="-10"/>
          <w:kern w:val="28"/>
          <w:sz w:val="44"/>
          <w:szCs w:val="44"/>
        </w:rPr>
      </w:pPr>
    </w:p>
    <w:p w14:paraId="1AE4299A" w14:textId="1BDCC9D9" w:rsidR="00536669" w:rsidRDefault="00B52C42" w:rsidP="00473F20">
      <w:pPr>
        <w:rPr>
          <w:color w:val="3F4A75"/>
          <w:spacing w:val="-10"/>
          <w:kern w:val="28"/>
          <w:sz w:val="44"/>
          <w:szCs w:val="44"/>
        </w:rPr>
        <w:sectPr w:rsidR="00536669">
          <w:headerReference w:type="even"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bookmarkStart w:id="2" w:name="_Ref212734426"/>
      <w:bookmarkEnd w:id="2"/>
      <w:r>
        <w:rPr>
          <w:color w:val="3F4A75"/>
          <w:spacing w:val="-10"/>
          <w:kern w:val="28"/>
          <w:sz w:val="44"/>
          <w:szCs w:val="44"/>
        </w:rPr>
        <w:t xml:space="preserve">Published </w:t>
      </w:r>
      <w:r w:rsidR="0005095D">
        <w:rPr>
          <w:color w:val="3F4A75"/>
          <w:spacing w:val="-10"/>
          <w:kern w:val="28"/>
          <w:sz w:val="44"/>
          <w:szCs w:val="44"/>
        </w:rPr>
        <w:t xml:space="preserve">23 </w:t>
      </w:r>
      <w:r w:rsidR="002E3990">
        <w:rPr>
          <w:color w:val="3F4A75"/>
          <w:spacing w:val="-10"/>
          <w:kern w:val="28"/>
          <w:sz w:val="44"/>
          <w:szCs w:val="44"/>
        </w:rPr>
        <w:t xml:space="preserve">March </w:t>
      </w:r>
      <w:r w:rsidR="007E2185">
        <w:rPr>
          <w:color w:val="3F4A75"/>
          <w:spacing w:val="-10"/>
          <w:kern w:val="28"/>
          <w:sz w:val="44"/>
          <w:szCs w:val="44"/>
        </w:rPr>
        <w:t>2026</w:t>
      </w:r>
    </w:p>
    <w:p w14:paraId="06E5242A" w14:textId="5E0C63DD" w:rsidR="00780D44" w:rsidRPr="00815BEA" w:rsidRDefault="009E222A" w:rsidP="000514A4">
      <w:pPr>
        <w:rPr>
          <w:b/>
          <w:color w:val="153A6E"/>
          <w:sz w:val="44"/>
          <w:szCs w:val="44"/>
        </w:rPr>
      </w:pPr>
      <w:r>
        <w:rPr>
          <w:noProof/>
        </w:rPr>
        <mc:AlternateContent>
          <mc:Choice Requires="wps">
            <w:drawing>
              <wp:anchor distT="45720" distB="45720" distL="114300" distR="114300" simplePos="0" relativeHeight="251658266" behindDoc="0" locked="0" layoutInCell="1" allowOverlap="1" wp14:anchorId="0387073F" wp14:editId="6C0DE90B">
                <wp:simplePos x="0" y="0"/>
                <wp:positionH relativeFrom="margin">
                  <wp:posOffset>-9525</wp:posOffset>
                </wp:positionH>
                <wp:positionV relativeFrom="paragraph">
                  <wp:posOffset>466090</wp:posOffset>
                </wp:positionV>
                <wp:extent cx="5705475" cy="6696075"/>
                <wp:effectExtent l="0" t="0" r="28575" b="28575"/>
                <wp:wrapSquare wrapText="bothSides"/>
                <wp:docPr id="133162421" name="Text Box 13316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696075"/>
                        </a:xfrm>
                        <a:prstGeom prst="rect">
                          <a:avLst/>
                        </a:prstGeom>
                        <a:solidFill>
                          <a:srgbClr val="FFFFFF"/>
                        </a:solidFill>
                        <a:ln w="9525">
                          <a:solidFill>
                            <a:srgbClr val="000000"/>
                          </a:solidFill>
                          <a:miter lim="800000"/>
                          <a:headEnd/>
                          <a:tailEnd/>
                        </a:ln>
                      </wps:spPr>
                      <wps:txbx>
                        <w:txbxContent>
                          <w:p w14:paraId="5AC39445" w14:textId="6FC7421B" w:rsidR="00536669" w:rsidRDefault="005B38AF" w:rsidP="00536669">
                            <w:pPr>
                              <w:jc w:val="center"/>
                              <w:rPr>
                                <w:szCs w:val="20"/>
                                <w:lang w:val="en-AU"/>
                              </w:rPr>
                            </w:pPr>
                            <w:r w:rsidRPr="005B38AF">
                              <w:rPr>
                                <w:lang w:val="en-AU"/>
                              </w:rPr>
                              <w:t>​</w:t>
                            </w:r>
                            <w:r w:rsidR="006D15C2">
                              <w:rPr>
                                <w:b/>
                                <w:bCs/>
                                <w:sz w:val="28"/>
                                <w:lang w:val="en-AU"/>
                              </w:rPr>
                              <w:t xml:space="preserve">IMPORTANT </w:t>
                            </w:r>
                          </w:p>
                          <w:p w14:paraId="73B54328" w14:textId="6A9D95A5" w:rsidR="005B38AF" w:rsidRPr="00536669" w:rsidRDefault="005B38AF" w:rsidP="005B38AF">
                            <w:pPr>
                              <w:rPr>
                                <w:szCs w:val="20"/>
                                <w:lang w:val="en-AU"/>
                              </w:rPr>
                            </w:pPr>
                            <w:r w:rsidRPr="005B38AF">
                              <w:rPr>
                                <w:szCs w:val="20"/>
                                <w:lang w:val="en-AU"/>
                              </w:rPr>
                              <w:t xml:space="preserve">The </w:t>
                            </w:r>
                            <w:r w:rsidRPr="005B38AF">
                              <w:rPr>
                                <w:i/>
                                <w:iCs/>
                                <w:szCs w:val="20"/>
                                <w:lang w:val="en-AU"/>
                              </w:rPr>
                              <w:t>Aged Care Act 2024</w:t>
                            </w:r>
                            <w:r w:rsidRPr="005B38AF">
                              <w:rPr>
                                <w:szCs w:val="20"/>
                                <w:lang w:val="en-AU"/>
                              </w:rPr>
                              <w:t xml:space="preserve"> governs the delivery of funded aged care services by registered providers. The information in this </w:t>
                            </w:r>
                            <w:r w:rsidRPr="00536669">
                              <w:rPr>
                                <w:szCs w:val="20"/>
                                <w:lang w:val="en-AU"/>
                              </w:rPr>
                              <w:t>manual</w:t>
                            </w:r>
                            <w:r w:rsidR="00150E1C" w:rsidRPr="00536669">
                              <w:rPr>
                                <w:szCs w:val="20"/>
                                <w:lang w:val="en-AU"/>
                              </w:rPr>
                              <w:t xml:space="preserve"> </w:t>
                            </w:r>
                            <w:r w:rsidR="00066127" w:rsidRPr="00536669">
                              <w:rPr>
                                <w:szCs w:val="20"/>
                                <w:lang w:val="en-AU"/>
                              </w:rPr>
                              <w:t>help</w:t>
                            </w:r>
                            <w:r w:rsidR="004814F8">
                              <w:rPr>
                                <w:szCs w:val="20"/>
                                <w:lang w:val="en-AU"/>
                              </w:rPr>
                              <w:t>s</w:t>
                            </w:r>
                            <w:r w:rsidR="00066127" w:rsidRPr="00536669">
                              <w:rPr>
                                <w:szCs w:val="20"/>
                                <w:lang w:val="en-AU"/>
                              </w:rPr>
                              <w:t xml:space="preserve"> assessment teams </w:t>
                            </w:r>
                            <w:r w:rsidR="00066127" w:rsidRPr="005B38AF">
                              <w:rPr>
                                <w:szCs w:val="20"/>
                                <w:lang w:val="en-AU"/>
                              </w:rPr>
                              <w:t>to understand the laws around the government-funded aged care system</w:t>
                            </w:r>
                            <w:r w:rsidR="00066127" w:rsidRPr="00536669">
                              <w:rPr>
                                <w:szCs w:val="20"/>
                                <w:lang w:val="en-AU"/>
                              </w:rPr>
                              <w:t xml:space="preserve"> and </w:t>
                            </w:r>
                            <w:r w:rsidR="00402FE7" w:rsidRPr="00536669">
                              <w:rPr>
                                <w:szCs w:val="20"/>
                                <w:lang w:val="en-AU"/>
                              </w:rPr>
                              <w:t>specifies mandatory and best practice guidance for aged care needs assessment teams to deliver high-quality assessment services</w:t>
                            </w:r>
                            <w:r w:rsidR="00066127" w:rsidRPr="00536669">
                              <w:rPr>
                                <w:szCs w:val="20"/>
                                <w:lang w:val="en-AU"/>
                              </w:rPr>
                              <w:t xml:space="preserve">. </w:t>
                            </w:r>
                          </w:p>
                          <w:p w14:paraId="56593F49" w14:textId="3C3D3861" w:rsidR="001002A2" w:rsidRPr="00EF3A09" w:rsidRDefault="009A0323" w:rsidP="00EF3A09">
                            <w:pPr>
                              <w:rPr>
                                <w:szCs w:val="20"/>
                                <w:lang w:val="en-AU"/>
                              </w:rPr>
                            </w:pPr>
                            <w:r w:rsidRPr="00536669">
                              <w:rPr>
                                <w:szCs w:val="20"/>
                                <w:lang w:val="en-AU"/>
                              </w:rPr>
                              <w:t>​Parts of this manual summarise multiple legal documents in accessible, simple language, so it doesn’t contain every detail of the law. It is not intended as legal or professional advice on interpretation of the legislation or how it applies in individual circumstances.   </w:t>
                            </w:r>
                            <w:r w:rsidR="00FB421A">
                              <w:t xml:space="preserve"> </w:t>
                            </w:r>
                          </w:p>
                          <w:p w14:paraId="19592F5F" w14:textId="1D9548E2" w:rsidR="005B38AF" w:rsidRPr="005B38AF" w:rsidRDefault="005B38AF" w:rsidP="00FB421A">
                            <w:pPr>
                              <w:rPr>
                                <w:lang w:val="en-AU"/>
                              </w:rPr>
                            </w:pPr>
                            <w:r w:rsidRPr="005B38AF">
                              <w:rPr>
                                <w:lang w:val="en-AU"/>
                              </w:rPr>
                              <w:t xml:space="preserve">​​Additional information and resources that may further support you </w:t>
                            </w:r>
                            <w:r w:rsidR="006830EF">
                              <w:rPr>
                                <w:lang w:val="en-AU"/>
                              </w:rPr>
                              <w:t>to</w:t>
                            </w:r>
                            <w:r w:rsidRPr="005B38AF">
                              <w:rPr>
                                <w:lang w:val="en-AU"/>
                              </w:rPr>
                              <w:t xml:space="preserve"> understand your responsibilities and obligations </w:t>
                            </w:r>
                            <w:r w:rsidR="00295F89">
                              <w:rPr>
                                <w:lang w:val="en-AU"/>
                              </w:rPr>
                              <w:t>are</w:t>
                            </w:r>
                            <w:r w:rsidRPr="005B38AF">
                              <w:rPr>
                                <w:lang w:val="en-AU"/>
                              </w:rPr>
                              <w:t xml:space="preserve"> available through the following Australian Government resources: </w:t>
                            </w:r>
                          </w:p>
                          <w:p w14:paraId="0D7B1127" w14:textId="77777777" w:rsidR="005B38AF" w:rsidRPr="005B38AF" w:rsidRDefault="005B38AF" w:rsidP="00DF3F6B">
                            <w:pPr>
                              <w:numPr>
                                <w:ilvl w:val="0"/>
                                <w:numId w:val="398"/>
                              </w:numPr>
                              <w:rPr>
                                <w:lang w:val="en-AU"/>
                              </w:rPr>
                            </w:pPr>
                            <w:r w:rsidRPr="005B38AF">
                              <w:rPr>
                                <w:lang w:val="en-AU"/>
                              </w:rPr>
                              <w:t xml:space="preserve">​Department of Health, Disability and Ageing </w:t>
                            </w:r>
                            <w:hyperlink r:id="rId18" w:tgtFrame="_blank" w:history="1">
                              <w:r w:rsidRPr="005B38AF">
                                <w:rPr>
                                  <w:rStyle w:val="Hyperlink"/>
                                  <w:lang w:val="en-AU"/>
                                </w:rPr>
                                <w:t>https://www.health.gov.au</w:t>
                              </w:r>
                            </w:hyperlink>
                            <w:r w:rsidRPr="005B38AF">
                              <w:rPr>
                                <w:lang w:val="en-AU"/>
                              </w:rPr>
                              <w:t> </w:t>
                            </w:r>
                          </w:p>
                          <w:p w14:paraId="454DBD24" w14:textId="77777777" w:rsidR="005B38AF" w:rsidRPr="005B38AF" w:rsidRDefault="005B38AF" w:rsidP="00DF3F6B">
                            <w:pPr>
                              <w:numPr>
                                <w:ilvl w:val="0"/>
                                <w:numId w:val="399"/>
                              </w:numPr>
                              <w:rPr>
                                <w:lang w:val="en-AU"/>
                              </w:rPr>
                            </w:pPr>
                            <w:r w:rsidRPr="005B38AF">
                              <w:rPr>
                                <w:lang w:val="en-AU"/>
                              </w:rPr>
                              <w:t xml:space="preserve">​My Aged Care </w:t>
                            </w:r>
                            <w:hyperlink r:id="rId19" w:tgtFrame="_blank" w:history="1">
                              <w:r w:rsidRPr="005B38AF">
                                <w:rPr>
                                  <w:rStyle w:val="Hyperlink"/>
                                  <w:lang w:val="en-AU"/>
                                </w:rPr>
                                <w:t>www.myagedcare.gov.au</w:t>
                              </w:r>
                            </w:hyperlink>
                            <w:r w:rsidRPr="005B38AF">
                              <w:rPr>
                                <w:lang w:val="en-AU"/>
                              </w:rPr>
                              <w:t> </w:t>
                            </w:r>
                          </w:p>
                          <w:p w14:paraId="525DDBDA" w14:textId="77777777" w:rsidR="005B38AF" w:rsidRPr="005B38AF" w:rsidRDefault="005B38AF" w:rsidP="00DF3F6B">
                            <w:pPr>
                              <w:numPr>
                                <w:ilvl w:val="0"/>
                                <w:numId w:val="400"/>
                              </w:numPr>
                              <w:rPr>
                                <w:lang w:val="en-AU"/>
                              </w:rPr>
                            </w:pPr>
                            <w:r w:rsidRPr="005B38AF">
                              <w:rPr>
                                <w:lang w:val="en-AU"/>
                              </w:rPr>
                              <w:t xml:space="preserve">​Aged Care Quality and Safety Commission </w:t>
                            </w:r>
                            <w:hyperlink r:id="rId20" w:tgtFrame="_blank" w:history="1">
                              <w:r w:rsidRPr="005B38AF">
                                <w:rPr>
                                  <w:rStyle w:val="Hyperlink"/>
                                  <w:lang w:val="en-AU"/>
                                </w:rPr>
                                <w:t>www.agedcarequality.gov.au</w:t>
                              </w:r>
                            </w:hyperlink>
                            <w:r w:rsidRPr="005B38AF">
                              <w:rPr>
                                <w:lang w:val="en-AU"/>
                              </w:rPr>
                              <w:t> </w:t>
                            </w:r>
                          </w:p>
                          <w:p w14:paraId="75C828DD" w14:textId="77777777" w:rsidR="005B38AF" w:rsidRPr="005B38AF" w:rsidRDefault="005B38AF" w:rsidP="00DF3F6B">
                            <w:pPr>
                              <w:numPr>
                                <w:ilvl w:val="0"/>
                                <w:numId w:val="401"/>
                              </w:numPr>
                              <w:rPr>
                                <w:lang w:val="en-AU"/>
                              </w:rPr>
                            </w:pPr>
                            <w:r w:rsidRPr="005B38AF">
                              <w:rPr>
                                <w:lang w:val="en-AU"/>
                              </w:rPr>
                              <w:t xml:space="preserve">​Services Australia </w:t>
                            </w:r>
                            <w:hyperlink r:id="rId21" w:tgtFrame="_blank" w:history="1">
                              <w:r w:rsidRPr="005B38AF">
                                <w:rPr>
                                  <w:rStyle w:val="Hyperlink"/>
                                  <w:lang w:val="en-AU"/>
                                </w:rPr>
                                <w:t>http://www.servicesaustralia.gov.au</w:t>
                              </w:r>
                            </w:hyperlink>
                            <w:r w:rsidRPr="005B38AF">
                              <w:rPr>
                                <w:lang w:val="en-AU"/>
                              </w:rPr>
                              <w:t> </w:t>
                            </w:r>
                          </w:p>
                          <w:p w14:paraId="1D60E762" w14:textId="351AE309" w:rsidR="0067604E" w:rsidRDefault="00676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7073F" id="_x0000_t202" coordsize="21600,21600" o:spt="202" path="m,l,21600r21600,l21600,xe">
                <v:stroke joinstyle="miter"/>
                <v:path gradientshapeok="t" o:connecttype="rect"/>
              </v:shapetype>
              <v:shape id="Text Box 133162421" o:spid="_x0000_s1026" type="#_x0000_t202" style="position:absolute;margin-left:-.75pt;margin-top:36.7pt;width:449.25pt;height:527.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">
                <v:textbox>
                  <w:txbxContent>
                    <w:p w14:paraId="5AC39445" w14:textId="6FC7421B" w:rsidR="00536669" w:rsidRDefault="005B38AF" w:rsidP="00536669">
                      <w:pPr>
                        <w:jc w:val="center"/>
                        <w:rPr>
                          <w:szCs w:val="20"/>
                          <w:lang w:val="en-AU"/>
                        </w:rPr>
                      </w:pPr>
                      <w:r w:rsidRPr="005B38AF">
                        <w:rPr>
                          <w:lang w:val="en-AU"/>
                        </w:rPr>
                        <w:t>​</w:t>
                      </w:r>
                      <w:r w:rsidR="006D15C2">
                        <w:rPr>
                          <w:b/>
                          <w:bCs/>
                          <w:sz w:val="28"/>
                          <w:lang w:val="en-AU"/>
                        </w:rPr>
                        <w:t xml:space="preserve">IMPORTANT </w:t>
                      </w:r>
                    </w:p>
                    <w:p w14:paraId="73B54328" w14:textId="6A9D95A5" w:rsidR="005B38AF" w:rsidRPr="00536669" w:rsidRDefault="005B38AF" w:rsidP="005B38AF">
                      <w:pPr>
                        <w:rPr>
                          <w:szCs w:val="20"/>
                          <w:lang w:val="en-AU"/>
                        </w:rPr>
                      </w:pPr>
                      <w:r w:rsidRPr="005B38AF">
                        <w:rPr>
                          <w:szCs w:val="20"/>
                          <w:lang w:val="en-AU"/>
                        </w:rPr>
                        <w:t xml:space="preserve">The </w:t>
                      </w:r>
                      <w:r w:rsidRPr="005B38AF">
                        <w:rPr>
                          <w:i/>
                          <w:iCs/>
                          <w:szCs w:val="20"/>
                          <w:lang w:val="en-AU"/>
                        </w:rPr>
                        <w:t>Aged Care Act 2024</w:t>
                      </w:r>
                      <w:r w:rsidRPr="005B38AF">
                        <w:rPr>
                          <w:szCs w:val="20"/>
                          <w:lang w:val="en-AU"/>
                        </w:rPr>
                        <w:t xml:space="preserve"> governs the delivery of funded aged care services by registered providers. The information in this </w:t>
                      </w:r>
                      <w:r w:rsidRPr="00536669">
                        <w:rPr>
                          <w:szCs w:val="20"/>
                          <w:lang w:val="en-AU"/>
                        </w:rPr>
                        <w:t>manual</w:t>
                      </w:r>
                      <w:r w:rsidR="00150E1C" w:rsidRPr="00536669">
                        <w:rPr>
                          <w:szCs w:val="20"/>
                          <w:lang w:val="en-AU"/>
                        </w:rPr>
                        <w:t xml:space="preserve"> </w:t>
                      </w:r>
                      <w:r w:rsidR="00066127" w:rsidRPr="00536669">
                        <w:rPr>
                          <w:szCs w:val="20"/>
                          <w:lang w:val="en-AU"/>
                        </w:rPr>
                        <w:t>help</w:t>
                      </w:r>
                      <w:r w:rsidR="004814F8">
                        <w:rPr>
                          <w:szCs w:val="20"/>
                          <w:lang w:val="en-AU"/>
                        </w:rPr>
                        <w:t>s</w:t>
                      </w:r>
                      <w:r w:rsidR="00066127" w:rsidRPr="00536669">
                        <w:rPr>
                          <w:szCs w:val="20"/>
                          <w:lang w:val="en-AU"/>
                        </w:rPr>
                        <w:t xml:space="preserve"> assessment teams </w:t>
                      </w:r>
                      <w:r w:rsidR="00066127" w:rsidRPr="005B38AF">
                        <w:rPr>
                          <w:szCs w:val="20"/>
                          <w:lang w:val="en-AU"/>
                        </w:rPr>
                        <w:t>to understand the laws around the government-funded aged care system</w:t>
                      </w:r>
                      <w:r w:rsidR="00066127" w:rsidRPr="00536669">
                        <w:rPr>
                          <w:szCs w:val="20"/>
                          <w:lang w:val="en-AU"/>
                        </w:rPr>
                        <w:t xml:space="preserve"> and </w:t>
                      </w:r>
                      <w:r w:rsidR="00402FE7" w:rsidRPr="00536669">
                        <w:rPr>
                          <w:szCs w:val="20"/>
                          <w:lang w:val="en-AU"/>
                        </w:rPr>
                        <w:t>specifies mandatory and best practice guidance for aged care needs assessment teams to deliver high-quality assessment services</w:t>
                      </w:r>
                      <w:r w:rsidR="00066127" w:rsidRPr="00536669">
                        <w:rPr>
                          <w:szCs w:val="20"/>
                          <w:lang w:val="en-AU"/>
                        </w:rPr>
                        <w:t xml:space="preserve">. </w:t>
                      </w:r>
                    </w:p>
                    <w:p w14:paraId="56593F49" w14:textId="3C3D3861" w:rsidR="001002A2" w:rsidRPr="00EF3A09" w:rsidRDefault="009A0323" w:rsidP="00EF3A09">
                      <w:pPr>
                        <w:rPr>
                          <w:szCs w:val="20"/>
                          <w:lang w:val="en-AU"/>
                        </w:rPr>
                      </w:pPr>
                      <w:r w:rsidRPr="00536669">
                        <w:rPr>
                          <w:szCs w:val="20"/>
                          <w:lang w:val="en-AU"/>
                        </w:rPr>
                        <w:t>​Parts of this manual summarise multiple legal documents in accessible, simple language, so it doesn’t contain every detail of the law. It is not intended as legal or professional advice on interpretation of the legislation or how it applies in individual circumstances.   </w:t>
                      </w:r>
                      <w:r w:rsidR="00FB421A">
                        <w:t xml:space="preserve"> </w:t>
                      </w:r>
                    </w:p>
                    <w:p w14:paraId="19592F5F" w14:textId="1D9548E2" w:rsidR="005B38AF" w:rsidRPr="005B38AF" w:rsidRDefault="005B38AF" w:rsidP="00FB421A">
                      <w:pPr>
                        <w:rPr>
                          <w:lang w:val="en-AU"/>
                        </w:rPr>
                      </w:pPr>
                      <w:r w:rsidRPr="005B38AF">
                        <w:rPr>
                          <w:lang w:val="en-AU"/>
                        </w:rPr>
                        <w:t xml:space="preserve">​​Additional information and resources that may further support you </w:t>
                      </w:r>
                      <w:r w:rsidR="006830EF">
                        <w:rPr>
                          <w:lang w:val="en-AU"/>
                        </w:rPr>
                        <w:t>to</w:t>
                      </w:r>
                      <w:r w:rsidRPr="005B38AF">
                        <w:rPr>
                          <w:lang w:val="en-AU"/>
                        </w:rPr>
                        <w:t xml:space="preserve"> understand your responsibilities and obligations </w:t>
                      </w:r>
                      <w:r w:rsidR="00295F89">
                        <w:rPr>
                          <w:lang w:val="en-AU"/>
                        </w:rPr>
                        <w:t>are</w:t>
                      </w:r>
                      <w:r w:rsidRPr="005B38AF">
                        <w:rPr>
                          <w:lang w:val="en-AU"/>
                        </w:rPr>
                        <w:t xml:space="preserve"> available through the following Australian Government resources: </w:t>
                      </w:r>
                    </w:p>
                    <w:p w14:paraId="0D7B1127" w14:textId="77777777" w:rsidR="005B38AF" w:rsidRPr="005B38AF" w:rsidRDefault="005B38AF" w:rsidP="00DF3F6B">
                      <w:pPr>
                        <w:numPr>
                          <w:ilvl w:val="0"/>
                          <w:numId w:val="398"/>
                        </w:numPr>
                        <w:rPr>
                          <w:lang w:val="en-AU"/>
                        </w:rPr>
                      </w:pPr>
                      <w:r w:rsidRPr="005B38AF">
                        <w:rPr>
                          <w:lang w:val="en-AU"/>
                        </w:rPr>
                        <w:t xml:space="preserve">​Department of Health, Disability and Ageing </w:t>
                      </w:r>
                      <w:hyperlink r:id="rId22" w:tgtFrame="_blank" w:history="1">
                        <w:r w:rsidRPr="005B38AF">
                          <w:rPr>
                            <w:rStyle w:val="Hyperlink"/>
                            <w:lang w:val="en-AU"/>
                          </w:rPr>
                          <w:t>https://www.health.gov.au</w:t>
                        </w:r>
                      </w:hyperlink>
                      <w:r w:rsidRPr="005B38AF">
                        <w:rPr>
                          <w:lang w:val="en-AU"/>
                        </w:rPr>
                        <w:t> </w:t>
                      </w:r>
                    </w:p>
                    <w:p w14:paraId="454DBD24" w14:textId="77777777" w:rsidR="005B38AF" w:rsidRPr="005B38AF" w:rsidRDefault="005B38AF" w:rsidP="00DF3F6B">
                      <w:pPr>
                        <w:numPr>
                          <w:ilvl w:val="0"/>
                          <w:numId w:val="399"/>
                        </w:numPr>
                        <w:rPr>
                          <w:lang w:val="en-AU"/>
                        </w:rPr>
                      </w:pPr>
                      <w:r w:rsidRPr="005B38AF">
                        <w:rPr>
                          <w:lang w:val="en-AU"/>
                        </w:rPr>
                        <w:t xml:space="preserve">​My Aged Care </w:t>
                      </w:r>
                      <w:hyperlink r:id="rId23" w:tgtFrame="_blank" w:history="1">
                        <w:r w:rsidRPr="005B38AF">
                          <w:rPr>
                            <w:rStyle w:val="Hyperlink"/>
                            <w:lang w:val="en-AU"/>
                          </w:rPr>
                          <w:t>www.myagedcare.gov.au</w:t>
                        </w:r>
                      </w:hyperlink>
                      <w:r w:rsidRPr="005B38AF">
                        <w:rPr>
                          <w:lang w:val="en-AU"/>
                        </w:rPr>
                        <w:t> </w:t>
                      </w:r>
                    </w:p>
                    <w:p w14:paraId="525DDBDA" w14:textId="77777777" w:rsidR="005B38AF" w:rsidRPr="005B38AF" w:rsidRDefault="005B38AF" w:rsidP="00DF3F6B">
                      <w:pPr>
                        <w:numPr>
                          <w:ilvl w:val="0"/>
                          <w:numId w:val="400"/>
                        </w:numPr>
                        <w:rPr>
                          <w:lang w:val="en-AU"/>
                        </w:rPr>
                      </w:pPr>
                      <w:r w:rsidRPr="005B38AF">
                        <w:rPr>
                          <w:lang w:val="en-AU"/>
                        </w:rPr>
                        <w:t xml:space="preserve">​Aged Care Quality and Safety Commission </w:t>
                      </w:r>
                      <w:hyperlink r:id="rId24" w:tgtFrame="_blank" w:history="1">
                        <w:r w:rsidRPr="005B38AF">
                          <w:rPr>
                            <w:rStyle w:val="Hyperlink"/>
                            <w:lang w:val="en-AU"/>
                          </w:rPr>
                          <w:t>www.agedcarequality.gov.au</w:t>
                        </w:r>
                      </w:hyperlink>
                      <w:r w:rsidRPr="005B38AF">
                        <w:rPr>
                          <w:lang w:val="en-AU"/>
                        </w:rPr>
                        <w:t> </w:t>
                      </w:r>
                    </w:p>
                    <w:p w14:paraId="75C828DD" w14:textId="77777777" w:rsidR="005B38AF" w:rsidRPr="005B38AF" w:rsidRDefault="005B38AF" w:rsidP="00DF3F6B">
                      <w:pPr>
                        <w:numPr>
                          <w:ilvl w:val="0"/>
                          <w:numId w:val="401"/>
                        </w:numPr>
                        <w:rPr>
                          <w:lang w:val="en-AU"/>
                        </w:rPr>
                      </w:pPr>
                      <w:r w:rsidRPr="005B38AF">
                        <w:rPr>
                          <w:lang w:val="en-AU"/>
                        </w:rPr>
                        <w:t xml:space="preserve">​Services Australia </w:t>
                      </w:r>
                      <w:hyperlink r:id="rId25" w:tgtFrame="_blank" w:history="1">
                        <w:r w:rsidRPr="005B38AF">
                          <w:rPr>
                            <w:rStyle w:val="Hyperlink"/>
                            <w:lang w:val="en-AU"/>
                          </w:rPr>
                          <w:t>http://www.servicesaustralia.gov.au</w:t>
                        </w:r>
                      </w:hyperlink>
                      <w:r w:rsidRPr="005B38AF">
                        <w:rPr>
                          <w:lang w:val="en-AU"/>
                        </w:rPr>
                        <w:t> </w:t>
                      </w:r>
                    </w:p>
                    <w:p w14:paraId="1D60E762" w14:textId="351AE309" w:rsidR="0067604E" w:rsidRDefault="0067604E"/>
                  </w:txbxContent>
                </v:textbox>
                <w10:wrap type="square" anchorx="margin"/>
              </v:shape>
            </w:pict>
          </mc:Fallback>
        </mc:AlternateContent>
      </w:r>
      <w:r w:rsidR="00780D44">
        <w:br w:type="page"/>
      </w:r>
      <w:bookmarkStart w:id="3" w:name="_Toc198813628"/>
      <w:bookmarkStart w:id="4" w:name="_Toc198816535"/>
      <w:bookmarkStart w:id="5" w:name="_Toc207291856"/>
      <w:bookmarkStart w:id="6" w:name="_Toc209188929"/>
      <w:r w:rsidR="00780D44" w:rsidRPr="00815BEA">
        <w:rPr>
          <w:b/>
          <w:color w:val="153A6E"/>
          <w:sz w:val="44"/>
          <w:szCs w:val="44"/>
        </w:rPr>
        <w:t>Table of Contents</w:t>
      </w:r>
      <w:bookmarkEnd w:id="3"/>
      <w:bookmarkEnd w:id="4"/>
      <w:bookmarkEnd w:id="5"/>
      <w:bookmarkEnd w:id="6"/>
    </w:p>
    <w:sdt>
      <w:sdtPr>
        <w:id w:val="-889875608"/>
        <w:docPartObj>
          <w:docPartGallery w:val="Table of Contents"/>
          <w:docPartUnique/>
        </w:docPartObj>
      </w:sdtPr>
      <w:sdtEndPr>
        <w:rPr>
          <w:b/>
        </w:rPr>
      </w:sdtEndPr>
      <w:sdtContent>
        <w:p w14:paraId="40851FB2" w14:textId="750E7B74" w:rsidR="00615041" w:rsidRDefault="00AD1D15">
          <w:pPr>
            <w:pStyle w:val="TOC1"/>
            <w:tabs>
              <w:tab w:val="right" w:leader="dot" w:pos="9016"/>
            </w:tabs>
            <w:rPr>
              <w:rFonts w:asciiTheme="minorHAnsi" w:eastAsiaTheme="minorEastAsia" w:hAnsiTheme="minorHAnsi" w:cstheme="minorBidi"/>
              <w:noProof/>
              <w:kern w:val="2"/>
              <w:sz w:val="24"/>
              <w:lang w:val="en-AU"/>
              <w14:ligatures w14:val="standardContextual"/>
            </w:rPr>
          </w:pPr>
          <w:r>
            <w:fldChar w:fldCharType="begin"/>
          </w:r>
          <w:r>
            <w:instrText xml:space="preserve"> TOC \o "1-2" \h \z \u </w:instrText>
          </w:r>
          <w:r>
            <w:fldChar w:fldCharType="separate"/>
          </w:r>
          <w:hyperlink w:anchor="_Toc224916598" w:history="1">
            <w:r w:rsidR="00615041" w:rsidRPr="00674311">
              <w:rPr>
                <w:rStyle w:val="Hyperlink"/>
                <w:noProof/>
              </w:rPr>
              <w:t>Document purpose</w:t>
            </w:r>
            <w:r w:rsidR="00615041">
              <w:rPr>
                <w:noProof/>
                <w:webHidden/>
              </w:rPr>
              <w:tab/>
            </w:r>
            <w:r w:rsidR="00615041">
              <w:rPr>
                <w:noProof/>
                <w:webHidden/>
              </w:rPr>
              <w:fldChar w:fldCharType="begin"/>
            </w:r>
            <w:r w:rsidR="00615041">
              <w:rPr>
                <w:noProof/>
                <w:webHidden/>
              </w:rPr>
              <w:instrText xml:space="preserve"> PAGEREF _Toc224916598 \h </w:instrText>
            </w:r>
            <w:r w:rsidR="00615041">
              <w:rPr>
                <w:noProof/>
                <w:webHidden/>
              </w:rPr>
            </w:r>
            <w:r w:rsidR="00615041">
              <w:rPr>
                <w:noProof/>
                <w:webHidden/>
              </w:rPr>
              <w:fldChar w:fldCharType="separate"/>
            </w:r>
            <w:r w:rsidR="00F97942">
              <w:rPr>
                <w:noProof/>
                <w:webHidden/>
              </w:rPr>
              <w:t>7</w:t>
            </w:r>
            <w:r w:rsidR="00615041">
              <w:rPr>
                <w:noProof/>
                <w:webHidden/>
              </w:rPr>
              <w:fldChar w:fldCharType="end"/>
            </w:r>
          </w:hyperlink>
        </w:p>
        <w:p w14:paraId="4E1DB978" w14:textId="5FA88992"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599" w:history="1">
            <w:r w:rsidRPr="00674311">
              <w:rPr>
                <w:rStyle w:val="Hyperlink"/>
                <w:noProof/>
              </w:rPr>
              <w:t>Terminology</w:t>
            </w:r>
            <w:r>
              <w:rPr>
                <w:noProof/>
                <w:webHidden/>
              </w:rPr>
              <w:tab/>
            </w:r>
            <w:r>
              <w:rPr>
                <w:noProof/>
                <w:webHidden/>
              </w:rPr>
              <w:fldChar w:fldCharType="begin"/>
            </w:r>
            <w:r>
              <w:rPr>
                <w:noProof/>
                <w:webHidden/>
              </w:rPr>
              <w:instrText xml:space="preserve"> PAGEREF _Toc224916599 \h </w:instrText>
            </w:r>
            <w:r>
              <w:rPr>
                <w:noProof/>
                <w:webHidden/>
              </w:rPr>
            </w:r>
            <w:r>
              <w:rPr>
                <w:noProof/>
                <w:webHidden/>
              </w:rPr>
              <w:fldChar w:fldCharType="separate"/>
            </w:r>
            <w:r w:rsidR="00F97942">
              <w:rPr>
                <w:noProof/>
                <w:webHidden/>
              </w:rPr>
              <w:t>8</w:t>
            </w:r>
            <w:r>
              <w:rPr>
                <w:noProof/>
                <w:webHidden/>
              </w:rPr>
              <w:fldChar w:fldCharType="end"/>
            </w:r>
          </w:hyperlink>
        </w:p>
        <w:p w14:paraId="65610735" w14:textId="6033B1A3"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600" w:history="1">
            <w:r w:rsidRPr="00674311">
              <w:rPr>
                <w:rStyle w:val="Hyperlink"/>
                <w:noProof/>
              </w:rPr>
              <w:t>Document Structure</w:t>
            </w:r>
            <w:r>
              <w:rPr>
                <w:noProof/>
                <w:webHidden/>
              </w:rPr>
              <w:tab/>
            </w:r>
            <w:r>
              <w:rPr>
                <w:noProof/>
                <w:webHidden/>
              </w:rPr>
              <w:fldChar w:fldCharType="begin"/>
            </w:r>
            <w:r>
              <w:rPr>
                <w:noProof/>
                <w:webHidden/>
              </w:rPr>
              <w:instrText xml:space="preserve"> PAGEREF _Toc224916600 \h </w:instrText>
            </w:r>
            <w:r>
              <w:rPr>
                <w:noProof/>
                <w:webHidden/>
              </w:rPr>
            </w:r>
            <w:r>
              <w:rPr>
                <w:noProof/>
                <w:webHidden/>
              </w:rPr>
              <w:fldChar w:fldCharType="separate"/>
            </w:r>
            <w:r w:rsidR="00F97942">
              <w:rPr>
                <w:noProof/>
                <w:webHidden/>
              </w:rPr>
              <w:t>9</w:t>
            </w:r>
            <w:r>
              <w:rPr>
                <w:noProof/>
                <w:webHidden/>
              </w:rPr>
              <w:fldChar w:fldCharType="end"/>
            </w:r>
          </w:hyperlink>
        </w:p>
        <w:p w14:paraId="565E7B8E" w14:textId="45B95CF8"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01" w:history="1">
            <w:r w:rsidRPr="00674311">
              <w:rPr>
                <w:rStyle w:val="Hyperlink"/>
                <w:noProof/>
              </w:rPr>
              <w:t>1.</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1: Aged Care Act 2024</w:t>
            </w:r>
            <w:r>
              <w:rPr>
                <w:noProof/>
                <w:webHidden/>
              </w:rPr>
              <w:tab/>
            </w:r>
            <w:r>
              <w:rPr>
                <w:noProof/>
                <w:webHidden/>
              </w:rPr>
              <w:fldChar w:fldCharType="begin"/>
            </w:r>
            <w:r>
              <w:rPr>
                <w:noProof/>
                <w:webHidden/>
              </w:rPr>
              <w:instrText xml:space="preserve"> PAGEREF _Toc224916601 \h </w:instrText>
            </w:r>
            <w:r>
              <w:rPr>
                <w:noProof/>
                <w:webHidden/>
              </w:rPr>
            </w:r>
            <w:r>
              <w:rPr>
                <w:noProof/>
                <w:webHidden/>
              </w:rPr>
              <w:fldChar w:fldCharType="separate"/>
            </w:r>
            <w:r w:rsidR="00F97942">
              <w:rPr>
                <w:noProof/>
                <w:webHidden/>
              </w:rPr>
              <w:t>15</w:t>
            </w:r>
            <w:r>
              <w:rPr>
                <w:noProof/>
                <w:webHidden/>
              </w:rPr>
              <w:fldChar w:fldCharType="end"/>
            </w:r>
          </w:hyperlink>
        </w:p>
        <w:p w14:paraId="01B6E7BB" w14:textId="2223ADF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2" w:history="1">
            <w:r w:rsidRPr="00674311">
              <w:rPr>
                <w:rStyle w:val="Hyperlink"/>
                <w:noProof/>
              </w:rPr>
              <w:t>1.1.</w:t>
            </w:r>
            <w:r>
              <w:rPr>
                <w:rFonts w:asciiTheme="minorHAnsi" w:eastAsiaTheme="minorEastAsia" w:hAnsiTheme="minorHAnsi" w:cstheme="minorBidi"/>
                <w:noProof/>
                <w:kern w:val="2"/>
                <w:sz w:val="24"/>
                <w:lang w:val="en-AU"/>
                <w14:ligatures w14:val="standardContextual"/>
              </w:rPr>
              <w:tab/>
            </w:r>
            <w:r w:rsidRPr="00674311">
              <w:rPr>
                <w:rStyle w:val="Hyperlink"/>
                <w:noProof/>
              </w:rPr>
              <w:t>About the Aged Care Act 2024</w:t>
            </w:r>
            <w:r>
              <w:rPr>
                <w:noProof/>
                <w:webHidden/>
              </w:rPr>
              <w:tab/>
            </w:r>
            <w:r>
              <w:rPr>
                <w:noProof/>
                <w:webHidden/>
              </w:rPr>
              <w:fldChar w:fldCharType="begin"/>
            </w:r>
            <w:r>
              <w:rPr>
                <w:noProof/>
                <w:webHidden/>
              </w:rPr>
              <w:instrText xml:space="preserve"> PAGEREF _Toc224916602 \h </w:instrText>
            </w:r>
            <w:r>
              <w:rPr>
                <w:noProof/>
                <w:webHidden/>
              </w:rPr>
            </w:r>
            <w:r>
              <w:rPr>
                <w:noProof/>
                <w:webHidden/>
              </w:rPr>
              <w:fldChar w:fldCharType="separate"/>
            </w:r>
            <w:r w:rsidR="00F97942">
              <w:rPr>
                <w:noProof/>
                <w:webHidden/>
              </w:rPr>
              <w:t>15</w:t>
            </w:r>
            <w:r>
              <w:rPr>
                <w:noProof/>
                <w:webHidden/>
              </w:rPr>
              <w:fldChar w:fldCharType="end"/>
            </w:r>
          </w:hyperlink>
        </w:p>
        <w:p w14:paraId="60E4AF0C" w14:textId="743ACCD0"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3" w:history="1">
            <w:r w:rsidRPr="00674311">
              <w:rPr>
                <w:rStyle w:val="Hyperlink"/>
                <w:noProof/>
              </w:rPr>
              <w:t>1.2.</w:t>
            </w:r>
            <w:r>
              <w:rPr>
                <w:rFonts w:asciiTheme="minorHAnsi" w:eastAsiaTheme="minorEastAsia" w:hAnsiTheme="minorHAnsi" w:cstheme="minorBidi"/>
                <w:noProof/>
                <w:kern w:val="2"/>
                <w:sz w:val="24"/>
                <w:lang w:val="en-AU"/>
                <w14:ligatures w14:val="standardContextual"/>
              </w:rPr>
              <w:tab/>
            </w:r>
            <w:r w:rsidRPr="00674311">
              <w:rPr>
                <w:rStyle w:val="Hyperlink"/>
                <w:noProof/>
              </w:rPr>
              <w:t>Statement of Rights and Principles</w:t>
            </w:r>
            <w:r>
              <w:rPr>
                <w:noProof/>
                <w:webHidden/>
              </w:rPr>
              <w:tab/>
            </w:r>
            <w:r>
              <w:rPr>
                <w:noProof/>
                <w:webHidden/>
              </w:rPr>
              <w:fldChar w:fldCharType="begin"/>
            </w:r>
            <w:r>
              <w:rPr>
                <w:noProof/>
                <w:webHidden/>
              </w:rPr>
              <w:instrText xml:space="preserve"> PAGEREF _Toc224916603 \h </w:instrText>
            </w:r>
            <w:r>
              <w:rPr>
                <w:noProof/>
                <w:webHidden/>
              </w:rPr>
            </w:r>
            <w:r>
              <w:rPr>
                <w:noProof/>
                <w:webHidden/>
              </w:rPr>
              <w:fldChar w:fldCharType="separate"/>
            </w:r>
            <w:r w:rsidR="00F97942">
              <w:rPr>
                <w:noProof/>
                <w:webHidden/>
              </w:rPr>
              <w:t>17</w:t>
            </w:r>
            <w:r>
              <w:rPr>
                <w:noProof/>
                <w:webHidden/>
              </w:rPr>
              <w:fldChar w:fldCharType="end"/>
            </w:r>
          </w:hyperlink>
        </w:p>
        <w:p w14:paraId="401C4F74" w14:textId="66A6043A"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4" w:history="1">
            <w:r w:rsidRPr="00674311">
              <w:rPr>
                <w:rStyle w:val="Hyperlink"/>
                <w:noProof/>
              </w:rPr>
              <w:t>1.3.</w:t>
            </w:r>
            <w:r>
              <w:rPr>
                <w:rFonts w:asciiTheme="minorHAnsi" w:eastAsiaTheme="minorEastAsia" w:hAnsiTheme="minorHAnsi" w:cstheme="minorBidi"/>
                <w:noProof/>
                <w:kern w:val="2"/>
                <w:sz w:val="24"/>
                <w:lang w:val="en-AU"/>
                <w14:ligatures w14:val="standardContextual"/>
              </w:rPr>
              <w:tab/>
            </w:r>
            <w:r w:rsidRPr="00674311">
              <w:rPr>
                <w:rStyle w:val="Hyperlink"/>
                <w:noProof/>
              </w:rPr>
              <w:t>Dignity of risk</w:t>
            </w:r>
            <w:r>
              <w:rPr>
                <w:noProof/>
                <w:webHidden/>
              </w:rPr>
              <w:tab/>
            </w:r>
            <w:r>
              <w:rPr>
                <w:noProof/>
                <w:webHidden/>
              </w:rPr>
              <w:fldChar w:fldCharType="begin"/>
            </w:r>
            <w:r>
              <w:rPr>
                <w:noProof/>
                <w:webHidden/>
              </w:rPr>
              <w:instrText xml:space="preserve"> PAGEREF _Toc224916604 \h </w:instrText>
            </w:r>
            <w:r>
              <w:rPr>
                <w:noProof/>
                <w:webHidden/>
              </w:rPr>
            </w:r>
            <w:r>
              <w:rPr>
                <w:noProof/>
                <w:webHidden/>
              </w:rPr>
              <w:fldChar w:fldCharType="separate"/>
            </w:r>
            <w:r w:rsidR="00F97942">
              <w:rPr>
                <w:noProof/>
                <w:webHidden/>
              </w:rPr>
              <w:t>18</w:t>
            </w:r>
            <w:r>
              <w:rPr>
                <w:noProof/>
                <w:webHidden/>
              </w:rPr>
              <w:fldChar w:fldCharType="end"/>
            </w:r>
          </w:hyperlink>
        </w:p>
        <w:p w14:paraId="1920FBCC" w14:textId="4A0E1F57"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5" w:history="1">
            <w:r w:rsidRPr="00674311">
              <w:rPr>
                <w:rStyle w:val="Hyperlink"/>
                <w:noProof/>
              </w:rPr>
              <w:t>1.4.</w:t>
            </w:r>
            <w:r>
              <w:rPr>
                <w:rFonts w:asciiTheme="minorHAnsi" w:eastAsiaTheme="minorEastAsia" w:hAnsiTheme="minorHAnsi" w:cstheme="minorBidi"/>
                <w:noProof/>
                <w:kern w:val="2"/>
                <w:sz w:val="24"/>
                <w:lang w:val="en-AU"/>
                <w14:ligatures w14:val="standardContextual"/>
              </w:rPr>
              <w:tab/>
            </w:r>
            <w:r w:rsidRPr="00674311">
              <w:rPr>
                <w:rStyle w:val="Hyperlink"/>
                <w:noProof/>
              </w:rPr>
              <w:t>Eligibility requirements to access government funded aged care services</w:t>
            </w:r>
            <w:r>
              <w:rPr>
                <w:noProof/>
                <w:webHidden/>
              </w:rPr>
              <w:tab/>
            </w:r>
            <w:r>
              <w:rPr>
                <w:noProof/>
                <w:webHidden/>
              </w:rPr>
              <w:fldChar w:fldCharType="begin"/>
            </w:r>
            <w:r>
              <w:rPr>
                <w:noProof/>
                <w:webHidden/>
              </w:rPr>
              <w:instrText xml:space="preserve"> PAGEREF _Toc224916605 \h </w:instrText>
            </w:r>
            <w:r>
              <w:rPr>
                <w:noProof/>
                <w:webHidden/>
              </w:rPr>
            </w:r>
            <w:r>
              <w:rPr>
                <w:noProof/>
                <w:webHidden/>
              </w:rPr>
              <w:fldChar w:fldCharType="separate"/>
            </w:r>
            <w:r w:rsidR="00F97942">
              <w:rPr>
                <w:noProof/>
                <w:webHidden/>
              </w:rPr>
              <w:t>18</w:t>
            </w:r>
            <w:r>
              <w:rPr>
                <w:noProof/>
                <w:webHidden/>
              </w:rPr>
              <w:fldChar w:fldCharType="end"/>
            </w:r>
          </w:hyperlink>
        </w:p>
        <w:p w14:paraId="21686EBE" w14:textId="012A72D2"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6" w:history="1">
            <w:r w:rsidRPr="00674311">
              <w:rPr>
                <w:rStyle w:val="Hyperlink"/>
                <w:noProof/>
                <w:lang w:val="en-AU"/>
              </w:rPr>
              <w:t>1.5.</w:t>
            </w:r>
            <w:r>
              <w:rPr>
                <w:rFonts w:asciiTheme="minorHAnsi" w:eastAsiaTheme="minorEastAsia" w:hAnsiTheme="minorHAnsi" w:cstheme="minorBidi"/>
                <w:noProof/>
                <w:kern w:val="2"/>
                <w:sz w:val="24"/>
                <w:lang w:val="en-AU"/>
                <w14:ligatures w14:val="standardContextual"/>
              </w:rPr>
              <w:tab/>
            </w:r>
            <w:r w:rsidRPr="00674311">
              <w:rPr>
                <w:rStyle w:val="Hyperlink"/>
                <w:noProof/>
              </w:rPr>
              <w:t xml:space="preserve">Transition arrangements to the </w:t>
            </w:r>
            <w:r w:rsidRPr="00674311">
              <w:rPr>
                <w:rStyle w:val="Hyperlink"/>
                <w:i/>
                <w:noProof/>
              </w:rPr>
              <w:t>Aged Care Act 2024</w:t>
            </w:r>
            <w:r>
              <w:rPr>
                <w:noProof/>
                <w:webHidden/>
              </w:rPr>
              <w:tab/>
            </w:r>
            <w:r>
              <w:rPr>
                <w:noProof/>
                <w:webHidden/>
              </w:rPr>
              <w:fldChar w:fldCharType="begin"/>
            </w:r>
            <w:r>
              <w:rPr>
                <w:noProof/>
                <w:webHidden/>
              </w:rPr>
              <w:instrText xml:space="preserve"> PAGEREF _Toc224916606 \h </w:instrText>
            </w:r>
            <w:r>
              <w:rPr>
                <w:noProof/>
                <w:webHidden/>
              </w:rPr>
            </w:r>
            <w:r>
              <w:rPr>
                <w:noProof/>
                <w:webHidden/>
              </w:rPr>
              <w:fldChar w:fldCharType="separate"/>
            </w:r>
            <w:r w:rsidR="00F97942">
              <w:rPr>
                <w:noProof/>
                <w:webHidden/>
              </w:rPr>
              <w:t>21</w:t>
            </w:r>
            <w:r>
              <w:rPr>
                <w:noProof/>
                <w:webHidden/>
              </w:rPr>
              <w:fldChar w:fldCharType="end"/>
            </w:r>
          </w:hyperlink>
        </w:p>
        <w:p w14:paraId="3E6D3A40" w14:textId="5455118F"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7" w:history="1">
            <w:r w:rsidRPr="00674311">
              <w:rPr>
                <w:rStyle w:val="Hyperlink"/>
                <w:noProof/>
              </w:rPr>
              <w:t>1.6.</w:t>
            </w:r>
            <w:r>
              <w:rPr>
                <w:rFonts w:asciiTheme="minorHAnsi" w:eastAsiaTheme="minorEastAsia" w:hAnsiTheme="minorHAnsi" w:cstheme="minorBidi"/>
                <w:noProof/>
                <w:kern w:val="2"/>
                <w:sz w:val="24"/>
                <w:lang w:val="en-AU"/>
                <w14:ligatures w14:val="standardContextual"/>
              </w:rPr>
              <w:tab/>
            </w:r>
            <w:r w:rsidRPr="00674311">
              <w:rPr>
                <w:rStyle w:val="Hyperlink"/>
                <w:noProof/>
              </w:rPr>
              <w:t>Aged Care Service List</w:t>
            </w:r>
            <w:r>
              <w:rPr>
                <w:noProof/>
                <w:webHidden/>
              </w:rPr>
              <w:tab/>
            </w:r>
            <w:r>
              <w:rPr>
                <w:noProof/>
                <w:webHidden/>
              </w:rPr>
              <w:fldChar w:fldCharType="begin"/>
            </w:r>
            <w:r>
              <w:rPr>
                <w:noProof/>
                <w:webHidden/>
              </w:rPr>
              <w:instrText xml:space="preserve"> PAGEREF _Toc224916607 \h </w:instrText>
            </w:r>
            <w:r>
              <w:rPr>
                <w:noProof/>
                <w:webHidden/>
              </w:rPr>
            </w:r>
            <w:r>
              <w:rPr>
                <w:noProof/>
                <w:webHidden/>
              </w:rPr>
              <w:fldChar w:fldCharType="separate"/>
            </w:r>
            <w:r w:rsidR="00F97942">
              <w:rPr>
                <w:noProof/>
                <w:webHidden/>
              </w:rPr>
              <w:t>31</w:t>
            </w:r>
            <w:r>
              <w:rPr>
                <w:noProof/>
                <w:webHidden/>
              </w:rPr>
              <w:fldChar w:fldCharType="end"/>
            </w:r>
          </w:hyperlink>
        </w:p>
        <w:p w14:paraId="7F60912C" w14:textId="43FB52F7"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8" w:history="1">
            <w:r w:rsidRPr="00674311">
              <w:rPr>
                <w:rStyle w:val="Hyperlink"/>
                <w:noProof/>
              </w:rPr>
              <w:t>1.7.</w:t>
            </w:r>
            <w:r>
              <w:rPr>
                <w:rFonts w:asciiTheme="minorHAnsi" w:eastAsiaTheme="minorEastAsia" w:hAnsiTheme="minorHAnsi" w:cstheme="minorBidi"/>
                <w:noProof/>
                <w:kern w:val="2"/>
                <w:sz w:val="24"/>
                <w:lang w:val="en-AU"/>
                <w14:ligatures w14:val="standardContextual"/>
              </w:rPr>
              <w:tab/>
            </w:r>
            <w:r w:rsidRPr="00674311">
              <w:rPr>
                <w:rStyle w:val="Hyperlink"/>
                <w:noProof/>
              </w:rPr>
              <w:t>Service groups</w:t>
            </w:r>
            <w:r>
              <w:rPr>
                <w:noProof/>
                <w:webHidden/>
              </w:rPr>
              <w:tab/>
            </w:r>
            <w:r>
              <w:rPr>
                <w:noProof/>
                <w:webHidden/>
              </w:rPr>
              <w:fldChar w:fldCharType="begin"/>
            </w:r>
            <w:r>
              <w:rPr>
                <w:noProof/>
                <w:webHidden/>
              </w:rPr>
              <w:instrText xml:space="preserve"> PAGEREF _Toc224916608 \h </w:instrText>
            </w:r>
            <w:r>
              <w:rPr>
                <w:noProof/>
                <w:webHidden/>
              </w:rPr>
            </w:r>
            <w:r>
              <w:rPr>
                <w:noProof/>
                <w:webHidden/>
              </w:rPr>
              <w:fldChar w:fldCharType="separate"/>
            </w:r>
            <w:r w:rsidR="00F97942">
              <w:rPr>
                <w:noProof/>
                <w:webHidden/>
              </w:rPr>
              <w:t>32</w:t>
            </w:r>
            <w:r>
              <w:rPr>
                <w:noProof/>
                <w:webHidden/>
              </w:rPr>
              <w:fldChar w:fldCharType="end"/>
            </w:r>
          </w:hyperlink>
        </w:p>
        <w:p w14:paraId="36AE42B7" w14:textId="7B1F7266"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09" w:history="1">
            <w:r w:rsidRPr="00674311">
              <w:rPr>
                <w:rStyle w:val="Hyperlink"/>
                <w:noProof/>
              </w:rPr>
              <w:t>1.8.</w:t>
            </w:r>
            <w:r>
              <w:rPr>
                <w:rFonts w:asciiTheme="minorHAnsi" w:eastAsiaTheme="minorEastAsia" w:hAnsiTheme="minorHAnsi" w:cstheme="minorBidi"/>
                <w:noProof/>
                <w:kern w:val="2"/>
                <w:sz w:val="24"/>
                <w:lang w:val="en-AU"/>
                <w14:ligatures w14:val="standardContextual"/>
              </w:rPr>
              <w:tab/>
            </w:r>
            <w:r w:rsidRPr="00674311">
              <w:rPr>
                <w:rStyle w:val="Hyperlink"/>
                <w:noProof/>
              </w:rPr>
              <w:t xml:space="preserve">Approvals under the </w:t>
            </w:r>
            <w:r w:rsidRPr="00674311">
              <w:rPr>
                <w:rStyle w:val="Hyperlink"/>
                <w:i/>
                <w:noProof/>
              </w:rPr>
              <w:t>Aged Care Act 2024</w:t>
            </w:r>
            <w:r>
              <w:rPr>
                <w:noProof/>
                <w:webHidden/>
              </w:rPr>
              <w:tab/>
            </w:r>
            <w:r>
              <w:rPr>
                <w:noProof/>
                <w:webHidden/>
              </w:rPr>
              <w:fldChar w:fldCharType="begin"/>
            </w:r>
            <w:r>
              <w:rPr>
                <w:noProof/>
                <w:webHidden/>
              </w:rPr>
              <w:instrText xml:space="preserve"> PAGEREF _Toc224916609 \h </w:instrText>
            </w:r>
            <w:r>
              <w:rPr>
                <w:noProof/>
                <w:webHidden/>
              </w:rPr>
            </w:r>
            <w:r>
              <w:rPr>
                <w:noProof/>
                <w:webHidden/>
              </w:rPr>
              <w:fldChar w:fldCharType="separate"/>
            </w:r>
            <w:r w:rsidR="00F97942">
              <w:rPr>
                <w:noProof/>
                <w:webHidden/>
              </w:rPr>
              <w:t>33</w:t>
            </w:r>
            <w:r>
              <w:rPr>
                <w:noProof/>
                <w:webHidden/>
              </w:rPr>
              <w:fldChar w:fldCharType="end"/>
            </w:r>
          </w:hyperlink>
        </w:p>
        <w:p w14:paraId="56423887" w14:textId="19107116"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0" w:history="1">
            <w:r w:rsidRPr="00674311">
              <w:rPr>
                <w:rStyle w:val="Hyperlink"/>
                <w:noProof/>
              </w:rPr>
              <w:t>1.9.</w:t>
            </w:r>
            <w:r>
              <w:rPr>
                <w:rFonts w:asciiTheme="minorHAnsi" w:eastAsiaTheme="minorEastAsia" w:hAnsiTheme="minorHAnsi" w:cstheme="minorBidi"/>
                <w:noProof/>
                <w:kern w:val="2"/>
                <w:sz w:val="24"/>
                <w:lang w:val="en-AU"/>
                <w14:ligatures w14:val="standardContextual"/>
              </w:rPr>
              <w:tab/>
            </w:r>
            <w:r w:rsidRPr="00674311">
              <w:rPr>
                <w:rStyle w:val="Hyperlink"/>
                <w:noProof/>
              </w:rPr>
              <w:t>Deciding if the older person requires aged care services</w:t>
            </w:r>
            <w:r>
              <w:rPr>
                <w:noProof/>
                <w:webHidden/>
              </w:rPr>
              <w:tab/>
            </w:r>
            <w:r>
              <w:rPr>
                <w:noProof/>
                <w:webHidden/>
              </w:rPr>
              <w:fldChar w:fldCharType="begin"/>
            </w:r>
            <w:r>
              <w:rPr>
                <w:noProof/>
                <w:webHidden/>
              </w:rPr>
              <w:instrText xml:space="preserve"> PAGEREF _Toc224916610 \h </w:instrText>
            </w:r>
            <w:r>
              <w:rPr>
                <w:noProof/>
                <w:webHidden/>
              </w:rPr>
            </w:r>
            <w:r>
              <w:rPr>
                <w:noProof/>
                <w:webHidden/>
              </w:rPr>
              <w:fldChar w:fldCharType="separate"/>
            </w:r>
            <w:r w:rsidR="00F97942">
              <w:rPr>
                <w:noProof/>
                <w:webHidden/>
              </w:rPr>
              <w:t>36</w:t>
            </w:r>
            <w:r>
              <w:rPr>
                <w:noProof/>
                <w:webHidden/>
              </w:rPr>
              <w:fldChar w:fldCharType="end"/>
            </w:r>
          </w:hyperlink>
        </w:p>
        <w:p w14:paraId="457F68E9" w14:textId="7300F387"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11" w:history="1">
            <w:r w:rsidRPr="00674311">
              <w:rPr>
                <w:rStyle w:val="Hyperlink"/>
                <w:noProof/>
              </w:rPr>
              <w:t>1.10.</w:t>
            </w:r>
            <w:r>
              <w:rPr>
                <w:rFonts w:asciiTheme="minorHAnsi" w:eastAsiaTheme="minorEastAsia" w:hAnsiTheme="minorHAnsi" w:cstheme="minorBidi"/>
                <w:noProof/>
                <w:kern w:val="2"/>
                <w:sz w:val="24"/>
                <w:lang w:val="en-AU"/>
                <w14:ligatures w14:val="standardContextual"/>
              </w:rPr>
              <w:tab/>
            </w:r>
            <w:r w:rsidRPr="00674311">
              <w:rPr>
                <w:rStyle w:val="Hyperlink"/>
                <w:noProof/>
              </w:rPr>
              <w:t>Accessing funded aged care services</w:t>
            </w:r>
            <w:r>
              <w:rPr>
                <w:noProof/>
                <w:webHidden/>
              </w:rPr>
              <w:tab/>
            </w:r>
            <w:r>
              <w:rPr>
                <w:noProof/>
                <w:webHidden/>
              </w:rPr>
              <w:fldChar w:fldCharType="begin"/>
            </w:r>
            <w:r>
              <w:rPr>
                <w:noProof/>
                <w:webHidden/>
              </w:rPr>
              <w:instrText xml:space="preserve"> PAGEREF _Toc224916611 \h </w:instrText>
            </w:r>
            <w:r>
              <w:rPr>
                <w:noProof/>
                <w:webHidden/>
              </w:rPr>
            </w:r>
            <w:r>
              <w:rPr>
                <w:noProof/>
                <w:webHidden/>
              </w:rPr>
              <w:fldChar w:fldCharType="separate"/>
            </w:r>
            <w:r w:rsidR="00F97942">
              <w:rPr>
                <w:noProof/>
                <w:webHidden/>
              </w:rPr>
              <w:t>39</w:t>
            </w:r>
            <w:r>
              <w:rPr>
                <w:noProof/>
                <w:webHidden/>
              </w:rPr>
              <w:fldChar w:fldCharType="end"/>
            </w:r>
          </w:hyperlink>
        </w:p>
        <w:p w14:paraId="43E892A1" w14:textId="2FB33C4F"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12" w:history="1">
            <w:r w:rsidRPr="00674311">
              <w:rPr>
                <w:rStyle w:val="Hyperlink"/>
                <w:noProof/>
              </w:rPr>
              <w:t>1.11.</w:t>
            </w:r>
            <w:r>
              <w:rPr>
                <w:rFonts w:asciiTheme="minorHAnsi" w:eastAsiaTheme="minorEastAsia" w:hAnsiTheme="minorHAnsi" w:cstheme="minorBidi"/>
                <w:noProof/>
                <w:kern w:val="2"/>
                <w:sz w:val="24"/>
                <w:lang w:val="en-AU"/>
                <w14:ligatures w14:val="standardContextual"/>
              </w:rPr>
              <w:tab/>
            </w:r>
            <w:r w:rsidRPr="00674311">
              <w:rPr>
                <w:rStyle w:val="Hyperlink"/>
                <w:noProof/>
              </w:rPr>
              <w:t>Where approvals can be used</w:t>
            </w:r>
            <w:r>
              <w:rPr>
                <w:noProof/>
                <w:webHidden/>
              </w:rPr>
              <w:tab/>
            </w:r>
            <w:r>
              <w:rPr>
                <w:noProof/>
                <w:webHidden/>
              </w:rPr>
              <w:fldChar w:fldCharType="begin"/>
            </w:r>
            <w:r>
              <w:rPr>
                <w:noProof/>
                <w:webHidden/>
              </w:rPr>
              <w:instrText xml:space="preserve"> PAGEREF _Toc224916612 \h </w:instrText>
            </w:r>
            <w:r>
              <w:rPr>
                <w:noProof/>
                <w:webHidden/>
              </w:rPr>
            </w:r>
            <w:r>
              <w:rPr>
                <w:noProof/>
                <w:webHidden/>
              </w:rPr>
              <w:fldChar w:fldCharType="separate"/>
            </w:r>
            <w:r w:rsidR="00F97942">
              <w:rPr>
                <w:noProof/>
                <w:webHidden/>
              </w:rPr>
              <w:t>40</w:t>
            </w:r>
            <w:r>
              <w:rPr>
                <w:noProof/>
                <w:webHidden/>
              </w:rPr>
              <w:fldChar w:fldCharType="end"/>
            </w:r>
          </w:hyperlink>
        </w:p>
        <w:p w14:paraId="4C4DF81D" w14:textId="29002324"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13" w:history="1">
            <w:r w:rsidRPr="00674311">
              <w:rPr>
                <w:rStyle w:val="Hyperlink"/>
                <w:noProof/>
              </w:rPr>
              <w:t>2.</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2: Overview of My Aged Care and the Single Assessment System</w:t>
            </w:r>
            <w:r>
              <w:rPr>
                <w:noProof/>
                <w:webHidden/>
              </w:rPr>
              <w:tab/>
            </w:r>
            <w:r>
              <w:rPr>
                <w:noProof/>
                <w:webHidden/>
              </w:rPr>
              <w:fldChar w:fldCharType="begin"/>
            </w:r>
            <w:r>
              <w:rPr>
                <w:noProof/>
                <w:webHidden/>
              </w:rPr>
              <w:instrText xml:space="preserve"> PAGEREF _Toc224916613 \h </w:instrText>
            </w:r>
            <w:r>
              <w:rPr>
                <w:noProof/>
                <w:webHidden/>
              </w:rPr>
            </w:r>
            <w:r>
              <w:rPr>
                <w:noProof/>
                <w:webHidden/>
              </w:rPr>
              <w:fldChar w:fldCharType="separate"/>
            </w:r>
            <w:r w:rsidR="00F97942">
              <w:rPr>
                <w:noProof/>
                <w:webHidden/>
              </w:rPr>
              <w:t>43</w:t>
            </w:r>
            <w:r>
              <w:rPr>
                <w:noProof/>
                <w:webHidden/>
              </w:rPr>
              <w:fldChar w:fldCharType="end"/>
            </w:r>
          </w:hyperlink>
        </w:p>
        <w:p w14:paraId="66345144" w14:textId="0CC377E2"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4" w:history="1">
            <w:r w:rsidRPr="00674311">
              <w:rPr>
                <w:rStyle w:val="Hyperlink"/>
                <w:noProof/>
              </w:rPr>
              <w:t>2.1.</w:t>
            </w:r>
            <w:r>
              <w:rPr>
                <w:rFonts w:asciiTheme="minorHAnsi" w:eastAsiaTheme="minorEastAsia" w:hAnsiTheme="minorHAnsi" w:cstheme="minorBidi"/>
                <w:noProof/>
                <w:kern w:val="2"/>
                <w:sz w:val="24"/>
                <w:lang w:val="en-AU"/>
                <w14:ligatures w14:val="standardContextual"/>
              </w:rPr>
              <w:tab/>
            </w:r>
            <w:r w:rsidRPr="00674311">
              <w:rPr>
                <w:rStyle w:val="Hyperlink"/>
                <w:noProof/>
              </w:rPr>
              <w:t>My Aged Care</w:t>
            </w:r>
            <w:r>
              <w:rPr>
                <w:noProof/>
                <w:webHidden/>
              </w:rPr>
              <w:tab/>
            </w:r>
            <w:r>
              <w:rPr>
                <w:noProof/>
                <w:webHidden/>
              </w:rPr>
              <w:fldChar w:fldCharType="begin"/>
            </w:r>
            <w:r>
              <w:rPr>
                <w:noProof/>
                <w:webHidden/>
              </w:rPr>
              <w:instrText xml:space="preserve"> PAGEREF _Toc224916614 \h </w:instrText>
            </w:r>
            <w:r>
              <w:rPr>
                <w:noProof/>
                <w:webHidden/>
              </w:rPr>
            </w:r>
            <w:r>
              <w:rPr>
                <w:noProof/>
                <w:webHidden/>
              </w:rPr>
              <w:fldChar w:fldCharType="separate"/>
            </w:r>
            <w:r w:rsidR="00F97942">
              <w:rPr>
                <w:noProof/>
                <w:webHidden/>
              </w:rPr>
              <w:t>43</w:t>
            </w:r>
            <w:r>
              <w:rPr>
                <w:noProof/>
                <w:webHidden/>
              </w:rPr>
              <w:fldChar w:fldCharType="end"/>
            </w:r>
          </w:hyperlink>
        </w:p>
        <w:p w14:paraId="001E8AA7" w14:textId="04AD1B7F"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5" w:history="1">
            <w:r w:rsidRPr="00674311">
              <w:rPr>
                <w:rStyle w:val="Hyperlink"/>
                <w:noProof/>
              </w:rPr>
              <w:t>2.2.</w:t>
            </w:r>
            <w:r>
              <w:rPr>
                <w:rFonts w:asciiTheme="minorHAnsi" w:eastAsiaTheme="minorEastAsia" w:hAnsiTheme="minorHAnsi" w:cstheme="minorBidi"/>
                <w:noProof/>
                <w:kern w:val="2"/>
                <w:sz w:val="24"/>
                <w:lang w:val="en-AU"/>
                <w14:ligatures w14:val="standardContextual"/>
              </w:rPr>
              <w:tab/>
            </w:r>
            <w:r w:rsidRPr="00674311">
              <w:rPr>
                <w:rStyle w:val="Hyperlink"/>
                <w:noProof/>
              </w:rPr>
              <w:t>Single Assessment System</w:t>
            </w:r>
            <w:r>
              <w:rPr>
                <w:noProof/>
                <w:webHidden/>
              </w:rPr>
              <w:tab/>
            </w:r>
            <w:r>
              <w:rPr>
                <w:noProof/>
                <w:webHidden/>
              </w:rPr>
              <w:fldChar w:fldCharType="begin"/>
            </w:r>
            <w:r>
              <w:rPr>
                <w:noProof/>
                <w:webHidden/>
              </w:rPr>
              <w:instrText xml:space="preserve"> PAGEREF _Toc224916615 \h </w:instrText>
            </w:r>
            <w:r>
              <w:rPr>
                <w:noProof/>
                <w:webHidden/>
              </w:rPr>
            </w:r>
            <w:r>
              <w:rPr>
                <w:noProof/>
                <w:webHidden/>
              </w:rPr>
              <w:fldChar w:fldCharType="separate"/>
            </w:r>
            <w:r w:rsidR="00F97942">
              <w:rPr>
                <w:noProof/>
                <w:webHidden/>
              </w:rPr>
              <w:t>45</w:t>
            </w:r>
            <w:r>
              <w:rPr>
                <w:noProof/>
                <w:webHidden/>
              </w:rPr>
              <w:fldChar w:fldCharType="end"/>
            </w:r>
          </w:hyperlink>
        </w:p>
        <w:p w14:paraId="2EB9E031" w14:textId="4BE43C93"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6" w:history="1">
            <w:r w:rsidRPr="00674311">
              <w:rPr>
                <w:rStyle w:val="Hyperlink"/>
                <w:noProof/>
              </w:rPr>
              <w:t>2.3.</w:t>
            </w:r>
            <w:r>
              <w:rPr>
                <w:rFonts w:asciiTheme="minorHAnsi" w:eastAsiaTheme="minorEastAsia" w:hAnsiTheme="minorHAnsi" w:cstheme="minorBidi"/>
                <w:noProof/>
                <w:kern w:val="2"/>
                <w:sz w:val="24"/>
                <w:lang w:val="en-AU"/>
                <w14:ligatures w14:val="standardContextual"/>
              </w:rPr>
              <w:tab/>
            </w:r>
            <w:r w:rsidRPr="00674311">
              <w:rPr>
                <w:rStyle w:val="Hyperlink"/>
                <w:noProof/>
              </w:rPr>
              <w:t>Aboriginal and Torres Strait Islander assessment organisations</w:t>
            </w:r>
            <w:r>
              <w:rPr>
                <w:noProof/>
                <w:webHidden/>
              </w:rPr>
              <w:tab/>
            </w:r>
            <w:r>
              <w:rPr>
                <w:noProof/>
                <w:webHidden/>
              </w:rPr>
              <w:fldChar w:fldCharType="begin"/>
            </w:r>
            <w:r>
              <w:rPr>
                <w:noProof/>
                <w:webHidden/>
              </w:rPr>
              <w:instrText xml:space="preserve"> PAGEREF _Toc224916616 \h </w:instrText>
            </w:r>
            <w:r>
              <w:rPr>
                <w:noProof/>
                <w:webHidden/>
              </w:rPr>
            </w:r>
            <w:r>
              <w:rPr>
                <w:noProof/>
                <w:webHidden/>
              </w:rPr>
              <w:fldChar w:fldCharType="separate"/>
            </w:r>
            <w:r w:rsidR="00F97942">
              <w:rPr>
                <w:noProof/>
                <w:webHidden/>
              </w:rPr>
              <w:t>46</w:t>
            </w:r>
            <w:r>
              <w:rPr>
                <w:noProof/>
                <w:webHidden/>
              </w:rPr>
              <w:fldChar w:fldCharType="end"/>
            </w:r>
          </w:hyperlink>
        </w:p>
        <w:p w14:paraId="2BDA8222" w14:textId="7E6AA5C5"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7" w:history="1">
            <w:r w:rsidRPr="00674311">
              <w:rPr>
                <w:rStyle w:val="Hyperlink"/>
                <w:noProof/>
              </w:rPr>
              <w:t>2.4.</w:t>
            </w:r>
            <w:r>
              <w:rPr>
                <w:rFonts w:asciiTheme="minorHAnsi" w:eastAsiaTheme="minorEastAsia" w:hAnsiTheme="minorHAnsi" w:cstheme="minorBidi"/>
                <w:noProof/>
                <w:kern w:val="2"/>
                <w:sz w:val="24"/>
                <w:lang w:val="en-AU"/>
                <w14:ligatures w14:val="standardContextual"/>
              </w:rPr>
              <w:tab/>
            </w:r>
            <w:r w:rsidRPr="00674311">
              <w:rPr>
                <w:rStyle w:val="Hyperlink"/>
                <w:noProof/>
              </w:rPr>
              <w:t>Overview of assessment organisation roles and responsibilities</w:t>
            </w:r>
            <w:r>
              <w:rPr>
                <w:noProof/>
                <w:webHidden/>
              </w:rPr>
              <w:tab/>
            </w:r>
            <w:r>
              <w:rPr>
                <w:noProof/>
                <w:webHidden/>
              </w:rPr>
              <w:fldChar w:fldCharType="begin"/>
            </w:r>
            <w:r>
              <w:rPr>
                <w:noProof/>
                <w:webHidden/>
              </w:rPr>
              <w:instrText xml:space="preserve"> PAGEREF _Toc224916617 \h </w:instrText>
            </w:r>
            <w:r>
              <w:rPr>
                <w:noProof/>
                <w:webHidden/>
              </w:rPr>
            </w:r>
            <w:r>
              <w:rPr>
                <w:noProof/>
                <w:webHidden/>
              </w:rPr>
              <w:fldChar w:fldCharType="separate"/>
            </w:r>
            <w:r w:rsidR="00F97942">
              <w:rPr>
                <w:noProof/>
                <w:webHidden/>
              </w:rPr>
              <w:t>48</w:t>
            </w:r>
            <w:r>
              <w:rPr>
                <w:noProof/>
                <w:webHidden/>
              </w:rPr>
              <w:fldChar w:fldCharType="end"/>
            </w:r>
          </w:hyperlink>
        </w:p>
        <w:p w14:paraId="78BF1B67" w14:textId="6106FF66"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8" w:history="1">
            <w:r w:rsidRPr="00674311">
              <w:rPr>
                <w:rStyle w:val="Hyperlink"/>
                <w:noProof/>
              </w:rPr>
              <w:t>2.5.</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Supporting Community Engagement through the Aboriginal and Torres Strait Islander assessment pathway</w:t>
            </w:r>
            <w:r>
              <w:rPr>
                <w:noProof/>
                <w:webHidden/>
              </w:rPr>
              <w:tab/>
            </w:r>
            <w:r>
              <w:rPr>
                <w:noProof/>
                <w:webHidden/>
              </w:rPr>
              <w:fldChar w:fldCharType="begin"/>
            </w:r>
            <w:r>
              <w:rPr>
                <w:noProof/>
                <w:webHidden/>
              </w:rPr>
              <w:instrText xml:space="preserve"> PAGEREF _Toc224916618 \h </w:instrText>
            </w:r>
            <w:r>
              <w:rPr>
                <w:noProof/>
                <w:webHidden/>
              </w:rPr>
            </w:r>
            <w:r>
              <w:rPr>
                <w:noProof/>
                <w:webHidden/>
              </w:rPr>
              <w:fldChar w:fldCharType="separate"/>
            </w:r>
            <w:r w:rsidR="00F97942">
              <w:rPr>
                <w:noProof/>
                <w:webHidden/>
              </w:rPr>
              <w:t>52</w:t>
            </w:r>
            <w:r>
              <w:rPr>
                <w:noProof/>
                <w:webHidden/>
              </w:rPr>
              <w:fldChar w:fldCharType="end"/>
            </w:r>
          </w:hyperlink>
        </w:p>
        <w:p w14:paraId="568B4271" w14:textId="3E5C6F86"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19" w:history="1">
            <w:r w:rsidRPr="00674311">
              <w:rPr>
                <w:rStyle w:val="Hyperlink"/>
                <w:noProof/>
              </w:rPr>
              <w:t>2.6.</w:t>
            </w:r>
            <w:r>
              <w:rPr>
                <w:rFonts w:asciiTheme="minorHAnsi" w:eastAsiaTheme="minorEastAsia" w:hAnsiTheme="minorHAnsi" w:cstheme="minorBidi"/>
                <w:noProof/>
                <w:kern w:val="2"/>
                <w:sz w:val="24"/>
                <w:lang w:val="en-AU"/>
                <w14:ligatures w14:val="standardContextual"/>
              </w:rPr>
              <w:tab/>
            </w:r>
            <w:r w:rsidRPr="00674311">
              <w:rPr>
                <w:rStyle w:val="Hyperlink"/>
                <w:noProof/>
              </w:rPr>
              <w:t>Training requirements for assessment teams</w:t>
            </w:r>
            <w:r>
              <w:rPr>
                <w:noProof/>
                <w:webHidden/>
              </w:rPr>
              <w:tab/>
            </w:r>
            <w:r>
              <w:rPr>
                <w:noProof/>
                <w:webHidden/>
              </w:rPr>
              <w:fldChar w:fldCharType="begin"/>
            </w:r>
            <w:r>
              <w:rPr>
                <w:noProof/>
                <w:webHidden/>
              </w:rPr>
              <w:instrText xml:space="preserve"> PAGEREF _Toc224916619 \h </w:instrText>
            </w:r>
            <w:r>
              <w:rPr>
                <w:noProof/>
                <w:webHidden/>
              </w:rPr>
            </w:r>
            <w:r>
              <w:rPr>
                <w:noProof/>
                <w:webHidden/>
              </w:rPr>
              <w:fldChar w:fldCharType="separate"/>
            </w:r>
            <w:r w:rsidR="00F97942">
              <w:rPr>
                <w:noProof/>
                <w:webHidden/>
              </w:rPr>
              <w:t>52</w:t>
            </w:r>
            <w:r>
              <w:rPr>
                <w:noProof/>
                <w:webHidden/>
              </w:rPr>
              <w:fldChar w:fldCharType="end"/>
            </w:r>
          </w:hyperlink>
        </w:p>
        <w:p w14:paraId="3780C4FD" w14:textId="5DCF0A0C"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0" w:history="1">
            <w:r w:rsidRPr="00674311">
              <w:rPr>
                <w:rStyle w:val="Hyperlink"/>
                <w:noProof/>
              </w:rPr>
              <w:t>2.7.</w:t>
            </w:r>
            <w:r>
              <w:rPr>
                <w:rFonts w:asciiTheme="minorHAnsi" w:eastAsiaTheme="minorEastAsia" w:hAnsiTheme="minorHAnsi" w:cstheme="minorBidi"/>
                <w:noProof/>
                <w:kern w:val="2"/>
                <w:sz w:val="24"/>
                <w:lang w:val="en-AU"/>
                <w14:ligatures w14:val="standardContextual"/>
              </w:rPr>
              <w:tab/>
            </w:r>
            <w:r w:rsidRPr="00674311">
              <w:rPr>
                <w:rStyle w:val="Hyperlink"/>
                <w:noProof/>
              </w:rPr>
              <w:t>The single assessment pathway</w:t>
            </w:r>
            <w:r>
              <w:rPr>
                <w:noProof/>
                <w:webHidden/>
              </w:rPr>
              <w:tab/>
            </w:r>
            <w:r>
              <w:rPr>
                <w:noProof/>
                <w:webHidden/>
              </w:rPr>
              <w:fldChar w:fldCharType="begin"/>
            </w:r>
            <w:r>
              <w:rPr>
                <w:noProof/>
                <w:webHidden/>
              </w:rPr>
              <w:instrText xml:space="preserve"> PAGEREF _Toc224916620 \h </w:instrText>
            </w:r>
            <w:r>
              <w:rPr>
                <w:noProof/>
                <w:webHidden/>
              </w:rPr>
            </w:r>
            <w:r>
              <w:rPr>
                <w:noProof/>
                <w:webHidden/>
              </w:rPr>
              <w:fldChar w:fldCharType="separate"/>
            </w:r>
            <w:r w:rsidR="00F97942">
              <w:rPr>
                <w:noProof/>
                <w:webHidden/>
              </w:rPr>
              <w:t>53</w:t>
            </w:r>
            <w:r>
              <w:rPr>
                <w:noProof/>
                <w:webHidden/>
              </w:rPr>
              <w:fldChar w:fldCharType="end"/>
            </w:r>
          </w:hyperlink>
        </w:p>
        <w:p w14:paraId="6211F2E1" w14:textId="18CFA697"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1" w:history="1">
            <w:r w:rsidRPr="00674311">
              <w:rPr>
                <w:rStyle w:val="Hyperlink"/>
                <w:noProof/>
              </w:rPr>
              <w:t>2.8.</w:t>
            </w:r>
            <w:r>
              <w:rPr>
                <w:rFonts w:asciiTheme="minorHAnsi" w:eastAsiaTheme="minorEastAsia" w:hAnsiTheme="minorHAnsi" w:cstheme="minorBidi"/>
                <w:noProof/>
                <w:kern w:val="2"/>
                <w:sz w:val="24"/>
                <w:lang w:val="en-AU"/>
                <w14:ligatures w14:val="standardContextual"/>
              </w:rPr>
              <w:tab/>
            </w:r>
            <w:r w:rsidRPr="00674311">
              <w:rPr>
                <w:rStyle w:val="Hyperlink"/>
                <w:noProof/>
              </w:rPr>
              <w:t>Other assessment activities</w:t>
            </w:r>
            <w:r>
              <w:rPr>
                <w:noProof/>
                <w:webHidden/>
              </w:rPr>
              <w:tab/>
            </w:r>
            <w:r>
              <w:rPr>
                <w:noProof/>
                <w:webHidden/>
              </w:rPr>
              <w:fldChar w:fldCharType="begin"/>
            </w:r>
            <w:r>
              <w:rPr>
                <w:noProof/>
                <w:webHidden/>
              </w:rPr>
              <w:instrText xml:space="preserve"> PAGEREF _Toc224916621 \h </w:instrText>
            </w:r>
            <w:r>
              <w:rPr>
                <w:noProof/>
                <w:webHidden/>
              </w:rPr>
            </w:r>
            <w:r>
              <w:rPr>
                <w:noProof/>
                <w:webHidden/>
              </w:rPr>
              <w:fldChar w:fldCharType="separate"/>
            </w:r>
            <w:r w:rsidR="00F97942">
              <w:rPr>
                <w:noProof/>
                <w:webHidden/>
              </w:rPr>
              <w:t>55</w:t>
            </w:r>
            <w:r>
              <w:rPr>
                <w:noProof/>
                <w:webHidden/>
              </w:rPr>
              <w:fldChar w:fldCharType="end"/>
            </w:r>
          </w:hyperlink>
        </w:p>
        <w:p w14:paraId="659F7AD3" w14:textId="5C9333C9"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2" w:history="1">
            <w:r w:rsidRPr="00674311">
              <w:rPr>
                <w:rStyle w:val="Hyperlink"/>
                <w:noProof/>
              </w:rPr>
              <w:t>2.9.</w:t>
            </w:r>
            <w:r>
              <w:rPr>
                <w:rFonts w:asciiTheme="minorHAnsi" w:eastAsiaTheme="minorEastAsia" w:hAnsiTheme="minorHAnsi" w:cstheme="minorBidi"/>
                <w:noProof/>
                <w:kern w:val="2"/>
                <w:sz w:val="24"/>
                <w:lang w:val="en-AU"/>
                <w14:ligatures w14:val="standardContextual"/>
              </w:rPr>
              <w:tab/>
            </w:r>
            <w:r w:rsidRPr="00674311">
              <w:rPr>
                <w:rStyle w:val="Hyperlink"/>
                <w:noProof/>
              </w:rPr>
              <w:t>Aims and key features of assessment</w:t>
            </w:r>
            <w:r>
              <w:rPr>
                <w:noProof/>
                <w:webHidden/>
              </w:rPr>
              <w:tab/>
            </w:r>
            <w:r>
              <w:rPr>
                <w:noProof/>
                <w:webHidden/>
              </w:rPr>
              <w:fldChar w:fldCharType="begin"/>
            </w:r>
            <w:r>
              <w:rPr>
                <w:noProof/>
                <w:webHidden/>
              </w:rPr>
              <w:instrText xml:space="preserve"> PAGEREF _Toc224916622 \h </w:instrText>
            </w:r>
            <w:r>
              <w:rPr>
                <w:noProof/>
                <w:webHidden/>
              </w:rPr>
            </w:r>
            <w:r>
              <w:rPr>
                <w:noProof/>
                <w:webHidden/>
              </w:rPr>
              <w:fldChar w:fldCharType="separate"/>
            </w:r>
            <w:r w:rsidR="00F97942">
              <w:rPr>
                <w:noProof/>
                <w:webHidden/>
              </w:rPr>
              <w:t>57</w:t>
            </w:r>
            <w:r>
              <w:rPr>
                <w:noProof/>
                <w:webHidden/>
              </w:rPr>
              <w:fldChar w:fldCharType="end"/>
            </w:r>
          </w:hyperlink>
        </w:p>
        <w:p w14:paraId="3237EFBB" w14:textId="44C561BB"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23" w:history="1">
            <w:r w:rsidRPr="00674311">
              <w:rPr>
                <w:rStyle w:val="Hyperlink"/>
                <w:noProof/>
              </w:rPr>
              <w:t>2.10.</w:t>
            </w:r>
            <w:r>
              <w:rPr>
                <w:rFonts w:asciiTheme="minorHAnsi" w:eastAsiaTheme="minorEastAsia" w:hAnsiTheme="minorHAnsi" w:cstheme="minorBidi"/>
                <w:noProof/>
                <w:kern w:val="2"/>
                <w:sz w:val="24"/>
                <w:lang w:val="en-AU"/>
                <w14:ligatures w14:val="standardContextual"/>
              </w:rPr>
              <w:tab/>
            </w:r>
            <w:r w:rsidRPr="00674311">
              <w:rPr>
                <w:rStyle w:val="Hyperlink"/>
                <w:noProof/>
              </w:rPr>
              <w:t>Assessment quality</w:t>
            </w:r>
            <w:r>
              <w:rPr>
                <w:noProof/>
                <w:webHidden/>
              </w:rPr>
              <w:tab/>
            </w:r>
            <w:r>
              <w:rPr>
                <w:noProof/>
                <w:webHidden/>
              </w:rPr>
              <w:fldChar w:fldCharType="begin"/>
            </w:r>
            <w:r>
              <w:rPr>
                <w:noProof/>
                <w:webHidden/>
              </w:rPr>
              <w:instrText xml:space="preserve"> PAGEREF _Toc224916623 \h </w:instrText>
            </w:r>
            <w:r>
              <w:rPr>
                <w:noProof/>
                <w:webHidden/>
              </w:rPr>
            </w:r>
            <w:r>
              <w:rPr>
                <w:noProof/>
                <w:webHidden/>
              </w:rPr>
              <w:fldChar w:fldCharType="separate"/>
            </w:r>
            <w:r w:rsidR="00F97942">
              <w:rPr>
                <w:noProof/>
                <w:webHidden/>
              </w:rPr>
              <w:t>58</w:t>
            </w:r>
            <w:r>
              <w:rPr>
                <w:noProof/>
                <w:webHidden/>
              </w:rPr>
              <w:fldChar w:fldCharType="end"/>
            </w:r>
          </w:hyperlink>
        </w:p>
        <w:p w14:paraId="26F4B52C" w14:textId="207FEBEF"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24" w:history="1">
            <w:r w:rsidRPr="00674311">
              <w:rPr>
                <w:rStyle w:val="Hyperlink"/>
                <w:noProof/>
              </w:rPr>
              <w:t>2.11.</w:t>
            </w:r>
            <w:r>
              <w:rPr>
                <w:rFonts w:asciiTheme="minorHAnsi" w:eastAsiaTheme="minorEastAsia" w:hAnsiTheme="minorHAnsi" w:cstheme="minorBidi"/>
                <w:noProof/>
                <w:kern w:val="2"/>
                <w:sz w:val="24"/>
                <w:lang w:val="en-AU"/>
                <w14:ligatures w14:val="standardContextual"/>
              </w:rPr>
              <w:tab/>
            </w:r>
            <w:r w:rsidRPr="00674311">
              <w:rPr>
                <w:rStyle w:val="Hyperlink"/>
                <w:noProof/>
              </w:rPr>
              <w:t>Integrated Assessment Tool (IAT)</w:t>
            </w:r>
            <w:r>
              <w:rPr>
                <w:noProof/>
                <w:webHidden/>
              </w:rPr>
              <w:tab/>
            </w:r>
            <w:r>
              <w:rPr>
                <w:noProof/>
                <w:webHidden/>
              </w:rPr>
              <w:fldChar w:fldCharType="begin"/>
            </w:r>
            <w:r>
              <w:rPr>
                <w:noProof/>
                <w:webHidden/>
              </w:rPr>
              <w:instrText xml:space="preserve"> PAGEREF _Toc224916624 \h </w:instrText>
            </w:r>
            <w:r>
              <w:rPr>
                <w:noProof/>
                <w:webHidden/>
              </w:rPr>
            </w:r>
            <w:r>
              <w:rPr>
                <w:noProof/>
                <w:webHidden/>
              </w:rPr>
              <w:fldChar w:fldCharType="separate"/>
            </w:r>
            <w:r w:rsidR="00F97942">
              <w:rPr>
                <w:noProof/>
                <w:webHidden/>
              </w:rPr>
              <w:t>59</w:t>
            </w:r>
            <w:r>
              <w:rPr>
                <w:noProof/>
                <w:webHidden/>
              </w:rPr>
              <w:fldChar w:fldCharType="end"/>
            </w:r>
          </w:hyperlink>
        </w:p>
        <w:p w14:paraId="14D72377" w14:textId="78CBD7D0"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25" w:history="1">
            <w:r w:rsidRPr="00674311">
              <w:rPr>
                <w:rStyle w:val="Hyperlink"/>
                <w:noProof/>
              </w:rPr>
              <w:t>3.</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3: Referral, registration and screening</w:t>
            </w:r>
            <w:r>
              <w:rPr>
                <w:noProof/>
                <w:webHidden/>
              </w:rPr>
              <w:tab/>
            </w:r>
            <w:r>
              <w:rPr>
                <w:noProof/>
                <w:webHidden/>
              </w:rPr>
              <w:fldChar w:fldCharType="begin"/>
            </w:r>
            <w:r>
              <w:rPr>
                <w:noProof/>
                <w:webHidden/>
              </w:rPr>
              <w:instrText xml:space="preserve"> PAGEREF _Toc224916625 \h </w:instrText>
            </w:r>
            <w:r>
              <w:rPr>
                <w:noProof/>
                <w:webHidden/>
              </w:rPr>
            </w:r>
            <w:r>
              <w:rPr>
                <w:noProof/>
                <w:webHidden/>
              </w:rPr>
              <w:fldChar w:fldCharType="separate"/>
            </w:r>
            <w:r w:rsidR="00F97942">
              <w:rPr>
                <w:noProof/>
                <w:webHidden/>
              </w:rPr>
              <w:t>65</w:t>
            </w:r>
            <w:r>
              <w:rPr>
                <w:noProof/>
                <w:webHidden/>
              </w:rPr>
              <w:fldChar w:fldCharType="end"/>
            </w:r>
          </w:hyperlink>
        </w:p>
        <w:p w14:paraId="1C7854D7" w14:textId="49024C1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6" w:history="1">
            <w:r w:rsidRPr="00674311">
              <w:rPr>
                <w:rStyle w:val="Hyperlink"/>
                <w:noProof/>
              </w:rPr>
              <w:t>3.1.</w:t>
            </w:r>
            <w:r>
              <w:rPr>
                <w:rFonts w:asciiTheme="minorHAnsi" w:eastAsiaTheme="minorEastAsia" w:hAnsiTheme="minorHAnsi" w:cstheme="minorBidi"/>
                <w:noProof/>
                <w:kern w:val="2"/>
                <w:sz w:val="24"/>
                <w:lang w:val="en-AU"/>
                <w14:ligatures w14:val="standardContextual"/>
              </w:rPr>
              <w:tab/>
            </w:r>
            <w:r w:rsidRPr="00674311">
              <w:rPr>
                <w:rStyle w:val="Hyperlink"/>
                <w:noProof/>
              </w:rPr>
              <w:t>Entry into My Aged Care</w:t>
            </w:r>
            <w:r>
              <w:rPr>
                <w:noProof/>
                <w:webHidden/>
              </w:rPr>
              <w:tab/>
            </w:r>
            <w:r>
              <w:rPr>
                <w:noProof/>
                <w:webHidden/>
              </w:rPr>
              <w:fldChar w:fldCharType="begin"/>
            </w:r>
            <w:r>
              <w:rPr>
                <w:noProof/>
                <w:webHidden/>
              </w:rPr>
              <w:instrText xml:space="preserve"> PAGEREF _Toc224916626 \h </w:instrText>
            </w:r>
            <w:r>
              <w:rPr>
                <w:noProof/>
                <w:webHidden/>
              </w:rPr>
            </w:r>
            <w:r>
              <w:rPr>
                <w:noProof/>
                <w:webHidden/>
              </w:rPr>
              <w:fldChar w:fldCharType="separate"/>
            </w:r>
            <w:r w:rsidR="00F97942">
              <w:rPr>
                <w:noProof/>
                <w:webHidden/>
              </w:rPr>
              <w:t>65</w:t>
            </w:r>
            <w:r>
              <w:rPr>
                <w:noProof/>
                <w:webHidden/>
              </w:rPr>
              <w:fldChar w:fldCharType="end"/>
            </w:r>
          </w:hyperlink>
        </w:p>
        <w:p w14:paraId="4F5B6FF5" w14:textId="747EE4EC"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7" w:history="1">
            <w:r w:rsidRPr="00674311">
              <w:rPr>
                <w:rStyle w:val="Hyperlink"/>
                <w:noProof/>
              </w:rPr>
              <w:t>3.2.</w:t>
            </w:r>
            <w:r>
              <w:rPr>
                <w:rFonts w:asciiTheme="minorHAnsi" w:eastAsiaTheme="minorEastAsia" w:hAnsiTheme="minorHAnsi" w:cstheme="minorBidi"/>
                <w:noProof/>
                <w:kern w:val="2"/>
                <w:sz w:val="24"/>
                <w:lang w:val="en-AU"/>
                <w14:ligatures w14:val="standardContextual"/>
              </w:rPr>
              <w:tab/>
            </w:r>
            <w:r w:rsidRPr="00674311">
              <w:rPr>
                <w:rStyle w:val="Hyperlink"/>
                <w:noProof/>
              </w:rPr>
              <w:t>Alternative entry</w:t>
            </w:r>
            <w:r>
              <w:rPr>
                <w:noProof/>
                <w:webHidden/>
              </w:rPr>
              <w:tab/>
            </w:r>
            <w:r>
              <w:rPr>
                <w:noProof/>
                <w:webHidden/>
              </w:rPr>
              <w:fldChar w:fldCharType="begin"/>
            </w:r>
            <w:r>
              <w:rPr>
                <w:noProof/>
                <w:webHidden/>
              </w:rPr>
              <w:instrText xml:space="preserve"> PAGEREF _Toc224916627 \h </w:instrText>
            </w:r>
            <w:r>
              <w:rPr>
                <w:noProof/>
                <w:webHidden/>
              </w:rPr>
            </w:r>
            <w:r>
              <w:rPr>
                <w:noProof/>
                <w:webHidden/>
              </w:rPr>
              <w:fldChar w:fldCharType="separate"/>
            </w:r>
            <w:r w:rsidR="00F97942">
              <w:rPr>
                <w:noProof/>
                <w:webHidden/>
              </w:rPr>
              <w:t>67</w:t>
            </w:r>
            <w:r>
              <w:rPr>
                <w:noProof/>
                <w:webHidden/>
              </w:rPr>
              <w:fldChar w:fldCharType="end"/>
            </w:r>
          </w:hyperlink>
        </w:p>
        <w:p w14:paraId="01E2D829" w14:textId="672A481C"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8" w:history="1">
            <w:r w:rsidRPr="00674311">
              <w:rPr>
                <w:rStyle w:val="Hyperlink"/>
                <w:noProof/>
              </w:rPr>
              <w:t>3.3.</w:t>
            </w:r>
            <w:r>
              <w:rPr>
                <w:rFonts w:asciiTheme="minorHAnsi" w:eastAsiaTheme="minorEastAsia" w:hAnsiTheme="minorHAnsi" w:cstheme="minorBidi"/>
                <w:noProof/>
                <w:kern w:val="2"/>
                <w:sz w:val="24"/>
                <w:lang w:val="en-AU"/>
                <w14:ligatures w14:val="standardContextual"/>
              </w:rPr>
              <w:tab/>
            </w:r>
            <w:r w:rsidRPr="00674311">
              <w:rPr>
                <w:rStyle w:val="Hyperlink"/>
                <w:noProof/>
              </w:rPr>
              <w:t>Screening</w:t>
            </w:r>
            <w:r>
              <w:rPr>
                <w:noProof/>
                <w:webHidden/>
              </w:rPr>
              <w:tab/>
            </w:r>
            <w:r>
              <w:rPr>
                <w:noProof/>
                <w:webHidden/>
              </w:rPr>
              <w:fldChar w:fldCharType="begin"/>
            </w:r>
            <w:r>
              <w:rPr>
                <w:noProof/>
                <w:webHidden/>
              </w:rPr>
              <w:instrText xml:space="preserve"> PAGEREF _Toc224916628 \h </w:instrText>
            </w:r>
            <w:r>
              <w:rPr>
                <w:noProof/>
                <w:webHidden/>
              </w:rPr>
            </w:r>
            <w:r>
              <w:rPr>
                <w:noProof/>
                <w:webHidden/>
              </w:rPr>
              <w:fldChar w:fldCharType="separate"/>
            </w:r>
            <w:r w:rsidR="00F97942">
              <w:rPr>
                <w:noProof/>
                <w:webHidden/>
              </w:rPr>
              <w:t>71</w:t>
            </w:r>
            <w:r>
              <w:rPr>
                <w:noProof/>
                <w:webHidden/>
              </w:rPr>
              <w:fldChar w:fldCharType="end"/>
            </w:r>
          </w:hyperlink>
        </w:p>
        <w:p w14:paraId="768B3B50" w14:textId="6C43908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29" w:history="1">
            <w:r w:rsidRPr="00674311">
              <w:rPr>
                <w:rStyle w:val="Hyperlink"/>
                <w:noProof/>
              </w:rPr>
              <w:t>3.4.</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 networks for an older person</w:t>
            </w:r>
            <w:r>
              <w:rPr>
                <w:noProof/>
                <w:webHidden/>
              </w:rPr>
              <w:tab/>
            </w:r>
            <w:r>
              <w:rPr>
                <w:noProof/>
                <w:webHidden/>
              </w:rPr>
              <w:fldChar w:fldCharType="begin"/>
            </w:r>
            <w:r>
              <w:rPr>
                <w:noProof/>
                <w:webHidden/>
              </w:rPr>
              <w:instrText xml:space="preserve"> PAGEREF _Toc224916629 \h </w:instrText>
            </w:r>
            <w:r>
              <w:rPr>
                <w:noProof/>
                <w:webHidden/>
              </w:rPr>
            </w:r>
            <w:r>
              <w:rPr>
                <w:noProof/>
                <w:webHidden/>
              </w:rPr>
              <w:fldChar w:fldCharType="separate"/>
            </w:r>
            <w:r w:rsidR="00F97942">
              <w:rPr>
                <w:noProof/>
                <w:webHidden/>
              </w:rPr>
              <w:t>72</w:t>
            </w:r>
            <w:r>
              <w:rPr>
                <w:noProof/>
                <w:webHidden/>
              </w:rPr>
              <w:fldChar w:fldCharType="end"/>
            </w:r>
          </w:hyperlink>
        </w:p>
        <w:p w14:paraId="566F6287" w14:textId="1086DFDE"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0" w:history="1">
            <w:r w:rsidRPr="00674311">
              <w:rPr>
                <w:rStyle w:val="Hyperlink"/>
                <w:noProof/>
              </w:rPr>
              <w:t>3.5.</w:t>
            </w:r>
            <w:r>
              <w:rPr>
                <w:rFonts w:asciiTheme="minorHAnsi" w:eastAsiaTheme="minorEastAsia" w:hAnsiTheme="minorHAnsi" w:cstheme="minorBidi"/>
                <w:noProof/>
                <w:kern w:val="2"/>
                <w:sz w:val="24"/>
                <w:lang w:val="en-AU"/>
                <w14:ligatures w14:val="standardContextual"/>
              </w:rPr>
              <w:tab/>
            </w:r>
            <w:r w:rsidRPr="00674311">
              <w:rPr>
                <w:rStyle w:val="Hyperlink"/>
                <w:noProof/>
              </w:rPr>
              <w:t>Exceptional Circumstances – approving a service without an assessment</w:t>
            </w:r>
            <w:r>
              <w:rPr>
                <w:noProof/>
                <w:webHidden/>
              </w:rPr>
              <w:tab/>
            </w:r>
            <w:r>
              <w:rPr>
                <w:noProof/>
                <w:webHidden/>
              </w:rPr>
              <w:fldChar w:fldCharType="begin"/>
            </w:r>
            <w:r>
              <w:rPr>
                <w:noProof/>
                <w:webHidden/>
              </w:rPr>
              <w:instrText xml:space="preserve"> PAGEREF _Toc224916630 \h </w:instrText>
            </w:r>
            <w:r>
              <w:rPr>
                <w:noProof/>
                <w:webHidden/>
              </w:rPr>
            </w:r>
            <w:r>
              <w:rPr>
                <w:noProof/>
                <w:webHidden/>
              </w:rPr>
              <w:fldChar w:fldCharType="separate"/>
            </w:r>
            <w:r w:rsidR="00F97942">
              <w:rPr>
                <w:noProof/>
                <w:webHidden/>
              </w:rPr>
              <w:t>79</w:t>
            </w:r>
            <w:r>
              <w:rPr>
                <w:noProof/>
                <w:webHidden/>
              </w:rPr>
              <w:fldChar w:fldCharType="end"/>
            </w:r>
          </w:hyperlink>
        </w:p>
        <w:p w14:paraId="0A23A632" w14:textId="3967DFF5"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1" w:history="1">
            <w:r w:rsidRPr="00674311">
              <w:rPr>
                <w:rStyle w:val="Hyperlink"/>
                <w:noProof/>
              </w:rPr>
              <w:t>3.6.</w:t>
            </w:r>
            <w:r>
              <w:rPr>
                <w:rFonts w:asciiTheme="minorHAnsi" w:eastAsiaTheme="minorEastAsia" w:hAnsiTheme="minorHAnsi" w:cstheme="minorBidi"/>
                <w:noProof/>
                <w:kern w:val="2"/>
                <w:sz w:val="24"/>
                <w:lang w:val="en-AU"/>
                <w14:ligatures w14:val="standardContextual"/>
              </w:rPr>
              <w:tab/>
            </w:r>
            <w:r w:rsidRPr="00674311">
              <w:rPr>
                <w:rStyle w:val="Hyperlink"/>
                <w:noProof/>
              </w:rPr>
              <w:t>Emergency Residential Care - Application for Care</w:t>
            </w:r>
            <w:r>
              <w:rPr>
                <w:noProof/>
                <w:webHidden/>
              </w:rPr>
              <w:tab/>
            </w:r>
            <w:r>
              <w:rPr>
                <w:noProof/>
                <w:webHidden/>
              </w:rPr>
              <w:fldChar w:fldCharType="begin"/>
            </w:r>
            <w:r>
              <w:rPr>
                <w:noProof/>
                <w:webHidden/>
              </w:rPr>
              <w:instrText xml:space="preserve"> PAGEREF _Toc224916631 \h </w:instrText>
            </w:r>
            <w:r>
              <w:rPr>
                <w:noProof/>
                <w:webHidden/>
              </w:rPr>
            </w:r>
            <w:r>
              <w:rPr>
                <w:noProof/>
                <w:webHidden/>
              </w:rPr>
              <w:fldChar w:fldCharType="separate"/>
            </w:r>
            <w:r w:rsidR="00F97942">
              <w:rPr>
                <w:noProof/>
                <w:webHidden/>
              </w:rPr>
              <w:t>79</w:t>
            </w:r>
            <w:r>
              <w:rPr>
                <w:noProof/>
                <w:webHidden/>
              </w:rPr>
              <w:fldChar w:fldCharType="end"/>
            </w:r>
          </w:hyperlink>
        </w:p>
        <w:p w14:paraId="14AB74C7" w14:textId="76D18467"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32" w:history="1">
            <w:r w:rsidRPr="00674311">
              <w:rPr>
                <w:rStyle w:val="Hyperlink"/>
                <w:noProof/>
              </w:rPr>
              <w:t>4.</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4: Referral for assessment</w:t>
            </w:r>
            <w:r>
              <w:rPr>
                <w:noProof/>
                <w:webHidden/>
              </w:rPr>
              <w:tab/>
            </w:r>
            <w:r>
              <w:rPr>
                <w:noProof/>
                <w:webHidden/>
              </w:rPr>
              <w:fldChar w:fldCharType="begin"/>
            </w:r>
            <w:r>
              <w:rPr>
                <w:noProof/>
                <w:webHidden/>
              </w:rPr>
              <w:instrText xml:space="preserve"> PAGEREF _Toc224916632 \h </w:instrText>
            </w:r>
            <w:r>
              <w:rPr>
                <w:noProof/>
                <w:webHidden/>
              </w:rPr>
            </w:r>
            <w:r>
              <w:rPr>
                <w:noProof/>
                <w:webHidden/>
              </w:rPr>
              <w:fldChar w:fldCharType="separate"/>
            </w:r>
            <w:r w:rsidR="00F97942">
              <w:rPr>
                <w:noProof/>
                <w:webHidden/>
              </w:rPr>
              <w:t>82</w:t>
            </w:r>
            <w:r>
              <w:rPr>
                <w:noProof/>
                <w:webHidden/>
              </w:rPr>
              <w:fldChar w:fldCharType="end"/>
            </w:r>
          </w:hyperlink>
        </w:p>
        <w:p w14:paraId="10ABBB01" w14:textId="1F8637EE"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3" w:history="1">
            <w:r w:rsidRPr="00674311">
              <w:rPr>
                <w:rStyle w:val="Hyperlink"/>
                <w:noProof/>
              </w:rPr>
              <w:t>4.1.</w:t>
            </w:r>
            <w:r>
              <w:rPr>
                <w:rFonts w:asciiTheme="minorHAnsi" w:eastAsiaTheme="minorEastAsia" w:hAnsiTheme="minorHAnsi" w:cstheme="minorBidi"/>
                <w:noProof/>
                <w:kern w:val="2"/>
                <w:sz w:val="24"/>
                <w:lang w:val="en-AU"/>
                <w14:ligatures w14:val="standardContextual"/>
              </w:rPr>
              <w:tab/>
            </w:r>
            <w:r w:rsidRPr="00674311">
              <w:rPr>
                <w:rStyle w:val="Hyperlink"/>
                <w:noProof/>
              </w:rPr>
              <w:t>Managing referrals</w:t>
            </w:r>
            <w:r>
              <w:rPr>
                <w:noProof/>
                <w:webHidden/>
              </w:rPr>
              <w:tab/>
            </w:r>
            <w:r>
              <w:rPr>
                <w:noProof/>
                <w:webHidden/>
              </w:rPr>
              <w:fldChar w:fldCharType="begin"/>
            </w:r>
            <w:r>
              <w:rPr>
                <w:noProof/>
                <w:webHidden/>
              </w:rPr>
              <w:instrText xml:space="preserve"> PAGEREF _Toc224916633 \h </w:instrText>
            </w:r>
            <w:r>
              <w:rPr>
                <w:noProof/>
                <w:webHidden/>
              </w:rPr>
            </w:r>
            <w:r>
              <w:rPr>
                <w:noProof/>
                <w:webHidden/>
              </w:rPr>
              <w:fldChar w:fldCharType="separate"/>
            </w:r>
            <w:r w:rsidR="00F97942">
              <w:rPr>
                <w:noProof/>
                <w:webHidden/>
              </w:rPr>
              <w:t>82</w:t>
            </w:r>
            <w:r>
              <w:rPr>
                <w:noProof/>
                <w:webHidden/>
              </w:rPr>
              <w:fldChar w:fldCharType="end"/>
            </w:r>
          </w:hyperlink>
        </w:p>
        <w:p w14:paraId="2731DE7F" w14:textId="0939649D"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4" w:history="1">
            <w:r w:rsidRPr="00674311">
              <w:rPr>
                <w:rStyle w:val="Hyperlink"/>
                <w:noProof/>
              </w:rPr>
              <w:t>4.2.</w:t>
            </w:r>
            <w:r>
              <w:rPr>
                <w:rFonts w:asciiTheme="minorHAnsi" w:eastAsiaTheme="minorEastAsia" w:hAnsiTheme="minorHAnsi" w:cstheme="minorBidi"/>
                <w:noProof/>
                <w:kern w:val="2"/>
                <w:sz w:val="24"/>
                <w:lang w:val="en-AU"/>
                <w14:ligatures w14:val="standardContextual"/>
              </w:rPr>
              <w:tab/>
            </w:r>
            <w:r w:rsidRPr="00674311">
              <w:rPr>
                <w:rStyle w:val="Hyperlink"/>
                <w:noProof/>
              </w:rPr>
              <w:t>Referral priority categories</w:t>
            </w:r>
            <w:r>
              <w:rPr>
                <w:noProof/>
                <w:webHidden/>
              </w:rPr>
              <w:tab/>
            </w:r>
            <w:r>
              <w:rPr>
                <w:noProof/>
                <w:webHidden/>
              </w:rPr>
              <w:fldChar w:fldCharType="begin"/>
            </w:r>
            <w:r>
              <w:rPr>
                <w:noProof/>
                <w:webHidden/>
              </w:rPr>
              <w:instrText xml:space="preserve"> PAGEREF _Toc224916634 \h </w:instrText>
            </w:r>
            <w:r>
              <w:rPr>
                <w:noProof/>
                <w:webHidden/>
              </w:rPr>
            </w:r>
            <w:r>
              <w:rPr>
                <w:noProof/>
                <w:webHidden/>
              </w:rPr>
              <w:fldChar w:fldCharType="separate"/>
            </w:r>
            <w:r w:rsidR="00F97942">
              <w:rPr>
                <w:noProof/>
                <w:webHidden/>
              </w:rPr>
              <w:t>82</w:t>
            </w:r>
            <w:r>
              <w:rPr>
                <w:noProof/>
                <w:webHidden/>
              </w:rPr>
              <w:fldChar w:fldCharType="end"/>
            </w:r>
          </w:hyperlink>
        </w:p>
        <w:p w14:paraId="3F316C67" w14:textId="11644248"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5" w:history="1">
            <w:r w:rsidRPr="00674311">
              <w:rPr>
                <w:rStyle w:val="Hyperlink"/>
                <w:noProof/>
              </w:rPr>
              <w:t>4.3.</w:t>
            </w:r>
            <w:r>
              <w:rPr>
                <w:rFonts w:asciiTheme="minorHAnsi" w:eastAsiaTheme="minorEastAsia" w:hAnsiTheme="minorHAnsi" w:cstheme="minorBidi"/>
                <w:noProof/>
                <w:kern w:val="2"/>
                <w:sz w:val="24"/>
                <w:lang w:val="en-AU"/>
                <w14:ligatures w14:val="standardContextual"/>
              </w:rPr>
              <w:tab/>
            </w:r>
            <w:r w:rsidRPr="00674311">
              <w:rPr>
                <w:rStyle w:val="Hyperlink"/>
                <w:noProof/>
              </w:rPr>
              <w:t>Actioning referrals</w:t>
            </w:r>
            <w:r>
              <w:rPr>
                <w:noProof/>
                <w:webHidden/>
              </w:rPr>
              <w:tab/>
            </w:r>
            <w:r>
              <w:rPr>
                <w:noProof/>
                <w:webHidden/>
              </w:rPr>
              <w:fldChar w:fldCharType="begin"/>
            </w:r>
            <w:r>
              <w:rPr>
                <w:noProof/>
                <w:webHidden/>
              </w:rPr>
              <w:instrText xml:space="preserve"> PAGEREF _Toc224916635 \h </w:instrText>
            </w:r>
            <w:r>
              <w:rPr>
                <w:noProof/>
                <w:webHidden/>
              </w:rPr>
            </w:r>
            <w:r>
              <w:rPr>
                <w:noProof/>
                <w:webHidden/>
              </w:rPr>
              <w:fldChar w:fldCharType="separate"/>
            </w:r>
            <w:r w:rsidR="00F97942">
              <w:rPr>
                <w:noProof/>
                <w:webHidden/>
              </w:rPr>
              <w:t>86</w:t>
            </w:r>
            <w:r>
              <w:rPr>
                <w:noProof/>
                <w:webHidden/>
              </w:rPr>
              <w:fldChar w:fldCharType="end"/>
            </w:r>
          </w:hyperlink>
        </w:p>
        <w:p w14:paraId="66188315" w14:textId="5AC1471B"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6" w:history="1">
            <w:r w:rsidRPr="00674311">
              <w:rPr>
                <w:rStyle w:val="Hyperlink"/>
                <w:noProof/>
              </w:rPr>
              <w:t>4.4.</w:t>
            </w:r>
            <w:r>
              <w:rPr>
                <w:rFonts w:asciiTheme="minorHAnsi" w:eastAsiaTheme="minorEastAsia" w:hAnsiTheme="minorHAnsi" w:cstheme="minorBidi"/>
                <w:noProof/>
                <w:kern w:val="2"/>
                <w:sz w:val="24"/>
                <w:lang w:val="en-AU"/>
                <w14:ligatures w14:val="standardContextual"/>
              </w:rPr>
              <w:tab/>
            </w:r>
            <w:r w:rsidRPr="00674311">
              <w:rPr>
                <w:rStyle w:val="Hyperlink"/>
                <w:noProof/>
              </w:rPr>
              <w:t>Self-referrals</w:t>
            </w:r>
            <w:r>
              <w:rPr>
                <w:noProof/>
                <w:webHidden/>
              </w:rPr>
              <w:tab/>
            </w:r>
            <w:r>
              <w:rPr>
                <w:noProof/>
                <w:webHidden/>
              </w:rPr>
              <w:fldChar w:fldCharType="begin"/>
            </w:r>
            <w:r>
              <w:rPr>
                <w:noProof/>
                <w:webHidden/>
              </w:rPr>
              <w:instrText xml:space="preserve"> PAGEREF _Toc224916636 \h </w:instrText>
            </w:r>
            <w:r>
              <w:rPr>
                <w:noProof/>
                <w:webHidden/>
              </w:rPr>
            </w:r>
            <w:r>
              <w:rPr>
                <w:noProof/>
                <w:webHidden/>
              </w:rPr>
              <w:fldChar w:fldCharType="separate"/>
            </w:r>
            <w:r w:rsidR="00F97942">
              <w:rPr>
                <w:noProof/>
                <w:webHidden/>
              </w:rPr>
              <w:t>99</w:t>
            </w:r>
            <w:r>
              <w:rPr>
                <w:noProof/>
                <w:webHidden/>
              </w:rPr>
              <w:fldChar w:fldCharType="end"/>
            </w:r>
          </w:hyperlink>
        </w:p>
        <w:p w14:paraId="5569AA66" w14:textId="6255353A"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7" w:history="1">
            <w:r w:rsidRPr="00674311">
              <w:rPr>
                <w:rStyle w:val="Hyperlink"/>
                <w:noProof/>
              </w:rPr>
              <w:t>4.5.</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 plan reviews and reassessments</w:t>
            </w:r>
            <w:r>
              <w:rPr>
                <w:noProof/>
                <w:webHidden/>
              </w:rPr>
              <w:tab/>
            </w:r>
            <w:r>
              <w:rPr>
                <w:noProof/>
                <w:webHidden/>
              </w:rPr>
              <w:fldChar w:fldCharType="begin"/>
            </w:r>
            <w:r>
              <w:rPr>
                <w:noProof/>
                <w:webHidden/>
              </w:rPr>
              <w:instrText xml:space="preserve"> PAGEREF _Toc224916637 \h </w:instrText>
            </w:r>
            <w:r>
              <w:rPr>
                <w:noProof/>
                <w:webHidden/>
              </w:rPr>
            </w:r>
            <w:r>
              <w:rPr>
                <w:noProof/>
                <w:webHidden/>
              </w:rPr>
              <w:fldChar w:fldCharType="separate"/>
            </w:r>
            <w:r w:rsidR="00F97942">
              <w:rPr>
                <w:noProof/>
                <w:webHidden/>
              </w:rPr>
              <w:t>102</w:t>
            </w:r>
            <w:r>
              <w:rPr>
                <w:noProof/>
                <w:webHidden/>
              </w:rPr>
              <w:fldChar w:fldCharType="end"/>
            </w:r>
          </w:hyperlink>
        </w:p>
        <w:p w14:paraId="51BAE8DD" w14:textId="513DC500"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38" w:history="1">
            <w:r w:rsidRPr="00674311">
              <w:rPr>
                <w:rStyle w:val="Hyperlink"/>
                <w:noProof/>
              </w:rPr>
              <w:t>4.6.</w:t>
            </w:r>
            <w:r>
              <w:rPr>
                <w:rFonts w:asciiTheme="minorHAnsi" w:eastAsiaTheme="minorEastAsia" w:hAnsiTheme="minorHAnsi" w:cstheme="minorBidi"/>
                <w:noProof/>
                <w:kern w:val="2"/>
                <w:sz w:val="24"/>
                <w:lang w:val="en-AU"/>
                <w14:ligatures w14:val="standardContextual"/>
              </w:rPr>
              <w:tab/>
            </w:r>
            <w:r w:rsidRPr="00674311">
              <w:rPr>
                <w:rStyle w:val="Hyperlink"/>
                <w:noProof/>
              </w:rPr>
              <w:t>Deceased older people</w:t>
            </w:r>
            <w:r>
              <w:rPr>
                <w:noProof/>
                <w:webHidden/>
              </w:rPr>
              <w:tab/>
            </w:r>
            <w:r>
              <w:rPr>
                <w:noProof/>
                <w:webHidden/>
              </w:rPr>
              <w:fldChar w:fldCharType="begin"/>
            </w:r>
            <w:r>
              <w:rPr>
                <w:noProof/>
                <w:webHidden/>
              </w:rPr>
              <w:instrText xml:space="preserve"> PAGEREF _Toc224916638 \h </w:instrText>
            </w:r>
            <w:r>
              <w:rPr>
                <w:noProof/>
                <w:webHidden/>
              </w:rPr>
            </w:r>
            <w:r>
              <w:rPr>
                <w:noProof/>
                <w:webHidden/>
              </w:rPr>
              <w:fldChar w:fldCharType="separate"/>
            </w:r>
            <w:r w:rsidR="00F97942">
              <w:rPr>
                <w:noProof/>
                <w:webHidden/>
              </w:rPr>
              <w:t>106</w:t>
            </w:r>
            <w:r>
              <w:rPr>
                <w:noProof/>
                <w:webHidden/>
              </w:rPr>
              <w:fldChar w:fldCharType="end"/>
            </w:r>
          </w:hyperlink>
        </w:p>
        <w:p w14:paraId="0A845003" w14:textId="3546940E"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39" w:history="1">
            <w:r w:rsidRPr="00674311">
              <w:rPr>
                <w:rStyle w:val="Hyperlink"/>
                <w:noProof/>
              </w:rPr>
              <w:t>5.</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5: Assessment activities</w:t>
            </w:r>
            <w:r>
              <w:rPr>
                <w:noProof/>
                <w:webHidden/>
              </w:rPr>
              <w:tab/>
            </w:r>
            <w:r>
              <w:rPr>
                <w:noProof/>
                <w:webHidden/>
              </w:rPr>
              <w:fldChar w:fldCharType="begin"/>
            </w:r>
            <w:r>
              <w:rPr>
                <w:noProof/>
                <w:webHidden/>
              </w:rPr>
              <w:instrText xml:space="preserve"> PAGEREF _Toc224916639 \h </w:instrText>
            </w:r>
            <w:r>
              <w:rPr>
                <w:noProof/>
                <w:webHidden/>
              </w:rPr>
            </w:r>
            <w:r>
              <w:rPr>
                <w:noProof/>
                <w:webHidden/>
              </w:rPr>
              <w:fldChar w:fldCharType="separate"/>
            </w:r>
            <w:r w:rsidR="00F97942">
              <w:rPr>
                <w:noProof/>
                <w:webHidden/>
              </w:rPr>
              <w:t>107</w:t>
            </w:r>
            <w:r>
              <w:rPr>
                <w:noProof/>
                <w:webHidden/>
              </w:rPr>
              <w:fldChar w:fldCharType="end"/>
            </w:r>
          </w:hyperlink>
        </w:p>
        <w:p w14:paraId="10FE41E2" w14:textId="026F3CD4"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0" w:history="1">
            <w:r w:rsidRPr="00674311">
              <w:rPr>
                <w:rStyle w:val="Hyperlink"/>
                <w:noProof/>
              </w:rPr>
              <w:t>5.1.</w:t>
            </w:r>
            <w:r>
              <w:rPr>
                <w:rFonts w:asciiTheme="minorHAnsi" w:eastAsiaTheme="minorEastAsia" w:hAnsiTheme="minorHAnsi" w:cstheme="minorBidi"/>
                <w:noProof/>
                <w:kern w:val="2"/>
                <w:sz w:val="24"/>
                <w:lang w:val="en-AU"/>
                <w14:ligatures w14:val="standardContextual"/>
              </w:rPr>
              <w:tab/>
            </w:r>
            <w:r w:rsidRPr="00674311">
              <w:rPr>
                <w:rStyle w:val="Hyperlink"/>
                <w:noProof/>
              </w:rPr>
              <w:t>Obtaining consent for triage and assessment</w:t>
            </w:r>
            <w:r>
              <w:rPr>
                <w:noProof/>
                <w:webHidden/>
              </w:rPr>
              <w:tab/>
            </w:r>
            <w:r>
              <w:rPr>
                <w:noProof/>
                <w:webHidden/>
              </w:rPr>
              <w:fldChar w:fldCharType="begin"/>
            </w:r>
            <w:r>
              <w:rPr>
                <w:noProof/>
                <w:webHidden/>
              </w:rPr>
              <w:instrText xml:space="preserve"> PAGEREF _Toc224916640 \h </w:instrText>
            </w:r>
            <w:r>
              <w:rPr>
                <w:noProof/>
                <w:webHidden/>
              </w:rPr>
            </w:r>
            <w:r>
              <w:rPr>
                <w:noProof/>
                <w:webHidden/>
              </w:rPr>
              <w:fldChar w:fldCharType="separate"/>
            </w:r>
            <w:r w:rsidR="00F97942">
              <w:rPr>
                <w:noProof/>
                <w:webHidden/>
              </w:rPr>
              <w:t>107</w:t>
            </w:r>
            <w:r>
              <w:rPr>
                <w:noProof/>
                <w:webHidden/>
              </w:rPr>
              <w:fldChar w:fldCharType="end"/>
            </w:r>
          </w:hyperlink>
        </w:p>
        <w:p w14:paraId="053236D3" w14:textId="5DE50809"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1" w:history="1">
            <w:r w:rsidRPr="00674311">
              <w:rPr>
                <w:rStyle w:val="Hyperlink"/>
                <w:noProof/>
              </w:rPr>
              <w:t>5.2.</w:t>
            </w:r>
            <w:r>
              <w:rPr>
                <w:rFonts w:asciiTheme="minorHAnsi" w:eastAsiaTheme="minorEastAsia" w:hAnsiTheme="minorHAnsi" w:cstheme="minorBidi"/>
                <w:noProof/>
                <w:kern w:val="2"/>
                <w:sz w:val="24"/>
                <w:lang w:val="en-AU"/>
                <w14:ligatures w14:val="standardContextual"/>
              </w:rPr>
              <w:tab/>
            </w:r>
            <w:r w:rsidRPr="00674311">
              <w:rPr>
                <w:rStyle w:val="Hyperlink"/>
                <w:noProof/>
              </w:rPr>
              <w:t>Triaging assessments</w:t>
            </w:r>
            <w:r>
              <w:rPr>
                <w:noProof/>
                <w:webHidden/>
              </w:rPr>
              <w:tab/>
            </w:r>
            <w:r>
              <w:rPr>
                <w:noProof/>
                <w:webHidden/>
              </w:rPr>
              <w:fldChar w:fldCharType="begin"/>
            </w:r>
            <w:r>
              <w:rPr>
                <w:noProof/>
                <w:webHidden/>
              </w:rPr>
              <w:instrText xml:space="preserve"> PAGEREF _Toc224916641 \h </w:instrText>
            </w:r>
            <w:r>
              <w:rPr>
                <w:noProof/>
                <w:webHidden/>
              </w:rPr>
            </w:r>
            <w:r>
              <w:rPr>
                <w:noProof/>
                <w:webHidden/>
              </w:rPr>
              <w:fldChar w:fldCharType="separate"/>
            </w:r>
            <w:r w:rsidR="00F97942">
              <w:rPr>
                <w:noProof/>
                <w:webHidden/>
              </w:rPr>
              <w:t>111</w:t>
            </w:r>
            <w:r>
              <w:rPr>
                <w:noProof/>
                <w:webHidden/>
              </w:rPr>
              <w:fldChar w:fldCharType="end"/>
            </w:r>
          </w:hyperlink>
        </w:p>
        <w:p w14:paraId="726DE735" w14:textId="564F4DCA"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2" w:history="1">
            <w:r w:rsidRPr="00674311">
              <w:rPr>
                <w:rStyle w:val="Hyperlink"/>
                <w:noProof/>
              </w:rPr>
              <w:t>5.3.</w:t>
            </w:r>
            <w:r>
              <w:rPr>
                <w:rFonts w:asciiTheme="minorHAnsi" w:eastAsiaTheme="minorEastAsia" w:hAnsiTheme="minorHAnsi" w:cstheme="minorBidi"/>
                <w:noProof/>
                <w:kern w:val="2"/>
                <w:sz w:val="24"/>
                <w:lang w:val="en-AU"/>
                <w14:ligatures w14:val="standardContextual"/>
              </w:rPr>
              <w:tab/>
            </w:r>
            <w:r w:rsidRPr="00674311">
              <w:rPr>
                <w:rStyle w:val="Hyperlink"/>
                <w:noProof/>
              </w:rPr>
              <w:t>Conducting triage</w:t>
            </w:r>
            <w:r>
              <w:rPr>
                <w:noProof/>
                <w:webHidden/>
              </w:rPr>
              <w:tab/>
            </w:r>
            <w:r>
              <w:rPr>
                <w:noProof/>
                <w:webHidden/>
              </w:rPr>
              <w:fldChar w:fldCharType="begin"/>
            </w:r>
            <w:r>
              <w:rPr>
                <w:noProof/>
                <w:webHidden/>
              </w:rPr>
              <w:instrText xml:space="preserve"> PAGEREF _Toc224916642 \h </w:instrText>
            </w:r>
            <w:r>
              <w:rPr>
                <w:noProof/>
                <w:webHidden/>
              </w:rPr>
            </w:r>
            <w:r>
              <w:rPr>
                <w:noProof/>
                <w:webHidden/>
              </w:rPr>
              <w:fldChar w:fldCharType="separate"/>
            </w:r>
            <w:r w:rsidR="00F97942">
              <w:rPr>
                <w:noProof/>
                <w:webHidden/>
              </w:rPr>
              <w:t>116</w:t>
            </w:r>
            <w:r>
              <w:rPr>
                <w:noProof/>
                <w:webHidden/>
              </w:rPr>
              <w:fldChar w:fldCharType="end"/>
            </w:r>
          </w:hyperlink>
        </w:p>
        <w:p w14:paraId="7D4BE30C" w14:textId="2627F558"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3" w:history="1">
            <w:r w:rsidRPr="00674311">
              <w:rPr>
                <w:rStyle w:val="Hyperlink"/>
                <w:noProof/>
              </w:rPr>
              <w:t>5.4.</w:t>
            </w:r>
            <w:r>
              <w:rPr>
                <w:rFonts w:asciiTheme="minorHAnsi" w:eastAsiaTheme="minorEastAsia" w:hAnsiTheme="minorHAnsi" w:cstheme="minorBidi"/>
                <w:noProof/>
                <w:kern w:val="2"/>
                <w:sz w:val="24"/>
                <w:lang w:val="en-AU"/>
                <w14:ligatures w14:val="standardContextual"/>
              </w:rPr>
              <w:tab/>
            </w:r>
            <w:r w:rsidRPr="00674311">
              <w:rPr>
                <w:rStyle w:val="Hyperlink"/>
                <w:noProof/>
              </w:rPr>
              <w:t>Revoking eligibility during an assessment</w:t>
            </w:r>
            <w:r>
              <w:rPr>
                <w:noProof/>
                <w:webHidden/>
              </w:rPr>
              <w:tab/>
            </w:r>
            <w:r>
              <w:rPr>
                <w:noProof/>
                <w:webHidden/>
              </w:rPr>
              <w:fldChar w:fldCharType="begin"/>
            </w:r>
            <w:r>
              <w:rPr>
                <w:noProof/>
                <w:webHidden/>
              </w:rPr>
              <w:instrText xml:space="preserve"> PAGEREF _Toc224916643 \h </w:instrText>
            </w:r>
            <w:r>
              <w:rPr>
                <w:noProof/>
                <w:webHidden/>
              </w:rPr>
            </w:r>
            <w:r>
              <w:rPr>
                <w:noProof/>
                <w:webHidden/>
              </w:rPr>
              <w:fldChar w:fldCharType="separate"/>
            </w:r>
            <w:r w:rsidR="00F97942">
              <w:rPr>
                <w:noProof/>
                <w:webHidden/>
              </w:rPr>
              <w:t>126</w:t>
            </w:r>
            <w:r>
              <w:rPr>
                <w:noProof/>
                <w:webHidden/>
              </w:rPr>
              <w:fldChar w:fldCharType="end"/>
            </w:r>
          </w:hyperlink>
        </w:p>
        <w:p w14:paraId="63523ADE" w14:textId="0CA86D6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4" w:history="1">
            <w:r w:rsidRPr="00674311">
              <w:rPr>
                <w:rStyle w:val="Hyperlink"/>
                <w:noProof/>
              </w:rPr>
              <w:t>5.5.</w:t>
            </w:r>
            <w:r>
              <w:rPr>
                <w:rFonts w:asciiTheme="minorHAnsi" w:eastAsiaTheme="minorEastAsia" w:hAnsiTheme="minorHAnsi" w:cstheme="minorBidi"/>
                <w:noProof/>
                <w:kern w:val="2"/>
                <w:sz w:val="24"/>
                <w:lang w:val="en-AU"/>
                <w14:ligatures w14:val="standardContextual"/>
              </w:rPr>
              <w:tab/>
            </w:r>
            <w:r w:rsidRPr="00674311">
              <w:rPr>
                <w:rStyle w:val="Hyperlink"/>
                <w:noProof/>
              </w:rPr>
              <w:t>Assessment settings</w:t>
            </w:r>
            <w:r>
              <w:rPr>
                <w:noProof/>
                <w:webHidden/>
              </w:rPr>
              <w:tab/>
            </w:r>
            <w:r>
              <w:rPr>
                <w:noProof/>
                <w:webHidden/>
              </w:rPr>
              <w:fldChar w:fldCharType="begin"/>
            </w:r>
            <w:r>
              <w:rPr>
                <w:noProof/>
                <w:webHidden/>
              </w:rPr>
              <w:instrText xml:space="preserve"> PAGEREF _Toc224916644 \h </w:instrText>
            </w:r>
            <w:r>
              <w:rPr>
                <w:noProof/>
                <w:webHidden/>
              </w:rPr>
            </w:r>
            <w:r>
              <w:rPr>
                <w:noProof/>
                <w:webHidden/>
              </w:rPr>
              <w:fldChar w:fldCharType="separate"/>
            </w:r>
            <w:r w:rsidR="00F97942">
              <w:rPr>
                <w:noProof/>
                <w:webHidden/>
              </w:rPr>
              <w:t>126</w:t>
            </w:r>
            <w:r>
              <w:rPr>
                <w:noProof/>
                <w:webHidden/>
              </w:rPr>
              <w:fldChar w:fldCharType="end"/>
            </w:r>
          </w:hyperlink>
        </w:p>
        <w:p w14:paraId="64A94C0F" w14:textId="1E20F753"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5" w:history="1">
            <w:r w:rsidRPr="00674311">
              <w:rPr>
                <w:rStyle w:val="Hyperlink"/>
                <w:noProof/>
              </w:rPr>
              <w:t>5.6.</w:t>
            </w:r>
            <w:r>
              <w:rPr>
                <w:rFonts w:asciiTheme="minorHAnsi" w:eastAsiaTheme="minorEastAsia" w:hAnsiTheme="minorHAnsi" w:cstheme="minorBidi"/>
                <w:noProof/>
                <w:kern w:val="2"/>
                <w:sz w:val="24"/>
                <w:lang w:val="en-AU"/>
                <w14:ligatures w14:val="standardContextual"/>
              </w:rPr>
              <w:tab/>
            </w:r>
            <w:r w:rsidRPr="00674311">
              <w:rPr>
                <w:rStyle w:val="Hyperlink"/>
                <w:noProof/>
              </w:rPr>
              <w:t>Commencing the Assessment</w:t>
            </w:r>
            <w:r>
              <w:rPr>
                <w:noProof/>
                <w:webHidden/>
              </w:rPr>
              <w:tab/>
            </w:r>
            <w:r>
              <w:rPr>
                <w:noProof/>
                <w:webHidden/>
              </w:rPr>
              <w:fldChar w:fldCharType="begin"/>
            </w:r>
            <w:r>
              <w:rPr>
                <w:noProof/>
                <w:webHidden/>
              </w:rPr>
              <w:instrText xml:space="preserve"> PAGEREF _Toc224916645 \h </w:instrText>
            </w:r>
            <w:r>
              <w:rPr>
                <w:noProof/>
                <w:webHidden/>
              </w:rPr>
            </w:r>
            <w:r>
              <w:rPr>
                <w:noProof/>
                <w:webHidden/>
              </w:rPr>
              <w:fldChar w:fldCharType="separate"/>
            </w:r>
            <w:r w:rsidR="00F97942">
              <w:rPr>
                <w:noProof/>
                <w:webHidden/>
              </w:rPr>
              <w:t>128</w:t>
            </w:r>
            <w:r>
              <w:rPr>
                <w:noProof/>
                <w:webHidden/>
              </w:rPr>
              <w:fldChar w:fldCharType="end"/>
            </w:r>
          </w:hyperlink>
        </w:p>
        <w:p w14:paraId="4DD7CD7D" w14:textId="7525DEA0"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6" w:history="1">
            <w:r w:rsidRPr="00674311">
              <w:rPr>
                <w:rStyle w:val="Hyperlink"/>
                <w:noProof/>
              </w:rPr>
              <w:t>5.7.</w:t>
            </w:r>
            <w:r>
              <w:rPr>
                <w:rFonts w:asciiTheme="minorHAnsi" w:eastAsiaTheme="minorEastAsia" w:hAnsiTheme="minorHAnsi" w:cstheme="minorBidi"/>
                <w:noProof/>
                <w:kern w:val="2"/>
                <w:sz w:val="24"/>
                <w:lang w:val="en-AU"/>
                <w14:ligatures w14:val="standardContextual"/>
              </w:rPr>
              <w:tab/>
            </w:r>
            <w:r w:rsidRPr="00674311">
              <w:rPr>
                <w:rStyle w:val="Hyperlink"/>
                <w:noProof/>
              </w:rPr>
              <w:t>Undertaking an assessment using the Integrated Assessment Tool</w:t>
            </w:r>
            <w:r>
              <w:rPr>
                <w:noProof/>
                <w:webHidden/>
              </w:rPr>
              <w:tab/>
            </w:r>
            <w:r>
              <w:rPr>
                <w:noProof/>
                <w:webHidden/>
              </w:rPr>
              <w:fldChar w:fldCharType="begin"/>
            </w:r>
            <w:r>
              <w:rPr>
                <w:noProof/>
                <w:webHidden/>
              </w:rPr>
              <w:instrText xml:space="preserve"> PAGEREF _Toc224916646 \h </w:instrText>
            </w:r>
            <w:r>
              <w:rPr>
                <w:noProof/>
                <w:webHidden/>
              </w:rPr>
            </w:r>
            <w:r>
              <w:rPr>
                <w:noProof/>
                <w:webHidden/>
              </w:rPr>
              <w:fldChar w:fldCharType="separate"/>
            </w:r>
            <w:r w:rsidR="00F97942">
              <w:rPr>
                <w:noProof/>
                <w:webHidden/>
              </w:rPr>
              <w:t>133</w:t>
            </w:r>
            <w:r>
              <w:rPr>
                <w:noProof/>
                <w:webHidden/>
              </w:rPr>
              <w:fldChar w:fldCharType="end"/>
            </w:r>
          </w:hyperlink>
        </w:p>
        <w:p w14:paraId="6AF31FC8" w14:textId="0296B2AF"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7" w:history="1">
            <w:r w:rsidRPr="00674311">
              <w:rPr>
                <w:rStyle w:val="Hyperlink"/>
                <w:noProof/>
              </w:rPr>
              <w:t>5.8.</w:t>
            </w:r>
            <w:r>
              <w:rPr>
                <w:rFonts w:asciiTheme="minorHAnsi" w:eastAsiaTheme="minorEastAsia" w:hAnsiTheme="minorHAnsi" w:cstheme="minorBidi"/>
                <w:noProof/>
                <w:kern w:val="2"/>
                <w:sz w:val="24"/>
                <w:lang w:val="en-AU"/>
                <w14:ligatures w14:val="standardContextual"/>
              </w:rPr>
              <w:tab/>
            </w:r>
            <w:r w:rsidRPr="00674311">
              <w:rPr>
                <w:rStyle w:val="Hyperlink"/>
                <w:noProof/>
              </w:rPr>
              <w:t>Converting a home support assessment to a comprehensive assessment</w:t>
            </w:r>
            <w:r>
              <w:rPr>
                <w:noProof/>
                <w:webHidden/>
              </w:rPr>
              <w:tab/>
            </w:r>
            <w:r>
              <w:rPr>
                <w:noProof/>
                <w:webHidden/>
              </w:rPr>
              <w:fldChar w:fldCharType="begin"/>
            </w:r>
            <w:r>
              <w:rPr>
                <w:noProof/>
                <w:webHidden/>
              </w:rPr>
              <w:instrText xml:space="preserve"> PAGEREF _Toc224916647 \h </w:instrText>
            </w:r>
            <w:r>
              <w:rPr>
                <w:noProof/>
                <w:webHidden/>
              </w:rPr>
            </w:r>
            <w:r>
              <w:rPr>
                <w:noProof/>
                <w:webHidden/>
              </w:rPr>
              <w:fldChar w:fldCharType="separate"/>
            </w:r>
            <w:r w:rsidR="00F97942">
              <w:rPr>
                <w:noProof/>
                <w:webHidden/>
              </w:rPr>
              <w:t>153</w:t>
            </w:r>
            <w:r>
              <w:rPr>
                <w:noProof/>
                <w:webHidden/>
              </w:rPr>
              <w:fldChar w:fldCharType="end"/>
            </w:r>
          </w:hyperlink>
        </w:p>
        <w:p w14:paraId="0C1720AA" w14:textId="596FA4A0"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48" w:history="1">
            <w:r w:rsidRPr="00674311">
              <w:rPr>
                <w:rStyle w:val="Hyperlink"/>
                <w:noProof/>
              </w:rPr>
              <w:t>5.9.</w:t>
            </w:r>
            <w:r>
              <w:rPr>
                <w:rFonts w:asciiTheme="minorHAnsi" w:eastAsiaTheme="minorEastAsia" w:hAnsiTheme="minorHAnsi" w:cstheme="minorBidi"/>
                <w:noProof/>
                <w:kern w:val="2"/>
                <w:sz w:val="24"/>
                <w:lang w:val="en-AU"/>
                <w14:ligatures w14:val="standardContextual"/>
              </w:rPr>
              <w:tab/>
            </w:r>
            <w:r w:rsidRPr="00674311">
              <w:rPr>
                <w:rStyle w:val="Hyperlink"/>
                <w:noProof/>
              </w:rPr>
              <w:t>Developing a high-quality support plan</w:t>
            </w:r>
            <w:r>
              <w:rPr>
                <w:noProof/>
                <w:webHidden/>
              </w:rPr>
              <w:tab/>
            </w:r>
            <w:r>
              <w:rPr>
                <w:noProof/>
                <w:webHidden/>
              </w:rPr>
              <w:fldChar w:fldCharType="begin"/>
            </w:r>
            <w:r>
              <w:rPr>
                <w:noProof/>
                <w:webHidden/>
              </w:rPr>
              <w:instrText xml:space="preserve"> PAGEREF _Toc224916648 \h </w:instrText>
            </w:r>
            <w:r>
              <w:rPr>
                <w:noProof/>
                <w:webHidden/>
              </w:rPr>
            </w:r>
            <w:r>
              <w:rPr>
                <w:noProof/>
                <w:webHidden/>
              </w:rPr>
              <w:fldChar w:fldCharType="separate"/>
            </w:r>
            <w:r w:rsidR="00F97942">
              <w:rPr>
                <w:noProof/>
                <w:webHidden/>
              </w:rPr>
              <w:t>154</w:t>
            </w:r>
            <w:r>
              <w:rPr>
                <w:noProof/>
                <w:webHidden/>
              </w:rPr>
              <w:fldChar w:fldCharType="end"/>
            </w:r>
          </w:hyperlink>
        </w:p>
        <w:p w14:paraId="6E4CC789" w14:textId="71A5A91F"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49" w:history="1">
            <w:r w:rsidRPr="00674311">
              <w:rPr>
                <w:rStyle w:val="Hyperlink"/>
                <w:noProof/>
              </w:rPr>
              <w:t>5.10.</w:t>
            </w:r>
            <w:r>
              <w:rPr>
                <w:rFonts w:asciiTheme="minorHAnsi" w:eastAsiaTheme="minorEastAsia" w:hAnsiTheme="minorHAnsi" w:cstheme="minorBidi"/>
                <w:noProof/>
                <w:kern w:val="2"/>
                <w:sz w:val="24"/>
                <w:lang w:val="en-AU"/>
                <w14:ligatures w14:val="standardContextual"/>
              </w:rPr>
              <w:tab/>
            </w:r>
            <w:r w:rsidRPr="00674311">
              <w:rPr>
                <w:rStyle w:val="Hyperlink"/>
                <w:noProof/>
              </w:rPr>
              <w:t>Wellness and reablement approach</w:t>
            </w:r>
            <w:r>
              <w:rPr>
                <w:noProof/>
                <w:webHidden/>
              </w:rPr>
              <w:tab/>
            </w:r>
            <w:r>
              <w:rPr>
                <w:noProof/>
                <w:webHidden/>
              </w:rPr>
              <w:fldChar w:fldCharType="begin"/>
            </w:r>
            <w:r>
              <w:rPr>
                <w:noProof/>
                <w:webHidden/>
              </w:rPr>
              <w:instrText xml:space="preserve"> PAGEREF _Toc224916649 \h </w:instrText>
            </w:r>
            <w:r>
              <w:rPr>
                <w:noProof/>
                <w:webHidden/>
              </w:rPr>
            </w:r>
            <w:r>
              <w:rPr>
                <w:noProof/>
                <w:webHidden/>
              </w:rPr>
              <w:fldChar w:fldCharType="separate"/>
            </w:r>
            <w:r w:rsidR="00F97942">
              <w:rPr>
                <w:noProof/>
                <w:webHidden/>
              </w:rPr>
              <w:t>158</w:t>
            </w:r>
            <w:r>
              <w:rPr>
                <w:noProof/>
                <w:webHidden/>
              </w:rPr>
              <w:fldChar w:fldCharType="end"/>
            </w:r>
          </w:hyperlink>
        </w:p>
        <w:p w14:paraId="128FD24D" w14:textId="2CDCA000"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50" w:history="1">
            <w:r w:rsidRPr="00674311">
              <w:rPr>
                <w:rStyle w:val="Hyperlink"/>
                <w:noProof/>
              </w:rPr>
              <w:t>5.11.</w:t>
            </w:r>
            <w:r>
              <w:rPr>
                <w:rFonts w:asciiTheme="minorHAnsi" w:eastAsiaTheme="minorEastAsia" w:hAnsiTheme="minorHAnsi" w:cstheme="minorBidi"/>
                <w:noProof/>
                <w:kern w:val="2"/>
                <w:sz w:val="24"/>
                <w:lang w:val="en-AU"/>
                <w14:ligatures w14:val="standardContextual"/>
              </w:rPr>
              <w:tab/>
            </w:r>
            <w:r w:rsidRPr="00674311">
              <w:rPr>
                <w:rStyle w:val="Hyperlink"/>
                <w:noProof/>
              </w:rPr>
              <w:t>Vulnerable older people relating to aged care services</w:t>
            </w:r>
            <w:r>
              <w:rPr>
                <w:noProof/>
                <w:webHidden/>
              </w:rPr>
              <w:tab/>
            </w:r>
            <w:r>
              <w:rPr>
                <w:noProof/>
                <w:webHidden/>
              </w:rPr>
              <w:fldChar w:fldCharType="begin"/>
            </w:r>
            <w:r>
              <w:rPr>
                <w:noProof/>
                <w:webHidden/>
              </w:rPr>
              <w:instrText xml:space="preserve"> PAGEREF _Toc224916650 \h </w:instrText>
            </w:r>
            <w:r>
              <w:rPr>
                <w:noProof/>
                <w:webHidden/>
              </w:rPr>
            </w:r>
            <w:r>
              <w:rPr>
                <w:noProof/>
                <w:webHidden/>
              </w:rPr>
              <w:fldChar w:fldCharType="separate"/>
            </w:r>
            <w:r w:rsidR="00F97942">
              <w:rPr>
                <w:noProof/>
                <w:webHidden/>
              </w:rPr>
              <w:t>166</w:t>
            </w:r>
            <w:r>
              <w:rPr>
                <w:noProof/>
                <w:webHidden/>
              </w:rPr>
              <w:fldChar w:fldCharType="end"/>
            </w:r>
          </w:hyperlink>
        </w:p>
        <w:p w14:paraId="32838D72" w14:textId="4E56ED98"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51" w:history="1">
            <w:r w:rsidRPr="00674311">
              <w:rPr>
                <w:rStyle w:val="Hyperlink"/>
                <w:noProof/>
              </w:rPr>
              <w:t>5.12.</w:t>
            </w:r>
            <w:r>
              <w:rPr>
                <w:rFonts w:asciiTheme="minorHAnsi" w:eastAsiaTheme="minorEastAsia" w:hAnsiTheme="minorHAnsi" w:cstheme="minorBidi"/>
                <w:noProof/>
                <w:kern w:val="2"/>
                <w:sz w:val="24"/>
                <w:lang w:val="en-AU"/>
                <w14:ligatures w14:val="standardContextual"/>
              </w:rPr>
              <w:tab/>
            </w:r>
            <w:r w:rsidRPr="00674311">
              <w:rPr>
                <w:rStyle w:val="Hyperlink"/>
                <w:noProof/>
              </w:rPr>
              <w:t>Recommending aged care services</w:t>
            </w:r>
            <w:r>
              <w:rPr>
                <w:noProof/>
                <w:webHidden/>
              </w:rPr>
              <w:tab/>
            </w:r>
            <w:r>
              <w:rPr>
                <w:noProof/>
                <w:webHidden/>
              </w:rPr>
              <w:fldChar w:fldCharType="begin"/>
            </w:r>
            <w:r>
              <w:rPr>
                <w:noProof/>
                <w:webHidden/>
              </w:rPr>
              <w:instrText xml:space="preserve"> PAGEREF _Toc224916651 \h </w:instrText>
            </w:r>
            <w:r>
              <w:rPr>
                <w:noProof/>
                <w:webHidden/>
              </w:rPr>
            </w:r>
            <w:r>
              <w:rPr>
                <w:noProof/>
                <w:webHidden/>
              </w:rPr>
              <w:fldChar w:fldCharType="separate"/>
            </w:r>
            <w:r w:rsidR="00F97942">
              <w:rPr>
                <w:noProof/>
                <w:webHidden/>
              </w:rPr>
              <w:t>168</w:t>
            </w:r>
            <w:r>
              <w:rPr>
                <w:noProof/>
                <w:webHidden/>
              </w:rPr>
              <w:fldChar w:fldCharType="end"/>
            </w:r>
          </w:hyperlink>
        </w:p>
        <w:p w14:paraId="7BD60E1A" w14:textId="4267AB66"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52" w:history="1">
            <w:r w:rsidRPr="00674311">
              <w:rPr>
                <w:rStyle w:val="Hyperlink"/>
                <w:noProof/>
              </w:rPr>
              <w:t>5.13.</w:t>
            </w:r>
            <w:r>
              <w:rPr>
                <w:rFonts w:asciiTheme="minorHAnsi" w:eastAsiaTheme="minorEastAsia" w:hAnsiTheme="minorHAnsi" w:cstheme="minorBidi"/>
                <w:noProof/>
                <w:kern w:val="2"/>
                <w:sz w:val="24"/>
                <w:lang w:val="en-AU"/>
                <w14:ligatures w14:val="standardContextual"/>
              </w:rPr>
              <w:tab/>
            </w:r>
            <w:r w:rsidRPr="00674311">
              <w:rPr>
                <w:rStyle w:val="Hyperlink"/>
                <w:noProof/>
              </w:rPr>
              <w:t>Review of Support Plan</w:t>
            </w:r>
            <w:r>
              <w:rPr>
                <w:noProof/>
                <w:webHidden/>
              </w:rPr>
              <w:tab/>
            </w:r>
            <w:r>
              <w:rPr>
                <w:noProof/>
                <w:webHidden/>
              </w:rPr>
              <w:fldChar w:fldCharType="begin"/>
            </w:r>
            <w:r>
              <w:rPr>
                <w:noProof/>
                <w:webHidden/>
              </w:rPr>
              <w:instrText xml:space="preserve"> PAGEREF _Toc224916652 \h </w:instrText>
            </w:r>
            <w:r>
              <w:rPr>
                <w:noProof/>
                <w:webHidden/>
              </w:rPr>
            </w:r>
            <w:r>
              <w:rPr>
                <w:noProof/>
                <w:webHidden/>
              </w:rPr>
              <w:fldChar w:fldCharType="separate"/>
            </w:r>
            <w:r w:rsidR="00F97942">
              <w:rPr>
                <w:noProof/>
                <w:webHidden/>
              </w:rPr>
              <w:t>171</w:t>
            </w:r>
            <w:r>
              <w:rPr>
                <w:noProof/>
                <w:webHidden/>
              </w:rPr>
              <w:fldChar w:fldCharType="end"/>
            </w:r>
          </w:hyperlink>
        </w:p>
        <w:p w14:paraId="5DE7E46B" w14:textId="625448A8"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53" w:history="1">
            <w:r w:rsidRPr="00674311">
              <w:rPr>
                <w:rStyle w:val="Hyperlink"/>
                <w:noProof/>
              </w:rPr>
              <w:t>5.14.</w:t>
            </w:r>
            <w:r>
              <w:rPr>
                <w:rFonts w:asciiTheme="minorHAnsi" w:eastAsiaTheme="minorEastAsia" w:hAnsiTheme="minorHAnsi" w:cstheme="minorBidi"/>
                <w:noProof/>
                <w:kern w:val="2"/>
                <w:sz w:val="24"/>
                <w:lang w:val="en-AU"/>
                <w14:ligatures w14:val="standardContextual"/>
              </w:rPr>
              <w:tab/>
            </w:r>
            <w:r w:rsidRPr="00674311">
              <w:rPr>
                <w:rStyle w:val="Hyperlink"/>
                <w:noProof/>
              </w:rPr>
              <w:t>Assessment wrap-up</w:t>
            </w:r>
            <w:r>
              <w:rPr>
                <w:noProof/>
                <w:webHidden/>
              </w:rPr>
              <w:tab/>
            </w:r>
            <w:r>
              <w:rPr>
                <w:noProof/>
                <w:webHidden/>
              </w:rPr>
              <w:fldChar w:fldCharType="begin"/>
            </w:r>
            <w:r>
              <w:rPr>
                <w:noProof/>
                <w:webHidden/>
              </w:rPr>
              <w:instrText xml:space="preserve"> PAGEREF _Toc224916653 \h </w:instrText>
            </w:r>
            <w:r>
              <w:rPr>
                <w:noProof/>
                <w:webHidden/>
              </w:rPr>
            </w:r>
            <w:r>
              <w:rPr>
                <w:noProof/>
                <w:webHidden/>
              </w:rPr>
              <w:fldChar w:fldCharType="separate"/>
            </w:r>
            <w:r w:rsidR="00F97942">
              <w:rPr>
                <w:noProof/>
                <w:webHidden/>
              </w:rPr>
              <w:t>172</w:t>
            </w:r>
            <w:r>
              <w:rPr>
                <w:noProof/>
                <w:webHidden/>
              </w:rPr>
              <w:fldChar w:fldCharType="end"/>
            </w:r>
          </w:hyperlink>
        </w:p>
        <w:p w14:paraId="2432C925" w14:textId="43E61F49"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54" w:history="1">
            <w:r w:rsidRPr="00674311">
              <w:rPr>
                <w:rStyle w:val="Hyperlink"/>
                <w:noProof/>
              </w:rPr>
              <w:t>6.</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6: Aged care programs</w:t>
            </w:r>
            <w:r>
              <w:rPr>
                <w:noProof/>
                <w:webHidden/>
              </w:rPr>
              <w:tab/>
            </w:r>
            <w:r>
              <w:rPr>
                <w:noProof/>
                <w:webHidden/>
              </w:rPr>
              <w:fldChar w:fldCharType="begin"/>
            </w:r>
            <w:r>
              <w:rPr>
                <w:noProof/>
                <w:webHidden/>
              </w:rPr>
              <w:instrText xml:space="preserve"> PAGEREF _Toc224916654 \h </w:instrText>
            </w:r>
            <w:r>
              <w:rPr>
                <w:noProof/>
                <w:webHidden/>
              </w:rPr>
            </w:r>
            <w:r>
              <w:rPr>
                <w:noProof/>
                <w:webHidden/>
              </w:rPr>
              <w:fldChar w:fldCharType="separate"/>
            </w:r>
            <w:r w:rsidR="00F97942">
              <w:rPr>
                <w:noProof/>
                <w:webHidden/>
              </w:rPr>
              <w:t>174</w:t>
            </w:r>
            <w:r>
              <w:rPr>
                <w:noProof/>
                <w:webHidden/>
              </w:rPr>
              <w:fldChar w:fldCharType="end"/>
            </w:r>
          </w:hyperlink>
        </w:p>
        <w:p w14:paraId="4B5B55F9" w14:textId="4F945C5F"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55" w:history="1">
            <w:r w:rsidRPr="00674311">
              <w:rPr>
                <w:rStyle w:val="Hyperlink"/>
                <w:noProof/>
              </w:rPr>
              <w:t>6.1.</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 at Home - ongoing classifications 1-8</w:t>
            </w:r>
            <w:r>
              <w:rPr>
                <w:noProof/>
                <w:webHidden/>
              </w:rPr>
              <w:tab/>
            </w:r>
            <w:r>
              <w:rPr>
                <w:noProof/>
                <w:webHidden/>
              </w:rPr>
              <w:fldChar w:fldCharType="begin"/>
            </w:r>
            <w:r>
              <w:rPr>
                <w:noProof/>
                <w:webHidden/>
              </w:rPr>
              <w:instrText xml:space="preserve"> PAGEREF _Toc224916655 \h </w:instrText>
            </w:r>
            <w:r>
              <w:rPr>
                <w:noProof/>
                <w:webHidden/>
              </w:rPr>
            </w:r>
            <w:r>
              <w:rPr>
                <w:noProof/>
                <w:webHidden/>
              </w:rPr>
              <w:fldChar w:fldCharType="separate"/>
            </w:r>
            <w:r w:rsidR="00F97942">
              <w:rPr>
                <w:noProof/>
                <w:webHidden/>
              </w:rPr>
              <w:t>174</w:t>
            </w:r>
            <w:r>
              <w:rPr>
                <w:noProof/>
                <w:webHidden/>
              </w:rPr>
              <w:fldChar w:fldCharType="end"/>
            </w:r>
          </w:hyperlink>
        </w:p>
        <w:p w14:paraId="09FE20E1" w14:textId="1FDA112A"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56" w:history="1">
            <w:r w:rsidRPr="00674311">
              <w:rPr>
                <w:rStyle w:val="Hyperlink"/>
                <w:noProof/>
              </w:rPr>
              <w:t>6.2.</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 at Home - Restorative Care Pathway</w:t>
            </w:r>
            <w:r>
              <w:rPr>
                <w:noProof/>
                <w:webHidden/>
              </w:rPr>
              <w:tab/>
            </w:r>
            <w:r>
              <w:rPr>
                <w:noProof/>
                <w:webHidden/>
              </w:rPr>
              <w:fldChar w:fldCharType="begin"/>
            </w:r>
            <w:r>
              <w:rPr>
                <w:noProof/>
                <w:webHidden/>
              </w:rPr>
              <w:instrText xml:space="preserve"> PAGEREF _Toc224916656 \h </w:instrText>
            </w:r>
            <w:r>
              <w:rPr>
                <w:noProof/>
                <w:webHidden/>
              </w:rPr>
            </w:r>
            <w:r>
              <w:rPr>
                <w:noProof/>
                <w:webHidden/>
              </w:rPr>
              <w:fldChar w:fldCharType="separate"/>
            </w:r>
            <w:r w:rsidR="00F97942">
              <w:rPr>
                <w:noProof/>
                <w:webHidden/>
              </w:rPr>
              <w:t>178</w:t>
            </w:r>
            <w:r>
              <w:rPr>
                <w:noProof/>
                <w:webHidden/>
              </w:rPr>
              <w:fldChar w:fldCharType="end"/>
            </w:r>
          </w:hyperlink>
        </w:p>
        <w:p w14:paraId="75400F08" w14:textId="7436C99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57" w:history="1">
            <w:r w:rsidRPr="00674311">
              <w:rPr>
                <w:rStyle w:val="Hyperlink"/>
                <w:noProof/>
              </w:rPr>
              <w:t>6.3.</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 at Home - End-of-Life Pathway</w:t>
            </w:r>
            <w:r>
              <w:rPr>
                <w:noProof/>
                <w:webHidden/>
              </w:rPr>
              <w:tab/>
            </w:r>
            <w:r>
              <w:rPr>
                <w:noProof/>
                <w:webHidden/>
              </w:rPr>
              <w:fldChar w:fldCharType="begin"/>
            </w:r>
            <w:r>
              <w:rPr>
                <w:noProof/>
                <w:webHidden/>
              </w:rPr>
              <w:instrText xml:space="preserve"> PAGEREF _Toc224916657 \h </w:instrText>
            </w:r>
            <w:r>
              <w:rPr>
                <w:noProof/>
                <w:webHidden/>
              </w:rPr>
            </w:r>
            <w:r>
              <w:rPr>
                <w:noProof/>
                <w:webHidden/>
              </w:rPr>
              <w:fldChar w:fldCharType="separate"/>
            </w:r>
            <w:r w:rsidR="00F97942">
              <w:rPr>
                <w:noProof/>
                <w:webHidden/>
              </w:rPr>
              <w:t>189</w:t>
            </w:r>
            <w:r>
              <w:rPr>
                <w:noProof/>
                <w:webHidden/>
              </w:rPr>
              <w:fldChar w:fldCharType="end"/>
            </w:r>
          </w:hyperlink>
        </w:p>
        <w:p w14:paraId="358DA80F" w14:textId="4618F4C3"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58" w:history="1">
            <w:r w:rsidRPr="00674311">
              <w:rPr>
                <w:rStyle w:val="Hyperlink"/>
                <w:noProof/>
              </w:rPr>
              <w:t>6.4.</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 at Home – Assistive Technology and Home Modifications (AT-HM) scheme</w:t>
            </w:r>
            <w:r>
              <w:rPr>
                <w:noProof/>
                <w:webHidden/>
              </w:rPr>
              <w:tab/>
            </w:r>
            <w:r>
              <w:rPr>
                <w:noProof/>
                <w:webHidden/>
              </w:rPr>
              <w:fldChar w:fldCharType="begin"/>
            </w:r>
            <w:r>
              <w:rPr>
                <w:noProof/>
                <w:webHidden/>
              </w:rPr>
              <w:instrText xml:space="preserve"> PAGEREF _Toc224916658 \h </w:instrText>
            </w:r>
            <w:r>
              <w:rPr>
                <w:noProof/>
                <w:webHidden/>
              </w:rPr>
            </w:r>
            <w:r>
              <w:rPr>
                <w:noProof/>
                <w:webHidden/>
              </w:rPr>
              <w:fldChar w:fldCharType="separate"/>
            </w:r>
            <w:r w:rsidR="00F97942">
              <w:rPr>
                <w:noProof/>
                <w:webHidden/>
              </w:rPr>
              <w:t>193</w:t>
            </w:r>
            <w:r>
              <w:rPr>
                <w:noProof/>
                <w:webHidden/>
              </w:rPr>
              <w:fldChar w:fldCharType="end"/>
            </w:r>
          </w:hyperlink>
        </w:p>
        <w:p w14:paraId="16750E8F" w14:textId="3A1BFFC8"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59" w:history="1">
            <w:r w:rsidRPr="00674311">
              <w:rPr>
                <w:rStyle w:val="Hyperlink"/>
                <w:noProof/>
              </w:rPr>
              <w:t>6.5.</w:t>
            </w:r>
            <w:r>
              <w:rPr>
                <w:rFonts w:asciiTheme="minorHAnsi" w:eastAsiaTheme="minorEastAsia" w:hAnsiTheme="minorHAnsi" w:cstheme="minorBidi"/>
                <w:noProof/>
                <w:kern w:val="2"/>
                <w:sz w:val="24"/>
                <w:lang w:val="en-AU"/>
                <w14:ligatures w14:val="standardContextual"/>
              </w:rPr>
              <w:tab/>
            </w:r>
            <w:r w:rsidRPr="00674311">
              <w:rPr>
                <w:rStyle w:val="Hyperlink"/>
                <w:noProof/>
              </w:rPr>
              <w:t>Commonwealth Home Support Program (CHSP)</w:t>
            </w:r>
            <w:r>
              <w:rPr>
                <w:noProof/>
                <w:webHidden/>
              </w:rPr>
              <w:tab/>
            </w:r>
            <w:r>
              <w:rPr>
                <w:noProof/>
                <w:webHidden/>
              </w:rPr>
              <w:fldChar w:fldCharType="begin"/>
            </w:r>
            <w:r>
              <w:rPr>
                <w:noProof/>
                <w:webHidden/>
              </w:rPr>
              <w:instrText xml:space="preserve"> PAGEREF _Toc224916659 \h </w:instrText>
            </w:r>
            <w:r>
              <w:rPr>
                <w:noProof/>
                <w:webHidden/>
              </w:rPr>
            </w:r>
            <w:r>
              <w:rPr>
                <w:noProof/>
                <w:webHidden/>
              </w:rPr>
              <w:fldChar w:fldCharType="separate"/>
            </w:r>
            <w:r w:rsidR="00F97942">
              <w:rPr>
                <w:noProof/>
                <w:webHidden/>
              </w:rPr>
              <w:t>206</w:t>
            </w:r>
            <w:r>
              <w:rPr>
                <w:noProof/>
                <w:webHidden/>
              </w:rPr>
              <w:fldChar w:fldCharType="end"/>
            </w:r>
          </w:hyperlink>
        </w:p>
        <w:p w14:paraId="23BC45E3" w14:textId="5DB441DD"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0" w:history="1">
            <w:r w:rsidRPr="00674311">
              <w:rPr>
                <w:rStyle w:val="Hyperlink"/>
                <w:noProof/>
              </w:rPr>
              <w:t>6.6.</w:t>
            </w:r>
            <w:r>
              <w:rPr>
                <w:rFonts w:asciiTheme="minorHAnsi" w:eastAsiaTheme="minorEastAsia" w:hAnsiTheme="minorHAnsi" w:cstheme="minorBidi"/>
                <w:noProof/>
                <w:kern w:val="2"/>
                <w:sz w:val="24"/>
                <w:lang w:val="en-AU"/>
                <w14:ligatures w14:val="standardContextual"/>
              </w:rPr>
              <w:tab/>
            </w:r>
            <w:r w:rsidRPr="00674311">
              <w:rPr>
                <w:rStyle w:val="Hyperlink"/>
                <w:noProof/>
              </w:rPr>
              <w:t>National Aboriginal and Torres Strait Islander Flexible Aged Care Program (NATSIFACP)</w:t>
            </w:r>
            <w:r>
              <w:rPr>
                <w:noProof/>
                <w:webHidden/>
              </w:rPr>
              <w:tab/>
            </w:r>
            <w:r>
              <w:rPr>
                <w:noProof/>
                <w:webHidden/>
              </w:rPr>
              <w:fldChar w:fldCharType="begin"/>
            </w:r>
            <w:r>
              <w:rPr>
                <w:noProof/>
                <w:webHidden/>
              </w:rPr>
              <w:instrText xml:space="preserve"> PAGEREF _Toc224916660 \h </w:instrText>
            </w:r>
            <w:r>
              <w:rPr>
                <w:noProof/>
                <w:webHidden/>
              </w:rPr>
            </w:r>
            <w:r>
              <w:rPr>
                <w:noProof/>
                <w:webHidden/>
              </w:rPr>
              <w:fldChar w:fldCharType="separate"/>
            </w:r>
            <w:r w:rsidR="00F97942">
              <w:rPr>
                <w:noProof/>
                <w:webHidden/>
              </w:rPr>
              <w:t>214</w:t>
            </w:r>
            <w:r>
              <w:rPr>
                <w:noProof/>
                <w:webHidden/>
              </w:rPr>
              <w:fldChar w:fldCharType="end"/>
            </w:r>
          </w:hyperlink>
        </w:p>
        <w:p w14:paraId="08D1E950" w14:textId="759121D8"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1" w:history="1">
            <w:r w:rsidRPr="00674311">
              <w:rPr>
                <w:rStyle w:val="Hyperlink"/>
                <w:noProof/>
              </w:rPr>
              <w:t>6.7.</w:t>
            </w:r>
            <w:r>
              <w:rPr>
                <w:rFonts w:asciiTheme="minorHAnsi" w:eastAsiaTheme="minorEastAsia" w:hAnsiTheme="minorHAnsi" w:cstheme="minorBidi"/>
                <w:noProof/>
                <w:kern w:val="2"/>
                <w:sz w:val="24"/>
                <w:lang w:val="en-AU"/>
                <w14:ligatures w14:val="standardContextual"/>
              </w:rPr>
              <w:tab/>
            </w:r>
            <w:r w:rsidRPr="00674311">
              <w:rPr>
                <w:rStyle w:val="Hyperlink"/>
                <w:noProof/>
              </w:rPr>
              <w:t>Multi-Purpose Service Program (MPSP)</w:t>
            </w:r>
            <w:r>
              <w:rPr>
                <w:noProof/>
                <w:webHidden/>
              </w:rPr>
              <w:tab/>
            </w:r>
            <w:r>
              <w:rPr>
                <w:noProof/>
                <w:webHidden/>
              </w:rPr>
              <w:fldChar w:fldCharType="begin"/>
            </w:r>
            <w:r>
              <w:rPr>
                <w:noProof/>
                <w:webHidden/>
              </w:rPr>
              <w:instrText xml:space="preserve"> PAGEREF _Toc224916661 \h </w:instrText>
            </w:r>
            <w:r>
              <w:rPr>
                <w:noProof/>
                <w:webHidden/>
              </w:rPr>
            </w:r>
            <w:r>
              <w:rPr>
                <w:noProof/>
                <w:webHidden/>
              </w:rPr>
              <w:fldChar w:fldCharType="separate"/>
            </w:r>
            <w:r w:rsidR="00F97942">
              <w:rPr>
                <w:noProof/>
                <w:webHidden/>
              </w:rPr>
              <w:t>216</w:t>
            </w:r>
            <w:r>
              <w:rPr>
                <w:noProof/>
                <w:webHidden/>
              </w:rPr>
              <w:fldChar w:fldCharType="end"/>
            </w:r>
          </w:hyperlink>
        </w:p>
        <w:p w14:paraId="77F05F5A" w14:textId="463111E9"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2" w:history="1">
            <w:r w:rsidRPr="00674311">
              <w:rPr>
                <w:rStyle w:val="Hyperlink"/>
                <w:noProof/>
              </w:rPr>
              <w:t>6.8.</w:t>
            </w:r>
            <w:r>
              <w:rPr>
                <w:rFonts w:asciiTheme="minorHAnsi" w:eastAsiaTheme="minorEastAsia" w:hAnsiTheme="minorHAnsi" w:cstheme="minorBidi"/>
                <w:noProof/>
                <w:kern w:val="2"/>
                <w:sz w:val="24"/>
                <w:lang w:val="en-AU"/>
                <w14:ligatures w14:val="standardContextual"/>
              </w:rPr>
              <w:tab/>
            </w:r>
            <w:r w:rsidRPr="00674311">
              <w:rPr>
                <w:rStyle w:val="Hyperlink"/>
                <w:noProof/>
              </w:rPr>
              <w:t>Transition Care Program (TCP)</w:t>
            </w:r>
            <w:r>
              <w:rPr>
                <w:noProof/>
                <w:webHidden/>
              </w:rPr>
              <w:tab/>
            </w:r>
            <w:r>
              <w:rPr>
                <w:noProof/>
                <w:webHidden/>
              </w:rPr>
              <w:fldChar w:fldCharType="begin"/>
            </w:r>
            <w:r>
              <w:rPr>
                <w:noProof/>
                <w:webHidden/>
              </w:rPr>
              <w:instrText xml:space="preserve"> PAGEREF _Toc224916662 \h </w:instrText>
            </w:r>
            <w:r>
              <w:rPr>
                <w:noProof/>
                <w:webHidden/>
              </w:rPr>
            </w:r>
            <w:r>
              <w:rPr>
                <w:noProof/>
                <w:webHidden/>
              </w:rPr>
              <w:fldChar w:fldCharType="separate"/>
            </w:r>
            <w:r w:rsidR="00F97942">
              <w:rPr>
                <w:noProof/>
                <w:webHidden/>
              </w:rPr>
              <w:t>218</w:t>
            </w:r>
            <w:r>
              <w:rPr>
                <w:noProof/>
                <w:webHidden/>
              </w:rPr>
              <w:fldChar w:fldCharType="end"/>
            </w:r>
          </w:hyperlink>
        </w:p>
        <w:p w14:paraId="5B86EFDD" w14:textId="15746CF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3" w:history="1">
            <w:r w:rsidRPr="00674311">
              <w:rPr>
                <w:rStyle w:val="Hyperlink"/>
                <w:noProof/>
              </w:rPr>
              <w:t>6.9.</w:t>
            </w:r>
            <w:r>
              <w:rPr>
                <w:rFonts w:asciiTheme="minorHAnsi" w:eastAsiaTheme="minorEastAsia" w:hAnsiTheme="minorHAnsi" w:cstheme="minorBidi"/>
                <w:noProof/>
                <w:kern w:val="2"/>
                <w:sz w:val="24"/>
                <w:lang w:val="en-AU"/>
                <w14:ligatures w14:val="standardContextual"/>
              </w:rPr>
              <w:tab/>
            </w:r>
            <w:r w:rsidRPr="00674311">
              <w:rPr>
                <w:rStyle w:val="Hyperlink"/>
                <w:noProof/>
              </w:rPr>
              <w:t>Residential care</w:t>
            </w:r>
            <w:r>
              <w:rPr>
                <w:noProof/>
                <w:webHidden/>
              </w:rPr>
              <w:tab/>
            </w:r>
            <w:r>
              <w:rPr>
                <w:noProof/>
                <w:webHidden/>
              </w:rPr>
              <w:fldChar w:fldCharType="begin"/>
            </w:r>
            <w:r>
              <w:rPr>
                <w:noProof/>
                <w:webHidden/>
              </w:rPr>
              <w:instrText xml:space="preserve"> PAGEREF _Toc224916663 \h </w:instrText>
            </w:r>
            <w:r>
              <w:rPr>
                <w:noProof/>
                <w:webHidden/>
              </w:rPr>
            </w:r>
            <w:r>
              <w:rPr>
                <w:noProof/>
                <w:webHidden/>
              </w:rPr>
              <w:fldChar w:fldCharType="separate"/>
            </w:r>
            <w:r w:rsidR="00F97942">
              <w:rPr>
                <w:noProof/>
                <w:webHidden/>
              </w:rPr>
              <w:t>222</w:t>
            </w:r>
            <w:r>
              <w:rPr>
                <w:noProof/>
                <w:webHidden/>
              </w:rPr>
              <w:fldChar w:fldCharType="end"/>
            </w:r>
          </w:hyperlink>
        </w:p>
        <w:p w14:paraId="62ACC7FA" w14:textId="1A95BB7C"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64" w:history="1">
            <w:r w:rsidRPr="00674311">
              <w:rPr>
                <w:rStyle w:val="Hyperlink"/>
                <w:noProof/>
              </w:rPr>
              <w:t>6.10.</w:t>
            </w:r>
            <w:r>
              <w:rPr>
                <w:rFonts w:asciiTheme="minorHAnsi" w:eastAsiaTheme="minorEastAsia" w:hAnsiTheme="minorHAnsi" w:cstheme="minorBidi"/>
                <w:noProof/>
                <w:kern w:val="2"/>
                <w:sz w:val="24"/>
                <w:lang w:val="en-AU"/>
                <w14:ligatures w14:val="standardContextual"/>
              </w:rPr>
              <w:tab/>
            </w:r>
            <w:r w:rsidRPr="00674311">
              <w:rPr>
                <w:rStyle w:val="Hyperlink"/>
                <w:noProof/>
              </w:rPr>
              <w:t>Residential respite care</w:t>
            </w:r>
            <w:r>
              <w:rPr>
                <w:noProof/>
                <w:webHidden/>
              </w:rPr>
              <w:tab/>
            </w:r>
            <w:r>
              <w:rPr>
                <w:noProof/>
                <w:webHidden/>
              </w:rPr>
              <w:fldChar w:fldCharType="begin"/>
            </w:r>
            <w:r>
              <w:rPr>
                <w:noProof/>
                <w:webHidden/>
              </w:rPr>
              <w:instrText xml:space="preserve"> PAGEREF _Toc224916664 \h </w:instrText>
            </w:r>
            <w:r>
              <w:rPr>
                <w:noProof/>
                <w:webHidden/>
              </w:rPr>
            </w:r>
            <w:r>
              <w:rPr>
                <w:noProof/>
                <w:webHidden/>
              </w:rPr>
              <w:fldChar w:fldCharType="separate"/>
            </w:r>
            <w:r w:rsidR="00F97942">
              <w:rPr>
                <w:noProof/>
                <w:webHidden/>
              </w:rPr>
              <w:t>229</w:t>
            </w:r>
            <w:r>
              <w:rPr>
                <w:noProof/>
                <w:webHidden/>
              </w:rPr>
              <w:fldChar w:fldCharType="end"/>
            </w:r>
          </w:hyperlink>
        </w:p>
        <w:p w14:paraId="1980A1BB" w14:textId="0CDD9E0D"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65" w:history="1">
            <w:r w:rsidRPr="00674311">
              <w:rPr>
                <w:rStyle w:val="Hyperlink"/>
                <w:noProof/>
              </w:rPr>
              <w:t>6.11.</w:t>
            </w:r>
            <w:r>
              <w:rPr>
                <w:rFonts w:asciiTheme="minorHAnsi" w:eastAsiaTheme="minorEastAsia" w:hAnsiTheme="minorHAnsi" w:cstheme="minorBidi"/>
                <w:noProof/>
                <w:kern w:val="2"/>
                <w:sz w:val="24"/>
                <w:lang w:val="en-AU"/>
                <w14:ligatures w14:val="standardContextual"/>
              </w:rPr>
              <w:tab/>
            </w:r>
            <w:r w:rsidRPr="00674311">
              <w:rPr>
                <w:rStyle w:val="Hyperlink"/>
                <w:noProof/>
              </w:rPr>
              <w:t>Other programs and supports</w:t>
            </w:r>
            <w:r>
              <w:rPr>
                <w:noProof/>
                <w:webHidden/>
              </w:rPr>
              <w:tab/>
            </w:r>
            <w:r>
              <w:rPr>
                <w:noProof/>
                <w:webHidden/>
              </w:rPr>
              <w:fldChar w:fldCharType="begin"/>
            </w:r>
            <w:r>
              <w:rPr>
                <w:noProof/>
                <w:webHidden/>
              </w:rPr>
              <w:instrText xml:space="preserve"> PAGEREF _Toc224916665 \h </w:instrText>
            </w:r>
            <w:r>
              <w:rPr>
                <w:noProof/>
                <w:webHidden/>
              </w:rPr>
            </w:r>
            <w:r>
              <w:rPr>
                <w:noProof/>
                <w:webHidden/>
              </w:rPr>
              <w:fldChar w:fldCharType="separate"/>
            </w:r>
            <w:r w:rsidR="00F97942">
              <w:rPr>
                <w:noProof/>
                <w:webHidden/>
              </w:rPr>
              <w:t>231</w:t>
            </w:r>
            <w:r>
              <w:rPr>
                <w:noProof/>
                <w:webHidden/>
              </w:rPr>
              <w:fldChar w:fldCharType="end"/>
            </w:r>
          </w:hyperlink>
        </w:p>
        <w:p w14:paraId="76C94997" w14:textId="33C36872"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66" w:history="1">
            <w:r w:rsidRPr="00674311">
              <w:rPr>
                <w:rStyle w:val="Hyperlink"/>
                <w:noProof/>
              </w:rPr>
              <w:t>7.</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7: Delegations and approvals under the Act</w:t>
            </w:r>
            <w:r>
              <w:rPr>
                <w:noProof/>
                <w:webHidden/>
              </w:rPr>
              <w:tab/>
            </w:r>
            <w:r>
              <w:rPr>
                <w:noProof/>
                <w:webHidden/>
              </w:rPr>
              <w:fldChar w:fldCharType="begin"/>
            </w:r>
            <w:r>
              <w:rPr>
                <w:noProof/>
                <w:webHidden/>
              </w:rPr>
              <w:instrText xml:space="preserve"> PAGEREF _Toc224916666 \h </w:instrText>
            </w:r>
            <w:r>
              <w:rPr>
                <w:noProof/>
                <w:webHidden/>
              </w:rPr>
            </w:r>
            <w:r>
              <w:rPr>
                <w:noProof/>
                <w:webHidden/>
              </w:rPr>
              <w:fldChar w:fldCharType="separate"/>
            </w:r>
            <w:r w:rsidR="00F97942">
              <w:rPr>
                <w:noProof/>
                <w:webHidden/>
              </w:rPr>
              <w:t>241</w:t>
            </w:r>
            <w:r>
              <w:rPr>
                <w:noProof/>
                <w:webHidden/>
              </w:rPr>
              <w:fldChar w:fldCharType="end"/>
            </w:r>
          </w:hyperlink>
        </w:p>
        <w:p w14:paraId="23190AB6" w14:textId="63916DB8"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7" w:history="1">
            <w:r w:rsidRPr="00674311">
              <w:rPr>
                <w:rStyle w:val="Hyperlink"/>
                <w:i/>
                <w:noProof/>
              </w:rPr>
              <w:t>7.1.</w:t>
            </w:r>
            <w:r>
              <w:rPr>
                <w:rFonts w:asciiTheme="minorHAnsi" w:eastAsiaTheme="minorEastAsia" w:hAnsiTheme="minorHAnsi" w:cstheme="minorBidi"/>
                <w:noProof/>
                <w:kern w:val="2"/>
                <w:sz w:val="24"/>
                <w:lang w:val="en-AU"/>
                <w14:ligatures w14:val="standardContextual"/>
              </w:rPr>
              <w:tab/>
            </w:r>
            <w:r w:rsidRPr="00674311">
              <w:rPr>
                <w:rStyle w:val="Hyperlink"/>
                <w:noProof/>
              </w:rPr>
              <w:t xml:space="preserve">Delegation of powers and functions under the </w:t>
            </w:r>
            <w:r w:rsidRPr="00674311">
              <w:rPr>
                <w:rStyle w:val="Hyperlink"/>
                <w:i/>
                <w:noProof/>
              </w:rPr>
              <w:t>Aged Care Act 2024</w:t>
            </w:r>
            <w:r>
              <w:rPr>
                <w:noProof/>
                <w:webHidden/>
              </w:rPr>
              <w:tab/>
            </w:r>
            <w:r>
              <w:rPr>
                <w:noProof/>
                <w:webHidden/>
              </w:rPr>
              <w:fldChar w:fldCharType="begin"/>
            </w:r>
            <w:r>
              <w:rPr>
                <w:noProof/>
                <w:webHidden/>
              </w:rPr>
              <w:instrText xml:space="preserve"> PAGEREF _Toc224916667 \h </w:instrText>
            </w:r>
            <w:r>
              <w:rPr>
                <w:noProof/>
                <w:webHidden/>
              </w:rPr>
            </w:r>
            <w:r>
              <w:rPr>
                <w:noProof/>
                <w:webHidden/>
              </w:rPr>
              <w:fldChar w:fldCharType="separate"/>
            </w:r>
            <w:r w:rsidR="00F97942">
              <w:rPr>
                <w:noProof/>
                <w:webHidden/>
              </w:rPr>
              <w:t>241</w:t>
            </w:r>
            <w:r>
              <w:rPr>
                <w:noProof/>
                <w:webHidden/>
              </w:rPr>
              <w:fldChar w:fldCharType="end"/>
            </w:r>
          </w:hyperlink>
        </w:p>
        <w:p w14:paraId="12BCAE7A" w14:textId="58F2C04F"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8" w:history="1">
            <w:r w:rsidRPr="00674311">
              <w:rPr>
                <w:rStyle w:val="Hyperlink"/>
                <w:rFonts w:eastAsia="Yu Gothic Light"/>
                <w:noProof/>
              </w:rPr>
              <w:t>7.2.</w:t>
            </w:r>
            <w:r>
              <w:rPr>
                <w:rFonts w:asciiTheme="minorHAnsi" w:eastAsiaTheme="minorEastAsia" w:hAnsiTheme="minorHAnsi" w:cstheme="minorBidi"/>
                <w:noProof/>
                <w:kern w:val="2"/>
                <w:sz w:val="24"/>
                <w:lang w:val="en-AU"/>
                <w14:ligatures w14:val="standardContextual"/>
              </w:rPr>
              <w:tab/>
            </w:r>
            <w:r w:rsidRPr="00674311">
              <w:rPr>
                <w:rStyle w:val="Hyperlink"/>
                <w:noProof/>
              </w:rPr>
              <w:t>Delegate responsibility</w:t>
            </w:r>
            <w:r>
              <w:rPr>
                <w:noProof/>
                <w:webHidden/>
              </w:rPr>
              <w:tab/>
            </w:r>
            <w:r>
              <w:rPr>
                <w:noProof/>
                <w:webHidden/>
              </w:rPr>
              <w:fldChar w:fldCharType="begin"/>
            </w:r>
            <w:r>
              <w:rPr>
                <w:noProof/>
                <w:webHidden/>
              </w:rPr>
              <w:instrText xml:space="preserve"> PAGEREF _Toc224916668 \h </w:instrText>
            </w:r>
            <w:r>
              <w:rPr>
                <w:noProof/>
                <w:webHidden/>
              </w:rPr>
            </w:r>
            <w:r>
              <w:rPr>
                <w:noProof/>
                <w:webHidden/>
              </w:rPr>
              <w:fldChar w:fldCharType="separate"/>
            </w:r>
            <w:r w:rsidR="00F97942">
              <w:rPr>
                <w:noProof/>
                <w:webHidden/>
              </w:rPr>
              <w:t>241</w:t>
            </w:r>
            <w:r>
              <w:rPr>
                <w:noProof/>
                <w:webHidden/>
              </w:rPr>
              <w:fldChar w:fldCharType="end"/>
            </w:r>
          </w:hyperlink>
        </w:p>
        <w:p w14:paraId="6B7E474C" w14:textId="7015BBD0"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69" w:history="1">
            <w:r w:rsidRPr="00674311">
              <w:rPr>
                <w:rStyle w:val="Hyperlink"/>
                <w:rFonts w:eastAsia="Yu Gothic Light"/>
                <w:noProof/>
              </w:rPr>
              <w:t>7.3.</w:t>
            </w:r>
            <w:r>
              <w:rPr>
                <w:rFonts w:asciiTheme="minorHAnsi" w:eastAsiaTheme="minorEastAsia" w:hAnsiTheme="minorHAnsi" w:cstheme="minorBidi"/>
                <w:noProof/>
                <w:kern w:val="2"/>
                <w:sz w:val="24"/>
                <w:lang w:val="en-AU"/>
                <w14:ligatures w14:val="standardContextual"/>
              </w:rPr>
              <w:tab/>
            </w:r>
            <w:r w:rsidRPr="00674311">
              <w:rPr>
                <w:rStyle w:val="Hyperlink"/>
                <w:noProof/>
              </w:rPr>
              <w:t>Triage delegates</w:t>
            </w:r>
            <w:r>
              <w:rPr>
                <w:noProof/>
                <w:webHidden/>
              </w:rPr>
              <w:tab/>
            </w:r>
            <w:r>
              <w:rPr>
                <w:noProof/>
                <w:webHidden/>
              </w:rPr>
              <w:fldChar w:fldCharType="begin"/>
            </w:r>
            <w:r>
              <w:rPr>
                <w:noProof/>
                <w:webHidden/>
              </w:rPr>
              <w:instrText xml:space="preserve"> PAGEREF _Toc224916669 \h </w:instrText>
            </w:r>
            <w:r>
              <w:rPr>
                <w:noProof/>
                <w:webHidden/>
              </w:rPr>
            </w:r>
            <w:r>
              <w:rPr>
                <w:noProof/>
                <w:webHidden/>
              </w:rPr>
              <w:fldChar w:fldCharType="separate"/>
            </w:r>
            <w:r w:rsidR="00F97942">
              <w:rPr>
                <w:noProof/>
                <w:webHidden/>
              </w:rPr>
              <w:t>243</w:t>
            </w:r>
            <w:r>
              <w:rPr>
                <w:noProof/>
                <w:webHidden/>
              </w:rPr>
              <w:fldChar w:fldCharType="end"/>
            </w:r>
          </w:hyperlink>
        </w:p>
        <w:p w14:paraId="66822BAA" w14:textId="18972FE3"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70" w:history="1">
            <w:r w:rsidRPr="00674311">
              <w:rPr>
                <w:rStyle w:val="Hyperlink"/>
                <w:rFonts w:eastAsia="Yu Gothic Light"/>
                <w:noProof/>
              </w:rPr>
              <w:t>7.4.</w:t>
            </w:r>
            <w:r>
              <w:rPr>
                <w:rFonts w:asciiTheme="minorHAnsi" w:eastAsiaTheme="minorEastAsia" w:hAnsiTheme="minorHAnsi" w:cstheme="minorBidi"/>
                <w:noProof/>
                <w:kern w:val="2"/>
                <w:sz w:val="24"/>
                <w:lang w:val="en-AU"/>
                <w14:ligatures w14:val="standardContextual"/>
              </w:rPr>
              <w:tab/>
            </w:r>
            <w:r w:rsidRPr="00674311">
              <w:rPr>
                <w:rStyle w:val="Hyperlink"/>
                <w:noProof/>
              </w:rPr>
              <w:t>Assessment delegates</w:t>
            </w:r>
            <w:r>
              <w:rPr>
                <w:noProof/>
                <w:webHidden/>
              </w:rPr>
              <w:tab/>
            </w:r>
            <w:r>
              <w:rPr>
                <w:noProof/>
                <w:webHidden/>
              </w:rPr>
              <w:fldChar w:fldCharType="begin"/>
            </w:r>
            <w:r>
              <w:rPr>
                <w:noProof/>
                <w:webHidden/>
              </w:rPr>
              <w:instrText xml:space="preserve"> PAGEREF _Toc224916670 \h </w:instrText>
            </w:r>
            <w:r>
              <w:rPr>
                <w:noProof/>
                <w:webHidden/>
              </w:rPr>
            </w:r>
            <w:r>
              <w:rPr>
                <w:noProof/>
                <w:webHidden/>
              </w:rPr>
              <w:fldChar w:fldCharType="separate"/>
            </w:r>
            <w:r w:rsidR="00F97942">
              <w:rPr>
                <w:noProof/>
                <w:webHidden/>
              </w:rPr>
              <w:t>243</w:t>
            </w:r>
            <w:r>
              <w:rPr>
                <w:noProof/>
                <w:webHidden/>
              </w:rPr>
              <w:fldChar w:fldCharType="end"/>
            </w:r>
          </w:hyperlink>
        </w:p>
        <w:p w14:paraId="2AD1F8BE" w14:textId="6738F70A"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71" w:history="1">
            <w:r w:rsidRPr="00674311">
              <w:rPr>
                <w:rStyle w:val="Hyperlink"/>
                <w:noProof/>
              </w:rPr>
              <w:t>7.5.</w:t>
            </w:r>
            <w:r>
              <w:rPr>
                <w:rFonts w:asciiTheme="minorHAnsi" w:eastAsiaTheme="minorEastAsia" w:hAnsiTheme="minorHAnsi" w:cstheme="minorBidi"/>
                <w:noProof/>
                <w:kern w:val="2"/>
                <w:sz w:val="24"/>
                <w:lang w:val="en-AU"/>
                <w14:ligatures w14:val="standardContextual"/>
              </w:rPr>
              <w:tab/>
            </w:r>
            <w:r w:rsidRPr="00674311">
              <w:rPr>
                <w:rStyle w:val="Hyperlink"/>
                <w:noProof/>
              </w:rPr>
              <w:t>Overview of approvals under the Aged Care Act 2024</w:t>
            </w:r>
            <w:r>
              <w:rPr>
                <w:noProof/>
                <w:webHidden/>
              </w:rPr>
              <w:tab/>
            </w:r>
            <w:r>
              <w:rPr>
                <w:noProof/>
                <w:webHidden/>
              </w:rPr>
              <w:fldChar w:fldCharType="begin"/>
            </w:r>
            <w:r>
              <w:rPr>
                <w:noProof/>
                <w:webHidden/>
              </w:rPr>
              <w:instrText xml:space="preserve"> PAGEREF _Toc224916671 \h </w:instrText>
            </w:r>
            <w:r>
              <w:rPr>
                <w:noProof/>
                <w:webHidden/>
              </w:rPr>
            </w:r>
            <w:r>
              <w:rPr>
                <w:noProof/>
                <w:webHidden/>
              </w:rPr>
              <w:fldChar w:fldCharType="separate"/>
            </w:r>
            <w:r w:rsidR="00F97942">
              <w:rPr>
                <w:noProof/>
                <w:webHidden/>
              </w:rPr>
              <w:t>244</w:t>
            </w:r>
            <w:r>
              <w:rPr>
                <w:noProof/>
                <w:webHidden/>
              </w:rPr>
              <w:fldChar w:fldCharType="end"/>
            </w:r>
          </w:hyperlink>
        </w:p>
        <w:p w14:paraId="54405EA6" w14:textId="785D410D"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72" w:history="1">
            <w:r w:rsidRPr="00674311">
              <w:rPr>
                <w:rStyle w:val="Hyperlink"/>
                <w:noProof/>
              </w:rPr>
              <w:t>7.6.</w:t>
            </w:r>
            <w:r>
              <w:rPr>
                <w:rFonts w:asciiTheme="minorHAnsi" w:eastAsiaTheme="minorEastAsia" w:hAnsiTheme="minorHAnsi" w:cstheme="minorBidi"/>
                <w:noProof/>
                <w:kern w:val="2"/>
                <w:sz w:val="24"/>
                <w:lang w:val="en-AU"/>
                <w14:ligatures w14:val="standardContextual"/>
              </w:rPr>
              <w:tab/>
            </w:r>
            <w:r w:rsidRPr="00674311">
              <w:rPr>
                <w:rStyle w:val="Hyperlink"/>
                <w:noProof/>
              </w:rPr>
              <w:t>Delegate decisions under the Aged Care Act 2024</w:t>
            </w:r>
            <w:r>
              <w:rPr>
                <w:noProof/>
                <w:webHidden/>
              </w:rPr>
              <w:tab/>
            </w:r>
            <w:r>
              <w:rPr>
                <w:noProof/>
                <w:webHidden/>
              </w:rPr>
              <w:fldChar w:fldCharType="begin"/>
            </w:r>
            <w:r>
              <w:rPr>
                <w:noProof/>
                <w:webHidden/>
              </w:rPr>
              <w:instrText xml:space="preserve"> PAGEREF _Toc224916672 \h </w:instrText>
            </w:r>
            <w:r>
              <w:rPr>
                <w:noProof/>
                <w:webHidden/>
              </w:rPr>
            </w:r>
            <w:r>
              <w:rPr>
                <w:noProof/>
                <w:webHidden/>
              </w:rPr>
              <w:fldChar w:fldCharType="separate"/>
            </w:r>
            <w:r w:rsidR="00F97942">
              <w:rPr>
                <w:noProof/>
                <w:webHidden/>
              </w:rPr>
              <w:t>245</w:t>
            </w:r>
            <w:r>
              <w:rPr>
                <w:noProof/>
                <w:webHidden/>
              </w:rPr>
              <w:fldChar w:fldCharType="end"/>
            </w:r>
          </w:hyperlink>
        </w:p>
        <w:p w14:paraId="447BE70A" w14:textId="7EC55F9A"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73" w:history="1">
            <w:r w:rsidRPr="00674311">
              <w:rPr>
                <w:rStyle w:val="Hyperlink"/>
                <w:noProof/>
              </w:rPr>
              <w:t>7.7.</w:t>
            </w:r>
            <w:r>
              <w:rPr>
                <w:rFonts w:asciiTheme="minorHAnsi" w:eastAsiaTheme="minorEastAsia" w:hAnsiTheme="minorHAnsi" w:cstheme="minorBidi"/>
                <w:noProof/>
                <w:kern w:val="2"/>
                <w:sz w:val="24"/>
                <w:lang w:val="en-AU"/>
                <w14:ligatures w14:val="standardContextual"/>
              </w:rPr>
              <w:tab/>
            </w:r>
            <w:r w:rsidRPr="00674311">
              <w:rPr>
                <w:rStyle w:val="Hyperlink"/>
                <w:noProof/>
              </w:rPr>
              <w:t>Approvals for service groups, classification types and classification levels</w:t>
            </w:r>
            <w:r>
              <w:rPr>
                <w:noProof/>
                <w:webHidden/>
              </w:rPr>
              <w:tab/>
            </w:r>
            <w:r>
              <w:rPr>
                <w:noProof/>
                <w:webHidden/>
              </w:rPr>
              <w:fldChar w:fldCharType="begin"/>
            </w:r>
            <w:r>
              <w:rPr>
                <w:noProof/>
                <w:webHidden/>
              </w:rPr>
              <w:instrText xml:space="preserve"> PAGEREF _Toc224916673 \h </w:instrText>
            </w:r>
            <w:r>
              <w:rPr>
                <w:noProof/>
                <w:webHidden/>
              </w:rPr>
            </w:r>
            <w:r>
              <w:rPr>
                <w:noProof/>
                <w:webHidden/>
              </w:rPr>
              <w:fldChar w:fldCharType="separate"/>
            </w:r>
            <w:r w:rsidR="00F97942">
              <w:rPr>
                <w:noProof/>
                <w:webHidden/>
              </w:rPr>
              <w:t>258</w:t>
            </w:r>
            <w:r>
              <w:rPr>
                <w:noProof/>
                <w:webHidden/>
              </w:rPr>
              <w:fldChar w:fldCharType="end"/>
            </w:r>
          </w:hyperlink>
        </w:p>
        <w:p w14:paraId="605B3137" w14:textId="73B07994"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74" w:history="1">
            <w:r w:rsidRPr="00674311">
              <w:rPr>
                <w:rStyle w:val="Hyperlink"/>
                <w:noProof/>
              </w:rPr>
              <w:t>7.8.</w:t>
            </w:r>
            <w:r>
              <w:rPr>
                <w:rFonts w:asciiTheme="minorHAnsi" w:eastAsiaTheme="minorEastAsia" w:hAnsiTheme="minorHAnsi" w:cstheme="minorBidi"/>
                <w:noProof/>
                <w:kern w:val="2"/>
                <w:sz w:val="24"/>
                <w:lang w:val="en-AU"/>
                <w14:ligatures w14:val="standardContextual"/>
              </w:rPr>
              <w:tab/>
            </w:r>
            <w:r w:rsidRPr="00674311">
              <w:rPr>
                <w:rStyle w:val="Hyperlink"/>
                <w:noProof/>
              </w:rPr>
              <w:t>Approvals for service types and services</w:t>
            </w:r>
            <w:r>
              <w:rPr>
                <w:noProof/>
                <w:webHidden/>
              </w:rPr>
              <w:tab/>
            </w:r>
            <w:r>
              <w:rPr>
                <w:noProof/>
                <w:webHidden/>
              </w:rPr>
              <w:fldChar w:fldCharType="begin"/>
            </w:r>
            <w:r>
              <w:rPr>
                <w:noProof/>
                <w:webHidden/>
              </w:rPr>
              <w:instrText xml:space="preserve"> PAGEREF _Toc224916674 \h </w:instrText>
            </w:r>
            <w:r>
              <w:rPr>
                <w:noProof/>
                <w:webHidden/>
              </w:rPr>
            </w:r>
            <w:r>
              <w:rPr>
                <w:noProof/>
                <w:webHidden/>
              </w:rPr>
              <w:fldChar w:fldCharType="separate"/>
            </w:r>
            <w:r w:rsidR="00F97942">
              <w:rPr>
                <w:noProof/>
                <w:webHidden/>
              </w:rPr>
              <w:t>261</w:t>
            </w:r>
            <w:r>
              <w:rPr>
                <w:noProof/>
                <w:webHidden/>
              </w:rPr>
              <w:fldChar w:fldCharType="end"/>
            </w:r>
          </w:hyperlink>
        </w:p>
        <w:p w14:paraId="257BE8DE" w14:textId="167CCAFB"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75" w:history="1">
            <w:r w:rsidRPr="00674311">
              <w:rPr>
                <w:rStyle w:val="Hyperlink"/>
                <w:noProof/>
              </w:rPr>
              <w:t>7.9.</w:t>
            </w:r>
            <w:r>
              <w:rPr>
                <w:rFonts w:asciiTheme="minorHAnsi" w:eastAsiaTheme="minorEastAsia" w:hAnsiTheme="minorHAnsi" w:cstheme="minorBidi"/>
                <w:noProof/>
                <w:kern w:val="2"/>
                <w:sz w:val="24"/>
                <w:lang w:val="en-AU"/>
                <w14:ligatures w14:val="standardContextual"/>
              </w:rPr>
              <w:tab/>
            </w:r>
            <w:r w:rsidRPr="00674311">
              <w:rPr>
                <w:rStyle w:val="Hyperlink"/>
                <w:noProof/>
              </w:rPr>
              <w:t>Approvals for priority categories</w:t>
            </w:r>
            <w:r>
              <w:rPr>
                <w:noProof/>
                <w:webHidden/>
              </w:rPr>
              <w:tab/>
            </w:r>
            <w:r>
              <w:rPr>
                <w:noProof/>
                <w:webHidden/>
              </w:rPr>
              <w:fldChar w:fldCharType="begin"/>
            </w:r>
            <w:r>
              <w:rPr>
                <w:noProof/>
                <w:webHidden/>
              </w:rPr>
              <w:instrText xml:space="preserve"> PAGEREF _Toc224916675 \h </w:instrText>
            </w:r>
            <w:r>
              <w:rPr>
                <w:noProof/>
                <w:webHidden/>
              </w:rPr>
            </w:r>
            <w:r>
              <w:rPr>
                <w:noProof/>
                <w:webHidden/>
              </w:rPr>
              <w:fldChar w:fldCharType="separate"/>
            </w:r>
            <w:r w:rsidR="00F97942">
              <w:rPr>
                <w:noProof/>
                <w:webHidden/>
              </w:rPr>
              <w:t>262</w:t>
            </w:r>
            <w:r>
              <w:rPr>
                <w:noProof/>
                <w:webHidden/>
              </w:rPr>
              <w:fldChar w:fldCharType="end"/>
            </w:r>
          </w:hyperlink>
        </w:p>
        <w:p w14:paraId="1DA156FB" w14:textId="7441655D"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76" w:history="1">
            <w:r w:rsidRPr="00674311">
              <w:rPr>
                <w:rStyle w:val="Hyperlink"/>
                <w:noProof/>
              </w:rPr>
              <w:t>7.10.</w:t>
            </w:r>
            <w:r>
              <w:rPr>
                <w:rFonts w:asciiTheme="minorHAnsi" w:eastAsiaTheme="minorEastAsia" w:hAnsiTheme="minorHAnsi" w:cstheme="minorBidi"/>
                <w:noProof/>
                <w:kern w:val="2"/>
                <w:sz w:val="24"/>
                <w:lang w:val="en-AU"/>
                <w14:ligatures w14:val="standardContextual"/>
              </w:rPr>
              <w:tab/>
            </w:r>
            <w:r w:rsidRPr="00674311">
              <w:rPr>
                <w:rStyle w:val="Hyperlink"/>
                <w:noProof/>
              </w:rPr>
              <w:t>Period of effect of approvals</w:t>
            </w:r>
            <w:r>
              <w:rPr>
                <w:noProof/>
                <w:webHidden/>
              </w:rPr>
              <w:tab/>
            </w:r>
            <w:r>
              <w:rPr>
                <w:noProof/>
                <w:webHidden/>
              </w:rPr>
              <w:fldChar w:fldCharType="begin"/>
            </w:r>
            <w:r>
              <w:rPr>
                <w:noProof/>
                <w:webHidden/>
              </w:rPr>
              <w:instrText xml:space="preserve"> PAGEREF _Toc224916676 \h </w:instrText>
            </w:r>
            <w:r>
              <w:rPr>
                <w:noProof/>
                <w:webHidden/>
              </w:rPr>
            </w:r>
            <w:r>
              <w:rPr>
                <w:noProof/>
                <w:webHidden/>
              </w:rPr>
              <w:fldChar w:fldCharType="separate"/>
            </w:r>
            <w:r w:rsidR="00F97942">
              <w:rPr>
                <w:noProof/>
                <w:webHidden/>
              </w:rPr>
              <w:t>264</w:t>
            </w:r>
            <w:r>
              <w:rPr>
                <w:noProof/>
                <w:webHidden/>
              </w:rPr>
              <w:fldChar w:fldCharType="end"/>
            </w:r>
          </w:hyperlink>
        </w:p>
        <w:p w14:paraId="519295DA" w14:textId="5CFA401B"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77" w:history="1">
            <w:r w:rsidRPr="00674311">
              <w:rPr>
                <w:rStyle w:val="Hyperlink"/>
                <w:noProof/>
              </w:rPr>
              <w:t>7.11.</w:t>
            </w:r>
            <w:r>
              <w:rPr>
                <w:rFonts w:asciiTheme="minorHAnsi" w:eastAsiaTheme="minorEastAsia" w:hAnsiTheme="minorHAnsi" w:cstheme="minorBidi"/>
                <w:noProof/>
                <w:kern w:val="2"/>
                <w:sz w:val="24"/>
                <w:lang w:val="en-AU"/>
                <w14:ligatures w14:val="standardContextual"/>
              </w:rPr>
              <w:tab/>
            </w:r>
            <w:r w:rsidRPr="00674311">
              <w:rPr>
                <w:rStyle w:val="Hyperlink"/>
                <w:noProof/>
              </w:rPr>
              <w:t>Reassessment of a classification level</w:t>
            </w:r>
            <w:r>
              <w:rPr>
                <w:noProof/>
                <w:webHidden/>
              </w:rPr>
              <w:tab/>
            </w:r>
            <w:r>
              <w:rPr>
                <w:noProof/>
                <w:webHidden/>
              </w:rPr>
              <w:fldChar w:fldCharType="begin"/>
            </w:r>
            <w:r>
              <w:rPr>
                <w:noProof/>
                <w:webHidden/>
              </w:rPr>
              <w:instrText xml:space="preserve"> PAGEREF _Toc224916677 \h </w:instrText>
            </w:r>
            <w:r>
              <w:rPr>
                <w:noProof/>
                <w:webHidden/>
              </w:rPr>
            </w:r>
            <w:r>
              <w:rPr>
                <w:noProof/>
                <w:webHidden/>
              </w:rPr>
              <w:fldChar w:fldCharType="separate"/>
            </w:r>
            <w:r w:rsidR="00F97942">
              <w:rPr>
                <w:noProof/>
                <w:webHidden/>
              </w:rPr>
              <w:t>265</w:t>
            </w:r>
            <w:r>
              <w:rPr>
                <w:noProof/>
                <w:webHidden/>
              </w:rPr>
              <w:fldChar w:fldCharType="end"/>
            </w:r>
          </w:hyperlink>
        </w:p>
        <w:p w14:paraId="7F8BAEA6" w14:textId="78501171"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78" w:history="1">
            <w:r w:rsidRPr="00674311">
              <w:rPr>
                <w:rStyle w:val="Hyperlink"/>
                <w:noProof/>
              </w:rPr>
              <w:t>7.12.</w:t>
            </w:r>
            <w:r>
              <w:rPr>
                <w:rFonts w:asciiTheme="minorHAnsi" w:eastAsiaTheme="minorEastAsia" w:hAnsiTheme="minorHAnsi" w:cstheme="minorBidi"/>
                <w:noProof/>
                <w:kern w:val="2"/>
                <w:sz w:val="24"/>
                <w:lang w:val="en-AU"/>
                <w14:ligatures w14:val="standardContextual"/>
              </w:rPr>
              <w:tab/>
            </w:r>
            <w:r w:rsidRPr="00674311">
              <w:rPr>
                <w:rStyle w:val="Hyperlink"/>
                <w:noProof/>
              </w:rPr>
              <w:t>Summary of assessment delegate responsibilities under the Act</w:t>
            </w:r>
            <w:r>
              <w:rPr>
                <w:noProof/>
                <w:webHidden/>
              </w:rPr>
              <w:tab/>
            </w:r>
            <w:r>
              <w:rPr>
                <w:noProof/>
                <w:webHidden/>
              </w:rPr>
              <w:fldChar w:fldCharType="begin"/>
            </w:r>
            <w:r>
              <w:rPr>
                <w:noProof/>
                <w:webHidden/>
              </w:rPr>
              <w:instrText xml:space="preserve"> PAGEREF _Toc224916678 \h </w:instrText>
            </w:r>
            <w:r>
              <w:rPr>
                <w:noProof/>
                <w:webHidden/>
              </w:rPr>
            </w:r>
            <w:r>
              <w:rPr>
                <w:noProof/>
                <w:webHidden/>
              </w:rPr>
              <w:fldChar w:fldCharType="separate"/>
            </w:r>
            <w:r w:rsidR="00F97942">
              <w:rPr>
                <w:noProof/>
                <w:webHidden/>
              </w:rPr>
              <w:t>268</w:t>
            </w:r>
            <w:r>
              <w:rPr>
                <w:noProof/>
                <w:webHidden/>
              </w:rPr>
              <w:fldChar w:fldCharType="end"/>
            </w:r>
          </w:hyperlink>
        </w:p>
        <w:p w14:paraId="2CB80A12" w14:textId="27F7A581"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79" w:history="1">
            <w:r w:rsidRPr="00674311">
              <w:rPr>
                <w:rStyle w:val="Hyperlink"/>
                <w:noProof/>
              </w:rPr>
              <w:t>8.</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8: Delegate decisions in practice</w:t>
            </w:r>
            <w:r>
              <w:rPr>
                <w:noProof/>
                <w:webHidden/>
              </w:rPr>
              <w:tab/>
            </w:r>
            <w:r>
              <w:rPr>
                <w:noProof/>
                <w:webHidden/>
              </w:rPr>
              <w:fldChar w:fldCharType="begin"/>
            </w:r>
            <w:r>
              <w:rPr>
                <w:noProof/>
                <w:webHidden/>
              </w:rPr>
              <w:instrText xml:space="preserve"> PAGEREF _Toc224916679 \h </w:instrText>
            </w:r>
            <w:r>
              <w:rPr>
                <w:noProof/>
                <w:webHidden/>
              </w:rPr>
            </w:r>
            <w:r>
              <w:rPr>
                <w:noProof/>
                <w:webHidden/>
              </w:rPr>
              <w:fldChar w:fldCharType="separate"/>
            </w:r>
            <w:r w:rsidR="00F97942">
              <w:rPr>
                <w:noProof/>
                <w:webHidden/>
              </w:rPr>
              <w:t>272</w:t>
            </w:r>
            <w:r>
              <w:rPr>
                <w:noProof/>
                <w:webHidden/>
              </w:rPr>
              <w:fldChar w:fldCharType="end"/>
            </w:r>
          </w:hyperlink>
        </w:p>
        <w:p w14:paraId="2B672071" w14:textId="0AE8D0DB"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0" w:history="1">
            <w:r w:rsidRPr="00674311">
              <w:rPr>
                <w:rStyle w:val="Hyperlink"/>
                <w:rFonts w:ascii="Aptos Display" w:hAnsi="Aptos Display"/>
                <w:noProof/>
              </w:rPr>
              <w:t>8.1.</w:t>
            </w:r>
            <w:r>
              <w:rPr>
                <w:rFonts w:asciiTheme="minorHAnsi" w:eastAsiaTheme="minorEastAsia" w:hAnsiTheme="minorHAnsi" w:cstheme="minorBidi"/>
                <w:noProof/>
                <w:kern w:val="2"/>
                <w:sz w:val="24"/>
                <w:lang w:val="en-AU"/>
                <w14:ligatures w14:val="standardContextual"/>
              </w:rPr>
              <w:tab/>
            </w:r>
            <w:r w:rsidRPr="00674311">
              <w:rPr>
                <w:rStyle w:val="Hyperlink"/>
                <w:noProof/>
              </w:rPr>
              <w:t>Decision-making fundamentals</w:t>
            </w:r>
            <w:r>
              <w:rPr>
                <w:noProof/>
                <w:webHidden/>
              </w:rPr>
              <w:tab/>
            </w:r>
            <w:r>
              <w:rPr>
                <w:noProof/>
                <w:webHidden/>
              </w:rPr>
              <w:fldChar w:fldCharType="begin"/>
            </w:r>
            <w:r>
              <w:rPr>
                <w:noProof/>
                <w:webHidden/>
              </w:rPr>
              <w:instrText xml:space="preserve"> PAGEREF _Toc224916680 \h </w:instrText>
            </w:r>
            <w:r>
              <w:rPr>
                <w:noProof/>
                <w:webHidden/>
              </w:rPr>
            </w:r>
            <w:r>
              <w:rPr>
                <w:noProof/>
                <w:webHidden/>
              </w:rPr>
              <w:fldChar w:fldCharType="separate"/>
            </w:r>
            <w:r w:rsidR="00F97942">
              <w:rPr>
                <w:noProof/>
                <w:webHidden/>
              </w:rPr>
              <w:t>272</w:t>
            </w:r>
            <w:r>
              <w:rPr>
                <w:noProof/>
                <w:webHidden/>
              </w:rPr>
              <w:fldChar w:fldCharType="end"/>
            </w:r>
          </w:hyperlink>
        </w:p>
        <w:p w14:paraId="2E5468F7" w14:textId="5E073392"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1" w:history="1">
            <w:r w:rsidRPr="00674311">
              <w:rPr>
                <w:rStyle w:val="Hyperlink"/>
                <w:noProof/>
              </w:rPr>
              <w:t>8.2.</w:t>
            </w:r>
            <w:r>
              <w:rPr>
                <w:rFonts w:asciiTheme="minorHAnsi" w:eastAsiaTheme="minorEastAsia" w:hAnsiTheme="minorHAnsi" w:cstheme="minorBidi"/>
                <w:noProof/>
                <w:kern w:val="2"/>
                <w:sz w:val="24"/>
                <w:lang w:val="en-AU"/>
                <w14:ligatures w14:val="standardContextual"/>
              </w:rPr>
              <w:tab/>
            </w:r>
            <w:r w:rsidRPr="00674311">
              <w:rPr>
                <w:rStyle w:val="Hyperlink"/>
                <w:noProof/>
              </w:rPr>
              <w:t>Quality assurance</w:t>
            </w:r>
            <w:r>
              <w:rPr>
                <w:noProof/>
                <w:webHidden/>
              </w:rPr>
              <w:tab/>
            </w:r>
            <w:r>
              <w:rPr>
                <w:noProof/>
                <w:webHidden/>
              </w:rPr>
              <w:fldChar w:fldCharType="begin"/>
            </w:r>
            <w:r>
              <w:rPr>
                <w:noProof/>
                <w:webHidden/>
              </w:rPr>
              <w:instrText xml:space="preserve"> PAGEREF _Toc224916681 \h </w:instrText>
            </w:r>
            <w:r>
              <w:rPr>
                <w:noProof/>
                <w:webHidden/>
              </w:rPr>
            </w:r>
            <w:r>
              <w:rPr>
                <w:noProof/>
                <w:webHidden/>
              </w:rPr>
              <w:fldChar w:fldCharType="separate"/>
            </w:r>
            <w:r w:rsidR="00F97942">
              <w:rPr>
                <w:noProof/>
                <w:webHidden/>
              </w:rPr>
              <w:t>273</w:t>
            </w:r>
            <w:r>
              <w:rPr>
                <w:noProof/>
                <w:webHidden/>
              </w:rPr>
              <w:fldChar w:fldCharType="end"/>
            </w:r>
          </w:hyperlink>
        </w:p>
        <w:p w14:paraId="774BA45E" w14:textId="519630D0"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2" w:history="1">
            <w:r w:rsidRPr="00674311">
              <w:rPr>
                <w:rStyle w:val="Hyperlink"/>
                <w:noProof/>
              </w:rPr>
              <w:t>8.3.</w:t>
            </w:r>
            <w:r>
              <w:rPr>
                <w:rFonts w:asciiTheme="minorHAnsi" w:eastAsiaTheme="minorEastAsia" w:hAnsiTheme="minorHAnsi" w:cstheme="minorBidi"/>
                <w:noProof/>
                <w:kern w:val="2"/>
                <w:sz w:val="24"/>
                <w:lang w:val="en-AU"/>
                <w14:ligatures w14:val="standardContextual"/>
              </w:rPr>
              <w:tab/>
            </w:r>
            <w:r w:rsidRPr="00674311">
              <w:rPr>
                <w:rStyle w:val="Hyperlink"/>
                <w:noProof/>
              </w:rPr>
              <w:t>Approving home support</w:t>
            </w:r>
            <w:r>
              <w:rPr>
                <w:noProof/>
                <w:webHidden/>
              </w:rPr>
              <w:tab/>
            </w:r>
            <w:r>
              <w:rPr>
                <w:noProof/>
                <w:webHidden/>
              </w:rPr>
              <w:fldChar w:fldCharType="begin"/>
            </w:r>
            <w:r>
              <w:rPr>
                <w:noProof/>
                <w:webHidden/>
              </w:rPr>
              <w:instrText xml:space="preserve"> PAGEREF _Toc224916682 \h </w:instrText>
            </w:r>
            <w:r>
              <w:rPr>
                <w:noProof/>
                <w:webHidden/>
              </w:rPr>
            </w:r>
            <w:r>
              <w:rPr>
                <w:noProof/>
                <w:webHidden/>
              </w:rPr>
              <w:fldChar w:fldCharType="separate"/>
            </w:r>
            <w:r w:rsidR="00F97942">
              <w:rPr>
                <w:noProof/>
                <w:webHidden/>
              </w:rPr>
              <w:t>279</w:t>
            </w:r>
            <w:r>
              <w:rPr>
                <w:noProof/>
                <w:webHidden/>
              </w:rPr>
              <w:fldChar w:fldCharType="end"/>
            </w:r>
          </w:hyperlink>
        </w:p>
        <w:p w14:paraId="2BEDA5C8" w14:textId="437B9EDB"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3" w:history="1">
            <w:r w:rsidRPr="00674311">
              <w:rPr>
                <w:rStyle w:val="Hyperlink"/>
                <w:noProof/>
              </w:rPr>
              <w:t>8.4.</w:t>
            </w:r>
            <w:r>
              <w:rPr>
                <w:rFonts w:asciiTheme="minorHAnsi" w:eastAsiaTheme="minorEastAsia" w:hAnsiTheme="minorHAnsi" w:cstheme="minorBidi"/>
                <w:noProof/>
                <w:kern w:val="2"/>
                <w:sz w:val="24"/>
                <w:lang w:val="en-AU"/>
                <w14:ligatures w14:val="standardContextual"/>
              </w:rPr>
              <w:tab/>
            </w:r>
            <w:r w:rsidRPr="00674311">
              <w:rPr>
                <w:rStyle w:val="Hyperlink"/>
                <w:noProof/>
              </w:rPr>
              <w:t>Approving Assistive Technology and Home Modifications under Support at Home</w:t>
            </w:r>
            <w:r>
              <w:rPr>
                <w:noProof/>
                <w:webHidden/>
              </w:rPr>
              <w:tab/>
            </w:r>
            <w:r>
              <w:rPr>
                <w:noProof/>
                <w:webHidden/>
              </w:rPr>
              <w:fldChar w:fldCharType="begin"/>
            </w:r>
            <w:r>
              <w:rPr>
                <w:noProof/>
                <w:webHidden/>
              </w:rPr>
              <w:instrText xml:space="preserve"> PAGEREF _Toc224916683 \h </w:instrText>
            </w:r>
            <w:r>
              <w:rPr>
                <w:noProof/>
                <w:webHidden/>
              </w:rPr>
            </w:r>
            <w:r>
              <w:rPr>
                <w:noProof/>
                <w:webHidden/>
              </w:rPr>
              <w:fldChar w:fldCharType="separate"/>
            </w:r>
            <w:r w:rsidR="00F97942">
              <w:rPr>
                <w:noProof/>
                <w:webHidden/>
              </w:rPr>
              <w:t>288</w:t>
            </w:r>
            <w:r>
              <w:rPr>
                <w:noProof/>
                <w:webHidden/>
              </w:rPr>
              <w:fldChar w:fldCharType="end"/>
            </w:r>
          </w:hyperlink>
        </w:p>
        <w:p w14:paraId="56FDB868" w14:textId="6587D3AE"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4" w:history="1">
            <w:r w:rsidRPr="00674311">
              <w:rPr>
                <w:rStyle w:val="Hyperlink"/>
                <w:noProof/>
              </w:rPr>
              <w:t>8.5.</w:t>
            </w:r>
            <w:r>
              <w:rPr>
                <w:rFonts w:asciiTheme="minorHAnsi" w:eastAsiaTheme="minorEastAsia" w:hAnsiTheme="minorHAnsi" w:cstheme="minorBidi"/>
                <w:noProof/>
                <w:kern w:val="2"/>
                <w:sz w:val="24"/>
                <w:lang w:val="en-AU"/>
                <w14:ligatures w14:val="standardContextual"/>
              </w:rPr>
              <w:tab/>
            </w:r>
            <w:r w:rsidRPr="00674311">
              <w:rPr>
                <w:rStyle w:val="Hyperlink"/>
                <w:noProof/>
              </w:rPr>
              <w:t>Approving AT and HM under CHSP</w:t>
            </w:r>
            <w:r>
              <w:rPr>
                <w:noProof/>
                <w:webHidden/>
              </w:rPr>
              <w:tab/>
            </w:r>
            <w:r>
              <w:rPr>
                <w:noProof/>
                <w:webHidden/>
              </w:rPr>
              <w:fldChar w:fldCharType="begin"/>
            </w:r>
            <w:r>
              <w:rPr>
                <w:noProof/>
                <w:webHidden/>
              </w:rPr>
              <w:instrText xml:space="preserve"> PAGEREF _Toc224916684 \h </w:instrText>
            </w:r>
            <w:r>
              <w:rPr>
                <w:noProof/>
                <w:webHidden/>
              </w:rPr>
            </w:r>
            <w:r>
              <w:rPr>
                <w:noProof/>
                <w:webHidden/>
              </w:rPr>
              <w:fldChar w:fldCharType="separate"/>
            </w:r>
            <w:r w:rsidR="00F97942">
              <w:rPr>
                <w:noProof/>
                <w:webHidden/>
              </w:rPr>
              <w:t>293</w:t>
            </w:r>
            <w:r>
              <w:rPr>
                <w:noProof/>
                <w:webHidden/>
              </w:rPr>
              <w:fldChar w:fldCharType="end"/>
            </w:r>
          </w:hyperlink>
        </w:p>
        <w:p w14:paraId="5E9843F2" w14:textId="2CC0B1E5"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5" w:history="1">
            <w:r w:rsidRPr="00674311">
              <w:rPr>
                <w:rStyle w:val="Hyperlink"/>
                <w:noProof/>
              </w:rPr>
              <w:t>8.6.</w:t>
            </w:r>
            <w:r>
              <w:rPr>
                <w:rFonts w:asciiTheme="minorHAnsi" w:eastAsiaTheme="minorEastAsia" w:hAnsiTheme="minorHAnsi" w:cstheme="minorBidi"/>
                <w:noProof/>
                <w:kern w:val="2"/>
                <w:sz w:val="24"/>
                <w:lang w:val="en-AU"/>
                <w14:ligatures w14:val="standardContextual"/>
              </w:rPr>
              <w:tab/>
            </w:r>
            <w:r w:rsidRPr="00674311">
              <w:rPr>
                <w:rStyle w:val="Hyperlink"/>
                <w:noProof/>
              </w:rPr>
              <w:t>Approving permanent residential care</w:t>
            </w:r>
            <w:r>
              <w:rPr>
                <w:noProof/>
                <w:webHidden/>
              </w:rPr>
              <w:tab/>
            </w:r>
            <w:r>
              <w:rPr>
                <w:noProof/>
                <w:webHidden/>
              </w:rPr>
              <w:fldChar w:fldCharType="begin"/>
            </w:r>
            <w:r>
              <w:rPr>
                <w:noProof/>
                <w:webHidden/>
              </w:rPr>
              <w:instrText xml:space="preserve"> PAGEREF _Toc224916685 \h </w:instrText>
            </w:r>
            <w:r>
              <w:rPr>
                <w:noProof/>
                <w:webHidden/>
              </w:rPr>
            </w:r>
            <w:r>
              <w:rPr>
                <w:noProof/>
                <w:webHidden/>
              </w:rPr>
              <w:fldChar w:fldCharType="separate"/>
            </w:r>
            <w:r w:rsidR="00F97942">
              <w:rPr>
                <w:noProof/>
                <w:webHidden/>
              </w:rPr>
              <w:t>294</w:t>
            </w:r>
            <w:r>
              <w:rPr>
                <w:noProof/>
                <w:webHidden/>
              </w:rPr>
              <w:fldChar w:fldCharType="end"/>
            </w:r>
          </w:hyperlink>
        </w:p>
        <w:p w14:paraId="127396C6" w14:textId="6C7FCB22"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6" w:history="1">
            <w:r w:rsidRPr="00674311">
              <w:rPr>
                <w:rStyle w:val="Hyperlink"/>
                <w:noProof/>
              </w:rPr>
              <w:t>8.7.</w:t>
            </w:r>
            <w:r>
              <w:rPr>
                <w:rFonts w:asciiTheme="minorHAnsi" w:eastAsiaTheme="minorEastAsia" w:hAnsiTheme="minorHAnsi" w:cstheme="minorBidi"/>
                <w:noProof/>
                <w:kern w:val="2"/>
                <w:sz w:val="24"/>
                <w:lang w:val="en-AU"/>
                <w14:ligatures w14:val="standardContextual"/>
              </w:rPr>
              <w:tab/>
            </w:r>
            <w:r w:rsidRPr="00674311">
              <w:rPr>
                <w:rStyle w:val="Hyperlink"/>
                <w:noProof/>
              </w:rPr>
              <w:t>Approving residential respite care</w:t>
            </w:r>
            <w:r>
              <w:rPr>
                <w:noProof/>
                <w:webHidden/>
              </w:rPr>
              <w:tab/>
            </w:r>
            <w:r>
              <w:rPr>
                <w:noProof/>
                <w:webHidden/>
              </w:rPr>
              <w:fldChar w:fldCharType="begin"/>
            </w:r>
            <w:r>
              <w:rPr>
                <w:noProof/>
                <w:webHidden/>
              </w:rPr>
              <w:instrText xml:space="preserve"> PAGEREF _Toc224916686 \h </w:instrText>
            </w:r>
            <w:r>
              <w:rPr>
                <w:noProof/>
                <w:webHidden/>
              </w:rPr>
            </w:r>
            <w:r>
              <w:rPr>
                <w:noProof/>
                <w:webHidden/>
              </w:rPr>
              <w:fldChar w:fldCharType="separate"/>
            </w:r>
            <w:r w:rsidR="00F97942">
              <w:rPr>
                <w:noProof/>
                <w:webHidden/>
              </w:rPr>
              <w:t>297</w:t>
            </w:r>
            <w:r>
              <w:rPr>
                <w:noProof/>
                <w:webHidden/>
              </w:rPr>
              <w:fldChar w:fldCharType="end"/>
            </w:r>
          </w:hyperlink>
        </w:p>
        <w:p w14:paraId="776BE711" w14:textId="1C8BCA94"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7" w:history="1">
            <w:r w:rsidRPr="00674311">
              <w:rPr>
                <w:rStyle w:val="Hyperlink"/>
                <w:noProof/>
              </w:rPr>
              <w:t>8.8.</w:t>
            </w:r>
            <w:r>
              <w:rPr>
                <w:rFonts w:asciiTheme="minorHAnsi" w:eastAsiaTheme="minorEastAsia" w:hAnsiTheme="minorHAnsi" w:cstheme="minorBidi"/>
                <w:noProof/>
                <w:kern w:val="2"/>
                <w:sz w:val="24"/>
                <w:lang w:val="en-AU"/>
                <w14:ligatures w14:val="standardContextual"/>
              </w:rPr>
              <w:tab/>
            </w:r>
            <w:r w:rsidRPr="00674311">
              <w:rPr>
                <w:rStyle w:val="Hyperlink"/>
                <w:noProof/>
              </w:rPr>
              <w:t>Approving transition care</w:t>
            </w:r>
            <w:r>
              <w:rPr>
                <w:noProof/>
                <w:webHidden/>
              </w:rPr>
              <w:tab/>
            </w:r>
            <w:r>
              <w:rPr>
                <w:noProof/>
                <w:webHidden/>
              </w:rPr>
              <w:fldChar w:fldCharType="begin"/>
            </w:r>
            <w:r>
              <w:rPr>
                <w:noProof/>
                <w:webHidden/>
              </w:rPr>
              <w:instrText xml:space="preserve"> PAGEREF _Toc224916687 \h </w:instrText>
            </w:r>
            <w:r>
              <w:rPr>
                <w:noProof/>
                <w:webHidden/>
              </w:rPr>
            </w:r>
            <w:r>
              <w:rPr>
                <w:noProof/>
                <w:webHidden/>
              </w:rPr>
              <w:fldChar w:fldCharType="separate"/>
            </w:r>
            <w:r w:rsidR="00F97942">
              <w:rPr>
                <w:noProof/>
                <w:webHidden/>
              </w:rPr>
              <w:t>299</w:t>
            </w:r>
            <w:r>
              <w:rPr>
                <w:noProof/>
                <w:webHidden/>
              </w:rPr>
              <w:fldChar w:fldCharType="end"/>
            </w:r>
          </w:hyperlink>
        </w:p>
        <w:p w14:paraId="018C7FC6" w14:textId="7BC5C841"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88" w:history="1">
            <w:r w:rsidRPr="00674311">
              <w:rPr>
                <w:rStyle w:val="Hyperlink"/>
                <w:noProof/>
              </w:rPr>
              <w:t>8.9.</w:t>
            </w:r>
            <w:r>
              <w:rPr>
                <w:rFonts w:asciiTheme="minorHAnsi" w:eastAsiaTheme="minorEastAsia" w:hAnsiTheme="minorHAnsi" w:cstheme="minorBidi"/>
                <w:noProof/>
                <w:kern w:val="2"/>
                <w:sz w:val="24"/>
                <w:lang w:val="en-AU"/>
                <w14:ligatures w14:val="standardContextual"/>
              </w:rPr>
              <w:tab/>
            </w:r>
            <w:r w:rsidRPr="00674311">
              <w:rPr>
                <w:rStyle w:val="Hyperlink"/>
                <w:noProof/>
              </w:rPr>
              <w:t>Other approvals and considerations</w:t>
            </w:r>
            <w:r>
              <w:rPr>
                <w:noProof/>
                <w:webHidden/>
              </w:rPr>
              <w:tab/>
            </w:r>
            <w:r>
              <w:rPr>
                <w:noProof/>
                <w:webHidden/>
              </w:rPr>
              <w:fldChar w:fldCharType="begin"/>
            </w:r>
            <w:r>
              <w:rPr>
                <w:noProof/>
                <w:webHidden/>
              </w:rPr>
              <w:instrText xml:space="preserve"> PAGEREF _Toc224916688 \h </w:instrText>
            </w:r>
            <w:r>
              <w:rPr>
                <w:noProof/>
                <w:webHidden/>
              </w:rPr>
            </w:r>
            <w:r>
              <w:rPr>
                <w:noProof/>
                <w:webHidden/>
              </w:rPr>
              <w:fldChar w:fldCharType="separate"/>
            </w:r>
            <w:r w:rsidR="00F97942">
              <w:rPr>
                <w:noProof/>
                <w:webHidden/>
              </w:rPr>
              <w:t>301</w:t>
            </w:r>
            <w:r>
              <w:rPr>
                <w:noProof/>
                <w:webHidden/>
              </w:rPr>
              <w:fldChar w:fldCharType="end"/>
            </w:r>
          </w:hyperlink>
        </w:p>
        <w:p w14:paraId="060E8781" w14:textId="3F4BFF34" w:rsidR="00615041" w:rsidRDefault="00615041">
          <w:pPr>
            <w:pStyle w:val="TOC1"/>
            <w:tabs>
              <w:tab w:val="left" w:pos="480"/>
              <w:tab w:val="right" w:leader="dot" w:pos="9016"/>
            </w:tabs>
            <w:rPr>
              <w:rFonts w:asciiTheme="minorHAnsi" w:eastAsiaTheme="minorEastAsia" w:hAnsiTheme="minorHAnsi" w:cstheme="minorBidi"/>
              <w:noProof/>
              <w:kern w:val="2"/>
              <w:sz w:val="24"/>
              <w:lang w:val="en-AU"/>
              <w14:ligatures w14:val="standardContextual"/>
            </w:rPr>
          </w:pPr>
          <w:hyperlink w:anchor="_Toc224916689" w:history="1">
            <w:r w:rsidRPr="00674311">
              <w:rPr>
                <w:rStyle w:val="Hyperlink"/>
                <w:noProof/>
              </w:rPr>
              <w:t>9.</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9: Finalising the assessment and service referral</w:t>
            </w:r>
            <w:r>
              <w:rPr>
                <w:noProof/>
                <w:webHidden/>
              </w:rPr>
              <w:tab/>
            </w:r>
            <w:r>
              <w:rPr>
                <w:noProof/>
                <w:webHidden/>
              </w:rPr>
              <w:fldChar w:fldCharType="begin"/>
            </w:r>
            <w:r>
              <w:rPr>
                <w:noProof/>
                <w:webHidden/>
              </w:rPr>
              <w:instrText xml:space="preserve"> PAGEREF _Toc224916689 \h </w:instrText>
            </w:r>
            <w:r>
              <w:rPr>
                <w:noProof/>
                <w:webHidden/>
              </w:rPr>
            </w:r>
            <w:r>
              <w:rPr>
                <w:noProof/>
                <w:webHidden/>
              </w:rPr>
              <w:fldChar w:fldCharType="separate"/>
            </w:r>
            <w:r w:rsidR="00F97942">
              <w:rPr>
                <w:noProof/>
                <w:webHidden/>
              </w:rPr>
              <w:t>306</w:t>
            </w:r>
            <w:r>
              <w:rPr>
                <w:noProof/>
                <w:webHidden/>
              </w:rPr>
              <w:fldChar w:fldCharType="end"/>
            </w:r>
          </w:hyperlink>
        </w:p>
        <w:p w14:paraId="767118A8" w14:textId="12E2CC1B"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90" w:history="1">
            <w:r w:rsidRPr="00674311">
              <w:rPr>
                <w:rStyle w:val="Hyperlink"/>
                <w:noProof/>
              </w:rPr>
              <w:t>9.1.</w:t>
            </w:r>
            <w:r>
              <w:rPr>
                <w:rFonts w:asciiTheme="minorHAnsi" w:eastAsiaTheme="minorEastAsia" w:hAnsiTheme="minorHAnsi" w:cstheme="minorBidi"/>
                <w:noProof/>
                <w:kern w:val="2"/>
                <w:sz w:val="24"/>
                <w:lang w:val="en-AU"/>
                <w14:ligatures w14:val="standardContextual"/>
              </w:rPr>
              <w:tab/>
            </w:r>
            <w:r w:rsidRPr="00674311">
              <w:rPr>
                <w:rStyle w:val="Hyperlink"/>
                <w:noProof/>
              </w:rPr>
              <w:t>Overview of assessment finalisation</w:t>
            </w:r>
            <w:r>
              <w:rPr>
                <w:noProof/>
                <w:webHidden/>
              </w:rPr>
              <w:tab/>
            </w:r>
            <w:r>
              <w:rPr>
                <w:noProof/>
                <w:webHidden/>
              </w:rPr>
              <w:fldChar w:fldCharType="begin"/>
            </w:r>
            <w:r>
              <w:rPr>
                <w:noProof/>
                <w:webHidden/>
              </w:rPr>
              <w:instrText xml:space="preserve"> PAGEREF _Toc224916690 \h </w:instrText>
            </w:r>
            <w:r>
              <w:rPr>
                <w:noProof/>
                <w:webHidden/>
              </w:rPr>
            </w:r>
            <w:r>
              <w:rPr>
                <w:noProof/>
                <w:webHidden/>
              </w:rPr>
              <w:fldChar w:fldCharType="separate"/>
            </w:r>
            <w:r w:rsidR="00F97942">
              <w:rPr>
                <w:noProof/>
                <w:webHidden/>
              </w:rPr>
              <w:t>306</w:t>
            </w:r>
            <w:r>
              <w:rPr>
                <w:noProof/>
                <w:webHidden/>
              </w:rPr>
              <w:fldChar w:fldCharType="end"/>
            </w:r>
          </w:hyperlink>
        </w:p>
        <w:p w14:paraId="6BCBE497" w14:textId="66EA3D88"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91" w:history="1">
            <w:r w:rsidRPr="00674311">
              <w:rPr>
                <w:rStyle w:val="Hyperlink"/>
                <w:noProof/>
              </w:rPr>
              <w:t>9.2.</w:t>
            </w:r>
            <w:r>
              <w:rPr>
                <w:rFonts w:asciiTheme="minorHAnsi" w:eastAsiaTheme="minorEastAsia" w:hAnsiTheme="minorHAnsi" w:cstheme="minorBidi"/>
                <w:noProof/>
                <w:kern w:val="2"/>
                <w:sz w:val="24"/>
                <w:lang w:val="en-AU"/>
                <w14:ligatures w14:val="standardContextual"/>
              </w:rPr>
              <w:tab/>
            </w:r>
            <w:r w:rsidRPr="00674311">
              <w:rPr>
                <w:rStyle w:val="Hyperlink"/>
                <w:noProof/>
              </w:rPr>
              <w:t>Setting the access approval date of effect (‘delegation date’)</w:t>
            </w:r>
            <w:r>
              <w:rPr>
                <w:noProof/>
                <w:webHidden/>
              </w:rPr>
              <w:tab/>
            </w:r>
            <w:r>
              <w:rPr>
                <w:noProof/>
                <w:webHidden/>
              </w:rPr>
              <w:fldChar w:fldCharType="begin"/>
            </w:r>
            <w:r>
              <w:rPr>
                <w:noProof/>
                <w:webHidden/>
              </w:rPr>
              <w:instrText xml:space="preserve"> PAGEREF _Toc224916691 \h </w:instrText>
            </w:r>
            <w:r>
              <w:rPr>
                <w:noProof/>
                <w:webHidden/>
              </w:rPr>
            </w:r>
            <w:r>
              <w:rPr>
                <w:noProof/>
                <w:webHidden/>
              </w:rPr>
              <w:fldChar w:fldCharType="separate"/>
            </w:r>
            <w:r w:rsidR="00F97942">
              <w:rPr>
                <w:noProof/>
                <w:webHidden/>
              </w:rPr>
              <w:t>307</w:t>
            </w:r>
            <w:r>
              <w:rPr>
                <w:noProof/>
                <w:webHidden/>
              </w:rPr>
              <w:fldChar w:fldCharType="end"/>
            </w:r>
          </w:hyperlink>
        </w:p>
        <w:p w14:paraId="080D63AE" w14:textId="28A92AD9"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92" w:history="1">
            <w:r w:rsidRPr="00674311">
              <w:rPr>
                <w:rStyle w:val="Hyperlink"/>
                <w:noProof/>
              </w:rPr>
              <w:t>9.3.</w:t>
            </w:r>
            <w:r>
              <w:rPr>
                <w:rFonts w:asciiTheme="minorHAnsi" w:eastAsiaTheme="minorEastAsia" w:hAnsiTheme="minorHAnsi" w:cstheme="minorBidi"/>
                <w:noProof/>
                <w:kern w:val="2"/>
                <w:sz w:val="24"/>
                <w:lang w:val="en-AU"/>
                <w14:ligatures w14:val="standardContextual"/>
              </w:rPr>
              <w:tab/>
            </w:r>
            <w:r w:rsidRPr="00674311">
              <w:rPr>
                <w:rStyle w:val="Hyperlink"/>
                <w:noProof/>
              </w:rPr>
              <w:t>Recording and communicating the assessment outcome</w:t>
            </w:r>
            <w:r>
              <w:rPr>
                <w:noProof/>
                <w:webHidden/>
              </w:rPr>
              <w:tab/>
            </w:r>
            <w:r>
              <w:rPr>
                <w:noProof/>
                <w:webHidden/>
              </w:rPr>
              <w:fldChar w:fldCharType="begin"/>
            </w:r>
            <w:r>
              <w:rPr>
                <w:noProof/>
                <w:webHidden/>
              </w:rPr>
              <w:instrText xml:space="preserve"> PAGEREF _Toc224916692 \h </w:instrText>
            </w:r>
            <w:r>
              <w:rPr>
                <w:noProof/>
                <w:webHidden/>
              </w:rPr>
            </w:r>
            <w:r>
              <w:rPr>
                <w:noProof/>
                <w:webHidden/>
              </w:rPr>
              <w:fldChar w:fldCharType="separate"/>
            </w:r>
            <w:r w:rsidR="00F97942">
              <w:rPr>
                <w:noProof/>
                <w:webHidden/>
              </w:rPr>
              <w:t>308</w:t>
            </w:r>
            <w:r>
              <w:rPr>
                <w:noProof/>
                <w:webHidden/>
              </w:rPr>
              <w:fldChar w:fldCharType="end"/>
            </w:r>
          </w:hyperlink>
        </w:p>
        <w:p w14:paraId="04B5B034" w14:textId="5B924D5D"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93" w:history="1">
            <w:r w:rsidRPr="00674311">
              <w:rPr>
                <w:rStyle w:val="Hyperlink"/>
                <w:noProof/>
              </w:rPr>
              <w:t>9.4.</w:t>
            </w:r>
            <w:r>
              <w:rPr>
                <w:rFonts w:asciiTheme="minorHAnsi" w:eastAsiaTheme="minorEastAsia" w:hAnsiTheme="minorHAnsi" w:cstheme="minorBidi"/>
                <w:noProof/>
                <w:kern w:val="2"/>
                <w:sz w:val="24"/>
                <w:lang w:val="en-AU"/>
                <w14:ligatures w14:val="standardContextual"/>
              </w:rPr>
              <w:tab/>
            </w:r>
            <w:r w:rsidRPr="00674311">
              <w:rPr>
                <w:rStyle w:val="Hyperlink"/>
                <w:noProof/>
              </w:rPr>
              <w:t>Referral and support for service access</w:t>
            </w:r>
            <w:r>
              <w:rPr>
                <w:noProof/>
                <w:webHidden/>
              </w:rPr>
              <w:tab/>
            </w:r>
            <w:r>
              <w:rPr>
                <w:noProof/>
                <w:webHidden/>
              </w:rPr>
              <w:fldChar w:fldCharType="begin"/>
            </w:r>
            <w:r>
              <w:rPr>
                <w:noProof/>
                <w:webHidden/>
              </w:rPr>
              <w:instrText xml:space="preserve"> PAGEREF _Toc224916693 \h </w:instrText>
            </w:r>
            <w:r>
              <w:rPr>
                <w:noProof/>
                <w:webHidden/>
              </w:rPr>
            </w:r>
            <w:r>
              <w:rPr>
                <w:noProof/>
                <w:webHidden/>
              </w:rPr>
              <w:fldChar w:fldCharType="separate"/>
            </w:r>
            <w:r w:rsidR="00F97942">
              <w:rPr>
                <w:noProof/>
                <w:webHidden/>
              </w:rPr>
              <w:t>319</w:t>
            </w:r>
            <w:r>
              <w:rPr>
                <w:noProof/>
                <w:webHidden/>
              </w:rPr>
              <w:fldChar w:fldCharType="end"/>
            </w:r>
          </w:hyperlink>
        </w:p>
        <w:p w14:paraId="493571E3" w14:textId="4CEE1D72" w:rsidR="00615041" w:rsidRDefault="00615041">
          <w:pPr>
            <w:pStyle w:val="TOC2"/>
            <w:tabs>
              <w:tab w:val="left" w:pos="960"/>
              <w:tab w:val="right" w:leader="dot" w:pos="9016"/>
            </w:tabs>
            <w:rPr>
              <w:rFonts w:asciiTheme="minorHAnsi" w:eastAsiaTheme="minorEastAsia" w:hAnsiTheme="minorHAnsi" w:cstheme="minorBidi"/>
              <w:noProof/>
              <w:kern w:val="2"/>
              <w:sz w:val="24"/>
              <w:lang w:val="en-AU"/>
              <w14:ligatures w14:val="standardContextual"/>
            </w:rPr>
          </w:pPr>
          <w:hyperlink w:anchor="_Toc224916694" w:history="1">
            <w:r w:rsidRPr="00674311">
              <w:rPr>
                <w:rStyle w:val="Hyperlink"/>
                <w:noProof/>
              </w:rPr>
              <w:t>9.5.</w:t>
            </w:r>
            <w:r>
              <w:rPr>
                <w:rFonts w:asciiTheme="minorHAnsi" w:eastAsiaTheme="minorEastAsia" w:hAnsiTheme="minorHAnsi" w:cstheme="minorBidi"/>
                <w:noProof/>
                <w:kern w:val="2"/>
                <w:sz w:val="24"/>
                <w:lang w:val="en-AU"/>
                <w14:ligatures w14:val="standardContextual"/>
              </w:rPr>
              <w:tab/>
            </w:r>
            <w:r w:rsidRPr="00674311">
              <w:rPr>
                <w:rStyle w:val="Hyperlink"/>
                <w:noProof/>
              </w:rPr>
              <w:t>Corrections process</w:t>
            </w:r>
            <w:r>
              <w:rPr>
                <w:noProof/>
                <w:webHidden/>
              </w:rPr>
              <w:tab/>
            </w:r>
            <w:r>
              <w:rPr>
                <w:noProof/>
                <w:webHidden/>
              </w:rPr>
              <w:fldChar w:fldCharType="begin"/>
            </w:r>
            <w:r>
              <w:rPr>
                <w:noProof/>
                <w:webHidden/>
              </w:rPr>
              <w:instrText xml:space="preserve"> PAGEREF _Toc224916694 \h </w:instrText>
            </w:r>
            <w:r>
              <w:rPr>
                <w:noProof/>
                <w:webHidden/>
              </w:rPr>
            </w:r>
            <w:r>
              <w:rPr>
                <w:noProof/>
                <w:webHidden/>
              </w:rPr>
              <w:fldChar w:fldCharType="separate"/>
            </w:r>
            <w:r w:rsidR="00F97942">
              <w:rPr>
                <w:noProof/>
                <w:webHidden/>
              </w:rPr>
              <w:t>326</w:t>
            </w:r>
            <w:r>
              <w:rPr>
                <w:noProof/>
                <w:webHidden/>
              </w:rPr>
              <w:fldChar w:fldCharType="end"/>
            </w:r>
          </w:hyperlink>
        </w:p>
        <w:p w14:paraId="225EF7BE" w14:textId="3E85C7FD" w:rsidR="00615041" w:rsidRDefault="00615041">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24916695" w:history="1">
            <w:r w:rsidRPr="00674311">
              <w:rPr>
                <w:rStyle w:val="Hyperlink"/>
                <w:noProof/>
              </w:rPr>
              <w:t>10.</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10: Support plan reviews and reassessments</w:t>
            </w:r>
            <w:r>
              <w:rPr>
                <w:noProof/>
                <w:webHidden/>
              </w:rPr>
              <w:tab/>
            </w:r>
            <w:r>
              <w:rPr>
                <w:noProof/>
                <w:webHidden/>
              </w:rPr>
              <w:fldChar w:fldCharType="begin"/>
            </w:r>
            <w:r>
              <w:rPr>
                <w:noProof/>
                <w:webHidden/>
              </w:rPr>
              <w:instrText xml:space="preserve"> PAGEREF _Toc224916695 \h </w:instrText>
            </w:r>
            <w:r>
              <w:rPr>
                <w:noProof/>
                <w:webHidden/>
              </w:rPr>
            </w:r>
            <w:r>
              <w:rPr>
                <w:noProof/>
                <w:webHidden/>
              </w:rPr>
              <w:fldChar w:fldCharType="separate"/>
            </w:r>
            <w:r w:rsidR="00F97942">
              <w:rPr>
                <w:noProof/>
                <w:webHidden/>
              </w:rPr>
              <w:t>327</w:t>
            </w:r>
            <w:r>
              <w:rPr>
                <w:noProof/>
                <w:webHidden/>
              </w:rPr>
              <w:fldChar w:fldCharType="end"/>
            </w:r>
          </w:hyperlink>
        </w:p>
        <w:p w14:paraId="30530B8A" w14:textId="59752DF0"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96" w:history="1">
            <w:r w:rsidRPr="00674311">
              <w:rPr>
                <w:rStyle w:val="Hyperlink"/>
                <w:noProof/>
              </w:rPr>
              <w:t>10.1.</w:t>
            </w:r>
            <w:r>
              <w:rPr>
                <w:rFonts w:asciiTheme="minorHAnsi" w:eastAsiaTheme="minorEastAsia" w:hAnsiTheme="minorHAnsi" w:cstheme="minorBidi"/>
                <w:noProof/>
                <w:kern w:val="2"/>
                <w:sz w:val="24"/>
                <w:lang w:val="en-AU"/>
                <w14:ligatures w14:val="standardContextual"/>
              </w:rPr>
              <w:tab/>
            </w:r>
            <w:r w:rsidRPr="00674311">
              <w:rPr>
                <w:rStyle w:val="Hyperlink"/>
                <w:noProof/>
              </w:rPr>
              <w:t xml:space="preserve">Reassessments under the </w:t>
            </w:r>
            <w:r w:rsidRPr="00674311">
              <w:rPr>
                <w:rStyle w:val="Hyperlink"/>
                <w:i/>
                <w:noProof/>
              </w:rPr>
              <w:t>Aged Care Act 2024</w:t>
            </w:r>
            <w:r>
              <w:rPr>
                <w:noProof/>
                <w:webHidden/>
              </w:rPr>
              <w:tab/>
            </w:r>
            <w:r>
              <w:rPr>
                <w:noProof/>
                <w:webHidden/>
              </w:rPr>
              <w:fldChar w:fldCharType="begin"/>
            </w:r>
            <w:r>
              <w:rPr>
                <w:noProof/>
                <w:webHidden/>
              </w:rPr>
              <w:instrText xml:space="preserve"> PAGEREF _Toc224916696 \h </w:instrText>
            </w:r>
            <w:r>
              <w:rPr>
                <w:noProof/>
                <w:webHidden/>
              </w:rPr>
            </w:r>
            <w:r>
              <w:rPr>
                <w:noProof/>
                <w:webHidden/>
              </w:rPr>
              <w:fldChar w:fldCharType="separate"/>
            </w:r>
            <w:r w:rsidR="00F97942">
              <w:rPr>
                <w:noProof/>
                <w:webHidden/>
              </w:rPr>
              <w:t>327</w:t>
            </w:r>
            <w:r>
              <w:rPr>
                <w:noProof/>
                <w:webHidden/>
              </w:rPr>
              <w:fldChar w:fldCharType="end"/>
            </w:r>
          </w:hyperlink>
        </w:p>
        <w:p w14:paraId="7CEE8CF6" w14:textId="0F70448B" w:rsidR="00615041" w:rsidRDefault="00615041">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24916697" w:history="1">
            <w:r w:rsidRPr="00674311">
              <w:rPr>
                <w:rStyle w:val="Hyperlink"/>
                <w:noProof/>
              </w:rPr>
              <w:t>11.</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11: Reviewable decisions, revoking eligibility or approval decisions and complaints</w:t>
            </w:r>
            <w:r>
              <w:rPr>
                <w:noProof/>
                <w:webHidden/>
              </w:rPr>
              <w:tab/>
            </w:r>
            <w:r>
              <w:rPr>
                <w:noProof/>
                <w:webHidden/>
              </w:rPr>
              <w:fldChar w:fldCharType="begin"/>
            </w:r>
            <w:r>
              <w:rPr>
                <w:noProof/>
                <w:webHidden/>
              </w:rPr>
              <w:instrText xml:space="preserve"> PAGEREF _Toc224916697 \h </w:instrText>
            </w:r>
            <w:r>
              <w:rPr>
                <w:noProof/>
                <w:webHidden/>
              </w:rPr>
            </w:r>
            <w:r>
              <w:rPr>
                <w:noProof/>
                <w:webHidden/>
              </w:rPr>
              <w:fldChar w:fldCharType="separate"/>
            </w:r>
            <w:r w:rsidR="00F97942">
              <w:rPr>
                <w:noProof/>
                <w:webHidden/>
              </w:rPr>
              <w:t>340</w:t>
            </w:r>
            <w:r>
              <w:rPr>
                <w:noProof/>
                <w:webHidden/>
              </w:rPr>
              <w:fldChar w:fldCharType="end"/>
            </w:r>
          </w:hyperlink>
        </w:p>
        <w:p w14:paraId="66A2C5C8" w14:textId="2DC39121"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98" w:history="1">
            <w:r w:rsidRPr="00674311">
              <w:rPr>
                <w:rStyle w:val="Hyperlink"/>
                <w:noProof/>
              </w:rPr>
              <w:t>11.1.</w:t>
            </w:r>
            <w:r>
              <w:rPr>
                <w:rFonts w:asciiTheme="minorHAnsi" w:eastAsiaTheme="minorEastAsia" w:hAnsiTheme="minorHAnsi" w:cstheme="minorBidi"/>
                <w:noProof/>
                <w:kern w:val="2"/>
                <w:sz w:val="24"/>
                <w:lang w:val="en-AU"/>
                <w14:ligatures w14:val="standardContextual"/>
              </w:rPr>
              <w:tab/>
            </w:r>
            <w:r w:rsidRPr="00674311">
              <w:rPr>
                <w:rStyle w:val="Hyperlink"/>
                <w:noProof/>
              </w:rPr>
              <w:t>Reviewable decisions</w:t>
            </w:r>
            <w:r>
              <w:rPr>
                <w:noProof/>
                <w:webHidden/>
              </w:rPr>
              <w:tab/>
            </w:r>
            <w:r>
              <w:rPr>
                <w:noProof/>
                <w:webHidden/>
              </w:rPr>
              <w:fldChar w:fldCharType="begin"/>
            </w:r>
            <w:r>
              <w:rPr>
                <w:noProof/>
                <w:webHidden/>
              </w:rPr>
              <w:instrText xml:space="preserve"> PAGEREF _Toc224916698 \h </w:instrText>
            </w:r>
            <w:r>
              <w:rPr>
                <w:noProof/>
                <w:webHidden/>
              </w:rPr>
            </w:r>
            <w:r>
              <w:rPr>
                <w:noProof/>
                <w:webHidden/>
              </w:rPr>
              <w:fldChar w:fldCharType="separate"/>
            </w:r>
            <w:r w:rsidR="00F97942">
              <w:rPr>
                <w:noProof/>
                <w:webHidden/>
              </w:rPr>
              <w:t>340</w:t>
            </w:r>
            <w:r>
              <w:rPr>
                <w:noProof/>
                <w:webHidden/>
              </w:rPr>
              <w:fldChar w:fldCharType="end"/>
            </w:r>
          </w:hyperlink>
        </w:p>
        <w:p w14:paraId="0D8A72C9" w14:textId="144DEF77"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699" w:history="1">
            <w:r w:rsidRPr="00674311">
              <w:rPr>
                <w:rStyle w:val="Hyperlink"/>
                <w:noProof/>
              </w:rPr>
              <w:t>11.2.</w:t>
            </w:r>
            <w:r>
              <w:rPr>
                <w:rFonts w:asciiTheme="minorHAnsi" w:eastAsiaTheme="minorEastAsia" w:hAnsiTheme="minorHAnsi" w:cstheme="minorBidi"/>
                <w:noProof/>
                <w:kern w:val="2"/>
                <w:sz w:val="24"/>
                <w:lang w:val="en-AU"/>
                <w14:ligatures w14:val="standardContextual"/>
              </w:rPr>
              <w:tab/>
            </w:r>
            <w:r w:rsidRPr="00674311">
              <w:rPr>
                <w:rStyle w:val="Hyperlink"/>
                <w:noProof/>
              </w:rPr>
              <w:t>Reconsiderations process</w:t>
            </w:r>
            <w:r>
              <w:rPr>
                <w:noProof/>
                <w:webHidden/>
              </w:rPr>
              <w:tab/>
            </w:r>
            <w:r>
              <w:rPr>
                <w:noProof/>
                <w:webHidden/>
              </w:rPr>
              <w:fldChar w:fldCharType="begin"/>
            </w:r>
            <w:r>
              <w:rPr>
                <w:noProof/>
                <w:webHidden/>
              </w:rPr>
              <w:instrText xml:space="preserve"> PAGEREF _Toc224916699 \h </w:instrText>
            </w:r>
            <w:r>
              <w:rPr>
                <w:noProof/>
                <w:webHidden/>
              </w:rPr>
            </w:r>
            <w:r>
              <w:rPr>
                <w:noProof/>
                <w:webHidden/>
              </w:rPr>
              <w:fldChar w:fldCharType="separate"/>
            </w:r>
            <w:r w:rsidR="00F97942">
              <w:rPr>
                <w:noProof/>
                <w:webHidden/>
              </w:rPr>
              <w:t>344</w:t>
            </w:r>
            <w:r>
              <w:rPr>
                <w:noProof/>
                <w:webHidden/>
              </w:rPr>
              <w:fldChar w:fldCharType="end"/>
            </w:r>
          </w:hyperlink>
        </w:p>
        <w:p w14:paraId="1362366E" w14:textId="4CB65686"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0" w:history="1">
            <w:r w:rsidRPr="00674311">
              <w:rPr>
                <w:rStyle w:val="Hyperlink"/>
                <w:noProof/>
              </w:rPr>
              <w:t>11.3.</w:t>
            </w:r>
            <w:r>
              <w:rPr>
                <w:rFonts w:asciiTheme="minorHAnsi" w:eastAsiaTheme="minorEastAsia" w:hAnsiTheme="minorHAnsi" w:cstheme="minorBidi"/>
                <w:noProof/>
                <w:kern w:val="2"/>
                <w:sz w:val="24"/>
                <w:lang w:val="en-AU"/>
                <w14:ligatures w14:val="standardContextual"/>
              </w:rPr>
              <w:tab/>
            </w:r>
            <w:r w:rsidRPr="00674311">
              <w:rPr>
                <w:rStyle w:val="Hyperlink"/>
                <w:noProof/>
              </w:rPr>
              <w:t>Further avenues of review</w:t>
            </w:r>
            <w:r>
              <w:rPr>
                <w:noProof/>
                <w:webHidden/>
              </w:rPr>
              <w:tab/>
            </w:r>
            <w:r>
              <w:rPr>
                <w:noProof/>
                <w:webHidden/>
              </w:rPr>
              <w:fldChar w:fldCharType="begin"/>
            </w:r>
            <w:r>
              <w:rPr>
                <w:noProof/>
                <w:webHidden/>
              </w:rPr>
              <w:instrText xml:space="preserve"> PAGEREF _Toc224916700 \h </w:instrText>
            </w:r>
            <w:r>
              <w:rPr>
                <w:noProof/>
                <w:webHidden/>
              </w:rPr>
            </w:r>
            <w:r>
              <w:rPr>
                <w:noProof/>
                <w:webHidden/>
              </w:rPr>
              <w:fldChar w:fldCharType="separate"/>
            </w:r>
            <w:r w:rsidR="00F97942">
              <w:rPr>
                <w:noProof/>
                <w:webHidden/>
              </w:rPr>
              <w:t>346</w:t>
            </w:r>
            <w:r>
              <w:rPr>
                <w:noProof/>
                <w:webHidden/>
              </w:rPr>
              <w:fldChar w:fldCharType="end"/>
            </w:r>
          </w:hyperlink>
        </w:p>
        <w:p w14:paraId="39CED049" w14:textId="5D20EFD5"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1" w:history="1">
            <w:r w:rsidRPr="00674311">
              <w:rPr>
                <w:rStyle w:val="Hyperlink"/>
                <w:noProof/>
              </w:rPr>
              <w:t>11.4.</w:t>
            </w:r>
            <w:r>
              <w:rPr>
                <w:rFonts w:asciiTheme="minorHAnsi" w:eastAsiaTheme="minorEastAsia" w:hAnsiTheme="minorHAnsi" w:cstheme="minorBidi"/>
                <w:noProof/>
                <w:kern w:val="2"/>
                <w:sz w:val="24"/>
                <w:lang w:val="en-AU"/>
                <w14:ligatures w14:val="standardContextual"/>
              </w:rPr>
              <w:tab/>
            </w:r>
            <w:r w:rsidRPr="00674311">
              <w:rPr>
                <w:rStyle w:val="Hyperlink"/>
                <w:noProof/>
              </w:rPr>
              <w:t>Revocations</w:t>
            </w:r>
            <w:r>
              <w:rPr>
                <w:noProof/>
                <w:webHidden/>
              </w:rPr>
              <w:tab/>
            </w:r>
            <w:r>
              <w:rPr>
                <w:noProof/>
                <w:webHidden/>
              </w:rPr>
              <w:fldChar w:fldCharType="begin"/>
            </w:r>
            <w:r>
              <w:rPr>
                <w:noProof/>
                <w:webHidden/>
              </w:rPr>
              <w:instrText xml:space="preserve"> PAGEREF _Toc224916701 \h </w:instrText>
            </w:r>
            <w:r>
              <w:rPr>
                <w:noProof/>
                <w:webHidden/>
              </w:rPr>
            </w:r>
            <w:r>
              <w:rPr>
                <w:noProof/>
                <w:webHidden/>
              </w:rPr>
              <w:fldChar w:fldCharType="separate"/>
            </w:r>
            <w:r w:rsidR="00F97942">
              <w:rPr>
                <w:noProof/>
                <w:webHidden/>
              </w:rPr>
              <w:t>347</w:t>
            </w:r>
            <w:r>
              <w:rPr>
                <w:noProof/>
                <w:webHidden/>
              </w:rPr>
              <w:fldChar w:fldCharType="end"/>
            </w:r>
          </w:hyperlink>
        </w:p>
        <w:p w14:paraId="4E194E72" w14:textId="5F447542"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2" w:history="1">
            <w:r w:rsidRPr="00674311">
              <w:rPr>
                <w:rStyle w:val="Hyperlink"/>
                <w:noProof/>
              </w:rPr>
              <w:t>11.5.</w:t>
            </w:r>
            <w:r>
              <w:rPr>
                <w:rFonts w:asciiTheme="minorHAnsi" w:eastAsiaTheme="minorEastAsia" w:hAnsiTheme="minorHAnsi" w:cstheme="minorBidi"/>
                <w:noProof/>
                <w:kern w:val="2"/>
                <w:sz w:val="24"/>
                <w:lang w:val="en-AU"/>
                <w14:ligatures w14:val="standardContextual"/>
              </w:rPr>
              <w:tab/>
            </w:r>
            <w:r w:rsidRPr="00674311">
              <w:rPr>
                <w:rStyle w:val="Hyperlink"/>
                <w:noProof/>
              </w:rPr>
              <w:t>Corrections process</w:t>
            </w:r>
            <w:r>
              <w:rPr>
                <w:noProof/>
                <w:webHidden/>
              </w:rPr>
              <w:tab/>
            </w:r>
            <w:r>
              <w:rPr>
                <w:noProof/>
                <w:webHidden/>
              </w:rPr>
              <w:fldChar w:fldCharType="begin"/>
            </w:r>
            <w:r>
              <w:rPr>
                <w:noProof/>
                <w:webHidden/>
              </w:rPr>
              <w:instrText xml:space="preserve"> PAGEREF _Toc224916702 \h </w:instrText>
            </w:r>
            <w:r>
              <w:rPr>
                <w:noProof/>
                <w:webHidden/>
              </w:rPr>
            </w:r>
            <w:r>
              <w:rPr>
                <w:noProof/>
                <w:webHidden/>
              </w:rPr>
              <w:fldChar w:fldCharType="separate"/>
            </w:r>
            <w:r w:rsidR="00F97942">
              <w:rPr>
                <w:noProof/>
                <w:webHidden/>
              </w:rPr>
              <w:t>349</w:t>
            </w:r>
            <w:r>
              <w:rPr>
                <w:noProof/>
                <w:webHidden/>
              </w:rPr>
              <w:fldChar w:fldCharType="end"/>
            </w:r>
          </w:hyperlink>
        </w:p>
        <w:p w14:paraId="3BE341A8" w14:textId="74A36956"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3" w:history="1">
            <w:r w:rsidRPr="00674311">
              <w:rPr>
                <w:rStyle w:val="Hyperlink"/>
                <w:noProof/>
              </w:rPr>
              <w:t>11.6.</w:t>
            </w:r>
            <w:r>
              <w:rPr>
                <w:rFonts w:asciiTheme="minorHAnsi" w:eastAsiaTheme="minorEastAsia" w:hAnsiTheme="minorHAnsi" w:cstheme="minorBidi"/>
                <w:noProof/>
                <w:kern w:val="2"/>
                <w:sz w:val="24"/>
                <w:lang w:val="en-AU"/>
                <w14:ligatures w14:val="standardContextual"/>
              </w:rPr>
              <w:tab/>
            </w:r>
            <w:r w:rsidRPr="00674311">
              <w:rPr>
                <w:rStyle w:val="Hyperlink"/>
                <w:noProof/>
              </w:rPr>
              <w:t>Complaints</w:t>
            </w:r>
            <w:r>
              <w:rPr>
                <w:noProof/>
                <w:webHidden/>
              </w:rPr>
              <w:tab/>
            </w:r>
            <w:r>
              <w:rPr>
                <w:noProof/>
                <w:webHidden/>
              </w:rPr>
              <w:fldChar w:fldCharType="begin"/>
            </w:r>
            <w:r>
              <w:rPr>
                <w:noProof/>
                <w:webHidden/>
              </w:rPr>
              <w:instrText xml:space="preserve"> PAGEREF _Toc224916703 \h </w:instrText>
            </w:r>
            <w:r>
              <w:rPr>
                <w:noProof/>
                <w:webHidden/>
              </w:rPr>
            </w:r>
            <w:r>
              <w:rPr>
                <w:noProof/>
                <w:webHidden/>
              </w:rPr>
              <w:fldChar w:fldCharType="separate"/>
            </w:r>
            <w:r w:rsidR="00F97942">
              <w:rPr>
                <w:noProof/>
                <w:webHidden/>
              </w:rPr>
              <w:t>350</w:t>
            </w:r>
            <w:r>
              <w:rPr>
                <w:noProof/>
                <w:webHidden/>
              </w:rPr>
              <w:fldChar w:fldCharType="end"/>
            </w:r>
          </w:hyperlink>
        </w:p>
        <w:p w14:paraId="185AA67F" w14:textId="59BC5E29" w:rsidR="00615041" w:rsidRDefault="00615041">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24916704" w:history="1">
            <w:r w:rsidRPr="00674311">
              <w:rPr>
                <w:rStyle w:val="Hyperlink"/>
                <w:noProof/>
              </w:rPr>
              <w:t>12.</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12: Supporting diverse experiences and needs</w:t>
            </w:r>
            <w:r>
              <w:rPr>
                <w:noProof/>
                <w:webHidden/>
              </w:rPr>
              <w:tab/>
            </w:r>
            <w:r>
              <w:rPr>
                <w:noProof/>
                <w:webHidden/>
              </w:rPr>
              <w:fldChar w:fldCharType="begin"/>
            </w:r>
            <w:r>
              <w:rPr>
                <w:noProof/>
                <w:webHidden/>
              </w:rPr>
              <w:instrText xml:space="preserve"> PAGEREF _Toc224916704 \h </w:instrText>
            </w:r>
            <w:r>
              <w:rPr>
                <w:noProof/>
                <w:webHidden/>
              </w:rPr>
            </w:r>
            <w:r>
              <w:rPr>
                <w:noProof/>
                <w:webHidden/>
              </w:rPr>
              <w:fldChar w:fldCharType="separate"/>
            </w:r>
            <w:r w:rsidR="00F97942">
              <w:rPr>
                <w:noProof/>
                <w:webHidden/>
              </w:rPr>
              <w:t>353</w:t>
            </w:r>
            <w:r>
              <w:rPr>
                <w:noProof/>
                <w:webHidden/>
              </w:rPr>
              <w:fldChar w:fldCharType="end"/>
            </w:r>
          </w:hyperlink>
        </w:p>
        <w:p w14:paraId="68B20F28" w14:textId="6EAF8832"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5" w:history="1">
            <w:r w:rsidRPr="00674311">
              <w:rPr>
                <w:rStyle w:val="Hyperlink"/>
                <w:noProof/>
              </w:rPr>
              <w:t>12.1.</w:t>
            </w:r>
            <w:r>
              <w:rPr>
                <w:rFonts w:asciiTheme="minorHAnsi" w:eastAsiaTheme="minorEastAsia" w:hAnsiTheme="minorHAnsi" w:cstheme="minorBidi"/>
                <w:noProof/>
                <w:kern w:val="2"/>
                <w:sz w:val="24"/>
                <w:lang w:val="en-AU"/>
                <w14:ligatures w14:val="standardContextual"/>
              </w:rPr>
              <w:tab/>
            </w:r>
            <w:r w:rsidRPr="00674311">
              <w:rPr>
                <w:rStyle w:val="Hyperlink"/>
                <w:noProof/>
              </w:rPr>
              <w:t>Supporting diverse needs during an assessment</w:t>
            </w:r>
            <w:r>
              <w:rPr>
                <w:noProof/>
                <w:webHidden/>
              </w:rPr>
              <w:tab/>
            </w:r>
            <w:r>
              <w:rPr>
                <w:noProof/>
                <w:webHidden/>
              </w:rPr>
              <w:fldChar w:fldCharType="begin"/>
            </w:r>
            <w:r>
              <w:rPr>
                <w:noProof/>
                <w:webHidden/>
              </w:rPr>
              <w:instrText xml:space="preserve"> PAGEREF _Toc224916705 \h </w:instrText>
            </w:r>
            <w:r>
              <w:rPr>
                <w:noProof/>
                <w:webHidden/>
              </w:rPr>
            </w:r>
            <w:r>
              <w:rPr>
                <w:noProof/>
                <w:webHidden/>
              </w:rPr>
              <w:fldChar w:fldCharType="separate"/>
            </w:r>
            <w:r w:rsidR="00F97942">
              <w:rPr>
                <w:noProof/>
                <w:webHidden/>
              </w:rPr>
              <w:t>353</w:t>
            </w:r>
            <w:r>
              <w:rPr>
                <w:noProof/>
                <w:webHidden/>
              </w:rPr>
              <w:fldChar w:fldCharType="end"/>
            </w:r>
          </w:hyperlink>
        </w:p>
        <w:p w14:paraId="11FC5424" w14:textId="6F6704C3"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6" w:history="1">
            <w:r w:rsidRPr="00674311">
              <w:rPr>
                <w:rStyle w:val="Hyperlink"/>
                <w:noProof/>
              </w:rPr>
              <w:t>12.2.</w:t>
            </w:r>
            <w:r>
              <w:rPr>
                <w:rFonts w:asciiTheme="minorHAnsi" w:eastAsiaTheme="minorEastAsia" w:hAnsiTheme="minorHAnsi" w:cstheme="minorBidi"/>
                <w:noProof/>
                <w:kern w:val="2"/>
                <w:sz w:val="24"/>
                <w:lang w:val="en-AU"/>
                <w14:ligatures w14:val="standardContextual"/>
              </w:rPr>
              <w:tab/>
            </w:r>
            <w:r w:rsidRPr="00674311">
              <w:rPr>
                <w:rStyle w:val="Hyperlink"/>
                <w:noProof/>
              </w:rPr>
              <w:t>Understanding cultural safety for older Aboriginal and Torres Strait Islander people</w:t>
            </w:r>
            <w:r>
              <w:rPr>
                <w:noProof/>
                <w:webHidden/>
              </w:rPr>
              <w:tab/>
            </w:r>
            <w:r>
              <w:rPr>
                <w:noProof/>
                <w:webHidden/>
              </w:rPr>
              <w:fldChar w:fldCharType="begin"/>
            </w:r>
            <w:r>
              <w:rPr>
                <w:noProof/>
                <w:webHidden/>
              </w:rPr>
              <w:instrText xml:space="preserve"> PAGEREF _Toc224916706 \h </w:instrText>
            </w:r>
            <w:r>
              <w:rPr>
                <w:noProof/>
                <w:webHidden/>
              </w:rPr>
            </w:r>
            <w:r>
              <w:rPr>
                <w:noProof/>
                <w:webHidden/>
              </w:rPr>
              <w:fldChar w:fldCharType="separate"/>
            </w:r>
            <w:r w:rsidR="00F97942">
              <w:rPr>
                <w:noProof/>
                <w:webHidden/>
              </w:rPr>
              <w:t>354</w:t>
            </w:r>
            <w:r>
              <w:rPr>
                <w:noProof/>
                <w:webHidden/>
              </w:rPr>
              <w:fldChar w:fldCharType="end"/>
            </w:r>
          </w:hyperlink>
        </w:p>
        <w:p w14:paraId="18349E0E" w14:textId="3F9771FB"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7" w:history="1">
            <w:r w:rsidRPr="00674311">
              <w:rPr>
                <w:rStyle w:val="Hyperlink"/>
                <w:rFonts w:eastAsia="Arial"/>
                <w:noProof/>
              </w:rPr>
              <w:t>12.3.</w:t>
            </w:r>
            <w:r>
              <w:rPr>
                <w:rFonts w:asciiTheme="minorHAnsi" w:eastAsiaTheme="minorEastAsia" w:hAnsiTheme="minorHAnsi" w:cstheme="minorBidi"/>
                <w:noProof/>
                <w:kern w:val="2"/>
                <w:sz w:val="24"/>
                <w:lang w:val="en-AU"/>
                <w14:ligatures w14:val="standardContextual"/>
              </w:rPr>
              <w:tab/>
            </w:r>
            <w:r w:rsidRPr="00674311">
              <w:rPr>
                <w:rStyle w:val="Hyperlink"/>
                <w:noProof/>
              </w:rPr>
              <w:t>Cultural safety for other cohorts</w:t>
            </w:r>
            <w:r>
              <w:rPr>
                <w:noProof/>
                <w:webHidden/>
              </w:rPr>
              <w:tab/>
            </w:r>
            <w:r>
              <w:rPr>
                <w:noProof/>
                <w:webHidden/>
              </w:rPr>
              <w:fldChar w:fldCharType="begin"/>
            </w:r>
            <w:r>
              <w:rPr>
                <w:noProof/>
                <w:webHidden/>
              </w:rPr>
              <w:instrText xml:space="preserve"> PAGEREF _Toc224916707 \h </w:instrText>
            </w:r>
            <w:r>
              <w:rPr>
                <w:noProof/>
                <w:webHidden/>
              </w:rPr>
            </w:r>
            <w:r>
              <w:rPr>
                <w:noProof/>
                <w:webHidden/>
              </w:rPr>
              <w:fldChar w:fldCharType="separate"/>
            </w:r>
            <w:r w:rsidR="00F97942">
              <w:rPr>
                <w:noProof/>
                <w:webHidden/>
              </w:rPr>
              <w:t>355</w:t>
            </w:r>
            <w:r>
              <w:rPr>
                <w:noProof/>
                <w:webHidden/>
              </w:rPr>
              <w:fldChar w:fldCharType="end"/>
            </w:r>
          </w:hyperlink>
        </w:p>
        <w:p w14:paraId="35A042AC" w14:textId="073636C6"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8" w:history="1">
            <w:r w:rsidRPr="00674311">
              <w:rPr>
                <w:rStyle w:val="Hyperlink"/>
                <w:noProof/>
              </w:rPr>
              <w:t>12.4.</w:t>
            </w:r>
            <w:r>
              <w:rPr>
                <w:rFonts w:asciiTheme="minorHAnsi" w:eastAsiaTheme="minorEastAsia" w:hAnsiTheme="minorHAnsi" w:cstheme="minorBidi"/>
                <w:noProof/>
                <w:kern w:val="2"/>
                <w:sz w:val="24"/>
                <w:lang w:val="en-AU"/>
                <w14:ligatures w14:val="standardContextual"/>
              </w:rPr>
              <w:tab/>
            </w:r>
            <w:r w:rsidRPr="00674311">
              <w:rPr>
                <w:rStyle w:val="Hyperlink"/>
                <w:noProof/>
              </w:rPr>
              <w:t>People with dementia</w:t>
            </w:r>
            <w:r>
              <w:rPr>
                <w:noProof/>
                <w:webHidden/>
              </w:rPr>
              <w:tab/>
            </w:r>
            <w:r>
              <w:rPr>
                <w:noProof/>
                <w:webHidden/>
              </w:rPr>
              <w:fldChar w:fldCharType="begin"/>
            </w:r>
            <w:r>
              <w:rPr>
                <w:noProof/>
                <w:webHidden/>
              </w:rPr>
              <w:instrText xml:space="preserve"> PAGEREF _Toc224916708 \h </w:instrText>
            </w:r>
            <w:r>
              <w:rPr>
                <w:noProof/>
                <w:webHidden/>
              </w:rPr>
            </w:r>
            <w:r>
              <w:rPr>
                <w:noProof/>
                <w:webHidden/>
              </w:rPr>
              <w:fldChar w:fldCharType="separate"/>
            </w:r>
            <w:r w:rsidR="00F97942">
              <w:rPr>
                <w:noProof/>
                <w:webHidden/>
              </w:rPr>
              <w:t>357</w:t>
            </w:r>
            <w:r>
              <w:rPr>
                <w:noProof/>
                <w:webHidden/>
              </w:rPr>
              <w:fldChar w:fldCharType="end"/>
            </w:r>
          </w:hyperlink>
        </w:p>
        <w:p w14:paraId="602A942D" w14:textId="3FC990C5"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09" w:history="1">
            <w:r w:rsidRPr="00674311">
              <w:rPr>
                <w:rStyle w:val="Hyperlink"/>
                <w:noProof/>
              </w:rPr>
              <w:t>12.5.</w:t>
            </w:r>
            <w:r>
              <w:rPr>
                <w:rFonts w:asciiTheme="minorHAnsi" w:eastAsiaTheme="minorEastAsia" w:hAnsiTheme="minorHAnsi" w:cstheme="minorBidi"/>
                <w:noProof/>
                <w:kern w:val="2"/>
                <w:sz w:val="24"/>
                <w:lang w:val="en-AU"/>
                <w14:ligatures w14:val="standardContextual"/>
              </w:rPr>
              <w:tab/>
            </w:r>
            <w:r w:rsidRPr="00674311">
              <w:rPr>
                <w:rStyle w:val="Hyperlink"/>
                <w:noProof/>
              </w:rPr>
              <w:t>People who live in remote and very remote areas</w:t>
            </w:r>
            <w:r>
              <w:rPr>
                <w:noProof/>
                <w:webHidden/>
              </w:rPr>
              <w:tab/>
            </w:r>
            <w:r>
              <w:rPr>
                <w:noProof/>
                <w:webHidden/>
              </w:rPr>
              <w:fldChar w:fldCharType="begin"/>
            </w:r>
            <w:r>
              <w:rPr>
                <w:noProof/>
                <w:webHidden/>
              </w:rPr>
              <w:instrText xml:space="preserve"> PAGEREF _Toc224916709 \h </w:instrText>
            </w:r>
            <w:r>
              <w:rPr>
                <w:noProof/>
                <w:webHidden/>
              </w:rPr>
            </w:r>
            <w:r>
              <w:rPr>
                <w:noProof/>
                <w:webHidden/>
              </w:rPr>
              <w:fldChar w:fldCharType="separate"/>
            </w:r>
            <w:r w:rsidR="00F97942">
              <w:rPr>
                <w:noProof/>
                <w:webHidden/>
              </w:rPr>
              <w:t>360</w:t>
            </w:r>
            <w:r>
              <w:rPr>
                <w:noProof/>
                <w:webHidden/>
              </w:rPr>
              <w:fldChar w:fldCharType="end"/>
            </w:r>
          </w:hyperlink>
        </w:p>
        <w:p w14:paraId="5C837E6D" w14:textId="16473050"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0" w:history="1">
            <w:r w:rsidRPr="00674311">
              <w:rPr>
                <w:rStyle w:val="Hyperlink"/>
                <w:noProof/>
              </w:rPr>
              <w:t>12.6.</w:t>
            </w:r>
            <w:r>
              <w:rPr>
                <w:rFonts w:asciiTheme="minorHAnsi" w:eastAsiaTheme="minorEastAsia" w:hAnsiTheme="minorHAnsi" w:cstheme="minorBidi"/>
                <w:noProof/>
                <w:kern w:val="2"/>
                <w:sz w:val="24"/>
                <w:lang w:val="en-AU"/>
                <w14:ligatures w14:val="standardContextual"/>
              </w:rPr>
              <w:tab/>
            </w:r>
            <w:r w:rsidRPr="00674311">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_Toc224916710 \h </w:instrText>
            </w:r>
            <w:r>
              <w:rPr>
                <w:noProof/>
                <w:webHidden/>
              </w:rPr>
            </w:r>
            <w:r>
              <w:rPr>
                <w:noProof/>
                <w:webHidden/>
              </w:rPr>
              <w:fldChar w:fldCharType="separate"/>
            </w:r>
            <w:r w:rsidR="00F97942">
              <w:rPr>
                <w:noProof/>
                <w:webHidden/>
              </w:rPr>
              <w:t>360</w:t>
            </w:r>
            <w:r>
              <w:rPr>
                <w:noProof/>
                <w:webHidden/>
              </w:rPr>
              <w:fldChar w:fldCharType="end"/>
            </w:r>
          </w:hyperlink>
        </w:p>
        <w:p w14:paraId="3B961402" w14:textId="7A5FF65C"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1" w:history="1">
            <w:r w:rsidRPr="00674311">
              <w:rPr>
                <w:rStyle w:val="Hyperlink"/>
                <w:noProof/>
              </w:rPr>
              <w:t>12.7.</w:t>
            </w:r>
            <w:r>
              <w:rPr>
                <w:rFonts w:asciiTheme="minorHAnsi" w:eastAsiaTheme="minorEastAsia" w:hAnsiTheme="minorHAnsi" w:cstheme="minorBidi"/>
                <w:noProof/>
                <w:kern w:val="2"/>
                <w:sz w:val="24"/>
                <w:lang w:val="en-AU"/>
                <w14:ligatures w14:val="standardContextual"/>
              </w:rPr>
              <w:tab/>
            </w:r>
            <w:r w:rsidRPr="00674311">
              <w:rPr>
                <w:rStyle w:val="Hyperlink"/>
                <w:noProof/>
              </w:rPr>
              <w:t>People who are homeless or at risk of becoming homeless</w:t>
            </w:r>
            <w:r>
              <w:rPr>
                <w:noProof/>
                <w:webHidden/>
              </w:rPr>
              <w:tab/>
            </w:r>
            <w:r>
              <w:rPr>
                <w:noProof/>
                <w:webHidden/>
              </w:rPr>
              <w:fldChar w:fldCharType="begin"/>
            </w:r>
            <w:r>
              <w:rPr>
                <w:noProof/>
                <w:webHidden/>
              </w:rPr>
              <w:instrText xml:space="preserve"> PAGEREF _Toc224916711 \h </w:instrText>
            </w:r>
            <w:r>
              <w:rPr>
                <w:noProof/>
                <w:webHidden/>
              </w:rPr>
            </w:r>
            <w:r>
              <w:rPr>
                <w:noProof/>
                <w:webHidden/>
              </w:rPr>
              <w:fldChar w:fldCharType="separate"/>
            </w:r>
            <w:r w:rsidR="00F97942">
              <w:rPr>
                <w:noProof/>
                <w:webHidden/>
              </w:rPr>
              <w:t>361</w:t>
            </w:r>
            <w:r>
              <w:rPr>
                <w:noProof/>
                <w:webHidden/>
              </w:rPr>
              <w:fldChar w:fldCharType="end"/>
            </w:r>
          </w:hyperlink>
        </w:p>
        <w:p w14:paraId="078A6699" w14:textId="66838D3F"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2" w:history="1">
            <w:r w:rsidRPr="00674311">
              <w:rPr>
                <w:rStyle w:val="Hyperlink"/>
                <w:noProof/>
              </w:rPr>
              <w:t>12.8.</w:t>
            </w:r>
            <w:r>
              <w:rPr>
                <w:rFonts w:asciiTheme="minorHAnsi" w:eastAsiaTheme="minorEastAsia" w:hAnsiTheme="minorHAnsi" w:cstheme="minorBidi"/>
                <w:noProof/>
                <w:kern w:val="2"/>
                <w:sz w:val="24"/>
                <w:lang w:val="en-AU"/>
                <w14:ligatures w14:val="standardContextual"/>
              </w:rPr>
              <w:tab/>
            </w:r>
            <w:r w:rsidRPr="00674311">
              <w:rPr>
                <w:rStyle w:val="Hyperlink"/>
                <w:noProof/>
              </w:rPr>
              <w:t>Care leavers</w:t>
            </w:r>
            <w:r>
              <w:rPr>
                <w:noProof/>
                <w:webHidden/>
              </w:rPr>
              <w:tab/>
            </w:r>
            <w:r>
              <w:rPr>
                <w:noProof/>
                <w:webHidden/>
              </w:rPr>
              <w:fldChar w:fldCharType="begin"/>
            </w:r>
            <w:r>
              <w:rPr>
                <w:noProof/>
                <w:webHidden/>
              </w:rPr>
              <w:instrText xml:space="preserve"> PAGEREF _Toc224916712 \h </w:instrText>
            </w:r>
            <w:r>
              <w:rPr>
                <w:noProof/>
                <w:webHidden/>
              </w:rPr>
            </w:r>
            <w:r>
              <w:rPr>
                <w:noProof/>
                <w:webHidden/>
              </w:rPr>
              <w:fldChar w:fldCharType="separate"/>
            </w:r>
            <w:r w:rsidR="00F97942">
              <w:rPr>
                <w:noProof/>
                <w:webHidden/>
              </w:rPr>
              <w:t>362</w:t>
            </w:r>
            <w:r>
              <w:rPr>
                <w:noProof/>
                <w:webHidden/>
              </w:rPr>
              <w:fldChar w:fldCharType="end"/>
            </w:r>
          </w:hyperlink>
        </w:p>
        <w:p w14:paraId="638EB533" w14:textId="125254B8"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3" w:history="1">
            <w:r w:rsidRPr="00674311">
              <w:rPr>
                <w:rStyle w:val="Hyperlink"/>
                <w:noProof/>
              </w:rPr>
              <w:t>12.9.</w:t>
            </w:r>
            <w:r>
              <w:rPr>
                <w:rFonts w:asciiTheme="minorHAnsi" w:eastAsiaTheme="minorEastAsia" w:hAnsiTheme="minorHAnsi" w:cstheme="minorBidi"/>
                <w:noProof/>
                <w:kern w:val="2"/>
                <w:sz w:val="24"/>
                <w:lang w:val="en-AU"/>
                <w14:ligatures w14:val="standardContextual"/>
              </w:rPr>
              <w:tab/>
            </w:r>
            <w:r w:rsidRPr="00674311">
              <w:rPr>
                <w:rStyle w:val="Hyperlink"/>
                <w:noProof/>
              </w:rPr>
              <w:t>Parents separated from their children by forced adoption or removal</w:t>
            </w:r>
            <w:r>
              <w:rPr>
                <w:noProof/>
                <w:webHidden/>
              </w:rPr>
              <w:tab/>
            </w:r>
            <w:r>
              <w:rPr>
                <w:noProof/>
                <w:webHidden/>
              </w:rPr>
              <w:fldChar w:fldCharType="begin"/>
            </w:r>
            <w:r>
              <w:rPr>
                <w:noProof/>
                <w:webHidden/>
              </w:rPr>
              <w:instrText xml:space="preserve"> PAGEREF _Toc224916713 \h </w:instrText>
            </w:r>
            <w:r>
              <w:rPr>
                <w:noProof/>
                <w:webHidden/>
              </w:rPr>
            </w:r>
            <w:r>
              <w:rPr>
                <w:noProof/>
                <w:webHidden/>
              </w:rPr>
              <w:fldChar w:fldCharType="separate"/>
            </w:r>
            <w:r w:rsidR="00F97942">
              <w:rPr>
                <w:noProof/>
                <w:webHidden/>
              </w:rPr>
              <w:t>363</w:t>
            </w:r>
            <w:r>
              <w:rPr>
                <w:noProof/>
                <w:webHidden/>
              </w:rPr>
              <w:fldChar w:fldCharType="end"/>
            </w:r>
          </w:hyperlink>
        </w:p>
        <w:p w14:paraId="74CA5983" w14:textId="48706CDA"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4" w:history="1">
            <w:r w:rsidRPr="00674311">
              <w:rPr>
                <w:rStyle w:val="Hyperlink"/>
                <w:noProof/>
              </w:rPr>
              <w:t>12.10.</w:t>
            </w:r>
            <w:r>
              <w:rPr>
                <w:rFonts w:asciiTheme="minorHAnsi" w:eastAsiaTheme="minorEastAsia" w:hAnsiTheme="minorHAnsi" w:cstheme="minorBidi"/>
                <w:noProof/>
                <w:kern w:val="2"/>
                <w:sz w:val="24"/>
                <w:lang w:val="en-AU"/>
                <w14:ligatures w14:val="standardContextual"/>
              </w:rPr>
              <w:tab/>
            </w:r>
            <w:r w:rsidRPr="00674311">
              <w:rPr>
                <w:rStyle w:val="Hyperlink"/>
                <w:noProof/>
              </w:rPr>
              <w:t>Lesbian, gay, bisexual, trans, intersex and other gender diverse people (LGBTI)</w:t>
            </w:r>
            <w:r>
              <w:rPr>
                <w:noProof/>
                <w:webHidden/>
              </w:rPr>
              <w:tab/>
            </w:r>
            <w:r>
              <w:rPr>
                <w:noProof/>
                <w:webHidden/>
              </w:rPr>
              <w:fldChar w:fldCharType="begin"/>
            </w:r>
            <w:r>
              <w:rPr>
                <w:noProof/>
                <w:webHidden/>
              </w:rPr>
              <w:instrText xml:space="preserve"> PAGEREF _Toc224916714 \h </w:instrText>
            </w:r>
            <w:r>
              <w:rPr>
                <w:noProof/>
                <w:webHidden/>
              </w:rPr>
            </w:r>
            <w:r>
              <w:rPr>
                <w:noProof/>
                <w:webHidden/>
              </w:rPr>
              <w:fldChar w:fldCharType="separate"/>
            </w:r>
            <w:r w:rsidR="00F97942">
              <w:rPr>
                <w:noProof/>
                <w:webHidden/>
              </w:rPr>
              <w:t>363</w:t>
            </w:r>
            <w:r>
              <w:rPr>
                <w:noProof/>
                <w:webHidden/>
              </w:rPr>
              <w:fldChar w:fldCharType="end"/>
            </w:r>
          </w:hyperlink>
        </w:p>
        <w:p w14:paraId="11D8FDB0" w14:textId="2F08D6F2"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5" w:history="1">
            <w:r w:rsidRPr="00674311">
              <w:rPr>
                <w:rStyle w:val="Hyperlink"/>
                <w:noProof/>
              </w:rPr>
              <w:t>12.11.</w:t>
            </w:r>
            <w:r>
              <w:rPr>
                <w:rFonts w:asciiTheme="minorHAnsi" w:eastAsiaTheme="minorEastAsia" w:hAnsiTheme="minorHAnsi" w:cstheme="minorBidi"/>
                <w:noProof/>
                <w:kern w:val="2"/>
                <w:sz w:val="24"/>
                <w:lang w:val="en-AU"/>
                <w14:ligatures w14:val="standardContextual"/>
              </w:rPr>
              <w:tab/>
            </w:r>
            <w:r w:rsidRPr="00674311">
              <w:rPr>
                <w:rStyle w:val="Hyperlink"/>
                <w:noProof/>
              </w:rPr>
              <w:t>Other groups</w:t>
            </w:r>
            <w:r>
              <w:rPr>
                <w:noProof/>
                <w:webHidden/>
              </w:rPr>
              <w:tab/>
            </w:r>
            <w:r>
              <w:rPr>
                <w:noProof/>
                <w:webHidden/>
              </w:rPr>
              <w:fldChar w:fldCharType="begin"/>
            </w:r>
            <w:r>
              <w:rPr>
                <w:noProof/>
                <w:webHidden/>
              </w:rPr>
              <w:instrText xml:space="preserve"> PAGEREF _Toc224916715 \h </w:instrText>
            </w:r>
            <w:r>
              <w:rPr>
                <w:noProof/>
                <w:webHidden/>
              </w:rPr>
            </w:r>
            <w:r>
              <w:rPr>
                <w:noProof/>
                <w:webHidden/>
              </w:rPr>
              <w:fldChar w:fldCharType="separate"/>
            </w:r>
            <w:r w:rsidR="00F97942">
              <w:rPr>
                <w:noProof/>
                <w:webHidden/>
              </w:rPr>
              <w:t>364</w:t>
            </w:r>
            <w:r>
              <w:rPr>
                <w:noProof/>
                <w:webHidden/>
              </w:rPr>
              <w:fldChar w:fldCharType="end"/>
            </w:r>
          </w:hyperlink>
        </w:p>
        <w:p w14:paraId="4C890F98" w14:textId="6112B141" w:rsidR="00615041" w:rsidRDefault="00615041">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24916716" w:history="1">
            <w:r w:rsidRPr="00674311">
              <w:rPr>
                <w:rStyle w:val="Hyperlink"/>
                <w:noProof/>
              </w:rPr>
              <w:t>13.</w:t>
            </w:r>
            <w:r>
              <w:rPr>
                <w:rFonts w:asciiTheme="minorHAnsi" w:eastAsiaTheme="minorEastAsia" w:hAnsiTheme="minorHAnsi" w:cstheme="minorBidi"/>
                <w:noProof/>
                <w:kern w:val="2"/>
                <w:sz w:val="24"/>
                <w:lang w:val="en-AU"/>
                <w14:ligatures w14:val="standardContextual"/>
              </w:rPr>
              <w:tab/>
            </w:r>
            <w:r w:rsidRPr="00674311">
              <w:rPr>
                <w:rStyle w:val="Hyperlink"/>
                <w:noProof/>
              </w:rPr>
              <w:t>Operating procedures</w:t>
            </w:r>
            <w:r>
              <w:rPr>
                <w:noProof/>
                <w:webHidden/>
              </w:rPr>
              <w:tab/>
            </w:r>
            <w:r>
              <w:rPr>
                <w:noProof/>
                <w:webHidden/>
              </w:rPr>
              <w:fldChar w:fldCharType="begin"/>
            </w:r>
            <w:r>
              <w:rPr>
                <w:noProof/>
                <w:webHidden/>
              </w:rPr>
              <w:instrText xml:space="preserve"> PAGEREF _Toc224916716 \h </w:instrText>
            </w:r>
            <w:r>
              <w:rPr>
                <w:noProof/>
                <w:webHidden/>
              </w:rPr>
            </w:r>
            <w:r>
              <w:rPr>
                <w:noProof/>
                <w:webHidden/>
              </w:rPr>
              <w:fldChar w:fldCharType="separate"/>
            </w:r>
            <w:r w:rsidR="00F97942">
              <w:rPr>
                <w:noProof/>
                <w:webHidden/>
              </w:rPr>
              <w:t>370</w:t>
            </w:r>
            <w:r>
              <w:rPr>
                <w:noProof/>
                <w:webHidden/>
              </w:rPr>
              <w:fldChar w:fldCharType="end"/>
            </w:r>
          </w:hyperlink>
        </w:p>
        <w:p w14:paraId="41281F13" w14:textId="61B500A7"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7" w:history="1">
            <w:r w:rsidRPr="00674311">
              <w:rPr>
                <w:rStyle w:val="Hyperlink"/>
                <w:noProof/>
              </w:rPr>
              <w:t>13.1.</w:t>
            </w:r>
            <w:r>
              <w:rPr>
                <w:rFonts w:asciiTheme="minorHAnsi" w:eastAsiaTheme="minorEastAsia" w:hAnsiTheme="minorHAnsi" w:cstheme="minorBidi"/>
                <w:noProof/>
                <w:kern w:val="2"/>
                <w:sz w:val="24"/>
                <w:lang w:val="en-AU"/>
                <w14:ligatures w14:val="standardContextual"/>
              </w:rPr>
              <w:tab/>
            </w:r>
            <w:r w:rsidRPr="00674311">
              <w:rPr>
                <w:rStyle w:val="Hyperlink"/>
                <w:noProof/>
              </w:rPr>
              <w:t>Applying to be a delegate</w:t>
            </w:r>
            <w:r>
              <w:rPr>
                <w:noProof/>
                <w:webHidden/>
              </w:rPr>
              <w:tab/>
            </w:r>
            <w:r>
              <w:rPr>
                <w:noProof/>
                <w:webHidden/>
              </w:rPr>
              <w:fldChar w:fldCharType="begin"/>
            </w:r>
            <w:r>
              <w:rPr>
                <w:noProof/>
                <w:webHidden/>
              </w:rPr>
              <w:instrText xml:space="preserve"> PAGEREF _Toc224916717 \h </w:instrText>
            </w:r>
            <w:r>
              <w:rPr>
                <w:noProof/>
                <w:webHidden/>
              </w:rPr>
            </w:r>
            <w:r>
              <w:rPr>
                <w:noProof/>
                <w:webHidden/>
              </w:rPr>
              <w:fldChar w:fldCharType="separate"/>
            </w:r>
            <w:r w:rsidR="00F97942">
              <w:rPr>
                <w:noProof/>
                <w:webHidden/>
              </w:rPr>
              <w:t>370</w:t>
            </w:r>
            <w:r>
              <w:rPr>
                <w:noProof/>
                <w:webHidden/>
              </w:rPr>
              <w:fldChar w:fldCharType="end"/>
            </w:r>
          </w:hyperlink>
        </w:p>
        <w:p w14:paraId="3B3CE21C" w14:textId="7108B855"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8" w:history="1">
            <w:r w:rsidRPr="00674311">
              <w:rPr>
                <w:rStyle w:val="Hyperlink"/>
                <w:noProof/>
                <w:lang w:val="en-AU"/>
              </w:rPr>
              <w:t>13.2.</w:t>
            </w:r>
            <w:r>
              <w:rPr>
                <w:rFonts w:asciiTheme="minorHAnsi" w:eastAsiaTheme="minorEastAsia" w:hAnsiTheme="minorHAnsi" w:cstheme="minorBidi"/>
                <w:noProof/>
                <w:kern w:val="2"/>
                <w:sz w:val="24"/>
                <w:lang w:val="en-AU"/>
                <w14:ligatures w14:val="standardContextual"/>
              </w:rPr>
              <w:tab/>
            </w:r>
            <w:r w:rsidRPr="00674311">
              <w:rPr>
                <w:rStyle w:val="Hyperlink"/>
                <w:noProof/>
              </w:rPr>
              <w:t xml:space="preserve">Information </w:t>
            </w:r>
            <w:r w:rsidRPr="00674311">
              <w:rPr>
                <w:rStyle w:val="Hyperlink"/>
                <w:noProof/>
                <w:lang w:val="en-AU"/>
              </w:rPr>
              <w:t>management</w:t>
            </w:r>
            <w:r>
              <w:rPr>
                <w:noProof/>
                <w:webHidden/>
              </w:rPr>
              <w:tab/>
            </w:r>
            <w:r>
              <w:rPr>
                <w:noProof/>
                <w:webHidden/>
              </w:rPr>
              <w:fldChar w:fldCharType="begin"/>
            </w:r>
            <w:r>
              <w:rPr>
                <w:noProof/>
                <w:webHidden/>
              </w:rPr>
              <w:instrText xml:space="preserve"> PAGEREF _Toc224916718 \h </w:instrText>
            </w:r>
            <w:r>
              <w:rPr>
                <w:noProof/>
                <w:webHidden/>
              </w:rPr>
            </w:r>
            <w:r>
              <w:rPr>
                <w:noProof/>
                <w:webHidden/>
              </w:rPr>
              <w:fldChar w:fldCharType="separate"/>
            </w:r>
            <w:r w:rsidR="00F97942">
              <w:rPr>
                <w:noProof/>
                <w:webHidden/>
              </w:rPr>
              <w:t>374</w:t>
            </w:r>
            <w:r>
              <w:rPr>
                <w:noProof/>
                <w:webHidden/>
              </w:rPr>
              <w:fldChar w:fldCharType="end"/>
            </w:r>
          </w:hyperlink>
        </w:p>
        <w:p w14:paraId="29BB2D95" w14:textId="3CA3DE53"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19" w:history="1">
            <w:r w:rsidRPr="00674311">
              <w:rPr>
                <w:rStyle w:val="Hyperlink"/>
                <w:noProof/>
              </w:rPr>
              <w:t>13.3.</w:t>
            </w:r>
            <w:r>
              <w:rPr>
                <w:rFonts w:asciiTheme="minorHAnsi" w:eastAsiaTheme="minorEastAsia" w:hAnsiTheme="minorHAnsi" w:cstheme="minorBidi"/>
                <w:noProof/>
                <w:kern w:val="2"/>
                <w:sz w:val="24"/>
                <w:lang w:val="en-AU"/>
                <w14:ligatures w14:val="standardContextual"/>
              </w:rPr>
              <w:tab/>
            </w:r>
            <w:r w:rsidRPr="00674311">
              <w:rPr>
                <w:rStyle w:val="Hyperlink"/>
                <w:noProof/>
              </w:rPr>
              <w:t>Clinical governance</w:t>
            </w:r>
            <w:r>
              <w:rPr>
                <w:noProof/>
                <w:webHidden/>
              </w:rPr>
              <w:tab/>
            </w:r>
            <w:r>
              <w:rPr>
                <w:noProof/>
                <w:webHidden/>
              </w:rPr>
              <w:fldChar w:fldCharType="begin"/>
            </w:r>
            <w:r>
              <w:rPr>
                <w:noProof/>
                <w:webHidden/>
              </w:rPr>
              <w:instrText xml:space="preserve"> PAGEREF _Toc224916719 \h </w:instrText>
            </w:r>
            <w:r>
              <w:rPr>
                <w:noProof/>
                <w:webHidden/>
              </w:rPr>
            </w:r>
            <w:r>
              <w:rPr>
                <w:noProof/>
                <w:webHidden/>
              </w:rPr>
              <w:fldChar w:fldCharType="separate"/>
            </w:r>
            <w:r w:rsidR="00F97942">
              <w:rPr>
                <w:noProof/>
                <w:webHidden/>
              </w:rPr>
              <w:t>379</w:t>
            </w:r>
            <w:r>
              <w:rPr>
                <w:noProof/>
                <w:webHidden/>
              </w:rPr>
              <w:fldChar w:fldCharType="end"/>
            </w:r>
          </w:hyperlink>
        </w:p>
        <w:p w14:paraId="0CD065B4" w14:textId="6E6E6D71"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20" w:history="1">
            <w:r w:rsidRPr="00674311">
              <w:rPr>
                <w:rStyle w:val="Hyperlink"/>
                <w:noProof/>
              </w:rPr>
              <w:t>13.4.</w:t>
            </w:r>
            <w:r>
              <w:rPr>
                <w:rFonts w:asciiTheme="minorHAnsi" w:eastAsiaTheme="minorEastAsia" w:hAnsiTheme="minorHAnsi" w:cstheme="minorBidi"/>
                <w:noProof/>
                <w:kern w:val="2"/>
                <w:sz w:val="24"/>
                <w:lang w:val="en-AU"/>
                <w14:ligatures w14:val="standardContextual"/>
              </w:rPr>
              <w:tab/>
            </w:r>
            <w:r w:rsidRPr="00674311">
              <w:rPr>
                <w:rStyle w:val="Hyperlink"/>
                <w:noProof/>
              </w:rPr>
              <w:t>Separation of assessment services and delivery of aged care services</w:t>
            </w:r>
            <w:r>
              <w:rPr>
                <w:noProof/>
                <w:webHidden/>
              </w:rPr>
              <w:tab/>
            </w:r>
            <w:r>
              <w:rPr>
                <w:noProof/>
                <w:webHidden/>
              </w:rPr>
              <w:fldChar w:fldCharType="begin"/>
            </w:r>
            <w:r>
              <w:rPr>
                <w:noProof/>
                <w:webHidden/>
              </w:rPr>
              <w:instrText xml:space="preserve"> PAGEREF _Toc224916720 \h </w:instrText>
            </w:r>
            <w:r>
              <w:rPr>
                <w:noProof/>
                <w:webHidden/>
              </w:rPr>
            </w:r>
            <w:r>
              <w:rPr>
                <w:noProof/>
                <w:webHidden/>
              </w:rPr>
              <w:fldChar w:fldCharType="separate"/>
            </w:r>
            <w:r w:rsidR="00F97942">
              <w:rPr>
                <w:noProof/>
                <w:webHidden/>
              </w:rPr>
              <w:t>379</w:t>
            </w:r>
            <w:r>
              <w:rPr>
                <w:noProof/>
                <w:webHidden/>
              </w:rPr>
              <w:fldChar w:fldCharType="end"/>
            </w:r>
          </w:hyperlink>
        </w:p>
        <w:p w14:paraId="31DA6330" w14:textId="73388765"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21" w:history="1">
            <w:r w:rsidRPr="00674311">
              <w:rPr>
                <w:rStyle w:val="Hyperlink"/>
                <w:noProof/>
              </w:rPr>
              <w:t>13.5.</w:t>
            </w:r>
            <w:r>
              <w:rPr>
                <w:rFonts w:asciiTheme="minorHAnsi" w:eastAsiaTheme="minorEastAsia" w:hAnsiTheme="minorHAnsi" w:cstheme="minorBidi"/>
                <w:noProof/>
                <w:kern w:val="2"/>
                <w:sz w:val="24"/>
                <w:lang w:val="en-AU"/>
                <w14:ligatures w14:val="standardContextual"/>
              </w:rPr>
              <w:tab/>
            </w:r>
            <w:r w:rsidRPr="00674311">
              <w:rPr>
                <w:rStyle w:val="Hyperlink"/>
                <w:noProof/>
              </w:rPr>
              <w:t>Branding</w:t>
            </w:r>
            <w:r>
              <w:rPr>
                <w:noProof/>
                <w:webHidden/>
              </w:rPr>
              <w:tab/>
            </w:r>
            <w:r>
              <w:rPr>
                <w:noProof/>
                <w:webHidden/>
              </w:rPr>
              <w:fldChar w:fldCharType="begin"/>
            </w:r>
            <w:r>
              <w:rPr>
                <w:noProof/>
                <w:webHidden/>
              </w:rPr>
              <w:instrText xml:space="preserve"> PAGEREF _Toc224916721 \h </w:instrText>
            </w:r>
            <w:r>
              <w:rPr>
                <w:noProof/>
                <w:webHidden/>
              </w:rPr>
            </w:r>
            <w:r>
              <w:rPr>
                <w:noProof/>
                <w:webHidden/>
              </w:rPr>
              <w:fldChar w:fldCharType="separate"/>
            </w:r>
            <w:r w:rsidR="00F97942">
              <w:rPr>
                <w:noProof/>
                <w:webHidden/>
              </w:rPr>
              <w:t>380</w:t>
            </w:r>
            <w:r>
              <w:rPr>
                <w:noProof/>
                <w:webHidden/>
              </w:rPr>
              <w:fldChar w:fldCharType="end"/>
            </w:r>
          </w:hyperlink>
        </w:p>
        <w:p w14:paraId="221BF624" w14:textId="0A923DC5"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22" w:history="1">
            <w:r w:rsidRPr="00674311">
              <w:rPr>
                <w:rStyle w:val="Hyperlink"/>
                <w:noProof/>
              </w:rPr>
              <w:t>13.6.</w:t>
            </w:r>
            <w:r>
              <w:rPr>
                <w:rFonts w:asciiTheme="minorHAnsi" w:eastAsiaTheme="minorEastAsia" w:hAnsiTheme="minorHAnsi" w:cstheme="minorBidi"/>
                <w:noProof/>
                <w:kern w:val="2"/>
                <w:sz w:val="24"/>
                <w:lang w:val="en-AU"/>
                <w14:ligatures w14:val="standardContextual"/>
              </w:rPr>
              <w:tab/>
            </w:r>
            <w:r w:rsidRPr="00674311">
              <w:rPr>
                <w:rStyle w:val="Hyperlink"/>
                <w:noProof/>
              </w:rPr>
              <w:t>Aged care resources for older people</w:t>
            </w:r>
            <w:r>
              <w:rPr>
                <w:noProof/>
                <w:webHidden/>
              </w:rPr>
              <w:tab/>
            </w:r>
            <w:r>
              <w:rPr>
                <w:noProof/>
                <w:webHidden/>
              </w:rPr>
              <w:fldChar w:fldCharType="begin"/>
            </w:r>
            <w:r>
              <w:rPr>
                <w:noProof/>
                <w:webHidden/>
              </w:rPr>
              <w:instrText xml:space="preserve"> PAGEREF _Toc224916722 \h </w:instrText>
            </w:r>
            <w:r>
              <w:rPr>
                <w:noProof/>
                <w:webHidden/>
              </w:rPr>
            </w:r>
            <w:r>
              <w:rPr>
                <w:noProof/>
                <w:webHidden/>
              </w:rPr>
              <w:fldChar w:fldCharType="separate"/>
            </w:r>
            <w:r w:rsidR="00F97942">
              <w:rPr>
                <w:noProof/>
                <w:webHidden/>
              </w:rPr>
              <w:t>381</w:t>
            </w:r>
            <w:r>
              <w:rPr>
                <w:noProof/>
                <w:webHidden/>
              </w:rPr>
              <w:fldChar w:fldCharType="end"/>
            </w:r>
          </w:hyperlink>
        </w:p>
        <w:p w14:paraId="25BE846B" w14:textId="06F217F0"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23" w:history="1">
            <w:r w:rsidRPr="00674311">
              <w:rPr>
                <w:rStyle w:val="Hyperlink"/>
                <w:noProof/>
              </w:rPr>
              <w:t>13.7.</w:t>
            </w:r>
            <w:r>
              <w:rPr>
                <w:rFonts w:asciiTheme="minorHAnsi" w:eastAsiaTheme="minorEastAsia" w:hAnsiTheme="minorHAnsi" w:cstheme="minorBidi"/>
                <w:noProof/>
                <w:kern w:val="2"/>
                <w:sz w:val="24"/>
                <w:lang w:val="en-AU"/>
                <w14:ligatures w14:val="standardContextual"/>
              </w:rPr>
              <w:tab/>
            </w:r>
            <w:r w:rsidRPr="00674311">
              <w:rPr>
                <w:rStyle w:val="Hyperlink"/>
                <w:noProof/>
              </w:rPr>
              <w:t>Reporting and performance</w:t>
            </w:r>
            <w:r>
              <w:rPr>
                <w:noProof/>
                <w:webHidden/>
              </w:rPr>
              <w:tab/>
            </w:r>
            <w:r>
              <w:rPr>
                <w:noProof/>
                <w:webHidden/>
              </w:rPr>
              <w:fldChar w:fldCharType="begin"/>
            </w:r>
            <w:r>
              <w:rPr>
                <w:noProof/>
                <w:webHidden/>
              </w:rPr>
              <w:instrText xml:space="preserve"> PAGEREF _Toc224916723 \h </w:instrText>
            </w:r>
            <w:r>
              <w:rPr>
                <w:noProof/>
                <w:webHidden/>
              </w:rPr>
            </w:r>
            <w:r>
              <w:rPr>
                <w:noProof/>
                <w:webHidden/>
              </w:rPr>
              <w:fldChar w:fldCharType="separate"/>
            </w:r>
            <w:r w:rsidR="00F97942">
              <w:rPr>
                <w:noProof/>
                <w:webHidden/>
              </w:rPr>
              <w:t>381</w:t>
            </w:r>
            <w:r>
              <w:rPr>
                <w:noProof/>
                <w:webHidden/>
              </w:rPr>
              <w:fldChar w:fldCharType="end"/>
            </w:r>
          </w:hyperlink>
        </w:p>
        <w:p w14:paraId="18EABF56" w14:textId="0AE3162B" w:rsidR="00615041" w:rsidRDefault="00615041">
          <w:pPr>
            <w:pStyle w:val="TOC1"/>
            <w:tabs>
              <w:tab w:val="left" w:pos="720"/>
              <w:tab w:val="right" w:leader="dot" w:pos="9016"/>
            </w:tabs>
            <w:rPr>
              <w:rFonts w:asciiTheme="minorHAnsi" w:eastAsiaTheme="minorEastAsia" w:hAnsiTheme="minorHAnsi" w:cstheme="minorBidi"/>
              <w:noProof/>
              <w:kern w:val="2"/>
              <w:sz w:val="24"/>
              <w:lang w:val="en-AU"/>
              <w14:ligatures w14:val="standardContextual"/>
            </w:rPr>
          </w:pPr>
          <w:hyperlink w:anchor="_Toc224916724" w:history="1">
            <w:r w:rsidRPr="00674311">
              <w:rPr>
                <w:rStyle w:val="Hyperlink"/>
                <w:noProof/>
              </w:rPr>
              <w:t>14.</w:t>
            </w:r>
            <w:r>
              <w:rPr>
                <w:rFonts w:asciiTheme="minorHAnsi" w:eastAsiaTheme="minorEastAsia" w:hAnsiTheme="minorHAnsi" w:cstheme="minorBidi"/>
                <w:noProof/>
                <w:kern w:val="2"/>
                <w:sz w:val="24"/>
                <w:lang w:val="en-AU"/>
                <w14:ligatures w14:val="standardContextual"/>
              </w:rPr>
              <w:tab/>
            </w:r>
            <w:r w:rsidRPr="00674311">
              <w:rPr>
                <w:rStyle w:val="Hyperlink"/>
                <w:noProof/>
              </w:rPr>
              <w:t>Chapter 14 – Fees and payments</w:t>
            </w:r>
            <w:r>
              <w:rPr>
                <w:noProof/>
                <w:webHidden/>
              </w:rPr>
              <w:tab/>
            </w:r>
            <w:r>
              <w:rPr>
                <w:noProof/>
                <w:webHidden/>
              </w:rPr>
              <w:fldChar w:fldCharType="begin"/>
            </w:r>
            <w:r>
              <w:rPr>
                <w:noProof/>
                <w:webHidden/>
              </w:rPr>
              <w:instrText xml:space="preserve"> PAGEREF _Toc224916724 \h </w:instrText>
            </w:r>
            <w:r>
              <w:rPr>
                <w:noProof/>
                <w:webHidden/>
              </w:rPr>
            </w:r>
            <w:r>
              <w:rPr>
                <w:noProof/>
                <w:webHidden/>
              </w:rPr>
              <w:fldChar w:fldCharType="separate"/>
            </w:r>
            <w:r w:rsidR="00F97942">
              <w:rPr>
                <w:noProof/>
                <w:webHidden/>
              </w:rPr>
              <w:t>383</w:t>
            </w:r>
            <w:r>
              <w:rPr>
                <w:noProof/>
                <w:webHidden/>
              </w:rPr>
              <w:fldChar w:fldCharType="end"/>
            </w:r>
          </w:hyperlink>
        </w:p>
        <w:p w14:paraId="00BAFE25" w14:textId="6826CF91"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25" w:history="1">
            <w:r w:rsidRPr="00674311">
              <w:rPr>
                <w:rStyle w:val="Hyperlink"/>
                <w:noProof/>
              </w:rPr>
              <w:t>14.1.</w:t>
            </w:r>
            <w:r>
              <w:rPr>
                <w:rFonts w:asciiTheme="minorHAnsi" w:eastAsiaTheme="minorEastAsia" w:hAnsiTheme="minorHAnsi" w:cstheme="minorBidi"/>
                <w:noProof/>
                <w:kern w:val="2"/>
                <w:sz w:val="24"/>
                <w:lang w:val="en-AU"/>
                <w14:ligatures w14:val="standardContextual"/>
              </w:rPr>
              <w:tab/>
            </w:r>
            <w:r w:rsidRPr="00674311">
              <w:rPr>
                <w:rStyle w:val="Hyperlink"/>
                <w:noProof/>
              </w:rPr>
              <w:t>An assessor’s role in advising clients about fees and payments</w:t>
            </w:r>
            <w:r>
              <w:rPr>
                <w:noProof/>
                <w:webHidden/>
              </w:rPr>
              <w:tab/>
            </w:r>
            <w:r>
              <w:rPr>
                <w:noProof/>
                <w:webHidden/>
              </w:rPr>
              <w:fldChar w:fldCharType="begin"/>
            </w:r>
            <w:r>
              <w:rPr>
                <w:noProof/>
                <w:webHidden/>
              </w:rPr>
              <w:instrText xml:space="preserve"> PAGEREF _Toc224916725 \h </w:instrText>
            </w:r>
            <w:r>
              <w:rPr>
                <w:noProof/>
                <w:webHidden/>
              </w:rPr>
            </w:r>
            <w:r>
              <w:rPr>
                <w:noProof/>
                <w:webHidden/>
              </w:rPr>
              <w:fldChar w:fldCharType="separate"/>
            </w:r>
            <w:r w:rsidR="00F97942">
              <w:rPr>
                <w:noProof/>
                <w:webHidden/>
              </w:rPr>
              <w:t>383</w:t>
            </w:r>
            <w:r>
              <w:rPr>
                <w:noProof/>
                <w:webHidden/>
              </w:rPr>
              <w:fldChar w:fldCharType="end"/>
            </w:r>
          </w:hyperlink>
        </w:p>
        <w:p w14:paraId="20B471E3" w14:textId="7C210901" w:rsidR="00615041" w:rsidRDefault="00615041">
          <w:pPr>
            <w:pStyle w:val="TOC2"/>
            <w:tabs>
              <w:tab w:val="left" w:pos="1200"/>
              <w:tab w:val="right" w:leader="dot" w:pos="9016"/>
            </w:tabs>
            <w:rPr>
              <w:rFonts w:asciiTheme="minorHAnsi" w:eastAsiaTheme="minorEastAsia" w:hAnsiTheme="minorHAnsi" w:cstheme="minorBidi"/>
              <w:noProof/>
              <w:kern w:val="2"/>
              <w:sz w:val="24"/>
              <w:lang w:val="en-AU"/>
              <w14:ligatures w14:val="standardContextual"/>
            </w:rPr>
          </w:pPr>
          <w:hyperlink w:anchor="_Toc224916726" w:history="1">
            <w:r w:rsidRPr="00674311">
              <w:rPr>
                <w:rStyle w:val="Hyperlink"/>
                <w:noProof/>
              </w:rPr>
              <w:t>14.2.</w:t>
            </w:r>
            <w:r>
              <w:rPr>
                <w:rFonts w:asciiTheme="minorHAnsi" w:eastAsiaTheme="minorEastAsia" w:hAnsiTheme="minorHAnsi" w:cstheme="minorBidi"/>
                <w:noProof/>
                <w:kern w:val="2"/>
                <w:sz w:val="24"/>
                <w:lang w:val="en-AU"/>
                <w14:ligatures w14:val="standardContextual"/>
              </w:rPr>
              <w:tab/>
            </w:r>
            <w:r w:rsidRPr="00674311">
              <w:rPr>
                <w:rStyle w:val="Hyperlink"/>
                <w:noProof/>
              </w:rPr>
              <w:t>Aged care program fees</w:t>
            </w:r>
            <w:r>
              <w:rPr>
                <w:noProof/>
                <w:webHidden/>
              </w:rPr>
              <w:tab/>
            </w:r>
            <w:r>
              <w:rPr>
                <w:noProof/>
                <w:webHidden/>
              </w:rPr>
              <w:fldChar w:fldCharType="begin"/>
            </w:r>
            <w:r>
              <w:rPr>
                <w:noProof/>
                <w:webHidden/>
              </w:rPr>
              <w:instrText xml:space="preserve"> PAGEREF _Toc224916726 \h </w:instrText>
            </w:r>
            <w:r>
              <w:rPr>
                <w:noProof/>
                <w:webHidden/>
              </w:rPr>
            </w:r>
            <w:r>
              <w:rPr>
                <w:noProof/>
                <w:webHidden/>
              </w:rPr>
              <w:fldChar w:fldCharType="separate"/>
            </w:r>
            <w:r w:rsidR="00F97942">
              <w:rPr>
                <w:noProof/>
                <w:webHidden/>
              </w:rPr>
              <w:t>383</w:t>
            </w:r>
            <w:r>
              <w:rPr>
                <w:noProof/>
                <w:webHidden/>
              </w:rPr>
              <w:fldChar w:fldCharType="end"/>
            </w:r>
          </w:hyperlink>
        </w:p>
        <w:p w14:paraId="4581DDE5" w14:textId="7011AECD"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27" w:history="1">
            <w:r w:rsidRPr="00674311">
              <w:rPr>
                <w:rStyle w:val="Hyperlink"/>
                <w:noProof/>
              </w:rPr>
              <w:t>APPENDIX A – Glossary</w:t>
            </w:r>
            <w:r>
              <w:rPr>
                <w:noProof/>
                <w:webHidden/>
              </w:rPr>
              <w:tab/>
            </w:r>
            <w:r>
              <w:rPr>
                <w:noProof/>
                <w:webHidden/>
              </w:rPr>
              <w:fldChar w:fldCharType="begin"/>
            </w:r>
            <w:r>
              <w:rPr>
                <w:noProof/>
                <w:webHidden/>
              </w:rPr>
              <w:instrText xml:space="preserve"> PAGEREF _Toc224916727 \h </w:instrText>
            </w:r>
            <w:r>
              <w:rPr>
                <w:noProof/>
                <w:webHidden/>
              </w:rPr>
            </w:r>
            <w:r>
              <w:rPr>
                <w:noProof/>
                <w:webHidden/>
              </w:rPr>
              <w:fldChar w:fldCharType="separate"/>
            </w:r>
            <w:r w:rsidR="00F97942">
              <w:rPr>
                <w:noProof/>
                <w:webHidden/>
              </w:rPr>
              <w:t>390</w:t>
            </w:r>
            <w:r>
              <w:rPr>
                <w:noProof/>
                <w:webHidden/>
              </w:rPr>
              <w:fldChar w:fldCharType="end"/>
            </w:r>
          </w:hyperlink>
        </w:p>
        <w:p w14:paraId="222A63A9" w14:textId="52D5EA02"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28" w:history="1">
            <w:r w:rsidRPr="00674311">
              <w:rPr>
                <w:rStyle w:val="Hyperlink"/>
                <w:noProof/>
              </w:rPr>
              <w:t>APPENDIX B – Contact details</w:t>
            </w:r>
            <w:r>
              <w:rPr>
                <w:noProof/>
                <w:webHidden/>
              </w:rPr>
              <w:tab/>
            </w:r>
            <w:r>
              <w:rPr>
                <w:noProof/>
                <w:webHidden/>
              </w:rPr>
              <w:fldChar w:fldCharType="begin"/>
            </w:r>
            <w:r>
              <w:rPr>
                <w:noProof/>
                <w:webHidden/>
              </w:rPr>
              <w:instrText xml:space="preserve"> PAGEREF _Toc224916728 \h </w:instrText>
            </w:r>
            <w:r>
              <w:rPr>
                <w:noProof/>
                <w:webHidden/>
              </w:rPr>
            </w:r>
            <w:r>
              <w:rPr>
                <w:noProof/>
                <w:webHidden/>
              </w:rPr>
              <w:fldChar w:fldCharType="separate"/>
            </w:r>
            <w:r w:rsidR="00F97942">
              <w:rPr>
                <w:noProof/>
                <w:webHidden/>
              </w:rPr>
              <w:t>403</w:t>
            </w:r>
            <w:r>
              <w:rPr>
                <w:noProof/>
                <w:webHidden/>
              </w:rPr>
              <w:fldChar w:fldCharType="end"/>
            </w:r>
          </w:hyperlink>
        </w:p>
        <w:p w14:paraId="4F3E14DF" w14:textId="70B70F2C"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29" w:history="1">
            <w:r w:rsidRPr="00674311">
              <w:rPr>
                <w:rStyle w:val="Hyperlink"/>
                <w:noProof/>
              </w:rPr>
              <w:t>APPENDIX C – Clinical governance guidance for aged care needs assessment organisations</w:t>
            </w:r>
            <w:r>
              <w:rPr>
                <w:noProof/>
                <w:webHidden/>
              </w:rPr>
              <w:tab/>
            </w:r>
            <w:r>
              <w:rPr>
                <w:noProof/>
                <w:webHidden/>
              </w:rPr>
              <w:fldChar w:fldCharType="begin"/>
            </w:r>
            <w:r>
              <w:rPr>
                <w:noProof/>
                <w:webHidden/>
              </w:rPr>
              <w:instrText xml:space="preserve"> PAGEREF _Toc224916729 \h </w:instrText>
            </w:r>
            <w:r>
              <w:rPr>
                <w:noProof/>
                <w:webHidden/>
              </w:rPr>
            </w:r>
            <w:r>
              <w:rPr>
                <w:noProof/>
                <w:webHidden/>
              </w:rPr>
              <w:fldChar w:fldCharType="separate"/>
            </w:r>
            <w:r w:rsidR="00F97942">
              <w:rPr>
                <w:noProof/>
                <w:webHidden/>
              </w:rPr>
              <w:t>405</w:t>
            </w:r>
            <w:r>
              <w:rPr>
                <w:noProof/>
                <w:webHidden/>
              </w:rPr>
              <w:fldChar w:fldCharType="end"/>
            </w:r>
          </w:hyperlink>
        </w:p>
        <w:p w14:paraId="1BB39DFC" w14:textId="2ECF965C"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30" w:history="1">
            <w:r w:rsidRPr="00674311">
              <w:rPr>
                <w:rStyle w:val="Hyperlink"/>
                <w:noProof/>
              </w:rPr>
              <w:t>APPENDIX D – Clinical attendance</w:t>
            </w:r>
            <w:r>
              <w:rPr>
                <w:noProof/>
                <w:webHidden/>
              </w:rPr>
              <w:tab/>
            </w:r>
            <w:r>
              <w:rPr>
                <w:noProof/>
                <w:webHidden/>
              </w:rPr>
              <w:fldChar w:fldCharType="begin"/>
            </w:r>
            <w:r>
              <w:rPr>
                <w:noProof/>
                <w:webHidden/>
              </w:rPr>
              <w:instrText xml:space="preserve"> PAGEREF _Toc224916730 \h </w:instrText>
            </w:r>
            <w:r>
              <w:rPr>
                <w:noProof/>
                <w:webHidden/>
              </w:rPr>
            </w:r>
            <w:r>
              <w:rPr>
                <w:noProof/>
                <w:webHidden/>
              </w:rPr>
              <w:fldChar w:fldCharType="separate"/>
            </w:r>
            <w:r w:rsidR="00F97942">
              <w:rPr>
                <w:noProof/>
                <w:webHidden/>
              </w:rPr>
              <w:t>409</w:t>
            </w:r>
            <w:r>
              <w:rPr>
                <w:noProof/>
                <w:webHidden/>
              </w:rPr>
              <w:fldChar w:fldCharType="end"/>
            </w:r>
          </w:hyperlink>
        </w:p>
        <w:p w14:paraId="54C08065" w14:textId="54467DCC"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31" w:history="1">
            <w:r w:rsidRPr="00674311">
              <w:rPr>
                <w:rStyle w:val="Hyperlink"/>
                <w:noProof/>
              </w:rPr>
              <w:t>APPENDIX E – Wellness and reablement</w:t>
            </w:r>
            <w:r>
              <w:rPr>
                <w:noProof/>
                <w:webHidden/>
              </w:rPr>
              <w:tab/>
            </w:r>
            <w:r>
              <w:rPr>
                <w:noProof/>
                <w:webHidden/>
              </w:rPr>
              <w:fldChar w:fldCharType="begin"/>
            </w:r>
            <w:r>
              <w:rPr>
                <w:noProof/>
                <w:webHidden/>
              </w:rPr>
              <w:instrText xml:space="preserve"> PAGEREF _Toc224916731 \h </w:instrText>
            </w:r>
            <w:r>
              <w:rPr>
                <w:noProof/>
                <w:webHidden/>
              </w:rPr>
            </w:r>
            <w:r>
              <w:rPr>
                <w:noProof/>
                <w:webHidden/>
              </w:rPr>
              <w:fldChar w:fldCharType="separate"/>
            </w:r>
            <w:r w:rsidR="00F97942">
              <w:rPr>
                <w:noProof/>
                <w:webHidden/>
              </w:rPr>
              <w:t>414</w:t>
            </w:r>
            <w:r>
              <w:rPr>
                <w:noProof/>
                <w:webHidden/>
              </w:rPr>
              <w:fldChar w:fldCharType="end"/>
            </w:r>
          </w:hyperlink>
        </w:p>
        <w:p w14:paraId="780A9734" w14:textId="64468246"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32" w:history="1">
            <w:r w:rsidRPr="00674311">
              <w:rPr>
                <w:rStyle w:val="Hyperlink"/>
                <w:noProof/>
              </w:rPr>
              <w:t>APPENDIX F – Aged care assessment workforce minimum qualifications</w:t>
            </w:r>
            <w:r>
              <w:rPr>
                <w:noProof/>
                <w:webHidden/>
              </w:rPr>
              <w:tab/>
            </w:r>
            <w:r>
              <w:rPr>
                <w:noProof/>
                <w:webHidden/>
              </w:rPr>
              <w:fldChar w:fldCharType="begin"/>
            </w:r>
            <w:r>
              <w:rPr>
                <w:noProof/>
                <w:webHidden/>
              </w:rPr>
              <w:instrText xml:space="preserve"> PAGEREF _Toc224916732 \h </w:instrText>
            </w:r>
            <w:r>
              <w:rPr>
                <w:noProof/>
                <w:webHidden/>
              </w:rPr>
            </w:r>
            <w:r>
              <w:rPr>
                <w:noProof/>
                <w:webHidden/>
              </w:rPr>
              <w:fldChar w:fldCharType="separate"/>
            </w:r>
            <w:r w:rsidR="00F97942">
              <w:rPr>
                <w:noProof/>
                <w:webHidden/>
              </w:rPr>
              <w:t>425</w:t>
            </w:r>
            <w:r>
              <w:rPr>
                <w:noProof/>
                <w:webHidden/>
              </w:rPr>
              <w:fldChar w:fldCharType="end"/>
            </w:r>
          </w:hyperlink>
        </w:p>
        <w:p w14:paraId="4957910A" w14:textId="361E98B3"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33" w:history="1">
            <w:r w:rsidRPr="00674311">
              <w:rPr>
                <w:rStyle w:val="Hyperlink"/>
                <w:noProof/>
              </w:rPr>
              <w:t>APPENDIX G – AT-HM terms</w:t>
            </w:r>
            <w:r>
              <w:rPr>
                <w:noProof/>
                <w:webHidden/>
              </w:rPr>
              <w:tab/>
            </w:r>
            <w:r>
              <w:rPr>
                <w:noProof/>
                <w:webHidden/>
              </w:rPr>
              <w:fldChar w:fldCharType="begin"/>
            </w:r>
            <w:r>
              <w:rPr>
                <w:noProof/>
                <w:webHidden/>
              </w:rPr>
              <w:instrText xml:space="preserve"> PAGEREF _Toc224916733 \h </w:instrText>
            </w:r>
            <w:r>
              <w:rPr>
                <w:noProof/>
                <w:webHidden/>
              </w:rPr>
            </w:r>
            <w:r>
              <w:rPr>
                <w:noProof/>
                <w:webHidden/>
              </w:rPr>
              <w:fldChar w:fldCharType="separate"/>
            </w:r>
            <w:r w:rsidR="00F97942">
              <w:rPr>
                <w:noProof/>
                <w:webHidden/>
              </w:rPr>
              <w:t>429</w:t>
            </w:r>
            <w:r>
              <w:rPr>
                <w:noProof/>
                <w:webHidden/>
              </w:rPr>
              <w:fldChar w:fldCharType="end"/>
            </w:r>
          </w:hyperlink>
        </w:p>
        <w:p w14:paraId="3F63FCE2" w14:textId="5440E770" w:rsidR="00615041" w:rsidRDefault="00615041">
          <w:pPr>
            <w:pStyle w:val="TOC1"/>
            <w:tabs>
              <w:tab w:val="right" w:leader="dot" w:pos="9016"/>
            </w:tabs>
            <w:rPr>
              <w:rFonts w:asciiTheme="minorHAnsi" w:eastAsiaTheme="minorEastAsia" w:hAnsiTheme="minorHAnsi" w:cstheme="minorBidi"/>
              <w:noProof/>
              <w:kern w:val="2"/>
              <w:sz w:val="24"/>
              <w:lang w:val="en-AU"/>
              <w14:ligatures w14:val="standardContextual"/>
            </w:rPr>
          </w:pPr>
          <w:hyperlink w:anchor="_Toc224916734" w:history="1">
            <w:r w:rsidRPr="00674311">
              <w:rPr>
                <w:rStyle w:val="Hyperlink"/>
                <w:noProof/>
              </w:rPr>
              <w:t>APPENDIX H – Case studies- individuals experiencing homelessness or who are at risk of homelessness</w:t>
            </w:r>
            <w:r>
              <w:rPr>
                <w:noProof/>
                <w:webHidden/>
              </w:rPr>
              <w:tab/>
            </w:r>
            <w:r>
              <w:rPr>
                <w:noProof/>
                <w:webHidden/>
              </w:rPr>
              <w:fldChar w:fldCharType="begin"/>
            </w:r>
            <w:r>
              <w:rPr>
                <w:noProof/>
                <w:webHidden/>
              </w:rPr>
              <w:instrText xml:space="preserve"> PAGEREF _Toc224916734 \h </w:instrText>
            </w:r>
            <w:r>
              <w:rPr>
                <w:noProof/>
                <w:webHidden/>
              </w:rPr>
            </w:r>
            <w:r>
              <w:rPr>
                <w:noProof/>
                <w:webHidden/>
              </w:rPr>
              <w:fldChar w:fldCharType="separate"/>
            </w:r>
            <w:r w:rsidR="00F97942">
              <w:rPr>
                <w:noProof/>
                <w:webHidden/>
              </w:rPr>
              <w:t>430</w:t>
            </w:r>
            <w:r>
              <w:rPr>
                <w:noProof/>
                <w:webHidden/>
              </w:rPr>
              <w:fldChar w:fldCharType="end"/>
            </w:r>
          </w:hyperlink>
        </w:p>
        <w:p w14:paraId="084D3782" w14:textId="79E9322E" w:rsidR="002C0104" w:rsidRDefault="00AD1D15">
          <w:r>
            <w:fldChar w:fldCharType="end"/>
          </w:r>
        </w:p>
      </w:sdtContent>
    </w:sdt>
    <w:p w14:paraId="602CE5ED" w14:textId="77777777" w:rsidR="00780D44" w:rsidRPr="00452412" w:rsidRDefault="00780D44" w:rsidP="00780D44">
      <w:r>
        <w:br w:type="page"/>
      </w:r>
    </w:p>
    <w:p w14:paraId="357DB1DB" w14:textId="03B0BA0B" w:rsidR="00780D44" w:rsidRPr="006C4F8C" w:rsidRDefault="00780D44">
      <w:pPr>
        <w:pStyle w:val="H1"/>
        <w:numPr>
          <w:ilvl w:val="0"/>
          <w:numId w:val="0"/>
        </w:numPr>
      </w:pPr>
      <w:bookmarkStart w:id="7" w:name="_Toc198813630"/>
      <w:bookmarkStart w:id="8" w:name="_Toc207291857"/>
      <w:bookmarkStart w:id="9" w:name="_Toc209188930"/>
      <w:bookmarkStart w:id="10" w:name="_Toc212805570"/>
      <w:bookmarkStart w:id="11" w:name="_Toc224916598"/>
      <w:r>
        <w:t xml:space="preserve">Document </w:t>
      </w:r>
      <w:r w:rsidR="00BA5514">
        <w:t>p</w:t>
      </w:r>
      <w:r w:rsidRPr="009938C6">
        <w:t>urpose</w:t>
      </w:r>
      <w:bookmarkEnd w:id="7"/>
      <w:bookmarkEnd w:id="8"/>
      <w:bookmarkEnd w:id="9"/>
      <w:bookmarkEnd w:id="10"/>
      <w:bookmarkEnd w:id="11"/>
    </w:p>
    <w:tbl>
      <w:tblPr>
        <w:tblStyle w:val="TableGrid"/>
        <w:tblW w:w="9015" w:type="dxa"/>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9015"/>
      </w:tblGrid>
      <w:tr w:rsidR="00780D44" w14:paraId="2EC89B99" w14:textId="77777777" w:rsidTr="00BB3BFB">
        <w:trPr>
          <w:trHeight w:val="8129"/>
        </w:trPr>
        <w:tc>
          <w:tcPr>
            <w:tcW w:w="9015" w:type="dxa"/>
            <w:shd w:val="clear" w:color="auto" w:fill="F2F2F2" w:themeFill="background1" w:themeFillShade="F2"/>
          </w:tcPr>
          <w:p w14:paraId="1C9C151F" w14:textId="57D17311" w:rsidR="00377DCF" w:rsidRPr="00B101E4" w:rsidRDefault="00780D44" w:rsidP="00B101E4">
            <w:pPr>
              <w:pStyle w:val="Normal1stParaafterHeading1"/>
              <w:spacing w:before="0" w:after="240" w:line="300" w:lineRule="exact"/>
            </w:pPr>
            <w:r>
              <w:t>This Aged Care Assessment Manual specifies mandatory and best practice guidance</w:t>
            </w:r>
            <w:r w:rsidRPr="00880B95">
              <w:t xml:space="preserve"> for aged care needs </w:t>
            </w:r>
            <w:r>
              <w:t xml:space="preserve">assessment teams including assessors, </w:t>
            </w:r>
            <w:r w:rsidRPr="00880B95">
              <w:t>team leaders</w:t>
            </w:r>
            <w:r>
              <w:t>,</w:t>
            </w:r>
            <w:r w:rsidRPr="00880B95">
              <w:t xml:space="preserve"> </w:t>
            </w:r>
            <w:r>
              <w:t xml:space="preserve">triage delegates and assessment </w:t>
            </w:r>
            <w:r w:rsidRPr="00880B95">
              <w:t>delegates</w:t>
            </w:r>
            <w:r>
              <w:t xml:space="preserve">. </w:t>
            </w:r>
            <w:r w:rsidRPr="007032FD">
              <w:t xml:space="preserve">To achieve the delivery of </w:t>
            </w:r>
            <w:r>
              <w:t>high-quality</w:t>
            </w:r>
            <w:r w:rsidRPr="007032FD">
              <w:t xml:space="preserve"> assessment services, assessment organisations are required to </w:t>
            </w:r>
            <w:r w:rsidR="003E2747">
              <w:t>follow</w:t>
            </w:r>
            <w:r w:rsidRPr="007032FD">
              <w:t xml:space="preserve"> the guidance in this </w:t>
            </w:r>
            <w:r>
              <w:t>m</w:t>
            </w:r>
            <w:r w:rsidRPr="007032FD">
              <w:t xml:space="preserve">anual </w:t>
            </w:r>
            <w:r>
              <w:t>in</w:t>
            </w:r>
            <w:r w:rsidRPr="007032FD">
              <w:t xml:space="preserve"> the assessment of older </w:t>
            </w:r>
            <w:r>
              <w:t>people</w:t>
            </w:r>
            <w:r w:rsidRPr="007032FD">
              <w:t xml:space="preserve">’s </w:t>
            </w:r>
            <w:r>
              <w:t xml:space="preserve">support and aged care </w:t>
            </w:r>
            <w:r w:rsidRPr="007032FD">
              <w:t xml:space="preserve">needs and eligibility for government funded aged care services under the </w:t>
            </w:r>
            <w:r w:rsidRPr="00824A09">
              <w:rPr>
                <w:i/>
                <w:iCs/>
              </w:rPr>
              <w:t>Aged Care Act 2024</w:t>
            </w:r>
            <w:r w:rsidRPr="007032FD">
              <w:t xml:space="preserve"> (Cth). </w:t>
            </w:r>
          </w:p>
          <w:p w14:paraId="192DB85D" w14:textId="6A38BDFE" w:rsidR="00780D44" w:rsidRDefault="00780D44">
            <w:pPr>
              <w:pStyle w:val="NumberedList"/>
              <w:spacing w:after="0" w:line="300" w:lineRule="exact"/>
              <w:rPr>
                <w:lang w:val="en-US"/>
              </w:rPr>
            </w:pPr>
            <w:r w:rsidRPr="5B8D1905">
              <w:rPr>
                <w:lang w:val="en-US"/>
              </w:rPr>
              <w:t xml:space="preserve">In addition to </w:t>
            </w:r>
            <w:r>
              <w:rPr>
                <w:lang w:val="en-US"/>
              </w:rPr>
              <w:t>the guidance in this manual</w:t>
            </w:r>
            <w:r w:rsidRPr="5B8D1905">
              <w:rPr>
                <w:lang w:val="en-US"/>
              </w:rPr>
              <w:t xml:space="preserve">, assessors </w:t>
            </w:r>
            <w:r w:rsidR="004768B0">
              <w:rPr>
                <w:lang w:val="en-US"/>
              </w:rPr>
              <w:t xml:space="preserve">are expected to </w:t>
            </w:r>
            <w:r>
              <w:rPr>
                <w:lang w:val="en-US"/>
              </w:rPr>
              <w:t xml:space="preserve">also </w:t>
            </w:r>
            <w:r w:rsidRPr="5B8D1905">
              <w:rPr>
                <w:lang w:val="en-US"/>
              </w:rPr>
              <w:t xml:space="preserve">use the </w:t>
            </w:r>
            <w:hyperlink r:id="rId26" w:history="1">
              <w:r w:rsidRPr="00F02E83">
                <w:rPr>
                  <w:rStyle w:val="Hyperlink"/>
                  <w:lang w:val="en-US"/>
                </w:rPr>
                <w:t>Aged Care Assessment Quality Framework</w:t>
              </w:r>
            </w:hyperlink>
            <w:r w:rsidRPr="5B8D1905">
              <w:rPr>
                <w:lang w:val="en-US"/>
              </w:rPr>
              <w:t xml:space="preserve"> to </w:t>
            </w:r>
            <w:r>
              <w:rPr>
                <w:lang w:val="en-US"/>
              </w:rPr>
              <w:t>deliver</w:t>
            </w:r>
            <w:r w:rsidRPr="5B8D1905">
              <w:rPr>
                <w:lang w:val="en-US"/>
              </w:rPr>
              <w:t xml:space="preserve"> a high</w:t>
            </w:r>
            <w:r>
              <w:rPr>
                <w:lang w:val="en-US"/>
              </w:rPr>
              <w:t>-</w:t>
            </w:r>
            <w:r w:rsidRPr="5B8D1905">
              <w:rPr>
                <w:lang w:val="en-US"/>
              </w:rPr>
              <w:t xml:space="preserve">quality assessment experience and service for every </w:t>
            </w:r>
            <w:r>
              <w:rPr>
                <w:lang w:val="en-US"/>
              </w:rPr>
              <w:t>older person</w:t>
            </w:r>
            <w:r w:rsidRPr="5B8D1905">
              <w:rPr>
                <w:lang w:val="en-US"/>
              </w:rPr>
              <w:t xml:space="preserve">. </w:t>
            </w:r>
            <w:r>
              <w:rPr>
                <w:lang w:val="en-US"/>
              </w:rPr>
              <w:t>A</w:t>
            </w:r>
            <w:r w:rsidRPr="5B8D1905">
              <w:rPr>
                <w:lang w:val="en-US"/>
              </w:rPr>
              <w:t>ll assessors</w:t>
            </w:r>
            <w:r>
              <w:rPr>
                <w:lang w:val="en-US"/>
              </w:rPr>
              <w:t>, delegates and team leaders</w:t>
            </w:r>
            <w:r w:rsidRPr="5B8D1905">
              <w:rPr>
                <w:lang w:val="en-US"/>
              </w:rPr>
              <w:t xml:space="preserve"> are</w:t>
            </w:r>
            <w:r>
              <w:rPr>
                <w:lang w:val="en-US"/>
              </w:rPr>
              <w:t xml:space="preserve"> also</w:t>
            </w:r>
            <w:r w:rsidRPr="5B8D1905">
              <w:rPr>
                <w:lang w:val="en-US"/>
              </w:rPr>
              <w:t xml:space="preserve"> required to complete the mandatory training outlined in the My Aged Care Workforce </w:t>
            </w:r>
            <w:r>
              <w:rPr>
                <w:lang w:val="en-US"/>
              </w:rPr>
              <w:t xml:space="preserve">Learning </w:t>
            </w:r>
            <w:r w:rsidRPr="5B8D1905">
              <w:rPr>
                <w:lang w:val="en-US"/>
              </w:rPr>
              <w:t>Strategy</w:t>
            </w:r>
            <w:r>
              <w:rPr>
                <w:lang w:val="en-US"/>
              </w:rPr>
              <w:t xml:space="preserve">. </w:t>
            </w:r>
          </w:p>
          <w:p w14:paraId="0A0684C8" w14:textId="77777777" w:rsidR="00780D44" w:rsidRDefault="00780D44">
            <w:pPr>
              <w:pStyle w:val="NumberedList"/>
              <w:spacing w:after="0" w:line="300" w:lineRule="exact"/>
            </w:pPr>
          </w:p>
          <w:p w14:paraId="37209A97" w14:textId="77777777" w:rsidR="00780D44" w:rsidRDefault="00780D44">
            <w:pPr>
              <w:pStyle w:val="NumberedList"/>
              <w:spacing w:after="0" w:line="300" w:lineRule="exact"/>
            </w:pPr>
            <w:r>
              <w:t xml:space="preserve">The Department of Health, Disability and Ageing will </w:t>
            </w:r>
            <w:r w:rsidRPr="5B8D1905">
              <w:rPr>
                <w:lang w:val="en-US"/>
              </w:rPr>
              <w:t xml:space="preserve">regularly review and update </w:t>
            </w:r>
            <w:r>
              <w:rPr>
                <w:lang w:val="en-US"/>
              </w:rPr>
              <w:t>this</w:t>
            </w:r>
            <w:r w:rsidRPr="5B8D1905">
              <w:rPr>
                <w:lang w:val="en-US"/>
              </w:rPr>
              <w:t xml:space="preserve"> Manual as required to ensure it remains up to date in the context of system changes and enhancements to the My Aged Care operating model.</w:t>
            </w:r>
          </w:p>
          <w:p w14:paraId="78D75397" w14:textId="77777777" w:rsidR="00780D44" w:rsidRDefault="00780D44">
            <w:pPr>
              <w:rPr>
                <w:lang w:val="en-US"/>
              </w:rPr>
            </w:pPr>
          </w:p>
          <w:p w14:paraId="4A9F615D" w14:textId="5CA8DB1A" w:rsidR="00B101E4" w:rsidRDefault="00B101E4">
            <w:pPr>
              <w:rPr>
                <w:lang w:val="en-US"/>
              </w:rPr>
            </w:pPr>
            <w:r>
              <w:rPr>
                <w:lang w:val="en-US"/>
              </w:rPr>
              <w:t xml:space="preserve">Guidance for </w:t>
            </w:r>
            <w:r w:rsidR="00B17F43">
              <w:rPr>
                <w:lang w:val="en-US"/>
              </w:rPr>
              <w:t xml:space="preserve">undertaking </w:t>
            </w:r>
            <w:r>
              <w:rPr>
                <w:lang w:val="en-US"/>
              </w:rPr>
              <w:t xml:space="preserve">residential aged care (RAC) funding assessments is provided in the Australian National Aged Care Classification (AN-ACC) RAC Funding Assessor Training Manual. </w:t>
            </w:r>
          </w:p>
          <w:p w14:paraId="5733E351" w14:textId="77777777" w:rsidR="00B101E4" w:rsidRDefault="00B101E4">
            <w:pPr>
              <w:rPr>
                <w:lang w:val="en-US"/>
              </w:rPr>
            </w:pPr>
          </w:p>
          <w:p w14:paraId="77AEC5A8" w14:textId="77777777" w:rsidR="00780D44" w:rsidRPr="00880B95" w:rsidRDefault="00780D44">
            <w:pPr>
              <w:rPr>
                <w:lang w:val="en-US"/>
              </w:rPr>
            </w:pPr>
            <w:r w:rsidRPr="00880B95">
              <w:rPr>
                <w:lang w:val="en-US"/>
              </w:rPr>
              <w:t xml:space="preserve">Key sources of information </w:t>
            </w:r>
            <w:r>
              <w:rPr>
                <w:lang w:val="en-US"/>
              </w:rPr>
              <w:t xml:space="preserve">to complement this manual </w:t>
            </w:r>
            <w:r w:rsidRPr="00880B95">
              <w:rPr>
                <w:lang w:val="en-US"/>
              </w:rPr>
              <w:t>include:</w:t>
            </w:r>
          </w:p>
          <w:p w14:paraId="06E1BD57" w14:textId="77777777" w:rsidR="00780D44" w:rsidRDefault="00780D44" w:rsidP="00F633E7">
            <w:pPr>
              <w:pStyle w:val="ListParagraph"/>
              <w:numPr>
                <w:ilvl w:val="0"/>
                <w:numId w:val="33"/>
              </w:numPr>
              <w:rPr>
                <w:lang w:val="en-US"/>
              </w:rPr>
            </w:pPr>
            <w:hyperlink r:id="rId27" w:history="1">
              <w:r w:rsidRPr="00A9305C">
                <w:rPr>
                  <w:rStyle w:val="Hyperlink"/>
                  <w:lang w:val="en-US"/>
                </w:rPr>
                <w:t>IAT User Guide</w:t>
              </w:r>
            </w:hyperlink>
            <w:r w:rsidRPr="1B77DA35">
              <w:rPr>
                <w:lang w:val="en-US"/>
              </w:rPr>
              <w:t xml:space="preserve"> </w:t>
            </w:r>
          </w:p>
          <w:p w14:paraId="1D295719" w14:textId="77777777" w:rsidR="00780D44" w:rsidRPr="00F02E83" w:rsidRDefault="00780D44" w:rsidP="00F633E7">
            <w:pPr>
              <w:pStyle w:val="ListParagraph"/>
              <w:numPr>
                <w:ilvl w:val="0"/>
                <w:numId w:val="33"/>
              </w:numPr>
              <w:rPr>
                <w:rStyle w:val="Hyperlink"/>
                <w:lang w:val="en-US"/>
              </w:rPr>
            </w:pPr>
            <w:r>
              <w:rPr>
                <w:lang w:val="en-US"/>
              </w:rPr>
              <w:fldChar w:fldCharType="begin"/>
            </w:r>
            <w:r>
              <w:rPr>
                <w:lang w:val="en-US"/>
              </w:rPr>
              <w:instrText>HYPERLINK "https://www.health.gov.au/resources/publications/aged-care-assessment-quality-framework?language=en"</w:instrText>
            </w:r>
            <w:r>
              <w:rPr>
                <w:lang w:val="en-US"/>
              </w:rPr>
            </w:r>
            <w:r>
              <w:rPr>
                <w:lang w:val="en-US"/>
              </w:rPr>
              <w:fldChar w:fldCharType="separate"/>
            </w:r>
            <w:r w:rsidRPr="00F02E83">
              <w:rPr>
                <w:rStyle w:val="Hyperlink"/>
                <w:lang w:val="en-US"/>
              </w:rPr>
              <w:t xml:space="preserve">Aged Care Assessment Quality Framework </w:t>
            </w:r>
          </w:p>
          <w:p w14:paraId="55FF1F2A" w14:textId="77777777" w:rsidR="00780D44" w:rsidRPr="00534232" w:rsidRDefault="00780D44" w:rsidP="00F633E7">
            <w:pPr>
              <w:pStyle w:val="ListParagraph"/>
              <w:numPr>
                <w:ilvl w:val="0"/>
                <w:numId w:val="33"/>
              </w:numPr>
              <w:rPr>
                <w:lang w:val="en-US"/>
              </w:rPr>
            </w:pPr>
            <w:r>
              <w:rPr>
                <w:lang w:val="en-US"/>
              </w:rPr>
              <w:fldChar w:fldCharType="end"/>
            </w:r>
            <w:hyperlink r:id="rId28" w:history="1">
              <w:r w:rsidRPr="00880B95">
                <w:rPr>
                  <w:rStyle w:val="Hyperlink"/>
                  <w:lang w:val="en-US"/>
                </w:rPr>
                <w:t>Aged Care Act 2024</w:t>
              </w:r>
            </w:hyperlink>
          </w:p>
          <w:p w14:paraId="181ADFD6" w14:textId="750CC40C" w:rsidR="00C2010B" w:rsidRPr="00534232" w:rsidRDefault="00C2010B" w:rsidP="00F633E7">
            <w:pPr>
              <w:pStyle w:val="ListParagraph"/>
              <w:numPr>
                <w:ilvl w:val="0"/>
                <w:numId w:val="33"/>
              </w:numPr>
              <w:rPr>
                <w:lang w:val="en-US"/>
              </w:rPr>
            </w:pPr>
            <w:hyperlink r:id="rId29" w:history="1">
              <w:r w:rsidRPr="00C2010B">
                <w:rPr>
                  <w:rStyle w:val="Hyperlink"/>
                </w:rPr>
                <w:t>Aged Care Rules 2025</w:t>
              </w:r>
            </w:hyperlink>
          </w:p>
          <w:p w14:paraId="4B6CF975" w14:textId="77777777" w:rsidR="00780D44" w:rsidRPr="00534232" w:rsidRDefault="00780D44" w:rsidP="00F633E7">
            <w:pPr>
              <w:pStyle w:val="ListParagraph"/>
              <w:numPr>
                <w:ilvl w:val="0"/>
                <w:numId w:val="33"/>
              </w:numPr>
              <w:rPr>
                <w:color w:val="2BB1BB"/>
                <w:u w:val="single"/>
              </w:rPr>
            </w:pPr>
            <w:hyperlink r:id="rId30">
              <w:r w:rsidRPr="1B77DA35">
                <w:rPr>
                  <w:rStyle w:val="Hyperlink"/>
                </w:rPr>
                <w:t>My Aged Care website</w:t>
              </w:r>
            </w:hyperlink>
          </w:p>
          <w:p w14:paraId="2EAAD70B" w14:textId="783AD0B7" w:rsidR="00780D44" w:rsidRDefault="00780D44" w:rsidP="00F633E7">
            <w:pPr>
              <w:pStyle w:val="ListParagraph"/>
              <w:numPr>
                <w:ilvl w:val="0"/>
                <w:numId w:val="33"/>
              </w:numPr>
              <w:rPr>
                <w:lang w:val="en-US"/>
              </w:rPr>
            </w:pPr>
            <w:hyperlink r:id="rId31" w:anchor="fact-sheets" w:history="1">
              <w:r w:rsidRPr="00F43848">
                <w:rPr>
                  <w:rStyle w:val="Hyperlink"/>
                  <w:lang w:val="en-US"/>
                </w:rPr>
                <w:t>Fact sheets for Assessors</w:t>
              </w:r>
            </w:hyperlink>
          </w:p>
          <w:p w14:paraId="6B089D28" w14:textId="32420BD8" w:rsidR="00780D44" w:rsidRDefault="00780D44" w:rsidP="00F633E7">
            <w:pPr>
              <w:pStyle w:val="ListParagraph"/>
              <w:numPr>
                <w:ilvl w:val="0"/>
                <w:numId w:val="33"/>
              </w:numPr>
              <w:rPr>
                <w:lang w:val="en-US"/>
              </w:rPr>
            </w:pPr>
            <w:hyperlink r:id="rId32" w:history="1">
              <w:r w:rsidRPr="00521C74">
                <w:rPr>
                  <w:rStyle w:val="Hyperlink"/>
                  <w:lang w:val="en-US"/>
                </w:rPr>
                <w:t>My Aged Care Assessor Portal resources</w:t>
              </w:r>
            </w:hyperlink>
            <w:r w:rsidRPr="066C97D5">
              <w:rPr>
                <w:lang w:val="en-US"/>
              </w:rPr>
              <w:t xml:space="preserve"> </w:t>
            </w:r>
          </w:p>
          <w:p w14:paraId="4481F168" w14:textId="77777777" w:rsidR="00780D44" w:rsidRPr="006A27FF" w:rsidRDefault="00780D44" w:rsidP="00F633E7">
            <w:pPr>
              <w:pStyle w:val="ListParagraph"/>
              <w:numPr>
                <w:ilvl w:val="0"/>
                <w:numId w:val="33"/>
              </w:numPr>
              <w:rPr>
                <w:lang w:val="en-US"/>
              </w:rPr>
            </w:pPr>
            <w:hyperlink r:id="rId33" w:history="1">
              <w:r w:rsidRPr="00CD2A52">
                <w:rPr>
                  <w:rStyle w:val="Hyperlink"/>
                  <w:lang w:val="en-US"/>
                </w:rPr>
                <w:t>My Aged Care Workforce Learning Strategy</w:t>
              </w:r>
            </w:hyperlink>
          </w:p>
          <w:p w14:paraId="18E34CB8" w14:textId="7D086C9B" w:rsidR="002C20FD" w:rsidRPr="00534232" w:rsidRDefault="002C20FD" w:rsidP="00F633E7">
            <w:pPr>
              <w:pStyle w:val="ListParagraph"/>
              <w:numPr>
                <w:ilvl w:val="0"/>
                <w:numId w:val="33"/>
              </w:numPr>
              <w:rPr>
                <w:lang w:val="en-US"/>
              </w:rPr>
            </w:pPr>
            <w:r>
              <w:t>Assessment Hub SharePoint Site</w:t>
            </w:r>
          </w:p>
          <w:p w14:paraId="4816EF95" w14:textId="1438BB4A" w:rsidR="00780D44" w:rsidRPr="00880B95" w:rsidRDefault="00780D44" w:rsidP="00F633E7">
            <w:pPr>
              <w:pStyle w:val="ListParagraph"/>
              <w:numPr>
                <w:ilvl w:val="0"/>
                <w:numId w:val="33"/>
              </w:numPr>
              <w:rPr>
                <w:lang w:val="en-US"/>
              </w:rPr>
            </w:pPr>
            <w:hyperlink r:id="rId34" w:history="1">
              <w:r w:rsidRPr="00880B95">
                <w:rPr>
                  <w:rStyle w:val="Hyperlink"/>
                  <w:lang w:val="en-US"/>
                </w:rPr>
                <w:t xml:space="preserve">Support at Home Program Manual </w:t>
              </w:r>
            </w:hyperlink>
          </w:p>
          <w:p w14:paraId="32F207F0" w14:textId="77777777" w:rsidR="00780D44" w:rsidRPr="003035BD" w:rsidRDefault="00780D44" w:rsidP="00F633E7">
            <w:pPr>
              <w:pStyle w:val="ListParagraph"/>
              <w:numPr>
                <w:ilvl w:val="0"/>
                <w:numId w:val="33"/>
              </w:numPr>
              <w:rPr>
                <w:lang w:val="en-US"/>
              </w:rPr>
            </w:pPr>
            <w:hyperlink r:id="rId35" w:history="1">
              <w:r w:rsidRPr="5D287C65">
                <w:rPr>
                  <w:rStyle w:val="Hyperlink"/>
                  <w:lang w:val="en-US"/>
                </w:rPr>
                <w:t>Commonwealth Home Support Program (CHSP) Manual 2025-2027</w:t>
              </w:r>
            </w:hyperlink>
            <w:r w:rsidRPr="5D287C65">
              <w:rPr>
                <w:lang w:val="en-US"/>
              </w:rPr>
              <w:t xml:space="preserve"> </w:t>
            </w:r>
          </w:p>
          <w:p w14:paraId="0A274FBE" w14:textId="7015E97C" w:rsidR="00780D44" w:rsidRPr="007405E3" w:rsidRDefault="00780D44" w:rsidP="00F633E7">
            <w:pPr>
              <w:pStyle w:val="ListParagraph"/>
              <w:numPr>
                <w:ilvl w:val="0"/>
                <w:numId w:val="33"/>
              </w:numPr>
              <w:rPr>
                <w:rStyle w:val="Hyperlink"/>
                <w:lang w:val="en-US"/>
              </w:rPr>
            </w:pPr>
            <w:hyperlink r:id="rId36" w:history="1">
              <w:r w:rsidRPr="00EA2B6D">
                <w:rPr>
                  <w:rStyle w:val="Hyperlink"/>
                  <w:lang w:val="en-US"/>
                </w:rPr>
                <w:t>Multi-Purpose Service Program (MPSP)</w:t>
              </w:r>
              <w:r w:rsidR="00EA2B6D" w:rsidRPr="00EA2B6D">
                <w:rPr>
                  <w:rStyle w:val="Hyperlink"/>
                  <w:lang w:val="en-US"/>
                </w:rPr>
                <w:t xml:space="preserve"> Fact Sheets</w:t>
              </w:r>
            </w:hyperlink>
            <w:r w:rsidR="007405E3">
              <w:rPr>
                <w:lang w:val="en-US"/>
              </w:rPr>
              <w:fldChar w:fldCharType="begin"/>
            </w:r>
            <w:r w:rsidR="007405E3">
              <w:rPr>
                <w:lang w:val="en-US"/>
              </w:rPr>
              <w:instrText>HYPERLINK "https://www.health.gov.au/resources/publications/natsifac-program-manual?language=en"</w:instrText>
            </w:r>
            <w:r w:rsidR="007405E3">
              <w:rPr>
                <w:lang w:val="en-US"/>
              </w:rPr>
            </w:r>
            <w:r w:rsidR="007405E3">
              <w:rPr>
                <w:lang w:val="en-US"/>
              </w:rPr>
              <w:fldChar w:fldCharType="separate"/>
            </w:r>
          </w:p>
          <w:p w14:paraId="212ADF6D" w14:textId="2E56DF07" w:rsidR="00780D44" w:rsidRPr="003035BD" w:rsidRDefault="00780D44" w:rsidP="00F633E7">
            <w:pPr>
              <w:pStyle w:val="ListParagraph"/>
              <w:numPr>
                <w:ilvl w:val="0"/>
                <w:numId w:val="33"/>
              </w:numPr>
              <w:rPr>
                <w:lang w:val="en-US"/>
              </w:rPr>
            </w:pPr>
            <w:r w:rsidRPr="007405E3">
              <w:rPr>
                <w:rStyle w:val="Hyperlink"/>
                <w:lang w:val="en-US"/>
              </w:rPr>
              <w:t>National Aboriginal and Torres Strait Islander Flexible Aged Care Program (NATSIFACP) Manual</w:t>
            </w:r>
            <w:r w:rsidR="007405E3">
              <w:rPr>
                <w:lang w:val="en-US"/>
              </w:rPr>
              <w:fldChar w:fldCharType="end"/>
            </w:r>
          </w:p>
          <w:p w14:paraId="04CA234E" w14:textId="77777777" w:rsidR="00780D44" w:rsidRPr="003035BD" w:rsidRDefault="00780D44" w:rsidP="00F633E7">
            <w:pPr>
              <w:pStyle w:val="ListParagraph"/>
              <w:numPr>
                <w:ilvl w:val="0"/>
                <w:numId w:val="33"/>
              </w:numPr>
              <w:rPr>
                <w:lang w:val="en-US"/>
              </w:rPr>
            </w:pPr>
            <w:hyperlink r:id="rId37" w:history="1">
              <w:r w:rsidRPr="00F60B8E">
                <w:rPr>
                  <w:rStyle w:val="Hyperlink"/>
                  <w:lang w:val="en-US"/>
                </w:rPr>
                <w:t>Aboriginal and Torres Strait Islander Aged Care Framework</w:t>
              </w:r>
            </w:hyperlink>
          </w:p>
          <w:p w14:paraId="59B91E7B" w14:textId="37D4AB9C" w:rsidR="00780D44" w:rsidRPr="003035BD" w:rsidRDefault="00780D44" w:rsidP="00F633E7">
            <w:pPr>
              <w:pStyle w:val="ListParagraph"/>
              <w:numPr>
                <w:ilvl w:val="0"/>
                <w:numId w:val="33"/>
              </w:numPr>
              <w:rPr>
                <w:lang w:val="en-US"/>
              </w:rPr>
            </w:pPr>
            <w:hyperlink r:id="rId38" w:history="1">
              <w:r w:rsidRPr="00386EC9">
                <w:rPr>
                  <w:rStyle w:val="Hyperlink"/>
                  <w:lang w:val="en-US"/>
                </w:rPr>
                <w:t xml:space="preserve">Support at Home Assistive Technology and Home Modifications (AT-HM) scheme </w:t>
              </w:r>
              <w:r w:rsidR="00386EC9" w:rsidRPr="00386EC9">
                <w:rPr>
                  <w:rStyle w:val="Hyperlink"/>
                  <w:lang w:val="en-US"/>
                </w:rPr>
                <w:t>Fact Sheet</w:t>
              </w:r>
            </w:hyperlink>
          </w:p>
          <w:p w14:paraId="2DD348E6" w14:textId="609F5D5A" w:rsidR="00780D44" w:rsidRDefault="00780D44" w:rsidP="00F633E7">
            <w:pPr>
              <w:pStyle w:val="ListParagraph"/>
              <w:numPr>
                <w:ilvl w:val="0"/>
                <w:numId w:val="33"/>
              </w:numPr>
              <w:rPr>
                <w:lang w:val="en-US"/>
              </w:rPr>
            </w:pPr>
            <w:hyperlink r:id="rId39">
              <w:r w:rsidRPr="42A9625C">
                <w:rPr>
                  <w:rStyle w:val="Hyperlink"/>
                  <w:lang w:val="en-US"/>
                </w:rPr>
                <w:t>Transition Care Program (TCP) Guidelines</w:t>
              </w:r>
            </w:hyperlink>
            <w:r w:rsidRPr="42A9625C">
              <w:rPr>
                <w:lang w:val="en-US"/>
              </w:rPr>
              <w:t xml:space="preserve"> </w:t>
            </w:r>
          </w:p>
          <w:p w14:paraId="136E38CF" w14:textId="361404FF" w:rsidR="00780D44" w:rsidRPr="000027E3" w:rsidRDefault="00780D44" w:rsidP="00F633E7">
            <w:pPr>
              <w:pStyle w:val="ListParagraph"/>
              <w:numPr>
                <w:ilvl w:val="0"/>
                <w:numId w:val="33"/>
              </w:numPr>
              <w:rPr>
                <w:lang w:val="en-US"/>
              </w:rPr>
            </w:pPr>
            <w:hyperlink r:id="rId40">
              <w:r w:rsidRPr="42A9625C">
                <w:rPr>
                  <w:rStyle w:val="Hyperlink"/>
                  <w:lang w:val="en-US"/>
                </w:rPr>
                <w:t xml:space="preserve">Support at Home </w:t>
              </w:r>
              <w:r w:rsidR="00573AB4" w:rsidRPr="42A9625C">
                <w:rPr>
                  <w:rStyle w:val="Hyperlink"/>
                  <w:lang w:val="en-US"/>
                </w:rPr>
                <w:t>Pricing Resources</w:t>
              </w:r>
            </w:hyperlink>
          </w:p>
          <w:p w14:paraId="1DA06ED5" w14:textId="73F50E76" w:rsidR="00780D44" w:rsidRPr="00534232" w:rsidRDefault="00780D44" w:rsidP="000027E3">
            <w:pPr>
              <w:pStyle w:val="ListParagraph"/>
              <w:rPr>
                <w:lang w:val="en-US"/>
              </w:rPr>
            </w:pPr>
          </w:p>
        </w:tc>
      </w:tr>
    </w:tbl>
    <w:p w14:paraId="61061B97" w14:textId="77777777" w:rsidR="00780D44" w:rsidRDefault="00780D44" w:rsidP="00780D44">
      <w:pPr>
        <w:pStyle w:val="BodyText"/>
      </w:pPr>
    </w:p>
    <w:p w14:paraId="425D55FC" w14:textId="27986196" w:rsidR="00780D44" w:rsidRPr="00EF3F05" w:rsidRDefault="00780D44" w:rsidP="00780D44">
      <w:pPr>
        <w:pStyle w:val="BodyText"/>
        <w:rPr>
          <w:color w:val="1E1444"/>
          <w:sz w:val="44"/>
          <w:szCs w:val="36"/>
        </w:rPr>
      </w:pPr>
      <w:r w:rsidRPr="0095754D">
        <w:br w:type="page"/>
      </w:r>
    </w:p>
    <w:p w14:paraId="11B86E21" w14:textId="74A48D0A" w:rsidR="00780D44" w:rsidRPr="006C4F8C" w:rsidRDefault="002744BE">
      <w:pPr>
        <w:pStyle w:val="H1"/>
        <w:numPr>
          <w:ilvl w:val="0"/>
          <w:numId w:val="0"/>
        </w:numPr>
      </w:pPr>
      <w:bookmarkStart w:id="12" w:name="_Toc212805571"/>
      <w:bookmarkStart w:id="13" w:name="_Toc224916599"/>
      <w:r>
        <w:t>Terminology</w:t>
      </w:r>
      <w:bookmarkEnd w:id="12"/>
      <w:bookmarkEnd w:id="13"/>
    </w:p>
    <w:p w14:paraId="45CB1D99" w14:textId="71871C7E" w:rsidR="00A44800" w:rsidRPr="009058E0" w:rsidRDefault="00A44800" w:rsidP="006B29C4">
      <w:pPr>
        <w:pStyle w:val="BodyText"/>
        <w:spacing w:before="120"/>
        <w:rPr>
          <w:b/>
          <w:color w:val="002060"/>
        </w:rPr>
      </w:pPr>
      <w:r w:rsidRPr="009058E0">
        <w:rPr>
          <w:b/>
          <w:color w:val="002060"/>
        </w:rPr>
        <w:t>Throughout this document:</w:t>
      </w:r>
    </w:p>
    <w:p w14:paraId="1C3B5811" w14:textId="43B45BCA" w:rsidR="00A44800" w:rsidRDefault="008F3AB2" w:rsidP="00F633E7">
      <w:pPr>
        <w:pStyle w:val="BodyText"/>
        <w:numPr>
          <w:ilvl w:val="0"/>
          <w:numId w:val="44"/>
        </w:numPr>
        <w:spacing w:before="120"/>
      </w:pPr>
      <w:r>
        <w:t>T</w:t>
      </w:r>
      <w:r w:rsidR="00A44800" w:rsidRPr="00EF3F05">
        <w:t>he terms 'individual,' 'older person'</w:t>
      </w:r>
      <w:r w:rsidR="00A44800">
        <w:t>, ‘client’</w:t>
      </w:r>
      <w:r w:rsidR="00F36D35">
        <w:t xml:space="preserve">, ‘care </w:t>
      </w:r>
      <w:r w:rsidR="00D1481B">
        <w:t>recipient’</w:t>
      </w:r>
      <w:r w:rsidR="00A44800" w:rsidRPr="00EF3F05">
        <w:t xml:space="preserve"> and 'participant' are used interchangeably to refer to a person who meets the eligibility criteria for </w:t>
      </w:r>
      <w:r w:rsidR="00A44800">
        <w:t xml:space="preserve">an </w:t>
      </w:r>
      <w:r w:rsidR="00A44800" w:rsidRPr="00EF3F05">
        <w:t xml:space="preserve">aged care assessment and </w:t>
      </w:r>
      <w:r w:rsidR="00A44800">
        <w:t xml:space="preserve">government funded aged care </w:t>
      </w:r>
      <w:r w:rsidR="00A44800" w:rsidRPr="00EF3F05">
        <w:t>services under the </w:t>
      </w:r>
      <w:r w:rsidR="00A44800" w:rsidRPr="26351991">
        <w:rPr>
          <w:i/>
          <w:iCs/>
        </w:rPr>
        <w:t>Aged</w:t>
      </w:r>
      <w:r w:rsidR="00A44800" w:rsidRPr="00EF3F05">
        <w:rPr>
          <w:i/>
          <w:iCs/>
        </w:rPr>
        <w:t xml:space="preserve"> Care Act 2024</w:t>
      </w:r>
      <w:r w:rsidR="007701C5">
        <w:rPr>
          <w:i/>
          <w:iCs/>
        </w:rPr>
        <w:t xml:space="preserve"> (the Act)</w:t>
      </w:r>
      <w:r w:rsidR="00A44800" w:rsidRPr="00EF3F05">
        <w:t>.</w:t>
      </w:r>
      <w:r w:rsidR="00A44800">
        <w:t xml:space="preserve"> </w:t>
      </w:r>
    </w:p>
    <w:p w14:paraId="4236AC85" w14:textId="73F5308A" w:rsidR="00AF54EC" w:rsidRPr="009F181F" w:rsidRDefault="00AF54EC" w:rsidP="009F181F">
      <w:pPr>
        <w:pStyle w:val="ListParagraph"/>
        <w:numPr>
          <w:ilvl w:val="0"/>
          <w:numId w:val="44"/>
        </w:numPr>
      </w:pPr>
      <w:r w:rsidRPr="009F181F">
        <w:rPr>
          <w:bCs/>
          <w:noProof/>
        </w:rPr>
        <w:t xml:space="preserve">The term ‘reassessment’ is used throughout this document </w:t>
      </w:r>
      <w:r w:rsidR="009F181F" w:rsidRPr="00F378AB">
        <w:t xml:space="preserve">to describe </w:t>
      </w:r>
      <w:r w:rsidR="00DB18B1">
        <w:t>an assessment that occurs after an older person has already been assessed at least once.</w:t>
      </w:r>
    </w:p>
    <w:p w14:paraId="704721C9" w14:textId="607BDF2A" w:rsidR="00AF54EC" w:rsidRDefault="006B368C" w:rsidP="00AF54EC">
      <w:pPr>
        <w:pStyle w:val="BodyText"/>
        <w:numPr>
          <w:ilvl w:val="0"/>
          <w:numId w:val="44"/>
        </w:numPr>
        <w:spacing w:before="120"/>
      </w:pPr>
      <w:r>
        <w:t>The term</w:t>
      </w:r>
      <w:r w:rsidR="009E55E3">
        <w:t>s</w:t>
      </w:r>
      <w:r>
        <w:t xml:space="preserve"> ‘provider’</w:t>
      </w:r>
      <w:r w:rsidR="009E55E3">
        <w:t xml:space="preserve"> or ‘service provider’</w:t>
      </w:r>
      <w:r w:rsidR="00793806">
        <w:t xml:space="preserve"> </w:t>
      </w:r>
      <w:r w:rsidR="009E55E3">
        <w:t>are</w:t>
      </w:r>
      <w:r w:rsidR="00793806">
        <w:t xml:space="preserve"> used throughout this document to refer to a ‘registered provider’ as outlined in the </w:t>
      </w:r>
      <w:r w:rsidR="00793806" w:rsidRPr="00AD6A5D">
        <w:rPr>
          <w:i/>
          <w:iCs/>
        </w:rPr>
        <w:t>Act</w:t>
      </w:r>
      <w:r w:rsidR="00793806">
        <w:t>.</w:t>
      </w:r>
    </w:p>
    <w:p w14:paraId="4F3CE12E" w14:textId="1E13FA51" w:rsidR="007F5E7C" w:rsidRDefault="007F5E7C" w:rsidP="00AF54EC">
      <w:pPr>
        <w:pStyle w:val="BodyText"/>
        <w:numPr>
          <w:ilvl w:val="0"/>
          <w:numId w:val="44"/>
        </w:numPr>
        <w:spacing w:before="120"/>
      </w:pPr>
      <w:r>
        <w:t>The term ‘assessor’ or ‘needs assessor</w:t>
      </w:r>
      <w:r w:rsidR="001864BF">
        <w:t>’ are used interchangeably throughout</w:t>
      </w:r>
      <w:r w:rsidR="00F42D1C">
        <w:t xml:space="preserve"> this document to refer to </w:t>
      </w:r>
      <w:r w:rsidR="002138CC">
        <w:rPr>
          <w:rStyle w:val="normaltextrun"/>
          <w:color w:val="000000"/>
          <w:szCs w:val="22"/>
          <w:shd w:val="clear" w:color="auto" w:fill="FFFFFF"/>
        </w:rPr>
        <w:t>a</w:t>
      </w:r>
      <w:r w:rsidR="002138CC" w:rsidRPr="00746549">
        <w:rPr>
          <w:rStyle w:val="normaltextrun"/>
          <w:color w:val="000000"/>
          <w:szCs w:val="22"/>
          <w:shd w:val="clear" w:color="auto" w:fill="FFFFFF"/>
        </w:rPr>
        <w:t xml:space="preserve"> person who conducts aged care </w:t>
      </w:r>
      <w:r w:rsidR="002138CC" w:rsidRPr="000F7420">
        <w:rPr>
          <w:rStyle w:val="normaltextrun"/>
          <w:szCs w:val="22"/>
          <w:shd w:val="clear" w:color="auto" w:fill="FFFFFF"/>
        </w:rPr>
        <w:t>assessments, for home support and comprehensive assessments</w:t>
      </w:r>
      <w:r w:rsidR="002138CC">
        <w:rPr>
          <w:rStyle w:val="normaltextrun"/>
          <w:szCs w:val="22"/>
          <w:shd w:val="clear" w:color="auto" w:fill="FFFFFF"/>
        </w:rPr>
        <w:t>.</w:t>
      </w:r>
    </w:p>
    <w:p w14:paraId="07D04C72" w14:textId="6A9C4BCD" w:rsidR="007A0D8A" w:rsidRDefault="007A0D8A" w:rsidP="00A44800">
      <w:pPr>
        <w:pStyle w:val="BodyText"/>
        <w:ind w:left="720"/>
      </w:pPr>
      <w:r w:rsidRPr="005E4E0E">
        <w:rPr>
          <w:bCs/>
          <w:noProof/>
        </w:rPr>
        <w:drawing>
          <wp:anchor distT="0" distB="0" distL="114300" distR="114300" simplePos="0" relativeHeight="251658270" behindDoc="0" locked="0" layoutInCell="1" allowOverlap="1" wp14:anchorId="11B23A83" wp14:editId="32CE7F95">
            <wp:simplePos x="0" y="0"/>
            <wp:positionH relativeFrom="margin">
              <wp:posOffset>-116840</wp:posOffset>
            </wp:positionH>
            <wp:positionV relativeFrom="paragraph">
              <wp:posOffset>278130</wp:posOffset>
            </wp:positionV>
            <wp:extent cx="457200" cy="502920"/>
            <wp:effectExtent l="0" t="0" r="0" b="0"/>
            <wp:wrapSquare wrapText="bothSides"/>
            <wp:docPr id="98683026" name="Picture 9868302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2BAE43B7" w14:textId="7E752DE2" w:rsidR="00A44800" w:rsidRDefault="008F3AB2" w:rsidP="00A44800">
      <w:pPr>
        <w:pStyle w:val="BodyText"/>
        <w:ind w:left="720"/>
      </w:pPr>
      <w:r>
        <w:t>T</w:t>
      </w:r>
      <w:r w:rsidR="00A44800">
        <w:t>his symbol</w:t>
      </w:r>
      <w:r w:rsidR="00C16F01">
        <w:t xml:space="preserve"> displays throughout the document and</w:t>
      </w:r>
      <w:r w:rsidR="00A44800">
        <w:t xml:space="preserve"> denote</w:t>
      </w:r>
      <w:r w:rsidR="00CE1D84">
        <w:t>s</w:t>
      </w:r>
      <w:r w:rsidR="00A44800">
        <w:t xml:space="preserve"> significant change in information and the assessment process </w:t>
      </w:r>
      <w:r w:rsidR="00A97CDA">
        <w:t>from version 8.1 of the Aged Care Assessment Manual</w:t>
      </w:r>
      <w:r w:rsidR="00A44800">
        <w:t xml:space="preserve">. </w:t>
      </w:r>
    </w:p>
    <w:p w14:paraId="4BB9FA01" w14:textId="2580DB2B" w:rsidR="00157730" w:rsidRDefault="00157730" w:rsidP="00A44800">
      <w:pPr>
        <w:pStyle w:val="BodyText"/>
      </w:pPr>
      <w:r>
        <w:rPr>
          <w:noProof/>
        </w:rPr>
        <w:drawing>
          <wp:anchor distT="0" distB="0" distL="114300" distR="114300" simplePos="0" relativeHeight="251658269" behindDoc="0" locked="0" layoutInCell="1" allowOverlap="1" wp14:anchorId="0156328D" wp14:editId="4B33F838">
            <wp:simplePos x="0" y="0"/>
            <wp:positionH relativeFrom="column">
              <wp:posOffset>-100330</wp:posOffset>
            </wp:positionH>
            <wp:positionV relativeFrom="paragraph">
              <wp:posOffset>132715</wp:posOffset>
            </wp:positionV>
            <wp:extent cx="447675" cy="438150"/>
            <wp:effectExtent l="0" t="0" r="9525" b="0"/>
            <wp:wrapSquare wrapText="bothSides"/>
            <wp:docPr id="369455399" name="Picture 3694553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34271"/>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14:sizeRelH relativeFrom="page">
              <wp14:pctWidth>0</wp14:pctWidth>
            </wp14:sizeRelH>
            <wp14:sizeRelV relativeFrom="page">
              <wp14:pctHeight>0</wp14:pctHeight>
            </wp14:sizeRelV>
          </wp:anchor>
        </w:drawing>
      </w:r>
    </w:p>
    <w:p w14:paraId="747EF6B3" w14:textId="2D72BB1C" w:rsidR="00A44800" w:rsidRDefault="008F3AB2" w:rsidP="00A44800">
      <w:pPr>
        <w:pStyle w:val="BodyText"/>
      </w:pPr>
      <w:r>
        <w:t>T</w:t>
      </w:r>
      <w:r w:rsidR="00A44800">
        <w:t xml:space="preserve">his symbol </w:t>
      </w:r>
      <w:r w:rsidR="00003B9A">
        <w:t>displays</w:t>
      </w:r>
      <w:r w:rsidR="00A44800">
        <w:t xml:space="preserve"> where there are links to further information </w:t>
      </w:r>
      <w:r w:rsidR="00003B9A">
        <w:t>and</w:t>
      </w:r>
      <w:r w:rsidR="00A44800">
        <w:t xml:space="preserve"> resources.</w:t>
      </w:r>
    </w:p>
    <w:p w14:paraId="4CBFE75B" w14:textId="77777777" w:rsidR="00A6095E" w:rsidRDefault="00A6095E" w:rsidP="00A44800">
      <w:pPr>
        <w:pStyle w:val="BodyText"/>
      </w:pPr>
    </w:p>
    <w:p w14:paraId="05759398" w14:textId="77777777" w:rsidR="00BE62F4" w:rsidRDefault="00BE62F4">
      <w:pPr>
        <w:rPr>
          <w:b/>
          <w:color w:val="002060"/>
          <w:sz w:val="44"/>
          <w:szCs w:val="36"/>
          <w:lang w:val="en-US"/>
        </w:rPr>
      </w:pPr>
      <w:r>
        <w:br w:type="page"/>
      </w:r>
    </w:p>
    <w:p w14:paraId="76CAF93A" w14:textId="3EB373FD" w:rsidR="00BE62F4" w:rsidRDefault="00BE62F4">
      <w:pPr>
        <w:pStyle w:val="H1"/>
        <w:numPr>
          <w:ilvl w:val="0"/>
          <w:numId w:val="0"/>
        </w:numPr>
      </w:pPr>
      <w:bookmarkStart w:id="14" w:name="_Toc212805572"/>
      <w:bookmarkStart w:id="15" w:name="_Toc224916600"/>
      <w:r>
        <w:t>Document Structure</w:t>
      </w:r>
      <w:bookmarkEnd w:id="14"/>
      <w:bookmarkEnd w:id="15"/>
    </w:p>
    <w:tbl>
      <w:tblPr>
        <w:tblW w:w="9629" w:type="dxa"/>
        <w:tblCellMar>
          <w:left w:w="0" w:type="dxa"/>
          <w:right w:w="0" w:type="dxa"/>
        </w:tblCellMar>
        <w:tblLook w:val="04A0" w:firstRow="1" w:lastRow="0" w:firstColumn="1" w:lastColumn="0" w:noHBand="0" w:noVBand="1"/>
        <w:tblCaption w:val="Document Stucture Table"/>
        <w:tblDescription w:val="Overview of the Assessment Manual structure and key changes between version 8 and version 8.1"/>
      </w:tblPr>
      <w:tblGrid>
        <w:gridCol w:w="1663"/>
        <w:gridCol w:w="3190"/>
        <w:gridCol w:w="4776"/>
      </w:tblGrid>
      <w:tr w:rsidR="001B5076" w:rsidRPr="001B5076" w14:paraId="58D43FA5" w14:textId="77777777" w:rsidTr="000E7FBC">
        <w:trPr>
          <w:trHeight w:val="300"/>
          <w:tblHeader/>
        </w:trPr>
        <w:tc>
          <w:tcPr>
            <w:tcW w:w="1663" w:type="dxa"/>
            <w:tcBorders>
              <w:top w:val="single" w:sz="8" w:space="0" w:color="auto"/>
              <w:left w:val="single" w:sz="8" w:space="0" w:color="auto"/>
              <w:bottom w:val="single" w:sz="8" w:space="0" w:color="auto"/>
              <w:right w:val="single" w:sz="8" w:space="0" w:color="auto"/>
            </w:tcBorders>
            <w:shd w:val="clear" w:color="auto" w:fill="002060"/>
            <w:hideMark/>
          </w:tcPr>
          <w:p w14:paraId="0BB4169E" w14:textId="77777777" w:rsidR="001B5076" w:rsidRPr="001B5076" w:rsidRDefault="001B5076" w:rsidP="001B5076">
            <w:pPr>
              <w:rPr>
                <w:szCs w:val="22"/>
              </w:rPr>
            </w:pPr>
            <w:bookmarkStart w:id="16" w:name="_Hlk212720940"/>
            <w:r w:rsidRPr="008D35FD">
              <w:rPr>
                <w:b/>
                <w:szCs w:val="22"/>
                <w:lang w:val="en-US"/>
              </w:rPr>
              <w:t>Chapter</w:t>
            </w:r>
            <w:r w:rsidRPr="008D35FD">
              <w:rPr>
                <w:szCs w:val="22"/>
              </w:rPr>
              <w:t> </w:t>
            </w:r>
          </w:p>
        </w:tc>
        <w:tc>
          <w:tcPr>
            <w:tcW w:w="3190" w:type="dxa"/>
            <w:tcBorders>
              <w:top w:val="single" w:sz="8" w:space="0" w:color="auto"/>
              <w:left w:val="nil"/>
              <w:bottom w:val="single" w:sz="8" w:space="0" w:color="auto"/>
              <w:right w:val="single" w:sz="8" w:space="0" w:color="auto"/>
            </w:tcBorders>
            <w:shd w:val="clear" w:color="auto" w:fill="002060"/>
            <w:hideMark/>
          </w:tcPr>
          <w:p w14:paraId="16D46D57" w14:textId="77777777" w:rsidR="001B5076" w:rsidRPr="001B5076" w:rsidRDefault="001B5076" w:rsidP="001B5076">
            <w:pPr>
              <w:rPr>
                <w:szCs w:val="22"/>
              </w:rPr>
            </w:pPr>
            <w:r w:rsidRPr="00DE3B03">
              <w:rPr>
                <w:b/>
                <w:szCs w:val="22"/>
                <w:lang w:val="en-US"/>
              </w:rPr>
              <w:t>What you’ll find in this chapter </w:t>
            </w:r>
            <w:r w:rsidRPr="00DE3B03">
              <w:rPr>
                <w:szCs w:val="22"/>
              </w:rPr>
              <w:t> </w:t>
            </w:r>
          </w:p>
        </w:tc>
        <w:tc>
          <w:tcPr>
            <w:tcW w:w="4776" w:type="dxa"/>
            <w:tcBorders>
              <w:top w:val="single" w:sz="8" w:space="0" w:color="auto"/>
              <w:left w:val="nil"/>
              <w:bottom w:val="single" w:sz="8" w:space="0" w:color="auto"/>
              <w:right w:val="single" w:sz="8" w:space="0" w:color="auto"/>
            </w:tcBorders>
            <w:shd w:val="clear" w:color="auto" w:fill="002060"/>
            <w:hideMark/>
          </w:tcPr>
          <w:p w14:paraId="6E735016" w14:textId="22E7DEBF" w:rsidR="001B5076" w:rsidRPr="001B5076" w:rsidRDefault="001B5076" w:rsidP="001B5076">
            <w:pPr>
              <w:rPr>
                <w:szCs w:val="22"/>
              </w:rPr>
            </w:pPr>
            <w:r w:rsidRPr="00DE3B03">
              <w:rPr>
                <w:b/>
                <w:szCs w:val="22"/>
                <w:lang w:val="en-US"/>
              </w:rPr>
              <w:t>Key Changes</w:t>
            </w:r>
            <w:r w:rsidRPr="00DE3B03">
              <w:rPr>
                <w:szCs w:val="22"/>
              </w:rPr>
              <w:t> </w:t>
            </w:r>
            <w:r w:rsidRPr="00DE3B03">
              <w:rPr>
                <w:b/>
                <w:szCs w:val="22"/>
              </w:rPr>
              <w:t>from v8</w:t>
            </w:r>
            <w:r w:rsidR="007E2185" w:rsidRPr="00DE3B03">
              <w:rPr>
                <w:b/>
                <w:szCs w:val="22"/>
              </w:rPr>
              <w:t>.1</w:t>
            </w:r>
            <w:r w:rsidRPr="00DE3B03">
              <w:rPr>
                <w:b/>
                <w:szCs w:val="22"/>
              </w:rPr>
              <w:t xml:space="preserve"> to v8.</w:t>
            </w:r>
            <w:r w:rsidR="007E2185" w:rsidRPr="00DE3B03">
              <w:rPr>
                <w:b/>
                <w:szCs w:val="22"/>
              </w:rPr>
              <w:t>2</w:t>
            </w:r>
          </w:p>
        </w:tc>
      </w:tr>
      <w:tr w:rsidR="001B5076" w:rsidRPr="001B5076" w14:paraId="64934AE0"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0F03B4B7" w14:textId="77777777" w:rsidR="00277805" w:rsidRPr="00DE3B03" w:rsidRDefault="001B5076" w:rsidP="001B5076">
            <w:pPr>
              <w:rPr>
                <w:b/>
                <w:szCs w:val="22"/>
              </w:rPr>
            </w:pPr>
            <w:r w:rsidRPr="00DE3B03">
              <w:rPr>
                <w:b/>
                <w:szCs w:val="22"/>
              </w:rPr>
              <w:t xml:space="preserve">Chapter 1 </w:t>
            </w:r>
          </w:p>
          <w:p w14:paraId="619A8D42" w14:textId="315E7037" w:rsidR="001B5076" w:rsidRPr="001B5076" w:rsidRDefault="001B5076" w:rsidP="001B5076">
            <w:pPr>
              <w:rPr>
                <w:szCs w:val="22"/>
              </w:rPr>
            </w:pPr>
            <w:r w:rsidRPr="00DE3B03">
              <w:rPr>
                <w:szCs w:val="22"/>
              </w:rPr>
              <w:t>Aged Care Act 2024 </w:t>
            </w:r>
          </w:p>
        </w:tc>
        <w:tc>
          <w:tcPr>
            <w:tcW w:w="3190" w:type="dxa"/>
            <w:tcBorders>
              <w:top w:val="nil"/>
              <w:left w:val="nil"/>
              <w:bottom w:val="single" w:sz="8" w:space="0" w:color="auto"/>
              <w:right w:val="single" w:sz="8" w:space="0" w:color="auto"/>
            </w:tcBorders>
            <w:hideMark/>
          </w:tcPr>
          <w:p w14:paraId="012A0189" w14:textId="55520086" w:rsidR="001B5076" w:rsidRPr="001B5076" w:rsidRDefault="00262983" w:rsidP="001B5076">
            <w:pPr>
              <w:rPr>
                <w:szCs w:val="22"/>
              </w:rPr>
            </w:pPr>
            <w:r>
              <w:rPr>
                <w:szCs w:val="22"/>
              </w:rPr>
              <w:t>K</w:t>
            </w:r>
            <w:r w:rsidR="001B5076" w:rsidRPr="001B5076">
              <w:rPr>
                <w:szCs w:val="22"/>
              </w:rPr>
              <w:t xml:space="preserve">ey concepts under the </w:t>
            </w:r>
            <w:r w:rsidR="001B5076" w:rsidRPr="001B5076">
              <w:rPr>
                <w:i/>
                <w:iCs/>
                <w:szCs w:val="22"/>
              </w:rPr>
              <w:t>Aged Care Act 2024</w:t>
            </w:r>
            <w:r w:rsidR="001B5076" w:rsidRPr="001B5076">
              <w:rPr>
                <w:szCs w:val="22"/>
              </w:rPr>
              <w:t xml:space="preserve"> that are important to understand.  </w:t>
            </w:r>
          </w:p>
          <w:p w14:paraId="0F43CA57" w14:textId="7E929951" w:rsidR="001B5076" w:rsidRPr="001B5076" w:rsidRDefault="001B5076" w:rsidP="00200FC6">
            <w:pPr>
              <w:rPr>
                <w:rFonts w:eastAsia="Times New Roman"/>
                <w:szCs w:val="22"/>
              </w:rPr>
            </w:pPr>
            <w:r w:rsidRPr="001B5076">
              <w:rPr>
                <w:szCs w:val="22"/>
              </w:rPr>
              <w:t> </w:t>
            </w:r>
            <w:r w:rsidR="00C70D6D">
              <w:rPr>
                <w:rFonts w:eastAsia="Times New Roman"/>
                <w:szCs w:val="22"/>
              </w:rPr>
              <w:t>E</w:t>
            </w:r>
            <w:r w:rsidRPr="001B5076">
              <w:rPr>
                <w:rFonts w:eastAsia="Times New Roman"/>
                <w:szCs w:val="22"/>
              </w:rPr>
              <w:t>ligibility requirements to access aged care services  </w:t>
            </w:r>
          </w:p>
          <w:p w14:paraId="36B62E25"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 xml:space="preserve">Service list and structure under </w:t>
            </w:r>
            <w:r w:rsidRPr="001B5076">
              <w:rPr>
                <w:rFonts w:eastAsia="Times New Roman"/>
                <w:i/>
                <w:iCs/>
                <w:szCs w:val="22"/>
              </w:rPr>
              <w:t>Aged Care Rules 2025 </w:t>
            </w:r>
          </w:p>
          <w:p w14:paraId="0615004F"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 xml:space="preserve">Approvals under </w:t>
            </w:r>
            <w:r w:rsidRPr="001B5076">
              <w:rPr>
                <w:rFonts w:eastAsia="Times New Roman"/>
                <w:i/>
                <w:iCs/>
                <w:szCs w:val="22"/>
              </w:rPr>
              <w:t>Aged Care Act 2024</w:t>
            </w:r>
            <w:r w:rsidRPr="001B5076">
              <w:rPr>
                <w:rFonts w:eastAsia="Times New Roman"/>
                <w:szCs w:val="22"/>
              </w:rPr>
              <w:t> </w:t>
            </w:r>
          </w:p>
          <w:p w14:paraId="6EB99962" w14:textId="77777777" w:rsidR="001B5076" w:rsidRPr="001B5076" w:rsidRDefault="001B5076" w:rsidP="00195891">
            <w:pPr>
              <w:numPr>
                <w:ilvl w:val="0"/>
                <w:numId w:val="411"/>
              </w:numPr>
              <w:spacing w:after="0" w:line="240" w:lineRule="auto"/>
              <w:ind w:left="588"/>
              <w:rPr>
                <w:rFonts w:eastAsia="Times New Roman"/>
                <w:szCs w:val="22"/>
              </w:rPr>
            </w:pPr>
            <w:r w:rsidRPr="001B5076">
              <w:rPr>
                <w:rFonts w:eastAsia="Times New Roman"/>
                <w:szCs w:val="22"/>
              </w:rPr>
              <w:t>Transition arrangements </w:t>
            </w:r>
          </w:p>
          <w:p w14:paraId="613E37C4" w14:textId="77777777" w:rsidR="001B5076" w:rsidRPr="001B5076" w:rsidRDefault="001B5076" w:rsidP="001B5076">
            <w:pPr>
              <w:rPr>
                <w:rFonts w:eastAsiaTheme="minorHAnsi"/>
                <w:szCs w:val="22"/>
                <w:lang w:val="en-AU"/>
              </w:rPr>
            </w:pPr>
            <w:r w:rsidRPr="001B5076">
              <w:rPr>
                <w:szCs w:val="22"/>
              </w:rPr>
              <w:t> </w:t>
            </w:r>
          </w:p>
        </w:tc>
        <w:tc>
          <w:tcPr>
            <w:tcW w:w="4776" w:type="dxa"/>
            <w:tcBorders>
              <w:top w:val="nil"/>
              <w:left w:val="nil"/>
              <w:bottom w:val="single" w:sz="8" w:space="0" w:color="auto"/>
              <w:right w:val="single" w:sz="8" w:space="0" w:color="auto"/>
            </w:tcBorders>
            <w:hideMark/>
          </w:tcPr>
          <w:p w14:paraId="4A971CC8" w14:textId="77777777" w:rsidR="00C716C5" w:rsidRPr="00C716C5" w:rsidRDefault="002860A0" w:rsidP="00C716C5">
            <w:pPr>
              <w:pStyle w:val="ListParagraph"/>
              <w:numPr>
                <w:ilvl w:val="0"/>
                <w:numId w:val="411"/>
              </w:numPr>
              <w:spacing w:after="0" w:line="240" w:lineRule="auto"/>
              <w:ind w:left="814" w:hanging="425"/>
              <w:rPr>
                <w:rFonts w:eastAsia="Times New Roman"/>
                <w:szCs w:val="22"/>
              </w:rPr>
            </w:pPr>
            <w:r>
              <w:rPr>
                <w:lang w:val="en-US"/>
              </w:rPr>
              <w:t xml:space="preserve">Removal of instructions </w:t>
            </w:r>
            <w:r w:rsidR="00AA6F79">
              <w:rPr>
                <w:lang w:val="en-US"/>
              </w:rPr>
              <w:t>to assessors to s</w:t>
            </w:r>
            <w:r w:rsidRPr="00FD15E2">
              <w:rPr>
                <w:lang w:val="en-US"/>
              </w:rPr>
              <w:t xml:space="preserve">elf-refer </w:t>
            </w:r>
            <w:r w:rsidR="00AA6F79">
              <w:rPr>
                <w:lang w:val="en-US"/>
              </w:rPr>
              <w:t>and reassess STRC clients for a second unit of RCP funding. System functionality now exists to use the SPR pathway.</w:t>
            </w:r>
          </w:p>
          <w:p w14:paraId="50444346" w14:textId="75BC0EF7" w:rsidR="00C716C5" w:rsidRPr="00C716C5" w:rsidRDefault="00C716C5" w:rsidP="00C716C5">
            <w:pPr>
              <w:pStyle w:val="ListParagraph"/>
              <w:numPr>
                <w:ilvl w:val="0"/>
                <w:numId w:val="411"/>
              </w:numPr>
              <w:spacing w:after="0" w:line="240" w:lineRule="auto"/>
              <w:ind w:left="814" w:hanging="425"/>
              <w:rPr>
                <w:rFonts w:eastAsia="Times New Roman"/>
                <w:szCs w:val="22"/>
              </w:rPr>
            </w:pPr>
            <w:r w:rsidRPr="00C716C5">
              <w:rPr>
                <w:rFonts w:eastAsiaTheme="minorEastAsia"/>
              </w:rPr>
              <w:t>Eligibility considerations for people aged between 50-64 experiencing homelessness or risk of homelessness</w:t>
            </w:r>
          </w:p>
          <w:p w14:paraId="70576A3B" w14:textId="4BBCD4F2" w:rsidR="001B5076" w:rsidRPr="001B5076" w:rsidRDefault="00C716C5" w:rsidP="00C716C5">
            <w:pPr>
              <w:pStyle w:val="ListParagraph"/>
              <w:numPr>
                <w:ilvl w:val="0"/>
                <w:numId w:val="411"/>
              </w:numPr>
              <w:ind w:left="814" w:hanging="425"/>
              <w:rPr>
                <w:rFonts w:eastAsia="Times New Roman"/>
                <w:szCs w:val="22"/>
              </w:rPr>
            </w:pPr>
            <w:r>
              <w:rPr>
                <w:rFonts w:eastAsiaTheme="minorEastAsia"/>
              </w:rPr>
              <w:t xml:space="preserve">Inclusion of definitions of </w:t>
            </w:r>
            <w:r w:rsidRPr="0081646A">
              <w:rPr>
                <w:rFonts w:eastAsiaTheme="minorEastAsia"/>
              </w:rPr>
              <w:t>homelessness</w:t>
            </w:r>
            <w:r>
              <w:rPr>
                <w:rFonts w:eastAsiaTheme="minorEastAsia"/>
              </w:rPr>
              <w:t xml:space="preserve"> and at risk</w:t>
            </w:r>
            <w:r w:rsidRPr="0081646A">
              <w:rPr>
                <w:rFonts w:eastAsiaTheme="minorEastAsia"/>
              </w:rPr>
              <w:t xml:space="preserve"> of homelessness</w:t>
            </w:r>
          </w:p>
        </w:tc>
      </w:tr>
      <w:tr w:rsidR="001B5076" w:rsidRPr="001B5076" w14:paraId="7A29850E"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01AC4D85" w14:textId="77777777" w:rsidR="001B5076" w:rsidRPr="001B5076" w:rsidRDefault="001B5076" w:rsidP="001B5076">
            <w:pPr>
              <w:rPr>
                <w:rFonts w:eastAsiaTheme="minorHAnsi"/>
                <w:szCs w:val="22"/>
              </w:rPr>
            </w:pPr>
            <w:r w:rsidRPr="00DE3B03">
              <w:rPr>
                <w:b/>
                <w:szCs w:val="22"/>
              </w:rPr>
              <w:t xml:space="preserve">Chapter 2 </w:t>
            </w:r>
            <w:r w:rsidRPr="00DE3B03">
              <w:rPr>
                <w:szCs w:val="22"/>
              </w:rPr>
              <w:t>Overview of My Aged Care and Single Assessment System </w:t>
            </w:r>
          </w:p>
        </w:tc>
        <w:tc>
          <w:tcPr>
            <w:tcW w:w="3190" w:type="dxa"/>
            <w:tcBorders>
              <w:top w:val="nil"/>
              <w:left w:val="nil"/>
              <w:bottom w:val="single" w:sz="8" w:space="0" w:color="auto"/>
              <w:right w:val="single" w:sz="8" w:space="0" w:color="auto"/>
            </w:tcBorders>
          </w:tcPr>
          <w:p w14:paraId="4A268822" w14:textId="77777777" w:rsidR="001B5076" w:rsidRPr="001B5076" w:rsidRDefault="001B5076" w:rsidP="001B5076">
            <w:pPr>
              <w:rPr>
                <w:szCs w:val="22"/>
              </w:rPr>
            </w:pPr>
            <w:r w:rsidRPr="001B5076">
              <w:rPr>
                <w:szCs w:val="22"/>
              </w:rPr>
              <w:t>Provides information about My Aged Care and the Single Assessment System including:  </w:t>
            </w:r>
          </w:p>
          <w:p w14:paraId="40640D7D" w14:textId="135820DA"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 xml:space="preserve">Introduction of </w:t>
            </w:r>
            <w:r w:rsidR="00BC52DF">
              <w:rPr>
                <w:rFonts w:eastAsia="Times New Roman"/>
                <w:szCs w:val="22"/>
              </w:rPr>
              <w:t>p</w:t>
            </w:r>
            <w:r w:rsidR="006F45E8">
              <w:rPr>
                <w:rFonts w:eastAsia="Times New Roman"/>
                <w:szCs w:val="22"/>
              </w:rPr>
              <w:t xml:space="preserve">ilot of </w:t>
            </w:r>
            <w:r w:rsidRPr="001B5076">
              <w:rPr>
                <w:rFonts w:eastAsia="Times New Roman"/>
                <w:szCs w:val="22"/>
              </w:rPr>
              <w:t>Aboriginal and Torres Strait Islander Assessment Organisations from August 2025 </w:t>
            </w:r>
          </w:p>
          <w:p w14:paraId="59664F5F"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Assessment Organisation roles and responsibilities </w:t>
            </w:r>
          </w:p>
          <w:p w14:paraId="44FFDCFB"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Assessment types </w:t>
            </w:r>
          </w:p>
          <w:p w14:paraId="26CD717C" w14:textId="77777777" w:rsidR="001B5076" w:rsidRPr="001B5076" w:rsidRDefault="001B5076" w:rsidP="00912C28">
            <w:pPr>
              <w:numPr>
                <w:ilvl w:val="0"/>
                <w:numId w:val="411"/>
              </w:numPr>
              <w:spacing w:after="0" w:line="240" w:lineRule="auto"/>
              <w:ind w:left="588"/>
              <w:rPr>
                <w:rFonts w:eastAsia="Times New Roman"/>
                <w:szCs w:val="22"/>
              </w:rPr>
            </w:pPr>
            <w:r w:rsidRPr="001B5076">
              <w:rPr>
                <w:rFonts w:eastAsia="Times New Roman"/>
                <w:szCs w:val="22"/>
              </w:rPr>
              <w:t>The Integrated Assessment Tool (IAT) </w:t>
            </w:r>
          </w:p>
          <w:p w14:paraId="328775E5" w14:textId="77777777" w:rsidR="001B5076" w:rsidRPr="001B5076" w:rsidRDefault="001B5076" w:rsidP="00912C28">
            <w:pPr>
              <w:ind w:left="588"/>
              <w:rPr>
                <w:rFonts w:eastAsiaTheme="minorHAnsi"/>
                <w:szCs w:val="22"/>
                <w:lang w:val="en-AU"/>
              </w:rPr>
            </w:pPr>
            <w:r w:rsidRPr="001B5076">
              <w:rPr>
                <w:szCs w:val="22"/>
              </w:rPr>
              <w:t> </w:t>
            </w:r>
          </w:p>
        </w:tc>
        <w:tc>
          <w:tcPr>
            <w:tcW w:w="4776" w:type="dxa"/>
            <w:tcBorders>
              <w:top w:val="nil"/>
              <w:left w:val="nil"/>
              <w:bottom w:val="single" w:sz="8" w:space="0" w:color="auto"/>
              <w:right w:val="single" w:sz="8" w:space="0" w:color="auto"/>
            </w:tcBorders>
            <w:hideMark/>
          </w:tcPr>
          <w:p w14:paraId="29D8F8B0" w14:textId="77777777" w:rsidR="001B5076" w:rsidRDefault="004D6988" w:rsidP="00DF3F6B">
            <w:pPr>
              <w:numPr>
                <w:ilvl w:val="0"/>
                <w:numId w:val="466"/>
              </w:numPr>
              <w:spacing w:after="0" w:line="240" w:lineRule="auto"/>
              <w:rPr>
                <w:rFonts w:eastAsia="Times New Roman"/>
                <w:szCs w:val="22"/>
              </w:rPr>
            </w:pPr>
            <w:r>
              <w:rPr>
                <w:rFonts w:eastAsia="Times New Roman"/>
                <w:szCs w:val="22"/>
              </w:rPr>
              <w:t>Additional information on delivering culturally safe assessments.</w:t>
            </w:r>
          </w:p>
          <w:p w14:paraId="08E80262" w14:textId="22D7D96E" w:rsidR="00325702" w:rsidRDefault="004D6988" w:rsidP="00DF3F6B">
            <w:pPr>
              <w:numPr>
                <w:ilvl w:val="0"/>
                <w:numId w:val="466"/>
              </w:numPr>
              <w:spacing w:after="0" w:line="240" w:lineRule="auto"/>
              <w:rPr>
                <w:rFonts w:eastAsia="Times New Roman"/>
                <w:szCs w:val="22"/>
              </w:rPr>
            </w:pPr>
            <w:r>
              <w:rPr>
                <w:rFonts w:eastAsia="Times New Roman"/>
                <w:szCs w:val="22"/>
              </w:rPr>
              <w:t xml:space="preserve">Updated table to include </w:t>
            </w:r>
            <w:r w:rsidR="00325702">
              <w:rPr>
                <w:rFonts w:eastAsia="Times New Roman"/>
                <w:szCs w:val="22"/>
              </w:rPr>
              <w:t xml:space="preserve">more information about the </w:t>
            </w:r>
            <w:r>
              <w:rPr>
                <w:rFonts w:eastAsia="Times New Roman"/>
                <w:szCs w:val="22"/>
              </w:rPr>
              <w:t>Validated Assessment Tools</w:t>
            </w:r>
          </w:p>
          <w:p w14:paraId="5B1971A4" w14:textId="0DEC748F" w:rsidR="004D6988" w:rsidRPr="001B5076" w:rsidRDefault="004D6988" w:rsidP="00CC3DC6">
            <w:pPr>
              <w:spacing w:after="0" w:line="240" w:lineRule="auto"/>
              <w:rPr>
                <w:rFonts w:eastAsia="Times New Roman"/>
                <w:szCs w:val="22"/>
              </w:rPr>
            </w:pPr>
          </w:p>
        </w:tc>
      </w:tr>
      <w:tr w:rsidR="001B5076" w:rsidRPr="001B5076" w14:paraId="3084F01B"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25E25A2E" w14:textId="77777777" w:rsidR="001B5076" w:rsidRPr="001B5076" w:rsidRDefault="001B5076" w:rsidP="001B5076">
            <w:pPr>
              <w:rPr>
                <w:rFonts w:eastAsiaTheme="minorHAnsi"/>
                <w:szCs w:val="22"/>
              </w:rPr>
            </w:pPr>
            <w:r w:rsidRPr="00DE3B03">
              <w:rPr>
                <w:b/>
                <w:szCs w:val="22"/>
              </w:rPr>
              <w:t>Chapter 3 </w:t>
            </w:r>
            <w:r w:rsidRPr="00DE3B03">
              <w:rPr>
                <w:szCs w:val="22"/>
              </w:rPr>
              <w:t> </w:t>
            </w:r>
          </w:p>
          <w:p w14:paraId="77AA665B" w14:textId="77777777" w:rsidR="001B5076" w:rsidRPr="001B5076" w:rsidRDefault="001B5076" w:rsidP="001B5076">
            <w:pPr>
              <w:rPr>
                <w:szCs w:val="22"/>
              </w:rPr>
            </w:pPr>
            <w:r w:rsidRPr="00DE3B03">
              <w:rPr>
                <w:szCs w:val="22"/>
              </w:rPr>
              <w:t>Referral, Registration and Screening </w:t>
            </w:r>
          </w:p>
        </w:tc>
        <w:tc>
          <w:tcPr>
            <w:tcW w:w="3190" w:type="dxa"/>
            <w:tcBorders>
              <w:top w:val="nil"/>
              <w:left w:val="nil"/>
              <w:bottom w:val="single" w:sz="8" w:space="0" w:color="auto"/>
              <w:right w:val="single" w:sz="8" w:space="0" w:color="auto"/>
            </w:tcBorders>
            <w:hideMark/>
          </w:tcPr>
          <w:p w14:paraId="5F25B47B" w14:textId="77777777" w:rsidR="001B5076" w:rsidRPr="001B5076" w:rsidRDefault="001B5076" w:rsidP="001B5076">
            <w:pPr>
              <w:rPr>
                <w:szCs w:val="22"/>
              </w:rPr>
            </w:pPr>
            <w:r w:rsidRPr="001B5076">
              <w:rPr>
                <w:szCs w:val="22"/>
              </w:rPr>
              <w:t>Details the referral, registration and screening stages of the assessment journey. Information includes:  </w:t>
            </w:r>
          </w:p>
          <w:p w14:paraId="7421BA84" w14:textId="054D6225" w:rsidR="001B5076" w:rsidRPr="001B5076" w:rsidRDefault="001B5076" w:rsidP="000C1D2B">
            <w:pPr>
              <w:numPr>
                <w:ilvl w:val="0"/>
                <w:numId w:val="411"/>
              </w:numPr>
              <w:spacing w:after="0" w:line="240" w:lineRule="auto"/>
              <w:ind w:left="588"/>
              <w:rPr>
                <w:rFonts w:eastAsia="Times New Roman"/>
                <w:szCs w:val="22"/>
              </w:rPr>
            </w:pPr>
            <w:r w:rsidRPr="001B5076">
              <w:rPr>
                <w:rFonts w:eastAsia="Times New Roman"/>
                <w:szCs w:val="22"/>
              </w:rPr>
              <w:t>Registered supporters  </w:t>
            </w:r>
          </w:p>
          <w:p w14:paraId="4CFD5669"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Entry into My Aged Care </w:t>
            </w:r>
          </w:p>
          <w:p w14:paraId="2DE8C8BF"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Registering with my aged care </w:t>
            </w:r>
          </w:p>
          <w:p w14:paraId="566A0F9E"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Screening</w:t>
            </w:r>
          </w:p>
          <w:p w14:paraId="3DE5FE22"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Alternative entry (urgent services pathway) </w:t>
            </w:r>
          </w:p>
          <w:p w14:paraId="3B53411C" w14:textId="77777777" w:rsidR="001B5076" w:rsidRPr="001B5076" w:rsidRDefault="001B5076" w:rsidP="005E06A8">
            <w:pPr>
              <w:numPr>
                <w:ilvl w:val="0"/>
                <w:numId w:val="411"/>
              </w:numPr>
              <w:spacing w:after="0" w:line="240" w:lineRule="auto"/>
              <w:ind w:left="588"/>
              <w:rPr>
                <w:rFonts w:eastAsia="Times New Roman"/>
                <w:szCs w:val="22"/>
              </w:rPr>
            </w:pPr>
            <w:r w:rsidRPr="001B5076">
              <w:rPr>
                <w:rFonts w:eastAsia="Times New Roman"/>
                <w:szCs w:val="22"/>
              </w:rPr>
              <w:t>Application for Care form </w:t>
            </w:r>
          </w:p>
          <w:p w14:paraId="03F59216" w14:textId="77777777" w:rsidR="001B5076" w:rsidRPr="001B5076" w:rsidRDefault="001B5076" w:rsidP="001B5076">
            <w:pPr>
              <w:rPr>
                <w:rFonts w:eastAsiaTheme="minorHAnsi"/>
                <w:szCs w:val="22"/>
                <w:lang w:val="en-AU"/>
              </w:rPr>
            </w:pPr>
            <w:r w:rsidRPr="001B5076">
              <w:rPr>
                <w:szCs w:val="22"/>
              </w:rPr>
              <w:t> </w:t>
            </w:r>
          </w:p>
        </w:tc>
        <w:tc>
          <w:tcPr>
            <w:tcW w:w="4776" w:type="dxa"/>
            <w:tcBorders>
              <w:top w:val="nil"/>
              <w:left w:val="nil"/>
              <w:bottom w:val="single" w:sz="8" w:space="0" w:color="auto"/>
              <w:right w:val="single" w:sz="8" w:space="0" w:color="auto"/>
            </w:tcBorders>
            <w:hideMark/>
          </w:tcPr>
          <w:p w14:paraId="63B3AB58" w14:textId="58C64C53" w:rsidR="00676BEE" w:rsidRDefault="00676BEE" w:rsidP="00DF3F6B">
            <w:pPr>
              <w:numPr>
                <w:ilvl w:val="0"/>
                <w:numId w:val="467"/>
              </w:numPr>
              <w:spacing w:after="0" w:line="240" w:lineRule="auto"/>
              <w:rPr>
                <w:rFonts w:eastAsia="Times New Roman"/>
                <w:szCs w:val="22"/>
              </w:rPr>
            </w:pPr>
            <w:r>
              <w:rPr>
                <w:rFonts w:eastAsia="Times New Roman"/>
                <w:szCs w:val="22"/>
              </w:rPr>
              <w:t>New information about support decision making</w:t>
            </w:r>
          </w:p>
          <w:p w14:paraId="564502B0" w14:textId="63635A7D" w:rsidR="00676BEE" w:rsidRPr="001B5076" w:rsidRDefault="00676BEE" w:rsidP="00DF3F6B">
            <w:pPr>
              <w:numPr>
                <w:ilvl w:val="0"/>
                <w:numId w:val="467"/>
              </w:numPr>
              <w:spacing w:after="0" w:line="240" w:lineRule="auto"/>
              <w:rPr>
                <w:rFonts w:eastAsia="Times New Roman"/>
                <w:szCs w:val="22"/>
              </w:rPr>
            </w:pPr>
            <w:r>
              <w:rPr>
                <w:rFonts w:eastAsia="Times New Roman"/>
                <w:szCs w:val="22"/>
              </w:rPr>
              <w:t>New information about exceptional circumstances and approving a service without an assessment.</w:t>
            </w:r>
          </w:p>
        </w:tc>
      </w:tr>
      <w:tr w:rsidR="000E7FBC" w:rsidRPr="001B5076" w14:paraId="3217B19C"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76FC114C" w14:textId="77777777" w:rsidR="000E7FBC" w:rsidRPr="001B5076" w:rsidRDefault="000E7FBC" w:rsidP="000E7FBC">
            <w:pPr>
              <w:rPr>
                <w:rFonts w:eastAsiaTheme="minorHAnsi"/>
                <w:szCs w:val="22"/>
              </w:rPr>
            </w:pPr>
            <w:r w:rsidRPr="00DE3B03">
              <w:rPr>
                <w:b/>
                <w:szCs w:val="22"/>
              </w:rPr>
              <w:t>Chapter 4 </w:t>
            </w:r>
            <w:r w:rsidRPr="00DE3B03">
              <w:rPr>
                <w:szCs w:val="22"/>
              </w:rPr>
              <w:t> </w:t>
            </w:r>
          </w:p>
          <w:p w14:paraId="3F309A7A" w14:textId="77777777" w:rsidR="000E7FBC" w:rsidRPr="001B5076" w:rsidRDefault="000E7FBC" w:rsidP="000E7FBC">
            <w:pPr>
              <w:rPr>
                <w:szCs w:val="22"/>
              </w:rPr>
            </w:pPr>
            <w:r w:rsidRPr="00DE3B03">
              <w:rPr>
                <w:szCs w:val="22"/>
              </w:rPr>
              <w:t>Referral for Assessment </w:t>
            </w:r>
          </w:p>
        </w:tc>
        <w:tc>
          <w:tcPr>
            <w:tcW w:w="3190" w:type="dxa"/>
            <w:tcBorders>
              <w:top w:val="nil"/>
              <w:left w:val="nil"/>
              <w:bottom w:val="single" w:sz="8" w:space="0" w:color="auto"/>
              <w:right w:val="single" w:sz="8" w:space="0" w:color="auto"/>
            </w:tcBorders>
            <w:hideMark/>
          </w:tcPr>
          <w:p w14:paraId="46A31C8D" w14:textId="77777777" w:rsidR="000E7FBC" w:rsidRPr="001B5076" w:rsidRDefault="000E7FBC" w:rsidP="000E7FBC">
            <w:pPr>
              <w:rPr>
                <w:szCs w:val="22"/>
              </w:rPr>
            </w:pPr>
            <w:r w:rsidRPr="001B5076">
              <w:rPr>
                <w:szCs w:val="22"/>
                <w:lang w:val="en-US"/>
              </w:rPr>
              <w:t>Details the assessment referral process in the My Aged Care assessor portal including: </w:t>
            </w:r>
            <w:r w:rsidRPr="001B5076">
              <w:rPr>
                <w:szCs w:val="22"/>
              </w:rPr>
              <w:t> </w:t>
            </w:r>
          </w:p>
          <w:p w14:paraId="7A8B2C14"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Managing and actioning referrals and assigning referral priority, </w:t>
            </w:r>
          </w:p>
          <w:p w14:paraId="4826F9D2"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Managing preference for Aboriginal and Torres Strait Islander assessments </w:t>
            </w:r>
          </w:p>
          <w:p w14:paraId="1A4ABF30"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Explaining how priority categories are assigned to different assessments including Home Support, Comprehensive and Hospital Assessments </w:t>
            </w:r>
          </w:p>
          <w:p w14:paraId="40955C5E"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Using the End-of-Life Pathway ‘high priority’ referrals in the system </w:t>
            </w:r>
          </w:p>
          <w:p w14:paraId="3D056A60"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Explaining how assessors can self-refer for eligible and (likely) ineligible individuals.  </w:t>
            </w:r>
          </w:p>
          <w:p w14:paraId="13CEB1C1" w14:textId="77777777" w:rsidR="000E7FBC" w:rsidRPr="001B5076" w:rsidRDefault="000E7FBC" w:rsidP="000E7FBC">
            <w:pPr>
              <w:numPr>
                <w:ilvl w:val="0"/>
                <w:numId w:val="411"/>
              </w:numPr>
              <w:spacing w:after="0" w:line="240" w:lineRule="auto"/>
              <w:ind w:left="447"/>
              <w:rPr>
                <w:rFonts w:eastAsia="Times New Roman"/>
                <w:szCs w:val="22"/>
                <w:lang w:val="en-AU"/>
              </w:rPr>
            </w:pPr>
            <w:r w:rsidRPr="001B5076">
              <w:rPr>
                <w:rFonts w:eastAsia="Times New Roman"/>
                <w:szCs w:val="22"/>
              </w:rPr>
              <w:t>SPRs and reassessment requests </w:t>
            </w:r>
          </w:p>
        </w:tc>
        <w:tc>
          <w:tcPr>
            <w:tcW w:w="4776" w:type="dxa"/>
            <w:tcBorders>
              <w:top w:val="nil"/>
              <w:left w:val="nil"/>
              <w:bottom w:val="single" w:sz="8" w:space="0" w:color="auto"/>
              <w:right w:val="single" w:sz="8" w:space="0" w:color="auto"/>
            </w:tcBorders>
          </w:tcPr>
          <w:p w14:paraId="5A881843" w14:textId="08417DC4" w:rsidR="000E7FBC" w:rsidRPr="001B5076" w:rsidRDefault="000E7FBC" w:rsidP="00453DCB">
            <w:pPr>
              <w:pStyle w:val="ListParagraph"/>
              <w:numPr>
                <w:ilvl w:val="0"/>
                <w:numId w:val="411"/>
              </w:numPr>
              <w:ind w:left="814"/>
            </w:pPr>
            <w:r>
              <w:rPr>
                <w:rFonts w:eastAsiaTheme="minorHAnsi"/>
                <w:szCs w:val="22"/>
              </w:rPr>
              <w:t xml:space="preserve">End-of-Life Pathway </w:t>
            </w:r>
            <w:r w:rsidR="00A36296">
              <w:rPr>
                <w:rFonts w:eastAsiaTheme="minorHAnsi"/>
                <w:szCs w:val="22"/>
              </w:rPr>
              <w:t xml:space="preserve">(EoL) </w:t>
            </w:r>
            <w:r>
              <w:rPr>
                <w:rFonts w:eastAsiaTheme="minorHAnsi"/>
                <w:szCs w:val="22"/>
              </w:rPr>
              <w:t xml:space="preserve">– information </w:t>
            </w:r>
            <w:r w:rsidR="00A36296">
              <w:rPr>
                <w:rFonts w:eastAsiaTheme="minorHAnsi"/>
                <w:szCs w:val="22"/>
              </w:rPr>
              <w:t xml:space="preserve">about identification of </w:t>
            </w:r>
            <w:r w:rsidR="00F3686E">
              <w:rPr>
                <w:rFonts w:eastAsiaTheme="minorHAnsi"/>
                <w:szCs w:val="22"/>
              </w:rPr>
              <w:t xml:space="preserve">urgent </w:t>
            </w:r>
            <w:r w:rsidR="00A36296">
              <w:rPr>
                <w:rFonts w:eastAsiaTheme="minorHAnsi"/>
                <w:szCs w:val="22"/>
              </w:rPr>
              <w:t>EoL</w:t>
            </w:r>
            <w:r w:rsidR="008D41BC">
              <w:rPr>
                <w:rFonts w:eastAsiaTheme="minorHAnsi"/>
                <w:szCs w:val="22"/>
              </w:rPr>
              <w:t xml:space="preserve"> </w:t>
            </w:r>
            <w:r w:rsidR="00A36296">
              <w:rPr>
                <w:rFonts w:eastAsiaTheme="minorHAnsi"/>
                <w:szCs w:val="22"/>
              </w:rPr>
              <w:t xml:space="preserve">Support Plan Reviews for team leaders </w:t>
            </w:r>
          </w:p>
        </w:tc>
      </w:tr>
      <w:tr w:rsidR="000E7FBC" w:rsidRPr="001B5076" w14:paraId="5925AA20"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52057D65" w14:textId="77777777" w:rsidR="000E7FBC" w:rsidRPr="001B5076" w:rsidRDefault="000E7FBC" w:rsidP="000E7FBC">
            <w:pPr>
              <w:rPr>
                <w:szCs w:val="22"/>
              </w:rPr>
            </w:pPr>
            <w:r w:rsidRPr="00DE3B03">
              <w:rPr>
                <w:b/>
                <w:szCs w:val="22"/>
              </w:rPr>
              <w:t>Chapter 5 </w:t>
            </w:r>
            <w:r w:rsidRPr="00DE3B03">
              <w:rPr>
                <w:szCs w:val="22"/>
              </w:rPr>
              <w:t> </w:t>
            </w:r>
          </w:p>
          <w:p w14:paraId="37A86FB9" w14:textId="77777777" w:rsidR="000E7FBC" w:rsidRPr="001B5076" w:rsidRDefault="000E7FBC" w:rsidP="000E7FBC">
            <w:pPr>
              <w:rPr>
                <w:szCs w:val="22"/>
              </w:rPr>
            </w:pPr>
            <w:r w:rsidRPr="00DE3B03">
              <w:rPr>
                <w:szCs w:val="22"/>
              </w:rPr>
              <w:t>Assessment Activities </w:t>
            </w:r>
          </w:p>
        </w:tc>
        <w:tc>
          <w:tcPr>
            <w:tcW w:w="3190" w:type="dxa"/>
            <w:tcBorders>
              <w:top w:val="nil"/>
              <w:left w:val="nil"/>
              <w:bottom w:val="single" w:sz="8" w:space="0" w:color="auto"/>
              <w:right w:val="single" w:sz="8" w:space="0" w:color="auto"/>
            </w:tcBorders>
          </w:tcPr>
          <w:p w14:paraId="53D2D27D" w14:textId="77777777" w:rsidR="000E7FBC" w:rsidRPr="001B5076" w:rsidRDefault="000E7FBC" w:rsidP="000E7FBC">
            <w:pPr>
              <w:rPr>
                <w:szCs w:val="22"/>
              </w:rPr>
            </w:pPr>
            <w:r w:rsidRPr="001B5076">
              <w:rPr>
                <w:szCs w:val="22"/>
              </w:rPr>
              <w:t>Includes important information about how to undertake an aged care needs assessment and complete a support plan for an older person. This chapter includes: </w:t>
            </w:r>
          </w:p>
          <w:p w14:paraId="59E1EDC9" w14:textId="77777777" w:rsidR="000E7FBC" w:rsidRPr="001B5076" w:rsidRDefault="000E7FBC" w:rsidP="000E7FBC">
            <w:pPr>
              <w:rPr>
                <w:szCs w:val="22"/>
              </w:rPr>
            </w:pPr>
          </w:p>
          <w:p w14:paraId="4B6C12D5"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Consent for triage and assessment </w:t>
            </w:r>
          </w:p>
          <w:p w14:paraId="0C1B54EA"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Triaging Assessments and Triage Delegate role </w:t>
            </w:r>
          </w:p>
          <w:p w14:paraId="0F955F31"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Triage for SPRs </w:t>
            </w:r>
          </w:p>
          <w:p w14:paraId="70718788"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Revocation of Eligibility </w:t>
            </w:r>
          </w:p>
          <w:p w14:paraId="4E69571B"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Undertaking a needs assessment using the IAT </w:t>
            </w:r>
          </w:p>
          <w:p w14:paraId="3A3F7376"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Assessment settings </w:t>
            </w:r>
          </w:p>
          <w:p w14:paraId="2F3D48BD"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Clinical attendance </w:t>
            </w:r>
          </w:p>
          <w:p w14:paraId="5D1C5074" w14:textId="1786A116"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IAT outcome  </w:t>
            </w:r>
          </w:p>
          <w:p w14:paraId="22474B28"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Recommending service types and services  </w:t>
            </w:r>
          </w:p>
          <w:p w14:paraId="241B0F48"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Converting a home support assessment to comprehensive </w:t>
            </w:r>
          </w:p>
          <w:p w14:paraId="3D25F727"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Support Plan </w:t>
            </w:r>
          </w:p>
          <w:p w14:paraId="74875D45"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Wellness &amp; Reablement </w:t>
            </w:r>
          </w:p>
          <w:p w14:paraId="08121290"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Linking Supports </w:t>
            </w:r>
          </w:p>
          <w:p w14:paraId="385EC068"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Assessment wrap-up </w:t>
            </w:r>
          </w:p>
          <w:p w14:paraId="2608220F" w14:textId="77777777" w:rsidR="000E7FBC" w:rsidRPr="001B5076" w:rsidRDefault="000E7FBC" w:rsidP="000E7FBC">
            <w:pPr>
              <w:rPr>
                <w:rFonts w:eastAsiaTheme="minorHAnsi"/>
                <w:szCs w:val="22"/>
              </w:rPr>
            </w:pPr>
            <w:r w:rsidRPr="001B5076">
              <w:rPr>
                <w:szCs w:val="22"/>
              </w:rPr>
              <w:t> </w:t>
            </w:r>
          </w:p>
        </w:tc>
        <w:tc>
          <w:tcPr>
            <w:tcW w:w="4776" w:type="dxa"/>
            <w:tcBorders>
              <w:top w:val="nil"/>
              <w:left w:val="nil"/>
              <w:bottom w:val="single" w:sz="8" w:space="0" w:color="auto"/>
              <w:right w:val="single" w:sz="8" w:space="0" w:color="auto"/>
            </w:tcBorders>
          </w:tcPr>
          <w:p w14:paraId="30EC6FD9" w14:textId="77777777" w:rsidR="00FB6098" w:rsidRDefault="00735D64" w:rsidP="00EE78B2">
            <w:pPr>
              <w:pStyle w:val="ListParagraph"/>
              <w:numPr>
                <w:ilvl w:val="0"/>
                <w:numId w:val="467"/>
              </w:numPr>
              <w:rPr>
                <w:rFonts w:eastAsiaTheme="minorEastAsia"/>
              </w:rPr>
            </w:pPr>
            <w:r>
              <w:rPr>
                <w:rFonts w:eastAsiaTheme="minorEastAsia"/>
              </w:rPr>
              <w:t xml:space="preserve">Eligibility considerations for </w:t>
            </w:r>
            <w:r w:rsidR="00393FA0">
              <w:rPr>
                <w:rFonts w:eastAsiaTheme="minorEastAsia"/>
              </w:rPr>
              <w:t>people aged between 50-64 experiencing homelessness or risk of homelessness</w:t>
            </w:r>
          </w:p>
          <w:p w14:paraId="18783BF7" w14:textId="1AB40095" w:rsidR="00735D64" w:rsidRDefault="00FB6098" w:rsidP="00EE78B2">
            <w:pPr>
              <w:pStyle w:val="ListParagraph"/>
              <w:numPr>
                <w:ilvl w:val="0"/>
                <w:numId w:val="467"/>
              </w:numPr>
              <w:rPr>
                <w:rFonts w:eastAsiaTheme="minorEastAsia"/>
              </w:rPr>
            </w:pPr>
            <w:r>
              <w:rPr>
                <w:rFonts w:eastAsiaTheme="minorEastAsia"/>
              </w:rPr>
              <w:t xml:space="preserve">Additional information about </w:t>
            </w:r>
            <w:r w:rsidR="00683C48">
              <w:rPr>
                <w:rFonts w:eastAsiaTheme="minorEastAsia"/>
              </w:rPr>
              <w:t xml:space="preserve">obtaining consent </w:t>
            </w:r>
            <w:r w:rsidR="00A61CB7">
              <w:rPr>
                <w:rFonts w:eastAsiaTheme="minorEastAsia"/>
              </w:rPr>
              <w:t>for people being triaged for a reassessment after a support plan review</w:t>
            </w:r>
          </w:p>
          <w:p w14:paraId="2D8516E3" w14:textId="2D6A1E86" w:rsidR="000E7FBC" w:rsidRDefault="000E7FBC" w:rsidP="00EE78B2">
            <w:pPr>
              <w:pStyle w:val="ListParagraph"/>
              <w:numPr>
                <w:ilvl w:val="0"/>
                <w:numId w:val="467"/>
              </w:numPr>
              <w:rPr>
                <w:rFonts w:eastAsiaTheme="minorEastAsia"/>
              </w:rPr>
            </w:pPr>
            <w:r w:rsidRPr="20BC8E57">
              <w:rPr>
                <w:rFonts w:eastAsiaTheme="minorEastAsia"/>
              </w:rPr>
              <w:t xml:space="preserve">End-of-Life (EoL) Pathway – information about submission of EoL Pathway Forms for individuals undergoing telehealth assessments </w:t>
            </w:r>
          </w:p>
          <w:p w14:paraId="6245299C" w14:textId="77777777" w:rsidR="00145B26" w:rsidRDefault="00145B26" w:rsidP="00EE78B2">
            <w:pPr>
              <w:pStyle w:val="ListParagraph"/>
              <w:numPr>
                <w:ilvl w:val="0"/>
                <w:numId w:val="467"/>
              </w:numPr>
              <w:rPr>
                <w:rFonts w:eastAsiaTheme="minorEastAsia"/>
              </w:rPr>
            </w:pPr>
            <w:r>
              <w:rPr>
                <w:rFonts w:eastAsiaTheme="minorEastAsia"/>
              </w:rPr>
              <w:t>Additional advice about assessing a person who is not in their usual accommodation setting</w:t>
            </w:r>
          </w:p>
          <w:p w14:paraId="0AEC3732" w14:textId="40571D3D" w:rsidR="00D156F2" w:rsidRDefault="00D156F2" w:rsidP="00EE78B2">
            <w:pPr>
              <w:pStyle w:val="ListParagraph"/>
              <w:numPr>
                <w:ilvl w:val="0"/>
                <w:numId w:val="467"/>
              </w:numPr>
              <w:rPr>
                <w:rFonts w:eastAsiaTheme="minorEastAsia"/>
              </w:rPr>
            </w:pPr>
            <w:r>
              <w:rPr>
                <w:rFonts w:eastAsiaTheme="minorEastAsia"/>
              </w:rPr>
              <w:t>Additional information about building rapport and trust with older Aboriginal and Torres Strait islander people</w:t>
            </w:r>
          </w:p>
          <w:p w14:paraId="2F867C6C" w14:textId="7D57DDAE" w:rsidR="00D156F2" w:rsidRDefault="005A5253" w:rsidP="00EE78B2">
            <w:pPr>
              <w:pStyle w:val="ListParagraph"/>
              <w:numPr>
                <w:ilvl w:val="0"/>
                <w:numId w:val="467"/>
              </w:numPr>
              <w:rPr>
                <w:rFonts w:eastAsiaTheme="minorEastAsia"/>
              </w:rPr>
            </w:pPr>
            <w:r>
              <w:rPr>
                <w:rFonts w:eastAsiaTheme="minorEastAsia"/>
              </w:rPr>
              <w:t xml:space="preserve">Revised guidance on undertaking an assessment including tools and techniques </w:t>
            </w:r>
            <w:r w:rsidR="00862A48">
              <w:rPr>
                <w:rFonts w:eastAsiaTheme="minorEastAsia"/>
              </w:rPr>
              <w:t>for assessing an older person and recording assessment information</w:t>
            </w:r>
            <w:r>
              <w:rPr>
                <w:rFonts w:eastAsiaTheme="minorEastAsia"/>
              </w:rPr>
              <w:t xml:space="preserve"> </w:t>
            </w:r>
          </w:p>
          <w:p w14:paraId="144FEBBC" w14:textId="373FE48F" w:rsidR="00145B26" w:rsidRDefault="00FE34A5" w:rsidP="00EE78B2">
            <w:pPr>
              <w:pStyle w:val="ListParagraph"/>
              <w:numPr>
                <w:ilvl w:val="0"/>
                <w:numId w:val="467"/>
              </w:numPr>
              <w:rPr>
                <w:rFonts w:eastAsiaTheme="minorEastAsia"/>
              </w:rPr>
            </w:pPr>
            <w:r>
              <w:rPr>
                <w:rFonts w:eastAsiaTheme="minorEastAsia"/>
              </w:rPr>
              <w:t>Updated information for Aboriginal and Torres Strait Islander Assessment Organisations</w:t>
            </w:r>
          </w:p>
          <w:p w14:paraId="6D455808" w14:textId="77777777" w:rsidR="00B80767" w:rsidRDefault="00FE34A5" w:rsidP="00EE78B2">
            <w:pPr>
              <w:pStyle w:val="ListParagraph"/>
              <w:numPr>
                <w:ilvl w:val="0"/>
                <w:numId w:val="467"/>
              </w:numPr>
              <w:rPr>
                <w:rFonts w:eastAsiaTheme="minorEastAsia"/>
              </w:rPr>
            </w:pPr>
            <w:r>
              <w:rPr>
                <w:rFonts w:eastAsiaTheme="minorEastAsia"/>
              </w:rPr>
              <w:t>New criteria</w:t>
            </w:r>
            <w:r w:rsidR="004C4B20">
              <w:rPr>
                <w:rFonts w:eastAsiaTheme="minorEastAsia"/>
              </w:rPr>
              <w:t xml:space="preserve"> to determine whether an older person needs urgent service provi</w:t>
            </w:r>
            <w:r w:rsidR="00B80767">
              <w:rPr>
                <w:rFonts w:eastAsiaTheme="minorEastAsia"/>
              </w:rPr>
              <w:t>sion, which relates to requiring care to enable discharge from hospital</w:t>
            </w:r>
          </w:p>
          <w:p w14:paraId="4934A6F2" w14:textId="6B56FA29" w:rsidR="00601F76" w:rsidRDefault="009B08C8" w:rsidP="00EE78B2">
            <w:pPr>
              <w:pStyle w:val="ListParagraph"/>
              <w:numPr>
                <w:ilvl w:val="0"/>
                <w:numId w:val="467"/>
              </w:numPr>
              <w:rPr>
                <w:rFonts w:eastAsiaTheme="minorEastAsia"/>
              </w:rPr>
            </w:pPr>
            <w:r>
              <w:rPr>
                <w:rFonts w:eastAsiaTheme="minorEastAsia"/>
              </w:rPr>
              <w:t>Updated information and guidance on the IAT Outcome</w:t>
            </w:r>
            <w:r w:rsidR="00866218">
              <w:rPr>
                <w:rFonts w:eastAsiaTheme="minorEastAsia"/>
              </w:rPr>
              <w:t xml:space="preserve"> </w:t>
            </w:r>
          </w:p>
          <w:p w14:paraId="63BC9695" w14:textId="324AA951" w:rsidR="008120B7" w:rsidRPr="008C5C19" w:rsidRDefault="00295B68" w:rsidP="008120B7">
            <w:pPr>
              <w:pStyle w:val="ListParagraph"/>
              <w:numPr>
                <w:ilvl w:val="0"/>
                <w:numId w:val="467"/>
              </w:numPr>
              <w:rPr>
                <w:rFonts w:eastAsiaTheme="minorEastAsia"/>
              </w:rPr>
            </w:pPr>
            <w:r>
              <w:rPr>
                <w:rFonts w:eastAsiaTheme="minorEastAsia"/>
              </w:rPr>
              <w:t>Additional guidance for recording concerns</w:t>
            </w:r>
            <w:r w:rsidR="004325DD">
              <w:rPr>
                <w:rFonts w:eastAsiaTheme="minorEastAsia"/>
              </w:rPr>
              <w:t>, goals and recommendations</w:t>
            </w:r>
          </w:p>
          <w:p w14:paraId="07B5E453" w14:textId="40139BD1" w:rsidR="00287FF2" w:rsidRDefault="008120B7" w:rsidP="00EE78B2">
            <w:pPr>
              <w:pStyle w:val="ListParagraph"/>
              <w:numPr>
                <w:ilvl w:val="0"/>
                <w:numId w:val="467"/>
              </w:numPr>
              <w:rPr>
                <w:rFonts w:eastAsiaTheme="minorEastAsia"/>
              </w:rPr>
            </w:pPr>
            <w:r>
              <w:rPr>
                <w:rFonts w:eastAsiaTheme="minorEastAsia"/>
              </w:rPr>
              <w:t>Additional guidance on converting a home support assessment to a comprehensive assessment.</w:t>
            </w:r>
          </w:p>
          <w:p w14:paraId="1B519660" w14:textId="09661E76" w:rsidR="008120B7" w:rsidRDefault="00287FF2" w:rsidP="00EE78B2">
            <w:pPr>
              <w:pStyle w:val="ListParagraph"/>
              <w:numPr>
                <w:ilvl w:val="0"/>
                <w:numId w:val="467"/>
              </w:numPr>
              <w:rPr>
                <w:rFonts w:eastAsiaTheme="minorEastAsia"/>
              </w:rPr>
            </w:pPr>
            <w:r>
              <w:rPr>
                <w:rFonts w:eastAsiaTheme="minorEastAsia"/>
              </w:rPr>
              <w:t xml:space="preserve">Updated guidance on </w:t>
            </w:r>
            <w:r w:rsidR="00921357">
              <w:rPr>
                <w:rFonts w:eastAsiaTheme="minorEastAsia"/>
              </w:rPr>
              <w:t xml:space="preserve">completing </w:t>
            </w:r>
            <w:r>
              <w:rPr>
                <w:rFonts w:eastAsiaTheme="minorEastAsia"/>
              </w:rPr>
              <w:t>the assessment summary</w:t>
            </w:r>
            <w:r w:rsidR="008120B7">
              <w:rPr>
                <w:rFonts w:eastAsiaTheme="minorEastAsia"/>
              </w:rPr>
              <w:t xml:space="preserve"> </w:t>
            </w:r>
          </w:p>
          <w:p w14:paraId="649AEA23" w14:textId="4A583E5D" w:rsidR="00FE34A5" w:rsidRPr="001B5076" w:rsidRDefault="00E051C7" w:rsidP="00EE78B2">
            <w:pPr>
              <w:pStyle w:val="ListParagraph"/>
              <w:numPr>
                <w:ilvl w:val="0"/>
                <w:numId w:val="467"/>
              </w:numPr>
              <w:rPr>
                <w:rFonts w:eastAsiaTheme="minorEastAsia"/>
              </w:rPr>
            </w:pPr>
            <w:r>
              <w:rPr>
                <w:rFonts w:eastAsiaTheme="minorEastAsia"/>
              </w:rPr>
              <w:t>Updated information on dementia specific information and supports</w:t>
            </w:r>
            <w:r w:rsidR="00295B68">
              <w:rPr>
                <w:rFonts w:eastAsiaTheme="minorEastAsia"/>
              </w:rPr>
              <w:t xml:space="preserve"> </w:t>
            </w:r>
            <w:r w:rsidR="00FE34A5">
              <w:rPr>
                <w:rFonts w:eastAsiaTheme="minorEastAsia"/>
              </w:rPr>
              <w:t xml:space="preserve"> </w:t>
            </w:r>
          </w:p>
          <w:p w14:paraId="65CBDE8D" w14:textId="77777777" w:rsidR="000E7FBC" w:rsidRPr="001B5076" w:rsidRDefault="000E7FBC" w:rsidP="000E7FBC">
            <w:pPr>
              <w:rPr>
                <w:szCs w:val="22"/>
              </w:rPr>
            </w:pPr>
          </w:p>
        </w:tc>
      </w:tr>
      <w:tr w:rsidR="000E7FBC" w:rsidRPr="001B5076" w14:paraId="2AE4B327"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14FC84D7" w14:textId="53D3C1B6" w:rsidR="000E7FBC" w:rsidRPr="001B5076" w:rsidRDefault="000E7FBC" w:rsidP="000E7FBC">
            <w:pPr>
              <w:rPr>
                <w:b/>
                <w:szCs w:val="22"/>
              </w:rPr>
            </w:pPr>
            <w:r w:rsidRPr="00DE3B03">
              <w:rPr>
                <w:b/>
                <w:szCs w:val="22"/>
                <w:lang w:val="en-US"/>
              </w:rPr>
              <w:t>Chapter 6</w:t>
            </w:r>
            <w:r w:rsidRPr="00DE3B03">
              <w:rPr>
                <w:b/>
                <w:szCs w:val="22"/>
              </w:rPr>
              <w:t> </w:t>
            </w:r>
          </w:p>
          <w:p w14:paraId="3680DF35" w14:textId="77777777" w:rsidR="000E7FBC" w:rsidRPr="001B5076" w:rsidRDefault="000E7FBC" w:rsidP="000E7FBC">
            <w:pPr>
              <w:rPr>
                <w:szCs w:val="22"/>
              </w:rPr>
            </w:pPr>
            <w:r w:rsidRPr="00DE3B03">
              <w:rPr>
                <w:szCs w:val="22"/>
                <w:lang w:val="en-US"/>
              </w:rPr>
              <w:t>Aged Care Programs</w:t>
            </w:r>
            <w:r w:rsidRPr="00DE3B03">
              <w:rPr>
                <w:szCs w:val="22"/>
              </w:rPr>
              <w:t> </w:t>
            </w:r>
          </w:p>
        </w:tc>
        <w:tc>
          <w:tcPr>
            <w:tcW w:w="3190" w:type="dxa"/>
            <w:tcBorders>
              <w:top w:val="nil"/>
              <w:left w:val="nil"/>
              <w:bottom w:val="single" w:sz="8" w:space="0" w:color="auto"/>
              <w:right w:val="single" w:sz="8" w:space="0" w:color="auto"/>
            </w:tcBorders>
            <w:hideMark/>
          </w:tcPr>
          <w:p w14:paraId="08FFC973" w14:textId="77777777" w:rsidR="000E7FBC" w:rsidRPr="001B5076" w:rsidRDefault="000E7FBC" w:rsidP="000E7FBC">
            <w:pPr>
              <w:rPr>
                <w:szCs w:val="22"/>
              </w:rPr>
            </w:pPr>
            <w:r w:rsidRPr="001B5076">
              <w:rPr>
                <w:szCs w:val="22"/>
              </w:rPr>
              <w:t>Includes important information about the aged care programs recommended by assessors to meet an older person’s needs and goals. </w:t>
            </w:r>
          </w:p>
          <w:p w14:paraId="0D7B9580" w14:textId="77777777" w:rsidR="000E7FBC" w:rsidRPr="001B5076" w:rsidRDefault="000E7FBC" w:rsidP="000E7FBC">
            <w:pPr>
              <w:rPr>
                <w:rFonts w:eastAsiaTheme="minorHAnsi"/>
                <w:szCs w:val="22"/>
                <w:lang w:val="en-AU"/>
              </w:rPr>
            </w:pPr>
            <w:r w:rsidRPr="001B5076">
              <w:rPr>
                <w:szCs w:val="22"/>
              </w:rPr>
              <w:t> </w:t>
            </w:r>
          </w:p>
        </w:tc>
        <w:tc>
          <w:tcPr>
            <w:tcW w:w="4776" w:type="dxa"/>
            <w:tcBorders>
              <w:top w:val="nil"/>
              <w:left w:val="nil"/>
              <w:bottom w:val="single" w:sz="8" w:space="0" w:color="auto"/>
              <w:right w:val="single" w:sz="8" w:space="0" w:color="auto"/>
            </w:tcBorders>
            <w:hideMark/>
          </w:tcPr>
          <w:p w14:paraId="6AF91038" w14:textId="7A41DF74" w:rsidR="0096469D" w:rsidRDefault="0096469D" w:rsidP="000E7FBC">
            <w:pPr>
              <w:numPr>
                <w:ilvl w:val="0"/>
                <w:numId w:val="469"/>
              </w:numPr>
              <w:spacing w:after="0" w:line="240" w:lineRule="auto"/>
              <w:rPr>
                <w:rFonts w:eastAsia="Times New Roman"/>
                <w:szCs w:val="22"/>
              </w:rPr>
            </w:pPr>
            <w:r>
              <w:rPr>
                <w:rFonts w:eastAsia="Times New Roman"/>
                <w:szCs w:val="22"/>
              </w:rPr>
              <w:t>New information on Support at Home funding and finding a provider</w:t>
            </w:r>
          </w:p>
          <w:p w14:paraId="7E6FD725" w14:textId="268F8069" w:rsidR="000E7FBC" w:rsidRDefault="000E7FBC" w:rsidP="000E7FBC">
            <w:pPr>
              <w:numPr>
                <w:ilvl w:val="0"/>
                <w:numId w:val="469"/>
              </w:numPr>
              <w:spacing w:after="0" w:line="240" w:lineRule="auto"/>
              <w:rPr>
                <w:rFonts w:eastAsia="Times New Roman"/>
                <w:szCs w:val="22"/>
              </w:rPr>
            </w:pPr>
            <w:r>
              <w:rPr>
                <w:rFonts w:eastAsia="Times New Roman"/>
                <w:szCs w:val="22"/>
              </w:rPr>
              <w:t>CHSP</w:t>
            </w:r>
            <w:r w:rsidR="00BC2AF7">
              <w:rPr>
                <w:rFonts w:eastAsia="Times New Roman"/>
                <w:szCs w:val="22"/>
              </w:rPr>
              <w:t xml:space="preserve"> </w:t>
            </w:r>
            <w:r w:rsidR="006903AD">
              <w:rPr>
                <w:rFonts w:eastAsia="Times New Roman"/>
                <w:szCs w:val="22"/>
              </w:rPr>
              <w:t>–</w:t>
            </w:r>
            <w:r w:rsidR="00BC2AF7">
              <w:rPr>
                <w:rFonts w:eastAsia="Times New Roman"/>
                <w:szCs w:val="22"/>
              </w:rPr>
              <w:t xml:space="preserve"> </w:t>
            </w:r>
            <w:r w:rsidR="00AC4B30">
              <w:rPr>
                <w:rFonts w:eastAsia="Times New Roman"/>
                <w:szCs w:val="22"/>
              </w:rPr>
              <w:t xml:space="preserve">minor </w:t>
            </w:r>
            <w:r w:rsidR="00BC2AF7">
              <w:rPr>
                <w:rFonts w:eastAsia="Times New Roman"/>
                <w:szCs w:val="22"/>
              </w:rPr>
              <w:t>clar</w:t>
            </w:r>
            <w:r w:rsidR="006903AD">
              <w:rPr>
                <w:rFonts w:eastAsia="Times New Roman"/>
                <w:szCs w:val="22"/>
              </w:rPr>
              <w:t>ification</w:t>
            </w:r>
            <w:r w:rsidR="00AC4B30">
              <w:rPr>
                <w:rFonts w:eastAsia="Times New Roman"/>
                <w:szCs w:val="22"/>
              </w:rPr>
              <w:t>s</w:t>
            </w:r>
            <w:r w:rsidR="006903AD">
              <w:rPr>
                <w:rFonts w:eastAsia="Times New Roman"/>
                <w:szCs w:val="22"/>
              </w:rPr>
              <w:t xml:space="preserve"> </w:t>
            </w:r>
            <w:r w:rsidR="00CE7EF2">
              <w:rPr>
                <w:rFonts w:eastAsia="Times New Roman"/>
                <w:szCs w:val="22"/>
              </w:rPr>
              <w:t>relating to eligibility</w:t>
            </w:r>
            <w:r w:rsidR="00AC4B30">
              <w:rPr>
                <w:rFonts w:eastAsia="Times New Roman"/>
                <w:szCs w:val="22"/>
              </w:rPr>
              <w:t xml:space="preserve">, hoarding and squalor and </w:t>
            </w:r>
            <w:r w:rsidR="0058673E">
              <w:rPr>
                <w:rFonts w:eastAsia="Times New Roman"/>
                <w:szCs w:val="22"/>
              </w:rPr>
              <w:t xml:space="preserve">CHSP </w:t>
            </w:r>
            <w:r w:rsidR="00AC4B30">
              <w:rPr>
                <w:rFonts w:eastAsia="Times New Roman"/>
                <w:szCs w:val="22"/>
              </w:rPr>
              <w:t>interaction with AT-HM;</w:t>
            </w:r>
            <w:r w:rsidR="003C53F6">
              <w:rPr>
                <w:rFonts w:eastAsia="Times New Roman"/>
                <w:szCs w:val="22"/>
              </w:rPr>
              <w:t xml:space="preserve"> inclusion of information relating to grandfathered CHSP clients</w:t>
            </w:r>
            <w:r w:rsidR="00AC4B30">
              <w:rPr>
                <w:rFonts w:eastAsia="Times New Roman"/>
                <w:szCs w:val="22"/>
              </w:rPr>
              <w:t xml:space="preserve">; and </w:t>
            </w:r>
            <w:r w:rsidR="00E2689B">
              <w:rPr>
                <w:rFonts w:eastAsia="Times New Roman"/>
                <w:szCs w:val="22"/>
              </w:rPr>
              <w:t>inclusion of a fifth CHSP support that can be assessed alongside Support at Home</w:t>
            </w:r>
            <w:r w:rsidR="0058673E">
              <w:rPr>
                <w:rFonts w:eastAsia="Times New Roman"/>
                <w:szCs w:val="22"/>
              </w:rPr>
              <w:t xml:space="preserve"> (section 6.5</w:t>
            </w:r>
            <w:r w:rsidR="00163987">
              <w:rPr>
                <w:rFonts w:eastAsia="Times New Roman"/>
                <w:szCs w:val="22"/>
              </w:rPr>
              <w:t>) changes</w:t>
            </w:r>
            <w:r>
              <w:rPr>
                <w:rFonts w:eastAsia="Times New Roman"/>
                <w:szCs w:val="22"/>
              </w:rPr>
              <w:t>….</w:t>
            </w:r>
          </w:p>
          <w:p w14:paraId="33171800" w14:textId="04064018" w:rsidR="000E7FBC" w:rsidRDefault="000E7FBC" w:rsidP="000E7FBC">
            <w:pPr>
              <w:numPr>
                <w:ilvl w:val="0"/>
                <w:numId w:val="469"/>
              </w:numPr>
              <w:spacing w:after="0" w:line="240" w:lineRule="auto"/>
              <w:rPr>
                <w:rFonts w:eastAsia="Times New Roman"/>
              </w:rPr>
            </w:pPr>
            <w:r w:rsidRPr="20BC8E57">
              <w:rPr>
                <w:rFonts w:eastAsia="Times New Roman"/>
              </w:rPr>
              <w:t xml:space="preserve">RCP – call out box advising RCP should not be recommended for individuals in hospital </w:t>
            </w:r>
          </w:p>
          <w:p w14:paraId="3ABCEACB" w14:textId="7ED57F9A" w:rsidR="000E7FBC" w:rsidRDefault="000E7FBC" w:rsidP="000E7FBC">
            <w:pPr>
              <w:numPr>
                <w:ilvl w:val="0"/>
                <w:numId w:val="469"/>
              </w:numPr>
              <w:spacing w:after="0" w:line="240" w:lineRule="auto"/>
              <w:rPr>
                <w:rFonts w:eastAsia="Times New Roman"/>
                <w:szCs w:val="22"/>
              </w:rPr>
            </w:pPr>
            <w:r>
              <w:rPr>
                <w:rFonts w:eastAsia="Times New Roman"/>
                <w:szCs w:val="22"/>
              </w:rPr>
              <w:t xml:space="preserve">RCP – removed information about approvals of ongoing Support at Home classifications ceasing active RCP episodes </w:t>
            </w:r>
          </w:p>
          <w:p w14:paraId="60967DFA" w14:textId="49190CA6" w:rsidR="000E7FBC" w:rsidRDefault="000E7FBC" w:rsidP="000E7FBC">
            <w:pPr>
              <w:numPr>
                <w:ilvl w:val="0"/>
                <w:numId w:val="469"/>
              </w:numPr>
              <w:spacing w:after="0" w:line="240" w:lineRule="auto"/>
              <w:rPr>
                <w:rFonts w:eastAsia="Times New Roman"/>
                <w:szCs w:val="22"/>
              </w:rPr>
            </w:pPr>
            <w:r>
              <w:rPr>
                <w:rFonts w:eastAsia="Times New Roman"/>
                <w:szCs w:val="22"/>
              </w:rPr>
              <w:t xml:space="preserve">End-of-Life (EoL) Pathway – </w:t>
            </w:r>
            <w:r w:rsidR="00BD7731" w:rsidRPr="0081646A">
              <w:rPr>
                <w:rFonts w:eastAsia="Times New Roman"/>
                <w:szCs w:val="22"/>
              </w:rPr>
              <w:t>additional</w:t>
            </w:r>
            <w:r>
              <w:rPr>
                <w:rFonts w:eastAsia="Times New Roman"/>
                <w:szCs w:val="22"/>
              </w:rPr>
              <w:t xml:space="preserve"> information about submission of EoL Pathway Forms for individuals undergoing telehealth assessments </w:t>
            </w:r>
          </w:p>
          <w:p w14:paraId="1A5E4C74" w14:textId="77777777" w:rsidR="003C5A05" w:rsidRDefault="003C5A05" w:rsidP="000E7FBC">
            <w:pPr>
              <w:numPr>
                <w:ilvl w:val="0"/>
                <w:numId w:val="469"/>
              </w:numPr>
              <w:spacing w:after="0" w:line="240" w:lineRule="auto"/>
              <w:rPr>
                <w:rFonts w:eastAsia="Times New Roman"/>
                <w:szCs w:val="22"/>
              </w:rPr>
            </w:pPr>
            <w:r>
              <w:rPr>
                <w:rFonts w:eastAsia="Times New Roman"/>
                <w:szCs w:val="22"/>
              </w:rPr>
              <w:t xml:space="preserve">New information about when CHSP AT and/or HM can be accessed </w:t>
            </w:r>
            <w:r w:rsidR="00487A73">
              <w:rPr>
                <w:rFonts w:eastAsia="Times New Roman"/>
                <w:szCs w:val="22"/>
              </w:rPr>
              <w:t>while waiting for AT-HM scheme funding</w:t>
            </w:r>
          </w:p>
          <w:p w14:paraId="69F27345" w14:textId="77777777" w:rsidR="00487A73" w:rsidRDefault="008E609F" w:rsidP="000E7FBC">
            <w:pPr>
              <w:numPr>
                <w:ilvl w:val="0"/>
                <w:numId w:val="469"/>
              </w:numPr>
              <w:spacing w:after="0" w:line="240" w:lineRule="auto"/>
              <w:rPr>
                <w:rFonts w:eastAsia="Times New Roman"/>
                <w:szCs w:val="22"/>
              </w:rPr>
            </w:pPr>
            <w:r>
              <w:rPr>
                <w:rFonts w:eastAsia="Times New Roman"/>
                <w:szCs w:val="22"/>
              </w:rPr>
              <w:t>Substantive changes to CHSP section</w:t>
            </w:r>
            <w:r w:rsidR="0027688E">
              <w:rPr>
                <w:rFonts w:eastAsia="Times New Roman"/>
                <w:szCs w:val="22"/>
              </w:rPr>
              <w:t xml:space="preserve">. </w:t>
            </w:r>
          </w:p>
          <w:p w14:paraId="572EAED5" w14:textId="77777777" w:rsidR="0027688E" w:rsidRDefault="0027688E" w:rsidP="000E7FBC">
            <w:pPr>
              <w:numPr>
                <w:ilvl w:val="0"/>
                <w:numId w:val="469"/>
              </w:numPr>
              <w:spacing w:after="0" w:line="240" w:lineRule="auto"/>
              <w:rPr>
                <w:rFonts w:eastAsia="Times New Roman"/>
                <w:szCs w:val="22"/>
              </w:rPr>
            </w:pPr>
            <w:r>
              <w:rPr>
                <w:rFonts w:eastAsia="Times New Roman"/>
                <w:szCs w:val="22"/>
              </w:rPr>
              <w:t>Updated information on accessing ongoing home support services alongside TCP</w:t>
            </w:r>
          </w:p>
          <w:p w14:paraId="66000C4C" w14:textId="3A11E88E" w:rsidR="000E7FBC" w:rsidRPr="001B5076" w:rsidRDefault="00E051C7" w:rsidP="000E7FBC">
            <w:pPr>
              <w:numPr>
                <w:ilvl w:val="0"/>
                <w:numId w:val="469"/>
              </w:numPr>
              <w:spacing w:after="0" w:line="240" w:lineRule="auto"/>
              <w:rPr>
                <w:rFonts w:eastAsia="Times New Roman"/>
                <w:szCs w:val="22"/>
              </w:rPr>
            </w:pPr>
            <w:r>
              <w:rPr>
                <w:rFonts w:eastAsia="Times New Roman"/>
                <w:szCs w:val="22"/>
              </w:rPr>
              <w:t>Additional information on exiting residential care</w:t>
            </w:r>
          </w:p>
        </w:tc>
      </w:tr>
      <w:tr w:rsidR="000E7FBC" w:rsidRPr="001B5076" w14:paraId="51250DCB"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22B99618" w14:textId="77777777" w:rsidR="000E7FBC" w:rsidRPr="001B5076" w:rsidRDefault="000E7FBC" w:rsidP="000E7FBC">
            <w:pPr>
              <w:rPr>
                <w:rFonts w:eastAsiaTheme="minorHAnsi"/>
                <w:b/>
                <w:szCs w:val="22"/>
              </w:rPr>
            </w:pPr>
            <w:r w:rsidRPr="00DE3B03">
              <w:rPr>
                <w:b/>
                <w:szCs w:val="22"/>
                <w:lang w:val="en-US"/>
              </w:rPr>
              <w:t>Chapter 7 </w:t>
            </w:r>
            <w:r w:rsidRPr="00DE3B03">
              <w:rPr>
                <w:b/>
                <w:szCs w:val="22"/>
              </w:rPr>
              <w:t> </w:t>
            </w:r>
          </w:p>
          <w:p w14:paraId="44BFCFAA" w14:textId="77777777" w:rsidR="000E7FBC" w:rsidRPr="001B5076" w:rsidRDefault="000E7FBC" w:rsidP="000E7FBC">
            <w:pPr>
              <w:rPr>
                <w:szCs w:val="22"/>
                <w:lang w:val="en-US"/>
              </w:rPr>
            </w:pPr>
            <w:r w:rsidRPr="00DE3B03">
              <w:rPr>
                <w:szCs w:val="22"/>
                <w:lang w:val="en-US"/>
              </w:rPr>
              <w:t>Delegations and approvals under the Act</w:t>
            </w:r>
            <w:r w:rsidRPr="00DE3B03">
              <w:rPr>
                <w:szCs w:val="22"/>
              </w:rPr>
              <w:t> </w:t>
            </w:r>
          </w:p>
        </w:tc>
        <w:tc>
          <w:tcPr>
            <w:tcW w:w="3190" w:type="dxa"/>
            <w:tcBorders>
              <w:top w:val="nil"/>
              <w:left w:val="nil"/>
              <w:bottom w:val="single" w:sz="8" w:space="0" w:color="auto"/>
              <w:right w:val="single" w:sz="8" w:space="0" w:color="auto"/>
            </w:tcBorders>
            <w:hideMark/>
          </w:tcPr>
          <w:p w14:paraId="0D8E8866" w14:textId="77777777" w:rsidR="000E7FBC" w:rsidRPr="001B5076" w:rsidRDefault="000E7FBC" w:rsidP="000E7FBC">
            <w:pPr>
              <w:rPr>
                <w:szCs w:val="22"/>
                <w:lang w:val="en-AU"/>
              </w:rPr>
            </w:pPr>
            <w:r w:rsidRPr="001B5076">
              <w:rPr>
                <w:szCs w:val="22"/>
              </w:rPr>
              <w:t>Includes information about: </w:t>
            </w:r>
          </w:p>
          <w:p w14:paraId="30136A27"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The powers under the Aged Care Act 2024 that are delegated to Triage Delegates and Clinical and Non-Clinical Assessment Delegates.  </w:t>
            </w:r>
          </w:p>
          <w:p w14:paraId="73DC1D60" w14:textId="77777777" w:rsidR="000E7FBC" w:rsidRPr="001B5076" w:rsidRDefault="000E7FBC" w:rsidP="000E7FBC">
            <w:pPr>
              <w:numPr>
                <w:ilvl w:val="0"/>
                <w:numId w:val="411"/>
              </w:numPr>
              <w:spacing w:after="0" w:line="240" w:lineRule="auto"/>
              <w:ind w:left="447"/>
              <w:rPr>
                <w:rFonts w:eastAsiaTheme="minorHAnsi"/>
                <w:szCs w:val="22"/>
              </w:rPr>
            </w:pPr>
            <w:r w:rsidRPr="001B5076">
              <w:rPr>
                <w:szCs w:val="22"/>
              </w:rPr>
              <w:t xml:space="preserve">How approvals work under the </w:t>
            </w:r>
            <w:r w:rsidRPr="001B5076">
              <w:rPr>
                <w:i/>
                <w:szCs w:val="22"/>
              </w:rPr>
              <w:t>Aged Care Act 2024</w:t>
            </w:r>
            <w:r w:rsidRPr="001B5076">
              <w:rPr>
                <w:szCs w:val="22"/>
              </w:rPr>
              <w:t>, and the decisions that delegates make. </w:t>
            </w:r>
          </w:p>
        </w:tc>
        <w:tc>
          <w:tcPr>
            <w:tcW w:w="4776" w:type="dxa"/>
            <w:tcBorders>
              <w:top w:val="nil"/>
              <w:left w:val="nil"/>
              <w:bottom w:val="single" w:sz="8" w:space="0" w:color="auto"/>
              <w:right w:val="single" w:sz="8" w:space="0" w:color="auto"/>
            </w:tcBorders>
          </w:tcPr>
          <w:p w14:paraId="6B54B12E" w14:textId="56A12A3A" w:rsidR="00EC17EA" w:rsidRPr="00DE3B03" w:rsidRDefault="00EC17EA" w:rsidP="00DE3B03">
            <w:pPr>
              <w:pStyle w:val="Caption"/>
              <w:numPr>
                <w:ilvl w:val="0"/>
                <w:numId w:val="411"/>
              </w:numPr>
              <w:spacing w:before="240" w:after="240"/>
              <w:ind w:left="673" w:hanging="284"/>
              <w:rPr>
                <w:rFonts w:eastAsia="Yu Gothic Light"/>
                <w:b w:val="0"/>
                <w:color w:val="auto"/>
              </w:rPr>
            </w:pPr>
            <w:r w:rsidRPr="00DE3B03">
              <w:rPr>
                <w:rFonts w:eastAsia="Yu Gothic Light"/>
                <w:b w:val="0"/>
                <w:color w:val="auto"/>
              </w:rPr>
              <w:t>Updated wording for potential applicable reasons under section 67</w:t>
            </w:r>
          </w:p>
          <w:p w14:paraId="4922A51C" w14:textId="77777777" w:rsidR="000E7FBC" w:rsidRPr="001B5076" w:rsidRDefault="000E7FBC" w:rsidP="00DE3B03">
            <w:pPr>
              <w:spacing w:after="0" w:line="240" w:lineRule="auto"/>
              <w:ind w:left="720"/>
              <w:rPr>
                <w:rFonts w:eastAsiaTheme="minorHAnsi"/>
                <w:szCs w:val="22"/>
              </w:rPr>
            </w:pPr>
          </w:p>
        </w:tc>
      </w:tr>
      <w:tr w:rsidR="000E7FBC" w:rsidRPr="001B5076" w14:paraId="7CA3C594"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158F10CC" w14:textId="77777777" w:rsidR="000E7FBC" w:rsidRPr="001B5076" w:rsidRDefault="000E7FBC" w:rsidP="000E7FBC">
            <w:pPr>
              <w:rPr>
                <w:b/>
                <w:szCs w:val="22"/>
              </w:rPr>
            </w:pPr>
            <w:r w:rsidRPr="00DE3B03">
              <w:rPr>
                <w:b/>
                <w:szCs w:val="22"/>
                <w:lang w:val="en-US"/>
              </w:rPr>
              <w:t>Chapter 8 </w:t>
            </w:r>
            <w:r w:rsidRPr="00DE3B03">
              <w:rPr>
                <w:b/>
                <w:szCs w:val="22"/>
              </w:rPr>
              <w:t> </w:t>
            </w:r>
          </w:p>
          <w:p w14:paraId="2C8412BD" w14:textId="77777777" w:rsidR="000E7FBC" w:rsidRPr="001B5076" w:rsidRDefault="000E7FBC" w:rsidP="000E7FBC">
            <w:pPr>
              <w:rPr>
                <w:szCs w:val="22"/>
                <w:lang w:val="en-US"/>
              </w:rPr>
            </w:pPr>
            <w:r w:rsidRPr="00DE3B03">
              <w:rPr>
                <w:szCs w:val="22"/>
                <w:lang w:val="en-US"/>
              </w:rPr>
              <w:t>Delegate decisions in practice</w:t>
            </w:r>
            <w:r w:rsidRPr="00DE3B03">
              <w:rPr>
                <w:szCs w:val="22"/>
              </w:rPr>
              <w:t> </w:t>
            </w:r>
          </w:p>
        </w:tc>
        <w:tc>
          <w:tcPr>
            <w:tcW w:w="3190" w:type="dxa"/>
            <w:tcBorders>
              <w:top w:val="nil"/>
              <w:left w:val="nil"/>
              <w:bottom w:val="single" w:sz="8" w:space="0" w:color="auto"/>
              <w:right w:val="single" w:sz="8" w:space="0" w:color="auto"/>
            </w:tcBorders>
            <w:hideMark/>
          </w:tcPr>
          <w:p w14:paraId="61CFB214" w14:textId="0199FEFB" w:rsidR="000E7FBC" w:rsidRPr="001B5076" w:rsidRDefault="000E7FBC" w:rsidP="000E7FBC">
            <w:pPr>
              <w:rPr>
                <w:szCs w:val="22"/>
                <w:lang w:val="en-AU"/>
              </w:rPr>
            </w:pPr>
            <w:r w:rsidRPr="001B5076">
              <w:rPr>
                <w:szCs w:val="22"/>
              </w:rPr>
              <w:t xml:space="preserve">Includes guidance for </w:t>
            </w:r>
            <w:r w:rsidR="00854A6D">
              <w:rPr>
                <w:szCs w:val="22"/>
              </w:rPr>
              <w:t>a</w:t>
            </w:r>
            <w:r w:rsidRPr="0081646A">
              <w:rPr>
                <w:szCs w:val="22"/>
              </w:rPr>
              <w:t xml:space="preserve">ssessment </w:t>
            </w:r>
            <w:r w:rsidR="00854A6D">
              <w:rPr>
                <w:szCs w:val="22"/>
              </w:rPr>
              <w:t>d</w:t>
            </w:r>
            <w:r w:rsidRPr="0081646A">
              <w:rPr>
                <w:szCs w:val="22"/>
              </w:rPr>
              <w:t>elegates</w:t>
            </w:r>
            <w:r w:rsidRPr="001B5076">
              <w:rPr>
                <w:szCs w:val="22"/>
              </w:rPr>
              <w:t xml:space="preserve"> covering: </w:t>
            </w:r>
          </w:p>
          <w:p w14:paraId="77EF85CD"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How to make sound, evidence-based decisions </w:t>
            </w:r>
          </w:p>
          <w:p w14:paraId="3AECEFD3"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step-by-step processes for approving aged care services across the service groups </w:t>
            </w:r>
          </w:p>
          <w:p w14:paraId="2EB9504A" w14:textId="77777777" w:rsidR="000E7FBC" w:rsidRPr="001B5076" w:rsidRDefault="000E7FBC" w:rsidP="000E7FBC">
            <w:pPr>
              <w:numPr>
                <w:ilvl w:val="0"/>
                <w:numId w:val="411"/>
              </w:numPr>
              <w:spacing w:after="0" w:line="240" w:lineRule="auto"/>
              <w:ind w:left="447"/>
              <w:rPr>
                <w:rFonts w:eastAsiaTheme="minorHAnsi"/>
                <w:szCs w:val="22"/>
              </w:rPr>
            </w:pPr>
            <w:r w:rsidRPr="001B5076">
              <w:rPr>
                <w:szCs w:val="22"/>
              </w:rPr>
              <w:t>Other approvals (including giving approvals after a service has commenced and approving a service without an assessment). </w:t>
            </w:r>
          </w:p>
        </w:tc>
        <w:tc>
          <w:tcPr>
            <w:tcW w:w="4776" w:type="dxa"/>
            <w:tcBorders>
              <w:top w:val="nil"/>
              <w:left w:val="nil"/>
              <w:bottom w:val="single" w:sz="8" w:space="0" w:color="auto"/>
              <w:right w:val="single" w:sz="8" w:space="0" w:color="auto"/>
            </w:tcBorders>
          </w:tcPr>
          <w:p w14:paraId="4A3B8448" w14:textId="13A4E4AA" w:rsidR="000E7FBC" w:rsidRDefault="000E7FBC" w:rsidP="00DE3B03">
            <w:pPr>
              <w:pStyle w:val="ListParagraph"/>
              <w:numPr>
                <w:ilvl w:val="0"/>
                <w:numId w:val="411"/>
              </w:numPr>
              <w:spacing w:after="0" w:line="240" w:lineRule="auto"/>
              <w:ind w:left="814"/>
              <w:rPr>
                <w:rFonts w:eastAsia="Times New Roman"/>
              </w:rPr>
            </w:pPr>
            <w:r w:rsidRPr="12CF6E54">
              <w:rPr>
                <w:rFonts w:eastAsia="Times New Roman"/>
              </w:rPr>
              <w:t xml:space="preserve">RCP – removed information about approvals of ongoing Support at Home classifications ceasing active RCP episodes </w:t>
            </w:r>
          </w:p>
          <w:p w14:paraId="46D6E0AB" w14:textId="77777777" w:rsidR="000E7FBC" w:rsidRPr="0081646A" w:rsidRDefault="008D57E2" w:rsidP="00DE3B03">
            <w:pPr>
              <w:pStyle w:val="ListParagraph"/>
              <w:numPr>
                <w:ilvl w:val="0"/>
                <w:numId w:val="411"/>
              </w:numPr>
              <w:spacing w:after="0" w:line="240" w:lineRule="auto"/>
              <w:ind w:left="814"/>
              <w:rPr>
                <w:rFonts w:eastAsiaTheme="minorEastAsia"/>
              </w:rPr>
            </w:pPr>
            <w:r w:rsidRPr="1CE24729">
              <w:rPr>
                <w:rFonts w:eastAsiaTheme="minorEastAsia"/>
              </w:rPr>
              <w:t xml:space="preserve">Text removed about an offline Notice of Decision for </w:t>
            </w:r>
            <w:r w:rsidR="006A1D4A" w:rsidRPr="1CE24729">
              <w:rPr>
                <w:rFonts w:eastAsiaTheme="minorEastAsia"/>
              </w:rPr>
              <w:t>CHSP approvals- this can now be generated on system.</w:t>
            </w:r>
          </w:p>
          <w:p w14:paraId="2EEAB162" w14:textId="7354B1D2" w:rsidR="000E7FBC" w:rsidRPr="0081646A" w:rsidRDefault="000E7FBC" w:rsidP="00DE3B03">
            <w:pPr>
              <w:spacing w:after="0" w:line="240" w:lineRule="auto"/>
              <w:ind w:left="720"/>
              <w:rPr>
                <w:rFonts w:eastAsiaTheme="minorEastAsia"/>
              </w:rPr>
            </w:pPr>
          </w:p>
        </w:tc>
      </w:tr>
      <w:tr w:rsidR="000E7FBC" w:rsidRPr="001B5076" w14:paraId="145D38C7"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31DFBBD2" w14:textId="6C79B6EB" w:rsidR="000E7FBC" w:rsidRPr="001B5076" w:rsidRDefault="000E7FBC" w:rsidP="000E7FBC">
            <w:pPr>
              <w:rPr>
                <w:b/>
                <w:szCs w:val="22"/>
              </w:rPr>
            </w:pPr>
            <w:r w:rsidRPr="00DE3B03">
              <w:rPr>
                <w:b/>
                <w:szCs w:val="22"/>
                <w:lang w:val="en-US"/>
              </w:rPr>
              <w:t>Chapter 9 </w:t>
            </w:r>
            <w:r w:rsidRPr="00DE3B03">
              <w:rPr>
                <w:b/>
                <w:szCs w:val="22"/>
              </w:rPr>
              <w:t> </w:t>
            </w:r>
          </w:p>
          <w:p w14:paraId="6F354745" w14:textId="77777777" w:rsidR="000E7FBC" w:rsidRPr="001B5076" w:rsidRDefault="000E7FBC" w:rsidP="000E7FBC">
            <w:pPr>
              <w:rPr>
                <w:szCs w:val="22"/>
                <w:lang w:val="en-US"/>
              </w:rPr>
            </w:pPr>
            <w:r w:rsidRPr="00DE3B03">
              <w:rPr>
                <w:szCs w:val="22"/>
                <w:lang w:val="en-US"/>
              </w:rPr>
              <w:t>Finalising the Assessment and Service Referral </w:t>
            </w:r>
            <w:r w:rsidRPr="00DE3B03">
              <w:rPr>
                <w:szCs w:val="22"/>
              </w:rPr>
              <w:t> </w:t>
            </w:r>
          </w:p>
        </w:tc>
        <w:tc>
          <w:tcPr>
            <w:tcW w:w="3190" w:type="dxa"/>
            <w:tcBorders>
              <w:top w:val="nil"/>
              <w:left w:val="nil"/>
              <w:bottom w:val="single" w:sz="8" w:space="0" w:color="auto"/>
              <w:right w:val="single" w:sz="8" w:space="0" w:color="auto"/>
            </w:tcBorders>
            <w:hideMark/>
          </w:tcPr>
          <w:p w14:paraId="69FC160E" w14:textId="77777777" w:rsidR="000E7FBC" w:rsidRPr="001B5076" w:rsidRDefault="000E7FBC" w:rsidP="000E7FBC">
            <w:pPr>
              <w:rPr>
                <w:szCs w:val="22"/>
                <w:lang w:val="en-AU"/>
              </w:rPr>
            </w:pPr>
            <w:r w:rsidRPr="001B5076">
              <w:rPr>
                <w:szCs w:val="22"/>
              </w:rPr>
              <w:t>Includes guidance about: </w:t>
            </w:r>
          </w:p>
          <w:p w14:paraId="06E6F7D2"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Finalising the assessment </w:t>
            </w:r>
          </w:p>
          <w:p w14:paraId="65BDF9DF"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Recording and communicating the assessment outcome </w:t>
            </w:r>
          </w:p>
          <w:p w14:paraId="4427BDE6"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 xml:space="preserve">Referring the older person for services, </w:t>
            </w:r>
          </w:p>
          <w:p w14:paraId="43ACEAE2"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The single provider model for Support at Home (which includes a single referral code for all services/pathways) </w:t>
            </w:r>
          </w:p>
          <w:p w14:paraId="5BBBC122" w14:textId="77777777" w:rsidR="000E7FBC" w:rsidRPr="001B5076" w:rsidRDefault="000E7FBC" w:rsidP="000E7FBC">
            <w:pPr>
              <w:numPr>
                <w:ilvl w:val="0"/>
                <w:numId w:val="411"/>
              </w:numPr>
              <w:spacing w:after="0" w:line="240" w:lineRule="auto"/>
              <w:ind w:left="447"/>
              <w:rPr>
                <w:rFonts w:eastAsiaTheme="minorHAnsi"/>
                <w:szCs w:val="22"/>
              </w:rPr>
            </w:pPr>
            <w:r w:rsidRPr="001B5076">
              <w:rPr>
                <w:szCs w:val="22"/>
              </w:rPr>
              <w:t>Completing the Notice of Decision (approval/non-approval letter). </w:t>
            </w:r>
          </w:p>
        </w:tc>
        <w:tc>
          <w:tcPr>
            <w:tcW w:w="4776" w:type="dxa"/>
            <w:tcBorders>
              <w:top w:val="nil"/>
              <w:left w:val="nil"/>
              <w:bottom w:val="single" w:sz="8" w:space="0" w:color="auto"/>
              <w:right w:val="single" w:sz="8" w:space="0" w:color="auto"/>
            </w:tcBorders>
            <w:hideMark/>
          </w:tcPr>
          <w:p w14:paraId="38B0B463" w14:textId="71D5ABFD" w:rsidR="0064639A" w:rsidRDefault="0064639A" w:rsidP="00200FC6">
            <w:pPr>
              <w:spacing w:after="0" w:line="240" w:lineRule="auto"/>
              <w:rPr>
                <w:rFonts w:eastAsia="Times New Roman"/>
              </w:rPr>
            </w:pPr>
            <w:r>
              <w:rPr>
                <w:rFonts w:eastAsia="Times New Roman"/>
              </w:rPr>
              <w:t xml:space="preserve">Substantial changes have been made to this chapter. </w:t>
            </w:r>
          </w:p>
          <w:p w14:paraId="77DC935B" w14:textId="7BFCD875" w:rsidR="000E7FBC" w:rsidDel="006F3A2C" w:rsidRDefault="000E7FBC" w:rsidP="000E7FBC">
            <w:pPr>
              <w:numPr>
                <w:ilvl w:val="0"/>
                <w:numId w:val="469"/>
              </w:numPr>
              <w:spacing w:after="0" w:line="240" w:lineRule="auto"/>
              <w:rPr>
                <w:rFonts w:eastAsia="Times New Roman"/>
              </w:rPr>
            </w:pPr>
            <w:r w:rsidRPr="617BE0D3">
              <w:rPr>
                <w:rFonts w:eastAsia="Times New Roman"/>
              </w:rPr>
              <w:t xml:space="preserve">CHSP – </w:t>
            </w:r>
            <w:r>
              <w:rPr>
                <w:rFonts w:eastAsia="Times New Roman"/>
              </w:rPr>
              <w:t xml:space="preserve">added information about generating service referrals for grandfathered </w:t>
            </w:r>
            <w:r w:rsidRPr="617BE0D3">
              <w:rPr>
                <w:rFonts w:eastAsia="Times New Roman"/>
              </w:rPr>
              <w:t>CHSP client</w:t>
            </w:r>
            <w:r>
              <w:rPr>
                <w:rFonts w:eastAsia="Times New Roman"/>
              </w:rPr>
              <w:t>s</w:t>
            </w:r>
            <w:r w:rsidRPr="617BE0D3">
              <w:rPr>
                <w:rFonts w:eastAsia="Times New Roman"/>
              </w:rPr>
              <w:t xml:space="preserve"> </w:t>
            </w:r>
            <w:r>
              <w:rPr>
                <w:rFonts w:eastAsia="Times New Roman"/>
              </w:rPr>
              <w:t xml:space="preserve">with </w:t>
            </w:r>
            <w:r w:rsidRPr="617BE0D3">
              <w:rPr>
                <w:rFonts w:eastAsia="Times New Roman"/>
              </w:rPr>
              <w:t>existing referrals</w:t>
            </w:r>
            <w:r>
              <w:rPr>
                <w:rFonts w:eastAsia="Times New Roman"/>
              </w:rPr>
              <w:t xml:space="preserve"> </w:t>
            </w:r>
          </w:p>
          <w:p w14:paraId="3E5392CC" w14:textId="323DADF1" w:rsidR="000E7FBC" w:rsidRPr="006F3A2C" w:rsidRDefault="00045808" w:rsidP="000E7FBC">
            <w:pPr>
              <w:numPr>
                <w:ilvl w:val="0"/>
                <w:numId w:val="469"/>
              </w:numPr>
              <w:spacing w:after="0" w:line="240" w:lineRule="auto"/>
              <w:rPr>
                <w:rFonts w:eastAsia="Times New Roman"/>
              </w:rPr>
            </w:pPr>
            <w:r>
              <w:rPr>
                <w:rFonts w:eastAsia="Times New Roman"/>
              </w:rPr>
              <w:t xml:space="preserve">Updated information on generating </w:t>
            </w:r>
            <w:r w:rsidRPr="0081646A">
              <w:rPr>
                <w:rFonts w:eastAsia="Times New Roman"/>
              </w:rPr>
              <w:t>a</w:t>
            </w:r>
            <w:r>
              <w:rPr>
                <w:rFonts w:eastAsia="Times New Roman"/>
              </w:rPr>
              <w:t xml:space="preserve"> Notice of Decision</w:t>
            </w:r>
            <w:r w:rsidR="0064639A">
              <w:rPr>
                <w:rFonts w:eastAsia="Times New Roman"/>
              </w:rPr>
              <w:t xml:space="preserve">. </w:t>
            </w:r>
          </w:p>
          <w:p w14:paraId="3EB72D9A" w14:textId="58FDF533" w:rsidR="000E7FBC" w:rsidRPr="008A677F" w:rsidRDefault="000E7FBC" w:rsidP="000E7FBC">
            <w:pPr>
              <w:numPr>
                <w:ilvl w:val="0"/>
                <w:numId w:val="469"/>
              </w:numPr>
              <w:spacing w:after="0" w:line="240" w:lineRule="auto"/>
              <w:rPr>
                <w:rFonts w:eastAsia="Times New Roman"/>
              </w:rPr>
            </w:pPr>
            <w:r w:rsidRPr="4E8FD057">
              <w:rPr>
                <w:rFonts w:eastAsia="Times New Roman"/>
              </w:rPr>
              <w:t xml:space="preserve">CHSP – added information about generating service referrals for </w:t>
            </w:r>
            <w:r>
              <w:t xml:space="preserve">CHSP </w:t>
            </w:r>
            <w:r w:rsidRPr="4E8FD057">
              <w:rPr>
                <w:rFonts w:eastAsia="Times New Roman"/>
              </w:rPr>
              <w:t xml:space="preserve">clients who accessed urgent CHSP </w:t>
            </w:r>
            <w:r>
              <w:t>services).</w:t>
            </w:r>
          </w:p>
        </w:tc>
      </w:tr>
      <w:tr w:rsidR="000E7FBC" w:rsidRPr="001B5076" w14:paraId="7CB6E4FD"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5757D6E0" w14:textId="7B7610F4" w:rsidR="000E7FBC" w:rsidRPr="001B5076" w:rsidRDefault="000E7FBC" w:rsidP="000E7FBC">
            <w:pPr>
              <w:rPr>
                <w:rFonts w:eastAsiaTheme="minorHAnsi"/>
                <w:b/>
                <w:szCs w:val="22"/>
              </w:rPr>
            </w:pPr>
            <w:r w:rsidRPr="00453DCB">
              <w:rPr>
                <w:b/>
                <w:szCs w:val="22"/>
                <w:lang w:val="en-US"/>
              </w:rPr>
              <w:t>Chapter 10 </w:t>
            </w:r>
            <w:r w:rsidRPr="00453DCB">
              <w:rPr>
                <w:b/>
                <w:szCs w:val="22"/>
              </w:rPr>
              <w:t> </w:t>
            </w:r>
          </w:p>
          <w:p w14:paraId="5FDB2C22" w14:textId="77777777" w:rsidR="000E7FBC" w:rsidRPr="001B5076" w:rsidRDefault="000E7FBC" w:rsidP="000E7FBC">
            <w:pPr>
              <w:rPr>
                <w:szCs w:val="22"/>
                <w:lang w:val="en-US"/>
              </w:rPr>
            </w:pPr>
            <w:r w:rsidRPr="00453DCB">
              <w:rPr>
                <w:szCs w:val="22"/>
                <w:lang w:val="en-US"/>
              </w:rPr>
              <w:t>SPRs and Reassessments</w:t>
            </w:r>
            <w:r w:rsidRPr="00453DCB">
              <w:rPr>
                <w:szCs w:val="22"/>
              </w:rPr>
              <w:t> </w:t>
            </w:r>
          </w:p>
        </w:tc>
        <w:tc>
          <w:tcPr>
            <w:tcW w:w="3190" w:type="dxa"/>
            <w:tcBorders>
              <w:top w:val="nil"/>
              <w:left w:val="nil"/>
              <w:bottom w:val="single" w:sz="8" w:space="0" w:color="auto"/>
              <w:right w:val="single" w:sz="8" w:space="0" w:color="auto"/>
            </w:tcBorders>
          </w:tcPr>
          <w:p w14:paraId="76390F9B" w14:textId="23076470" w:rsidR="000E7FBC" w:rsidRPr="001B5076" w:rsidRDefault="000E7FBC" w:rsidP="000E7FBC">
            <w:pPr>
              <w:rPr>
                <w:lang w:val="en-AU"/>
              </w:rPr>
            </w:pPr>
            <w:r>
              <w:t xml:space="preserve">Includes guidance on the circumstances for conducting a </w:t>
            </w:r>
            <w:r w:rsidRPr="0081646A">
              <w:t>support plan review</w:t>
            </w:r>
            <w:r>
              <w:t xml:space="preserve"> (SPR) or a reassessment for each aged care program.  </w:t>
            </w:r>
          </w:p>
          <w:p w14:paraId="0618A5CC" w14:textId="77777777" w:rsidR="000E7FBC" w:rsidRPr="001B5076" w:rsidRDefault="000E7FBC" w:rsidP="000E7FBC">
            <w:pPr>
              <w:rPr>
                <w:szCs w:val="22"/>
              </w:rPr>
            </w:pPr>
          </w:p>
        </w:tc>
        <w:tc>
          <w:tcPr>
            <w:tcW w:w="4776" w:type="dxa"/>
            <w:tcBorders>
              <w:top w:val="nil"/>
              <w:left w:val="nil"/>
              <w:bottom w:val="single" w:sz="8" w:space="0" w:color="auto"/>
              <w:right w:val="single" w:sz="8" w:space="0" w:color="auto"/>
            </w:tcBorders>
            <w:hideMark/>
          </w:tcPr>
          <w:p w14:paraId="79DF6942" w14:textId="77777777" w:rsidR="00380C9E" w:rsidRDefault="000E7FBC" w:rsidP="000E7FBC">
            <w:pPr>
              <w:numPr>
                <w:ilvl w:val="0"/>
                <w:numId w:val="469"/>
              </w:numPr>
              <w:spacing w:after="0" w:line="240" w:lineRule="auto"/>
              <w:rPr>
                <w:rFonts w:eastAsia="Times New Roman"/>
              </w:rPr>
            </w:pPr>
            <w:r w:rsidRPr="12CF6E54">
              <w:rPr>
                <w:rFonts w:eastAsia="Times New Roman"/>
              </w:rPr>
              <w:t xml:space="preserve">RCP – removed information about approvals of ongoing Support at Home classifications ceasing active RCP episodes </w:t>
            </w:r>
          </w:p>
          <w:p w14:paraId="5AB5CCA4" w14:textId="1942B8D8" w:rsidR="55333DA4" w:rsidRDefault="74AFB268" w:rsidP="55333DA4">
            <w:pPr>
              <w:numPr>
                <w:ilvl w:val="0"/>
                <w:numId w:val="469"/>
              </w:numPr>
              <w:spacing w:after="0" w:line="240" w:lineRule="auto"/>
              <w:rPr>
                <w:rFonts w:eastAsia="Times New Roman"/>
              </w:rPr>
            </w:pPr>
            <w:r w:rsidRPr="0476ACD4">
              <w:rPr>
                <w:rFonts w:eastAsia="Times New Roman"/>
              </w:rPr>
              <w:t>RCP - removal of instructions to assessors to self-refer and reassess STRC clients for a second unit of RCP funding. System functionality now exists to use the SPR pathway.</w:t>
            </w:r>
          </w:p>
          <w:p w14:paraId="7A9D3994" w14:textId="3E99EC64" w:rsidR="000E7FBC" w:rsidRPr="0081646A" w:rsidRDefault="00380C9E" w:rsidP="000E7FBC">
            <w:pPr>
              <w:numPr>
                <w:ilvl w:val="0"/>
                <w:numId w:val="469"/>
              </w:numPr>
              <w:spacing w:after="0" w:line="240" w:lineRule="auto"/>
              <w:rPr>
                <w:rFonts w:eastAsia="Times New Roman"/>
                <w:lang w:val="en-AU"/>
              </w:rPr>
            </w:pPr>
            <w:r>
              <w:rPr>
                <w:rFonts w:eastAsia="Times New Roman"/>
              </w:rPr>
              <w:t xml:space="preserve">Additional information about </w:t>
            </w:r>
            <w:r w:rsidR="00BE1CBB">
              <w:rPr>
                <w:rFonts w:eastAsia="Times New Roman"/>
              </w:rPr>
              <w:t xml:space="preserve">a person’s position on the SaH priority queue when they are reassessed to a higher classification level </w:t>
            </w:r>
            <w:r w:rsidR="0066176C">
              <w:rPr>
                <w:rFonts w:eastAsia="Times New Roman"/>
              </w:rPr>
              <w:t>while awaiting SaH funding</w:t>
            </w:r>
            <w:r w:rsidR="0066176C" w:rsidRPr="0081646A">
              <w:rPr>
                <w:rFonts w:eastAsia="Times New Roman"/>
              </w:rPr>
              <w:t>.</w:t>
            </w:r>
          </w:p>
        </w:tc>
      </w:tr>
      <w:tr w:rsidR="000E7FBC" w:rsidRPr="001B5076" w14:paraId="08A35B41"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0F7BB26D" w14:textId="77777777" w:rsidR="000E7FBC" w:rsidRPr="001B5076" w:rsidRDefault="000E7FBC" w:rsidP="000E7FBC">
            <w:pPr>
              <w:rPr>
                <w:rFonts w:eastAsiaTheme="minorHAnsi"/>
                <w:b/>
                <w:szCs w:val="22"/>
              </w:rPr>
            </w:pPr>
            <w:r w:rsidRPr="00453DCB">
              <w:rPr>
                <w:b/>
                <w:szCs w:val="22"/>
                <w:lang w:val="en-US"/>
              </w:rPr>
              <w:t>Chapter 11 </w:t>
            </w:r>
            <w:r w:rsidRPr="00453DCB">
              <w:rPr>
                <w:b/>
                <w:szCs w:val="22"/>
              </w:rPr>
              <w:t> </w:t>
            </w:r>
          </w:p>
          <w:p w14:paraId="1778C476" w14:textId="77777777" w:rsidR="000E7FBC" w:rsidRPr="001B5076" w:rsidRDefault="000E7FBC" w:rsidP="000E7FBC">
            <w:pPr>
              <w:rPr>
                <w:szCs w:val="22"/>
                <w:lang w:val="en-US"/>
              </w:rPr>
            </w:pPr>
            <w:r w:rsidRPr="00453DCB">
              <w:rPr>
                <w:szCs w:val="22"/>
                <w:lang w:val="en-US"/>
              </w:rPr>
              <w:t>Reviewable Decisions, Revocations and Complaints</w:t>
            </w:r>
            <w:r w:rsidRPr="00453DCB">
              <w:rPr>
                <w:szCs w:val="22"/>
              </w:rPr>
              <w:t> </w:t>
            </w:r>
          </w:p>
        </w:tc>
        <w:tc>
          <w:tcPr>
            <w:tcW w:w="3190" w:type="dxa"/>
            <w:tcBorders>
              <w:top w:val="nil"/>
              <w:left w:val="nil"/>
              <w:bottom w:val="single" w:sz="8" w:space="0" w:color="auto"/>
              <w:right w:val="single" w:sz="8" w:space="0" w:color="auto"/>
            </w:tcBorders>
          </w:tcPr>
          <w:p w14:paraId="0F159393" w14:textId="77777777" w:rsidR="000E7FBC" w:rsidRPr="001B5076" w:rsidRDefault="000E7FBC" w:rsidP="000E7FBC">
            <w:pPr>
              <w:rPr>
                <w:szCs w:val="22"/>
                <w:lang w:val="en-AU"/>
              </w:rPr>
            </w:pPr>
            <w:r w:rsidRPr="001B5076">
              <w:rPr>
                <w:szCs w:val="22"/>
              </w:rPr>
              <w:t xml:space="preserve">Provides information on assessment related reviewable decisions in accordance with the </w:t>
            </w:r>
            <w:r w:rsidRPr="001B5076">
              <w:rPr>
                <w:i/>
                <w:iCs/>
                <w:szCs w:val="22"/>
              </w:rPr>
              <w:t>Aged Care Act 2024</w:t>
            </w:r>
            <w:r w:rsidRPr="001B5076">
              <w:rPr>
                <w:szCs w:val="22"/>
              </w:rPr>
              <w:t>. It also details: </w:t>
            </w:r>
          </w:p>
          <w:p w14:paraId="49CB246D" w14:textId="106EA6FF"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 xml:space="preserve">The </w:t>
            </w:r>
            <w:r w:rsidR="009532A0">
              <w:rPr>
                <w:rFonts w:eastAsia="Times New Roman"/>
                <w:szCs w:val="22"/>
              </w:rPr>
              <w:t>Review of Decisions</w:t>
            </w:r>
            <w:r w:rsidR="009532A0" w:rsidRPr="0081646A">
              <w:rPr>
                <w:rFonts w:eastAsia="Times New Roman"/>
                <w:szCs w:val="22"/>
              </w:rPr>
              <w:t xml:space="preserve"> </w:t>
            </w:r>
            <w:r w:rsidRPr="001B5076">
              <w:rPr>
                <w:rFonts w:eastAsia="Times New Roman"/>
                <w:szCs w:val="22"/>
              </w:rPr>
              <w:t>process  </w:t>
            </w:r>
          </w:p>
          <w:p w14:paraId="11414204"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Options for reviews and revocations </w:t>
            </w:r>
          </w:p>
          <w:p w14:paraId="0F8E53D2"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The complaints process.  </w:t>
            </w:r>
          </w:p>
          <w:p w14:paraId="623253E3" w14:textId="77777777" w:rsidR="000E7FBC" w:rsidRPr="001B5076" w:rsidRDefault="000E7FBC" w:rsidP="000E7FBC">
            <w:pPr>
              <w:rPr>
                <w:rFonts w:eastAsiaTheme="minorHAnsi"/>
                <w:szCs w:val="22"/>
              </w:rPr>
            </w:pPr>
          </w:p>
        </w:tc>
        <w:tc>
          <w:tcPr>
            <w:tcW w:w="4776" w:type="dxa"/>
            <w:tcBorders>
              <w:top w:val="nil"/>
              <w:left w:val="nil"/>
              <w:bottom w:val="single" w:sz="8" w:space="0" w:color="auto"/>
              <w:right w:val="single" w:sz="8" w:space="0" w:color="auto"/>
            </w:tcBorders>
            <w:hideMark/>
          </w:tcPr>
          <w:p w14:paraId="2AD6AC79" w14:textId="385B8600" w:rsidR="000E7FBC" w:rsidRPr="001B5076" w:rsidRDefault="00AC624E" w:rsidP="00453DCB">
            <w:pPr>
              <w:pStyle w:val="ListParagraph"/>
              <w:numPr>
                <w:ilvl w:val="0"/>
                <w:numId w:val="411"/>
              </w:numPr>
              <w:ind w:left="673" w:hanging="284"/>
              <w:rPr>
                <w:szCs w:val="22"/>
              </w:rPr>
            </w:pPr>
            <w:r>
              <w:t xml:space="preserve">New information </w:t>
            </w:r>
            <w:r w:rsidR="008B402B">
              <w:t>on the r</w:t>
            </w:r>
            <w:r>
              <w:t>ole of Internal Decision Reviewer in relation to Support at Home Reviewable Decisions</w:t>
            </w:r>
          </w:p>
        </w:tc>
      </w:tr>
      <w:tr w:rsidR="000E7FBC" w:rsidRPr="001B5076" w14:paraId="74398051"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7DF0700D" w14:textId="77777777" w:rsidR="000E7FBC" w:rsidRPr="001B5076" w:rsidRDefault="000E7FBC" w:rsidP="000E7FBC">
            <w:pPr>
              <w:rPr>
                <w:rFonts w:ascii="Aptos" w:eastAsiaTheme="minorHAnsi" w:hAnsi="Aptos" w:cs="Aptos"/>
                <w:szCs w:val="22"/>
                <w:lang w:eastAsia="en-US"/>
                <w14:ligatures w14:val="standardContextual"/>
              </w:rPr>
            </w:pPr>
            <w:r w:rsidRPr="00453DCB">
              <w:rPr>
                <w:b/>
                <w:szCs w:val="22"/>
              </w:rPr>
              <w:t>Chapter 12 </w:t>
            </w:r>
            <w:r w:rsidRPr="00453DCB">
              <w:rPr>
                <w:szCs w:val="22"/>
              </w:rPr>
              <w:t> </w:t>
            </w:r>
          </w:p>
          <w:p w14:paraId="0C079FB5" w14:textId="77777777" w:rsidR="000E7FBC" w:rsidRPr="001B5076" w:rsidRDefault="000E7FBC" w:rsidP="000E7FBC">
            <w:pPr>
              <w:rPr>
                <w:szCs w:val="22"/>
                <w:lang w:val="en-US"/>
              </w:rPr>
            </w:pPr>
            <w:r w:rsidRPr="00453DCB">
              <w:rPr>
                <w:szCs w:val="22"/>
              </w:rPr>
              <w:t>Supporting Diverse Experiences and Needs </w:t>
            </w:r>
          </w:p>
        </w:tc>
        <w:tc>
          <w:tcPr>
            <w:tcW w:w="3190" w:type="dxa"/>
            <w:tcBorders>
              <w:top w:val="nil"/>
              <w:left w:val="nil"/>
              <w:bottom w:val="single" w:sz="8" w:space="0" w:color="auto"/>
              <w:right w:val="single" w:sz="8" w:space="0" w:color="auto"/>
            </w:tcBorders>
          </w:tcPr>
          <w:p w14:paraId="1B869555" w14:textId="77777777" w:rsidR="000E7FBC" w:rsidRPr="001B5076" w:rsidRDefault="000E7FBC" w:rsidP="000E7FBC">
            <w:pPr>
              <w:rPr>
                <w:szCs w:val="22"/>
                <w:lang w:val="en-AU"/>
              </w:rPr>
            </w:pPr>
            <w:r w:rsidRPr="001B5076">
              <w:rPr>
                <w:szCs w:val="22"/>
              </w:rPr>
              <w:t xml:space="preserve">Outlines the ways in which the aged care system supports an older person’s diverse needs by </w:t>
            </w:r>
            <w:r w:rsidRPr="001B5076">
              <w:rPr>
                <w:szCs w:val="22"/>
                <w:lang w:val="en-US"/>
              </w:rPr>
              <w:t>ensuring they have access to person-centered aged care assessments and services. This includes valuing older people, their identities, cultures, abilities, diversity, beliefs and life experiences</w:t>
            </w:r>
            <w:r w:rsidRPr="001B5076">
              <w:rPr>
                <w:szCs w:val="22"/>
              </w:rPr>
              <w:t>.  </w:t>
            </w:r>
          </w:p>
          <w:p w14:paraId="151BA8A9" w14:textId="77777777" w:rsidR="000E7FBC" w:rsidRPr="001B5076" w:rsidRDefault="000E7FBC" w:rsidP="000E7FBC">
            <w:pPr>
              <w:rPr>
                <w:szCs w:val="22"/>
              </w:rPr>
            </w:pPr>
          </w:p>
        </w:tc>
        <w:tc>
          <w:tcPr>
            <w:tcW w:w="4776" w:type="dxa"/>
            <w:tcBorders>
              <w:top w:val="nil"/>
              <w:left w:val="nil"/>
              <w:bottom w:val="single" w:sz="8" w:space="0" w:color="auto"/>
              <w:right w:val="single" w:sz="8" w:space="0" w:color="auto"/>
            </w:tcBorders>
            <w:hideMark/>
          </w:tcPr>
          <w:p w14:paraId="383093EB" w14:textId="77777777" w:rsidR="000E7FBC" w:rsidRDefault="00500D56" w:rsidP="000E7FBC">
            <w:pPr>
              <w:numPr>
                <w:ilvl w:val="0"/>
                <w:numId w:val="469"/>
              </w:numPr>
              <w:spacing w:after="0" w:line="240" w:lineRule="auto"/>
              <w:rPr>
                <w:rFonts w:eastAsia="Times New Roman"/>
                <w:szCs w:val="22"/>
                <w:lang w:val="en-AU"/>
              </w:rPr>
            </w:pPr>
            <w:r>
              <w:rPr>
                <w:rFonts w:eastAsia="Times New Roman"/>
                <w:szCs w:val="22"/>
                <w:lang w:val="en-AU"/>
              </w:rPr>
              <w:t>Updated information about people living with dementia</w:t>
            </w:r>
          </w:p>
          <w:p w14:paraId="61221982" w14:textId="0DDFDB09" w:rsidR="000E7FBC" w:rsidRPr="001B5076" w:rsidRDefault="00FB3B02" w:rsidP="000E7FBC">
            <w:pPr>
              <w:numPr>
                <w:ilvl w:val="0"/>
                <w:numId w:val="469"/>
              </w:numPr>
              <w:spacing w:after="0" w:line="240" w:lineRule="auto"/>
              <w:rPr>
                <w:rFonts w:eastAsia="Times New Roman"/>
                <w:szCs w:val="22"/>
                <w:lang w:val="en-AU"/>
              </w:rPr>
            </w:pPr>
            <w:r>
              <w:rPr>
                <w:rFonts w:eastAsia="Times New Roman"/>
                <w:szCs w:val="22"/>
                <w:lang w:val="en-AU"/>
              </w:rPr>
              <w:t>Additional guidance about assessing older people in a prison setting</w:t>
            </w:r>
          </w:p>
        </w:tc>
      </w:tr>
      <w:tr w:rsidR="000E7FBC" w:rsidRPr="001B5076" w14:paraId="3FBBC837"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5CFC9970" w14:textId="77777777" w:rsidR="000E7FBC" w:rsidRPr="001B5076" w:rsidRDefault="000E7FBC" w:rsidP="000E7FBC">
            <w:pPr>
              <w:rPr>
                <w:rFonts w:eastAsiaTheme="minorHAnsi"/>
                <w:szCs w:val="22"/>
              </w:rPr>
            </w:pPr>
            <w:r w:rsidRPr="00453DCB">
              <w:rPr>
                <w:b/>
                <w:szCs w:val="22"/>
              </w:rPr>
              <w:t>Chapter 13 </w:t>
            </w:r>
            <w:r w:rsidRPr="00453DCB">
              <w:rPr>
                <w:szCs w:val="22"/>
              </w:rPr>
              <w:t> </w:t>
            </w:r>
          </w:p>
          <w:p w14:paraId="61973AD2" w14:textId="77777777" w:rsidR="000E7FBC" w:rsidRPr="001B5076" w:rsidRDefault="000E7FBC" w:rsidP="000E7FBC">
            <w:pPr>
              <w:rPr>
                <w:b/>
                <w:bCs/>
                <w:szCs w:val="22"/>
              </w:rPr>
            </w:pPr>
            <w:r w:rsidRPr="00453DCB">
              <w:rPr>
                <w:szCs w:val="22"/>
              </w:rPr>
              <w:t>Operating Procedures </w:t>
            </w:r>
          </w:p>
        </w:tc>
        <w:tc>
          <w:tcPr>
            <w:tcW w:w="3190" w:type="dxa"/>
            <w:tcBorders>
              <w:top w:val="nil"/>
              <w:left w:val="nil"/>
              <w:bottom w:val="single" w:sz="8" w:space="0" w:color="auto"/>
              <w:right w:val="single" w:sz="8" w:space="0" w:color="auto"/>
            </w:tcBorders>
          </w:tcPr>
          <w:p w14:paraId="1E610410" w14:textId="7560DDE9" w:rsidR="000E7FBC" w:rsidRPr="006138CC" w:rsidRDefault="000E7FBC" w:rsidP="000E7FBC">
            <w:pPr>
              <w:rPr>
                <w:szCs w:val="22"/>
                <w:lang w:val="en-AU"/>
              </w:rPr>
            </w:pPr>
            <w:r w:rsidRPr="001B5076">
              <w:rPr>
                <w:szCs w:val="22"/>
              </w:rPr>
              <w:t>Includes information on privacy, information management and relevant legislation. Also included in this chapter is information about: </w:t>
            </w:r>
          </w:p>
          <w:p w14:paraId="1943499D" w14:textId="0CE267DA" w:rsidR="00D73E14" w:rsidRDefault="00D73E14" w:rsidP="000E7FBC">
            <w:pPr>
              <w:numPr>
                <w:ilvl w:val="0"/>
                <w:numId w:val="411"/>
              </w:numPr>
              <w:spacing w:after="0" w:line="240" w:lineRule="auto"/>
              <w:ind w:left="447"/>
              <w:rPr>
                <w:rFonts w:eastAsia="Times New Roman"/>
                <w:szCs w:val="22"/>
              </w:rPr>
            </w:pPr>
            <w:r>
              <w:rPr>
                <w:rFonts w:eastAsia="Times New Roman"/>
                <w:szCs w:val="22"/>
              </w:rPr>
              <w:t>Applying to be a delegate</w:t>
            </w:r>
          </w:p>
          <w:p w14:paraId="27B7906D" w14:textId="77777777" w:rsidR="007365F2" w:rsidRDefault="000E7FBC" w:rsidP="000E7FBC">
            <w:pPr>
              <w:numPr>
                <w:ilvl w:val="0"/>
                <w:numId w:val="411"/>
              </w:numPr>
              <w:spacing w:after="0" w:line="240" w:lineRule="auto"/>
              <w:ind w:left="447"/>
              <w:rPr>
                <w:rFonts w:eastAsia="Times New Roman"/>
                <w:szCs w:val="22"/>
              </w:rPr>
            </w:pPr>
            <w:r w:rsidRPr="001B5076">
              <w:rPr>
                <w:rFonts w:eastAsia="Times New Roman"/>
                <w:szCs w:val="22"/>
              </w:rPr>
              <w:t>Clinical governance</w:t>
            </w:r>
          </w:p>
          <w:p w14:paraId="0AE5922A" w14:textId="614E6332" w:rsidR="000E7FBC" w:rsidRPr="001B5076" w:rsidRDefault="007365F2" w:rsidP="000E7FBC">
            <w:pPr>
              <w:numPr>
                <w:ilvl w:val="0"/>
                <w:numId w:val="411"/>
              </w:numPr>
              <w:spacing w:after="0" w:line="240" w:lineRule="auto"/>
              <w:ind w:left="447"/>
              <w:rPr>
                <w:rFonts w:eastAsia="Times New Roman"/>
                <w:szCs w:val="22"/>
              </w:rPr>
            </w:pPr>
            <w:r>
              <w:rPr>
                <w:rFonts w:eastAsia="Times New Roman"/>
                <w:szCs w:val="22"/>
              </w:rPr>
              <w:t xml:space="preserve">Separation of assessment services and </w:t>
            </w:r>
            <w:r w:rsidR="00D73E14">
              <w:rPr>
                <w:rFonts w:eastAsia="Times New Roman"/>
                <w:szCs w:val="22"/>
              </w:rPr>
              <w:t>delivery of aged care services</w:t>
            </w:r>
            <w:r w:rsidR="000E7FBC" w:rsidRPr="001B5076">
              <w:rPr>
                <w:rFonts w:eastAsia="Times New Roman"/>
                <w:szCs w:val="22"/>
              </w:rPr>
              <w:t> </w:t>
            </w:r>
          </w:p>
          <w:p w14:paraId="24251027"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 xml:space="preserve">Information management and privacy under the </w:t>
            </w:r>
            <w:r w:rsidRPr="001B5076">
              <w:rPr>
                <w:rFonts w:eastAsia="Times New Roman"/>
                <w:i/>
                <w:iCs/>
                <w:szCs w:val="22"/>
              </w:rPr>
              <w:t>Aged Care Act 2024</w:t>
            </w:r>
            <w:r w:rsidRPr="001B5076">
              <w:rPr>
                <w:rFonts w:eastAsia="Times New Roman"/>
                <w:szCs w:val="22"/>
              </w:rPr>
              <w:t> </w:t>
            </w:r>
          </w:p>
          <w:p w14:paraId="3CE9792A"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Framework for governance of Indigenous data </w:t>
            </w:r>
          </w:p>
          <w:p w14:paraId="63DA27A8"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Branding  </w:t>
            </w:r>
          </w:p>
          <w:p w14:paraId="43304B59"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Resources for consumers  </w:t>
            </w:r>
          </w:p>
          <w:p w14:paraId="2EC75DB7"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Reporting and performance  </w:t>
            </w:r>
          </w:p>
          <w:p w14:paraId="3162FACA" w14:textId="77777777" w:rsidR="000E7FBC" w:rsidRPr="001B5076" w:rsidRDefault="000E7FBC" w:rsidP="000E7FBC">
            <w:pPr>
              <w:rPr>
                <w:rFonts w:eastAsiaTheme="minorHAnsi"/>
                <w:szCs w:val="22"/>
              </w:rPr>
            </w:pPr>
          </w:p>
        </w:tc>
        <w:tc>
          <w:tcPr>
            <w:tcW w:w="4776" w:type="dxa"/>
            <w:tcBorders>
              <w:top w:val="nil"/>
              <w:left w:val="nil"/>
              <w:bottom w:val="single" w:sz="8" w:space="0" w:color="auto"/>
              <w:right w:val="single" w:sz="8" w:space="0" w:color="auto"/>
            </w:tcBorders>
            <w:hideMark/>
          </w:tcPr>
          <w:p w14:paraId="524B62E9" w14:textId="77777777" w:rsidR="000E7FBC" w:rsidRDefault="00857E81" w:rsidP="000E7FBC">
            <w:pPr>
              <w:numPr>
                <w:ilvl w:val="0"/>
                <w:numId w:val="469"/>
              </w:numPr>
              <w:spacing w:after="0" w:line="240" w:lineRule="auto"/>
              <w:rPr>
                <w:rFonts w:eastAsia="Times New Roman"/>
                <w:szCs w:val="22"/>
                <w:lang w:val="en-AU"/>
              </w:rPr>
            </w:pPr>
            <w:r>
              <w:rPr>
                <w:rFonts w:eastAsia="Times New Roman"/>
                <w:szCs w:val="22"/>
                <w:lang w:val="en-AU"/>
              </w:rPr>
              <w:t>Updated information on the Delegates on/off form</w:t>
            </w:r>
            <w:r w:rsidR="00974282">
              <w:rPr>
                <w:rFonts w:eastAsia="Times New Roman"/>
                <w:szCs w:val="22"/>
                <w:lang w:val="en-AU"/>
              </w:rPr>
              <w:t xml:space="preserve"> for non-clinical assessment delegates</w:t>
            </w:r>
          </w:p>
          <w:p w14:paraId="3D3BF1E6" w14:textId="5EA21F2C" w:rsidR="000E7FBC" w:rsidRPr="001B5076" w:rsidRDefault="004D7E92" w:rsidP="000E7FBC">
            <w:pPr>
              <w:numPr>
                <w:ilvl w:val="0"/>
                <w:numId w:val="469"/>
              </w:numPr>
              <w:spacing w:after="0" w:line="240" w:lineRule="auto"/>
              <w:rPr>
                <w:rFonts w:eastAsia="Times New Roman"/>
                <w:lang w:val="en-AU"/>
              </w:rPr>
            </w:pPr>
            <w:r w:rsidRPr="3C0F79D0">
              <w:rPr>
                <w:rFonts w:eastAsia="Times New Roman"/>
                <w:lang w:val="en-AU"/>
              </w:rPr>
              <w:t xml:space="preserve">New information about Conflict of Interest in assessment </w:t>
            </w:r>
            <w:r w:rsidR="689EF6C7" w:rsidRPr="0081646A">
              <w:rPr>
                <w:rFonts w:eastAsia="Times New Roman"/>
                <w:lang w:val="en-AU"/>
              </w:rPr>
              <w:t>delivery</w:t>
            </w:r>
          </w:p>
        </w:tc>
      </w:tr>
      <w:tr w:rsidR="000E7FBC" w:rsidRPr="001B5076" w14:paraId="235AA588"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21FCC0A5" w14:textId="77777777" w:rsidR="000E7FBC" w:rsidRPr="001B5076" w:rsidRDefault="000E7FBC" w:rsidP="000E7FBC">
            <w:pPr>
              <w:rPr>
                <w:rFonts w:eastAsiaTheme="minorHAnsi"/>
                <w:szCs w:val="22"/>
              </w:rPr>
            </w:pPr>
            <w:r w:rsidRPr="00453DCB">
              <w:rPr>
                <w:b/>
                <w:szCs w:val="22"/>
              </w:rPr>
              <w:t>Chapter 14</w:t>
            </w:r>
            <w:r w:rsidRPr="00453DCB">
              <w:rPr>
                <w:szCs w:val="22"/>
              </w:rPr>
              <w:t> </w:t>
            </w:r>
          </w:p>
          <w:p w14:paraId="78774B89" w14:textId="77777777" w:rsidR="000E7FBC" w:rsidRPr="001B5076" w:rsidRDefault="000E7FBC" w:rsidP="000E7FBC">
            <w:pPr>
              <w:rPr>
                <w:b/>
                <w:bCs/>
                <w:szCs w:val="22"/>
              </w:rPr>
            </w:pPr>
            <w:r w:rsidRPr="00453DCB">
              <w:rPr>
                <w:szCs w:val="22"/>
              </w:rPr>
              <w:t>Fees and Payments </w:t>
            </w:r>
          </w:p>
        </w:tc>
        <w:tc>
          <w:tcPr>
            <w:tcW w:w="3190" w:type="dxa"/>
            <w:tcBorders>
              <w:top w:val="nil"/>
              <w:left w:val="nil"/>
              <w:bottom w:val="single" w:sz="8" w:space="0" w:color="auto"/>
              <w:right w:val="single" w:sz="8" w:space="0" w:color="auto"/>
            </w:tcBorders>
            <w:hideMark/>
          </w:tcPr>
          <w:p w14:paraId="1399BF8F" w14:textId="77777777" w:rsidR="000E7FBC" w:rsidRPr="001B5076" w:rsidRDefault="000E7FBC" w:rsidP="000E7FBC">
            <w:pPr>
              <w:rPr>
                <w:szCs w:val="22"/>
              </w:rPr>
            </w:pPr>
            <w:r w:rsidRPr="001B5076">
              <w:rPr>
                <w:szCs w:val="22"/>
              </w:rPr>
              <w:t>Provides guidance on fees, payments and participant contributions for funded aged care services.  </w:t>
            </w:r>
          </w:p>
        </w:tc>
        <w:tc>
          <w:tcPr>
            <w:tcW w:w="4776" w:type="dxa"/>
            <w:tcBorders>
              <w:top w:val="nil"/>
              <w:left w:val="nil"/>
              <w:bottom w:val="single" w:sz="8" w:space="0" w:color="auto"/>
              <w:right w:val="single" w:sz="8" w:space="0" w:color="auto"/>
            </w:tcBorders>
            <w:hideMark/>
          </w:tcPr>
          <w:p w14:paraId="4058A264" w14:textId="385D626A" w:rsidR="000E7FBC" w:rsidRPr="001B5076" w:rsidRDefault="00540009" w:rsidP="00453DCB">
            <w:pPr>
              <w:spacing w:after="0" w:line="240" w:lineRule="auto"/>
              <w:ind w:left="106"/>
              <w:rPr>
                <w:rFonts w:eastAsia="Times New Roman"/>
                <w:szCs w:val="22"/>
                <w:lang w:val="en-AU"/>
              </w:rPr>
            </w:pPr>
            <w:r>
              <w:rPr>
                <w:rFonts w:eastAsia="Times New Roman"/>
                <w:szCs w:val="22"/>
              </w:rPr>
              <w:t>No substantive changes have been made to this chapter.</w:t>
            </w:r>
          </w:p>
        </w:tc>
      </w:tr>
      <w:tr w:rsidR="000E7FBC" w:rsidRPr="001B5076" w14:paraId="788E6AF7" w14:textId="77777777" w:rsidTr="000E7FBC">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678D05A8" w14:textId="77777777" w:rsidR="000E7FBC" w:rsidRPr="001B5076" w:rsidRDefault="000E7FBC" w:rsidP="000E7FBC">
            <w:pPr>
              <w:rPr>
                <w:rFonts w:eastAsiaTheme="minorHAnsi"/>
                <w:b/>
                <w:bCs/>
                <w:szCs w:val="22"/>
              </w:rPr>
            </w:pPr>
            <w:r w:rsidRPr="00453DCB">
              <w:rPr>
                <w:b/>
                <w:szCs w:val="22"/>
              </w:rPr>
              <w:t>Appendices </w:t>
            </w:r>
          </w:p>
        </w:tc>
        <w:tc>
          <w:tcPr>
            <w:tcW w:w="3190" w:type="dxa"/>
            <w:tcBorders>
              <w:top w:val="nil"/>
              <w:left w:val="nil"/>
              <w:bottom w:val="single" w:sz="8" w:space="0" w:color="auto"/>
              <w:right w:val="single" w:sz="8" w:space="0" w:color="auto"/>
            </w:tcBorders>
            <w:hideMark/>
          </w:tcPr>
          <w:p w14:paraId="281EE12A" w14:textId="77777777" w:rsidR="000E7FBC" w:rsidRPr="001B5076" w:rsidRDefault="000E7FBC" w:rsidP="000E7FBC">
            <w:pPr>
              <w:rPr>
                <w:szCs w:val="22"/>
                <w:lang w:val="en-AU"/>
              </w:rPr>
            </w:pPr>
            <w:r w:rsidRPr="001B5076">
              <w:rPr>
                <w:szCs w:val="22"/>
              </w:rPr>
              <w:t>Appendices include: </w:t>
            </w:r>
          </w:p>
          <w:p w14:paraId="6FE7F867"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Glossary </w:t>
            </w:r>
          </w:p>
          <w:p w14:paraId="3131841A"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Contact Details </w:t>
            </w:r>
          </w:p>
          <w:p w14:paraId="53A59683"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Clinical Governance Guidance for Aged Care Needs Assessment Organisations </w:t>
            </w:r>
          </w:p>
          <w:p w14:paraId="128BFADB"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Clinical attendance </w:t>
            </w:r>
          </w:p>
          <w:p w14:paraId="1F23602E"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Wellness and Reablement </w:t>
            </w:r>
          </w:p>
          <w:p w14:paraId="2B2D762A" w14:textId="77777777" w:rsidR="000E7FBC" w:rsidRPr="001B5076" w:rsidRDefault="000E7FBC" w:rsidP="000E7FBC">
            <w:pPr>
              <w:numPr>
                <w:ilvl w:val="0"/>
                <w:numId w:val="411"/>
              </w:numPr>
              <w:spacing w:after="0" w:line="240" w:lineRule="auto"/>
              <w:ind w:left="447"/>
              <w:rPr>
                <w:rFonts w:eastAsia="Times New Roman"/>
                <w:szCs w:val="22"/>
              </w:rPr>
            </w:pPr>
            <w:r w:rsidRPr="001B5076">
              <w:rPr>
                <w:rFonts w:eastAsia="Times New Roman"/>
                <w:szCs w:val="22"/>
              </w:rPr>
              <w:t>Restorative Care Case Studies </w:t>
            </w:r>
          </w:p>
          <w:p w14:paraId="271A6BEF" w14:textId="77777777" w:rsidR="00512BEC" w:rsidRDefault="000E7FBC" w:rsidP="000E7FBC">
            <w:pPr>
              <w:numPr>
                <w:ilvl w:val="0"/>
                <w:numId w:val="411"/>
              </w:numPr>
              <w:spacing w:after="0" w:line="240" w:lineRule="auto"/>
              <w:ind w:left="447"/>
              <w:rPr>
                <w:rFonts w:eastAsia="Times New Roman"/>
                <w:szCs w:val="22"/>
              </w:rPr>
            </w:pPr>
            <w:r w:rsidRPr="001B5076">
              <w:rPr>
                <w:rFonts w:eastAsia="Times New Roman"/>
                <w:szCs w:val="22"/>
              </w:rPr>
              <w:t>Aged Care Assessment Workforce Credentials</w:t>
            </w:r>
          </w:p>
          <w:p w14:paraId="0A1AFE9B" w14:textId="35C700E5" w:rsidR="000E7FBC" w:rsidRPr="001B5076" w:rsidRDefault="00512BEC" w:rsidP="000E7FBC">
            <w:pPr>
              <w:numPr>
                <w:ilvl w:val="0"/>
                <w:numId w:val="411"/>
              </w:numPr>
              <w:spacing w:after="0" w:line="240" w:lineRule="auto"/>
              <w:ind w:left="447"/>
              <w:rPr>
                <w:rFonts w:eastAsia="Times New Roman"/>
                <w:szCs w:val="22"/>
              </w:rPr>
            </w:pPr>
            <w:r>
              <w:rPr>
                <w:rFonts w:eastAsia="Times New Roman"/>
                <w:szCs w:val="22"/>
              </w:rPr>
              <w:t>Case studies</w:t>
            </w:r>
            <w:r w:rsidR="00967106">
              <w:rPr>
                <w:rFonts w:eastAsia="Times New Roman"/>
                <w:szCs w:val="22"/>
              </w:rPr>
              <w:t xml:space="preserve"> of individuals experiencing homelessness or </w:t>
            </w:r>
            <w:r w:rsidR="00DA5E93">
              <w:rPr>
                <w:rFonts w:eastAsia="Times New Roman"/>
                <w:szCs w:val="22"/>
              </w:rPr>
              <w:t>at risk of homelessness</w:t>
            </w:r>
            <w:r w:rsidR="002207BF">
              <w:rPr>
                <w:rFonts w:eastAsia="Times New Roman"/>
                <w:szCs w:val="22"/>
              </w:rPr>
              <w:t xml:space="preserve"> </w:t>
            </w:r>
            <w:r w:rsidR="000E7FBC" w:rsidRPr="001B5076">
              <w:rPr>
                <w:rFonts w:eastAsia="Times New Roman"/>
                <w:szCs w:val="22"/>
              </w:rPr>
              <w:t> </w:t>
            </w:r>
          </w:p>
          <w:p w14:paraId="48A62F83" w14:textId="77777777" w:rsidR="000E7FBC" w:rsidRPr="001B5076" w:rsidRDefault="000E7FBC" w:rsidP="000E7FBC">
            <w:pPr>
              <w:rPr>
                <w:rFonts w:eastAsiaTheme="minorHAnsi"/>
                <w:szCs w:val="22"/>
              </w:rPr>
            </w:pPr>
            <w:r w:rsidRPr="001B5076">
              <w:rPr>
                <w:szCs w:val="22"/>
              </w:rPr>
              <w:t> </w:t>
            </w:r>
          </w:p>
        </w:tc>
        <w:tc>
          <w:tcPr>
            <w:tcW w:w="4776" w:type="dxa"/>
            <w:tcBorders>
              <w:top w:val="nil"/>
              <w:left w:val="nil"/>
              <w:bottom w:val="single" w:sz="8" w:space="0" w:color="auto"/>
              <w:right w:val="single" w:sz="8" w:space="0" w:color="auto"/>
            </w:tcBorders>
            <w:hideMark/>
          </w:tcPr>
          <w:p w14:paraId="16D806ED" w14:textId="64B6C5C6" w:rsidR="000E7FBC" w:rsidRPr="001B5076" w:rsidRDefault="0045573A" w:rsidP="000E7FBC">
            <w:pPr>
              <w:numPr>
                <w:ilvl w:val="0"/>
                <w:numId w:val="469"/>
              </w:numPr>
              <w:spacing w:after="0" w:line="240" w:lineRule="auto"/>
              <w:rPr>
                <w:rFonts w:eastAsia="Times New Roman"/>
                <w:szCs w:val="22"/>
                <w:lang w:val="en-AU"/>
              </w:rPr>
            </w:pPr>
            <w:r>
              <w:rPr>
                <w:rFonts w:eastAsia="Times New Roman"/>
                <w:szCs w:val="22"/>
              </w:rPr>
              <w:t xml:space="preserve">Inclusion of case studies </w:t>
            </w:r>
            <w:r w:rsidR="005F7999">
              <w:rPr>
                <w:rFonts w:eastAsia="Times New Roman"/>
                <w:szCs w:val="22"/>
              </w:rPr>
              <w:t>of individuals experiencing homelessness and being at risk of homelessness</w:t>
            </w:r>
          </w:p>
        </w:tc>
      </w:tr>
      <w:bookmarkEnd w:id="16"/>
    </w:tbl>
    <w:p w14:paraId="625F3C64" w14:textId="77777777" w:rsidR="00D76CEC" w:rsidRDefault="00D76CEC" w:rsidP="00FC3C61">
      <w:pPr>
        <w:pStyle w:val="H5"/>
      </w:pPr>
    </w:p>
    <w:p w14:paraId="4B757B52" w14:textId="77777777" w:rsidR="00FC735C" w:rsidRDefault="00FC735C" w:rsidP="00FC3C61">
      <w:pPr>
        <w:pStyle w:val="H5"/>
        <w:sectPr w:rsidR="00FC735C" w:rsidSect="003F6DBE">
          <w:pgSz w:w="11906" w:h="16838"/>
          <w:pgMar w:top="1440" w:right="1440" w:bottom="1440" w:left="1440" w:header="709" w:footer="709" w:gutter="0"/>
          <w:cols w:space="708"/>
          <w:titlePg/>
          <w:docGrid w:linePitch="360"/>
        </w:sectPr>
      </w:pPr>
    </w:p>
    <w:p w14:paraId="74FF186B" w14:textId="3873A04E" w:rsidR="00005C08" w:rsidRPr="00655A8E" w:rsidRDefault="00005C08" w:rsidP="00D816E6">
      <w:pPr>
        <w:pStyle w:val="H1"/>
      </w:pPr>
      <w:bookmarkStart w:id="17" w:name="_Toc207291859"/>
      <w:bookmarkStart w:id="18" w:name="_Toc209188932"/>
      <w:bookmarkStart w:id="19" w:name="_Ref212735661"/>
      <w:bookmarkStart w:id="20" w:name="_Ref212735706"/>
      <w:bookmarkStart w:id="21" w:name="_Ref212736424"/>
      <w:bookmarkStart w:id="22" w:name="_Ref212736437"/>
      <w:bookmarkStart w:id="23" w:name="_Toc224916601"/>
      <w:r w:rsidRPr="00655A8E">
        <w:t xml:space="preserve">Chapter 1: </w:t>
      </w:r>
      <w:bookmarkEnd w:id="0"/>
      <w:r w:rsidRPr="00655A8E">
        <w:t>Aged Care Act 2024</w:t>
      </w:r>
      <w:bookmarkEnd w:id="17"/>
      <w:bookmarkEnd w:id="18"/>
      <w:bookmarkEnd w:id="19"/>
      <w:bookmarkEnd w:id="20"/>
      <w:bookmarkEnd w:id="21"/>
      <w:bookmarkEnd w:id="22"/>
      <w:bookmarkEnd w:id="23"/>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005C08" w:rsidRPr="005D5A9E" w14:paraId="15F5931F" w14:textId="77777777" w:rsidTr="004107E5">
        <w:trPr>
          <w:trHeight w:val="300"/>
        </w:trPr>
        <w:tc>
          <w:tcPr>
            <w:tcW w:w="9016" w:type="dxa"/>
            <w:shd w:val="clear" w:color="auto" w:fill="F2F2F2" w:themeFill="background1" w:themeFillShade="F2"/>
          </w:tcPr>
          <w:p w14:paraId="7958C45E" w14:textId="50C93BFC" w:rsidR="00005C08" w:rsidRPr="00380A8B" w:rsidRDefault="00005C08" w:rsidP="00267C0F">
            <w:pPr>
              <w:rPr>
                <w:b/>
                <w:color w:val="358189"/>
                <w:sz w:val="36"/>
                <w:szCs w:val="36"/>
              </w:rPr>
            </w:pPr>
            <w:bookmarkStart w:id="24" w:name="_Toc198813633"/>
            <w:bookmarkStart w:id="25" w:name="_Toc207291860"/>
            <w:bookmarkStart w:id="26" w:name="_Toc209188933"/>
            <w:bookmarkEnd w:id="1"/>
            <w:r w:rsidRPr="00380A8B">
              <w:rPr>
                <w:b/>
                <w:color w:val="358189"/>
                <w:sz w:val="36"/>
                <w:szCs w:val="36"/>
              </w:rPr>
              <w:t>What you’ll find in this chapter</w:t>
            </w:r>
            <w:bookmarkEnd w:id="24"/>
            <w:bookmarkEnd w:id="25"/>
            <w:bookmarkEnd w:id="26"/>
          </w:p>
          <w:p w14:paraId="5D7241F5" w14:textId="65739AB9" w:rsidR="00005C08" w:rsidRDefault="00005C08" w:rsidP="000416E5">
            <w:r w:rsidRPr="005D5A9E">
              <w:t>This chapter introduces some</w:t>
            </w:r>
            <w:r w:rsidRPr="005D5A9E" w:rsidDel="00897744">
              <w:t xml:space="preserve"> </w:t>
            </w:r>
            <w:r w:rsidRPr="005D5A9E">
              <w:t xml:space="preserve">key concepts </w:t>
            </w:r>
            <w:r>
              <w:t>under</w:t>
            </w:r>
            <w:r w:rsidRPr="005D5A9E">
              <w:t xml:space="preserve"> the </w:t>
            </w:r>
            <w:r w:rsidRPr="00F76957">
              <w:rPr>
                <w:i/>
                <w:iCs/>
              </w:rPr>
              <w:t>Aged Care Act 2024</w:t>
            </w:r>
            <w:r>
              <w:t xml:space="preserve"> (the Act)</w:t>
            </w:r>
            <w:r w:rsidR="00830717">
              <w:t xml:space="preserve"> </w:t>
            </w:r>
            <w:r w:rsidR="00830717" w:rsidRPr="005D5A9E">
              <w:t>that are important to understand</w:t>
            </w:r>
            <w:r w:rsidRPr="005D5A9E">
              <w:t>. They include:</w:t>
            </w:r>
          </w:p>
          <w:p w14:paraId="5F83EE37" w14:textId="77777777" w:rsidR="008E6691" w:rsidRPr="005D5A9E" w:rsidRDefault="008E6691" w:rsidP="000416E5"/>
          <w:p w14:paraId="62A8BD4E" w14:textId="5DDCDA7B" w:rsidR="009A6652" w:rsidRDefault="009A6652" w:rsidP="00DE24FB">
            <w:pPr>
              <w:pStyle w:val="ListParagraph"/>
              <w:numPr>
                <w:ilvl w:val="0"/>
                <w:numId w:val="28"/>
              </w:numPr>
            </w:pPr>
            <w:r>
              <w:t>The structure of the Act</w:t>
            </w:r>
          </w:p>
          <w:p w14:paraId="03593EEE" w14:textId="31068854" w:rsidR="00005C08" w:rsidRPr="005D5A9E" w:rsidRDefault="00005C08" w:rsidP="00DE24FB">
            <w:pPr>
              <w:pStyle w:val="ListParagraph"/>
              <w:numPr>
                <w:ilvl w:val="0"/>
                <w:numId w:val="28"/>
              </w:numPr>
            </w:pPr>
            <w:r>
              <w:t xml:space="preserve">Statement of Rights and Principles </w:t>
            </w:r>
          </w:p>
          <w:p w14:paraId="42F5826B" w14:textId="77777777" w:rsidR="00830717" w:rsidRDefault="00005C08" w:rsidP="00DE24FB">
            <w:pPr>
              <w:pStyle w:val="ListParagraph"/>
              <w:numPr>
                <w:ilvl w:val="0"/>
                <w:numId w:val="28"/>
              </w:numPr>
            </w:pPr>
            <w:r>
              <w:t xml:space="preserve">Dignity of Risk </w:t>
            </w:r>
          </w:p>
          <w:p w14:paraId="136D632A" w14:textId="30AE6650" w:rsidR="00830717" w:rsidRDefault="00830717" w:rsidP="00DE24FB">
            <w:pPr>
              <w:pStyle w:val="ListParagraph"/>
              <w:numPr>
                <w:ilvl w:val="0"/>
                <w:numId w:val="28"/>
              </w:numPr>
            </w:pPr>
            <w:r w:rsidRPr="00830717">
              <w:t xml:space="preserve">Eligibility requirements to access government funded aged care services </w:t>
            </w:r>
          </w:p>
          <w:p w14:paraId="6BBB4F0C" w14:textId="15C86A61" w:rsidR="00005C08" w:rsidRPr="005D5A9E" w:rsidRDefault="00005C08" w:rsidP="00DE24FB">
            <w:pPr>
              <w:pStyle w:val="ListParagraph"/>
              <w:numPr>
                <w:ilvl w:val="0"/>
                <w:numId w:val="28"/>
              </w:numPr>
            </w:pPr>
            <w:r>
              <w:t xml:space="preserve">Service List and structure under the </w:t>
            </w:r>
            <w:r w:rsidRPr="00C916B0">
              <w:rPr>
                <w:i/>
              </w:rPr>
              <w:t>Aged Care Rules 2025</w:t>
            </w:r>
            <w:r>
              <w:t xml:space="preserve"> </w:t>
            </w:r>
          </w:p>
          <w:p w14:paraId="0CE97B8B" w14:textId="4B0EE055" w:rsidR="00570BDE" w:rsidRDefault="00005C08" w:rsidP="00C90C14">
            <w:pPr>
              <w:numPr>
                <w:ilvl w:val="0"/>
                <w:numId w:val="28"/>
              </w:numPr>
            </w:pPr>
            <w:r>
              <w:t xml:space="preserve">Transition Arrangements </w:t>
            </w:r>
            <w:r w:rsidR="00C90C14">
              <w:t>for 1 November 2025</w:t>
            </w:r>
          </w:p>
          <w:p w14:paraId="71A304A1" w14:textId="3E4B7AC4" w:rsidR="00570BDE" w:rsidRPr="005D5A9E" w:rsidRDefault="00570BDE" w:rsidP="004A01BB">
            <w:pPr>
              <w:ind w:left="1080"/>
            </w:pPr>
          </w:p>
        </w:tc>
      </w:tr>
    </w:tbl>
    <w:p w14:paraId="4D2A21B6" w14:textId="77777777" w:rsidR="00DE24FB" w:rsidRDefault="00DE24FB" w:rsidP="00005C08">
      <w:bookmarkStart w:id="27" w:name="_Aged_Care_Act"/>
      <w:bookmarkEnd w:id="27"/>
    </w:p>
    <w:p w14:paraId="1D47AD70" w14:textId="0132097E" w:rsidR="009A6652" w:rsidRPr="00AD6A5D" w:rsidRDefault="009A6652" w:rsidP="00507F9D">
      <w:pPr>
        <w:pStyle w:val="h2"/>
      </w:pPr>
      <w:bookmarkStart w:id="28" w:name="_Toc207291861"/>
      <w:bookmarkStart w:id="29" w:name="_Toc209188934"/>
      <w:bookmarkStart w:id="30" w:name="_Toc224916602"/>
      <w:r>
        <w:t xml:space="preserve">About the </w:t>
      </w:r>
      <w:r w:rsidRPr="00AD6A5D">
        <w:t>Aged Care Act 2024</w:t>
      </w:r>
      <w:bookmarkEnd w:id="28"/>
      <w:bookmarkEnd w:id="29"/>
      <w:bookmarkEnd w:id="30"/>
    </w:p>
    <w:p w14:paraId="73B686BE" w14:textId="020A498D" w:rsidR="00876FAC" w:rsidRPr="009F6EF0" w:rsidRDefault="00876FAC" w:rsidP="008E6691">
      <w:pPr>
        <w:spacing w:before="240" w:after="240" w:line="240" w:lineRule="auto"/>
      </w:pPr>
      <w:r w:rsidRPr="009F6EF0">
        <w:t>The</w:t>
      </w:r>
      <w:r w:rsidR="00AD302F">
        <w:t xml:space="preserve"> </w:t>
      </w:r>
      <w:r w:rsidR="00AD302F" w:rsidRPr="00441859">
        <w:rPr>
          <w:i/>
        </w:rPr>
        <w:t>Aged Care Act 2024</w:t>
      </w:r>
      <w:r w:rsidR="00AD302F">
        <w:t xml:space="preserve"> (the</w:t>
      </w:r>
      <w:r w:rsidRPr="009F6EF0">
        <w:t> Act</w:t>
      </w:r>
      <w:r w:rsidR="00AD302F">
        <w:t>)</w:t>
      </w:r>
      <w:r w:rsidRPr="009F6EF0">
        <w:t xml:space="preserve"> is rights-based legislation designed to put older people at the heart of the aged care system. It includes a Statement of Rights and a Statement of Principles to ensure the focus remains on the needs and well-being of older people. The Act provides a framework to deliver high-quality, safe, and respectful funded aged care services while empowering those who receive them.</w:t>
      </w:r>
    </w:p>
    <w:p w14:paraId="3C5C0EA6" w14:textId="77777777" w:rsidR="00876FAC" w:rsidRPr="00876FAC" w:rsidRDefault="00876FAC" w:rsidP="008E6691">
      <w:pPr>
        <w:spacing w:before="240" w:after="240" w:line="240" w:lineRule="auto"/>
      </w:pPr>
      <w:r w:rsidRPr="005329F2">
        <w:t>The Act upholds these rights through:</w:t>
      </w:r>
    </w:p>
    <w:p w14:paraId="32AAD83D" w14:textId="77777777" w:rsidR="00876FAC" w:rsidRPr="00876FAC" w:rsidRDefault="00876FAC" w:rsidP="008E6691">
      <w:pPr>
        <w:pStyle w:val="ListParagraph"/>
        <w:numPr>
          <w:ilvl w:val="0"/>
          <w:numId w:val="46"/>
        </w:numPr>
        <w:spacing w:before="240" w:after="240" w:line="240" w:lineRule="auto"/>
      </w:pPr>
      <w:r w:rsidRPr="00876FAC">
        <w:rPr>
          <w:b/>
          <w:bCs/>
        </w:rPr>
        <w:t>Strong Legal Foundations</w:t>
      </w:r>
      <w:r w:rsidRPr="00876FAC">
        <w:t>:  The Act establishes a person-centred aged care system, and the objects of the Act give effect to Australia’s obligations under international human rights treaties, ensuring a robust legal basis.</w:t>
      </w:r>
    </w:p>
    <w:p w14:paraId="5F365F25" w14:textId="77777777" w:rsidR="00876FAC" w:rsidRPr="00876FAC" w:rsidRDefault="00876FAC" w:rsidP="008E6691">
      <w:pPr>
        <w:pStyle w:val="ListParagraph"/>
        <w:numPr>
          <w:ilvl w:val="0"/>
          <w:numId w:val="46"/>
        </w:numPr>
        <w:spacing w:before="240" w:after="240" w:line="240" w:lineRule="auto"/>
      </w:pPr>
      <w:r w:rsidRPr="00876FAC">
        <w:rPr>
          <w:b/>
          <w:bCs/>
        </w:rPr>
        <w:t>Independent Oversight</w:t>
      </w:r>
      <w:r w:rsidRPr="00876FAC">
        <w:t>: The Act introduces mechanisms for independent system oversight, promoting accountability and fairness within the aged care system.</w:t>
      </w:r>
    </w:p>
    <w:p w14:paraId="43ECF71E" w14:textId="77777777" w:rsidR="00876FAC" w:rsidRPr="00876FAC" w:rsidRDefault="00876FAC" w:rsidP="008E6691">
      <w:pPr>
        <w:pStyle w:val="ListParagraph"/>
        <w:numPr>
          <w:ilvl w:val="0"/>
          <w:numId w:val="46"/>
        </w:numPr>
        <w:spacing w:before="240" w:after="240" w:line="240" w:lineRule="auto"/>
      </w:pPr>
      <w:r w:rsidRPr="00876FAC">
        <w:rPr>
          <w:b/>
          <w:bCs/>
        </w:rPr>
        <w:t>Equitable Access</w:t>
      </w:r>
      <w:r w:rsidRPr="00876FAC">
        <w:t>: It ensures that all individuals are assessed against a culturally safe and appropriate single assessment framework, facilitating fair access to aged care services.</w:t>
      </w:r>
    </w:p>
    <w:p w14:paraId="74D10A38" w14:textId="77777777" w:rsidR="00876FAC" w:rsidRPr="009F6EF0" w:rsidRDefault="00876FAC" w:rsidP="008E6691">
      <w:pPr>
        <w:spacing w:before="240" w:after="240" w:line="240" w:lineRule="auto"/>
      </w:pPr>
      <w:r w:rsidRPr="009F6EF0">
        <w:t>This structure is designed to ensure that aged care services are fair, accessible, and centred on the dignity and rights of older people.</w:t>
      </w:r>
    </w:p>
    <w:p w14:paraId="307A5F3C" w14:textId="77777777" w:rsidR="00005C08" w:rsidRPr="009F6EF0" w:rsidRDefault="00005C08" w:rsidP="008E6691">
      <w:pPr>
        <w:spacing w:before="240" w:after="240" w:line="240" w:lineRule="auto"/>
      </w:pPr>
      <w:bookmarkStart w:id="31" w:name="_Statement_of_Rights"/>
      <w:bookmarkStart w:id="32" w:name="_Toc198813635"/>
      <w:bookmarkStart w:id="33" w:name="CH1_StatementofRightsandPrinciples"/>
      <w:bookmarkEnd w:id="31"/>
      <w:r w:rsidRPr="009F6EF0">
        <w:t>The Act</w:t>
      </w:r>
      <w:r w:rsidRPr="009F6EF0">
        <w:rPr>
          <w:i/>
          <w:iCs/>
        </w:rPr>
        <w:t> </w:t>
      </w:r>
      <w:r w:rsidRPr="009F6EF0">
        <w:t>is structured into eight chapters, each focusing on different aspects of the aged care system. These are summarised below.</w:t>
      </w:r>
    </w:p>
    <w:p w14:paraId="61A45F21" w14:textId="34344CF1" w:rsidR="00005C08" w:rsidRPr="009F6EF0" w:rsidRDefault="00005C08" w:rsidP="008E6691">
      <w:pPr>
        <w:spacing w:before="240" w:after="240" w:line="240" w:lineRule="auto"/>
      </w:pPr>
      <w:r w:rsidRPr="009F6EF0">
        <w:t xml:space="preserve">The most relevant areas of the Act for </w:t>
      </w:r>
      <w:r w:rsidR="00340BA0">
        <w:t>a</w:t>
      </w:r>
      <w:r w:rsidR="00340BA0" w:rsidRPr="009F6EF0">
        <w:t xml:space="preserve">ssessment </w:t>
      </w:r>
      <w:r w:rsidR="00340BA0">
        <w:t>o</w:t>
      </w:r>
      <w:r w:rsidR="00340BA0" w:rsidRPr="009F6EF0">
        <w:t>rganisations</w:t>
      </w:r>
      <w:r w:rsidRPr="009F6EF0">
        <w:t xml:space="preserve"> are </w:t>
      </w:r>
      <w:r w:rsidR="00E14833">
        <w:t xml:space="preserve">in </w:t>
      </w:r>
      <w:r w:rsidRPr="009F6EF0">
        <w:t>Chapter 2 which explains eligibility and assessment processes, and Chapter 8 which covers reconsiderations, decision reviews, and delegation provisions.</w:t>
      </w:r>
    </w:p>
    <w:p w14:paraId="79E26920" w14:textId="7C70DB65" w:rsidR="00005C08" w:rsidRPr="00A62D98" w:rsidRDefault="00005C08" w:rsidP="008E6691">
      <w:pPr>
        <w:spacing w:before="240" w:after="240" w:line="240" w:lineRule="auto"/>
      </w:pPr>
      <w:r w:rsidRPr="00A62D98">
        <w:rPr>
          <w:b/>
          <w:bCs/>
        </w:rPr>
        <w:t>Chapter 1 – Introduction</w:t>
      </w:r>
      <w:r w:rsidRPr="00A62D98">
        <w:br/>
        <w:t xml:space="preserve">This </w:t>
      </w:r>
      <w:r>
        <w:t>C</w:t>
      </w:r>
      <w:r w:rsidRPr="00A62D98">
        <w:t xml:space="preserve">hapter establishes </w:t>
      </w:r>
      <w:r>
        <w:t xml:space="preserve">the </w:t>
      </w:r>
      <w:r w:rsidRPr="00A62D98">
        <w:t>purpose, objectives, and scope of the </w:t>
      </w:r>
      <w:r w:rsidRPr="003D63AF">
        <w:t>Act</w:t>
      </w:r>
      <w:r w:rsidRPr="00732283">
        <w:t xml:space="preserve">. </w:t>
      </w:r>
      <w:r w:rsidRPr="00A62D98">
        <w:t xml:space="preserve">It introduces the key principles that underpin the </w:t>
      </w:r>
      <w:r w:rsidR="004C7FD7">
        <w:t>Act</w:t>
      </w:r>
      <w:r w:rsidRPr="00A62D98">
        <w:t xml:space="preserve">, including </w:t>
      </w:r>
      <w:r>
        <w:t>the</w:t>
      </w:r>
      <w:r w:rsidRPr="00A62D98">
        <w:t xml:space="preserve"> Statement of Rights and </w:t>
      </w:r>
      <w:r>
        <w:t>the</w:t>
      </w:r>
      <w:r w:rsidRPr="00A62D98">
        <w:t xml:space="preserve"> Statement of Principles, which </w:t>
      </w:r>
      <w:r w:rsidR="00CF0016">
        <w:t>recognise</w:t>
      </w:r>
      <w:r w:rsidRPr="00A62D98">
        <w:t xml:space="preserve"> the rights, dignity, and autonomy of older Australians. The </w:t>
      </w:r>
      <w:r>
        <w:t>C</w:t>
      </w:r>
      <w:r w:rsidRPr="00A62D98">
        <w:t>hapter also defines important concepts and terminology used throughout the Act, ensuring consistency in interpretation and application.</w:t>
      </w:r>
      <w:r>
        <w:t xml:space="preserve"> This Chapter also includes the aged care service list (Prescribed in the Aged Care Rules 2025 </w:t>
      </w:r>
      <w:r w:rsidR="009A45DE">
        <w:t>in Part 3</w:t>
      </w:r>
      <w:r>
        <w:t xml:space="preserve">). </w:t>
      </w:r>
    </w:p>
    <w:p w14:paraId="7DE7DF4A" w14:textId="751883A2" w:rsidR="00005C08" w:rsidRPr="00A62D98" w:rsidRDefault="00005C08" w:rsidP="008E6691">
      <w:pPr>
        <w:spacing w:before="240" w:after="240" w:line="240" w:lineRule="auto"/>
        <w:rPr>
          <w:b/>
          <w:bCs/>
        </w:rPr>
      </w:pPr>
      <w:r w:rsidRPr="00A62D98">
        <w:rPr>
          <w:b/>
          <w:bCs/>
        </w:rPr>
        <w:t xml:space="preserve">Chapter 2 – Entry to the </w:t>
      </w:r>
      <w:r w:rsidR="00B713A1">
        <w:rPr>
          <w:b/>
          <w:bCs/>
        </w:rPr>
        <w:t>Australian Aged Care System</w:t>
      </w:r>
    </w:p>
    <w:p w14:paraId="436E2506" w14:textId="77777777" w:rsidR="00005C08" w:rsidRPr="00A62D98" w:rsidRDefault="00005C08" w:rsidP="008E6691">
      <w:pPr>
        <w:spacing w:before="240" w:after="240" w:line="240" w:lineRule="auto"/>
        <w:ind w:right="-330"/>
      </w:pPr>
      <w:r w:rsidRPr="00A62D98">
        <w:t xml:space="preserve">This </w:t>
      </w:r>
      <w:r>
        <w:t>C</w:t>
      </w:r>
      <w:r w:rsidRPr="00A62D98">
        <w:t xml:space="preserve">hapter </w:t>
      </w:r>
      <w:r>
        <w:t>include</w:t>
      </w:r>
      <w:r w:rsidRPr="00A62D98">
        <w:t xml:space="preserve">s the </w:t>
      </w:r>
      <w:r>
        <w:t>requirements</w:t>
      </w:r>
      <w:r w:rsidRPr="00A62D98">
        <w:t xml:space="preserve"> for </w:t>
      </w:r>
      <w:r>
        <w:t xml:space="preserve">an </w:t>
      </w:r>
      <w:r w:rsidRPr="00A62D98">
        <w:t>individual</w:t>
      </w:r>
      <w:r>
        <w:t xml:space="preserve"> to </w:t>
      </w:r>
      <w:r w:rsidRPr="00A62D98">
        <w:t>access government-funded aged care services. It details the eligibility criteria</w:t>
      </w:r>
      <w:r>
        <w:t xml:space="preserve"> for aged care needs assessments</w:t>
      </w:r>
      <w:r w:rsidRPr="00A62D98">
        <w:t xml:space="preserve">, the aged care needs assessment process, and how individuals are approved for services. Additionally, it covers the </w:t>
      </w:r>
      <w:r>
        <w:t>approach</w:t>
      </w:r>
      <w:r w:rsidRPr="00A62D98">
        <w:t xml:space="preserve"> to </w:t>
      </w:r>
      <w:r>
        <w:t>classifying</w:t>
      </w:r>
      <w:r w:rsidRPr="00A62D98">
        <w:t xml:space="preserve"> the level of </w:t>
      </w:r>
      <w:r>
        <w:t>funding</w:t>
      </w:r>
      <w:r w:rsidRPr="00A62D98">
        <w:t xml:space="preserve"> required, how priority for services is established, and the allocation of available aged care places to individuals and providers.</w:t>
      </w:r>
    </w:p>
    <w:p w14:paraId="738F3CDB" w14:textId="4A2EEE88" w:rsidR="00005C08" w:rsidRPr="00A62D98" w:rsidRDefault="00005C08" w:rsidP="008E6691">
      <w:pPr>
        <w:spacing w:before="240" w:after="240" w:line="240" w:lineRule="auto"/>
        <w:rPr>
          <w:b/>
          <w:bCs/>
        </w:rPr>
      </w:pPr>
      <w:r w:rsidRPr="00A62D98">
        <w:rPr>
          <w:b/>
          <w:bCs/>
        </w:rPr>
        <w:t xml:space="preserve">Chapter 3 – Registered </w:t>
      </w:r>
      <w:r w:rsidR="00691A68">
        <w:rPr>
          <w:b/>
          <w:bCs/>
        </w:rPr>
        <w:t>p</w:t>
      </w:r>
      <w:r w:rsidRPr="00A62D98">
        <w:rPr>
          <w:b/>
          <w:bCs/>
        </w:rPr>
        <w:t xml:space="preserve">roviders, </w:t>
      </w:r>
      <w:r w:rsidR="00691A68">
        <w:rPr>
          <w:b/>
          <w:bCs/>
        </w:rPr>
        <w:t>a</w:t>
      </w:r>
      <w:r w:rsidRPr="00A62D98">
        <w:rPr>
          <w:b/>
          <w:bCs/>
        </w:rPr>
        <w:t xml:space="preserve">ged </w:t>
      </w:r>
      <w:r w:rsidR="00691A68">
        <w:rPr>
          <w:b/>
          <w:bCs/>
        </w:rPr>
        <w:t>c</w:t>
      </w:r>
      <w:r w:rsidRPr="00A62D98">
        <w:rPr>
          <w:b/>
          <w:bCs/>
        </w:rPr>
        <w:t xml:space="preserve">are </w:t>
      </w:r>
      <w:r w:rsidR="00691A68">
        <w:rPr>
          <w:b/>
          <w:bCs/>
        </w:rPr>
        <w:t>w</w:t>
      </w:r>
      <w:r w:rsidRPr="00A62D98">
        <w:rPr>
          <w:b/>
          <w:bCs/>
        </w:rPr>
        <w:t xml:space="preserve">orkers, and </w:t>
      </w:r>
      <w:r w:rsidR="00691A68">
        <w:rPr>
          <w:b/>
          <w:bCs/>
        </w:rPr>
        <w:t>d</w:t>
      </w:r>
      <w:r w:rsidRPr="00A62D98">
        <w:rPr>
          <w:b/>
          <w:bCs/>
        </w:rPr>
        <w:t xml:space="preserve">igital </w:t>
      </w:r>
      <w:r w:rsidR="00691A68">
        <w:rPr>
          <w:b/>
          <w:bCs/>
        </w:rPr>
        <w:t>p</w:t>
      </w:r>
      <w:r w:rsidRPr="00A62D98">
        <w:rPr>
          <w:b/>
          <w:bCs/>
        </w:rPr>
        <w:t xml:space="preserve">latform </w:t>
      </w:r>
      <w:r w:rsidR="00536444">
        <w:rPr>
          <w:b/>
          <w:bCs/>
        </w:rPr>
        <w:t>o</w:t>
      </w:r>
      <w:r w:rsidR="00536444" w:rsidRPr="00A62D98">
        <w:rPr>
          <w:b/>
          <w:bCs/>
        </w:rPr>
        <w:t>perators</w:t>
      </w:r>
    </w:p>
    <w:p w14:paraId="591E8A0E" w14:textId="77777777" w:rsidR="00005C08" w:rsidRPr="00A62D98" w:rsidRDefault="00005C08" w:rsidP="008E6691">
      <w:pPr>
        <w:spacing w:before="240" w:after="240" w:line="240" w:lineRule="auto"/>
      </w:pPr>
      <w:r w:rsidRPr="00A62D98">
        <w:t xml:space="preserve">This </w:t>
      </w:r>
      <w:r>
        <w:t>C</w:t>
      </w:r>
      <w:r w:rsidRPr="00A62D98">
        <w:t xml:space="preserve">hapter </w:t>
      </w:r>
      <w:r>
        <w:t xml:space="preserve">focuses on </w:t>
      </w:r>
      <w:r w:rsidRPr="00A62D98">
        <w:t xml:space="preserve">aged care service providers, aged care workers, and </w:t>
      </w:r>
      <w:r>
        <w:t xml:space="preserve">the </w:t>
      </w:r>
      <w:r w:rsidRPr="00A62D98">
        <w:t>digital platforms that support aged care services. It sets out the registration process for providers, the approval process for residential care homes, and the conditions and obligations that registered providers must meet. It also outlines requirements for aged care workers, governance structures, and compliance responsibilities, ensuring service quality and accountability.</w:t>
      </w:r>
    </w:p>
    <w:p w14:paraId="03A31587" w14:textId="3774DF9C" w:rsidR="00005C08" w:rsidRPr="00A62D98" w:rsidRDefault="00005C08" w:rsidP="008E6691">
      <w:pPr>
        <w:keepNext/>
        <w:keepLines/>
        <w:spacing w:before="240" w:after="240" w:line="240" w:lineRule="auto"/>
        <w:rPr>
          <w:b/>
          <w:bCs/>
        </w:rPr>
      </w:pPr>
      <w:r w:rsidRPr="00A62D98">
        <w:rPr>
          <w:b/>
          <w:bCs/>
        </w:rPr>
        <w:t xml:space="preserve">Chapter 4 – Funding of </w:t>
      </w:r>
      <w:r w:rsidR="00691A68">
        <w:rPr>
          <w:b/>
          <w:bCs/>
        </w:rPr>
        <w:t>a</w:t>
      </w:r>
      <w:r w:rsidRPr="00A62D98">
        <w:rPr>
          <w:b/>
          <w:bCs/>
        </w:rPr>
        <w:t xml:space="preserve">ged </w:t>
      </w:r>
      <w:r w:rsidR="00691A68">
        <w:rPr>
          <w:b/>
          <w:bCs/>
        </w:rPr>
        <w:t>c</w:t>
      </w:r>
      <w:r w:rsidRPr="00A62D98">
        <w:rPr>
          <w:b/>
          <w:bCs/>
        </w:rPr>
        <w:t xml:space="preserve">are </w:t>
      </w:r>
      <w:r w:rsidR="00691A68">
        <w:rPr>
          <w:b/>
          <w:bCs/>
        </w:rPr>
        <w:t>s</w:t>
      </w:r>
      <w:r w:rsidRPr="00A62D98">
        <w:rPr>
          <w:b/>
          <w:bCs/>
        </w:rPr>
        <w:t>ervices</w:t>
      </w:r>
    </w:p>
    <w:p w14:paraId="227D98BD" w14:textId="45009C94" w:rsidR="00005C08" w:rsidRPr="00A62D98" w:rsidRDefault="00005C08" w:rsidP="008E6691">
      <w:pPr>
        <w:keepNext/>
        <w:keepLines/>
        <w:spacing w:before="240" w:after="240" w:line="240" w:lineRule="auto"/>
      </w:pPr>
      <w:r w:rsidRPr="00A62D98">
        <w:t xml:space="preserve">This </w:t>
      </w:r>
      <w:r>
        <w:t>Chapter</w:t>
      </w:r>
      <w:r w:rsidRPr="00A62D98">
        <w:t xml:space="preserve"> details how the Commonwealth funds aged care services, including</w:t>
      </w:r>
      <w:r>
        <w:t xml:space="preserve"> whether that funding is through</w:t>
      </w:r>
      <w:r w:rsidRPr="00A62D98">
        <w:t xml:space="preserve"> subsidies</w:t>
      </w:r>
      <w:r>
        <w:t xml:space="preserve"> or</w:t>
      </w:r>
      <w:r w:rsidRPr="00A62D98">
        <w:t xml:space="preserve"> grant</w:t>
      </w:r>
      <w:r>
        <w:t xml:space="preserve"> based. This Chapter also sets out the individual fees and contributions that are payable for funded aged care services</w:t>
      </w:r>
      <w:r w:rsidRPr="00A62D98">
        <w:t xml:space="preserve">. It explains the funding structures for home support, assistive </w:t>
      </w:r>
      <w:r w:rsidR="002C05F7" w:rsidRPr="00A62D98">
        <w:t>technology</w:t>
      </w:r>
      <w:r w:rsidR="002C05F7">
        <w:t>,</w:t>
      </w:r>
      <w:r w:rsidRPr="00A62D98">
        <w:t xml:space="preserve"> home </w:t>
      </w:r>
      <w:r w:rsidR="002C05F7" w:rsidRPr="00A62D98">
        <w:t>modifications,</w:t>
      </w:r>
      <w:r w:rsidR="00B42A3C">
        <w:t xml:space="preserve"> </w:t>
      </w:r>
      <w:r w:rsidRPr="00A62D98">
        <w:t xml:space="preserve">and residential care services. It also outlines means-testing rules, financial obligations of individuals </w:t>
      </w:r>
      <w:r>
        <w:t>accessing services</w:t>
      </w:r>
      <w:r w:rsidRPr="00A62D98">
        <w:t>, and mechanisms for subsidy payments to registered providers. This ensures a fair and sustainable funding model that aligns with individuals' financial circumstances.</w:t>
      </w:r>
    </w:p>
    <w:p w14:paraId="47594315" w14:textId="33C1014C" w:rsidR="00005C08" w:rsidRPr="00A62D98" w:rsidRDefault="00005C08" w:rsidP="008E6691">
      <w:pPr>
        <w:spacing w:before="240" w:after="240" w:line="240" w:lineRule="auto"/>
        <w:rPr>
          <w:b/>
          <w:bCs/>
        </w:rPr>
      </w:pPr>
      <w:r w:rsidRPr="00A62D98">
        <w:rPr>
          <w:b/>
          <w:bCs/>
        </w:rPr>
        <w:t xml:space="preserve">Chapter 5 – Governance of the </w:t>
      </w:r>
      <w:r w:rsidR="00691A68">
        <w:rPr>
          <w:b/>
          <w:bCs/>
        </w:rPr>
        <w:t>a</w:t>
      </w:r>
      <w:r w:rsidRPr="00A62D98">
        <w:rPr>
          <w:b/>
          <w:bCs/>
        </w:rPr>
        <w:t xml:space="preserve">ged </w:t>
      </w:r>
      <w:r w:rsidR="00691A68">
        <w:rPr>
          <w:b/>
          <w:bCs/>
        </w:rPr>
        <w:t>c</w:t>
      </w:r>
      <w:r w:rsidRPr="00A62D98">
        <w:rPr>
          <w:b/>
          <w:bCs/>
        </w:rPr>
        <w:t xml:space="preserve">are </w:t>
      </w:r>
      <w:r w:rsidR="00691A68">
        <w:rPr>
          <w:b/>
          <w:bCs/>
        </w:rPr>
        <w:t>s</w:t>
      </w:r>
      <w:r w:rsidRPr="00A62D98">
        <w:rPr>
          <w:b/>
          <w:bCs/>
        </w:rPr>
        <w:t>ystem</w:t>
      </w:r>
    </w:p>
    <w:p w14:paraId="466F4DDA" w14:textId="5115C221" w:rsidR="00005C08" w:rsidRPr="00A62D98" w:rsidRDefault="00005C08" w:rsidP="008E6691">
      <w:pPr>
        <w:spacing w:before="240" w:after="240" w:line="240" w:lineRule="auto"/>
        <w:ind w:right="-330"/>
      </w:pPr>
      <w:r w:rsidRPr="00A62D98">
        <w:t xml:space="preserve">This </w:t>
      </w:r>
      <w:r>
        <w:t>C</w:t>
      </w:r>
      <w:r w:rsidRPr="00A62D98">
        <w:t xml:space="preserve">hapter </w:t>
      </w:r>
      <w:r w:rsidRPr="00547C29">
        <w:t>establishes the underlying governance of the broader aged care system.</w:t>
      </w:r>
      <w:r w:rsidRPr="00A62D98">
        <w:t xml:space="preserve"> It </w:t>
      </w:r>
      <w:r>
        <w:t xml:space="preserve">establishes </w:t>
      </w:r>
      <w:r w:rsidRPr="00A62D98">
        <w:t xml:space="preserve">roles such as the System Governor, Aged Care Quality and Safety Commissioner, and Complaints Commissioner, detailing their responsibilities in ensuring compliance, investigating concerns, and enforcing </w:t>
      </w:r>
      <w:r w:rsidR="00E22CE3">
        <w:t>the Aged Care Q</w:t>
      </w:r>
      <w:r w:rsidRPr="00A62D98">
        <w:t xml:space="preserve">uality </w:t>
      </w:r>
      <w:r w:rsidR="00E22CE3">
        <w:t>S</w:t>
      </w:r>
      <w:r w:rsidRPr="00A62D98">
        <w:t>tandards. It also establishes the Aged Care Quality and Safety Advisory Council, wh</w:t>
      </w:r>
      <w:r>
        <w:t>o</w:t>
      </w:r>
      <w:r w:rsidRPr="00A62D98">
        <w:t xml:space="preserve"> provides expert advice to improve aged care services and regulatory approaches.</w:t>
      </w:r>
    </w:p>
    <w:p w14:paraId="370A7A24" w14:textId="40FFC214" w:rsidR="00005C08" w:rsidRPr="00A62D98" w:rsidRDefault="00005C08" w:rsidP="008E6691">
      <w:pPr>
        <w:spacing w:before="240" w:after="240" w:line="240" w:lineRule="auto"/>
        <w:rPr>
          <w:b/>
          <w:bCs/>
        </w:rPr>
      </w:pPr>
      <w:r w:rsidRPr="00A62D98">
        <w:rPr>
          <w:b/>
          <w:bCs/>
        </w:rPr>
        <w:t xml:space="preserve">Chapter 6 – Regulatory </w:t>
      </w:r>
      <w:r w:rsidR="00691A68">
        <w:rPr>
          <w:b/>
          <w:bCs/>
        </w:rPr>
        <w:t>m</w:t>
      </w:r>
      <w:r w:rsidRPr="00A62D98">
        <w:rPr>
          <w:b/>
          <w:bCs/>
        </w:rPr>
        <w:t>echanisms</w:t>
      </w:r>
    </w:p>
    <w:p w14:paraId="27FC77AB" w14:textId="52D57231" w:rsidR="00005C08" w:rsidRPr="00A62D98" w:rsidRDefault="00005C08" w:rsidP="008E6691">
      <w:pPr>
        <w:spacing w:before="240" w:after="240" w:line="240" w:lineRule="auto"/>
        <w:ind w:right="-330"/>
      </w:pPr>
      <w:r w:rsidRPr="00A62D98">
        <w:t xml:space="preserve">This </w:t>
      </w:r>
      <w:r>
        <w:t>C</w:t>
      </w:r>
      <w:r w:rsidRPr="00A62D98">
        <w:t xml:space="preserve">hapter outlines the enforcement measures in place to ensure aged care providers comply with legal and quality standards. It details the monitoring and investigation processes, including the use of compliance notices, banning orders, civil penalties, and enforceable undertakings. The </w:t>
      </w:r>
      <w:r>
        <w:t>C</w:t>
      </w:r>
      <w:r w:rsidRPr="00A62D98">
        <w:t>hapter also covers whistleblower protections and the legal mechanisms available to investigate and address regulatory breaches, ensuring transparency and accountability in the sector.</w:t>
      </w:r>
    </w:p>
    <w:p w14:paraId="1B87A4A1" w14:textId="613E96D1" w:rsidR="00005C08" w:rsidRPr="00A62D98" w:rsidRDefault="00005C08" w:rsidP="008E6691">
      <w:pPr>
        <w:spacing w:before="240" w:after="240" w:line="240" w:lineRule="auto"/>
        <w:rPr>
          <w:b/>
          <w:bCs/>
        </w:rPr>
      </w:pPr>
      <w:r w:rsidRPr="00A62D98">
        <w:rPr>
          <w:b/>
          <w:bCs/>
        </w:rPr>
        <w:t xml:space="preserve">Chapter 7 – Information </w:t>
      </w:r>
      <w:r w:rsidR="00691A68">
        <w:rPr>
          <w:b/>
          <w:bCs/>
        </w:rPr>
        <w:t>m</w:t>
      </w:r>
      <w:r w:rsidRPr="00A62D98">
        <w:rPr>
          <w:b/>
          <w:bCs/>
        </w:rPr>
        <w:t>anagement</w:t>
      </w:r>
    </w:p>
    <w:p w14:paraId="3DC36F3C" w14:textId="77777777" w:rsidR="00005C08" w:rsidRDefault="00005C08" w:rsidP="008E6691">
      <w:pPr>
        <w:spacing w:before="240" w:after="240" w:line="240" w:lineRule="auto"/>
      </w:pPr>
      <w:r w:rsidRPr="00A62D98">
        <w:t xml:space="preserve">This </w:t>
      </w:r>
      <w:r>
        <w:t>C</w:t>
      </w:r>
      <w:r w:rsidRPr="00A62D98">
        <w:t xml:space="preserve">hapter establishes the rules for handling aged care data, privacy, and information sharing. It sets out record-keeping requirements for providers and government agencies and outlines protections against the misuse of sensitive personal information. The </w:t>
      </w:r>
      <w:r>
        <w:t>C</w:t>
      </w:r>
      <w:r w:rsidRPr="00A62D98">
        <w:t>hapter also introduces whistleblower protections and mechanisms for publishing key information about aged care providers and services, ensuring transparency and public trust in the system.</w:t>
      </w:r>
    </w:p>
    <w:p w14:paraId="6D88BCA2" w14:textId="35A39663" w:rsidR="00BC7221" w:rsidRPr="00A62D98" w:rsidRDefault="00BC7221" w:rsidP="00BC7221">
      <w:r>
        <w:br w:type="page"/>
      </w:r>
    </w:p>
    <w:p w14:paraId="0D8F13DC" w14:textId="77777777" w:rsidR="00005C08" w:rsidRPr="00A62D98" w:rsidRDefault="00005C08" w:rsidP="008E6691">
      <w:pPr>
        <w:spacing w:before="240" w:after="240" w:line="240" w:lineRule="auto"/>
        <w:rPr>
          <w:b/>
          <w:bCs/>
        </w:rPr>
      </w:pPr>
      <w:r w:rsidRPr="00A62D98">
        <w:rPr>
          <w:b/>
          <w:bCs/>
        </w:rPr>
        <w:t>Chapter 8 – Miscellaneous</w:t>
      </w:r>
    </w:p>
    <w:p w14:paraId="44F9A834" w14:textId="747AC20F" w:rsidR="00005C08" w:rsidRPr="00A62D98" w:rsidRDefault="00005C08" w:rsidP="008E6691">
      <w:pPr>
        <w:spacing w:before="240" w:after="240" w:line="240" w:lineRule="auto"/>
      </w:pPr>
      <w:r w:rsidRPr="00A62D98">
        <w:t xml:space="preserve">The final </w:t>
      </w:r>
      <w:r>
        <w:t>C</w:t>
      </w:r>
      <w:r w:rsidRPr="00A62D98">
        <w:t xml:space="preserve">hapter covers additional provisions, including the </w:t>
      </w:r>
      <w:r>
        <w:t>reconsideration (</w:t>
      </w:r>
      <w:r w:rsidRPr="00A62D98">
        <w:t>review</w:t>
      </w:r>
      <w:r>
        <w:t>)</w:t>
      </w:r>
      <w:r w:rsidRPr="00A62D98">
        <w:t xml:space="preserve"> and appeal processes available to individuals and providers regarding decisions made under the </w:t>
      </w:r>
      <w:r w:rsidR="006A7E4B" w:rsidRPr="000A229A">
        <w:rPr>
          <w:i/>
        </w:rPr>
        <w:t xml:space="preserve">Aged Care </w:t>
      </w:r>
      <w:r w:rsidRPr="000A229A">
        <w:rPr>
          <w:i/>
        </w:rPr>
        <w:t>Act</w:t>
      </w:r>
      <w:r w:rsidR="006A7E4B" w:rsidRPr="000A229A">
        <w:rPr>
          <w:i/>
        </w:rPr>
        <w:t xml:space="preserve"> 2024 (the Act</w:t>
      </w:r>
      <w:r w:rsidR="006A7E4B">
        <w:t>)</w:t>
      </w:r>
      <w:r w:rsidRPr="00A62D98">
        <w:t xml:space="preserve">. It details delegation powers, administrative automation, financial provisions, and the Minister's authority to make rules under the Act. This </w:t>
      </w:r>
      <w:r>
        <w:t>C</w:t>
      </w:r>
      <w:r w:rsidRPr="00A62D98">
        <w:t>hapter also mandates periodic reviews of the legislation to ensure it remains effective and responsive to the evolving needs of the aged care sector.</w:t>
      </w:r>
    </w:p>
    <w:p w14:paraId="38B69F18" w14:textId="5D3F1C5E" w:rsidR="00005C08" w:rsidRDefault="00005C08" w:rsidP="008E6691">
      <w:pPr>
        <w:spacing w:before="240" w:after="240" w:line="240" w:lineRule="auto"/>
        <w:rPr>
          <w:b/>
          <w:bCs/>
        </w:rPr>
      </w:pPr>
      <w:r>
        <w:rPr>
          <w:b/>
          <w:bCs/>
        </w:rPr>
        <w:t xml:space="preserve">Subordinate </w:t>
      </w:r>
      <w:r w:rsidR="00691A68">
        <w:rPr>
          <w:b/>
          <w:bCs/>
        </w:rPr>
        <w:t>l</w:t>
      </w:r>
      <w:r>
        <w:rPr>
          <w:b/>
          <w:bCs/>
        </w:rPr>
        <w:t xml:space="preserve">egislation </w:t>
      </w:r>
    </w:p>
    <w:p w14:paraId="51022B24" w14:textId="53E33993" w:rsidR="00005C08" w:rsidRPr="003A0317" w:rsidRDefault="00005C08" w:rsidP="008E6691">
      <w:pPr>
        <w:spacing w:before="240" w:after="240" w:line="240" w:lineRule="auto"/>
        <w:rPr>
          <w:i/>
        </w:rPr>
      </w:pPr>
      <w:r>
        <w:t xml:space="preserve">The </w:t>
      </w:r>
      <w:r w:rsidRPr="003425D7">
        <w:t>Act</w:t>
      </w:r>
      <w:r>
        <w:rPr>
          <w:i/>
          <w:iCs/>
        </w:rPr>
        <w:t xml:space="preserve"> </w:t>
      </w:r>
      <w:r>
        <w:t xml:space="preserve">is supported by subordinate legislation the </w:t>
      </w:r>
      <w:r w:rsidR="00DA0E33" w:rsidRPr="00A80B3E">
        <w:rPr>
          <w:i/>
          <w:iCs/>
        </w:rPr>
        <w:t xml:space="preserve">Aged Care </w:t>
      </w:r>
      <w:r w:rsidRPr="00A80B3E">
        <w:rPr>
          <w:i/>
          <w:iCs/>
        </w:rPr>
        <w:t>Rules</w:t>
      </w:r>
      <w:r w:rsidR="00DA0E33" w:rsidRPr="00A80B3E">
        <w:rPr>
          <w:i/>
          <w:iCs/>
        </w:rPr>
        <w:t xml:space="preserve"> 2025</w:t>
      </w:r>
      <w:r w:rsidR="00A0511E">
        <w:rPr>
          <w:i/>
          <w:iCs/>
        </w:rPr>
        <w:t xml:space="preserve"> (the Rules)</w:t>
      </w:r>
      <w:r>
        <w:t xml:space="preserve">. The Rules </w:t>
      </w:r>
      <w:r w:rsidR="00C86A53">
        <w:t>s</w:t>
      </w:r>
      <w:r>
        <w:t xml:space="preserve">it underneath the Act and provide further detail and instruction on how the Act operates. There are two distinct bodies of Rules which will support the Act. Transitional Rules which deal with </w:t>
      </w:r>
      <w:r w:rsidR="00C86A53">
        <w:t xml:space="preserve">transitional </w:t>
      </w:r>
      <w:r>
        <w:t xml:space="preserve">matters not </w:t>
      </w:r>
      <w:r w:rsidR="00C86A53">
        <w:t xml:space="preserve">already </w:t>
      </w:r>
      <w:r>
        <w:t xml:space="preserve">addressed by the </w:t>
      </w:r>
      <w:r>
        <w:rPr>
          <w:i/>
          <w:iCs/>
        </w:rPr>
        <w:t xml:space="preserve">Aged Care (Consequential Amendments and Transitional Provision) Act 2024 </w:t>
      </w:r>
      <w:r>
        <w:t xml:space="preserve">and the </w:t>
      </w:r>
      <w:r>
        <w:rPr>
          <w:i/>
          <w:iCs/>
        </w:rPr>
        <w:t xml:space="preserve">Aged Care Rules 2025. </w:t>
      </w:r>
    </w:p>
    <w:tbl>
      <w:tblPr>
        <w:tblStyle w:val="TableGrid"/>
        <w:tblW w:w="0" w:type="auto"/>
        <w:tblLook w:val="04A0" w:firstRow="1" w:lastRow="0" w:firstColumn="1" w:lastColumn="0" w:noHBand="0" w:noVBand="1"/>
      </w:tblPr>
      <w:tblGrid>
        <w:gridCol w:w="988"/>
        <w:gridCol w:w="8028"/>
      </w:tblGrid>
      <w:tr w:rsidR="00005C08" w14:paraId="337D7336" w14:textId="77777777" w:rsidTr="000416E5">
        <w:trPr>
          <w:trHeight w:val="300"/>
        </w:trPr>
        <w:tc>
          <w:tcPr>
            <w:tcW w:w="988" w:type="dxa"/>
            <w:vAlign w:val="center"/>
          </w:tcPr>
          <w:p w14:paraId="5B3DF299" w14:textId="77777777" w:rsidR="00005C08" w:rsidRPr="00965D82" w:rsidRDefault="00005C08" w:rsidP="008E6691">
            <w:pPr>
              <w:spacing w:before="240" w:after="240"/>
            </w:pPr>
            <w:r>
              <w:rPr>
                <w:noProof/>
              </w:rPr>
              <w:drawing>
                <wp:inline distT="0" distB="0" distL="0" distR="0" wp14:anchorId="1F9DC4C0" wp14:editId="0291BE8A">
                  <wp:extent cx="447675" cy="438150"/>
                  <wp:effectExtent l="0" t="0" r="0" b="0"/>
                  <wp:docPr id="575934271" name="Picture 5759342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34271"/>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7290AE59" w14:textId="473846D6" w:rsidR="00005C08" w:rsidRPr="00965D82" w:rsidRDefault="00965D82" w:rsidP="008E6691">
            <w:pPr>
              <w:spacing w:before="240" w:after="240"/>
            </w:pPr>
            <w:hyperlink r:id="rId43" w:history="1">
              <w:r w:rsidRPr="00965D82">
                <w:rPr>
                  <w:rStyle w:val="Hyperlink"/>
                </w:rPr>
                <w:t>About the new rights-based Aged Care Act | Australian Government Department of Health, Disability and Ageing</w:t>
              </w:r>
            </w:hyperlink>
          </w:p>
        </w:tc>
      </w:tr>
    </w:tbl>
    <w:p w14:paraId="6EB9A13A" w14:textId="77777777" w:rsidR="00005C08" w:rsidRPr="003F53E0" w:rsidRDefault="00005C08" w:rsidP="00507F9D">
      <w:pPr>
        <w:pStyle w:val="h2"/>
      </w:pPr>
      <w:bookmarkStart w:id="34" w:name="_Toc207291862"/>
      <w:bookmarkStart w:id="35" w:name="_Toc209188935"/>
      <w:bookmarkStart w:id="36" w:name="_Toc224916603"/>
      <w:r w:rsidRPr="00E541E5">
        <w:t>Statement of Rights and Principles</w:t>
      </w:r>
      <w:bookmarkEnd w:id="32"/>
      <w:bookmarkEnd w:id="34"/>
      <w:bookmarkEnd w:id="35"/>
      <w:bookmarkEnd w:id="36"/>
    </w:p>
    <w:bookmarkEnd w:id="33"/>
    <w:p w14:paraId="626B1A44" w14:textId="77777777" w:rsidR="00005C08" w:rsidRPr="00880B95" w:rsidRDefault="00005C08" w:rsidP="008E6691">
      <w:pPr>
        <w:spacing w:before="240" w:after="240" w:line="240" w:lineRule="auto"/>
      </w:pPr>
      <w:r w:rsidRPr="00880B95">
        <w:t xml:space="preserve">The Statement of Rights and the Statement of Principles support a person-centred aged care system, ensuring older people receive equitable, safe and quality care. </w:t>
      </w:r>
    </w:p>
    <w:p w14:paraId="41DB87A2" w14:textId="0E002BD5" w:rsidR="00005C08" w:rsidRDefault="00005C08" w:rsidP="008E6691">
      <w:pPr>
        <w:spacing w:before="240" w:after="240" w:line="240" w:lineRule="auto"/>
      </w:pPr>
      <w:r w:rsidRPr="00880B95">
        <w:t>The Statement of Rights and the Statement of Principles are a reference point for the standard of conduct, duties and obligations for when assessment staff, registered providers</w:t>
      </w:r>
      <w:r>
        <w:t xml:space="preserve"> and</w:t>
      </w:r>
      <w:r w:rsidRPr="00880B95">
        <w:t xml:space="preserve"> </w:t>
      </w:r>
      <w:r w:rsidR="00C86A53">
        <w:t xml:space="preserve">aged </w:t>
      </w:r>
      <w:r w:rsidRPr="00880B95">
        <w:t xml:space="preserve">care workers deliver funded aged care services.  </w:t>
      </w:r>
    </w:p>
    <w:p w14:paraId="1DEF1F08" w14:textId="77777777" w:rsidR="00005C08" w:rsidRDefault="00005C08" w:rsidP="008E6691">
      <w:pPr>
        <w:spacing w:before="240" w:after="240" w:line="240" w:lineRule="auto"/>
        <w:ind w:left="-426"/>
      </w:pPr>
      <w:r>
        <w:rPr>
          <w:noProof/>
        </w:rPr>
        <w:drawing>
          <wp:inline distT="0" distB="0" distL="0" distR="0" wp14:anchorId="2C475DDF" wp14:editId="2F4C820A">
            <wp:extent cx="6290442" cy="3234188"/>
            <wp:effectExtent l="0" t="0" r="0" b="4445"/>
            <wp:docPr id="811782810" name="Picture 81178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21448" cy="3250130"/>
                    </a:xfrm>
                    <a:prstGeom prst="rect">
                      <a:avLst/>
                    </a:prstGeom>
                  </pic:spPr>
                </pic:pic>
              </a:graphicData>
            </a:graphic>
          </wp:inline>
        </w:drawing>
      </w:r>
    </w:p>
    <w:p w14:paraId="36989DAF" w14:textId="66CEC439" w:rsidR="007C5C5F" w:rsidRPr="00DE6378" w:rsidRDefault="007C5C5F" w:rsidP="00441859">
      <w:pPr>
        <w:pStyle w:val="Caption"/>
        <w:rPr>
          <w:b w:val="0"/>
          <w:bCs/>
          <w:i/>
          <w:iCs w:val="0"/>
        </w:rPr>
      </w:pPr>
      <w:bookmarkStart w:id="37" w:name="_The_Statement_of"/>
      <w:bookmarkStart w:id="38" w:name="_Toc188019043"/>
      <w:bookmarkStart w:id="39" w:name="_Toc191295019"/>
      <w:bookmarkStart w:id="40" w:name="_Toc207291863"/>
      <w:bookmarkEnd w:id="37"/>
      <w:r w:rsidRPr="00DE6378">
        <w:rPr>
          <w:b w:val="0"/>
          <w:bCs/>
          <w:i/>
          <w:iCs w:val="0"/>
        </w:rPr>
        <w:t xml:space="preserve">Figure </w:t>
      </w:r>
      <w:r w:rsidR="00BC7221">
        <w:rPr>
          <w:b w:val="0"/>
          <w:bCs/>
          <w:i/>
          <w:iCs w:val="0"/>
        </w:rPr>
        <w:t>1</w:t>
      </w:r>
      <w:r w:rsidRPr="00DE6378">
        <w:rPr>
          <w:b w:val="0"/>
          <w:bCs/>
          <w:i/>
          <w:iCs w:val="0"/>
        </w:rPr>
        <w:t xml:space="preserve"> – Aged Care Act 2024 (Cth) Statement of Rights and Principles </w:t>
      </w:r>
    </w:p>
    <w:p w14:paraId="79862CD3" w14:textId="77777777" w:rsidR="00005C08" w:rsidRPr="009805AC" w:rsidRDefault="00005C08" w:rsidP="00C56CEC">
      <w:pPr>
        <w:pStyle w:val="H3"/>
      </w:pPr>
      <w:r w:rsidRPr="00841605">
        <w:t>The Statement of Rights</w:t>
      </w:r>
      <w:bookmarkEnd w:id="38"/>
      <w:bookmarkEnd w:id="39"/>
      <w:bookmarkEnd w:id="40"/>
    </w:p>
    <w:p w14:paraId="2B72A053" w14:textId="1B3D17AA" w:rsidR="00005C08" w:rsidRPr="00880B95" w:rsidRDefault="00005C08" w:rsidP="008E6691">
      <w:pPr>
        <w:spacing w:before="240" w:after="240" w:line="240" w:lineRule="auto"/>
      </w:pPr>
      <w:r w:rsidRPr="00880B95">
        <w:t xml:space="preserve">The Statement of Rights (section 23 of </w:t>
      </w:r>
      <w:r>
        <w:t xml:space="preserve">the </w:t>
      </w:r>
      <w:r w:rsidR="00572BD0" w:rsidRPr="000A229A">
        <w:rPr>
          <w:i/>
        </w:rPr>
        <w:t xml:space="preserve">Aged Care </w:t>
      </w:r>
      <w:r w:rsidRPr="000A229A">
        <w:rPr>
          <w:i/>
        </w:rPr>
        <w:t>Act</w:t>
      </w:r>
      <w:r w:rsidR="00572BD0" w:rsidRPr="000A229A">
        <w:rPr>
          <w:i/>
        </w:rPr>
        <w:t xml:space="preserve"> 2024</w:t>
      </w:r>
      <w:r w:rsidR="00572BD0">
        <w:rPr>
          <w:i/>
          <w:iCs/>
        </w:rPr>
        <w:t xml:space="preserve"> (the Act)</w:t>
      </w:r>
      <w:r w:rsidRPr="00880B95">
        <w:t xml:space="preserve">) is a fundamental part of the person-centred Act and promotes the older person’s right to </w:t>
      </w:r>
      <w:r w:rsidR="00326F49">
        <w:t>receive safe, high-quality care in the Commonwealth</w:t>
      </w:r>
      <w:r w:rsidRPr="00880B95">
        <w:t xml:space="preserve"> aged care system. </w:t>
      </w:r>
    </w:p>
    <w:p w14:paraId="677D6BCA" w14:textId="7FD8BAE4" w:rsidR="00005C08" w:rsidRPr="00880B95" w:rsidRDefault="00005C08" w:rsidP="008E6691">
      <w:pPr>
        <w:spacing w:before="240" w:after="240" w:line="240" w:lineRule="auto"/>
      </w:pPr>
      <w:r w:rsidRPr="71278FCD">
        <w:t xml:space="preserve">All assessment staff </w:t>
      </w:r>
      <w:r w:rsidR="004C7F78">
        <w:t xml:space="preserve">should perform their functions and duties in a way that is </w:t>
      </w:r>
      <w:r w:rsidRPr="00880B95">
        <w:t xml:space="preserve">compatible with the rights. Of importance, assessment organisations and their assessment staff </w:t>
      </w:r>
      <w:r w:rsidR="004C7F78">
        <w:t>should</w:t>
      </w:r>
      <w:r w:rsidRPr="00880B95">
        <w:t xml:space="preserve"> ensure that an individual’s need for funded aged care services </w:t>
      </w:r>
      <w:r w:rsidR="004C7F78">
        <w:t>is</w:t>
      </w:r>
      <w:r w:rsidRPr="00880B95">
        <w:t xml:space="preserve"> assessed, or reassessed, in a way that is:</w:t>
      </w:r>
    </w:p>
    <w:p w14:paraId="519D03D7" w14:textId="77777777" w:rsidR="00005C08" w:rsidRPr="00880B95" w:rsidRDefault="00005C08" w:rsidP="008E6691">
      <w:pPr>
        <w:pStyle w:val="ListParagraph"/>
        <w:numPr>
          <w:ilvl w:val="0"/>
          <w:numId w:val="2"/>
        </w:numPr>
        <w:spacing w:before="240" w:after="240" w:line="240" w:lineRule="auto"/>
      </w:pPr>
      <w:r w:rsidRPr="00880B95">
        <w:t>culturally safe, culturally appropriate, trauma-aware and healing-informed, and</w:t>
      </w:r>
    </w:p>
    <w:p w14:paraId="0FA938AF" w14:textId="77777777" w:rsidR="00005C08" w:rsidRPr="00880B95" w:rsidRDefault="00005C08" w:rsidP="008E6691">
      <w:pPr>
        <w:pStyle w:val="ListParagraph"/>
        <w:numPr>
          <w:ilvl w:val="0"/>
          <w:numId w:val="2"/>
        </w:numPr>
        <w:spacing w:before="240" w:after="240" w:line="240" w:lineRule="auto"/>
      </w:pPr>
      <w:r w:rsidRPr="00880B95">
        <w:t>accessible and suitable for individuals living with dementia or other cognitive impairment.</w:t>
      </w:r>
    </w:p>
    <w:p w14:paraId="69F0426D" w14:textId="77777777" w:rsidR="00005C08" w:rsidRPr="00841605" w:rsidRDefault="00005C08" w:rsidP="00C56CEC">
      <w:pPr>
        <w:pStyle w:val="H3"/>
      </w:pPr>
      <w:bookmarkStart w:id="41" w:name="_The_Statement_of_1"/>
      <w:bookmarkStart w:id="42" w:name="_Toc188019044"/>
      <w:bookmarkStart w:id="43" w:name="_Toc191295020"/>
      <w:bookmarkStart w:id="44" w:name="_Toc207291864"/>
      <w:bookmarkEnd w:id="41"/>
      <w:r w:rsidRPr="00841605">
        <w:t>The Statement of Principles</w:t>
      </w:r>
      <w:bookmarkEnd w:id="42"/>
      <w:bookmarkEnd w:id="43"/>
      <w:bookmarkEnd w:id="44"/>
    </w:p>
    <w:p w14:paraId="413139EC" w14:textId="77777777" w:rsidR="00005C08" w:rsidRPr="00880B95" w:rsidRDefault="00005C08" w:rsidP="008E6691">
      <w:pPr>
        <w:spacing w:before="240" w:after="240" w:line="240" w:lineRule="auto"/>
      </w:pPr>
      <w:r w:rsidRPr="00880B95">
        <w:t xml:space="preserve">The Statement of Principles (section 25 of </w:t>
      </w:r>
      <w:r w:rsidRPr="00186BE9">
        <w:t>the Act)</w:t>
      </w:r>
      <w:r w:rsidRPr="00880B95">
        <w:t xml:space="preserve"> provide guidance on how the aged care system should operate. It should be used to guide the decisions, actions and behaviours of everyone operating in the aged care system, including assessors, providers, aged care workers, </w:t>
      </w:r>
      <w:r>
        <w:t xml:space="preserve">registered </w:t>
      </w:r>
      <w:r w:rsidRPr="00880B95">
        <w:t>supporters and government agencies.</w:t>
      </w:r>
    </w:p>
    <w:p w14:paraId="1887E2E9" w14:textId="77777777" w:rsidR="00005C08" w:rsidRPr="00880B95" w:rsidRDefault="00005C08" w:rsidP="008E6691">
      <w:pPr>
        <w:spacing w:before="240" w:after="240" w:line="240" w:lineRule="auto"/>
      </w:pPr>
      <w:r w:rsidRPr="00880B95">
        <w:t>The Statement of Principles also aims to guide government agencies and bodies to ensure that the whole aged care system is directed towards the safety, health, wellbeing, and quality of life of individuals accessing funded aged care services.</w:t>
      </w:r>
    </w:p>
    <w:p w14:paraId="3018C5C2" w14:textId="7479DCDE" w:rsidR="00005C08" w:rsidRPr="003F53E0" w:rsidRDefault="00005C08" w:rsidP="00507F9D">
      <w:pPr>
        <w:pStyle w:val="h2"/>
      </w:pPr>
      <w:bookmarkStart w:id="45" w:name="_Dignity_of_Risk"/>
      <w:bookmarkStart w:id="46" w:name="_Toc198813636"/>
      <w:bookmarkStart w:id="47" w:name="_Toc207291865"/>
      <w:bookmarkStart w:id="48" w:name="_Toc209188936"/>
      <w:bookmarkStart w:id="49" w:name="_Toc224916604"/>
      <w:bookmarkStart w:id="50" w:name="CH1_DignityofRisk"/>
      <w:bookmarkEnd w:id="45"/>
      <w:r w:rsidRPr="00E541E5">
        <w:t xml:space="preserve">Dignity of </w:t>
      </w:r>
      <w:r w:rsidR="00C672E4" w:rsidRPr="00945E6D">
        <w:t>r</w:t>
      </w:r>
      <w:r w:rsidRPr="00945E6D">
        <w:t>isk</w:t>
      </w:r>
      <w:bookmarkEnd w:id="46"/>
      <w:bookmarkEnd w:id="47"/>
      <w:bookmarkEnd w:id="48"/>
      <w:bookmarkEnd w:id="49"/>
    </w:p>
    <w:bookmarkEnd w:id="50"/>
    <w:p w14:paraId="41677766" w14:textId="334EFD2D" w:rsidR="00005C08" w:rsidRPr="00880B95" w:rsidRDefault="00005C08" w:rsidP="008E6691">
      <w:pPr>
        <w:spacing w:before="240" w:after="240" w:line="240" w:lineRule="auto"/>
      </w:pPr>
      <w:r w:rsidRPr="00880B95">
        <w:t xml:space="preserve">During an aged care needs assessment, assessors should work with older people to balance their </w:t>
      </w:r>
      <w:r w:rsidR="00C068CB">
        <w:t xml:space="preserve">responsibility </w:t>
      </w:r>
      <w:r w:rsidR="00E60E93">
        <w:t>for</w:t>
      </w:r>
      <w:r w:rsidRPr="00880B95">
        <w:t xml:space="preserve"> an individual’s right to make choices, even if their choices include some risk to themselves. This right is known as ‘dignity of </w:t>
      </w:r>
      <w:r w:rsidRPr="24536549">
        <w:t>risk</w:t>
      </w:r>
      <w:r>
        <w:t>’</w:t>
      </w:r>
      <w:r w:rsidRPr="24536549">
        <w:t xml:space="preserve"> which</w:t>
      </w:r>
      <w:r w:rsidRPr="00880B95">
        <w:t xml:space="preserve"> involves: </w:t>
      </w:r>
    </w:p>
    <w:p w14:paraId="4877BBE1" w14:textId="60B18C24" w:rsidR="00261271" w:rsidRPr="00880B95" w:rsidRDefault="00261271" w:rsidP="008E6691">
      <w:pPr>
        <w:pStyle w:val="ListParagraph"/>
        <w:numPr>
          <w:ilvl w:val="0"/>
          <w:numId w:val="1"/>
        </w:numPr>
        <w:spacing w:before="240" w:after="240" w:line="240" w:lineRule="auto"/>
      </w:pPr>
      <w:r w:rsidRPr="00880B95">
        <w:t xml:space="preserve">Assessors </w:t>
      </w:r>
      <w:r>
        <w:t>considering the older person</w:t>
      </w:r>
      <w:r w:rsidR="00287E6A">
        <w:t>’</w:t>
      </w:r>
      <w:r>
        <w:t xml:space="preserve">s rights mentioned in the </w:t>
      </w:r>
      <w:r w:rsidRPr="00880B95">
        <w:t>Statement of Rights</w:t>
      </w:r>
      <w:r>
        <w:t xml:space="preserve"> when undertaking an assessment.</w:t>
      </w:r>
    </w:p>
    <w:p w14:paraId="244F111C" w14:textId="2EF90122" w:rsidR="00005C08" w:rsidRPr="00880B95" w:rsidRDefault="00005C08" w:rsidP="008E6691">
      <w:pPr>
        <w:pStyle w:val="ListParagraph"/>
        <w:numPr>
          <w:ilvl w:val="0"/>
          <w:numId w:val="1"/>
        </w:numPr>
        <w:spacing w:before="240" w:after="240" w:line="240" w:lineRule="auto"/>
      </w:pPr>
      <w:r w:rsidRPr="00880B95">
        <w:t>Ensuring older people during an assessment can</w:t>
      </w:r>
      <w:r w:rsidR="004565F0">
        <w:t>, where possible,</w:t>
      </w:r>
      <w:r w:rsidRPr="00880B95">
        <w:t xml:space="preserve"> make informed decisions for themselves, including in the setting of goals, including if those decisions involve risk</w:t>
      </w:r>
    </w:p>
    <w:p w14:paraId="0850362B" w14:textId="0B1C52AA" w:rsidR="00005C08" w:rsidRPr="00880B95" w:rsidRDefault="00005C08" w:rsidP="008E6691">
      <w:pPr>
        <w:pStyle w:val="ListParagraph"/>
        <w:numPr>
          <w:ilvl w:val="0"/>
          <w:numId w:val="1"/>
        </w:numPr>
        <w:spacing w:before="240" w:after="240" w:line="240" w:lineRule="auto"/>
      </w:pPr>
      <w:r>
        <w:t xml:space="preserve">The new role of a registered </w:t>
      </w:r>
      <w:r w:rsidRPr="71278FCD">
        <w:t>supporter</w:t>
      </w:r>
      <w:r w:rsidRPr="00880B95">
        <w:t xml:space="preserve"> under </w:t>
      </w:r>
      <w:r>
        <w:t xml:space="preserve">the </w:t>
      </w:r>
      <w:r w:rsidR="00977350" w:rsidRPr="00A162E7">
        <w:rPr>
          <w:i/>
        </w:rPr>
        <w:t xml:space="preserve">Aged Care </w:t>
      </w:r>
      <w:r w:rsidRPr="00A162E7">
        <w:rPr>
          <w:i/>
        </w:rPr>
        <w:t>Act</w:t>
      </w:r>
      <w:r w:rsidR="00977350" w:rsidRPr="00A162E7">
        <w:rPr>
          <w:i/>
        </w:rPr>
        <w:t xml:space="preserve"> 2024</w:t>
      </w:r>
      <w:r w:rsidR="00977350">
        <w:rPr>
          <w:i/>
          <w:iCs/>
        </w:rPr>
        <w:t xml:space="preserve"> (the Act)</w:t>
      </w:r>
      <w:r w:rsidRPr="00186BE9">
        <w:rPr>
          <w:iCs/>
        </w:rPr>
        <w:t>,</w:t>
      </w:r>
      <w:r>
        <w:t xml:space="preserve"> who can</w:t>
      </w:r>
      <w:r w:rsidRPr="00880B95">
        <w:t xml:space="preserve"> support a</w:t>
      </w:r>
      <w:r>
        <w:t xml:space="preserve">n older person to make and communicate their own </w:t>
      </w:r>
      <w:r w:rsidRPr="00880B95">
        <w:t>decision</w:t>
      </w:r>
      <w:r>
        <w:t>s</w:t>
      </w:r>
      <w:r w:rsidRPr="00880B95">
        <w:t xml:space="preserve"> regarding their care and preferences</w:t>
      </w:r>
      <w:r>
        <w:t>.</w:t>
      </w:r>
    </w:p>
    <w:p w14:paraId="7949FF0D" w14:textId="77777777" w:rsidR="00830717" w:rsidRPr="00861722" w:rsidRDefault="00830717" w:rsidP="00507F9D">
      <w:pPr>
        <w:pStyle w:val="h2"/>
      </w:pPr>
      <w:bookmarkStart w:id="51" w:name="_Eligibility_to_access"/>
      <w:bookmarkStart w:id="52" w:name="_Toc209188937"/>
      <w:bookmarkStart w:id="53" w:name="_Ref212733469"/>
      <w:bookmarkStart w:id="54" w:name="_Toc224916605"/>
      <w:bookmarkStart w:id="55" w:name="_Toc198813640"/>
      <w:bookmarkStart w:id="56" w:name="CH1_ServiceListandStrcuture"/>
      <w:bookmarkEnd w:id="51"/>
      <w:r w:rsidRPr="00861722">
        <w:t>Eligibility requirements to access government funded aged care services</w:t>
      </w:r>
      <w:bookmarkEnd w:id="52"/>
      <w:bookmarkEnd w:id="53"/>
      <w:bookmarkEnd w:id="54"/>
      <w:r w:rsidRPr="00861722">
        <w:t xml:space="preserve"> </w:t>
      </w:r>
    </w:p>
    <w:p w14:paraId="5B671989" w14:textId="77777777" w:rsidR="00AA7538" w:rsidRPr="00861722" w:rsidRDefault="00AA7538" w:rsidP="008E6691">
      <w:pPr>
        <w:spacing w:before="240" w:after="240" w:line="240" w:lineRule="auto"/>
        <w:rPr>
          <w:lang w:val="en-US"/>
        </w:rPr>
      </w:pPr>
      <w:r w:rsidRPr="00861722">
        <w:rPr>
          <w:lang w:val="en-US"/>
        </w:rPr>
        <w:t>From 1 November 2025, all government funded aged care services can only be provided once an older person has been found eligible to undergo an aged care needs assessment by the System Governor (a Triage Delegate) and it has been decided that the individual requires access to</w:t>
      </w:r>
      <w:r w:rsidRPr="00861722" w:rsidDel="00AB1F08">
        <w:rPr>
          <w:lang w:val="en-US"/>
        </w:rPr>
        <w:t xml:space="preserve"> </w:t>
      </w:r>
      <w:r w:rsidRPr="00861722">
        <w:rPr>
          <w:lang w:val="en-US"/>
        </w:rPr>
        <w:t xml:space="preserve">aged care services by the System Governor (an Assessment Delegate) following an aged care needs assessment. </w:t>
      </w:r>
    </w:p>
    <w:p w14:paraId="750639D7" w14:textId="7186DD7A" w:rsidR="00AA7538" w:rsidRPr="00861722" w:rsidRDefault="00AA7538" w:rsidP="008E6691">
      <w:pPr>
        <w:spacing w:before="240" w:after="240" w:line="240" w:lineRule="auto"/>
        <w:rPr>
          <w:lang w:val="en-US"/>
        </w:rPr>
      </w:pPr>
      <w:r w:rsidRPr="00861722">
        <w:rPr>
          <w:lang w:val="en-US"/>
        </w:rPr>
        <w:t xml:space="preserve">This means that all services </w:t>
      </w:r>
      <w:r w:rsidR="00C84EB1">
        <w:rPr>
          <w:lang w:val="en-US"/>
        </w:rPr>
        <w:t>are</w:t>
      </w:r>
      <w:r w:rsidRPr="00861722">
        <w:rPr>
          <w:lang w:val="en-US"/>
        </w:rPr>
        <w:t xml:space="preserve"> Act</w:t>
      </w:r>
      <w:r w:rsidR="00D93727">
        <w:rPr>
          <w:lang w:val="en-US"/>
        </w:rPr>
        <w:t>-</w:t>
      </w:r>
      <w:r w:rsidRPr="00861722">
        <w:rPr>
          <w:lang w:val="en-US"/>
        </w:rPr>
        <w:t xml:space="preserve">based services </w:t>
      </w:r>
      <w:r w:rsidR="00977350">
        <w:rPr>
          <w:lang w:val="en-US"/>
        </w:rPr>
        <w:t xml:space="preserve">under the Act </w:t>
      </w:r>
      <w:r w:rsidRPr="00861722" w:rsidDel="00977350">
        <w:rPr>
          <w:lang w:val="en-US"/>
        </w:rPr>
        <w:t>from</w:t>
      </w:r>
      <w:r w:rsidRPr="00861722">
        <w:rPr>
          <w:lang w:val="en-US"/>
        </w:rPr>
        <w:t xml:space="preserve"> 1 November 2025, including services that an older person accesses through a specialist aged care program (e.g. Commonwealth Home Support Program, Multi-purpose Service Program, National Aboriginal and Torres Strait Islander Flexible Aged Care Program and Transition Care Program). </w:t>
      </w:r>
    </w:p>
    <w:p w14:paraId="37490192" w14:textId="0291C72E" w:rsidR="004C3B07" w:rsidRPr="004C3B07" w:rsidRDefault="004C3B07" w:rsidP="00C56CEC">
      <w:pPr>
        <w:pStyle w:val="H3"/>
      </w:pPr>
      <w:r w:rsidRPr="004C3B07">
        <w:t xml:space="preserve">Age </w:t>
      </w:r>
      <w:r w:rsidR="00EF2283">
        <w:t>e</w:t>
      </w:r>
      <w:r w:rsidRPr="004C3B07">
        <w:t xml:space="preserve">ligibility </w:t>
      </w:r>
      <w:r w:rsidR="00EF2283">
        <w:t>r</w:t>
      </w:r>
      <w:r w:rsidRPr="004C3B07">
        <w:t xml:space="preserve">equirements </w:t>
      </w:r>
    </w:p>
    <w:p w14:paraId="0AE5D256" w14:textId="77777777" w:rsidR="00AA7538" w:rsidRPr="00861722" w:rsidRDefault="00AA7538" w:rsidP="008E6691">
      <w:pPr>
        <w:spacing w:before="240" w:after="240" w:line="240" w:lineRule="auto"/>
      </w:pPr>
      <w:r w:rsidRPr="00861722">
        <w:t xml:space="preserve">Under the </w:t>
      </w:r>
      <w:r w:rsidRPr="005C5F0E">
        <w:rPr>
          <w:i/>
          <w:iCs/>
        </w:rPr>
        <w:t>Aged Care Act 2024</w:t>
      </w:r>
      <w:r w:rsidRPr="00861722">
        <w:t>,</w:t>
      </w:r>
      <w:r w:rsidRPr="00861722">
        <w:rPr>
          <w:i/>
        </w:rPr>
        <w:t xml:space="preserve"> </w:t>
      </w:r>
      <w:r w:rsidRPr="00861722">
        <w:t xml:space="preserve">there are clear eligibility requirements that an individual will need to meet to have an aged care needs assessment. Section 58 of the Act outlines these eligibility requirements. </w:t>
      </w:r>
    </w:p>
    <w:p w14:paraId="1F39AE98" w14:textId="77777777" w:rsidR="00567739" w:rsidRDefault="00567739" w:rsidP="00C325C6">
      <w:pPr>
        <w:pStyle w:val="Sub-headings"/>
      </w:pPr>
      <w:r w:rsidRPr="00441859">
        <w:t>Note</w:t>
      </w:r>
      <w:r>
        <w:t xml:space="preserve">: </w:t>
      </w:r>
    </w:p>
    <w:p w14:paraId="02EBCD2C" w14:textId="77777777" w:rsidR="00567739" w:rsidRPr="002E4EF8" w:rsidRDefault="00567739" w:rsidP="00C325C6">
      <w:pPr>
        <w:pStyle w:val="Sub-headings"/>
      </w:pPr>
      <w:r w:rsidRPr="002E4EF8">
        <w:t>To be eligible for an aged care needs assessment an individual must be:</w:t>
      </w:r>
    </w:p>
    <w:p w14:paraId="2B2ABD32" w14:textId="2592C3A5" w:rsidR="00567739" w:rsidRPr="002E4EF8" w:rsidRDefault="00C250BA" w:rsidP="00C325C6">
      <w:pPr>
        <w:pStyle w:val="Sub-headings"/>
      </w:pPr>
      <w:r>
        <w:t>-</w:t>
      </w:r>
      <w:r w:rsidR="00567739" w:rsidRPr="002E4EF8">
        <w:t>aged 65 or over; or</w:t>
      </w:r>
    </w:p>
    <w:p w14:paraId="21A8E117" w14:textId="0A68550E" w:rsidR="00567739" w:rsidRPr="002E4EF8" w:rsidRDefault="00C250BA" w:rsidP="00C325C6">
      <w:pPr>
        <w:pStyle w:val="Sub-headings"/>
      </w:pPr>
      <w:r>
        <w:t>-</w:t>
      </w:r>
      <w:r w:rsidR="00567739" w:rsidRPr="002E4EF8">
        <w:t>an Aboriginal or Torres Strait Islander person and is aged at least 50; or</w:t>
      </w:r>
    </w:p>
    <w:p w14:paraId="66CFE321" w14:textId="5F93B1D5" w:rsidR="00567739" w:rsidRPr="002E4EF8" w:rsidRDefault="00C250BA" w:rsidP="00C325C6">
      <w:pPr>
        <w:pStyle w:val="Sub-headings"/>
      </w:pPr>
      <w:r>
        <w:t>-</w:t>
      </w:r>
      <w:r w:rsidR="00567739" w:rsidRPr="002E4EF8">
        <w:t>homeless, or at risk of homelessness, and is aged at least 50; and</w:t>
      </w:r>
    </w:p>
    <w:p w14:paraId="50495688" w14:textId="77777777" w:rsidR="00567739" w:rsidRDefault="00567739" w:rsidP="00C325C6">
      <w:pPr>
        <w:pStyle w:val="Sub-headings"/>
      </w:pPr>
      <w:r w:rsidRPr="00861722">
        <w:t xml:space="preserve">Each of the above individuals must also provide information relating to the individual’s care needs. Care needs </w:t>
      </w:r>
      <w:r>
        <w:t>are</w:t>
      </w:r>
      <w:r w:rsidRPr="00861722">
        <w:t xml:space="preserve"> defined under the Act as one o</w:t>
      </w:r>
      <w:r>
        <w:t>r</w:t>
      </w:r>
      <w:r w:rsidRPr="00861722">
        <w:t xml:space="preserve"> both of the following:</w:t>
      </w:r>
    </w:p>
    <w:p w14:paraId="7A535720" w14:textId="77777777" w:rsidR="00447396" w:rsidRDefault="00447396" w:rsidP="00C325C6">
      <w:pPr>
        <w:pStyle w:val="Sub-headings"/>
      </w:pPr>
    </w:p>
    <w:p w14:paraId="28898EAD" w14:textId="401A179D" w:rsidR="00567739" w:rsidRPr="00861722" w:rsidRDefault="00C250BA" w:rsidP="00C325C6">
      <w:pPr>
        <w:pStyle w:val="Sub-headings"/>
      </w:pPr>
      <w:r>
        <w:t>-</w:t>
      </w:r>
      <w:r w:rsidR="00567739" w:rsidRPr="00861722">
        <w:t>the individual has difficulty (whether physically, mentally or socially) undertaking any daily living activities;</w:t>
      </w:r>
    </w:p>
    <w:p w14:paraId="36765BD6" w14:textId="4B064763" w:rsidR="00567739" w:rsidRPr="00861722" w:rsidRDefault="008A5201" w:rsidP="00C325C6">
      <w:pPr>
        <w:pStyle w:val="Sub-headings"/>
      </w:pPr>
      <w:r>
        <w:t>-</w:t>
      </w:r>
      <w:r w:rsidR="00567739" w:rsidRPr="00861722">
        <w:t>the individual needs help from another person, or the assistance of an aid, to maintain their physical, mental or social capacity to function independently.</w:t>
      </w:r>
    </w:p>
    <w:p w14:paraId="57E2F7C1" w14:textId="77777777" w:rsidR="00753C57" w:rsidRDefault="00753C57" w:rsidP="008E6691">
      <w:pPr>
        <w:spacing w:before="240" w:after="240" w:line="240" w:lineRule="auto"/>
      </w:pPr>
    </w:p>
    <w:p w14:paraId="64F1D05A" w14:textId="64FFE527" w:rsidR="007C6283" w:rsidRDefault="007C6283" w:rsidP="00C56CEC">
      <w:pPr>
        <w:pStyle w:val="H3"/>
      </w:pPr>
      <w:r>
        <w:t>Informing the eligible younger person of other services</w:t>
      </w:r>
    </w:p>
    <w:p w14:paraId="18BB3D32" w14:textId="77777777" w:rsidR="007C6283" w:rsidRPr="00861722" w:rsidRDefault="007C6283" w:rsidP="008E6691">
      <w:pPr>
        <w:spacing w:before="240" w:after="240" w:line="240" w:lineRule="auto"/>
      </w:pPr>
      <w:r>
        <w:t xml:space="preserve">There are limited circumstances in which people under the age of 65 can access Australian government aged care services. </w:t>
      </w:r>
      <w:r w:rsidRPr="00861722">
        <w:t xml:space="preserve">Under subparagraph 58(c) if the individual is under the age of 65 and falls into one or more of the </w:t>
      </w:r>
      <w:r>
        <w:t>eligible</w:t>
      </w:r>
      <w:r w:rsidRPr="00861722">
        <w:t xml:space="preserve"> cohorts, they must:</w:t>
      </w:r>
    </w:p>
    <w:p w14:paraId="62276E0B" w14:textId="77777777" w:rsidR="007C6283" w:rsidRPr="00861722" w:rsidRDefault="007C6283" w:rsidP="00DF3F6B">
      <w:pPr>
        <w:pStyle w:val="ListParagraph"/>
        <w:numPr>
          <w:ilvl w:val="0"/>
          <w:numId w:val="413"/>
        </w:numPr>
        <w:spacing w:before="240" w:after="240" w:line="240" w:lineRule="auto"/>
      </w:pPr>
      <w:r w:rsidRPr="00861722">
        <w:t>be informed of any other services that may be available to meet their care needs (noting that it is not a requirement for a person under the age of 65 to take up other services in place of aged care services).</w:t>
      </w:r>
    </w:p>
    <w:p w14:paraId="1DB595C2" w14:textId="77777777" w:rsidR="007C6283" w:rsidRPr="00861722" w:rsidRDefault="007C6283" w:rsidP="00DF3F6B">
      <w:pPr>
        <w:pStyle w:val="ListParagraph"/>
        <w:numPr>
          <w:ilvl w:val="0"/>
          <w:numId w:val="413"/>
        </w:numPr>
        <w:spacing w:before="240" w:after="240" w:line="240" w:lineRule="auto"/>
      </w:pPr>
      <w:r w:rsidRPr="00861722">
        <w:t>elect, in the approved form, to be provided with government funded aged care services before they turn 65.</w:t>
      </w:r>
    </w:p>
    <w:p w14:paraId="15AB2D08" w14:textId="1296E245" w:rsidR="00BC7221" w:rsidRDefault="00DC1413" w:rsidP="008E6691">
      <w:pPr>
        <w:spacing w:before="240" w:after="240" w:line="240" w:lineRule="auto"/>
      </w:pPr>
      <w:r>
        <w:t xml:space="preserve">For eligible younger people who </w:t>
      </w:r>
      <w:r w:rsidR="0090327B">
        <w:t>make an application via the My Aged Care contact centre, they will be informed of other services</w:t>
      </w:r>
      <w:r w:rsidR="00842EA1">
        <w:t xml:space="preserve"> at this stage</w:t>
      </w:r>
      <w:r w:rsidR="0090327B">
        <w:t>.</w:t>
      </w:r>
      <w:r w:rsidR="00842EA1">
        <w:t xml:space="preserve"> However, for all other registration pathways, the Triage Delegate will need to inform the eligible younger person of other services</w:t>
      </w:r>
      <w:r w:rsidR="007C6283" w:rsidRPr="00E356D5">
        <w:t>.</w:t>
      </w:r>
      <w:r w:rsidR="00D20542">
        <w:t xml:space="preserve"> Further information </w:t>
      </w:r>
      <w:r w:rsidR="00CB23EF">
        <w:t xml:space="preserve">about this process is at </w:t>
      </w:r>
      <w:r w:rsidR="00437089">
        <w:t>section</w:t>
      </w:r>
      <w:r w:rsidR="00CB23EF">
        <w:t xml:space="preserve"> </w:t>
      </w:r>
      <w:r w:rsidR="001D53BE">
        <w:fldChar w:fldCharType="begin"/>
      </w:r>
      <w:r w:rsidR="001D53BE">
        <w:instrText xml:space="preserve"> REF _Ref212733155 \r \h </w:instrText>
      </w:r>
      <w:r w:rsidR="001D53BE">
        <w:fldChar w:fldCharType="separate"/>
      </w:r>
      <w:r w:rsidR="00F97942">
        <w:t>5.3.2</w:t>
      </w:r>
      <w:r w:rsidR="001D53BE">
        <w:fldChar w:fldCharType="end"/>
      </w:r>
      <w:r w:rsidR="009A5D6F">
        <w:t xml:space="preserve"> </w:t>
      </w:r>
      <w:r w:rsidR="00CB23EF">
        <w:t>of this Manual.</w:t>
      </w:r>
    </w:p>
    <w:p w14:paraId="2C6472FC" w14:textId="6B85DDC4" w:rsidR="007C6283" w:rsidRPr="00BC7221" w:rsidRDefault="00BC7221" w:rsidP="00BC7221">
      <w:r>
        <w:br w:type="page"/>
      </w:r>
    </w:p>
    <w:p w14:paraId="1DA53EC9" w14:textId="77777777" w:rsidR="005672AC" w:rsidRPr="00614178" w:rsidRDefault="005672AC" w:rsidP="00C325C6">
      <w:pPr>
        <w:pStyle w:val="Sub-headings"/>
      </w:pPr>
      <w:r w:rsidRPr="00F37F02">
        <w:t>Note</w:t>
      </w:r>
      <w:r w:rsidRPr="00614178">
        <w:t>:</w:t>
      </w:r>
    </w:p>
    <w:p w14:paraId="26B5FB07" w14:textId="5A6191ED" w:rsidR="00AD1E32" w:rsidRDefault="00E20149" w:rsidP="00C325C6">
      <w:pPr>
        <w:pStyle w:val="Sub-headings"/>
      </w:pPr>
      <w:r w:rsidRPr="003863C9">
        <w:t xml:space="preserve">The </w:t>
      </w:r>
      <w:r w:rsidRPr="000C374D">
        <w:t>Principles and Guidelines for a younger person’s access to Commonwealth funded aged care services</w:t>
      </w:r>
      <w:r w:rsidRPr="003863C9">
        <w:t xml:space="preserve"> </w:t>
      </w:r>
      <w:r w:rsidR="009560FF">
        <w:t>is</w:t>
      </w:r>
      <w:r w:rsidR="009560FF" w:rsidRPr="003863C9">
        <w:t xml:space="preserve"> </w:t>
      </w:r>
      <w:r w:rsidRPr="003863C9">
        <w:t xml:space="preserve">no longer relevant under the </w:t>
      </w:r>
      <w:r w:rsidR="000C374D">
        <w:t xml:space="preserve">Aged Care </w:t>
      </w:r>
      <w:r w:rsidRPr="003863C9">
        <w:t>Act</w:t>
      </w:r>
      <w:r w:rsidR="000C374D">
        <w:t xml:space="preserve"> 2024</w:t>
      </w:r>
      <w:r w:rsidRPr="003863C9">
        <w:t>.</w:t>
      </w:r>
    </w:p>
    <w:p w14:paraId="29E43FB7" w14:textId="6CF0D1D5" w:rsidR="003E7DA9" w:rsidRDefault="00BE34BC" w:rsidP="004D48B7">
      <w:pPr>
        <w:pStyle w:val="H4"/>
      </w:pPr>
      <w:r w:rsidRPr="00BE34BC">
        <w:rPr>
          <w:noProof/>
        </w:rPr>
        <w:drawing>
          <wp:anchor distT="0" distB="0" distL="114300" distR="114300" simplePos="0" relativeHeight="251658288" behindDoc="0" locked="0" layoutInCell="1" allowOverlap="1" wp14:anchorId="6DAEC2C6" wp14:editId="0EAAADBF">
            <wp:simplePos x="0" y="0"/>
            <wp:positionH relativeFrom="margin">
              <wp:align>left</wp:align>
            </wp:positionH>
            <wp:positionV relativeFrom="paragraph">
              <wp:posOffset>8957</wp:posOffset>
            </wp:positionV>
            <wp:extent cx="457200" cy="502920"/>
            <wp:effectExtent l="0" t="0" r="0" b="0"/>
            <wp:wrapSquare wrapText="bothSides"/>
            <wp:docPr id="1595337999" name="Picture 159533799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D55B2F">
        <w:t>Definitions for ’h</w:t>
      </w:r>
      <w:r w:rsidR="009037D8">
        <w:t>omeless</w:t>
      </w:r>
      <w:r w:rsidR="00D55B2F">
        <w:t>’</w:t>
      </w:r>
      <w:r w:rsidR="00987035">
        <w:t xml:space="preserve"> </w:t>
      </w:r>
      <w:r w:rsidR="00D55B2F">
        <w:t>and</w:t>
      </w:r>
      <w:r w:rsidR="00987035">
        <w:t xml:space="preserve"> </w:t>
      </w:r>
      <w:r w:rsidR="00D55B2F">
        <w:t>‘</w:t>
      </w:r>
      <w:r w:rsidR="00EF2283">
        <w:t>a</w:t>
      </w:r>
      <w:r w:rsidR="4F1561BA">
        <w:t xml:space="preserve">t </w:t>
      </w:r>
      <w:r w:rsidR="00EF2283">
        <w:t>r</w:t>
      </w:r>
      <w:r w:rsidR="00987035">
        <w:t xml:space="preserve">isk of </w:t>
      </w:r>
      <w:r w:rsidR="00EF2283">
        <w:t>h</w:t>
      </w:r>
      <w:r w:rsidR="00987035">
        <w:t>omelessness</w:t>
      </w:r>
      <w:r w:rsidR="00D55B2F">
        <w:t>’</w:t>
      </w:r>
      <w:r w:rsidR="00987035">
        <w:t xml:space="preserve"> </w:t>
      </w:r>
    </w:p>
    <w:p w14:paraId="4CACE4FC" w14:textId="0E6F72FD" w:rsidR="00987035" w:rsidRDefault="000C037F" w:rsidP="008E6691">
      <w:pPr>
        <w:spacing w:before="240" w:after="240" w:line="240" w:lineRule="auto"/>
      </w:pPr>
      <w:r>
        <w:t>A person aged 50 years or older</w:t>
      </w:r>
      <w:r w:rsidR="00C71953">
        <w:t xml:space="preserve"> </w:t>
      </w:r>
      <w:r w:rsidR="4C2F7653">
        <w:t>who</w:t>
      </w:r>
      <w:r w:rsidR="00C71953">
        <w:t xml:space="preserve"> is homeless or at risk of homelessness</w:t>
      </w:r>
      <w:r>
        <w:t xml:space="preserve"> may be eligible for an aged care needs assessment and access funded aged care services</w:t>
      </w:r>
      <w:r w:rsidR="00C71953">
        <w:t xml:space="preserve">. </w:t>
      </w:r>
      <w:r w:rsidR="00FE0FD5">
        <w:t>For Triage Delegates t</w:t>
      </w:r>
      <w:r w:rsidR="00690646">
        <w:t xml:space="preserve">o determine if an individual aged 50 to 64 meets the eligibility criteria for a needs assessment under the homeless or </w:t>
      </w:r>
      <w:r w:rsidR="00FE3BD1">
        <w:t xml:space="preserve">risk of homelessness provision in the </w:t>
      </w:r>
      <w:r w:rsidR="00E74AED" w:rsidRPr="006C768C">
        <w:rPr>
          <w:i/>
        </w:rPr>
        <w:t xml:space="preserve">Aged Care </w:t>
      </w:r>
      <w:r w:rsidR="00FE3BD1" w:rsidRPr="006C768C">
        <w:rPr>
          <w:i/>
        </w:rPr>
        <w:t>Act</w:t>
      </w:r>
      <w:r w:rsidR="00E74AED" w:rsidRPr="006C768C">
        <w:rPr>
          <w:i/>
        </w:rPr>
        <w:t xml:space="preserve"> 2024</w:t>
      </w:r>
      <w:r w:rsidR="007507A9">
        <w:t xml:space="preserve">, the following definitions apply: </w:t>
      </w:r>
    </w:p>
    <w:p w14:paraId="4BB14865" w14:textId="361B9FD1" w:rsidR="007507A9" w:rsidRDefault="007B61DC" w:rsidP="008E6691">
      <w:pPr>
        <w:spacing w:before="240" w:after="240" w:line="240" w:lineRule="auto"/>
        <w:rPr>
          <w:b/>
          <w:bCs/>
        </w:rPr>
      </w:pPr>
      <w:r>
        <w:rPr>
          <w:b/>
          <w:bCs/>
        </w:rPr>
        <w:t>Home</w:t>
      </w:r>
      <w:r w:rsidR="003A02DC">
        <w:rPr>
          <w:b/>
          <w:bCs/>
        </w:rPr>
        <w:t xml:space="preserve">less definition </w:t>
      </w:r>
    </w:p>
    <w:p w14:paraId="41F241BA" w14:textId="403419B8" w:rsidR="003A02DC" w:rsidRDefault="00FF6880" w:rsidP="008E6691">
      <w:pPr>
        <w:spacing w:before="240" w:after="240" w:line="240" w:lineRule="auto"/>
      </w:pPr>
      <w:r>
        <w:t xml:space="preserve">The term </w:t>
      </w:r>
      <w:r w:rsidR="00095AB3">
        <w:t>‘</w:t>
      </w:r>
      <w:r>
        <w:t>h</w:t>
      </w:r>
      <w:r w:rsidR="00F4677F">
        <w:t>omeless</w:t>
      </w:r>
      <w:r w:rsidR="005D42E2">
        <w:t>’</w:t>
      </w:r>
      <w:r w:rsidR="00F4677F">
        <w:t xml:space="preserve"> in the context of aged care and </w:t>
      </w:r>
      <w:r w:rsidR="00E86AF6">
        <w:t>for the purpose</w:t>
      </w:r>
      <w:r w:rsidR="00266E5A">
        <w:t>s</w:t>
      </w:r>
      <w:r w:rsidR="00E86AF6">
        <w:t xml:space="preserve"> of receiving a needs assessment and funded aged care services refers to an individual who: </w:t>
      </w:r>
    </w:p>
    <w:p w14:paraId="5C2A1AFC" w14:textId="20FA3931" w:rsidR="00E86AF6" w:rsidRPr="00AD6A5D" w:rsidRDefault="007F3C93" w:rsidP="00DF3F6B">
      <w:pPr>
        <w:pStyle w:val="ListParagraph"/>
        <w:numPr>
          <w:ilvl w:val="0"/>
          <w:numId w:val="412"/>
        </w:numPr>
        <w:spacing w:before="240" w:after="240" w:line="240" w:lineRule="auto"/>
      </w:pPr>
      <w:r>
        <w:t xml:space="preserve">is aged 50 or older, </w:t>
      </w:r>
      <w:r>
        <w:rPr>
          <w:b/>
          <w:bCs/>
          <w:u w:val="single"/>
        </w:rPr>
        <w:t xml:space="preserve">and </w:t>
      </w:r>
    </w:p>
    <w:p w14:paraId="74FD6BCF" w14:textId="00F05B91" w:rsidR="00285D9D" w:rsidRPr="00AD6A5D" w:rsidRDefault="00200F1A" w:rsidP="00DF3F6B">
      <w:pPr>
        <w:pStyle w:val="ListParagraph"/>
        <w:numPr>
          <w:ilvl w:val="0"/>
          <w:numId w:val="412"/>
        </w:numPr>
        <w:spacing w:before="240" w:after="240" w:line="240" w:lineRule="auto"/>
      </w:pPr>
      <w:r>
        <w:t xml:space="preserve">has prematurely aged and requires services for their aged care needs, </w:t>
      </w:r>
      <w:r>
        <w:rPr>
          <w:b/>
          <w:bCs/>
          <w:u w:val="single"/>
        </w:rPr>
        <w:t xml:space="preserve">and </w:t>
      </w:r>
    </w:p>
    <w:p w14:paraId="54ACDAAF" w14:textId="749EFC9F" w:rsidR="00285D9D" w:rsidRDefault="00285D9D" w:rsidP="00DF3F6B">
      <w:pPr>
        <w:pStyle w:val="ListParagraph"/>
        <w:numPr>
          <w:ilvl w:val="0"/>
          <w:numId w:val="412"/>
        </w:numPr>
        <w:spacing w:before="240" w:after="240" w:line="240" w:lineRule="auto"/>
      </w:pPr>
      <w:r>
        <w:t>has the following living arrangements</w:t>
      </w:r>
      <w:r w:rsidR="00EF5881">
        <w:t>:</w:t>
      </w:r>
    </w:p>
    <w:p w14:paraId="0034A8DB" w14:textId="74681B64" w:rsidR="00285D9D" w:rsidRPr="00AD6A5D" w:rsidRDefault="00285D9D" w:rsidP="00DF3F6B">
      <w:pPr>
        <w:pStyle w:val="ListParagraph"/>
        <w:numPr>
          <w:ilvl w:val="1"/>
          <w:numId w:val="412"/>
        </w:numPr>
        <w:spacing w:before="240" w:after="240" w:line="240" w:lineRule="auto"/>
      </w:pPr>
      <w:r>
        <w:t xml:space="preserve">lacks any adequate roof over their head, </w:t>
      </w:r>
      <w:r>
        <w:rPr>
          <w:b/>
          <w:bCs/>
          <w:u w:val="single"/>
        </w:rPr>
        <w:t xml:space="preserve">or </w:t>
      </w:r>
    </w:p>
    <w:p w14:paraId="76EA0EEB" w14:textId="77C5AAA3" w:rsidR="00285D9D" w:rsidRPr="00AD6A5D" w:rsidRDefault="008028DC" w:rsidP="00DF3F6B">
      <w:pPr>
        <w:pStyle w:val="ListParagraph"/>
        <w:numPr>
          <w:ilvl w:val="1"/>
          <w:numId w:val="412"/>
        </w:numPr>
        <w:spacing w:before="240" w:after="240" w:line="240" w:lineRule="auto"/>
      </w:pPr>
      <w:r>
        <w:t xml:space="preserve">has no security of tenure, or </w:t>
      </w:r>
      <w:r w:rsidR="00EC793A">
        <w:t xml:space="preserve">moves between various forms of temporary or medium-term shelter, </w:t>
      </w:r>
      <w:r w:rsidR="00C037A7">
        <w:rPr>
          <w:b/>
          <w:bCs/>
          <w:u w:val="single"/>
        </w:rPr>
        <w:t xml:space="preserve">or </w:t>
      </w:r>
    </w:p>
    <w:p w14:paraId="54D092FD" w14:textId="7AB3BE9D" w:rsidR="00C037A7" w:rsidRPr="00AD6A5D" w:rsidRDefault="00277EDB" w:rsidP="00DF3F6B">
      <w:pPr>
        <w:pStyle w:val="ListParagraph"/>
        <w:numPr>
          <w:ilvl w:val="1"/>
          <w:numId w:val="412"/>
        </w:numPr>
        <w:spacing w:before="240" w:after="240" w:line="240" w:lineRule="auto"/>
      </w:pPr>
      <w:r>
        <w:t xml:space="preserve">stays in accommodation </w:t>
      </w:r>
      <w:r w:rsidR="004475AD">
        <w:t xml:space="preserve">that falls below minimum community standards, </w:t>
      </w:r>
      <w:r w:rsidR="00CD3DD4">
        <w:rPr>
          <w:b/>
          <w:bCs/>
          <w:u w:val="single"/>
        </w:rPr>
        <w:t xml:space="preserve">and </w:t>
      </w:r>
    </w:p>
    <w:p w14:paraId="3DB77212" w14:textId="7B64E8CC" w:rsidR="007A74B0" w:rsidRDefault="00052F2D" w:rsidP="008E6691">
      <w:pPr>
        <w:pStyle w:val="ListParagraph"/>
        <w:numPr>
          <w:ilvl w:val="0"/>
          <w:numId w:val="412"/>
        </w:numPr>
        <w:spacing w:before="240" w:after="240" w:line="240" w:lineRule="auto"/>
      </w:pPr>
      <w:r>
        <w:t xml:space="preserve">does not have the means to change their living arrangements. </w:t>
      </w:r>
    </w:p>
    <w:p w14:paraId="40F4F6EA" w14:textId="14DCD223" w:rsidR="007A74B0" w:rsidRDefault="007A74B0" w:rsidP="008E6691">
      <w:pPr>
        <w:spacing w:before="240" w:after="240" w:line="240" w:lineRule="auto"/>
        <w:rPr>
          <w:b/>
          <w:bCs/>
        </w:rPr>
      </w:pPr>
      <w:r>
        <w:rPr>
          <w:b/>
          <w:bCs/>
        </w:rPr>
        <w:t xml:space="preserve">At risk of homelessness definition </w:t>
      </w:r>
    </w:p>
    <w:p w14:paraId="7E43424B" w14:textId="31041AD7" w:rsidR="00266E5A" w:rsidRDefault="00FF3DA9" w:rsidP="008E6691">
      <w:pPr>
        <w:spacing w:before="240" w:after="240" w:line="240" w:lineRule="auto"/>
      </w:pPr>
      <w:r>
        <w:t>The term ‘a</w:t>
      </w:r>
      <w:r w:rsidR="00266E5A">
        <w:t>t risk of homelessness</w:t>
      </w:r>
      <w:r>
        <w:t>’</w:t>
      </w:r>
      <w:r w:rsidR="00266E5A">
        <w:t xml:space="preserve"> in the context of aged care and for the purposes of receiving a needs assessment and funded aged care services refers to an individual who: </w:t>
      </w:r>
    </w:p>
    <w:p w14:paraId="2D84CF3F" w14:textId="77777777" w:rsidR="00CB1D02" w:rsidRPr="00BD3B66" w:rsidRDefault="00CB1D02" w:rsidP="00DF3F6B">
      <w:pPr>
        <w:pStyle w:val="ListParagraph"/>
        <w:numPr>
          <w:ilvl w:val="0"/>
          <w:numId w:val="412"/>
        </w:numPr>
        <w:spacing w:before="240" w:after="240" w:line="240" w:lineRule="auto"/>
      </w:pPr>
      <w:r>
        <w:t xml:space="preserve">is aged 50 or older, </w:t>
      </w:r>
      <w:r>
        <w:rPr>
          <w:b/>
          <w:bCs/>
          <w:u w:val="single"/>
        </w:rPr>
        <w:t xml:space="preserve">and </w:t>
      </w:r>
    </w:p>
    <w:p w14:paraId="5B0F6A51" w14:textId="77777777" w:rsidR="00CB1D02" w:rsidRPr="00BD3B66" w:rsidRDefault="00CB1D02" w:rsidP="00DF3F6B">
      <w:pPr>
        <w:pStyle w:val="ListParagraph"/>
        <w:numPr>
          <w:ilvl w:val="0"/>
          <w:numId w:val="412"/>
        </w:numPr>
        <w:spacing w:before="240" w:after="240" w:line="240" w:lineRule="auto"/>
      </w:pPr>
      <w:r>
        <w:t xml:space="preserve">has prematurely aged and requires services for their aged care needs, </w:t>
      </w:r>
      <w:r>
        <w:rPr>
          <w:b/>
          <w:bCs/>
          <w:u w:val="single"/>
        </w:rPr>
        <w:t xml:space="preserve">and </w:t>
      </w:r>
    </w:p>
    <w:p w14:paraId="796E9BBC" w14:textId="5BC776D1" w:rsidR="00CB1D02" w:rsidRDefault="00EF5881" w:rsidP="00DF3F6B">
      <w:pPr>
        <w:pStyle w:val="ListParagraph"/>
        <w:numPr>
          <w:ilvl w:val="0"/>
          <w:numId w:val="412"/>
        </w:numPr>
        <w:spacing w:before="240" w:after="240" w:line="240" w:lineRule="auto"/>
      </w:pPr>
      <w:r>
        <w:t xml:space="preserve">is at risk of experiencing the following living arrangements: </w:t>
      </w:r>
    </w:p>
    <w:p w14:paraId="2359743C" w14:textId="77777777" w:rsidR="00CB1D02" w:rsidRPr="00BD3B66" w:rsidRDefault="00CB1D02" w:rsidP="00DF3F6B">
      <w:pPr>
        <w:pStyle w:val="ListParagraph"/>
        <w:numPr>
          <w:ilvl w:val="1"/>
          <w:numId w:val="412"/>
        </w:numPr>
        <w:spacing w:before="240" w:after="240" w:line="240" w:lineRule="auto"/>
      </w:pPr>
      <w:r>
        <w:t xml:space="preserve">lacks any adequate roof over their head, </w:t>
      </w:r>
      <w:r>
        <w:rPr>
          <w:b/>
          <w:bCs/>
          <w:u w:val="single"/>
        </w:rPr>
        <w:t xml:space="preserve">or </w:t>
      </w:r>
    </w:p>
    <w:p w14:paraId="39CCDBDE" w14:textId="77777777" w:rsidR="00CB1D02" w:rsidRPr="00BD3B66" w:rsidRDefault="00CB1D02" w:rsidP="00DF3F6B">
      <w:pPr>
        <w:pStyle w:val="ListParagraph"/>
        <w:numPr>
          <w:ilvl w:val="1"/>
          <w:numId w:val="412"/>
        </w:numPr>
        <w:spacing w:before="240" w:after="240" w:line="240" w:lineRule="auto"/>
      </w:pPr>
      <w:r>
        <w:t xml:space="preserve">has no security of tenure, or moves between various forms of temporary or medium-term shelter, </w:t>
      </w:r>
      <w:r>
        <w:rPr>
          <w:b/>
          <w:bCs/>
          <w:u w:val="single"/>
        </w:rPr>
        <w:t xml:space="preserve">or </w:t>
      </w:r>
    </w:p>
    <w:p w14:paraId="031BA4BA" w14:textId="77777777" w:rsidR="00CB1D02" w:rsidRPr="00BD3B66" w:rsidRDefault="00CB1D02" w:rsidP="00DF3F6B">
      <w:pPr>
        <w:pStyle w:val="ListParagraph"/>
        <w:numPr>
          <w:ilvl w:val="1"/>
          <w:numId w:val="412"/>
        </w:numPr>
        <w:spacing w:before="240" w:after="240" w:line="240" w:lineRule="auto"/>
      </w:pPr>
      <w:r>
        <w:t xml:space="preserve">stays in accommodation that falls below minimum community standards, </w:t>
      </w:r>
      <w:r>
        <w:rPr>
          <w:b/>
          <w:bCs/>
          <w:u w:val="single"/>
        </w:rPr>
        <w:t xml:space="preserve">and </w:t>
      </w:r>
    </w:p>
    <w:p w14:paraId="61F2E66D" w14:textId="568B1536" w:rsidR="00266E5A" w:rsidRPr="00266E5A" w:rsidRDefault="00CB1D02" w:rsidP="00DF3F6B">
      <w:pPr>
        <w:pStyle w:val="ListParagraph"/>
        <w:numPr>
          <w:ilvl w:val="0"/>
          <w:numId w:val="412"/>
        </w:numPr>
        <w:spacing w:before="240" w:after="240" w:line="240" w:lineRule="auto"/>
      </w:pPr>
      <w:r>
        <w:t>does not have the means to change their living arrangements.</w:t>
      </w:r>
    </w:p>
    <w:p w14:paraId="6DB7A3C7" w14:textId="4BB0D642" w:rsidR="004C3B07" w:rsidRDefault="00AA7538" w:rsidP="008E6691">
      <w:pPr>
        <w:spacing w:before="240" w:after="240" w:line="240" w:lineRule="auto"/>
      </w:pPr>
      <w:r w:rsidRPr="00C2680D">
        <w:t xml:space="preserve">Once an aged care needs assessment is undertaken, the assessment delegate must ensure that all eligibility requirements are met before approving any service group, service type, or specific funded aged care service. </w:t>
      </w:r>
    </w:p>
    <w:p w14:paraId="135CCECA" w14:textId="1D4613D2" w:rsidR="0098473F" w:rsidRDefault="00AA7538" w:rsidP="008E6691">
      <w:pPr>
        <w:spacing w:before="240" w:after="240" w:line="240" w:lineRule="auto"/>
      </w:pPr>
      <w:r w:rsidRPr="00C2680D">
        <w:t xml:space="preserve">This means that the older person’s situation must </w:t>
      </w:r>
      <w:r w:rsidR="00E34228">
        <w:t>meet</w:t>
      </w:r>
      <w:r w:rsidRPr="00C2680D">
        <w:t xml:space="preserve"> the conditions outlined in </w:t>
      </w:r>
      <w:r w:rsidRPr="005329F2">
        <w:t>sections 66 to 68</w:t>
      </w:r>
      <w:r w:rsidRPr="00C2680D">
        <w:t xml:space="preserve"> of the </w:t>
      </w:r>
      <w:r w:rsidRPr="00C2680D">
        <w:rPr>
          <w:i/>
        </w:rPr>
        <w:t>Aged Care Act 2024</w:t>
      </w:r>
      <w:r w:rsidR="00D108B7">
        <w:rPr>
          <w:i/>
        </w:rPr>
        <w:t xml:space="preserve"> (the Act)</w:t>
      </w:r>
      <w:r w:rsidRPr="00C2680D">
        <w:t xml:space="preserve">, and any additional eligibility criteria set by the relevant </w:t>
      </w:r>
      <w:r w:rsidR="00E95BA3" w:rsidRPr="006C768C">
        <w:rPr>
          <w:i/>
        </w:rPr>
        <w:t>Aged Care R</w:t>
      </w:r>
      <w:r w:rsidRPr="006C768C">
        <w:rPr>
          <w:i/>
        </w:rPr>
        <w:t>ules</w:t>
      </w:r>
      <w:r w:rsidR="00E95BA3" w:rsidRPr="006C768C">
        <w:rPr>
          <w:i/>
        </w:rPr>
        <w:t xml:space="preserve"> 2025</w:t>
      </w:r>
      <w:r w:rsidRPr="00C2680D">
        <w:t xml:space="preserve"> must be satisfied. If these requirements are not met, the assessment delegate cannot approve the provision of aged care services.</w:t>
      </w:r>
      <w:r w:rsidRPr="00EE4E83">
        <w:t> </w:t>
      </w:r>
    </w:p>
    <w:p w14:paraId="7E69B94C" w14:textId="1D0E446E" w:rsidR="00C217D1" w:rsidRDefault="003B1FF4" w:rsidP="008E6691">
      <w:pPr>
        <w:spacing w:before="240" w:after="240" w:line="240" w:lineRule="auto"/>
      </w:pPr>
      <w:r>
        <w:t>Any</w:t>
      </w:r>
      <w:r w:rsidR="00C217D1" w:rsidRPr="002522C0">
        <w:t xml:space="preserve"> younger individual</w:t>
      </w:r>
      <w:r w:rsidR="00C217D1" w:rsidRPr="002522C0">
        <w:rPr>
          <w:rStyle w:val="FootnoteReference"/>
        </w:rPr>
        <w:footnoteReference w:id="2"/>
      </w:r>
      <w:r w:rsidR="00C217D1" w:rsidRPr="002522C0">
        <w:t xml:space="preserve"> </w:t>
      </w:r>
      <w:r>
        <w:t xml:space="preserve">who were </w:t>
      </w:r>
      <w:r w:rsidR="00C217D1" w:rsidRPr="002522C0">
        <w:t xml:space="preserve">already accessing services </w:t>
      </w:r>
      <w:r>
        <w:t>on 1 November</w:t>
      </w:r>
      <w:r w:rsidR="00C217D1" w:rsidRPr="002522C0">
        <w:t xml:space="preserve"> will not be required to have a reassessment. Younger individuals currently accessing services will be able to continue to access these, even if they are below the minimum age requirements for the </w:t>
      </w:r>
      <w:r w:rsidR="007836DF" w:rsidRPr="00AD6A5D">
        <w:rPr>
          <w:iCs/>
        </w:rPr>
        <w:t>Act</w:t>
      </w:r>
      <w:r w:rsidR="00C217D1" w:rsidRPr="002522C0">
        <w:t xml:space="preserve">, subject to any actions required for that individual to transition to the </w:t>
      </w:r>
      <w:r w:rsidR="007836DF">
        <w:t>Act</w:t>
      </w:r>
      <w:r w:rsidR="00C217D1" w:rsidRPr="002522C0">
        <w:t xml:space="preserve">. </w:t>
      </w:r>
    </w:p>
    <w:p w14:paraId="7FDAD236" w14:textId="0F9A5149" w:rsidR="001E2B6E" w:rsidRPr="00314E2A" w:rsidRDefault="001E2B6E" w:rsidP="008E6691">
      <w:pPr>
        <w:spacing w:before="240" w:after="240" w:line="240" w:lineRule="auto"/>
        <w:rPr>
          <w:b/>
        </w:rPr>
      </w:pPr>
    </w:p>
    <w:p w14:paraId="7C5A8EA1" w14:textId="36DA808A" w:rsidR="00673221" w:rsidRPr="00CD4C39" w:rsidRDefault="00673221" w:rsidP="00507F9D">
      <w:pPr>
        <w:pStyle w:val="h2"/>
        <w:rPr>
          <w:lang w:val="en-AU"/>
        </w:rPr>
      </w:pPr>
      <w:bookmarkStart w:id="57" w:name="_Toc209188938"/>
      <w:bookmarkStart w:id="58" w:name="_Toc224916606"/>
      <w:r w:rsidRPr="00CD4C39">
        <w:t xml:space="preserve">Transition arrangements to the </w:t>
      </w:r>
      <w:r w:rsidRPr="00FE7983">
        <w:rPr>
          <w:i/>
        </w:rPr>
        <w:t>Aged Care Act 2024</w:t>
      </w:r>
      <w:bookmarkEnd w:id="57"/>
      <w:bookmarkEnd w:id="58"/>
      <w:r w:rsidRPr="00CD4C39">
        <w:rPr>
          <w:lang w:val="en-AU"/>
        </w:rPr>
        <w:t> </w:t>
      </w:r>
    </w:p>
    <w:p w14:paraId="23A9EB92" w14:textId="5AFA7F0B" w:rsidR="0096629B" w:rsidRDefault="4F6A6B16" w:rsidP="008E6691">
      <w:pPr>
        <w:spacing w:before="240" w:after="240" w:line="240" w:lineRule="auto"/>
        <w:rPr>
          <w:rFonts w:eastAsia="Arial"/>
          <w:szCs w:val="22"/>
        </w:rPr>
      </w:pPr>
      <w:r w:rsidRPr="3FF2767D">
        <w:rPr>
          <w:rFonts w:eastAsia="Arial"/>
          <w:szCs w:val="22"/>
          <w:lang w:val="en-US"/>
        </w:rPr>
        <w:t xml:space="preserve">As part of the commencement of the </w:t>
      </w:r>
      <w:r w:rsidRPr="3FF2767D">
        <w:rPr>
          <w:rFonts w:eastAsia="Arial"/>
          <w:i/>
          <w:iCs/>
          <w:szCs w:val="22"/>
          <w:lang w:val="en-US"/>
        </w:rPr>
        <w:t>Aged Care Act 2024</w:t>
      </w:r>
      <w:r>
        <w:rPr>
          <w:rFonts w:eastAsia="Arial"/>
          <w:i/>
          <w:iCs/>
          <w:szCs w:val="22"/>
          <w:lang w:val="en-US"/>
        </w:rPr>
        <w:t xml:space="preserve"> </w:t>
      </w:r>
      <w:r w:rsidR="006F561B">
        <w:rPr>
          <w:rFonts w:eastAsia="Arial"/>
          <w:i/>
          <w:iCs/>
          <w:szCs w:val="22"/>
          <w:lang w:val="en-US"/>
        </w:rPr>
        <w:t>(the Act)</w:t>
      </w:r>
      <w:r w:rsidRPr="3FF2767D">
        <w:rPr>
          <w:rFonts w:eastAsia="Arial"/>
          <w:szCs w:val="22"/>
          <w:lang w:val="en-US"/>
        </w:rPr>
        <w:t xml:space="preserve"> on 1 November 2025, different transitional arrangements </w:t>
      </w:r>
      <w:r w:rsidR="000949FB">
        <w:rPr>
          <w:rFonts w:eastAsia="Arial"/>
          <w:szCs w:val="22"/>
          <w:lang w:val="en-US"/>
        </w:rPr>
        <w:t xml:space="preserve">have been put in place </w:t>
      </w:r>
      <w:r w:rsidRPr="3FF2767D">
        <w:rPr>
          <w:rFonts w:eastAsia="Arial"/>
          <w:szCs w:val="22"/>
          <w:lang w:val="en-US"/>
        </w:rPr>
        <w:t xml:space="preserve">for existing clients and new clients being assessed as eligible for </w:t>
      </w:r>
      <w:r w:rsidR="00F464CC">
        <w:rPr>
          <w:rFonts w:eastAsia="Arial"/>
          <w:szCs w:val="22"/>
          <w:lang w:val="en-US"/>
        </w:rPr>
        <w:t xml:space="preserve">government funded </w:t>
      </w:r>
      <w:r w:rsidRPr="3FF2767D">
        <w:rPr>
          <w:rFonts w:eastAsia="Arial"/>
          <w:szCs w:val="22"/>
          <w:lang w:val="en-US"/>
        </w:rPr>
        <w:t xml:space="preserve">aged care </w:t>
      </w:r>
      <w:r w:rsidR="00F464CC">
        <w:rPr>
          <w:rFonts w:eastAsia="Arial"/>
          <w:szCs w:val="22"/>
          <w:lang w:val="en-US"/>
        </w:rPr>
        <w:t>services</w:t>
      </w:r>
      <w:r w:rsidRPr="3FF2767D">
        <w:rPr>
          <w:rFonts w:eastAsia="Arial"/>
          <w:szCs w:val="22"/>
          <w:lang w:val="en-US"/>
        </w:rPr>
        <w:t>.</w:t>
      </w:r>
      <w:r w:rsidRPr="3FF2767D">
        <w:rPr>
          <w:rFonts w:eastAsia="Arial"/>
          <w:szCs w:val="22"/>
        </w:rPr>
        <w:t xml:space="preserve"> </w:t>
      </w:r>
    </w:p>
    <w:p w14:paraId="7ECCEED8" w14:textId="056EE9A2" w:rsidR="00C409DB" w:rsidRPr="00BC7221" w:rsidRDefault="00F464CC" w:rsidP="00FD7724">
      <w:pPr>
        <w:spacing w:before="240" w:after="240" w:line="240" w:lineRule="auto"/>
        <w:rPr>
          <w:rFonts w:eastAsia="Arial"/>
          <w:szCs w:val="22"/>
        </w:rPr>
      </w:pPr>
      <w:r w:rsidRPr="3FF2767D">
        <w:rPr>
          <w:rFonts w:eastAsia="Arial"/>
          <w:szCs w:val="22"/>
        </w:rPr>
        <w:t>Assess</w:t>
      </w:r>
      <w:r>
        <w:rPr>
          <w:rFonts w:eastAsia="Arial"/>
          <w:szCs w:val="22"/>
        </w:rPr>
        <w:t>ment staff</w:t>
      </w:r>
      <w:r w:rsidRPr="3FF2767D">
        <w:rPr>
          <w:rFonts w:eastAsia="Arial"/>
          <w:szCs w:val="22"/>
        </w:rPr>
        <w:t xml:space="preserve"> </w:t>
      </w:r>
      <w:r w:rsidR="4F6A6B16" w:rsidRPr="3FF2767D">
        <w:rPr>
          <w:rFonts w:eastAsia="Arial"/>
          <w:szCs w:val="22"/>
        </w:rPr>
        <w:t xml:space="preserve">should </w:t>
      </w:r>
      <w:r w:rsidR="00E212A1">
        <w:rPr>
          <w:rFonts w:eastAsia="Arial"/>
          <w:szCs w:val="22"/>
        </w:rPr>
        <w:t>follow</w:t>
      </w:r>
      <w:r w:rsidR="00E212A1" w:rsidRPr="3FF2767D">
        <w:rPr>
          <w:rFonts w:eastAsia="Arial"/>
          <w:szCs w:val="22"/>
        </w:rPr>
        <w:t xml:space="preserve"> </w:t>
      </w:r>
      <w:r w:rsidR="4F6A6B16" w:rsidRPr="3FF2767D">
        <w:rPr>
          <w:rFonts w:eastAsia="Arial"/>
          <w:szCs w:val="22"/>
        </w:rPr>
        <w:t xml:space="preserve">the procedures outlined </w:t>
      </w:r>
      <w:r w:rsidR="00C409DB">
        <w:rPr>
          <w:rFonts w:eastAsia="Arial"/>
          <w:szCs w:val="22"/>
        </w:rPr>
        <w:t>in Table 1</w:t>
      </w:r>
      <w:r w:rsidR="00C409DB" w:rsidRPr="3FF2767D">
        <w:rPr>
          <w:rFonts w:eastAsia="Arial"/>
          <w:szCs w:val="22"/>
        </w:rPr>
        <w:t xml:space="preserve"> </w:t>
      </w:r>
      <w:r w:rsidR="4F6A6B16" w:rsidRPr="3FF2767D">
        <w:rPr>
          <w:rFonts w:eastAsia="Arial"/>
          <w:szCs w:val="22"/>
        </w:rPr>
        <w:t xml:space="preserve">when managing approvals for </w:t>
      </w:r>
      <w:r w:rsidR="003A6C01">
        <w:rPr>
          <w:rFonts w:eastAsia="Arial"/>
          <w:szCs w:val="22"/>
        </w:rPr>
        <w:t>older people who transitioned</w:t>
      </w:r>
      <w:r w:rsidR="00841B2B">
        <w:rPr>
          <w:rFonts w:eastAsia="Arial"/>
          <w:szCs w:val="22"/>
        </w:rPr>
        <w:t xml:space="preserve"> from the </w:t>
      </w:r>
      <w:r w:rsidR="00841B2B" w:rsidRPr="00B06C7B">
        <w:rPr>
          <w:rFonts w:eastAsia="Arial"/>
          <w:i/>
          <w:iCs/>
          <w:szCs w:val="22"/>
        </w:rPr>
        <w:t>Aged Care Act 1997</w:t>
      </w:r>
      <w:r w:rsidR="00841B2B">
        <w:rPr>
          <w:rFonts w:eastAsia="Arial"/>
          <w:szCs w:val="22"/>
        </w:rPr>
        <w:t xml:space="preserve"> to the </w:t>
      </w:r>
      <w:r w:rsidR="00841B2B" w:rsidRPr="00B06C7B">
        <w:rPr>
          <w:rFonts w:eastAsia="Arial"/>
          <w:i/>
          <w:iCs/>
          <w:szCs w:val="22"/>
        </w:rPr>
        <w:t xml:space="preserve">Aged Care Act </w:t>
      </w:r>
      <w:r w:rsidR="00E7689A" w:rsidRPr="00B06C7B">
        <w:rPr>
          <w:rFonts w:eastAsia="Arial"/>
          <w:i/>
          <w:iCs/>
          <w:szCs w:val="22"/>
        </w:rPr>
        <w:t>2024</w:t>
      </w:r>
      <w:r w:rsidR="00E7689A">
        <w:rPr>
          <w:rFonts w:eastAsia="Arial"/>
          <w:szCs w:val="22"/>
        </w:rPr>
        <w:t>.</w:t>
      </w:r>
      <w:r w:rsidR="4F6A6B16" w:rsidRPr="3FF2767D">
        <w:rPr>
          <w:rFonts w:eastAsia="Arial"/>
          <w:szCs w:val="22"/>
        </w:rPr>
        <w:t xml:space="preserve">  </w:t>
      </w:r>
    </w:p>
    <w:p w14:paraId="47ABF3F9" w14:textId="42F1C97F" w:rsidR="00673800" w:rsidRDefault="00FD7724" w:rsidP="008E6691">
      <w:pPr>
        <w:spacing w:before="240" w:after="240" w:line="240" w:lineRule="auto"/>
        <w:rPr>
          <w:rFonts w:eastAsia="Arial"/>
          <w:szCs w:val="22"/>
        </w:rPr>
      </w:pPr>
      <w:r>
        <w:rPr>
          <w:b/>
        </w:rPr>
        <w:t xml:space="preserve">Table </w:t>
      </w:r>
      <w:r w:rsidR="00C409DB">
        <w:rPr>
          <w:b/>
        </w:rPr>
        <w:t>1</w:t>
      </w:r>
      <w:r>
        <w:rPr>
          <w:b/>
        </w:rPr>
        <w:t xml:space="preserve">: </w:t>
      </w:r>
      <w:r w:rsidR="00D2368A">
        <w:rPr>
          <w:b/>
        </w:rPr>
        <w:t xml:space="preserve">Transitional </w:t>
      </w:r>
      <w:r w:rsidR="003A0E5D">
        <w:rPr>
          <w:b/>
        </w:rPr>
        <w:t xml:space="preserve">Arrangements </w:t>
      </w:r>
      <w:r w:rsidR="00D2368A">
        <w:rPr>
          <w:b/>
        </w:rPr>
        <w:t xml:space="preserve">from 1 November 2025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ransition Rules from 1 November 2025 by cohort "/>
        <w:tblDescription w:val="An overview of transition rules from1 November 2025 for service programs; Home Care Packages, MPSP, NATSIFACP, CHSP, STRC, TCP, Residential Care and younger people "/>
      </w:tblPr>
      <w:tblGrid>
        <w:gridCol w:w="1691"/>
        <w:gridCol w:w="7324"/>
      </w:tblGrid>
      <w:tr w:rsidR="3FF2767D" w14:paraId="0FDE45EC" w14:textId="77777777" w:rsidTr="00DF55A5">
        <w:trPr>
          <w:trHeight w:val="300"/>
          <w:tblHeader/>
        </w:trPr>
        <w:tc>
          <w:tcPr>
            <w:tcW w:w="1691" w:type="dxa"/>
            <w:shd w:val="clear" w:color="auto" w:fill="002060"/>
            <w:tcMar>
              <w:top w:w="120" w:type="dxa"/>
              <w:left w:w="180" w:type="dxa"/>
              <w:bottom w:w="105" w:type="dxa"/>
              <w:right w:w="120" w:type="dxa"/>
            </w:tcMar>
          </w:tcPr>
          <w:p w14:paraId="43847BBE" w14:textId="1F8CDB45"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Cohort</w:t>
            </w:r>
          </w:p>
        </w:tc>
        <w:tc>
          <w:tcPr>
            <w:tcW w:w="7324" w:type="dxa"/>
            <w:shd w:val="clear" w:color="auto" w:fill="002060"/>
            <w:tcMar>
              <w:top w:w="120" w:type="dxa"/>
              <w:left w:w="180" w:type="dxa"/>
              <w:bottom w:w="105" w:type="dxa"/>
              <w:right w:w="120" w:type="dxa"/>
            </w:tcMar>
          </w:tcPr>
          <w:p w14:paraId="6624C9CD" w14:textId="76FC4499" w:rsidR="3FF2767D" w:rsidRDefault="3FF2767D" w:rsidP="008E6691">
            <w:pPr>
              <w:spacing w:before="240" w:after="240" w:line="240" w:lineRule="auto"/>
              <w:rPr>
                <w:rFonts w:eastAsia="Arial"/>
                <w:b/>
                <w:bCs/>
                <w:color w:val="FFFFFF" w:themeColor="background1"/>
                <w:szCs w:val="22"/>
              </w:rPr>
            </w:pPr>
            <w:r w:rsidRPr="3FF2767D">
              <w:rPr>
                <w:rFonts w:eastAsia="Arial"/>
                <w:b/>
                <w:bCs/>
                <w:color w:val="FFFFFF" w:themeColor="background1"/>
                <w:szCs w:val="22"/>
              </w:rPr>
              <w:t xml:space="preserve">Transitional </w:t>
            </w:r>
            <w:r w:rsidR="003A0E5D">
              <w:rPr>
                <w:rFonts w:eastAsia="Arial"/>
                <w:b/>
                <w:bCs/>
                <w:color w:val="FFFFFF" w:themeColor="background1"/>
                <w:szCs w:val="22"/>
              </w:rPr>
              <w:t>Arrang</w:t>
            </w:r>
            <w:r w:rsidR="00D12281">
              <w:rPr>
                <w:rFonts w:eastAsia="Arial"/>
                <w:b/>
                <w:bCs/>
                <w:color w:val="FFFFFF" w:themeColor="background1"/>
                <w:szCs w:val="22"/>
              </w:rPr>
              <w:t>e</w:t>
            </w:r>
            <w:r w:rsidR="003A0E5D">
              <w:rPr>
                <w:rFonts w:eastAsia="Arial"/>
                <w:b/>
                <w:bCs/>
                <w:color w:val="FFFFFF" w:themeColor="background1"/>
                <w:szCs w:val="22"/>
              </w:rPr>
              <w:t>ments</w:t>
            </w:r>
            <w:r w:rsidR="003A0E5D" w:rsidRPr="3FF2767D">
              <w:rPr>
                <w:rFonts w:eastAsia="Arial"/>
                <w:b/>
                <w:bCs/>
                <w:color w:val="FFFFFF" w:themeColor="background1"/>
                <w:szCs w:val="22"/>
              </w:rPr>
              <w:t xml:space="preserve"> </w:t>
            </w:r>
            <w:r w:rsidRPr="3FF2767D">
              <w:rPr>
                <w:rFonts w:eastAsia="Arial"/>
                <w:b/>
                <w:bCs/>
                <w:color w:val="FFFFFF" w:themeColor="background1"/>
                <w:szCs w:val="22"/>
              </w:rPr>
              <w:t>from 1 November 2025</w:t>
            </w:r>
          </w:p>
        </w:tc>
      </w:tr>
      <w:tr w:rsidR="3FF2767D" w14:paraId="21D008C8" w14:textId="77777777" w:rsidTr="00DF55A5">
        <w:trPr>
          <w:trHeight w:val="300"/>
        </w:trPr>
        <w:tc>
          <w:tcPr>
            <w:tcW w:w="1691" w:type="dxa"/>
            <w:shd w:val="clear" w:color="auto" w:fill="002060"/>
            <w:tcMar>
              <w:top w:w="120" w:type="dxa"/>
              <w:left w:w="180" w:type="dxa"/>
              <w:bottom w:w="105" w:type="dxa"/>
              <w:right w:w="120" w:type="dxa"/>
            </w:tcMar>
          </w:tcPr>
          <w:p w14:paraId="4C61B4B9" w14:textId="1A3C0F90"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Home Care Package (HCP)</w:t>
            </w:r>
          </w:p>
        </w:tc>
        <w:tc>
          <w:tcPr>
            <w:tcW w:w="7324" w:type="dxa"/>
            <w:shd w:val="clear" w:color="auto" w:fill="FFFFFF" w:themeFill="background1"/>
            <w:tcMar>
              <w:top w:w="120" w:type="dxa"/>
              <w:left w:w="180" w:type="dxa"/>
              <w:bottom w:w="105" w:type="dxa"/>
              <w:right w:w="120" w:type="dxa"/>
            </w:tcMar>
          </w:tcPr>
          <w:p w14:paraId="05B098F3" w14:textId="67A227BA" w:rsidR="3FF2767D" w:rsidRDefault="3FF2767D" w:rsidP="00DF3F6B">
            <w:pPr>
              <w:pStyle w:val="ListParagraph"/>
              <w:numPr>
                <w:ilvl w:val="0"/>
                <w:numId w:val="425"/>
              </w:numPr>
              <w:spacing w:before="240" w:after="240" w:line="240" w:lineRule="auto"/>
              <w:ind w:left="360"/>
              <w:rPr>
                <w:rFonts w:eastAsia="Arial"/>
                <w:color w:val="000000" w:themeColor="text1"/>
                <w:szCs w:val="22"/>
              </w:rPr>
            </w:pPr>
            <w:r w:rsidRPr="3FF2767D">
              <w:rPr>
                <w:rFonts w:eastAsia="Arial"/>
                <w:color w:val="000000" w:themeColor="text1"/>
                <w:szCs w:val="22"/>
              </w:rPr>
              <w:t>All HCP recipients transition</w:t>
            </w:r>
            <w:r w:rsidR="00D36510">
              <w:rPr>
                <w:rFonts w:eastAsia="Arial"/>
                <w:color w:val="000000" w:themeColor="text1"/>
                <w:szCs w:val="22"/>
              </w:rPr>
              <w:t>ed</w:t>
            </w:r>
            <w:r w:rsidRPr="3FF2767D">
              <w:rPr>
                <w:rFonts w:eastAsia="Arial"/>
                <w:color w:val="000000" w:themeColor="text1"/>
                <w:szCs w:val="22"/>
              </w:rPr>
              <w:t xml:space="preserve"> to </w:t>
            </w:r>
            <w:r w:rsidRPr="006D43D0">
              <w:rPr>
                <w:rFonts w:eastAsia="Arial"/>
                <w:color w:val="000000" w:themeColor="text1"/>
                <w:szCs w:val="22"/>
              </w:rPr>
              <w:t>Support at Home</w:t>
            </w:r>
            <w:r w:rsidRPr="3FF2767D">
              <w:rPr>
                <w:rFonts w:eastAsia="Arial"/>
                <w:color w:val="000000" w:themeColor="text1"/>
                <w:szCs w:val="22"/>
              </w:rPr>
              <w:t>.</w:t>
            </w:r>
            <w:r>
              <w:br/>
            </w:r>
            <w:r w:rsidRPr="3FF2767D">
              <w:rPr>
                <w:rFonts w:eastAsia="Arial"/>
                <w:color w:val="000000" w:themeColor="text1"/>
                <w:szCs w:val="22"/>
              </w:rPr>
              <w:t xml:space="preserve"> - Assigned one of </w:t>
            </w:r>
            <w:r w:rsidRPr="006D43D0">
              <w:rPr>
                <w:rFonts w:eastAsia="Arial"/>
                <w:color w:val="000000" w:themeColor="text1"/>
                <w:szCs w:val="22"/>
              </w:rPr>
              <w:t>four Transitioned HCP classifications</w:t>
            </w:r>
            <w:r w:rsidRPr="3FF2767D">
              <w:rPr>
                <w:rFonts w:eastAsia="Arial"/>
                <w:color w:val="000000" w:themeColor="text1"/>
                <w:szCs w:val="22"/>
              </w:rPr>
              <w:t xml:space="preserve"> based on their current HCP level.</w:t>
            </w:r>
          </w:p>
          <w:p w14:paraId="748B3682" w14:textId="1CA693C1" w:rsidR="3FF2767D" w:rsidRDefault="3FF2767D" w:rsidP="00DF3F6B">
            <w:pPr>
              <w:pStyle w:val="ListParagraph"/>
              <w:numPr>
                <w:ilvl w:val="0"/>
                <w:numId w:val="425"/>
              </w:numPr>
              <w:spacing w:before="240" w:after="240" w:line="240" w:lineRule="auto"/>
              <w:ind w:left="360"/>
              <w:rPr>
                <w:rFonts w:eastAsia="Arial"/>
                <w:color w:val="000000" w:themeColor="text1"/>
                <w:szCs w:val="22"/>
              </w:rPr>
            </w:pPr>
            <w:r w:rsidRPr="3FF2767D">
              <w:rPr>
                <w:rFonts w:eastAsia="Arial"/>
                <w:color w:val="000000" w:themeColor="text1"/>
                <w:szCs w:val="22"/>
              </w:rPr>
              <w:t>No Support at Home classification (Levels 1–8) assigned at transition.</w:t>
            </w:r>
          </w:p>
          <w:p w14:paraId="1A972531" w14:textId="30AC1F97" w:rsidR="3FF2767D" w:rsidRDefault="3FF2767D" w:rsidP="00DF3F6B">
            <w:pPr>
              <w:pStyle w:val="ListParagraph"/>
              <w:numPr>
                <w:ilvl w:val="0"/>
                <w:numId w:val="425"/>
              </w:numPr>
              <w:spacing w:before="240" w:after="240" w:line="240" w:lineRule="auto"/>
              <w:ind w:left="360"/>
              <w:rPr>
                <w:rFonts w:eastAsia="Arial"/>
                <w:color w:val="000000" w:themeColor="text1"/>
                <w:szCs w:val="22"/>
              </w:rPr>
            </w:pPr>
            <w:r w:rsidRPr="3FF2767D">
              <w:rPr>
                <w:rFonts w:eastAsia="Arial"/>
                <w:color w:val="000000" w:themeColor="text1"/>
                <w:szCs w:val="22"/>
              </w:rPr>
              <w:t>Transitional classification can be retained indefinitely, even after reassessment, if more beneficial.</w:t>
            </w:r>
          </w:p>
        </w:tc>
      </w:tr>
      <w:tr w:rsidR="3FF2767D" w14:paraId="6F1B2482" w14:textId="77777777" w:rsidTr="00DF55A5">
        <w:trPr>
          <w:trHeight w:val="300"/>
        </w:trPr>
        <w:tc>
          <w:tcPr>
            <w:tcW w:w="1691" w:type="dxa"/>
            <w:shd w:val="clear" w:color="auto" w:fill="002060"/>
            <w:tcMar>
              <w:top w:w="120" w:type="dxa"/>
              <w:left w:w="180" w:type="dxa"/>
              <w:bottom w:w="105" w:type="dxa"/>
              <w:right w:w="120" w:type="dxa"/>
            </w:tcMar>
          </w:tcPr>
          <w:p w14:paraId="60F40419" w14:textId="07C6051E"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Multi-Purpose Services Program (MPSP)</w:t>
            </w:r>
          </w:p>
        </w:tc>
        <w:tc>
          <w:tcPr>
            <w:tcW w:w="7324" w:type="dxa"/>
            <w:shd w:val="clear" w:color="auto" w:fill="FFFFFF" w:themeFill="background1"/>
            <w:tcMar>
              <w:top w:w="120" w:type="dxa"/>
              <w:left w:w="180" w:type="dxa"/>
              <w:bottom w:w="105" w:type="dxa"/>
              <w:right w:w="120" w:type="dxa"/>
            </w:tcMar>
          </w:tcPr>
          <w:p w14:paraId="4CDCE47A" w14:textId="3314D1B7" w:rsidR="3FF2767D" w:rsidRDefault="3FF2767D" w:rsidP="00DF3F6B">
            <w:pPr>
              <w:pStyle w:val="ListParagraph"/>
              <w:numPr>
                <w:ilvl w:val="0"/>
                <w:numId w:val="424"/>
              </w:numPr>
              <w:spacing w:before="240" w:after="240" w:line="240" w:lineRule="auto"/>
              <w:ind w:left="360"/>
              <w:rPr>
                <w:rFonts w:eastAsia="Arial"/>
                <w:color w:val="000000" w:themeColor="text1"/>
                <w:szCs w:val="22"/>
              </w:rPr>
            </w:pPr>
            <w:r w:rsidRPr="006D43D0">
              <w:rPr>
                <w:rFonts w:eastAsia="Arial"/>
                <w:color w:val="000000" w:themeColor="text1"/>
                <w:szCs w:val="22"/>
              </w:rPr>
              <w:t>Home/community services recipients</w:t>
            </w:r>
            <w:r w:rsidRPr="3FF2767D">
              <w:rPr>
                <w:rFonts w:eastAsia="Arial"/>
                <w:color w:val="000000" w:themeColor="text1"/>
                <w:szCs w:val="22"/>
              </w:rPr>
              <w:t xml:space="preserve"> (or those starting within 3 months) automatically approved for:</w:t>
            </w:r>
            <w:r>
              <w:br/>
            </w:r>
            <w:r w:rsidRPr="3FF2767D">
              <w:rPr>
                <w:rFonts w:eastAsia="Arial"/>
                <w:color w:val="000000" w:themeColor="text1"/>
                <w:szCs w:val="22"/>
              </w:rPr>
              <w:t xml:space="preserve"> - Ongoing/short-term home support</w:t>
            </w:r>
            <w:r>
              <w:br/>
            </w:r>
            <w:r w:rsidRPr="3FF2767D">
              <w:rPr>
                <w:rFonts w:eastAsia="Arial"/>
                <w:color w:val="000000" w:themeColor="text1"/>
                <w:szCs w:val="22"/>
              </w:rPr>
              <w:t xml:space="preserve"> - Assistive Technology (AT)</w:t>
            </w:r>
            <w:r>
              <w:br/>
            </w:r>
            <w:r w:rsidRPr="3FF2767D">
              <w:rPr>
                <w:rFonts w:eastAsia="Arial"/>
                <w:color w:val="000000" w:themeColor="text1"/>
                <w:szCs w:val="22"/>
              </w:rPr>
              <w:t xml:space="preserve"> - Home Modifications (HM)</w:t>
            </w:r>
          </w:p>
          <w:p w14:paraId="5D16766E" w14:textId="01302196" w:rsidR="3FF2767D" w:rsidRDefault="3FF2767D" w:rsidP="00DF3F6B">
            <w:pPr>
              <w:pStyle w:val="ListParagraph"/>
              <w:numPr>
                <w:ilvl w:val="0"/>
                <w:numId w:val="424"/>
              </w:numPr>
              <w:spacing w:before="240" w:after="240" w:line="240" w:lineRule="auto"/>
              <w:ind w:left="360"/>
              <w:rPr>
                <w:rFonts w:eastAsia="Arial"/>
                <w:color w:val="000000" w:themeColor="text1"/>
                <w:szCs w:val="22"/>
              </w:rPr>
            </w:pPr>
            <w:r w:rsidRPr="006D43D0">
              <w:rPr>
                <w:rFonts w:eastAsia="Arial"/>
                <w:color w:val="000000" w:themeColor="text1"/>
                <w:szCs w:val="22"/>
              </w:rPr>
              <w:t>Residential aged care recipients</w:t>
            </w:r>
            <w:r w:rsidRPr="3FF2767D">
              <w:rPr>
                <w:rFonts w:eastAsia="Arial"/>
                <w:color w:val="000000" w:themeColor="text1"/>
                <w:szCs w:val="22"/>
              </w:rPr>
              <w:t xml:space="preserve"> (or those starting within 3 months) approved for ongoing/short-term residential care.</w:t>
            </w:r>
          </w:p>
        </w:tc>
      </w:tr>
      <w:tr w:rsidR="3FF2767D" w14:paraId="269BE7D1" w14:textId="77777777" w:rsidTr="00DF55A5">
        <w:trPr>
          <w:trHeight w:val="300"/>
        </w:trPr>
        <w:tc>
          <w:tcPr>
            <w:tcW w:w="1691" w:type="dxa"/>
            <w:shd w:val="clear" w:color="auto" w:fill="002060"/>
            <w:tcMar>
              <w:top w:w="120" w:type="dxa"/>
              <w:left w:w="180" w:type="dxa"/>
              <w:bottom w:w="105" w:type="dxa"/>
              <w:right w:w="120" w:type="dxa"/>
            </w:tcMar>
          </w:tcPr>
          <w:p w14:paraId="28D4EC54" w14:textId="678CF519"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NATSIFAC</w:t>
            </w:r>
            <w:r w:rsidR="00CE396F">
              <w:rPr>
                <w:rFonts w:eastAsia="Arial"/>
                <w:b/>
                <w:bCs/>
                <w:color w:val="FFFFFF" w:themeColor="background1"/>
                <w:szCs w:val="22"/>
              </w:rPr>
              <w:t>P</w:t>
            </w:r>
          </w:p>
        </w:tc>
        <w:tc>
          <w:tcPr>
            <w:tcW w:w="7324" w:type="dxa"/>
            <w:shd w:val="clear" w:color="auto" w:fill="FFFFFF" w:themeFill="background1"/>
            <w:tcMar>
              <w:top w:w="120" w:type="dxa"/>
              <w:left w:w="180" w:type="dxa"/>
              <w:bottom w:w="105" w:type="dxa"/>
              <w:right w:w="120" w:type="dxa"/>
            </w:tcMar>
          </w:tcPr>
          <w:p w14:paraId="56D6AC55" w14:textId="761E3554" w:rsidR="3FF2767D" w:rsidRDefault="3FF2767D" w:rsidP="00DF3F6B">
            <w:pPr>
              <w:pStyle w:val="ListParagraph"/>
              <w:numPr>
                <w:ilvl w:val="0"/>
                <w:numId w:val="423"/>
              </w:numPr>
              <w:spacing w:before="240" w:after="240" w:line="240" w:lineRule="auto"/>
              <w:ind w:left="360"/>
              <w:rPr>
                <w:rFonts w:eastAsia="Arial"/>
                <w:color w:val="000000" w:themeColor="text1"/>
                <w:szCs w:val="22"/>
              </w:rPr>
            </w:pPr>
            <w:r w:rsidRPr="3FF2767D">
              <w:rPr>
                <w:rFonts w:eastAsia="Arial"/>
                <w:color w:val="000000" w:themeColor="text1"/>
                <w:szCs w:val="22"/>
              </w:rPr>
              <w:t xml:space="preserve">Individuals receiving </w:t>
            </w:r>
            <w:r w:rsidRPr="006D43D0">
              <w:rPr>
                <w:rFonts w:eastAsia="Arial"/>
                <w:color w:val="000000" w:themeColor="text1"/>
                <w:szCs w:val="22"/>
              </w:rPr>
              <w:t>NATSIFACP services</w:t>
            </w:r>
            <w:r w:rsidRPr="3FF2767D">
              <w:rPr>
                <w:rFonts w:eastAsia="Arial"/>
                <w:color w:val="000000" w:themeColor="text1"/>
                <w:szCs w:val="22"/>
              </w:rPr>
              <w:t xml:space="preserve"> in the 12 months before 1 Nov 2025 are automatically eligible under the </w:t>
            </w:r>
            <w:r w:rsidR="007836DF">
              <w:rPr>
                <w:rFonts w:eastAsia="Arial"/>
                <w:color w:val="000000" w:themeColor="text1"/>
                <w:szCs w:val="22"/>
              </w:rPr>
              <w:t>Act</w:t>
            </w:r>
            <w:r w:rsidRPr="3FF2767D">
              <w:rPr>
                <w:rFonts w:eastAsia="Arial"/>
                <w:color w:val="000000" w:themeColor="text1"/>
                <w:szCs w:val="22"/>
              </w:rPr>
              <w:t>.</w:t>
            </w:r>
          </w:p>
          <w:p w14:paraId="0AE09EF4" w14:textId="77777777" w:rsidR="00271740" w:rsidRDefault="3FF2767D" w:rsidP="00DF3F6B">
            <w:pPr>
              <w:pStyle w:val="ListParagraph"/>
              <w:numPr>
                <w:ilvl w:val="0"/>
                <w:numId w:val="423"/>
              </w:numPr>
              <w:spacing w:before="240" w:after="240" w:line="240" w:lineRule="auto"/>
              <w:ind w:left="360"/>
              <w:rPr>
                <w:rFonts w:eastAsia="Arial"/>
                <w:color w:val="000000" w:themeColor="text1"/>
                <w:szCs w:val="22"/>
              </w:rPr>
            </w:pPr>
            <w:r w:rsidRPr="006D43D0">
              <w:rPr>
                <w:rFonts w:eastAsia="Arial"/>
                <w:color w:val="000000" w:themeColor="text1"/>
                <w:szCs w:val="22"/>
              </w:rPr>
              <w:t>No new assessment required</w:t>
            </w:r>
            <w:r w:rsidRPr="3FF2767D">
              <w:rPr>
                <w:rFonts w:eastAsia="Arial"/>
                <w:color w:val="000000" w:themeColor="text1"/>
                <w:szCs w:val="22"/>
              </w:rPr>
              <w:t xml:space="preserve"> unless care needs change.</w:t>
            </w:r>
          </w:p>
          <w:p w14:paraId="246A0E96" w14:textId="75AC5B8A" w:rsidR="008E2865" w:rsidRPr="00FE7983" w:rsidRDefault="00271740" w:rsidP="00DF3F6B">
            <w:pPr>
              <w:pStyle w:val="ListParagraph"/>
              <w:numPr>
                <w:ilvl w:val="0"/>
                <w:numId w:val="423"/>
              </w:numPr>
              <w:spacing w:before="240" w:after="240" w:line="240" w:lineRule="auto"/>
              <w:ind w:left="360"/>
              <w:rPr>
                <w:rFonts w:eastAsia="Arial"/>
                <w:color w:val="000000" w:themeColor="text1"/>
                <w:szCs w:val="22"/>
              </w:rPr>
            </w:pPr>
            <w:r w:rsidRPr="00C42989">
              <w:t>All new clients post 1 November are required to make an application for funded aged care services</w:t>
            </w:r>
            <w:r w:rsidR="002A0421">
              <w:t xml:space="preserve"> by registering with MAC</w:t>
            </w:r>
            <w:r w:rsidRPr="00C42989">
              <w:t xml:space="preserve">, undergo a needs assessment and obtain an access approval for one or more service groups in place to access services delivered under NATSIFACP. </w:t>
            </w:r>
          </w:p>
          <w:p w14:paraId="28C1C404" w14:textId="27AFF581" w:rsidR="00271740" w:rsidRPr="00C61E4C" w:rsidRDefault="00271740" w:rsidP="00DF3F6B">
            <w:pPr>
              <w:pStyle w:val="ListParagraph"/>
              <w:numPr>
                <w:ilvl w:val="0"/>
                <w:numId w:val="423"/>
              </w:numPr>
              <w:spacing w:before="240" w:after="240" w:line="240" w:lineRule="auto"/>
              <w:ind w:left="360"/>
              <w:rPr>
                <w:rFonts w:eastAsia="Arial"/>
                <w:color w:val="000000" w:themeColor="text1"/>
                <w:szCs w:val="22"/>
              </w:rPr>
            </w:pPr>
            <w:r w:rsidRPr="00C42989">
              <w:t xml:space="preserve">However, they can receive NATSIFACP services before assessment if they meet the criteria for alternative entry. </w:t>
            </w:r>
          </w:p>
          <w:p w14:paraId="71AD7D65" w14:textId="3C109520" w:rsidR="3FF2767D" w:rsidRDefault="3FF2767D" w:rsidP="008E6691">
            <w:pPr>
              <w:pStyle w:val="ListParagraph"/>
              <w:spacing w:before="240" w:after="240" w:line="240" w:lineRule="auto"/>
              <w:ind w:left="360"/>
              <w:rPr>
                <w:rFonts w:eastAsia="Arial"/>
                <w:color w:val="000000" w:themeColor="text1"/>
                <w:szCs w:val="22"/>
              </w:rPr>
            </w:pPr>
          </w:p>
        </w:tc>
      </w:tr>
      <w:tr w:rsidR="3FF2767D" w14:paraId="37816FFC" w14:textId="77777777" w:rsidTr="00DF55A5">
        <w:trPr>
          <w:trHeight w:val="300"/>
        </w:trPr>
        <w:tc>
          <w:tcPr>
            <w:tcW w:w="1691" w:type="dxa"/>
            <w:shd w:val="clear" w:color="auto" w:fill="002060"/>
            <w:tcMar>
              <w:top w:w="120" w:type="dxa"/>
              <w:left w:w="180" w:type="dxa"/>
              <w:bottom w:w="105" w:type="dxa"/>
              <w:right w:w="120" w:type="dxa"/>
            </w:tcMar>
          </w:tcPr>
          <w:p w14:paraId="59BB7A30" w14:textId="24AD48A9"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Commonwealth Home Support Program (CHSP)</w:t>
            </w:r>
          </w:p>
        </w:tc>
        <w:tc>
          <w:tcPr>
            <w:tcW w:w="7324" w:type="dxa"/>
            <w:shd w:val="clear" w:color="auto" w:fill="FFFFFF" w:themeFill="background1"/>
            <w:tcMar>
              <w:top w:w="120" w:type="dxa"/>
              <w:left w:w="180" w:type="dxa"/>
              <w:bottom w:w="90" w:type="dxa"/>
              <w:right w:w="120" w:type="dxa"/>
            </w:tcMar>
          </w:tcPr>
          <w:p w14:paraId="65A6FC59" w14:textId="69BDA6B0" w:rsidR="3FF2767D" w:rsidRDefault="3FF2767D" w:rsidP="00DF3F6B">
            <w:pPr>
              <w:pStyle w:val="ListParagraph"/>
              <w:numPr>
                <w:ilvl w:val="0"/>
                <w:numId w:val="422"/>
              </w:numPr>
              <w:spacing w:before="240" w:after="240" w:line="240" w:lineRule="auto"/>
              <w:ind w:left="360"/>
              <w:rPr>
                <w:rFonts w:eastAsia="Arial"/>
                <w:color w:val="000000" w:themeColor="text1"/>
                <w:szCs w:val="22"/>
              </w:rPr>
            </w:pPr>
            <w:r w:rsidRPr="006D43D0">
              <w:rPr>
                <w:rFonts w:eastAsia="Arial"/>
                <w:color w:val="000000" w:themeColor="text1"/>
                <w:szCs w:val="22"/>
              </w:rPr>
              <w:t>Registered and assessed clients</w:t>
            </w:r>
            <w:r w:rsidRPr="3FF2767D">
              <w:rPr>
                <w:rFonts w:eastAsia="Arial"/>
                <w:color w:val="000000" w:themeColor="text1"/>
                <w:szCs w:val="22"/>
              </w:rPr>
              <w:t xml:space="preserve"> automatically transition and continue accessing services.</w:t>
            </w:r>
          </w:p>
          <w:p w14:paraId="3BDBA71E" w14:textId="60245606" w:rsidR="3FF2767D" w:rsidRDefault="3FF2767D" w:rsidP="00DF3F6B">
            <w:pPr>
              <w:pStyle w:val="ListParagraph"/>
              <w:numPr>
                <w:ilvl w:val="0"/>
                <w:numId w:val="422"/>
              </w:numPr>
              <w:spacing w:before="240" w:after="240" w:line="240" w:lineRule="auto"/>
              <w:ind w:left="360"/>
              <w:rPr>
                <w:rFonts w:eastAsia="Arial"/>
                <w:color w:val="000000" w:themeColor="text1"/>
                <w:szCs w:val="22"/>
              </w:rPr>
            </w:pPr>
            <w:r w:rsidRPr="006D43D0">
              <w:rPr>
                <w:rFonts w:eastAsia="Arial"/>
                <w:color w:val="000000" w:themeColor="text1"/>
                <w:szCs w:val="22"/>
              </w:rPr>
              <w:t>Unregistered</w:t>
            </w:r>
            <w:r w:rsidR="067971A3" w:rsidRPr="006D43D0">
              <w:rPr>
                <w:rFonts w:eastAsia="Arial"/>
                <w:color w:val="000000" w:themeColor="text1"/>
              </w:rPr>
              <w:t xml:space="preserve"> and </w:t>
            </w:r>
            <w:r w:rsidRPr="006D43D0">
              <w:rPr>
                <w:rFonts w:eastAsia="Arial"/>
                <w:color w:val="000000" w:themeColor="text1"/>
              </w:rPr>
              <w:t>unassessed</w:t>
            </w:r>
            <w:r w:rsidRPr="006D43D0">
              <w:rPr>
                <w:rFonts w:eastAsia="Arial"/>
                <w:color w:val="000000" w:themeColor="text1"/>
                <w:szCs w:val="22"/>
              </w:rPr>
              <w:t xml:space="preserve"> clients</w:t>
            </w:r>
            <w:r w:rsidRPr="3FF2767D">
              <w:rPr>
                <w:rFonts w:eastAsia="Arial"/>
                <w:color w:val="000000" w:themeColor="text1"/>
                <w:szCs w:val="22"/>
              </w:rPr>
              <w:t xml:space="preserve"> must </w:t>
            </w:r>
            <w:r w:rsidR="00DC466F">
              <w:rPr>
                <w:rFonts w:eastAsia="Arial"/>
                <w:color w:val="000000" w:themeColor="text1"/>
                <w:szCs w:val="22"/>
              </w:rPr>
              <w:t xml:space="preserve">have </w:t>
            </w:r>
            <w:r w:rsidRPr="3FF2767D">
              <w:rPr>
                <w:rFonts w:eastAsia="Arial"/>
                <w:color w:val="000000" w:themeColor="text1"/>
                <w:szCs w:val="22"/>
              </w:rPr>
              <w:t>be</w:t>
            </w:r>
            <w:r w:rsidR="009B4BC3">
              <w:rPr>
                <w:rFonts w:eastAsia="Arial"/>
                <w:color w:val="000000" w:themeColor="text1"/>
                <w:szCs w:val="22"/>
              </w:rPr>
              <w:t>en</w:t>
            </w:r>
            <w:r w:rsidRPr="3FF2767D">
              <w:rPr>
                <w:rFonts w:eastAsia="Arial"/>
                <w:color w:val="000000" w:themeColor="text1"/>
                <w:szCs w:val="22"/>
              </w:rPr>
              <w:t xml:space="preserve"> assessed by </w:t>
            </w:r>
            <w:r w:rsidRPr="006D43D0">
              <w:rPr>
                <w:rFonts w:eastAsia="Arial"/>
                <w:color w:val="000000" w:themeColor="text1"/>
                <w:szCs w:val="22"/>
              </w:rPr>
              <w:t xml:space="preserve">31 </w:t>
            </w:r>
            <w:r w:rsidR="6B9FE7BB" w:rsidRPr="006D43D0">
              <w:rPr>
                <w:rFonts w:eastAsia="Arial"/>
                <w:color w:val="000000" w:themeColor="text1"/>
              </w:rPr>
              <w:t>Oct</w:t>
            </w:r>
            <w:r w:rsidR="001A1F98" w:rsidRPr="006D43D0">
              <w:rPr>
                <w:rFonts w:eastAsia="Arial"/>
                <w:color w:val="000000" w:themeColor="text1"/>
              </w:rPr>
              <w:t>ober</w:t>
            </w:r>
            <w:r w:rsidRPr="006D43D0">
              <w:rPr>
                <w:rFonts w:eastAsia="Arial"/>
                <w:color w:val="000000" w:themeColor="text1"/>
                <w:szCs w:val="22"/>
              </w:rPr>
              <w:t xml:space="preserve"> 2025</w:t>
            </w:r>
            <w:r w:rsidRPr="3FF2767D">
              <w:rPr>
                <w:rFonts w:eastAsia="Arial"/>
                <w:color w:val="000000" w:themeColor="text1"/>
                <w:szCs w:val="22"/>
              </w:rPr>
              <w:t xml:space="preserve"> to continue </w:t>
            </w:r>
            <w:r w:rsidR="5E62102B" w:rsidRPr="1DDF0044">
              <w:rPr>
                <w:rFonts w:eastAsia="Arial"/>
                <w:color w:val="000000" w:themeColor="text1"/>
              </w:rPr>
              <w:t>accessing</w:t>
            </w:r>
            <w:r w:rsidRPr="3FF2767D">
              <w:rPr>
                <w:rFonts w:eastAsia="Arial"/>
                <w:color w:val="000000" w:themeColor="text1"/>
                <w:szCs w:val="22"/>
              </w:rPr>
              <w:t xml:space="preserve"> services.</w:t>
            </w:r>
          </w:p>
          <w:p w14:paraId="180273CF" w14:textId="6CDF2F9E" w:rsidR="3FF2767D" w:rsidRDefault="3FF2767D" w:rsidP="00DF3F6B">
            <w:pPr>
              <w:pStyle w:val="ListParagraph"/>
              <w:numPr>
                <w:ilvl w:val="0"/>
                <w:numId w:val="422"/>
              </w:numPr>
              <w:spacing w:before="240" w:after="240" w:line="240" w:lineRule="auto"/>
              <w:ind w:left="360"/>
              <w:rPr>
                <w:rFonts w:eastAsia="Arial"/>
                <w:color w:val="000000" w:themeColor="text1"/>
                <w:szCs w:val="22"/>
              </w:rPr>
            </w:pPr>
            <w:r w:rsidRPr="006D43D0">
              <w:rPr>
                <w:rFonts w:eastAsia="Arial"/>
                <w:color w:val="000000" w:themeColor="text1"/>
                <w:szCs w:val="22"/>
              </w:rPr>
              <w:t>Grandfathered clients</w:t>
            </w:r>
            <w:r w:rsidRPr="3FF2767D">
              <w:rPr>
                <w:rFonts w:eastAsia="Arial"/>
                <w:color w:val="000000" w:themeColor="text1"/>
                <w:szCs w:val="22"/>
              </w:rPr>
              <w:t xml:space="preserve"> (from pre-2015 programs) </w:t>
            </w:r>
            <w:r w:rsidR="1A19281C" w:rsidRPr="4D38885E">
              <w:rPr>
                <w:rFonts w:eastAsia="Arial"/>
                <w:color w:val="000000" w:themeColor="text1"/>
              </w:rPr>
              <w:t xml:space="preserve">who have never been assessed </w:t>
            </w:r>
            <w:r w:rsidRPr="3FF2767D">
              <w:rPr>
                <w:rFonts w:eastAsia="Arial"/>
                <w:color w:val="000000" w:themeColor="text1"/>
                <w:szCs w:val="22"/>
              </w:rPr>
              <w:t xml:space="preserve">must undergo </w:t>
            </w:r>
            <w:r w:rsidR="2E201B3B" w:rsidRPr="4D38885E">
              <w:rPr>
                <w:rFonts w:eastAsia="Arial"/>
                <w:color w:val="000000" w:themeColor="text1"/>
              </w:rPr>
              <w:t>an</w:t>
            </w:r>
            <w:r w:rsidR="6B9FE7BB" w:rsidRPr="4D38885E">
              <w:rPr>
                <w:rFonts w:eastAsia="Arial"/>
                <w:color w:val="000000" w:themeColor="text1"/>
              </w:rPr>
              <w:t xml:space="preserve"> </w:t>
            </w:r>
            <w:r w:rsidRPr="3FF2767D">
              <w:rPr>
                <w:rFonts w:eastAsia="Arial"/>
                <w:color w:val="000000" w:themeColor="text1"/>
                <w:szCs w:val="22"/>
              </w:rPr>
              <w:t>assessment.</w:t>
            </w:r>
          </w:p>
          <w:p w14:paraId="3AB80B34" w14:textId="54E4681C" w:rsidR="3FF2767D" w:rsidRDefault="002C0AD8" w:rsidP="00DF3F6B">
            <w:pPr>
              <w:pStyle w:val="ListParagraph"/>
              <w:numPr>
                <w:ilvl w:val="0"/>
                <w:numId w:val="422"/>
              </w:numPr>
              <w:spacing w:before="240" w:after="240" w:line="240" w:lineRule="auto"/>
              <w:ind w:left="360"/>
              <w:rPr>
                <w:rFonts w:eastAsia="Arial"/>
                <w:color w:val="000000" w:themeColor="text1"/>
              </w:rPr>
            </w:pPr>
            <w:r>
              <w:rPr>
                <w:rFonts w:eastAsia="Arial"/>
                <w:color w:val="000000" w:themeColor="text1"/>
              </w:rPr>
              <w:t>Under the transitional arrangements</w:t>
            </w:r>
            <w:r w:rsidR="00B81528">
              <w:rPr>
                <w:rFonts w:eastAsia="Arial"/>
                <w:color w:val="000000" w:themeColor="text1"/>
              </w:rPr>
              <w:t xml:space="preserve"> </w:t>
            </w:r>
            <w:r w:rsidR="36CE8145" w:rsidRPr="1D560402">
              <w:rPr>
                <w:rFonts w:eastAsia="Arial"/>
                <w:color w:val="000000" w:themeColor="text1"/>
              </w:rPr>
              <w:t xml:space="preserve">and under </w:t>
            </w:r>
            <w:r w:rsidR="00B81528">
              <w:rPr>
                <w:rFonts w:eastAsia="Arial"/>
                <w:color w:val="000000" w:themeColor="text1"/>
              </w:rPr>
              <w:t>section 71 of the Act</w:t>
            </w:r>
            <w:r w:rsidRPr="1D560402">
              <w:rPr>
                <w:rFonts w:eastAsia="Arial"/>
                <w:color w:val="000000" w:themeColor="text1"/>
              </w:rPr>
              <w:t>,</w:t>
            </w:r>
            <w:r>
              <w:rPr>
                <w:rFonts w:eastAsia="Arial"/>
                <w:color w:val="000000" w:themeColor="text1"/>
              </w:rPr>
              <w:t xml:space="preserve"> CHSP c</w:t>
            </w:r>
            <w:r w:rsidR="3FF2767D" w:rsidRPr="4A23B73B">
              <w:rPr>
                <w:rFonts w:eastAsia="Arial"/>
                <w:color w:val="000000" w:themeColor="text1"/>
              </w:rPr>
              <w:t>lients</w:t>
            </w:r>
            <w:r w:rsidR="4770AA5F" w:rsidRPr="4A23B73B">
              <w:rPr>
                <w:rFonts w:eastAsia="Arial"/>
                <w:color w:val="000000" w:themeColor="text1"/>
              </w:rPr>
              <w:t xml:space="preserve"> who </w:t>
            </w:r>
            <w:r w:rsidR="008C290E">
              <w:rPr>
                <w:rFonts w:eastAsia="Arial"/>
                <w:color w:val="000000" w:themeColor="text1"/>
              </w:rPr>
              <w:t>have</w:t>
            </w:r>
            <w:r w:rsidR="4770AA5F" w:rsidRPr="4A23B73B">
              <w:rPr>
                <w:rFonts w:eastAsia="Arial"/>
                <w:color w:val="000000" w:themeColor="text1"/>
              </w:rPr>
              <w:t xml:space="preserve"> accessed </w:t>
            </w:r>
            <w:r w:rsidR="78D8007D" w:rsidRPr="1D560402">
              <w:rPr>
                <w:rFonts w:eastAsia="Arial"/>
                <w:color w:val="000000" w:themeColor="text1"/>
              </w:rPr>
              <w:t xml:space="preserve">a </w:t>
            </w:r>
            <w:r w:rsidR="0570E2CE" w:rsidRPr="1D560402">
              <w:rPr>
                <w:rFonts w:eastAsia="Arial"/>
                <w:color w:val="000000" w:themeColor="text1"/>
              </w:rPr>
              <w:t>CHSP</w:t>
            </w:r>
            <w:r w:rsidR="4770AA5F" w:rsidRPr="4A23B73B">
              <w:rPr>
                <w:rFonts w:eastAsia="Arial"/>
                <w:color w:val="000000" w:themeColor="text1"/>
              </w:rPr>
              <w:t xml:space="preserve"> service </w:t>
            </w:r>
            <w:r w:rsidR="00B81528">
              <w:rPr>
                <w:rFonts w:eastAsia="Arial"/>
                <w:color w:val="000000" w:themeColor="text1"/>
              </w:rPr>
              <w:t>by 31 October</w:t>
            </w:r>
            <w:r w:rsidR="4770AA5F" w:rsidRPr="4A23B73B">
              <w:rPr>
                <w:rFonts w:eastAsia="Arial"/>
                <w:color w:val="000000" w:themeColor="text1"/>
              </w:rPr>
              <w:t xml:space="preserve"> </w:t>
            </w:r>
            <w:r w:rsidR="4770AA5F" w:rsidRPr="045BC0FA">
              <w:rPr>
                <w:rFonts w:eastAsia="Arial"/>
                <w:color w:val="000000" w:themeColor="text1"/>
              </w:rPr>
              <w:t>2025 and are</w:t>
            </w:r>
            <w:r w:rsidR="3FF2767D" w:rsidRPr="045BC0FA">
              <w:rPr>
                <w:rFonts w:eastAsia="Arial"/>
                <w:color w:val="000000" w:themeColor="text1"/>
              </w:rPr>
              <w:t xml:space="preserve"> </w:t>
            </w:r>
            <w:r w:rsidR="3FF2767D" w:rsidRPr="006D43D0">
              <w:rPr>
                <w:rFonts w:eastAsia="Arial"/>
                <w:color w:val="000000" w:themeColor="text1"/>
              </w:rPr>
              <w:t>awaiting assessment</w:t>
            </w:r>
            <w:r w:rsidR="3FF2767D" w:rsidRPr="4A23B73B">
              <w:rPr>
                <w:rFonts w:eastAsia="Arial"/>
                <w:color w:val="000000" w:themeColor="text1"/>
              </w:rPr>
              <w:t xml:space="preserve"> on or after 1 </w:t>
            </w:r>
            <w:r w:rsidR="3FF2767D" w:rsidRPr="045BC0FA">
              <w:rPr>
                <w:rFonts w:eastAsia="Arial"/>
                <w:color w:val="000000" w:themeColor="text1"/>
              </w:rPr>
              <w:t>Nov</w:t>
            </w:r>
            <w:r w:rsidR="6E8519D0" w:rsidRPr="045BC0FA">
              <w:rPr>
                <w:rFonts w:eastAsia="Arial"/>
                <w:color w:val="000000" w:themeColor="text1"/>
              </w:rPr>
              <w:t>ember</w:t>
            </w:r>
            <w:r w:rsidR="3FF2767D" w:rsidRPr="4A23B73B">
              <w:rPr>
                <w:rFonts w:eastAsia="Arial"/>
                <w:color w:val="000000" w:themeColor="text1"/>
              </w:rPr>
              <w:t xml:space="preserve"> </w:t>
            </w:r>
            <w:r w:rsidR="008464CF">
              <w:rPr>
                <w:rFonts w:eastAsia="Arial"/>
                <w:color w:val="000000" w:themeColor="text1"/>
              </w:rPr>
              <w:t>can</w:t>
            </w:r>
            <w:r w:rsidR="0050348B" w:rsidRPr="4A23B73B">
              <w:rPr>
                <w:rFonts w:eastAsia="Arial"/>
                <w:color w:val="000000" w:themeColor="text1"/>
              </w:rPr>
              <w:t xml:space="preserve"> have their</w:t>
            </w:r>
            <w:r w:rsidR="008464CF">
              <w:rPr>
                <w:rFonts w:eastAsia="Arial"/>
                <w:color w:val="000000" w:themeColor="text1"/>
              </w:rPr>
              <w:t xml:space="preserve"> service </w:t>
            </w:r>
            <w:r w:rsidR="3FF2767D" w:rsidRPr="006D43D0">
              <w:rPr>
                <w:rFonts w:eastAsia="Arial"/>
                <w:color w:val="000000" w:themeColor="text1"/>
              </w:rPr>
              <w:t>approval</w:t>
            </w:r>
            <w:r w:rsidR="0050348B" w:rsidRPr="006D43D0">
              <w:rPr>
                <w:rFonts w:eastAsia="Arial"/>
                <w:color w:val="000000" w:themeColor="text1"/>
              </w:rPr>
              <w:t xml:space="preserve"> backdate</w:t>
            </w:r>
            <w:r w:rsidR="0037353F" w:rsidRPr="006D43D0">
              <w:rPr>
                <w:rFonts w:eastAsia="Arial"/>
                <w:color w:val="000000" w:themeColor="text1"/>
              </w:rPr>
              <w:t>d</w:t>
            </w:r>
            <w:r w:rsidR="0050348B" w:rsidRPr="006D43D0">
              <w:rPr>
                <w:rFonts w:eastAsia="Arial"/>
                <w:color w:val="000000" w:themeColor="text1"/>
              </w:rPr>
              <w:t xml:space="preserve"> </w:t>
            </w:r>
            <w:r w:rsidR="0050348B" w:rsidRPr="4A23B73B">
              <w:rPr>
                <w:rFonts w:eastAsia="Arial"/>
                <w:color w:val="000000" w:themeColor="text1"/>
              </w:rPr>
              <w:t>to 1 November if they are found eligible at assessment</w:t>
            </w:r>
          </w:p>
        </w:tc>
      </w:tr>
      <w:tr w:rsidR="3FF2767D" w14:paraId="7EECA2DF" w14:textId="77777777" w:rsidTr="009B6F14">
        <w:trPr>
          <w:trHeight w:val="300"/>
        </w:trPr>
        <w:tc>
          <w:tcPr>
            <w:tcW w:w="1691" w:type="dxa"/>
            <w:shd w:val="clear" w:color="auto" w:fill="002060"/>
            <w:tcMar>
              <w:top w:w="120" w:type="dxa"/>
              <w:left w:w="180" w:type="dxa"/>
              <w:bottom w:w="105" w:type="dxa"/>
              <w:right w:w="120" w:type="dxa"/>
            </w:tcMar>
          </w:tcPr>
          <w:p w14:paraId="36493AAE" w14:textId="24135233"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 xml:space="preserve">Short-Term Restorative Care (STRC) </w:t>
            </w:r>
          </w:p>
          <w:p w14:paraId="74458C1E" w14:textId="12DB701D" w:rsidR="3FF2767D" w:rsidRPr="00191FAC" w:rsidRDefault="0004678B" w:rsidP="008E6691">
            <w:pPr>
              <w:spacing w:before="240" w:after="240" w:line="240" w:lineRule="auto"/>
              <w:rPr>
                <w:rFonts w:eastAsia="Arial"/>
                <w:b/>
                <w:bCs/>
                <w:i/>
                <w:iCs/>
                <w:color w:val="FFFFFF" w:themeColor="background1"/>
                <w:szCs w:val="22"/>
              </w:rPr>
            </w:pPr>
            <w:r w:rsidRPr="00191FAC">
              <w:rPr>
                <w:rFonts w:eastAsia="Arial"/>
                <w:b/>
                <w:bCs/>
                <w:i/>
                <w:iCs/>
                <w:color w:val="FFFFFF" w:themeColor="background1"/>
                <w:szCs w:val="22"/>
              </w:rPr>
              <w:t>(</w:t>
            </w:r>
            <w:r w:rsidR="008F2690">
              <w:rPr>
                <w:rFonts w:eastAsia="Arial"/>
                <w:b/>
                <w:bCs/>
                <w:i/>
                <w:iCs/>
                <w:color w:val="FFFFFF" w:themeColor="background1"/>
                <w:szCs w:val="22"/>
              </w:rPr>
              <w:t xml:space="preserve">now </w:t>
            </w:r>
            <w:r w:rsidR="3FF2767D" w:rsidRPr="00191FAC">
              <w:rPr>
                <w:rFonts w:eastAsia="Arial"/>
                <w:b/>
                <w:bCs/>
                <w:i/>
                <w:iCs/>
                <w:color w:val="FFFFFF" w:themeColor="background1"/>
                <w:szCs w:val="22"/>
              </w:rPr>
              <w:t>known as RCP</w:t>
            </w:r>
            <w:r w:rsidRPr="00191FAC">
              <w:rPr>
                <w:rFonts w:eastAsia="Arial"/>
                <w:b/>
                <w:bCs/>
                <w:i/>
                <w:iCs/>
                <w:color w:val="FFFFFF" w:themeColor="background1"/>
                <w:szCs w:val="22"/>
              </w:rPr>
              <w:t>)</w:t>
            </w:r>
          </w:p>
        </w:tc>
        <w:tc>
          <w:tcPr>
            <w:tcW w:w="7324" w:type="dxa"/>
            <w:shd w:val="clear" w:color="auto" w:fill="FFFFFF" w:themeFill="background1"/>
            <w:tcMar>
              <w:top w:w="120" w:type="dxa"/>
              <w:left w:w="180" w:type="dxa"/>
              <w:bottom w:w="90" w:type="dxa"/>
              <w:right w:w="120" w:type="dxa"/>
            </w:tcMar>
          </w:tcPr>
          <w:p w14:paraId="52DCB677" w14:textId="24BF2000" w:rsidR="00BF53A2" w:rsidRDefault="00BF53A2" w:rsidP="00DF3F6B">
            <w:pPr>
              <w:pStyle w:val="ListParagraph"/>
              <w:numPr>
                <w:ilvl w:val="0"/>
                <w:numId w:val="421"/>
              </w:numPr>
              <w:spacing w:before="240" w:after="240" w:line="240" w:lineRule="auto"/>
              <w:ind w:left="360" w:right="-164"/>
              <w:rPr>
                <w:rFonts w:eastAsia="Arial"/>
                <w:color w:val="000000" w:themeColor="text1"/>
                <w:szCs w:val="22"/>
                <w:lang w:val="en-US"/>
              </w:rPr>
            </w:pPr>
            <w:r>
              <w:rPr>
                <w:rFonts w:eastAsia="Arial"/>
                <w:color w:val="000000" w:themeColor="text1"/>
                <w:szCs w:val="22"/>
                <w:lang w:val="en-US"/>
              </w:rPr>
              <w:t>The STRC</w:t>
            </w:r>
            <w:r w:rsidR="0004678B">
              <w:rPr>
                <w:rFonts w:eastAsia="Arial"/>
                <w:color w:val="000000" w:themeColor="text1"/>
                <w:szCs w:val="22"/>
                <w:lang w:val="en-US"/>
              </w:rPr>
              <w:t xml:space="preserve"> Programme change</w:t>
            </w:r>
            <w:r w:rsidR="00801D2F">
              <w:rPr>
                <w:rFonts w:eastAsia="Arial"/>
                <w:color w:val="000000" w:themeColor="text1"/>
                <w:szCs w:val="22"/>
                <w:lang w:val="en-US"/>
              </w:rPr>
              <w:t>d</w:t>
            </w:r>
            <w:r w:rsidR="0004678B">
              <w:rPr>
                <w:rFonts w:eastAsia="Arial"/>
                <w:color w:val="000000" w:themeColor="text1"/>
                <w:szCs w:val="22"/>
                <w:lang w:val="en-US"/>
              </w:rPr>
              <w:t xml:space="preserve"> to the ‘Restorative Care Pathway’ under Support at Home </w:t>
            </w:r>
            <w:r w:rsidR="00325BE9">
              <w:rPr>
                <w:rFonts w:eastAsia="Arial"/>
                <w:color w:val="000000" w:themeColor="text1"/>
                <w:szCs w:val="22"/>
                <w:lang w:val="en-US"/>
              </w:rPr>
              <w:t>from</w:t>
            </w:r>
            <w:r w:rsidR="002514AD">
              <w:rPr>
                <w:rFonts w:eastAsia="Arial"/>
                <w:color w:val="000000" w:themeColor="text1"/>
                <w:szCs w:val="22"/>
                <w:lang w:val="en-US"/>
              </w:rPr>
              <w:t xml:space="preserve"> </w:t>
            </w:r>
            <w:r w:rsidR="0004678B">
              <w:rPr>
                <w:rFonts w:eastAsia="Arial"/>
                <w:color w:val="000000" w:themeColor="text1"/>
                <w:szCs w:val="22"/>
                <w:lang w:val="en-US"/>
              </w:rPr>
              <w:t>1 November 2025.</w:t>
            </w:r>
          </w:p>
          <w:p w14:paraId="607EB971" w14:textId="1FF6DC28"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 xml:space="preserve">STRC clients who </w:t>
            </w:r>
            <w:r w:rsidRPr="006D43D0">
              <w:rPr>
                <w:rFonts w:eastAsia="Arial"/>
                <w:color w:val="000000" w:themeColor="text1"/>
                <w:szCs w:val="22"/>
                <w:lang w:val="en-US"/>
              </w:rPr>
              <w:t>commence</w:t>
            </w:r>
            <w:r w:rsidR="00793918">
              <w:rPr>
                <w:rFonts w:eastAsia="Arial"/>
                <w:color w:val="000000" w:themeColor="text1"/>
                <w:szCs w:val="22"/>
                <w:lang w:val="en-US"/>
              </w:rPr>
              <w:t>d</w:t>
            </w:r>
            <w:r w:rsidRPr="006D43D0">
              <w:rPr>
                <w:rFonts w:eastAsia="Arial"/>
                <w:color w:val="000000" w:themeColor="text1"/>
                <w:szCs w:val="22"/>
                <w:lang w:val="en-US"/>
              </w:rPr>
              <w:t xml:space="preserve"> their care episode before 1 November 2025, an</w:t>
            </w:r>
            <w:r w:rsidRPr="3FF2767D">
              <w:rPr>
                <w:rFonts w:eastAsia="Arial"/>
                <w:color w:val="000000" w:themeColor="text1"/>
                <w:szCs w:val="22"/>
                <w:lang w:val="en-US"/>
              </w:rPr>
              <w:t xml:space="preserve">d </w:t>
            </w:r>
            <w:r w:rsidR="00793918">
              <w:rPr>
                <w:rFonts w:eastAsia="Arial"/>
                <w:color w:val="000000" w:themeColor="text1"/>
                <w:szCs w:val="22"/>
                <w:lang w:val="en-US"/>
              </w:rPr>
              <w:t>were</w:t>
            </w:r>
            <w:r w:rsidR="00793918" w:rsidRPr="3FF2767D">
              <w:rPr>
                <w:rFonts w:eastAsia="Arial"/>
                <w:color w:val="000000" w:themeColor="text1"/>
                <w:szCs w:val="22"/>
                <w:lang w:val="en-US"/>
              </w:rPr>
              <w:t xml:space="preserve"> </w:t>
            </w:r>
            <w:r w:rsidRPr="3FF2767D">
              <w:rPr>
                <w:rFonts w:eastAsia="Arial"/>
                <w:color w:val="000000" w:themeColor="text1"/>
                <w:szCs w:val="22"/>
                <w:lang w:val="en-US"/>
              </w:rPr>
              <w:t xml:space="preserve">still </w:t>
            </w:r>
            <w:r w:rsidRPr="006D43D0">
              <w:rPr>
                <w:rFonts w:eastAsia="Arial"/>
                <w:color w:val="000000" w:themeColor="text1"/>
                <w:szCs w:val="22"/>
                <w:lang w:val="en-US"/>
              </w:rPr>
              <w:t>in flight on 1 November</w:t>
            </w:r>
            <w:r w:rsidRPr="3FF2767D">
              <w:rPr>
                <w:rFonts w:eastAsia="Arial"/>
                <w:color w:val="000000" w:themeColor="text1"/>
                <w:szCs w:val="22"/>
                <w:lang w:val="en-US"/>
              </w:rPr>
              <w:t xml:space="preserve">, </w:t>
            </w:r>
            <w:r w:rsidR="00793918">
              <w:rPr>
                <w:rFonts w:eastAsia="Arial"/>
                <w:color w:val="000000" w:themeColor="text1"/>
                <w:szCs w:val="22"/>
                <w:lang w:val="en-US"/>
              </w:rPr>
              <w:t xml:space="preserve">have had </w:t>
            </w:r>
            <w:r w:rsidRPr="3FF2767D">
              <w:rPr>
                <w:rFonts w:eastAsia="Arial"/>
                <w:color w:val="000000" w:themeColor="text1"/>
                <w:szCs w:val="22"/>
                <w:lang w:val="en-US"/>
              </w:rPr>
              <w:t xml:space="preserve">their care continue under transitional arrangements. </w:t>
            </w:r>
          </w:p>
          <w:p w14:paraId="033172AF" w14:textId="595945FF" w:rsidR="3FF2767D" w:rsidRDefault="605E4DA4" w:rsidP="00DF3F6B">
            <w:pPr>
              <w:pStyle w:val="ListParagraph"/>
              <w:numPr>
                <w:ilvl w:val="0"/>
                <w:numId w:val="421"/>
              </w:numPr>
              <w:spacing w:before="240" w:after="240" w:line="240" w:lineRule="auto"/>
              <w:ind w:left="360" w:right="-164"/>
              <w:rPr>
                <w:rFonts w:eastAsia="Arial"/>
                <w:color w:val="000000" w:themeColor="text1"/>
                <w:lang w:val="en-US"/>
              </w:rPr>
            </w:pPr>
            <w:r w:rsidRPr="659636B9">
              <w:rPr>
                <w:rFonts w:eastAsia="Arial"/>
                <w:color w:val="000000" w:themeColor="text1"/>
                <w:lang w:val="en-US"/>
              </w:rPr>
              <w:t>T</w:t>
            </w:r>
            <w:r w:rsidR="3FF2767D" w:rsidRPr="659636B9">
              <w:rPr>
                <w:rFonts w:eastAsia="Arial"/>
                <w:color w:val="000000" w:themeColor="text1"/>
                <w:lang w:val="en-US"/>
              </w:rPr>
              <w:t>hose</w:t>
            </w:r>
            <w:r w:rsidR="3FF2767D" w:rsidRPr="3AEF3AFD">
              <w:rPr>
                <w:rFonts w:eastAsia="Arial"/>
                <w:color w:val="000000" w:themeColor="text1"/>
                <w:lang w:val="en-US"/>
              </w:rPr>
              <w:t xml:space="preserve"> approved for STRC that commence</w:t>
            </w:r>
            <w:r w:rsidR="00C70862" w:rsidRPr="3AEF3AFD">
              <w:rPr>
                <w:rFonts w:eastAsia="Arial"/>
                <w:color w:val="000000" w:themeColor="text1"/>
                <w:lang w:val="en-US"/>
              </w:rPr>
              <w:t>d</w:t>
            </w:r>
            <w:r w:rsidR="3FF2767D" w:rsidRPr="3AEF3AFD">
              <w:rPr>
                <w:rFonts w:eastAsia="Arial"/>
                <w:color w:val="000000" w:themeColor="text1"/>
                <w:lang w:val="en-US"/>
              </w:rPr>
              <w:t xml:space="preserve"> their care episode after 1 November </w:t>
            </w:r>
            <w:r w:rsidR="00E7689A" w:rsidRPr="3AEF3AFD">
              <w:rPr>
                <w:rFonts w:eastAsia="Arial"/>
                <w:color w:val="000000" w:themeColor="text1"/>
                <w:lang w:val="en-US"/>
              </w:rPr>
              <w:t>2025</w:t>
            </w:r>
            <w:r w:rsidR="3FF2767D" w:rsidRPr="3AEF3AFD">
              <w:rPr>
                <w:rFonts w:eastAsia="Arial"/>
                <w:color w:val="000000" w:themeColor="text1"/>
                <w:lang w:val="en-US"/>
              </w:rPr>
              <w:t xml:space="preserve"> will have their STRC approval converted into an approval for the Restorative Care Pathway. They will also receive approval for assistive technology medium tier and home modifications medium tier.</w:t>
            </w:r>
          </w:p>
          <w:p w14:paraId="4E768CA0" w14:textId="76E4F390"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They have six months from their STRC approval to acc</w:t>
            </w:r>
            <w:r w:rsidR="003A6F2E">
              <w:rPr>
                <w:rFonts w:eastAsia="Arial"/>
                <w:color w:val="000000" w:themeColor="text1"/>
                <w:szCs w:val="22"/>
                <w:lang w:val="en-US"/>
              </w:rPr>
              <w:t>ept</w:t>
            </w:r>
            <w:r w:rsidRPr="3FF2767D">
              <w:rPr>
                <w:rFonts w:eastAsia="Arial"/>
                <w:color w:val="000000" w:themeColor="text1"/>
                <w:szCs w:val="22"/>
                <w:lang w:val="en-US"/>
              </w:rPr>
              <w:t xml:space="preserve"> the Restorative Care Pathway/AT-HM</w:t>
            </w:r>
            <w:r w:rsidR="00E5232A">
              <w:rPr>
                <w:rFonts w:eastAsia="Arial"/>
                <w:color w:val="000000" w:themeColor="text1"/>
                <w:szCs w:val="22"/>
                <w:lang w:val="en-US"/>
              </w:rPr>
              <w:t xml:space="preserve"> place</w:t>
            </w:r>
            <w:r w:rsidRPr="3FF2767D">
              <w:rPr>
                <w:rFonts w:eastAsia="Arial"/>
                <w:color w:val="000000" w:themeColor="text1"/>
                <w:szCs w:val="22"/>
                <w:lang w:val="en-US"/>
              </w:rPr>
              <w:t xml:space="preserve">. </w:t>
            </w:r>
          </w:p>
          <w:p w14:paraId="77C085B2" w14:textId="4FDE3F8A" w:rsidR="3FF2767D" w:rsidRDefault="3FF2767D" w:rsidP="00DF3F6B">
            <w:pPr>
              <w:pStyle w:val="ListParagraph"/>
              <w:numPr>
                <w:ilvl w:val="0"/>
                <w:numId w:val="421"/>
              </w:numPr>
              <w:spacing w:before="240" w:after="240" w:line="240" w:lineRule="auto"/>
              <w:ind w:left="360" w:right="-164"/>
              <w:rPr>
                <w:rFonts w:eastAsia="Arial"/>
                <w:color w:val="000000" w:themeColor="text1"/>
                <w:szCs w:val="22"/>
                <w:lang w:val="en-US"/>
              </w:rPr>
            </w:pPr>
            <w:r w:rsidRPr="3FF2767D">
              <w:rPr>
                <w:rFonts w:eastAsia="Arial"/>
                <w:color w:val="000000" w:themeColor="text1"/>
                <w:szCs w:val="22"/>
                <w:lang w:val="en-US"/>
              </w:rPr>
              <w:t>After this, they will need to be reassessed to access restorative care or AT-HM under the Support at Home program, if eligible.</w:t>
            </w:r>
          </w:p>
        </w:tc>
      </w:tr>
      <w:tr w:rsidR="3FF2767D" w14:paraId="7F8D956D" w14:textId="77777777" w:rsidTr="009B6F14">
        <w:trPr>
          <w:trHeight w:val="300"/>
        </w:trPr>
        <w:tc>
          <w:tcPr>
            <w:tcW w:w="1691" w:type="dxa"/>
            <w:shd w:val="clear" w:color="auto" w:fill="002060"/>
            <w:tcMar>
              <w:top w:w="120" w:type="dxa"/>
              <w:left w:w="180" w:type="dxa"/>
              <w:bottom w:w="105" w:type="dxa"/>
              <w:right w:w="120" w:type="dxa"/>
            </w:tcMar>
          </w:tcPr>
          <w:p w14:paraId="5BEADA01" w14:textId="33FFBEC7"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Younger People</w:t>
            </w:r>
          </w:p>
        </w:tc>
        <w:tc>
          <w:tcPr>
            <w:tcW w:w="7324" w:type="dxa"/>
            <w:shd w:val="clear" w:color="auto" w:fill="FFFFFF" w:themeFill="background1"/>
            <w:tcMar>
              <w:top w:w="120" w:type="dxa"/>
              <w:left w:w="180" w:type="dxa"/>
              <w:bottom w:w="90" w:type="dxa"/>
              <w:right w:w="120" w:type="dxa"/>
            </w:tcMar>
          </w:tcPr>
          <w:p w14:paraId="25E4D4CE" w14:textId="35310F73" w:rsidR="3FF2767D" w:rsidRPr="007967C8" w:rsidRDefault="3FF2767D" w:rsidP="00DF3F6B">
            <w:pPr>
              <w:pStyle w:val="ListParagraph"/>
              <w:numPr>
                <w:ilvl w:val="0"/>
                <w:numId w:val="420"/>
              </w:numPr>
              <w:spacing w:before="240" w:after="240" w:line="240" w:lineRule="auto"/>
              <w:ind w:left="360"/>
              <w:rPr>
                <w:rFonts w:eastAsia="Arial"/>
                <w:bCs/>
                <w:szCs w:val="22"/>
              </w:rPr>
            </w:pPr>
            <w:r w:rsidRPr="006D43D0">
              <w:rPr>
                <w:rFonts w:eastAsia="Arial"/>
                <w:szCs w:val="22"/>
              </w:rPr>
              <w:t xml:space="preserve">Younger people </w:t>
            </w:r>
            <w:r w:rsidRPr="007967C8">
              <w:rPr>
                <w:rFonts w:eastAsia="Arial"/>
                <w:bCs/>
                <w:szCs w:val="22"/>
              </w:rPr>
              <w:t>already accessing services</w:t>
            </w:r>
            <w:r w:rsidR="00CA5441">
              <w:rPr>
                <w:rFonts w:eastAsia="Arial"/>
                <w:bCs/>
                <w:szCs w:val="22"/>
              </w:rPr>
              <w:t xml:space="preserve"> on 1 Novem</w:t>
            </w:r>
            <w:r w:rsidR="00C47660">
              <w:rPr>
                <w:rFonts w:eastAsia="Arial"/>
                <w:bCs/>
                <w:szCs w:val="22"/>
              </w:rPr>
              <w:t>ber</w:t>
            </w:r>
            <w:r w:rsidRPr="007967C8">
              <w:rPr>
                <w:rFonts w:eastAsia="Arial"/>
                <w:bCs/>
                <w:szCs w:val="22"/>
              </w:rPr>
              <w:t xml:space="preserve"> </w:t>
            </w:r>
            <w:r w:rsidR="00C47660">
              <w:rPr>
                <w:rFonts w:eastAsia="Arial"/>
                <w:bCs/>
                <w:szCs w:val="22"/>
              </w:rPr>
              <w:t>did</w:t>
            </w:r>
            <w:r w:rsidR="00C47660" w:rsidRPr="007967C8">
              <w:rPr>
                <w:rFonts w:eastAsia="Arial"/>
                <w:bCs/>
                <w:szCs w:val="22"/>
              </w:rPr>
              <w:t xml:space="preserve"> </w:t>
            </w:r>
            <w:r w:rsidRPr="007967C8">
              <w:rPr>
                <w:rFonts w:eastAsia="Arial"/>
                <w:bCs/>
                <w:szCs w:val="22"/>
              </w:rPr>
              <w:t xml:space="preserve">not </w:t>
            </w:r>
            <w:r w:rsidR="00C47660">
              <w:rPr>
                <w:rFonts w:eastAsia="Arial"/>
                <w:bCs/>
                <w:szCs w:val="22"/>
              </w:rPr>
              <w:t xml:space="preserve">require </w:t>
            </w:r>
            <w:r w:rsidR="00E7689A">
              <w:rPr>
                <w:rFonts w:eastAsia="Arial"/>
                <w:bCs/>
                <w:szCs w:val="22"/>
              </w:rPr>
              <w:t xml:space="preserve">a </w:t>
            </w:r>
            <w:r w:rsidR="00E7689A" w:rsidRPr="007967C8">
              <w:rPr>
                <w:rFonts w:eastAsia="Arial"/>
                <w:bCs/>
                <w:szCs w:val="22"/>
              </w:rPr>
              <w:t>reassessment</w:t>
            </w:r>
            <w:r w:rsidRPr="007967C8">
              <w:rPr>
                <w:rFonts w:eastAsia="Arial"/>
                <w:bCs/>
                <w:szCs w:val="22"/>
              </w:rPr>
              <w:t>.</w:t>
            </w:r>
          </w:p>
          <w:p w14:paraId="49AF1C00" w14:textId="5F027AE4" w:rsidR="3FF2767D" w:rsidRPr="007967C8" w:rsidRDefault="3FF2767D" w:rsidP="00DF3F6B">
            <w:pPr>
              <w:pStyle w:val="ListParagraph"/>
              <w:numPr>
                <w:ilvl w:val="0"/>
                <w:numId w:val="420"/>
              </w:numPr>
              <w:spacing w:before="240" w:after="240" w:line="240" w:lineRule="auto"/>
              <w:ind w:left="360"/>
              <w:rPr>
                <w:rFonts w:eastAsia="Arial"/>
                <w:bCs/>
                <w:szCs w:val="22"/>
              </w:rPr>
            </w:pPr>
            <w:r w:rsidRPr="007967C8">
              <w:rPr>
                <w:rFonts w:eastAsia="Arial"/>
                <w:bCs/>
                <w:szCs w:val="22"/>
              </w:rPr>
              <w:t xml:space="preserve">Younger people </w:t>
            </w:r>
            <w:r w:rsidRPr="006D43D0">
              <w:rPr>
                <w:rFonts w:eastAsia="Arial"/>
                <w:szCs w:val="22"/>
              </w:rPr>
              <w:t>currently accessing services</w:t>
            </w:r>
            <w:r w:rsidRPr="007967C8">
              <w:rPr>
                <w:rFonts w:eastAsia="Arial"/>
                <w:bCs/>
                <w:szCs w:val="22"/>
              </w:rPr>
              <w:t xml:space="preserve"> will be able to </w:t>
            </w:r>
            <w:r w:rsidRPr="006D43D0">
              <w:rPr>
                <w:rFonts w:eastAsia="Arial"/>
                <w:szCs w:val="22"/>
              </w:rPr>
              <w:t xml:space="preserve">continue to access these services </w:t>
            </w:r>
            <w:r w:rsidRPr="007967C8">
              <w:rPr>
                <w:rFonts w:eastAsia="Arial"/>
                <w:bCs/>
                <w:szCs w:val="22"/>
              </w:rPr>
              <w:t xml:space="preserve">and also be </w:t>
            </w:r>
            <w:r w:rsidRPr="006D43D0">
              <w:rPr>
                <w:rFonts w:eastAsia="Arial"/>
                <w:szCs w:val="22"/>
              </w:rPr>
              <w:t>eligible to be assessed for other aged care services</w:t>
            </w:r>
            <w:r w:rsidRPr="007967C8">
              <w:rPr>
                <w:rFonts w:eastAsia="Arial"/>
                <w:bCs/>
                <w:szCs w:val="22"/>
              </w:rPr>
              <w:t xml:space="preserve"> in the future.</w:t>
            </w:r>
          </w:p>
          <w:p w14:paraId="72F5E23A" w14:textId="29D74A71" w:rsidR="3FF2767D" w:rsidRDefault="3FF2767D" w:rsidP="00DF3F6B">
            <w:pPr>
              <w:pStyle w:val="ListParagraph"/>
              <w:numPr>
                <w:ilvl w:val="0"/>
                <w:numId w:val="420"/>
              </w:numPr>
              <w:spacing w:before="240" w:after="240" w:line="240" w:lineRule="auto"/>
              <w:ind w:left="360"/>
              <w:rPr>
                <w:rFonts w:eastAsia="Arial"/>
                <w:color w:val="008080"/>
                <w:szCs w:val="22"/>
                <w:u w:val="single"/>
              </w:rPr>
            </w:pPr>
            <w:r w:rsidRPr="007967C8">
              <w:rPr>
                <w:rFonts w:eastAsia="Arial"/>
                <w:bCs/>
                <w:szCs w:val="22"/>
              </w:rPr>
              <w:t>Younger people</w:t>
            </w:r>
            <w:r w:rsidR="008179B7">
              <w:rPr>
                <w:rFonts w:eastAsia="Arial"/>
                <w:bCs/>
                <w:szCs w:val="22"/>
              </w:rPr>
              <w:t>,</w:t>
            </w:r>
            <w:r w:rsidRPr="007967C8">
              <w:rPr>
                <w:rFonts w:eastAsia="Arial"/>
                <w:bCs/>
                <w:szCs w:val="22"/>
              </w:rPr>
              <w:t xml:space="preserve"> </w:t>
            </w:r>
            <w:r w:rsidR="00717113">
              <w:rPr>
                <w:rFonts w:eastAsia="Arial"/>
                <w:bCs/>
                <w:szCs w:val="22"/>
              </w:rPr>
              <w:t xml:space="preserve">who were </w:t>
            </w:r>
            <w:r w:rsidRPr="006D43D0">
              <w:rPr>
                <w:rFonts w:eastAsia="Arial"/>
                <w:szCs w:val="22"/>
              </w:rPr>
              <w:t xml:space="preserve">in the process of applying </w:t>
            </w:r>
            <w:r w:rsidRPr="007967C8">
              <w:rPr>
                <w:rFonts w:eastAsia="Arial"/>
                <w:bCs/>
                <w:szCs w:val="22"/>
              </w:rPr>
              <w:t xml:space="preserve">for aged care services on 1 November, </w:t>
            </w:r>
            <w:r w:rsidRPr="006D43D0">
              <w:rPr>
                <w:rFonts w:eastAsia="Arial"/>
                <w:szCs w:val="22"/>
              </w:rPr>
              <w:t>will be eligible to be assessed</w:t>
            </w:r>
            <w:r w:rsidRPr="007967C8">
              <w:rPr>
                <w:rFonts w:eastAsia="Arial"/>
                <w:bCs/>
                <w:szCs w:val="22"/>
              </w:rPr>
              <w:t xml:space="preserve"> under relevant criteria within the </w:t>
            </w:r>
            <w:r w:rsidRPr="007967C8">
              <w:rPr>
                <w:rFonts w:eastAsia="Arial"/>
                <w:bCs/>
                <w:i/>
                <w:szCs w:val="22"/>
              </w:rPr>
              <w:t>Approval of Care Recipients Principles 2014</w:t>
            </w:r>
            <w:r w:rsidRPr="007967C8">
              <w:rPr>
                <w:rFonts w:eastAsia="Arial"/>
                <w:bCs/>
                <w:szCs w:val="22"/>
              </w:rPr>
              <w:t>.</w:t>
            </w:r>
          </w:p>
        </w:tc>
      </w:tr>
      <w:tr w:rsidR="3FF2767D" w14:paraId="39DABC72" w14:textId="77777777" w:rsidTr="00D9701D">
        <w:trPr>
          <w:trHeight w:val="2115"/>
        </w:trPr>
        <w:tc>
          <w:tcPr>
            <w:tcW w:w="1691" w:type="dxa"/>
            <w:shd w:val="clear" w:color="auto" w:fill="002060"/>
            <w:tcMar>
              <w:top w:w="120" w:type="dxa"/>
              <w:left w:w="180" w:type="dxa"/>
              <w:bottom w:w="105" w:type="dxa"/>
              <w:right w:w="120" w:type="dxa"/>
            </w:tcMar>
          </w:tcPr>
          <w:p w14:paraId="4C37AA8F" w14:textId="20ED3E25"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Transition Care Program (TCP)</w:t>
            </w:r>
          </w:p>
        </w:tc>
        <w:tc>
          <w:tcPr>
            <w:tcW w:w="7324" w:type="dxa"/>
            <w:shd w:val="clear" w:color="auto" w:fill="FFFFFF" w:themeFill="background1"/>
            <w:tcMar>
              <w:top w:w="120" w:type="dxa"/>
              <w:left w:w="180" w:type="dxa"/>
              <w:bottom w:w="90" w:type="dxa"/>
              <w:right w:w="120" w:type="dxa"/>
            </w:tcMar>
          </w:tcPr>
          <w:p w14:paraId="37430253" w14:textId="4CE260AA" w:rsidR="3FF2767D" w:rsidRDefault="3FF2767D" w:rsidP="00DF3F6B">
            <w:pPr>
              <w:pStyle w:val="ListParagraph"/>
              <w:numPr>
                <w:ilvl w:val="0"/>
                <w:numId w:val="419"/>
              </w:numPr>
              <w:spacing w:before="240" w:after="240" w:line="240" w:lineRule="auto"/>
              <w:ind w:left="360"/>
              <w:rPr>
                <w:rFonts w:eastAsia="Arial"/>
                <w:color w:val="000000" w:themeColor="text1"/>
                <w:szCs w:val="22"/>
              </w:rPr>
            </w:pPr>
            <w:r w:rsidRPr="006D43D0">
              <w:rPr>
                <w:rFonts w:eastAsia="Arial"/>
                <w:color w:val="000000" w:themeColor="text1"/>
                <w:szCs w:val="22"/>
              </w:rPr>
              <w:t>Transition Care Program clients</w:t>
            </w:r>
            <w:r w:rsidRPr="3FF2767D">
              <w:rPr>
                <w:rFonts w:eastAsia="Arial"/>
                <w:color w:val="000000" w:themeColor="text1"/>
                <w:szCs w:val="22"/>
              </w:rPr>
              <w:t xml:space="preserve"> who continue</w:t>
            </w:r>
            <w:r w:rsidR="00D1360C">
              <w:rPr>
                <w:rFonts w:eastAsia="Arial"/>
                <w:color w:val="000000" w:themeColor="text1"/>
                <w:szCs w:val="22"/>
              </w:rPr>
              <w:t>d</w:t>
            </w:r>
            <w:r w:rsidRPr="3FF2767D">
              <w:rPr>
                <w:rFonts w:eastAsia="Arial"/>
                <w:color w:val="000000" w:themeColor="text1"/>
                <w:szCs w:val="22"/>
              </w:rPr>
              <w:t xml:space="preserve"> to receive care across the transition from the </w:t>
            </w:r>
            <w:r w:rsidR="005B3933">
              <w:rPr>
                <w:rFonts w:eastAsia="Arial"/>
                <w:color w:val="000000" w:themeColor="text1"/>
                <w:szCs w:val="22"/>
              </w:rPr>
              <w:t>Aged Care Act 1997</w:t>
            </w:r>
            <w:r w:rsidR="005B3933" w:rsidRPr="3FF2767D">
              <w:rPr>
                <w:rFonts w:eastAsia="Arial"/>
                <w:color w:val="000000" w:themeColor="text1"/>
                <w:szCs w:val="22"/>
              </w:rPr>
              <w:t xml:space="preserve"> </w:t>
            </w:r>
            <w:r w:rsidRPr="3FF2767D">
              <w:rPr>
                <w:rFonts w:eastAsia="Arial"/>
                <w:color w:val="000000" w:themeColor="text1"/>
                <w:szCs w:val="22"/>
              </w:rPr>
              <w:t xml:space="preserve">to </w:t>
            </w:r>
            <w:r w:rsidR="005B3933">
              <w:rPr>
                <w:rFonts w:eastAsia="Arial"/>
                <w:color w:val="000000" w:themeColor="text1"/>
                <w:szCs w:val="22"/>
              </w:rPr>
              <w:t>the Aged Care Act 2024 had</w:t>
            </w:r>
            <w:r w:rsidRPr="3FF2767D">
              <w:rPr>
                <w:rFonts w:eastAsia="Arial"/>
                <w:color w:val="000000" w:themeColor="text1"/>
                <w:szCs w:val="22"/>
              </w:rPr>
              <w:t xml:space="preserve"> their eligibility and approval deemed across. </w:t>
            </w:r>
          </w:p>
          <w:p w14:paraId="26431CC8" w14:textId="688EDA9D" w:rsidR="3FF2767D" w:rsidRDefault="3FF2767D" w:rsidP="00DF3F6B">
            <w:pPr>
              <w:pStyle w:val="ListParagraph"/>
              <w:numPr>
                <w:ilvl w:val="0"/>
                <w:numId w:val="419"/>
              </w:numPr>
              <w:spacing w:before="240" w:after="240" w:line="240" w:lineRule="auto"/>
              <w:ind w:left="360"/>
              <w:rPr>
                <w:rFonts w:eastAsia="Arial"/>
                <w:color w:val="000000" w:themeColor="text1"/>
                <w:szCs w:val="22"/>
              </w:rPr>
            </w:pPr>
            <w:r w:rsidRPr="3FF2767D">
              <w:rPr>
                <w:rFonts w:eastAsia="Arial"/>
                <w:color w:val="000000" w:themeColor="text1"/>
                <w:szCs w:val="22"/>
              </w:rPr>
              <w:t xml:space="preserve">All </w:t>
            </w:r>
            <w:r w:rsidRPr="006D43D0">
              <w:rPr>
                <w:rFonts w:eastAsia="Arial"/>
                <w:color w:val="000000" w:themeColor="text1"/>
                <w:szCs w:val="22"/>
              </w:rPr>
              <w:t>new clients post 1 November</w:t>
            </w:r>
            <w:r w:rsidRPr="3FF2767D">
              <w:rPr>
                <w:rFonts w:eastAsia="Arial"/>
                <w:color w:val="000000" w:themeColor="text1"/>
                <w:szCs w:val="22"/>
              </w:rPr>
              <w:t xml:space="preserve"> will be required to have a comprehensive assessment and receive delegate approval, before they are discharged from hospital, to be referred to</w:t>
            </w:r>
            <w:r w:rsidR="005B3933">
              <w:rPr>
                <w:rFonts w:eastAsia="Arial"/>
                <w:color w:val="000000" w:themeColor="text1"/>
                <w:szCs w:val="22"/>
              </w:rPr>
              <w:t xml:space="preserve"> a</w:t>
            </w:r>
            <w:r w:rsidRPr="3FF2767D">
              <w:rPr>
                <w:rFonts w:eastAsia="Arial"/>
                <w:color w:val="000000" w:themeColor="text1"/>
                <w:szCs w:val="22"/>
              </w:rPr>
              <w:t xml:space="preserve"> transition care service provider.</w:t>
            </w:r>
          </w:p>
        </w:tc>
      </w:tr>
      <w:tr w:rsidR="3FF2767D" w14:paraId="70C8446D" w14:textId="77777777" w:rsidTr="00D9701D">
        <w:trPr>
          <w:trHeight w:val="300"/>
        </w:trPr>
        <w:tc>
          <w:tcPr>
            <w:tcW w:w="1691" w:type="dxa"/>
            <w:shd w:val="clear" w:color="auto" w:fill="002060"/>
            <w:tcMar>
              <w:top w:w="120" w:type="dxa"/>
              <w:left w:w="180" w:type="dxa"/>
              <w:bottom w:w="105" w:type="dxa"/>
              <w:right w:w="120" w:type="dxa"/>
            </w:tcMar>
          </w:tcPr>
          <w:p w14:paraId="47AD7849" w14:textId="33587FC9" w:rsidR="3FF2767D" w:rsidRPr="00191FAC" w:rsidRDefault="3FF2767D" w:rsidP="008E6691">
            <w:pPr>
              <w:spacing w:before="240" w:after="240" w:line="240" w:lineRule="auto"/>
              <w:rPr>
                <w:rFonts w:eastAsia="Arial"/>
                <w:b/>
                <w:bCs/>
                <w:color w:val="FFFFFF" w:themeColor="background1"/>
                <w:szCs w:val="22"/>
              </w:rPr>
            </w:pPr>
            <w:r w:rsidRPr="00191FAC">
              <w:rPr>
                <w:rFonts w:eastAsia="Arial"/>
                <w:b/>
                <w:bCs/>
                <w:color w:val="FFFFFF" w:themeColor="background1"/>
                <w:szCs w:val="22"/>
              </w:rPr>
              <w:t>Resi</w:t>
            </w:r>
            <w:r w:rsidR="0065124C">
              <w:rPr>
                <w:rFonts w:eastAsia="Arial"/>
                <w:b/>
                <w:bCs/>
                <w:color w:val="FFFFFF" w:themeColor="background1"/>
                <w:szCs w:val="22"/>
              </w:rPr>
              <w:t>dential</w:t>
            </w:r>
            <w:r w:rsidRPr="00191FAC">
              <w:rPr>
                <w:rFonts w:eastAsia="Arial"/>
                <w:b/>
                <w:bCs/>
                <w:color w:val="FFFFFF" w:themeColor="background1"/>
                <w:szCs w:val="22"/>
              </w:rPr>
              <w:t xml:space="preserve"> Care</w:t>
            </w:r>
          </w:p>
        </w:tc>
        <w:tc>
          <w:tcPr>
            <w:tcW w:w="7324" w:type="dxa"/>
            <w:shd w:val="clear" w:color="auto" w:fill="FFFFFF" w:themeFill="background1"/>
            <w:tcMar>
              <w:top w:w="120" w:type="dxa"/>
              <w:left w:w="180" w:type="dxa"/>
              <w:bottom w:w="90" w:type="dxa"/>
              <w:right w:w="120" w:type="dxa"/>
            </w:tcMar>
          </w:tcPr>
          <w:p w14:paraId="4D103A5F" w14:textId="57F0293D" w:rsidR="3FF2767D" w:rsidRDefault="3FF2767D" w:rsidP="00DF3F6B">
            <w:pPr>
              <w:pStyle w:val="ListParagraph"/>
              <w:numPr>
                <w:ilvl w:val="0"/>
                <w:numId w:val="418"/>
              </w:numPr>
              <w:spacing w:before="240" w:after="240" w:line="240" w:lineRule="auto"/>
              <w:ind w:left="360"/>
              <w:rPr>
                <w:rFonts w:eastAsia="Arial"/>
                <w:color w:val="000000" w:themeColor="text1"/>
                <w:szCs w:val="22"/>
              </w:rPr>
            </w:pPr>
            <w:r w:rsidRPr="006D43D0">
              <w:rPr>
                <w:rFonts w:eastAsia="Arial"/>
                <w:color w:val="000000" w:themeColor="text1"/>
                <w:szCs w:val="22"/>
              </w:rPr>
              <w:t>Existing residents in care on 1 November 2025</w:t>
            </w:r>
            <w:r w:rsidRPr="3FF2767D">
              <w:rPr>
                <w:rFonts w:eastAsia="Arial"/>
                <w:color w:val="000000" w:themeColor="text1"/>
                <w:szCs w:val="22"/>
              </w:rPr>
              <w:t xml:space="preserve"> </w:t>
            </w:r>
            <w:r w:rsidR="005B3933">
              <w:rPr>
                <w:rFonts w:eastAsia="Arial"/>
                <w:color w:val="000000" w:themeColor="text1"/>
                <w:szCs w:val="22"/>
              </w:rPr>
              <w:t>were</w:t>
            </w:r>
            <w:r w:rsidRPr="3FF2767D">
              <w:rPr>
                <w:rFonts w:eastAsia="Arial"/>
                <w:color w:val="000000" w:themeColor="text1"/>
                <w:szCs w:val="22"/>
              </w:rPr>
              <w:t xml:space="preserve"> allocated a place to ensure no payment or continuity of care issues for the provider or older Australian.  This cohort of older Australians </w:t>
            </w:r>
            <w:r w:rsidR="00FA7152">
              <w:rPr>
                <w:rFonts w:eastAsia="Arial"/>
                <w:color w:val="000000" w:themeColor="text1"/>
                <w:szCs w:val="22"/>
              </w:rPr>
              <w:t>did</w:t>
            </w:r>
            <w:r w:rsidR="00FA7152" w:rsidRPr="3FF2767D">
              <w:rPr>
                <w:rFonts w:eastAsia="Arial"/>
                <w:color w:val="000000" w:themeColor="text1"/>
                <w:szCs w:val="22"/>
              </w:rPr>
              <w:t xml:space="preserve"> </w:t>
            </w:r>
            <w:r w:rsidRPr="3FF2767D">
              <w:rPr>
                <w:rFonts w:eastAsia="Arial"/>
                <w:color w:val="000000" w:themeColor="text1"/>
                <w:szCs w:val="22"/>
              </w:rPr>
              <w:t xml:space="preserve">not need to do anything to facilitate this allocation. </w:t>
            </w:r>
            <w:r w:rsidR="00FA7152">
              <w:rPr>
                <w:rFonts w:eastAsia="Arial"/>
                <w:color w:val="000000" w:themeColor="text1"/>
                <w:szCs w:val="22"/>
              </w:rPr>
              <w:t>It</w:t>
            </w:r>
            <w:r w:rsidRPr="3FF2767D">
              <w:rPr>
                <w:rFonts w:eastAsia="Arial"/>
                <w:color w:val="000000" w:themeColor="text1"/>
                <w:szCs w:val="22"/>
              </w:rPr>
              <w:t xml:space="preserve"> happen</w:t>
            </w:r>
            <w:r w:rsidR="00FA7152">
              <w:rPr>
                <w:rFonts w:eastAsia="Arial"/>
                <w:color w:val="000000" w:themeColor="text1"/>
                <w:szCs w:val="22"/>
              </w:rPr>
              <w:t>ed</w:t>
            </w:r>
            <w:r w:rsidRPr="3FF2767D">
              <w:rPr>
                <w:rFonts w:eastAsia="Arial"/>
                <w:color w:val="000000" w:themeColor="text1"/>
                <w:szCs w:val="22"/>
              </w:rPr>
              <w:t xml:space="preserve"> as part of the transition to the </w:t>
            </w:r>
            <w:r w:rsidR="007836DF">
              <w:rPr>
                <w:rFonts w:eastAsia="Arial"/>
                <w:color w:val="000000" w:themeColor="text1"/>
                <w:szCs w:val="22"/>
              </w:rPr>
              <w:t>Act</w:t>
            </w:r>
            <w:r w:rsidRPr="3FF2767D">
              <w:rPr>
                <w:rFonts w:eastAsia="Arial"/>
                <w:color w:val="000000" w:themeColor="text1"/>
                <w:szCs w:val="22"/>
              </w:rPr>
              <w:t xml:space="preserve">.  </w:t>
            </w:r>
          </w:p>
          <w:p w14:paraId="136EF8F8" w14:textId="26654ABE" w:rsidR="3FF2767D" w:rsidRDefault="3FF2767D" w:rsidP="00DF3F6B">
            <w:pPr>
              <w:pStyle w:val="ListParagraph"/>
              <w:numPr>
                <w:ilvl w:val="0"/>
                <w:numId w:val="418"/>
              </w:numPr>
              <w:spacing w:before="240" w:after="240" w:line="240" w:lineRule="auto"/>
              <w:ind w:left="360"/>
              <w:rPr>
                <w:rFonts w:eastAsia="Arial"/>
                <w:color w:val="000000" w:themeColor="text1"/>
                <w:szCs w:val="22"/>
              </w:rPr>
            </w:pPr>
            <w:r w:rsidRPr="006D43D0">
              <w:rPr>
                <w:rFonts w:eastAsia="Arial"/>
                <w:color w:val="000000" w:themeColor="text1"/>
                <w:szCs w:val="22"/>
              </w:rPr>
              <w:t xml:space="preserve">Older Australians who </w:t>
            </w:r>
            <w:r w:rsidR="00FA7152">
              <w:rPr>
                <w:rFonts w:eastAsia="Arial"/>
                <w:color w:val="000000" w:themeColor="text1"/>
                <w:szCs w:val="22"/>
              </w:rPr>
              <w:t>were</w:t>
            </w:r>
            <w:r w:rsidRPr="006D43D0">
              <w:rPr>
                <w:rFonts w:eastAsia="Arial"/>
                <w:color w:val="000000" w:themeColor="text1"/>
                <w:szCs w:val="22"/>
              </w:rPr>
              <w:t xml:space="preserve"> assessed and approved as requiring residential care, prior to 1 November 2025</w:t>
            </w:r>
            <w:r w:rsidRPr="3FF2767D">
              <w:rPr>
                <w:rFonts w:eastAsia="Arial"/>
                <w:color w:val="000000" w:themeColor="text1"/>
                <w:szCs w:val="22"/>
              </w:rPr>
              <w:t xml:space="preserve">, </w:t>
            </w:r>
            <w:r w:rsidR="00FA7152">
              <w:rPr>
                <w:rFonts w:eastAsia="Arial"/>
                <w:color w:val="000000" w:themeColor="text1"/>
                <w:szCs w:val="22"/>
              </w:rPr>
              <w:t>were</w:t>
            </w:r>
            <w:r w:rsidRPr="3FF2767D">
              <w:rPr>
                <w:rFonts w:eastAsia="Arial"/>
                <w:color w:val="000000" w:themeColor="text1"/>
                <w:szCs w:val="22"/>
              </w:rPr>
              <w:t xml:space="preserve"> automatically allocated a place and can enter care when they choose to.  </w:t>
            </w:r>
          </w:p>
        </w:tc>
      </w:tr>
    </w:tbl>
    <w:p w14:paraId="0AF5B350" w14:textId="04B94D17" w:rsidR="0096629B" w:rsidRDefault="0096629B" w:rsidP="00C56CEC">
      <w:pPr>
        <w:pStyle w:val="H3"/>
        <w:rPr>
          <w:lang w:val="en-AU"/>
        </w:rPr>
      </w:pPr>
      <w:bookmarkStart w:id="59" w:name="_Toc207291867"/>
      <w:r>
        <w:t>Transitioned Home Care Package</w:t>
      </w:r>
    </w:p>
    <w:p w14:paraId="2910A8E7" w14:textId="52C5C820" w:rsidR="0096629B" w:rsidRDefault="007B2894" w:rsidP="008E6691">
      <w:pPr>
        <w:spacing w:before="240" w:after="240" w:line="240" w:lineRule="auto"/>
      </w:pPr>
      <w:r>
        <w:t>All</w:t>
      </w:r>
      <w:r w:rsidR="0096629B">
        <w:t xml:space="preserve"> individuals </w:t>
      </w:r>
      <w:r w:rsidR="00855885">
        <w:t xml:space="preserve">who were </w:t>
      </w:r>
      <w:r w:rsidR="0096629B">
        <w:t xml:space="preserve">receiving a Home Care Package (HCP) </w:t>
      </w:r>
      <w:r w:rsidR="00855885">
        <w:t>on 1 November 2025 were</w:t>
      </w:r>
      <w:r w:rsidR="00B62430">
        <w:t xml:space="preserve"> </w:t>
      </w:r>
      <w:r w:rsidR="0049045D">
        <w:t>transitioned</w:t>
      </w:r>
      <w:r w:rsidR="0096629B">
        <w:t xml:space="preserve"> to the Support at Home program. At the point of transition, they </w:t>
      </w:r>
      <w:r w:rsidR="0049045D">
        <w:t xml:space="preserve">were </w:t>
      </w:r>
      <w:r w:rsidR="0096629B">
        <w:t xml:space="preserve">not assigned a Support at Home classification level (Levels 1–8). Instead, each person </w:t>
      </w:r>
      <w:r w:rsidR="0049045D">
        <w:t>was</w:t>
      </w:r>
      <w:r w:rsidR="0096629B">
        <w:t xml:space="preserve"> allocated one of four Transitioned Home Care Package classifications, based on their HCP level prior to 1 November</w:t>
      </w:r>
      <w:r w:rsidR="0049045D">
        <w:t xml:space="preserve"> 2025</w:t>
      </w:r>
      <w:r w:rsidR="0096629B">
        <w:t>.</w:t>
      </w:r>
    </w:p>
    <w:p w14:paraId="46435037" w14:textId="4E9ACC6E" w:rsidR="008911F1" w:rsidRDefault="0096629B" w:rsidP="008E6691">
      <w:pPr>
        <w:spacing w:before="240" w:after="240" w:line="240" w:lineRule="auto"/>
        <w:rPr>
          <w:noProof/>
          <w14:ligatures w14:val="standardContextual"/>
        </w:rPr>
      </w:pPr>
      <w:r w:rsidRPr="005F2FA6">
        <w:t>Clients can remain on these transitional classifications indefinitely</w:t>
      </w:r>
      <w:r w:rsidR="00C051DA">
        <w:t xml:space="preserve">, unless </w:t>
      </w:r>
      <w:r w:rsidR="004073BC">
        <w:t xml:space="preserve">assessed and </w:t>
      </w:r>
      <w:r w:rsidR="00C051DA">
        <w:t xml:space="preserve">approved for a </w:t>
      </w:r>
      <w:r w:rsidR="00DF4434">
        <w:t>Support at Home classification at a higher level</w:t>
      </w:r>
      <w:r w:rsidRPr="005F2FA6">
        <w:t xml:space="preserve">. </w:t>
      </w:r>
      <w:r w:rsidR="00CA5DD6">
        <w:t xml:space="preserve">A transitional classification can be retained </w:t>
      </w:r>
      <w:r w:rsidRPr="005F2FA6">
        <w:t xml:space="preserve">even if </w:t>
      </w:r>
      <w:r w:rsidR="00CA5DD6">
        <w:t>the client has</w:t>
      </w:r>
      <w:r w:rsidRPr="005F2FA6">
        <w:t xml:space="preserve"> a new assessment and the IAT </w:t>
      </w:r>
      <w:r w:rsidR="0049045D">
        <w:t>outcome</w:t>
      </w:r>
      <w:r w:rsidRPr="005F2FA6">
        <w:t xml:space="preserve"> </w:t>
      </w:r>
      <w:r w:rsidR="0049045D">
        <w:t>results in</w:t>
      </w:r>
      <w:r w:rsidR="0049045D" w:rsidRPr="005F2FA6">
        <w:t xml:space="preserve"> </w:t>
      </w:r>
      <w:r w:rsidRPr="005F2FA6">
        <w:t xml:space="preserve">a Support at Home classification level that would reduce their funding compared to their transitional level. When reassessing transitioned clients, assessors must ensure the transitional classification is retained when it is more beneficial </w:t>
      </w:r>
      <w:r w:rsidR="0049045D">
        <w:t>to</w:t>
      </w:r>
      <w:r w:rsidR="0049045D" w:rsidRPr="005F2FA6">
        <w:t xml:space="preserve"> </w:t>
      </w:r>
      <w:r w:rsidRPr="005F2FA6">
        <w:t>the client.</w:t>
      </w:r>
      <w:r w:rsidR="005F2FA6" w:rsidRPr="005F2FA6">
        <w:rPr>
          <w:noProof/>
          <w14:ligatures w14:val="standardContextual"/>
        </w:rPr>
        <w:t xml:space="preserve"> </w:t>
      </w:r>
    </w:p>
    <w:p w14:paraId="7021F37D" w14:textId="1292B5E5" w:rsidR="00ED0039" w:rsidRDefault="00ED0039" w:rsidP="00ED0039">
      <w:pPr>
        <w:rPr>
          <w:noProof/>
          <w14:ligatures w14:val="standardContextual"/>
        </w:rPr>
      </w:pPr>
      <w:r>
        <w:rPr>
          <w:noProof/>
          <w14:ligatures w14:val="standardContextual"/>
        </w:rPr>
        <w:br w:type="page"/>
      </w:r>
    </w:p>
    <w:p w14:paraId="529F5689" w14:textId="31A26A30" w:rsidR="009756A0" w:rsidRPr="00C42989" w:rsidRDefault="009756A0" w:rsidP="008E6691">
      <w:pPr>
        <w:spacing w:before="240" w:after="240" w:line="240" w:lineRule="auto"/>
        <w:rPr>
          <w:b/>
        </w:rPr>
      </w:pPr>
      <w:r>
        <w:rPr>
          <w:b/>
        </w:rPr>
        <w:t xml:space="preserve">Table </w:t>
      </w:r>
      <w:r w:rsidR="007B2894">
        <w:rPr>
          <w:b/>
        </w:rPr>
        <w:t>2</w:t>
      </w:r>
      <w:r>
        <w:rPr>
          <w:b/>
        </w:rPr>
        <w:t xml:space="preserve">: Transitioned levels and recommended outcomes </w: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1553"/>
        <w:gridCol w:w="3696"/>
        <w:gridCol w:w="4307"/>
      </w:tblGrid>
      <w:tr w:rsidR="009756A0" w:rsidRPr="00DB70E5" w14:paraId="34510D0F" w14:textId="77777777" w:rsidTr="00A17203">
        <w:trPr>
          <w:trHeight w:val="323"/>
          <w:tblHeader/>
        </w:trPr>
        <w:tc>
          <w:tcPr>
            <w:tcW w:w="1553" w:type="dxa"/>
            <w:shd w:val="clear" w:color="auto" w:fill="002060"/>
            <w:tcMar>
              <w:top w:w="72" w:type="dxa"/>
              <w:left w:w="144" w:type="dxa"/>
              <w:bottom w:w="72" w:type="dxa"/>
              <w:right w:w="144" w:type="dxa"/>
            </w:tcMar>
            <w:hideMark/>
          </w:tcPr>
          <w:p w14:paraId="45C7950B"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b/>
                <w:color w:val="FFFFFF" w:themeColor="background1"/>
                <w:kern w:val="24"/>
                <w:szCs w:val="22"/>
                <w:lang w:val="en-AU"/>
              </w:rPr>
              <w:t>Transition level</w:t>
            </w:r>
          </w:p>
        </w:tc>
        <w:tc>
          <w:tcPr>
            <w:tcW w:w="3696" w:type="dxa"/>
            <w:shd w:val="clear" w:color="auto" w:fill="002060"/>
            <w:tcMar>
              <w:top w:w="72" w:type="dxa"/>
              <w:left w:w="144" w:type="dxa"/>
              <w:bottom w:w="72" w:type="dxa"/>
              <w:right w:w="144" w:type="dxa"/>
            </w:tcMar>
            <w:hideMark/>
          </w:tcPr>
          <w:p w14:paraId="14ADA795"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b/>
                <w:color w:val="FFFFFF" w:themeColor="background1"/>
                <w:kern w:val="24"/>
                <w:szCs w:val="22"/>
                <w:lang w:val="en-AU"/>
              </w:rPr>
              <w:t>IAT Outcome</w:t>
            </w:r>
          </w:p>
        </w:tc>
        <w:tc>
          <w:tcPr>
            <w:tcW w:w="4307" w:type="dxa"/>
            <w:shd w:val="clear" w:color="auto" w:fill="002060"/>
            <w:tcMar>
              <w:top w:w="72" w:type="dxa"/>
              <w:left w:w="144" w:type="dxa"/>
              <w:bottom w:w="72" w:type="dxa"/>
              <w:right w:w="144" w:type="dxa"/>
            </w:tcMar>
            <w:hideMark/>
          </w:tcPr>
          <w:p w14:paraId="6502B7C6" w14:textId="195C3080" w:rsidR="009756A0" w:rsidRPr="00DB70E5" w:rsidRDefault="009756A0" w:rsidP="008E6691">
            <w:pPr>
              <w:spacing w:before="240" w:after="240" w:line="240" w:lineRule="auto"/>
              <w:rPr>
                <w:rFonts w:eastAsia="Times New Roman"/>
                <w:szCs w:val="22"/>
                <w:lang w:val="en-AU"/>
              </w:rPr>
            </w:pPr>
            <w:r w:rsidRPr="00DB70E5">
              <w:rPr>
                <w:rFonts w:eastAsia="Times New Roman"/>
                <w:b/>
                <w:color w:val="FFFFFF" w:themeColor="background1"/>
                <w:kern w:val="24"/>
                <w:szCs w:val="22"/>
                <w:lang w:val="en-AU"/>
              </w:rPr>
              <w:t>Recommended outcome</w:t>
            </w:r>
          </w:p>
        </w:tc>
      </w:tr>
      <w:tr w:rsidR="009756A0" w:rsidRPr="00DB70E5" w14:paraId="3553340A" w14:textId="77777777" w:rsidTr="009924BE">
        <w:trPr>
          <w:trHeight w:val="196"/>
        </w:trPr>
        <w:tc>
          <w:tcPr>
            <w:tcW w:w="1553" w:type="dxa"/>
            <w:vMerge w:val="restart"/>
            <w:tcMar>
              <w:top w:w="72" w:type="dxa"/>
              <w:left w:w="144" w:type="dxa"/>
              <w:bottom w:w="72" w:type="dxa"/>
              <w:right w:w="144" w:type="dxa"/>
            </w:tcMar>
            <w:hideMark/>
          </w:tcPr>
          <w:p w14:paraId="246EC208"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1</w:t>
            </w:r>
          </w:p>
        </w:tc>
        <w:tc>
          <w:tcPr>
            <w:tcW w:w="3696" w:type="dxa"/>
            <w:tcMar>
              <w:top w:w="72" w:type="dxa"/>
              <w:left w:w="144" w:type="dxa"/>
              <w:bottom w:w="72" w:type="dxa"/>
              <w:right w:w="144" w:type="dxa"/>
            </w:tcMar>
            <w:hideMark/>
          </w:tcPr>
          <w:p w14:paraId="48166E9E" w14:textId="77777777" w:rsidR="009756A0" w:rsidRPr="00DB70E5" w:rsidRDefault="009756A0" w:rsidP="008E6691">
            <w:pPr>
              <w:spacing w:before="240" w:after="240" w:line="240" w:lineRule="auto"/>
              <w:rPr>
                <w:rFonts w:eastAsia="Times New Roman"/>
                <w:color w:val="000000" w:themeColor="text1"/>
                <w:szCs w:val="22"/>
                <w:lang w:val="en-AU"/>
              </w:rPr>
            </w:pPr>
            <w:r w:rsidRPr="00DB70E5">
              <w:rPr>
                <w:rFonts w:eastAsia="Times New Roman"/>
                <w:color w:val="000000" w:themeColor="text1"/>
                <w:kern w:val="24"/>
                <w:szCs w:val="22"/>
                <w:lang w:val="en-AU"/>
              </w:rPr>
              <w:t>CHSP</w:t>
            </w:r>
          </w:p>
          <w:p w14:paraId="1F9E88B4"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szCs w:val="22"/>
                <w:lang w:val="en-AU"/>
              </w:rPr>
              <w:t>Support at Home Classification 1</w:t>
            </w:r>
          </w:p>
        </w:tc>
        <w:tc>
          <w:tcPr>
            <w:tcW w:w="4307" w:type="dxa"/>
            <w:tcMar>
              <w:top w:w="72" w:type="dxa"/>
              <w:left w:w="144" w:type="dxa"/>
              <w:bottom w:w="72" w:type="dxa"/>
              <w:right w:w="144" w:type="dxa"/>
            </w:tcMar>
            <w:hideMark/>
          </w:tcPr>
          <w:p w14:paraId="1FEF2B0C"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1</w:t>
            </w:r>
          </w:p>
        </w:tc>
      </w:tr>
      <w:tr w:rsidR="009756A0" w:rsidRPr="00DB70E5" w14:paraId="4426AAD6" w14:textId="77777777" w:rsidTr="009924BE">
        <w:trPr>
          <w:trHeight w:val="196"/>
        </w:trPr>
        <w:tc>
          <w:tcPr>
            <w:tcW w:w="1553" w:type="dxa"/>
            <w:vMerge/>
            <w:vAlign w:val="center"/>
            <w:hideMark/>
          </w:tcPr>
          <w:p w14:paraId="540044D0" w14:textId="77777777" w:rsidR="009756A0" w:rsidRPr="0067493C" w:rsidRDefault="009756A0" w:rsidP="008E6691">
            <w:pPr>
              <w:spacing w:before="240" w:after="240" w:line="240" w:lineRule="auto"/>
              <w:rPr>
                <w:rFonts w:eastAsia="Times New Roman"/>
                <w:bCs/>
                <w:szCs w:val="22"/>
                <w:lang w:val="en-AU"/>
              </w:rPr>
            </w:pPr>
          </w:p>
        </w:tc>
        <w:tc>
          <w:tcPr>
            <w:tcW w:w="3696" w:type="dxa"/>
            <w:tcMar>
              <w:top w:w="72" w:type="dxa"/>
              <w:left w:w="144" w:type="dxa"/>
              <w:bottom w:w="72" w:type="dxa"/>
              <w:right w:w="144" w:type="dxa"/>
            </w:tcMar>
            <w:hideMark/>
          </w:tcPr>
          <w:p w14:paraId="295CCFF5"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2-8</w:t>
            </w:r>
          </w:p>
        </w:tc>
        <w:tc>
          <w:tcPr>
            <w:tcW w:w="4307" w:type="dxa"/>
            <w:tcMar>
              <w:top w:w="72" w:type="dxa"/>
              <w:left w:w="144" w:type="dxa"/>
              <w:bottom w:w="72" w:type="dxa"/>
              <w:right w:w="144" w:type="dxa"/>
            </w:tcMar>
            <w:hideMark/>
          </w:tcPr>
          <w:p w14:paraId="68A2AF29" w14:textId="053E6280"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Support at Home 2-8 Class</w:t>
            </w:r>
            <w:r w:rsidR="007D783B">
              <w:rPr>
                <w:rFonts w:eastAsia="Times New Roman"/>
                <w:color w:val="000000" w:themeColor="text1"/>
                <w:kern w:val="24"/>
                <w:szCs w:val="22"/>
                <w:lang w:val="en-AU"/>
              </w:rPr>
              <w:t xml:space="preserve"> aligning with IAT outcome</w:t>
            </w:r>
            <w:r w:rsidRPr="00DB70E5">
              <w:rPr>
                <w:rFonts w:eastAsia="Times New Roman"/>
                <w:color w:val="000000" w:themeColor="text1"/>
                <w:kern w:val="24"/>
                <w:szCs w:val="22"/>
                <w:lang w:val="en-AU"/>
              </w:rPr>
              <w:t>.</w:t>
            </w:r>
          </w:p>
        </w:tc>
      </w:tr>
      <w:tr w:rsidR="009756A0" w:rsidRPr="00DB70E5" w14:paraId="4FB07DB5" w14:textId="77777777" w:rsidTr="009924BE">
        <w:trPr>
          <w:trHeight w:val="253"/>
        </w:trPr>
        <w:tc>
          <w:tcPr>
            <w:tcW w:w="1553" w:type="dxa"/>
            <w:vMerge w:val="restart"/>
            <w:tcMar>
              <w:top w:w="72" w:type="dxa"/>
              <w:left w:w="144" w:type="dxa"/>
              <w:bottom w:w="72" w:type="dxa"/>
              <w:right w:w="144" w:type="dxa"/>
            </w:tcMar>
            <w:hideMark/>
          </w:tcPr>
          <w:p w14:paraId="1A749FA6"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2</w:t>
            </w:r>
          </w:p>
        </w:tc>
        <w:tc>
          <w:tcPr>
            <w:tcW w:w="3696" w:type="dxa"/>
            <w:tcMar>
              <w:top w:w="72" w:type="dxa"/>
              <w:left w:w="144" w:type="dxa"/>
              <w:bottom w:w="72" w:type="dxa"/>
              <w:right w:w="144" w:type="dxa"/>
            </w:tcMar>
            <w:hideMark/>
          </w:tcPr>
          <w:p w14:paraId="071D56DC" w14:textId="77777777" w:rsidR="009756A0" w:rsidRPr="00DB70E5" w:rsidRDefault="009756A0" w:rsidP="008E6691">
            <w:pPr>
              <w:spacing w:before="240" w:after="240" w:line="240" w:lineRule="auto"/>
              <w:rPr>
                <w:rFonts w:eastAsia="Times New Roman"/>
                <w:color w:val="000000" w:themeColor="text1"/>
                <w:kern w:val="24"/>
                <w:szCs w:val="22"/>
                <w:lang w:val="en-AU"/>
              </w:rPr>
            </w:pPr>
            <w:r w:rsidRPr="00DB70E5">
              <w:rPr>
                <w:rFonts w:eastAsia="Times New Roman"/>
                <w:color w:val="000000" w:themeColor="text1"/>
                <w:kern w:val="24"/>
                <w:szCs w:val="22"/>
                <w:lang w:val="en-AU"/>
              </w:rPr>
              <w:t>CHSP</w:t>
            </w:r>
          </w:p>
          <w:p w14:paraId="0B99E834"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1-2</w:t>
            </w:r>
          </w:p>
        </w:tc>
        <w:tc>
          <w:tcPr>
            <w:tcW w:w="4307" w:type="dxa"/>
            <w:tcMar>
              <w:top w:w="72" w:type="dxa"/>
              <w:left w:w="144" w:type="dxa"/>
              <w:bottom w:w="72" w:type="dxa"/>
              <w:right w:w="144" w:type="dxa"/>
            </w:tcMar>
            <w:hideMark/>
          </w:tcPr>
          <w:p w14:paraId="2A6DC1CC"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2</w:t>
            </w:r>
          </w:p>
        </w:tc>
      </w:tr>
      <w:tr w:rsidR="009756A0" w:rsidRPr="00DB70E5" w14:paraId="342FB0BC" w14:textId="77777777" w:rsidTr="009924BE">
        <w:trPr>
          <w:trHeight w:val="253"/>
        </w:trPr>
        <w:tc>
          <w:tcPr>
            <w:tcW w:w="1553" w:type="dxa"/>
            <w:vMerge/>
            <w:vAlign w:val="center"/>
            <w:hideMark/>
          </w:tcPr>
          <w:p w14:paraId="40D37759" w14:textId="77777777" w:rsidR="009756A0" w:rsidRPr="0067493C" w:rsidRDefault="009756A0" w:rsidP="008E6691">
            <w:pPr>
              <w:spacing w:before="240" w:after="240" w:line="240" w:lineRule="auto"/>
              <w:rPr>
                <w:rFonts w:eastAsia="Times New Roman"/>
                <w:bCs/>
                <w:szCs w:val="22"/>
                <w:lang w:val="en-AU"/>
              </w:rPr>
            </w:pPr>
          </w:p>
        </w:tc>
        <w:tc>
          <w:tcPr>
            <w:tcW w:w="3696" w:type="dxa"/>
            <w:tcMar>
              <w:top w:w="72" w:type="dxa"/>
              <w:left w:w="144" w:type="dxa"/>
              <w:bottom w:w="72" w:type="dxa"/>
              <w:right w:w="144" w:type="dxa"/>
            </w:tcMar>
            <w:hideMark/>
          </w:tcPr>
          <w:p w14:paraId="0B966F12"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3-8</w:t>
            </w:r>
          </w:p>
        </w:tc>
        <w:tc>
          <w:tcPr>
            <w:tcW w:w="4307" w:type="dxa"/>
            <w:tcMar>
              <w:top w:w="72" w:type="dxa"/>
              <w:left w:w="144" w:type="dxa"/>
              <w:bottom w:w="72" w:type="dxa"/>
              <w:right w:w="144" w:type="dxa"/>
            </w:tcMar>
            <w:hideMark/>
          </w:tcPr>
          <w:p w14:paraId="252FC1EF" w14:textId="4555705D"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Support at Home 3-8 Class</w:t>
            </w:r>
            <w:r w:rsidR="007D783B">
              <w:rPr>
                <w:rFonts w:eastAsia="Times New Roman"/>
                <w:color w:val="000000" w:themeColor="text1"/>
                <w:kern w:val="24"/>
                <w:szCs w:val="22"/>
                <w:lang w:val="en-AU"/>
              </w:rPr>
              <w:t xml:space="preserve"> aligning with IAT outcome</w:t>
            </w:r>
            <w:r w:rsidRPr="00DB70E5">
              <w:rPr>
                <w:rFonts w:eastAsia="Times New Roman"/>
                <w:color w:val="000000" w:themeColor="text1"/>
                <w:kern w:val="24"/>
                <w:szCs w:val="22"/>
                <w:lang w:val="en-AU"/>
              </w:rPr>
              <w:t>.</w:t>
            </w:r>
          </w:p>
        </w:tc>
      </w:tr>
      <w:tr w:rsidR="009756A0" w:rsidRPr="00DB70E5" w14:paraId="1988AC05" w14:textId="77777777" w:rsidTr="009924BE">
        <w:trPr>
          <w:trHeight w:val="253"/>
        </w:trPr>
        <w:tc>
          <w:tcPr>
            <w:tcW w:w="1553" w:type="dxa"/>
            <w:vMerge w:val="restart"/>
            <w:tcMar>
              <w:top w:w="72" w:type="dxa"/>
              <w:left w:w="144" w:type="dxa"/>
              <w:bottom w:w="72" w:type="dxa"/>
              <w:right w:w="144" w:type="dxa"/>
            </w:tcMar>
            <w:hideMark/>
          </w:tcPr>
          <w:p w14:paraId="249BFE01"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3</w:t>
            </w:r>
          </w:p>
        </w:tc>
        <w:tc>
          <w:tcPr>
            <w:tcW w:w="3696" w:type="dxa"/>
            <w:tcMar>
              <w:top w:w="72" w:type="dxa"/>
              <w:left w:w="144" w:type="dxa"/>
              <w:bottom w:w="72" w:type="dxa"/>
              <w:right w:w="144" w:type="dxa"/>
            </w:tcMar>
            <w:hideMark/>
          </w:tcPr>
          <w:p w14:paraId="0F6C40D0" w14:textId="77777777" w:rsidR="009756A0" w:rsidRPr="00DB70E5" w:rsidRDefault="009756A0" w:rsidP="008E6691">
            <w:pPr>
              <w:spacing w:before="240" w:after="240" w:line="240" w:lineRule="auto"/>
              <w:rPr>
                <w:rFonts w:eastAsia="Times New Roman"/>
                <w:color w:val="000000" w:themeColor="text1"/>
                <w:kern w:val="24"/>
                <w:szCs w:val="22"/>
                <w:lang w:val="en-AU"/>
              </w:rPr>
            </w:pPr>
            <w:r w:rsidRPr="00DB70E5">
              <w:rPr>
                <w:rFonts w:eastAsia="Times New Roman"/>
                <w:color w:val="000000" w:themeColor="text1"/>
                <w:kern w:val="24"/>
                <w:szCs w:val="22"/>
                <w:lang w:val="en-AU"/>
              </w:rPr>
              <w:t>CHSP</w:t>
            </w:r>
          </w:p>
          <w:p w14:paraId="46FF13E0"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1-5</w:t>
            </w:r>
          </w:p>
        </w:tc>
        <w:tc>
          <w:tcPr>
            <w:tcW w:w="4307" w:type="dxa"/>
            <w:tcMar>
              <w:top w:w="72" w:type="dxa"/>
              <w:left w:w="144" w:type="dxa"/>
              <w:bottom w:w="72" w:type="dxa"/>
              <w:right w:w="144" w:type="dxa"/>
            </w:tcMar>
            <w:hideMark/>
          </w:tcPr>
          <w:p w14:paraId="42AA4793"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3</w:t>
            </w:r>
          </w:p>
        </w:tc>
      </w:tr>
      <w:tr w:rsidR="009756A0" w:rsidRPr="00DB70E5" w14:paraId="59135935" w14:textId="77777777" w:rsidTr="009924BE">
        <w:trPr>
          <w:trHeight w:val="253"/>
        </w:trPr>
        <w:tc>
          <w:tcPr>
            <w:tcW w:w="1553" w:type="dxa"/>
            <w:vMerge/>
            <w:vAlign w:val="center"/>
            <w:hideMark/>
          </w:tcPr>
          <w:p w14:paraId="2B3BF896" w14:textId="77777777" w:rsidR="009756A0" w:rsidRPr="0067493C" w:rsidRDefault="009756A0" w:rsidP="008E6691">
            <w:pPr>
              <w:spacing w:before="240" w:after="240" w:line="240" w:lineRule="auto"/>
              <w:rPr>
                <w:rFonts w:eastAsia="Times New Roman"/>
                <w:bCs/>
                <w:szCs w:val="22"/>
                <w:lang w:val="en-AU"/>
              </w:rPr>
            </w:pPr>
          </w:p>
        </w:tc>
        <w:tc>
          <w:tcPr>
            <w:tcW w:w="3696" w:type="dxa"/>
            <w:tcMar>
              <w:top w:w="72" w:type="dxa"/>
              <w:left w:w="144" w:type="dxa"/>
              <w:bottom w:w="72" w:type="dxa"/>
              <w:right w:w="144" w:type="dxa"/>
            </w:tcMar>
            <w:hideMark/>
          </w:tcPr>
          <w:p w14:paraId="36BC51E2"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6-8</w:t>
            </w:r>
          </w:p>
        </w:tc>
        <w:tc>
          <w:tcPr>
            <w:tcW w:w="4307" w:type="dxa"/>
            <w:tcMar>
              <w:top w:w="72" w:type="dxa"/>
              <w:left w:w="144" w:type="dxa"/>
              <w:bottom w:w="72" w:type="dxa"/>
              <w:right w:w="144" w:type="dxa"/>
            </w:tcMar>
            <w:hideMark/>
          </w:tcPr>
          <w:p w14:paraId="719E1833" w14:textId="79C46B89"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Support at Home 6-8 Class</w:t>
            </w:r>
            <w:r w:rsidR="007D783B">
              <w:rPr>
                <w:rFonts w:eastAsia="Times New Roman"/>
                <w:color w:val="000000" w:themeColor="text1"/>
                <w:kern w:val="24"/>
                <w:szCs w:val="22"/>
                <w:lang w:val="en-AU"/>
              </w:rPr>
              <w:t xml:space="preserve"> aligning with IAT outcome</w:t>
            </w:r>
            <w:r w:rsidRPr="00DB70E5">
              <w:rPr>
                <w:rFonts w:eastAsia="Times New Roman"/>
                <w:color w:val="000000" w:themeColor="text1"/>
                <w:kern w:val="24"/>
                <w:szCs w:val="22"/>
                <w:lang w:val="en-AU"/>
              </w:rPr>
              <w:t>.</w:t>
            </w:r>
          </w:p>
        </w:tc>
      </w:tr>
      <w:tr w:rsidR="009756A0" w:rsidRPr="00DB70E5" w14:paraId="43B5D986" w14:textId="77777777" w:rsidTr="009924BE">
        <w:trPr>
          <w:trHeight w:val="253"/>
        </w:trPr>
        <w:tc>
          <w:tcPr>
            <w:tcW w:w="1553" w:type="dxa"/>
            <w:vMerge w:val="restart"/>
            <w:tcMar>
              <w:top w:w="72" w:type="dxa"/>
              <w:left w:w="144" w:type="dxa"/>
              <w:bottom w:w="72" w:type="dxa"/>
              <w:right w:w="144" w:type="dxa"/>
            </w:tcMar>
            <w:hideMark/>
          </w:tcPr>
          <w:p w14:paraId="565229AF" w14:textId="77777777" w:rsidR="009756A0" w:rsidRPr="0067493C" w:rsidRDefault="009756A0" w:rsidP="008E6691">
            <w:pPr>
              <w:spacing w:before="240" w:after="240" w:line="240" w:lineRule="auto"/>
              <w:rPr>
                <w:rFonts w:eastAsia="Times New Roman"/>
                <w:bCs/>
                <w:szCs w:val="22"/>
                <w:lang w:val="en-AU"/>
              </w:rPr>
            </w:pPr>
            <w:r w:rsidRPr="0067493C">
              <w:rPr>
                <w:rFonts w:eastAsia="Times New Roman"/>
                <w:bCs/>
                <w:color w:val="000000" w:themeColor="text1"/>
                <w:kern w:val="24"/>
                <w:szCs w:val="22"/>
                <w:lang w:val="en-AU"/>
              </w:rPr>
              <w:t>Transitioned HCP 4</w:t>
            </w:r>
          </w:p>
        </w:tc>
        <w:tc>
          <w:tcPr>
            <w:tcW w:w="3696" w:type="dxa"/>
            <w:tcMar>
              <w:top w:w="72" w:type="dxa"/>
              <w:left w:w="144" w:type="dxa"/>
              <w:bottom w:w="72" w:type="dxa"/>
              <w:right w:w="144" w:type="dxa"/>
            </w:tcMar>
            <w:hideMark/>
          </w:tcPr>
          <w:p w14:paraId="2915F9D7" w14:textId="77777777" w:rsidR="009756A0" w:rsidRPr="00DB70E5" w:rsidRDefault="009756A0" w:rsidP="008E6691">
            <w:pPr>
              <w:spacing w:before="240" w:after="240" w:line="240" w:lineRule="auto"/>
              <w:rPr>
                <w:rFonts w:eastAsia="Times New Roman"/>
                <w:color w:val="000000" w:themeColor="text1"/>
                <w:kern w:val="24"/>
                <w:szCs w:val="22"/>
                <w:lang w:val="en-AU"/>
              </w:rPr>
            </w:pPr>
            <w:r w:rsidRPr="00DB70E5">
              <w:rPr>
                <w:rFonts w:eastAsia="Times New Roman"/>
                <w:color w:val="000000" w:themeColor="text1"/>
                <w:kern w:val="24"/>
                <w:szCs w:val="22"/>
                <w:lang w:val="en-AU"/>
              </w:rPr>
              <w:t>CHSP</w:t>
            </w:r>
          </w:p>
          <w:p w14:paraId="4B1E69B9"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1-7</w:t>
            </w:r>
          </w:p>
        </w:tc>
        <w:tc>
          <w:tcPr>
            <w:tcW w:w="4307" w:type="dxa"/>
            <w:tcMar>
              <w:top w:w="72" w:type="dxa"/>
              <w:left w:w="144" w:type="dxa"/>
              <w:bottom w:w="72" w:type="dxa"/>
              <w:right w:w="144" w:type="dxa"/>
            </w:tcMar>
            <w:hideMark/>
          </w:tcPr>
          <w:p w14:paraId="68CAB605"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Retain Transitioned HCP 4</w:t>
            </w:r>
          </w:p>
        </w:tc>
      </w:tr>
      <w:tr w:rsidR="009756A0" w:rsidRPr="00DB70E5" w14:paraId="419019A4" w14:textId="77777777" w:rsidTr="009924BE">
        <w:trPr>
          <w:trHeight w:val="253"/>
        </w:trPr>
        <w:tc>
          <w:tcPr>
            <w:tcW w:w="1553" w:type="dxa"/>
            <w:vMerge/>
            <w:vAlign w:val="center"/>
            <w:hideMark/>
          </w:tcPr>
          <w:p w14:paraId="3266BF40" w14:textId="77777777" w:rsidR="009756A0" w:rsidRPr="00DB70E5" w:rsidRDefault="009756A0" w:rsidP="008E6691">
            <w:pPr>
              <w:spacing w:before="240" w:after="240" w:line="240" w:lineRule="auto"/>
              <w:rPr>
                <w:rFonts w:eastAsia="Times New Roman"/>
                <w:szCs w:val="22"/>
                <w:lang w:val="en-AU"/>
              </w:rPr>
            </w:pPr>
          </w:p>
        </w:tc>
        <w:tc>
          <w:tcPr>
            <w:tcW w:w="3696" w:type="dxa"/>
            <w:tcMar>
              <w:top w:w="72" w:type="dxa"/>
              <w:left w:w="144" w:type="dxa"/>
              <w:bottom w:w="72" w:type="dxa"/>
              <w:right w:w="144" w:type="dxa"/>
            </w:tcMar>
            <w:hideMark/>
          </w:tcPr>
          <w:p w14:paraId="2AC3BE5D" w14:textId="77777777"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Support at Home Classification 8</w:t>
            </w:r>
          </w:p>
        </w:tc>
        <w:tc>
          <w:tcPr>
            <w:tcW w:w="4307" w:type="dxa"/>
            <w:tcMar>
              <w:top w:w="72" w:type="dxa"/>
              <w:left w:w="144" w:type="dxa"/>
              <w:bottom w:w="72" w:type="dxa"/>
              <w:right w:w="144" w:type="dxa"/>
            </w:tcMar>
            <w:hideMark/>
          </w:tcPr>
          <w:p w14:paraId="326AAD88" w14:textId="1F7B95C8" w:rsidR="009756A0" w:rsidRPr="00DB70E5" w:rsidRDefault="009756A0" w:rsidP="008E6691">
            <w:pPr>
              <w:spacing w:before="240" w:after="240" w:line="240" w:lineRule="auto"/>
              <w:rPr>
                <w:rFonts w:eastAsia="Times New Roman"/>
                <w:szCs w:val="22"/>
                <w:lang w:val="en-AU"/>
              </w:rPr>
            </w:pPr>
            <w:r w:rsidRPr="00DB70E5">
              <w:rPr>
                <w:rFonts w:eastAsia="Times New Roman"/>
                <w:color w:val="000000" w:themeColor="text1"/>
                <w:kern w:val="24"/>
                <w:szCs w:val="22"/>
                <w:lang w:val="en-AU"/>
              </w:rPr>
              <w:t>Use Support at Home 8 Class</w:t>
            </w:r>
            <w:r w:rsidR="007D783B">
              <w:rPr>
                <w:rFonts w:eastAsia="Times New Roman"/>
                <w:color w:val="000000" w:themeColor="text1"/>
                <w:kern w:val="24"/>
                <w:szCs w:val="22"/>
                <w:lang w:val="en-AU"/>
              </w:rPr>
              <w:t xml:space="preserve"> aligning with IAT outcome</w:t>
            </w:r>
            <w:r w:rsidRPr="00DB70E5">
              <w:rPr>
                <w:rFonts w:eastAsia="Times New Roman"/>
                <w:color w:val="000000" w:themeColor="text1"/>
                <w:kern w:val="24"/>
                <w:szCs w:val="22"/>
                <w:lang w:val="en-AU"/>
              </w:rPr>
              <w:t>.</w:t>
            </w:r>
          </w:p>
        </w:tc>
      </w:tr>
    </w:tbl>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564ED9" w:rsidRPr="00C42989" w14:paraId="648EA350" w14:textId="77777777">
        <w:trPr>
          <w:trHeight w:val="300"/>
        </w:trPr>
        <w:tc>
          <w:tcPr>
            <w:tcW w:w="988" w:type="dxa"/>
            <w:vAlign w:val="center"/>
          </w:tcPr>
          <w:p w14:paraId="783D0F7F" w14:textId="77777777" w:rsidR="00564ED9" w:rsidRPr="00C42989" w:rsidRDefault="00564ED9" w:rsidP="008E6691">
            <w:pPr>
              <w:spacing w:before="240" w:after="240"/>
            </w:pPr>
            <w:r w:rsidRPr="00C42989">
              <w:rPr>
                <w:noProof/>
              </w:rPr>
              <w:drawing>
                <wp:inline distT="0" distB="0" distL="0" distR="0" wp14:anchorId="4F1C1EE9" wp14:editId="04DAAB3D">
                  <wp:extent cx="447675" cy="438150"/>
                  <wp:effectExtent l="0" t="0" r="0" b="0"/>
                  <wp:docPr id="1704360653" name="Picture 17043606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59887F75" w14:textId="77777777" w:rsidR="00564ED9" w:rsidRPr="00C42989" w:rsidRDefault="00564ED9" w:rsidP="008E6691">
            <w:pPr>
              <w:spacing w:before="240" w:after="240"/>
            </w:pPr>
            <w:r w:rsidRPr="00C42989">
              <w:rPr>
                <w:i/>
              </w:rPr>
              <w:t>Section 6.7 Classification</w:t>
            </w:r>
            <w:r w:rsidRPr="00C42989">
              <w:t xml:space="preserve"> of the </w:t>
            </w:r>
            <w:hyperlink r:id="rId45">
              <w:r w:rsidRPr="00C42989">
                <w:rPr>
                  <w:rStyle w:val="Hyperlink"/>
                </w:rPr>
                <w:t>Support at Home Manual</w:t>
              </w:r>
            </w:hyperlink>
            <w:r w:rsidRPr="00C42989">
              <w:t>.</w:t>
            </w:r>
          </w:p>
        </w:tc>
      </w:tr>
    </w:tbl>
    <w:p w14:paraId="23983DB9" w14:textId="7D46CD23" w:rsidR="007537AC" w:rsidRPr="007537AC" w:rsidRDefault="007537AC" w:rsidP="00C56CEC">
      <w:pPr>
        <w:pStyle w:val="H3"/>
      </w:pPr>
      <w:r w:rsidRPr="007537AC">
        <w:t xml:space="preserve">Support </w:t>
      </w:r>
      <w:r w:rsidR="27013B10">
        <w:t>p</w:t>
      </w:r>
      <w:r>
        <w:t xml:space="preserve">lan </w:t>
      </w:r>
      <w:r w:rsidR="3E3EA274">
        <w:t>r</w:t>
      </w:r>
      <w:r w:rsidRPr="007537AC">
        <w:t>eviews for transitioned H</w:t>
      </w:r>
      <w:r w:rsidR="00315F22">
        <w:t xml:space="preserve">ome </w:t>
      </w:r>
      <w:r w:rsidRPr="007537AC">
        <w:t>C</w:t>
      </w:r>
      <w:r w:rsidR="00315F22">
        <w:t xml:space="preserve">are </w:t>
      </w:r>
      <w:r w:rsidRPr="007537AC">
        <w:t>P</w:t>
      </w:r>
      <w:r w:rsidR="00315F22">
        <w:t>ackage</w:t>
      </w:r>
      <w:r w:rsidRPr="007537AC">
        <w:t xml:space="preserve"> </w:t>
      </w:r>
      <w:r w:rsidR="00F029B1">
        <w:t>(HCP)</w:t>
      </w:r>
      <w:r w:rsidRPr="007537AC">
        <w:t xml:space="preserve"> clients</w:t>
      </w:r>
    </w:p>
    <w:p w14:paraId="32031173" w14:textId="3273CEE0" w:rsidR="00B7112F" w:rsidRDefault="007537AC" w:rsidP="008E6691">
      <w:pPr>
        <w:spacing w:before="240" w:after="240" w:line="240" w:lineRule="auto"/>
        <w:rPr>
          <w:lang w:val="en-AU"/>
        </w:rPr>
      </w:pPr>
      <w:r w:rsidRPr="007537AC">
        <w:rPr>
          <w:lang w:val="en-AU"/>
        </w:rPr>
        <w:t xml:space="preserve">Transitioned HCP clients will continue to be eligible for </w:t>
      </w:r>
      <w:r w:rsidR="5B9ECC19" w:rsidRPr="529FE229">
        <w:rPr>
          <w:lang w:val="en-AU"/>
        </w:rPr>
        <w:t>s</w:t>
      </w:r>
      <w:r w:rsidRPr="529FE229">
        <w:rPr>
          <w:lang w:val="en-AU"/>
        </w:rPr>
        <w:t xml:space="preserve">upport </w:t>
      </w:r>
      <w:r w:rsidR="04B3F452" w:rsidRPr="529FE229">
        <w:rPr>
          <w:lang w:val="en-AU"/>
        </w:rPr>
        <w:t>p</w:t>
      </w:r>
      <w:r w:rsidRPr="529FE229">
        <w:rPr>
          <w:lang w:val="en-AU"/>
        </w:rPr>
        <w:t xml:space="preserve">lan </w:t>
      </w:r>
      <w:r w:rsidR="7042D11B" w:rsidRPr="529FE229">
        <w:rPr>
          <w:lang w:val="en-AU"/>
        </w:rPr>
        <w:t>r</w:t>
      </w:r>
      <w:r w:rsidRPr="007537AC">
        <w:rPr>
          <w:lang w:val="en-AU"/>
        </w:rPr>
        <w:t>eviews (SPRs) under the same process currently in place. However, in line with existing procedures, if it is determined that a client’s circumstances ha</w:t>
      </w:r>
      <w:r w:rsidR="009220B7">
        <w:rPr>
          <w:lang w:val="en-AU"/>
        </w:rPr>
        <w:t>ve</w:t>
      </w:r>
      <w:r w:rsidRPr="007537AC">
        <w:rPr>
          <w:lang w:val="en-AU"/>
        </w:rPr>
        <w:t xml:space="preserve"> changed </w:t>
      </w:r>
      <w:r w:rsidR="009836A2">
        <w:rPr>
          <w:lang w:val="en-AU"/>
        </w:rPr>
        <w:t>significantly</w:t>
      </w:r>
      <w:r w:rsidRPr="007537AC">
        <w:rPr>
          <w:lang w:val="en-AU"/>
        </w:rPr>
        <w:t xml:space="preserve">, a </w:t>
      </w:r>
      <w:r w:rsidR="00AC54DA">
        <w:rPr>
          <w:lang w:val="en-AU"/>
        </w:rPr>
        <w:t>re</w:t>
      </w:r>
      <w:r w:rsidRPr="007537AC">
        <w:rPr>
          <w:lang w:val="en-AU"/>
        </w:rPr>
        <w:t>assessment will be required.</w:t>
      </w:r>
    </w:p>
    <w:p w14:paraId="22849755" w14:textId="48ABB4B5" w:rsidR="007537AC" w:rsidRPr="007537AC" w:rsidRDefault="007537AC" w:rsidP="008E6691">
      <w:pPr>
        <w:spacing w:before="240" w:after="240" w:line="240" w:lineRule="auto"/>
        <w:rPr>
          <w:lang w:val="en-AU"/>
        </w:rPr>
      </w:pPr>
      <w:r w:rsidRPr="007537AC">
        <w:rPr>
          <w:lang w:val="en-AU"/>
        </w:rPr>
        <w:t xml:space="preserve">Under </w:t>
      </w:r>
      <w:r w:rsidR="003C3E1E">
        <w:rPr>
          <w:lang w:val="en-AU"/>
        </w:rPr>
        <w:t>Support at Home</w:t>
      </w:r>
      <w:r w:rsidRPr="007537AC">
        <w:rPr>
          <w:lang w:val="en-AU"/>
        </w:rPr>
        <w:t xml:space="preserve"> a higher Support at Home classification level cannot be </w:t>
      </w:r>
      <w:r w:rsidR="002B2CF9">
        <w:rPr>
          <w:lang w:val="en-AU"/>
        </w:rPr>
        <w:t>approved</w:t>
      </w:r>
      <w:r w:rsidRPr="007537AC">
        <w:rPr>
          <w:lang w:val="en-AU"/>
        </w:rPr>
        <w:t xml:space="preserve"> through an SPR — this can only occur following </w:t>
      </w:r>
      <w:r w:rsidR="00AC54DA">
        <w:rPr>
          <w:lang w:val="en-AU"/>
        </w:rPr>
        <w:t>a</w:t>
      </w:r>
      <w:r w:rsidRPr="007537AC">
        <w:rPr>
          <w:lang w:val="en-AU"/>
        </w:rPr>
        <w:t xml:space="preserve"> </w:t>
      </w:r>
      <w:r w:rsidR="00AC54DA">
        <w:rPr>
          <w:lang w:val="en-AU"/>
        </w:rPr>
        <w:t>re</w:t>
      </w:r>
      <w:r w:rsidRPr="007537AC">
        <w:rPr>
          <w:lang w:val="en-AU"/>
        </w:rPr>
        <w:t xml:space="preserve">assessment and </w:t>
      </w:r>
      <w:r w:rsidR="00FD5D45">
        <w:rPr>
          <w:lang w:val="en-AU"/>
        </w:rPr>
        <w:t xml:space="preserve">the IAT outcome generates a higher </w:t>
      </w:r>
      <w:r w:rsidR="003B30AE">
        <w:rPr>
          <w:lang w:val="en-AU"/>
        </w:rPr>
        <w:t>classification level</w:t>
      </w:r>
      <w:r w:rsidR="00B23AB0">
        <w:rPr>
          <w:lang w:val="en-AU"/>
        </w:rPr>
        <w:t xml:space="preserve">. </w:t>
      </w:r>
      <w:r w:rsidR="00B7112F">
        <w:rPr>
          <w:lang w:val="en-AU"/>
        </w:rPr>
        <w:t xml:space="preserve">When reassessing transitioned clients, assessors will need to ensure that they maintain the transitional classification where it is more beneficial for the older person. </w:t>
      </w:r>
      <w:r w:rsidR="005B7C33">
        <w:rPr>
          <w:lang w:val="en-AU"/>
        </w:rPr>
        <w:t xml:space="preserve">This will be flagged in the system on reassessment. If the IAT outcome is a lower classification than the existing active ongoing classification, then a warning message will display to inform the assessor that they can retain the existing classification </w:t>
      </w:r>
      <w:r w:rsidR="00AA21DA">
        <w:rPr>
          <w:lang w:val="en-AU"/>
        </w:rPr>
        <w:t xml:space="preserve">by </w:t>
      </w:r>
      <w:r w:rsidR="00E247F7">
        <w:rPr>
          <w:lang w:val="en-AU"/>
        </w:rPr>
        <w:t xml:space="preserve">clicking the </w:t>
      </w:r>
      <w:r w:rsidR="00AA21DA">
        <w:rPr>
          <w:lang w:val="en-AU"/>
        </w:rPr>
        <w:t>accept</w:t>
      </w:r>
      <w:r w:rsidR="00E247F7">
        <w:rPr>
          <w:lang w:val="en-AU"/>
        </w:rPr>
        <w:t xml:space="preserve"> button.</w:t>
      </w:r>
    </w:p>
    <w:p w14:paraId="53AE6966" w14:textId="77777777" w:rsidR="007537AC" w:rsidRPr="007537AC" w:rsidRDefault="007537AC" w:rsidP="008E6691">
      <w:pPr>
        <w:spacing w:before="240" w:after="240" w:line="240" w:lineRule="auto"/>
        <w:rPr>
          <w:lang w:val="en-AU"/>
        </w:rPr>
      </w:pPr>
      <w:r w:rsidRPr="007537AC">
        <w:rPr>
          <w:lang w:val="en-AU"/>
        </w:rPr>
        <w:t>When completing an SPR to transition a client to the End-of-Life Pathway, assessors will have the option to convert the client’s Transitioned HCP level to End-of-Life once the End-of-Life form has been uploaded and validated. Clients receiving services on the End-of-Life Pathway can also return to their Transitioned HCP level, just as clients in the Support at Home program can return to their previous classification level.</w:t>
      </w:r>
    </w:p>
    <w:p w14:paraId="3F3BE4F3" w14:textId="3A996EBE" w:rsidR="006E6B42" w:rsidRPr="00785974" w:rsidRDefault="006E6B42" w:rsidP="00C56CEC">
      <w:pPr>
        <w:pStyle w:val="H3"/>
      </w:pPr>
      <w:r w:rsidRPr="00785974">
        <w:t xml:space="preserve">Transitioned Home Care Package recipients and access to the </w:t>
      </w:r>
      <w:r w:rsidR="00B740A2">
        <w:t xml:space="preserve">Assistive Technology and Home Modifications </w:t>
      </w:r>
      <w:r w:rsidRPr="00785974">
        <w:t>schem</w:t>
      </w:r>
      <w:r>
        <w:t>e</w:t>
      </w:r>
    </w:p>
    <w:p w14:paraId="159EACBE" w14:textId="35672171" w:rsidR="006E6B42" w:rsidRPr="00C42989" w:rsidRDefault="006E6B42" w:rsidP="008E6691">
      <w:pPr>
        <w:spacing w:before="240" w:after="240" w:line="240" w:lineRule="auto"/>
      </w:pPr>
      <w:r w:rsidRPr="00C42989">
        <w:t>All H</w:t>
      </w:r>
      <w:r w:rsidR="00165582">
        <w:t xml:space="preserve">ome </w:t>
      </w:r>
      <w:r w:rsidRPr="00C42989">
        <w:t>C</w:t>
      </w:r>
      <w:r w:rsidR="00165582">
        <w:t xml:space="preserve">are </w:t>
      </w:r>
      <w:r w:rsidRPr="00C42989">
        <w:t>P</w:t>
      </w:r>
      <w:r w:rsidR="00165582">
        <w:t>ackage (</w:t>
      </w:r>
      <w:r w:rsidR="000C0D69" w:rsidRPr="00C42989">
        <w:t>HCP</w:t>
      </w:r>
      <w:r w:rsidR="000C0D69">
        <w:t xml:space="preserve">) </w:t>
      </w:r>
      <w:r w:rsidR="000C0D69" w:rsidRPr="00C42989">
        <w:t>recipients</w:t>
      </w:r>
      <w:r w:rsidRPr="00C42989" w:rsidDel="0005496A">
        <w:t xml:space="preserve"> </w:t>
      </w:r>
      <w:r w:rsidRPr="00C42989">
        <w:t>transition</w:t>
      </w:r>
      <w:r w:rsidR="0005496A">
        <w:t>ed</w:t>
      </w:r>
      <w:r w:rsidRPr="00C42989">
        <w:t xml:space="preserve"> over to Support at Home with approval for </w:t>
      </w:r>
      <w:r w:rsidR="00542E94">
        <w:t>Assistive Technology</w:t>
      </w:r>
      <w:r w:rsidRPr="00C42989">
        <w:t xml:space="preserve"> </w:t>
      </w:r>
      <w:r w:rsidR="00542E94">
        <w:t>(</w:t>
      </w:r>
      <w:r w:rsidRPr="00C42989">
        <w:t>AT</w:t>
      </w:r>
      <w:r w:rsidR="00542E94">
        <w:t>)</w:t>
      </w:r>
      <w:r w:rsidRPr="00C42989">
        <w:t xml:space="preserve"> transitional and </w:t>
      </w:r>
      <w:r w:rsidR="00542E94">
        <w:t>Home Modifications (</w:t>
      </w:r>
      <w:r w:rsidRPr="00C42989">
        <w:t>HM</w:t>
      </w:r>
      <w:r w:rsidR="00542E94">
        <w:t>)</w:t>
      </w:r>
      <w:r w:rsidRPr="00C42989">
        <w:t xml:space="preserve"> transitional classifications. These approvals enable a transitioned HCP recipient who has not undergone a reassessment and does not </w:t>
      </w:r>
      <w:r w:rsidR="00542E94" w:rsidRPr="00C42989">
        <w:t>have AT</w:t>
      </w:r>
      <w:r w:rsidRPr="00C42989">
        <w:t xml:space="preserve">-HM funding, to use their HCP unspent funds to purchase equipment, products and home modifications from the </w:t>
      </w:r>
      <w:r w:rsidR="00695747" w:rsidRPr="009924BE">
        <w:t>AT-HM list</w:t>
      </w:r>
      <w:r w:rsidRPr="00C42989">
        <w:t>. Providers must document and justify the need and reasoning for the purchase and retain all evidence to support the claim.  </w:t>
      </w:r>
    </w:p>
    <w:p w14:paraId="0355A97A" w14:textId="324E3FD9" w:rsidR="006E6B42" w:rsidRPr="00C564D2" w:rsidRDefault="006E6B42" w:rsidP="008E6691">
      <w:pPr>
        <w:spacing w:before="240" w:after="240" w:line="240" w:lineRule="auto"/>
        <w:rPr>
          <w:rStyle w:val="normaltextrun"/>
        </w:rPr>
      </w:pPr>
      <w:r w:rsidRPr="00C564D2">
        <w:t>If a transitioned HCP recipient has no HCP unspent funds and requires AT-HM, the provider can, with consent from the participant, refer them for a</w:t>
      </w:r>
      <w:r w:rsidR="008D524D">
        <w:t xml:space="preserve"> support plan review</w:t>
      </w:r>
      <w:r w:rsidRPr="00C564D2">
        <w:t>. </w:t>
      </w:r>
      <w:r w:rsidR="00D82656" w:rsidDel="00D82656">
        <w:t xml:space="preserve"> </w:t>
      </w:r>
    </w:p>
    <w:p w14:paraId="0853667F" w14:textId="77777777" w:rsidR="006E6B42" w:rsidRPr="00C42989" w:rsidRDefault="006E6B42" w:rsidP="008E6691">
      <w:pPr>
        <w:spacing w:before="240" w:after="240" w:line="240" w:lineRule="auto"/>
      </w:pPr>
      <w:r w:rsidRPr="00C42989">
        <w:t>Where a transitioned HCP recipient has been reassessed under Support at Home and receives approved AT-HM funding, the purchase of assistive technology and home modifications must be first drawn from any HCP unspent funds before the provider can claim from the AT-HM funding account.  </w:t>
      </w:r>
    </w:p>
    <w:p w14:paraId="028FB9F5" w14:textId="77777777" w:rsidR="006E6B42" w:rsidRDefault="006E6B42" w:rsidP="008E6691">
      <w:pPr>
        <w:spacing w:before="240" w:after="240" w:line="240" w:lineRule="auto"/>
      </w:pPr>
      <w:r w:rsidRPr="00C42989">
        <w:t>All purchases of AT-HM items must align with the participant’s needs, be agreed with the participant, be documented in their care plan and meet any prescription requirements, where applicable.  </w:t>
      </w:r>
    </w:p>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356C29" w:rsidRPr="00C42989" w14:paraId="3E162976" w14:textId="77777777">
        <w:trPr>
          <w:trHeight w:val="300"/>
        </w:trPr>
        <w:tc>
          <w:tcPr>
            <w:tcW w:w="988" w:type="dxa"/>
            <w:vAlign w:val="center"/>
          </w:tcPr>
          <w:p w14:paraId="5035F42E" w14:textId="77777777" w:rsidR="00356C29" w:rsidRPr="00C42989" w:rsidRDefault="00356C29">
            <w:pPr>
              <w:spacing w:before="240" w:after="240"/>
            </w:pPr>
            <w:r w:rsidRPr="00C42989">
              <w:rPr>
                <w:noProof/>
              </w:rPr>
              <w:drawing>
                <wp:inline distT="0" distB="0" distL="0" distR="0" wp14:anchorId="73415C9F" wp14:editId="2D8B27EA">
                  <wp:extent cx="447675" cy="438150"/>
                  <wp:effectExtent l="0" t="0" r="0" b="0"/>
                  <wp:docPr id="1510971346" name="Picture 15109713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40E57715" w14:textId="65EF4EB5" w:rsidR="00356C29" w:rsidRPr="00C42989" w:rsidRDefault="00356C29">
            <w:pPr>
              <w:spacing w:before="240" w:after="240"/>
            </w:pPr>
            <w:hyperlink r:id="rId46" w:history="1">
              <w:r w:rsidRPr="00695747">
                <w:rPr>
                  <w:rStyle w:val="Hyperlink"/>
                  <w:i/>
                </w:rPr>
                <w:t>AT-HM List</w:t>
              </w:r>
            </w:hyperlink>
          </w:p>
        </w:tc>
      </w:tr>
    </w:tbl>
    <w:p w14:paraId="02D8C233" w14:textId="57161D50" w:rsidR="00E656BE" w:rsidRPr="00E656BE" w:rsidRDefault="00E656BE" w:rsidP="00C56CEC">
      <w:pPr>
        <w:pStyle w:val="H3"/>
      </w:pPr>
      <w:bookmarkStart w:id="60" w:name="_Toc207291874"/>
      <w:r w:rsidRPr="00E656BE">
        <w:t>Multi-Purpose Service Program (MPSP)</w:t>
      </w:r>
      <w:bookmarkEnd w:id="60"/>
    </w:p>
    <w:p w14:paraId="509EC3FE" w14:textId="05264379" w:rsidR="00E656BE" w:rsidRPr="0007313D" w:rsidRDefault="00E656BE" w:rsidP="004D48B7">
      <w:pPr>
        <w:pStyle w:val="H4"/>
        <w:rPr>
          <w:lang w:eastAsia="en-US"/>
        </w:rPr>
      </w:pPr>
      <w:r w:rsidRPr="0007313D">
        <w:rPr>
          <w:lang w:eastAsia="en-US"/>
        </w:rPr>
        <w:t xml:space="preserve">Existing MPSP clients </w:t>
      </w:r>
      <w:r>
        <w:rPr>
          <w:lang w:eastAsia="en-US"/>
        </w:rPr>
        <w:t>on</w:t>
      </w:r>
      <w:r w:rsidRPr="0007313D">
        <w:rPr>
          <w:lang w:eastAsia="en-US"/>
        </w:rPr>
        <w:t xml:space="preserve"> 1 November 2025</w:t>
      </w:r>
    </w:p>
    <w:p w14:paraId="75D1BA38" w14:textId="025EFE17" w:rsidR="00E656BE" w:rsidRPr="00C42989" w:rsidRDefault="00E656BE" w:rsidP="008E6691">
      <w:pPr>
        <w:spacing w:before="240" w:after="240" w:line="240" w:lineRule="auto"/>
        <w:rPr>
          <w:lang w:val="en-US"/>
        </w:rPr>
      </w:pPr>
      <w:r w:rsidRPr="00C42989">
        <w:rPr>
          <w:lang w:val="en-US"/>
        </w:rPr>
        <w:t xml:space="preserve">Transitional arrangements </w:t>
      </w:r>
      <w:r w:rsidR="0028340A">
        <w:rPr>
          <w:lang w:val="en-US"/>
        </w:rPr>
        <w:t xml:space="preserve">were put </w:t>
      </w:r>
      <w:r w:rsidRPr="00C42989">
        <w:rPr>
          <w:lang w:val="en-US"/>
        </w:rPr>
        <w:t>in place for individuals already accessing services under the MPSP</w:t>
      </w:r>
      <w:r w:rsidRPr="00C42989" w:rsidDel="00AB2C81">
        <w:rPr>
          <w:lang w:val="en-US"/>
        </w:rPr>
        <w:t xml:space="preserve"> </w:t>
      </w:r>
      <w:r w:rsidR="0028340A">
        <w:rPr>
          <w:lang w:val="en-US"/>
        </w:rPr>
        <w:t xml:space="preserve">on 1 November 2025 </w:t>
      </w:r>
      <w:r w:rsidRPr="00C42989">
        <w:rPr>
          <w:lang w:val="en-US"/>
        </w:rPr>
        <w:t>to provide for service continuity.</w:t>
      </w:r>
    </w:p>
    <w:p w14:paraId="09E1EA1D" w14:textId="67B0DB12" w:rsidR="00E656BE" w:rsidRPr="00C42989" w:rsidRDefault="00E656BE" w:rsidP="008E6691">
      <w:pPr>
        <w:spacing w:before="240" w:after="240" w:line="240" w:lineRule="auto"/>
        <w:rPr>
          <w:lang w:val="en-US"/>
        </w:rPr>
      </w:pPr>
      <w:r w:rsidRPr="00C42989">
        <w:rPr>
          <w:lang w:val="en-US"/>
        </w:rPr>
        <w:t xml:space="preserve">Individuals assessed as falling within the transitional cohorts outlined in the transitional legislation (based on previous needs assessments </w:t>
      </w:r>
      <w:r w:rsidR="5433FCF5" w:rsidRPr="4FEC1003">
        <w:rPr>
          <w:lang w:val="en-US"/>
        </w:rPr>
        <w:t>and/</w:t>
      </w:r>
      <w:r w:rsidRPr="00C42989">
        <w:rPr>
          <w:lang w:val="en-US"/>
        </w:rPr>
        <w:t xml:space="preserve">or information collected from their providers) will be deemed to have relevant service group approvals, and related decisions, in place, as required in order to access funded aged care services under </w:t>
      </w:r>
      <w:r w:rsidRPr="00C42989">
        <w:t xml:space="preserve">the </w:t>
      </w:r>
      <w:r w:rsidRPr="00C42989">
        <w:rPr>
          <w:i/>
        </w:rPr>
        <w:t xml:space="preserve">Aged Care Act 2024. </w:t>
      </w:r>
      <w:r w:rsidRPr="00C42989">
        <w:t xml:space="preserve"> </w:t>
      </w:r>
    </w:p>
    <w:p w14:paraId="3ADF0013" w14:textId="708C9966" w:rsidR="00E656BE" w:rsidRPr="00C42989" w:rsidRDefault="00E656BE" w:rsidP="008E6691">
      <w:pPr>
        <w:spacing w:before="240" w:after="240" w:line="240" w:lineRule="auto"/>
      </w:pPr>
      <w:r w:rsidRPr="00C42989">
        <w:t xml:space="preserve">An individual accessing aged care services in a home or community setting through a MPSP provider at transition time, or who has an agreement in place to commence these services within 3 months of the transition time, will be approved for ongoing and short-term home support, </w:t>
      </w:r>
      <w:r w:rsidR="5A551DE7">
        <w:t xml:space="preserve">as well as short-term </w:t>
      </w:r>
      <w:r>
        <w:t>AT and HM.</w:t>
      </w:r>
    </w:p>
    <w:p w14:paraId="54EAD7D9" w14:textId="5BA44C3D" w:rsidR="006341A5" w:rsidRDefault="00E656BE" w:rsidP="00D02D72">
      <w:pPr>
        <w:spacing w:before="240" w:after="240" w:line="240" w:lineRule="auto"/>
      </w:pPr>
      <w:r w:rsidRPr="00C42989">
        <w:t xml:space="preserve">An individual accessing residential care services </w:t>
      </w:r>
      <w:r w:rsidR="2AA3CA1A">
        <w:t xml:space="preserve">in </w:t>
      </w:r>
      <w:r w:rsidRPr="00C42989">
        <w:t xml:space="preserve">a </w:t>
      </w:r>
      <w:r w:rsidR="00264779">
        <w:t xml:space="preserve">Multi-Purpose Service </w:t>
      </w:r>
      <w:r w:rsidR="0002462C">
        <w:t>facility</w:t>
      </w:r>
      <w:r w:rsidR="00264779" w:rsidRPr="00C42989">
        <w:t xml:space="preserve"> </w:t>
      </w:r>
      <w:r w:rsidRPr="00C42989">
        <w:t xml:space="preserve">at transition time, or </w:t>
      </w:r>
      <w:r w:rsidR="097EE197">
        <w:t xml:space="preserve">who </w:t>
      </w:r>
      <w:r w:rsidRPr="00C42989">
        <w:t>has been approved to commence services within 3 months of the transition time, will be approved for ongoing and/or short-term residential care.</w:t>
      </w:r>
    </w:p>
    <w:p w14:paraId="55451A20" w14:textId="407302CA" w:rsidR="00D02D72" w:rsidRDefault="00D02D72" w:rsidP="00C325C6">
      <w:pPr>
        <w:pStyle w:val="Sub-headings"/>
      </w:pPr>
      <w:r>
        <w:t xml:space="preserve">Note: </w:t>
      </w:r>
    </w:p>
    <w:p w14:paraId="6E313CCB" w14:textId="32A2216D" w:rsidR="006341A5" w:rsidRPr="00C42989" w:rsidRDefault="00DB76ED" w:rsidP="00C325C6">
      <w:pPr>
        <w:pStyle w:val="Sub-headings"/>
      </w:pPr>
      <w:r>
        <w:t>An i</w:t>
      </w:r>
      <w:r w:rsidR="006341A5" w:rsidRPr="00C42989">
        <w:t>ndividual</w:t>
      </w:r>
      <w:r>
        <w:t>’</w:t>
      </w:r>
      <w:r w:rsidR="006341A5" w:rsidRPr="00C42989">
        <w:t xml:space="preserve">s transitional status </w:t>
      </w:r>
      <w:r w:rsidR="009309C2">
        <w:t xml:space="preserve">is </w:t>
      </w:r>
      <w:r w:rsidR="006341A5" w:rsidRPr="00C42989">
        <w:t>confirmed via a notice given to their provider</w:t>
      </w:r>
      <w:r w:rsidR="00EC69D3">
        <w:t>.</w:t>
      </w:r>
      <w:r w:rsidR="006341A5" w:rsidRPr="00C42989">
        <w:t xml:space="preserve"> This letter </w:t>
      </w:r>
      <w:r w:rsidR="00F04837">
        <w:t xml:space="preserve">is </w:t>
      </w:r>
      <w:r w:rsidR="006341A5" w:rsidRPr="00C42989">
        <w:t>also attached to their My Aged Care Client Record</w:t>
      </w:r>
      <w:r w:rsidR="006341A5">
        <w:t>. By</w:t>
      </w:r>
      <w:r w:rsidR="006341A5" w:rsidRPr="00C42989">
        <w:t xml:space="preserve"> June 2026, relevant </w:t>
      </w:r>
      <w:r w:rsidR="006341A5">
        <w:t xml:space="preserve">approvals </w:t>
      </w:r>
      <w:r w:rsidR="006341A5" w:rsidRPr="00C42989">
        <w:t>and referrals will also be retrospectively added to Department of Health</w:t>
      </w:r>
      <w:r w:rsidR="00676D11">
        <w:t>, Disability and Ageing</w:t>
      </w:r>
      <w:r w:rsidR="006341A5" w:rsidRPr="00C42989">
        <w:t xml:space="preserve"> systems </w:t>
      </w:r>
      <w:r w:rsidR="006341A5">
        <w:t xml:space="preserve">to facilitate </w:t>
      </w:r>
      <w:r w:rsidR="006D5E4D">
        <w:t>these individuals</w:t>
      </w:r>
      <w:r w:rsidR="006341A5">
        <w:t xml:space="preserve"> moving between MPSP and mainstream services in future.</w:t>
      </w:r>
    </w:p>
    <w:p w14:paraId="71F624D7" w14:textId="16F63D60" w:rsidR="00CB0E36" w:rsidRDefault="006341A5" w:rsidP="00C325C6">
      <w:pPr>
        <w:pStyle w:val="Sub-headings"/>
        <w:rPr>
          <w:szCs w:val="22"/>
        </w:rPr>
      </w:pPr>
      <w:r w:rsidRPr="00C42989">
        <w:t>If an older person in one of the transitional cohorts above wants to access mainstream aged care services (outside the MPSP):</w:t>
      </w:r>
    </w:p>
    <w:p w14:paraId="0AF037EE" w14:textId="5DF44D40" w:rsidR="006341A5" w:rsidRPr="00C42989" w:rsidRDefault="006341A5" w:rsidP="00C325C6">
      <w:pPr>
        <w:pStyle w:val="Sub-headings"/>
      </w:pPr>
      <w:r w:rsidRPr="00C42989">
        <w:t>if they plan to access mainstream services under a home and community setting: they will need to call My Aged Care and either:</w:t>
      </w:r>
    </w:p>
    <w:p w14:paraId="01743868" w14:textId="448EB418" w:rsidR="00423D84" w:rsidRDefault="00FF50B2" w:rsidP="00C325C6">
      <w:pPr>
        <w:pStyle w:val="Sub-headings"/>
      </w:pPr>
      <w:r>
        <w:t>-</w:t>
      </w:r>
      <w:r w:rsidR="006341A5" w:rsidRPr="00C42989">
        <w:t xml:space="preserve">seek to undergo a re-assessment if they only have a </w:t>
      </w:r>
      <w:r w:rsidR="006341A5">
        <w:t>MPSP</w:t>
      </w:r>
      <w:r w:rsidR="006341A5" w:rsidRPr="00C42989">
        <w:t xml:space="preserve"> classification level provided at transition time, or</w:t>
      </w:r>
    </w:p>
    <w:p w14:paraId="458A0319" w14:textId="6A3D5871" w:rsidR="006341A5" w:rsidRDefault="00FF50B2" w:rsidP="00C325C6">
      <w:pPr>
        <w:pStyle w:val="Sub-headings"/>
      </w:pPr>
      <w:r>
        <w:t>-</w:t>
      </w:r>
      <w:r w:rsidR="006341A5">
        <w:t xml:space="preserve">where they already have a transitional HCP classification level, </w:t>
      </w:r>
      <w:r w:rsidR="006341A5" w:rsidRPr="00C42989">
        <w:t>indicate that they are now seeking mainstream services, where they already have a transitional HCP classification level, at which point they will be placed in the Support at Home Priority System’s queue based on their priority category and approval date.</w:t>
      </w:r>
    </w:p>
    <w:p w14:paraId="30B125EB" w14:textId="5DEBFFF4" w:rsidR="00E656BE" w:rsidRDefault="0075067E" w:rsidP="008E6691">
      <w:pPr>
        <w:spacing w:before="240" w:after="240" w:line="240" w:lineRule="auto"/>
      </w:pPr>
      <w:r>
        <w:t>I</w:t>
      </w:r>
      <w:r w:rsidR="00E656BE" w:rsidRPr="00C42989">
        <w:t>f they plan to access mainstream services in a residential care home</w:t>
      </w:r>
      <w:r w:rsidR="03DC6BA5">
        <w:t xml:space="preserve">, they can commence services with their new </w:t>
      </w:r>
      <w:r w:rsidR="005B3121">
        <w:t>provider but</w:t>
      </w:r>
      <w:r w:rsidR="03DC6BA5">
        <w:t xml:space="preserve"> will then </w:t>
      </w:r>
      <w:r w:rsidR="00E656BE" w:rsidRPr="00C42989">
        <w:t>need to undergo a</w:t>
      </w:r>
      <w:r w:rsidR="003773AE">
        <w:t xml:space="preserve"> </w:t>
      </w:r>
      <w:r w:rsidR="00077CF2">
        <w:t xml:space="preserve">Residential </w:t>
      </w:r>
      <w:r w:rsidR="003773AE">
        <w:t>A</w:t>
      </w:r>
      <w:r w:rsidR="00077CF2">
        <w:t xml:space="preserve">ged </w:t>
      </w:r>
      <w:r w:rsidR="003773AE">
        <w:t>C</w:t>
      </w:r>
      <w:r w:rsidR="00077CF2">
        <w:t>are</w:t>
      </w:r>
      <w:r w:rsidR="00E656BE" w:rsidRPr="00C42989">
        <w:t xml:space="preserve"> </w:t>
      </w:r>
      <w:r w:rsidR="00077CF2">
        <w:t xml:space="preserve">funding </w:t>
      </w:r>
      <w:r w:rsidR="00E656BE" w:rsidRPr="00C42989">
        <w:t>assessment (i.e. a classification re-assessment</w:t>
      </w:r>
      <w:r w:rsidR="780F5A2B">
        <w:t>)</w:t>
      </w:r>
      <w:r w:rsidR="31D95B3D">
        <w:t>.</w:t>
      </w:r>
      <w:r w:rsidR="7F74E793">
        <w:t xml:space="preserve"> </w:t>
      </w:r>
    </w:p>
    <w:p w14:paraId="170863CB" w14:textId="51DAE438" w:rsidR="00E656BE" w:rsidRPr="00C42989" w:rsidRDefault="001844C0" w:rsidP="008E6691">
      <w:pPr>
        <w:spacing w:before="240" w:after="240" w:line="240" w:lineRule="auto"/>
      </w:pPr>
      <w:r>
        <w:t>Information is</w:t>
      </w:r>
      <w:r w:rsidR="00E656BE">
        <w:t xml:space="preserve"> available </w:t>
      </w:r>
      <w:r w:rsidR="00E656BE" w:rsidRPr="00C42989">
        <w:t>for people leaving the MPSP to access other services, to ensure they are aware they might need to wait for services to become available and could pay higher fees. The fact sheet also provides more information on the process for people leaving the MPSP</w:t>
      </w:r>
      <w:r w:rsidR="02C671B2">
        <w:t>, particularly in the interim until their My Aged Care client records are updated</w:t>
      </w:r>
      <w:r w:rsidR="1DCFFED0">
        <w:t xml:space="preserve"> </w:t>
      </w:r>
      <w:r w:rsidR="004A101F">
        <w:t>i</w:t>
      </w:r>
      <w:r w:rsidR="1DCFFED0">
        <w:t>n</w:t>
      </w:r>
      <w:r w:rsidR="00EF5AF3">
        <w:t xml:space="preserve"> </w:t>
      </w:r>
      <w:r w:rsidR="1DCFFED0">
        <w:t>mid</w:t>
      </w:r>
      <w:r w:rsidR="00EF5AF3">
        <w:t>-</w:t>
      </w:r>
      <w:r w:rsidR="1DCFFED0">
        <w:t>2026</w:t>
      </w:r>
      <w:r w:rsidR="00E656BE" w:rsidRPr="00C42989">
        <w:t>.</w:t>
      </w:r>
    </w:p>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0F668A" w:rsidRPr="00C42989" w14:paraId="18A59363" w14:textId="77777777">
        <w:trPr>
          <w:trHeight w:val="300"/>
        </w:trPr>
        <w:tc>
          <w:tcPr>
            <w:tcW w:w="988" w:type="dxa"/>
            <w:vAlign w:val="center"/>
          </w:tcPr>
          <w:p w14:paraId="48FF3985" w14:textId="77777777" w:rsidR="000F668A" w:rsidRPr="00C42989" w:rsidRDefault="000F668A">
            <w:pPr>
              <w:spacing w:before="240" w:after="240"/>
            </w:pPr>
            <w:r w:rsidRPr="00C42989">
              <w:rPr>
                <w:noProof/>
              </w:rPr>
              <w:drawing>
                <wp:inline distT="0" distB="0" distL="0" distR="0" wp14:anchorId="2313F65D" wp14:editId="4FDF1D82">
                  <wp:extent cx="447675" cy="438150"/>
                  <wp:effectExtent l="0" t="0" r="0" b="0"/>
                  <wp:docPr id="1690946465" name="Picture 169094646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024E8088" w14:textId="0E1B7F4B" w:rsidR="00693D06" w:rsidRPr="00C42989" w:rsidRDefault="00693D06">
            <w:pPr>
              <w:spacing w:before="240" w:after="240"/>
            </w:pPr>
            <w:r>
              <w:t xml:space="preserve">Leaving the </w:t>
            </w:r>
            <w:hyperlink r:id="rId47" w:history="1">
              <w:r w:rsidRPr="00693D06">
                <w:rPr>
                  <w:rStyle w:val="Hyperlink"/>
                </w:rPr>
                <w:t>MPSP Consumer Fact Sheet</w:t>
              </w:r>
            </w:hyperlink>
            <w:r>
              <w:t xml:space="preserve"> </w:t>
            </w:r>
          </w:p>
        </w:tc>
      </w:tr>
    </w:tbl>
    <w:p w14:paraId="7EFF8BB9" w14:textId="77777777" w:rsidR="00077CF2" w:rsidRPr="00C42989" w:rsidRDefault="00077CF2" w:rsidP="008E6691">
      <w:pPr>
        <w:spacing w:before="240" w:after="240" w:line="240" w:lineRule="auto"/>
      </w:pPr>
    </w:p>
    <w:p w14:paraId="37E917CC" w14:textId="23409EB7" w:rsidR="00E656BE" w:rsidRPr="001429AD" w:rsidRDefault="00E656BE" w:rsidP="00C56CEC">
      <w:pPr>
        <w:pStyle w:val="H3"/>
      </w:pPr>
      <w:bookmarkStart w:id="61" w:name="_Toc207291875"/>
      <w:r w:rsidRPr="001429AD">
        <w:t xml:space="preserve">New </w:t>
      </w:r>
      <w:r w:rsidR="0072297B" w:rsidRPr="001429AD">
        <w:t>M</w:t>
      </w:r>
      <w:r w:rsidR="0072297B" w:rsidRPr="009924BE">
        <w:t>ulti-</w:t>
      </w:r>
      <w:r w:rsidR="0072297B" w:rsidRPr="001429AD">
        <w:t>P</w:t>
      </w:r>
      <w:r w:rsidR="0072297B" w:rsidRPr="009924BE">
        <w:t>urpose</w:t>
      </w:r>
      <w:r w:rsidR="00267882" w:rsidRPr="009924BE">
        <w:t xml:space="preserve"> </w:t>
      </w:r>
      <w:r w:rsidRPr="001429AD">
        <w:t>S</w:t>
      </w:r>
      <w:r w:rsidR="00267882" w:rsidRPr="00C53437">
        <w:t xml:space="preserve">ervice </w:t>
      </w:r>
      <w:r w:rsidRPr="001429AD">
        <w:t>P</w:t>
      </w:r>
      <w:r w:rsidR="00267882" w:rsidRPr="00C53437">
        <w:t>rogram</w:t>
      </w:r>
      <w:r w:rsidRPr="00C53437">
        <w:t xml:space="preserve"> </w:t>
      </w:r>
      <w:r w:rsidR="00FF138C" w:rsidRPr="00C53437">
        <w:t>(MPSP)</w:t>
      </w:r>
      <w:r w:rsidRPr="001429AD">
        <w:t xml:space="preserve"> Clients post 1 November 2025</w:t>
      </w:r>
      <w:bookmarkEnd w:id="61"/>
    </w:p>
    <w:p w14:paraId="7B6B94EA" w14:textId="5E4DFACC" w:rsidR="00E656BE" w:rsidRPr="00C42989" w:rsidRDefault="005E25DC" w:rsidP="008E6691">
      <w:pPr>
        <w:spacing w:before="240" w:after="240" w:line="240" w:lineRule="auto"/>
      </w:pPr>
      <w:r>
        <w:t>Since</w:t>
      </w:r>
      <w:r w:rsidR="00267882">
        <w:t xml:space="preserve"> 1 November 2025</w:t>
      </w:r>
      <w:r w:rsidR="216DF506">
        <w:t>, a</w:t>
      </w:r>
      <w:r w:rsidR="00E656BE">
        <w:t>ll</w:t>
      </w:r>
      <w:r w:rsidR="00E656BE" w:rsidRPr="00C42989">
        <w:t xml:space="preserve"> new clients are required to make an application for funded aged care services, undergo a needs assessment and obtain an access approval for one or more service groups in place to access services delivered under the MPSP</w:t>
      </w:r>
      <w:r w:rsidR="0040556A">
        <w:t>.</w:t>
      </w:r>
      <w:r w:rsidR="00E656BE" w:rsidRPr="00C42989">
        <w:t xml:space="preserve"> </w:t>
      </w:r>
    </w:p>
    <w:p w14:paraId="0442B7AB" w14:textId="2F3FD5E6" w:rsidR="00E656BE" w:rsidRDefault="00E656BE" w:rsidP="008E6691">
      <w:pPr>
        <w:spacing w:before="240" w:after="240" w:line="240" w:lineRule="auto"/>
      </w:pPr>
      <w:r w:rsidRPr="00C42989">
        <w:t>There is also a specific workflow assessors need to follow to ensure they can generate a referral to an MPSP provider</w:t>
      </w:r>
      <w:r w:rsidR="688C9AB9">
        <w:t xml:space="preserve"> - that is, a service recommendation must be added in addition to recommendations for residential care, home support, AT and/or HM services.</w:t>
      </w:r>
      <w:r w:rsidR="3CB836ED">
        <w:t xml:space="preserve"> The one referral code will cover </w:t>
      </w:r>
      <w:r w:rsidR="00AC5C8A">
        <w:t xml:space="preserve">all </w:t>
      </w:r>
      <w:r w:rsidR="3CB836ED">
        <w:t xml:space="preserve">services delivered at or through </w:t>
      </w:r>
      <w:r w:rsidR="00AC5C8A">
        <w:t xml:space="preserve">a </w:t>
      </w:r>
      <w:r w:rsidR="003B7A60">
        <w:t>MPS facility</w:t>
      </w:r>
      <w:r w:rsidR="3CB836ED">
        <w:t>.</w:t>
      </w:r>
    </w:p>
    <w:p w14:paraId="1632B8B5" w14:textId="77777777" w:rsidR="002410E9" w:rsidRPr="002410E9" w:rsidRDefault="00A549D5" w:rsidP="002410E9">
      <w:pPr>
        <w:pStyle w:val="Boxwithcolouredkeyline"/>
        <w:shd w:val="clear" w:color="auto" w:fill="F2F2F2" w:themeFill="background1" w:themeFillShade="F2"/>
        <w:rPr>
          <w:b/>
          <w:bCs/>
        </w:rPr>
      </w:pPr>
      <w:r w:rsidRPr="002410E9">
        <w:rPr>
          <w:b/>
        </w:rPr>
        <w:t xml:space="preserve">Note: </w:t>
      </w:r>
    </w:p>
    <w:p w14:paraId="0E8CC456" w14:textId="2FCE3E24" w:rsidR="00A549D5" w:rsidRPr="00B428D7" w:rsidRDefault="00A549D5" w:rsidP="002410E9">
      <w:pPr>
        <w:pStyle w:val="Boxwithcolouredkeyline"/>
        <w:shd w:val="clear" w:color="auto" w:fill="F2F2F2" w:themeFill="background1" w:themeFillShade="F2"/>
      </w:pPr>
      <w:r w:rsidRPr="00B428D7">
        <w:t>For clients who have been assessed and want to leave their MPSP provider and access mainstream aged care services:</w:t>
      </w:r>
    </w:p>
    <w:p w14:paraId="4954C6F9" w14:textId="7C93A428" w:rsidR="00A549D5" w:rsidRPr="00B428D7" w:rsidRDefault="002410E9" w:rsidP="002410E9">
      <w:pPr>
        <w:pStyle w:val="Boxwithcolouredkeyline"/>
        <w:shd w:val="clear" w:color="auto" w:fill="F2F2F2" w:themeFill="background1" w:themeFillShade="F2"/>
      </w:pPr>
      <w:r>
        <w:t>-</w:t>
      </w:r>
      <w:r w:rsidR="00FD4DE8">
        <w:t>I</w:t>
      </w:r>
      <w:r w:rsidR="00A549D5" w:rsidRPr="00B428D7">
        <w:t>f they plan to access mainstream services under a home and community setting: they will need to call My Aged Care and indicate that they are now seeking mainstream services at which point they will be placed in the Support at Home Priority System’s queue based on their priority category and approval date (a</w:t>
      </w:r>
      <w:r w:rsidR="00A549D5" w:rsidRPr="00B428D7" w:rsidDel="00E52B0F">
        <w:t xml:space="preserve"> </w:t>
      </w:r>
      <w:r w:rsidR="00A549D5" w:rsidRPr="00B428D7">
        <w:t>reassessment may also be required if they have had a significant change in circumstances)</w:t>
      </w:r>
      <w:r w:rsidR="00FD4DE8">
        <w:t>.</w:t>
      </w:r>
    </w:p>
    <w:p w14:paraId="1B04CC7E" w14:textId="152BE69F" w:rsidR="002410E9" w:rsidRPr="00B428D7" w:rsidRDefault="002410E9" w:rsidP="002410E9">
      <w:pPr>
        <w:pStyle w:val="Boxwithcolouredkeyline"/>
        <w:shd w:val="clear" w:color="auto" w:fill="F2F2F2" w:themeFill="background1" w:themeFillShade="F2"/>
      </w:pPr>
      <w:r>
        <w:t>-</w:t>
      </w:r>
      <w:r w:rsidRPr="002410E9">
        <w:t xml:space="preserve"> </w:t>
      </w:r>
      <w:r>
        <w:t>I</w:t>
      </w:r>
      <w:r w:rsidRPr="00B428D7">
        <w:t>f they plan to access mainstream services in a residential care home: they can commence accessing services through the new home but will then need to undergo a Residential Aged Care funding assessment (i.e. a classification re-assessment).</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FD290F" w:rsidRPr="00C42989" w14:paraId="4000F2BB" w14:textId="77777777" w:rsidTr="00E42183">
        <w:trPr>
          <w:trHeight w:val="300"/>
        </w:trPr>
        <w:tc>
          <w:tcPr>
            <w:tcW w:w="988" w:type="dxa"/>
          </w:tcPr>
          <w:p w14:paraId="5E2DBC56" w14:textId="77777777" w:rsidR="00FD290F" w:rsidRPr="00C42989" w:rsidRDefault="00FD290F">
            <w:pPr>
              <w:spacing w:before="240" w:after="240"/>
            </w:pPr>
            <w:r w:rsidRPr="00C42989">
              <w:rPr>
                <w:noProof/>
              </w:rPr>
              <w:drawing>
                <wp:inline distT="0" distB="0" distL="0" distR="0" wp14:anchorId="7F6CCB45" wp14:editId="0BBF0005">
                  <wp:extent cx="447675" cy="438150"/>
                  <wp:effectExtent l="0" t="0" r="0" b="0"/>
                  <wp:docPr id="1007430249" name="Picture 10074302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1B9F0EA1" w14:textId="77777777" w:rsidR="00FD290F" w:rsidRPr="00C42989" w:rsidRDefault="00FD290F">
            <w:pPr>
              <w:spacing w:before="240" w:after="240"/>
            </w:pPr>
            <w:r w:rsidRPr="00622785">
              <w:rPr>
                <w:i/>
              </w:rPr>
              <w:t>Fact sheet:</w:t>
            </w:r>
            <w:r>
              <w:rPr>
                <w:i/>
              </w:rPr>
              <w:t xml:space="preserve"> </w:t>
            </w:r>
            <w:hyperlink r:id="rId48" w:history="1">
              <w:r w:rsidRPr="004A101F">
                <w:rPr>
                  <w:rStyle w:val="Hyperlink"/>
                  <w:i/>
                </w:rPr>
                <w:t xml:space="preserve">Leaving the Multi-Purpose Service Program (MPSP) – Consumer fact sheet | Australian </w:t>
              </w:r>
              <w:r w:rsidRPr="00842128">
                <w:rPr>
                  <w:rStyle w:val="Hyperlink"/>
                  <w:i/>
                </w:rPr>
                <w:t>Government</w:t>
              </w:r>
              <w:r w:rsidRPr="004A101F">
                <w:rPr>
                  <w:rStyle w:val="Hyperlink"/>
                  <w:i/>
                </w:rPr>
                <w:t xml:space="preserve"> Department of Health, Disability and Ageing</w:t>
              </w:r>
            </w:hyperlink>
          </w:p>
        </w:tc>
      </w:tr>
    </w:tbl>
    <w:p w14:paraId="3363D058" w14:textId="3ECFD399" w:rsidR="00E656BE" w:rsidRPr="00324228" w:rsidRDefault="00E656BE" w:rsidP="00C56CEC">
      <w:pPr>
        <w:pStyle w:val="H3"/>
      </w:pPr>
      <w:bookmarkStart w:id="62" w:name="_Toc207291876"/>
      <w:r>
        <w:t>National Aboriginal and Torres Strait Islander Flexible Aged Care Program (</w:t>
      </w:r>
      <w:r w:rsidRPr="00324228">
        <w:t>NATSIFACP</w:t>
      </w:r>
      <w:bookmarkEnd w:id="62"/>
      <w:r>
        <w:t>)</w:t>
      </w:r>
    </w:p>
    <w:p w14:paraId="173CA041" w14:textId="2CE113B5" w:rsidR="00E656BE" w:rsidRPr="00C42989" w:rsidRDefault="00E656BE" w:rsidP="004D48B7">
      <w:pPr>
        <w:pStyle w:val="H4"/>
      </w:pPr>
      <w:r w:rsidRPr="00C42989">
        <w:t>Existing NATSIFACP clients</w:t>
      </w:r>
    </w:p>
    <w:p w14:paraId="0BDCA0C1" w14:textId="52F7262D" w:rsidR="00E656BE" w:rsidRPr="00C42989" w:rsidRDefault="00E656BE" w:rsidP="008E6691">
      <w:pPr>
        <w:spacing w:before="240" w:after="240" w:line="240" w:lineRule="auto"/>
        <w:rPr>
          <w:lang w:val="en-US"/>
        </w:rPr>
      </w:pPr>
      <w:r w:rsidRPr="00C42989">
        <w:rPr>
          <w:lang w:val="en-US"/>
        </w:rPr>
        <w:t xml:space="preserve">There </w:t>
      </w:r>
      <w:r w:rsidR="00B70A4C">
        <w:rPr>
          <w:lang w:val="en-US"/>
        </w:rPr>
        <w:t>are</w:t>
      </w:r>
      <w:r w:rsidRPr="00C42989">
        <w:rPr>
          <w:lang w:val="en-US"/>
        </w:rPr>
        <w:t xml:space="preserve"> transitional arrangements in place for individuals who accessed services under the NATSIFACP in the 12 months leading up to 1 November 2025 t</w:t>
      </w:r>
      <w:r w:rsidR="005E36DE">
        <w:rPr>
          <w:lang w:val="en-US"/>
        </w:rPr>
        <w:t xml:space="preserve">o </w:t>
      </w:r>
      <w:r w:rsidRPr="00C42989">
        <w:rPr>
          <w:lang w:val="en-US"/>
        </w:rPr>
        <w:t>ensure service continuity</w:t>
      </w:r>
      <w:r w:rsidR="002A5383">
        <w:rPr>
          <w:lang w:val="en-US"/>
        </w:rPr>
        <w:t xml:space="preserve"> with the commencement of the Aged Care Act 2024 (the Act)</w:t>
      </w:r>
      <w:r w:rsidRPr="00C42989">
        <w:rPr>
          <w:lang w:val="en-US"/>
        </w:rPr>
        <w:t>.</w:t>
      </w:r>
    </w:p>
    <w:p w14:paraId="2A0FB600" w14:textId="726A812C" w:rsidR="00E656BE" w:rsidRPr="00C42989" w:rsidRDefault="00E656BE" w:rsidP="008E6691">
      <w:pPr>
        <w:spacing w:before="240" w:after="240" w:line="240" w:lineRule="auto"/>
        <w:rPr>
          <w:lang w:val="en-US"/>
        </w:rPr>
      </w:pPr>
      <w:r w:rsidRPr="00C42989">
        <w:rPr>
          <w:lang w:val="en-US"/>
        </w:rPr>
        <w:t xml:space="preserve">Individuals assessed as falling within the transitional cohorts outlined in the transitional legislation (based on previous needs assessments or information collected from their providers via the six-monthly Service Activity Reports) </w:t>
      </w:r>
      <w:r w:rsidR="002A5383">
        <w:rPr>
          <w:lang w:val="en-US"/>
        </w:rPr>
        <w:t>were</w:t>
      </w:r>
      <w:r w:rsidRPr="00C42989">
        <w:rPr>
          <w:lang w:val="en-US"/>
        </w:rPr>
        <w:t xml:space="preserve"> deemed to have relevant service group approvals, and related decisions, in place, as required in order to access funded aged care services under </w:t>
      </w:r>
      <w:r w:rsidRPr="00C42989">
        <w:t xml:space="preserve">the </w:t>
      </w:r>
      <w:r w:rsidR="002A5383" w:rsidRPr="00701631">
        <w:rPr>
          <w:iCs/>
        </w:rPr>
        <w:t>Act</w:t>
      </w:r>
      <w:r w:rsidRPr="00701631">
        <w:rPr>
          <w:iCs/>
        </w:rPr>
        <w:t xml:space="preserve">. </w:t>
      </w:r>
      <w:r w:rsidRPr="002A5383">
        <w:rPr>
          <w:iCs/>
        </w:rPr>
        <w:t xml:space="preserve"> </w:t>
      </w:r>
    </w:p>
    <w:p w14:paraId="37C5E615" w14:textId="10C5B124" w:rsidR="00E656BE" w:rsidRPr="00C42989" w:rsidRDefault="001A404A" w:rsidP="008E6691">
      <w:pPr>
        <w:spacing w:before="240" w:after="240" w:line="240" w:lineRule="auto"/>
      </w:pPr>
      <w:r>
        <w:t>If</w:t>
      </w:r>
      <w:r w:rsidR="00E656BE" w:rsidRPr="00C42989">
        <w:t xml:space="preserve"> </w:t>
      </w:r>
      <w:r>
        <w:t>transitioned</w:t>
      </w:r>
      <w:r w:rsidR="00E656BE" w:rsidRPr="00C42989">
        <w:t xml:space="preserve"> clients move to a different provider or a different location where NATSIFACP services are not available, they may require an aged care needs assessment. It will depend on whether they only have a </w:t>
      </w:r>
      <w:r w:rsidR="00E674D0">
        <w:t>National Aboriginal and Torres Strait Islander Flexible Aged Care Program (</w:t>
      </w:r>
      <w:r w:rsidR="00E656BE" w:rsidRPr="00C42989">
        <w:t>NATSIFACP</w:t>
      </w:r>
      <w:r w:rsidR="00E674D0">
        <w:t>)</w:t>
      </w:r>
      <w:r w:rsidR="00E656BE" w:rsidRPr="00C42989">
        <w:t xml:space="preserve"> default classification level, the service types they require and the range of programs available at their new location.</w:t>
      </w:r>
    </w:p>
    <w:p w14:paraId="3E18836E" w14:textId="77777777" w:rsidR="00E656BE" w:rsidRPr="00C42989" w:rsidRDefault="00E656BE" w:rsidP="00C325C6">
      <w:pPr>
        <w:pStyle w:val="Sub-headings"/>
      </w:pPr>
      <w:r w:rsidRPr="00EB18DF">
        <w:t>Note</w:t>
      </w:r>
      <w:r w:rsidRPr="00C42989">
        <w:t xml:space="preserve">: </w:t>
      </w:r>
    </w:p>
    <w:p w14:paraId="4D76D798" w14:textId="244B015A" w:rsidR="00E656BE" w:rsidRPr="00C42989" w:rsidRDefault="00E656BE" w:rsidP="00C325C6">
      <w:pPr>
        <w:pStyle w:val="Sub-headings"/>
      </w:pPr>
      <w:r w:rsidRPr="00C42989">
        <w:t xml:space="preserve">Individuals will be notified of their status post 1 November 2025 in writing via a notice given to their provider. This letter </w:t>
      </w:r>
      <w:r w:rsidR="001A404A">
        <w:t>was</w:t>
      </w:r>
      <w:r w:rsidRPr="00C42989">
        <w:t xml:space="preserve"> updated to their My Aged Care Client Record in late </w:t>
      </w:r>
      <w:r w:rsidR="0072297B" w:rsidRPr="00C42989">
        <w:t>2025</w:t>
      </w:r>
      <w:r w:rsidR="001A404A">
        <w:t>. R</w:t>
      </w:r>
      <w:r w:rsidRPr="00C42989">
        <w:t xml:space="preserve">elevant service recommendations and referrals </w:t>
      </w:r>
      <w:r w:rsidR="001A404A">
        <w:t>have been</w:t>
      </w:r>
      <w:r w:rsidRPr="00C42989">
        <w:t xml:space="preserve"> added to Department of Health</w:t>
      </w:r>
      <w:r w:rsidR="00583B15">
        <w:t xml:space="preserve">, Disability and Ageing’s </w:t>
      </w:r>
      <w:r w:rsidRPr="00C42989">
        <w:t>systems.</w:t>
      </w:r>
    </w:p>
    <w:p w14:paraId="6339CABE" w14:textId="475E58EB" w:rsidR="00E656BE" w:rsidRPr="00C42989" w:rsidRDefault="00E656BE" w:rsidP="00C325C6">
      <w:pPr>
        <w:pStyle w:val="Sub-headings"/>
      </w:pPr>
      <w:r w:rsidRPr="00C42989">
        <w:t>If an older person in one of the transitional cohorts above wants to access mainstream aged care services:</w:t>
      </w:r>
    </w:p>
    <w:p w14:paraId="3B23C3C6" w14:textId="64BCFA15" w:rsidR="00E656BE" w:rsidRPr="00C42989" w:rsidRDefault="00340BEC" w:rsidP="00C325C6">
      <w:pPr>
        <w:pStyle w:val="Sub-headings"/>
      </w:pPr>
      <w:r>
        <w:t>-</w:t>
      </w:r>
      <w:r w:rsidR="00E656BE" w:rsidRPr="00C42989">
        <w:t>if they plan to access mainstream services under a home and community setting: they will need to call My Aged Care and either:</w:t>
      </w:r>
    </w:p>
    <w:p w14:paraId="661A5A38" w14:textId="55C91BAC" w:rsidR="00E656BE" w:rsidRPr="00C42989" w:rsidRDefault="000D0157" w:rsidP="00C325C6">
      <w:pPr>
        <w:pStyle w:val="Sub-headings"/>
      </w:pPr>
      <w:r>
        <w:t>-</w:t>
      </w:r>
      <w:r w:rsidR="00E656BE" w:rsidRPr="00C42989">
        <w:t>seek to undergo an aged care needs assessment if they only have a default NATSIFACP classification level provided at transition time, or</w:t>
      </w:r>
    </w:p>
    <w:p w14:paraId="1C0407A3" w14:textId="7193903C" w:rsidR="00E656BE" w:rsidRPr="00C42989" w:rsidRDefault="000D0157" w:rsidP="00C325C6">
      <w:pPr>
        <w:pStyle w:val="Sub-headings"/>
      </w:pPr>
      <w:r>
        <w:t>-</w:t>
      </w:r>
      <w:r w:rsidR="00E656BE" w:rsidRPr="00C42989">
        <w:t>indicate that they are now seeking mainstream services, where they already have a transitional HCP classification level, at which point they will be placed in the Support at Home Priority System’s queue based on their priority category and approval date.</w:t>
      </w:r>
    </w:p>
    <w:p w14:paraId="61A5C444" w14:textId="4D8EEBB4" w:rsidR="00E656BE" w:rsidRPr="00324228" w:rsidRDefault="000D0157" w:rsidP="00C325C6">
      <w:pPr>
        <w:pStyle w:val="Sub-headings"/>
      </w:pPr>
      <w:r>
        <w:t>-</w:t>
      </w:r>
      <w:r w:rsidR="00E656BE" w:rsidRPr="00701631">
        <w:t>if they plan to access mainstream services in a residential care home:</w:t>
      </w:r>
      <w:r w:rsidR="00E656BE" w:rsidRPr="00C42989">
        <w:t xml:space="preserve"> they will need to undergo a</w:t>
      </w:r>
      <w:r w:rsidR="003773AE">
        <w:t xml:space="preserve"> R</w:t>
      </w:r>
      <w:r w:rsidR="009B3315">
        <w:t xml:space="preserve">esidential </w:t>
      </w:r>
      <w:r w:rsidR="003773AE">
        <w:t>A</w:t>
      </w:r>
      <w:r w:rsidR="009B3315">
        <w:t xml:space="preserve">ged </w:t>
      </w:r>
      <w:r w:rsidR="003773AE">
        <w:t>C</w:t>
      </w:r>
      <w:r w:rsidR="009B3315">
        <w:t xml:space="preserve">are funding </w:t>
      </w:r>
      <w:r w:rsidR="00E656BE" w:rsidRPr="00C42989">
        <w:t xml:space="preserve">assessment (i.e. a classification re-assessment) </w:t>
      </w:r>
      <w:r w:rsidR="00E656BE" w:rsidRPr="00324228">
        <w:t>and an aged care assessment if they have not had one previously.</w:t>
      </w:r>
    </w:p>
    <w:p w14:paraId="2F674C8E" w14:textId="29B5536A" w:rsidR="00E656BE" w:rsidRPr="00C42989" w:rsidRDefault="00E656BE" w:rsidP="004D48B7">
      <w:pPr>
        <w:pStyle w:val="H4"/>
      </w:pPr>
      <w:r w:rsidRPr="00C42989">
        <w:t xml:space="preserve">New </w:t>
      </w:r>
      <w:r w:rsidR="00F75847">
        <w:t xml:space="preserve">National Aboriginal and Torres Strait Islander Flexible Aged Care Program </w:t>
      </w:r>
      <w:r w:rsidRPr="00C42989">
        <w:t>Clients post 1 November 2025</w:t>
      </w:r>
    </w:p>
    <w:p w14:paraId="28F0B3FC" w14:textId="40CD9528" w:rsidR="00E656BE" w:rsidRPr="0061553C" w:rsidRDefault="00E656BE" w:rsidP="008E6691">
      <w:pPr>
        <w:spacing w:before="240" w:after="240" w:line="240" w:lineRule="auto"/>
        <w:rPr>
          <w:i/>
          <w:iCs/>
        </w:rPr>
      </w:pPr>
      <w:r w:rsidRPr="00C42989">
        <w:t>All new clients are required to make an application for funded aged care services,</w:t>
      </w:r>
      <w:r w:rsidR="002A0421">
        <w:t xml:space="preserve"> by registering with </w:t>
      </w:r>
      <w:r w:rsidR="00C07B78">
        <w:t>My Aged Care</w:t>
      </w:r>
      <w:r w:rsidR="002A0421">
        <w:t>,</w:t>
      </w:r>
      <w:r w:rsidRPr="00C42989">
        <w:t xml:space="preserve"> undergo a needs assessment and obtain an access approval for one or more service groups in place to access services delivered under NATSIFACP. However, they can receive NATSIFACP services before assessment if they meet the criteria </w:t>
      </w:r>
      <w:r w:rsidR="00295C41">
        <w:t>under</w:t>
      </w:r>
      <w:r w:rsidR="00295C41" w:rsidRPr="00C42989">
        <w:t xml:space="preserve"> </w:t>
      </w:r>
      <w:r w:rsidRPr="00C42989">
        <w:t>alternative entry</w:t>
      </w:r>
      <w:r w:rsidR="00295C41">
        <w:t xml:space="preserve"> provisions</w:t>
      </w:r>
      <w:r w:rsidRPr="00C42989">
        <w:t>.</w:t>
      </w:r>
      <w:r w:rsidR="00370919">
        <w:t xml:space="preserve"> </w:t>
      </w:r>
    </w:p>
    <w:p w14:paraId="3535A091" w14:textId="3AD05F5B" w:rsidR="00E656BE" w:rsidRPr="00324228" w:rsidRDefault="00E656BE" w:rsidP="00C56CEC">
      <w:pPr>
        <w:pStyle w:val="H3"/>
      </w:pPr>
      <w:bookmarkStart w:id="63" w:name="_Toc207291877"/>
      <w:r>
        <w:t>Commonwealth Home Support Program (</w:t>
      </w:r>
      <w:r w:rsidRPr="00324228">
        <w:t>CHSP</w:t>
      </w:r>
      <w:bookmarkEnd w:id="63"/>
      <w:r>
        <w:t>)</w:t>
      </w:r>
    </w:p>
    <w:p w14:paraId="54259D2E" w14:textId="46489E35" w:rsidR="00E656BE" w:rsidRPr="00C42989" w:rsidRDefault="00E656BE" w:rsidP="008E6691">
      <w:pPr>
        <w:spacing w:before="240" w:after="240" w:line="240" w:lineRule="auto"/>
      </w:pPr>
      <w:r w:rsidRPr="00C42989">
        <w:t>Registered and assessed C</w:t>
      </w:r>
      <w:r w:rsidR="00295C41">
        <w:t xml:space="preserve">ommonwealth </w:t>
      </w:r>
      <w:r w:rsidRPr="00C42989">
        <w:t>H</w:t>
      </w:r>
      <w:r w:rsidR="00295C41">
        <w:t xml:space="preserve">ome </w:t>
      </w:r>
      <w:r w:rsidRPr="00C42989">
        <w:t>S</w:t>
      </w:r>
      <w:r w:rsidR="00295C41">
        <w:t xml:space="preserve">upport </w:t>
      </w:r>
      <w:r w:rsidRPr="00C42989">
        <w:t>P</w:t>
      </w:r>
      <w:r w:rsidR="00295C41">
        <w:t>rogram (</w:t>
      </w:r>
      <w:r w:rsidRPr="00C42989">
        <w:t>CHSP</w:t>
      </w:r>
      <w:r w:rsidR="00295C41">
        <w:t>)</w:t>
      </w:r>
      <w:r w:rsidRPr="00C42989">
        <w:t xml:space="preserve"> clients automatically transition</w:t>
      </w:r>
      <w:r w:rsidR="0046240C">
        <w:t>ed</w:t>
      </w:r>
      <w:r w:rsidRPr="00C42989">
        <w:t xml:space="preserve"> under the </w:t>
      </w:r>
      <w:r w:rsidR="00F46595">
        <w:t>Act</w:t>
      </w:r>
      <w:r w:rsidRPr="00C42989">
        <w:t xml:space="preserve"> on 1 November 2025. These clients </w:t>
      </w:r>
      <w:r w:rsidR="0046240C">
        <w:t xml:space="preserve">can </w:t>
      </w:r>
      <w:r w:rsidRPr="00C42989">
        <w:t>continue accessing their current CHSP services in line with their assessed need, without taking any action.</w:t>
      </w:r>
    </w:p>
    <w:p w14:paraId="420BCF31" w14:textId="3E47247A" w:rsidR="00E656BE" w:rsidRPr="00C42989" w:rsidRDefault="00E656BE" w:rsidP="008E6691">
      <w:pPr>
        <w:spacing w:before="240" w:after="240" w:line="240" w:lineRule="auto"/>
        <w:rPr>
          <w:lang w:val="en-AU"/>
        </w:rPr>
      </w:pPr>
      <w:r w:rsidRPr="00C42989">
        <w:rPr>
          <w:lang w:val="en-AU"/>
        </w:rPr>
        <w:t xml:space="preserve">Unregistered and unassessed </w:t>
      </w:r>
      <w:r w:rsidR="00AF27AF">
        <w:rPr>
          <w:lang w:val="en-AU"/>
        </w:rPr>
        <w:t xml:space="preserve">CHSP </w:t>
      </w:r>
      <w:r w:rsidRPr="00C42989">
        <w:rPr>
          <w:lang w:val="en-AU"/>
        </w:rPr>
        <w:t>clients must register with My Aged Care and be assessed as eligible for the CHSP to continue accessing government funded aged care services</w:t>
      </w:r>
      <w:r w:rsidR="009C36EF">
        <w:rPr>
          <w:lang w:val="en-AU"/>
        </w:rPr>
        <w:t>.</w:t>
      </w:r>
    </w:p>
    <w:p w14:paraId="08C6C433" w14:textId="77777777" w:rsidR="008A1477" w:rsidRDefault="00BE4CF4" w:rsidP="00C325C6">
      <w:pPr>
        <w:pStyle w:val="Sub-headings"/>
        <w:rPr>
          <w:bCs w:val="0"/>
        </w:rPr>
      </w:pPr>
      <w:r w:rsidRPr="00904192">
        <w:t>Note</w:t>
      </w:r>
      <w:r w:rsidRPr="000027E3">
        <w:t xml:space="preserve">: </w:t>
      </w:r>
    </w:p>
    <w:p w14:paraId="0CD57CD7" w14:textId="71F60925" w:rsidR="00BE4CF4" w:rsidRDefault="001B73A0" w:rsidP="00C325C6">
      <w:pPr>
        <w:pStyle w:val="Sub-headings"/>
      </w:pPr>
      <w:r>
        <w:t>Assessment approvals can be b</w:t>
      </w:r>
      <w:r w:rsidR="00BE4CF4" w:rsidRPr="5E439D2D">
        <w:t>ackdat</w:t>
      </w:r>
      <w:r>
        <w:t xml:space="preserve">ed </w:t>
      </w:r>
      <w:r w:rsidR="00BE4CF4" w:rsidRPr="5E439D2D">
        <w:t xml:space="preserve">for </w:t>
      </w:r>
      <w:r w:rsidR="004F5357">
        <w:t xml:space="preserve">eligible </w:t>
      </w:r>
      <w:r w:rsidR="00BE4CF4" w:rsidRPr="5E439D2D">
        <w:t>CHSP clients</w:t>
      </w:r>
      <w:r w:rsidR="00B4511C">
        <w:t xml:space="preserve"> under Section 71 of the Act</w:t>
      </w:r>
      <w:r>
        <w:t>.</w:t>
      </w:r>
      <w:r w:rsidR="00BE4CF4" w:rsidRPr="5E439D2D">
        <w:t xml:space="preserve"> </w:t>
      </w:r>
    </w:p>
    <w:p w14:paraId="7522FB06" w14:textId="0CD51EDB" w:rsidR="00BE4CF4" w:rsidRPr="00547551" w:rsidRDefault="00BE4CF4" w:rsidP="00C325C6">
      <w:pPr>
        <w:pStyle w:val="Sub-headings"/>
      </w:pPr>
      <w:r w:rsidRPr="00547551">
        <w:t xml:space="preserve">Transitional rules </w:t>
      </w:r>
      <w:r w:rsidR="001A285F">
        <w:t>allow</w:t>
      </w:r>
      <w:r w:rsidR="00FB357C">
        <w:t xml:space="preserve"> </w:t>
      </w:r>
      <w:r w:rsidR="00EA6CA4">
        <w:t>CHSP clients who</w:t>
      </w:r>
      <w:r w:rsidR="00FB357C" w:rsidRPr="00547551">
        <w:t xml:space="preserve"> </w:t>
      </w:r>
      <w:r w:rsidRPr="00547551">
        <w:t>appl</w:t>
      </w:r>
      <w:r w:rsidR="001B73A0">
        <w:t>ied</w:t>
      </w:r>
      <w:r w:rsidRPr="00547551">
        <w:t xml:space="preserve"> for an assessment </w:t>
      </w:r>
      <w:r w:rsidR="008A1477">
        <w:t>by 31 October</w:t>
      </w:r>
      <w:r w:rsidR="00706C4A">
        <w:t xml:space="preserve"> </w:t>
      </w:r>
      <w:r w:rsidR="007B07C2">
        <w:t>to</w:t>
      </w:r>
      <w:r w:rsidR="00EA6CA4">
        <w:t xml:space="preserve"> </w:t>
      </w:r>
      <w:r w:rsidR="00605AED">
        <w:t xml:space="preserve">have approvals backdated to 1 November </w:t>
      </w:r>
      <w:r w:rsidR="00FB357C">
        <w:t xml:space="preserve">if they are assessed as eligible after the </w:t>
      </w:r>
      <w:r w:rsidR="001A285F">
        <w:t>Act commenced</w:t>
      </w:r>
      <w:r w:rsidRPr="00547551">
        <w:t>.</w:t>
      </w:r>
    </w:p>
    <w:p w14:paraId="69DFA143" w14:textId="08E11639" w:rsidR="00BE4CF4" w:rsidRDefault="00E656BE" w:rsidP="004F12AF">
      <w:pPr>
        <w:spacing w:before="240" w:after="240" w:line="240" w:lineRule="auto"/>
      </w:pPr>
      <w:r w:rsidRPr="00C42989">
        <w:t xml:space="preserve">Grandfathered clients (clients receiving services through a previous program who were grandfathered </w:t>
      </w:r>
      <w:r w:rsidR="4BCE76DD">
        <w:t>into the</w:t>
      </w:r>
      <w:r w:rsidRPr="00C42989">
        <w:t xml:space="preserve"> CHSP) that have not since undergone an assessment will need to do so to continue receiving services</w:t>
      </w:r>
      <w:r w:rsidR="2F380B94">
        <w:t>.</w:t>
      </w:r>
      <w:bookmarkStart w:id="64" w:name="_Toc207291878"/>
    </w:p>
    <w:p w14:paraId="5D71C399" w14:textId="12FE930A" w:rsidR="00E656BE" w:rsidRPr="00324228" w:rsidRDefault="00E656BE" w:rsidP="00C56CEC">
      <w:pPr>
        <w:pStyle w:val="H3"/>
      </w:pPr>
      <w:r>
        <w:t>Short-Term Restorative Care (STRC) Programme</w:t>
      </w:r>
      <w:bookmarkEnd w:id="64"/>
    </w:p>
    <w:p w14:paraId="7069A6BC" w14:textId="04FC7120" w:rsidR="00E656BE" w:rsidRPr="00C42989" w:rsidRDefault="00E656BE" w:rsidP="008E6691">
      <w:pPr>
        <w:spacing w:before="240" w:after="240" w:line="240" w:lineRule="auto"/>
      </w:pPr>
      <w:r w:rsidRPr="00C42989">
        <w:t>The Short-Term Restorative Care (STRC) Programme</w:t>
      </w:r>
      <w:r w:rsidR="0001333B">
        <w:t xml:space="preserve"> has</w:t>
      </w:r>
      <w:r w:rsidRPr="00C42989">
        <w:t xml:space="preserve"> change</w:t>
      </w:r>
      <w:r w:rsidR="0001333B">
        <w:t>d</w:t>
      </w:r>
      <w:r w:rsidRPr="00C42989">
        <w:t xml:space="preserve"> to the ‘Restorative Care Pathway’ under Support at Home. Transition arrangements for people accessing STRC or who hold an active approval for STRC </w:t>
      </w:r>
      <w:r w:rsidR="00A80C73">
        <w:t>apply to two cohorts including</w:t>
      </w:r>
      <w:r w:rsidRPr="00C42989">
        <w:t>:</w:t>
      </w:r>
    </w:p>
    <w:p w14:paraId="202E788E" w14:textId="2F64F167" w:rsidR="00E656BE" w:rsidRPr="00C42989" w:rsidRDefault="00E656BE" w:rsidP="008E6691">
      <w:pPr>
        <w:pStyle w:val="NumberedList"/>
        <w:numPr>
          <w:ilvl w:val="0"/>
          <w:numId w:val="4"/>
        </w:numPr>
        <w:spacing w:before="240" w:after="240" w:line="240" w:lineRule="auto"/>
        <w:ind w:left="360" w:right="-164"/>
        <w:rPr>
          <w:lang w:val="en-US"/>
        </w:rPr>
      </w:pPr>
      <w:r w:rsidRPr="00C42989">
        <w:rPr>
          <w:lang w:val="en-US"/>
        </w:rPr>
        <w:t xml:space="preserve">STRC </w:t>
      </w:r>
      <w:r w:rsidR="71D69502" w:rsidRPr="6598EE2D">
        <w:rPr>
          <w:lang w:val="en-US"/>
        </w:rPr>
        <w:t>P</w:t>
      </w:r>
      <w:r w:rsidR="39459721" w:rsidRPr="6598EE2D">
        <w:rPr>
          <w:lang w:val="en-US"/>
        </w:rPr>
        <w:t>rogramme</w:t>
      </w:r>
      <w:r w:rsidRPr="00C42989">
        <w:rPr>
          <w:lang w:val="en-US"/>
        </w:rPr>
        <w:t xml:space="preserve"> </w:t>
      </w:r>
      <w:r w:rsidR="46ABFC6C" w:rsidRPr="48771A08">
        <w:rPr>
          <w:lang w:val="en-US"/>
        </w:rPr>
        <w:t xml:space="preserve">participants </w:t>
      </w:r>
      <w:r w:rsidRPr="00C42989">
        <w:rPr>
          <w:lang w:val="en-US"/>
        </w:rPr>
        <w:t xml:space="preserve">who commence their care episode before </w:t>
      </w:r>
      <w:r w:rsidR="067774BB" w:rsidRPr="4E1B6702">
        <w:rPr>
          <w:lang w:val="en-US"/>
        </w:rPr>
        <w:t>1 November 2025 and</w:t>
      </w:r>
      <w:r w:rsidRPr="00C42989">
        <w:rPr>
          <w:lang w:val="en-US"/>
        </w:rPr>
        <w:t xml:space="preserve"> are still in flight on 1 November</w:t>
      </w:r>
      <w:r w:rsidR="63BF5CAE" w:rsidRPr="48771A08">
        <w:rPr>
          <w:lang w:val="en-US"/>
        </w:rPr>
        <w:t>. These participants</w:t>
      </w:r>
      <w:r w:rsidRPr="00C42989">
        <w:rPr>
          <w:lang w:val="en-US"/>
        </w:rPr>
        <w:t xml:space="preserve"> will have their care </w:t>
      </w:r>
      <w:r w:rsidR="57FCC06E" w:rsidRPr="4E1B6702">
        <w:rPr>
          <w:lang w:val="en-US"/>
        </w:rPr>
        <w:t>continue</w:t>
      </w:r>
      <w:r w:rsidR="5D8D57F2" w:rsidRPr="4E1B6702">
        <w:rPr>
          <w:lang w:val="en-US"/>
        </w:rPr>
        <w:t>d</w:t>
      </w:r>
      <w:r w:rsidRPr="00C42989">
        <w:rPr>
          <w:lang w:val="en-US"/>
        </w:rPr>
        <w:t xml:space="preserve"> under transitional arrangements. </w:t>
      </w:r>
    </w:p>
    <w:p w14:paraId="575C05EC" w14:textId="2458F2B6" w:rsidR="00FD15E2" w:rsidRDefault="683DAB0E" w:rsidP="008E6691">
      <w:pPr>
        <w:pStyle w:val="NumberedList"/>
        <w:numPr>
          <w:ilvl w:val="0"/>
          <w:numId w:val="4"/>
        </w:numPr>
        <w:spacing w:before="240" w:after="240" w:line="240" w:lineRule="auto"/>
        <w:ind w:left="360" w:right="-164"/>
        <w:rPr>
          <w:lang w:val="en-US"/>
        </w:rPr>
      </w:pPr>
      <w:r w:rsidRPr="4E1B6702">
        <w:rPr>
          <w:lang w:val="en-US"/>
        </w:rPr>
        <w:t>P</w:t>
      </w:r>
      <w:r w:rsidR="2E9EF325" w:rsidRPr="4E1B6702">
        <w:rPr>
          <w:lang w:val="en-US"/>
        </w:rPr>
        <w:t>articipants</w:t>
      </w:r>
      <w:r w:rsidR="2DE2BD60" w:rsidRPr="4C5FBF7A">
        <w:rPr>
          <w:lang w:val="en-US"/>
        </w:rPr>
        <w:t xml:space="preserve"> </w:t>
      </w:r>
      <w:r w:rsidR="00E656BE" w:rsidRPr="00C42989">
        <w:rPr>
          <w:lang w:val="en-US"/>
        </w:rPr>
        <w:t xml:space="preserve">approved for </w:t>
      </w:r>
      <w:r w:rsidR="10990D5D" w:rsidRPr="4428FE5E">
        <w:rPr>
          <w:lang w:val="en-US"/>
        </w:rPr>
        <w:t xml:space="preserve">the </w:t>
      </w:r>
      <w:r w:rsidR="00E656BE" w:rsidRPr="00C42989">
        <w:rPr>
          <w:lang w:val="en-US"/>
        </w:rPr>
        <w:t xml:space="preserve">STRC </w:t>
      </w:r>
      <w:r w:rsidR="7127B4E5" w:rsidRPr="6598EE2D">
        <w:rPr>
          <w:lang w:val="en-US"/>
        </w:rPr>
        <w:t>P</w:t>
      </w:r>
      <w:r w:rsidR="423679EC" w:rsidRPr="6598EE2D">
        <w:rPr>
          <w:lang w:val="en-US"/>
        </w:rPr>
        <w:t>rogramme</w:t>
      </w:r>
      <w:r w:rsidR="57FCC06E" w:rsidRPr="6E6DCF67">
        <w:rPr>
          <w:lang w:val="en-US"/>
        </w:rPr>
        <w:t xml:space="preserve"> </w:t>
      </w:r>
      <w:r w:rsidR="5780CD49" w:rsidRPr="0742DE1D">
        <w:rPr>
          <w:lang w:val="en-US"/>
        </w:rPr>
        <w:t xml:space="preserve">but </w:t>
      </w:r>
      <w:r w:rsidR="00EE7641">
        <w:rPr>
          <w:lang w:val="en-US"/>
        </w:rPr>
        <w:t>who have</w:t>
      </w:r>
      <w:r w:rsidR="5780CD49" w:rsidRPr="0742DE1D">
        <w:rPr>
          <w:lang w:val="en-US"/>
        </w:rPr>
        <w:t xml:space="preserve"> </w:t>
      </w:r>
      <w:r w:rsidR="00E656BE" w:rsidRPr="00C42989">
        <w:rPr>
          <w:lang w:val="en-US"/>
        </w:rPr>
        <w:t>commence</w:t>
      </w:r>
      <w:r w:rsidR="003F09BA">
        <w:rPr>
          <w:lang w:val="en-US"/>
        </w:rPr>
        <w:t>d</w:t>
      </w:r>
      <w:r w:rsidR="00E656BE" w:rsidRPr="00C42989">
        <w:rPr>
          <w:lang w:val="en-US"/>
        </w:rPr>
        <w:t xml:space="preserve"> their care episode after 1 November 2025</w:t>
      </w:r>
      <w:r w:rsidR="6CB53B16" w:rsidRPr="0742DE1D">
        <w:rPr>
          <w:lang w:val="en-US"/>
        </w:rPr>
        <w:t>. These participants</w:t>
      </w:r>
      <w:r w:rsidR="00E656BE" w:rsidRPr="00C42989">
        <w:rPr>
          <w:lang w:val="en-US"/>
        </w:rPr>
        <w:t xml:space="preserve"> have </w:t>
      </w:r>
      <w:r w:rsidR="002860A0">
        <w:rPr>
          <w:lang w:val="en-US"/>
        </w:rPr>
        <w:t>had</w:t>
      </w:r>
      <w:r w:rsidR="00E656BE" w:rsidRPr="00C42989">
        <w:rPr>
          <w:lang w:val="en-US"/>
        </w:rPr>
        <w:t xml:space="preserve"> their STRC approval converted into an approval for the Restorative Care Pathway.</w:t>
      </w:r>
    </w:p>
    <w:p w14:paraId="59D401D0" w14:textId="50783CCB" w:rsidR="00FD15E2" w:rsidRDefault="00E656BE" w:rsidP="008E6691">
      <w:pPr>
        <w:pStyle w:val="NumberedList"/>
        <w:numPr>
          <w:ilvl w:val="1"/>
          <w:numId w:val="4"/>
        </w:numPr>
        <w:spacing w:before="240" w:after="240" w:line="240" w:lineRule="auto"/>
        <w:ind w:right="-164"/>
        <w:rPr>
          <w:lang w:val="en-US"/>
        </w:rPr>
      </w:pPr>
      <w:r w:rsidRPr="00C42989">
        <w:rPr>
          <w:lang w:val="en-US"/>
        </w:rPr>
        <w:t xml:space="preserve">They </w:t>
      </w:r>
      <w:r w:rsidR="002860A0">
        <w:rPr>
          <w:lang w:val="en-US"/>
        </w:rPr>
        <w:t>have</w:t>
      </w:r>
      <w:r w:rsidRPr="00C42989">
        <w:rPr>
          <w:lang w:val="en-US"/>
        </w:rPr>
        <w:t xml:space="preserve"> also receive</w:t>
      </w:r>
      <w:r w:rsidR="00732C07">
        <w:rPr>
          <w:lang w:val="en-US"/>
        </w:rPr>
        <w:t>d</w:t>
      </w:r>
      <w:r w:rsidRPr="00C42989">
        <w:rPr>
          <w:lang w:val="en-US"/>
        </w:rPr>
        <w:t xml:space="preserve"> approval for </w:t>
      </w:r>
      <w:r w:rsidR="1AE400D9" w:rsidRPr="46CC681C">
        <w:rPr>
          <w:lang w:val="en-US"/>
        </w:rPr>
        <w:t xml:space="preserve">an </w:t>
      </w:r>
      <w:r w:rsidRPr="00C42989">
        <w:rPr>
          <w:lang w:val="en-US"/>
        </w:rPr>
        <w:t xml:space="preserve">assistive technology </w:t>
      </w:r>
      <w:r w:rsidR="00A95FD1">
        <w:rPr>
          <w:lang w:val="en-US"/>
        </w:rPr>
        <w:t xml:space="preserve">low, </w:t>
      </w:r>
      <w:r w:rsidRPr="00C42989">
        <w:rPr>
          <w:lang w:val="en-US"/>
        </w:rPr>
        <w:t xml:space="preserve">medium </w:t>
      </w:r>
      <w:r w:rsidR="6B2B3F4F" w:rsidRPr="46CC681C">
        <w:rPr>
          <w:lang w:val="en-US"/>
        </w:rPr>
        <w:t>or</w:t>
      </w:r>
      <w:r w:rsidR="00A95FD1">
        <w:rPr>
          <w:lang w:val="en-US"/>
        </w:rPr>
        <w:t xml:space="preserve"> high</w:t>
      </w:r>
      <w:r w:rsidRPr="00C42989">
        <w:rPr>
          <w:lang w:val="en-US"/>
        </w:rPr>
        <w:t xml:space="preserve"> tier and home modifications </w:t>
      </w:r>
      <w:r w:rsidR="00D547D7">
        <w:rPr>
          <w:lang w:val="en-US"/>
        </w:rPr>
        <w:t xml:space="preserve">low </w:t>
      </w:r>
      <w:r w:rsidR="4B1DFE6E" w:rsidRPr="46CC681C">
        <w:rPr>
          <w:lang w:val="en-US"/>
        </w:rPr>
        <w:t>or</w:t>
      </w:r>
      <w:r w:rsidR="00D547D7">
        <w:rPr>
          <w:lang w:val="en-US"/>
        </w:rPr>
        <w:t xml:space="preserve"> </w:t>
      </w:r>
      <w:r w:rsidRPr="00C42989">
        <w:rPr>
          <w:lang w:val="en-US"/>
        </w:rPr>
        <w:t>medium tier. They will have six months from their STRC approval to acc</w:t>
      </w:r>
      <w:r w:rsidR="008A3D99">
        <w:rPr>
          <w:lang w:val="en-US"/>
        </w:rPr>
        <w:t>ept</w:t>
      </w:r>
      <w:r w:rsidRPr="00C42989">
        <w:rPr>
          <w:lang w:val="en-US"/>
        </w:rPr>
        <w:t xml:space="preserve"> the Restorative Care Pathway/AT-HM</w:t>
      </w:r>
      <w:r w:rsidR="008A3D99">
        <w:rPr>
          <w:lang w:val="en-US"/>
        </w:rPr>
        <w:t xml:space="preserve"> place</w:t>
      </w:r>
      <w:r w:rsidRPr="00C42989">
        <w:rPr>
          <w:lang w:val="en-US"/>
        </w:rPr>
        <w:t xml:space="preserve">. </w:t>
      </w:r>
    </w:p>
    <w:p w14:paraId="1E54C8D8" w14:textId="45F7B745" w:rsidR="00FD15E2" w:rsidRDefault="00E656BE" w:rsidP="008E6691">
      <w:pPr>
        <w:pStyle w:val="NumberedList"/>
        <w:numPr>
          <w:ilvl w:val="1"/>
          <w:numId w:val="4"/>
        </w:numPr>
        <w:spacing w:before="240" w:after="240" w:line="240" w:lineRule="auto"/>
        <w:ind w:right="-164"/>
        <w:rPr>
          <w:lang w:val="en-US"/>
        </w:rPr>
      </w:pPr>
      <w:r w:rsidRPr="00C42989">
        <w:rPr>
          <w:lang w:val="en-US"/>
        </w:rPr>
        <w:t>After this, they will need to be reassessed to access restorative care or AT-HM under the Support at Home program, if eligible.</w:t>
      </w:r>
      <w:r w:rsidR="0061553C">
        <w:rPr>
          <w:lang w:val="en-US"/>
        </w:rPr>
        <w:t xml:space="preserve"> </w:t>
      </w:r>
      <w:r w:rsidRPr="00FD15E2">
        <w:rPr>
          <w:lang w:val="en-US"/>
        </w:rPr>
        <w:t xml:space="preserve">A second unit of funding to use within a single Restorative Care Pathway episode can be requested via a </w:t>
      </w:r>
      <w:r w:rsidR="4B7E5258" w:rsidRPr="18A3D1BD">
        <w:rPr>
          <w:lang w:val="en-US"/>
        </w:rPr>
        <w:t>s</w:t>
      </w:r>
      <w:r w:rsidRPr="00FD15E2">
        <w:rPr>
          <w:lang w:val="en-US"/>
        </w:rPr>
        <w:t xml:space="preserve">upport </w:t>
      </w:r>
      <w:r w:rsidR="5CCF8D76" w:rsidRPr="5876B6FA">
        <w:rPr>
          <w:lang w:val="en-US"/>
        </w:rPr>
        <w:t>p</w:t>
      </w:r>
      <w:r w:rsidRPr="5876B6FA">
        <w:rPr>
          <w:lang w:val="en-US"/>
        </w:rPr>
        <w:t xml:space="preserve">lan </w:t>
      </w:r>
      <w:r w:rsidR="7A5244E4" w:rsidRPr="5876B6FA">
        <w:rPr>
          <w:lang w:val="en-US"/>
        </w:rPr>
        <w:t>r</w:t>
      </w:r>
      <w:r w:rsidRPr="00FD15E2">
        <w:rPr>
          <w:lang w:val="en-US"/>
        </w:rPr>
        <w:t xml:space="preserve">eview request. </w:t>
      </w:r>
    </w:p>
    <w:p w14:paraId="46AE6DC0" w14:textId="46AB57FD" w:rsidR="00E656BE" w:rsidRPr="00FD15E2" w:rsidRDefault="00AA6F79" w:rsidP="008E6691">
      <w:pPr>
        <w:pStyle w:val="NumberedList"/>
        <w:numPr>
          <w:ilvl w:val="1"/>
          <w:numId w:val="4"/>
        </w:numPr>
        <w:spacing w:before="240" w:after="240" w:line="240" w:lineRule="auto"/>
        <w:ind w:right="-164"/>
        <w:rPr>
          <w:lang w:val="en-US"/>
        </w:rPr>
      </w:pPr>
      <w:r>
        <w:rPr>
          <w:lang w:val="en-US"/>
        </w:rPr>
        <w:t>An</w:t>
      </w:r>
      <w:r w:rsidR="00E656BE" w:rsidRPr="00FD15E2">
        <w:rPr>
          <w:lang w:val="en-US"/>
        </w:rPr>
        <w:t xml:space="preserve"> assessor will </w:t>
      </w:r>
      <w:r>
        <w:rPr>
          <w:lang w:val="en-US"/>
        </w:rPr>
        <w:t xml:space="preserve">no longer </w:t>
      </w:r>
      <w:r w:rsidR="00E656BE" w:rsidRPr="00FD15E2">
        <w:rPr>
          <w:lang w:val="en-US"/>
        </w:rPr>
        <w:t xml:space="preserve">need to self-refer </w:t>
      </w:r>
      <w:r>
        <w:rPr>
          <w:lang w:val="en-US"/>
        </w:rPr>
        <w:t>and</w:t>
      </w:r>
      <w:r w:rsidR="00E656BE" w:rsidRPr="00FD15E2">
        <w:rPr>
          <w:lang w:val="en-US"/>
        </w:rPr>
        <w:t xml:space="preserve"> undertake a reassessment to grant access to a second unit of funding. Th</w:t>
      </w:r>
      <w:r>
        <w:rPr>
          <w:lang w:val="en-US"/>
        </w:rPr>
        <w:t xml:space="preserve">e SPR pathway can now be used. </w:t>
      </w:r>
    </w:p>
    <w:p w14:paraId="77D5A766" w14:textId="17251EAA" w:rsidR="12F63CAC" w:rsidRDefault="12F63CAC" w:rsidP="6A641F4A">
      <w:pPr>
        <w:pStyle w:val="NumberedList"/>
        <w:numPr>
          <w:ilvl w:val="1"/>
          <w:numId w:val="4"/>
        </w:numPr>
        <w:spacing w:before="240" w:after="240" w:line="240" w:lineRule="auto"/>
        <w:ind w:right="-164"/>
        <w:rPr>
          <w:lang w:val="en-US"/>
        </w:rPr>
      </w:pPr>
      <w:r w:rsidRPr="6A641F4A">
        <w:rPr>
          <w:lang w:val="en-US"/>
        </w:rPr>
        <w:t>Requests for higher levels of AT funding will also need to follow this process.</w:t>
      </w:r>
      <w:r w:rsidR="0670F1F9" w:rsidRPr="5AA008B5">
        <w:rPr>
          <w:lang w:val="en-US"/>
        </w:rPr>
        <w:t xml:space="preserve"> </w:t>
      </w:r>
      <w:r w:rsidR="0670F1F9" w:rsidRPr="22ABEC9F">
        <w:rPr>
          <w:lang w:val="en-US"/>
        </w:rPr>
        <w:t xml:space="preserve">Please note, a request for </w:t>
      </w:r>
      <w:r w:rsidR="00B428D7" w:rsidRPr="22ABEC9F">
        <w:rPr>
          <w:lang w:val="en-US"/>
        </w:rPr>
        <w:t>high-tier</w:t>
      </w:r>
      <w:r w:rsidR="72296EE6" w:rsidRPr="58F6272A">
        <w:rPr>
          <w:lang w:val="en-US"/>
        </w:rPr>
        <w:t xml:space="preserve"> </w:t>
      </w:r>
      <w:r w:rsidR="0670F1F9" w:rsidRPr="58F6272A">
        <w:rPr>
          <w:lang w:val="en-US"/>
        </w:rPr>
        <w:t>AT</w:t>
      </w:r>
      <w:r w:rsidR="0670F1F9" w:rsidRPr="22ABEC9F">
        <w:rPr>
          <w:lang w:val="en-US"/>
        </w:rPr>
        <w:t xml:space="preserve"> will require </w:t>
      </w:r>
      <w:r w:rsidR="60F957DE" w:rsidRPr="58F6272A">
        <w:rPr>
          <w:lang w:val="en-US"/>
        </w:rPr>
        <w:t xml:space="preserve">recommendation and </w:t>
      </w:r>
      <w:r w:rsidR="4B979159" w:rsidRPr="3F31D433">
        <w:rPr>
          <w:lang w:val="en-US"/>
        </w:rPr>
        <w:t xml:space="preserve">also </w:t>
      </w:r>
      <w:r w:rsidR="0670F1F9" w:rsidRPr="07CAE1FA">
        <w:rPr>
          <w:lang w:val="en-US"/>
        </w:rPr>
        <w:t xml:space="preserve">approval for a Support at Home </w:t>
      </w:r>
      <w:r w:rsidR="00B428D7" w:rsidRPr="1B34630F">
        <w:rPr>
          <w:lang w:val="en-US"/>
        </w:rPr>
        <w:t>classification</w:t>
      </w:r>
      <w:r w:rsidR="00B428D7" w:rsidRPr="45B2D37C">
        <w:rPr>
          <w:lang w:val="en-US"/>
        </w:rPr>
        <w:t>.</w:t>
      </w:r>
      <w:r w:rsidR="0670F1F9" w:rsidRPr="07CAE1FA">
        <w:rPr>
          <w:lang w:val="en-US"/>
        </w:rPr>
        <w:t xml:space="preserve"> </w:t>
      </w:r>
      <w:r w:rsidR="776DFFB7" w:rsidRPr="2DFD80B4">
        <w:rPr>
          <w:lang w:val="en-US"/>
        </w:rPr>
        <w:t xml:space="preserve">Approval for RCP will </w:t>
      </w:r>
      <w:r w:rsidR="776DFFB7" w:rsidRPr="4D69FE75">
        <w:rPr>
          <w:lang w:val="en-US"/>
        </w:rPr>
        <w:t>r</w:t>
      </w:r>
      <w:r w:rsidR="36529A88" w:rsidRPr="4D69FE75">
        <w:rPr>
          <w:lang w:val="en-US"/>
        </w:rPr>
        <w:t>esult in</w:t>
      </w:r>
      <w:r w:rsidR="776DFFB7" w:rsidRPr="2DFD80B4">
        <w:rPr>
          <w:lang w:val="en-US"/>
        </w:rPr>
        <w:t xml:space="preserve"> a second unit of RCP funding </w:t>
      </w:r>
      <w:r w:rsidR="6C974552" w:rsidRPr="4D69FE75">
        <w:rPr>
          <w:lang w:val="en-US"/>
        </w:rPr>
        <w:t xml:space="preserve">being </w:t>
      </w:r>
      <w:r w:rsidR="6C974552" w:rsidRPr="74553195">
        <w:rPr>
          <w:lang w:val="en-US"/>
        </w:rPr>
        <w:t>given</w:t>
      </w:r>
      <w:r w:rsidR="776DFFB7" w:rsidRPr="2DFD80B4">
        <w:rPr>
          <w:lang w:val="en-US"/>
        </w:rPr>
        <w:t xml:space="preserve"> and all </w:t>
      </w:r>
      <w:r w:rsidR="776DFFB7" w:rsidRPr="23173E82">
        <w:rPr>
          <w:lang w:val="en-US"/>
        </w:rPr>
        <w:t xml:space="preserve">evidence requirements must be </w:t>
      </w:r>
      <w:r w:rsidR="14ED1290" w:rsidRPr="45B2D37C">
        <w:rPr>
          <w:lang w:val="en-US"/>
        </w:rPr>
        <w:t>met</w:t>
      </w:r>
      <w:r w:rsidR="776DFFB7" w:rsidRPr="23173E82">
        <w:rPr>
          <w:lang w:val="en-US"/>
        </w:rPr>
        <w:t xml:space="preserve">. </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D1422E" w:rsidRPr="00C42989" w14:paraId="0B398AA1" w14:textId="77777777" w:rsidTr="00E42183">
        <w:trPr>
          <w:trHeight w:val="300"/>
        </w:trPr>
        <w:tc>
          <w:tcPr>
            <w:tcW w:w="988" w:type="dxa"/>
          </w:tcPr>
          <w:p w14:paraId="3EE1607E" w14:textId="77777777" w:rsidR="00D1422E" w:rsidRPr="00C42989" w:rsidRDefault="00D1422E">
            <w:pPr>
              <w:spacing w:before="240" w:after="240"/>
            </w:pPr>
            <w:r w:rsidRPr="00C42989">
              <w:rPr>
                <w:noProof/>
              </w:rPr>
              <w:drawing>
                <wp:inline distT="0" distB="0" distL="0" distR="0" wp14:anchorId="3987F5AA" wp14:editId="2FE856EC">
                  <wp:extent cx="447675" cy="438150"/>
                  <wp:effectExtent l="0" t="0" r="0" b="0"/>
                  <wp:docPr id="1738242825" name="Picture 17382428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73F8761" w14:textId="1FA20E77" w:rsidR="00D1422E" w:rsidRPr="00C42989" w:rsidRDefault="00D1422E">
            <w:pPr>
              <w:spacing w:before="240" w:after="240"/>
            </w:pPr>
            <w:hyperlink r:id="rId49" w:history="1">
              <w:r w:rsidRPr="00842128">
                <w:rPr>
                  <w:color w:val="2BB1BB"/>
                  <w:u w:val="single"/>
                </w:rPr>
                <w:t>Guide for Short-Term Restorative Care providers transitioning to the Restorative Care Pathway | Australian Government Department of Health, Disability and Ageing</w:t>
              </w:r>
            </w:hyperlink>
          </w:p>
        </w:tc>
      </w:tr>
    </w:tbl>
    <w:p w14:paraId="532D01A0" w14:textId="16C70724" w:rsidR="00D1422E" w:rsidRPr="00524E0B" w:rsidRDefault="00D1422E" w:rsidP="00524E0B">
      <w:pPr>
        <w:rPr>
          <w:szCs w:val="20"/>
          <w:lang w:val="en-US"/>
        </w:rPr>
      </w:pPr>
    </w:p>
    <w:p w14:paraId="5F636C69" w14:textId="77777777" w:rsidR="00E656BE" w:rsidRPr="00C42989" w:rsidRDefault="00E656BE" w:rsidP="00C56CEC">
      <w:pPr>
        <w:pStyle w:val="H3"/>
      </w:pPr>
      <w:bookmarkStart w:id="65" w:name="_Toc198813654"/>
      <w:bookmarkStart w:id="66" w:name="_Toc207291880"/>
      <w:r w:rsidRPr="00C42989">
        <w:t>Transition Care Program (TCP)</w:t>
      </w:r>
      <w:bookmarkEnd w:id="65"/>
      <w:bookmarkEnd w:id="66"/>
    </w:p>
    <w:p w14:paraId="0442DD4E" w14:textId="2A667A61" w:rsidR="00E656BE" w:rsidRPr="00C42989" w:rsidRDefault="00E656BE" w:rsidP="0003231B">
      <w:pPr>
        <w:pStyle w:val="H4"/>
      </w:pPr>
      <w:r w:rsidRPr="00E32E81">
        <w:t xml:space="preserve">TCP clients receiving transition care </w:t>
      </w:r>
      <w:r w:rsidR="00D43297" w:rsidRPr="00E32E81">
        <w:t xml:space="preserve">on </w:t>
      </w:r>
      <w:r w:rsidRPr="00E32E81">
        <w:t>1 Nov</w:t>
      </w:r>
      <w:r w:rsidR="00A11FC8" w:rsidRPr="00E32E81">
        <w:t>ember 2025</w:t>
      </w:r>
    </w:p>
    <w:p w14:paraId="1430A5B2" w14:textId="4D8CB61D" w:rsidR="00E656BE" w:rsidRPr="00C42989" w:rsidRDefault="00E656BE" w:rsidP="00BE4CF4">
      <w:pPr>
        <w:spacing w:before="240" w:after="240" w:line="240" w:lineRule="auto"/>
      </w:pPr>
      <w:r w:rsidRPr="00C42989">
        <w:t xml:space="preserve">Transition Care Program clients </w:t>
      </w:r>
      <w:r w:rsidR="00043F5E">
        <w:t xml:space="preserve">in care on 1 November 2025 </w:t>
      </w:r>
      <w:r w:rsidR="00B97C70">
        <w:t xml:space="preserve">had their </w:t>
      </w:r>
      <w:r w:rsidR="00A30346">
        <w:t xml:space="preserve">eligibility and </w:t>
      </w:r>
      <w:r w:rsidR="00B97C70">
        <w:t>approval</w:t>
      </w:r>
      <w:r w:rsidR="00A30346">
        <w:t xml:space="preserve"> for the program </w:t>
      </w:r>
      <w:r w:rsidR="00043F5E">
        <w:t>deemed across</w:t>
      </w:r>
      <w:r w:rsidR="00F77997">
        <w:t xml:space="preserve">. </w:t>
      </w:r>
      <w:r w:rsidRPr="00C42989">
        <w:t xml:space="preserve"> </w:t>
      </w:r>
    </w:p>
    <w:p w14:paraId="29516586" w14:textId="48DD7F6D" w:rsidR="00E656BE" w:rsidRPr="00E32E81" w:rsidRDefault="00E656BE" w:rsidP="0003231B">
      <w:pPr>
        <w:pStyle w:val="H4"/>
      </w:pPr>
      <w:r w:rsidRPr="00E32E81">
        <w:t xml:space="preserve">New TCP </w:t>
      </w:r>
      <w:r w:rsidR="001A778C" w:rsidRPr="00E32E81">
        <w:t xml:space="preserve">clients </w:t>
      </w:r>
      <w:r w:rsidRPr="00E32E81">
        <w:t>post 1 November 2025</w:t>
      </w:r>
    </w:p>
    <w:p w14:paraId="32B08093" w14:textId="746E5F65" w:rsidR="00E656BE" w:rsidRPr="00C42989" w:rsidRDefault="00E656BE" w:rsidP="00BE4CF4">
      <w:pPr>
        <w:spacing w:before="240" w:after="240" w:line="240" w:lineRule="auto"/>
        <w:rPr>
          <w:b/>
        </w:rPr>
      </w:pPr>
      <w:r w:rsidRPr="00C42989">
        <w:t xml:space="preserve">All new clients </w:t>
      </w:r>
      <w:r w:rsidR="00F77997">
        <w:t>are</w:t>
      </w:r>
      <w:r w:rsidRPr="00C42989">
        <w:t xml:space="preserve"> required to have a comprehensive assessment and receive delegate approval, before they are discharged from hospital, to be referred to </w:t>
      </w:r>
      <w:r w:rsidR="00F77997">
        <w:t xml:space="preserve">a </w:t>
      </w:r>
      <w:r w:rsidRPr="00C42989">
        <w:t>transition care service provider.</w:t>
      </w:r>
      <w:r w:rsidR="00795CD3">
        <w:t xml:space="preserve"> </w:t>
      </w:r>
    </w:p>
    <w:p w14:paraId="38415867" w14:textId="77777777" w:rsidR="00E656BE" w:rsidRPr="00C42989" w:rsidRDefault="00E656BE" w:rsidP="00C56CEC">
      <w:pPr>
        <w:pStyle w:val="H3"/>
      </w:pPr>
      <w:bookmarkStart w:id="67" w:name="_Toc207291881"/>
      <w:r w:rsidRPr="00C42989">
        <w:t>Residential Care</w:t>
      </w:r>
      <w:bookmarkEnd w:id="67"/>
    </w:p>
    <w:p w14:paraId="3DE92875" w14:textId="4F87076E" w:rsidR="00E656BE" w:rsidRPr="00C42989" w:rsidRDefault="00F77997" w:rsidP="0003231B">
      <w:pPr>
        <w:pStyle w:val="H4"/>
      </w:pPr>
      <w:r w:rsidRPr="00E32E81">
        <w:t>R</w:t>
      </w:r>
      <w:r w:rsidR="00E656BE" w:rsidRPr="00E32E81">
        <w:t xml:space="preserve">esidential care clients </w:t>
      </w:r>
      <w:r w:rsidR="00D43297" w:rsidRPr="00E32E81">
        <w:t xml:space="preserve">in </w:t>
      </w:r>
      <w:r w:rsidR="00E656BE" w:rsidRPr="00E32E81">
        <w:t xml:space="preserve">residential care </w:t>
      </w:r>
      <w:r w:rsidR="00D43297" w:rsidRPr="00E32E81">
        <w:t xml:space="preserve">on </w:t>
      </w:r>
      <w:r w:rsidR="00E656BE" w:rsidRPr="00E32E81">
        <w:t>1 Nov</w:t>
      </w:r>
      <w:r w:rsidR="00A11FC8" w:rsidRPr="00E32E81">
        <w:t>ember 2025</w:t>
      </w:r>
    </w:p>
    <w:p w14:paraId="34C1DD75" w14:textId="35000CA9" w:rsidR="00E656BE" w:rsidRPr="008B69FB" w:rsidRDefault="00D43297" w:rsidP="00BE4CF4">
      <w:pPr>
        <w:spacing w:before="240" w:after="240" w:line="240" w:lineRule="auto"/>
      </w:pPr>
      <w:r>
        <w:t>R</w:t>
      </w:r>
      <w:r w:rsidR="00E656BE" w:rsidRPr="00C42989">
        <w:t xml:space="preserve">esidents in care on 1 November 2025 </w:t>
      </w:r>
      <w:r>
        <w:t>were</w:t>
      </w:r>
      <w:r w:rsidR="00E656BE" w:rsidRPr="00C42989">
        <w:t xml:space="preserve"> allocated a place to ensure no payment or continuity of care issues for the provider or older Australian.  This cohort of older Australians </w:t>
      </w:r>
      <w:r>
        <w:t>did not</w:t>
      </w:r>
      <w:r w:rsidR="00E656BE" w:rsidRPr="00C42989">
        <w:t xml:space="preserve"> need to do anything to facilitate this allocation</w:t>
      </w:r>
      <w:r>
        <w:t>.</w:t>
      </w:r>
    </w:p>
    <w:p w14:paraId="0C5999E3" w14:textId="1376555D" w:rsidR="00E656BE" w:rsidRPr="00E32E81" w:rsidRDefault="00E656BE" w:rsidP="0003231B">
      <w:pPr>
        <w:pStyle w:val="H4"/>
      </w:pPr>
      <w:r w:rsidRPr="00E32E81">
        <w:t>Prospective residents with a residential care approval but not in care on 1 Nov</w:t>
      </w:r>
      <w:r w:rsidR="00A11FC8" w:rsidRPr="00E32E81">
        <w:t>ember 2025</w:t>
      </w:r>
    </w:p>
    <w:p w14:paraId="6C4DAC71" w14:textId="11337528" w:rsidR="00E656BE" w:rsidRDefault="00E656BE" w:rsidP="00BE4CF4">
      <w:pPr>
        <w:spacing w:before="240" w:after="240" w:line="240" w:lineRule="auto"/>
      </w:pPr>
      <w:r w:rsidRPr="00C42989">
        <w:t xml:space="preserve">Older Australians who </w:t>
      </w:r>
      <w:r w:rsidR="00824E21">
        <w:t>were</w:t>
      </w:r>
      <w:r w:rsidRPr="00C42989">
        <w:t xml:space="preserve"> assessed and approved as requiring residential care, prior to 1 November 2025, </w:t>
      </w:r>
      <w:r w:rsidR="00824E21">
        <w:t>were</w:t>
      </w:r>
      <w:r w:rsidRPr="00C42989">
        <w:t xml:space="preserve"> automatically allocated a place </w:t>
      </w:r>
      <w:r w:rsidR="00824E21">
        <w:t xml:space="preserve">on commencement of the Aged Care Act 2024 </w:t>
      </w:r>
      <w:r w:rsidRPr="00C42989">
        <w:t>and can enter care when they choose to.</w:t>
      </w:r>
    </w:p>
    <w:p w14:paraId="7276ACEA" w14:textId="0B758EB5" w:rsidR="00E656BE" w:rsidRDefault="00E656BE" w:rsidP="00C56CEC">
      <w:pPr>
        <w:pStyle w:val="H3"/>
      </w:pPr>
      <w:bookmarkStart w:id="68" w:name="_Ref212733794"/>
      <w:bookmarkStart w:id="69" w:name="_Toc207291879"/>
      <w:r>
        <w:t>Younger People</w:t>
      </w:r>
      <w:bookmarkEnd w:id="68"/>
    </w:p>
    <w:p w14:paraId="363DA0B3" w14:textId="56E035A4" w:rsidR="00E656BE" w:rsidRPr="00E32E81" w:rsidRDefault="00E656BE" w:rsidP="0003231B">
      <w:pPr>
        <w:pStyle w:val="H4"/>
      </w:pPr>
      <w:r w:rsidRPr="00E32E81">
        <w:t>Younger people receiving existing aged care services</w:t>
      </w:r>
      <w:bookmarkEnd w:id="69"/>
      <w:r w:rsidRPr="00E32E81">
        <w:t xml:space="preserve"> </w:t>
      </w:r>
    </w:p>
    <w:p w14:paraId="754AB0B1" w14:textId="52774BC3" w:rsidR="00E656BE" w:rsidRPr="00C42989" w:rsidRDefault="003418B3" w:rsidP="00BE4CF4">
      <w:pPr>
        <w:spacing w:before="240" w:after="240" w:line="240" w:lineRule="auto"/>
        <w:rPr>
          <w:b/>
        </w:rPr>
      </w:pPr>
      <w:r>
        <w:t xml:space="preserve">On commencement of the </w:t>
      </w:r>
      <w:r w:rsidR="00171838">
        <w:t xml:space="preserve">Aged Care Act 2024 (the Act) on </w:t>
      </w:r>
      <w:r w:rsidR="00E656BE" w:rsidRPr="00C42989">
        <w:t>1 November</w:t>
      </w:r>
      <w:r w:rsidR="00824E21">
        <w:t xml:space="preserve"> 2025</w:t>
      </w:r>
      <w:r w:rsidR="00E656BE" w:rsidRPr="00C42989">
        <w:t>, any younger individual</w:t>
      </w:r>
      <w:r w:rsidR="00E656BE" w:rsidRPr="00C42989">
        <w:rPr>
          <w:rStyle w:val="FootnoteReference"/>
        </w:rPr>
        <w:footnoteReference w:id="3"/>
      </w:r>
      <w:r w:rsidR="00E656BE" w:rsidRPr="00C42989">
        <w:t xml:space="preserve"> already accessing services </w:t>
      </w:r>
      <w:r w:rsidR="00814B56">
        <w:t>are not</w:t>
      </w:r>
      <w:r w:rsidR="00E656BE" w:rsidRPr="00C42989">
        <w:t xml:space="preserve"> required to have a reassessment. Younger individuals will be able to continue to access </w:t>
      </w:r>
      <w:r w:rsidR="00FB2301">
        <w:t>services</w:t>
      </w:r>
      <w:r w:rsidR="00E656BE" w:rsidRPr="00C42989">
        <w:t xml:space="preserve">, even if they are below the minimum age requirements for the </w:t>
      </w:r>
      <w:r w:rsidR="003B5A70" w:rsidRPr="00607A0F">
        <w:t>Act</w:t>
      </w:r>
      <w:r w:rsidR="00E656BE" w:rsidRPr="00C42989">
        <w:t xml:space="preserve">, subject to any actions required for that individual to transition to the </w:t>
      </w:r>
      <w:r w:rsidR="007836DF">
        <w:t>Act</w:t>
      </w:r>
      <w:r w:rsidR="00E656BE" w:rsidRPr="00C42989">
        <w:t xml:space="preserve">. </w:t>
      </w:r>
    </w:p>
    <w:p w14:paraId="4D6962F2" w14:textId="0DF89371" w:rsidR="00E656BE" w:rsidRPr="00C42989" w:rsidRDefault="00DC275A" w:rsidP="00BE4CF4">
      <w:pPr>
        <w:spacing w:before="240" w:after="240" w:line="240" w:lineRule="auto"/>
        <w:rPr>
          <w:b/>
        </w:rPr>
      </w:pPr>
      <w:r>
        <w:t>If</w:t>
      </w:r>
      <w:r w:rsidRPr="00C42989">
        <w:t xml:space="preserve"> </w:t>
      </w:r>
      <w:r w:rsidR="00E656BE" w:rsidRPr="00C42989">
        <w:t>the care needs of younger individuals</w:t>
      </w:r>
      <w:r w:rsidR="00693546">
        <w:t xml:space="preserve">, who transitioned from the </w:t>
      </w:r>
      <w:r w:rsidR="00693546" w:rsidRPr="005D520B">
        <w:rPr>
          <w:i/>
          <w:iCs/>
        </w:rPr>
        <w:t>Aged Care Act 1997</w:t>
      </w:r>
      <w:r w:rsidR="00F9689B">
        <w:t xml:space="preserve">, </w:t>
      </w:r>
      <w:r w:rsidR="00693546">
        <w:t>have</w:t>
      </w:r>
      <w:r w:rsidR="00E656BE" w:rsidRPr="00C42989">
        <w:t xml:space="preserve"> change</w:t>
      </w:r>
      <w:r w:rsidR="00693546">
        <w:t>d</w:t>
      </w:r>
      <w:r w:rsidR="00E656BE" w:rsidRPr="00C42989">
        <w:t>, they will be eligible for reassessment to access residential aged care. These individuals may be eligible for reassessment for other aged care services based on program level transition rules.</w:t>
      </w:r>
    </w:p>
    <w:p w14:paraId="7ADD5512" w14:textId="77777777" w:rsidR="00E656BE" w:rsidRPr="00E32E81" w:rsidRDefault="00E656BE" w:rsidP="0003231B">
      <w:pPr>
        <w:pStyle w:val="H4"/>
      </w:pPr>
      <w:r w:rsidRPr="00E32E81">
        <w:t>Younger people with ‘In-flight assessments’</w:t>
      </w:r>
    </w:p>
    <w:p w14:paraId="181594A5" w14:textId="75DB6941" w:rsidR="00E656BE" w:rsidRDefault="00E656BE" w:rsidP="00BE4CF4">
      <w:pPr>
        <w:spacing w:before="240" w:after="240" w:line="240" w:lineRule="auto"/>
      </w:pPr>
      <w:r>
        <w:t xml:space="preserve">Younger individuals who are applying for residential aged care and have provided enough information in My Aged Care to show they began the process before 1 November 2025 will be ‘Reviewed and Approved’ based on the eligibility criteria under the </w:t>
      </w:r>
      <w:r w:rsidRPr="04D3DE7D">
        <w:rPr>
          <w:i/>
          <w:iCs/>
        </w:rPr>
        <w:t>Aged Care Act 1997</w:t>
      </w:r>
      <w:r>
        <w:t xml:space="preserve">. </w:t>
      </w:r>
    </w:p>
    <w:p w14:paraId="0EF43039" w14:textId="38C44BB9" w:rsidR="00E656BE" w:rsidRDefault="00DB1C77" w:rsidP="00BE4CF4">
      <w:pPr>
        <w:spacing w:before="240" w:after="240" w:line="240" w:lineRule="auto"/>
      </w:pPr>
      <w:r>
        <w:t>Ability First Australia (</w:t>
      </w:r>
      <w:r w:rsidR="00E656BE">
        <w:t>AFA</w:t>
      </w:r>
      <w:r>
        <w:t>)</w:t>
      </w:r>
      <w:r w:rsidR="00E656BE">
        <w:t xml:space="preserve"> (for younger people who are not NDIS participants) or the NDIA YPIRAC team (for NDIS participants) helps younger people explore age-appropriate options before they seek access to </w:t>
      </w:r>
      <w:r w:rsidR="00E656BE" w:rsidRPr="00C53437">
        <w:t>residential aged care</w:t>
      </w:r>
      <w:r w:rsidR="00E656BE">
        <w:t xml:space="preserve"> – as per section 11A of the </w:t>
      </w:r>
      <w:r w:rsidR="00E656BE" w:rsidRPr="00C53437">
        <w:rPr>
          <w:i/>
        </w:rPr>
        <w:t>Approval of Care Recipients Principles 2014</w:t>
      </w:r>
      <w:r w:rsidR="00E656BE" w:rsidRPr="2CE3F2D1">
        <w:t xml:space="preserve"> (the requirement of specified evidence)</w:t>
      </w:r>
      <w:r w:rsidR="00E656BE">
        <w:t xml:space="preserve">. </w:t>
      </w:r>
    </w:p>
    <w:p w14:paraId="48EAA99D" w14:textId="649E904F" w:rsidR="00E656BE" w:rsidRPr="00C42989" w:rsidRDefault="00E656BE" w:rsidP="00BE4CF4">
      <w:pPr>
        <w:spacing w:before="240" w:after="240" w:line="240" w:lineRule="auto"/>
      </w:pPr>
      <w:r>
        <w:t>A younger person who has registered with these services on or before 31 October but is yet to register with My Aged Care is still considered to have commenced an assessment process so will still be eligible to receive an assessment. The AFA and NDIA reports will clearly document the date on which the younger person commenced registration with the service.</w:t>
      </w:r>
    </w:p>
    <w:p w14:paraId="6D79BAA2" w14:textId="77777777" w:rsidR="00E656BE" w:rsidRPr="00E32E81" w:rsidRDefault="00E656BE" w:rsidP="0003231B">
      <w:pPr>
        <w:pStyle w:val="H4"/>
      </w:pPr>
      <w:r w:rsidRPr="00E32E81">
        <w:t>Younger people who are new aged care clients as of 1 November 2025</w:t>
      </w:r>
    </w:p>
    <w:p w14:paraId="71F9C771" w14:textId="14C54315" w:rsidR="00E656BE" w:rsidRPr="00C42989" w:rsidRDefault="000E5A32" w:rsidP="00BE4CF4">
      <w:pPr>
        <w:spacing w:before="240" w:after="240" w:line="240" w:lineRule="auto"/>
      </w:pPr>
      <w:r>
        <w:t xml:space="preserve">Since </w:t>
      </w:r>
      <w:r w:rsidR="00E656BE" w:rsidRPr="00C42989">
        <w:t>1 November</w:t>
      </w:r>
      <w:r>
        <w:t xml:space="preserve"> 202</w:t>
      </w:r>
      <w:r w:rsidR="00EA4CD9">
        <w:t>5</w:t>
      </w:r>
      <w:r w:rsidR="00E656BE" w:rsidRPr="00C42989">
        <w:t xml:space="preserve">, if a person aged under 65 (who is not Aboriginal and Torres Strait Islander, homeless or at risk of homelessness and aged 50+) has </w:t>
      </w:r>
      <w:r w:rsidR="00E656BE" w:rsidRPr="00C53437">
        <w:t>not</w:t>
      </w:r>
      <w:r w:rsidR="00E656BE" w:rsidRPr="00C42989">
        <w:rPr>
          <w:b/>
        </w:rPr>
        <w:t xml:space="preserve"> </w:t>
      </w:r>
      <w:r w:rsidR="00E656BE" w:rsidRPr="00C42989">
        <w:t xml:space="preserve">commenced the process of applying for aged care services (including registering with AFA or the NDIA YPIRAC team), they are </w:t>
      </w:r>
      <w:r w:rsidR="00E656BE" w:rsidRPr="00C53437">
        <w:t>not</w:t>
      </w:r>
      <w:r w:rsidR="00E656BE" w:rsidRPr="00C42989">
        <w:t xml:space="preserve"> eligible for an assessment for aged care services.</w:t>
      </w:r>
    </w:p>
    <w:p w14:paraId="083ABEAE" w14:textId="3E4D58F3" w:rsidR="00005C08" w:rsidRPr="00366744" w:rsidRDefault="00005C08" w:rsidP="00507F9D">
      <w:pPr>
        <w:pStyle w:val="h2"/>
      </w:pPr>
      <w:bookmarkStart w:id="70" w:name="_Toc209188940"/>
      <w:bookmarkStart w:id="71" w:name="_Toc224916607"/>
      <w:r w:rsidRPr="003E1933">
        <w:t xml:space="preserve">Aged Care Service </w:t>
      </w:r>
      <w:r w:rsidR="00957BE9">
        <w:t>L</w:t>
      </w:r>
      <w:r w:rsidRPr="003E1933">
        <w:t>ist</w:t>
      </w:r>
      <w:bookmarkEnd w:id="59"/>
      <w:bookmarkEnd w:id="70"/>
      <w:bookmarkEnd w:id="71"/>
      <w:r w:rsidRPr="007B5599">
        <w:t xml:space="preserve"> </w:t>
      </w:r>
      <w:bookmarkEnd w:id="55"/>
    </w:p>
    <w:bookmarkEnd w:id="56"/>
    <w:p w14:paraId="491280A7" w14:textId="6837F974" w:rsidR="00540A0E" w:rsidRDefault="001C5120" w:rsidP="008E6691">
      <w:pPr>
        <w:spacing w:before="240" w:after="240" w:line="240" w:lineRule="auto"/>
      </w:pPr>
      <w:r w:rsidRPr="001C5120">
        <w:t xml:space="preserve">The Act provides for the delivery of funded aged care services to individuals under the </w:t>
      </w:r>
      <w:r w:rsidR="00C0341C">
        <w:t>Australian</w:t>
      </w:r>
      <w:r w:rsidR="00C0341C" w:rsidRPr="001C5120">
        <w:t xml:space="preserve"> </w:t>
      </w:r>
      <w:r w:rsidRPr="001C5120">
        <w:t xml:space="preserve">aged care system. Section 8 of the Act states the </w:t>
      </w:r>
      <w:r w:rsidRPr="00540A0E">
        <w:rPr>
          <w:i/>
          <w:iCs/>
        </w:rPr>
        <w:t>Aged Care Rules 2025</w:t>
      </w:r>
      <w:r w:rsidRPr="001C5120">
        <w:t xml:space="preserve"> must prescribe a list of services for which funding may be payable under the Act. </w:t>
      </w:r>
    </w:p>
    <w:p w14:paraId="33660BA3" w14:textId="628951C3" w:rsidR="001C5120" w:rsidRDefault="001C5120" w:rsidP="008E6691">
      <w:pPr>
        <w:spacing w:before="240" w:after="240" w:line="240" w:lineRule="auto"/>
      </w:pPr>
      <w:r w:rsidRPr="001C5120">
        <w:t xml:space="preserve">The </w:t>
      </w:r>
      <w:r w:rsidRPr="00330E32">
        <w:rPr>
          <w:i/>
          <w:iCs/>
        </w:rPr>
        <w:t xml:space="preserve">Aged Care Rules 2025 </w:t>
      </w:r>
      <w:r w:rsidRPr="001C5120">
        <w:t>lists and describes each service and specifies the service group and the service type it is in.</w:t>
      </w:r>
    </w:p>
    <w:p w14:paraId="3B949A06" w14:textId="254AD102" w:rsidR="00004E43" w:rsidRDefault="00004E43" w:rsidP="008E6691">
      <w:pPr>
        <w:spacing w:before="240" w:after="240" w:line="240" w:lineRule="auto"/>
      </w:pPr>
      <w:r w:rsidRPr="00E200C6">
        <w:t>The</w:t>
      </w:r>
      <w:r>
        <w:t xml:space="preserve"> Aged Care Service List divides the funded aged care services into a variety of </w:t>
      </w:r>
      <w:r w:rsidRPr="003F172E">
        <w:rPr>
          <w:b/>
        </w:rPr>
        <w:t xml:space="preserve">service </w:t>
      </w:r>
      <w:r>
        <w:rPr>
          <w:b/>
        </w:rPr>
        <w:t>types</w:t>
      </w:r>
      <w:r>
        <w:t xml:space="preserve">. The </w:t>
      </w:r>
      <w:r w:rsidRPr="00A315E6">
        <w:rPr>
          <w:b/>
          <w:bCs/>
        </w:rPr>
        <w:t>services</w:t>
      </w:r>
      <w:r>
        <w:t xml:space="preserve"> within a service type are to be delivered by registered providers through </w:t>
      </w:r>
      <w:r w:rsidRPr="00A315E6">
        <w:rPr>
          <w:b/>
          <w:bCs/>
        </w:rPr>
        <w:t xml:space="preserve">service </w:t>
      </w:r>
      <w:r>
        <w:rPr>
          <w:b/>
          <w:bCs/>
        </w:rPr>
        <w:t>groups</w:t>
      </w:r>
      <w:r>
        <w:t xml:space="preserve">. </w:t>
      </w:r>
    </w:p>
    <w:p w14:paraId="37D9E498" w14:textId="77777777" w:rsidR="007B68D3" w:rsidRPr="00E200C6" w:rsidRDefault="007B68D3" w:rsidP="008E6691">
      <w:pPr>
        <w:spacing w:before="240" w:after="240" w:line="240" w:lineRule="auto"/>
      </w:pPr>
      <w:r>
        <w:t xml:space="preserve">The Aged Care Service List </w:t>
      </w:r>
      <w:r w:rsidRPr="00E200C6">
        <w:t>provides a clear reference for registered providers, funding authorities, and regulatory bodies, ensuring consistency and transparency in aged care service delivery.</w:t>
      </w:r>
    </w:p>
    <w:p w14:paraId="1EC31721" w14:textId="77777777" w:rsidR="00005C08" w:rsidRPr="00E200C6" w:rsidRDefault="00005C08" w:rsidP="008E6691">
      <w:pPr>
        <w:spacing w:before="240" w:after="240" w:line="240" w:lineRule="auto"/>
      </w:pPr>
      <w:r w:rsidRPr="00E200C6">
        <w:rPr>
          <w:b/>
          <w:bCs/>
        </w:rPr>
        <w:t>The Aged Care Service List serves several key functions:</w:t>
      </w:r>
    </w:p>
    <w:p w14:paraId="3D5B0256" w14:textId="77777777" w:rsidR="00005C08" w:rsidRPr="00E200C6" w:rsidRDefault="00005C08" w:rsidP="008E6691">
      <w:pPr>
        <w:pStyle w:val="ListParagraph"/>
        <w:numPr>
          <w:ilvl w:val="0"/>
          <w:numId w:val="7"/>
        </w:numPr>
        <w:spacing w:before="240" w:after="240" w:line="240" w:lineRule="auto"/>
      </w:pPr>
      <w:r w:rsidRPr="00E200C6">
        <w:rPr>
          <w:b/>
          <w:bCs/>
        </w:rPr>
        <w:t>Defining Funded Services:</w:t>
      </w:r>
      <w:r w:rsidRPr="00E200C6">
        <w:t> The list specifies which aged care services qualify for government funding, ensuring clarity for registered providers</w:t>
      </w:r>
      <w:r>
        <w:t xml:space="preserve"> and older people</w:t>
      </w:r>
      <w:r w:rsidRPr="00E200C6">
        <w:t>.</w:t>
      </w:r>
    </w:p>
    <w:p w14:paraId="677583AB" w14:textId="77777777" w:rsidR="00005C08" w:rsidRPr="00E200C6" w:rsidRDefault="00005C08" w:rsidP="008E6691">
      <w:pPr>
        <w:pStyle w:val="ListParagraph"/>
        <w:numPr>
          <w:ilvl w:val="0"/>
          <w:numId w:val="7"/>
        </w:numPr>
        <w:spacing w:before="240" w:after="240" w:line="240" w:lineRule="auto"/>
      </w:pPr>
      <w:r w:rsidRPr="00E200C6">
        <w:rPr>
          <w:b/>
          <w:bCs/>
        </w:rPr>
        <w:t>Service Categorisation:</w:t>
      </w:r>
      <w:r w:rsidRPr="00E200C6">
        <w:t> </w:t>
      </w:r>
      <w:r>
        <w:t xml:space="preserve">Services are </w:t>
      </w:r>
      <w:r w:rsidRPr="00E200C6">
        <w:t xml:space="preserve">grouped </w:t>
      </w:r>
      <w:r>
        <w:t>under various service types and are delivered under the different service groups</w:t>
      </w:r>
      <w:r w:rsidRPr="00E200C6">
        <w:t>.</w:t>
      </w:r>
    </w:p>
    <w:p w14:paraId="202E3672" w14:textId="77777777" w:rsidR="004F5632" w:rsidRDefault="004F5632" w:rsidP="008E6691">
      <w:pPr>
        <w:pStyle w:val="ListParagraph"/>
        <w:numPr>
          <w:ilvl w:val="0"/>
          <w:numId w:val="7"/>
        </w:numPr>
        <w:spacing w:before="240" w:after="240" w:line="240" w:lineRule="auto"/>
      </w:pPr>
      <w:r w:rsidRPr="00E200C6">
        <w:rPr>
          <w:b/>
          <w:bCs/>
        </w:rPr>
        <w:t>Regulatory Compliance:</w:t>
      </w:r>
      <w:r w:rsidRPr="00E200C6">
        <w:t> The list supports oversight by ensuring that only registered providers</w:t>
      </w:r>
      <w:r>
        <w:t xml:space="preserve"> (or associated providers of those registered providers)</w:t>
      </w:r>
      <w:r w:rsidRPr="00E200C6">
        <w:t xml:space="preserve"> can deliver funded </w:t>
      </w:r>
      <w:r>
        <w:t xml:space="preserve">aged care </w:t>
      </w:r>
      <w:r w:rsidRPr="00E200C6">
        <w:t>services</w:t>
      </w:r>
      <w:r>
        <w:t xml:space="preserve"> listed under the service list</w:t>
      </w:r>
      <w:r w:rsidRPr="00E200C6">
        <w:t>, in alignment with the Act’s broader regulatory framework.</w:t>
      </w:r>
    </w:p>
    <w:p w14:paraId="69DA0AFE" w14:textId="43D13731" w:rsidR="00005C08" w:rsidRDefault="005373B9" w:rsidP="008E6691">
      <w:pPr>
        <w:spacing w:before="240" w:after="240" w:line="240" w:lineRule="auto"/>
      </w:pPr>
      <w:r>
        <w:t>It</w:t>
      </w:r>
      <w:r w:rsidR="00005C08" w:rsidRPr="009E6DB3">
        <w:t xml:space="preserve"> is important </w:t>
      </w:r>
      <w:r>
        <w:t xml:space="preserve">for assessment delegates </w:t>
      </w:r>
      <w:r w:rsidR="00005C08" w:rsidRPr="009E6DB3">
        <w:t>to understand the different types of funded aged care services that require approval under the</w:t>
      </w:r>
      <w:r w:rsidR="00005C08" w:rsidRPr="00384CB0">
        <w:t xml:space="preserve"> Act</w:t>
      </w:r>
      <w:r w:rsidR="00005C08" w:rsidRPr="009E6DB3">
        <w:t>, as well as the specific responsibilities and limitations involved in approving each service</w:t>
      </w:r>
      <w:r w:rsidR="00005C08">
        <w:t>, service type and service group</w:t>
      </w:r>
      <w:r w:rsidR="00005C08" w:rsidRPr="009E6DB3">
        <w:t>.</w:t>
      </w:r>
    </w:p>
    <w:p w14:paraId="6CE49913" w14:textId="6A6B5F53" w:rsidR="00005C08" w:rsidRPr="003E1933" w:rsidRDefault="00005C08" w:rsidP="00507F9D">
      <w:pPr>
        <w:pStyle w:val="h2"/>
      </w:pPr>
      <w:bookmarkStart w:id="72" w:name="_Toc198787128"/>
      <w:bookmarkStart w:id="73" w:name="_Toc14435547"/>
      <w:bookmarkStart w:id="74" w:name="_Toc199344496"/>
      <w:bookmarkStart w:id="75" w:name="_Toc199418554"/>
      <w:bookmarkStart w:id="76" w:name="_Toc199420947"/>
      <w:bookmarkStart w:id="77" w:name="_Toc207291868"/>
      <w:bookmarkStart w:id="78" w:name="_Toc209188941"/>
      <w:bookmarkStart w:id="79" w:name="_Toc224916608"/>
      <w:r w:rsidRPr="003E1933">
        <w:t>Service groups</w:t>
      </w:r>
      <w:bookmarkEnd w:id="72"/>
      <w:bookmarkEnd w:id="73"/>
      <w:bookmarkEnd w:id="74"/>
      <w:bookmarkEnd w:id="75"/>
      <w:bookmarkEnd w:id="76"/>
      <w:bookmarkEnd w:id="77"/>
      <w:bookmarkEnd w:id="78"/>
      <w:bookmarkEnd w:id="79"/>
    </w:p>
    <w:p w14:paraId="18D14FD6" w14:textId="6ECD919D" w:rsidR="00005C08" w:rsidRDefault="00005C08" w:rsidP="008E6691">
      <w:pPr>
        <w:spacing w:before="240" w:after="240" w:line="240" w:lineRule="auto"/>
      </w:pPr>
      <w:r>
        <w:t>F</w:t>
      </w:r>
      <w:r w:rsidRPr="009E6DB3">
        <w:t xml:space="preserve">unded aged care services are </w:t>
      </w:r>
      <w:r>
        <w:t xml:space="preserve">categorised </w:t>
      </w:r>
      <w:r w:rsidRPr="009E6DB3">
        <w:t>into </w:t>
      </w:r>
      <w:r w:rsidRPr="009E6DB3">
        <w:rPr>
          <w:b/>
          <w:bCs/>
        </w:rPr>
        <w:t xml:space="preserve">four </w:t>
      </w:r>
      <w:r>
        <w:rPr>
          <w:b/>
          <w:bCs/>
        </w:rPr>
        <w:t>service groups</w:t>
      </w:r>
      <w:r w:rsidRPr="009E6DB3">
        <w:t xml:space="preserve">, which </w:t>
      </w:r>
      <w:r>
        <w:t xml:space="preserve">specify </w:t>
      </w:r>
      <w:r w:rsidRPr="009E6DB3">
        <w:t>the setting and nature of care an individual can access.</w:t>
      </w:r>
      <w:r>
        <w:t xml:space="preserve"> </w:t>
      </w:r>
    </w:p>
    <w:p w14:paraId="65E3C126" w14:textId="26A20643" w:rsidR="00767863" w:rsidRPr="00EB67CD" w:rsidRDefault="00767863" w:rsidP="008E6691">
      <w:pPr>
        <w:pStyle w:val="Caption"/>
        <w:spacing w:before="240" w:after="240"/>
      </w:pPr>
      <w:r w:rsidRPr="00EB67CD">
        <w:t xml:space="preserve">Table </w:t>
      </w:r>
      <w:r w:rsidR="00D35293">
        <w:t>3</w:t>
      </w:r>
      <w:r w:rsidRPr="00EB67CD">
        <w:t xml:space="preserve">: </w:t>
      </w:r>
      <w:r w:rsidR="001E266D" w:rsidRPr="00EB67CD">
        <w:t>Detail of the four service groups for funded aged care services</w:t>
      </w:r>
    </w:p>
    <w:tbl>
      <w:tblPr>
        <w:tblStyle w:val="TableGrid"/>
        <w:tblW w:w="0" w:type="auto"/>
        <w:tblBorders>
          <w:bottom w:val="single" w:sz="4" w:space="0" w:color="auto"/>
          <w:insideH w:val="single" w:sz="4" w:space="0" w:color="auto"/>
        </w:tblBorders>
        <w:tblLook w:val="04A0" w:firstRow="1" w:lastRow="0" w:firstColumn="1" w:lastColumn="0" w:noHBand="0" w:noVBand="1"/>
        <w:tblCaption w:val="Setting and nature of service groups under Aged Care Act 2024"/>
        <w:tblDescription w:val="Overview of the four service groups under the Aged Care Act 2024 and their corresponding setting and nature"/>
      </w:tblPr>
      <w:tblGrid>
        <w:gridCol w:w="2263"/>
        <w:gridCol w:w="6753"/>
      </w:tblGrid>
      <w:tr w:rsidR="00005C08" w:rsidRPr="00A47F20" w14:paraId="0CF47EDF" w14:textId="77777777" w:rsidTr="004E2C29">
        <w:trPr>
          <w:tblHeader/>
        </w:trPr>
        <w:tc>
          <w:tcPr>
            <w:tcW w:w="2263" w:type="dxa"/>
            <w:shd w:val="clear" w:color="auto" w:fill="002060"/>
          </w:tcPr>
          <w:p w14:paraId="30F087CE" w14:textId="77777777" w:rsidR="00005C08" w:rsidRDefault="00005C08" w:rsidP="008E6691">
            <w:pPr>
              <w:spacing w:before="240" w:after="240"/>
              <w:rPr>
                <w:b/>
                <w:bCs/>
                <w:color w:val="FFFFFF" w:themeColor="background1"/>
              </w:rPr>
            </w:pPr>
            <w:r w:rsidRPr="00A47F20">
              <w:rPr>
                <w:b/>
                <w:bCs/>
                <w:color w:val="FFFFFF" w:themeColor="background1"/>
              </w:rPr>
              <w:t>Service Group</w:t>
            </w:r>
          </w:p>
          <w:p w14:paraId="1696B31E" w14:textId="77777777" w:rsidR="00005C08" w:rsidRPr="00A47F20" w:rsidRDefault="00005C08" w:rsidP="008E6691">
            <w:pPr>
              <w:spacing w:before="240" w:after="240"/>
              <w:rPr>
                <w:b/>
                <w:bCs/>
                <w:color w:val="FFFFFF" w:themeColor="background1"/>
              </w:rPr>
            </w:pPr>
          </w:p>
        </w:tc>
        <w:tc>
          <w:tcPr>
            <w:tcW w:w="6753" w:type="dxa"/>
            <w:shd w:val="clear" w:color="auto" w:fill="002060"/>
          </w:tcPr>
          <w:p w14:paraId="2E62521A" w14:textId="77777777" w:rsidR="00005C08" w:rsidRPr="00A47F20" w:rsidRDefault="00005C08" w:rsidP="008E6691">
            <w:pPr>
              <w:spacing w:before="240" w:after="240"/>
              <w:rPr>
                <w:b/>
                <w:bCs/>
                <w:color w:val="FFFFFF" w:themeColor="background1"/>
              </w:rPr>
            </w:pPr>
            <w:r w:rsidRPr="00A47F20">
              <w:rPr>
                <w:b/>
                <w:bCs/>
                <w:color w:val="FFFFFF" w:themeColor="background1"/>
              </w:rPr>
              <w:t>Setting and nature</w:t>
            </w:r>
          </w:p>
        </w:tc>
      </w:tr>
      <w:tr w:rsidR="00005C08" w14:paraId="745A133B" w14:textId="77777777" w:rsidTr="004E2C29">
        <w:tc>
          <w:tcPr>
            <w:tcW w:w="2263" w:type="dxa"/>
            <w:shd w:val="clear" w:color="auto" w:fill="002060"/>
          </w:tcPr>
          <w:p w14:paraId="1AB3F92C" w14:textId="0ED0E0DC" w:rsidR="00005C08" w:rsidRPr="009E6DB3" w:rsidRDefault="00005C08" w:rsidP="008E6691">
            <w:pPr>
              <w:spacing w:before="240" w:after="240"/>
              <w:rPr>
                <w:b/>
                <w:bCs/>
              </w:rPr>
            </w:pPr>
            <w:r w:rsidRPr="009E6DB3">
              <w:rPr>
                <w:b/>
                <w:bCs/>
              </w:rPr>
              <w:t>Home Support</w:t>
            </w:r>
          </w:p>
          <w:p w14:paraId="056ABD64" w14:textId="77777777" w:rsidR="00005C08" w:rsidRDefault="00005C08" w:rsidP="008E6691">
            <w:pPr>
              <w:spacing w:before="240" w:after="240"/>
              <w:rPr>
                <w:b/>
                <w:bCs/>
              </w:rPr>
            </w:pPr>
          </w:p>
        </w:tc>
        <w:tc>
          <w:tcPr>
            <w:tcW w:w="6753" w:type="dxa"/>
          </w:tcPr>
          <w:p w14:paraId="6AF065D7" w14:textId="77777777" w:rsidR="00005C08" w:rsidRPr="000072EC" w:rsidRDefault="00005C08" w:rsidP="008E6691">
            <w:pPr>
              <w:numPr>
                <w:ilvl w:val="0"/>
                <w:numId w:val="8"/>
              </w:numPr>
              <w:spacing w:before="240" w:after="240"/>
            </w:pPr>
            <w:r w:rsidRPr="000072EC">
              <w:t>Designed to assist older people in remaining independent at home.</w:t>
            </w:r>
          </w:p>
          <w:p w14:paraId="237FD202" w14:textId="77777777" w:rsidR="00005C08" w:rsidRPr="000072EC" w:rsidRDefault="00005C08" w:rsidP="008E6691">
            <w:pPr>
              <w:numPr>
                <w:ilvl w:val="0"/>
                <w:numId w:val="8"/>
              </w:numPr>
              <w:spacing w:before="240" w:after="240"/>
            </w:pPr>
            <w:r w:rsidRPr="000072EC">
              <w:t>Includes service types such as personal care, domestic assistance, social support, meals.</w:t>
            </w:r>
          </w:p>
          <w:p w14:paraId="49E86AE8" w14:textId="17D963CB" w:rsidR="00005C08" w:rsidRPr="000072EC" w:rsidRDefault="00005C08" w:rsidP="00EA4CD9">
            <w:pPr>
              <w:numPr>
                <w:ilvl w:val="0"/>
                <w:numId w:val="8"/>
              </w:numPr>
              <w:spacing w:before="240" w:after="240"/>
            </w:pPr>
            <w:r w:rsidRPr="000072EC">
              <w:t>Must be delivered in a home or community setting.</w:t>
            </w:r>
          </w:p>
        </w:tc>
      </w:tr>
      <w:tr w:rsidR="00005C08" w14:paraId="2B89E740" w14:textId="77777777" w:rsidTr="004E2C29">
        <w:tc>
          <w:tcPr>
            <w:tcW w:w="2263" w:type="dxa"/>
            <w:shd w:val="clear" w:color="auto" w:fill="002060"/>
          </w:tcPr>
          <w:p w14:paraId="3EA0AD2E" w14:textId="77777777" w:rsidR="00005C08" w:rsidRPr="009E6DB3" w:rsidRDefault="00005C08" w:rsidP="008E6691">
            <w:pPr>
              <w:spacing w:before="240" w:after="240"/>
              <w:rPr>
                <w:b/>
                <w:bCs/>
              </w:rPr>
            </w:pPr>
            <w:r w:rsidRPr="009E6DB3">
              <w:rPr>
                <w:b/>
                <w:bCs/>
              </w:rPr>
              <w:t>Residential Care</w:t>
            </w:r>
          </w:p>
          <w:p w14:paraId="3520832C" w14:textId="77777777" w:rsidR="00005C08" w:rsidRPr="009E6DB3" w:rsidRDefault="00005C08" w:rsidP="008E6691">
            <w:pPr>
              <w:spacing w:before="240" w:after="240"/>
              <w:rPr>
                <w:b/>
                <w:bCs/>
              </w:rPr>
            </w:pPr>
          </w:p>
        </w:tc>
        <w:tc>
          <w:tcPr>
            <w:tcW w:w="6753" w:type="dxa"/>
          </w:tcPr>
          <w:p w14:paraId="3B54F112" w14:textId="4B974F1A" w:rsidR="00005C08" w:rsidRPr="000072EC" w:rsidRDefault="00005C08" w:rsidP="008E6691">
            <w:pPr>
              <w:numPr>
                <w:ilvl w:val="0"/>
                <w:numId w:val="8"/>
              </w:numPr>
              <w:spacing w:before="240" w:after="240"/>
            </w:pPr>
            <w:r w:rsidRPr="000072EC">
              <w:t>Provides 24</w:t>
            </w:r>
            <w:r w:rsidR="00290B22" w:rsidRPr="000072EC">
              <w:t>-</w:t>
            </w:r>
            <w:r w:rsidRPr="000072EC">
              <w:t>hour support for individuals with high or complex care needs.</w:t>
            </w:r>
          </w:p>
          <w:p w14:paraId="44B12152" w14:textId="77777777" w:rsidR="00005C08" w:rsidRPr="000072EC" w:rsidRDefault="00005C08" w:rsidP="008E6691">
            <w:pPr>
              <w:numPr>
                <w:ilvl w:val="0"/>
                <w:numId w:val="8"/>
              </w:numPr>
              <w:spacing w:before="240" w:after="240"/>
            </w:pPr>
            <w:r w:rsidRPr="000072EC">
              <w:t>Includes ongoing (permanent) and short-term (respite) classification types</w:t>
            </w:r>
          </w:p>
          <w:p w14:paraId="5A582233" w14:textId="77777777" w:rsidR="00005C08" w:rsidRPr="000072EC" w:rsidRDefault="00005C08" w:rsidP="008E6691">
            <w:pPr>
              <w:numPr>
                <w:ilvl w:val="0"/>
                <w:numId w:val="8"/>
              </w:numPr>
              <w:spacing w:before="240" w:after="240"/>
              <w:rPr>
                <w:lang w:val="en-AU"/>
              </w:rPr>
            </w:pPr>
            <w:r w:rsidRPr="000072EC">
              <w:t xml:space="preserve">Includes: </w:t>
            </w:r>
          </w:p>
          <w:p w14:paraId="0224EF73" w14:textId="77777777" w:rsidR="00005C08" w:rsidRPr="000072EC" w:rsidRDefault="00005C08" w:rsidP="008E6691">
            <w:pPr>
              <w:spacing w:before="240" w:after="240"/>
              <w:ind w:left="720"/>
              <w:rPr>
                <w:lang w:val="en-AU"/>
              </w:rPr>
            </w:pPr>
            <w:r w:rsidRPr="000072EC">
              <w:rPr>
                <w:lang w:val="en-AU"/>
              </w:rPr>
              <w:t>Personal Care: Assistance with daily activities like bathing, dressing, eating, and mobility.</w:t>
            </w:r>
          </w:p>
          <w:p w14:paraId="5E02B7FD" w14:textId="77777777" w:rsidR="00005C08" w:rsidRPr="000072EC" w:rsidRDefault="00005C08" w:rsidP="008E6691">
            <w:pPr>
              <w:spacing w:before="240" w:after="240"/>
              <w:ind w:left="720"/>
              <w:rPr>
                <w:lang w:val="en-AU"/>
              </w:rPr>
            </w:pPr>
            <w:r w:rsidRPr="000072EC">
              <w:rPr>
                <w:lang w:val="en-AU"/>
              </w:rPr>
              <w:t>Health Care: Access to nursing care, medication management, and sometimes allied health services.</w:t>
            </w:r>
          </w:p>
          <w:p w14:paraId="29593B02" w14:textId="77777777" w:rsidR="00005C08" w:rsidRPr="000072EC" w:rsidRDefault="00005C08" w:rsidP="008E6691">
            <w:pPr>
              <w:spacing w:before="240" w:after="240"/>
              <w:ind w:left="720"/>
              <w:rPr>
                <w:lang w:val="en-AU"/>
              </w:rPr>
            </w:pPr>
            <w:r w:rsidRPr="000072EC">
              <w:rPr>
                <w:lang w:val="en-AU"/>
              </w:rPr>
              <w:t>Social Support: Opportunities for social interaction, recreational activities, and community engagement.</w:t>
            </w:r>
          </w:p>
          <w:p w14:paraId="5F397AE4" w14:textId="77777777" w:rsidR="00005C08" w:rsidRPr="000072EC" w:rsidRDefault="00005C08" w:rsidP="008E6691">
            <w:pPr>
              <w:spacing w:before="240" w:after="240"/>
              <w:ind w:left="720"/>
              <w:rPr>
                <w:lang w:val="en-AU"/>
              </w:rPr>
            </w:pPr>
            <w:r w:rsidRPr="000072EC">
              <w:rPr>
                <w:lang w:val="en-AU"/>
              </w:rPr>
              <w:t>Safety and Supervision: Staff are available around the clock to ensure residents' safety and respond to emergencies.</w:t>
            </w:r>
          </w:p>
          <w:p w14:paraId="2FBAC7A6" w14:textId="0DB66F39" w:rsidR="00005C08" w:rsidRPr="000072EC" w:rsidRDefault="00005C08" w:rsidP="00EA4CD9">
            <w:pPr>
              <w:numPr>
                <w:ilvl w:val="0"/>
                <w:numId w:val="8"/>
              </w:numPr>
              <w:spacing w:before="240" w:after="240"/>
            </w:pPr>
            <w:r w:rsidRPr="000072EC">
              <w:t>Must be delivered in an approved residential care home.</w:t>
            </w:r>
          </w:p>
        </w:tc>
      </w:tr>
      <w:tr w:rsidR="00005C08" w14:paraId="05EA8020" w14:textId="77777777" w:rsidTr="004E2C29">
        <w:tc>
          <w:tcPr>
            <w:tcW w:w="2263" w:type="dxa"/>
            <w:shd w:val="clear" w:color="auto" w:fill="002060"/>
          </w:tcPr>
          <w:p w14:paraId="647941B6" w14:textId="77777777" w:rsidR="00005C08" w:rsidRPr="009E6DB3" w:rsidRDefault="00005C08" w:rsidP="008E6691">
            <w:pPr>
              <w:spacing w:before="240" w:after="240"/>
              <w:rPr>
                <w:b/>
                <w:bCs/>
              </w:rPr>
            </w:pPr>
            <w:r w:rsidRPr="009E6DB3">
              <w:rPr>
                <w:b/>
                <w:bCs/>
              </w:rPr>
              <w:t xml:space="preserve">Assistive </w:t>
            </w:r>
            <w:r w:rsidRPr="291CD0D6">
              <w:rPr>
                <w:b/>
                <w:bCs/>
              </w:rPr>
              <w:t>technology</w:t>
            </w:r>
          </w:p>
          <w:p w14:paraId="1ADADD8D" w14:textId="77777777" w:rsidR="00005C08" w:rsidRPr="009E6DB3" w:rsidRDefault="00005C08" w:rsidP="008E6691">
            <w:pPr>
              <w:spacing w:before="240" w:after="240"/>
              <w:rPr>
                <w:b/>
                <w:bCs/>
              </w:rPr>
            </w:pPr>
          </w:p>
        </w:tc>
        <w:tc>
          <w:tcPr>
            <w:tcW w:w="6753" w:type="dxa"/>
          </w:tcPr>
          <w:p w14:paraId="59723C6B" w14:textId="77777777" w:rsidR="00005C08" w:rsidRPr="000072EC" w:rsidRDefault="00005C08" w:rsidP="008E6691">
            <w:pPr>
              <w:numPr>
                <w:ilvl w:val="0"/>
                <w:numId w:val="8"/>
              </w:numPr>
              <w:spacing w:before="240" w:after="240"/>
            </w:pPr>
            <w:r w:rsidRPr="000072EC">
              <w:t>Covers equipment and products that enable or enhance independence.</w:t>
            </w:r>
          </w:p>
          <w:p w14:paraId="0E84B8AE" w14:textId="77777777" w:rsidR="00005C08" w:rsidRPr="000072EC" w:rsidRDefault="00005C08" w:rsidP="008E6691">
            <w:pPr>
              <w:numPr>
                <w:ilvl w:val="0"/>
                <w:numId w:val="8"/>
              </w:numPr>
              <w:spacing w:before="240" w:after="240"/>
            </w:pPr>
            <w:r w:rsidRPr="000072EC">
              <w:t>Examples include walking frames, personal alarms, and communication devices.</w:t>
            </w:r>
          </w:p>
          <w:p w14:paraId="635D1B3B" w14:textId="0D81CAFF" w:rsidR="00005C08" w:rsidRPr="000072EC" w:rsidRDefault="00005C08" w:rsidP="00EA4CD9">
            <w:pPr>
              <w:numPr>
                <w:ilvl w:val="0"/>
                <w:numId w:val="8"/>
              </w:numPr>
              <w:spacing w:before="240" w:after="240"/>
            </w:pPr>
            <w:r w:rsidRPr="000072EC">
              <w:t>Must be delivered in a home or community setting.</w:t>
            </w:r>
          </w:p>
        </w:tc>
      </w:tr>
      <w:tr w:rsidR="00005C08" w14:paraId="3E26EEC6" w14:textId="77777777" w:rsidTr="004E2C29">
        <w:tc>
          <w:tcPr>
            <w:tcW w:w="2263" w:type="dxa"/>
            <w:shd w:val="clear" w:color="auto" w:fill="002060"/>
          </w:tcPr>
          <w:p w14:paraId="10420F5D" w14:textId="77777777" w:rsidR="00005C08" w:rsidRPr="009E6DB3" w:rsidRDefault="00005C08" w:rsidP="008E6691">
            <w:pPr>
              <w:spacing w:before="240" w:after="240"/>
              <w:rPr>
                <w:b/>
                <w:bCs/>
              </w:rPr>
            </w:pPr>
            <w:r w:rsidRPr="7B89573D">
              <w:rPr>
                <w:b/>
                <w:bCs/>
              </w:rPr>
              <w:t>Home modifications</w:t>
            </w:r>
          </w:p>
          <w:p w14:paraId="51541E0D" w14:textId="77777777" w:rsidR="00005C08" w:rsidRPr="009E6DB3" w:rsidRDefault="00005C08" w:rsidP="008E6691">
            <w:pPr>
              <w:spacing w:before="240" w:after="240"/>
              <w:rPr>
                <w:b/>
                <w:bCs/>
              </w:rPr>
            </w:pPr>
          </w:p>
        </w:tc>
        <w:tc>
          <w:tcPr>
            <w:tcW w:w="6753" w:type="dxa"/>
          </w:tcPr>
          <w:p w14:paraId="2311CC90" w14:textId="77777777" w:rsidR="00005C08" w:rsidRPr="000072EC" w:rsidRDefault="00005C08" w:rsidP="008E6691">
            <w:pPr>
              <w:numPr>
                <w:ilvl w:val="0"/>
                <w:numId w:val="8"/>
              </w:numPr>
              <w:spacing w:before="240" w:after="240"/>
            </w:pPr>
            <w:r w:rsidRPr="000072EC">
              <w:t>Adjustments made to a person’s home environment to enhance safety and accessibility.</w:t>
            </w:r>
          </w:p>
          <w:p w14:paraId="7CE1831B" w14:textId="77777777" w:rsidR="00005C08" w:rsidRPr="000072EC" w:rsidRDefault="00005C08" w:rsidP="008E6691">
            <w:pPr>
              <w:numPr>
                <w:ilvl w:val="0"/>
                <w:numId w:val="8"/>
              </w:numPr>
              <w:spacing w:before="240" w:after="240"/>
            </w:pPr>
            <w:r w:rsidRPr="000072EC">
              <w:t>Includes ra</w:t>
            </w:r>
            <w:r w:rsidRPr="000072EC" w:rsidDel="005834F3">
              <w:t>mps</w:t>
            </w:r>
            <w:r w:rsidRPr="000072EC">
              <w:t>, handrails, bathroom modifications, and similar adaptations.</w:t>
            </w:r>
          </w:p>
          <w:p w14:paraId="726F97FE" w14:textId="77777777" w:rsidR="00005C08" w:rsidRPr="000072EC" w:rsidRDefault="00005C08" w:rsidP="008E6691">
            <w:pPr>
              <w:numPr>
                <w:ilvl w:val="0"/>
                <w:numId w:val="8"/>
              </w:numPr>
              <w:spacing w:before="240" w:after="240"/>
            </w:pPr>
            <w:r w:rsidRPr="000072EC">
              <w:t>Must be delivered in a home or community setting</w:t>
            </w:r>
          </w:p>
        </w:tc>
      </w:tr>
    </w:tbl>
    <w:p w14:paraId="324772B3" w14:textId="52C46A1B" w:rsidR="00547551" w:rsidRPr="000027E3" w:rsidRDefault="000072EC" w:rsidP="00C325C6">
      <w:pPr>
        <w:pStyle w:val="Sub-headings"/>
      </w:pPr>
      <w:r w:rsidRPr="00904192">
        <w:t>Note</w:t>
      </w:r>
      <w:r w:rsidR="005550FF" w:rsidRPr="000027E3">
        <w:t>:</w:t>
      </w:r>
      <w:r w:rsidRPr="000027E3">
        <w:t xml:space="preserve"> </w:t>
      </w:r>
    </w:p>
    <w:p w14:paraId="645F94B9" w14:textId="0B255556" w:rsidR="00005C08" w:rsidRPr="00BB4575" w:rsidRDefault="00005C08" w:rsidP="00C325C6">
      <w:pPr>
        <w:pStyle w:val="Sub-headings"/>
      </w:pPr>
      <w:r w:rsidRPr="00BB4575">
        <w:t>Section 10 of the Act</w:t>
      </w:r>
      <w:r w:rsidRPr="00BB4575">
        <w:rPr>
          <w:i/>
        </w:rPr>
        <w:t xml:space="preserve"> </w:t>
      </w:r>
      <w:r w:rsidRPr="00BB4575">
        <w:t xml:space="preserve">gives more information about the settings where care can be provided, including what </w:t>
      </w:r>
      <w:r w:rsidRPr="00BB4575">
        <w:rPr>
          <w:i/>
        </w:rPr>
        <w:t>a residential care home</w:t>
      </w:r>
      <w:r w:rsidRPr="00BB4575">
        <w:t xml:space="preserve"> and a </w:t>
      </w:r>
      <w:r w:rsidRPr="00BB4575">
        <w:rPr>
          <w:i/>
        </w:rPr>
        <w:t>home or community setting</w:t>
      </w:r>
      <w:r w:rsidRPr="00BB4575">
        <w:t xml:space="preserve"> mean.</w:t>
      </w:r>
    </w:p>
    <w:p w14:paraId="053C4299" w14:textId="77777777" w:rsidR="00B1731B" w:rsidRDefault="00B1731B" w:rsidP="008E6691">
      <w:pPr>
        <w:spacing w:before="240" w:after="240" w:line="240" w:lineRule="auto"/>
      </w:pPr>
      <w:bookmarkStart w:id="80" w:name="_Toc198813641"/>
      <w:bookmarkStart w:id="81" w:name="_Toc207291870"/>
      <w:bookmarkStart w:id="82" w:name="CH1_ApprovalsunderAct"/>
    </w:p>
    <w:p w14:paraId="146623DB" w14:textId="175A97C8" w:rsidR="00005C08" w:rsidRPr="00E91824" w:rsidRDefault="00005C08" w:rsidP="00507F9D">
      <w:pPr>
        <w:pStyle w:val="h2"/>
      </w:pPr>
      <w:bookmarkStart w:id="83" w:name="_Toc209188942"/>
      <w:bookmarkStart w:id="84" w:name="_Toc224916609"/>
      <w:r w:rsidRPr="00E91824">
        <w:t xml:space="preserve">Approvals under the </w:t>
      </w:r>
      <w:r w:rsidRPr="0061553C">
        <w:rPr>
          <w:i/>
        </w:rPr>
        <w:t xml:space="preserve">Aged Care </w:t>
      </w:r>
      <w:r w:rsidRPr="0061553C">
        <w:rPr>
          <w:i/>
          <w:kern w:val="2"/>
          <w14:ligatures w14:val="standardContextual"/>
        </w:rPr>
        <w:t>Act</w:t>
      </w:r>
      <w:r w:rsidRPr="0061553C">
        <w:rPr>
          <w:i/>
        </w:rPr>
        <w:t xml:space="preserve"> 2024</w:t>
      </w:r>
      <w:bookmarkEnd w:id="80"/>
      <w:bookmarkEnd w:id="81"/>
      <w:bookmarkEnd w:id="83"/>
      <w:bookmarkEnd w:id="84"/>
    </w:p>
    <w:bookmarkEnd w:id="82"/>
    <w:p w14:paraId="23D618A7" w14:textId="62D5BA30" w:rsidR="00ED21C5" w:rsidRPr="00880B95" w:rsidRDefault="001839E9" w:rsidP="008E6691">
      <w:pPr>
        <w:spacing w:before="240" w:after="240" w:line="240" w:lineRule="auto"/>
      </w:pPr>
      <w:r>
        <w:t>A</w:t>
      </w:r>
      <w:r w:rsidR="00ED21C5">
        <w:t xml:space="preserve">pprovals under the </w:t>
      </w:r>
      <w:r w:rsidRPr="007A5889">
        <w:rPr>
          <w:i/>
        </w:rPr>
        <w:t xml:space="preserve">Aged Care </w:t>
      </w:r>
      <w:r w:rsidR="00ED21C5" w:rsidRPr="007A5889">
        <w:rPr>
          <w:i/>
        </w:rPr>
        <w:t>Act</w:t>
      </w:r>
      <w:r w:rsidRPr="007A5889">
        <w:rPr>
          <w:i/>
        </w:rPr>
        <w:t xml:space="preserve"> 2024</w:t>
      </w:r>
      <w:r w:rsidR="00ED21C5">
        <w:rPr>
          <w:i/>
          <w:iCs/>
        </w:rPr>
        <w:t xml:space="preserve"> </w:t>
      </w:r>
      <w:r w:rsidR="00ED21C5">
        <w:t>revolve around</w:t>
      </w:r>
      <w:r w:rsidR="00ED21C5" w:rsidRPr="00880B95">
        <w:t xml:space="preserve"> three </w:t>
      </w:r>
      <w:r w:rsidR="00ED21C5">
        <w:t>primary</w:t>
      </w:r>
      <w:r w:rsidR="00ED21C5" w:rsidRPr="00880B95">
        <w:t xml:space="preserve"> </w:t>
      </w:r>
      <w:r w:rsidR="00ED21C5">
        <w:t xml:space="preserve">components that, </w:t>
      </w:r>
      <w:r w:rsidR="00ED21C5" w:rsidRPr="00880B95">
        <w:t xml:space="preserve">when </w:t>
      </w:r>
      <w:r w:rsidR="00ED21C5">
        <w:t>combined</w:t>
      </w:r>
      <w:r w:rsidR="00ED21C5" w:rsidRPr="7871918F">
        <w:t>,</w:t>
      </w:r>
      <w:r w:rsidR="00ED21C5" w:rsidRPr="00880B95">
        <w:t xml:space="preserve"> </w:t>
      </w:r>
      <w:r w:rsidR="00ED21C5">
        <w:t>are comparable to ‘being approved for a</w:t>
      </w:r>
      <w:r w:rsidR="00ED21C5" w:rsidRPr="00880B95">
        <w:t xml:space="preserve"> program</w:t>
      </w:r>
      <w:r w:rsidR="00ED21C5">
        <w:t xml:space="preserve">’ under the </w:t>
      </w:r>
      <w:r w:rsidR="00ED21C5" w:rsidRPr="00E74726">
        <w:rPr>
          <w:i/>
        </w:rPr>
        <w:t>Aged Care Act 1997</w:t>
      </w:r>
      <w:r w:rsidR="00ED21C5" w:rsidRPr="00880B95">
        <w:t xml:space="preserve">. The </w:t>
      </w:r>
      <w:r w:rsidR="00ED21C5">
        <w:t xml:space="preserve">components </w:t>
      </w:r>
      <w:r w:rsidR="00ED21C5" w:rsidRPr="00880B95">
        <w:t xml:space="preserve">are </w:t>
      </w:r>
      <w:r w:rsidR="00ED21C5" w:rsidRPr="58F2286E">
        <w:t xml:space="preserve">‘Service </w:t>
      </w:r>
      <w:r w:rsidR="00ED21C5">
        <w:t>g</w:t>
      </w:r>
      <w:r w:rsidR="00ED21C5" w:rsidRPr="58F2286E">
        <w:t>roup’, ‘</w:t>
      </w:r>
      <w:r w:rsidR="00ED21C5" w:rsidRPr="00880B95">
        <w:t xml:space="preserve">Classification </w:t>
      </w:r>
      <w:r w:rsidR="00ED21C5" w:rsidRPr="58F2286E">
        <w:t>type’</w:t>
      </w:r>
      <w:r w:rsidR="00ED21C5" w:rsidRPr="00880B95">
        <w:t xml:space="preserve"> and </w:t>
      </w:r>
      <w:r w:rsidR="00ED21C5" w:rsidRPr="58F2286E">
        <w:t>‘</w:t>
      </w:r>
      <w:r w:rsidR="00ED21C5" w:rsidRPr="00880B95">
        <w:t xml:space="preserve">Classification </w:t>
      </w:r>
      <w:r w:rsidR="00ED21C5" w:rsidRPr="58F2286E">
        <w:t>level’</w:t>
      </w:r>
      <w:r w:rsidR="00ED21C5">
        <w:t xml:space="preserve"> (sometimes simply referred to as ‘Classification’)</w:t>
      </w:r>
      <w:r w:rsidR="00ED21C5" w:rsidRPr="58F2286E">
        <w:t>.</w:t>
      </w:r>
      <w:r w:rsidR="00ED21C5" w:rsidRPr="00880B95">
        <w:t xml:space="preserve"> A priority category is also applied</w:t>
      </w:r>
      <w:r w:rsidR="00ED21C5">
        <w:t xml:space="preserve"> in some circumstances</w:t>
      </w:r>
      <w:r w:rsidR="00ED21C5" w:rsidRPr="00880B95">
        <w:t>.</w:t>
      </w:r>
    </w:p>
    <w:p w14:paraId="3DED42FD" w14:textId="77777777" w:rsidR="00B7152F" w:rsidRPr="00E91824" w:rsidRDefault="00B7152F" w:rsidP="008E6691">
      <w:pPr>
        <w:pStyle w:val="ListParagraph"/>
        <w:numPr>
          <w:ilvl w:val="0"/>
          <w:numId w:val="29"/>
        </w:numPr>
        <w:spacing w:before="240" w:after="240" w:line="240" w:lineRule="auto"/>
      </w:pPr>
      <w:r w:rsidRPr="00E91824">
        <w:rPr>
          <w:b/>
          <w:bCs/>
        </w:rPr>
        <w:t>Service groups</w:t>
      </w:r>
      <w:r w:rsidRPr="00E91824">
        <w:t xml:space="preserve"> specify the setting and nature of care an individual can access. There are four service groups: </w:t>
      </w:r>
      <w:r w:rsidRPr="00E91824">
        <w:rPr>
          <w:b/>
          <w:bCs/>
        </w:rPr>
        <w:t>home support</w:t>
      </w:r>
      <w:r w:rsidRPr="00E91824">
        <w:t xml:space="preserve">, </w:t>
      </w:r>
      <w:r w:rsidRPr="00E91824">
        <w:rPr>
          <w:b/>
          <w:bCs/>
        </w:rPr>
        <w:t>assistive technology</w:t>
      </w:r>
      <w:r w:rsidRPr="00E91824">
        <w:t xml:space="preserve">, </w:t>
      </w:r>
      <w:r w:rsidRPr="00E91824">
        <w:rPr>
          <w:b/>
          <w:bCs/>
        </w:rPr>
        <w:t>home modifications</w:t>
      </w:r>
      <w:r w:rsidRPr="00E91824">
        <w:t xml:space="preserve"> and </w:t>
      </w:r>
      <w:r w:rsidRPr="00E91824">
        <w:rPr>
          <w:b/>
          <w:bCs/>
        </w:rPr>
        <w:t>residential care</w:t>
      </w:r>
      <w:r w:rsidRPr="00E91824">
        <w:t>.</w:t>
      </w:r>
    </w:p>
    <w:p w14:paraId="522FBD13" w14:textId="63BE43B5" w:rsidR="00B7152F" w:rsidRPr="00E91824" w:rsidRDefault="00B7152F" w:rsidP="008E6691">
      <w:pPr>
        <w:pStyle w:val="ListParagraph"/>
        <w:numPr>
          <w:ilvl w:val="0"/>
          <w:numId w:val="29"/>
        </w:numPr>
        <w:spacing w:before="240" w:after="240" w:line="240" w:lineRule="auto"/>
      </w:pPr>
      <w:r w:rsidRPr="00E91824">
        <w:rPr>
          <w:b/>
          <w:bCs/>
        </w:rPr>
        <w:t>Classification types</w:t>
      </w:r>
      <w:r w:rsidRPr="00E91824">
        <w:t xml:space="preserve"> differentiate the time period that services are delivered for under the service group. There are three classification types: </w:t>
      </w:r>
      <w:r w:rsidRPr="00E91824">
        <w:rPr>
          <w:b/>
          <w:bCs/>
        </w:rPr>
        <w:t>ongoing</w:t>
      </w:r>
      <w:r w:rsidRPr="00E91824">
        <w:t xml:space="preserve">, </w:t>
      </w:r>
      <w:r w:rsidRPr="00E91824">
        <w:rPr>
          <w:b/>
          <w:bCs/>
        </w:rPr>
        <w:t>short-term</w:t>
      </w:r>
      <w:r w:rsidRPr="00E91824">
        <w:t xml:space="preserve"> and </w:t>
      </w:r>
      <w:r w:rsidRPr="00E91824">
        <w:rPr>
          <w:b/>
          <w:bCs/>
        </w:rPr>
        <w:t>hospital transition</w:t>
      </w:r>
      <w:r w:rsidRPr="00E91824">
        <w:t>. Each classification type has a different purpose in meeting the needs of an individual and so are funded and timed accordingly.</w:t>
      </w:r>
    </w:p>
    <w:p w14:paraId="0C756197" w14:textId="77777777" w:rsidR="00B7152F" w:rsidRPr="00E91824" w:rsidRDefault="00B7152F" w:rsidP="008E6691">
      <w:pPr>
        <w:pStyle w:val="ListParagraph"/>
        <w:numPr>
          <w:ilvl w:val="0"/>
          <w:numId w:val="29"/>
        </w:numPr>
        <w:spacing w:before="240" w:after="240" w:line="240" w:lineRule="auto"/>
      </w:pPr>
      <w:r w:rsidRPr="00E91824">
        <w:rPr>
          <w:b/>
          <w:bCs/>
        </w:rPr>
        <w:t xml:space="preserve">Classification levels </w:t>
      </w:r>
      <w:r w:rsidRPr="00E91824">
        <w:t xml:space="preserve">determine the amount of funding available to deliver the aged care services that an individual has been approved to access under a service group. </w:t>
      </w:r>
    </w:p>
    <w:p w14:paraId="4AFEE620" w14:textId="77777777" w:rsidR="00B7152F" w:rsidRDefault="00B7152F" w:rsidP="008E6691">
      <w:pPr>
        <w:spacing w:before="240" w:after="240" w:line="240" w:lineRule="auto"/>
        <w:rPr>
          <w:i/>
          <w:iCs/>
        </w:rPr>
      </w:pPr>
      <w:r w:rsidRPr="00E91824">
        <w:t xml:space="preserve">The table below compares some examples before and after the introduction of </w:t>
      </w:r>
      <w:r w:rsidRPr="00E91824">
        <w:rPr>
          <w:i/>
          <w:iCs/>
        </w:rPr>
        <w:t>Aged Care Act 2024.</w:t>
      </w:r>
    </w:p>
    <w:p w14:paraId="00ABB64B" w14:textId="77777777" w:rsidR="00524E0B" w:rsidRDefault="00524E0B">
      <w:pPr>
        <w:rPr>
          <w:b/>
          <w:bCs/>
          <w:iCs/>
          <w:color w:val="44546A" w:themeColor="text2"/>
          <w:sz w:val="21"/>
          <w:szCs w:val="18"/>
        </w:rPr>
      </w:pPr>
      <w:r>
        <w:rPr>
          <w:bCs/>
        </w:rPr>
        <w:br w:type="page"/>
      </w:r>
    </w:p>
    <w:p w14:paraId="079E85CD" w14:textId="30D70D76" w:rsidR="00A85E58" w:rsidRPr="00EB67CD" w:rsidRDefault="00A85E58" w:rsidP="008E6691">
      <w:pPr>
        <w:pStyle w:val="Caption"/>
        <w:spacing w:before="240" w:after="240"/>
        <w:rPr>
          <w:bCs/>
        </w:rPr>
      </w:pPr>
      <w:r w:rsidRPr="00EB67CD">
        <w:rPr>
          <w:bCs/>
        </w:rPr>
        <w:t xml:space="preserve">Table </w:t>
      </w:r>
      <w:r w:rsidR="00D35293">
        <w:rPr>
          <w:bCs/>
        </w:rPr>
        <w:t>4</w:t>
      </w:r>
      <w:r w:rsidRPr="00EB67CD">
        <w:rPr>
          <w:bCs/>
        </w:rPr>
        <w:t xml:space="preserve">: </w:t>
      </w:r>
      <w:r w:rsidR="00D95299" w:rsidRPr="00EB67CD">
        <w:rPr>
          <w:bCs/>
        </w:rPr>
        <w:t xml:space="preserve">Comparison of </w:t>
      </w:r>
      <w:r w:rsidR="001E63EE" w:rsidRPr="00EB67CD">
        <w:rPr>
          <w:bCs/>
        </w:rPr>
        <w:t xml:space="preserve">program </w:t>
      </w:r>
      <w:r w:rsidR="00D95299" w:rsidRPr="00EB67CD">
        <w:rPr>
          <w:bCs/>
        </w:rPr>
        <w:t xml:space="preserve">approval </w:t>
      </w:r>
      <w:r w:rsidR="001E63EE" w:rsidRPr="00EB67CD">
        <w:rPr>
          <w:bCs/>
        </w:rPr>
        <w:t>structure</w:t>
      </w:r>
      <w:r w:rsidR="00D95299" w:rsidRPr="00EB67CD">
        <w:rPr>
          <w:bCs/>
        </w:rPr>
        <w:t xml:space="preserve"> between Aged</w:t>
      </w:r>
      <w:r w:rsidR="007A7C07" w:rsidRPr="00EB67CD">
        <w:rPr>
          <w:bCs/>
        </w:rPr>
        <w:t xml:space="preserve"> Care Act 1997 and Aged Care Act 2024</w:t>
      </w:r>
      <w:r w:rsidR="001E63EE" w:rsidRPr="00EB67CD">
        <w:rPr>
          <w:bCs/>
        </w:rPr>
        <w:t xml:space="preserve"> </w:t>
      </w:r>
      <w:r w:rsidRPr="00EB67CD">
        <w:rPr>
          <w:bCs/>
        </w:rPr>
        <w:t xml:space="preserve"> </w:t>
      </w:r>
    </w:p>
    <w:tbl>
      <w:tblPr>
        <w:tblStyle w:val="TableGrid"/>
        <w:tblW w:w="0" w:type="auto"/>
        <w:tblBorders>
          <w:top w:val="single" w:sz="4" w:space="0" w:color="auto"/>
          <w:insideH w:val="single" w:sz="4" w:space="0" w:color="auto"/>
        </w:tblBorders>
        <w:tblLook w:val="04A0" w:firstRow="1" w:lastRow="0" w:firstColumn="1" w:lastColumn="0" w:noHBand="0" w:noVBand="1"/>
        <w:tblCaption w:val="Comparison of program approval structure between Aged Care Act 1997 and Aged Care Act 2024 "/>
        <w:tblDescription w:val="A comparison of program approval structure between Aged Care Act 1997 and Aged Care Act 2024 "/>
      </w:tblPr>
      <w:tblGrid>
        <w:gridCol w:w="4106"/>
        <w:gridCol w:w="4820"/>
      </w:tblGrid>
      <w:tr w:rsidR="00B7152F" w:rsidRPr="00321BB5" w14:paraId="4FDBE9D9" w14:textId="77777777" w:rsidTr="00524E0B">
        <w:trPr>
          <w:tblHeader/>
        </w:trPr>
        <w:tc>
          <w:tcPr>
            <w:tcW w:w="4106" w:type="dxa"/>
            <w:shd w:val="clear" w:color="auto" w:fill="002060"/>
          </w:tcPr>
          <w:p w14:paraId="2FCF4599" w14:textId="77777777" w:rsidR="00B7152F" w:rsidRPr="00321BB5" w:rsidRDefault="00B7152F" w:rsidP="008E6691">
            <w:pPr>
              <w:spacing w:before="240" w:after="240"/>
              <w:rPr>
                <w:b/>
                <w:i/>
                <w:color w:val="FFFFFF" w:themeColor="background1"/>
                <w:szCs w:val="22"/>
              </w:rPr>
            </w:pPr>
            <w:r w:rsidRPr="00321BB5">
              <w:rPr>
                <w:b/>
                <w:bCs/>
                <w:color w:val="FFFFFF" w:themeColor="background1"/>
                <w:szCs w:val="22"/>
                <w:u w:val="single"/>
              </w:rPr>
              <w:t>Before</w:t>
            </w:r>
            <w:r w:rsidRPr="00321BB5">
              <w:rPr>
                <w:b/>
                <w:bCs/>
                <w:color w:val="FFFFFF" w:themeColor="background1"/>
                <w:szCs w:val="22"/>
              </w:rPr>
              <w:t xml:space="preserve"> the introduction of the </w:t>
            </w:r>
            <w:r w:rsidRPr="00321BB5">
              <w:rPr>
                <w:b/>
                <w:bCs/>
                <w:i/>
                <w:iCs/>
                <w:color w:val="FFFFFF" w:themeColor="background1"/>
                <w:szCs w:val="22"/>
              </w:rPr>
              <w:t>Aged Care Act 2024</w:t>
            </w:r>
          </w:p>
        </w:tc>
        <w:tc>
          <w:tcPr>
            <w:tcW w:w="4820" w:type="dxa"/>
            <w:shd w:val="clear" w:color="auto" w:fill="002060"/>
          </w:tcPr>
          <w:p w14:paraId="3DADCE9B" w14:textId="77777777" w:rsidR="00B7152F" w:rsidRPr="00321BB5" w:rsidRDefault="00B7152F" w:rsidP="008E6691">
            <w:pPr>
              <w:spacing w:before="240" w:after="240"/>
              <w:rPr>
                <w:b/>
                <w:bCs/>
                <w:color w:val="FFFFFF" w:themeColor="background1"/>
                <w:szCs w:val="22"/>
              </w:rPr>
            </w:pPr>
            <w:r w:rsidRPr="00321BB5">
              <w:rPr>
                <w:b/>
                <w:bCs/>
                <w:color w:val="FFFFFF" w:themeColor="background1"/>
                <w:szCs w:val="22"/>
              </w:rPr>
              <w:t xml:space="preserve">After the introduction of the </w:t>
            </w:r>
            <w:r w:rsidRPr="00321BB5">
              <w:rPr>
                <w:b/>
                <w:bCs/>
                <w:i/>
                <w:iCs/>
                <w:color w:val="FFFFFF" w:themeColor="background1"/>
                <w:szCs w:val="22"/>
              </w:rPr>
              <w:t>Aged Care Act 2024</w:t>
            </w:r>
            <w:r w:rsidRPr="00321BB5">
              <w:rPr>
                <w:b/>
                <w:bCs/>
                <w:color w:val="FFFFFF" w:themeColor="background1"/>
                <w:szCs w:val="22"/>
              </w:rPr>
              <w:t>, the older person is approved for…</w:t>
            </w:r>
          </w:p>
        </w:tc>
      </w:tr>
      <w:tr w:rsidR="00B7152F" w:rsidRPr="003C5CD3" w14:paraId="762296A1" w14:textId="77777777" w:rsidTr="00524E0B">
        <w:trPr>
          <w:tblHeader/>
        </w:trPr>
        <w:tc>
          <w:tcPr>
            <w:tcW w:w="4106" w:type="dxa"/>
            <w:shd w:val="clear" w:color="auto" w:fill="002060"/>
          </w:tcPr>
          <w:p w14:paraId="42A705FE" w14:textId="77777777" w:rsidR="00B7152F" w:rsidRPr="003C5CD3" w:rsidRDefault="00B7152F" w:rsidP="008E6691">
            <w:pPr>
              <w:spacing w:before="240" w:after="240"/>
              <w:rPr>
                <w:szCs w:val="22"/>
              </w:rPr>
            </w:pPr>
            <w:r w:rsidRPr="003C5CD3">
              <w:rPr>
                <w:szCs w:val="22"/>
              </w:rPr>
              <w:t>Home Care Package Level (1-4)</w:t>
            </w:r>
          </w:p>
        </w:tc>
        <w:tc>
          <w:tcPr>
            <w:tcW w:w="4820" w:type="dxa"/>
          </w:tcPr>
          <w:p w14:paraId="1C9DCB26" w14:textId="77777777" w:rsidR="00B7152F" w:rsidRPr="003C5CD3" w:rsidRDefault="00B7152F" w:rsidP="008E6691">
            <w:pPr>
              <w:spacing w:before="240" w:after="240"/>
              <w:rPr>
                <w:szCs w:val="22"/>
              </w:rPr>
            </w:pPr>
            <w:r w:rsidRPr="003C5CD3">
              <w:rPr>
                <w:szCs w:val="22"/>
              </w:rPr>
              <w:t>Service group: Home support</w:t>
            </w:r>
          </w:p>
          <w:p w14:paraId="6C873D87" w14:textId="77777777" w:rsidR="00B7152F" w:rsidRPr="003C5CD3" w:rsidRDefault="00B7152F" w:rsidP="008E6691">
            <w:pPr>
              <w:spacing w:before="240" w:after="240"/>
              <w:rPr>
                <w:szCs w:val="22"/>
              </w:rPr>
            </w:pPr>
            <w:r w:rsidRPr="003C5CD3">
              <w:rPr>
                <w:szCs w:val="22"/>
              </w:rPr>
              <w:t>Classification type: Ongoing</w:t>
            </w:r>
          </w:p>
          <w:p w14:paraId="1B50643F" w14:textId="77777777" w:rsidR="00B7152F" w:rsidRPr="003C5CD3" w:rsidRDefault="00B7152F" w:rsidP="008E6691">
            <w:pPr>
              <w:spacing w:before="240" w:after="240"/>
              <w:rPr>
                <w:szCs w:val="22"/>
              </w:rPr>
            </w:pPr>
            <w:r w:rsidRPr="003C5CD3">
              <w:rPr>
                <w:szCs w:val="22"/>
              </w:rPr>
              <w:t>Classification level: SAH (Support at Home) Class (1-8)</w:t>
            </w:r>
          </w:p>
        </w:tc>
      </w:tr>
      <w:tr w:rsidR="00B7152F" w:rsidRPr="003C5CD3" w14:paraId="3FD9E5B6" w14:textId="77777777" w:rsidTr="00524E0B">
        <w:trPr>
          <w:tblHeader/>
        </w:trPr>
        <w:tc>
          <w:tcPr>
            <w:tcW w:w="4106" w:type="dxa"/>
            <w:shd w:val="clear" w:color="auto" w:fill="002060"/>
          </w:tcPr>
          <w:p w14:paraId="27F9A536" w14:textId="77777777" w:rsidR="00B7152F" w:rsidRPr="003C5CD3" w:rsidRDefault="00B7152F" w:rsidP="008E6691">
            <w:pPr>
              <w:spacing w:before="240" w:after="240"/>
              <w:rPr>
                <w:szCs w:val="22"/>
              </w:rPr>
            </w:pPr>
            <w:r w:rsidRPr="003C5CD3">
              <w:rPr>
                <w:szCs w:val="22"/>
              </w:rPr>
              <w:t>Commonwealth Home Support Package (CHSP)</w:t>
            </w:r>
          </w:p>
        </w:tc>
        <w:tc>
          <w:tcPr>
            <w:tcW w:w="4820" w:type="dxa"/>
          </w:tcPr>
          <w:p w14:paraId="2F43D2DF" w14:textId="77777777" w:rsidR="00B7152F" w:rsidRPr="003C5CD3" w:rsidRDefault="00B7152F" w:rsidP="008E6691">
            <w:pPr>
              <w:spacing w:before="240" w:after="240"/>
              <w:rPr>
                <w:szCs w:val="22"/>
              </w:rPr>
            </w:pPr>
            <w:r w:rsidRPr="003C5CD3">
              <w:rPr>
                <w:szCs w:val="22"/>
              </w:rPr>
              <w:t>Service group: Home support</w:t>
            </w:r>
          </w:p>
          <w:p w14:paraId="57FD8F13" w14:textId="77777777" w:rsidR="00B7152F" w:rsidRPr="003C5CD3" w:rsidRDefault="00B7152F" w:rsidP="008E6691">
            <w:pPr>
              <w:spacing w:before="240" w:after="240"/>
              <w:rPr>
                <w:szCs w:val="22"/>
              </w:rPr>
            </w:pPr>
            <w:r w:rsidRPr="003C5CD3">
              <w:rPr>
                <w:szCs w:val="22"/>
              </w:rPr>
              <w:t>Classification type: Ongoing</w:t>
            </w:r>
          </w:p>
          <w:p w14:paraId="3566B27B" w14:textId="77777777" w:rsidR="00B7152F" w:rsidRPr="003C5CD3" w:rsidRDefault="00B7152F" w:rsidP="008E6691">
            <w:pPr>
              <w:spacing w:before="240" w:after="240"/>
              <w:rPr>
                <w:szCs w:val="22"/>
              </w:rPr>
            </w:pPr>
            <w:r w:rsidRPr="003C5CD3">
              <w:rPr>
                <w:szCs w:val="22"/>
              </w:rPr>
              <w:t>Classification level: CHSP Class</w:t>
            </w:r>
          </w:p>
        </w:tc>
      </w:tr>
      <w:tr w:rsidR="0017517D" w:rsidRPr="003C5CD3" w14:paraId="047722BA" w14:textId="77777777" w:rsidTr="00524E0B">
        <w:trPr>
          <w:tblHeader/>
        </w:trPr>
        <w:tc>
          <w:tcPr>
            <w:tcW w:w="4106" w:type="dxa"/>
            <w:tcBorders>
              <w:bottom w:val="single" w:sz="4" w:space="0" w:color="auto"/>
            </w:tcBorders>
            <w:shd w:val="clear" w:color="auto" w:fill="002060"/>
          </w:tcPr>
          <w:p w14:paraId="417595FA" w14:textId="77777777" w:rsidR="00246B9D" w:rsidRDefault="00246B9D" w:rsidP="008E6691">
            <w:pPr>
              <w:spacing w:before="240" w:after="240"/>
            </w:pPr>
            <w:r>
              <w:t>Goods Assistive Technology (GEAT) and Home Modifications</w:t>
            </w:r>
          </w:p>
          <w:p w14:paraId="57076CDD" w14:textId="77777777" w:rsidR="00246B9D" w:rsidRDefault="00246B9D" w:rsidP="008E6691">
            <w:pPr>
              <w:spacing w:before="240" w:after="240"/>
            </w:pPr>
            <w:r>
              <w:t xml:space="preserve">(CHSP) </w:t>
            </w:r>
          </w:p>
          <w:p w14:paraId="3BCDECCE" w14:textId="77777777" w:rsidR="0017517D" w:rsidRPr="003C5CD3" w:rsidRDefault="0017517D" w:rsidP="008E6691">
            <w:pPr>
              <w:spacing w:before="240" w:after="240"/>
              <w:rPr>
                <w:szCs w:val="22"/>
              </w:rPr>
            </w:pPr>
          </w:p>
        </w:tc>
        <w:tc>
          <w:tcPr>
            <w:tcW w:w="4820" w:type="dxa"/>
            <w:tcBorders>
              <w:bottom w:val="single" w:sz="4" w:space="0" w:color="auto"/>
            </w:tcBorders>
          </w:tcPr>
          <w:p w14:paraId="4C39C05D" w14:textId="77777777" w:rsidR="00B5632F" w:rsidRPr="00E74726" w:rsidRDefault="00B5632F" w:rsidP="008E6691">
            <w:pPr>
              <w:spacing w:before="240" w:after="240"/>
            </w:pPr>
            <w:r w:rsidRPr="00E74726">
              <w:t xml:space="preserve">Service group: </w:t>
            </w:r>
            <w:r>
              <w:t>Assistive technology, Home modifications</w:t>
            </w:r>
          </w:p>
          <w:p w14:paraId="5E959D8E" w14:textId="77777777" w:rsidR="00B5632F" w:rsidRPr="00E74726" w:rsidRDefault="00B5632F" w:rsidP="008E6691">
            <w:pPr>
              <w:spacing w:before="240" w:after="240"/>
            </w:pPr>
            <w:r w:rsidRPr="00E74726">
              <w:t xml:space="preserve">Classification type: </w:t>
            </w:r>
            <w:r>
              <w:t>Short-term</w:t>
            </w:r>
          </w:p>
          <w:p w14:paraId="66026204" w14:textId="2CCA2E66" w:rsidR="0017517D" w:rsidRPr="003C5CD3" w:rsidRDefault="00B5632F" w:rsidP="008E6691">
            <w:pPr>
              <w:spacing w:before="240" w:after="240"/>
              <w:rPr>
                <w:szCs w:val="22"/>
              </w:rPr>
            </w:pPr>
            <w:r w:rsidRPr="00E74726">
              <w:t xml:space="preserve">Classification level: </w:t>
            </w:r>
            <w:r>
              <w:t>AT CHSP, HM CHSP</w:t>
            </w:r>
          </w:p>
        </w:tc>
      </w:tr>
      <w:tr w:rsidR="00B7152F" w:rsidRPr="003C5CD3" w14:paraId="09013210" w14:textId="77777777" w:rsidTr="00524E0B">
        <w:trPr>
          <w:tblHeader/>
        </w:trPr>
        <w:tc>
          <w:tcPr>
            <w:tcW w:w="4106" w:type="dxa"/>
            <w:tcBorders>
              <w:bottom w:val="single" w:sz="4" w:space="0" w:color="auto"/>
            </w:tcBorders>
            <w:shd w:val="clear" w:color="auto" w:fill="002060"/>
          </w:tcPr>
          <w:p w14:paraId="254E4678" w14:textId="6E5F08C3" w:rsidR="00B7152F" w:rsidRPr="003C5CD3" w:rsidRDefault="00B7152F" w:rsidP="008E6691">
            <w:pPr>
              <w:spacing w:before="240" w:after="240"/>
            </w:pPr>
            <w:r>
              <w:t xml:space="preserve">Residential </w:t>
            </w:r>
            <w:r w:rsidR="79E0989B">
              <w:t>R</w:t>
            </w:r>
            <w:r>
              <w:t xml:space="preserve">espite </w:t>
            </w:r>
            <w:r w:rsidR="4381B343">
              <w:t>C</w:t>
            </w:r>
            <w:r>
              <w:t>are</w:t>
            </w:r>
          </w:p>
        </w:tc>
        <w:tc>
          <w:tcPr>
            <w:tcW w:w="4820" w:type="dxa"/>
            <w:tcBorders>
              <w:bottom w:val="single" w:sz="4" w:space="0" w:color="auto"/>
            </w:tcBorders>
          </w:tcPr>
          <w:p w14:paraId="46F22AC8" w14:textId="77777777" w:rsidR="00B7152F" w:rsidRPr="003C5CD3" w:rsidRDefault="00B7152F" w:rsidP="008E6691">
            <w:pPr>
              <w:spacing w:before="240" w:after="240"/>
              <w:rPr>
                <w:szCs w:val="22"/>
              </w:rPr>
            </w:pPr>
            <w:r w:rsidRPr="003C5CD3">
              <w:rPr>
                <w:szCs w:val="22"/>
              </w:rPr>
              <w:t>Service group: Residential care</w:t>
            </w:r>
          </w:p>
          <w:p w14:paraId="5360158B" w14:textId="77777777" w:rsidR="00B7152F" w:rsidRPr="003C5CD3" w:rsidRDefault="00B7152F" w:rsidP="008E6691">
            <w:pPr>
              <w:spacing w:before="240" w:after="240"/>
              <w:rPr>
                <w:szCs w:val="22"/>
              </w:rPr>
            </w:pPr>
            <w:r w:rsidRPr="003C5CD3">
              <w:rPr>
                <w:szCs w:val="22"/>
              </w:rPr>
              <w:t>Classification type: Short-term</w:t>
            </w:r>
          </w:p>
          <w:p w14:paraId="28275C00" w14:textId="77777777" w:rsidR="00B7152F" w:rsidRPr="003C5CD3" w:rsidRDefault="00B7152F" w:rsidP="008E6691">
            <w:pPr>
              <w:spacing w:before="240" w:after="240"/>
              <w:rPr>
                <w:szCs w:val="22"/>
              </w:rPr>
            </w:pPr>
            <w:r w:rsidRPr="003C5CD3">
              <w:rPr>
                <w:szCs w:val="22"/>
              </w:rPr>
              <w:t>Classification level: Respite Class (1-3)</w:t>
            </w:r>
          </w:p>
        </w:tc>
      </w:tr>
      <w:tr w:rsidR="00B7152F" w:rsidRPr="003C5CD3" w14:paraId="088081C0" w14:textId="77777777" w:rsidTr="00524E0B">
        <w:trPr>
          <w:tblHeader/>
        </w:trPr>
        <w:tc>
          <w:tcPr>
            <w:tcW w:w="4106" w:type="dxa"/>
            <w:tcBorders>
              <w:bottom w:val="single" w:sz="4" w:space="0" w:color="auto"/>
            </w:tcBorders>
            <w:shd w:val="clear" w:color="auto" w:fill="002060"/>
          </w:tcPr>
          <w:p w14:paraId="0DEA3CEC" w14:textId="6DE90DE8" w:rsidR="00B7152F" w:rsidRPr="003C5CD3" w:rsidRDefault="00B7152F" w:rsidP="008E6691">
            <w:pPr>
              <w:spacing w:before="240" w:after="240"/>
            </w:pPr>
            <w:r>
              <w:t>Short-</w:t>
            </w:r>
            <w:r w:rsidR="6286CB3E">
              <w:t>T</w:t>
            </w:r>
            <w:r>
              <w:t>erm Restorative Care Programme</w:t>
            </w:r>
          </w:p>
        </w:tc>
        <w:tc>
          <w:tcPr>
            <w:tcW w:w="4820" w:type="dxa"/>
            <w:tcBorders>
              <w:bottom w:val="single" w:sz="4" w:space="0" w:color="auto"/>
            </w:tcBorders>
          </w:tcPr>
          <w:p w14:paraId="6E2FEA8B" w14:textId="77777777" w:rsidR="00B7152F" w:rsidRPr="003C5CD3" w:rsidRDefault="00B7152F" w:rsidP="008E6691">
            <w:pPr>
              <w:spacing w:before="240" w:after="240"/>
              <w:rPr>
                <w:szCs w:val="22"/>
              </w:rPr>
            </w:pPr>
            <w:r w:rsidRPr="003C5CD3">
              <w:rPr>
                <w:szCs w:val="22"/>
              </w:rPr>
              <w:t>Service group: Home support</w:t>
            </w:r>
          </w:p>
          <w:p w14:paraId="3F45DB45" w14:textId="77777777" w:rsidR="00B7152F" w:rsidRPr="003C5CD3" w:rsidRDefault="00B7152F" w:rsidP="008E6691">
            <w:pPr>
              <w:spacing w:before="240" w:after="240"/>
              <w:rPr>
                <w:szCs w:val="22"/>
              </w:rPr>
            </w:pPr>
            <w:r w:rsidRPr="003C5CD3">
              <w:rPr>
                <w:szCs w:val="22"/>
              </w:rPr>
              <w:t>Classification type: Short-term</w:t>
            </w:r>
          </w:p>
          <w:p w14:paraId="75F9BACF" w14:textId="77777777" w:rsidR="00B7152F" w:rsidRPr="003C5CD3" w:rsidRDefault="00B7152F" w:rsidP="008E6691">
            <w:pPr>
              <w:spacing w:before="240" w:after="240"/>
              <w:rPr>
                <w:szCs w:val="22"/>
              </w:rPr>
            </w:pPr>
            <w:r w:rsidRPr="003C5CD3">
              <w:rPr>
                <w:szCs w:val="22"/>
              </w:rPr>
              <w:t>Classification level: SAH Restorative Care Pathway</w:t>
            </w:r>
          </w:p>
        </w:tc>
      </w:tr>
    </w:tbl>
    <w:p w14:paraId="44FE619D" w14:textId="77777777" w:rsidR="00B7152F" w:rsidRPr="00E91824" w:rsidRDefault="00B7152F" w:rsidP="008E6691">
      <w:pPr>
        <w:spacing w:before="240" w:after="240" w:line="240" w:lineRule="auto"/>
      </w:pPr>
    </w:p>
    <w:p w14:paraId="6DF3AD15" w14:textId="77777777" w:rsidR="00B7152F" w:rsidRPr="005F4BC7" w:rsidRDefault="00B7152F" w:rsidP="008E6691">
      <w:pPr>
        <w:spacing w:before="240" w:after="240" w:line="240" w:lineRule="auto"/>
        <w:rPr>
          <w:szCs w:val="22"/>
        </w:rPr>
      </w:pPr>
      <w:r w:rsidRPr="005F4BC7">
        <w:rPr>
          <w:szCs w:val="22"/>
        </w:rPr>
        <w:t xml:space="preserve">The following sections show the possible combinations of classification type and classification level a person can be approved for under each service group. </w:t>
      </w:r>
    </w:p>
    <w:p w14:paraId="3843F1CB" w14:textId="43148725" w:rsidR="00524E0B" w:rsidRDefault="00B7152F" w:rsidP="008E6691">
      <w:pPr>
        <w:spacing w:before="240" w:after="240" w:line="240" w:lineRule="auto"/>
        <w:rPr>
          <w:szCs w:val="22"/>
        </w:rPr>
      </w:pPr>
      <w:r w:rsidRPr="005F4BC7">
        <w:rPr>
          <w:szCs w:val="22"/>
        </w:rPr>
        <w:t>Decisions for service group and classification type are made under section 65(2) of the Act. Decisions for classification level are made under section 78 of the Act.</w:t>
      </w:r>
    </w:p>
    <w:p w14:paraId="176B3838" w14:textId="78ABCA1D" w:rsidR="00B7152F" w:rsidRDefault="00524E0B" w:rsidP="00524E0B">
      <w:pPr>
        <w:rPr>
          <w:szCs w:val="22"/>
        </w:rPr>
      </w:pPr>
      <w:r>
        <w:rPr>
          <w:szCs w:val="22"/>
        </w:rPr>
        <w:br w:type="page"/>
      </w:r>
    </w:p>
    <w:p w14:paraId="3542E287" w14:textId="452C2888" w:rsidR="00005C08" w:rsidRPr="00EB67CD" w:rsidRDefault="004053A4" w:rsidP="008E6691">
      <w:pPr>
        <w:pStyle w:val="Caption"/>
        <w:spacing w:before="240" w:after="240"/>
        <w:rPr>
          <w:bCs/>
        </w:rPr>
      </w:pPr>
      <w:r w:rsidRPr="00EB67CD">
        <w:rPr>
          <w:bCs/>
        </w:rPr>
        <w:t>Table</w:t>
      </w:r>
      <w:r w:rsidR="006C3625" w:rsidRPr="00EB67CD">
        <w:rPr>
          <w:bCs/>
        </w:rPr>
        <w:t xml:space="preserve"> </w:t>
      </w:r>
      <w:r w:rsidR="00D35293">
        <w:rPr>
          <w:bCs/>
        </w:rPr>
        <w:t>5</w:t>
      </w:r>
      <w:r w:rsidR="006C3625" w:rsidRPr="00EB67CD">
        <w:rPr>
          <w:bCs/>
        </w:rPr>
        <w:t xml:space="preserve">: </w:t>
      </w:r>
      <w:r w:rsidR="00005C08" w:rsidRPr="00EB67CD">
        <w:rPr>
          <w:bCs/>
        </w:rPr>
        <w:t>Service group: Home support</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Home Support classifcation type and classification level"/>
        <w:tblDescription w:val="An overview of the possible combinations of classification type and classification level for the service group Home Support"/>
      </w:tblPr>
      <w:tblGrid>
        <w:gridCol w:w="2402"/>
        <w:gridCol w:w="12"/>
        <w:gridCol w:w="2681"/>
        <w:gridCol w:w="3890"/>
      </w:tblGrid>
      <w:tr w:rsidR="00005C08" w:rsidRPr="00F30DFA" w14:paraId="3080FFA8" w14:textId="77777777" w:rsidTr="004E2C29">
        <w:trPr>
          <w:trHeight w:val="255"/>
        </w:trPr>
        <w:tc>
          <w:tcPr>
            <w:tcW w:w="2402" w:type="dxa"/>
            <w:shd w:val="clear" w:color="auto" w:fill="002060"/>
          </w:tcPr>
          <w:p w14:paraId="61F914E1" w14:textId="77777777" w:rsidR="00005C08" w:rsidRPr="00F30DFA" w:rsidRDefault="00005C08" w:rsidP="008E6691">
            <w:pPr>
              <w:spacing w:before="240" w:after="240" w:line="240" w:lineRule="auto"/>
              <w:rPr>
                <w:rFonts w:eastAsia="Arial"/>
                <w:color w:val="FFFFFF" w:themeColor="background1"/>
                <w:szCs w:val="22"/>
              </w:rPr>
            </w:pPr>
            <w:r w:rsidRPr="00F30DFA">
              <w:rPr>
                <w:rFonts w:eastAsia="Arial"/>
                <w:b/>
                <w:color w:val="FFFFFF" w:themeColor="background1"/>
                <w:szCs w:val="22"/>
                <w:lang w:val="en-AU"/>
              </w:rPr>
              <w:t>Service group</w:t>
            </w:r>
          </w:p>
        </w:tc>
        <w:tc>
          <w:tcPr>
            <w:tcW w:w="2693" w:type="dxa"/>
            <w:gridSpan w:val="2"/>
            <w:shd w:val="clear" w:color="auto" w:fill="002060"/>
            <w:tcMar>
              <w:top w:w="60" w:type="dxa"/>
              <w:left w:w="135" w:type="dxa"/>
              <w:bottom w:w="60" w:type="dxa"/>
              <w:right w:w="135" w:type="dxa"/>
            </w:tcMar>
          </w:tcPr>
          <w:p w14:paraId="2BA2F2A7" w14:textId="77777777" w:rsidR="00005C08" w:rsidRPr="00F30DFA" w:rsidRDefault="00005C08" w:rsidP="008E6691">
            <w:pPr>
              <w:spacing w:before="240" w:after="240" w:line="240" w:lineRule="auto"/>
              <w:rPr>
                <w:rFonts w:eastAsia="Arial"/>
                <w:color w:val="FFFFFF" w:themeColor="background1"/>
                <w:szCs w:val="22"/>
              </w:rPr>
            </w:pPr>
            <w:r w:rsidRPr="00F30DFA">
              <w:rPr>
                <w:rFonts w:eastAsia="Arial"/>
                <w:b/>
                <w:color w:val="FFFFFF" w:themeColor="background1"/>
                <w:szCs w:val="22"/>
                <w:lang w:val="en-AU"/>
              </w:rPr>
              <w:t>Classification type</w:t>
            </w:r>
          </w:p>
        </w:tc>
        <w:tc>
          <w:tcPr>
            <w:tcW w:w="3890" w:type="dxa"/>
            <w:shd w:val="clear" w:color="auto" w:fill="002060"/>
            <w:tcMar>
              <w:top w:w="60" w:type="dxa"/>
              <w:left w:w="135" w:type="dxa"/>
              <w:bottom w:w="60" w:type="dxa"/>
              <w:right w:w="135" w:type="dxa"/>
            </w:tcMar>
          </w:tcPr>
          <w:p w14:paraId="2543AE43" w14:textId="77777777" w:rsidR="00005C08" w:rsidRPr="00F30DFA" w:rsidRDefault="00005C08" w:rsidP="008E6691">
            <w:pPr>
              <w:spacing w:before="240" w:after="240" w:line="240" w:lineRule="auto"/>
              <w:rPr>
                <w:rFonts w:eastAsia="Arial"/>
                <w:color w:val="FFFFFF" w:themeColor="background1"/>
                <w:szCs w:val="22"/>
              </w:rPr>
            </w:pPr>
            <w:r w:rsidRPr="00F30DFA">
              <w:rPr>
                <w:rFonts w:eastAsia="Arial"/>
                <w:b/>
                <w:color w:val="FFFFFF" w:themeColor="background1"/>
                <w:szCs w:val="22"/>
                <w:lang w:val="en-AU"/>
              </w:rPr>
              <w:t>Classification level</w:t>
            </w:r>
            <w:r w:rsidRPr="00F30DFA">
              <w:rPr>
                <w:szCs w:val="22"/>
              </w:rPr>
              <w:br/>
            </w:r>
          </w:p>
        </w:tc>
      </w:tr>
      <w:tr w:rsidR="00005C08" w:rsidRPr="003C5CD3" w14:paraId="2D995FA1" w14:textId="77777777" w:rsidTr="00A92A51">
        <w:trPr>
          <w:trHeight w:val="570"/>
        </w:trPr>
        <w:tc>
          <w:tcPr>
            <w:tcW w:w="2414" w:type="dxa"/>
            <w:gridSpan w:val="2"/>
          </w:tcPr>
          <w:p w14:paraId="5FDC962A" w14:textId="730A5E82" w:rsidR="00005C08" w:rsidRPr="003C5CD3" w:rsidRDefault="00005C08" w:rsidP="008E6691">
            <w:pPr>
              <w:spacing w:before="240" w:after="240" w:line="240" w:lineRule="auto"/>
              <w:rPr>
                <w:rFonts w:eastAsia="Arial"/>
                <w:bCs/>
                <w:szCs w:val="22"/>
              </w:rPr>
            </w:pPr>
            <w:r w:rsidRPr="003C5CD3">
              <w:rPr>
                <w:rFonts w:eastAsia="Arial"/>
                <w:bCs/>
                <w:szCs w:val="22"/>
                <w:lang w:val="en-AU"/>
              </w:rPr>
              <w:t xml:space="preserve">Home </w:t>
            </w:r>
            <w:r w:rsidR="00956F28">
              <w:rPr>
                <w:rFonts w:eastAsia="Arial"/>
                <w:bCs/>
                <w:szCs w:val="22"/>
                <w:lang w:val="en-AU"/>
              </w:rPr>
              <w:t>s</w:t>
            </w:r>
            <w:r w:rsidR="00956F28" w:rsidRPr="003C5CD3">
              <w:rPr>
                <w:rFonts w:eastAsia="Arial"/>
                <w:bCs/>
                <w:szCs w:val="22"/>
                <w:lang w:val="en-AU"/>
              </w:rPr>
              <w:t>upport</w:t>
            </w:r>
          </w:p>
        </w:tc>
        <w:tc>
          <w:tcPr>
            <w:tcW w:w="2681" w:type="dxa"/>
            <w:tcMar>
              <w:top w:w="60" w:type="dxa"/>
              <w:left w:w="135" w:type="dxa"/>
              <w:bottom w:w="60" w:type="dxa"/>
              <w:right w:w="135" w:type="dxa"/>
            </w:tcMar>
          </w:tcPr>
          <w:p w14:paraId="2C79A3B3"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Ongoing</w:t>
            </w:r>
          </w:p>
        </w:tc>
        <w:tc>
          <w:tcPr>
            <w:tcW w:w="3890" w:type="dxa"/>
            <w:tcMar>
              <w:top w:w="60" w:type="dxa"/>
              <w:left w:w="135" w:type="dxa"/>
              <w:bottom w:w="60" w:type="dxa"/>
              <w:right w:w="135" w:type="dxa"/>
            </w:tcMar>
          </w:tcPr>
          <w:p w14:paraId="5189C6B8"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CHSP class</w:t>
            </w:r>
            <w:r w:rsidRPr="003C5CD3">
              <w:rPr>
                <w:bCs/>
                <w:szCs w:val="22"/>
              </w:rPr>
              <w:br/>
            </w:r>
            <w:r w:rsidRPr="003C5CD3">
              <w:rPr>
                <w:rFonts w:eastAsia="Arial"/>
                <w:bCs/>
                <w:szCs w:val="22"/>
                <w:lang w:val="en-AU"/>
              </w:rPr>
              <w:t>Support at Home (SAH) class 1 to 8</w:t>
            </w:r>
          </w:p>
        </w:tc>
      </w:tr>
      <w:tr w:rsidR="00005C08" w:rsidRPr="003C5CD3" w14:paraId="5D8316BB" w14:textId="77777777" w:rsidTr="00A92A51">
        <w:trPr>
          <w:trHeight w:val="570"/>
        </w:trPr>
        <w:tc>
          <w:tcPr>
            <w:tcW w:w="2414" w:type="dxa"/>
            <w:gridSpan w:val="2"/>
          </w:tcPr>
          <w:p w14:paraId="6FF674B5" w14:textId="77777777" w:rsidR="00005C08" w:rsidRPr="003C5CD3" w:rsidRDefault="00005C08" w:rsidP="008E6691">
            <w:pPr>
              <w:spacing w:before="240" w:after="240" w:line="240" w:lineRule="auto"/>
              <w:rPr>
                <w:rFonts w:eastAsia="Arial"/>
                <w:bCs/>
                <w:szCs w:val="22"/>
              </w:rPr>
            </w:pPr>
          </w:p>
        </w:tc>
        <w:tc>
          <w:tcPr>
            <w:tcW w:w="2681" w:type="dxa"/>
            <w:tcMar>
              <w:top w:w="60" w:type="dxa"/>
              <w:left w:w="135" w:type="dxa"/>
              <w:bottom w:w="60" w:type="dxa"/>
              <w:right w:w="135" w:type="dxa"/>
            </w:tcMar>
          </w:tcPr>
          <w:p w14:paraId="5CE8400F"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Short-term</w:t>
            </w:r>
          </w:p>
        </w:tc>
        <w:tc>
          <w:tcPr>
            <w:tcW w:w="3890" w:type="dxa"/>
            <w:tcMar>
              <w:top w:w="60" w:type="dxa"/>
              <w:left w:w="135" w:type="dxa"/>
              <w:bottom w:w="60" w:type="dxa"/>
              <w:right w:w="135" w:type="dxa"/>
            </w:tcMar>
          </w:tcPr>
          <w:p w14:paraId="54EE667A"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SAH restorative care pathway</w:t>
            </w:r>
          </w:p>
          <w:p w14:paraId="58DE26CB"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SAH end-of-life pathway</w:t>
            </w:r>
          </w:p>
        </w:tc>
      </w:tr>
      <w:tr w:rsidR="00005C08" w:rsidRPr="003C5CD3" w14:paraId="195BFBA9" w14:textId="77777777" w:rsidTr="00A92A51">
        <w:trPr>
          <w:trHeight w:val="780"/>
        </w:trPr>
        <w:tc>
          <w:tcPr>
            <w:tcW w:w="2414" w:type="dxa"/>
            <w:gridSpan w:val="2"/>
          </w:tcPr>
          <w:p w14:paraId="090BEDBC" w14:textId="77777777" w:rsidR="00005C08" w:rsidRPr="003C5CD3" w:rsidRDefault="00005C08" w:rsidP="008E6691">
            <w:pPr>
              <w:spacing w:before="240" w:after="240" w:line="240" w:lineRule="auto"/>
              <w:rPr>
                <w:rFonts w:eastAsia="Arial"/>
                <w:bCs/>
                <w:szCs w:val="22"/>
              </w:rPr>
            </w:pPr>
          </w:p>
        </w:tc>
        <w:tc>
          <w:tcPr>
            <w:tcW w:w="2681" w:type="dxa"/>
            <w:tcMar>
              <w:top w:w="60" w:type="dxa"/>
              <w:left w:w="135" w:type="dxa"/>
              <w:bottom w:w="60" w:type="dxa"/>
              <w:right w:w="135" w:type="dxa"/>
            </w:tcMar>
          </w:tcPr>
          <w:p w14:paraId="29AC0B0F"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Hospital transition</w:t>
            </w:r>
          </w:p>
        </w:tc>
        <w:tc>
          <w:tcPr>
            <w:tcW w:w="3890" w:type="dxa"/>
            <w:tcMar>
              <w:top w:w="60" w:type="dxa"/>
              <w:left w:w="135" w:type="dxa"/>
              <w:bottom w:w="60" w:type="dxa"/>
              <w:right w:w="135" w:type="dxa"/>
            </w:tcMar>
          </w:tcPr>
          <w:p w14:paraId="4830F60C"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Home Support Hospital Transition class (HS HT class)</w:t>
            </w:r>
          </w:p>
        </w:tc>
      </w:tr>
    </w:tbl>
    <w:p w14:paraId="2380E560" w14:textId="5B15D254" w:rsidR="00BA5F6A" w:rsidRDefault="00BA5F6A" w:rsidP="008E6691">
      <w:pPr>
        <w:pStyle w:val="Caption"/>
        <w:spacing w:before="240" w:after="240"/>
        <w:rPr>
          <w:lang w:val="en-AU"/>
        </w:rPr>
      </w:pPr>
    </w:p>
    <w:p w14:paraId="78D238F0" w14:textId="4A1BB9E1" w:rsidR="00005C08" w:rsidRPr="00EB67CD" w:rsidRDefault="00003B60" w:rsidP="008E6691">
      <w:pPr>
        <w:pStyle w:val="Caption"/>
        <w:spacing w:before="240" w:after="240"/>
        <w:rPr>
          <w:bCs/>
        </w:rPr>
      </w:pPr>
      <w:r w:rsidRPr="00EB67CD">
        <w:rPr>
          <w:bCs/>
        </w:rPr>
        <w:t xml:space="preserve">Table </w:t>
      </w:r>
      <w:r w:rsidR="00D35293">
        <w:rPr>
          <w:bCs/>
        </w:rPr>
        <w:t>6</w:t>
      </w:r>
      <w:r w:rsidRPr="00EB67CD">
        <w:rPr>
          <w:bCs/>
        </w:rPr>
        <w:t xml:space="preserve">: </w:t>
      </w:r>
      <w:r w:rsidR="00005C08" w:rsidRPr="00EB67CD">
        <w:rPr>
          <w:bCs/>
        </w:rPr>
        <w:t>Service group: Assistive technology</w:t>
      </w: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Caption w:val="Service Group: Assistive Technology classification types and classification levels"/>
        <w:tblDescription w:val="An overview of the possible combinations of classification type and classification level for the service group Assistive Technology"/>
      </w:tblPr>
      <w:tblGrid>
        <w:gridCol w:w="2402"/>
        <w:gridCol w:w="2693"/>
        <w:gridCol w:w="3890"/>
      </w:tblGrid>
      <w:tr w:rsidR="00005C08" w:rsidRPr="009F1B23" w14:paraId="6907EAC6" w14:textId="77777777" w:rsidTr="004E2C29">
        <w:trPr>
          <w:trHeight w:val="15"/>
        </w:trPr>
        <w:tc>
          <w:tcPr>
            <w:tcW w:w="2402"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Pr>
          <w:p w14:paraId="33DF5862" w14:textId="77777777" w:rsidR="00005C08" w:rsidRPr="009F1B23" w:rsidRDefault="00005C08" w:rsidP="008E6691">
            <w:pPr>
              <w:spacing w:before="240" w:after="240" w:line="240" w:lineRule="auto"/>
              <w:rPr>
                <w:rFonts w:eastAsia="Arial"/>
                <w:b/>
                <w:color w:val="FFFFFF" w:themeColor="background1"/>
                <w:szCs w:val="22"/>
                <w:lang w:val="en-AU"/>
              </w:rPr>
            </w:pPr>
            <w:r w:rsidRPr="009F1B23">
              <w:rPr>
                <w:rFonts w:eastAsia="Arial"/>
                <w:b/>
                <w:color w:val="FFFFFF" w:themeColor="background1"/>
                <w:szCs w:val="22"/>
                <w:lang w:val="en-AU"/>
              </w:rPr>
              <w:t>Service group</w:t>
            </w:r>
          </w:p>
        </w:tc>
        <w:tc>
          <w:tcPr>
            <w:tcW w:w="2693"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Mar>
              <w:top w:w="60" w:type="dxa"/>
              <w:left w:w="135" w:type="dxa"/>
              <w:bottom w:w="60" w:type="dxa"/>
              <w:right w:w="135" w:type="dxa"/>
            </w:tcMar>
          </w:tcPr>
          <w:p w14:paraId="1A4E718F" w14:textId="77777777" w:rsidR="00005C08" w:rsidRPr="009F1B23" w:rsidRDefault="00005C08" w:rsidP="008E6691">
            <w:pPr>
              <w:spacing w:before="240" w:after="240" w:line="240" w:lineRule="auto"/>
              <w:rPr>
                <w:rFonts w:eastAsia="Arial"/>
                <w:b/>
                <w:color w:val="FFFFFF" w:themeColor="background1"/>
                <w:szCs w:val="22"/>
                <w:lang w:val="en-AU"/>
              </w:rPr>
            </w:pPr>
            <w:r w:rsidRPr="009F1B23">
              <w:rPr>
                <w:rFonts w:eastAsia="Arial"/>
                <w:b/>
                <w:color w:val="FFFFFF" w:themeColor="background1"/>
                <w:szCs w:val="22"/>
                <w:lang w:val="en-AU"/>
              </w:rPr>
              <w:t>Classification type</w:t>
            </w:r>
          </w:p>
        </w:tc>
        <w:tc>
          <w:tcPr>
            <w:tcW w:w="3890"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Mar>
              <w:top w:w="60" w:type="dxa"/>
              <w:left w:w="135" w:type="dxa"/>
              <w:bottom w:w="60" w:type="dxa"/>
              <w:right w:w="135" w:type="dxa"/>
            </w:tcMar>
          </w:tcPr>
          <w:p w14:paraId="4E673924" w14:textId="77777777" w:rsidR="00005C08" w:rsidRPr="009F1B23" w:rsidRDefault="00005C08" w:rsidP="008E6691">
            <w:pPr>
              <w:spacing w:before="240" w:after="240" w:line="240" w:lineRule="auto"/>
              <w:rPr>
                <w:rFonts w:eastAsia="Arial"/>
                <w:b/>
                <w:color w:val="FFFFFF" w:themeColor="background1"/>
                <w:szCs w:val="22"/>
                <w:lang w:val="en-AU"/>
              </w:rPr>
            </w:pPr>
            <w:r w:rsidRPr="009F1B23">
              <w:rPr>
                <w:rFonts w:eastAsia="Arial"/>
                <w:b/>
                <w:color w:val="FFFFFF" w:themeColor="background1"/>
                <w:szCs w:val="22"/>
                <w:lang w:val="en-AU"/>
              </w:rPr>
              <w:t>Classification level</w:t>
            </w:r>
            <w:r w:rsidRPr="009F1B23">
              <w:rPr>
                <w:rFonts w:eastAsia="Arial"/>
                <w:b/>
                <w:color w:val="FFFFFF" w:themeColor="background1"/>
                <w:szCs w:val="22"/>
                <w:lang w:val="en-AU"/>
              </w:rPr>
              <w:br/>
            </w:r>
          </w:p>
        </w:tc>
      </w:tr>
      <w:tr w:rsidR="00005C08" w:rsidRPr="003C5CD3" w14:paraId="65323B68" w14:textId="77777777" w:rsidTr="00485489">
        <w:trPr>
          <w:trHeight w:val="330"/>
        </w:trPr>
        <w:tc>
          <w:tcPr>
            <w:tcW w:w="2402" w:type="dxa"/>
            <w:tcBorders>
              <w:top w:val="single" w:sz="24" w:space="0" w:color="FFFFFF" w:themeColor="background1"/>
              <w:left w:val="single" w:sz="6" w:space="0" w:color="FFFFFF" w:themeColor="background1"/>
              <w:bottom w:val="single" w:sz="4" w:space="0" w:color="auto"/>
              <w:right w:val="single" w:sz="6" w:space="0" w:color="FFFFFF" w:themeColor="background1"/>
            </w:tcBorders>
          </w:tcPr>
          <w:p w14:paraId="6FC69FD1" w14:textId="5543D6EA" w:rsidR="00005C08" w:rsidRPr="003C5CD3" w:rsidRDefault="00005C08" w:rsidP="008E6691">
            <w:pPr>
              <w:spacing w:before="240" w:after="240" w:line="240" w:lineRule="auto"/>
              <w:rPr>
                <w:rFonts w:eastAsia="Arial"/>
                <w:bCs/>
              </w:rPr>
            </w:pPr>
            <w:r w:rsidRPr="003C5CD3">
              <w:rPr>
                <w:rFonts w:eastAsia="Arial"/>
                <w:bCs/>
                <w:lang w:val="en-AU"/>
              </w:rPr>
              <w:t>Assistive technology</w:t>
            </w:r>
          </w:p>
        </w:tc>
        <w:tc>
          <w:tcPr>
            <w:tcW w:w="2693" w:type="dxa"/>
            <w:tcBorders>
              <w:top w:val="single" w:sz="24" w:space="0" w:color="FFFFFF" w:themeColor="background1"/>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31EE18BA" w14:textId="77777777" w:rsidR="00005C08" w:rsidRPr="003C5CD3" w:rsidRDefault="00005C08" w:rsidP="008E6691">
            <w:pPr>
              <w:spacing w:before="240" w:after="240" w:line="240" w:lineRule="auto"/>
              <w:rPr>
                <w:rFonts w:eastAsia="Arial"/>
                <w:bCs/>
              </w:rPr>
            </w:pPr>
            <w:r w:rsidRPr="003C5CD3">
              <w:rPr>
                <w:rFonts w:eastAsia="Arial"/>
                <w:bCs/>
                <w:lang w:val="en-AU"/>
              </w:rPr>
              <w:t>Ongoing</w:t>
            </w:r>
          </w:p>
        </w:tc>
        <w:tc>
          <w:tcPr>
            <w:tcW w:w="3890" w:type="dxa"/>
            <w:tcBorders>
              <w:top w:val="single" w:sz="24" w:space="0" w:color="FFFFFF" w:themeColor="background1"/>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16375E88" w14:textId="77777777" w:rsidR="00005C08" w:rsidRPr="003C5CD3" w:rsidRDefault="00005C08" w:rsidP="008E6691">
            <w:pPr>
              <w:spacing w:before="240" w:after="240" w:line="240" w:lineRule="auto"/>
              <w:rPr>
                <w:rFonts w:eastAsia="Arial"/>
                <w:bCs/>
              </w:rPr>
            </w:pPr>
            <w:r w:rsidRPr="003C5CD3">
              <w:rPr>
                <w:rFonts w:eastAsia="Arial"/>
                <w:bCs/>
                <w:lang w:val="en-AU"/>
              </w:rPr>
              <w:t>Assistance dogs</w:t>
            </w:r>
          </w:p>
        </w:tc>
      </w:tr>
      <w:tr w:rsidR="00005C08" w:rsidRPr="003C5CD3" w14:paraId="57A87A68" w14:textId="77777777" w:rsidTr="00485489">
        <w:trPr>
          <w:trHeight w:val="570"/>
        </w:trPr>
        <w:tc>
          <w:tcPr>
            <w:tcW w:w="2402" w:type="dxa"/>
            <w:tcBorders>
              <w:top w:val="single" w:sz="4" w:space="0" w:color="auto"/>
              <w:left w:val="single" w:sz="6" w:space="0" w:color="FFFFFF" w:themeColor="background1"/>
              <w:bottom w:val="single" w:sz="4" w:space="0" w:color="auto"/>
              <w:right w:val="single" w:sz="6" w:space="0" w:color="FFFFFF" w:themeColor="background1"/>
            </w:tcBorders>
          </w:tcPr>
          <w:p w14:paraId="531DE0DE" w14:textId="77777777" w:rsidR="00005C08" w:rsidRPr="003C5CD3" w:rsidRDefault="00005C08" w:rsidP="008E6691">
            <w:pPr>
              <w:spacing w:before="240" w:after="240" w:line="240" w:lineRule="auto"/>
              <w:rPr>
                <w:rFonts w:eastAsia="Arial"/>
                <w:bCs/>
              </w:rPr>
            </w:pPr>
          </w:p>
        </w:tc>
        <w:tc>
          <w:tcPr>
            <w:tcW w:w="2693"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3C48878E" w14:textId="77777777" w:rsidR="00005C08" w:rsidRPr="003C5CD3" w:rsidRDefault="00005C08" w:rsidP="008E6691">
            <w:pPr>
              <w:spacing w:before="240" w:after="240" w:line="240" w:lineRule="auto"/>
              <w:rPr>
                <w:rFonts w:eastAsia="Arial"/>
                <w:bCs/>
              </w:rPr>
            </w:pPr>
            <w:r w:rsidRPr="003C5CD3">
              <w:rPr>
                <w:rFonts w:eastAsia="Arial"/>
                <w:bCs/>
                <w:lang w:val="en-AU"/>
              </w:rPr>
              <w:t>Short-term</w:t>
            </w:r>
          </w:p>
        </w:tc>
        <w:tc>
          <w:tcPr>
            <w:tcW w:w="3890"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4585236F" w14:textId="77777777" w:rsidR="00005C08" w:rsidRPr="003C5CD3" w:rsidRDefault="00005C08" w:rsidP="008E6691">
            <w:pPr>
              <w:spacing w:before="240" w:after="240" w:line="240" w:lineRule="auto"/>
              <w:rPr>
                <w:rFonts w:eastAsia="Arial"/>
                <w:bCs/>
              </w:rPr>
            </w:pPr>
            <w:r w:rsidRPr="003C5CD3">
              <w:rPr>
                <w:rFonts w:eastAsia="Arial"/>
                <w:bCs/>
                <w:lang w:val="en-AU"/>
              </w:rPr>
              <w:t>AT CHSP</w:t>
            </w:r>
          </w:p>
          <w:p w14:paraId="1FAD32CA" w14:textId="77777777" w:rsidR="00005C08" w:rsidRPr="003C5CD3" w:rsidRDefault="00005C08" w:rsidP="008E6691">
            <w:pPr>
              <w:spacing w:before="240" w:after="240" w:line="240" w:lineRule="auto"/>
              <w:rPr>
                <w:rFonts w:eastAsia="Arial"/>
                <w:bCs/>
              </w:rPr>
            </w:pPr>
            <w:r w:rsidRPr="003C5CD3">
              <w:rPr>
                <w:rFonts w:eastAsia="Arial"/>
                <w:bCs/>
                <w:lang w:val="en-AU"/>
              </w:rPr>
              <w:t>AT low</w:t>
            </w:r>
          </w:p>
          <w:p w14:paraId="52824493" w14:textId="77777777" w:rsidR="00005C08" w:rsidRPr="003C5CD3" w:rsidRDefault="00005C08" w:rsidP="008E6691">
            <w:pPr>
              <w:spacing w:before="240" w:after="240" w:line="240" w:lineRule="auto"/>
              <w:rPr>
                <w:rFonts w:eastAsia="Arial"/>
                <w:bCs/>
              </w:rPr>
            </w:pPr>
            <w:r w:rsidRPr="003C5CD3">
              <w:rPr>
                <w:rFonts w:eastAsia="Arial"/>
                <w:bCs/>
                <w:lang w:val="en-AU"/>
              </w:rPr>
              <w:t>AT medium</w:t>
            </w:r>
          </w:p>
          <w:p w14:paraId="6A8DA965" w14:textId="77777777" w:rsidR="00005C08" w:rsidRPr="003C5CD3" w:rsidRDefault="00005C08" w:rsidP="008E6691">
            <w:pPr>
              <w:spacing w:before="240" w:after="240" w:line="240" w:lineRule="auto"/>
              <w:rPr>
                <w:rFonts w:eastAsia="Arial"/>
                <w:bCs/>
              </w:rPr>
            </w:pPr>
            <w:r w:rsidRPr="003C5CD3">
              <w:rPr>
                <w:rFonts w:eastAsia="Arial"/>
                <w:bCs/>
                <w:lang w:val="en-AU"/>
              </w:rPr>
              <w:t>AT high</w:t>
            </w:r>
          </w:p>
        </w:tc>
      </w:tr>
      <w:tr w:rsidR="00005C08" w:rsidRPr="00E91824" w14:paraId="3DA3D51B" w14:textId="77777777" w:rsidTr="00485489">
        <w:trPr>
          <w:trHeight w:val="570"/>
        </w:trPr>
        <w:tc>
          <w:tcPr>
            <w:tcW w:w="2402" w:type="dxa"/>
            <w:tcBorders>
              <w:top w:val="single" w:sz="4" w:space="0" w:color="auto"/>
              <w:left w:val="single" w:sz="6" w:space="0" w:color="FFFFFF" w:themeColor="background1"/>
              <w:bottom w:val="single" w:sz="4" w:space="0" w:color="auto"/>
              <w:right w:val="single" w:sz="6" w:space="0" w:color="FFFFFF" w:themeColor="background1"/>
            </w:tcBorders>
          </w:tcPr>
          <w:p w14:paraId="756CC524" w14:textId="77777777" w:rsidR="00005C08" w:rsidRPr="00E91824" w:rsidRDefault="00005C08" w:rsidP="008E6691">
            <w:pPr>
              <w:spacing w:before="240" w:after="240" w:line="240" w:lineRule="auto"/>
              <w:rPr>
                <w:rFonts w:eastAsia="Arial"/>
              </w:rPr>
            </w:pPr>
          </w:p>
        </w:tc>
        <w:tc>
          <w:tcPr>
            <w:tcW w:w="2693"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68D3DC5A" w14:textId="77777777" w:rsidR="00005C08" w:rsidRPr="00AD177B" w:rsidRDefault="00005C08" w:rsidP="008E6691">
            <w:pPr>
              <w:spacing w:before="240" w:after="240" w:line="240" w:lineRule="auto"/>
              <w:rPr>
                <w:rFonts w:eastAsia="Arial"/>
                <w:bCs/>
              </w:rPr>
            </w:pPr>
            <w:r w:rsidRPr="00AD177B">
              <w:rPr>
                <w:rFonts w:eastAsia="Arial"/>
                <w:bCs/>
                <w:lang w:val="en-AU"/>
              </w:rPr>
              <w:t>Hospital transition</w:t>
            </w:r>
          </w:p>
        </w:tc>
        <w:tc>
          <w:tcPr>
            <w:tcW w:w="3890"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22B966A7" w14:textId="77777777" w:rsidR="00005C08" w:rsidRPr="00E91824" w:rsidRDefault="00005C08" w:rsidP="008E6691">
            <w:pPr>
              <w:spacing w:before="240" w:after="240" w:line="240" w:lineRule="auto"/>
              <w:rPr>
                <w:rFonts w:eastAsia="Arial"/>
              </w:rPr>
            </w:pPr>
            <w:r w:rsidRPr="00E91824">
              <w:rPr>
                <w:rFonts w:eastAsia="Arial"/>
                <w:lang w:val="en-AU"/>
              </w:rPr>
              <w:t>AT HT class</w:t>
            </w:r>
          </w:p>
        </w:tc>
      </w:tr>
    </w:tbl>
    <w:p w14:paraId="6593E72F" w14:textId="0F1D4263" w:rsidR="00AD177B" w:rsidRPr="003C5CD3" w:rsidRDefault="00005C08" w:rsidP="008E6691">
      <w:pPr>
        <w:spacing w:before="240" w:after="240" w:line="240" w:lineRule="auto"/>
      </w:pPr>
      <w:r w:rsidRPr="003C5CD3">
        <w:t>Note</w:t>
      </w:r>
      <w:r w:rsidR="003C5CD3" w:rsidRPr="003C5CD3">
        <w:rPr>
          <w:szCs w:val="22"/>
        </w:rPr>
        <w:t xml:space="preserve">: </w:t>
      </w:r>
      <w:r w:rsidRPr="003C5CD3">
        <w:rPr>
          <w:szCs w:val="22"/>
        </w:rPr>
        <w:t>classification levels are also referred to as ‘funding tiers’ in the Support at Home program.</w:t>
      </w:r>
    </w:p>
    <w:p w14:paraId="6046445C" w14:textId="02B96CD8" w:rsidR="00255855" w:rsidRDefault="00255855">
      <w:pPr>
        <w:rPr>
          <w:szCs w:val="22"/>
        </w:rPr>
      </w:pPr>
      <w:r>
        <w:rPr>
          <w:szCs w:val="22"/>
        </w:rPr>
        <w:br w:type="page"/>
      </w:r>
    </w:p>
    <w:p w14:paraId="38609203" w14:textId="4E450B74" w:rsidR="00005C08" w:rsidRPr="00EB67CD" w:rsidRDefault="00003B60" w:rsidP="008E6691">
      <w:pPr>
        <w:pStyle w:val="Caption"/>
        <w:spacing w:before="240" w:after="240"/>
        <w:rPr>
          <w:bCs/>
        </w:rPr>
      </w:pPr>
      <w:r w:rsidRPr="00EB67CD">
        <w:rPr>
          <w:bCs/>
        </w:rPr>
        <w:t xml:space="preserve">Table </w:t>
      </w:r>
      <w:r w:rsidR="00397FD6">
        <w:rPr>
          <w:bCs/>
        </w:rPr>
        <w:t>7</w:t>
      </w:r>
      <w:r w:rsidRPr="00EB67CD">
        <w:rPr>
          <w:bCs/>
        </w:rPr>
        <w:t xml:space="preserve">: </w:t>
      </w:r>
      <w:r w:rsidR="00005C08" w:rsidRPr="00EB67CD">
        <w:rPr>
          <w:bCs/>
        </w:rPr>
        <w:t>Service group: Home modifications</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Home Modifications classification types and classification levels"/>
        <w:tblDescription w:val="An overview of the possible combinations of classification type and classification level for the service group Home Modifications"/>
      </w:tblPr>
      <w:tblGrid>
        <w:gridCol w:w="2402"/>
        <w:gridCol w:w="2693"/>
        <w:gridCol w:w="3905"/>
      </w:tblGrid>
      <w:tr w:rsidR="00005C08" w:rsidRPr="009F1B23" w14:paraId="67AE7E94" w14:textId="77777777" w:rsidTr="004E2C29">
        <w:trPr>
          <w:trHeight w:val="15"/>
        </w:trPr>
        <w:tc>
          <w:tcPr>
            <w:tcW w:w="2402" w:type="dxa"/>
            <w:shd w:val="clear" w:color="auto" w:fill="002060"/>
          </w:tcPr>
          <w:p w14:paraId="6BCE3F66" w14:textId="77777777" w:rsidR="00005C08" w:rsidRPr="009F1B23" w:rsidRDefault="00005C08" w:rsidP="008E6691">
            <w:pPr>
              <w:spacing w:before="240" w:after="240" w:line="240" w:lineRule="auto"/>
              <w:rPr>
                <w:rFonts w:eastAsia="Arial"/>
                <w:color w:val="FFFFFF" w:themeColor="background1"/>
                <w:szCs w:val="22"/>
              </w:rPr>
            </w:pPr>
            <w:r w:rsidRPr="009F1B23">
              <w:rPr>
                <w:rFonts w:eastAsia="Arial"/>
                <w:b/>
                <w:color w:val="FFFFFF" w:themeColor="background1"/>
                <w:szCs w:val="22"/>
                <w:lang w:val="en-AU"/>
              </w:rPr>
              <w:t>Service group</w:t>
            </w:r>
          </w:p>
        </w:tc>
        <w:tc>
          <w:tcPr>
            <w:tcW w:w="2693" w:type="dxa"/>
            <w:shd w:val="clear" w:color="auto" w:fill="002060"/>
            <w:tcMar>
              <w:top w:w="60" w:type="dxa"/>
              <w:left w:w="135" w:type="dxa"/>
              <w:bottom w:w="60" w:type="dxa"/>
              <w:right w:w="135" w:type="dxa"/>
            </w:tcMar>
          </w:tcPr>
          <w:p w14:paraId="626322BD" w14:textId="77777777" w:rsidR="00005C08" w:rsidRPr="009F1B23" w:rsidRDefault="00005C08" w:rsidP="008E6691">
            <w:pPr>
              <w:spacing w:before="240" w:after="240" w:line="240" w:lineRule="auto"/>
              <w:rPr>
                <w:rFonts w:eastAsia="Arial"/>
                <w:color w:val="FFFFFF" w:themeColor="background1"/>
                <w:szCs w:val="22"/>
              </w:rPr>
            </w:pPr>
            <w:r w:rsidRPr="009F1B23">
              <w:rPr>
                <w:rFonts w:eastAsia="Arial"/>
                <w:b/>
                <w:color w:val="FFFFFF" w:themeColor="background1"/>
                <w:szCs w:val="22"/>
                <w:lang w:val="en-AU"/>
              </w:rPr>
              <w:t>Classification type</w:t>
            </w:r>
          </w:p>
        </w:tc>
        <w:tc>
          <w:tcPr>
            <w:tcW w:w="3905" w:type="dxa"/>
            <w:shd w:val="clear" w:color="auto" w:fill="002060"/>
            <w:tcMar>
              <w:top w:w="60" w:type="dxa"/>
              <w:left w:w="135" w:type="dxa"/>
              <w:bottom w:w="60" w:type="dxa"/>
              <w:right w:w="135" w:type="dxa"/>
            </w:tcMar>
          </w:tcPr>
          <w:p w14:paraId="1038A213" w14:textId="77777777" w:rsidR="00005C08" w:rsidRPr="009F1B23" w:rsidRDefault="00005C08" w:rsidP="008E6691">
            <w:pPr>
              <w:spacing w:before="240" w:after="240" w:line="240" w:lineRule="auto"/>
              <w:rPr>
                <w:rFonts w:eastAsia="Arial"/>
                <w:color w:val="FFFFFF" w:themeColor="background1"/>
                <w:szCs w:val="22"/>
              </w:rPr>
            </w:pPr>
            <w:r w:rsidRPr="009F1B23">
              <w:rPr>
                <w:rFonts w:eastAsia="Arial"/>
                <w:b/>
                <w:color w:val="FFFFFF" w:themeColor="background1"/>
                <w:szCs w:val="22"/>
                <w:lang w:val="en-AU"/>
              </w:rPr>
              <w:t>Classification level</w:t>
            </w:r>
            <w:r w:rsidRPr="009F1B23">
              <w:rPr>
                <w:szCs w:val="22"/>
              </w:rPr>
              <w:br/>
            </w:r>
          </w:p>
        </w:tc>
      </w:tr>
      <w:tr w:rsidR="00005C08" w:rsidRPr="003C5CD3" w14:paraId="1B1DB087" w14:textId="77777777" w:rsidTr="00012147">
        <w:trPr>
          <w:trHeight w:val="570"/>
        </w:trPr>
        <w:tc>
          <w:tcPr>
            <w:tcW w:w="2402" w:type="dxa"/>
          </w:tcPr>
          <w:p w14:paraId="30ECA174" w14:textId="77777777" w:rsidR="00AD177B" w:rsidRDefault="00005C08" w:rsidP="008E6691">
            <w:pPr>
              <w:spacing w:before="240" w:after="240" w:line="240" w:lineRule="auto"/>
              <w:rPr>
                <w:rFonts w:eastAsia="Arial"/>
                <w:bCs/>
                <w:szCs w:val="22"/>
                <w:lang w:val="en-AU"/>
              </w:rPr>
            </w:pPr>
            <w:r w:rsidRPr="003C5CD3">
              <w:rPr>
                <w:rFonts w:eastAsia="Arial"/>
                <w:bCs/>
                <w:szCs w:val="22"/>
                <w:lang w:val="en-AU"/>
              </w:rPr>
              <w:t xml:space="preserve">Home </w:t>
            </w:r>
          </w:p>
          <w:p w14:paraId="2C3ADF24" w14:textId="61C6B5C3" w:rsidR="00005C08" w:rsidRPr="003C5CD3" w:rsidRDefault="00005C08" w:rsidP="008E6691">
            <w:pPr>
              <w:spacing w:before="240" w:after="240" w:line="240" w:lineRule="auto"/>
              <w:rPr>
                <w:rFonts w:eastAsia="Arial"/>
                <w:bCs/>
                <w:szCs w:val="22"/>
              </w:rPr>
            </w:pPr>
            <w:r w:rsidRPr="003C5CD3">
              <w:rPr>
                <w:rFonts w:eastAsia="Arial"/>
                <w:bCs/>
                <w:szCs w:val="22"/>
                <w:lang w:val="en-AU"/>
              </w:rPr>
              <w:t>modifications</w:t>
            </w:r>
          </w:p>
        </w:tc>
        <w:tc>
          <w:tcPr>
            <w:tcW w:w="2693" w:type="dxa"/>
            <w:tcMar>
              <w:top w:w="60" w:type="dxa"/>
              <w:left w:w="135" w:type="dxa"/>
              <w:bottom w:w="60" w:type="dxa"/>
              <w:right w:w="135" w:type="dxa"/>
            </w:tcMar>
          </w:tcPr>
          <w:p w14:paraId="698F26B7"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Short-term</w:t>
            </w:r>
          </w:p>
        </w:tc>
        <w:tc>
          <w:tcPr>
            <w:tcW w:w="3905" w:type="dxa"/>
            <w:tcMar>
              <w:top w:w="60" w:type="dxa"/>
              <w:left w:w="135" w:type="dxa"/>
              <w:bottom w:w="60" w:type="dxa"/>
              <w:right w:w="135" w:type="dxa"/>
            </w:tcMar>
          </w:tcPr>
          <w:p w14:paraId="33CD34FD"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CHSP</w:t>
            </w:r>
          </w:p>
          <w:p w14:paraId="6276A713"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low</w:t>
            </w:r>
          </w:p>
          <w:p w14:paraId="7CF46395"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medium</w:t>
            </w:r>
          </w:p>
          <w:p w14:paraId="469D499C" w14:textId="77777777" w:rsidR="00005C08" w:rsidRPr="003C5CD3" w:rsidRDefault="00005C08" w:rsidP="008E6691">
            <w:pPr>
              <w:spacing w:before="240" w:after="240" w:line="240" w:lineRule="auto"/>
              <w:rPr>
                <w:rFonts w:eastAsia="Arial"/>
                <w:bCs/>
                <w:szCs w:val="22"/>
              </w:rPr>
            </w:pPr>
            <w:r w:rsidRPr="003C5CD3">
              <w:rPr>
                <w:rFonts w:eastAsia="Arial"/>
                <w:bCs/>
                <w:szCs w:val="22"/>
                <w:lang w:val="en-AU"/>
              </w:rPr>
              <w:t>HM high</w:t>
            </w:r>
          </w:p>
        </w:tc>
      </w:tr>
    </w:tbl>
    <w:p w14:paraId="5D09F020" w14:textId="795F7630" w:rsidR="00005C08" w:rsidRDefault="00005C08" w:rsidP="008E6691">
      <w:pPr>
        <w:spacing w:before="240" w:after="240" w:line="240" w:lineRule="auto"/>
        <w:rPr>
          <w:rFonts w:eastAsia="Arial"/>
          <w:color w:val="000000" w:themeColor="text1"/>
          <w:lang w:val="en-AU"/>
        </w:rPr>
      </w:pPr>
      <w:r w:rsidRPr="00E91824">
        <w:rPr>
          <w:rFonts w:eastAsia="Arial"/>
          <w:color w:val="000000" w:themeColor="text1"/>
          <w:lang w:val="en-AU"/>
        </w:rPr>
        <w:t>Note</w:t>
      </w:r>
      <w:r w:rsidR="003C5CD3">
        <w:rPr>
          <w:rFonts w:eastAsia="Arial"/>
          <w:color w:val="000000" w:themeColor="text1"/>
          <w:lang w:val="en-AU"/>
        </w:rPr>
        <w:t xml:space="preserve">: </w:t>
      </w:r>
      <w:r w:rsidRPr="00E91824">
        <w:rPr>
          <w:rFonts w:eastAsia="Arial"/>
          <w:color w:val="000000" w:themeColor="text1"/>
          <w:lang w:val="en-AU"/>
        </w:rPr>
        <w:t>classification levels are also referred to as ‘funding tiers’ in the Support at Home program.</w:t>
      </w:r>
    </w:p>
    <w:p w14:paraId="614DE798" w14:textId="030D33AD" w:rsidR="00005C08" w:rsidRPr="00EB67CD" w:rsidRDefault="00003B60" w:rsidP="008E6691">
      <w:pPr>
        <w:pStyle w:val="Caption"/>
        <w:spacing w:before="240" w:after="240"/>
        <w:rPr>
          <w:bCs/>
        </w:rPr>
      </w:pPr>
      <w:r w:rsidRPr="00EB67CD">
        <w:rPr>
          <w:bCs/>
        </w:rPr>
        <w:t xml:space="preserve">Table </w:t>
      </w:r>
      <w:r w:rsidR="00255855">
        <w:rPr>
          <w:bCs/>
        </w:rPr>
        <w:t>8</w:t>
      </w:r>
      <w:r w:rsidRPr="00EB67CD">
        <w:rPr>
          <w:bCs/>
        </w:rPr>
        <w:t xml:space="preserve">: </w:t>
      </w:r>
      <w:r w:rsidR="00005C08" w:rsidRPr="00EB67CD">
        <w:rPr>
          <w:bCs/>
        </w:rPr>
        <w:t>Service group: Residential care</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Residential Care classification types and classification levels"/>
        <w:tblDescription w:val="An overview of the possible combinations of classification type and classification level for the service group Residential Care "/>
      </w:tblPr>
      <w:tblGrid>
        <w:gridCol w:w="2355"/>
        <w:gridCol w:w="2700"/>
        <w:gridCol w:w="3945"/>
      </w:tblGrid>
      <w:tr w:rsidR="00005C08" w:rsidRPr="00E91824" w14:paraId="382E0D26" w14:textId="77777777" w:rsidTr="004E2C29">
        <w:trPr>
          <w:trHeight w:val="240"/>
        </w:trPr>
        <w:tc>
          <w:tcPr>
            <w:tcW w:w="2355" w:type="dxa"/>
            <w:shd w:val="clear" w:color="auto" w:fill="002060"/>
          </w:tcPr>
          <w:p w14:paraId="04BAA89C" w14:textId="77777777" w:rsidR="00005C08" w:rsidRPr="00E91824" w:rsidRDefault="00005C08" w:rsidP="008E6691">
            <w:pPr>
              <w:spacing w:before="240" w:after="240" w:line="240" w:lineRule="auto"/>
              <w:rPr>
                <w:rFonts w:eastAsia="Arial"/>
                <w:color w:val="FFFFFF" w:themeColor="background1"/>
              </w:rPr>
            </w:pPr>
            <w:r w:rsidRPr="00E91824">
              <w:rPr>
                <w:rFonts w:eastAsia="Arial"/>
                <w:b/>
                <w:color w:val="FFFFFF" w:themeColor="background1"/>
                <w:lang w:val="en-AU"/>
              </w:rPr>
              <w:t>Service group</w:t>
            </w:r>
          </w:p>
        </w:tc>
        <w:tc>
          <w:tcPr>
            <w:tcW w:w="2700" w:type="dxa"/>
            <w:shd w:val="clear" w:color="auto" w:fill="002060"/>
            <w:tcMar>
              <w:top w:w="60" w:type="dxa"/>
              <w:left w:w="135" w:type="dxa"/>
              <w:bottom w:w="60" w:type="dxa"/>
              <w:right w:w="135" w:type="dxa"/>
            </w:tcMar>
          </w:tcPr>
          <w:p w14:paraId="07E31BDA" w14:textId="77777777" w:rsidR="00005C08" w:rsidRPr="00E91824" w:rsidRDefault="00005C08" w:rsidP="008E6691">
            <w:pPr>
              <w:spacing w:before="240" w:after="240" w:line="240" w:lineRule="auto"/>
              <w:rPr>
                <w:rFonts w:eastAsia="Arial"/>
                <w:color w:val="FFFFFF" w:themeColor="background1"/>
              </w:rPr>
            </w:pPr>
            <w:r w:rsidRPr="00E91824">
              <w:rPr>
                <w:rFonts w:eastAsia="Arial"/>
                <w:b/>
                <w:color w:val="FFFFFF" w:themeColor="background1"/>
                <w:lang w:val="en-AU"/>
              </w:rPr>
              <w:t>Classification type</w:t>
            </w:r>
          </w:p>
        </w:tc>
        <w:tc>
          <w:tcPr>
            <w:tcW w:w="3945" w:type="dxa"/>
            <w:shd w:val="clear" w:color="auto" w:fill="002060"/>
            <w:tcMar>
              <w:top w:w="60" w:type="dxa"/>
              <w:left w:w="135" w:type="dxa"/>
              <w:bottom w:w="60" w:type="dxa"/>
              <w:right w:w="135" w:type="dxa"/>
            </w:tcMar>
          </w:tcPr>
          <w:p w14:paraId="2EB02FFF" w14:textId="77777777" w:rsidR="00005C08" w:rsidRPr="00E91824" w:rsidRDefault="00005C08" w:rsidP="008E6691">
            <w:pPr>
              <w:spacing w:before="240" w:after="240" w:line="240" w:lineRule="auto"/>
              <w:rPr>
                <w:rFonts w:eastAsia="Arial"/>
                <w:color w:val="FFFFFF" w:themeColor="background1"/>
              </w:rPr>
            </w:pPr>
            <w:r w:rsidRPr="00E91824">
              <w:rPr>
                <w:rFonts w:eastAsia="Arial"/>
                <w:b/>
                <w:color w:val="FFFFFF" w:themeColor="background1"/>
                <w:lang w:val="en-AU"/>
              </w:rPr>
              <w:t>Classification level</w:t>
            </w:r>
            <w:r w:rsidRPr="00E91824">
              <w:br/>
            </w:r>
          </w:p>
        </w:tc>
      </w:tr>
      <w:tr w:rsidR="00005C08" w:rsidRPr="007302A4" w14:paraId="734AA77C" w14:textId="77777777" w:rsidTr="003C5CD3">
        <w:trPr>
          <w:trHeight w:val="570"/>
        </w:trPr>
        <w:tc>
          <w:tcPr>
            <w:tcW w:w="2355" w:type="dxa"/>
          </w:tcPr>
          <w:p w14:paraId="59BB3788" w14:textId="77777777" w:rsidR="00005C08" w:rsidRPr="007302A4" w:rsidRDefault="00005C08" w:rsidP="008E6691">
            <w:pPr>
              <w:spacing w:before="240" w:after="240" w:line="240" w:lineRule="auto"/>
              <w:rPr>
                <w:rFonts w:eastAsia="Arial"/>
                <w:bCs/>
              </w:rPr>
            </w:pPr>
            <w:r w:rsidRPr="007302A4">
              <w:rPr>
                <w:rFonts w:eastAsia="Arial"/>
                <w:bCs/>
                <w:lang w:val="en-AU"/>
              </w:rPr>
              <w:t>Residential Care</w:t>
            </w:r>
          </w:p>
        </w:tc>
        <w:tc>
          <w:tcPr>
            <w:tcW w:w="2700" w:type="dxa"/>
            <w:tcMar>
              <w:top w:w="60" w:type="dxa"/>
              <w:left w:w="135" w:type="dxa"/>
              <w:bottom w:w="60" w:type="dxa"/>
              <w:right w:w="135" w:type="dxa"/>
            </w:tcMar>
          </w:tcPr>
          <w:p w14:paraId="7E4E363E" w14:textId="77777777" w:rsidR="00005C08" w:rsidRPr="007302A4" w:rsidRDefault="00005C08" w:rsidP="008E6691">
            <w:pPr>
              <w:spacing w:before="240" w:after="240" w:line="240" w:lineRule="auto"/>
              <w:rPr>
                <w:rFonts w:eastAsia="Arial"/>
                <w:bCs/>
              </w:rPr>
            </w:pPr>
            <w:r w:rsidRPr="007302A4">
              <w:rPr>
                <w:rFonts w:eastAsia="Arial"/>
                <w:bCs/>
                <w:lang w:val="en-AU"/>
              </w:rPr>
              <w:t>Ongoing</w:t>
            </w:r>
          </w:p>
        </w:tc>
        <w:tc>
          <w:tcPr>
            <w:tcW w:w="3945" w:type="dxa"/>
            <w:tcMar>
              <w:top w:w="60" w:type="dxa"/>
              <w:left w:w="135" w:type="dxa"/>
              <w:bottom w:w="60" w:type="dxa"/>
              <w:right w:w="135" w:type="dxa"/>
            </w:tcMar>
          </w:tcPr>
          <w:p w14:paraId="1983E090" w14:textId="7C41F8FF" w:rsidR="00005C08" w:rsidRPr="007302A4" w:rsidRDefault="00005C08" w:rsidP="008E6691">
            <w:pPr>
              <w:spacing w:before="240" w:after="240" w:line="240" w:lineRule="auto"/>
              <w:rPr>
                <w:rFonts w:eastAsia="Arial"/>
                <w:bCs/>
              </w:rPr>
            </w:pPr>
            <w:r w:rsidRPr="007302A4">
              <w:rPr>
                <w:rFonts w:eastAsia="Arial"/>
                <w:bCs/>
                <w:lang w:val="en-AU"/>
              </w:rPr>
              <w:t>Class 0</w:t>
            </w:r>
            <w:r w:rsidRPr="007302A4">
              <w:rPr>
                <w:bCs/>
              </w:rPr>
              <w:br/>
            </w:r>
            <w:r w:rsidRPr="007302A4">
              <w:rPr>
                <w:rFonts w:eastAsia="Arial"/>
                <w:bCs/>
                <w:lang w:val="en-AU"/>
              </w:rPr>
              <w:t>Class 1 to Class 13</w:t>
            </w:r>
          </w:p>
        </w:tc>
      </w:tr>
      <w:tr w:rsidR="00005C08" w:rsidRPr="007302A4" w14:paraId="26FD37CB" w14:textId="77777777" w:rsidTr="003C5CD3">
        <w:trPr>
          <w:trHeight w:val="570"/>
        </w:trPr>
        <w:tc>
          <w:tcPr>
            <w:tcW w:w="2355" w:type="dxa"/>
          </w:tcPr>
          <w:p w14:paraId="12084293" w14:textId="77777777" w:rsidR="00005C08" w:rsidRPr="007302A4" w:rsidRDefault="00005C08" w:rsidP="008E6691">
            <w:pPr>
              <w:spacing w:before="240" w:after="240" w:line="240" w:lineRule="auto"/>
              <w:rPr>
                <w:rFonts w:eastAsia="Arial"/>
                <w:bCs/>
              </w:rPr>
            </w:pPr>
          </w:p>
        </w:tc>
        <w:tc>
          <w:tcPr>
            <w:tcW w:w="2700" w:type="dxa"/>
            <w:tcMar>
              <w:top w:w="60" w:type="dxa"/>
              <w:left w:w="135" w:type="dxa"/>
              <w:bottom w:w="60" w:type="dxa"/>
              <w:right w:w="135" w:type="dxa"/>
            </w:tcMar>
          </w:tcPr>
          <w:p w14:paraId="61EEC510" w14:textId="77777777" w:rsidR="00005C08" w:rsidRPr="007302A4" w:rsidRDefault="00005C08" w:rsidP="008E6691">
            <w:pPr>
              <w:spacing w:before="240" w:after="240" w:line="240" w:lineRule="auto"/>
              <w:rPr>
                <w:rFonts w:eastAsia="Arial"/>
                <w:bCs/>
              </w:rPr>
            </w:pPr>
            <w:r w:rsidRPr="007302A4">
              <w:rPr>
                <w:rFonts w:eastAsia="Arial"/>
                <w:bCs/>
                <w:lang w:val="en-AU"/>
              </w:rPr>
              <w:t>Short-term</w:t>
            </w:r>
          </w:p>
        </w:tc>
        <w:tc>
          <w:tcPr>
            <w:tcW w:w="3945" w:type="dxa"/>
            <w:tcMar>
              <w:top w:w="60" w:type="dxa"/>
              <w:left w:w="135" w:type="dxa"/>
              <w:bottom w:w="60" w:type="dxa"/>
              <w:right w:w="135" w:type="dxa"/>
            </w:tcMar>
          </w:tcPr>
          <w:p w14:paraId="200AD17A" w14:textId="77777777" w:rsidR="00005C08" w:rsidRPr="007302A4" w:rsidRDefault="00005C08" w:rsidP="008E6691">
            <w:pPr>
              <w:spacing w:before="240" w:after="240" w:line="240" w:lineRule="auto"/>
              <w:rPr>
                <w:rFonts w:eastAsia="Arial"/>
                <w:bCs/>
              </w:rPr>
            </w:pPr>
            <w:r w:rsidRPr="007302A4">
              <w:rPr>
                <w:rFonts w:eastAsia="Arial"/>
                <w:bCs/>
                <w:lang w:val="en-AU"/>
              </w:rPr>
              <w:t>Class 0</w:t>
            </w:r>
          </w:p>
          <w:p w14:paraId="5A1306EA" w14:textId="3E5BCE4B" w:rsidR="00005C08" w:rsidRPr="007302A4" w:rsidRDefault="00005C08" w:rsidP="008E6691">
            <w:pPr>
              <w:spacing w:before="240" w:after="240" w:line="240" w:lineRule="auto"/>
              <w:rPr>
                <w:rFonts w:eastAsia="Arial"/>
                <w:bCs/>
              </w:rPr>
            </w:pPr>
            <w:r w:rsidRPr="007302A4">
              <w:rPr>
                <w:rFonts w:eastAsia="Arial"/>
                <w:bCs/>
                <w:lang w:val="en-AU"/>
              </w:rPr>
              <w:t xml:space="preserve">Respite class 1 </w:t>
            </w:r>
            <w:r w:rsidR="00574FE5">
              <w:rPr>
                <w:rFonts w:eastAsia="Arial"/>
                <w:bCs/>
                <w:lang w:val="en-AU"/>
              </w:rPr>
              <w:t>(101), Respite class 2 (102)</w:t>
            </w:r>
            <w:r w:rsidRPr="007302A4">
              <w:rPr>
                <w:rFonts w:eastAsia="Arial"/>
                <w:bCs/>
                <w:lang w:val="en-AU"/>
              </w:rPr>
              <w:t xml:space="preserve"> </w:t>
            </w:r>
            <w:r w:rsidR="00574FE5">
              <w:rPr>
                <w:rFonts w:eastAsia="Arial"/>
                <w:bCs/>
                <w:lang w:val="en-AU"/>
              </w:rPr>
              <w:t>and</w:t>
            </w:r>
            <w:r w:rsidRPr="007302A4">
              <w:rPr>
                <w:rFonts w:eastAsia="Arial"/>
                <w:bCs/>
                <w:lang w:val="en-AU"/>
              </w:rPr>
              <w:t xml:space="preserve"> Respite class 3</w:t>
            </w:r>
            <w:r w:rsidR="00574FE5">
              <w:rPr>
                <w:rFonts w:eastAsia="Arial"/>
                <w:bCs/>
                <w:lang w:val="en-AU"/>
              </w:rPr>
              <w:t xml:space="preserve"> (103)</w:t>
            </w:r>
          </w:p>
        </w:tc>
      </w:tr>
      <w:tr w:rsidR="00005C08" w:rsidRPr="007302A4" w14:paraId="5B105A54" w14:textId="77777777" w:rsidTr="003C5CD3">
        <w:trPr>
          <w:trHeight w:val="570"/>
        </w:trPr>
        <w:tc>
          <w:tcPr>
            <w:tcW w:w="2355" w:type="dxa"/>
          </w:tcPr>
          <w:p w14:paraId="5B523917" w14:textId="77777777" w:rsidR="00005C08" w:rsidRPr="007302A4" w:rsidRDefault="00005C08" w:rsidP="008E6691">
            <w:pPr>
              <w:spacing w:before="240" w:after="240" w:line="240" w:lineRule="auto"/>
              <w:rPr>
                <w:rFonts w:eastAsia="Arial"/>
                <w:bCs/>
              </w:rPr>
            </w:pPr>
          </w:p>
        </w:tc>
        <w:tc>
          <w:tcPr>
            <w:tcW w:w="2700" w:type="dxa"/>
            <w:tcMar>
              <w:top w:w="60" w:type="dxa"/>
              <w:left w:w="135" w:type="dxa"/>
              <w:bottom w:w="60" w:type="dxa"/>
              <w:right w:w="135" w:type="dxa"/>
            </w:tcMar>
          </w:tcPr>
          <w:p w14:paraId="7C651918" w14:textId="77777777" w:rsidR="00005C08" w:rsidRPr="007302A4" w:rsidRDefault="00005C08" w:rsidP="008E6691">
            <w:pPr>
              <w:spacing w:before="240" w:after="240" w:line="240" w:lineRule="auto"/>
              <w:rPr>
                <w:rFonts w:eastAsia="Arial"/>
                <w:bCs/>
              </w:rPr>
            </w:pPr>
            <w:r w:rsidRPr="007302A4">
              <w:rPr>
                <w:rFonts w:eastAsia="Arial"/>
                <w:bCs/>
                <w:lang w:val="en-AU"/>
              </w:rPr>
              <w:t>Hospital transition</w:t>
            </w:r>
          </w:p>
        </w:tc>
        <w:tc>
          <w:tcPr>
            <w:tcW w:w="3945" w:type="dxa"/>
            <w:tcMar>
              <w:top w:w="60" w:type="dxa"/>
              <w:left w:w="135" w:type="dxa"/>
              <w:bottom w:w="60" w:type="dxa"/>
              <w:right w:w="135" w:type="dxa"/>
            </w:tcMar>
          </w:tcPr>
          <w:p w14:paraId="4D80A395" w14:textId="1404EAB8" w:rsidR="00005C08" w:rsidRPr="007302A4" w:rsidRDefault="00005C08" w:rsidP="008E6691">
            <w:pPr>
              <w:spacing w:before="240" w:after="240" w:line="240" w:lineRule="auto"/>
              <w:rPr>
                <w:rFonts w:eastAsia="Arial"/>
                <w:bCs/>
              </w:rPr>
            </w:pPr>
            <w:r w:rsidRPr="007302A4">
              <w:rPr>
                <w:rFonts w:eastAsia="Arial"/>
                <w:bCs/>
                <w:lang w:val="en-AU"/>
              </w:rPr>
              <w:t>RC HT class</w:t>
            </w:r>
          </w:p>
        </w:tc>
      </w:tr>
    </w:tbl>
    <w:p w14:paraId="1D662222" w14:textId="37F05DCE" w:rsidR="00005C08" w:rsidRDefault="00005C08" w:rsidP="008E6691">
      <w:pPr>
        <w:spacing w:before="240" w:after="240" w:line="240" w:lineRule="auto"/>
        <w:rPr>
          <w:rFonts w:eastAsia="Arial"/>
          <w:color w:val="000000" w:themeColor="text1"/>
          <w:lang w:val="en-AU"/>
        </w:rPr>
      </w:pPr>
      <w:r w:rsidRPr="00E91824">
        <w:rPr>
          <w:rFonts w:eastAsia="Arial"/>
          <w:color w:val="000000" w:themeColor="text1"/>
          <w:lang w:val="en-AU"/>
        </w:rPr>
        <w:t>Note</w:t>
      </w:r>
      <w:r w:rsidR="003C5CD3">
        <w:rPr>
          <w:rFonts w:eastAsia="Arial"/>
          <w:color w:val="000000" w:themeColor="text1"/>
          <w:lang w:val="en-AU"/>
        </w:rPr>
        <w:t xml:space="preserve">: </w:t>
      </w:r>
      <w:r w:rsidRPr="00E91824">
        <w:rPr>
          <w:rFonts w:eastAsia="Arial"/>
          <w:color w:val="000000" w:themeColor="text1"/>
          <w:lang w:val="en-AU"/>
        </w:rPr>
        <w:t>‘Class 0’ is a default classification applied before the client has been assessed for their classification level.</w:t>
      </w:r>
    </w:p>
    <w:p w14:paraId="707477A6" w14:textId="08079364" w:rsidR="00005C08" w:rsidRPr="00CE13DD" w:rsidRDefault="00005C08" w:rsidP="00507F9D">
      <w:pPr>
        <w:pStyle w:val="h2"/>
      </w:pPr>
      <w:bookmarkStart w:id="85" w:name="_Toc209188943"/>
      <w:bookmarkStart w:id="86" w:name="_Toc224916610"/>
      <w:r w:rsidRPr="00CE13DD">
        <w:t>Deciding if the older person requires aged care services</w:t>
      </w:r>
      <w:bookmarkEnd w:id="85"/>
      <w:bookmarkEnd w:id="86"/>
      <w:r w:rsidRPr="00CE13DD">
        <w:t> </w:t>
      </w:r>
    </w:p>
    <w:p w14:paraId="3F1F0EEB" w14:textId="17CA3796" w:rsidR="00005C08" w:rsidRPr="00CE13DD" w:rsidRDefault="00AE29FA" w:rsidP="008E6691">
      <w:pPr>
        <w:spacing w:before="240" w:after="240" w:line="240" w:lineRule="auto"/>
        <w:rPr>
          <w:lang w:val="en-AU"/>
        </w:rPr>
      </w:pPr>
      <w:r>
        <w:rPr>
          <w:lang w:val="en-AU"/>
        </w:rPr>
        <w:t xml:space="preserve">After an individual has been determined as eligible for </w:t>
      </w:r>
      <w:r w:rsidR="00867F1E">
        <w:rPr>
          <w:lang w:val="en-AU"/>
        </w:rPr>
        <w:t xml:space="preserve">an </w:t>
      </w:r>
      <w:r>
        <w:rPr>
          <w:lang w:val="en-AU"/>
        </w:rPr>
        <w:t xml:space="preserve">aged care </w:t>
      </w:r>
      <w:r w:rsidR="00867F1E">
        <w:rPr>
          <w:lang w:val="en-AU"/>
        </w:rPr>
        <w:t>needs assessment</w:t>
      </w:r>
      <w:r>
        <w:rPr>
          <w:lang w:val="en-AU"/>
        </w:rPr>
        <w:t>, a</w:t>
      </w:r>
      <w:r w:rsidR="002613A0">
        <w:rPr>
          <w:lang w:val="en-AU"/>
        </w:rPr>
        <w:t xml:space="preserve">n </w:t>
      </w:r>
      <w:r w:rsidR="001839E9">
        <w:rPr>
          <w:lang w:val="en-AU"/>
        </w:rPr>
        <w:t>assessment delegate</w:t>
      </w:r>
      <w:r w:rsidR="002613A0" w:rsidRPr="00CE13DD">
        <w:rPr>
          <w:lang w:val="en-AU"/>
        </w:rPr>
        <w:t xml:space="preserve"> </w:t>
      </w:r>
      <w:r w:rsidR="003B6531">
        <w:rPr>
          <w:lang w:val="en-AU"/>
        </w:rPr>
        <w:t xml:space="preserve"> </w:t>
      </w:r>
      <w:r w:rsidR="00005C08" w:rsidRPr="00CE13DD">
        <w:rPr>
          <w:lang w:val="en-AU"/>
        </w:rPr>
        <w:t>determine</w:t>
      </w:r>
      <w:r w:rsidR="002925BC">
        <w:rPr>
          <w:lang w:val="en-AU"/>
        </w:rPr>
        <w:t>s</w:t>
      </w:r>
      <w:r w:rsidR="00005C08" w:rsidRPr="00CE13DD">
        <w:rPr>
          <w:lang w:val="en-AU"/>
        </w:rPr>
        <w:t xml:space="preserve"> whether the</w:t>
      </w:r>
      <w:r w:rsidR="002925BC">
        <w:rPr>
          <w:lang w:val="en-AU"/>
        </w:rPr>
        <w:t xml:space="preserve"> assessed</w:t>
      </w:r>
      <w:r w:rsidR="00005C08" w:rsidRPr="00CE13DD">
        <w:rPr>
          <w:lang w:val="en-AU"/>
        </w:rPr>
        <w:t xml:space="preserve"> individual requires access to funded aged care services, and which service groups, and in some cases service types and services they require. This requirement is set out in </w:t>
      </w:r>
      <w:r w:rsidR="00005C08">
        <w:rPr>
          <w:lang w:val="en-AU"/>
        </w:rPr>
        <w:t>sub</w:t>
      </w:r>
      <w:r w:rsidR="00005C08" w:rsidRPr="00CE13DD">
        <w:rPr>
          <w:lang w:val="en-AU"/>
        </w:rPr>
        <w:t>section 65(2) of the Act. </w:t>
      </w:r>
    </w:p>
    <w:p w14:paraId="258C31B4" w14:textId="77777777" w:rsidR="00005C08" w:rsidRPr="00CE13DD" w:rsidRDefault="00005C08" w:rsidP="008E6691">
      <w:pPr>
        <w:spacing w:before="240" w:after="240" w:line="240" w:lineRule="auto"/>
        <w:rPr>
          <w:lang w:val="en-AU"/>
        </w:rPr>
      </w:pPr>
      <w:r w:rsidRPr="00CE13DD">
        <w:rPr>
          <w:lang w:val="en-AU"/>
        </w:rPr>
        <w:t>This decision is made based on: </w:t>
      </w:r>
    </w:p>
    <w:p w14:paraId="0E5B8230" w14:textId="77777777" w:rsidR="00005C08" w:rsidRPr="00BE1874" w:rsidRDefault="00005C08" w:rsidP="008E6691">
      <w:pPr>
        <w:numPr>
          <w:ilvl w:val="0"/>
          <w:numId w:val="9"/>
        </w:numPr>
        <w:spacing w:before="240" w:after="240" w:line="240" w:lineRule="auto"/>
        <w:rPr>
          <w:szCs w:val="22"/>
          <w:lang w:val="en-AU"/>
        </w:rPr>
      </w:pPr>
      <w:r w:rsidRPr="00BE1874">
        <w:rPr>
          <w:szCs w:val="22"/>
          <w:lang w:val="en-AU"/>
        </w:rPr>
        <w:t>An assessment report (referred to in practice as the Support Plan),  </w:t>
      </w:r>
    </w:p>
    <w:p w14:paraId="679E1CF7" w14:textId="69C22D97" w:rsidR="00005C08" w:rsidRPr="007C1438" w:rsidRDefault="00005C08" w:rsidP="008E6691">
      <w:pPr>
        <w:numPr>
          <w:ilvl w:val="0"/>
          <w:numId w:val="10"/>
        </w:numPr>
        <w:spacing w:before="240" w:after="240" w:line="240" w:lineRule="auto"/>
        <w:rPr>
          <w:szCs w:val="22"/>
          <w:lang w:val="en-AU"/>
        </w:rPr>
      </w:pPr>
      <w:r w:rsidRPr="007C1438">
        <w:rPr>
          <w:szCs w:val="22"/>
          <w:lang w:val="en-AU"/>
        </w:rPr>
        <w:t>In the case of reassessments in accordance with subparagraph 64(1)(c)(ii) of the Act, any relevant information relating to the individual provided. </w:t>
      </w:r>
    </w:p>
    <w:p w14:paraId="37CA0C0B" w14:textId="358C890B" w:rsidR="00005C08" w:rsidRPr="00BE1874" w:rsidRDefault="00005C08" w:rsidP="008E6691">
      <w:pPr>
        <w:spacing w:before="240" w:after="240" w:line="240" w:lineRule="auto"/>
        <w:rPr>
          <w:szCs w:val="22"/>
          <w:lang w:val="en-AU"/>
        </w:rPr>
      </w:pPr>
      <w:r w:rsidRPr="00BE1874">
        <w:rPr>
          <w:szCs w:val="22"/>
          <w:lang w:val="en-AU"/>
        </w:rPr>
        <w:t xml:space="preserve">The table below summarises the sections of the Act that relate to eligibility for access to services. These sections of the Act, and how they apply to </w:t>
      </w:r>
      <w:r w:rsidR="00810064">
        <w:rPr>
          <w:szCs w:val="22"/>
          <w:lang w:val="en-AU"/>
        </w:rPr>
        <w:t xml:space="preserve">an </w:t>
      </w:r>
      <w:r w:rsidR="00062DD7">
        <w:rPr>
          <w:szCs w:val="22"/>
          <w:lang w:val="en-AU"/>
        </w:rPr>
        <w:t>A</w:t>
      </w:r>
      <w:r w:rsidR="00810064">
        <w:rPr>
          <w:szCs w:val="22"/>
          <w:lang w:val="en-AU"/>
        </w:rPr>
        <w:t xml:space="preserve">ssessment </w:t>
      </w:r>
      <w:r w:rsidR="00062DD7">
        <w:rPr>
          <w:szCs w:val="22"/>
          <w:lang w:val="en-AU"/>
        </w:rPr>
        <w:t>D</w:t>
      </w:r>
      <w:r w:rsidR="00810064">
        <w:rPr>
          <w:szCs w:val="22"/>
          <w:lang w:val="en-AU"/>
        </w:rPr>
        <w:t>elegate’s</w:t>
      </w:r>
      <w:r w:rsidRPr="00BE1874">
        <w:rPr>
          <w:szCs w:val="22"/>
          <w:lang w:val="en-AU"/>
        </w:rPr>
        <w:t xml:space="preserve"> decision-making, are explained in detail </w:t>
      </w:r>
      <w:r w:rsidR="00E21E26">
        <w:rPr>
          <w:szCs w:val="22"/>
          <w:lang w:val="en-AU"/>
        </w:rPr>
        <w:t>in Chapter</w:t>
      </w:r>
      <w:r w:rsidR="00E2019E">
        <w:rPr>
          <w:szCs w:val="22"/>
          <w:lang w:val="en-AU"/>
        </w:rPr>
        <w:t>s</w:t>
      </w:r>
      <w:r w:rsidR="00E21E26">
        <w:rPr>
          <w:szCs w:val="22"/>
          <w:lang w:val="en-AU"/>
        </w:rPr>
        <w:t xml:space="preserve"> </w:t>
      </w:r>
      <w:r w:rsidR="00607E72">
        <w:rPr>
          <w:szCs w:val="22"/>
          <w:lang w:val="en-AU"/>
        </w:rPr>
        <w:fldChar w:fldCharType="begin"/>
      </w:r>
      <w:r w:rsidR="00607E72">
        <w:rPr>
          <w:szCs w:val="22"/>
          <w:lang w:val="en-AU"/>
        </w:rPr>
        <w:instrText xml:space="preserve"> REF _Ref212733238 \r \h </w:instrText>
      </w:r>
      <w:r w:rsidR="00607E72">
        <w:rPr>
          <w:szCs w:val="22"/>
          <w:lang w:val="en-AU"/>
        </w:rPr>
      </w:r>
      <w:r w:rsidR="00607E72">
        <w:rPr>
          <w:szCs w:val="22"/>
          <w:lang w:val="en-AU"/>
        </w:rPr>
        <w:fldChar w:fldCharType="separate"/>
      </w:r>
      <w:r w:rsidR="00F97942">
        <w:rPr>
          <w:szCs w:val="22"/>
          <w:lang w:val="en-AU"/>
        </w:rPr>
        <w:t>7</w:t>
      </w:r>
      <w:r w:rsidR="00607E72">
        <w:rPr>
          <w:szCs w:val="22"/>
          <w:lang w:val="en-AU"/>
        </w:rPr>
        <w:fldChar w:fldCharType="end"/>
      </w:r>
      <w:r w:rsidR="00E2019E">
        <w:rPr>
          <w:szCs w:val="22"/>
          <w:lang w:val="en-AU"/>
        </w:rPr>
        <w:t xml:space="preserve"> and </w:t>
      </w:r>
      <w:r w:rsidR="00607E72">
        <w:rPr>
          <w:szCs w:val="22"/>
          <w:lang w:val="en-AU"/>
        </w:rPr>
        <w:fldChar w:fldCharType="begin"/>
      </w:r>
      <w:r w:rsidR="00607E72">
        <w:rPr>
          <w:szCs w:val="22"/>
          <w:lang w:val="en-AU"/>
        </w:rPr>
        <w:instrText xml:space="preserve"> REF _Ref212733349 \r \h </w:instrText>
      </w:r>
      <w:r w:rsidR="00607E72">
        <w:rPr>
          <w:szCs w:val="22"/>
          <w:lang w:val="en-AU"/>
        </w:rPr>
      </w:r>
      <w:r w:rsidR="00607E72">
        <w:rPr>
          <w:szCs w:val="22"/>
          <w:lang w:val="en-AU"/>
        </w:rPr>
        <w:fldChar w:fldCharType="separate"/>
      </w:r>
      <w:r w:rsidR="00F97942">
        <w:rPr>
          <w:szCs w:val="22"/>
          <w:lang w:val="en-AU"/>
        </w:rPr>
        <w:t>8</w:t>
      </w:r>
      <w:r w:rsidR="00607E72">
        <w:rPr>
          <w:szCs w:val="22"/>
          <w:lang w:val="en-AU"/>
        </w:rPr>
        <w:fldChar w:fldCharType="end"/>
      </w:r>
      <w:r w:rsidRPr="00BE1874">
        <w:rPr>
          <w:szCs w:val="22"/>
          <w:lang w:val="en-AU"/>
        </w:rPr>
        <w:t>. </w:t>
      </w:r>
    </w:p>
    <w:p w14:paraId="5D3CD371" w14:textId="1E9BD6D3" w:rsidR="00005C08" w:rsidRPr="00EB67CD" w:rsidRDefault="00005C08" w:rsidP="008E6691">
      <w:pPr>
        <w:pStyle w:val="Caption"/>
        <w:spacing w:before="240" w:after="240"/>
        <w:rPr>
          <w:bCs/>
          <w:lang w:val="en-AU"/>
        </w:rPr>
      </w:pPr>
      <w:r w:rsidRPr="002D1934">
        <w:rPr>
          <w:lang w:val="en-AU"/>
        </w:rPr>
        <w:t> </w:t>
      </w:r>
      <w:r w:rsidR="003F1827" w:rsidRPr="00EB67CD">
        <w:rPr>
          <w:bCs/>
          <w:lang w:val="en-AU"/>
        </w:rPr>
        <w:t xml:space="preserve">Table </w:t>
      </w:r>
      <w:r w:rsidR="00AA707E">
        <w:rPr>
          <w:bCs/>
          <w:lang w:val="en-AU"/>
        </w:rPr>
        <w:t>9</w:t>
      </w:r>
      <w:r w:rsidR="003F1827" w:rsidRPr="00EB67CD">
        <w:rPr>
          <w:bCs/>
          <w:lang w:val="en-AU"/>
        </w:rPr>
        <w:t xml:space="preserve">: </w:t>
      </w:r>
      <w:r w:rsidR="002D1934" w:rsidRPr="00EB67CD">
        <w:rPr>
          <w:bCs/>
          <w:szCs w:val="22"/>
          <w:lang w:val="en-AU"/>
        </w:rPr>
        <w:t>Approval to access funded aged care services under section 65</w:t>
      </w:r>
      <w:r w:rsidR="002D1934" w:rsidRPr="00EB67CD">
        <w:rPr>
          <w:bCs/>
          <w:lang w:val="en-AU"/>
        </w:rPr>
        <w:t> </w:t>
      </w:r>
    </w:p>
    <w:tbl>
      <w:tblPr>
        <w:tblW w:w="955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Approval to access funded aged care services under section 65 of the Aged Care Act 2024"/>
        <w:tblDescription w:val="Overview of sections of the Aged Care Act 2024 which relate to eligibility for access to services "/>
      </w:tblPr>
      <w:tblGrid>
        <w:gridCol w:w="937"/>
        <w:gridCol w:w="2221"/>
        <w:gridCol w:w="1968"/>
        <w:gridCol w:w="1793"/>
        <w:gridCol w:w="2618"/>
        <w:gridCol w:w="14"/>
        <w:gridCol w:w="6"/>
      </w:tblGrid>
      <w:tr w:rsidR="002D1934" w:rsidRPr="002D1934" w14:paraId="340D3DC1" w14:textId="77777777" w:rsidTr="00662566">
        <w:trPr>
          <w:gridAfter w:val="1"/>
          <w:trHeight w:val="300"/>
          <w:tblHeader/>
        </w:trPr>
        <w:tc>
          <w:tcPr>
            <w:tcW w:w="937" w:type="dxa"/>
            <w:shd w:val="clear" w:color="auto" w:fill="002060"/>
            <w:hideMark/>
          </w:tcPr>
          <w:p w14:paraId="7C1BA011" w14:textId="77777777" w:rsidR="00005C08" w:rsidRPr="00C77A6C" w:rsidRDefault="00005C08" w:rsidP="00EA4CD9">
            <w:pPr>
              <w:spacing w:before="240" w:after="240" w:line="240" w:lineRule="auto"/>
              <w:ind w:left="57"/>
              <w:rPr>
                <w:b/>
                <w:color w:val="FFFFFF" w:themeColor="background1"/>
                <w:szCs w:val="22"/>
                <w:lang w:val="en-AU"/>
              </w:rPr>
            </w:pPr>
            <w:r w:rsidRPr="00C77A6C">
              <w:rPr>
                <w:b/>
                <w:color w:val="FFFFFF" w:themeColor="background1"/>
                <w:szCs w:val="22"/>
                <w:lang w:val="en-AU"/>
              </w:rPr>
              <w:t>Section of the Act </w:t>
            </w:r>
          </w:p>
        </w:tc>
        <w:tc>
          <w:tcPr>
            <w:tcW w:w="2221" w:type="dxa"/>
            <w:shd w:val="clear" w:color="auto" w:fill="002060"/>
            <w:hideMark/>
          </w:tcPr>
          <w:p w14:paraId="4AD8B49F" w14:textId="73140550" w:rsidR="00005C08" w:rsidRPr="002D1934" w:rsidRDefault="00B70F5C" w:rsidP="008E6691">
            <w:pPr>
              <w:spacing w:before="240" w:after="240" w:line="240" w:lineRule="auto"/>
              <w:rPr>
                <w:color w:val="FFFFFF" w:themeColor="background1"/>
                <w:szCs w:val="22"/>
                <w:lang w:val="en-AU"/>
              </w:rPr>
            </w:pPr>
            <w:r w:rsidRPr="002D1934">
              <w:rPr>
                <w:b/>
                <w:color w:val="FFFFFF" w:themeColor="background1"/>
                <w:szCs w:val="22"/>
                <w:lang w:val="en-AU"/>
              </w:rPr>
              <w:t xml:space="preserve"> </w:t>
            </w:r>
            <w:r w:rsidR="00005C08" w:rsidRPr="002D1934">
              <w:rPr>
                <w:b/>
                <w:color w:val="FFFFFF" w:themeColor="background1"/>
                <w:szCs w:val="22"/>
                <w:lang w:val="en-AU"/>
              </w:rPr>
              <w:t>Criteria</w:t>
            </w:r>
            <w:r w:rsidR="00005C08" w:rsidRPr="002D1934">
              <w:rPr>
                <w:color w:val="FFFFFF" w:themeColor="background1"/>
                <w:szCs w:val="22"/>
                <w:lang w:val="en-AU"/>
              </w:rPr>
              <w:t> </w:t>
            </w:r>
          </w:p>
        </w:tc>
        <w:tc>
          <w:tcPr>
            <w:tcW w:w="1968" w:type="dxa"/>
            <w:shd w:val="clear" w:color="auto" w:fill="002060"/>
            <w:hideMark/>
          </w:tcPr>
          <w:p w14:paraId="769608C2" w14:textId="77777777" w:rsidR="00005C08" w:rsidRPr="002D1934" w:rsidRDefault="00005C08" w:rsidP="008E6691">
            <w:pPr>
              <w:spacing w:before="240" w:after="240" w:line="240" w:lineRule="auto"/>
              <w:ind w:firstLine="7"/>
              <w:rPr>
                <w:color w:val="FFFFFF" w:themeColor="background1"/>
                <w:szCs w:val="22"/>
                <w:lang w:val="en-AU"/>
              </w:rPr>
            </w:pPr>
            <w:r w:rsidRPr="002D1934">
              <w:rPr>
                <w:b/>
                <w:color w:val="FFFFFF" w:themeColor="background1"/>
                <w:szCs w:val="22"/>
                <w:lang w:val="en-AU"/>
              </w:rPr>
              <w:t>Available Service Group/s</w:t>
            </w:r>
            <w:r w:rsidRPr="002D1934">
              <w:rPr>
                <w:color w:val="FFFFFF" w:themeColor="background1"/>
                <w:szCs w:val="22"/>
                <w:lang w:val="en-AU"/>
              </w:rPr>
              <w:t> </w:t>
            </w:r>
          </w:p>
        </w:tc>
        <w:tc>
          <w:tcPr>
            <w:tcW w:w="1793" w:type="dxa"/>
            <w:shd w:val="clear" w:color="auto" w:fill="002060"/>
            <w:hideMark/>
          </w:tcPr>
          <w:p w14:paraId="74DAE1E0" w14:textId="77777777" w:rsidR="00005C08" w:rsidRPr="002D1934" w:rsidRDefault="00005C08" w:rsidP="008E6691">
            <w:pPr>
              <w:spacing w:before="240" w:after="240" w:line="240" w:lineRule="auto"/>
              <w:rPr>
                <w:color w:val="FFFFFF" w:themeColor="background1"/>
                <w:szCs w:val="22"/>
                <w:lang w:val="en-AU"/>
              </w:rPr>
            </w:pPr>
            <w:r w:rsidRPr="002D1934">
              <w:rPr>
                <w:b/>
                <w:color w:val="FFFFFF" w:themeColor="background1"/>
                <w:szCs w:val="22"/>
                <w:lang w:val="en-AU"/>
              </w:rPr>
              <w:t>Available classification type/s</w:t>
            </w:r>
            <w:r w:rsidRPr="002D1934">
              <w:rPr>
                <w:color w:val="FFFFFF" w:themeColor="background1"/>
                <w:szCs w:val="22"/>
                <w:lang w:val="en-AU"/>
              </w:rPr>
              <w:t> </w:t>
            </w:r>
          </w:p>
        </w:tc>
        <w:tc>
          <w:tcPr>
            <w:tcW w:w="2618" w:type="dxa"/>
            <w:shd w:val="clear" w:color="auto" w:fill="002060"/>
            <w:hideMark/>
          </w:tcPr>
          <w:p w14:paraId="0C1841B1" w14:textId="77777777" w:rsidR="00005C08" w:rsidRPr="002D1934" w:rsidRDefault="00005C08" w:rsidP="008E6691">
            <w:pPr>
              <w:spacing w:before="240" w:after="240" w:line="240" w:lineRule="auto"/>
              <w:rPr>
                <w:color w:val="FFFFFF" w:themeColor="background1"/>
                <w:szCs w:val="22"/>
                <w:lang w:val="en-AU"/>
              </w:rPr>
            </w:pPr>
            <w:r w:rsidRPr="002D1934">
              <w:rPr>
                <w:b/>
                <w:color w:val="FFFFFF" w:themeColor="background1"/>
                <w:szCs w:val="22"/>
                <w:lang w:val="en-AU"/>
              </w:rPr>
              <w:t>Relevant program/s</w:t>
            </w:r>
            <w:r w:rsidRPr="002D1934">
              <w:rPr>
                <w:color w:val="FFFFFF" w:themeColor="background1"/>
                <w:szCs w:val="22"/>
                <w:lang w:val="en-AU"/>
              </w:rPr>
              <w:t> </w:t>
            </w:r>
          </w:p>
        </w:tc>
        <w:tc>
          <w:tcPr>
            <w:tcW w:w="0" w:type="auto"/>
            <w:shd w:val="clear" w:color="auto" w:fill="3F4A75"/>
            <w:vAlign w:val="center"/>
            <w:hideMark/>
          </w:tcPr>
          <w:p w14:paraId="199CEBC2" w14:textId="77777777" w:rsidR="00005C08" w:rsidRPr="002D1934" w:rsidRDefault="00005C08" w:rsidP="008E6691">
            <w:pPr>
              <w:spacing w:before="240" w:after="240" w:line="240" w:lineRule="auto"/>
              <w:rPr>
                <w:color w:val="FFFFFF" w:themeColor="background1"/>
                <w:szCs w:val="22"/>
                <w:lang w:val="en-AU"/>
              </w:rPr>
            </w:pPr>
          </w:p>
        </w:tc>
      </w:tr>
      <w:tr w:rsidR="00005C08" w:rsidRPr="00A350A8" w14:paraId="0534DC2E" w14:textId="77777777" w:rsidTr="00662566">
        <w:trPr>
          <w:trHeight w:val="300"/>
        </w:trPr>
        <w:tc>
          <w:tcPr>
            <w:tcW w:w="937" w:type="dxa"/>
            <w:shd w:val="clear" w:color="auto" w:fill="002060"/>
            <w:hideMark/>
          </w:tcPr>
          <w:p w14:paraId="7B06EB81" w14:textId="77777777" w:rsidR="00005C08" w:rsidRPr="00C77A6C" w:rsidRDefault="00005C08" w:rsidP="00EA4CD9">
            <w:pPr>
              <w:spacing w:before="240" w:after="240" w:line="240" w:lineRule="auto"/>
              <w:ind w:left="57"/>
              <w:rPr>
                <w:b/>
                <w:szCs w:val="22"/>
                <w:lang w:val="en-AU"/>
              </w:rPr>
            </w:pPr>
            <w:r w:rsidRPr="00C77A6C">
              <w:rPr>
                <w:b/>
                <w:szCs w:val="22"/>
                <w:lang w:val="en-AU"/>
              </w:rPr>
              <w:t>66 </w:t>
            </w:r>
          </w:p>
        </w:tc>
        <w:tc>
          <w:tcPr>
            <w:tcW w:w="2221" w:type="dxa"/>
            <w:shd w:val="clear" w:color="auto" w:fill="FFFFFF" w:themeFill="background1"/>
            <w:hideMark/>
          </w:tcPr>
          <w:p w14:paraId="1385230D" w14:textId="37E4A0AF" w:rsidR="00005C08" w:rsidRDefault="00005C08" w:rsidP="00EA4CD9">
            <w:pPr>
              <w:spacing w:before="240" w:after="240" w:line="240" w:lineRule="auto"/>
              <w:ind w:left="57"/>
              <w:rPr>
                <w:szCs w:val="22"/>
                <w:lang w:val="en-AU"/>
              </w:rPr>
            </w:pPr>
            <w:r w:rsidRPr="00D0606F">
              <w:rPr>
                <w:szCs w:val="22"/>
                <w:lang w:val="en-AU"/>
              </w:rPr>
              <w:t>Individual must be an Aboriginal or Torres Strait Islander person </w:t>
            </w:r>
          </w:p>
          <w:p w14:paraId="79B3B833" w14:textId="77777777" w:rsidR="00520299" w:rsidRDefault="00520299" w:rsidP="00EA4CD9">
            <w:pPr>
              <w:spacing w:before="240" w:after="240" w:line="240" w:lineRule="auto"/>
              <w:ind w:left="57"/>
              <w:rPr>
                <w:szCs w:val="22"/>
                <w:lang w:val="en-AU"/>
              </w:rPr>
            </w:pPr>
          </w:p>
          <w:p w14:paraId="53859E43" w14:textId="7DFB7A64" w:rsidR="00520299" w:rsidRPr="00D0606F" w:rsidRDefault="00520299" w:rsidP="00EA4CD9">
            <w:pPr>
              <w:spacing w:before="240" w:after="240" w:line="240" w:lineRule="auto"/>
              <w:ind w:left="57"/>
              <w:rPr>
                <w:szCs w:val="22"/>
                <w:lang w:val="en-AU"/>
              </w:rPr>
            </w:pPr>
            <w:r>
              <w:rPr>
                <w:lang w:val="en-AU"/>
              </w:rPr>
              <w:t xml:space="preserve">The individual must meet </w:t>
            </w:r>
            <w:r w:rsidRPr="00722B21">
              <w:t xml:space="preserve">any eligibility requirements prescribed by the rules for the </w:t>
            </w:r>
            <w:r>
              <w:t xml:space="preserve">relevant </w:t>
            </w:r>
            <w:r w:rsidRPr="00722B21">
              <w:t>service group</w:t>
            </w:r>
            <w:r>
              <w:t xml:space="preserve">. </w:t>
            </w:r>
          </w:p>
        </w:tc>
        <w:tc>
          <w:tcPr>
            <w:tcW w:w="1968" w:type="dxa"/>
            <w:hideMark/>
          </w:tcPr>
          <w:p w14:paraId="4815477B" w14:textId="77777777" w:rsidR="00005C08" w:rsidRPr="00D0606F" w:rsidRDefault="00005C08" w:rsidP="008E6691">
            <w:pPr>
              <w:numPr>
                <w:ilvl w:val="0"/>
                <w:numId w:val="11"/>
              </w:numPr>
              <w:spacing w:before="240" w:after="240" w:line="240" w:lineRule="auto"/>
              <w:ind w:left="360" w:hanging="276"/>
              <w:rPr>
                <w:szCs w:val="22"/>
                <w:lang w:val="en-AU"/>
              </w:rPr>
            </w:pPr>
            <w:r w:rsidRPr="00D0606F">
              <w:rPr>
                <w:szCs w:val="22"/>
                <w:lang w:val="en-AU"/>
              </w:rPr>
              <w:t>Residential Care </w:t>
            </w:r>
          </w:p>
          <w:p w14:paraId="73641D09" w14:textId="71F8B39E" w:rsidR="00005C08" w:rsidRPr="00D0606F" w:rsidRDefault="00005C08" w:rsidP="008E6691">
            <w:pPr>
              <w:numPr>
                <w:ilvl w:val="0"/>
                <w:numId w:val="12"/>
              </w:numPr>
              <w:spacing w:before="240" w:after="240" w:line="240" w:lineRule="auto"/>
              <w:ind w:left="360" w:hanging="276"/>
              <w:rPr>
                <w:szCs w:val="22"/>
                <w:lang w:val="en-AU"/>
              </w:rPr>
            </w:pPr>
            <w:r w:rsidRPr="00D0606F">
              <w:rPr>
                <w:szCs w:val="22"/>
                <w:lang w:val="en-AU"/>
              </w:rPr>
              <w:t xml:space="preserve">Home </w:t>
            </w:r>
            <w:r w:rsidR="00956F28">
              <w:rPr>
                <w:szCs w:val="22"/>
                <w:lang w:val="en-AU"/>
              </w:rPr>
              <w:t>s</w:t>
            </w:r>
            <w:r w:rsidR="00956F28" w:rsidRPr="00D0606F">
              <w:rPr>
                <w:szCs w:val="22"/>
                <w:lang w:val="en-AU"/>
              </w:rPr>
              <w:t>upport </w:t>
            </w:r>
          </w:p>
          <w:p w14:paraId="62BADCED" w14:textId="3A005164" w:rsidR="00005C08" w:rsidRPr="00D0606F" w:rsidRDefault="00005C08" w:rsidP="008E6691">
            <w:pPr>
              <w:numPr>
                <w:ilvl w:val="0"/>
                <w:numId w:val="13"/>
              </w:numPr>
              <w:spacing w:before="240" w:after="240" w:line="240" w:lineRule="auto"/>
              <w:ind w:left="360" w:hanging="276"/>
              <w:rPr>
                <w:szCs w:val="22"/>
                <w:lang w:val="en-AU"/>
              </w:rPr>
            </w:pPr>
            <w:r w:rsidRPr="00D0606F">
              <w:rPr>
                <w:szCs w:val="22"/>
                <w:lang w:val="en-AU"/>
              </w:rPr>
              <w:t xml:space="preserve">Assistive </w:t>
            </w:r>
            <w:r w:rsidR="00956F28">
              <w:rPr>
                <w:szCs w:val="22"/>
                <w:lang w:val="en-AU"/>
              </w:rPr>
              <w:t>t</w:t>
            </w:r>
            <w:r w:rsidR="00956F28" w:rsidRPr="00D0606F">
              <w:rPr>
                <w:szCs w:val="22"/>
                <w:lang w:val="en-AU"/>
              </w:rPr>
              <w:t>echnology </w:t>
            </w:r>
          </w:p>
          <w:p w14:paraId="35BA5746" w14:textId="6E3C1B02" w:rsidR="00005C08" w:rsidRPr="00D0606F" w:rsidRDefault="00005C08" w:rsidP="008E6691">
            <w:pPr>
              <w:numPr>
                <w:ilvl w:val="0"/>
                <w:numId w:val="14"/>
              </w:numPr>
              <w:spacing w:before="240" w:after="240" w:line="240" w:lineRule="auto"/>
              <w:ind w:left="360" w:hanging="276"/>
              <w:rPr>
                <w:szCs w:val="22"/>
                <w:lang w:val="en-AU"/>
              </w:rPr>
            </w:pPr>
            <w:r w:rsidRPr="00D0606F">
              <w:rPr>
                <w:szCs w:val="22"/>
                <w:lang w:val="en-AU"/>
              </w:rPr>
              <w:t xml:space="preserve">Home </w:t>
            </w:r>
            <w:r w:rsidR="00956F28">
              <w:rPr>
                <w:szCs w:val="22"/>
                <w:lang w:val="en-AU"/>
              </w:rPr>
              <w:t>m</w:t>
            </w:r>
            <w:r w:rsidR="00956F28" w:rsidRPr="00D0606F">
              <w:rPr>
                <w:szCs w:val="22"/>
                <w:lang w:val="en-AU"/>
              </w:rPr>
              <w:t>odifications  </w:t>
            </w:r>
          </w:p>
        </w:tc>
        <w:tc>
          <w:tcPr>
            <w:tcW w:w="1793" w:type="dxa"/>
            <w:hideMark/>
          </w:tcPr>
          <w:p w14:paraId="48B2F6D7" w14:textId="77777777" w:rsidR="00005C08" w:rsidRPr="00D0606F" w:rsidRDefault="00005C08" w:rsidP="008E6691">
            <w:pPr>
              <w:spacing w:before="240" w:after="240" w:line="240" w:lineRule="auto"/>
              <w:rPr>
                <w:szCs w:val="22"/>
                <w:lang w:val="en-AU"/>
              </w:rPr>
            </w:pPr>
            <w:r w:rsidRPr="00D0606F">
              <w:rPr>
                <w:szCs w:val="22"/>
                <w:lang w:val="en-AU"/>
              </w:rPr>
              <w:t>All classification types </w:t>
            </w:r>
          </w:p>
        </w:tc>
        <w:tc>
          <w:tcPr>
            <w:tcW w:w="2632" w:type="dxa"/>
            <w:gridSpan w:val="2"/>
            <w:hideMark/>
          </w:tcPr>
          <w:p w14:paraId="14B46ADA" w14:textId="1EB77778" w:rsidR="00005C08" w:rsidRPr="00D0606F" w:rsidRDefault="00005C08" w:rsidP="008E6691">
            <w:pPr>
              <w:spacing w:before="240" w:after="240" w:line="240" w:lineRule="auto"/>
              <w:rPr>
                <w:szCs w:val="22"/>
                <w:lang w:val="en-AU"/>
              </w:rPr>
            </w:pPr>
            <w:r w:rsidRPr="00D0606F">
              <w:rPr>
                <w:szCs w:val="22"/>
                <w:lang w:val="en-AU"/>
              </w:rPr>
              <w:t xml:space="preserve">All programs, but in particular </w:t>
            </w:r>
            <w:r w:rsidR="00CA21D0" w:rsidRPr="00D0606F">
              <w:rPr>
                <w:szCs w:val="22"/>
                <w:lang w:val="en-AU"/>
              </w:rPr>
              <w:t>NATSIFACP</w:t>
            </w:r>
            <w:r w:rsidR="00CA21D0">
              <w:rPr>
                <w:szCs w:val="22"/>
                <w:vertAlign w:val="superscript"/>
                <w:lang w:val="en-AU"/>
              </w:rPr>
              <w:t>*</w:t>
            </w:r>
            <w:r w:rsidR="00CA21D0" w:rsidRPr="00D0606F">
              <w:rPr>
                <w:szCs w:val="22"/>
                <w:lang w:val="en-AU"/>
              </w:rPr>
              <w:t> </w:t>
            </w:r>
          </w:p>
          <w:p w14:paraId="6873F161" w14:textId="77777777" w:rsidR="00005C08" w:rsidRPr="00D0606F" w:rsidRDefault="00005C08" w:rsidP="008E6691">
            <w:pPr>
              <w:spacing w:before="240" w:after="240" w:line="240" w:lineRule="auto"/>
              <w:rPr>
                <w:szCs w:val="22"/>
                <w:lang w:val="en-AU"/>
              </w:rPr>
            </w:pPr>
            <w:r w:rsidRPr="00D0606F">
              <w:rPr>
                <w:szCs w:val="22"/>
                <w:lang w:val="en-AU"/>
              </w:rPr>
              <w:t> </w:t>
            </w:r>
          </w:p>
          <w:p w14:paraId="42FFFB51" w14:textId="77777777" w:rsidR="00005C08" w:rsidRPr="00D0606F" w:rsidRDefault="00005C08" w:rsidP="008E6691">
            <w:pPr>
              <w:spacing w:before="240" w:after="240" w:line="240" w:lineRule="auto"/>
              <w:rPr>
                <w:szCs w:val="22"/>
                <w:lang w:val="en-AU"/>
              </w:rPr>
            </w:pPr>
            <w:r w:rsidRPr="00D0606F">
              <w:rPr>
                <w:szCs w:val="22"/>
                <w:lang w:val="en-AU"/>
              </w:rPr>
              <w:t> </w:t>
            </w:r>
          </w:p>
        </w:tc>
        <w:tc>
          <w:tcPr>
            <w:tcW w:w="0" w:type="auto"/>
            <w:vAlign w:val="center"/>
            <w:hideMark/>
          </w:tcPr>
          <w:p w14:paraId="71592D89" w14:textId="77777777" w:rsidR="00005C08" w:rsidRPr="00D0606F" w:rsidRDefault="00005C08" w:rsidP="008E6691">
            <w:pPr>
              <w:spacing w:before="240" w:after="240" w:line="240" w:lineRule="auto"/>
              <w:rPr>
                <w:szCs w:val="22"/>
                <w:lang w:val="en-AU"/>
              </w:rPr>
            </w:pPr>
          </w:p>
        </w:tc>
      </w:tr>
      <w:tr w:rsidR="00005C08" w:rsidRPr="00A350A8" w14:paraId="01AF0734" w14:textId="77777777" w:rsidTr="00662566">
        <w:trPr>
          <w:trHeight w:val="300"/>
        </w:trPr>
        <w:tc>
          <w:tcPr>
            <w:tcW w:w="937" w:type="dxa"/>
            <w:shd w:val="clear" w:color="auto" w:fill="002060"/>
            <w:hideMark/>
          </w:tcPr>
          <w:p w14:paraId="57EF8A7B" w14:textId="77777777" w:rsidR="00005C08" w:rsidRPr="00C77A6C" w:rsidRDefault="00005C08" w:rsidP="00EA4CD9">
            <w:pPr>
              <w:spacing w:before="240" w:after="240" w:line="240" w:lineRule="auto"/>
              <w:ind w:left="57"/>
              <w:rPr>
                <w:b/>
                <w:szCs w:val="22"/>
                <w:lang w:val="en-AU"/>
              </w:rPr>
            </w:pPr>
            <w:r w:rsidRPr="00C77A6C">
              <w:rPr>
                <w:b/>
                <w:szCs w:val="22"/>
                <w:lang w:val="en-AU"/>
              </w:rPr>
              <w:t>67 </w:t>
            </w:r>
          </w:p>
        </w:tc>
        <w:tc>
          <w:tcPr>
            <w:tcW w:w="2221" w:type="dxa"/>
            <w:shd w:val="clear" w:color="auto" w:fill="FFFFFF" w:themeFill="background1"/>
            <w:hideMark/>
          </w:tcPr>
          <w:p w14:paraId="1BA06C40" w14:textId="44455FD6" w:rsidR="00005C08" w:rsidRPr="000C3A44" w:rsidRDefault="00005C08" w:rsidP="00EA4CD9">
            <w:pPr>
              <w:spacing w:before="240" w:after="240" w:line="240" w:lineRule="auto"/>
              <w:ind w:left="57"/>
              <w:rPr>
                <w:szCs w:val="22"/>
                <w:lang w:val="en-AU"/>
              </w:rPr>
            </w:pPr>
            <w:r w:rsidRPr="000C3A44">
              <w:rPr>
                <w:szCs w:val="22"/>
                <w:lang w:val="en-AU"/>
              </w:rPr>
              <w:t xml:space="preserve">Individual must have an impairment; </w:t>
            </w:r>
            <w:r w:rsidRPr="000C3A44">
              <w:rPr>
                <w:b/>
                <w:szCs w:val="22"/>
                <w:lang w:val="en-AU"/>
              </w:rPr>
              <w:t>and</w:t>
            </w:r>
            <w:r w:rsidRPr="000C3A44">
              <w:rPr>
                <w:szCs w:val="22"/>
                <w:lang w:val="en-AU"/>
              </w:rPr>
              <w:t> </w:t>
            </w:r>
          </w:p>
          <w:p w14:paraId="6FC4BDFC" w14:textId="77777777" w:rsidR="00577262" w:rsidRDefault="00577262" w:rsidP="00EA4CD9">
            <w:pPr>
              <w:spacing w:before="240" w:after="240" w:line="240" w:lineRule="auto"/>
              <w:ind w:left="57" w:hanging="333"/>
              <w:rPr>
                <w:szCs w:val="22"/>
                <w:lang w:val="en-AU"/>
              </w:rPr>
            </w:pPr>
          </w:p>
          <w:p w14:paraId="74658560" w14:textId="6BE3041A" w:rsidR="00005C08" w:rsidRPr="000C3A44" w:rsidRDefault="008854DC" w:rsidP="00EA4CD9">
            <w:pPr>
              <w:spacing w:before="240" w:after="240" w:line="240" w:lineRule="auto"/>
              <w:ind w:left="57"/>
              <w:rPr>
                <w:szCs w:val="22"/>
                <w:lang w:val="en-AU"/>
              </w:rPr>
            </w:pPr>
            <w:r>
              <w:rPr>
                <w:szCs w:val="22"/>
                <w:lang w:val="en-AU"/>
              </w:rPr>
              <w:t>There m</w:t>
            </w:r>
            <w:r w:rsidR="00005C08" w:rsidRPr="000C3A44">
              <w:rPr>
                <w:szCs w:val="22"/>
                <w:lang w:val="en-AU"/>
              </w:rPr>
              <w:t>ust be a specific reason why the individual requires access to the service type/s or services</w:t>
            </w:r>
            <w:r>
              <w:rPr>
                <w:szCs w:val="22"/>
                <w:lang w:val="en-AU"/>
              </w:rPr>
              <w:t>.</w:t>
            </w:r>
            <w:r w:rsidR="00005C08" w:rsidRPr="000C3A44">
              <w:rPr>
                <w:szCs w:val="22"/>
                <w:lang w:val="en-AU"/>
              </w:rPr>
              <w:t xml:space="preserve"> </w:t>
            </w:r>
          </w:p>
          <w:p w14:paraId="561636D3" w14:textId="77777777" w:rsidR="000C3A44" w:rsidRDefault="000C3A44" w:rsidP="00EA4CD9">
            <w:pPr>
              <w:spacing w:before="240" w:after="240" w:line="240" w:lineRule="auto"/>
              <w:ind w:left="57" w:hanging="333"/>
              <w:rPr>
                <w:lang w:val="en-AU"/>
              </w:rPr>
            </w:pPr>
          </w:p>
          <w:p w14:paraId="0639D4C3" w14:textId="65301D86" w:rsidR="000C3A44" w:rsidRPr="000C3A44" w:rsidRDefault="000C3A44" w:rsidP="00EA4CD9">
            <w:pPr>
              <w:spacing w:before="240" w:after="240" w:line="240" w:lineRule="auto"/>
              <w:ind w:left="57"/>
              <w:rPr>
                <w:lang w:val="en-AU"/>
              </w:rPr>
            </w:pPr>
            <w:r w:rsidRPr="000C3A44">
              <w:rPr>
                <w:lang w:val="en-AU"/>
              </w:rPr>
              <w:t xml:space="preserve">The individual must meet </w:t>
            </w:r>
            <w:r w:rsidRPr="00722B21">
              <w:t xml:space="preserve">any eligibility requirements prescribed by the rules for the </w:t>
            </w:r>
            <w:r>
              <w:t xml:space="preserve">relevant </w:t>
            </w:r>
            <w:r w:rsidRPr="00722B21">
              <w:t>service group</w:t>
            </w:r>
            <w:r>
              <w:t>.</w:t>
            </w:r>
          </w:p>
          <w:p w14:paraId="75BAA191" w14:textId="77777777" w:rsidR="00005C08" w:rsidRPr="00D0606F" w:rsidRDefault="00005C08" w:rsidP="00EA4CD9">
            <w:pPr>
              <w:spacing w:before="240" w:after="240" w:line="240" w:lineRule="auto"/>
              <w:ind w:left="57"/>
              <w:rPr>
                <w:szCs w:val="22"/>
                <w:lang w:val="en-AU"/>
              </w:rPr>
            </w:pPr>
            <w:r w:rsidRPr="00D0606F">
              <w:rPr>
                <w:szCs w:val="22"/>
                <w:lang w:val="en-AU"/>
              </w:rPr>
              <w:t> </w:t>
            </w:r>
          </w:p>
        </w:tc>
        <w:tc>
          <w:tcPr>
            <w:tcW w:w="1968" w:type="dxa"/>
            <w:hideMark/>
          </w:tcPr>
          <w:p w14:paraId="13D534E2" w14:textId="31D67ED7" w:rsidR="00005C08" w:rsidRPr="00D0606F" w:rsidRDefault="00005C08" w:rsidP="008E6691">
            <w:pPr>
              <w:numPr>
                <w:ilvl w:val="0"/>
                <w:numId w:val="15"/>
              </w:numPr>
              <w:spacing w:before="240" w:after="240" w:line="240" w:lineRule="auto"/>
              <w:ind w:left="360" w:hanging="276"/>
              <w:rPr>
                <w:szCs w:val="22"/>
                <w:lang w:val="en-AU"/>
              </w:rPr>
            </w:pPr>
            <w:r w:rsidRPr="00D0606F">
              <w:rPr>
                <w:szCs w:val="22"/>
                <w:lang w:val="en-AU"/>
              </w:rPr>
              <w:t xml:space="preserve">Home </w:t>
            </w:r>
            <w:r w:rsidR="00956F28">
              <w:rPr>
                <w:szCs w:val="22"/>
                <w:lang w:val="en-AU"/>
              </w:rPr>
              <w:t>s</w:t>
            </w:r>
            <w:r w:rsidR="00956F28" w:rsidRPr="00D0606F">
              <w:rPr>
                <w:szCs w:val="22"/>
                <w:lang w:val="en-AU"/>
              </w:rPr>
              <w:t>upport </w:t>
            </w:r>
          </w:p>
          <w:p w14:paraId="755A89A8" w14:textId="2727EB97" w:rsidR="00005C08" w:rsidRPr="00D0606F" w:rsidRDefault="00005C08" w:rsidP="008E6691">
            <w:pPr>
              <w:numPr>
                <w:ilvl w:val="0"/>
                <w:numId w:val="16"/>
              </w:numPr>
              <w:spacing w:before="240" w:after="240" w:line="240" w:lineRule="auto"/>
              <w:ind w:left="360" w:hanging="276"/>
              <w:rPr>
                <w:szCs w:val="22"/>
                <w:lang w:val="en-AU"/>
              </w:rPr>
            </w:pPr>
            <w:r w:rsidRPr="00D0606F">
              <w:rPr>
                <w:szCs w:val="22"/>
                <w:lang w:val="en-AU"/>
              </w:rPr>
              <w:t xml:space="preserve">Assistive </w:t>
            </w:r>
            <w:r w:rsidR="00956F28">
              <w:rPr>
                <w:szCs w:val="22"/>
                <w:lang w:val="en-AU"/>
              </w:rPr>
              <w:t>t</w:t>
            </w:r>
            <w:r w:rsidR="00956F28" w:rsidRPr="00D0606F">
              <w:rPr>
                <w:szCs w:val="22"/>
                <w:lang w:val="en-AU"/>
              </w:rPr>
              <w:t>echnology </w:t>
            </w:r>
          </w:p>
          <w:p w14:paraId="2D5FDDC8" w14:textId="6BB4865A" w:rsidR="00005C08" w:rsidRPr="00D0606F" w:rsidRDefault="00005C08" w:rsidP="008E6691">
            <w:pPr>
              <w:numPr>
                <w:ilvl w:val="0"/>
                <w:numId w:val="17"/>
              </w:numPr>
              <w:spacing w:before="240" w:after="240" w:line="240" w:lineRule="auto"/>
              <w:ind w:left="360" w:hanging="276"/>
              <w:rPr>
                <w:szCs w:val="22"/>
                <w:lang w:val="en-AU"/>
              </w:rPr>
            </w:pPr>
            <w:r w:rsidRPr="00D0606F">
              <w:rPr>
                <w:szCs w:val="22"/>
                <w:lang w:val="en-AU"/>
              </w:rPr>
              <w:t>Home modifications </w:t>
            </w:r>
          </w:p>
        </w:tc>
        <w:tc>
          <w:tcPr>
            <w:tcW w:w="1793" w:type="dxa"/>
            <w:hideMark/>
          </w:tcPr>
          <w:p w14:paraId="51CBFCEC" w14:textId="77777777" w:rsidR="00005C08" w:rsidRPr="00D0606F" w:rsidRDefault="00005C08" w:rsidP="008E6691">
            <w:pPr>
              <w:spacing w:before="240" w:after="240" w:line="240" w:lineRule="auto"/>
              <w:rPr>
                <w:szCs w:val="22"/>
                <w:lang w:val="en-AU"/>
              </w:rPr>
            </w:pPr>
            <w:r w:rsidRPr="00D0606F">
              <w:rPr>
                <w:szCs w:val="22"/>
                <w:lang w:val="en-AU"/>
              </w:rPr>
              <w:t>All classification types </w:t>
            </w:r>
          </w:p>
        </w:tc>
        <w:tc>
          <w:tcPr>
            <w:tcW w:w="2632" w:type="dxa"/>
            <w:gridSpan w:val="2"/>
            <w:hideMark/>
          </w:tcPr>
          <w:p w14:paraId="19B2DD94" w14:textId="77777777" w:rsidR="00005C08" w:rsidRPr="00D0606F" w:rsidRDefault="00005C08" w:rsidP="008E6691">
            <w:pPr>
              <w:numPr>
                <w:ilvl w:val="0"/>
                <w:numId w:val="18"/>
              </w:numPr>
              <w:spacing w:before="240" w:after="240" w:line="240" w:lineRule="auto"/>
              <w:ind w:left="360"/>
              <w:rPr>
                <w:szCs w:val="22"/>
                <w:lang w:val="en-AU"/>
              </w:rPr>
            </w:pPr>
            <w:r w:rsidRPr="00D0606F">
              <w:rPr>
                <w:szCs w:val="22"/>
                <w:lang w:val="en-AU"/>
              </w:rPr>
              <w:t>Support at Home </w:t>
            </w:r>
          </w:p>
          <w:p w14:paraId="7DEB2332" w14:textId="77777777" w:rsidR="00005C08" w:rsidRPr="00D0606F" w:rsidRDefault="00005C08" w:rsidP="008E6691">
            <w:pPr>
              <w:numPr>
                <w:ilvl w:val="0"/>
                <w:numId w:val="19"/>
              </w:numPr>
              <w:spacing w:before="240" w:after="240" w:line="240" w:lineRule="auto"/>
              <w:ind w:left="360"/>
              <w:rPr>
                <w:szCs w:val="22"/>
                <w:lang w:val="en-AU"/>
              </w:rPr>
            </w:pPr>
            <w:r w:rsidRPr="00D0606F">
              <w:rPr>
                <w:szCs w:val="22"/>
                <w:lang w:val="en-AU"/>
              </w:rPr>
              <w:t>CHSP </w:t>
            </w:r>
          </w:p>
          <w:p w14:paraId="40B22A5A" w14:textId="77777777" w:rsidR="00005C08" w:rsidRPr="00D0606F" w:rsidRDefault="00005C08" w:rsidP="008E6691">
            <w:pPr>
              <w:numPr>
                <w:ilvl w:val="0"/>
                <w:numId w:val="20"/>
              </w:numPr>
              <w:spacing w:before="240" w:after="240" w:line="240" w:lineRule="auto"/>
              <w:ind w:left="360"/>
              <w:rPr>
                <w:szCs w:val="22"/>
                <w:lang w:val="en-AU"/>
              </w:rPr>
            </w:pPr>
            <w:r w:rsidRPr="00D0606F">
              <w:rPr>
                <w:szCs w:val="22"/>
                <w:lang w:val="en-AU"/>
              </w:rPr>
              <w:t>TCP </w:t>
            </w:r>
          </w:p>
          <w:p w14:paraId="0E0F9BD6" w14:textId="77777777" w:rsidR="00005C08" w:rsidRPr="00D0606F" w:rsidRDefault="00005C08" w:rsidP="008E6691">
            <w:pPr>
              <w:numPr>
                <w:ilvl w:val="0"/>
                <w:numId w:val="21"/>
              </w:numPr>
              <w:spacing w:before="240" w:after="240" w:line="240" w:lineRule="auto"/>
              <w:ind w:left="360"/>
              <w:rPr>
                <w:szCs w:val="22"/>
                <w:lang w:val="en-AU"/>
              </w:rPr>
            </w:pPr>
            <w:r w:rsidRPr="00D0606F">
              <w:rPr>
                <w:szCs w:val="22"/>
                <w:lang w:val="en-AU"/>
              </w:rPr>
              <w:t>MPSP </w:t>
            </w:r>
          </w:p>
          <w:p w14:paraId="07DA0BC1" w14:textId="77777777" w:rsidR="00005C08" w:rsidRPr="00D0606F" w:rsidRDefault="00005C08" w:rsidP="008E6691">
            <w:pPr>
              <w:numPr>
                <w:ilvl w:val="0"/>
                <w:numId w:val="22"/>
              </w:numPr>
              <w:spacing w:before="240" w:after="240" w:line="240" w:lineRule="auto"/>
              <w:ind w:left="360"/>
              <w:rPr>
                <w:szCs w:val="22"/>
                <w:lang w:val="en-AU"/>
              </w:rPr>
            </w:pPr>
            <w:r w:rsidRPr="00D0606F">
              <w:rPr>
                <w:szCs w:val="22"/>
                <w:lang w:val="en-AU"/>
              </w:rPr>
              <w:t>NATSIFACP </w:t>
            </w:r>
          </w:p>
        </w:tc>
        <w:tc>
          <w:tcPr>
            <w:tcW w:w="0" w:type="auto"/>
            <w:vAlign w:val="center"/>
            <w:hideMark/>
          </w:tcPr>
          <w:p w14:paraId="5301A8A1" w14:textId="77777777" w:rsidR="00005C08" w:rsidRPr="00D0606F" w:rsidRDefault="00005C08" w:rsidP="008E6691">
            <w:pPr>
              <w:spacing w:before="240" w:after="240" w:line="240" w:lineRule="auto"/>
              <w:rPr>
                <w:szCs w:val="22"/>
                <w:lang w:val="en-AU"/>
              </w:rPr>
            </w:pPr>
          </w:p>
        </w:tc>
      </w:tr>
      <w:tr w:rsidR="00005C08" w:rsidRPr="00A350A8" w14:paraId="22E4F307" w14:textId="77777777" w:rsidTr="00662566">
        <w:trPr>
          <w:trHeight w:val="300"/>
        </w:trPr>
        <w:tc>
          <w:tcPr>
            <w:tcW w:w="937" w:type="dxa"/>
            <w:shd w:val="clear" w:color="auto" w:fill="002060"/>
            <w:hideMark/>
          </w:tcPr>
          <w:p w14:paraId="32B3F9C8" w14:textId="77777777" w:rsidR="00005C08" w:rsidRPr="00C77A6C" w:rsidRDefault="00005C08" w:rsidP="00EA4CD9">
            <w:pPr>
              <w:spacing w:before="240" w:after="240" w:line="240" w:lineRule="auto"/>
              <w:ind w:left="57"/>
              <w:rPr>
                <w:b/>
                <w:szCs w:val="22"/>
                <w:lang w:val="en-AU"/>
              </w:rPr>
            </w:pPr>
            <w:r w:rsidRPr="00C77A6C">
              <w:rPr>
                <w:b/>
                <w:szCs w:val="22"/>
                <w:lang w:val="en-AU"/>
              </w:rPr>
              <w:t>68 </w:t>
            </w:r>
          </w:p>
        </w:tc>
        <w:tc>
          <w:tcPr>
            <w:tcW w:w="2221" w:type="dxa"/>
            <w:shd w:val="clear" w:color="auto" w:fill="FFFFFF" w:themeFill="background1"/>
            <w:hideMark/>
          </w:tcPr>
          <w:p w14:paraId="4A4E4543" w14:textId="29A1E5B1" w:rsidR="00005C08" w:rsidRDefault="002D1DBC" w:rsidP="00EA4CD9">
            <w:pPr>
              <w:spacing w:before="240" w:after="240" w:line="240" w:lineRule="auto"/>
              <w:ind w:left="57"/>
            </w:pPr>
            <w:r>
              <w:t>Individual must have a continuing need for residential care because they are ‘sick’</w:t>
            </w:r>
          </w:p>
          <w:p w14:paraId="3C7EBAF2" w14:textId="77777777" w:rsidR="000C3A44" w:rsidRDefault="000C3A44" w:rsidP="008E6691">
            <w:pPr>
              <w:spacing w:before="240" w:after="240" w:line="240" w:lineRule="auto"/>
            </w:pPr>
          </w:p>
          <w:p w14:paraId="3D8247B9" w14:textId="11E37C57" w:rsidR="000C3A44" w:rsidRPr="000C3A44" w:rsidRDefault="00891964" w:rsidP="00EA4CD9">
            <w:pPr>
              <w:spacing w:before="240" w:after="240" w:line="240" w:lineRule="auto"/>
              <w:ind w:left="57"/>
              <w:rPr>
                <w:lang w:val="en-AU"/>
              </w:rPr>
            </w:pPr>
            <w:r>
              <w:rPr>
                <w:lang w:val="en-AU"/>
              </w:rPr>
              <w:t xml:space="preserve">The individual must meet </w:t>
            </w:r>
            <w:r>
              <w:t xml:space="preserve">the </w:t>
            </w:r>
            <w:r w:rsidRPr="00722B21">
              <w:t>eligibility requirements prescribed by the rules for the service group</w:t>
            </w:r>
            <w:r>
              <w:t xml:space="preserve"> residential care.</w:t>
            </w:r>
          </w:p>
        </w:tc>
        <w:tc>
          <w:tcPr>
            <w:tcW w:w="1968" w:type="dxa"/>
            <w:hideMark/>
          </w:tcPr>
          <w:p w14:paraId="4A065B6C" w14:textId="191C1F05" w:rsidR="00005C08" w:rsidRPr="00D0606F" w:rsidRDefault="00005C08" w:rsidP="008E6691">
            <w:pPr>
              <w:numPr>
                <w:ilvl w:val="0"/>
                <w:numId w:val="23"/>
              </w:numPr>
              <w:spacing w:before="240" w:after="240" w:line="240" w:lineRule="auto"/>
              <w:ind w:hanging="276"/>
              <w:rPr>
                <w:szCs w:val="22"/>
                <w:lang w:val="en-AU"/>
              </w:rPr>
            </w:pPr>
            <w:r w:rsidRPr="00D0606F">
              <w:rPr>
                <w:szCs w:val="22"/>
                <w:lang w:val="en-AU"/>
              </w:rPr>
              <w:t xml:space="preserve">Residential </w:t>
            </w:r>
            <w:r w:rsidR="003A4287">
              <w:rPr>
                <w:szCs w:val="22"/>
                <w:lang w:val="en-AU"/>
              </w:rPr>
              <w:t>c</w:t>
            </w:r>
            <w:r w:rsidRPr="00D0606F">
              <w:rPr>
                <w:szCs w:val="22"/>
                <w:lang w:val="en-AU"/>
              </w:rPr>
              <w:t>are </w:t>
            </w:r>
          </w:p>
        </w:tc>
        <w:tc>
          <w:tcPr>
            <w:tcW w:w="1793" w:type="dxa"/>
            <w:hideMark/>
          </w:tcPr>
          <w:p w14:paraId="70EE288E" w14:textId="77777777" w:rsidR="00005C08" w:rsidRPr="00D0606F" w:rsidRDefault="00005C08" w:rsidP="008E6691">
            <w:pPr>
              <w:spacing w:before="240" w:after="240" w:line="240" w:lineRule="auto"/>
              <w:rPr>
                <w:szCs w:val="22"/>
                <w:lang w:val="en-AU"/>
              </w:rPr>
            </w:pPr>
            <w:r w:rsidRPr="00D0606F">
              <w:rPr>
                <w:szCs w:val="22"/>
                <w:lang w:val="en-AU"/>
              </w:rPr>
              <w:t>All classification types </w:t>
            </w:r>
          </w:p>
        </w:tc>
        <w:tc>
          <w:tcPr>
            <w:tcW w:w="2632" w:type="dxa"/>
            <w:gridSpan w:val="2"/>
            <w:hideMark/>
          </w:tcPr>
          <w:p w14:paraId="7B96C61F" w14:textId="7F6EF767" w:rsidR="00005C08" w:rsidRPr="00D0606F" w:rsidRDefault="00005C08" w:rsidP="008E6691">
            <w:pPr>
              <w:numPr>
                <w:ilvl w:val="0"/>
                <w:numId w:val="24"/>
              </w:numPr>
              <w:spacing w:before="240" w:after="240" w:line="240" w:lineRule="auto"/>
              <w:ind w:left="360"/>
              <w:rPr>
                <w:szCs w:val="22"/>
                <w:lang w:val="en-AU"/>
              </w:rPr>
            </w:pPr>
            <w:r w:rsidRPr="00D0606F">
              <w:rPr>
                <w:szCs w:val="22"/>
                <w:lang w:val="en-AU"/>
              </w:rPr>
              <w:t>Residential care (</w:t>
            </w:r>
            <w:r w:rsidR="00F444BE" w:rsidRPr="00D0606F">
              <w:rPr>
                <w:szCs w:val="22"/>
                <w:lang w:val="en-AU"/>
              </w:rPr>
              <w:t>ongoing or short-term</w:t>
            </w:r>
            <w:r w:rsidRPr="00D0606F">
              <w:rPr>
                <w:szCs w:val="22"/>
                <w:lang w:val="en-AU"/>
              </w:rPr>
              <w:t>) </w:t>
            </w:r>
          </w:p>
          <w:p w14:paraId="623B7AE3" w14:textId="77777777" w:rsidR="00005C08" w:rsidRPr="00D0606F" w:rsidRDefault="00005C08" w:rsidP="008E6691">
            <w:pPr>
              <w:numPr>
                <w:ilvl w:val="0"/>
                <w:numId w:val="25"/>
              </w:numPr>
              <w:spacing w:before="240" w:after="240" w:line="240" w:lineRule="auto"/>
              <w:ind w:left="360"/>
              <w:rPr>
                <w:szCs w:val="22"/>
                <w:lang w:val="en-AU"/>
              </w:rPr>
            </w:pPr>
            <w:r w:rsidRPr="00D0606F">
              <w:rPr>
                <w:szCs w:val="22"/>
                <w:lang w:val="en-AU"/>
              </w:rPr>
              <w:t>TCP </w:t>
            </w:r>
          </w:p>
          <w:p w14:paraId="1EE63866" w14:textId="77777777" w:rsidR="00005C08" w:rsidRPr="00D0606F" w:rsidRDefault="00005C08" w:rsidP="008E6691">
            <w:pPr>
              <w:numPr>
                <w:ilvl w:val="0"/>
                <w:numId w:val="26"/>
              </w:numPr>
              <w:spacing w:before="240" w:after="240" w:line="240" w:lineRule="auto"/>
              <w:ind w:left="360"/>
              <w:rPr>
                <w:szCs w:val="22"/>
                <w:lang w:val="en-AU"/>
              </w:rPr>
            </w:pPr>
            <w:r w:rsidRPr="00D0606F">
              <w:rPr>
                <w:szCs w:val="22"/>
                <w:lang w:val="en-AU"/>
              </w:rPr>
              <w:t>MPSP </w:t>
            </w:r>
          </w:p>
          <w:p w14:paraId="010E640B" w14:textId="77777777" w:rsidR="00005C08" w:rsidRPr="00D0606F" w:rsidRDefault="00005C08" w:rsidP="008E6691">
            <w:pPr>
              <w:numPr>
                <w:ilvl w:val="0"/>
                <w:numId w:val="27"/>
              </w:numPr>
              <w:spacing w:before="240" w:after="240" w:line="240" w:lineRule="auto"/>
              <w:ind w:left="360"/>
              <w:rPr>
                <w:szCs w:val="22"/>
                <w:lang w:val="en-AU"/>
              </w:rPr>
            </w:pPr>
            <w:r w:rsidRPr="00D0606F">
              <w:rPr>
                <w:szCs w:val="22"/>
                <w:lang w:val="en-AU"/>
              </w:rPr>
              <w:t>NATSIFACP </w:t>
            </w:r>
          </w:p>
        </w:tc>
        <w:tc>
          <w:tcPr>
            <w:tcW w:w="0" w:type="auto"/>
            <w:vAlign w:val="center"/>
            <w:hideMark/>
          </w:tcPr>
          <w:p w14:paraId="2020BC4F" w14:textId="77777777" w:rsidR="00005C08" w:rsidRPr="00D0606F" w:rsidRDefault="00005C08" w:rsidP="008E6691">
            <w:pPr>
              <w:spacing w:before="240" w:after="240" w:line="240" w:lineRule="auto"/>
              <w:rPr>
                <w:szCs w:val="22"/>
                <w:lang w:val="en-AU"/>
              </w:rPr>
            </w:pPr>
          </w:p>
        </w:tc>
      </w:tr>
    </w:tbl>
    <w:p w14:paraId="47155A63" w14:textId="77777777" w:rsidR="005550FF" w:rsidRPr="000027E3" w:rsidRDefault="005550FF" w:rsidP="00C325C6">
      <w:pPr>
        <w:pStyle w:val="Sub-headings"/>
      </w:pPr>
      <w:r w:rsidRPr="000027E3">
        <w:t xml:space="preserve">Important: </w:t>
      </w:r>
    </w:p>
    <w:p w14:paraId="193958AA" w14:textId="5D56BE29" w:rsidR="005550FF" w:rsidRPr="00422EC0" w:rsidRDefault="005550FF" w:rsidP="00C325C6">
      <w:pPr>
        <w:pStyle w:val="Sub-headings"/>
      </w:pPr>
      <w:r w:rsidRPr="00422EC0">
        <w:t xml:space="preserve">If the older person is an Aboriginal or Torres Strait Islander person, an </w:t>
      </w:r>
      <w:r w:rsidR="001363DC">
        <w:t>a</w:t>
      </w:r>
      <w:r w:rsidRPr="00422EC0">
        <w:t xml:space="preserve">ssessment </w:t>
      </w:r>
      <w:r w:rsidR="001363DC">
        <w:t>d</w:t>
      </w:r>
      <w:r w:rsidRPr="00422EC0">
        <w:t>elegate only needs to approve them for one or more service groups. They are automatically approved for all the service types and services in any service group they are approved for.</w:t>
      </w:r>
    </w:p>
    <w:p w14:paraId="452991DE" w14:textId="77777777" w:rsidR="00346141" w:rsidRPr="00E64AC3" w:rsidRDefault="00346141" w:rsidP="00C56CEC">
      <w:pPr>
        <w:pStyle w:val="H3"/>
      </w:pPr>
      <w:bookmarkStart w:id="87" w:name="_Toc198787135"/>
      <w:bookmarkStart w:id="88" w:name="_Toc426629243"/>
      <w:bookmarkStart w:id="89" w:name="_Toc199344504"/>
      <w:bookmarkStart w:id="90" w:name="_Toc205372034"/>
      <w:bookmarkStart w:id="91" w:name="_Toc207713939"/>
      <w:r w:rsidRPr="00E64AC3">
        <w:t>Approvals for service types and services</w:t>
      </w:r>
      <w:bookmarkEnd w:id="87"/>
      <w:bookmarkEnd w:id="88"/>
      <w:bookmarkEnd w:id="89"/>
      <w:bookmarkEnd w:id="90"/>
      <w:bookmarkEnd w:id="91"/>
    </w:p>
    <w:p w14:paraId="35067490" w14:textId="3E3E3090" w:rsidR="004A3110" w:rsidRDefault="004A3110" w:rsidP="008E6691">
      <w:pPr>
        <w:spacing w:before="240" w:after="240" w:line="240" w:lineRule="auto"/>
      </w:pPr>
      <w:r>
        <w:t>A service is defined in the A</w:t>
      </w:r>
      <w:r w:rsidR="00346141" w:rsidRPr="00E64AC3">
        <w:t>ged Care Service List defined in the</w:t>
      </w:r>
      <w:r w:rsidR="00346141" w:rsidRPr="00E64AC3">
        <w:rPr>
          <w:rFonts w:hint="eastAsia"/>
        </w:rPr>
        <w:t> </w:t>
      </w:r>
      <w:r w:rsidR="004F3A0C" w:rsidRPr="0047154A">
        <w:t>Aged Care Rules 2025</w:t>
      </w:r>
      <w:r w:rsidR="00346141" w:rsidRPr="00E64AC3">
        <w:t xml:space="preserve">. It lists the four service groups, and the service types and services within them. </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4A3110" w:rsidRPr="00C42989" w14:paraId="005EECAF" w14:textId="77777777">
        <w:trPr>
          <w:trHeight w:val="300"/>
        </w:trPr>
        <w:tc>
          <w:tcPr>
            <w:tcW w:w="988" w:type="dxa"/>
          </w:tcPr>
          <w:p w14:paraId="64A4F99E" w14:textId="77777777" w:rsidR="004A3110" w:rsidRPr="00C42989" w:rsidRDefault="004A3110">
            <w:pPr>
              <w:spacing w:before="240" w:after="240"/>
            </w:pPr>
            <w:r w:rsidRPr="00C42989">
              <w:rPr>
                <w:noProof/>
              </w:rPr>
              <w:drawing>
                <wp:inline distT="0" distB="0" distL="0" distR="0" wp14:anchorId="54AAA2D4" wp14:editId="31359422">
                  <wp:extent cx="447675" cy="438150"/>
                  <wp:effectExtent l="0" t="0" r="0" b="0"/>
                  <wp:docPr id="701419243" name="Picture 7014192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0B1196B2" w14:textId="19C7976B" w:rsidR="004A3110" w:rsidRPr="00E64AC3" w:rsidRDefault="004A3110" w:rsidP="004A3110">
            <w:pPr>
              <w:spacing w:before="240" w:after="240"/>
            </w:pPr>
            <w:r>
              <w:t xml:space="preserve">See Chapter </w:t>
            </w:r>
            <w:r>
              <w:fldChar w:fldCharType="begin"/>
            </w:r>
            <w:r>
              <w:instrText xml:space="preserve"> REF _Ref212734971 \r \h </w:instrText>
            </w:r>
            <w:r>
              <w:fldChar w:fldCharType="separate"/>
            </w:r>
            <w:r w:rsidR="00F97942">
              <w:t>7</w:t>
            </w:r>
            <w:r>
              <w:fldChar w:fldCharType="end"/>
            </w:r>
            <w:r>
              <w:t xml:space="preserve"> for further information on service approvals. </w:t>
            </w:r>
          </w:p>
          <w:p w14:paraId="28091B09" w14:textId="27E3747E" w:rsidR="004A3110" w:rsidRPr="00C42989" w:rsidRDefault="004A3110">
            <w:pPr>
              <w:spacing w:before="240" w:after="240"/>
            </w:pPr>
          </w:p>
        </w:tc>
      </w:tr>
    </w:tbl>
    <w:p w14:paraId="184C3DAF" w14:textId="77777777" w:rsidR="00F44BE8" w:rsidRPr="00E64AC3" w:rsidRDefault="00F44BE8" w:rsidP="00C56CEC">
      <w:pPr>
        <w:pStyle w:val="H3"/>
      </w:pPr>
      <w:bookmarkStart w:id="92" w:name="_Toc198787136"/>
      <w:bookmarkStart w:id="93" w:name="_Toc153701289"/>
      <w:bookmarkStart w:id="94" w:name="_Toc199344505"/>
      <w:bookmarkStart w:id="95" w:name="_Toc205372035"/>
      <w:bookmarkStart w:id="96" w:name="_Toc207713940"/>
      <w:r w:rsidRPr="00E64AC3">
        <w:t>Approvals for priority categories</w:t>
      </w:r>
      <w:bookmarkEnd w:id="92"/>
      <w:bookmarkEnd w:id="93"/>
      <w:bookmarkEnd w:id="94"/>
      <w:bookmarkEnd w:id="95"/>
      <w:bookmarkEnd w:id="96"/>
    </w:p>
    <w:p w14:paraId="7ADC9B9C" w14:textId="3E1AAA19" w:rsidR="00164F01" w:rsidRDefault="00F44BE8" w:rsidP="008E6691">
      <w:pPr>
        <w:spacing w:before="240" w:after="240" w:line="240" w:lineRule="auto"/>
        <w:rPr>
          <w:rFonts w:eastAsia="Arial"/>
        </w:rPr>
      </w:pPr>
      <w:r w:rsidRPr="00E64AC3">
        <w:rPr>
          <w:rFonts w:eastAsia="Arial"/>
        </w:rPr>
        <w:t>The priority categories assigned to individuals under section 86 of the Act determine when certain services are allocated under section 92 of the Act. These categories are based on the assessed urgency of need, complexity of care requirements, and potential risks associated with delayed support</w:t>
      </w:r>
      <w:r w:rsidR="00BD4B5A">
        <w:rPr>
          <w:rFonts w:eastAsia="Arial"/>
        </w:rPr>
        <w:t xml:space="preserve">. </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164F01" w:rsidRPr="00C42989" w14:paraId="043C025A" w14:textId="77777777">
        <w:trPr>
          <w:trHeight w:val="300"/>
        </w:trPr>
        <w:tc>
          <w:tcPr>
            <w:tcW w:w="988" w:type="dxa"/>
          </w:tcPr>
          <w:p w14:paraId="2482C16B" w14:textId="77777777" w:rsidR="00164F01" w:rsidRPr="00C42989" w:rsidRDefault="00164F01">
            <w:pPr>
              <w:spacing w:before="240" w:after="240"/>
            </w:pPr>
            <w:r w:rsidRPr="00C42989">
              <w:rPr>
                <w:noProof/>
              </w:rPr>
              <w:drawing>
                <wp:inline distT="0" distB="0" distL="0" distR="0" wp14:anchorId="0D32E6E1" wp14:editId="74CFF158">
                  <wp:extent cx="447675" cy="438150"/>
                  <wp:effectExtent l="0" t="0" r="0" b="0"/>
                  <wp:docPr id="546798166" name="Picture 54679816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4742DAFF" w14:textId="79978385" w:rsidR="00164F01" w:rsidRPr="00E64AC3" w:rsidRDefault="00164F01">
            <w:pPr>
              <w:spacing w:before="240" w:after="240"/>
            </w:pPr>
            <w:r>
              <w:t xml:space="preserve">See Chapter </w:t>
            </w:r>
            <w:r>
              <w:fldChar w:fldCharType="begin"/>
            </w:r>
            <w:r>
              <w:instrText xml:space="preserve"> REF _Ref212734971 \r \h </w:instrText>
            </w:r>
            <w:r>
              <w:fldChar w:fldCharType="separate"/>
            </w:r>
            <w:r w:rsidR="00F97942">
              <w:t>7</w:t>
            </w:r>
            <w:r>
              <w:fldChar w:fldCharType="end"/>
            </w:r>
            <w:r>
              <w:t xml:space="preserve"> for further information on priority category decisions. </w:t>
            </w:r>
          </w:p>
          <w:p w14:paraId="6AD83A28" w14:textId="77777777" w:rsidR="00164F01" w:rsidRPr="00C42989" w:rsidRDefault="00164F01">
            <w:pPr>
              <w:spacing w:before="240" w:after="240"/>
            </w:pPr>
          </w:p>
        </w:tc>
      </w:tr>
    </w:tbl>
    <w:p w14:paraId="355ADB36" w14:textId="77777777" w:rsidR="005A1694" w:rsidRPr="00E64AC3" w:rsidRDefault="005A1694" w:rsidP="00C56CEC">
      <w:pPr>
        <w:pStyle w:val="H3"/>
      </w:pPr>
      <w:bookmarkStart w:id="97" w:name="_Toc2004609780"/>
      <w:bookmarkStart w:id="98" w:name="_Toc199344509"/>
      <w:bookmarkStart w:id="99" w:name="_Toc205372039"/>
      <w:bookmarkStart w:id="100" w:name="_Toc207713944"/>
      <w:r w:rsidRPr="00E64AC3">
        <w:t>Period of effect of approvals</w:t>
      </w:r>
      <w:bookmarkEnd w:id="97"/>
      <w:bookmarkEnd w:id="98"/>
      <w:bookmarkEnd w:id="99"/>
      <w:bookmarkEnd w:id="100"/>
    </w:p>
    <w:p w14:paraId="79987224" w14:textId="77777777" w:rsidR="005A1694" w:rsidRPr="00E64AC3" w:rsidRDefault="005A1694" w:rsidP="008E6691">
      <w:pPr>
        <w:spacing w:before="240" w:after="240" w:line="240" w:lineRule="auto"/>
      </w:pPr>
      <w:r w:rsidRPr="00E64AC3">
        <w:t xml:space="preserve">Each access approval, classification level, and priority category has a </w:t>
      </w:r>
      <w:r w:rsidRPr="00292613">
        <w:t>period of effect</w:t>
      </w:r>
      <w:r w:rsidRPr="00E64AC3">
        <w:rPr>
          <w:rFonts w:hint="eastAsia"/>
        </w:rPr>
        <w:t> </w:t>
      </w:r>
      <w:r w:rsidRPr="00E64AC3">
        <w:t>that is prescribed under the</w:t>
      </w:r>
      <w:r w:rsidRPr="00E64AC3">
        <w:rPr>
          <w:rFonts w:hint="eastAsia"/>
        </w:rPr>
        <w:t> </w:t>
      </w:r>
      <w:r w:rsidRPr="00E64AC3">
        <w:t xml:space="preserve">Act. This means that these approvals remain in effect for the period of time specified by the Act, unless the approval is revoked or a reassessment occurs resulting in a new approval. </w:t>
      </w:r>
    </w:p>
    <w:p w14:paraId="685FD2E0" w14:textId="77777777" w:rsidR="005A1694" w:rsidRPr="00E64AC3" w:rsidRDefault="005A1694" w:rsidP="008E6691">
      <w:pPr>
        <w:spacing w:before="240" w:after="240" w:line="240" w:lineRule="auto"/>
      </w:pPr>
      <w:r w:rsidRPr="00E64AC3">
        <w:t xml:space="preserve">In addition to the other legislative requirements described above, for an older person to receive funded aged care services, they need </w:t>
      </w:r>
      <w:r w:rsidRPr="00292613">
        <w:t>both</w:t>
      </w:r>
      <w:r w:rsidRPr="00E64AC3">
        <w:t>:</w:t>
      </w:r>
    </w:p>
    <w:p w14:paraId="3F29C8B2" w14:textId="77777777" w:rsidR="005A1694" w:rsidRPr="00E64AC3" w:rsidRDefault="005A1694" w:rsidP="008E6691">
      <w:pPr>
        <w:pStyle w:val="ListParagraph"/>
        <w:numPr>
          <w:ilvl w:val="0"/>
          <w:numId w:val="32"/>
        </w:numPr>
        <w:spacing w:before="240" w:after="240" w:line="240" w:lineRule="auto"/>
        <w:ind w:left="567" w:hanging="283"/>
      </w:pPr>
      <w:r w:rsidRPr="00E64AC3">
        <w:t xml:space="preserve">an </w:t>
      </w:r>
      <w:r w:rsidRPr="00292613">
        <w:t>access approval</w:t>
      </w:r>
      <w:r w:rsidRPr="00E64AC3">
        <w:t xml:space="preserve"> that is in effect (or </w:t>
      </w:r>
      <w:r w:rsidRPr="00E64AC3">
        <w:rPr>
          <w:rFonts w:hint="eastAsia"/>
        </w:rPr>
        <w:t>‘</w:t>
      </w:r>
      <w:r w:rsidRPr="00E64AC3">
        <w:t>active</w:t>
      </w:r>
      <w:r w:rsidRPr="00E64AC3">
        <w:rPr>
          <w:rFonts w:hint="eastAsia"/>
        </w:rPr>
        <w:t>’</w:t>
      </w:r>
      <w:r w:rsidRPr="00E64AC3">
        <w:t xml:space="preserve">), </w:t>
      </w:r>
      <w:r w:rsidRPr="00292613">
        <w:t>and</w:t>
      </w:r>
    </w:p>
    <w:p w14:paraId="41052F07" w14:textId="77777777" w:rsidR="005A1694" w:rsidRPr="00E64AC3" w:rsidRDefault="005A1694" w:rsidP="008E6691">
      <w:pPr>
        <w:pStyle w:val="ListParagraph"/>
        <w:numPr>
          <w:ilvl w:val="0"/>
          <w:numId w:val="32"/>
        </w:numPr>
        <w:spacing w:before="240" w:after="240" w:line="240" w:lineRule="auto"/>
        <w:ind w:left="567" w:hanging="283"/>
      </w:pPr>
      <w:r w:rsidRPr="00E64AC3">
        <w:t xml:space="preserve">a </w:t>
      </w:r>
      <w:r w:rsidRPr="00292613">
        <w:t>classification level</w:t>
      </w:r>
      <w:r w:rsidRPr="00E64AC3">
        <w:t xml:space="preserve"> that is in effect.</w:t>
      </w:r>
    </w:p>
    <w:p w14:paraId="7EE9FBA0" w14:textId="27C552D8" w:rsidR="005A1694" w:rsidRDefault="005A1694" w:rsidP="008E6691">
      <w:pPr>
        <w:spacing w:before="240" w:after="240" w:line="240" w:lineRule="auto"/>
      </w:pPr>
      <w:r w:rsidRPr="00E64AC3">
        <w:t xml:space="preserve">Periods of effect </w:t>
      </w:r>
      <w:r w:rsidRPr="003F4810">
        <w:t>for an</w:t>
      </w:r>
      <w:r w:rsidRPr="00E64AC3">
        <w:t xml:space="preserve"> approval for decisions are detailed in sections 71, 80 and 89</w:t>
      </w:r>
      <w:r w:rsidRPr="00E64AC3">
        <w:rPr>
          <w:rFonts w:hint="eastAsia"/>
        </w:rPr>
        <w:t> </w:t>
      </w:r>
      <w:r w:rsidRPr="00E64AC3">
        <w:t>of the Act.</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FF72C0" w:rsidRPr="00C42989" w14:paraId="6EE388D5" w14:textId="77777777">
        <w:trPr>
          <w:trHeight w:val="300"/>
        </w:trPr>
        <w:tc>
          <w:tcPr>
            <w:tcW w:w="988" w:type="dxa"/>
          </w:tcPr>
          <w:p w14:paraId="0DD19073" w14:textId="77777777" w:rsidR="00FF72C0" w:rsidRPr="00C42989" w:rsidRDefault="00FF72C0">
            <w:pPr>
              <w:spacing w:before="240" w:after="240"/>
            </w:pPr>
            <w:r w:rsidRPr="00C42989">
              <w:rPr>
                <w:noProof/>
              </w:rPr>
              <w:drawing>
                <wp:inline distT="0" distB="0" distL="0" distR="0" wp14:anchorId="2A0540B3" wp14:editId="268FED78">
                  <wp:extent cx="447675" cy="438150"/>
                  <wp:effectExtent l="0" t="0" r="0" b="0"/>
                  <wp:docPr id="1730283323" name="Picture 17302833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3B9F4579" w14:textId="66BF779A" w:rsidR="00FF72C0" w:rsidRPr="00E64AC3" w:rsidRDefault="00FF72C0">
            <w:pPr>
              <w:spacing w:before="240" w:after="240"/>
            </w:pPr>
            <w:r>
              <w:t xml:space="preserve">See Chapter </w:t>
            </w:r>
            <w:r>
              <w:fldChar w:fldCharType="begin"/>
            </w:r>
            <w:r>
              <w:instrText xml:space="preserve"> REF _Ref212734971 \r \h </w:instrText>
            </w:r>
            <w:r>
              <w:fldChar w:fldCharType="separate"/>
            </w:r>
            <w:r w:rsidR="00F97942">
              <w:t>7</w:t>
            </w:r>
            <w:r>
              <w:fldChar w:fldCharType="end"/>
            </w:r>
            <w:r>
              <w:t xml:space="preserve"> for further information on period of effect</w:t>
            </w:r>
            <w:r w:rsidR="00966434">
              <w:t xml:space="preserve"> of approvals</w:t>
            </w:r>
            <w:r>
              <w:t xml:space="preserve">. </w:t>
            </w:r>
          </w:p>
          <w:p w14:paraId="6839078D" w14:textId="77777777" w:rsidR="00FF72C0" w:rsidRPr="00C42989" w:rsidRDefault="00FF72C0">
            <w:pPr>
              <w:spacing w:before="240" w:after="240"/>
            </w:pPr>
          </w:p>
        </w:tc>
      </w:tr>
    </w:tbl>
    <w:p w14:paraId="7EA08E12" w14:textId="28D16171" w:rsidR="00765CDD" w:rsidRPr="003E1933" w:rsidRDefault="00765CDD" w:rsidP="00507F9D">
      <w:pPr>
        <w:pStyle w:val="h2"/>
      </w:pPr>
      <w:bookmarkStart w:id="101" w:name="_Toc209188944"/>
      <w:bookmarkStart w:id="102" w:name="_Toc224916611"/>
      <w:r w:rsidRPr="003E1933">
        <w:t>Accessing funded aged care services</w:t>
      </w:r>
      <w:bookmarkEnd w:id="101"/>
      <w:bookmarkEnd w:id="102"/>
    </w:p>
    <w:p w14:paraId="70774119" w14:textId="2C7B2664" w:rsidR="00765CDD" w:rsidRPr="0096017A" w:rsidRDefault="00765CDD" w:rsidP="008E6691">
      <w:pPr>
        <w:spacing w:before="240" w:after="240" w:line="240" w:lineRule="auto"/>
      </w:pPr>
      <w:r>
        <w:rPr>
          <w:rFonts w:eastAsiaTheme="minorEastAsia"/>
        </w:rPr>
        <w:t xml:space="preserve">Under the </w:t>
      </w:r>
      <w:r w:rsidR="004807F2" w:rsidRPr="00EA4CD9">
        <w:rPr>
          <w:rFonts w:eastAsiaTheme="minorEastAsia"/>
        </w:rPr>
        <w:t>Act</w:t>
      </w:r>
      <w:r>
        <w:rPr>
          <w:rFonts w:eastAsiaTheme="minorEastAsia"/>
          <w:i/>
          <w:iCs/>
        </w:rPr>
        <w:t xml:space="preserve">, </w:t>
      </w:r>
      <w:r>
        <w:t xml:space="preserve">older people </w:t>
      </w:r>
      <w:r w:rsidRPr="0096017A">
        <w:t>will access funded aged care services through the following:</w:t>
      </w:r>
    </w:p>
    <w:p w14:paraId="2A093FF7" w14:textId="77777777" w:rsidR="00765CDD" w:rsidRPr="002874E9" w:rsidRDefault="00765CDD" w:rsidP="008E6691">
      <w:pPr>
        <w:numPr>
          <w:ilvl w:val="0"/>
          <w:numId w:val="6"/>
        </w:numPr>
        <w:spacing w:before="240" w:after="240" w:line="240" w:lineRule="auto"/>
      </w:pPr>
      <w:r w:rsidRPr="0026167A">
        <w:rPr>
          <w:b/>
          <w:bCs/>
        </w:rPr>
        <w:t>Commonwealth Home Support Program (CHSP)</w:t>
      </w:r>
      <w:r w:rsidRPr="0026167A">
        <w:t xml:space="preserve">: Offers entry-level </w:t>
      </w:r>
      <w:r>
        <w:t xml:space="preserve">in-home care </w:t>
      </w:r>
      <w:r w:rsidRPr="0026167A">
        <w:t xml:space="preserve">services to assist older </w:t>
      </w:r>
      <w:r>
        <w:t xml:space="preserve">people </w:t>
      </w:r>
      <w:r w:rsidRPr="0026167A">
        <w:t>with daily tasks, promoting independence and community connection.</w:t>
      </w:r>
    </w:p>
    <w:p w14:paraId="3FE79F27" w14:textId="77777777" w:rsidR="00765CDD" w:rsidRPr="0026167A" w:rsidRDefault="00765CDD" w:rsidP="008E6691">
      <w:pPr>
        <w:numPr>
          <w:ilvl w:val="0"/>
          <w:numId w:val="6"/>
        </w:numPr>
        <w:spacing w:before="240" w:after="240" w:line="240" w:lineRule="auto"/>
      </w:pPr>
      <w:r w:rsidRPr="0026167A">
        <w:rPr>
          <w:b/>
          <w:bCs/>
        </w:rPr>
        <w:t xml:space="preserve">Support at Home </w:t>
      </w:r>
      <w:r w:rsidRPr="45C38B84">
        <w:rPr>
          <w:b/>
          <w:bCs/>
        </w:rPr>
        <w:t>program</w:t>
      </w:r>
      <w:r w:rsidRPr="0026167A">
        <w:t xml:space="preserve">: Assists older </w:t>
      </w:r>
      <w:r>
        <w:t xml:space="preserve">people </w:t>
      </w:r>
      <w:r w:rsidRPr="0026167A">
        <w:t xml:space="preserve">in maintaining independence by providing in-home care services, </w:t>
      </w:r>
      <w:r>
        <w:t>assistive technology and home modifications,</w:t>
      </w:r>
      <w:r w:rsidRPr="0026167A">
        <w:t xml:space="preserve"> enabling them to live safely and comfortably in their own homes.​</w:t>
      </w:r>
    </w:p>
    <w:p w14:paraId="33D16C64" w14:textId="0AE9F841" w:rsidR="00765CDD" w:rsidRPr="0026167A" w:rsidRDefault="00765CDD" w:rsidP="008E6691">
      <w:pPr>
        <w:numPr>
          <w:ilvl w:val="0"/>
          <w:numId w:val="6"/>
        </w:numPr>
        <w:spacing w:before="240" w:after="240" w:line="240" w:lineRule="auto"/>
      </w:pPr>
      <w:r w:rsidRPr="0026167A">
        <w:rPr>
          <w:b/>
          <w:bCs/>
        </w:rPr>
        <w:t>Residential Care</w:t>
      </w:r>
      <w:r w:rsidRPr="0026167A">
        <w:t>: Provides accommodation and 24-hour support in aged care facilities for individuals requiring continuous care</w:t>
      </w:r>
      <w:r>
        <w:t xml:space="preserve"> on either a permanent or short-term basis</w:t>
      </w:r>
      <w:r w:rsidRPr="0026167A">
        <w:t>.</w:t>
      </w:r>
    </w:p>
    <w:p w14:paraId="04380E46" w14:textId="78C40693" w:rsidR="00765CDD" w:rsidRPr="0026167A" w:rsidRDefault="00765CDD" w:rsidP="008E6691">
      <w:pPr>
        <w:numPr>
          <w:ilvl w:val="0"/>
          <w:numId w:val="6"/>
        </w:numPr>
        <w:spacing w:before="240" w:after="240" w:line="240" w:lineRule="auto"/>
      </w:pPr>
      <w:r w:rsidRPr="0026167A">
        <w:rPr>
          <w:b/>
          <w:bCs/>
        </w:rPr>
        <w:t xml:space="preserve">Transition Care </w:t>
      </w:r>
      <w:r w:rsidRPr="575C083C">
        <w:rPr>
          <w:b/>
          <w:bCs/>
        </w:rPr>
        <w:t>Program</w:t>
      </w:r>
      <w:r>
        <w:rPr>
          <w:b/>
          <w:bCs/>
        </w:rPr>
        <w:t xml:space="preserve"> (TCP)</w:t>
      </w:r>
      <w:r w:rsidRPr="0026167A">
        <w:t xml:space="preserve">: Offers short-term </w:t>
      </w:r>
      <w:r>
        <w:t xml:space="preserve">goal-oriented therapy focused care </w:t>
      </w:r>
      <w:r w:rsidRPr="0026167A">
        <w:t>for older people after a hospital stay, aiming to improve their independence and confidence</w:t>
      </w:r>
      <w:r w:rsidR="00DB3DF8">
        <w:t>.</w:t>
      </w:r>
      <w:r w:rsidRPr="0026167A">
        <w:t>​</w:t>
      </w:r>
    </w:p>
    <w:p w14:paraId="75885404" w14:textId="77777777" w:rsidR="00765CDD" w:rsidRDefault="00765CDD" w:rsidP="008E6691">
      <w:pPr>
        <w:numPr>
          <w:ilvl w:val="0"/>
          <w:numId w:val="6"/>
        </w:numPr>
        <w:spacing w:before="240" w:after="240" w:line="240" w:lineRule="auto"/>
      </w:pPr>
      <w:r w:rsidRPr="0026167A">
        <w:rPr>
          <w:b/>
          <w:bCs/>
        </w:rPr>
        <w:t>Multi-Purpose Service Program</w:t>
      </w:r>
      <w:r>
        <w:rPr>
          <w:b/>
          <w:bCs/>
        </w:rPr>
        <w:t xml:space="preserve"> (MPSP)</w:t>
      </w:r>
      <w:r w:rsidRPr="0026167A">
        <w:t>: Provides integrated health and aged care services for older people in small rural and remote communities, allowing them to stay close to family and friends while receiving necessary support. ​</w:t>
      </w:r>
    </w:p>
    <w:p w14:paraId="0A0C0D53" w14:textId="3FDCFB7A" w:rsidR="00273CF4" w:rsidRDefault="00765CDD" w:rsidP="008E6691">
      <w:pPr>
        <w:numPr>
          <w:ilvl w:val="0"/>
          <w:numId w:val="6"/>
        </w:numPr>
        <w:spacing w:before="240" w:after="240" w:line="240" w:lineRule="auto"/>
      </w:pPr>
      <w:r w:rsidRPr="00383DC6">
        <w:rPr>
          <w:b/>
          <w:bCs/>
        </w:rPr>
        <w:t>National Aboriginal and Torres Strait Islander Flexible Aged Care Program (NATSIFACP)</w:t>
      </w:r>
      <w:r w:rsidRPr="0026167A">
        <w:t xml:space="preserve">: Funds organisations to provide culturally </w:t>
      </w:r>
      <w:r w:rsidR="004B5A24">
        <w:t xml:space="preserve">safe </w:t>
      </w:r>
      <w:r w:rsidRPr="0026167A">
        <w:t>aged care services for older Aboriginal and Torres Strait Islander people, allowing them to be cared for close to home and community.</w:t>
      </w:r>
    </w:p>
    <w:p w14:paraId="17EDBC80" w14:textId="3F45F4EE" w:rsidR="00765CDD" w:rsidRDefault="00273CF4" w:rsidP="00273CF4">
      <w:r>
        <w:br w:type="page"/>
      </w:r>
    </w:p>
    <w:p w14:paraId="0B67E3F9" w14:textId="77777777" w:rsidR="00C325C6" w:rsidRDefault="00765CDD" w:rsidP="00C325C6">
      <w:pPr>
        <w:pStyle w:val="Sub-headings"/>
      </w:pPr>
      <w:r w:rsidRPr="00904192">
        <w:t>Note</w:t>
      </w:r>
      <w:r w:rsidRPr="000027E3">
        <w:t>:</w:t>
      </w:r>
    </w:p>
    <w:p w14:paraId="1798BCD2" w14:textId="6985154C" w:rsidR="00E60348" w:rsidRPr="00C325C6" w:rsidRDefault="00765CDD" w:rsidP="00C325C6">
      <w:pPr>
        <w:pStyle w:val="Sub-headings"/>
      </w:pPr>
      <w:r w:rsidRPr="00C325C6">
        <w:t xml:space="preserve">CHSP, TCP, MPSP, NATSIFACP are defined as </w:t>
      </w:r>
      <w:r w:rsidR="004807F2" w:rsidRPr="00C325C6">
        <w:t xml:space="preserve">a </w:t>
      </w:r>
      <w:r w:rsidRPr="00C325C6">
        <w:t>specialist aged care program under the Act.</w:t>
      </w:r>
    </w:p>
    <w:p w14:paraId="70572D91" w14:textId="4E555334" w:rsidR="00765CDD" w:rsidRDefault="00765CDD" w:rsidP="008E6691">
      <w:pPr>
        <w:spacing w:before="240" w:after="240" w:line="240" w:lineRule="auto"/>
      </w:pPr>
      <w:r w:rsidRPr="00343808">
        <w:t>Older people do not need to be separately approved under the Act to access services through MPSP or NATSIFACP. Rather these service</w:t>
      </w:r>
      <w:r w:rsidR="00825E1B">
        <w:t xml:space="preserve"> pathways</w:t>
      </w:r>
      <w:r w:rsidRPr="00343808">
        <w:t xml:space="preserve"> are added as a service recommendation </w:t>
      </w:r>
      <w:r w:rsidRPr="00292613">
        <w:t>in the client’s Support Plan</w:t>
      </w:r>
      <w:r w:rsidRPr="00343808">
        <w:rPr>
          <w:b/>
        </w:rPr>
        <w:t xml:space="preserve"> </w:t>
      </w:r>
      <w:r w:rsidRPr="00343808">
        <w:t xml:space="preserve">to accompany the </w:t>
      </w:r>
      <w:r w:rsidR="00243966">
        <w:t>access approval for a</w:t>
      </w:r>
      <w:r w:rsidRPr="00343808">
        <w:t xml:space="preserve"> service group</w:t>
      </w:r>
      <w:r w:rsidR="00564B6D">
        <w:t xml:space="preserve"> and</w:t>
      </w:r>
      <w:r w:rsidRPr="00343808">
        <w:t xml:space="preserve"> classification</w:t>
      </w:r>
      <w:r w:rsidR="00E16191">
        <w:t xml:space="preserve"> type</w:t>
      </w:r>
      <w:r w:rsidR="00AF5B71">
        <w:t>.</w:t>
      </w:r>
    </w:p>
    <w:p w14:paraId="5B7C069D" w14:textId="77777777" w:rsidR="00765CDD" w:rsidRPr="00E64AC3" w:rsidRDefault="00765CDD" w:rsidP="00507F9D">
      <w:pPr>
        <w:pStyle w:val="h2"/>
      </w:pPr>
      <w:bookmarkStart w:id="103" w:name="_Toc209188945"/>
      <w:bookmarkStart w:id="104" w:name="_Toc224916612"/>
      <w:r w:rsidRPr="00E64AC3">
        <w:t>Where approvals can be used</w:t>
      </w:r>
      <w:bookmarkEnd w:id="103"/>
      <w:bookmarkEnd w:id="104"/>
    </w:p>
    <w:p w14:paraId="4016A773" w14:textId="1F851A2F" w:rsidR="00765CDD" w:rsidRPr="00E64AC3" w:rsidRDefault="00765CDD" w:rsidP="008E6691">
      <w:pPr>
        <w:spacing w:before="240" w:after="240" w:line="240" w:lineRule="auto"/>
      </w:pPr>
      <w:r w:rsidRPr="00305920">
        <w:t xml:space="preserve">Some approvals can be taken to more than one type of program or provider. </w:t>
      </w:r>
      <w:r w:rsidRPr="00E64AC3">
        <w:t xml:space="preserve">This is part of how the </w:t>
      </w:r>
      <w:r w:rsidR="007836DF">
        <w:t>Act</w:t>
      </w:r>
      <w:r w:rsidRPr="00E64AC3">
        <w:t xml:space="preserve"> gives more flexibility to tailor the response to the individual.</w:t>
      </w:r>
    </w:p>
    <w:p w14:paraId="4022CEA1" w14:textId="77777777" w:rsidR="00765CDD" w:rsidRPr="00E64AC3" w:rsidRDefault="00765CDD" w:rsidP="008E6691">
      <w:pPr>
        <w:spacing w:before="240" w:after="240" w:line="240" w:lineRule="auto"/>
      </w:pPr>
      <w:r w:rsidRPr="00E64AC3">
        <w:t>For example, some people may choose to access their approved services through MPSP or NATSIFACP. Where this is recommended, a referral to a relevant provider will be made alongside the approval.</w:t>
      </w:r>
    </w:p>
    <w:p w14:paraId="1F3699E2" w14:textId="77777777" w:rsidR="0099761A" w:rsidRPr="000027E3" w:rsidRDefault="00765CDD" w:rsidP="00C325C6">
      <w:pPr>
        <w:pStyle w:val="Sub-headings"/>
      </w:pPr>
      <w:r w:rsidRPr="00904192">
        <w:t>Note</w:t>
      </w:r>
      <w:r w:rsidRPr="000027E3">
        <w:t xml:space="preserve">: </w:t>
      </w:r>
    </w:p>
    <w:p w14:paraId="125DC6E4" w14:textId="5BE5F00A" w:rsidR="00765CDD" w:rsidRPr="00E64AC3" w:rsidRDefault="00765CDD" w:rsidP="00C325C6">
      <w:pPr>
        <w:pStyle w:val="Sub-headings"/>
      </w:pPr>
      <w:r w:rsidRPr="00386993">
        <w:t>If an older person accesses services through MPSP or NATSIFACP, the classification level will not restrict the type or amount of services that can be provided to the person.</w:t>
      </w:r>
    </w:p>
    <w:p w14:paraId="32A3C87C" w14:textId="77777777" w:rsidR="00765CDD" w:rsidRPr="00E64AC3" w:rsidRDefault="00765CDD" w:rsidP="008E6691">
      <w:pPr>
        <w:spacing w:before="240" w:after="240" w:line="240" w:lineRule="auto"/>
      </w:pPr>
      <w:r w:rsidRPr="00E64AC3">
        <w:t>The table below shows where the different approval combinations can be used.</w:t>
      </w:r>
    </w:p>
    <w:p w14:paraId="504F049A" w14:textId="111AD24B" w:rsidR="00765CDD" w:rsidRPr="00E64AC3" w:rsidRDefault="00677007" w:rsidP="008E6691">
      <w:pPr>
        <w:spacing w:before="240" w:after="240" w:line="240" w:lineRule="auto"/>
      </w:pPr>
      <w:r>
        <w:t>T</w:t>
      </w:r>
      <w:r w:rsidR="00765CDD" w:rsidRPr="00E64AC3">
        <w:t xml:space="preserve">he systems, tools and templates </w:t>
      </w:r>
      <w:r>
        <w:t>assessors and assessment delegates</w:t>
      </w:r>
      <w:r w:rsidRPr="00E64AC3">
        <w:t xml:space="preserve"> </w:t>
      </w:r>
      <w:r w:rsidR="00765CDD" w:rsidRPr="00E64AC3">
        <w:t>use will take these into account and/or prompt when needed.</w:t>
      </w:r>
    </w:p>
    <w:p w14:paraId="5E8CE763" w14:textId="77777777" w:rsidR="00965D82" w:rsidRDefault="00965D82" w:rsidP="008E6691">
      <w:pPr>
        <w:spacing w:before="240" w:after="240" w:line="240" w:lineRule="auto"/>
        <w:rPr>
          <w:b/>
          <w:iCs/>
          <w:color w:val="44546A" w:themeColor="text2"/>
          <w:sz w:val="21"/>
          <w:szCs w:val="18"/>
        </w:rPr>
      </w:pPr>
      <w:r>
        <w:br w:type="page"/>
      </w:r>
    </w:p>
    <w:p w14:paraId="18AEC2CD" w14:textId="22944BCB" w:rsidR="00A55540" w:rsidRPr="00E64AC3" w:rsidRDefault="00A55540" w:rsidP="008E6691">
      <w:pPr>
        <w:pStyle w:val="Caption"/>
        <w:spacing w:before="240" w:after="240"/>
      </w:pPr>
      <w:r>
        <w:t xml:space="preserve">Table </w:t>
      </w:r>
      <w:r w:rsidR="00502BE4">
        <w:t>10</w:t>
      </w:r>
      <w:r>
        <w:t xml:space="preserve">. </w:t>
      </w:r>
      <w:r w:rsidR="0042352C">
        <w:t xml:space="preserve">Service group, classification type and classification level </w:t>
      </w:r>
      <w:r w:rsidR="00D35B9E">
        <w:t xml:space="preserve">approval combinations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Caption w:val="Service group, classification type and classification level approval combinations"/>
        <w:tblDescription w:val="Overview of service group, classification type and classification level approval combinations and corresponding aged care programs"/>
      </w:tblPr>
      <w:tblGrid>
        <w:gridCol w:w="2258"/>
        <w:gridCol w:w="6804"/>
      </w:tblGrid>
      <w:tr w:rsidR="00765CDD" w:rsidRPr="00E64AC3" w14:paraId="0DF69490" w14:textId="77777777" w:rsidTr="00662566">
        <w:trPr>
          <w:trHeight w:val="247"/>
          <w:tblHeader/>
        </w:trPr>
        <w:tc>
          <w:tcPr>
            <w:tcW w:w="2258" w:type="dxa"/>
            <w:shd w:val="clear" w:color="auto" w:fill="002060"/>
            <w:tcMar>
              <w:top w:w="72" w:type="dxa"/>
              <w:left w:w="144" w:type="dxa"/>
              <w:bottom w:w="72" w:type="dxa"/>
              <w:right w:w="144" w:type="dxa"/>
            </w:tcMar>
            <w:hideMark/>
          </w:tcPr>
          <w:p w14:paraId="027073B2" w14:textId="77777777" w:rsidR="00765CDD" w:rsidRPr="00E64AC3" w:rsidRDefault="00765CDD" w:rsidP="008E6691">
            <w:pPr>
              <w:spacing w:before="240" w:after="240" w:line="240" w:lineRule="auto"/>
              <w:rPr>
                <w:b/>
                <w:color w:val="FFFFFF" w:themeColor="background1"/>
              </w:rPr>
            </w:pPr>
            <w:r w:rsidRPr="00E64AC3">
              <w:rPr>
                <w:b/>
                <w:color w:val="FFFFFF" w:themeColor="background1"/>
              </w:rPr>
              <w:t>Program</w:t>
            </w:r>
          </w:p>
        </w:tc>
        <w:tc>
          <w:tcPr>
            <w:tcW w:w="6804" w:type="dxa"/>
            <w:shd w:val="clear" w:color="auto" w:fill="002060"/>
            <w:tcMar>
              <w:top w:w="72" w:type="dxa"/>
              <w:left w:w="144" w:type="dxa"/>
              <w:bottom w:w="72" w:type="dxa"/>
              <w:right w:w="144" w:type="dxa"/>
            </w:tcMar>
            <w:hideMark/>
          </w:tcPr>
          <w:p w14:paraId="2F132EC9" w14:textId="77777777" w:rsidR="00765CDD" w:rsidRPr="00E64AC3" w:rsidRDefault="00765CDD" w:rsidP="008E6691">
            <w:pPr>
              <w:spacing w:before="240" w:after="240" w:line="240" w:lineRule="auto"/>
              <w:rPr>
                <w:b/>
                <w:color w:val="FFFFFF" w:themeColor="background1"/>
              </w:rPr>
            </w:pPr>
            <w:r w:rsidRPr="00E64AC3">
              <w:rPr>
                <w:b/>
                <w:color w:val="FFFFFF" w:themeColor="background1"/>
              </w:rPr>
              <w:t xml:space="preserve">Service group </w:t>
            </w:r>
            <w:r w:rsidRPr="00E64AC3">
              <w:rPr>
                <w:rFonts w:hint="eastAsia"/>
                <w:b/>
                <w:color w:val="FFFFFF" w:themeColor="background1"/>
              </w:rPr>
              <w:t>–</w:t>
            </w:r>
            <w:r w:rsidRPr="00E64AC3">
              <w:rPr>
                <w:b/>
                <w:color w:val="FFFFFF" w:themeColor="background1"/>
              </w:rPr>
              <w:t xml:space="preserve"> Classification type - Classification level</w:t>
            </w:r>
          </w:p>
        </w:tc>
      </w:tr>
      <w:tr w:rsidR="00765CDD" w:rsidRPr="00E64AC3" w14:paraId="0E90780B" w14:textId="77777777" w:rsidTr="00662566">
        <w:trPr>
          <w:trHeight w:val="584"/>
        </w:trPr>
        <w:tc>
          <w:tcPr>
            <w:tcW w:w="2258" w:type="dxa"/>
            <w:shd w:val="clear" w:color="auto" w:fill="002060"/>
            <w:tcMar>
              <w:top w:w="72" w:type="dxa"/>
              <w:left w:w="144" w:type="dxa"/>
              <w:bottom w:w="72" w:type="dxa"/>
              <w:right w:w="144" w:type="dxa"/>
            </w:tcMar>
            <w:hideMark/>
          </w:tcPr>
          <w:p w14:paraId="47AE23FD" w14:textId="7C3C467D" w:rsidR="00765CDD" w:rsidRPr="00481E43" w:rsidRDefault="00765CDD" w:rsidP="008E6691">
            <w:pPr>
              <w:spacing w:before="240" w:after="240" w:line="240" w:lineRule="auto"/>
              <w:rPr>
                <w:bCs/>
              </w:rPr>
            </w:pPr>
            <w:r w:rsidRPr="00481E43">
              <w:rPr>
                <w:bCs/>
              </w:rPr>
              <w:t>C</w:t>
            </w:r>
            <w:r w:rsidR="00CE51A7">
              <w:rPr>
                <w:bCs/>
              </w:rPr>
              <w:t xml:space="preserve">ommonwealth </w:t>
            </w:r>
            <w:r w:rsidRPr="00481E43">
              <w:rPr>
                <w:bCs/>
              </w:rPr>
              <w:t>H</w:t>
            </w:r>
            <w:r w:rsidR="00CE51A7">
              <w:rPr>
                <w:bCs/>
              </w:rPr>
              <w:t xml:space="preserve">ome </w:t>
            </w:r>
            <w:r w:rsidRPr="00481E43">
              <w:rPr>
                <w:bCs/>
              </w:rPr>
              <w:t>S</w:t>
            </w:r>
            <w:r w:rsidR="00CE51A7">
              <w:rPr>
                <w:bCs/>
              </w:rPr>
              <w:t xml:space="preserve">upport </w:t>
            </w:r>
            <w:r w:rsidRPr="00481E43">
              <w:rPr>
                <w:bCs/>
              </w:rPr>
              <w:t>P</w:t>
            </w:r>
            <w:r w:rsidR="00CE51A7">
              <w:rPr>
                <w:bCs/>
              </w:rPr>
              <w:t>rogram (CHSP)</w:t>
            </w:r>
          </w:p>
        </w:tc>
        <w:tc>
          <w:tcPr>
            <w:tcW w:w="6804" w:type="dxa"/>
            <w:shd w:val="clear" w:color="auto" w:fill="FFFFFF" w:themeFill="background1"/>
            <w:tcMar>
              <w:top w:w="72" w:type="dxa"/>
              <w:left w:w="144" w:type="dxa"/>
              <w:bottom w:w="72" w:type="dxa"/>
              <w:right w:w="144" w:type="dxa"/>
            </w:tcMar>
          </w:tcPr>
          <w:p w14:paraId="597C9F6C" w14:textId="360ABC41" w:rsidR="00972E6B" w:rsidRDefault="00765CDD" w:rsidP="008E6691">
            <w:pPr>
              <w:spacing w:before="240" w:after="240" w:line="240" w:lineRule="auto"/>
            </w:pPr>
            <w:r w:rsidRPr="00E64AC3">
              <w:t xml:space="preserve">Home support </w:t>
            </w:r>
            <w:r w:rsidRPr="00E64AC3">
              <w:rPr>
                <w:rFonts w:hint="eastAsia"/>
              </w:rPr>
              <w:t>–</w:t>
            </w:r>
            <w:r w:rsidRPr="00E64AC3">
              <w:t xml:space="preserve"> ongoing - CHSP class</w:t>
            </w:r>
            <w:r w:rsidRPr="00E64AC3">
              <w:br/>
            </w:r>
          </w:p>
          <w:p w14:paraId="7EA78C47" w14:textId="193320C3"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CHSP</w:t>
            </w:r>
          </w:p>
          <w:p w14:paraId="7CBD8B28" w14:textId="77777777" w:rsidR="00765CDD" w:rsidRPr="00E64AC3" w:rsidRDefault="00765CDD" w:rsidP="008E6691">
            <w:pPr>
              <w:spacing w:before="240" w:after="240" w:line="240" w:lineRule="auto"/>
            </w:pPr>
            <w:r w:rsidRPr="00E64AC3">
              <w:br/>
              <w:t xml:space="preserve">Home modifications </w:t>
            </w:r>
            <w:r w:rsidRPr="00E64AC3">
              <w:rPr>
                <w:rFonts w:hint="eastAsia"/>
              </w:rPr>
              <w:t>–</w:t>
            </w:r>
            <w:r w:rsidRPr="00E64AC3">
              <w:t xml:space="preserve"> short-term </w:t>
            </w:r>
            <w:r w:rsidRPr="00E64AC3">
              <w:rPr>
                <w:rFonts w:hint="eastAsia"/>
              </w:rPr>
              <w:t>–</w:t>
            </w:r>
            <w:r w:rsidRPr="00E64AC3">
              <w:t xml:space="preserve"> HM CHSP</w:t>
            </w:r>
          </w:p>
        </w:tc>
      </w:tr>
      <w:tr w:rsidR="00765CDD" w:rsidRPr="00E64AC3" w14:paraId="18838B24" w14:textId="77777777" w:rsidTr="00662566">
        <w:trPr>
          <w:trHeight w:val="584"/>
        </w:trPr>
        <w:tc>
          <w:tcPr>
            <w:tcW w:w="2258" w:type="dxa"/>
            <w:shd w:val="clear" w:color="auto" w:fill="002060"/>
            <w:tcMar>
              <w:top w:w="72" w:type="dxa"/>
              <w:left w:w="144" w:type="dxa"/>
              <w:bottom w:w="72" w:type="dxa"/>
              <w:right w:w="144" w:type="dxa"/>
            </w:tcMar>
            <w:hideMark/>
          </w:tcPr>
          <w:p w14:paraId="5759F0DF" w14:textId="77777777" w:rsidR="00765CDD" w:rsidRPr="00481E43" w:rsidRDefault="00765CDD" w:rsidP="008E6691">
            <w:pPr>
              <w:spacing w:before="240" w:after="240" w:line="240" w:lineRule="auto"/>
              <w:rPr>
                <w:bCs/>
              </w:rPr>
            </w:pPr>
            <w:r w:rsidRPr="00481E43">
              <w:rPr>
                <w:bCs/>
              </w:rPr>
              <w:t>Support at Home program</w:t>
            </w:r>
          </w:p>
        </w:tc>
        <w:tc>
          <w:tcPr>
            <w:tcW w:w="6804" w:type="dxa"/>
            <w:shd w:val="clear" w:color="auto" w:fill="FFFFFF" w:themeFill="background1"/>
            <w:tcMar>
              <w:top w:w="72" w:type="dxa"/>
              <w:left w:w="144" w:type="dxa"/>
              <w:bottom w:w="72" w:type="dxa"/>
              <w:right w:w="144" w:type="dxa"/>
            </w:tcMar>
          </w:tcPr>
          <w:p w14:paraId="307A81AA"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ongoing </w:t>
            </w:r>
            <w:r w:rsidRPr="00E64AC3">
              <w:rPr>
                <w:rFonts w:hint="eastAsia"/>
              </w:rPr>
              <w:t>–</w:t>
            </w:r>
            <w:r w:rsidRPr="00E64AC3">
              <w:t xml:space="preserve"> SAH class 1 to 8</w:t>
            </w:r>
          </w:p>
          <w:p w14:paraId="66CD2AC0"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restorative care pathway</w:t>
            </w:r>
          </w:p>
          <w:p w14:paraId="67EDF957"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end-of-life pathway</w:t>
            </w:r>
          </w:p>
          <w:p w14:paraId="2F836688" w14:textId="77777777" w:rsidR="00765CDD" w:rsidRPr="00E64AC3" w:rsidRDefault="00765CDD" w:rsidP="008E6691">
            <w:pPr>
              <w:spacing w:before="240" w:after="240" w:line="240" w:lineRule="auto"/>
            </w:pPr>
            <w:r w:rsidRPr="00E64AC3">
              <w:br/>
              <w:t xml:space="preserve">Assistive technology </w:t>
            </w:r>
            <w:r w:rsidRPr="00E64AC3">
              <w:rPr>
                <w:rFonts w:hint="eastAsia"/>
              </w:rPr>
              <w:t>–</w:t>
            </w:r>
            <w:r w:rsidRPr="00E64AC3">
              <w:t xml:space="preserve"> ongoing </w:t>
            </w:r>
            <w:r w:rsidRPr="00E64AC3">
              <w:rPr>
                <w:rFonts w:hint="eastAsia"/>
              </w:rPr>
              <w:t>–</w:t>
            </w:r>
            <w:r w:rsidRPr="00E64AC3">
              <w:t xml:space="preserve"> assistance dogs</w:t>
            </w:r>
          </w:p>
          <w:p w14:paraId="5F0146C5" w14:textId="77777777"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low, AT medium, AT high</w:t>
            </w:r>
          </w:p>
          <w:p w14:paraId="4F04EBD3" w14:textId="77777777" w:rsidR="00765CDD" w:rsidRPr="00E64AC3" w:rsidRDefault="00765CDD" w:rsidP="008E6691">
            <w:pPr>
              <w:spacing w:before="240" w:after="240" w:line="240" w:lineRule="auto"/>
            </w:pPr>
          </w:p>
          <w:p w14:paraId="0AD7EBF3" w14:textId="77777777" w:rsidR="00765CDD" w:rsidRPr="00E64AC3" w:rsidRDefault="00765CDD" w:rsidP="008E6691">
            <w:pPr>
              <w:spacing w:before="240" w:after="240" w:line="240" w:lineRule="auto"/>
            </w:pPr>
            <w:r w:rsidRPr="00E64AC3">
              <w:t xml:space="preserve">Home modifications </w:t>
            </w:r>
            <w:r w:rsidRPr="00E64AC3">
              <w:rPr>
                <w:rFonts w:hint="eastAsia"/>
              </w:rPr>
              <w:t>–</w:t>
            </w:r>
            <w:r w:rsidRPr="00E64AC3">
              <w:t xml:space="preserve"> short-term </w:t>
            </w:r>
            <w:r w:rsidRPr="00E64AC3">
              <w:rPr>
                <w:rFonts w:hint="eastAsia"/>
              </w:rPr>
              <w:t>–</w:t>
            </w:r>
            <w:r w:rsidRPr="00E64AC3">
              <w:t xml:space="preserve"> HM low, HM medium, HM high</w:t>
            </w:r>
          </w:p>
        </w:tc>
      </w:tr>
      <w:tr w:rsidR="00765CDD" w:rsidRPr="00E64AC3" w14:paraId="62849A4D" w14:textId="77777777" w:rsidTr="00662566">
        <w:trPr>
          <w:trHeight w:val="584"/>
        </w:trPr>
        <w:tc>
          <w:tcPr>
            <w:tcW w:w="2258" w:type="dxa"/>
            <w:shd w:val="clear" w:color="auto" w:fill="002060"/>
            <w:tcMar>
              <w:top w:w="72" w:type="dxa"/>
              <w:left w:w="144" w:type="dxa"/>
              <w:bottom w:w="72" w:type="dxa"/>
              <w:right w:w="144" w:type="dxa"/>
            </w:tcMar>
            <w:hideMark/>
          </w:tcPr>
          <w:p w14:paraId="097DB0F5" w14:textId="77777777" w:rsidR="00765CDD" w:rsidRPr="00481E43" w:rsidRDefault="00765CDD" w:rsidP="008E6691">
            <w:pPr>
              <w:spacing w:before="240" w:after="240" w:line="240" w:lineRule="auto"/>
              <w:rPr>
                <w:bCs/>
              </w:rPr>
            </w:pPr>
            <w:r w:rsidRPr="00481E43">
              <w:rPr>
                <w:bCs/>
              </w:rPr>
              <w:t>Residential Aged Care</w:t>
            </w:r>
          </w:p>
        </w:tc>
        <w:tc>
          <w:tcPr>
            <w:tcW w:w="6804" w:type="dxa"/>
            <w:shd w:val="clear" w:color="auto" w:fill="FFFFFF" w:themeFill="background1"/>
            <w:tcMar>
              <w:top w:w="72" w:type="dxa"/>
              <w:left w:w="144" w:type="dxa"/>
              <w:bottom w:w="72" w:type="dxa"/>
              <w:right w:w="144" w:type="dxa"/>
            </w:tcMar>
          </w:tcPr>
          <w:p w14:paraId="35FA686B" w14:textId="2A46EF62" w:rsidR="00765CDD" w:rsidRPr="00E64AC3" w:rsidRDefault="00765CDD" w:rsidP="008E6691">
            <w:pPr>
              <w:spacing w:before="240" w:after="240" w:line="240" w:lineRule="auto"/>
            </w:pPr>
            <w:r w:rsidRPr="00E64AC3">
              <w:t xml:space="preserve">Residential care </w:t>
            </w:r>
            <w:r w:rsidRPr="00E64AC3">
              <w:rPr>
                <w:rFonts w:hint="eastAsia"/>
              </w:rPr>
              <w:t>–</w:t>
            </w:r>
            <w:r w:rsidRPr="00E64AC3">
              <w:t xml:space="preserve"> ongoing </w:t>
            </w:r>
            <w:r w:rsidRPr="00E64AC3">
              <w:rPr>
                <w:rFonts w:hint="eastAsia"/>
              </w:rPr>
              <w:t>–</w:t>
            </w:r>
            <w:r w:rsidRPr="00E64AC3">
              <w:t xml:space="preserve"> </w:t>
            </w:r>
            <w:r w:rsidR="005E6E5E">
              <w:t xml:space="preserve">Class </w:t>
            </w:r>
            <w:r w:rsidRPr="00E64AC3">
              <w:t xml:space="preserve">0 to 13* </w:t>
            </w:r>
            <w:r w:rsidRPr="00E64AC3">
              <w:br/>
              <w:t xml:space="preserve">Residential care </w:t>
            </w:r>
            <w:r w:rsidRPr="00E64AC3">
              <w:rPr>
                <w:rFonts w:hint="eastAsia"/>
              </w:rPr>
              <w:t>–</w:t>
            </w:r>
            <w:r w:rsidRPr="00E64AC3">
              <w:t xml:space="preserve"> short-term </w:t>
            </w:r>
            <w:r w:rsidRPr="00E64AC3">
              <w:rPr>
                <w:rFonts w:hint="eastAsia"/>
              </w:rPr>
              <w:t>–</w:t>
            </w:r>
            <w:r w:rsidRPr="00E64AC3">
              <w:t xml:space="preserve"> </w:t>
            </w:r>
            <w:r w:rsidR="005E6E5E">
              <w:t>Class</w:t>
            </w:r>
            <w:r w:rsidRPr="00E64AC3">
              <w:t xml:space="preserve"> 0 to 3</w:t>
            </w:r>
          </w:p>
        </w:tc>
      </w:tr>
      <w:tr w:rsidR="00765CDD" w:rsidRPr="00E64AC3" w14:paraId="4DC46AFC" w14:textId="77777777" w:rsidTr="00662566">
        <w:trPr>
          <w:trHeight w:val="584"/>
        </w:trPr>
        <w:tc>
          <w:tcPr>
            <w:tcW w:w="2258" w:type="dxa"/>
            <w:tcBorders>
              <w:bottom w:val="single" w:sz="4" w:space="0" w:color="auto"/>
            </w:tcBorders>
            <w:shd w:val="clear" w:color="auto" w:fill="002060"/>
            <w:tcMar>
              <w:top w:w="72" w:type="dxa"/>
              <w:left w:w="144" w:type="dxa"/>
              <w:bottom w:w="72" w:type="dxa"/>
              <w:right w:w="144" w:type="dxa"/>
            </w:tcMar>
          </w:tcPr>
          <w:p w14:paraId="1420561D" w14:textId="77777777" w:rsidR="00765CDD" w:rsidRPr="00481E43" w:rsidRDefault="00765CDD" w:rsidP="008E6691">
            <w:pPr>
              <w:spacing w:before="240" w:after="240" w:line="240" w:lineRule="auto"/>
              <w:rPr>
                <w:bCs/>
              </w:rPr>
            </w:pPr>
            <w:r w:rsidRPr="00481E43">
              <w:rPr>
                <w:bCs/>
              </w:rPr>
              <w:t>Transition Care Program (TCP)</w:t>
            </w:r>
          </w:p>
        </w:tc>
        <w:tc>
          <w:tcPr>
            <w:tcW w:w="6804" w:type="dxa"/>
            <w:tcBorders>
              <w:bottom w:val="single" w:sz="4" w:space="0" w:color="auto"/>
            </w:tcBorders>
            <w:shd w:val="clear" w:color="auto" w:fill="FFFFFF" w:themeFill="background1"/>
            <w:tcMar>
              <w:top w:w="72" w:type="dxa"/>
              <w:left w:w="144" w:type="dxa"/>
              <w:bottom w:w="72" w:type="dxa"/>
              <w:right w:w="144" w:type="dxa"/>
            </w:tcMar>
          </w:tcPr>
          <w:p w14:paraId="37945DB8"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hospital transition </w:t>
            </w:r>
            <w:r w:rsidRPr="00E64AC3">
              <w:rPr>
                <w:rFonts w:hint="eastAsia"/>
              </w:rPr>
              <w:t>–</w:t>
            </w:r>
            <w:r w:rsidRPr="00E64AC3">
              <w:t xml:space="preserve"> HS HT class</w:t>
            </w:r>
          </w:p>
          <w:p w14:paraId="51DC24C0" w14:textId="77777777" w:rsidR="00765CDD" w:rsidRPr="00E64AC3" w:rsidRDefault="00765CDD" w:rsidP="008E6691">
            <w:pPr>
              <w:spacing w:before="240" w:after="240" w:line="240" w:lineRule="auto"/>
            </w:pPr>
            <w:r w:rsidRPr="00E64AC3">
              <w:br/>
              <w:t xml:space="preserve">Assistive technology </w:t>
            </w:r>
            <w:r w:rsidRPr="00E64AC3">
              <w:rPr>
                <w:rFonts w:hint="eastAsia"/>
              </w:rPr>
              <w:t>–</w:t>
            </w:r>
            <w:r w:rsidRPr="00E64AC3">
              <w:t xml:space="preserve"> hospital transition </w:t>
            </w:r>
            <w:r w:rsidRPr="00E64AC3">
              <w:rPr>
                <w:rFonts w:hint="eastAsia"/>
              </w:rPr>
              <w:t>–</w:t>
            </w:r>
            <w:r w:rsidRPr="00E64AC3">
              <w:t xml:space="preserve"> AT HT class</w:t>
            </w:r>
          </w:p>
          <w:p w14:paraId="057AA97A" w14:textId="65DF7604" w:rsidR="00765CDD" w:rsidRPr="00E64AC3" w:rsidRDefault="00765CDD" w:rsidP="008E6691">
            <w:pPr>
              <w:spacing w:before="240" w:after="240" w:line="240" w:lineRule="auto"/>
            </w:pPr>
            <w:r w:rsidRPr="00E64AC3">
              <w:br/>
              <w:t xml:space="preserve">Residential care </w:t>
            </w:r>
            <w:r w:rsidRPr="00E64AC3">
              <w:rPr>
                <w:rFonts w:hint="eastAsia"/>
              </w:rPr>
              <w:t>–</w:t>
            </w:r>
            <w:r w:rsidRPr="00E64AC3">
              <w:t xml:space="preserve"> hospital transition </w:t>
            </w:r>
            <w:r w:rsidRPr="00E64AC3">
              <w:rPr>
                <w:rFonts w:hint="eastAsia"/>
              </w:rPr>
              <w:t>–</w:t>
            </w:r>
            <w:r w:rsidRPr="00E64AC3">
              <w:t xml:space="preserve"> RC HT class</w:t>
            </w:r>
          </w:p>
        </w:tc>
      </w:tr>
      <w:tr w:rsidR="00765CDD" w:rsidRPr="00E64AC3" w14:paraId="5DE5943A" w14:textId="77777777" w:rsidTr="00662566">
        <w:trPr>
          <w:trHeight w:val="584"/>
        </w:trPr>
        <w:tc>
          <w:tcPr>
            <w:tcW w:w="2258" w:type="dxa"/>
            <w:tcBorders>
              <w:top w:val="single" w:sz="4" w:space="0" w:color="auto"/>
              <w:left w:val="single" w:sz="4" w:space="0" w:color="auto"/>
              <w:bottom w:val="single" w:sz="4" w:space="0" w:color="auto"/>
              <w:right w:val="single" w:sz="4" w:space="0" w:color="auto"/>
            </w:tcBorders>
            <w:shd w:val="clear" w:color="auto" w:fill="002060"/>
            <w:tcMar>
              <w:top w:w="72" w:type="dxa"/>
              <w:left w:w="144" w:type="dxa"/>
              <w:bottom w:w="72" w:type="dxa"/>
              <w:right w:w="144" w:type="dxa"/>
            </w:tcMar>
          </w:tcPr>
          <w:p w14:paraId="03493232" w14:textId="77777777" w:rsidR="00765CDD" w:rsidRPr="00481E43" w:rsidRDefault="00765CDD" w:rsidP="008E6691">
            <w:pPr>
              <w:spacing w:before="240" w:after="240" w:line="240" w:lineRule="auto"/>
              <w:rPr>
                <w:bCs/>
              </w:rPr>
            </w:pPr>
            <w:r w:rsidRPr="00481E43">
              <w:rPr>
                <w:bCs/>
              </w:rPr>
              <w:t>Multi-Purpose Service Program (MPSP)</w:t>
            </w:r>
          </w:p>
        </w:tc>
        <w:tc>
          <w:tcPr>
            <w:tcW w:w="68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176A2D"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ongoing - CHSP class</w:t>
            </w:r>
          </w:p>
          <w:p w14:paraId="5F511B29"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ongoing </w:t>
            </w:r>
            <w:r w:rsidRPr="00E64AC3">
              <w:rPr>
                <w:rFonts w:hint="eastAsia"/>
              </w:rPr>
              <w:t>–</w:t>
            </w:r>
            <w:r w:rsidRPr="00E64AC3">
              <w:t xml:space="preserve"> SAH class 1 to 8 </w:t>
            </w:r>
          </w:p>
          <w:p w14:paraId="458BEA6E"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restorative care pathway</w:t>
            </w:r>
          </w:p>
          <w:p w14:paraId="23AD6570" w14:textId="77777777" w:rsidR="00765CDD" w:rsidRPr="00E64AC3" w:rsidRDefault="00765CDD" w:rsidP="008E6691">
            <w:pPr>
              <w:spacing w:before="240" w:after="240" w:line="240" w:lineRule="auto"/>
            </w:pPr>
            <w:r w:rsidRPr="00E64AC3">
              <w:t xml:space="preserve">Home support </w:t>
            </w:r>
            <w:r w:rsidRPr="00E64AC3">
              <w:rPr>
                <w:rFonts w:hint="eastAsia"/>
              </w:rPr>
              <w:t>–</w:t>
            </w:r>
            <w:r w:rsidRPr="00E64AC3">
              <w:t xml:space="preserve"> short-term </w:t>
            </w:r>
            <w:r w:rsidRPr="00E64AC3">
              <w:rPr>
                <w:rFonts w:hint="eastAsia"/>
              </w:rPr>
              <w:t>–</w:t>
            </w:r>
            <w:r w:rsidRPr="00E64AC3">
              <w:t xml:space="preserve"> SAH end-of-life pathway</w:t>
            </w:r>
            <w:r w:rsidRPr="00E64AC3">
              <w:br/>
            </w:r>
          </w:p>
          <w:p w14:paraId="4E194D9B" w14:textId="77777777"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CHSP</w:t>
            </w:r>
          </w:p>
          <w:p w14:paraId="3BC31DEF" w14:textId="77777777" w:rsidR="00765CDD" w:rsidRPr="00E64AC3" w:rsidRDefault="00765CDD" w:rsidP="008E6691">
            <w:pPr>
              <w:spacing w:before="240" w:after="240" w:line="240" w:lineRule="auto"/>
            </w:pPr>
            <w:r w:rsidRPr="00E64AC3">
              <w:t xml:space="preserve">Assistive technology </w:t>
            </w:r>
            <w:r w:rsidRPr="00E64AC3">
              <w:rPr>
                <w:rFonts w:hint="eastAsia"/>
              </w:rPr>
              <w:t>–</w:t>
            </w:r>
            <w:r w:rsidRPr="00E64AC3">
              <w:t xml:space="preserve"> short-term </w:t>
            </w:r>
            <w:r w:rsidRPr="00E64AC3">
              <w:rPr>
                <w:rFonts w:hint="eastAsia"/>
              </w:rPr>
              <w:t>–</w:t>
            </w:r>
            <w:r w:rsidRPr="00E64AC3">
              <w:t xml:space="preserve"> AT low, AT medium, AT high</w:t>
            </w:r>
          </w:p>
          <w:p w14:paraId="47601F82" w14:textId="77777777" w:rsidR="00765CDD" w:rsidRPr="00E64AC3" w:rsidRDefault="00765CDD" w:rsidP="008E6691">
            <w:pPr>
              <w:spacing w:before="240" w:after="240" w:line="240" w:lineRule="auto"/>
            </w:pPr>
            <w:r w:rsidRPr="00E64AC3">
              <w:br/>
              <w:t xml:space="preserve">Home modifications </w:t>
            </w:r>
            <w:r w:rsidRPr="00E64AC3">
              <w:rPr>
                <w:rFonts w:hint="eastAsia"/>
              </w:rPr>
              <w:t>–</w:t>
            </w:r>
            <w:r w:rsidRPr="00E64AC3">
              <w:t xml:space="preserve"> short-term </w:t>
            </w:r>
            <w:r w:rsidRPr="00E64AC3">
              <w:rPr>
                <w:rFonts w:hint="eastAsia"/>
              </w:rPr>
              <w:t>–</w:t>
            </w:r>
            <w:r w:rsidRPr="00E64AC3">
              <w:t xml:space="preserve"> HM CHSP</w:t>
            </w:r>
          </w:p>
          <w:p w14:paraId="4DA59538" w14:textId="77777777" w:rsidR="00765CDD" w:rsidRPr="00E64AC3" w:rsidRDefault="00765CDD" w:rsidP="008E6691">
            <w:pPr>
              <w:spacing w:before="240" w:after="240" w:line="240" w:lineRule="auto"/>
            </w:pPr>
            <w:r w:rsidRPr="00E64AC3">
              <w:t xml:space="preserve">Home modifications </w:t>
            </w:r>
            <w:r w:rsidRPr="00E64AC3">
              <w:rPr>
                <w:rFonts w:hint="eastAsia"/>
              </w:rPr>
              <w:t>–</w:t>
            </w:r>
            <w:r w:rsidRPr="00E64AC3">
              <w:t xml:space="preserve"> short-term </w:t>
            </w:r>
            <w:r w:rsidRPr="00E64AC3">
              <w:rPr>
                <w:rFonts w:hint="eastAsia"/>
              </w:rPr>
              <w:t>–</w:t>
            </w:r>
            <w:r w:rsidRPr="00E64AC3">
              <w:t xml:space="preserve"> HM low, HM medium, HM high</w:t>
            </w:r>
          </w:p>
          <w:p w14:paraId="645A5AC3" w14:textId="72A274F8" w:rsidR="00765CDD" w:rsidRPr="00E64AC3" w:rsidRDefault="00765CDD" w:rsidP="008E6691">
            <w:pPr>
              <w:spacing w:before="240" w:after="240" w:line="240" w:lineRule="auto"/>
            </w:pPr>
            <w:r w:rsidRPr="00E64AC3">
              <w:br/>
              <w:t xml:space="preserve">Residential care </w:t>
            </w:r>
            <w:r w:rsidRPr="00E64AC3">
              <w:rPr>
                <w:rFonts w:hint="eastAsia"/>
              </w:rPr>
              <w:t>–</w:t>
            </w:r>
            <w:r w:rsidRPr="00E64AC3">
              <w:t xml:space="preserve"> short-term </w:t>
            </w:r>
            <w:r w:rsidRPr="00E64AC3">
              <w:rPr>
                <w:rFonts w:hint="eastAsia"/>
              </w:rPr>
              <w:t>–</w:t>
            </w:r>
            <w:r w:rsidRPr="00E64AC3">
              <w:t xml:space="preserve"> </w:t>
            </w:r>
            <w:r w:rsidR="00946F56">
              <w:t>Class</w:t>
            </w:r>
            <w:r w:rsidR="005E6E5E">
              <w:t xml:space="preserve"> </w:t>
            </w:r>
            <w:r w:rsidRPr="00E64AC3">
              <w:t>0 to 3</w:t>
            </w:r>
          </w:p>
          <w:p w14:paraId="7958C760" w14:textId="682C8C12" w:rsidR="00765CDD" w:rsidRPr="00E64AC3" w:rsidRDefault="00765CDD" w:rsidP="008E6691">
            <w:pPr>
              <w:spacing w:before="240" w:after="240" w:line="240" w:lineRule="auto"/>
            </w:pPr>
            <w:r w:rsidRPr="00E64AC3">
              <w:t xml:space="preserve">Residential care </w:t>
            </w:r>
            <w:r w:rsidRPr="00E64AC3">
              <w:rPr>
                <w:rFonts w:hint="eastAsia"/>
              </w:rPr>
              <w:t>–</w:t>
            </w:r>
            <w:r w:rsidRPr="00E64AC3">
              <w:t xml:space="preserve"> ongoing </w:t>
            </w:r>
            <w:r w:rsidRPr="00E64AC3">
              <w:rPr>
                <w:rFonts w:hint="eastAsia"/>
              </w:rPr>
              <w:t>–</w:t>
            </w:r>
            <w:r w:rsidRPr="00E64AC3">
              <w:t xml:space="preserve"> </w:t>
            </w:r>
            <w:r w:rsidR="005E6E5E">
              <w:t xml:space="preserve">Class </w:t>
            </w:r>
            <w:r w:rsidRPr="00E64AC3">
              <w:t>0 to 13</w:t>
            </w:r>
            <w:r w:rsidRPr="00E64AC3">
              <w:rPr>
                <w:sz w:val="20"/>
                <w:szCs w:val="20"/>
              </w:rPr>
              <w:t xml:space="preserve"> </w:t>
            </w:r>
          </w:p>
        </w:tc>
      </w:tr>
      <w:tr w:rsidR="00765CDD" w:rsidRPr="00E64AC3" w14:paraId="70D9FFD1" w14:textId="77777777" w:rsidTr="00662566">
        <w:trPr>
          <w:trHeight w:val="584"/>
        </w:trPr>
        <w:tc>
          <w:tcPr>
            <w:tcW w:w="2258" w:type="dxa"/>
            <w:tcBorders>
              <w:top w:val="single" w:sz="4" w:space="0" w:color="auto"/>
            </w:tcBorders>
            <w:shd w:val="clear" w:color="auto" w:fill="002060"/>
            <w:tcMar>
              <w:top w:w="72" w:type="dxa"/>
              <w:left w:w="144" w:type="dxa"/>
              <w:bottom w:w="72" w:type="dxa"/>
              <w:right w:w="144" w:type="dxa"/>
            </w:tcMar>
          </w:tcPr>
          <w:p w14:paraId="4B7453B4" w14:textId="77777777" w:rsidR="00765CDD" w:rsidRPr="00481E43" w:rsidRDefault="00765CDD" w:rsidP="008E6691">
            <w:pPr>
              <w:spacing w:before="240" w:after="240" w:line="240" w:lineRule="auto"/>
              <w:rPr>
                <w:bCs/>
              </w:rPr>
            </w:pPr>
            <w:r w:rsidRPr="00481E43">
              <w:rPr>
                <w:bCs/>
              </w:rPr>
              <w:t>National Aboriginal and Torres Strait Islander Flexible Aged Care Program (NATSIFACP)</w:t>
            </w:r>
          </w:p>
        </w:tc>
        <w:tc>
          <w:tcPr>
            <w:tcW w:w="6804" w:type="dxa"/>
            <w:vMerge/>
            <w:tcBorders>
              <w:top w:val="single" w:sz="4" w:space="0" w:color="auto"/>
            </w:tcBorders>
            <w:tcMar>
              <w:top w:w="72" w:type="dxa"/>
              <w:left w:w="144" w:type="dxa"/>
              <w:bottom w:w="72" w:type="dxa"/>
              <w:right w:w="144" w:type="dxa"/>
            </w:tcMar>
          </w:tcPr>
          <w:p w14:paraId="48BC0A0A" w14:textId="77777777" w:rsidR="00765CDD" w:rsidRPr="00E64AC3" w:rsidRDefault="00765CDD" w:rsidP="008E6691">
            <w:pPr>
              <w:spacing w:before="240" w:after="240" w:line="240" w:lineRule="auto"/>
            </w:pPr>
          </w:p>
        </w:tc>
      </w:tr>
    </w:tbl>
    <w:p w14:paraId="0DDE4ED2" w14:textId="11300E72" w:rsidR="006C4423" w:rsidRDefault="00765CDD" w:rsidP="008E6691">
      <w:pPr>
        <w:spacing w:before="240" w:after="240" w:line="240" w:lineRule="auto"/>
        <w:sectPr w:rsidR="006C4423">
          <w:pgSz w:w="11906" w:h="16838"/>
          <w:pgMar w:top="1440" w:right="1440" w:bottom="1440" w:left="1440" w:header="708" w:footer="708" w:gutter="0"/>
          <w:cols w:space="708"/>
          <w:docGrid w:linePitch="360"/>
        </w:sectPr>
      </w:pPr>
      <w:r w:rsidRPr="00E64AC3">
        <w:t>* Following a client</w:t>
      </w:r>
      <w:r w:rsidRPr="00E64AC3">
        <w:rPr>
          <w:rFonts w:hint="eastAsia"/>
        </w:rPr>
        <w:t>’</w:t>
      </w:r>
      <w:r w:rsidRPr="00E64AC3">
        <w:t xml:space="preserve">s admission to permanent residential care, a residential aged care funding assessor will conduct </w:t>
      </w:r>
      <w:r w:rsidR="00EE0F71" w:rsidRPr="00EE0F71">
        <w:t xml:space="preserve">an assessment using the Australian National Aged Care Classification (AN-ACC) assessment tool, which will result in a classification level determined by a </w:t>
      </w:r>
      <w:r w:rsidR="7CE2FCB3">
        <w:t>propriet</w:t>
      </w:r>
      <w:r w:rsidR="093C1579">
        <w:t>a</w:t>
      </w:r>
      <w:r w:rsidR="7CE2FCB3">
        <w:t>ry algorithm</w:t>
      </w:r>
      <w:r w:rsidR="00EE0F71">
        <w:t>.</w:t>
      </w:r>
    </w:p>
    <w:p w14:paraId="733C6822" w14:textId="10DD6D84" w:rsidR="00ED631B" w:rsidRPr="00655A8E" w:rsidRDefault="00ED631B" w:rsidP="00D816E6">
      <w:pPr>
        <w:pStyle w:val="H1"/>
      </w:pPr>
      <w:bookmarkStart w:id="105" w:name="_Supported_Decision_Making"/>
      <w:bookmarkStart w:id="106" w:name="_Support_for_diverse"/>
      <w:bookmarkStart w:id="107" w:name="_Reviewable_Decisions"/>
      <w:bookmarkStart w:id="108" w:name="_Toc204329489"/>
      <w:bookmarkStart w:id="109" w:name="_Toc209188946"/>
      <w:bookmarkStart w:id="110" w:name="_Ref212734883"/>
      <w:bookmarkStart w:id="111" w:name="_Toc224916613"/>
      <w:bookmarkEnd w:id="105"/>
      <w:bookmarkEnd w:id="106"/>
      <w:bookmarkEnd w:id="107"/>
      <w:r w:rsidRPr="00655A8E">
        <w:t>Chapter 2: Overview of My Aged Care and the Single Assessment System</w:t>
      </w:r>
      <w:bookmarkEnd w:id="108"/>
      <w:bookmarkEnd w:id="109"/>
      <w:bookmarkEnd w:id="110"/>
      <w:bookmarkEnd w:id="111"/>
      <w:r w:rsidRPr="00655A8E">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56"/>
      </w:tblGrid>
      <w:tr w:rsidR="00ED631B" w14:paraId="0E766CAB" w14:textId="77777777" w:rsidTr="00EC1D1F">
        <w:tc>
          <w:tcPr>
            <w:tcW w:w="9016" w:type="dxa"/>
            <w:shd w:val="clear" w:color="auto" w:fill="F2F2F2" w:themeFill="background1" w:themeFillShade="F2"/>
          </w:tcPr>
          <w:p w14:paraId="6F73CFFE" w14:textId="77777777" w:rsidR="00ED631B" w:rsidRPr="00380A8B" w:rsidRDefault="00ED631B" w:rsidP="00380A8B">
            <w:pPr>
              <w:rPr>
                <w:b/>
                <w:color w:val="358189"/>
                <w:sz w:val="36"/>
                <w:szCs w:val="36"/>
              </w:rPr>
            </w:pPr>
            <w:bookmarkStart w:id="112" w:name="_Toc209188947"/>
            <w:r w:rsidRPr="00380A8B">
              <w:rPr>
                <w:b/>
                <w:color w:val="358189"/>
                <w:sz w:val="36"/>
                <w:szCs w:val="36"/>
              </w:rPr>
              <w:t>What you’ll find in this chapter</w:t>
            </w:r>
            <w:bookmarkEnd w:id="112"/>
          </w:p>
          <w:p w14:paraId="48FF35FD" w14:textId="77777777" w:rsidR="00ED631B" w:rsidRPr="00ED2B6F" w:rsidRDefault="00ED631B" w:rsidP="00856600">
            <w:pPr>
              <w:spacing w:before="240" w:after="240"/>
            </w:pPr>
            <w:r w:rsidRPr="00ED2B6F">
              <w:t xml:space="preserve">This chapter provides information on the Single Assessment System including: </w:t>
            </w:r>
          </w:p>
          <w:p w14:paraId="01C7085A" w14:textId="77777777" w:rsidR="00ED631B" w:rsidRDefault="00ED631B" w:rsidP="00856600">
            <w:pPr>
              <w:pStyle w:val="ListParagraph"/>
              <w:numPr>
                <w:ilvl w:val="0"/>
                <w:numId w:val="43"/>
              </w:numPr>
              <w:spacing w:before="240" w:after="240"/>
            </w:pPr>
            <w:r>
              <w:t>My Aged Care</w:t>
            </w:r>
          </w:p>
          <w:p w14:paraId="4B980537" w14:textId="77777777" w:rsidR="00ED631B" w:rsidRDefault="00ED631B" w:rsidP="00856600">
            <w:pPr>
              <w:pStyle w:val="ListParagraph"/>
              <w:numPr>
                <w:ilvl w:val="0"/>
                <w:numId w:val="43"/>
              </w:numPr>
              <w:spacing w:before="240" w:after="240"/>
            </w:pPr>
            <w:r>
              <w:t>Single Assessment System</w:t>
            </w:r>
          </w:p>
          <w:p w14:paraId="220CE261" w14:textId="77777777" w:rsidR="00ED631B" w:rsidRPr="00AF04B9" w:rsidRDefault="00ED631B" w:rsidP="00856600">
            <w:pPr>
              <w:pStyle w:val="ListParagraph"/>
              <w:numPr>
                <w:ilvl w:val="0"/>
                <w:numId w:val="43"/>
              </w:numPr>
              <w:spacing w:before="240" w:after="240"/>
            </w:pPr>
            <w:r w:rsidRPr="00AF04B9">
              <w:t>Aboriginal and Torres Strait Islander Assessment Organisations</w:t>
            </w:r>
          </w:p>
          <w:p w14:paraId="60534974" w14:textId="77777777" w:rsidR="00ED631B" w:rsidRPr="00AF04B9" w:rsidRDefault="00ED631B" w:rsidP="00856600">
            <w:pPr>
              <w:pStyle w:val="ListParagraph"/>
              <w:numPr>
                <w:ilvl w:val="0"/>
                <w:numId w:val="43"/>
              </w:numPr>
              <w:spacing w:before="240" w:after="240"/>
            </w:pPr>
            <w:r w:rsidRPr="00AF04B9">
              <w:t>Assessment Organisation roles and responsibilities</w:t>
            </w:r>
          </w:p>
          <w:p w14:paraId="7635E2B2" w14:textId="77777777" w:rsidR="00ED631B" w:rsidRPr="00AF04B9" w:rsidRDefault="00ED631B" w:rsidP="00856600">
            <w:pPr>
              <w:pStyle w:val="ListParagraph"/>
              <w:numPr>
                <w:ilvl w:val="0"/>
                <w:numId w:val="43"/>
              </w:numPr>
              <w:spacing w:before="240" w:after="240"/>
            </w:pPr>
            <w:r w:rsidRPr="00AF04B9">
              <w:t>Home Support Assessments</w:t>
            </w:r>
          </w:p>
          <w:p w14:paraId="0C46B4AA" w14:textId="77777777" w:rsidR="00ED631B" w:rsidRPr="00AF04B9" w:rsidRDefault="00ED631B" w:rsidP="00856600">
            <w:pPr>
              <w:pStyle w:val="ListParagraph"/>
              <w:numPr>
                <w:ilvl w:val="0"/>
                <w:numId w:val="43"/>
              </w:numPr>
              <w:spacing w:before="240" w:after="240"/>
            </w:pPr>
            <w:r w:rsidRPr="00AF04B9">
              <w:t xml:space="preserve">Comprehensive Assessments </w:t>
            </w:r>
          </w:p>
          <w:p w14:paraId="684B606F" w14:textId="77777777" w:rsidR="00ED631B" w:rsidRDefault="00ED631B" w:rsidP="00856600">
            <w:pPr>
              <w:pStyle w:val="ListParagraph"/>
              <w:numPr>
                <w:ilvl w:val="0"/>
                <w:numId w:val="43"/>
              </w:numPr>
              <w:spacing w:before="240" w:after="240"/>
            </w:pPr>
            <w:r w:rsidRPr="00AF04B9">
              <w:t xml:space="preserve">The Integrated Assessment Tool </w:t>
            </w:r>
            <w:r>
              <w:t>(IAT</w:t>
            </w:r>
            <w:r w:rsidR="00073933">
              <w:t>)</w:t>
            </w:r>
          </w:p>
          <w:p w14:paraId="430413BF" w14:textId="0AA90D09" w:rsidR="00073933" w:rsidRDefault="00073933" w:rsidP="00856600">
            <w:pPr>
              <w:pStyle w:val="ListParagraph"/>
              <w:spacing w:before="240" w:after="240"/>
            </w:pPr>
          </w:p>
        </w:tc>
      </w:tr>
    </w:tbl>
    <w:p w14:paraId="70338D45" w14:textId="77777777" w:rsidR="00ED631B" w:rsidRDefault="00ED631B" w:rsidP="00507F9D">
      <w:pPr>
        <w:pStyle w:val="h2"/>
      </w:pPr>
      <w:bookmarkStart w:id="113" w:name="_Toc204329490"/>
      <w:bookmarkStart w:id="114" w:name="_Toc204329492"/>
      <w:bookmarkStart w:id="115" w:name="_Toc209188948"/>
      <w:bookmarkStart w:id="116" w:name="_Toc224916614"/>
      <w:bookmarkStart w:id="117" w:name="_Toc198813646"/>
      <w:bookmarkStart w:id="118" w:name="CH1_SingleAssessmentSystem"/>
      <w:bookmarkEnd w:id="113"/>
      <w:r w:rsidRPr="00FB6AC0">
        <w:t>My</w:t>
      </w:r>
      <w:r>
        <w:t xml:space="preserve"> Aged Care</w:t>
      </w:r>
      <w:bookmarkEnd w:id="114"/>
      <w:bookmarkEnd w:id="115"/>
      <w:bookmarkEnd w:id="116"/>
    </w:p>
    <w:p w14:paraId="04BF9644" w14:textId="77777777" w:rsidR="00ED631B" w:rsidRPr="004F3BA9" w:rsidRDefault="00ED631B" w:rsidP="00856600">
      <w:pPr>
        <w:pStyle w:val="NumberedList"/>
        <w:spacing w:before="240" w:after="240" w:line="240" w:lineRule="auto"/>
        <w:rPr>
          <w:rFonts w:eastAsia="MS PGothic"/>
          <w:lang w:val="en-US"/>
        </w:rPr>
      </w:pPr>
      <w:r w:rsidRPr="5B8D1905">
        <w:rPr>
          <w:rFonts w:eastAsia="MS PGothic"/>
          <w:lang w:val="en-US"/>
        </w:rPr>
        <w:t xml:space="preserve">My Aged Care aims to make it easier for older </w:t>
      </w:r>
      <w:r>
        <w:rPr>
          <w:rFonts w:eastAsia="MS PGothic"/>
          <w:lang w:val="en-US"/>
        </w:rPr>
        <w:t>people</w:t>
      </w:r>
      <w:r w:rsidRPr="5B8D1905">
        <w:rPr>
          <w:rFonts w:eastAsia="MS PGothic"/>
          <w:lang w:val="en-US"/>
        </w:rPr>
        <w:t xml:space="preserve">, their families, and carers to access information on aged care, have their </w:t>
      </w:r>
      <w:r>
        <w:rPr>
          <w:rFonts w:eastAsia="MS PGothic"/>
          <w:lang w:val="en-US"/>
        </w:rPr>
        <w:t xml:space="preserve">aged care </w:t>
      </w:r>
      <w:r w:rsidRPr="5B8D1905">
        <w:rPr>
          <w:rFonts w:eastAsia="MS PGothic"/>
          <w:lang w:val="en-US"/>
        </w:rPr>
        <w:t>needs assessed, and be supported to locate and access services.</w:t>
      </w:r>
    </w:p>
    <w:p w14:paraId="44F46E78" w14:textId="77777777" w:rsidR="00ED631B" w:rsidRPr="002C51C0" w:rsidRDefault="00ED631B" w:rsidP="00856600">
      <w:pPr>
        <w:spacing w:before="240" w:after="240" w:line="240" w:lineRule="auto"/>
        <w:rPr>
          <w:rFonts w:eastAsia="MS PGothic"/>
        </w:rPr>
      </w:pPr>
      <w:r w:rsidRPr="004F3BA9">
        <w:rPr>
          <w:rFonts w:eastAsia="MS PGothic"/>
        </w:rPr>
        <w:t>The key elements of My Aged Care include:</w:t>
      </w:r>
    </w:p>
    <w:p w14:paraId="703EBB2C" w14:textId="7972DD24" w:rsidR="00ED631B" w:rsidRPr="004F3BA9" w:rsidRDefault="00503CDE" w:rsidP="00856600">
      <w:pPr>
        <w:pStyle w:val="NumberedList"/>
        <w:numPr>
          <w:ilvl w:val="0"/>
          <w:numId w:val="4"/>
        </w:numPr>
        <w:spacing w:before="240" w:after="240" w:line="240" w:lineRule="auto"/>
        <w:ind w:right="-164"/>
      </w:pPr>
      <w:r>
        <w:rPr>
          <w:lang w:val="en-US"/>
        </w:rPr>
        <w:t>Access to My Aged Care for o</w:t>
      </w:r>
      <w:r w:rsidR="00ED631B" w:rsidRPr="51F68CB3">
        <w:rPr>
          <w:lang w:val="en-US"/>
        </w:rPr>
        <w:t xml:space="preserve">lder people, their families, </w:t>
      </w:r>
      <w:r w:rsidR="00ED631B" w:rsidRPr="003E1933">
        <w:rPr>
          <w:lang w:val="en-US"/>
        </w:rPr>
        <w:t>registered supporters</w:t>
      </w:r>
      <w:r w:rsidR="00ED631B" w:rsidRPr="51F68CB3">
        <w:rPr>
          <w:lang w:val="en-US"/>
        </w:rPr>
        <w:t xml:space="preserve"> or carers by:</w:t>
      </w:r>
    </w:p>
    <w:p w14:paraId="319F6F10" w14:textId="77777777" w:rsidR="00ED631B" w:rsidRDefault="00ED631B" w:rsidP="00856600">
      <w:pPr>
        <w:pStyle w:val="NumberedList"/>
        <w:numPr>
          <w:ilvl w:val="2"/>
          <w:numId w:val="37"/>
        </w:numPr>
        <w:spacing w:before="240" w:after="240" w:line="240" w:lineRule="auto"/>
        <w:ind w:left="1418" w:right="-164"/>
        <w:rPr>
          <w:lang w:val="en-US"/>
        </w:rPr>
      </w:pPr>
      <w:r>
        <w:rPr>
          <w:lang w:val="en-US"/>
        </w:rPr>
        <w:t>c</w:t>
      </w:r>
      <w:r w:rsidRPr="5B8D1905">
        <w:rPr>
          <w:lang w:val="en-US"/>
        </w:rPr>
        <w:t xml:space="preserve">alling </w:t>
      </w:r>
      <w:r w:rsidRPr="7F247CD9">
        <w:rPr>
          <w:lang w:val="en-US"/>
        </w:rPr>
        <w:t>My Aged Care</w:t>
      </w:r>
      <w:r w:rsidRPr="5B8D1905">
        <w:rPr>
          <w:lang w:val="en-US"/>
        </w:rPr>
        <w:t xml:space="preserve"> on 1800 200 422 (FreeCall*) </w:t>
      </w:r>
      <w:r w:rsidRPr="7F247CD9">
        <w:rPr>
          <w:lang w:val="en-US"/>
        </w:rPr>
        <w:t>from 8am to 8pm Monday to Friday or 10am to 2pm Saturday (local time).</w:t>
      </w:r>
    </w:p>
    <w:p w14:paraId="4C7477D4" w14:textId="77777777" w:rsidR="00ED631B" w:rsidRDefault="00ED631B" w:rsidP="00856600">
      <w:pPr>
        <w:pStyle w:val="NumberedList"/>
        <w:numPr>
          <w:ilvl w:val="2"/>
          <w:numId w:val="37"/>
        </w:numPr>
        <w:spacing w:before="240" w:after="240" w:line="240" w:lineRule="auto"/>
        <w:ind w:left="1418" w:right="-164"/>
      </w:pPr>
      <w:r>
        <w:t>visiting the My Aged Care website (</w:t>
      </w:r>
      <w:hyperlink r:id="rId50" w:history="1">
        <w:r>
          <w:t>www.myagedcare.gov.au</w:t>
        </w:r>
      </w:hyperlink>
      <w:r>
        <w:t xml:space="preserve">) </w:t>
      </w:r>
    </w:p>
    <w:p w14:paraId="2B25D0A4" w14:textId="77777777" w:rsidR="00ED631B" w:rsidRPr="009262FF" w:rsidRDefault="00ED631B" w:rsidP="00856600">
      <w:pPr>
        <w:pStyle w:val="NumberedList"/>
        <w:numPr>
          <w:ilvl w:val="2"/>
          <w:numId w:val="37"/>
        </w:numPr>
        <w:spacing w:before="240" w:after="240" w:line="240" w:lineRule="auto"/>
        <w:ind w:left="1418" w:right="-164"/>
      </w:pPr>
      <w:r>
        <w:rPr>
          <w:lang w:val="en-US"/>
        </w:rPr>
        <w:t>b</w:t>
      </w:r>
      <w:r w:rsidRPr="5B8D1905">
        <w:rPr>
          <w:lang w:val="en-US"/>
        </w:rPr>
        <w:t xml:space="preserve">ooking a face-to-face appointment with an Aged Care Specialist Officer (ACSO), located in </w:t>
      </w:r>
      <w:r>
        <w:rPr>
          <w:lang w:val="en-US"/>
        </w:rPr>
        <w:t xml:space="preserve">some </w:t>
      </w:r>
      <w:r w:rsidRPr="5B8D1905">
        <w:rPr>
          <w:lang w:val="en-US"/>
        </w:rPr>
        <w:t>Services Australia service centres by calling 1800 227 475</w:t>
      </w:r>
    </w:p>
    <w:p w14:paraId="64C1E823" w14:textId="77777777" w:rsidR="00ED631B" w:rsidRDefault="00ED631B" w:rsidP="00856600">
      <w:pPr>
        <w:pStyle w:val="NumberedList"/>
        <w:numPr>
          <w:ilvl w:val="2"/>
          <w:numId w:val="37"/>
        </w:numPr>
        <w:spacing w:before="240" w:after="240" w:line="240" w:lineRule="auto"/>
        <w:ind w:left="1418" w:right="-164"/>
        <w:rPr>
          <w:lang w:val="en-US"/>
        </w:rPr>
      </w:pPr>
      <w:r>
        <w:rPr>
          <w:lang w:val="en-US"/>
        </w:rPr>
        <w:t>contacting a Care Finder or Elder Care Support Worker who will assist them to navigate the aged care system</w:t>
      </w:r>
      <w:r w:rsidRPr="5B8D1905">
        <w:rPr>
          <w:lang w:val="en-US"/>
        </w:rPr>
        <w:t>.</w:t>
      </w:r>
    </w:p>
    <w:p w14:paraId="7DF36845" w14:textId="77777777" w:rsidR="00ED631B" w:rsidRDefault="00ED631B" w:rsidP="00856600">
      <w:pPr>
        <w:pStyle w:val="NumberedList"/>
        <w:numPr>
          <w:ilvl w:val="0"/>
          <w:numId w:val="4"/>
        </w:numPr>
        <w:spacing w:before="240" w:after="240" w:line="240" w:lineRule="auto"/>
        <w:ind w:right="-164"/>
      </w:pPr>
      <w:r>
        <w:t xml:space="preserve">a </w:t>
      </w:r>
      <w:r w:rsidRPr="00011D47">
        <w:t>My Aged Care Service Provider and Assessor Helpline</w:t>
      </w:r>
      <w:r w:rsidRPr="00011D47" w:rsidDel="00011D47">
        <w:t xml:space="preserve"> </w:t>
      </w:r>
      <w:r>
        <w:t>(1800 836 799)</w:t>
      </w:r>
    </w:p>
    <w:p w14:paraId="167ACD2F" w14:textId="39452DB4" w:rsidR="00ED631B" w:rsidRDefault="00B7235B" w:rsidP="00856600">
      <w:pPr>
        <w:pStyle w:val="NumberedList"/>
        <w:numPr>
          <w:ilvl w:val="0"/>
          <w:numId w:val="4"/>
        </w:numPr>
        <w:spacing w:before="240" w:after="240" w:line="240" w:lineRule="auto"/>
        <w:ind w:right="-164"/>
        <w:rPr>
          <w:lang w:val="en-US"/>
        </w:rPr>
      </w:pPr>
      <w:r w:rsidRPr="00293750">
        <w:rPr>
          <w:lang w:val="en-US"/>
        </w:rPr>
        <w:t>An</w:t>
      </w:r>
      <w:r w:rsidR="00ED631B" w:rsidRPr="00293750">
        <w:rPr>
          <w:lang w:val="en-US"/>
        </w:rPr>
        <w:t xml:space="preserve"> </w:t>
      </w:r>
      <w:r w:rsidR="00ED631B">
        <w:rPr>
          <w:lang w:val="en-US"/>
        </w:rPr>
        <w:t xml:space="preserve">aged care needs </w:t>
      </w:r>
      <w:r w:rsidR="00ED631B" w:rsidRPr="00293750">
        <w:rPr>
          <w:lang w:val="en-US"/>
        </w:rPr>
        <w:t xml:space="preserve">assessment to identify </w:t>
      </w:r>
      <w:r w:rsidR="00ED631B">
        <w:rPr>
          <w:lang w:val="en-US"/>
        </w:rPr>
        <w:t xml:space="preserve">an </w:t>
      </w:r>
      <w:r w:rsidR="00ED631B" w:rsidRPr="00293750">
        <w:rPr>
          <w:lang w:val="en-US"/>
        </w:rPr>
        <w:t>older person</w:t>
      </w:r>
      <w:r w:rsidR="00ED631B">
        <w:rPr>
          <w:lang w:val="en-US"/>
        </w:rPr>
        <w:t>’s</w:t>
      </w:r>
      <w:r w:rsidR="00ED631B" w:rsidRPr="00293750">
        <w:rPr>
          <w:lang w:val="en-US"/>
        </w:rPr>
        <w:t xml:space="preserve"> needs using the IAT</w:t>
      </w:r>
      <w:r w:rsidR="00ED631B">
        <w:rPr>
          <w:lang w:val="en-US"/>
        </w:rPr>
        <w:t xml:space="preserve"> and an access approval to access government funded aged care services</w:t>
      </w:r>
      <w:r w:rsidR="00ED631B" w:rsidRPr="00A93BB7">
        <w:rPr>
          <w:lang w:val="en-US"/>
        </w:rPr>
        <w:t>.</w:t>
      </w:r>
    </w:p>
    <w:p w14:paraId="5DB82D67" w14:textId="77777777" w:rsidR="00502BE4" w:rsidRPr="00502BE4" w:rsidRDefault="00502BE4" w:rsidP="00502BE4">
      <w:pPr>
        <w:pStyle w:val="NumberedList"/>
        <w:spacing w:before="240" w:after="240" w:line="240" w:lineRule="auto"/>
        <w:ind w:right="-164"/>
        <w:rPr>
          <w:lang w:val="en-US"/>
        </w:rPr>
      </w:pPr>
    </w:p>
    <w:p w14:paraId="001E3335" w14:textId="77777777" w:rsidR="00ED631B" w:rsidRDefault="00ED631B" w:rsidP="00856600">
      <w:pPr>
        <w:pStyle w:val="NumberedList"/>
        <w:spacing w:before="240" w:after="240" w:line="240" w:lineRule="auto"/>
        <w:ind w:right="-164"/>
      </w:pPr>
      <w:r w:rsidRPr="006A39D5">
        <w:t>My Aged Care is supported by a customer relationship management system that includes:</w:t>
      </w:r>
    </w:p>
    <w:p w14:paraId="219F3566" w14:textId="77777777" w:rsidR="00ED631B" w:rsidRPr="004F3BA9" w:rsidRDefault="00ED631B" w:rsidP="00856600">
      <w:pPr>
        <w:pStyle w:val="NumberedList"/>
        <w:numPr>
          <w:ilvl w:val="0"/>
          <w:numId w:val="4"/>
        </w:numPr>
        <w:spacing w:before="240" w:after="240" w:line="240" w:lineRule="auto"/>
        <w:ind w:right="-164"/>
      </w:pPr>
      <w:r>
        <w:t>a central older person record that will include each older person’s current aged care requirements and associated history and services provided through My Aged Care</w:t>
      </w:r>
    </w:p>
    <w:p w14:paraId="73D045EC" w14:textId="31DC6595" w:rsidR="00ED631B" w:rsidRDefault="00E11D9E" w:rsidP="00856600">
      <w:pPr>
        <w:pStyle w:val="NumberedList"/>
        <w:numPr>
          <w:ilvl w:val="0"/>
          <w:numId w:val="4"/>
        </w:numPr>
        <w:spacing w:before="240" w:after="240" w:line="240" w:lineRule="auto"/>
        <w:ind w:right="-164"/>
      </w:pPr>
      <w:r w:rsidRPr="15AA730D">
        <w:rPr>
          <w:lang w:val="en-US"/>
        </w:rPr>
        <w:t>ability to request, register and end</w:t>
      </w:r>
      <w:r w:rsidR="00ED631B" w:rsidRPr="15AA730D">
        <w:rPr>
          <w:lang w:val="en-US"/>
        </w:rPr>
        <w:t xml:space="preserve"> registered supporter relationships</w:t>
      </w:r>
    </w:p>
    <w:p w14:paraId="18175BFC" w14:textId="77777777" w:rsidR="00ED631B" w:rsidRPr="004F3BA9" w:rsidRDefault="00ED631B" w:rsidP="00856600">
      <w:pPr>
        <w:pStyle w:val="NumberedList"/>
        <w:numPr>
          <w:ilvl w:val="0"/>
          <w:numId w:val="4"/>
        </w:numPr>
        <w:spacing w:before="240" w:after="240" w:line="240" w:lineRule="auto"/>
        <w:ind w:right="-164"/>
      </w:pPr>
      <w:r w:rsidRPr="5B8D1905">
        <w:rPr>
          <w:lang w:val="en-US"/>
        </w:rPr>
        <w:t>a referral capability that enables the contact centre</w:t>
      </w:r>
      <w:r w:rsidRPr="7F247CD9">
        <w:rPr>
          <w:lang w:val="en-US"/>
        </w:rPr>
        <w:t>, ACSOs</w:t>
      </w:r>
      <w:r w:rsidRPr="5B8D1905">
        <w:rPr>
          <w:lang w:val="en-US"/>
        </w:rPr>
        <w:t xml:space="preserve"> and assessors to find appropriate assessment, home support, residential and community support services or resources for </w:t>
      </w:r>
      <w:r>
        <w:rPr>
          <w:lang w:val="en-US"/>
        </w:rPr>
        <w:t>older people</w:t>
      </w:r>
    </w:p>
    <w:p w14:paraId="53307FBA" w14:textId="77777777" w:rsidR="00ED631B" w:rsidRDefault="00ED631B" w:rsidP="00856600">
      <w:pPr>
        <w:pStyle w:val="NumberedList"/>
        <w:numPr>
          <w:ilvl w:val="0"/>
          <w:numId w:val="4"/>
        </w:numPr>
        <w:spacing w:before="240" w:after="240" w:line="240" w:lineRule="auto"/>
        <w:ind w:right="-164"/>
      </w:pPr>
      <w:r w:rsidRPr="280D4BDE">
        <w:rPr>
          <w:lang w:val="en-US"/>
        </w:rPr>
        <w:t xml:space="preserve">web-based portals for </w:t>
      </w:r>
      <w:r>
        <w:rPr>
          <w:lang w:val="en-US"/>
        </w:rPr>
        <w:t>older people</w:t>
      </w:r>
      <w:r w:rsidRPr="280D4BDE">
        <w:rPr>
          <w:lang w:val="en-US"/>
        </w:rPr>
        <w:t xml:space="preserve"> (My Aged Care Online Account), assessors, service providers and support organisations.</w:t>
      </w:r>
    </w:p>
    <w:p w14:paraId="06A0F0B8" w14:textId="5A9CD45C" w:rsidR="00ED631B" w:rsidRPr="002C51C0" w:rsidRDefault="00ED631B" w:rsidP="00856600">
      <w:pPr>
        <w:spacing w:before="240" w:after="240" w:line="240" w:lineRule="auto"/>
        <w:rPr>
          <w:lang w:val="en-US"/>
        </w:rPr>
      </w:pPr>
      <w:r>
        <w:rPr>
          <w:lang w:val="en-US"/>
        </w:rPr>
        <w:t>A</w:t>
      </w:r>
      <w:r w:rsidRPr="39AA50F1">
        <w:rPr>
          <w:lang w:val="en-US"/>
        </w:rPr>
        <w:t>ssessment organisation</w:t>
      </w:r>
      <w:r>
        <w:rPr>
          <w:lang w:val="en-US"/>
        </w:rPr>
        <w:t>s</w:t>
      </w:r>
      <w:r w:rsidRPr="39AA50F1">
        <w:rPr>
          <w:lang w:val="en-US"/>
        </w:rPr>
        <w:t xml:space="preserve"> can use the My Aged Care </w:t>
      </w:r>
      <w:r w:rsidR="0060352D">
        <w:rPr>
          <w:lang w:val="en-US"/>
        </w:rPr>
        <w:t>assessor portal</w:t>
      </w:r>
      <w:r w:rsidRPr="39AA50F1">
        <w:rPr>
          <w:lang w:val="en-US"/>
        </w:rPr>
        <w:t xml:space="preserve"> to: </w:t>
      </w:r>
    </w:p>
    <w:p w14:paraId="673F76C4" w14:textId="0AAE7D7F" w:rsidR="00ED631B" w:rsidRPr="004F3BA9" w:rsidRDefault="00ED631B" w:rsidP="00856600">
      <w:pPr>
        <w:pStyle w:val="NumberedList"/>
        <w:numPr>
          <w:ilvl w:val="0"/>
          <w:numId w:val="36"/>
        </w:numPr>
        <w:spacing w:before="240" w:after="240" w:line="240" w:lineRule="auto"/>
        <w:ind w:left="567" w:hanging="283"/>
      </w:pPr>
      <w:r w:rsidRPr="5B8D1905">
        <w:rPr>
          <w:lang w:val="en-US"/>
        </w:rPr>
        <w:t xml:space="preserve">manage their assessment organisation contact details and set up individual staff members with access to the My Aged Care </w:t>
      </w:r>
      <w:r w:rsidR="0060352D">
        <w:rPr>
          <w:lang w:val="en-US"/>
        </w:rPr>
        <w:t>assessor portal</w:t>
      </w:r>
      <w:r w:rsidRPr="5B8D1905">
        <w:rPr>
          <w:lang w:val="en-US"/>
        </w:rPr>
        <w:t xml:space="preserve"> </w:t>
      </w:r>
    </w:p>
    <w:p w14:paraId="08BC38B0" w14:textId="77777777" w:rsidR="00ED631B" w:rsidRDefault="00ED631B" w:rsidP="00856600">
      <w:pPr>
        <w:pStyle w:val="NumberedList"/>
        <w:numPr>
          <w:ilvl w:val="0"/>
          <w:numId w:val="36"/>
        </w:numPr>
        <w:spacing w:before="240" w:after="240" w:line="240" w:lineRule="auto"/>
        <w:ind w:left="567" w:hanging="283"/>
      </w:pPr>
      <w:r>
        <w:t>m</w:t>
      </w:r>
      <w:r w:rsidRPr="004F3BA9">
        <w:t xml:space="preserve">anage referrals for assessment </w:t>
      </w:r>
    </w:p>
    <w:p w14:paraId="37D7789A" w14:textId="6626FC1E" w:rsidR="00ED631B" w:rsidRPr="004F3BA9" w:rsidRDefault="00ED631B" w:rsidP="00856600">
      <w:pPr>
        <w:pStyle w:val="NumberedList"/>
        <w:numPr>
          <w:ilvl w:val="0"/>
          <w:numId w:val="36"/>
        </w:numPr>
        <w:spacing w:before="240" w:after="240" w:line="240" w:lineRule="auto"/>
        <w:ind w:left="567" w:hanging="283"/>
        <w:rPr>
          <w:lang w:val="en-US"/>
        </w:rPr>
      </w:pPr>
      <w:r w:rsidRPr="0BE40BA4">
        <w:rPr>
          <w:lang w:val="en-US"/>
        </w:rPr>
        <w:t xml:space="preserve">submit </w:t>
      </w:r>
      <w:r w:rsidR="00991C3F">
        <w:rPr>
          <w:lang w:val="en-US"/>
        </w:rPr>
        <w:t xml:space="preserve">and action </w:t>
      </w:r>
      <w:r w:rsidRPr="0BE40BA4">
        <w:rPr>
          <w:lang w:val="en-US"/>
        </w:rPr>
        <w:t xml:space="preserve">requests to create </w:t>
      </w:r>
      <w:r w:rsidR="005445F5">
        <w:rPr>
          <w:lang w:val="en-US"/>
        </w:rPr>
        <w:t xml:space="preserve">to register or end supporter relationships and create </w:t>
      </w:r>
      <w:r w:rsidR="005762B7">
        <w:rPr>
          <w:lang w:val="en-US"/>
        </w:rPr>
        <w:t xml:space="preserve">organisation </w:t>
      </w:r>
      <w:r w:rsidR="005445F5">
        <w:rPr>
          <w:lang w:val="en-US"/>
        </w:rPr>
        <w:t xml:space="preserve">agent relationships </w:t>
      </w:r>
    </w:p>
    <w:p w14:paraId="603A7C6B" w14:textId="77777777" w:rsidR="00ED631B" w:rsidRPr="004F3BA9" w:rsidRDefault="00ED631B" w:rsidP="00856600">
      <w:pPr>
        <w:pStyle w:val="NumberedList"/>
        <w:numPr>
          <w:ilvl w:val="0"/>
          <w:numId w:val="36"/>
        </w:numPr>
        <w:spacing w:before="240" w:after="240" w:line="240" w:lineRule="auto"/>
        <w:ind w:left="567" w:hanging="283"/>
      </w:pPr>
      <w:r w:rsidRPr="4D880664">
        <w:rPr>
          <w:lang w:val="en-US"/>
        </w:rPr>
        <w:t xml:space="preserve">complete triage and determine eligibility for an aged care needs assessment </w:t>
      </w:r>
    </w:p>
    <w:p w14:paraId="3EC3F1DC" w14:textId="77777777" w:rsidR="00ED631B" w:rsidRDefault="00ED631B" w:rsidP="00856600">
      <w:pPr>
        <w:pStyle w:val="NumberedList"/>
        <w:numPr>
          <w:ilvl w:val="0"/>
          <w:numId w:val="36"/>
        </w:numPr>
        <w:spacing w:before="240" w:after="240" w:line="240" w:lineRule="auto"/>
        <w:ind w:left="567" w:hanging="283"/>
      </w:pPr>
      <w:r>
        <w:t>undertake assessments using the IAT and develop a Support Plan</w:t>
      </w:r>
    </w:p>
    <w:p w14:paraId="75063DBE" w14:textId="77777777" w:rsidR="00ED631B" w:rsidRPr="004F3BA9" w:rsidRDefault="00ED631B" w:rsidP="00856600">
      <w:pPr>
        <w:pStyle w:val="NumberedList"/>
        <w:numPr>
          <w:ilvl w:val="0"/>
          <w:numId w:val="36"/>
        </w:numPr>
        <w:spacing w:before="240" w:after="240" w:line="240" w:lineRule="auto"/>
        <w:ind w:left="567" w:hanging="283"/>
      </w:pPr>
      <w:r>
        <w:t>m</w:t>
      </w:r>
      <w:r w:rsidRPr="004F3BA9">
        <w:t xml:space="preserve">ake delegate </w:t>
      </w:r>
      <w:r>
        <w:t>decisions for access to government-funded aged care services</w:t>
      </w:r>
      <w:r w:rsidRPr="004F3BA9">
        <w:t xml:space="preserve"> </w:t>
      </w:r>
    </w:p>
    <w:p w14:paraId="0B7BA0A8" w14:textId="24B0E1E7" w:rsidR="00ED631B" w:rsidRPr="004F3BA9" w:rsidRDefault="00ED631B" w:rsidP="00856600">
      <w:pPr>
        <w:pStyle w:val="NumberedList"/>
        <w:numPr>
          <w:ilvl w:val="0"/>
          <w:numId w:val="36"/>
        </w:numPr>
        <w:spacing w:before="240" w:after="240" w:line="240" w:lineRule="auto"/>
        <w:ind w:left="567" w:hanging="283"/>
      </w:pPr>
      <w:r>
        <w:t>c</w:t>
      </w:r>
      <w:r w:rsidRPr="004F3BA9">
        <w:t xml:space="preserve">onduct </w:t>
      </w:r>
      <w:r w:rsidR="3D9EB332">
        <w:t>s</w:t>
      </w:r>
      <w:r>
        <w:t xml:space="preserve">upport </w:t>
      </w:r>
      <w:r w:rsidR="38CB1B7E">
        <w:t>p</w:t>
      </w:r>
      <w:r>
        <w:t xml:space="preserve">lan </w:t>
      </w:r>
      <w:r w:rsidR="6CD8002D">
        <w:t>r</w:t>
      </w:r>
      <w:r w:rsidRPr="004F3BA9">
        <w:t>eviews</w:t>
      </w:r>
      <w:r>
        <w:t xml:space="preserve"> (SPRs) </w:t>
      </w:r>
      <w:r w:rsidR="00894D80">
        <w:t>and reassessments</w:t>
      </w:r>
    </w:p>
    <w:p w14:paraId="20CEFF9C" w14:textId="77777777" w:rsidR="00ED631B" w:rsidRDefault="00ED631B" w:rsidP="00856600">
      <w:pPr>
        <w:pStyle w:val="NumberedList"/>
        <w:numPr>
          <w:ilvl w:val="0"/>
          <w:numId w:val="36"/>
        </w:numPr>
        <w:spacing w:before="240" w:after="240" w:line="240" w:lineRule="auto"/>
        <w:ind w:left="567" w:hanging="283"/>
      </w:pPr>
      <w:r>
        <w:t>r</w:t>
      </w:r>
      <w:r w:rsidRPr="004F3BA9">
        <w:t xml:space="preserve">efer </w:t>
      </w:r>
      <w:r>
        <w:t>older people</w:t>
      </w:r>
      <w:r w:rsidRPr="004F3BA9">
        <w:t xml:space="preserve"> for </w:t>
      </w:r>
      <w:r>
        <w:t xml:space="preserve">aged care </w:t>
      </w:r>
      <w:r w:rsidRPr="004F3BA9">
        <w:t>service</w:t>
      </w:r>
      <w:r>
        <w:t>s</w:t>
      </w:r>
    </w:p>
    <w:p w14:paraId="4030CE73" w14:textId="77777777" w:rsidR="00ED631B" w:rsidRPr="00C103DE" w:rsidRDefault="00ED631B" w:rsidP="00856600">
      <w:pPr>
        <w:pStyle w:val="NumberedList"/>
        <w:numPr>
          <w:ilvl w:val="0"/>
          <w:numId w:val="36"/>
        </w:numPr>
        <w:spacing w:before="240" w:after="240" w:line="240" w:lineRule="auto"/>
        <w:ind w:left="567" w:hanging="283"/>
        <w:rPr>
          <w:lang w:val="en-US"/>
        </w:rPr>
      </w:pPr>
      <w:r w:rsidRPr="5B8D1905">
        <w:rPr>
          <w:lang w:val="en-US"/>
        </w:rPr>
        <w:t xml:space="preserve">recommend a period of reablement or for linking support </w:t>
      </w:r>
      <w:r>
        <w:rPr>
          <w:lang w:val="en-US"/>
        </w:rPr>
        <w:t>on</w:t>
      </w:r>
      <w:r w:rsidRPr="5B8D1905">
        <w:rPr>
          <w:lang w:val="en-US"/>
        </w:rPr>
        <w:t xml:space="preserve"> the Support Plan </w:t>
      </w:r>
    </w:p>
    <w:p w14:paraId="2B6CF642" w14:textId="5EBCC1CE" w:rsidR="00ED631B" w:rsidRDefault="00ED631B" w:rsidP="00856600">
      <w:pPr>
        <w:pStyle w:val="NumberedList"/>
        <w:numPr>
          <w:ilvl w:val="0"/>
          <w:numId w:val="36"/>
        </w:numPr>
        <w:spacing w:before="240" w:after="240" w:line="240" w:lineRule="auto"/>
        <w:ind w:left="567" w:hanging="283"/>
      </w:pPr>
      <w:r>
        <w:t>review and update older person records consistent with the assessment and Support Plan outcomes.</w:t>
      </w:r>
    </w:p>
    <w:p w14:paraId="5BBB1E7A" w14:textId="554226B9" w:rsidR="003202D9" w:rsidRPr="00E554BF" w:rsidRDefault="003202D9" w:rsidP="00856600">
      <w:pPr>
        <w:spacing w:before="240" w:after="240" w:line="240" w:lineRule="auto"/>
      </w:pPr>
      <w:r w:rsidRPr="00E554BF">
        <w:t xml:space="preserve">My Aged Care is committed to supporting older Aboriginal and Torres Strait Islander people and their carers by making it easier to access aged care assessment services that are respectful of culture, community, and connection to Country. </w:t>
      </w:r>
      <w:r w:rsidR="00F867C7">
        <w:t xml:space="preserve">All </w:t>
      </w:r>
      <w:r w:rsidR="00D83F26">
        <w:t xml:space="preserve">assessment organisations, </w:t>
      </w:r>
      <w:r w:rsidR="00661C10">
        <w:t>including</w:t>
      </w:r>
      <w:r w:rsidR="0089026A">
        <w:t xml:space="preserve"> </w:t>
      </w:r>
      <w:r w:rsidR="00894D80">
        <w:t xml:space="preserve">those </w:t>
      </w:r>
      <w:r w:rsidR="00894D80" w:rsidRPr="00E554BF">
        <w:t>participating</w:t>
      </w:r>
      <w:r w:rsidR="00CA069B">
        <w:t xml:space="preserve"> in</w:t>
      </w:r>
      <w:r w:rsidR="00D15A16">
        <w:t xml:space="preserve"> the </w:t>
      </w:r>
      <w:r w:rsidRPr="00E554BF">
        <w:t>Aboriginal and Torres Strait Islander assessment organisations</w:t>
      </w:r>
      <w:r w:rsidR="000373B4">
        <w:t xml:space="preserve"> pilot</w:t>
      </w:r>
      <w:r w:rsidRPr="00E554BF">
        <w:t xml:space="preserve">, recognise the importance of cultural safety, trust, and relationships. </w:t>
      </w:r>
      <w:r w:rsidR="00BB412C">
        <w:t xml:space="preserve">Embedding cultural safety into the assessment process will help improve the experience of older Aboriginal and Torres Strait Islander people, as well as their families and carers. </w:t>
      </w:r>
      <w:r w:rsidRPr="00E554BF">
        <w:t xml:space="preserve">Information, assessment and support will be delivered in ways that </w:t>
      </w:r>
      <w:r w:rsidR="007822D5">
        <w:t>uph</w:t>
      </w:r>
      <w:r w:rsidR="00EC411C">
        <w:t xml:space="preserve">old dignity and </w:t>
      </w:r>
      <w:r w:rsidRPr="00E554BF">
        <w:t>promote wellbeing.</w:t>
      </w:r>
      <w:r w:rsidR="00BB412C">
        <w:t xml:space="preserve"> </w:t>
      </w:r>
    </w:p>
    <w:p w14:paraId="348D20A9" w14:textId="4795B247" w:rsidR="003202D9" w:rsidRPr="00E554BF" w:rsidRDefault="003202D9" w:rsidP="00856600">
      <w:pPr>
        <w:spacing w:before="240" w:after="240" w:line="240" w:lineRule="auto"/>
      </w:pPr>
      <w:r w:rsidRPr="00E554BF">
        <w:t>In addition to the standard ways that older Aboriginal and Torres Strait Islander</w:t>
      </w:r>
      <w:r w:rsidR="006862EF">
        <w:t xml:space="preserve"> people</w:t>
      </w:r>
      <w:r w:rsidRPr="00E554BF">
        <w:t xml:space="preserve">, their families and carers can access My Aged Care, Aboriginal and Torres Strait Islander led support such as Elder Care Support Program, can also help facilitate access to My Aged Care services and assessments. This will help to ensure that older Aboriginal and Torres Strait Islander people and their carers receive support in a trusted and culturally safe environment. </w:t>
      </w:r>
    </w:p>
    <w:p w14:paraId="316192AC" w14:textId="43E15D3C" w:rsidR="00B75EB3" w:rsidRPr="00E554BF" w:rsidRDefault="00BC4A24" w:rsidP="00856600">
      <w:pPr>
        <w:spacing w:before="240" w:after="240" w:line="240" w:lineRule="auto"/>
      </w:pPr>
      <w:r>
        <w:t>O</w:t>
      </w:r>
      <w:r w:rsidR="00B75EB3" w:rsidRPr="00E554BF">
        <w:t xml:space="preserve">lder Aboriginal and Torres Strait Islander people </w:t>
      </w:r>
      <w:r>
        <w:t>can</w:t>
      </w:r>
      <w:r w:rsidR="00B75EB3" w:rsidRPr="00E554BF">
        <w:t xml:space="preserve"> indicate their preference to have their assessment delivered by an Aboriginal and Torres Strait Islander assessment organisation</w:t>
      </w:r>
      <w:r w:rsidR="001E3ECF" w:rsidRPr="00E554BF">
        <w:t xml:space="preserve">. </w:t>
      </w:r>
    </w:p>
    <w:p w14:paraId="252AD447" w14:textId="0B6C49F4" w:rsidR="00960476" w:rsidRPr="00E554BF" w:rsidRDefault="00BC4A24" w:rsidP="00856600">
      <w:pPr>
        <w:spacing w:before="240" w:after="240" w:line="240" w:lineRule="auto"/>
      </w:pPr>
      <w:r>
        <w:t>A c</w:t>
      </w:r>
      <w:r w:rsidR="00960476" w:rsidRPr="00E554BF">
        <w:t xml:space="preserve">lient’s preference to be assessed by an Aboriginal and Torres Strait Islander organisation can be captured at multiple points along the </w:t>
      </w:r>
      <w:r>
        <w:t>aged care</w:t>
      </w:r>
      <w:r w:rsidRPr="00E554BF">
        <w:t xml:space="preserve"> </w:t>
      </w:r>
      <w:r w:rsidR="00960476" w:rsidRPr="00E554BF">
        <w:t xml:space="preserve">journey. It may be captured when registering a client in the My Aged Care system, confirmed when completing demographic details during </w:t>
      </w:r>
      <w:r w:rsidR="001146EC">
        <w:t xml:space="preserve">the </w:t>
      </w:r>
      <w:r w:rsidR="00960476" w:rsidRPr="00E554BF">
        <w:t>triage</w:t>
      </w:r>
      <w:r w:rsidR="001146EC">
        <w:t xml:space="preserve"> stage of an assessment</w:t>
      </w:r>
      <w:r w:rsidR="00960476" w:rsidRPr="00E554BF">
        <w:t>. It may also be noted by an assessor during an assessment. Once recorded, the preference will display in the client’s profile and on the client’s card</w:t>
      </w:r>
      <w:r w:rsidR="001E3ECF" w:rsidRPr="00E554BF">
        <w:t xml:space="preserve">. </w:t>
      </w:r>
    </w:p>
    <w:p w14:paraId="3EC5FF48" w14:textId="20A5FD72" w:rsidR="002C5DBB" w:rsidRPr="0023551F" w:rsidRDefault="00960476" w:rsidP="00856600">
      <w:pPr>
        <w:spacing w:before="240" w:after="240" w:line="240" w:lineRule="auto"/>
      </w:pPr>
      <w:r w:rsidRPr="00E554BF">
        <w:t xml:space="preserve">It is </w:t>
      </w:r>
      <w:r w:rsidR="00FC4EA8">
        <w:t>acknow</w:t>
      </w:r>
      <w:r w:rsidR="00383C2E">
        <w:t>ledg</w:t>
      </w:r>
      <w:r w:rsidR="00FC4EA8" w:rsidRPr="00E554BF">
        <w:t xml:space="preserve">ed </w:t>
      </w:r>
      <w:r w:rsidRPr="00E554BF">
        <w:t>that</w:t>
      </w:r>
      <w:r w:rsidR="00EB01BB">
        <w:t xml:space="preserve"> establishing</w:t>
      </w:r>
      <w:r w:rsidRPr="00E554BF">
        <w:t xml:space="preserve"> trust </w:t>
      </w:r>
      <w:r w:rsidR="00EB01BB">
        <w:t xml:space="preserve">may </w:t>
      </w:r>
      <w:r w:rsidR="00776252">
        <w:t>requir</w:t>
      </w:r>
      <w:r w:rsidRPr="00E554BF">
        <w:t>e time, particularly for older Aboriginal and Torres Strait Islander people</w:t>
      </w:r>
      <w:r w:rsidR="00776252">
        <w:t xml:space="preserve">. </w:t>
      </w:r>
      <w:r w:rsidR="00F318C2">
        <w:t xml:space="preserve">Assessors </w:t>
      </w:r>
      <w:r w:rsidR="00744299">
        <w:t>should ensure clients</w:t>
      </w:r>
      <w:r w:rsidR="00A16D32">
        <w:t xml:space="preserve"> feel culturally safe</w:t>
      </w:r>
      <w:r w:rsidR="001532F1">
        <w:t xml:space="preserve">, respected, </w:t>
      </w:r>
      <w:r w:rsidRPr="00E554BF">
        <w:t xml:space="preserve">and comfortable before </w:t>
      </w:r>
      <w:r w:rsidR="00CE51EE">
        <w:t xml:space="preserve">they </w:t>
      </w:r>
      <w:r w:rsidR="001532F1">
        <w:t>reques</w:t>
      </w:r>
      <w:r w:rsidR="00CE51EE">
        <w:t>t</w:t>
      </w:r>
      <w:r w:rsidR="001532F1">
        <w:t xml:space="preserve"> </w:t>
      </w:r>
      <w:r w:rsidRPr="00E554BF">
        <w:t xml:space="preserve">personal or sensitive information. To support this, </w:t>
      </w:r>
      <w:r w:rsidR="006078A0">
        <w:t xml:space="preserve">assessors should consider if </w:t>
      </w:r>
      <w:r w:rsidRPr="00E554BF">
        <w:t xml:space="preserve">assessments </w:t>
      </w:r>
      <w:r w:rsidR="006078A0">
        <w:t>should</w:t>
      </w:r>
      <w:r w:rsidR="006078A0" w:rsidRPr="00E554BF">
        <w:t xml:space="preserve"> </w:t>
      </w:r>
      <w:r w:rsidRPr="00E554BF">
        <w:t>be conducted over multiple sittings to allow the process to proceed at a pace that respects the older person’s readiness and preferences. During this period, assessors are expected to maintain regular contact with the older person to ensure continuity while the assessment remains active. This ongoing engagement helps foster trust and continuity and ensures that the older person feels supported throughout the process.</w:t>
      </w:r>
    </w:p>
    <w:p w14:paraId="2A264B5A" w14:textId="77777777" w:rsidR="0099761A" w:rsidRPr="00807A0A" w:rsidRDefault="00ED631B" w:rsidP="00C325C6">
      <w:pPr>
        <w:pStyle w:val="Sub-headings"/>
      </w:pPr>
      <w:r w:rsidRPr="00904192">
        <w:t>Note</w:t>
      </w:r>
      <w:r w:rsidRPr="00807A0A">
        <w:t xml:space="preserve">: </w:t>
      </w:r>
    </w:p>
    <w:p w14:paraId="3032D897" w14:textId="1C8FCA09" w:rsidR="00602DAB" w:rsidRPr="0099072E" w:rsidRDefault="00ED631B" w:rsidP="00C325C6">
      <w:pPr>
        <w:pStyle w:val="Sub-headings"/>
      </w:pPr>
      <w:r w:rsidRPr="0099072E">
        <w:t xml:space="preserve">My Aged Care </w:t>
      </w:r>
      <w:r w:rsidR="0060352D">
        <w:t>assessor portal</w:t>
      </w:r>
      <w:r w:rsidRPr="0099072E">
        <w:t xml:space="preserve"> users are reminded that they are subject to several obligations when handling information in the Portals. This includes obligations under the Privacy Act 1988 (Cth) and where relevant the Aged Care Act 2024 (Cth).</w:t>
      </w:r>
    </w:p>
    <w:p w14:paraId="0144C0B2" w14:textId="6C44F7DD" w:rsidR="0055397F" w:rsidRDefault="0055397F" w:rsidP="00662566">
      <w:bookmarkStart w:id="119" w:name="_Toc204329494"/>
      <w:bookmarkStart w:id="120" w:name="_Toc209188949"/>
    </w:p>
    <w:p w14:paraId="2704B317" w14:textId="77777777" w:rsidR="00ED631B" w:rsidRPr="003F53E0" w:rsidRDefault="00ED631B" w:rsidP="00507F9D">
      <w:pPr>
        <w:pStyle w:val="h2"/>
        <w:rPr>
          <w:color w:val="auto"/>
        </w:rPr>
      </w:pPr>
      <w:bookmarkStart w:id="121" w:name="_Toc224916615"/>
      <w:r w:rsidRPr="00FB6AC0">
        <w:t xml:space="preserve">Single Assessment </w:t>
      </w:r>
      <w:r w:rsidRPr="00C509B6">
        <w:t>System</w:t>
      </w:r>
      <w:bookmarkEnd w:id="117"/>
      <w:bookmarkEnd w:id="119"/>
      <w:bookmarkEnd w:id="120"/>
      <w:bookmarkEnd w:id="121"/>
    </w:p>
    <w:bookmarkEnd w:id="118"/>
    <w:p w14:paraId="7A573AFD" w14:textId="55C90435" w:rsidR="00ED631B" w:rsidRPr="00880B95" w:rsidRDefault="00ED631B" w:rsidP="00856600">
      <w:pPr>
        <w:spacing w:before="240" w:after="240" w:line="240" w:lineRule="auto"/>
      </w:pPr>
      <w:r w:rsidRPr="00880B95">
        <w:rPr>
          <w:lang w:val="en-US"/>
        </w:rPr>
        <w:t xml:space="preserve">The Single Assessment System came into effect in </w:t>
      </w:r>
      <w:r w:rsidR="0034406F">
        <w:rPr>
          <w:lang w:val="en-US"/>
        </w:rPr>
        <w:t>July</w:t>
      </w:r>
      <w:r w:rsidRPr="00880B95">
        <w:rPr>
          <w:lang w:val="en-US"/>
        </w:rPr>
        <w:t xml:space="preserve"> 2024</w:t>
      </w:r>
      <w:r w:rsidR="0034406F">
        <w:rPr>
          <w:lang w:val="en-US"/>
        </w:rPr>
        <w:t xml:space="preserve">, with the </w:t>
      </w:r>
      <w:r w:rsidR="00CB40A4">
        <w:rPr>
          <w:lang w:val="en-US"/>
        </w:rPr>
        <w:t>IAT introduced on 1 July and the Single Assessment System workforce introduced in December 2024</w:t>
      </w:r>
      <w:r w:rsidRPr="00880B95">
        <w:rPr>
          <w:lang w:val="en-US"/>
        </w:rPr>
        <w:t xml:space="preserve">. It </w:t>
      </w:r>
      <w:r w:rsidRPr="00880B95">
        <w:rPr>
          <w:lang w:val="en"/>
        </w:rPr>
        <w:t>provides</w:t>
      </w:r>
      <w:r w:rsidRPr="00880B95">
        <w:rPr>
          <w:lang w:val="en-US"/>
        </w:rPr>
        <w:t xml:space="preserve"> a single aged care assessment pathway for older people to access aged care services. </w:t>
      </w:r>
      <w:r>
        <w:rPr>
          <w:lang w:val="en-US"/>
        </w:rPr>
        <w:t xml:space="preserve">This included the phased implementation of Aboriginal and Torres Strait Islander </w:t>
      </w:r>
      <w:r w:rsidR="0084737D">
        <w:rPr>
          <w:lang w:val="en-US"/>
        </w:rPr>
        <w:t>a</w:t>
      </w:r>
      <w:r>
        <w:rPr>
          <w:lang w:val="en-US"/>
        </w:rPr>
        <w:t xml:space="preserve">ssessment organisations from </w:t>
      </w:r>
      <w:r w:rsidR="00EB67CD">
        <w:rPr>
          <w:lang w:val="en-US"/>
        </w:rPr>
        <w:t>August</w:t>
      </w:r>
      <w:r>
        <w:rPr>
          <w:lang w:val="en-US"/>
        </w:rPr>
        <w:t xml:space="preserve"> 2025. </w:t>
      </w:r>
      <w:r w:rsidRPr="00880B95">
        <w:rPr>
          <w:lang w:val="en-US"/>
        </w:rPr>
        <w:t>The system has been established to respond to Recommendation</w:t>
      </w:r>
      <w:r>
        <w:rPr>
          <w:lang w:val="en-US"/>
        </w:rPr>
        <w:t>s</w:t>
      </w:r>
      <w:r w:rsidRPr="00880B95">
        <w:rPr>
          <w:lang w:val="en-US"/>
        </w:rPr>
        <w:t xml:space="preserve"> 28 </w:t>
      </w:r>
      <w:r>
        <w:rPr>
          <w:lang w:val="en-US"/>
        </w:rPr>
        <w:t xml:space="preserve">and 48.2(b) </w:t>
      </w:r>
      <w:r w:rsidRPr="00880B95">
        <w:rPr>
          <w:lang w:val="en-US"/>
        </w:rPr>
        <w:t xml:space="preserve">of the Royal Commission into Aged Care Quality and Safety to make it easier for older people to access </w:t>
      </w:r>
      <w:r>
        <w:rPr>
          <w:lang w:val="en-US"/>
        </w:rPr>
        <w:t xml:space="preserve">culturally safe </w:t>
      </w:r>
      <w:r w:rsidRPr="00880B95">
        <w:rPr>
          <w:lang w:val="en-US"/>
        </w:rPr>
        <w:t xml:space="preserve">aged care </w:t>
      </w:r>
      <w:r>
        <w:rPr>
          <w:lang w:val="en-US"/>
        </w:rPr>
        <w:t xml:space="preserve">assessments </w:t>
      </w:r>
      <w:r w:rsidRPr="00880B95">
        <w:rPr>
          <w:lang w:val="en-US"/>
        </w:rPr>
        <w:t>and adapt services as their needs change. </w:t>
      </w:r>
      <w:r w:rsidRPr="00880B95">
        <w:t> </w:t>
      </w:r>
    </w:p>
    <w:p w14:paraId="7F7F009B" w14:textId="4E5F4F62" w:rsidR="00ED631B" w:rsidRPr="00880B95" w:rsidRDefault="00ED631B" w:rsidP="00856600">
      <w:pPr>
        <w:spacing w:before="240" w:after="240" w:line="240" w:lineRule="auto"/>
      </w:pPr>
      <w:r w:rsidRPr="00880B95">
        <w:rPr>
          <w:lang w:val="en-US"/>
        </w:rPr>
        <w:t xml:space="preserve">The </w:t>
      </w:r>
      <w:r w:rsidR="00FD32AA">
        <w:rPr>
          <w:lang w:val="en-US"/>
        </w:rPr>
        <w:t>Australian Government</w:t>
      </w:r>
      <w:r w:rsidR="00FD32AA" w:rsidRPr="00880B95">
        <w:rPr>
          <w:lang w:val="en-US"/>
        </w:rPr>
        <w:t xml:space="preserve"> </w:t>
      </w:r>
      <w:r w:rsidRPr="00880B95">
        <w:rPr>
          <w:lang w:val="en-US"/>
        </w:rPr>
        <w:t>delivers aged care assessments through the Single Assessment System workforce. Aged care assessments are delivered by a mix of state and territory governments, for-profit organisations, not-for-profit organisations</w:t>
      </w:r>
      <w:r>
        <w:rPr>
          <w:lang w:val="en-US"/>
        </w:rPr>
        <w:t>, Aboriginal Community Controlled Health Organisations (ACCHOs)</w:t>
      </w:r>
      <w:r w:rsidRPr="00880B95">
        <w:rPr>
          <w:lang w:val="en-US"/>
        </w:rPr>
        <w:t xml:space="preserve"> and private sector providers.</w:t>
      </w:r>
      <w:r w:rsidRPr="00880B95">
        <w:t> </w:t>
      </w:r>
    </w:p>
    <w:p w14:paraId="46472E86" w14:textId="77777777" w:rsidR="00ED631B" w:rsidRPr="00880B95" w:rsidRDefault="00ED631B" w:rsidP="00856600">
      <w:pPr>
        <w:spacing w:before="240" w:after="240" w:line="240" w:lineRule="auto"/>
      </w:pPr>
      <w:r w:rsidRPr="00880B95">
        <w:rPr>
          <w:lang w:val="en-US"/>
        </w:rPr>
        <w:t xml:space="preserve">Under the Single Assessment System, assessment organisations have a mix of clinical and non-clinical assessment staff and conduct both home support and comprehensive assessments. </w:t>
      </w:r>
      <w:r w:rsidRPr="00880B95">
        <w:t xml:space="preserve">Each assessment organisation is multidisciplinary and may include a range of health-related disciplines. </w:t>
      </w:r>
      <w:r w:rsidRPr="50800CBA">
        <w:rPr>
          <w:lang w:val="en-US"/>
        </w:rPr>
        <w:t>Some</w:t>
      </w:r>
      <w:r w:rsidRPr="00880B95">
        <w:rPr>
          <w:lang w:val="en-US"/>
        </w:rPr>
        <w:t xml:space="preserve"> assessment organisations may also deliver residential aged care funding assessments using the Australian National Aged Care Classification (AN-ACC) assessment tool. </w:t>
      </w:r>
      <w:r w:rsidRPr="00880B95">
        <w:t> </w:t>
      </w:r>
    </w:p>
    <w:p w14:paraId="33D09A08" w14:textId="66852400" w:rsidR="00ED631B" w:rsidRPr="00880B95" w:rsidRDefault="00ED631B" w:rsidP="00856600">
      <w:pPr>
        <w:spacing w:before="240" w:after="240" w:line="240" w:lineRule="auto"/>
      </w:pPr>
      <w:r w:rsidRPr="00880B95">
        <w:t xml:space="preserve">Assessment organisations are responsible for the day-to-day operation of the Single Assessment System including the timely delivery of assessments under the </w:t>
      </w:r>
      <w:r w:rsidRPr="00880B95">
        <w:rPr>
          <w:i/>
        </w:rPr>
        <w:t>Aged Care Act 2024</w:t>
      </w:r>
      <w:r>
        <w:rPr>
          <w:i/>
        </w:rPr>
        <w:t xml:space="preserve"> </w:t>
      </w:r>
      <w:r w:rsidRPr="00240AF6">
        <w:rPr>
          <w:iCs/>
        </w:rPr>
        <w:t>(the Act),</w:t>
      </w:r>
      <w:r w:rsidRPr="00880B95">
        <w:t xml:space="preserve"> as well as the management, training, and performance of individual assessors and delegates.</w:t>
      </w:r>
    </w:p>
    <w:p w14:paraId="64B1E618" w14:textId="38194837" w:rsidR="00ED631B" w:rsidRDefault="00ED631B" w:rsidP="00856600">
      <w:pPr>
        <w:spacing w:before="240" w:after="240" w:line="240" w:lineRule="auto"/>
      </w:pPr>
      <w:r w:rsidRPr="00880B95">
        <w:t xml:space="preserve">The department has responsibility for the Single Assessment </w:t>
      </w:r>
      <w:r w:rsidR="36B3C766">
        <w:t>System,</w:t>
      </w:r>
      <w:r w:rsidRPr="00880B95">
        <w:t xml:space="preserve"> including providing advice on Australian Government policy, the monitoring and reporting of performance against agreed service levels, and the management of regulatory and other administrative processes relating to the </w:t>
      </w:r>
      <w:r w:rsidRPr="00240AF6">
        <w:rPr>
          <w:iCs/>
        </w:rPr>
        <w:t>Act.</w:t>
      </w:r>
      <w:r w:rsidRPr="00880B95">
        <w:t>  </w:t>
      </w:r>
    </w:p>
    <w:p w14:paraId="17D5019C" w14:textId="31B052BE" w:rsidR="00ED631B" w:rsidRDefault="00ED631B" w:rsidP="00856600">
      <w:pPr>
        <w:spacing w:before="240" w:after="240" w:line="240" w:lineRule="auto"/>
      </w:pPr>
      <w:r>
        <w:t xml:space="preserve">The department and assessment organisations are jointly responsible for training assessment organisation staff, establishing communication protocols, working cooperatively to develop nationally consistent approaches to Single Assessment System </w:t>
      </w:r>
      <w:r w:rsidR="00555ECC">
        <w:t>workforce</w:t>
      </w:r>
      <w:r>
        <w:t xml:space="preserve"> operations, and participating in regular forums to support the national administration of the Single Assessment System.</w:t>
      </w:r>
    </w:p>
    <w:p w14:paraId="61AB7DCF" w14:textId="1AA8E690" w:rsidR="00ED631B" w:rsidRDefault="00ED631B" w:rsidP="00856600">
      <w:pPr>
        <w:spacing w:before="240" w:after="240" w:line="240" w:lineRule="auto"/>
      </w:pPr>
      <w:r>
        <w:t xml:space="preserve">With assessment organisations having a mixed clinical and non-clinical workforce, it is a requirement that all assessment organisations have effective clinical governance operationalised through a clinical governance framework. The department has provided </w:t>
      </w:r>
      <w:r w:rsidRPr="0093717C">
        <w:t xml:space="preserve">guidance in </w:t>
      </w:r>
      <w:r w:rsidR="00D463DA">
        <w:t xml:space="preserve">Appendix </w:t>
      </w:r>
      <w:r w:rsidR="00155ECB">
        <w:t>C</w:t>
      </w:r>
      <w:r w:rsidR="006C1B9B">
        <w:t xml:space="preserve"> </w:t>
      </w:r>
      <w:r w:rsidR="006C1B9B" w:rsidRPr="0093717C">
        <w:t>which</w:t>
      </w:r>
      <w:r>
        <w:t xml:space="preserve"> </w:t>
      </w:r>
      <w:r w:rsidRPr="00E07FB3">
        <w:t xml:space="preserve">aims to help assessment organisations to implement effective clinical governance. </w:t>
      </w:r>
      <w:r>
        <w:t xml:space="preserve">The guidance </w:t>
      </w:r>
      <w:r w:rsidRPr="00E07FB3">
        <w:t>describes the importance of good clinical governance, details the elements of an effective clinical governance framework in an aged care needs assessment context and outlines the minimum supports that must be in place to support clinical and non-clinical staff.</w:t>
      </w:r>
    </w:p>
    <w:p w14:paraId="0B065AA0" w14:textId="0CAD8709" w:rsidR="00ED631B" w:rsidRPr="00C5342C" w:rsidDel="00BA0472" w:rsidRDefault="00ED631B" w:rsidP="00507F9D">
      <w:pPr>
        <w:pStyle w:val="h2"/>
      </w:pPr>
      <w:bookmarkStart w:id="122" w:name="_Toc204329495"/>
      <w:bookmarkStart w:id="123" w:name="_Toc209188950"/>
      <w:bookmarkStart w:id="124" w:name="_Toc224916616"/>
      <w:r w:rsidRPr="003E1933">
        <w:t>Aboriginal and Torres Strait Islander</w:t>
      </w:r>
      <w:r w:rsidRPr="003E1933" w:rsidDel="00BA0472">
        <w:t xml:space="preserve"> </w:t>
      </w:r>
      <w:r w:rsidR="00B4461A">
        <w:t>a</w:t>
      </w:r>
      <w:r w:rsidRPr="003E1933" w:rsidDel="00BA0472">
        <w:t>ssessment</w:t>
      </w:r>
      <w:r w:rsidRPr="003E1933">
        <w:t xml:space="preserve"> </w:t>
      </w:r>
      <w:r w:rsidR="00B4461A">
        <w:t>o</w:t>
      </w:r>
      <w:r w:rsidRPr="003E1933">
        <w:t>rganisations</w:t>
      </w:r>
      <w:bookmarkEnd w:id="122"/>
      <w:bookmarkEnd w:id="123"/>
      <w:bookmarkEnd w:id="124"/>
    </w:p>
    <w:p w14:paraId="0DCF593C" w14:textId="77777777" w:rsidR="00ED631B" w:rsidRDefault="00ED631B" w:rsidP="00856600">
      <w:pPr>
        <w:spacing w:before="240" w:after="240" w:line="240" w:lineRule="auto"/>
        <w:rPr>
          <w:rFonts w:eastAsia="MS Mincho"/>
        </w:rPr>
      </w:pPr>
      <w:r w:rsidRPr="009762A7">
        <w:rPr>
          <w:rFonts w:eastAsia="MS Mincho"/>
        </w:rPr>
        <w:t>Older Aboriginal and Torres Strait Islander people experience barriers to accessing aged care services, which can prevent them from receiving the care they need. </w:t>
      </w:r>
    </w:p>
    <w:p w14:paraId="669F139C" w14:textId="2C8B71FD" w:rsidR="00ED631B" w:rsidRDefault="00ED631B" w:rsidP="00856600">
      <w:pPr>
        <w:spacing w:before="240" w:after="240" w:line="240" w:lineRule="auto"/>
        <w:rPr>
          <w:rFonts w:eastAsia="Calibri"/>
        </w:rPr>
      </w:pPr>
      <w:r w:rsidRPr="0034480B">
        <w:rPr>
          <w:rFonts w:eastAsia="Calibri"/>
        </w:rPr>
        <w:t xml:space="preserve">Aboriginal and Torres Strait Islander </w:t>
      </w:r>
      <w:r>
        <w:rPr>
          <w:rFonts w:eastAsia="Calibri"/>
        </w:rPr>
        <w:t>assessment organisations</w:t>
      </w:r>
      <w:r w:rsidRPr="0034480B">
        <w:rPr>
          <w:rFonts w:eastAsia="Calibri"/>
        </w:rPr>
        <w:t xml:space="preserve"> </w:t>
      </w:r>
      <w:r w:rsidR="3BDA7F5E" w:rsidRPr="36784456">
        <w:rPr>
          <w:rFonts w:eastAsia="Calibri"/>
        </w:rPr>
        <w:t xml:space="preserve">are </w:t>
      </w:r>
      <w:r w:rsidRPr="36784456">
        <w:rPr>
          <w:rFonts w:eastAsia="Calibri"/>
        </w:rPr>
        <w:t>be</w:t>
      </w:r>
      <w:r w:rsidR="39AD5EF2" w:rsidRPr="36784456">
        <w:rPr>
          <w:rFonts w:eastAsia="Calibri"/>
        </w:rPr>
        <w:t>ing</w:t>
      </w:r>
      <w:r w:rsidRPr="0034480B">
        <w:rPr>
          <w:rFonts w:eastAsia="Calibri"/>
        </w:rPr>
        <w:t xml:space="preserve"> established in response to Royal Commission Recommendation </w:t>
      </w:r>
      <w:r w:rsidRPr="1B7DC8BD">
        <w:rPr>
          <w:rFonts w:eastAsia="Calibri"/>
        </w:rPr>
        <w:t xml:space="preserve">28 and </w:t>
      </w:r>
      <w:r w:rsidRPr="0034480B">
        <w:rPr>
          <w:rFonts w:eastAsia="Calibri"/>
        </w:rPr>
        <w:t>48.2</w:t>
      </w:r>
      <w:r w:rsidRPr="1B7DC8BD">
        <w:rPr>
          <w:rFonts w:eastAsia="Calibri"/>
        </w:rPr>
        <w:t>(</w:t>
      </w:r>
      <w:r w:rsidRPr="0034480B">
        <w:rPr>
          <w:rFonts w:eastAsia="Calibri"/>
        </w:rPr>
        <w:t>b</w:t>
      </w:r>
      <w:r w:rsidRPr="1B7DC8BD">
        <w:rPr>
          <w:rFonts w:eastAsia="Calibri"/>
        </w:rPr>
        <w:t>)</w:t>
      </w:r>
      <w:r w:rsidRPr="0034480B">
        <w:rPr>
          <w:rFonts w:eastAsia="Calibri"/>
        </w:rPr>
        <w:t xml:space="preserve"> to </w:t>
      </w:r>
      <w:r w:rsidRPr="0034480B">
        <w:rPr>
          <w:rFonts w:eastAsia="Calibri"/>
          <w:i/>
          <w:iCs/>
        </w:rPr>
        <w:t>‘ensure, wherever possible, that aged care assessments of Aboriginal and Torres Strait Islander people are conducted by assessors who are Aboriginal or Torres Strait Islander people, or others who have undertaken training in cultural safety and trauma-informed approaches’.</w:t>
      </w:r>
      <w:r w:rsidRPr="0034480B">
        <w:rPr>
          <w:rFonts w:eastAsia="Calibri"/>
        </w:rPr>
        <w:t xml:space="preserve"> </w:t>
      </w:r>
    </w:p>
    <w:p w14:paraId="3388FBE0" w14:textId="2F6ABD61" w:rsidR="000D2BBE" w:rsidRPr="00C7684D" w:rsidRDefault="00656F2D" w:rsidP="00856600">
      <w:pPr>
        <w:spacing w:before="240" w:after="240" w:line="240" w:lineRule="auto"/>
      </w:pPr>
      <w:r>
        <w:t xml:space="preserve">The vision for Aboriginal and Torres Strait Islander assessment organisations is to create a culturally safe and empowering environment. This pathway aims to make it easier for older people to access clear and relevant information about aged care assessment; have their needs assessed in a responsive and respectful manner; and, be supported in locating and accessing aged care services that align with their aged care needs and preferences. </w:t>
      </w:r>
      <w:r w:rsidR="00927410">
        <w:t>This will support clients to maintain their independence</w:t>
      </w:r>
      <w:r w:rsidR="009528BE">
        <w:t xml:space="preserve"> at home for longer.</w:t>
      </w:r>
    </w:p>
    <w:p w14:paraId="7FC02614" w14:textId="1CA931D9" w:rsidR="00ED631B" w:rsidRDefault="002F47E0" w:rsidP="00856600">
      <w:pPr>
        <w:spacing w:before="240" w:after="240" w:line="240" w:lineRule="auto"/>
      </w:pPr>
      <w:r>
        <w:rPr>
          <w:rFonts w:eastAsia="Calibri"/>
        </w:rPr>
        <w:t>Since</w:t>
      </w:r>
      <w:r w:rsidRPr="00D746AA" w:rsidDel="00C5342C">
        <w:rPr>
          <w:rFonts w:eastAsia="Calibri"/>
        </w:rPr>
        <w:t xml:space="preserve"> </w:t>
      </w:r>
      <w:r w:rsidR="00ED631B" w:rsidRPr="00D746AA">
        <w:rPr>
          <w:rFonts w:eastAsia="Calibri"/>
        </w:rPr>
        <w:t>August 2025, a small number of Aboriginal and Torres Strait Islander</w:t>
      </w:r>
      <w:r w:rsidR="00ED631B" w:rsidRPr="00D746AA" w:rsidDel="004D739E">
        <w:rPr>
          <w:rFonts w:eastAsia="Calibri"/>
        </w:rPr>
        <w:t xml:space="preserve"> aged care assessment </w:t>
      </w:r>
      <w:r w:rsidR="00ED631B" w:rsidRPr="00D746AA" w:rsidDel="004D739E">
        <w:rPr>
          <w:rFonts w:eastAsia="MS Mincho"/>
        </w:rPr>
        <w:t>organisations</w:t>
      </w:r>
      <w:r w:rsidR="00ED631B" w:rsidRPr="00D746AA" w:rsidDel="004D739E">
        <w:rPr>
          <w:rFonts w:eastAsia="Calibri"/>
        </w:rPr>
        <w:t xml:space="preserve"> </w:t>
      </w:r>
      <w:r w:rsidR="00ED631B" w:rsidRPr="00D746AA">
        <w:rPr>
          <w:rFonts w:eastAsia="Calibri"/>
        </w:rPr>
        <w:t>started delivering culturally safe, trauma aware and healing informed aged care assessments</w:t>
      </w:r>
      <w:r w:rsidR="00ED631B">
        <w:rPr>
          <w:rFonts w:eastAsia="Calibri"/>
        </w:rPr>
        <w:t xml:space="preserve">. </w:t>
      </w:r>
      <w:r w:rsidR="00ED631B" w:rsidRPr="005A3176">
        <w:t>This pilot is part of a phased rollout and over time, future phases will cover more areas across Australia.</w:t>
      </w:r>
    </w:p>
    <w:p w14:paraId="0981C860" w14:textId="77777777" w:rsidR="00ED631B" w:rsidRPr="005A3176" w:rsidRDefault="00ED631B" w:rsidP="00856600">
      <w:pPr>
        <w:spacing w:before="240" w:after="240" w:line="240" w:lineRule="auto"/>
      </w:pPr>
      <w:r w:rsidRPr="005A3176">
        <w:t>These organisations provide older Aboriginal and Torres Strait Islander people:</w:t>
      </w:r>
    </w:p>
    <w:p w14:paraId="52F0CF22" w14:textId="77777777" w:rsidR="00ED631B" w:rsidRPr="005A3176" w:rsidRDefault="00ED631B" w:rsidP="00856600">
      <w:pPr>
        <w:numPr>
          <w:ilvl w:val="0"/>
          <w:numId w:val="45"/>
        </w:numPr>
        <w:spacing w:before="240" w:after="240" w:line="240" w:lineRule="auto"/>
      </w:pPr>
      <w:r w:rsidRPr="005A3176">
        <w:t>an improved assessment experience</w:t>
      </w:r>
    </w:p>
    <w:p w14:paraId="7B473765" w14:textId="2DB4BC81" w:rsidR="00ED631B" w:rsidRPr="005A3176" w:rsidRDefault="00ED631B" w:rsidP="00856600">
      <w:pPr>
        <w:numPr>
          <w:ilvl w:val="0"/>
          <w:numId w:val="45"/>
        </w:numPr>
        <w:spacing w:before="240" w:after="240" w:line="240" w:lineRule="auto"/>
      </w:pPr>
      <w:r w:rsidRPr="005A3176">
        <w:t xml:space="preserve">options to stay at home for </w:t>
      </w:r>
      <w:r w:rsidR="006C1B9B" w:rsidRPr="005A3176">
        <w:t>longer.</w:t>
      </w:r>
    </w:p>
    <w:p w14:paraId="76251B0B" w14:textId="77777777" w:rsidR="00ED631B" w:rsidRPr="005A3176" w:rsidRDefault="00ED631B" w:rsidP="00856600">
      <w:pPr>
        <w:numPr>
          <w:ilvl w:val="0"/>
          <w:numId w:val="45"/>
        </w:numPr>
        <w:spacing w:before="240" w:after="240" w:line="240" w:lineRule="auto"/>
      </w:pPr>
      <w:r w:rsidRPr="005A3176">
        <w:t xml:space="preserve">more choice when </w:t>
      </w:r>
      <w:bookmarkStart w:id="125" w:name="_Int_HfBNXQs2"/>
      <w:r w:rsidRPr="005A3176">
        <w:t>seeking</w:t>
      </w:r>
      <w:bookmarkEnd w:id="125"/>
      <w:r w:rsidRPr="005A3176">
        <w:t xml:space="preserve"> culturally safe aged care assessment.</w:t>
      </w:r>
    </w:p>
    <w:p w14:paraId="088B70DB" w14:textId="20F6F81F" w:rsidR="00ED631B" w:rsidRPr="009762A7" w:rsidRDefault="00ED631B" w:rsidP="00856600">
      <w:pPr>
        <w:spacing w:before="240" w:after="240" w:line="240" w:lineRule="auto"/>
        <w:rPr>
          <w:rFonts w:eastAsia="MS Mincho"/>
        </w:rPr>
      </w:pPr>
      <w:r w:rsidRPr="005A3176" w:rsidDel="0041370A">
        <w:rPr>
          <w:rFonts w:eastAsia="MS Mincho"/>
        </w:rPr>
        <w:t xml:space="preserve">Aboriginal and Torres Strait Islander </w:t>
      </w:r>
      <w:r w:rsidRPr="005A3176" w:rsidDel="0082404C">
        <w:rPr>
          <w:rFonts w:eastAsia="MS Mincho"/>
        </w:rPr>
        <w:t xml:space="preserve">assessment organisations </w:t>
      </w:r>
      <w:r w:rsidRPr="009762A7">
        <w:rPr>
          <w:rFonts w:eastAsia="MS Mincho"/>
        </w:rPr>
        <w:t>work closely with local community organisations</w:t>
      </w:r>
      <w:r w:rsidRPr="005A3176">
        <w:rPr>
          <w:rFonts w:eastAsia="MS Mincho"/>
        </w:rPr>
        <w:t xml:space="preserve"> and support networks</w:t>
      </w:r>
      <w:r w:rsidRPr="009762A7">
        <w:rPr>
          <w:rFonts w:eastAsia="MS Mincho"/>
        </w:rPr>
        <w:t xml:space="preserve"> </w:t>
      </w:r>
      <w:r w:rsidR="00D86523">
        <w:rPr>
          <w:rFonts w:eastAsia="MS Mincho"/>
        </w:rPr>
        <w:t>including</w:t>
      </w:r>
      <w:r w:rsidRPr="009762A7">
        <w:rPr>
          <w:rFonts w:eastAsia="MS Mincho"/>
        </w:rPr>
        <w:t xml:space="preserve"> Aboriginal Community Controlled Organisations, Aboriginal Community Controlled Health Organisations, and the Elder Care Support program. </w:t>
      </w:r>
      <w:r w:rsidR="00B979ED">
        <w:rPr>
          <w:rFonts w:eastAsia="MS Mincho"/>
        </w:rPr>
        <w:t>Together, t</w:t>
      </w:r>
      <w:r w:rsidRPr="009762A7">
        <w:rPr>
          <w:rFonts w:eastAsia="MS Mincho"/>
        </w:rPr>
        <w:t>hey</w:t>
      </w:r>
      <w:r w:rsidRPr="009762A7" w:rsidDel="000B2D61">
        <w:rPr>
          <w:rFonts w:eastAsia="MS Mincho"/>
        </w:rPr>
        <w:t xml:space="preserve"> </w:t>
      </w:r>
      <w:r w:rsidR="00894D80" w:rsidRPr="009762A7">
        <w:rPr>
          <w:rFonts w:eastAsia="MS Mincho"/>
        </w:rPr>
        <w:t>work to</w:t>
      </w:r>
      <w:r w:rsidRPr="009762A7">
        <w:rPr>
          <w:rFonts w:eastAsia="MS Mincho"/>
        </w:rPr>
        <w:t xml:space="preserve"> </w:t>
      </w:r>
      <w:r w:rsidR="00777F82">
        <w:rPr>
          <w:rFonts w:eastAsia="MS Mincho"/>
        </w:rPr>
        <w:t xml:space="preserve">support, </w:t>
      </w:r>
      <w:r w:rsidR="006E30AD">
        <w:rPr>
          <w:rFonts w:eastAsia="MS Mincho"/>
        </w:rPr>
        <w:t>empower,</w:t>
      </w:r>
      <w:r w:rsidRPr="005A3176">
        <w:rPr>
          <w:rFonts w:eastAsia="MS Mincho"/>
        </w:rPr>
        <w:t xml:space="preserve"> </w:t>
      </w:r>
      <w:r w:rsidRPr="009762A7">
        <w:rPr>
          <w:rFonts w:eastAsia="MS Mincho"/>
        </w:rPr>
        <w:t xml:space="preserve">educate and encourage the </w:t>
      </w:r>
      <w:r w:rsidRPr="005A3176">
        <w:rPr>
          <w:rFonts w:eastAsia="MS Mincho"/>
        </w:rPr>
        <w:t xml:space="preserve">older Aboriginal and Torres Strait Islander people and their </w:t>
      </w:r>
      <w:r w:rsidRPr="009762A7">
        <w:rPr>
          <w:rFonts w:eastAsia="MS Mincho"/>
        </w:rPr>
        <w:t>communit</w:t>
      </w:r>
      <w:r w:rsidR="007E2D48">
        <w:rPr>
          <w:rFonts w:eastAsia="MS Mincho"/>
        </w:rPr>
        <w:t>ies</w:t>
      </w:r>
      <w:r w:rsidRPr="009762A7">
        <w:rPr>
          <w:rFonts w:eastAsia="MS Mincho"/>
        </w:rPr>
        <w:t xml:space="preserve"> to identify their needs and </w:t>
      </w:r>
      <w:r w:rsidR="00842F25">
        <w:rPr>
          <w:rFonts w:eastAsia="MS Mincho"/>
        </w:rPr>
        <w:t>explore</w:t>
      </w:r>
      <w:r w:rsidRPr="009762A7">
        <w:rPr>
          <w:rFonts w:eastAsia="MS Mincho"/>
        </w:rPr>
        <w:t xml:space="preserve"> how aged care can help them age well</w:t>
      </w:r>
      <w:r w:rsidR="00FC34F3">
        <w:rPr>
          <w:rFonts w:eastAsia="MS Mincho"/>
        </w:rPr>
        <w:t>, remain connected to community,</w:t>
      </w:r>
      <w:r w:rsidRPr="009762A7">
        <w:rPr>
          <w:rFonts w:eastAsia="MS Mincho"/>
        </w:rPr>
        <w:t xml:space="preserve"> and support them to stay at home and on </w:t>
      </w:r>
      <w:r w:rsidRPr="005A3176">
        <w:rPr>
          <w:rFonts w:eastAsia="MS Mincho"/>
        </w:rPr>
        <w:t>Country</w:t>
      </w:r>
      <w:r w:rsidR="00630481">
        <w:rPr>
          <w:rFonts w:eastAsia="MS Mincho"/>
        </w:rPr>
        <w:t xml:space="preserve"> for</w:t>
      </w:r>
      <w:r w:rsidRPr="009762A7">
        <w:rPr>
          <w:rFonts w:eastAsia="MS Mincho"/>
        </w:rPr>
        <w:t xml:space="preserve"> longer. </w:t>
      </w:r>
    </w:p>
    <w:p w14:paraId="68753EC6" w14:textId="1CA654EF" w:rsidR="00ED631B" w:rsidRDefault="002F317E" w:rsidP="00856600">
      <w:pPr>
        <w:spacing w:before="240" w:after="240" w:line="240" w:lineRule="auto"/>
        <w:rPr>
          <w:rFonts w:eastAsia="Calibri"/>
        </w:rPr>
      </w:pPr>
      <w:r>
        <w:rPr>
          <w:rFonts w:eastAsia="Calibri"/>
        </w:rPr>
        <w:t>O</w:t>
      </w:r>
      <w:r w:rsidR="00ED631B" w:rsidRPr="009762A7">
        <w:rPr>
          <w:rFonts w:eastAsia="Calibri"/>
        </w:rPr>
        <w:t xml:space="preserve">lder Aboriginal and Torres Strait Islander people can </w:t>
      </w:r>
      <w:r w:rsidR="00ED631B" w:rsidRPr="005A3176">
        <w:rPr>
          <w:rFonts w:eastAsia="Calibri"/>
        </w:rPr>
        <w:t xml:space="preserve">access </w:t>
      </w:r>
      <w:r w:rsidR="00ED631B" w:rsidRPr="009762A7">
        <w:rPr>
          <w:rFonts w:eastAsia="Calibri"/>
        </w:rPr>
        <w:t xml:space="preserve">aged care </w:t>
      </w:r>
      <w:r>
        <w:rPr>
          <w:rFonts w:eastAsia="Calibri"/>
        </w:rPr>
        <w:t>nee</w:t>
      </w:r>
      <w:r w:rsidR="000D33B4">
        <w:rPr>
          <w:rFonts w:eastAsia="Calibri"/>
        </w:rPr>
        <w:t>d</w:t>
      </w:r>
      <w:r>
        <w:rPr>
          <w:rFonts w:eastAsia="Calibri"/>
        </w:rPr>
        <w:t>s</w:t>
      </w:r>
      <w:r w:rsidR="00ED631B" w:rsidRPr="009762A7">
        <w:rPr>
          <w:rFonts w:eastAsia="Calibri"/>
        </w:rPr>
        <w:t xml:space="preserve"> assessments </w:t>
      </w:r>
      <w:r w:rsidR="00ED631B">
        <w:rPr>
          <w:rFonts w:eastAsia="Calibri"/>
        </w:rPr>
        <w:t>through</w:t>
      </w:r>
      <w:r w:rsidR="00ED631B" w:rsidRPr="009762A7">
        <w:rPr>
          <w:rFonts w:eastAsia="Calibri"/>
        </w:rPr>
        <w:t xml:space="preserve"> the existing </w:t>
      </w:r>
      <w:r>
        <w:rPr>
          <w:rFonts w:eastAsia="Calibri"/>
        </w:rPr>
        <w:t xml:space="preserve">assessment organisations, </w:t>
      </w:r>
      <w:r w:rsidR="006E30AD">
        <w:rPr>
          <w:rFonts w:eastAsia="Calibri"/>
        </w:rPr>
        <w:t>or</w:t>
      </w:r>
      <w:r>
        <w:rPr>
          <w:rFonts w:eastAsia="Calibri"/>
        </w:rPr>
        <w:t xml:space="preserve"> once established, through</w:t>
      </w:r>
      <w:r w:rsidR="00FA1D4B">
        <w:rPr>
          <w:rFonts w:eastAsia="Calibri"/>
        </w:rPr>
        <w:t xml:space="preserve"> an Aboriginal and Torres</w:t>
      </w:r>
      <w:r w:rsidR="00F56703">
        <w:rPr>
          <w:rFonts w:eastAsia="Calibri"/>
        </w:rPr>
        <w:t xml:space="preserve"> Strai</w:t>
      </w:r>
      <w:r w:rsidR="00A56906">
        <w:rPr>
          <w:rFonts w:eastAsia="Calibri"/>
        </w:rPr>
        <w:t>t</w:t>
      </w:r>
      <w:r w:rsidR="00F56703">
        <w:rPr>
          <w:rFonts w:eastAsia="Calibri"/>
        </w:rPr>
        <w:t xml:space="preserve"> Islander assessment organisation if </w:t>
      </w:r>
      <w:r w:rsidR="00763E23">
        <w:rPr>
          <w:rFonts w:eastAsia="Calibri"/>
        </w:rPr>
        <w:t xml:space="preserve">available in their area. </w:t>
      </w:r>
    </w:p>
    <w:p w14:paraId="74F61B20" w14:textId="1D0897D5" w:rsidR="00ED631B" w:rsidRPr="00110FE4" w:rsidRDefault="00ED631B" w:rsidP="00856600">
      <w:pPr>
        <w:spacing w:before="240" w:after="240" w:line="240" w:lineRule="auto"/>
      </w:pPr>
      <w:r>
        <w:t xml:space="preserve">Aboriginal and Torres Strait Islander </w:t>
      </w:r>
      <w:r w:rsidR="008F61C9">
        <w:t>assessment organisations</w:t>
      </w:r>
      <w:r>
        <w:t xml:space="preserve"> are responsible for equipping their workforce to deliver culturally safe, trauma aware and healing informed assessments in communities that are covered in their service regions. This may include training on local customs, protocols and kinship obligations.</w:t>
      </w:r>
    </w:p>
    <w:p w14:paraId="207B9BBB" w14:textId="79D11C1A" w:rsidR="00ED631B" w:rsidRPr="00AE2CA4" w:rsidRDefault="00ED631B" w:rsidP="00856600">
      <w:pPr>
        <w:spacing w:before="240" w:after="240" w:line="240" w:lineRule="auto"/>
        <w:rPr>
          <w:rFonts w:eastAsia="MS Mincho"/>
        </w:rPr>
      </w:pPr>
      <w:r w:rsidRPr="00AE2CA4">
        <w:rPr>
          <w:rFonts w:eastAsia="MS Mincho"/>
        </w:rPr>
        <w:t xml:space="preserve">Aboriginal and Torres Strait Islander </w:t>
      </w:r>
      <w:r w:rsidR="00B57530">
        <w:rPr>
          <w:rFonts w:eastAsia="MS Mincho"/>
        </w:rPr>
        <w:t>a</w:t>
      </w:r>
      <w:r w:rsidR="00B57530" w:rsidRPr="00AE2CA4">
        <w:rPr>
          <w:rFonts w:eastAsia="MS Mincho"/>
        </w:rPr>
        <w:t xml:space="preserve">ssessment </w:t>
      </w:r>
      <w:r w:rsidR="00B57530">
        <w:rPr>
          <w:rFonts w:eastAsia="MS Mincho"/>
        </w:rPr>
        <w:t>o</w:t>
      </w:r>
      <w:r w:rsidR="00B57530" w:rsidRPr="00AE2CA4">
        <w:rPr>
          <w:rFonts w:eastAsia="MS Mincho"/>
        </w:rPr>
        <w:t xml:space="preserve">rganisations </w:t>
      </w:r>
      <w:r>
        <w:rPr>
          <w:rFonts w:eastAsia="MS Mincho"/>
        </w:rPr>
        <w:t>are expected to</w:t>
      </w:r>
      <w:r w:rsidRPr="00AE2CA4">
        <w:rPr>
          <w:rFonts w:eastAsia="MS Mincho"/>
        </w:rPr>
        <w:t xml:space="preserve">: </w:t>
      </w:r>
    </w:p>
    <w:p w14:paraId="41120736" w14:textId="662FFD1E" w:rsidR="00ED631B" w:rsidRPr="00B77644" w:rsidRDefault="00ED631B" w:rsidP="00AB1F43">
      <w:pPr>
        <w:pStyle w:val="ListParagraph"/>
        <w:numPr>
          <w:ilvl w:val="0"/>
          <w:numId w:val="31"/>
        </w:numPr>
        <w:spacing w:before="240" w:after="240" w:line="240" w:lineRule="auto"/>
        <w:ind w:left="850" w:hanging="357"/>
        <w:contextualSpacing w:val="0"/>
      </w:pPr>
      <w:r>
        <w:t xml:space="preserve">conduct </w:t>
      </w:r>
      <w:r w:rsidR="006E2210">
        <w:t>culturally safe, trauma aware and healing informed</w:t>
      </w:r>
      <w:r>
        <w:t xml:space="preserve"> assessments using yarning and flexible approaches</w:t>
      </w:r>
      <w:r w:rsidRPr="00B77644">
        <w:t xml:space="preserve"> </w:t>
      </w:r>
      <w:r>
        <w:t>to build trust with the older Aboriginal and Torres Strait Islander person</w:t>
      </w:r>
      <w:r w:rsidRPr="00B77644">
        <w:t>.</w:t>
      </w:r>
      <w:r>
        <w:t xml:space="preserve"> Assessments may be delivered at a location that the older person feel most at ease and comfortable</w:t>
      </w:r>
      <w:r w:rsidR="00EB11D9">
        <w:t>,</w:t>
      </w:r>
    </w:p>
    <w:p w14:paraId="656EB4A0" w14:textId="2457CFD7" w:rsidR="00577910" w:rsidRDefault="00E06280" w:rsidP="00117578">
      <w:pPr>
        <w:pStyle w:val="ListParagraph"/>
        <w:numPr>
          <w:ilvl w:val="0"/>
          <w:numId w:val="31"/>
        </w:numPr>
        <w:spacing w:before="240" w:after="240" w:line="240" w:lineRule="auto"/>
        <w:ind w:left="850" w:hanging="357"/>
        <w:contextualSpacing w:val="0"/>
      </w:pPr>
      <w:r>
        <w:t>u</w:t>
      </w:r>
      <w:r w:rsidR="0097662D" w:rsidRPr="00AB1F43">
        <w:t>ndertake face-to-face assessments, where possible. This could be in the older person’s home, at a community centre, or outdoors at a place of the older person’s choosing.</w:t>
      </w:r>
    </w:p>
    <w:p w14:paraId="27E870C7" w14:textId="5A0E427C" w:rsidR="0097662D" w:rsidRPr="00AB1F43" w:rsidRDefault="00B57530" w:rsidP="00AB1F43">
      <w:pPr>
        <w:pStyle w:val="ListParagraph"/>
        <w:numPr>
          <w:ilvl w:val="0"/>
          <w:numId w:val="31"/>
        </w:numPr>
        <w:spacing w:before="240" w:after="240" w:line="240" w:lineRule="auto"/>
        <w:ind w:left="850" w:hanging="357"/>
        <w:contextualSpacing w:val="0"/>
      </w:pPr>
      <w:r>
        <w:t>a</w:t>
      </w:r>
      <w:r w:rsidR="00577910" w:rsidRPr="00AB1F43">
        <w:t>llow for multiple visits, if required, to build trust and develop a relationship.  </w:t>
      </w:r>
    </w:p>
    <w:p w14:paraId="6BAB77E2" w14:textId="1D51D62D" w:rsidR="00ED631B" w:rsidRDefault="00E053B8" w:rsidP="00AB1F43">
      <w:pPr>
        <w:pStyle w:val="ListParagraph"/>
        <w:numPr>
          <w:ilvl w:val="0"/>
          <w:numId w:val="31"/>
        </w:numPr>
        <w:spacing w:before="240" w:after="240" w:line="240" w:lineRule="auto"/>
        <w:ind w:left="850" w:hanging="357"/>
        <w:contextualSpacing w:val="0"/>
      </w:pPr>
      <w:r>
        <w:t>w</w:t>
      </w:r>
      <w:r w:rsidR="00E90495">
        <w:t xml:space="preserve">ith client’s consent, </w:t>
      </w:r>
      <w:r w:rsidR="00ED631B">
        <w:t xml:space="preserve">involve </w:t>
      </w:r>
      <w:r w:rsidR="00ED631B" w:rsidRPr="00B77644">
        <w:t xml:space="preserve">the </w:t>
      </w:r>
      <w:r w:rsidR="00203676">
        <w:t>client’s</w:t>
      </w:r>
      <w:r w:rsidR="00ED631B" w:rsidRPr="00B77644">
        <w:t xml:space="preserve"> family member</w:t>
      </w:r>
      <w:r w:rsidR="00ED631B">
        <w:t>s</w:t>
      </w:r>
      <w:r w:rsidR="00ED631B" w:rsidRPr="00B77644">
        <w:t>, advocate</w:t>
      </w:r>
      <w:r w:rsidR="00ED631B">
        <w:t xml:space="preserve">s, registered </w:t>
      </w:r>
      <w:r w:rsidR="00ED631B" w:rsidRPr="00B77644">
        <w:t>supporter</w:t>
      </w:r>
      <w:r w:rsidR="003D0610">
        <w:t>/s</w:t>
      </w:r>
      <w:r w:rsidR="00ED631B">
        <w:t xml:space="preserve"> or other p</w:t>
      </w:r>
      <w:r w:rsidR="003D0610">
        <w:t>eople</w:t>
      </w:r>
      <w:r w:rsidR="00ED631B">
        <w:t xml:space="preserve"> who support the </w:t>
      </w:r>
      <w:r w:rsidR="003D0610">
        <w:t xml:space="preserve">client </w:t>
      </w:r>
      <w:r w:rsidR="00ED631B">
        <w:t>in the assessment process</w:t>
      </w:r>
      <w:r w:rsidR="00511188" w:rsidRPr="00511188">
        <w:t xml:space="preserve"> </w:t>
      </w:r>
      <w:r w:rsidR="00511188">
        <w:t>with the client’s consent</w:t>
      </w:r>
      <w:r w:rsidR="00603B0B">
        <w:t xml:space="preserve"> and/or in line with the client’s will and preferences</w:t>
      </w:r>
      <w:r w:rsidR="00EB11D9">
        <w:t>,</w:t>
      </w:r>
    </w:p>
    <w:p w14:paraId="2C230E11" w14:textId="67924E64" w:rsidR="00ED631B" w:rsidRPr="00B77644" w:rsidRDefault="00ED631B" w:rsidP="00AB1F43">
      <w:pPr>
        <w:pStyle w:val="ListParagraph"/>
        <w:numPr>
          <w:ilvl w:val="0"/>
          <w:numId w:val="31"/>
        </w:numPr>
        <w:spacing w:before="240" w:after="240" w:line="240" w:lineRule="auto"/>
        <w:ind w:left="850" w:hanging="357"/>
        <w:contextualSpacing w:val="0"/>
      </w:pPr>
      <w:r>
        <w:t>connect with the older person’s GP, service provider and support networks to help inform an assessment, to gain a comprehensive understanding of the client’s health and wellbeing, minimising the older person having to tell their story multiple times</w:t>
      </w:r>
      <w:r w:rsidR="00EB11D9">
        <w:t>,</w:t>
      </w:r>
    </w:p>
    <w:p w14:paraId="57DF6A7B" w14:textId="72D64E8E" w:rsidR="00ED631B" w:rsidRPr="00B77644" w:rsidRDefault="00ED631B" w:rsidP="00AB1F43">
      <w:pPr>
        <w:pStyle w:val="ListParagraph"/>
        <w:numPr>
          <w:ilvl w:val="0"/>
          <w:numId w:val="31"/>
        </w:numPr>
        <w:spacing w:before="240" w:after="240" w:line="240" w:lineRule="auto"/>
        <w:ind w:left="850" w:hanging="357"/>
        <w:contextualSpacing w:val="0"/>
      </w:pPr>
      <w:r w:rsidRPr="00B77644">
        <w:t xml:space="preserve">be embedded within the local community. Connecting with the local community with their knowledge of local services, customs and protocols will allow them to support matching appropriate assessors to the </w:t>
      </w:r>
      <w:r w:rsidR="00516348">
        <w:t>older people</w:t>
      </w:r>
      <w:r w:rsidRPr="00B77644">
        <w:t xml:space="preserve"> preferences and needs</w:t>
      </w:r>
      <w:r w:rsidR="00EB11D9">
        <w:t>,</w:t>
      </w:r>
    </w:p>
    <w:p w14:paraId="3104D563" w14:textId="2290A3EF" w:rsidR="00ED631B" w:rsidRPr="00B77644" w:rsidRDefault="00ED631B" w:rsidP="00AB1F43">
      <w:pPr>
        <w:pStyle w:val="ListParagraph"/>
        <w:numPr>
          <w:ilvl w:val="0"/>
          <w:numId w:val="31"/>
        </w:numPr>
        <w:spacing w:before="240" w:after="240" w:line="240" w:lineRule="auto"/>
        <w:ind w:left="850" w:hanging="357"/>
        <w:contextualSpacing w:val="0"/>
      </w:pPr>
      <w:r w:rsidRPr="00B77644">
        <w:t>maintain a connection with the older person for the whole journey through to receiving services</w:t>
      </w:r>
      <w:r w:rsidR="00A91102">
        <w:t xml:space="preserve"> via assessors and/or Elder Care Support workers</w:t>
      </w:r>
      <w:r w:rsidRPr="00B77644">
        <w:t>. This will help to manage any uncertainty or questions throughout the process</w:t>
      </w:r>
      <w:r w:rsidR="00EB11D9">
        <w:t>,</w:t>
      </w:r>
      <w:r w:rsidRPr="00B77644">
        <w:t xml:space="preserve"> </w:t>
      </w:r>
    </w:p>
    <w:p w14:paraId="217B159A" w14:textId="21EDD587" w:rsidR="00ED631B" w:rsidRPr="00B77644" w:rsidRDefault="006C1BB0" w:rsidP="00AB1F43">
      <w:pPr>
        <w:pStyle w:val="ListParagraph"/>
        <w:numPr>
          <w:ilvl w:val="0"/>
          <w:numId w:val="31"/>
        </w:numPr>
        <w:spacing w:before="240" w:after="240" w:line="240" w:lineRule="auto"/>
        <w:ind w:left="850" w:hanging="357"/>
        <w:contextualSpacing w:val="0"/>
      </w:pPr>
      <w:r>
        <w:t>w</w:t>
      </w:r>
      <w:r w:rsidR="00ED631B" w:rsidRPr="00B77644">
        <w:t>ork with organisations that support stolen generation survivors and their</w:t>
      </w:r>
      <w:r w:rsidR="00ED631B">
        <w:t xml:space="preserve"> families</w:t>
      </w:r>
      <w:r w:rsidR="00EB11D9">
        <w:t>,</w:t>
      </w:r>
      <w:r w:rsidR="00ED631B" w:rsidRPr="00B77644">
        <w:t xml:space="preserve"> </w:t>
      </w:r>
    </w:p>
    <w:p w14:paraId="09F8783C" w14:textId="3C255D62" w:rsidR="00ED631B" w:rsidRPr="00B77644" w:rsidRDefault="006C4E64" w:rsidP="00AB1F43">
      <w:pPr>
        <w:pStyle w:val="ListParagraph"/>
        <w:numPr>
          <w:ilvl w:val="0"/>
          <w:numId w:val="31"/>
        </w:numPr>
        <w:spacing w:before="240" w:after="240" w:line="240" w:lineRule="auto"/>
        <w:ind w:left="850" w:hanging="357"/>
        <w:contextualSpacing w:val="0"/>
      </w:pPr>
      <w:r>
        <w:t>p</w:t>
      </w:r>
      <w:r w:rsidR="00ED631B" w:rsidRPr="00B77644">
        <w:t>rovid</w:t>
      </w:r>
      <w:r>
        <w:t>e</w:t>
      </w:r>
      <w:r w:rsidR="00ED631B" w:rsidRPr="00B77644">
        <w:t xml:space="preserve"> interpreting services, when needed</w:t>
      </w:r>
      <w:r w:rsidR="002506FD">
        <w:t>, and</w:t>
      </w:r>
    </w:p>
    <w:p w14:paraId="140733F0" w14:textId="24C91D67" w:rsidR="00405718" w:rsidRPr="00B77644" w:rsidRDefault="002506FD" w:rsidP="00AB1F43">
      <w:pPr>
        <w:pStyle w:val="ListParagraph"/>
        <w:numPr>
          <w:ilvl w:val="0"/>
          <w:numId w:val="31"/>
        </w:numPr>
        <w:spacing w:before="240" w:after="240" w:line="240" w:lineRule="auto"/>
        <w:ind w:left="850" w:hanging="357"/>
        <w:contextualSpacing w:val="0"/>
      </w:pPr>
      <w:r>
        <w:t>s</w:t>
      </w:r>
      <w:r w:rsidR="00405718">
        <w:t>upport clien</w:t>
      </w:r>
      <w:r w:rsidR="00662566">
        <w:t>t</w:t>
      </w:r>
      <w:r w:rsidR="00405718">
        <w:t>s to access services they need (where this cannot be provided by ECS workers or care finders)</w:t>
      </w:r>
    </w:p>
    <w:p w14:paraId="1C294D9F" w14:textId="77777777" w:rsidR="00ED631B" w:rsidRPr="003E1933" w:rsidDel="00E140BC" w:rsidRDefault="00ED631B" w:rsidP="00856600">
      <w:pPr>
        <w:pStyle w:val="ListParagraph"/>
        <w:spacing w:before="240" w:after="240" w:line="240" w:lineRule="auto"/>
        <w:ind w:left="12267" w:hanging="360"/>
        <w:rPr>
          <w:rFonts w:eastAsia="MS Mincho"/>
        </w:rPr>
      </w:pPr>
    </w:p>
    <w:tbl>
      <w:tblPr>
        <w:tblStyle w:val="TableGrid"/>
        <w:tblW w:w="0" w:type="auto"/>
        <w:tblLook w:val="04A0" w:firstRow="1" w:lastRow="0" w:firstColumn="1" w:lastColumn="0" w:noHBand="0" w:noVBand="1"/>
      </w:tblPr>
      <w:tblGrid>
        <w:gridCol w:w="921"/>
        <w:gridCol w:w="7845"/>
      </w:tblGrid>
      <w:tr w:rsidR="00ED631B" w14:paraId="25085323" w14:textId="77777777" w:rsidTr="00073933">
        <w:trPr>
          <w:trHeight w:val="300"/>
        </w:trPr>
        <w:tc>
          <w:tcPr>
            <w:tcW w:w="921" w:type="dxa"/>
            <w:vAlign w:val="bottom"/>
          </w:tcPr>
          <w:p w14:paraId="77938C99" w14:textId="77777777" w:rsidR="00ED631B" w:rsidRPr="003E1933" w:rsidRDefault="00ED631B" w:rsidP="00856600">
            <w:pPr>
              <w:spacing w:before="240" w:after="240"/>
              <w:rPr>
                <w:rFonts w:eastAsia="MS Mincho"/>
              </w:rPr>
            </w:pPr>
            <w:r>
              <w:rPr>
                <w:noProof/>
              </w:rPr>
              <w:drawing>
                <wp:inline distT="0" distB="0" distL="0" distR="0" wp14:anchorId="6DCC8A7A" wp14:editId="5AE95970">
                  <wp:extent cx="447675" cy="445208"/>
                  <wp:effectExtent l="0" t="0" r="0" b="0"/>
                  <wp:docPr id="568037758" name="Picture 56803775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vAlign w:val="center"/>
          </w:tcPr>
          <w:p w14:paraId="7285C07E" w14:textId="7CA0C7C1" w:rsidR="00ED631B" w:rsidRPr="00DA027D" w:rsidRDefault="00892CAB" w:rsidP="00856600">
            <w:pPr>
              <w:pStyle w:val="ListParagraph"/>
              <w:numPr>
                <w:ilvl w:val="0"/>
                <w:numId w:val="39"/>
              </w:numPr>
              <w:spacing w:before="240" w:after="240"/>
              <w:rPr>
                <w:rStyle w:val="Hyperlink"/>
              </w:rPr>
            </w:pPr>
            <w:hyperlink r:id="rId52" w:history="1">
              <w:r>
                <w:rPr>
                  <w:rStyle w:val="Hyperlink"/>
                </w:rPr>
                <w:t>Single Assessment System for aged care | Australian Government Department of Health, Disability and Ageing</w:t>
              </w:r>
            </w:hyperlink>
            <w:r w:rsidR="00ED631B" w:rsidRPr="00DA027D">
              <w:rPr>
                <w:rStyle w:val="Hyperlink"/>
              </w:rPr>
              <w:t xml:space="preserve"> </w:t>
            </w:r>
          </w:p>
          <w:p w14:paraId="103685CE" w14:textId="77777777" w:rsidR="00ED631B" w:rsidRPr="00D77741" w:rsidRDefault="00ED631B" w:rsidP="00856600">
            <w:pPr>
              <w:pStyle w:val="ListParagraph"/>
              <w:numPr>
                <w:ilvl w:val="0"/>
                <w:numId w:val="39"/>
              </w:numPr>
              <w:spacing w:before="240" w:after="240"/>
              <w:rPr>
                <w:rStyle w:val="Hyperlink"/>
              </w:rPr>
            </w:pPr>
            <w:hyperlink r:id="rId53" w:history="1">
              <w:r>
                <w:rPr>
                  <w:rStyle w:val="Hyperlink"/>
                </w:rPr>
                <w:t>Aboriginal and Torres Strait Islander</w:t>
              </w:r>
              <w:r w:rsidRPr="00D77741" w:rsidDel="00E140BC">
                <w:rPr>
                  <w:rStyle w:val="Hyperlink"/>
                </w:rPr>
                <w:t xml:space="preserve"> Assessment Organisations</w:t>
              </w:r>
            </w:hyperlink>
          </w:p>
          <w:p w14:paraId="16B7F632" w14:textId="77777777" w:rsidR="00ED631B" w:rsidRPr="00DA027D" w:rsidDel="00E140BC" w:rsidRDefault="00ED631B" w:rsidP="00856600">
            <w:pPr>
              <w:pStyle w:val="ListParagraph"/>
              <w:numPr>
                <w:ilvl w:val="0"/>
                <w:numId w:val="39"/>
              </w:numPr>
              <w:spacing w:before="240" w:after="240"/>
              <w:rPr>
                <w:rStyle w:val="Hyperlink"/>
              </w:rPr>
            </w:pPr>
            <w:r w:rsidRPr="00D77741">
              <w:rPr>
                <w:rStyle w:val="Hyperlink"/>
              </w:rPr>
              <w:t>Interactive map of available servi</w:t>
            </w:r>
            <w:r w:rsidRPr="00DA027D">
              <w:rPr>
                <w:rStyle w:val="Hyperlink"/>
              </w:rPr>
              <w:t xml:space="preserve">ces  </w:t>
            </w:r>
          </w:p>
          <w:p w14:paraId="2A6CA525" w14:textId="77777777" w:rsidR="00ED631B" w:rsidRPr="00DA027D" w:rsidRDefault="00ED631B" w:rsidP="00856600">
            <w:pPr>
              <w:pStyle w:val="ListParagraph"/>
              <w:numPr>
                <w:ilvl w:val="0"/>
                <w:numId w:val="39"/>
              </w:numPr>
              <w:spacing w:before="240" w:after="240"/>
              <w:rPr>
                <w:rStyle w:val="Hyperlink"/>
              </w:rPr>
            </w:pPr>
            <w:hyperlink r:id="rId54" w:history="1">
              <w:r w:rsidRPr="00A34815">
                <w:rPr>
                  <w:rStyle w:val="Hyperlink"/>
                </w:rPr>
                <w:t>Fact Sheet for assessors</w:t>
              </w:r>
            </w:hyperlink>
            <w:r w:rsidRPr="00DA027D" w:rsidDel="00E140BC">
              <w:rPr>
                <w:rStyle w:val="Hyperlink"/>
              </w:rPr>
              <w:t xml:space="preserve"> </w:t>
            </w:r>
          </w:p>
        </w:tc>
      </w:tr>
    </w:tbl>
    <w:p w14:paraId="2E1C2816" w14:textId="77777777" w:rsidR="00ED631B" w:rsidRPr="00FE448A" w:rsidRDefault="00ED631B" w:rsidP="00507F9D">
      <w:pPr>
        <w:pStyle w:val="h2"/>
      </w:pPr>
      <w:bookmarkStart w:id="126" w:name="_Toc184402262"/>
      <w:bookmarkStart w:id="127" w:name="_Toc204329496"/>
      <w:bookmarkStart w:id="128" w:name="_Toc209188951"/>
      <w:bookmarkStart w:id="129" w:name="_Toc224916617"/>
      <w:r w:rsidRPr="003E1933">
        <w:t>Overview of assessment organisation roles and responsibilities</w:t>
      </w:r>
      <w:bookmarkEnd w:id="126"/>
      <w:bookmarkEnd w:id="127"/>
      <w:bookmarkEnd w:id="128"/>
      <w:bookmarkEnd w:id="129"/>
    </w:p>
    <w:p w14:paraId="093AAAB0" w14:textId="77777777" w:rsidR="00ED631B" w:rsidRDefault="00ED631B" w:rsidP="00856600">
      <w:pPr>
        <w:spacing w:before="240" w:after="240" w:line="240" w:lineRule="auto"/>
      </w:pPr>
      <w:r>
        <w:t xml:space="preserve">Contract and operational managers lead and manage the assessment organisation’s outputs and performance according to their agreements with the Commonwealth. Assessment organisations cover geographical assessment regions across Australia. </w:t>
      </w:r>
    </w:p>
    <w:p w14:paraId="2AB2DB7C" w14:textId="77777777" w:rsidR="00ED631B" w:rsidRDefault="00ED631B" w:rsidP="00856600">
      <w:pPr>
        <w:spacing w:before="240" w:after="240" w:line="240" w:lineRule="auto"/>
      </w:pPr>
      <w:r>
        <w:t>The following table explains at a high level the different assessment organisational roles. The role type describes business roles which are of the delivery of the program through the agreement and system roles, conducted on the My Aged Care system.</w:t>
      </w:r>
    </w:p>
    <w:p w14:paraId="2A9AEAB5" w14:textId="7AB563B9" w:rsidR="00ED631B" w:rsidRDefault="00ED631B" w:rsidP="00856600">
      <w:pPr>
        <w:spacing w:before="240" w:after="240" w:line="240" w:lineRule="auto"/>
      </w:pPr>
      <w:r>
        <w:t xml:space="preserve">The </w:t>
      </w:r>
      <w:r w:rsidR="00761577">
        <w:t xml:space="preserve">department </w:t>
      </w:r>
      <w:r>
        <w:t xml:space="preserve">understands that, for Aboriginal and Torres Strait Islander </w:t>
      </w:r>
      <w:r w:rsidR="00C06075">
        <w:t xml:space="preserve">assessment </w:t>
      </w:r>
      <w:r>
        <w:t xml:space="preserve">organisations, where assessment services may be one of the many services that they provide to older Aboriginal and Torres Strait Islander people, the assessment workforce may be able to leverage expertise and skills within the broader organisation to inform the delivery of holistic aged care assessments under the clinical governance framework described in </w:t>
      </w:r>
      <w:r w:rsidRPr="001439F4">
        <w:t xml:space="preserve">Appendix </w:t>
      </w:r>
      <w:r w:rsidR="00471131">
        <w:t>C</w:t>
      </w:r>
      <w:r>
        <w:t xml:space="preserve">. </w:t>
      </w:r>
    </w:p>
    <w:p w14:paraId="142AE03F" w14:textId="1BBF9D15" w:rsidR="00ED631B" w:rsidRDefault="00ED631B" w:rsidP="00856600">
      <w:pPr>
        <w:spacing w:before="240" w:after="240" w:line="240" w:lineRule="auto"/>
      </w:pPr>
      <w:r>
        <w:t xml:space="preserve">For further information on the qualifications required to hold the roles in the below table, please refer to Appendix </w:t>
      </w:r>
      <w:r w:rsidR="00471131">
        <w:t>F</w:t>
      </w:r>
      <w:r>
        <w:t>. Refer to the My Aged Care Workforce Learning Strategy for the training requirements for the roles specified below.</w:t>
      </w:r>
    </w:p>
    <w:p w14:paraId="4BE99718" w14:textId="2F7E6F5F" w:rsidR="00ED631B" w:rsidRPr="005272AA" w:rsidRDefault="00ED631B" w:rsidP="00856600">
      <w:pPr>
        <w:pStyle w:val="Caption"/>
        <w:spacing w:before="240" w:after="240"/>
      </w:pPr>
      <w:r w:rsidRPr="005272AA">
        <w:t xml:space="preserve">Table </w:t>
      </w:r>
      <w:r w:rsidR="0081663F">
        <w:t>1</w:t>
      </w:r>
      <w:r w:rsidR="00023B34">
        <w:t>1</w:t>
      </w:r>
      <w:r w:rsidRPr="005272AA">
        <w:t>. Assessment organisational roles and responsibilities</w:t>
      </w:r>
      <w:r w:rsidR="005C11C7">
        <w:t xml:space="preserve"> (excluding some roles in RAC)</w:t>
      </w:r>
    </w:p>
    <w:tbl>
      <w:tblPr>
        <w:tblStyle w:val="TableGrid"/>
        <w:tblW w:w="0" w:type="auto"/>
        <w:tblBorders>
          <w:bottom w:val="single" w:sz="4" w:space="0" w:color="auto"/>
          <w:insideH w:val="single" w:sz="4" w:space="0" w:color="auto"/>
        </w:tblBorders>
        <w:tblLook w:val="04A0" w:firstRow="1" w:lastRow="0" w:firstColumn="1" w:lastColumn="0" w:noHBand="0" w:noVBand="1"/>
        <w:tblCaption w:val="Assessment Organisation roles and responsibilities (excluding some roles in RAC)"/>
        <w:tblDescription w:val="Overview of Assessment Organisation roles, role types and role descriptions excluding some roles in RAC"/>
      </w:tblPr>
      <w:tblGrid>
        <w:gridCol w:w="2523"/>
        <w:gridCol w:w="1531"/>
        <w:gridCol w:w="4712"/>
      </w:tblGrid>
      <w:tr w:rsidR="00ED631B" w14:paraId="796D1BDF" w14:textId="77777777" w:rsidTr="004E2C29">
        <w:trPr>
          <w:trHeight w:val="300"/>
          <w:tblHeader/>
        </w:trPr>
        <w:tc>
          <w:tcPr>
            <w:tcW w:w="2647" w:type="dxa"/>
            <w:shd w:val="clear" w:color="auto" w:fill="002060"/>
          </w:tcPr>
          <w:p w14:paraId="5B565520" w14:textId="77777777" w:rsidR="00ED631B" w:rsidRPr="00BD5CD1" w:rsidRDefault="00ED631B" w:rsidP="00856600">
            <w:pPr>
              <w:spacing w:before="240" w:after="240"/>
              <w:rPr>
                <w:b/>
                <w:color w:val="FFFFFF" w:themeColor="background1"/>
                <w:szCs w:val="22"/>
              </w:rPr>
            </w:pPr>
            <w:r w:rsidRPr="00BD5CD1">
              <w:rPr>
                <w:b/>
                <w:color w:val="FFFFFF" w:themeColor="background1"/>
                <w:szCs w:val="22"/>
              </w:rPr>
              <w:t>Role</w:t>
            </w:r>
            <w:r>
              <w:rPr>
                <w:b/>
                <w:color w:val="FFFFFF" w:themeColor="background1"/>
                <w:szCs w:val="22"/>
              </w:rPr>
              <w:t xml:space="preserve"> </w:t>
            </w:r>
            <w:r>
              <w:rPr>
                <w:b/>
                <w:bCs/>
                <w:color w:val="FFFFFF" w:themeColor="background1"/>
                <w:szCs w:val="22"/>
              </w:rPr>
              <w:t xml:space="preserve">Title </w:t>
            </w:r>
          </w:p>
        </w:tc>
        <w:tc>
          <w:tcPr>
            <w:tcW w:w="1589" w:type="dxa"/>
            <w:shd w:val="clear" w:color="auto" w:fill="002060"/>
          </w:tcPr>
          <w:p w14:paraId="1A0C8B90" w14:textId="77777777" w:rsidR="00ED631B" w:rsidRPr="00BD5CD1" w:rsidRDefault="00ED631B" w:rsidP="00856600">
            <w:pPr>
              <w:spacing w:before="240" w:after="240"/>
              <w:rPr>
                <w:b/>
                <w:color w:val="FFFFFF" w:themeColor="background1"/>
                <w:szCs w:val="22"/>
              </w:rPr>
            </w:pPr>
            <w:r w:rsidRPr="00BD5CD1">
              <w:rPr>
                <w:b/>
                <w:color w:val="FFFFFF" w:themeColor="background1"/>
                <w:szCs w:val="22"/>
              </w:rPr>
              <w:t>Role type</w:t>
            </w:r>
          </w:p>
        </w:tc>
        <w:tc>
          <w:tcPr>
            <w:tcW w:w="5114" w:type="dxa"/>
            <w:shd w:val="clear" w:color="auto" w:fill="002060"/>
          </w:tcPr>
          <w:p w14:paraId="6E52CC1B" w14:textId="7DF3910F" w:rsidR="00ED631B" w:rsidRPr="00BD5CD1" w:rsidRDefault="00ED631B" w:rsidP="00856600">
            <w:pPr>
              <w:spacing w:before="240" w:after="240"/>
              <w:rPr>
                <w:b/>
                <w:color w:val="FFFFFF" w:themeColor="background1"/>
                <w:szCs w:val="22"/>
              </w:rPr>
            </w:pPr>
            <w:r w:rsidRPr="00BD5CD1">
              <w:rPr>
                <w:b/>
                <w:color w:val="FFFFFF" w:themeColor="background1"/>
                <w:szCs w:val="22"/>
              </w:rPr>
              <w:t xml:space="preserve">Role </w:t>
            </w:r>
            <w:r>
              <w:rPr>
                <w:b/>
                <w:color w:val="FFFFFF" w:themeColor="background1"/>
                <w:szCs w:val="22"/>
              </w:rPr>
              <w:t xml:space="preserve">Description </w:t>
            </w:r>
          </w:p>
        </w:tc>
      </w:tr>
      <w:tr w:rsidR="00ED631B" w14:paraId="37359E77" w14:textId="77777777" w:rsidTr="004E2C29">
        <w:trPr>
          <w:trHeight w:val="300"/>
        </w:trPr>
        <w:tc>
          <w:tcPr>
            <w:tcW w:w="2647" w:type="dxa"/>
            <w:shd w:val="clear" w:color="auto" w:fill="002060"/>
          </w:tcPr>
          <w:p w14:paraId="69D321C9" w14:textId="77777777" w:rsidR="00ED631B" w:rsidRPr="00C83667" w:rsidRDefault="00ED631B" w:rsidP="00856600">
            <w:pPr>
              <w:spacing w:before="240" w:after="240"/>
              <w:rPr>
                <w:szCs w:val="22"/>
              </w:rPr>
            </w:pPr>
            <w:r w:rsidRPr="00C83667">
              <w:rPr>
                <w:szCs w:val="22"/>
              </w:rPr>
              <w:t xml:space="preserve">Contract manager </w:t>
            </w:r>
          </w:p>
        </w:tc>
        <w:tc>
          <w:tcPr>
            <w:tcW w:w="1589" w:type="dxa"/>
          </w:tcPr>
          <w:p w14:paraId="63C40BE3" w14:textId="77777777" w:rsidR="00ED631B" w:rsidRPr="00C83667" w:rsidRDefault="00ED631B" w:rsidP="00856600">
            <w:pPr>
              <w:spacing w:before="240" w:after="240"/>
              <w:rPr>
                <w:szCs w:val="22"/>
              </w:rPr>
            </w:pPr>
            <w:r w:rsidRPr="00C83667">
              <w:rPr>
                <w:szCs w:val="22"/>
              </w:rPr>
              <w:t>Business</w:t>
            </w:r>
          </w:p>
        </w:tc>
        <w:tc>
          <w:tcPr>
            <w:tcW w:w="5114" w:type="dxa"/>
          </w:tcPr>
          <w:p w14:paraId="7308E492" w14:textId="77777777" w:rsidR="00ED631B" w:rsidRPr="00C83667" w:rsidRDefault="00ED631B" w:rsidP="00856600">
            <w:pPr>
              <w:spacing w:before="240" w:after="240"/>
            </w:pPr>
            <w:r>
              <w:t>Contract Managers, m</w:t>
            </w:r>
            <w:r w:rsidRPr="72EA3286">
              <w:t xml:space="preserve">anage and report the assessment services and performance specified in the organisation’s agreement with the Commonwealth. Contact point for the </w:t>
            </w:r>
            <w:r>
              <w:t>department</w:t>
            </w:r>
            <w:r w:rsidRPr="72EA3286">
              <w:t xml:space="preserve"> for contract management.  </w:t>
            </w:r>
          </w:p>
        </w:tc>
      </w:tr>
      <w:tr w:rsidR="00ED631B" w14:paraId="644C2F40" w14:textId="77777777" w:rsidTr="004E2C29">
        <w:trPr>
          <w:trHeight w:val="300"/>
        </w:trPr>
        <w:tc>
          <w:tcPr>
            <w:tcW w:w="2647" w:type="dxa"/>
            <w:shd w:val="clear" w:color="auto" w:fill="002060"/>
          </w:tcPr>
          <w:p w14:paraId="1F0D0496" w14:textId="77777777" w:rsidR="00ED631B" w:rsidRPr="00C83667" w:rsidRDefault="00ED631B" w:rsidP="00856600">
            <w:pPr>
              <w:spacing w:before="240" w:after="240"/>
              <w:rPr>
                <w:szCs w:val="22"/>
              </w:rPr>
            </w:pPr>
            <w:r>
              <w:rPr>
                <w:szCs w:val="22"/>
              </w:rPr>
              <w:t xml:space="preserve">Assessment Organisation </w:t>
            </w:r>
            <w:r w:rsidRPr="00C83667">
              <w:rPr>
                <w:szCs w:val="22"/>
              </w:rPr>
              <w:t xml:space="preserve">Operational </w:t>
            </w:r>
            <w:r>
              <w:rPr>
                <w:szCs w:val="22"/>
              </w:rPr>
              <w:t>M</w:t>
            </w:r>
            <w:r w:rsidRPr="00C83667">
              <w:rPr>
                <w:szCs w:val="22"/>
              </w:rPr>
              <w:t>anager</w:t>
            </w:r>
          </w:p>
        </w:tc>
        <w:tc>
          <w:tcPr>
            <w:tcW w:w="1589" w:type="dxa"/>
          </w:tcPr>
          <w:p w14:paraId="5175C1A9" w14:textId="77777777" w:rsidR="00ED631B" w:rsidRPr="00C83667" w:rsidRDefault="00ED631B" w:rsidP="00856600">
            <w:pPr>
              <w:spacing w:before="240" w:after="240"/>
              <w:rPr>
                <w:szCs w:val="22"/>
              </w:rPr>
            </w:pPr>
            <w:r w:rsidRPr="00C83667">
              <w:rPr>
                <w:szCs w:val="22"/>
              </w:rPr>
              <w:t>Business</w:t>
            </w:r>
            <w:r>
              <w:rPr>
                <w:szCs w:val="22"/>
              </w:rPr>
              <w:t xml:space="preserve"> and System</w:t>
            </w:r>
          </w:p>
        </w:tc>
        <w:tc>
          <w:tcPr>
            <w:tcW w:w="5114" w:type="dxa"/>
          </w:tcPr>
          <w:p w14:paraId="2D936210" w14:textId="77777777" w:rsidR="00ED631B" w:rsidRPr="001E6A27" w:rsidRDefault="00ED631B" w:rsidP="00856600">
            <w:pPr>
              <w:spacing w:before="240" w:after="240"/>
              <w:rPr>
                <w:szCs w:val="22"/>
              </w:rPr>
            </w:pPr>
            <w:r>
              <w:rPr>
                <w:szCs w:val="22"/>
              </w:rPr>
              <w:t>Assessment Organisation Operational Managers, m</w:t>
            </w:r>
            <w:r w:rsidRPr="001E6A27">
              <w:rPr>
                <w:szCs w:val="22"/>
              </w:rPr>
              <w:t>anage</w:t>
            </w:r>
            <w:r w:rsidRPr="001E6A27" w:rsidDel="00476A1D">
              <w:rPr>
                <w:szCs w:val="22"/>
              </w:rPr>
              <w:t xml:space="preserve"> </w:t>
            </w:r>
            <w:r>
              <w:rPr>
                <w:szCs w:val="22"/>
              </w:rPr>
              <w:t>the</w:t>
            </w:r>
            <w:r w:rsidRPr="001E6A27">
              <w:rPr>
                <w:szCs w:val="22"/>
              </w:rPr>
              <w:t xml:space="preserve"> deliver</w:t>
            </w:r>
            <w:r>
              <w:rPr>
                <w:szCs w:val="22"/>
              </w:rPr>
              <w:t>y of</w:t>
            </w:r>
            <w:r w:rsidRPr="001E6A27" w:rsidDel="00476A1D">
              <w:rPr>
                <w:szCs w:val="22"/>
              </w:rPr>
              <w:t xml:space="preserve"> </w:t>
            </w:r>
            <w:r w:rsidRPr="001E6A27">
              <w:rPr>
                <w:szCs w:val="22"/>
              </w:rPr>
              <w:t>assessment services specified in the organisation’s agreement with the Commonwealth at an operational level.</w:t>
            </w:r>
          </w:p>
          <w:p w14:paraId="0D6EF130" w14:textId="77777777" w:rsidR="00AD334A" w:rsidRPr="001E6A27" w:rsidRDefault="00AD334A" w:rsidP="00856600">
            <w:pPr>
              <w:spacing w:before="240" w:after="240"/>
            </w:pPr>
          </w:p>
          <w:p w14:paraId="0A25C859" w14:textId="45C5D452" w:rsidR="00ED631B" w:rsidRDefault="00ED631B" w:rsidP="00856600">
            <w:pPr>
              <w:spacing w:before="240" w:after="240"/>
              <w:rPr>
                <w:szCs w:val="22"/>
              </w:rPr>
            </w:pPr>
            <w:r w:rsidRPr="001E6A27">
              <w:rPr>
                <w:szCs w:val="22"/>
              </w:rPr>
              <w:t xml:space="preserve">Operational managers may also hold organisational or outlet administration roles in the My Aged Care </w:t>
            </w:r>
            <w:r w:rsidR="0060352D">
              <w:rPr>
                <w:szCs w:val="22"/>
              </w:rPr>
              <w:t>assessor portal</w:t>
            </w:r>
            <w:r w:rsidRPr="001E6A27">
              <w:rPr>
                <w:szCs w:val="22"/>
              </w:rPr>
              <w:t>.</w:t>
            </w:r>
          </w:p>
          <w:p w14:paraId="6683AB36" w14:textId="77777777" w:rsidR="00ED631B" w:rsidRPr="00C83667" w:rsidRDefault="00ED631B" w:rsidP="00856600">
            <w:pPr>
              <w:spacing w:before="240" w:after="240"/>
            </w:pPr>
            <w:r>
              <w:t>They c</w:t>
            </w:r>
            <w:r w:rsidRPr="72EA3286">
              <w:t>an initiate and submit delegate applications for others in their organisation.</w:t>
            </w:r>
          </w:p>
        </w:tc>
      </w:tr>
      <w:tr w:rsidR="00ED631B" w14:paraId="349087DF" w14:textId="77777777" w:rsidTr="004E2C29">
        <w:trPr>
          <w:trHeight w:val="300"/>
        </w:trPr>
        <w:tc>
          <w:tcPr>
            <w:tcW w:w="2647" w:type="dxa"/>
            <w:shd w:val="clear" w:color="auto" w:fill="002060"/>
          </w:tcPr>
          <w:p w14:paraId="59BD9506" w14:textId="77777777" w:rsidR="00ED631B" w:rsidRPr="00C83667" w:rsidRDefault="00ED631B" w:rsidP="00856600">
            <w:pPr>
              <w:spacing w:before="240" w:after="240"/>
              <w:rPr>
                <w:szCs w:val="22"/>
              </w:rPr>
            </w:pPr>
            <w:r w:rsidRPr="00F6232D">
              <w:rPr>
                <w:szCs w:val="22"/>
              </w:rPr>
              <w:t>Organisational and/or outlet administrator</w:t>
            </w:r>
          </w:p>
        </w:tc>
        <w:tc>
          <w:tcPr>
            <w:tcW w:w="1589" w:type="dxa"/>
          </w:tcPr>
          <w:p w14:paraId="590ADACC" w14:textId="77777777" w:rsidR="00ED631B" w:rsidRPr="00C83667" w:rsidRDefault="00ED631B" w:rsidP="00856600">
            <w:pPr>
              <w:spacing w:before="240" w:after="240"/>
              <w:rPr>
                <w:szCs w:val="22"/>
              </w:rPr>
            </w:pPr>
            <w:r>
              <w:rPr>
                <w:szCs w:val="22"/>
              </w:rPr>
              <w:t>Business and System</w:t>
            </w:r>
          </w:p>
        </w:tc>
        <w:tc>
          <w:tcPr>
            <w:tcW w:w="5114" w:type="dxa"/>
          </w:tcPr>
          <w:p w14:paraId="488C99B9" w14:textId="77777777" w:rsidR="00AD334A" w:rsidRDefault="00ED631B" w:rsidP="00856600">
            <w:pPr>
              <w:spacing w:before="240" w:after="240"/>
            </w:pPr>
            <w:r>
              <w:t>Organisational and/or outlet administers co</w:t>
            </w:r>
            <w:r w:rsidRPr="72EA3286">
              <w:t>ordinat</w:t>
            </w:r>
            <w:r>
              <w:t>e</w:t>
            </w:r>
            <w:r w:rsidRPr="72EA3286">
              <w:t xml:space="preserve"> the operations of assessment organisations and their outlets.</w:t>
            </w:r>
          </w:p>
          <w:p w14:paraId="1078B93A" w14:textId="07399EC5" w:rsidR="00ED631B" w:rsidRPr="009D0FA7" w:rsidRDefault="00ED631B" w:rsidP="00856600">
            <w:pPr>
              <w:spacing w:before="240" w:after="240"/>
            </w:pPr>
            <w:r w:rsidRPr="72EA3286">
              <w:t xml:space="preserve"> </w:t>
            </w:r>
          </w:p>
          <w:p w14:paraId="026695E1" w14:textId="77777777" w:rsidR="00ED631B" w:rsidRPr="00C83667" w:rsidRDefault="00ED631B" w:rsidP="00856600">
            <w:pPr>
              <w:spacing w:before="240" w:after="240"/>
            </w:pPr>
            <w:r w:rsidRPr="001D0256">
              <w:rPr>
                <w:szCs w:val="22"/>
              </w:rPr>
              <w:t xml:space="preserve">The administrator at an organisation level can view and manage information for the entire organisation in the portal. </w:t>
            </w:r>
            <w:r w:rsidRPr="72EA3286">
              <w:t>They are also responsible for updating service information as required.</w:t>
            </w:r>
          </w:p>
        </w:tc>
      </w:tr>
      <w:tr w:rsidR="00ED631B" w14:paraId="7D5181CE" w14:textId="77777777" w:rsidTr="004E2C29">
        <w:trPr>
          <w:trHeight w:val="300"/>
        </w:trPr>
        <w:tc>
          <w:tcPr>
            <w:tcW w:w="2647" w:type="dxa"/>
            <w:shd w:val="clear" w:color="auto" w:fill="002060"/>
          </w:tcPr>
          <w:p w14:paraId="27B93328" w14:textId="77777777" w:rsidR="00ED631B" w:rsidRPr="00C83667" w:rsidRDefault="00ED631B" w:rsidP="00856600">
            <w:pPr>
              <w:spacing w:before="240" w:after="240"/>
              <w:rPr>
                <w:szCs w:val="22"/>
              </w:rPr>
            </w:pPr>
            <w:r w:rsidRPr="00C83667">
              <w:rPr>
                <w:szCs w:val="22"/>
              </w:rPr>
              <w:t>Team leader</w:t>
            </w:r>
            <w:r>
              <w:rPr>
                <w:szCs w:val="22"/>
              </w:rPr>
              <w:t xml:space="preserve"> </w:t>
            </w:r>
          </w:p>
        </w:tc>
        <w:tc>
          <w:tcPr>
            <w:tcW w:w="1589" w:type="dxa"/>
          </w:tcPr>
          <w:p w14:paraId="06EC5868" w14:textId="77777777" w:rsidR="00ED631B" w:rsidRPr="00C83667" w:rsidRDefault="00ED631B" w:rsidP="00856600">
            <w:pPr>
              <w:spacing w:before="240" w:after="240"/>
              <w:rPr>
                <w:szCs w:val="22"/>
              </w:rPr>
            </w:pPr>
            <w:r>
              <w:rPr>
                <w:szCs w:val="22"/>
              </w:rPr>
              <w:t xml:space="preserve">Business and </w:t>
            </w:r>
            <w:r w:rsidRPr="00C83667">
              <w:rPr>
                <w:szCs w:val="22"/>
              </w:rPr>
              <w:t>System</w:t>
            </w:r>
          </w:p>
        </w:tc>
        <w:tc>
          <w:tcPr>
            <w:tcW w:w="5114" w:type="dxa"/>
          </w:tcPr>
          <w:p w14:paraId="34083D36" w14:textId="5BA7C630" w:rsidR="00ED631B" w:rsidRDefault="00ED631B" w:rsidP="00856600">
            <w:pPr>
              <w:spacing w:before="240" w:after="240"/>
            </w:pPr>
            <w:r>
              <w:t xml:space="preserve">A team leader oversees assessment teams, including delegates and assessors, and manages assessment activities including but not limited to the management of referrals detailed in Chapter 4 of </w:t>
            </w:r>
            <w:r w:rsidR="00AD334A">
              <w:t xml:space="preserve">this </w:t>
            </w:r>
            <w:r>
              <w:t xml:space="preserve">Aged Care Assessment Manual. </w:t>
            </w:r>
          </w:p>
          <w:p w14:paraId="35A00F9E" w14:textId="77777777" w:rsidR="00AD334A" w:rsidRDefault="00AD334A" w:rsidP="00856600">
            <w:pPr>
              <w:spacing w:before="240" w:after="240"/>
            </w:pPr>
          </w:p>
          <w:p w14:paraId="3B2119A2" w14:textId="77777777" w:rsidR="00ED631B" w:rsidRDefault="00ED631B" w:rsidP="00856600">
            <w:pPr>
              <w:spacing w:before="240" w:after="240"/>
              <w:rPr>
                <w:szCs w:val="22"/>
              </w:rPr>
            </w:pPr>
            <w:r>
              <w:rPr>
                <w:szCs w:val="22"/>
              </w:rPr>
              <w:t>Team leaders</w:t>
            </w:r>
            <w:r w:rsidRPr="00665B39">
              <w:rPr>
                <w:szCs w:val="22"/>
              </w:rPr>
              <w:t xml:space="preserve"> provide ongoing support </w:t>
            </w:r>
            <w:r>
              <w:rPr>
                <w:szCs w:val="22"/>
              </w:rPr>
              <w:t>to assessment staff, including clinical support to assessors and delegates.</w:t>
            </w:r>
            <w:r w:rsidRPr="00BA37C1">
              <w:rPr>
                <w:szCs w:val="22"/>
              </w:rPr>
              <w:t xml:space="preserve"> Additionally, team leaders undertake regular reviews of quality management processes to support continuous improvement of assessment related services.</w:t>
            </w:r>
          </w:p>
          <w:p w14:paraId="5B203301" w14:textId="29B4A8C5" w:rsidR="00ED631B" w:rsidRPr="00D92EA7" w:rsidRDefault="00ED631B" w:rsidP="00856600">
            <w:pPr>
              <w:spacing w:before="240" w:after="240"/>
            </w:pPr>
            <w:r w:rsidRPr="00682839">
              <w:rPr>
                <w:szCs w:val="22"/>
              </w:rPr>
              <w:t xml:space="preserve"> </w:t>
            </w:r>
          </w:p>
        </w:tc>
      </w:tr>
      <w:tr w:rsidR="00ED631B" w14:paraId="4415FFD0" w14:textId="77777777" w:rsidTr="004E2C29">
        <w:trPr>
          <w:trHeight w:val="300"/>
        </w:trPr>
        <w:tc>
          <w:tcPr>
            <w:tcW w:w="2647" w:type="dxa"/>
            <w:shd w:val="clear" w:color="auto" w:fill="002060"/>
          </w:tcPr>
          <w:p w14:paraId="3AEDB0E0" w14:textId="77777777" w:rsidR="00ED631B" w:rsidRPr="003E1933" w:rsidRDefault="00ED631B" w:rsidP="00856600">
            <w:pPr>
              <w:spacing w:before="240" w:after="240"/>
              <w:rPr>
                <w:szCs w:val="22"/>
              </w:rPr>
            </w:pPr>
            <w:r w:rsidRPr="006E4E68">
              <w:rPr>
                <w:szCs w:val="22"/>
              </w:rPr>
              <w:t xml:space="preserve">Triage delegate </w:t>
            </w:r>
          </w:p>
        </w:tc>
        <w:tc>
          <w:tcPr>
            <w:tcW w:w="1589" w:type="dxa"/>
          </w:tcPr>
          <w:p w14:paraId="4BA750B9" w14:textId="77777777" w:rsidR="00ED631B" w:rsidRPr="00C83667" w:rsidRDefault="00ED631B" w:rsidP="00856600">
            <w:pPr>
              <w:spacing w:before="240" w:after="240"/>
            </w:pPr>
            <w:r>
              <w:t>Business</w:t>
            </w:r>
            <w:r>
              <w:br/>
              <w:t xml:space="preserve">and system </w:t>
            </w:r>
          </w:p>
        </w:tc>
        <w:tc>
          <w:tcPr>
            <w:tcW w:w="5114" w:type="dxa"/>
          </w:tcPr>
          <w:p w14:paraId="6CD0B0C1" w14:textId="16D20F67" w:rsidR="00ED631B" w:rsidRDefault="00ED631B" w:rsidP="00856600">
            <w:pPr>
              <w:spacing w:before="240" w:after="240"/>
            </w:pPr>
            <w:r w:rsidRPr="00443BB8">
              <w:t xml:space="preserve">A </w:t>
            </w:r>
            <w:r>
              <w:t>triage</w:t>
            </w:r>
            <w:r w:rsidRPr="00443BB8">
              <w:t xml:space="preserve"> delegate performs functions and powers of the System Governor delegated to their role as detailed in Chapter </w:t>
            </w:r>
            <w:r>
              <w:t>5 and</w:t>
            </w:r>
            <w:r w:rsidRPr="00443BB8">
              <w:t xml:space="preserve"> </w:t>
            </w:r>
            <w:r w:rsidR="00B52E93">
              <w:t>7</w:t>
            </w:r>
            <w:r w:rsidRPr="00443BB8">
              <w:t xml:space="preserve"> of </w:t>
            </w:r>
            <w:r w:rsidR="05932764">
              <w:t>the Aged</w:t>
            </w:r>
            <w:r w:rsidRPr="00443BB8">
              <w:t xml:space="preserve"> Care Assessment Manual</w:t>
            </w:r>
            <w:r>
              <w:t>,</w:t>
            </w:r>
            <w:r w:rsidRPr="00443BB8">
              <w:t xml:space="preserve"> including but not limited to </w:t>
            </w:r>
            <w:r>
              <w:t>determining an individual’s eligibility for an aged care needs assessment</w:t>
            </w:r>
            <w:r w:rsidRPr="00443BB8">
              <w:t>.</w:t>
            </w:r>
            <w:r>
              <w:t xml:space="preserve"> </w:t>
            </w:r>
          </w:p>
          <w:p w14:paraId="1D19DD5E" w14:textId="77777777" w:rsidR="00ED631B" w:rsidRDefault="00ED631B" w:rsidP="00856600">
            <w:pPr>
              <w:spacing w:before="240" w:after="240"/>
            </w:pPr>
          </w:p>
          <w:p w14:paraId="044E1F5E" w14:textId="77777777" w:rsidR="00ED631B" w:rsidRPr="00C83667" w:rsidRDefault="00ED631B" w:rsidP="00856600">
            <w:pPr>
              <w:spacing w:before="240" w:after="240"/>
            </w:pPr>
          </w:p>
        </w:tc>
      </w:tr>
      <w:tr w:rsidR="00ED631B" w14:paraId="6F7F53FF" w14:textId="77777777" w:rsidTr="004E2C29">
        <w:trPr>
          <w:trHeight w:val="300"/>
        </w:trPr>
        <w:tc>
          <w:tcPr>
            <w:tcW w:w="2647" w:type="dxa"/>
            <w:shd w:val="clear" w:color="auto" w:fill="002060"/>
          </w:tcPr>
          <w:p w14:paraId="1B039DEA" w14:textId="77777777" w:rsidR="00ED631B" w:rsidRPr="00C83667" w:rsidRDefault="00ED631B" w:rsidP="00856600">
            <w:pPr>
              <w:spacing w:before="240" w:after="240"/>
              <w:rPr>
                <w:szCs w:val="22"/>
              </w:rPr>
            </w:pPr>
            <w:r w:rsidRPr="00C83667">
              <w:rPr>
                <w:szCs w:val="22"/>
              </w:rPr>
              <w:t xml:space="preserve"> </w:t>
            </w:r>
            <w:r>
              <w:rPr>
                <w:szCs w:val="22"/>
              </w:rPr>
              <w:t xml:space="preserve">Clinical assessor </w:t>
            </w:r>
          </w:p>
        </w:tc>
        <w:tc>
          <w:tcPr>
            <w:tcW w:w="1589" w:type="dxa"/>
          </w:tcPr>
          <w:p w14:paraId="74CDDB31"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185EE80E" w14:textId="09F29580" w:rsidR="00ED631B" w:rsidRPr="00BD5CD1" w:rsidRDefault="00ED631B" w:rsidP="00856600">
            <w:pPr>
              <w:spacing w:before="240" w:after="240"/>
            </w:pPr>
            <w:r w:rsidRPr="00BD5CD1">
              <w:t xml:space="preserve">A clinical aged care needs assessor undertakes home support and comprehensive assessments in accordance with Chapter 5 of the Aged Care Assessment Manual. </w:t>
            </w:r>
          </w:p>
          <w:p w14:paraId="0BF9214E" w14:textId="2432E17E" w:rsidR="00ED631B" w:rsidRPr="00C83667" w:rsidRDefault="00487ED6" w:rsidP="00856600">
            <w:pPr>
              <w:spacing w:before="240" w:after="240"/>
              <w:rPr>
                <w:szCs w:val="22"/>
              </w:rPr>
            </w:pPr>
            <w:r>
              <w:rPr>
                <w:szCs w:val="22"/>
              </w:rPr>
              <w:t xml:space="preserve">A </w:t>
            </w:r>
            <w:r w:rsidR="000360D1">
              <w:rPr>
                <w:szCs w:val="22"/>
              </w:rPr>
              <w:t xml:space="preserve">clinical aged care </w:t>
            </w:r>
            <w:r w:rsidR="000360D1" w:rsidRPr="005F4FAA">
              <w:t>needs</w:t>
            </w:r>
            <w:r w:rsidR="000360D1">
              <w:rPr>
                <w:szCs w:val="22"/>
              </w:rPr>
              <w:t xml:space="preserve"> assessor </w:t>
            </w:r>
            <w:r w:rsidR="00B77D54">
              <w:rPr>
                <w:szCs w:val="22"/>
              </w:rPr>
              <w:t xml:space="preserve">also </w:t>
            </w:r>
            <w:r w:rsidR="000360D1">
              <w:rPr>
                <w:szCs w:val="22"/>
              </w:rPr>
              <w:t>holds the role of non-clinical assessment delegate</w:t>
            </w:r>
            <w:r w:rsidR="00B77D54">
              <w:rPr>
                <w:szCs w:val="22"/>
              </w:rPr>
              <w:t>.</w:t>
            </w:r>
          </w:p>
        </w:tc>
      </w:tr>
      <w:tr w:rsidR="00ED631B" w14:paraId="2831F5F3" w14:textId="77777777" w:rsidTr="004E2C29">
        <w:trPr>
          <w:trHeight w:val="300"/>
        </w:trPr>
        <w:tc>
          <w:tcPr>
            <w:tcW w:w="2647" w:type="dxa"/>
            <w:shd w:val="clear" w:color="auto" w:fill="002060"/>
          </w:tcPr>
          <w:p w14:paraId="02C6535A" w14:textId="77777777" w:rsidR="00ED631B" w:rsidRDefault="00ED631B" w:rsidP="00856600">
            <w:pPr>
              <w:spacing w:before="240" w:after="240"/>
              <w:rPr>
                <w:szCs w:val="22"/>
              </w:rPr>
            </w:pPr>
            <w:r>
              <w:rPr>
                <w:szCs w:val="22"/>
              </w:rPr>
              <w:t>Non-clinical assessor</w:t>
            </w:r>
            <w:r w:rsidDel="00F269B1">
              <w:rPr>
                <w:szCs w:val="22"/>
              </w:rPr>
              <w:t xml:space="preserve"> </w:t>
            </w:r>
          </w:p>
        </w:tc>
        <w:tc>
          <w:tcPr>
            <w:tcW w:w="1589" w:type="dxa"/>
          </w:tcPr>
          <w:p w14:paraId="0D7864F6"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5EC5ECDC" w14:textId="597232CE" w:rsidR="00ED631B" w:rsidRDefault="00ED631B" w:rsidP="00856600">
            <w:pPr>
              <w:spacing w:before="240" w:after="240"/>
            </w:pPr>
            <w:r w:rsidRPr="00BD5CD1">
              <w:t xml:space="preserve">A non-clinical needs assessor undertakes home support assessments in accordance with Chapter 5 of the Aged Care Assessment Manual. </w:t>
            </w:r>
          </w:p>
          <w:p w14:paraId="6A1CAD4E" w14:textId="1803C2D9" w:rsidR="00ED631B" w:rsidRPr="00BD5CD1" w:rsidRDefault="00B77D54" w:rsidP="00856600">
            <w:pPr>
              <w:spacing w:before="240" w:after="240"/>
            </w:pPr>
            <w:r>
              <w:rPr>
                <w:szCs w:val="22"/>
              </w:rPr>
              <w:t xml:space="preserve">A </w:t>
            </w:r>
            <w:r w:rsidR="0054397D">
              <w:rPr>
                <w:szCs w:val="22"/>
              </w:rPr>
              <w:t>non-</w:t>
            </w:r>
            <w:r>
              <w:rPr>
                <w:szCs w:val="22"/>
              </w:rPr>
              <w:t xml:space="preserve">clinical aged care </w:t>
            </w:r>
            <w:r w:rsidRPr="005F4FAA">
              <w:t>needs</w:t>
            </w:r>
            <w:r>
              <w:rPr>
                <w:szCs w:val="22"/>
              </w:rPr>
              <w:t xml:space="preserve"> assessor also holds the role of non-clinical assessment delegate.</w:t>
            </w:r>
          </w:p>
          <w:p w14:paraId="69316D10" w14:textId="77777777" w:rsidR="00ED631B" w:rsidRPr="00120C33" w:rsidRDefault="00ED631B" w:rsidP="00856600">
            <w:pPr>
              <w:spacing w:before="240" w:after="240"/>
            </w:pPr>
          </w:p>
        </w:tc>
      </w:tr>
      <w:tr w:rsidR="00ED631B" w14:paraId="0BC1488E" w14:textId="77777777" w:rsidTr="004E2C29">
        <w:trPr>
          <w:trHeight w:val="300"/>
        </w:trPr>
        <w:tc>
          <w:tcPr>
            <w:tcW w:w="2647" w:type="dxa"/>
            <w:shd w:val="clear" w:color="auto" w:fill="002060"/>
          </w:tcPr>
          <w:p w14:paraId="1FB53DC7" w14:textId="064F3D29" w:rsidR="00ED631B" w:rsidRPr="00C83667" w:rsidRDefault="00ED631B" w:rsidP="00856600">
            <w:pPr>
              <w:spacing w:before="240" w:after="240"/>
              <w:rPr>
                <w:szCs w:val="22"/>
              </w:rPr>
            </w:pPr>
            <w:r>
              <w:rPr>
                <w:szCs w:val="22"/>
              </w:rPr>
              <w:t xml:space="preserve">Clinical </w:t>
            </w:r>
            <w:r w:rsidR="006964E3">
              <w:rPr>
                <w:szCs w:val="22"/>
              </w:rPr>
              <w:t>a</w:t>
            </w:r>
            <w:r>
              <w:rPr>
                <w:szCs w:val="22"/>
              </w:rPr>
              <w:t>ssessment</w:t>
            </w:r>
            <w:r w:rsidRPr="00C83667">
              <w:rPr>
                <w:szCs w:val="22"/>
              </w:rPr>
              <w:t xml:space="preserve"> </w:t>
            </w:r>
            <w:r w:rsidR="006964E3">
              <w:rPr>
                <w:szCs w:val="22"/>
              </w:rPr>
              <w:t>d</w:t>
            </w:r>
            <w:r w:rsidRPr="00C83667">
              <w:rPr>
                <w:szCs w:val="22"/>
              </w:rPr>
              <w:t>elegate</w:t>
            </w:r>
            <w:r>
              <w:rPr>
                <w:szCs w:val="22"/>
              </w:rPr>
              <w:t xml:space="preserve"> </w:t>
            </w:r>
          </w:p>
        </w:tc>
        <w:tc>
          <w:tcPr>
            <w:tcW w:w="1589" w:type="dxa"/>
          </w:tcPr>
          <w:p w14:paraId="070FAE3F"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7F9C6E24" w14:textId="5854BFE2" w:rsidR="00ED631B" w:rsidRPr="0043229A" w:rsidRDefault="00ED631B" w:rsidP="00856600">
            <w:pPr>
              <w:spacing w:before="240" w:after="240"/>
            </w:pPr>
            <w:r w:rsidRPr="00443BB8">
              <w:t xml:space="preserve">A clinical assessment delegate performs functions and powers of the System Governor delegated to their role as detailed in Chapter </w:t>
            </w:r>
            <w:r w:rsidR="00B52E93">
              <w:t>7</w:t>
            </w:r>
            <w:r w:rsidR="004B0C38">
              <w:t>-8</w:t>
            </w:r>
            <w:r w:rsidRPr="00443BB8">
              <w:t xml:space="preserve"> of the Aged Care Assessment Manual</w:t>
            </w:r>
            <w:r>
              <w:t>,</w:t>
            </w:r>
            <w:r w:rsidRPr="00443BB8">
              <w:t xml:space="preserve"> including but not limited to approving an individual for funded aged care services.</w:t>
            </w:r>
            <w:r>
              <w:t xml:space="preserve"> </w:t>
            </w:r>
          </w:p>
          <w:p w14:paraId="2F3A5151" w14:textId="77777777" w:rsidR="00ED631B" w:rsidRDefault="00ED631B" w:rsidP="00856600">
            <w:pPr>
              <w:spacing w:before="240" w:after="240"/>
            </w:pPr>
          </w:p>
          <w:p w14:paraId="6B4E5C2D" w14:textId="77777777" w:rsidR="00ED631B" w:rsidRDefault="00ED631B" w:rsidP="00856600">
            <w:pPr>
              <w:spacing w:before="240" w:after="240"/>
            </w:pPr>
          </w:p>
          <w:p w14:paraId="38331CB0" w14:textId="77777777" w:rsidR="00ED631B" w:rsidRDefault="00ED631B" w:rsidP="00856600">
            <w:pPr>
              <w:spacing w:before="240" w:after="240"/>
            </w:pPr>
          </w:p>
          <w:p w14:paraId="1BE06CF9" w14:textId="77777777" w:rsidR="00ED631B" w:rsidRPr="00C83667" w:rsidRDefault="00ED631B" w:rsidP="00856600">
            <w:pPr>
              <w:spacing w:before="240" w:after="240"/>
            </w:pPr>
          </w:p>
        </w:tc>
      </w:tr>
      <w:tr w:rsidR="00ED631B" w14:paraId="51736941" w14:textId="77777777" w:rsidTr="004E2C29">
        <w:trPr>
          <w:trHeight w:val="300"/>
        </w:trPr>
        <w:tc>
          <w:tcPr>
            <w:tcW w:w="2647" w:type="dxa"/>
            <w:shd w:val="clear" w:color="auto" w:fill="002060"/>
          </w:tcPr>
          <w:p w14:paraId="110916A0" w14:textId="77777777" w:rsidR="00ED631B" w:rsidRDefault="00ED631B" w:rsidP="00856600">
            <w:pPr>
              <w:spacing w:before="240" w:after="240"/>
            </w:pPr>
            <w:r>
              <w:t xml:space="preserve">Non-clinical assessment delegate  </w:t>
            </w:r>
          </w:p>
        </w:tc>
        <w:tc>
          <w:tcPr>
            <w:tcW w:w="1589" w:type="dxa"/>
          </w:tcPr>
          <w:p w14:paraId="24B5C3F4" w14:textId="3DECA783" w:rsidR="00ED631B" w:rsidRDefault="00ED631B" w:rsidP="00856600">
            <w:pPr>
              <w:spacing w:before="240" w:after="240"/>
            </w:pPr>
            <w:r>
              <w:t>Business</w:t>
            </w:r>
            <w:r w:rsidR="008955A5">
              <w:t xml:space="preserve"> and System</w:t>
            </w:r>
          </w:p>
        </w:tc>
        <w:tc>
          <w:tcPr>
            <w:tcW w:w="5114" w:type="dxa"/>
          </w:tcPr>
          <w:p w14:paraId="393700E1" w14:textId="77777777" w:rsidR="007D560B" w:rsidRDefault="00ED631B" w:rsidP="00856600">
            <w:pPr>
              <w:spacing w:before="240" w:after="240"/>
            </w:pPr>
            <w:r w:rsidRPr="00443BB8">
              <w:t xml:space="preserve">A </w:t>
            </w:r>
            <w:r>
              <w:t>non-</w:t>
            </w:r>
            <w:r w:rsidRPr="00443BB8">
              <w:t xml:space="preserve">clinical assessment delegate performs functions and powers of the System Governor delegated to their role as detailed in Chapter </w:t>
            </w:r>
            <w:r w:rsidR="00B52E93">
              <w:t>7</w:t>
            </w:r>
            <w:r w:rsidR="004B0C38">
              <w:t>-8</w:t>
            </w:r>
            <w:r w:rsidRPr="00443BB8">
              <w:t xml:space="preserve"> of the Aged Care Assessment Manual</w:t>
            </w:r>
            <w:r>
              <w:t>,</w:t>
            </w:r>
            <w:r w:rsidRPr="00443BB8">
              <w:t xml:space="preserve"> including but not limited to approving an individual for funded aged care services</w:t>
            </w:r>
            <w:r>
              <w:t xml:space="preserve"> under the Commonwealth Home Support Program</w:t>
            </w:r>
            <w:r w:rsidRPr="00443BB8">
              <w:t>.</w:t>
            </w:r>
          </w:p>
          <w:p w14:paraId="69BC4F51" w14:textId="143D9F83" w:rsidR="00ED631B" w:rsidRDefault="007D560B" w:rsidP="00856600">
            <w:pPr>
              <w:spacing w:before="240" w:after="240"/>
            </w:pPr>
            <w:r>
              <w:t xml:space="preserve">Non-clinical assessors and Clinical assessors </w:t>
            </w:r>
            <w:r w:rsidR="009157A6">
              <w:t>hold this role.</w:t>
            </w:r>
            <w:r w:rsidR="00ED631B">
              <w:t xml:space="preserve"> </w:t>
            </w:r>
          </w:p>
          <w:p w14:paraId="6C2B3A95" w14:textId="727EF160" w:rsidR="00AD334A" w:rsidRPr="72EA3286" w:rsidRDefault="00AD334A" w:rsidP="00856600">
            <w:pPr>
              <w:spacing w:before="240" w:after="240"/>
            </w:pPr>
          </w:p>
        </w:tc>
      </w:tr>
      <w:tr w:rsidR="00ED631B" w14:paraId="1A5BE263" w14:textId="77777777" w:rsidTr="004E2C29">
        <w:trPr>
          <w:trHeight w:val="300"/>
        </w:trPr>
        <w:tc>
          <w:tcPr>
            <w:tcW w:w="2647" w:type="dxa"/>
            <w:shd w:val="clear" w:color="auto" w:fill="002060"/>
          </w:tcPr>
          <w:p w14:paraId="5399B7A8" w14:textId="77777777" w:rsidR="00ED631B" w:rsidRDefault="00ED631B" w:rsidP="00856600">
            <w:pPr>
              <w:spacing w:before="240" w:after="240"/>
            </w:pPr>
            <w:r>
              <w:t>Workplace trainer</w:t>
            </w:r>
          </w:p>
        </w:tc>
        <w:tc>
          <w:tcPr>
            <w:tcW w:w="1589" w:type="dxa"/>
          </w:tcPr>
          <w:p w14:paraId="4B278817" w14:textId="77777777" w:rsidR="00ED631B" w:rsidRDefault="00ED631B" w:rsidP="00856600">
            <w:pPr>
              <w:spacing w:before="240" w:after="240"/>
            </w:pPr>
            <w:r>
              <w:t>Business</w:t>
            </w:r>
          </w:p>
        </w:tc>
        <w:tc>
          <w:tcPr>
            <w:tcW w:w="5114" w:type="dxa"/>
          </w:tcPr>
          <w:p w14:paraId="469CAEF3" w14:textId="6427596F" w:rsidR="00ED631B" w:rsidRDefault="00ED631B" w:rsidP="00856600">
            <w:pPr>
              <w:spacing w:before="240" w:after="240"/>
            </w:pPr>
            <w:r w:rsidRPr="007160FA">
              <w:t xml:space="preserve">A workplace trainer provides and coordinates the mandatory training required to be undertaken by staff within of an assessment organisation in accordance with </w:t>
            </w:r>
            <w:r>
              <w:t xml:space="preserve">the </w:t>
            </w:r>
            <w:r w:rsidRPr="007160FA">
              <w:t>Aged Care Workforce Learning Strategy</w:t>
            </w:r>
            <w:r>
              <w:t xml:space="preserve"> and Chapter 2 of the Aged Care Assessment Manual</w:t>
            </w:r>
            <w:r w:rsidRPr="007160FA">
              <w:t xml:space="preserve">. </w:t>
            </w:r>
          </w:p>
          <w:p w14:paraId="03F07CE5" w14:textId="77777777" w:rsidR="00ED631B" w:rsidRDefault="00ED631B" w:rsidP="00856600">
            <w:pPr>
              <w:spacing w:before="240" w:after="240"/>
            </w:pPr>
          </w:p>
          <w:p w14:paraId="3BF3FDC9" w14:textId="77777777" w:rsidR="00ED631B" w:rsidRPr="00BD5CD1" w:rsidRDefault="00ED631B" w:rsidP="00856600">
            <w:pPr>
              <w:spacing w:before="240" w:after="240"/>
              <w:rPr>
                <w:rFonts w:eastAsia="Arial"/>
                <w:strike/>
              </w:rPr>
            </w:pPr>
          </w:p>
        </w:tc>
      </w:tr>
      <w:tr w:rsidR="00ED631B" w:rsidRPr="007D6B3C" w14:paraId="6B2C17CF" w14:textId="77777777" w:rsidTr="004E2C29">
        <w:trPr>
          <w:trHeight w:val="300"/>
        </w:trPr>
        <w:tc>
          <w:tcPr>
            <w:tcW w:w="2647" w:type="dxa"/>
            <w:shd w:val="clear" w:color="auto" w:fill="002060"/>
          </w:tcPr>
          <w:p w14:paraId="5208A5B0" w14:textId="77777777" w:rsidR="00ED631B" w:rsidRPr="007D6B3C" w:rsidRDefault="00ED631B" w:rsidP="00856600">
            <w:pPr>
              <w:spacing w:before="240" w:after="240"/>
              <w:rPr>
                <w:szCs w:val="22"/>
              </w:rPr>
            </w:pPr>
            <w:bookmarkStart w:id="130" w:name="_Hlk184121619"/>
            <w:r w:rsidRPr="007D6B3C">
              <w:rPr>
                <w:szCs w:val="22"/>
              </w:rPr>
              <w:t>Administration officer</w:t>
            </w:r>
          </w:p>
        </w:tc>
        <w:tc>
          <w:tcPr>
            <w:tcW w:w="1589" w:type="dxa"/>
          </w:tcPr>
          <w:p w14:paraId="30C933D8" w14:textId="77777777" w:rsidR="00ED631B" w:rsidRPr="007D6B3C" w:rsidRDefault="00ED631B" w:rsidP="00856600">
            <w:pPr>
              <w:spacing w:before="240" w:after="240"/>
              <w:rPr>
                <w:szCs w:val="22"/>
              </w:rPr>
            </w:pPr>
            <w:r w:rsidRPr="007D6B3C">
              <w:rPr>
                <w:szCs w:val="22"/>
              </w:rPr>
              <w:t xml:space="preserve">Business </w:t>
            </w:r>
          </w:p>
          <w:p w14:paraId="31D6B651" w14:textId="77777777" w:rsidR="00ED631B" w:rsidRPr="007D6B3C" w:rsidRDefault="00ED631B" w:rsidP="00856600">
            <w:pPr>
              <w:spacing w:before="240" w:after="240"/>
              <w:rPr>
                <w:szCs w:val="22"/>
              </w:rPr>
            </w:pPr>
          </w:p>
        </w:tc>
        <w:tc>
          <w:tcPr>
            <w:tcW w:w="5114" w:type="dxa"/>
          </w:tcPr>
          <w:p w14:paraId="151D1AE5" w14:textId="77777777" w:rsidR="00ED631B" w:rsidRDefault="00ED631B" w:rsidP="00856600">
            <w:pPr>
              <w:spacing w:before="240" w:after="240"/>
            </w:pPr>
            <w:r>
              <w:t>An Administration Officer p</w:t>
            </w:r>
            <w:r w:rsidRPr="72EA3286">
              <w:t xml:space="preserve">rovides support to the Team Leader and delegates, by performing the day-to-day work of phoning and booking appointments, assigning the booking to assessors, rescheduling and reassigning an assessment should any changes need to occur (assessor on unplanned leave, </w:t>
            </w:r>
            <w:r>
              <w:t>older person</w:t>
            </w:r>
            <w:r w:rsidRPr="72EA3286">
              <w:t xml:space="preserve"> needs to change the appointment) and assigning SPRs.</w:t>
            </w:r>
          </w:p>
          <w:p w14:paraId="183F6001" w14:textId="77777777" w:rsidR="00AD334A" w:rsidRPr="007D6B3C" w:rsidRDefault="00AD334A" w:rsidP="00856600">
            <w:pPr>
              <w:spacing w:before="240" w:after="240"/>
            </w:pPr>
          </w:p>
          <w:p w14:paraId="189D7206" w14:textId="77777777" w:rsidR="00ED631B" w:rsidRPr="007D6B3C" w:rsidRDefault="00ED631B" w:rsidP="00856600">
            <w:pPr>
              <w:spacing w:before="240" w:after="240"/>
              <w:rPr>
                <w:szCs w:val="22"/>
              </w:rPr>
            </w:pPr>
            <w:r w:rsidRPr="007D6B3C">
              <w:rPr>
                <w:szCs w:val="22"/>
              </w:rPr>
              <w:t xml:space="preserve">Administration officers may hold the team leader system role to manage and assign, un-assign and reassign referrals or transfer referrals for triage and assessment(s) and assign SPRs to an assessor. </w:t>
            </w:r>
          </w:p>
        </w:tc>
      </w:tr>
      <w:bookmarkEnd w:id="130"/>
      <w:tr w:rsidR="00ED631B" w14:paraId="43049B01" w14:textId="77777777" w:rsidTr="004E2C29">
        <w:trPr>
          <w:trHeight w:val="300"/>
        </w:trPr>
        <w:tc>
          <w:tcPr>
            <w:tcW w:w="2647" w:type="dxa"/>
            <w:shd w:val="clear" w:color="auto" w:fill="002060"/>
          </w:tcPr>
          <w:p w14:paraId="159A52EB" w14:textId="41FAB0D0" w:rsidR="00ED631B" w:rsidRPr="00C83667" w:rsidRDefault="00ED631B" w:rsidP="00856600">
            <w:pPr>
              <w:spacing w:before="240" w:after="240"/>
              <w:rPr>
                <w:szCs w:val="22"/>
              </w:rPr>
            </w:pPr>
            <w:r w:rsidRPr="00C83667">
              <w:rPr>
                <w:szCs w:val="22"/>
              </w:rPr>
              <w:t xml:space="preserve">Delegate support </w:t>
            </w:r>
            <w:r w:rsidR="000479BD">
              <w:rPr>
                <w:szCs w:val="22"/>
              </w:rPr>
              <w:t xml:space="preserve">officer </w:t>
            </w:r>
          </w:p>
        </w:tc>
        <w:tc>
          <w:tcPr>
            <w:tcW w:w="1589" w:type="dxa"/>
          </w:tcPr>
          <w:p w14:paraId="5C6BB871" w14:textId="77777777" w:rsidR="00ED631B" w:rsidRPr="00C83667" w:rsidRDefault="00ED631B" w:rsidP="00856600">
            <w:pPr>
              <w:spacing w:before="240" w:after="240"/>
              <w:rPr>
                <w:szCs w:val="22"/>
              </w:rPr>
            </w:pPr>
            <w:r w:rsidRPr="00C83667">
              <w:rPr>
                <w:szCs w:val="22"/>
              </w:rPr>
              <w:t xml:space="preserve">Business and </w:t>
            </w:r>
            <w:r>
              <w:rPr>
                <w:szCs w:val="22"/>
              </w:rPr>
              <w:t>S</w:t>
            </w:r>
            <w:r w:rsidRPr="00C83667">
              <w:rPr>
                <w:szCs w:val="22"/>
              </w:rPr>
              <w:t>ystem</w:t>
            </w:r>
          </w:p>
        </w:tc>
        <w:tc>
          <w:tcPr>
            <w:tcW w:w="5114" w:type="dxa"/>
          </w:tcPr>
          <w:p w14:paraId="2B8FB44C" w14:textId="77777777" w:rsidR="00ED631B" w:rsidRPr="00C83667" w:rsidRDefault="00ED631B" w:rsidP="00856600">
            <w:pPr>
              <w:spacing w:before="240" w:after="240"/>
              <w:rPr>
                <w:szCs w:val="22"/>
              </w:rPr>
            </w:pPr>
            <w:r>
              <w:rPr>
                <w:szCs w:val="22"/>
              </w:rPr>
              <w:t>Delegate Support provide support to</w:t>
            </w:r>
            <w:r w:rsidRPr="00C83667">
              <w:rPr>
                <w:szCs w:val="22"/>
              </w:rPr>
              <w:t xml:space="preserve"> the </w:t>
            </w:r>
            <w:r>
              <w:rPr>
                <w:szCs w:val="22"/>
              </w:rPr>
              <w:t>assessment</w:t>
            </w:r>
            <w:r w:rsidRPr="00C83667">
              <w:rPr>
                <w:szCs w:val="22"/>
              </w:rPr>
              <w:t xml:space="preserve"> delegate with administrative tasks associated with delegation such as printing and sending letters. </w:t>
            </w:r>
          </w:p>
        </w:tc>
      </w:tr>
    </w:tbl>
    <w:p w14:paraId="22BB5593" w14:textId="77777777" w:rsidR="00ED631B" w:rsidRDefault="00ED631B" w:rsidP="00856600">
      <w:pPr>
        <w:spacing w:before="240" w:after="240" w:line="240" w:lineRule="auto"/>
      </w:pPr>
    </w:p>
    <w:tbl>
      <w:tblPr>
        <w:tblW w:w="0" w:type="auto"/>
        <w:tblLook w:val="04A0" w:firstRow="1" w:lastRow="0" w:firstColumn="1" w:lastColumn="0" w:noHBand="0" w:noVBand="1"/>
      </w:tblPr>
      <w:tblGrid>
        <w:gridCol w:w="982"/>
        <w:gridCol w:w="7784"/>
      </w:tblGrid>
      <w:tr w:rsidR="00ED631B" w14:paraId="6C056683" w14:textId="77777777">
        <w:tc>
          <w:tcPr>
            <w:tcW w:w="988" w:type="dxa"/>
          </w:tcPr>
          <w:p w14:paraId="07CEA493" w14:textId="77777777" w:rsidR="00ED631B" w:rsidRDefault="00ED631B" w:rsidP="00856600">
            <w:pPr>
              <w:spacing w:before="240" w:after="240" w:line="240" w:lineRule="auto"/>
            </w:pPr>
            <w:r>
              <w:rPr>
                <w:noProof/>
              </w:rPr>
              <w:drawing>
                <wp:inline distT="0" distB="0" distL="0" distR="0" wp14:anchorId="451905EA" wp14:editId="6C04AEE2">
                  <wp:extent cx="383111" cy="381000"/>
                  <wp:effectExtent l="0" t="0" r="0" b="0"/>
                  <wp:docPr id="900774019" name="Picture 9007740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1D8C4969" w14:textId="3D44DA51" w:rsidR="00ED631B" w:rsidRPr="00880B95" w:rsidRDefault="00ED631B" w:rsidP="00856600">
            <w:pPr>
              <w:spacing w:before="240" w:after="240" w:line="240" w:lineRule="auto"/>
            </w:pPr>
            <w:hyperlink r:id="rId56" w:history="1">
              <w:r w:rsidRPr="00851B2A">
                <w:rPr>
                  <w:rStyle w:val="Hyperlink"/>
                  <w:szCs w:val="22"/>
                </w:rPr>
                <w:t>My Aged Care Assessor Portal - Organisational Administrator User Guide</w:t>
              </w:r>
            </w:hyperlink>
          </w:p>
          <w:p w14:paraId="29E908DA" w14:textId="77777777" w:rsidR="00ED631B" w:rsidRDefault="00ED631B" w:rsidP="00856600">
            <w:pPr>
              <w:spacing w:before="240" w:after="240" w:line="240" w:lineRule="auto"/>
            </w:pPr>
          </w:p>
        </w:tc>
      </w:tr>
    </w:tbl>
    <w:p w14:paraId="69345891" w14:textId="20F9DF42" w:rsidR="00446280" w:rsidRDefault="44D2354C" w:rsidP="00507F9D">
      <w:pPr>
        <w:pStyle w:val="h2"/>
      </w:pPr>
      <w:bookmarkStart w:id="131" w:name="_Aboriginal_and_Torres"/>
      <w:bookmarkStart w:id="132" w:name="_Toc224916618"/>
      <w:bookmarkStart w:id="133" w:name="_Toc159227000"/>
      <w:bookmarkStart w:id="134" w:name="_Toc184402415"/>
      <w:bookmarkStart w:id="135" w:name="_Toc204329497"/>
      <w:bookmarkStart w:id="136" w:name="_Toc209188952"/>
      <w:bookmarkStart w:id="137" w:name="_Toc198813647"/>
      <w:bookmarkStart w:id="138" w:name="CH1_FNAO"/>
      <w:bookmarkEnd w:id="131"/>
      <w:r>
        <w:t xml:space="preserve">Supporting </w:t>
      </w:r>
      <w:r w:rsidR="00446280">
        <w:t xml:space="preserve">Community Engagement </w:t>
      </w:r>
      <w:r w:rsidR="00AE68AA">
        <w:t xml:space="preserve">through </w:t>
      </w:r>
      <w:r w:rsidR="00446280">
        <w:t>the Aboriginal and Torres Strait Islander assessment pathway</w:t>
      </w:r>
      <w:bookmarkEnd w:id="132"/>
    </w:p>
    <w:p w14:paraId="66014989" w14:textId="57B80053" w:rsidR="00446280" w:rsidRDefault="62A4ED62" w:rsidP="00856600">
      <w:pPr>
        <w:spacing w:before="240" w:after="240" w:line="240" w:lineRule="auto"/>
      </w:pPr>
      <w:r>
        <w:t>Cultural</w:t>
      </w:r>
      <w:r w:rsidR="00BB6D29">
        <w:t>ly</w:t>
      </w:r>
      <w:r>
        <w:t xml:space="preserve"> safe assessments are everyone’s responsibility.</w:t>
      </w:r>
      <w:r w:rsidR="005C513B">
        <w:t xml:space="preserve"> </w:t>
      </w:r>
      <w:r w:rsidR="00FC36C3">
        <w:t xml:space="preserve">All </w:t>
      </w:r>
      <w:r w:rsidR="008D5483">
        <w:t xml:space="preserve">organisations within the </w:t>
      </w:r>
      <w:r w:rsidR="00AF2D11">
        <w:t xml:space="preserve">Single Assessment </w:t>
      </w:r>
      <w:r w:rsidR="00CD1491">
        <w:t xml:space="preserve">System </w:t>
      </w:r>
      <w:r w:rsidR="00750B85">
        <w:t xml:space="preserve">are </w:t>
      </w:r>
      <w:r w:rsidR="000C2671">
        <w:t xml:space="preserve">accountable </w:t>
      </w:r>
      <w:r w:rsidR="00750B85">
        <w:t>for</w:t>
      </w:r>
      <w:r w:rsidR="009263F9">
        <w:t xml:space="preserve"> ensuring assessments are culturally </w:t>
      </w:r>
      <w:r w:rsidR="00750B85">
        <w:t>safe</w:t>
      </w:r>
      <w:r w:rsidR="00DE4140">
        <w:t xml:space="preserve">. </w:t>
      </w:r>
    </w:p>
    <w:p w14:paraId="382BAFCB" w14:textId="77777777" w:rsidR="00125676" w:rsidRDefault="00125676" w:rsidP="00856600">
      <w:pPr>
        <w:spacing w:before="240" w:after="240" w:line="240" w:lineRule="auto"/>
      </w:pPr>
    </w:p>
    <w:p w14:paraId="4BB02E61" w14:textId="5766D203" w:rsidR="00446280" w:rsidRDefault="00446280" w:rsidP="00856600">
      <w:pPr>
        <w:spacing w:before="240" w:after="240" w:line="240" w:lineRule="auto"/>
      </w:pPr>
      <w:r>
        <w:t xml:space="preserve">As Aboriginal and Torres Strait Islander </w:t>
      </w:r>
      <w:r w:rsidR="003C4664">
        <w:t>assessment organisations</w:t>
      </w:r>
      <w:r>
        <w:t xml:space="preserve"> are embedded within communities, these organisations </w:t>
      </w:r>
      <w:r w:rsidR="484412BD">
        <w:t xml:space="preserve">are well </w:t>
      </w:r>
      <w:r>
        <w:t xml:space="preserve">placed as trusted intermediaries to inform </w:t>
      </w:r>
      <w:r w:rsidR="5671484E">
        <w:t xml:space="preserve">their </w:t>
      </w:r>
      <w:r>
        <w:t xml:space="preserve">communities about the Aboriginal and Torres Strait Islander Assessment pathway through </w:t>
      </w:r>
      <w:r w:rsidR="00B05528">
        <w:t xml:space="preserve">communication </w:t>
      </w:r>
      <w:r>
        <w:t xml:space="preserve">channels </w:t>
      </w:r>
      <w:r w:rsidR="0021795F">
        <w:t xml:space="preserve">that best </w:t>
      </w:r>
      <w:r>
        <w:t xml:space="preserve">suit the community. </w:t>
      </w:r>
    </w:p>
    <w:p w14:paraId="183692E3" w14:textId="56BC0BEA" w:rsidR="00446280" w:rsidRDefault="134C10BE" w:rsidP="00856600">
      <w:pPr>
        <w:spacing w:before="240" w:after="240" w:line="240" w:lineRule="auto"/>
      </w:pPr>
      <w:r>
        <w:t xml:space="preserve">To support </w:t>
      </w:r>
      <w:r w:rsidR="6BF48887">
        <w:t xml:space="preserve">all </w:t>
      </w:r>
      <w:r>
        <w:t>a</w:t>
      </w:r>
      <w:r w:rsidR="00446280">
        <w:t xml:space="preserve">ssessment </w:t>
      </w:r>
      <w:r w:rsidR="00B5045A">
        <w:t>organisations communications</w:t>
      </w:r>
      <w:r w:rsidR="00446280">
        <w:t xml:space="preserve"> products developed by the Department </w:t>
      </w:r>
      <w:r w:rsidR="4CD44DAC">
        <w:t>can be adapted to suit community</w:t>
      </w:r>
      <w:r w:rsidR="00B24EB8">
        <w:t>.</w:t>
      </w:r>
      <w:r w:rsidR="4CD44DAC">
        <w:t xml:space="preserve"> </w:t>
      </w:r>
      <w:r w:rsidR="00B5045A">
        <w:t>Products could</w:t>
      </w:r>
      <w:r w:rsidR="00446280">
        <w:t xml:space="preserve"> include: </w:t>
      </w:r>
    </w:p>
    <w:p w14:paraId="00ADCAA3" w14:textId="77777777" w:rsidR="00446280" w:rsidRDefault="00446280" w:rsidP="00DF3F6B">
      <w:pPr>
        <w:pStyle w:val="ListParagraph"/>
        <w:numPr>
          <w:ilvl w:val="0"/>
          <w:numId w:val="442"/>
        </w:numPr>
        <w:spacing w:before="240" w:after="240" w:line="240" w:lineRule="auto"/>
        <w:ind w:left="357" w:hanging="357"/>
      </w:pPr>
      <w:r>
        <w:t>A website with more information about Aboriginal and Torres Strait Islander assessment to refer to</w:t>
      </w:r>
    </w:p>
    <w:p w14:paraId="26437D39" w14:textId="77777777" w:rsidR="00446280" w:rsidRDefault="00446280" w:rsidP="00DF3F6B">
      <w:pPr>
        <w:pStyle w:val="ListParagraph"/>
        <w:numPr>
          <w:ilvl w:val="0"/>
          <w:numId w:val="442"/>
        </w:numPr>
        <w:spacing w:before="240" w:after="240" w:line="240" w:lineRule="auto"/>
      </w:pPr>
      <w:r>
        <w:t>Scripts that can be turned into radio content, or videos using local leaders</w:t>
      </w:r>
    </w:p>
    <w:p w14:paraId="0627BB6B" w14:textId="77777777" w:rsidR="00446280" w:rsidRDefault="00446280" w:rsidP="00DF3F6B">
      <w:pPr>
        <w:pStyle w:val="ListParagraph"/>
        <w:numPr>
          <w:ilvl w:val="0"/>
          <w:numId w:val="442"/>
        </w:numPr>
        <w:spacing w:before="240" w:after="240" w:line="240" w:lineRule="auto"/>
      </w:pPr>
      <w:r>
        <w:t>Social media tiles that can be shared on organisations platform</w:t>
      </w:r>
    </w:p>
    <w:p w14:paraId="3D4DB054" w14:textId="77777777" w:rsidR="00446280" w:rsidRDefault="00446280" w:rsidP="00DF3F6B">
      <w:pPr>
        <w:pStyle w:val="ListParagraph"/>
        <w:numPr>
          <w:ilvl w:val="0"/>
          <w:numId w:val="442"/>
        </w:numPr>
        <w:spacing w:before="240" w:after="240" w:line="240" w:lineRule="auto"/>
      </w:pPr>
      <w:r>
        <w:t>Printed products that can be used to generate interest in the service</w:t>
      </w:r>
    </w:p>
    <w:p w14:paraId="68726E67" w14:textId="0721E62E" w:rsidR="00446280" w:rsidRDefault="00446280" w:rsidP="00C56CEC">
      <w:pPr>
        <w:pStyle w:val="H3"/>
      </w:pPr>
      <w:r>
        <w:t xml:space="preserve"> </w:t>
      </w:r>
      <w:r w:rsidR="745B1C79">
        <w:t>S</w:t>
      </w:r>
      <w:r>
        <w:t>upport</w:t>
      </w:r>
      <w:r w:rsidR="63D392FC">
        <w:t>ing</w:t>
      </w:r>
      <w:r>
        <w:t xml:space="preserve"> the broader roll out of</w:t>
      </w:r>
      <w:r w:rsidRPr="005A649D">
        <w:t xml:space="preserve"> Aboriginal and Torres Strait Islander Assessment Organisations</w:t>
      </w:r>
    </w:p>
    <w:p w14:paraId="09024C86" w14:textId="1B3E393C" w:rsidR="00446280" w:rsidRDefault="00446280" w:rsidP="00856600">
      <w:pPr>
        <w:spacing w:before="240" w:after="240" w:line="240" w:lineRule="auto"/>
        <w:rPr>
          <w:lang w:val="en-AU"/>
        </w:rPr>
      </w:pPr>
      <w:r>
        <w:rPr>
          <w:lang w:val="en-AU"/>
        </w:rPr>
        <w:t>Aboriginal and Torres Strait Islander</w:t>
      </w:r>
      <w:r w:rsidRPr="005A649D">
        <w:rPr>
          <w:lang w:val="en-AU"/>
        </w:rPr>
        <w:t xml:space="preserve"> </w:t>
      </w:r>
      <w:r w:rsidR="003C4664">
        <w:rPr>
          <w:lang w:val="en-AU"/>
        </w:rPr>
        <w:t>a</w:t>
      </w:r>
      <w:r w:rsidR="003C4664" w:rsidRPr="005A649D">
        <w:rPr>
          <w:lang w:val="en-AU"/>
        </w:rPr>
        <w:t xml:space="preserve">ssessment </w:t>
      </w:r>
      <w:r w:rsidR="003C4664">
        <w:rPr>
          <w:lang w:val="en-AU"/>
        </w:rPr>
        <w:t>o</w:t>
      </w:r>
      <w:r w:rsidR="003C4664" w:rsidRPr="005A649D">
        <w:rPr>
          <w:lang w:val="en-AU"/>
        </w:rPr>
        <w:t>rganisation</w:t>
      </w:r>
      <w:r w:rsidR="003C4664">
        <w:rPr>
          <w:lang w:val="en-AU"/>
        </w:rPr>
        <w:t>s</w:t>
      </w:r>
      <w:r>
        <w:rPr>
          <w:lang w:val="en-AU"/>
        </w:rPr>
        <w:t xml:space="preserve"> participating in the first phase of the implementation of the workforce</w:t>
      </w:r>
      <w:r w:rsidRPr="005A649D">
        <w:rPr>
          <w:lang w:val="en-AU"/>
        </w:rPr>
        <w:t xml:space="preserve"> </w:t>
      </w:r>
      <w:r w:rsidR="4AB88F92" w:rsidRPr="36784456">
        <w:rPr>
          <w:lang w:val="en-AU"/>
        </w:rPr>
        <w:t xml:space="preserve">will </w:t>
      </w:r>
      <w:r w:rsidRPr="005A649D">
        <w:rPr>
          <w:lang w:val="en-AU"/>
        </w:rPr>
        <w:t xml:space="preserve">assist and </w:t>
      </w:r>
      <w:r w:rsidR="00B5045A" w:rsidRPr="36784456">
        <w:rPr>
          <w:lang w:val="en-AU"/>
        </w:rPr>
        <w:t>inform</w:t>
      </w:r>
      <w:r w:rsidR="00B5045A" w:rsidRPr="005A649D">
        <w:rPr>
          <w:lang w:val="en-AU"/>
        </w:rPr>
        <w:t xml:space="preserve"> the</w:t>
      </w:r>
      <w:r w:rsidRPr="005A649D">
        <w:rPr>
          <w:lang w:val="en-AU"/>
        </w:rPr>
        <w:t xml:space="preserve"> </w:t>
      </w:r>
      <w:r w:rsidR="001B52CB">
        <w:rPr>
          <w:lang w:val="en-AU"/>
        </w:rPr>
        <w:t>d</w:t>
      </w:r>
      <w:r w:rsidR="001B52CB" w:rsidRPr="005A649D">
        <w:rPr>
          <w:lang w:val="en-AU"/>
        </w:rPr>
        <w:t xml:space="preserve">epartment’s </w:t>
      </w:r>
      <w:r w:rsidRPr="005A649D">
        <w:rPr>
          <w:lang w:val="en-AU"/>
        </w:rPr>
        <w:t xml:space="preserve">planning for </w:t>
      </w:r>
      <w:r>
        <w:rPr>
          <w:lang w:val="en-AU"/>
        </w:rPr>
        <w:t>future phases of the implementation</w:t>
      </w:r>
      <w:r w:rsidRPr="005A649D">
        <w:rPr>
          <w:lang w:val="en-AU"/>
        </w:rPr>
        <w:t xml:space="preserve">. </w:t>
      </w:r>
    </w:p>
    <w:p w14:paraId="47CD7BC7" w14:textId="112BF2AD" w:rsidR="00446280" w:rsidRPr="005A649D" w:rsidRDefault="00446280" w:rsidP="00AA5584">
      <w:pPr>
        <w:spacing w:before="240" w:after="240" w:line="240" w:lineRule="auto"/>
      </w:pPr>
      <w:r w:rsidRPr="005A649D">
        <w:rPr>
          <w:lang w:val="en-AU"/>
        </w:rPr>
        <w:t xml:space="preserve">These </w:t>
      </w:r>
      <w:r w:rsidR="76067F27" w:rsidRPr="36784456">
        <w:rPr>
          <w:lang w:val="en-AU"/>
        </w:rPr>
        <w:t>organisations and broader community engagement will provide advice</w:t>
      </w:r>
      <w:r w:rsidR="15257FE7" w:rsidRPr="36784456">
        <w:rPr>
          <w:lang w:val="en-AU"/>
        </w:rPr>
        <w:t>,</w:t>
      </w:r>
      <w:r w:rsidR="007252F6">
        <w:rPr>
          <w:lang w:val="en-AU"/>
        </w:rPr>
        <w:t xml:space="preserve"> </w:t>
      </w:r>
      <w:r w:rsidRPr="005A649D">
        <w:rPr>
          <w:lang w:val="en-AU"/>
        </w:rPr>
        <w:t>input</w:t>
      </w:r>
      <w:r w:rsidR="6FE7B3BD" w:rsidRPr="36784456">
        <w:rPr>
          <w:lang w:val="en-AU"/>
        </w:rPr>
        <w:t xml:space="preserve"> and</w:t>
      </w:r>
      <w:r w:rsidRPr="005A649D">
        <w:rPr>
          <w:lang w:val="en-AU"/>
        </w:rPr>
        <w:t xml:space="preserve"> feedback regarding the </w:t>
      </w:r>
      <w:r w:rsidR="3C4F7712" w:rsidRPr="36784456">
        <w:rPr>
          <w:lang w:val="en-AU"/>
        </w:rPr>
        <w:t xml:space="preserve">cultural appropriateness of the </w:t>
      </w:r>
      <w:r w:rsidR="002C46B7">
        <w:rPr>
          <w:lang w:val="en-AU"/>
        </w:rPr>
        <w:t>a</w:t>
      </w:r>
      <w:r w:rsidR="002C46B7" w:rsidRPr="005A649D">
        <w:rPr>
          <w:lang w:val="en-AU"/>
        </w:rPr>
        <w:t xml:space="preserve">ged </w:t>
      </w:r>
      <w:r w:rsidR="002C46B7">
        <w:rPr>
          <w:lang w:val="en-AU"/>
        </w:rPr>
        <w:t>c</w:t>
      </w:r>
      <w:r w:rsidR="002C46B7" w:rsidRPr="005A649D">
        <w:rPr>
          <w:lang w:val="en-AU"/>
        </w:rPr>
        <w:t>are</w:t>
      </w:r>
      <w:r w:rsidRPr="005A649D">
        <w:rPr>
          <w:lang w:val="en-AU"/>
        </w:rPr>
        <w:t xml:space="preserve"> </w:t>
      </w:r>
      <w:r w:rsidR="002C46B7">
        <w:rPr>
          <w:lang w:val="en-AU"/>
        </w:rPr>
        <w:t>n</w:t>
      </w:r>
      <w:r w:rsidR="002C46B7" w:rsidRPr="005A649D">
        <w:rPr>
          <w:lang w:val="en-AU"/>
        </w:rPr>
        <w:t xml:space="preserve">eeds </w:t>
      </w:r>
      <w:r w:rsidR="002C46B7">
        <w:rPr>
          <w:lang w:val="en-AU"/>
        </w:rPr>
        <w:t>a</w:t>
      </w:r>
      <w:r w:rsidR="002C46B7" w:rsidRPr="005A649D">
        <w:rPr>
          <w:lang w:val="en-AU"/>
        </w:rPr>
        <w:t>ssessment</w:t>
      </w:r>
      <w:r w:rsidRPr="005A649D">
        <w:rPr>
          <w:lang w:val="en-AU"/>
        </w:rPr>
        <w:t xml:space="preserve"> process, including time dedicated to community engagement and case management for assisting older Aboriginal and Torres Strait Islander people in their </w:t>
      </w:r>
      <w:r w:rsidR="002C46B7">
        <w:rPr>
          <w:lang w:val="en-AU"/>
        </w:rPr>
        <w:t>a</w:t>
      </w:r>
      <w:r w:rsidR="002C46B7" w:rsidRPr="005A649D">
        <w:rPr>
          <w:lang w:val="en-AU"/>
        </w:rPr>
        <w:t xml:space="preserve">ged </w:t>
      </w:r>
      <w:r w:rsidR="002C46B7">
        <w:rPr>
          <w:lang w:val="en-AU"/>
        </w:rPr>
        <w:t>c</w:t>
      </w:r>
      <w:r w:rsidR="002C46B7" w:rsidRPr="005A649D">
        <w:rPr>
          <w:lang w:val="en-AU"/>
        </w:rPr>
        <w:t>are</w:t>
      </w:r>
      <w:r w:rsidRPr="005A649D">
        <w:rPr>
          <w:lang w:val="en-AU"/>
        </w:rPr>
        <w:t xml:space="preserve"> </w:t>
      </w:r>
      <w:r w:rsidR="002C46B7">
        <w:rPr>
          <w:lang w:val="en-AU"/>
        </w:rPr>
        <w:t>a</w:t>
      </w:r>
      <w:r w:rsidR="002C46B7" w:rsidRPr="005A649D">
        <w:rPr>
          <w:lang w:val="en-AU"/>
        </w:rPr>
        <w:t xml:space="preserve">ssessment </w:t>
      </w:r>
      <w:r w:rsidRPr="005A649D">
        <w:rPr>
          <w:lang w:val="en-AU"/>
        </w:rPr>
        <w:t>journey</w:t>
      </w:r>
      <w:r w:rsidR="59C64138" w:rsidRPr="36784456">
        <w:rPr>
          <w:lang w:val="en-AU"/>
        </w:rPr>
        <w:t>.</w:t>
      </w:r>
    </w:p>
    <w:p w14:paraId="1E9E9B0B" w14:textId="134B96F2" w:rsidR="001A157F" w:rsidRDefault="001A157F" w:rsidP="008837C5">
      <w:pPr>
        <w:pStyle w:val="NormalText"/>
        <w:spacing w:before="240" w:after="240" w:line="240" w:lineRule="auto"/>
      </w:pPr>
    </w:p>
    <w:p w14:paraId="345FD187" w14:textId="22C55261" w:rsidR="00ED631B" w:rsidRPr="008D2A52" w:rsidRDefault="00C56393" w:rsidP="00507F9D">
      <w:pPr>
        <w:pStyle w:val="h2"/>
      </w:pPr>
      <w:bookmarkStart w:id="139" w:name="_Toc224916619"/>
      <w:r>
        <w:t>T</w:t>
      </w:r>
      <w:r w:rsidR="00ED631B" w:rsidRPr="003E1933">
        <w:t>raining requirements</w:t>
      </w:r>
      <w:bookmarkEnd w:id="133"/>
      <w:bookmarkEnd w:id="134"/>
      <w:bookmarkEnd w:id="135"/>
      <w:r>
        <w:t xml:space="preserve"> for </w:t>
      </w:r>
      <w:r w:rsidR="004C6BE3">
        <w:t>a</w:t>
      </w:r>
      <w:r>
        <w:t xml:space="preserve">ssessment </w:t>
      </w:r>
      <w:r w:rsidR="004C6BE3">
        <w:t>teams</w:t>
      </w:r>
      <w:bookmarkEnd w:id="136"/>
      <w:bookmarkEnd w:id="139"/>
    </w:p>
    <w:p w14:paraId="795BD2A4" w14:textId="36106163" w:rsidR="00601F52" w:rsidRPr="008D2A52" w:rsidRDefault="00ED631B" w:rsidP="00856600">
      <w:pPr>
        <w:spacing w:before="240" w:after="240" w:line="240" w:lineRule="auto"/>
      </w:pPr>
      <w:bookmarkStart w:id="140" w:name="_Hlk131165099"/>
      <w:r w:rsidRPr="008D2A52">
        <w:t xml:space="preserve">The </w:t>
      </w:r>
      <w:r w:rsidR="00F50C2F" w:rsidRPr="0061553C">
        <w:t xml:space="preserve">My Aged Care Workforce Learning Strategy </w:t>
      </w:r>
      <w:r w:rsidRPr="008D2A52">
        <w:t xml:space="preserve">(Workforce Learning Strategy), defines and sets the </w:t>
      </w:r>
      <w:r w:rsidR="00601F52">
        <w:t>mandatory</w:t>
      </w:r>
      <w:r w:rsidR="00854FFC">
        <w:t>,</w:t>
      </w:r>
      <w:r w:rsidRPr="008D2A52">
        <w:t xml:space="preserve"> minimum training requirement for the Single Assessment System workforce and the My Aged Care workforce, including timeframes for completion. </w:t>
      </w:r>
      <w:r w:rsidR="00601F52">
        <w:t xml:space="preserve">Training occurs as part of the staff members induction into the assessment organisation. Some roles have mandatory credential requirements. Details of these </w:t>
      </w:r>
      <w:r w:rsidR="4F44890B">
        <w:t>qualification</w:t>
      </w:r>
      <w:r w:rsidR="00601F52">
        <w:t xml:space="preserve"> requirements are provided in </w:t>
      </w:r>
      <w:r w:rsidR="00CE2ABA">
        <w:t xml:space="preserve">Appendix </w:t>
      </w:r>
      <w:r w:rsidR="00471131">
        <w:t>F</w:t>
      </w:r>
      <w:r w:rsidR="00601F52">
        <w:t xml:space="preserve">. The assessment organisation is responsible for validating that each person has the required </w:t>
      </w:r>
      <w:r w:rsidR="3077D119">
        <w:t xml:space="preserve">qualifications </w:t>
      </w:r>
      <w:r w:rsidR="00601F52">
        <w:t xml:space="preserve">for their role before requesting registration for training. </w:t>
      </w:r>
    </w:p>
    <w:p w14:paraId="2ADE2AD6" w14:textId="2D74F44C" w:rsidR="00ED631B" w:rsidRPr="008D2A52" w:rsidRDefault="00601F52" w:rsidP="00856600">
      <w:pPr>
        <w:spacing w:before="240" w:after="240" w:line="240" w:lineRule="auto"/>
      </w:pPr>
      <w:r w:rsidRPr="00336C07">
        <w:t>The department and assessment organisations are jointly responsible for training assessment organisation staff</w:t>
      </w:r>
      <w:r>
        <w:t xml:space="preserve">. </w:t>
      </w:r>
      <w:r w:rsidR="00ED631B" w:rsidRPr="008D2A52">
        <w:t xml:space="preserve">The Workforce Learning Strategy explains the blended approach to mandatory training requirements including on-line training, on-the-job learning and learner appraisal. This approach also acknowledges existing knowledge and skills of the workforce, and that learning is ongoing. </w:t>
      </w:r>
    </w:p>
    <w:p w14:paraId="281E15AE" w14:textId="38E8A88A" w:rsidR="00ED631B" w:rsidRPr="008D2A52" w:rsidRDefault="00ED631B" w:rsidP="00856600">
      <w:pPr>
        <w:spacing w:before="240" w:after="240" w:line="240" w:lineRule="auto"/>
        <w:rPr>
          <w:lang w:eastAsia="en-US"/>
        </w:rPr>
      </w:pPr>
      <w:r w:rsidRPr="008D2A52">
        <w:t xml:space="preserve">To complement the Workforce Learning Strategy, a </w:t>
      </w:r>
      <w:r w:rsidR="00F50C2F">
        <w:t xml:space="preserve">My Aged Care </w:t>
      </w:r>
      <w:r w:rsidR="00F50C2F" w:rsidRPr="0061553C">
        <w:t>Quality Learning Framework</w:t>
      </w:r>
      <w:r w:rsidRPr="008D2A52">
        <w:t xml:space="preserve"> </w:t>
      </w:r>
      <w:r w:rsidRPr="008D2A52">
        <w:rPr>
          <w:lang w:eastAsia="en-US"/>
        </w:rPr>
        <w:t>establishes processes by which the My Aged Care workforce can attain and maintain the capabilities they require, including the mechanisms by which capabilities are verified through on-line learning, on-the-job training, and learner appraisals. It defines the</w:t>
      </w:r>
      <w:r w:rsidR="00F50C2F">
        <w:rPr>
          <w:lang w:eastAsia="en-US"/>
        </w:rPr>
        <w:t xml:space="preserve"> learning</w:t>
      </w:r>
      <w:r w:rsidRPr="008D2A52">
        <w:rPr>
          <w:lang w:eastAsia="en-US"/>
        </w:rPr>
        <w:t xml:space="preserve"> quality standards and guidelines that govern the implementation of the minimum training requirements through a blended model of learning and training.</w:t>
      </w:r>
    </w:p>
    <w:bookmarkEnd w:id="140"/>
    <w:p w14:paraId="2532880F" w14:textId="69F46E76" w:rsidR="00ED631B" w:rsidRPr="008D2A52" w:rsidRDefault="00ED631B" w:rsidP="00C56CEC">
      <w:pPr>
        <w:pStyle w:val="H3"/>
      </w:pPr>
      <w:r w:rsidRPr="008D2A52">
        <w:t xml:space="preserve">Training </w:t>
      </w:r>
      <w:r w:rsidR="004672E5">
        <w:t>d</w:t>
      </w:r>
      <w:r w:rsidRPr="008D2A52">
        <w:t>elivery</w:t>
      </w:r>
    </w:p>
    <w:p w14:paraId="1E9A64BE" w14:textId="1F61889F" w:rsidR="00ED631B" w:rsidRPr="00987B60" w:rsidRDefault="00ED631B" w:rsidP="00856600">
      <w:pPr>
        <w:spacing w:before="240" w:after="240" w:line="240" w:lineRule="auto"/>
        <w:rPr>
          <w:rStyle w:val="Hyperlink"/>
          <w:rFonts w:eastAsia="Calibri" w:cs="Times New Roman"/>
          <w:lang w:eastAsia="en-US"/>
        </w:rPr>
      </w:pPr>
      <w:r w:rsidRPr="008D2A52">
        <w:t xml:space="preserve">Assessment organisations are responsible for ensuring their workforce undertake relevant minimum </w:t>
      </w:r>
      <w:r>
        <w:t xml:space="preserve">mandatory </w:t>
      </w:r>
      <w:r w:rsidRPr="008D2A52">
        <w:t>training requirements</w:t>
      </w:r>
      <w:r w:rsidRPr="00A06C3A">
        <w:t xml:space="preserve">. </w:t>
      </w:r>
      <w:r w:rsidRPr="00A06C3A">
        <w:rPr>
          <w:rStyle w:val="Hyperlink"/>
          <w:rFonts w:eastAsia="Calibri" w:cs="Times New Roman"/>
          <w:color w:val="000000" w:themeColor="text1"/>
          <w:u w:val="none"/>
          <w:lang w:eastAsia="en-US"/>
        </w:rPr>
        <w:t>Learners must complete the training that is relevant to their role</w:t>
      </w:r>
      <w:r w:rsidR="00845C70">
        <w:rPr>
          <w:rStyle w:val="Hyperlink"/>
          <w:rFonts w:eastAsia="Calibri" w:cs="Times New Roman"/>
          <w:color w:val="000000" w:themeColor="text1"/>
          <w:u w:val="none"/>
          <w:lang w:eastAsia="en-US"/>
        </w:rPr>
        <w:t>, and all roles held (if multiple)</w:t>
      </w:r>
      <w:r w:rsidRPr="00A06C3A">
        <w:rPr>
          <w:rStyle w:val="Hyperlink"/>
          <w:rFonts w:eastAsia="Calibri" w:cs="Times New Roman"/>
          <w:color w:val="000000" w:themeColor="text1"/>
          <w:u w:val="none"/>
          <w:lang w:eastAsia="en-US"/>
        </w:rPr>
        <w:t xml:space="preserve">. Training is only available to people who are working in an assessment organisation that delivers that service. The department will consider exceptions for operational requirements. To find out more email </w:t>
      </w:r>
      <w:hyperlink r:id="rId57">
        <w:r w:rsidRPr="00A06C3A">
          <w:rPr>
            <w:rStyle w:val="Hyperlink"/>
            <w:rFonts w:eastAsia="Calibri" w:cs="Times New Roman"/>
            <w:u w:val="none"/>
            <w:lang w:eastAsia="en-US"/>
          </w:rPr>
          <w:t>myagedcare.capability@health.gov.au</w:t>
        </w:r>
      </w:hyperlink>
    </w:p>
    <w:p w14:paraId="241796D4" w14:textId="77777777" w:rsidR="00ED631B" w:rsidRPr="008D2A52" w:rsidRDefault="00ED631B" w:rsidP="00856600">
      <w:pPr>
        <w:spacing w:before="240" w:after="240" w:line="240" w:lineRule="auto"/>
      </w:pPr>
      <w:r w:rsidRPr="008D2A52">
        <w:t xml:space="preserve">The department delivers learning and supports training through a learning management system called MAClearning. The MAClearning platform supports delivery of minimum training requirements described in the Workforce Learning Strategy, supported by guides that outline the requirements for successful completion. </w:t>
      </w:r>
    </w:p>
    <w:p w14:paraId="380219A2" w14:textId="5C29A749" w:rsidR="00ED631B" w:rsidRPr="008D2A52" w:rsidRDefault="00ED631B" w:rsidP="00856600">
      <w:pPr>
        <w:spacing w:before="240" w:after="240" w:line="240" w:lineRule="auto"/>
      </w:pPr>
      <w:r w:rsidRPr="008D2A52">
        <w:t xml:space="preserve">Access to MAClearning is provided by the department. Workplace trainers and operational managers are responsible for providing the details of new learners to the department for registration on MAClearning. Registration requests should be sent to </w:t>
      </w:r>
      <w:hyperlink r:id="rId58">
        <w:r w:rsidRPr="008D2A52">
          <w:rPr>
            <w:rStyle w:val="Hyperlink"/>
          </w:rPr>
          <w:t>maclearninghelp@Health.gov.au</w:t>
        </w:r>
      </w:hyperlink>
      <w:r w:rsidRPr="008D2A52">
        <w:t>.</w:t>
      </w:r>
    </w:p>
    <w:p w14:paraId="439E34CB" w14:textId="77777777" w:rsidR="00ED631B" w:rsidRPr="008D2A52" w:rsidRDefault="00ED631B" w:rsidP="00856600">
      <w:pPr>
        <w:spacing w:before="240" w:after="240" w:line="240" w:lineRule="auto"/>
      </w:pPr>
      <w:r w:rsidRPr="008D2A52">
        <w:t xml:space="preserve">Delegates are also required to complete specified delegate training through the MAClearning system. </w:t>
      </w:r>
    </w:p>
    <w:p w14:paraId="275C1A87" w14:textId="77777777" w:rsidR="00ED631B" w:rsidRPr="008D2A52" w:rsidRDefault="00ED631B" w:rsidP="00856600">
      <w:pPr>
        <w:spacing w:before="240" w:after="240" w:line="240" w:lineRule="auto"/>
      </w:pPr>
      <w:r w:rsidRPr="008D2A52">
        <w:t xml:space="preserve">From time to time, the department may require assessors to undertake additional training when changes are made to programs, policies or processes. Generally, this training will be provided through MAClearning. </w:t>
      </w:r>
    </w:p>
    <w:tbl>
      <w:tblPr>
        <w:tblW w:w="0" w:type="auto"/>
        <w:tblLook w:val="04A0" w:firstRow="1" w:lastRow="0" w:firstColumn="1" w:lastColumn="0" w:noHBand="0" w:noVBand="1"/>
      </w:tblPr>
      <w:tblGrid>
        <w:gridCol w:w="981"/>
        <w:gridCol w:w="7785"/>
      </w:tblGrid>
      <w:tr w:rsidR="00ED631B" w14:paraId="7DE214AC" w14:textId="77777777">
        <w:tc>
          <w:tcPr>
            <w:tcW w:w="988" w:type="dxa"/>
          </w:tcPr>
          <w:p w14:paraId="13726B29" w14:textId="77777777" w:rsidR="00ED631B" w:rsidRPr="008D2A52" w:rsidRDefault="00ED631B" w:rsidP="00856600">
            <w:pPr>
              <w:spacing w:before="240" w:after="240" w:line="240" w:lineRule="auto"/>
            </w:pPr>
            <w:r w:rsidRPr="008D2A52">
              <w:rPr>
                <w:noProof/>
              </w:rPr>
              <w:drawing>
                <wp:inline distT="0" distB="0" distL="0" distR="0" wp14:anchorId="0AB5FBE1" wp14:editId="028CB03F">
                  <wp:extent cx="383111" cy="381000"/>
                  <wp:effectExtent l="0" t="0" r="0" b="0"/>
                  <wp:docPr id="2032758151" name="Picture 203275815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785CDA0" w14:textId="3249AA1E" w:rsidR="00ED631B" w:rsidRPr="008D2A52" w:rsidRDefault="00ED631B" w:rsidP="00856600">
            <w:pPr>
              <w:pStyle w:val="ListParagraph"/>
              <w:numPr>
                <w:ilvl w:val="0"/>
                <w:numId w:val="40"/>
              </w:numPr>
              <w:spacing w:before="240" w:after="240" w:line="240" w:lineRule="auto"/>
              <w:rPr>
                <w:szCs w:val="22"/>
              </w:rPr>
            </w:pPr>
            <w:hyperlink r:id="rId59" w:history="1">
              <w:r w:rsidRPr="008D2A52">
                <w:rPr>
                  <w:rStyle w:val="Hyperlink"/>
                  <w:szCs w:val="22"/>
                </w:rPr>
                <w:t xml:space="preserve">My Aged Care Workforce Learning Strategy </w:t>
              </w:r>
            </w:hyperlink>
            <w:r w:rsidRPr="008D2A52">
              <w:rPr>
                <w:szCs w:val="22"/>
              </w:rPr>
              <w:t xml:space="preserve">  </w:t>
            </w:r>
          </w:p>
          <w:p w14:paraId="532E42C6" w14:textId="77777777" w:rsidR="00ED631B" w:rsidRPr="008D2A52" w:rsidRDefault="00ED631B" w:rsidP="00856600">
            <w:pPr>
              <w:pStyle w:val="ListParagraph"/>
              <w:numPr>
                <w:ilvl w:val="0"/>
                <w:numId w:val="40"/>
              </w:numPr>
              <w:spacing w:before="240" w:after="240" w:line="240" w:lineRule="auto"/>
              <w:rPr>
                <w:szCs w:val="22"/>
              </w:rPr>
            </w:pPr>
            <w:hyperlink r:id="rId60" w:history="1">
              <w:r w:rsidRPr="008D2A52">
                <w:rPr>
                  <w:rStyle w:val="Hyperlink"/>
                  <w:szCs w:val="22"/>
                </w:rPr>
                <w:t>My Aged Care Quality Learning Framework</w:t>
              </w:r>
            </w:hyperlink>
          </w:p>
          <w:p w14:paraId="30C482FE" w14:textId="77777777" w:rsidR="00ED631B" w:rsidRPr="008D2A52" w:rsidRDefault="00ED631B" w:rsidP="00856600">
            <w:pPr>
              <w:pStyle w:val="ListParagraph"/>
              <w:numPr>
                <w:ilvl w:val="0"/>
                <w:numId w:val="40"/>
              </w:numPr>
              <w:spacing w:before="240" w:after="240" w:line="240" w:lineRule="auto"/>
            </w:pPr>
            <w:hyperlink r:id="rId61" w:history="1">
              <w:r w:rsidRPr="008D2A52">
                <w:rPr>
                  <w:rStyle w:val="Hyperlink"/>
                  <w:szCs w:val="22"/>
                </w:rPr>
                <w:t>New training and learning system for My Aged Care workforce</w:t>
              </w:r>
            </w:hyperlink>
          </w:p>
        </w:tc>
      </w:tr>
    </w:tbl>
    <w:p w14:paraId="67061B2A" w14:textId="77777777" w:rsidR="00ED631B" w:rsidRPr="00F8729E" w:rsidRDefault="00ED631B" w:rsidP="00507F9D">
      <w:pPr>
        <w:pStyle w:val="h2"/>
      </w:pPr>
      <w:bookmarkStart w:id="141" w:name="_Assessment_Quality"/>
      <w:bookmarkStart w:id="142" w:name="_Toc184402256"/>
      <w:bookmarkStart w:id="143" w:name="_Toc204329499"/>
      <w:bookmarkStart w:id="144" w:name="_Toc209188953"/>
      <w:bookmarkStart w:id="145" w:name="_Toc224916620"/>
      <w:bookmarkStart w:id="146" w:name="_Toc198813648"/>
      <w:bookmarkStart w:id="147" w:name="CH1_AssessmentQuality"/>
      <w:bookmarkEnd w:id="137"/>
      <w:bookmarkEnd w:id="138"/>
      <w:bookmarkEnd w:id="141"/>
      <w:r w:rsidRPr="00F8729E">
        <w:t>The single assessment pathway</w:t>
      </w:r>
      <w:bookmarkEnd w:id="142"/>
      <w:bookmarkEnd w:id="143"/>
      <w:bookmarkEnd w:id="144"/>
      <w:bookmarkEnd w:id="145"/>
    </w:p>
    <w:p w14:paraId="704D0E65" w14:textId="4EBB1908" w:rsidR="00ED631B" w:rsidRDefault="00ED631B" w:rsidP="00856600">
      <w:pPr>
        <w:pStyle w:val="NumberedList"/>
        <w:spacing w:before="240" w:after="240" w:line="240" w:lineRule="auto"/>
        <w:rPr>
          <w:lang w:val="en-AU"/>
        </w:rPr>
      </w:pPr>
      <w:r w:rsidRPr="311F21DB">
        <w:rPr>
          <w:lang w:val="en-US"/>
        </w:rPr>
        <w:t xml:space="preserve">On entry into My Aged Care, an assessment referral </w:t>
      </w:r>
      <w:r>
        <w:rPr>
          <w:lang w:val="en-US"/>
        </w:rPr>
        <w:t xml:space="preserve">is made (following screening) </w:t>
      </w:r>
      <w:r w:rsidRPr="311F21DB">
        <w:rPr>
          <w:lang w:val="en-US"/>
        </w:rPr>
        <w:t>to an assessment organisation</w:t>
      </w:r>
      <w:r>
        <w:rPr>
          <w:lang w:val="en-US"/>
        </w:rPr>
        <w:t xml:space="preserve"> for the older person</w:t>
      </w:r>
      <w:r w:rsidRPr="311F21DB">
        <w:rPr>
          <w:lang w:val="en-US"/>
        </w:rPr>
        <w:t xml:space="preserve">. </w:t>
      </w:r>
      <w:r>
        <w:rPr>
          <w:lang w:val="en-US"/>
        </w:rPr>
        <w:t xml:space="preserve">Once </w:t>
      </w:r>
      <w:r w:rsidRPr="311F21DB">
        <w:rPr>
          <w:lang w:val="en-US"/>
        </w:rPr>
        <w:t xml:space="preserve">an assessment referral </w:t>
      </w:r>
      <w:r>
        <w:rPr>
          <w:lang w:val="en-US"/>
        </w:rPr>
        <w:t>has been</w:t>
      </w:r>
      <w:r w:rsidRPr="311F21DB">
        <w:rPr>
          <w:lang w:val="en-US"/>
        </w:rPr>
        <w:t xml:space="preserve"> accepted by an assessment organisation,</w:t>
      </w:r>
      <w:r w:rsidRPr="00F4175D">
        <w:rPr>
          <w:lang w:val="en-AU"/>
        </w:rPr>
        <w:t xml:space="preserve"> </w:t>
      </w:r>
      <w:r w:rsidR="00516348">
        <w:rPr>
          <w:lang w:val="en-AU"/>
        </w:rPr>
        <w:t>older people</w:t>
      </w:r>
      <w:r w:rsidR="00976FFC">
        <w:rPr>
          <w:lang w:val="en-AU"/>
        </w:rPr>
        <w:t>’s</w:t>
      </w:r>
      <w:r w:rsidRPr="00F4175D">
        <w:rPr>
          <w:lang w:val="en-AU"/>
        </w:rPr>
        <w:t xml:space="preserve"> care needs will be triaged by a clinical</w:t>
      </w:r>
      <w:r>
        <w:rPr>
          <w:lang w:val="en-AU"/>
        </w:rPr>
        <w:t>ly trained T</w:t>
      </w:r>
      <w:r w:rsidRPr="00F4175D">
        <w:rPr>
          <w:lang w:val="en-AU"/>
        </w:rPr>
        <w:t xml:space="preserve">riage </w:t>
      </w:r>
      <w:r>
        <w:rPr>
          <w:lang w:val="en-AU"/>
        </w:rPr>
        <w:t>D</w:t>
      </w:r>
      <w:r w:rsidRPr="00F4175D">
        <w:rPr>
          <w:lang w:val="en-AU"/>
        </w:rPr>
        <w:t>elegate who will</w:t>
      </w:r>
      <w:r>
        <w:rPr>
          <w:lang w:val="en-AU"/>
        </w:rPr>
        <w:t xml:space="preserve"> make a decision on a person’s eligibility for an aged care needs assessment and, if eligible,</w:t>
      </w:r>
      <w:r w:rsidRPr="00F4175D">
        <w:rPr>
          <w:lang w:val="en-AU"/>
        </w:rPr>
        <w:t xml:space="preserve"> ensure that the assessment type they are referred to is proportionate to their needs and level of complexity. </w:t>
      </w:r>
    </w:p>
    <w:p w14:paraId="572E275C" w14:textId="6B72B953" w:rsidR="00ED631B" w:rsidRDefault="11D1E7D4" w:rsidP="00856600">
      <w:pPr>
        <w:spacing w:before="240" w:after="240" w:line="240" w:lineRule="auto"/>
      </w:pPr>
      <w:r>
        <w:t xml:space="preserve">Upon accepting an assessment referral, </w:t>
      </w:r>
      <w:r w:rsidR="630846CE">
        <w:t xml:space="preserve">assessment organisations </w:t>
      </w:r>
      <w:r>
        <w:t>are expected to actively engage with the older person as well as their support networks. This may include</w:t>
      </w:r>
      <w:r w:rsidR="1474CCBB">
        <w:t>,</w:t>
      </w:r>
      <w:r>
        <w:t xml:space="preserve"> but </w:t>
      </w:r>
      <w:r w:rsidR="1474CCBB">
        <w:t xml:space="preserve">is </w:t>
      </w:r>
      <w:r>
        <w:t xml:space="preserve">not limited to, Elder Care Support </w:t>
      </w:r>
      <w:r w:rsidR="28DB2DB3">
        <w:t>s</w:t>
      </w:r>
      <w:r>
        <w:t>taff, care finders, aged care providers, GPs, Aboriginal Community Controlled Health Organisations, social workers, and other relevant parties who may have facilitated the older person to access the aged care system</w:t>
      </w:r>
      <w:r w:rsidR="345104FF">
        <w:t>. This engagement aims to</w:t>
      </w:r>
      <w:r w:rsidR="785F3607">
        <w:t xml:space="preserve"> develop</w:t>
      </w:r>
      <w:r w:rsidR="16AF25B0">
        <w:t xml:space="preserve"> </w:t>
      </w:r>
      <w:r w:rsidR="00BB197E">
        <w:t>a comprehensive</w:t>
      </w:r>
      <w:r>
        <w:t xml:space="preserve"> understand</w:t>
      </w:r>
      <w:r w:rsidR="16AF25B0">
        <w:t>ing of</w:t>
      </w:r>
      <w:r>
        <w:t xml:space="preserve"> the needs of the older Aboriginal and Torres Strait Islander person. </w:t>
      </w:r>
      <w:r w:rsidR="011604D2">
        <w:t xml:space="preserve"> </w:t>
      </w:r>
      <w:r w:rsidR="4454D86E">
        <w:t>A</w:t>
      </w:r>
      <w:r w:rsidR="011604D2">
        <w:t xml:space="preserve">ssessment </w:t>
      </w:r>
      <w:r w:rsidR="00C92ABD">
        <w:t>o</w:t>
      </w:r>
      <w:r w:rsidR="011604D2">
        <w:t>rganisations are expected to maintain regular contact with the client while the assessment remains active to maintain continuity and build rapport. The Aboriginal and Torres Strait Islander Aged Care Framework highlights that aged care assessment should be delivered in a cultura</w:t>
      </w:r>
      <w:r w:rsidR="007E52D4">
        <w:t>l</w:t>
      </w:r>
      <w:r w:rsidR="011604D2">
        <w:t>l</w:t>
      </w:r>
      <w:r w:rsidR="007E52D4">
        <w:t>y</w:t>
      </w:r>
      <w:r w:rsidR="011604D2">
        <w:t xml:space="preserve"> safe manner while also empowering older people to engage with the aged care system and receive services that commensurate with their needs. This ongoing engagement helps foster trust, ensures the client feels supported throughout the process, and contributes to a more accurate and respectful assessment outcome.</w:t>
      </w:r>
    </w:p>
    <w:p w14:paraId="20A8D934" w14:textId="77777777" w:rsidR="00ED631B" w:rsidRPr="005A4665" w:rsidRDefault="00ED631B" w:rsidP="00856600">
      <w:pPr>
        <w:spacing w:before="240" w:after="240" w:line="240" w:lineRule="auto"/>
      </w:pPr>
      <w:r w:rsidRPr="00F61457">
        <w:t xml:space="preserve">Establishing these connections </w:t>
      </w:r>
      <w:r w:rsidRPr="00130357">
        <w:t xml:space="preserve">will help </w:t>
      </w:r>
      <w:r w:rsidRPr="00F61457">
        <w:t>build a more comprehensive understanding of the older person’s needs. This also</w:t>
      </w:r>
      <w:r w:rsidRPr="00130357" w:rsidDel="00882907">
        <w:t xml:space="preserve"> </w:t>
      </w:r>
      <w:r w:rsidRPr="00130357">
        <w:t>minimise</w:t>
      </w:r>
      <w:r w:rsidRPr="00F61457">
        <w:t>s</w:t>
      </w:r>
      <w:r w:rsidRPr="00130357">
        <w:t xml:space="preserve"> the need </w:t>
      </w:r>
      <w:r w:rsidRPr="00F61457">
        <w:t xml:space="preserve">for </w:t>
      </w:r>
      <w:r>
        <w:t xml:space="preserve">the </w:t>
      </w:r>
      <w:r w:rsidRPr="00F61457">
        <w:t>client to repeat their stor</w:t>
      </w:r>
      <w:r>
        <w:t>y</w:t>
      </w:r>
      <w:r w:rsidRPr="00F61457">
        <w:t xml:space="preserve"> or answer common </w:t>
      </w:r>
      <w:r w:rsidRPr="00130357">
        <w:t>questions multiple times</w:t>
      </w:r>
      <w:r w:rsidRPr="00F61457">
        <w:t xml:space="preserve"> which helps to reduce stress</w:t>
      </w:r>
      <w:r>
        <w:t>,</w:t>
      </w:r>
      <w:r w:rsidRPr="00F61457">
        <w:t xml:space="preserve"> </w:t>
      </w:r>
      <w:r>
        <w:t xml:space="preserve">thereby </w:t>
      </w:r>
      <w:r w:rsidRPr="00F61457">
        <w:t>improving the overall assessment experience</w:t>
      </w:r>
      <w:r w:rsidRPr="00130357">
        <w:t>.</w:t>
      </w:r>
      <w:r w:rsidRPr="005A4665">
        <w:t xml:space="preserve"> </w:t>
      </w:r>
    </w:p>
    <w:p w14:paraId="08A15F22" w14:textId="77777777" w:rsidR="00ED631B" w:rsidRDefault="00ED631B" w:rsidP="00856600">
      <w:pPr>
        <w:pStyle w:val="NumberedList"/>
        <w:spacing w:before="240" w:after="240" w:line="240" w:lineRule="auto"/>
        <w:rPr>
          <w:lang w:val="en-US"/>
        </w:rPr>
      </w:pPr>
      <w:r>
        <w:rPr>
          <w:lang w:val="en-US"/>
        </w:rPr>
        <w:t>Older people</w:t>
      </w:r>
      <w:r w:rsidRPr="311F21DB">
        <w:rPr>
          <w:lang w:val="en-US"/>
        </w:rPr>
        <w:t xml:space="preserve"> with entry level needs are assigned for a home support assessment and those with more complex needs are assigned for a comprehensive assessment. </w:t>
      </w:r>
    </w:p>
    <w:p w14:paraId="615C5883" w14:textId="2C8446AA" w:rsidR="00ED631B" w:rsidRDefault="001444AF" w:rsidP="00856600">
      <w:pPr>
        <w:pStyle w:val="NumberedList"/>
        <w:spacing w:before="240" w:after="240" w:line="240" w:lineRule="auto"/>
      </w:pPr>
      <w:r>
        <w:rPr>
          <w:lang w:val="en-US"/>
        </w:rPr>
        <w:t>All a</w:t>
      </w:r>
      <w:r w:rsidR="00ED631B" w:rsidRPr="788C6002">
        <w:rPr>
          <w:lang w:val="en-US"/>
        </w:rPr>
        <w:t xml:space="preserve">ssessment </w:t>
      </w:r>
      <w:r w:rsidR="00523B80">
        <w:rPr>
          <w:lang w:val="en-US"/>
        </w:rPr>
        <w:t>o</w:t>
      </w:r>
      <w:r w:rsidR="00523B80" w:rsidRPr="788C6002">
        <w:rPr>
          <w:lang w:val="en-US"/>
        </w:rPr>
        <w:t xml:space="preserve">rganisations </w:t>
      </w:r>
      <w:r w:rsidR="00523B80">
        <w:rPr>
          <w:lang w:val="en-US"/>
        </w:rPr>
        <w:t>may</w:t>
      </w:r>
      <w:r w:rsidR="00ED631B" w:rsidRPr="788C6002">
        <w:rPr>
          <w:lang w:val="en-US"/>
        </w:rPr>
        <w:t xml:space="preserve"> deliver assessments through subcontracting arrangements subject to approval from the </w:t>
      </w:r>
      <w:r w:rsidR="00ED631B">
        <w:rPr>
          <w:lang w:val="en-US"/>
        </w:rPr>
        <w:t>department</w:t>
      </w:r>
      <w:r w:rsidR="00ED631B" w:rsidRPr="788C6002">
        <w:rPr>
          <w:lang w:val="en-US"/>
        </w:rPr>
        <w:t>.</w:t>
      </w:r>
    </w:p>
    <w:p w14:paraId="2EBC7C46" w14:textId="110E8BE3" w:rsidR="00ED631B" w:rsidRPr="006B1853" w:rsidRDefault="00ED631B" w:rsidP="00C56CEC">
      <w:pPr>
        <w:pStyle w:val="H3"/>
      </w:pPr>
      <w:bookmarkStart w:id="148" w:name="_Toc184402257"/>
      <w:bookmarkStart w:id="149" w:name="_Toc204329500"/>
      <w:r w:rsidRPr="006B1853">
        <w:t>Home support assessments</w:t>
      </w:r>
      <w:bookmarkEnd w:id="148"/>
      <w:bookmarkEnd w:id="149"/>
    </w:p>
    <w:p w14:paraId="0FF84560" w14:textId="503BA15A" w:rsidR="00ED631B" w:rsidRDefault="00624C07" w:rsidP="00856600">
      <w:pPr>
        <w:pStyle w:val="NumberedList"/>
        <w:spacing w:before="240" w:after="240" w:line="240" w:lineRule="auto"/>
        <w:rPr>
          <w:lang w:val="en-US"/>
        </w:rPr>
      </w:pPr>
      <w:r>
        <w:rPr>
          <w:lang w:val="en-US"/>
        </w:rPr>
        <w:t xml:space="preserve">Non-clinical assessors undertake home support assessments of an older person’s care needs under the </w:t>
      </w:r>
      <w:r w:rsidRPr="007B6251">
        <w:rPr>
          <w:i/>
          <w:lang w:val="en-US"/>
        </w:rPr>
        <w:t>Aged Care Act 2024</w:t>
      </w:r>
      <w:r>
        <w:rPr>
          <w:lang w:val="en-US"/>
        </w:rPr>
        <w:t>. Non-clinical assessors use</w:t>
      </w:r>
      <w:r w:rsidR="00ED631B">
        <w:rPr>
          <w:lang w:val="en-US"/>
        </w:rPr>
        <w:t xml:space="preserve"> </w:t>
      </w:r>
      <w:r w:rsidR="00ED631B" w:rsidRPr="311F21DB">
        <w:rPr>
          <w:lang w:val="en-US"/>
        </w:rPr>
        <w:t xml:space="preserve">the IAT to enable nationally consistent assessment services. Home support assessments are appropriate for older </w:t>
      </w:r>
      <w:r w:rsidR="00ED631B">
        <w:rPr>
          <w:lang w:val="en-US"/>
        </w:rPr>
        <w:t>people</w:t>
      </w:r>
      <w:r w:rsidR="00ED631B" w:rsidRPr="311F21DB">
        <w:rPr>
          <w:lang w:val="en-US"/>
        </w:rPr>
        <w:t xml:space="preserve"> who have entry level </w:t>
      </w:r>
      <w:r w:rsidR="00D372B2">
        <w:rPr>
          <w:lang w:val="en-US"/>
        </w:rPr>
        <w:t xml:space="preserve">care </w:t>
      </w:r>
      <w:r w:rsidR="00ED631B" w:rsidRPr="311F21DB">
        <w:rPr>
          <w:lang w:val="en-US"/>
        </w:rPr>
        <w:t xml:space="preserve">needs. </w:t>
      </w:r>
    </w:p>
    <w:p w14:paraId="428A3357" w14:textId="06BDEFA9" w:rsidR="00ED631B" w:rsidRDefault="00ED631B" w:rsidP="00856600">
      <w:pPr>
        <w:pStyle w:val="NumberedList"/>
        <w:spacing w:before="240" w:after="240" w:line="240" w:lineRule="auto"/>
        <w:rPr>
          <w:lang w:val="en-US"/>
        </w:rPr>
      </w:pPr>
      <w:r w:rsidRPr="5B8D1905">
        <w:rPr>
          <w:lang w:val="en-US"/>
        </w:rPr>
        <w:t>A home support assessment builds on the information collected during registration</w:t>
      </w:r>
      <w:r>
        <w:rPr>
          <w:lang w:val="en-US"/>
        </w:rPr>
        <w:t xml:space="preserve">, </w:t>
      </w:r>
      <w:r w:rsidRPr="5B8D1905">
        <w:rPr>
          <w:lang w:val="en-US"/>
        </w:rPr>
        <w:t xml:space="preserve">screening, and triage to determine </w:t>
      </w:r>
      <w:r w:rsidRPr="44A070D8">
        <w:rPr>
          <w:lang w:val="en-US"/>
        </w:rPr>
        <w:t>an</w:t>
      </w:r>
      <w:r w:rsidRPr="5B8D1905">
        <w:rPr>
          <w:lang w:val="en-US"/>
        </w:rPr>
        <w:t xml:space="preserve"> </w:t>
      </w:r>
      <w:r>
        <w:rPr>
          <w:lang w:val="en-US"/>
        </w:rPr>
        <w:t>older person</w:t>
      </w:r>
      <w:r w:rsidRPr="5B8D1905">
        <w:rPr>
          <w:lang w:val="en-US"/>
        </w:rPr>
        <w:t xml:space="preserve">’s eligibility to receive </w:t>
      </w:r>
      <w:r>
        <w:rPr>
          <w:lang w:val="en-US"/>
        </w:rPr>
        <w:t>aged care</w:t>
      </w:r>
      <w:r w:rsidRPr="5B8D1905">
        <w:rPr>
          <w:lang w:val="en-US"/>
        </w:rPr>
        <w:t xml:space="preserve"> services. Home support assessments are conducted face-to-face when safe to do so in the </w:t>
      </w:r>
      <w:r>
        <w:rPr>
          <w:lang w:val="en-US"/>
        </w:rPr>
        <w:t>older person’s</w:t>
      </w:r>
      <w:r w:rsidRPr="5B8D1905">
        <w:rPr>
          <w:lang w:val="en-US"/>
        </w:rPr>
        <w:t xml:space="preserve"> usual </w:t>
      </w:r>
      <w:r>
        <w:rPr>
          <w:lang w:val="en-US"/>
        </w:rPr>
        <w:t xml:space="preserve">home </w:t>
      </w:r>
      <w:r w:rsidRPr="5B8D1905">
        <w:rPr>
          <w:lang w:val="en-US"/>
        </w:rPr>
        <w:t xml:space="preserve">setting. </w:t>
      </w:r>
      <w:r w:rsidR="008F7F7B" w:rsidRPr="00FB7F58">
        <w:t xml:space="preserve">This will assist with </w:t>
      </w:r>
      <w:r w:rsidR="008F7F7B">
        <w:t xml:space="preserve">the </w:t>
      </w:r>
      <w:r w:rsidR="008F7F7B" w:rsidRPr="00FB7F58">
        <w:t>environmental, physical,</w:t>
      </w:r>
      <w:r w:rsidR="008F7F7B">
        <w:t xml:space="preserve"> and </w:t>
      </w:r>
      <w:r w:rsidR="008F7F7B" w:rsidRPr="00FB7F58">
        <w:t xml:space="preserve">social components of the assessment </w:t>
      </w:r>
      <w:r w:rsidR="008F7F7B">
        <w:t>as the assess</w:t>
      </w:r>
      <w:r w:rsidR="00693556">
        <w:t>or</w:t>
      </w:r>
      <w:r w:rsidR="008F7F7B">
        <w:t xml:space="preserve"> could </w:t>
      </w:r>
      <w:r w:rsidR="008F7F7B" w:rsidRPr="00FB7F58">
        <w:t>observ</w:t>
      </w:r>
      <w:r w:rsidR="008F7F7B">
        <w:t>e</w:t>
      </w:r>
      <w:r w:rsidR="008F7F7B" w:rsidRPr="00FB7F58">
        <w:t xml:space="preserve"> the client’s level of independence, functioning, and existing support arrangements</w:t>
      </w:r>
      <w:r w:rsidR="008F7F7B">
        <w:t>.</w:t>
      </w:r>
      <w:r w:rsidR="00C53BDF">
        <w:t xml:space="preserve"> </w:t>
      </w:r>
      <w:r w:rsidRPr="5B8D1905">
        <w:rPr>
          <w:lang w:val="en-US"/>
        </w:rPr>
        <w:t xml:space="preserve">After the assessment, the </w:t>
      </w:r>
      <w:r>
        <w:rPr>
          <w:lang w:val="en-US"/>
        </w:rPr>
        <w:t>assessor</w:t>
      </w:r>
      <w:r w:rsidRPr="5B8D1905">
        <w:rPr>
          <w:lang w:val="en-US"/>
        </w:rPr>
        <w:t xml:space="preserve"> </w:t>
      </w:r>
      <w:r>
        <w:rPr>
          <w:lang w:val="en-US"/>
        </w:rPr>
        <w:t xml:space="preserve">will </w:t>
      </w:r>
      <w:r w:rsidRPr="5B8D1905">
        <w:rPr>
          <w:lang w:val="en-US"/>
        </w:rPr>
        <w:t xml:space="preserve">develop a Support Plan that summarises the assessment findings, </w:t>
      </w:r>
      <w:r>
        <w:rPr>
          <w:lang w:val="en-US"/>
        </w:rPr>
        <w:t xml:space="preserve">individualised </w:t>
      </w:r>
      <w:r w:rsidRPr="5B8D1905">
        <w:rPr>
          <w:lang w:val="en-US"/>
        </w:rPr>
        <w:t xml:space="preserve">goals, and </w:t>
      </w:r>
      <w:r>
        <w:rPr>
          <w:lang w:val="en-US"/>
        </w:rPr>
        <w:t xml:space="preserve">service </w:t>
      </w:r>
      <w:r w:rsidRPr="5B8D1905">
        <w:rPr>
          <w:lang w:val="en-US"/>
        </w:rPr>
        <w:t>recommendations.</w:t>
      </w:r>
      <w:r>
        <w:rPr>
          <w:lang w:val="en-US"/>
        </w:rPr>
        <w:t xml:space="preserve"> The Support Plan will be submitted for approval </w:t>
      </w:r>
      <w:r w:rsidR="00624C07">
        <w:rPr>
          <w:lang w:val="en-US"/>
        </w:rPr>
        <w:t>to</w:t>
      </w:r>
      <w:r>
        <w:rPr>
          <w:lang w:val="en-US"/>
        </w:rPr>
        <w:t xml:space="preserve"> a non-clinical assessment </w:t>
      </w:r>
      <w:r w:rsidR="006A3113">
        <w:rPr>
          <w:lang w:val="en-US"/>
        </w:rPr>
        <w:t>delegate,</w:t>
      </w:r>
      <w:r>
        <w:rPr>
          <w:lang w:val="en-US"/>
        </w:rPr>
        <w:t xml:space="preserve"> and a Notice of Decision will be generated and sent to the older person and any of their registered supporters who are entitled to receive this information. </w:t>
      </w:r>
    </w:p>
    <w:p w14:paraId="093D5947" w14:textId="1DA0CCAB" w:rsidR="00BA4CB9" w:rsidRDefault="00BA4CB9" w:rsidP="00BA4CB9">
      <w:pPr>
        <w:pStyle w:val="NumberedList"/>
        <w:spacing w:before="240" w:after="240" w:line="240" w:lineRule="auto"/>
      </w:pPr>
      <w:r w:rsidRPr="788C6002">
        <w:rPr>
          <w:lang w:val="en-US"/>
        </w:rPr>
        <w:t>There may be occasions where, during a home support assessment, questions will be triggered in the IAT that will require clinical judgement. To reduce the need for an assessment to be reassigned to a clinical assessor, the non-clinical assessor will be required to seek the attendance of a clinical assessor to</w:t>
      </w:r>
      <w:r>
        <w:rPr>
          <w:lang w:val="en-US"/>
        </w:rPr>
        <w:t xml:space="preserve"> </w:t>
      </w:r>
      <w:r w:rsidRPr="788C6002">
        <w:rPr>
          <w:lang w:val="en-US"/>
        </w:rPr>
        <w:t>ask the clinical questions at the time of the assessment via video or phone, or at a later time via phone (</w:t>
      </w:r>
      <w:r w:rsidRPr="003E1933">
        <w:rPr>
          <w:lang w:val="en-US"/>
        </w:rPr>
        <w:t xml:space="preserve">see </w:t>
      </w:r>
      <w:r>
        <w:rPr>
          <w:lang w:val="en-US"/>
        </w:rPr>
        <w:t xml:space="preserve">Chapter </w:t>
      </w:r>
      <w:r>
        <w:rPr>
          <w:lang w:val="en-US"/>
        </w:rPr>
        <w:fldChar w:fldCharType="begin"/>
      </w:r>
      <w:r>
        <w:rPr>
          <w:lang w:val="en-US"/>
        </w:rPr>
        <w:instrText xml:space="preserve"> REF _Ref212735055 \r \h </w:instrText>
      </w:r>
      <w:r>
        <w:rPr>
          <w:lang w:val="en-US"/>
        </w:rPr>
      </w:r>
      <w:r>
        <w:rPr>
          <w:lang w:val="en-US"/>
        </w:rPr>
        <w:fldChar w:fldCharType="separate"/>
      </w:r>
      <w:r w:rsidR="00F97942">
        <w:rPr>
          <w:lang w:val="en-US"/>
        </w:rPr>
        <w:t>5</w:t>
      </w:r>
      <w:r>
        <w:rPr>
          <w:lang w:val="en-US"/>
        </w:rPr>
        <w:fldChar w:fldCharType="end"/>
      </w:r>
      <w:r w:rsidRPr="788C6002">
        <w:rPr>
          <w:lang w:val="en-US"/>
        </w:rPr>
        <w:t xml:space="preserve">). </w:t>
      </w:r>
    </w:p>
    <w:p w14:paraId="1D83130C" w14:textId="563B3262" w:rsidR="00ED631B" w:rsidRDefault="00ED631B" w:rsidP="00856600">
      <w:pPr>
        <w:pStyle w:val="NumberedList"/>
        <w:spacing w:before="240" w:after="240" w:line="240" w:lineRule="auto"/>
        <w:rPr>
          <w:lang w:val="en-US"/>
        </w:rPr>
      </w:pPr>
      <w:r w:rsidRPr="00792DD2">
        <w:rPr>
          <w:lang w:val="en-US"/>
        </w:rPr>
        <w:t>At the end of the assessment</w:t>
      </w:r>
      <w:r>
        <w:rPr>
          <w:lang w:val="en-US"/>
        </w:rPr>
        <w:t>,</w:t>
      </w:r>
      <w:r w:rsidRPr="00792DD2">
        <w:rPr>
          <w:lang w:val="en-US"/>
        </w:rPr>
        <w:t xml:space="preserve"> the</w:t>
      </w:r>
      <w:r w:rsidR="00F42F32">
        <w:rPr>
          <w:lang w:val="en-US"/>
        </w:rPr>
        <w:t xml:space="preserve"> IAT outcome</w:t>
      </w:r>
      <w:r w:rsidRPr="00792DD2">
        <w:rPr>
          <w:lang w:val="en-US"/>
        </w:rPr>
        <w:t xml:space="preserve"> may </w:t>
      </w:r>
      <w:r w:rsidR="00FC1C46">
        <w:rPr>
          <w:lang w:val="en-US"/>
        </w:rPr>
        <w:t xml:space="preserve">result in a Support at Home classification </w:t>
      </w:r>
      <w:r w:rsidR="002E3403">
        <w:rPr>
          <w:lang w:val="en-US"/>
        </w:rPr>
        <w:t>level,</w:t>
      </w:r>
      <w:r w:rsidR="00FC1C46">
        <w:rPr>
          <w:lang w:val="en-US"/>
        </w:rPr>
        <w:t xml:space="preserve"> or</w:t>
      </w:r>
      <w:r w:rsidRPr="00792DD2">
        <w:rPr>
          <w:lang w:val="en-US"/>
        </w:rPr>
        <w:t xml:space="preserve"> the </w:t>
      </w:r>
      <w:r w:rsidRPr="00EB4F27">
        <w:rPr>
          <w:lang w:val="en-US"/>
        </w:rPr>
        <w:t>assessor</w:t>
      </w:r>
      <w:r w:rsidRPr="00792DD2">
        <w:rPr>
          <w:lang w:val="en-US"/>
        </w:rPr>
        <w:t xml:space="preserve"> may </w:t>
      </w:r>
      <w:r>
        <w:rPr>
          <w:lang w:val="en-US"/>
        </w:rPr>
        <w:t xml:space="preserve">determine that the older person </w:t>
      </w:r>
      <w:r w:rsidR="00FA7DFF">
        <w:rPr>
          <w:lang w:val="en-US"/>
        </w:rPr>
        <w:t xml:space="preserve">has intensive and complex </w:t>
      </w:r>
      <w:r w:rsidR="005E6E5A">
        <w:rPr>
          <w:lang w:val="en-US"/>
        </w:rPr>
        <w:t>care needs</w:t>
      </w:r>
      <w:r w:rsidR="0070728D">
        <w:rPr>
          <w:lang w:val="en-US"/>
        </w:rPr>
        <w:t>.</w:t>
      </w:r>
      <w:r w:rsidR="00E055CF">
        <w:rPr>
          <w:lang w:val="en-US"/>
        </w:rPr>
        <w:t xml:space="preserve"> </w:t>
      </w:r>
      <w:r>
        <w:rPr>
          <w:lang w:val="en-US"/>
        </w:rPr>
        <w:t xml:space="preserve">In these circumstances the assessment must be converted to a comprehensive assessment in the IAT before Support at Home or Residential Aged Care can be added to the support plan </w:t>
      </w:r>
      <w:r w:rsidRPr="00BC14E2">
        <w:rPr>
          <w:lang w:val="en-US"/>
        </w:rPr>
        <w:t>(</w:t>
      </w:r>
      <w:r w:rsidRPr="003E1933">
        <w:rPr>
          <w:lang w:val="en-US"/>
        </w:rPr>
        <w:t xml:space="preserve">see </w:t>
      </w:r>
      <w:r w:rsidR="009E4614">
        <w:rPr>
          <w:lang w:val="en-US"/>
        </w:rPr>
        <w:t xml:space="preserve">Chapter </w:t>
      </w:r>
      <w:r w:rsidR="007957BB">
        <w:rPr>
          <w:lang w:val="en-US"/>
        </w:rPr>
        <w:fldChar w:fldCharType="begin"/>
      </w:r>
      <w:r w:rsidR="007957BB">
        <w:rPr>
          <w:lang w:val="en-US"/>
        </w:rPr>
        <w:instrText xml:space="preserve"> REF _Ref212735077 \r \h </w:instrText>
      </w:r>
      <w:r w:rsidR="007957BB">
        <w:rPr>
          <w:lang w:val="en-US"/>
        </w:rPr>
      </w:r>
      <w:r w:rsidR="007957BB">
        <w:rPr>
          <w:lang w:val="en-US"/>
        </w:rPr>
        <w:fldChar w:fldCharType="separate"/>
      </w:r>
      <w:r w:rsidR="00F97942">
        <w:rPr>
          <w:lang w:val="en-US"/>
        </w:rPr>
        <w:t>5</w:t>
      </w:r>
      <w:r w:rsidR="007957BB">
        <w:rPr>
          <w:lang w:val="en-US"/>
        </w:rPr>
        <w:fldChar w:fldCharType="end"/>
      </w:r>
      <w:r w:rsidRPr="003E1933">
        <w:rPr>
          <w:lang w:val="en-US"/>
        </w:rPr>
        <w:t>).</w:t>
      </w:r>
      <w:r>
        <w:rPr>
          <w:lang w:val="en-US"/>
        </w:rPr>
        <w:t xml:space="preserve"> If this conversion is initiated by a </w:t>
      </w:r>
      <w:r w:rsidR="00431726">
        <w:rPr>
          <w:lang w:val="en-US"/>
        </w:rPr>
        <w:t>non-clinical</w:t>
      </w:r>
      <w:r>
        <w:rPr>
          <w:lang w:val="en-US"/>
        </w:rPr>
        <w:t xml:space="preserve"> assessor, they will need to seek the supervision of a clinical assessor in accordance with their organisation’s clinical governance framework and standard operating procedures.</w:t>
      </w:r>
      <w:r w:rsidRPr="00E07918">
        <w:rPr>
          <w:lang w:val="en-US"/>
        </w:rPr>
        <w:t xml:space="preserve"> </w:t>
      </w:r>
      <w:r w:rsidRPr="003E1933">
        <w:rPr>
          <w:lang w:val="en-US"/>
        </w:rPr>
        <w:t xml:space="preserve">The Support Plan will be submitted for approval by a clinical assessment </w:t>
      </w:r>
      <w:r w:rsidR="006A3113" w:rsidRPr="003E1933">
        <w:rPr>
          <w:lang w:val="en-US"/>
        </w:rPr>
        <w:t>delegate,</w:t>
      </w:r>
      <w:r w:rsidRPr="003E1933">
        <w:rPr>
          <w:lang w:val="en-US"/>
        </w:rPr>
        <w:t xml:space="preserve"> and a Notice of Decision will be generated and sent to the older person and </w:t>
      </w:r>
      <w:r>
        <w:rPr>
          <w:lang w:val="en-US"/>
        </w:rPr>
        <w:t xml:space="preserve">any of their registered supporters who are entitled to receive this information. </w:t>
      </w:r>
    </w:p>
    <w:p w14:paraId="487E70CD" w14:textId="77777777" w:rsidR="00ED631B" w:rsidRPr="007B586F" w:rsidRDefault="00ED631B" w:rsidP="00C56CEC">
      <w:pPr>
        <w:pStyle w:val="H3"/>
      </w:pPr>
      <w:bookmarkStart w:id="150" w:name="_Toc184402258"/>
      <w:bookmarkStart w:id="151" w:name="_Toc204329501"/>
      <w:r w:rsidRPr="007B586F">
        <w:t>Comprehensive assessments</w:t>
      </w:r>
      <w:bookmarkEnd w:id="150"/>
      <w:bookmarkEnd w:id="151"/>
      <w:r w:rsidRPr="007B586F">
        <w:t xml:space="preserve"> </w:t>
      </w:r>
    </w:p>
    <w:p w14:paraId="35BA4037" w14:textId="381EB28C" w:rsidR="00ED631B" w:rsidRDefault="00ED631B" w:rsidP="00856600">
      <w:pPr>
        <w:spacing w:before="240" w:after="240" w:line="240" w:lineRule="auto"/>
        <w:rPr>
          <w:i/>
          <w:iCs/>
        </w:rPr>
      </w:pPr>
      <w:r>
        <w:t xml:space="preserve">A comprehensive assessment is an assessment of aged care needs for older people, undertaken by clinical assessors, who use the IAT to enable nationally consistent assessment services. Comprehensive assessments are appropriate for older people who have </w:t>
      </w:r>
      <w:r w:rsidR="007D0073">
        <w:t xml:space="preserve">more </w:t>
      </w:r>
      <w:r>
        <w:t xml:space="preserve">complex needs </w:t>
      </w:r>
      <w:r w:rsidR="009D0EE9">
        <w:t xml:space="preserve">and </w:t>
      </w:r>
      <w:r w:rsidR="005D4393">
        <w:t xml:space="preserve">who </w:t>
      </w:r>
      <w:r w:rsidR="009D0EE9">
        <w:t>may require a higher level of care</w:t>
      </w:r>
      <w:r>
        <w:t>.</w:t>
      </w:r>
    </w:p>
    <w:p w14:paraId="31A699A8" w14:textId="3CC11F3A" w:rsidR="005F4C59" w:rsidRDefault="00ED631B" w:rsidP="00856600">
      <w:pPr>
        <w:spacing w:before="240" w:after="240" w:line="240" w:lineRule="auto"/>
        <w:rPr>
          <w:lang w:val="en-US"/>
        </w:rPr>
      </w:pPr>
      <w:r w:rsidRPr="0E945537">
        <w:rPr>
          <w:lang w:val="en-US"/>
        </w:rPr>
        <w:t xml:space="preserve">A comprehensive assessment builds on the information collected during registration, screening and at triage, to determine an older person’s eligibility to receive aged care services. A comprehensive assessment is usually conducted in a suitable face-to-face context when safe to do so, to determine an older person’s eligibility for aged care services. Optimally, an aged care assessment is undertaken in an older person’s home. In some circumstances a comprehensive assessment may be undertaken in a clinical setting, such as a hospital. A support person (e.g. family, friend, registered supporter, Elder Care Supporter, Care Finder </w:t>
      </w:r>
      <w:r w:rsidR="006A3113" w:rsidRPr="0E945537">
        <w:rPr>
          <w:lang w:val="en-US"/>
        </w:rPr>
        <w:t>etc.</w:t>
      </w:r>
      <w:r w:rsidRPr="0E945537">
        <w:rPr>
          <w:lang w:val="en-US"/>
        </w:rPr>
        <w:t xml:space="preserve">) may also be in attendance. </w:t>
      </w:r>
    </w:p>
    <w:p w14:paraId="453E4C5B" w14:textId="367FDFD0" w:rsidR="00ED631B" w:rsidRDefault="00ED631B" w:rsidP="00856600">
      <w:pPr>
        <w:spacing w:before="240" w:after="240" w:line="240" w:lineRule="auto"/>
        <w:rPr>
          <w:lang w:val="en-US"/>
        </w:rPr>
      </w:pPr>
      <w:r w:rsidRPr="0E945537">
        <w:rPr>
          <w:lang w:val="en-US"/>
        </w:rPr>
        <w:t xml:space="preserve">After completion of the IAT the assessor develops a Support Plan that summarises the assessment findings, individualised goals, and recommendations. The Support Plan will be submitted for approval by a clinical </w:t>
      </w:r>
      <w:r w:rsidR="00AF10F0">
        <w:rPr>
          <w:lang w:val="en-US"/>
        </w:rPr>
        <w:t>A</w:t>
      </w:r>
      <w:r w:rsidRPr="0E945537">
        <w:rPr>
          <w:lang w:val="en-US"/>
        </w:rPr>
        <w:t xml:space="preserve">ssessment </w:t>
      </w:r>
      <w:r w:rsidR="006A3113">
        <w:rPr>
          <w:lang w:val="en-US"/>
        </w:rPr>
        <w:t>D</w:t>
      </w:r>
      <w:r w:rsidR="006A3113" w:rsidRPr="0E945537">
        <w:rPr>
          <w:lang w:val="en-US"/>
        </w:rPr>
        <w:t>elegate,</w:t>
      </w:r>
      <w:r w:rsidRPr="0E945537">
        <w:rPr>
          <w:lang w:val="en-US"/>
        </w:rPr>
        <w:t xml:space="preserve"> and a Notice of Decision will be generated and sent to the older person and any registered supporters who are entitled to receive this information.</w:t>
      </w:r>
    </w:p>
    <w:p w14:paraId="2DC93AF1" w14:textId="77777777" w:rsidR="00AC4B7E" w:rsidRDefault="00ED631B" w:rsidP="00856600">
      <w:pPr>
        <w:spacing w:before="240" w:after="240" w:line="240" w:lineRule="auto"/>
      </w:pPr>
      <w:r>
        <w:t>C</w:t>
      </w:r>
      <w:r w:rsidRPr="00A022CA">
        <w:t xml:space="preserve">omprehensive assessments </w:t>
      </w:r>
      <w:r>
        <w:t xml:space="preserve">often require a longer time to complete due to the complexity of needs. </w:t>
      </w:r>
      <w:r w:rsidR="00AC4B7E">
        <w:t xml:space="preserve">Assessors and assessment organisations are expected to maintain regular contact with the client while the assessment remains active to maintain continuity and build rapport. </w:t>
      </w:r>
    </w:p>
    <w:p w14:paraId="020418C0" w14:textId="79106D6C" w:rsidR="00ED631B" w:rsidRPr="006F4E02" w:rsidRDefault="00ED631B" w:rsidP="00856600">
      <w:pPr>
        <w:spacing w:before="240" w:after="240" w:line="240" w:lineRule="auto"/>
      </w:pPr>
      <w:r w:rsidRPr="00F3757A">
        <w:t>The Aboriginal and Torres Strait Islander Aged Care Framework highlights that aged care assessment</w:t>
      </w:r>
      <w:r w:rsidR="00017508">
        <w:t>s</w:t>
      </w:r>
      <w:r w:rsidRPr="00F3757A">
        <w:t xml:space="preserve"> should be delivered in a cultural safe manner while also empowering older people to engage with the aged care system and receive services that </w:t>
      </w:r>
      <w:r w:rsidR="00D93991">
        <w:t>address</w:t>
      </w:r>
      <w:r w:rsidRPr="00F3757A">
        <w:t xml:space="preserve"> their needs. </w:t>
      </w:r>
      <w:r w:rsidR="008908FE" w:rsidRPr="00F3757A">
        <w:t xml:space="preserve">Assessors are expected to maintain regular contact with </w:t>
      </w:r>
      <w:r w:rsidR="008908FE">
        <w:t>an older Aboriginal and Torres Strait Islander</w:t>
      </w:r>
      <w:r w:rsidR="008908FE" w:rsidRPr="00F3757A">
        <w:t xml:space="preserve"> </w:t>
      </w:r>
      <w:r w:rsidR="008908FE">
        <w:t>person</w:t>
      </w:r>
      <w:r w:rsidR="008908FE" w:rsidRPr="00F3757A">
        <w:t xml:space="preserve"> while the assessment remains active to maintain continuity and build rapport. </w:t>
      </w:r>
      <w:r w:rsidRPr="00F3757A">
        <w:t xml:space="preserve">This ongoing engagement helps foster trust, ensures the </w:t>
      </w:r>
      <w:r w:rsidR="008908FE">
        <w:t>older person</w:t>
      </w:r>
      <w:r w:rsidR="008908FE" w:rsidRPr="00F3757A">
        <w:t xml:space="preserve"> </w:t>
      </w:r>
      <w:r w:rsidRPr="00F3757A">
        <w:t>feels supported throughout the process, and contributes to a more accurate and respectful assessment outcome.</w:t>
      </w:r>
    </w:p>
    <w:p w14:paraId="7236417C" w14:textId="77777777" w:rsidR="00ED631B" w:rsidRPr="002F5203" w:rsidRDefault="00ED631B" w:rsidP="00507F9D">
      <w:pPr>
        <w:pStyle w:val="h2"/>
      </w:pPr>
      <w:bookmarkStart w:id="152" w:name="_Toc184402259"/>
      <w:bookmarkStart w:id="153" w:name="_Toc204329502"/>
      <w:bookmarkStart w:id="154" w:name="_Toc209188954"/>
      <w:bookmarkStart w:id="155" w:name="_Toc224916621"/>
      <w:r w:rsidRPr="002F5203">
        <w:t>Other assessment activities</w:t>
      </w:r>
      <w:bookmarkEnd w:id="152"/>
      <w:bookmarkEnd w:id="153"/>
      <w:bookmarkEnd w:id="154"/>
      <w:bookmarkEnd w:id="155"/>
      <w:r w:rsidRPr="002F5203">
        <w:t xml:space="preserve"> </w:t>
      </w:r>
    </w:p>
    <w:p w14:paraId="267B13AF" w14:textId="738FB179" w:rsidR="00ED631B" w:rsidRPr="002F5203" w:rsidRDefault="00ED631B" w:rsidP="00C56CEC">
      <w:pPr>
        <w:pStyle w:val="H3"/>
      </w:pPr>
      <w:bookmarkStart w:id="156" w:name="_Toc204329503"/>
      <w:r w:rsidRPr="002F5203">
        <w:t xml:space="preserve">Support </w:t>
      </w:r>
      <w:r w:rsidR="203D6484">
        <w:t>p</w:t>
      </w:r>
      <w:r>
        <w:t xml:space="preserve">lan </w:t>
      </w:r>
      <w:r w:rsidR="68E3AAAD">
        <w:t>r</w:t>
      </w:r>
      <w:r w:rsidRPr="002F5203">
        <w:t>eviews (SPR)</w:t>
      </w:r>
      <w:bookmarkEnd w:id="156"/>
      <w:r w:rsidRPr="002F5203">
        <w:t xml:space="preserve"> </w:t>
      </w:r>
    </w:p>
    <w:p w14:paraId="5AAEDEB0" w14:textId="4165A163" w:rsidR="00ED631B" w:rsidRDefault="00ED631B" w:rsidP="00856600">
      <w:pPr>
        <w:spacing w:before="240" w:after="240" w:line="240" w:lineRule="auto"/>
      </w:pPr>
      <w:r w:rsidRPr="00F5338A">
        <w:t>As</w:t>
      </w:r>
      <w:r>
        <w:t>sessors</w:t>
      </w:r>
      <w:r w:rsidRPr="00F5338A">
        <w:t xml:space="preserve"> conduct SPRs for </w:t>
      </w:r>
      <w:r>
        <w:t>older people who have previously had an assessment</w:t>
      </w:r>
      <w:r w:rsidRPr="00F5338A">
        <w:t xml:space="preserve"> where the</w:t>
      </w:r>
      <w:r>
        <w:t xml:space="preserve">ir </w:t>
      </w:r>
      <w:r w:rsidRPr="00F5338A">
        <w:t xml:space="preserve">needs </w:t>
      </w:r>
      <w:r>
        <w:t xml:space="preserve">and circumstances </w:t>
      </w:r>
      <w:r w:rsidRPr="00F5338A">
        <w:t>have changed</w:t>
      </w:r>
      <w:r>
        <w:t xml:space="preserve"> or when finalising a period of reablement and the Support Plan is updated</w:t>
      </w:r>
      <w:r w:rsidRPr="00F5338A">
        <w:t>.  Where there is a significant</w:t>
      </w:r>
      <w:r>
        <w:t xml:space="preserve"> change in an older person’s circumstances</w:t>
      </w:r>
      <w:r w:rsidRPr="00FB1325">
        <w:t xml:space="preserve"> a </w:t>
      </w:r>
      <w:r w:rsidR="009B4B25">
        <w:t>re</w:t>
      </w:r>
      <w:r w:rsidRPr="00FB1325">
        <w:t xml:space="preserve">assessment </w:t>
      </w:r>
      <w:r>
        <w:t xml:space="preserve">is </w:t>
      </w:r>
      <w:r w:rsidRPr="00FB1325">
        <w:t>undertaken</w:t>
      </w:r>
      <w:r>
        <w:t xml:space="preserve"> (see Chapter </w:t>
      </w:r>
      <w:r w:rsidR="001B6E64">
        <w:fldChar w:fldCharType="begin"/>
      </w:r>
      <w:r w:rsidR="001B6E64">
        <w:instrText xml:space="preserve"> REF _Ref212735115 \r \h </w:instrText>
      </w:r>
      <w:r w:rsidR="001B6E64">
        <w:fldChar w:fldCharType="separate"/>
      </w:r>
      <w:r w:rsidR="00F97942">
        <w:t>10</w:t>
      </w:r>
      <w:r w:rsidR="001B6E64">
        <w:fldChar w:fldCharType="end"/>
      </w:r>
      <w:r w:rsidRPr="1D0CC6BE">
        <w:rPr>
          <w:b/>
          <w:bCs/>
          <w:color w:val="434967"/>
        </w:rPr>
        <w:t xml:space="preserve"> </w:t>
      </w:r>
      <w:r w:rsidRPr="00BD1C63">
        <w:t xml:space="preserve">Support </w:t>
      </w:r>
      <w:r w:rsidR="52323E1F">
        <w:t>p</w:t>
      </w:r>
      <w:r>
        <w:t xml:space="preserve">lan </w:t>
      </w:r>
      <w:r w:rsidR="7398CDB5">
        <w:t>r</w:t>
      </w:r>
      <w:r w:rsidRPr="00BD1C63">
        <w:t xml:space="preserve">eview and </w:t>
      </w:r>
      <w:r w:rsidR="009B4B25">
        <w:t>rea</w:t>
      </w:r>
      <w:r w:rsidRPr="00BD1C63">
        <w:t>ssessments</w:t>
      </w:r>
      <w:r>
        <w:t>’)</w:t>
      </w:r>
      <w:r w:rsidRPr="00FB1325">
        <w:t xml:space="preserve">. </w:t>
      </w:r>
    </w:p>
    <w:p w14:paraId="01A1F609" w14:textId="60669F33" w:rsidR="00ED631B" w:rsidRDefault="00ED631B" w:rsidP="00C56CEC">
      <w:pPr>
        <w:pStyle w:val="H3"/>
      </w:pPr>
      <w:bookmarkStart w:id="157" w:name="_Toc204329504"/>
      <w:r w:rsidRPr="003E1933">
        <w:t xml:space="preserve">Wellness and </w:t>
      </w:r>
      <w:r w:rsidR="007B020F">
        <w:t>r</w:t>
      </w:r>
      <w:r w:rsidRPr="003E1933">
        <w:t>eablement</w:t>
      </w:r>
      <w:bookmarkEnd w:id="157"/>
    </w:p>
    <w:p w14:paraId="3D68608E" w14:textId="58DCC502" w:rsidR="00ED631B" w:rsidRDefault="00ED631B" w:rsidP="00856600">
      <w:pPr>
        <w:spacing w:before="240" w:after="240" w:line="240" w:lineRule="auto"/>
      </w:pPr>
      <w:r w:rsidRPr="00006029">
        <w:t xml:space="preserve">The provision of wellness and reablement approaches </w:t>
      </w:r>
      <w:r>
        <w:t xml:space="preserve">are </w:t>
      </w:r>
      <w:r w:rsidRPr="00006029">
        <w:t>embedded in the</w:t>
      </w:r>
      <w:r>
        <w:t xml:space="preserve"> aged care </w:t>
      </w:r>
      <w:r w:rsidRPr="00006029">
        <w:t>assessment</w:t>
      </w:r>
      <w:r>
        <w:t xml:space="preserve">. These approaches </w:t>
      </w:r>
      <w:r w:rsidRPr="00006029">
        <w:t>build on people’s strengths and goals to promote greater independence and autonomy in daily l</w:t>
      </w:r>
      <w:r>
        <w:t>iving tasks. They</w:t>
      </w:r>
      <w:r w:rsidRPr="00006029">
        <w:t xml:space="preserve"> avoid 'doing for' when a 'doing with' approach can assist individuals to undertake a task or activity themselves </w:t>
      </w:r>
      <w:r>
        <w:t xml:space="preserve">without needing on-going service delivery, or with a reduced need for services. Reablement involves supporting participants to maintain or regain skills, improving functional capacity, improving confidence and enhancing capability so an older person can resume everyday activities. All assessors should adopt wellness and reablement approaches during the assessment and consider whether a recommendation for time-limited reablement under the CHSP is appropriate. </w:t>
      </w:r>
      <w:r w:rsidR="00103144" w:rsidRPr="00103144">
        <w:t xml:space="preserve">Time-limited reablement services tend to be delivered within a 12-week period with the aim to wrap up services when the </w:t>
      </w:r>
      <w:r w:rsidR="004A1CE2">
        <w:t>older person</w:t>
      </w:r>
      <w:r w:rsidR="00103144" w:rsidRPr="00103144">
        <w:t xml:space="preserve"> has met their goal or specific outcome. This involves the </w:t>
      </w:r>
      <w:r w:rsidR="004A1CE2">
        <w:t>older person</w:t>
      </w:r>
      <w:r w:rsidR="00103144" w:rsidRPr="00103144">
        <w:t xml:space="preserve"> and </w:t>
      </w:r>
      <w:r w:rsidR="00D47F13">
        <w:t>reablement</w:t>
      </w:r>
      <w:r w:rsidR="00D47F13" w:rsidRPr="00103144">
        <w:t xml:space="preserve"> </w:t>
      </w:r>
      <w:r w:rsidR="00103144" w:rsidRPr="00103144">
        <w:t>provider</w:t>
      </w:r>
      <w:r w:rsidR="00D47F13">
        <w:t>s</w:t>
      </w:r>
      <w:r w:rsidR="00103144" w:rsidRPr="00103144">
        <w:t xml:space="preserve"> working together to plan how they will address specific barriers to independence and achieve the client’s goal</w:t>
      </w:r>
      <w:r w:rsidR="00103144">
        <w:t>.</w:t>
      </w:r>
      <w:r>
        <w:t xml:space="preserve">  </w:t>
      </w:r>
    </w:p>
    <w:p w14:paraId="684D04A5" w14:textId="77777777" w:rsidR="00ED631B" w:rsidRPr="001661CF" w:rsidRDefault="00ED631B" w:rsidP="00C56CEC">
      <w:pPr>
        <w:pStyle w:val="H3"/>
      </w:pPr>
      <w:bookmarkStart w:id="158" w:name="_Toc204329505"/>
      <w:r>
        <w:t>Linking support</w:t>
      </w:r>
      <w:bookmarkEnd w:id="158"/>
      <w:r>
        <w:t xml:space="preserve">  </w:t>
      </w:r>
    </w:p>
    <w:p w14:paraId="6DB82A2C" w14:textId="1356F1A5" w:rsidR="00ED631B" w:rsidRDefault="00ED631B" w:rsidP="00856600">
      <w:pPr>
        <w:spacing w:before="240" w:after="240" w:line="240" w:lineRule="auto"/>
      </w:pPr>
      <w:r>
        <w:t xml:space="preserve">An assessment includes the provision of linking support activities to vulnerable </w:t>
      </w:r>
      <w:r w:rsidR="00516348">
        <w:t>older people</w:t>
      </w:r>
      <w:r>
        <w:t xml:space="preserve"> where areas of vulnerability pose barriers to receiving mainstream aged care supports or care. Issues leading to vulnerability could include experiencing homelessness, mental health concerns, drug and alcohol issues, elder and systems abuse, neglect, financial disadvantage, cognitive decline and/or living in a remote locality, and previous traumatic events. The provision of linking support will assist in linking the older person to one or more services they require to live with dignity, and independence. </w:t>
      </w:r>
    </w:p>
    <w:p w14:paraId="4D36B9F8" w14:textId="11736B52" w:rsidR="00ED631B" w:rsidRDefault="00ED631B" w:rsidP="00856600">
      <w:pPr>
        <w:spacing w:before="240" w:after="240" w:line="240" w:lineRule="auto"/>
      </w:pPr>
      <w:r>
        <w:t>Assessors may work with Elder Care Support staff to provide guidance to older Aboriginal and Torres Strait Islander people to assist them to engage with the aged care system</w:t>
      </w:r>
      <w:r w:rsidR="00147609">
        <w:t>.</w:t>
      </w:r>
    </w:p>
    <w:p w14:paraId="47892CCB" w14:textId="77777777" w:rsidR="00ED631B" w:rsidRPr="009940A8" w:rsidRDefault="00ED631B" w:rsidP="00C56CEC">
      <w:pPr>
        <w:pStyle w:val="H3"/>
      </w:pPr>
      <w:bookmarkStart w:id="159" w:name="_Toc204329506"/>
      <w:r w:rsidRPr="009940A8">
        <w:t>Assessment delegation</w:t>
      </w:r>
      <w:bookmarkEnd w:id="159"/>
      <w:r w:rsidRPr="009940A8">
        <w:t xml:space="preserve"> </w:t>
      </w:r>
    </w:p>
    <w:p w14:paraId="74884F72" w14:textId="711B356C" w:rsidR="00ED631B" w:rsidRPr="009940A8" w:rsidRDefault="00ED631B" w:rsidP="00856600">
      <w:pPr>
        <w:spacing w:before="240" w:after="240" w:line="240" w:lineRule="auto"/>
        <w:rPr>
          <w:rFonts w:eastAsia="MS Mincho"/>
        </w:rPr>
      </w:pPr>
      <w:r w:rsidRPr="009940A8">
        <w:rPr>
          <w:rFonts w:eastAsia="MS Mincho"/>
        </w:rPr>
        <w:t xml:space="preserve">The Secretary of the department as the System Governor plays a key role in the governance of the aged care system. Under the </w:t>
      </w:r>
      <w:r w:rsidRPr="009940A8">
        <w:rPr>
          <w:rFonts w:eastAsia="MS Mincho"/>
          <w:i/>
        </w:rPr>
        <w:t xml:space="preserve">Aged Care Act 2024 </w:t>
      </w:r>
      <w:r w:rsidRPr="009940A8">
        <w:rPr>
          <w:rFonts w:eastAsia="MS Mincho"/>
        </w:rPr>
        <w:t xml:space="preserve">the System Governor is afforded a range of powers and functions. These powers and functions include but are not limited to determining an individual’s eligibility for an aged care needs assessment and their need for Commonwealth subsidised aged care services. </w:t>
      </w:r>
      <w:r w:rsidR="005B23F1" w:rsidRPr="009940A8">
        <w:rPr>
          <w:rFonts w:eastAsia="MS Mincho"/>
        </w:rPr>
        <w:t>T</w:t>
      </w:r>
      <w:r w:rsidRPr="009940A8">
        <w:rPr>
          <w:rFonts w:eastAsia="MS Mincho"/>
        </w:rPr>
        <w:t xml:space="preserve">he System Governor will delegate some of their powers and functions to internal delegations (departmental staff) and to some roles within assessment organisations. </w:t>
      </w:r>
      <w:r w:rsidR="00D662D2">
        <w:rPr>
          <w:rFonts w:eastAsia="MS Mincho"/>
        </w:rPr>
        <w:t>T</w:t>
      </w:r>
      <w:r w:rsidRPr="009940A8">
        <w:rPr>
          <w:rFonts w:eastAsia="MS Mincho"/>
        </w:rPr>
        <w:t xml:space="preserve">here </w:t>
      </w:r>
      <w:r w:rsidR="00D662D2">
        <w:rPr>
          <w:rFonts w:eastAsia="MS Mincho"/>
        </w:rPr>
        <w:t>are</w:t>
      </w:r>
      <w:r w:rsidRPr="009940A8">
        <w:rPr>
          <w:rFonts w:eastAsia="MS Mincho"/>
        </w:rPr>
        <w:t xml:space="preserve"> three roles within assessment organisations, </w:t>
      </w:r>
      <w:r w:rsidR="009940A8" w:rsidRPr="009940A8">
        <w:rPr>
          <w:rFonts w:eastAsia="MS Mincho"/>
        </w:rPr>
        <w:t xml:space="preserve">that are </w:t>
      </w:r>
      <w:r w:rsidRPr="009940A8">
        <w:rPr>
          <w:rFonts w:eastAsia="MS Mincho"/>
        </w:rPr>
        <w:t xml:space="preserve">delegated certain functions or powers of the System Governor: </w:t>
      </w:r>
    </w:p>
    <w:p w14:paraId="2C5CB13E" w14:textId="77777777" w:rsidR="00ED631B" w:rsidRPr="009940A8" w:rsidRDefault="00ED631B" w:rsidP="00856600">
      <w:pPr>
        <w:pStyle w:val="ListParagraph"/>
        <w:numPr>
          <w:ilvl w:val="0"/>
          <w:numId w:val="40"/>
        </w:numPr>
        <w:spacing w:before="240" w:after="240" w:line="240" w:lineRule="auto"/>
        <w:rPr>
          <w:rFonts w:eastAsia="MS Mincho"/>
        </w:rPr>
      </w:pPr>
      <w:r w:rsidRPr="009940A8">
        <w:rPr>
          <w:rFonts w:eastAsia="MS Mincho"/>
        </w:rPr>
        <w:t>Triage Delegates</w:t>
      </w:r>
    </w:p>
    <w:p w14:paraId="7B084F7E" w14:textId="77777777" w:rsidR="00ED631B" w:rsidRPr="009940A8" w:rsidRDefault="00ED631B" w:rsidP="00856600">
      <w:pPr>
        <w:pStyle w:val="ListParagraph"/>
        <w:numPr>
          <w:ilvl w:val="0"/>
          <w:numId w:val="40"/>
        </w:numPr>
        <w:spacing w:before="240" w:after="240" w:line="240" w:lineRule="auto"/>
        <w:rPr>
          <w:rFonts w:eastAsia="MS Mincho"/>
        </w:rPr>
      </w:pPr>
      <w:r w:rsidRPr="009940A8">
        <w:rPr>
          <w:rFonts w:eastAsia="MS Mincho"/>
        </w:rPr>
        <w:t xml:space="preserve">Non-clinical Assessment Delegates </w:t>
      </w:r>
    </w:p>
    <w:p w14:paraId="08DE88EA" w14:textId="77777777" w:rsidR="00ED631B" w:rsidRPr="009940A8" w:rsidRDefault="00ED631B" w:rsidP="00856600">
      <w:pPr>
        <w:pStyle w:val="ListParagraph"/>
        <w:numPr>
          <w:ilvl w:val="0"/>
          <w:numId w:val="40"/>
        </w:numPr>
        <w:spacing w:before="240" w:after="240" w:line="240" w:lineRule="auto"/>
        <w:rPr>
          <w:rFonts w:eastAsia="MS Mincho"/>
        </w:rPr>
      </w:pPr>
      <w:r w:rsidRPr="009940A8">
        <w:rPr>
          <w:rFonts w:eastAsia="MS Mincho"/>
        </w:rPr>
        <w:t xml:space="preserve">Clinical Assessment Delegates </w:t>
      </w:r>
    </w:p>
    <w:tbl>
      <w:tblPr>
        <w:tblW w:w="0" w:type="auto"/>
        <w:tblLook w:val="04A0" w:firstRow="1" w:lastRow="0" w:firstColumn="1" w:lastColumn="0" w:noHBand="0" w:noVBand="1"/>
      </w:tblPr>
      <w:tblGrid>
        <w:gridCol w:w="982"/>
        <w:gridCol w:w="7784"/>
      </w:tblGrid>
      <w:tr w:rsidR="009940A8" w14:paraId="6C2A4FD9" w14:textId="77777777" w:rsidTr="00063DA5">
        <w:tc>
          <w:tcPr>
            <w:tcW w:w="988" w:type="dxa"/>
          </w:tcPr>
          <w:p w14:paraId="04675105" w14:textId="77777777" w:rsidR="009940A8" w:rsidRPr="009940A8" w:rsidRDefault="009940A8" w:rsidP="00856600">
            <w:pPr>
              <w:spacing w:before="240" w:after="240" w:line="240" w:lineRule="auto"/>
            </w:pPr>
            <w:r w:rsidRPr="009940A8">
              <w:rPr>
                <w:noProof/>
              </w:rPr>
              <w:drawing>
                <wp:inline distT="0" distB="0" distL="0" distR="0" wp14:anchorId="2E461BDD" wp14:editId="52A7B3A4">
                  <wp:extent cx="383111" cy="381000"/>
                  <wp:effectExtent l="0" t="0" r="0" b="0"/>
                  <wp:docPr id="581931867" name="Picture 58193186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71CD4DB0" w14:textId="0E475EBF" w:rsidR="009940A8" w:rsidRPr="008D2A52" w:rsidRDefault="009940A8" w:rsidP="00856600">
            <w:pPr>
              <w:spacing w:before="240" w:after="240" w:line="240" w:lineRule="auto"/>
            </w:pPr>
            <w:r w:rsidRPr="009940A8">
              <w:rPr>
                <w:rFonts w:eastAsia="MS Mincho"/>
              </w:rPr>
              <w:t xml:space="preserve">For further information about delegate roles, their functions and responsibilities refer to Chapter </w:t>
            </w:r>
            <w:r w:rsidR="001B6E64">
              <w:rPr>
                <w:rFonts w:eastAsia="MS Mincho"/>
              </w:rPr>
              <w:fldChar w:fldCharType="begin"/>
            </w:r>
            <w:r w:rsidR="001B6E64">
              <w:rPr>
                <w:rFonts w:eastAsia="MS Mincho"/>
              </w:rPr>
              <w:instrText xml:space="preserve"> REF _Ref212735138 \r \h </w:instrText>
            </w:r>
            <w:r w:rsidR="001B6E64">
              <w:rPr>
                <w:rFonts w:eastAsia="MS Mincho"/>
              </w:rPr>
            </w:r>
            <w:r w:rsidR="001B6E64">
              <w:rPr>
                <w:rFonts w:eastAsia="MS Mincho"/>
              </w:rPr>
              <w:fldChar w:fldCharType="separate"/>
            </w:r>
            <w:r w:rsidR="00F97942">
              <w:rPr>
                <w:rFonts w:eastAsia="MS Mincho"/>
              </w:rPr>
              <w:t>7</w:t>
            </w:r>
            <w:r w:rsidR="001B6E64">
              <w:rPr>
                <w:rFonts w:eastAsia="MS Mincho"/>
              </w:rPr>
              <w:fldChar w:fldCharType="end"/>
            </w:r>
            <w:r w:rsidRPr="009940A8">
              <w:rPr>
                <w:rFonts w:eastAsia="MS Mincho"/>
              </w:rPr>
              <w:t xml:space="preserve"> of this manual</w:t>
            </w:r>
          </w:p>
        </w:tc>
      </w:tr>
    </w:tbl>
    <w:p w14:paraId="4ED73E82" w14:textId="77777777" w:rsidR="00ED631B" w:rsidRDefault="00ED631B" w:rsidP="00C56CEC">
      <w:pPr>
        <w:pStyle w:val="H3"/>
      </w:pPr>
      <w:bookmarkStart w:id="160" w:name="_Toc204329507"/>
      <w:r>
        <w:t>Multi-disciplinary approach</w:t>
      </w:r>
      <w:bookmarkEnd w:id="160"/>
    </w:p>
    <w:p w14:paraId="3285D79F" w14:textId="77777777" w:rsidR="00ED631B" w:rsidRPr="005A5EEE" w:rsidRDefault="00ED631B" w:rsidP="00856600">
      <w:pPr>
        <w:spacing w:before="240" w:after="240" w:line="240" w:lineRule="auto"/>
      </w:pPr>
      <w:r w:rsidRPr="005A5EEE">
        <w:t>Assessors undertaking a comprehensive assessment may be required to participate in a multi-disciplinary approach, particularly for complex or difficult assessments. This may include activities within or outside of the team such as multi-disciplinary case conferencing, joint assessments with other health professionals where necessary or multi-disciplinary consultation.</w:t>
      </w:r>
    </w:p>
    <w:p w14:paraId="07CFB72E" w14:textId="1985BFF9" w:rsidR="005744C8" w:rsidRDefault="00E97B87" w:rsidP="00856600">
      <w:pPr>
        <w:spacing w:before="240" w:after="240" w:line="240" w:lineRule="auto"/>
      </w:pPr>
      <w:r>
        <w:t>A m</w:t>
      </w:r>
      <w:r w:rsidR="005744C8">
        <w:t xml:space="preserve">ultidisciplinary approach to aged care assessment for older Aboriginal and Torres Strait Islander people should go beyond a clinical assessment and </w:t>
      </w:r>
      <w:r w:rsidR="00F9456E">
        <w:t>must</w:t>
      </w:r>
      <w:r w:rsidR="005744C8">
        <w:t xml:space="preserve"> consider the client’s social, emotional, and cultural wellbeing. It may involve collaboration with other professionals, social workers, community members, as part of the assessment</w:t>
      </w:r>
      <w:r w:rsidR="00A67AEA">
        <w:t xml:space="preserve"> and guided by the client</w:t>
      </w:r>
      <w:r w:rsidR="005744C8">
        <w:t>. This is to ensure the assessment is holistic, culturally safe and responsive to the person’s needs.</w:t>
      </w:r>
      <w:r w:rsidR="00A67AEA">
        <w:t xml:space="preserve"> Respect and care for Aboriginal and Torres Strait Islander peoples’ ways of working is critical to building reciprocal trust and the client’s ageing well outcomes. </w:t>
      </w:r>
    </w:p>
    <w:p w14:paraId="17215488" w14:textId="002C06AE" w:rsidR="005744C8" w:rsidRPr="00076441" w:rsidRDefault="68B0FE43" w:rsidP="00856600">
      <w:pPr>
        <w:spacing w:before="240" w:after="240" w:line="240" w:lineRule="auto"/>
      </w:pPr>
      <w:r w:rsidRPr="00076441">
        <w:t>This approach should also be applied to other people who have experienced trauma such as people from diverse backgrounds and life experiences. Assessors need to apply trauma</w:t>
      </w:r>
      <w:r w:rsidRPr="00076441">
        <w:rPr>
          <w:rFonts w:ascii="Cambria Math" w:hAnsi="Cambria Math" w:cs="Cambria Math"/>
        </w:rPr>
        <w:t>‑</w:t>
      </w:r>
      <w:r w:rsidRPr="00076441">
        <w:t>aware, culturally safe and rights</w:t>
      </w:r>
      <w:r w:rsidRPr="00076441">
        <w:rPr>
          <w:rFonts w:ascii="Cambria Math" w:hAnsi="Cambria Math" w:cs="Cambria Math"/>
        </w:rPr>
        <w:t>‑</w:t>
      </w:r>
      <w:r w:rsidRPr="00076441">
        <w:t>based approaches to assessment, consistent with the Statement of Rights under the Aged Care Act 2024, to uphold older people’s dignity, autonomy, safety, informed choice and control, and to minimise the risk of re</w:t>
      </w:r>
      <w:r w:rsidRPr="00076441">
        <w:rPr>
          <w:rFonts w:ascii="Cambria Math" w:hAnsi="Cambria Math" w:cs="Cambria Math"/>
        </w:rPr>
        <w:t>‑</w:t>
      </w:r>
      <w:r w:rsidRPr="00076441">
        <w:t>traumatisation. For further information see Chapter 12.</w:t>
      </w:r>
    </w:p>
    <w:p w14:paraId="53ADB2CC" w14:textId="77777777" w:rsidR="00ED631B" w:rsidRPr="006B1853" w:rsidRDefault="00ED631B" w:rsidP="00507F9D">
      <w:pPr>
        <w:pStyle w:val="h2"/>
      </w:pPr>
      <w:bookmarkStart w:id="161" w:name="_Toc159226862"/>
      <w:bookmarkStart w:id="162" w:name="_Toc184402260"/>
      <w:bookmarkStart w:id="163" w:name="_Toc204329508"/>
      <w:bookmarkStart w:id="164" w:name="_Toc209188955"/>
      <w:bookmarkStart w:id="165" w:name="_Toc224916622"/>
      <w:r w:rsidRPr="006B1853">
        <w:t>Aims and key features of assessment</w:t>
      </w:r>
      <w:bookmarkEnd w:id="161"/>
      <w:bookmarkEnd w:id="162"/>
      <w:bookmarkEnd w:id="163"/>
      <w:bookmarkEnd w:id="164"/>
      <w:bookmarkEnd w:id="165"/>
    </w:p>
    <w:p w14:paraId="49B11340" w14:textId="2AA92E3C" w:rsidR="00ED631B" w:rsidRPr="00FA5D96" w:rsidRDefault="00ED631B" w:rsidP="00856600">
      <w:pPr>
        <w:spacing w:before="240" w:after="240" w:line="240" w:lineRule="auto"/>
        <w:contextualSpacing/>
        <w:rPr>
          <w:lang w:val="en"/>
        </w:rPr>
      </w:pPr>
      <w:r>
        <w:rPr>
          <w:rFonts w:eastAsia="MS PGothic"/>
        </w:rPr>
        <w:t xml:space="preserve">The Single Assessment System </w:t>
      </w:r>
      <w:r w:rsidRPr="00FA5D96">
        <w:rPr>
          <w:lang w:val="en"/>
        </w:rPr>
        <w:t>aims to deliver consistent, high-quality assessments. The aims and key features of a My Aged Care assessment are to:</w:t>
      </w:r>
    </w:p>
    <w:p w14:paraId="293C619B" w14:textId="375F6EC4" w:rsidR="00ED631B" w:rsidRPr="00FA5D96" w:rsidRDefault="00EB3BBB"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d</w:t>
      </w:r>
      <w:r w:rsidR="00ED631B" w:rsidRPr="5B8D1905">
        <w:rPr>
          <w:lang w:val="en-US"/>
        </w:rPr>
        <w:t xml:space="preserve">eliver timely, safe, and nationally consistent </w:t>
      </w:r>
      <w:r w:rsidR="00ED631B">
        <w:rPr>
          <w:lang w:val="en-US"/>
        </w:rPr>
        <w:t xml:space="preserve">aged care </w:t>
      </w:r>
      <w:r w:rsidR="00ED631B" w:rsidRPr="5B8D1905">
        <w:rPr>
          <w:lang w:val="en-US"/>
        </w:rPr>
        <w:t xml:space="preserve">assessments of a high quality guided by the Aged Care Assessment Quality Framework, facilitating access to Commonwealth </w:t>
      </w:r>
      <w:r w:rsidR="00ED631B">
        <w:rPr>
          <w:lang w:val="en-US"/>
        </w:rPr>
        <w:t>government</w:t>
      </w:r>
      <w:r w:rsidR="00ED631B" w:rsidRPr="5B8D1905">
        <w:rPr>
          <w:lang w:val="en-US"/>
        </w:rPr>
        <w:t xml:space="preserve"> aged care services which best meet the current needs of the </w:t>
      </w:r>
      <w:r w:rsidR="00ED631B">
        <w:rPr>
          <w:lang w:val="en-US"/>
        </w:rPr>
        <w:t>older person</w:t>
      </w:r>
      <w:r w:rsidR="00ED631B" w:rsidRPr="5B8D1905">
        <w:rPr>
          <w:lang w:val="en-US"/>
        </w:rPr>
        <w:t xml:space="preserve">. </w:t>
      </w:r>
    </w:p>
    <w:p w14:paraId="0C794B9B" w14:textId="3DB6ADE7" w:rsidR="00ED631B" w:rsidRPr="00FA5D96" w:rsidRDefault="00EB3BBB" w:rsidP="00856600">
      <w:pPr>
        <w:pStyle w:val="NumberedList"/>
        <w:numPr>
          <w:ilvl w:val="0"/>
          <w:numId w:val="38"/>
        </w:numPr>
        <w:tabs>
          <w:tab w:val="clear" w:pos="720"/>
          <w:tab w:val="num" w:pos="567"/>
        </w:tabs>
        <w:spacing w:before="240" w:after="240" w:line="240" w:lineRule="auto"/>
        <w:ind w:left="568" w:hanging="284"/>
      </w:pPr>
      <w:r>
        <w:rPr>
          <w:lang w:val="en-US"/>
        </w:rPr>
        <w:t>c</w:t>
      </w:r>
      <w:r w:rsidR="00ED631B" w:rsidRPr="5B8D1905">
        <w:rPr>
          <w:lang w:val="en-US"/>
        </w:rPr>
        <w:t>onduct</w:t>
      </w:r>
      <w:r>
        <w:rPr>
          <w:lang w:val="en-US"/>
        </w:rPr>
        <w:t xml:space="preserve"> assessments</w:t>
      </w:r>
      <w:r w:rsidR="00ED631B" w:rsidRPr="5B8D1905">
        <w:rPr>
          <w:lang w:val="en-US"/>
        </w:rPr>
        <w:t xml:space="preserve"> in accordance with privacy obligations, and with the consent of the </w:t>
      </w:r>
      <w:r w:rsidR="00ED631B">
        <w:rPr>
          <w:lang w:val="en-US"/>
        </w:rPr>
        <w:t>older person</w:t>
      </w:r>
      <w:r w:rsidR="00ED631B" w:rsidRPr="5B8D1905">
        <w:rPr>
          <w:lang w:val="en-US"/>
        </w:rPr>
        <w:t xml:space="preserve"> (or their </w:t>
      </w:r>
      <w:r w:rsidR="00ED631B">
        <w:rPr>
          <w:lang w:val="en-US"/>
        </w:rPr>
        <w:t>appointed decision maker</w:t>
      </w:r>
      <w:r w:rsidR="00ED631B" w:rsidRPr="5B8D1905">
        <w:rPr>
          <w:lang w:val="en-US"/>
        </w:rPr>
        <w:t>)</w:t>
      </w:r>
      <w:r w:rsidR="00ED631B">
        <w:rPr>
          <w:lang w:val="en-US"/>
        </w:rPr>
        <w:t>, optimally</w:t>
      </w:r>
      <w:r w:rsidR="00ED631B" w:rsidRPr="5B8D1905">
        <w:rPr>
          <w:lang w:val="en-US"/>
        </w:rPr>
        <w:t xml:space="preserve"> in a face-to-face setting when safe to do so. </w:t>
      </w:r>
    </w:p>
    <w:p w14:paraId="24563A0C" w14:textId="243A443F" w:rsidR="00ED631B" w:rsidRPr="00FA5D96" w:rsidRDefault="003A20B9" w:rsidP="00856600">
      <w:pPr>
        <w:pStyle w:val="NumberedList"/>
        <w:numPr>
          <w:ilvl w:val="0"/>
          <w:numId w:val="38"/>
        </w:numPr>
        <w:tabs>
          <w:tab w:val="clear" w:pos="720"/>
          <w:tab w:val="num" w:pos="567"/>
        </w:tabs>
        <w:spacing w:before="240" w:after="240" w:line="240" w:lineRule="auto"/>
        <w:ind w:left="568" w:hanging="284"/>
      </w:pPr>
      <w:r>
        <w:rPr>
          <w:lang w:val="en-US"/>
        </w:rPr>
        <w:t>v</w:t>
      </w:r>
      <w:r w:rsidR="00ED631B" w:rsidRPr="051B1754">
        <w:rPr>
          <w:lang w:val="en-US"/>
        </w:rPr>
        <w:t xml:space="preserve">alue and support </w:t>
      </w:r>
      <w:r w:rsidR="00ED631B" w:rsidRPr="33261794">
        <w:rPr>
          <w:lang w:val="en-US"/>
        </w:rPr>
        <w:t>an</w:t>
      </w:r>
      <w:r w:rsidR="00ED631B" w:rsidRPr="051B1754">
        <w:rPr>
          <w:lang w:val="en-US"/>
        </w:rPr>
        <w:t xml:space="preserve"> older person’s identity, culture, and diversity.</w:t>
      </w:r>
    </w:p>
    <w:p w14:paraId="1AFDB5CE" w14:textId="62FD1FEF" w:rsidR="00ED631B" w:rsidRPr="00FA5D96" w:rsidRDefault="003A20B9"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i</w:t>
      </w:r>
      <w:r w:rsidR="00ED631B" w:rsidRPr="5B8D1905">
        <w:rPr>
          <w:lang w:val="en-US"/>
        </w:rPr>
        <w:t xml:space="preserve">nvolve </w:t>
      </w:r>
      <w:r w:rsidR="00ED631B">
        <w:rPr>
          <w:lang w:val="en-US"/>
        </w:rPr>
        <w:t>older p</w:t>
      </w:r>
      <w:r w:rsidR="00D372B2">
        <w:rPr>
          <w:lang w:val="en-US"/>
        </w:rPr>
        <w:t>eople</w:t>
      </w:r>
      <w:r w:rsidR="00ED631B" w:rsidRPr="5B8D1905">
        <w:rPr>
          <w:lang w:val="en-US"/>
        </w:rPr>
        <w:t xml:space="preserve"> and their carers, support network and other service providers</w:t>
      </w:r>
      <w:r w:rsidR="00ED631B">
        <w:rPr>
          <w:lang w:val="en-US"/>
        </w:rPr>
        <w:t xml:space="preserve">, such as </w:t>
      </w:r>
      <w:r w:rsidR="00ED631B" w:rsidRPr="5F8AA22F">
        <w:rPr>
          <w:lang w:val="en-US"/>
        </w:rPr>
        <w:t>Care</w:t>
      </w:r>
      <w:r w:rsidR="00ED631B">
        <w:rPr>
          <w:lang w:val="en-US"/>
        </w:rPr>
        <w:t xml:space="preserve"> Finders and Elder Care Support workers</w:t>
      </w:r>
      <w:r w:rsidR="00ED631B" w:rsidRPr="5B8D1905">
        <w:rPr>
          <w:lang w:val="en-US"/>
        </w:rPr>
        <w:t xml:space="preserve"> (where </w:t>
      </w:r>
      <w:r w:rsidR="00BF67DB">
        <w:rPr>
          <w:lang w:val="en-US"/>
        </w:rPr>
        <w:t>they are registered as an Agent supporting the</w:t>
      </w:r>
      <w:r w:rsidR="00FF6E8A">
        <w:rPr>
          <w:lang w:val="en-US"/>
        </w:rPr>
        <w:t xml:space="preserve"> client</w:t>
      </w:r>
      <w:r w:rsidR="00ED631B" w:rsidRPr="5B8D1905">
        <w:rPr>
          <w:lang w:val="en-US"/>
        </w:rPr>
        <w:t>) as appropriate in assessment and care support planning processes.</w:t>
      </w:r>
    </w:p>
    <w:p w14:paraId="12345257" w14:textId="69F15096" w:rsidR="00ED631B" w:rsidRPr="00FA5D96" w:rsidRDefault="003A20B9" w:rsidP="00856600">
      <w:pPr>
        <w:pStyle w:val="NumberedList"/>
        <w:numPr>
          <w:ilvl w:val="0"/>
          <w:numId w:val="38"/>
        </w:numPr>
        <w:tabs>
          <w:tab w:val="clear" w:pos="720"/>
          <w:tab w:val="num" w:pos="567"/>
        </w:tabs>
        <w:spacing w:before="240" w:after="240" w:line="240" w:lineRule="auto"/>
        <w:ind w:left="568" w:hanging="284"/>
      </w:pPr>
      <w:r>
        <w:t>e</w:t>
      </w:r>
      <w:r w:rsidR="00ED631B" w:rsidRPr="00FA5D96">
        <w:t xml:space="preserve">nsure assessments of </w:t>
      </w:r>
      <w:r w:rsidR="00ED631B">
        <w:t xml:space="preserve">older </w:t>
      </w:r>
      <w:r w:rsidR="00D372B2">
        <w:t>people</w:t>
      </w:r>
      <w:r w:rsidR="00ED631B" w:rsidRPr="00FA5D96">
        <w:t xml:space="preserve"> are independent, holistic, and </w:t>
      </w:r>
      <w:r w:rsidR="00ED631B">
        <w:t>older person</w:t>
      </w:r>
      <w:r w:rsidR="00ED631B" w:rsidRPr="00FA5D96">
        <w:t>-focused, incorporating assessment of physical, medical, psychological, cultural, social, environmental and wellness dimensions which are separate from service provision.</w:t>
      </w:r>
    </w:p>
    <w:p w14:paraId="7C47976A" w14:textId="2494BEE8" w:rsidR="00ED631B" w:rsidRPr="00405325" w:rsidRDefault="003A20B9"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d</w:t>
      </w:r>
      <w:r w:rsidR="00ED631B" w:rsidRPr="5B8D1905">
        <w:rPr>
          <w:lang w:val="en-US"/>
        </w:rPr>
        <w:t xml:space="preserve">eliver tailored Support Plans incorporating </w:t>
      </w:r>
      <w:r w:rsidR="00ED631B">
        <w:rPr>
          <w:lang w:val="en-US"/>
        </w:rPr>
        <w:t>an older person’</w:t>
      </w:r>
      <w:r w:rsidR="00ED631B" w:rsidRPr="75C24BB5">
        <w:rPr>
          <w:lang w:val="en-US"/>
        </w:rPr>
        <w:t>s</w:t>
      </w:r>
      <w:r w:rsidR="00ED631B" w:rsidRPr="5B8D1905">
        <w:rPr>
          <w:lang w:val="en-US"/>
        </w:rPr>
        <w:t xml:space="preserve"> choice</w:t>
      </w:r>
      <w:r w:rsidR="00ED631B">
        <w:rPr>
          <w:lang w:val="en-US"/>
        </w:rPr>
        <w:t>,</w:t>
      </w:r>
      <w:r w:rsidR="00ED631B" w:rsidRPr="5B8D1905">
        <w:rPr>
          <w:lang w:val="en-US"/>
        </w:rPr>
        <w:t xml:space="preserve"> improving the health and wellbeing of older people, </w:t>
      </w:r>
      <w:r w:rsidR="00ED631B" w:rsidRPr="3999B315">
        <w:rPr>
          <w:lang w:val="en-US"/>
        </w:rPr>
        <w:t xml:space="preserve">which </w:t>
      </w:r>
      <w:r w:rsidR="00ED631B" w:rsidRPr="5B8D1905">
        <w:rPr>
          <w:lang w:val="en-US"/>
        </w:rPr>
        <w:t xml:space="preserve">are based on </w:t>
      </w:r>
      <w:r w:rsidR="00ED631B" w:rsidRPr="1DEE5B16">
        <w:rPr>
          <w:lang w:val="en-US"/>
        </w:rPr>
        <w:t>their</w:t>
      </w:r>
      <w:r w:rsidR="00ED631B" w:rsidRPr="5B8D1905">
        <w:rPr>
          <w:lang w:val="en-US"/>
        </w:rPr>
        <w:t xml:space="preserve"> goals and current care needs, embedding wellness and reablement approaches where appropriate </w:t>
      </w:r>
      <w:r w:rsidR="00ED631B" w:rsidRPr="00405325">
        <w:rPr>
          <w:lang w:val="en-US"/>
        </w:rPr>
        <w:t>(see</w:t>
      </w:r>
      <w:r w:rsidR="00ED631B" w:rsidRPr="00405325">
        <w:rPr>
          <w:i/>
          <w:lang w:val="en-US"/>
        </w:rPr>
        <w:t xml:space="preserve"> </w:t>
      </w:r>
      <w:r w:rsidR="009940A8">
        <w:rPr>
          <w:lang w:val="en-US"/>
        </w:rPr>
        <w:t xml:space="preserve">Chapter </w:t>
      </w:r>
      <w:r w:rsidR="001B6E64">
        <w:rPr>
          <w:lang w:val="en-US"/>
        </w:rPr>
        <w:fldChar w:fldCharType="begin"/>
      </w:r>
      <w:r w:rsidR="001B6E64">
        <w:rPr>
          <w:lang w:val="en-US"/>
        </w:rPr>
        <w:instrText xml:space="preserve"> REF _Ref212735165 \r \h </w:instrText>
      </w:r>
      <w:r w:rsidR="001B6E64">
        <w:rPr>
          <w:lang w:val="en-US"/>
        </w:rPr>
      </w:r>
      <w:r w:rsidR="001B6E64">
        <w:rPr>
          <w:lang w:val="en-US"/>
        </w:rPr>
        <w:fldChar w:fldCharType="separate"/>
      </w:r>
      <w:r w:rsidR="00F97942">
        <w:rPr>
          <w:lang w:val="en-US"/>
        </w:rPr>
        <w:t>5</w:t>
      </w:r>
      <w:r w:rsidR="001B6E64">
        <w:rPr>
          <w:lang w:val="en-US"/>
        </w:rPr>
        <w:fldChar w:fldCharType="end"/>
      </w:r>
      <w:r w:rsidR="00ED631B" w:rsidRPr="00405325">
        <w:rPr>
          <w:lang w:val="en-US"/>
        </w:rPr>
        <w:t xml:space="preserve">). </w:t>
      </w:r>
    </w:p>
    <w:p w14:paraId="6188A61B" w14:textId="5EDC0759" w:rsidR="00ED631B" w:rsidRPr="00FA5D96" w:rsidRDefault="003A20B9"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e</w:t>
      </w:r>
      <w:r w:rsidR="00ED631B" w:rsidRPr="5B8D1905">
        <w:rPr>
          <w:lang w:val="en-US"/>
        </w:rPr>
        <w:t xml:space="preserve">nsure older </w:t>
      </w:r>
      <w:r w:rsidR="00D372B2">
        <w:rPr>
          <w:lang w:val="en-US"/>
        </w:rPr>
        <w:t>people</w:t>
      </w:r>
      <w:r w:rsidR="00ED631B" w:rsidRPr="5B8D1905">
        <w:rPr>
          <w:lang w:val="en-US"/>
        </w:rPr>
        <w:t xml:space="preserve"> from </w:t>
      </w:r>
      <w:r w:rsidR="00ED631B">
        <w:rPr>
          <w:lang w:val="en-US"/>
        </w:rPr>
        <w:t>diverse backgrounds</w:t>
      </w:r>
      <w:r w:rsidR="00ED631B" w:rsidRPr="5B8D1905">
        <w:rPr>
          <w:lang w:val="en-US"/>
        </w:rPr>
        <w:t xml:space="preserve"> have equitable access to assessmen</w:t>
      </w:r>
      <w:r w:rsidR="00ED631B">
        <w:rPr>
          <w:lang w:val="en-US"/>
        </w:rPr>
        <w:t>t</w:t>
      </w:r>
      <w:r w:rsidR="00ED631B" w:rsidRPr="5B8D1905">
        <w:rPr>
          <w:lang w:val="en-US"/>
        </w:rPr>
        <w:t xml:space="preserve"> services.</w:t>
      </w:r>
    </w:p>
    <w:p w14:paraId="52594987" w14:textId="47A99B4A" w:rsidR="00ED631B" w:rsidRPr="00FA5D96" w:rsidRDefault="004A03E8" w:rsidP="00856600">
      <w:pPr>
        <w:pStyle w:val="NumberedList"/>
        <w:numPr>
          <w:ilvl w:val="0"/>
          <w:numId w:val="38"/>
        </w:numPr>
        <w:tabs>
          <w:tab w:val="clear" w:pos="720"/>
          <w:tab w:val="num" w:pos="567"/>
        </w:tabs>
        <w:spacing w:before="240" w:after="240" w:line="240" w:lineRule="auto"/>
        <w:ind w:left="568" w:hanging="284"/>
        <w:rPr>
          <w:lang w:val="en-US"/>
        </w:rPr>
      </w:pPr>
      <w:r>
        <w:rPr>
          <w:lang w:val="en-US"/>
        </w:rPr>
        <w:t>p</w:t>
      </w:r>
      <w:r w:rsidR="00ED631B">
        <w:rPr>
          <w:lang w:val="en-US"/>
        </w:rPr>
        <w:t xml:space="preserve">rovide a choice for older Aboriginal and Torres Strait Islander people to access culturally safe, trauma </w:t>
      </w:r>
      <w:r w:rsidR="00ED631B" w:rsidRPr="57D84A30">
        <w:rPr>
          <w:lang w:val="en-US"/>
        </w:rPr>
        <w:t>aware</w:t>
      </w:r>
      <w:r w:rsidR="00ED631B">
        <w:rPr>
          <w:lang w:val="en-US"/>
        </w:rPr>
        <w:t xml:space="preserve"> and healing </w:t>
      </w:r>
      <w:r w:rsidR="00ED631B" w:rsidRPr="57D84A30">
        <w:rPr>
          <w:lang w:val="en-US"/>
        </w:rPr>
        <w:t>informed</w:t>
      </w:r>
      <w:r w:rsidR="00ED631B">
        <w:rPr>
          <w:lang w:val="en-US"/>
        </w:rPr>
        <w:t xml:space="preserve"> aged care assessments from Aboriginal and Torres Strait Islander assessment organisations. </w:t>
      </w:r>
    </w:p>
    <w:p w14:paraId="46669337" w14:textId="50B738DD" w:rsidR="00ED631B" w:rsidRPr="00FA5D96" w:rsidRDefault="004A03E8" w:rsidP="00856600">
      <w:pPr>
        <w:pStyle w:val="NumberedList"/>
        <w:numPr>
          <w:ilvl w:val="0"/>
          <w:numId w:val="38"/>
        </w:numPr>
        <w:tabs>
          <w:tab w:val="clear" w:pos="720"/>
          <w:tab w:val="num" w:pos="567"/>
        </w:tabs>
        <w:spacing w:before="240" w:after="240" w:line="240" w:lineRule="auto"/>
        <w:ind w:left="568" w:hanging="284"/>
      </w:pPr>
      <w:r>
        <w:rPr>
          <w:lang w:val="en-US"/>
        </w:rPr>
        <w:t>c</w:t>
      </w:r>
      <w:r w:rsidR="00ED631B" w:rsidRPr="5B8D1905">
        <w:rPr>
          <w:lang w:val="en-US"/>
        </w:rPr>
        <w:t xml:space="preserve">onsider both formal and informal services to assist </w:t>
      </w:r>
      <w:r w:rsidR="00ED631B">
        <w:rPr>
          <w:lang w:val="en-US"/>
        </w:rPr>
        <w:t xml:space="preserve">an older person </w:t>
      </w:r>
      <w:r w:rsidR="00ED631B" w:rsidRPr="5B8D1905">
        <w:rPr>
          <w:lang w:val="en-US"/>
        </w:rPr>
        <w:t>to remain in the setting most appropriate to their needs (such as their own home) to prevent premature or inappropriate admission to residential care.</w:t>
      </w:r>
    </w:p>
    <w:p w14:paraId="682A7048" w14:textId="200D69AD" w:rsidR="00ED631B" w:rsidRPr="00FA5D96" w:rsidRDefault="004A03E8" w:rsidP="00856600">
      <w:pPr>
        <w:pStyle w:val="NumberedList"/>
        <w:numPr>
          <w:ilvl w:val="0"/>
          <w:numId w:val="38"/>
        </w:numPr>
        <w:tabs>
          <w:tab w:val="clear" w:pos="720"/>
          <w:tab w:val="num" w:pos="567"/>
        </w:tabs>
        <w:spacing w:before="240" w:after="240" w:line="240" w:lineRule="auto"/>
        <w:ind w:left="568" w:hanging="284"/>
      </w:pPr>
      <w:r>
        <w:rPr>
          <w:lang w:val="en-US"/>
        </w:rPr>
        <w:t>b</w:t>
      </w:r>
      <w:r w:rsidR="00ED631B" w:rsidRPr="5B8D1905">
        <w:rPr>
          <w:lang w:val="en-US"/>
        </w:rPr>
        <w:t>uild and maintain effective and respectful working relationships with all My Aged Care assessors, service providers and other support agencies.</w:t>
      </w:r>
    </w:p>
    <w:p w14:paraId="3F22690D" w14:textId="3D9BE132" w:rsidR="00ED631B" w:rsidRPr="00FA5D96" w:rsidRDefault="004A03E8" w:rsidP="00856600">
      <w:pPr>
        <w:pStyle w:val="NumberedList"/>
        <w:keepNext/>
        <w:keepLines/>
        <w:numPr>
          <w:ilvl w:val="0"/>
          <w:numId w:val="38"/>
        </w:numPr>
        <w:tabs>
          <w:tab w:val="clear" w:pos="720"/>
          <w:tab w:val="num" w:pos="567"/>
        </w:tabs>
        <w:spacing w:before="240" w:after="240" w:line="240" w:lineRule="auto"/>
        <w:ind w:left="568" w:hanging="284"/>
        <w:rPr>
          <w:lang w:val="en-US"/>
        </w:rPr>
      </w:pPr>
      <w:r>
        <w:rPr>
          <w:lang w:val="en-US"/>
        </w:rPr>
        <w:t>p</w:t>
      </w:r>
      <w:r w:rsidR="00ED631B" w:rsidRPr="280D4BDE">
        <w:rPr>
          <w:lang w:val="en-US"/>
        </w:rPr>
        <w:t xml:space="preserve">rovide short-term case management/linking support </w:t>
      </w:r>
      <w:r w:rsidR="00ED631B" w:rsidRPr="3C83384C">
        <w:rPr>
          <w:lang w:val="en-US"/>
        </w:rPr>
        <w:t>and short-term</w:t>
      </w:r>
      <w:r w:rsidR="00ED631B" w:rsidRPr="280D4BDE">
        <w:rPr>
          <w:lang w:val="en-US"/>
        </w:rPr>
        <w:t xml:space="preserve"> care coordination to vulnerable </w:t>
      </w:r>
      <w:r w:rsidR="00ED631B">
        <w:rPr>
          <w:lang w:val="en-US"/>
        </w:rPr>
        <w:t>older people</w:t>
      </w:r>
      <w:r w:rsidR="00ED631B" w:rsidRPr="280D4BDE">
        <w:rPr>
          <w:lang w:val="en-US"/>
        </w:rPr>
        <w:t xml:space="preserve"> to address barriers affecting their access to aged care services, including extending connections with services and organisations in local communities (including those not listed on My Aged Care); and</w:t>
      </w:r>
    </w:p>
    <w:p w14:paraId="2624EAF8" w14:textId="5C4C0F25" w:rsidR="00ED631B" w:rsidRPr="00FA5D96" w:rsidRDefault="004A03E8" w:rsidP="00856600">
      <w:pPr>
        <w:pStyle w:val="NumberedList"/>
        <w:numPr>
          <w:ilvl w:val="0"/>
          <w:numId w:val="38"/>
        </w:numPr>
        <w:tabs>
          <w:tab w:val="clear" w:pos="720"/>
          <w:tab w:val="num" w:pos="567"/>
        </w:tabs>
        <w:spacing w:before="240" w:after="240" w:line="240" w:lineRule="auto"/>
        <w:ind w:left="568" w:hanging="284"/>
      </w:pPr>
      <w:r>
        <w:t>u</w:t>
      </w:r>
      <w:r w:rsidR="00ED631B" w:rsidRPr="00FA5D96">
        <w:t xml:space="preserve">se the My Aged Care </w:t>
      </w:r>
      <w:r w:rsidR="0060352D">
        <w:t>assessor portal</w:t>
      </w:r>
      <w:r w:rsidR="00ED631B" w:rsidRPr="00FA5D96">
        <w:t xml:space="preserve">, including the </w:t>
      </w:r>
      <w:r w:rsidR="00ED631B">
        <w:t xml:space="preserve">IAT and its built-in validated assessment tools </w:t>
      </w:r>
      <w:r w:rsidR="00ED631B" w:rsidRPr="00FA5D96">
        <w:t>and associated guidance materials to record assessment information accurately, prevent duplication, and re-use (pre-populate) information to deliver assessments of a high quality and standard.</w:t>
      </w:r>
    </w:p>
    <w:p w14:paraId="7156FE5D" w14:textId="7656DD9F" w:rsidR="00ED631B" w:rsidRPr="00933098" w:rsidRDefault="00ED631B" w:rsidP="00507F9D">
      <w:pPr>
        <w:pStyle w:val="h2"/>
        <w:rPr>
          <w:color w:val="auto"/>
        </w:rPr>
      </w:pPr>
      <w:bookmarkStart w:id="166" w:name="_Toc204329509"/>
      <w:bookmarkStart w:id="167" w:name="_Toc209188956"/>
      <w:bookmarkStart w:id="168" w:name="_Toc224916623"/>
      <w:r w:rsidRPr="003E1933">
        <w:t xml:space="preserve">Assessment </w:t>
      </w:r>
      <w:r w:rsidR="00D60B1F">
        <w:t>q</w:t>
      </w:r>
      <w:r w:rsidRPr="003E1933">
        <w:t>uality</w:t>
      </w:r>
      <w:bookmarkEnd w:id="146"/>
      <w:bookmarkEnd w:id="166"/>
      <w:bookmarkEnd w:id="167"/>
      <w:bookmarkEnd w:id="168"/>
    </w:p>
    <w:bookmarkEnd w:id="147"/>
    <w:p w14:paraId="3169208F" w14:textId="3408F92F" w:rsidR="00ED631B" w:rsidRPr="00880B95" w:rsidRDefault="00ED631B" w:rsidP="00856600">
      <w:pPr>
        <w:spacing w:before="240" w:after="240" w:line="240" w:lineRule="auto"/>
      </w:pPr>
      <w:r w:rsidRPr="00880B95">
        <w:t xml:space="preserve">Assessment organisations are required to </w:t>
      </w:r>
      <w:r w:rsidRPr="3933FEC2">
        <w:t xml:space="preserve">undertake </w:t>
      </w:r>
      <w:r w:rsidRPr="00880B95">
        <w:t xml:space="preserve">aged care needs assessments using the </w:t>
      </w:r>
      <w:r w:rsidR="7DA5DA2F">
        <w:t>IAT in</w:t>
      </w:r>
      <w:r w:rsidRPr="00880B95">
        <w:t xml:space="preserve"> a manner that focuses on the older person and </w:t>
      </w:r>
      <w:r>
        <w:t>contributes</w:t>
      </w:r>
      <w:r w:rsidRPr="00880B95">
        <w:t xml:space="preserve"> to delivering timely, safe and nationally consistent high-quality assessments, guided by the </w:t>
      </w:r>
      <w:hyperlink r:id="rId62">
        <w:r w:rsidRPr="00880B95">
          <w:t>Aged Care Assessment Quality Framework</w:t>
        </w:r>
      </w:hyperlink>
      <w:r w:rsidRPr="00880B95">
        <w:t xml:space="preserve"> (the Framework).</w:t>
      </w:r>
    </w:p>
    <w:p w14:paraId="2912E1A5" w14:textId="2F3507B0" w:rsidR="00ED631B" w:rsidRPr="00880B95" w:rsidRDefault="00ED631B" w:rsidP="00856600">
      <w:pPr>
        <w:spacing w:before="240" w:after="240" w:line="240" w:lineRule="auto"/>
      </w:pPr>
      <w:r w:rsidRPr="00880B95">
        <w:t xml:space="preserve">The Framework describes essential organisational skills required to support assessors to reach and maintain a high-quality assessment experience for every older person. It also incorporates the </w:t>
      </w:r>
      <w:r w:rsidR="00CF773A">
        <w:t>three</w:t>
      </w:r>
      <w:r w:rsidRPr="00880B95">
        <w:t>-tiers of quality management, focusing on assuring quality assessments including those in relation to younger people</w:t>
      </w:r>
      <w:r w:rsidR="001361CF">
        <w:t xml:space="preserve"> (existing aged care recipients needing a reassessment for other aged care services)</w:t>
      </w:r>
      <w:r w:rsidRPr="00880B95">
        <w:t>, older Aboriginal and Torres Strait Islander people and those from diverse backgrounds.</w:t>
      </w:r>
    </w:p>
    <w:p w14:paraId="5C95ACE7" w14:textId="066F4E37" w:rsidR="003C083C" w:rsidRDefault="00ED631B" w:rsidP="00856600">
      <w:pPr>
        <w:spacing w:before="240" w:after="240" w:line="240" w:lineRule="auto"/>
      </w:pPr>
      <w:r w:rsidRPr="00880B95">
        <w:t>The Framework aligns with the consumer-focused principles of the Aged Care Quality Standards from the Aged Care Quality and Safety Commission (ACQSC)</w:t>
      </w:r>
      <w:r>
        <w:t xml:space="preserve">. </w:t>
      </w:r>
    </w:p>
    <w:p w14:paraId="54674CA9" w14:textId="2A8C91D3" w:rsidR="00ED631B" w:rsidRPr="00880B95" w:rsidRDefault="00ED631B" w:rsidP="00856600">
      <w:pPr>
        <w:spacing w:before="240" w:after="240" w:line="240" w:lineRule="auto"/>
      </w:pPr>
      <w:r>
        <w:t>These</w:t>
      </w:r>
      <w:r w:rsidRPr="00880B95">
        <w:t xml:space="preserve"> </w:t>
      </w:r>
      <w:r w:rsidR="00EB4C3B">
        <w:t>A</w:t>
      </w:r>
      <w:r w:rsidRPr="00880B95">
        <w:t xml:space="preserve">ged </w:t>
      </w:r>
      <w:r w:rsidR="00EB4C3B">
        <w:t>C</w:t>
      </w:r>
      <w:r w:rsidRPr="00880B95">
        <w:t xml:space="preserve">are </w:t>
      </w:r>
      <w:r w:rsidR="00EB4C3B">
        <w:t>Q</w:t>
      </w:r>
      <w:r w:rsidRPr="00880B95">
        <w:t xml:space="preserve">uality </w:t>
      </w:r>
      <w:r w:rsidR="00EB4C3B">
        <w:t>S</w:t>
      </w:r>
      <w:r w:rsidRPr="00880B95">
        <w:t xml:space="preserve">tandards </w:t>
      </w:r>
      <w:r>
        <w:t>identify</w:t>
      </w:r>
      <w:r w:rsidRPr="00880B95">
        <w:t xml:space="preserve"> a high-quality assessment as one that meets the following four quality goals: </w:t>
      </w:r>
    </w:p>
    <w:p w14:paraId="19F4C172"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Personal</w:t>
      </w:r>
      <w:r w:rsidRPr="7C518260">
        <w:rPr>
          <w:color w:val="5B9BD5" w:themeColor="accent1"/>
        </w:rPr>
        <w:t xml:space="preserve"> </w:t>
      </w:r>
      <w:r w:rsidRPr="00880B95">
        <w:t xml:space="preserve">–the assessment process is conducted as a respectful conversation and is responsive to the person’s individual situation, context, goals, and aspirations – it includes and respects the role of carers and family and ascertains the sustainability of this support. Further, the support plan accurately reflects the older person’s personal and unique circumstances (i.e., physical, medical, psychological, cultural, social, and personal) and the older person’s specific goals and aspirations reflective of their assessed care needs. </w:t>
      </w:r>
    </w:p>
    <w:p w14:paraId="5DADE1EB"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Effective</w:t>
      </w:r>
      <w:r w:rsidRPr="00A14C0A">
        <w:rPr>
          <w:color w:val="358189"/>
        </w:rPr>
        <w:t xml:space="preserve"> </w:t>
      </w:r>
      <w:r w:rsidRPr="00880B95">
        <w:t xml:space="preserve">– the older person feels that the assessment process culminates in them being able to exercise choice and control in accessing the right services (as available and as eligible) to assist them to remain in a setting most appropriate to their needs. There is a reduced need for the older person to tell their story more than once. </w:t>
      </w:r>
    </w:p>
    <w:p w14:paraId="72C0D45A"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Connected</w:t>
      </w:r>
      <w:r w:rsidRPr="7C518260">
        <w:rPr>
          <w:b/>
          <w:color w:val="5B9BD5" w:themeColor="accent1"/>
        </w:rPr>
        <w:t xml:space="preserve"> </w:t>
      </w:r>
      <w:r w:rsidRPr="00880B95">
        <w:t xml:space="preserve">– the older person feels connected to their My Aged Care pathway to services; understands how and why the assessment process contributes to their journey and what the likely timeframes are for approval decisions and access to services. </w:t>
      </w:r>
    </w:p>
    <w:p w14:paraId="6A9F74AF" w14:textId="77777777" w:rsidR="00ED631B" w:rsidRPr="00880B95" w:rsidRDefault="00ED631B" w:rsidP="00DF3F6B">
      <w:pPr>
        <w:pStyle w:val="ListParagraph"/>
        <w:numPr>
          <w:ilvl w:val="0"/>
          <w:numId w:val="403"/>
        </w:numPr>
        <w:tabs>
          <w:tab w:val="clear" w:pos="2209"/>
          <w:tab w:val="num" w:pos="360"/>
        </w:tabs>
        <w:spacing w:before="240" w:after="240" w:line="240" w:lineRule="auto"/>
        <w:ind w:left="360"/>
      </w:pPr>
      <w:r w:rsidRPr="00A14C0A">
        <w:rPr>
          <w:b/>
          <w:color w:val="358189"/>
        </w:rPr>
        <w:t>Safe</w:t>
      </w:r>
      <w:r w:rsidRPr="7C518260">
        <w:rPr>
          <w:color w:val="5B9BD5" w:themeColor="accent1"/>
        </w:rPr>
        <w:t xml:space="preserve"> </w:t>
      </w:r>
      <w:r w:rsidRPr="00880B95">
        <w:t xml:space="preserve">– the older person is provided a physically, emotionally and </w:t>
      </w:r>
      <w:r w:rsidRPr="00775F28">
        <w:t>culturally safe assessment</w:t>
      </w:r>
      <w:r w:rsidRPr="00880B95">
        <w:t xml:space="preserve"> where their unique experiences are respected and factored into the way they are assessed for aged care. All assessments are delivered in a safe environment and free from harm. </w:t>
      </w:r>
    </w:p>
    <w:p w14:paraId="024C3E50" w14:textId="77777777" w:rsidR="00ED631B" w:rsidRDefault="00ED631B" w:rsidP="00856600">
      <w:pPr>
        <w:pStyle w:val="ListParagraph"/>
        <w:spacing w:before="240" w:after="240" w:line="240" w:lineRule="auto"/>
        <w:ind w:left="0"/>
      </w:pPr>
    </w:p>
    <w:p w14:paraId="41FF2348" w14:textId="288878E0" w:rsidR="00ED631B" w:rsidRPr="00880B95" w:rsidRDefault="00ED631B" w:rsidP="00856600">
      <w:pPr>
        <w:pStyle w:val="ListParagraph"/>
        <w:spacing w:before="240" w:after="240" w:line="240" w:lineRule="auto"/>
        <w:ind w:left="0"/>
      </w:pPr>
      <w:r>
        <w:t xml:space="preserve">The </w:t>
      </w:r>
      <w:hyperlink r:id="rId63">
        <w:r w:rsidRPr="00880B95">
          <w:t xml:space="preserve"> Framework</w:t>
        </w:r>
      </w:hyperlink>
      <w:r>
        <w:t xml:space="preserve"> </w:t>
      </w:r>
      <w:r w:rsidRPr="00880B95">
        <w:t xml:space="preserve">provides detail of the key components and elements that must be in place to achieve high-quality assessment for every older person. </w:t>
      </w:r>
    </w:p>
    <w:p w14:paraId="73F95F0A" w14:textId="77777777" w:rsidR="00ED631B" w:rsidRPr="00880B95" w:rsidRDefault="00ED631B" w:rsidP="00856600">
      <w:pPr>
        <w:pStyle w:val="ListParagraph"/>
        <w:spacing w:before="240" w:after="240" w:line="240" w:lineRule="auto"/>
        <w:ind w:left="0"/>
      </w:pPr>
    </w:p>
    <w:p w14:paraId="40C00A54" w14:textId="77777777" w:rsidR="00ED631B" w:rsidRPr="00880B95" w:rsidRDefault="00ED631B" w:rsidP="00856600">
      <w:pPr>
        <w:pStyle w:val="ListParagraph"/>
        <w:spacing w:before="240" w:after="240" w:line="240" w:lineRule="auto"/>
        <w:ind w:left="0"/>
      </w:pPr>
      <w:r w:rsidRPr="00880B95">
        <w:t xml:space="preserve">Detailed measures and performance targets against the four quality goals are described in Section 5 of the Framework. The tools used to manage a quality assessment align to a three-tiered approach to managing quality. </w:t>
      </w:r>
    </w:p>
    <w:p w14:paraId="2259108F" w14:textId="77777777" w:rsidR="00ED631B" w:rsidRPr="00880B95" w:rsidRDefault="00ED631B" w:rsidP="00856600">
      <w:pPr>
        <w:pStyle w:val="ListParagraph"/>
        <w:spacing w:before="240" w:after="240" w:line="240" w:lineRule="auto"/>
        <w:ind w:left="0"/>
      </w:pPr>
    </w:p>
    <w:p w14:paraId="4DDD01D5" w14:textId="77777777" w:rsidR="00ED631B" w:rsidRPr="00880B95" w:rsidRDefault="00ED631B" w:rsidP="00856600">
      <w:pPr>
        <w:pStyle w:val="ListParagraph"/>
        <w:spacing w:before="240" w:after="240" w:line="240" w:lineRule="auto"/>
        <w:ind w:left="0"/>
      </w:pPr>
      <w:r w:rsidRPr="00880B95">
        <w:t xml:space="preserve">Assessment organisations are required to comply with the guidance set out in the Framework and </w:t>
      </w:r>
      <w:r>
        <w:t>this</w:t>
      </w:r>
      <w:r w:rsidRPr="00880B95">
        <w:t xml:space="preserve"> Manual. Assessment organisation managers play an important role in providing program support, training and information to their assessment staff to enable them to undertake quality assessments. Operational managers are required to distribute documents and products relating the Aged Care Assessment Quality Framework to their assessment workforce. </w:t>
      </w:r>
    </w:p>
    <w:p w14:paraId="329C37F3" w14:textId="77777777" w:rsidR="00ED631B" w:rsidRDefault="00ED631B" w:rsidP="00507F9D">
      <w:pPr>
        <w:pStyle w:val="h2"/>
      </w:pPr>
      <w:bookmarkStart w:id="169" w:name="_Toc184402261"/>
      <w:bookmarkStart w:id="170" w:name="_Toc204329510"/>
      <w:bookmarkStart w:id="171" w:name="_Toc209188957"/>
      <w:bookmarkStart w:id="172" w:name="_Toc224916624"/>
      <w:r>
        <w:t>Integrated Assessment Tool (IAT)</w:t>
      </w:r>
      <w:bookmarkEnd w:id="169"/>
      <w:bookmarkEnd w:id="170"/>
      <w:bookmarkEnd w:id="171"/>
      <w:bookmarkEnd w:id="172"/>
    </w:p>
    <w:p w14:paraId="2E1B2A83" w14:textId="0E9E3660" w:rsidR="00ED631B" w:rsidRDefault="00ED631B" w:rsidP="00856600">
      <w:pPr>
        <w:spacing w:before="240" w:after="240" w:line="240" w:lineRule="auto"/>
      </w:pPr>
      <w:r>
        <w:t xml:space="preserve">The IAT was developed </w:t>
      </w:r>
      <w:r w:rsidR="00416FA6">
        <w:t xml:space="preserve">as part of the </w:t>
      </w:r>
      <w:r>
        <w:t>aged care reforms</w:t>
      </w:r>
      <w:r w:rsidR="002251F4">
        <w:t xml:space="preserve"> undertaken in accordance with </w:t>
      </w:r>
      <w:r>
        <w:t>the Australian Government’s response to recommendations from the Royal Commission into Aged Care Quality and Safety.</w:t>
      </w:r>
    </w:p>
    <w:p w14:paraId="633AB722" w14:textId="24A651DC" w:rsidR="00ED631B" w:rsidRPr="005A3176" w:rsidRDefault="00ED631B" w:rsidP="00856600">
      <w:pPr>
        <w:spacing w:before="240" w:after="240" w:line="240" w:lineRule="auto"/>
        <w:rPr>
          <w:rFonts w:eastAsia="Aptos"/>
        </w:rPr>
      </w:pPr>
      <w:r w:rsidRPr="005A3176">
        <w:rPr>
          <w:rFonts w:eastAsia="Aptos"/>
        </w:rPr>
        <w:t>The</w:t>
      </w:r>
      <w:r w:rsidR="001361CF" w:rsidRPr="005A3176" w:rsidDel="001361CF">
        <w:rPr>
          <w:rFonts w:eastAsia="Aptos"/>
          <w:b/>
          <w:bCs/>
        </w:rPr>
        <w:t xml:space="preserve"> </w:t>
      </w:r>
      <w:r w:rsidRPr="001361CF">
        <w:rPr>
          <w:rFonts w:eastAsia="Aptos"/>
        </w:rPr>
        <w:t>IAT</w:t>
      </w:r>
      <w:r w:rsidRPr="005A3176">
        <w:rPr>
          <w:rFonts w:eastAsia="Aptos"/>
        </w:rPr>
        <w:t xml:space="preserve"> and its Validated Assessment Tools is the prescribed tool that assessors must use under s62-5 of the </w:t>
      </w:r>
      <w:r w:rsidR="002F7EC6">
        <w:rPr>
          <w:rFonts w:eastAsia="Aptos"/>
        </w:rPr>
        <w:t xml:space="preserve">Aged Care </w:t>
      </w:r>
      <w:r w:rsidRPr="005A3176">
        <w:rPr>
          <w:rFonts w:eastAsia="Aptos"/>
        </w:rPr>
        <w:t>Act</w:t>
      </w:r>
      <w:r w:rsidR="002F7EC6">
        <w:rPr>
          <w:rFonts w:eastAsia="Aptos"/>
        </w:rPr>
        <w:t xml:space="preserve"> 2024</w:t>
      </w:r>
      <w:r w:rsidRPr="005A3176">
        <w:rPr>
          <w:rFonts w:eastAsia="Aptos"/>
        </w:rPr>
        <w:t>. The IAT is essential for capturing a comprehensive profile of an older person’s needs, ensuring accuracy and consistency in decision-making. The IAT consolidates key information about an older person’s needs across a number of domains, providing a holistic view of their health and circumstances. Additionally, embedded validated tools assess abilities and capacity, forming a solid evidence base for determining care needs.</w:t>
      </w:r>
    </w:p>
    <w:p w14:paraId="5E90817F" w14:textId="77777777" w:rsidR="00ED631B" w:rsidRDefault="00ED631B" w:rsidP="00856600">
      <w:pPr>
        <w:spacing w:before="240" w:after="240" w:line="240" w:lineRule="auto"/>
      </w:pPr>
      <w:r>
        <w:t xml:space="preserve">The </w:t>
      </w:r>
      <w:r w:rsidRPr="00856BC1">
        <w:t>IAT is divided into 12 sections</w:t>
      </w:r>
      <w:r>
        <w:t>.</w:t>
      </w:r>
      <w:r w:rsidRPr="00856BC1">
        <w:t xml:space="preserve"> </w:t>
      </w:r>
      <w:r>
        <w:t>S</w:t>
      </w:r>
      <w:r w:rsidRPr="00856BC1">
        <w:t>ome of the sections contain nested questions to tailor assessments, only diving deeper into areas where needed.</w:t>
      </w:r>
    </w:p>
    <w:p w14:paraId="68C4BF6C" w14:textId="1141F325" w:rsidR="00ED631B" w:rsidRDefault="00ED631B" w:rsidP="00856600">
      <w:pPr>
        <w:spacing w:before="240" w:after="240" w:line="240" w:lineRule="auto"/>
      </w:pPr>
      <w:r>
        <w:t xml:space="preserve">The </w:t>
      </w:r>
      <w:r w:rsidRPr="00616E76">
        <w:t>IAT Offline Form</w:t>
      </w:r>
      <w:r>
        <w:t xml:space="preserve"> is also available for assessors who are undertaking assessments remotely or who do not have any available internet access at the time of the assessment. </w:t>
      </w:r>
    </w:p>
    <w:tbl>
      <w:tblPr>
        <w:tblW w:w="0" w:type="auto"/>
        <w:tblLook w:val="04A0" w:firstRow="1" w:lastRow="0" w:firstColumn="1" w:lastColumn="0" w:noHBand="0" w:noVBand="1"/>
      </w:tblPr>
      <w:tblGrid>
        <w:gridCol w:w="982"/>
        <w:gridCol w:w="7784"/>
      </w:tblGrid>
      <w:tr w:rsidR="000B3576" w14:paraId="3F92890E" w14:textId="77777777" w:rsidTr="00EF701B">
        <w:trPr>
          <w:trHeight w:val="1023"/>
        </w:trPr>
        <w:tc>
          <w:tcPr>
            <w:tcW w:w="988" w:type="dxa"/>
          </w:tcPr>
          <w:p w14:paraId="16562735" w14:textId="77777777" w:rsidR="000B3576" w:rsidRPr="009940A8" w:rsidRDefault="000B3576" w:rsidP="00856600">
            <w:pPr>
              <w:spacing w:before="240" w:after="240" w:line="240" w:lineRule="auto"/>
            </w:pPr>
            <w:r w:rsidRPr="009940A8">
              <w:rPr>
                <w:noProof/>
              </w:rPr>
              <w:drawing>
                <wp:inline distT="0" distB="0" distL="0" distR="0" wp14:anchorId="73A0AC63" wp14:editId="76023BB0">
                  <wp:extent cx="383111" cy="381000"/>
                  <wp:effectExtent l="0" t="0" r="0" b="0"/>
                  <wp:docPr id="1250721436" name="Picture 125072143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51642D30" w14:textId="77777777" w:rsidR="000B3576" w:rsidRDefault="00616E76" w:rsidP="00856600">
            <w:pPr>
              <w:spacing w:before="240" w:after="240" w:line="240" w:lineRule="auto"/>
            </w:pPr>
            <w:hyperlink r:id="rId64" w:history="1">
              <w:r w:rsidRPr="00375400">
                <w:rPr>
                  <w:rStyle w:val="Hyperlink"/>
                </w:rPr>
                <w:t>IAT Offline Form</w:t>
              </w:r>
            </w:hyperlink>
          </w:p>
          <w:p w14:paraId="022AD0A2" w14:textId="21DC25B9" w:rsidR="000B3576" w:rsidRPr="008D2A52" w:rsidRDefault="00BB35A1" w:rsidP="00856600">
            <w:pPr>
              <w:spacing w:before="240" w:after="240" w:line="240" w:lineRule="auto"/>
            </w:pPr>
            <w:hyperlink r:id="rId65" w:history="1">
              <w:r w:rsidRPr="00EF701B">
                <w:rPr>
                  <w:rStyle w:val="Hyperlink"/>
                </w:rPr>
                <w:t>IAT User Guide</w:t>
              </w:r>
            </w:hyperlink>
          </w:p>
        </w:tc>
      </w:tr>
    </w:tbl>
    <w:p w14:paraId="5C311E8F" w14:textId="3466C02C" w:rsidR="00616E76" w:rsidRDefault="006964E3" w:rsidP="00C56CEC">
      <w:pPr>
        <w:pStyle w:val="H3"/>
      </w:pPr>
      <w:r w:rsidRPr="005E4E0E">
        <w:rPr>
          <w:noProof/>
        </w:rPr>
        <w:drawing>
          <wp:anchor distT="0" distB="0" distL="114300" distR="114300" simplePos="0" relativeHeight="251658290" behindDoc="0" locked="0" layoutInCell="1" allowOverlap="1" wp14:anchorId="09FA220D" wp14:editId="64E72875">
            <wp:simplePos x="0" y="0"/>
            <wp:positionH relativeFrom="margin">
              <wp:align>left</wp:align>
            </wp:positionH>
            <wp:positionV relativeFrom="paragraph">
              <wp:posOffset>168342</wp:posOffset>
            </wp:positionV>
            <wp:extent cx="457200" cy="502920"/>
            <wp:effectExtent l="0" t="0" r="0" b="0"/>
            <wp:wrapSquare wrapText="bothSides"/>
            <wp:docPr id="1627078792" name="Picture 162707879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616E76">
        <w:t>Validated Assessment Tools</w:t>
      </w:r>
    </w:p>
    <w:p w14:paraId="5EF08DB7" w14:textId="0E2B9143" w:rsidR="00ED631B" w:rsidRDefault="00ED631B" w:rsidP="00856600">
      <w:pPr>
        <w:spacing w:before="240" w:after="240" w:line="240" w:lineRule="auto"/>
      </w:pPr>
      <w:r>
        <w:t>Where appropriate, assessors should consider using culturally appropriate validated tools within the IAT to deliver culturally safe, trauma aware and healing informed assessments</w:t>
      </w:r>
      <w:r w:rsidR="0081663F">
        <w:t>. These tools are detailed in Table 1</w:t>
      </w:r>
      <w:r w:rsidR="11EA8D83">
        <w:t>2</w:t>
      </w:r>
      <w:r w:rsidR="0081663F">
        <w:t xml:space="preserve"> </w:t>
      </w:r>
    </w:p>
    <w:p w14:paraId="5290BB66" w14:textId="6C841314" w:rsidR="00E2070C" w:rsidRDefault="00E2070C" w:rsidP="00856600">
      <w:pPr>
        <w:pStyle w:val="Caption"/>
        <w:spacing w:before="240" w:after="240"/>
      </w:pPr>
      <w:r>
        <w:t xml:space="preserve">Table </w:t>
      </w:r>
      <w:r w:rsidR="0081663F">
        <w:t>1</w:t>
      </w:r>
      <w:r w:rsidR="0027373F">
        <w:t>2</w:t>
      </w:r>
      <w:r>
        <w:t xml:space="preserve">. Validated culturally appropriate assessment tools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Validated culturally appropriate assessment tools "/>
        <w:tblDescription w:val="Overview of validated culturally appropriate assessment tools"/>
      </w:tblPr>
      <w:tblGrid>
        <w:gridCol w:w="2974"/>
        <w:gridCol w:w="5792"/>
      </w:tblGrid>
      <w:tr w:rsidR="00E9000A" w:rsidRPr="00E9000A" w14:paraId="45CFDB03" w14:textId="77777777" w:rsidTr="001704DC">
        <w:trPr>
          <w:tblHeader/>
        </w:trPr>
        <w:tc>
          <w:tcPr>
            <w:tcW w:w="2974" w:type="dxa"/>
            <w:shd w:val="clear" w:color="auto" w:fill="002060"/>
          </w:tcPr>
          <w:p w14:paraId="4D798C82" w14:textId="3AAD65FB" w:rsidR="00ED631B" w:rsidRPr="00E9000A" w:rsidRDefault="00ED631B" w:rsidP="00856600">
            <w:pPr>
              <w:spacing w:before="240" w:after="240"/>
              <w:rPr>
                <w:b/>
                <w:bCs/>
                <w:color w:val="FFFFFF" w:themeColor="background1"/>
              </w:rPr>
            </w:pPr>
            <w:r w:rsidRPr="00E9000A">
              <w:rPr>
                <w:b/>
                <w:bCs/>
                <w:color w:val="FFFFFF" w:themeColor="background1"/>
              </w:rPr>
              <w:t xml:space="preserve">Validated </w:t>
            </w:r>
            <w:r w:rsidR="00E2070C">
              <w:rPr>
                <w:b/>
                <w:bCs/>
                <w:color w:val="FFFFFF" w:themeColor="background1"/>
              </w:rPr>
              <w:t>c</w:t>
            </w:r>
            <w:r w:rsidRPr="00E9000A">
              <w:rPr>
                <w:b/>
                <w:bCs/>
                <w:color w:val="FFFFFF" w:themeColor="background1"/>
              </w:rPr>
              <w:t xml:space="preserve">ulturally appropriate </w:t>
            </w:r>
            <w:r w:rsidR="00E2070C">
              <w:rPr>
                <w:b/>
                <w:bCs/>
                <w:color w:val="FFFFFF" w:themeColor="background1"/>
              </w:rPr>
              <w:t>t</w:t>
            </w:r>
            <w:r w:rsidRPr="00E9000A">
              <w:rPr>
                <w:b/>
                <w:bCs/>
                <w:color w:val="FFFFFF" w:themeColor="background1"/>
              </w:rPr>
              <w:t xml:space="preserve">ool </w:t>
            </w:r>
          </w:p>
        </w:tc>
        <w:tc>
          <w:tcPr>
            <w:tcW w:w="5792" w:type="dxa"/>
            <w:shd w:val="clear" w:color="auto" w:fill="002060"/>
          </w:tcPr>
          <w:p w14:paraId="4B1027B3" w14:textId="77777777" w:rsidR="00ED631B" w:rsidRPr="00E9000A" w:rsidRDefault="00ED631B" w:rsidP="00856600">
            <w:pPr>
              <w:spacing w:before="240" w:after="240"/>
              <w:rPr>
                <w:b/>
                <w:bCs/>
                <w:color w:val="FFFFFF" w:themeColor="background1"/>
              </w:rPr>
            </w:pPr>
            <w:r w:rsidRPr="00E9000A">
              <w:rPr>
                <w:b/>
                <w:bCs/>
                <w:color w:val="FFFFFF" w:themeColor="background1"/>
              </w:rPr>
              <w:t>Short description</w:t>
            </w:r>
          </w:p>
        </w:tc>
      </w:tr>
      <w:tr w:rsidR="00ED631B" w14:paraId="18F8CFAD" w14:textId="77777777" w:rsidTr="001704DC">
        <w:tc>
          <w:tcPr>
            <w:tcW w:w="2974" w:type="dxa"/>
            <w:shd w:val="clear" w:color="auto" w:fill="002060"/>
          </w:tcPr>
          <w:p w14:paraId="5211EBE3" w14:textId="77777777" w:rsidR="00ED631B" w:rsidRDefault="00ED631B" w:rsidP="00856600">
            <w:pPr>
              <w:spacing w:before="240" w:after="240"/>
            </w:pPr>
            <w:r>
              <w:t xml:space="preserve">Good Spirit Good Life (GSGL): </w:t>
            </w:r>
          </w:p>
          <w:p w14:paraId="14934F97" w14:textId="77777777" w:rsidR="00ED631B" w:rsidRDefault="00ED631B" w:rsidP="00856600">
            <w:pPr>
              <w:spacing w:before="240" w:after="240"/>
            </w:pPr>
          </w:p>
        </w:tc>
        <w:tc>
          <w:tcPr>
            <w:tcW w:w="5792" w:type="dxa"/>
          </w:tcPr>
          <w:p w14:paraId="72610B73" w14:textId="77777777" w:rsidR="00ED631B" w:rsidRDefault="00ED631B" w:rsidP="00856600">
            <w:pPr>
              <w:spacing w:before="240" w:after="240"/>
              <w:rPr>
                <w:lang w:val="en-AU"/>
              </w:rPr>
            </w:pPr>
            <w:r w:rsidRPr="00CC2622">
              <w:rPr>
                <w:lang w:val="en-AU"/>
              </w:rPr>
              <w:t>The GSGL addresses gaps in health and aged care by providing a culturally-informed approach to measuring, understanding and meeting the quality of life of older First Nations people. The tool measures wellbeing using 12 interconnected factors which are important to the First Nations people, such as family and friends, connection to Country, community, culture, health, respect, their role as an Elder, support services, safety and security, spirituality, future wishes and basic needs being met.</w:t>
            </w:r>
          </w:p>
          <w:p w14:paraId="60E5EC0A" w14:textId="77777777" w:rsidR="009266EA" w:rsidRDefault="009266EA" w:rsidP="00856600">
            <w:pPr>
              <w:spacing w:before="240" w:after="240"/>
            </w:pPr>
          </w:p>
          <w:p w14:paraId="41AF67D4" w14:textId="6646A369" w:rsidR="009266EA" w:rsidRPr="00CC2622" w:rsidRDefault="009266EA" w:rsidP="00856600">
            <w:pPr>
              <w:spacing w:before="240" w:after="240"/>
            </w:pPr>
            <w:r w:rsidRPr="009266EA">
              <w:t xml:space="preserve">Guidance on Good Spirit Good Life is available at: </w:t>
            </w:r>
            <w:hyperlink r:id="rId66" w:tgtFrame="_blank" w:history="1">
              <w:r w:rsidRPr="009266EA">
                <w:rPr>
                  <w:rStyle w:val="Hyperlink"/>
                </w:rPr>
                <w:t>https://www.aboriginalageingwellresearch.com/gsgl-resources</w:t>
              </w:r>
            </w:hyperlink>
            <w:r w:rsidRPr="009266EA">
              <w:t xml:space="preserve"> (registration required to view) </w:t>
            </w:r>
          </w:p>
          <w:p w14:paraId="10013271" w14:textId="4F515DF8" w:rsidR="00ED631B" w:rsidRDefault="00F80B31" w:rsidP="00856600">
            <w:pPr>
              <w:spacing w:before="240" w:after="240"/>
            </w:pPr>
            <w:r>
              <w:t xml:space="preserve">This tool is </w:t>
            </w:r>
            <w:r w:rsidR="00FB0564">
              <w:t>available</w:t>
            </w:r>
            <w:r>
              <w:t xml:space="preserve"> in</w:t>
            </w:r>
            <w:r w:rsidR="00FB0564">
              <w:t xml:space="preserve"> the Integrated Assessment Tool (IAT). </w:t>
            </w:r>
          </w:p>
        </w:tc>
      </w:tr>
      <w:tr w:rsidR="682F5E82" w14:paraId="0F857FB4" w14:textId="77777777" w:rsidTr="001704DC">
        <w:trPr>
          <w:trHeight w:val="300"/>
        </w:trPr>
        <w:tc>
          <w:tcPr>
            <w:tcW w:w="2974" w:type="dxa"/>
            <w:shd w:val="clear" w:color="auto" w:fill="002060"/>
          </w:tcPr>
          <w:p w14:paraId="207F87BB" w14:textId="58FCB16B" w:rsidR="69C16565" w:rsidRDefault="69C16565" w:rsidP="682F5E82">
            <w:r>
              <w:t>De Morton Mobility Index modified</w:t>
            </w:r>
          </w:p>
        </w:tc>
        <w:tc>
          <w:tcPr>
            <w:tcW w:w="5792" w:type="dxa"/>
          </w:tcPr>
          <w:p w14:paraId="3D2AEAA8" w14:textId="686FE664" w:rsidR="69C16565" w:rsidRDefault="69C16565" w:rsidP="682F5E82">
            <w:pPr>
              <w:rPr>
                <w:lang w:val="en-AU"/>
              </w:rPr>
            </w:pPr>
            <w:r w:rsidRPr="682F5E82">
              <w:rPr>
                <w:lang w:val="en-AU"/>
              </w:rPr>
              <w:t>The DEMMI modified measures the mobility of older people across clinical settings and rates what the person is capable of doing (Can Do), rather than what they currently do.</w:t>
            </w:r>
          </w:p>
          <w:p w14:paraId="63C81392" w14:textId="0D12B2C9" w:rsidR="682F5E82" w:rsidRDefault="682F5E82" w:rsidP="682F5E82">
            <w:pPr>
              <w:rPr>
                <w:lang w:val="en-AU"/>
              </w:rPr>
            </w:pPr>
          </w:p>
          <w:p w14:paraId="68BEACE4" w14:textId="2927F998" w:rsidR="69C16565" w:rsidRDefault="69C16565" w:rsidP="682F5E82">
            <w:pPr>
              <w:rPr>
                <w:lang w:val="en-AU"/>
              </w:rPr>
            </w:pPr>
            <w:r w:rsidRPr="682F5E82">
              <w:rPr>
                <w:lang w:val="en-AU"/>
              </w:rPr>
              <w:t>Please refer to the below guidance material for information on completing this validated tool and appropriately asking questions</w:t>
            </w:r>
          </w:p>
          <w:p w14:paraId="1D9E7F1C" w14:textId="055EF61C" w:rsidR="682F5E82" w:rsidRDefault="682F5E82" w:rsidP="682F5E82">
            <w:pPr>
              <w:rPr>
                <w:lang w:val="en-AU"/>
              </w:rPr>
            </w:pPr>
          </w:p>
          <w:p w14:paraId="6578855C" w14:textId="1D31B6D2" w:rsidR="69C16565" w:rsidRDefault="69C16565" w:rsidP="0031628B">
            <w:pPr>
              <w:pStyle w:val="ListParagraph"/>
              <w:numPr>
                <w:ilvl w:val="0"/>
                <w:numId w:val="580"/>
              </w:numPr>
              <w:rPr>
                <w:lang w:val="en-AU"/>
              </w:rPr>
            </w:pPr>
            <w:r w:rsidRPr="682F5E82">
              <w:rPr>
                <w:lang w:val="en-AU"/>
              </w:rPr>
              <w:t>The completion of Departmental training on the DEMMI modified is required before it can be used in a client assessment.</w:t>
            </w:r>
          </w:p>
          <w:p w14:paraId="6AF02792" w14:textId="667A2344" w:rsidR="682F5E82" w:rsidRDefault="682F5E82" w:rsidP="0031628B">
            <w:pPr>
              <w:pStyle w:val="ListParagraph"/>
              <w:rPr>
                <w:lang w:val="en-AU"/>
              </w:rPr>
            </w:pPr>
          </w:p>
          <w:p w14:paraId="207F5DD7" w14:textId="555A1AA0" w:rsidR="69C16565" w:rsidRDefault="69C16565" w:rsidP="0031628B">
            <w:pPr>
              <w:pStyle w:val="ListParagraph"/>
              <w:numPr>
                <w:ilvl w:val="0"/>
                <w:numId w:val="580"/>
              </w:numPr>
              <w:rPr>
                <w:lang w:val="en-AU"/>
              </w:rPr>
            </w:pPr>
            <w:r w:rsidRPr="682F5E82">
              <w:rPr>
                <w:lang w:val="en-AU"/>
              </w:rPr>
              <w:t>AN-ACC Assessor Manual for guidance on responding to questions in the DEMMI-modified validated tool.</w:t>
            </w:r>
          </w:p>
          <w:p w14:paraId="4C2869B0" w14:textId="3C4A0224" w:rsidR="682F5E82" w:rsidRDefault="682F5E82" w:rsidP="0031628B">
            <w:pPr>
              <w:pStyle w:val="ListParagraph"/>
              <w:rPr>
                <w:lang w:val="en-AU"/>
              </w:rPr>
            </w:pPr>
          </w:p>
        </w:tc>
      </w:tr>
      <w:tr w:rsidR="682F5E82" w14:paraId="4E7FAB10" w14:textId="77777777" w:rsidTr="001704DC">
        <w:trPr>
          <w:trHeight w:val="300"/>
        </w:trPr>
        <w:tc>
          <w:tcPr>
            <w:tcW w:w="2974" w:type="dxa"/>
            <w:shd w:val="clear" w:color="auto" w:fill="002060"/>
          </w:tcPr>
          <w:p w14:paraId="1612D0CB" w14:textId="3A95252E" w:rsidR="69C16565" w:rsidRDefault="69C16565" w:rsidP="682F5E82">
            <w:r>
              <w:t>Duke Social Support Index – Social Interaction Subscale</w:t>
            </w:r>
          </w:p>
        </w:tc>
        <w:tc>
          <w:tcPr>
            <w:tcW w:w="5792" w:type="dxa"/>
          </w:tcPr>
          <w:p w14:paraId="58EE7ED2" w14:textId="51EC9C56" w:rsidR="69C16565" w:rsidRDefault="69C16565" w:rsidP="682F5E82">
            <w:pPr>
              <w:rPr>
                <w:lang w:val="en-AU"/>
              </w:rPr>
            </w:pPr>
            <w:r w:rsidRPr="682F5E82">
              <w:rPr>
                <w:lang w:val="en-AU"/>
              </w:rPr>
              <w:t>The Duke Social Support Index (DSSI) intends to capture essential components of social support related to mental health outcomes and the use of health services in treating older individuals with non-psychiatric medical illnesses.</w:t>
            </w:r>
          </w:p>
          <w:p w14:paraId="1A33D27C" w14:textId="317AE322" w:rsidR="682F5E82" w:rsidRDefault="682F5E82" w:rsidP="682F5E82">
            <w:pPr>
              <w:rPr>
                <w:lang w:val="en-AU"/>
              </w:rPr>
            </w:pPr>
          </w:p>
          <w:p w14:paraId="5B735B80" w14:textId="62B446FD" w:rsidR="69C16565" w:rsidRDefault="69C16565" w:rsidP="682F5E82">
            <w:pPr>
              <w:rPr>
                <w:lang w:val="en-AU"/>
              </w:rPr>
            </w:pPr>
            <w:r w:rsidRPr="682F5E82">
              <w:rPr>
                <w:lang w:val="en-AU"/>
              </w:rPr>
              <w:t>Please refer to the below guidance material for information on completing this validated tool and appropriately asking questions.</w:t>
            </w:r>
          </w:p>
          <w:p w14:paraId="42CA0D39" w14:textId="42276A12" w:rsidR="682F5E82" w:rsidRDefault="682F5E82">
            <w:pPr>
              <w:rPr>
                <w:lang w:val="en-AU"/>
              </w:rPr>
            </w:pPr>
          </w:p>
          <w:p w14:paraId="7AFA2196" w14:textId="5245C9CC" w:rsidR="69C16565" w:rsidRDefault="69C16565" w:rsidP="0031628B">
            <w:pPr>
              <w:pStyle w:val="ListParagraph"/>
              <w:numPr>
                <w:ilvl w:val="0"/>
                <w:numId w:val="579"/>
              </w:numPr>
              <w:rPr>
                <w:lang w:val="en-AU"/>
              </w:rPr>
            </w:pPr>
            <w:r w:rsidRPr="682F5E82">
              <w:rPr>
                <w:lang w:val="en-AU"/>
              </w:rPr>
              <w:t>Please review the MAClearning element Validated Assessment Tools in Practice for further guidance on how and when to administer this validated tool with a client at an assessment.</w:t>
            </w:r>
          </w:p>
          <w:p w14:paraId="0FCCC25F" w14:textId="3FF935A7" w:rsidR="682F5E82" w:rsidRDefault="682F5E82">
            <w:pPr>
              <w:rPr>
                <w:lang w:val="en-AU"/>
              </w:rPr>
            </w:pPr>
          </w:p>
          <w:p w14:paraId="7ACA1718" w14:textId="240B033A" w:rsidR="69C16565" w:rsidRDefault="69C16565" w:rsidP="0031628B">
            <w:pPr>
              <w:pStyle w:val="ListParagraph"/>
              <w:numPr>
                <w:ilvl w:val="0"/>
                <w:numId w:val="579"/>
              </w:numPr>
              <w:rPr>
                <w:lang w:val="en-AU"/>
              </w:rPr>
            </w:pPr>
            <w:r w:rsidRPr="682F5E82">
              <w:rPr>
                <w:lang w:val="en-AU"/>
              </w:rPr>
              <w:t xml:space="preserve">Guidance on the DSSI is available at </w:t>
            </w:r>
            <w:hyperlink r:id="rId67" w:history="1">
              <w:r w:rsidRPr="682F5E82">
                <w:rPr>
                  <w:rStyle w:val="Hyperlink"/>
                  <w:lang w:val="en-AU"/>
                </w:rPr>
                <w:t>https://alswh.org.au/wp-content/uploads/2020/08/DDSSection2.7DSSI.pdf</w:t>
              </w:r>
            </w:hyperlink>
          </w:p>
        </w:tc>
      </w:tr>
      <w:tr w:rsidR="682F5E82" w14:paraId="78252F4C" w14:textId="77777777" w:rsidTr="001704DC">
        <w:trPr>
          <w:trHeight w:val="300"/>
        </w:trPr>
        <w:tc>
          <w:tcPr>
            <w:tcW w:w="2974" w:type="dxa"/>
            <w:shd w:val="clear" w:color="auto" w:fill="002060"/>
          </w:tcPr>
          <w:p w14:paraId="34F7FC84" w14:textId="2BDDC2AD" w:rsidR="13BFE70B" w:rsidRDefault="13BFE70B" w:rsidP="682F5E82">
            <w:r>
              <w:t>Step 1 GP Cog and Step 2 GP Cog</w:t>
            </w:r>
          </w:p>
        </w:tc>
        <w:tc>
          <w:tcPr>
            <w:tcW w:w="5792" w:type="dxa"/>
          </w:tcPr>
          <w:p w14:paraId="62FCD361" w14:textId="387A5D5B" w:rsidR="13BFE70B" w:rsidRDefault="13BFE70B" w:rsidP="682F5E82">
            <w:pPr>
              <w:rPr>
                <w:lang w:val="en-AU"/>
              </w:rPr>
            </w:pPr>
            <w:r w:rsidRPr="682F5E82">
              <w:rPr>
                <w:lang w:val="en-AU"/>
              </w:rPr>
              <w:t>The GP-Cog is a reliable, valid, and efficient instrument to screen for dementia. The GP-Cog score is not influenced by the cultural and linguistic background of a person making it an invaluable screening tool especially in multicultural patient settings.</w:t>
            </w:r>
          </w:p>
          <w:p w14:paraId="261FF962" w14:textId="6C25860C" w:rsidR="682F5E82" w:rsidRDefault="682F5E82" w:rsidP="682F5E82">
            <w:pPr>
              <w:rPr>
                <w:lang w:val="en-AU"/>
              </w:rPr>
            </w:pPr>
          </w:p>
          <w:p w14:paraId="740D2A04" w14:textId="4D54BB73" w:rsidR="13BFE70B" w:rsidRDefault="13BFE70B" w:rsidP="682F5E82">
            <w:pPr>
              <w:rPr>
                <w:lang w:val="en-AU"/>
              </w:rPr>
            </w:pPr>
            <w:r w:rsidRPr="682F5E82">
              <w:rPr>
                <w:lang w:val="en-AU"/>
              </w:rPr>
              <w:t>Please refer to the below guidance material for information on completing this validated tool and appropriately asking questions.</w:t>
            </w:r>
          </w:p>
          <w:p w14:paraId="07AA397C" w14:textId="420B7B6A" w:rsidR="682F5E82" w:rsidRDefault="682F5E82">
            <w:pPr>
              <w:rPr>
                <w:lang w:val="en-AU"/>
              </w:rPr>
            </w:pPr>
          </w:p>
          <w:p w14:paraId="5DC48037" w14:textId="3DD5DD73" w:rsidR="13BFE70B" w:rsidRDefault="13BFE70B" w:rsidP="0031628B">
            <w:pPr>
              <w:pStyle w:val="ListParagraph"/>
              <w:numPr>
                <w:ilvl w:val="0"/>
                <w:numId w:val="578"/>
              </w:numPr>
              <w:rPr>
                <w:lang w:val="en-AU"/>
              </w:rPr>
            </w:pPr>
            <w:r w:rsidRPr="682F5E82">
              <w:rPr>
                <w:lang w:val="en-AU"/>
              </w:rPr>
              <w:t>Please review the MAClearning element Validated Assessment Tools in Practice for further guidance on how and when to administer this validated tool with a client at an assessment.</w:t>
            </w:r>
          </w:p>
          <w:p w14:paraId="4D5B56F8" w14:textId="517B5993" w:rsidR="682F5E82" w:rsidRDefault="682F5E82">
            <w:pPr>
              <w:rPr>
                <w:lang w:val="en-AU"/>
              </w:rPr>
            </w:pPr>
          </w:p>
          <w:p w14:paraId="61C4E18A" w14:textId="4D26787A" w:rsidR="13BFE70B" w:rsidRDefault="13BFE70B" w:rsidP="0031628B">
            <w:pPr>
              <w:pStyle w:val="ListParagraph"/>
              <w:numPr>
                <w:ilvl w:val="0"/>
                <w:numId w:val="578"/>
              </w:numPr>
              <w:rPr>
                <w:lang w:val="en-AU"/>
              </w:rPr>
            </w:pPr>
            <w:r w:rsidRPr="682F5E82">
              <w:rPr>
                <w:lang w:val="en-AU"/>
              </w:rPr>
              <w:t xml:space="preserve">Guidance on the GP-Cog is available at </w:t>
            </w:r>
            <w:hyperlink r:id="rId68" w:history="1">
              <w:r w:rsidRPr="682F5E82">
                <w:rPr>
                  <w:rStyle w:val="Hyperlink"/>
                  <w:lang w:val="en-AU"/>
                </w:rPr>
                <w:t>gpcog.com.au.</w:t>
              </w:r>
            </w:hyperlink>
          </w:p>
          <w:p w14:paraId="79938A36" w14:textId="4ED5EAFF" w:rsidR="682F5E82" w:rsidRDefault="682F5E82" w:rsidP="0031628B">
            <w:pPr>
              <w:pStyle w:val="ListParagraph"/>
              <w:rPr>
                <w:lang w:val="en-AU"/>
              </w:rPr>
            </w:pPr>
          </w:p>
        </w:tc>
      </w:tr>
      <w:tr w:rsidR="682F5E82" w14:paraId="6EBF7555" w14:textId="77777777" w:rsidTr="001704DC">
        <w:trPr>
          <w:trHeight w:val="300"/>
        </w:trPr>
        <w:tc>
          <w:tcPr>
            <w:tcW w:w="2974" w:type="dxa"/>
            <w:shd w:val="clear" w:color="auto" w:fill="002060"/>
          </w:tcPr>
          <w:p w14:paraId="44E5F6C0" w14:textId="7E6ECC72" w:rsidR="687AB67D" w:rsidRDefault="687AB67D" w:rsidP="682F5E82">
            <w:r>
              <w:t>Patient Health Questionnaire-4 (PHQ-4)</w:t>
            </w:r>
          </w:p>
        </w:tc>
        <w:tc>
          <w:tcPr>
            <w:tcW w:w="5792" w:type="dxa"/>
          </w:tcPr>
          <w:p w14:paraId="2B83588D" w14:textId="5313908F" w:rsidR="687AB67D" w:rsidRDefault="687AB67D" w:rsidP="682F5E82">
            <w:pPr>
              <w:rPr>
                <w:lang w:val="en-AU"/>
              </w:rPr>
            </w:pPr>
            <w:r w:rsidRPr="682F5E82">
              <w:rPr>
                <w:lang w:val="en-AU"/>
              </w:rPr>
              <w:t>The purpose of the PHQ-4 is to allow for ultra-brief and accurate measurement of core symptoms/signs of depression and anxiety by combining the two-item measure (PHQ–2), consisting of core criteria for depression, as well as a two-item measure for anxiety (GAD–2), both of which have independently been shown to be good brief screening tools</w:t>
            </w:r>
          </w:p>
          <w:p w14:paraId="453977D5" w14:textId="2628A70E" w:rsidR="682F5E82" w:rsidRDefault="682F5E82" w:rsidP="682F5E82">
            <w:pPr>
              <w:rPr>
                <w:lang w:val="en-AU"/>
              </w:rPr>
            </w:pPr>
          </w:p>
          <w:p w14:paraId="1CB0890C" w14:textId="5C14EA21" w:rsidR="687AB67D" w:rsidRDefault="687AB67D" w:rsidP="682F5E82">
            <w:pPr>
              <w:rPr>
                <w:lang w:val="en-AU"/>
              </w:rPr>
            </w:pPr>
            <w:r w:rsidRPr="682F5E82">
              <w:rPr>
                <w:lang w:val="en-AU"/>
              </w:rPr>
              <w:t>Please refer to the below guidance material for information on completing this validated tool and appropriately asking questions.</w:t>
            </w:r>
          </w:p>
          <w:p w14:paraId="7972E491" w14:textId="12446FEA" w:rsidR="682F5E82" w:rsidRDefault="682F5E82" w:rsidP="682F5E82">
            <w:pPr>
              <w:rPr>
                <w:lang w:val="en-AU"/>
              </w:rPr>
            </w:pPr>
          </w:p>
          <w:p w14:paraId="198B9EB9" w14:textId="07CCC3E4" w:rsidR="687AB67D" w:rsidRDefault="687AB67D" w:rsidP="0031628B">
            <w:pPr>
              <w:pStyle w:val="ListParagraph"/>
              <w:numPr>
                <w:ilvl w:val="0"/>
                <w:numId w:val="577"/>
              </w:numPr>
              <w:rPr>
                <w:lang w:val="en-AU"/>
              </w:rPr>
            </w:pPr>
            <w:r w:rsidRPr="682F5E82">
              <w:rPr>
                <w:lang w:val="en-AU"/>
              </w:rPr>
              <w:t xml:space="preserve">Some guidance on PHQ-4 is available at: </w:t>
            </w:r>
            <w:hyperlink r:id="rId69" w:history="1">
              <w:r w:rsidRPr="682F5E82">
                <w:rPr>
                  <w:rStyle w:val="Hyperlink"/>
                  <w:lang w:val="en-AU"/>
                </w:rPr>
                <w:t>Anxiety &amp; Depression (PHQ-4) | The WELL Office – McGill University</w:t>
              </w:r>
            </w:hyperlink>
          </w:p>
          <w:p w14:paraId="00E7888A" w14:textId="1B8575EB" w:rsidR="682F5E82" w:rsidRDefault="682F5E82" w:rsidP="0031628B">
            <w:pPr>
              <w:pStyle w:val="ListParagraph"/>
              <w:rPr>
                <w:lang w:val="en-AU"/>
              </w:rPr>
            </w:pPr>
          </w:p>
        </w:tc>
      </w:tr>
      <w:tr w:rsidR="682F5E82" w14:paraId="3C284149" w14:textId="77777777" w:rsidTr="001704DC">
        <w:trPr>
          <w:trHeight w:val="300"/>
        </w:trPr>
        <w:tc>
          <w:tcPr>
            <w:tcW w:w="2974" w:type="dxa"/>
            <w:shd w:val="clear" w:color="auto" w:fill="002060"/>
          </w:tcPr>
          <w:p w14:paraId="61FB35D3" w14:textId="3D459BB9" w:rsidR="687AB67D" w:rsidRDefault="687AB67D" w:rsidP="682F5E82">
            <w:r>
              <w:t>Geriatric Depression Scale</w:t>
            </w:r>
          </w:p>
        </w:tc>
        <w:tc>
          <w:tcPr>
            <w:tcW w:w="5792" w:type="dxa"/>
          </w:tcPr>
          <w:p w14:paraId="2112FEF2" w14:textId="440A35D8" w:rsidR="687AB67D" w:rsidRDefault="687AB67D" w:rsidP="682F5E82">
            <w:pPr>
              <w:rPr>
                <w:lang w:val="en-AU"/>
              </w:rPr>
            </w:pPr>
            <w:r w:rsidRPr="682F5E82">
              <w:rPr>
                <w:lang w:val="en-AU"/>
              </w:rPr>
              <w:t>The Geriatric Depression Scale (GDS) (15 point version) is a depression assessment tool specifically designed for older people. The GDS can be filled out by the client or administered by an interviewer. It comprises 15 questions about how the client has felt over the past week. Questions require yes/no answers. Some items in the GDS may not be appropriate at all times for all cultural groups.</w:t>
            </w:r>
          </w:p>
          <w:p w14:paraId="26712C75" w14:textId="068B35E8" w:rsidR="682F5E82" w:rsidRDefault="682F5E82" w:rsidP="682F5E82">
            <w:pPr>
              <w:rPr>
                <w:lang w:val="en-AU"/>
              </w:rPr>
            </w:pPr>
          </w:p>
          <w:p w14:paraId="0D696D6A" w14:textId="68B21A4E" w:rsidR="687AB67D" w:rsidRDefault="687AB67D" w:rsidP="682F5E82">
            <w:pPr>
              <w:rPr>
                <w:lang w:val="en-AU"/>
              </w:rPr>
            </w:pPr>
            <w:r w:rsidRPr="682F5E82">
              <w:rPr>
                <w:lang w:val="en-AU"/>
              </w:rPr>
              <w:t>Please refer to the below guidance material for information on completing this validated tool and appropriately asking questions.</w:t>
            </w:r>
          </w:p>
          <w:p w14:paraId="3DBC53B0" w14:textId="4205D39A" w:rsidR="682F5E82" w:rsidRDefault="682F5E82" w:rsidP="682F5E82">
            <w:pPr>
              <w:rPr>
                <w:lang w:val="en-AU"/>
              </w:rPr>
            </w:pPr>
          </w:p>
          <w:p w14:paraId="1185DA65" w14:textId="02B2FD30" w:rsidR="687AB67D" w:rsidRDefault="687AB67D" w:rsidP="007F6076">
            <w:pPr>
              <w:pStyle w:val="ListParagraph"/>
              <w:numPr>
                <w:ilvl w:val="0"/>
                <w:numId w:val="576"/>
              </w:numPr>
              <w:rPr>
                <w:lang w:val="en-AU"/>
              </w:rPr>
            </w:pPr>
            <w:r w:rsidRPr="682F5E82">
              <w:rPr>
                <w:lang w:val="en-AU"/>
              </w:rPr>
              <w:t>Please review the MAClearning element Validated Assessment Tools in Practice for further guidance on how and when to administer this validated tool with a client at an assessment.</w:t>
            </w:r>
          </w:p>
        </w:tc>
      </w:tr>
      <w:tr w:rsidR="00ED631B" w14:paraId="26640BB3" w14:textId="77777777" w:rsidTr="001704DC">
        <w:tc>
          <w:tcPr>
            <w:tcW w:w="2974" w:type="dxa"/>
            <w:shd w:val="clear" w:color="auto" w:fill="002060"/>
          </w:tcPr>
          <w:p w14:paraId="1C43E349" w14:textId="77777777" w:rsidR="00ED631B" w:rsidRDefault="00ED631B" w:rsidP="00856600">
            <w:pPr>
              <w:spacing w:before="240" w:after="240"/>
            </w:pPr>
            <w:r>
              <w:t>KICA Cog</w:t>
            </w:r>
          </w:p>
          <w:p w14:paraId="73732D46" w14:textId="77777777" w:rsidR="00ED631B" w:rsidRDefault="00ED631B" w:rsidP="00856600">
            <w:pPr>
              <w:spacing w:before="240" w:after="240"/>
            </w:pPr>
          </w:p>
        </w:tc>
        <w:tc>
          <w:tcPr>
            <w:tcW w:w="5792" w:type="dxa"/>
          </w:tcPr>
          <w:p w14:paraId="3080EF90" w14:textId="54EAD532" w:rsidR="00ED631B" w:rsidRDefault="40AC3647" w:rsidP="00856600">
            <w:pPr>
              <w:spacing w:before="240" w:after="240"/>
              <w:rPr>
                <w:lang w:val="en-AU"/>
              </w:rPr>
            </w:pPr>
            <w:r w:rsidRPr="7390E4CD">
              <w:rPr>
                <w:lang w:val="en-AU"/>
              </w:rPr>
              <w:t>A</w:t>
            </w:r>
            <w:r w:rsidR="00ED631B" w:rsidRPr="00FE2DC3">
              <w:rPr>
                <w:lang w:val="en-AU"/>
              </w:rPr>
              <w:t xml:space="preserve"> validated </w:t>
            </w:r>
            <w:r w:rsidR="1667C257" w:rsidRPr="7390E4CD">
              <w:rPr>
                <w:lang w:val="en-AU"/>
              </w:rPr>
              <w:t>cognitive</w:t>
            </w:r>
            <w:r w:rsidR="00ED631B" w:rsidRPr="7390E4CD">
              <w:rPr>
                <w:lang w:val="en-AU"/>
              </w:rPr>
              <w:t xml:space="preserve"> </w:t>
            </w:r>
            <w:r w:rsidR="630F7A11" w:rsidRPr="7390E4CD">
              <w:rPr>
                <w:lang w:val="en-AU"/>
              </w:rPr>
              <w:t>a</w:t>
            </w:r>
            <w:r w:rsidR="00ED631B" w:rsidRPr="00FE2DC3">
              <w:rPr>
                <w:lang w:val="en-AU"/>
              </w:rPr>
              <w:t>ssessment tool for older Indigenous Australians</w:t>
            </w:r>
            <w:r w:rsidR="496DAD63" w:rsidRPr="7390E4CD">
              <w:rPr>
                <w:lang w:val="en-AU"/>
              </w:rPr>
              <w:t>, aged 45 years and older</w:t>
            </w:r>
            <w:r w:rsidR="3AA725E5" w:rsidRPr="7390E4CD">
              <w:rPr>
                <w:lang w:val="en-AU"/>
              </w:rPr>
              <w:t>,</w:t>
            </w:r>
            <w:r w:rsidR="00ED631B" w:rsidRPr="00FE2DC3">
              <w:rPr>
                <w:lang w:val="en-AU"/>
              </w:rPr>
              <w:t xml:space="preserve"> </w:t>
            </w:r>
            <w:r w:rsidR="362E8406" w:rsidRPr="7390E4CD">
              <w:rPr>
                <w:lang w:val="en-AU"/>
              </w:rPr>
              <w:t>in</w:t>
            </w:r>
            <w:r w:rsidR="00ED631B" w:rsidRPr="7390E4CD">
              <w:rPr>
                <w:lang w:val="en-AU"/>
              </w:rPr>
              <w:t xml:space="preserve"> </w:t>
            </w:r>
            <w:r w:rsidR="00ED631B" w:rsidRPr="00FE2DC3">
              <w:rPr>
                <w:lang w:val="en-AU"/>
              </w:rPr>
              <w:t xml:space="preserve">remote </w:t>
            </w:r>
            <w:r w:rsidR="2E01F4C4" w:rsidRPr="7390E4CD">
              <w:rPr>
                <w:lang w:val="en-AU"/>
              </w:rPr>
              <w:t>settings</w:t>
            </w:r>
            <w:r w:rsidR="00ED631B" w:rsidRPr="00FE2DC3">
              <w:rPr>
                <w:lang w:val="en-AU"/>
              </w:rPr>
              <w:t xml:space="preserve"> for whom other dementia assessments are not suitable.</w:t>
            </w:r>
          </w:p>
          <w:p w14:paraId="75458E84" w14:textId="701DC3B3" w:rsidR="00F323C0" w:rsidRDefault="00CC14FE" w:rsidP="00DF3F6B">
            <w:pPr>
              <w:numPr>
                <w:ilvl w:val="0"/>
                <w:numId w:val="404"/>
              </w:numPr>
              <w:spacing w:before="240" w:after="240"/>
              <w:rPr>
                <w:lang w:val="en-AU"/>
              </w:rPr>
            </w:pPr>
            <w:r w:rsidRPr="00CC14FE">
              <w:rPr>
                <w:lang w:val="en-AU"/>
              </w:rPr>
              <w:t xml:space="preserve">Please refer to the below guidance material for information on completing this validated tool and appropriately asking questions. Please review the MAClearning element </w:t>
            </w:r>
            <w:r w:rsidRPr="00CC14FE">
              <w:rPr>
                <w:b/>
                <w:bCs/>
                <w:lang w:val="en-AU"/>
              </w:rPr>
              <w:t xml:space="preserve">Validated Assessment Tools in Practice </w:t>
            </w:r>
            <w:r w:rsidRPr="00CC14FE">
              <w:rPr>
                <w:lang w:val="en-AU"/>
              </w:rPr>
              <w:t>for further guidance on how and when to administer this validated tool with a client at an assessment.</w:t>
            </w:r>
          </w:p>
          <w:p w14:paraId="0E8205BF" w14:textId="14DCB27B" w:rsidR="00CC14FE" w:rsidRPr="00CC14FE" w:rsidRDefault="00F323C0" w:rsidP="00DF3F6B">
            <w:pPr>
              <w:numPr>
                <w:ilvl w:val="0"/>
                <w:numId w:val="404"/>
              </w:numPr>
              <w:spacing w:before="240" w:after="240"/>
              <w:rPr>
                <w:lang w:val="en-AU"/>
              </w:rPr>
            </w:pPr>
            <w:hyperlink r:id="rId70" w:history="1">
              <w:r w:rsidRPr="00F323C0">
                <w:rPr>
                  <w:rStyle w:val="Hyperlink"/>
                  <w:lang w:val="en-AU"/>
                </w:rPr>
                <w:t>KICA COG</w:t>
              </w:r>
              <w:r w:rsidR="00CC14FE" w:rsidRPr="00F323C0">
                <w:rPr>
                  <w:rStyle w:val="Hyperlink"/>
                  <w:lang w:val="en-AU"/>
                </w:rPr>
                <w:t> </w:t>
              </w:r>
              <w:r w:rsidR="42DB622D" w:rsidRPr="7390E4CD">
                <w:rPr>
                  <w:rStyle w:val="Hyperlink"/>
                  <w:lang w:val="en-AU"/>
                </w:rPr>
                <w:t>(Remote)</w:t>
              </w:r>
            </w:hyperlink>
          </w:p>
          <w:p w14:paraId="36F014CC" w14:textId="42507779" w:rsidR="00CC14FE" w:rsidRPr="00CC14FE" w:rsidRDefault="00CC14FE" w:rsidP="00DF3F6B">
            <w:pPr>
              <w:numPr>
                <w:ilvl w:val="0"/>
                <w:numId w:val="405"/>
              </w:numPr>
              <w:spacing w:before="240" w:after="240"/>
              <w:rPr>
                <w:lang w:val="en-AU"/>
              </w:rPr>
            </w:pPr>
            <w:hyperlink r:id="rId71" w:history="1">
              <w:r w:rsidRPr="4DEEAABC">
                <w:rPr>
                  <w:rStyle w:val="Hyperlink"/>
                  <w:lang w:val="en-AU"/>
                </w:rPr>
                <w:t>Instruction Booklet</w:t>
              </w:r>
            </w:hyperlink>
            <w:r w:rsidRPr="4DEEAABC">
              <w:rPr>
                <w:lang w:val="en-AU"/>
              </w:rPr>
              <w:t> </w:t>
            </w:r>
          </w:p>
          <w:p w14:paraId="5D732BCC" w14:textId="43B4C4A2" w:rsidR="00ED631B" w:rsidRDefault="00FB0564" w:rsidP="00856600">
            <w:pPr>
              <w:spacing w:before="240" w:after="240"/>
            </w:pPr>
            <w:r>
              <w:t>This tool is available in the Integrated Assessment Tool (IAT).</w:t>
            </w:r>
          </w:p>
        </w:tc>
      </w:tr>
      <w:tr w:rsidR="00ED631B" w14:paraId="1A916DC7" w14:textId="77777777" w:rsidTr="001704DC">
        <w:tc>
          <w:tcPr>
            <w:tcW w:w="2974" w:type="dxa"/>
            <w:shd w:val="clear" w:color="auto" w:fill="002060"/>
          </w:tcPr>
          <w:p w14:paraId="67219CA7" w14:textId="2B799307" w:rsidR="00ED631B" w:rsidRPr="00053A8A" w:rsidRDefault="00ED631B" w:rsidP="00856600">
            <w:pPr>
              <w:spacing w:before="240" w:after="240"/>
            </w:pPr>
            <w:r>
              <w:t>KICA Cog Urban Regional</w:t>
            </w:r>
          </w:p>
          <w:p w14:paraId="0F83AF94" w14:textId="77777777" w:rsidR="00ED631B" w:rsidRDefault="00ED631B" w:rsidP="00856600">
            <w:pPr>
              <w:spacing w:before="240" w:after="240"/>
            </w:pPr>
          </w:p>
        </w:tc>
        <w:tc>
          <w:tcPr>
            <w:tcW w:w="5792" w:type="dxa"/>
          </w:tcPr>
          <w:p w14:paraId="05028D8F" w14:textId="7FE61271" w:rsidR="00362FE1" w:rsidRPr="00362FE1" w:rsidRDefault="00ED631B" w:rsidP="00856600">
            <w:pPr>
              <w:spacing w:before="240" w:after="240"/>
              <w:rPr>
                <w:lang w:val="en-AU"/>
              </w:rPr>
            </w:pPr>
            <w:r w:rsidRPr="00934782">
              <w:rPr>
                <w:lang w:val="en-AU"/>
              </w:rPr>
              <w:t>KICA was modified for use with Aboriginal people in regional and urban settings. The regional and urban KICA is an instrument to assess dementia in older Aboriginal people in regional and urban settings. </w:t>
            </w:r>
            <w:r w:rsidR="00362FE1" w:rsidRPr="00362FE1">
              <w:rPr>
                <w:b/>
                <w:bCs/>
                <w:lang w:val="en-AU"/>
              </w:rPr>
              <w:t>Additional information and training resources:</w:t>
            </w:r>
            <w:r w:rsidR="00362FE1" w:rsidRPr="00362FE1">
              <w:rPr>
                <w:lang w:val="en-AU"/>
              </w:rPr>
              <w:t> </w:t>
            </w:r>
          </w:p>
          <w:p w14:paraId="656D38B2" w14:textId="0BD0DEED" w:rsidR="00362FE1" w:rsidRPr="00362FE1" w:rsidRDefault="00362FE1" w:rsidP="00856600">
            <w:pPr>
              <w:spacing w:before="240" w:after="240"/>
              <w:rPr>
                <w:lang w:val="en-AU"/>
              </w:rPr>
            </w:pPr>
            <w:r w:rsidRPr="00362FE1">
              <w:rPr>
                <w:lang w:val="en-AU"/>
              </w:rPr>
              <w:t>Please refer to the below guidance material for information on completing this validated tool and appropriately asking questions</w:t>
            </w:r>
            <w:r w:rsidR="00B23AB0" w:rsidRPr="00362FE1">
              <w:rPr>
                <w:lang w:val="en-AU"/>
              </w:rPr>
              <w:t xml:space="preserve">. </w:t>
            </w:r>
          </w:p>
          <w:p w14:paraId="2A25040B" w14:textId="77777777" w:rsidR="00362FE1" w:rsidRPr="00362FE1" w:rsidRDefault="00362FE1" w:rsidP="00DF3F6B">
            <w:pPr>
              <w:numPr>
                <w:ilvl w:val="0"/>
                <w:numId w:val="406"/>
              </w:numPr>
              <w:spacing w:before="240" w:after="240"/>
              <w:rPr>
                <w:lang w:val="en-AU"/>
              </w:rPr>
            </w:pPr>
            <w:r w:rsidRPr="00362FE1">
              <w:rPr>
                <w:lang w:val="en-AU"/>
              </w:rPr>
              <w:t xml:space="preserve">Please review the MAClearning element </w:t>
            </w:r>
            <w:r w:rsidRPr="00362FE1">
              <w:rPr>
                <w:b/>
                <w:bCs/>
                <w:lang w:val="en-AU"/>
              </w:rPr>
              <w:t xml:space="preserve">Validated Assessment Tools in Practice </w:t>
            </w:r>
            <w:r w:rsidRPr="00362FE1">
              <w:rPr>
                <w:lang w:val="en-AU"/>
              </w:rPr>
              <w:t>for further guidance on how and when to administer this validated tool with a client at an assessment. </w:t>
            </w:r>
          </w:p>
          <w:p w14:paraId="6918EBBE" w14:textId="77777777" w:rsidR="00362FE1" w:rsidRPr="00362FE1" w:rsidRDefault="00362FE1" w:rsidP="00DF3F6B">
            <w:pPr>
              <w:numPr>
                <w:ilvl w:val="0"/>
                <w:numId w:val="407"/>
              </w:numPr>
              <w:spacing w:before="240" w:after="240"/>
              <w:rPr>
                <w:lang w:val="en-AU"/>
              </w:rPr>
            </w:pPr>
            <w:r w:rsidRPr="00362FE1">
              <w:rPr>
                <w:lang w:val="en-AU"/>
              </w:rPr>
              <w:t xml:space="preserve">Guidance on the KIKA Cog Urban Regional is available at </w:t>
            </w:r>
            <w:hyperlink r:id="rId72" w:tgtFrame="_blank" w:history="1">
              <w:r w:rsidRPr="00362FE1">
                <w:rPr>
                  <w:rStyle w:val="Hyperlink"/>
                  <w:lang w:val="en-AU"/>
                </w:rPr>
                <w:t>Indigenous Cognitive Assessment: Regional and Urban KICA | National Ageing Research Institute Limited (nari.net.au)</w:t>
              </w:r>
            </w:hyperlink>
            <w:r w:rsidRPr="00362FE1">
              <w:rPr>
                <w:lang w:val="en-AU"/>
              </w:rPr>
              <w:t> </w:t>
            </w:r>
          </w:p>
          <w:p w14:paraId="49F36C60" w14:textId="68415129" w:rsidR="00ED631B" w:rsidRDefault="00FB0564" w:rsidP="00856600">
            <w:pPr>
              <w:spacing w:before="240" w:after="240"/>
            </w:pPr>
            <w:r>
              <w:t>This tool is available in the Integrated Assessment Tool (IAT).</w:t>
            </w:r>
          </w:p>
        </w:tc>
      </w:tr>
      <w:tr w:rsidR="00ED631B" w14:paraId="2B4EA93A" w14:textId="77777777" w:rsidTr="001704DC">
        <w:tc>
          <w:tcPr>
            <w:tcW w:w="2974" w:type="dxa"/>
            <w:shd w:val="clear" w:color="auto" w:fill="002060"/>
          </w:tcPr>
          <w:p w14:paraId="582D2908" w14:textId="77777777" w:rsidR="00ED631B" w:rsidRDefault="00ED631B" w:rsidP="00856600">
            <w:pPr>
              <w:spacing w:before="240" w:after="240"/>
            </w:pPr>
            <w:r>
              <w:t>KICA Carer</w:t>
            </w:r>
          </w:p>
        </w:tc>
        <w:tc>
          <w:tcPr>
            <w:tcW w:w="5792" w:type="dxa"/>
          </w:tcPr>
          <w:p w14:paraId="578C0B85" w14:textId="77777777" w:rsidR="00ED631B" w:rsidRPr="005046F1" w:rsidRDefault="00ED631B" w:rsidP="00856600">
            <w:pPr>
              <w:spacing w:before="240" w:after="240"/>
            </w:pPr>
            <w:r w:rsidRPr="005046F1">
              <w:rPr>
                <w:lang w:val="en-AU"/>
              </w:rPr>
              <w:t>The KICA-Carer is an informant questionnaire given by the interviewer. It is the informant cognitive subsection of the KICA that was developed and validated in the Kimberley region of WA.</w:t>
            </w:r>
          </w:p>
          <w:p w14:paraId="232C4663" w14:textId="1C413A25" w:rsidR="4BAB87CC" w:rsidRDefault="4BAB87CC" w:rsidP="00DF3F6B">
            <w:pPr>
              <w:pStyle w:val="ListParagraph"/>
              <w:numPr>
                <w:ilvl w:val="0"/>
                <w:numId w:val="416"/>
              </w:numPr>
              <w:spacing w:before="240" w:after="240"/>
              <w:rPr>
                <w:szCs w:val="22"/>
                <w:lang w:val="en-AU"/>
              </w:rPr>
            </w:pPr>
            <w:hyperlink r:id="rId73" w:history="1">
              <w:r w:rsidRPr="002F1009">
                <w:rPr>
                  <w:rStyle w:val="Hyperlink"/>
                  <w:szCs w:val="22"/>
                  <w:lang w:val="en-AU"/>
                </w:rPr>
                <w:t>Kimberley Indigenous Cognitive Assessment</w:t>
              </w:r>
              <w:r w:rsidR="2444D04B" w:rsidRPr="002F1009">
                <w:rPr>
                  <w:rStyle w:val="Hyperlink"/>
                  <w:szCs w:val="22"/>
                  <w:lang w:val="en-AU"/>
                </w:rPr>
                <w:t xml:space="preserve"> – </w:t>
              </w:r>
              <w:r w:rsidRPr="002F1009">
                <w:rPr>
                  <w:rStyle w:val="Hyperlink"/>
                  <w:szCs w:val="22"/>
                  <w:lang w:val="en-AU"/>
                </w:rPr>
                <w:t>KI</w:t>
              </w:r>
              <w:r w:rsidR="1EF41DB4" w:rsidRPr="002F1009">
                <w:rPr>
                  <w:rStyle w:val="Hyperlink"/>
                  <w:szCs w:val="22"/>
                  <w:lang w:val="en-AU"/>
                </w:rPr>
                <w:t>CA-</w:t>
              </w:r>
              <w:r w:rsidR="2444D04B" w:rsidRPr="002F1009">
                <w:rPr>
                  <w:rStyle w:val="Hyperlink"/>
                  <w:szCs w:val="22"/>
                  <w:lang w:val="en-AU"/>
                </w:rPr>
                <w:t>Carer</w:t>
              </w:r>
            </w:hyperlink>
          </w:p>
          <w:p w14:paraId="32A2D192" w14:textId="5E667184" w:rsidR="00ED631B" w:rsidRDefault="00FB0564" w:rsidP="00856600">
            <w:pPr>
              <w:spacing w:before="240" w:after="240"/>
            </w:pPr>
            <w:r>
              <w:t>This tool is available in the Integrated Assessment Tool (IAT).</w:t>
            </w:r>
          </w:p>
        </w:tc>
      </w:tr>
      <w:tr w:rsidR="682F5E82" w14:paraId="379266BD" w14:textId="77777777" w:rsidTr="001704DC">
        <w:trPr>
          <w:trHeight w:val="300"/>
        </w:trPr>
        <w:tc>
          <w:tcPr>
            <w:tcW w:w="2974" w:type="dxa"/>
            <w:shd w:val="clear" w:color="auto" w:fill="002060"/>
          </w:tcPr>
          <w:p w14:paraId="36B96B4A" w14:textId="06C7E450" w:rsidR="3A90F2A5" w:rsidRPr="007F6076" w:rsidRDefault="3A90F2A5">
            <w:pPr>
              <w:rPr>
                <w:rFonts w:eastAsia="Arial"/>
                <w:szCs w:val="22"/>
              </w:rPr>
            </w:pPr>
            <w:r w:rsidRPr="007F6076">
              <w:rPr>
                <w:rFonts w:eastAsia="Arial"/>
                <w:szCs w:val="22"/>
              </w:rPr>
              <w:t>Revised Urinary Incontinence Scale</w:t>
            </w:r>
          </w:p>
          <w:p w14:paraId="316D298D" w14:textId="2751B458" w:rsidR="682F5E82" w:rsidRDefault="682F5E82" w:rsidP="682F5E82"/>
        </w:tc>
        <w:tc>
          <w:tcPr>
            <w:tcW w:w="5792" w:type="dxa"/>
          </w:tcPr>
          <w:p w14:paraId="56AE2418" w14:textId="45E774A4" w:rsidR="573943BE" w:rsidRDefault="573943BE" w:rsidP="682F5E82">
            <w:pPr>
              <w:rPr>
                <w:rFonts w:eastAsia="Arial"/>
                <w:szCs w:val="22"/>
                <w:lang w:val="en-AU"/>
              </w:rPr>
            </w:pPr>
            <w:hyperlink r:id="rId74" w:history="1">
              <w:r w:rsidRPr="007F6076">
                <w:rPr>
                  <w:rStyle w:val="Hyperlink"/>
                  <w:rFonts w:eastAsia="Arial"/>
                  <w:color w:val="auto"/>
                  <w:szCs w:val="22"/>
                  <w:u w:val="none"/>
                  <w:lang w:val="en-AU"/>
                </w:rPr>
                <w:t>The Revised Urinary Incontinence Scale (RUIS)</w:t>
              </w:r>
            </w:hyperlink>
            <w:r w:rsidRPr="007F6076">
              <w:rPr>
                <w:rFonts w:eastAsia="Arial"/>
                <w:szCs w:val="22"/>
                <w:lang w:val="en-AU"/>
              </w:rPr>
              <w:t xml:space="preserve"> is a validated tool to assess the severity and impact of urinary incontinence in adults. The RUIS consists of 10 items that assess the frequency, amount, and impact of urinary incontinence, as well as the patient's level of concern related to incontinence. Each item is scored on a scale from 0 to 3, with higher scores indicating a greater severity and impact of urinary incontinence.</w:t>
            </w:r>
          </w:p>
          <w:p w14:paraId="5D383A5B" w14:textId="2DD92AB3" w:rsidR="682F5E82" w:rsidRDefault="682F5E82" w:rsidP="682F5E82">
            <w:pPr>
              <w:rPr>
                <w:rFonts w:eastAsia="Arial"/>
                <w:szCs w:val="22"/>
                <w:lang w:val="en-AU"/>
              </w:rPr>
            </w:pPr>
          </w:p>
          <w:p w14:paraId="34A9840F" w14:textId="06CE6078" w:rsidR="573943BE" w:rsidRDefault="573943BE" w:rsidP="682F5E82">
            <w:pPr>
              <w:rPr>
                <w:rFonts w:eastAsia="Arial"/>
                <w:szCs w:val="22"/>
                <w:lang w:val="en-AU"/>
              </w:rPr>
            </w:pPr>
            <w:r w:rsidRPr="682F5E82">
              <w:rPr>
                <w:rFonts w:eastAsia="Arial"/>
                <w:szCs w:val="22"/>
                <w:lang w:val="en-AU"/>
              </w:rPr>
              <w:t>Please refer to the below guidance material for information on completing this validated tool and appropriately asking questions.</w:t>
            </w:r>
          </w:p>
          <w:p w14:paraId="5758AB75" w14:textId="1F8152C5" w:rsidR="682F5E82" w:rsidRDefault="682F5E82" w:rsidP="682F5E82">
            <w:pPr>
              <w:rPr>
                <w:rFonts w:eastAsia="Arial"/>
                <w:szCs w:val="22"/>
                <w:lang w:val="en-AU"/>
              </w:rPr>
            </w:pPr>
          </w:p>
          <w:p w14:paraId="21500902" w14:textId="5E6859C5" w:rsidR="573943BE" w:rsidRDefault="573943BE" w:rsidP="007F6076">
            <w:pPr>
              <w:pStyle w:val="ListParagraph"/>
              <w:numPr>
                <w:ilvl w:val="0"/>
                <w:numId w:val="581"/>
              </w:numPr>
              <w:rPr>
                <w:rFonts w:eastAsia="Arial"/>
                <w:szCs w:val="22"/>
                <w:lang w:val="en-AU"/>
              </w:rPr>
            </w:pPr>
            <w:hyperlink r:id="rId75" w:history="1">
              <w:r w:rsidRPr="682F5E82">
                <w:rPr>
                  <w:rStyle w:val="Hyperlink"/>
                  <w:rFonts w:eastAsia="Arial"/>
                  <w:szCs w:val="22"/>
                  <w:lang w:val="en-AU"/>
                </w:rPr>
                <w:t>Revised Incontinence and Patient Satisfaction Tools Version 2</w:t>
              </w:r>
            </w:hyperlink>
            <w:r w:rsidRPr="682F5E82">
              <w:rPr>
                <w:rFonts w:eastAsia="Arial"/>
                <w:szCs w:val="22"/>
                <w:lang w:val="en-AU"/>
              </w:rPr>
              <w:t xml:space="preserve"> – Technical Manual and Instructions</w:t>
            </w:r>
          </w:p>
          <w:p w14:paraId="1CA12B79" w14:textId="75F2399C" w:rsidR="682F5E82" w:rsidRDefault="682F5E82" w:rsidP="682F5E82">
            <w:pPr>
              <w:ind w:left="720"/>
              <w:rPr>
                <w:rFonts w:eastAsia="Arial"/>
                <w:szCs w:val="22"/>
                <w:lang w:val="en-AU"/>
              </w:rPr>
            </w:pPr>
          </w:p>
          <w:p w14:paraId="1680699B" w14:textId="743BDC83" w:rsidR="573943BE" w:rsidRDefault="573943BE" w:rsidP="007F6076">
            <w:pPr>
              <w:pStyle w:val="ListParagraph"/>
              <w:numPr>
                <w:ilvl w:val="0"/>
                <w:numId w:val="581"/>
              </w:numPr>
              <w:rPr>
                <w:rFonts w:eastAsia="Arial"/>
                <w:szCs w:val="22"/>
                <w:lang w:val="en-AU"/>
              </w:rPr>
            </w:pPr>
            <w:hyperlink r:id="rId76" w:history="1">
              <w:r w:rsidRPr="682F5E82">
                <w:rPr>
                  <w:rStyle w:val="Hyperlink"/>
                  <w:rFonts w:eastAsia="Arial"/>
                  <w:szCs w:val="22"/>
                  <w:lang w:val="en-AU"/>
                </w:rPr>
                <w:t>RUIS Brochure</w:t>
              </w:r>
            </w:hyperlink>
            <w:r w:rsidRPr="682F5E82">
              <w:rPr>
                <w:rFonts w:eastAsia="Arial"/>
                <w:szCs w:val="22"/>
                <w:lang w:val="en-AU"/>
              </w:rPr>
              <w:t xml:space="preserve"> – Summary for assessing and monitoring urinary incontinence.</w:t>
            </w:r>
          </w:p>
          <w:p w14:paraId="23169D29" w14:textId="76E3DE10" w:rsidR="682F5E82" w:rsidRDefault="682F5E82" w:rsidP="682F5E82">
            <w:pPr>
              <w:ind w:left="720"/>
              <w:rPr>
                <w:rFonts w:eastAsia="Arial"/>
                <w:szCs w:val="22"/>
                <w:lang w:val="en-AU"/>
              </w:rPr>
            </w:pPr>
          </w:p>
          <w:p w14:paraId="617A860A" w14:textId="7A891836" w:rsidR="573943BE" w:rsidRDefault="573943BE" w:rsidP="007F6076">
            <w:pPr>
              <w:pStyle w:val="ListParagraph"/>
              <w:numPr>
                <w:ilvl w:val="0"/>
                <w:numId w:val="581"/>
              </w:numPr>
              <w:rPr>
                <w:rFonts w:eastAsia="Arial"/>
                <w:szCs w:val="22"/>
                <w:lang w:val="en-AU"/>
              </w:rPr>
            </w:pPr>
            <w:hyperlink r:id="rId77" w:history="1">
              <w:r w:rsidRPr="682F5E82">
                <w:rPr>
                  <w:rStyle w:val="Hyperlink"/>
                  <w:rFonts w:eastAsia="Arial"/>
                  <w:szCs w:val="22"/>
                  <w:lang w:val="en-AU"/>
                </w:rPr>
                <w:t>International Continence Society (ICS)</w:t>
              </w:r>
            </w:hyperlink>
            <w:r w:rsidRPr="682F5E82">
              <w:rPr>
                <w:rFonts w:eastAsia="Arial"/>
                <w:szCs w:val="22"/>
                <w:lang w:val="en-AU"/>
              </w:rPr>
              <w:t>- RUIS - study findings</w:t>
            </w:r>
          </w:p>
          <w:p w14:paraId="7B4580D5" w14:textId="45D9E69F" w:rsidR="682F5E82" w:rsidRDefault="682F5E82" w:rsidP="682F5E82">
            <w:pPr>
              <w:ind w:left="720"/>
              <w:rPr>
                <w:rFonts w:eastAsia="Arial"/>
                <w:szCs w:val="22"/>
                <w:lang w:val="en-AU"/>
              </w:rPr>
            </w:pPr>
          </w:p>
          <w:p w14:paraId="48F45ABF" w14:textId="17B59D63" w:rsidR="573943BE" w:rsidRDefault="573943BE" w:rsidP="007F6076">
            <w:pPr>
              <w:pStyle w:val="ListParagraph"/>
              <w:numPr>
                <w:ilvl w:val="0"/>
                <w:numId w:val="581"/>
              </w:numPr>
              <w:rPr>
                <w:rFonts w:eastAsia="Arial"/>
                <w:szCs w:val="22"/>
                <w:lang w:val="en-AU"/>
              </w:rPr>
            </w:pPr>
            <w:r w:rsidRPr="682F5E82">
              <w:rPr>
                <w:rFonts w:eastAsia="Arial"/>
                <w:szCs w:val="22"/>
                <w:lang w:val="en-AU"/>
              </w:rPr>
              <w:t xml:space="preserve">Please review the MAClearning element </w:t>
            </w:r>
            <w:r w:rsidRPr="007F6076">
              <w:rPr>
                <w:rFonts w:eastAsia="Arial"/>
                <w:b/>
                <w:bCs/>
                <w:szCs w:val="22"/>
                <w:lang w:val="en-AU"/>
              </w:rPr>
              <w:t>Validated Assessment Tools in Practice</w:t>
            </w:r>
            <w:r w:rsidRPr="682F5E82">
              <w:rPr>
                <w:rFonts w:eastAsia="Arial"/>
                <w:szCs w:val="22"/>
                <w:lang w:val="en-AU"/>
              </w:rPr>
              <w:t xml:space="preserve"> for further guidance on how and when to administer the RUIS with a client at an assessment.</w:t>
            </w:r>
          </w:p>
          <w:p w14:paraId="510D4EBC" w14:textId="61EA78AF" w:rsidR="682F5E82" w:rsidRDefault="682F5E82" w:rsidP="007F6076">
            <w:pPr>
              <w:pStyle w:val="ListParagraph"/>
              <w:rPr>
                <w:rFonts w:eastAsia="Arial"/>
                <w:szCs w:val="22"/>
                <w:lang w:val="en-AU"/>
              </w:rPr>
            </w:pPr>
          </w:p>
        </w:tc>
      </w:tr>
      <w:tr w:rsidR="682F5E82" w14:paraId="447E36EB" w14:textId="77777777" w:rsidTr="001704DC">
        <w:trPr>
          <w:trHeight w:val="300"/>
        </w:trPr>
        <w:tc>
          <w:tcPr>
            <w:tcW w:w="2974" w:type="dxa"/>
            <w:shd w:val="clear" w:color="auto" w:fill="002060"/>
          </w:tcPr>
          <w:p w14:paraId="68B6DA2A" w14:textId="13BA2BBD" w:rsidR="573943BE" w:rsidRPr="004A5F5D" w:rsidRDefault="573943BE" w:rsidP="682F5E82">
            <w:pPr>
              <w:rPr>
                <w:rFonts w:eastAsia="Arial"/>
                <w:szCs w:val="22"/>
              </w:rPr>
            </w:pPr>
            <w:r w:rsidRPr="004A5F5D">
              <w:rPr>
                <w:rFonts w:eastAsia="Arial"/>
                <w:szCs w:val="22"/>
              </w:rPr>
              <w:t>Revised Faecal Incontinence Scale</w:t>
            </w:r>
          </w:p>
        </w:tc>
        <w:tc>
          <w:tcPr>
            <w:tcW w:w="5792" w:type="dxa"/>
          </w:tcPr>
          <w:p w14:paraId="0DC26FFC" w14:textId="4AEAFFA1" w:rsidR="440D60BA" w:rsidRDefault="440D60BA" w:rsidP="682F5E82">
            <w:pPr>
              <w:rPr>
                <w:rFonts w:eastAsia="Arial"/>
                <w:szCs w:val="22"/>
                <w:lang w:val="en-AU"/>
              </w:rPr>
            </w:pPr>
            <w:hyperlink r:id="rId78" w:history="1">
              <w:r w:rsidRPr="004A5F5D">
                <w:rPr>
                  <w:rStyle w:val="Hyperlink"/>
                  <w:rFonts w:eastAsia="Arial"/>
                  <w:color w:val="auto"/>
                  <w:szCs w:val="22"/>
                  <w:u w:val="none"/>
                  <w:lang w:val="en-AU"/>
                </w:rPr>
                <w:t>The Revised Faecal Incontinence Scale (RFIS)</w:t>
              </w:r>
            </w:hyperlink>
            <w:r w:rsidRPr="004A5F5D">
              <w:rPr>
                <w:rFonts w:eastAsia="Arial"/>
                <w:szCs w:val="22"/>
                <w:lang w:val="en-AU"/>
              </w:rPr>
              <w:t xml:space="preserve">, is a validated assessment tool used to assess the severity and impact of fecal incontinence in adults. The RFIS is designed to be simple and </w:t>
            </w:r>
            <w:r w:rsidR="00113AA1" w:rsidRPr="004A5F5D">
              <w:rPr>
                <w:rFonts w:eastAsia="Arial"/>
                <w:szCs w:val="22"/>
                <w:lang w:val="en-AU"/>
              </w:rPr>
              <w:t>effective and</w:t>
            </w:r>
            <w:r w:rsidRPr="004A5F5D">
              <w:rPr>
                <w:rFonts w:eastAsia="Arial"/>
                <w:szCs w:val="22"/>
                <w:lang w:val="en-AU"/>
              </w:rPr>
              <w:t xml:space="preserve"> can be completed by a trained healthcare professional.</w:t>
            </w:r>
          </w:p>
          <w:p w14:paraId="67865C1D" w14:textId="6072A3C5" w:rsidR="682F5E82" w:rsidRDefault="682F5E82" w:rsidP="682F5E82">
            <w:pPr>
              <w:rPr>
                <w:rFonts w:eastAsia="Arial"/>
                <w:szCs w:val="22"/>
                <w:lang w:val="en-AU"/>
              </w:rPr>
            </w:pPr>
          </w:p>
          <w:p w14:paraId="3C912DD1" w14:textId="49C439F5" w:rsidR="440D60BA" w:rsidRDefault="440D60BA" w:rsidP="682F5E82">
            <w:pPr>
              <w:rPr>
                <w:rFonts w:eastAsia="Arial"/>
                <w:szCs w:val="22"/>
                <w:lang w:val="en-AU"/>
              </w:rPr>
            </w:pPr>
            <w:r w:rsidRPr="682F5E82">
              <w:rPr>
                <w:rFonts w:eastAsia="Arial"/>
                <w:szCs w:val="22"/>
                <w:lang w:val="en-AU"/>
              </w:rPr>
              <w:t>Please refer to the below guidance material for information on completing this validated tool and appropriately asking questions.</w:t>
            </w:r>
          </w:p>
          <w:p w14:paraId="1F76F1E0" w14:textId="72A8E419" w:rsidR="682F5E82" w:rsidRDefault="682F5E82" w:rsidP="682F5E82">
            <w:pPr>
              <w:rPr>
                <w:rFonts w:eastAsia="Arial"/>
                <w:szCs w:val="22"/>
                <w:lang w:val="en-AU"/>
              </w:rPr>
            </w:pPr>
          </w:p>
          <w:p w14:paraId="3A53A3CB" w14:textId="15E68D98" w:rsidR="167C806A" w:rsidRDefault="167C806A" w:rsidP="004A5F5D">
            <w:pPr>
              <w:pStyle w:val="ListParagraph"/>
              <w:numPr>
                <w:ilvl w:val="0"/>
                <w:numId w:val="583"/>
              </w:numPr>
              <w:rPr>
                <w:rFonts w:eastAsia="Arial"/>
                <w:szCs w:val="22"/>
                <w:lang w:val="en-AU"/>
              </w:rPr>
            </w:pPr>
            <w:hyperlink r:id="rId79" w:history="1">
              <w:r w:rsidRPr="682F5E82">
                <w:rPr>
                  <w:rStyle w:val="Hyperlink"/>
                  <w:rFonts w:eastAsia="Arial"/>
                  <w:szCs w:val="22"/>
                  <w:lang w:val="en-AU"/>
                </w:rPr>
                <w:t>Revised Incontinence and Patient Satisfaction Tools Version 2</w:t>
              </w:r>
            </w:hyperlink>
            <w:r w:rsidRPr="682F5E82">
              <w:rPr>
                <w:rFonts w:eastAsia="Arial"/>
                <w:szCs w:val="22"/>
                <w:lang w:val="en-AU"/>
              </w:rPr>
              <w:t xml:space="preserve"> – Technical Manual and Instructions</w:t>
            </w:r>
          </w:p>
          <w:p w14:paraId="3B9472EE" w14:textId="1EA547C1" w:rsidR="682F5E82" w:rsidRDefault="682F5E82" w:rsidP="004A5F5D">
            <w:pPr>
              <w:pStyle w:val="ListParagraph"/>
              <w:rPr>
                <w:rFonts w:eastAsia="Arial"/>
                <w:szCs w:val="22"/>
                <w:lang w:val="en-AU"/>
              </w:rPr>
            </w:pPr>
          </w:p>
          <w:p w14:paraId="46A0CB0E" w14:textId="270F67A9" w:rsidR="167C806A" w:rsidRDefault="167C806A" w:rsidP="004A5F5D">
            <w:pPr>
              <w:pStyle w:val="ListParagraph"/>
              <w:numPr>
                <w:ilvl w:val="0"/>
                <w:numId w:val="583"/>
              </w:numPr>
              <w:rPr>
                <w:rFonts w:eastAsia="Arial"/>
                <w:szCs w:val="22"/>
                <w:lang w:val="en-AU"/>
              </w:rPr>
            </w:pPr>
            <w:hyperlink r:id="rId80" w:history="1">
              <w:r w:rsidRPr="682F5E82">
                <w:rPr>
                  <w:rStyle w:val="Hyperlink"/>
                  <w:rFonts w:eastAsia="Arial"/>
                  <w:szCs w:val="22"/>
                  <w:lang w:val="en-AU"/>
                </w:rPr>
                <w:t>RUIS Brochure</w:t>
              </w:r>
            </w:hyperlink>
            <w:r w:rsidRPr="682F5E82">
              <w:rPr>
                <w:rFonts w:eastAsia="Arial"/>
                <w:szCs w:val="22"/>
                <w:lang w:val="en-AU"/>
              </w:rPr>
              <w:t xml:space="preserve"> </w:t>
            </w:r>
            <w:r w:rsidR="440D60BA" w:rsidRPr="682F5E82">
              <w:rPr>
                <w:rFonts w:eastAsia="Arial"/>
                <w:szCs w:val="22"/>
                <w:lang w:val="en-AU"/>
              </w:rPr>
              <w:t>– Summary of assessing and monitoring faecal incontinence.</w:t>
            </w:r>
          </w:p>
          <w:p w14:paraId="42E9AF64" w14:textId="1C03D126" w:rsidR="682F5E82" w:rsidRDefault="682F5E82" w:rsidP="004A5F5D">
            <w:pPr>
              <w:pStyle w:val="ListParagraph"/>
              <w:rPr>
                <w:rFonts w:eastAsia="Arial"/>
                <w:szCs w:val="22"/>
                <w:lang w:val="en-AU"/>
              </w:rPr>
            </w:pPr>
          </w:p>
          <w:p w14:paraId="42F456D5" w14:textId="3DEABC33" w:rsidR="440D60BA" w:rsidRDefault="440D60BA" w:rsidP="004A5F5D">
            <w:pPr>
              <w:pStyle w:val="ListParagraph"/>
              <w:numPr>
                <w:ilvl w:val="0"/>
                <w:numId w:val="583"/>
              </w:numPr>
              <w:rPr>
                <w:rFonts w:eastAsia="Arial"/>
                <w:szCs w:val="22"/>
                <w:lang w:val="en-AU"/>
              </w:rPr>
            </w:pPr>
            <w:r w:rsidRPr="682F5E82">
              <w:rPr>
                <w:rFonts w:eastAsia="Arial"/>
                <w:szCs w:val="22"/>
                <w:lang w:val="en-AU"/>
              </w:rPr>
              <w:t>Please review the MAClearning element Validated Assessment Tools in Practice for further guidance on how and when to administer the RFIS with a client at an assessment.</w:t>
            </w:r>
          </w:p>
        </w:tc>
      </w:tr>
    </w:tbl>
    <w:p w14:paraId="0E2365CD" w14:textId="57D2DF33" w:rsidR="682F5E82" w:rsidRDefault="682F5E82"/>
    <w:p w14:paraId="0B9550A0" w14:textId="77777777" w:rsidR="00ED631B" w:rsidRPr="00ED631B" w:rsidRDefault="00ED631B" w:rsidP="00856600">
      <w:pPr>
        <w:spacing w:before="240" w:after="240" w:line="240" w:lineRule="auto"/>
      </w:pPr>
    </w:p>
    <w:p w14:paraId="24478C8F" w14:textId="23CF3739" w:rsidR="00280050" w:rsidRDefault="00372CAB" w:rsidP="00856600">
      <w:pPr>
        <w:spacing w:before="240" w:after="240" w:line="240" w:lineRule="auto"/>
      </w:pPr>
      <w:r>
        <w:br w:type="page"/>
      </w:r>
    </w:p>
    <w:p w14:paraId="5F8645EB" w14:textId="77777777" w:rsidR="00280050" w:rsidRDefault="00280050"/>
    <w:p w14:paraId="57088E5F" w14:textId="4958B204" w:rsidR="00FA75A4" w:rsidRPr="008D753D" w:rsidRDefault="00FA75A4" w:rsidP="00D816E6">
      <w:pPr>
        <w:pStyle w:val="H1"/>
      </w:pPr>
      <w:bookmarkStart w:id="173" w:name="_Toc204329511"/>
      <w:bookmarkStart w:id="174" w:name="_Toc209188958"/>
      <w:bookmarkStart w:id="175" w:name="_Ref212734932"/>
      <w:bookmarkStart w:id="176" w:name="_Ref212735220"/>
      <w:bookmarkStart w:id="177" w:name="_Ref212735305"/>
      <w:bookmarkStart w:id="178" w:name="_Ref212735379"/>
      <w:bookmarkStart w:id="179" w:name="_Ref212735676"/>
      <w:bookmarkStart w:id="180" w:name="_Ref212735695"/>
      <w:bookmarkStart w:id="181" w:name="_Ref212735745"/>
      <w:bookmarkStart w:id="182" w:name="_Ref212736281"/>
      <w:bookmarkStart w:id="183" w:name="_Toc224916625"/>
      <w:r w:rsidRPr="008D753D">
        <w:t xml:space="preserve">Chapter 3: Referral, </w:t>
      </w:r>
      <w:r w:rsidR="00475FBB">
        <w:t>r</w:t>
      </w:r>
      <w:r w:rsidRPr="008D753D">
        <w:t xml:space="preserve">egistration and </w:t>
      </w:r>
      <w:r w:rsidR="00475FBB">
        <w:t>s</w:t>
      </w:r>
      <w:r w:rsidRPr="008D753D">
        <w:t>creening</w:t>
      </w:r>
      <w:bookmarkEnd w:id="173"/>
      <w:bookmarkEnd w:id="174"/>
      <w:bookmarkEnd w:id="175"/>
      <w:bookmarkEnd w:id="176"/>
      <w:bookmarkEnd w:id="177"/>
      <w:bookmarkEnd w:id="178"/>
      <w:bookmarkEnd w:id="179"/>
      <w:bookmarkEnd w:id="180"/>
      <w:bookmarkEnd w:id="181"/>
      <w:bookmarkEnd w:id="182"/>
      <w:bookmarkEnd w:id="183"/>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Pr>
      <w:tblGrid>
        <w:gridCol w:w="8756"/>
      </w:tblGrid>
      <w:tr w:rsidR="00FA75A4" w:rsidRPr="008D753D" w14:paraId="5A3CC571" w14:textId="77777777" w:rsidTr="008337A5">
        <w:tc>
          <w:tcPr>
            <w:tcW w:w="9016" w:type="dxa"/>
            <w:shd w:val="clear" w:color="auto" w:fill="F2F2F2"/>
          </w:tcPr>
          <w:p w14:paraId="7E4AAD8C" w14:textId="77777777" w:rsidR="00FA75A4" w:rsidRPr="00380A8B" w:rsidRDefault="00FA75A4" w:rsidP="00501FFB">
            <w:pPr>
              <w:rPr>
                <w:b/>
                <w:color w:val="358189"/>
                <w:sz w:val="36"/>
                <w:szCs w:val="36"/>
              </w:rPr>
            </w:pPr>
            <w:bookmarkStart w:id="184" w:name="_Toc198813659"/>
            <w:bookmarkStart w:id="185" w:name="_Toc204329512"/>
            <w:bookmarkStart w:id="186" w:name="_Toc209188959"/>
            <w:r w:rsidRPr="00380A8B">
              <w:rPr>
                <w:b/>
                <w:color w:val="358189"/>
                <w:sz w:val="36"/>
                <w:szCs w:val="36"/>
              </w:rPr>
              <w:t>What you’ll find in this chapter</w:t>
            </w:r>
            <w:bookmarkEnd w:id="184"/>
            <w:bookmarkEnd w:id="185"/>
            <w:bookmarkEnd w:id="186"/>
            <w:r w:rsidRPr="00380A8B">
              <w:rPr>
                <w:b/>
                <w:color w:val="358189"/>
                <w:sz w:val="36"/>
                <w:szCs w:val="36"/>
              </w:rPr>
              <w:t xml:space="preserve"> </w:t>
            </w:r>
          </w:p>
          <w:p w14:paraId="5D40EFF0" w14:textId="33AED04A" w:rsidR="00FA75A4" w:rsidRPr="008D753D" w:rsidRDefault="00FA75A4" w:rsidP="00856600">
            <w:pPr>
              <w:spacing w:before="240" w:after="240"/>
            </w:pPr>
            <w:r w:rsidRPr="008D753D">
              <w:t xml:space="preserve">This chapter details </w:t>
            </w:r>
            <w:r w:rsidRPr="008D753D" w:rsidDel="00F01EBE">
              <w:t xml:space="preserve">the </w:t>
            </w:r>
            <w:r w:rsidRPr="008D753D">
              <w:t xml:space="preserve">referral, registration and screening stages of the assessment journey. Information includes: </w:t>
            </w:r>
          </w:p>
          <w:p w14:paraId="1F41AC59" w14:textId="77777777" w:rsidR="00FA75A4" w:rsidRPr="008D753D" w:rsidRDefault="00FA75A4" w:rsidP="00856600">
            <w:pPr>
              <w:pStyle w:val="ListParagraph"/>
              <w:numPr>
                <w:ilvl w:val="0"/>
                <w:numId w:val="34"/>
              </w:numPr>
              <w:spacing w:before="240" w:after="240"/>
            </w:pPr>
            <w:r w:rsidRPr="008D753D">
              <w:t>Entry into My Aged Care</w:t>
            </w:r>
          </w:p>
          <w:p w14:paraId="357D83DC" w14:textId="77777777" w:rsidR="00FA75A4" w:rsidRPr="008D753D" w:rsidRDefault="00FA75A4" w:rsidP="00856600">
            <w:pPr>
              <w:pStyle w:val="ListParagraph"/>
              <w:numPr>
                <w:ilvl w:val="0"/>
                <w:numId w:val="34"/>
              </w:numPr>
              <w:spacing w:before="240" w:after="240"/>
            </w:pPr>
            <w:r w:rsidRPr="008D753D">
              <w:t>Registered supporters</w:t>
            </w:r>
          </w:p>
          <w:p w14:paraId="2E76AE3F" w14:textId="77777777" w:rsidR="00FA75A4" w:rsidRPr="008D753D" w:rsidRDefault="00FA75A4" w:rsidP="00856600">
            <w:pPr>
              <w:pStyle w:val="ListParagraph"/>
              <w:numPr>
                <w:ilvl w:val="0"/>
                <w:numId w:val="34"/>
              </w:numPr>
              <w:spacing w:before="240" w:after="240"/>
            </w:pPr>
            <w:r>
              <w:t>Screening</w:t>
            </w:r>
          </w:p>
          <w:p w14:paraId="1A076B60" w14:textId="7AC38C46" w:rsidR="00FA75A4" w:rsidRDefault="00FA75A4" w:rsidP="00856600">
            <w:pPr>
              <w:pStyle w:val="ListParagraph"/>
              <w:numPr>
                <w:ilvl w:val="0"/>
                <w:numId w:val="34"/>
              </w:numPr>
              <w:spacing w:before="240" w:after="240"/>
            </w:pPr>
            <w:r>
              <w:t>A</w:t>
            </w:r>
            <w:r w:rsidRPr="008D753D">
              <w:t xml:space="preserve">lternative entry </w:t>
            </w:r>
          </w:p>
          <w:p w14:paraId="38240E13" w14:textId="1DD90A61" w:rsidR="00FA75A4" w:rsidRPr="008D753D" w:rsidRDefault="00060F7F" w:rsidP="00856600">
            <w:pPr>
              <w:pStyle w:val="ListParagraph"/>
              <w:numPr>
                <w:ilvl w:val="0"/>
                <w:numId w:val="34"/>
              </w:numPr>
              <w:spacing w:before="240" w:after="240"/>
            </w:pPr>
            <w:r>
              <w:t xml:space="preserve">Emergency Residential Care – </w:t>
            </w:r>
            <w:r w:rsidR="00FA75A4">
              <w:t>Application for Care form</w:t>
            </w:r>
            <w:r w:rsidR="00800802">
              <w:t xml:space="preserve"> (for residential care or residential respite)</w:t>
            </w:r>
          </w:p>
        </w:tc>
      </w:tr>
    </w:tbl>
    <w:p w14:paraId="176A3CDE" w14:textId="77777777" w:rsidR="00FA75A4" w:rsidRPr="008D753D" w:rsidRDefault="00FA75A4" w:rsidP="00507F9D">
      <w:pPr>
        <w:pStyle w:val="h2"/>
      </w:pPr>
      <w:bookmarkStart w:id="187" w:name="_Toc204329513"/>
      <w:bookmarkStart w:id="188" w:name="_Toc209188960"/>
      <w:bookmarkStart w:id="189" w:name="_Toc224916626"/>
      <w:r w:rsidRPr="008D753D">
        <w:t xml:space="preserve">Entry </w:t>
      </w:r>
      <w:r w:rsidRPr="004D7668">
        <w:t>into</w:t>
      </w:r>
      <w:r w:rsidRPr="008D753D">
        <w:t xml:space="preserve"> My Aged Care</w:t>
      </w:r>
      <w:bookmarkEnd w:id="187"/>
      <w:bookmarkEnd w:id="188"/>
      <w:bookmarkEnd w:id="189"/>
    </w:p>
    <w:p w14:paraId="61ADCE63" w14:textId="77777777" w:rsidR="00FA75A4" w:rsidRPr="008D753D" w:rsidRDefault="00FA75A4" w:rsidP="00856600">
      <w:pPr>
        <w:spacing w:before="240" w:after="240" w:line="240" w:lineRule="auto"/>
        <w:rPr>
          <w:rFonts w:eastAsiaTheme="minorEastAsia"/>
          <w:lang w:eastAsia="en-US"/>
        </w:rPr>
      </w:pPr>
      <w:r w:rsidRPr="008D753D">
        <w:rPr>
          <w:rFonts w:eastAsiaTheme="minorEastAsia"/>
          <w:lang w:eastAsia="en-US"/>
        </w:rPr>
        <w:t xml:space="preserve">My Aged Care is the entry point to access Australian Government-funded aged care services. My Aged Care consists of three access channels: telephone (the My Aged Care Contact Centre), digital (website and GP e-referral) and face-to-face with Aged Care Specialist Officers (ACSO) (through selected Services Australia service centres). </w:t>
      </w:r>
    </w:p>
    <w:p w14:paraId="6836BE74" w14:textId="2DAAED7C" w:rsidR="00910144" w:rsidRDefault="3EC670EF" w:rsidP="00856600">
      <w:pPr>
        <w:spacing w:before="240" w:after="240" w:line="240" w:lineRule="auto"/>
      </w:pPr>
      <w:r>
        <w:t>A</w:t>
      </w:r>
      <w:r w:rsidR="00910144">
        <w:t xml:space="preserve">n older person’s need for aged care services may also be identified by their family and carers, social worker, Elder Care Support connectors, care finders, or service providers. </w:t>
      </w:r>
    </w:p>
    <w:p w14:paraId="2E1695D9" w14:textId="570B4A6D" w:rsidR="003C63D9" w:rsidRPr="008D753D" w:rsidRDefault="003C63D9" w:rsidP="1C909D30">
      <w:pPr>
        <w:spacing w:before="240" w:after="240" w:line="240" w:lineRule="auto"/>
        <w:rPr>
          <w:rFonts w:eastAsiaTheme="minorEastAsia"/>
          <w:lang w:eastAsia="en-US"/>
        </w:rPr>
      </w:pPr>
      <w:r w:rsidRPr="1C909D30">
        <w:rPr>
          <w:rFonts w:eastAsiaTheme="minorEastAsia"/>
          <w:lang w:eastAsia="en-US"/>
        </w:rPr>
        <w:t xml:space="preserve">These entry points to access Australian Government-funded aged care services </w:t>
      </w:r>
      <w:r w:rsidR="00A95E97" w:rsidRPr="1C909D30">
        <w:rPr>
          <w:rFonts w:eastAsiaTheme="minorEastAsia"/>
          <w:lang w:eastAsia="en-US"/>
        </w:rPr>
        <w:t xml:space="preserve">comprise the ‘approved form’ under section 56 of the </w:t>
      </w:r>
      <w:r w:rsidR="00817255" w:rsidRPr="1C909D30">
        <w:rPr>
          <w:rFonts w:eastAsiaTheme="minorEastAsia"/>
          <w:lang w:eastAsia="en-US"/>
        </w:rPr>
        <w:t xml:space="preserve">Aged Care </w:t>
      </w:r>
      <w:r w:rsidR="00A95E97" w:rsidRPr="1C909D30">
        <w:rPr>
          <w:rFonts w:eastAsiaTheme="minorEastAsia"/>
          <w:lang w:eastAsia="en-US"/>
        </w:rPr>
        <w:t>Act</w:t>
      </w:r>
      <w:r w:rsidR="00817255" w:rsidRPr="1C909D30">
        <w:rPr>
          <w:rFonts w:eastAsiaTheme="minorEastAsia"/>
          <w:lang w:eastAsia="en-US"/>
        </w:rPr>
        <w:t xml:space="preserve"> 2024</w:t>
      </w:r>
      <w:r w:rsidR="007110F1" w:rsidRPr="1C909D30">
        <w:rPr>
          <w:rFonts w:eastAsiaTheme="minorEastAsia"/>
          <w:lang w:eastAsia="en-US"/>
        </w:rPr>
        <w:t xml:space="preserve"> for new applicants and section 64 </w:t>
      </w:r>
      <w:r w:rsidR="0029299D" w:rsidRPr="1C909D30">
        <w:rPr>
          <w:rFonts w:eastAsiaTheme="minorEastAsia"/>
          <w:lang w:eastAsia="en-US"/>
        </w:rPr>
        <w:t>for those older people or eligible younger people who are making an application for a reassessment</w:t>
      </w:r>
      <w:r w:rsidR="00E23F88" w:rsidRPr="1C909D30">
        <w:rPr>
          <w:rFonts w:eastAsiaTheme="minorEastAsia"/>
          <w:lang w:eastAsia="en-US"/>
        </w:rPr>
        <w:t xml:space="preserve"> (noting the ‘request a </w:t>
      </w:r>
      <w:r w:rsidR="24DA5CF2" w:rsidRPr="1C909D30">
        <w:rPr>
          <w:rFonts w:eastAsiaTheme="minorEastAsia"/>
          <w:lang w:eastAsia="en-US"/>
        </w:rPr>
        <w:t>s</w:t>
      </w:r>
      <w:r w:rsidR="29D00037" w:rsidRPr="1C909D30">
        <w:rPr>
          <w:rFonts w:eastAsiaTheme="minorEastAsia"/>
          <w:lang w:eastAsia="en-US"/>
        </w:rPr>
        <w:t xml:space="preserve">upport </w:t>
      </w:r>
      <w:r w:rsidR="3F4D598B" w:rsidRPr="1C909D30">
        <w:rPr>
          <w:rFonts w:eastAsiaTheme="minorEastAsia"/>
          <w:lang w:eastAsia="en-US"/>
        </w:rPr>
        <w:t>p</w:t>
      </w:r>
      <w:r w:rsidR="29D00037" w:rsidRPr="1C909D30">
        <w:rPr>
          <w:rFonts w:eastAsiaTheme="minorEastAsia"/>
          <w:lang w:eastAsia="en-US"/>
        </w:rPr>
        <w:t xml:space="preserve">lan </w:t>
      </w:r>
      <w:r w:rsidR="0D8C8F59" w:rsidRPr="1C909D30">
        <w:rPr>
          <w:rFonts w:eastAsiaTheme="minorEastAsia"/>
          <w:lang w:eastAsia="en-US"/>
        </w:rPr>
        <w:t>r</w:t>
      </w:r>
      <w:r w:rsidR="29D00037" w:rsidRPr="1C909D30">
        <w:rPr>
          <w:rFonts w:eastAsiaTheme="minorEastAsia"/>
          <w:lang w:eastAsia="en-US"/>
        </w:rPr>
        <w:t>eview’</w:t>
      </w:r>
      <w:r w:rsidR="00DA377C" w:rsidRPr="1C909D30">
        <w:rPr>
          <w:rFonts w:eastAsiaTheme="minorEastAsia"/>
          <w:lang w:eastAsia="en-US"/>
        </w:rPr>
        <w:t xml:space="preserve"> pathway also constitutes an approved form for section 64)</w:t>
      </w:r>
      <w:r w:rsidR="0029299D" w:rsidRPr="1C909D30">
        <w:rPr>
          <w:rFonts w:eastAsiaTheme="minorEastAsia"/>
          <w:lang w:eastAsia="en-US"/>
        </w:rPr>
        <w:t>.</w:t>
      </w:r>
      <w:r w:rsidR="00E92312" w:rsidRPr="1C909D30">
        <w:rPr>
          <w:rFonts w:eastAsiaTheme="minorEastAsia"/>
          <w:lang w:eastAsia="en-US"/>
        </w:rPr>
        <w:t xml:space="preserve"> These entry points also comprise the approved form for the purposes of section 71 (alternative entry).</w:t>
      </w:r>
    </w:p>
    <w:p w14:paraId="458BB621" w14:textId="77777777" w:rsidR="00856600" w:rsidRPr="000027E3" w:rsidRDefault="00FA75A4" w:rsidP="00C325C6">
      <w:pPr>
        <w:pStyle w:val="Sub-headings"/>
      </w:pPr>
      <w:r w:rsidRPr="00904192">
        <w:t>Note</w:t>
      </w:r>
      <w:r w:rsidR="0015698E" w:rsidRPr="000027E3">
        <w:t>:</w:t>
      </w:r>
      <w:r w:rsidR="007F22CF" w:rsidRPr="000027E3">
        <w:t xml:space="preserve"> </w:t>
      </w:r>
    </w:p>
    <w:p w14:paraId="63D39F94" w14:textId="46FE45AC" w:rsidR="00FA75A4" w:rsidRPr="007F22CF" w:rsidRDefault="0015698E" w:rsidP="00C325C6">
      <w:pPr>
        <w:pStyle w:val="Sub-headings"/>
      </w:pPr>
      <w:r>
        <w:t>O</w:t>
      </w:r>
      <w:r w:rsidR="00FA75A4" w:rsidRPr="008D753D">
        <w:t xml:space="preserve">lder Aboriginal and Torres Strait Islander people will be able to indicate their preference for their assessment to be conducted by an Aboriginal and Torres Strait Islander </w:t>
      </w:r>
      <w:r w:rsidR="00DD695B">
        <w:t xml:space="preserve">assessment </w:t>
      </w:r>
      <w:r w:rsidR="00FA75A4" w:rsidRPr="008D753D">
        <w:t>organisation at any of the below stages, or referral points.</w:t>
      </w:r>
    </w:p>
    <w:p w14:paraId="2095E732" w14:textId="77777777" w:rsidR="00A5325C" w:rsidRDefault="00A5325C" w:rsidP="00856600">
      <w:pPr>
        <w:spacing w:before="240" w:after="240" w:line="240" w:lineRule="auto"/>
      </w:pPr>
      <w:bookmarkStart w:id="190" w:name="_Toc159226865"/>
      <w:bookmarkStart w:id="191" w:name="_Toc184402264"/>
      <w:bookmarkStart w:id="192" w:name="_Toc204329514"/>
    </w:p>
    <w:p w14:paraId="489DD505" w14:textId="4BA02FFD" w:rsidR="00FA75A4" w:rsidRPr="008D753D" w:rsidRDefault="00FA75A4" w:rsidP="00C56CEC">
      <w:pPr>
        <w:pStyle w:val="H3"/>
      </w:pPr>
      <w:r w:rsidRPr="008D753D">
        <w:t>Modes of entry into My Aged Care</w:t>
      </w:r>
      <w:bookmarkEnd w:id="190"/>
      <w:bookmarkEnd w:id="191"/>
      <w:bookmarkEnd w:id="192"/>
      <w:r w:rsidRPr="008D753D">
        <w:t xml:space="preserve"> </w:t>
      </w:r>
    </w:p>
    <w:p w14:paraId="6A01FC00" w14:textId="77777777" w:rsidR="00FA75A4" w:rsidRPr="008D753D" w:rsidRDefault="00FA75A4" w:rsidP="0003231B">
      <w:pPr>
        <w:pStyle w:val="H4"/>
      </w:pPr>
      <w:bookmarkStart w:id="193" w:name="_Toc184402265"/>
      <w:r w:rsidRPr="008D753D">
        <w:t>Phone</w:t>
      </w:r>
      <w:bookmarkEnd w:id="193"/>
      <w:r w:rsidRPr="008D753D">
        <w:t xml:space="preserve"> </w:t>
      </w:r>
    </w:p>
    <w:p w14:paraId="692D8E5F" w14:textId="0D9F603B" w:rsidR="00FA75A4" w:rsidRPr="008D753D" w:rsidRDefault="00FA75A4" w:rsidP="00614178">
      <w:pPr>
        <w:spacing w:before="240" w:after="240" w:line="240" w:lineRule="auto"/>
      </w:pPr>
      <w:r w:rsidRPr="008D753D">
        <w:t>Older people can call the My Aged Care Contact Centre on 1800 200 422, 8am to 8pm Monday to Friday or 10am-2pm Saturday, local time (</w:t>
      </w:r>
      <w:r w:rsidR="00135588">
        <w:t>F</w:t>
      </w:r>
      <w:r w:rsidRPr="008D753D">
        <w:t>reeCall*).</w:t>
      </w:r>
    </w:p>
    <w:p w14:paraId="13BBD4D1" w14:textId="147B2055" w:rsidR="00FA75A4" w:rsidRPr="008D753D" w:rsidRDefault="00FA75A4" w:rsidP="00614178">
      <w:pPr>
        <w:spacing w:before="240" w:after="240" w:line="240" w:lineRule="auto"/>
        <w:rPr>
          <w:rFonts w:eastAsiaTheme="minorEastAsia"/>
          <w:lang w:eastAsia="en-US"/>
        </w:rPr>
      </w:pPr>
      <w:r w:rsidRPr="008D753D">
        <w:rPr>
          <w:rFonts w:eastAsiaTheme="minorEastAsia"/>
          <w:lang w:eastAsia="en-US"/>
        </w:rPr>
        <w:t xml:space="preserve">The My Aged Care Contact Centre receives inbound calls and referrals, creates records for </w:t>
      </w:r>
      <w:r w:rsidR="00516348">
        <w:rPr>
          <w:rFonts w:eastAsiaTheme="minorEastAsia"/>
          <w:lang w:eastAsia="en-US"/>
        </w:rPr>
        <w:t>older people</w:t>
      </w:r>
      <w:r w:rsidRPr="008D753D">
        <w:rPr>
          <w:rFonts w:eastAsiaTheme="minorEastAsia"/>
          <w:lang w:eastAsia="en-US"/>
        </w:rPr>
        <w:t xml:space="preserve">, progresses the registration and cancellation of supporter and agent relationships, raises SPR requests, screens for needs and refers older people to assessment organisations and service providers and/or provides information to </w:t>
      </w:r>
      <w:r w:rsidR="00516348">
        <w:rPr>
          <w:rFonts w:eastAsiaTheme="minorEastAsia"/>
          <w:lang w:eastAsia="en-US"/>
        </w:rPr>
        <w:t>older people</w:t>
      </w:r>
      <w:r w:rsidRPr="008D753D">
        <w:rPr>
          <w:rFonts w:eastAsiaTheme="minorEastAsia"/>
          <w:lang w:eastAsia="en-US"/>
        </w:rPr>
        <w:t>.</w:t>
      </w:r>
    </w:p>
    <w:p w14:paraId="27E00488" w14:textId="77777777" w:rsidR="00FA75A4" w:rsidRPr="008D753D" w:rsidRDefault="00FA75A4" w:rsidP="0003231B">
      <w:pPr>
        <w:pStyle w:val="H4"/>
      </w:pPr>
      <w:bookmarkStart w:id="194" w:name="_Toc184402266"/>
      <w:r w:rsidRPr="008D753D">
        <w:t>Online</w:t>
      </w:r>
    </w:p>
    <w:p w14:paraId="581AAE7F" w14:textId="4CF6A4C2" w:rsidR="00FA75A4" w:rsidRPr="008D753D" w:rsidRDefault="00FA75A4" w:rsidP="0003231B">
      <w:pPr>
        <w:pStyle w:val="H4"/>
      </w:pPr>
      <w:r w:rsidRPr="008D753D">
        <w:t xml:space="preserve">Apply for an </w:t>
      </w:r>
      <w:r w:rsidR="00475FBB">
        <w:t>a</w:t>
      </w:r>
      <w:r w:rsidRPr="008D753D">
        <w:t xml:space="preserve">ssessment </w:t>
      </w:r>
      <w:r w:rsidR="00475FBB">
        <w:t>o</w:t>
      </w:r>
      <w:r w:rsidRPr="008D753D">
        <w:t>nline</w:t>
      </w:r>
      <w:bookmarkEnd w:id="194"/>
    </w:p>
    <w:p w14:paraId="12A516DB" w14:textId="77777777" w:rsidR="00FA75A4" w:rsidRPr="008D753D" w:rsidRDefault="00FA75A4" w:rsidP="00614178">
      <w:pPr>
        <w:spacing w:before="240" w:after="240" w:line="240" w:lineRule="auto"/>
      </w:pPr>
      <w:bookmarkStart w:id="195" w:name="_Hlk88840653"/>
      <w:r w:rsidRPr="008D753D">
        <w:t xml:space="preserve">The </w:t>
      </w:r>
      <w:hyperlink r:id="rId81">
        <w:r w:rsidRPr="008D753D">
          <w:rPr>
            <w:rStyle w:val="Hyperlink"/>
          </w:rPr>
          <w:t>Apply for an A</w:t>
        </w:r>
        <w:r w:rsidRPr="008652B1">
          <w:rPr>
            <w:rStyle w:val="Hyperlink"/>
          </w:rPr>
          <w:t>s</w:t>
        </w:r>
        <w:r w:rsidRPr="008D753D">
          <w:rPr>
            <w:rStyle w:val="Hyperlink"/>
          </w:rPr>
          <w:t>sessment Online</w:t>
        </w:r>
      </w:hyperlink>
      <w:r w:rsidRPr="008D753D">
        <w:rPr>
          <w:i/>
        </w:rPr>
        <w:t xml:space="preserve"> </w:t>
      </w:r>
      <w:r w:rsidRPr="008D753D">
        <w:t>process can be used as an alternative to contacting the My Aged Care Contact Centre or seeing an ACSO. The online form enables consumers to register with My Aged Care and apply for their first assessment online or on behalf of a family member or friend. The My Aged Care system automatically processes the online form. A request to register a supporter for the older person can also be submitted using this tool.</w:t>
      </w:r>
    </w:p>
    <w:bookmarkEnd w:id="195"/>
    <w:p w14:paraId="6003F570" w14:textId="77777777" w:rsidR="00875854" w:rsidRPr="008D753D" w:rsidRDefault="00875854" w:rsidP="00C325C6">
      <w:pPr>
        <w:pStyle w:val="Sub-headings"/>
      </w:pPr>
      <w:r w:rsidRPr="00904192">
        <w:t>Note</w:t>
      </w:r>
      <w:r>
        <w:t>: some older people may have had a previous assessment but were found ineligible, which would also result in them having an existing record.</w:t>
      </w:r>
    </w:p>
    <w:p w14:paraId="2CBDEB3A" w14:textId="70CC72A6" w:rsidR="00875854" w:rsidRDefault="00FA75A4" w:rsidP="00251AD3">
      <w:pPr>
        <w:spacing w:before="240" w:after="240" w:line="240" w:lineRule="auto"/>
      </w:pPr>
      <w:r w:rsidRPr="008D753D">
        <w:t xml:space="preserve">Where the form successfully processes, a referral for assessment will be automatically issued to </w:t>
      </w:r>
      <w:r>
        <w:t xml:space="preserve">an </w:t>
      </w:r>
      <w:r w:rsidRPr="008D753D">
        <w:t xml:space="preserve">appropriate assessment organisation. In instances where </w:t>
      </w:r>
      <w:r w:rsidR="00516348">
        <w:t>older people</w:t>
      </w:r>
      <w:r w:rsidRPr="008D753D">
        <w:t xml:space="preserve"> have an existing older person record, or are missing key identifying information, or there is an error in the automated processing, they will be directed to call the My Aged Care Contact Centre. For existing </w:t>
      </w:r>
      <w:r w:rsidR="00516348">
        <w:t>older people</w:t>
      </w:r>
      <w:r w:rsidRPr="008D753D">
        <w:t>, the My Aged Care Contact Centre will issue a SPR request to the assessment organisation.</w:t>
      </w:r>
      <w:r w:rsidR="002F1009">
        <w:t xml:space="preserve"> </w:t>
      </w:r>
      <w:bookmarkStart w:id="196" w:name="_Toc184402267"/>
    </w:p>
    <w:p w14:paraId="2B8DBDCE" w14:textId="60FEDF00" w:rsidR="00FA75A4" w:rsidRPr="008D753D" w:rsidRDefault="00FA75A4" w:rsidP="0003231B">
      <w:pPr>
        <w:pStyle w:val="H4"/>
      </w:pPr>
      <w:r w:rsidRPr="008D753D">
        <w:t>Web referrals (Make a Referral form)</w:t>
      </w:r>
      <w:bookmarkEnd w:id="196"/>
    </w:p>
    <w:p w14:paraId="77B75070" w14:textId="77777777" w:rsidR="00FA75A4" w:rsidRPr="008D753D" w:rsidRDefault="00FA75A4" w:rsidP="00614178">
      <w:pPr>
        <w:spacing w:before="240" w:after="240" w:line="240" w:lineRule="auto"/>
      </w:pPr>
      <w:r w:rsidRPr="008D753D">
        <w:t xml:space="preserve">For an older person’s first contact with My Aged Care, GPs and health professionals can make a referral directly to an assessment organisation using the ‘Make a Referral’ form through the My Aged Care </w:t>
      </w:r>
      <w:hyperlink r:id="rId82">
        <w:r w:rsidRPr="008D753D">
          <w:rPr>
            <w:rStyle w:val="Hyperlink"/>
          </w:rPr>
          <w:t>website</w:t>
        </w:r>
      </w:hyperlink>
      <w:r w:rsidRPr="008D753D">
        <w:t xml:space="preserve">. </w:t>
      </w:r>
    </w:p>
    <w:p w14:paraId="4E95D944" w14:textId="5E88DAC6" w:rsidR="00FA75A4" w:rsidRPr="008D753D" w:rsidRDefault="00FA75A4" w:rsidP="00614178">
      <w:pPr>
        <w:spacing w:before="240" w:after="240" w:line="240" w:lineRule="auto"/>
        <w:rPr>
          <w:lang w:val="en"/>
        </w:rPr>
      </w:pPr>
      <w:r w:rsidRPr="008D753D">
        <w:t xml:space="preserve">Web referrals contain decision support to guide the home support or comprehensive assessment </w:t>
      </w:r>
      <w:r w:rsidR="00113AA1" w:rsidRPr="008D753D">
        <w:t>pathway;</w:t>
      </w:r>
      <w:r w:rsidRPr="008D753D">
        <w:t xml:space="preserve"> however, the triage delegate can accept the recommended</w:t>
      </w:r>
      <w:r w:rsidRPr="008D753D">
        <w:rPr>
          <w:lang w:val="en"/>
        </w:rPr>
        <w:t xml:space="preserve"> assessment pathway or recommend (with justification) the other assessment option. </w:t>
      </w:r>
    </w:p>
    <w:p w14:paraId="65BCD3DA" w14:textId="77777777" w:rsidR="00FA75A4" w:rsidRPr="008D753D" w:rsidRDefault="00FA75A4" w:rsidP="00614178">
      <w:pPr>
        <w:spacing w:before="240" w:after="240" w:line="240" w:lineRule="auto"/>
        <w:rPr>
          <w:lang w:val="en-US"/>
        </w:rPr>
      </w:pPr>
      <w:r w:rsidRPr="008D753D">
        <w:rPr>
          <w:lang w:val="en-US"/>
        </w:rPr>
        <w:t xml:space="preserve">Where the referral is submitted by a GP or health professional, for the first assessment referral (e.g., where no previous assessment exists), the system will automatically process the referral where all information is correctly entered and attachments supplied. Where automated processing is successful, a referral for assessment will be automatically issued to </w:t>
      </w:r>
      <w:r>
        <w:rPr>
          <w:lang w:val="en-US"/>
        </w:rPr>
        <w:t>an</w:t>
      </w:r>
      <w:r w:rsidRPr="008D753D">
        <w:rPr>
          <w:lang w:val="en-US"/>
        </w:rPr>
        <w:t xml:space="preserve"> appropriate assessment organisation.</w:t>
      </w:r>
    </w:p>
    <w:p w14:paraId="18183D58" w14:textId="77777777" w:rsidR="00FA75A4" w:rsidRPr="008D753D" w:rsidRDefault="00FA75A4" w:rsidP="00614178">
      <w:pPr>
        <w:spacing w:before="240" w:after="240" w:line="240" w:lineRule="auto"/>
        <w:rPr>
          <w:lang w:val="en-US"/>
        </w:rPr>
      </w:pPr>
      <w:r w:rsidRPr="008D753D">
        <w:rPr>
          <w:lang w:val="en-US"/>
        </w:rPr>
        <w:t>If the GP or health professional recommends a comprehensive assessment and the older person has previously been assessed for a home support assessment, the web referral will be intercepted by the My Aged Care Contact Centre and follow the SPR pathway rules to the assessment organisation that undertook the most recent assessment, regardless of the recommendation (unless the request qualifies for a direct comprehensive assessment referral, such as for TCP</w:t>
      </w:r>
      <w:r>
        <w:rPr>
          <w:lang w:val="en-US"/>
        </w:rPr>
        <w:t>)</w:t>
      </w:r>
      <w:r w:rsidRPr="008D753D">
        <w:rPr>
          <w:lang w:val="en-US"/>
        </w:rPr>
        <w:t xml:space="preserve">. </w:t>
      </w:r>
    </w:p>
    <w:p w14:paraId="74F62910" w14:textId="77777777" w:rsidR="00FA75A4" w:rsidRPr="008D753D" w:rsidRDefault="00FA75A4" w:rsidP="0003231B">
      <w:pPr>
        <w:pStyle w:val="H4"/>
      </w:pPr>
      <w:bookmarkStart w:id="197" w:name="_Toc184402268"/>
      <w:bookmarkStart w:id="198" w:name="_Toc204329515"/>
      <w:r w:rsidRPr="008D753D">
        <w:t>GP e-Referral</w:t>
      </w:r>
      <w:bookmarkEnd w:id="197"/>
      <w:bookmarkEnd w:id="198"/>
    </w:p>
    <w:p w14:paraId="229251AF" w14:textId="77777777" w:rsidR="00FA75A4" w:rsidRPr="008D753D" w:rsidRDefault="00FA75A4" w:rsidP="00614178">
      <w:pPr>
        <w:spacing w:before="240" w:after="240" w:line="240" w:lineRule="auto"/>
        <w:rPr>
          <w:lang w:val="en-US"/>
        </w:rPr>
      </w:pPr>
      <w:r w:rsidRPr="008D753D">
        <w:rPr>
          <w:lang w:val="en-US"/>
        </w:rPr>
        <w:t xml:space="preserve">GPs may also choose to use </w:t>
      </w:r>
      <w:hyperlink r:id="rId83" w:history="1">
        <w:r w:rsidRPr="008D753D">
          <w:rPr>
            <w:rStyle w:val="Hyperlink"/>
            <w:lang w:val="en-US"/>
          </w:rPr>
          <w:t>GP e-Referrals</w:t>
        </w:r>
      </w:hyperlink>
      <w:r w:rsidRPr="008D753D">
        <w:rPr>
          <w:lang w:val="en-US"/>
        </w:rPr>
        <w:t xml:space="preserve"> which can be accessed from their practice management system. The form will pre-populate the patient's information with the GP then adding any additional information and attachments as required. It is then submitted safely and securely to My Aged Care for processing and will follow a similar process to that outlined for the Make a Referral form.</w:t>
      </w:r>
    </w:p>
    <w:p w14:paraId="62547E9D" w14:textId="2E10364A" w:rsidR="00FA75A4" w:rsidRPr="008D753D" w:rsidRDefault="00FA75A4" w:rsidP="00614178">
      <w:pPr>
        <w:spacing w:before="240" w:after="240" w:line="240" w:lineRule="auto"/>
        <w:rPr>
          <w:lang w:val="en-US"/>
        </w:rPr>
      </w:pPr>
      <w:r w:rsidRPr="008D753D">
        <w:rPr>
          <w:lang w:val="en-US"/>
        </w:rPr>
        <w:t>GPs will be able to record a client</w:t>
      </w:r>
      <w:r>
        <w:rPr>
          <w:lang w:val="en-US"/>
        </w:rPr>
        <w:t>’</w:t>
      </w:r>
      <w:r w:rsidRPr="008D753D">
        <w:rPr>
          <w:lang w:val="en-US"/>
        </w:rPr>
        <w:t xml:space="preserve">s preference for an Aboriginal and Torres Strait Islander assessment organisation. </w:t>
      </w:r>
    </w:p>
    <w:p w14:paraId="5E8A3748" w14:textId="706909E0" w:rsidR="00FA75A4" w:rsidRPr="008D753D" w:rsidRDefault="00FA75A4" w:rsidP="0003231B">
      <w:pPr>
        <w:pStyle w:val="H4"/>
      </w:pPr>
      <w:bookmarkStart w:id="199" w:name="_Toc184402269"/>
      <w:bookmarkStart w:id="200" w:name="_Toc204329516"/>
      <w:r w:rsidRPr="008D753D">
        <w:t xml:space="preserve">Face to </w:t>
      </w:r>
      <w:r w:rsidR="00475FBB">
        <w:t>f</w:t>
      </w:r>
      <w:r w:rsidRPr="008D753D">
        <w:t xml:space="preserve">ace access through an </w:t>
      </w:r>
      <w:bookmarkEnd w:id="199"/>
      <w:r w:rsidRPr="008D753D">
        <w:t>Aged Care Specialist Officer (ACSO)</w:t>
      </w:r>
      <w:bookmarkEnd w:id="200"/>
    </w:p>
    <w:p w14:paraId="7777B4B9" w14:textId="77777777" w:rsidR="00FA75A4" w:rsidRPr="008D753D" w:rsidRDefault="00FA75A4" w:rsidP="00614178">
      <w:pPr>
        <w:spacing w:before="240" w:after="240" w:line="240" w:lineRule="auto"/>
        <w:rPr>
          <w:lang w:val="en-US"/>
        </w:rPr>
      </w:pPr>
      <w:r w:rsidRPr="008D753D">
        <w:rPr>
          <w:lang w:val="en-US"/>
        </w:rPr>
        <w:t xml:space="preserve">People seeking access to aged care can alternatively book a face-to-face appointment with an ACSO who are located in some </w:t>
      </w:r>
      <w:hyperlink r:id="rId84" w:history="1">
        <w:r w:rsidRPr="008D753D">
          <w:rPr>
            <w:rStyle w:val="Hyperlink"/>
            <w:lang w:val="en-US"/>
          </w:rPr>
          <w:t>Services Australia service centres</w:t>
        </w:r>
      </w:hyperlink>
      <w:r w:rsidRPr="008D753D">
        <w:rPr>
          <w:lang w:val="en-US"/>
        </w:rPr>
        <w:t xml:space="preserve">. Bookings for the free service can be made by calling 1800 227 475 on weekdays from 8am to 5pm. </w:t>
      </w:r>
    </w:p>
    <w:p w14:paraId="465D08CE" w14:textId="77777777" w:rsidR="00FA75A4" w:rsidRPr="008D753D" w:rsidRDefault="00FA75A4" w:rsidP="00614178">
      <w:pPr>
        <w:spacing w:before="240" w:after="240" w:line="240" w:lineRule="auto"/>
        <w:rPr>
          <w:lang w:val="en-US"/>
        </w:rPr>
      </w:pPr>
      <w:r w:rsidRPr="008D753D">
        <w:rPr>
          <w:lang w:val="en-US"/>
        </w:rPr>
        <w:t>ACSOs will be able to help older Aboriginal and Torres Strait Islander people indicate their preference for an Aboriginal and Torres Strait Islander assessment organi</w:t>
      </w:r>
      <w:r>
        <w:rPr>
          <w:lang w:val="en-US"/>
        </w:rPr>
        <w:t>s</w:t>
      </w:r>
      <w:r w:rsidRPr="008D753D">
        <w:rPr>
          <w:lang w:val="en-US"/>
        </w:rPr>
        <w:t xml:space="preserve">ation. </w:t>
      </w:r>
    </w:p>
    <w:p w14:paraId="7A279A61" w14:textId="77777777" w:rsidR="00FA75A4" w:rsidRPr="008D753D" w:rsidRDefault="00FA75A4" w:rsidP="00614178">
      <w:pPr>
        <w:spacing w:before="240" w:after="240" w:line="240" w:lineRule="auto"/>
        <w:rPr>
          <w:lang w:val="en-US"/>
        </w:rPr>
      </w:pPr>
      <w:r w:rsidRPr="008D753D">
        <w:rPr>
          <w:lang w:val="en-US"/>
        </w:rPr>
        <w:t>All Service Australia service centres can provide general information about aged care services. They can help connect people to My Aged Care’s online or phone service and/or connect the older person to more intensive support if required.</w:t>
      </w:r>
    </w:p>
    <w:tbl>
      <w:tblPr>
        <w:tblStyle w:val="TableGrid"/>
        <w:tblW w:w="0" w:type="auto"/>
        <w:tblLook w:val="04A0" w:firstRow="1" w:lastRow="0" w:firstColumn="1" w:lastColumn="0" w:noHBand="0" w:noVBand="1"/>
      </w:tblPr>
      <w:tblGrid>
        <w:gridCol w:w="850"/>
        <w:gridCol w:w="7916"/>
      </w:tblGrid>
      <w:tr w:rsidR="00FA75A4" w:rsidRPr="008D753D" w14:paraId="240CF5B1" w14:textId="77777777">
        <w:trPr>
          <w:trHeight w:val="844"/>
        </w:trPr>
        <w:tc>
          <w:tcPr>
            <w:tcW w:w="851" w:type="dxa"/>
            <w:vAlign w:val="center"/>
          </w:tcPr>
          <w:p w14:paraId="5C5A6962" w14:textId="77777777" w:rsidR="00FA75A4" w:rsidRPr="008D753D" w:rsidRDefault="00FA75A4" w:rsidP="00614178">
            <w:pPr>
              <w:spacing w:before="240" w:after="240"/>
              <w:rPr>
                <w:lang w:val="en-US"/>
              </w:rPr>
            </w:pPr>
            <w:r w:rsidRPr="008D753D">
              <w:rPr>
                <w:noProof/>
              </w:rPr>
              <w:drawing>
                <wp:inline distT="0" distB="0" distL="0" distR="0" wp14:anchorId="3CFA703B" wp14:editId="6EB04EC3">
                  <wp:extent cx="367345" cy="365321"/>
                  <wp:effectExtent l="0" t="0" r="0" b="0"/>
                  <wp:docPr id="440600256" name="Picture 44060025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4420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1389AF0B" w14:textId="77777777" w:rsidR="00FA75A4" w:rsidRPr="008D753D" w:rsidRDefault="00FA75A4" w:rsidP="00614178">
            <w:pPr>
              <w:spacing w:before="240" w:after="240"/>
              <w:rPr>
                <w:lang w:val="en-US"/>
              </w:rPr>
            </w:pPr>
            <w:r w:rsidRPr="008D753D">
              <w:rPr>
                <w:b/>
                <w:bCs/>
                <w:szCs w:val="22"/>
              </w:rPr>
              <w:t>Services Australia website</w:t>
            </w:r>
            <w:r w:rsidRPr="008D753D">
              <w:rPr>
                <w:szCs w:val="22"/>
              </w:rPr>
              <w:t xml:space="preserve">: </w:t>
            </w:r>
            <w:hyperlink r:id="rId85">
              <w:r w:rsidRPr="008D753D">
                <w:rPr>
                  <w:rStyle w:val="Hyperlink"/>
                  <w:szCs w:val="22"/>
                </w:rPr>
                <w:t>Aged Care Specialist Officer</w:t>
              </w:r>
            </w:hyperlink>
          </w:p>
        </w:tc>
      </w:tr>
    </w:tbl>
    <w:p w14:paraId="203A3FB9" w14:textId="77777777" w:rsidR="00FA75A4" w:rsidRPr="008D753D" w:rsidRDefault="00FA75A4" w:rsidP="00C56CEC">
      <w:pPr>
        <w:pStyle w:val="H3"/>
      </w:pPr>
      <w:bookmarkStart w:id="201" w:name="_Toc159226866"/>
      <w:bookmarkStart w:id="202" w:name="_Ref167870899"/>
      <w:bookmarkStart w:id="203" w:name="_Ref167874724"/>
      <w:bookmarkStart w:id="204" w:name="_Toc184402270"/>
      <w:bookmarkStart w:id="205" w:name="_Toc204329517"/>
      <w:r w:rsidRPr="008D753D">
        <w:t>My Aged Care Online Account</w:t>
      </w:r>
      <w:bookmarkEnd w:id="201"/>
      <w:bookmarkEnd w:id="202"/>
      <w:bookmarkEnd w:id="203"/>
      <w:bookmarkEnd w:id="204"/>
      <w:bookmarkEnd w:id="205"/>
      <w:r w:rsidRPr="008D753D">
        <w:t xml:space="preserve"> </w:t>
      </w:r>
    </w:p>
    <w:p w14:paraId="75AB6D6D" w14:textId="5B2900B6" w:rsidR="00FA75A4" w:rsidRPr="008D753D" w:rsidRDefault="00FA75A4" w:rsidP="0003231B">
      <w:pPr>
        <w:pStyle w:val="H4"/>
      </w:pPr>
      <w:bookmarkStart w:id="206" w:name="_Toc184402271"/>
      <w:r w:rsidRPr="008D753D">
        <w:t xml:space="preserve">Create </w:t>
      </w:r>
      <w:r w:rsidR="00475FBB">
        <w:t>a</w:t>
      </w:r>
      <w:r w:rsidRPr="008D753D">
        <w:t xml:space="preserve">ccount and </w:t>
      </w:r>
      <w:r w:rsidR="00475FBB">
        <w:t>r</w:t>
      </w:r>
      <w:r w:rsidRPr="008D753D">
        <w:t>egistration</w:t>
      </w:r>
      <w:bookmarkEnd w:id="206"/>
      <w:r w:rsidRPr="008D753D">
        <w:t xml:space="preserve"> </w:t>
      </w:r>
    </w:p>
    <w:p w14:paraId="4C91EAE7" w14:textId="6B99311D" w:rsidR="00FA75A4" w:rsidRPr="008D753D" w:rsidRDefault="00FA75A4" w:rsidP="00614178">
      <w:pPr>
        <w:spacing w:before="240" w:after="240" w:line="240" w:lineRule="auto"/>
      </w:pPr>
      <w:r w:rsidRPr="008D753D">
        <w:t xml:space="preserve">Once registered with My Aged Care, an older person can set up access to their My Aged Care Online Account by linking it to their myGov account. Confirmation of the type of account, identification and contact details are required. Registered supporters for an older person can also set up their own Online Account. If they have </w:t>
      </w:r>
      <w:r w:rsidR="006238E9">
        <w:t>authority</w:t>
      </w:r>
      <w:r w:rsidRPr="008D753D">
        <w:t xml:space="preserve"> to access the older person's information, they can navigate from their own account to the account of the person they support. </w:t>
      </w:r>
    </w:p>
    <w:p w14:paraId="14ED86F3" w14:textId="62A93461" w:rsidR="00FA75A4" w:rsidRPr="008D753D" w:rsidRDefault="00FA75A4" w:rsidP="00614178">
      <w:pPr>
        <w:spacing w:before="240" w:after="240" w:line="240" w:lineRule="auto"/>
      </w:pPr>
      <w:r w:rsidRPr="008D753D">
        <w:t xml:space="preserve">An older person’s Online Account contains important information about the older person, </w:t>
      </w:r>
      <w:r w:rsidR="006238E9">
        <w:t xml:space="preserve">their </w:t>
      </w:r>
      <w:r w:rsidRPr="008D753D">
        <w:t>registered supporter</w:t>
      </w:r>
      <w:r w:rsidR="006238E9">
        <w:t>(s)</w:t>
      </w:r>
      <w:r w:rsidRPr="008D753D">
        <w:t xml:space="preserve">, organisation agent relationship details, aged care assessments, services, and interactions with My Aged Care. Further information about accessing and using a My Aged Care Online Account is available on the My Aged Care </w:t>
      </w:r>
      <w:hyperlink r:id="rId86">
        <w:r w:rsidRPr="008D753D">
          <w:rPr>
            <w:rStyle w:val="Hyperlink"/>
          </w:rPr>
          <w:t>website</w:t>
        </w:r>
      </w:hyperlink>
      <w:r w:rsidRPr="008D753D">
        <w:t xml:space="preserve">. </w:t>
      </w:r>
    </w:p>
    <w:p w14:paraId="6D36093D" w14:textId="258FD089" w:rsidR="00271898" w:rsidRDefault="00271898" w:rsidP="00507F9D">
      <w:pPr>
        <w:pStyle w:val="h2"/>
      </w:pPr>
      <w:bookmarkStart w:id="207" w:name="_Representatives"/>
      <w:bookmarkStart w:id="208" w:name="_Toc224916627"/>
      <w:bookmarkStart w:id="209" w:name="_Ref127285200"/>
      <w:bookmarkStart w:id="210" w:name="_Toc184402272"/>
      <w:bookmarkStart w:id="211" w:name="_Toc209188961"/>
      <w:bookmarkEnd w:id="207"/>
      <w:r w:rsidRPr="004B30B2">
        <w:t xml:space="preserve">Alternative </w:t>
      </w:r>
      <w:r>
        <w:t>e</w:t>
      </w:r>
      <w:r w:rsidRPr="004B30B2">
        <w:t>ntry</w:t>
      </w:r>
      <w:bookmarkEnd w:id="208"/>
      <w:r w:rsidRPr="00A10212">
        <w:t xml:space="preserve"> </w:t>
      </w:r>
    </w:p>
    <w:p w14:paraId="4D0D5C1A" w14:textId="77777777" w:rsidR="00271898" w:rsidRDefault="00271898" w:rsidP="00271898">
      <w:pPr>
        <w:spacing w:before="240" w:after="240" w:line="240" w:lineRule="auto"/>
        <w:rPr>
          <w:rFonts w:eastAsia="Aptos"/>
        </w:rPr>
      </w:pPr>
      <w:r>
        <w:rPr>
          <w:rFonts w:eastAsia="Aptos"/>
        </w:rPr>
        <w:t xml:space="preserve">Section 71 of the </w:t>
      </w:r>
      <w:r w:rsidRPr="00730DAF">
        <w:rPr>
          <w:rFonts w:eastAsia="Aptos"/>
        </w:rPr>
        <w:t>Act</w:t>
      </w:r>
      <w:r>
        <w:rPr>
          <w:rFonts w:eastAsia="Aptos"/>
        </w:rPr>
        <w:t xml:space="preserve"> provides ‘alternative entry’ pathways that allow an older person in certain circumstances to begin receiving care before being assessed and approved for funded aged care services</w:t>
      </w:r>
      <w:r w:rsidRPr="008D753D">
        <w:rPr>
          <w:rFonts w:eastAsia="Aptos"/>
        </w:rPr>
        <w:t>.</w:t>
      </w:r>
      <w:r>
        <w:rPr>
          <w:rFonts w:eastAsia="Aptos"/>
        </w:rPr>
        <w:t xml:space="preserve"> </w:t>
      </w:r>
    </w:p>
    <w:p w14:paraId="14931D80" w14:textId="77777777" w:rsidR="00271898" w:rsidRPr="008D753D" w:rsidRDefault="00271898" w:rsidP="00271898">
      <w:pPr>
        <w:spacing w:before="240" w:after="240" w:line="240" w:lineRule="auto"/>
        <w:rPr>
          <w:rFonts w:eastAsia="Aptos"/>
        </w:rPr>
      </w:pPr>
      <w:r>
        <w:rPr>
          <w:rFonts w:eastAsia="Aptos"/>
        </w:rPr>
        <w:t>Subsection 71(4) of the Act outlines the three different circumstances when an individual may access care before undergoing an assessment or receiving approval</w:t>
      </w:r>
      <w:r w:rsidRPr="008D753D">
        <w:rPr>
          <w:rFonts w:eastAsia="Aptos"/>
        </w:rPr>
        <w:t xml:space="preserve">. These circumstances are outlined as the following: </w:t>
      </w:r>
    </w:p>
    <w:p w14:paraId="6ADF78FC" w14:textId="77777777" w:rsidR="00271898" w:rsidRPr="008D753D" w:rsidRDefault="00271898" w:rsidP="00271898">
      <w:pPr>
        <w:pStyle w:val="ListParagraph"/>
        <w:numPr>
          <w:ilvl w:val="0"/>
          <w:numId w:val="428"/>
        </w:numPr>
        <w:spacing w:before="240" w:after="240" w:line="240" w:lineRule="auto"/>
        <w:rPr>
          <w:rFonts w:eastAsia="Aptos"/>
        </w:rPr>
      </w:pPr>
      <w:r w:rsidRPr="00A75A79">
        <w:rPr>
          <w:rFonts w:eastAsia="Aptos"/>
          <w:b/>
          <w:bCs/>
        </w:rPr>
        <w:t>Urgent services</w:t>
      </w:r>
      <w:r>
        <w:rPr>
          <w:rFonts w:eastAsia="Aptos"/>
        </w:rPr>
        <w:t xml:space="preserve">: </w:t>
      </w:r>
      <w:r w:rsidRPr="008D753D">
        <w:rPr>
          <w:rFonts w:eastAsia="Aptos"/>
        </w:rPr>
        <w:t>The individual was in urgent need of access to funded aged care services and there was a significant risk of harm to the individual if services were not provided before an approval was given</w:t>
      </w:r>
      <w:r>
        <w:rPr>
          <w:rFonts w:eastAsia="Aptos"/>
        </w:rPr>
        <w:t>.</w:t>
      </w:r>
    </w:p>
    <w:p w14:paraId="1A315250" w14:textId="77777777" w:rsidR="00271898" w:rsidRPr="008D753D" w:rsidRDefault="00271898" w:rsidP="00271898">
      <w:pPr>
        <w:pStyle w:val="ListParagraph"/>
        <w:numPr>
          <w:ilvl w:val="0"/>
          <w:numId w:val="428"/>
        </w:numPr>
        <w:spacing w:before="240" w:after="240" w:line="240" w:lineRule="auto"/>
        <w:rPr>
          <w:rFonts w:eastAsia="Aptos"/>
        </w:rPr>
      </w:pPr>
      <w:r w:rsidRPr="00A75A79">
        <w:rPr>
          <w:rFonts w:eastAsia="Aptos"/>
          <w:b/>
          <w:bCs/>
        </w:rPr>
        <w:t>Lack of availability of culturally safe assessments</w:t>
      </w:r>
      <w:r>
        <w:rPr>
          <w:rFonts w:eastAsia="Aptos"/>
        </w:rPr>
        <w:t xml:space="preserve">: </w:t>
      </w:r>
      <w:r w:rsidRPr="008D753D">
        <w:rPr>
          <w:rFonts w:eastAsia="Aptos"/>
        </w:rPr>
        <w:t>The individual is an Aboriginal and Torres Strait Islander person and at the time the individual sought access to funded aged care services,</w:t>
      </w:r>
      <w:r w:rsidRPr="0045664F">
        <w:rPr>
          <w:rFonts w:eastAsia="Aptos"/>
        </w:rPr>
        <w:t xml:space="preserve"> </w:t>
      </w:r>
      <w:r w:rsidRPr="008D753D">
        <w:rPr>
          <w:rFonts w:eastAsia="Aptos"/>
        </w:rPr>
        <w:t>there was a lack of availability to access a culturally safe assessment</w:t>
      </w:r>
      <w:r>
        <w:rPr>
          <w:rFonts w:eastAsia="Aptos"/>
        </w:rPr>
        <w:t>.</w:t>
      </w:r>
    </w:p>
    <w:p w14:paraId="712F76CA" w14:textId="77777777" w:rsidR="00271898" w:rsidRPr="00F95899" w:rsidRDefault="00271898" w:rsidP="00271898">
      <w:pPr>
        <w:pStyle w:val="ListParagraph"/>
        <w:numPr>
          <w:ilvl w:val="0"/>
          <w:numId w:val="428"/>
        </w:numPr>
        <w:spacing w:before="240" w:after="240" w:line="240" w:lineRule="auto"/>
        <w:rPr>
          <w:rFonts w:eastAsia="Aptos"/>
        </w:rPr>
      </w:pPr>
      <w:r>
        <w:rPr>
          <w:rFonts w:eastAsia="Aptos"/>
          <w:b/>
          <w:bCs/>
        </w:rPr>
        <w:t>Services commenced</w:t>
      </w:r>
      <w:r w:rsidRPr="00A75A79">
        <w:rPr>
          <w:rFonts w:eastAsia="Aptos"/>
          <w:b/>
          <w:bCs/>
        </w:rPr>
        <w:t xml:space="preserve"> through a specialist aged care program and </w:t>
      </w:r>
      <w:r>
        <w:rPr>
          <w:rFonts w:eastAsia="Aptos"/>
          <w:b/>
          <w:bCs/>
        </w:rPr>
        <w:t xml:space="preserve">there is a </w:t>
      </w:r>
      <w:r w:rsidRPr="00A75A79">
        <w:rPr>
          <w:rFonts w:eastAsia="Aptos"/>
          <w:b/>
          <w:bCs/>
        </w:rPr>
        <w:t>significant delay in assessment</w:t>
      </w:r>
      <w:r>
        <w:rPr>
          <w:rFonts w:eastAsia="Aptos"/>
        </w:rPr>
        <w:t xml:space="preserve">: </w:t>
      </w:r>
      <w:r w:rsidRPr="008D753D">
        <w:rPr>
          <w:rFonts w:eastAsia="Aptos"/>
        </w:rPr>
        <w:t xml:space="preserve">The individual started to receive care from a specialist aged care program (such as </w:t>
      </w:r>
      <w:r>
        <w:rPr>
          <w:rFonts w:eastAsia="Aptos"/>
        </w:rPr>
        <w:t xml:space="preserve">CHSP, </w:t>
      </w:r>
      <w:r w:rsidRPr="008D753D">
        <w:rPr>
          <w:rFonts w:eastAsia="Aptos"/>
        </w:rPr>
        <w:t>MPSP</w:t>
      </w:r>
      <w:r w:rsidRPr="20645B57">
        <w:rPr>
          <w:rFonts w:eastAsia="Aptos"/>
        </w:rPr>
        <w:t xml:space="preserve"> or</w:t>
      </w:r>
      <w:r w:rsidRPr="04E52460">
        <w:rPr>
          <w:rFonts w:eastAsia="Aptos"/>
        </w:rPr>
        <w:t xml:space="preserve"> </w:t>
      </w:r>
      <w:r w:rsidRPr="008D753D">
        <w:rPr>
          <w:rFonts w:eastAsia="Aptos"/>
        </w:rPr>
        <w:t>NATSIFACP) before approval was given</w:t>
      </w:r>
      <w:r>
        <w:rPr>
          <w:rFonts w:eastAsia="Aptos"/>
        </w:rPr>
        <w:t>,</w:t>
      </w:r>
      <w:r w:rsidRPr="008D753D">
        <w:rPr>
          <w:rFonts w:eastAsia="Aptos"/>
        </w:rPr>
        <w:t xml:space="preserve"> and at the time the individual sought funded aged care services there was a significant delay in the availability to undertake a needs assessment. </w:t>
      </w:r>
      <w:r w:rsidRPr="008D753D">
        <w:rPr>
          <w:rFonts w:eastAsia="Aptos"/>
          <w:strike/>
        </w:rPr>
        <w:t xml:space="preserve"> </w:t>
      </w:r>
    </w:p>
    <w:p w14:paraId="44ED1845" w14:textId="77777777" w:rsidR="00271898" w:rsidRPr="00EE1A21" w:rsidRDefault="00271898" w:rsidP="00271898">
      <w:pPr>
        <w:spacing w:before="240" w:after="240" w:line="240" w:lineRule="auto"/>
        <w:rPr>
          <w:rFonts w:eastAsia="Aptos"/>
        </w:rPr>
      </w:pPr>
      <w:r>
        <w:rPr>
          <w:rFonts w:eastAsia="Aptos"/>
        </w:rPr>
        <w:t>This</w:t>
      </w:r>
      <w:r>
        <w:t xml:space="preserve"> pathway is available for individuals who commenced </w:t>
      </w:r>
      <w:r w:rsidRPr="00730DAF">
        <w:t>accessing specialist aged care services before an approval was given. Specialist aged care progra</w:t>
      </w:r>
      <w:r>
        <w:t xml:space="preserve">ms include: </w:t>
      </w:r>
    </w:p>
    <w:p w14:paraId="56C8F6B1" w14:textId="77777777" w:rsidR="00271898" w:rsidRDefault="00271898" w:rsidP="00271898">
      <w:pPr>
        <w:pStyle w:val="ListParagraph"/>
        <w:numPr>
          <w:ilvl w:val="0"/>
          <w:numId w:val="52"/>
        </w:numPr>
        <w:spacing w:before="240" w:after="240" w:line="240" w:lineRule="auto"/>
      </w:pPr>
      <w:r>
        <w:t>Multi-Purpose Service Program (MPSP)</w:t>
      </w:r>
    </w:p>
    <w:p w14:paraId="76ACC627" w14:textId="77777777" w:rsidR="00271898" w:rsidRDefault="00271898" w:rsidP="00271898">
      <w:pPr>
        <w:pStyle w:val="ListParagraph"/>
        <w:numPr>
          <w:ilvl w:val="0"/>
          <w:numId w:val="52"/>
        </w:numPr>
        <w:spacing w:before="240" w:after="240" w:line="240" w:lineRule="auto"/>
      </w:pPr>
      <w:r>
        <w:t>National Aboriginal and Torres Strait Islander Flexible Aged Care Program (NATSIFACP); and</w:t>
      </w:r>
    </w:p>
    <w:p w14:paraId="5D3ACEE9" w14:textId="77777777" w:rsidR="00271898" w:rsidRDefault="00271898" w:rsidP="00271898">
      <w:pPr>
        <w:pStyle w:val="ListParagraph"/>
        <w:numPr>
          <w:ilvl w:val="0"/>
          <w:numId w:val="52"/>
        </w:numPr>
        <w:spacing w:before="240" w:after="240" w:line="240" w:lineRule="auto"/>
      </w:pPr>
      <w:r>
        <w:t>Commonwealth Home Support Program (CHSP).</w:t>
      </w:r>
    </w:p>
    <w:p w14:paraId="3420AD84" w14:textId="77777777" w:rsidR="00271898" w:rsidRDefault="00271898" w:rsidP="00271898">
      <w:pPr>
        <w:spacing w:before="240" w:after="240" w:line="240" w:lineRule="auto"/>
      </w:pPr>
      <w:r>
        <w:t>Note that, because eligibility criteria for the Transition Care Program (TCP) requires the individual to have an assessment in a hospital setting before they are recommended TCP, TCP cannot be accessed through alternative entry.</w:t>
      </w:r>
    </w:p>
    <w:p w14:paraId="64AD77DE" w14:textId="77777777" w:rsidR="00271898" w:rsidRDefault="00271898" w:rsidP="00271898">
      <w:pPr>
        <w:spacing w:before="240" w:after="240" w:line="240" w:lineRule="auto"/>
        <w:rPr>
          <w:rFonts w:eastAsia="Aptos"/>
        </w:rPr>
      </w:pPr>
      <w:r>
        <w:rPr>
          <w:rFonts w:eastAsia="Aptos"/>
        </w:rPr>
        <w:t xml:space="preserve">To access any of the alternative entry pathways, an individual (often with the support of their provider) must make an application to the System Governor in an ‘approved form’ within the time period specified in the Aged Care Act 2024 (the Act) and </w:t>
      </w:r>
      <w:r w:rsidRPr="00662C52">
        <w:rPr>
          <w:rFonts w:eastAsia="Aptos"/>
          <w:i/>
          <w:iCs/>
        </w:rPr>
        <w:t>Aged Care Rules 2025</w:t>
      </w:r>
      <w:r>
        <w:rPr>
          <w:rFonts w:eastAsia="Aptos"/>
        </w:rPr>
        <w:t xml:space="preserve">. </w:t>
      </w:r>
    </w:p>
    <w:p w14:paraId="6DDC7476" w14:textId="77777777" w:rsidR="00271898" w:rsidRDefault="00271898" w:rsidP="00271898">
      <w:pPr>
        <w:spacing w:before="240" w:after="240" w:line="240" w:lineRule="auto"/>
        <w:rPr>
          <w:rFonts w:eastAsia="Aptos"/>
        </w:rPr>
      </w:pPr>
      <w:r>
        <w:rPr>
          <w:rFonts w:eastAsia="Aptos"/>
        </w:rPr>
        <w:t>An application can be lodged for access to Commonwealth subsidised services under the Act’s alternative entry provisions via any of the available application pathways (e.g. Contact Centre, online referral or self-referral through an Assessment Organisation). In this context, an ‘application’ under section 71 refers to the initial registration process undertaken by contacting My Aged Care Contact Centre.</w:t>
      </w:r>
    </w:p>
    <w:p w14:paraId="3D6CB386" w14:textId="56625DF3" w:rsidR="00271898" w:rsidRDefault="00271898" w:rsidP="00271898">
      <w:pPr>
        <w:spacing w:before="240" w:after="240" w:line="240" w:lineRule="auto"/>
        <w:rPr>
          <w:rFonts w:eastAsia="Aptos"/>
        </w:rPr>
      </w:pPr>
      <w:r>
        <w:rPr>
          <w:rFonts w:eastAsia="Aptos"/>
        </w:rPr>
        <w:t xml:space="preserve">This pathway is also available for individuals to access residential care or residential respite care under the Act’s alternative entry provisions via any of the available application pathways or by submitting the </w:t>
      </w:r>
      <w:hyperlink r:id="rId87" w:history="1">
        <w:r>
          <w:rPr>
            <w:rStyle w:val="Hyperlink"/>
            <w:rFonts w:eastAsia="Aptos"/>
          </w:rPr>
          <w:t>Emergency Residential Care - A</w:t>
        </w:r>
        <w:r w:rsidRPr="0029120E">
          <w:rPr>
            <w:rStyle w:val="Hyperlink"/>
            <w:rFonts w:eastAsia="Aptos"/>
          </w:rPr>
          <w:t>pplication for Care Form</w:t>
        </w:r>
      </w:hyperlink>
      <w:r>
        <w:t>.</w:t>
      </w:r>
      <w:r>
        <w:rPr>
          <w:rFonts w:eastAsia="Aptos"/>
        </w:rPr>
        <w:t xml:space="preserve"> For further information on the form see section </w:t>
      </w:r>
      <w:r>
        <w:rPr>
          <w:rFonts w:eastAsia="Aptos"/>
        </w:rPr>
        <w:fldChar w:fldCharType="begin"/>
      </w:r>
      <w:r>
        <w:rPr>
          <w:rFonts w:eastAsia="Aptos"/>
        </w:rPr>
        <w:instrText xml:space="preserve"> REF _Ref212733513 \r \h </w:instrText>
      </w:r>
      <w:r>
        <w:rPr>
          <w:rFonts w:eastAsia="Aptos"/>
        </w:rPr>
      </w:r>
      <w:r>
        <w:rPr>
          <w:rFonts w:eastAsia="Aptos"/>
        </w:rPr>
        <w:fldChar w:fldCharType="separate"/>
      </w:r>
      <w:r w:rsidR="00F97942">
        <w:rPr>
          <w:rFonts w:eastAsia="Aptos"/>
        </w:rPr>
        <w:t>3.6</w:t>
      </w:r>
      <w:r>
        <w:rPr>
          <w:rFonts w:eastAsia="Aptos"/>
        </w:rPr>
        <w:fldChar w:fldCharType="end"/>
      </w:r>
      <w:r>
        <w:rPr>
          <w:rFonts w:eastAsia="Aptos"/>
        </w:rPr>
        <w:t xml:space="preserve">, Chapter </w:t>
      </w:r>
      <w:r>
        <w:rPr>
          <w:rFonts w:eastAsia="Aptos"/>
        </w:rPr>
        <w:fldChar w:fldCharType="begin"/>
      </w:r>
      <w:r>
        <w:rPr>
          <w:rFonts w:eastAsia="Aptos"/>
        </w:rPr>
        <w:instrText xml:space="preserve"> REF _Ref212735220 \r \h </w:instrText>
      </w:r>
      <w:r>
        <w:rPr>
          <w:rFonts w:eastAsia="Aptos"/>
        </w:rPr>
      </w:r>
      <w:r>
        <w:rPr>
          <w:rFonts w:eastAsia="Aptos"/>
        </w:rPr>
        <w:fldChar w:fldCharType="separate"/>
      </w:r>
      <w:r w:rsidR="00F97942">
        <w:rPr>
          <w:rFonts w:eastAsia="Aptos"/>
        </w:rPr>
        <w:t>3</w:t>
      </w:r>
      <w:r>
        <w:rPr>
          <w:rFonts w:eastAsia="Aptos"/>
        </w:rPr>
        <w:fldChar w:fldCharType="end"/>
      </w:r>
      <w:r>
        <w:rPr>
          <w:rFonts w:eastAsia="Aptos"/>
        </w:rPr>
        <w:t xml:space="preserve">). </w:t>
      </w:r>
    </w:p>
    <w:p w14:paraId="0E3001CF" w14:textId="77777777" w:rsidR="00271898" w:rsidRDefault="00271898" w:rsidP="00271898">
      <w:pPr>
        <w:spacing w:before="240" w:after="240" w:line="240" w:lineRule="auto"/>
        <w:rPr>
          <w:rFonts w:eastAsia="Aptos"/>
        </w:rPr>
      </w:pPr>
      <w:r>
        <w:rPr>
          <w:rFonts w:eastAsia="Aptos"/>
        </w:rPr>
        <w:t xml:space="preserve">Individuals (often with the support of their provider) have a period of </w:t>
      </w:r>
      <w:r w:rsidRPr="00F52B41">
        <w:rPr>
          <w:rFonts w:eastAsia="Aptos"/>
          <w:b/>
          <w:bCs/>
        </w:rPr>
        <w:t>5 days</w:t>
      </w:r>
      <w:r>
        <w:rPr>
          <w:rFonts w:eastAsia="Aptos"/>
        </w:rPr>
        <w:t xml:space="preserve"> after the day on which services commenced to make an application under section 71 of the Act </w:t>
      </w:r>
    </w:p>
    <w:p w14:paraId="62C22BC7" w14:textId="77777777" w:rsidR="00271898" w:rsidRDefault="00271898" w:rsidP="00271898">
      <w:pPr>
        <w:spacing w:before="240" w:after="240" w:line="240" w:lineRule="auto"/>
        <w:rPr>
          <w:rFonts w:eastAsia="Aptos"/>
        </w:rPr>
      </w:pPr>
      <w:r>
        <w:rPr>
          <w:rFonts w:eastAsia="Aptos"/>
        </w:rPr>
        <w:t xml:space="preserve">In most cases, individuals who have accessed a service prior to an assessment would have accessed this service through contacting the My Aged Care Contact Centre and referred at the point of screening. In a small minority of cases, individuals may receive urgent services directly through a CHSP provider prior to applying through My Aged Care, in which case the provider would support the older person to register through My Aged Care within the 5-day timeframe. </w:t>
      </w:r>
    </w:p>
    <w:p w14:paraId="4E16595E" w14:textId="77777777" w:rsidR="00271898" w:rsidRDefault="00271898" w:rsidP="00271898">
      <w:pPr>
        <w:spacing w:before="240" w:after="240" w:line="240" w:lineRule="auto"/>
        <w:rPr>
          <w:rFonts w:eastAsia="Aptos"/>
        </w:rPr>
      </w:pPr>
      <w:r>
        <w:rPr>
          <w:rFonts w:eastAsia="Aptos"/>
        </w:rPr>
        <w:t xml:space="preserve">The </w:t>
      </w:r>
      <w:r w:rsidRPr="00F52B41">
        <w:rPr>
          <w:rFonts w:eastAsia="Aptos"/>
          <w:i/>
          <w:iCs/>
        </w:rPr>
        <w:t>Aged Care Rules 2025</w:t>
      </w:r>
      <w:r>
        <w:rPr>
          <w:rFonts w:eastAsia="Aptos"/>
        </w:rPr>
        <w:t xml:space="preserve"> specify one exception, if the registered provider delivering services is a NATSIFACP or MPSP provider. In this instance, the individual has </w:t>
      </w:r>
      <w:r w:rsidRPr="00F52B41">
        <w:rPr>
          <w:rFonts w:eastAsia="Aptos"/>
          <w:b/>
          <w:bCs/>
        </w:rPr>
        <w:t>30 days</w:t>
      </w:r>
      <w:r>
        <w:rPr>
          <w:rFonts w:eastAsia="Aptos"/>
        </w:rPr>
        <w:t xml:space="preserve"> after the day care commenced to make an application. Providers should support the individual to go through the application process within this timeframe.</w:t>
      </w:r>
    </w:p>
    <w:p w14:paraId="4A6F5074" w14:textId="2434A411" w:rsidR="00271898" w:rsidRPr="000D2E50" w:rsidRDefault="00271898" w:rsidP="00271898">
      <w:pPr>
        <w:spacing w:before="240" w:after="240" w:line="240" w:lineRule="auto"/>
        <w:rPr>
          <w:rFonts w:eastAsia="Aptos"/>
        </w:rPr>
      </w:pPr>
      <w:r>
        <w:rPr>
          <w:rFonts w:eastAsia="Aptos"/>
        </w:rPr>
        <w:t xml:space="preserve">If the System Governor is satisfied one of the circumstances outlined in the Act applies to the individual and any other requirements under section 71 have been met, the Act allows for the date care began to be recorded as the date of effect of approval. </w:t>
      </w:r>
      <w:r>
        <w:rPr>
          <w:lang w:val="en-US"/>
        </w:rPr>
        <w:t xml:space="preserve">Further information is available in Chapter </w:t>
      </w:r>
      <w:r>
        <w:rPr>
          <w:lang w:val="en-US"/>
        </w:rPr>
        <w:fldChar w:fldCharType="begin"/>
      </w:r>
      <w:r>
        <w:rPr>
          <w:lang w:val="en-US"/>
        </w:rPr>
        <w:instrText xml:space="preserve"> REF _Ref212735269 \w \h </w:instrText>
      </w:r>
      <w:r>
        <w:rPr>
          <w:lang w:val="en-US"/>
        </w:rPr>
      </w:r>
      <w:r>
        <w:rPr>
          <w:lang w:val="en-US"/>
        </w:rPr>
        <w:fldChar w:fldCharType="separate"/>
      </w:r>
      <w:r w:rsidR="00F97942">
        <w:rPr>
          <w:lang w:val="en-US"/>
        </w:rPr>
        <w:t>9</w:t>
      </w:r>
      <w:r>
        <w:rPr>
          <w:lang w:val="en-US"/>
        </w:rPr>
        <w:fldChar w:fldCharType="end"/>
      </w:r>
      <w:r>
        <w:rPr>
          <w:lang w:val="en-US"/>
        </w:rPr>
        <w:t xml:space="preserve"> of the Manual to assist Assessment Delegates to give backdated approval after care has commenced via the Notice of Decision. </w:t>
      </w:r>
    </w:p>
    <w:p w14:paraId="2B6E3BCC" w14:textId="150769AA" w:rsidR="00271898" w:rsidRDefault="00271898" w:rsidP="00271898">
      <w:pPr>
        <w:spacing w:before="240" w:after="240" w:line="240" w:lineRule="auto"/>
        <w:rPr>
          <w:lang w:val="en-US"/>
        </w:rPr>
      </w:pPr>
      <w:r w:rsidRPr="00651E87">
        <w:rPr>
          <w:lang w:val="en-US"/>
        </w:rPr>
        <w:t xml:space="preserve">Alternative Entry is </w:t>
      </w:r>
      <w:r>
        <w:rPr>
          <w:lang w:val="en-US"/>
        </w:rPr>
        <w:t xml:space="preserve">also </w:t>
      </w:r>
      <w:r w:rsidRPr="00651E87">
        <w:rPr>
          <w:lang w:val="en-US"/>
        </w:rPr>
        <w:t xml:space="preserve">applicable for older people new to the aged care system or those individuals </w:t>
      </w:r>
      <w:r w:rsidRPr="00651E87">
        <w:rPr>
          <w:i/>
          <w:iCs/>
          <w:lang w:val="en-US"/>
        </w:rPr>
        <w:t xml:space="preserve">already </w:t>
      </w:r>
      <w:r w:rsidRPr="00651E87">
        <w:rPr>
          <w:lang w:val="en-US"/>
        </w:rPr>
        <w:t xml:space="preserve">eligible and accessing </w:t>
      </w:r>
      <w:r w:rsidR="00113AA1" w:rsidRPr="00651E87">
        <w:rPr>
          <w:lang w:val="en-US"/>
        </w:rPr>
        <w:t>services,</w:t>
      </w:r>
      <w:r w:rsidRPr="00651E87">
        <w:rPr>
          <w:lang w:val="en-US"/>
        </w:rPr>
        <w:t xml:space="preserve"> but whose needs have changed and a re-assessment of their needs is required. </w:t>
      </w:r>
    </w:p>
    <w:p w14:paraId="3EF8C9CA" w14:textId="6D27A7EF" w:rsidR="00271898" w:rsidRDefault="00271898" w:rsidP="00C56CEC">
      <w:pPr>
        <w:pStyle w:val="H3"/>
      </w:pPr>
      <w:r>
        <w:t>Alternative Entry – CHSP Direct-to-Provider Referrals</w:t>
      </w:r>
    </w:p>
    <w:p w14:paraId="69622B90" w14:textId="77777777" w:rsidR="00271898" w:rsidRDefault="00271898" w:rsidP="00271898">
      <w:pPr>
        <w:spacing w:before="240" w:after="240" w:line="240" w:lineRule="auto"/>
      </w:pPr>
      <w:r>
        <w:t>If an individual is eligible for the alternative entry pathway under subsection 71(4) of the Act, they can be issued a CHSP direct-to-provider referral prior to being assessed.</w:t>
      </w:r>
    </w:p>
    <w:p w14:paraId="762E23B4" w14:textId="77777777" w:rsidR="00271898" w:rsidRDefault="00271898" w:rsidP="00271898">
      <w:pPr>
        <w:spacing w:before="240" w:after="240" w:line="240" w:lineRule="auto"/>
      </w:pPr>
      <w:r>
        <w:t>These referrals are issued by triage delegates and, in some circumstances, My Aged Care Contact Centre staff or ACSOs during screening.</w:t>
      </w:r>
    </w:p>
    <w:p w14:paraId="631C9BE9" w14:textId="77777777" w:rsidR="00271898" w:rsidRDefault="00271898" w:rsidP="00271898">
      <w:pPr>
        <w:spacing w:before="240" w:after="240" w:line="240" w:lineRule="auto"/>
      </w:pPr>
      <w:r>
        <w:t xml:space="preserve">Older people who may require CHSP referrals prior to being assessed include: </w:t>
      </w:r>
    </w:p>
    <w:p w14:paraId="5B962CA8" w14:textId="77777777" w:rsidR="00271898" w:rsidRDefault="00271898" w:rsidP="00271898">
      <w:pPr>
        <w:pStyle w:val="ListParagraph"/>
        <w:numPr>
          <w:ilvl w:val="0"/>
          <w:numId w:val="429"/>
        </w:numPr>
        <w:tabs>
          <w:tab w:val="left" w:pos="720"/>
        </w:tabs>
        <w:spacing w:before="240" w:after="240" w:line="240" w:lineRule="auto"/>
        <w:ind w:left="568" w:hanging="284"/>
      </w:pPr>
      <w:r>
        <w:t xml:space="preserve">New individuals who are applying for an aged care needs assessment </w:t>
      </w:r>
    </w:p>
    <w:p w14:paraId="2B3C2244" w14:textId="77777777" w:rsidR="00271898" w:rsidRDefault="00271898" w:rsidP="00271898">
      <w:pPr>
        <w:pStyle w:val="ListParagraph"/>
        <w:numPr>
          <w:ilvl w:val="0"/>
          <w:numId w:val="429"/>
        </w:numPr>
        <w:tabs>
          <w:tab w:val="left" w:pos="720"/>
        </w:tabs>
        <w:spacing w:before="240" w:after="240" w:line="240" w:lineRule="auto"/>
        <w:ind w:left="568" w:hanging="284"/>
      </w:pPr>
      <w:r>
        <w:t>Current CHSP clients who are waiting for a support plan review or reassessment</w:t>
      </w:r>
    </w:p>
    <w:p w14:paraId="3CFB607F" w14:textId="77777777" w:rsidR="00271898" w:rsidRDefault="00271898" w:rsidP="00271898">
      <w:pPr>
        <w:pStyle w:val="ListParagraph"/>
        <w:numPr>
          <w:ilvl w:val="0"/>
          <w:numId w:val="429"/>
        </w:numPr>
        <w:tabs>
          <w:tab w:val="left" w:pos="720"/>
        </w:tabs>
        <w:spacing w:before="240" w:after="240" w:line="240" w:lineRule="auto"/>
        <w:ind w:left="568" w:hanging="284"/>
        <w:rPr>
          <w:rFonts w:eastAsiaTheme="minorEastAsia"/>
        </w:rPr>
      </w:pPr>
      <w:r>
        <w:t>Support at Home participants who have a fully allocated budget or are waiting for a budget</w:t>
      </w:r>
      <w:r>
        <w:rPr>
          <w:rFonts w:eastAsiaTheme="minorEastAsia"/>
        </w:rPr>
        <w:t xml:space="preserve"> allocation and have an urgent need for services.</w:t>
      </w:r>
    </w:p>
    <w:p w14:paraId="12B1C128" w14:textId="77777777" w:rsidR="00271898" w:rsidRDefault="00271898" w:rsidP="00271898">
      <w:pPr>
        <w:pStyle w:val="H4"/>
      </w:pPr>
      <w:r>
        <w:t>Screening</w:t>
      </w:r>
    </w:p>
    <w:p w14:paraId="484BC6EA" w14:textId="77777777" w:rsidR="00271898" w:rsidRDefault="00271898" w:rsidP="00271898">
      <w:pPr>
        <w:spacing w:before="240" w:after="240" w:line="240" w:lineRule="auto"/>
      </w:pPr>
      <w:r>
        <w:t xml:space="preserve">The My Aged Care Contact Centre and ACSOs can only issue CHSP urgent service referrals in limited circumstances if there is an immediate health or safety need. </w:t>
      </w:r>
    </w:p>
    <w:p w14:paraId="1E1ADF5E" w14:textId="77777777" w:rsidR="00271898" w:rsidRDefault="00271898" w:rsidP="00271898">
      <w:pPr>
        <w:spacing w:before="240" w:after="240" w:line="240" w:lineRule="auto"/>
      </w:pPr>
      <w:r>
        <w:t>These services are:</w:t>
      </w:r>
    </w:p>
    <w:p w14:paraId="07F7E342" w14:textId="77777777" w:rsidR="00271898" w:rsidRDefault="00271898" w:rsidP="00271898">
      <w:pPr>
        <w:pStyle w:val="ListParagraph"/>
        <w:numPr>
          <w:ilvl w:val="0"/>
          <w:numId w:val="429"/>
        </w:numPr>
        <w:tabs>
          <w:tab w:val="left" w:pos="720"/>
        </w:tabs>
        <w:spacing w:before="240" w:after="240" w:line="240" w:lineRule="auto"/>
        <w:ind w:left="568" w:hanging="284"/>
      </w:pPr>
      <w:r>
        <w:t xml:space="preserve">nursing </w:t>
      </w:r>
    </w:p>
    <w:p w14:paraId="4BD600BD" w14:textId="77777777" w:rsidR="00271898" w:rsidRDefault="00271898" w:rsidP="00271898">
      <w:pPr>
        <w:pStyle w:val="ListParagraph"/>
        <w:numPr>
          <w:ilvl w:val="0"/>
          <w:numId w:val="429"/>
        </w:numPr>
        <w:tabs>
          <w:tab w:val="left" w:pos="720"/>
        </w:tabs>
        <w:spacing w:before="240" w:after="240" w:line="240" w:lineRule="auto"/>
        <w:ind w:left="568" w:hanging="284"/>
      </w:pPr>
      <w:r>
        <w:t xml:space="preserve">transport </w:t>
      </w:r>
    </w:p>
    <w:p w14:paraId="6BE7417A" w14:textId="77777777" w:rsidR="00271898" w:rsidRDefault="00271898" w:rsidP="00271898">
      <w:pPr>
        <w:pStyle w:val="ListParagraph"/>
        <w:numPr>
          <w:ilvl w:val="0"/>
          <w:numId w:val="429"/>
        </w:numPr>
        <w:tabs>
          <w:tab w:val="left" w:pos="720"/>
        </w:tabs>
        <w:spacing w:before="240" w:after="240" w:line="240" w:lineRule="auto"/>
        <w:ind w:left="568" w:hanging="284"/>
      </w:pPr>
      <w:r>
        <w:t>meal delivery</w:t>
      </w:r>
    </w:p>
    <w:p w14:paraId="21C7D7F6" w14:textId="77777777" w:rsidR="00271898" w:rsidRDefault="00271898" w:rsidP="00271898">
      <w:pPr>
        <w:pStyle w:val="ListParagraph"/>
        <w:numPr>
          <w:ilvl w:val="0"/>
          <w:numId w:val="429"/>
        </w:numPr>
        <w:tabs>
          <w:tab w:val="left" w:pos="720"/>
        </w:tabs>
        <w:spacing w:before="240" w:after="240" w:line="240" w:lineRule="auto"/>
        <w:ind w:left="568" w:hanging="284"/>
      </w:pPr>
      <w:r>
        <w:t xml:space="preserve">personal care </w:t>
      </w:r>
    </w:p>
    <w:p w14:paraId="5572929D" w14:textId="7FA2DEB4" w:rsidR="00271898" w:rsidRDefault="3EBDF801" w:rsidP="00271898">
      <w:pPr>
        <w:pStyle w:val="ListParagraph"/>
        <w:numPr>
          <w:ilvl w:val="0"/>
          <w:numId w:val="429"/>
        </w:numPr>
        <w:tabs>
          <w:tab w:val="left" w:pos="720"/>
        </w:tabs>
        <w:spacing w:before="240" w:after="240" w:line="240" w:lineRule="auto"/>
        <w:ind w:left="568" w:hanging="284"/>
        <w:rPr>
          <w:rFonts w:eastAsiaTheme="minorEastAsia"/>
        </w:rPr>
      </w:pPr>
      <w:r w:rsidRPr="0CB5FFE1">
        <w:t>other support services due to the absence of a carer, such as flexible respite</w:t>
      </w:r>
      <w:r w:rsidR="00271898">
        <w:t>.</w:t>
      </w:r>
    </w:p>
    <w:p w14:paraId="276F864D" w14:textId="77777777" w:rsidR="00271898" w:rsidRDefault="00271898" w:rsidP="00271898">
      <w:pPr>
        <w:tabs>
          <w:tab w:val="left" w:pos="720"/>
        </w:tabs>
        <w:spacing w:before="240" w:after="240" w:line="240" w:lineRule="auto"/>
      </w:pPr>
      <w:r>
        <w:t xml:space="preserve">When issuing an </w:t>
      </w:r>
      <w:r>
        <w:rPr>
          <w:rFonts w:eastAsiaTheme="minorEastAsia"/>
        </w:rPr>
        <w:t>urgent</w:t>
      </w:r>
      <w:r>
        <w:t xml:space="preserve"> referral, the My Aged Care Contact Centre or ACSO will place a high priority on the referral to an assessment organisation. For an existing client who has previously been assessed, the contact centre or ACSO will issue a SPR request (unless the older person meets the requirements for a direct comprehensive assessment referral). </w:t>
      </w:r>
    </w:p>
    <w:p w14:paraId="7C7FF5B6" w14:textId="77777777" w:rsidR="00271898" w:rsidRDefault="00271898" w:rsidP="00271898">
      <w:pPr>
        <w:pStyle w:val="H4"/>
      </w:pPr>
      <w:r>
        <w:t>Triage</w:t>
      </w:r>
    </w:p>
    <w:p w14:paraId="54023ABB" w14:textId="77777777" w:rsidR="00271898" w:rsidRDefault="00271898" w:rsidP="00271898">
      <w:pPr>
        <w:spacing w:before="240" w:after="240" w:line="240" w:lineRule="auto"/>
      </w:pPr>
      <w:r>
        <w:t>Triage delegates are responsible for determining whether individuals require direct-to-provider referrals through the CHSP prior to being assessed.</w:t>
      </w:r>
    </w:p>
    <w:p w14:paraId="7493FC42" w14:textId="77777777" w:rsidR="00271898" w:rsidRDefault="00271898" w:rsidP="00271898">
      <w:pPr>
        <w:spacing w:before="240" w:after="240" w:line="240" w:lineRule="auto"/>
        <w:rPr>
          <w:rFonts w:eastAsiaTheme="minorEastAsia"/>
        </w:rPr>
      </w:pPr>
      <w:r>
        <w:rPr>
          <w:rFonts w:eastAsiaTheme="minorEastAsia"/>
        </w:rPr>
        <w:t xml:space="preserve">Triage delegates should: </w:t>
      </w:r>
    </w:p>
    <w:p w14:paraId="6C41787E" w14:textId="77777777" w:rsidR="00271898" w:rsidRDefault="00271898" w:rsidP="00271898">
      <w:pPr>
        <w:pStyle w:val="ListParagraph"/>
        <w:numPr>
          <w:ilvl w:val="0"/>
          <w:numId w:val="429"/>
        </w:numPr>
        <w:tabs>
          <w:tab w:val="left" w:pos="720"/>
        </w:tabs>
        <w:spacing w:before="240" w:after="240" w:line="240" w:lineRule="auto"/>
        <w:ind w:left="568" w:hanging="284"/>
      </w:pPr>
      <w:r>
        <w:t xml:space="preserve">Issue direct-to-provider referrals for CHSP services if the client requires the service and meets the criteria in </w:t>
      </w:r>
      <w:r>
        <w:rPr>
          <w:rFonts w:eastAsiaTheme="minorEastAsia"/>
        </w:rPr>
        <w:t>subsection 71(4) of the Act</w:t>
      </w:r>
    </w:p>
    <w:p w14:paraId="26B8782E" w14:textId="77777777" w:rsidR="00271898" w:rsidRDefault="00271898" w:rsidP="00271898">
      <w:pPr>
        <w:pStyle w:val="ListParagraph"/>
        <w:numPr>
          <w:ilvl w:val="0"/>
          <w:numId w:val="429"/>
        </w:numPr>
        <w:tabs>
          <w:tab w:val="left" w:pos="720"/>
        </w:tabs>
        <w:spacing w:before="240" w:after="240" w:line="240" w:lineRule="auto"/>
        <w:ind w:left="568" w:hanging="284"/>
      </w:pPr>
      <w:r>
        <w:t xml:space="preserve">Review any urgent service referrals that have been issued </w:t>
      </w:r>
      <w:r>
        <w:rPr>
          <w:rFonts w:eastAsiaTheme="minorEastAsia"/>
        </w:rPr>
        <w:t xml:space="preserve">by the My Aged Care Contact Centre or ACSO </w:t>
      </w:r>
      <w:r>
        <w:t xml:space="preserve">and extend ‘recommended end dates’ if required </w:t>
      </w:r>
    </w:p>
    <w:p w14:paraId="0DE740AD" w14:textId="77777777" w:rsidR="00271898" w:rsidRDefault="00271898" w:rsidP="00271898">
      <w:pPr>
        <w:pStyle w:val="ListParagraph"/>
        <w:numPr>
          <w:ilvl w:val="0"/>
          <w:numId w:val="429"/>
        </w:numPr>
        <w:tabs>
          <w:tab w:val="left" w:pos="720"/>
        </w:tabs>
        <w:spacing w:before="240" w:after="240" w:line="240" w:lineRule="auto"/>
        <w:ind w:left="568" w:hanging="284"/>
        <w:rPr>
          <w:rFonts w:eastAsiaTheme="minorEastAsia"/>
        </w:rPr>
      </w:pPr>
      <w:r>
        <w:t>Check</w:t>
      </w:r>
      <w:r>
        <w:rPr>
          <w:rFonts w:eastAsiaTheme="minorEastAsia"/>
        </w:rPr>
        <w:t xml:space="preserve"> all clients with an immediate health or safety need for services have a ‘high’ assessment priority.</w:t>
      </w:r>
    </w:p>
    <w:p w14:paraId="48D3360C" w14:textId="256264A7" w:rsidR="00ED767C" w:rsidRPr="008D753D" w:rsidRDefault="00ED767C" w:rsidP="00ED767C">
      <w:pPr>
        <w:tabs>
          <w:tab w:val="left" w:pos="709"/>
        </w:tabs>
        <w:spacing w:before="240" w:after="240" w:line="240" w:lineRule="auto"/>
        <w:rPr>
          <w:lang w:val="en-US"/>
        </w:rPr>
      </w:pPr>
      <w:r w:rsidRPr="008D753D">
        <w:rPr>
          <w:lang w:val="en-US"/>
        </w:rPr>
        <w:t xml:space="preserve">If the client </w:t>
      </w:r>
      <w:r>
        <w:rPr>
          <w:lang w:val="en-US"/>
        </w:rPr>
        <w:t>accessed or is accessing funded aged care services prior to assessment through</w:t>
      </w:r>
      <w:r w:rsidRPr="008D753D">
        <w:rPr>
          <w:lang w:val="en-US"/>
        </w:rPr>
        <w:t xml:space="preserve"> the </w:t>
      </w:r>
      <w:r>
        <w:rPr>
          <w:lang w:val="en-US"/>
        </w:rPr>
        <w:t xml:space="preserve">alternative entry pathway, but is </w:t>
      </w:r>
      <w:r w:rsidRPr="008D753D">
        <w:rPr>
          <w:lang w:val="en-US"/>
        </w:rPr>
        <w:t>refus</w:t>
      </w:r>
      <w:r>
        <w:rPr>
          <w:lang w:val="en-US"/>
        </w:rPr>
        <w:t>ing</w:t>
      </w:r>
      <w:r w:rsidRPr="008D753D">
        <w:rPr>
          <w:lang w:val="en-US"/>
        </w:rPr>
        <w:t xml:space="preserve"> </w:t>
      </w:r>
      <w:r>
        <w:rPr>
          <w:lang w:val="en-US"/>
        </w:rPr>
        <w:t xml:space="preserve">to have an </w:t>
      </w:r>
      <w:r w:rsidRPr="008D753D">
        <w:rPr>
          <w:lang w:val="en-US"/>
        </w:rPr>
        <w:t xml:space="preserve">assessment, the </w:t>
      </w:r>
      <w:r>
        <w:rPr>
          <w:lang w:val="en-US"/>
        </w:rPr>
        <w:t>Triage delegate or</w:t>
      </w:r>
      <w:r w:rsidRPr="008D753D">
        <w:rPr>
          <w:lang w:val="en-US"/>
        </w:rPr>
        <w:t xml:space="preserve"> assessor will need to explain that it is a requirement under the </w:t>
      </w:r>
      <w:r w:rsidRPr="00FF6A17">
        <w:rPr>
          <w:i/>
          <w:iCs/>
          <w:lang w:val="en-US"/>
        </w:rPr>
        <w:t>Aged Care Act 2024</w:t>
      </w:r>
      <w:r>
        <w:rPr>
          <w:lang w:val="en-US"/>
        </w:rPr>
        <w:t xml:space="preserve"> </w:t>
      </w:r>
      <w:r w:rsidRPr="008D753D">
        <w:rPr>
          <w:lang w:val="en-US"/>
        </w:rPr>
        <w:t>to complete an assessment to keep receiving services, otherwise their government-funded services will cease. Alternatively, the client may enter a full fee-paying arrangement with the service provider. The assessor should also remind the client of the benefits of undergoing a full assessment, for example:</w:t>
      </w:r>
    </w:p>
    <w:p w14:paraId="69CD3A02" w14:textId="77777777" w:rsidR="00ED767C" w:rsidRPr="008D753D" w:rsidRDefault="00ED767C" w:rsidP="00ED767C">
      <w:pPr>
        <w:pStyle w:val="ListParagraph"/>
        <w:numPr>
          <w:ilvl w:val="0"/>
          <w:numId w:val="48"/>
        </w:numPr>
        <w:tabs>
          <w:tab w:val="left" w:pos="709"/>
        </w:tabs>
        <w:spacing w:before="240" w:after="240" w:line="240" w:lineRule="auto"/>
        <w:ind w:left="568" w:hanging="284"/>
      </w:pPr>
      <w:r w:rsidRPr="008D753D">
        <w:t>It does not cost anything to receive an assessment</w:t>
      </w:r>
    </w:p>
    <w:p w14:paraId="46614F10" w14:textId="27D79096" w:rsidR="00ED767C" w:rsidRPr="00BC0313" w:rsidRDefault="00ED767C" w:rsidP="000E3150">
      <w:pPr>
        <w:pStyle w:val="ListParagraph"/>
        <w:numPr>
          <w:ilvl w:val="0"/>
          <w:numId w:val="48"/>
        </w:numPr>
        <w:tabs>
          <w:tab w:val="left" w:pos="720"/>
        </w:tabs>
        <w:spacing w:before="240" w:after="240" w:line="240" w:lineRule="auto"/>
        <w:ind w:left="568" w:hanging="284"/>
      </w:pPr>
      <w:r w:rsidRPr="008D753D">
        <w:t>An assessment will provide the client with a more fulsome evaluation of their needs and may result in different services being recommended that they were not previously eligible for</w:t>
      </w:r>
      <w:r w:rsidR="00BC0313">
        <w:t>.</w:t>
      </w:r>
    </w:p>
    <w:p w14:paraId="7BA8D6A8" w14:textId="77777777" w:rsidR="00271898" w:rsidRDefault="00271898" w:rsidP="00271898">
      <w:pPr>
        <w:pStyle w:val="H4"/>
      </w:pPr>
      <w:r>
        <w:t>Assessment</w:t>
      </w:r>
    </w:p>
    <w:p w14:paraId="173FD283" w14:textId="77777777" w:rsidR="00271898" w:rsidRDefault="00271898" w:rsidP="00271898">
      <w:pPr>
        <w:pStyle w:val="ListParagraph"/>
        <w:tabs>
          <w:tab w:val="left" w:pos="720"/>
        </w:tabs>
        <w:spacing w:before="240" w:after="240" w:line="240" w:lineRule="auto"/>
        <w:ind w:left="0"/>
        <w:rPr>
          <w:lang w:val="en-US"/>
        </w:rPr>
      </w:pPr>
      <w:r>
        <w:rPr>
          <w:rFonts w:eastAsiaTheme="minorEastAsia"/>
        </w:rPr>
        <w:t xml:space="preserve">Even if the services are no longer required, individuals who have accessed CHSP urgent services </w:t>
      </w:r>
      <w:r w:rsidRPr="00D05A41">
        <w:rPr>
          <w:rFonts w:eastAsiaTheme="minorEastAsia"/>
          <w:b/>
        </w:rPr>
        <w:t>must undergo an assessment</w:t>
      </w:r>
      <w:r>
        <w:rPr>
          <w:rFonts w:eastAsiaTheme="minorEastAsia"/>
        </w:rPr>
        <w:t xml:space="preserve">.  </w:t>
      </w:r>
    </w:p>
    <w:p w14:paraId="067B993A" w14:textId="77777777" w:rsidR="00271898" w:rsidRDefault="00271898" w:rsidP="00271898">
      <w:pPr>
        <w:spacing w:before="240" w:after="240" w:line="240" w:lineRule="auto"/>
        <w:rPr>
          <w:rFonts w:eastAsiaTheme="minorEastAsia"/>
        </w:rPr>
      </w:pPr>
      <w:r>
        <w:rPr>
          <w:rFonts w:eastAsiaTheme="minorEastAsia"/>
        </w:rPr>
        <w:t>Assessors must contact an older person within two weeks if they have been issued urgent service referrals to ensure:</w:t>
      </w:r>
    </w:p>
    <w:p w14:paraId="4EB1EAEF" w14:textId="77777777" w:rsidR="00271898" w:rsidRDefault="00271898" w:rsidP="00271898">
      <w:pPr>
        <w:pStyle w:val="ListParagraph"/>
        <w:numPr>
          <w:ilvl w:val="0"/>
          <w:numId w:val="429"/>
        </w:numPr>
        <w:tabs>
          <w:tab w:val="left" w:pos="709"/>
        </w:tabs>
        <w:spacing w:before="240" w:after="240" w:line="240" w:lineRule="auto"/>
        <w:ind w:left="568" w:hanging="284"/>
      </w:pPr>
      <w:r>
        <w:t xml:space="preserve">Appropriate services are in place, and the urgent need is being addressed </w:t>
      </w:r>
    </w:p>
    <w:p w14:paraId="1A8EBAC1" w14:textId="77777777" w:rsidR="00271898" w:rsidRDefault="00271898" w:rsidP="00271898">
      <w:pPr>
        <w:pStyle w:val="ListParagraph"/>
        <w:numPr>
          <w:ilvl w:val="0"/>
          <w:numId w:val="429"/>
        </w:numPr>
        <w:tabs>
          <w:tab w:val="left" w:pos="709"/>
        </w:tabs>
        <w:spacing w:before="240" w:after="240" w:line="240" w:lineRule="auto"/>
        <w:ind w:left="568" w:hanging="284"/>
      </w:pPr>
      <w:r>
        <w:t xml:space="preserve">The assessor provides a more thorough analysis of the needs </w:t>
      </w:r>
    </w:p>
    <w:p w14:paraId="709F2F1D" w14:textId="77777777" w:rsidR="00271898" w:rsidRDefault="00271898" w:rsidP="00271898">
      <w:pPr>
        <w:pStyle w:val="ListParagraph"/>
        <w:numPr>
          <w:ilvl w:val="0"/>
          <w:numId w:val="429"/>
        </w:numPr>
        <w:tabs>
          <w:tab w:val="left" w:pos="709"/>
        </w:tabs>
        <w:spacing w:before="240" w:after="240" w:line="240" w:lineRule="auto"/>
        <w:ind w:left="568" w:hanging="284"/>
      </w:pPr>
      <w:r>
        <w:t>Services can be confirmed or adjusted as required.</w:t>
      </w:r>
    </w:p>
    <w:p w14:paraId="25DF63CC" w14:textId="4ABC12A4" w:rsidR="00271898" w:rsidRDefault="00271898" w:rsidP="00271898">
      <w:pPr>
        <w:tabs>
          <w:tab w:val="left" w:pos="709"/>
        </w:tabs>
        <w:spacing w:before="240" w:after="240" w:line="240" w:lineRule="auto"/>
      </w:pPr>
      <w:r>
        <w:t xml:space="preserve">Where an assessor determines the client requires ongoing CHSP services after a period of urgent services, </w:t>
      </w:r>
      <w:r w:rsidRPr="00B608BB">
        <w:rPr>
          <w:bCs/>
        </w:rPr>
        <w:t>they</w:t>
      </w:r>
      <w:r w:rsidRPr="00D05A41">
        <w:rPr>
          <w:b/>
        </w:rPr>
        <w:t xml:space="preserve"> must </w:t>
      </w:r>
      <w:r>
        <w:rPr>
          <w:b/>
        </w:rPr>
        <w:t xml:space="preserve">generate new </w:t>
      </w:r>
      <w:r w:rsidRPr="00D05A41">
        <w:rPr>
          <w:b/>
          <w:bCs/>
        </w:rPr>
        <w:t>CHSP service referrals</w:t>
      </w:r>
      <w:r>
        <w:t>. For more information see Chapter 9.4.5.</w:t>
      </w:r>
    </w:p>
    <w:p w14:paraId="0604511F" w14:textId="77777777" w:rsidR="00271898" w:rsidRDefault="00271898" w:rsidP="00C56CEC">
      <w:pPr>
        <w:pStyle w:val="H3"/>
      </w:pPr>
      <w:r w:rsidRPr="00651E87">
        <w:t>Residential care or residential respite care</w:t>
      </w:r>
      <w:r w:rsidRPr="008D753D">
        <w:t> in urgent circumstances</w:t>
      </w:r>
    </w:p>
    <w:p w14:paraId="6EA8B4BA" w14:textId="5E40C7FD" w:rsidR="00271898" w:rsidRPr="00B131B9" w:rsidRDefault="00271898" w:rsidP="00271898">
      <w:pPr>
        <w:spacing w:before="240" w:after="240" w:line="240" w:lineRule="auto"/>
        <w:rPr>
          <w:rFonts w:eastAsia="Arial"/>
          <w:lang w:val="en-AU"/>
        </w:rPr>
      </w:pPr>
      <w:r>
        <w:t xml:space="preserve">Alternative entry pathways are available for individuals who require urgent residential care or residential respite care. To be eligible, at the time care is accessed there must be a significant risk of harm to the individual if those services were not delivered before approval to access funded aged care services was given. </w:t>
      </w:r>
      <w:r>
        <w:rPr>
          <w:rFonts w:eastAsia="Aptos"/>
        </w:rPr>
        <w:t xml:space="preserve">An application can be lodged by providers or individuals for access to residential care or residential respite care under the Act’s alternative entry provisions via any of the available application pathways or by submitting the </w:t>
      </w:r>
      <w:hyperlink r:id="rId88" w:history="1">
        <w:r>
          <w:rPr>
            <w:rStyle w:val="Hyperlink"/>
            <w:rFonts w:eastAsia="Aptos"/>
          </w:rPr>
          <w:t>Emergency Residential Care - A</w:t>
        </w:r>
        <w:r w:rsidRPr="0029120E">
          <w:rPr>
            <w:rStyle w:val="Hyperlink"/>
            <w:rFonts w:eastAsia="Aptos"/>
          </w:rPr>
          <w:t>pplication for Care Form</w:t>
        </w:r>
      </w:hyperlink>
      <w:r>
        <w:rPr>
          <w:rFonts w:eastAsia="Aptos"/>
        </w:rPr>
        <w:t xml:space="preserve">. Individuals have 5 days after the day on which services commenced to lodge an application. </w:t>
      </w:r>
      <w:r w:rsidRPr="008C6FFA">
        <w:rPr>
          <w:rFonts w:eastAsia="Arial"/>
          <w:lang w:val="en-AU"/>
        </w:rPr>
        <w:t xml:space="preserve">For further information on the use of the form to apply urgent residential care or residential respite care, refer to </w:t>
      </w:r>
      <w:r>
        <w:rPr>
          <w:rFonts w:eastAsia="Aptos"/>
        </w:rPr>
        <w:t xml:space="preserve">section </w:t>
      </w:r>
      <w:r>
        <w:rPr>
          <w:rFonts w:eastAsia="Aptos"/>
        </w:rPr>
        <w:fldChar w:fldCharType="begin"/>
      </w:r>
      <w:r>
        <w:rPr>
          <w:rFonts w:eastAsia="Aptos"/>
        </w:rPr>
        <w:instrText xml:space="preserve"> REF _Ref212733555 \r \h </w:instrText>
      </w:r>
      <w:r>
        <w:rPr>
          <w:rFonts w:eastAsia="Aptos"/>
        </w:rPr>
      </w:r>
      <w:r>
        <w:rPr>
          <w:rFonts w:eastAsia="Aptos"/>
        </w:rPr>
        <w:fldChar w:fldCharType="separate"/>
      </w:r>
      <w:r w:rsidR="00F97942">
        <w:rPr>
          <w:rFonts w:eastAsia="Aptos"/>
        </w:rPr>
        <w:t>3.6</w:t>
      </w:r>
      <w:r>
        <w:rPr>
          <w:rFonts w:eastAsia="Aptos"/>
        </w:rPr>
        <w:fldChar w:fldCharType="end"/>
      </w:r>
      <w:r w:rsidRPr="008C6FFA">
        <w:rPr>
          <w:rFonts w:eastAsia="Arial"/>
          <w:lang w:val="en-AU"/>
        </w:rPr>
        <w:t xml:space="preserve"> of th</w:t>
      </w:r>
      <w:r>
        <w:rPr>
          <w:rFonts w:eastAsia="Arial"/>
          <w:lang w:val="en-AU"/>
        </w:rPr>
        <w:t>is</w:t>
      </w:r>
      <w:r w:rsidRPr="008C6FFA">
        <w:rPr>
          <w:rFonts w:eastAsia="Arial"/>
          <w:lang w:val="en-AU"/>
        </w:rPr>
        <w:t xml:space="preserve"> Manual.</w:t>
      </w:r>
      <w:r>
        <w:rPr>
          <w:rFonts w:eastAsia="Arial"/>
          <w:lang w:val="en-AU"/>
        </w:rPr>
        <w:t xml:space="preserve"> </w:t>
      </w:r>
    </w:p>
    <w:p w14:paraId="592A32B0" w14:textId="77777777" w:rsidR="00271898" w:rsidRPr="00B131B9" w:rsidRDefault="00271898" w:rsidP="00271898">
      <w:pPr>
        <w:spacing w:before="240" w:after="240" w:line="240" w:lineRule="auto"/>
        <w:rPr>
          <w:rFonts w:eastAsia="Arial"/>
          <w:lang w:val="en-AU"/>
        </w:rPr>
      </w:pPr>
      <w:r w:rsidRPr="00B131B9">
        <w:rPr>
          <w:rFonts w:eastAsia="Arial"/>
          <w:lang w:val="en-AU"/>
        </w:rPr>
        <w:t>In urgent cases, the person is already receiving care, but this does not mean they are permanently entering aged care or will remain at the current facility. </w:t>
      </w:r>
    </w:p>
    <w:p w14:paraId="742CE86F" w14:textId="77777777" w:rsidR="00257B76" w:rsidRPr="008D753D" w:rsidRDefault="00257B76" w:rsidP="00507F9D">
      <w:pPr>
        <w:pStyle w:val="h2"/>
      </w:pPr>
      <w:bookmarkStart w:id="212" w:name="_Toc224916628"/>
      <w:r w:rsidRPr="008D753D">
        <w:t>Screening</w:t>
      </w:r>
      <w:bookmarkEnd w:id="212"/>
    </w:p>
    <w:p w14:paraId="79DDCFB3" w14:textId="77777777" w:rsidR="00257B76" w:rsidRPr="00FD6D67" w:rsidRDefault="00257B76" w:rsidP="00257B76">
      <w:pPr>
        <w:spacing w:before="240" w:after="240" w:line="240" w:lineRule="auto"/>
        <w:rPr>
          <w:lang w:val="en-AU"/>
        </w:rPr>
      </w:pPr>
      <w:r w:rsidRPr="008D753D">
        <w:rPr>
          <w:rFonts w:eastAsiaTheme="minorEastAsia"/>
          <w:lang w:eastAsia="en-US"/>
        </w:rPr>
        <w:t xml:space="preserve">My Aged Care Contact Centre staff and ACSOs complete screening after a person registers with My Aged Care and has a </w:t>
      </w:r>
      <w:r w:rsidRPr="008D753D">
        <w:rPr>
          <w:rFonts w:eastAsiaTheme="minorEastAsia"/>
          <w:iCs/>
          <w:lang w:eastAsia="en-US"/>
        </w:rPr>
        <w:t xml:space="preserve">My Aged Care older person record and identification number </w:t>
      </w:r>
      <w:r w:rsidRPr="008D753D">
        <w:rPr>
          <w:rFonts w:eastAsiaTheme="minorEastAsia"/>
          <w:lang w:eastAsia="en-US"/>
        </w:rPr>
        <w:t xml:space="preserve">assigned. </w:t>
      </w:r>
      <w:r w:rsidRPr="00FD6D67">
        <w:rPr>
          <w:lang w:val="en-AU"/>
        </w:rPr>
        <w:t>Older people can opt in to receive SMS notifications prior to the call, which helps build trust by alerting them that My Aged Care will be calling from a private number.</w:t>
      </w:r>
    </w:p>
    <w:p w14:paraId="4D75FD17" w14:textId="77777777" w:rsidR="00257B76" w:rsidRPr="008D753D" w:rsidRDefault="00257B76" w:rsidP="00257B76">
      <w:pPr>
        <w:autoSpaceDE w:val="0"/>
        <w:autoSpaceDN w:val="0"/>
        <w:adjustRightInd w:val="0"/>
        <w:spacing w:before="240" w:after="240" w:line="240" w:lineRule="auto"/>
        <w:rPr>
          <w:rFonts w:eastAsiaTheme="minorEastAsia"/>
          <w:lang w:eastAsia="en-US"/>
        </w:rPr>
      </w:pPr>
      <w:r w:rsidRPr="008D753D">
        <w:rPr>
          <w:rFonts w:eastAsiaTheme="minorEastAsia"/>
          <w:lang w:eastAsia="en-US"/>
        </w:rPr>
        <w:t xml:space="preserve">Alternatively, screening is built into the online inbound referral, such as when a health professional conducts a web-referral and applies for an older person’s assessment online. </w:t>
      </w:r>
    </w:p>
    <w:p w14:paraId="427B26F5" w14:textId="459391A1" w:rsidR="00257B76" w:rsidRPr="008D753D" w:rsidRDefault="00257B76" w:rsidP="00257B76">
      <w:pPr>
        <w:spacing w:before="240" w:after="240" w:line="240" w:lineRule="auto"/>
      </w:pPr>
      <w:r w:rsidRPr="008D753D">
        <w:t>Under the</w:t>
      </w:r>
      <w:r w:rsidRPr="008D753D">
        <w:rPr>
          <w:i/>
        </w:rPr>
        <w:t> Aged Care Act 2024</w:t>
      </w:r>
      <w:r w:rsidRPr="008D753D">
        <w:t xml:space="preserve"> screening </w:t>
      </w:r>
      <w:r w:rsidRPr="008D753D">
        <w:rPr>
          <w:b/>
        </w:rPr>
        <w:t>no longer decide</w:t>
      </w:r>
      <w:r w:rsidR="008A047E">
        <w:rPr>
          <w:b/>
        </w:rPr>
        <w:t>s</w:t>
      </w:r>
      <w:r w:rsidRPr="008D753D">
        <w:t> if a client is eligible for an aged care needs assessment. Instead, this responsibility now rests with Triage Delegates within assessment organisations. </w:t>
      </w:r>
    </w:p>
    <w:p w14:paraId="09926969" w14:textId="77777777" w:rsidR="00257B76" w:rsidRPr="008D753D" w:rsidRDefault="00257B76" w:rsidP="00257B76">
      <w:pPr>
        <w:spacing w:before="240" w:after="240" w:line="240" w:lineRule="auto"/>
      </w:pPr>
      <w:r w:rsidRPr="008D753D">
        <w:t>The screening outcome is intended only as a recommendation on an individual's </w:t>
      </w:r>
      <w:r w:rsidRPr="008D753D">
        <w:rPr>
          <w:b/>
        </w:rPr>
        <w:t>likely eligibility </w:t>
      </w:r>
      <w:r w:rsidRPr="008D753D">
        <w:t>for an aged care needs assessment. </w:t>
      </w:r>
    </w:p>
    <w:p w14:paraId="50E2A3E8" w14:textId="5264ECA5" w:rsidR="00257B76" w:rsidRPr="008D753D" w:rsidRDefault="00257B76" w:rsidP="00257B76">
      <w:pPr>
        <w:spacing w:before="240" w:after="240" w:line="240" w:lineRule="auto"/>
      </w:pPr>
      <w:r w:rsidRPr="008D753D">
        <w:t>Under the </w:t>
      </w:r>
      <w:r w:rsidRPr="008D753D">
        <w:rPr>
          <w:i/>
        </w:rPr>
        <w:t>Aged Care Act 2024</w:t>
      </w:r>
      <w:r w:rsidRPr="008D753D">
        <w:t xml:space="preserve">, individuals maintain the right to make an application for funded aged care services even if they are not initially considered to meet the eligibility criteria for an aged care needs assessment. However, the final eligibility determination rests with the Triage Delegate in an assessment organisation, who evaluates the referral according to the requirements outlined in section 58 of the </w:t>
      </w:r>
      <w:r w:rsidRPr="008D753D">
        <w:rPr>
          <w:i/>
        </w:rPr>
        <w:t>Aged Care Act 2024</w:t>
      </w:r>
      <w:r w:rsidRPr="008D753D">
        <w:t xml:space="preserve">.  </w:t>
      </w:r>
      <w:r>
        <w:t xml:space="preserve">See section </w:t>
      </w:r>
      <w:r>
        <w:fldChar w:fldCharType="begin"/>
      </w:r>
      <w:r>
        <w:instrText xml:space="preserve"> REF _Ref212733469 \r \h </w:instrText>
      </w:r>
      <w:r>
        <w:fldChar w:fldCharType="separate"/>
      </w:r>
      <w:r w:rsidR="00F97942">
        <w:t>1.4</w:t>
      </w:r>
      <w:r>
        <w:fldChar w:fldCharType="end"/>
      </w:r>
      <w:r>
        <w:t xml:space="preserve"> for eligibility requirements to access funded aged care. </w:t>
      </w:r>
    </w:p>
    <w:p w14:paraId="21B6CF0E" w14:textId="77777777" w:rsidR="00257B76" w:rsidRPr="008D753D" w:rsidRDefault="00257B76" w:rsidP="00257B76">
      <w:pPr>
        <w:spacing w:before="240" w:after="240" w:line="240" w:lineRule="auto"/>
      </w:pPr>
      <w:r w:rsidRPr="008D753D">
        <w:t xml:space="preserve">An individual’s eligibility to access services once they have been assessed will be determined by an Assessment Delegate. The Assessment Delegate will consider the ‘assessment report’, which comprises the support plan and any other relevant information. If an Assessment Delegate is satisfied an individual requires access, they will make a decision under section 65 to approve access to one or more funded aged care services. </w:t>
      </w:r>
    </w:p>
    <w:p w14:paraId="7D320268" w14:textId="77777777" w:rsidR="00257B76" w:rsidRPr="008D753D" w:rsidRDefault="00257B76" w:rsidP="00C56CEC">
      <w:pPr>
        <w:pStyle w:val="H3"/>
      </w:pPr>
      <w:r w:rsidRPr="008D753D">
        <w:t>Outcomes of screening</w:t>
      </w:r>
    </w:p>
    <w:p w14:paraId="02934413" w14:textId="437DFFEA" w:rsidR="00257B76" w:rsidRPr="008D753D" w:rsidRDefault="00257B76" w:rsidP="00257B76">
      <w:pPr>
        <w:autoSpaceDE w:val="0"/>
        <w:autoSpaceDN w:val="0"/>
        <w:adjustRightInd w:val="0"/>
        <w:spacing w:before="240" w:after="240" w:line="240" w:lineRule="auto"/>
        <w:rPr>
          <w:rFonts w:eastAsiaTheme="minorHAnsi"/>
          <w:lang w:eastAsia="en-US"/>
        </w:rPr>
      </w:pPr>
      <w:r w:rsidRPr="008D753D">
        <w:rPr>
          <w:rFonts w:eastAsiaTheme="minorHAnsi"/>
          <w:lang w:eastAsia="en-US"/>
        </w:rPr>
        <w:t>On completion of the screening:</w:t>
      </w:r>
    </w:p>
    <w:p w14:paraId="66A73CC8" w14:textId="77777777" w:rsidR="00257B76" w:rsidRPr="008D753D" w:rsidRDefault="00257B76" w:rsidP="00257B76">
      <w:pPr>
        <w:pStyle w:val="ListParagraph"/>
        <w:numPr>
          <w:ilvl w:val="0"/>
          <w:numId w:val="49"/>
        </w:numPr>
        <w:autoSpaceDE w:val="0"/>
        <w:autoSpaceDN w:val="0"/>
        <w:adjustRightInd w:val="0"/>
        <w:spacing w:before="240" w:after="240" w:line="240" w:lineRule="auto"/>
        <w:ind w:left="568" w:hanging="284"/>
      </w:pPr>
      <w:r w:rsidRPr="008D753D">
        <w:t>Assign referral priority to indicate the timing of the assessment and the urgency in which services are delivered to an older person, which is based on an older person’s level of function, the level of risk in relation to the care situation and any other relevant concerns.</w:t>
      </w:r>
    </w:p>
    <w:p w14:paraId="38D3A11F" w14:textId="77777777" w:rsidR="00257B76" w:rsidRPr="008D753D" w:rsidRDefault="00257B76" w:rsidP="00257B76">
      <w:pPr>
        <w:pStyle w:val="ListParagraph"/>
        <w:numPr>
          <w:ilvl w:val="0"/>
          <w:numId w:val="49"/>
        </w:numPr>
        <w:autoSpaceDE w:val="0"/>
        <w:autoSpaceDN w:val="0"/>
        <w:adjustRightInd w:val="0"/>
        <w:spacing w:before="240" w:after="240" w:line="240" w:lineRule="auto"/>
        <w:ind w:left="568" w:hanging="284"/>
      </w:pPr>
      <w:r w:rsidRPr="008D753D">
        <w:t xml:space="preserve">Send the referral to </w:t>
      </w:r>
      <w:r>
        <w:t>an</w:t>
      </w:r>
      <w:r w:rsidRPr="008D753D">
        <w:t xml:space="preserve"> appropriate assessment organisation with the older person’s consent. </w:t>
      </w:r>
    </w:p>
    <w:p w14:paraId="29D8F249" w14:textId="77777777" w:rsidR="00257B76" w:rsidRPr="008D753D" w:rsidRDefault="00257B76" w:rsidP="00257B76">
      <w:pPr>
        <w:pStyle w:val="ListParagraph"/>
        <w:numPr>
          <w:ilvl w:val="0"/>
          <w:numId w:val="49"/>
        </w:numPr>
        <w:autoSpaceDE w:val="0"/>
        <w:autoSpaceDN w:val="0"/>
        <w:adjustRightInd w:val="0"/>
        <w:spacing w:before="240" w:after="240" w:line="240" w:lineRule="auto"/>
        <w:ind w:left="568" w:hanging="284"/>
      </w:pPr>
      <w:r w:rsidRPr="008D753D">
        <w:t>For urgent referrals for the End-of-Life Pathway, ensure the referral is marked as ‘End-of-Life’.</w:t>
      </w:r>
    </w:p>
    <w:p w14:paraId="02D3B410" w14:textId="2C23EB5B" w:rsidR="00257B76" w:rsidRPr="008D753D" w:rsidRDefault="00257B76" w:rsidP="00257B76">
      <w:pPr>
        <w:pStyle w:val="ListParagraph"/>
        <w:numPr>
          <w:ilvl w:val="0"/>
          <w:numId w:val="49"/>
        </w:numPr>
        <w:autoSpaceDE w:val="0"/>
        <w:autoSpaceDN w:val="0"/>
        <w:adjustRightInd w:val="0"/>
        <w:spacing w:before="240" w:after="240" w:line="240" w:lineRule="auto"/>
        <w:ind w:left="568" w:hanging="284"/>
        <w:rPr>
          <w:rStyle w:val="eop"/>
        </w:rPr>
      </w:pPr>
      <w:r w:rsidRPr="008D753D">
        <w:t xml:space="preserve">Send urgent service referrals to a CHSP provider with the older person’s consent and </w:t>
      </w:r>
      <w:r w:rsidRPr="002E4383">
        <w:rPr>
          <w:b/>
        </w:rPr>
        <w:t>send an assessment referral</w:t>
      </w:r>
      <w:r w:rsidRPr="002E4383">
        <w:rPr>
          <w:b/>
          <w:bCs/>
        </w:rPr>
        <w:t xml:space="preserve"> at the same time</w:t>
      </w:r>
      <w:r w:rsidDel="00FA75A4">
        <w:t>.</w:t>
      </w:r>
      <w:r w:rsidRPr="008D753D">
        <w:rPr>
          <w:rStyle w:val="eop"/>
          <w:color w:val="000000"/>
          <w:shd w:val="clear" w:color="auto" w:fill="FFFFFF"/>
        </w:rPr>
        <w:t> </w:t>
      </w:r>
      <w:r>
        <w:rPr>
          <w:rStyle w:val="eop"/>
          <w:color w:val="000000"/>
          <w:shd w:val="clear" w:color="auto" w:fill="FFFFFF"/>
        </w:rPr>
        <w:t>If urgent services are approved, Assessment delegates can backdate approvals for the urgent services after an assessment, see Section 3.4.1</w:t>
      </w:r>
    </w:p>
    <w:p w14:paraId="0EAF7F9D" w14:textId="77777777" w:rsidR="00257B76" w:rsidRPr="000027E3" w:rsidRDefault="00257B76" w:rsidP="00C325C6">
      <w:pPr>
        <w:pStyle w:val="Sub-headings"/>
      </w:pPr>
      <w:r w:rsidRPr="00904192">
        <w:t>Note</w:t>
      </w:r>
      <w:r w:rsidRPr="000027E3">
        <w:t xml:space="preserve">: </w:t>
      </w:r>
    </w:p>
    <w:p w14:paraId="7DBF6D8B" w14:textId="55166691" w:rsidR="00257B76" w:rsidRPr="008D753D" w:rsidRDefault="00257B76" w:rsidP="00C325C6">
      <w:pPr>
        <w:pStyle w:val="Sub-headings"/>
      </w:pPr>
      <w:r w:rsidRPr="008D753D">
        <w:t xml:space="preserve">Where a referral is issued to the organisation in </w:t>
      </w:r>
      <w:r w:rsidDel="00482AA2">
        <w:t>error</w:t>
      </w:r>
      <w:r>
        <w:t xml:space="preserve">, </w:t>
      </w:r>
      <w:r w:rsidRPr="008D753D">
        <w:t xml:space="preserve">the </w:t>
      </w:r>
      <w:r>
        <w:t>My Aged Care C</w:t>
      </w:r>
      <w:r w:rsidRPr="008D753D">
        <w:t xml:space="preserve">ontact </w:t>
      </w:r>
      <w:r>
        <w:t>C</w:t>
      </w:r>
      <w:r w:rsidRPr="008D753D">
        <w:t>entre can recall the referral (</w:t>
      </w:r>
      <w:r w:rsidRPr="00A10212">
        <w:t xml:space="preserve">see Chapter </w:t>
      </w:r>
      <w:r w:rsidRPr="00355D6B">
        <w:fldChar w:fldCharType="begin"/>
      </w:r>
      <w:r w:rsidRPr="00355D6B">
        <w:instrText xml:space="preserve"> REF _Ref212735206 \r \h </w:instrText>
      </w:r>
      <w:r w:rsidR="00355D6B">
        <w:instrText xml:space="preserve"> \* MERGEFORMAT </w:instrText>
      </w:r>
      <w:r w:rsidRPr="00355D6B">
        <w:fldChar w:fldCharType="separate"/>
      </w:r>
      <w:r w:rsidR="00F97942">
        <w:t>4</w:t>
      </w:r>
      <w:r w:rsidRPr="00355D6B">
        <w:fldChar w:fldCharType="end"/>
      </w:r>
      <w:r w:rsidRPr="00A10212">
        <w:t xml:space="preserve"> Referral</w:t>
      </w:r>
      <w:r w:rsidRPr="008D753D">
        <w:t xml:space="preserve"> for assessment).</w:t>
      </w:r>
    </w:p>
    <w:p w14:paraId="33DA7797" w14:textId="7D267C86" w:rsidR="00257B76" w:rsidRDefault="00257B76" w:rsidP="00257B76"/>
    <w:p w14:paraId="775EC262" w14:textId="5D3007FC" w:rsidR="00FA75A4" w:rsidRPr="008D753D" w:rsidRDefault="00D10637" w:rsidP="00507F9D">
      <w:pPr>
        <w:pStyle w:val="h2"/>
      </w:pPr>
      <w:bookmarkStart w:id="213" w:name="_Toc224916629"/>
      <w:r w:rsidRPr="005E4E0E">
        <w:rPr>
          <w:noProof/>
        </w:rPr>
        <w:drawing>
          <wp:anchor distT="0" distB="0" distL="114300" distR="114300" simplePos="0" relativeHeight="251658291" behindDoc="0" locked="0" layoutInCell="1" allowOverlap="1" wp14:anchorId="6D0DE91F" wp14:editId="16AF33A1">
            <wp:simplePos x="0" y="0"/>
            <wp:positionH relativeFrom="margin">
              <wp:align>left</wp:align>
            </wp:positionH>
            <wp:positionV relativeFrom="paragraph">
              <wp:posOffset>7323</wp:posOffset>
            </wp:positionV>
            <wp:extent cx="457200" cy="502920"/>
            <wp:effectExtent l="0" t="0" r="0" b="0"/>
            <wp:wrapSquare wrapText="bothSides"/>
            <wp:docPr id="1164893929" name="Picture 116489392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FA75A4" w:rsidRPr="008D753D">
        <w:t xml:space="preserve">Support networks for </w:t>
      </w:r>
      <w:bookmarkEnd w:id="209"/>
      <w:bookmarkEnd w:id="210"/>
      <w:r w:rsidR="00FA75A4" w:rsidRPr="008D753D">
        <w:t>an older person</w:t>
      </w:r>
      <w:bookmarkEnd w:id="211"/>
      <w:bookmarkEnd w:id="213"/>
      <w:r w:rsidR="00FA75A4" w:rsidRPr="008D753D">
        <w:t xml:space="preserve">  </w:t>
      </w:r>
    </w:p>
    <w:p w14:paraId="09542CF4" w14:textId="77777777" w:rsidR="00FA75A4" w:rsidRPr="008D753D" w:rsidRDefault="00FA75A4" w:rsidP="00614178">
      <w:pPr>
        <w:pStyle w:val="Sub-headingnon-contentpage"/>
        <w:spacing w:before="240" w:after="240"/>
        <w:rPr>
          <w:b/>
          <w:bCs/>
        </w:rPr>
      </w:pPr>
      <w:r w:rsidRPr="008D753D">
        <w:t xml:space="preserve">Where an older person is registered with My Aged Care, there may also be a network of registered supporters and/or agent organisations on the older person’s record. </w:t>
      </w:r>
    </w:p>
    <w:p w14:paraId="7D4D5026" w14:textId="49469DE3" w:rsidR="00FA75A4" w:rsidRPr="00C44BA4" w:rsidRDefault="00FA75A4" w:rsidP="00C56CEC">
      <w:pPr>
        <w:pStyle w:val="H3"/>
      </w:pPr>
      <w:bookmarkStart w:id="214" w:name="_Toc198813643"/>
      <w:bookmarkStart w:id="215" w:name="CH1_SupportedDecisionMaking"/>
      <w:r w:rsidRPr="00C44BA4">
        <w:t>Registered supporters</w:t>
      </w:r>
      <w:bookmarkEnd w:id="214"/>
    </w:p>
    <w:bookmarkEnd w:id="215"/>
    <w:p w14:paraId="1A08B4E6" w14:textId="2524420F" w:rsidR="00FA75A4" w:rsidRPr="00C44BA4" w:rsidRDefault="00966CB0" w:rsidP="0003231B">
      <w:pPr>
        <w:pStyle w:val="H4"/>
      </w:pPr>
      <w:r>
        <w:t>Sup</w:t>
      </w:r>
      <w:r w:rsidR="00FA75A4" w:rsidRPr="00C44BA4">
        <w:t xml:space="preserve">ported decision-making in aged care legislation </w:t>
      </w:r>
    </w:p>
    <w:p w14:paraId="1E34AFBA" w14:textId="77777777" w:rsidR="00FF7659" w:rsidRDefault="00FF7659" w:rsidP="00614178">
      <w:pPr>
        <w:spacing w:before="240" w:after="240" w:line="240" w:lineRule="auto"/>
      </w:pPr>
      <w:r w:rsidRPr="00C44BA4">
        <w:t>Everyone has the right to make decisions about their life, including the support and services they receive from aged care. </w:t>
      </w:r>
    </w:p>
    <w:p w14:paraId="5B108F07" w14:textId="312CC956" w:rsidR="00FA75A4" w:rsidRPr="00C44BA4" w:rsidRDefault="00FA75A4" w:rsidP="00614178">
      <w:pPr>
        <w:spacing w:before="240" w:after="240" w:line="240" w:lineRule="auto"/>
      </w:pPr>
      <w:r w:rsidRPr="00C44BA4">
        <w:t xml:space="preserve">The </w:t>
      </w:r>
      <w:r w:rsidRPr="00C44BA4">
        <w:rPr>
          <w:i/>
        </w:rPr>
        <w:t xml:space="preserve">Aged Care Act 2024 </w:t>
      </w:r>
      <w:r w:rsidRPr="00C44BA4">
        <w:t>(the Act) puts the rights of older people first. It aims to ensure aged care services are safe and older people are treated with respect. </w:t>
      </w:r>
    </w:p>
    <w:p w14:paraId="254BF794" w14:textId="3523E37C" w:rsidR="00FA75A4" w:rsidRPr="00C44BA4" w:rsidRDefault="00FA75A4" w:rsidP="00614178">
      <w:pPr>
        <w:spacing w:before="240" w:after="240" w:line="240" w:lineRule="auto"/>
      </w:pPr>
      <w:r w:rsidRPr="00C44BA4">
        <w:t>A key change under the Act is that every older person is presumed to have the ability to make decisions. Some older people may want or need support to make these decisions. Supported decision-making is the process of providing support to help older people make and communicate their own decisions, rather than having decisions made for them. This allows older people to remain in control of their lives.</w:t>
      </w:r>
    </w:p>
    <w:p w14:paraId="6C644A6E" w14:textId="77777777" w:rsidR="00CD2113" w:rsidRPr="00C44BA4" w:rsidRDefault="00CD2113" w:rsidP="00CD2113">
      <w:pPr>
        <w:pStyle w:val="H4"/>
      </w:pPr>
      <w:r w:rsidRPr="00C44BA4">
        <w:t xml:space="preserve">Supported decision-making in assessments </w:t>
      </w:r>
    </w:p>
    <w:p w14:paraId="5E884536" w14:textId="77777777" w:rsidR="00CD2113" w:rsidRPr="00C44BA4" w:rsidRDefault="00CD2113" w:rsidP="00CD2113">
      <w:pPr>
        <w:spacing w:before="240" w:after="240" w:line="240" w:lineRule="auto"/>
      </w:pPr>
      <w:r>
        <w:t>Under the Act</w:t>
      </w:r>
      <w:r w:rsidRPr="00C44BA4">
        <w:t xml:space="preserve">, assessors should promote an older person’s right to make decisions, engage with registered supporters </w:t>
      </w:r>
      <w:r>
        <w:t>in line with the older person’s will and preferences</w:t>
      </w:r>
      <w:r w:rsidRPr="00C44BA4">
        <w:t xml:space="preserve">, and embed supported decision-making in assessment delivery. </w:t>
      </w:r>
    </w:p>
    <w:p w14:paraId="2CD40E26" w14:textId="77777777" w:rsidR="00CD2113" w:rsidRPr="00C44BA4" w:rsidRDefault="00CD2113" w:rsidP="00CD2113">
      <w:pPr>
        <w:spacing w:before="240" w:after="240" w:line="240" w:lineRule="auto"/>
      </w:pPr>
      <w:r w:rsidRPr="00C44BA4">
        <w:t xml:space="preserve">It is important to remember that supported decision-making principles and practices are not just about engaging with registered supporters. Supported decision-making is about supporting an older person to make their own decisions, in the ways they want or need. </w:t>
      </w:r>
    </w:p>
    <w:p w14:paraId="5E2F8000" w14:textId="77777777" w:rsidR="00CD2113" w:rsidRPr="00C44BA4" w:rsidRDefault="00CD2113" w:rsidP="00CD2113">
      <w:pPr>
        <w:spacing w:before="240" w:after="240" w:line="240" w:lineRule="auto"/>
      </w:pPr>
      <w:r w:rsidRPr="00C44BA4">
        <w:t>This might look like:</w:t>
      </w:r>
    </w:p>
    <w:p w14:paraId="5F4E62AE" w14:textId="77777777" w:rsidR="00CD2113" w:rsidRPr="00C44BA4" w:rsidRDefault="00CD2113" w:rsidP="00CD2113">
      <w:pPr>
        <w:pStyle w:val="ListParagraph"/>
        <w:numPr>
          <w:ilvl w:val="0"/>
          <w:numId w:val="524"/>
        </w:numPr>
        <w:spacing w:before="240" w:after="240" w:line="240" w:lineRule="auto"/>
      </w:pPr>
      <w:r w:rsidRPr="00C44BA4">
        <w:t xml:space="preserve">Asking the older person to make decisions about their aged care services and needs (rather than deferring to their family, registered supporters or their active, appointed decision-maker), </w:t>
      </w:r>
    </w:p>
    <w:p w14:paraId="5D2C8F84" w14:textId="77777777" w:rsidR="00CD2113" w:rsidRPr="00C44BA4" w:rsidRDefault="00CD2113" w:rsidP="00CD2113">
      <w:pPr>
        <w:pStyle w:val="ListParagraph"/>
        <w:numPr>
          <w:ilvl w:val="0"/>
          <w:numId w:val="524"/>
        </w:numPr>
        <w:spacing w:before="240" w:after="240" w:line="240" w:lineRule="auto"/>
      </w:pPr>
      <w:r w:rsidRPr="00C44BA4">
        <w:t>Checking whether an older person has a registered supporter, and whether the older person wants that person to provide support. Remember that having a registered supporter does not mean that the older person needs to include them in discussions and their decision-making processes. It is always up to the older person</w:t>
      </w:r>
      <w:r>
        <w:t>. A registered supporter can only act in line with the older person’s will and preferences</w:t>
      </w:r>
      <w:r w:rsidRPr="00C44BA4">
        <w:t xml:space="preserve">, and </w:t>
      </w:r>
    </w:p>
    <w:p w14:paraId="118AA0C9" w14:textId="77777777" w:rsidR="00CD2113" w:rsidRPr="00C44BA4" w:rsidRDefault="00CD2113" w:rsidP="00CD2113">
      <w:pPr>
        <w:pStyle w:val="ListParagraph"/>
        <w:numPr>
          <w:ilvl w:val="0"/>
          <w:numId w:val="51"/>
        </w:numPr>
        <w:spacing w:before="240" w:after="240" w:line="240" w:lineRule="auto"/>
      </w:pPr>
      <w:r w:rsidRPr="00C44BA4">
        <w:t>Considering how supported decision-making principles can be embedded into an assessment process. This could be:</w:t>
      </w:r>
    </w:p>
    <w:p w14:paraId="0E46ECBB" w14:textId="77777777" w:rsidR="00CD2113" w:rsidRPr="00C44BA4" w:rsidRDefault="00CD2113" w:rsidP="00CD2113">
      <w:pPr>
        <w:pStyle w:val="ListParagraph"/>
        <w:numPr>
          <w:ilvl w:val="0"/>
          <w:numId w:val="55"/>
        </w:numPr>
        <w:spacing w:before="240" w:after="240" w:line="240" w:lineRule="auto"/>
      </w:pPr>
      <w:r w:rsidRPr="00C44BA4">
        <w:t xml:space="preserve">more time </w:t>
      </w:r>
      <w:r>
        <w:t xml:space="preserve">for the older person </w:t>
      </w:r>
      <w:r w:rsidRPr="00C44BA4">
        <w:t xml:space="preserve">to explore options and only </w:t>
      </w:r>
      <w:r>
        <w:t>asking them to make</w:t>
      </w:r>
      <w:r w:rsidRPr="00C44BA4">
        <w:t xml:space="preserve"> one decision at a time, </w:t>
      </w:r>
    </w:p>
    <w:p w14:paraId="51F46DC4" w14:textId="77777777" w:rsidR="00CD2113" w:rsidRPr="00C44BA4" w:rsidRDefault="00CD2113" w:rsidP="00CD2113">
      <w:pPr>
        <w:pStyle w:val="ListParagraph"/>
        <w:numPr>
          <w:ilvl w:val="0"/>
          <w:numId w:val="55"/>
        </w:numPr>
        <w:spacing w:before="240" w:after="240" w:line="240" w:lineRule="auto"/>
      </w:pPr>
      <w:r>
        <w:t>presenting the older person with options</w:t>
      </w:r>
      <w:r w:rsidRPr="00C44BA4">
        <w:t xml:space="preserve"> in ways the older person prefers, such as visually, and</w:t>
      </w:r>
    </w:p>
    <w:p w14:paraId="5361CFC7" w14:textId="12E6B605" w:rsidR="00CD2113" w:rsidRPr="00C44BA4" w:rsidRDefault="00CD2113" w:rsidP="006B3670">
      <w:pPr>
        <w:pStyle w:val="ListParagraph"/>
        <w:numPr>
          <w:ilvl w:val="0"/>
          <w:numId w:val="55"/>
        </w:numPr>
        <w:spacing w:before="240" w:after="240" w:line="240" w:lineRule="auto"/>
      </w:pPr>
      <w:r>
        <w:t xml:space="preserve">encouraging and supporting the older person to make </w:t>
      </w:r>
      <w:r w:rsidRPr="00C44BA4">
        <w:t>decisions at a time and place most comfortable for the older person.</w:t>
      </w:r>
    </w:p>
    <w:p w14:paraId="6E65C227" w14:textId="77777777" w:rsidR="00FA75A4" w:rsidRPr="00C44BA4" w:rsidRDefault="00FA75A4" w:rsidP="0003231B">
      <w:pPr>
        <w:pStyle w:val="H4"/>
      </w:pPr>
      <w:r w:rsidRPr="00C44BA4">
        <w:t>Role of registered supporters</w:t>
      </w:r>
    </w:p>
    <w:p w14:paraId="50D646C1" w14:textId="03699F90" w:rsidR="00FA75A4" w:rsidRPr="00C44BA4" w:rsidRDefault="00FA75A4" w:rsidP="00614178">
      <w:pPr>
        <w:spacing w:before="240" w:after="240" w:line="240" w:lineRule="auto"/>
      </w:pPr>
      <w:r w:rsidRPr="00C44BA4">
        <w:t>Chapter 1, Part 4 of the Act</w:t>
      </w:r>
      <w:r w:rsidRPr="00C44BA4" w:rsidDel="00334E33">
        <w:t xml:space="preserve"> </w:t>
      </w:r>
      <w:r w:rsidRPr="00C44BA4">
        <w:t xml:space="preserve">establishes the role of a </w:t>
      </w:r>
      <w:hyperlink r:id="rId89" w:history="1">
        <w:r w:rsidRPr="0017637D">
          <w:rPr>
            <w:rStyle w:val="Hyperlink"/>
          </w:rPr>
          <w:t>registered supporter</w:t>
        </w:r>
      </w:hyperlink>
      <w:r w:rsidRPr="00C44BA4">
        <w:t xml:space="preserve">. The registered supporter role is one of the changes under the Act that aim to promote </w:t>
      </w:r>
      <w:r w:rsidR="005175FA">
        <w:t xml:space="preserve">each </w:t>
      </w:r>
      <w:r w:rsidRPr="00C44BA4">
        <w:t xml:space="preserve">older </w:t>
      </w:r>
      <w:r w:rsidR="005175FA">
        <w:t>persons’</w:t>
      </w:r>
      <w:r w:rsidR="005175FA" w:rsidRPr="00C44BA4">
        <w:t xml:space="preserve"> </w:t>
      </w:r>
      <w:r w:rsidRPr="00C44BA4">
        <w:t xml:space="preserve">right to be supported to make their own decisions. The registered supporter role </w:t>
      </w:r>
      <w:r w:rsidR="008F2A6E">
        <w:t xml:space="preserve">commenced on 1 November 2025 and </w:t>
      </w:r>
      <w:r w:rsidRPr="00C44BA4">
        <w:t>replace</w:t>
      </w:r>
      <w:r w:rsidR="004F6BCD">
        <w:t>d</w:t>
      </w:r>
      <w:r w:rsidRPr="00C44BA4">
        <w:t xml:space="preserve"> existing regular and authorised representative relationships in My Aged Care. </w:t>
      </w:r>
    </w:p>
    <w:p w14:paraId="47654C3B" w14:textId="7B23C5B9" w:rsidR="00FA75A4" w:rsidRPr="00C44BA4" w:rsidRDefault="004F6BCD" w:rsidP="00614178">
      <w:pPr>
        <w:spacing w:before="240" w:after="240" w:line="240" w:lineRule="auto"/>
      </w:pPr>
      <w:r>
        <w:rPr>
          <w:lang w:val="en-US"/>
        </w:rPr>
        <w:t>Under the Act</w:t>
      </w:r>
      <w:r w:rsidR="00FA75A4" w:rsidRPr="00C44BA4">
        <w:rPr>
          <w:lang w:val="en-US"/>
        </w:rPr>
        <w:t xml:space="preserve">, older people can still choose who can support them to make decisions, if they want or need support. </w:t>
      </w:r>
      <w:r w:rsidR="00FA75A4" w:rsidRPr="00C44BA4">
        <w:t xml:space="preserve">These people can be </w:t>
      </w:r>
      <w:r w:rsidR="00DB0444">
        <w:t>– but don’t always have to be –</w:t>
      </w:r>
      <w:r w:rsidR="00FA75A4" w:rsidRPr="00C44BA4">
        <w:t xml:space="preserve"> registered supporters. A registered supporter </w:t>
      </w:r>
      <w:r w:rsidR="00DB0444">
        <w:t>may</w:t>
      </w:r>
      <w:r w:rsidR="00DB0444" w:rsidRPr="00C44BA4">
        <w:t xml:space="preserve"> </w:t>
      </w:r>
      <w:r w:rsidR="00FA75A4" w:rsidRPr="00C44BA4">
        <w:t>be a trusted family member or friend or anyone else of an older person’s choosing, who can help them to request, access and understand information and communicate their wishes. </w:t>
      </w:r>
    </w:p>
    <w:p w14:paraId="142A3F6A" w14:textId="0E6F0D8D" w:rsidR="00FA75A4" w:rsidRPr="00C44BA4" w:rsidRDefault="00A06E0E" w:rsidP="00614178">
      <w:pPr>
        <w:spacing w:before="240" w:after="240" w:line="240" w:lineRule="auto"/>
      </w:pPr>
      <w:r>
        <w:t xml:space="preserve">There are benefits </w:t>
      </w:r>
      <w:r w:rsidR="003D4660">
        <w:t>to</w:t>
      </w:r>
      <w:r>
        <w:t xml:space="preserve"> registering a supporter. </w:t>
      </w:r>
      <w:r w:rsidR="00FA75A4" w:rsidRPr="00C44BA4">
        <w:t>Registered supporters can:</w:t>
      </w:r>
    </w:p>
    <w:p w14:paraId="33CF8007" w14:textId="77777777" w:rsidR="00FA75A4" w:rsidRPr="00C44BA4" w:rsidRDefault="00FA75A4" w:rsidP="00DF3F6B">
      <w:pPr>
        <w:pStyle w:val="ListParagraph"/>
        <w:numPr>
          <w:ilvl w:val="0"/>
          <w:numId w:val="454"/>
        </w:numPr>
        <w:spacing w:before="240" w:after="240" w:line="240" w:lineRule="auto"/>
      </w:pPr>
      <w:r w:rsidRPr="00C44BA4">
        <w:t>help older people to make and communicate their own decisions about aged care. This might include speaking to My Aged Care, aged care assessors, aged care providers and workers, and the Aged Care Quality and Safety Commission, and</w:t>
      </w:r>
    </w:p>
    <w:p w14:paraId="3A6F6110" w14:textId="77777777" w:rsidR="00FA75A4" w:rsidRPr="00C44BA4" w:rsidRDefault="00FA75A4" w:rsidP="00DF3F6B">
      <w:pPr>
        <w:pStyle w:val="ListParagraph"/>
        <w:numPr>
          <w:ilvl w:val="0"/>
          <w:numId w:val="454"/>
        </w:numPr>
        <w:spacing w:before="240" w:after="240" w:line="240" w:lineRule="auto"/>
      </w:pPr>
      <w:r w:rsidRPr="00C44BA4">
        <w:t>request, access and receive information about the older person they support.</w:t>
      </w:r>
    </w:p>
    <w:p w14:paraId="62B267F5" w14:textId="77777777" w:rsidR="00A00321" w:rsidRPr="007E6AA1" w:rsidRDefault="00A00321" w:rsidP="006B3670">
      <w:pPr>
        <w:spacing w:before="240" w:after="240" w:line="240" w:lineRule="auto"/>
      </w:pPr>
      <w:r w:rsidRPr="007E6AA1">
        <w:t xml:space="preserve">All registered supporters have </w:t>
      </w:r>
      <w:hyperlink r:id="rId90" w:history="1">
        <w:r w:rsidRPr="00813073">
          <w:rPr>
            <w:rStyle w:val="Hyperlink"/>
          </w:rPr>
          <w:t>duties</w:t>
        </w:r>
      </w:hyperlink>
      <w:r w:rsidRPr="007E6AA1">
        <w:t xml:space="preserve"> under the Act they must comply with. These duties are intended to </w:t>
      </w:r>
      <w:r>
        <w:t>promote</w:t>
      </w:r>
      <w:r w:rsidRPr="007E6AA1">
        <w:t xml:space="preserve"> an older person’s safety, rights</w:t>
      </w:r>
      <w:r>
        <w:t xml:space="preserve">, </w:t>
      </w:r>
      <w:r w:rsidRPr="007E6AA1">
        <w:t>will</w:t>
      </w:r>
      <w:r>
        <w:t>,</w:t>
      </w:r>
      <w:r w:rsidRPr="007E6AA1">
        <w:t xml:space="preserve"> and preferences.  </w:t>
      </w:r>
    </w:p>
    <w:p w14:paraId="5DEB7874" w14:textId="3D6FE7CB" w:rsidR="00FA75A4" w:rsidRPr="007E6AA1" w:rsidRDefault="00FA75A4" w:rsidP="00614178">
      <w:pPr>
        <w:spacing w:before="240" w:after="240" w:line="240" w:lineRule="auto"/>
      </w:pPr>
      <w:r w:rsidRPr="008D753D">
        <w:t xml:space="preserve">Having a registered supporter does not stop an older person from being able to receive information, make decisions, or communicate directly with others including their aged care provider, My Aged Care and assessors. </w:t>
      </w:r>
      <w:r w:rsidRPr="007E6AA1">
        <w:t xml:space="preserve">Older people can continue to request, receive and communicate information and make </w:t>
      </w:r>
      <w:r w:rsidR="000477F9">
        <w:t>their own</w:t>
      </w:r>
      <w:r w:rsidRPr="007E6AA1">
        <w:t xml:space="preserve"> decisions.  </w:t>
      </w:r>
    </w:p>
    <w:p w14:paraId="75708375" w14:textId="77777777" w:rsidR="00B91FFC" w:rsidRDefault="00373A92" w:rsidP="00CB5680">
      <w:bookmarkStart w:id="216" w:name="_Hlk193278837"/>
      <w:r w:rsidRPr="0093185C">
        <w:t>An older person does not have to register a supporter. Some older people might feel they are already supported by their carers and other significant people in their lives, without needing any of them to become a registered supporter. These people can continue to play an important role in supporting an older person, regardless of whether they are a registered supporter.</w:t>
      </w:r>
      <w:bookmarkEnd w:id="216"/>
      <w:r w:rsidR="00CB5680">
        <w:t xml:space="preserve"> </w:t>
      </w:r>
      <w:r w:rsidRPr="0093185C">
        <w:t xml:space="preserve">This means, with the older person’s consent, </w:t>
      </w:r>
      <w:r w:rsidR="00CB5680">
        <w:t>someone who is not a registered supporter</w:t>
      </w:r>
      <w:r w:rsidRPr="0093185C">
        <w:t xml:space="preserve"> may continue supporting an older person </w:t>
      </w:r>
      <w:r>
        <w:t>during their assessment</w:t>
      </w:r>
      <w:r w:rsidRPr="0093185C">
        <w:t xml:space="preserve">. </w:t>
      </w:r>
      <w:r w:rsidR="00CB5680">
        <w:t>The older person may provide their consent for another person to com</w:t>
      </w:r>
      <w:r w:rsidR="00CB5680" w:rsidRPr="0093185C">
        <w:t>municate their decisions and wishes</w:t>
      </w:r>
      <w:r w:rsidR="00CB5680">
        <w:t>,</w:t>
      </w:r>
      <w:r w:rsidR="00CB5680" w:rsidRPr="0093185C">
        <w:t xml:space="preserve"> but </w:t>
      </w:r>
      <w:r w:rsidR="00CB5680">
        <w:t xml:space="preserve">this consent is not enduring and </w:t>
      </w:r>
      <w:r w:rsidR="00CB5680" w:rsidRPr="0093185C">
        <w:t>is limited to the interaction at the time.</w:t>
      </w:r>
      <w:r w:rsidR="00CB5680">
        <w:t xml:space="preserve"> </w:t>
      </w:r>
    </w:p>
    <w:p w14:paraId="59591C6D" w14:textId="592BBDB8" w:rsidR="00373A92" w:rsidRDefault="00113B6D" w:rsidP="0032318C">
      <w:r>
        <w:t xml:space="preserve">Assessors must ensure that the older person has provided their consent each time someone who is not their registered supporter is communicating the decisions of, or information for, the older person. </w:t>
      </w:r>
      <w:r w:rsidR="00D657E0">
        <w:t xml:space="preserve">Guidance </w:t>
      </w:r>
      <w:r w:rsidR="00B91FFC">
        <w:t>for assessors</w:t>
      </w:r>
      <w:r w:rsidR="00D657E0">
        <w:t xml:space="preserve"> when engaging with someone seeking to</w:t>
      </w:r>
      <w:r w:rsidR="007F7D6A">
        <w:t xml:space="preserve"> make</w:t>
      </w:r>
      <w:r w:rsidR="00D657E0">
        <w:t xml:space="preserve"> a decision on behalf of an older person is provided in </w:t>
      </w:r>
      <w:r w:rsidR="00B91FFC">
        <w:t xml:space="preserve">the </w:t>
      </w:r>
      <w:r w:rsidR="00D657E0">
        <w:t>section</w:t>
      </w:r>
      <w:r w:rsidR="00B91FFC">
        <w:t>s</w:t>
      </w:r>
      <w:r w:rsidR="00D657E0">
        <w:t xml:space="preserve"> on appointed decision makers. </w:t>
      </w:r>
    </w:p>
    <w:p w14:paraId="12F28D1F" w14:textId="458A52BA" w:rsidR="00FA75A4" w:rsidRPr="007E6AA1" w:rsidRDefault="00FA75A4" w:rsidP="00614178">
      <w:pPr>
        <w:spacing w:before="240" w:after="240" w:line="240" w:lineRule="auto"/>
      </w:pPr>
      <w:r w:rsidRPr="007E6AA1">
        <w:t xml:space="preserve">Wherever possible, aged care providers and </w:t>
      </w:r>
      <w:r w:rsidR="006B2C51">
        <w:t>a</w:t>
      </w:r>
      <w:r w:rsidR="006B2C51" w:rsidRPr="007E6AA1">
        <w:t xml:space="preserve">ssessment </w:t>
      </w:r>
      <w:r w:rsidR="006B2C51">
        <w:t>o</w:t>
      </w:r>
      <w:r w:rsidR="006B2C51" w:rsidRPr="007E6AA1">
        <w:t>rganisations</w:t>
      </w:r>
      <w:r w:rsidRPr="007E6AA1">
        <w:t xml:space="preserve"> must continue to ask the older person to make decisions about their aged care services and needs, even where there is a registered supporter. An older person’s ability to make decisions and communicate their will and preferences may change from day to day, or over time, so understanding who their registered supporters are and the role they can perform is essential in respecting the older person’s rights. </w:t>
      </w:r>
    </w:p>
    <w:p w14:paraId="7E1C9781" w14:textId="77777777" w:rsidR="00FA75A4" w:rsidRPr="007E6AA1" w:rsidRDefault="00FA75A4" w:rsidP="00614178">
      <w:pPr>
        <w:spacing w:before="240" w:after="240" w:line="240" w:lineRule="auto"/>
      </w:pPr>
      <w:r w:rsidRPr="007E6AA1">
        <w:t xml:space="preserve">The System Governor plays a role in regulating registered supporters. This includes registration, suspension and cancellation. </w:t>
      </w:r>
    </w:p>
    <w:p w14:paraId="29ED2760" w14:textId="77777777" w:rsidR="00FA75A4" w:rsidRPr="007E6AA1" w:rsidRDefault="00FA75A4" w:rsidP="0003231B">
      <w:pPr>
        <w:pStyle w:val="H4"/>
      </w:pPr>
      <w:r w:rsidRPr="007E6AA1">
        <w:t>Active, appointed decision makers</w:t>
      </w:r>
    </w:p>
    <w:p w14:paraId="0A0C5CEE" w14:textId="67E18314" w:rsidR="00FA75A4" w:rsidRPr="007E6AA1" w:rsidRDefault="00FA75A4" w:rsidP="00614178">
      <w:pPr>
        <w:spacing w:before="240" w:after="240" w:line="240" w:lineRule="auto"/>
      </w:pPr>
      <w:r w:rsidRPr="007E6AA1">
        <w:t xml:space="preserve">Some registered supporters </w:t>
      </w:r>
      <w:r w:rsidR="00EE2F2B">
        <w:t>may</w:t>
      </w:r>
      <w:r w:rsidRPr="007E6AA1">
        <w:t xml:space="preserve"> also have guardianship, enduring power of attorney or similar legal authority</w:t>
      </w:r>
      <w:r w:rsidR="00647AD0">
        <w:t xml:space="preserve"> recognised under the Act</w:t>
      </w:r>
      <w:r w:rsidRPr="007E6AA1">
        <w:t>. These people are appointed decision makers for the older person and can make decisions on behalf of the older person under Commonwealth, state or territory arrangements. They can only make decisions in line with their active, legal authority.  </w:t>
      </w:r>
    </w:p>
    <w:p w14:paraId="56026829" w14:textId="5CA83A8A" w:rsidR="00A0729E" w:rsidRPr="0032318C" w:rsidRDefault="00BE4628" w:rsidP="00A0729E">
      <w:pPr>
        <w:spacing w:after="0" w:line="240" w:lineRule="auto"/>
      </w:pPr>
      <w:r>
        <w:t>D</w:t>
      </w:r>
      <w:r w:rsidR="00A0729E" w:rsidRPr="0032318C">
        <w:t>ecision-making arrangements differ across Commonwealth, state and territory jurisdictions. As such, the authority a person may have to make decisions for an older person may be subject to different requirements and conditio</w:t>
      </w:r>
      <w:r w:rsidR="0032318C">
        <w:t>n</w:t>
      </w:r>
      <w:r w:rsidR="00A0729E" w:rsidRPr="0032318C">
        <w:t xml:space="preserve">s. In some circumstances, a person’s authority to make decisions for an older person is not enlivened until the older person is found to have lost, or be experiencing a loss, in their decision-making ability, for some or all decisions. Before actioning a request or decision made by a person other than an older person, assessors need to consider the person’s decision-making authority for an older person, including when it becomes active, on a case-by-case basis. This may involve sighting medical evidence about the older person. </w:t>
      </w:r>
    </w:p>
    <w:p w14:paraId="4F13A00A" w14:textId="77777777" w:rsidR="00A0729E" w:rsidRPr="0032318C" w:rsidRDefault="00A0729E" w:rsidP="00A0729E">
      <w:pPr>
        <w:spacing w:after="0" w:line="240" w:lineRule="auto"/>
      </w:pPr>
    </w:p>
    <w:p w14:paraId="0F032241" w14:textId="039C4BA4" w:rsidR="00A0729E" w:rsidRPr="00A0729E" w:rsidRDefault="00A0729E" w:rsidP="0032318C">
      <w:pPr>
        <w:spacing w:after="0" w:line="240" w:lineRule="auto"/>
      </w:pPr>
      <w:r w:rsidRPr="0032318C">
        <w:t>If a</w:t>
      </w:r>
      <w:r w:rsidR="00152713">
        <w:t xml:space="preserve"> registered supporter </w:t>
      </w:r>
      <w:r w:rsidR="00AB5FEA">
        <w:t>who is also an appointed decision maker</w:t>
      </w:r>
      <w:r>
        <w:t xml:space="preserve"> </w:t>
      </w:r>
      <w:r w:rsidRPr="0032318C">
        <w:t xml:space="preserve">is supporting the older person to make a decision that falls outside the scope of their Commonwealth, state or territory arrangement, they must </w:t>
      </w:r>
      <w:r w:rsidRPr="0032318C">
        <w:rPr>
          <w:u w:val="single"/>
        </w:rPr>
        <w:t>not</w:t>
      </w:r>
      <w:r w:rsidRPr="0032318C">
        <w:t xml:space="preserve"> make the decision on the older person’s behalf. For example, where an active, appointed decision maker has financial decision-making authority only, they cannot make personal decisions for the older person - they should instead </w:t>
      </w:r>
      <w:r w:rsidR="00D01ACF">
        <w:t>support</w:t>
      </w:r>
      <w:r w:rsidRPr="0032318C">
        <w:t xml:space="preserve"> the older person to make that decision. If the older person wants support, the </w:t>
      </w:r>
      <w:r w:rsidR="00152713">
        <w:t xml:space="preserve">registered </w:t>
      </w:r>
      <w:r>
        <w:t>supporter</w:t>
      </w:r>
      <w:r w:rsidRPr="0032318C">
        <w:t xml:space="preserve"> should adopt principles of supported decision-making in line with the duties of a registered supporter</w:t>
      </w:r>
      <w:r>
        <w:t>.</w:t>
      </w:r>
    </w:p>
    <w:p w14:paraId="1755BBC7" w14:textId="77777777" w:rsidR="00FA75A4" w:rsidRPr="007E6AA1" w:rsidRDefault="00FA75A4" w:rsidP="00614178">
      <w:pPr>
        <w:spacing w:before="240" w:after="240" w:line="240" w:lineRule="auto"/>
      </w:pPr>
      <w:r w:rsidRPr="007E6AA1">
        <w:t xml:space="preserve">Becoming a registered supporter does </w:t>
      </w:r>
      <w:r w:rsidRPr="007E6AA1">
        <w:rPr>
          <w:b/>
        </w:rPr>
        <w:t>not</w:t>
      </w:r>
      <w:r w:rsidRPr="007E6AA1">
        <w:t xml:space="preserve"> provide a person with decision-making authority for the older person. A registered supporter’s role is to support the older person to make and communicate their own decisions.  </w:t>
      </w:r>
    </w:p>
    <w:p w14:paraId="4F11864D" w14:textId="77777777" w:rsidR="00FA75A4" w:rsidRPr="007E6AA1" w:rsidRDefault="00FA75A4" w:rsidP="00614178">
      <w:pPr>
        <w:spacing w:before="240" w:after="240" w:line="240" w:lineRule="auto"/>
      </w:pPr>
      <w:r w:rsidRPr="007E6AA1">
        <w:t xml:space="preserve">There is no requirement to register a supporter, including where that person is also an appointed decision-maker under a Commonwealth, state or territory arrangement. An active, appointed decision-maker can continue to exercise their legal authority, without being registered as a supporter. </w:t>
      </w:r>
    </w:p>
    <w:p w14:paraId="6A6BA7C1" w14:textId="77777777" w:rsidR="00A27729" w:rsidRPr="008C05A2" w:rsidRDefault="00A27729" w:rsidP="00A27729">
      <w:pPr>
        <w:spacing w:before="240" w:after="240" w:line="240" w:lineRule="auto"/>
        <w:rPr>
          <w:i/>
          <w:iCs/>
          <w:lang w:val="en-AU"/>
        </w:rPr>
      </w:pPr>
      <w:r w:rsidRPr="008C05A2">
        <w:rPr>
          <w:i/>
          <w:iCs/>
          <w:lang w:val="en-AU"/>
        </w:rPr>
        <w:t>Where there is no appointed decision maker</w:t>
      </w:r>
    </w:p>
    <w:p w14:paraId="4EFFABB7" w14:textId="5E374E73" w:rsidR="00A27729" w:rsidRPr="008C05A2" w:rsidRDefault="00A27729" w:rsidP="00A27729">
      <w:pPr>
        <w:spacing w:before="240" w:after="240" w:line="240" w:lineRule="auto"/>
      </w:pPr>
      <w:r w:rsidRPr="008C05A2">
        <w:t>My Aged Care understands that there may be times where an older person is no longer able to make decisions and has no one in place with legal authority to make decisions for them.</w:t>
      </w:r>
    </w:p>
    <w:p w14:paraId="53090AB5" w14:textId="21933BC1" w:rsidR="00A27729" w:rsidRPr="008C05A2" w:rsidRDefault="00A27729" w:rsidP="00A27729">
      <w:pPr>
        <w:spacing w:before="240" w:after="240" w:line="240" w:lineRule="auto"/>
      </w:pPr>
      <w:r w:rsidRPr="008C05A2">
        <w:t>While My Aged Care cannot give anyone decision-making powers to act on an older person's behalf, there are steps that those supporting them can take to enable an older person to receive the care and support they need.</w:t>
      </w:r>
    </w:p>
    <w:p w14:paraId="3BD20B20" w14:textId="1FE03FD6" w:rsidR="00A27729" w:rsidRPr="008C05A2" w:rsidRDefault="00A27729" w:rsidP="00A27729">
      <w:pPr>
        <w:spacing w:before="240" w:after="240" w:line="240" w:lineRule="auto"/>
      </w:pPr>
      <w:r w:rsidRPr="44AF1D65">
        <w:rPr>
          <w:lang w:val="en-AU"/>
        </w:rPr>
        <w:t>One option is to submit an application for a guardianship and/or administration order with a state or territory court, board, panel or tribunal. They can conduct a hearing and decide if a person requires a legal decision maker. They can also decide who this person will be and what decisions they may make. Some state and territory processes also include emergency options to appoint a decision maker quickly if necessary.</w:t>
      </w:r>
    </w:p>
    <w:p w14:paraId="1FCCCDCC" w14:textId="50CA84D9" w:rsidR="00A27729" w:rsidRPr="008C05A2" w:rsidRDefault="00A27729" w:rsidP="00614178">
      <w:pPr>
        <w:spacing w:before="240" w:after="240" w:line="240" w:lineRule="auto"/>
        <w:rPr>
          <w:lang w:val="en-AU"/>
        </w:rPr>
      </w:pPr>
      <w:r w:rsidRPr="00A27729">
        <w:rPr>
          <w:lang w:val="en-AU"/>
        </w:rPr>
        <w:t xml:space="preserve">Further information about appointed decision makers can be found on the My Aged Care website at </w:t>
      </w:r>
      <w:hyperlink r:id="rId91" w:history="1">
        <w:r w:rsidRPr="00A27729">
          <w:rPr>
            <w:rStyle w:val="Hyperlink"/>
            <w:lang w:val="en-AU"/>
          </w:rPr>
          <w:t>appointed decision makers</w:t>
        </w:r>
      </w:hyperlink>
      <w:r w:rsidRPr="00A27729">
        <w:rPr>
          <w:lang w:val="en-AU"/>
        </w:rPr>
        <w:t xml:space="preserve">. </w:t>
      </w:r>
    </w:p>
    <w:p w14:paraId="6E5A1CF9" w14:textId="77777777" w:rsidR="00FA75A4" w:rsidRPr="007E6AA1" w:rsidRDefault="00FA75A4" w:rsidP="0003231B">
      <w:pPr>
        <w:pStyle w:val="H4"/>
      </w:pPr>
      <w:r w:rsidRPr="007E6AA1">
        <w:t>Consent and registered supporter types</w:t>
      </w:r>
    </w:p>
    <w:p w14:paraId="121676F8" w14:textId="2E85A0C5" w:rsidR="00FA75A4" w:rsidRPr="007E6AA1" w:rsidRDefault="00FA75A4" w:rsidP="00614178">
      <w:pPr>
        <w:spacing w:before="240" w:after="240" w:line="240" w:lineRule="auto"/>
        <w:rPr>
          <w:lang w:val="en-AU"/>
        </w:rPr>
      </w:pPr>
      <w:r w:rsidRPr="007E6AA1">
        <w:rPr>
          <w:lang w:val="en-AU"/>
        </w:rPr>
        <w:t>In most cases, both the older person and their prospective supporter must consent to the relationship being registered. As part of obtaining consent, the older person will be asked</w:t>
      </w:r>
      <w:r w:rsidR="00D70924">
        <w:rPr>
          <w:lang w:val="en-AU"/>
        </w:rPr>
        <w:t>:</w:t>
      </w:r>
      <w:r w:rsidRPr="007E6AA1">
        <w:rPr>
          <w:lang w:val="en-AU"/>
        </w:rPr>
        <w:t xml:space="preserve"> </w:t>
      </w:r>
      <w:r w:rsidR="00D70924">
        <w:rPr>
          <w:lang w:val="en-AU"/>
        </w:rPr>
        <w:t>(1)</w:t>
      </w:r>
      <w:r w:rsidRPr="007E6AA1">
        <w:rPr>
          <w:lang w:val="en-AU"/>
        </w:rPr>
        <w:t xml:space="preserve"> if they would like to register a supporter</w:t>
      </w:r>
      <w:r w:rsidR="00D70924">
        <w:rPr>
          <w:lang w:val="en-AU"/>
        </w:rPr>
        <w:t>;</w:t>
      </w:r>
      <w:r w:rsidRPr="007E6AA1">
        <w:rPr>
          <w:lang w:val="en-AU"/>
        </w:rPr>
        <w:t xml:space="preserve"> and </w:t>
      </w:r>
      <w:r w:rsidR="00D70924">
        <w:rPr>
          <w:lang w:val="en-AU"/>
        </w:rPr>
        <w:t>(2)</w:t>
      </w:r>
      <w:r w:rsidRPr="007E6AA1">
        <w:rPr>
          <w:lang w:val="en-AU"/>
        </w:rPr>
        <w:t xml:space="preserve"> if they would like that supporter to be automatically given certain information and documents about them. This is information that may or must be provided to the older person under the Act.</w:t>
      </w:r>
      <w:r w:rsidR="00D70924">
        <w:rPr>
          <w:lang w:val="en-AU"/>
        </w:rPr>
        <w:t xml:space="preserve"> An older person should not feel pressured to register a supporter relationship. </w:t>
      </w:r>
    </w:p>
    <w:p w14:paraId="02DEBAF9" w14:textId="77777777" w:rsidR="00FA75A4" w:rsidRPr="007E6AA1" w:rsidRDefault="00FA75A4" w:rsidP="00614178">
      <w:pPr>
        <w:spacing w:before="240" w:after="240" w:line="240" w:lineRule="auto"/>
        <w:rPr>
          <w:lang w:val="en-US"/>
        </w:rPr>
      </w:pPr>
      <w:r w:rsidRPr="007E6AA1">
        <w:rPr>
          <w:lang w:val="en-US"/>
        </w:rPr>
        <w:t>​</w:t>
      </w:r>
      <w:r w:rsidRPr="007E6AA1">
        <w:rPr>
          <w:lang w:val="en-AU"/>
        </w:rPr>
        <w:t xml:space="preserve">Active, appointed decision makers can seek to register as an older person’s supporter without the consent of the older person. </w:t>
      </w:r>
    </w:p>
    <w:p w14:paraId="35B7A2BF" w14:textId="77777777" w:rsidR="00FA75A4" w:rsidRPr="007E6AA1" w:rsidRDefault="00FA75A4" w:rsidP="00614178">
      <w:pPr>
        <w:spacing w:before="240" w:after="240" w:line="240" w:lineRule="auto"/>
      </w:pPr>
      <w:r w:rsidRPr="007E6AA1">
        <w:t>This means there are three types under the umbrella term of ‘registered supporter’:​</w:t>
      </w:r>
    </w:p>
    <w:p w14:paraId="60EB4D62" w14:textId="77777777" w:rsidR="00FA75A4" w:rsidRPr="007E6AA1" w:rsidRDefault="00FA75A4" w:rsidP="008C05A2">
      <w:pPr>
        <w:numPr>
          <w:ilvl w:val="0"/>
          <w:numId w:val="50"/>
        </w:numPr>
        <w:spacing w:after="0" w:line="240" w:lineRule="auto"/>
        <w:ind w:hanging="294"/>
        <w:rPr>
          <w:lang w:val="en-US"/>
        </w:rPr>
      </w:pPr>
      <w:r w:rsidRPr="008C05A2">
        <w:rPr>
          <w:b/>
          <w:lang w:val="en-AU"/>
        </w:rPr>
        <w:t>Supporter</w:t>
      </w:r>
      <w:r w:rsidRPr="007E6AA1">
        <w:rPr>
          <w:lang w:val="en-AU"/>
        </w:rPr>
        <w:t> </w:t>
      </w:r>
      <w:r w:rsidRPr="007E6AA1">
        <w:rPr>
          <w:lang w:val="en-US"/>
        </w:rPr>
        <w:t xml:space="preserve">​– </w:t>
      </w:r>
      <w:r w:rsidRPr="007E6AA1">
        <w:t xml:space="preserve">a person who the older person consented to registering as a supporter </w:t>
      </w:r>
      <w:r w:rsidRPr="0061553C">
        <w:rPr>
          <w:b/>
        </w:rPr>
        <w:t>and</w:t>
      </w:r>
      <w:r w:rsidRPr="007E6AA1">
        <w:t xml:space="preserve"> to be automatically given information and documents that may or must be given to the older person under the Act.</w:t>
      </w:r>
    </w:p>
    <w:p w14:paraId="3E048AD5" w14:textId="730B1F9A" w:rsidR="00FA75A4" w:rsidRPr="007E6AA1" w:rsidRDefault="00FA75A4" w:rsidP="008C05A2">
      <w:pPr>
        <w:numPr>
          <w:ilvl w:val="0"/>
          <w:numId w:val="50"/>
        </w:numPr>
        <w:spacing w:after="0" w:line="240" w:lineRule="auto"/>
        <w:ind w:hanging="294"/>
        <w:rPr>
          <w:lang w:val="en-US"/>
        </w:rPr>
      </w:pPr>
      <w:r w:rsidRPr="008C05A2">
        <w:rPr>
          <w:b/>
          <w:lang w:val="en-AU"/>
        </w:rPr>
        <w:t>Supporter lite</w:t>
      </w:r>
      <w:r w:rsidRPr="007E6AA1">
        <w:rPr>
          <w:lang w:val="en-AU"/>
        </w:rPr>
        <w:t> </w:t>
      </w:r>
      <w:r w:rsidRPr="007E6AA1">
        <w:rPr>
          <w:lang w:val="en-US"/>
        </w:rPr>
        <w:t>​</w:t>
      </w:r>
      <w:r w:rsidR="00D70924" w:rsidRPr="00D70924">
        <w:rPr>
          <w:lang w:val="en-US"/>
        </w:rPr>
        <w:t xml:space="preserve">​– </w:t>
      </w:r>
      <w:r w:rsidRPr="007E6AA1">
        <w:t xml:space="preserve">a person who the older person consented to registering as a supporter but </w:t>
      </w:r>
      <w:r w:rsidRPr="007E6AA1">
        <w:rPr>
          <w:b/>
        </w:rPr>
        <w:t>not</w:t>
      </w:r>
      <w:r w:rsidRPr="007E6AA1">
        <w:t xml:space="preserve"> to be automatically given information and documents that may or must be given to the older person under the Act.</w:t>
      </w:r>
    </w:p>
    <w:p w14:paraId="4F4EEC3D" w14:textId="6ED346CA" w:rsidR="00FA75A4" w:rsidRPr="007E6AA1" w:rsidRDefault="00FA75A4" w:rsidP="008C05A2">
      <w:pPr>
        <w:numPr>
          <w:ilvl w:val="0"/>
          <w:numId w:val="50"/>
        </w:numPr>
        <w:spacing w:after="0" w:line="240" w:lineRule="auto"/>
        <w:ind w:hanging="294"/>
        <w:rPr>
          <w:lang w:val="en-US"/>
        </w:rPr>
      </w:pPr>
      <w:r w:rsidRPr="008C05A2">
        <w:rPr>
          <w:b/>
          <w:lang w:val="en-AU"/>
        </w:rPr>
        <w:t>Supporter guardian</w:t>
      </w:r>
      <w:r w:rsidRPr="007E6AA1">
        <w:rPr>
          <w:lang w:val="en-AU"/>
        </w:rPr>
        <w:t> </w:t>
      </w:r>
      <w:r w:rsidR="00D70924" w:rsidRPr="007E6AA1">
        <w:rPr>
          <w:lang w:val="en-US"/>
        </w:rPr>
        <w:t xml:space="preserve">​– </w:t>
      </w:r>
      <w:r w:rsidRPr="007E6AA1">
        <w:t>a person who is registered by the System Governor as a supporter and who also has active decision-making authority for the older person by virtue of a Commonwealth, state or territory arrangement.</w:t>
      </w:r>
    </w:p>
    <w:p w14:paraId="21C9B85A" w14:textId="47827916" w:rsidR="00FA75A4" w:rsidRDefault="00FA75A4" w:rsidP="00614178">
      <w:pPr>
        <w:spacing w:before="240" w:after="240" w:line="240" w:lineRule="auto"/>
      </w:pPr>
      <w:r w:rsidRPr="007E6AA1">
        <w:t> The following table summarises these types and the consent requirements:</w:t>
      </w:r>
    </w:p>
    <w:p w14:paraId="52B22684" w14:textId="25FC4071" w:rsidR="00FA75A4" w:rsidRDefault="00FA75A4" w:rsidP="00614178">
      <w:pPr>
        <w:pStyle w:val="Caption"/>
        <w:spacing w:before="240" w:after="240"/>
      </w:pPr>
      <w:r>
        <w:t>Table 1</w:t>
      </w:r>
      <w:r w:rsidR="00234B86">
        <w:t>3</w:t>
      </w:r>
      <w:r>
        <w:t xml:space="preserve">. Supporter relationships and consent requirements </w:t>
      </w:r>
    </w:p>
    <w:p w14:paraId="177C7D48" w14:textId="77777777" w:rsidR="00FA75A4" w:rsidRPr="00C44BA4" w:rsidRDefault="00FA75A4" w:rsidP="00614178">
      <w:pPr>
        <w:spacing w:before="240" w:after="240" w:line="240" w:lineRule="auto"/>
      </w:pPr>
      <w:r w:rsidRPr="00A10212">
        <w:rPr>
          <w:noProof/>
        </w:rPr>
        <w:drawing>
          <wp:inline distT="0" distB="0" distL="0" distR="0" wp14:anchorId="11B14FD5" wp14:editId="05EA18AF">
            <wp:extent cx="5443373" cy="4225158"/>
            <wp:effectExtent l="0" t="0" r="5080" b="4445"/>
            <wp:docPr id="652524551" name="Picture 652524551" descr="A table with a list of different op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24551"/>
                    <pic:cNvPicPr/>
                  </pic:nvPicPr>
                  <pic:blipFill>
                    <a:blip r:embed="rId92">
                      <a:extLst>
                        <a:ext uri="{28A0092B-C50C-407E-A947-70E740481C1C}">
                          <a14:useLocalDpi xmlns:a14="http://schemas.microsoft.com/office/drawing/2010/main" val="0"/>
                        </a:ext>
                      </a:extLst>
                    </a:blip>
                    <a:stretch>
                      <a:fillRect/>
                    </a:stretch>
                  </pic:blipFill>
                  <pic:spPr>
                    <a:xfrm>
                      <a:off x="0" y="0"/>
                      <a:ext cx="5458104" cy="4236592"/>
                    </a:xfrm>
                    <a:prstGeom prst="rect">
                      <a:avLst/>
                    </a:prstGeom>
                  </pic:spPr>
                </pic:pic>
              </a:graphicData>
            </a:graphic>
          </wp:inline>
        </w:drawing>
      </w:r>
    </w:p>
    <w:p w14:paraId="1DDEF924" w14:textId="4E0078E2" w:rsidR="00FA75A4" w:rsidRPr="00C44BA4" w:rsidRDefault="00FA75A4" w:rsidP="00614178">
      <w:pPr>
        <w:spacing w:before="240" w:after="240" w:line="240" w:lineRule="auto"/>
      </w:pPr>
      <w:r w:rsidRPr="00C44BA4">
        <w:t>The labels ‘supporter’, ‘supporter lite’ and ‘supporter guardian’ may be referred to in the My Aged Care Assessor Portal and App during the supporter registration process. For example, if an older person indicates they consent to registering a supporter, but not to that supporter automatically being given certain information about them, the My Aged Care Assessor Portal or App will note that a supporter lite relationship is being progressed. These labels will also be visible in the My Aged Care Assessor Portal or App to indicate the type of relationship that was registered.</w:t>
      </w:r>
    </w:p>
    <w:p w14:paraId="0E08A695" w14:textId="52B4FE8D" w:rsidR="00FA75A4" w:rsidRPr="00C44BA4" w:rsidRDefault="00FA75A4" w:rsidP="00614178">
      <w:pPr>
        <w:spacing w:before="240" w:after="240" w:line="240" w:lineRule="auto"/>
      </w:pPr>
      <w:r w:rsidRPr="00C44BA4">
        <w:t xml:space="preserve">An active, appointed decision-maker may choose not to register as a supporter, but to otherwise make themselves known to My Aged Care. Requests to do so should be escalated to the departmental </w:t>
      </w:r>
      <w:r w:rsidR="003160A4">
        <w:t>delegate</w:t>
      </w:r>
      <w:r w:rsidR="003160A4" w:rsidRPr="00C44BA4">
        <w:t xml:space="preserve"> </w:t>
      </w:r>
      <w:r w:rsidRPr="00C44BA4">
        <w:t xml:space="preserve">responsible for supporters, with </w:t>
      </w:r>
      <w:r w:rsidR="003160A4">
        <w:t>proof</w:t>
      </w:r>
      <w:r w:rsidR="003160A4" w:rsidRPr="00C44BA4">
        <w:t xml:space="preserve"> </w:t>
      </w:r>
      <w:r w:rsidRPr="00C44BA4">
        <w:t xml:space="preserve">that </w:t>
      </w:r>
      <w:r w:rsidR="003160A4">
        <w:t>demonstrates</w:t>
      </w:r>
      <w:r w:rsidRPr="00C44BA4">
        <w:t xml:space="preserve"> the appointed decision maker has decision-making authority for the older person under a Commonwealth, state or territory arrangement and that their authority is active.</w:t>
      </w:r>
    </w:p>
    <w:p w14:paraId="10D62AA7" w14:textId="77777777" w:rsidR="00A3097F" w:rsidRDefault="00A3097F" w:rsidP="00A3097F">
      <w:pPr>
        <w:spacing w:after="0" w:line="240" w:lineRule="auto"/>
      </w:pPr>
      <w:r w:rsidRPr="008C05A2">
        <w:rPr>
          <w:b/>
          <w:bCs/>
        </w:rPr>
        <w:t>Duties</w:t>
      </w:r>
    </w:p>
    <w:p w14:paraId="4A1613BB" w14:textId="77777777" w:rsidR="00A3097F" w:rsidRPr="008C05A2" w:rsidRDefault="00A3097F" w:rsidP="00A3097F">
      <w:pPr>
        <w:spacing w:after="0" w:line="240" w:lineRule="auto"/>
        <w:rPr>
          <w:b/>
          <w:bCs/>
        </w:rPr>
      </w:pPr>
    </w:p>
    <w:p w14:paraId="13CCED47" w14:textId="77777777" w:rsidR="00A3097F" w:rsidRDefault="00A3097F" w:rsidP="00A3097F">
      <w:pPr>
        <w:spacing w:after="0" w:line="240" w:lineRule="auto"/>
        <w:rPr>
          <w:b/>
          <w:bCs/>
        </w:rPr>
      </w:pPr>
      <w:r w:rsidRPr="008C05A2">
        <w:t xml:space="preserve">All registered supporters have duties under the new Act that they must comply with. Registered supporters must act honestly, diligently, and in good faith when undertaking these duties. These duties are intended to promote an older person’s safety, rights and will and preferences. </w:t>
      </w:r>
    </w:p>
    <w:p w14:paraId="64EF82E6" w14:textId="77777777" w:rsidR="00A3097F" w:rsidRDefault="00A3097F" w:rsidP="00A3097F">
      <w:pPr>
        <w:spacing w:after="0" w:line="240" w:lineRule="auto"/>
        <w:rPr>
          <w:b/>
          <w:bCs/>
        </w:rPr>
      </w:pPr>
    </w:p>
    <w:p w14:paraId="032F104E" w14:textId="2A785206" w:rsidR="00A3097F" w:rsidRPr="008C05A2" w:rsidRDefault="00A3097F" w:rsidP="00A3097F">
      <w:pPr>
        <w:spacing w:after="0" w:line="240" w:lineRule="auto"/>
      </w:pPr>
      <w:r w:rsidRPr="008C05A2">
        <w:t xml:space="preserve">The duties include that registered supporters must: </w:t>
      </w:r>
    </w:p>
    <w:p w14:paraId="3F912653" w14:textId="77777777" w:rsidR="00A3097F" w:rsidRPr="008C05A2" w:rsidRDefault="00A3097F" w:rsidP="00A3097F">
      <w:pPr>
        <w:numPr>
          <w:ilvl w:val="0"/>
          <w:numId w:val="527"/>
        </w:numPr>
        <w:spacing w:after="0" w:line="240" w:lineRule="auto"/>
      </w:pPr>
      <w:r w:rsidRPr="008C05A2">
        <w:t xml:space="preserve">Act in a way that promotes the will, preferences, and personal, cultural, and social wellbeing of the older person they are supporting. </w:t>
      </w:r>
    </w:p>
    <w:p w14:paraId="3E781B84" w14:textId="77777777" w:rsidR="00A3097F" w:rsidRPr="008C05A2" w:rsidRDefault="00A3097F" w:rsidP="00A3097F">
      <w:pPr>
        <w:numPr>
          <w:ilvl w:val="0"/>
          <w:numId w:val="527"/>
        </w:numPr>
        <w:spacing w:after="0" w:line="240" w:lineRule="auto"/>
      </w:pPr>
      <w:r w:rsidRPr="008C05A2">
        <w:t>Act honestly, diligently and in good faith.</w:t>
      </w:r>
    </w:p>
    <w:p w14:paraId="20C46DDF" w14:textId="77777777" w:rsidR="00A3097F" w:rsidRPr="008C05A2" w:rsidRDefault="00A3097F" w:rsidP="00A3097F">
      <w:pPr>
        <w:numPr>
          <w:ilvl w:val="0"/>
          <w:numId w:val="527"/>
        </w:numPr>
        <w:spacing w:after="0" w:line="240" w:lineRule="auto"/>
      </w:pPr>
      <w:r w:rsidRPr="008C05A2">
        <w:t>Support the older person only to the extent necessary for the older person to do the thing themselves.</w:t>
      </w:r>
    </w:p>
    <w:p w14:paraId="2AB7D277" w14:textId="77777777" w:rsidR="00A3097F" w:rsidRPr="008C05A2" w:rsidRDefault="00A3097F" w:rsidP="00A3097F">
      <w:pPr>
        <w:numPr>
          <w:ilvl w:val="0"/>
          <w:numId w:val="527"/>
        </w:numPr>
        <w:spacing w:after="0" w:line="240" w:lineRule="auto"/>
      </w:pPr>
      <w:r w:rsidRPr="008C05A2">
        <w:t>Apply their best endeavours to maintain the ability of the older person to make their own decisions.</w:t>
      </w:r>
    </w:p>
    <w:p w14:paraId="6911D986" w14:textId="77777777" w:rsidR="00A3097F" w:rsidRPr="008C05A2" w:rsidRDefault="00A3097F" w:rsidP="00A3097F">
      <w:pPr>
        <w:numPr>
          <w:ilvl w:val="0"/>
          <w:numId w:val="527"/>
        </w:numPr>
        <w:spacing w:after="0" w:line="240" w:lineRule="auto"/>
      </w:pPr>
      <w:r w:rsidRPr="008C05A2">
        <w:t xml:space="preserve">Declare, and avoid or manage, conflicts of interest. </w:t>
      </w:r>
    </w:p>
    <w:p w14:paraId="6CD2CFA8" w14:textId="77777777" w:rsidR="00A3097F" w:rsidRPr="008C05A2" w:rsidRDefault="00A3097F" w:rsidP="00A3097F">
      <w:pPr>
        <w:spacing w:after="0" w:line="240" w:lineRule="auto"/>
      </w:pPr>
    </w:p>
    <w:p w14:paraId="6E754209" w14:textId="77777777" w:rsidR="00A3097F" w:rsidRPr="008C05A2" w:rsidRDefault="00A3097F" w:rsidP="00A3097F">
      <w:pPr>
        <w:spacing w:after="0" w:line="240" w:lineRule="auto"/>
      </w:pPr>
      <w:r w:rsidRPr="008C05A2">
        <w:t xml:space="preserve">These duties apply when a person is acting as a registered supporter, including when they are requesting, accessing, receiving or communicating information for the older person to support the older person to make or communicate an aged care decision. </w:t>
      </w:r>
    </w:p>
    <w:p w14:paraId="23734397" w14:textId="77777777" w:rsidR="00A3097F" w:rsidRPr="008C05A2" w:rsidRDefault="00A3097F" w:rsidP="00A3097F">
      <w:pPr>
        <w:spacing w:after="0" w:line="240" w:lineRule="auto"/>
      </w:pPr>
    </w:p>
    <w:p w14:paraId="17F4B620" w14:textId="35D7A7F5" w:rsidR="00A3097F" w:rsidRDefault="00552DFB" w:rsidP="00A3097F">
      <w:pPr>
        <w:spacing w:after="0" w:line="240" w:lineRule="auto"/>
      </w:pPr>
      <w:r>
        <w:rPr>
          <w:b/>
          <w:bCs/>
        </w:rPr>
        <w:t>Registered supporter</w:t>
      </w:r>
      <w:r w:rsidR="006F7861">
        <w:rPr>
          <w:b/>
          <w:bCs/>
        </w:rPr>
        <w:t xml:space="preserve"> </w:t>
      </w:r>
      <w:r w:rsidR="00A3097F" w:rsidRPr="008C05A2">
        <w:rPr>
          <w:b/>
          <w:bCs/>
        </w:rPr>
        <w:t>Conflicts of interest</w:t>
      </w:r>
    </w:p>
    <w:p w14:paraId="7271EEBB" w14:textId="77777777" w:rsidR="00A3097F" w:rsidRPr="008C05A2" w:rsidRDefault="00A3097F" w:rsidP="00A3097F">
      <w:pPr>
        <w:spacing w:after="0" w:line="240" w:lineRule="auto"/>
        <w:rPr>
          <w:b/>
          <w:bCs/>
        </w:rPr>
      </w:pPr>
    </w:p>
    <w:p w14:paraId="21FB9AEE" w14:textId="31394760" w:rsidR="00A3097F" w:rsidRPr="008C05A2" w:rsidRDefault="00A3097F" w:rsidP="00A3097F">
      <w:pPr>
        <w:spacing w:after="0" w:line="240" w:lineRule="auto"/>
      </w:pPr>
      <w:r w:rsidRPr="008C05A2">
        <w:t xml:space="preserve">Registered supporters have a duty to avoid or manage conflicts of interest they have in their role as a registered supporter, and to inform the System Governor of conflicts as they arise. </w:t>
      </w:r>
    </w:p>
    <w:p w14:paraId="4C7363DE" w14:textId="77777777" w:rsidR="00A3097F" w:rsidRPr="008C05A2" w:rsidRDefault="00A3097F" w:rsidP="00A3097F">
      <w:pPr>
        <w:spacing w:after="0" w:line="240" w:lineRule="auto"/>
      </w:pPr>
    </w:p>
    <w:p w14:paraId="01CB1976" w14:textId="77777777" w:rsidR="00A3097F" w:rsidRPr="008C05A2" w:rsidRDefault="00A3097F" w:rsidP="00A3097F">
      <w:pPr>
        <w:spacing w:after="0" w:line="240" w:lineRule="auto"/>
      </w:pPr>
      <w:r w:rsidRPr="008C05A2">
        <w:t>A conflict of interest arises if a registered supporter’s personal or professional interests or obligations interfere with, could compromise, or may influence the supporter’s ability to carry out their role under the new Act. This could include a conflict between the older person’s interests and the registered supporter’s interests. A conflict of interest can be real, potential or perceived. A conflict of interest that cannot be avoided or managed can call into question the registered supporter’s ability to be impartial, selfless and perform their role under the Act.</w:t>
      </w:r>
    </w:p>
    <w:p w14:paraId="679C873A" w14:textId="77777777" w:rsidR="00A3097F" w:rsidRPr="008C05A2" w:rsidRDefault="00A3097F" w:rsidP="00A3097F">
      <w:pPr>
        <w:spacing w:after="0" w:line="240" w:lineRule="auto"/>
      </w:pPr>
    </w:p>
    <w:p w14:paraId="55A5339A" w14:textId="172892B4" w:rsidR="00A3097F" w:rsidRDefault="00A3097F" w:rsidP="00A3097F">
      <w:pPr>
        <w:spacing w:after="0" w:line="240" w:lineRule="auto"/>
      </w:pPr>
      <w:r w:rsidRPr="008C05A2">
        <w:t xml:space="preserve">The </w:t>
      </w:r>
      <w:hyperlink r:id="rId93" w:history="1">
        <w:r w:rsidRPr="008C05A2">
          <w:rPr>
            <w:rStyle w:val="Hyperlink"/>
          </w:rPr>
          <w:t>Conflicts of Interest policy</w:t>
        </w:r>
      </w:hyperlink>
    </w:p>
    <w:p w14:paraId="4CAB62DA" w14:textId="77777777" w:rsidR="00B44569" w:rsidRDefault="00B44569" w:rsidP="00A3097F">
      <w:pPr>
        <w:spacing w:after="0" w:line="240" w:lineRule="auto"/>
      </w:pPr>
    </w:p>
    <w:tbl>
      <w:tblPr>
        <w:tblW w:w="0" w:type="auto"/>
        <w:tblLook w:val="04A0" w:firstRow="1" w:lastRow="0" w:firstColumn="1" w:lastColumn="0" w:noHBand="0" w:noVBand="1"/>
      </w:tblPr>
      <w:tblGrid>
        <w:gridCol w:w="982"/>
        <w:gridCol w:w="7784"/>
      </w:tblGrid>
      <w:tr w:rsidR="00462172" w14:paraId="69B87E2B" w14:textId="77777777" w:rsidTr="00C42194">
        <w:trPr>
          <w:trHeight w:val="1023"/>
        </w:trPr>
        <w:tc>
          <w:tcPr>
            <w:tcW w:w="982" w:type="dxa"/>
          </w:tcPr>
          <w:p w14:paraId="3AFEA404" w14:textId="77777777" w:rsidR="00462172" w:rsidRPr="009940A8" w:rsidRDefault="00462172">
            <w:pPr>
              <w:spacing w:before="240" w:after="240" w:line="240" w:lineRule="auto"/>
            </w:pPr>
            <w:r w:rsidRPr="009940A8">
              <w:rPr>
                <w:noProof/>
              </w:rPr>
              <w:drawing>
                <wp:inline distT="0" distB="0" distL="0" distR="0" wp14:anchorId="65CD2D8E" wp14:editId="0B599D0C">
                  <wp:extent cx="383111" cy="381000"/>
                  <wp:effectExtent l="0" t="0" r="0" b="0"/>
                  <wp:docPr id="1654356788" name="Picture 165435678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784" w:type="dxa"/>
          </w:tcPr>
          <w:p w14:paraId="55E70F3C" w14:textId="7150F284" w:rsidR="00462172" w:rsidRDefault="00D40E66">
            <w:pPr>
              <w:spacing w:before="240" w:after="240" w:line="240" w:lineRule="auto"/>
            </w:pPr>
            <w:hyperlink r:id="rId94" w:history="1">
              <w:r w:rsidRPr="00D40E66">
                <w:rPr>
                  <w:rStyle w:val="Hyperlink"/>
                </w:rPr>
                <w:t>Conflicts of interest policy | Australian Government Department of Health, Disability and Ageing</w:t>
              </w:r>
            </w:hyperlink>
          </w:p>
          <w:p w14:paraId="1C404C36" w14:textId="7D43D30D" w:rsidR="00462172" w:rsidRPr="008D2A52" w:rsidRDefault="00462172">
            <w:pPr>
              <w:spacing w:before="240" w:after="240" w:line="240" w:lineRule="auto"/>
            </w:pPr>
          </w:p>
        </w:tc>
      </w:tr>
    </w:tbl>
    <w:p w14:paraId="3DB97C34" w14:textId="77777777" w:rsidR="00A3097F" w:rsidRPr="00A3097F" w:rsidRDefault="00A3097F" w:rsidP="00A3097F">
      <w:pPr>
        <w:spacing w:after="0" w:line="240" w:lineRule="auto"/>
      </w:pPr>
    </w:p>
    <w:p w14:paraId="0FDEA7E4" w14:textId="77777777" w:rsidR="00A3097F" w:rsidRDefault="00A3097F" w:rsidP="00A3097F">
      <w:pPr>
        <w:spacing w:after="0" w:line="240" w:lineRule="auto"/>
      </w:pPr>
      <w:r w:rsidRPr="00FF6A17">
        <w:rPr>
          <w:b/>
          <w:bCs/>
        </w:rPr>
        <w:t>Acting in line with the older person’s known will and preferences</w:t>
      </w:r>
    </w:p>
    <w:p w14:paraId="62378F99" w14:textId="77777777" w:rsidR="00A3097F" w:rsidRPr="00FF6A17" w:rsidRDefault="00A3097F" w:rsidP="00A3097F">
      <w:pPr>
        <w:spacing w:after="0" w:line="240" w:lineRule="auto"/>
        <w:rPr>
          <w:b/>
        </w:rPr>
      </w:pPr>
    </w:p>
    <w:p w14:paraId="088CCF68" w14:textId="77777777" w:rsidR="00A3097F" w:rsidRPr="00FF6A17" w:rsidRDefault="00A3097F" w:rsidP="00A3097F">
      <w:pPr>
        <w:spacing w:after="0" w:line="240" w:lineRule="auto"/>
      </w:pPr>
      <w:r w:rsidRPr="00FF6A17">
        <w:t xml:space="preserve">A registered supporter must act in line with an older person’s known will and preferences. This includes when a registered supporter is: </w:t>
      </w:r>
    </w:p>
    <w:p w14:paraId="1CFD6EB3" w14:textId="77777777" w:rsidR="00A3097F" w:rsidRPr="00FF6A17" w:rsidRDefault="00A3097F" w:rsidP="00A3097F">
      <w:pPr>
        <w:numPr>
          <w:ilvl w:val="0"/>
          <w:numId w:val="528"/>
        </w:numPr>
        <w:spacing w:after="0" w:line="240" w:lineRule="auto"/>
      </w:pPr>
      <w:r w:rsidRPr="00FF6A17">
        <w:t xml:space="preserve">requesting, accessing, or receiving information or documents, and </w:t>
      </w:r>
    </w:p>
    <w:p w14:paraId="418C790E" w14:textId="77777777" w:rsidR="00A3097F" w:rsidRPr="00FF6A17" w:rsidRDefault="00A3097F" w:rsidP="00A3097F">
      <w:pPr>
        <w:numPr>
          <w:ilvl w:val="0"/>
          <w:numId w:val="528"/>
        </w:numPr>
        <w:spacing w:after="0" w:line="240" w:lineRule="auto"/>
      </w:pPr>
      <w:r w:rsidRPr="00FF6A17">
        <w:t xml:space="preserve">communicating information, including the will, preferences and decisions of the older person. </w:t>
      </w:r>
    </w:p>
    <w:p w14:paraId="450CF87C" w14:textId="77777777" w:rsidR="00A3097F" w:rsidRPr="00FF6A17" w:rsidRDefault="00A3097F" w:rsidP="00A3097F">
      <w:pPr>
        <w:spacing w:after="0" w:line="240" w:lineRule="auto"/>
      </w:pPr>
    </w:p>
    <w:p w14:paraId="1DA58431" w14:textId="77777777" w:rsidR="00A3097F" w:rsidRPr="00FF6A17" w:rsidRDefault="00A3097F" w:rsidP="00A3097F">
      <w:pPr>
        <w:spacing w:after="0" w:line="240" w:lineRule="auto"/>
      </w:pPr>
      <w:r w:rsidRPr="00FF6A17">
        <w:t xml:space="preserve">The role of a registered supporter is </w:t>
      </w:r>
      <w:r w:rsidRPr="00FF6A17">
        <w:rPr>
          <w:u w:val="single"/>
        </w:rPr>
        <w:t>not</w:t>
      </w:r>
      <w:r w:rsidRPr="00FF6A17">
        <w:t xml:space="preserve"> to make decisions on behalf of an older person, even if that decision is based on the older person’s known or likely will and preferences. </w:t>
      </w:r>
    </w:p>
    <w:p w14:paraId="71CD08CA" w14:textId="77777777" w:rsidR="00A3097F" w:rsidRPr="00FF6A17" w:rsidRDefault="00A3097F" w:rsidP="00A3097F">
      <w:pPr>
        <w:spacing w:after="0" w:line="240" w:lineRule="auto"/>
      </w:pPr>
    </w:p>
    <w:p w14:paraId="61D7280A" w14:textId="77777777" w:rsidR="00A3097F" w:rsidRPr="00FF6A17" w:rsidRDefault="00A3097F" w:rsidP="00A3097F">
      <w:pPr>
        <w:spacing w:after="0" w:line="240" w:lineRule="auto"/>
      </w:pPr>
      <w:r w:rsidRPr="00FF6A17">
        <w:t>An older person’s known will and preferences are what the older person currently wants, now or in the future. The only way to know an older person’s will and preferences is to communicate with them. This means that a registered supporter needs to communicate with the older person about how they want to be supported with their decision-making and what their current will and preferences are.</w:t>
      </w:r>
    </w:p>
    <w:p w14:paraId="1627EED0" w14:textId="77777777" w:rsidR="00A3097F" w:rsidRPr="00FF6A17" w:rsidRDefault="00A3097F" w:rsidP="00A3097F">
      <w:pPr>
        <w:spacing w:after="0" w:line="240" w:lineRule="auto"/>
      </w:pPr>
    </w:p>
    <w:p w14:paraId="3632E7D7" w14:textId="15771A98" w:rsidR="00A3097F" w:rsidRPr="00C44BA4" w:rsidRDefault="00A3097F" w:rsidP="00FF6A17">
      <w:pPr>
        <w:spacing w:after="0" w:line="240" w:lineRule="auto"/>
      </w:pPr>
      <w:r w:rsidRPr="00FF6A17">
        <w:t>If a registered supporter seeks to make a decision on behalf of an older person, they can only do so as an active, appointed decision maker (if that decision is within the scope of their active, legal authority), not as a registered supporter. Active, appointed decision makers must act in accordance with the conditions and requirements under their relevant Commonwealth, state or territory arrangement. These arrangements will have specific requirements relating to how and when decision-making authority can be exercised.</w:t>
      </w:r>
    </w:p>
    <w:p w14:paraId="6DDDAED8" w14:textId="77777777" w:rsidR="00FA75A4" w:rsidRPr="00C44BA4" w:rsidRDefault="00FA75A4" w:rsidP="0003231B">
      <w:pPr>
        <w:pStyle w:val="H4"/>
      </w:pPr>
      <w:r w:rsidRPr="00C44BA4">
        <w:t xml:space="preserve">Suspension and cancellation of a registered supporter </w:t>
      </w:r>
    </w:p>
    <w:p w14:paraId="6C89932C" w14:textId="77777777" w:rsidR="00FA75A4" w:rsidRPr="00C44BA4" w:rsidRDefault="00FA75A4" w:rsidP="00614178">
      <w:pPr>
        <w:spacing w:before="240" w:after="240" w:line="240" w:lineRule="auto"/>
      </w:pPr>
      <w:r w:rsidRPr="00C44BA4">
        <w:t xml:space="preserve">Suspension and cancellation are new relationship statuses for registered supporters. While suspended, a supporter’s registration has no effect. This means that an assessor cannot engage with that person as a registered supporter. Cancellation can follow suspension or can occur without a prior suspension, depending on the circumstances. If cancelled, a supporter’s registration has no effect, and an assessor cannot engage with that person as a registered supporter. </w:t>
      </w:r>
    </w:p>
    <w:p w14:paraId="74DFDED1" w14:textId="183EBD1D" w:rsidR="00FA75A4" w:rsidRPr="00C44BA4" w:rsidRDefault="00FA75A4" w:rsidP="00614178">
      <w:pPr>
        <w:spacing w:before="240" w:after="240" w:line="240" w:lineRule="auto"/>
      </w:pPr>
      <w:r w:rsidRPr="00C44BA4">
        <w:t xml:space="preserve">The processes of suspension and cancellation are detailed in the </w:t>
      </w:r>
      <w:r w:rsidR="007836DF">
        <w:t>Act</w:t>
      </w:r>
      <w:r w:rsidRPr="00C44BA4">
        <w:t xml:space="preserve"> and intend to </w:t>
      </w:r>
      <w:r>
        <w:t>promote</w:t>
      </w:r>
      <w:r w:rsidRPr="00C44BA4">
        <w:t xml:space="preserve"> the safety and wishes of an older person. More information on these processes can be found on the </w:t>
      </w:r>
      <w:hyperlink r:id="rId95" w:history="1">
        <w:r w:rsidRPr="00504BDE">
          <w:rPr>
            <w:rStyle w:val="Hyperlink"/>
          </w:rPr>
          <w:t>department’s website</w:t>
        </w:r>
      </w:hyperlink>
      <w:r w:rsidRPr="00C44BA4">
        <w:t xml:space="preserve">. </w:t>
      </w:r>
    </w:p>
    <w:p w14:paraId="2B2BF25E" w14:textId="5F10F375" w:rsidR="00137B48" w:rsidRPr="00463691" w:rsidRDefault="00137B48" w:rsidP="00463691">
      <w:pPr>
        <w:spacing w:before="240" w:after="240" w:line="240" w:lineRule="auto"/>
        <w:rPr>
          <w:lang w:val="en-US"/>
        </w:rPr>
      </w:pPr>
      <w:r>
        <w:rPr>
          <w:lang w:val="en-US"/>
        </w:rPr>
        <w:t>While assessors cannot suspend the registration of a supporter, a</w:t>
      </w:r>
      <w:r w:rsidR="00FA75A4" w:rsidRPr="00C44BA4">
        <w:rPr>
          <w:lang w:val="en-US"/>
        </w:rPr>
        <w:t xml:space="preserve">ssessors </w:t>
      </w:r>
      <w:r>
        <w:rPr>
          <w:lang w:val="en-US"/>
        </w:rPr>
        <w:t>do</w:t>
      </w:r>
      <w:r w:rsidR="00FA75A4" w:rsidRPr="00C44BA4">
        <w:rPr>
          <w:lang w:val="en-US"/>
        </w:rPr>
        <w:t xml:space="preserve"> have a role in raising or handling complaints</w:t>
      </w:r>
      <w:r w:rsidR="00463691">
        <w:rPr>
          <w:lang w:val="en-US"/>
        </w:rPr>
        <w:t xml:space="preserve">. </w:t>
      </w:r>
      <w:r w:rsidRPr="00814BCD">
        <w:t xml:space="preserve">If </w:t>
      </w:r>
      <w:r w:rsidR="00463691">
        <w:t>an assessor</w:t>
      </w:r>
      <w:r w:rsidRPr="00814BCD">
        <w:t xml:space="preserve"> believe</w:t>
      </w:r>
      <w:r w:rsidR="00463691">
        <w:t>s</w:t>
      </w:r>
      <w:r w:rsidRPr="00814BCD">
        <w:t xml:space="preserve"> that a registered supporter is not acting in compliance with their duties under the Act, or is otherwise concerned about the basis for which a person was registered by the System Governor, they are encouraged to raise this with the System Governor team responsible for registered supporters. This can be done using the </w:t>
      </w:r>
      <w:hyperlink r:id="rId96" w:anchor="make-a-complaint-or-submit-a-document" w:history="1">
        <w:r w:rsidRPr="00814BCD">
          <w:rPr>
            <w:rStyle w:val="Hyperlink"/>
          </w:rPr>
          <w:t>online form</w:t>
        </w:r>
      </w:hyperlink>
      <w:r w:rsidRPr="00814BCD">
        <w:t xml:space="preserve"> for making a submission to the System Governor responsible for supporters.</w:t>
      </w:r>
    </w:p>
    <w:p w14:paraId="0FFCA9B5" w14:textId="77777777" w:rsidR="00FA75A4" w:rsidRPr="00C44BA4" w:rsidRDefault="00FA75A4" w:rsidP="0003231B">
      <w:pPr>
        <w:pStyle w:val="H4"/>
      </w:pPr>
      <w:r w:rsidRPr="00C44BA4">
        <w:t>No requirement to register a supporter</w:t>
      </w:r>
    </w:p>
    <w:p w14:paraId="6B073F92" w14:textId="77777777" w:rsidR="00FA75A4" w:rsidRPr="00C44BA4" w:rsidRDefault="00FA75A4" w:rsidP="00614178">
      <w:pPr>
        <w:spacing w:before="240" w:after="240" w:line="240" w:lineRule="auto"/>
      </w:pPr>
      <w:r w:rsidRPr="00C44BA4">
        <w:t>Not every older person will want or need a registered supporter. Carers and other significant people in an older person’s life continue to play an important role in supporting an older person, without needing to be registered supporters.</w:t>
      </w:r>
    </w:p>
    <w:p w14:paraId="101EB46F" w14:textId="77777777" w:rsidR="00FA75A4" w:rsidRPr="00C44BA4" w:rsidRDefault="00FA75A4" w:rsidP="0003231B">
      <w:pPr>
        <w:pStyle w:val="H4"/>
      </w:pPr>
      <w:r w:rsidRPr="00C44BA4">
        <w:t>Transitioning to the registered supporter role</w:t>
      </w:r>
    </w:p>
    <w:p w14:paraId="04FCCB7D" w14:textId="6DFD7618" w:rsidR="00FA75A4" w:rsidRPr="00C44BA4" w:rsidRDefault="00FA75A4" w:rsidP="00614178">
      <w:pPr>
        <w:spacing w:before="240" w:after="240" w:line="240" w:lineRule="auto"/>
      </w:pPr>
      <w:r w:rsidRPr="00C44BA4">
        <w:t xml:space="preserve">Most representative relationships in My Aged Care </w:t>
      </w:r>
      <w:r w:rsidR="00BA619A">
        <w:t>went</w:t>
      </w:r>
      <w:r w:rsidRPr="00C44BA4">
        <w:t xml:space="preserve"> through changes to come under the Act. If an older person </w:t>
      </w:r>
      <w:r w:rsidR="00BA619A">
        <w:t>had</w:t>
      </w:r>
      <w:r w:rsidR="00BA619A" w:rsidRPr="00C44BA4">
        <w:t xml:space="preserve"> </w:t>
      </w:r>
      <w:r w:rsidRPr="00C44BA4">
        <w:t>a regular or authorised representative active in My Aged Care on 31 October 2025, they bec</w:t>
      </w:r>
      <w:r w:rsidR="00BA619A">
        <w:t>a</w:t>
      </w:r>
      <w:r w:rsidRPr="00C44BA4">
        <w:t>me a registered supporter under the Act</w:t>
      </w:r>
      <w:r w:rsidRPr="00C44BA4">
        <w:rPr>
          <w:i/>
        </w:rPr>
        <w:t xml:space="preserve"> </w:t>
      </w:r>
      <w:r w:rsidRPr="00C44BA4">
        <w:t>on 1 November 2025. This ensure</w:t>
      </w:r>
      <w:r w:rsidR="00BA619A">
        <w:t>d</w:t>
      </w:r>
      <w:r w:rsidRPr="00C44BA4">
        <w:t xml:space="preserve"> that older people seeking or receiving aged care services continue</w:t>
      </w:r>
      <w:r w:rsidR="001D768C">
        <w:t>d</w:t>
      </w:r>
      <w:r w:rsidRPr="00C44BA4">
        <w:t xml:space="preserve"> to have decision-making support available to them.  </w:t>
      </w:r>
    </w:p>
    <w:p w14:paraId="7117209F" w14:textId="0E8714B9" w:rsidR="00FA75A4" w:rsidRPr="00C44BA4" w:rsidRDefault="00C07061" w:rsidP="00614178">
      <w:pPr>
        <w:spacing w:before="240" w:after="240" w:line="240" w:lineRule="auto"/>
      </w:pPr>
      <w:r>
        <w:t>Since</w:t>
      </w:r>
      <w:r w:rsidR="00FA75A4" w:rsidRPr="00C44BA4">
        <w:t xml:space="preserve"> 1 November 2025, representative relationships that </w:t>
      </w:r>
      <w:r w:rsidR="003740E0">
        <w:t>were</w:t>
      </w:r>
      <w:r w:rsidR="003740E0" w:rsidRPr="00C44BA4">
        <w:t xml:space="preserve"> </w:t>
      </w:r>
      <w:r w:rsidR="00FA75A4" w:rsidRPr="00C44BA4">
        <w:t xml:space="preserve">active in My Aged Care and </w:t>
      </w:r>
      <w:r w:rsidR="003740E0">
        <w:t>had</w:t>
      </w:r>
      <w:r w:rsidR="003740E0" w:rsidRPr="00C44BA4">
        <w:t xml:space="preserve"> </w:t>
      </w:r>
      <w:r w:rsidR="00FA75A4" w:rsidRPr="00C44BA4">
        <w:t>not opted out transition</w:t>
      </w:r>
      <w:r w:rsidR="003740E0">
        <w:t>ed</w:t>
      </w:r>
      <w:r w:rsidR="00FA75A4" w:rsidRPr="00C44BA4">
        <w:t xml:space="preserve"> to supporter relationships. If older people and their supporters did not want to transition to a supporter relationship</w:t>
      </w:r>
      <w:r w:rsidR="00FA75A4" w:rsidRPr="00C44BA4" w:rsidDel="00E912FC">
        <w:t xml:space="preserve"> and</w:t>
      </w:r>
      <w:r w:rsidR="00FA75A4" w:rsidRPr="00C44BA4">
        <w:t xml:space="preserve"> did not opt out by 31 October, they can still request to end their supporter relationship at any time in their My Aged Care Online Account or by calling My Aged Care.</w:t>
      </w:r>
    </w:p>
    <w:p w14:paraId="1F4B6608" w14:textId="7B65ED9E" w:rsidR="00FA75A4" w:rsidRPr="00C44BA4" w:rsidRDefault="00FA75A4" w:rsidP="00614178">
      <w:pPr>
        <w:spacing w:before="240" w:after="240" w:line="240" w:lineRule="auto"/>
      </w:pPr>
      <w:r w:rsidRPr="00C44BA4">
        <w:t xml:space="preserve">Representative arrangements made under the Quality of Care Principles 2014 no longer exist </w:t>
      </w:r>
      <w:r w:rsidR="003740E0">
        <w:t>under</w:t>
      </w:r>
      <w:r w:rsidR="003740E0" w:rsidRPr="00C44BA4">
        <w:t xml:space="preserve"> </w:t>
      </w:r>
      <w:r w:rsidRPr="00C44BA4">
        <w:t xml:space="preserve">the Act. Further, these arrangements </w:t>
      </w:r>
      <w:r w:rsidR="003740E0">
        <w:t>did</w:t>
      </w:r>
      <w:r w:rsidR="003740E0" w:rsidRPr="00C44BA4">
        <w:t xml:space="preserve"> </w:t>
      </w:r>
      <w:r w:rsidRPr="00C44BA4">
        <w:t>not automatically transition to the Act</w:t>
      </w:r>
      <w:r w:rsidRPr="00C44BA4">
        <w:rPr>
          <w:i/>
        </w:rPr>
        <w:t xml:space="preserve">. </w:t>
      </w:r>
      <w:r w:rsidRPr="00C44BA4">
        <w:t>These</w:t>
      </w:r>
      <w:r w:rsidRPr="00C44BA4">
        <w:rPr>
          <w:i/>
        </w:rPr>
        <w:t xml:space="preserve"> </w:t>
      </w:r>
      <w:r w:rsidRPr="00C44BA4">
        <w:t xml:space="preserve">representatives </w:t>
      </w:r>
      <w:r w:rsidR="003740E0">
        <w:t>were</w:t>
      </w:r>
      <w:r w:rsidR="003740E0" w:rsidRPr="00C44BA4">
        <w:t xml:space="preserve"> </w:t>
      </w:r>
      <w:r w:rsidRPr="00C44BA4">
        <w:t xml:space="preserve">encouraged to become registered supporters under the Act. </w:t>
      </w:r>
    </w:p>
    <w:tbl>
      <w:tblPr>
        <w:tblStyle w:val="TableGrid"/>
        <w:tblW w:w="0" w:type="auto"/>
        <w:tblLook w:val="04A0" w:firstRow="1" w:lastRow="0" w:firstColumn="1" w:lastColumn="0" w:noHBand="0" w:noVBand="1"/>
      </w:tblPr>
      <w:tblGrid>
        <w:gridCol w:w="960"/>
        <w:gridCol w:w="7806"/>
      </w:tblGrid>
      <w:tr w:rsidR="00FA75A4" w:rsidRPr="008D753D" w14:paraId="0E33E3AB" w14:textId="77777777" w:rsidTr="004107E5">
        <w:trPr>
          <w:trHeight w:val="6376"/>
        </w:trPr>
        <w:tc>
          <w:tcPr>
            <w:tcW w:w="960" w:type="dxa"/>
          </w:tcPr>
          <w:p w14:paraId="25008F40" w14:textId="77777777" w:rsidR="00FA75A4" w:rsidRPr="00C44BA4" w:rsidRDefault="00FA75A4" w:rsidP="00856600">
            <w:pPr>
              <w:spacing w:before="240" w:after="240"/>
            </w:pPr>
            <w:r w:rsidRPr="00C44BA4">
              <w:rPr>
                <w:noProof/>
              </w:rPr>
              <w:drawing>
                <wp:inline distT="0" distB="0" distL="0" distR="0" wp14:anchorId="5891A283" wp14:editId="661465B0">
                  <wp:extent cx="383111" cy="381000"/>
                  <wp:effectExtent l="0" t="0" r="0" b="0"/>
                  <wp:docPr id="1608955766" name="Picture 160895576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95576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806" w:type="dxa"/>
          </w:tcPr>
          <w:p w14:paraId="520BF979" w14:textId="2DC7790E" w:rsidR="005E28D2" w:rsidRDefault="00DD32B2" w:rsidP="00DF3F6B">
            <w:pPr>
              <w:pStyle w:val="ListParagraph"/>
              <w:numPr>
                <w:ilvl w:val="0"/>
                <w:numId w:val="432"/>
              </w:numPr>
              <w:spacing w:before="240" w:after="240"/>
            </w:pPr>
            <w:r>
              <w:t>Key information and pathways to request to register a supporter</w:t>
            </w:r>
            <w:r w:rsidR="005E28D2">
              <w:t>:</w:t>
            </w:r>
            <w:r>
              <w:t xml:space="preserve"> </w:t>
            </w:r>
            <w:hyperlink r:id="rId97" w:history="1">
              <w:r w:rsidRPr="00DD32B2">
                <w:rPr>
                  <w:rStyle w:val="Hyperlink"/>
                </w:rPr>
                <w:t>www.myagedcare.gov.au/registering-supporter</w:t>
              </w:r>
            </w:hyperlink>
            <w:r w:rsidR="005E28D2">
              <w:t xml:space="preserve"> </w:t>
            </w:r>
          </w:p>
          <w:p w14:paraId="7C39038A" w14:textId="5D10B619" w:rsidR="005E28D2" w:rsidRPr="00DD32B2" w:rsidRDefault="00DD32B2" w:rsidP="00DF3F6B">
            <w:pPr>
              <w:pStyle w:val="ListParagraph"/>
              <w:numPr>
                <w:ilvl w:val="0"/>
                <w:numId w:val="432"/>
              </w:numPr>
              <w:spacing w:before="240" w:after="240"/>
            </w:pPr>
            <w:r w:rsidRPr="0060382E">
              <w:t xml:space="preserve">Information on appointed decision makers: </w:t>
            </w:r>
            <w:hyperlink r:id="rId98" w:history="1">
              <w:r w:rsidRPr="00DD32B2">
                <w:rPr>
                  <w:rStyle w:val="Hyperlink"/>
                </w:rPr>
                <w:t>www.myagedcare.gov.au/registering-supporter/appointed-decision-makers</w:t>
              </w:r>
            </w:hyperlink>
          </w:p>
          <w:p w14:paraId="0E90E198" w14:textId="5E69FC2C" w:rsidR="00B8607F" w:rsidRPr="0060382E" w:rsidRDefault="00DD32B2" w:rsidP="00856600">
            <w:pPr>
              <w:pStyle w:val="ListParagraph"/>
              <w:numPr>
                <w:ilvl w:val="0"/>
                <w:numId w:val="40"/>
              </w:numPr>
              <w:spacing w:before="240" w:after="240"/>
              <w:rPr>
                <w:color w:val="2BB1BB"/>
                <w:szCs w:val="22"/>
                <w:u w:val="single"/>
              </w:rPr>
            </w:pPr>
            <w:r>
              <w:t xml:space="preserve">Registered supporter </w:t>
            </w:r>
            <w:r w:rsidR="00AE0953">
              <w:t xml:space="preserve">policy </w:t>
            </w:r>
            <w:r>
              <w:t>library:</w:t>
            </w:r>
            <w:r w:rsidR="00AE0953">
              <w:t xml:space="preserve"> </w:t>
            </w:r>
            <w:hyperlink r:id="rId99" w:history="1">
              <w:r w:rsidR="00C562B2" w:rsidRPr="00C562B2">
                <w:rPr>
                  <w:rStyle w:val="Hyperlink"/>
                </w:rPr>
                <w:t>https://www.health.gov.au/resources/collections/registered-supporter-resources</w:t>
              </w:r>
            </w:hyperlink>
            <w:r w:rsidR="00B8607F">
              <w:t xml:space="preserve"> </w:t>
            </w:r>
          </w:p>
          <w:p w14:paraId="21844585" w14:textId="2DD46A2C" w:rsidR="00FA75A4" w:rsidRPr="006753F3" w:rsidRDefault="00B8607F" w:rsidP="006753F3">
            <w:pPr>
              <w:pStyle w:val="ListParagraph"/>
              <w:numPr>
                <w:ilvl w:val="0"/>
                <w:numId w:val="40"/>
              </w:numPr>
              <w:spacing w:before="240" w:after="240"/>
              <w:rPr>
                <w:color w:val="2BB1BB"/>
                <w:szCs w:val="22"/>
                <w:u w:val="single"/>
              </w:rPr>
            </w:pPr>
            <w:r>
              <w:t>Guide to using the Assessor Portal</w:t>
            </w:r>
            <w:r w:rsidR="006753F3">
              <w:t xml:space="preserve">: </w:t>
            </w:r>
            <w:hyperlink r:id="rId100">
              <w:r w:rsidR="00FA75A4" w:rsidRPr="006753F3">
                <w:rPr>
                  <w:rStyle w:val="Hyperlink"/>
                  <w:szCs w:val="22"/>
                </w:rPr>
                <w:t>My Aged Care – Assessor Portal User Guide 2 – Registering support people and adding relationships</w:t>
              </w:r>
            </w:hyperlink>
          </w:p>
          <w:p w14:paraId="301961F4" w14:textId="7DC3A382" w:rsidR="00E673BE" w:rsidRPr="0060382E" w:rsidRDefault="00B8607F" w:rsidP="00FF6A17">
            <w:pPr>
              <w:pStyle w:val="ListParagraph"/>
              <w:numPr>
                <w:ilvl w:val="0"/>
                <w:numId w:val="40"/>
              </w:numPr>
              <w:spacing w:before="240" w:after="240"/>
              <w:rPr>
                <w:rStyle w:val="Hyperlink"/>
              </w:rPr>
            </w:pPr>
            <w:r>
              <w:t>Information about transitional arrangements in place for My Aged Care representatives before 1 November 2025:</w:t>
            </w:r>
            <w:r w:rsidR="00E976A8">
              <w:t xml:space="preserve"> </w:t>
            </w:r>
            <w:hyperlink r:id="rId101">
              <w:r w:rsidR="189E7868" w:rsidRPr="00B1AE3A">
                <w:rPr>
                  <w:rStyle w:val="Hyperlink"/>
                </w:rPr>
                <w:t>Transition arrangements for the new registered supporter role | Australian Government Department of Health, Disability and Ageing</w:t>
              </w:r>
            </w:hyperlink>
          </w:p>
          <w:p w14:paraId="1A0FD513" w14:textId="38CB5D04" w:rsidR="2D36E8CC" w:rsidRDefault="2D36E8CC" w:rsidP="00B1AE3A">
            <w:pPr>
              <w:pStyle w:val="ListParagraph"/>
              <w:numPr>
                <w:ilvl w:val="0"/>
                <w:numId w:val="40"/>
              </w:numPr>
              <w:spacing w:before="240" w:after="240"/>
            </w:pPr>
            <w:hyperlink r:id="rId102" w:history="1">
              <w:r w:rsidRPr="00B1AE3A">
                <w:rPr>
                  <w:rStyle w:val="Hyperlink"/>
                </w:rPr>
                <w:t>My Aged Care – Registration of a Supporter form</w:t>
              </w:r>
            </w:hyperlink>
          </w:p>
          <w:p w14:paraId="600C4F6B" w14:textId="615AB7A4" w:rsidR="2D36E8CC" w:rsidRDefault="2D36E8CC" w:rsidP="00B1AE3A">
            <w:pPr>
              <w:pStyle w:val="ListParagraph"/>
              <w:numPr>
                <w:ilvl w:val="0"/>
                <w:numId w:val="40"/>
              </w:numPr>
              <w:spacing w:before="240" w:after="240"/>
            </w:pPr>
            <w:hyperlink r:id="rId103" w:history="1">
              <w:r w:rsidRPr="00B1AE3A">
                <w:rPr>
                  <w:rStyle w:val="Hyperlink"/>
                </w:rPr>
                <w:t>My Aged Care – translated resources</w:t>
              </w:r>
            </w:hyperlink>
          </w:p>
          <w:p w14:paraId="2DF43F79" w14:textId="1F2D2EC2" w:rsidR="00FA75A4" w:rsidRPr="008D753D" w:rsidRDefault="00FA75A4" w:rsidP="00C24ACE">
            <w:pPr>
              <w:pStyle w:val="ListParagraph"/>
              <w:spacing w:before="240" w:after="240"/>
              <w:rPr>
                <w:rStyle w:val="Hyperlink"/>
              </w:rPr>
            </w:pPr>
          </w:p>
        </w:tc>
      </w:tr>
    </w:tbl>
    <w:p w14:paraId="77B1E15F" w14:textId="77777777" w:rsidR="00FA75A4" w:rsidRPr="008D753D" w:rsidRDefault="00FA75A4" w:rsidP="00C56CEC">
      <w:pPr>
        <w:pStyle w:val="H3"/>
      </w:pPr>
      <w:bookmarkStart w:id="217" w:name="_Toc198813662"/>
      <w:r w:rsidRPr="008D753D">
        <w:t xml:space="preserve">Agent organisations </w:t>
      </w:r>
    </w:p>
    <w:p w14:paraId="7E1FF9EF" w14:textId="1220DBB8" w:rsidR="00FA75A4" w:rsidRPr="008D753D" w:rsidRDefault="00CD6241" w:rsidP="00856600">
      <w:pPr>
        <w:spacing w:before="240" w:after="240" w:line="240" w:lineRule="auto"/>
        <w:rPr>
          <w:lang w:val="en-AU"/>
        </w:rPr>
      </w:pPr>
      <w:r>
        <w:rPr>
          <w:lang w:val="en-AU"/>
        </w:rPr>
        <w:t>A</w:t>
      </w:r>
      <w:r w:rsidR="00FA75A4" w:rsidRPr="008D753D">
        <w:rPr>
          <w:lang w:val="en-AU"/>
        </w:rPr>
        <w:t xml:space="preserve">n older person will no longer be able to create their own agent organisation relationships on the My Aged Care website or in their online account. These relationships will need to be created by the agent organisations’ staff or My Aged Care staff, including assessors, through the Service and Support Portal. </w:t>
      </w:r>
    </w:p>
    <w:tbl>
      <w:tblPr>
        <w:tblStyle w:val="TableGrid"/>
        <w:tblW w:w="0" w:type="auto"/>
        <w:tblLook w:val="04A0" w:firstRow="1" w:lastRow="0" w:firstColumn="1" w:lastColumn="0" w:noHBand="0" w:noVBand="1"/>
      </w:tblPr>
      <w:tblGrid>
        <w:gridCol w:w="850"/>
        <w:gridCol w:w="7916"/>
      </w:tblGrid>
      <w:tr w:rsidR="00FA75A4" w:rsidRPr="008D753D" w14:paraId="39095E81" w14:textId="77777777">
        <w:trPr>
          <w:trHeight w:val="844"/>
        </w:trPr>
        <w:tc>
          <w:tcPr>
            <w:tcW w:w="851" w:type="dxa"/>
            <w:vAlign w:val="center"/>
          </w:tcPr>
          <w:p w14:paraId="2BC452EA" w14:textId="77777777" w:rsidR="00FA75A4" w:rsidRPr="008D753D" w:rsidRDefault="00FA75A4" w:rsidP="00856600">
            <w:pPr>
              <w:spacing w:before="240" w:after="240"/>
              <w:rPr>
                <w:lang w:val="en-US"/>
              </w:rPr>
            </w:pPr>
            <w:r w:rsidRPr="008D753D">
              <w:rPr>
                <w:noProof/>
              </w:rPr>
              <w:drawing>
                <wp:inline distT="0" distB="0" distL="0" distR="0" wp14:anchorId="378DF292" wp14:editId="5B9F9883">
                  <wp:extent cx="367345" cy="365321"/>
                  <wp:effectExtent l="0" t="0" r="0" b="0"/>
                  <wp:docPr id="1512144568" name="Picture 151214456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4420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25ADB60C" w14:textId="48F9E357" w:rsidR="00FA75A4" w:rsidRPr="008D753D" w:rsidRDefault="00AE379B" w:rsidP="00856600">
            <w:pPr>
              <w:spacing w:before="240" w:after="240"/>
            </w:pPr>
            <w:hyperlink r:id="rId104" w:anchor="changes-to-agent-roles" w:history="1">
              <w:r>
                <w:rPr>
                  <w:rStyle w:val="Hyperlink"/>
                </w:rPr>
                <w:t>Getting support to navigate aged care | My Aged Care</w:t>
              </w:r>
            </w:hyperlink>
          </w:p>
          <w:p w14:paraId="142DB870" w14:textId="77777777" w:rsidR="00FA75A4" w:rsidRPr="008D753D" w:rsidRDefault="00FA75A4" w:rsidP="00856600">
            <w:pPr>
              <w:spacing w:before="240" w:after="240"/>
              <w:rPr>
                <w:lang w:val="en-US"/>
              </w:rPr>
            </w:pPr>
            <w:hyperlink r:id="rId105" w:history="1">
              <w:r w:rsidRPr="008D753D">
                <w:rPr>
                  <w:rStyle w:val="Hyperlink"/>
                </w:rPr>
                <w:t>My Aged Care Service and Support Portal | Australian Government Department of Health, Disability and Ageing</w:t>
              </w:r>
            </w:hyperlink>
          </w:p>
        </w:tc>
      </w:tr>
    </w:tbl>
    <w:p w14:paraId="1904D44A" w14:textId="53E9DBB2" w:rsidR="00F856F7" w:rsidRDefault="00236CD9" w:rsidP="00507F9D">
      <w:pPr>
        <w:pStyle w:val="h2"/>
      </w:pPr>
      <w:bookmarkStart w:id="218" w:name="_Ref212733742"/>
      <w:bookmarkStart w:id="219" w:name="_Toc224916630"/>
      <w:bookmarkStart w:id="220" w:name="_Hlk75373820"/>
      <w:bookmarkEnd w:id="217"/>
      <w:r w:rsidRPr="005E4E0E">
        <w:rPr>
          <w:noProof/>
        </w:rPr>
        <w:drawing>
          <wp:anchor distT="0" distB="0" distL="114300" distR="114300" simplePos="0" relativeHeight="251658292" behindDoc="0" locked="0" layoutInCell="1" allowOverlap="1" wp14:anchorId="5BE826B7" wp14:editId="03416E64">
            <wp:simplePos x="0" y="0"/>
            <wp:positionH relativeFrom="margin">
              <wp:posOffset>-22076</wp:posOffset>
            </wp:positionH>
            <wp:positionV relativeFrom="paragraph">
              <wp:posOffset>110666</wp:posOffset>
            </wp:positionV>
            <wp:extent cx="457200" cy="502920"/>
            <wp:effectExtent l="0" t="0" r="0" b="0"/>
            <wp:wrapSquare wrapText="bothSides"/>
            <wp:docPr id="884907187" name="Picture 88490718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FA75A4" w:rsidRPr="00C131C4">
        <w:t>Exceptional Circumstances – approving a service without an assessment</w:t>
      </w:r>
      <w:bookmarkEnd w:id="218"/>
      <w:bookmarkEnd w:id="219"/>
      <w:r w:rsidR="7A757B01" w:rsidRPr="00C131C4">
        <w:t xml:space="preserve"> </w:t>
      </w:r>
    </w:p>
    <w:p w14:paraId="1F31C615" w14:textId="5C7A1E50" w:rsidR="00FA75A4" w:rsidRPr="009C4600" w:rsidRDefault="00FA75A4" w:rsidP="009730FD">
      <w:pPr>
        <w:tabs>
          <w:tab w:val="left" w:pos="709"/>
        </w:tabs>
        <w:spacing w:before="240" w:after="240" w:line="240" w:lineRule="auto"/>
      </w:pPr>
      <w:r w:rsidRPr="00F856F7">
        <w:t xml:space="preserve">In some circumstances, </w:t>
      </w:r>
      <w:r w:rsidR="00370C55">
        <w:t>under section 6</w:t>
      </w:r>
      <w:r w:rsidR="00262C8F">
        <w:t>5(4)</w:t>
      </w:r>
      <w:r w:rsidR="00370C55">
        <w:t xml:space="preserve"> of the </w:t>
      </w:r>
      <w:r w:rsidR="00370C55" w:rsidRPr="00FF6A17">
        <w:rPr>
          <w:i/>
          <w:iCs/>
        </w:rPr>
        <w:t>Aged Care Act 2024</w:t>
      </w:r>
      <w:r w:rsidR="00370C55">
        <w:t xml:space="preserve"> </w:t>
      </w:r>
      <w:r w:rsidRPr="00F856F7">
        <w:t xml:space="preserve">a client may be </w:t>
      </w:r>
      <w:r w:rsidR="00262C8F">
        <w:t xml:space="preserve">approved to access aged care services without </w:t>
      </w:r>
      <w:r w:rsidR="009616F1">
        <w:t xml:space="preserve">undergoing an aged care needs </w:t>
      </w:r>
      <w:r w:rsidRPr="00F856F7">
        <w:t xml:space="preserve">assessment </w:t>
      </w:r>
      <w:r w:rsidRPr="009730FD">
        <w:rPr>
          <w:lang w:val="en-US"/>
        </w:rPr>
        <w:t>owing</w:t>
      </w:r>
      <w:r w:rsidRPr="00F856F7">
        <w:t xml:space="preserve"> to exceptional circumstances. This </w:t>
      </w:r>
      <w:r w:rsidR="009616F1">
        <w:t xml:space="preserve">will typically </w:t>
      </w:r>
      <w:r w:rsidRPr="00F856F7">
        <w:t xml:space="preserve">occur </w:t>
      </w:r>
      <w:r w:rsidR="00974172">
        <w:t xml:space="preserve">where </w:t>
      </w:r>
      <w:r w:rsidR="002C7112">
        <w:t xml:space="preserve">a person </w:t>
      </w:r>
      <w:r w:rsidR="00BF4AFB">
        <w:t xml:space="preserve">is </w:t>
      </w:r>
      <w:r w:rsidRPr="00F856F7">
        <w:t>access</w:t>
      </w:r>
      <w:r w:rsidR="00B079F6">
        <w:t>ing</w:t>
      </w:r>
      <w:r w:rsidRPr="00F856F7">
        <w:t xml:space="preserve"> funded aged care services through the alternative entry pathway but pass away prior to receiving an assessment. </w:t>
      </w:r>
    </w:p>
    <w:p w14:paraId="72BD28C8" w14:textId="77777777" w:rsidR="00D2778E" w:rsidRDefault="00D2778E" w:rsidP="00D2778E">
      <w:pPr>
        <w:autoSpaceDE w:val="0"/>
        <w:autoSpaceDN w:val="0"/>
        <w:adjustRightInd w:val="0"/>
        <w:spacing w:before="240" w:after="240" w:line="240" w:lineRule="auto"/>
        <w:rPr>
          <w:lang w:val="en-AU"/>
        </w:rPr>
      </w:pPr>
      <w:r>
        <w:rPr>
          <w:lang w:val="en-AU"/>
        </w:rPr>
        <w:t xml:space="preserve">Where the client passes away, the assessor should select the ‘Notify My Aged Care of a Death’ functionality on the assessor portal to complete the assessment. </w:t>
      </w:r>
    </w:p>
    <w:p w14:paraId="680CA8DC" w14:textId="222F13D0" w:rsidR="00D2778E" w:rsidRPr="00FF6A17" w:rsidRDefault="00D2778E" w:rsidP="00856600">
      <w:pPr>
        <w:tabs>
          <w:tab w:val="left" w:pos="709"/>
        </w:tabs>
        <w:spacing w:before="240" w:after="240" w:line="240" w:lineRule="auto"/>
        <w:rPr>
          <w:b/>
          <w:bCs/>
          <w:lang w:val="en-US"/>
        </w:rPr>
      </w:pPr>
      <w:r>
        <w:rPr>
          <w:b/>
          <w:bCs/>
          <w:lang w:val="en-US"/>
        </w:rPr>
        <w:t xml:space="preserve">Client </w:t>
      </w:r>
      <w:r w:rsidR="00940F9C">
        <w:rPr>
          <w:b/>
          <w:bCs/>
          <w:lang w:val="en-US"/>
        </w:rPr>
        <w:t xml:space="preserve">is receiving services but is </w:t>
      </w:r>
      <w:r>
        <w:rPr>
          <w:b/>
          <w:bCs/>
          <w:lang w:val="en-US"/>
        </w:rPr>
        <w:t>refus</w:t>
      </w:r>
      <w:r w:rsidR="00940F9C">
        <w:rPr>
          <w:b/>
          <w:bCs/>
          <w:lang w:val="en-US"/>
        </w:rPr>
        <w:t>ing an assessment</w:t>
      </w:r>
      <w:r>
        <w:rPr>
          <w:b/>
          <w:bCs/>
          <w:lang w:val="en-US"/>
        </w:rPr>
        <w:t xml:space="preserve"> </w:t>
      </w:r>
    </w:p>
    <w:p w14:paraId="56444543" w14:textId="07C28734" w:rsidR="00C032AF" w:rsidRDefault="00C032AF" w:rsidP="00856600">
      <w:pPr>
        <w:autoSpaceDE w:val="0"/>
        <w:autoSpaceDN w:val="0"/>
        <w:adjustRightInd w:val="0"/>
        <w:spacing w:before="240" w:after="240" w:line="240" w:lineRule="auto"/>
      </w:pPr>
      <w:r>
        <w:t xml:space="preserve">If the </w:t>
      </w:r>
      <w:r w:rsidR="00183790">
        <w:t xml:space="preserve">Triage delegate or assessor consider there are </w:t>
      </w:r>
      <w:r w:rsidR="005E6698">
        <w:t xml:space="preserve">valid reasons for the person refusing to have an assessment, assessment organisations are to contact the department in the first instance at </w:t>
      </w:r>
      <w:hyperlink r:id="rId106" w:history="1">
        <w:r w:rsidR="005E6698" w:rsidRPr="004261CB">
          <w:rPr>
            <w:rStyle w:val="Hyperlink"/>
          </w:rPr>
          <w:t>MyAgedCareAssessment@health.gov.au</w:t>
        </w:r>
      </w:hyperlink>
      <w:r w:rsidR="005E6698">
        <w:t xml:space="preserve"> for assistance. In some cases, the department may exercise </w:t>
      </w:r>
      <w:r w:rsidR="009F7493">
        <w:t xml:space="preserve">delegation to approve </w:t>
      </w:r>
      <w:r w:rsidR="0074595C">
        <w:t xml:space="preserve">services under the </w:t>
      </w:r>
      <w:r w:rsidR="00EE1FF1">
        <w:t>exceptional circumstances provision.</w:t>
      </w:r>
    </w:p>
    <w:p w14:paraId="7B0D1567" w14:textId="77777777" w:rsidR="00FA75A4" w:rsidRPr="00C905AC" w:rsidRDefault="00FA75A4" w:rsidP="00FA75A4">
      <w:pPr>
        <w:pStyle w:val="H4"/>
      </w:pPr>
      <w:r w:rsidRPr="00C905AC">
        <w:t>If assessment is cancelled or exceptional circumstances do not apply</w:t>
      </w:r>
    </w:p>
    <w:p w14:paraId="3FFB0A54" w14:textId="41E6CB92" w:rsidR="00FA75A4" w:rsidRDefault="00FA75A4" w:rsidP="00856600">
      <w:pPr>
        <w:tabs>
          <w:tab w:val="left" w:pos="709"/>
        </w:tabs>
        <w:spacing w:before="240" w:after="240" w:line="240" w:lineRule="auto"/>
        <w:rPr>
          <w:lang w:val="en-AU"/>
        </w:rPr>
      </w:pPr>
      <w:r w:rsidRPr="00C905AC">
        <w:rPr>
          <w:lang w:val="en-AU"/>
        </w:rPr>
        <w:t>If an assessment is cancelled and the assessor considers exceptional circumstances do not apply, or if the triage delegate makes an ineligibility decision for the client, the services should cease. There is a process which the department can recover funding from the provider.</w:t>
      </w:r>
      <w:bookmarkEnd w:id="220"/>
    </w:p>
    <w:p w14:paraId="3FC31DC5" w14:textId="55A74142" w:rsidR="00FA75A4" w:rsidRDefault="007B155A" w:rsidP="00507F9D">
      <w:pPr>
        <w:pStyle w:val="h2"/>
      </w:pPr>
      <w:bookmarkStart w:id="221" w:name="_Toc224916631"/>
      <w:bookmarkStart w:id="222" w:name="_Toc209188967"/>
      <w:bookmarkStart w:id="223" w:name="_Ref212733513"/>
      <w:bookmarkStart w:id="224" w:name="_Ref212733555"/>
      <w:r>
        <w:t xml:space="preserve">Emergency Residential Care - </w:t>
      </w:r>
      <w:r w:rsidR="00FA75A4" w:rsidRPr="008C6FFA">
        <w:t>Application for Care</w:t>
      </w:r>
      <w:bookmarkEnd w:id="221"/>
      <w:r w:rsidR="00FA75A4" w:rsidRPr="008C6FFA">
        <w:t xml:space="preserve"> </w:t>
      </w:r>
      <w:bookmarkEnd w:id="222"/>
      <w:bookmarkEnd w:id="223"/>
      <w:bookmarkEnd w:id="224"/>
    </w:p>
    <w:p w14:paraId="3B59DF91" w14:textId="6F958E08" w:rsidR="00FA75A4" w:rsidRDefault="00E74DBD" w:rsidP="00856600">
      <w:pPr>
        <w:spacing w:before="240" w:after="240" w:line="240" w:lineRule="auto"/>
      </w:pPr>
      <w:r>
        <w:t>O</w:t>
      </w:r>
      <w:r w:rsidR="00FA75A4">
        <w:t xml:space="preserve">lder people seeking access to funded aged care services will not be required to complete an </w:t>
      </w:r>
      <w:r w:rsidR="00CA0593">
        <w:t>‘</w:t>
      </w:r>
      <w:r w:rsidR="00FA75A4">
        <w:t>Application for Care Form</w:t>
      </w:r>
      <w:r w:rsidR="00CA0593">
        <w:t>’,</w:t>
      </w:r>
      <w:r w:rsidR="00FA75A4">
        <w:t xml:space="preserve"> </w:t>
      </w:r>
      <w:r w:rsidR="00CA0593">
        <w:t xml:space="preserve">which </w:t>
      </w:r>
      <w:r w:rsidR="00FA75A4">
        <w:t xml:space="preserve">is a change from the process </w:t>
      </w:r>
      <w:r w:rsidR="00D61DB9">
        <w:t xml:space="preserve">that </w:t>
      </w:r>
      <w:r w:rsidR="00FA75A4">
        <w:t>occurred before 1 November 2025. The act of applying for access to services will occur through one of the existing registration pathways (e.g. the Contact Centre</w:t>
      </w:r>
      <w:r w:rsidR="00F50E2D">
        <w:t xml:space="preserve">, </w:t>
      </w:r>
      <w:r w:rsidR="0802F37E">
        <w:t>s</w:t>
      </w:r>
      <w:r w:rsidR="00F50E2D">
        <w:t xml:space="preserve">upport </w:t>
      </w:r>
      <w:r w:rsidR="5760B16F">
        <w:t>p</w:t>
      </w:r>
      <w:r w:rsidR="00F50E2D">
        <w:t xml:space="preserve">lan </w:t>
      </w:r>
      <w:r w:rsidR="5760B16F">
        <w:t>r</w:t>
      </w:r>
      <w:r w:rsidR="00F50E2D">
        <w:t>eview request for existing clients, etc.</w:t>
      </w:r>
      <w:r w:rsidR="00FA75A4">
        <w:t xml:space="preserve">). </w:t>
      </w:r>
    </w:p>
    <w:p w14:paraId="3395644E" w14:textId="779CBB87" w:rsidR="00312C62" w:rsidRDefault="00FA75A4" w:rsidP="00856600">
      <w:pPr>
        <w:spacing w:before="240" w:after="240" w:line="240" w:lineRule="auto"/>
      </w:pPr>
      <w:r w:rsidRPr="12EEB964">
        <w:t>However, older people seeking access to emergency</w:t>
      </w:r>
      <w:r w:rsidR="005914A8" w:rsidRPr="12EEB964">
        <w:t xml:space="preserve"> residential</w:t>
      </w:r>
      <w:r w:rsidRPr="12EEB964">
        <w:t xml:space="preserve"> care</w:t>
      </w:r>
      <w:r w:rsidR="005914A8" w:rsidRPr="12EEB964">
        <w:t xml:space="preserve"> (ongoing or short term – i.e. respite)</w:t>
      </w:r>
      <w:r w:rsidRPr="12EEB964">
        <w:t xml:space="preserve"> may use the </w:t>
      </w:r>
      <w:r w:rsidR="00B5712B" w:rsidRPr="12EEB964">
        <w:t xml:space="preserve">‘Emergency Residential Care - </w:t>
      </w:r>
      <w:r w:rsidRPr="12EEB964">
        <w:t>Application for Care Form</w:t>
      </w:r>
      <w:r w:rsidR="00B5712B" w:rsidRPr="12EEB964">
        <w:t>’,</w:t>
      </w:r>
      <w:r w:rsidRPr="12EEB964">
        <w:t xml:space="preserve"> instead of one of the registration pathways</w:t>
      </w:r>
      <w:r w:rsidR="00B5712B" w:rsidRPr="12EEB964">
        <w:t>.</w:t>
      </w:r>
      <w:r w:rsidR="0035443B" w:rsidRPr="12EEB964">
        <w:t xml:space="preserve"> </w:t>
      </w:r>
    </w:p>
    <w:p w14:paraId="250B0DB6" w14:textId="3B650263" w:rsidR="00FA75A4" w:rsidRPr="007940EB" w:rsidRDefault="00FA75A4" w:rsidP="00856600">
      <w:pPr>
        <w:spacing w:before="240" w:after="240" w:line="240" w:lineRule="auto"/>
        <w:rPr>
          <w:b/>
          <w:bCs/>
          <w:lang w:val="en-AU"/>
        </w:rPr>
      </w:pPr>
      <w:r w:rsidRPr="007940EB">
        <w:rPr>
          <w:b/>
          <w:bCs/>
          <w:lang w:val="en-AU"/>
        </w:rPr>
        <w:t xml:space="preserve">Residential care </w:t>
      </w:r>
      <w:r w:rsidR="008A74CE">
        <w:rPr>
          <w:b/>
          <w:bCs/>
          <w:lang w:val="en-AU"/>
        </w:rPr>
        <w:t>(ongoing or short-term)</w:t>
      </w:r>
    </w:p>
    <w:p w14:paraId="3419B511" w14:textId="5A7C7CF7" w:rsidR="00FA75A4" w:rsidRPr="00225750" w:rsidRDefault="00FA75A4" w:rsidP="00856600">
      <w:pPr>
        <w:spacing w:before="240" w:after="240" w:line="240" w:lineRule="auto"/>
        <w:rPr>
          <w:lang w:val="en-AU"/>
        </w:rPr>
      </w:pPr>
      <w:r w:rsidRPr="00225750">
        <w:rPr>
          <w:lang w:val="en-AU"/>
        </w:rPr>
        <w:t xml:space="preserve">To be considered for a Commonwealth subsidy in </w:t>
      </w:r>
      <w:r w:rsidRPr="00BE39C5">
        <w:rPr>
          <w:lang w:val="en-AU"/>
        </w:rPr>
        <w:t>urgent circumstances</w:t>
      </w:r>
      <w:r w:rsidRPr="00225750">
        <w:rPr>
          <w:b/>
          <w:bCs/>
          <w:lang w:val="en-AU"/>
        </w:rPr>
        <w:t xml:space="preserve"> </w:t>
      </w:r>
      <w:r w:rsidRPr="00225750">
        <w:rPr>
          <w:lang w:val="en-AU"/>
        </w:rPr>
        <w:t xml:space="preserve">for residential care or residential respite, the registered provider </w:t>
      </w:r>
      <w:r>
        <w:rPr>
          <w:lang w:val="en-AU"/>
        </w:rPr>
        <w:t>can</w:t>
      </w:r>
      <w:r w:rsidRPr="00225750">
        <w:rPr>
          <w:lang w:val="en-AU"/>
        </w:rPr>
        <w:t xml:space="preserve"> complete and submit a valid </w:t>
      </w:r>
      <w:hyperlink r:id="rId107" w:history="1">
        <w:r w:rsidR="0035443B">
          <w:rPr>
            <w:rStyle w:val="Hyperlink"/>
            <w:lang w:val="en-AU"/>
          </w:rPr>
          <w:t xml:space="preserve">Emergency Residential Care - </w:t>
        </w:r>
        <w:r w:rsidRPr="009E6154">
          <w:rPr>
            <w:rStyle w:val="Hyperlink"/>
            <w:lang w:val="en-AU"/>
          </w:rPr>
          <w:t>Application for Care</w:t>
        </w:r>
      </w:hyperlink>
      <w:r w:rsidRPr="00225750">
        <w:rPr>
          <w:lang w:val="en-AU"/>
        </w:rPr>
        <w:t xml:space="preserve"> </w:t>
      </w:r>
      <w:r w:rsidR="008A74CE">
        <w:rPr>
          <w:lang w:val="en-AU"/>
        </w:rPr>
        <w:t>F</w:t>
      </w:r>
      <w:r w:rsidRPr="00225750">
        <w:rPr>
          <w:lang w:val="en-AU"/>
        </w:rPr>
        <w:t>orm.</w:t>
      </w:r>
      <w:r w:rsidR="0035443B">
        <w:rPr>
          <w:lang w:val="en-AU"/>
        </w:rPr>
        <w:t xml:space="preserve"> This is one of </w:t>
      </w:r>
      <w:r w:rsidR="00FF60AD">
        <w:rPr>
          <w:lang w:val="en-AU"/>
        </w:rPr>
        <w:t>the ‘approved forms’ under section 71 of the Act to access funded aged care services before an aged care needs assessment.</w:t>
      </w:r>
    </w:p>
    <w:p w14:paraId="59441E9F" w14:textId="00D08C0C" w:rsidR="00FA75A4" w:rsidRPr="00CE39FF" w:rsidRDefault="00FA75A4" w:rsidP="00856600">
      <w:pPr>
        <w:spacing w:before="240" w:after="240" w:line="240" w:lineRule="auto"/>
        <w:rPr>
          <w:rFonts w:eastAsia="Aptos"/>
          <w:b/>
          <w:color w:val="000000"/>
        </w:rPr>
      </w:pPr>
      <w:r w:rsidRPr="00CE39FF">
        <w:rPr>
          <w:lang w:val="en-AU"/>
        </w:rPr>
        <w:t>I</w:t>
      </w:r>
      <w:r>
        <w:rPr>
          <w:lang w:val="en-AU"/>
        </w:rPr>
        <w:t xml:space="preserve">n </w:t>
      </w:r>
      <w:r w:rsidR="00FF60AD">
        <w:rPr>
          <w:lang w:val="en-AU"/>
        </w:rPr>
        <w:t>completing</w:t>
      </w:r>
      <w:r w:rsidR="00FF60AD" w:rsidRPr="00CE39FF">
        <w:rPr>
          <w:rFonts w:eastAsia="Aptos"/>
          <w:color w:val="000000" w:themeColor="text1"/>
        </w:rPr>
        <w:t xml:space="preserve"> </w:t>
      </w:r>
      <w:r w:rsidRPr="00CE39FF">
        <w:rPr>
          <w:rFonts w:eastAsia="Aptos"/>
          <w:color w:val="000000" w:themeColor="text1"/>
        </w:rPr>
        <w:t>the form</w:t>
      </w:r>
      <w:r w:rsidRPr="00CE39FF">
        <w:rPr>
          <w:rFonts w:eastAsia="Aptos"/>
          <w:b/>
          <w:color w:val="000000"/>
        </w:rPr>
        <w:t>:</w:t>
      </w:r>
    </w:p>
    <w:p w14:paraId="2557A49D" w14:textId="24371FFF" w:rsidR="00FA75A4" w:rsidRPr="00CE39FF" w:rsidRDefault="00FA75A4" w:rsidP="00DF3F6B">
      <w:pPr>
        <w:pStyle w:val="ListParagraph"/>
        <w:numPr>
          <w:ilvl w:val="0"/>
          <w:numId w:val="53"/>
        </w:numPr>
        <w:spacing w:before="240" w:after="240" w:line="240" w:lineRule="auto"/>
        <w:ind w:left="714" w:hanging="357"/>
        <w:rPr>
          <w:rFonts w:eastAsia="Aptos"/>
          <w:color w:val="000000" w:themeColor="text1"/>
        </w:rPr>
      </w:pPr>
      <w:r>
        <w:rPr>
          <w:rFonts w:eastAsia="Aptos"/>
          <w:color w:val="000000"/>
        </w:rPr>
        <w:t xml:space="preserve">The form must </w:t>
      </w:r>
      <w:r w:rsidRPr="00CE39FF">
        <w:rPr>
          <w:rFonts w:eastAsia="Aptos"/>
          <w:color w:val="000000"/>
        </w:rPr>
        <w:t xml:space="preserve">have </w:t>
      </w:r>
      <w:r w:rsidRPr="00CE39FF">
        <w:rPr>
          <w:rFonts w:eastAsia="Aptos"/>
          <w:color w:val="000000" w:themeColor="text1"/>
        </w:rPr>
        <w:t>both</w:t>
      </w:r>
      <w:r w:rsidRPr="00CE39FF">
        <w:rPr>
          <w:rFonts w:eastAsia="Aptos"/>
          <w:color w:val="000000"/>
        </w:rPr>
        <w:t xml:space="preserve"> the </w:t>
      </w:r>
      <w:r w:rsidRPr="00BE39C5">
        <w:rPr>
          <w:rFonts w:eastAsia="Aptos"/>
          <w:color w:val="000000"/>
        </w:rPr>
        <w:t xml:space="preserve">Application for approval section </w:t>
      </w:r>
      <w:r w:rsidRPr="00CE39FF">
        <w:rPr>
          <w:rFonts w:eastAsia="Aptos"/>
          <w:color w:val="000000"/>
        </w:rPr>
        <w:t xml:space="preserve">and the </w:t>
      </w:r>
      <w:r w:rsidRPr="00BE39C5">
        <w:rPr>
          <w:rFonts w:eastAsia="Aptos"/>
          <w:color w:val="000000"/>
        </w:rPr>
        <w:t xml:space="preserve">Emergency case section </w:t>
      </w:r>
      <w:r w:rsidRPr="00CE39FF">
        <w:rPr>
          <w:rFonts w:eastAsia="Aptos"/>
          <w:color w:val="000000"/>
        </w:rPr>
        <w:t>of the form completed;</w:t>
      </w:r>
      <w:r>
        <w:rPr>
          <w:rFonts w:eastAsia="Aptos"/>
          <w:color w:val="000000"/>
        </w:rPr>
        <w:t xml:space="preserve"> a</w:t>
      </w:r>
      <w:r w:rsidRPr="00CE39FF">
        <w:rPr>
          <w:rFonts w:eastAsia="Aptos"/>
          <w:color w:val="000000" w:themeColor="text1"/>
        </w:rPr>
        <w:t>nd</w:t>
      </w:r>
    </w:p>
    <w:p w14:paraId="2E52CF43" w14:textId="0B537EB0" w:rsidR="00FA75A4" w:rsidRPr="00CE39FF" w:rsidRDefault="00FA75A4" w:rsidP="00DF3F6B">
      <w:pPr>
        <w:pStyle w:val="ListParagraph"/>
        <w:numPr>
          <w:ilvl w:val="0"/>
          <w:numId w:val="53"/>
        </w:numPr>
        <w:spacing w:before="240" w:after="240" w:line="240" w:lineRule="auto"/>
      </w:pPr>
      <w:r w:rsidRPr="00CE39FF">
        <w:rPr>
          <w:rFonts w:eastAsia="Aptos"/>
          <w:color w:val="000000" w:themeColor="text1"/>
        </w:rPr>
        <w:t xml:space="preserve">The provider may submit the form, including supporting information for referral to their local assessment organisation, </w:t>
      </w:r>
      <w:r w:rsidRPr="00BE39C5">
        <w:rPr>
          <w:rFonts w:eastAsia="Aptos"/>
          <w:color w:val="000000" w:themeColor="text1"/>
        </w:rPr>
        <w:t xml:space="preserve">within </w:t>
      </w:r>
      <w:r w:rsidR="00BE39C5">
        <w:rPr>
          <w:rFonts w:eastAsia="Aptos"/>
          <w:bCs/>
          <w:color w:val="000000" w:themeColor="text1"/>
        </w:rPr>
        <w:t>5</w:t>
      </w:r>
      <w:r w:rsidRPr="00BE39C5">
        <w:rPr>
          <w:rFonts w:eastAsia="Aptos"/>
          <w:color w:val="000000" w:themeColor="text1"/>
        </w:rPr>
        <w:t xml:space="preserve"> calendar days</w:t>
      </w:r>
      <w:r w:rsidRPr="00CE39FF">
        <w:rPr>
          <w:rFonts w:eastAsia="Aptos"/>
          <w:color w:val="000000" w:themeColor="text1"/>
        </w:rPr>
        <w:t xml:space="preserve"> after the </w:t>
      </w:r>
      <w:r>
        <w:rPr>
          <w:rFonts w:eastAsia="Aptos"/>
          <w:color w:val="000000" w:themeColor="text1"/>
        </w:rPr>
        <w:t>d</w:t>
      </w:r>
      <w:r w:rsidRPr="00CE39FF">
        <w:rPr>
          <w:rFonts w:eastAsia="Aptos"/>
          <w:color w:val="000000" w:themeColor="text1"/>
        </w:rPr>
        <w:t>ay care commenced unless an extension has been granted by the System Governor (on application).</w:t>
      </w:r>
    </w:p>
    <w:p w14:paraId="39E607F8" w14:textId="77777777" w:rsidR="00FA75A4" w:rsidRDefault="00FA75A4" w:rsidP="00856600">
      <w:pPr>
        <w:spacing w:before="240" w:after="240" w:line="240" w:lineRule="auto"/>
        <w:rPr>
          <w:lang w:val="en-AU"/>
        </w:rPr>
      </w:pPr>
      <w:r w:rsidRPr="00B06D02">
        <w:rPr>
          <w:lang w:val="en-AU"/>
        </w:rPr>
        <w:t>If an older person and/or their active</w:t>
      </w:r>
      <w:r>
        <w:rPr>
          <w:lang w:val="en-AU"/>
        </w:rPr>
        <w:t xml:space="preserve"> </w:t>
      </w:r>
      <w:r w:rsidRPr="00B06D02">
        <w:rPr>
          <w:lang w:val="en-AU"/>
        </w:rPr>
        <w:t>appointed decision maker authorised under s 28(2) of the Act is unavailable, the registered provider may sign the form. If a provider prefers the older person’s appointed decision maker to sign the form, they may apply for an extension. Under section 71 of the Act, an extension must be requested if the application cannot be submitted within the required timeframe.</w:t>
      </w:r>
      <w:r w:rsidRPr="00A80495">
        <w:rPr>
          <w:lang w:val="en-AU"/>
        </w:rPr>
        <w:t xml:space="preserve"> </w:t>
      </w:r>
    </w:p>
    <w:p w14:paraId="60358D6F" w14:textId="77777777" w:rsidR="006707DE" w:rsidRDefault="00FA75A4" w:rsidP="00856600">
      <w:pPr>
        <w:spacing w:before="240" w:after="240" w:line="240" w:lineRule="auto"/>
        <w:rPr>
          <w:lang w:val="en-AU"/>
        </w:rPr>
      </w:pPr>
      <w:r w:rsidRPr="00B06D02">
        <w:rPr>
          <w:lang w:val="en-AU"/>
        </w:rPr>
        <w:t>In urgent cases, the person is already receiving care, but this does not mean they are permanently entering aged care or will remain at the current facility.</w:t>
      </w:r>
      <w:r w:rsidR="006707DE" w:rsidRPr="006707DE">
        <w:rPr>
          <w:lang w:val="en-AU"/>
        </w:rPr>
        <w:t xml:space="preserve"> </w:t>
      </w:r>
    </w:p>
    <w:p w14:paraId="356F358E" w14:textId="5E0DFAE6" w:rsidR="006707DE" w:rsidRPr="00E90DE5" w:rsidRDefault="006707DE" w:rsidP="00856600">
      <w:pPr>
        <w:spacing w:before="240" w:after="240" w:line="240" w:lineRule="auto"/>
        <w:rPr>
          <w:lang w:val="en-AU"/>
        </w:rPr>
      </w:pPr>
      <w:r w:rsidRPr="00E90DE5">
        <w:rPr>
          <w:lang w:val="en-AU"/>
        </w:rPr>
        <w:t xml:space="preserve">Triage delegates must review the </w:t>
      </w:r>
      <w:r w:rsidR="0053445D" w:rsidRPr="00C115CB">
        <w:rPr>
          <w:i/>
          <w:lang w:val="en-AU"/>
        </w:rPr>
        <w:t xml:space="preserve">Emergency Residential Care - </w:t>
      </w:r>
      <w:r w:rsidR="008A74CE" w:rsidRPr="00C115CB">
        <w:rPr>
          <w:i/>
          <w:lang w:val="en-AU"/>
        </w:rPr>
        <w:t>Application for Care F</w:t>
      </w:r>
      <w:r w:rsidRPr="00C115CB">
        <w:rPr>
          <w:i/>
          <w:lang w:val="en-AU"/>
        </w:rPr>
        <w:t>orm</w:t>
      </w:r>
      <w:r w:rsidRPr="00E90DE5">
        <w:rPr>
          <w:lang w:val="en-AU"/>
        </w:rPr>
        <w:t xml:space="preserve"> for completeness and be satisfied that the requirements under s58 are met. The Assessment Delegate is responsible for reviewing and approving the application form</w:t>
      </w:r>
      <w:r w:rsidR="00B23AB0" w:rsidRPr="00E90DE5">
        <w:rPr>
          <w:lang w:val="en-AU"/>
        </w:rPr>
        <w:t xml:space="preserve">. </w:t>
      </w:r>
    </w:p>
    <w:p w14:paraId="6A15BE2F" w14:textId="50B81DB4" w:rsidR="00FA75A4" w:rsidRPr="0067628A" w:rsidRDefault="00FA75A4" w:rsidP="00C56CEC">
      <w:pPr>
        <w:pStyle w:val="H3"/>
      </w:pPr>
      <w:bookmarkStart w:id="225" w:name="_Toc198008602"/>
      <w:bookmarkStart w:id="226" w:name="_Toc198787207"/>
      <w:bookmarkStart w:id="227" w:name="_Toc54471825"/>
      <w:bookmarkStart w:id="228" w:name="_Toc199344594"/>
      <w:bookmarkStart w:id="229" w:name="_Toc205444750"/>
      <w:r w:rsidRPr="0067628A">
        <w:t>Intake and assessment process</w:t>
      </w:r>
      <w:bookmarkEnd w:id="225"/>
      <w:bookmarkEnd w:id="226"/>
      <w:bookmarkEnd w:id="227"/>
      <w:bookmarkEnd w:id="228"/>
      <w:bookmarkEnd w:id="229"/>
    </w:p>
    <w:p w14:paraId="5F2E0656" w14:textId="43E352DC" w:rsidR="00FA75A4" w:rsidRPr="001340CA" w:rsidRDefault="00FA75A4" w:rsidP="00856600">
      <w:pPr>
        <w:spacing w:before="240" w:after="240" w:line="240" w:lineRule="auto"/>
        <w:rPr>
          <w:lang w:val="en-AU"/>
        </w:rPr>
      </w:pPr>
      <w:r w:rsidRPr="001340CA">
        <w:rPr>
          <w:lang w:val="en-AU"/>
        </w:rPr>
        <w:t xml:space="preserve">When the </w:t>
      </w:r>
      <w:r w:rsidR="004B314B" w:rsidRPr="00BC1B54">
        <w:rPr>
          <w:i/>
          <w:iCs/>
          <w:lang w:val="en-AU"/>
        </w:rPr>
        <w:t>Emergency Residential Care - Application for Care Form</w:t>
      </w:r>
      <w:r w:rsidR="004B314B" w:rsidRPr="00E90DE5">
        <w:rPr>
          <w:lang w:val="en-AU"/>
        </w:rPr>
        <w:t xml:space="preserve"> </w:t>
      </w:r>
      <w:r w:rsidRPr="001340CA">
        <w:rPr>
          <w:lang w:val="en-AU"/>
        </w:rPr>
        <w:t>is received, the assessment organisation must:</w:t>
      </w:r>
    </w:p>
    <w:p w14:paraId="03B5F55A" w14:textId="1675BE0A" w:rsidR="00FA75A4" w:rsidRPr="001340CA" w:rsidRDefault="00FA75A4" w:rsidP="00DF3F6B">
      <w:pPr>
        <w:numPr>
          <w:ilvl w:val="0"/>
          <w:numId w:val="54"/>
        </w:numPr>
        <w:spacing w:before="240" w:after="240" w:line="240" w:lineRule="auto"/>
        <w:rPr>
          <w:lang w:val="en-AU"/>
        </w:rPr>
      </w:pPr>
      <w:r w:rsidRPr="001340CA">
        <w:rPr>
          <w:lang w:val="en-AU"/>
        </w:rPr>
        <w:t xml:space="preserve">Ensure the </w:t>
      </w:r>
      <w:r w:rsidR="004B314B" w:rsidRPr="00C115CB">
        <w:rPr>
          <w:lang w:val="en-AU"/>
        </w:rPr>
        <w:t>form</w:t>
      </w:r>
      <w:r w:rsidRPr="001340CA">
        <w:rPr>
          <w:lang w:val="en-AU"/>
        </w:rPr>
        <w:t xml:space="preserve"> signed by the older person, or their active, appointed decision maker, and confirm the </w:t>
      </w:r>
      <w:r w:rsidRPr="001340CA">
        <w:rPr>
          <w:i/>
          <w:iCs/>
          <w:lang w:val="en-AU"/>
        </w:rPr>
        <w:t>emergency case</w:t>
      </w:r>
      <w:r w:rsidRPr="001340CA">
        <w:rPr>
          <w:lang w:val="en-AU"/>
        </w:rPr>
        <w:t xml:space="preserve"> section is completed correctly by the registered provider.</w:t>
      </w:r>
    </w:p>
    <w:p w14:paraId="76922495" w14:textId="5E00FFA1" w:rsidR="00FA75A4" w:rsidRPr="001340CA" w:rsidRDefault="00FA75A4" w:rsidP="00DF3F6B">
      <w:pPr>
        <w:numPr>
          <w:ilvl w:val="0"/>
          <w:numId w:val="54"/>
        </w:numPr>
        <w:spacing w:before="240" w:after="240" w:line="240" w:lineRule="auto"/>
        <w:rPr>
          <w:lang w:val="en-AU"/>
        </w:rPr>
      </w:pPr>
      <w:r w:rsidRPr="001340CA">
        <w:rPr>
          <w:lang w:val="en-AU"/>
        </w:rPr>
        <w:t xml:space="preserve">Confirm the date the form was received. If it was submitted </w:t>
      </w:r>
      <w:r w:rsidRPr="002F6D43">
        <w:rPr>
          <w:lang w:val="en-AU"/>
        </w:rPr>
        <w:t>after 5 calendar days</w:t>
      </w:r>
      <w:r w:rsidRPr="001340CA">
        <w:rPr>
          <w:lang w:val="en-AU"/>
        </w:rPr>
        <w:t xml:space="preserve"> from the care start date, assessment can only proceed if the provider has been granted an extension by the </w:t>
      </w:r>
      <w:r>
        <w:rPr>
          <w:lang w:val="en-AU"/>
        </w:rPr>
        <w:t xml:space="preserve">department as </w:t>
      </w:r>
      <w:r w:rsidRPr="001340CA">
        <w:rPr>
          <w:lang w:val="en-AU"/>
        </w:rPr>
        <w:t>System Governor, following an application for extension.</w:t>
      </w:r>
      <w:r w:rsidR="00334AD3">
        <w:rPr>
          <w:lang w:val="en-AU"/>
        </w:rPr>
        <w:t xml:space="preserve"> </w:t>
      </w:r>
      <w:r w:rsidR="008A1E77">
        <w:rPr>
          <w:lang w:val="en-AU"/>
        </w:rPr>
        <w:t>Requests for extensions can be sought by emailing</w:t>
      </w:r>
      <w:r w:rsidR="00334AD3">
        <w:rPr>
          <w:lang w:val="en-AU"/>
        </w:rPr>
        <w:t xml:space="preserve"> </w:t>
      </w:r>
      <w:hyperlink r:id="rId108" w:history="1">
        <w:r w:rsidR="00334AD3" w:rsidRPr="0029120E">
          <w:rPr>
            <w:rStyle w:val="Hyperlink"/>
            <w:b/>
            <w:bCs/>
            <w:lang w:val="en-AU"/>
          </w:rPr>
          <w:t>MyAgedCare.Assessment@health.gov.au</w:t>
        </w:r>
      </w:hyperlink>
      <w:r w:rsidR="008A1E77">
        <w:t>.</w:t>
      </w:r>
    </w:p>
    <w:p w14:paraId="5F924C62" w14:textId="49088839" w:rsidR="00FA75A4" w:rsidRPr="001340CA" w:rsidRDefault="00FA75A4" w:rsidP="00DF3F6B">
      <w:pPr>
        <w:numPr>
          <w:ilvl w:val="0"/>
          <w:numId w:val="54"/>
        </w:numPr>
        <w:spacing w:before="240" w:after="240" w:line="240" w:lineRule="auto"/>
        <w:rPr>
          <w:lang w:val="en-AU"/>
        </w:rPr>
      </w:pPr>
      <w:r w:rsidRPr="001340CA">
        <w:rPr>
          <w:lang w:val="en-AU"/>
        </w:rPr>
        <w:t xml:space="preserve">Register and self-refer the older person in the My Aged Care </w:t>
      </w:r>
      <w:r w:rsidR="0060352D">
        <w:rPr>
          <w:lang w:val="en-AU"/>
        </w:rPr>
        <w:t>assessor portal</w:t>
      </w:r>
      <w:r w:rsidRPr="001340CA">
        <w:rPr>
          <w:lang w:val="en-AU"/>
        </w:rPr>
        <w:t xml:space="preserve"> (if required and self-referral criteria are met).</w:t>
      </w:r>
    </w:p>
    <w:p w14:paraId="0A8926F1" w14:textId="3E0855CF" w:rsidR="00FA75A4" w:rsidRPr="001340CA" w:rsidRDefault="00FA75A4" w:rsidP="00DF3F6B">
      <w:pPr>
        <w:numPr>
          <w:ilvl w:val="0"/>
          <w:numId w:val="54"/>
        </w:numPr>
        <w:spacing w:before="240" w:after="240" w:line="240" w:lineRule="auto"/>
        <w:rPr>
          <w:lang w:val="en-AU"/>
        </w:rPr>
      </w:pPr>
      <w:r w:rsidRPr="001340CA">
        <w:rPr>
          <w:lang w:val="en-AU"/>
        </w:rPr>
        <w:t xml:space="preserve">Assign </w:t>
      </w:r>
      <w:r w:rsidR="00C5311B">
        <w:rPr>
          <w:lang w:val="en-AU"/>
        </w:rPr>
        <w:t>assessment</w:t>
      </w:r>
      <w:r w:rsidRPr="001340CA">
        <w:rPr>
          <w:lang w:val="en-AU"/>
        </w:rPr>
        <w:t xml:space="preserve"> priority. Although the </w:t>
      </w:r>
      <w:r w:rsidR="005914A8">
        <w:rPr>
          <w:lang w:val="en-AU"/>
        </w:rPr>
        <w:t xml:space="preserve">older </w:t>
      </w:r>
      <w:r w:rsidRPr="001340CA">
        <w:rPr>
          <w:lang w:val="en-AU"/>
        </w:rPr>
        <w:t xml:space="preserve">person is already in care, the </w:t>
      </w:r>
      <w:r w:rsidRPr="002F6D43">
        <w:rPr>
          <w:lang w:val="en-AU"/>
        </w:rPr>
        <w:t>Triage Delegate</w:t>
      </w:r>
      <w:r w:rsidRPr="001340CA">
        <w:rPr>
          <w:lang w:val="en-AU"/>
        </w:rPr>
        <w:t xml:space="preserve"> must consider the urgency of the</w:t>
      </w:r>
      <w:r w:rsidR="005914A8">
        <w:rPr>
          <w:lang w:val="en-AU"/>
        </w:rPr>
        <w:t>ir</w:t>
      </w:r>
      <w:r w:rsidRPr="001340CA">
        <w:rPr>
          <w:lang w:val="en-AU"/>
        </w:rPr>
        <w:t xml:space="preserve"> circumstances. If the </w:t>
      </w:r>
      <w:r w:rsidR="00EC53C1">
        <w:rPr>
          <w:lang w:val="en-AU"/>
        </w:rPr>
        <w:t xml:space="preserve">older </w:t>
      </w:r>
      <w:r w:rsidRPr="001340CA">
        <w:rPr>
          <w:lang w:val="en-AU"/>
        </w:rPr>
        <w:t>person’s condition is rapidly deteriorating, the assessment should be scheduled as soon as possible.</w:t>
      </w:r>
    </w:p>
    <w:p w14:paraId="4AA7AF23" w14:textId="4321F447" w:rsidR="00FA75A4" w:rsidRPr="001340CA" w:rsidRDefault="00FA75A4" w:rsidP="00DF3F6B">
      <w:pPr>
        <w:numPr>
          <w:ilvl w:val="0"/>
          <w:numId w:val="54"/>
        </w:numPr>
        <w:spacing w:before="240" w:after="240" w:line="240" w:lineRule="auto"/>
        <w:rPr>
          <w:lang w:val="en-AU"/>
        </w:rPr>
      </w:pPr>
      <w:r w:rsidRPr="001340CA">
        <w:rPr>
          <w:lang w:val="en-AU"/>
        </w:rPr>
        <w:t>Upload the verified form to the older person’s record.</w:t>
      </w:r>
    </w:p>
    <w:p w14:paraId="1DF6A56A" w14:textId="72FDCD30" w:rsidR="00FA75A4" w:rsidRPr="001340CA" w:rsidRDefault="00FA75A4" w:rsidP="00DF3F6B">
      <w:pPr>
        <w:numPr>
          <w:ilvl w:val="0"/>
          <w:numId w:val="54"/>
        </w:numPr>
        <w:spacing w:before="240" w:after="240" w:line="240" w:lineRule="auto"/>
        <w:rPr>
          <w:lang w:val="en-AU"/>
        </w:rPr>
      </w:pPr>
      <w:r w:rsidRPr="001340CA">
        <w:rPr>
          <w:lang w:val="en-AU"/>
        </w:rPr>
        <w:t xml:space="preserve">Schedule a </w:t>
      </w:r>
      <w:r w:rsidRPr="002F6D43">
        <w:rPr>
          <w:lang w:val="en-AU"/>
        </w:rPr>
        <w:t>comprehensive assessment</w:t>
      </w:r>
      <w:r w:rsidRPr="001340CA">
        <w:rPr>
          <w:lang w:val="en-AU"/>
        </w:rPr>
        <w:t xml:space="preserve"> with an assessor. Where possible, this should be face-to-face and collect information to</w:t>
      </w:r>
      <w:r>
        <w:rPr>
          <w:lang w:val="en-AU"/>
        </w:rPr>
        <w:t>:</w:t>
      </w:r>
    </w:p>
    <w:p w14:paraId="1A3482DD" w14:textId="77777777" w:rsidR="00FA75A4" w:rsidRDefault="00FA75A4" w:rsidP="00DF3F6B">
      <w:pPr>
        <w:numPr>
          <w:ilvl w:val="1"/>
          <w:numId w:val="54"/>
        </w:numPr>
        <w:spacing w:before="240" w:after="240" w:line="240" w:lineRule="auto"/>
        <w:rPr>
          <w:lang w:val="en-AU"/>
        </w:rPr>
      </w:pPr>
      <w:r w:rsidRPr="001340CA">
        <w:rPr>
          <w:lang w:val="en-AU"/>
        </w:rPr>
        <w:t>Determine the older person's required level of care; and</w:t>
      </w:r>
    </w:p>
    <w:p w14:paraId="6B8D2A54" w14:textId="5ADF90AD" w:rsidR="00B31E22" w:rsidRDefault="00FA75A4" w:rsidP="00DF3F6B">
      <w:pPr>
        <w:numPr>
          <w:ilvl w:val="1"/>
          <w:numId w:val="54"/>
        </w:numPr>
        <w:spacing w:before="240" w:after="240" w:line="240" w:lineRule="auto"/>
        <w:rPr>
          <w:lang w:val="en-AU"/>
        </w:rPr>
      </w:pPr>
      <w:r w:rsidRPr="001340CA">
        <w:rPr>
          <w:lang w:val="en-AU"/>
        </w:rPr>
        <w:t>Confirm that urgent circumstances existed at entry and that prior approval was not practicable.</w:t>
      </w:r>
    </w:p>
    <w:p w14:paraId="16326BAC" w14:textId="094A1CD0" w:rsidR="008C5F33" w:rsidRPr="00B31E22" w:rsidRDefault="008C5F33" w:rsidP="00DF3F6B">
      <w:pPr>
        <w:numPr>
          <w:ilvl w:val="1"/>
          <w:numId w:val="54"/>
        </w:numPr>
        <w:spacing w:before="240" w:after="240" w:line="240" w:lineRule="auto"/>
        <w:rPr>
          <w:lang w:val="en-AU"/>
        </w:rPr>
      </w:pPr>
      <w:r w:rsidRPr="00B31E22">
        <w:rPr>
          <w:lang w:val="en-AU"/>
        </w:rPr>
        <w:t>Note</w:t>
      </w:r>
      <w:r w:rsidR="00B31E22">
        <w:rPr>
          <w:lang w:val="en-AU"/>
        </w:rPr>
        <w:t>:</w:t>
      </w:r>
      <w:r w:rsidRPr="00B31E22">
        <w:rPr>
          <w:lang w:val="en-AU"/>
        </w:rPr>
        <w:t xml:space="preserve"> for respite care assessments, the DEMMI modified tool must be undertaken face to face by clinical assessors only.</w:t>
      </w:r>
    </w:p>
    <w:p w14:paraId="219DD4C0" w14:textId="0E944911" w:rsidR="00FA75A4" w:rsidRDefault="00FA75A4" w:rsidP="00856600">
      <w:pPr>
        <w:spacing w:before="240" w:after="240" w:line="240" w:lineRule="auto"/>
        <w:rPr>
          <w:lang w:val="en-AU"/>
        </w:rPr>
      </w:pPr>
      <w:r w:rsidRPr="001340CA">
        <w:rPr>
          <w:lang w:val="en-AU"/>
        </w:rPr>
        <w:t xml:space="preserve">The assessor must collect as much information as possible about the urgent situation from the older person, their registered supporters (if available, and in line with the older person’s </w:t>
      </w:r>
      <w:r w:rsidR="00172CC8">
        <w:rPr>
          <w:lang w:val="en-AU"/>
        </w:rPr>
        <w:t>will and preferences</w:t>
      </w:r>
      <w:r w:rsidRPr="001340CA">
        <w:rPr>
          <w:lang w:val="en-AU"/>
        </w:rPr>
        <w:t>), their active, appointed decision maker/s (as relevant), the registered provider, and any other professionals involved at the time of entry.</w:t>
      </w:r>
    </w:p>
    <w:p w14:paraId="01F31250" w14:textId="77777777" w:rsidR="00E805A1" w:rsidRDefault="00E805A1" w:rsidP="00FA75A4">
      <w:pPr>
        <w:rPr>
          <w:lang w:val="en-AU"/>
        </w:rPr>
      </w:pPr>
    </w:p>
    <w:p w14:paraId="3189AFD6" w14:textId="77777777" w:rsidR="00E805A1" w:rsidRDefault="00E805A1" w:rsidP="00FA75A4">
      <w:pPr>
        <w:rPr>
          <w:lang w:val="en-AU"/>
        </w:rPr>
      </w:pPr>
    </w:p>
    <w:p w14:paraId="0D6BA7DE" w14:textId="396D8BC0" w:rsidR="00E805A1" w:rsidRDefault="00F73D36" w:rsidP="00FA75A4">
      <w:pPr>
        <w:rPr>
          <w:lang w:val="en-AU"/>
        </w:rPr>
      </w:pPr>
      <w:r>
        <w:rPr>
          <w:lang w:val="en-AU"/>
        </w:rPr>
        <w:br w:type="page"/>
      </w:r>
    </w:p>
    <w:p w14:paraId="3AA22508" w14:textId="77777777" w:rsidR="0016744D" w:rsidRPr="00766DBD" w:rsidRDefault="0016744D" w:rsidP="00D816E6">
      <w:pPr>
        <w:pStyle w:val="H1"/>
      </w:pPr>
      <w:bookmarkStart w:id="230" w:name="_Toc198813664"/>
      <w:bookmarkStart w:id="231" w:name="_Toc204329520"/>
      <w:bookmarkStart w:id="232" w:name="_Toc209188968"/>
      <w:bookmarkStart w:id="233" w:name="_Ref212734526"/>
      <w:bookmarkStart w:id="234" w:name="_Ref212735187"/>
      <w:bookmarkStart w:id="235" w:name="_Ref212735206"/>
      <w:bookmarkStart w:id="236" w:name="_Ref212736376"/>
      <w:bookmarkStart w:id="237" w:name="_Toc224916632"/>
      <w:bookmarkStart w:id="238" w:name="Ch3_ReferralforAssessment"/>
      <w:r w:rsidRPr="00766DBD">
        <w:t xml:space="preserve">Chapter </w:t>
      </w:r>
      <w:r>
        <w:t>4</w:t>
      </w:r>
      <w:r w:rsidRPr="00766DBD">
        <w:t xml:space="preserve">: Referral </w:t>
      </w:r>
      <w:r w:rsidRPr="00850726">
        <w:t>for</w:t>
      </w:r>
      <w:r w:rsidRPr="00766DBD">
        <w:t xml:space="preserve"> assessment</w:t>
      </w:r>
      <w:bookmarkEnd w:id="230"/>
      <w:bookmarkEnd w:id="231"/>
      <w:bookmarkEnd w:id="232"/>
      <w:bookmarkEnd w:id="233"/>
      <w:bookmarkEnd w:id="234"/>
      <w:bookmarkEnd w:id="235"/>
      <w:bookmarkEnd w:id="236"/>
      <w:bookmarkEnd w:id="237"/>
      <w:r w:rsidRPr="00766DBD">
        <w:t xml:space="preserve"> </w:t>
      </w:r>
    </w:p>
    <w:tbl>
      <w:tblPr>
        <w:tblStyle w:val="TableGrid"/>
        <w:tblW w:w="922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FFFFFF" w:themeFill="background1"/>
        <w:tblLook w:val="04A0" w:firstRow="1" w:lastRow="0" w:firstColumn="1" w:lastColumn="0" w:noHBand="0" w:noVBand="1"/>
      </w:tblPr>
      <w:tblGrid>
        <w:gridCol w:w="8985"/>
        <w:gridCol w:w="236"/>
      </w:tblGrid>
      <w:tr w:rsidR="0016744D" w14:paraId="6E8DE60E" w14:textId="77777777" w:rsidTr="005E496B">
        <w:trPr>
          <w:trHeight w:val="300"/>
        </w:trPr>
        <w:tc>
          <w:tcPr>
            <w:tcW w:w="8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37AD2" w14:textId="77777777" w:rsidR="0016744D" w:rsidRPr="00766DBD" w:rsidRDefault="0016744D" w:rsidP="00441859">
            <w:bookmarkStart w:id="239" w:name="_Toc198813665"/>
            <w:bookmarkStart w:id="240" w:name="_Toc204329521"/>
            <w:bookmarkStart w:id="241" w:name="_Toc209188969"/>
            <w:bookmarkEnd w:id="238"/>
            <w:r w:rsidRPr="00380A8B">
              <w:rPr>
                <w:b/>
                <w:color w:val="358189"/>
                <w:sz w:val="36"/>
                <w:szCs w:val="36"/>
              </w:rPr>
              <w:t>What you’ll find in this chapter</w:t>
            </w:r>
            <w:bookmarkEnd w:id="239"/>
            <w:bookmarkEnd w:id="240"/>
            <w:bookmarkEnd w:id="241"/>
            <w:r w:rsidRPr="00380A8B">
              <w:rPr>
                <w:b/>
                <w:color w:val="358189"/>
                <w:sz w:val="36"/>
                <w:szCs w:val="36"/>
              </w:rPr>
              <w:t xml:space="preserve"> </w:t>
            </w:r>
          </w:p>
          <w:p w14:paraId="5E3BBF1A" w14:textId="15418674" w:rsidR="0016744D" w:rsidRDefault="0016744D" w:rsidP="00856600">
            <w:pPr>
              <w:spacing w:before="240" w:after="240"/>
            </w:pPr>
            <w:r w:rsidRPr="64E8B732">
              <w:t xml:space="preserve">This chapter details how to manage referrals for assessments in the My Aged Care </w:t>
            </w:r>
            <w:r w:rsidR="0060352D" w:rsidRPr="64E8B732">
              <w:t>assessor portal</w:t>
            </w:r>
            <w:r w:rsidRPr="64E8B732">
              <w:t xml:space="preserve">.  </w:t>
            </w:r>
          </w:p>
          <w:p w14:paraId="077B904C" w14:textId="77777777" w:rsidR="0016744D" w:rsidRDefault="0016744D" w:rsidP="00856600">
            <w:pPr>
              <w:spacing w:before="240" w:after="240"/>
              <w:rPr>
                <w:lang w:val="en-US"/>
              </w:rPr>
            </w:pPr>
            <w:r w:rsidRPr="4F0F4C5F">
              <w:rPr>
                <w:lang w:val="en-US"/>
              </w:rPr>
              <w:t xml:space="preserve">The </w:t>
            </w:r>
            <w:r w:rsidRPr="55EC15E4">
              <w:rPr>
                <w:lang w:val="en-US"/>
              </w:rPr>
              <w:t xml:space="preserve">following topics are </w:t>
            </w:r>
            <w:r>
              <w:rPr>
                <w:lang w:val="en-US"/>
              </w:rPr>
              <w:t>covered in this chapter</w:t>
            </w:r>
            <w:r w:rsidRPr="55EC15E4">
              <w:rPr>
                <w:lang w:val="en-US"/>
              </w:rPr>
              <w:t>:</w:t>
            </w:r>
          </w:p>
          <w:p w14:paraId="2A5B6B22" w14:textId="77777777" w:rsidR="0016744D" w:rsidRDefault="0016744D" w:rsidP="00856600">
            <w:pPr>
              <w:pStyle w:val="ListParagraph"/>
              <w:numPr>
                <w:ilvl w:val="0"/>
                <w:numId w:val="42"/>
              </w:numPr>
              <w:spacing w:before="240" w:after="240"/>
              <w:rPr>
                <w:lang w:val="en-US"/>
              </w:rPr>
            </w:pPr>
            <w:r>
              <w:rPr>
                <w:lang w:val="en-US"/>
              </w:rPr>
              <w:t>m</w:t>
            </w:r>
            <w:r w:rsidRPr="19FC2AF0">
              <w:rPr>
                <w:lang w:val="en-US"/>
              </w:rPr>
              <w:t>anag</w:t>
            </w:r>
            <w:r>
              <w:rPr>
                <w:lang w:val="en-US"/>
              </w:rPr>
              <w:t>ing</w:t>
            </w:r>
            <w:r w:rsidRPr="19FC2AF0">
              <w:rPr>
                <w:lang w:val="en-US"/>
              </w:rPr>
              <w:t xml:space="preserve"> and action</w:t>
            </w:r>
            <w:r>
              <w:rPr>
                <w:lang w:val="en-US"/>
              </w:rPr>
              <w:t>ing</w:t>
            </w:r>
            <w:r w:rsidRPr="19FC2AF0">
              <w:rPr>
                <w:lang w:val="en-US"/>
              </w:rPr>
              <w:t xml:space="preserve"> referrals and assign</w:t>
            </w:r>
            <w:r>
              <w:rPr>
                <w:lang w:val="en-US"/>
              </w:rPr>
              <w:t>ing</w:t>
            </w:r>
            <w:r w:rsidRPr="19FC2AF0">
              <w:rPr>
                <w:lang w:val="en-US"/>
              </w:rPr>
              <w:t xml:space="preserve"> referral priority;</w:t>
            </w:r>
          </w:p>
          <w:p w14:paraId="1029C1AF" w14:textId="77777777" w:rsidR="0016744D" w:rsidRDefault="0016744D" w:rsidP="00856600">
            <w:pPr>
              <w:pStyle w:val="ListParagraph"/>
              <w:numPr>
                <w:ilvl w:val="0"/>
                <w:numId w:val="42"/>
              </w:numPr>
              <w:spacing w:before="240" w:after="240"/>
              <w:rPr>
                <w:lang w:val="en-US"/>
              </w:rPr>
            </w:pPr>
            <w:r w:rsidRPr="00ED2980">
              <w:rPr>
                <w:lang w:val="en-US"/>
              </w:rPr>
              <w:t>managing preference for Aboriginal and Torres Strait Islander assessments</w:t>
            </w:r>
            <w:r w:rsidRPr="19FC2AF0">
              <w:rPr>
                <w:lang w:val="en-US"/>
              </w:rPr>
              <w:t>;</w:t>
            </w:r>
          </w:p>
          <w:p w14:paraId="2CF8113F" w14:textId="77777777" w:rsidR="0016744D" w:rsidRDefault="0016744D" w:rsidP="00856600">
            <w:pPr>
              <w:pStyle w:val="ListParagraph"/>
              <w:numPr>
                <w:ilvl w:val="0"/>
                <w:numId w:val="42"/>
              </w:numPr>
              <w:spacing w:before="240" w:after="240"/>
              <w:rPr>
                <w:lang w:val="en-US"/>
              </w:rPr>
            </w:pPr>
            <w:r w:rsidRPr="46E90356">
              <w:rPr>
                <w:lang w:val="en-US"/>
              </w:rPr>
              <w:t>End</w:t>
            </w:r>
            <w:r w:rsidRPr="156FC53E">
              <w:rPr>
                <w:lang w:val="en-US"/>
              </w:rPr>
              <w:t>-</w:t>
            </w:r>
            <w:r w:rsidRPr="46E90356">
              <w:rPr>
                <w:lang w:val="en-US"/>
              </w:rPr>
              <w:t>of</w:t>
            </w:r>
            <w:r w:rsidRPr="156FC53E">
              <w:rPr>
                <w:lang w:val="en-US"/>
              </w:rPr>
              <w:t>-</w:t>
            </w:r>
            <w:r w:rsidRPr="46E90356">
              <w:rPr>
                <w:lang w:val="en-US"/>
              </w:rPr>
              <w:t xml:space="preserve">Life </w:t>
            </w:r>
            <w:r w:rsidRPr="156FC53E">
              <w:rPr>
                <w:lang w:val="en-US"/>
              </w:rPr>
              <w:t>Pathway</w:t>
            </w:r>
            <w:r w:rsidRPr="46E90356">
              <w:rPr>
                <w:lang w:val="en-US"/>
              </w:rPr>
              <w:t xml:space="preserve"> ‘high priority’ flag in the system;</w:t>
            </w:r>
          </w:p>
          <w:p w14:paraId="43BA59FB" w14:textId="28579DAD" w:rsidR="0016744D" w:rsidRDefault="0016744D" w:rsidP="00856600">
            <w:pPr>
              <w:pStyle w:val="ListParagraph"/>
              <w:numPr>
                <w:ilvl w:val="0"/>
                <w:numId w:val="42"/>
              </w:numPr>
              <w:spacing w:before="240" w:after="240"/>
            </w:pPr>
            <w:r w:rsidRPr="04FB7FFA">
              <w:t>how priority categories are assigned to different assessments including Home Support, Comprehensive</w:t>
            </w:r>
            <w:r w:rsidR="00BE1D75">
              <w:t xml:space="preserve"> </w:t>
            </w:r>
            <w:r w:rsidR="000830AA" w:rsidRPr="04FB7FFA">
              <w:t>(including those completed in a Hospital setting)</w:t>
            </w:r>
            <w:r w:rsidRPr="04FB7FFA">
              <w:t>; and</w:t>
            </w:r>
          </w:p>
          <w:p w14:paraId="2034A952" w14:textId="23B79F76" w:rsidR="0016744D" w:rsidRPr="004107E5" w:rsidRDefault="0016744D" w:rsidP="00856600">
            <w:pPr>
              <w:pStyle w:val="ListParagraph"/>
              <w:numPr>
                <w:ilvl w:val="0"/>
                <w:numId w:val="42"/>
              </w:numPr>
              <w:spacing w:before="240" w:after="240"/>
              <w:rPr>
                <w:lang w:val="en-US"/>
              </w:rPr>
            </w:pPr>
            <w:r w:rsidRPr="4A69F66B">
              <w:rPr>
                <w:lang w:val="en-US"/>
              </w:rPr>
              <w:t xml:space="preserve">how assessors </w:t>
            </w:r>
            <w:r w:rsidRPr="25BE691C">
              <w:rPr>
                <w:lang w:val="en-US"/>
              </w:rPr>
              <w:t xml:space="preserve">can </w:t>
            </w:r>
            <w:r w:rsidRPr="4A69F66B">
              <w:rPr>
                <w:lang w:val="en-US"/>
              </w:rPr>
              <w:t xml:space="preserve">self-refer for eligible and </w:t>
            </w:r>
            <w:r w:rsidRPr="39D208DC">
              <w:rPr>
                <w:lang w:val="en-US"/>
              </w:rPr>
              <w:t>(</w:t>
            </w:r>
            <w:r w:rsidRPr="4A69F66B">
              <w:rPr>
                <w:lang w:val="en-US"/>
              </w:rPr>
              <w:t>likely</w:t>
            </w:r>
            <w:r w:rsidRPr="39D208DC">
              <w:rPr>
                <w:lang w:val="en-US"/>
              </w:rPr>
              <w:t>)</w:t>
            </w:r>
            <w:r w:rsidRPr="4A69F66B">
              <w:rPr>
                <w:lang w:val="en-US"/>
              </w:rPr>
              <w:t xml:space="preserve"> ineligible individuals. </w:t>
            </w:r>
          </w:p>
        </w:tc>
        <w:tc>
          <w:tcPr>
            <w:tcW w:w="236" w:type="dxa"/>
            <w:tcBorders>
              <w:left w:val="single" w:sz="4" w:space="0" w:color="auto"/>
            </w:tcBorders>
            <w:shd w:val="clear" w:color="auto" w:fill="FFFFFF" w:themeFill="background1"/>
          </w:tcPr>
          <w:p w14:paraId="1F5081BD" w14:textId="77777777" w:rsidR="0016744D" w:rsidRDefault="0016744D" w:rsidP="00856600">
            <w:pPr>
              <w:pStyle w:val="Heading2"/>
              <w:spacing w:before="240" w:after="240"/>
            </w:pPr>
          </w:p>
        </w:tc>
      </w:tr>
    </w:tbl>
    <w:p w14:paraId="54BFA258" w14:textId="1F82DD1B" w:rsidR="0016744D" w:rsidRDefault="0016744D" w:rsidP="00507F9D">
      <w:pPr>
        <w:pStyle w:val="h2"/>
      </w:pPr>
      <w:bookmarkStart w:id="242" w:name="_Ref128153178"/>
      <w:bookmarkStart w:id="243" w:name="_Toc159226869"/>
      <w:bookmarkStart w:id="244" w:name="_Toc184402276"/>
      <w:bookmarkStart w:id="245" w:name="_Toc204329522"/>
      <w:bookmarkStart w:id="246" w:name="_Toc209188970"/>
      <w:bookmarkStart w:id="247" w:name="_Toc224916633"/>
      <w:r>
        <w:t xml:space="preserve">Managing </w:t>
      </w:r>
      <w:r w:rsidR="006B4BA4">
        <w:t>r</w:t>
      </w:r>
      <w:r>
        <w:t>eferrals</w:t>
      </w:r>
      <w:bookmarkEnd w:id="242"/>
      <w:bookmarkEnd w:id="243"/>
      <w:bookmarkEnd w:id="244"/>
      <w:bookmarkEnd w:id="245"/>
      <w:bookmarkEnd w:id="246"/>
      <w:bookmarkEnd w:id="247"/>
    </w:p>
    <w:p w14:paraId="56C3DC2A" w14:textId="3B40B397" w:rsidR="0016744D" w:rsidRDefault="0016744D" w:rsidP="00856600">
      <w:pPr>
        <w:spacing w:before="240" w:after="240" w:line="240" w:lineRule="auto"/>
      </w:pPr>
      <w:r>
        <w:t xml:space="preserve">Through the My Aged Care </w:t>
      </w:r>
      <w:r w:rsidR="0060352D">
        <w:t>assessor portal</w:t>
      </w:r>
      <w:r>
        <w:t xml:space="preserve">, a team leader can review, </w:t>
      </w:r>
      <w:r w:rsidRPr="0048577A">
        <w:t>assign</w:t>
      </w:r>
      <w:r>
        <w:t>, un-assign, and re-assign</w:t>
      </w:r>
      <w:r w:rsidRPr="0048577A">
        <w:t xml:space="preserve"> referrals</w:t>
      </w:r>
      <w:r>
        <w:t xml:space="preserve"> and SPR requests to </w:t>
      </w:r>
      <w:r w:rsidRPr="0048577A">
        <w:t>assessor</w:t>
      </w:r>
      <w:r>
        <w:t>s in their team</w:t>
      </w:r>
      <w:r w:rsidRPr="0048577A">
        <w:t>.</w:t>
      </w:r>
      <w:r>
        <w:t xml:space="preserve"> The team leader can be supported by administration officers to support day-to-day referral activities. Before accepting the referral, team leaders can change the priority of assessment referrals. Referrals can be transferred under certain condition</w:t>
      </w:r>
      <w:r w:rsidRPr="00C46BA8">
        <w:t>s.</w:t>
      </w:r>
      <w:r>
        <w:t xml:space="preserve"> Team leaders and assessors can notify My Aged Care of a deceased older person. The portal also allows assessors (and team leaders who have the assessor role type) to manage self-referrals. </w:t>
      </w:r>
    </w:p>
    <w:p w14:paraId="32E21B10" w14:textId="77777777" w:rsidR="0016744D" w:rsidRPr="008F548A" w:rsidRDefault="0016744D" w:rsidP="00507F9D">
      <w:pPr>
        <w:pStyle w:val="h2"/>
      </w:pPr>
      <w:bookmarkStart w:id="248" w:name="_Ref58323271"/>
      <w:bookmarkStart w:id="249" w:name="_Toc159226870"/>
      <w:bookmarkStart w:id="250" w:name="_Toc184402277"/>
      <w:bookmarkStart w:id="251" w:name="_Toc204329523"/>
      <w:bookmarkStart w:id="252" w:name="_Toc499195592"/>
      <w:bookmarkStart w:id="253" w:name="_Toc209188971"/>
      <w:bookmarkStart w:id="254" w:name="_Toc224916634"/>
      <w:r w:rsidRPr="008F548A">
        <w:t xml:space="preserve">Referral </w:t>
      </w:r>
      <w:bookmarkEnd w:id="248"/>
      <w:r w:rsidRPr="008F548A">
        <w:t>priority</w:t>
      </w:r>
      <w:bookmarkEnd w:id="249"/>
      <w:bookmarkEnd w:id="250"/>
      <w:bookmarkEnd w:id="251"/>
      <w:r w:rsidRPr="008F548A">
        <w:t xml:space="preserve"> </w:t>
      </w:r>
      <w:bookmarkEnd w:id="252"/>
      <w:r>
        <w:t>categories</w:t>
      </w:r>
      <w:bookmarkEnd w:id="253"/>
      <w:bookmarkEnd w:id="254"/>
    </w:p>
    <w:p w14:paraId="27350C8E" w14:textId="77777777" w:rsidR="0016744D" w:rsidRDefault="0016744D" w:rsidP="00856600">
      <w:pPr>
        <w:spacing w:before="240" w:after="240" w:line="240" w:lineRule="auto"/>
      </w:pPr>
      <w:r w:rsidRPr="00DE51DB">
        <w:t xml:space="preserve">A referral for assessment will include a </w:t>
      </w:r>
      <w:r w:rsidRPr="003E1933">
        <w:t>priority rating</w:t>
      </w:r>
      <w:r w:rsidRPr="00DE51DB">
        <w:t xml:space="preserve"> that relates to the timing of the assessment and the urgency in which services are delivered to </w:t>
      </w:r>
      <w:r>
        <w:t>an</w:t>
      </w:r>
      <w:r w:rsidRPr="00DE51DB">
        <w:t xml:space="preserve"> </w:t>
      </w:r>
      <w:r>
        <w:t>older person</w:t>
      </w:r>
      <w:r w:rsidRPr="00DE51DB">
        <w:t xml:space="preserve">. The allocation of a priority category for a referral is based on </w:t>
      </w:r>
      <w:r>
        <w:t>an</w:t>
      </w:r>
      <w:r w:rsidRPr="00DE51DB">
        <w:t xml:space="preserve"> </w:t>
      </w:r>
      <w:r>
        <w:t>older person</w:t>
      </w:r>
      <w:r w:rsidRPr="00DE51DB">
        <w:t xml:space="preserve">’s level of function, the level of risk in relation to the care situation and any other relevant concerns. </w:t>
      </w:r>
    </w:p>
    <w:p w14:paraId="392F71F6" w14:textId="77777777" w:rsidR="0016744D" w:rsidRPr="00DE51DB" w:rsidRDefault="0016744D" w:rsidP="00856600">
      <w:pPr>
        <w:spacing w:before="240" w:after="240" w:line="240" w:lineRule="auto"/>
      </w:pPr>
      <w:r>
        <w:t>While</w:t>
      </w:r>
      <w:r w:rsidRPr="00DE51DB">
        <w:t xml:space="preserve"> accepting the referral, the </w:t>
      </w:r>
      <w:r>
        <w:t xml:space="preserve">team leader </w:t>
      </w:r>
      <w:r w:rsidRPr="00DE51DB">
        <w:t xml:space="preserve">can change a priority allocation set by the </w:t>
      </w:r>
      <w:r>
        <w:t>My Aged Care C</w:t>
      </w:r>
      <w:r w:rsidRPr="00DE51DB">
        <w:t xml:space="preserve">ontact </w:t>
      </w:r>
      <w:r>
        <w:t>C</w:t>
      </w:r>
      <w:r w:rsidRPr="00DE51DB">
        <w:t xml:space="preserve">entre </w:t>
      </w:r>
      <w:r>
        <w:t xml:space="preserve">or ACSO </w:t>
      </w:r>
      <w:r w:rsidRPr="00DE51DB">
        <w:t xml:space="preserve">if their professional view is that it does not align with the guidance on priority for </w:t>
      </w:r>
      <w:r>
        <w:t xml:space="preserve">home support and comprehensive assessments </w:t>
      </w:r>
      <w:r w:rsidRPr="00DE51DB">
        <w:t xml:space="preserve">(hospital and community setting) </w:t>
      </w:r>
      <w:r>
        <w:t xml:space="preserve">in the section </w:t>
      </w:r>
      <w:r w:rsidRPr="00DE51DB">
        <w:t xml:space="preserve">below. Timeframes associated with priority categories are specified in assessment organisation </w:t>
      </w:r>
      <w:r>
        <w:t>contractual</w:t>
      </w:r>
      <w:r w:rsidRPr="00DE51DB">
        <w:t xml:space="preserve"> agreements with the </w:t>
      </w:r>
      <w:r>
        <w:t>department</w:t>
      </w:r>
      <w:r w:rsidRPr="00DE51DB">
        <w:t>.</w:t>
      </w:r>
      <w:r>
        <w:t xml:space="preserve"> </w:t>
      </w:r>
      <w:r w:rsidRPr="00DE51DB">
        <w:t xml:space="preserve">A priority category is also assigned when </w:t>
      </w:r>
      <w:r>
        <w:t>an</w:t>
      </w:r>
      <w:r w:rsidRPr="00DE51DB">
        <w:t xml:space="preserve"> </w:t>
      </w:r>
      <w:r>
        <w:t>older person</w:t>
      </w:r>
      <w:r w:rsidRPr="00DE51DB">
        <w:t xml:space="preserve"> is referred to services. </w:t>
      </w:r>
      <w:r>
        <w:t>Note: the timeframe is calculated from the date the referral was issued, not the date the priority was changed.</w:t>
      </w:r>
    </w:p>
    <w:p w14:paraId="6C33C40E" w14:textId="5776C80F" w:rsidR="0016744D" w:rsidRPr="00DE51DB" w:rsidRDefault="0016744D" w:rsidP="00856600">
      <w:pPr>
        <w:spacing w:before="240" w:after="240" w:line="240" w:lineRule="auto"/>
      </w:pPr>
      <w:r>
        <w:t xml:space="preserve">In the </w:t>
      </w:r>
      <w:r w:rsidR="0060352D">
        <w:t>assessor portal</w:t>
      </w:r>
      <w:r>
        <w:t>, t</w:t>
      </w:r>
      <w:r w:rsidRPr="00B320C4">
        <w:t>here a</w:t>
      </w:r>
      <w:r>
        <w:t>re</w:t>
      </w:r>
      <w:r w:rsidRPr="00B320C4">
        <w:t xml:space="preserve"> visual indicator</w:t>
      </w:r>
      <w:r>
        <w:t>s</w:t>
      </w:r>
      <w:r w:rsidRPr="00B320C4">
        <w:t xml:space="preserve"> for referrals and assessments to facilitate timely responses </w:t>
      </w:r>
      <w:r>
        <w:t>of priority timeframes.</w:t>
      </w:r>
    </w:p>
    <w:p w14:paraId="18F53730" w14:textId="254C2649" w:rsidR="0016744D" w:rsidRDefault="0016744D" w:rsidP="00856600">
      <w:pPr>
        <w:spacing w:before="240" w:after="240" w:line="240" w:lineRule="auto"/>
      </w:pPr>
      <w:r>
        <w:t xml:space="preserve">Assessment referrals to assessment organisations must be actioned (accepted, rejected or transferred) within three calendar days from issue. Following acceptance of the referral, other timeframes are applied for managing referrals, as highlighted in Tables </w:t>
      </w:r>
      <w:r w:rsidR="00D94BB3">
        <w:t>1</w:t>
      </w:r>
      <w:r w:rsidR="009559C3">
        <w:t>4</w:t>
      </w:r>
      <w:r w:rsidR="00291254">
        <w:t>-</w:t>
      </w:r>
      <w:r w:rsidR="009559C3">
        <w:t>16 below</w:t>
      </w:r>
      <w:r>
        <w:t xml:space="preserve">. </w:t>
      </w:r>
    </w:p>
    <w:p w14:paraId="1252E7B5" w14:textId="77777777" w:rsidR="0016744D" w:rsidRPr="00D96E82" w:rsidRDefault="0016744D" w:rsidP="00C56CEC">
      <w:pPr>
        <w:pStyle w:val="H3"/>
      </w:pPr>
      <w:bookmarkStart w:id="255" w:name="_Toc184026560"/>
      <w:bookmarkStart w:id="256" w:name="_Toc184402278"/>
      <w:bookmarkStart w:id="257" w:name="_Toc204329524"/>
      <w:r w:rsidRPr="003E1933">
        <w:t xml:space="preserve">Home support </w:t>
      </w:r>
      <w:r>
        <w:t xml:space="preserve">assessment </w:t>
      </w:r>
      <w:r w:rsidRPr="003E1933">
        <w:t>priority categories</w:t>
      </w:r>
      <w:bookmarkEnd w:id="255"/>
      <w:bookmarkEnd w:id="256"/>
      <w:bookmarkEnd w:id="257"/>
    </w:p>
    <w:p w14:paraId="118FD83C" w14:textId="77777777" w:rsidR="0016744D" w:rsidRPr="00DE51DB" w:rsidRDefault="0016744D" w:rsidP="00856600">
      <w:pPr>
        <w:spacing w:before="240" w:after="240" w:line="240" w:lineRule="auto"/>
      </w:pPr>
      <w:r w:rsidRPr="00DE51DB">
        <w:t xml:space="preserve">Based </w:t>
      </w:r>
      <w:r>
        <w:t>on</w:t>
      </w:r>
      <w:r w:rsidRPr="00DE51DB">
        <w:t xml:space="preserve"> the </w:t>
      </w:r>
      <w:r>
        <w:t>older person</w:t>
      </w:r>
      <w:r w:rsidRPr="00DE51DB">
        <w:t xml:space="preserve">’s needs, </w:t>
      </w:r>
      <w:r w:rsidRPr="00E32F86">
        <w:t>a referral</w:t>
      </w:r>
      <w:r>
        <w:t xml:space="preserve"> for a home support assessment may be classified as one of </w:t>
      </w:r>
      <w:r w:rsidRPr="00DE51DB">
        <w:t>three priority categories</w:t>
      </w:r>
      <w:r>
        <w:t>, high medium or low.</w:t>
      </w:r>
      <w:r w:rsidRPr="00DE51DB">
        <w:t xml:space="preserve"> </w:t>
      </w:r>
    </w:p>
    <w:p w14:paraId="5667223A" w14:textId="0527BF60" w:rsidR="0016744D" w:rsidRPr="00045B52" w:rsidRDefault="0016744D" w:rsidP="00856600">
      <w:pPr>
        <w:pStyle w:val="Caption"/>
        <w:spacing w:before="240" w:after="240"/>
      </w:pPr>
      <w:r w:rsidRPr="00045B52">
        <w:t xml:space="preserve">Table </w:t>
      </w:r>
      <w:r>
        <w:t>1</w:t>
      </w:r>
      <w:r w:rsidR="00DF6E46">
        <w:t>4</w:t>
      </w:r>
      <w:r w:rsidRPr="00045B52">
        <w:t>. Home support assessment priority categories</w:t>
      </w:r>
    </w:p>
    <w:tbl>
      <w:tblPr>
        <w:tblW w:w="9072" w:type="dxa"/>
        <w:tblInd w:w="-5" w:type="dxa"/>
        <w:tblBorders>
          <w:bottom w:val="single" w:sz="4" w:space="0" w:color="auto"/>
          <w:insideH w:val="single" w:sz="4" w:space="0" w:color="auto"/>
        </w:tblBorders>
        <w:tblLook w:val="04A0" w:firstRow="1" w:lastRow="0" w:firstColumn="1" w:lastColumn="0" w:noHBand="0" w:noVBand="1"/>
        <w:tblCaption w:val="Home support assessment priority categories "/>
        <w:tblDescription w:val="Guidance on the priority categories for home support assessments"/>
      </w:tblPr>
      <w:tblGrid>
        <w:gridCol w:w="1246"/>
        <w:gridCol w:w="6076"/>
        <w:gridCol w:w="1750"/>
      </w:tblGrid>
      <w:tr w:rsidR="002C4AC7" w:rsidRPr="00A117DB" w14:paraId="18D9162A" w14:textId="77777777" w:rsidTr="00E6154C">
        <w:trPr>
          <w:tblHeader/>
        </w:trPr>
        <w:tc>
          <w:tcPr>
            <w:tcW w:w="1246" w:type="dxa"/>
            <w:shd w:val="clear" w:color="auto" w:fill="002060"/>
          </w:tcPr>
          <w:p w14:paraId="4D990042" w14:textId="77777777" w:rsidR="0016744D" w:rsidRPr="00A117DB" w:rsidRDefault="0016744D" w:rsidP="00856600">
            <w:pPr>
              <w:pStyle w:val="Sub-headingnon-contentpage"/>
              <w:spacing w:before="240" w:after="240"/>
            </w:pPr>
            <w:bookmarkStart w:id="258" w:name="_Hlk128308768"/>
            <w:r w:rsidRPr="00A117DB">
              <w:t>Priority Level</w:t>
            </w:r>
          </w:p>
        </w:tc>
        <w:tc>
          <w:tcPr>
            <w:tcW w:w="6076" w:type="dxa"/>
            <w:shd w:val="clear" w:color="auto" w:fill="002060"/>
          </w:tcPr>
          <w:p w14:paraId="01ABC11E" w14:textId="77777777" w:rsidR="0016744D" w:rsidRPr="00A117DB" w:rsidRDefault="0016744D" w:rsidP="00856600">
            <w:pPr>
              <w:pStyle w:val="Sub-headingnon-contentpage"/>
              <w:spacing w:before="240" w:after="240"/>
            </w:pPr>
            <w:r w:rsidRPr="00A117DB">
              <w:t>Definition</w:t>
            </w:r>
          </w:p>
        </w:tc>
        <w:tc>
          <w:tcPr>
            <w:tcW w:w="1750" w:type="dxa"/>
            <w:shd w:val="clear" w:color="auto" w:fill="002060"/>
          </w:tcPr>
          <w:p w14:paraId="351C46E9" w14:textId="77777777" w:rsidR="0016744D" w:rsidRPr="00A117DB" w:rsidRDefault="0016744D" w:rsidP="00856600">
            <w:pPr>
              <w:spacing w:before="240" w:after="240" w:line="240" w:lineRule="auto"/>
              <w:jc w:val="center"/>
              <w:rPr>
                <w:b/>
                <w:bCs/>
                <w:color w:val="FFFFFF" w:themeColor="background1"/>
              </w:rPr>
            </w:pPr>
            <w:r w:rsidRPr="00A117DB">
              <w:rPr>
                <w:b/>
                <w:bCs/>
                <w:color w:val="FFFFFF" w:themeColor="background1"/>
              </w:rPr>
              <w:t>Timeframes (from day of referral acceptance to completion)</w:t>
            </w:r>
          </w:p>
        </w:tc>
      </w:tr>
      <w:bookmarkEnd w:id="258"/>
      <w:tr w:rsidR="00BA1EF7" w:rsidRPr="00D96E82" w14:paraId="37B11D52" w14:textId="77777777">
        <w:tc>
          <w:tcPr>
            <w:tcW w:w="1246" w:type="dxa"/>
          </w:tcPr>
          <w:p w14:paraId="5B34189B" w14:textId="77777777" w:rsidR="0016744D" w:rsidRPr="00D96E82" w:rsidRDefault="0016744D" w:rsidP="00856600">
            <w:pPr>
              <w:pStyle w:val="Sub-headingnon-contentpage"/>
              <w:spacing w:before="240" w:after="240"/>
            </w:pPr>
            <w:r w:rsidRPr="00D96E82">
              <w:t>High</w:t>
            </w:r>
          </w:p>
        </w:tc>
        <w:tc>
          <w:tcPr>
            <w:tcW w:w="6076" w:type="dxa"/>
          </w:tcPr>
          <w:p w14:paraId="78A0D9DB" w14:textId="77777777" w:rsidR="0016744D" w:rsidRPr="00D96E82" w:rsidRDefault="0016744D" w:rsidP="00856600">
            <w:pPr>
              <w:spacing w:before="240" w:after="240" w:line="240" w:lineRule="auto"/>
              <w:rPr>
                <w:rFonts w:ascii="Calibri" w:hAnsi="Calibri" w:cs="Calibri"/>
              </w:rPr>
            </w:pPr>
            <w:r w:rsidRPr="00D96E82">
              <w:t>Requires an urgent assessment based on the information collected during the referral process indicating the person would need to be hospitalised or leave their current residence without support because they are unable to care for themselves, or their carer is unavailable and/or has serious risks or safety hazards in their home. This may be due to a crisis in the home involving either the older person or the carer, or a sudden change in the older person or carer’s medical, physical, cognitive, or psychological status.</w:t>
            </w:r>
          </w:p>
          <w:p w14:paraId="4DD2A7CF" w14:textId="346DDBA6" w:rsidR="0016744D" w:rsidRPr="00D96E82" w:rsidRDefault="003D60D5" w:rsidP="00856600">
            <w:pPr>
              <w:spacing w:before="240" w:after="240" w:line="240" w:lineRule="auto"/>
            </w:pPr>
            <w:r w:rsidRPr="003D60D5">
              <w:t xml:space="preserve">High priority referrals may also be accompanied by a direct-to-provider referral for urgent CHSP services (see Chapter </w:t>
            </w:r>
            <w:r w:rsidR="00980B8F">
              <w:fldChar w:fldCharType="begin"/>
            </w:r>
            <w:r w:rsidR="00980B8F">
              <w:instrText xml:space="preserve"> REF _Ref212735305 \w \h </w:instrText>
            </w:r>
            <w:r w:rsidR="00980B8F">
              <w:fldChar w:fldCharType="separate"/>
            </w:r>
            <w:r w:rsidR="00F97942">
              <w:t>3</w:t>
            </w:r>
            <w:r w:rsidR="00980B8F">
              <w:fldChar w:fldCharType="end"/>
            </w:r>
            <w:r w:rsidRPr="003D60D5">
              <w:t xml:space="preserve"> for more information on the Alternative Entry Pathway).</w:t>
            </w:r>
          </w:p>
        </w:tc>
        <w:tc>
          <w:tcPr>
            <w:tcW w:w="1750" w:type="dxa"/>
          </w:tcPr>
          <w:p w14:paraId="257C96C7" w14:textId="77777777" w:rsidR="0016744D" w:rsidRPr="00D96E82" w:rsidRDefault="0016744D" w:rsidP="00856600">
            <w:pPr>
              <w:spacing w:before="240" w:after="240" w:line="240" w:lineRule="auto"/>
              <w:jc w:val="center"/>
            </w:pPr>
            <w:r w:rsidRPr="00D96E82">
              <w:t xml:space="preserve">10 calendar days </w:t>
            </w:r>
          </w:p>
        </w:tc>
      </w:tr>
      <w:tr w:rsidR="00BA1EF7" w:rsidRPr="00D96E82" w14:paraId="77BB865B" w14:textId="77777777">
        <w:tc>
          <w:tcPr>
            <w:tcW w:w="1246" w:type="dxa"/>
          </w:tcPr>
          <w:p w14:paraId="20BEA224" w14:textId="77777777" w:rsidR="0016744D" w:rsidRPr="00D96E82" w:rsidRDefault="0016744D" w:rsidP="00856600">
            <w:pPr>
              <w:pStyle w:val="Sub-headingnon-contentpage"/>
              <w:spacing w:before="240" w:after="240"/>
            </w:pPr>
            <w:r w:rsidRPr="00D96E82">
              <w:t>Medium</w:t>
            </w:r>
          </w:p>
        </w:tc>
        <w:tc>
          <w:tcPr>
            <w:tcW w:w="6076" w:type="dxa"/>
          </w:tcPr>
          <w:p w14:paraId="4C5F0044" w14:textId="77777777" w:rsidR="0016744D" w:rsidRPr="00D96E82" w:rsidRDefault="0016744D" w:rsidP="00856600">
            <w:pPr>
              <w:spacing w:before="240" w:after="240" w:line="240" w:lineRule="auto"/>
            </w:pPr>
            <w:r w:rsidRPr="00D96E82">
              <w:t>Information available at referral indicates that the older person is not at immediate risk of harm, however there is a progressive deterioration in the older person’s current status (physical, mental, cognitive, situational, functional), and/or the level of care that is currently available does not meet the older person’s needs and is not sustainable long term.</w:t>
            </w:r>
          </w:p>
        </w:tc>
        <w:tc>
          <w:tcPr>
            <w:tcW w:w="1750" w:type="dxa"/>
          </w:tcPr>
          <w:p w14:paraId="739A0B97" w14:textId="77777777" w:rsidR="0016744D" w:rsidRPr="00D96E82" w:rsidRDefault="0016744D" w:rsidP="00856600">
            <w:pPr>
              <w:spacing w:before="240" w:after="240" w:line="240" w:lineRule="auto"/>
              <w:jc w:val="center"/>
            </w:pPr>
            <w:r w:rsidRPr="00D96E82">
              <w:t xml:space="preserve">14 calendar days </w:t>
            </w:r>
          </w:p>
        </w:tc>
      </w:tr>
      <w:tr w:rsidR="00BA1EF7" w:rsidRPr="00D96E82" w14:paraId="095B3C3B" w14:textId="77777777" w:rsidTr="00E6154C">
        <w:trPr>
          <w:trHeight w:val="763"/>
        </w:trPr>
        <w:tc>
          <w:tcPr>
            <w:tcW w:w="1246" w:type="dxa"/>
          </w:tcPr>
          <w:p w14:paraId="701E3D7A" w14:textId="77777777" w:rsidR="0016744D" w:rsidRPr="00D96E82" w:rsidRDefault="0016744D" w:rsidP="00856600">
            <w:pPr>
              <w:pStyle w:val="Sub-headingnon-contentpage"/>
              <w:spacing w:before="240" w:after="240"/>
            </w:pPr>
            <w:r w:rsidRPr="00D96E82">
              <w:t>Low</w:t>
            </w:r>
          </w:p>
        </w:tc>
        <w:tc>
          <w:tcPr>
            <w:tcW w:w="6076" w:type="dxa"/>
          </w:tcPr>
          <w:p w14:paraId="53296B3A" w14:textId="77777777" w:rsidR="0016744D" w:rsidRPr="00D96E82" w:rsidRDefault="0016744D" w:rsidP="00856600">
            <w:pPr>
              <w:spacing w:before="240" w:after="240" w:line="240" w:lineRule="auto"/>
              <w:rPr>
                <w:rFonts w:ascii="Calibri" w:hAnsi="Calibri" w:cs="Calibri"/>
              </w:rPr>
            </w:pPr>
            <w:r w:rsidRPr="00D96E82">
              <w:t>Refers to cases where the referral information indicates that the older person has sufficient support at present and does not need immediate assistance but requires an assessment in anticipation of their upcoming care requirements. Examples include the carer planning a holiday which will result in the care recipient requiring the provision of substitute care, or recognition that the person is having increased difficulty living independently and options for care need to be discussed with the older person and their carer or family.</w:t>
            </w:r>
          </w:p>
          <w:p w14:paraId="77037E49" w14:textId="77777777" w:rsidR="0016744D" w:rsidRPr="00D96E82" w:rsidRDefault="0016744D" w:rsidP="00856600">
            <w:pPr>
              <w:spacing w:before="240" w:after="240" w:line="240" w:lineRule="auto"/>
            </w:pPr>
            <w:r w:rsidRPr="00D96E82">
              <w:t>Low priority cases would also indicate that an older person can manage with their current living arrangements, can complete most functional tasks without help, and/or there are no immediate aged care related health and safety risks apparent.</w:t>
            </w:r>
          </w:p>
        </w:tc>
        <w:tc>
          <w:tcPr>
            <w:tcW w:w="1750" w:type="dxa"/>
          </w:tcPr>
          <w:p w14:paraId="5C10BE23" w14:textId="77777777" w:rsidR="0016744D" w:rsidRPr="00D96E82" w:rsidRDefault="0016744D" w:rsidP="00856600">
            <w:pPr>
              <w:spacing w:before="240" w:after="240" w:line="240" w:lineRule="auto"/>
              <w:jc w:val="center"/>
            </w:pPr>
            <w:r w:rsidRPr="00D96E82">
              <w:t xml:space="preserve">21 calendar days </w:t>
            </w:r>
          </w:p>
        </w:tc>
      </w:tr>
    </w:tbl>
    <w:p w14:paraId="0C224C0C" w14:textId="77777777" w:rsidR="0016744D" w:rsidRPr="00F87288" w:rsidRDefault="0016744D" w:rsidP="00C56CEC">
      <w:pPr>
        <w:pStyle w:val="H3"/>
      </w:pPr>
      <w:bookmarkStart w:id="259" w:name="_Toc184026561"/>
      <w:bookmarkStart w:id="260" w:name="_Toc184402279"/>
      <w:bookmarkStart w:id="261" w:name="_Toc204329525"/>
      <w:bookmarkStart w:id="262" w:name="_Hlk78276402"/>
      <w:r w:rsidRPr="003E1933">
        <w:t>Comprehensive assessment priority categories</w:t>
      </w:r>
      <w:bookmarkEnd w:id="259"/>
      <w:r w:rsidRPr="003E1933">
        <w:t>- community setting</w:t>
      </w:r>
      <w:bookmarkEnd w:id="260"/>
      <w:bookmarkEnd w:id="261"/>
    </w:p>
    <w:bookmarkEnd w:id="262"/>
    <w:p w14:paraId="1ACC2D12" w14:textId="0A42F245" w:rsidR="0016744D" w:rsidRPr="00DE51DB" w:rsidRDefault="0016744D" w:rsidP="00856600">
      <w:pPr>
        <w:spacing w:before="240" w:after="240" w:line="240" w:lineRule="auto"/>
      </w:pPr>
      <w:r w:rsidRPr="00981910">
        <w:t xml:space="preserve">The community setting includes the </w:t>
      </w:r>
      <w:r>
        <w:t>older person</w:t>
      </w:r>
      <w:r w:rsidRPr="00981910">
        <w:t xml:space="preserve"> or carer’s home, a community centre, private residence, a clinic, a residential aged care </w:t>
      </w:r>
      <w:r>
        <w:t>facility</w:t>
      </w:r>
      <w:r w:rsidRPr="00981910">
        <w:t>, or where the setting is not specified.</w:t>
      </w:r>
      <w:r w:rsidRPr="00DE51DB">
        <w:t xml:space="preserve"> </w:t>
      </w:r>
    </w:p>
    <w:p w14:paraId="25E9D4AC" w14:textId="5FB4F49F" w:rsidR="0016744D" w:rsidRPr="00DE51DB" w:rsidRDefault="0016744D" w:rsidP="00856600">
      <w:pPr>
        <w:pStyle w:val="Caption"/>
        <w:spacing w:before="240" w:after="240"/>
        <w:rPr>
          <w:lang w:eastAsia="ko-KR"/>
        </w:rPr>
      </w:pPr>
      <w:bookmarkStart w:id="263" w:name="_Hlk78276520"/>
      <w:r w:rsidRPr="00DE51DB">
        <w:t xml:space="preserve">Table </w:t>
      </w:r>
      <w:r>
        <w:t>1</w:t>
      </w:r>
      <w:r w:rsidR="00DF6E46">
        <w:t>5</w:t>
      </w:r>
      <w:r>
        <w:t>.</w:t>
      </w:r>
      <w:r w:rsidRPr="00DE51DB">
        <w:t xml:space="preserve"> </w:t>
      </w:r>
      <w:r>
        <w:t>Comprehensive assessment</w:t>
      </w:r>
      <w:r w:rsidRPr="00DE51DB">
        <w:t xml:space="preserve"> priority categories – community setting </w:t>
      </w:r>
    </w:p>
    <w:tbl>
      <w:tblPr>
        <w:tblW w:w="9072" w:type="dxa"/>
        <w:tblInd w:w="-5" w:type="dxa"/>
        <w:tblBorders>
          <w:bottom w:val="single" w:sz="4" w:space="0" w:color="auto"/>
          <w:insideH w:val="single" w:sz="4" w:space="0" w:color="auto"/>
        </w:tblBorders>
        <w:tblLayout w:type="fixed"/>
        <w:tblLook w:val="04A0" w:firstRow="1" w:lastRow="0" w:firstColumn="1" w:lastColumn="0" w:noHBand="0" w:noVBand="1"/>
        <w:tblCaption w:val="Comprehensive assessment priority categories - community setting"/>
        <w:tblDescription w:val="Guidance on priority cateogies for comprehensive assessments in community settings"/>
      </w:tblPr>
      <w:tblGrid>
        <w:gridCol w:w="1134"/>
        <w:gridCol w:w="5812"/>
        <w:gridCol w:w="2126"/>
      </w:tblGrid>
      <w:tr w:rsidR="006D5FB7" w:rsidRPr="009F664B" w14:paraId="5E16FE9A" w14:textId="77777777">
        <w:trPr>
          <w:trHeight w:val="841"/>
          <w:tblHeader/>
        </w:trPr>
        <w:tc>
          <w:tcPr>
            <w:tcW w:w="1134" w:type="dxa"/>
            <w:shd w:val="clear" w:color="auto" w:fill="002060"/>
          </w:tcPr>
          <w:p w14:paraId="169088C1" w14:textId="77777777" w:rsidR="0016744D" w:rsidRPr="002F2146" w:rsidRDefault="0016744D" w:rsidP="00856600">
            <w:pPr>
              <w:pStyle w:val="Sub-headingnon-contentpage"/>
              <w:spacing w:before="240" w:after="240"/>
            </w:pPr>
            <w:r w:rsidRPr="002F2146">
              <w:t>Priority Level</w:t>
            </w:r>
          </w:p>
        </w:tc>
        <w:tc>
          <w:tcPr>
            <w:tcW w:w="5812" w:type="dxa"/>
            <w:shd w:val="clear" w:color="auto" w:fill="002060"/>
          </w:tcPr>
          <w:p w14:paraId="41DB056B" w14:textId="77777777" w:rsidR="0016744D" w:rsidRPr="002F2146" w:rsidRDefault="0016744D" w:rsidP="00856600">
            <w:pPr>
              <w:pStyle w:val="Sub-headingnon-contentpage"/>
              <w:spacing w:before="240" w:after="240"/>
              <w:rPr>
                <w:lang w:eastAsia="ja-JP"/>
              </w:rPr>
            </w:pPr>
            <w:r w:rsidRPr="002F2146">
              <w:t>Definition</w:t>
            </w:r>
          </w:p>
        </w:tc>
        <w:tc>
          <w:tcPr>
            <w:tcW w:w="2126" w:type="dxa"/>
            <w:shd w:val="clear" w:color="auto" w:fill="002060"/>
          </w:tcPr>
          <w:p w14:paraId="0A6BA148" w14:textId="77777777" w:rsidR="0016744D" w:rsidRPr="009F664B" w:rsidRDefault="0016744D" w:rsidP="00856600">
            <w:pPr>
              <w:spacing w:before="240" w:after="240" w:line="240" w:lineRule="auto"/>
              <w:jc w:val="center"/>
              <w:rPr>
                <w:b/>
                <w:bCs/>
                <w:color w:val="FFFFFF" w:themeColor="background1"/>
                <w:lang w:eastAsia="ja-JP"/>
              </w:rPr>
            </w:pPr>
            <w:r w:rsidRPr="009F664B">
              <w:rPr>
                <w:b/>
                <w:bCs/>
                <w:color w:val="FFFFFF" w:themeColor="background1"/>
              </w:rPr>
              <w:t xml:space="preserve"> Timeframes (from day of referral acceptance to completion)</w:t>
            </w:r>
          </w:p>
        </w:tc>
      </w:tr>
      <w:tr w:rsidR="000201EF" w:rsidRPr="004C3BCC" w14:paraId="512AEA40" w14:textId="77777777">
        <w:tc>
          <w:tcPr>
            <w:tcW w:w="1134" w:type="dxa"/>
            <w:shd w:val="clear" w:color="auto" w:fill="002060"/>
          </w:tcPr>
          <w:p w14:paraId="333243AC" w14:textId="77777777" w:rsidR="0016744D" w:rsidRPr="004C3BCC" w:rsidRDefault="0016744D" w:rsidP="00856600">
            <w:pPr>
              <w:pStyle w:val="Sub-headingnon-contentpage"/>
              <w:spacing w:before="240" w:after="240"/>
            </w:pPr>
            <w:r w:rsidRPr="004C3BCC">
              <w:t>High</w:t>
            </w:r>
          </w:p>
        </w:tc>
        <w:tc>
          <w:tcPr>
            <w:tcW w:w="5812" w:type="dxa"/>
          </w:tcPr>
          <w:p w14:paraId="2A5ADC47" w14:textId="236533E4" w:rsidR="0016744D" w:rsidRDefault="0016744D" w:rsidP="00856600">
            <w:pPr>
              <w:spacing w:before="240" w:after="240" w:line="240" w:lineRule="auto"/>
            </w:pPr>
            <w:r w:rsidRPr="004C3BCC">
              <w:t xml:space="preserve">Requires an immediate response (e.g., response within 48 hours) based on the information collected during the referral process. An urgent assessment is required if the person’s safety is at risk (e.g., high risk of falls or abuse), or there is a high likelihood that the person will be hospitalised or required to leave their current residence because they are unable to care for themselves, or their carer is unavailable. This may be due to a crisis in the home involving either the older person or the carer, or a sudden change in the older person or carer’s medical, physical, cognitive, or psychological status. </w:t>
            </w:r>
          </w:p>
          <w:p w14:paraId="7AC14B82" w14:textId="35022C50" w:rsidR="0016744D" w:rsidRPr="004C3BCC" w:rsidRDefault="0016744D" w:rsidP="00856600">
            <w:pPr>
              <w:spacing w:before="240" w:after="240" w:line="240" w:lineRule="auto"/>
            </w:pPr>
            <w:r w:rsidRPr="004C3BCC">
              <w:t>End-of-Life Pathway referrals are also in this category and should be prioritised for urgent action.</w:t>
            </w:r>
          </w:p>
          <w:p w14:paraId="647AB183" w14:textId="77777777" w:rsidR="0016744D" w:rsidRPr="004C3BCC" w:rsidRDefault="0016744D" w:rsidP="00856600">
            <w:pPr>
              <w:spacing w:before="240" w:after="240" w:line="240" w:lineRule="auto"/>
              <w:rPr>
                <w:color w:val="000000"/>
                <w:lang w:eastAsia="ja-JP"/>
              </w:rPr>
            </w:pPr>
          </w:p>
        </w:tc>
        <w:tc>
          <w:tcPr>
            <w:tcW w:w="2126" w:type="dxa"/>
          </w:tcPr>
          <w:p w14:paraId="51F8CF06" w14:textId="77777777" w:rsidR="0016744D" w:rsidRPr="004C3BCC" w:rsidRDefault="0016744D" w:rsidP="00856600">
            <w:pPr>
              <w:spacing w:before="240" w:after="240" w:line="240" w:lineRule="auto"/>
              <w:jc w:val="center"/>
            </w:pPr>
            <w:r w:rsidRPr="004C3BCC">
              <w:t xml:space="preserve">10 calendar days </w:t>
            </w:r>
          </w:p>
        </w:tc>
      </w:tr>
      <w:tr w:rsidR="000201EF" w:rsidRPr="004C3BCC" w14:paraId="7FC94A9B" w14:textId="77777777">
        <w:tc>
          <w:tcPr>
            <w:tcW w:w="1134" w:type="dxa"/>
            <w:shd w:val="clear" w:color="auto" w:fill="002060"/>
          </w:tcPr>
          <w:p w14:paraId="7669879E" w14:textId="77777777" w:rsidR="0016744D" w:rsidRPr="004C3BCC" w:rsidRDefault="0016744D" w:rsidP="00856600">
            <w:pPr>
              <w:pStyle w:val="Sub-headingnon-contentpage"/>
              <w:spacing w:before="240" w:after="240"/>
            </w:pPr>
            <w:r w:rsidRPr="004C3BCC">
              <w:t>Medium</w:t>
            </w:r>
          </w:p>
        </w:tc>
        <w:tc>
          <w:tcPr>
            <w:tcW w:w="5812" w:type="dxa"/>
          </w:tcPr>
          <w:p w14:paraId="4984A797" w14:textId="77777777" w:rsidR="0016744D" w:rsidRPr="004C3BCC" w:rsidRDefault="0016744D" w:rsidP="00856600">
            <w:pPr>
              <w:spacing w:before="240" w:after="240" w:line="240" w:lineRule="auto"/>
              <w:rPr>
                <w:color w:val="000000"/>
                <w:lang w:eastAsia="ja-JP"/>
              </w:rPr>
            </w:pPr>
            <w:r w:rsidRPr="004C3BCC">
              <w:t>Information available at referral indicates that the older person is not at immediate risk of harm. Referrals should be allocated to this priority category if they indicate progressive deterioration in the older person’s physical, mental, or functional status, or that the level of care currently available to the older person does not meet their needs or is not sustainable in the long-term.</w:t>
            </w:r>
          </w:p>
        </w:tc>
        <w:tc>
          <w:tcPr>
            <w:tcW w:w="2126" w:type="dxa"/>
          </w:tcPr>
          <w:p w14:paraId="011E3AFA" w14:textId="77777777" w:rsidR="0016744D" w:rsidRPr="004C3BCC" w:rsidRDefault="0016744D" w:rsidP="00856600">
            <w:pPr>
              <w:spacing w:before="240" w:after="240" w:line="240" w:lineRule="auto"/>
              <w:jc w:val="center"/>
            </w:pPr>
            <w:r w:rsidRPr="004C3BCC">
              <w:t xml:space="preserve">20 calendar days </w:t>
            </w:r>
          </w:p>
        </w:tc>
      </w:tr>
      <w:tr w:rsidR="000201EF" w:rsidRPr="004C3BCC" w14:paraId="7103E96C" w14:textId="77777777">
        <w:trPr>
          <w:trHeight w:val="1272"/>
        </w:trPr>
        <w:tc>
          <w:tcPr>
            <w:tcW w:w="1134" w:type="dxa"/>
            <w:shd w:val="clear" w:color="auto" w:fill="002060"/>
          </w:tcPr>
          <w:p w14:paraId="68400894" w14:textId="77777777" w:rsidR="0016744D" w:rsidRPr="004C3BCC" w:rsidRDefault="0016744D" w:rsidP="00856600">
            <w:pPr>
              <w:pStyle w:val="Sub-headingnon-contentpage"/>
              <w:spacing w:before="240" w:after="240"/>
            </w:pPr>
            <w:r w:rsidRPr="004C3BCC">
              <w:t>Low</w:t>
            </w:r>
          </w:p>
        </w:tc>
        <w:tc>
          <w:tcPr>
            <w:tcW w:w="5812" w:type="dxa"/>
          </w:tcPr>
          <w:p w14:paraId="7B960D46" w14:textId="77777777" w:rsidR="0016744D" w:rsidRPr="004C3BCC" w:rsidRDefault="0016744D" w:rsidP="00856600">
            <w:pPr>
              <w:spacing w:before="240" w:after="240" w:line="240" w:lineRule="auto"/>
              <w:rPr>
                <w:color w:val="000000"/>
                <w:lang w:eastAsia="ja-JP"/>
              </w:rPr>
            </w:pPr>
            <w:r w:rsidRPr="004C3BCC">
              <w:t xml:space="preserve">Refers to cases where the referral information indicates that the older person has sufficient support available at present, but that they require an assessment in anticipation of their upcoming care requirements. Examples include the carer planning a holiday, which will result in the care recipient requiring the provision of substitute care or recognition that the person is having increased difficulty living independently and options for care need to be discussed with the older person and their carer or family. </w:t>
            </w:r>
          </w:p>
        </w:tc>
        <w:tc>
          <w:tcPr>
            <w:tcW w:w="2126" w:type="dxa"/>
          </w:tcPr>
          <w:p w14:paraId="46882BC4" w14:textId="77777777" w:rsidR="0016744D" w:rsidRPr="004C3BCC" w:rsidRDefault="0016744D" w:rsidP="00856600">
            <w:pPr>
              <w:spacing w:before="240" w:after="240" w:line="240" w:lineRule="auto"/>
              <w:ind w:left="39"/>
            </w:pPr>
            <w:r w:rsidRPr="004C3BCC">
              <w:t xml:space="preserve">40 calendar days </w:t>
            </w:r>
          </w:p>
        </w:tc>
      </w:tr>
    </w:tbl>
    <w:p w14:paraId="0E816E84" w14:textId="289AD390" w:rsidR="00BF50CA" w:rsidRDefault="00BF50CA" w:rsidP="00856600">
      <w:pPr>
        <w:spacing w:before="240" w:after="240" w:line="240" w:lineRule="auto"/>
      </w:pPr>
      <w:bookmarkStart w:id="264" w:name="_Toc184402280"/>
      <w:bookmarkStart w:id="265" w:name="_Toc204329526"/>
      <w:bookmarkStart w:id="266" w:name="_Hlk184396955"/>
      <w:bookmarkStart w:id="267" w:name="_Hlk78276314"/>
    </w:p>
    <w:p w14:paraId="3F5E434B" w14:textId="77777777" w:rsidR="0016744D" w:rsidRPr="00F87288" w:rsidRDefault="0016744D" w:rsidP="00C56CEC">
      <w:pPr>
        <w:pStyle w:val="H3"/>
      </w:pPr>
      <w:r w:rsidRPr="003E1933">
        <w:t>Hospital assessment priority categories</w:t>
      </w:r>
      <w:bookmarkEnd w:id="264"/>
      <w:bookmarkEnd w:id="265"/>
    </w:p>
    <w:p w14:paraId="1E487A9A" w14:textId="77777777" w:rsidR="0016744D" w:rsidRPr="00DE51DB" w:rsidRDefault="0016744D" w:rsidP="00856600">
      <w:pPr>
        <w:spacing w:before="240" w:after="240" w:line="240" w:lineRule="auto"/>
      </w:pPr>
      <w:r w:rsidRPr="00DE51DB">
        <w:t xml:space="preserve">The hospital setting includes aged care assessments in an acute setting, a public </w:t>
      </w:r>
      <w:r>
        <w:t>or</w:t>
      </w:r>
      <w:r w:rsidRPr="00DE51DB">
        <w:t xml:space="preserve"> private hospital, or other hospital inpatient setting.</w:t>
      </w:r>
    </w:p>
    <w:bookmarkEnd w:id="266"/>
    <w:p w14:paraId="5D941E11" w14:textId="5B568B0F" w:rsidR="0016744D" w:rsidRDefault="0016744D" w:rsidP="00856600">
      <w:pPr>
        <w:pStyle w:val="Caption"/>
        <w:spacing w:before="240" w:after="240"/>
        <w:rPr>
          <w:lang w:eastAsia="ko-KR"/>
        </w:rPr>
      </w:pPr>
      <w:r w:rsidRPr="003E1933">
        <w:t xml:space="preserve">Table </w:t>
      </w:r>
      <w:r>
        <w:t>1</w:t>
      </w:r>
      <w:r w:rsidR="00DF6E46">
        <w:t>6</w:t>
      </w:r>
      <w:r w:rsidRPr="003E1933">
        <w:t>. Hospital assessment priority categories</w:t>
      </w:r>
      <w:r w:rsidRPr="00DE51DB">
        <w:t xml:space="preserve"> </w:t>
      </w:r>
    </w:p>
    <w:tbl>
      <w:tblPr>
        <w:tblW w:w="9072" w:type="dxa"/>
        <w:tblInd w:w="-5" w:type="dxa"/>
        <w:tblBorders>
          <w:bottom w:val="single" w:sz="4" w:space="0" w:color="auto"/>
          <w:insideH w:val="single" w:sz="4" w:space="0" w:color="auto"/>
        </w:tblBorders>
        <w:tblLayout w:type="fixed"/>
        <w:tblLook w:val="04A0" w:firstRow="1" w:lastRow="0" w:firstColumn="1" w:lastColumn="0" w:noHBand="0" w:noVBand="1"/>
        <w:tblCaption w:val="Hopsital assessment priority categories "/>
        <w:tblDescription w:val="Guidance on priority categories for assessments in a hospital setting"/>
      </w:tblPr>
      <w:tblGrid>
        <w:gridCol w:w="1955"/>
        <w:gridCol w:w="4849"/>
        <w:gridCol w:w="2268"/>
      </w:tblGrid>
      <w:tr w:rsidR="006D5FB7" w:rsidRPr="00A117DB" w14:paraId="3AEBACE6" w14:textId="77777777" w:rsidTr="00E6154C">
        <w:trPr>
          <w:trHeight w:val="841"/>
          <w:tblHeader/>
        </w:trPr>
        <w:tc>
          <w:tcPr>
            <w:tcW w:w="1955" w:type="dxa"/>
            <w:shd w:val="clear" w:color="auto" w:fill="002060"/>
          </w:tcPr>
          <w:p w14:paraId="16524DE4" w14:textId="77777777" w:rsidR="0016744D" w:rsidRPr="00A117DB" w:rsidRDefault="0016744D" w:rsidP="00856600">
            <w:pPr>
              <w:pStyle w:val="Sub-headingnon-contentpage"/>
              <w:spacing w:before="240" w:after="240"/>
            </w:pPr>
            <w:bookmarkStart w:id="268" w:name="_Hlk128315452"/>
            <w:bookmarkEnd w:id="267"/>
            <w:r w:rsidRPr="00A117DB">
              <w:t>Priority Level</w:t>
            </w:r>
          </w:p>
        </w:tc>
        <w:tc>
          <w:tcPr>
            <w:tcW w:w="4849" w:type="dxa"/>
            <w:shd w:val="clear" w:color="auto" w:fill="002060"/>
          </w:tcPr>
          <w:p w14:paraId="6E82E3E4" w14:textId="77777777" w:rsidR="0016744D" w:rsidRPr="00A117DB" w:rsidRDefault="0016744D" w:rsidP="00856600">
            <w:pPr>
              <w:pStyle w:val="Sub-headingnon-contentpage"/>
              <w:spacing w:before="240" w:after="240"/>
              <w:rPr>
                <w:lang w:eastAsia="ja-JP"/>
              </w:rPr>
            </w:pPr>
            <w:r w:rsidRPr="00A117DB">
              <w:t>Definition</w:t>
            </w:r>
          </w:p>
        </w:tc>
        <w:tc>
          <w:tcPr>
            <w:tcW w:w="2268" w:type="dxa"/>
            <w:shd w:val="clear" w:color="auto" w:fill="002060"/>
          </w:tcPr>
          <w:p w14:paraId="2E6D8748" w14:textId="77777777" w:rsidR="0016744D" w:rsidRPr="00A117DB" w:rsidRDefault="0016744D" w:rsidP="00856600">
            <w:pPr>
              <w:spacing w:before="240" w:after="240" w:line="240" w:lineRule="auto"/>
              <w:jc w:val="center"/>
              <w:rPr>
                <w:b/>
                <w:bCs/>
                <w:color w:val="FFFFFF" w:themeColor="background1"/>
                <w:szCs w:val="22"/>
              </w:rPr>
            </w:pPr>
            <w:r w:rsidRPr="00A117DB">
              <w:rPr>
                <w:b/>
                <w:bCs/>
                <w:color w:val="FFFFFF" w:themeColor="background1"/>
                <w:szCs w:val="22"/>
              </w:rPr>
              <w:t>Timeframes (from day of referral acceptance to completion)</w:t>
            </w:r>
          </w:p>
        </w:tc>
      </w:tr>
      <w:tr w:rsidR="007C5952" w:rsidRPr="00DE51DB" w14:paraId="1BF2176C" w14:textId="77777777">
        <w:tc>
          <w:tcPr>
            <w:tcW w:w="1955" w:type="dxa"/>
          </w:tcPr>
          <w:p w14:paraId="7E54C1ED" w14:textId="77777777" w:rsidR="0016744D" w:rsidRPr="00DE51DB" w:rsidRDefault="0016744D" w:rsidP="00856600">
            <w:pPr>
              <w:pStyle w:val="Sub-headingnon-contentpage"/>
              <w:spacing w:before="240" w:after="240"/>
            </w:pPr>
            <w:r w:rsidRPr="00DE51DB">
              <w:t>High</w:t>
            </w:r>
          </w:p>
        </w:tc>
        <w:tc>
          <w:tcPr>
            <w:tcW w:w="4849" w:type="dxa"/>
          </w:tcPr>
          <w:p w14:paraId="14A0A127" w14:textId="77777777" w:rsidR="0016744D" w:rsidRPr="00DE51DB" w:rsidRDefault="0016744D" w:rsidP="00856600">
            <w:pPr>
              <w:spacing w:before="240" w:after="240" w:line="240" w:lineRule="auto"/>
              <w:rPr>
                <w:color w:val="000000"/>
                <w:szCs w:val="22"/>
                <w:lang w:eastAsia="ja-JP"/>
              </w:rPr>
            </w:pPr>
            <w:r w:rsidRPr="00DE51DB">
              <w:rPr>
                <w:szCs w:val="22"/>
              </w:rPr>
              <w:t xml:space="preserve">Requires an immediate response based on the information collected during the referral process (e.g., response within 2 calendar days and completion within 5 calendar days of referral acceptance). </w:t>
            </w:r>
          </w:p>
        </w:tc>
        <w:tc>
          <w:tcPr>
            <w:tcW w:w="2268" w:type="dxa"/>
          </w:tcPr>
          <w:p w14:paraId="715318FA" w14:textId="77777777" w:rsidR="0016744D" w:rsidRPr="00DE51DB" w:rsidRDefault="0016744D" w:rsidP="00856600">
            <w:pPr>
              <w:spacing w:before="240" w:after="240" w:line="240" w:lineRule="auto"/>
              <w:jc w:val="center"/>
              <w:rPr>
                <w:szCs w:val="22"/>
              </w:rPr>
            </w:pPr>
            <w:r w:rsidRPr="00DE51DB">
              <w:rPr>
                <w:szCs w:val="22"/>
              </w:rPr>
              <w:t xml:space="preserve">5 </w:t>
            </w:r>
            <w:r>
              <w:rPr>
                <w:szCs w:val="22"/>
              </w:rPr>
              <w:t xml:space="preserve">calendar </w:t>
            </w:r>
            <w:r w:rsidRPr="00DE51DB">
              <w:rPr>
                <w:szCs w:val="22"/>
              </w:rPr>
              <w:t>days</w:t>
            </w:r>
          </w:p>
        </w:tc>
      </w:tr>
      <w:tr w:rsidR="007C5952" w:rsidRPr="00DE51DB" w14:paraId="2DCF1B5D" w14:textId="77777777">
        <w:tc>
          <w:tcPr>
            <w:tcW w:w="1955" w:type="dxa"/>
          </w:tcPr>
          <w:p w14:paraId="31795397" w14:textId="77777777" w:rsidR="0016744D" w:rsidRPr="00DE51DB" w:rsidRDefault="0016744D" w:rsidP="00856600">
            <w:pPr>
              <w:pStyle w:val="Sub-headingnon-contentpage"/>
              <w:spacing w:before="240" w:after="240"/>
            </w:pPr>
            <w:r w:rsidRPr="00DE51DB">
              <w:t>Medium</w:t>
            </w:r>
          </w:p>
        </w:tc>
        <w:tc>
          <w:tcPr>
            <w:tcW w:w="4849" w:type="dxa"/>
          </w:tcPr>
          <w:p w14:paraId="16889B07" w14:textId="77777777" w:rsidR="0016744D" w:rsidRPr="00DE51DB" w:rsidRDefault="0016744D" w:rsidP="00856600">
            <w:pPr>
              <w:spacing w:before="240" w:after="240" w:line="240" w:lineRule="auto"/>
              <w:rPr>
                <w:color w:val="000000"/>
                <w:szCs w:val="22"/>
                <w:lang w:eastAsia="ja-JP"/>
              </w:rPr>
            </w:pPr>
            <w:r w:rsidRPr="00DE51DB">
              <w:rPr>
                <w:szCs w:val="22"/>
              </w:rPr>
              <w:t xml:space="preserve">Information available at referral indicates that the </w:t>
            </w:r>
            <w:r>
              <w:rPr>
                <w:szCs w:val="22"/>
              </w:rPr>
              <w:t>older person</w:t>
            </w:r>
            <w:r w:rsidRPr="00DE51DB">
              <w:rPr>
                <w:szCs w:val="22"/>
              </w:rPr>
              <w:t xml:space="preserve"> is not at immediate risk of harm. Referrals indicate progressive deterioration in the </w:t>
            </w:r>
            <w:r>
              <w:rPr>
                <w:szCs w:val="22"/>
              </w:rPr>
              <w:t>older person</w:t>
            </w:r>
            <w:r w:rsidRPr="00DE51DB">
              <w:rPr>
                <w:szCs w:val="22"/>
              </w:rPr>
              <w:t xml:space="preserve">’s physical, mental, or functioning status, or that the level of care currently available to the </w:t>
            </w:r>
            <w:r>
              <w:rPr>
                <w:szCs w:val="22"/>
              </w:rPr>
              <w:t>older person</w:t>
            </w:r>
            <w:r w:rsidRPr="00DE51DB">
              <w:rPr>
                <w:szCs w:val="22"/>
              </w:rPr>
              <w:t xml:space="preserve"> does not meet their needs or is not sustainable in the long-term (e.g., response within 5 calendar days and completion within 10 calendar days of referral acceptance).</w:t>
            </w:r>
          </w:p>
        </w:tc>
        <w:tc>
          <w:tcPr>
            <w:tcW w:w="2268" w:type="dxa"/>
          </w:tcPr>
          <w:p w14:paraId="11B026D9" w14:textId="77777777" w:rsidR="0016744D" w:rsidRPr="00DE51DB" w:rsidRDefault="0016744D" w:rsidP="00856600">
            <w:pPr>
              <w:spacing w:before="240" w:after="240" w:line="240" w:lineRule="auto"/>
              <w:jc w:val="center"/>
              <w:rPr>
                <w:szCs w:val="22"/>
              </w:rPr>
            </w:pPr>
            <w:r w:rsidRPr="00DE51DB">
              <w:rPr>
                <w:szCs w:val="22"/>
              </w:rPr>
              <w:t xml:space="preserve">10 </w:t>
            </w:r>
            <w:r>
              <w:rPr>
                <w:szCs w:val="22"/>
              </w:rPr>
              <w:t xml:space="preserve">calendar </w:t>
            </w:r>
            <w:r w:rsidRPr="00DE51DB">
              <w:rPr>
                <w:szCs w:val="22"/>
              </w:rPr>
              <w:t>days</w:t>
            </w:r>
          </w:p>
        </w:tc>
      </w:tr>
      <w:tr w:rsidR="007C5952" w:rsidRPr="00DE51DB" w14:paraId="71D464B2" w14:textId="77777777">
        <w:trPr>
          <w:trHeight w:val="1272"/>
        </w:trPr>
        <w:tc>
          <w:tcPr>
            <w:tcW w:w="1955" w:type="dxa"/>
          </w:tcPr>
          <w:p w14:paraId="7D599207" w14:textId="77777777" w:rsidR="0016744D" w:rsidRPr="00DE51DB" w:rsidRDefault="0016744D" w:rsidP="00856600">
            <w:pPr>
              <w:pStyle w:val="Sub-headingnon-contentpage"/>
              <w:spacing w:before="240" w:after="240"/>
            </w:pPr>
            <w:r w:rsidRPr="00DE51DB">
              <w:t>Low</w:t>
            </w:r>
          </w:p>
        </w:tc>
        <w:tc>
          <w:tcPr>
            <w:tcW w:w="4849" w:type="dxa"/>
          </w:tcPr>
          <w:p w14:paraId="70440F2D" w14:textId="77777777" w:rsidR="0016744D" w:rsidRPr="00DE51DB" w:rsidRDefault="0016744D" w:rsidP="00856600">
            <w:pPr>
              <w:spacing w:before="240" w:after="240" w:line="240" w:lineRule="auto"/>
              <w:ind w:right="459"/>
              <w:rPr>
                <w:color w:val="000000"/>
                <w:szCs w:val="22"/>
                <w:lang w:eastAsia="ja-JP"/>
              </w:rPr>
            </w:pPr>
            <w:r w:rsidRPr="00DE51DB">
              <w:rPr>
                <w:szCs w:val="22"/>
              </w:rPr>
              <w:t xml:space="preserve">Information available at referral indicates an appropriate response within 10 calendar days and completion within 15 calendar days of referral acceptance). </w:t>
            </w:r>
          </w:p>
        </w:tc>
        <w:tc>
          <w:tcPr>
            <w:tcW w:w="2268" w:type="dxa"/>
          </w:tcPr>
          <w:p w14:paraId="7E071C44" w14:textId="77777777" w:rsidR="0016744D" w:rsidRPr="00DE51DB" w:rsidRDefault="0016744D" w:rsidP="00856600">
            <w:pPr>
              <w:spacing w:before="240" w:after="240" w:line="240" w:lineRule="auto"/>
              <w:ind w:right="459"/>
              <w:contextualSpacing/>
              <w:jc w:val="center"/>
              <w:rPr>
                <w:szCs w:val="22"/>
              </w:rPr>
            </w:pPr>
            <w:r w:rsidRPr="00DE51DB">
              <w:rPr>
                <w:szCs w:val="22"/>
              </w:rPr>
              <w:t xml:space="preserve">15 </w:t>
            </w:r>
            <w:r>
              <w:rPr>
                <w:szCs w:val="22"/>
              </w:rPr>
              <w:t xml:space="preserve">calendar </w:t>
            </w:r>
            <w:r w:rsidRPr="00DE51DB">
              <w:rPr>
                <w:szCs w:val="22"/>
              </w:rPr>
              <w:t>days</w:t>
            </w:r>
          </w:p>
        </w:tc>
      </w:tr>
    </w:tbl>
    <w:p w14:paraId="7C27F493" w14:textId="77777777" w:rsidR="0016744D" w:rsidRPr="00DE51DB" w:rsidRDefault="0016744D" w:rsidP="00856600">
      <w:pPr>
        <w:spacing w:before="240" w:after="240" w:line="240" w:lineRule="auto"/>
        <w:rPr>
          <w:iCs/>
        </w:rPr>
      </w:pPr>
      <w:bookmarkStart w:id="269" w:name="_Hlk78276290"/>
      <w:bookmarkEnd w:id="263"/>
      <w:bookmarkEnd w:id="268"/>
      <w:r w:rsidRPr="00DE51DB">
        <w:rPr>
          <w:iCs/>
        </w:rPr>
        <w:t xml:space="preserve">For all priorities in the hospital setting, the expectation is </w:t>
      </w:r>
      <w:r>
        <w:rPr>
          <w:iCs/>
        </w:rPr>
        <w:t xml:space="preserve">that at </w:t>
      </w:r>
      <w:r w:rsidRPr="00DE51DB">
        <w:rPr>
          <w:iCs/>
        </w:rPr>
        <w:t xml:space="preserve">the time the assessment is undertaken: </w:t>
      </w:r>
    </w:p>
    <w:p w14:paraId="23DEAB9B" w14:textId="77777777" w:rsidR="0016744D" w:rsidRPr="00967A18" w:rsidRDefault="0016744D" w:rsidP="00DF3F6B">
      <w:pPr>
        <w:pStyle w:val="ListParagraph"/>
        <w:numPr>
          <w:ilvl w:val="0"/>
          <w:numId w:val="57"/>
        </w:numPr>
        <w:spacing w:before="240" w:after="240" w:line="240" w:lineRule="auto"/>
        <w:rPr>
          <w:iCs/>
        </w:rPr>
      </w:pPr>
      <w:r w:rsidRPr="00967A18">
        <w:rPr>
          <w:iCs/>
        </w:rPr>
        <w:t xml:space="preserve">The person is anticipated to be medically stable, unless they have a rapidly deteriorating condition that cannot be stabilised. </w:t>
      </w:r>
    </w:p>
    <w:p w14:paraId="306A2B0E" w14:textId="77777777" w:rsidR="0016744D" w:rsidRPr="00967A18" w:rsidRDefault="0016744D" w:rsidP="00DF3F6B">
      <w:pPr>
        <w:pStyle w:val="ListParagraph"/>
        <w:numPr>
          <w:ilvl w:val="0"/>
          <w:numId w:val="57"/>
        </w:numPr>
        <w:spacing w:before="240" w:after="240" w:line="240" w:lineRule="auto"/>
        <w:rPr>
          <w:iCs/>
        </w:rPr>
      </w:pPr>
      <w:r w:rsidRPr="00967A18">
        <w:rPr>
          <w:iCs/>
        </w:rPr>
        <w:t>The full range of clinical and rehabilitation support (to be provided by the hospital) are explored to ascertain the best care options for the older person on discharge from hospital. This may include:</w:t>
      </w:r>
    </w:p>
    <w:p w14:paraId="74029871" w14:textId="77777777" w:rsidR="0016744D" w:rsidRDefault="0016744D" w:rsidP="00DF3F6B">
      <w:pPr>
        <w:pStyle w:val="ListParagraph"/>
        <w:numPr>
          <w:ilvl w:val="0"/>
          <w:numId w:val="58"/>
        </w:numPr>
        <w:spacing w:before="240" w:after="240" w:line="240" w:lineRule="auto"/>
        <w:ind w:left="1560"/>
        <w:rPr>
          <w:iCs/>
        </w:rPr>
      </w:pPr>
      <w:r w:rsidRPr="00967A18">
        <w:rPr>
          <w:iCs/>
        </w:rPr>
        <w:t>multidisciplinary case conferencing with the carer and family</w:t>
      </w:r>
    </w:p>
    <w:p w14:paraId="229F1785" w14:textId="77777777" w:rsidR="0016744D" w:rsidRDefault="0016744D" w:rsidP="00DF3F6B">
      <w:pPr>
        <w:pStyle w:val="ListParagraph"/>
        <w:numPr>
          <w:ilvl w:val="0"/>
          <w:numId w:val="58"/>
        </w:numPr>
        <w:spacing w:before="240" w:after="240" w:line="240" w:lineRule="auto"/>
        <w:ind w:left="1560"/>
        <w:rPr>
          <w:iCs/>
        </w:rPr>
      </w:pPr>
      <w:r w:rsidRPr="00967A18">
        <w:rPr>
          <w:iCs/>
        </w:rPr>
        <w:t>consultation with the hospital geriatric rehabilitation service or equivalent</w:t>
      </w:r>
    </w:p>
    <w:p w14:paraId="4C561585" w14:textId="77777777" w:rsidR="0016744D" w:rsidRDefault="0016744D" w:rsidP="00DF3F6B">
      <w:pPr>
        <w:pStyle w:val="ListParagraph"/>
        <w:numPr>
          <w:ilvl w:val="0"/>
          <w:numId w:val="58"/>
        </w:numPr>
        <w:spacing w:before="240" w:after="240" w:line="240" w:lineRule="auto"/>
        <w:ind w:left="1560"/>
        <w:rPr>
          <w:iCs/>
        </w:rPr>
      </w:pPr>
      <w:r w:rsidRPr="00967A18">
        <w:rPr>
          <w:iCs/>
        </w:rPr>
        <w:t xml:space="preserve">consultation with members of the treating multidisciplinary team; and </w:t>
      </w:r>
    </w:p>
    <w:p w14:paraId="1D845EBE" w14:textId="77777777" w:rsidR="0016744D" w:rsidRPr="00967A18" w:rsidRDefault="0016744D" w:rsidP="00DF3F6B">
      <w:pPr>
        <w:pStyle w:val="ListParagraph"/>
        <w:numPr>
          <w:ilvl w:val="0"/>
          <w:numId w:val="58"/>
        </w:numPr>
        <w:spacing w:before="240" w:after="240" w:line="240" w:lineRule="auto"/>
        <w:ind w:left="1560"/>
        <w:rPr>
          <w:iCs/>
        </w:rPr>
      </w:pPr>
      <w:r w:rsidRPr="00967A18">
        <w:rPr>
          <w:iCs/>
        </w:rPr>
        <w:t>liaison with hospital discharge planners.</w:t>
      </w:r>
    </w:p>
    <w:bookmarkEnd w:id="269"/>
    <w:p w14:paraId="7A33672D" w14:textId="77777777" w:rsidR="0016744D" w:rsidRDefault="0016744D" w:rsidP="00856600">
      <w:pPr>
        <w:spacing w:before="240" w:after="240" w:line="240" w:lineRule="auto"/>
      </w:pPr>
      <w:r w:rsidRPr="20771F94">
        <w:t xml:space="preserve">Adverse effects on the </w:t>
      </w:r>
      <w:r>
        <w:t>older person</w:t>
      </w:r>
      <w:r w:rsidRPr="20771F94">
        <w:t xml:space="preserve"> of prolonged hospitalisation, or where a delay may disadvantage the </w:t>
      </w:r>
      <w:r>
        <w:t>older person</w:t>
      </w:r>
      <w:r w:rsidRPr="20771F94">
        <w:t xml:space="preserve"> from accessing the care option they need, are other factors that influence the decision on the priority.</w:t>
      </w:r>
    </w:p>
    <w:p w14:paraId="210A267B" w14:textId="5DA12857" w:rsidR="0016744D" w:rsidRDefault="0016744D" w:rsidP="00507F9D">
      <w:pPr>
        <w:pStyle w:val="h2"/>
      </w:pPr>
      <w:bookmarkStart w:id="270" w:name="_Toc499195597"/>
      <w:bookmarkStart w:id="271" w:name="_Ref128153385"/>
      <w:bookmarkStart w:id="272" w:name="_Ref128153508"/>
      <w:bookmarkStart w:id="273" w:name="_Toc159226871"/>
      <w:bookmarkStart w:id="274" w:name="_Ref167870576"/>
      <w:bookmarkStart w:id="275" w:name="_Toc184402281"/>
      <w:bookmarkStart w:id="276" w:name="_Toc204329527"/>
      <w:bookmarkStart w:id="277" w:name="_Toc209188972"/>
      <w:bookmarkStart w:id="278" w:name="_Ref212733599"/>
      <w:bookmarkStart w:id="279" w:name="_Ref212733619"/>
      <w:bookmarkStart w:id="280" w:name="_Toc224916635"/>
      <w:r>
        <w:t>Actioning</w:t>
      </w:r>
      <w:r w:rsidRPr="006F586E">
        <w:t xml:space="preserve"> </w:t>
      </w:r>
      <w:r w:rsidR="006B4BA4">
        <w:t>r</w:t>
      </w:r>
      <w:r w:rsidRPr="006F586E">
        <w:t>eferrals</w:t>
      </w:r>
      <w:bookmarkEnd w:id="270"/>
      <w:bookmarkEnd w:id="271"/>
      <w:bookmarkEnd w:id="272"/>
      <w:bookmarkEnd w:id="273"/>
      <w:bookmarkEnd w:id="274"/>
      <w:bookmarkEnd w:id="275"/>
      <w:bookmarkEnd w:id="276"/>
      <w:bookmarkEnd w:id="277"/>
      <w:bookmarkEnd w:id="278"/>
      <w:bookmarkEnd w:id="279"/>
      <w:bookmarkEnd w:id="280"/>
    </w:p>
    <w:p w14:paraId="1D72FD59" w14:textId="4D9A1215" w:rsidR="0016744D" w:rsidRPr="00CD0319" w:rsidRDefault="0016744D" w:rsidP="00856600">
      <w:pPr>
        <w:spacing w:before="240" w:after="240" w:line="240" w:lineRule="auto"/>
      </w:pPr>
      <w:r w:rsidRPr="20771F94">
        <w:t xml:space="preserve">Once a referral for assessment is issued, team leaders can action by accepting, rejecting or transferring the referral. After allocating to </w:t>
      </w:r>
      <w:r w:rsidR="00484BD6">
        <w:t>a Triage Delegate</w:t>
      </w:r>
      <w:r w:rsidRPr="20771F94">
        <w:t xml:space="preserve">, it is only the team leader who can reject or transfer a referral. A referral can only be transferred once. The system also allows ‘bulk’ acceptance of referrals. If this functionality is used, the </w:t>
      </w:r>
      <w:r>
        <w:t>department</w:t>
      </w:r>
      <w:r w:rsidRPr="20771F94">
        <w:t xml:space="preserve"> expects that the referral has been appropriately reviewed prior to the team leader’s decision to accept a referral. Referrals cannot be recalled or cancelled by the My Aged Care Contact Centre once the referral has been accepted.</w:t>
      </w:r>
    </w:p>
    <w:p w14:paraId="25DAC36B" w14:textId="77777777" w:rsidR="004107E5" w:rsidRPr="000027E3" w:rsidRDefault="0016744D" w:rsidP="00C325C6">
      <w:pPr>
        <w:pStyle w:val="Sub-headings"/>
      </w:pPr>
      <w:r w:rsidRPr="00904192">
        <w:t>Note</w:t>
      </w:r>
      <w:r w:rsidRPr="000027E3">
        <w:t>:</w:t>
      </w:r>
    </w:p>
    <w:p w14:paraId="5F6E0FCE" w14:textId="41C7B796" w:rsidR="0016744D" w:rsidRPr="00CC169D" w:rsidRDefault="0016744D" w:rsidP="00C325C6">
      <w:pPr>
        <w:pStyle w:val="Sub-headings"/>
      </w:pPr>
      <w:r w:rsidRPr="00CC169D">
        <w:t xml:space="preserve"> Business allocation counts all referrals issued to the assessment organisation, regardless of the action (accept, reject or transfer). </w:t>
      </w:r>
    </w:p>
    <w:p w14:paraId="342D25C7" w14:textId="77777777" w:rsidR="004107E5" w:rsidRDefault="004107E5" w:rsidP="00662566">
      <w:bookmarkStart w:id="281" w:name="_Toc204329528"/>
    </w:p>
    <w:p w14:paraId="1C612ED3" w14:textId="391816AB" w:rsidR="0016744D" w:rsidRPr="00CC169D" w:rsidRDefault="0016744D" w:rsidP="00C56CEC">
      <w:pPr>
        <w:pStyle w:val="H3"/>
      </w:pPr>
      <w:r w:rsidRPr="003E1933">
        <w:t xml:space="preserve">Preference for an Aboriginal and Torres Strait Islander </w:t>
      </w:r>
      <w:r w:rsidR="006B4BA4">
        <w:t>a</w:t>
      </w:r>
      <w:r w:rsidRPr="003E1933">
        <w:t xml:space="preserve">ssessment </w:t>
      </w:r>
      <w:r w:rsidR="006B4BA4">
        <w:t>o</w:t>
      </w:r>
      <w:r w:rsidRPr="003E1933">
        <w:t>rganisation</w:t>
      </w:r>
      <w:bookmarkEnd w:id="281"/>
    </w:p>
    <w:p w14:paraId="574E1816" w14:textId="23169562" w:rsidR="0016744D" w:rsidRPr="003F3202" w:rsidRDefault="0016744D" w:rsidP="00856600">
      <w:pPr>
        <w:spacing w:before="240" w:after="240" w:line="240" w:lineRule="auto"/>
        <w:rPr>
          <w:rFonts w:eastAsia="MS Mincho"/>
        </w:rPr>
      </w:pPr>
      <w:r w:rsidRPr="003F3202">
        <w:rPr>
          <w:rFonts w:eastAsia="MS Mincho"/>
        </w:rPr>
        <w:t xml:space="preserve">Some older Aboriginal and Torres Strait Islander people may prefer to be assessed by an Aboriginal and Torres Strait Islander assessment organisation, others may prefer the first available organisation regardless of who it is, and some may prefer to receive an assessment from a mainstream assessment organisation. </w:t>
      </w:r>
      <w:r w:rsidR="00CC2D3B" w:rsidRPr="003F3202">
        <w:rPr>
          <w:rFonts w:eastAsia="MS Mincho"/>
        </w:rPr>
        <w:t>Th</w:t>
      </w:r>
      <w:r w:rsidR="00CC2D3B">
        <w:rPr>
          <w:rFonts w:eastAsia="MS Mincho"/>
        </w:rPr>
        <w:t>e single assessment</w:t>
      </w:r>
      <w:r w:rsidRPr="003F3202">
        <w:rPr>
          <w:rFonts w:eastAsia="MS Mincho"/>
        </w:rPr>
        <w:t xml:space="preserve"> pathway supports the choice of each older Aboriginal and Torres Strait Islander person. </w:t>
      </w:r>
    </w:p>
    <w:p w14:paraId="69FEF01D" w14:textId="77777777" w:rsidR="0016744D" w:rsidRPr="003F3202" w:rsidRDefault="0016744D" w:rsidP="00856600">
      <w:pPr>
        <w:pStyle w:val="ListParagraph"/>
        <w:spacing w:before="240" w:after="240" w:line="240" w:lineRule="auto"/>
        <w:ind w:left="0"/>
        <w:rPr>
          <w:rFonts w:eastAsia="MS Mincho"/>
          <w:szCs w:val="20"/>
        </w:rPr>
      </w:pPr>
      <w:r w:rsidRPr="003F3202">
        <w:rPr>
          <w:rFonts w:eastAsia="MS Mincho"/>
          <w:szCs w:val="20"/>
        </w:rPr>
        <w:t xml:space="preserve">My Aged Care system functionality records if an Aboriginal and Torres Strait Islander client would prefer to have their assessment completed by an Aboriginal and Torres Strait Islander assessment organisation. </w:t>
      </w:r>
    </w:p>
    <w:p w14:paraId="744E667E" w14:textId="2533E9DE" w:rsidR="0016744D" w:rsidRPr="003F3202" w:rsidRDefault="0016744D" w:rsidP="00DF3F6B">
      <w:pPr>
        <w:pStyle w:val="ListParagraph"/>
        <w:numPr>
          <w:ilvl w:val="0"/>
          <w:numId w:val="71"/>
        </w:numPr>
        <w:spacing w:before="240" w:after="240" w:line="240" w:lineRule="auto"/>
        <w:rPr>
          <w:rFonts w:eastAsia="MS Mincho"/>
        </w:rPr>
      </w:pPr>
      <w:r w:rsidRPr="50800CBA">
        <w:rPr>
          <w:rFonts w:eastAsia="MS Mincho"/>
        </w:rPr>
        <w:t xml:space="preserve">This should be recorded when registering a client in the My Aged Care system </w:t>
      </w:r>
    </w:p>
    <w:p w14:paraId="7EBEE76E" w14:textId="77777777" w:rsidR="0016744D" w:rsidRPr="003F3202" w:rsidRDefault="0016744D" w:rsidP="00DF3F6B">
      <w:pPr>
        <w:pStyle w:val="ListParagraph"/>
        <w:numPr>
          <w:ilvl w:val="0"/>
          <w:numId w:val="71"/>
        </w:numPr>
        <w:spacing w:before="240" w:after="240" w:line="240" w:lineRule="auto"/>
        <w:rPr>
          <w:rFonts w:eastAsia="MS Mincho"/>
          <w:szCs w:val="20"/>
        </w:rPr>
      </w:pPr>
      <w:r w:rsidRPr="003F3202">
        <w:rPr>
          <w:rFonts w:eastAsia="MS Mincho"/>
          <w:szCs w:val="20"/>
        </w:rPr>
        <w:t xml:space="preserve">It may also be recorded by an assessor during an assessment. </w:t>
      </w:r>
    </w:p>
    <w:p w14:paraId="7CC16A4F" w14:textId="77777777" w:rsidR="0016744D" w:rsidRPr="003F3202" w:rsidRDefault="0016744D" w:rsidP="00DF3F6B">
      <w:pPr>
        <w:pStyle w:val="ListParagraph"/>
        <w:numPr>
          <w:ilvl w:val="0"/>
          <w:numId w:val="71"/>
        </w:numPr>
        <w:spacing w:before="240" w:after="240" w:line="240" w:lineRule="auto"/>
        <w:rPr>
          <w:rFonts w:eastAsia="MS Mincho"/>
          <w:szCs w:val="20"/>
        </w:rPr>
      </w:pPr>
      <w:r w:rsidRPr="003F3202">
        <w:rPr>
          <w:rFonts w:eastAsia="MS Mincho"/>
          <w:szCs w:val="20"/>
        </w:rPr>
        <w:t>The preference will then display in the client details as well as on the client’s card.  </w:t>
      </w:r>
    </w:p>
    <w:p w14:paraId="23184293" w14:textId="77777777" w:rsidR="0016744D" w:rsidRPr="003F3202" w:rsidRDefault="0016744D" w:rsidP="00DF3F6B">
      <w:pPr>
        <w:pStyle w:val="ListParagraph"/>
        <w:numPr>
          <w:ilvl w:val="0"/>
          <w:numId w:val="71"/>
        </w:numPr>
        <w:spacing w:before="240" w:after="240" w:line="240" w:lineRule="auto"/>
        <w:rPr>
          <w:rFonts w:eastAsia="MS Mincho"/>
          <w:szCs w:val="20"/>
        </w:rPr>
      </w:pPr>
      <w:r w:rsidRPr="003F3202">
        <w:rPr>
          <w:rFonts w:eastAsia="MS Mincho"/>
          <w:szCs w:val="20"/>
        </w:rPr>
        <w:t xml:space="preserve">If one is available, Aboriginal and Torres Strait Islander assessment organisations will be represented with a prefix “FNAO-” and appear at the top of the list of available services. </w:t>
      </w:r>
      <w:r w:rsidRPr="003F3202">
        <w:rPr>
          <w:rFonts w:eastAsia="MS Mincho"/>
        </w:rPr>
        <w:t xml:space="preserve">If none is available in the region, then no organisation on the list will have the prefix. </w:t>
      </w:r>
    </w:p>
    <w:p w14:paraId="74BECE33" w14:textId="100F40B5" w:rsidR="0016744D" w:rsidRPr="003F3202" w:rsidRDefault="002C0C7C" w:rsidP="00DF3F6B">
      <w:pPr>
        <w:pStyle w:val="ListParagraph"/>
        <w:numPr>
          <w:ilvl w:val="0"/>
          <w:numId w:val="71"/>
        </w:numPr>
        <w:spacing w:before="240" w:after="240" w:line="240" w:lineRule="auto"/>
        <w:rPr>
          <w:rFonts w:eastAsia="MS Mincho"/>
        </w:rPr>
      </w:pPr>
      <w:r>
        <w:rPr>
          <w:rFonts w:eastAsia="MS Mincho"/>
          <w:szCs w:val="20"/>
        </w:rPr>
        <w:t>Team Leaders</w:t>
      </w:r>
      <w:r w:rsidR="0016744D" w:rsidRPr="003F3202" w:rsidDel="00DC020C">
        <w:rPr>
          <w:rFonts w:eastAsia="MS Mincho"/>
          <w:szCs w:val="20"/>
        </w:rPr>
        <w:t xml:space="preserve"> </w:t>
      </w:r>
      <w:r w:rsidR="0016744D" w:rsidRPr="003F3202">
        <w:rPr>
          <w:rFonts w:eastAsia="MS Mincho"/>
          <w:szCs w:val="20"/>
        </w:rPr>
        <w:t xml:space="preserve">will get a warning when they try to transfer if the client has indicated a preference, if the assessment organisation is not an Aboriginal and Torres Strait Islander assessment organisation. </w:t>
      </w:r>
    </w:p>
    <w:p w14:paraId="56F981B2" w14:textId="37E90946" w:rsidR="0016744D" w:rsidRPr="003F3202" w:rsidRDefault="0016744D" w:rsidP="00DF3F6B">
      <w:pPr>
        <w:pStyle w:val="ListParagraph"/>
        <w:numPr>
          <w:ilvl w:val="0"/>
          <w:numId w:val="71"/>
        </w:numPr>
        <w:spacing w:before="240" w:after="240" w:line="240" w:lineRule="auto"/>
        <w:rPr>
          <w:rFonts w:eastAsia="MS Mincho"/>
        </w:rPr>
      </w:pPr>
      <w:r w:rsidRPr="7FF32E0B">
        <w:rPr>
          <w:rFonts w:eastAsia="MS Mincho"/>
        </w:rPr>
        <w:t xml:space="preserve">Sometimes, the older person will want to know the name of the available organisation(s) before being referred to them. </w:t>
      </w:r>
    </w:p>
    <w:p w14:paraId="74074CEB" w14:textId="2649004D" w:rsidR="00E365F6" w:rsidRPr="00DF6E46" w:rsidRDefault="0016744D" w:rsidP="00DF6E46">
      <w:pPr>
        <w:spacing w:before="240" w:after="240" w:line="240" w:lineRule="auto"/>
        <w:rPr>
          <w:rFonts w:eastAsia="MS Mincho"/>
        </w:rPr>
      </w:pPr>
      <w:r w:rsidRPr="003F3202">
        <w:rPr>
          <w:rFonts w:eastAsia="MS Mincho"/>
        </w:rPr>
        <w:t>An older Aboriginal and Torres Strait Islander person may also wish to change or remove their preference at any time; assessors are expected to support the wishes, will and preferences of the older person.</w:t>
      </w:r>
    </w:p>
    <w:p w14:paraId="3DFDF3FC" w14:textId="77777777" w:rsidR="004107E5" w:rsidRPr="000027E3" w:rsidRDefault="0016744D" w:rsidP="00C325C6">
      <w:pPr>
        <w:pStyle w:val="Sub-headings"/>
      </w:pPr>
      <w:r w:rsidRPr="00904192">
        <w:t>Note</w:t>
      </w:r>
      <w:r w:rsidRPr="000027E3">
        <w:t xml:space="preserve">: </w:t>
      </w:r>
    </w:p>
    <w:p w14:paraId="176B7088" w14:textId="259AC82C" w:rsidR="0016744D" w:rsidRPr="00DD4E42" w:rsidRDefault="0016744D" w:rsidP="00C325C6">
      <w:pPr>
        <w:pStyle w:val="Sub-headings"/>
      </w:pPr>
      <w:r w:rsidRPr="00DD4E42">
        <w:t xml:space="preserve">Aboriginal and Torres Strait Islander assessment organisations have commenced in some parts of Australia from </w:t>
      </w:r>
      <w:r w:rsidR="0045239F" w:rsidRPr="00DD4E42">
        <w:t xml:space="preserve">August </w:t>
      </w:r>
      <w:r w:rsidRPr="00DD4E42">
        <w:t xml:space="preserve">2025. </w:t>
      </w:r>
    </w:p>
    <w:p w14:paraId="0FC8DC1D" w14:textId="5A89C0F2" w:rsidR="0016744D" w:rsidRPr="00DD4E42" w:rsidRDefault="0016744D" w:rsidP="00C325C6">
      <w:pPr>
        <w:pStyle w:val="Sub-headings"/>
      </w:pPr>
      <w:r w:rsidRPr="00DD4E42">
        <w:t xml:space="preserve">In regions </w:t>
      </w:r>
      <w:r w:rsidR="00A745B9" w:rsidRPr="00DD4E42">
        <w:t xml:space="preserve">where these </w:t>
      </w:r>
      <w:r w:rsidRPr="00DD4E42">
        <w:t xml:space="preserve">services are </w:t>
      </w:r>
      <w:r w:rsidR="00A745B9" w:rsidRPr="00DD4E42">
        <w:t xml:space="preserve">still </w:t>
      </w:r>
      <w:r w:rsidRPr="00DD4E42">
        <w:t>being established, an older Aboriginal and</w:t>
      </w:r>
      <w:r w:rsidR="00040D4E" w:rsidRPr="00DD4E42">
        <w:t xml:space="preserve"> </w:t>
      </w:r>
      <w:r w:rsidRPr="00DD4E42">
        <w:t xml:space="preserve">Torres Strait Islander person will not be able to be referred to an Aboriginal and Torres Strait Islander </w:t>
      </w:r>
      <w:r w:rsidR="00E72D15" w:rsidRPr="00DD4E42">
        <w:t>assessment organisation</w:t>
      </w:r>
      <w:r w:rsidRPr="00DD4E42">
        <w:t>. Information about an older person’s preference will be collect</w:t>
      </w:r>
      <w:r w:rsidR="0071074E" w:rsidRPr="00DD4E42">
        <w:t>ed</w:t>
      </w:r>
      <w:r w:rsidR="00BD613F" w:rsidRPr="00DD4E42">
        <w:t xml:space="preserve"> and used to understand</w:t>
      </w:r>
      <w:r w:rsidRPr="00DD4E42">
        <w:t xml:space="preserve"> demand for these services. Once Aboriginal and Torres Strait Islander </w:t>
      </w:r>
      <w:r w:rsidR="00E72D15" w:rsidRPr="00DD4E42">
        <w:t>assessment o</w:t>
      </w:r>
      <w:r w:rsidRPr="00DD4E42">
        <w:t>rganisation become available</w:t>
      </w:r>
      <w:r w:rsidR="0025409E" w:rsidRPr="00DD4E42">
        <w:t xml:space="preserve"> in a region</w:t>
      </w:r>
      <w:r w:rsidRPr="00DD4E42">
        <w:t xml:space="preserve">, this preference information will </w:t>
      </w:r>
      <w:r w:rsidR="00D279AC" w:rsidRPr="00DD4E42">
        <w:t xml:space="preserve">guide </w:t>
      </w:r>
      <w:r w:rsidRPr="00DD4E42">
        <w:t>refer</w:t>
      </w:r>
      <w:r w:rsidR="00D279AC" w:rsidRPr="00DD4E42">
        <w:t>rals</w:t>
      </w:r>
      <w:r w:rsidR="000C1AEE" w:rsidRPr="00DD4E42">
        <w:t xml:space="preserve"> for</w:t>
      </w:r>
      <w:r w:rsidR="0032795D" w:rsidRPr="00DD4E42">
        <w:t xml:space="preserve"> </w:t>
      </w:r>
      <w:r w:rsidRPr="00DD4E42">
        <w:t>a</w:t>
      </w:r>
      <w:r w:rsidR="006C08B1" w:rsidRPr="00DD4E42">
        <w:t>n</w:t>
      </w:r>
      <w:r w:rsidR="0085346F" w:rsidRPr="00DD4E42">
        <w:t xml:space="preserve"> </w:t>
      </w:r>
      <w:r w:rsidRPr="00DD4E42">
        <w:t xml:space="preserve">assessment or </w:t>
      </w:r>
      <w:r w:rsidR="7ECBBD8F" w:rsidRPr="00DD4E42">
        <w:t>s</w:t>
      </w:r>
      <w:r w:rsidRPr="00DD4E42">
        <w:t xml:space="preserve">upport </w:t>
      </w:r>
      <w:r w:rsidR="397219E6" w:rsidRPr="00DD4E42">
        <w:t>p</w:t>
      </w:r>
      <w:r w:rsidRPr="00DD4E42">
        <w:t xml:space="preserve">lan </w:t>
      </w:r>
      <w:r w:rsidR="0D89EAE9" w:rsidRPr="00DD4E42">
        <w:t>r</w:t>
      </w:r>
      <w:r w:rsidRPr="00DD4E42">
        <w:t>eview</w:t>
      </w:r>
      <w:r w:rsidR="00921985" w:rsidRPr="00DD4E42">
        <w:t>.</w:t>
      </w:r>
      <w:r w:rsidRPr="00DD4E42">
        <w:t xml:space="preserve">  </w:t>
      </w:r>
    </w:p>
    <w:p w14:paraId="5DAF5C6A" w14:textId="77777777" w:rsidR="002D74C8" w:rsidRDefault="002D74C8" w:rsidP="00441859">
      <w:pPr>
        <w:rPr>
          <w:lang w:eastAsia="en-GB"/>
        </w:rPr>
      </w:pPr>
    </w:p>
    <w:p w14:paraId="27B0FBAF" w14:textId="1804842C" w:rsidR="0016744D" w:rsidRPr="00924C9C" w:rsidRDefault="0016744D" w:rsidP="00C56CEC">
      <w:pPr>
        <w:pStyle w:val="H3"/>
      </w:pPr>
      <w:r w:rsidRPr="003E1933">
        <w:t>Providing assessment services as Aboriginal and Torres Strait Islander assessment organisations are being established</w:t>
      </w:r>
    </w:p>
    <w:p w14:paraId="4BB4366D" w14:textId="034D8379" w:rsidR="0016744D" w:rsidRPr="00924C9C" w:rsidRDefault="0016744D" w:rsidP="00856600">
      <w:pPr>
        <w:spacing w:before="240" w:after="240" w:line="240" w:lineRule="auto"/>
        <w:rPr>
          <w:rFonts w:eastAsia="MS Mincho"/>
        </w:rPr>
      </w:pPr>
      <w:r w:rsidRPr="00924C9C">
        <w:rPr>
          <w:rFonts w:eastAsia="MS Mincho"/>
        </w:rPr>
        <w:t>Whil</w:t>
      </w:r>
      <w:r w:rsidR="00902662">
        <w:rPr>
          <w:rFonts w:eastAsia="MS Mincho"/>
        </w:rPr>
        <w:t>e</w:t>
      </w:r>
      <w:r w:rsidRPr="00924C9C">
        <w:rPr>
          <w:rFonts w:eastAsia="MS Mincho"/>
        </w:rPr>
        <w:t xml:space="preserve"> Aboriginal and Torres Strait Islander assessment organisations are being established, older Aboriginal and Torres Strait Islander people will continue to be assessed by </w:t>
      </w:r>
      <w:r w:rsidR="003004B8">
        <w:rPr>
          <w:rFonts w:eastAsia="MS Mincho"/>
        </w:rPr>
        <w:t xml:space="preserve">mainstream </w:t>
      </w:r>
      <w:r w:rsidRPr="00924C9C">
        <w:rPr>
          <w:rFonts w:eastAsia="MS Mincho"/>
        </w:rPr>
        <w:t xml:space="preserve">assessment organisations under the Single Assessment System. </w:t>
      </w:r>
    </w:p>
    <w:p w14:paraId="5FBAADBC" w14:textId="23705026" w:rsidR="006B0F72" w:rsidRDefault="00EC4EFD" w:rsidP="00856600">
      <w:pPr>
        <w:spacing w:before="240" w:after="240" w:line="240" w:lineRule="auto"/>
        <w:rPr>
          <w:rFonts w:eastAsia="MS Mincho"/>
        </w:rPr>
      </w:pPr>
      <w:r w:rsidRPr="00EC4EFD">
        <w:rPr>
          <w:rFonts w:eastAsia="MS Mincho"/>
        </w:rPr>
        <w:t xml:space="preserve">If an Aboriginal and Torres Strait Islander client is already </w:t>
      </w:r>
      <w:r w:rsidR="009F45BB">
        <w:rPr>
          <w:rFonts w:eastAsia="MS Mincho"/>
        </w:rPr>
        <w:t>schedul</w:t>
      </w:r>
      <w:r w:rsidR="009F45BB" w:rsidRPr="00EC4EFD">
        <w:rPr>
          <w:rFonts w:eastAsia="MS Mincho"/>
        </w:rPr>
        <w:t xml:space="preserve">ed </w:t>
      </w:r>
      <w:r w:rsidR="009F45BB">
        <w:rPr>
          <w:rFonts w:eastAsia="MS Mincho"/>
        </w:rPr>
        <w:t>for an</w:t>
      </w:r>
      <w:r w:rsidR="00A71265">
        <w:rPr>
          <w:rFonts w:eastAsia="MS Mincho"/>
        </w:rPr>
        <w:t xml:space="preserve"> assessment </w:t>
      </w:r>
      <w:r w:rsidRPr="00EC4EFD">
        <w:rPr>
          <w:rFonts w:eastAsia="MS Mincho"/>
        </w:rPr>
        <w:t xml:space="preserve">with a mainstream </w:t>
      </w:r>
      <w:r w:rsidR="009E3AFC">
        <w:rPr>
          <w:rFonts w:eastAsia="MS Mincho"/>
        </w:rPr>
        <w:t xml:space="preserve">assessment </w:t>
      </w:r>
      <w:r w:rsidRPr="00EC4EFD">
        <w:rPr>
          <w:rFonts w:eastAsia="MS Mincho"/>
        </w:rPr>
        <w:t xml:space="preserve">organisation and an Aboriginal and Torres Strait Islander assessment </w:t>
      </w:r>
      <w:r w:rsidR="00A41EC9">
        <w:rPr>
          <w:rFonts w:eastAsia="MS Mincho"/>
        </w:rPr>
        <w:t>organisation</w:t>
      </w:r>
      <w:r w:rsidR="00A41EC9" w:rsidRPr="00EC4EFD">
        <w:rPr>
          <w:rFonts w:eastAsia="MS Mincho"/>
        </w:rPr>
        <w:t xml:space="preserve"> </w:t>
      </w:r>
      <w:r w:rsidRPr="00EC4EFD">
        <w:rPr>
          <w:rFonts w:eastAsia="MS Mincho"/>
        </w:rPr>
        <w:t>become</w:t>
      </w:r>
      <w:r w:rsidR="00A74E7E">
        <w:rPr>
          <w:rFonts w:eastAsia="MS Mincho"/>
        </w:rPr>
        <w:t>s</w:t>
      </w:r>
      <w:r w:rsidRPr="00EC4EFD">
        <w:rPr>
          <w:rFonts w:eastAsia="MS Mincho"/>
        </w:rPr>
        <w:t xml:space="preserve"> available in their area; the client should be advised of this option. They should be informed that choosing to be transferred to an Aboriginal and Torres Strait Islander assessment organisation may result in a longer wait time for an assessment. </w:t>
      </w:r>
      <w:r w:rsidR="00F10022">
        <w:rPr>
          <w:rFonts w:eastAsia="MS Mincho"/>
        </w:rPr>
        <w:t>Client</w:t>
      </w:r>
      <w:r w:rsidR="00A42463">
        <w:rPr>
          <w:rFonts w:eastAsia="MS Mincho"/>
        </w:rPr>
        <w:t>s</w:t>
      </w:r>
      <w:r w:rsidR="00F10022">
        <w:rPr>
          <w:rFonts w:eastAsia="MS Mincho"/>
        </w:rPr>
        <w:t xml:space="preserve"> should also be informed </w:t>
      </w:r>
      <w:r w:rsidR="001737DE">
        <w:rPr>
          <w:rFonts w:eastAsia="MS Mincho"/>
        </w:rPr>
        <w:t>that t</w:t>
      </w:r>
      <w:r w:rsidRPr="00EC4EFD">
        <w:rPr>
          <w:rFonts w:eastAsia="MS Mincho"/>
        </w:rPr>
        <w:t>here will be</w:t>
      </w:r>
      <w:r w:rsidR="001737DE">
        <w:rPr>
          <w:rFonts w:eastAsia="MS Mincho"/>
        </w:rPr>
        <w:t xml:space="preserve"> future</w:t>
      </w:r>
      <w:r w:rsidRPr="00EC4EFD">
        <w:rPr>
          <w:rFonts w:eastAsia="MS Mincho"/>
        </w:rPr>
        <w:t xml:space="preserve"> opportunities to transfer to the new organisation if their needs change. </w:t>
      </w:r>
    </w:p>
    <w:p w14:paraId="307281CF" w14:textId="70FF6BFE" w:rsidR="00EC4EFD" w:rsidRDefault="006B0F72" w:rsidP="00856600">
      <w:pPr>
        <w:spacing w:before="240" w:after="240" w:line="240" w:lineRule="auto"/>
        <w:rPr>
          <w:rFonts w:eastAsia="MS Mincho"/>
        </w:rPr>
      </w:pPr>
      <w:r>
        <w:rPr>
          <w:rFonts w:eastAsia="MS Mincho"/>
        </w:rPr>
        <w:t>When discussing this option, t</w:t>
      </w:r>
      <w:r w:rsidR="00EC4EFD" w:rsidRPr="00EC4EFD">
        <w:rPr>
          <w:rFonts w:eastAsia="MS Mincho"/>
        </w:rPr>
        <w:t xml:space="preserve">he client’s health condition and care needs </w:t>
      </w:r>
      <w:r w:rsidR="00EA1B6C">
        <w:rPr>
          <w:rFonts w:eastAsia="MS Mincho"/>
        </w:rPr>
        <w:t>must be take</w:t>
      </w:r>
      <w:r w:rsidR="00FF556B">
        <w:rPr>
          <w:rFonts w:eastAsia="MS Mincho"/>
        </w:rPr>
        <w:t xml:space="preserve">n into consideration to ensure that any </w:t>
      </w:r>
      <w:r w:rsidR="00EC4EFD" w:rsidRPr="00EC4EFD">
        <w:rPr>
          <w:rFonts w:eastAsia="MS Mincho"/>
        </w:rPr>
        <w:t xml:space="preserve">delay in assessment </w:t>
      </w:r>
      <w:r w:rsidR="001D17B7">
        <w:rPr>
          <w:rFonts w:eastAsia="MS Mincho"/>
        </w:rPr>
        <w:t>would not adversely impact their wellbeing</w:t>
      </w:r>
      <w:r w:rsidR="00EC4EFD" w:rsidRPr="00EC4EFD">
        <w:rPr>
          <w:rFonts w:eastAsia="MS Mincho"/>
        </w:rPr>
        <w:t xml:space="preserve">. Unless the client </w:t>
      </w:r>
      <w:r w:rsidR="002E331D">
        <w:rPr>
          <w:rFonts w:eastAsia="MS Mincho"/>
        </w:rPr>
        <w:t xml:space="preserve">chooses </w:t>
      </w:r>
      <w:r w:rsidR="00EC4EFD" w:rsidRPr="00EC4EFD">
        <w:rPr>
          <w:rFonts w:eastAsia="MS Mincho"/>
        </w:rPr>
        <w:t>to transfer the assessment should continue as</w:t>
      </w:r>
      <w:r w:rsidR="00631CE3">
        <w:rPr>
          <w:rFonts w:eastAsia="MS Mincho"/>
        </w:rPr>
        <w:t xml:space="preserve"> originally</w:t>
      </w:r>
      <w:r w:rsidR="00EC4EFD" w:rsidRPr="00EC4EFD">
        <w:rPr>
          <w:rFonts w:eastAsia="MS Mincho"/>
        </w:rPr>
        <w:t xml:space="preserve"> planned.  </w:t>
      </w:r>
    </w:p>
    <w:p w14:paraId="0E78C599" w14:textId="29357D7D" w:rsidR="0016744D" w:rsidRPr="00924C9C" w:rsidRDefault="0016744D" w:rsidP="00856600">
      <w:pPr>
        <w:spacing w:before="240" w:after="240" w:line="240" w:lineRule="auto"/>
        <w:rPr>
          <w:rFonts w:eastAsia="MS Mincho"/>
        </w:rPr>
      </w:pPr>
      <w:r w:rsidRPr="00924C9C">
        <w:rPr>
          <w:rFonts w:eastAsia="MS Mincho"/>
        </w:rPr>
        <w:t xml:space="preserve">Any preferences for Aboriginal and Torres Strait Islander assessment organisations should be </w:t>
      </w:r>
      <w:r w:rsidR="00CB4D11">
        <w:rPr>
          <w:rFonts w:eastAsia="MS Mincho"/>
        </w:rPr>
        <w:t>identifi</w:t>
      </w:r>
      <w:r w:rsidR="00CB4D11" w:rsidRPr="00924C9C">
        <w:rPr>
          <w:rFonts w:eastAsia="MS Mincho"/>
        </w:rPr>
        <w:t xml:space="preserve">ed </w:t>
      </w:r>
      <w:r w:rsidRPr="00924C9C">
        <w:rPr>
          <w:rFonts w:eastAsia="MS Mincho"/>
        </w:rPr>
        <w:t xml:space="preserve">during the assessor’s pre-assessment planning. This allows </w:t>
      </w:r>
      <w:r w:rsidR="002765B1">
        <w:rPr>
          <w:rFonts w:eastAsia="MS Mincho"/>
        </w:rPr>
        <w:t xml:space="preserve">time to arrange a </w:t>
      </w:r>
      <w:r w:rsidRPr="00924C9C">
        <w:rPr>
          <w:rFonts w:eastAsia="MS Mincho"/>
        </w:rPr>
        <w:t>transfer</w:t>
      </w:r>
      <w:r w:rsidR="002765B1">
        <w:rPr>
          <w:rFonts w:eastAsia="MS Mincho"/>
        </w:rPr>
        <w:t xml:space="preserve"> </w:t>
      </w:r>
      <w:r w:rsidRPr="00924C9C">
        <w:rPr>
          <w:rFonts w:eastAsia="MS Mincho"/>
        </w:rPr>
        <w:t xml:space="preserve">prior to the </w:t>
      </w:r>
      <w:r w:rsidR="008C2697">
        <w:rPr>
          <w:rFonts w:eastAsia="MS Mincho"/>
        </w:rPr>
        <w:t xml:space="preserve">scheduled </w:t>
      </w:r>
      <w:r w:rsidRPr="00924C9C">
        <w:rPr>
          <w:rFonts w:eastAsia="MS Mincho"/>
        </w:rPr>
        <w:t>assessment</w:t>
      </w:r>
      <w:r w:rsidR="00D21D2B">
        <w:rPr>
          <w:rFonts w:eastAsia="MS Mincho"/>
        </w:rPr>
        <w:t>,</w:t>
      </w:r>
      <w:r w:rsidRPr="00924C9C">
        <w:rPr>
          <w:rFonts w:eastAsia="MS Mincho"/>
        </w:rPr>
        <w:t xml:space="preserve"> if needed. </w:t>
      </w:r>
      <w:r w:rsidR="009D12F6">
        <w:rPr>
          <w:rFonts w:eastAsia="MS Mincho"/>
        </w:rPr>
        <w:t xml:space="preserve">Making a </w:t>
      </w:r>
      <w:r w:rsidR="00A16AD1">
        <w:rPr>
          <w:rFonts w:eastAsia="MS Mincho"/>
        </w:rPr>
        <w:t xml:space="preserve">referral change </w:t>
      </w:r>
      <w:r w:rsidRPr="00924C9C">
        <w:rPr>
          <w:rFonts w:eastAsia="MS Mincho"/>
        </w:rPr>
        <w:t>at the point of assessment</w:t>
      </w:r>
      <w:r w:rsidR="00C32D6F">
        <w:rPr>
          <w:rFonts w:eastAsia="MS Mincho"/>
        </w:rPr>
        <w:t xml:space="preserve"> </w:t>
      </w:r>
      <w:r w:rsidRPr="00924C9C">
        <w:rPr>
          <w:rFonts w:eastAsia="MS Mincho"/>
        </w:rPr>
        <w:t xml:space="preserve">may </w:t>
      </w:r>
      <w:r w:rsidR="007318F6">
        <w:rPr>
          <w:rFonts w:eastAsia="MS Mincho"/>
        </w:rPr>
        <w:t>significantly lengthen</w:t>
      </w:r>
      <w:r w:rsidR="007B1C86">
        <w:rPr>
          <w:rFonts w:eastAsia="MS Mincho"/>
        </w:rPr>
        <w:t xml:space="preserve"> </w:t>
      </w:r>
      <w:r w:rsidRPr="00924C9C">
        <w:rPr>
          <w:rFonts w:eastAsia="MS Mincho"/>
        </w:rPr>
        <w:t>the client</w:t>
      </w:r>
      <w:r w:rsidR="00820547">
        <w:rPr>
          <w:rFonts w:eastAsia="MS Mincho"/>
        </w:rPr>
        <w:t>’s wait time,</w:t>
      </w:r>
      <w:r w:rsidRPr="00924C9C">
        <w:rPr>
          <w:rFonts w:eastAsia="MS Mincho"/>
        </w:rPr>
        <w:t xml:space="preserve"> which is not the desir</w:t>
      </w:r>
      <w:r w:rsidR="002576EC">
        <w:rPr>
          <w:rFonts w:eastAsia="MS Mincho"/>
        </w:rPr>
        <w:t>able</w:t>
      </w:r>
      <w:r w:rsidRPr="00924C9C">
        <w:rPr>
          <w:rFonts w:eastAsia="MS Mincho"/>
        </w:rPr>
        <w:t xml:space="preserve"> outcome. </w:t>
      </w:r>
    </w:p>
    <w:p w14:paraId="46338910" w14:textId="6441C607" w:rsidR="00566859" w:rsidRPr="00566859" w:rsidRDefault="002576EC" w:rsidP="00856600">
      <w:pPr>
        <w:spacing w:before="240" w:after="240" w:line="240" w:lineRule="auto"/>
        <w:rPr>
          <w:rFonts w:eastAsia="MS Mincho"/>
        </w:rPr>
      </w:pPr>
      <w:r>
        <w:rPr>
          <w:rFonts w:eastAsia="MS Mincho"/>
        </w:rPr>
        <w:t xml:space="preserve">It is recommended that assessors </w:t>
      </w:r>
      <w:r w:rsidR="0016744D" w:rsidRPr="00924C9C">
        <w:rPr>
          <w:rFonts w:eastAsia="MS Mincho"/>
        </w:rPr>
        <w:t>discuss this with the client prior to the assessment to ensure that they have choice</w:t>
      </w:r>
      <w:r w:rsidR="00A42791">
        <w:rPr>
          <w:rFonts w:eastAsia="MS Mincho"/>
        </w:rPr>
        <w:t>,</w:t>
      </w:r>
      <w:r w:rsidR="0016744D" w:rsidRPr="00924C9C" w:rsidDel="00A42791">
        <w:rPr>
          <w:rFonts w:eastAsia="MS Mincho"/>
        </w:rPr>
        <w:t xml:space="preserve"> </w:t>
      </w:r>
      <w:r w:rsidR="0016744D" w:rsidRPr="00924C9C">
        <w:rPr>
          <w:rFonts w:eastAsia="MS Mincho"/>
        </w:rPr>
        <w:t xml:space="preserve">control and the ability to make </w:t>
      </w:r>
      <w:r w:rsidR="00AF6B34">
        <w:rPr>
          <w:rFonts w:eastAsia="MS Mincho"/>
        </w:rPr>
        <w:t xml:space="preserve">informed </w:t>
      </w:r>
      <w:r w:rsidR="0016744D" w:rsidRPr="00924C9C">
        <w:rPr>
          <w:rFonts w:eastAsia="MS Mincho"/>
        </w:rPr>
        <w:t xml:space="preserve">decisions regarding their care. </w:t>
      </w:r>
      <w:r w:rsidR="00566859" w:rsidRPr="00566859">
        <w:rPr>
          <w:rFonts w:eastAsia="MS Mincho"/>
        </w:rPr>
        <w:t xml:space="preserve">If the client’s preference is to be assessed by </w:t>
      </w:r>
      <w:r w:rsidR="007C65FD">
        <w:rPr>
          <w:rFonts w:eastAsia="MS Mincho"/>
        </w:rPr>
        <w:t>an</w:t>
      </w:r>
      <w:r w:rsidR="00566859" w:rsidRPr="00566859">
        <w:rPr>
          <w:rFonts w:eastAsia="MS Mincho"/>
        </w:rPr>
        <w:t xml:space="preserve"> Aboriginal and Torres Strait Islander assessment </w:t>
      </w:r>
      <w:r w:rsidR="00DF6E46" w:rsidRPr="00566859">
        <w:rPr>
          <w:rFonts w:eastAsia="MS Mincho"/>
        </w:rPr>
        <w:t>organisation, the</w:t>
      </w:r>
      <w:r w:rsidR="00566859" w:rsidRPr="00566859">
        <w:rPr>
          <w:rFonts w:eastAsia="MS Mincho"/>
        </w:rPr>
        <w:t xml:space="preserve"> assessor can manage the referral </w:t>
      </w:r>
      <w:r w:rsidR="006F173A">
        <w:rPr>
          <w:rFonts w:eastAsia="MS Mincho"/>
        </w:rPr>
        <w:t xml:space="preserve">in </w:t>
      </w:r>
      <w:r w:rsidR="00566859" w:rsidRPr="00566859">
        <w:rPr>
          <w:rFonts w:eastAsia="MS Mincho"/>
        </w:rPr>
        <w:t>accord</w:t>
      </w:r>
      <w:r w:rsidR="006F173A">
        <w:rPr>
          <w:rFonts w:eastAsia="MS Mincho"/>
        </w:rPr>
        <w:t xml:space="preserve">ance </w:t>
      </w:r>
      <w:r w:rsidR="00AC1C86">
        <w:rPr>
          <w:rFonts w:eastAsia="MS Mincho"/>
        </w:rPr>
        <w:t xml:space="preserve">with </w:t>
      </w:r>
      <w:r w:rsidR="00AC1C86" w:rsidRPr="00566859">
        <w:rPr>
          <w:rFonts w:eastAsia="MS Mincho"/>
        </w:rPr>
        <w:t>the</w:t>
      </w:r>
      <w:r w:rsidR="00566859" w:rsidRPr="00566859">
        <w:rPr>
          <w:rFonts w:eastAsia="MS Mincho"/>
        </w:rPr>
        <w:t xml:space="preserve"> processes detailed in this Chapter. </w:t>
      </w:r>
    </w:p>
    <w:p w14:paraId="756C4267" w14:textId="14EA6F81" w:rsidR="0016744D" w:rsidRPr="00924C9C" w:rsidRDefault="0016744D" w:rsidP="00C56CEC">
      <w:pPr>
        <w:pStyle w:val="H3"/>
      </w:pPr>
      <w:r>
        <w:t xml:space="preserve">Client scenarios for capturing the preference for an </w:t>
      </w:r>
      <w:r w:rsidRPr="003E1933">
        <w:t xml:space="preserve">Aboriginal and Torres Strait Islander assessment </w:t>
      </w:r>
      <w:r>
        <w:t xml:space="preserve">organisation </w:t>
      </w:r>
    </w:p>
    <w:p w14:paraId="353ED6FE" w14:textId="0816F013" w:rsidR="007C3E64" w:rsidRPr="00BF50CA" w:rsidRDefault="007C3E64" w:rsidP="00C325C6">
      <w:pPr>
        <w:pStyle w:val="Sub-headings"/>
      </w:pPr>
      <w:r w:rsidRPr="009C4600">
        <w:t>Scenario 1</w:t>
      </w:r>
      <w:r w:rsidRPr="00BF50CA">
        <w:t>: Capturing the preference of an Aboriginal and Torres Strait Islander</w:t>
      </w:r>
      <w:r w:rsidR="00BF50CA" w:rsidRPr="00BF50CA">
        <w:t xml:space="preserve"> </w:t>
      </w:r>
      <w:r w:rsidR="00EF2BA4">
        <w:t>a</w:t>
      </w:r>
      <w:r w:rsidR="00EF2BA4" w:rsidRPr="00BF50CA">
        <w:t xml:space="preserve">ssessment </w:t>
      </w:r>
      <w:r w:rsidR="00EF2BA4">
        <w:t>o</w:t>
      </w:r>
      <w:r w:rsidR="00EF2BA4" w:rsidRPr="00BF50CA">
        <w:t xml:space="preserve">rganisation </w:t>
      </w:r>
      <w:r w:rsidRPr="00BF50CA">
        <w:t>even though there is not one available in the region.</w:t>
      </w:r>
    </w:p>
    <w:p w14:paraId="073FE672" w14:textId="7304BE19" w:rsidR="0016744D" w:rsidRPr="00DD4E42" w:rsidRDefault="0016744D" w:rsidP="00C325C6">
      <w:pPr>
        <w:pStyle w:val="Sub-headings"/>
      </w:pPr>
      <w:r w:rsidRPr="00DD4E42">
        <w:t>S</w:t>
      </w:r>
      <w:r w:rsidR="00B70813" w:rsidRPr="00DD4E42">
        <w:t>haron</w:t>
      </w:r>
      <w:r w:rsidRPr="00DD4E42">
        <w:t xml:space="preserve"> is a triage delegate working for an assessment organisation under the Single Assessment System, who is triaging an older Aboriginal and Torres Strait Islander </w:t>
      </w:r>
      <w:r w:rsidR="00E14A05" w:rsidRPr="00DD4E42">
        <w:t>client</w:t>
      </w:r>
      <w:r w:rsidRPr="00DD4E42">
        <w:t>, V</w:t>
      </w:r>
      <w:r w:rsidR="00B70813" w:rsidRPr="00DD4E42">
        <w:t>iolet</w:t>
      </w:r>
      <w:r w:rsidRPr="00DD4E42">
        <w:t xml:space="preserve">. Sharon is up to date with what organisations are available in the region and knows there is not an Aboriginal and Torres Strait Islander assessment organisation available yet; but that there may be one in future. </w:t>
      </w:r>
    </w:p>
    <w:p w14:paraId="39786534" w14:textId="77777777" w:rsidR="0016744D" w:rsidRPr="00DD4E42" w:rsidRDefault="0016744D" w:rsidP="00C325C6">
      <w:pPr>
        <w:pStyle w:val="Sub-headings"/>
      </w:pPr>
      <w:r w:rsidRPr="00DD4E42">
        <w:t xml:space="preserve">OPTION A: If there is no information in the FNAO preference field, Sharon needs to capture Violet’s preference in case an Aboriginal and Torres Strait Islander assessment organisation becomes available in future. </w:t>
      </w:r>
    </w:p>
    <w:p w14:paraId="5ACF41CC" w14:textId="08D5B033" w:rsidR="0016744D" w:rsidRPr="00DD4E42" w:rsidRDefault="0016744D" w:rsidP="00C325C6">
      <w:pPr>
        <w:pStyle w:val="Sub-headings"/>
      </w:pPr>
      <w:r w:rsidRPr="00DD4E42">
        <w:t xml:space="preserve">“Violet, </w:t>
      </w:r>
      <w:r w:rsidR="00A83A9E" w:rsidRPr="00DD4E42">
        <w:t>there are Aboriginal and Torres Strait Islander assessment organisations starting to provide aged care assessments in some regions of Australia.</w:t>
      </w:r>
      <w:r w:rsidRPr="00DD4E42">
        <w:t xml:space="preserve"> I can see that there is no preference logged in your record. There is not one available in this local region yet, but there may be one in future. If an Aboriginal and Torres Strait Islander aged care assessment organisation becomes available, would you prefer to receive future assessments from them? If so, I can record your preference so that you can be directed to those services in the future”</w:t>
      </w:r>
    </w:p>
    <w:p w14:paraId="5C1C1B01" w14:textId="77777777" w:rsidR="0016744D" w:rsidRPr="00DD4E42" w:rsidRDefault="0016744D" w:rsidP="00C325C6">
      <w:pPr>
        <w:pStyle w:val="Sub-headings"/>
      </w:pPr>
      <w:r w:rsidRPr="00DD4E42">
        <w:t xml:space="preserve">Violet indicates that she would prefer to be transferred to an Aboriginal and Torres Strait Islander assessment organisation in the future, and Sharon records the preference then continues to conduct the assessment. </w:t>
      </w:r>
    </w:p>
    <w:p w14:paraId="3D44E4C8" w14:textId="77777777" w:rsidR="0016744D" w:rsidRPr="00DD4E42" w:rsidRDefault="0016744D" w:rsidP="00C325C6">
      <w:pPr>
        <w:pStyle w:val="Sub-headings"/>
      </w:pPr>
      <w:r w:rsidRPr="00DD4E42">
        <w:t xml:space="preserve">OPTION B: If there is a FNAO preference captured in the preference field. Sharon notes the preference for an Aboriginal and Torres Strait Islander assessment organisation and knows that there is not one available. Sharon understands that this would have been explained to Violet at the point of triage. Sharon continues with the assessment as planned without asking Violet to unnecessarily confirm her preference multiple times. </w:t>
      </w:r>
    </w:p>
    <w:p w14:paraId="1709AA52" w14:textId="027FE9DC" w:rsidR="0016744D" w:rsidRPr="00DD4E42" w:rsidRDefault="0016744D" w:rsidP="00C325C6">
      <w:pPr>
        <w:pStyle w:val="Sub-headings"/>
      </w:pPr>
      <w:r w:rsidRPr="00DD4E42">
        <w:t xml:space="preserve">After the assessment Sharon advises </w:t>
      </w:r>
      <w:r w:rsidR="00A83A9E" w:rsidRPr="00DD4E42">
        <w:t>Vio</w:t>
      </w:r>
      <w:r w:rsidRPr="00DD4E42">
        <w:t xml:space="preserve">let that for continuity of care, any future reviews of her care will now come back to Sharon’s organisation. Based on Violet’s preferences, Sharon will keep that in place for </w:t>
      </w:r>
      <w:r w:rsidR="00AC1C86" w:rsidRPr="00DD4E42">
        <w:t>now and</w:t>
      </w:r>
      <w:r w:rsidRPr="00DD4E42">
        <w:t xml:space="preserve"> can transfer Violet to an Aboriginal and Torres Strait Islander organisation if available when the review is needed. </w:t>
      </w:r>
    </w:p>
    <w:p w14:paraId="0271027E" w14:textId="797A4747" w:rsidR="007C3E64" w:rsidRPr="00DD4E42" w:rsidRDefault="007C3E64" w:rsidP="00C325C6">
      <w:pPr>
        <w:pStyle w:val="Sub-headings"/>
      </w:pPr>
      <w:r w:rsidRPr="00DD4E42">
        <w:t xml:space="preserve">Scenario </w:t>
      </w:r>
      <w:r w:rsidR="002C0E2A" w:rsidRPr="00DD4E42">
        <w:t>2</w:t>
      </w:r>
      <w:r w:rsidRPr="00DD4E42">
        <w:t xml:space="preserve">: </w:t>
      </w:r>
      <w:r w:rsidR="002C0E2A" w:rsidRPr="00DD4E42">
        <w:t>Prior to an assessment, the assessor sees the preference for the</w:t>
      </w:r>
      <w:r w:rsidRPr="00DD4E42">
        <w:t xml:space="preserve"> Aboriginal and Torres Strait Islander </w:t>
      </w:r>
      <w:r w:rsidR="002C0E2A" w:rsidRPr="00DD4E42">
        <w:t>a</w:t>
      </w:r>
      <w:r w:rsidRPr="00DD4E42">
        <w:t xml:space="preserve">ssessment </w:t>
      </w:r>
      <w:r w:rsidR="002C0E2A" w:rsidRPr="00DD4E42">
        <w:t>o</w:t>
      </w:r>
      <w:r w:rsidRPr="00DD4E42">
        <w:t xml:space="preserve">rganisation </w:t>
      </w:r>
      <w:r w:rsidR="002C0E2A" w:rsidRPr="00DD4E42">
        <w:t>which has recently become available</w:t>
      </w:r>
      <w:r w:rsidR="1C80DAB6" w:rsidRPr="00DD4E42">
        <w:t>.</w:t>
      </w:r>
    </w:p>
    <w:p w14:paraId="7E9C4F8E" w14:textId="77777777" w:rsidR="009168BD" w:rsidRPr="00DD4E42" w:rsidRDefault="0016744D" w:rsidP="00C325C6">
      <w:pPr>
        <w:pStyle w:val="Sub-headings"/>
      </w:pPr>
      <w:r w:rsidRPr="00DD4E42">
        <w:t>In the pre-assessment planning, S</w:t>
      </w:r>
      <w:r w:rsidR="00B70813" w:rsidRPr="00DD4E42">
        <w:t>teve</w:t>
      </w:r>
      <w:r w:rsidRPr="00DD4E42">
        <w:t xml:space="preserve"> is an aged care assessor working for an assessment organisation under the Single Assessment System, who has an upcoming assessment with an older Aboriginal and Torres Strait Islander Client, B</w:t>
      </w:r>
      <w:r w:rsidR="00B70813" w:rsidRPr="00DD4E42">
        <w:t>ill</w:t>
      </w:r>
      <w:r w:rsidRPr="00DD4E42">
        <w:t xml:space="preserve">. </w:t>
      </w:r>
    </w:p>
    <w:p w14:paraId="1A9D3D34" w14:textId="08F37356" w:rsidR="0016744D" w:rsidRPr="00DD4E42" w:rsidRDefault="0016744D" w:rsidP="00C325C6">
      <w:pPr>
        <w:pStyle w:val="Sub-headings"/>
      </w:pPr>
      <w:r w:rsidRPr="00DD4E42">
        <w:t xml:space="preserve">Steve has had this assessment booked in for some time and knows that since the assessment was booked, an Aboriginal and Torres Strait Islander assessment organisation has become available in the area. Steve wants to get the best outcome for his client, so contacts the client in advance to talk about the availability of the service. </w:t>
      </w:r>
    </w:p>
    <w:p w14:paraId="7C28C286" w14:textId="595FDF3D" w:rsidR="0016744D" w:rsidRPr="00DD4E42" w:rsidRDefault="0016744D" w:rsidP="00C325C6">
      <w:pPr>
        <w:pStyle w:val="Sub-headings"/>
      </w:pPr>
      <w:r w:rsidRPr="00DD4E42">
        <w:t xml:space="preserve">“Bill, there are Aboriginal and Torres Strait Islander assessment organisations starting to provide aged care assessments </w:t>
      </w:r>
      <w:r w:rsidR="00F57EE1" w:rsidRPr="00DD4E42">
        <w:t>in your area</w:t>
      </w:r>
      <w:r w:rsidRPr="00DD4E42">
        <w:t>. I can see you have a preference to be assessed by an Aboriginal and Torres Strait Islander assessment organisation; and since we have had this appointment booked in, an Aboriginal and Torres Strait Islander assessment service has become available in this area. As we are meeting soon, would you like us to continue with the assessment?</w:t>
      </w:r>
    </w:p>
    <w:p w14:paraId="42BB79E7" w14:textId="77777777" w:rsidR="0016744D" w:rsidRPr="00DD4E42" w:rsidRDefault="0016744D" w:rsidP="00C325C6">
      <w:pPr>
        <w:pStyle w:val="Sub-headings"/>
      </w:pPr>
      <w:r w:rsidRPr="00DD4E42">
        <w:t>If you would prefer to be assessed by an Aboriginal and Torres Strait Islander assessment organisation, I can refer you to them instead. This may take time. We would connect you with the organisation, and then they will be in touch as soon as they can to book an assessment with you. How would you like to proceed?”</w:t>
      </w:r>
    </w:p>
    <w:p w14:paraId="2D406A10" w14:textId="77777777" w:rsidR="0016744D" w:rsidRPr="00DD4E42" w:rsidRDefault="0016744D" w:rsidP="00C325C6">
      <w:pPr>
        <w:pStyle w:val="Sub-headings"/>
      </w:pPr>
      <w:r w:rsidRPr="00DD4E42">
        <w:t xml:space="preserve">Option A: Bill indicates that he would prefer to be assessed by an Aboriginal and Torres Strait Islander assessment organisation in the future, but to keep the process moving given his health and care needs, would continue the conversation with Steve as planned. </w:t>
      </w:r>
    </w:p>
    <w:p w14:paraId="1B31A4CF" w14:textId="77777777" w:rsidR="0016744D" w:rsidRPr="00DD4E42" w:rsidRDefault="0016744D" w:rsidP="00C325C6">
      <w:pPr>
        <w:pStyle w:val="Sub-headings"/>
      </w:pPr>
      <w:r w:rsidRPr="00DD4E42">
        <w:t xml:space="preserve">Steve advises Bill that for continuity of care, any future reviews of his care will now come back to Steve’s organisation. Based on Bill’s preferences, Steve can keep that in place, or transfer Bill to an Aboriginal and Torres Strait Islander assessment organisation when the review is needed.  </w:t>
      </w:r>
    </w:p>
    <w:p w14:paraId="5A8C4721" w14:textId="385C0442" w:rsidR="0016744D" w:rsidRPr="00DD4E42" w:rsidRDefault="0016744D" w:rsidP="00C325C6">
      <w:pPr>
        <w:pStyle w:val="Sub-headings"/>
      </w:pPr>
      <w:r w:rsidRPr="00DD4E42">
        <w:t xml:space="preserve">Option B: Bill indicates that he would prefer to be assessed by an Aboriginal and Torres Strait Islander assessment organisation, he understands that this may take time to get booked in, understands the impacts to his health and aged care needs; and is happy to wait for the referral to be re-directed. Steve makes arrangements to transfer the referral for Bill (referrals and rejections are covered in Section </w:t>
      </w:r>
      <w:r w:rsidR="00A6118A" w:rsidRPr="00DD4E42">
        <w:fldChar w:fldCharType="begin"/>
      </w:r>
      <w:r w:rsidR="00A6118A" w:rsidRPr="00DD4E42">
        <w:instrText xml:space="preserve"> REF _Ref212733619 \r \h </w:instrText>
      </w:r>
      <w:r w:rsidR="00DD4E42">
        <w:instrText xml:space="preserve"> \* MERGEFORMAT </w:instrText>
      </w:r>
      <w:r w:rsidR="00A6118A" w:rsidRPr="00DD4E42">
        <w:fldChar w:fldCharType="separate"/>
      </w:r>
      <w:r w:rsidR="00F97942">
        <w:t>4.3</w:t>
      </w:r>
      <w:r w:rsidR="00A6118A" w:rsidRPr="00DD4E42">
        <w:fldChar w:fldCharType="end"/>
      </w:r>
      <w:r w:rsidRPr="00DD4E42">
        <w:t xml:space="preserve">of the manual). </w:t>
      </w:r>
    </w:p>
    <w:p w14:paraId="546027FB" w14:textId="6ED7C108" w:rsidR="00722E3B" w:rsidRPr="00DD4E42" w:rsidRDefault="0016744D" w:rsidP="00C325C6">
      <w:pPr>
        <w:pStyle w:val="Sub-headings"/>
        <w:rPr>
          <w:lang w:eastAsia="en-US"/>
        </w:rPr>
      </w:pPr>
      <w:r w:rsidRPr="00DD4E42">
        <w:t>Best practice for the client is that Steve supports the client’s choice and his organisation makes contact with the Aboriginal and Torres Strait Islander assessment organisation in the region to ensure that they have capacity</w:t>
      </w:r>
      <w:r w:rsidR="00876BE8" w:rsidRPr="00DD4E42">
        <w:t xml:space="preserve"> </w:t>
      </w:r>
      <w:r w:rsidRPr="00DD4E42">
        <w:t xml:space="preserve">and support a warm handover to transfer Bill. </w:t>
      </w:r>
    </w:p>
    <w:p w14:paraId="78022F6F" w14:textId="77777777" w:rsidR="009E4F35" w:rsidRDefault="009E4F35">
      <w:pPr>
        <w:rPr>
          <w:lang w:eastAsia="en-US"/>
        </w:rPr>
      </w:pPr>
      <w:r>
        <w:rPr>
          <w:lang w:eastAsia="en-US"/>
        </w:rPr>
        <w:br w:type="page"/>
      </w:r>
    </w:p>
    <w:p w14:paraId="3850DDCC" w14:textId="6487CE1F" w:rsidR="0016744D" w:rsidRPr="004107E5" w:rsidRDefault="0016744D" w:rsidP="00856600">
      <w:pPr>
        <w:spacing w:before="240" w:after="240" w:line="240" w:lineRule="auto"/>
        <w:rPr>
          <w:lang w:eastAsia="en-US"/>
        </w:rPr>
      </w:pPr>
      <w:r w:rsidRPr="002B30F1">
        <w:rPr>
          <w:lang w:eastAsia="en-US"/>
        </w:rPr>
        <w:t xml:space="preserve">During the scale up of services, it is important that assessors and assessment organisations stay up to date on which Aboriginal and Torres Strait Islander assessment organisations </w:t>
      </w:r>
      <w:r w:rsidR="0010472A">
        <w:rPr>
          <w:lang w:eastAsia="en-US"/>
        </w:rPr>
        <w:t>are</w:t>
      </w:r>
      <w:r w:rsidRPr="002B30F1">
        <w:rPr>
          <w:lang w:eastAsia="en-US"/>
        </w:rPr>
        <w:t xml:space="preserve"> available and </w:t>
      </w:r>
      <w:r w:rsidR="0010472A">
        <w:rPr>
          <w:lang w:eastAsia="en-US"/>
        </w:rPr>
        <w:t>in which locations</w:t>
      </w:r>
      <w:r w:rsidRPr="002B30F1">
        <w:rPr>
          <w:lang w:eastAsia="en-US"/>
        </w:rPr>
        <w:t xml:space="preserve">. </w:t>
      </w:r>
      <w:r w:rsidR="00E14B31">
        <w:rPr>
          <w:lang w:eastAsia="en-US"/>
        </w:rPr>
        <w:t>Staying up to date ensures that client</w:t>
      </w:r>
      <w:r w:rsidR="008E4B5D">
        <w:rPr>
          <w:lang w:eastAsia="en-US"/>
        </w:rPr>
        <w:t>s are offered appropriate options and supports timely</w:t>
      </w:r>
      <w:r w:rsidR="006D69D3">
        <w:rPr>
          <w:lang w:eastAsia="en-US"/>
        </w:rPr>
        <w:t xml:space="preserve">, culturally safe referrals. </w:t>
      </w:r>
      <w:r w:rsidRPr="002B30F1">
        <w:rPr>
          <w:lang w:eastAsia="en-US"/>
        </w:rPr>
        <w:t xml:space="preserve">To support this awareness: </w:t>
      </w:r>
    </w:p>
    <w:p w14:paraId="1CDCBC7B" w14:textId="3C75FC28" w:rsidR="000972E6" w:rsidRPr="00BC45C0" w:rsidRDefault="0016744D" w:rsidP="00907807">
      <w:pPr>
        <w:pStyle w:val="ListParagraph"/>
        <w:numPr>
          <w:ilvl w:val="0"/>
          <w:numId w:val="74"/>
        </w:numPr>
        <w:spacing w:before="240" w:after="240" w:line="240" w:lineRule="auto"/>
        <w:rPr>
          <w:b/>
          <w:bCs/>
        </w:rPr>
      </w:pPr>
      <w:r w:rsidRPr="002B30F1">
        <w:t xml:space="preserve">The department will provide updates </w:t>
      </w:r>
      <w:r w:rsidR="0005531E">
        <w:t xml:space="preserve">through communications </w:t>
      </w:r>
      <w:r w:rsidR="00A1282B">
        <w:t xml:space="preserve">such as email notifications, </w:t>
      </w:r>
      <w:r w:rsidR="0098212B">
        <w:t>and messages within the relevant platforms</w:t>
      </w:r>
      <w:r w:rsidR="001B622A">
        <w:t xml:space="preserve"> </w:t>
      </w:r>
      <w:r w:rsidR="00907807">
        <w:t>a</w:t>
      </w:r>
      <w:r w:rsidRPr="002B30F1">
        <w:t>s services roll out</w:t>
      </w:r>
      <w:r w:rsidR="000972E6">
        <w:t>.</w:t>
      </w:r>
    </w:p>
    <w:p w14:paraId="395A41A2" w14:textId="15576BB7" w:rsidR="0016744D" w:rsidRPr="00907807" w:rsidRDefault="00E9687B" w:rsidP="00907807">
      <w:pPr>
        <w:pStyle w:val="ListParagraph"/>
        <w:numPr>
          <w:ilvl w:val="0"/>
          <w:numId w:val="74"/>
        </w:numPr>
        <w:spacing w:before="240" w:after="240" w:line="240" w:lineRule="auto"/>
        <w:rPr>
          <w:b/>
          <w:bCs/>
        </w:rPr>
      </w:pPr>
      <w:r>
        <w:t>Aboriginal and Torres Strait assessment organisation outlets</w:t>
      </w:r>
      <w:r w:rsidR="001037C3" w:rsidRPr="002B30F1">
        <w:t xml:space="preserve"> </w:t>
      </w:r>
      <w:r w:rsidR="0016744D" w:rsidRPr="002B30F1">
        <w:t xml:space="preserve">will be prefixed with “FNAO-” and appear at the top of the list of available organisations. </w:t>
      </w:r>
    </w:p>
    <w:p w14:paraId="5694A616" w14:textId="71CE93B9" w:rsidR="0016744D" w:rsidRPr="002F2146" w:rsidRDefault="0016744D" w:rsidP="00DF3F6B">
      <w:pPr>
        <w:pStyle w:val="ListParagraph"/>
        <w:numPr>
          <w:ilvl w:val="0"/>
          <w:numId w:val="74"/>
        </w:numPr>
        <w:spacing w:before="240" w:after="240" w:line="240" w:lineRule="auto"/>
        <w:rPr>
          <w:b/>
          <w:bCs/>
        </w:rPr>
      </w:pPr>
      <w:r>
        <w:t>Aboriginal and Torres Strait Islander</w:t>
      </w:r>
      <w:r w:rsidRPr="002B30F1">
        <w:t xml:space="preserve"> assessment organisations </w:t>
      </w:r>
      <w:r w:rsidR="00E9687B">
        <w:t>are</w:t>
      </w:r>
      <w:r w:rsidRPr="002B30F1">
        <w:t xml:space="preserve"> listed on the </w:t>
      </w:r>
      <w:hyperlink r:id="rId109" w:history="1">
        <w:r w:rsidRPr="007D4F32">
          <w:rPr>
            <w:rStyle w:val="Hyperlink"/>
          </w:rPr>
          <w:t>interactive map of available services</w:t>
        </w:r>
      </w:hyperlink>
      <w:r w:rsidRPr="002B30F1">
        <w:t xml:space="preserve">. </w:t>
      </w:r>
    </w:p>
    <w:p w14:paraId="1FB489B6" w14:textId="7B41421E" w:rsidR="0016744D" w:rsidRPr="002F2146" w:rsidRDefault="0016744D" w:rsidP="00DF3F6B">
      <w:pPr>
        <w:pStyle w:val="ListParagraph"/>
        <w:numPr>
          <w:ilvl w:val="0"/>
          <w:numId w:val="74"/>
        </w:numPr>
        <w:spacing w:before="240" w:after="240" w:line="240" w:lineRule="auto"/>
        <w:rPr>
          <w:b/>
          <w:bCs/>
        </w:rPr>
      </w:pPr>
      <w:r w:rsidRPr="002B30F1">
        <w:t>The Department</w:t>
      </w:r>
      <w:r>
        <w:t xml:space="preserve">’s </w:t>
      </w:r>
      <w:r w:rsidRPr="002B30F1">
        <w:t xml:space="preserve">website will be updated regularly. </w:t>
      </w:r>
    </w:p>
    <w:p w14:paraId="6C13DE49" w14:textId="0A2119A9" w:rsidR="0016744D" w:rsidRPr="003C04F4" w:rsidRDefault="0016744D" w:rsidP="00C56CEC">
      <w:pPr>
        <w:pStyle w:val="H3"/>
      </w:pPr>
      <w:bookmarkStart w:id="282" w:name="_Toc198813667"/>
      <w:bookmarkStart w:id="283" w:name="_Toc204329529"/>
      <w:r w:rsidRPr="003E1933">
        <w:t>Unlikely to be eligible for an assessment flag</w:t>
      </w:r>
      <w:bookmarkEnd w:id="282"/>
      <w:bookmarkEnd w:id="283"/>
    </w:p>
    <w:p w14:paraId="5143882F" w14:textId="630BD1AB" w:rsidR="0016744D" w:rsidRDefault="0016744D" w:rsidP="00856600">
      <w:pPr>
        <w:spacing w:before="240" w:after="240" w:line="240" w:lineRule="auto"/>
      </w:pPr>
      <w:r w:rsidRPr="00880B95">
        <w:t xml:space="preserve">If a client is found to be </w:t>
      </w:r>
      <w:r w:rsidRPr="00174999">
        <w:rPr>
          <w:b/>
        </w:rPr>
        <w:t>likely ineligible</w:t>
      </w:r>
      <w:r w:rsidRPr="00880B95">
        <w:t xml:space="preserve"> for an aged care needs assessment during screening, a flag titled ‘</w:t>
      </w:r>
      <w:r>
        <w:t xml:space="preserve">likely ineligible’ </w:t>
      </w:r>
      <w:r w:rsidRPr="00880B95">
        <w:t xml:space="preserve">will appear on the client’s </w:t>
      </w:r>
      <w:r>
        <w:t>assessment referral once the Team Leader has accepted the referral</w:t>
      </w:r>
      <w:r w:rsidRPr="00880B95">
        <w:t xml:space="preserve"> in the </w:t>
      </w:r>
      <w:r>
        <w:t>My Aged Care Assessor Portal</w:t>
      </w:r>
      <w:r w:rsidRPr="00880B95">
        <w:t xml:space="preserve">. </w:t>
      </w:r>
    </w:p>
    <w:p w14:paraId="26CC620B" w14:textId="77777777" w:rsidR="0016744D" w:rsidRPr="006243B6" w:rsidRDefault="0016744D" w:rsidP="00856600">
      <w:pPr>
        <w:spacing w:before="240" w:after="240" w:line="240" w:lineRule="auto"/>
      </w:pPr>
      <w:r w:rsidRPr="006243B6">
        <w:t xml:space="preserve">When actioning an assessment referral, Team Leaders may notice an option to reject an assessment referral by selecting the reason as </w:t>
      </w:r>
      <w:r w:rsidRPr="002F2146">
        <w:t>Ineligible at Triage</w:t>
      </w:r>
      <w:r w:rsidRPr="006243B6">
        <w:t>. However,</w:t>
      </w:r>
      <w:r w:rsidRPr="002F2146">
        <w:t xml:space="preserve"> </w:t>
      </w:r>
      <w:r w:rsidRPr="006243B6">
        <w:t xml:space="preserve">Team Leaders </w:t>
      </w:r>
      <w:r w:rsidRPr="002F2146">
        <w:t xml:space="preserve">should not use </w:t>
      </w:r>
      <w:r w:rsidRPr="006243B6">
        <w:t>‘</w:t>
      </w:r>
      <w:r w:rsidRPr="002F2146">
        <w:t>Ineligible at Triage</w:t>
      </w:r>
      <w:r w:rsidRPr="006243B6">
        <w:t>’</w:t>
      </w:r>
      <w:r w:rsidRPr="002F2146">
        <w:t xml:space="preserve"> </w:t>
      </w:r>
      <w:r w:rsidRPr="006243B6">
        <w:t xml:space="preserve">reason to reject a referral. </w:t>
      </w:r>
    </w:p>
    <w:p w14:paraId="09DA1A37" w14:textId="4DBE2DEA" w:rsidR="0016744D" w:rsidRDefault="0016744D" w:rsidP="00856600">
      <w:pPr>
        <w:spacing w:before="240" w:after="240" w:line="240" w:lineRule="auto"/>
      </w:pPr>
      <w:r w:rsidRPr="006243B6">
        <w:t>Using this rejection reason will prevent the client from being formally triaged by the Triage Delegate. If there is no other valid reason to reject the referral (such as the client is deceased, medically unstable, no consent etc.), and the client’s assessment referral is flagged as ‘</w:t>
      </w:r>
      <w:r w:rsidRPr="002F2146">
        <w:t>unlikely to be eligible</w:t>
      </w:r>
      <w:r w:rsidRPr="006243B6">
        <w:t>’, the</w:t>
      </w:r>
      <w:r>
        <w:t xml:space="preserve"> Team Leader must accept and assign the assessment referral to a Triage Delegate to determine eligibility for assessment. </w:t>
      </w:r>
    </w:p>
    <w:p w14:paraId="0F2C57C5" w14:textId="77777777" w:rsidR="0016744D" w:rsidRPr="0030158F" w:rsidRDefault="0016744D" w:rsidP="00856600">
      <w:pPr>
        <w:spacing w:before="240" w:after="240" w:line="240" w:lineRule="auto"/>
      </w:pPr>
      <w:r w:rsidRPr="0030158F">
        <w:t>This flag is an indication only</w:t>
      </w:r>
      <w:r>
        <w:t>;</w:t>
      </w:r>
      <w:r w:rsidRPr="0030158F">
        <w:t xml:space="preserve"> the decision whether an individual is eligible for an assessment must be made by a Triage Delegate</w:t>
      </w:r>
      <w:r>
        <w:t xml:space="preserve">, who acts as the System Governor under the </w:t>
      </w:r>
      <w:r>
        <w:rPr>
          <w:i/>
        </w:rPr>
        <w:t>Act</w:t>
      </w:r>
      <w:r w:rsidRPr="0030158F">
        <w:t xml:space="preserve">. </w:t>
      </w:r>
    </w:p>
    <w:p w14:paraId="2D4F1CB6" w14:textId="79F59B88" w:rsidR="0016744D" w:rsidRDefault="0016744D" w:rsidP="00856600">
      <w:pPr>
        <w:spacing w:before="240" w:after="240" w:line="240" w:lineRule="auto"/>
      </w:pPr>
      <w:r w:rsidRPr="002B6BA4">
        <w:t>A</w:t>
      </w:r>
      <w:r w:rsidRPr="00880B95" w:rsidDel="002A2AE0">
        <w:t xml:space="preserve"> </w:t>
      </w:r>
      <w:r>
        <w:t>client</w:t>
      </w:r>
      <w:r w:rsidRPr="00880B95">
        <w:t xml:space="preserve"> </w:t>
      </w:r>
      <w:r>
        <w:t>who</w:t>
      </w:r>
      <w:r w:rsidRPr="00880B95">
        <w:t xml:space="preserve"> has been found ineligible </w:t>
      </w:r>
      <w:r>
        <w:t>at triage</w:t>
      </w:r>
      <w:r w:rsidRPr="00880B95">
        <w:t xml:space="preserve"> for an aged care assessment </w:t>
      </w:r>
      <w:r>
        <w:t>must</w:t>
      </w:r>
      <w:r w:rsidRPr="00880B95">
        <w:t xml:space="preserve"> be sent an ‘Ineligible for Assessment’ Letter (</w:t>
      </w:r>
      <w:r>
        <w:t>known as</w:t>
      </w:r>
      <w:r w:rsidRPr="00880B95">
        <w:t xml:space="preserve"> 'Notice of decision not to make an eligibility determination' notice). </w:t>
      </w:r>
      <w:r>
        <w:t xml:space="preserve">The letter must be uploaded as an attachment on the client’s online account via the My Aged Care Assessor Portal. </w:t>
      </w:r>
      <w:r w:rsidRPr="003E1933">
        <w:t xml:space="preserve">For further information see </w:t>
      </w:r>
      <w:r w:rsidRPr="00C6699E">
        <w:t xml:space="preserve">Chapter </w:t>
      </w:r>
      <w:r w:rsidR="00980B8F">
        <w:fldChar w:fldCharType="begin"/>
      </w:r>
      <w:r w:rsidR="00980B8F">
        <w:instrText xml:space="preserve"> REF _Ref212735327 \w \h </w:instrText>
      </w:r>
      <w:r w:rsidR="00980B8F">
        <w:fldChar w:fldCharType="separate"/>
      </w:r>
      <w:r w:rsidR="00F97942">
        <w:t>9</w:t>
      </w:r>
      <w:r w:rsidR="00980B8F">
        <w:fldChar w:fldCharType="end"/>
      </w:r>
      <w:r w:rsidRPr="00C6699E">
        <w:t>.</w:t>
      </w:r>
      <w:r w:rsidRPr="00880B95">
        <w:t xml:space="preserve"> </w:t>
      </w:r>
    </w:p>
    <w:p w14:paraId="75D1091B" w14:textId="476117CE" w:rsidR="009C4600" w:rsidRPr="00662566" w:rsidRDefault="0016744D" w:rsidP="00C325C6">
      <w:pPr>
        <w:pStyle w:val="Sub-headings"/>
      </w:pPr>
      <w:r w:rsidRPr="00904192">
        <w:t>Note</w:t>
      </w:r>
      <w:r w:rsidR="009C4600">
        <w:t>:</w:t>
      </w:r>
    </w:p>
    <w:p w14:paraId="4F7E7DCB" w14:textId="1B1FBCB7" w:rsidR="0016744D" w:rsidRDefault="009C4600" w:rsidP="00C325C6">
      <w:pPr>
        <w:pStyle w:val="Sub-headings"/>
      </w:pPr>
      <w:r>
        <w:t>I</w:t>
      </w:r>
      <w:r w:rsidR="0016744D" w:rsidRPr="002F2146">
        <w:t>f the older person was previously found ‘likely ineligible’ during screening and later is eligible the screening information will not change as screening can only be completed once. Triage Delegates should be diligent in reviewing an older person</w:t>
      </w:r>
      <w:r w:rsidR="0016744D">
        <w:t>’</w:t>
      </w:r>
      <w:r w:rsidR="0016744D" w:rsidRPr="002F2146">
        <w:t>s record to ensure they are eligible for an assessment.</w:t>
      </w:r>
      <w:r w:rsidR="0016744D">
        <w:t xml:space="preserve"> </w:t>
      </w:r>
    </w:p>
    <w:p w14:paraId="782F1042" w14:textId="535E76C5" w:rsidR="00697DB2" w:rsidRDefault="00236315" w:rsidP="00236315">
      <w:bookmarkStart w:id="284" w:name="_Toc198813668"/>
      <w:bookmarkStart w:id="285" w:name="_Toc204329530"/>
      <w:r>
        <w:br w:type="page"/>
      </w:r>
    </w:p>
    <w:p w14:paraId="42ACB541" w14:textId="7E1E1BA6" w:rsidR="0016744D" w:rsidRDefault="00E5721A" w:rsidP="00C56CEC">
      <w:pPr>
        <w:pStyle w:val="H3"/>
      </w:pPr>
      <w:r w:rsidRPr="005E4E0E">
        <w:rPr>
          <w:noProof/>
        </w:rPr>
        <w:drawing>
          <wp:anchor distT="0" distB="0" distL="114300" distR="114300" simplePos="0" relativeHeight="251658293" behindDoc="0" locked="0" layoutInCell="1" allowOverlap="1" wp14:anchorId="0FFC06B6" wp14:editId="6417B1D4">
            <wp:simplePos x="0" y="0"/>
            <wp:positionH relativeFrom="margin">
              <wp:align>left</wp:align>
            </wp:positionH>
            <wp:positionV relativeFrom="paragraph">
              <wp:posOffset>108</wp:posOffset>
            </wp:positionV>
            <wp:extent cx="457200" cy="502920"/>
            <wp:effectExtent l="0" t="0" r="0" b="0"/>
            <wp:wrapSquare wrapText="bothSides"/>
            <wp:docPr id="1450023956" name="Picture 145002395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16744D" w:rsidRPr="003E1933">
        <w:t xml:space="preserve">End-of-Life </w:t>
      </w:r>
      <w:bookmarkEnd w:id="284"/>
      <w:bookmarkEnd w:id="285"/>
      <w:r w:rsidR="00265EDF">
        <w:t>referrals</w:t>
      </w:r>
    </w:p>
    <w:p w14:paraId="32B32EEB" w14:textId="5D4FF436" w:rsidR="0016744D" w:rsidRDefault="0016744D" w:rsidP="00856600">
      <w:pPr>
        <w:spacing w:before="240" w:after="240" w:line="240" w:lineRule="auto"/>
        <w:rPr>
          <w:lang w:val="en-US"/>
        </w:rPr>
      </w:pPr>
      <w:r w:rsidRPr="00F134DB">
        <w:t xml:space="preserve">Assessors </w:t>
      </w:r>
      <w:r w:rsidR="008F475C">
        <w:t>must</w:t>
      </w:r>
      <w:r w:rsidR="008F475C" w:rsidRPr="00F134DB">
        <w:t xml:space="preserve"> </w:t>
      </w:r>
      <w:r w:rsidRPr="00F134DB">
        <w:t xml:space="preserve">undertake High Priority Assessments for new End-of-Life clients. The </w:t>
      </w:r>
      <w:r w:rsidR="007E7CAD">
        <w:t>Assessor Portal</w:t>
      </w:r>
      <w:r w:rsidRPr="00F134DB">
        <w:t xml:space="preserve"> will include system capability for team leaders and triage delegates to flag clients as an ‘End-of-life client’ through the High Priority assessment process. The aged care assessment referral will be flagged as an ‘End-of-Life referral’ and will be given a high priority. </w:t>
      </w:r>
      <w:r w:rsidR="001E122C">
        <w:rPr>
          <w:lang w:val="en-US"/>
        </w:rPr>
        <w:t xml:space="preserve">Assessors </w:t>
      </w:r>
      <w:r w:rsidR="001E122C">
        <w:t xml:space="preserve">will be able to identify referrals for the End-of-Life Pathway through a visual indicator that marks the referral as End-of-Life, and through filtering for the End-of-Life Pathway. However, </w:t>
      </w:r>
      <w:r w:rsidR="001E122C" w:rsidRPr="00B0413E">
        <w:rPr>
          <w:b/>
          <w:bCs/>
        </w:rPr>
        <w:t xml:space="preserve">it is important to note that current system functionality does not allow team leaders to identify Support Plan Reviews for the End-of-Life Pathway through the same mechanisms </w:t>
      </w:r>
      <w:r w:rsidR="001E122C">
        <w:t xml:space="preserve">(team leaders will be able to filter by urgency, but they will be unable to see the visual indicator or filter </w:t>
      </w:r>
      <w:r w:rsidR="0001134E">
        <w:t xml:space="preserve">specifically for </w:t>
      </w:r>
      <w:r w:rsidR="001E122C">
        <w:t>End-of-Life). Instead, upon receiving urgent requests for Support Plan Reviews, it is important that team leaders click the double arrow icon to expand the referral card, verify whether it relates to the End-of-Life Pathway and prioritise it accordingly. This must be done for all incoming referrals for Support Plan Reviews to ensure older people seeking access to the End-of-Life Pathway are prioritised</w:t>
      </w:r>
      <w:r w:rsidRPr="1C5E343A">
        <w:rPr>
          <w:lang w:val="en-US"/>
        </w:rPr>
        <w:t>.</w:t>
      </w:r>
    </w:p>
    <w:p w14:paraId="4423D51A" w14:textId="1955E19A" w:rsidR="00C90D0A" w:rsidRDefault="000C3F38" w:rsidP="00856600">
      <w:pPr>
        <w:spacing w:before="240" w:after="240" w:line="240" w:lineRule="auto"/>
      </w:pPr>
      <w:r>
        <w:t xml:space="preserve">For CHSP clients who are seeking </w:t>
      </w:r>
      <w:r w:rsidR="004D4F61">
        <w:t>the End</w:t>
      </w:r>
      <w:r w:rsidR="0013447C">
        <w:t>-</w:t>
      </w:r>
      <w:r w:rsidR="004D4F61">
        <w:t>of</w:t>
      </w:r>
      <w:r w:rsidR="0013447C">
        <w:t>-</w:t>
      </w:r>
      <w:r w:rsidR="004D4F61">
        <w:t>Life Pathway</w:t>
      </w:r>
      <w:r w:rsidR="00C12A27">
        <w:t xml:space="preserve"> via </w:t>
      </w:r>
      <w:r w:rsidR="006E792F">
        <w:t>a</w:t>
      </w:r>
      <w:r w:rsidR="00C12A27">
        <w:t xml:space="preserve"> SPR</w:t>
      </w:r>
      <w:r w:rsidR="004D4F61">
        <w:t xml:space="preserve">, </w:t>
      </w:r>
      <w:r w:rsidR="00AD42A5">
        <w:t xml:space="preserve">if the </w:t>
      </w:r>
      <w:r w:rsidR="004D0E9B">
        <w:t xml:space="preserve">assessor </w:t>
      </w:r>
      <w:r w:rsidR="00133DB1">
        <w:t xml:space="preserve">or </w:t>
      </w:r>
      <w:r w:rsidR="00C12A27">
        <w:t>t</w:t>
      </w:r>
      <w:r w:rsidR="00133DB1">
        <w:t xml:space="preserve">eam </w:t>
      </w:r>
      <w:r w:rsidR="00C12A27">
        <w:t>l</w:t>
      </w:r>
      <w:r w:rsidR="00133DB1">
        <w:t>eader</w:t>
      </w:r>
      <w:r w:rsidR="00C12A27">
        <w:t xml:space="preserve"> is </w:t>
      </w:r>
      <w:r w:rsidR="00AD42A5">
        <w:t>satisfied the</w:t>
      </w:r>
      <w:r w:rsidR="004D0E9B">
        <w:t xml:space="preserve"> </w:t>
      </w:r>
      <w:r w:rsidR="00133DB1">
        <w:t xml:space="preserve">referral </w:t>
      </w:r>
      <w:r w:rsidR="00AA5E4F">
        <w:t>is an</w:t>
      </w:r>
      <w:r w:rsidR="00C12A27">
        <w:t xml:space="preserve"> End-of-Life </w:t>
      </w:r>
      <w:r w:rsidR="00AA5E4F">
        <w:t>request</w:t>
      </w:r>
      <w:r w:rsidR="006E792F">
        <w:t>,</w:t>
      </w:r>
      <w:r w:rsidR="00C12A27">
        <w:t xml:space="preserve"> </w:t>
      </w:r>
      <w:r w:rsidR="00CE1FD4">
        <w:t xml:space="preserve">they can select </w:t>
      </w:r>
      <w:r w:rsidR="00D138A7">
        <w:t>the “recommend new assessment” button</w:t>
      </w:r>
      <w:r w:rsidR="0075424F">
        <w:t xml:space="preserve"> under the “before you start the support plan review</w:t>
      </w:r>
      <w:r w:rsidR="00A44B7D">
        <w:t>”</w:t>
      </w:r>
      <w:r w:rsidR="0075424F">
        <w:t xml:space="preserve"> tab</w:t>
      </w:r>
      <w:r w:rsidR="00CE1FD4">
        <w:t xml:space="preserve"> to proceed directly to a comprehensive assessment</w:t>
      </w:r>
      <w:r w:rsidR="0075424F">
        <w:t xml:space="preserve">. </w:t>
      </w:r>
    </w:p>
    <w:p w14:paraId="1F1BB6BA" w14:textId="4ACBF42C" w:rsidR="0016744D" w:rsidRDefault="0016744D" w:rsidP="00856600">
      <w:pPr>
        <w:spacing w:before="240" w:after="240" w:line="240" w:lineRule="auto"/>
      </w:pPr>
      <w:r>
        <w:t xml:space="preserve">The </w:t>
      </w:r>
      <w:r w:rsidRPr="002D1B2E">
        <w:t>End-of-Life Pathway Form</w:t>
      </w:r>
      <w:r>
        <w:t xml:space="preserve"> </w:t>
      </w:r>
      <w:r w:rsidRPr="00880B95">
        <w:t>does not need to be</w:t>
      </w:r>
      <w:r>
        <w:t xml:space="preserve"> attached to the client’s record</w:t>
      </w:r>
      <w:r w:rsidRPr="00880B95">
        <w:t xml:space="preserve"> for the assessment to proceed.</w:t>
      </w:r>
      <w:r>
        <w:t xml:space="preserve"> </w:t>
      </w:r>
      <w:r w:rsidRPr="00F40026">
        <w:t xml:space="preserve">If an End-of-Life Pathway Form has not been submitted, the </w:t>
      </w:r>
      <w:r>
        <w:t>team leader or triage delegate</w:t>
      </w:r>
      <w:r w:rsidRPr="00F40026">
        <w:t xml:space="preserve"> should advise the older person of the steps required</w:t>
      </w:r>
      <w:r w:rsidR="005B67DF">
        <w:t xml:space="preserve">. In cases where an aged care assessment or SPR will be undertaken via telehealth, assessors must assist older people to ensure the completed End-of-Life Pathway Form is submitted. More information on </w:t>
      </w:r>
      <w:r w:rsidR="0067669B">
        <w:t>options is included in section 6.3.1.</w:t>
      </w:r>
    </w:p>
    <w:p w14:paraId="053DD0BF" w14:textId="44DC918D" w:rsidR="0016744D" w:rsidRDefault="0016744D" w:rsidP="00856600">
      <w:pPr>
        <w:spacing w:before="240" w:after="240" w:line="240" w:lineRule="auto"/>
      </w:pPr>
      <w:r>
        <w:t xml:space="preserve">The End-of-Life Form must be uploaded and verified prior to the Support Plan being completed. </w:t>
      </w:r>
      <w:r w:rsidRPr="7D543E7F">
        <w:t xml:space="preserve">Prompts will show to ensure the form is verified. </w:t>
      </w:r>
      <w:r>
        <w:t>If an assessment referral has been received with an End-of-Life flag, the End-of-Life form can be verified by clicking on the ‘edit’ icon. During an assessment it can be verified by selecting the ‘Verify End of Life Form’ Button. The form can be verified as:</w:t>
      </w:r>
    </w:p>
    <w:p w14:paraId="2F7DD454" w14:textId="26430BE2" w:rsidR="0016744D" w:rsidRPr="00FA2935" w:rsidRDefault="0016744D" w:rsidP="00856600">
      <w:pPr>
        <w:pStyle w:val="Caption"/>
        <w:spacing w:before="240" w:after="240"/>
        <w:rPr>
          <w:color w:val="auto"/>
        </w:rPr>
      </w:pPr>
      <w:r w:rsidRPr="00FA2935">
        <w:rPr>
          <w:color w:val="auto"/>
        </w:rPr>
        <w:t xml:space="preserve">Table </w:t>
      </w:r>
      <w:r w:rsidR="00647AB5" w:rsidRPr="00FA2935">
        <w:rPr>
          <w:color w:val="auto"/>
        </w:rPr>
        <w:t>1</w:t>
      </w:r>
      <w:r w:rsidR="00236315">
        <w:rPr>
          <w:color w:val="auto"/>
        </w:rPr>
        <w:t>7</w:t>
      </w:r>
      <w:r w:rsidRPr="00FA2935">
        <w:rPr>
          <w:color w:val="auto"/>
        </w:rPr>
        <w:t xml:space="preserve">. End of Life Form verification options </w:t>
      </w:r>
    </w:p>
    <w:tbl>
      <w:tblPr>
        <w:tblStyle w:val="TableGrid"/>
        <w:tblW w:w="9351" w:type="dxa"/>
        <w:tblBorders>
          <w:bottom w:val="single" w:sz="4" w:space="0" w:color="auto"/>
          <w:insideH w:val="single" w:sz="4" w:space="0" w:color="auto"/>
        </w:tblBorders>
        <w:tblLook w:val="04A0" w:firstRow="1" w:lastRow="0" w:firstColumn="1" w:lastColumn="0" w:noHBand="0" w:noVBand="1"/>
        <w:tblCaption w:val="End-of-Life verification options "/>
        <w:tblDescription w:val="Overview of End-of-Life verification options"/>
      </w:tblPr>
      <w:tblGrid>
        <w:gridCol w:w="4508"/>
        <w:gridCol w:w="4843"/>
      </w:tblGrid>
      <w:tr w:rsidR="0016744D" w:rsidRPr="005039A4" w14:paraId="75318A94" w14:textId="77777777">
        <w:tc>
          <w:tcPr>
            <w:tcW w:w="4508" w:type="dxa"/>
            <w:shd w:val="clear" w:color="auto" w:fill="002060"/>
            <w:vAlign w:val="center"/>
          </w:tcPr>
          <w:p w14:paraId="0947630D" w14:textId="77777777" w:rsidR="0016744D" w:rsidRPr="005039A4" w:rsidRDefault="0016744D" w:rsidP="00856600">
            <w:pPr>
              <w:spacing w:before="240" w:after="240"/>
              <w:rPr>
                <w:b/>
                <w:bCs/>
                <w:lang w:val="en-US"/>
              </w:rPr>
            </w:pPr>
            <w:r w:rsidRPr="005039A4">
              <w:rPr>
                <w:b/>
                <w:bCs/>
                <w:lang w:val="en-US"/>
              </w:rPr>
              <w:t xml:space="preserve">Option </w:t>
            </w:r>
          </w:p>
        </w:tc>
        <w:tc>
          <w:tcPr>
            <w:tcW w:w="4843" w:type="dxa"/>
            <w:shd w:val="clear" w:color="auto" w:fill="002060"/>
            <w:vAlign w:val="center"/>
          </w:tcPr>
          <w:p w14:paraId="12AF969C" w14:textId="77777777" w:rsidR="0016744D" w:rsidRPr="005039A4" w:rsidRDefault="0016744D" w:rsidP="00856600">
            <w:pPr>
              <w:spacing w:before="240" w:after="240"/>
              <w:rPr>
                <w:b/>
                <w:bCs/>
                <w:lang w:val="en-US"/>
              </w:rPr>
            </w:pPr>
            <w:r w:rsidRPr="005039A4">
              <w:rPr>
                <w:b/>
                <w:bCs/>
                <w:lang w:val="en-US"/>
              </w:rPr>
              <w:t>When to use</w:t>
            </w:r>
          </w:p>
        </w:tc>
      </w:tr>
      <w:tr w:rsidR="0016744D" w:rsidRPr="007B3AB2" w14:paraId="4A8C01BC" w14:textId="77777777">
        <w:tc>
          <w:tcPr>
            <w:tcW w:w="4508" w:type="dxa"/>
            <w:vAlign w:val="center"/>
          </w:tcPr>
          <w:p w14:paraId="089E3A8B" w14:textId="05226C90" w:rsidR="0016744D" w:rsidRPr="007B3AB2" w:rsidRDefault="0016744D" w:rsidP="00856600">
            <w:pPr>
              <w:spacing w:before="240" w:after="240"/>
              <w:rPr>
                <w:lang w:val="en-US"/>
              </w:rPr>
            </w:pPr>
            <w:r w:rsidRPr="007B3AB2">
              <w:rPr>
                <w:lang w:val="en-US"/>
              </w:rPr>
              <w:t>Document Reviewed</w:t>
            </w:r>
            <w:r w:rsidR="00943D59">
              <w:rPr>
                <w:lang w:val="en-US"/>
              </w:rPr>
              <w:t xml:space="preserve"> </w:t>
            </w:r>
            <w:r w:rsidRPr="007B3AB2">
              <w:rPr>
                <w:lang w:val="en-US"/>
              </w:rPr>
              <w:t>- valid</w:t>
            </w:r>
          </w:p>
        </w:tc>
        <w:tc>
          <w:tcPr>
            <w:tcW w:w="4843" w:type="dxa"/>
            <w:vAlign w:val="center"/>
          </w:tcPr>
          <w:p w14:paraId="393893D4" w14:textId="77777777" w:rsidR="0016744D" w:rsidRPr="007B3AB2" w:rsidRDefault="0016744D" w:rsidP="00856600">
            <w:pPr>
              <w:spacing w:before="240" w:after="240"/>
              <w:rPr>
                <w:lang w:val="en-US"/>
              </w:rPr>
            </w:pPr>
            <w:r w:rsidRPr="007B3AB2">
              <w:rPr>
                <w:lang w:val="en-US"/>
              </w:rPr>
              <w:t xml:space="preserve">The correct, complete document has been uploaded. </w:t>
            </w:r>
          </w:p>
        </w:tc>
      </w:tr>
      <w:tr w:rsidR="0016744D" w:rsidRPr="007B3AB2" w14:paraId="119835E1" w14:textId="77777777">
        <w:tc>
          <w:tcPr>
            <w:tcW w:w="4508" w:type="dxa"/>
            <w:vAlign w:val="center"/>
          </w:tcPr>
          <w:p w14:paraId="782B5B57" w14:textId="77777777" w:rsidR="0016744D" w:rsidRPr="007B3AB2" w:rsidRDefault="0016744D" w:rsidP="00856600">
            <w:pPr>
              <w:spacing w:before="240" w:after="240"/>
              <w:rPr>
                <w:lang w:val="en-US"/>
              </w:rPr>
            </w:pPr>
            <w:r w:rsidRPr="007B3AB2">
              <w:rPr>
                <w:lang w:val="en-US"/>
              </w:rPr>
              <w:t>Document Reviewed – pending</w:t>
            </w:r>
          </w:p>
        </w:tc>
        <w:tc>
          <w:tcPr>
            <w:tcW w:w="4843" w:type="dxa"/>
            <w:vAlign w:val="center"/>
          </w:tcPr>
          <w:p w14:paraId="325C14D6" w14:textId="77777777" w:rsidR="0016744D" w:rsidRPr="007B3AB2" w:rsidRDefault="0016744D" w:rsidP="00856600">
            <w:pPr>
              <w:spacing w:before="240" w:after="240"/>
              <w:rPr>
                <w:lang w:val="en-US"/>
              </w:rPr>
            </w:pPr>
            <w:r w:rsidRPr="007B3AB2">
              <w:rPr>
                <w:lang w:val="en-US"/>
              </w:rPr>
              <w:t>The documentation is either incomplete or not provided.</w:t>
            </w:r>
          </w:p>
        </w:tc>
      </w:tr>
      <w:tr w:rsidR="0016744D" w:rsidRPr="007B3AB2" w14:paraId="5C2BE28B" w14:textId="77777777">
        <w:tc>
          <w:tcPr>
            <w:tcW w:w="4508" w:type="dxa"/>
            <w:vAlign w:val="center"/>
          </w:tcPr>
          <w:p w14:paraId="1757ADF1" w14:textId="77777777" w:rsidR="0016744D" w:rsidRPr="007B3AB2" w:rsidRDefault="0016744D" w:rsidP="00856600">
            <w:pPr>
              <w:spacing w:before="240" w:after="240"/>
              <w:rPr>
                <w:lang w:val="en-US"/>
              </w:rPr>
            </w:pPr>
            <w:r w:rsidRPr="007B3AB2">
              <w:rPr>
                <w:lang w:val="en-US"/>
              </w:rPr>
              <w:t xml:space="preserve">Document Reviewed </w:t>
            </w:r>
            <w:r>
              <w:rPr>
                <w:lang w:val="en-US"/>
              </w:rPr>
              <w:t>–</w:t>
            </w:r>
            <w:r w:rsidRPr="007B3AB2">
              <w:rPr>
                <w:lang w:val="en-US"/>
              </w:rPr>
              <w:t xml:space="preserve"> invalid</w:t>
            </w:r>
          </w:p>
        </w:tc>
        <w:tc>
          <w:tcPr>
            <w:tcW w:w="4843" w:type="dxa"/>
            <w:vAlign w:val="center"/>
          </w:tcPr>
          <w:p w14:paraId="19B8A8AE" w14:textId="77777777" w:rsidR="0016744D" w:rsidRPr="007B3AB2" w:rsidRDefault="0016744D" w:rsidP="00856600">
            <w:pPr>
              <w:spacing w:before="240" w:after="240"/>
              <w:rPr>
                <w:lang w:val="en-US"/>
              </w:rPr>
            </w:pPr>
            <w:r w:rsidRPr="007B3AB2">
              <w:rPr>
                <w:lang w:val="en-US"/>
              </w:rPr>
              <w:t xml:space="preserve">The End-of-Life pathway is no longer needed or the documentation is invalid. </w:t>
            </w:r>
          </w:p>
        </w:tc>
      </w:tr>
    </w:tbl>
    <w:p w14:paraId="04122D39" w14:textId="77777777" w:rsidR="00724D2F" w:rsidRPr="000027E3" w:rsidRDefault="0016744D" w:rsidP="00C325C6">
      <w:pPr>
        <w:pStyle w:val="Sub-headings"/>
      </w:pPr>
      <w:r w:rsidRPr="00904192">
        <w:t>Note</w:t>
      </w:r>
      <w:r w:rsidRPr="000027E3">
        <w:t xml:space="preserve">: </w:t>
      </w:r>
    </w:p>
    <w:p w14:paraId="58056216" w14:textId="79D969B5" w:rsidR="0016744D" w:rsidRDefault="0016744D" w:rsidP="00C325C6">
      <w:pPr>
        <w:pStyle w:val="Sub-headings"/>
        <w:rPr>
          <w:rFonts w:eastAsia="MS Mincho" w:cstheme="minorBidi"/>
          <w:bCs w:val="0"/>
          <w:lang w:eastAsia="en-GB"/>
        </w:rPr>
      </w:pPr>
      <w:r w:rsidRPr="00626A1B">
        <w:t xml:space="preserve">The End-of-Life </w:t>
      </w:r>
      <w:r w:rsidR="00E05C91">
        <w:t>P</w:t>
      </w:r>
      <w:r w:rsidR="005D345C">
        <w:t xml:space="preserve">athway </w:t>
      </w:r>
      <w:r w:rsidRPr="00626A1B">
        <w:t>can be flagged at any stage of the individual’s assessment journey</w:t>
      </w:r>
      <w:r w:rsidR="00E5721A">
        <w:t>.</w:t>
      </w:r>
      <w:r>
        <w:t xml:space="preserve">                                   </w:t>
      </w:r>
    </w:p>
    <w:p w14:paraId="2A3DDEB5" w14:textId="2F4A4166" w:rsidR="00F75671" w:rsidRDefault="00F75671" w:rsidP="00856600">
      <w:pPr>
        <w:spacing w:before="240" w:after="240" w:line="240" w:lineRule="auto"/>
        <w:rPr>
          <w:b/>
          <w:iCs/>
          <w:color w:val="44546A" w:themeColor="text2"/>
          <w:sz w:val="21"/>
          <w:szCs w:val="18"/>
        </w:rPr>
      </w:pPr>
    </w:p>
    <w:tbl>
      <w:tblPr>
        <w:tblStyle w:val="TableGrid"/>
        <w:tblW w:w="0" w:type="auto"/>
        <w:tblLook w:val="04A0" w:firstRow="1" w:lastRow="0" w:firstColumn="1" w:lastColumn="0" w:noHBand="0" w:noVBand="1"/>
      </w:tblPr>
      <w:tblGrid>
        <w:gridCol w:w="850"/>
        <w:gridCol w:w="7916"/>
      </w:tblGrid>
      <w:tr w:rsidR="00F75671" w:rsidRPr="008D753D" w14:paraId="451FADC1" w14:textId="77777777">
        <w:trPr>
          <w:trHeight w:val="844"/>
        </w:trPr>
        <w:tc>
          <w:tcPr>
            <w:tcW w:w="851" w:type="dxa"/>
            <w:vAlign w:val="center"/>
          </w:tcPr>
          <w:p w14:paraId="2295897E" w14:textId="77777777" w:rsidR="00F75671" w:rsidRPr="008D753D" w:rsidRDefault="00F75671">
            <w:pPr>
              <w:spacing w:before="240" w:after="240"/>
              <w:rPr>
                <w:lang w:val="en-US"/>
              </w:rPr>
            </w:pPr>
            <w:r w:rsidRPr="008D753D">
              <w:rPr>
                <w:noProof/>
              </w:rPr>
              <w:drawing>
                <wp:inline distT="0" distB="0" distL="0" distR="0" wp14:anchorId="6B599403" wp14:editId="66901B31">
                  <wp:extent cx="367345" cy="365321"/>
                  <wp:effectExtent l="0" t="0" r="0" b="0"/>
                  <wp:docPr id="943685962" name="Picture 94368596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4420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6B660D78" w14:textId="6DFB1B8F" w:rsidR="00F75671" w:rsidRPr="008D753D" w:rsidRDefault="0014498B">
            <w:pPr>
              <w:spacing w:before="240" w:after="240"/>
              <w:rPr>
                <w:lang w:val="en-US"/>
              </w:rPr>
            </w:pPr>
            <w:hyperlink r:id="rId110" w:history="1">
              <w:r w:rsidRPr="0014498B">
                <w:rPr>
                  <w:rStyle w:val="Hyperlink"/>
                </w:rPr>
                <w:t>My Aged Care – Assessor Portal User Guide 3 – Managing referrals for assessment and support plan reviews | Australian Government Department of Health, Disability and Ageing</w:t>
              </w:r>
            </w:hyperlink>
          </w:p>
        </w:tc>
      </w:tr>
    </w:tbl>
    <w:p w14:paraId="0C0474B7" w14:textId="0FC240D5" w:rsidR="00B423EC" w:rsidRDefault="00B423EC" w:rsidP="00856600">
      <w:pPr>
        <w:spacing w:before="240" w:after="240" w:line="240" w:lineRule="auto"/>
        <w:rPr>
          <w:b/>
          <w:iCs/>
          <w:color w:val="44546A" w:themeColor="text2"/>
          <w:sz w:val="21"/>
          <w:szCs w:val="18"/>
        </w:rPr>
      </w:pPr>
    </w:p>
    <w:p w14:paraId="21652691" w14:textId="11C682F6" w:rsidR="003B1B74" w:rsidRDefault="00B423EC" w:rsidP="00B423EC">
      <w:pPr>
        <w:rPr>
          <w:b/>
          <w:iCs/>
          <w:color w:val="44546A" w:themeColor="text2"/>
          <w:sz w:val="21"/>
          <w:szCs w:val="18"/>
        </w:rPr>
      </w:pPr>
      <w:r>
        <w:rPr>
          <w:b/>
          <w:iCs/>
          <w:color w:val="44546A" w:themeColor="text2"/>
          <w:sz w:val="21"/>
          <w:szCs w:val="18"/>
        </w:rPr>
        <w:br w:type="page"/>
      </w:r>
    </w:p>
    <w:p w14:paraId="6190CAC5" w14:textId="5AA24A58" w:rsidR="0016744D" w:rsidRPr="000300E5" w:rsidRDefault="0016744D" w:rsidP="00724D2F">
      <w:pPr>
        <w:pStyle w:val="Caption"/>
        <w:keepLines/>
        <w:spacing w:after="0"/>
      </w:pPr>
      <w:r w:rsidRPr="003E1933">
        <w:t xml:space="preserve">Table </w:t>
      </w:r>
      <w:r w:rsidR="00647AB5">
        <w:t>1</w:t>
      </w:r>
      <w:r w:rsidR="00236315">
        <w:t>8</w:t>
      </w:r>
      <w:r w:rsidRPr="003E1933">
        <w:t>. Referral Management Flowchart</w:t>
      </w:r>
    </w:p>
    <w:tbl>
      <w:tblPr>
        <w:tblStyle w:val="TableGrid"/>
        <w:tblW w:w="0" w:type="auto"/>
        <w:tblLook w:val="04A0" w:firstRow="1" w:lastRow="0" w:firstColumn="1" w:lastColumn="0" w:noHBand="0" w:noVBand="1"/>
        <w:tblCaption w:val="Referral Management Flowchart "/>
        <w:tblDescription w:val="Overview of the process for referral management "/>
      </w:tblPr>
      <w:tblGrid>
        <w:gridCol w:w="8756"/>
      </w:tblGrid>
      <w:tr w:rsidR="0016744D" w14:paraId="5B61E9CA" w14:textId="77777777">
        <w:trPr>
          <w:trHeight w:val="11817"/>
        </w:trPr>
        <w:tc>
          <w:tcPr>
            <w:tcW w:w="9016" w:type="dxa"/>
            <w:tcBorders>
              <w:top w:val="single" w:sz="4" w:space="0" w:color="3F4A75"/>
              <w:left w:val="single" w:sz="4" w:space="0" w:color="3F4A75"/>
              <w:bottom w:val="single" w:sz="36" w:space="0" w:color="70AD47" w:themeColor="accent6"/>
              <w:right w:val="single" w:sz="4" w:space="0" w:color="3F4A75"/>
            </w:tcBorders>
          </w:tcPr>
          <w:p w14:paraId="0ABFCD2C" w14:textId="77777777" w:rsidR="0016744D" w:rsidRPr="00DF6C37" w:rsidRDefault="0016744D" w:rsidP="00724D2F">
            <w:pPr>
              <w:keepLines/>
              <w:jc w:val="center"/>
              <w:rPr>
                <w:rFonts w:asciiTheme="minorHAnsi" w:hAnsiTheme="minorHAnsi" w:cstheme="minorHAnsi"/>
                <w:b/>
                <w:bCs/>
                <w:sz w:val="32"/>
                <w:szCs w:val="32"/>
              </w:rPr>
            </w:pPr>
            <w:r w:rsidRPr="00DF6C37">
              <w:rPr>
                <w:rFonts w:asciiTheme="minorHAnsi" w:hAnsiTheme="minorHAnsi" w:cstheme="minorHAnsi"/>
                <w:b/>
                <w:bCs/>
                <w:sz w:val="32"/>
                <w:szCs w:val="32"/>
              </w:rPr>
              <w:t>REFERRAL MANAGEMENT FLOWCHART</w:t>
            </w:r>
          </w:p>
          <w:tbl>
            <w:tblPr>
              <w:tblStyle w:val="TableGrid"/>
              <w:tblW w:w="0" w:type="auto"/>
              <w:tblBorders>
                <w:top w:val="single" w:sz="36" w:space="0" w:color="70AD47" w:themeColor="accent6"/>
                <w:left w:val="single" w:sz="36" w:space="0" w:color="70AD47" w:themeColor="accent6"/>
                <w:bottom w:val="single" w:sz="36" w:space="0" w:color="70AD47" w:themeColor="accent6"/>
                <w:right w:val="single" w:sz="36" w:space="0" w:color="70AD47" w:themeColor="accent6"/>
              </w:tblBorders>
              <w:tblLook w:val="04A0" w:firstRow="1" w:lastRow="0" w:firstColumn="1" w:lastColumn="0" w:noHBand="0" w:noVBand="1"/>
            </w:tblPr>
            <w:tblGrid>
              <w:gridCol w:w="8510"/>
            </w:tblGrid>
            <w:tr w:rsidR="0016744D" w:rsidRPr="00DF6C37" w14:paraId="4DF4205D" w14:textId="77777777">
              <w:tc>
                <w:tcPr>
                  <w:tcW w:w="879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B2ED025" w14:textId="77777777" w:rsidR="0016744D" w:rsidRPr="00346069" w:rsidRDefault="0016744D" w:rsidP="00724D2F">
                  <w:pPr>
                    <w:keepLines/>
                    <w:jc w:val="center"/>
                    <w:rPr>
                      <w:b/>
                      <w:bCs/>
                      <w:color w:val="385623" w:themeColor="accent6" w:themeShade="80"/>
                      <w:sz w:val="20"/>
                    </w:rPr>
                  </w:pPr>
                  <w:r w:rsidRPr="00346069">
                    <w:rPr>
                      <w:b/>
                      <w:bCs/>
                      <w:color w:val="385623" w:themeColor="accent6" w:themeShade="80"/>
                      <w:sz w:val="20"/>
                    </w:rPr>
                    <w:t>ASSESSMENT REFERRAL</w:t>
                  </w:r>
                  <w:r w:rsidRPr="00346069">
                    <w:rPr>
                      <w:b/>
                      <w:bCs/>
                      <w:color w:val="385623" w:themeColor="accent6" w:themeShade="80"/>
                      <w:sz w:val="20"/>
                    </w:rPr>
                    <w:br/>
                    <w:t>ISSUED AND RECEIVED</w:t>
                  </w:r>
                </w:p>
              </w:tc>
            </w:tr>
          </w:tbl>
          <w:p w14:paraId="298A729E" w14:textId="77777777" w:rsidR="0016744D" w:rsidRPr="00DF6C37" w:rsidRDefault="0016744D" w:rsidP="00724D2F">
            <w:pPr>
              <w:keepLines/>
              <w:jc w:val="center"/>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s">
                  <w:drawing>
                    <wp:anchor distT="0" distB="0" distL="114300" distR="114300" simplePos="0" relativeHeight="251658248" behindDoc="0" locked="0" layoutInCell="1" allowOverlap="1" wp14:anchorId="162C03B0" wp14:editId="0AA58D51">
                      <wp:simplePos x="0" y="0"/>
                      <wp:positionH relativeFrom="column">
                        <wp:posOffset>2715895</wp:posOffset>
                      </wp:positionH>
                      <wp:positionV relativeFrom="paragraph">
                        <wp:posOffset>73660</wp:posOffset>
                      </wp:positionV>
                      <wp:extent cx="0" cy="241300"/>
                      <wp:effectExtent l="76200" t="0" r="57150" b="6350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4357781" id="_x0000_t32" coordsize="21600,21600" o:spt="32" o:oned="t" path="m,l21600,21600e" filled="f">
                      <v:path arrowok="t" fillok="f" o:connecttype="none"/>
                      <o:lock v:ext="edit" shapetype="t"/>
                    </v:shapetype>
                    <v:shape id="Straight Arrow Connector 10" o:spid="_x0000_s1026" type="#_x0000_t32" alt="&quot;&quot;" style="position:absolute;margin-left:213.85pt;margin-top:5.8pt;width:0;height:1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" strokecolor="#393737 [814]" strokeweight="1.5pt">
                      <v:stroke endarrow="block" joinstyle="miter"/>
                    </v:shape>
                  </w:pict>
                </mc:Fallback>
              </mc:AlternateContent>
            </w:r>
          </w:p>
          <w:tbl>
            <w:tblPr>
              <w:tblStyle w:val="TableGrid"/>
              <w:tblW w:w="0" w:type="auto"/>
              <w:tblLook w:val="04A0" w:firstRow="1" w:lastRow="0" w:firstColumn="1" w:lastColumn="0" w:noHBand="0" w:noVBand="1"/>
            </w:tblPr>
            <w:tblGrid>
              <w:gridCol w:w="8510"/>
            </w:tblGrid>
            <w:tr w:rsidR="0016744D" w:rsidRPr="00DF6C37" w14:paraId="42DE3E61" w14:textId="77777777">
              <w:trPr>
                <w:trHeight w:val="2954"/>
              </w:trPr>
              <w:tc>
                <w:tcPr>
                  <w:tcW w:w="871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F5BE147" w14:textId="77777777" w:rsidR="0016744D" w:rsidRPr="00DF6C37" w:rsidRDefault="0016744D" w:rsidP="00724D2F">
                  <w:pPr>
                    <w:keepLines/>
                    <w:rPr>
                      <w:rFonts w:asciiTheme="minorHAnsi" w:hAnsiTheme="minorHAnsi" w:cstheme="minorHAnsi"/>
                      <w:b/>
                      <w:bCs/>
                      <w:sz w:val="32"/>
                      <w:szCs w:val="32"/>
                    </w:rPr>
                  </w:pPr>
                  <w:r w:rsidRPr="00DF6C37">
                    <w:rPr>
                      <w:rFonts w:asciiTheme="minorHAnsi" w:hAnsiTheme="minorHAnsi" w:cstheme="minorHAnsi"/>
                      <w:b/>
                      <w:bCs/>
                      <w:noProof/>
                      <w:sz w:val="32"/>
                      <w:szCs w:val="32"/>
                    </w:rPr>
                    <mc:AlternateContent>
                      <mc:Choice Requires="wps">
                        <w:drawing>
                          <wp:anchor distT="45720" distB="45720" distL="114300" distR="114300" simplePos="0" relativeHeight="251658242" behindDoc="0" locked="0" layoutInCell="1" allowOverlap="1" wp14:anchorId="68E5F62D" wp14:editId="322543FD">
                            <wp:simplePos x="0" y="0"/>
                            <wp:positionH relativeFrom="column">
                              <wp:posOffset>3869690</wp:posOffset>
                            </wp:positionH>
                            <wp:positionV relativeFrom="paragraph">
                              <wp:posOffset>145415</wp:posOffset>
                            </wp:positionV>
                            <wp:extent cx="1489075" cy="1765935"/>
                            <wp:effectExtent l="0" t="0" r="1587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765935"/>
                                    </a:xfrm>
                                    <a:prstGeom prst="rect">
                                      <a:avLst/>
                                    </a:prstGeom>
                                    <a:solidFill>
                                      <a:srgbClr val="FFFFFF"/>
                                    </a:solidFill>
                                    <a:ln w="19050">
                                      <a:solidFill>
                                        <a:schemeClr val="accent6">
                                          <a:lumMod val="75000"/>
                                        </a:schemeClr>
                                      </a:solidFill>
                                      <a:miter lim="800000"/>
                                      <a:headEnd/>
                                      <a:tailEnd/>
                                    </a:ln>
                                  </wps:spPr>
                                  <wps:txbx>
                                    <w:txbxContent>
                                      <w:p w14:paraId="1138AF1E" w14:textId="77777777" w:rsidR="0016744D" w:rsidRPr="00C948E2" w:rsidRDefault="0016744D" w:rsidP="0016744D">
                                        <w:pPr>
                                          <w:spacing w:after="40" w:line="240" w:lineRule="auto"/>
                                          <w:rPr>
                                            <w:rFonts w:asciiTheme="minorHAnsi" w:hAnsiTheme="minorHAnsi" w:cstheme="minorHAnsi"/>
                                            <w:b/>
                                            <w:bCs/>
                                            <w:sz w:val="16"/>
                                            <w:szCs w:val="16"/>
                                            <w:u w:val="single"/>
                                          </w:rPr>
                                        </w:pPr>
                                        <w:r w:rsidRPr="00C948E2">
                                          <w:rPr>
                                            <w:rFonts w:asciiTheme="minorHAnsi" w:hAnsiTheme="minorHAnsi" w:cstheme="minorHAnsi"/>
                                            <w:b/>
                                            <w:bCs/>
                                            <w:sz w:val="16"/>
                                            <w:szCs w:val="16"/>
                                            <w:u w:val="single"/>
                                          </w:rPr>
                                          <w:t>Self-referrals</w:t>
                                        </w:r>
                                      </w:p>
                                      <w:p w14:paraId="46A2D1F6" w14:textId="06DB4A67" w:rsidR="0016744D" w:rsidRPr="00C948E2" w:rsidRDefault="0016744D" w:rsidP="0016744D">
                                        <w:pPr>
                                          <w:spacing w:line="240" w:lineRule="auto"/>
                                          <w:rPr>
                                            <w:rFonts w:asciiTheme="minorHAnsi" w:hAnsiTheme="minorHAnsi" w:cstheme="minorHAnsi"/>
                                            <w:sz w:val="16"/>
                                            <w:szCs w:val="16"/>
                                          </w:rPr>
                                        </w:pPr>
                                        <w:r>
                                          <w:rPr>
                                            <w:rFonts w:asciiTheme="minorHAnsi" w:hAnsiTheme="minorHAnsi" w:cstheme="minorHAnsi"/>
                                            <w:sz w:val="16"/>
                                            <w:szCs w:val="16"/>
                                          </w:rPr>
                                          <w:t>Assessment Organisations</w:t>
                                        </w:r>
                                        <w:r w:rsidRPr="00C948E2">
                                          <w:rPr>
                                            <w:rFonts w:asciiTheme="minorHAnsi" w:hAnsiTheme="minorHAnsi" w:cstheme="minorHAnsi"/>
                                            <w:sz w:val="16"/>
                                            <w:szCs w:val="16"/>
                                          </w:rPr>
                                          <w:t xml:space="preserve"> can </w:t>
                                        </w:r>
                                        <w:r>
                                          <w:rPr>
                                            <w:rFonts w:asciiTheme="minorHAnsi" w:hAnsiTheme="minorHAnsi" w:cstheme="minorHAnsi"/>
                                            <w:sz w:val="16"/>
                                            <w:szCs w:val="16"/>
                                          </w:rPr>
                                          <w:t xml:space="preserve">only </w:t>
                                        </w:r>
                                        <w:r w:rsidRPr="00C948E2">
                                          <w:rPr>
                                            <w:rFonts w:asciiTheme="minorHAnsi" w:hAnsiTheme="minorHAnsi" w:cstheme="minorHAnsi"/>
                                            <w:sz w:val="16"/>
                                            <w:szCs w:val="16"/>
                                          </w:rPr>
                                          <w:t>self-refer</w:t>
                                        </w:r>
                                        <w:r>
                                          <w:rPr>
                                            <w:rFonts w:asciiTheme="minorHAnsi" w:hAnsiTheme="minorHAnsi" w:cstheme="minorHAnsi"/>
                                            <w:sz w:val="16"/>
                                            <w:szCs w:val="16"/>
                                          </w:rPr>
                                          <w:t xml:space="preserve"> if the older person is:</w:t>
                                        </w:r>
                                        <w:r w:rsidRPr="00C948E2">
                                          <w:rPr>
                                            <w:rFonts w:asciiTheme="minorHAnsi" w:hAnsiTheme="minorHAnsi" w:cstheme="minorHAnsi"/>
                                            <w:sz w:val="16"/>
                                            <w:szCs w:val="16"/>
                                          </w:rPr>
                                          <w:t xml:space="preserve"> in </w:t>
                                        </w:r>
                                        <w:r>
                                          <w:rPr>
                                            <w:rFonts w:asciiTheme="minorHAnsi" w:hAnsiTheme="minorHAnsi" w:cstheme="minorHAnsi"/>
                                            <w:sz w:val="16"/>
                                            <w:szCs w:val="16"/>
                                          </w:rPr>
                                          <w:t xml:space="preserve">selected </w:t>
                                        </w:r>
                                        <w:r w:rsidRPr="00C948E2">
                                          <w:rPr>
                                            <w:rFonts w:asciiTheme="minorHAnsi" w:hAnsiTheme="minorHAnsi" w:cstheme="minorHAnsi"/>
                                            <w:sz w:val="16"/>
                                            <w:szCs w:val="16"/>
                                          </w:rPr>
                                          <w:t>remote and very remote regions</w:t>
                                        </w:r>
                                        <w:r>
                                          <w:rPr>
                                            <w:rFonts w:asciiTheme="minorHAnsi" w:hAnsiTheme="minorHAnsi" w:cstheme="minorHAnsi"/>
                                            <w:sz w:val="16"/>
                                            <w:szCs w:val="16"/>
                                          </w:rPr>
                                          <w:t>; an older Aboriginal and Torres Strait Islander person; or homeless or at risk of homelessness; or is in hospital; or vulnerable</w:t>
                                        </w:r>
                                        <w:r w:rsidR="001B3475">
                                          <w:rPr>
                                            <w:rFonts w:asciiTheme="minorHAnsi" w:hAnsiTheme="minorHAnsi" w:cstheme="minorHAnsi"/>
                                            <w:sz w:val="16"/>
                                            <w:szCs w:val="16"/>
                                          </w:rPr>
                                          <w:t>; or is being assessed for the End-of Life pathway</w:t>
                                        </w:r>
                                        <w:r>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F62D" id="Text Box 2" o:spid="_x0000_s1027" type="#_x0000_t202" style="position:absolute;margin-left:304.7pt;margin-top:11.45pt;width:117.25pt;height:139.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" strokecolor="#538135 [2409]" strokeweight="1.5pt">
                            <v:textbox>
                              <w:txbxContent>
                                <w:p w14:paraId="1138AF1E" w14:textId="77777777" w:rsidR="0016744D" w:rsidRPr="00C948E2" w:rsidRDefault="0016744D" w:rsidP="0016744D">
                                  <w:pPr>
                                    <w:spacing w:after="40" w:line="240" w:lineRule="auto"/>
                                    <w:rPr>
                                      <w:rFonts w:asciiTheme="minorHAnsi" w:hAnsiTheme="minorHAnsi" w:cstheme="minorHAnsi"/>
                                      <w:b/>
                                      <w:bCs/>
                                      <w:sz w:val="16"/>
                                      <w:szCs w:val="16"/>
                                      <w:u w:val="single"/>
                                    </w:rPr>
                                  </w:pPr>
                                  <w:r w:rsidRPr="00C948E2">
                                    <w:rPr>
                                      <w:rFonts w:asciiTheme="minorHAnsi" w:hAnsiTheme="minorHAnsi" w:cstheme="minorHAnsi"/>
                                      <w:b/>
                                      <w:bCs/>
                                      <w:sz w:val="16"/>
                                      <w:szCs w:val="16"/>
                                      <w:u w:val="single"/>
                                    </w:rPr>
                                    <w:t>Self-referrals</w:t>
                                  </w:r>
                                </w:p>
                                <w:p w14:paraId="46A2D1F6" w14:textId="06DB4A67" w:rsidR="0016744D" w:rsidRPr="00C948E2" w:rsidRDefault="0016744D" w:rsidP="0016744D">
                                  <w:pPr>
                                    <w:spacing w:line="240" w:lineRule="auto"/>
                                    <w:rPr>
                                      <w:rFonts w:asciiTheme="minorHAnsi" w:hAnsiTheme="minorHAnsi" w:cstheme="minorHAnsi"/>
                                      <w:sz w:val="16"/>
                                      <w:szCs w:val="16"/>
                                    </w:rPr>
                                  </w:pPr>
                                  <w:r>
                                    <w:rPr>
                                      <w:rFonts w:asciiTheme="minorHAnsi" w:hAnsiTheme="minorHAnsi" w:cstheme="minorHAnsi"/>
                                      <w:sz w:val="16"/>
                                      <w:szCs w:val="16"/>
                                    </w:rPr>
                                    <w:t>Assessment Organisations</w:t>
                                  </w:r>
                                  <w:r w:rsidRPr="00C948E2">
                                    <w:rPr>
                                      <w:rFonts w:asciiTheme="minorHAnsi" w:hAnsiTheme="minorHAnsi" w:cstheme="minorHAnsi"/>
                                      <w:sz w:val="16"/>
                                      <w:szCs w:val="16"/>
                                    </w:rPr>
                                    <w:t xml:space="preserve"> can </w:t>
                                  </w:r>
                                  <w:r>
                                    <w:rPr>
                                      <w:rFonts w:asciiTheme="minorHAnsi" w:hAnsiTheme="minorHAnsi" w:cstheme="minorHAnsi"/>
                                      <w:sz w:val="16"/>
                                      <w:szCs w:val="16"/>
                                    </w:rPr>
                                    <w:t xml:space="preserve">only </w:t>
                                  </w:r>
                                  <w:r w:rsidRPr="00C948E2">
                                    <w:rPr>
                                      <w:rFonts w:asciiTheme="minorHAnsi" w:hAnsiTheme="minorHAnsi" w:cstheme="minorHAnsi"/>
                                      <w:sz w:val="16"/>
                                      <w:szCs w:val="16"/>
                                    </w:rPr>
                                    <w:t>self-refer</w:t>
                                  </w:r>
                                  <w:r>
                                    <w:rPr>
                                      <w:rFonts w:asciiTheme="minorHAnsi" w:hAnsiTheme="minorHAnsi" w:cstheme="minorHAnsi"/>
                                      <w:sz w:val="16"/>
                                      <w:szCs w:val="16"/>
                                    </w:rPr>
                                    <w:t xml:space="preserve"> if the older person is:</w:t>
                                  </w:r>
                                  <w:r w:rsidRPr="00C948E2">
                                    <w:rPr>
                                      <w:rFonts w:asciiTheme="minorHAnsi" w:hAnsiTheme="minorHAnsi" w:cstheme="minorHAnsi"/>
                                      <w:sz w:val="16"/>
                                      <w:szCs w:val="16"/>
                                    </w:rPr>
                                    <w:t xml:space="preserve"> in </w:t>
                                  </w:r>
                                  <w:r>
                                    <w:rPr>
                                      <w:rFonts w:asciiTheme="minorHAnsi" w:hAnsiTheme="minorHAnsi" w:cstheme="minorHAnsi"/>
                                      <w:sz w:val="16"/>
                                      <w:szCs w:val="16"/>
                                    </w:rPr>
                                    <w:t xml:space="preserve">selected </w:t>
                                  </w:r>
                                  <w:r w:rsidRPr="00C948E2">
                                    <w:rPr>
                                      <w:rFonts w:asciiTheme="minorHAnsi" w:hAnsiTheme="minorHAnsi" w:cstheme="minorHAnsi"/>
                                      <w:sz w:val="16"/>
                                      <w:szCs w:val="16"/>
                                    </w:rPr>
                                    <w:t>remote and very remote regions</w:t>
                                  </w:r>
                                  <w:r>
                                    <w:rPr>
                                      <w:rFonts w:asciiTheme="minorHAnsi" w:hAnsiTheme="minorHAnsi" w:cstheme="minorHAnsi"/>
                                      <w:sz w:val="16"/>
                                      <w:szCs w:val="16"/>
                                    </w:rPr>
                                    <w:t>; an older Aboriginal and Torres Strait Islander person; or homeless or at risk of homelessness; or is in hospital; or vulnerable</w:t>
                                  </w:r>
                                  <w:r w:rsidR="001B3475">
                                    <w:rPr>
                                      <w:rFonts w:asciiTheme="minorHAnsi" w:hAnsiTheme="minorHAnsi" w:cstheme="minorHAnsi"/>
                                      <w:sz w:val="16"/>
                                      <w:szCs w:val="16"/>
                                    </w:rPr>
                                    <w:t>; or is being assessed for the End-of Life pathway</w:t>
                                  </w:r>
                                  <w:r>
                                    <w:rPr>
                                      <w:rFonts w:asciiTheme="minorHAnsi" w:hAnsiTheme="minorHAnsi" w:cstheme="minorHAnsi"/>
                                      <w:sz w:val="16"/>
                                      <w:szCs w:val="16"/>
                                    </w:rPr>
                                    <w:t>.</w:t>
                                  </w:r>
                                </w:p>
                              </w:txbxContent>
                            </v:textbox>
                            <w10:wrap type="square"/>
                          </v:shape>
                        </w:pict>
                      </mc:Fallback>
                    </mc:AlternateContent>
                  </w:r>
                  <w:r w:rsidRPr="00DF6C37">
                    <w:rPr>
                      <w:rFonts w:asciiTheme="minorHAnsi" w:hAnsiTheme="minorHAnsi" w:cstheme="minorHAnsi"/>
                      <w:b/>
                      <w:bCs/>
                      <w:noProof/>
                      <w:sz w:val="32"/>
                      <w:szCs w:val="32"/>
                    </w:rPr>
                    <mc:AlternateContent>
                      <mc:Choice Requires="wps">
                        <w:drawing>
                          <wp:anchor distT="45720" distB="45720" distL="114300" distR="114300" simplePos="0" relativeHeight="251658240" behindDoc="0" locked="0" layoutInCell="1" allowOverlap="1" wp14:anchorId="0C9CDFAD" wp14:editId="012F89E5">
                            <wp:simplePos x="0" y="0"/>
                            <wp:positionH relativeFrom="column">
                              <wp:posOffset>544830</wp:posOffset>
                            </wp:positionH>
                            <wp:positionV relativeFrom="paragraph">
                              <wp:posOffset>146685</wp:posOffset>
                            </wp:positionV>
                            <wp:extent cx="3248660" cy="1765935"/>
                            <wp:effectExtent l="0" t="0" r="2794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765935"/>
                                    </a:xfrm>
                                    <a:prstGeom prst="rect">
                                      <a:avLst/>
                                    </a:prstGeom>
                                    <a:solidFill>
                                      <a:srgbClr val="FFFFFF"/>
                                    </a:solidFill>
                                    <a:ln w="19050">
                                      <a:solidFill>
                                        <a:schemeClr val="accent6">
                                          <a:lumMod val="75000"/>
                                        </a:schemeClr>
                                      </a:solidFill>
                                      <a:miter lim="800000"/>
                                      <a:headEnd/>
                                      <a:tailEnd/>
                                    </a:ln>
                                  </wps:spPr>
                                  <wps:txbx>
                                    <w:txbxContent>
                                      <w:p w14:paraId="782EE2E1"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Team leaders should r</w:t>
                                        </w:r>
                                        <w:r w:rsidRPr="00C948E2">
                                          <w:rPr>
                                            <w:rFonts w:asciiTheme="minorHAnsi" w:hAnsiTheme="minorHAnsi" w:cstheme="minorHAnsi"/>
                                            <w:sz w:val="16"/>
                                            <w:szCs w:val="16"/>
                                          </w:rPr>
                                          <w:t xml:space="preserve">eview information on the referral card and supporting information in the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's record. </w:t>
                                        </w:r>
                                      </w:p>
                                      <w:p w14:paraId="39C2B89E"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 xml:space="preserve">Team leaders should review any preferences for an Aboriginal and Torres Strait Islander assessment organisation. </w:t>
                                        </w:r>
                                      </w:p>
                                      <w:p w14:paraId="7E314802" w14:textId="448A0E5C"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Team leaders should also review the priority assigned to the assessment, and change priority if required</w:t>
                                        </w:r>
                                        <w:r w:rsidR="00D70482">
                                          <w:rPr>
                                            <w:rFonts w:asciiTheme="minorHAnsi" w:hAnsiTheme="minorHAnsi" w:cstheme="minorHAnsi"/>
                                            <w:sz w:val="16"/>
                                            <w:szCs w:val="16"/>
                                          </w:rPr>
                                          <w:t xml:space="preserve">, </w:t>
                                        </w:r>
                                        <w:r w:rsidR="00DE543A">
                                          <w:rPr>
                                            <w:rFonts w:asciiTheme="minorHAnsi" w:hAnsiTheme="minorHAnsi" w:cstheme="minorHAnsi"/>
                                            <w:sz w:val="16"/>
                                            <w:szCs w:val="16"/>
                                          </w:rPr>
                                          <w:t xml:space="preserve">ensuring </w:t>
                                        </w:r>
                                        <w:r w:rsidR="00B53A89">
                                          <w:rPr>
                                            <w:rFonts w:asciiTheme="minorHAnsi" w:hAnsiTheme="minorHAnsi" w:cstheme="minorHAnsi"/>
                                            <w:sz w:val="16"/>
                                            <w:szCs w:val="16"/>
                                          </w:rPr>
                                          <w:t>that EoL</w:t>
                                        </w:r>
                                        <w:r w:rsidR="00D70482">
                                          <w:rPr>
                                            <w:rFonts w:asciiTheme="minorHAnsi" w:hAnsiTheme="minorHAnsi" w:cstheme="minorHAnsi"/>
                                            <w:sz w:val="16"/>
                                            <w:szCs w:val="16"/>
                                          </w:rPr>
                                          <w:t xml:space="preserve"> </w:t>
                                        </w:r>
                                        <w:r w:rsidR="004E1055">
                                          <w:rPr>
                                            <w:rFonts w:asciiTheme="minorHAnsi" w:hAnsiTheme="minorHAnsi" w:cstheme="minorHAnsi"/>
                                            <w:sz w:val="16"/>
                                            <w:szCs w:val="16"/>
                                          </w:rPr>
                                          <w:t>referrals</w:t>
                                        </w:r>
                                        <w:r w:rsidR="00DE543A">
                                          <w:rPr>
                                            <w:rFonts w:asciiTheme="minorHAnsi" w:hAnsiTheme="minorHAnsi" w:cstheme="minorHAnsi"/>
                                            <w:sz w:val="16"/>
                                            <w:szCs w:val="16"/>
                                          </w:rPr>
                                          <w:t xml:space="preserve"> are given a high priority</w:t>
                                        </w:r>
                                        <w:r w:rsidRPr="00C948E2">
                                          <w:rPr>
                                            <w:rFonts w:asciiTheme="minorHAnsi" w:hAnsiTheme="minorHAnsi" w:cstheme="minorHAnsi"/>
                                            <w:sz w:val="16"/>
                                            <w:szCs w:val="16"/>
                                          </w:rPr>
                                          <w:t>.</w:t>
                                        </w:r>
                                      </w:p>
                                      <w:p w14:paraId="43A460EC"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If the referral appears to be inappropriate, contact the referrer to discuss (i.e.  GP</w:t>
                                        </w:r>
                                        <w:r>
                                          <w:rPr>
                                            <w:rFonts w:asciiTheme="minorHAnsi" w:hAnsiTheme="minorHAnsi" w:cstheme="minorHAnsi"/>
                                            <w:sz w:val="16"/>
                                            <w:szCs w:val="16"/>
                                          </w:rPr>
                                          <w:t>, health professional</w:t>
                                        </w:r>
                                        <w:r w:rsidRPr="00C948E2">
                                          <w:rPr>
                                            <w:rFonts w:asciiTheme="minorHAnsi" w:hAnsiTheme="minorHAnsi" w:cstheme="minorHAnsi"/>
                                            <w:sz w:val="16"/>
                                            <w:szCs w:val="16"/>
                                          </w:rPr>
                                          <w:t>)</w:t>
                                        </w:r>
                                        <w:r>
                                          <w:rPr>
                                            <w:rFonts w:asciiTheme="minorHAnsi" w:hAnsiTheme="minorHAnsi" w:cstheme="minorHAnsi"/>
                                            <w:sz w:val="16"/>
                                            <w:szCs w:val="16"/>
                                          </w:rPr>
                                          <w:t>.</w:t>
                                        </w:r>
                                        <w:r w:rsidRPr="00C948E2">
                                          <w:rPr>
                                            <w:rFonts w:asciiTheme="minorHAnsi" w:hAnsiTheme="minorHAnsi" w:cstheme="minorHAnsi"/>
                                            <w:sz w:val="16"/>
                                            <w:szCs w:val="16"/>
                                          </w:rPr>
                                          <w:t xml:space="preserve"> If the team leader wishes to transfer/reject the referral, the </w:t>
                                        </w:r>
                                        <w:r>
                                          <w:rPr>
                                            <w:rFonts w:asciiTheme="minorHAnsi" w:hAnsiTheme="minorHAnsi" w:cstheme="minorHAnsi"/>
                                            <w:sz w:val="16"/>
                                            <w:szCs w:val="16"/>
                                          </w:rPr>
                                          <w:t>older person</w:t>
                                        </w:r>
                                        <w:r w:rsidRPr="00C948E2">
                                          <w:rPr>
                                            <w:rFonts w:asciiTheme="minorHAnsi" w:hAnsiTheme="minorHAnsi" w:cstheme="minorHAnsi"/>
                                            <w:sz w:val="16"/>
                                            <w:szCs w:val="16"/>
                                          </w:rPr>
                                          <w:t>/primary contact</w:t>
                                        </w:r>
                                        <w:r>
                                          <w:rPr>
                                            <w:rFonts w:asciiTheme="minorHAnsi" w:hAnsiTheme="minorHAnsi" w:cstheme="minorHAnsi"/>
                                            <w:sz w:val="16"/>
                                            <w:szCs w:val="16"/>
                                          </w:rPr>
                                          <w:t xml:space="preserve"> should be informed of </w:t>
                                        </w:r>
                                        <w:r w:rsidRPr="00C948E2">
                                          <w:rPr>
                                            <w:rFonts w:asciiTheme="minorHAnsi" w:hAnsiTheme="minorHAnsi" w:cstheme="minorHAnsi"/>
                                            <w:sz w:val="16"/>
                                            <w:szCs w:val="16"/>
                                          </w:rPr>
                                          <w:t>the decision. A</w:t>
                                        </w:r>
                                        <w:r>
                                          <w:rPr>
                                            <w:rFonts w:asciiTheme="minorHAnsi" w:hAnsiTheme="minorHAnsi" w:cstheme="minorHAnsi"/>
                                            <w:sz w:val="16"/>
                                            <w:szCs w:val="16"/>
                                          </w:rPr>
                                          <w:t>n</w:t>
                                        </w:r>
                                        <w:r w:rsidRPr="00C948E2">
                                          <w:rPr>
                                            <w:rFonts w:asciiTheme="minorHAnsi" w:hAnsiTheme="minorHAnsi" w:cstheme="minorHAnsi"/>
                                            <w:sz w:val="16"/>
                                            <w:szCs w:val="16"/>
                                          </w:rPr>
                                          <w:t xml:space="preserv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 note should be made in the assessor portal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CDFAD" id="Text Box 217" o:spid="_x0000_s1028" type="#_x0000_t202" style="position:absolute;margin-left:42.9pt;margin-top:11.55pt;width:255.8pt;height:139.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" strokecolor="#538135 [2409]" strokeweight="1.5pt">
                            <v:textbox>
                              <w:txbxContent>
                                <w:p w14:paraId="782EE2E1"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Team leaders should r</w:t>
                                  </w:r>
                                  <w:r w:rsidRPr="00C948E2">
                                    <w:rPr>
                                      <w:rFonts w:asciiTheme="minorHAnsi" w:hAnsiTheme="minorHAnsi" w:cstheme="minorHAnsi"/>
                                      <w:sz w:val="16"/>
                                      <w:szCs w:val="16"/>
                                    </w:rPr>
                                    <w:t xml:space="preserve">eview information on the referral card and supporting information in the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's record. </w:t>
                                  </w:r>
                                </w:p>
                                <w:p w14:paraId="39C2B89E"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Pr>
                                      <w:rFonts w:asciiTheme="minorHAnsi" w:hAnsiTheme="minorHAnsi" w:cstheme="minorHAnsi"/>
                                      <w:sz w:val="16"/>
                                      <w:szCs w:val="16"/>
                                    </w:rPr>
                                    <w:t xml:space="preserve">Team leaders should review any preferences for an Aboriginal and Torres Strait Islander assessment organisation. </w:t>
                                  </w:r>
                                </w:p>
                                <w:p w14:paraId="7E314802" w14:textId="448A0E5C"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Team leaders should also review the priority assigned to the assessment, and change priority if required</w:t>
                                  </w:r>
                                  <w:r w:rsidR="00D70482">
                                    <w:rPr>
                                      <w:rFonts w:asciiTheme="minorHAnsi" w:hAnsiTheme="minorHAnsi" w:cstheme="minorHAnsi"/>
                                      <w:sz w:val="16"/>
                                      <w:szCs w:val="16"/>
                                    </w:rPr>
                                    <w:t xml:space="preserve">, </w:t>
                                  </w:r>
                                  <w:r w:rsidR="00DE543A">
                                    <w:rPr>
                                      <w:rFonts w:asciiTheme="minorHAnsi" w:hAnsiTheme="minorHAnsi" w:cstheme="minorHAnsi"/>
                                      <w:sz w:val="16"/>
                                      <w:szCs w:val="16"/>
                                    </w:rPr>
                                    <w:t xml:space="preserve">ensuring </w:t>
                                  </w:r>
                                  <w:r w:rsidR="00B53A89">
                                    <w:rPr>
                                      <w:rFonts w:asciiTheme="minorHAnsi" w:hAnsiTheme="minorHAnsi" w:cstheme="minorHAnsi"/>
                                      <w:sz w:val="16"/>
                                      <w:szCs w:val="16"/>
                                    </w:rPr>
                                    <w:t>that EoL</w:t>
                                  </w:r>
                                  <w:r w:rsidR="00D70482">
                                    <w:rPr>
                                      <w:rFonts w:asciiTheme="minorHAnsi" w:hAnsiTheme="minorHAnsi" w:cstheme="minorHAnsi"/>
                                      <w:sz w:val="16"/>
                                      <w:szCs w:val="16"/>
                                    </w:rPr>
                                    <w:t xml:space="preserve"> </w:t>
                                  </w:r>
                                  <w:r w:rsidR="004E1055">
                                    <w:rPr>
                                      <w:rFonts w:asciiTheme="minorHAnsi" w:hAnsiTheme="minorHAnsi" w:cstheme="minorHAnsi"/>
                                      <w:sz w:val="16"/>
                                      <w:szCs w:val="16"/>
                                    </w:rPr>
                                    <w:t>referrals</w:t>
                                  </w:r>
                                  <w:r w:rsidR="00DE543A">
                                    <w:rPr>
                                      <w:rFonts w:asciiTheme="minorHAnsi" w:hAnsiTheme="minorHAnsi" w:cstheme="minorHAnsi"/>
                                      <w:sz w:val="16"/>
                                      <w:szCs w:val="16"/>
                                    </w:rPr>
                                    <w:t xml:space="preserve"> are given a high priority</w:t>
                                  </w:r>
                                  <w:r w:rsidRPr="00C948E2">
                                    <w:rPr>
                                      <w:rFonts w:asciiTheme="minorHAnsi" w:hAnsiTheme="minorHAnsi" w:cstheme="minorHAnsi"/>
                                      <w:sz w:val="16"/>
                                      <w:szCs w:val="16"/>
                                    </w:rPr>
                                    <w:t>.</w:t>
                                  </w:r>
                                </w:p>
                                <w:p w14:paraId="43A460EC" w14:textId="77777777" w:rsidR="0016744D" w:rsidRPr="00C948E2"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C948E2">
                                    <w:rPr>
                                      <w:rFonts w:asciiTheme="minorHAnsi" w:hAnsiTheme="minorHAnsi" w:cstheme="minorHAnsi"/>
                                      <w:sz w:val="16"/>
                                      <w:szCs w:val="16"/>
                                    </w:rPr>
                                    <w:t>If the referral appears to be inappropriate, contact the referrer to discuss (i.e.  GP</w:t>
                                  </w:r>
                                  <w:r>
                                    <w:rPr>
                                      <w:rFonts w:asciiTheme="minorHAnsi" w:hAnsiTheme="minorHAnsi" w:cstheme="minorHAnsi"/>
                                      <w:sz w:val="16"/>
                                      <w:szCs w:val="16"/>
                                    </w:rPr>
                                    <w:t>, health professional</w:t>
                                  </w:r>
                                  <w:r w:rsidRPr="00C948E2">
                                    <w:rPr>
                                      <w:rFonts w:asciiTheme="minorHAnsi" w:hAnsiTheme="minorHAnsi" w:cstheme="minorHAnsi"/>
                                      <w:sz w:val="16"/>
                                      <w:szCs w:val="16"/>
                                    </w:rPr>
                                    <w:t>)</w:t>
                                  </w:r>
                                  <w:r>
                                    <w:rPr>
                                      <w:rFonts w:asciiTheme="minorHAnsi" w:hAnsiTheme="minorHAnsi" w:cstheme="minorHAnsi"/>
                                      <w:sz w:val="16"/>
                                      <w:szCs w:val="16"/>
                                    </w:rPr>
                                    <w:t>.</w:t>
                                  </w:r>
                                  <w:r w:rsidRPr="00C948E2">
                                    <w:rPr>
                                      <w:rFonts w:asciiTheme="minorHAnsi" w:hAnsiTheme="minorHAnsi" w:cstheme="minorHAnsi"/>
                                      <w:sz w:val="16"/>
                                      <w:szCs w:val="16"/>
                                    </w:rPr>
                                    <w:t xml:space="preserve"> If the team leader wishes to transfer/reject the referral, the </w:t>
                                  </w:r>
                                  <w:r>
                                    <w:rPr>
                                      <w:rFonts w:asciiTheme="minorHAnsi" w:hAnsiTheme="minorHAnsi" w:cstheme="minorHAnsi"/>
                                      <w:sz w:val="16"/>
                                      <w:szCs w:val="16"/>
                                    </w:rPr>
                                    <w:t>older person</w:t>
                                  </w:r>
                                  <w:r w:rsidRPr="00C948E2">
                                    <w:rPr>
                                      <w:rFonts w:asciiTheme="minorHAnsi" w:hAnsiTheme="minorHAnsi" w:cstheme="minorHAnsi"/>
                                      <w:sz w:val="16"/>
                                      <w:szCs w:val="16"/>
                                    </w:rPr>
                                    <w:t>/primary contact</w:t>
                                  </w:r>
                                  <w:r>
                                    <w:rPr>
                                      <w:rFonts w:asciiTheme="minorHAnsi" w:hAnsiTheme="minorHAnsi" w:cstheme="minorHAnsi"/>
                                      <w:sz w:val="16"/>
                                      <w:szCs w:val="16"/>
                                    </w:rPr>
                                    <w:t xml:space="preserve"> should be informed of </w:t>
                                  </w:r>
                                  <w:r w:rsidRPr="00C948E2">
                                    <w:rPr>
                                      <w:rFonts w:asciiTheme="minorHAnsi" w:hAnsiTheme="minorHAnsi" w:cstheme="minorHAnsi"/>
                                      <w:sz w:val="16"/>
                                      <w:szCs w:val="16"/>
                                    </w:rPr>
                                    <w:t>the decision. A</w:t>
                                  </w:r>
                                  <w:r>
                                    <w:rPr>
                                      <w:rFonts w:asciiTheme="minorHAnsi" w:hAnsiTheme="minorHAnsi" w:cstheme="minorHAnsi"/>
                                      <w:sz w:val="16"/>
                                      <w:szCs w:val="16"/>
                                    </w:rPr>
                                    <w:t>n</w:t>
                                  </w:r>
                                  <w:r w:rsidRPr="00C948E2">
                                    <w:rPr>
                                      <w:rFonts w:asciiTheme="minorHAnsi" w:hAnsiTheme="minorHAnsi" w:cstheme="minorHAnsi"/>
                                      <w:sz w:val="16"/>
                                      <w:szCs w:val="16"/>
                                    </w:rPr>
                                    <w:t xml:space="preserve"> </w:t>
                                  </w:r>
                                  <w:r>
                                    <w:rPr>
                                      <w:rFonts w:asciiTheme="minorHAnsi" w:hAnsiTheme="minorHAnsi" w:cstheme="minorHAnsi"/>
                                      <w:sz w:val="16"/>
                                      <w:szCs w:val="16"/>
                                    </w:rPr>
                                    <w:t>older person</w:t>
                                  </w:r>
                                  <w:r w:rsidRPr="00C948E2">
                                    <w:rPr>
                                      <w:rFonts w:asciiTheme="minorHAnsi" w:hAnsiTheme="minorHAnsi" w:cstheme="minorHAnsi"/>
                                      <w:sz w:val="16"/>
                                      <w:szCs w:val="16"/>
                                    </w:rPr>
                                    <w:t xml:space="preserve"> note should be made in the assessor portal accordingly.</w:t>
                                  </w:r>
                                </w:p>
                              </w:txbxContent>
                            </v:textbox>
                            <w10:wrap type="square"/>
                          </v:shape>
                        </w:pict>
                      </mc:Fallback>
                    </mc:AlternateContent>
                  </w:r>
                  <w:r w:rsidRPr="00DF6C37">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4A931123" wp14:editId="17C9C207">
                            <wp:simplePos x="0" y="0"/>
                            <wp:positionH relativeFrom="column">
                              <wp:posOffset>-534035</wp:posOffset>
                            </wp:positionH>
                            <wp:positionV relativeFrom="page">
                              <wp:posOffset>624840</wp:posOffset>
                            </wp:positionV>
                            <wp:extent cx="1487805" cy="4775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7805" cy="477520"/>
                                    </a:xfrm>
                                    <a:prstGeom prst="rect">
                                      <a:avLst/>
                                    </a:prstGeom>
                                    <a:noFill/>
                                    <a:ln w="9525">
                                      <a:noFill/>
                                      <a:miter lim="800000"/>
                                      <a:headEnd/>
                                      <a:tailEnd/>
                                    </a:ln>
                                  </wps:spPr>
                                  <wps:txbx>
                                    <w:txbxContent>
                                      <w:p w14:paraId="3C69A0EF"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REVIEWED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1123" id="Text Box 1" o:spid="_x0000_s1029" type="#_x0000_t202" style="position:absolute;margin-left:-42.05pt;margin-top:49.2pt;width:117.15pt;height:37.6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" filled="f" stroked="f">
                            <v:textbox>
                              <w:txbxContent>
                                <w:p w14:paraId="3C69A0EF"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REVIEWED</w:t>
                                  </w:r>
                                </w:p>
                              </w:txbxContent>
                            </v:textbox>
                            <w10:wrap type="square" anchory="page"/>
                          </v:shape>
                        </w:pict>
                      </mc:Fallback>
                    </mc:AlternateContent>
                  </w:r>
                </w:p>
              </w:tc>
            </w:tr>
          </w:tbl>
          <w:p w14:paraId="630BE40E" w14:textId="77777777" w:rsidR="0016744D" w:rsidRPr="00DF6C37" w:rsidRDefault="0016744D" w:rsidP="00724D2F">
            <w:pPr>
              <w:keepLines/>
              <w:jc w:val="center"/>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s">
                  <w:drawing>
                    <wp:anchor distT="0" distB="0" distL="114300" distR="114300" simplePos="0" relativeHeight="251658249" behindDoc="0" locked="0" layoutInCell="1" allowOverlap="1" wp14:anchorId="715E1DD7" wp14:editId="23BA417B">
                      <wp:simplePos x="0" y="0"/>
                      <wp:positionH relativeFrom="column">
                        <wp:posOffset>2705100</wp:posOffset>
                      </wp:positionH>
                      <wp:positionV relativeFrom="paragraph">
                        <wp:posOffset>13335</wp:posOffset>
                      </wp:positionV>
                      <wp:extent cx="0" cy="241300"/>
                      <wp:effectExtent l="76200" t="0" r="57150" b="6350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AF156F" id="Straight Arrow Connector 11" o:spid="_x0000_s1026" type="#_x0000_t32" alt="&quot;&quot;" style="position:absolute;margin-left:213pt;margin-top:1.05pt;width:0;height: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" strokecolor="#393737 [814]" strokeweight="1.5pt">
                      <v:stroke endarrow="block" joinstyle="miter"/>
                    </v:shape>
                  </w:pict>
                </mc:Fallback>
              </mc:AlternateContent>
            </w:r>
          </w:p>
          <w:tbl>
            <w:tblPr>
              <w:tblStyle w:val="TableGrid"/>
              <w:tblW w:w="0" w:type="auto"/>
              <w:tblLook w:val="04A0" w:firstRow="1" w:lastRow="0" w:firstColumn="1" w:lastColumn="0" w:noHBand="0" w:noVBand="1"/>
            </w:tblPr>
            <w:tblGrid>
              <w:gridCol w:w="8480"/>
            </w:tblGrid>
            <w:tr w:rsidR="0016744D" w:rsidRPr="00DF6C37" w14:paraId="42036B68" w14:textId="77777777">
              <w:trPr>
                <w:trHeight w:val="5891"/>
              </w:trPr>
              <w:tc>
                <w:tcPr>
                  <w:tcW w:w="8710"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tcPr>
                <w:p w14:paraId="5A38DE9A" w14:textId="5678FDB7" w:rsidR="0016744D" w:rsidRPr="00E82CD6" w:rsidRDefault="0075172D" w:rsidP="00724D2F">
                  <w:pPr>
                    <w:keepLines/>
                    <w:jc w:val="center"/>
                    <w:rPr>
                      <w:rFonts w:asciiTheme="minorHAnsi" w:hAnsiTheme="minorHAnsi" w:cstheme="minorBidi"/>
                      <w:b/>
                      <w:color w:val="385623" w:themeColor="accent6" w:themeShade="80"/>
                      <w:sz w:val="20"/>
                      <w:szCs w:val="20"/>
                    </w:rPr>
                  </w:pPr>
                  <w:r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7" behindDoc="0" locked="0" layoutInCell="1" allowOverlap="1" wp14:anchorId="701908CE" wp14:editId="00820CB1">
                            <wp:simplePos x="0" y="0"/>
                            <wp:positionH relativeFrom="column">
                              <wp:posOffset>4160520</wp:posOffset>
                            </wp:positionH>
                            <wp:positionV relativeFrom="paragraph">
                              <wp:posOffset>254635</wp:posOffset>
                            </wp:positionV>
                            <wp:extent cx="1108075" cy="33972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397250"/>
                                    </a:xfrm>
                                    <a:prstGeom prst="rect">
                                      <a:avLst/>
                                    </a:prstGeom>
                                    <a:solidFill>
                                      <a:schemeClr val="accent4">
                                        <a:lumMod val="20000"/>
                                        <a:lumOff val="80000"/>
                                      </a:schemeClr>
                                    </a:solidFill>
                                    <a:ln w="9525">
                                      <a:noFill/>
                                      <a:miter lim="800000"/>
                                      <a:headEnd/>
                                      <a:tailEnd/>
                                    </a:ln>
                                  </wps:spPr>
                                  <wps:txbx>
                                    <w:txbxContent>
                                      <w:p w14:paraId="6A031BCF"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RECALL</w:t>
                                        </w:r>
                                      </w:p>
                                      <w:p w14:paraId="144EB9F4"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If a referral has been issued in error, team leaders can call </w:t>
                                        </w:r>
                                        <w:r>
                                          <w:rPr>
                                            <w:rFonts w:asciiTheme="minorHAnsi" w:hAnsiTheme="minorHAnsi" w:cstheme="minorHAnsi"/>
                                            <w:sz w:val="16"/>
                                            <w:szCs w:val="16"/>
                                          </w:rPr>
                                          <w:t xml:space="preserve">the </w:t>
                                        </w:r>
                                        <w:r w:rsidRPr="00A355F5">
                                          <w:rPr>
                                            <w:rFonts w:asciiTheme="minorHAnsi" w:hAnsiTheme="minorHAnsi" w:cstheme="minorHAnsi"/>
                                            <w:sz w:val="16"/>
                                            <w:szCs w:val="16"/>
                                          </w:rPr>
                                          <w:t>MAC</w:t>
                                        </w:r>
                                        <w:r>
                                          <w:rPr>
                                            <w:rFonts w:asciiTheme="minorHAnsi" w:hAnsiTheme="minorHAnsi" w:cstheme="minorHAnsi"/>
                                            <w:sz w:val="16"/>
                                            <w:szCs w:val="16"/>
                                          </w:rPr>
                                          <w:t xml:space="preserve"> Contact Centre</w:t>
                                        </w:r>
                                        <w:r w:rsidRPr="00A355F5">
                                          <w:rPr>
                                            <w:rFonts w:asciiTheme="minorHAnsi" w:hAnsiTheme="minorHAnsi" w:cstheme="minorHAnsi"/>
                                            <w:sz w:val="16"/>
                                            <w:szCs w:val="16"/>
                                          </w:rPr>
                                          <w:t xml:space="preserve"> and request that the issued referral is recalled</w:t>
                                        </w:r>
                                        <w:r>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908CE" id="Text Box 7" o:spid="_x0000_s1030" type="#_x0000_t202" style="position:absolute;left:0;text-align:left;margin-left:327.6pt;margin-top:20.05pt;width:87.25pt;height:26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" fillcolor="#fff2cc [663]" stroked="f">
                            <v:textbox>
                              <w:txbxContent>
                                <w:p w14:paraId="6A031BCF"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RECALL</w:t>
                                  </w:r>
                                </w:p>
                                <w:p w14:paraId="144EB9F4"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If a referral has been issued in error, team leaders can call </w:t>
                                  </w:r>
                                  <w:r>
                                    <w:rPr>
                                      <w:rFonts w:asciiTheme="minorHAnsi" w:hAnsiTheme="minorHAnsi" w:cstheme="minorHAnsi"/>
                                      <w:sz w:val="16"/>
                                      <w:szCs w:val="16"/>
                                    </w:rPr>
                                    <w:t xml:space="preserve">the </w:t>
                                  </w:r>
                                  <w:r w:rsidRPr="00A355F5">
                                    <w:rPr>
                                      <w:rFonts w:asciiTheme="minorHAnsi" w:hAnsiTheme="minorHAnsi" w:cstheme="minorHAnsi"/>
                                      <w:sz w:val="16"/>
                                      <w:szCs w:val="16"/>
                                    </w:rPr>
                                    <w:t>MAC</w:t>
                                  </w:r>
                                  <w:r>
                                    <w:rPr>
                                      <w:rFonts w:asciiTheme="minorHAnsi" w:hAnsiTheme="minorHAnsi" w:cstheme="minorHAnsi"/>
                                      <w:sz w:val="16"/>
                                      <w:szCs w:val="16"/>
                                    </w:rPr>
                                    <w:t xml:space="preserve"> Contact Centre</w:t>
                                  </w:r>
                                  <w:r w:rsidRPr="00A355F5">
                                    <w:rPr>
                                      <w:rFonts w:asciiTheme="minorHAnsi" w:hAnsiTheme="minorHAnsi" w:cstheme="minorHAnsi"/>
                                      <w:sz w:val="16"/>
                                      <w:szCs w:val="16"/>
                                    </w:rPr>
                                    <w:t xml:space="preserve"> and request that the issued referral is recalled</w:t>
                                  </w:r>
                                  <w:r>
                                    <w:rPr>
                                      <w:rFonts w:asciiTheme="minorHAnsi" w:hAnsiTheme="minorHAnsi" w:cstheme="minorHAnsi"/>
                                      <w:sz w:val="16"/>
                                      <w:szCs w:val="16"/>
                                    </w:rPr>
                                    <w:t>.</w:t>
                                  </w:r>
                                </w:p>
                              </w:txbxContent>
                            </v:textbox>
                            <w10:wrap type="square"/>
                          </v:shape>
                        </w:pict>
                      </mc:Fallback>
                    </mc:AlternateContent>
                  </w:r>
                  <w:r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6" behindDoc="0" locked="0" layoutInCell="1" allowOverlap="1" wp14:anchorId="50469AEA" wp14:editId="7AF0D51D">
                            <wp:simplePos x="0" y="0"/>
                            <wp:positionH relativeFrom="column">
                              <wp:posOffset>2926715</wp:posOffset>
                            </wp:positionH>
                            <wp:positionV relativeFrom="paragraph">
                              <wp:posOffset>250190</wp:posOffset>
                            </wp:positionV>
                            <wp:extent cx="1200150" cy="3939540"/>
                            <wp:effectExtent l="0" t="0" r="19050" b="2286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39540"/>
                                    </a:xfrm>
                                    <a:prstGeom prst="rect">
                                      <a:avLst/>
                                    </a:prstGeom>
                                    <a:solidFill>
                                      <a:srgbClr val="FFFFFF"/>
                                    </a:solidFill>
                                    <a:ln w="9525">
                                      <a:solidFill>
                                        <a:schemeClr val="accent6">
                                          <a:lumMod val="75000"/>
                                        </a:schemeClr>
                                      </a:solidFill>
                                      <a:miter lim="800000"/>
                                      <a:headEnd/>
                                      <a:tailEnd/>
                                    </a:ln>
                                  </wps:spPr>
                                  <wps:txbx>
                                    <w:txbxContent>
                                      <w:p w14:paraId="7FA2E77A"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REJECT</w:t>
                                        </w:r>
                                      </w:p>
                                      <w:p w14:paraId="27973553" w14:textId="6E866263"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 xml:space="preserve">Rejected referrals should be well justified such as: outside region, assessment no longer required, older person does not consent, older person deceased, duplicate older person, duplicate referral, unable to contact older person or older person unavailable for assessment. The decision to reject an older person’s referral should be communicated with the older person/primary contact as well as information about how to request an assessment in the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9AEA" id="Text Box 6" o:spid="_x0000_s1031" type="#_x0000_t202" style="position:absolute;left:0;text-align:left;margin-left:230.45pt;margin-top:19.7pt;width:94.5pt;height:310.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" strokecolor="#538135 [2409]">
                            <v:textbox>
                              <w:txbxContent>
                                <w:p w14:paraId="7FA2E77A"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REJECT</w:t>
                                  </w:r>
                                </w:p>
                                <w:p w14:paraId="27973553" w14:textId="6E866263"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 xml:space="preserve">Rejected referrals should be well justified such as: outside region, assessment no longer required, older person does not consent, older person deceased, duplicate older person, duplicate referral, unable to contact older person or older person unavailable for assessment. The decision to reject an older person’s referral should be communicated with the older person/primary contact as well as information about how to request an assessment in the future. </w:t>
                                  </w:r>
                                </w:p>
                              </w:txbxContent>
                            </v:textbox>
                            <w10:wrap type="square"/>
                          </v:shape>
                        </w:pict>
                      </mc:Fallback>
                    </mc:AlternateContent>
                  </w:r>
                  <w:r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5" behindDoc="0" locked="0" layoutInCell="1" allowOverlap="1" wp14:anchorId="25752260" wp14:editId="2533CE36">
                            <wp:simplePos x="0" y="0"/>
                            <wp:positionH relativeFrom="column">
                              <wp:posOffset>1631315</wp:posOffset>
                            </wp:positionH>
                            <wp:positionV relativeFrom="paragraph">
                              <wp:posOffset>259715</wp:posOffset>
                            </wp:positionV>
                            <wp:extent cx="1219200" cy="3930015"/>
                            <wp:effectExtent l="0" t="0" r="19050" b="133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30015"/>
                                    </a:xfrm>
                                    <a:prstGeom prst="rect">
                                      <a:avLst/>
                                    </a:prstGeom>
                                    <a:solidFill>
                                      <a:srgbClr val="FFFFFF"/>
                                    </a:solidFill>
                                    <a:ln w="9525">
                                      <a:solidFill>
                                        <a:schemeClr val="accent6">
                                          <a:lumMod val="75000"/>
                                        </a:schemeClr>
                                      </a:solidFill>
                                      <a:miter lim="800000"/>
                                      <a:headEnd/>
                                      <a:tailEnd/>
                                    </a:ln>
                                  </wps:spPr>
                                  <wps:txbx>
                                    <w:txbxContent>
                                      <w:p w14:paraId="722CBC54"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TRANSFER</w:t>
                                        </w:r>
                                      </w:p>
                                      <w:p w14:paraId="3941DC20"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Transfers can occur between </w:t>
                                        </w:r>
                                        <w:r>
                                          <w:rPr>
                                            <w:rFonts w:asciiTheme="minorHAnsi" w:hAnsiTheme="minorHAnsi" w:cstheme="minorHAnsi"/>
                                            <w:sz w:val="16"/>
                                            <w:szCs w:val="16"/>
                                          </w:rPr>
                                          <w:t>assessment organisations</w:t>
                                        </w:r>
                                        <w:r w:rsidRPr="00A355F5">
                                          <w:rPr>
                                            <w:rFonts w:asciiTheme="minorHAnsi" w:hAnsiTheme="minorHAnsi" w:cstheme="minorHAnsi"/>
                                            <w:sz w:val="16"/>
                                            <w:szCs w:val="16"/>
                                          </w:rPr>
                                          <w:t xml:space="preserve"> when there is agreement between team leaders that a different </w:t>
                                        </w:r>
                                        <w:r>
                                          <w:rPr>
                                            <w:rFonts w:asciiTheme="minorHAnsi" w:hAnsiTheme="minorHAnsi" w:cstheme="minorHAnsi"/>
                                            <w:sz w:val="16"/>
                                            <w:szCs w:val="16"/>
                                          </w:rPr>
                                          <w:t>assessment organisation</w:t>
                                        </w:r>
                                        <w:r w:rsidRPr="00A355F5">
                                          <w:rPr>
                                            <w:rFonts w:asciiTheme="minorHAnsi" w:hAnsiTheme="minorHAnsi" w:cstheme="minorHAnsi"/>
                                            <w:sz w:val="16"/>
                                            <w:szCs w:val="16"/>
                                          </w:rPr>
                                          <w:t xml:space="preserve"> would be geographically more appropriate, the </w:t>
                                        </w:r>
                                        <w:r>
                                          <w:rPr>
                                            <w:rFonts w:asciiTheme="minorHAnsi" w:hAnsiTheme="minorHAnsi" w:cstheme="minorHAnsi"/>
                                            <w:sz w:val="16"/>
                                            <w:szCs w:val="16"/>
                                          </w:rPr>
                                          <w:t>older person</w:t>
                                        </w:r>
                                        <w:r w:rsidRPr="00A355F5">
                                          <w:rPr>
                                            <w:rFonts w:asciiTheme="minorHAnsi" w:hAnsiTheme="minorHAnsi" w:cstheme="minorHAnsi"/>
                                            <w:sz w:val="16"/>
                                            <w:szCs w:val="16"/>
                                          </w:rPr>
                                          <w:t xml:space="preserve"> has relocated</w:t>
                                        </w:r>
                                        <w:r>
                                          <w:rPr>
                                            <w:rFonts w:asciiTheme="minorHAnsi" w:hAnsiTheme="minorHAnsi" w:cstheme="minorHAnsi"/>
                                            <w:sz w:val="16"/>
                                            <w:szCs w:val="16"/>
                                          </w:rPr>
                                          <w:t xml:space="preserve"> or the older person has a preference to be assessed by an Aboriginal and Torres Strait islander Assessment Organisation and one is available in their area</w:t>
                                        </w:r>
                                        <w:r w:rsidRPr="00A355F5">
                                          <w:rPr>
                                            <w:rFonts w:asciiTheme="minorHAnsi" w:hAnsiTheme="minorHAnsi" w:cstheme="minorHAnsi"/>
                                            <w:sz w:val="16"/>
                                            <w:szCs w:val="16"/>
                                          </w:rPr>
                                          <w:t xml:space="preserve">. A referral can only be transferred once, otherwise it must be rejected.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2260" id="Text Box 5" o:spid="_x0000_s1032" type="#_x0000_t202" style="position:absolute;left:0;text-align:left;margin-left:128.45pt;margin-top:20.45pt;width:96pt;height:309.4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" strokecolor="#538135 [2409]">
                            <v:textbox>
                              <w:txbxContent>
                                <w:p w14:paraId="722CBC54" w14:textId="77777777" w:rsidR="0016744D" w:rsidRPr="00A355F5" w:rsidRDefault="0016744D" w:rsidP="0016744D">
                                  <w:pPr>
                                    <w:spacing w:after="120" w:line="240" w:lineRule="auto"/>
                                    <w:jc w:val="center"/>
                                    <w:rPr>
                                      <w:rFonts w:asciiTheme="minorHAnsi" w:hAnsiTheme="minorHAnsi" w:cstheme="minorHAnsi"/>
                                      <w:b/>
                                      <w:bCs/>
                                      <w:sz w:val="20"/>
                                      <w:u w:val="single"/>
                                    </w:rPr>
                                  </w:pPr>
                                  <w:r w:rsidRPr="00A355F5">
                                    <w:rPr>
                                      <w:rFonts w:asciiTheme="minorHAnsi" w:hAnsiTheme="minorHAnsi" w:cstheme="minorHAnsi"/>
                                      <w:b/>
                                      <w:bCs/>
                                      <w:sz w:val="20"/>
                                      <w:u w:val="single"/>
                                    </w:rPr>
                                    <w:t>TRANSFER</w:t>
                                  </w:r>
                                </w:p>
                                <w:p w14:paraId="3941DC20" w14:textId="77777777" w:rsidR="0016744D" w:rsidRPr="00A355F5" w:rsidRDefault="0016744D" w:rsidP="0016744D">
                                  <w:pPr>
                                    <w:spacing w:line="240" w:lineRule="auto"/>
                                    <w:rPr>
                                      <w:rFonts w:asciiTheme="minorHAnsi" w:hAnsiTheme="minorHAnsi" w:cstheme="minorHAnsi"/>
                                      <w:sz w:val="16"/>
                                      <w:szCs w:val="16"/>
                                    </w:rPr>
                                  </w:pPr>
                                  <w:r w:rsidRPr="00A355F5">
                                    <w:rPr>
                                      <w:rFonts w:asciiTheme="minorHAnsi" w:hAnsiTheme="minorHAnsi" w:cstheme="minorHAnsi"/>
                                      <w:sz w:val="16"/>
                                      <w:szCs w:val="16"/>
                                    </w:rPr>
                                    <w:t xml:space="preserve">Transfers can occur between </w:t>
                                  </w:r>
                                  <w:r>
                                    <w:rPr>
                                      <w:rFonts w:asciiTheme="minorHAnsi" w:hAnsiTheme="minorHAnsi" w:cstheme="minorHAnsi"/>
                                      <w:sz w:val="16"/>
                                      <w:szCs w:val="16"/>
                                    </w:rPr>
                                    <w:t>assessment organisations</w:t>
                                  </w:r>
                                  <w:r w:rsidRPr="00A355F5">
                                    <w:rPr>
                                      <w:rFonts w:asciiTheme="minorHAnsi" w:hAnsiTheme="minorHAnsi" w:cstheme="minorHAnsi"/>
                                      <w:sz w:val="16"/>
                                      <w:szCs w:val="16"/>
                                    </w:rPr>
                                    <w:t xml:space="preserve"> when there is agreement between team leaders that a different </w:t>
                                  </w:r>
                                  <w:r>
                                    <w:rPr>
                                      <w:rFonts w:asciiTheme="minorHAnsi" w:hAnsiTheme="minorHAnsi" w:cstheme="minorHAnsi"/>
                                      <w:sz w:val="16"/>
                                      <w:szCs w:val="16"/>
                                    </w:rPr>
                                    <w:t>assessment organisation</w:t>
                                  </w:r>
                                  <w:r w:rsidRPr="00A355F5">
                                    <w:rPr>
                                      <w:rFonts w:asciiTheme="minorHAnsi" w:hAnsiTheme="minorHAnsi" w:cstheme="minorHAnsi"/>
                                      <w:sz w:val="16"/>
                                      <w:szCs w:val="16"/>
                                    </w:rPr>
                                    <w:t xml:space="preserve"> would be geographically more appropriate, the </w:t>
                                  </w:r>
                                  <w:r>
                                    <w:rPr>
                                      <w:rFonts w:asciiTheme="minorHAnsi" w:hAnsiTheme="minorHAnsi" w:cstheme="minorHAnsi"/>
                                      <w:sz w:val="16"/>
                                      <w:szCs w:val="16"/>
                                    </w:rPr>
                                    <w:t>older person</w:t>
                                  </w:r>
                                  <w:r w:rsidRPr="00A355F5">
                                    <w:rPr>
                                      <w:rFonts w:asciiTheme="minorHAnsi" w:hAnsiTheme="minorHAnsi" w:cstheme="minorHAnsi"/>
                                      <w:sz w:val="16"/>
                                      <w:szCs w:val="16"/>
                                    </w:rPr>
                                    <w:t xml:space="preserve"> has relocated</w:t>
                                  </w:r>
                                  <w:r>
                                    <w:rPr>
                                      <w:rFonts w:asciiTheme="minorHAnsi" w:hAnsiTheme="minorHAnsi" w:cstheme="minorHAnsi"/>
                                      <w:sz w:val="16"/>
                                      <w:szCs w:val="16"/>
                                    </w:rPr>
                                    <w:t xml:space="preserve"> or the older person has a preference to be assessed by an Aboriginal and Torres Strait islander Assessment Organisation and one is available in their area</w:t>
                                  </w:r>
                                  <w:r w:rsidRPr="00A355F5">
                                    <w:rPr>
                                      <w:rFonts w:asciiTheme="minorHAnsi" w:hAnsiTheme="minorHAnsi" w:cstheme="minorHAnsi"/>
                                      <w:sz w:val="16"/>
                                      <w:szCs w:val="16"/>
                                    </w:rPr>
                                    <w:t xml:space="preserve">. A referral can only be transferred once, otherwise it must be rejected. </w:t>
                                  </w:r>
                                </w:p>
                              </w:txbxContent>
                            </v:textbox>
                            <w10:wrap type="square"/>
                          </v:shape>
                        </w:pict>
                      </mc:Fallback>
                    </mc:AlternateContent>
                  </w:r>
                  <w:r w:rsidR="0016744D" w:rsidRPr="00E82CD6">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3" behindDoc="0" locked="0" layoutInCell="1" allowOverlap="1" wp14:anchorId="3F57640B" wp14:editId="5AADFDCA">
                            <wp:simplePos x="0" y="0"/>
                            <wp:positionH relativeFrom="column">
                              <wp:posOffset>348615</wp:posOffset>
                            </wp:positionH>
                            <wp:positionV relativeFrom="paragraph">
                              <wp:posOffset>261620</wp:posOffset>
                            </wp:positionV>
                            <wp:extent cx="1219200" cy="3930015"/>
                            <wp:effectExtent l="0" t="0" r="19050" b="133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30015"/>
                                    </a:xfrm>
                                    <a:prstGeom prst="rect">
                                      <a:avLst/>
                                    </a:prstGeom>
                                    <a:solidFill>
                                      <a:srgbClr val="FFFFFF"/>
                                    </a:solidFill>
                                    <a:ln w="9525">
                                      <a:solidFill>
                                        <a:schemeClr val="accent6">
                                          <a:lumMod val="75000"/>
                                        </a:schemeClr>
                                      </a:solidFill>
                                      <a:miter lim="800000"/>
                                      <a:headEnd/>
                                      <a:tailEnd/>
                                    </a:ln>
                                  </wps:spPr>
                                  <wps:txbx>
                                    <w:txbxContent>
                                      <w:p w14:paraId="4607E0D6"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ACCEPT</w:t>
                                        </w:r>
                                      </w:p>
                                      <w:p w14:paraId="3749413E" w14:textId="0DEB3192"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Following review of referral card and older person record, team leaders can accept the referral, and assign for triage. Team leaders can change the priority if required. Depending on the older person circumstances and referral priority, contact the older person (and/</w:t>
                                        </w:r>
                                        <w:r w:rsidR="00B7235B" w:rsidRPr="0075172D">
                                          <w:rPr>
                                            <w:rFonts w:asciiTheme="minorHAnsi" w:hAnsiTheme="minorHAnsi" w:cstheme="minorHAnsi"/>
                                            <w:sz w:val="16"/>
                                            <w:szCs w:val="16"/>
                                          </w:rPr>
                                          <w:t>or registered</w:t>
                                        </w:r>
                                        <w:r w:rsidRPr="0075172D">
                                          <w:rPr>
                                            <w:rFonts w:asciiTheme="minorHAnsi" w:hAnsiTheme="minorHAnsi" w:cstheme="minorHAnsi"/>
                                            <w:sz w:val="16"/>
                                            <w:szCs w:val="16"/>
                                          </w:rPr>
                                          <w:t xml:space="preserve"> supporter</w:t>
                                        </w:r>
                                        <w:r w:rsidR="00612BF7" w:rsidRPr="0075172D">
                                          <w:rPr>
                                            <w:rFonts w:asciiTheme="minorHAnsi" w:hAnsiTheme="minorHAnsi" w:cstheme="minorHAnsi"/>
                                            <w:sz w:val="16"/>
                                            <w:szCs w:val="16"/>
                                          </w:rPr>
                                          <w:t xml:space="preserve"> or appointed decision maker</w:t>
                                        </w:r>
                                        <w:r w:rsidRPr="0075172D">
                                          <w:rPr>
                                            <w:rFonts w:asciiTheme="minorHAnsi" w:hAnsiTheme="minorHAnsi" w:cstheme="minorHAnsi"/>
                                            <w:sz w:val="16"/>
                                            <w:szCs w:val="16"/>
                                          </w:rPr>
                                          <w:t>, as appropriate) within three calendar days to undertake triage and schedule the assessment. If assessor commences assessment and must discontinue, they will need to cancel the assessment.</w:t>
                                        </w:r>
                                      </w:p>
                                      <w:p w14:paraId="1058B6A7" w14:textId="3326C069" w:rsidR="0016744D" w:rsidRPr="00A355F5" w:rsidRDefault="0016744D" w:rsidP="0016744D">
                                        <w:pPr>
                                          <w:spacing w:line="240" w:lineRule="auto"/>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7640B" id="Text Box 3" o:spid="_x0000_s1033" type="#_x0000_t202" style="position:absolute;left:0;text-align:left;margin-left:27.45pt;margin-top:20.6pt;width:96pt;height:309.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" strokecolor="#538135 [2409]">
                            <v:textbox>
                              <w:txbxContent>
                                <w:p w14:paraId="4607E0D6" w14:textId="77777777" w:rsidR="0016744D" w:rsidRPr="00A355F5" w:rsidRDefault="0016744D" w:rsidP="0016744D">
                                  <w:pPr>
                                    <w:spacing w:after="120" w:line="240" w:lineRule="auto"/>
                                    <w:jc w:val="center"/>
                                    <w:rPr>
                                      <w:rFonts w:cstheme="minorHAnsi"/>
                                      <w:b/>
                                      <w:sz w:val="20"/>
                                      <w:u w:val="single"/>
                                    </w:rPr>
                                  </w:pPr>
                                  <w:r w:rsidRPr="00A355F5">
                                    <w:rPr>
                                      <w:rFonts w:cstheme="minorHAnsi"/>
                                      <w:b/>
                                      <w:sz w:val="20"/>
                                      <w:u w:val="single"/>
                                    </w:rPr>
                                    <w:t>ACCEPT</w:t>
                                  </w:r>
                                </w:p>
                                <w:p w14:paraId="3749413E" w14:textId="0DEB3192" w:rsidR="0016744D" w:rsidRPr="0075172D" w:rsidRDefault="0016744D" w:rsidP="0016744D">
                                  <w:pPr>
                                    <w:spacing w:line="240" w:lineRule="auto"/>
                                    <w:rPr>
                                      <w:rFonts w:asciiTheme="minorHAnsi" w:hAnsiTheme="minorHAnsi" w:cstheme="minorHAnsi"/>
                                      <w:sz w:val="16"/>
                                      <w:szCs w:val="16"/>
                                    </w:rPr>
                                  </w:pPr>
                                  <w:r w:rsidRPr="0075172D">
                                    <w:rPr>
                                      <w:rFonts w:asciiTheme="minorHAnsi" w:hAnsiTheme="minorHAnsi" w:cstheme="minorHAnsi"/>
                                      <w:sz w:val="16"/>
                                      <w:szCs w:val="16"/>
                                    </w:rPr>
                                    <w:t>Following review of referral card and older person record, team leaders can accept the referral, and assign for triage. Team leaders can change the priority if required. Depending on the older person circumstances and referral priority, contact the older person (and/</w:t>
                                  </w:r>
                                  <w:r w:rsidR="00B7235B" w:rsidRPr="0075172D">
                                    <w:rPr>
                                      <w:rFonts w:asciiTheme="minorHAnsi" w:hAnsiTheme="minorHAnsi" w:cstheme="minorHAnsi"/>
                                      <w:sz w:val="16"/>
                                      <w:szCs w:val="16"/>
                                    </w:rPr>
                                    <w:t>or registered</w:t>
                                  </w:r>
                                  <w:r w:rsidRPr="0075172D">
                                    <w:rPr>
                                      <w:rFonts w:asciiTheme="minorHAnsi" w:hAnsiTheme="minorHAnsi" w:cstheme="minorHAnsi"/>
                                      <w:sz w:val="16"/>
                                      <w:szCs w:val="16"/>
                                    </w:rPr>
                                    <w:t xml:space="preserve"> supporter</w:t>
                                  </w:r>
                                  <w:r w:rsidR="00612BF7" w:rsidRPr="0075172D">
                                    <w:rPr>
                                      <w:rFonts w:asciiTheme="minorHAnsi" w:hAnsiTheme="minorHAnsi" w:cstheme="minorHAnsi"/>
                                      <w:sz w:val="16"/>
                                      <w:szCs w:val="16"/>
                                    </w:rPr>
                                    <w:t xml:space="preserve"> or appointed decision maker</w:t>
                                  </w:r>
                                  <w:r w:rsidRPr="0075172D">
                                    <w:rPr>
                                      <w:rFonts w:asciiTheme="minorHAnsi" w:hAnsiTheme="minorHAnsi" w:cstheme="minorHAnsi"/>
                                      <w:sz w:val="16"/>
                                      <w:szCs w:val="16"/>
                                    </w:rPr>
                                    <w:t>, as appropriate) within three calendar days to undertake triage and schedule the assessment. If assessor commences assessment and must discontinue, they will need to cancel the assessment.</w:t>
                                  </w:r>
                                </w:p>
                                <w:p w14:paraId="1058B6A7" w14:textId="3326C069" w:rsidR="0016744D" w:rsidRPr="00A355F5" w:rsidRDefault="0016744D" w:rsidP="0016744D">
                                  <w:pPr>
                                    <w:spacing w:line="240" w:lineRule="auto"/>
                                    <w:rPr>
                                      <w:rFonts w:cstheme="minorHAnsi"/>
                                      <w:sz w:val="16"/>
                                      <w:szCs w:val="16"/>
                                    </w:rPr>
                                  </w:pPr>
                                </w:p>
                              </w:txbxContent>
                            </v:textbox>
                            <w10:wrap type="square"/>
                          </v:shape>
                        </w:pict>
                      </mc:Fallback>
                    </mc:AlternateContent>
                  </w:r>
                  <w:r w:rsidR="0016744D" w:rsidRPr="708D5C40">
                    <w:rPr>
                      <w:rFonts w:asciiTheme="minorHAnsi" w:hAnsiTheme="minorHAnsi" w:cstheme="minorBidi"/>
                      <w:b/>
                      <w:color w:val="385623" w:themeColor="accent6" w:themeShade="80"/>
                      <w:sz w:val="20"/>
                      <w:szCs w:val="20"/>
                    </w:rPr>
                    <w:t>POSSIBLE OUTCOMES OF ASSESSMENT REFERRAL MANAGEMENT</w:t>
                  </w:r>
                </w:p>
                <w:p w14:paraId="52C09AE7" w14:textId="77777777" w:rsidR="0016744D" w:rsidRPr="00DF6C37" w:rsidRDefault="0016744D" w:rsidP="00724D2F">
                  <w:pPr>
                    <w:keepLines/>
                    <w:jc w:val="center"/>
                    <w:rPr>
                      <w:rFonts w:asciiTheme="minorHAnsi" w:hAnsiTheme="minorHAnsi" w:cstheme="minorHAnsi"/>
                      <w:b/>
                      <w:bCs/>
                      <w:sz w:val="32"/>
                      <w:szCs w:val="32"/>
                    </w:rPr>
                  </w:pPr>
                  <w:r w:rsidRPr="00DF6C37">
                    <w:rPr>
                      <w:rFonts w:asciiTheme="minorHAnsi" w:hAnsiTheme="minorHAnsi" w:cstheme="minorHAnsi"/>
                      <w:noProof/>
                    </w:rPr>
                    <mc:AlternateContent>
                      <mc:Choice Requires="wps">
                        <w:drawing>
                          <wp:anchor distT="45720" distB="45720" distL="114300" distR="114300" simplePos="0" relativeHeight="251658244" behindDoc="0" locked="0" layoutInCell="1" allowOverlap="1" wp14:anchorId="6F3DEF47" wp14:editId="5FEE0B68">
                            <wp:simplePos x="0" y="0"/>
                            <wp:positionH relativeFrom="column">
                              <wp:posOffset>-1028700</wp:posOffset>
                            </wp:positionH>
                            <wp:positionV relativeFrom="paragraph">
                              <wp:posOffset>1162050</wp:posOffset>
                            </wp:positionV>
                            <wp:extent cx="2423795" cy="345440"/>
                            <wp:effectExtent l="0" t="0" r="6032"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3795" cy="345440"/>
                                    </a:xfrm>
                                    <a:prstGeom prst="rect">
                                      <a:avLst/>
                                    </a:prstGeom>
                                    <a:noFill/>
                                    <a:ln w="9525">
                                      <a:noFill/>
                                      <a:miter lim="800000"/>
                                      <a:headEnd/>
                                      <a:tailEnd/>
                                    </a:ln>
                                  </wps:spPr>
                                  <wps:txbx>
                                    <w:txbxContent>
                                      <w:p w14:paraId="469DE47B"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ACTIONED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DEF47" id="Text Box 4" o:spid="_x0000_s1034" type="#_x0000_t202" style="position:absolute;left:0;text-align:left;margin-left:-81pt;margin-top:91.5pt;width:190.85pt;height:27.2pt;rotation:-90;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" filled="f" stroked="f">
                            <v:textbox>
                              <w:txbxContent>
                                <w:p w14:paraId="469DE47B" w14:textId="77777777" w:rsidR="0016744D" w:rsidRPr="00346069" w:rsidRDefault="0016744D" w:rsidP="0016744D">
                                  <w:pPr>
                                    <w:jc w:val="center"/>
                                    <w:rPr>
                                      <w:rFonts w:asciiTheme="minorHAnsi" w:hAnsiTheme="minorHAnsi" w:cstheme="minorHAnsi"/>
                                      <w:b/>
                                      <w:bCs/>
                                      <w:color w:val="538135" w:themeColor="accent6" w:themeShade="BF"/>
                                    </w:rPr>
                                  </w:pPr>
                                  <w:r w:rsidRPr="00346069">
                                    <w:rPr>
                                      <w:rFonts w:asciiTheme="minorHAnsi" w:hAnsiTheme="minorHAnsi" w:cstheme="minorHAnsi"/>
                                      <w:b/>
                                      <w:bCs/>
                                      <w:color w:val="538135" w:themeColor="accent6" w:themeShade="BF"/>
                                    </w:rPr>
                                    <w:t>REFERRAL ACTIONED</w:t>
                                  </w:r>
                                </w:p>
                              </w:txbxContent>
                            </v:textbox>
                            <w10:wrap type="square"/>
                          </v:shape>
                        </w:pict>
                      </mc:Fallback>
                    </mc:AlternateContent>
                  </w:r>
                </w:p>
              </w:tc>
            </w:tr>
          </w:tbl>
          <w:p w14:paraId="183C464E" w14:textId="77777777" w:rsidR="0016744D" w:rsidRDefault="0016744D" w:rsidP="00724D2F">
            <w:pPr>
              <w:keepLines/>
            </w:pPr>
          </w:p>
        </w:tc>
      </w:tr>
    </w:tbl>
    <w:p w14:paraId="5652C0D9" w14:textId="77777777" w:rsidR="0016744D" w:rsidRPr="003E1933" w:rsidRDefault="0016744D" w:rsidP="00856600">
      <w:pPr>
        <w:spacing w:before="240" w:after="240" w:line="240" w:lineRule="auto"/>
        <w:rPr>
          <w:lang w:val="en-AU"/>
        </w:rPr>
      </w:pPr>
    </w:p>
    <w:p w14:paraId="3FBD3633" w14:textId="77777777" w:rsidR="0016744D" w:rsidRPr="000F57CF" w:rsidRDefault="0016744D" w:rsidP="00C56CEC">
      <w:pPr>
        <w:pStyle w:val="H3"/>
        <w:rPr>
          <w:i/>
          <w:iCs/>
          <w:color w:val="434967"/>
          <w:spacing w:val="5"/>
          <w:szCs w:val="28"/>
          <w:lang w:val="en-AU"/>
        </w:rPr>
      </w:pPr>
      <w:bookmarkStart w:id="286" w:name="_Toc204329531"/>
      <w:r w:rsidRPr="003E1933">
        <w:t>Accept a referral</w:t>
      </w:r>
      <w:bookmarkEnd w:id="286"/>
    </w:p>
    <w:p w14:paraId="58D5158C" w14:textId="245BE8CF" w:rsidR="0016744D" w:rsidRDefault="0016744D" w:rsidP="00856600">
      <w:pPr>
        <w:spacing w:before="240" w:after="240" w:line="240" w:lineRule="auto"/>
      </w:pPr>
      <w:r w:rsidRPr="00DE51DB">
        <w:t xml:space="preserve">When a </w:t>
      </w:r>
      <w:r w:rsidR="00CE2C1F">
        <w:t>T</w:t>
      </w:r>
      <w:r w:rsidRPr="00DE51DB">
        <w:t xml:space="preserve">eam </w:t>
      </w:r>
      <w:r w:rsidR="00CE2C1F">
        <w:t>L</w:t>
      </w:r>
      <w:r w:rsidRPr="00DE51DB">
        <w:t xml:space="preserve">eader </w:t>
      </w:r>
      <w:r w:rsidRPr="00DE51DB">
        <w:rPr>
          <w:rFonts w:hint="eastAsia"/>
        </w:rPr>
        <w:t>receive</w:t>
      </w:r>
      <w:r w:rsidRPr="00DE51DB">
        <w:t>s</w:t>
      </w:r>
      <w:r w:rsidRPr="00DE51DB">
        <w:rPr>
          <w:rFonts w:hint="eastAsia"/>
        </w:rPr>
        <w:t xml:space="preserve"> a referral</w:t>
      </w:r>
      <w:r w:rsidRPr="00DE51DB">
        <w:t xml:space="preserve">, </w:t>
      </w:r>
      <w:r w:rsidRPr="00DE51DB">
        <w:rPr>
          <w:rFonts w:hint="eastAsia"/>
        </w:rPr>
        <w:t xml:space="preserve">they should view </w:t>
      </w:r>
      <w:r w:rsidRPr="00DE51DB">
        <w:t xml:space="preserve">the </w:t>
      </w:r>
      <w:r>
        <w:rPr>
          <w:rFonts w:hint="eastAsia"/>
        </w:rPr>
        <w:t>older person</w:t>
      </w:r>
      <w:r>
        <w:t>’s</w:t>
      </w:r>
      <w:r w:rsidRPr="00DE51DB">
        <w:rPr>
          <w:rFonts w:hint="eastAsia"/>
        </w:rPr>
        <w:t xml:space="preserve"> information </w:t>
      </w:r>
      <w:r w:rsidRPr="00DE51DB">
        <w:t>to</w:t>
      </w:r>
      <w:r w:rsidRPr="00DE51DB">
        <w:rPr>
          <w:rFonts w:hint="eastAsia"/>
        </w:rPr>
        <w:t xml:space="preserve"> gain a </w:t>
      </w:r>
      <w:r w:rsidRPr="00DE51DB">
        <w:t xml:space="preserve">preliminary </w:t>
      </w:r>
      <w:r w:rsidRPr="00DE51DB">
        <w:rPr>
          <w:rFonts w:hint="eastAsia"/>
        </w:rPr>
        <w:t>understanding of the</w:t>
      </w:r>
      <w:r>
        <w:t xml:space="preserve">ir </w:t>
      </w:r>
      <w:r w:rsidRPr="00DE51DB">
        <w:rPr>
          <w:rFonts w:hint="eastAsia"/>
        </w:rPr>
        <w:t>situation</w:t>
      </w:r>
      <w:r w:rsidRPr="00DE51DB">
        <w:t>, to determine whether the referral is accepted, transferred or rejected and to begin the assessment process responsive to the person’s individual situation</w:t>
      </w:r>
      <w:r w:rsidRPr="00DE51DB">
        <w:rPr>
          <w:rFonts w:hint="eastAsia"/>
        </w:rPr>
        <w:t xml:space="preserve">. </w:t>
      </w:r>
    </w:p>
    <w:p w14:paraId="01A87F98" w14:textId="77777777" w:rsidR="0016744D" w:rsidRPr="00214228" w:rsidRDefault="0016744D" w:rsidP="00856600">
      <w:pPr>
        <w:pStyle w:val="Sub-headingnon-contentpage"/>
        <w:spacing w:before="240" w:after="240"/>
      </w:pPr>
      <w:r>
        <w:t xml:space="preserve">A Team Leader must: </w:t>
      </w:r>
    </w:p>
    <w:p w14:paraId="383394A1" w14:textId="77777777" w:rsidR="0016744D" w:rsidRDefault="0016744D" w:rsidP="00DF3F6B">
      <w:pPr>
        <w:pStyle w:val="ListParagraph"/>
        <w:numPr>
          <w:ilvl w:val="0"/>
          <w:numId w:val="59"/>
        </w:numPr>
        <w:spacing w:before="240" w:after="240" w:line="240" w:lineRule="auto"/>
        <w:ind w:left="284" w:hanging="284"/>
        <w:rPr>
          <w:lang w:val="en-US"/>
        </w:rPr>
      </w:pPr>
      <w:r w:rsidRPr="78E43FD9">
        <w:rPr>
          <w:lang w:val="en-US"/>
        </w:rPr>
        <w:t xml:space="preserve">Review the referral information and determine whether the referral is appropriate to be accepted, transferred or rejected. </w:t>
      </w:r>
    </w:p>
    <w:p w14:paraId="2DD9B6FD" w14:textId="77777777" w:rsidR="0016744D" w:rsidRDefault="0016744D" w:rsidP="00DF3F6B">
      <w:pPr>
        <w:pStyle w:val="ListParagraph"/>
        <w:numPr>
          <w:ilvl w:val="0"/>
          <w:numId w:val="59"/>
        </w:numPr>
        <w:spacing w:before="240" w:after="240" w:line="240" w:lineRule="auto"/>
        <w:ind w:left="284" w:hanging="284"/>
        <w:rPr>
          <w:lang w:val="en-US"/>
        </w:rPr>
      </w:pPr>
      <w:r w:rsidRPr="002065A0">
        <w:rPr>
          <w:lang w:val="en-US"/>
        </w:rPr>
        <w:t>Determine</w:t>
      </w:r>
      <w:r w:rsidRPr="002065A0">
        <w:rPr>
          <w:rFonts w:hint="eastAsia"/>
          <w:lang w:val="en-US"/>
        </w:rPr>
        <w:t xml:space="preserve"> whether the referral has </w:t>
      </w:r>
      <w:r w:rsidRPr="002065A0">
        <w:rPr>
          <w:lang w:val="en-US"/>
        </w:rPr>
        <w:t xml:space="preserve">been </w:t>
      </w:r>
      <w:r w:rsidRPr="002065A0">
        <w:rPr>
          <w:rFonts w:hint="eastAsia"/>
          <w:lang w:val="en-US"/>
        </w:rPr>
        <w:t xml:space="preserve">made to the right </w:t>
      </w:r>
      <w:r w:rsidRPr="002065A0">
        <w:rPr>
          <w:lang w:val="en-US"/>
        </w:rPr>
        <w:t xml:space="preserve">organisation or </w:t>
      </w:r>
      <w:r w:rsidRPr="002065A0">
        <w:rPr>
          <w:rFonts w:hint="eastAsia"/>
          <w:lang w:val="en-US"/>
        </w:rPr>
        <w:t>outlet</w:t>
      </w:r>
      <w:r w:rsidRPr="002065A0">
        <w:rPr>
          <w:lang w:val="en-US"/>
        </w:rPr>
        <w:t xml:space="preserve"> (e.g. the older person is in the same geographical location).</w:t>
      </w:r>
    </w:p>
    <w:p w14:paraId="144DC654" w14:textId="3F5AB345" w:rsidR="0016744D" w:rsidRPr="002065A0" w:rsidRDefault="0016744D" w:rsidP="00DF3F6B">
      <w:pPr>
        <w:pStyle w:val="ListParagraph"/>
        <w:numPr>
          <w:ilvl w:val="0"/>
          <w:numId w:val="59"/>
        </w:numPr>
        <w:spacing w:before="240" w:after="240" w:line="240" w:lineRule="auto"/>
        <w:ind w:left="284" w:hanging="284"/>
        <w:rPr>
          <w:lang w:val="en-US"/>
        </w:rPr>
      </w:pPr>
      <w:r w:rsidRPr="002065A0">
        <w:rPr>
          <w:lang w:val="en-US"/>
        </w:rPr>
        <w:t xml:space="preserve">Note any concerns for the triage delegate's consideration relating to eligibility for aged care services </w:t>
      </w:r>
    </w:p>
    <w:p w14:paraId="06BE43C2" w14:textId="275A51ED" w:rsidR="0016744D" w:rsidRDefault="0016744D" w:rsidP="00DF3F6B">
      <w:pPr>
        <w:pStyle w:val="ListParagraph"/>
        <w:numPr>
          <w:ilvl w:val="0"/>
          <w:numId w:val="59"/>
        </w:numPr>
        <w:spacing w:before="240" w:after="240" w:line="240" w:lineRule="auto"/>
        <w:ind w:left="284" w:hanging="284"/>
        <w:rPr>
          <w:lang w:val="en-US"/>
        </w:rPr>
      </w:pPr>
      <w:r w:rsidRPr="002065A0">
        <w:rPr>
          <w:lang w:val="en-US"/>
        </w:rPr>
        <w:t xml:space="preserve">Note any preference for an Aboriginal and Torres Strait Islander assessment </w:t>
      </w:r>
      <w:r w:rsidR="009B18B7">
        <w:rPr>
          <w:lang w:val="en-US"/>
        </w:rPr>
        <w:t>organisation.</w:t>
      </w:r>
    </w:p>
    <w:p w14:paraId="4C3A28A4" w14:textId="77777777" w:rsidR="0016744D" w:rsidRPr="00506CF6" w:rsidRDefault="0016744D" w:rsidP="00DF3F6B">
      <w:pPr>
        <w:pStyle w:val="ListParagraph"/>
        <w:numPr>
          <w:ilvl w:val="0"/>
          <w:numId w:val="59"/>
        </w:numPr>
        <w:spacing w:before="240" w:after="240" w:line="240" w:lineRule="auto"/>
        <w:ind w:left="284" w:hanging="284"/>
        <w:rPr>
          <w:lang w:val="en-US"/>
        </w:rPr>
      </w:pPr>
      <w:r w:rsidRPr="00506CF6">
        <w:rPr>
          <w:szCs w:val="20"/>
          <w:lang w:val="en"/>
        </w:rPr>
        <w:t xml:space="preserve">On receiving an assessment referral, </w:t>
      </w:r>
      <w:r w:rsidRPr="00506CF6">
        <w:rPr>
          <w:rFonts w:hint="eastAsia"/>
          <w:szCs w:val="20"/>
          <w:lang w:val="en"/>
        </w:rPr>
        <w:t>any</w:t>
      </w:r>
      <w:r w:rsidRPr="00506CF6">
        <w:rPr>
          <w:szCs w:val="20"/>
          <w:lang w:val="en"/>
        </w:rPr>
        <w:t xml:space="preserve"> relevant information relating to the older person’s referral should be reviewed. Information can be sourced from the older person’s record, including:</w:t>
      </w:r>
    </w:p>
    <w:p w14:paraId="6E35FA23" w14:textId="77777777" w:rsidR="0016744D" w:rsidRPr="00DE51DB" w:rsidRDefault="0016744D" w:rsidP="001B3475">
      <w:pPr>
        <w:pStyle w:val="ListParagraph"/>
        <w:numPr>
          <w:ilvl w:val="1"/>
          <w:numId w:val="66"/>
        </w:numPr>
        <w:spacing w:after="0" w:line="240" w:lineRule="auto"/>
        <w:ind w:left="1276"/>
        <w:rPr>
          <w:lang w:val="en-US"/>
        </w:rPr>
      </w:pPr>
      <w:r w:rsidRPr="78E43FD9">
        <w:rPr>
          <w:lang w:val="en-US"/>
        </w:rPr>
        <w:t>previous screening/assessment details</w:t>
      </w:r>
    </w:p>
    <w:p w14:paraId="27C9F366" w14:textId="77777777" w:rsidR="0016744D" w:rsidRPr="00DE51DB" w:rsidRDefault="0016744D" w:rsidP="001B3475">
      <w:pPr>
        <w:pStyle w:val="ListParagraph"/>
        <w:numPr>
          <w:ilvl w:val="1"/>
          <w:numId w:val="66"/>
        </w:numPr>
        <w:spacing w:after="0" w:line="240" w:lineRule="auto"/>
        <w:ind w:left="1276"/>
        <w:rPr>
          <w:lang w:val="en-US"/>
        </w:rPr>
      </w:pPr>
      <w:r w:rsidRPr="78E43FD9">
        <w:rPr>
          <w:rFonts w:hint="eastAsia"/>
          <w:lang w:val="en-US"/>
        </w:rPr>
        <w:t xml:space="preserve">previous </w:t>
      </w:r>
      <w:r w:rsidRPr="78E43FD9">
        <w:rPr>
          <w:lang w:val="en-US"/>
        </w:rPr>
        <w:t>Support Plan</w:t>
      </w:r>
      <w:r w:rsidRPr="78E43FD9">
        <w:rPr>
          <w:rFonts w:hint="eastAsia"/>
          <w:lang w:val="en-US"/>
        </w:rPr>
        <w:t>s</w:t>
      </w:r>
    </w:p>
    <w:p w14:paraId="098B4C13" w14:textId="77777777" w:rsidR="0016744D" w:rsidRPr="00DE51DB" w:rsidRDefault="0016744D" w:rsidP="001B3475">
      <w:pPr>
        <w:pStyle w:val="ListParagraph"/>
        <w:numPr>
          <w:ilvl w:val="1"/>
          <w:numId w:val="66"/>
        </w:numPr>
        <w:spacing w:after="0" w:line="240" w:lineRule="auto"/>
        <w:ind w:left="1276"/>
        <w:rPr>
          <w:lang w:val="en-US"/>
        </w:rPr>
      </w:pPr>
      <w:r w:rsidRPr="78E43FD9">
        <w:rPr>
          <w:rFonts w:hint="eastAsia"/>
          <w:lang w:val="en-US"/>
        </w:rPr>
        <w:t>previous approvals</w:t>
      </w:r>
    </w:p>
    <w:p w14:paraId="3FF23B56" w14:textId="77777777"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szCs w:val="20"/>
          <w:lang w:val="en"/>
        </w:rPr>
        <w:t>attachments (e.g., hospital discharge summar</w:t>
      </w:r>
      <w:r w:rsidRPr="00DE51DB">
        <w:rPr>
          <w:rFonts w:hint="eastAsia"/>
          <w:szCs w:val="20"/>
          <w:lang w:val="en"/>
        </w:rPr>
        <w:t>y</w:t>
      </w:r>
      <w:r w:rsidRPr="00DE51DB">
        <w:rPr>
          <w:szCs w:val="20"/>
          <w:lang w:val="en"/>
        </w:rPr>
        <w:t>)</w:t>
      </w:r>
    </w:p>
    <w:p w14:paraId="4ADB2231" w14:textId="77777777"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szCs w:val="20"/>
          <w:lang w:val="en"/>
        </w:rPr>
        <w:t>notes</w:t>
      </w:r>
    </w:p>
    <w:p w14:paraId="53BB845F" w14:textId="77777777"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szCs w:val="20"/>
          <w:lang w:val="en"/>
        </w:rPr>
        <w:t>interactions; and</w:t>
      </w:r>
    </w:p>
    <w:p w14:paraId="5BD210CB" w14:textId="54B6749C" w:rsidR="0016744D" w:rsidRPr="00DE51DB" w:rsidRDefault="0016744D" w:rsidP="001B3475">
      <w:pPr>
        <w:pStyle w:val="ListParagraph"/>
        <w:numPr>
          <w:ilvl w:val="1"/>
          <w:numId w:val="66"/>
        </w:numPr>
        <w:spacing w:after="0" w:line="240" w:lineRule="auto"/>
        <w:ind w:left="1276"/>
        <w:contextualSpacing w:val="0"/>
        <w:rPr>
          <w:szCs w:val="20"/>
          <w:lang w:val="en"/>
        </w:rPr>
      </w:pPr>
      <w:r w:rsidRPr="00DE51DB">
        <w:rPr>
          <w:rFonts w:hint="eastAsia"/>
          <w:szCs w:val="20"/>
          <w:lang w:val="en"/>
        </w:rPr>
        <w:t xml:space="preserve">primary </w:t>
      </w:r>
      <w:r w:rsidRPr="00DE51DB">
        <w:rPr>
          <w:szCs w:val="20"/>
          <w:lang w:val="en"/>
        </w:rPr>
        <w:t>contact/</w:t>
      </w:r>
      <w:r>
        <w:rPr>
          <w:szCs w:val="20"/>
          <w:lang w:val="en"/>
        </w:rPr>
        <w:t>registered supporter/agent</w:t>
      </w:r>
      <w:r w:rsidRPr="00DE51DB">
        <w:rPr>
          <w:rFonts w:hint="eastAsia"/>
          <w:szCs w:val="20"/>
          <w:lang w:val="en"/>
        </w:rPr>
        <w:t xml:space="preserve"> for the </w:t>
      </w:r>
      <w:r>
        <w:rPr>
          <w:rFonts w:hint="eastAsia"/>
          <w:szCs w:val="20"/>
          <w:lang w:val="en"/>
        </w:rPr>
        <w:t>older person</w:t>
      </w:r>
      <w:r w:rsidRPr="00DE51DB">
        <w:rPr>
          <w:szCs w:val="20"/>
          <w:lang w:val="en"/>
        </w:rPr>
        <w:t>.</w:t>
      </w:r>
    </w:p>
    <w:p w14:paraId="7AF64829" w14:textId="77777777" w:rsidR="001B3475" w:rsidRPr="00DE51DB" w:rsidRDefault="001B3475" w:rsidP="001B3475">
      <w:pPr>
        <w:pStyle w:val="ListParagraph"/>
        <w:spacing w:after="0" w:line="240" w:lineRule="auto"/>
        <w:ind w:left="1276"/>
        <w:contextualSpacing w:val="0"/>
        <w:rPr>
          <w:szCs w:val="20"/>
          <w:lang w:val="en"/>
        </w:rPr>
      </w:pPr>
    </w:p>
    <w:p w14:paraId="24DB253F" w14:textId="66AA5D65" w:rsidR="0016744D" w:rsidRPr="00DE51DB" w:rsidRDefault="0016744D" w:rsidP="00DF3F6B">
      <w:pPr>
        <w:pStyle w:val="ListParagraph"/>
        <w:numPr>
          <w:ilvl w:val="0"/>
          <w:numId w:val="59"/>
        </w:numPr>
        <w:spacing w:before="240" w:after="240" w:line="240" w:lineRule="auto"/>
        <w:ind w:left="284" w:hanging="283"/>
        <w:rPr>
          <w:lang w:val="en-US"/>
        </w:rPr>
      </w:pPr>
      <w:r w:rsidRPr="5B8D1905">
        <w:rPr>
          <w:lang w:val="en-US"/>
        </w:rPr>
        <w:t xml:space="preserve">Check that the </w:t>
      </w:r>
      <w:r>
        <w:rPr>
          <w:lang w:val="en-US"/>
        </w:rPr>
        <w:t>older person</w:t>
      </w:r>
      <w:r w:rsidRPr="5B8D1905">
        <w:rPr>
          <w:lang w:val="en-US"/>
        </w:rPr>
        <w:t xml:space="preserve">’s contact details </w:t>
      </w:r>
      <w:r>
        <w:rPr>
          <w:lang w:val="en-US"/>
        </w:rPr>
        <w:t xml:space="preserve">and preferences </w:t>
      </w:r>
      <w:r w:rsidRPr="5B8D1905">
        <w:rPr>
          <w:lang w:val="en-US"/>
        </w:rPr>
        <w:t xml:space="preserve">are accurate and up to date in My Aged Care and amend as necessary. For </w:t>
      </w:r>
      <w:r>
        <w:rPr>
          <w:lang w:val="en-US"/>
        </w:rPr>
        <w:t>older people</w:t>
      </w:r>
      <w:r w:rsidRPr="5B8D1905">
        <w:rPr>
          <w:lang w:val="en-US"/>
        </w:rPr>
        <w:t xml:space="preserve"> who are approved and seeking services, </w:t>
      </w:r>
      <w:r w:rsidR="00CE2C1F">
        <w:rPr>
          <w:lang w:val="en-US"/>
        </w:rPr>
        <w:t>the Team Leader</w:t>
      </w:r>
      <w:r w:rsidRPr="5B8D1905">
        <w:rPr>
          <w:lang w:val="en-US"/>
        </w:rPr>
        <w:t xml:space="preserve"> must ensure the accuracy of </w:t>
      </w:r>
      <w:r>
        <w:rPr>
          <w:lang w:val="en-US"/>
        </w:rPr>
        <w:t>the older person</w:t>
      </w:r>
      <w:r w:rsidRPr="5B8D1905">
        <w:rPr>
          <w:lang w:val="en-US"/>
        </w:rPr>
        <w:t xml:space="preserve"> and </w:t>
      </w:r>
      <w:r>
        <w:rPr>
          <w:lang w:val="en-US"/>
        </w:rPr>
        <w:t xml:space="preserve">their </w:t>
      </w:r>
      <w:r w:rsidRPr="5B8D1905">
        <w:rPr>
          <w:lang w:val="en-US"/>
        </w:rPr>
        <w:t>support network</w:t>
      </w:r>
      <w:r>
        <w:rPr>
          <w:lang w:val="en-US"/>
        </w:rPr>
        <w:t>’s</w:t>
      </w:r>
      <w:r w:rsidRPr="5B8D1905">
        <w:rPr>
          <w:lang w:val="en-US"/>
        </w:rPr>
        <w:t xml:space="preserve"> contact information as this will </w:t>
      </w:r>
      <w:r>
        <w:rPr>
          <w:lang w:val="en-US"/>
        </w:rPr>
        <w:t>en</w:t>
      </w:r>
      <w:r w:rsidRPr="5B8D1905">
        <w:rPr>
          <w:lang w:val="en-US"/>
        </w:rPr>
        <w:t xml:space="preserve">sure correspondence is received. </w:t>
      </w:r>
    </w:p>
    <w:p w14:paraId="0630B224" w14:textId="0519D066" w:rsidR="0016744D" w:rsidRPr="00B25D2B" w:rsidRDefault="0016744D" w:rsidP="00DF3F6B">
      <w:pPr>
        <w:pStyle w:val="ListParagraph"/>
        <w:numPr>
          <w:ilvl w:val="0"/>
          <w:numId w:val="59"/>
        </w:numPr>
        <w:spacing w:before="240" w:after="240" w:line="240" w:lineRule="auto"/>
        <w:ind w:left="284" w:hanging="284"/>
        <w:rPr>
          <w:strike/>
          <w:lang w:val="en-US"/>
        </w:rPr>
      </w:pPr>
      <w:r w:rsidRPr="5B8D1905">
        <w:rPr>
          <w:lang w:val="en-US"/>
        </w:rPr>
        <w:t xml:space="preserve">Check whether a </w:t>
      </w:r>
      <w:r>
        <w:rPr>
          <w:lang w:val="en-US"/>
        </w:rPr>
        <w:t>supporter</w:t>
      </w:r>
      <w:r w:rsidRPr="5B8D1905">
        <w:rPr>
          <w:lang w:val="en-US"/>
        </w:rPr>
        <w:t xml:space="preserve"> or agent for the </w:t>
      </w:r>
      <w:r>
        <w:rPr>
          <w:lang w:val="en-US"/>
        </w:rPr>
        <w:t>older person</w:t>
      </w:r>
      <w:r w:rsidRPr="5B8D1905">
        <w:rPr>
          <w:lang w:val="en-US"/>
        </w:rPr>
        <w:t xml:space="preserve"> has been </w:t>
      </w:r>
      <w:r>
        <w:rPr>
          <w:lang w:val="en-US"/>
        </w:rPr>
        <w:t>registered or</w:t>
      </w:r>
      <w:r w:rsidRPr="5B8D1905">
        <w:rPr>
          <w:lang w:val="en-US"/>
        </w:rPr>
        <w:t xml:space="preserve"> established</w:t>
      </w:r>
      <w:r>
        <w:rPr>
          <w:lang w:val="en-US"/>
        </w:rPr>
        <w:t xml:space="preserve">. If the client is already registered in My Aged Care, </w:t>
      </w:r>
      <w:r w:rsidR="00CE2C1F">
        <w:rPr>
          <w:lang w:val="en-US"/>
        </w:rPr>
        <w:t xml:space="preserve">Team Leaders </w:t>
      </w:r>
      <w:r>
        <w:rPr>
          <w:lang w:val="en-US"/>
        </w:rPr>
        <w:t xml:space="preserve">can use the </w:t>
      </w:r>
      <w:r w:rsidR="0060352D">
        <w:rPr>
          <w:lang w:val="en-US"/>
        </w:rPr>
        <w:t>assessor portal</w:t>
      </w:r>
      <w:r>
        <w:rPr>
          <w:lang w:val="en-US"/>
        </w:rPr>
        <w:t xml:space="preserve"> to find the client, then view their support network (if any supporter relationships have been registered).</w:t>
      </w:r>
    </w:p>
    <w:p w14:paraId="152EB0CC" w14:textId="1EEBADAB" w:rsidR="0016744D" w:rsidRDefault="0016744D" w:rsidP="00DF3F6B">
      <w:pPr>
        <w:pStyle w:val="ListParagraph"/>
        <w:numPr>
          <w:ilvl w:val="0"/>
          <w:numId w:val="59"/>
        </w:numPr>
        <w:spacing w:before="240" w:after="240" w:line="240" w:lineRule="auto"/>
        <w:ind w:left="284" w:hanging="284"/>
        <w:rPr>
          <w:lang w:val="en-US"/>
        </w:rPr>
      </w:pPr>
      <w:r w:rsidRPr="5B8D1905">
        <w:rPr>
          <w:lang w:val="en-US"/>
        </w:rPr>
        <w:t xml:space="preserve">Review the priority assigned by the referrer and change it if it does not align with the guidance on priority for assessment referral. Once a referral is received, it is important that </w:t>
      </w:r>
      <w:r w:rsidR="00516348">
        <w:rPr>
          <w:lang w:val="en-US"/>
        </w:rPr>
        <w:t>older people</w:t>
      </w:r>
      <w:r w:rsidRPr="5B8D1905">
        <w:rPr>
          <w:lang w:val="en-US"/>
        </w:rPr>
        <w:t xml:space="preserve"> are contacted and seen in a timely manner, especially those with urgent needs. </w:t>
      </w:r>
    </w:p>
    <w:p w14:paraId="53F01C47" w14:textId="2FE8E05E" w:rsidR="0016744D" w:rsidRPr="0083127D" w:rsidRDefault="0016744D" w:rsidP="00A47084">
      <w:pPr>
        <w:pStyle w:val="ListParagraph"/>
        <w:numPr>
          <w:ilvl w:val="0"/>
          <w:numId w:val="409"/>
        </w:numPr>
        <w:spacing w:before="240" w:after="0" w:line="240" w:lineRule="auto"/>
        <w:ind w:left="284" w:hanging="284"/>
        <w:contextualSpacing w:val="0"/>
        <w:rPr>
          <w:szCs w:val="20"/>
          <w:lang w:val="en"/>
        </w:rPr>
      </w:pPr>
      <w:r w:rsidRPr="7BF47FE2">
        <w:rPr>
          <w:lang w:val="en"/>
        </w:rPr>
        <w:t xml:space="preserve">As web referrals (including referrals submitted by GPs, health professionals and </w:t>
      </w:r>
      <w:r w:rsidR="00516348">
        <w:rPr>
          <w:lang w:val="en"/>
        </w:rPr>
        <w:t>older people</w:t>
      </w:r>
      <w:r w:rsidRPr="7BF47FE2">
        <w:rPr>
          <w:lang w:val="en"/>
        </w:rPr>
        <w:t xml:space="preserve"> using the ‘Apply for an Assessment Online’ form) are automated to a </w:t>
      </w:r>
      <w:r w:rsidRPr="00DA0185">
        <w:rPr>
          <w:rStyle w:val="SubtleEmphasis"/>
          <w:b/>
          <w:bCs/>
          <w:i w:val="0"/>
          <w:iCs w:val="0"/>
        </w:rPr>
        <w:t>medium</w:t>
      </w:r>
      <w:r w:rsidRPr="7BF47FE2">
        <w:rPr>
          <w:lang w:val="en"/>
        </w:rPr>
        <w:t xml:space="preserve"> priority, it is important to review the referral information and reassign the </w:t>
      </w:r>
      <w:r w:rsidRPr="0083127D">
        <w:rPr>
          <w:szCs w:val="20"/>
          <w:lang w:val="en"/>
        </w:rPr>
        <w:t>priority (if applicable) accordi</w:t>
      </w:r>
      <w:r w:rsidRPr="0083127D" w:rsidDel="00BA6D56">
        <w:rPr>
          <w:szCs w:val="20"/>
          <w:lang w:val="en"/>
        </w:rPr>
        <w:t>n</w:t>
      </w:r>
      <w:r w:rsidRPr="0083127D">
        <w:rPr>
          <w:szCs w:val="20"/>
          <w:lang w:val="en"/>
        </w:rPr>
        <w:t xml:space="preserve">g to the </w:t>
      </w:r>
      <w:r>
        <w:rPr>
          <w:szCs w:val="20"/>
          <w:lang w:val="en"/>
        </w:rPr>
        <w:t>older person</w:t>
      </w:r>
      <w:r w:rsidRPr="0083127D">
        <w:rPr>
          <w:szCs w:val="20"/>
          <w:lang w:val="en"/>
        </w:rPr>
        <w:t>’s needs. This will prevent urgent cases from being overlooked.</w:t>
      </w:r>
    </w:p>
    <w:p w14:paraId="1E0ADBFA" w14:textId="3D628C00" w:rsidR="00B95E4C" w:rsidRDefault="0016744D" w:rsidP="00A47084">
      <w:pPr>
        <w:pStyle w:val="ListParagraph"/>
        <w:numPr>
          <w:ilvl w:val="0"/>
          <w:numId w:val="409"/>
        </w:numPr>
        <w:spacing w:before="240" w:after="240" w:line="240" w:lineRule="auto"/>
        <w:ind w:left="284" w:hanging="284"/>
        <w:rPr>
          <w:lang w:val="en-US"/>
        </w:rPr>
      </w:pPr>
      <w:r>
        <w:rPr>
          <w:lang w:val="en-US"/>
        </w:rPr>
        <w:t>Older people and/or their registered supporters</w:t>
      </w:r>
      <w:r w:rsidRPr="0D0B64D5">
        <w:rPr>
          <w:lang w:val="en-US"/>
        </w:rPr>
        <w:t xml:space="preserve"> </w:t>
      </w:r>
      <w:r>
        <w:rPr>
          <w:lang w:val="en-US"/>
        </w:rPr>
        <w:t xml:space="preserve">should be contacted and eligibility determined through triage within three calendar days of accepting the </w:t>
      </w:r>
      <w:r w:rsidRPr="18250909">
        <w:rPr>
          <w:lang w:val="en-US"/>
        </w:rPr>
        <w:t>referral</w:t>
      </w:r>
      <w:r w:rsidR="008670F3">
        <w:rPr>
          <w:lang w:val="en-US"/>
        </w:rPr>
        <w:t>.</w:t>
      </w:r>
    </w:p>
    <w:p w14:paraId="3D79B852" w14:textId="35A6F753" w:rsidR="0016744D" w:rsidRPr="001B5EA2" w:rsidRDefault="00B95E4C" w:rsidP="00A47084">
      <w:pPr>
        <w:pStyle w:val="ListParagraph"/>
        <w:numPr>
          <w:ilvl w:val="0"/>
          <w:numId w:val="409"/>
        </w:numPr>
        <w:spacing w:before="240" w:after="240" w:line="240" w:lineRule="auto"/>
        <w:ind w:left="284" w:hanging="284"/>
        <w:rPr>
          <w:lang w:val="en-US"/>
        </w:rPr>
      </w:pPr>
      <w:r>
        <w:rPr>
          <w:lang w:val="en-US"/>
        </w:rPr>
        <w:t>N</w:t>
      </w:r>
      <w:r w:rsidR="0016744D" w:rsidRPr="5B8D1905">
        <w:rPr>
          <w:lang w:val="en-US"/>
        </w:rPr>
        <w:t>ot</w:t>
      </w:r>
      <w:r>
        <w:rPr>
          <w:lang w:val="en-US"/>
        </w:rPr>
        <w:t>e</w:t>
      </w:r>
      <w:r w:rsidR="0016744D" w:rsidRPr="5B8D1905">
        <w:rPr>
          <w:lang w:val="en-US"/>
        </w:rPr>
        <w:t xml:space="preserve"> that assessors </w:t>
      </w:r>
      <w:r w:rsidR="008670F3">
        <w:rPr>
          <w:lang w:val="en-US"/>
        </w:rPr>
        <w:t>should</w:t>
      </w:r>
      <w:r w:rsidR="008670F3" w:rsidRPr="5B8D1905">
        <w:rPr>
          <w:lang w:val="en-US"/>
        </w:rPr>
        <w:t xml:space="preserve"> </w:t>
      </w:r>
      <w:r w:rsidR="001136D5">
        <w:rPr>
          <w:lang w:val="en-US"/>
        </w:rPr>
        <w:t xml:space="preserve">consider </w:t>
      </w:r>
      <w:r w:rsidR="00B5135C">
        <w:rPr>
          <w:lang w:val="en-US"/>
        </w:rPr>
        <w:t xml:space="preserve">workload management between focusing on SPRs versus </w:t>
      </w:r>
      <w:r w:rsidR="008670F3">
        <w:rPr>
          <w:lang w:val="en-US"/>
        </w:rPr>
        <w:t xml:space="preserve">reassessments to ensure </w:t>
      </w:r>
      <w:r w:rsidR="0016744D" w:rsidRPr="5B8D1905">
        <w:rPr>
          <w:lang w:val="en-US"/>
        </w:rPr>
        <w:t xml:space="preserve">priority is given to </w:t>
      </w:r>
      <w:r w:rsidR="00516348">
        <w:rPr>
          <w:lang w:val="en-US"/>
        </w:rPr>
        <w:t>older people</w:t>
      </w:r>
      <w:r w:rsidR="0016744D" w:rsidRPr="5B8D1905">
        <w:rPr>
          <w:lang w:val="en-US"/>
        </w:rPr>
        <w:t xml:space="preserve"> with the greatest need.</w:t>
      </w:r>
    </w:p>
    <w:p w14:paraId="01A0E42E" w14:textId="77777777" w:rsidR="0016744D" w:rsidRPr="00A44DB8" w:rsidRDefault="0016744D" w:rsidP="00C56CEC">
      <w:pPr>
        <w:pStyle w:val="H3"/>
      </w:pPr>
      <w:bookmarkStart w:id="287" w:name="_Toc204329532"/>
      <w:bookmarkStart w:id="288" w:name="_Ref212733590"/>
      <w:r w:rsidRPr="000F57CF">
        <w:t>Transfer</w:t>
      </w:r>
      <w:r w:rsidRPr="00A44DB8">
        <w:t>ring referrals</w:t>
      </w:r>
      <w:bookmarkEnd w:id="287"/>
      <w:bookmarkEnd w:id="288"/>
      <w:r w:rsidRPr="00A44DB8">
        <w:t xml:space="preserve"> </w:t>
      </w:r>
    </w:p>
    <w:p w14:paraId="145E69A4" w14:textId="18D61850" w:rsidR="0016744D" w:rsidRPr="00DE51DB" w:rsidRDefault="0016744D" w:rsidP="00856600">
      <w:pPr>
        <w:spacing w:before="240" w:after="240" w:line="240" w:lineRule="auto"/>
        <w:rPr>
          <w:lang w:eastAsia="ko-KR"/>
        </w:rPr>
      </w:pPr>
      <w:r w:rsidRPr="19ECD6C9">
        <w:t>Team leaders can transfer incoming and accepted referrals (that have not been commenced) between assessment organisations. Transfers can occur between assessment organisations when there is agreement between those organisations’ team leaders that this is necessary (e.g. due to the location or organisational capacity issues</w:t>
      </w:r>
      <w:r>
        <w:t xml:space="preserve"> or the older person has a preference to be assessed by </w:t>
      </w:r>
      <w:r w:rsidR="1E425BDD">
        <w:t>an</w:t>
      </w:r>
      <w:r>
        <w:t xml:space="preserve"> Aboriginal and Torres Strait Islander </w:t>
      </w:r>
      <w:r w:rsidR="00EB6642">
        <w:t>assessment organisation</w:t>
      </w:r>
      <w:r w:rsidRPr="19ECD6C9">
        <w:t>). A referral can only be transferred once</w:t>
      </w:r>
      <w:r w:rsidR="002D74C8">
        <w:t xml:space="preserve">. </w:t>
      </w:r>
      <w:r w:rsidR="00F2795D">
        <w:t>However, a</w:t>
      </w:r>
      <w:r w:rsidR="005878EA">
        <w:t>ssessment outlets should consider</w:t>
      </w:r>
      <w:r w:rsidR="00F2795D">
        <w:t xml:space="preserve"> the reasons carefully before rejecting a referral.</w:t>
      </w:r>
    </w:p>
    <w:p w14:paraId="05078383" w14:textId="77777777" w:rsidR="0016744D" w:rsidRDefault="0016744D" w:rsidP="00856600">
      <w:pPr>
        <w:spacing w:before="240" w:after="240" w:line="240" w:lineRule="auto"/>
        <w:rPr>
          <w:lang w:val="en-US"/>
        </w:rPr>
      </w:pPr>
      <w:r w:rsidRPr="5B8D1905">
        <w:rPr>
          <w:lang w:val="en-US" w:eastAsia="ko-KR"/>
        </w:rPr>
        <w:t xml:space="preserve">Where </w:t>
      </w:r>
      <w:r>
        <w:rPr>
          <w:lang w:val="en-US" w:eastAsia="ko-KR"/>
        </w:rPr>
        <w:t>a referral has been transferred the assessment organisation</w:t>
      </w:r>
      <w:r w:rsidRPr="5B8D1905">
        <w:rPr>
          <w:lang w:val="en-US" w:eastAsia="ko-KR"/>
        </w:rPr>
        <w:t xml:space="preserve"> must ensure that: </w:t>
      </w:r>
    </w:p>
    <w:p w14:paraId="0C4CE9C9" w14:textId="77777777" w:rsidR="0016744D" w:rsidRDefault="0016744D" w:rsidP="00DF3F6B">
      <w:pPr>
        <w:pStyle w:val="ListParagraph"/>
        <w:numPr>
          <w:ilvl w:val="0"/>
          <w:numId w:val="64"/>
        </w:numPr>
        <w:spacing w:before="240" w:after="240" w:line="240" w:lineRule="auto"/>
        <w:ind w:left="714" w:hanging="357"/>
        <w:rPr>
          <w:lang w:val="en-US"/>
        </w:rPr>
      </w:pPr>
      <w:r w:rsidRPr="5B8D1905">
        <w:rPr>
          <w:lang w:val="en-US"/>
        </w:rPr>
        <w:t xml:space="preserve">The </w:t>
      </w:r>
      <w:r>
        <w:rPr>
          <w:lang w:val="en-US"/>
        </w:rPr>
        <w:t>older person</w:t>
      </w:r>
      <w:r w:rsidRPr="5B8D1905">
        <w:rPr>
          <w:lang w:val="en-US"/>
        </w:rPr>
        <w:t xml:space="preserve"> understands why their referral is being transferred and consents to the transfer of the referral to </w:t>
      </w:r>
      <w:r>
        <w:rPr>
          <w:lang w:val="en-US"/>
        </w:rPr>
        <w:t>another</w:t>
      </w:r>
      <w:r w:rsidRPr="5B8D1905">
        <w:rPr>
          <w:lang w:val="en-US"/>
        </w:rPr>
        <w:t xml:space="preserve"> assessment organisation. </w:t>
      </w:r>
    </w:p>
    <w:p w14:paraId="7DB16DCA" w14:textId="77777777" w:rsidR="0016744D" w:rsidRPr="00DA0185" w:rsidRDefault="0016744D" w:rsidP="00DF3F6B">
      <w:pPr>
        <w:pStyle w:val="ListParagraph"/>
        <w:numPr>
          <w:ilvl w:val="0"/>
          <w:numId w:val="64"/>
        </w:numPr>
        <w:spacing w:before="240" w:after="240" w:line="240" w:lineRule="auto"/>
        <w:rPr>
          <w:lang w:val="en-US"/>
        </w:rPr>
      </w:pPr>
      <w:r>
        <w:rPr>
          <w:lang w:val="en-US"/>
        </w:rPr>
        <w:t>T</w:t>
      </w:r>
      <w:r w:rsidRPr="5B8D1905">
        <w:rPr>
          <w:lang w:val="en-US"/>
        </w:rPr>
        <w:t xml:space="preserve">hey have contacted the assessment organisation that will be receiving the </w:t>
      </w:r>
      <w:r>
        <w:rPr>
          <w:lang w:val="en-US"/>
        </w:rPr>
        <w:t>older person’s</w:t>
      </w:r>
      <w:r w:rsidRPr="5B8D1905">
        <w:rPr>
          <w:lang w:val="en-US"/>
        </w:rPr>
        <w:t xml:space="preserve"> referral to confirm that they will accept the referral. A referral should not be transferred before confirmation has been obtained that it will be accepted by the receiving assessment organisation. This ensures that the </w:t>
      </w:r>
      <w:r>
        <w:rPr>
          <w:lang w:val="en-US"/>
        </w:rPr>
        <w:t>older person</w:t>
      </w:r>
      <w:r w:rsidRPr="5B8D1905">
        <w:rPr>
          <w:lang w:val="en-US"/>
        </w:rPr>
        <w:t xml:space="preserve"> does not experience any delay in </w:t>
      </w:r>
      <w:r>
        <w:rPr>
          <w:lang w:val="en-US"/>
        </w:rPr>
        <w:t>having</w:t>
      </w:r>
      <w:r w:rsidRPr="5B8D1905">
        <w:rPr>
          <w:lang w:val="en-US"/>
        </w:rPr>
        <w:t xml:space="preserve"> an assessment.</w:t>
      </w:r>
    </w:p>
    <w:p w14:paraId="1ACDD58F" w14:textId="77777777" w:rsidR="0016744D" w:rsidRPr="00A44DB8" w:rsidRDefault="0016744D" w:rsidP="00C56CEC">
      <w:pPr>
        <w:pStyle w:val="H3"/>
      </w:pPr>
      <w:bookmarkStart w:id="289" w:name="_Toc204329533"/>
      <w:r w:rsidRPr="003E1933">
        <w:t>Reject</w:t>
      </w:r>
      <w:r w:rsidRPr="00A44DB8">
        <w:t>ing a referral</w:t>
      </w:r>
      <w:bookmarkEnd w:id="289"/>
      <w:r w:rsidRPr="00A44DB8">
        <w:t xml:space="preserve"> </w:t>
      </w:r>
    </w:p>
    <w:p w14:paraId="7070FD52" w14:textId="0AFB782D" w:rsidR="00006D09" w:rsidRDefault="0016744D" w:rsidP="00724D2F">
      <w:pPr>
        <w:spacing w:before="240" w:after="240" w:line="240" w:lineRule="auto"/>
      </w:pPr>
      <w:r w:rsidRPr="00DE51DB">
        <w:rPr>
          <w:iCs/>
          <w:lang w:val="en" w:eastAsia="ko-KR"/>
        </w:rPr>
        <w:t>Team leaders can reject a referral when first managing the referral</w:t>
      </w:r>
      <w:r>
        <w:rPr>
          <w:iCs/>
          <w:lang w:val="en" w:eastAsia="ko-KR"/>
        </w:rPr>
        <w:t xml:space="preserve"> or</w:t>
      </w:r>
      <w:r w:rsidRPr="00DE51DB">
        <w:rPr>
          <w:iCs/>
          <w:lang w:val="en" w:eastAsia="ko-KR"/>
        </w:rPr>
        <w:t xml:space="preserve"> reject or transfer a referral after acceptance. Once an assessor starts the assessment, they will need to cancel </w:t>
      </w:r>
      <w:r>
        <w:rPr>
          <w:iCs/>
          <w:lang w:val="en" w:eastAsia="ko-KR"/>
        </w:rPr>
        <w:t xml:space="preserve">it </w:t>
      </w:r>
      <w:r w:rsidRPr="00DE51DB">
        <w:rPr>
          <w:iCs/>
          <w:lang w:val="en" w:eastAsia="ko-KR"/>
        </w:rPr>
        <w:t>if the</w:t>
      </w:r>
      <w:r>
        <w:rPr>
          <w:iCs/>
          <w:lang w:val="en" w:eastAsia="ko-KR"/>
        </w:rPr>
        <w:t xml:space="preserve"> assessment should not proceed</w:t>
      </w:r>
      <w:r w:rsidRPr="00DE51DB">
        <w:rPr>
          <w:iCs/>
          <w:lang w:val="en" w:eastAsia="ko-KR"/>
        </w:rPr>
        <w:t>.</w:t>
      </w:r>
      <w:r w:rsidRPr="00DE51DB">
        <w:rPr>
          <w:lang w:eastAsia="ko-KR"/>
        </w:rPr>
        <w:t xml:space="preserve"> </w:t>
      </w:r>
    </w:p>
    <w:p w14:paraId="09A4AC2F" w14:textId="77777777" w:rsidR="00724D2F" w:rsidRPr="000027E3" w:rsidRDefault="00724D2F" w:rsidP="00C325C6">
      <w:pPr>
        <w:pStyle w:val="Sub-headings"/>
      </w:pPr>
      <w:r w:rsidRPr="00904192">
        <w:t>Note</w:t>
      </w:r>
      <w:r w:rsidRPr="000027E3">
        <w:t xml:space="preserve">: </w:t>
      </w:r>
    </w:p>
    <w:p w14:paraId="6C501B34" w14:textId="2E21A98C" w:rsidR="00724D2F" w:rsidRPr="00240A0C" w:rsidRDefault="00724D2F" w:rsidP="00C325C6">
      <w:pPr>
        <w:pStyle w:val="Sub-headings"/>
        <w:rPr>
          <w:lang w:val="en"/>
        </w:rPr>
      </w:pPr>
      <w:r>
        <w:t>I</w:t>
      </w:r>
      <w:r w:rsidRPr="00462E5B">
        <w:t xml:space="preserve">f the assessment is going ahead, but needs to be reassigned to another assessor, it should not be cancelled.  </w:t>
      </w:r>
    </w:p>
    <w:p w14:paraId="07B7A2F0" w14:textId="77777777" w:rsidR="0016744D" w:rsidRPr="003E1933" w:rsidRDefault="0016744D" w:rsidP="00856600">
      <w:pPr>
        <w:pStyle w:val="Sub-headingnon-contentpage"/>
        <w:spacing w:before="240" w:after="240"/>
      </w:pPr>
      <w:r w:rsidRPr="0027215A">
        <w:t xml:space="preserve">If rejecting a referral, a rejection reason from the list of values </w:t>
      </w:r>
      <w:r>
        <w:t xml:space="preserve">needs to be selected </w:t>
      </w:r>
      <w:r w:rsidRPr="0027215A">
        <w:t>and relevant comments</w:t>
      </w:r>
      <w:r>
        <w:t xml:space="preserve"> added</w:t>
      </w:r>
      <w:r w:rsidRPr="0027215A">
        <w:t xml:space="preserve"> on the reason for the rejection where further explanation is required.</w:t>
      </w:r>
    </w:p>
    <w:p w14:paraId="2AF27993" w14:textId="2341DE2A" w:rsidR="0016744D" w:rsidRPr="00FA2935" w:rsidRDefault="0016744D" w:rsidP="00856600">
      <w:pPr>
        <w:pStyle w:val="Caption"/>
        <w:spacing w:before="240" w:after="240"/>
        <w:rPr>
          <w:color w:val="auto"/>
        </w:rPr>
      </w:pPr>
      <w:r w:rsidRPr="00FA2935">
        <w:rPr>
          <w:color w:val="auto"/>
        </w:rPr>
        <w:t xml:space="preserve">Table </w:t>
      </w:r>
      <w:r w:rsidR="00647AB5" w:rsidRPr="00FA2935">
        <w:rPr>
          <w:color w:val="auto"/>
        </w:rPr>
        <w:t>1</w:t>
      </w:r>
      <w:r w:rsidR="00240A0C">
        <w:rPr>
          <w:color w:val="auto"/>
        </w:rPr>
        <w:t>9</w:t>
      </w:r>
      <w:r w:rsidRPr="00FA2935">
        <w:rPr>
          <w:color w:val="auto"/>
        </w:rPr>
        <w:t>. Referral rejection - List of values</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Referral Rejection - List of Values "/>
        <w:tblDescription w:val="List of the balues which may be selected when rejecting an assessment referral "/>
      </w:tblPr>
      <w:tblGrid>
        <w:gridCol w:w="4371"/>
        <w:gridCol w:w="4276"/>
      </w:tblGrid>
      <w:tr w:rsidR="007C5952" w:rsidRPr="003A2C71" w14:paraId="0C8E44EA" w14:textId="77777777" w:rsidTr="001B3475">
        <w:tc>
          <w:tcPr>
            <w:tcW w:w="4371" w:type="dxa"/>
          </w:tcPr>
          <w:p w14:paraId="332ED292" w14:textId="77777777" w:rsidR="0016744D" w:rsidRPr="003A2C71" w:rsidRDefault="0016744D" w:rsidP="00856600">
            <w:pPr>
              <w:spacing w:before="240" w:after="240"/>
            </w:pPr>
            <w:bookmarkStart w:id="290" w:name="_Hlk79564507"/>
            <w:r>
              <w:t>Client</w:t>
            </w:r>
            <w:r w:rsidRPr="003A2C71">
              <w:t>/family/rep unavailable</w:t>
            </w:r>
          </w:p>
        </w:tc>
        <w:tc>
          <w:tcPr>
            <w:tcW w:w="4276" w:type="dxa"/>
          </w:tcPr>
          <w:p w14:paraId="26510089" w14:textId="77777777" w:rsidR="0016744D" w:rsidRPr="003A2C71" w:rsidRDefault="0016744D" w:rsidP="00856600">
            <w:pPr>
              <w:spacing w:before="240" w:after="240"/>
            </w:pPr>
            <w:r>
              <w:t>Client</w:t>
            </w:r>
            <w:r w:rsidRPr="003A2C71">
              <w:t xml:space="preserve"> age – alternate options</w:t>
            </w:r>
          </w:p>
        </w:tc>
      </w:tr>
      <w:tr w:rsidR="007C5952" w:rsidRPr="003A2C71" w14:paraId="259F05FD" w14:textId="77777777" w:rsidTr="001B3475">
        <w:tc>
          <w:tcPr>
            <w:tcW w:w="4371" w:type="dxa"/>
          </w:tcPr>
          <w:p w14:paraId="48F680E0" w14:textId="77777777" w:rsidR="0016744D" w:rsidRPr="003A2C71" w:rsidRDefault="0016744D" w:rsidP="00856600">
            <w:pPr>
              <w:spacing w:before="240" w:after="240"/>
            </w:pPr>
            <w:r w:rsidRPr="003A2C71">
              <w:t xml:space="preserve">Duplicate </w:t>
            </w:r>
            <w:r>
              <w:t>client</w:t>
            </w:r>
            <w:r w:rsidRPr="003A2C71">
              <w:t xml:space="preserve"> record</w:t>
            </w:r>
          </w:p>
        </w:tc>
        <w:tc>
          <w:tcPr>
            <w:tcW w:w="4276" w:type="dxa"/>
          </w:tcPr>
          <w:p w14:paraId="33BAF03C" w14:textId="77777777" w:rsidR="0016744D" w:rsidRPr="003A2C71" w:rsidRDefault="0016744D" w:rsidP="00856600">
            <w:pPr>
              <w:spacing w:before="240" w:after="240"/>
            </w:pPr>
            <w:r>
              <w:t>Client</w:t>
            </w:r>
            <w:r w:rsidRPr="003A2C71">
              <w:t xml:space="preserve"> does not consent</w:t>
            </w:r>
          </w:p>
        </w:tc>
      </w:tr>
      <w:tr w:rsidR="007C5952" w:rsidRPr="003A2C71" w14:paraId="7709D552" w14:textId="77777777" w:rsidTr="001B3475">
        <w:tc>
          <w:tcPr>
            <w:tcW w:w="4371" w:type="dxa"/>
          </w:tcPr>
          <w:p w14:paraId="60B58CBB" w14:textId="77777777" w:rsidR="0016744D" w:rsidRPr="003A2C71" w:rsidRDefault="0016744D" w:rsidP="00856600">
            <w:pPr>
              <w:spacing w:before="240" w:after="240"/>
            </w:pPr>
            <w:r w:rsidRPr="003A2C71">
              <w:t>Interpreter not available</w:t>
            </w:r>
          </w:p>
        </w:tc>
        <w:tc>
          <w:tcPr>
            <w:tcW w:w="4276" w:type="dxa"/>
          </w:tcPr>
          <w:p w14:paraId="2FE4C943" w14:textId="77777777" w:rsidR="0016744D" w:rsidRPr="003A2C71" w:rsidRDefault="0016744D" w:rsidP="00856600">
            <w:pPr>
              <w:spacing w:before="240" w:after="240"/>
            </w:pPr>
            <w:r>
              <w:t>Client</w:t>
            </w:r>
            <w:r w:rsidRPr="003A2C71">
              <w:t xml:space="preserve"> deceased</w:t>
            </w:r>
            <w:r w:rsidRPr="003A2C71">
              <w:tab/>
            </w:r>
          </w:p>
        </w:tc>
      </w:tr>
      <w:tr w:rsidR="007C5952" w:rsidRPr="003A2C71" w14:paraId="567893A3" w14:textId="77777777" w:rsidTr="001B3475">
        <w:tc>
          <w:tcPr>
            <w:tcW w:w="4371" w:type="dxa"/>
          </w:tcPr>
          <w:p w14:paraId="4F499DA7" w14:textId="77777777" w:rsidR="0016744D" w:rsidRPr="003A2C71" w:rsidRDefault="0016744D" w:rsidP="00856600">
            <w:pPr>
              <w:spacing w:before="240" w:after="240"/>
            </w:pPr>
            <w:r w:rsidRPr="003A2C71">
              <w:t xml:space="preserve">Unable to contact </w:t>
            </w:r>
            <w:r>
              <w:t>client</w:t>
            </w:r>
          </w:p>
        </w:tc>
        <w:tc>
          <w:tcPr>
            <w:tcW w:w="4276" w:type="dxa"/>
          </w:tcPr>
          <w:p w14:paraId="5631FB0A" w14:textId="77777777" w:rsidR="0016744D" w:rsidRPr="003A2C71" w:rsidRDefault="0016744D" w:rsidP="00856600">
            <w:pPr>
              <w:spacing w:before="240" w:after="240"/>
            </w:pPr>
            <w:r w:rsidRPr="003A2C71">
              <w:t>Clinical staff not available</w:t>
            </w:r>
          </w:p>
        </w:tc>
      </w:tr>
      <w:tr w:rsidR="007C5952" w:rsidRPr="003A2C71" w14:paraId="444C1C2D" w14:textId="77777777" w:rsidTr="001B3475">
        <w:tc>
          <w:tcPr>
            <w:tcW w:w="4371" w:type="dxa"/>
          </w:tcPr>
          <w:p w14:paraId="6AC4A85B" w14:textId="77777777" w:rsidR="0016744D" w:rsidRPr="003A2C71" w:rsidRDefault="0016744D" w:rsidP="00856600">
            <w:pPr>
              <w:spacing w:before="240" w:after="240"/>
            </w:pPr>
            <w:r w:rsidRPr="003A2C71">
              <w:t>Outside assessment region</w:t>
            </w:r>
          </w:p>
        </w:tc>
        <w:tc>
          <w:tcPr>
            <w:tcW w:w="4276" w:type="dxa"/>
          </w:tcPr>
          <w:p w14:paraId="157BAA97" w14:textId="77777777" w:rsidR="0016744D" w:rsidRPr="003A2C71" w:rsidRDefault="0016744D" w:rsidP="00856600">
            <w:pPr>
              <w:spacing w:before="240" w:after="240"/>
            </w:pPr>
            <w:r>
              <w:t>Client</w:t>
            </w:r>
            <w:r w:rsidRPr="003A2C71">
              <w:t xml:space="preserve"> prefers a FNAO</w:t>
            </w:r>
          </w:p>
        </w:tc>
      </w:tr>
      <w:tr w:rsidR="007C5952" w:rsidRPr="003A2C71" w14:paraId="026B8315" w14:textId="77777777" w:rsidTr="001B3475">
        <w:tc>
          <w:tcPr>
            <w:tcW w:w="4371" w:type="dxa"/>
          </w:tcPr>
          <w:p w14:paraId="36E1C277" w14:textId="77777777" w:rsidR="0016744D" w:rsidRPr="003A2C71" w:rsidRDefault="0016744D" w:rsidP="00856600">
            <w:pPr>
              <w:spacing w:before="240" w:after="240"/>
            </w:pPr>
            <w:r w:rsidRPr="003A2C71">
              <w:t>Assessment no longer required</w:t>
            </w:r>
          </w:p>
        </w:tc>
        <w:tc>
          <w:tcPr>
            <w:tcW w:w="4276" w:type="dxa"/>
          </w:tcPr>
          <w:p w14:paraId="0DEE1A16" w14:textId="77777777" w:rsidR="0016744D" w:rsidRPr="003A2C71" w:rsidRDefault="0016744D" w:rsidP="00856600">
            <w:pPr>
              <w:spacing w:before="240" w:after="240"/>
            </w:pPr>
            <w:r w:rsidRPr="003A2C71">
              <w:t>Hospital assessment required</w:t>
            </w:r>
          </w:p>
        </w:tc>
      </w:tr>
      <w:tr w:rsidR="007C5952" w:rsidRPr="003A2C71" w14:paraId="7FE1E9AB" w14:textId="77777777" w:rsidTr="001B3475">
        <w:tc>
          <w:tcPr>
            <w:tcW w:w="4371" w:type="dxa"/>
          </w:tcPr>
          <w:p w14:paraId="71905BDF" w14:textId="77777777" w:rsidR="0016744D" w:rsidRPr="003A2C71" w:rsidRDefault="0016744D" w:rsidP="00856600">
            <w:pPr>
              <w:spacing w:before="240" w:after="240"/>
            </w:pPr>
            <w:r w:rsidRPr="003A2C71">
              <w:t xml:space="preserve">Care approval meets needs (the </w:t>
            </w:r>
            <w:r>
              <w:t>client</w:t>
            </w:r>
            <w:r w:rsidRPr="003A2C71">
              <w:t xml:space="preserve"> is receiving aged care services and they are sufficient)</w:t>
            </w:r>
          </w:p>
        </w:tc>
        <w:tc>
          <w:tcPr>
            <w:tcW w:w="4276" w:type="dxa"/>
          </w:tcPr>
          <w:p w14:paraId="4A217067" w14:textId="15E313ED" w:rsidR="0016744D" w:rsidRPr="003A2C71" w:rsidRDefault="0016744D" w:rsidP="00856600">
            <w:pPr>
              <w:spacing w:before="240" w:after="240"/>
            </w:pPr>
            <w:r>
              <w:t>Client</w:t>
            </w:r>
            <w:r w:rsidRPr="003A2C71">
              <w:t xml:space="preserve"> </w:t>
            </w:r>
            <w:r w:rsidR="00B7235B" w:rsidRPr="003A2C71">
              <w:t>prefers</w:t>
            </w:r>
            <w:r w:rsidRPr="003A2C71">
              <w:t xml:space="preserve"> later assessment</w:t>
            </w:r>
          </w:p>
        </w:tc>
      </w:tr>
      <w:tr w:rsidR="007C5952" w:rsidRPr="003A2C71" w14:paraId="3BBD3F75" w14:textId="77777777" w:rsidTr="001B3475">
        <w:tc>
          <w:tcPr>
            <w:tcW w:w="4371" w:type="dxa"/>
          </w:tcPr>
          <w:p w14:paraId="18CE458D" w14:textId="77777777" w:rsidR="0016744D" w:rsidRPr="003A2C71" w:rsidRDefault="0016744D" w:rsidP="00856600">
            <w:pPr>
              <w:spacing w:before="240" w:after="240"/>
            </w:pPr>
            <w:r>
              <w:t>Client</w:t>
            </w:r>
            <w:r w:rsidRPr="003A2C71">
              <w:t xml:space="preserve"> medically unstable</w:t>
            </w:r>
          </w:p>
        </w:tc>
        <w:tc>
          <w:tcPr>
            <w:tcW w:w="4276" w:type="dxa"/>
          </w:tcPr>
          <w:p w14:paraId="3C4EF296" w14:textId="77777777" w:rsidR="0016744D" w:rsidRPr="003A2C71" w:rsidRDefault="0016744D" w:rsidP="00856600">
            <w:pPr>
              <w:spacing w:before="240" w:after="240"/>
            </w:pPr>
            <w:r w:rsidRPr="003A2C71">
              <w:t>Other</w:t>
            </w:r>
          </w:p>
        </w:tc>
      </w:tr>
    </w:tbl>
    <w:bookmarkEnd w:id="290"/>
    <w:p w14:paraId="67459CBB" w14:textId="77777777" w:rsidR="00724D2F" w:rsidRPr="000027E3" w:rsidRDefault="0016744D" w:rsidP="00C325C6">
      <w:pPr>
        <w:pStyle w:val="Sub-headings"/>
      </w:pPr>
      <w:r w:rsidRPr="00904192">
        <w:t>Note</w:t>
      </w:r>
      <w:r w:rsidRPr="000027E3">
        <w:t xml:space="preserve">: </w:t>
      </w:r>
    </w:p>
    <w:p w14:paraId="6638329C" w14:textId="32214A14" w:rsidR="0016744D" w:rsidRPr="003A2C71" w:rsidRDefault="0016744D" w:rsidP="00C325C6">
      <w:pPr>
        <w:pStyle w:val="Sub-headings"/>
      </w:pPr>
      <w:r w:rsidRPr="003A2C71">
        <w:t>The department monitors the rejected referral rates and rejection reasons</w:t>
      </w:r>
      <w:r w:rsidR="00FC6666">
        <w:t>, including when the ‘other’ rejection reason is</w:t>
      </w:r>
      <w:r w:rsidR="00FC5F74">
        <w:t xml:space="preserve"> </w:t>
      </w:r>
      <w:r w:rsidR="004B079D">
        <w:t>used.</w:t>
      </w:r>
    </w:p>
    <w:p w14:paraId="14FA72FA" w14:textId="77777777" w:rsidR="0016744D" w:rsidRDefault="0016744D" w:rsidP="00856600">
      <w:pPr>
        <w:spacing w:before="240" w:after="240" w:line="240" w:lineRule="auto"/>
        <w:rPr>
          <w:lang w:eastAsia="ko-KR"/>
        </w:rPr>
      </w:pPr>
      <w:r>
        <w:rPr>
          <w:lang w:val="en"/>
        </w:rPr>
        <w:t xml:space="preserve">Referral rejection decisions need to align with good practice </w:t>
      </w:r>
      <w:r>
        <w:rPr>
          <w:lang w:eastAsia="ko-KR"/>
        </w:rPr>
        <w:t>and place the older person’s interests at the centre of the decision</w:t>
      </w:r>
      <w:r w:rsidRPr="008B193B">
        <w:rPr>
          <w:lang w:eastAsia="ko-KR"/>
        </w:rPr>
        <w:t>.</w:t>
      </w:r>
      <w:r w:rsidRPr="008B193B">
        <w:rPr>
          <w:lang w:val="en"/>
        </w:rPr>
        <w:t xml:space="preserve"> </w:t>
      </w:r>
      <w:r>
        <w:rPr>
          <w:lang w:val="en"/>
        </w:rPr>
        <w:t xml:space="preserve">Referrals should only be rejected after careful consideration and </w:t>
      </w:r>
      <w:r w:rsidRPr="0027215A">
        <w:t xml:space="preserve">for valid reasons. </w:t>
      </w:r>
    </w:p>
    <w:p w14:paraId="67198E4D" w14:textId="77777777" w:rsidR="0016744D" w:rsidRDefault="0016744D" w:rsidP="00856600">
      <w:pPr>
        <w:pStyle w:val="NumberedList"/>
        <w:spacing w:before="240" w:after="240" w:line="240" w:lineRule="auto"/>
        <w:rPr>
          <w:lang w:val="en-US" w:eastAsia="ko-KR"/>
        </w:rPr>
      </w:pPr>
      <w:r w:rsidRPr="5B8D1905">
        <w:rPr>
          <w:lang w:val="en-US" w:eastAsia="ko-KR"/>
        </w:rPr>
        <w:t xml:space="preserve">The following types of situations are examples where rejecting a referral or cancelling the assessment may be required: </w:t>
      </w:r>
    </w:p>
    <w:p w14:paraId="5A7503A0" w14:textId="77777777" w:rsidR="0016744D" w:rsidRDefault="0016744D" w:rsidP="00DF3F6B">
      <w:pPr>
        <w:pStyle w:val="ListParagraph"/>
        <w:numPr>
          <w:ilvl w:val="0"/>
          <w:numId w:val="59"/>
        </w:numPr>
        <w:spacing w:before="240" w:after="240" w:line="240" w:lineRule="auto"/>
        <w:ind w:left="567" w:hanging="284"/>
        <w:rPr>
          <w:lang w:val="en-US" w:eastAsia="ko-KR"/>
        </w:rPr>
      </w:pPr>
      <w:r w:rsidRPr="5B8D1905">
        <w:rPr>
          <w:lang w:val="en-US"/>
        </w:rPr>
        <w:t xml:space="preserve">The assessor is unable to transfer the referral to another assessment </w:t>
      </w:r>
      <w:r>
        <w:rPr>
          <w:lang w:val="en-US"/>
        </w:rPr>
        <w:t>organisation.</w:t>
      </w:r>
    </w:p>
    <w:p w14:paraId="5619014B" w14:textId="77777777" w:rsidR="0016744D" w:rsidRPr="00702EF6" w:rsidRDefault="0016744D" w:rsidP="00DF3F6B">
      <w:pPr>
        <w:pStyle w:val="ListParagraph"/>
        <w:numPr>
          <w:ilvl w:val="0"/>
          <w:numId w:val="59"/>
        </w:numPr>
        <w:spacing w:before="240" w:after="240" w:line="240" w:lineRule="auto"/>
        <w:ind w:left="567" w:hanging="284"/>
        <w:rPr>
          <w:lang w:val="en-US" w:eastAsia="ko-KR"/>
        </w:rPr>
      </w:pPr>
      <w:r>
        <w:rPr>
          <w:lang w:eastAsia="ko-KR"/>
        </w:rPr>
        <w:t>A</w:t>
      </w:r>
      <w:r w:rsidRPr="008B193B">
        <w:rPr>
          <w:lang w:eastAsia="ko-KR"/>
        </w:rPr>
        <w:t xml:space="preserve"> referral may be rejected if it is outside the assessment region, or the </w:t>
      </w:r>
      <w:r>
        <w:rPr>
          <w:lang w:eastAsia="ko-KR"/>
        </w:rPr>
        <w:t>older person</w:t>
      </w:r>
      <w:r w:rsidRPr="008B193B">
        <w:rPr>
          <w:lang w:eastAsia="ko-KR"/>
        </w:rPr>
        <w:t xml:space="preserve"> does not consent to the assessment. </w:t>
      </w:r>
      <w:r w:rsidRPr="007902A6">
        <w:rPr>
          <w:lang w:eastAsia="ko-KR"/>
        </w:rPr>
        <w:t>An</w:t>
      </w:r>
      <w:r w:rsidRPr="006857DD">
        <w:rPr>
          <w:lang w:eastAsia="ko-KR"/>
        </w:rPr>
        <w:t xml:space="preserve"> incorrect referral priority </w:t>
      </w:r>
      <w:r>
        <w:rPr>
          <w:lang w:eastAsia="ko-KR"/>
        </w:rPr>
        <w:t>is</w:t>
      </w:r>
      <w:r w:rsidRPr="006857DD">
        <w:rPr>
          <w:lang w:eastAsia="ko-KR"/>
        </w:rPr>
        <w:t xml:space="preserve"> not </w:t>
      </w:r>
      <w:r>
        <w:rPr>
          <w:lang w:eastAsia="ko-KR"/>
        </w:rPr>
        <w:t>a</w:t>
      </w:r>
      <w:r w:rsidRPr="006857DD">
        <w:rPr>
          <w:lang w:eastAsia="ko-KR"/>
        </w:rPr>
        <w:t xml:space="preserve"> valid reason to reject a referral.</w:t>
      </w:r>
      <w:r w:rsidRPr="008B193B">
        <w:rPr>
          <w:lang w:eastAsia="ko-KR"/>
        </w:rPr>
        <w:t xml:space="preserve"> </w:t>
      </w:r>
    </w:p>
    <w:p w14:paraId="185370DE" w14:textId="77777777" w:rsidR="0016744D" w:rsidRDefault="0016744D" w:rsidP="00DF3F6B">
      <w:pPr>
        <w:pStyle w:val="ListParagraph"/>
        <w:numPr>
          <w:ilvl w:val="0"/>
          <w:numId w:val="59"/>
        </w:numPr>
        <w:spacing w:before="240" w:after="240" w:line="240" w:lineRule="auto"/>
        <w:ind w:left="567" w:hanging="284"/>
        <w:rPr>
          <w:lang w:val="en-US" w:eastAsia="ko-KR"/>
        </w:rPr>
      </w:pPr>
      <w:r w:rsidRPr="5B8D1905">
        <w:rPr>
          <w:lang w:val="en-US" w:eastAsia="ko-KR"/>
        </w:rPr>
        <w:t xml:space="preserve">The </w:t>
      </w:r>
      <w:r>
        <w:rPr>
          <w:lang w:val="en-US" w:eastAsia="ko-KR"/>
        </w:rPr>
        <w:t>older person</w:t>
      </w:r>
      <w:r w:rsidRPr="5B8D1905">
        <w:rPr>
          <w:lang w:val="en-US" w:eastAsia="ko-KR"/>
        </w:rPr>
        <w:t xml:space="preserve"> has been admitted to hospital so the assessment is no longer required</w:t>
      </w:r>
      <w:r>
        <w:rPr>
          <w:lang w:val="en-US" w:eastAsia="ko-KR"/>
        </w:rPr>
        <w:t>.</w:t>
      </w:r>
      <w:r w:rsidRPr="5B8D1905">
        <w:rPr>
          <w:lang w:val="en-US" w:eastAsia="ko-KR"/>
        </w:rPr>
        <w:t xml:space="preserve"> </w:t>
      </w:r>
    </w:p>
    <w:p w14:paraId="541DA739" w14:textId="77777777" w:rsidR="0016744D" w:rsidRDefault="0016744D" w:rsidP="00DF3F6B">
      <w:pPr>
        <w:pStyle w:val="ListParagraph"/>
        <w:numPr>
          <w:ilvl w:val="0"/>
          <w:numId w:val="59"/>
        </w:numPr>
        <w:spacing w:before="240" w:after="240" w:line="240" w:lineRule="auto"/>
        <w:ind w:left="567" w:hanging="284"/>
        <w:rPr>
          <w:lang w:val="en-US" w:eastAsia="ko-KR"/>
        </w:rPr>
      </w:pPr>
      <w:r>
        <w:rPr>
          <w:lang w:val="en-US" w:eastAsia="ko-KR"/>
        </w:rPr>
        <w:t>T</w:t>
      </w:r>
      <w:r w:rsidRPr="5B8D1905">
        <w:rPr>
          <w:lang w:val="en-US" w:eastAsia="ko-KR"/>
        </w:rPr>
        <w:t xml:space="preserve">he </w:t>
      </w:r>
      <w:r>
        <w:rPr>
          <w:lang w:val="en-US" w:eastAsia="ko-KR"/>
        </w:rPr>
        <w:t>older person</w:t>
      </w:r>
      <w:r w:rsidRPr="5B8D1905">
        <w:rPr>
          <w:lang w:val="en-US" w:eastAsia="ko-KR"/>
        </w:rPr>
        <w:t xml:space="preserve"> is medically unstable</w:t>
      </w:r>
      <w:r>
        <w:rPr>
          <w:lang w:val="en-US" w:eastAsia="ko-KR"/>
        </w:rPr>
        <w:t>.</w:t>
      </w:r>
    </w:p>
    <w:p w14:paraId="10A526DA" w14:textId="77777777" w:rsidR="0016744D" w:rsidRPr="00702EF6" w:rsidRDefault="0016744D" w:rsidP="00DF3F6B">
      <w:pPr>
        <w:pStyle w:val="ListParagraph"/>
        <w:numPr>
          <w:ilvl w:val="0"/>
          <w:numId w:val="59"/>
        </w:numPr>
        <w:spacing w:before="240" w:after="240" w:line="240" w:lineRule="auto"/>
        <w:ind w:left="567" w:hanging="284"/>
        <w:rPr>
          <w:lang w:val="en-US" w:eastAsia="ko-KR"/>
        </w:rPr>
      </w:pPr>
      <w:r w:rsidRPr="00702EF6">
        <w:rPr>
          <w:lang w:val="en-US" w:eastAsia="ko-KR"/>
        </w:rPr>
        <w:t>The older person does not consent, withdraws their consent, is no longer seeking services and/or withdraws the</w:t>
      </w:r>
      <w:r>
        <w:rPr>
          <w:lang w:val="en-US" w:eastAsia="ko-KR"/>
        </w:rPr>
        <w:t>ir</w:t>
      </w:r>
      <w:r w:rsidRPr="00702EF6">
        <w:rPr>
          <w:lang w:val="en-US" w:eastAsia="ko-KR"/>
        </w:rPr>
        <w:t xml:space="preserve"> </w:t>
      </w:r>
      <w:r>
        <w:rPr>
          <w:lang w:val="en-US" w:eastAsia="ko-KR"/>
        </w:rPr>
        <w:t>application for assessment.</w:t>
      </w:r>
    </w:p>
    <w:p w14:paraId="2AD03750" w14:textId="77777777" w:rsidR="0016744D" w:rsidRDefault="0016744D" w:rsidP="00DF3F6B">
      <w:pPr>
        <w:pStyle w:val="ListParagraph"/>
        <w:numPr>
          <w:ilvl w:val="0"/>
          <w:numId w:val="59"/>
        </w:numPr>
        <w:spacing w:before="240" w:after="240" w:line="240" w:lineRule="auto"/>
        <w:ind w:left="567" w:hanging="283"/>
        <w:contextualSpacing w:val="0"/>
        <w:rPr>
          <w:szCs w:val="20"/>
          <w:lang w:val="en"/>
        </w:rPr>
      </w:pPr>
      <w:r w:rsidRPr="00EA2AAE">
        <w:rPr>
          <w:szCs w:val="20"/>
          <w:lang w:val="en"/>
        </w:rPr>
        <w:t xml:space="preserve">The </w:t>
      </w:r>
      <w:r>
        <w:rPr>
          <w:szCs w:val="20"/>
          <w:lang w:val="en"/>
        </w:rPr>
        <w:t>older person</w:t>
      </w:r>
      <w:r w:rsidRPr="00EA2AAE">
        <w:rPr>
          <w:szCs w:val="20"/>
          <w:lang w:val="en"/>
        </w:rPr>
        <w:t xml:space="preserve"> </w:t>
      </w:r>
      <w:r>
        <w:rPr>
          <w:szCs w:val="20"/>
          <w:lang w:val="en"/>
        </w:rPr>
        <w:t>has passed away.</w:t>
      </w:r>
    </w:p>
    <w:p w14:paraId="10E6C1CC" w14:textId="77777777" w:rsidR="0016744D" w:rsidRDefault="0016744D" w:rsidP="00DF3F6B">
      <w:pPr>
        <w:pStyle w:val="ListParagraph"/>
        <w:numPr>
          <w:ilvl w:val="0"/>
          <w:numId w:val="59"/>
        </w:numPr>
        <w:spacing w:before="240" w:after="240" w:line="240" w:lineRule="auto"/>
        <w:ind w:left="567" w:hanging="283"/>
        <w:rPr>
          <w:lang w:val="en-US"/>
        </w:rPr>
      </w:pPr>
      <w:r w:rsidRPr="631AAD06">
        <w:rPr>
          <w:lang w:val="en-US"/>
        </w:rPr>
        <w:t>There is a duplicate older person entry or a duplicate referral.</w:t>
      </w:r>
    </w:p>
    <w:p w14:paraId="7FA55864" w14:textId="69DDF8E7" w:rsidR="0016744D" w:rsidRPr="00F17522" w:rsidDel="004C0674" w:rsidRDefault="0016744D" w:rsidP="004C0674">
      <w:pPr>
        <w:pStyle w:val="ListParagraph"/>
        <w:numPr>
          <w:ilvl w:val="0"/>
          <w:numId w:val="59"/>
        </w:numPr>
        <w:spacing w:before="240" w:after="240" w:line="240" w:lineRule="auto"/>
        <w:ind w:left="567" w:hanging="283"/>
        <w:contextualSpacing w:val="0"/>
        <w:rPr>
          <w:szCs w:val="20"/>
          <w:lang w:val="en"/>
        </w:rPr>
      </w:pPr>
      <w:r w:rsidRPr="00F17522">
        <w:rPr>
          <w:lang w:val="en-US"/>
        </w:rPr>
        <w:t xml:space="preserve">There is insufficient information to proceed with the referral, or the older person is </w:t>
      </w:r>
      <w:r w:rsidRPr="00F17522" w:rsidDel="004C0674">
        <w:rPr>
          <w:lang w:val="en-US"/>
        </w:rPr>
        <w:t>unable to be contacted after many attempts.</w:t>
      </w:r>
    </w:p>
    <w:p w14:paraId="64559184" w14:textId="0E3884D0" w:rsidR="0069351E" w:rsidDel="004C0674" w:rsidRDefault="0069351E" w:rsidP="007F4200">
      <w:pPr>
        <w:spacing w:before="240" w:after="240" w:line="240" w:lineRule="auto"/>
      </w:pPr>
      <w:r w:rsidDel="004C0674">
        <w:t>It is recognised that building rapport and trust with older Aboriginal and Torres Strait Islander clients may require multiple contact attempts, particularly for individuals who have experienced trauma or institutionalisation. Assessment organisations should make all reasonable efforts to engage with the client in a respectful and culturally safe manner</w:t>
      </w:r>
      <w:r w:rsidR="4763181A" w:rsidDel="004C0674">
        <w:t xml:space="preserve"> with their advocate if they have identified they are in contact with one</w:t>
      </w:r>
      <w:r w:rsidDel="004C0674">
        <w:t xml:space="preserve">. </w:t>
      </w:r>
    </w:p>
    <w:p w14:paraId="0EF971AC" w14:textId="1380245F" w:rsidR="0016744D" w:rsidRPr="00724D2F" w:rsidDel="004C0674" w:rsidRDefault="0069351E" w:rsidP="007F4200">
      <w:pPr>
        <w:spacing w:before="240" w:after="240" w:line="240" w:lineRule="auto"/>
      </w:pPr>
      <w:r w:rsidDel="004C0674">
        <w:t xml:space="preserve">Aboriginal and Torres Strait </w:t>
      </w:r>
      <w:r w:rsidR="00472531" w:rsidDel="004C0674">
        <w:t xml:space="preserve">Assessment </w:t>
      </w:r>
      <w:r w:rsidDel="004C0674">
        <w:t xml:space="preserve">Organisations are encouraged to consider culturally safe engagement strategies, such as involving trusted agents like Elder Care Support Connectors </w:t>
      </w:r>
      <w:r w:rsidR="35450C8B" w:rsidDel="004C0674">
        <w:t>or other appropriate advocates</w:t>
      </w:r>
      <w:r w:rsidDel="004C0674">
        <w:t xml:space="preserve"> as well as arranging face to face contact where possible. </w:t>
      </w:r>
    </w:p>
    <w:p w14:paraId="7757597C" w14:textId="77777777" w:rsidR="00724D2F" w:rsidRPr="000027E3" w:rsidRDefault="0016744D" w:rsidP="00C325C6">
      <w:pPr>
        <w:pStyle w:val="Sub-headings"/>
      </w:pPr>
      <w:r w:rsidRPr="00904192">
        <w:t>Note</w:t>
      </w:r>
      <w:r w:rsidRPr="000027E3">
        <w:t xml:space="preserve">: </w:t>
      </w:r>
    </w:p>
    <w:p w14:paraId="128A7CB3" w14:textId="0B0F884D" w:rsidR="0016744D" w:rsidRPr="00F17522" w:rsidRDefault="0016744D" w:rsidP="00C325C6">
      <w:pPr>
        <w:pStyle w:val="Sub-headings"/>
        <w:rPr>
          <w:szCs w:val="20"/>
          <w:lang w:val="en"/>
        </w:rPr>
      </w:pPr>
      <w:r w:rsidRPr="00F17522">
        <w:t>Rejecting a referral should be used as a last resort. A transfer prior to the assessment is preferable to a rejection</w:t>
      </w:r>
      <w:r w:rsidR="00216AD6">
        <w:t xml:space="preserve"> to ensure a timely assessment</w:t>
      </w:r>
      <w:r w:rsidRPr="00F17522">
        <w:t xml:space="preserve">.  </w:t>
      </w:r>
    </w:p>
    <w:p w14:paraId="65DE8EC1" w14:textId="57E56295" w:rsidR="0016744D" w:rsidRPr="00775E8F" w:rsidRDefault="0016744D" w:rsidP="00C325C6">
      <w:pPr>
        <w:pStyle w:val="Sub-headings"/>
      </w:pPr>
      <w:r w:rsidRPr="00775E8F">
        <w:t>The rejection reason</w:t>
      </w:r>
      <w:r w:rsidRPr="00775E8F">
        <w:rPr>
          <w:i/>
        </w:rPr>
        <w:t xml:space="preserve"> ‘Client prefers a FNAO’, </w:t>
      </w:r>
      <w:r w:rsidRPr="00775E8F">
        <w:t>is available in the IT system</w:t>
      </w:r>
      <w:r w:rsidRPr="00775E8F">
        <w:rPr>
          <w:i/>
        </w:rPr>
        <w:t xml:space="preserve">. </w:t>
      </w:r>
      <w:r w:rsidRPr="00775E8F">
        <w:t xml:space="preserve"> An older Aboriginal and Torres Strait Islander person </w:t>
      </w:r>
      <w:r w:rsidRPr="00775E8F">
        <w:rPr>
          <w:u w:val="single"/>
        </w:rPr>
        <w:t>should not</w:t>
      </w:r>
      <w:r w:rsidRPr="00775E8F">
        <w:t xml:space="preserve"> be rejected based on an older person’s preference unless it is a last resort. A transfer prior to the assessment is preferable to a rejection.  </w:t>
      </w:r>
    </w:p>
    <w:p w14:paraId="26177701" w14:textId="03C77CD8" w:rsidR="0016744D" w:rsidRPr="00775E8F" w:rsidRDefault="0016744D" w:rsidP="00C325C6">
      <w:pPr>
        <w:pStyle w:val="Sub-headings"/>
      </w:pPr>
      <w:r w:rsidRPr="00775E8F">
        <w:t xml:space="preserve">In instances where an Aboriginal and Torres Strait Islander older person is already booked for an assessment with a </w:t>
      </w:r>
      <w:r>
        <w:t>mainstream</w:t>
      </w:r>
      <w:r w:rsidRPr="00775E8F">
        <w:t xml:space="preserve"> assessment </w:t>
      </w:r>
      <w:r>
        <w:t>organisation,</w:t>
      </w:r>
      <w:r w:rsidRPr="00775E8F">
        <w:t xml:space="preserve"> but</w:t>
      </w:r>
      <w:r>
        <w:t xml:space="preserve"> </w:t>
      </w:r>
      <w:r w:rsidRPr="00775E8F">
        <w:t>a</w:t>
      </w:r>
      <w:r w:rsidR="004B4263">
        <w:t>n</w:t>
      </w:r>
      <w:r w:rsidRPr="00775E8F">
        <w:t xml:space="preserve"> </w:t>
      </w:r>
      <w:r>
        <w:t>Aboriginal and Torres Strait Islander</w:t>
      </w:r>
      <w:r w:rsidRPr="00775E8F">
        <w:t xml:space="preserve"> service has recently become available,</w:t>
      </w:r>
      <w:r>
        <w:t xml:space="preserve"> </w:t>
      </w:r>
      <w:r w:rsidRPr="00775E8F">
        <w:t>it is recommended that the assessor continue the assessment as planned with the agreement of the older person. The older person’s condition needs to be taken into consideration; that their health condition and care needs would not be adversely impacted by a delay in assessment if they were to be referred to another organisation.</w:t>
      </w:r>
    </w:p>
    <w:p w14:paraId="5CFB56A2" w14:textId="2F1FC9E8" w:rsidR="001E0126" w:rsidRDefault="0016744D" w:rsidP="00956CDA">
      <w:pPr>
        <w:pStyle w:val="Sub-headings"/>
      </w:pPr>
      <w:r w:rsidRPr="00775E8F">
        <w:t xml:space="preserve">A conversation to discuss this with the older person prior to the assessment is recommended, to ensure that they have choice and control and the ability to make decisions regarding their care. </w:t>
      </w:r>
    </w:p>
    <w:p w14:paraId="3531C0B7" w14:textId="77777777" w:rsidR="0016744D" w:rsidRDefault="0016744D" w:rsidP="00856600">
      <w:pPr>
        <w:spacing w:before="240" w:after="240" w:line="240" w:lineRule="auto"/>
        <w:rPr>
          <w:lang w:val="en-US"/>
        </w:rPr>
      </w:pPr>
      <w:r w:rsidRPr="5B8D1905">
        <w:rPr>
          <w:lang w:val="en-US"/>
        </w:rPr>
        <w:t xml:space="preserve">In circumstances where the </w:t>
      </w:r>
      <w:r>
        <w:rPr>
          <w:lang w:val="en-US"/>
        </w:rPr>
        <w:t xml:space="preserve">older </w:t>
      </w:r>
      <w:r w:rsidRPr="5B8D1905">
        <w:rPr>
          <w:lang w:val="en-US"/>
        </w:rPr>
        <w:t xml:space="preserve">person and/or their </w:t>
      </w:r>
      <w:r>
        <w:rPr>
          <w:lang w:val="en-US"/>
        </w:rPr>
        <w:t>registered supporter</w:t>
      </w:r>
      <w:r w:rsidRPr="5B8D1905">
        <w:rPr>
          <w:lang w:val="en-US"/>
        </w:rPr>
        <w:t xml:space="preserve"> or primary contact </w:t>
      </w:r>
      <w:r>
        <w:rPr>
          <w:lang w:val="en-US"/>
        </w:rPr>
        <w:t xml:space="preserve">is unable to be contacted </w:t>
      </w:r>
      <w:r w:rsidRPr="5B8D1905">
        <w:rPr>
          <w:lang w:val="en-US"/>
        </w:rPr>
        <w:t>after a number of attempts, assessment organisations should have a procedure in place to manage the referral request. For example, this may cover:</w:t>
      </w:r>
    </w:p>
    <w:p w14:paraId="50BB00D9" w14:textId="77777777" w:rsidR="0016744D" w:rsidRPr="003449C7" w:rsidRDefault="0016744D" w:rsidP="00DF3F6B">
      <w:pPr>
        <w:pStyle w:val="ListParagraph"/>
        <w:numPr>
          <w:ilvl w:val="0"/>
          <w:numId w:val="59"/>
        </w:numPr>
        <w:spacing w:before="240" w:after="240" w:line="240" w:lineRule="auto"/>
        <w:ind w:left="568" w:hanging="284"/>
        <w:contextualSpacing w:val="0"/>
        <w:rPr>
          <w:szCs w:val="20"/>
          <w:lang w:val="en"/>
        </w:rPr>
      </w:pPr>
      <w:r w:rsidRPr="003449C7">
        <w:rPr>
          <w:szCs w:val="20"/>
          <w:lang w:val="en"/>
        </w:rPr>
        <w:t>the expected number of contact attempts (and documentation of attempts)</w:t>
      </w:r>
    </w:p>
    <w:p w14:paraId="311C72E7" w14:textId="77777777" w:rsidR="0016744D" w:rsidRDefault="0016744D" w:rsidP="00DF3F6B">
      <w:pPr>
        <w:pStyle w:val="ListParagraph"/>
        <w:numPr>
          <w:ilvl w:val="0"/>
          <w:numId w:val="59"/>
        </w:numPr>
        <w:spacing w:before="240" w:after="240" w:line="240" w:lineRule="auto"/>
        <w:ind w:left="568" w:hanging="284"/>
        <w:contextualSpacing w:val="0"/>
        <w:rPr>
          <w:szCs w:val="20"/>
          <w:lang w:val="en" w:eastAsia="ko-KR"/>
        </w:rPr>
      </w:pPr>
      <w:r>
        <w:rPr>
          <w:szCs w:val="20"/>
          <w:lang w:val="en" w:eastAsia="ko-KR"/>
        </w:rPr>
        <w:t>who should be contacted</w:t>
      </w:r>
    </w:p>
    <w:p w14:paraId="2B70DB3D" w14:textId="77777777" w:rsidR="0016744D" w:rsidRDefault="0016744D" w:rsidP="00DF3F6B">
      <w:pPr>
        <w:pStyle w:val="ListParagraph"/>
        <w:numPr>
          <w:ilvl w:val="0"/>
          <w:numId w:val="59"/>
        </w:numPr>
        <w:spacing w:before="240" w:after="240" w:line="240" w:lineRule="auto"/>
        <w:ind w:left="568" w:hanging="284"/>
        <w:rPr>
          <w:lang w:val="en-US" w:eastAsia="ko-KR"/>
        </w:rPr>
      </w:pPr>
      <w:r w:rsidRPr="5B8D1905">
        <w:rPr>
          <w:lang w:val="en-US" w:eastAsia="ko-KR"/>
        </w:rPr>
        <w:t>ensuring special needs (</w:t>
      </w:r>
      <w:r w:rsidRPr="5B8D1905">
        <w:rPr>
          <w:lang w:val="en-US"/>
        </w:rPr>
        <w:t>e.g., identified hearing impairment) have been considered</w:t>
      </w:r>
    </w:p>
    <w:p w14:paraId="23978C67" w14:textId="3BBEBE61" w:rsidR="0016744D" w:rsidRDefault="0016744D" w:rsidP="00DF3F6B">
      <w:pPr>
        <w:pStyle w:val="ListParagraph"/>
        <w:numPr>
          <w:ilvl w:val="0"/>
          <w:numId w:val="59"/>
        </w:numPr>
        <w:spacing w:before="240" w:after="240" w:line="240" w:lineRule="auto"/>
        <w:ind w:left="567" w:hanging="284"/>
        <w:rPr>
          <w:lang w:val="en" w:eastAsia="ko-KR"/>
        </w:rPr>
      </w:pPr>
      <w:r w:rsidRPr="41315DBB">
        <w:rPr>
          <w:lang w:val="en"/>
        </w:rPr>
        <w:t>whether, after a number of unsuccessful contact attempts, a letter is provided advising the older person</w:t>
      </w:r>
      <w:r w:rsidR="00C9116C">
        <w:rPr>
          <w:lang w:val="en"/>
        </w:rPr>
        <w:t xml:space="preserve"> and their </w:t>
      </w:r>
      <w:r>
        <w:rPr>
          <w:lang w:val="en"/>
        </w:rPr>
        <w:t xml:space="preserve">registered </w:t>
      </w:r>
      <w:r w:rsidRPr="41315DBB">
        <w:rPr>
          <w:lang w:val="en"/>
        </w:rPr>
        <w:t xml:space="preserve">supporter how to reactivate their assessment referral request, or </w:t>
      </w:r>
      <w:r>
        <w:t xml:space="preserve">informing the older person and their registered supporter </w:t>
      </w:r>
      <w:r w:rsidR="00F52B8A">
        <w:t xml:space="preserve">(and appointed decision maker, if they have one) </w:t>
      </w:r>
      <w:r>
        <w:t>if they are rejecting, transferring or cancelling their referral (including an explanation of the reason/s).</w:t>
      </w:r>
    </w:p>
    <w:p w14:paraId="07F20BB6" w14:textId="14236C92" w:rsidR="0016744D" w:rsidRDefault="0016744D" w:rsidP="00856600">
      <w:pPr>
        <w:spacing w:before="240" w:after="240" w:line="240" w:lineRule="auto"/>
        <w:rPr>
          <w:lang w:val="en" w:eastAsia="ko-KR"/>
        </w:rPr>
      </w:pPr>
      <w:r>
        <w:t>The decision to reject a referral must be communicated to the older person/primary contact</w:t>
      </w:r>
      <w:r w:rsidR="00F52B8A">
        <w:t>/appointed decision maker</w:t>
      </w:r>
      <w:r>
        <w:t xml:space="preserve"> with </w:t>
      </w:r>
      <w:r w:rsidRPr="00794362">
        <w:t>inform</w:t>
      </w:r>
      <w:r>
        <w:t xml:space="preserve">ation about </w:t>
      </w:r>
      <w:r w:rsidRPr="00794362">
        <w:t>how to request an assessment in the future</w:t>
      </w:r>
      <w:r w:rsidRPr="00E83C3B">
        <w:t>.</w:t>
      </w:r>
      <w:r>
        <w:rPr>
          <w:rFonts w:asciiTheme="minorHAnsi" w:hAnsiTheme="minorHAnsi" w:cstheme="minorBidi"/>
        </w:rPr>
        <w:t xml:space="preserve"> </w:t>
      </w:r>
      <w:r w:rsidRPr="004817AA">
        <w:rPr>
          <w:lang w:val="en" w:eastAsia="ko-KR"/>
        </w:rPr>
        <w:t xml:space="preserve">Effective communication with the </w:t>
      </w:r>
      <w:r>
        <w:rPr>
          <w:lang w:val="en" w:eastAsia="ko-KR"/>
        </w:rPr>
        <w:t>older person</w:t>
      </w:r>
      <w:r w:rsidRPr="004817AA">
        <w:rPr>
          <w:lang w:val="en" w:eastAsia="ko-KR"/>
        </w:rPr>
        <w:t>/</w:t>
      </w:r>
      <w:r>
        <w:rPr>
          <w:lang w:val="en" w:eastAsia="ko-KR"/>
        </w:rPr>
        <w:t>registered supporter</w:t>
      </w:r>
      <w:r w:rsidRPr="004817AA">
        <w:rPr>
          <w:lang w:val="en" w:eastAsia="ko-KR"/>
        </w:rPr>
        <w:t xml:space="preserve"> on a decision to reject the referral</w:t>
      </w:r>
      <w:r>
        <w:rPr>
          <w:lang w:val="en" w:eastAsia="ko-KR"/>
        </w:rPr>
        <w:t xml:space="preserve">, and effective </w:t>
      </w:r>
      <w:r w:rsidRPr="0060762B">
        <w:rPr>
          <w:lang w:val="en" w:eastAsia="ko-KR"/>
        </w:rPr>
        <w:t>communication between assessors, assists with managing expectations and reducing complaints.</w:t>
      </w:r>
    </w:p>
    <w:p w14:paraId="6BB7F2BF" w14:textId="5F94CED2" w:rsidR="0016744D" w:rsidRPr="00687ED6" w:rsidRDefault="0016744D" w:rsidP="00C56CEC">
      <w:pPr>
        <w:pStyle w:val="H3"/>
        <w:rPr>
          <w:i/>
          <w:iCs/>
          <w:color w:val="434967"/>
          <w:spacing w:val="5"/>
          <w:szCs w:val="28"/>
          <w:lang w:val="en-AU"/>
        </w:rPr>
      </w:pPr>
      <w:bookmarkStart w:id="291" w:name="_Toc204329534"/>
      <w:r w:rsidRPr="00687ED6">
        <w:t>Recall a referral</w:t>
      </w:r>
      <w:bookmarkEnd w:id="291"/>
    </w:p>
    <w:p w14:paraId="0AE87AFB" w14:textId="77777777" w:rsidR="0016744D" w:rsidRPr="00874F3B" w:rsidRDefault="0016744D" w:rsidP="00856600">
      <w:pPr>
        <w:spacing w:before="240" w:after="240" w:line="240" w:lineRule="auto"/>
        <w:rPr>
          <w:lang w:eastAsia="ko-KR"/>
        </w:rPr>
      </w:pPr>
      <w:r w:rsidRPr="00874F3B">
        <w:rPr>
          <w:lang w:eastAsia="ko-KR"/>
        </w:rPr>
        <w:t xml:space="preserve">Where a referral is issued </w:t>
      </w:r>
      <w:r w:rsidRPr="00DE75E0">
        <w:t xml:space="preserve">to the organisation inappropriately </w:t>
      </w:r>
      <w:r w:rsidRPr="41315DBB">
        <w:rPr>
          <w:lang w:eastAsia="ko-KR"/>
        </w:rPr>
        <w:t>and</w:t>
      </w:r>
      <w:r w:rsidRPr="00874F3B">
        <w:rPr>
          <w:lang w:eastAsia="ko-KR"/>
        </w:rPr>
        <w:t xml:space="preserve"> is not at the status of </w:t>
      </w:r>
      <w:r>
        <w:rPr>
          <w:lang w:eastAsia="ko-KR"/>
        </w:rPr>
        <w:t>‘</w:t>
      </w:r>
      <w:r w:rsidRPr="00874F3B">
        <w:rPr>
          <w:lang w:eastAsia="ko-KR"/>
        </w:rPr>
        <w:t>rejected</w:t>
      </w:r>
      <w:r>
        <w:rPr>
          <w:lang w:eastAsia="ko-KR"/>
        </w:rPr>
        <w:t>’</w:t>
      </w:r>
      <w:r w:rsidRPr="00874F3B">
        <w:rPr>
          <w:lang w:eastAsia="ko-KR"/>
        </w:rPr>
        <w:t xml:space="preserve"> or </w:t>
      </w:r>
      <w:r>
        <w:rPr>
          <w:lang w:eastAsia="ko-KR"/>
        </w:rPr>
        <w:t>‘</w:t>
      </w:r>
      <w:r w:rsidRPr="00874F3B">
        <w:rPr>
          <w:lang w:eastAsia="ko-KR"/>
        </w:rPr>
        <w:t>transferred</w:t>
      </w:r>
      <w:r>
        <w:rPr>
          <w:lang w:eastAsia="ko-KR"/>
        </w:rPr>
        <w:t>’</w:t>
      </w:r>
      <w:r w:rsidRPr="00874F3B">
        <w:rPr>
          <w:lang w:eastAsia="ko-KR"/>
        </w:rPr>
        <w:t xml:space="preserve">, </w:t>
      </w:r>
      <w:r w:rsidRPr="00DE75E0">
        <w:t xml:space="preserve">the </w:t>
      </w:r>
      <w:r>
        <w:t>team leader</w:t>
      </w:r>
      <w:r w:rsidRPr="00DE75E0">
        <w:t xml:space="preserve"> may request that the </w:t>
      </w:r>
      <w:r>
        <w:t>My Aged Care C</w:t>
      </w:r>
      <w:r w:rsidRPr="00DE75E0">
        <w:t xml:space="preserve">ontact </w:t>
      </w:r>
      <w:r>
        <w:t>C</w:t>
      </w:r>
      <w:r w:rsidRPr="00DE75E0">
        <w:t>entre recall the referral.</w:t>
      </w:r>
      <w:r w:rsidRPr="00874F3B">
        <w:t xml:space="preserve"> </w:t>
      </w:r>
    </w:p>
    <w:p w14:paraId="13C2B0C0" w14:textId="77777777" w:rsidR="0016744D" w:rsidRDefault="0016744D" w:rsidP="00856600">
      <w:pPr>
        <w:spacing w:before="240" w:after="240" w:line="240" w:lineRule="auto"/>
      </w:pPr>
      <w:r>
        <w:t>The My Aged Care contact centre can recall referrals if it was:</w:t>
      </w:r>
    </w:p>
    <w:p w14:paraId="2F0366C1" w14:textId="47CD2755" w:rsidR="0016744D" w:rsidRDefault="0016744D" w:rsidP="00DF3F6B">
      <w:pPr>
        <w:pStyle w:val="ListParagraph"/>
        <w:numPr>
          <w:ilvl w:val="0"/>
          <w:numId w:val="73"/>
        </w:numPr>
        <w:spacing w:before="240" w:after="240" w:line="240" w:lineRule="auto"/>
        <w:rPr>
          <w:sz w:val="20"/>
          <w:szCs w:val="20"/>
        </w:rPr>
      </w:pPr>
      <w:r>
        <w:t xml:space="preserve">Sent in error by the My Aged Care contact </w:t>
      </w:r>
      <w:r w:rsidR="001439A8">
        <w:t>centre.</w:t>
      </w:r>
      <w:r>
        <w:t xml:space="preserve"> </w:t>
      </w:r>
    </w:p>
    <w:p w14:paraId="3089CC03" w14:textId="77777777" w:rsidR="0016744D" w:rsidRDefault="0016744D" w:rsidP="00DF3F6B">
      <w:pPr>
        <w:pStyle w:val="ListParagraph"/>
        <w:numPr>
          <w:ilvl w:val="0"/>
          <w:numId w:val="73"/>
        </w:numPr>
        <w:spacing w:before="240" w:after="240" w:line="240" w:lineRule="auto"/>
        <w:rPr>
          <w:sz w:val="20"/>
          <w:szCs w:val="20"/>
        </w:rPr>
      </w:pPr>
      <w:r>
        <w:t>Sent to the wrong organisation and meets the requirements for transfer.</w:t>
      </w:r>
    </w:p>
    <w:p w14:paraId="31645706" w14:textId="77777777" w:rsidR="0016744D" w:rsidRDefault="0016744D" w:rsidP="00856600">
      <w:pPr>
        <w:spacing w:before="240" w:after="240" w:line="240" w:lineRule="auto"/>
        <w:rPr>
          <w:sz w:val="20"/>
          <w:szCs w:val="20"/>
        </w:rPr>
      </w:pPr>
      <w:r>
        <w:t xml:space="preserve">You can call the My Aged Care </w:t>
      </w:r>
      <w:r w:rsidRPr="00404521">
        <w:t>Service Provider and Assessor Helpline</w:t>
      </w:r>
      <w:r w:rsidRPr="00404521" w:rsidDel="00404521">
        <w:t xml:space="preserve"> </w:t>
      </w:r>
      <w:r w:rsidRPr="00DE75E0">
        <w:t>(</w:t>
      </w:r>
      <w:r w:rsidRPr="00DE75E0">
        <w:rPr>
          <w:rFonts w:eastAsia="MS Mincho"/>
        </w:rPr>
        <w:t>1800 836 799</w:t>
      </w:r>
      <w:r w:rsidRPr="6B6048DE">
        <w:rPr>
          <w:rFonts w:eastAsia="MS Mincho"/>
        </w:rPr>
        <w:t>) if you need a referral recalled</w:t>
      </w:r>
      <w:r>
        <w:t xml:space="preserve">. </w:t>
      </w:r>
      <w:r w:rsidRPr="6B6048DE">
        <w:rPr>
          <w:lang w:eastAsia="ko-KR"/>
        </w:rPr>
        <w:t xml:space="preserve">Note, </w:t>
      </w:r>
      <w:r w:rsidRPr="00DE75E0">
        <w:rPr>
          <w:lang w:eastAsia="ko-KR"/>
        </w:rPr>
        <w:t>the team leader of the outlet will receive a system notification if a referral has been recalled.</w:t>
      </w:r>
      <w:r w:rsidRPr="18CC11EE">
        <w:rPr>
          <w:sz w:val="20"/>
          <w:szCs w:val="20"/>
        </w:rPr>
        <w:t xml:space="preserve"> </w:t>
      </w:r>
      <w:bookmarkStart w:id="292" w:name="_Hlk78276360"/>
    </w:p>
    <w:p w14:paraId="716B430A" w14:textId="73F0116E" w:rsidR="0016744D" w:rsidRPr="002E6215" w:rsidRDefault="0016744D" w:rsidP="00507F9D">
      <w:pPr>
        <w:pStyle w:val="h2"/>
        <w:rPr>
          <w:sz w:val="32"/>
          <w:szCs w:val="32"/>
        </w:rPr>
      </w:pPr>
      <w:bookmarkStart w:id="293" w:name="_Toc209188973"/>
      <w:bookmarkStart w:id="294" w:name="_Ref212733440"/>
      <w:bookmarkStart w:id="295" w:name="_Toc224916636"/>
      <w:bookmarkStart w:id="296" w:name="_Toc204329535"/>
      <w:bookmarkStart w:id="297" w:name="_Ref128153691"/>
      <w:bookmarkStart w:id="298" w:name="_Ref128153781"/>
      <w:bookmarkStart w:id="299" w:name="_Ref128155715"/>
      <w:bookmarkStart w:id="300" w:name="_Toc159226872"/>
      <w:bookmarkStart w:id="301" w:name="_Toc184402282"/>
      <w:bookmarkStart w:id="302" w:name="_Toc496022782"/>
      <w:bookmarkStart w:id="303" w:name="_Ref506979628"/>
      <w:bookmarkStart w:id="304" w:name="_Ref506979630"/>
      <w:bookmarkStart w:id="305" w:name="_Ref48657117"/>
      <w:bookmarkStart w:id="306" w:name="_Ref51429998"/>
      <w:bookmarkStart w:id="307" w:name="_Ref51430000"/>
      <w:bookmarkStart w:id="308" w:name="_Ref58420531"/>
      <w:bookmarkEnd w:id="292"/>
      <w:r w:rsidRPr="002E6215">
        <w:t>Self-referrals</w:t>
      </w:r>
      <w:bookmarkEnd w:id="293"/>
      <w:bookmarkEnd w:id="294"/>
      <w:bookmarkEnd w:id="295"/>
      <w:r w:rsidRPr="002E6215">
        <w:t xml:space="preserve"> </w:t>
      </w:r>
    </w:p>
    <w:p w14:paraId="3AF7C9E0" w14:textId="77777777" w:rsidR="0016744D" w:rsidRDefault="0016744D" w:rsidP="00856600">
      <w:pPr>
        <w:spacing w:before="240" w:after="240" w:line="240" w:lineRule="auto"/>
        <w:rPr>
          <w:lang w:val="en-US"/>
        </w:rPr>
      </w:pPr>
      <w:r>
        <w:rPr>
          <w:lang w:val="en-US"/>
        </w:rPr>
        <w:t>The circumstances in which an assessor can self-refer an assessment referral to themselves or their assessment organisation (</w:t>
      </w:r>
      <w:r w:rsidRPr="78E43FD9">
        <w:rPr>
          <w:lang w:val="en-US"/>
        </w:rPr>
        <w:t xml:space="preserve">and team leaders with a system assessor role) </w:t>
      </w:r>
      <w:r>
        <w:rPr>
          <w:lang w:val="en-US"/>
        </w:rPr>
        <w:t>are limited to assessment referrals:</w:t>
      </w:r>
    </w:p>
    <w:p w14:paraId="4F0857F0"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in a hospital setting</w:t>
      </w:r>
    </w:p>
    <w:p w14:paraId="0E22698F"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in remote regions – (Monash Modified Model 6-7)</w:t>
      </w:r>
    </w:p>
    <w:p w14:paraId="59383E7B"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 xml:space="preserve">for Aboriginal and Torres Strait Islander people </w:t>
      </w:r>
    </w:p>
    <w:p w14:paraId="5DC1E2FA"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for older people at risk of or are experiencing homelessness</w:t>
      </w:r>
    </w:p>
    <w:p w14:paraId="722D790B"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vulnerable groups (e.g. experiencing or at risk of domestic or family violence or elder abuse, at risk of hospitalisation, primary carer is absent or non-existent)</w:t>
      </w:r>
    </w:p>
    <w:p w14:paraId="55898E3C" w14:textId="77777777" w:rsidR="0016744D" w:rsidRDefault="0016744D" w:rsidP="00DF3F6B">
      <w:pPr>
        <w:pStyle w:val="ListParagraph"/>
        <w:numPr>
          <w:ilvl w:val="0"/>
          <w:numId w:val="69"/>
        </w:numPr>
        <w:spacing w:before="240" w:after="240" w:line="240" w:lineRule="auto"/>
        <w:rPr>
          <w:szCs w:val="20"/>
          <w:lang w:val="en-US"/>
        </w:rPr>
      </w:pPr>
      <w:r>
        <w:rPr>
          <w:szCs w:val="20"/>
          <w:lang w:val="en-US"/>
        </w:rPr>
        <w:t xml:space="preserve">End of Life </w:t>
      </w:r>
    </w:p>
    <w:p w14:paraId="7420BC4C" w14:textId="201541DD" w:rsidR="0016744D" w:rsidRDefault="0016744D" w:rsidP="00856600">
      <w:pPr>
        <w:spacing w:before="240" w:after="240" w:line="240" w:lineRule="auto"/>
        <w:rPr>
          <w:lang w:val="en-US"/>
        </w:rPr>
      </w:pPr>
      <w:r>
        <w:rPr>
          <w:lang w:val="en-US"/>
        </w:rPr>
        <w:t xml:space="preserve">In these circumstances, an assessor </w:t>
      </w:r>
      <w:r w:rsidRPr="0040705B">
        <w:rPr>
          <w:lang w:val="en-US"/>
        </w:rPr>
        <w:t xml:space="preserve">can </w:t>
      </w:r>
      <w:r w:rsidRPr="78E43FD9">
        <w:rPr>
          <w:lang w:val="en-US"/>
        </w:rPr>
        <w:t xml:space="preserve">self-refer </w:t>
      </w:r>
      <w:r w:rsidR="00516348">
        <w:rPr>
          <w:lang w:val="en-US"/>
        </w:rPr>
        <w:t>older people</w:t>
      </w:r>
      <w:r w:rsidRPr="78E43FD9">
        <w:rPr>
          <w:lang w:val="en-US"/>
        </w:rPr>
        <w:t xml:space="preserve"> to themselves through </w:t>
      </w:r>
      <w:r>
        <w:rPr>
          <w:lang w:val="en-US"/>
        </w:rPr>
        <w:t>the My Aged Care</w:t>
      </w:r>
      <w:r w:rsidRPr="78E43FD9">
        <w:rPr>
          <w:lang w:val="en-US"/>
        </w:rPr>
        <w:t xml:space="preserve"> </w:t>
      </w:r>
      <w:r w:rsidR="0060352D">
        <w:rPr>
          <w:lang w:val="en-US"/>
        </w:rPr>
        <w:t>assessor portal</w:t>
      </w:r>
      <w:r>
        <w:rPr>
          <w:lang w:val="en-US"/>
        </w:rPr>
        <w:t xml:space="preserve"> and app</w:t>
      </w:r>
      <w:r w:rsidRPr="78E43FD9">
        <w:rPr>
          <w:lang w:val="en-US"/>
        </w:rPr>
        <w:t>.</w:t>
      </w:r>
    </w:p>
    <w:p w14:paraId="2B8A8F25" w14:textId="53019D3A" w:rsidR="0016744D" w:rsidRDefault="0016744D" w:rsidP="000E0B6C">
      <w:pPr>
        <w:spacing w:before="240" w:after="240" w:line="240" w:lineRule="auto"/>
        <w:rPr>
          <w:lang w:val="en-US" w:eastAsia="ko-KR"/>
        </w:rPr>
      </w:pPr>
      <w:r w:rsidRPr="005948CE">
        <w:rPr>
          <w:lang w:val="en-US"/>
        </w:rPr>
        <w:t xml:space="preserve">Where the assessor </w:t>
      </w:r>
      <w:r>
        <w:rPr>
          <w:lang w:val="en-US"/>
        </w:rPr>
        <w:t xml:space="preserve">identifies a potential older person with aged care needs that is cohabitating with the current older person at the time of the assessment, </w:t>
      </w:r>
      <w:r w:rsidRPr="005948CE">
        <w:rPr>
          <w:lang w:val="en-US"/>
        </w:rPr>
        <w:t xml:space="preserve">the assessor may wish to encourage that person to </w:t>
      </w:r>
      <w:r w:rsidRPr="2E1AF1D9">
        <w:rPr>
          <w:lang w:val="en-US"/>
        </w:rPr>
        <w:t xml:space="preserve">contact </w:t>
      </w:r>
      <w:r w:rsidR="20BBB7AF" w:rsidRPr="740B08A9">
        <w:rPr>
          <w:lang w:val="en-US"/>
        </w:rPr>
        <w:t xml:space="preserve">and </w:t>
      </w:r>
      <w:r w:rsidR="20BBB7AF" w:rsidRPr="73B8231D">
        <w:rPr>
          <w:lang w:val="en-US"/>
        </w:rPr>
        <w:t>register</w:t>
      </w:r>
      <w:r w:rsidR="20BBB7AF" w:rsidRPr="740B08A9">
        <w:rPr>
          <w:lang w:val="en-US"/>
        </w:rPr>
        <w:t xml:space="preserve"> with</w:t>
      </w:r>
      <w:r w:rsidRPr="6828E7EE">
        <w:rPr>
          <w:lang w:val="en-US"/>
        </w:rPr>
        <w:t xml:space="preserve"> </w:t>
      </w:r>
      <w:r w:rsidRPr="2E1AF1D9">
        <w:rPr>
          <w:lang w:val="en-US"/>
        </w:rPr>
        <w:t xml:space="preserve">My Aged Care </w:t>
      </w:r>
      <w:r w:rsidRPr="740B08A9">
        <w:rPr>
          <w:lang w:val="en-US"/>
        </w:rPr>
        <w:t xml:space="preserve">My Aged Care </w:t>
      </w:r>
      <w:r w:rsidRPr="2E1AF1D9">
        <w:rPr>
          <w:lang w:val="en-US"/>
        </w:rPr>
        <w:t xml:space="preserve">to </w:t>
      </w:r>
      <w:r>
        <w:rPr>
          <w:lang w:val="en-US"/>
        </w:rPr>
        <w:t xml:space="preserve">register for My Aged Care and request an assessment. </w:t>
      </w:r>
    </w:p>
    <w:p w14:paraId="7DA24B50" w14:textId="77777777" w:rsidR="0016744D" w:rsidRDefault="0016744D" w:rsidP="00856600">
      <w:pPr>
        <w:pStyle w:val="NumberedList"/>
        <w:spacing w:before="240" w:after="240" w:line="240" w:lineRule="auto"/>
        <w:rPr>
          <w:lang w:val="en-US" w:eastAsia="ko-KR"/>
        </w:rPr>
      </w:pPr>
      <w:r>
        <w:rPr>
          <w:lang w:val="en-US" w:eastAsia="ko-KR"/>
        </w:rPr>
        <w:t>When creating the self-referral, assessors are encouraged:</w:t>
      </w:r>
    </w:p>
    <w:p w14:paraId="56304A33" w14:textId="7D17E0F0" w:rsidR="0016744D" w:rsidRDefault="0016744D" w:rsidP="00DF3F6B">
      <w:pPr>
        <w:pStyle w:val="NumberedList"/>
        <w:numPr>
          <w:ilvl w:val="0"/>
          <w:numId w:val="70"/>
        </w:numPr>
        <w:spacing w:before="240" w:after="240" w:line="240" w:lineRule="auto"/>
        <w:rPr>
          <w:lang w:val="en-US" w:eastAsia="ko-KR"/>
        </w:rPr>
      </w:pPr>
      <w:r>
        <w:rPr>
          <w:lang w:val="en-US" w:eastAsia="ko-KR"/>
        </w:rPr>
        <w:t xml:space="preserve">to upload any additional documentation </w:t>
      </w:r>
      <w:r w:rsidR="00326558">
        <w:rPr>
          <w:lang w:val="en-US" w:eastAsia="ko-KR"/>
        </w:rPr>
        <w:t xml:space="preserve">relevant </w:t>
      </w:r>
      <w:r>
        <w:rPr>
          <w:lang w:val="en-US" w:eastAsia="ko-KR"/>
        </w:rPr>
        <w:t xml:space="preserve">to the older person’s situation (for example, a </w:t>
      </w:r>
      <w:r w:rsidRPr="00F342E2">
        <w:rPr>
          <w:lang w:val="en-US" w:eastAsia="ko-KR"/>
        </w:rPr>
        <w:t xml:space="preserve">hospital </w:t>
      </w:r>
      <w:r>
        <w:rPr>
          <w:lang w:val="en-US" w:eastAsia="ko-KR"/>
        </w:rPr>
        <w:t>discharge notice),</w:t>
      </w:r>
    </w:p>
    <w:p w14:paraId="0819E1CD" w14:textId="132C92AC" w:rsidR="0016744D" w:rsidRPr="00A27BDD" w:rsidRDefault="0016744D" w:rsidP="00DF3F6B">
      <w:pPr>
        <w:pStyle w:val="NumberedList"/>
        <w:numPr>
          <w:ilvl w:val="0"/>
          <w:numId w:val="70"/>
        </w:numPr>
        <w:spacing w:before="240" w:after="240" w:line="240" w:lineRule="auto"/>
      </w:pPr>
      <w:r>
        <w:rPr>
          <w:lang w:val="en-US" w:eastAsia="ko-KR"/>
        </w:rPr>
        <w:t xml:space="preserve">Provide any reasoning relating to the person’s vulnerability under the ‘Notes’ tab in the </w:t>
      </w:r>
      <w:r w:rsidR="0060352D">
        <w:rPr>
          <w:lang w:val="en-US" w:eastAsia="ko-KR"/>
        </w:rPr>
        <w:t>assessor portal</w:t>
      </w:r>
      <w:r>
        <w:rPr>
          <w:lang w:val="en-US" w:eastAsia="ko-KR"/>
        </w:rPr>
        <w:t xml:space="preserve">. With the older person’s consent, </w:t>
      </w:r>
      <w:r w:rsidRPr="00F2795D">
        <w:rPr>
          <w:szCs w:val="24"/>
        </w:rPr>
        <w:t>sensitive information should be recorded in sensitive notes and attachments</w:t>
      </w:r>
      <w:r w:rsidR="00F2795D">
        <w:rPr>
          <w:szCs w:val="24"/>
        </w:rPr>
        <w:t>.</w:t>
      </w:r>
      <w:r w:rsidRPr="00F2795D">
        <w:rPr>
          <w:szCs w:val="24"/>
        </w:rPr>
        <w:t xml:space="preserve"> </w:t>
      </w:r>
      <w:r w:rsidRPr="00A27BDD">
        <w:t xml:space="preserve">Triage and self-referral </w:t>
      </w:r>
    </w:p>
    <w:p w14:paraId="63F83888" w14:textId="77777777" w:rsidR="0016744D" w:rsidRPr="00530FFC" w:rsidRDefault="0016744D" w:rsidP="00856600">
      <w:pPr>
        <w:spacing w:before="240" w:after="240" w:line="240" w:lineRule="auto"/>
      </w:pPr>
      <w:r w:rsidRPr="00530FFC">
        <w:t xml:space="preserve">All individuals seeking access to funded aged care services are required to undergo triage to determine their eligibility, even if they are self-referred by an assessor. Triage </w:t>
      </w:r>
      <w:r>
        <w:t>D</w:t>
      </w:r>
      <w:r w:rsidRPr="00530FFC">
        <w:t xml:space="preserve">elegates should be aware assessors are able to complete triage during a self-referred assessment. Unless an assessor also holds </w:t>
      </w:r>
      <w:r>
        <w:t>the</w:t>
      </w:r>
      <w:r w:rsidRPr="00530FFC">
        <w:t xml:space="preserve"> </w:t>
      </w:r>
      <w:r>
        <w:t>T</w:t>
      </w:r>
      <w:r w:rsidRPr="00530FFC">
        <w:t xml:space="preserve">riage </w:t>
      </w:r>
      <w:r>
        <w:t>D</w:t>
      </w:r>
      <w:r w:rsidRPr="00530FFC">
        <w:t>elegate</w:t>
      </w:r>
      <w:r>
        <w:t xml:space="preserve"> role</w:t>
      </w:r>
      <w:r w:rsidRPr="00530FFC">
        <w:t xml:space="preserve">, </w:t>
      </w:r>
      <w:r w:rsidRPr="00A9172A">
        <w:t>they must complete triage for a self-referred assessment under the supervision of a Triage Delegate.</w:t>
      </w:r>
      <w:r w:rsidRPr="00530FFC">
        <w:t xml:space="preserve"> </w:t>
      </w:r>
    </w:p>
    <w:p w14:paraId="449DA90D" w14:textId="27F456B1" w:rsidR="0016744D" w:rsidRPr="00530FFC" w:rsidRDefault="0016744D" w:rsidP="00856600">
      <w:pPr>
        <w:spacing w:before="240" w:after="240" w:line="240" w:lineRule="auto"/>
      </w:pPr>
      <w:r w:rsidRPr="00530FFC">
        <w:t xml:space="preserve">A </w:t>
      </w:r>
      <w:r w:rsidR="00811792">
        <w:t>t</w:t>
      </w:r>
      <w:r w:rsidRPr="00530FFC">
        <w:t xml:space="preserve">riage </w:t>
      </w:r>
      <w:r w:rsidR="00811792">
        <w:t>d</w:t>
      </w:r>
      <w:r w:rsidRPr="00530FFC">
        <w:t xml:space="preserve">elegate must actively supervise triage conducted by an assessor, via phone or video conferencing. The decision whether someone is eligible to undergo an assessment, remains with the </w:t>
      </w:r>
      <w:r w:rsidR="00811792">
        <w:t>t</w:t>
      </w:r>
      <w:r w:rsidRPr="00530FFC">
        <w:t xml:space="preserve">riage </w:t>
      </w:r>
      <w:r w:rsidR="00811792">
        <w:t>d</w:t>
      </w:r>
      <w:r w:rsidRPr="00530FFC">
        <w:t xml:space="preserve">elegate and should not be made in their absence. If a delegate is not available to supervise triage the assessment should be paused until such time a delegate becomes available. Assessors conducting triage during a self-referred assessment must nominate the supervising </w:t>
      </w:r>
      <w:r>
        <w:t>T</w:t>
      </w:r>
      <w:r w:rsidRPr="00530FFC">
        <w:t xml:space="preserve">riage </w:t>
      </w:r>
      <w:r>
        <w:t>D</w:t>
      </w:r>
      <w:r w:rsidRPr="00530FFC">
        <w:t xml:space="preserve">elegate. Triage will be unable to be completed unless a supervising delegate has been nominated. </w:t>
      </w:r>
    </w:p>
    <w:p w14:paraId="3E570339" w14:textId="77777777" w:rsidR="000E0B6C" w:rsidRPr="000027E3" w:rsidRDefault="0016744D" w:rsidP="00C325C6">
      <w:pPr>
        <w:pStyle w:val="Sub-headings"/>
      </w:pPr>
      <w:r w:rsidRPr="00904192">
        <w:t>Note</w:t>
      </w:r>
      <w:r w:rsidR="007F22CF" w:rsidRPr="000027E3">
        <w:t>:</w:t>
      </w:r>
      <w:r w:rsidRPr="000027E3">
        <w:t xml:space="preserve"> </w:t>
      </w:r>
    </w:p>
    <w:p w14:paraId="6F6B23EC" w14:textId="4583AD94" w:rsidR="0016744D" w:rsidRPr="00A27BDD" w:rsidRDefault="000E0B6C" w:rsidP="00C325C6">
      <w:pPr>
        <w:pStyle w:val="Sub-headings"/>
      </w:pPr>
      <w:r>
        <w:t>F</w:t>
      </w:r>
      <w:r w:rsidR="0016744D" w:rsidRPr="00A27BDD">
        <w:t xml:space="preserve">or triage to be enabled in the Aged Care Assessor App (the App) for self-referred assessments, the referral must be generated in the App. If a referral is generated in the My Aged Care Assessor Portal, it will first need to be triaged before </w:t>
      </w:r>
      <w:r w:rsidR="0066059C" w:rsidRPr="00A27BDD">
        <w:t>being assigned</w:t>
      </w:r>
      <w:r w:rsidR="0016744D" w:rsidRPr="00A27BDD">
        <w:t xml:space="preserve"> to an assessor to complete the assessment. </w:t>
      </w:r>
    </w:p>
    <w:p w14:paraId="7C73B490" w14:textId="77777777" w:rsidR="001E0126" w:rsidRDefault="001E0126" w:rsidP="00046342"/>
    <w:p w14:paraId="7C4E0A85" w14:textId="1A329DFD" w:rsidR="0016744D" w:rsidRPr="00A27BDD" w:rsidRDefault="0016744D" w:rsidP="00C56CEC">
      <w:pPr>
        <w:pStyle w:val="H3"/>
      </w:pPr>
      <w:r w:rsidRPr="00F73D36">
        <w:t>Conducting triage and self-referral for likely ineligible individuals</w:t>
      </w:r>
      <w:r w:rsidRPr="00A27BDD">
        <w:t xml:space="preserve"> </w:t>
      </w:r>
    </w:p>
    <w:p w14:paraId="58F67ED6" w14:textId="322AE5BF" w:rsidR="0016744D" w:rsidRDefault="0016744D" w:rsidP="00856600">
      <w:pPr>
        <w:spacing w:before="240" w:after="240" w:line="240" w:lineRule="auto"/>
      </w:pPr>
      <w:r w:rsidRPr="00530FFC">
        <w:t xml:space="preserve">There </w:t>
      </w:r>
      <w:r>
        <w:t>may be</w:t>
      </w:r>
      <w:r w:rsidRPr="00530FFC">
        <w:t xml:space="preserve"> circumstances whe</w:t>
      </w:r>
      <w:r>
        <w:t>re</w:t>
      </w:r>
      <w:r w:rsidRPr="00530FFC">
        <w:t xml:space="preserve"> an assessor self-refer</w:t>
      </w:r>
      <w:r>
        <w:t>s</w:t>
      </w:r>
      <w:r w:rsidRPr="00530FFC">
        <w:t xml:space="preserve"> an individual who is </w:t>
      </w:r>
      <w:r>
        <w:t>‘</w:t>
      </w:r>
      <w:r w:rsidRPr="00530FFC">
        <w:t>likely ineligible</w:t>
      </w:r>
      <w:r>
        <w:t>’</w:t>
      </w:r>
      <w:r w:rsidRPr="00530FFC">
        <w:t xml:space="preserve"> for an assessment. </w:t>
      </w:r>
      <w:r w:rsidRPr="00A9172A">
        <w:t>Assessors should not advise</w:t>
      </w:r>
      <w:r w:rsidRPr="00530FFC">
        <w:t xml:space="preserve"> any person seeking access to funded services they are not eligible for an assessment, that decision remains with the </w:t>
      </w:r>
      <w:r w:rsidR="00C46766">
        <w:t>t</w:t>
      </w:r>
      <w:r w:rsidRPr="00530FFC">
        <w:t xml:space="preserve">riage </w:t>
      </w:r>
      <w:r w:rsidR="00C46766">
        <w:t>d</w:t>
      </w:r>
      <w:r w:rsidRPr="00530FFC">
        <w:t xml:space="preserve">elegate. </w:t>
      </w:r>
    </w:p>
    <w:p w14:paraId="036CAE97" w14:textId="77777777" w:rsidR="0016744D" w:rsidRPr="00530FFC" w:rsidRDefault="0016744D" w:rsidP="00856600">
      <w:pPr>
        <w:spacing w:before="240" w:after="240" w:line="240" w:lineRule="auto"/>
      </w:pPr>
      <w:r w:rsidRPr="00A9172A">
        <w:t xml:space="preserve">In community settings </w:t>
      </w:r>
      <w:r>
        <w:t>wh</w:t>
      </w:r>
      <w:r w:rsidRPr="00530FFC">
        <w:t xml:space="preserve">en an assessor identifies someone who is likely ineligible for an assessment, they should encourage the person to contact the </w:t>
      </w:r>
      <w:r w:rsidRPr="7D543E7F">
        <w:t>My Aged Care</w:t>
      </w:r>
      <w:r w:rsidRPr="00A27BDD">
        <w:rPr>
          <w:b/>
        </w:rPr>
        <w:t xml:space="preserve"> </w:t>
      </w:r>
      <w:r w:rsidRPr="008B7EE7">
        <w:t>Contact Centre</w:t>
      </w:r>
      <w:r w:rsidRPr="00A27BDD">
        <w:rPr>
          <w:b/>
        </w:rPr>
        <w:t xml:space="preserve"> </w:t>
      </w:r>
      <w:r w:rsidRPr="00530FFC">
        <w:t xml:space="preserve">to apply for </w:t>
      </w:r>
      <w:r>
        <w:t xml:space="preserve">funded aged care </w:t>
      </w:r>
      <w:r w:rsidRPr="4552272E">
        <w:t>services.</w:t>
      </w:r>
      <w:r w:rsidRPr="00530FFC">
        <w:t xml:space="preserve"> Assessors should </w:t>
      </w:r>
      <w:r>
        <w:t>avoid</w:t>
      </w:r>
      <w:r w:rsidRPr="00530FFC">
        <w:t xml:space="preserve"> self-refer</w:t>
      </w:r>
      <w:r>
        <w:t>ring</w:t>
      </w:r>
      <w:r w:rsidRPr="00530FFC">
        <w:t xml:space="preserve"> individuals they think are likely ineligible.  </w:t>
      </w:r>
    </w:p>
    <w:p w14:paraId="7B7277F8" w14:textId="77777777" w:rsidR="0016744D" w:rsidRDefault="0016744D" w:rsidP="00856600">
      <w:pPr>
        <w:spacing w:before="240" w:after="240" w:line="240" w:lineRule="auto"/>
      </w:pPr>
      <w:r>
        <w:t xml:space="preserve">When self-referring an </w:t>
      </w:r>
      <w:r w:rsidRPr="00A9172A">
        <w:t>individual who is likely ineligible in an in-hospital setting</w:t>
      </w:r>
      <w:r>
        <w:t>,</w:t>
      </w:r>
      <w:r w:rsidRPr="00A9172A">
        <w:t xml:space="preserve"> </w:t>
      </w:r>
      <w:r>
        <w:t>a</w:t>
      </w:r>
      <w:r w:rsidRPr="00A9172A">
        <w:t>ssessors should refer the individual to an assessment organisation, not to themselves. This approach ensures the referral is appropriately actioned</w:t>
      </w:r>
      <w:r>
        <w:t xml:space="preserve"> first by a Team Leader and then allocated to a Triage Delegate, for a determination to be made. If an individual is determined to be eligible, the referral will then be allocated to an assessor to complete an assessment. </w:t>
      </w:r>
    </w:p>
    <w:p w14:paraId="7171703C" w14:textId="4AC9A44C" w:rsidR="0016744D" w:rsidRDefault="0016744D" w:rsidP="00856600">
      <w:pPr>
        <w:spacing w:before="240" w:after="240" w:line="240" w:lineRule="auto"/>
      </w:pPr>
      <w:r>
        <w:t xml:space="preserve">These processes are only applicable to individuals who have been identified as likely ineligible. If there are no concerns about an individual’s eligibility, assessors may refer the individual to themselves and conduct triage under the supervision of a </w:t>
      </w:r>
      <w:r w:rsidR="0091752C">
        <w:t>t</w:t>
      </w:r>
      <w:r>
        <w:t xml:space="preserve">riage </w:t>
      </w:r>
      <w:r w:rsidR="0091752C">
        <w:t>d</w:t>
      </w:r>
      <w:r>
        <w:t xml:space="preserve">elegate. </w:t>
      </w:r>
    </w:p>
    <w:p w14:paraId="27EB937A" w14:textId="77777777" w:rsidR="0016744D" w:rsidRPr="000F681F" w:rsidRDefault="0016744D" w:rsidP="00C56CEC">
      <w:pPr>
        <w:pStyle w:val="H3"/>
      </w:pPr>
      <w:r w:rsidRPr="000F681F">
        <w:t>Prevention of duplicate records</w:t>
      </w:r>
    </w:p>
    <w:p w14:paraId="13857588" w14:textId="77777777" w:rsidR="0016744D" w:rsidRDefault="0016744D" w:rsidP="00856600">
      <w:pPr>
        <w:spacing w:before="240" w:after="240" w:line="240" w:lineRule="auto"/>
        <w:rPr>
          <w:lang w:val="en-US" w:eastAsia="ko-KR"/>
        </w:rPr>
      </w:pPr>
      <w:r w:rsidRPr="78E43FD9">
        <w:rPr>
          <w:lang w:val="en-US" w:eastAsia="ko-KR"/>
        </w:rPr>
        <w:t>When registering a</w:t>
      </w:r>
      <w:r>
        <w:rPr>
          <w:lang w:val="en-US" w:eastAsia="ko-KR"/>
        </w:rPr>
        <w:t>n</w:t>
      </w:r>
      <w:r w:rsidRPr="78E43FD9">
        <w:rPr>
          <w:lang w:val="en-US" w:eastAsia="ko-KR"/>
        </w:rPr>
        <w:t xml:space="preserve"> </w:t>
      </w:r>
      <w:r>
        <w:rPr>
          <w:lang w:val="en-US" w:eastAsia="ko-KR"/>
        </w:rPr>
        <w:t>older person</w:t>
      </w:r>
      <w:r w:rsidRPr="78E43FD9">
        <w:rPr>
          <w:lang w:val="en-US" w:eastAsia="ko-KR"/>
        </w:rPr>
        <w:t xml:space="preserve"> on My Aged Care, the assessor must always first search for a</w:t>
      </w:r>
      <w:r>
        <w:rPr>
          <w:lang w:val="en-US" w:eastAsia="ko-KR"/>
        </w:rPr>
        <w:t>n</w:t>
      </w:r>
      <w:r w:rsidRPr="78E43FD9">
        <w:rPr>
          <w:lang w:val="en-US" w:eastAsia="ko-KR"/>
        </w:rPr>
        <w:t xml:space="preserve"> </w:t>
      </w:r>
      <w:r>
        <w:rPr>
          <w:lang w:val="en-US" w:eastAsia="ko-KR"/>
        </w:rPr>
        <w:t>older person’s</w:t>
      </w:r>
      <w:r w:rsidRPr="78E43FD9">
        <w:rPr>
          <w:lang w:val="en-US" w:eastAsia="ko-KR"/>
        </w:rPr>
        <w:t xml:space="preserve"> record to see if they exist. If no existing record is found using the search function, assessors should view any potential matches that are returned by the system when creating the new </w:t>
      </w:r>
      <w:r>
        <w:rPr>
          <w:lang w:val="en-US" w:eastAsia="ko-KR"/>
        </w:rPr>
        <w:t xml:space="preserve">client </w:t>
      </w:r>
      <w:r w:rsidRPr="78E43FD9">
        <w:rPr>
          <w:lang w:val="en-US" w:eastAsia="ko-KR"/>
        </w:rPr>
        <w:t xml:space="preserve">record. </w:t>
      </w:r>
    </w:p>
    <w:p w14:paraId="01FA9D74" w14:textId="77777777" w:rsidR="0016744D" w:rsidRPr="00DE51DB" w:rsidRDefault="0016744D" w:rsidP="00856600">
      <w:pPr>
        <w:spacing w:before="240" w:after="240" w:line="240" w:lineRule="auto"/>
        <w:rPr>
          <w:lang w:val="en-US" w:eastAsia="ko-KR"/>
        </w:rPr>
      </w:pPr>
      <w:r w:rsidRPr="78E43FD9">
        <w:rPr>
          <w:lang w:val="en-US" w:eastAsia="ko-KR"/>
        </w:rPr>
        <w:t xml:space="preserve">Prevention of duplicate records is of </w:t>
      </w:r>
      <w:r>
        <w:rPr>
          <w:lang w:val="en-US" w:eastAsia="ko-KR"/>
        </w:rPr>
        <w:t>part</w:t>
      </w:r>
      <w:r w:rsidRPr="78E43FD9">
        <w:rPr>
          <w:lang w:val="en-US" w:eastAsia="ko-KR"/>
        </w:rPr>
        <w:t>icular importance to assessors who can undertake self-referrals to themselves and in doing so are required to register a</w:t>
      </w:r>
      <w:r>
        <w:rPr>
          <w:lang w:val="en-US" w:eastAsia="ko-KR"/>
        </w:rPr>
        <w:t>n</w:t>
      </w:r>
      <w:r w:rsidRPr="78E43FD9">
        <w:rPr>
          <w:lang w:val="en-US" w:eastAsia="ko-KR"/>
        </w:rPr>
        <w:t xml:space="preserve"> </w:t>
      </w:r>
      <w:r>
        <w:rPr>
          <w:lang w:val="en-US" w:eastAsia="ko-KR"/>
        </w:rPr>
        <w:t>older person</w:t>
      </w:r>
      <w:r w:rsidRPr="78E43FD9">
        <w:rPr>
          <w:lang w:val="en-US" w:eastAsia="ko-KR"/>
        </w:rPr>
        <w:t xml:space="preserve">. </w:t>
      </w:r>
    </w:p>
    <w:p w14:paraId="067723B7" w14:textId="77777777" w:rsidR="0016744D" w:rsidRPr="00DE51DB" w:rsidRDefault="0016744D" w:rsidP="00856600">
      <w:pPr>
        <w:spacing w:before="240" w:after="240" w:line="240" w:lineRule="auto"/>
        <w:rPr>
          <w:lang w:val="en-US" w:eastAsia="ko-KR"/>
        </w:rPr>
      </w:pPr>
      <w:r w:rsidRPr="0D0B64D5">
        <w:rPr>
          <w:lang w:val="en-US" w:eastAsia="ko-KR"/>
        </w:rPr>
        <w:t xml:space="preserve">Duplicate older person records occur when </w:t>
      </w:r>
      <w:r w:rsidRPr="3C2C6864">
        <w:rPr>
          <w:lang w:val="en-US" w:eastAsia="ko-KR"/>
        </w:rPr>
        <w:t>an</w:t>
      </w:r>
      <w:r w:rsidRPr="0D0B64D5">
        <w:rPr>
          <w:lang w:val="en-US" w:eastAsia="ko-KR"/>
        </w:rPr>
        <w:t xml:space="preserve"> older person is already registered in My Aged Care and a new older person record is created for the same older person. </w:t>
      </w:r>
    </w:p>
    <w:p w14:paraId="23A1DC48" w14:textId="77777777" w:rsidR="0016744D" w:rsidRPr="00DE51DB" w:rsidRDefault="0016744D" w:rsidP="00856600">
      <w:pPr>
        <w:spacing w:before="240" w:after="240" w:line="240" w:lineRule="auto"/>
        <w:rPr>
          <w:lang w:val="en-US" w:eastAsia="ko-KR"/>
        </w:rPr>
      </w:pPr>
      <w:r w:rsidRPr="0D0B64D5">
        <w:rPr>
          <w:lang w:val="en-US" w:eastAsia="ko-KR"/>
        </w:rPr>
        <w:t xml:space="preserve">Duplicate older person records can have a significant impact on </w:t>
      </w:r>
      <w:r w:rsidRPr="3C2C6864">
        <w:rPr>
          <w:lang w:val="en-US" w:eastAsia="ko-KR"/>
        </w:rPr>
        <w:t>an</w:t>
      </w:r>
      <w:r w:rsidRPr="0D0B64D5">
        <w:rPr>
          <w:lang w:val="en-US" w:eastAsia="ko-KR"/>
        </w:rPr>
        <w:t xml:space="preserve"> older person’s experience with the My Aged Care process including:</w:t>
      </w:r>
    </w:p>
    <w:p w14:paraId="138C747E"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care approvals across multiple records</w:t>
      </w:r>
    </w:p>
    <w:p w14:paraId="0E5DAECD"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referral for assessment where an assessment has already taken place</w:t>
      </w:r>
    </w:p>
    <w:p w14:paraId="3B079FF7"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delaying access to services</w:t>
      </w:r>
    </w:p>
    <w:p w14:paraId="2E908C61" w14:textId="77777777" w:rsidR="0016744D" w:rsidRPr="000F681F" w:rsidRDefault="0016744D" w:rsidP="00DF3F6B">
      <w:pPr>
        <w:pStyle w:val="ListParagraph"/>
        <w:numPr>
          <w:ilvl w:val="0"/>
          <w:numId w:val="75"/>
        </w:numPr>
        <w:spacing w:before="240" w:after="240" w:line="240" w:lineRule="auto"/>
        <w:rPr>
          <w:szCs w:val="20"/>
          <w:lang w:val="en"/>
        </w:rPr>
      </w:pPr>
      <w:r w:rsidRPr="000F681F">
        <w:rPr>
          <w:szCs w:val="20"/>
          <w:lang w:val="en"/>
        </w:rPr>
        <w:t>providers unable to claim subsidies.</w:t>
      </w:r>
    </w:p>
    <w:p w14:paraId="7A662586" w14:textId="77777777" w:rsidR="0016744D" w:rsidRDefault="0016744D" w:rsidP="00856600">
      <w:pPr>
        <w:spacing w:before="240" w:after="240" w:line="240" w:lineRule="auto"/>
        <w:rPr>
          <w:lang w:val="en-US" w:eastAsia="ko-KR"/>
        </w:rPr>
      </w:pPr>
      <w:r w:rsidRPr="78E43FD9">
        <w:rPr>
          <w:lang w:val="en-US" w:eastAsia="ko-KR"/>
        </w:rPr>
        <w:t>If the assessor observes a duplicate record already exists, report the duplicate to the My Aged Care Service Provider and Assessor Helpline (1800 836 799).</w:t>
      </w:r>
    </w:p>
    <w:p w14:paraId="3BBA800A" w14:textId="69862AC7" w:rsidR="0016744D" w:rsidRDefault="0016744D" w:rsidP="00C56CEC">
      <w:pPr>
        <w:pStyle w:val="H3"/>
      </w:pPr>
      <w:r>
        <w:t>Verifying the individual’s legal name</w:t>
      </w:r>
    </w:p>
    <w:p w14:paraId="7CCECAEF" w14:textId="1BC13473" w:rsidR="0016744D" w:rsidRPr="00DD3618" w:rsidRDefault="0016744D" w:rsidP="00856600">
      <w:pPr>
        <w:pStyle w:val="NormalText"/>
        <w:spacing w:before="240" w:after="240" w:line="240" w:lineRule="auto"/>
        <w:rPr>
          <w:rFonts w:eastAsiaTheme="majorEastAsia"/>
          <w:lang w:val="en-US"/>
        </w:rPr>
      </w:pPr>
      <w:r>
        <w:rPr>
          <w:rFonts w:eastAsiaTheme="majorEastAsia"/>
          <w:lang w:val="en-US"/>
        </w:rPr>
        <w:t>Assessors should u</w:t>
      </w:r>
      <w:r w:rsidRPr="00A27BDD">
        <w:rPr>
          <w:rFonts w:eastAsiaTheme="majorEastAsia"/>
          <w:lang w:val="en-US"/>
        </w:rPr>
        <w:t>se the</w:t>
      </w:r>
      <w:r w:rsidRPr="464B4017">
        <w:rPr>
          <w:rFonts w:eastAsiaTheme="majorEastAsia"/>
          <w:lang w:val="en-US"/>
        </w:rPr>
        <w:t xml:space="preserve"> wallet check process to verify </w:t>
      </w:r>
      <w:r>
        <w:rPr>
          <w:rFonts w:eastAsiaTheme="majorEastAsia"/>
          <w:lang w:val="en-US"/>
        </w:rPr>
        <w:t xml:space="preserve">the </w:t>
      </w:r>
      <w:r w:rsidRPr="464B4017">
        <w:rPr>
          <w:rFonts w:eastAsiaTheme="majorEastAsia"/>
          <w:lang w:val="en-US"/>
        </w:rPr>
        <w:t xml:space="preserve">individual’s legal name </w:t>
      </w:r>
      <w:r>
        <w:rPr>
          <w:rFonts w:eastAsiaTheme="majorEastAsia"/>
          <w:lang w:val="en-US"/>
        </w:rPr>
        <w:t xml:space="preserve">and </w:t>
      </w:r>
      <w:r w:rsidR="00574408">
        <w:rPr>
          <w:rFonts w:eastAsiaTheme="majorEastAsia"/>
          <w:lang w:val="en-US"/>
        </w:rPr>
        <w:t>birthdate</w:t>
      </w:r>
      <w:r w:rsidR="00574408" w:rsidRPr="464B4017">
        <w:rPr>
          <w:rFonts w:eastAsiaTheme="majorEastAsia"/>
          <w:lang w:val="en-US"/>
        </w:rPr>
        <w:t xml:space="preserve"> </w:t>
      </w:r>
      <w:r w:rsidRPr="464B4017">
        <w:rPr>
          <w:rFonts w:eastAsiaTheme="majorEastAsia"/>
          <w:lang w:val="en-US"/>
        </w:rPr>
        <w:t>(</w:t>
      </w:r>
      <w:r w:rsidRPr="003E1933">
        <w:rPr>
          <w:rFonts w:eastAsiaTheme="majorEastAsia"/>
          <w:lang w:val="en-US"/>
        </w:rPr>
        <w:t>see</w:t>
      </w:r>
      <w:r w:rsidRPr="003E1933">
        <w:rPr>
          <w:rFonts w:eastAsiaTheme="majorEastAsia"/>
          <w:i/>
          <w:lang w:val="en-US"/>
        </w:rPr>
        <w:t xml:space="preserve"> </w:t>
      </w:r>
      <w:r w:rsidR="00F31BFB">
        <w:rPr>
          <w:rFonts w:eastAsiaTheme="majorEastAsia"/>
          <w:lang w:val="en-US"/>
        </w:rPr>
        <w:t xml:space="preserve">section </w:t>
      </w:r>
      <w:r w:rsidR="00E604B2">
        <w:rPr>
          <w:rFonts w:eastAsiaTheme="majorEastAsia"/>
          <w:lang w:val="en-US"/>
        </w:rPr>
        <w:fldChar w:fldCharType="begin"/>
      </w:r>
      <w:r w:rsidR="00E604B2">
        <w:rPr>
          <w:rFonts w:eastAsiaTheme="majorEastAsia"/>
          <w:lang w:val="en-US"/>
        </w:rPr>
        <w:instrText xml:space="preserve"> REF _Ref212733648 \r \h </w:instrText>
      </w:r>
      <w:r w:rsidR="00E604B2">
        <w:rPr>
          <w:rFonts w:eastAsiaTheme="majorEastAsia"/>
          <w:lang w:val="en-US"/>
        </w:rPr>
      </w:r>
      <w:r w:rsidR="00E604B2">
        <w:rPr>
          <w:rFonts w:eastAsiaTheme="majorEastAsia"/>
          <w:lang w:val="en-US"/>
        </w:rPr>
        <w:fldChar w:fldCharType="separate"/>
      </w:r>
      <w:r w:rsidR="00F97942">
        <w:rPr>
          <w:rFonts w:eastAsiaTheme="majorEastAsia"/>
          <w:lang w:val="en-US"/>
        </w:rPr>
        <w:t>5.6</w:t>
      </w:r>
      <w:r w:rsidR="00E604B2">
        <w:rPr>
          <w:rFonts w:eastAsiaTheme="majorEastAsia"/>
          <w:lang w:val="en-US"/>
        </w:rPr>
        <w:fldChar w:fldCharType="end"/>
      </w:r>
      <w:r w:rsidR="00E604B2">
        <w:rPr>
          <w:rFonts w:eastAsiaTheme="majorEastAsia"/>
          <w:lang w:val="en-US"/>
        </w:rPr>
        <w:t>,</w:t>
      </w:r>
      <w:r w:rsidRPr="002F2146">
        <w:rPr>
          <w:rFonts w:eastAsiaTheme="majorEastAsia"/>
          <w:i/>
          <w:color w:val="434967"/>
          <w:lang w:val="en-US"/>
        </w:rPr>
        <w:t xml:space="preserve"> </w:t>
      </w:r>
      <w:r w:rsidRPr="002F2146">
        <w:rPr>
          <w:rFonts w:eastAsiaTheme="majorEastAsia"/>
          <w:lang w:val="en-US"/>
        </w:rPr>
        <w:t xml:space="preserve">Commencing the Assessment, </w:t>
      </w:r>
      <w:r w:rsidR="004E0497">
        <w:rPr>
          <w:rFonts w:eastAsiaTheme="majorEastAsia"/>
          <w:lang w:val="en-US"/>
        </w:rPr>
        <w:t xml:space="preserve">and section </w:t>
      </w:r>
      <w:r w:rsidR="00E604B2">
        <w:rPr>
          <w:rFonts w:eastAsiaTheme="majorEastAsia"/>
          <w:lang w:val="en-US"/>
        </w:rPr>
        <w:fldChar w:fldCharType="begin"/>
      </w:r>
      <w:r w:rsidR="00E604B2">
        <w:rPr>
          <w:rFonts w:eastAsiaTheme="majorEastAsia"/>
          <w:lang w:val="en-US"/>
        </w:rPr>
        <w:instrText xml:space="preserve"> REF _Ref212733666 \r \h </w:instrText>
      </w:r>
      <w:r w:rsidR="00E604B2">
        <w:rPr>
          <w:rFonts w:eastAsiaTheme="majorEastAsia"/>
          <w:lang w:val="en-US"/>
        </w:rPr>
      </w:r>
      <w:r w:rsidR="00E604B2">
        <w:rPr>
          <w:rFonts w:eastAsiaTheme="majorEastAsia"/>
          <w:lang w:val="en-US"/>
        </w:rPr>
        <w:fldChar w:fldCharType="separate"/>
      </w:r>
      <w:r w:rsidR="00F97942">
        <w:rPr>
          <w:rFonts w:eastAsiaTheme="majorEastAsia"/>
          <w:lang w:val="en-US"/>
        </w:rPr>
        <w:t>5.6.2</w:t>
      </w:r>
      <w:r w:rsidR="00E604B2">
        <w:rPr>
          <w:rFonts w:eastAsiaTheme="majorEastAsia"/>
          <w:lang w:val="en-US"/>
        </w:rPr>
        <w:fldChar w:fldCharType="end"/>
      </w:r>
      <w:r w:rsidR="00E604B2">
        <w:rPr>
          <w:rFonts w:eastAsiaTheme="majorEastAsia"/>
          <w:lang w:val="en-US"/>
        </w:rPr>
        <w:t xml:space="preserve"> </w:t>
      </w:r>
      <w:r w:rsidRPr="002F2146">
        <w:rPr>
          <w:rFonts w:eastAsiaTheme="majorEastAsia"/>
          <w:lang w:val="en-US"/>
        </w:rPr>
        <w:t>Wallet check</w:t>
      </w:r>
      <w:r w:rsidRPr="00C6106A">
        <w:rPr>
          <w:rFonts w:eastAsiaTheme="majorEastAsia"/>
          <w:lang w:val="en-US"/>
        </w:rPr>
        <w:t>).</w:t>
      </w:r>
    </w:p>
    <w:p w14:paraId="244C21B8" w14:textId="020153BF" w:rsidR="0016744D" w:rsidRPr="00A67D7A" w:rsidRDefault="0016744D" w:rsidP="00856600">
      <w:pPr>
        <w:pStyle w:val="H5"/>
        <w:spacing w:before="240" w:after="240" w:line="240" w:lineRule="auto"/>
      </w:pPr>
      <w:r w:rsidRPr="00A32313">
        <w:t xml:space="preserve">Legal </w:t>
      </w:r>
      <w:r w:rsidR="00FB22E7">
        <w:t>n</w:t>
      </w:r>
      <w:r w:rsidRPr="00A32313">
        <w:t xml:space="preserve">ame vs </w:t>
      </w:r>
      <w:r w:rsidR="00FB22E7">
        <w:t>p</w:t>
      </w:r>
      <w:r w:rsidRPr="00A32313">
        <w:t xml:space="preserve">referred </w:t>
      </w:r>
      <w:r w:rsidR="00FB22E7">
        <w:t>n</w:t>
      </w:r>
      <w:r w:rsidRPr="00A32313">
        <w:t xml:space="preserve">ame </w:t>
      </w:r>
    </w:p>
    <w:p w14:paraId="17B66318" w14:textId="77777777" w:rsidR="0016744D" w:rsidRPr="00DE51DB" w:rsidRDefault="0016744D" w:rsidP="00DF3F6B">
      <w:pPr>
        <w:pStyle w:val="ListParagraph"/>
        <w:numPr>
          <w:ilvl w:val="0"/>
          <w:numId w:val="67"/>
        </w:numPr>
        <w:spacing w:before="240" w:after="240" w:line="240" w:lineRule="auto"/>
        <w:ind w:left="567" w:hanging="284"/>
        <w:rPr>
          <w:lang w:val="en-US"/>
        </w:rPr>
      </w:pPr>
      <w:r w:rsidRPr="78E43FD9">
        <w:rPr>
          <w:lang w:val="en-US"/>
        </w:rPr>
        <w:t>When searching for a</w:t>
      </w:r>
      <w:r>
        <w:rPr>
          <w:lang w:val="en-US"/>
        </w:rPr>
        <w:t>n</w:t>
      </w:r>
      <w:r w:rsidRPr="78E43FD9">
        <w:rPr>
          <w:lang w:val="en-US"/>
        </w:rPr>
        <w:t xml:space="preserve"> </w:t>
      </w:r>
      <w:r>
        <w:rPr>
          <w:lang w:val="en-US"/>
        </w:rPr>
        <w:t>older person</w:t>
      </w:r>
      <w:r w:rsidRPr="78E43FD9">
        <w:rPr>
          <w:lang w:val="en-US"/>
        </w:rPr>
        <w:t xml:space="preserve"> to determine if they already have a My Aged Care </w:t>
      </w:r>
      <w:r>
        <w:rPr>
          <w:lang w:val="en-US"/>
        </w:rPr>
        <w:t>older person</w:t>
      </w:r>
      <w:r w:rsidRPr="78E43FD9">
        <w:rPr>
          <w:lang w:val="en-US"/>
        </w:rPr>
        <w:t xml:space="preserve"> record, the assessor must ask if the </w:t>
      </w:r>
      <w:r>
        <w:rPr>
          <w:lang w:val="en-US"/>
        </w:rPr>
        <w:t>older person</w:t>
      </w:r>
      <w:r w:rsidRPr="78E43FD9">
        <w:rPr>
          <w:lang w:val="en-US"/>
        </w:rPr>
        <w:t xml:space="preserve"> prefers to go by a name other than their legal name.</w:t>
      </w:r>
    </w:p>
    <w:p w14:paraId="4B043BA0" w14:textId="77777777" w:rsidR="0016744D" w:rsidRPr="00DD3618" w:rsidRDefault="0016744D" w:rsidP="00DF3F6B">
      <w:pPr>
        <w:pStyle w:val="ListParagraph"/>
        <w:numPr>
          <w:ilvl w:val="0"/>
          <w:numId w:val="67"/>
        </w:numPr>
        <w:spacing w:before="240" w:after="240" w:line="240" w:lineRule="auto"/>
        <w:ind w:left="567" w:hanging="284"/>
        <w:rPr>
          <w:lang w:val="en-US"/>
        </w:rPr>
      </w:pPr>
      <w:r w:rsidRPr="78E43FD9">
        <w:rPr>
          <w:lang w:val="en-US"/>
        </w:rPr>
        <w:t>Conducting searches under each name can help to identify if a previously created record exists.</w:t>
      </w:r>
    </w:p>
    <w:p w14:paraId="7C7053E5" w14:textId="4985A23F" w:rsidR="0016744D" w:rsidRPr="00DD3618" w:rsidRDefault="0016744D" w:rsidP="00DF3F6B">
      <w:pPr>
        <w:pStyle w:val="ListParagraph"/>
        <w:numPr>
          <w:ilvl w:val="0"/>
          <w:numId w:val="67"/>
        </w:numPr>
        <w:spacing w:before="240" w:after="240" w:line="240" w:lineRule="auto"/>
        <w:ind w:left="567" w:hanging="283"/>
        <w:rPr>
          <w:lang w:val="en-US"/>
        </w:rPr>
      </w:pPr>
      <w:r w:rsidRPr="464B4017">
        <w:rPr>
          <w:lang w:val="en-US"/>
        </w:rPr>
        <w:t xml:space="preserve">Use the wallet check process to verify individual’s legal name </w:t>
      </w:r>
      <w:r w:rsidRPr="00C6106A">
        <w:rPr>
          <w:lang w:val="en-US"/>
        </w:rPr>
        <w:t>(</w:t>
      </w:r>
      <w:r w:rsidRPr="002F2146">
        <w:rPr>
          <w:lang w:val="en-US"/>
        </w:rPr>
        <w:t>see</w:t>
      </w:r>
      <w:r w:rsidRPr="002F2146">
        <w:rPr>
          <w:i/>
          <w:lang w:val="en-US"/>
        </w:rPr>
        <w:t xml:space="preserve"> </w:t>
      </w:r>
      <w:r w:rsidR="00B931DE">
        <w:rPr>
          <w:lang w:val="en-US"/>
        </w:rPr>
        <w:t xml:space="preserve">section </w:t>
      </w:r>
      <w:r w:rsidR="00E604B2">
        <w:rPr>
          <w:lang w:val="en-US"/>
        </w:rPr>
        <w:fldChar w:fldCharType="begin"/>
      </w:r>
      <w:r w:rsidR="00E604B2">
        <w:rPr>
          <w:lang w:val="en-US"/>
        </w:rPr>
        <w:instrText xml:space="preserve"> REF _Ref212733690 \r \h </w:instrText>
      </w:r>
      <w:r w:rsidR="00E604B2">
        <w:rPr>
          <w:lang w:val="en-US"/>
        </w:rPr>
      </w:r>
      <w:r w:rsidR="00E604B2">
        <w:rPr>
          <w:lang w:val="en-US"/>
        </w:rPr>
        <w:fldChar w:fldCharType="separate"/>
      </w:r>
      <w:r w:rsidR="00F97942">
        <w:rPr>
          <w:lang w:val="en-US"/>
        </w:rPr>
        <w:t>5.6</w:t>
      </w:r>
      <w:r w:rsidR="00E604B2">
        <w:rPr>
          <w:lang w:val="en-US"/>
        </w:rPr>
        <w:fldChar w:fldCharType="end"/>
      </w:r>
      <w:r w:rsidR="009B24AE">
        <w:rPr>
          <w:lang w:val="en-US"/>
        </w:rPr>
        <w:t xml:space="preserve"> </w:t>
      </w:r>
      <w:r w:rsidRPr="002F2146">
        <w:rPr>
          <w:lang w:val="en-US"/>
        </w:rPr>
        <w:t>Commencing the Assessment,</w:t>
      </w:r>
      <w:r w:rsidR="00B931DE">
        <w:rPr>
          <w:lang w:val="en-US"/>
        </w:rPr>
        <w:t xml:space="preserve"> and section </w:t>
      </w:r>
      <w:r w:rsidR="00E604B2">
        <w:rPr>
          <w:lang w:val="en-US"/>
        </w:rPr>
        <w:fldChar w:fldCharType="begin"/>
      </w:r>
      <w:r w:rsidR="00E604B2">
        <w:rPr>
          <w:lang w:val="en-US"/>
        </w:rPr>
        <w:instrText xml:space="preserve"> REF _Ref212733666 \r \h </w:instrText>
      </w:r>
      <w:r w:rsidR="00E604B2">
        <w:rPr>
          <w:lang w:val="en-US"/>
        </w:rPr>
      </w:r>
      <w:r w:rsidR="00E604B2">
        <w:rPr>
          <w:lang w:val="en-US"/>
        </w:rPr>
        <w:fldChar w:fldCharType="separate"/>
      </w:r>
      <w:r w:rsidR="00F97942">
        <w:rPr>
          <w:lang w:val="en-US"/>
        </w:rPr>
        <w:t>5.6.2</w:t>
      </w:r>
      <w:r w:rsidR="00E604B2">
        <w:rPr>
          <w:lang w:val="en-US"/>
        </w:rPr>
        <w:fldChar w:fldCharType="end"/>
      </w:r>
      <w:r w:rsidR="00816E77">
        <w:rPr>
          <w:lang w:val="en-US"/>
        </w:rPr>
        <w:t xml:space="preserve"> </w:t>
      </w:r>
      <w:r w:rsidRPr="002F2146">
        <w:rPr>
          <w:lang w:val="en-US"/>
        </w:rPr>
        <w:t>Wallet check</w:t>
      </w:r>
      <w:r w:rsidRPr="00C6106A">
        <w:rPr>
          <w:lang w:val="en-US"/>
        </w:rPr>
        <w:t>).</w:t>
      </w:r>
    </w:p>
    <w:p w14:paraId="7C4F722C" w14:textId="77777777" w:rsidR="0016744D" w:rsidRPr="00DE51DB" w:rsidRDefault="0016744D" w:rsidP="00DF3F6B">
      <w:pPr>
        <w:pStyle w:val="ListParagraph"/>
        <w:numPr>
          <w:ilvl w:val="0"/>
          <w:numId w:val="67"/>
        </w:numPr>
        <w:spacing w:before="240" w:after="240" w:line="240" w:lineRule="auto"/>
        <w:ind w:left="567" w:hanging="284"/>
        <w:contextualSpacing w:val="0"/>
        <w:rPr>
          <w:lang w:val="en-US"/>
        </w:rPr>
      </w:pPr>
      <w:r w:rsidRPr="1ED99BF8">
        <w:rPr>
          <w:lang w:val="en-US"/>
        </w:rPr>
        <w:t>When a record does not exist and you are creating the record, use the legal name in the first name field.</w:t>
      </w:r>
    </w:p>
    <w:p w14:paraId="728B9EC8" w14:textId="28DD252A" w:rsidR="007F22CF" w:rsidRDefault="0016744D" w:rsidP="00856600">
      <w:pPr>
        <w:spacing w:before="240" w:after="240" w:line="240" w:lineRule="auto"/>
        <w:rPr>
          <w:lang w:val="en-US"/>
        </w:rPr>
      </w:pPr>
      <w:r w:rsidRPr="45288FFC">
        <w:rPr>
          <w:lang w:val="en-US"/>
        </w:rPr>
        <w:t>Once the record is created,</w:t>
      </w:r>
      <w:r w:rsidRPr="45288FFC" w:rsidDel="00BA6D56">
        <w:rPr>
          <w:lang w:val="en-US"/>
        </w:rPr>
        <w:t xml:space="preserve"> </w:t>
      </w:r>
      <w:r w:rsidRPr="45288FFC">
        <w:rPr>
          <w:lang w:val="en-US"/>
        </w:rPr>
        <w:t>add a preferred name in the field provided in the personal details section of the older person record.</w:t>
      </w:r>
    </w:p>
    <w:p w14:paraId="6E205C84" w14:textId="77777777" w:rsidR="000E0B6C" w:rsidRPr="000027E3" w:rsidRDefault="0016744D" w:rsidP="00C325C6">
      <w:pPr>
        <w:pStyle w:val="Sub-headings"/>
      </w:pPr>
      <w:r w:rsidRPr="00904192">
        <w:t>Note</w:t>
      </w:r>
      <w:r w:rsidR="000E0B6C" w:rsidRPr="000027E3">
        <w:t>:</w:t>
      </w:r>
    </w:p>
    <w:p w14:paraId="746AA83A" w14:textId="0018B0C4" w:rsidR="00AC39F8" w:rsidRDefault="000E0B6C" w:rsidP="00C325C6">
      <w:pPr>
        <w:pStyle w:val="Sub-headings"/>
      </w:pPr>
      <w:r>
        <w:t>I</w:t>
      </w:r>
      <w:r w:rsidR="0016744D" w:rsidRPr="00C916B0">
        <w:t xml:space="preserve">t is important to keep in mind </w:t>
      </w:r>
      <w:r w:rsidR="0016744D">
        <w:t xml:space="preserve">when verifying an older person’s legal and preferred name </w:t>
      </w:r>
      <w:r w:rsidR="0016744D" w:rsidRPr="00C916B0">
        <w:t>that</w:t>
      </w:r>
      <w:r w:rsidR="0016744D">
        <w:t xml:space="preserve"> </w:t>
      </w:r>
      <w:r w:rsidR="0016744D" w:rsidRPr="0077660E">
        <w:t>in some Aboriginal and Torres Strait Islander traditions or communities, people can change the name they use throughout their life or be known by different names by different people</w:t>
      </w:r>
      <w:r w:rsidR="005541AF">
        <w:t>. This can occur due to chang</w:t>
      </w:r>
      <w:r w:rsidR="00DD7CDE">
        <w:t>es in</w:t>
      </w:r>
      <w:r w:rsidR="0016744D" w:rsidRPr="0077660E">
        <w:t xml:space="preserve"> role/status</w:t>
      </w:r>
      <w:r w:rsidR="0016744D">
        <w:t xml:space="preserve"> </w:t>
      </w:r>
      <w:r w:rsidR="00DE0420">
        <w:t>with</w:t>
      </w:r>
      <w:r w:rsidR="0016744D">
        <w:t>in their community</w:t>
      </w:r>
      <w:r w:rsidR="00DE0420">
        <w:t>,</w:t>
      </w:r>
      <w:r w:rsidR="0016744D" w:rsidRPr="0077660E">
        <w:t xml:space="preserve"> or</w:t>
      </w:r>
      <w:r w:rsidR="00DE0420">
        <w:t xml:space="preserve"> significant</w:t>
      </w:r>
      <w:r w:rsidR="0016744D" w:rsidRPr="0077660E">
        <w:t xml:space="preserve"> events such as the </w:t>
      </w:r>
      <w:r w:rsidR="00DE0420">
        <w:t>passing</w:t>
      </w:r>
      <w:r w:rsidR="0016744D" w:rsidRPr="0077660E">
        <w:t xml:space="preserve"> of a person</w:t>
      </w:r>
      <w:r w:rsidR="0016744D">
        <w:t xml:space="preserve">. </w:t>
      </w:r>
    </w:p>
    <w:p w14:paraId="1408B595" w14:textId="0FE56E5E" w:rsidR="001E0126" w:rsidRDefault="00AC39F8" w:rsidP="00C325C6">
      <w:pPr>
        <w:pStyle w:val="Sub-headings"/>
      </w:pPr>
      <w:r>
        <w:t xml:space="preserve">This </w:t>
      </w:r>
      <w:r w:rsidR="00DE0420">
        <w:t>practice</w:t>
      </w:r>
      <w:r w:rsidR="00825436">
        <w:t xml:space="preserve"> </w:t>
      </w:r>
      <w:r>
        <w:t xml:space="preserve">may also be relevant in other </w:t>
      </w:r>
      <w:r w:rsidR="002E0BDB">
        <w:t>cultures</w:t>
      </w:r>
      <w:r>
        <w:t xml:space="preserve">. </w:t>
      </w:r>
      <w:r w:rsidR="0016744D">
        <w:t xml:space="preserve">If appropriate and </w:t>
      </w:r>
      <w:r w:rsidR="00825436">
        <w:t xml:space="preserve">culturally </w:t>
      </w:r>
      <w:r w:rsidR="0016744D">
        <w:t xml:space="preserve">safe to do so, an assessor should explore all names an older person </w:t>
      </w:r>
      <w:r w:rsidR="00825436">
        <w:t xml:space="preserve">may </w:t>
      </w:r>
      <w:r w:rsidR="000D7C03">
        <w:t>have used</w:t>
      </w:r>
      <w:r w:rsidR="00A54A10">
        <w:t xml:space="preserve"> during the period</w:t>
      </w:r>
      <w:r w:rsidR="0016744D">
        <w:t xml:space="preserve"> they </w:t>
      </w:r>
      <w:r w:rsidR="00A54A10">
        <w:t xml:space="preserve">were </w:t>
      </w:r>
      <w:r w:rsidR="0016744D">
        <w:t xml:space="preserve">eligible </w:t>
      </w:r>
      <w:r w:rsidR="00A54A10">
        <w:t xml:space="preserve">for </w:t>
      </w:r>
      <w:r w:rsidR="0016744D">
        <w:t xml:space="preserve">aged care services. </w:t>
      </w:r>
      <w:r w:rsidR="00A54A10">
        <w:t>This helps ensure accurate records and s</w:t>
      </w:r>
      <w:r w:rsidR="00E03E9C">
        <w:t>upports respectful engagement.</w:t>
      </w:r>
      <w:r w:rsidR="0016744D">
        <w:t xml:space="preserve"> </w:t>
      </w:r>
    </w:p>
    <w:p w14:paraId="3F4D5C9D" w14:textId="77777777" w:rsidR="0016744D" w:rsidRPr="007F07A5" w:rsidRDefault="0016744D" w:rsidP="00856600">
      <w:pPr>
        <w:pStyle w:val="H5"/>
        <w:spacing w:before="240" w:after="240" w:line="240" w:lineRule="auto"/>
      </w:pPr>
      <w:r w:rsidRPr="007F07A5">
        <w:t xml:space="preserve">Additional information in name field </w:t>
      </w:r>
    </w:p>
    <w:p w14:paraId="15E6D26C" w14:textId="77777777" w:rsidR="0016744D" w:rsidRPr="00DE51DB" w:rsidRDefault="0016744D" w:rsidP="00DF3F6B">
      <w:pPr>
        <w:pStyle w:val="ListParagraph"/>
        <w:numPr>
          <w:ilvl w:val="0"/>
          <w:numId w:val="67"/>
        </w:numPr>
        <w:spacing w:before="240" w:after="240" w:line="240" w:lineRule="auto"/>
        <w:ind w:left="567" w:hanging="284"/>
        <w:rPr>
          <w:lang w:val="en-US"/>
        </w:rPr>
      </w:pPr>
      <w:r w:rsidRPr="78E43FD9">
        <w:rPr>
          <w:lang w:val="en-US"/>
        </w:rPr>
        <w:t>Do not add any additional information in the name fields – putting the relationship of a person to a</w:t>
      </w:r>
      <w:r>
        <w:rPr>
          <w:lang w:val="en-US"/>
        </w:rPr>
        <w:t>n</w:t>
      </w:r>
      <w:r w:rsidRPr="78E43FD9">
        <w:rPr>
          <w:lang w:val="en-US"/>
        </w:rPr>
        <w:t xml:space="preserve"> </w:t>
      </w:r>
      <w:r>
        <w:rPr>
          <w:lang w:val="en-US"/>
        </w:rPr>
        <w:t>older person</w:t>
      </w:r>
      <w:r w:rsidRPr="78E43FD9">
        <w:rPr>
          <w:lang w:val="en-US"/>
        </w:rPr>
        <w:t xml:space="preserve"> in the name field, for example Mary (Daughter), will prevent the system from matching that record in future searches and may cause the creation of a duplicate record.</w:t>
      </w:r>
    </w:p>
    <w:p w14:paraId="5323357A" w14:textId="671C4F25" w:rsidR="0016744D" w:rsidRPr="00DE51DB" w:rsidRDefault="0016744D" w:rsidP="00DF3F6B">
      <w:pPr>
        <w:pStyle w:val="ListParagraph"/>
        <w:numPr>
          <w:ilvl w:val="0"/>
          <w:numId w:val="67"/>
        </w:numPr>
        <w:spacing w:before="240" w:after="240" w:line="240" w:lineRule="auto"/>
        <w:ind w:left="567" w:hanging="284"/>
        <w:rPr>
          <w:lang w:val="en-US"/>
        </w:rPr>
      </w:pPr>
      <w:r w:rsidRPr="78E43FD9">
        <w:rPr>
          <w:lang w:val="en-US"/>
        </w:rPr>
        <w:t xml:space="preserve">Any additional information that does not have a predetermined field can be entered into the ‘Notes’ section of the </w:t>
      </w:r>
      <w:r>
        <w:rPr>
          <w:lang w:val="en-US"/>
        </w:rPr>
        <w:t xml:space="preserve">older </w:t>
      </w:r>
      <w:r w:rsidR="0073007A">
        <w:rPr>
          <w:lang w:val="en-US"/>
        </w:rPr>
        <w:t>person’s</w:t>
      </w:r>
      <w:r w:rsidRPr="78E43FD9">
        <w:rPr>
          <w:lang w:val="en-US"/>
        </w:rPr>
        <w:t xml:space="preserve"> record.</w:t>
      </w:r>
    </w:p>
    <w:p w14:paraId="08C764A9" w14:textId="77777777" w:rsidR="0016744D" w:rsidRPr="00CC6A1F" w:rsidRDefault="0016744D" w:rsidP="00DF3F6B">
      <w:pPr>
        <w:pStyle w:val="ListParagraph"/>
        <w:numPr>
          <w:ilvl w:val="0"/>
          <w:numId w:val="67"/>
        </w:numPr>
        <w:spacing w:before="240" w:after="240" w:line="240" w:lineRule="auto"/>
        <w:ind w:left="567" w:hanging="284"/>
        <w:contextualSpacing w:val="0"/>
        <w:rPr>
          <w:lang w:val="en-US"/>
        </w:rPr>
      </w:pPr>
      <w:r w:rsidRPr="1ED99BF8">
        <w:rPr>
          <w:lang w:val="en-US"/>
        </w:rPr>
        <w:t>Where possible, you should enter the older person’s date of birth as opposed to entering the older person’s age.</w:t>
      </w:r>
    </w:p>
    <w:p w14:paraId="646D6AFA" w14:textId="4FDEF246" w:rsidR="0016744D" w:rsidRPr="00ED19E5" w:rsidRDefault="0016744D" w:rsidP="00856600">
      <w:pPr>
        <w:pStyle w:val="H5"/>
        <w:spacing w:before="240" w:after="240" w:line="240" w:lineRule="auto"/>
      </w:pPr>
      <w:r w:rsidRPr="00A32313">
        <w:t xml:space="preserve">Special </w:t>
      </w:r>
      <w:r w:rsidR="00FB22E7">
        <w:t>c</w:t>
      </w:r>
      <w:r w:rsidRPr="00A32313">
        <w:t xml:space="preserve">haracters </w:t>
      </w:r>
    </w:p>
    <w:p w14:paraId="54ADF2E1" w14:textId="77777777" w:rsidR="0016744D" w:rsidRPr="00DE51DB" w:rsidRDefault="0016744D" w:rsidP="00856600">
      <w:pPr>
        <w:spacing w:before="240" w:after="240" w:line="240" w:lineRule="auto"/>
        <w:rPr>
          <w:lang w:val="en-US" w:eastAsia="ko-KR"/>
        </w:rPr>
      </w:pPr>
      <w:r w:rsidRPr="0D0B64D5">
        <w:rPr>
          <w:lang w:val="en-US" w:eastAsia="ko-KR"/>
        </w:rPr>
        <w:t>When completing the name fields for a</w:t>
      </w:r>
      <w:r>
        <w:rPr>
          <w:lang w:val="en-US" w:eastAsia="ko-KR"/>
        </w:rPr>
        <w:t>n</w:t>
      </w:r>
      <w:r w:rsidRPr="0D0B64D5">
        <w:rPr>
          <w:lang w:val="en-US" w:eastAsia="ko-KR"/>
        </w:rPr>
        <w:t xml:space="preserve"> older person record only use the following characters:</w:t>
      </w:r>
    </w:p>
    <w:p w14:paraId="304B7775"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alphas (letters)</w:t>
      </w:r>
    </w:p>
    <w:p w14:paraId="5A32958D"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hyphens</w:t>
      </w:r>
    </w:p>
    <w:p w14:paraId="61A01817"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apostrophes; and</w:t>
      </w:r>
    </w:p>
    <w:p w14:paraId="55C90A56" w14:textId="77777777" w:rsidR="0016744D" w:rsidRPr="00DE51DB" w:rsidRDefault="0016744D" w:rsidP="00DF3F6B">
      <w:pPr>
        <w:pStyle w:val="ListParagraph"/>
        <w:numPr>
          <w:ilvl w:val="0"/>
          <w:numId w:val="68"/>
        </w:numPr>
        <w:spacing w:before="240" w:after="240" w:line="240" w:lineRule="auto"/>
        <w:ind w:left="568" w:hanging="284"/>
        <w:contextualSpacing w:val="0"/>
        <w:rPr>
          <w:szCs w:val="20"/>
          <w:lang w:val="en"/>
        </w:rPr>
      </w:pPr>
      <w:r w:rsidRPr="00DE51DB">
        <w:rPr>
          <w:szCs w:val="20"/>
          <w:lang w:val="en"/>
        </w:rPr>
        <w:t>blank spaces</w:t>
      </w:r>
    </w:p>
    <w:p w14:paraId="1C9E793C" w14:textId="77777777" w:rsidR="0016744D" w:rsidRPr="00DE51DB" w:rsidRDefault="0016744D" w:rsidP="00856600">
      <w:pPr>
        <w:spacing w:before="240" w:after="240" w:line="240" w:lineRule="auto"/>
        <w:rPr>
          <w:lang w:val="en" w:eastAsia="ko-KR"/>
        </w:rPr>
      </w:pPr>
      <w:r w:rsidRPr="00DE51DB">
        <w:rPr>
          <w:lang w:val="en" w:eastAsia="ko-KR"/>
        </w:rPr>
        <w:t>Any other characters (such as brackets, commas, and full stops) are considered invalid characters and can prevent other users from being able to find the records. This can lead to the creation of duplicate records.</w:t>
      </w:r>
    </w:p>
    <w:p w14:paraId="069DAD2B" w14:textId="4619927A" w:rsidR="0016744D" w:rsidRPr="00A05484" w:rsidRDefault="0016744D" w:rsidP="00507F9D">
      <w:pPr>
        <w:pStyle w:val="h2"/>
      </w:pPr>
      <w:bookmarkStart w:id="309" w:name="_Toc209188974"/>
      <w:bookmarkStart w:id="310" w:name="_Toc224916637"/>
      <w:r w:rsidRPr="00A05484">
        <w:t xml:space="preserve">Support </w:t>
      </w:r>
      <w:r w:rsidR="0D0C0B9B" w:rsidRPr="00A05484">
        <w:t>p</w:t>
      </w:r>
      <w:r w:rsidRPr="00A05484">
        <w:t xml:space="preserve">lan </w:t>
      </w:r>
      <w:r w:rsidR="06D7E3DD" w:rsidRPr="00A05484">
        <w:t>r</w:t>
      </w:r>
      <w:r w:rsidRPr="00A05484">
        <w:t xml:space="preserve">eviews and </w:t>
      </w:r>
      <w:r>
        <w:t>reassessment</w:t>
      </w:r>
      <w:r w:rsidRPr="00A05484">
        <w:t>s</w:t>
      </w:r>
      <w:bookmarkEnd w:id="309"/>
      <w:bookmarkEnd w:id="310"/>
      <w:r w:rsidRPr="00A05484">
        <w:t xml:space="preserve"> </w:t>
      </w:r>
      <w:bookmarkEnd w:id="296"/>
    </w:p>
    <w:p w14:paraId="6A091134" w14:textId="77777777" w:rsidR="0016744D" w:rsidRPr="00FC19CF" w:rsidRDefault="0016744D" w:rsidP="00856600">
      <w:pPr>
        <w:spacing w:before="240" w:after="240" w:line="240" w:lineRule="auto"/>
      </w:pPr>
      <w:r w:rsidRPr="00696F4A">
        <w:t xml:space="preserve">Section 64 of the </w:t>
      </w:r>
      <w:r w:rsidRPr="00696F4A">
        <w:rPr>
          <w:i/>
        </w:rPr>
        <w:t>Aged Care Act 2024</w:t>
      </w:r>
      <w:r w:rsidRPr="00696F4A">
        <w:t xml:space="preserve"> provides for aged care needs reassessments. A reassessment may be required when an individual's circumstances have changed</w:t>
      </w:r>
      <w:r>
        <w:t xml:space="preserve"> significantly, or other circumstances apply to the individual</w:t>
      </w:r>
      <w:r w:rsidRPr="00696F4A">
        <w:t>.</w:t>
      </w:r>
      <w:r>
        <w:t xml:space="preserve"> The Rules prescribe the relevant change in circumstances that may necessitate a reassessment under 64-5 (for significant changes) and 64-10 (for other circumstances). </w:t>
      </w:r>
    </w:p>
    <w:p w14:paraId="78E5D5C6" w14:textId="77777777" w:rsidR="0016744D" w:rsidRDefault="0016744D" w:rsidP="00856600">
      <w:pPr>
        <w:spacing w:before="240" w:after="240" w:line="240" w:lineRule="auto"/>
      </w:pPr>
      <w:r w:rsidRPr="00696F4A">
        <w:t xml:space="preserve">In the </w:t>
      </w:r>
      <w:r w:rsidRPr="00696F4A">
        <w:rPr>
          <w:i/>
        </w:rPr>
        <w:t>Aged Care Act 2024</w:t>
      </w:r>
      <w:r w:rsidRPr="00696F4A">
        <w:t xml:space="preserve"> the term ‘reassessment’ is used as an umbrella term to describe both SPRs and</w:t>
      </w:r>
      <w:r w:rsidRPr="6557BF97">
        <w:t xml:space="preserve"> a</w:t>
      </w:r>
      <w:r w:rsidRPr="00696F4A">
        <w:t xml:space="preserve"> </w:t>
      </w:r>
      <w:r>
        <w:t>reassessment</w:t>
      </w:r>
      <w:r w:rsidRPr="6557BF97">
        <w:t xml:space="preserve"> for someone already receiving funded aged care services</w:t>
      </w:r>
      <w:r w:rsidRPr="00696F4A">
        <w:t>. An individual may request a reassessment if they believe their aged care needs have changed, or it may be identified through a scheduled SPR.</w:t>
      </w:r>
    </w:p>
    <w:p w14:paraId="527C9DCB" w14:textId="404C284D" w:rsidR="0016744D" w:rsidRPr="00696F4A" w:rsidRDefault="67732F52" w:rsidP="00C325C6">
      <w:pPr>
        <w:pStyle w:val="Sub-headings"/>
      </w:pPr>
      <w:r w:rsidRPr="00904192">
        <w:t>Note</w:t>
      </w:r>
      <w:r w:rsidRPr="590554EF">
        <w:t>: in this manual, the term ‘reassessment’ is used to describe an assessment that occurs after an older person has already been assessed at least once.</w:t>
      </w:r>
      <w:r w:rsidR="003475C3">
        <w:t xml:space="preserve"> </w:t>
      </w:r>
      <w:r w:rsidR="0016744D" w:rsidRPr="00696F4A">
        <w:t xml:space="preserve">From 1 November, SPRs will be used as a mechanism to adjust an older person’s aged care services without needing to undertake a full </w:t>
      </w:r>
      <w:r w:rsidR="0016744D">
        <w:t>reassessment</w:t>
      </w:r>
      <w:r w:rsidR="0016744D" w:rsidRPr="00696F4A">
        <w:t xml:space="preserve">. A </w:t>
      </w:r>
      <w:r w:rsidR="0016744D">
        <w:t>reassessment</w:t>
      </w:r>
      <w:r w:rsidR="0016744D" w:rsidRPr="00696F4A">
        <w:t xml:space="preserve"> will be conducted when there are </w:t>
      </w:r>
      <w:r w:rsidR="0016744D" w:rsidRPr="00696F4A">
        <w:rPr>
          <w:i/>
        </w:rPr>
        <w:t>significant</w:t>
      </w:r>
      <w:r w:rsidR="0016744D" w:rsidRPr="00696F4A">
        <w:t xml:space="preserve"> changes to a client’s needs or circumstances.</w:t>
      </w:r>
    </w:p>
    <w:p w14:paraId="11BE5734" w14:textId="77777777" w:rsidR="0016744D" w:rsidRPr="00696F4A" w:rsidRDefault="0016744D" w:rsidP="00856600">
      <w:pPr>
        <w:spacing w:before="240" w:after="240" w:line="240" w:lineRule="auto"/>
      </w:pPr>
      <w:r w:rsidRPr="00696F4A">
        <w:t xml:space="preserve">In some cases, the Assessment Delegate may approve access to services based on updated information through the SPR process. </w:t>
      </w:r>
    </w:p>
    <w:p w14:paraId="4E24334A" w14:textId="77777777" w:rsidR="0016744D" w:rsidRPr="00696F4A" w:rsidRDefault="0016744D" w:rsidP="00856600">
      <w:pPr>
        <w:spacing w:before="240" w:after="240" w:line="240" w:lineRule="auto"/>
      </w:pPr>
      <w:r w:rsidRPr="00696F4A">
        <w:t xml:space="preserve">However, in cases where a </w:t>
      </w:r>
      <w:r w:rsidRPr="00696F4A">
        <w:rPr>
          <w:i/>
        </w:rPr>
        <w:t>significant</w:t>
      </w:r>
      <w:r w:rsidRPr="00696F4A">
        <w:t xml:space="preserve"> change is identified, a new aged care needs assessment </w:t>
      </w:r>
      <w:r>
        <w:t>must</w:t>
      </w:r>
      <w:r w:rsidRPr="00696F4A">
        <w:t xml:space="preserve"> be undertaken. Significant changes in care needs and circumstances requiring</w:t>
      </w:r>
      <w:r>
        <w:t xml:space="preserve"> a</w:t>
      </w:r>
      <w:r w:rsidRPr="00696F4A">
        <w:t xml:space="preserve"> higher-level of care or different types of care (and/or changes to priority) will require a </w:t>
      </w:r>
      <w:r>
        <w:t>reassessment</w:t>
      </w:r>
      <w:r w:rsidRPr="00696F4A">
        <w:t xml:space="preserve">. </w:t>
      </w:r>
    </w:p>
    <w:p w14:paraId="2533FBDA" w14:textId="56B6147E" w:rsidR="0016744D" w:rsidRDefault="0016744D" w:rsidP="00856600">
      <w:pPr>
        <w:spacing w:before="240" w:after="240" w:line="240" w:lineRule="auto"/>
      </w:pPr>
      <w:r w:rsidRPr="00696F4A">
        <w:t xml:space="preserve">Significant change is referenced in section 64 of the </w:t>
      </w:r>
      <w:r w:rsidRPr="00696F4A">
        <w:rPr>
          <w:i/>
          <w:iCs/>
        </w:rPr>
        <w:t>Aged Care Act 2024</w:t>
      </w:r>
      <w:r>
        <w:rPr>
          <w:i/>
        </w:rPr>
        <w:t xml:space="preserve"> </w:t>
      </w:r>
      <w:r w:rsidR="00906671">
        <w:rPr>
          <w:i/>
          <w:iCs/>
        </w:rPr>
        <w:t>(the Act)</w:t>
      </w:r>
      <w:r w:rsidRPr="00696F4A">
        <w:t xml:space="preserve"> and defined in the </w:t>
      </w:r>
      <w:r w:rsidRPr="00696F4A">
        <w:rPr>
          <w:i/>
          <w:iCs/>
        </w:rPr>
        <w:t>Aged Care Rules 2025</w:t>
      </w:r>
      <w:r>
        <w:t>:</w:t>
      </w:r>
    </w:p>
    <w:p w14:paraId="56519098" w14:textId="5A41DEDF" w:rsidR="0016744D" w:rsidRPr="002F2146" w:rsidRDefault="0016744D" w:rsidP="00DF3F6B">
      <w:pPr>
        <w:pStyle w:val="ListParagraph"/>
        <w:numPr>
          <w:ilvl w:val="0"/>
          <w:numId w:val="76"/>
        </w:numPr>
        <w:spacing w:before="240" w:after="240" w:line="240" w:lineRule="auto"/>
      </w:pPr>
      <w:r w:rsidRPr="002F2146">
        <w:t xml:space="preserve">a carer for the individual has permanently ceased to provide some or all care to the </w:t>
      </w:r>
      <w:r w:rsidR="00B066E3" w:rsidRPr="002F2146">
        <w:t>individual.</w:t>
      </w:r>
      <w:r w:rsidRPr="002F2146">
        <w:t xml:space="preserve"> </w:t>
      </w:r>
    </w:p>
    <w:p w14:paraId="1224EC1E" w14:textId="77777777" w:rsidR="0016744D" w:rsidRPr="002F2146" w:rsidRDefault="0016744D" w:rsidP="00DF3F6B">
      <w:pPr>
        <w:pStyle w:val="ListParagraph"/>
        <w:numPr>
          <w:ilvl w:val="0"/>
          <w:numId w:val="76"/>
        </w:numPr>
        <w:spacing w:before="240" w:after="240" w:line="240" w:lineRule="auto"/>
      </w:pPr>
      <w:r w:rsidRPr="002F2146">
        <w:t>the individual has experienced an event, or a decline in their condition, that is likely to mean that they will require:</w:t>
      </w:r>
    </w:p>
    <w:p w14:paraId="2D82E6A8" w14:textId="77777777" w:rsidR="0016744D" w:rsidRPr="002F2146" w:rsidRDefault="0016744D" w:rsidP="00DF3F6B">
      <w:pPr>
        <w:pStyle w:val="ListParagraph"/>
        <w:numPr>
          <w:ilvl w:val="0"/>
          <w:numId w:val="76"/>
        </w:numPr>
        <w:spacing w:before="240" w:after="240" w:line="240" w:lineRule="auto"/>
      </w:pPr>
      <w:r w:rsidRPr="002F2146">
        <w:t>more frequent access to a service they are already receiving, or</w:t>
      </w:r>
    </w:p>
    <w:p w14:paraId="11D797DF" w14:textId="77777777" w:rsidR="0016744D" w:rsidRPr="002F2146" w:rsidRDefault="0016744D" w:rsidP="00DF3F6B">
      <w:pPr>
        <w:pStyle w:val="ListParagraph"/>
        <w:numPr>
          <w:ilvl w:val="0"/>
          <w:numId w:val="76"/>
        </w:numPr>
        <w:spacing w:before="240" w:after="240" w:line="240" w:lineRule="auto"/>
      </w:pPr>
      <w:r w:rsidRPr="002F2146">
        <w:t>access to a service they have been approved for but are not currently receiving, or</w:t>
      </w:r>
    </w:p>
    <w:p w14:paraId="16E9FB83" w14:textId="77777777" w:rsidR="0016744D" w:rsidRPr="002F2146" w:rsidRDefault="0016744D" w:rsidP="00DF3F6B">
      <w:pPr>
        <w:pStyle w:val="ListParagraph"/>
        <w:numPr>
          <w:ilvl w:val="0"/>
          <w:numId w:val="76"/>
        </w:numPr>
        <w:spacing w:before="240" w:after="240" w:line="240" w:lineRule="auto"/>
      </w:pPr>
      <w:r w:rsidRPr="002F2146">
        <w:t xml:space="preserve">access to new services not covered in the older person’s access approval.  </w:t>
      </w:r>
    </w:p>
    <w:p w14:paraId="29629E98" w14:textId="5356E734" w:rsidR="0016744D" w:rsidRPr="002F2146" w:rsidRDefault="0016744D" w:rsidP="00856600">
      <w:pPr>
        <w:spacing w:before="240" w:after="240" w:line="240" w:lineRule="auto"/>
        <w:rPr>
          <w:rFonts w:eastAsia="Yu Gothic Light"/>
        </w:rPr>
      </w:pPr>
      <w:r w:rsidRPr="002F2146">
        <w:rPr>
          <w:rFonts w:eastAsia="Yu Gothic Light"/>
        </w:rPr>
        <w:t xml:space="preserve">The </w:t>
      </w:r>
      <w:r w:rsidR="0091752C">
        <w:rPr>
          <w:rFonts w:eastAsia="Yu Gothic Light"/>
        </w:rPr>
        <w:t>t</w:t>
      </w:r>
      <w:r w:rsidRPr="002F2146">
        <w:rPr>
          <w:rFonts w:eastAsia="Yu Gothic Light"/>
        </w:rPr>
        <w:t xml:space="preserve">riage </w:t>
      </w:r>
      <w:r w:rsidR="0091752C">
        <w:rPr>
          <w:rFonts w:eastAsia="Yu Gothic Light"/>
        </w:rPr>
        <w:t>d</w:t>
      </w:r>
      <w:r w:rsidRPr="002F2146">
        <w:rPr>
          <w:rFonts w:eastAsia="Yu Gothic Light"/>
        </w:rPr>
        <w:t xml:space="preserve">elegate will determine whether an individual is eligible for a </w:t>
      </w:r>
      <w:r>
        <w:rPr>
          <w:rFonts w:eastAsia="Yu Gothic Light"/>
        </w:rPr>
        <w:t>reassessment</w:t>
      </w:r>
      <w:r w:rsidRPr="002F2146">
        <w:rPr>
          <w:rFonts w:eastAsia="Yu Gothic Light"/>
        </w:rPr>
        <w:t>.  </w:t>
      </w:r>
      <w:r w:rsidRPr="006E3E97">
        <w:t xml:space="preserve">The information required by Triage Delegates to confirm a </w:t>
      </w:r>
      <w:r>
        <w:t>reassessment</w:t>
      </w:r>
      <w:r w:rsidRPr="006E3E97">
        <w:t xml:space="preserve"> will be gathered by assessors during a support plan review.</w:t>
      </w:r>
    </w:p>
    <w:p w14:paraId="476AE411" w14:textId="20333836" w:rsidR="0016744D" w:rsidRPr="002F2146" w:rsidRDefault="0016744D" w:rsidP="00856600">
      <w:pPr>
        <w:spacing w:before="240" w:after="240" w:line="240" w:lineRule="auto"/>
        <w:rPr>
          <w:rFonts w:eastAsia="Yu Gothic Light"/>
        </w:rPr>
      </w:pPr>
      <w:r w:rsidRPr="002F2146">
        <w:rPr>
          <w:rFonts w:eastAsia="Yu Gothic Light"/>
        </w:rPr>
        <w:t xml:space="preserve">All reassessment requests, including </w:t>
      </w:r>
      <w:r>
        <w:rPr>
          <w:rFonts w:eastAsia="Yu Gothic Light"/>
        </w:rPr>
        <w:t>reassessment</w:t>
      </w:r>
      <w:r w:rsidRPr="002F2146">
        <w:rPr>
          <w:rFonts w:eastAsia="Yu Gothic Light"/>
        </w:rPr>
        <w:t xml:space="preserve">s, begin through the SPR workflow in the </w:t>
      </w:r>
      <w:r w:rsidR="0060352D">
        <w:rPr>
          <w:rFonts w:eastAsia="Yu Gothic Light"/>
        </w:rPr>
        <w:t>assessor portal</w:t>
      </w:r>
      <w:r w:rsidRPr="002F2146">
        <w:rPr>
          <w:rFonts w:eastAsia="Yu Gothic Light"/>
        </w:rPr>
        <w:t xml:space="preserve">. A </w:t>
      </w:r>
      <w:r>
        <w:rPr>
          <w:rFonts w:eastAsia="Yu Gothic Light"/>
        </w:rPr>
        <w:t>reassessment</w:t>
      </w:r>
      <w:r w:rsidRPr="002F2146">
        <w:rPr>
          <w:rFonts w:eastAsia="Yu Gothic Light"/>
        </w:rPr>
        <w:t xml:space="preserve"> will be requested if required.  </w:t>
      </w:r>
    </w:p>
    <w:p w14:paraId="6ABC3884" w14:textId="77777777" w:rsidR="0016744D" w:rsidRPr="002F2146" w:rsidRDefault="0016744D" w:rsidP="00856600">
      <w:pPr>
        <w:spacing w:before="240" w:after="240" w:line="240" w:lineRule="auto"/>
        <w:rPr>
          <w:rFonts w:eastAsia="Yu Gothic Light"/>
        </w:rPr>
      </w:pPr>
      <w:r w:rsidRPr="002F2146">
        <w:rPr>
          <w:rFonts w:eastAsia="Yu Gothic Light"/>
        </w:rPr>
        <w:t xml:space="preserve">When a client undergoes a </w:t>
      </w:r>
      <w:r>
        <w:rPr>
          <w:rFonts w:eastAsia="Yu Gothic Light"/>
        </w:rPr>
        <w:t>reassessment</w:t>
      </w:r>
      <w:r w:rsidRPr="002F2146">
        <w:rPr>
          <w:rFonts w:eastAsia="Yu Gothic Light"/>
        </w:rPr>
        <w:t>, the system will prompt assessors to review and update the client’s urgency category, even if care needs have not changed.</w:t>
      </w:r>
    </w:p>
    <w:p w14:paraId="51D0FFB6" w14:textId="77777777" w:rsidR="0016744D" w:rsidRPr="003B2DA6" w:rsidRDefault="0016744D" w:rsidP="00856600">
      <w:pPr>
        <w:spacing w:before="240" w:after="240" w:line="240" w:lineRule="auto"/>
      </w:pPr>
      <w:r w:rsidRPr="003B2DA6">
        <w:t xml:space="preserve">One exception to this is the End-of-Life Pathway, where an SPR can be used to transfer a current Support at Home participant from an ongoing classification onto the End-of-Life Pathway. </w:t>
      </w:r>
    </w:p>
    <w:tbl>
      <w:tblPr>
        <w:tblStyle w:val="TableGrid"/>
        <w:tblW w:w="9098" w:type="dxa"/>
        <w:tblLook w:val="04A0" w:firstRow="1" w:lastRow="0" w:firstColumn="1" w:lastColumn="0" w:noHBand="0" w:noVBand="1"/>
      </w:tblPr>
      <w:tblGrid>
        <w:gridCol w:w="993"/>
        <w:gridCol w:w="8105"/>
      </w:tblGrid>
      <w:tr w:rsidR="0016744D" w14:paraId="26790F33" w14:textId="77777777" w:rsidTr="00D86489">
        <w:trPr>
          <w:trHeight w:val="1276"/>
        </w:trPr>
        <w:tc>
          <w:tcPr>
            <w:tcW w:w="993" w:type="dxa"/>
            <w:vAlign w:val="center"/>
          </w:tcPr>
          <w:p w14:paraId="59EEC833" w14:textId="77777777" w:rsidR="0016744D" w:rsidRPr="003E1933" w:rsidRDefault="0016744D" w:rsidP="00856600">
            <w:pPr>
              <w:spacing w:before="240" w:after="240"/>
              <w:rPr>
                <w:rFonts w:eastAsia="MS Mincho"/>
              </w:rPr>
            </w:pPr>
            <w:r>
              <w:rPr>
                <w:noProof/>
              </w:rPr>
              <w:drawing>
                <wp:anchor distT="0" distB="0" distL="114300" distR="114300" simplePos="0" relativeHeight="251658268" behindDoc="0" locked="0" layoutInCell="1" allowOverlap="1" wp14:anchorId="6C364F7E" wp14:editId="32F808EA">
                  <wp:simplePos x="0" y="0"/>
                  <wp:positionH relativeFrom="column">
                    <wp:posOffset>-4445</wp:posOffset>
                  </wp:positionH>
                  <wp:positionV relativeFrom="paragraph">
                    <wp:posOffset>21590</wp:posOffset>
                  </wp:positionV>
                  <wp:extent cx="447675" cy="445135"/>
                  <wp:effectExtent l="0" t="0" r="0" b="0"/>
                  <wp:wrapSquare wrapText="bothSides"/>
                  <wp:docPr id="1770708866" name="Picture 177070886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tc>
        <w:tc>
          <w:tcPr>
            <w:tcW w:w="8105" w:type="dxa"/>
            <w:vAlign w:val="center"/>
          </w:tcPr>
          <w:p w14:paraId="1F80ACFC" w14:textId="03E02CEF" w:rsidR="0016744D" w:rsidRPr="0098473F" w:rsidRDefault="00D37F49" w:rsidP="00856600">
            <w:pPr>
              <w:spacing w:before="240" w:after="240"/>
            </w:pPr>
            <w:r>
              <w:t xml:space="preserve">Further information on SPRs and reassessments see Chapter </w:t>
            </w:r>
            <w:r>
              <w:fldChar w:fldCharType="begin"/>
            </w:r>
            <w:r>
              <w:instrText xml:space="preserve"> REF _Ref212735357 \w \h </w:instrText>
            </w:r>
            <w:r>
              <w:fldChar w:fldCharType="separate"/>
            </w:r>
            <w:r w:rsidR="00F97942">
              <w:t>10</w:t>
            </w:r>
            <w:r>
              <w:fldChar w:fldCharType="end"/>
            </w:r>
            <w:r>
              <w:t>.</w:t>
            </w:r>
          </w:p>
        </w:tc>
      </w:tr>
    </w:tbl>
    <w:p w14:paraId="026E76F6" w14:textId="4D60A109" w:rsidR="0016744D" w:rsidRPr="00F55863" w:rsidRDefault="0016744D" w:rsidP="00856600">
      <w:pPr>
        <w:spacing w:before="240" w:after="240" w:line="240" w:lineRule="auto"/>
      </w:pPr>
      <w:r w:rsidRPr="0017764D">
        <w:t xml:space="preserve">Under paragraph 195(3) of the Act, a provider may submit a SPR to request a second concurrent unit of Restorative Care Pathway </w:t>
      </w:r>
      <w:r w:rsidR="00C747AE">
        <w:t xml:space="preserve">(RCP) </w:t>
      </w:r>
      <w:r w:rsidRPr="0017764D">
        <w:t>funding for a person already approved for, and accessing, the R</w:t>
      </w:r>
      <w:r w:rsidR="00C747AE">
        <w:t>CP</w:t>
      </w:r>
      <w:r w:rsidRPr="0017764D">
        <w:t xml:space="preserve">. </w:t>
      </w:r>
      <w:r>
        <w:t>To approve the SPR</w:t>
      </w:r>
      <w:r w:rsidR="004D6BC3">
        <w:t xml:space="preserve">, </w:t>
      </w:r>
      <w:r w:rsidR="00990B5D">
        <w:t>an assessment delegate</w:t>
      </w:r>
      <w:r>
        <w:t xml:space="preserve"> must</w:t>
      </w:r>
      <w:r w:rsidR="5D514B64">
        <w:t xml:space="preserve"> consider the evidence provided outlines sufficient justification of higher needs for multidisciplinary allied health and/</w:t>
      </w:r>
      <w:r w:rsidR="74486B82">
        <w:t>nursing services to achieve identified restorative care goals.</w:t>
      </w:r>
      <w:r w:rsidR="00006D09">
        <w:t xml:space="preserve"> </w:t>
      </w:r>
      <w:r w:rsidR="00915785">
        <w:t xml:space="preserve">Assessment </w:t>
      </w:r>
      <w:r w:rsidR="002B6BE2">
        <w:t>d</w:t>
      </w:r>
      <w:r w:rsidR="00CF39B5" w:rsidRPr="00006D09">
        <w:t>elegates</w:t>
      </w:r>
      <w:r w:rsidR="00CF39B5">
        <w:t xml:space="preserve"> may also consider the availability of </w:t>
      </w:r>
      <w:r>
        <w:t>R</w:t>
      </w:r>
      <w:r w:rsidR="00C747AE">
        <w:t xml:space="preserve">CP </w:t>
      </w:r>
      <w:r>
        <w:t xml:space="preserve">funding units </w:t>
      </w:r>
      <w:r w:rsidR="00CF39B5">
        <w:t>f</w:t>
      </w:r>
      <w:r>
        <w:t xml:space="preserve">or allocation. </w:t>
      </w:r>
    </w:p>
    <w:p w14:paraId="62D67356" w14:textId="20923841" w:rsidR="0016744D" w:rsidRPr="00890EA4" w:rsidRDefault="0016744D" w:rsidP="00C56CEC">
      <w:pPr>
        <w:pStyle w:val="H3"/>
      </w:pPr>
      <w:bookmarkStart w:id="311" w:name="_Toc204329536"/>
      <w:r w:rsidRPr="003B2DA6">
        <w:t xml:space="preserve">SPR and </w:t>
      </w:r>
      <w:r>
        <w:t>reassessment</w:t>
      </w:r>
      <w:r w:rsidRPr="003B2DA6">
        <w:t xml:space="preserve"> requests</w:t>
      </w:r>
      <w:bookmarkEnd w:id="311"/>
      <w:r w:rsidRPr="00890EA4">
        <w:t xml:space="preserve"> </w:t>
      </w:r>
      <w:bookmarkEnd w:id="297"/>
      <w:bookmarkEnd w:id="298"/>
      <w:bookmarkEnd w:id="299"/>
      <w:bookmarkEnd w:id="300"/>
      <w:bookmarkEnd w:id="301"/>
      <w:bookmarkEnd w:id="302"/>
      <w:bookmarkEnd w:id="303"/>
      <w:bookmarkEnd w:id="304"/>
      <w:bookmarkEnd w:id="305"/>
      <w:bookmarkEnd w:id="306"/>
      <w:bookmarkEnd w:id="307"/>
      <w:bookmarkEnd w:id="308"/>
    </w:p>
    <w:p w14:paraId="58139E62" w14:textId="3F006C37" w:rsidR="0016744D" w:rsidRPr="00890EA4" w:rsidRDefault="0016744D" w:rsidP="00856600">
      <w:pPr>
        <w:spacing w:before="240" w:after="240" w:line="240" w:lineRule="auto"/>
      </w:pPr>
      <w:bookmarkStart w:id="312" w:name="_Toc496022783"/>
      <w:r w:rsidRPr="00890EA4">
        <w:t xml:space="preserve">A SPR request will be referred to the assessment organisation that undertook the most recent assessment. </w:t>
      </w:r>
    </w:p>
    <w:bookmarkEnd w:id="312"/>
    <w:p w14:paraId="03AFF4EA" w14:textId="61B6B957" w:rsidR="0016744D" w:rsidRPr="0017764D" w:rsidRDefault="0016744D" w:rsidP="00856600">
      <w:pPr>
        <w:spacing w:before="240" w:after="240" w:line="240" w:lineRule="auto"/>
      </w:pPr>
      <w:r w:rsidRPr="0017764D">
        <w:t>A SPR may be requested by:</w:t>
      </w:r>
    </w:p>
    <w:p w14:paraId="10536A49" w14:textId="77777777" w:rsidR="0016744D" w:rsidRPr="0017764D" w:rsidRDefault="0016744D" w:rsidP="00DF3F6B">
      <w:pPr>
        <w:pStyle w:val="ListParagraph"/>
        <w:numPr>
          <w:ilvl w:val="0"/>
          <w:numId w:val="63"/>
        </w:numPr>
        <w:spacing w:before="240" w:after="240" w:line="240" w:lineRule="auto"/>
        <w:ind w:left="568" w:hanging="284"/>
      </w:pPr>
      <w:r w:rsidRPr="0017764D">
        <w:t>the older person/registered supporter</w:t>
      </w:r>
      <w:r w:rsidRPr="0017764D" w:rsidDel="005B762E">
        <w:t xml:space="preserve"> </w:t>
      </w:r>
      <w:r w:rsidRPr="0017764D">
        <w:t>(through the My Aged Care Contact Centre or ACSO)</w:t>
      </w:r>
    </w:p>
    <w:p w14:paraId="6B212B9D" w14:textId="77777777" w:rsidR="0016744D" w:rsidRPr="0017764D" w:rsidRDefault="0016744D" w:rsidP="00DF3F6B">
      <w:pPr>
        <w:numPr>
          <w:ilvl w:val="0"/>
          <w:numId w:val="63"/>
        </w:numPr>
        <w:spacing w:before="240" w:after="240" w:line="240" w:lineRule="auto"/>
        <w:ind w:left="568" w:hanging="284"/>
      </w:pPr>
      <w:r w:rsidRPr="0017764D">
        <w:t>a service provider (through the My Aged Care</w:t>
      </w:r>
      <w:r w:rsidRPr="0017764D">
        <w:rPr>
          <w:lang w:val="en"/>
        </w:rPr>
        <w:t xml:space="preserve"> Service and Support </w:t>
      </w:r>
      <w:r w:rsidRPr="0017764D">
        <w:t>portal)</w:t>
      </w:r>
    </w:p>
    <w:p w14:paraId="23DDDA90" w14:textId="77777777" w:rsidR="0038559D" w:rsidRPr="0038559D" w:rsidRDefault="0016744D" w:rsidP="00195891">
      <w:pPr>
        <w:numPr>
          <w:ilvl w:val="0"/>
          <w:numId w:val="63"/>
        </w:numPr>
        <w:spacing w:before="240" w:after="240" w:line="240" w:lineRule="auto"/>
        <w:ind w:left="568" w:hanging="284"/>
        <w:rPr>
          <w:shd w:val="clear" w:color="auto" w:fill="F2F2F2" w:themeFill="background1" w:themeFillShade="F2"/>
          <w:lang w:val="en-US"/>
        </w:rPr>
      </w:pPr>
      <w:r w:rsidRPr="0017764D">
        <w:t xml:space="preserve">a GP, hospital, or community health professional through the My Aged Care contact centre or a My Aged Care web referral. </w:t>
      </w:r>
    </w:p>
    <w:p w14:paraId="72930F9B" w14:textId="6349DE31" w:rsidR="0016744D" w:rsidRPr="0038559D" w:rsidRDefault="0016744D" w:rsidP="00C325C6">
      <w:pPr>
        <w:pStyle w:val="Sub-headings"/>
        <w:rPr>
          <w:rStyle w:val="Sub-headingsChar"/>
        </w:rPr>
      </w:pPr>
      <w:r w:rsidRPr="0038559D">
        <w:rPr>
          <w:rStyle w:val="Sub-headingsChar"/>
        </w:rPr>
        <w:t>Note: If a web referral is received by the My Aged Care Contact Centre, they will create a SPR request.</w:t>
      </w:r>
    </w:p>
    <w:p w14:paraId="0ECAAAF7" w14:textId="77777777" w:rsidR="0016744D" w:rsidRPr="0017764D" w:rsidRDefault="0016744D" w:rsidP="00DF3F6B">
      <w:pPr>
        <w:numPr>
          <w:ilvl w:val="0"/>
          <w:numId w:val="63"/>
        </w:numPr>
        <w:spacing w:before="240" w:after="240" w:line="240" w:lineRule="auto"/>
        <w:ind w:left="568" w:hanging="284"/>
      </w:pPr>
      <w:r w:rsidRPr="0017764D">
        <w:t>If a reablement or linking support period is open, the team leader will ask the assessor to finalise the support period so the SPR request can be issued</w:t>
      </w:r>
    </w:p>
    <w:p w14:paraId="100D90BD" w14:textId="77777777" w:rsidR="0016744D" w:rsidRPr="0017764D" w:rsidRDefault="0016744D" w:rsidP="00DF3F6B">
      <w:pPr>
        <w:numPr>
          <w:ilvl w:val="0"/>
          <w:numId w:val="63"/>
        </w:numPr>
        <w:spacing w:before="240" w:after="240" w:line="240" w:lineRule="auto"/>
        <w:ind w:left="568" w:hanging="284"/>
      </w:pPr>
      <w:r w:rsidRPr="0017764D">
        <w:t>the assessor may initiate a SPR without requiring a request or scheduled SPR.</w:t>
      </w:r>
    </w:p>
    <w:p w14:paraId="0F87DF4B" w14:textId="77777777" w:rsidR="00D47D94" w:rsidRPr="000027E3" w:rsidRDefault="00D47D94" w:rsidP="00C325C6">
      <w:pPr>
        <w:pStyle w:val="Sub-headings"/>
      </w:pPr>
      <w:r w:rsidRPr="00904192">
        <w:t>Note</w:t>
      </w:r>
      <w:r w:rsidRPr="000027E3">
        <w:t xml:space="preserve">: </w:t>
      </w:r>
    </w:p>
    <w:p w14:paraId="0226A2E3" w14:textId="77777777" w:rsidR="00DF2B65" w:rsidRDefault="00D47D94" w:rsidP="00C325C6">
      <w:pPr>
        <w:pStyle w:val="Sub-headings"/>
      </w:pPr>
      <w:r w:rsidRPr="00AD59CE">
        <w:t xml:space="preserve">A SPR may be requested when an older person is undergoing reablement and/or linking support. </w:t>
      </w:r>
    </w:p>
    <w:p w14:paraId="67D8E245" w14:textId="2AC27C48" w:rsidR="00DF2B65" w:rsidRDefault="00D47D94" w:rsidP="00C325C6">
      <w:pPr>
        <w:pStyle w:val="Sub-headings"/>
      </w:pPr>
      <w:r w:rsidRPr="00AD59CE">
        <w:t xml:space="preserve">If the older person is undergoing reablement or linking support, the team leader will not be able to assign the SPR until the support period is marked as completed. </w:t>
      </w:r>
    </w:p>
    <w:p w14:paraId="4B48878E" w14:textId="3994DB09" w:rsidR="00D47D94" w:rsidRDefault="00D47D94" w:rsidP="00C325C6">
      <w:pPr>
        <w:pStyle w:val="Sub-headings"/>
      </w:pPr>
      <w:r w:rsidRPr="00AD59CE">
        <w:t>To allow continuity of the support period, the assessor can re-add the support period during the SPR.</w:t>
      </w:r>
    </w:p>
    <w:p w14:paraId="1CCDBA28" w14:textId="77777777" w:rsidR="0016744D" w:rsidRPr="0017764D" w:rsidRDefault="0016744D" w:rsidP="00856600">
      <w:pPr>
        <w:spacing w:before="240" w:after="240" w:line="240" w:lineRule="auto"/>
        <w:rPr>
          <w:lang w:eastAsia="ko-KR"/>
        </w:rPr>
      </w:pPr>
      <w:r w:rsidRPr="0017764D">
        <w:rPr>
          <w:lang w:eastAsia="ko-KR"/>
        </w:rPr>
        <w:t xml:space="preserve">The My Aged Care Contact Centre, ACSO and service providers should include the following information when requesting a SPR or </w:t>
      </w:r>
      <w:r>
        <w:rPr>
          <w:lang w:eastAsia="ko-KR"/>
        </w:rPr>
        <w:t>reassessment</w:t>
      </w:r>
      <w:r w:rsidRPr="0017764D">
        <w:rPr>
          <w:lang w:eastAsia="ko-KR"/>
        </w:rPr>
        <w:t>:</w:t>
      </w:r>
    </w:p>
    <w:p w14:paraId="1B6B6162"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why the request has been made (e.g., older person’s circumstance)</w:t>
      </w:r>
    </w:p>
    <w:p w14:paraId="01839FB5"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what is the request for (e.g., service type) and why it is needed (e.g., older person’s change in needs or goals)</w:t>
      </w:r>
    </w:p>
    <w:p w14:paraId="31929196"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if the request is urgent and why it is urgent</w:t>
      </w:r>
    </w:p>
    <w:p w14:paraId="5EE7EF20"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if the person has a preference to be assessed by an Aboriginal and Torres Strait Islander assessment organisation</w:t>
      </w:r>
    </w:p>
    <w:p w14:paraId="02CD767C"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what services the older person is currently receiving</w:t>
      </w:r>
    </w:p>
    <w:p w14:paraId="1F47125F"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identify options explored with the older person to increase their current support</w:t>
      </w:r>
    </w:p>
    <w:p w14:paraId="04987725"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attach supporting documentation where relevant</w:t>
      </w:r>
    </w:p>
    <w:p w14:paraId="681F8C7F" w14:textId="77777777" w:rsidR="0016744D" w:rsidRPr="0017764D" w:rsidRDefault="0016744D" w:rsidP="00DF3F6B">
      <w:pPr>
        <w:pStyle w:val="ListParagraph"/>
        <w:numPr>
          <w:ilvl w:val="0"/>
          <w:numId w:val="60"/>
        </w:numPr>
        <w:spacing w:before="240" w:after="240" w:line="240" w:lineRule="auto"/>
        <w:ind w:left="568" w:hanging="284"/>
        <w:rPr>
          <w:lang w:eastAsia="ko-KR"/>
        </w:rPr>
      </w:pPr>
      <w:r w:rsidRPr="0017764D">
        <w:rPr>
          <w:lang w:eastAsia="ko-KR"/>
        </w:rPr>
        <w:t>identify significant changes in circumstances that the older person has experienced</w:t>
      </w:r>
    </w:p>
    <w:p w14:paraId="35195A45" w14:textId="07C0B4E6" w:rsidR="0016744D" w:rsidRPr="00787C3D" w:rsidRDefault="0016744D" w:rsidP="00C56CEC">
      <w:pPr>
        <w:pStyle w:val="H3"/>
      </w:pPr>
      <w:r w:rsidRPr="00787C3D">
        <w:t>Managing a</w:t>
      </w:r>
      <w:r w:rsidR="00885496">
        <w:t>n SPR</w:t>
      </w:r>
      <w:r w:rsidRPr="00787C3D">
        <w:t xml:space="preserve"> request</w:t>
      </w:r>
    </w:p>
    <w:p w14:paraId="28A8E77A" w14:textId="77777777" w:rsidR="0016744D" w:rsidRPr="00787C3D" w:rsidRDefault="0016744D" w:rsidP="00856600">
      <w:pPr>
        <w:spacing w:before="240" w:after="240" w:line="240" w:lineRule="auto"/>
      </w:pPr>
      <w:r w:rsidRPr="00787C3D">
        <w:t>Upon receiving a SPR request and understanding the client’s preferences and needs, the team leader should consider the most appropriate action:</w:t>
      </w:r>
    </w:p>
    <w:p w14:paraId="72C50810" w14:textId="77777777" w:rsidR="0016744D" w:rsidRPr="00787C3D" w:rsidRDefault="0016744D" w:rsidP="00DF3F6B">
      <w:pPr>
        <w:pStyle w:val="ListParagraph"/>
        <w:numPr>
          <w:ilvl w:val="0"/>
          <w:numId w:val="62"/>
        </w:numPr>
        <w:spacing w:before="240" w:after="240" w:line="240" w:lineRule="auto"/>
        <w:ind w:left="568" w:hanging="284"/>
      </w:pPr>
      <w:r w:rsidRPr="00787C3D">
        <w:t xml:space="preserve">assign the request </w:t>
      </w:r>
    </w:p>
    <w:p w14:paraId="0BD3385D" w14:textId="77777777" w:rsidR="0016744D" w:rsidRPr="00787C3D" w:rsidRDefault="0016744D" w:rsidP="00DF3F6B">
      <w:pPr>
        <w:pStyle w:val="ListParagraph"/>
        <w:numPr>
          <w:ilvl w:val="0"/>
          <w:numId w:val="62"/>
        </w:numPr>
        <w:spacing w:before="240" w:after="240" w:line="240" w:lineRule="auto"/>
        <w:ind w:left="568" w:hanging="284"/>
      </w:pPr>
      <w:r w:rsidRPr="00787C3D">
        <w:t>transfer the request</w:t>
      </w:r>
    </w:p>
    <w:p w14:paraId="412606A6" w14:textId="77777777" w:rsidR="0016744D" w:rsidRPr="00787C3D" w:rsidRDefault="0016744D" w:rsidP="00DF3F6B">
      <w:pPr>
        <w:pStyle w:val="ListParagraph"/>
        <w:numPr>
          <w:ilvl w:val="0"/>
          <w:numId w:val="62"/>
        </w:numPr>
        <w:spacing w:before="240" w:after="240" w:line="240" w:lineRule="auto"/>
        <w:ind w:left="568" w:hanging="284"/>
      </w:pPr>
      <w:r w:rsidRPr="00787C3D">
        <w:t xml:space="preserve">recommend a </w:t>
      </w:r>
      <w:r>
        <w:t>reassessment</w:t>
      </w:r>
      <w:r w:rsidRPr="00787C3D">
        <w:t>, or</w:t>
      </w:r>
    </w:p>
    <w:p w14:paraId="6AD9F75A" w14:textId="77777777" w:rsidR="0016744D" w:rsidRPr="00787C3D" w:rsidRDefault="0016744D" w:rsidP="00DF3F6B">
      <w:pPr>
        <w:pStyle w:val="ListParagraph"/>
        <w:numPr>
          <w:ilvl w:val="0"/>
          <w:numId w:val="62"/>
        </w:numPr>
        <w:spacing w:before="240" w:after="240" w:line="240" w:lineRule="auto"/>
        <w:ind w:left="568" w:hanging="284"/>
      </w:pPr>
      <w:r w:rsidRPr="00787C3D">
        <w:t>cancel the request</w:t>
      </w:r>
    </w:p>
    <w:p w14:paraId="7F89D442" w14:textId="0BCC8E6D" w:rsidR="00EE35B1" w:rsidRDefault="00EE35B1" w:rsidP="00856600">
      <w:pPr>
        <w:spacing w:before="240" w:after="240" w:line="240" w:lineRule="auto"/>
      </w:pPr>
      <w:r>
        <w:t>While no priority category for SPRs exists as it does for assessment referrals, assessors should consider prioritising SPRs where there is an identifiable urgent need</w:t>
      </w:r>
      <w:r w:rsidR="007C0E19">
        <w:t>. This helps</w:t>
      </w:r>
      <w:r w:rsidR="007C0E19" w:rsidRPr="007C0E19">
        <w:rPr>
          <w:lang w:val="en-US"/>
        </w:rPr>
        <w:t xml:space="preserve"> </w:t>
      </w:r>
      <w:r w:rsidR="007C0E19" w:rsidRPr="007A69D5">
        <w:rPr>
          <w:lang w:val="en-US"/>
        </w:rPr>
        <w:t xml:space="preserve">ensure </w:t>
      </w:r>
      <w:r w:rsidR="00516348">
        <w:rPr>
          <w:lang w:val="en-US"/>
        </w:rPr>
        <w:t>older people</w:t>
      </w:r>
      <w:r w:rsidR="007C0E19" w:rsidRPr="007A69D5">
        <w:rPr>
          <w:lang w:val="en-US"/>
        </w:rPr>
        <w:t xml:space="preserve"> who require a higher level of care and services due to their condition are afforded an appropriate assessment with minimal delays</w:t>
      </w:r>
      <w:r>
        <w:t>. In particular, assessors should prioritise:</w:t>
      </w:r>
    </w:p>
    <w:p w14:paraId="65A0F284" w14:textId="77777777" w:rsidR="00EE35B1" w:rsidRDefault="00EE35B1" w:rsidP="00DF3F6B">
      <w:pPr>
        <w:pStyle w:val="ListParagraph"/>
        <w:numPr>
          <w:ilvl w:val="0"/>
          <w:numId w:val="417"/>
        </w:numPr>
        <w:spacing w:before="240" w:after="240" w:line="240" w:lineRule="auto"/>
      </w:pPr>
      <w:r w:rsidRPr="0038559D">
        <w:t>End-of-Life SPRs,</w:t>
      </w:r>
      <w:r>
        <w:rPr>
          <w:b/>
          <w:bCs/>
        </w:rPr>
        <w:t xml:space="preserve"> </w:t>
      </w:r>
      <w:r>
        <w:t>completing them as soon as possible. These will be marked ‘urgent’ in the system.</w:t>
      </w:r>
    </w:p>
    <w:p w14:paraId="6A84AC9C" w14:textId="55F917DC" w:rsidR="00EE35B1" w:rsidRDefault="00EE35B1" w:rsidP="00DF3F6B">
      <w:pPr>
        <w:pStyle w:val="ListParagraph"/>
        <w:numPr>
          <w:ilvl w:val="0"/>
          <w:numId w:val="417"/>
        </w:numPr>
        <w:spacing w:before="240" w:after="240" w:line="240" w:lineRule="auto"/>
      </w:pPr>
      <w:r>
        <w:t xml:space="preserve">Referrals where referral information indicates a significant event has occurred or the older person has </w:t>
      </w:r>
      <w:r w:rsidRPr="005B07D7">
        <w:t>a rapidly deteriorating condition</w:t>
      </w:r>
      <w:r>
        <w:t>, all of which will likely result in a reassessment. This will help ensure prompt review by a Triage Delegate</w:t>
      </w:r>
      <w:r w:rsidR="0062408B">
        <w:t>, who may</w:t>
      </w:r>
      <w:r w:rsidR="00CE27F4" w:rsidRPr="007A69D5">
        <w:rPr>
          <w:lang w:val="en-US"/>
        </w:rPr>
        <w:t xml:space="preserve"> recommend interim CHSP services for the individual</w:t>
      </w:r>
      <w:r w:rsidR="00CE27F4">
        <w:rPr>
          <w:lang w:val="en-US"/>
        </w:rPr>
        <w:t>.</w:t>
      </w:r>
    </w:p>
    <w:p w14:paraId="7EDEC3C5" w14:textId="35C55884" w:rsidR="00EE35B1" w:rsidRDefault="00EE35B1" w:rsidP="00DF3F6B">
      <w:pPr>
        <w:pStyle w:val="ListParagraph"/>
        <w:numPr>
          <w:ilvl w:val="0"/>
          <w:numId w:val="417"/>
        </w:numPr>
        <w:spacing w:before="240" w:after="240" w:line="240" w:lineRule="auto"/>
      </w:pPr>
      <w:r>
        <w:t xml:space="preserve">Requests for </w:t>
      </w:r>
      <w:r w:rsidRPr="005E1163">
        <w:rPr>
          <w:b/>
          <w:bCs/>
        </w:rPr>
        <w:t>a second unit of restorative care</w:t>
      </w:r>
      <w:r>
        <w:t xml:space="preserve"> where there is a need for continuity of services</w:t>
      </w:r>
    </w:p>
    <w:p w14:paraId="79C01ACD" w14:textId="70393B2B" w:rsidR="0016744D" w:rsidRPr="00787C3D" w:rsidRDefault="00EE35B1" w:rsidP="00856600">
      <w:pPr>
        <w:spacing w:before="240" w:after="240" w:line="240" w:lineRule="auto"/>
        <w:rPr>
          <w:lang w:val="en-US"/>
        </w:rPr>
      </w:pPr>
      <w:r>
        <w:t xml:space="preserve">Otherwise, </w:t>
      </w:r>
      <w:r w:rsidR="00CC630E">
        <w:rPr>
          <w:lang w:val="en-US"/>
        </w:rPr>
        <w:t>a</w:t>
      </w:r>
      <w:r w:rsidR="0016744D" w:rsidRPr="00787C3D">
        <w:rPr>
          <w:lang w:val="en-US"/>
        </w:rPr>
        <w:t>ssessment organisations should make contact with the older person’s primary contact (who may be the older person, registered supporter</w:t>
      </w:r>
      <w:r w:rsidR="007051E1">
        <w:rPr>
          <w:lang w:val="en-US"/>
        </w:rPr>
        <w:t>, appointed decision maker</w:t>
      </w:r>
      <w:r w:rsidR="0016744D" w:rsidRPr="00787C3D">
        <w:rPr>
          <w:lang w:val="en-US"/>
        </w:rPr>
        <w:t xml:space="preserve"> or agent organisation) about a non-urgent SPR request within </w:t>
      </w:r>
      <w:r w:rsidR="0016744D" w:rsidRPr="00787C3D">
        <w:rPr>
          <w:b/>
          <w:lang w:val="en-US"/>
        </w:rPr>
        <w:t>two</w:t>
      </w:r>
      <w:r w:rsidR="0016744D" w:rsidRPr="00787C3D">
        <w:rPr>
          <w:lang w:val="en-US"/>
        </w:rPr>
        <w:t xml:space="preserve"> to </w:t>
      </w:r>
      <w:r w:rsidR="0016744D" w:rsidRPr="00787C3D">
        <w:rPr>
          <w:b/>
          <w:lang w:val="en-US"/>
        </w:rPr>
        <w:t>four</w:t>
      </w:r>
      <w:r w:rsidR="0016744D" w:rsidRPr="00787C3D">
        <w:rPr>
          <w:lang w:val="en-US"/>
        </w:rPr>
        <w:t xml:space="preserve"> weeks. SPRs should be completed within 15 days from the date of the SPR referral is accepted, with priority given to older </w:t>
      </w:r>
      <w:r w:rsidR="0016744D">
        <w:rPr>
          <w:lang w:val="en-US"/>
        </w:rPr>
        <w:t>people</w:t>
      </w:r>
      <w:r w:rsidR="0016744D" w:rsidRPr="00787C3D">
        <w:rPr>
          <w:lang w:val="en-US"/>
        </w:rPr>
        <w:t xml:space="preserve"> with the greatest need </w:t>
      </w:r>
      <w:r w:rsidR="0016744D" w:rsidRPr="003B2DA6">
        <w:rPr>
          <w:lang w:val="en-US"/>
        </w:rPr>
        <w:t>(as specified within the request indicated by providers or by the My Aged Care contact centre/ACSO).</w:t>
      </w:r>
      <w:r w:rsidR="0062408B">
        <w:br/>
      </w:r>
    </w:p>
    <w:p w14:paraId="4792E9B4" w14:textId="77777777" w:rsidR="0016744D" w:rsidRPr="00FF5155" w:rsidRDefault="0016744D" w:rsidP="00856600">
      <w:pPr>
        <w:pStyle w:val="H5"/>
        <w:spacing w:before="240" w:after="240" w:line="240" w:lineRule="auto"/>
      </w:pPr>
      <w:r w:rsidRPr="00FF5155">
        <w:t>Transfer the request</w:t>
      </w:r>
    </w:p>
    <w:p w14:paraId="6A1C6977" w14:textId="77777777" w:rsidR="0016744D" w:rsidRPr="008232F2" w:rsidRDefault="0016744D" w:rsidP="00856600">
      <w:pPr>
        <w:spacing w:before="240" w:after="240" w:line="240" w:lineRule="auto"/>
        <w:rPr>
          <w:lang w:val="en-US"/>
        </w:rPr>
      </w:pPr>
      <w:r w:rsidRPr="008232F2">
        <w:rPr>
          <w:lang w:val="en-US"/>
        </w:rPr>
        <w:t>In some instances, assessment organisations may need to transfer the SPR to another assessment organisation or return the request to the My Aged Care contact centre. If the former, it is recommended that the assessment organisation contact the other assessment organisation to confirm the transfer before actioning in the system.</w:t>
      </w:r>
    </w:p>
    <w:p w14:paraId="2789AE44" w14:textId="77777777" w:rsidR="000E0B6C" w:rsidRPr="000027E3" w:rsidRDefault="0016744D" w:rsidP="00C325C6">
      <w:pPr>
        <w:pStyle w:val="Sub-headings"/>
      </w:pPr>
      <w:r w:rsidRPr="00904192">
        <w:t>Note</w:t>
      </w:r>
      <w:r w:rsidRPr="000027E3">
        <w:t xml:space="preserve">: </w:t>
      </w:r>
    </w:p>
    <w:p w14:paraId="5008EC39" w14:textId="77777777" w:rsidR="00DF2B65" w:rsidRDefault="0016744D" w:rsidP="00C325C6">
      <w:pPr>
        <w:pStyle w:val="Sub-headings"/>
      </w:pPr>
      <w:r w:rsidRPr="008232F2">
        <w:t xml:space="preserve">Extra care will need to be taken by team leaders during the staged rollout of Aboriginal and Torres Strait Islander assessment organisations. </w:t>
      </w:r>
    </w:p>
    <w:p w14:paraId="72E75398" w14:textId="7D170D47" w:rsidR="00DF2B65" w:rsidRDefault="0016744D" w:rsidP="00C325C6">
      <w:pPr>
        <w:pStyle w:val="Sub-headings"/>
      </w:pPr>
      <w:r w:rsidRPr="008232F2">
        <w:t xml:space="preserve">There may be instances where a client has had previous interactions with a single assessment system organisation yet has a preference for an Aboriginal and Torres Strait Islander assessment </w:t>
      </w:r>
      <w:r>
        <w:t>organisation</w:t>
      </w:r>
      <w:r w:rsidR="17045C23">
        <w:t xml:space="preserve"> </w:t>
      </w:r>
      <w:r w:rsidR="00645684">
        <w:t>when one becomes available</w:t>
      </w:r>
      <w:r w:rsidRPr="008232F2">
        <w:t xml:space="preserve">. </w:t>
      </w:r>
    </w:p>
    <w:p w14:paraId="5F06FA95" w14:textId="3D68A74F" w:rsidR="0016744D" w:rsidRPr="008232F2" w:rsidRDefault="0016744D" w:rsidP="00C325C6">
      <w:pPr>
        <w:pStyle w:val="Sub-headings"/>
      </w:pPr>
      <w:r w:rsidRPr="008232F2">
        <w:t>In this instance, it is recommended that the client be transferred to an Aboriginal and Torres Strait Islander organisation as per the current warm transfer process.</w:t>
      </w:r>
    </w:p>
    <w:p w14:paraId="29C805BD" w14:textId="77777777" w:rsidR="0016744D" w:rsidRPr="000D3919" w:rsidRDefault="0016744D" w:rsidP="00856600">
      <w:pPr>
        <w:pStyle w:val="H5"/>
        <w:spacing w:before="240" w:after="240" w:line="240" w:lineRule="auto"/>
        <w:rPr>
          <w:color w:val="auto"/>
        </w:rPr>
      </w:pPr>
      <w:r w:rsidRPr="000D3919">
        <w:rPr>
          <w:color w:val="auto"/>
        </w:rPr>
        <w:t>Recommend a reassessment</w:t>
      </w:r>
    </w:p>
    <w:p w14:paraId="7990F4CE" w14:textId="3CB5F4C7" w:rsidR="0016744D" w:rsidRPr="00657CC9" w:rsidRDefault="0016744D" w:rsidP="00856600">
      <w:pPr>
        <w:spacing w:before="240" w:after="240" w:line="240" w:lineRule="auto"/>
      </w:pPr>
      <w:r w:rsidRPr="00657CC9">
        <w:t xml:space="preserve">If the older person’s circumstances have significantly changed and it is more appropriate to request a </w:t>
      </w:r>
      <w:r>
        <w:t>reassessment</w:t>
      </w:r>
      <w:r w:rsidRPr="00657CC9">
        <w:t xml:space="preserve"> rather than completing a SPR, select ‘Recommend a </w:t>
      </w:r>
      <w:r>
        <w:t>reassessment</w:t>
      </w:r>
      <w:r w:rsidRPr="00657CC9">
        <w:t xml:space="preserve">’. </w:t>
      </w:r>
      <w:r w:rsidR="009C4B49">
        <w:t xml:space="preserve">The Triage Delegate will then determine </w:t>
      </w:r>
      <w:r w:rsidR="009C2B81">
        <w:t>whether or not a full reassessment is required.</w:t>
      </w:r>
    </w:p>
    <w:p w14:paraId="490C782C" w14:textId="77777777" w:rsidR="0016744D" w:rsidRPr="000D3919" w:rsidRDefault="0016744D" w:rsidP="00856600">
      <w:pPr>
        <w:pStyle w:val="H5"/>
        <w:spacing w:before="240" w:after="240" w:line="240" w:lineRule="auto"/>
        <w:rPr>
          <w:color w:val="auto"/>
        </w:rPr>
      </w:pPr>
      <w:r w:rsidRPr="000D3919">
        <w:rPr>
          <w:color w:val="auto"/>
        </w:rPr>
        <w:t>Cancel the request</w:t>
      </w:r>
    </w:p>
    <w:p w14:paraId="7E6B1B34" w14:textId="77777777" w:rsidR="0016744D" w:rsidRPr="00703CAD" w:rsidRDefault="0016744D" w:rsidP="00856600">
      <w:pPr>
        <w:spacing w:before="240" w:after="240" w:line="240" w:lineRule="auto"/>
        <w:rPr>
          <w:lang w:eastAsia="ko-KR"/>
        </w:rPr>
      </w:pPr>
      <w:r w:rsidRPr="00703CAD">
        <w:rPr>
          <w:lang w:eastAsia="ko-KR"/>
        </w:rPr>
        <w:t>Actions if considering cancelling the SPR:</w:t>
      </w:r>
    </w:p>
    <w:p w14:paraId="6DFF9751" w14:textId="77777777" w:rsidR="0016744D" w:rsidRPr="00703CAD" w:rsidRDefault="0016744D" w:rsidP="00DF3F6B">
      <w:pPr>
        <w:pStyle w:val="ListParagraph"/>
        <w:numPr>
          <w:ilvl w:val="0"/>
          <w:numId w:val="61"/>
        </w:numPr>
        <w:spacing w:before="240" w:after="240" w:line="240" w:lineRule="auto"/>
        <w:ind w:left="567" w:hanging="283"/>
        <w:rPr>
          <w:lang w:eastAsia="ko-KR"/>
        </w:rPr>
      </w:pPr>
      <w:r w:rsidRPr="00703CAD">
        <w:rPr>
          <w:lang w:eastAsia="ko-KR"/>
        </w:rPr>
        <w:t xml:space="preserve">If there is insufficient information on the SPR request, however clarification is required on certain aspects, the assessor should contact the older person </w:t>
      </w:r>
      <w:r w:rsidRPr="003B2DA6">
        <w:rPr>
          <w:lang w:eastAsia="ko-KR"/>
        </w:rPr>
        <w:t>or service provider</w:t>
      </w:r>
      <w:r w:rsidRPr="00703CAD">
        <w:rPr>
          <w:lang w:eastAsia="ko-KR"/>
        </w:rPr>
        <w:t xml:space="preserve"> where possible to clarify the request, prior to progressing a decision to cancel the SPR. This will manage the risk to older </w:t>
      </w:r>
      <w:r>
        <w:rPr>
          <w:lang w:eastAsia="ko-KR"/>
        </w:rPr>
        <w:t>people</w:t>
      </w:r>
      <w:r w:rsidRPr="00703CAD">
        <w:rPr>
          <w:lang w:eastAsia="ko-KR"/>
        </w:rPr>
        <w:t xml:space="preserve"> to ensure the older person is not disadvantaged where they require changes to their aged care support. </w:t>
      </w:r>
    </w:p>
    <w:p w14:paraId="015D0154" w14:textId="72B14107" w:rsidR="0016744D" w:rsidRPr="00703CAD" w:rsidRDefault="0016744D" w:rsidP="00DF3F6B">
      <w:pPr>
        <w:pStyle w:val="ListParagraph"/>
        <w:numPr>
          <w:ilvl w:val="0"/>
          <w:numId w:val="61"/>
        </w:numPr>
        <w:spacing w:before="240" w:after="240" w:line="240" w:lineRule="auto"/>
        <w:ind w:left="567" w:hanging="283"/>
        <w:rPr>
          <w:lang w:eastAsia="ko-KR"/>
        </w:rPr>
      </w:pPr>
      <w:r w:rsidRPr="00703CAD">
        <w:rPr>
          <w:lang w:eastAsia="ko-KR"/>
        </w:rPr>
        <w:t xml:space="preserve">The review request may be cancelled by an assessor and a SPR not undertaken if it is inappropriate or if insufficient information is provided to warrant the SPR, or the assessor (after a number of attempts) has not been able to contact the older person’s primary contact (who may be the older person, registered supporter, </w:t>
      </w:r>
      <w:r w:rsidR="00522B8D">
        <w:rPr>
          <w:lang w:eastAsia="ko-KR"/>
        </w:rPr>
        <w:t xml:space="preserve">appointed decision maker </w:t>
      </w:r>
      <w:r w:rsidRPr="00703CAD">
        <w:rPr>
          <w:lang w:eastAsia="ko-KR"/>
        </w:rPr>
        <w:t>or agent</w:t>
      </w:r>
      <w:r>
        <w:rPr>
          <w:lang w:eastAsia="ko-KR"/>
        </w:rPr>
        <w:t xml:space="preserve"> organisation</w:t>
      </w:r>
      <w:r w:rsidRPr="00703CAD">
        <w:rPr>
          <w:lang w:eastAsia="ko-KR"/>
        </w:rPr>
        <w:t>).</w:t>
      </w:r>
    </w:p>
    <w:p w14:paraId="6808B394" w14:textId="3EDCD3A8" w:rsidR="0016744D" w:rsidRPr="00703CAD" w:rsidRDefault="0016744D" w:rsidP="00DF3F6B">
      <w:pPr>
        <w:pStyle w:val="ListParagraph"/>
        <w:numPr>
          <w:ilvl w:val="0"/>
          <w:numId w:val="61"/>
        </w:numPr>
        <w:spacing w:before="240" w:after="240" w:line="240" w:lineRule="auto"/>
        <w:ind w:left="567" w:hanging="283"/>
        <w:rPr>
          <w:lang w:eastAsia="ko-KR"/>
        </w:rPr>
      </w:pPr>
      <w:r w:rsidRPr="00703CAD">
        <w:rPr>
          <w:lang w:eastAsia="ko-KR"/>
        </w:rPr>
        <w:t xml:space="preserve">As a minimum requirement, where the assessor cancels the SPR, they must include the cancellation reason and provide clear explanation justifying the cancellation in the cancellation details field. </w:t>
      </w:r>
    </w:p>
    <w:p w14:paraId="72560488" w14:textId="341504B7" w:rsidR="003D72D3" w:rsidRDefault="00745B57" w:rsidP="00DF3F6B">
      <w:pPr>
        <w:pStyle w:val="ListParagraph"/>
        <w:numPr>
          <w:ilvl w:val="0"/>
          <w:numId w:val="61"/>
        </w:numPr>
        <w:spacing w:before="240" w:after="240" w:line="240" w:lineRule="auto"/>
        <w:ind w:left="567" w:hanging="283"/>
        <w:rPr>
          <w:lang w:eastAsia="ko-KR"/>
        </w:rPr>
      </w:pPr>
      <w:r>
        <w:rPr>
          <w:lang w:eastAsia="ko-KR"/>
        </w:rPr>
        <w:t xml:space="preserve">Indicating a </w:t>
      </w:r>
      <w:r w:rsidR="0016744D" w:rsidRPr="00703CAD">
        <w:rPr>
          <w:lang w:eastAsia="ko-KR"/>
        </w:rPr>
        <w:t xml:space="preserve">clear cancellation reason allows the person making the request </w:t>
      </w:r>
      <w:r w:rsidR="00C96B16">
        <w:rPr>
          <w:lang w:eastAsia="ko-KR"/>
        </w:rPr>
        <w:t xml:space="preserve">to, </w:t>
      </w:r>
      <w:r w:rsidR="0016744D" w:rsidRPr="00703CAD">
        <w:rPr>
          <w:lang w:eastAsia="ko-KR"/>
        </w:rPr>
        <w:t>if necessary, amend and resubmit the request or follow up with the assessor as necessary.</w:t>
      </w:r>
    </w:p>
    <w:p w14:paraId="30DE1A39" w14:textId="38B0B810" w:rsidR="0016744D" w:rsidRPr="00703CAD" w:rsidRDefault="003D72D3" w:rsidP="00DF3F6B">
      <w:pPr>
        <w:pStyle w:val="ListParagraph"/>
        <w:numPr>
          <w:ilvl w:val="0"/>
          <w:numId w:val="61"/>
        </w:numPr>
        <w:spacing w:before="240" w:after="240" w:line="240" w:lineRule="auto"/>
        <w:ind w:left="567" w:hanging="283"/>
        <w:rPr>
          <w:lang w:eastAsia="ko-KR"/>
        </w:rPr>
      </w:pPr>
      <w:r>
        <w:rPr>
          <w:lang w:eastAsia="ko-KR"/>
        </w:rPr>
        <w:t>Where</w:t>
      </w:r>
      <w:r w:rsidR="000936B3">
        <w:rPr>
          <w:lang w:eastAsia="ko-KR"/>
        </w:rPr>
        <w:t xml:space="preserve">, through the course of the </w:t>
      </w:r>
      <w:r w:rsidR="00C937AA">
        <w:rPr>
          <w:lang w:eastAsia="ko-KR"/>
        </w:rPr>
        <w:t>SPR conversation,</w:t>
      </w:r>
      <w:r>
        <w:rPr>
          <w:lang w:eastAsia="ko-KR"/>
        </w:rPr>
        <w:t xml:space="preserve"> the older person and/or their supporter</w:t>
      </w:r>
      <w:r w:rsidR="000936B3">
        <w:rPr>
          <w:lang w:eastAsia="ko-KR"/>
        </w:rPr>
        <w:t xml:space="preserve"> considers no changes are required</w:t>
      </w:r>
      <w:r w:rsidR="00C937AA">
        <w:rPr>
          <w:lang w:eastAsia="ko-KR"/>
        </w:rPr>
        <w:t xml:space="preserve">, they may </w:t>
      </w:r>
      <w:r w:rsidR="00112A51">
        <w:rPr>
          <w:lang w:eastAsia="ko-KR"/>
        </w:rPr>
        <w:t xml:space="preserve">agree that </w:t>
      </w:r>
      <w:r w:rsidR="00383083">
        <w:rPr>
          <w:lang w:eastAsia="ko-KR"/>
        </w:rPr>
        <w:t xml:space="preserve">the SPR can be cancelled and </w:t>
      </w:r>
      <w:r w:rsidR="00C937AA">
        <w:rPr>
          <w:lang w:eastAsia="ko-KR"/>
        </w:rPr>
        <w:t xml:space="preserve">withdraw their application. </w:t>
      </w:r>
      <w:r w:rsidR="003C58B4">
        <w:rPr>
          <w:lang w:eastAsia="ko-KR"/>
        </w:rPr>
        <w:t xml:space="preserve">A notice of decision advising on this outcome is not required </w:t>
      </w:r>
      <w:r w:rsidR="00C937AA">
        <w:rPr>
          <w:lang w:eastAsia="ko-KR"/>
        </w:rPr>
        <w:t>as the applicant’s application is taken to be withdrawn.</w:t>
      </w:r>
      <w:r w:rsidR="0016744D" w:rsidRPr="00703CAD">
        <w:rPr>
          <w:lang w:eastAsia="ko-KR"/>
        </w:rPr>
        <w:t xml:space="preserve"> </w:t>
      </w:r>
    </w:p>
    <w:p w14:paraId="27A9FE20" w14:textId="77777777" w:rsidR="009C4600" w:rsidRPr="000027E3" w:rsidRDefault="0016744D" w:rsidP="00C325C6">
      <w:pPr>
        <w:pStyle w:val="Sub-headings"/>
      </w:pPr>
      <w:bookmarkStart w:id="313" w:name="_Hlk85717557"/>
      <w:r w:rsidRPr="00904192">
        <w:t>Note</w:t>
      </w:r>
      <w:r w:rsidRPr="000027E3">
        <w:t xml:space="preserve">: </w:t>
      </w:r>
    </w:p>
    <w:p w14:paraId="57F55CD6" w14:textId="0EEFFC2D" w:rsidR="0016744D" w:rsidRPr="00703CAD" w:rsidRDefault="0016744D" w:rsidP="00C325C6">
      <w:pPr>
        <w:pStyle w:val="Sub-headings"/>
      </w:pPr>
      <w:r w:rsidRPr="00703CAD">
        <w:t xml:space="preserve">If an older person is requesting a </w:t>
      </w:r>
      <w:r>
        <w:t>reassessment</w:t>
      </w:r>
      <w:r w:rsidRPr="00703CAD">
        <w:t xml:space="preserve">, an SPR should be undertaken in the first instance. Doing so will allow the assessor to review whether there has been a significant change in aged care needs and referring for a </w:t>
      </w:r>
      <w:r>
        <w:t>reassessment</w:t>
      </w:r>
      <w:r w:rsidRPr="00703CAD">
        <w:t xml:space="preserve"> is warranted</w:t>
      </w:r>
      <w:bookmarkStart w:id="314" w:name="_Hlk85732044"/>
      <w:r w:rsidRPr="00703CAD">
        <w:t xml:space="preserve">. </w:t>
      </w:r>
      <w:bookmarkEnd w:id="314"/>
    </w:p>
    <w:p w14:paraId="7AF77553" w14:textId="77777777" w:rsidR="0016744D" w:rsidRPr="00703CAD" w:rsidRDefault="0016744D" w:rsidP="00C325C6">
      <w:pPr>
        <w:pStyle w:val="Sub-headings"/>
      </w:pPr>
      <w:r w:rsidRPr="00703CAD">
        <w:t xml:space="preserve">In most circumstances, the cancellation of the SPR should only occur where the older person or active, appointed decision maker, (whether registered as a supporter or not), understands and agrees to the cancellation of the SPR. A registered supporter can communicate information, including the decisions of the older person. </w:t>
      </w:r>
    </w:p>
    <w:p w14:paraId="28BA8F9F" w14:textId="3E5CBC62" w:rsidR="000E0B6C" w:rsidRDefault="0016744D" w:rsidP="00C325C6">
      <w:pPr>
        <w:pStyle w:val="Sub-headings"/>
      </w:pPr>
      <w:r w:rsidRPr="00703CAD">
        <w:t xml:space="preserve">This is also applicable where the assessor decides to cancel an SPR due to the older person having been recently provided with an SPR and there has been no change in the older person’s care needs or situation since the SPR was conducted. </w:t>
      </w:r>
      <w:bookmarkStart w:id="315" w:name="_Toc204329537"/>
      <w:bookmarkStart w:id="316" w:name="_Toc209188975"/>
      <w:bookmarkStart w:id="317" w:name="_Toc159226873"/>
      <w:bookmarkStart w:id="318" w:name="_Toc184402283"/>
      <w:bookmarkStart w:id="319" w:name="_Hlk79572160"/>
      <w:bookmarkEnd w:id="313"/>
    </w:p>
    <w:p w14:paraId="420E8888" w14:textId="28FCC1AF" w:rsidR="0016744D" w:rsidRPr="005F3B9C" w:rsidRDefault="0016744D" w:rsidP="00507F9D">
      <w:pPr>
        <w:pStyle w:val="h2"/>
        <w:rPr>
          <w:sz w:val="32"/>
          <w:szCs w:val="32"/>
        </w:rPr>
      </w:pPr>
      <w:bookmarkStart w:id="320" w:name="_Toc224916638"/>
      <w:r w:rsidRPr="005F3B9C">
        <w:t xml:space="preserve">Deceased </w:t>
      </w:r>
      <w:bookmarkEnd w:id="315"/>
      <w:bookmarkEnd w:id="316"/>
      <w:r w:rsidR="00516348">
        <w:t>older people</w:t>
      </w:r>
      <w:bookmarkEnd w:id="320"/>
      <w:r w:rsidRPr="005F3B9C">
        <w:tab/>
      </w:r>
    </w:p>
    <w:p w14:paraId="429899E2" w14:textId="001925F0" w:rsidR="0016744D" w:rsidRPr="005F3B9C" w:rsidRDefault="0016744D" w:rsidP="00856600">
      <w:pPr>
        <w:spacing w:before="240" w:after="240" w:line="240" w:lineRule="auto"/>
      </w:pPr>
      <w:r w:rsidRPr="005F3B9C">
        <w:t xml:space="preserve">Team leaders and assessors can notify My Aged Care of a deceased older person or registered supporter through the </w:t>
      </w:r>
      <w:r w:rsidR="0060352D">
        <w:t>assessor portal</w:t>
      </w:r>
      <w:r w:rsidRPr="005F3B9C">
        <w:t xml:space="preserve"> to change the older person’s record status to inactive. If assessors are aware of this information during the assessment process, they should complete the notification from the client</w:t>
      </w:r>
      <w:r w:rsidRPr="005F3B9C" w:rsidDel="00E333F2">
        <w:t xml:space="preserve"> </w:t>
      </w:r>
      <w:r w:rsidRPr="005F3B9C">
        <w:t xml:space="preserve">details tab by selecting the ‘Notify My Aged Care of a death’ button. </w:t>
      </w:r>
    </w:p>
    <w:p w14:paraId="735440B9" w14:textId="77777777" w:rsidR="0016744D" w:rsidRPr="005F3B9C" w:rsidRDefault="0016744D" w:rsidP="00856600">
      <w:pPr>
        <w:spacing w:before="240" w:after="240" w:line="240" w:lineRule="auto"/>
        <w:rPr>
          <w:rFonts w:ascii="Calibri" w:eastAsiaTheme="minorHAnsi" w:hAnsi="Calibri" w:cs="Calibri"/>
        </w:rPr>
      </w:pPr>
      <w:r w:rsidRPr="005F3B9C">
        <w:t>Alternatively, the assessor can complete the notification process by selecting ‘Older person deceased’ from the drop-down list when:</w:t>
      </w:r>
    </w:p>
    <w:p w14:paraId="0244004F" w14:textId="77777777" w:rsidR="0016744D" w:rsidRPr="005F3B9C" w:rsidRDefault="0016744D" w:rsidP="00DF3F6B">
      <w:pPr>
        <w:pStyle w:val="ListParagraph"/>
        <w:numPr>
          <w:ilvl w:val="0"/>
          <w:numId w:val="68"/>
        </w:numPr>
        <w:spacing w:before="240" w:after="240" w:line="240" w:lineRule="auto"/>
        <w:ind w:left="568" w:hanging="284"/>
        <w:contextualSpacing w:val="0"/>
        <w:rPr>
          <w:szCs w:val="20"/>
          <w:lang w:val="en"/>
        </w:rPr>
      </w:pPr>
      <w:r w:rsidRPr="005F3B9C">
        <w:rPr>
          <w:szCs w:val="20"/>
          <w:lang w:val="en"/>
        </w:rPr>
        <w:t xml:space="preserve">rejecting a referral for assessment; or </w:t>
      </w:r>
    </w:p>
    <w:p w14:paraId="05CC76FF" w14:textId="77777777" w:rsidR="0016744D" w:rsidRPr="005F3B9C" w:rsidRDefault="0016744D" w:rsidP="00DF3F6B">
      <w:pPr>
        <w:pStyle w:val="ListParagraph"/>
        <w:numPr>
          <w:ilvl w:val="0"/>
          <w:numId w:val="68"/>
        </w:numPr>
        <w:spacing w:before="240" w:after="240" w:line="240" w:lineRule="auto"/>
        <w:ind w:left="568" w:hanging="284"/>
        <w:contextualSpacing w:val="0"/>
        <w:rPr>
          <w:szCs w:val="20"/>
          <w:lang w:val="en"/>
        </w:rPr>
      </w:pPr>
      <w:r w:rsidRPr="005F3B9C">
        <w:rPr>
          <w:szCs w:val="20"/>
          <w:lang w:val="en"/>
        </w:rPr>
        <w:t>cancelling a support plan review.</w:t>
      </w:r>
    </w:p>
    <w:p w14:paraId="0FFDD322" w14:textId="5F819DC4" w:rsidR="0016744D" w:rsidRPr="005F3B9C" w:rsidRDefault="0016744D" w:rsidP="00856600">
      <w:pPr>
        <w:spacing w:before="240" w:after="240" w:line="240" w:lineRule="auto"/>
        <w:rPr>
          <w:lang w:val="en"/>
        </w:rPr>
      </w:pPr>
      <w:r w:rsidRPr="005F3B9C">
        <w:rPr>
          <w:lang w:val="en"/>
        </w:rPr>
        <w:t xml:space="preserve">In the case of a client passing away before an assessment could be completed, assessors should follow the ‘client deceased before assessment’ process available through the My Aged Care </w:t>
      </w:r>
      <w:r w:rsidR="0060352D">
        <w:rPr>
          <w:lang w:val="en"/>
        </w:rPr>
        <w:t>assessor portal</w:t>
      </w:r>
      <w:r w:rsidRPr="005F3B9C">
        <w:rPr>
          <w:lang w:val="en"/>
        </w:rPr>
        <w:t xml:space="preserve">. For further information, see the ‘exceptional circumstances’ section </w:t>
      </w:r>
      <w:r w:rsidR="00560575">
        <w:rPr>
          <w:lang w:val="en"/>
        </w:rPr>
        <w:fldChar w:fldCharType="begin"/>
      </w:r>
      <w:r w:rsidR="00560575">
        <w:rPr>
          <w:lang w:val="en"/>
        </w:rPr>
        <w:instrText xml:space="preserve"> REF _Ref212733742 \r \h </w:instrText>
      </w:r>
      <w:r w:rsidR="00560575">
        <w:rPr>
          <w:lang w:val="en"/>
        </w:rPr>
      </w:r>
      <w:r w:rsidR="00560575">
        <w:rPr>
          <w:lang w:val="en"/>
        </w:rPr>
        <w:fldChar w:fldCharType="separate"/>
      </w:r>
      <w:r w:rsidR="00F97942">
        <w:rPr>
          <w:lang w:val="en"/>
        </w:rPr>
        <w:t>3.5</w:t>
      </w:r>
      <w:r w:rsidR="00560575">
        <w:rPr>
          <w:lang w:val="en"/>
        </w:rPr>
        <w:fldChar w:fldCharType="end"/>
      </w:r>
      <w:r w:rsidRPr="005F3B9C">
        <w:rPr>
          <w:lang w:val="en"/>
        </w:rPr>
        <w:t xml:space="preserve"> of Chapter </w:t>
      </w:r>
      <w:r w:rsidR="00980B8F">
        <w:rPr>
          <w:lang w:val="en"/>
        </w:rPr>
        <w:fldChar w:fldCharType="begin"/>
      </w:r>
      <w:r w:rsidR="00980B8F">
        <w:rPr>
          <w:lang w:val="en"/>
        </w:rPr>
        <w:instrText xml:space="preserve"> REF _Ref212735379 \w \h </w:instrText>
      </w:r>
      <w:r w:rsidR="00980B8F">
        <w:rPr>
          <w:lang w:val="en"/>
        </w:rPr>
      </w:r>
      <w:r w:rsidR="00980B8F">
        <w:rPr>
          <w:lang w:val="en"/>
        </w:rPr>
        <w:fldChar w:fldCharType="separate"/>
      </w:r>
      <w:r w:rsidR="00F97942">
        <w:rPr>
          <w:lang w:val="en"/>
        </w:rPr>
        <w:t>3</w:t>
      </w:r>
      <w:r w:rsidR="00980B8F">
        <w:rPr>
          <w:lang w:val="en"/>
        </w:rPr>
        <w:fldChar w:fldCharType="end"/>
      </w:r>
      <w:r w:rsidRPr="005F3B9C">
        <w:rPr>
          <w:lang w:val="en"/>
        </w:rPr>
        <w:t>.</w:t>
      </w:r>
    </w:p>
    <w:tbl>
      <w:tblPr>
        <w:tblStyle w:val="TableGrid"/>
        <w:tblW w:w="0" w:type="auto"/>
        <w:tblLook w:val="04A0" w:firstRow="1" w:lastRow="0" w:firstColumn="1" w:lastColumn="0" w:noHBand="0" w:noVBand="1"/>
      </w:tblPr>
      <w:tblGrid>
        <w:gridCol w:w="844"/>
        <w:gridCol w:w="7922"/>
      </w:tblGrid>
      <w:tr w:rsidR="0016744D" w14:paraId="0081EE8D" w14:textId="77777777" w:rsidTr="003160C0">
        <w:trPr>
          <w:trHeight w:val="81"/>
        </w:trPr>
        <w:tc>
          <w:tcPr>
            <w:tcW w:w="844" w:type="dxa"/>
          </w:tcPr>
          <w:p w14:paraId="7557FEE4" w14:textId="77777777" w:rsidR="0016744D" w:rsidRPr="00A0667C" w:rsidRDefault="0016744D" w:rsidP="00856600">
            <w:pPr>
              <w:spacing w:before="240" w:after="240"/>
              <w:rPr>
                <w:b/>
                <w:szCs w:val="22"/>
              </w:rPr>
            </w:pPr>
            <w:r w:rsidRPr="00A0667C">
              <w:rPr>
                <w:noProof/>
                <w:shd w:val="clear" w:color="auto" w:fill="FFFFFF" w:themeFill="background1"/>
              </w:rPr>
              <w:drawing>
                <wp:inline distT="0" distB="0" distL="0" distR="0" wp14:anchorId="2D38D9C7" wp14:editId="79077B22">
                  <wp:extent cx="383111" cy="381000"/>
                  <wp:effectExtent l="0" t="0" r="0" b="0"/>
                  <wp:docPr id="755280313" name="Picture 7552803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4BDA6527" w14:textId="15A3E862" w:rsidR="0016744D" w:rsidRPr="00A0667C" w:rsidRDefault="0016744D" w:rsidP="0038559D">
            <w:pPr>
              <w:rPr>
                <w:szCs w:val="22"/>
              </w:rPr>
            </w:pPr>
            <w:hyperlink r:id="rId111">
              <w:r w:rsidRPr="00A0667C">
                <w:rPr>
                  <w:rStyle w:val="Hyperlink"/>
                  <w:szCs w:val="22"/>
                </w:rPr>
                <w:t xml:space="preserve">My Aged Care – Assessor Portal User Guide 1 – Registering and referring </w:t>
              </w:r>
              <w:r w:rsidR="00516348">
                <w:rPr>
                  <w:rStyle w:val="Hyperlink"/>
                  <w:szCs w:val="22"/>
                </w:rPr>
                <w:t>older people</w:t>
              </w:r>
            </w:hyperlink>
            <w:r w:rsidRPr="00A0667C">
              <w:rPr>
                <w:szCs w:val="22"/>
              </w:rPr>
              <w:t xml:space="preserve"> </w:t>
            </w:r>
          </w:p>
          <w:p w14:paraId="14677631" w14:textId="3376BA45" w:rsidR="0016744D" w:rsidRPr="00A0667C" w:rsidRDefault="0016744D" w:rsidP="0038559D">
            <w:pPr>
              <w:rPr>
                <w:szCs w:val="22"/>
              </w:rPr>
            </w:pPr>
            <w:hyperlink r:id="rId112">
              <w:r w:rsidRPr="00A0667C">
                <w:rPr>
                  <w:rStyle w:val="Hyperlink"/>
                  <w:szCs w:val="22"/>
                </w:rPr>
                <w:t>My Aged Care Assessor Portal User Guide 3 – Managing Referrals for Assessment and Support Plan Reviews</w:t>
              </w:r>
            </w:hyperlink>
            <w:r w:rsidRPr="00A0667C">
              <w:rPr>
                <w:szCs w:val="22"/>
              </w:rPr>
              <w:t xml:space="preserve"> </w:t>
            </w:r>
          </w:p>
          <w:p w14:paraId="602DF44A" w14:textId="54E7E90F" w:rsidR="0016744D" w:rsidRPr="00A0667C" w:rsidRDefault="0016744D" w:rsidP="0038559D">
            <w:pPr>
              <w:rPr>
                <w:b/>
                <w:color w:val="1E1444"/>
                <w:sz w:val="32"/>
                <w:szCs w:val="32"/>
                <w:lang w:val="en-US"/>
              </w:rPr>
            </w:pPr>
            <w:hyperlink r:id="rId113">
              <w:r w:rsidRPr="00A0667C">
                <w:rPr>
                  <w:rStyle w:val="Hyperlink"/>
                  <w:szCs w:val="22"/>
                </w:rPr>
                <w:t>My Aged Care – Assessor Portal User Guide 4 – Navigating and updating the older person record</w:t>
              </w:r>
            </w:hyperlink>
          </w:p>
          <w:p w14:paraId="5E01A774" w14:textId="77777777" w:rsidR="0016744D" w:rsidRPr="00A0667C" w:rsidRDefault="0016744D" w:rsidP="0038559D">
            <w:pPr>
              <w:rPr>
                <w:b/>
                <w:bCs/>
                <w:szCs w:val="22"/>
              </w:rPr>
            </w:pPr>
          </w:p>
        </w:tc>
      </w:tr>
    </w:tbl>
    <w:p w14:paraId="58893226" w14:textId="77777777" w:rsidR="009F4477" w:rsidRDefault="009F4477" w:rsidP="003160C0">
      <w:pPr>
        <w:rPr>
          <w:lang w:val="en-US"/>
        </w:rPr>
        <w:sectPr w:rsidR="009F4477" w:rsidSect="00ED03BF">
          <w:headerReference w:type="even" r:id="rId114"/>
          <w:headerReference w:type="default" r:id="rId115"/>
          <w:footerReference w:type="even" r:id="rId116"/>
          <w:footerReference w:type="default" r:id="rId117"/>
          <w:headerReference w:type="first" r:id="rId118"/>
          <w:footerReference w:type="first" r:id="rId119"/>
          <w:pgSz w:w="11906" w:h="16838"/>
          <w:pgMar w:top="1440" w:right="1700" w:bottom="1440" w:left="1440" w:header="708" w:footer="708" w:gutter="0"/>
          <w:cols w:space="708"/>
          <w:docGrid w:linePitch="360"/>
        </w:sectPr>
      </w:pPr>
      <w:bookmarkStart w:id="321" w:name="_Toc198813669"/>
      <w:bookmarkStart w:id="322" w:name="_Toc204329541"/>
      <w:bookmarkStart w:id="323" w:name="_Toc209188976"/>
      <w:bookmarkStart w:id="324" w:name="Ch4_Triage"/>
      <w:bookmarkEnd w:id="317"/>
      <w:bookmarkEnd w:id="318"/>
      <w:bookmarkEnd w:id="319"/>
    </w:p>
    <w:p w14:paraId="063B1342" w14:textId="06B3D5F8" w:rsidR="0006386D" w:rsidRDefault="0006386D" w:rsidP="003160C0">
      <w:pPr>
        <w:rPr>
          <w:lang w:val="en-US"/>
        </w:rPr>
      </w:pPr>
    </w:p>
    <w:p w14:paraId="631F9311" w14:textId="2D872661" w:rsidR="007A743C" w:rsidRPr="005906C6" w:rsidRDefault="007A743C" w:rsidP="00D816E6">
      <w:pPr>
        <w:pStyle w:val="H1"/>
      </w:pPr>
      <w:bookmarkStart w:id="325" w:name="_Ref212735055"/>
      <w:bookmarkStart w:id="326" w:name="_Ref212735077"/>
      <w:bookmarkStart w:id="327" w:name="_Ref212735165"/>
      <w:bookmarkStart w:id="328" w:name="_Ref212735941"/>
      <w:bookmarkStart w:id="329" w:name="_Ref212736043"/>
      <w:bookmarkStart w:id="330" w:name="_Ref212736098"/>
      <w:bookmarkStart w:id="331" w:name="_Ref212736166"/>
      <w:bookmarkStart w:id="332" w:name="_Ref212736469"/>
      <w:bookmarkStart w:id="333" w:name="_Ref212736487"/>
      <w:bookmarkStart w:id="334" w:name="_Ref212736507"/>
      <w:bookmarkStart w:id="335" w:name="_Toc224916639"/>
      <w:r w:rsidRPr="005906C6">
        <w:t xml:space="preserve">Chapter 5: </w:t>
      </w:r>
      <w:bookmarkEnd w:id="321"/>
      <w:r w:rsidRPr="005906C6">
        <w:t xml:space="preserve">Assessment </w:t>
      </w:r>
      <w:r w:rsidR="00CD761C">
        <w:t>a</w:t>
      </w:r>
      <w:r w:rsidRPr="005906C6">
        <w:t>ctivities</w:t>
      </w:r>
      <w:bookmarkEnd w:id="322"/>
      <w:bookmarkEnd w:id="323"/>
      <w:bookmarkEnd w:id="325"/>
      <w:bookmarkEnd w:id="326"/>
      <w:bookmarkEnd w:id="327"/>
      <w:bookmarkEnd w:id="328"/>
      <w:bookmarkEnd w:id="329"/>
      <w:bookmarkEnd w:id="330"/>
      <w:bookmarkEnd w:id="331"/>
      <w:bookmarkEnd w:id="332"/>
      <w:bookmarkEnd w:id="333"/>
      <w:bookmarkEnd w:id="334"/>
      <w:bookmarkEnd w:id="335"/>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56"/>
      </w:tblGrid>
      <w:tr w:rsidR="007A743C" w14:paraId="2C7CB611" w14:textId="77777777" w:rsidTr="000E0B6C">
        <w:tc>
          <w:tcPr>
            <w:tcW w:w="9016" w:type="dxa"/>
            <w:shd w:val="clear" w:color="auto" w:fill="F2F2F2" w:themeFill="background1" w:themeFillShade="F2"/>
          </w:tcPr>
          <w:p w14:paraId="4D59D45B" w14:textId="77777777" w:rsidR="007A743C" w:rsidRPr="00991A6D" w:rsidRDefault="007A743C" w:rsidP="006D539A">
            <w:bookmarkStart w:id="336" w:name="_Toc198813670"/>
            <w:bookmarkStart w:id="337" w:name="_Toc204329542"/>
            <w:bookmarkStart w:id="338" w:name="_Toc209188977"/>
            <w:bookmarkEnd w:id="324"/>
            <w:r w:rsidRPr="00380A8B">
              <w:rPr>
                <w:b/>
                <w:color w:val="358189"/>
                <w:sz w:val="36"/>
                <w:szCs w:val="36"/>
              </w:rPr>
              <w:t>What you’ll find in this chapter</w:t>
            </w:r>
            <w:bookmarkEnd w:id="336"/>
            <w:bookmarkEnd w:id="337"/>
            <w:bookmarkEnd w:id="338"/>
            <w:r w:rsidRPr="00380A8B">
              <w:rPr>
                <w:b/>
                <w:color w:val="358189"/>
                <w:sz w:val="36"/>
                <w:szCs w:val="36"/>
              </w:rPr>
              <w:t xml:space="preserve"> </w:t>
            </w:r>
          </w:p>
          <w:p w14:paraId="0A349774" w14:textId="77777777" w:rsidR="007A743C" w:rsidRPr="0033336B" w:rsidRDefault="007A743C" w:rsidP="00A677C9">
            <w:pPr>
              <w:spacing w:before="240" w:after="240"/>
            </w:pPr>
            <w:r w:rsidRPr="0033336B">
              <w:t xml:space="preserve">This chapter includes important information about how to </w:t>
            </w:r>
            <w:r>
              <w:t xml:space="preserve">undertake an aged care needs assessment and </w:t>
            </w:r>
            <w:r w:rsidRPr="0033336B">
              <w:t>complete a support plan for an older person</w:t>
            </w:r>
            <w:r>
              <w:t>. It</w:t>
            </w:r>
            <w:r w:rsidRPr="0033336B" w:rsidDel="00C86C97">
              <w:t xml:space="preserve"> </w:t>
            </w:r>
            <w:r w:rsidRPr="0033336B">
              <w:t xml:space="preserve">outlines the different services and programs that can be recommended </w:t>
            </w:r>
            <w:r>
              <w:t xml:space="preserve">to meet </w:t>
            </w:r>
            <w:r w:rsidRPr="0033336B">
              <w:t xml:space="preserve">an older person’s needs and goals. </w:t>
            </w:r>
            <w:r>
              <w:t>This chapter includes:</w:t>
            </w:r>
          </w:p>
          <w:p w14:paraId="6E9C108C" w14:textId="77777777" w:rsidR="007A743C" w:rsidRDefault="007A743C" w:rsidP="00A677C9">
            <w:pPr>
              <w:pStyle w:val="ListParagraph"/>
              <w:numPr>
                <w:ilvl w:val="0"/>
                <w:numId w:val="30"/>
              </w:numPr>
              <w:spacing w:before="240" w:after="240"/>
              <w:rPr>
                <w:lang w:val="en-US"/>
              </w:rPr>
            </w:pPr>
            <w:r>
              <w:rPr>
                <w:lang w:val="en-US"/>
              </w:rPr>
              <w:t>Consent for triage and assessment</w:t>
            </w:r>
          </w:p>
          <w:p w14:paraId="7433BD1F" w14:textId="77777777" w:rsidR="007A743C" w:rsidRDefault="007A743C" w:rsidP="00A677C9">
            <w:pPr>
              <w:pStyle w:val="ListParagraph"/>
              <w:numPr>
                <w:ilvl w:val="0"/>
                <w:numId w:val="30"/>
              </w:numPr>
              <w:spacing w:before="240" w:after="240"/>
              <w:rPr>
                <w:lang w:val="en-US"/>
              </w:rPr>
            </w:pPr>
            <w:r>
              <w:rPr>
                <w:lang w:val="en-US"/>
              </w:rPr>
              <w:t>Triaging Assessments and Triage Delegate role</w:t>
            </w:r>
          </w:p>
          <w:p w14:paraId="7FEB4E9C" w14:textId="77777777" w:rsidR="007A743C" w:rsidRDefault="007A743C" w:rsidP="00A677C9">
            <w:pPr>
              <w:pStyle w:val="ListParagraph"/>
              <w:numPr>
                <w:ilvl w:val="0"/>
                <w:numId w:val="30"/>
              </w:numPr>
              <w:spacing w:before="240" w:after="240"/>
              <w:rPr>
                <w:lang w:val="en-US"/>
              </w:rPr>
            </w:pPr>
            <w:r>
              <w:rPr>
                <w:lang w:val="en-US"/>
              </w:rPr>
              <w:t>Revocation of Eligibility</w:t>
            </w:r>
          </w:p>
          <w:p w14:paraId="0133BCB9" w14:textId="77777777" w:rsidR="007A743C" w:rsidRDefault="007A743C" w:rsidP="00A677C9">
            <w:pPr>
              <w:pStyle w:val="ListParagraph"/>
              <w:numPr>
                <w:ilvl w:val="0"/>
                <w:numId w:val="30"/>
              </w:numPr>
              <w:spacing w:before="240" w:after="240"/>
              <w:rPr>
                <w:lang w:val="en-US"/>
              </w:rPr>
            </w:pPr>
            <w:r>
              <w:rPr>
                <w:lang w:val="en-US"/>
              </w:rPr>
              <w:t>Undertaking a needs assessment using the IAT</w:t>
            </w:r>
          </w:p>
          <w:p w14:paraId="38DBB709" w14:textId="77777777" w:rsidR="007A743C" w:rsidRDefault="007A743C" w:rsidP="00A677C9">
            <w:pPr>
              <w:pStyle w:val="ListParagraph"/>
              <w:numPr>
                <w:ilvl w:val="0"/>
                <w:numId w:val="30"/>
              </w:numPr>
              <w:spacing w:before="240" w:after="240"/>
              <w:rPr>
                <w:lang w:val="en-US"/>
              </w:rPr>
            </w:pPr>
            <w:r>
              <w:rPr>
                <w:lang w:val="en-US"/>
              </w:rPr>
              <w:t>Assessment settings</w:t>
            </w:r>
          </w:p>
          <w:p w14:paraId="6009A617" w14:textId="77777777" w:rsidR="007A743C" w:rsidRDefault="007A743C" w:rsidP="00A677C9">
            <w:pPr>
              <w:pStyle w:val="ListParagraph"/>
              <w:numPr>
                <w:ilvl w:val="0"/>
                <w:numId w:val="30"/>
              </w:numPr>
              <w:spacing w:before="240" w:after="240"/>
              <w:rPr>
                <w:lang w:val="en-US"/>
              </w:rPr>
            </w:pPr>
            <w:r>
              <w:rPr>
                <w:lang w:val="en-US"/>
              </w:rPr>
              <w:t>Clinical attendance</w:t>
            </w:r>
          </w:p>
          <w:p w14:paraId="6D35B325" w14:textId="51316874" w:rsidR="007A743C" w:rsidRPr="00766DBD" w:rsidRDefault="007A743C" w:rsidP="00A677C9">
            <w:pPr>
              <w:pStyle w:val="ListParagraph"/>
              <w:numPr>
                <w:ilvl w:val="0"/>
                <w:numId w:val="30"/>
              </w:numPr>
              <w:spacing w:before="240" w:after="240"/>
              <w:rPr>
                <w:lang w:val="en-US"/>
              </w:rPr>
            </w:pPr>
            <w:r>
              <w:rPr>
                <w:lang w:val="en-US"/>
              </w:rPr>
              <w:t xml:space="preserve">IAT </w:t>
            </w:r>
            <w:r w:rsidRPr="00880B95">
              <w:rPr>
                <w:lang w:val="en-US"/>
              </w:rPr>
              <w:t xml:space="preserve">outcome </w:t>
            </w:r>
          </w:p>
          <w:p w14:paraId="402676C5" w14:textId="77777777" w:rsidR="007A743C" w:rsidRPr="00880B95" w:rsidRDefault="007A743C" w:rsidP="00A677C9">
            <w:pPr>
              <w:pStyle w:val="ListParagraph"/>
              <w:numPr>
                <w:ilvl w:val="0"/>
                <w:numId w:val="30"/>
              </w:numPr>
              <w:spacing w:before="240" w:after="240"/>
              <w:rPr>
                <w:lang w:val="en-US"/>
              </w:rPr>
            </w:pPr>
            <w:r w:rsidRPr="00880B95">
              <w:rPr>
                <w:lang w:val="en-US"/>
              </w:rPr>
              <w:t>Recommending service type</w:t>
            </w:r>
            <w:r>
              <w:rPr>
                <w:lang w:val="en-US"/>
              </w:rPr>
              <w:t>s</w:t>
            </w:r>
            <w:r w:rsidRPr="00880B95">
              <w:rPr>
                <w:lang w:val="en-US"/>
              </w:rPr>
              <w:t xml:space="preserve"> and service</w:t>
            </w:r>
            <w:r>
              <w:rPr>
                <w:lang w:val="en-US"/>
              </w:rPr>
              <w:t>s</w:t>
            </w:r>
            <w:r w:rsidRPr="00880B95">
              <w:rPr>
                <w:lang w:val="en-US"/>
              </w:rPr>
              <w:t xml:space="preserve"> </w:t>
            </w:r>
          </w:p>
          <w:p w14:paraId="1EA745CD" w14:textId="0DC7A0C2" w:rsidR="007A743C" w:rsidRDefault="007A743C" w:rsidP="00A677C9">
            <w:pPr>
              <w:pStyle w:val="ListParagraph"/>
              <w:numPr>
                <w:ilvl w:val="0"/>
                <w:numId w:val="30"/>
              </w:numPr>
              <w:spacing w:before="240" w:after="240"/>
              <w:rPr>
                <w:lang w:val="en-US"/>
              </w:rPr>
            </w:pPr>
            <w:r>
              <w:rPr>
                <w:lang w:val="en-US"/>
              </w:rPr>
              <w:t>Converting a home support assessment to comprehensive</w:t>
            </w:r>
            <w:r w:rsidR="00AA095A">
              <w:rPr>
                <w:lang w:val="en-US"/>
              </w:rPr>
              <w:t xml:space="preserve"> assessment</w:t>
            </w:r>
          </w:p>
          <w:p w14:paraId="122D81F9" w14:textId="77777777" w:rsidR="007A743C" w:rsidRDefault="007A743C" w:rsidP="00A677C9">
            <w:pPr>
              <w:pStyle w:val="ListParagraph"/>
              <w:numPr>
                <w:ilvl w:val="0"/>
                <w:numId w:val="30"/>
              </w:numPr>
              <w:spacing w:before="240" w:after="240"/>
              <w:rPr>
                <w:lang w:val="en-US"/>
              </w:rPr>
            </w:pPr>
            <w:r>
              <w:rPr>
                <w:lang w:val="en-US"/>
              </w:rPr>
              <w:t>Support Plan</w:t>
            </w:r>
          </w:p>
          <w:p w14:paraId="76DFDF48" w14:textId="77777777" w:rsidR="007A743C" w:rsidRDefault="007A743C" w:rsidP="00A677C9">
            <w:pPr>
              <w:pStyle w:val="ListParagraph"/>
              <w:numPr>
                <w:ilvl w:val="0"/>
                <w:numId w:val="30"/>
              </w:numPr>
              <w:spacing w:before="240" w:after="240"/>
              <w:rPr>
                <w:lang w:val="en-US"/>
              </w:rPr>
            </w:pPr>
            <w:r>
              <w:rPr>
                <w:lang w:val="en-US"/>
              </w:rPr>
              <w:t>Wellness &amp; Reablement Approach</w:t>
            </w:r>
          </w:p>
          <w:p w14:paraId="0585C558" w14:textId="77777777" w:rsidR="007A743C" w:rsidRDefault="007A743C" w:rsidP="00A677C9">
            <w:pPr>
              <w:pStyle w:val="ListParagraph"/>
              <w:numPr>
                <w:ilvl w:val="0"/>
                <w:numId w:val="30"/>
              </w:numPr>
              <w:spacing w:before="240" w:after="240"/>
              <w:rPr>
                <w:lang w:val="en-US"/>
              </w:rPr>
            </w:pPr>
            <w:r>
              <w:rPr>
                <w:lang w:val="en-US"/>
              </w:rPr>
              <w:t>Recommending time-limited reablement under CHSP</w:t>
            </w:r>
          </w:p>
          <w:p w14:paraId="77F081EE" w14:textId="77777777" w:rsidR="007A743C" w:rsidRDefault="007A743C" w:rsidP="00A677C9">
            <w:pPr>
              <w:pStyle w:val="ListParagraph"/>
              <w:numPr>
                <w:ilvl w:val="0"/>
                <w:numId w:val="30"/>
              </w:numPr>
              <w:spacing w:before="240" w:after="240"/>
              <w:rPr>
                <w:lang w:val="en-US"/>
              </w:rPr>
            </w:pPr>
            <w:r>
              <w:rPr>
                <w:lang w:val="en-US"/>
              </w:rPr>
              <w:t>Linking Supports</w:t>
            </w:r>
          </w:p>
          <w:p w14:paraId="60B573CE" w14:textId="77777777" w:rsidR="007A743C" w:rsidRDefault="007A743C" w:rsidP="00A677C9">
            <w:pPr>
              <w:pStyle w:val="ListParagraph"/>
              <w:numPr>
                <w:ilvl w:val="0"/>
                <w:numId w:val="30"/>
              </w:numPr>
              <w:spacing w:before="240" w:after="240"/>
              <w:rPr>
                <w:lang w:val="en-US"/>
              </w:rPr>
            </w:pPr>
            <w:r>
              <w:rPr>
                <w:lang w:val="en-US"/>
              </w:rPr>
              <w:t>Assessment wrap-up</w:t>
            </w:r>
          </w:p>
          <w:p w14:paraId="2C2898DA" w14:textId="77777777" w:rsidR="007A743C" w:rsidRPr="00F613A2" w:rsidRDefault="007A743C" w:rsidP="00A677C9">
            <w:pPr>
              <w:spacing w:before="240" w:after="240"/>
              <w:rPr>
                <w:lang w:val="en-US"/>
              </w:rPr>
            </w:pPr>
          </w:p>
        </w:tc>
      </w:tr>
    </w:tbl>
    <w:p w14:paraId="47617FF8" w14:textId="384751EE" w:rsidR="007A743C" w:rsidRPr="00743765" w:rsidRDefault="007A743C" w:rsidP="00507F9D">
      <w:pPr>
        <w:pStyle w:val="h2"/>
      </w:pPr>
      <w:bookmarkStart w:id="339" w:name="_Ref127286448"/>
      <w:bookmarkStart w:id="340" w:name="_Ref127286761"/>
      <w:bookmarkStart w:id="341" w:name="_Toc159226875"/>
      <w:bookmarkStart w:id="342" w:name="_Toc184402285"/>
      <w:bookmarkStart w:id="343" w:name="_Toc204329543"/>
      <w:bookmarkStart w:id="344" w:name="_Toc209188978"/>
      <w:bookmarkStart w:id="345" w:name="_Ref212733813"/>
      <w:bookmarkStart w:id="346" w:name="_Ref212734121"/>
      <w:bookmarkStart w:id="347" w:name="_Toc224916640"/>
      <w:bookmarkStart w:id="348" w:name="_Toc198813671"/>
      <w:r>
        <w:t xml:space="preserve">Obtaining </w:t>
      </w:r>
      <w:bookmarkEnd w:id="339"/>
      <w:bookmarkEnd w:id="340"/>
      <w:bookmarkEnd w:id="341"/>
      <w:bookmarkEnd w:id="342"/>
      <w:r>
        <w:t>consent for triage and assessment</w:t>
      </w:r>
      <w:bookmarkEnd w:id="343"/>
      <w:bookmarkEnd w:id="344"/>
      <w:bookmarkEnd w:id="345"/>
      <w:bookmarkEnd w:id="346"/>
      <w:bookmarkEnd w:id="347"/>
    </w:p>
    <w:p w14:paraId="0277261D" w14:textId="77777777" w:rsidR="007A743C" w:rsidRDefault="007A743C" w:rsidP="00A677C9">
      <w:pPr>
        <w:spacing w:before="240" w:after="240" w:line="240" w:lineRule="auto"/>
      </w:pPr>
      <w:r>
        <w:t>A</w:t>
      </w:r>
      <w:r w:rsidRPr="0021770D">
        <w:t xml:space="preserve">ssessors must obtain consent, written or verbal, from the </w:t>
      </w:r>
      <w:r>
        <w:t>older person</w:t>
      </w:r>
      <w:r w:rsidRPr="0021770D">
        <w:t xml:space="preserve"> prior to undertaking </w:t>
      </w:r>
      <w:r>
        <w:t>triage and assessment</w:t>
      </w:r>
      <w:r w:rsidRPr="0021770D">
        <w:t>.</w:t>
      </w:r>
      <w:r>
        <w:t xml:space="preserve"> </w:t>
      </w:r>
    </w:p>
    <w:p w14:paraId="2FFDD1EC" w14:textId="77777777" w:rsidR="007A743C" w:rsidRPr="00433402" w:rsidRDefault="007A743C" w:rsidP="00A677C9">
      <w:pPr>
        <w:spacing w:before="240" w:after="240" w:line="240" w:lineRule="auto"/>
      </w:pPr>
      <w:r w:rsidRPr="0021770D">
        <w:t xml:space="preserve">When obtaining the </w:t>
      </w:r>
      <w:r>
        <w:t>older person</w:t>
      </w:r>
      <w:r w:rsidRPr="0021770D">
        <w:t xml:space="preserve">’s consent to the assessment or before disclosing </w:t>
      </w:r>
      <w:r>
        <w:t>an</w:t>
      </w:r>
      <w:r w:rsidRPr="0021770D">
        <w:t xml:space="preserve"> </w:t>
      </w:r>
      <w:r>
        <w:t>older person</w:t>
      </w:r>
      <w:r w:rsidRPr="0021770D">
        <w:t xml:space="preserve">’s personal or protected information to other </w:t>
      </w:r>
      <w:r>
        <w:t>parties</w:t>
      </w:r>
      <w:r w:rsidRPr="0021770D">
        <w:t xml:space="preserve">, the </w:t>
      </w:r>
      <w:r>
        <w:t>department</w:t>
      </w:r>
      <w:r w:rsidRPr="007F3173">
        <w:t xml:space="preserve"> requires that assessment organisations establish policies and protocols that include the following </w:t>
      </w:r>
      <w:r w:rsidRPr="00433402">
        <w:t xml:space="preserve">considerations: </w:t>
      </w:r>
    </w:p>
    <w:p w14:paraId="376B04BB" w14:textId="3C892EE6" w:rsidR="007A743C" w:rsidRPr="00433402" w:rsidRDefault="007A743C" w:rsidP="00DF3F6B">
      <w:pPr>
        <w:pStyle w:val="NumberedList"/>
        <w:numPr>
          <w:ilvl w:val="0"/>
          <w:numId w:val="81"/>
        </w:numPr>
        <w:spacing w:before="240" w:after="240" w:line="240" w:lineRule="auto"/>
        <w:ind w:left="568" w:hanging="284"/>
        <w:rPr>
          <w:lang w:val="en-US"/>
        </w:rPr>
      </w:pPr>
      <w:r>
        <w:rPr>
          <w:lang w:val="en-US"/>
        </w:rPr>
        <w:t>Triage Delegates or assessors must</w:t>
      </w:r>
      <w:r w:rsidRPr="78E43FD9">
        <w:rPr>
          <w:lang w:val="en-US"/>
        </w:rPr>
        <w:t xml:space="preserve"> use the </w:t>
      </w:r>
      <w:r>
        <w:rPr>
          <w:lang w:val="en-US"/>
        </w:rPr>
        <w:t xml:space="preserve">applicable </w:t>
      </w:r>
      <w:r w:rsidRPr="78E43FD9">
        <w:rPr>
          <w:lang w:val="en-US"/>
        </w:rPr>
        <w:t xml:space="preserve">consent script </w:t>
      </w:r>
      <w:r>
        <w:rPr>
          <w:lang w:val="en-US"/>
        </w:rPr>
        <w:t xml:space="preserve">online via </w:t>
      </w:r>
      <w:r w:rsidRPr="78E43FD9">
        <w:rPr>
          <w:lang w:val="en-US"/>
        </w:rPr>
        <w:t xml:space="preserve">the </w:t>
      </w:r>
      <w:r>
        <w:rPr>
          <w:lang w:val="en-US"/>
        </w:rPr>
        <w:t>Assessor Portal</w:t>
      </w:r>
      <w:r w:rsidRPr="78E43FD9">
        <w:rPr>
          <w:lang w:val="en-US"/>
        </w:rPr>
        <w:t xml:space="preserve"> (or in the app in the case of self-referrals).</w:t>
      </w:r>
    </w:p>
    <w:p w14:paraId="1FA15B0B" w14:textId="77777777" w:rsidR="007A743C" w:rsidRDefault="007A743C" w:rsidP="00DF3F6B">
      <w:pPr>
        <w:pStyle w:val="NumberedList"/>
        <w:numPr>
          <w:ilvl w:val="0"/>
          <w:numId w:val="81"/>
        </w:numPr>
        <w:spacing w:before="240" w:after="240" w:line="240" w:lineRule="auto"/>
        <w:ind w:left="568" w:hanging="284"/>
        <w:rPr>
          <w:lang w:val="en-US"/>
        </w:rPr>
      </w:pPr>
      <w:r w:rsidRPr="1ED99BF8">
        <w:rPr>
          <w:lang w:val="en-US"/>
        </w:rPr>
        <w:t>The Triage Delegate or assessor should read out the consent script/s to ensure the older person understands and is informed of the purpose for collecting the information and how it will be used and stored, and who the personal or sensitive information will be collected from (such as contacting a person’s GP, other health professionals, disability service coordinator or service provider, family members or carers). If the older person prefers, the older person can read the consent script/s themselves on a printed form.</w:t>
      </w:r>
    </w:p>
    <w:p w14:paraId="0C2E780F" w14:textId="7374A6F0" w:rsidR="007A743C" w:rsidRPr="00433402" w:rsidRDefault="007A743C" w:rsidP="00DF3F6B">
      <w:pPr>
        <w:pStyle w:val="NumberedList"/>
        <w:numPr>
          <w:ilvl w:val="0"/>
          <w:numId w:val="81"/>
        </w:numPr>
        <w:spacing w:before="240" w:after="240" w:line="240" w:lineRule="auto"/>
        <w:ind w:left="568" w:hanging="284"/>
        <w:rPr>
          <w:lang w:val="en-US"/>
        </w:rPr>
      </w:pPr>
      <w:r>
        <w:rPr>
          <w:lang w:val="en-US"/>
        </w:rPr>
        <w:t>For offline assessments t</w:t>
      </w:r>
      <w:r w:rsidRPr="78E43FD9">
        <w:rPr>
          <w:lang w:val="en-US"/>
        </w:rPr>
        <w:t xml:space="preserve">he assessor </w:t>
      </w:r>
      <w:r>
        <w:rPr>
          <w:lang w:val="en-US"/>
        </w:rPr>
        <w:t>must</w:t>
      </w:r>
      <w:r w:rsidRPr="78E43FD9">
        <w:rPr>
          <w:lang w:val="en-US"/>
        </w:rPr>
        <w:t xml:space="preserve"> use </w:t>
      </w:r>
      <w:r>
        <w:rPr>
          <w:lang w:val="en-US"/>
        </w:rPr>
        <w:t>a hard copy version of the</w:t>
      </w:r>
      <w:r w:rsidRPr="78E43FD9">
        <w:rPr>
          <w:lang w:val="en-US"/>
        </w:rPr>
        <w:t xml:space="preserve"> My Aged Care Assessment Consent Form</w:t>
      </w:r>
      <w:r>
        <w:rPr>
          <w:lang w:val="en-US"/>
        </w:rPr>
        <w:t>. This form</w:t>
      </w:r>
      <w:r w:rsidRPr="78E43FD9">
        <w:rPr>
          <w:lang w:val="en-US"/>
        </w:rPr>
        <w:t xml:space="preserve"> includes the consent scripts and fields to record the consent for assessment and service referrals. It is located via the </w:t>
      </w:r>
      <w:r w:rsidRPr="005906C6">
        <w:rPr>
          <w:i/>
          <w:lang w:val="en-US"/>
        </w:rPr>
        <w:t xml:space="preserve">Reports and </w:t>
      </w:r>
      <w:r>
        <w:rPr>
          <w:i/>
          <w:iCs/>
          <w:lang w:val="en-US"/>
        </w:rPr>
        <w:t>D</w:t>
      </w:r>
      <w:r w:rsidRPr="005906C6">
        <w:rPr>
          <w:i/>
          <w:iCs/>
          <w:lang w:val="en-US"/>
        </w:rPr>
        <w:t>ocuments</w:t>
      </w:r>
      <w:r w:rsidRPr="78E43FD9">
        <w:rPr>
          <w:lang w:val="en-US"/>
        </w:rPr>
        <w:t xml:space="preserve"> </w:t>
      </w:r>
      <w:r w:rsidR="003160C0" w:rsidRPr="78E43FD9">
        <w:rPr>
          <w:lang w:val="en-US"/>
        </w:rPr>
        <w:t>ti</w:t>
      </w:r>
      <w:r w:rsidR="003160C0">
        <w:rPr>
          <w:lang w:val="en-US"/>
        </w:rPr>
        <w:t xml:space="preserve">le </w:t>
      </w:r>
      <w:r w:rsidRPr="78E43FD9">
        <w:rPr>
          <w:lang w:val="en-US"/>
        </w:rPr>
        <w:t xml:space="preserve">within the My Aged Care assessor portal. </w:t>
      </w:r>
    </w:p>
    <w:p w14:paraId="5CC5C9B5" w14:textId="3BD87C21" w:rsidR="00966BB2" w:rsidRDefault="00966BB2" w:rsidP="00DF3F6B">
      <w:pPr>
        <w:pStyle w:val="ListParagraph"/>
        <w:numPr>
          <w:ilvl w:val="0"/>
          <w:numId w:val="81"/>
        </w:numPr>
        <w:spacing w:before="240" w:after="240" w:line="240" w:lineRule="auto"/>
        <w:ind w:left="567"/>
      </w:pPr>
      <w:r>
        <w:t xml:space="preserve">While the My Aged Care Assessment Consent Form </w:t>
      </w:r>
      <w:r w:rsidR="00370AFD">
        <w:t xml:space="preserve">and scripts </w:t>
      </w:r>
      <w:r>
        <w:t xml:space="preserve">should be used to obtain consent from older Aboriginal and Torres Strait </w:t>
      </w:r>
      <w:r w:rsidR="00473B07">
        <w:t>Islander or</w:t>
      </w:r>
      <w:r w:rsidR="7481E81E">
        <w:t xml:space="preserve"> culturally and linguistically diverse clients</w:t>
      </w:r>
      <w:r w:rsidR="072090E0">
        <w:t xml:space="preserve"> </w:t>
      </w:r>
      <w:r>
        <w:t>assessors should take care to adapt the consent script</w:t>
      </w:r>
      <w:r w:rsidR="780F1135">
        <w:t>, or access interpreters as needed,</w:t>
      </w:r>
      <w:r>
        <w:t xml:space="preserve"> to ensure that it can be clearly understood. </w:t>
      </w:r>
    </w:p>
    <w:p w14:paraId="4E3CCB19" w14:textId="50E08E73" w:rsidR="00172EAD" w:rsidRDefault="00172EAD" w:rsidP="00FC6EC2">
      <w:pPr>
        <w:pStyle w:val="ListParagraph"/>
        <w:spacing w:before="240" w:after="240" w:line="240" w:lineRule="auto"/>
        <w:ind w:left="567"/>
      </w:pPr>
    </w:p>
    <w:p w14:paraId="673FC51C" w14:textId="62BE3F80" w:rsidR="00B13A72" w:rsidRPr="00DF2B65" w:rsidRDefault="00A27714" w:rsidP="00DF3F6B">
      <w:pPr>
        <w:pStyle w:val="ListParagraph"/>
        <w:numPr>
          <w:ilvl w:val="0"/>
          <w:numId w:val="81"/>
        </w:numPr>
        <w:spacing w:before="240" w:after="240" w:line="240" w:lineRule="auto"/>
        <w:ind w:left="567"/>
      </w:pPr>
      <w:r>
        <w:t>Given that many</w:t>
      </w:r>
      <w:r w:rsidRPr="00733977">
        <w:t xml:space="preserve"> Aboriginal and Torres Strait </w:t>
      </w:r>
      <w:r w:rsidR="00A3174E">
        <w:t>a</w:t>
      </w:r>
      <w:r w:rsidR="00A3174E" w:rsidRPr="00733977">
        <w:t xml:space="preserve">ssessment </w:t>
      </w:r>
      <w:r w:rsidR="00A3174E">
        <w:t>o</w:t>
      </w:r>
      <w:r w:rsidR="00A3174E" w:rsidRPr="00733977">
        <w:t>rganisations</w:t>
      </w:r>
      <w:r>
        <w:t xml:space="preserve"> </w:t>
      </w:r>
      <w:r w:rsidRPr="00733977">
        <w:t xml:space="preserve">also deliver other services to the community such as Health, aged care or/and Elder Care Support services, consent must be obtained from the </w:t>
      </w:r>
      <w:r>
        <w:t xml:space="preserve">client before using </w:t>
      </w:r>
      <w:r w:rsidRPr="00733977">
        <w:t xml:space="preserve">information gathered </w:t>
      </w:r>
      <w:r>
        <w:t>through these</w:t>
      </w:r>
      <w:r w:rsidRPr="00733977">
        <w:t xml:space="preserve"> services</w:t>
      </w:r>
      <w:r w:rsidRPr="00733977" w:rsidDel="00A42518">
        <w:t xml:space="preserve"> to </w:t>
      </w:r>
      <w:r w:rsidRPr="00733977">
        <w:t>inform the aged care assessment.</w:t>
      </w:r>
      <w:r>
        <w:t xml:space="preserve"> </w:t>
      </w:r>
      <w:r w:rsidR="003861E5">
        <w:t>Under all circumstances, clients should be given a genuine choice whether they wish to receive an assessment or services from a particular service organisation and should be given the option to seek services from other providers if they so choose.</w:t>
      </w:r>
    </w:p>
    <w:p w14:paraId="6DC0A0BA" w14:textId="32BD3C97" w:rsidR="007A743C" w:rsidRDefault="007A743C" w:rsidP="00DF3F6B">
      <w:pPr>
        <w:pStyle w:val="NumberedList"/>
        <w:numPr>
          <w:ilvl w:val="0"/>
          <w:numId w:val="81"/>
        </w:numPr>
        <w:spacing w:before="240" w:after="240" w:line="240" w:lineRule="auto"/>
        <w:ind w:left="568" w:hanging="284"/>
        <w:rPr>
          <w:lang w:val="en-US"/>
        </w:rPr>
      </w:pPr>
      <w:r w:rsidRPr="719E0B0C">
        <w:rPr>
          <w:lang w:val="en-US"/>
        </w:rPr>
        <w:t xml:space="preserve">An older person may </w:t>
      </w:r>
      <w:r w:rsidRPr="27C821E1">
        <w:rPr>
          <w:lang w:val="en-US"/>
        </w:rPr>
        <w:t xml:space="preserve">wish to be supported by someone during their assessment. This could include a trusted family member or friend, advocate or </w:t>
      </w:r>
      <w:r>
        <w:rPr>
          <w:lang w:val="en-US"/>
        </w:rPr>
        <w:t>cultural broker, care finder or elder care support worker, or community representative</w:t>
      </w:r>
      <w:r w:rsidRPr="27C821E1">
        <w:rPr>
          <w:lang w:val="en-US"/>
        </w:rPr>
        <w:t>. These people do not have to be registered as a supporter under the Act to attend the assessment and support the older person</w:t>
      </w:r>
      <w:r w:rsidR="004C71C6">
        <w:rPr>
          <w:lang w:val="en-US"/>
        </w:rPr>
        <w:t>, if the older person consents.</w:t>
      </w:r>
      <w:r w:rsidRPr="27C821E1">
        <w:rPr>
          <w:lang w:val="en-US"/>
        </w:rPr>
        <w:t xml:space="preserve">  </w:t>
      </w:r>
    </w:p>
    <w:p w14:paraId="064AD8A4" w14:textId="4BFDBF82" w:rsidR="00A3637F" w:rsidRPr="006A1807" w:rsidRDefault="00A3637F" w:rsidP="00DF3F6B">
      <w:pPr>
        <w:pStyle w:val="NumberedList"/>
        <w:numPr>
          <w:ilvl w:val="0"/>
          <w:numId w:val="81"/>
        </w:numPr>
        <w:spacing w:before="240" w:after="240" w:line="240" w:lineRule="auto"/>
        <w:ind w:left="568" w:hanging="284"/>
        <w:rPr>
          <w:lang w:val="en-US"/>
        </w:rPr>
      </w:pPr>
      <w:r>
        <w:rPr>
          <w:lang w:val="en-US"/>
        </w:rPr>
        <w:t>Note that if a care finder has an Agent relationship established with the older person, the assessor should contact the care finder to assist in scheduling the assessment. The client should explicitly be asked if they would like the care finder to attend the assessment.</w:t>
      </w:r>
    </w:p>
    <w:p w14:paraId="11E2F224" w14:textId="62949690" w:rsidR="007A743C" w:rsidRPr="005D77C8" w:rsidRDefault="007A743C" w:rsidP="00DF3F6B">
      <w:pPr>
        <w:pStyle w:val="NumberedList"/>
        <w:numPr>
          <w:ilvl w:val="0"/>
          <w:numId w:val="81"/>
        </w:numPr>
        <w:spacing w:before="240" w:after="240" w:line="240" w:lineRule="auto"/>
        <w:ind w:left="568" w:hanging="284"/>
        <w:rPr>
          <w:lang w:val="en-US"/>
        </w:rPr>
      </w:pPr>
      <w:r>
        <w:rPr>
          <w:lang w:val="en-US"/>
        </w:rPr>
        <w:t>A</w:t>
      </w:r>
      <w:r w:rsidRPr="017FF414">
        <w:rPr>
          <w:lang w:val="en-US"/>
        </w:rPr>
        <w:t>n</w:t>
      </w:r>
      <w:r w:rsidRPr="719E0B0C">
        <w:rPr>
          <w:lang w:val="en-US"/>
        </w:rPr>
        <w:t xml:space="preserve"> older person may want, or have, a </w:t>
      </w:r>
      <w:hyperlink w:anchor="CH1_SupportedDecisionMaking" w:history="1">
        <w:r w:rsidRPr="00470F9F">
          <w:rPr>
            <w:rStyle w:val="Hyperlink"/>
            <w:lang w:val="en-US"/>
          </w:rPr>
          <w:t>registered supporter</w:t>
        </w:r>
      </w:hyperlink>
      <w:r w:rsidRPr="719E0B0C">
        <w:rPr>
          <w:lang w:val="en-US"/>
        </w:rPr>
        <w:t xml:space="preserve">. A </w:t>
      </w:r>
      <w:r>
        <w:rPr>
          <w:lang w:val="en-US"/>
        </w:rPr>
        <w:t>registered</w:t>
      </w:r>
      <w:r w:rsidRPr="719E0B0C">
        <w:rPr>
          <w:lang w:val="en-US"/>
        </w:rPr>
        <w:t xml:space="preserve"> supporter is a person who is registered under the Act to help the older person make and communicate their own decisions. </w:t>
      </w:r>
      <w:r>
        <w:rPr>
          <w:lang w:val="en-US"/>
        </w:rPr>
        <w:t xml:space="preserve">Registered </w:t>
      </w:r>
      <w:r w:rsidRPr="017FF414">
        <w:rPr>
          <w:lang w:val="en-US"/>
        </w:rPr>
        <w:t>supporters</w:t>
      </w:r>
      <w:r w:rsidRPr="719E0B0C">
        <w:rPr>
          <w:lang w:val="en-US"/>
        </w:rPr>
        <w:t xml:space="preserve"> </w:t>
      </w:r>
      <w:r>
        <w:rPr>
          <w:lang w:val="en-US"/>
        </w:rPr>
        <w:t>have duties they</w:t>
      </w:r>
      <w:r w:rsidRPr="719E0B0C">
        <w:rPr>
          <w:lang w:val="en-US"/>
        </w:rPr>
        <w:t xml:space="preserve"> must </w:t>
      </w:r>
      <w:r>
        <w:rPr>
          <w:lang w:val="en-US"/>
        </w:rPr>
        <w:t xml:space="preserve">uphold. These include </w:t>
      </w:r>
      <w:r w:rsidR="00432CEB">
        <w:rPr>
          <w:lang w:val="en-US"/>
        </w:rPr>
        <w:t>acting</w:t>
      </w:r>
      <w:r>
        <w:rPr>
          <w:lang w:val="en-US"/>
        </w:rPr>
        <w:t xml:space="preserve"> in a way that </w:t>
      </w:r>
      <w:r w:rsidRPr="719E0B0C">
        <w:rPr>
          <w:lang w:val="en-US"/>
        </w:rPr>
        <w:t>promote</w:t>
      </w:r>
      <w:r>
        <w:rPr>
          <w:lang w:val="en-US"/>
        </w:rPr>
        <w:t>s</w:t>
      </w:r>
      <w:r w:rsidRPr="719E0B0C">
        <w:rPr>
          <w:lang w:val="en-US"/>
        </w:rPr>
        <w:t xml:space="preserve"> the will and preferences of the older person they are supporting and support the older person only to the extent needed for the older person to make their own decisions. </w:t>
      </w:r>
    </w:p>
    <w:p w14:paraId="4A6FF837" w14:textId="77777777" w:rsidR="007A743C" w:rsidRDefault="007A743C" w:rsidP="00DF3F6B">
      <w:pPr>
        <w:pStyle w:val="NumberedList"/>
        <w:numPr>
          <w:ilvl w:val="0"/>
          <w:numId w:val="81"/>
        </w:numPr>
        <w:spacing w:before="240" w:after="240" w:line="240" w:lineRule="auto"/>
        <w:ind w:left="568" w:hanging="284"/>
      </w:pPr>
      <w:r w:rsidRPr="341C0F53">
        <w:rPr>
          <w:lang w:val="en-US"/>
        </w:rPr>
        <w:t>Some supporters also have guardianship, enduring power of attorney or similar</w:t>
      </w:r>
      <w:r>
        <w:rPr>
          <w:lang w:val="en-US"/>
        </w:rPr>
        <w:t xml:space="preserve"> legal authority for the older person</w:t>
      </w:r>
      <w:r w:rsidRPr="341C0F53">
        <w:rPr>
          <w:lang w:val="en-US"/>
        </w:rPr>
        <w:t xml:space="preserve">. If the older person is not able to give consent at triage or assessment because they are experiencing </w:t>
      </w:r>
      <w:r>
        <w:rPr>
          <w:lang w:val="en-US"/>
        </w:rPr>
        <w:t xml:space="preserve">a </w:t>
      </w:r>
      <w:r w:rsidRPr="341C0F53">
        <w:rPr>
          <w:lang w:val="en-US"/>
        </w:rPr>
        <w:t xml:space="preserve">loss of decision-making </w:t>
      </w:r>
      <w:r w:rsidRPr="017FF414">
        <w:rPr>
          <w:lang w:val="en-US"/>
        </w:rPr>
        <w:t>ability</w:t>
      </w:r>
      <w:r w:rsidRPr="341C0F53">
        <w:rPr>
          <w:lang w:val="en-US"/>
        </w:rPr>
        <w:t xml:space="preserve">, the assessor should check whether they have an appointed decision maker who has </w:t>
      </w:r>
      <w:r>
        <w:rPr>
          <w:lang w:val="en-US"/>
        </w:rPr>
        <w:t xml:space="preserve">active, </w:t>
      </w:r>
      <w:r w:rsidRPr="341C0F53">
        <w:rPr>
          <w:lang w:val="en-US"/>
        </w:rPr>
        <w:t xml:space="preserve">legal authority to give this consent, whether or not they are yet registered as a supporter. An appointed decision maker can only make decisions on the older person’s behalf in line with their </w:t>
      </w:r>
      <w:r>
        <w:rPr>
          <w:lang w:val="en-US"/>
        </w:rPr>
        <w:t>active,</w:t>
      </w:r>
      <w:r w:rsidRPr="341C0F53">
        <w:rPr>
          <w:lang w:val="en-US"/>
        </w:rPr>
        <w:t xml:space="preserve"> legal authority. </w:t>
      </w:r>
    </w:p>
    <w:p w14:paraId="4492251B" w14:textId="77777777" w:rsidR="007A743C" w:rsidRDefault="007A743C" w:rsidP="00DF3F6B">
      <w:pPr>
        <w:pStyle w:val="NumberedList"/>
        <w:numPr>
          <w:ilvl w:val="0"/>
          <w:numId w:val="81"/>
        </w:numPr>
        <w:spacing w:before="240" w:after="240" w:line="240" w:lineRule="auto"/>
        <w:ind w:left="568" w:hanging="284"/>
        <w:rPr>
          <w:lang w:val="en-US"/>
        </w:rPr>
      </w:pPr>
      <w:r>
        <w:rPr>
          <w:lang w:val="en-US"/>
        </w:rPr>
        <w:t>Appointed decision makers are encouraged to register as supporters. However, they are not required to register as supporters in order to exercise the authority they have under a Commonwealth, state or territory arrangement. Assessors can engage with these people before they have formally registered as supporters, as long as the assessor is satisfied that they are an active, appointed decision maker for the decision/s asked. That is, the appointed decision maker is acting within their authority.</w:t>
      </w:r>
    </w:p>
    <w:p w14:paraId="35A64F75" w14:textId="4BD3D3CE" w:rsidR="007A743C" w:rsidRPr="00541311" w:rsidRDefault="007A743C" w:rsidP="00DF3F6B">
      <w:pPr>
        <w:pStyle w:val="NumberedList"/>
        <w:numPr>
          <w:ilvl w:val="0"/>
          <w:numId w:val="81"/>
        </w:numPr>
        <w:spacing w:before="240" w:after="240" w:line="240" w:lineRule="auto"/>
        <w:ind w:left="568" w:hanging="284"/>
        <w:rPr>
          <w:lang w:val="en-US"/>
        </w:rPr>
      </w:pPr>
      <w:r w:rsidRPr="78E43FD9">
        <w:rPr>
          <w:lang w:val="en-US"/>
        </w:rPr>
        <w:t xml:space="preserve">The assessor </w:t>
      </w:r>
      <w:r>
        <w:rPr>
          <w:lang w:val="en-US"/>
        </w:rPr>
        <w:t>may make an informal assessment</w:t>
      </w:r>
      <w:r w:rsidRPr="78E43FD9">
        <w:rPr>
          <w:lang w:val="en-US"/>
        </w:rPr>
        <w:t xml:space="preserve"> of a</w:t>
      </w:r>
      <w:r>
        <w:rPr>
          <w:lang w:val="en-US"/>
        </w:rPr>
        <w:t>n</w:t>
      </w:r>
      <w:r w:rsidRPr="78E43FD9">
        <w:rPr>
          <w:lang w:val="en-US"/>
        </w:rPr>
        <w:t xml:space="preserve"> </w:t>
      </w:r>
      <w:r>
        <w:rPr>
          <w:lang w:val="en-US"/>
        </w:rPr>
        <w:t>older person</w:t>
      </w:r>
      <w:r w:rsidRPr="78E43FD9">
        <w:rPr>
          <w:lang w:val="en-US"/>
        </w:rPr>
        <w:t xml:space="preserve">’s </w:t>
      </w:r>
      <w:r>
        <w:rPr>
          <w:lang w:val="en-US"/>
        </w:rPr>
        <w:t xml:space="preserve">decision-making ability if the assessor is aware of matters that may suggest that the older person does not have decision-making ability and consequently may not have legal capacity to provide informed consent. If the assessor is satisfied that the older person does not have capacity to consent to the assessment, the assessor </w:t>
      </w:r>
      <w:r w:rsidRPr="3DFC57CF">
        <w:rPr>
          <w:lang w:val="en-US"/>
        </w:rPr>
        <w:t>cannot</w:t>
      </w:r>
      <w:r>
        <w:rPr>
          <w:lang w:val="en-US"/>
        </w:rPr>
        <w:t xml:space="preserve"> continue with the assessment unless the assessor can identify another person who can </w:t>
      </w:r>
      <w:r w:rsidR="004C08E9">
        <w:rPr>
          <w:lang w:val="en-US"/>
        </w:rPr>
        <w:t xml:space="preserve">legally </w:t>
      </w:r>
      <w:r>
        <w:rPr>
          <w:lang w:val="en-US"/>
        </w:rPr>
        <w:t xml:space="preserve">consent on the older person’s behalf. </w:t>
      </w:r>
    </w:p>
    <w:p w14:paraId="4842FC64" w14:textId="77777777" w:rsidR="007A743C" w:rsidRPr="00C916B0" w:rsidRDefault="007A743C" w:rsidP="00DF3F6B">
      <w:pPr>
        <w:pStyle w:val="NumberedList"/>
        <w:numPr>
          <w:ilvl w:val="0"/>
          <w:numId w:val="81"/>
        </w:numPr>
        <w:spacing w:before="240" w:after="240" w:line="240" w:lineRule="auto"/>
        <w:ind w:left="568" w:hanging="284"/>
      </w:pPr>
      <w:r>
        <w:t xml:space="preserve">If an appointed decision maker is required but is not yet in place, people supporting the older person will </w:t>
      </w:r>
      <w:r w:rsidRPr="78E43FD9">
        <w:rPr>
          <w:lang w:val="en-US"/>
        </w:rPr>
        <w:t xml:space="preserve">need to be referred to </w:t>
      </w:r>
      <w:r>
        <w:rPr>
          <w:lang w:val="en-US"/>
        </w:rPr>
        <w:t xml:space="preserve">the processes </w:t>
      </w:r>
      <w:r w:rsidRPr="78E43FD9">
        <w:rPr>
          <w:lang w:val="en-US"/>
        </w:rPr>
        <w:t xml:space="preserve">in their state or territory </w:t>
      </w:r>
      <w:r>
        <w:rPr>
          <w:lang w:val="en-US"/>
        </w:rPr>
        <w:t xml:space="preserve">for appointing decision makers </w:t>
      </w:r>
      <w:r w:rsidRPr="78E43FD9">
        <w:rPr>
          <w:lang w:val="en-US"/>
        </w:rPr>
        <w:t xml:space="preserve">(see Note below). </w:t>
      </w:r>
      <w:r>
        <w:rPr>
          <w:lang w:val="en-US"/>
        </w:rPr>
        <w:t xml:space="preserve">These usually involve formal assessments of decision-making ability by medical practitioners like geriatricians. If an older person has no support network, assessors may consider connecting with the older person’s treating medical practitioner such as a GP, if this information is known. </w:t>
      </w:r>
    </w:p>
    <w:p w14:paraId="4CD96DB5" w14:textId="77777777" w:rsidR="007A743C" w:rsidRPr="003510BD" w:rsidRDefault="007A743C" w:rsidP="00DF3F6B">
      <w:pPr>
        <w:pStyle w:val="NumberedList"/>
        <w:numPr>
          <w:ilvl w:val="0"/>
          <w:numId w:val="81"/>
        </w:numPr>
        <w:spacing w:before="240" w:after="240" w:line="240" w:lineRule="auto"/>
        <w:ind w:left="568" w:hanging="284"/>
      </w:pPr>
      <w:r w:rsidRPr="78E43FD9">
        <w:rPr>
          <w:lang w:val="en-US"/>
        </w:rPr>
        <w:t xml:space="preserve">The </w:t>
      </w:r>
      <w:r>
        <w:rPr>
          <w:lang w:val="en-US"/>
        </w:rPr>
        <w:t>older person</w:t>
      </w:r>
      <w:r w:rsidRPr="78E43FD9">
        <w:rPr>
          <w:lang w:val="en-US"/>
        </w:rPr>
        <w:t xml:space="preserve"> must be able to make an informed decision about whether they want </w:t>
      </w:r>
      <w:r>
        <w:rPr>
          <w:lang w:val="en-US"/>
        </w:rPr>
        <w:t xml:space="preserve">their </w:t>
      </w:r>
      <w:r w:rsidRPr="78E43FD9">
        <w:rPr>
          <w:lang w:val="en-US"/>
        </w:rPr>
        <w:t xml:space="preserve">personal information disclosed to others. When the </w:t>
      </w:r>
      <w:r>
        <w:rPr>
          <w:lang w:val="en-US"/>
        </w:rPr>
        <w:t>older person</w:t>
      </w:r>
      <w:r w:rsidRPr="78E43FD9">
        <w:rPr>
          <w:lang w:val="en-US"/>
        </w:rPr>
        <w:t xml:space="preserve"> consents to an assessment, they must be made aware that they are agreeing to their personal information being collected for the purposes of the assessment and, where appropriate, disclosed to or used by other </w:t>
      </w:r>
      <w:r>
        <w:rPr>
          <w:lang w:val="en-US"/>
        </w:rPr>
        <w:t>part</w:t>
      </w:r>
      <w:r w:rsidRPr="78E43FD9">
        <w:rPr>
          <w:lang w:val="en-US"/>
        </w:rPr>
        <w:t xml:space="preserve">ies for the purposes of providing aged care or other community, health, or social services to the </w:t>
      </w:r>
      <w:r>
        <w:rPr>
          <w:lang w:val="en-US"/>
        </w:rPr>
        <w:t>older person</w:t>
      </w:r>
      <w:r w:rsidRPr="78E43FD9">
        <w:rPr>
          <w:lang w:val="en-US"/>
        </w:rPr>
        <w:t xml:space="preserve">. </w:t>
      </w:r>
      <w:r>
        <w:rPr>
          <w:lang w:val="en-US"/>
        </w:rPr>
        <w:t xml:space="preserve">Reference should be made to consent scripting and/or privacy collection notices, where available. </w:t>
      </w:r>
      <w:r w:rsidRPr="78E43FD9">
        <w:rPr>
          <w:lang w:val="en-US"/>
        </w:rPr>
        <w:t xml:space="preserve"> </w:t>
      </w:r>
    </w:p>
    <w:p w14:paraId="4C528960" w14:textId="1DEB8514" w:rsidR="007A743C" w:rsidRPr="00A722DB" w:rsidRDefault="007A743C" w:rsidP="00DF3F6B">
      <w:pPr>
        <w:pStyle w:val="NumberedList"/>
        <w:numPr>
          <w:ilvl w:val="0"/>
          <w:numId w:val="81"/>
        </w:numPr>
        <w:spacing w:before="240" w:after="240" w:line="240" w:lineRule="auto"/>
        <w:ind w:left="568" w:hanging="284"/>
        <w:rPr>
          <w:lang w:val="en-US"/>
        </w:rPr>
      </w:pPr>
      <w:r w:rsidRPr="78E43FD9">
        <w:rPr>
          <w:lang w:val="en-US"/>
        </w:rPr>
        <w:t>A</w:t>
      </w:r>
      <w:r>
        <w:rPr>
          <w:lang w:val="en-US"/>
        </w:rPr>
        <w:t>n</w:t>
      </w:r>
      <w:r w:rsidRPr="78E43FD9">
        <w:rPr>
          <w:lang w:val="en-US"/>
        </w:rPr>
        <w:t xml:space="preserve"> </w:t>
      </w:r>
      <w:r>
        <w:rPr>
          <w:lang w:val="en-US"/>
        </w:rPr>
        <w:t>older person</w:t>
      </w:r>
      <w:r w:rsidRPr="78E43FD9">
        <w:rPr>
          <w:lang w:val="en-US"/>
        </w:rPr>
        <w:t>’s right to confidentiality must always be respected. If an assessor considers that maintaining confidentiality will interfere with or compromise their role in relation to a</w:t>
      </w:r>
      <w:r>
        <w:rPr>
          <w:lang w:val="en-US"/>
        </w:rPr>
        <w:t>n</w:t>
      </w:r>
      <w:r w:rsidRPr="78E43FD9">
        <w:rPr>
          <w:lang w:val="en-US"/>
        </w:rPr>
        <w:t xml:space="preserve"> </w:t>
      </w:r>
      <w:r>
        <w:rPr>
          <w:lang w:val="en-US"/>
        </w:rPr>
        <w:t>older person</w:t>
      </w:r>
      <w:r w:rsidRPr="78E43FD9">
        <w:rPr>
          <w:lang w:val="en-US"/>
        </w:rPr>
        <w:t xml:space="preserve">, the matter should be discussed with the </w:t>
      </w:r>
      <w:r>
        <w:rPr>
          <w:lang w:val="en-US"/>
        </w:rPr>
        <w:t xml:space="preserve">older person. This discussion can also involve a registered supporter, if the older person wants their registered supporter involved. This discussion can also involve an older person’s appointed decision maker, if their active, legal authority relates to the personal information the confidentiality issue </w:t>
      </w:r>
      <w:r w:rsidRPr="0A175D97">
        <w:rPr>
          <w:lang w:val="en-US"/>
        </w:rPr>
        <w:t>relate</w:t>
      </w:r>
      <w:r w:rsidR="00223382">
        <w:rPr>
          <w:lang w:val="en-US"/>
        </w:rPr>
        <w:t>s</w:t>
      </w:r>
      <w:r>
        <w:rPr>
          <w:lang w:val="en-US"/>
        </w:rPr>
        <w:t xml:space="preserve"> to</w:t>
      </w:r>
      <w:r w:rsidRPr="017FF414">
        <w:rPr>
          <w:lang w:val="en-US"/>
        </w:rPr>
        <w:t>.</w:t>
      </w:r>
    </w:p>
    <w:p w14:paraId="156D12CD" w14:textId="77777777" w:rsidR="007A743C" w:rsidRPr="007F3173" w:rsidRDefault="007A743C" w:rsidP="00DF3F6B">
      <w:pPr>
        <w:pStyle w:val="NumberedList"/>
        <w:numPr>
          <w:ilvl w:val="0"/>
          <w:numId w:val="81"/>
        </w:numPr>
        <w:spacing w:before="240" w:after="240" w:line="240" w:lineRule="auto"/>
        <w:ind w:left="568" w:hanging="284"/>
        <w:rPr>
          <w:lang w:val="en-US"/>
        </w:rPr>
      </w:pPr>
      <w:r w:rsidRPr="78E43FD9">
        <w:rPr>
          <w:lang w:val="en-US"/>
        </w:rPr>
        <w:t xml:space="preserve">When sharing </w:t>
      </w:r>
      <w:r w:rsidRPr="014D6A43">
        <w:rPr>
          <w:lang w:val="en-US"/>
        </w:rPr>
        <w:t xml:space="preserve">information from </w:t>
      </w:r>
      <w:r>
        <w:rPr>
          <w:lang w:val="en-US"/>
        </w:rPr>
        <w:t xml:space="preserve">an older </w:t>
      </w:r>
      <w:r w:rsidRPr="014D6A43">
        <w:rPr>
          <w:lang w:val="en-US"/>
        </w:rPr>
        <w:t>person</w:t>
      </w:r>
      <w:r w:rsidRPr="78E43FD9">
        <w:rPr>
          <w:lang w:val="en-US"/>
        </w:rPr>
        <w:t xml:space="preserve"> with other </w:t>
      </w:r>
      <w:r>
        <w:rPr>
          <w:lang w:val="en-US"/>
        </w:rPr>
        <w:t>part</w:t>
      </w:r>
      <w:r w:rsidRPr="78E43FD9">
        <w:rPr>
          <w:lang w:val="en-US"/>
        </w:rPr>
        <w:t>ies, assessors should ensure the information is shared securely and is received by individuals who are authorised to receive the information on a ‘need to know’ basis.</w:t>
      </w:r>
    </w:p>
    <w:p w14:paraId="1476FDAB" w14:textId="77777777" w:rsidR="007A743C" w:rsidRPr="007F3173" w:rsidRDefault="007A743C" w:rsidP="00DF3F6B">
      <w:pPr>
        <w:pStyle w:val="NumberedList"/>
        <w:numPr>
          <w:ilvl w:val="0"/>
          <w:numId w:val="81"/>
        </w:numPr>
        <w:spacing w:before="240" w:after="240" w:line="240" w:lineRule="auto"/>
        <w:ind w:left="568" w:hanging="284"/>
      </w:pPr>
      <w:r w:rsidRPr="5C4238FA">
        <w:rPr>
          <w:lang w:val="en-US"/>
        </w:rPr>
        <w:t xml:space="preserve">Ensure that third </w:t>
      </w:r>
      <w:r>
        <w:rPr>
          <w:lang w:val="en-US"/>
        </w:rPr>
        <w:t>part</w:t>
      </w:r>
      <w:r w:rsidRPr="5C4238FA">
        <w:rPr>
          <w:lang w:val="en-US"/>
        </w:rPr>
        <w:t xml:space="preserve">ies who receive </w:t>
      </w:r>
      <w:r>
        <w:rPr>
          <w:lang w:val="en-US"/>
        </w:rPr>
        <w:t>an older person’s</w:t>
      </w:r>
      <w:r w:rsidRPr="5C4238FA">
        <w:rPr>
          <w:lang w:val="en-US"/>
        </w:rPr>
        <w:t xml:space="preserve"> information are aware of privacy requirements and have procedures in place to ensure that the </w:t>
      </w:r>
      <w:r>
        <w:rPr>
          <w:lang w:val="en-US"/>
        </w:rPr>
        <w:t>older person</w:t>
      </w:r>
      <w:r w:rsidRPr="5C4238FA">
        <w:rPr>
          <w:lang w:val="en-US"/>
        </w:rPr>
        <w:t>’s information is not misused.</w:t>
      </w:r>
    </w:p>
    <w:p w14:paraId="33EE4FA1" w14:textId="77777777" w:rsidR="007A743C" w:rsidRDefault="007A743C" w:rsidP="00DF3F6B">
      <w:pPr>
        <w:pStyle w:val="NumberedList"/>
        <w:numPr>
          <w:ilvl w:val="0"/>
          <w:numId w:val="81"/>
        </w:numPr>
        <w:spacing w:before="240" w:after="240" w:line="240" w:lineRule="auto"/>
        <w:ind w:left="568" w:hanging="284"/>
        <w:rPr>
          <w:lang w:val="en-US"/>
        </w:rPr>
      </w:pPr>
      <w:r>
        <w:rPr>
          <w:lang w:val="en-US"/>
        </w:rPr>
        <w:t>If using online consent</w:t>
      </w:r>
      <w:r w:rsidRPr="78E43FD9">
        <w:rPr>
          <w:lang w:val="en-US"/>
        </w:rPr>
        <w:t xml:space="preserve">, </w:t>
      </w:r>
      <w:r>
        <w:rPr>
          <w:lang w:val="en-US"/>
        </w:rPr>
        <w:t xml:space="preserve">the triage delegate or assessor </w:t>
      </w:r>
      <w:r w:rsidRPr="78E43FD9">
        <w:rPr>
          <w:lang w:val="en-US"/>
        </w:rPr>
        <w:t xml:space="preserve">must use the My Aged Care portal prompts to indicate that consent </w:t>
      </w:r>
      <w:r>
        <w:rPr>
          <w:lang w:val="en-US"/>
        </w:rPr>
        <w:t xml:space="preserve">to triage/assessment </w:t>
      </w:r>
      <w:r w:rsidRPr="78E43FD9">
        <w:rPr>
          <w:lang w:val="en-US"/>
        </w:rPr>
        <w:t xml:space="preserve">was provided. If the </w:t>
      </w:r>
      <w:r>
        <w:rPr>
          <w:lang w:val="en-US"/>
        </w:rPr>
        <w:t>older person</w:t>
      </w:r>
      <w:r w:rsidRPr="78E43FD9">
        <w:rPr>
          <w:lang w:val="en-US"/>
        </w:rPr>
        <w:t xml:space="preserve"> does not wish to give consent, the </w:t>
      </w:r>
      <w:r>
        <w:rPr>
          <w:lang w:val="en-US"/>
        </w:rPr>
        <w:t xml:space="preserve">triage delegate or assessor </w:t>
      </w:r>
      <w:r w:rsidRPr="78E43FD9">
        <w:rPr>
          <w:lang w:val="en-US"/>
        </w:rPr>
        <w:t>will be required to select a reason for not providing consent.</w:t>
      </w:r>
    </w:p>
    <w:p w14:paraId="5871AA67" w14:textId="77777777" w:rsidR="007A743C" w:rsidRDefault="007A743C" w:rsidP="00DF3F6B">
      <w:pPr>
        <w:pStyle w:val="NumberedList"/>
        <w:numPr>
          <w:ilvl w:val="0"/>
          <w:numId w:val="81"/>
        </w:numPr>
        <w:spacing w:before="240" w:after="240" w:line="240" w:lineRule="auto"/>
        <w:ind w:left="568" w:hanging="284"/>
        <w:rPr>
          <w:lang w:val="en-US"/>
        </w:rPr>
      </w:pPr>
      <w:r>
        <w:rPr>
          <w:lang w:val="en-US"/>
        </w:rPr>
        <w:t>If using the Consent Form</w:t>
      </w:r>
      <w:r w:rsidRPr="051B1754">
        <w:rPr>
          <w:lang w:val="en-US"/>
        </w:rPr>
        <w:t xml:space="preserve">, the assessor must record the informed consent in the My Aged Care Assessment Consent Form and upload it in the older </w:t>
      </w:r>
      <w:r w:rsidRPr="73F41D4B">
        <w:rPr>
          <w:lang w:val="en-US"/>
        </w:rPr>
        <w:t>person’s</w:t>
      </w:r>
      <w:r w:rsidRPr="051B1754">
        <w:rPr>
          <w:lang w:val="en-US"/>
        </w:rPr>
        <w:t xml:space="preserve"> record through the ‘Attachments’ function. The assessor can then use the ‘Notes’ section in the older person’s record to:</w:t>
      </w:r>
    </w:p>
    <w:p w14:paraId="1BA3263C" w14:textId="77777777" w:rsidR="007A743C" w:rsidRDefault="007A743C" w:rsidP="00DF3F6B">
      <w:pPr>
        <w:pStyle w:val="NumberedList"/>
        <w:numPr>
          <w:ilvl w:val="1"/>
          <w:numId w:val="81"/>
        </w:numPr>
        <w:spacing w:before="240" w:after="240" w:line="240" w:lineRule="auto"/>
      </w:pPr>
      <w:r>
        <w:t xml:space="preserve">indicate the signed form has been uploaded and consent given </w:t>
      </w:r>
    </w:p>
    <w:p w14:paraId="5CFE8617" w14:textId="77777777" w:rsidR="007A743C" w:rsidRDefault="007A743C" w:rsidP="00DF3F6B">
      <w:pPr>
        <w:pStyle w:val="NumberedList"/>
        <w:numPr>
          <w:ilvl w:val="1"/>
          <w:numId w:val="81"/>
        </w:numPr>
        <w:spacing w:before="240" w:after="240" w:line="240" w:lineRule="auto"/>
        <w:rPr>
          <w:lang w:val="en-US"/>
        </w:rPr>
      </w:pPr>
      <w:r w:rsidRPr="78E43FD9">
        <w:rPr>
          <w:lang w:val="en-US"/>
        </w:rPr>
        <w:t xml:space="preserve">record any detail the circumstances regarding any disclosure of </w:t>
      </w:r>
      <w:r w:rsidRPr="291E2DD8">
        <w:rPr>
          <w:lang w:val="en-US"/>
        </w:rPr>
        <w:t>an</w:t>
      </w:r>
      <w:r w:rsidRPr="78E43FD9">
        <w:rPr>
          <w:lang w:val="en-US"/>
        </w:rPr>
        <w:t xml:space="preserve"> </w:t>
      </w:r>
      <w:r>
        <w:rPr>
          <w:lang w:val="en-US"/>
        </w:rPr>
        <w:t>older person</w:t>
      </w:r>
      <w:r w:rsidRPr="78E43FD9">
        <w:rPr>
          <w:lang w:val="en-US"/>
        </w:rPr>
        <w:t>’s personal information</w:t>
      </w:r>
      <w:r w:rsidRPr="017FF414">
        <w:rPr>
          <w:lang w:val="en-US"/>
        </w:rPr>
        <w:t>,</w:t>
      </w:r>
      <w:r w:rsidRPr="78E43FD9">
        <w:rPr>
          <w:lang w:val="en-US"/>
        </w:rPr>
        <w:t xml:space="preserve"> and</w:t>
      </w:r>
    </w:p>
    <w:p w14:paraId="2B6B0656" w14:textId="77777777" w:rsidR="007A743C" w:rsidRDefault="007A743C" w:rsidP="00DF3F6B">
      <w:pPr>
        <w:pStyle w:val="NumberedList"/>
        <w:numPr>
          <w:ilvl w:val="1"/>
          <w:numId w:val="81"/>
        </w:numPr>
        <w:spacing w:before="240" w:after="240" w:line="240" w:lineRule="auto"/>
      </w:pPr>
      <w:r w:rsidRPr="78E43FD9">
        <w:rPr>
          <w:lang w:val="en-US"/>
        </w:rPr>
        <w:t xml:space="preserve">record any instructions relating to the assessor’s conversation on informed consent with the </w:t>
      </w:r>
      <w:r>
        <w:rPr>
          <w:lang w:val="en-US"/>
        </w:rPr>
        <w:t>older person</w:t>
      </w:r>
      <w:r w:rsidRPr="78E43FD9">
        <w:rPr>
          <w:lang w:val="en-US"/>
        </w:rPr>
        <w:t xml:space="preserve"> (</w:t>
      </w:r>
      <w:r>
        <w:rPr>
          <w:lang w:val="en-US"/>
        </w:rPr>
        <w:t>and/</w:t>
      </w:r>
      <w:r w:rsidRPr="78E43FD9">
        <w:rPr>
          <w:lang w:val="en-US"/>
        </w:rPr>
        <w:t xml:space="preserve">or </w:t>
      </w:r>
      <w:r>
        <w:rPr>
          <w:lang w:val="en-US"/>
        </w:rPr>
        <w:t>active appointed decision maker</w:t>
      </w:r>
      <w:r w:rsidRPr="78E43FD9">
        <w:rPr>
          <w:lang w:val="en-US"/>
        </w:rPr>
        <w:t xml:space="preserve">) </w:t>
      </w:r>
      <w:r>
        <w:rPr>
          <w:lang w:val="en-US"/>
        </w:rPr>
        <w:t>and where relevant, any registered supporters</w:t>
      </w:r>
      <w:r w:rsidRPr="78E43FD9">
        <w:rPr>
          <w:lang w:val="en-US"/>
        </w:rPr>
        <w:t>.</w:t>
      </w:r>
      <w:r>
        <w:rPr>
          <w:lang w:val="en-US"/>
        </w:rPr>
        <w:t xml:space="preserve"> </w:t>
      </w:r>
    </w:p>
    <w:p w14:paraId="43DECCE3" w14:textId="77777777" w:rsidR="007A743C" w:rsidRPr="002067E8" w:rsidRDefault="007A743C" w:rsidP="00DF3F6B">
      <w:pPr>
        <w:pStyle w:val="NumberedList"/>
        <w:numPr>
          <w:ilvl w:val="0"/>
          <w:numId w:val="81"/>
        </w:numPr>
        <w:spacing w:before="240" w:after="240" w:line="240" w:lineRule="auto"/>
        <w:ind w:left="568" w:hanging="284"/>
      </w:pPr>
      <w:r>
        <w:rPr>
          <w:lang w:val="en-US"/>
        </w:rPr>
        <w:t xml:space="preserve">If a carer is identified for the first time during the assessment under the ‘Carer profile’ section of the IAT, the assessor </w:t>
      </w:r>
      <w:r w:rsidRPr="017FF414">
        <w:rPr>
          <w:lang w:val="en-US"/>
        </w:rPr>
        <w:t xml:space="preserve">must confirm with </w:t>
      </w:r>
      <w:r>
        <w:rPr>
          <w:lang w:val="en-US"/>
        </w:rPr>
        <w:t xml:space="preserve">the older person that the older </w:t>
      </w:r>
      <w:r w:rsidRPr="002067E8">
        <w:rPr>
          <w:lang w:val="en-US"/>
        </w:rPr>
        <w:t>person has the carer’s consent to provide the carer’s telephone number and related personal information.</w:t>
      </w:r>
    </w:p>
    <w:p w14:paraId="5566EA6B" w14:textId="77777777" w:rsidR="007A743C" w:rsidRPr="002067E8" w:rsidRDefault="007A743C" w:rsidP="00DF3F6B">
      <w:pPr>
        <w:pStyle w:val="NumberedList"/>
        <w:numPr>
          <w:ilvl w:val="0"/>
          <w:numId w:val="81"/>
        </w:numPr>
        <w:spacing w:before="240" w:after="240" w:line="240" w:lineRule="auto"/>
        <w:ind w:left="568" w:hanging="284"/>
        <w:rPr>
          <w:lang w:val="en-US"/>
        </w:rPr>
      </w:pPr>
      <w:r w:rsidRPr="002067E8">
        <w:rPr>
          <w:lang w:val="en-US"/>
        </w:rPr>
        <w:t>Older</w:t>
      </w:r>
      <w:r w:rsidRPr="002067E8" w:rsidDel="00752866">
        <w:rPr>
          <w:lang w:val="en-US"/>
        </w:rPr>
        <w:t xml:space="preserve"> </w:t>
      </w:r>
      <w:r>
        <w:rPr>
          <w:lang w:val="en-US"/>
        </w:rPr>
        <w:t>people</w:t>
      </w:r>
      <w:r w:rsidRPr="002067E8">
        <w:rPr>
          <w:lang w:val="en-US"/>
        </w:rPr>
        <w:t xml:space="preserve"> must be made aware that once consent for assessment is gained for the use and disclosure of personal information as authorised by the </w:t>
      </w:r>
      <w:r w:rsidRPr="002067E8">
        <w:rPr>
          <w:i/>
          <w:lang w:val="en-US"/>
        </w:rPr>
        <w:t>Privacy Act 1988</w:t>
      </w:r>
      <w:r w:rsidRPr="002067E8">
        <w:rPr>
          <w:lang w:val="en-US"/>
        </w:rPr>
        <w:t xml:space="preserve"> (Cth) (Privacy Act),</w:t>
      </w:r>
      <w:r w:rsidRPr="002067E8" w:rsidDel="00F50EB3">
        <w:rPr>
          <w:lang w:val="en-US"/>
        </w:rPr>
        <w:t xml:space="preserve"> </w:t>
      </w:r>
      <w:r w:rsidRPr="002067E8">
        <w:rPr>
          <w:lang w:val="en-US"/>
        </w:rPr>
        <w:t xml:space="preserve">these records need to be retained in accordance with the </w:t>
      </w:r>
      <w:r w:rsidRPr="002067E8">
        <w:rPr>
          <w:i/>
          <w:lang w:val="en-US"/>
        </w:rPr>
        <w:t>Archives Act 1983</w:t>
      </w:r>
      <w:r w:rsidRPr="002067E8">
        <w:rPr>
          <w:lang w:val="en-US"/>
        </w:rPr>
        <w:t>.</w:t>
      </w:r>
    </w:p>
    <w:p w14:paraId="0F30C8A3" w14:textId="5417A070" w:rsidR="007A743C" w:rsidRPr="00106FE6" w:rsidRDefault="007A743C" w:rsidP="00DF3F6B">
      <w:pPr>
        <w:pStyle w:val="NumberedList"/>
        <w:numPr>
          <w:ilvl w:val="0"/>
          <w:numId w:val="81"/>
        </w:numPr>
        <w:spacing w:before="240" w:after="240" w:line="240" w:lineRule="auto"/>
        <w:ind w:left="568" w:hanging="284"/>
        <w:rPr>
          <w:lang w:val="en-US"/>
        </w:rPr>
      </w:pPr>
      <w:r w:rsidRPr="002067E8">
        <w:rPr>
          <w:lang w:val="en-US"/>
        </w:rPr>
        <w:t>When seeking consent to make the older person’s Support Plan available in their My Health Record (MHR), the assessor should ensure the older person understands that their GP, along with other authorised</w:t>
      </w:r>
      <w:r w:rsidRPr="00106FE6">
        <w:rPr>
          <w:lang w:val="en-US"/>
        </w:rPr>
        <w:t xml:space="preserve"> health professionals, will also be able to view their Support Plan on MHR. The assessor can </w:t>
      </w:r>
      <w:r>
        <w:rPr>
          <w:lang w:val="en-US"/>
        </w:rPr>
        <w:t>make a</w:t>
      </w:r>
      <w:r w:rsidRPr="00106FE6">
        <w:rPr>
          <w:lang w:val="en-US"/>
        </w:rPr>
        <w:t xml:space="preserve"> note that the </w:t>
      </w:r>
      <w:r>
        <w:rPr>
          <w:lang w:val="en-US"/>
        </w:rPr>
        <w:t>older person</w:t>
      </w:r>
      <w:r w:rsidRPr="00106FE6">
        <w:rPr>
          <w:lang w:val="en-US"/>
        </w:rPr>
        <w:t xml:space="preserve"> </w:t>
      </w:r>
      <w:r w:rsidRPr="017FF414">
        <w:rPr>
          <w:lang w:val="en-US"/>
        </w:rPr>
        <w:t xml:space="preserve">does not have to give their consent. They </w:t>
      </w:r>
      <w:r w:rsidRPr="00106FE6">
        <w:rPr>
          <w:lang w:val="en-US"/>
        </w:rPr>
        <w:t xml:space="preserve">can also withdraw their consent at any time by calling the </w:t>
      </w:r>
      <w:r w:rsidRPr="1E54BD0F">
        <w:rPr>
          <w:lang w:val="en-US"/>
        </w:rPr>
        <w:t>My Aged Care</w:t>
      </w:r>
      <w:r w:rsidRPr="00106FE6">
        <w:rPr>
          <w:lang w:val="en-US"/>
        </w:rPr>
        <w:t xml:space="preserve"> Contact Centre and requesting removal of their Support Plan from MHR.</w:t>
      </w:r>
    </w:p>
    <w:p w14:paraId="5E5CF94B" w14:textId="65A2C45D" w:rsidR="007A743C" w:rsidRPr="000027E3" w:rsidRDefault="007A743C" w:rsidP="00C325C6">
      <w:pPr>
        <w:pStyle w:val="Sub-headings"/>
      </w:pPr>
      <w:r w:rsidRPr="00904192">
        <w:t>Note</w:t>
      </w:r>
      <w:r w:rsidR="007F22CF" w:rsidRPr="000027E3">
        <w:t>:</w:t>
      </w:r>
    </w:p>
    <w:p w14:paraId="2FD4A423" w14:textId="153537F5" w:rsidR="007A743C" w:rsidRPr="003E1933" w:rsidRDefault="007A743C" w:rsidP="00C325C6">
      <w:pPr>
        <w:pStyle w:val="Sub-headings"/>
      </w:pPr>
      <w:r w:rsidRPr="003E1933">
        <w:t xml:space="preserve">1. If consent cannot be given by the older person or their </w:t>
      </w:r>
      <w:r>
        <w:t xml:space="preserve">active, </w:t>
      </w:r>
      <w:r w:rsidRPr="003E1933">
        <w:t>appointed decision maker (either registered as a supporter or not), the triage or assessment cannot proceed, and the referral is rejected.</w:t>
      </w:r>
      <w:r w:rsidR="00883E83">
        <w:t xml:space="preserve"> Further information on registered supporters and active, appointed decision makers is available </w:t>
      </w:r>
      <w:hyperlink w:anchor="CH1_SupportedDecisionMaking" w:history="1">
        <w:r w:rsidR="00883E83" w:rsidRPr="00883E83">
          <w:rPr>
            <w:rStyle w:val="Hyperlink"/>
          </w:rPr>
          <w:t>earlier in this manual</w:t>
        </w:r>
      </w:hyperlink>
      <w:r w:rsidR="00883E83">
        <w:t xml:space="preserve">. </w:t>
      </w:r>
    </w:p>
    <w:p w14:paraId="0BA9B027" w14:textId="2740D74D" w:rsidR="007A743C" w:rsidRPr="00A37668" w:rsidRDefault="007A743C" w:rsidP="00C325C6">
      <w:pPr>
        <w:pStyle w:val="Sub-headings"/>
        <w:rPr>
          <w:bCs w:val="0"/>
        </w:rPr>
      </w:pPr>
      <w:r>
        <w:rPr>
          <w:bCs w:val="0"/>
        </w:rPr>
        <w:t>2.</w:t>
      </w:r>
      <w:r w:rsidRPr="003E1933">
        <w:t xml:space="preserve"> The assessor should discuss the implications of approving a Disability Support for Older Australians (DSOA) client for aged care, ensuring DSOA clients are informed of the considerations relating to their DSOA funding and supports when they consent to proceed with the aged care assessment. DSOA clients must confirm they understand that if they are deemed eligible for aged care services their DSOA funding is capped, or they may be required to exit the existing DSOA Program (</w:t>
      </w:r>
      <w:r w:rsidRPr="00617351">
        <w:t xml:space="preserve">see </w:t>
      </w:r>
      <w:r>
        <w:t xml:space="preserve">Chapter </w:t>
      </w:r>
      <w:r w:rsidR="004F60FD">
        <w:fldChar w:fldCharType="begin"/>
      </w:r>
      <w:r w:rsidR="004F60FD">
        <w:instrText xml:space="preserve"> REF _Ref212738010 \w \h </w:instrText>
      </w:r>
      <w:r w:rsidR="004F60FD">
        <w:fldChar w:fldCharType="separate"/>
      </w:r>
      <w:r w:rsidR="00F97942">
        <w:t>6</w:t>
      </w:r>
      <w:r w:rsidR="004F60FD">
        <w:fldChar w:fldCharType="end"/>
      </w:r>
      <w:r w:rsidRPr="003E1933">
        <w:t>).</w:t>
      </w:r>
      <w:r w:rsidRPr="009462CA">
        <w:rPr>
          <w:bCs w:val="0"/>
        </w:rPr>
        <w:t xml:space="preserve">  </w:t>
      </w:r>
    </w:p>
    <w:p w14:paraId="07D78F0E" w14:textId="77777777" w:rsidR="007A743C" w:rsidRDefault="007A743C" w:rsidP="00A677C9">
      <w:pPr>
        <w:spacing w:before="240" w:after="240" w:line="240" w:lineRule="auto"/>
        <w:rPr>
          <w:b/>
          <w:szCs w:val="22"/>
        </w:rPr>
      </w:pPr>
      <w:r>
        <w:rPr>
          <w:b/>
          <w:szCs w:val="22"/>
        </w:rPr>
        <w:t xml:space="preserve">  </w:t>
      </w:r>
    </w:p>
    <w:tbl>
      <w:tblPr>
        <w:tblStyle w:val="TableGrid"/>
        <w:tblW w:w="0" w:type="auto"/>
        <w:tblLook w:val="04A0" w:firstRow="1" w:lastRow="0" w:firstColumn="1" w:lastColumn="0" w:noHBand="0" w:noVBand="1"/>
      </w:tblPr>
      <w:tblGrid>
        <w:gridCol w:w="973"/>
        <w:gridCol w:w="7793"/>
      </w:tblGrid>
      <w:tr w:rsidR="007A743C" w14:paraId="03F68B61" w14:textId="77777777">
        <w:tc>
          <w:tcPr>
            <w:tcW w:w="988" w:type="dxa"/>
          </w:tcPr>
          <w:p w14:paraId="7397B91D" w14:textId="77777777" w:rsidR="007A743C" w:rsidRDefault="007A743C" w:rsidP="00A677C9">
            <w:pPr>
              <w:spacing w:before="240" w:after="240"/>
              <w:rPr>
                <w:b/>
              </w:rPr>
            </w:pPr>
            <w:r>
              <w:rPr>
                <w:noProof/>
              </w:rPr>
              <w:drawing>
                <wp:inline distT="0" distB="0" distL="0" distR="0" wp14:anchorId="29696E93" wp14:editId="4CC3D225">
                  <wp:extent cx="383111" cy="381000"/>
                  <wp:effectExtent l="0" t="0" r="0" b="0"/>
                  <wp:docPr id="104986138" name="Picture 104986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362" w:type="dxa"/>
          </w:tcPr>
          <w:p w14:paraId="1EA5941C" w14:textId="025FECA3" w:rsidR="007A743C" w:rsidRPr="000C43E7" w:rsidRDefault="00AB45B0" w:rsidP="00A677C9">
            <w:pPr>
              <w:spacing w:before="240" w:after="240"/>
              <w:rPr>
                <w:b/>
                <w:lang w:val="en-AU"/>
              </w:rPr>
            </w:pPr>
            <w:r w:rsidRPr="00AB45B0">
              <w:rPr>
                <w:b/>
                <w:bCs/>
                <w:lang w:val="en-AU"/>
              </w:rPr>
              <w:t>Privacy notice for Aged Care Needs Assessment</w:t>
            </w:r>
            <w:r>
              <w:rPr>
                <w:b/>
                <w:bCs/>
                <w:lang w:val="en-AU"/>
              </w:rPr>
              <w:t xml:space="preserve">: </w:t>
            </w:r>
            <w:hyperlink r:id="rId120">
              <w:r w:rsidR="007A743C" w:rsidRPr="0F65D9E3">
                <w:rPr>
                  <w:rStyle w:val="Hyperlink"/>
                </w:rPr>
                <w:t>Privacy notice and consent web page</w:t>
              </w:r>
            </w:hyperlink>
          </w:p>
          <w:p w14:paraId="1374AC54" w14:textId="77777777" w:rsidR="0063594B" w:rsidRDefault="007A743C" w:rsidP="00A677C9">
            <w:pPr>
              <w:spacing w:before="240" w:after="240"/>
            </w:pPr>
            <w:r w:rsidRPr="005906C6">
              <w:rPr>
                <w:b/>
              </w:rPr>
              <w:t>Federal Register of Legislation website</w:t>
            </w:r>
            <w:r w:rsidRPr="005906C6">
              <w:t xml:space="preserve">: </w:t>
            </w:r>
          </w:p>
          <w:p w14:paraId="2DD987FA" w14:textId="45A62F62" w:rsidR="007A743C" w:rsidRPr="001460A5" w:rsidRDefault="007A743C" w:rsidP="000C43E7">
            <w:pPr>
              <w:pStyle w:val="ListParagraph"/>
              <w:numPr>
                <w:ilvl w:val="0"/>
                <w:numId w:val="525"/>
              </w:numPr>
              <w:spacing w:before="240" w:after="240"/>
            </w:pPr>
            <w:hyperlink r:id="rId121" w:history="1">
              <w:r w:rsidRPr="001460A5">
                <w:rPr>
                  <w:rStyle w:val="Hyperlink"/>
                </w:rPr>
                <w:t>Aged Care Act 2024 - Federal Register of Legislation</w:t>
              </w:r>
            </w:hyperlink>
          </w:p>
          <w:p w14:paraId="0D424988" w14:textId="77777777" w:rsidR="007A743C" w:rsidRPr="005906C6" w:rsidRDefault="007A743C" w:rsidP="000C43E7">
            <w:pPr>
              <w:pStyle w:val="ListParagraph"/>
              <w:numPr>
                <w:ilvl w:val="0"/>
                <w:numId w:val="525"/>
              </w:numPr>
              <w:spacing w:before="240" w:after="240"/>
            </w:pPr>
            <w:hyperlink r:id="rId122">
              <w:r w:rsidRPr="005906C6">
                <w:rPr>
                  <w:rStyle w:val="Hyperlink"/>
                </w:rPr>
                <w:t>The Privacy Act 1988</w:t>
              </w:r>
            </w:hyperlink>
            <w:r w:rsidRPr="005906C6">
              <w:t xml:space="preserve"> </w:t>
            </w:r>
          </w:p>
          <w:p w14:paraId="430B935D" w14:textId="77777777" w:rsidR="007A743C" w:rsidRPr="005906C6" w:rsidRDefault="007A743C" w:rsidP="00A677C9">
            <w:pPr>
              <w:spacing w:before="240" w:after="240"/>
            </w:pPr>
            <w:r w:rsidRPr="005906C6">
              <w:rPr>
                <w:b/>
              </w:rPr>
              <w:t>Healthdirect website:</w:t>
            </w:r>
            <w:r w:rsidRPr="005906C6">
              <w:t xml:space="preserve"> </w:t>
            </w:r>
            <w:hyperlink r:id="rId123">
              <w:r w:rsidRPr="005906C6">
                <w:rPr>
                  <w:rStyle w:val="Hyperlink"/>
                </w:rPr>
                <w:t>Healthdirect Privacy policy</w:t>
              </w:r>
            </w:hyperlink>
            <w:r w:rsidRPr="005906C6">
              <w:t xml:space="preserve"> </w:t>
            </w:r>
          </w:p>
          <w:p w14:paraId="7C3A4536" w14:textId="77777777" w:rsidR="00D95DF4" w:rsidRDefault="007A743C" w:rsidP="00A677C9">
            <w:pPr>
              <w:spacing w:before="240" w:after="240"/>
            </w:pPr>
            <w:r w:rsidRPr="005906C6">
              <w:rPr>
                <w:b/>
              </w:rPr>
              <w:t>My Aged Care website:</w:t>
            </w:r>
            <w:r w:rsidRPr="005906C6">
              <w:t xml:space="preserve"> </w:t>
            </w:r>
          </w:p>
          <w:p w14:paraId="70265E10" w14:textId="77777777" w:rsidR="00D95DF4" w:rsidRDefault="00D95DF4" w:rsidP="006C3B17">
            <w:pPr>
              <w:pStyle w:val="ListParagraph"/>
              <w:numPr>
                <w:ilvl w:val="0"/>
                <w:numId w:val="526"/>
              </w:numPr>
              <w:spacing w:before="240" w:after="240"/>
            </w:pPr>
            <w:hyperlink r:id="rId124">
              <w:r w:rsidRPr="00D95DF4">
                <w:rPr>
                  <w:color w:val="2BB1BB"/>
                  <w:u w:val="single"/>
                </w:rPr>
                <w:t>Privacy Policy | My Aged Care</w:t>
              </w:r>
            </w:hyperlink>
            <w:r>
              <w:t xml:space="preserve"> </w:t>
            </w:r>
          </w:p>
          <w:p w14:paraId="4A3C3CD5" w14:textId="100EFA99" w:rsidR="007A743C" w:rsidRPr="00B233C7" w:rsidRDefault="00D95DF4" w:rsidP="000C43E7">
            <w:pPr>
              <w:pStyle w:val="ListParagraph"/>
              <w:numPr>
                <w:ilvl w:val="0"/>
                <w:numId w:val="526"/>
              </w:numPr>
              <w:spacing w:before="240" w:after="240"/>
              <w:rPr>
                <w:color w:val="2BB1BB"/>
                <w:u w:val="single"/>
              </w:rPr>
            </w:pPr>
            <w:hyperlink r:id="rId125" w:history="1">
              <w:r w:rsidRPr="00D95DF4">
                <w:rPr>
                  <w:rStyle w:val="Hyperlink"/>
                </w:rPr>
                <w:t>Registering a supporter | My Aged Care</w:t>
              </w:r>
            </w:hyperlink>
          </w:p>
        </w:tc>
      </w:tr>
    </w:tbl>
    <w:p w14:paraId="244DAD1B" w14:textId="5D362B6E" w:rsidR="007A743C" w:rsidRDefault="007A743C" w:rsidP="00507F9D">
      <w:pPr>
        <w:pStyle w:val="h2"/>
      </w:pPr>
      <w:bookmarkStart w:id="349" w:name="_Toc209188979"/>
      <w:bookmarkStart w:id="350" w:name="_Toc224916641"/>
      <w:r>
        <w:t xml:space="preserve">Triaging </w:t>
      </w:r>
      <w:r w:rsidR="00CD761C">
        <w:t>a</w:t>
      </w:r>
      <w:r>
        <w:t>ssessments</w:t>
      </w:r>
      <w:bookmarkEnd w:id="349"/>
      <w:bookmarkEnd w:id="350"/>
    </w:p>
    <w:p w14:paraId="5B5961E0" w14:textId="2E029BBA" w:rsidR="007A743C" w:rsidRPr="00B25D2B" w:rsidRDefault="007A743C" w:rsidP="00A677C9">
      <w:pPr>
        <w:spacing w:before="240" w:after="240" w:line="240" w:lineRule="auto"/>
        <w:rPr>
          <w:lang w:val="en-US"/>
        </w:rPr>
      </w:pPr>
      <w:r>
        <w:t xml:space="preserve">Triage is performed after the acceptance of a referral and prior to conducting an aged care assessment. Triage is conducted for every accepted referral, generally over the telephone and should occur within three calendar days of accepting a referral. </w:t>
      </w:r>
      <w:r w:rsidRPr="00B25D2B">
        <w:rPr>
          <w:lang w:val="en-US"/>
        </w:rPr>
        <w:t xml:space="preserve">Triage helps ensure that older people with low needs are not over-assessed and that those with complex needs have access to a comprehensive assessment. Triage also aims to validate the outcomes produced at screening, including the priority allocated to the assessment and whether urgent services are required. </w:t>
      </w:r>
      <w:r>
        <w:rPr>
          <w:lang w:val="en-US"/>
        </w:rPr>
        <w:t xml:space="preserve">For participants seeking access to the End-of-Life Pathway who have submitted their End-of-Life Pathway Form at this stage, triage may also involve verifying this documentation. </w:t>
      </w:r>
      <w:r w:rsidRPr="00B25D2B">
        <w:rPr>
          <w:lang w:val="en-US"/>
        </w:rPr>
        <w:t>In addition, the triage process includes scheduling the assessment, work health and safety screening, arrangements for communication needs and confirming support people ahead of the assessment.</w:t>
      </w:r>
    </w:p>
    <w:p w14:paraId="0F0CC6A3" w14:textId="73BCE301" w:rsidR="007A743C" w:rsidRPr="00DC4DB4" w:rsidRDefault="007A743C" w:rsidP="00A677C9">
      <w:pPr>
        <w:spacing w:before="240" w:after="240" w:line="240" w:lineRule="auto"/>
        <w:rPr>
          <w:lang w:val="en-US"/>
        </w:rPr>
      </w:pPr>
      <w:r w:rsidRPr="755BB374">
        <w:rPr>
          <w:lang w:val="en-US"/>
        </w:rPr>
        <w:t xml:space="preserve">Depending on the </w:t>
      </w:r>
      <w:r>
        <w:rPr>
          <w:lang w:val="en-US"/>
        </w:rPr>
        <w:t>older person’s</w:t>
      </w:r>
      <w:r w:rsidRPr="755BB374">
        <w:rPr>
          <w:lang w:val="en-US"/>
        </w:rPr>
        <w:t xml:space="preserve"> circumstances and referral priority, </w:t>
      </w:r>
      <w:r>
        <w:rPr>
          <w:lang w:val="en-US"/>
        </w:rPr>
        <w:t>triage delegates</w:t>
      </w:r>
      <w:r w:rsidRPr="755BB374">
        <w:rPr>
          <w:lang w:val="en-US"/>
        </w:rPr>
        <w:t xml:space="preserve"> should undertake triage with the </w:t>
      </w:r>
      <w:r>
        <w:rPr>
          <w:lang w:val="en-US"/>
        </w:rPr>
        <w:t>person</w:t>
      </w:r>
      <w:r w:rsidRPr="755BB374">
        <w:rPr>
          <w:lang w:val="en-US"/>
        </w:rPr>
        <w:t xml:space="preserve"> and/or the nominated contact within </w:t>
      </w:r>
      <w:r>
        <w:rPr>
          <w:lang w:val="en-US"/>
        </w:rPr>
        <w:t>three calendar days</w:t>
      </w:r>
      <w:r w:rsidR="00C23EE3">
        <w:rPr>
          <w:lang w:val="en-US"/>
        </w:rPr>
        <w:t xml:space="preserve"> of accepting the referral</w:t>
      </w:r>
      <w:r w:rsidRPr="755BB374">
        <w:rPr>
          <w:lang w:val="en-US"/>
        </w:rPr>
        <w:t xml:space="preserve">. </w:t>
      </w:r>
      <w:r>
        <w:rPr>
          <w:lang w:val="en-US"/>
        </w:rPr>
        <w:t>Older</w:t>
      </w:r>
      <w:r w:rsidRPr="755BB374" w:rsidDel="009E39C7">
        <w:rPr>
          <w:lang w:val="en-US"/>
        </w:rPr>
        <w:t xml:space="preserve"> </w:t>
      </w:r>
      <w:r>
        <w:rPr>
          <w:lang w:val="en-US"/>
        </w:rPr>
        <w:t>people</w:t>
      </w:r>
      <w:r w:rsidRPr="755BB374">
        <w:rPr>
          <w:lang w:val="en-US"/>
        </w:rPr>
        <w:t xml:space="preserve"> will require faster response times based on level of risk and need. </w:t>
      </w:r>
    </w:p>
    <w:p w14:paraId="5E03895F" w14:textId="4603E643" w:rsidR="00D67284" w:rsidRPr="00DC4DB4" w:rsidRDefault="0073481D" w:rsidP="00A677C9">
      <w:pPr>
        <w:spacing w:before="240" w:after="240" w:line="240" w:lineRule="auto"/>
        <w:rPr>
          <w:lang w:val="en-US"/>
        </w:rPr>
      </w:pPr>
      <w:r>
        <w:t xml:space="preserve">Please note for Aboriginal and Torres Strait Islander assessment organisations. </w:t>
      </w:r>
      <w:r w:rsidR="007D046D">
        <w:t xml:space="preserve">In alignment with targets under Outcome Two – Culturally safe, accurate and prioritised assessment under </w:t>
      </w:r>
      <w:hyperlink r:id="rId126" w:history="1">
        <w:r w:rsidR="007D046D" w:rsidRPr="00531D54">
          <w:rPr>
            <w:rStyle w:val="Hyperlink"/>
          </w:rPr>
          <w:t>the Aboriginal and Torres Strait Islander Aged Care framework</w:t>
        </w:r>
      </w:hyperlink>
      <w:r w:rsidR="007D046D">
        <w:t>, the client or their representatives should be contacted and an eligibility determined through triage within 10 days of a referral being accepted by the Aboriginal and Tor</w:t>
      </w:r>
      <w:r w:rsidR="004653DE">
        <w:t>r</w:t>
      </w:r>
      <w:r w:rsidR="007D046D">
        <w:t xml:space="preserve">es Strait Islander </w:t>
      </w:r>
      <w:r w:rsidR="000F5F6E">
        <w:t>assessment organisation</w:t>
      </w:r>
      <w:r w:rsidR="007D046D">
        <w:t xml:space="preserve">. This timeframe acknowledges the importance of culturally safe engagement, including the need for multiple contacts and additional time that may be needed to establish trust and rapport with the client. However, the timeframe will be dependent </w:t>
      </w:r>
      <w:r w:rsidR="007D046D" w:rsidRPr="008B0A22">
        <w:t>on the client circumstances and referral priority</w:t>
      </w:r>
      <w:r w:rsidR="007D046D">
        <w:t>. The timeframe should not compromise on older people being able to access timely aged care services. To avoid disadvantaging the client, assessment organisations should still aim to complete the triage process within 3 days to enable the older person to receive a timely assessment.</w:t>
      </w:r>
    </w:p>
    <w:p w14:paraId="5B068211" w14:textId="77777777" w:rsidR="007D046D" w:rsidRDefault="007D046D" w:rsidP="00A677C9">
      <w:pPr>
        <w:spacing w:before="240" w:after="240" w:line="240" w:lineRule="auto"/>
      </w:pPr>
      <w:r>
        <w:t xml:space="preserve">If an Elder Care Support worker has been facilitating an older person’s access to the aged care system, the assessment organisation should, with consent from the client, involve the Elder Care Support worker in the triage process. </w:t>
      </w:r>
    </w:p>
    <w:p w14:paraId="1897F010" w14:textId="64D753A1" w:rsidR="007D046D" w:rsidRPr="00DF2B65" w:rsidRDefault="007D046D" w:rsidP="00DF2B65">
      <w:pPr>
        <w:spacing w:before="240" w:after="240" w:line="240" w:lineRule="auto"/>
      </w:pPr>
      <w:r w:rsidRPr="00A24FAC">
        <w:t xml:space="preserve">Where an assessment is self-referred, and the assessor is with the client, the assessor </w:t>
      </w:r>
      <w:r>
        <w:t>may</w:t>
      </w:r>
      <w:r w:rsidRPr="00A24FAC">
        <w:t xml:space="preserve"> be able to conduct triage with the client at the same time as the assessment. If the assessor is not a Triage Delegate, the Triage must be completed </w:t>
      </w:r>
      <w:r>
        <w:t xml:space="preserve">with </w:t>
      </w:r>
      <w:r w:rsidRPr="00A24FAC">
        <w:t xml:space="preserve">oversight </w:t>
      </w:r>
      <w:r>
        <w:t>from</w:t>
      </w:r>
      <w:r w:rsidRPr="00A24FAC">
        <w:t xml:space="preserve"> a Triage Delegate. </w:t>
      </w:r>
      <w:r w:rsidR="003522C6">
        <w:t>Note that, i</w:t>
      </w:r>
      <w:r w:rsidR="00253AB1">
        <w:t xml:space="preserve">n the instance of self-referral, triage constitutes one of the ‘approved forms’ </w:t>
      </w:r>
      <w:r w:rsidR="003522C6">
        <w:t>under section 56 of the Act.</w:t>
      </w:r>
    </w:p>
    <w:p w14:paraId="782D2325" w14:textId="7E1E0BB5" w:rsidR="007A743C" w:rsidRPr="00766DBD" w:rsidRDefault="007A743C" w:rsidP="00C56CEC">
      <w:pPr>
        <w:pStyle w:val="H3"/>
      </w:pPr>
      <w:bookmarkStart w:id="351" w:name="_Toc204329545"/>
      <w:bookmarkStart w:id="352" w:name="_Toc209188980"/>
      <w:r w:rsidRPr="007123E9">
        <w:t>Delegation to the Triage Delegate</w:t>
      </w:r>
      <w:bookmarkEnd w:id="351"/>
      <w:bookmarkEnd w:id="352"/>
    </w:p>
    <w:p w14:paraId="76AA2AAA" w14:textId="7A30AC09" w:rsidR="007A743C" w:rsidRPr="00617351" w:rsidRDefault="007A743C" w:rsidP="00A677C9">
      <w:pPr>
        <w:spacing w:before="240" w:after="240" w:line="240" w:lineRule="auto"/>
      </w:pPr>
      <w:r w:rsidRPr="00880B95">
        <w:t xml:space="preserve">Triage </w:t>
      </w:r>
      <w:r w:rsidR="00E33D44">
        <w:t>d</w:t>
      </w:r>
      <w:r w:rsidRPr="00880B95">
        <w:t>elegate</w:t>
      </w:r>
      <w:r w:rsidR="00E33D44">
        <w:t>s</w:t>
      </w:r>
      <w:r w:rsidRPr="00880B95">
        <w:t xml:space="preserve"> </w:t>
      </w:r>
      <w:r w:rsidR="00E33D44">
        <w:t>have</w:t>
      </w:r>
      <w:r w:rsidRPr="00880B95">
        <w:t xml:space="preserve"> </w:t>
      </w:r>
      <w:r>
        <w:t xml:space="preserve">powers and functions afforded to the System Governor </w:t>
      </w:r>
      <w:r w:rsidRPr="00880B95">
        <w:t>under the</w:t>
      </w:r>
      <w:r w:rsidR="00B57AFB">
        <w:t xml:space="preserve"> </w:t>
      </w:r>
      <w:r w:rsidR="00B57AFB" w:rsidRPr="00B57AFB">
        <w:rPr>
          <w:i/>
          <w:iCs/>
        </w:rPr>
        <w:t>Aged Care</w:t>
      </w:r>
      <w:r w:rsidRPr="00B57AFB">
        <w:rPr>
          <w:i/>
          <w:iCs/>
        </w:rPr>
        <w:t xml:space="preserve"> Act</w:t>
      </w:r>
      <w:r w:rsidR="00B57AFB" w:rsidRPr="00B57AFB">
        <w:rPr>
          <w:i/>
          <w:iCs/>
        </w:rPr>
        <w:t xml:space="preserve"> 2024</w:t>
      </w:r>
      <w:r w:rsidR="00B57AFB">
        <w:rPr>
          <w:i/>
          <w:iCs/>
        </w:rPr>
        <w:t xml:space="preserve"> </w:t>
      </w:r>
      <w:r w:rsidR="00B57AFB" w:rsidRPr="00B57AFB">
        <w:t>(the Act)</w:t>
      </w:r>
      <w:r>
        <w:rPr>
          <w:i/>
        </w:rPr>
        <w:t xml:space="preserve"> </w:t>
      </w:r>
      <w:r>
        <w:rPr>
          <w:iCs/>
        </w:rPr>
        <w:t>delegated to them</w:t>
      </w:r>
      <w:r w:rsidRPr="009C052D">
        <w:t>. Section 58 of the Act relates to eligibility for an aged care needs assessment.</w:t>
      </w:r>
      <w:r>
        <w:rPr>
          <w:i/>
        </w:rPr>
        <w:t xml:space="preserve">  </w:t>
      </w:r>
      <w:r w:rsidRPr="7F247CD9" w:rsidDel="00112C1B">
        <w:rPr>
          <w:rFonts w:ascii="Calibri" w:eastAsia="Calibri" w:hAnsi="Calibri" w:cs="Calibri"/>
          <w:szCs w:val="22"/>
        </w:rPr>
        <w:t xml:space="preserve"> </w:t>
      </w:r>
    </w:p>
    <w:p w14:paraId="7933AF12" w14:textId="52651997" w:rsidR="007A743C" w:rsidRPr="00880B95" w:rsidRDefault="007A743C" w:rsidP="00A677C9">
      <w:pPr>
        <w:spacing w:before="240" w:after="240" w:line="240" w:lineRule="auto"/>
      </w:pPr>
      <w:r w:rsidRPr="00880B95">
        <w:t xml:space="preserve">Within an assessment organisation, the person holding a </w:t>
      </w:r>
      <w:r w:rsidR="00A64FFD">
        <w:t>t</w:t>
      </w:r>
      <w:r w:rsidRPr="00880B95">
        <w:t xml:space="preserve">riage </w:t>
      </w:r>
      <w:r w:rsidR="00A64FFD">
        <w:t>d</w:t>
      </w:r>
      <w:r w:rsidRPr="00880B95">
        <w:t>elegate role must meet certain qualification</w:t>
      </w:r>
      <w:r w:rsidR="001A3FAA">
        <w:t>s</w:t>
      </w:r>
      <w:r w:rsidRPr="00880B95">
        <w:t xml:space="preserve"> </w:t>
      </w:r>
      <w:r w:rsidR="00AB15C8">
        <w:t>(</w:t>
      </w:r>
      <w:r>
        <w:t xml:space="preserve">detailed in </w:t>
      </w:r>
      <w:r w:rsidRPr="00C93FC3">
        <w:t xml:space="preserve">Appendix </w:t>
      </w:r>
      <w:r w:rsidR="00B46456">
        <w:t>F</w:t>
      </w:r>
      <w:r w:rsidR="00AB15C8">
        <w:t xml:space="preserve">) and </w:t>
      </w:r>
      <w:r w:rsidR="00AB15C8" w:rsidRPr="00880B95">
        <w:t>training requirements</w:t>
      </w:r>
      <w:r w:rsidR="00AB15C8">
        <w:t xml:space="preserve"> (detailed in the</w:t>
      </w:r>
      <w:r w:rsidR="001A3FAA">
        <w:t xml:space="preserve"> Aged Care</w:t>
      </w:r>
      <w:r w:rsidR="00AB15C8">
        <w:t xml:space="preserve"> Learning Strategy</w:t>
      </w:r>
      <w:r w:rsidR="00484C2F">
        <w:t>)</w:t>
      </w:r>
      <w:r>
        <w:t xml:space="preserve">. </w:t>
      </w:r>
    </w:p>
    <w:p w14:paraId="4ED0345C" w14:textId="7BB640A0" w:rsidR="007A743C" w:rsidRPr="00880B95" w:rsidRDefault="007A743C" w:rsidP="00A677C9">
      <w:pPr>
        <w:spacing w:before="240" w:after="240" w:line="240" w:lineRule="auto"/>
      </w:pPr>
      <w:r w:rsidRPr="00880B95">
        <w:t xml:space="preserve">The role of the </w:t>
      </w:r>
      <w:r w:rsidR="00A64FFD">
        <w:t>t</w:t>
      </w:r>
      <w:r w:rsidRPr="00880B95">
        <w:t xml:space="preserve">riage </w:t>
      </w:r>
      <w:r w:rsidR="00A64FFD">
        <w:t>d</w:t>
      </w:r>
      <w:r w:rsidRPr="00880B95">
        <w:t xml:space="preserve">elegate is to determine whether an older person is eligible for a needs assessment for funded aged care services. Prior to 1 </w:t>
      </w:r>
      <w:r>
        <w:t>November</w:t>
      </w:r>
      <w:r w:rsidR="00AB15C8">
        <w:t xml:space="preserve"> 2025</w:t>
      </w:r>
      <w:r w:rsidRPr="00880B95">
        <w:t xml:space="preserve">, an older person’s eligibility </w:t>
      </w:r>
      <w:r>
        <w:t xml:space="preserve">for assessment </w:t>
      </w:r>
      <w:r w:rsidRPr="00880B95">
        <w:t xml:space="preserve">was determined by the My Aged Care contact centre after a person was screened. </w:t>
      </w:r>
      <w:r>
        <w:t xml:space="preserve">Under the </w:t>
      </w:r>
      <w:r w:rsidR="00C12FA2" w:rsidRPr="00DB4ADA">
        <w:rPr>
          <w:iCs/>
        </w:rPr>
        <w:t>Act</w:t>
      </w:r>
      <w:r>
        <w:t xml:space="preserve"> i</w:t>
      </w:r>
      <w:r w:rsidRPr="00880B95">
        <w:t xml:space="preserve">t </w:t>
      </w:r>
      <w:r>
        <w:t xml:space="preserve">is </w:t>
      </w:r>
      <w:r w:rsidRPr="00880B95">
        <w:t xml:space="preserve">determined by the </w:t>
      </w:r>
      <w:r w:rsidR="000233D1">
        <w:t>t</w:t>
      </w:r>
      <w:r w:rsidRPr="00880B95">
        <w:t xml:space="preserve">riage </w:t>
      </w:r>
      <w:r w:rsidR="000233D1">
        <w:t>d</w:t>
      </w:r>
      <w:r w:rsidRPr="00880B95">
        <w:t xml:space="preserve">elegate. </w:t>
      </w:r>
    </w:p>
    <w:p w14:paraId="23E6830F" w14:textId="27011411" w:rsidR="000233D1" w:rsidRDefault="000233D1" w:rsidP="00A677C9">
      <w:pPr>
        <w:spacing w:before="240" w:after="240" w:line="240" w:lineRule="auto"/>
      </w:pPr>
      <w:r>
        <w:t>A</w:t>
      </w:r>
      <w:r w:rsidR="007A743C" w:rsidRPr="00880B95">
        <w:t xml:space="preserve"> </w:t>
      </w:r>
      <w:r>
        <w:t>t</w:t>
      </w:r>
      <w:r w:rsidR="007A743C" w:rsidRPr="00880B95">
        <w:t xml:space="preserve">riage </w:t>
      </w:r>
      <w:r>
        <w:t>d</w:t>
      </w:r>
      <w:r w:rsidR="007A743C" w:rsidRPr="00880B95">
        <w:t xml:space="preserve">elegate, in reaching their decision to find someone eligible for a needs assessment, must be satisfied the older person meets the age eligibility requirement and has </w:t>
      </w:r>
      <w:r w:rsidR="007A743C">
        <w:t>declared they have</w:t>
      </w:r>
      <w:r w:rsidR="007A743C" w:rsidRPr="00880B95">
        <w:t xml:space="preserve"> an aged care need. </w:t>
      </w:r>
    </w:p>
    <w:tbl>
      <w:tblPr>
        <w:tblStyle w:val="TableGrid"/>
        <w:tblW w:w="0" w:type="auto"/>
        <w:tblBorders>
          <w:right w:val="single" w:sz="4" w:space="0" w:color="auto"/>
        </w:tblBorders>
        <w:shd w:val="clear" w:color="auto" w:fill="65BDC5"/>
        <w:tblLook w:val="04A0" w:firstRow="1" w:lastRow="0" w:firstColumn="1" w:lastColumn="0" w:noHBand="0" w:noVBand="1"/>
      </w:tblPr>
      <w:tblGrid>
        <w:gridCol w:w="4383"/>
        <w:gridCol w:w="4383"/>
      </w:tblGrid>
      <w:tr w:rsidR="00CA0E3C" w:rsidRPr="00CA0E3C" w14:paraId="0384A886" w14:textId="77777777" w:rsidTr="00CA0E3C">
        <w:tc>
          <w:tcPr>
            <w:tcW w:w="4383" w:type="dxa"/>
            <w:tcBorders>
              <w:right w:val="single" w:sz="4" w:space="0" w:color="auto"/>
            </w:tcBorders>
            <w:shd w:val="clear" w:color="auto" w:fill="65BDC5"/>
          </w:tcPr>
          <w:p w14:paraId="558857F2" w14:textId="607F4D62" w:rsidR="000233D1" w:rsidRPr="00CA0E3C" w:rsidRDefault="000233D1" w:rsidP="00A677C9">
            <w:pPr>
              <w:spacing w:before="240" w:after="240"/>
              <w:rPr>
                <w:b/>
                <w:bCs/>
                <w:color w:val="FFFFFF" w:themeColor="background1"/>
              </w:rPr>
            </w:pPr>
            <w:r w:rsidRPr="00CA0E3C">
              <w:rPr>
                <w:b/>
                <w:bCs/>
                <w:color w:val="FFFFFF" w:themeColor="background1"/>
              </w:rPr>
              <w:t>AGE ELIGIBILITY</w:t>
            </w:r>
          </w:p>
        </w:tc>
        <w:tc>
          <w:tcPr>
            <w:tcW w:w="4383" w:type="dxa"/>
            <w:tcBorders>
              <w:left w:val="single" w:sz="4" w:space="0" w:color="auto"/>
              <w:right w:val="nil"/>
            </w:tcBorders>
            <w:shd w:val="clear" w:color="auto" w:fill="65BDC5"/>
          </w:tcPr>
          <w:p w14:paraId="6AA2D2FA" w14:textId="4F22D7D9" w:rsidR="000233D1" w:rsidRPr="00CA0E3C" w:rsidRDefault="000233D1" w:rsidP="00A677C9">
            <w:pPr>
              <w:spacing w:before="240" w:after="240"/>
              <w:rPr>
                <w:b/>
                <w:bCs/>
                <w:color w:val="FFFFFF" w:themeColor="background1"/>
              </w:rPr>
            </w:pPr>
            <w:r w:rsidRPr="00CA0E3C">
              <w:rPr>
                <w:b/>
                <w:bCs/>
                <w:color w:val="FFFFFF" w:themeColor="background1"/>
              </w:rPr>
              <w:t>AGED CARE NEED</w:t>
            </w:r>
          </w:p>
        </w:tc>
      </w:tr>
      <w:tr w:rsidR="00CA0E3C" w:rsidRPr="00CA0E3C" w14:paraId="2600C85F" w14:textId="77777777" w:rsidTr="00CA0E3C">
        <w:tc>
          <w:tcPr>
            <w:tcW w:w="4383" w:type="dxa"/>
            <w:tcBorders>
              <w:right w:val="single" w:sz="4" w:space="0" w:color="auto"/>
            </w:tcBorders>
            <w:shd w:val="clear" w:color="auto" w:fill="65BDC5"/>
          </w:tcPr>
          <w:p w14:paraId="1BCAC6B5" w14:textId="114E3582" w:rsidR="000233D1" w:rsidRPr="00CA0E3C" w:rsidRDefault="006B37DB" w:rsidP="000233D1">
            <w:pPr>
              <w:spacing w:line="216" w:lineRule="auto"/>
              <w:rPr>
                <w:color w:val="FFFFFF" w:themeColor="background1"/>
                <w:kern w:val="24"/>
                <w:szCs w:val="22"/>
              </w:rPr>
            </w:pPr>
            <w:r w:rsidRPr="00CA0E3C">
              <w:rPr>
                <w:color w:val="FFFFFF" w:themeColor="background1"/>
                <w:kern w:val="24"/>
                <w:szCs w:val="22"/>
              </w:rPr>
              <w:t>The</w:t>
            </w:r>
            <w:r w:rsidR="000233D1" w:rsidRPr="00CA0E3C">
              <w:rPr>
                <w:color w:val="FFFFFF" w:themeColor="background1"/>
                <w:kern w:val="24"/>
                <w:szCs w:val="22"/>
              </w:rPr>
              <w:t xml:space="preserve"> </w:t>
            </w:r>
            <w:r w:rsidRPr="00CA0E3C">
              <w:rPr>
                <w:color w:val="FFFFFF" w:themeColor="background1"/>
                <w:kern w:val="24"/>
                <w:szCs w:val="22"/>
              </w:rPr>
              <w:t>individual</w:t>
            </w:r>
            <w:r w:rsidR="000233D1" w:rsidRPr="00CA0E3C">
              <w:rPr>
                <w:color w:val="FFFFFF" w:themeColor="background1"/>
                <w:kern w:val="24"/>
                <w:szCs w:val="22"/>
              </w:rPr>
              <w:t xml:space="preserve"> must be:</w:t>
            </w:r>
          </w:p>
          <w:p w14:paraId="70E0C0F2" w14:textId="77777777" w:rsidR="000233D1" w:rsidRPr="00CA0E3C" w:rsidRDefault="000233D1" w:rsidP="000233D1">
            <w:pPr>
              <w:spacing w:line="216" w:lineRule="auto"/>
              <w:rPr>
                <w:color w:val="FFFFFF" w:themeColor="background1"/>
                <w:kern w:val="24"/>
                <w:szCs w:val="22"/>
              </w:rPr>
            </w:pPr>
          </w:p>
          <w:p w14:paraId="7A0F311A" w14:textId="3F6473A9" w:rsidR="000233D1" w:rsidRPr="00CA0E3C" w:rsidRDefault="000233D1" w:rsidP="000233D1">
            <w:pPr>
              <w:spacing w:line="216" w:lineRule="auto"/>
              <w:rPr>
                <w:b/>
                <w:color w:val="FFFFFF" w:themeColor="background1"/>
                <w:kern w:val="24"/>
                <w:szCs w:val="22"/>
              </w:rPr>
            </w:pPr>
            <w:r w:rsidRPr="00CA0E3C">
              <w:rPr>
                <w:color w:val="FFFFFF" w:themeColor="background1"/>
                <w:kern w:val="24"/>
                <w:szCs w:val="22"/>
              </w:rPr>
              <w:t xml:space="preserve">Aged over 65 years, </w:t>
            </w:r>
            <w:r w:rsidRPr="00CA0E3C">
              <w:rPr>
                <w:b/>
                <w:color w:val="FFFFFF" w:themeColor="background1"/>
                <w:kern w:val="24"/>
                <w:szCs w:val="22"/>
              </w:rPr>
              <w:t>or</w:t>
            </w:r>
          </w:p>
          <w:p w14:paraId="49124F05" w14:textId="77777777" w:rsidR="000233D1" w:rsidRPr="00CA0E3C" w:rsidRDefault="000233D1" w:rsidP="000233D1">
            <w:pPr>
              <w:spacing w:line="216" w:lineRule="auto"/>
              <w:rPr>
                <w:color w:val="FFFFFF" w:themeColor="background1"/>
                <w:kern w:val="24"/>
                <w:szCs w:val="22"/>
              </w:rPr>
            </w:pPr>
          </w:p>
          <w:p w14:paraId="0629EA39" w14:textId="058BEBDA" w:rsidR="000233D1" w:rsidRPr="00CA0E3C" w:rsidRDefault="000233D1" w:rsidP="000233D1">
            <w:pPr>
              <w:spacing w:line="216" w:lineRule="auto"/>
              <w:rPr>
                <w:b/>
                <w:color w:val="FFFFFF" w:themeColor="background1"/>
                <w:kern w:val="24"/>
                <w:szCs w:val="22"/>
              </w:rPr>
            </w:pPr>
            <w:r w:rsidRPr="00CA0E3C">
              <w:rPr>
                <w:color w:val="FFFFFF" w:themeColor="background1"/>
                <w:kern w:val="24"/>
                <w:szCs w:val="22"/>
              </w:rPr>
              <w:t>An Aboriginal or Torres Strait Islander person and aged at least 50</w:t>
            </w:r>
            <w:r w:rsidR="00BB6ED9" w:rsidRPr="00CA0E3C">
              <w:rPr>
                <w:color w:val="FFFFFF" w:themeColor="background1"/>
                <w:kern w:val="24"/>
                <w:szCs w:val="22"/>
              </w:rPr>
              <w:t>,</w:t>
            </w:r>
            <w:r w:rsidRPr="00CA0E3C">
              <w:rPr>
                <w:color w:val="FFFFFF" w:themeColor="background1"/>
                <w:kern w:val="24"/>
                <w:szCs w:val="22"/>
              </w:rPr>
              <w:t xml:space="preserve"> </w:t>
            </w:r>
            <w:r w:rsidRPr="00CA0E3C">
              <w:rPr>
                <w:b/>
                <w:color w:val="FFFFFF" w:themeColor="background1"/>
                <w:kern w:val="24"/>
                <w:szCs w:val="22"/>
              </w:rPr>
              <w:t>or</w:t>
            </w:r>
          </w:p>
          <w:p w14:paraId="256A51FF" w14:textId="77777777" w:rsidR="000233D1" w:rsidRPr="00CA0E3C" w:rsidRDefault="000233D1" w:rsidP="000233D1">
            <w:pPr>
              <w:spacing w:line="216" w:lineRule="auto"/>
              <w:rPr>
                <w:b/>
                <w:color w:val="FFFFFF" w:themeColor="background1"/>
                <w:kern w:val="24"/>
                <w:szCs w:val="22"/>
              </w:rPr>
            </w:pPr>
          </w:p>
          <w:p w14:paraId="0E643BDA" w14:textId="408FC712" w:rsidR="000233D1" w:rsidRPr="00CA0E3C" w:rsidRDefault="00BB6ED9" w:rsidP="000233D1">
            <w:pPr>
              <w:spacing w:line="216" w:lineRule="auto"/>
              <w:rPr>
                <w:color w:val="FFFFFF" w:themeColor="background1"/>
                <w:kern w:val="24"/>
                <w:szCs w:val="22"/>
              </w:rPr>
            </w:pPr>
            <w:r w:rsidRPr="00CA0E3C">
              <w:rPr>
                <w:color w:val="FFFFFF" w:themeColor="background1"/>
                <w:kern w:val="24"/>
                <w:szCs w:val="22"/>
              </w:rPr>
              <w:t xml:space="preserve">A person who is </w:t>
            </w:r>
            <w:r w:rsidR="000233D1" w:rsidRPr="00CA0E3C">
              <w:rPr>
                <w:color w:val="FFFFFF" w:themeColor="background1"/>
                <w:kern w:val="24"/>
                <w:szCs w:val="22"/>
              </w:rPr>
              <w:t>homeless, or at risk of homelessness, and aged at least 50</w:t>
            </w:r>
            <w:r w:rsidRPr="00CA0E3C">
              <w:rPr>
                <w:color w:val="FFFFFF" w:themeColor="background1"/>
                <w:kern w:val="24"/>
                <w:szCs w:val="22"/>
              </w:rPr>
              <w:t>.</w:t>
            </w:r>
          </w:p>
          <w:p w14:paraId="44991F65" w14:textId="77777777" w:rsidR="000233D1" w:rsidRPr="00CA0E3C" w:rsidRDefault="000233D1" w:rsidP="00A677C9">
            <w:pPr>
              <w:spacing w:before="240" w:after="240"/>
              <w:rPr>
                <w:color w:val="FFFFFF" w:themeColor="background1"/>
              </w:rPr>
            </w:pPr>
          </w:p>
        </w:tc>
        <w:tc>
          <w:tcPr>
            <w:tcW w:w="4383" w:type="dxa"/>
            <w:tcBorders>
              <w:left w:val="single" w:sz="4" w:space="0" w:color="auto"/>
              <w:right w:val="nil"/>
            </w:tcBorders>
            <w:shd w:val="clear" w:color="auto" w:fill="65BDC5"/>
          </w:tcPr>
          <w:p w14:paraId="2E060E23" w14:textId="5B7E9F9D" w:rsidR="00BB6ED9" w:rsidRPr="00CA0E3C" w:rsidRDefault="006B37DB" w:rsidP="006B37DB">
            <w:pPr>
              <w:spacing w:line="216" w:lineRule="auto"/>
              <w:rPr>
                <w:color w:val="FFFFFF" w:themeColor="background1"/>
                <w:kern w:val="24"/>
                <w:szCs w:val="22"/>
              </w:rPr>
            </w:pPr>
            <w:r w:rsidRPr="00CA0E3C">
              <w:rPr>
                <w:color w:val="FFFFFF" w:themeColor="background1"/>
                <w:kern w:val="24"/>
                <w:szCs w:val="22"/>
              </w:rPr>
              <w:t>The individual must h</w:t>
            </w:r>
            <w:r w:rsidR="00BB6ED9" w:rsidRPr="00CA0E3C">
              <w:rPr>
                <w:color w:val="FFFFFF" w:themeColor="background1"/>
                <w:kern w:val="24"/>
                <w:szCs w:val="22"/>
              </w:rPr>
              <w:t xml:space="preserve">ave eligible care needs. This </w:t>
            </w:r>
            <w:r w:rsidRPr="00CA0E3C">
              <w:rPr>
                <w:color w:val="FFFFFF" w:themeColor="background1"/>
                <w:kern w:val="24"/>
                <w:szCs w:val="22"/>
              </w:rPr>
              <w:t>means they:</w:t>
            </w:r>
          </w:p>
          <w:p w14:paraId="2CFA13A8" w14:textId="31D33341" w:rsidR="00BB6ED9" w:rsidRPr="00CA0E3C" w:rsidRDefault="008A7E67" w:rsidP="006B37DB">
            <w:pPr>
              <w:pStyle w:val="ListParagraph"/>
              <w:numPr>
                <w:ilvl w:val="0"/>
                <w:numId w:val="481"/>
              </w:numPr>
              <w:spacing w:line="216" w:lineRule="auto"/>
              <w:ind w:left="851"/>
              <w:rPr>
                <w:color w:val="FFFFFF" w:themeColor="background1"/>
                <w:kern w:val="24"/>
                <w:szCs w:val="22"/>
              </w:rPr>
            </w:pPr>
            <w:r w:rsidRPr="00CA0E3C">
              <w:rPr>
                <w:color w:val="FFFFFF" w:themeColor="background1"/>
                <w:kern w:val="24"/>
                <w:szCs w:val="22"/>
              </w:rPr>
              <w:t xml:space="preserve">are </w:t>
            </w:r>
            <w:r w:rsidR="00BB6ED9" w:rsidRPr="00CA0E3C">
              <w:rPr>
                <w:color w:val="FFFFFF" w:themeColor="background1"/>
                <w:kern w:val="24"/>
                <w:szCs w:val="22"/>
              </w:rPr>
              <w:t>experiencing physical, mental or social difficulty with daily living activities</w:t>
            </w:r>
            <w:r w:rsidR="006B37DB" w:rsidRPr="00CA0E3C">
              <w:rPr>
                <w:color w:val="FFFFFF" w:themeColor="background1"/>
                <w:kern w:val="24"/>
                <w:szCs w:val="22"/>
              </w:rPr>
              <w:t xml:space="preserve">, </w:t>
            </w:r>
            <w:r w:rsidR="006B37DB" w:rsidRPr="00CA0E3C">
              <w:rPr>
                <w:b/>
                <w:bCs/>
                <w:color w:val="FFFFFF" w:themeColor="background1"/>
                <w:kern w:val="24"/>
                <w:szCs w:val="22"/>
              </w:rPr>
              <w:t>and/or</w:t>
            </w:r>
          </w:p>
          <w:p w14:paraId="10D0E016" w14:textId="5B373410" w:rsidR="00BB6ED9" w:rsidRPr="00CA0E3C" w:rsidRDefault="00EE497B" w:rsidP="00BB6ED9">
            <w:pPr>
              <w:pStyle w:val="ListParagraph"/>
              <w:numPr>
                <w:ilvl w:val="0"/>
                <w:numId w:val="481"/>
              </w:numPr>
              <w:spacing w:line="216" w:lineRule="auto"/>
              <w:ind w:left="851"/>
              <w:rPr>
                <w:color w:val="FFFFFF" w:themeColor="background1"/>
                <w:kern w:val="24"/>
                <w:szCs w:val="22"/>
              </w:rPr>
            </w:pPr>
            <w:r w:rsidRPr="00CA0E3C">
              <w:rPr>
                <w:color w:val="FFFFFF" w:themeColor="background1"/>
                <w:kern w:val="24"/>
                <w:szCs w:val="22"/>
              </w:rPr>
              <w:t>n</w:t>
            </w:r>
            <w:r w:rsidR="00BB6ED9" w:rsidRPr="00CA0E3C">
              <w:rPr>
                <w:color w:val="FFFFFF" w:themeColor="background1"/>
                <w:kern w:val="24"/>
                <w:szCs w:val="22"/>
              </w:rPr>
              <w:t>eed help from another person or use an aid to stay physically</w:t>
            </w:r>
            <w:r w:rsidRPr="00CA0E3C">
              <w:rPr>
                <w:color w:val="FFFFFF" w:themeColor="background1"/>
                <w:kern w:val="24"/>
                <w:szCs w:val="22"/>
              </w:rPr>
              <w:t>,</w:t>
            </w:r>
            <w:r w:rsidR="00BB6ED9" w:rsidRPr="00CA0E3C">
              <w:rPr>
                <w:color w:val="FFFFFF" w:themeColor="background1"/>
                <w:kern w:val="24"/>
                <w:szCs w:val="22"/>
              </w:rPr>
              <w:t xml:space="preserve"> mentally or socially able to function independently</w:t>
            </w:r>
            <w:r w:rsidR="008A7E67" w:rsidRPr="00CA0E3C">
              <w:rPr>
                <w:color w:val="FFFFFF" w:themeColor="background1"/>
                <w:kern w:val="24"/>
                <w:szCs w:val="22"/>
              </w:rPr>
              <w:t xml:space="preserve">, </w:t>
            </w:r>
            <w:r w:rsidR="008A7E67" w:rsidRPr="00CA0E3C">
              <w:rPr>
                <w:b/>
                <w:bCs/>
                <w:color w:val="FFFFFF" w:themeColor="background1"/>
                <w:kern w:val="24"/>
                <w:szCs w:val="22"/>
              </w:rPr>
              <w:t>and/or</w:t>
            </w:r>
          </w:p>
          <w:p w14:paraId="41564779" w14:textId="40578586" w:rsidR="000233D1" w:rsidRPr="00CA0E3C" w:rsidRDefault="008A7E67" w:rsidP="008A7E67">
            <w:pPr>
              <w:pStyle w:val="ListParagraph"/>
              <w:numPr>
                <w:ilvl w:val="0"/>
                <w:numId w:val="481"/>
              </w:numPr>
              <w:spacing w:line="216" w:lineRule="auto"/>
              <w:ind w:left="851"/>
              <w:rPr>
                <w:color w:val="FFFFFF" w:themeColor="background1"/>
                <w:kern w:val="24"/>
                <w:szCs w:val="22"/>
              </w:rPr>
            </w:pPr>
            <w:r w:rsidRPr="00CA0E3C">
              <w:rPr>
                <w:color w:val="FFFFFF" w:themeColor="background1"/>
                <w:kern w:val="24"/>
                <w:szCs w:val="22"/>
              </w:rPr>
              <w:t>n</w:t>
            </w:r>
            <w:r w:rsidR="00BB6ED9" w:rsidRPr="00CA0E3C">
              <w:rPr>
                <w:color w:val="FFFFFF" w:themeColor="background1"/>
                <w:kern w:val="24"/>
                <w:szCs w:val="22"/>
              </w:rPr>
              <w:t>eed help from another person or use an aid to stay physically mentally or socially able to function independently</w:t>
            </w:r>
            <w:r w:rsidRPr="00CA0E3C">
              <w:rPr>
                <w:color w:val="FFFFFF" w:themeColor="background1"/>
                <w:kern w:val="24"/>
                <w:szCs w:val="22"/>
              </w:rPr>
              <w:t>.</w:t>
            </w:r>
          </w:p>
        </w:tc>
      </w:tr>
    </w:tbl>
    <w:p w14:paraId="2C29CCFC" w14:textId="0F495159" w:rsidR="00935142" w:rsidRPr="0094490F" w:rsidRDefault="0094490F" w:rsidP="00EC4086">
      <w:pPr>
        <w:spacing w:before="240" w:after="240" w:line="240" w:lineRule="auto"/>
        <w:rPr>
          <w:b/>
          <w:i/>
          <w:sz w:val="18"/>
          <w:szCs w:val="14"/>
        </w:rPr>
      </w:pPr>
      <w:r w:rsidRPr="00D21957">
        <w:rPr>
          <w:i/>
          <w:sz w:val="18"/>
          <w:szCs w:val="14"/>
        </w:rPr>
        <w:t xml:space="preserve">Figure </w:t>
      </w:r>
      <w:r w:rsidR="00E12776">
        <w:rPr>
          <w:i/>
          <w:sz w:val="18"/>
          <w:szCs w:val="14"/>
        </w:rPr>
        <w:t>2</w:t>
      </w:r>
      <w:r w:rsidRPr="00D21957">
        <w:rPr>
          <w:i/>
          <w:sz w:val="18"/>
          <w:szCs w:val="14"/>
        </w:rPr>
        <w:t xml:space="preserve"> - Eligibility requirements</w:t>
      </w:r>
    </w:p>
    <w:p w14:paraId="247579C7" w14:textId="2F58ABD6" w:rsidR="007A743C" w:rsidRPr="0099255F" w:rsidRDefault="007A743C" w:rsidP="00A677C9">
      <w:pPr>
        <w:spacing w:before="240" w:after="240" w:line="240" w:lineRule="auto"/>
      </w:pPr>
      <w:r w:rsidRPr="00880B95">
        <w:t xml:space="preserve">In doing this the </w:t>
      </w:r>
      <w:r w:rsidR="00031B5E">
        <w:t>t</w:t>
      </w:r>
      <w:r w:rsidRPr="00880B95">
        <w:t xml:space="preserve">riage </w:t>
      </w:r>
      <w:r w:rsidR="00031B5E">
        <w:t>d</w:t>
      </w:r>
      <w:r w:rsidRPr="00880B95">
        <w:t>elegate must</w:t>
      </w:r>
      <w:r>
        <w:t xml:space="preserve"> c</w:t>
      </w:r>
      <w:r w:rsidRPr="0099255F">
        <w:t xml:space="preserve">heck all information available on the older person’s My Aged Care </w:t>
      </w:r>
      <w:r>
        <w:t>r</w:t>
      </w:r>
      <w:r w:rsidRPr="0099255F">
        <w:t>ecord to</w:t>
      </w:r>
      <w:r>
        <w:t xml:space="preserve"> confirm:</w:t>
      </w:r>
      <w:r w:rsidRPr="0099255F">
        <w:t xml:space="preserve"> </w:t>
      </w:r>
    </w:p>
    <w:p w14:paraId="49CD7E4A" w14:textId="704F4A6F" w:rsidR="007A743C" w:rsidRDefault="007A743C" w:rsidP="00DF3F6B">
      <w:pPr>
        <w:pStyle w:val="ListParagraph"/>
        <w:numPr>
          <w:ilvl w:val="0"/>
          <w:numId w:val="77"/>
        </w:numPr>
        <w:spacing w:before="240" w:after="240" w:line="240" w:lineRule="auto"/>
      </w:pPr>
      <w:r>
        <w:t xml:space="preserve">the older person’s date of birth, by checking with the older person, their registered supporter and/or active, appointed decision maker </w:t>
      </w:r>
    </w:p>
    <w:p w14:paraId="5486415A" w14:textId="77777777" w:rsidR="0085259F" w:rsidRDefault="007A743C" w:rsidP="0085259F">
      <w:pPr>
        <w:pStyle w:val="ListParagraph"/>
        <w:numPr>
          <w:ilvl w:val="0"/>
          <w:numId w:val="77"/>
        </w:numPr>
        <w:spacing w:before="240" w:after="240" w:line="240" w:lineRule="auto"/>
      </w:pPr>
      <w:r>
        <w:t xml:space="preserve">that the older person has declared they have care needs, noting this can be made by the older person through the registration and screening process or through a written statement from a person applying on the older person’s behalf, or through written medical records (see section 58-5 of the </w:t>
      </w:r>
      <w:r w:rsidRPr="00C83DED">
        <w:rPr>
          <w:i/>
        </w:rPr>
        <w:t>Aged Care Rules 2025</w:t>
      </w:r>
      <w:r>
        <w:t>)</w:t>
      </w:r>
    </w:p>
    <w:p w14:paraId="2CB5D36A" w14:textId="73DBDBA5" w:rsidR="007A743C" w:rsidRDefault="007A743C" w:rsidP="0085259F">
      <w:pPr>
        <w:pStyle w:val="ListParagraph"/>
        <w:numPr>
          <w:ilvl w:val="0"/>
          <w:numId w:val="77"/>
        </w:numPr>
        <w:spacing w:before="240" w:after="240" w:line="240" w:lineRule="auto"/>
      </w:pPr>
      <w:r>
        <w:t>for older people who</w:t>
      </w:r>
      <w:r w:rsidR="002F58FA">
        <w:t xml:space="preserve"> </w:t>
      </w:r>
      <w:r w:rsidR="006C01EB">
        <w:t xml:space="preserve">have </w:t>
      </w:r>
      <w:r w:rsidR="006C01EB" w:rsidRPr="006C01EB">
        <w:t>already been assessed at least once</w:t>
      </w:r>
      <w:r>
        <w:t xml:space="preserve">, </w:t>
      </w:r>
      <w:r w:rsidRPr="00011452">
        <w:t xml:space="preserve">the </w:t>
      </w:r>
      <w:r>
        <w:t>older person</w:t>
      </w:r>
      <w:r w:rsidRPr="00011452">
        <w:t xml:space="preserve"> has had a significant change in circumstance</w:t>
      </w:r>
      <w:r>
        <w:t>s and a reassessment is required.</w:t>
      </w:r>
      <w:r w:rsidR="003B3F61">
        <w:t xml:space="preserve"> </w:t>
      </w:r>
      <w:r>
        <w:t xml:space="preserve">Significant changes are provided for in the </w:t>
      </w:r>
      <w:r w:rsidRPr="0085259F">
        <w:rPr>
          <w:i/>
          <w:iCs/>
        </w:rPr>
        <w:t>Aged Care Rules 2025</w:t>
      </w:r>
      <w:r>
        <w:t xml:space="preserve"> and include:</w:t>
      </w:r>
    </w:p>
    <w:p w14:paraId="567C42FA" w14:textId="77777777" w:rsidR="007A743C" w:rsidRDefault="007A743C" w:rsidP="00DF3F6B">
      <w:pPr>
        <w:pStyle w:val="ListParagraph"/>
        <w:numPr>
          <w:ilvl w:val="1"/>
          <w:numId w:val="77"/>
        </w:numPr>
        <w:spacing w:before="240" w:after="240" w:line="240" w:lineRule="auto"/>
      </w:pPr>
      <w:r w:rsidRPr="00A74DE8">
        <w:t xml:space="preserve">a carer for the </w:t>
      </w:r>
      <w:r>
        <w:t>older person</w:t>
      </w:r>
      <w:r w:rsidRPr="00A74DE8">
        <w:t xml:space="preserve"> has permanently ceased to provide some or all care to the </w:t>
      </w:r>
      <w:r>
        <w:t>older person</w:t>
      </w:r>
      <w:r w:rsidRPr="00A74DE8">
        <w:t xml:space="preserve">; </w:t>
      </w:r>
    </w:p>
    <w:p w14:paraId="782256DF" w14:textId="77777777" w:rsidR="007A743C" w:rsidRDefault="007A743C" w:rsidP="00DF3F6B">
      <w:pPr>
        <w:pStyle w:val="ListParagraph"/>
        <w:numPr>
          <w:ilvl w:val="1"/>
          <w:numId w:val="77"/>
        </w:numPr>
        <w:spacing w:before="240" w:after="240" w:line="240" w:lineRule="auto"/>
      </w:pPr>
      <w:r>
        <w:t>the</w:t>
      </w:r>
      <w:r w:rsidRPr="00A74DE8">
        <w:t xml:space="preserve"> </w:t>
      </w:r>
      <w:r>
        <w:t>older person</w:t>
      </w:r>
      <w:r w:rsidRPr="00A74DE8">
        <w:t xml:space="preserve"> has experienced an event, or a decline in their condition, that is likely to mean that the</w:t>
      </w:r>
      <w:r>
        <w:t xml:space="preserve">y </w:t>
      </w:r>
      <w:r w:rsidRPr="00A74DE8">
        <w:t>will require</w:t>
      </w:r>
      <w:r>
        <w:t>:</w:t>
      </w:r>
    </w:p>
    <w:p w14:paraId="586B91FC" w14:textId="77777777" w:rsidR="007A743C" w:rsidRDefault="007A743C" w:rsidP="00DF3F6B">
      <w:pPr>
        <w:pStyle w:val="ListParagraph"/>
        <w:numPr>
          <w:ilvl w:val="2"/>
          <w:numId w:val="77"/>
        </w:numPr>
        <w:spacing w:before="240" w:after="240" w:line="240" w:lineRule="auto"/>
      </w:pPr>
      <w:r>
        <w:t>more frequent access to a service they are already receiving, or</w:t>
      </w:r>
    </w:p>
    <w:p w14:paraId="31CC5CD2" w14:textId="6F353C6F" w:rsidR="007A743C" w:rsidRPr="007B7849" w:rsidRDefault="007A743C" w:rsidP="00DF3F6B">
      <w:pPr>
        <w:pStyle w:val="ListParagraph"/>
        <w:numPr>
          <w:ilvl w:val="2"/>
          <w:numId w:val="77"/>
        </w:numPr>
        <w:spacing w:before="240" w:after="240" w:line="240" w:lineRule="auto"/>
      </w:pPr>
      <w:r w:rsidRPr="007B7849">
        <w:t xml:space="preserve">access to a service they have been approved for but are not currently </w:t>
      </w:r>
      <w:r w:rsidR="008E2D6D">
        <w:t>accessing</w:t>
      </w:r>
      <w:r w:rsidRPr="007B7849">
        <w:t>, or</w:t>
      </w:r>
    </w:p>
    <w:p w14:paraId="40430F53" w14:textId="77777777" w:rsidR="00D20E71" w:rsidRDefault="007A743C" w:rsidP="00DF3F6B">
      <w:pPr>
        <w:pStyle w:val="ListParagraph"/>
        <w:numPr>
          <w:ilvl w:val="2"/>
          <w:numId w:val="77"/>
        </w:numPr>
        <w:spacing w:before="240" w:after="240" w:line="240" w:lineRule="auto"/>
      </w:pPr>
      <w:r>
        <w:t xml:space="preserve">access to new services not covered in the older person’s access approval. </w:t>
      </w:r>
    </w:p>
    <w:p w14:paraId="41414397" w14:textId="77777777" w:rsidR="00D20E71" w:rsidRPr="00011452" w:rsidRDefault="00D20E71" w:rsidP="001704DC">
      <w:pPr>
        <w:spacing w:before="240" w:after="240" w:line="240" w:lineRule="auto"/>
      </w:pPr>
      <w:r w:rsidRPr="00011452">
        <w:t xml:space="preserve">The </w:t>
      </w:r>
      <w:r>
        <w:t>t</w:t>
      </w:r>
      <w:r w:rsidRPr="00011452">
        <w:t xml:space="preserve">riage </w:t>
      </w:r>
      <w:r>
        <w:t>d</w:t>
      </w:r>
      <w:r w:rsidRPr="00011452">
        <w:t>elegate must also undertake the triage section of the IAT to determine the type of assessment</w:t>
      </w:r>
      <w:r>
        <w:t xml:space="preserve"> (home support or comprehensive)</w:t>
      </w:r>
      <w:r w:rsidRPr="00011452">
        <w:t xml:space="preserve"> for the individual. </w:t>
      </w:r>
    </w:p>
    <w:p w14:paraId="7FCAC720" w14:textId="77777777" w:rsidR="00D20E71" w:rsidRDefault="00D20E71" w:rsidP="001704DC">
      <w:pPr>
        <w:spacing w:before="240" w:after="240" w:line="240" w:lineRule="auto"/>
      </w:pPr>
      <w:r w:rsidRPr="00880B95">
        <w:t xml:space="preserve">If a person has gone through the screening process and been advised they are likely </w:t>
      </w:r>
      <w:r>
        <w:t xml:space="preserve">to be </w:t>
      </w:r>
      <w:r w:rsidRPr="00880B95">
        <w:t>ineligible for the needs assessment</w:t>
      </w:r>
      <w:r>
        <w:t>,</w:t>
      </w:r>
      <w:r w:rsidRPr="00880B95">
        <w:t xml:space="preserve"> a flag will appear in the My Aged Care Assessor Portal. </w:t>
      </w:r>
      <w:r>
        <w:t>Triage delegates</w:t>
      </w:r>
      <w:r w:rsidRPr="00880B95">
        <w:t xml:space="preserve"> should use all available information from screening, on the older person’s My Aged Care Profile and provided during triage to reach their own </w:t>
      </w:r>
      <w:r>
        <w:t>decision</w:t>
      </w:r>
      <w:r w:rsidRPr="00880B95">
        <w:t xml:space="preserve"> regarding an individual’s eligibility. Triage </w:t>
      </w:r>
      <w:r>
        <w:t>D</w:t>
      </w:r>
      <w:r w:rsidRPr="00880B95">
        <w:t xml:space="preserve">elegates are ultimately responsible </w:t>
      </w:r>
      <w:r>
        <w:t xml:space="preserve">to make </w:t>
      </w:r>
      <w:r w:rsidRPr="502D0A05">
        <w:t>a</w:t>
      </w:r>
      <w:r w:rsidRPr="00880B95" w:rsidDel="005E1904">
        <w:t xml:space="preserve"> </w:t>
      </w:r>
      <w:r>
        <w:t>decision</w:t>
      </w:r>
      <w:r w:rsidRPr="00880B95">
        <w:t xml:space="preserve"> about an older person’s eligibility for a needs assessment.  </w:t>
      </w:r>
    </w:p>
    <w:p w14:paraId="21461D93" w14:textId="77777777" w:rsidR="00D20E71" w:rsidRPr="00880B95" w:rsidRDefault="00D20E71" w:rsidP="001704DC">
      <w:pPr>
        <w:spacing w:before="240" w:after="240" w:line="240" w:lineRule="auto"/>
      </w:pPr>
      <w:r w:rsidRPr="00880B95">
        <w:t xml:space="preserve">In addition to determining the eligibility for an older person to undergo a needs assessment, </w:t>
      </w:r>
      <w:r>
        <w:t>T</w:t>
      </w:r>
      <w:r w:rsidRPr="00880B95">
        <w:t xml:space="preserve">riage </w:t>
      </w:r>
      <w:r>
        <w:t>D</w:t>
      </w:r>
      <w:r w:rsidRPr="00880B95">
        <w:t xml:space="preserve">elegates should also </w:t>
      </w:r>
      <w:r>
        <w:t>undertake</w:t>
      </w:r>
      <w:r w:rsidRPr="00880B95">
        <w:t xml:space="preserve"> the </w:t>
      </w:r>
      <w:r>
        <w:t xml:space="preserve">triage section of the IAT and </w:t>
      </w:r>
      <w:r w:rsidRPr="502D0A05">
        <w:t xml:space="preserve">determine the assessment type and assign to </w:t>
      </w:r>
      <w:r>
        <w:t xml:space="preserve">an </w:t>
      </w:r>
      <w:r w:rsidRPr="502D0A05">
        <w:t xml:space="preserve">appropriate assessor. </w:t>
      </w:r>
    </w:p>
    <w:p w14:paraId="19E94920" w14:textId="77777777" w:rsidR="00D20E71" w:rsidRDefault="00D20E71" w:rsidP="001704DC">
      <w:pPr>
        <w:spacing w:before="240" w:after="240" w:line="240" w:lineRule="auto"/>
      </w:pPr>
      <w:r w:rsidRPr="00880B95">
        <w:t xml:space="preserve">Under the Instrument of Delegation, </w:t>
      </w:r>
      <w:r>
        <w:t>T</w:t>
      </w:r>
      <w:r w:rsidRPr="00880B95">
        <w:t xml:space="preserve">riage </w:t>
      </w:r>
      <w:r>
        <w:t>D</w:t>
      </w:r>
      <w:r w:rsidRPr="00880B95">
        <w:t xml:space="preserve">elegates will also be delegated the power to </w:t>
      </w:r>
      <w:r w:rsidRPr="502D0A05">
        <w:t>decide</w:t>
      </w:r>
      <w:r w:rsidRPr="00880B95">
        <w:t xml:space="preserve"> under section 64 of </w:t>
      </w:r>
      <w:r>
        <w:t xml:space="preserve">the </w:t>
      </w:r>
      <w:r w:rsidRPr="00D20E71">
        <w:rPr>
          <w:i/>
        </w:rPr>
        <w:t>Aged Care Act 2024</w:t>
      </w:r>
      <w:r w:rsidRPr="00880B95">
        <w:t xml:space="preserve"> that an older person has undergone a significant change of circumstances or other change in their circumstances and requires a </w:t>
      </w:r>
      <w:r>
        <w:t>reassessment</w:t>
      </w:r>
      <w:r w:rsidRPr="502D0A05">
        <w:t xml:space="preserve"> </w:t>
      </w:r>
      <w:r w:rsidRPr="00880B95">
        <w:t xml:space="preserve">of their needs. The information required by </w:t>
      </w:r>
      <w:r>
        <w:t>T</w:t>
      </w:r>
      <w:r w:rsidRPr="00880B95">
        <w:t xml:space="preserve">riage </w:t>
      </w:r>
      <w:r>
        <w:t>D</w:t>
      </w:r>
      <w:r w:rsidRPr="00880B95">
        <w:t xml:space="preserve">elegates to confirm a </w:t>
      </w:r>
      <w:r>
        <w:t>reassessment</w:t>
      </w:r>
      <w:r w:rsidRPr="00880B95">
        <w:t xml:space="preserve"> will be gathered by assessors during a support plan review. </w:t>
      </w:r>
      <w:r w:rsidRPr="00974DBF">
        <w:t xml:space="preserve"> </w:t>
      </w:r>
    </w:p>
    <w:p w14:paraId="25A7175C" w14:textId="5EB85472" w:rsidR="00D20E71" w:rsidRPr="00680330" w:rsidRDefault="00D20E71" w:rsidP="001704DC">
      <w:pPr>
        <w:spacing w:before="240" w:after="240" w:line="240" w:lineRule="auto"/>
      </w:pPr>
      <w:r w:rsidRPr="00D52D3F">
        <w:t xml:space="preserve">Triage </w:t>
      </w:r>
      <w:r>
        <w:t>D</w:t>
      </w:r>
      <w:r w:rsidRPr="00D52D3F">
        <w:t xml:space="preserve">elegates should pay special attention to any clients that are marked as unlikely to be eligible due to their age and check if their application for care was already in-progress before 1 </w:t>
      </w:r>
      <w:r>
        <w:t xml:space="preserve">November 2025. </w:t>
      </w:r>
      <w:r w:rsidRPr="00180E36">
        <w:t xml:space="preserve">See section </w:t>
      </w:r>
      <w:r>
        <w:fldChar w:fldCharType="begin"/>
      </w:r>
      <w:r>
        <w:instrText xml:space="preserve"> REF _Ref212733794 \r \h </w:instrText>
      </w:r>
      <w:r>
        <w:fldChar w:fldCharType="separate"/>
      </w:r>
      <w:r w:rsidR="00F97942">
        <w:t>1.5.11</w:t>
      </w:r>
      <w:r>
        <w:fldChar w:fldCharType="end"/>
      </w:r>
      <w:r w:rsidRPr="00D20E71">
        <w:rPr>
          <w:i/>
        </w:rPr>
        <w:t xml:space="preserve">Younger people </w:t>
      </w:r>
      <w:r w:rsidRPr="00180E36">
        <w:t xml:space="preserve">in Chapter </w:t>
      </w:r>
      <w:r>
        <w:fldChar w:fldCharType="begin"/>
      </w:r>
      <w:r>
        <w:instrText xml:space="preserve"> REF _Ref212735661 \w \h </w:instrText>
      </w:r>
      <w:r>
        <w:fldChar w:fldCharType="separate"/>
      </w:r>
      <w:r w:rsidR="00F97942">
        <w:t>1</w:t>
      </w:r>
      <w:r>
        <w:fldChar w:fldCharType="end"/>
      </w:r>
      <w:r w:rsidRPr="00180E36">
        <w:t>.</w:t>
      </w:r>
    </w:p>
    <w:p w14:paraId="02B5C3D3" w14:textId="28E3A524" w:rsidR="007F22CF" w:rsidRDefault="007A743C" w:rsidP="001704DC">
      <w:pPr>
        <w:spacing w:before="240" w:after="240" w:line="240" w:lineRule="auto"/>
      </w:pPr>
      <w:r>
        <w:t xml:space="preserve"> </w:t>
      </w:r>
    </w:p>
    <w:p w14:paraId="28ACCCB6" w14:textId="77777777" w:rsidR="007A743C" w:rsidRPr="00CA4A79" w:rsidRDefault="007A743C" w:rsidP="00C56CEC">
      <w:pPr>
        <w:pStyle w:val="H3"/>
        <w:rPr>
          <w:color w:val="434967"/>
        </w:rPr>
      </w:pPr>
      <w:r w:rsidRPr="00F45CFD">
        <w:t>Eligibility considerations for older Aboriginal and Torres Strait Islander people</w:t>
      </w:r>
    </w:p>
    <w:p w14:paraId="0836196B" w14:textId="521C55D1" w:rsidR="007A743C" w:rsidRDefault="007A743C" w:rsidP="00126AC2">
      <w:r w:rsidRPr="00D27C03">
        <w:t xml:space="preserve">The </w:t>
      </w:r>
      <w:r w:rsidRPr="00D27C03">
        <w:rPr>
          <w:lang w:eastAsia="ko-KR"/>
        </w:rPr>
        <w:t>assessment</w:t>
      </w:r>
      <w:r w:rsidRPr="00D27C03">
        <w:t xml:space="preserve"> process for Aboriginal and Torres Strait Islander people between 50-64 years of age is the same process for assessing people aged 65 years and older. Under the </w:t>
      </w:r>
      <w:r w:rsidRPr="00D27C03">
        <w:rPr>
          <w:i/>
        </w:rPr>
        <w:t>Aged Care Act 2024</w:t>
      </w:r>
      <w:r w:rsidRPr="00D27C03">
        <w:t>, triage delegates will be required to inform people who are under 65 and seeking aged care services of alternative services that may meet their needs, prior to determining their eligibility</w:t>
      </w:r>
      <w:r w:rsidR="00111F45">
        <w:t xml:space="preserve"> (see section below)</w:t>
      </w:r>
      <w:r w:rsidRPr="00D27C03">
        <w:t>.</w:t>
      </w:r>
      <w:r w:rsidR="009907C3">
        <w:t xml:space="preserve"> The person seeking assessment is not required to take up these services. </w:t>
      </w:r>
    </w:p>
    <w:p w14:paraId="1E79D34C" w14:textId="370EF9C2" w:rsidR="007A743C" w:rsidRPr="00D27C03" w:rsidRDefault="007A743C" w:rsidP="00126AC2">
      <w:r w:rsidRPr="00D27C03">
        <w:t xml:space="preserve">A person does not need to provide proof that they are Aboriginal and Torres Strait Islander. Self-identification, or identification by a person or organisation they trust is sufficient for aged care purposes.  </w:t>
      </w:r>
    </w:p>
    <w:p w14:paraId="5AEC27BB" w14:textId="7C4DBBA9" w:rsidR="00F53E5F" w:rsidRDefault="007A743C" w:rsidP="00126AC2">
      <w:r w:rsidRPr="001E0126">
        <w:t>Important</w:t>
      </w:r>
      <w:r w:rsidR="00DD0480">
        <w:t>:</w:t>
      </w:r>
      <w:r w:rsidRPr="003E1933" w:rsidDel="00451B2E">
        <w:t xml:space="preserve"> </w:t>
      </w:r>
      <w:r w:rsidRPr="005906C6">
        <w:t>older Aboriginal and Torres Strait Islander people may be members of the Stolen Generations and/or be impacted by displacement and social disruption and therefore may be traumatised by having to demonstrate their Indigeneity. If a person identifies as Aboriginal and Torres Strait Islander it is important for this to be documented during the assessment for eligibility, service and data collection purposes.</w:t>
      </w:r>
    </w:p>
    <w:p w14:paraId="543E5233" w14:textId="1E79B5EB" w:rsidR="00862F78" w:rsidRDefault="000D3919" w:rsidP="00C56CEC">
      <w:pPr>
        <w:pStyle w:val="H3"/>
      </w:pPr>
      <w:r w:rsidRPr="00BE34BC">
        <w:rPr>
          <w:noProof/>
        </w:rPr>
        <w:drawing>
          <wp:anchor distT="0" distB="0" distL="114300" distR="114300" simplePos="0" relativeHeight="251658289" behindDoc="0" locked="0" layoutInCell="1" allowOverlap="1" wp14:anchorId="5E1AD55B" wp14:editId="3E44B1C4">
            <wp:simplePos x="0" y="0"/>
            <wp:positionH relativeFrom="margin">
              <wp:align>left</wp:align>
            </wp:positionH>
            <wp:positionV relativeFrom="paragraph">
              <wp:posOffset>95587</wp:posOffset>
            </wp:positionV>
            <wp:extent cx="457200" cy="502920"/>
            <wp:effectExtent l="0" t="0" r="0" b="0"/>
            <wp:wrapSquare wrapText="bothSides"/>
            <wp:docPr id="945699914" name="Picture 94569991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862F78">
        <w:t>Eligibility considerations for people who are homeless or who are at risk of homelessness</w:t>
      </w:r>
    </w:p>
    <w:p w14:paraId="6946A83C" w14:textId="29AAF4AF" w:rsidR="00D816E6" w:rsidRDefault="00D816E6" w:rsidP="00D816E6">
      <w:r w:rsidRPr="00D816E6">
        <w:t xml:space="preserve">The </w:t>
      </w:r>
      <w:r w:rsidRPr="000C43E7">
        <w:t>assessment</w:t>
      </w:r>
      <w:r w:rsidRPr="00D816E6">
        <w:t xml:space="preserve"> process for </w:t>
      </w:r>
      <w:r w:rsidR="004B6DFD">
        <w:t xml:space="preserve">people who are homeless or at risk of homelessness </w:t>
      </w:r>
      <w:r w:rsidRPr="00D816E6">
        <w:t>between 50-64 years of age is the same process for assessing people aged 65 years and older. Under the</w:t>
      </w:r>
      <w:r w:rsidR="00E90395">
        <w:t xml:space="preserve"> </w:t>
      </w:r>
      <w:r w:rsidRPr="000C43E7">
        <w:t>Act</w:t>
      </w:r>
      <w:r w:rsidRPr="00D816E6">
        <w:t>, triage delegates will be required to inform people who are under 65 and seeking aged care services of alternative services that may meet their needs, prior to determining their eligibility</w:t>
      </w:r>
      <w:r w:rsidR="00B1055F">
        <w:t xml:space="preserve"> (see section below)</w:t>
      </w:r>
      <w:r w:rsidRPr="00D816E6">
        <w:t>.</w:t>
      </w:r>
      <w:r w:rsidR="00DD7C87" w:rsidRPr="00DD7C87">
        <w:t xml:space="preserve"> </w:t>
      </w:r>
      <w:r w:rsidR="00DD7C87">
        <w:t>The person seeking assessment is not required to take up these services.</w:t>
      </w:r>
    </w:p>
    <w:p w14:paraId="2D3EB534" w14:textId="648C4FE0" w:rsidR="00DD7C87" w:rsidRDefault="00AA0DDE" w:rsidP="00D816E6">
      <w:r>
        <w:t>The following definitions apply</w:t>
      </w:r>
      <w:r w:rsidR="009967F9">
        <w:t xml:space="preserve"> for this cohort and must be used when determining someone’s eligibility for an aged care needs assessment who is aged between 50 and 64 years.</w:t>
      </w:r>
    </w:p>
    <w:p w14:paraId="2C407A40" w14:textId="77777777" w:rsidR="00383133" w:rsidRPr="000C43E7" w:rsidRDefault="00383133" w:rsidP="00D816E6">
      <w:pPr>
        <w:rPr>
          <w:b/>
          <w:bCs/>
        </w:rPr>
      </w:pPr>
      <w:r w:rsidRPr="000C43E7">
        <w:rPr>
          <w:b/>
          <w:bCs/>
        </w:rPr>
        <w:t xml:space="preserve">Homeless definition </w:t>
      </w:r>
    </w:p>
    <w:p w14:paraId="235678CC" w14:textId="77777777" w:rsidR="00383133" w:rsidRDefault="00383133" w:rsidP="00D816E6">
      <w:r w:rsidRPr="00383133">
        <w:t xml:space="preserve">‘Homeless’ in the context of aged care and for the purpose of receiving Australian Government funded aged care services refers to an individual who: </w:t>
      </w:r>
    </w:p>
    <w:p w14:paraId="33A31C1B" w14:textId="4053352F" w:rsidR="00383133" w:rsidRDefault="00383133" w:rsidP="000C43E7">
      <w:pPr>
        <w:pStyle w:val="ListParagraph"/>
        <w:numPr>
          <w:ilvl w:val="0"/>
          <w:numId w:val="537"/>
        </w:numPr>
      </w:pPr>
      <w:r w:rsidRPr="00383133">
        <w:t xml:space="preserve">is aged 50 or older, and </w:t>
      </w:r>
    </w:p>
    <w:p w14:paraId="789EB051" w14:textId="199010E3" w:rsidR="00383133" w:rsidRDefault="00383133" w:rsidP="000C43E7">
      <w:pPr>
        <w:pStyle w:val="ListParagraph"/>
        <w:numPr>
          <w:ilvl w:val="0"/>
          <w:numId w:val="537"/>
        </w:numPr>
      </w:pPr>
      <w:r w:rsidRPr="00383133">
        <w:t xml:space="preserve">has prematurely aged and requires services for their aged care needs, and </w:t>
      </w:r>
    </w:p>
    <w:p w14:paraId="59DD6918" w14:textId="7851BE15" w:rsidR="00383133" w:rsidRDefault="00383133" w:rsidP="000C43E7">
      <w:pPr>
        <w:pStyle w:val="ListParagraph"/>
        <w:numPr>
          <w:ilvl w:val="0"/>
          <w:numId w:val="537"/>
        </w:numPr>
      </w:pPr>
      <w:r w:rsidRPr="00383133">
        <w:t xml:space="preserve">has the following living arrangements: </w:t>
      </w:r>
    </w:p>
    <w:p w14:paraId="4D012FD5" w14:textId="77777777" w:rsidR="00383133" w:rsidRDefault="00383133" w:rsidP="00383133">
      <w:pPr>
        <w:pStyle w:val="ListParagraph"/>
        <w:numPr>
          <w:ilvl w:val="0"/>
          <w:numId w:val="536"/>
        </w:numPr>
      </w:pPr>
      <w:r w:rsidRPr="00383133">
        <w:t xml:space="preserve">Lacks any adequate roof over their head, or </w:t>
      </w:r>
    </w:p>
    <w:p w14:paraId="703B25DE" w14:textId="77777777" w:rsidR="00383133" w:rsidRDefault="00383133" w:rsidP="00383133">
      <w:pPr>
        <w:pStyle w:val="ListParagraph"/>
        <w:numPr>
          <w:ilvl w:val="0"/>
          <w:numId w:val="536"/>
        </w:numPr>
      </w:pPr>
      <w:r w:rsidRPr="00383133">
        <w:t xml:space="preserve">Has no security of tenure, or moves between various forms of temporary or medium-term shelter, or </w:t>
      </w:r>
    </w:p>
    <w:p w14:paraId="2AC10AC8" w14:textId="77777777" w:rsidR="000E59F3" w:rsidRDefault="00383133" w:rsidP="00383133">
      <w:pPr>
        <w:pStyle w:val="ListParagraph"/>
        <w:numPr>
          <w:ilvl w:val="0"/>
          <w:numId w:val="536"/>
        </w:numPr>
      </w:pPr>
      <w:r w:rsidRPr="00383133">
        <w:t>stays in accommodation that falls below minimum community standards4, and</w:t>
      </w:r>
    </w:p>
    <w:p w14:paraId="3D2A2474" w14:textId="473442B9" w:rsidR="009967F9" w:rsidRDefault="00383133" w:rsidP="000C43E7">
      <w:pPr>
        <w:pStyle w:val="ListParagraph"/>
        <w:numPr>
          <w:ilvl w:val="0"/>
          <w:numId w:val="537"/>
        </w:numPr>
      </w:pPr>
      <w:r w:rsidRPr="00383133">
        <w:t>does not have the means to change their living arrangements.</w:t>
      </w:r>
    </w:p>
    <w:p w14:paraId="5F72B6BF" w14:textId="77777777" w:rsidR="00926B14" w:rsidRPr="000C43E7" w:rsidRDefault="00926B14" w:rsidP="00D816E6">
      <w:pPr>
        <w:rPr>
          <w:b/>
          <w:bCs/>
        </w:rPr>
      </w:pPr>
      <w:r w:rsidRPr="000C43E7">
        <w:rPr>
          <w:b/>
          <w:bCs/>
        </w:rPr>
        <w:t xml:space="preserve">At risk of homelessness definition </w:t>
      </w:r>
    </w:p>
    <w:p w14:paraId="1BF6BA3D" w14:textId="77777777" w:rsidR="00926B14" w:rsidRDefault="00926B14" w:rsidP="00D816E6">
      <w:r w:rsidRPr="00926B14">
        <w:t xml:space="preserve">‘At risk of homelessness’ in the context of aged care and for the purpose of receiving Australian Government funded aged care services refers to an individual who: </w:t>
      </w:r>
    </w:p>
    <w:p w14:paraId="06BCCFC6" w14:textId="5B8EB3BB" w:rsidR="00926B14" w:rsidRDefault="00926B14" w:rsidP="000C43E7">
      <w:pPr>
        <w:pStyle w:val="ListParagraph"/>
        <w:numPr>
          <w:ilvl w:val="1"/>
          <w:numId w:val="541"/>
        </w:numPr>
      </w:pPr>
      <w:r w:rsidRPr="00926B14">
        <w:t xml:space="preserve">is aged 50 or older, and </w:t>
      </w:r>
    </w:p>
    <w:p w14:paraId="59081B67" w14:textId="5295D78A" w:rsidR="00926B14" w:rsidRDefault="00926B14" w:rsidP="000C43E7">
      <w:pPr>
        <w:pStyle w:val="ListParagraph"/>
        <w:numPr>
          <w:ilvl w:val="1"/>
          <w:numId w:val="541"/>
        </w:numPr>
      </w:pPr>
      <w:r w:rsidRPr="00926B14">
        <w:t xml:space="preserve">has prematurely aged requiring services for their aged care needs, and </w:t>
      </w:r>
    </w:p>
    <w:p w14:paraId="11958729" w14:textId="44E72398" w:rsidR="00115B77" w:rsidRDefault="00926B14" w:rsidP="000C43E7">
      <w:pPr>
        <w:pStyle w:val="ListParagraph"/>
        <w:numPr>
          <w:ilvl w:val="1"/>
          <w:numId w:val="541"/>
        </w:numPr>
      </w:pPr>
      <w:r w:rsidRPr="00926B14">
        <w:t xml:space="preserve">is at risk of experiencing the following living arrangements: </w:t>
      </w:r>
    </w:p>
    <w:p w14:paraId="309E8A35" w14:textId="771FC7F7" w:rsidR="00115B77" w:rsidRDefault="00926B14" w:rsidP="000C43E7">
      <w:pPr>
        <w:pStyle w:val="ListParagraph"/>
        <w:numPr>
          <w:ilvl w:val="2"/>
          <w:numId w:val="541"/>
        </w:numPr>
        <w:ind w:left="1276" w:hanging="142"/>
      </w:pPr>
      <w:r w:rsidRPr="00926B14">
        <w:t xml:space="preserve">having no adequate roof over their head, or </w:t>
      </w:r>
    </w:p>
    <w:p w14:paraId="12D6BBBA" w14:textId="60B9C8CD" w:rsidR="00115B77" w:rsidRDefault="00926B14" w:rsidP="000C43E7">
      <w:pPr>
        <w:pStyle w:val="ListParagraph"/>
        <w:numPr>
          <w:ilvl w:val="2"/>
          <w:numId w:val="541"/>
        </w:numPr>
        <w:ind w:left="1276" w:hanging="142"/>
      </w:pPr>
      <w:r w:rsidRPr="00926B14">
        <w:t xml:space="preserve">having no security of tenure, or moves between various forms of temporary or medium-term shelter, or </w:t>
      </w:r>
    </w:p>
    <w:p w14:paraId="1BAA964C" w14:textId="77777777" w:rsidR="0096777F" w:rsidRDefault="00926B14" w:rsidP="000C43E7">
      <w:pPr>
        <w:pStyle w:val="ListParagraph"/>
        <w:numPr>
          <w:ilvl w:val="2"/>
          <w:numId w:val="541"/>
        </w:numPr>
        <w:ind w:left="1276" w:hanging="142"/>
      </w:pPr>
      <w:r w:rsidRPr="00926B14">
        <w:t xml:space="preserve">staying in accommodation that falls below minimum community standards, and </w:t>
      </w:r>
    </w:p>
    <w:p w14:paraId="35979629" w14:textId="1089486D" w:rsidR="009967F9" w:rsidRPr="00D816E6" w:rsidRDefault="00926B14" w:rsidP="000C43E7">
      <w:pPr>
        <w:pStyle w:val="ListParagraph"/>
        <w:numPr>
          <w:ilvl w:val="1"/>
          <w:numId w:val="541"/>
        </w:numPr>
      </w:pPr>
      <w:r w:rsidRPr="00926B14">
        <w:t>does not have the means to change their living arrangements.</w:t>
      </w:r>
    </w:p>
    <w:p w14:paraId="35040124" w14:textId="77777777" w:rsidR="00F45CFD" w:rsidRDefault="00F45CFD" w:rsidP="000C43E7"/>
    <w:p w14:paraId="0B2DC194" w14:textId="77777777" w:rsidR="00985812" w:rsidRDefault="00985812" w:rsidP="00862F78">
      <w:r w:rsidRPr="00985812">
        <w:t xml:space="preserve">In the context of assessing eligibility criteria to receive Government funded aged care services under the Act, a homeless individual is someone who is currently without adequate, stable accommodation or accommodation that meets minimum standards, has no means to change their living arrangements, is at least 50 years old, has aged care needs and has prematurely aged due to experiencing homelessness, resulting in a need for aged care services. </w:t>
      </w:r>
    </w:p>
    <w:p w14:paraId="03E3B353" w14:textId="17180670" w:rsidR="00F27128" w:rsidRDefault="00985812" w:rsidP="000C43E7">
      <w:r w:rsidRPr="00985812">
        <w:t>In the context of assessing eligibility criteria to receive Government funded aged care services under the Act, an individual who is at risk of homelessness, may currently be housed, however is in such a vulnerable position that it is reasonable to expect they will soon experience homelessness (without adequate, stable accommodation or accommodation that meets minimum standards), has no means to change their living arrangements, is at least 50 years old, has aged care needs and has prematurely aged due to experiencing homelessness, resulting in a need for aged care services.</w:t>
      </w:r>
    </w:p>
    <w:p w14:paraId="293902E6" w14:textId="77777777" w:rsidR="00F27128" w:rsidRDefault="00F27128" w:rsidP="00862F78"/>
    <w:p w14:paraId="616E4DCD" w14:textId="77777777" w:rsidR="00641561" w:rsidRPr="00C548FC" w:rsidRDefault="00641561" w:rsidP="00862F78">
      <w:pPr>
        <w:rPr>
          <w:b/>
          <w:bCs/>
        </w:rPr>
      </w:pPr>
      <w:r w:rsidRPr="00C548FC">
        <w:rPr>
          <w:b/>
          <w:bCs/>
        </w:rPr>
        <w:t xml:space="preserve">Eligibility criteria assessment </w:t>
      </w:r>
    </w:p>
    <w:p w14:paraId="51152C59" w14:textId="77777777" w:rsidR="00641561" w:rsidRDefault="00641561" w:rsidP="00862F78">
      <w:r w:rsidRPr="00641561">
        <w:t xml:space="preserve">An individual is considered homeless or at risk of homelessness and eligible for Australian Government funded aged care services if all the following conditions are met: </w:t>
      </w:r>
    </w:p>
    <w:p w14:paraId="6864390D" w14:textId="3E9DDC33" w:rsidR="00641561" w:rsidRDefault="00641561" w:rsidP="00C548FC">
      <w:pPr>
        <w:pStyle w:val="ListParagraph"/>
        <w:numPr>
          <w:ilvl w:val="1"/>
          <w:numId w:val="9"/>
        </w:numPr>
        <w:ind w:left="426"/>
      </w:pPr>
      <w:r w:rsidRPr="005953DB">
        <w:rPr>
          <w:b/>
          <w:bCs/>
        </w:rPr>
        <w:t>Age:</w:t>
      </w:r>
      <w:r w:rsidRPr="00641561">
        <w:t xml:space="preserve"> the individual is aged 50 or older. </w:t>
      </w:r>
    </w:p>
    <w:p w14:paraId="5100E394" w14:textId="1A02E7BC" w:rsidR="00641561" w:rsidRDefault="00641561" w:rsidP="00C548FC">
      <w:pPr>
        <w:pStyle w:val="ListParagraph"/>
        <w:numPr>
          <w:ilvl w:val="1"/>
          <w:numId w:val="9"/>
        </w:numPr>
        <w:ind w:left="426"/>
      </w:pPr>
      <w:r w:rsidRPr="005953DB">
        <w:rPr>
          <w:b/>
          <w:bCs/>
        </w:rPr>
        <w:t>Aged care needs:</w:t>
      </w:r>
      <w:r w:rsidRPr="00641561">
        <w:t xml:space="preserve"> the individual has aged care needs requiring personal or clinical care, or both, due to difficulties performing daily living activities and requires assistance to maintain their capacity to function independently. </w:t>
      </w:r>
    </w:p>
    <w:p w14:paraId="5635F2EC" w14:textId="77777777" w:rsidR="001C3ACD" w:rsidRDefault="00641561" w:rsidP="001C3ACD">
      <w:pPr>
        <w:pStyle w:val="ListParagraph"/>
        <w:numPr>
          <w:ilvl w:val="1"/>
          <w:numId w:val="9"/>
        </w:numPr>
        <w:ind w:left="426"/>
      </w:pPr>
      <w:r w:rsidRPr="005953DB">
        <w:rPr>
          <w:b/>
          <w:bCs/>
        </w:rPr>
        <w:t>Prematurely aged due to experiencing homelessness:</w:t>
      </w:r>
      <w:r w:rsidRPr="00641561">
        <w:t xml:space="preserve"> the individual’s aged care needs are equivalent to those of someone aged 65 or older and has aged prematurely due to experiencing homelessness. </w:t>
      </w:r>
    </w:p>
    <w:p w14:paraId="10EE7E48" w14:textId="17F612A5" w:rsidR="001B7397" w:rsidRPr="005953DB" w:rsidRDefault="00641561" w:rsidP="00C548FC">
      <w:pPr>
        <w:pStyle w:val="ListParagraph"/>
        <w:numPr>
          <w:ilvl w:val="1"/>
          <w:numId w:val="9"/>
        </w:numPr>
        <w:ind w:left="426"/>
        <w:rPr>
          <w:b/>
          <w:bCs/>
        </w:rPr>
      </w:pPr>
      <w:r w:rsidRPr="005953DB">
        <w:rPr>
          <w:b/>
          <w:bCs/>
        </w:rPr>
        <w:t>Living arrangements:</w:t>
      </w:r>
    </w:p>
    <w:p w14:paraId="4E761650" w14:textId="77777777" w:rsidR="001B7397" w:rsidRDefault="00641561" w:rsidP="001B7397">
      <w:pPr>
        <w:pStyle w:val="ListParagraph"/>
        <w:numPr>
          <w:ilvl w:val="0"/>
          <w:numId w:val="543"/>
        </w:numPr>
      </w:pPr>
      <w:r w:rsidRPr="00641561">
        <w:t xml:space="preserve">For homeless individuals: the individual lacks secure, fit and adequate housing, or housing that meets minimum living standards from a community or human perspective. </w:t>
      </w:r>
    </w:p>
    <w:p w14:paraId="70070D5D" w14:textId="77777777" w:rsidR="001B7397" w:rsidRDefault="00641561" w:rsidP="001B7397">
      <w:pPr>
        <w:pStyle w:val="ListParagraph"/>
        <w:numPr>
          <w:ilvl w:val="0"/>
          <w:numId w:val="543"/>
        </w:numPr>
      </w:pPr>
      <w:r w:rsidRPr="00641561">
        <w:t xml:space="preserve">For at risk of homelessness individuals: the individual is at imminent risk of lacking secure, fit and adequate housing, or housing that meets minimum living standards from a community or human perspective in the near future. </w:t>
      </w:r>
    </w:p>
    <w:p w14:paraId="051F60B1" w14:textId="4E64D93A" w:rsidR="001B7397" w:rsidRDefault="00641561" w:rsidP="00C548FC">
      <w:pPr>
        <w:pStyle w:val="ListParagraph"/>
        <w:numPr>
          <w:ilvl w:val="1"/>
          <w:numId w:val="9"/>
        </w:numPr>
        <w:ind w:left="426"/>
      </w:pPr>
      <w:r w:rsidRPr="005953DB">
        <w:rPr>
          <w:b/>
          <w:bCs/>
        </w:rPr>
        <w:t>Financial resources:</w:t>
      </w:r>
      <w:r w:rsidRPr="00641561">
        <w:t xml:space="preserve"> the individual has limited or no financial means, resources or access to any sort of funding that would enable them to change their housing situation. The financial hardship often reflects a lack of control arising from their life circumstances.</w:t>
      </w:r>
    </w:p>
    <w:p w14:paraId="71F68022" w14:textId="22AC2042" w:rsidR="00641561" w:rsidRDefault="00641561" w:rsidP="00C548FC">
      <w:pPr>
        <w:pStyle w:val="ListParagraph"/>
        <w:numPr>
          <w:ilvl w:val="1"/>
          <w:numId w:val="9"/>
        </w:numPr>
        <w:ind w:left="426"/>
      </w:pPr>
      <w:r w:rsidRPr="005953DB">
        <w:rPr>
          <w:b/>
          <w:bCs/>
        </w:rPr>
        <w:t>Choice and consent:</w:t>
      </w:r>
      <w:r w:rsidRPr="00641561">
        <w:t xml:space="preserve"> the individual does not choose to be homeless and consents to accessing Australian Government funded aged care services, particularly entering residential aged care.</w:t>
      </w:r>
    </w:p>
    <w:p w14:paraId="08DBAD31" w14:textId="77777777" w:rsidR="00F27128" w:rsidRDefault="00F27128" w:rsidP="00C548FC"/>
    <w:tbl>
      <w:tblPr>
        <w:tblStyle w:val="TableGrid"/>
        <w:tblW w:w="0" w:type="auto"/>
        <w:tblLook w:val="04A0" w:firstRow="1" w:lastRow="0" w:firstColumn="1" w:lastColumn="0" w:noHBand="0" w:noVBand="1"/>
      </w:tblPr>
      <w:tblGrid>
        <w:gridCol w:w="844"/>
        <w:gridCol w:w="7922"/>
      </w:tblGrid>
      <w:tr w:rsidR="00D20E71" w14:paraId="1932CD33" w14:textId="77777777">
        <w:tc>
          <w:tcPr>
            <w:tcW w:w="844" w:type="dxa"/>
          </w:tcPr>
          <w:p w14:paraId="34D0DDB4" w14:textId="77777777" w:rsidR="00D20E71" w:rsidRPr="00A0667C" w:rsidRDefault="00D20E71">
            <w:pPr>
              <w:spacing w:before="240" w:after="240"/>
              <w:rPr>
                <w:b/>
                <w:szCs w:val="22"/>
              </w:rPr>
            </w:pPr>
            <w:r w:rsidRPr="00A0667C">
              <w:rPr>
                <w:noProof/>
                <w:shd w:val="clear" w:color="auto" w:fill="FFFFFF" w:themeFill="background1"/>
              </w:rPr>
              <w:drawing>
                <wp:inline distT="0" distB="0" distL="0" distR="0" wp14:anchorId="4CF6D3DA" wp14:editId="342A201F">
                  <wp:extent cx="383111" cy="381000"/>
                  <wp:effectExtent l="0" t="0" r="0" b="0"/>
                  <wp:docPr id="511142453" name="Picture 5111424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6F4DDD61" w14:textId="19743174" w:rsidR="00D20E71" w:rsidRPr="00D20E71" w:rsidRDefault="00D20E71" w:rsidP="00DE77C5">
            <w:pPr>
              <w:spacing w:before="240" w:after="240"/>
              <w:rPr>
                <w:szCs w:val="22"/>
              </w:rPr>
            </w:pPr>
            <w:r>
              <w:rPr>
                <w:szCs w:val="22"/>
              </w:rPr>
              <w:t xml:space="preserve">See Appendix </w:t>
            </w:r>
            <w:r w:rsidR="00F701EA">
              <w:rPr>
                <w:szCs w:val="22"/>
              </w:rPr>
              <w:t>H for case studies of individuals experiencing homelessness or at risk of homelessness.</w:t>
            </w:r>
          </w:p>
        </w:tc>
      </w:tr>
    </w:tbl>
    <w:p w14:paraId="282874B0" w14:textId="243EA7E1" w:rsidR="00A66259" w:rsidRPr="00C503DE" w:rsidRDefault="00A66259" w:rsidP="00C56CEC">
      <w:pPr>
        <w:pStyle w:val="H3"/>
      </w:pPr>
      <w:r w:rsidRPr="00C503DE">
        <w:t>Informing the eligible younger person of other services</w:t>
      </w:r>
    </w:p>
    <w:p w14:paraId="390B9236" w14:textId="10299811" w:rsidR="00A66259" w:rsidRPr="00861722" w:rsidRDefault="004B20C5" w:rsidP="00A677C9">
      <w:pPr>
        <w:spacing w:before="240" w:after="240" w:line="240" w:lineRule="auto"/>
      </w:pPr>
      <w:r>
        <w:t>I</w:t>
      </w:r>
      <w:r w:rsidR="00A66259" w:rsidRPr="00861722">
        <w:t xml:space="preserve">f the individual is under the age of 65 and falls into one or more of the </w:t>
      </w:r>
      <w:r w:rsidR="00A66259">
        <w:t>eligible</w:t>
      </w:r>
      <w:r w:rsidR="00A66259" w:rsidRPr="00861722">
        <w:t xml:space="preserve"> cohorts, they must</w:t>
      </w:r>
      <w:r w:rsidR="001B6906">
        <w:t xml:space="preserve"> </w:t>
      </w:r>
      <w:r w:rsidR="00A66259" w:rsidRPr="00861722">
        <w:t xml:space="preserve">inform </w:t>
      </w:r>
      <w:r w:rsidR="008D0D66">
        <w:t xml:space="preserve">the eligible younger person </w:t>
      </w:r>
      <w:r w:rsidR="00A66259" w:rsidRPr="00861722">
        <w:t xml:space="preserve">of other services that may be available to meet their care </w:t>
      </w:r>
      <w:r w:rsidR="00EF7F78" w:rsidRPr="00861722">
        <w:t>needs</w:t>
      </w:r>
      <w:r w:rsidR="00EF7F78">
        <w:t>,</w:t>
      </w:r>
      <w:r w:rsidR="00EF7F78" w:rsidRPr="00861722">
        <w:t xml:space="preserve"> noting</w:t>
      </w:r>
      <w:r w:rsidR="00A66259" w:rsidRPr="00861722">
        <w:t xml:space="preserve"> that it is not a requirement for a person under the age of 65 to take up other services in place of aged care services.</w:t>
      </w:r>
    </w:p>
    <w:p w14:paraId="530ECCAF" w14:textId="77777777" w:rsidR="000E0B6C" w:rsidRPr="000027E3" w:rsidRDefault="001B6906" w:rsidP="00C325C6">
      <w:pPr>
        <w:pStyle w:val="Sub-headings"/>
      </w:pPr>
      <w:r w:rsidRPr="00904192">
        <w:t>Note</w:t>
      </w:r>
      <w:r w:rsidRPr="000027E3">
        <w:t xml:space="preserve">: </w:t>
      </w:r>
    </w:p>
    <w:p w14:paraId="6E0CFE79" w14:textId="79544FF7" w:rsidR="001B6906" w:rsidRDefault="000E0B6C" w:rsidP="00C325C6">
      <w:pPr>
        <w:pStyle w:val="Sub-headings"/>
      </w:pPr>
      <w:r>
        <w:t>E</w:t>
      </w:r>
      <w:r w:rsidR="001B6906">
        <w:t xml:space="preserve">ligible younger people who have been referred via the My Aged Care contact centre would have been informed of other services prior to </w:t>
      </w:r>
      <w:r w:rsidR="007B273E">
        <w:t xml:space="preserve">agreeing to be referred for an assessment. </w:t>
      </w:r>
      <w:r w:rsidR="001B6906">
        <w:t xml:space="preserve">Triage Delegates should check the older person’s record to confirm whether </w:t>
      </w:r>
      <w:r w:rsidR="00FA56A4">
        <w:t>they</w:t>
      </w:r>
      <w:r w:rsidR="001B6906">
        <w:t xml:space="preserve"> have been advised of other services at the </w:t>
      </w:r>
      <w:r w:rsidR="006815F1">
        <w:t>c</w:t>
      </w:r>
      <w:r w:rsidR="001B6906">
        <w:t xml:space="preserve">ontact </w:t>
      </w:r>
      <w:r w:rsidR="006815F1">
        <w:t>c</w:t>
      </w:r>
      <w:r w:rsidR="001B6906">
        <w:t xml:space="preserve">entre screening stage. </w:t>
      </w:r>
    </w:p>
    <w:p w14:paraId="485E3441" w14:textId="5C1EE8B0" w:rsidR="00974DBF" w:rsidRPr="00E356D5" w:rsidRDefault="00974DBF" w:rsidP="00974DBF">
      <w:pPr>
        <w:spacing w:before="240" w:after="240" w:line="240" w:lineRule="auto"/>
      </w:pPr>
      <w:r w:rsidRPr="00E356D5">
        <w:t>If the</w:t>
      </w:r>
      <w:r>
        <w:t xml:space="preserve"> older</w:t>
      </w:r>
      <w:r w:rsidRPr="00E356D5">
        <w:t xml:space="preserve"> person advises that they do not wish to explore other options, proceed with </w:t>
      </w:r>
      <w:r w:rsidR="002B2BE7">
        <w:t>triage</w:t>
      </w:r>
      <w:r w:rsidR="002B2BE7" w:rsidRPr="00E356D5">
        <w:t xml:space="preserve"> </w:t>
      </w:r>
      <w:r w:rsidRPr="00E356D5">
        <w:t>as usual.</w:t>
      </w:r>
    </w:p>
    <w:p w14:paraId="19C1B433" w14:textId="299B8420" w:rsidR="00A66259" w:rsidRDefault="00974DBF" w:rsidP="00A677C9">
      <w:pPr>
        <w:keepNext/>
        <w:spacing w:before="240" w:after="240" w:line="240" w:lineRule="auto"/>
      </w:pPr>
      <w:r w:rsidRPr="00E356D5">
        <w:t xml:space="preserve">If they indicate they would like the opportunity to explore alternative support options, </w:t>
      </w:r>
      <w:r>
        <w:t xml:space="preserve">they can be referred to the services list below at </w:t>
      </w:r>
      <w:r w:rsidRPr="001F73BA">
        <w:rPr>
          <w:i/>
          <w:iCs/>
        </w:rPr>
        <w:t xml:space="preserve">Figure </w:t>
      </w:r>
      <w:r w:rsidR="00DE6378">
        <w:rPr>
          <w:i/>
          <w:iCs/>
        </w:rPr>
        <w:t>3</w:t>
      </w:r>
      <w:r>
        <w:t xml:space="preserve">, where applicable and relevant to their local area. </w:t>
      </w:r>
      <w:r w:rsidRPr="00E356D5">
        <w:t xml:space="preserve">If they choose to pursue this pathway and do not want to be referred to an assessment organisation, </w:t>
      </w:r>
      <w:r w:rsidR="00D63ECB">
        <w:t>triage</w:t>
      </w:r>
      <w:r w:rsidR="00D63ECB" w:rsidRPr="00E356D5">
        <w:t xml:space="preserve"> </w:t>
      </w:r>
      <w:r w:rsidRPr="00E356D5">
        <w:t xml:space="preserve">should not </w:t>
      </w:r>
      <w:r w:rsidR="00EF7F78">
        <w:t>continue,</w:t>
      </w:r>
      <w:r>
        <w:t xml:space="preserve"> and the assessment can be cancelled</w:t>
      </w:r>
      <w:r w:rsidRPr="00E356D5">
        <w:t>.</w:t>
      </w:r>
      <w:r>
        <w:t xml:space="preserve"> A Notice of Decision does not need to be issued as the application has been withdrawn.</w:t>
      </w:r>
      <w:r w:rsidR="00A66259">
        <w:rPr>
          <w:noProof/>
          <w14:ligatures w14:val="standardContextual"/>
        </w:rPr>
        <w:drawing>
          <wp:inline distT="0" distB="0" distL="0" distR="0" wp14:anchorId="7DC320CC" wp14:editId="1FD20C82">
            <wp:extent cx="5731510" cy="3086100"/>
            <wp:effectExtent l="0" t="0" r="2540" b="0"/>
            <wp:docPr id="1672976007" name="Picture 1672976007" descr="Overview of alternative support options available for individuals under 65 years. List provided for Aboriginal and/or Torres Strait Islander people and individuals who are homeless or at risk of homeless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76007" name="Picture 1672976007" descr="Overview of alternative support options available for individuals under 65 years. List provided for Aboriginal and/or Torres Strait Islander people and individuals who are homeless or at risk of homelessness. "/>
                    <pic:cNvPicPr/>
                  </pic:nvPicPr>
                  <pic:blipFill>
                    <a:blip r:embed="rId127"/>
                    <a:stretch>
                      <a:fillRect/>
                    </a:stretch>
                  </pic:blipFill>
                  <pic:spPr>
                    <a:xfrm>
                      <a:off x="0" y="0"/>
                      <a:ext cx="5731510" cy="3086100"/>
                    </a:xfrm>
                    <a:prstGeom prst="rect">
                      <a:avLst/>
                    </a:prstGeom>
                  </pic:spPr>
                </pic:pic>
              </a:graphicData>
            </a:graphic>
          </wp:inline>
        </w:drawing>
      </w:r>
    </w:p>
    <w:p w14:paraId="46643847" w14:textId="3EB22943" w:rsidR="005B5B2C" w:rsidRPr="000E0B6C" w:rsidRDefault="00A66259" w:rsidP="000E0B6C">
      <w:pPr>
        <w:pStyle w:val="Caption"/>
        <w:spacing w:before="240" w:after="240"/>
        <w:rPr>
          <w:i/>
          <w:sz w:val="18"/>
          <w:szCs w:val="14"/>
        </w:rPr>
      </w:pPr>
      <w:r w:rsidRPr="001F73BA">
        <w:rPr>
          <w:b w:val="0"/>
          <w:bCs/>
          <w:i/>
          <w:iCs w:val="0"/>
          <w:sz w:val="18"/>
          <w:szCs w:val="14"/>
        </w:rPr>
        <w:t xml:space="preserve">Figure </w:t>
      </w:r>
      <w:r w:rsidR="00DE6378">
        <w:rPr>
          <w:b w:val="0"/>
          <w:bCs/>
          <w:i/>
          <w:iCs w:val="0"/>
          <w:sz w:val="18"/>
          <w:szCs w:val="14"/>
        </w:rPr>
        <w:t>3</w:t>
      </w:r>
      <w:r>
        <w:rPr>
          <w:b w:val="0"/>
          <w:bCs/>
          <w:i/>
          <w:iCs w:val="0"/>
          <w:sz w:val="18"/>
          <w:szCs w:val="14"/>
        </w:rPr>
        <w:t xml:space="preserve"> – list of alternative options for the eligible younger person to consider</w:t>
      </w:r>
    </w:p>
    <w:p w14:paraId="5ACC2991" w14:textId="0113A522" w:rsidR="007A743C" w:rsidRDefault="007A743C" w:rsidP="00507F9D">
      <w:pPr>
        <w:pStyle w:val="h2"/>
      </w:pPr>
      <w:bookmarkStart w:id="353" w:name="_Toc204329546"/>
      <w:bookmarkStart w:id="354" w:name="_Toc209188981"/>
      <w:bookmarkStart w:id="355" w:name="_Toc224916642"/>
      <w:r>
        <w:t xml:space="preserve">Conducting </w:t>
      </w:r>
      <w:r w:rsidR="00CD761C">
        <w:t>t</w:t>
      </w:r>
      <w:r>
        <w:t>riage</w:t>
      </w:r>
      <w:bookmarkEnd w:id="353"/>
      <w:bookmarkEnd w:id="354"/>
      <w:bookmarkEnd w:id="355"/>
    </w:p>
    <w:p w14:paraId="7838D25F" w14:textId="77777777" w:rsidR="00A27171" w:rsidRPr="00C548FC" w:rsidRDefault="00A27171" w:rsidP="00C548FC">
      <w:pPr>
        <w:pStyle w:val="Boxwithcolouredkeyline"/>
        <w:shd w:val="clear" w:color="auto" w:fill="F2F2F2" w:themeFill="background1" w:themeFillShade="F2"/>
        <w:rPr>
          <w:b/>
          <w:bCs/>
        </w:rPr>
      </w:pPr>
      <w:r w:rsidRPr="00C548FC">
        <w:rPr>
          <w:b/>
          <w:bCs/>
        </w:rPr>
        <w:t>Note</w:t>
      </w:r>
    </w:p>
    <w:p w14:paraId="448378D6" w14:textId="1F7F2B2F" w:rsidR="003D3768" w:rsidRDefault="00FA20A4" w:rsidP="00C548FC">
      <w:pPr>
        <w:pStyle w:val="Boxwithcolouredkeyline"/>
        <w:shd w:val="clear" w:color="auto" w:fill="F2F2F2" w:themeFill="background1" w:themeFillShade="F2"/>
      </w:pPr>
      <w:r>
        <w:t xml:space="preserve">Only appropriately qualified and certified assessment staff </w:t>
      </w:r>
      <w:r w:rsidR="00AC1DCD">
        <w:t>can hold the triage delegate role and undertake triage</w:t>
      </w:r>
      <w:r w:rsidR="00954210">
        <w:t xml:space="preserve">. Please refer to </w:t>
      </w:r>
      <w:r w:rsidR="00954210" w:rsidRPr="00C548FC">
        <w:rPr>
          <w:i/>
          <w:iCs/>
        </w:rPr>
        <w:t>training</w:t>
      </w:r>
      <w:r w:rsidR="00DE14E6" w:rsidRPr="00C548FC">
        <w:rPr>
          <w:i/>
          <w:iCs/>
        </w:rPr>
        <w:t xml:space="preserve"> requirements f</w:t>
      </w:r>
      <w:r w:rsidR="00540726" w:rsidRPr="00C548FC">
        <w:rPr>
          <w:i/>
          <w:iCs/>
        </w:rPr>
        <w:t>or assessment teams</w:t>
      </w:r>
      <w:r w:rsidR="00540726">
        <w:t xml:space="preserve"> in Chapter 2 and </w:t>
      </w:r>
      <w:r w:rsidR="006C3484" w:rsidRPr="00C548FC">
        <w:rPr>
          <w:i/>
          <w:iCs/>
        </w:rPr>
        <w:t xml:space="preserve">Aged </w:t>
      </w:r>
      <w:r w:rsidR="00E91880" w:rsidRPr="00C548FC">
        <w:rPr>
          <w:i/>
          <w:iCs/>
        </w:rPr>
        <w:t>c</w:t>
      </w:r>
      <w:r w:rsidR="006C3484" w:rsidRPr="00C548FC">
        <w:rPr>
          <w:i/>
          <w:iCs/>
        </w:rPr>
        <w:t>are</w:t>
      </w:r>
      <w:r w:rsidR="00E91880" w:rsidRPr="00C548FC">
        <w:rPr>
          <w:i/>
          <w:iCs/>
        </w:rPr>
        <w:t xml:space="preserve"> assessment</w:t>
      </w:r>
      <w:r w:rsidR="006C3484" w:rsidRPr="00C548FC">
        <w:rPr>
          <w:i/>
          <w:iCs/>
        </w:rPr>
        <w:t xml:space="preserve"> workforce </w:t>
      </w:r>
      <w:r w:rsidR="00A27171" w:rsidRPr="00C548FC">
        <w:rPr>
          <w:i/>
          <w:iCs/>
        </w:rPr>
        <w:t>minimum qualification requirements</w:t>
      </w:r>
      <w:r w:rsidR="006C3484">
        <w:t xml:space="preserve"> in Appendix </w:t>
      </w:r>
      <w:r w:rsidR="006F4C0F">
        <w:t>F</w:t>
      </w:r>
      <w:r w:rsidR="00AC1DCD" w:rsidRPr="00DE14E6">
        <w:t xml:space="preserve"> </w:t>
      </w:r>
    </w:p>
    <w:p w14:paraId="65638D5E" w14:textId="77777777" w:rsidR="007A743C" w:rsidRDefault="007A743C" w:rsidP="00A677C9">
      <w:pPr>
        <w:spacing w:before="240" w:after="240" w:line="240" w:lineRule="auto"/>
      </w:pPr>
      <w:r>
        <w:t xml:space="preserve">Prior to calling the older person to conduct triage, Triage Delegates should: </w:t>
      </w:r>
    </w:p>
    <w:p w14:paraId="37334C5B" w14:textId="77777777" w:rsidR="007A743C" w:rsidRDefault="007A743C" w:rsidP="00DF3F6B">
      <w:pPr>
        <w:pStyle w:val="ListParagraph"/>
        <w:numPr>
          <w:ilvl w:val="0"/>
          <w:numId w:val="82"/>
        </w:numPr>
        <w:spacing w:before="240" w:after="240" w:line="240" w:lineRule="auto"/>
        <w:ind w:left="567" w:hanging="283"/>
        <w:rPr>
          <w:lang w:val="en-US"/>
        </w:rPr>
      </w:pPr>
      <w:r>
        <w:rPr>
          <w:lang w:val="en-US"/>
        </w:rPr>
        <w:t>R</w:t>
      </w:r>
      <w:r w:rsidRPr="080B28F1">
        <w:rPr>
          <w:lang w:val="en-US"/>
        </w:rPr>
        <w:t xml:space="preserve">eview the older person’s My Aged Care </w:t>
      </w:r>
      <w:r w:rsidRPr="017FF414">
        <w:rPr>
          <w:lang w:val="en-US"/>
        </w:rPr>
        <w:t>record</w:t>
      </w:r>
    </w:p>
    <w:p w14:paraId="4605068A" w14:textId="77777777" w:rsidR="007A743C" w:rsidRDefault="007A743C" w:rsidP="00DF3F6B">
      <w:pPr>
        <w:pStyle w:val="ListParagraph"/>
        <w:numPr>
          <w:ilvl w:val="0"/>
          <w:numId w:val="82"/>
        </w:numPr>
        <w:spacing w:before="240" w:after="240" w:line="240" w:lineRule="auto"/>
        <w:ind w:left="567" w:hanging="283"/>
        <w:rPr>
          <w:lang w:val="en-US"/>
        </w:rPr>
      </w:pPr>
      <w:r>
        <w:rPr>
          <w:lang w:val="en-US"/>
        </w:rPr>
        <w:t>N</w:t>
      </w:r>
      <w:r w:rsidRPr="00E64F5C">
        <w:rPr>
          <w:lang w:val="en-US"/>
        </w:rPr>
        <w:t xml:space="preserve">ote the </w:t>
      </w:r>
      <w:r>
        <w:rPr>
          <w:lang w:val="en-US"/>
        </w:rPr>
        <w:t>older person’</w:t>
      </w:r>
      <w:r w:rsidRPr="00E64F5C">
        <w:rPr>
          <w:lang w:val="en-US"/>
        </w:rPr>
        <w:t>s preferences, choices, any additional needs and communication preferences that will need to be accommodated during the assessment process (e.g. when a hearing impairment is identified or an interpreter is required)</w:t>
      </w:r>
    </w:p>
    <w:p w14:paraId="49D8C0E9" w14:textId="23E3F11A" w:rsidR="007A743C" w:rsidRDefault="007A743C" w:rsidP="00DF3F6B">
      <w:pPr>
        <w:pStyle w:val="ListParagraph"/>
        <w:numPr>
          <w:ilvl w:val="0"/>
          <w:numId w:val="82"/>
        </w:numPr>
        <w:spacing w:before="240" w:after="240" w:line="240" w:lineRule="auto"/>
        <w:ind w:left="567" w:hanging="283"/>
        <w:rPr>
          <w:rFonts w:eastAsia="Arial"/>
        </w:rPr>
      </w:pPr>
      <w:r>
        <w:rPr>
          <w:lang w:val="en-US"/>
        </w:rPr>
        <w:t xml:space="preserve">Note that information will be pre-populated from screening. In some circumstances, if an older person was previously found ineligible, then later is eligible, the screening information cannot be changed. </w:t>
      </w:r>
      <w:r w:rsidR="00404035">
        <w:rPr>
          <w:lang w:val="en-US"/>
        </w:rPr>
        <w:t>T</w:t>
      </w:r>
      <w:r>
        <w:rPr>
          <w:lang w:val="en-US"/>
        </w:rPr>
        <w:t>he ‘likely ineligible’ flag will be unticked however screening information will not be able to be updated</w:t>
      </w:r>
    </w:p>
    <w:p w14:paraId="1B6D9040" w14:textId="16A7FC5B" w:rsidR="007A743C" w:rsidRDefault="007A743C" w:rsidP="00DF3F6B">
      <w:pPr>
        <w:pStyle w:val="ListParagraph"/>
        <w:numPr>
          <w:ilvl w:val="0"/>
          <w:numId w:val="82"/>
        </w:numPr>
        <w:spacing w:before="240" w:after="240" w:line="240" w:lineRule="auto"/>
        <w:ind w:left="567" w:hanging="283"/>
        <w:rPr>
          <w:lang w:val="en-US"/>
        </w:rPr>
      </w:pPr>
      <w:r>
        <w:rPr>
          <w:lang w:val="en-US"/>
        </w:rPr>
        <w:t>Where the older person has nominated a primary contact, and the triage delegate is satisfied that the older person nominated this person to be contacted in place of the older person in all instances</w:t>
      </w:r>
      <w:r w:rsidR="00DC76F1">
        <w:rPr>
          <w:lang w:val="en-US"/>
        </w:rPr>
        <w:t xml:space="preserve"> (or the primary contact has nominated themselves because they are an appointed decision maker for assessment matters)</w:t>
      </w:r>
      <w:r>
        <w:rPr>
          <w:lang w:val="en-US"/>
        </w:rPr>
        <w:t xml:space="preserve">, the triage delegate can contact the nominated primary contact in the first instance. This may be to inform the primary contact that the delegate is seeking to conduct triage, what triage would involve, and to ask the primary contact to discuss the process with the older person. </w:t>
      </w:r>
      <w:r w:rsidRPr="00335992">
        <w:rPr>
          <w:lang w:val="en-US"/>
        </w:rPr>
        <w:t>An older person is encouraged to be present for triage, but this is not necessary if the primary contact either</w:t>
      </w:r>
      <w:r>
        <w:rPr>
          <w:lang w:val="en-US"/>
        </w:rPr>
        <w:t>:</w:t>
      </w:r>
    </w:p>
    <w:p w14:paraId="5543A66A" w14:textId="77777777" w:rsidR="007A743C" w:rsidRDefault="007A743C" w:rsidP="00DF3F6B">
      <w:pPr>
        <w:pStyle w:val="ListParagraph"/>
        <w:numPr>
          <w:ilvl w:val="1"/>
          <w:numId w:val="82"/>
        </w:numPr>
        <w:spacing w:before="240" w:after="240" w:line="240" w:lineRule="auto"/>
        <w:rPr>
          <w:lang w:val="en-US"/>
        </w:rPr>
      </w:pPr>
      <w:r>
        <w:rPr>
          <w:lang w:val="en-US"/>
        </w:rPr>
        <w:t xml:space="preserve">can communicate information for the older person, including in their capacity as an agent or a registered supporter, or </w:t>
      </w:r>
    </w:p>
    <w:p w14:paraId="1F540F12" w14:textId="77777777" w:rsidR="007A743C" w:rsidRPr="00F64AF1" w:rsidRDefault="007A743C" w:rsidP="00DF3F6B">
      <w:pPr>
        <w:pStyle w:val="ListParagraph"/>
        <w:numPr>
          <w:ilvl w:val="1"/>
          <w:numId w:val="82"/>
        </w:numPr>
        <w:spacing w:before="240" w:after="240" w:line="240" w:lineRule="auto"/>
        <w:rPr>
          <w:lang w:val="en-US"/>
        </w:rPr>
      </w:pPr>
      <w:r>
        <w:rPr>
          <w:lang w:val="en-US"/>
        </w:rPr>
        <w:t xml:space="preserve">is an active, appointed decision maker for the older person and has legal authority to make decisions relevant to triage on behalf of the older person. </w:t>
      </w:r>
    </w:p>
    <w:p w14:paraId="69D50DB6" w14:textId="77777777" w:rsidR="007B371F" w:rsidRDefault="00D46F27" w:rsidP="00DF3F6B">
      <w:pPr>
        <w:pStyle w:val="ListParagraph"/>
        <w:numPr>
          <w:ilvl w:val="0"/>
          <w:numId w:val="82"/>
        </w:numPr>
        <w:spacing w:before="240" w:after="240" w:line="240" w:lineRule="auto"/>
        <w:rPr>
          <w:lang w:val="en-US"/>
        </w:rPr>
      </w:pPr>
      <w:r>
        <w:rPr>
          <w:lang w:val="en-AU"/>
        </w:rPr>
        <w:t>If the triage delegate is</w:t>
      </w:r>
      <w:r w:rsidR="00F65DFE" w:rsidRPr="00E25071">
        <w:rPr>
          <w:lang w:val="en-AU"/>
        </w:rPr>
        <w:t xml:space="preserve"> contacting the older person’s appointed decision maker, the triage delegate </w:t>
      </w:r>
      <w:r w:rsidR="00F65DFE" w:rsidRPr="00E25071">
        <w:rPr>
          <w:lang w:val="en-US"/>
        </w:rPr>
        <w:t>must ask them to confirm</w:t>
      </w:r>
      <w:r w:rsidR="007B371F">
        <w:rPr>
          <w:lang w:val="en-US"/>
        </w:rPr>
        <w:t xml:space="preserve">: </w:t>
      </w:r>
    </w:p>
    <w:p w14:paraId="6BACB1AB" w14:textId="77777777" w:rsidR="007B371F" w:rsidRPr="00DB4ADA" w:rsidRDefault="00F65DFE" w:rsidP="00DF3F6B">
      <w:pPr>
        <w:pStyle w:val="ListParagraph"/>
        <w:numPr>
          <w:ilvl w:val="1"/>
          <w:numId w:val="82"/>
        </w:numPr>
        <w:spacing w:before="240" w:after="240" w:line="240" w:lineRule="auto"/>
        <w:rPr>
          <w:lang w:val="en-US"/>
        </w:rPr>
      </w:pPr>
      <w:r w:rsidRPr="00E25071">
        <w:rPr>
          <w:lang w:val="en-US"/>
        </w:rPr>
        <w:t>that they are acting in line with their legal authority to make decisions for the client (mandatory), and</w:t>
      </w:r>
      <w:r w:rsidRPr="00E25071">
        <w:rPr>
          <w:lang w:val="en-AU"/>
        </w:rPr>
        <w:t xml:space="preserve"> </w:t>
      </w:r>
    </w:p>
    <w:p w14:paraId="3DB4F65C" w14:textId="746AD63B" w:rsidR="00F65DFE" w:rsidRPr="00F65DFE" w:rsidRDefault="00F65DFE" w:rsidP="00DF3F6B">
      <w:pPr>
        <w:pStyle w:val="ListParagraph"/>
        <w:numPr>
          <w:ilvl w:val="1"/>
          <w:numId w:val="82"/>
        </w:numPr>
        <w:spacing w:before="240" w:after="240" w:line="240" w:lineRule="auto"/>
        <w:rPr>
          <w:lang w:val="en-US"/>
        </w:rPr>
      </w:pPr>
      <w:r>
        <w:rPr>
          <w:lang w:val="en-AU"/>
        </w:rPr>
        <w:t xml:space="preserve">if </w:t>
      </w:r>
      <w:r w:rsidRPr="00E25071">
        <w:rPr>
          <w:lang w:val="en-US"/>
        </w:rPr>
        <w:t xml:space="preserve">they have talked to the client about </w:t>
      </w:r>
      <w:r>
        <w:rPr>
          <w:lang w:val="en-US"/>
        </w:rPr>
        <w:t xml:space="preserve">the triage and what </w:t>
      </w:r>
      <w:r w:rsidR="007B371F">
        <w:rPr>
          <w:lang w:val="en-US"/>
        </w:rPr>
        <w:t>it</w:t>
      </w:r>
      <w:r>
        <w:rPr>
          <w:lang w:val="en-US"/>
        </w:rPr>
        <w:t xml:space="preserve"> may involve</w:t>
      </w:r>
      <w:r w:rsidR="007B371F">
        <w:rPr>
          <w:lang w:val="en-US"/>
        </w:rPr>
        <w:t xml:space="preserve"> (not mandatory, but this is in line with the principles of supported decision-making)</w:t>
      </w:r>
      <w:r w:rsidR="00B23AB0">
        <w:rPr>
          <w:lang w:val="en-US"/>
        </w:rPr>
        <w:t xml:space="preserve">. </w:t>
      </w:r>
    </w:p>
    <w:p w14:paraId="3125EEA7" w14:textId="77777777" w:rsidR="000E0B6C" w:rsidRPr="000027E3" w:rsidRDefault="000E0B6C" w:rsidP="00C325C6">
      <w:pPr>
        <w:pStyle w:val="Sub-headings"/>
      </w:pPr>
      <w:r w:rsidRPr="00904192">
        <w:t>Note</w:t>
      </w:r>
      <w:r w:rsidRPr="000027E3">
        <w:t>:</w:t>
      </w:r>
    </w:p>
    <w:p w14:paraId="76D2E1DA" w14:textId="58BDEAF7" w:rsidR="007A743C" w:rsidRPr="00745D8A" w:rsidRDefault="007A743C" w:rsidP="00C325C6">
      <w:pPr>
        <w:pStyle w:val="Sub-headings"/>
      </w:pPr>
      <w:r w:rsidRPr="005906C6">
        <w:t xml:space="preserve">Registered supporters must act only within the scope of their roles. For example, the role of a registered supporter is to support the older person to make and communicate their own decisions, acting in line with the will and preferences of the older person. Triage delegates should check that a registered supporter or agent is communicating information for the older person in line with their role, not making decisions on behalf of the older person. If in doubt, the triage delegate should contact the older person. </w:t>
      </w:r>
    </w:p>
    <w:p w14:paraId="4DAB3C4F" w14:textId="77777777" w:rsidR="00505DCE" w:rsidRDefault="007A743C" w:rsidP="00C325C6">
      <w:pPr>
        <w:pStyle w:val="Sub-headings"/>
      </w:pPr>
      <w:r w:rsidRPr="005906C6">
        <w:t xml:space="preserve">If an active, appointed decision maker (whether or not registered as a supporter), is making a decision on behalf of an older person, triage delegates must be satisfied that the appointed decision maker is acting in line with their legal authority under a Commonwealth, state or territory arrangement, and that the authority is relevant in the circumstances. </w:t>
      </w:r>
    </w:p>
    <w:p w14:paraId="154426C3" w14:textId="733E52BF" w:rsidR="00A139F2" w:rsidRDefault="001C7060" w:rsidP="00C325C6">
      <w:pPr>
        <w:pStyle w:val="Sub-headings"/>
      </w:pPr>
      <w:r>
        <w:t xml:space="preserve">Triage </w:t>
      </w:r>
      <w:r w:rsidR="0095167C">
        <w:t>D</w:t>
      </w:r>
      <w:r>
        <w:t xml:space="preserve">elegates should review the </w:t>
      </w:r>
      <w:r w:rsidR="0095167C">
        <w:t xml:space="preserve">proof an appointed decision maker has provided to the System Governor to support their authority. </w:t>
      </w:r>
      <w:r w:rsidR="007A743C" w:rsidRPr="005906C6">
        <w:t>A Triage Delegate</w:t>
      </w:r>
      <w:r>
        <w:t xml:space="preserve"> </w:t>
      </w:r>
      <w:r w:rsidRPr="00DB4ADA">
        <w:t>cannot</w:t>
      </w:r>
      <w:r w:rsidR="00EF7F78">
        <w:t xml:space="preserve"> </w:t>
      </w:r>
      <w:r w:rsidR="007A743C" w:rsidRPr="005906C6">
        <w:t xml:space="preserve">rely solely on a person’s registration </w:t>
      </w:r>
      <w:r w:rsidR="0095167C">
        <w:t xml:space="preserve">as a supporter </w:t>
      </w:r>
      <w:r w:rsidR="007A743C" w:rsidRPr="005906C6">
        <w:t>to assume their decision-making authority for aged care triage or assessment matters</w:t>
      </w:r>
      <w:r w:rsidR="00194095">
        <w:t xml:space="preserve"> or </w:t>
      </w:r>
      <w:r w:rsidR="00CF5341">
        <w:t xml:space="preserve">assume that simply because a person has a supporter guardian, the older person does not have decision-making capacity </w:t>
      </w:r>
      <w:r w:rsidR="0003398D">
        <w:t xml:space="preserve">for </w:t>
      </w:r>
      <w:r w:rsidR="0095167C">
        <w:t>some or</w:t>
      </w:r>
      <w:r w:rsidR="00CF5341">
        <w:t xml:space="preserve"> for all matters.</w:t>
      </w:r>
    </w:p>
    <w:p w14:paraId="132F70DE" w14:textId="351136C2" w:rsidR="007A743C" w:rsidRPr="00745D8A" w:rsidRDefault="007A743C" w:rsidP="00C325C6">
      <w:pPr>
        <w:pStyle w:val="Sub-headings"/>
      </w:pPr>
      <w:r w:rsidRPr="005906C6">
        <w:t>Triage Delegates should also inform the appointed decision maker that it is preferred, where possible, that the older person is present on the call.</w:t>
      </w:r>
    </w:p>
    <w:p w14:paraId="59EBB533" w14:textId="72309D0A" w:rsidR="00167C84" w:rsidRDefault="007A743C" w:rsidP="00C325C6">
      <w:pPr>
        <w:pStyle w:val="Sub-headings"/>
      </w:pPr>
      <w:r w:rsidRPr="005906C6">
        <w:t xml:space="preserve">If any information or documents must be shared with an older person during the triage process, </w:t>
      </w:r>
      <w:r w:rsidR="0095167C">
        <w:t>it</w:t>
      </w:r>
      <w:r w:rsidR="0095167C" w:rsidRPr="005906C6">
        <w:t xml:space="preserve"> </w:t>
      </w:r>
      <w:r w:rsidRPr="005906C6">
        <w:t xml:space="preserve">must </w:t>
      </w:r>
      <w:r w:rsidR="0095167C">
        <w:t xml:space="preserve">also </w:t>
      </w:r>
      <w:r w:rsidRPr="005906C6">
        <w:t xml:space="preserve">be shared with certain registered supporters </w:t>
      </w:r>
      <w:r w:rsidR="0095167C">
        <w:t>(supporters and supporter guardians)</w:t>
      </w:r>
      <w:r w:rsidRPr="005906C6">
        <w:t xml:space="preserve"> for an older person, in line with the Act</w:t>
      </w:r>
      <w:r w:rsidR="0095167C">
        <w:t xml:space="preserve"> (section 29).</w:t>
      </w:r>
      <w:r w:rsidR="00FB5825">
        <w:t xml:space="preserve"> Information cannot be automatically shared with an older person’s ‘supporter lite’.</w:t>
      </w:r>
    </w:p>
    <w:p w14:paraId="754F909A" w14:textId="43815BCE" w:rsidR="007A743C" w:rsidRPr="005B5FFA" w:rsidRDefault="007A743C" w:rsidP="00A677C9">
      <w:pPr>
        <w:spacing w:before="240" w:after="240" w:line="240" w:lineRule="auto"/>
        <w:rPr>
          <w:lang w:val="en-US"/>
        </w:rPr>
      </w:pPr>
      <w:r>
        <w:rPr>
          <w:lang w:val="en-US"/>
        </w:rPr>
        <w:t>Triage delegates</w:t>
      </w:r>
      <w:r w:rsidRPr="00F07091">
        <w:rPr>
          <w:lang w:val="en-US"/>
        </w:rPr>
        <w:t xml:space="preserve"> </w:t>
      </w:r>
      <w:r>
        <w:rPr>
          <w:lang w:val="en-US"/>
        </w:rPr>
        <w:t>must</w:t>
      </w:r>
      <w:r w:rsidRPr="00F07091">
        <w:rPr>
          <w:lang w:val="en-US"/>
        </w:rPr>
        <w:t xml:space="preserve"> consider a referral to </w:t>
      </w:r>
      <w:r w:rsidRPr="00F07091">
        <w:t xml:space="preserve">care finder </w:t>
      </w:r>
      <w:r>
        <w:t xml:space="preserve">services </w:t>
      </w:r>
      <w:r w:rsidRPr="00F07091">
        <w:t xml:space="preserve">for a vulnerable </w:t>
      </w:r>
      <w:r>
        <w:t>older person</w:t>
      </w:r>
      <w:r w:rsidRPr="00F07091">
        <w:t xml:space="preserve"> who does not have anybody who can support them. Information on care finder services is available at </w:t>
      </w:r>
      <w:r w:rsidR="00C61672" w:rsidRPr="00474881">
        <w:t>My Aged Care</w:t>
      </w:r>
      <w:r w:rsidRPr="72DC402E">
        <w:rPr>
          <w:lang w:val="en-US"/>
        </w:rPr>
        <w:t>.</w:t>
      </w:r>
      <w:r w:rsidR="004745D5">
        <w:rPr>
          <w:lang w:val="en-US"/>
        </w:rPr>
        <w:t xml:space="preserve"> </w:t>
      </w:r>
      <w:r w:rsidR="00AD0F68">
        <w:rPr>
          <w:lang w:val="en-US"/>
        </w:rPr>
        <w:t xml:space="preserve">For Aboriginal and Torres Strait Islander clients, the assessor may </w:t>
      </w:r>
      <w:r w:rsidR="009C6D38">
        <w:rPr>
          <w:lang w:val="en-US"/>
        </w:rPr>
        <w:t>also</w:t>
      </w:r>
      <w:r w:rsidR="00AD0F68">
        <w:rPr>
          <w:lang w:val="en-US"/>
        </w:rPr>
        <w:t xml:space="preserve"> connect the older person with an </w:t>
      </w:r>
      <w:r w:rsidR="00516D69">
        <w:rPr>
          <w:lang w:val="en-US"/>
        </w:rPr>
        <w:t xml:space="preserve">Elder Care Support worker to provide additional support </w:t>
      </w:r>
      <w:r w:rsidR="006A4584">
        <w:rPr>
          <w:lang w:val="en-US"/>
        </w:rPr>
        <w:t>to the older person.</w:t>
      </w:r>
      <w:r w:rsidR="00516D69">
        <w:rPr>
          <w:lang w:val="en-US"/>
        </w:rPr>
        <w:t xml:space="preserve"> </w:t>
      </w:r>
      <w:r>
        <w:br/>
      </w:r>
    </w:p>
    <w:tbl>
      <w:tblPr>
        <w:tblStyle w:val="TableGrid"/>
        <w:tblW w:w="0" w:type="auto"/>
        <w:tblLook w:val="04A0" w:firstRow="1" w:lastRow="0" w:firstColumn="1" w:lastColumn="0" w:noHBand="0" w:noVBand="1"/>
      </w:tblPr>
      <w:tblGrid>
        <w:gridCol w:w="844"/>
        <w:gridCol w:w="7922"/>
      </w:tblGrid>
      <w:tr w:rsidR="000749DD" w14:paraId="68C2352B" w14:textId="77777777">
        <w:tc>
          <w:tcPr>
            <w:tcW w:w="844" w:type="dxa"/>
          </w:tcPr>
          <w:p w14:paraId="532DC763" w14:textId="77777777" w:rsidR="000749DD" w:rsidRPr="00A0667C" w:rsidRDefault="000749DD">
            <w:pPr>
              <w:spacing w:before="240" w:after="240"/>
              <w:rPr>
                <w:b/>
                <w:szCs w:val="22"/>
              </w:rPr>
            </w:pPr>
            <w:r w:rsidRPr="00A0667C">
              <w:rPr>
                <w:noProof/>
                <w:shd w:val="clear" w:color="auto" w:fill="FFFFFF" w:themeFill="background1"/>
              </w:rPr>
              <w:drawing>
                <wp:inline distT="0" distB="0" distL="0" distR="0" wp14:anchorId="7D7EA149" wp14:editId="7DFE7895">
                  <wp:extent cx="383111" cy="381000"/>
                  <wp:effectExtent l="0" t="0" r="0" b="0"/>
                  <wp:docPr id="1299847525" name="Picture 12998475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17472297" w14:textId="77777777" w:rsidR="000749DD" w:rsidRPr="00FA3CFB" w:rsidRDefault="00C61672" w:rsidP="00DF3F6B">
            <w:pPr>
              <w:pStyle w:val="ListParagraph"/>
              <w:numPr>
                <w:ilvl w:val="0"/>
                <w:numId w:val="72"/>
              </w:numPr>
              <w:spacing w:before="240" w:after="240"/>
              <w:rPr>
                <w:szCs w:val="22"/>
              </w:rPr>
            </w:pPr>
            <w:hyperlink r:id="rId128" w:history="1">
              <w:r w:rsidRPr="00C61672">
                <w:rPr>
                  <w:rStyle w:val="Hyperlink"/>
                  <w:szCs w:val="22"/>
                </w:rPr>
                <w:t>Help from a care finder | My Aged Care</w:t>
              </w:r>
            </w:hyperlink>
          </w:p>
          <w:p w14:paraId="747933B9" w14:textId="309CDD37" w:rsidR="000749DD" w:rsidRPr="00C61672" w:rsidRDefault="00FA3CFB" w:rsidP="00DF3F6B">
            <w:pPr>
              <w:pStyle w:val="ListParagraph"/>
              <w:numPr>
                <w:ilvl w:val="0"/>
                <w:numId w:val="72"/>
              </w:numPr>
              <w:spacing w:before="240" w:after="240"/>
              <w:rPr>
                <w:szCs w:val="22"/>
              </w:rPr>
            </w:pPr>
            <w:hyperlink r:id="rId129" w:history="1">
              <w:r w:rsidRPr="00FA3CFB">
                <w:rPr>
                  <w:rStyle w:val="Hyperlink"/>
                  <w:szCs w:val="22"/>
                </w:rPr>
                <w:t>Elder Care Support program | My Aged Care</w:t>
              </w:r>
            </w:hyperlink>
          </w:p>
        </w:tc>
      </w:tr>
    </w:tbl>
    <w:p w14:paraId="756C7ED2" w14:textId="77777777" w:rsidR="000749DD" w:rsidRPr="005B5FFA" w:rsidRDefault="000749DD" w:rsidP="00A677C9">
      <w:pPr>
        <w:spacing w:before="240" w:after="240" w:line="240" w:lineRule="auto"/>
        <w:rPr>
          <w:lang w:val="en-US"/>
        </w:rPr>
      </w:pPr>
    </w:p>
    <w:p w14:paraId="086B5C82" w14:textId="77777777" w:rsidR="007A743C" w:rsidRPr="005906C6" w:rsidRDefault="007A743C" w:rsidP="00C56CEC">
      <w:pPr>
        <w:pStyle w:val="H3"/>
      </w:pPr>
      <w:bookmarkStart w:id="356" w:name="_Toc184026568"/>
      <w:bookmarkStart w:id="357" w:name="_Toc184402287"/>
      <w:r w:rsidRPr="005906C6">
        <w:t>Initial discussion</w:t>
      </w:r>
      <w:bookmarkEnd w:id="356"/>
      <w:bookmarkEnd w:id="357"/>
    </w:p>
    <w:p w14:paraId="19C8A4BF" w14:textId="77777777" w:rsidR="007A743C" w:rsidRDefault="007A743C" w:rsidP="00A677C9">
      <w:pPr>
        <w:spacing w:before="240" w:after="240" w:line="240" w:lineRule="auto"/>
      </w:pPr>
      <w:r>
        <w:t>When contacting the older person and/or nominated contact, triage delegates should:</w:t>
      </w:r>
    </w:p>
    <w:p w14:paraId="4164EBBC" w14:textId="08E5E783" w:rsidR="007A743C" w:rsidRPr="005E4581" w:rsidRDefault="007A743C" w:rsidP="00DF3F6B">
      <w:pPr>
        <w:pStyle w:val="ListParagraph"/>
        <w:numPr>
          <w:ilvl w:val="0"/>
          <w:numId w:val="82"/>
        </w:numPr>
        <w:spacing w:before="240" w:after="240" w:line="240" w:lineRule="auto"/>
        <w:ind w:left="567" w:hanging="283"/>
        <w:rPr>
          <w:lang w:val="en-US"/>
        </w:rPr>
      </w:pPr>
      <w:r w:rsidRPr="78E43FD9">
        <w:rPr>
          <w:lang w:val="en-US"/>
        </w:rPr>
        <w:t xml:space="preserve">Identify who </w:t>
      </w:r>
      <w:r w:rsidR="00D46738">
        <w:rPr>
          <w:lang w:val="en-US"/>
        </w:rPr>
        <w:t>they</w:t>
      </w:r>
      <w:r w:rsidR="00D46738" w:rsidRPr="78E43FD9">
        <w:rPr>
          <w:lang w:val="en-US"/>
        </w:rPr>
        <w:t xml:space="preserve"> </w:t>
      </w:r>
      <w:r w:rsidRPr="78E43FD9">
        <w:rPr>
          <w:lang w:val="en-US"/>
        </w:rPr>
        <w:t xml:space="preserve">are and the organisation </w:t>
      </w:r>
      <w:r w:rsidR="00621812">
        <w:rPr>
          <w:lang w:val="en-US"/>
        </w:rPr>
        <w:t>they</w:t>
      </w:r>
      <w:r w:rsidR="00621812" w:rsidRPr="78E43FD9">
        <w:rPr>
          <w:lang w:val="en-US"/>
        </w:rPr>
        <w:t xml:space="preserve"> </w:t>
      </w:r>
      <w:r w:rsidRPr="78E43FD9">
        <w:rPr>
          <w:lang w:val="en-US"/>
        </w:rPr>
        <w:t xml:space="preserve">are from and confirm that they </w:t>
      </w:r>
      <w:r w:rsidRPr="005E4581">
        <w:rPr>
          <w:lang w:val="en-US"/>
        </w:rPr>
        <w:t>have 15 to 20 minutes to discuss their assessment request.</w:t>
      </w:r>
    </w:p>
    <w:p w14:paraId="57B4558D" w14:textId="3FBE6E66" w:rsidR="007A743C" w:rsidRPr="005E4581" w:rsidRDefault="007A743C" w:rsidP="00DF3F6B">
      <w:pPr>
        <w:pStyle w:val="ListParagraph"/>
        <w:numPr>
          <w:ilvl w:val="0"/>
          <w:numId w:val="82"/>
        </w:numPr>
        <w:spacing w:before="240" w:after="240" w:line="240" w:lineRule="auto"/>
        <w:ind w:left="567" w:hanging="283"/>
        <w:rPr>
          <w:lang w:val="en-US"/>
        </w:rPr>
      </w:pPr>
      <w:r>
        <w:rPr>
          <w:rFonts w:eastAsia="Times New Roman"/>
          <w:lang w:val="en-AU"/>
        </w:rPr>
        <w:t>Complete an identity check and confirm</w:t>
      </w:r>
      <w:r w:rsidRPr="005E4581">
        <w:rPr>
          <w:rFonts w:eastAsia="Times New Roman"/>
          <w:lang w:val="en-AU"/>
        </w:rPr>
        <w:t xml:space="preserve"> whether there is anyone else with </w:t>
      </w:r>
      <w:r>
        <w:rPr>
          <w:rFonts w:eastAsia="Times New Roman"/>
          <w:lang w:val="en-AU"/>
        </w:rPr>
        <w:t>the older person</w:t>
      </w:r>
      <w:r w:rsidRPr="005E4581">
        <w:rPr>
          <w:rFonts w:eastAsia="Times New Roman"/>
          <w:lang w:val="en-AU"/>
        </w:rPr>
        <w:t xml:space="preserve"> at the time</w:t>
      </w:r>
      <w:r>
        <w:rPr>
          <w:rFonts w:eastAsia="Times New Roman"/>
          <w:lang w:val="en-AU"/>
        </w:rPr>
        <w:t xml:space="preserve"> (e.g., registered supporters</w:t>
      </w:r>
      <w:r w:rsidR="005B71E3">
        <w:rPr>
          <w:rFonts w:eastAsia="Times New Roman"/>
          <w:lang w:val="en-AU"/>
        </w:rPr>
        <w:t>, family members</w:t>
      </w:r>
      <w:r>
        <w:rPr>
          <w:rFonts w:eastAsia="Times New Roman"/>
          <w:lang w:val="en-AU"/>
        </w:rPr>
        <w:t xml:space="preserve">). </w:t>
      </w:r>
      <w:r>
        <w:rPr>
          <w:rFonts w:eastAsia="Times New Roman"/>
        </w:rPr>
        <w:t>I</w:t>
      </w:r>
      <w:r w:rsidRPr="00B14C22">
        <w:rPr>
          <w:rFonts w:eastAsia="Times New Roman"/>
        </w:rPr>
        <w:t>f they do not have anyone with them and would like someone with them</w:t>
      </w:r>
      <w:r>
        <w:rPr>
          <w:rFonts w:eastAsia="Times New Roman"/>
        </w:rPr>
        <w:t xml:space="preserve">, </w:t>
      </w:r>
      <w:r w:rsidRPr="00B14C22">
        <w:rPr>
          <w:rFonts w:eastAsia="Times New Roman"/>
        </w:rPr>
        <w:t>call back at a more suitable time.</w:t>
      </w:r>
    </w:p>
    <w:p w14:paraId="3C42DC49" w14:textId="7F9CD901" w:rsidR="007A743C" w:rsidRPr="005E4581" w:rsidRDefault="00194095" w:rsidP="00DF3F6B">
      <w:pPr>
        <w:pStyle w:val="ListParagraph"/>
        <w:numPr>
          <w:ilvl w:val="0"/>
          <w:numId w:val="82"/>
        </w:numPr>
        <w:spacing w:before="240" w:after="240" w:line="240" w:lineRule="auto"/>
        <w:ind w:left="567" w:hanging="283"/>
        <w:rPr>
          <w:lang w:val="en-US"/>
        </w:rPr>
      </w:pPr>
      <w:r w:rsidRPr="005E4581">
        <w:rPr>
          <w:lang w:val="en-US"/>
        </w:rPr>
        <w:t>Advi</w:t>
      </w:r>
      <w:r w:rsidR="00FF29B9">
        <w:rPr>
          <w:lang w:val="en-US"/>
        </w:rPr>
        <w:t>s</w:t>
      </w:r>
      <w:r w:rsidRPr="005E4581">
        <w:rPr>
          <w:lang w:val="en-US"/>
        </w:rPr>
        <w:t>e</w:t>
      </w:r>
      <w:r w:rsidR="007A743C" w:rsidRPr="005E4581" w:rsidDel="00D909AC">
        <w:rPr>
          <w:lang w:val="en-US"/>
        </w:rPr>
        <w:t xml:space="preserve"> </w:t>
      </w:r>
      <w:r w:rsidR="00D909AC">
        <w:rPr>
          <w:lang w:val="en-US"/>
        </w:rPr>
        <w:t>they</w:t>
      </w:r>
      <w:r w:rsidR="00D909AC" w:rsidRPr="005E4581">
        <w:rPr>
          <w:lang w:val="en-US"/>
        </w:rPr>
        <w:t xml:space="preserve"> </w:t>
      </w:r>
      <w:r w:rsidR="007A743C" w:rsidRPr="005E4581">
        <w:rPr>
          <w:lang w:val="en-US"/>
        </w:rPr>
        <w:t xml:space="preserve">have received the referral, who it is from and the role </w:t>
      </w:r>
      <w:r w:rsidR="00D909AC">
        <w:rPr>
          <w:lang w:val="en-US"/>
        </w:rPr>
        <w:t>the assessment</w:t>
      </w:r>
      <w:r w:rsidR="00D909AC" w:rsidRPr="005E4581">
        <w:rPr>
          <w:lang w:val="en-US"/>
        </w:rPr>
        <w:t xml:space="preserve"> </w:t>
      </w:r>
      <w:r w:rsidR="007A743C" w:rsidRPr="005E4581">
        <w:rPr>
          <w:lang w:val="en-US"/>
        </w:rPr>
        <w:t>organisation plays.</w:t>
      </w:r>
    </w:p>
    <w:p w14:paraId="6C09C318" w14:textId="793D258E" w:rsidR="007A743C" w:rsidRDefault="007A743C" w:rsidP="00DF3F6B">
      <w:pPr>
        <w:pStyle w:val="ListParagraph"/>
        <w:numPr>
          <w:ilvl w:val="0"/>
          <w:numId w:val="82"/>
        </w:numPr>
        <w:spacing w:before="240" w:after="240" w:line="240" w:lineRule="auto"/>
        <w:ind w:left="567" w:hanging="283"/>
        <w:rPr>
          <w:lang w:val="en-US"/>
        </w:rPr>
      </w:pPr>
      <w:r w:rsidRPr="005E4581">
        <w:rPr>
          <w:lang w:val="en-US"/>
        </w:rPr>
        <w:t>Advise</w:t>
      </w:r>
      <w:r w:rsidRPr="005E4581" w:rsidDel="00D909AC">
        <w:rPr>
          <w:lang w:val="en-US"/>
        </w:rPr>
        <w:t xml:space="preserve"> </w:t>
      </w:r>
      <w:r w:rsidR="00D909AC">
        <w:rPr>
          <w:lang w:val="en-US"/>
        </w:rPr>
        <w:t>they</w:t>
      </w:r>
      <w:r w:rsidR="00D909AC" w:rsidRPr="005E4581">
        <w:rPr>
          <w:lang w:val="en-US"/>
        </w:rPr>
        <w:t xml:space="preserve"> </w:t>
      </w:r>
      <w:r w:rsidRPr="005E4581">
        <w:rPr>
          <w:lang w:val="en-US"/>
        </w:rPr>
        <w:t>will be asking a few</w:t>
      </w:r>
      <w:r w:rsidRPr="78E43FD9">
        <w:rPr>
          <w:lang w:val="en-US"/>
        </w:rPr>
        <w:t xml:space="preserve"> questions relating to their general health and wellbeing to help inform assessment needs.</w:t>
      </w:r>
    </w:p>
    <w:p w14:paraId="00924B44" w14:textId="083C8A22" w:rsidR="007A743C" w:rsidRPr="00D21B87" w:rsidRDefault="007A743C" w:rsidP="00DF3F6B">
      <w:pPr>
        <w:pStyle w:val="ListParagraph"/>
        <w:numPr>
          <w:ilvl w:val="0"/>
          <w:numId w:val="82"/>
        </w:numPr>
        <w:spacing w:before="240" w:after="240" w:line="240" w:lineRule="auto"/>
        <w:ind w:left="567" w:hanging="283"/>
      </w:pPr>
      <w:r w:rsidRPr="78E43FD9">
        <w:rPr>
          <w:lang w:val="en-US"/>
        </w:rPr>
        <w:t xml:space="preserve">Confirm consent (consistent with section </w:t>
      </w:r>
      <w:r w:rsidR="002F3D64">
        <w:rPr>
          <w:lang w:val="en-US"/>
        </w:rPr>
        <w:fldChar w:fldCharType="begin"/>
      </w:r>
      <w:r w:rsidR="002F3D64">
        <w:rPr>
          <w:lang w:val="en-US"/>
        </w:rPr>
        <w:instrText xml:space="preserve"> REF _Ref212733813 \r \h </w:instrText>
      </w:r>
      <w:r w:rsidR="002F3D64">
        <w:rPr>
          <w:lang w:val="en-US"/>
        </w:rPr>
      </w:r>
      <w:r w:rsidR="002F3D64">
        <w:rPr>
          <w:lang w:val="en-US"/>
        </w:rPr>
        <w:fldChar w:fldCharType="separate"/>
      </w:r>
      <w:r w:rsidR="00F97942">
        <w:rPr>
          <w:lang w:val="en-US"/>
        </w:rPr>
        <w:t>5.1</w:t>
      </w:r>
      <w:r w:rsidR="002F3D64">
        <w:rPr>
          <w:lang w:val="en-US"/>
        </w:rPr>
        <w:fldChar w:fldCharType="end"/>
      </w:r>
      <w:r w:rsidRPr="78E43FD9">
        <w:rPr>
          <w:lang w:val="en-US"/>
        </w:rPr>
        <w:t xml:space="preserve">) and ensure the </w:t>
      </w:r>
      <w:r>
        <w:rPr>
          <w:lang w:val="en-US"/>
        </w:rPr>
        <w:t>older person</w:t>
      </w:r>
      <w:r w:rsidRPr="78E43FD9">
        <w:rPr>
          <w:lang w:val="en-US"/>
        </w:rPr>
        <w:t xml:space="preserve"> understands why they are having the assessment, why the assessor needs to come to their home (if applicable) and allay any concerns or fears that they may have about the assessment. Should the </w:t>
      </w:r>
      <w:r>
        <w:rPr>
          <w:lang w:val="en-US"/>
        </w:rPr>
        <w:t>older person</w:t>
      </w:r>
      <w:r w:rsidRPr="78E43FD9">
        <w:rPr>
          <w:lang w:val="en-US"/>
        </w:rPr>
        <w:t xml:space="preserve"> or their </w:t>
      </w:r>
      <w:r>
        <w:rPr>
          <w:lang w:val="en-US"/>
        </w:rPr>
        <w:t>active, appointed decision maker</w:t>
      </w:r>
      <w:r w:rsidRPr="78E43FD9">
        <w:rPr>
          <w:lang w:val="en-US"/>
        </w:rPr>
        <w:t xml:space="preserve"> choose not to give consent, the triage process is to end and the assessment referral is rejected.</w:t>
      </w:r>
    </w:p>
    <w:p w14:paraId="0532ACB8" w14:textId="6557EB7B" w:rsidR="00C76738" w:rsidRDefault="00C76738" w:rsidP="00DF3F6B">
      <w:pPr>
        <w:pStyle w:val="ListParagraph"/>
        <w:numPr>
          <w:ilvl w:val="0"/>
          <w:numId w:val="82"/>
        </w:numPr>
        <w:spacing w:before="240" w:after="240" w:line="240" w:lineRule="auto"/>
        <w:ind w:left="567" w:hanging="283"/>
      </w:pPr>
      <w:r w:rsidRPr="00C76738">
        <w:rPr>
          <w:noProof/>
          <w:shd w:val="clear" w:color="auto" w:fill="FFFFFF"/>
          <w:lang w:eastAsia="en-GB"/>
        </w:rPr>
        <w:t xml:space="preserve">Confirm </w:t>
      </w:r>
      <w:r>
        <w:rPr>
          <w:noProof/>
          <w:shd w:val="clear" w:color="auto" w:fill="FFFFFF"/>
          <w:lang w:eastAsia="en-GB"/>
        </w:rPr>
        <w:t>their</w:t>
      </w:r>
      <w:r w:rsidRPr="00C76738">
        <w:rPr>
          <w:noProof/>
          <w:shd w:val="clear" w:color="auto" w:fill="FFFFFF"/>
          <w:lang w:eastAsia="en-GB"/>
        </w:rPr>
        <w:t xml:space="preserve"> preference for an Aboriginal and Torres Strait Islander assessment organisation</w:t>
      </w:r>
      <w:r>
        <w:rPr>
          <w:noProof/>
          <w:shd w:val="clear" w:color="auto" w:fill="FFFFFF"/>
          <w:lang w:eastAsia="en-GB"/>
        </w:rPr>
        <w:t xml:space="preserve"> (</w:t>
      </w:r>
      <w:r w:rsidR="00D1076B">
        <w:rPr>
          <w:noProof/>
          <w:shd w:val="clear" w:color="auto" w:fill="FFFFFF"/>
          <w:lang w:eastAsia="en-GB"/>
        </w:rPr>
        <w:t>see below this section for further detail)</w:t>
      </w:r>
    </w:p>
    <w:p w14:paraId="6A7CF885" w14:textId="77777777" w:rsidR="007A743C" w:rsidRDefault="007A743C" w:rsidP="00DF3F6B">
      <w:pPr>
        <w:pStyle w:val="ListParagraph"/>
        <w:numPr>
          <w:ilvl w:val="0"/>
          <w:numId w:val="82"/>
        </w:numPr>
        <w:spacing w:before="240" w:after="240" w:line="240" w:lineRule="auto"/>
        <w:ind w:left="567" w:hanging="283"/>
        <w:rPr>
          <w:lang w:val="en-US"/>
        </w:rPr>
      </w:pPr>
      <w:r w:rsidRPr="78E43FD9">
        <w:rPr>
          <w:lang w:val="en-US"/>
        </w:rPr>
        <w:t xml:space="preserve">Check </w:t>
      </w:r>
      <w:r>
        <w:rPr>
          <w:lang w:val="en-US"/>
        </w:rPr>
        <w:t>the contact information for the</w:t>
      </w:r>
      <w:r w:rsidRPr="78E43FD9">
        <w:rPr>
          <w:lang w:val="en-US"/>
        </w:rPr>
        <w:t xml:space="preserve"> </w:t>
      </w:r>
      <w:r>
        <w:rPr>
          <w:lang w:val="en-US"/>
        </w:rPr>
        <w:t>older person</w:t>
      </w:r>
      <w:r w:rsidRPr="78E43FD9">
        <w:rPr>
          <w:lang w:val="en-US"/>
        </w:rPr>
        <w:t xml:space="preserve">, and if appropriate, </w:t>
      </w:r>
      <w:r>
        <w:rPr>
          <w:lang w:val="en-US"/>
        </w:rPr>
        <w:t xml:space="preserve">the contact information for the registered supporter or </w:t>
      </w:r>
      <w:r w:rsidRPr="78E43FD9">
        <w:rPr>
          <w:lang w:val="en-US"/>
        </w:rPr>
        <w:t>agent</w:t>
      </w:r>
      <w:r>
        <w:rPr>
          <w:lang w:val="en-US"/>
        </w:rPr>
        <w:t>, such as a care finder</w:t>
      </w:r>
      <w:r w:rsidRPr="78E43FD9">
        <w:rPr>
          <w:lang w:val="en-US"/>
        </w:rPr>
        <w:t xml:space="preserve"> (including address for receiving correspondence) to ensure it is complete, correct and validated.</w:t>
      </w:r>
      <w:r>
        <w:rPr>
          <w:lang w:val="en-US"/>
        </w:rPr>
        <w:t xml:space="preserve"> </w:t>
      </w:r>
    </w:p>
    <w:p w14:paraId="5756EDDE" w14:textId="36514E9E" w:rsidR="007A743C" w:rsidRDefault="007A743C" w:rsidP="00DF3F6B">
      <w:pPr>
        <w:pStyle w:val="ListParagraph"/>
        <w:numPr>
          <w:ilvl w:val="0"/>
          <w:numId w:val="82"/>
        </w:numPr>
        <w:spacing w:before="240" w:after="240" w:line="240" w:lineRule="auto"/>
        <w:ind w:left="567" w:hanging="283"/>
        <w:rPr>
          <w:lang w:val="en-US"/>
        </w:rPr>
      </w:pPr>
      <w:r w:rsidRPr="003526B0">
        <w:rPr>
          <w:lang w:val="en-US"/>
        </w:rPr>
        <w:t xml:space="preserve">Gather any additional information required, including whether the </w:t>
      </w:r>
      <w:r>
        <w:rPr>
          <w:lang w:val="en-US"/>
        </w:rPr>
        <w:t>older person</w:t>
      </w:r>
      <w:r w:rsidRPr="003526B0">
        <w:rPr>
          <w:lang w:val="en-US"/>
        </w:rPr>
        <w:t xml:space="preserve"> would like </w:t>
      </w:r>
      <w:r w:rsidR="00703E3B">
        <w:rPr>
          <w:lang w:val="en-US"/>
        </w:rPr>
        <w:t>someone who supports them</w:t>
      </w:r>
      <w:r w:rsidRPr="003526B0">
        <w:rPr>
          <w:lang w:val="en-US"/>
        </w:rPr>
        <w:t>/</w:t>
      </w:r>
      <w:r>
        <w:rPr>
          <w:lang w:val="en-US"/>
        </w:rPr>
        <w:t>registered supporter</w:t>
      </w:r>
      <w:r w:rsidRPr="003526B0">
        <w:rPr>
          <w:lang w:val="en-US"/>
        </w:rPr>
        <w:t xml:space="preserve">/agent present for the triage questions asked using the Integrated Assessment Tool or at the assessment. </w:t>
      </w:r>
    </w:p>
    <w:p w14:paraId="3CF03889" w14:textId="338EB6EE" w:rsidR="007A743C" w:rsidRPr="003526B0" w:rsidRDefault="007A743C" w:rsidP="00DF3F6B">
      <w:pPr>
        <w:pStyle w:val="ListParagraph"/>
        <w:numPr>
          <w:ilvl w:val="1"/>
          <w:numId w:val="82"/>
        </w:numPr>
        <w:spacing w:before="240" w:after="240" w:line="240" w:lineRule="auto"/>
        <w:rPr>
          <w:lang w:val="en-US"/>
        </w:rPr>
      </w:pPr>
      <w:r w:rsidRPr="003526B0">
        <w:rPr>
          <w:lang w:val="en-US"/>
        </w:rPr>
        <w:t>If a</w:t>
      </w:r>
      <w:r>
        <w:rPr>
          <w:lang w:val="en-US"/>
        </w:rPr>
        <w:t>n</w:t>
      </w:r>
      <w:r w:rsidRPr="003526B0">
        <w:rPr>
          <w:lang w:val="en-US"/>
        </w:rPr>
        <w:t xml:space="preserve"> </w:t>
      </w:r>
      <w:r>
        <w:rPr>
          <w:lang w:val="en-US"/>
        </w:rPr>
        <w:t>older person</w:t>
      </w:r>
      <w:r w:rsidRPr="003526B0">
        <w:rPr>
          <w:lang w:val="en-US"/>
        </w:rPr>
        <w:t xml:space="preserve"> lacks </w:t>
      </w:r>
      <w:r w:rsidR="00284A9F">
        <w:rPr>
          <w:lang w:val="en-US"/>
        </w:rPr>
        <w:t>decision-making</w:t>
      </w:r>
      <w:r w:rsidRPr="003526B0">
        <w:rPr>
          <w:lang w:val="en-US"/>
        </w:rPr>
        <w:t xml:space="preserve"> capacity, a</w:t>
      </w:r>
      <w:r>
        <w:rPr>
          <w:lang w:val="en-US"/>
        </w:rPr>
        <w:t>n active, appointed decision maker (whether or not a registered supporter) must</w:t>
      </w:r>
      <w:r w:rsidRPr="003526B0">
        <w:rPr>
          <w:lang w:val="en-US"/>
        </w:rPr>
        <w:t xml:space="preserve"> be involved in the assessment to ensure the </w:t>
      </w:r>
      <w:r>
        <w:rPr>
          <w:lang w:val="en-US"/>
        </w:rPr>
        <w:t>older person</w:t>
      </w:r>
      <w:r w:rsidRPr="003526B0">
        <w:rPr>
          <w:lang w:val="en-US"/>
        </w:rPr>
        <w:t xml:space="preserve"> is accurately assessed. </w:t>
      </w:r>
      <w:r w:rsidR="0012635D">
        <w:rPr>
          <w:lang w:val="en-US"/>
        </w:rPr>
        <w:t xml:space="preserve">An active, appointed decision maker for this purpose may already be identified on the older person’s </w:t>
      </w:r>
      <w:r w:rsidR="00737E40">
        <w:rPr>
          <w:lang w:val="en-US"/>
        </w:rPr>
        <w:t xml:space="preserve">record </w:t>
      </w:r>
      <w:r w:rsidR="0012635D">
        <w:rPr>
          <w:lang w:val="en-US"/>
        </w:rPr>
        <w:t>as a person to whom all correspondence must be sent.</w:t>
      </w:r>
      <w:r w:rsidRPr="003526B0">
        <w:rPr>
          <w:lang w:val="en-US"/>
        </w:rPr>
        <w:t xml:space="preserve"> </w:t>
      </w:r>
      <w:r w:rsidR="009C1352">
        <w:t xml:space="preserve">Triage </w:t>
      </w:r>
      <w:r w:rsidR="000E2343">
        <w:t>d</w:t>
      </w:r>
      <w:r w:rsidR="009C1352">
        <w:t>elegates should review the proof an appointed decision maker has provided to the System Governor to support their authority.</w:t>
      </w:r>
      <w:r w:rsidR="009C1352">
        <w:rPr>
          <w:lang w:val="en-US"/>
        </w:rPr>
        <w:t xml:space="preserve"> </w:t>
      </w:r>
      <w:r>
        <w:rPr>
          <w:lang w:val="en-US"/>
        </w:rPr>
        <w:t xml:space="preserve">Registered supporters who are not active, appointed decision makers can also be involved, in line with the </w:t>
      </w:r>
      <w:r w:rsidR="0012635D">
        <w:rPr>
          <w:lang w:val="en-US"/>
        </w:rPr>
        <w:t>will and preferences of the older person</w:t>
      </w:r>
      <w:r w:rsidDel="00563C42">
        <w:rPr>
          <w:lang w:val="en-US"/>
        </w:rPr>
        <w:t>.</w:t>
      </w:r>
      <w:r>
        <w:rPr>
          <w:lang w:val="en-US"/>
        </w:rPr>
        <w:t xml:space="preserve"> </w:t>
      </w:r>
      <w:r w:rsidRPr="003526B0">
        <w:rPr>
          <w:lang w:val="en-US"/>
        </w:rPr>
        <w:t xml:space="preserve">The assessor can </w:t>
      </w:r>
      <w:r>
        <w:rPr>
          <w:lang w:val="en-US"/>
        </w:rPr>
        <w:t>submit a request to create a</w:t>
      </w:r>
      <w:r w:rsidRPr="003526B0">
        <w:rPr>
          <w:lang w:val="en-US"/>
        </w:rPr>
        <w:t xml:space="preserve"> new </w:t>
      </w:r>
      <w:r>
        <w:rPr>
          <w:lang w:val="en-US"/>
        </w:rPr>
        <w:t>registered</w:t>
      </w:r>
      <w:r w:rsidRPr="003526B0">
        <w:rPr>
          <w:lang w:val="en-US"/>
        </w:rPr>
        <w:t xml:space="preserve"> </w:t>
      </w:r>
      <w:r>
        <w:rPr>
          <w:lang w:val="en-US"/>
        </w:rPr>
        <w:t>supporter</w:t>
      </w:r>
      <w:r w:rsidRPr="003526B0">
        <w:rPr>
          <w:lang w:val="en-US"/>
        </w:rPr>
        <w:t xml:space="preserve">/agent </w:t>
      </w:r>
      <w:r>
        <w:rPr>
          <w:lang w:val="en-US"/>
        </w:rPr>
        <w:t xml:space="preserve">relationship </w:t>
      </w:r>
      <w:r w:rsidRPr="003526B0">
        <w:rPr>
          <w:lang w:val="en-US"/>
        </w:rPr>
        <w:t xml:space="preserve">if required </w:t>
      </w:r>
      <w:r w:rsidRPr="003E1933">
        <w:rPr>
          <w:lang w:val="en-US"/>
        </w:rPr>
        <w:t xml:space="preserve">(see </w:t>
      </w:r>
      <w:r>
        <w:rPr>
          <w:lang w:val="en-US"/>
        </w:rPr>
        <w:t xml:space="preserve">Chapter </w:t>
      </w:r>
      <w:r w:rsidR="00485278">
        <w:rPr>
          <w:lang w:val="en-US"/>
        </w:rPr>
        <w:fldChar w:fldCharType="begin"/>
      </w:r>
      <w:r w:rsidR="00485278">
        <w:rPr>
          <w:lang w:val="en-US"/>
        </w:rPr>
        <w:instrText xml:space="preserve"> REF _Ref212735676 \w \h </w:instrText>
      </w:r>
      <w:r w:rsidR="00485278">
        <w:rPr>
          <w:lang w:val="en-US"/>
        </w:rPr>
      </w:r>
      <w:r w:rsidR="00485278">
        <w:rPr>
          <w:lang w:val="en-US"/>
        </w:rPr>
        <w:fldChar w:fldCharType="separate"/>
      </w:r>
      <w:r w:rsidR="00F97942">
        <w:rPr>
          <w:lang w:val="en-US"/>
        </w:rPr>
        <w:t>3</w:t>
      </w:r>
      <w:r w:rsidR="00485278">
        <w:rPr>
          <w:lang w:val="en-US"/>
        </w:rPr>
        <w:fldChar w:fldCharType="end"/>
      </w:r>
      <w:r w:rsidRPr="003E1933">
        <w:rPr>
          <w:lang w:val="en-US"/>
        </w:rPr>
        <w:t>).</w:t>
      </w:r>
      <w:r w:rsidRPr="003526B0">
        <w:rPr>
          <w:lang w:val="en-US"/>
        </w:rPr>
        <w:t xml:space="preserve"> </w:t>
      </w:r>
    </w:p>
    <w:p w14:paraId="66B5C645" w14:textId="25A8AA0C" w:rsidR="007A743C" w:rsidRPr="00C916B0" w:rsidRDefault="007A743C" w:rsidP="00DF3F6B">
      <w:pPr>
        <w:pStyle w:val="ListParagraph"/>
        <w:numPr>
          <w:ilvl w:val="1"/>
          <w:numId w:val="82"/>
        </w:numPr>
        <w:spacing w:before="240" w:after="240" w:line="240" w:lineRule="auto"/>
        <w:rPr>
          <w:lang w:val="en"/>
        </w:rPr>
      </w:pPr>
      <w:r>
        <w:rPr>
          <w:lang w:val="en"/>
        </w:rPr>
        <w:t xml:space="preserve">Submitting a </w:t>
      </w:r>
      <w:r w:rsidRPr="0016507D">
        <w:rPr>
          <w:lang w:val="en"/>
        </w:rPr>
        <w:t>‘</w:t>
      </w:r>
      <w:r>
        <w:rPr>
          <w:lang w:val="en"/>
        </w:rPr>
        <w:t>request’ may mean</w:t>
      </w:r>
      <w:r w:rsidRPr="0016507D">
        <w:rPr>
          <w:lang w:val="en"/>
        </w:rPr>
        <w:t xml:space="preserve"> a </w:t>
      </w:r>
      <w:r>
        <w:rPr>
          <w:lang w:val="en"/>
        </w:rPr>
        <w:t>supporter</w:t>
      </w:r>
      <w:r w:rsidRPr="0016507D">
        <w:rPr>
          <w:lang w:val="en"/>
        </w:rPr>
        <w:t xml:space="preserve"> relationship is recorded in the system as </w:t>
      </w:r>
      <w:r>
        <w:rPr>
          <w:lang w:val="en"/>
        </w:rPr>
        <w:t xml:space="preserve">a pending relationship </w:t>
      </w:r>
      <w:r>
        <w:rPr>
          <w:lang w:val="en-US"/>
        </w:rPr>
        <w:t>seeking</w:t>
      </w:r>
      <w:r w:rsidRPr="56CD3535">
        <w:t xml:space="preserve"> to </w:t>
      </w:r>
      <w:r>
        <w:t>be registered by the System Governor</w:t>
      </w:r>
      <w:r w:rsidRPr="56CD3535">
        <w:t xml:space="preserve">. </w:t>
      </w:r>
      <w:r>
        <w:t xml:space="preserve">There are many ways to submit a request, including with the help of an assessor, </w:t>
      </w:r>
      <w:r w:rsidR="00C72BF0">
        <w:t xml:space="preserve">online, </w:t>
      </w:r>
      <w:r>
        <w:t xml:space="preserve">by calling My Aged Care, or using a printed registration form. More information on the registration pathways </w:t>
      </w:r>
      <w:r w:rsidR="00FF30BE">
        <w:t>is</w:t>
      </w:r>
      <w:r>
        <w:t xml:space="preserve"> available at: </w:t>
      </w:r>
      <w:hyperlink r:id="rId130" w:history="1">
        <w:r w:rsidR="006252FB" w:rsidRPr="004923A1">
          <w:rPr>
            <w:rStyle w:val="Hyperlink"/>
          </w:rPr>
          <w:t>www.myagedcare.gov.au/registering-supporter</w:t>
        </w:r>
      </w:hyperlink>
      <w:r w:rsidR="006252FB">
        <w:t>.</w:t>
      </w:r>
    </w:p>
    <w:p w14:paraId="6684317C" w14:textId="583E46F5" w:rsidR="007A743C" w:rsidRPr="00D64782" w:rsidRDefault="007A743C" w:rsidP="00DF3F6B">
      <w:pPr>
        <w:pStyle w:val="ListParagraph"/>
        <w:numPr>
          <w:ilvl w:val="1"/>
          <w:numId w:val="82"/>
        </w:numPr>
        <w:spacing w:before="240" w:after="240" w:line="240" w:lineRule="auto"/>
        <w:rPr>
          <w:lang w:val="en"/>
        </w:rPr>
      </w:pPr>
      <w:r>
        <w:t>A person who is seeking to become a registered supporter who</w:t>
      </w:r>
      <w:r w:rsidDel="00A57478">
        <w:t xml:space="preserve"> </w:t>
      </w:r>
      <w:r>
        <w:t xml:space="preserve">is also an active, appointed decision maker must provide </w:t>
      </w:r>
      <w:r w:rsidR="00C21102">
        <w:t xml:space="preserve">proof </w:t>
      </w:r>
      <w:r>
        <w:t xml:space="preserve">to show they are an active, appointed decision maker for the older person. </w:t>
      </w:r>
      <w:r w:rsidR="00C21102">
        <w:t xml:space="preserve">This is likely to be legal documentation. </w:t>
      </w:r>
      <w:r>
        <w:t>Medical evidence may also be required to establish the older person’s loss of decision-making capacity.</w:t>
      </w:r>
    </w:p>
    <w:p w14:paraId="786B5BE1" w14:textId="77777777" w:rsidR="007A743C" w:rsidRDefault="007A743C" w:rsidP="00DF3F6B">
      <w:pPr>
        <w:pStyle w:val="ListParagraph"/>
        <w:numPr>
          <w:ilvl w:val="0"/>
          <w:numId w:val="82"/>
        </w:numPr>
        <w:spacing w:before="240" w:after="240" w:line="240" w:lineRule="auto"/>
        <w:ind w:left="567" w:hanging="283"/>
        <w:contextualSpacing w:val="0"/>
      </w:pPr>
      <w:r w:rsidRPr="56CD3535">
        <w:t>Organise an interpreter if required (e.g., for</w:t>
      </w:r>
      <w:r w:rsidRPr="56CD3535" w:rsidDel="4847C88F">
        <w:t xml:space="preserve"> </w:t>
      </w:r>
      <w:r w:rsidRPr="56CD3535">
        <w:t xml:space="preserve">interpreting services or Auslan) </w:t>
      </w:r>
      <w:r w:rsidRPr="0016507D">
        <w:t>and ensure other necessary</w:t>
      </w:r>
      <w:r w:rsidRPr="56CD3535">
        <w:rPr>
          <w:lang w:val="en"/>
        </w:rPr>
        <w:t xml:space="preserve"> supports are in place for the assessment.</w:t>
      </w:r>
      <w:r w:rsidRPr="56CD3535">
        <w:t xml:space="preserve"> </w:t>
      </w:r>
    </w:p>
    <w:p w14:paraId="4D478B33" w14:textId="30F19F1E" w:rsidR="00404869" w:rsidRDefault="00404869" w:rsidP="00DF3F6B">
      <w:pPr>
        <w:pStyle w:val="ListParagraph"/>
        <w:numPr>
          <w:ilvl w:val="0"/>
          <w:numId w:val="82"/>
        </w:numPr>
        <w:spacing w:before="240" w:after="240" w:line="240" w:lineRule="auto"/>
        <w:ind w:left="567" w:hanging="283"/>
        <w:contextualSpacing w:val="0"/>
      </w:pPr>
      <w:r>
        <w:t>Acknowledge that</w:t>
      </w:r>
      <w:r w:rsidR="00D3215F">
        <w:t xml:space="preserve"> multiple contacts </w:t>
      </w:r>
      <w:r w:rsidR="00402217">
        <w:t>with older Aboriginal and Torres Strait Islander people may be required to build trust and rapport</w:t>
      </w:r>
      <w:r w:rsidR="006B196D">
        <w:t xml:space="preserve"> but this should not compromise on older people being able to access timely aged care services.</w:t>
      </w:r>
    </w:p>
    <w:p w14:paraId="5BDA967A" w14:textId="77777777" w:rsidR="000E0B6C" w:rsidRPr="000027E3" w:rsidRDefault="007A743C" w:rsidP="00C325C6">
      <w:pPr>
        <w:pStyle w:val="Sub-headings"/>
      </w:pPr>
      <w:r w:rsidRPr="00904192">
        <w:t>Note</w:t>
      </w:r>
      <w:r w:rsidRPr="000027E3">
        <w:t xml:space="preserve">: </w:t>
      </w:r>
    </w:p>
    <w:p w14:paraId="49B0ADEA" w14:textId="77663EDD" w:rsidR="007A743C" w:rsidRPr="00EC196B" w:rsidRDefault="000E0B6C" w:rsidP="00C325C6">
      <w:pPr>
        <w:pStyle w:val="Sub-headings"/>
      </w:pPr>
      <w:r>
        <w:t>A</w:t>
      </w:r>
      <w:r w:rsidR="007A743C" w:rsidRPr="00EC196B">
        <w:t>n interpreter may need to be pre-booked, so early action on interpreter arrangements will assist meeting timeliness measures.</w:t>
      </w:r>
    </w:p>
    <w:p w14:paraId="46432017" w14:textId="77777777" w:rsidR="00F1593F" w:rsidRDefault="00F1593F" w:rsidP="000E0B6C">
      <w:pPr>
        <w:pStyle w:val="ListParagraph"/>
        <w:spacing w:before="240" w:after="240" w:line="240" w:lineRule="auto"/>
        <w:ind w:left="567"/>
      </w:pPr>
    </w:p>
    <w:p w14:paraId="1A0CC87F" w14:textId="77777777" w:rsidR="007A743C" w:rsidRDefault="007A743C" w:rsidP="00DF3F6B">
      <w:pPr>
        <w:pStyle w:val="ListParagraph"/>
        <w:numPr>
          <w:ilvl w:val="0"/>
          <w:numId w:val="82"/>
        </w:numPr>
        <w:spacing w:before="240" w:after="240" w:line="240" w:lineRule="auto"/>
        <w:ind w:left="567" w:hanging="283"/>
      </w:pPr>
      <w:r>
        <w:t>There are several support networks that the triage delegate can refer to for older people who are more vulnerable or hesitant to participate. These include:</w:t>
      </w:r>
    </w:p>
    <w:p w14:paraId="7774657C" w14:textId="77777777" w:rsidR="007A743C" w:rsidRPr="004359B0" w:rsidRDefault="007A743C" w:rsidP="00DF3F6B">
      <w:pPr>
        <w:pStyle w:val="ListParagraph"/>
        <w:numPr>
          <w:ilvl w:val="1"/>
          <w:numId w:val="82"/>
        </w:numPr>
        <w:spacing w:before="240" w:after="240" w:line="240" w:lineRule="auto"/>
        <w:rPr>
          <w:rFonts w:eastAsia="Times New Roman"/>
          <w:color w:val="2BB1BB"/>
          <w:lang w:val="en-AU"/>
        </w:rPr>
      </w:pPr>
      <w:hyperlink r:id="rId131" w:history="1">
        <w:r w:rsidRPr="004359B0">
          <w:rPr>
            <w:rFonts w:eastAsia="Times New Roman"/>
            <w:color w:val="2BB1BB"/>
            <w:u w:val="single"/>
            <w:lang w:val="en-AU"/>
          </w:rPr>
          <w:t>Home - OPAN</w:t>
        </w:r>
      </w:hyperlink>
      <w:r w:rsidRPr="004359B0">
        <w:rPr>
          <w:rFonts w:eastAsia="Times New Roman"/>
          <w:color w:val="2BB1BB"/>
          <w:lang w:val="en-AU"/>
        </w:rPr>
        <w:t xml:space="preserve"> </w:t>
      </w:r>
    </w:p>
    <w:p w14:paraId="47662C79" w14:textId="77777777" w:rsidR="007A743C" w:rsidRPr="004359B0" w:rsidRDefault="007A743C" w:rsidP="00DF3F6B">
      <w:pPr>
        <w:pStyle w:val="ListParagraph"/>
        <w:numPr>
          <w:ilvl w:val="1"/>
          <w:numId w:val="82"/>
        </w:numPr>
        <w:spacing w:before="240" w:after="240" w:line="240" w:lineRule="auto"/>
        <w:rPr>
          <w:rFonts w:eastAsia="Times New Roman"/>
          <w:color w:val="2BB1BB"/>
          <w:lang w:val="en-AU"/>
        </w:rPr>
      </w:pPr>
      <w:hyperlink r:id="rId132" w:history="1">
        <w:r w:rsidRPr="004359B0">
          <w:rPr>
            <w:rFonts w:eastAsia="Times New Roman"/>
            <w:color w:val="2BB1BB"/>
            <w:u w:val="single"/>
            <w:lang w:val="en-AU"/>
          </w:rPr>
          <w:t>Support for older culturally and linguistically diverse people | My Aged Care</w:t>
        </w:r>
      </w:hyperlink>
      <w:r w:rsidRPr="004359B0">
        <w:rPr>
          <w:rFonts w:eastAsia="Times New Roman"/>
          <w:color w:val="2BB1BB"/>
          <w:lang w:val="en-AU"/>
        </w:rPr>
        <w:t xml:space="preserve"> </w:t>
      </w:r>
    </w:p>
    <w:p w14:paraId="35C5037C" w14:textId="77777777" w:rsidR="007A743C" w:rsidRPr="004359B0" w:rsidRDefault="007A743C" w:rsidP="00DF3F6B">
      <w:pPr>
        <w:pStyle w:val="ListParagraph"/>
        <w:numPr>
          <w:ilvl w:val="1"/>
          <w:numId w:val="82"/>
        </w:numPr>
        <w:spacing w:before="240" w:after="240" w:line="240" w:lineRule="auto"/>
        <w:rPr>
          <w:rFonts w:eastAsia="Times New Roman"/>
          <w:color w:val="2BB1BB"/>
          <w:lang w:val="en-AU"/>
        </w:rPr>
      </w:pPr>
      <w:hyperlink r:id="rId133">
        <w:r w:rsidRPr="004359B0">
          <w:rPr>
            <w:rFonts w:eastAsia="Times New Roman"/>
            <w:color w:val="2BB1BB"/>
            <w:u w:val="single"/>
            <w:lang w:val="en-AU"/>
          </w:rPr>
          <w:t>Getting support in aged care | My Aged Care</w:t>
        </w:r>
      </w:hyperlink>
      <w:r w:rsidRPr="004359B0">
        <w:rPr>
          <w:rFonts w:eastAsia="Times New Roman"/>
          <w:color w:val="2BB1BB"/>
          <w:lang w:val="en-AU"/>
        </w:rPr>
        <w:t xml:space="preserve"> </w:t>
      </w:r>
    </w:p>
    <w:p w14:paraId="62238A9B" w14:textId="77777777" w:rsidR="007A743C" w:rsidRPr="008E67D1" w:rsidRDefault="007A743C" w:rsidP="00DF3F6B">
      <w:pPr>
        <w:pStyle w:val="ListParagraph"/>
        <w:numPr>
          <w:ilvl w:val="1"/>
          <w:numId w:val="82"/>
        </w:numPr>
        <w:spacing w:before="240" w:after="240" w:line="240" w:lineRule="auto"/>
        <w:rPr>
          <w:lang w:val="en-AU"/>
        </w:rPr>
      </w:pPr>
      <w:hyperlink r:id="rId134">
        <w:r w:rsidRPr="55662406">
          <w:rPr>
            <w:rStyle w:val="Hyperlink"/>
            <w:lang w:val="en-AU"/>
          </w:rPr>
          <w:t>Help from a care finder | My Aged Care</w:t>
        </w:r>
      </w:hyperlink>
    </w:p>
    <w:p w14:paraId="08893EFE" w14:textId="77777777" w:rsidR="007A743C" w:rsidRDefault="007A743C" w:rsidP="00DF3F6B">
      <w:pPr>
        <w:pStyle w:val="ListParagraph"/>
        <w:numPr>
          <w:ilvl w:val="1"/>
          <w:numId w:val="82"/>
        </w:numPr>
        <w:spacing w:before="240" w:after="240" w:line="240" w:lineRule="auto"/>
        <w:rPr>
          <w:lang w:val="en-AU"/>
        </w:rPr>
      </w:pPr>
      <w:hyperlink r:id="rId135">
        <w:r w:rsidRPr="4FEFD7C6">
          <w:rPr>
            <w:rStyle w:val="Hyperlink"/>
          </w:rPr>
          <w:t xml:space="preserve">Elder Care </w:t>
        </w:r>
        <w:r w:rsidRPr="004359B0">
          <w:rPr>
            <w:rStyle w:val="Hyperlink"/>
          </w:rPr>
          <w:t>Support</w:t>
        </w:r>
        <w:r w:rsidRPr="4FEFD7C6">
          <w:rPr>
            <w:rStyle w:val="Hyperlink"/>
          </w:rPr>
          <w:t xml:space="preserve"> | Australian Government Department of Health, Disability and Ageing</w:t>
        </w:r>
      </w:hyperlink>
    </w:p>
    <w:p w14:paraId="41DF19D1" w14:textId="687CFCE8" w:rsidR="64946E2B" w:rsidRPr="006A496B" w:rsidRDefault="64946E2B" w:rsidP="7DD55CF5">
      <w:pPr>
        <w:pStyle w:val="ListParagraph"/>
        <w:numPr>
          <w:ilvl w:val="1"/>
          <w:numId w:val="82"/>
        </w:numPr>
        <w:spacing w:before="240" w:after="240" w:line="240" w:lineRule="auto"/>
        <w:rPr>
          <w:rStyle w:val="Hyperlink"/>
        </w:rPr>
      </w:pPr>
      <w:hyperlink r:id="rId136" w:history="1">
        <w:r w:rsidRPr="006A496B">
          <w:rPr>
            <w:rStyle w:val="Hyperlink"/>
          </w:rPr>
          <w:t>Support for people who are lesbian, gay, bisexual, transgender or intersex or other sexual orientations or are gender diverse or bodily diverse | My Aged Care</w:t>
        </w:r>
      </w:hyperlink>
    </w:p>
    <w:p w14:paraId="14425238" w14:textId="50C0F563" w:rsidR="007A743C" w:rsidRDefault="007A743C" w:rsidP="00DF3F6B">
      <w:pPr>
        <w:pStyle w:val="ListParagraph"/>
        <w:numPr>
          <w:ilvl w:val="0"/>
          <w:numId w:val="82"/>
        </w:numPr>
        <w:spacing w:before="240" w:after="240" w:line="240" w:lineRule="auto"/>
        <w:ind w:left="567" w:hanging="283"/>
        <w:rPr>
          <w:szCs w:val="22"/>
        </w:rPr>
      </w:pPr>
      <w:r w:rsidRPr="00106FE6">
        <w:t xml:space="preserve">Consider asking the </w:t>
      </w:r>
      <w:r>
        <w:t>older person</w:t>
      </w:r>
      <w:r w:rsidRPr="00106FE6">
        <w:t xml:space="preserve"> if they have a My Health Record to help ensure their Support Plan can be linked to it (subject to their consent, as per section </w:t>
      </w:r>
      <w:r w:rsidR="003B2559">
        <w:fldChar w:fldCharType="begin"/>
      </w:r>
      <w:r w:rsidR="003B2559">
        <w:instrText xml:space="preserve"> REF _Ref212734121 \r \h </w:instrText>
      </w:r>
      <w:r w:rsidR="003B2559">
        <w:fldChar w:fldCharType="separate"/>
      </w:r>
      <w:r w:rsidR="00F97942">
        <w:t>5.1</w:t>
      </w:r>
      <w:r w:rsidR="003B2559">
        <w:fldChar w:fldCharType="end"/>
      </w:r>
      <w:r w:rsidRPr="00106FE6">
        <w:t>).</w:t>
      </w:r>
    </w:p>
    <w:p w14:paraId="47EFC054" w14:textId="7D23488C" w:rsidR="000D5645" w:rsidRDefault="000D5645" w:rsidP="002A75E4">
      <w:pPr>
        <w:pStyle w:val="H4"/>
        <w:rPr>
          <w:noProof/>
          <w:shd w:val="clear" w:color="auto" w:fill="FFFFFF"/>
          <w:lang w:eastAsia="en-GB"/>
        </w:rPr>
      </w:pPr>
      <w:bookmarkStart w:id="358" w:name="_Toc184026569"/>
      <w:bookmarkStart w:id="359" w:name="_Toc184402288"/>
      <w:r>
        <w:rPr>
          <w:noProof/>
          <w:shd w:val="clear" w:color="auto" w:fill="FFFFFF"/>
          <w:lang w:eastAsia="en-GB"/>
        </w:rPr>
        <w:t xml:space="preserve">Confirming a client’s preference for an </w:t>
      </w:r>
      <w:r w:rsidRPr="00ED64CE">
        <w:rPr>
          <w:noProof/>
          <w:shd w:val="clear" w:color="auto" w:fill="FFFFFF"/>
          <w:lang w:eastAsia="en-GB"/>
        </w:rPr>
        <w:t>Aboriginal and Torres Strait Islander assessment organisation</w:t>
      </w:r>
    </w:p>
    <w:p w14:paraId="1F902883" w14:textId="4838D928" w:rsidR="000D5645" w:rsidRPr="00ED64CE" w:rsidRDefault="000D5645" w:rsidP="000D5645">
      <w:pPr>
        <w:spacing w:before="120" w:after="120" w:line="288" w:lineRule="auto"/>
        <w:rPr>
          <w:rFonts w:eastAsia="Times New Roman"/>
          <w:noProof/>
          <w:color w:val="000000" w:themeColor="text1"/>
          <w:szCs w:val="20"/>
          <w:shd w:val="clear" w:color="auto" w:fill="FFFFFF"/>
          <w:lang w:eastAsia="en-GB"/>
        </w:rPr>
      </w:pPr>
      <w:r w:rsidRPr="00ED64CE">
        <w:rPr>
          <w:rFonts w:eastAsia="Times New Roman"/>
          <w:noProof/>
          <w:color w:val="000000" w:themeColor="text1"/>
          <w:szCs w:val="20"/>
          <w:shd w:val="clear" w:color="auto" w:fill="FFFFFF"/>
          <w:lang w:eastAsia="en-GB"/>
        </w:rPr>
        <w:t xml:space="preserve">A client’s preference for an Aboriginal and Torres Strait Islander assessment organisation, will usually be captured at registration. The client’s preference will be visible on their client card. </w:t>
      </w:r>
    </w:p>
    <w:p w14:paraId="786EFD82" w14:textId="77777777" w:rsidR="000D5645" w:rsidRPr="00ED64CE" w:rsidRDefault="000D5645" w:rsidP="000D5645">
      <w:pPr>
        <w:spacing w:before="120" w:after="120" w:line="288" w:lineRule="auto"/>
        <w:rPr>
          <w:rFonts w:eastAsia="Times New Roman"/>
          <w:noProof/>
          <w:color w:val="000000" w:themeColor="text1"/>
          <w:szCs w:val="20"/>
          <w:shd w:val="clear" w:color="auto" w:fill="FFFFFF"/>
          <w:lang w:eastAsia="en-GB"/>
        </w:rPr>
      </w:pPr>
      <w:r w:rsidRPr="00ED64CE">
        <w:rPr>
          <w:rFonts w:eastAsia="Times New Roman"/>
          <w:noProof/>
          <w:color w:val="000000" w:themeColor="text1"/>
          <w:szCs w:val="20"/>
          <w:shd w:val="clear" w:color="auto" w:fill="FFFFFF"/>
          <w:lang w:eastAsia="en-GB"/>
        </w:rPr>
        <w:t xml:space="preserve">It will need to be confirmed when completing the client’s demographic details at triage. </w:t>
      </w:r>
    </w:p>
    <w:p w14:paraId="55004ED9" w14:textId="77777777" w:rsidR="000D5645" w:rsidRPr="00ED64CE" w:rsidRDefault="000D5645" w:rsidP="000D5645">
      <w:pPr>
        <w:pStyle w:val="ListBullet"/>
      </w:pPr>
      <w:r w:rsidRPr="00ED64CE">
        <w:t xml:space="preserve">When a triage delegate receives a referral, they should view the client information to gain a preliminary understanding of the client’s situation. </w:t>
      </w:r>
    </w:p>
    <w:p w14:paraId="07DDC6F5" w14:textId="77777777" w:rsidR="000D5645" w:rsidRPr="00ED64CE" w:rsidRDefault="000D5645" w:rsidP="000D5645">
      <w:pPr>
        <w:pStyle w:val="ListBullet"/>
      </w:pPr>
      <w:r w:rsidRPr="00ED64CE">
        <w:t xml:space="preserve">If there is no preference listed, please record the preference after having a conversation with the older person. </w:t>
      </w:r>
    </w:p>
    <w:p w14:paraId="62265C99" w14:textId="77777777" w:rsidR="000D5645" w:rsidRPr="00ED64CE" w:rsidRDefault="000D5645" w:rsidP="00C548FC">
      <w:pPr>
        <w:pStyle w:val="ListBullet"/>
        <w:numPr>
          <w:ilvl w:val="0"/>
          <w:numId w:val="0"/>
        </w:numPr>
        <w:tabs>
          <w:tab w:val="clear" w:pos="170"/>
          <w:tab w:val="left" w:pos="709"/>
        </w:tabs>
        <w:ind w:left="426"/>
      </w:pPr>
      <w:r w:rsidRPr="00ED64CE">
        <w:t xml:space="preserve">It is important to have a conversation with the older person about their preference. It should not be assumed that all Aboriginal and Torres Strait Islander people will want their assessment with an Aboriginal and Torres Strait Islander assessment organisation. </w:t>
      </w:r>
    </w:p>
    <w:p w14:paraId="74BB513D" w14:textId="77777777" w:rsidR="000D5645" w:rsidRPr="00ED64CE" w:rsidRDefault="000D5645" w:rsidP="000D5645">
      <w:pPr>
        <w:pStyle w:val="ListBullet"/>
      </w:pPr>
      <w:r w:rsidRPr="00ED64CE">
        <w:t xml:space="preserve">The client’s preference will determine whether the referral is accepted, transferred or rejected. </w:t>
      </w:r>
    </w:p>
    <w:p w14:paraId="5128946F" w14:textId="68F72CE9" w:rsidR="000D5645" w:rsidRPr="00ED64CE" w:rsidRDefault="000D5645" w:rsidP="000D5645">
      <w:pPr>
        <w:pStyle w:val="ListBullet"/>
      </w:pPr>
      <w:r w:rsidRPr="00ED64CE">
        <w:t>If a transfer is required, this w</w:t>
      </w:r>
      <w:r w:rsidR="0070686D">
        <w:t>i</w:t>
      </w:r>
      <w:r w:rsidRPr="00ED64CE">
        <w:t xml:space="preserve">ll need to be managed with the support of a Team Leader. </w:t>
      </w:r>
    </w:p>
    <w:p w14:paraId="1CD34928" w14:textId="049ACAD2" w:rsidR="000D5645" w:rsidRPr="00ED64CE" w:rsidRDefault="000D5645" w:rsidP="000D5645">
      <w:pPr>
        <w:pStyle w:val="ListBullet"/>
      </w:pPr>
      <w:r w:rsidRPr="00ED64CE">
        <w:t>It will also ensure that the assessment process is responsive to the person’s individual situation</w:t>
      </w:r>
      <w:r w:rsidR="00B23AB0" w:rsidRPr="00ED64CE">
        <w:t xml:space="preserve">. </w:t>
      </w:r>
    </w:p>
    <w:p w14:paraId="70AA4D68" w14:textId="77777777" w:rsidR="000D5645" w:rsidRPr="000807BC" w:rsidRDefault="000D5645" w:rsidP="000D5645">
      <w:pPr>
        <w:spacing w:after="240" w:line="300" w:lineRule="exact"/>
        <w:rPr>
          <w:rFonts w:eastAsia="Yu Gothic Light"/>
          <w:color w:val="358189"/>
          <w:sz w:val="32"/>
          <w:szCs w:val="32"/>
          <w:lang w:val="en-US"/>
        </w:rPr>
      </w:pPr>
    </w:p>
    <w:p w14:paraId="27210D73" w14:textId="3F7B8C57" w:rsidR="007A743C" w:rsidRPr="00BD784F" w:rsidRDefault="007A743C" w:rsidP="007A743C">
      <w:pPr>
        <w:pStyle w:val="H4"/>
      </w:pPr>
      <w:r>
        <w:t>Asking triage questions using the Integrated Assessment Tool</w:t>
      </w:r>
      <w:bookmarkEnd w:id="358"/>
      <w:bookmarkEnd w:id="359"/>
    </w:p>
    <w:p w14:paraId="3A0DCE78" w14:textId="77777777" w:rsidR="007A743C" w:rsidRPr="00B97AC3" w:rsidRDefault="007A743C" w:rsidP="00A677C9">
      <w:pPr>
        <w:spacing w:before="240" w:after="240" w:line="240" w:lineRule="auto"/>
      </w:pPr>
      <w:r>
        <w:t>The triage component of the IAT helps validate the appropriateness of an assessment referral and to collect information to support the assessment process. Triage delegates</w:t>
      </w:r>
      <w:r w:rsidRPr="002313F7">
        <w:t xml:space="preserve"> must refer to the </w:t>
      </w:r>
      <w:r w:rsidRPr="00D02B33">
        <w:t>IAT User Guide</w:t>
      </w:r>
      <w:r w:rsidRPr="002313F7">
        <w:t xml:space="preserve"> to ensure competency in the use of the </w:t>
      </w:r>
      <w:r>
        <w:t xml:space="preserve">IAT </w:t>
      </w:r>
      <w:r w:rsidRPr="002313F7">
        <w:t xml:space="preserve">and in the delivery of high-quality </w:t>
      </w:r>
      <w:r>
        <w:t>triage. Triage delegates are also required to complete mandatory online induction training and triage delegate training before undertaking the triage component of the IAT.</w:t>
      </w:r>
    </w:p>
    <w:tbl>
      <w:tblPr>
        <w:tblStyle w:val="TableGrid"/>
        <w:tblW w:w="9730" w:type="dxa"/>
        <w:tblLayout w:type="fixed"/>
        <w:tblLook w:val="04A0" w:firstRow="1" w:lastRow="0" w:firstColumn="1" w:lastColumn="0" w:noHBand="0" w:noVBand="1"/>
      </w:tblPr>
      <w:tblGrid>
        <w:gridCol w:w="988"/>
        <w:gridCol w:w="8742"/>
      </w:tblGrid>
      <w:tr w:rsidR="007A743C" w14:paraId="6F7F1447" w14:textId="77777777">
        <w:trPr>
          <w:trHeight w:val="300"/>
        </w:trPr>
        <w:tc>
          <w:tcPr>
            <w:tcW w:w="988" w:type="dxa"/>
          </w:tcPr>
          <w:p w14:paraId="3EB69554" w14:textId="77777777" w:rsidR="007A743C" w:rsidRDefault="007A743C" w:rsidP="00A677C9">
            <w:pPr>
              <w:spacing w:before="240" w:after="240"/>
              <w:rPr>
                <w:b/>
                <w:szCs w:val="22"/>
              </w:rPr>
            </w:pPr>
            <w:r>
              <w:rPr>
                <w:noProof/>
              </w:rPr>
              <w:drawing>
                <wp:inline distT="0" distB="0" distL="0" distR="0" wp14:anchorId="45FD9206" wp14:editId="2BD7C53A">
                  <wp:extent cx="383111" cy="381000"/>
                  <wp:effectExtent l="0" t="0" r="0" b="0"/>
                  <wp:docPr id="374214182" name="Picture 37421418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742" w:type="dxa"/>
          </w:tcPr>
          <w:p w14:paraId="7D8B9925" w14:textId="77777777" w:rsidR="007A743C" w:rsidRPr="008750A7" w:rsidRDefault="007A743C" w:rsidP="00A677C9">
            <w:pPr>
              <w:spacing w:before="240" w:after="240"/>
            </w:pPr>
            <w:r>
              <w:t xml:space="preserve">See the </w:t>
            </w:r>
            <w:hyperlink r:id="rId137">
              <w:r w:rsidRPr="19ECD6C9">
                <w:rPr>
                  <w:rStyle w:val="Hyperlink"/>
                </w:rPr>
                <w:t>IAT User Guide</w:t>
              </w:r>
            </w:hyperlink>
            <w:r>
              <w:t xml:space="preserve"> for further information.</w:t>
            </w:r>
          </w:p>
        </w:tc>
      </w:tr>
    </w:tbl>
    <w:p w14:paraId="3C7D7F48" w14:textId="77777777" w:rsidR="007A743C" w:rsidRDefault="007A743C" w:rsidP="00A677C9">
      <w:pPr>
        <w:spacing w:before="240" w:after="240" w:line="240" w:lineRule="auto"/>
      </w:pPr>
      <w:r>
        <w:t xml:space="preserve">Triage delegates will be able to choose whether information gathered at screening is </w:t>
      </w:r>
      <w:r w:rsidRPr="001C0259">
        <w:t xml:space="preserve">pre-populated into the triage </w:t>
      </w:r>
      <w:r>
        <w:t xml:space="preserve">component of the IAT. Pre-populating information will help reduce the older person’s need to repeat their story. </w:t>
      </w:r>
    </w:p>
    <w:p w14:paraId="3588C918" w14:textId="77777777" w:rsidR="007A743C" w:rsidRDefault="007A743C" w:rsidP="00A677C9">
      <w:pPr>
        <w:spacing w:before="240" w:after="240" w:line="240" w:lineRule="auto"/>
      </w:pPr>
      <w:r>
        <w:t xml:space="preserve">The triage component of the IAT comprises questions relating to the reason for their assessment, current access to services, function, general health and general wellbeing and safety. </w:t>
      </w:r>
    </w:p>
    <w:p w14:paraId="6741A2D6" w14:textId="276574EF" w:rsidR="009B6ECD" w:rsidRDefault="00053A1D" w:rsidP="00A677C9">
      <w:pPr>
        <w:spacing w:before="240" w:after="240" w:line="240" w:lineRule="auto"/>
      </w:pPr>
      <w:r>
        <w:t xml:space="preserve">When conducting triage with older Aboriginal and Torres Strait Islander clients, </w:t>
      </w:r>
      <w:r w:rsidR="00032E02">
        <w:t>a</w:t>
      </w:r>
      <w:r w:rsidR="009B6ECD">
        <w:t xml:space="preserve"> </w:t>
      </w:r>
      <w:r w:rsidR="00032E02">
        <w:t>t</w:t>
      </w:r>
      <w:r w:rsidR="009B6ECD">
        <w:t xml:space="preserve">riage </w:t>
      </w:r>
      <w:r w:rsidR="00032E02">
        <w:t>d</w:t>
      </w:r>
      <w:r w:rsidR="009B6ECD">
        <w:t xml:space="preserve">elegate should exercise discretion and professional judgement on how information is solicited from clients during the </w:t>
      </w:r>
      <w:r w:rsidR="00112A9D">
        <w:t>t</w:t>
      </w:r>
      <w:r w:rsidR="009B6ECD">
        <w:t>riage process. This includes ensuring that information is collected in a culturally safe manner. including the appropriate use of the IAT. A yarning approach may be employed to collect the necessary information and with consent from the older person, support persons may be present during the Triage process.</w:t>
      </w:r>
    </w:p>
    <w:p w14:paraId="72302F3E" w14:textId="2FFA59A4" w:rsidR="001702AA" w:rsidRDefault="00A05F46" w:rsidP="009C4600">
      <w:pPr>
        <w:spacing w:before="240" w:after="240" w:line="240" w:lineRule="auto"/>
      </w:pPr>
      <w:r>
        <w:t xml:space="preserve">Where possible, the </w:t>
      </w:r>
      <w:r w:rsidR="00032E02">
        <w:t>t</w:t>
      </w:r>
      <w:r>
        <w:t xml:space="preserve">riage </w:t>
      </w:r>
      <w:r w:rsidR="00032E02">
        <w:t>d</w:t>
      </w:r>
      <w:r>
        <w:t>elegate should liaise with the client’s GP, service provider and support networks to help inform the triage process. The approach allows relevant information to be gathered in advance and confirmed during triage, reducing the need for the client to repeat their story multiple times.</w:t>
      </w:r>
    </w:p>
    <w:p w14:paraId="48BFF9A4" w14:textId="77777777" w:rsidR="000E0B6C" w:rsidRPr="000027E3" w:rsidRDefault="007A743C" w:rsidP="00C325C6">
      <w:pPr>
        <w:pStyle w:val="Sub-headings"/>
      </w:pPr>
      <w:r w:rsidRPr="00904192">
        <w:t>Note</w:t>
      </w:r>
      <w:r w:rsidR="000E0B6C" w:rsidRPr="000027E3">
        <w:t>:</w:t>
      </w:r>
    </w:p>
    <w:p w14:paraId="235BF7C9" w14:textId="77777777" w:rsidR="00DF2B65" w:rsidRDefault="000E0B6C" w:rsidP="00C325C6">
      <w:pPr>
        <w:pStyle w:val="Sub-headings"/>
      </w:pPr>
      <w:r>
        <w:t>F</w:t>
      </w:r>
      <w:r w:rsidR="007A743C" w:rsidRPr="005906C6">
        <w:t>or referrals for the End-of-Life Pathway, triage questions will be optional so there is flexibility to only ask questions that are appropriate to the individual.</w:t>
      </w:r>
    </w:p>
    <w:p w14:paraId="000DD0C1" w14:textId="6B7E100E" w:rsidR="000E0B6C" w:rsidRDefault="007A743C" w:rsidP="00C325C6">
      <w:pPr>
        <w:pStyle w:val="Sub-headings"/>
      </w:pPr>
      <w:r w:rsidRPr="005906C6">
        <w:t>When completing the Triage section</w:t>
      </w:r>
      <w:r>
        <w:t xml:space="preserve"> of the IAT</w:t>
      </w:r>
      <w:r w:rsidRPr="005906C6">
        <w:t>, the triage delegate must provide clear justification in the 'Outcome/advice for assessment notes' field to support the recommended assessment type. This justification should explain why the selected assessment type is appropriate.</w:t>
      </w:r>
    </w:p>
    <w:p w14:paraId="5C17A307" w14:textId="295D0F82" w:rsidR="007A743C" w:rsidRDefault="007A743C" w:rsidP="000E0B6C">
      <w:pPr>
        <w:spacing w:before="240" w:after="240" w:line="240" w:lineRule="auto"/>
      </w:pPr>
      <w:r w:rsidRPr="004643E8">
        <w:t xml:space="preserve">At the conclusion of </w:t>
      </w:r>
      <w:r>
        <w:t xml:space="preserve">the </w:t>
      </w:r>
      <w:r w:rsidRPr="004643E8">
        <w:t>triage</w:t>
      </w:r>
      <w:r>
        <w:t xml:space="preserve"> component of the IAT</w:t>
      </w:r>
      <w:r w:rsidRPr="004643E8">
        <w:t xml:space="preserve">, </w:t>
      </w:r>
      <w:r>
        <w:t>triage delegates</w:t>
      </w:r>
      <w:r w:rsidRPr="004643E8">
        <w:t xml:space="preserve"> will </w:t>
      </w:r>
      <w:r>
        <w:t xml:space="preserve">confirm eligibility for an assessment, the assessment type, </w:t>
      </w:r>
      <w:r w:rsidR="00A52564">
        <w:t xml:space="preserve">assessment </w:t>
      </w:r>
      <w:r>
        <w:t>priority and whether urgent services and/or linking supports are required, in instances where these services were not provided at screening. In the case of End-of-Life Pathway referrals, if an End-of-Life Pathway Form has not already been submitted, the triage delegate should advise the older person of the steps required</w:t>
      </w:r>
      <w:r w:rsidR="0029605B">
        <w:t>. More information on the End-of-Life Pathway Form is included under section 5.3.4.</w:t>
      </w:r>
      <w:r>
        <w:t xml:space="preserve"> </w:t>
      </w:r>
    </w:p>
    <w:p w14:paraId="11D61C43" w14:textId="5CD8CEB9" w:rsidR="007A743C" w:rsidRDefault="007A743C" w:rsidP="00A677C9">
      <w:pPr>
        <w:spacing w:before="240" w:after="240" w:line="240" w:lineRule="auto"/>
        <w:rPr>
          <w:rStyle w:val="normaltextrun"/>
        </w:rPr>
      </w:pPr>
      <w:r>
        <w:rPr>
          <w:rStyle w:val="normaltextrun"/>
        </w:rPr>
        <w:t>I</w:t>
      </w:r>
      <w:r w:rsidRPr="24C8D086">
        <w:rPr>
          <w:rStyle w:val="normaltextrun"/>
        </w:rPr>
        <w:t xml:space="preserve">f the </w:t>
      </w:r>
      <w:r w:rsidR="00404035">
        <w:rPr>
          <w:rStyle w:val="normaltextrun"/>
        </w:rPr>
        <w:t>T</w:t>
      </w:r>
      <w:r>
        <w:rPr>
          <w:rStyle w:val="normaltextrun"/>
        </w:rPr>
        <w:t xml:space="preserve">riage </w:t>
      </w:r>
      <w:r w:rsidR="00404035">
        <w:rPr>
          <w:rStyle w:val="normaltextrun"/>
        </w:rPr>
        <w:t>D</w:t>
      </w:r>
      <w:r>
        <w:rPr>
          <w:rStyle w:val="normaltextrun"/>
        </w:rPr>
        <w:t xml:space="preserve">elegate </w:t>
      </w:r>
      <w:r w:rsidRPr="00BF184A">
        <w:t>disagrees</w:t>
      </w:r>
      <w:r w:rsidRPr="24C8D086">
        <w:rPr>
          <w:rStyle w:val="normaltextrun"/>
        </w:rPr>
        <w:t xml:space="preserve"> with the assessment type and/or priority </w:t>
      </w:r>
      <w:r w:rsidRPr="00A62C79">
        <w:t>recommendations</w:t>
      </w:r>
      <w:r w:rsidRPr="24C8D086">
        <w:rPr>
          <w:rStyle w:val="normaltextrun"/>
        </w:rPr>
        <w:t xml:space="preserve"> </w:t>
      </w:r>
      <w:r>
        <w:rPr>
          <w:rStyle w:val="normaltextrun"/>
        </w:rPr>
        <w:t xml:space="preserve">made </w:t>
      </w:r>
      <w:r w:rsidRPr="24C8D086">
        <w:rPr>
          <w:rStyle w:val="normaltextrun"/>
        </w:rPr>
        <w:t xml:space="preserve">at </w:t>
      </w:r>
      <w:r>
        <w:rPr>
          <w:rStyle w:val="normaltextrun"/>
        </w:rPr>
        <w:t xml:space="preserve">the </w:t>
      </w:r>
      <w:r w:rsidRPr="24C8D086">
        <w:rPr>
          <w:rStyle w:val="normaltextrun"/>
        </w:rPr>
        <w:t>screening</w:t>
      </w:r>
      <w:r>
        <w:rPr>
          <w:rStyle w:val="normaltextrun"/>
        </w:rPr>
        <w:t xml:space="preserve"> stage</w:t>
      </w:r>
      <w:r w:rsidRPr="24C8D086">
        <w:rPr>
          <w:rStyle w:val="normaltextrun"/>
        </w:rPr>
        <w:t xml:space="preserve">, the </w:t>
      </w:r>
      <w:r>
        <w:rPr>
          <w:rStyle w:val="normaltextrun"/>
        </w:rPr>
        <w:t xml:space="preserve">triage delegate </w:t>
      </w:r>
      <w:r w:rsidRPr="24C8D086">
        <w:rPr>
          <w:rStyle w:val="normaltextrun"/>
        </w:rPr>
        <w:t>will have the ability to change the recommendations.</w:t>
      </w:r>
    </w:p>
    <w:p w14:paraId="5E06EC36" w14:textId="77777777" w:rsidR="007A743C" w:rsidRPr="00671A4D" w:rsidRDefault="007A743C" w:rsidP="00A677C9">
      <w:pPr>
        <w:spacing w:before="240" w:after="240" w:line="240" w:lineRule="auto"/>
      </w:pPr>
      <w:r w:rsidRPr="00671A4D">
        <w:t>After triage, the team leader may also transfer the older person to another assessment organisation if appropriate. The team leader should ensure the older person understands why they are being transferred, and that the receiving assessment organisation is aware that they will receive the referral. </w:t>
      </w:r>
    </w:p>
    <w:p w14:paraId="5F44711F" w14:textId="77777777" w:rsidR="000E0B6C" w:rsidRPr="000027E3" w:rsidRDefault="007A743C" w:rsidP="00C325C6">
      <w:pPr>
        <w:pStyle w:val="Sub-headings"/>
      </w:pPr>
      <w:r w:rsidRPr="00904192">
        <w:t>Note</w:t>
      </w:r>
      <w:r w:rsidRPr="000027E3">
        <w:t xml:space="preserve">: </w:t>
      </w:r>
    </w:p>
    <w:p w14:paraId="2982DD44" w14:textId="7B524EF3" w:rsidR="00DF2B65" w:rsidRDefault="007A743C" w:rsidP="00C325C6">
      <w:pPr>
        <w:pStyle w:val="Sub-headings"/>
        <w:rPr>
          <w:rStyle w:val="normaltextrun"/>
        </w:rPr>
      </w:pPr>
      <w:r w:rsidRPr="00DB4ADA">
        <w:rPr>
          <w:rStyle w:val="normaltextrun"/>
        </w:rPr>
        <w:t xml:space="preserve">If the older person is deemed to be ineligible for a needs assessment, the </w:t>
      </w:r>
      <w:r w:rsidR="000B3070">
        <w:rPr>
          <w:rStyle w:val="normaltextrun"/>
        </w:rPr>
        <w:t>t</w:t>
      </w:r>
      <w:r w:rsidRPr="00DB4ADA">
        <w:rPr>
          <w:rStyle w:val="normaltextrun"/>
        </w:rPr>
        <w:t xml:space="preserve">riage </w:t>
      </w:r>
      <w:r w:rsidR="000B3070">
        <w:rPr>
          <w:rStyle w:val="normaltextrun"/>
        </w:rPr>
        <w:t>d</w:t>
      </w:r>
      <w:r w:rsidRPr="00DB4ADA">
        <w:rPr>
          <w:rStyle w:val="normaltextrun"/>
        </w:rPr>
        <w:t xml:space="preserve">elegate should communicate the decision and inform them how to request an assessment in the future (this can occur at a separate time to the initial phone call, if necessary). </w:t>
      </w:r>
    </w:p>
    <w:p w14:paraId="57899471" w14:textId="77777777" w:rsidR="00DF2B65" w:rsidRDefault="007A743C" w:rsidP="00C325C6">
      <w:pPr>
        <w:pStyle w:val="Sub-headings"/>
        <w:rPr>
          <w:rStyle w:val="normaltextrun"/>
        </w:rPr>
      </w:pPr>
      <w:r w:rsidRPr="00DB4ADA">
        <w:rPr>
          <w:rStyle w:val="normaltextrun"/>
        </w:rPr>
        <w:t xml:space="preserve">Effective communication with the older person (and their active, appointed decision maker or registered supporter, where appropriate) on a decision to not recommend an assessment, and effective communication between assessors, assists with managing expectations and reducing complaints. </w:t>
      </w:r>
    </w:p>
    <w:p w14:paraId="4AA0C475" w14:textId="72E1B27F" w:rsidR="007A743C" w:rsidRPr="00987B59" w:rsidRDefault="007A743C" w:rsidP="00C325C6">
      <w:pPr>
        <w:pStyle w:val="Sub-headings"/>
        <w:rPr>
          <w:rStyle w:val="normaltextrun"/>
        </w:rPr>
      </w:pPr>
      <w:r w:rsidRPr="00DB4ADA">
        <w:rPr>
          <w:rStyle w:val="normaltextrun"/>
        </w:rPr>
        <w:t xml:space="preserve">An ‘Ineligible for Assessment Letter’ will need to be sent to the older person (and registered supporters, as required under the Act) as notice of this decision. </w:t>
      </w:r>
    </w:p>
    <w:p w14:paraId="149DAB7A" w14:textId="2C939A30" w:rsidR="007A743C" w:rsidRPr="00CA6BC6" w:rsidRDefault="007A743C" w:rsidP="00A677C9">
      <w:pPr>
        <w:spacing w:before="240" w:after="240" w:line="240" w:lineRule="auto"/>
        <w:rPr>
          <w:lang w:val="en"/>
        </w:rPr>
      </w:pPr>
      <w:r>
        <w:br/>
        <w:t>Within the IAT, t</w:t>
      </w:r>
      <w:r w:rsidRPr="754519F4">
        <w:t>he</w:t>
      </w:r>
      <w:r>
        <w:t xml:space="preserve"> </w:t>
      </w:r>
      <w:r w:rsidR="008C088C">
        <w:t>t</w:t>
      </w:r>
      <w:r>
        <w:t xml:space="preserve">riage </w:t>
      </w:r>
      <w:r w:rsidR="008C088C">
        <w:t>d</w:t>
      </w:r>
      <w:r>
        <w:t>elegate will be able to consider the type of assessor recommended for the older person’s assessment, having regard to:</w:t>
      </w:r>
    </w:p>
    <w:p w14:paraId="7FC81B2B" w14:textId="77777777" w:rsidR="007A743C" w:rsidRPr="00CA6BC6" w:rsidRDefault="007A743C" w:rsidP="00DF3F6B">
      <w:pPr>
        <w:pStyle w:val="ListParagraph"/>
        <w:numPr>
          <w:ilvl w:val="0"/>
          <w:numId w:val="82"/>
        </w:numPr>
        <w:spacing w:before="240" w:after="240" w:line="240" w:lineRule="auto"/>
        <w:ind w:left="567" w:hanging="283"/>
        <w:rPr>
          <w:lang w:val="en"/>
        </w:rPr>
      </w:pPr>
      <w:r w:rsidRPr="00CA6BC6">
        <w:rPr>
          <w:lang w:val="en"/>
        </w:rPr>
        <w:t>relevant cultural background or understanding</w:t>
      </w:r>
    </w:p>
    <w:p w14:paraId="3AC73523" w14:textId="71C1FE6A" w:rsidR="007A743C" w:rsidRPr="00CA6BC6" w:rsidRDefault="007A743C" w:rsidP="00DF3F6B">
      <w:pPr>
        <w:pStyle w:val="ListParagraph"/>
        <w:numPr>
          <w:ilvl w:val="0"/>
          <w:numId w:val="82"/>
        </w:numPr>
        <w:spacing w:before="240" w:after="240" w:line="240" w:lineRule="auto"/>
        <w:ind w:left="567" w:hanging="283"/>
        <w:rPr>
          <w:lang w:val="en-US"/>
        </w:rPr>
      </w:pPr>
      <w:r w:rsidRPr="78E43FD9">
        <w:rPr>
          <w:lang w:val="en-US"/>
        </w:rPr>
        <w:t xml:space="preserve">who has the expertise to address the diverse needs of the </w:t>
      </w:r>
      <w:r>
        <w:rPr>
          <w:lang w:val="en-US"/>
        </w:rPr>
        <w:t>older person</w:t>
      </w:r>
      <w:r w:rsidR="20A430D1" w:rsidRPr="7DD55CF5">
        <w:rPr>
          <w:lang w:val="en-US"/>
        </w:rPr>
        <w:t>, such as part trauma</w:t>
      </w:r>
    </w:p>
    <w:p w14:paraId="074E4494" w14:textId="77777777" w:rsidR="007A743C" w:rsidRDefault="007A743C" w:rsidP="00DF3F6B">
      <w:pPr>
        <w:pStyle w:val="ListParagraph"/>
        <w:numPr>
          <w:ilvl w:val="0"/>
          <w:numId w:val="82"/>
        </w:numPr>
        <w:spacing w:before="240" w:after="240" w:line="240" w:lineRule="auto"/>
        <w:ind w:left="567" w:hanging="283"/>
      </w:pPr>
      <w:r w:rsidRPr="280D4BDE">
        <w:rPr>
          <w:lang w:val="en-US"/>
        </w:rPr>
        <w:t xml:space="preserve">who </w:t>
      </w:r>
      <w:r w:rsidRPr="78E43FD9">
        <w:rPr>
          <w:lang w:val="en-US"/>
        </w:rPr>
        <w:t xml:space="preserve">is geographically closest to the </w:t>
      </w:r>
      <w:r>
        <w:rPr>
          <w:lang w:val="en-US"/>
        </w:rPr>
        <w:t>older person</w:t>
      </w:r>
      <w:r w:rsidRPr="78E43FD9">
        <w:rPr>
          <w:lang w:val="en-US"/>
        </w:rPr>
        <w:t xml:space="preserve">, which helps to ensure the </w:t>
      </w:r>
      <w:r>
        <w:rPr>
          <w:lang w:val="en-US"/>
        </w:rPr>
        <w:t>older person</w:t>
      </w:r>
      <w:r w:rsidRPr="78E43FD9">
        <w:rPr>
          <w:lang w:val="en-US"/>
        </w:rPr>
        <w:t xml:space="preserve"> is assessed in the most efficient, effective and timely manner.</w:t>
      </w:r>
    </w:p>
    <w:p w14:paraId="60A99278" w14:textId="5DDC4680" w:rsidR="007A743C" w:rsidRDefault="00DA359A" w:rsidP="00C56CEC">
      <w:pPr>
        <w:pStyle w:val="H3"/>
      </w:pPr>
      <w:bookmarkStart w:id="360" w:name="_Ref212733155"/>
      <w:bookmarkStart w:id="361" w:name="_Toc198813674"/>
      <w:bookmarkEnd w:id="348"/>
      <w:r>
        <w:t>Referring for urgent services and linking support at triage</w:t>
      </w:r>
      <w:bookmarkEnd w:id="360"/>
    </w:p>
    <w:p w14:paraId="2ACAF0F7" w14:textId="152F4412" w:rsidR="006B04D2" w:rsidRPr="00DB4ADA" w:rsidRDefault="006B04D2" w:rsidP="00A677C9">
      <w:pPr>
        <w:spacing w:before="240" w:after="240" w:line="240" w:lineRule="auto"/>
        <w:rPr>
          <w:rFonts w:ascii="Calibri" w:hAnsi="Calibri" w:cs="Calibri"/>
          <w:color w:val="000000" w:themeColor="text1"/>
          <w:szCs w:val="22"/>
        </w:rPr>
      </w:pPr>
      <w:r w:rsidRPr="006B04D2">
        <w:t>Triage delegates are responsible for determining whether individuals require referrals under the Alternative Entry Pathway. This allows clients to access services prior to undergoing an assessment.</w:t>
      </w:r>
    </w:p>
    <w:p w14:paraId="50A38F56" w14:textId="36482F83" w:rsidR="007A743C" w:rsidRPr="00617351" w:rsidRDefault="006B04D2" w:rsidP="00A677C9">
      <w:pPr>
        <w:spacing w:before="240" w:after="240" w:line="240" w:lineRule="auto"/>
        <w:rPr>
          <w:rFonts w:ascii="Calibri" w:hAnsi="Calibri" w:cs="Calibri"/>
          <w:color w:val="000000" w:themeColor="text1"/>
        </w:rPr>
      </w:pPr>
      <w:r w:rsidRPr="006B04D2">
        <w:t xml:space="preserve">The </w:t>
      </w:r>
      <w:r w:rsidR="00F01767">
        <w:t>t</w:t>
      </w:r>
      <w:r w:rsidRPr="006B04D2">
        <w:t xml:space="preserve">riage section of the IAT includes a question about an older person’s need for urgent service </w:t>
      </w:r>
      <w:r w:rsidR="006C5462" w:rsidRPr="006B04D2">
        <w:t>provision;</w:t>
      </w:r>
      <w:r w:rsidRPr="006B04D2">
        <w:t xml:space="preserve"> </w:t>
      </w:r>
      <w:r w:rsidRPr="006B04D2">
        <w:rPr>
          <w:i/>
        </w:rPr>
        <w:t>Does the client require urgent service provision (direct to service)?</w:t>
      </w:r>
      <w:r w:rsidRPr="006B04D2">
        <w:t xml:space="preserve"> This </w:t>
      </w:r>
      <w:r w:rsidR="00F01767">
        <w:t xml:space="preserve">is </w:t>
      </w:r>
      <w:r w:rsidRPr="006B04D2">
        <w:t xml:space="preserve">a mandatory question and requires a </w:t>
      </w:r>
      <w:r w:rsidRPr="006B04D2">
        <w:rPr>
          <w:i/>
        </w:rPr>
        <w:t>Yes</w:t>
      </w:r>
      <w:r w:rsidRPr="006B04D2">
        <w:t xml:space="preserve"> or </w:t>
      </w:r>
      <w:r w:rsidRPr="006B04D2">
        <w:rPr>
          <w:i/>
        </w:rPr>
        <w:t>No</w:t>
      </w:r>
      <w:r w:rsidRPr="006B04D2">
        <w:t xml:space="preserve"> answer and details must be added to a free text box. This question is used to determine the need for urgent services via the Alternative Entry pathway. Information on issuing referrals under the Alternative Entry Pathway is included in Chapter </w:t>
      </w:r>
      <w:r w:rsidR="00485278">
        <w:fldChar w:fldCharType="begin"/>
      </w:r>
      <w:r w:rsidR="00485278">
        <w:instrText xml:space="preserve"> REF _Ref212735695 \w \h </w:instrText>
      </w:r>
      <w:r w:rsidR="00485278">
        <w:fldChar w:fldCharType="separate"/>
      </w:r>
      <w:r w:rsidR="00F97942">
        <w:t>3</w:t>
      </w:r>
      <w:r w:rsidR="00485278">
        <w:fldChar w:fldCharType="end"/>
      </w:r>
      <w:r w:rsidRPr="006B04D2">
        <w:t>.</w:t>
      </w:r>
    </w:p>
    <w:p w14:paraId="2DBEB9E6" w14:textId="1744F0EB" w:rsidR="007A743C" w:rsidRPr="00B149D6" w:rsidRDefault="007A743C" w:rsidP="00A677C9">
      <w:pPr>
        <w:spacing w:before="240" w:after="240" w:line="240" w:lineRule="auto"/>
        <w:ind w:left="-20" w:right="-20"/>
        <w:rPr>
          <w:szCs w:val="22"/>
        </w:rPr>
      </w:pPr>
      <w:r w:rsidRPr="00B149D6">
        <w:rPr>
          <w:szCs w:val="22"/>
        </w:rPr>
        <w:t xml:space="preserve">Even if the urgent services are </w:t>
      </w:r>
      <w:r w:rsidR="006358C8">
        <w:rPr>
          <w:szCs w:val="22"/>
        </w:rPr>
        <w:t>only required for a short period</w:t>
      </w:r>
      <w:r w:rsidRPr="00B149D6">
        <w:rPr>
          <w:szCs w:val="22"/>
        </w:rPr>
        <w:t>, the older person will still be required to undergo an assessment.</w:t>
      </w:r>
    </w:p>
    <w:p w14:paraId="66E20670" w14:textId="367E63CA" w:rsidR="005C61C4" w:rsidRPr="00B149D6" w:rsidRDefault="007A743C" w:rsidP="00A677C9">
      <w:pPr>
        <w:spacing w:before="240" w:after="240" w:line="240" w:lineRule="auto"/>
        <w:ind w:right="-20"/>
        <w:rPr>
          <w:szCs w:val="22"/>
          <w:lang w:val="en"/>
        </w:rPr>
      </w:pPr>
      <w:r w:rsidRPr="00B149D6">
        <w:rPr>
          <w:szCs w:val="22"/>
        </w:rPr>
        <w:t>The triage delegate may also identify and recommend linking supports for the older person following triage, or for consideration by the assessor at assessment.</w:t>
      </w:r>
    </w:p>
    <w:p w14:paraId="2BE1B5CC" w14:textId="669C8401" w:rsidR="00265669" w:rsidRPr="000E0B6C" w:rsidRDefault="00D213C6" w:rsidP="00C56CEC">
      <w:pPr>
        <w:pStyle w:val="H3"/>
      </w:pPr>
      <w:r w:rsidRPr="005E4E0E">
        <w:rPr>
          <w:noProof/>
        </w:rPr>
        <w:drawing>
          <wp:anchor distT="0" distB="0" distL="114300" distR="114300" simplePos="0" relativeHeight="251658294" behindDoc="0" locked="0" layoutInCell="1" allowOverlap="1" wp14:anchorId="654DCEF0" wp14:editId="1D80FA59">
            <wp:simplePos x="0" y="0"/>
            <wp:positionH relativeFrom="margin">
              <wp:align>left</wp:align>
            </wp:positionH>
            <wp:positionV relativeFrom="paragraph">
              <wp:posOffset>6012</wp:posOffset>
            </wp:positionV>
            <wp:extent cx="457200" cy="502920"/>
            <wp:effectExtent l="0" t="0" r="0" b="0"/>
            <wp:wrapSquare wrapText="bothSides"/>
            <wp:docPr id="2019276622" name="Picture 201927662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07264C">
        <w:t xml:space="preserve">Triage for clients who have been referred through a </w:t>
      </w:r>
      <w:r w:rsidR="14AA6FB2" w:rsidRPr="0007264C">
        <w:t>s</w:t>
      </w:r>
      <w:r w:rsidR="007A743C" w:rsidRPr="0007264C">
        <w:t xml:space="preserve">upport </w:t>
      </w:r>
      <w:r w:rsidR="5EE6361E" w:rsidRPr="0007264C">
        <w:t>p</w:t>
      </w:r>
      <w:r w:rsidR="007A743C" w:rsidRPr="0007264C">
        <w:t xml:space="preserve">lan </w:t>
      </w:r>
      <w:r w:rsidR="6E94D35D" w:rsidRPr="0007264C">
        <w:t>r</w:t>
      </w:r>
      <w:r w:rsidR="007A743C" w:rsidRPr="0007264C">
        <w:t>eview</w:t>
      </w:r>
    </w:p>
    <w:p w14:paraId="01D31E94" w14:textId="77777777" w:rsidR="007A743C" w:rsidRDefault="007A743C" w:rsidP="00A677C9">
      <w:pPr>
        <w:spacing w:before="240" w:after="240" w:line="240" w:lineRule="auto"/>
        <w:ind w:left="10" w:hanging="10"/>
      </w:pPr>
      <w:r w:rsidRPr="750E6385">
        <w:rPr>
          <w:rFonts w:eastAsia="Arial"/>
          <w:color w:val="000000" w:themeColor="text1"/>
          <w:szCs w:val="22"/>
        </w:rPr>
        <w:t xml:space="preserve">In submitting a request for a </w:t>
      </w:r>
      <w:r>
        <w:rPr>
          <w:rFonts w:eastAsia="Arial"/>
          <w:color w:val="000000" w:themeColor="text1"/>
          <w:szCs w:val="22"/>
        </w:rPr>
        <w:t>reassessment</w:t>
      </w:r>
      <w:r w:rsidRPr="750E6385">
        <w:rPr>
          <w:rFonts w:eastAsia="Arial"/>
          <w:color w:val="000000" w:themeColor="text1"/>
          <w:szCs w:val="22"/>
        </w:rPr>
        <w:t xml:space="preserve"> following a SPR, the assessor is required to indicate whether they have spoken with the client and provide a summary of that conversation. </w:t>
      </w:r>
    </w:p>
    <w:p w14:paraId="1B48B82F" w14:textId="1FE1D75B" w:rsidR="007A743C" w:rsidRDefault="007A743C" w:rsidP="00DF3F6B">
      <w:pPr>
        <w:pStyle w:val="ListParagraph"/>
        <w:numPr>
          <w:ilvl w:val="0"/>
          <w:numId w:val="140"/>
        </w:numPr>
        <w:spacing w:before="240" w:after="240" w:line="240" w:lineRule="auto"/>
        <w:rPr>
          <w:rFonts w:eastAsia="Arial"/>
          <w:color w:val="000000" w:themeColor="text1"/>
          <w:szCs w:val="22"/>
        </w:rPr>
      </w:pPr>
      <w:r w:rsidRPr="750E6385">
        <w:rPr>
          <w:rFonts w:eastAsia="Arial"/>
          <w:color w:val="000000" w:themeColor="text1"/>
          <w:szCs w:val="22"/>
        </w:rPr>
        <w:t xml:space="preserve">Where a conversation with the client has already occurred, the </w:t>
      </w:r>
      <w:r w:rsidR="005658C5">
        <w:rPr>
          <w:rFonts w:eastAsia="Arial"/>
          <w:color w:val="000000" w:themeColor="text1"/>
          <w:szCs w:val="22"/>
        </w:rPr>
        <w:t>t</w:t>
      </w:r>
      <w:r w:rsidRPr="750E6385">
        <w:rPr>
          <w:rFonts w:eastAsia="Arial"/>
          <w:color w:val="000000" w:themeColor="text1"/>
          <w:szCs w:val="22"/>
        </w:rPr>
        <w:t xml:space="preserve">riage </w:t>
      </w:r>
      <w:r w:rsidR="005658C5">
        <w:rPr>
          <w:rFonts w:eastAsia="Arial"/>
          <w:color w:val="000000" w:themeColor="text1"/>
          <w:szCs w:val="22"/>
        </w:rPr>
        <w:t>d</w:t>
      </w:r>
      <w:r w:rsidRPr="750E6385">
        <w:rPr>
          <w:rFonts w:eastAsia="Arial"/>
          <w:color w:val="000000" w:themeColor="text1"/>
          <w:szCs w:val="22"/>
        </w:rPr>
        <w:t xml:space="preserve">elegate should consider the conversation summary provided by the assessor as necessary. </w:t>
      </w:r>
    </w:p>
    <w:p w14:paraId="4FCEA131" w14:textId="348D32BB" w:rsidR="007A743C" w:rsidRDefault="007A743C" w:rsidP="00DF3F6B">
      <w:pPr>
        <w:pStyle w:val="ListParagraph"/>
        <w:numPr>
          <w:ilvl w:val="0"/>
          <w:numId w:val="140"/>
        </w:numPr>
        <w:spacing w:before="240" w:after="240" w:line="240" w:lineRule="auto"/>
        <w:rPr>
          <w:rFonts w:eastAsia="Arial"/>
          <w:color w:val="000000" w:themeColor="text1"/>
          <w:szCs w:val="22"/>
        </w:rPr>
      </w:pPr>
      <w:r w:rsidRPr="750E6385">
        <w:rPr>
          <w:rFonts w:eastAsia="Arial"/>
          <w:color w:val="000000" w:themeColor="text1"/>
          <w:szCs w:val="22"/>
        </w:rPr>
        <w:t xml:space="preserve">If satisfied, the </w:t>
      </w:r>
      <w:r w:rsidR="005658C5">
        <w:rPr>
          <w:rFonts w:eastAsia="Arial"/>
          <w:color w:val="000000" w:themeColor="text1"/>
          <w:szCs w:val="22"/>
        </w:rPr>
        <w:t>t</w:t>
      </w:r>
      <w:r w:rsidRPr="750E6385">
        <w:rPr>
          <w:rFonts w:eastAsia="Arial"/>
          <w:color w:val="000000" w:themeColor="text1"/>
          <w:szCs w:val="22"/>
        </w:rPr>
        <w:t xml:space="preserve">riage </w:t>
      </w:r>
      <w:r w:rsidR="005658C5">
        <w:rPr>
          <w:rFonts w:eastAsia="Arial"/>
          <w:color w:val="000000" w:themeColor="text1"/>
          <w:szCs w:val="22"/>
        </w:rPr>
        <w:t>d</w:t>
      </w:r>
      <w:r w:rsidRPr="750E6385">
        <w:rPr>
          <w:rFonts w:eastAsia="Arial"/>
          <w:color w:val="000000" w:themeColor="text1"/>
          <w:szCs w:val="22"/>
        </w:rPr>
        <w:t xml:space="preserve">elegate should complete the triage questions </w:t>
      </w:r>
      <w:r w:rsidR="00D37BE7">
        <w:rPr>
          <w:rFonts w:eastAsia="Arial"/>
          <w:color w:val="000000" w:themeColor="text1"/>
          <w:szCs w:val="22"/>
        </w:rPr>
        <w:t>in</w:t>
      </w:r>
      <w:r w:rsidR="00D37BE7" w:rsidRPr="750E6385">
        <w:rPr>
          <w:rFonts w:eastAsia="Arial"/>
          <w:color w:val="000000" w:themeColor="text1"/>
          <w:szCs w:val="22"/>
        </w:rPr>
        <w:t xml:space="preserve"> </w:t>
      </w:r>
      <w:r w:rsidRPr="750E6385">
        <w:rPr>
          <w:rFonts w:eastAsia="Arial"/>
          <w:color w:val="000000" w:themeColor="text1"/>
          <w:szCs w:val="22"/>
        </w:rPr>
        <w:t>the IAT, without needing to speak with the client, given this occurred at the SPR stage. An assessment can then be scheduled for the client at a time that aligns with their priority setting.</w:t>
      </w:r>
    </w:p>
    <w:p w14:paraId="556254A0" w14:textId="5C8F5239" w:rsidR="00C31F51" w:rsidRDefault="00C31F51" w:rsidP="00DF3F6B">
      <w:pPr>
        <w:pStyle w:val="ListParagraph"/>
        <w:numPr>
          <w:ilvl w:val="0"/>
          <w:numId w:val="140"/>
        </w:numPr>
        <w:spacing w:before="240" w:after="240" w:line="240" w:lineRule="auto"/>
        <w:rPr>
          <w:rFonts w:eastAsia="Arial"/>
          <w:color w:val="000000" w:themeColor="text1"/>
          <w:szCs w:val="22"/>
        </w:rPr>
      </w:pPr>
      <w:r>
        <w:t xml:space="preserve">Where this occurs, </w:t>
      </w:r>
      <w:r w:rsidRPr="750E6385">
        <w:t xml:space="preserve">consent to complete IAT </w:t>
      </w:r>
      <w:r>
        <w:t>t</w:t>
      </w:r>
      <w:r w:rsidRPr="750E6385">
        <w:t xml:space="preserve">riage questions should be sought by the assessor when the assessor is speaking with the client (or their </w:t>
      </w:r>
      <w:r>
        <w:t>registered</w:t>
      </w:r>
      <w:r w:rsidRPr="750E6385">
        <w:t xml:space="preserve"> supporter</w:t>
      </w:r>
      <w:r>
        <w:t xml:space="preserve"> and/or appointed decision maker</w:t>
      </w:r>
      <w:r w:rsidRPr="750E6385">
        <w:t xml:space="preserve">) at the SPR stage. </w:t>
      </w:r>
      <w:r>
        <w:t xml:space="preserve">The assessor should note consent was provided in their summary to the triage delegate, to help enable the triage delegate to </w:t>
      </w:r>
      <w:r w:rsidR="00A912C0">
        <w:t xml:space="preserve">indicate the older person has consented to </w:t>
      </w:r>
      <w:r>
        <w:t xml:space="preserve">the IAT triage questions without needing to contact the older person again. </w:t>
      </w:r>
    </w:p>
    <w:p w14:paraId="46E30F5A" w14:textId="01835843" w:rsidR="007A743C" w:rsidRDefault="007A743C" w:rsidP="00A677C9">
      <w:pPr>
        <w:spacing w:before="240" w:after="240" w:line="240" w:lineRule="auto"/>
        <w:rPr>
          <w:rFonts w:eastAsia="Arial"/>
          <w:color w:val="000000" w:themeColor="text1"/>
          <w:szCs w:val="22"/>
        </w:rPr>
      </w:pPr>
      <w:r w:rsidRPr="750E6385">
        <w:rPr>
          <w:rFonts w:eastAsia="Arial"/>
          <w:color w:val="000000" w:themeColor="text1"/>
          <w:szCs w:val="22"/>
        </w:rPr>
        <w:t xml:space="preserve">If a conversation with the client has not occurred at the SPR stage, the </w:t>
      </w:r>
      <w:r w:rsidR="00B70CD6">
        <w:rPr>
          <w:rFonts w:eastAsia="Arial"/>
          <w:color w:val="000000" w:themeColor="text1"/>
          <w:szCs w:val="22"/>
        </w:rPr>
        <w:t>t</w:t>
      </w:r>
      <w:r w:rsidRPr="750E6385">
        <w:rPr>
          <w:rFonts w:eastAsia="Arial"/>
          <w:color w:val="000000" w:themeColor="text1"/>
          <w:szCs w:val="22"/>
        </w:rPr>
        <w:t xml:space="preserve">riage </w:t>
      </w:r>
      <w:r w:rsidR="00B70CD6">
        <w:rPr>
          <w:rFonts w:eastAsia="Arial"/>
          <w:color w:val="000000" w:themeColor="text1"/>
          <w:szCs w:val="22"/>
        </w:rPr>
        <w:t>d</w:t>
      </w:r>
      <w:r w:rsidRPr="750E6385">
        <w:rPr>
          <w:rFonts w:eastAsia="Arial"/>
          <w:color w:val="000000" w:themeColor="text1"/>
          <w:szCs w:val="22"/>
        </w:rPr>
        <w:t xml:space="preserve">elegate should speak with the client to confirm a significant change has occurred, drawing on the IAT triage questions to inform response. If the </w:t>
      </w:r>
      <w:r w:rsidR="00B70CD6">
        <w:rPr>
          <w:rFonts w:eastAsia="Arial"/>
          <w:color w:val="000000" w:themeColor="text1"/>
          <w:szCs w:val="22"/>
        </w:rPr>
        <w:t>t</w:t>
      </w:r>
      <w:r w:rsidRPr="750E6385">
        <w:rPr>
          <w:rFonts w:eastAsia="Arial"/>
          <w:color w:val="000000" w:themeColor="text1"/>
          <w:szCs w:val="22"/>
        </w:rPr>
        <w:t xml:space="preserve">riage </w:t>
      </w:r>
      <w:r w:rsidR="00B70CD6">
        <w:rPr>
          <w:rFonts w:eastAsia="Arial"/>
          <w:color w:val="000000" w:themeColor="text1"/>
          <w:szCs w:val="22"/>
        </w:rPr>
        <w:t>d</w:t>
      </w:r>
      <w:r w:rsidRPr="750E6385">
        <w:rPr>
          <w:rFonts w:eastAsia="Arial"/>
          <w:color w:val="000000" w:themeColor="text1"/>
          <w:szCs w:val="22"/>
        </w:rPr>
        <w:t xml:space="preserve">elegate is satisfied a significant change has occurred, they should complete the triage questions and recommend a </w:t>
      </w:r>
      <w:r>
        <w:rPr>
          <w:rFonts w:eastAsia="Arial"/>
          <w:color w:val="000000" w:themeColor="text1"/>
          <w:szCs w:val="22"/>
        </w:rPr>
        <w:t>reassessment</w:t>
      </w:r>
      <w:r w:rsidRPr="750E6385">
        <w:rPr>
          <w:rFonts w:eastAsia="Arial"/>
          <w:color w:val="000000" w:themeColor="text1"/>
          <w:szCs w:val="22"/>
        </w:rPr>
        <w:t xml:space="preserve">. </w:t>
      </w:r>
    </w:p>
    <w:tbl>
      <w:tblPr>
        <w:tblStyle w:val="TableGrid"/>
        <w:tblW w:w="0" w:type="auto"/>
        <w:tblLook w:val="04A0" w:firstRow="1" w:lastRow="0" w:firstColumn="1" w:lastColumn="0" w:noHBand="0" w:noVBand="1"/>
      </w:tblPr>
      <w:tblGrid>
        <w:gridCol w:w="845"/>
        <w:gridCol w:w="7921"/>
      </w:tblGrid>
      <w:tr w:rsidR="007A743C" w14:paraId="329E448A" w14:textId="77777777">
        <w:trPr>
          <w:trHeight w:val="300"/>
        </w:trPr>
        <w:tc>
          <w:tcPr>
            <w:tcW w:w="846" w:type="dxa"/>
          </w:tcPr>
          <w:p w14:paraId="0FD0CD95"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324308B9" wp14:editId="50B2682A">
                  <wp:extent cx="383111" cy="381000"/>
                  <wp:effectExtent l="0" t="0" r="0" b="0"/>
                  <wp:docPr id="1711831777" name="Picture 171183177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586B9775" w14:textId="31171C2A" w:rsidR="007A743C" w:rsidRPr="004441F5" w:rsidRDefault="004836F6" w:rsidP="00A677C9">
            <w:pPr>
              <w:pStyle w:val="NormalText"/>
              <w:spacing w:before="240" w:after="240" w:line="240" w:lineRule="auto"/>
              <w:rPr>
                <w:rFonts w:eastAsiaTheme="majorEastAsia" w:cs="Arial"/>
                <w:b/>
                <w:color w:val="1E1444"/>
                <w:shd w:val="clear" w:color="auto" w:fill="auto"/>
                <w:lang w:val="en-GB" w:eastAsia="en-AU"/>
              </w:rPr>
            </w:pPr>
            <w:hyperlink r:id="rId138" w:history="1">
              <w:r w:rsidRPr="002C6ABD">
                <w:rPr>
                  <w:rStyle w:val="Hyperlink"/>
                  <w:rFonts w:cstheme="minorBidi"/>
                  <w:lang w:val="en-GB"/>
                </w:rPr>
                <w:t xml:space="preserve">Fact sheet for Assessors and Triage Delegates on </w:t>
              </w:r>
              <w:r w:rsidR="0B719E07" w:rsidRPr="26DCC21E">
                <w:rPr>
                  <w:rStyle w:val="Hyperlink"/>
                  <w:rFonts w:cstheme="minorBidi"/>
                  <w:lang w:val="en-GB"/>
                </w:rPr>
                <w:t>s</w:t>
              </w:r>
              <w:r w:rsidR="0563D514" w:rsidRPr="26DCC21E">
                <w:rPr>
                  <w:rStyle w:val="Hyperlink"/>
                  <w:rFonts w:cstheme="minorBidi"/>
                  <w:lang w:val="en-GB"/>
                </w:rPr>
                <w:t xml:space="preserve">upport </w:t>
              </w:r>
              <w:r w:rsidR="638FA691" w:rsidRPr="26DCC21E">
                <w:rPr>
                  <w:rStyle w:val="Hyperlink"/>
                  <w:rFonts w:cstheme="minorBidi"/>
                  <w:lang w:val="en-GB"/>
                </w:rPr>
                <w:t>p</w:t>
              </w:r>
              <w:r w:rsidR="0563D514" w:rsidRPr="26DCC21E">
                <w:rPr>
                  <w:rStyle w:val="Hyperlink"/>
                  <w:rFonts w:cstheme="minorBidi"/>
                  <w:lang w:val="en-GB"/>
                </w:rPr>
                <w:t xml:space="preserve">lan </w:t>
              </w:r>
              <w:r w:rsidR="02707ABB" w:rsidRPr="26DCC21E">
                <w:rPr>
                  <w:rStyle w:val="Hyperlink"/>
                  <w:rFonts w:cstheme="minorBidi"/>
                  <w:lang w:val="en-GB"/>
                </w:rPr>
                <w:t>r</w:t>
              </w:r>
              <w:r w:rsidRPr="002C6ABD">
                <w:rPr>
                  <w:rStyle w:val="Hyperlink"/>
                  <w:rFonts w:cstheme="minorBidi"/>
                  <w:lang w:val="en-GB"/>
                </w:rPr>
                <w:t>eviews that initiate a new assessment | Australian Government Department of Health, Disability and Ageing</w:t>
              </w:r>
            </w:hyperlink>
          </w:p>
        </w:tc>
      </w:tr>
    </w:tbl>
    <w:p w14:paraId="3E6C6479" w14:textId="79AB8687" w:rsidR="007A743C" w:rsidRPr="005906C6" w:rsidRDefault="007A743C" w:rsidP="00C56CEC">
      <w:pPr>
        <w:pStyle w:val="H3"/>
      </w:pPr>
      <w:bookmarkStart w:id="362" w:name="_Toc198813672"/>
      <w:bookmarkEnd w:id="361"/>
      <w:r w:rsidRPr="005906C6">
        <w:t xml:space="preserve">Conducting triage for the End-of-Life </w:t>
      </w:r>
      <w:bookmarkEnd w:id="362"/>
      <w:r w:rsidR="004B7505">
        <w:t>P</w:t>
      </w:r>
      <w:r w:rsidR="004B7505" w:rsidRPr="005906C6">
        <w:t>athway</w:t>
      </w:r>
    </w:p>
    <w:p w14:paraId="5F5741DC" w14:textId="77777777" w:rsidR="007A743C" w:rsidRPr="00880B95" w:rsidRDefault="007A743C" w:rsidP="00A677C9">
      <w:pPr>
        <w:spacing w:before="240" w:after="240" w:line="240" w:lineRule="auto"/>
      </w:pPr>
      <w:r w:rsidRPr="00880B95">
        <w:t>The End-of-Life Pathway is available to participants already accessing Support at Home as well as older people who are not currently accessing services through the Support at Home program.</w:t>
      </w:r>
    </w:p>
    <w:p w14:paraId="31866ED6" w14:textId="77777777" w:rsidR="007A743C" w:rsidRPr="00880B95" w:rsidRDefault="007A743C" w:rsidP="00A677C9">
      <w:pPr>
        <w:spacing w:before="240" w:after="240" w:line="240" w:lineRule="auto"/>
      </w:pPr>
      <w:r w:rsidRPr="00880B95">
        <w:t xml:space="preserve">A participant can access one episode of the End-of-Life Pathway through the Support at Home program. An older person is eligible to access the End-of-Life Pathway if they meet the following criteria: </w:t>
      </w:r>
    </w:p>
    <w:p w14:paraId="0D56E063" w14:textId="77777777" w:rsidR="007A743C" w:rsidRPr="00880B95" w:rsidRDefault="007A743C" w:rsidP="00DF3F6B">
      <w:pPr>
        <w:pStyle w:val="ListParagraph"/>
        <w:numPr>
          <w:ilvl w:val="0"/>
          <w:numId w:val="78"/>
        </w:numPr>
        <w:spacing w:before="240" w:after="240" w:line="240" w:lineRule="auto"/>
        <w:rPr>
          <w:lang w:val="en-US"/>
        </w:rPr>
      </w:pPr>
      <w:r w:rsidRPr="00880B95">
        <w:t xml:space="preserve">a medical practitioner or nurse practitioner provides an estimated life expectancy of 3 months or less, and </w:t>
      </w:r>
    </w:p>
    <w:p w14:paraId="58EAE4DE" w14:textId="77777777" w:rsidR="007A743C" w:rsidRPr="00880B95" w:rsidRDefault="007A743C" w:rsidP="00DF3F6B">
      <w:pPr>
        <w:pStyle w:val="ListParagraph"/>
        <w:numPr>
          <w:ilvl w:val="0"/>
          <w:numId w:val="78"/>
        </w:numPr>
        <w:spacing w:before="240" w:after="240" w:line="240" w:lineRule="auto"/>
        <w:rPr>
          <w:lang w:val="en-US"/>
        </w:rPr>
      </w:pPr>
      <w:r w:rsidRPr="00880B95">
        <w:t>a score of 40 or less on the Australian-modified Karnofsky Performance Status (AKPS) score (mobility/frailty indicator)</w:t>
      </w:r>
    </w:p>
    <w:p w14:paraId="465B0D9D" w14:textId="77777777" w:rsidR="007A743C" w:rsidRPr="00880B95" w:rsidRDefault="007A743C" w:rsidP="00A677C9">
      <w:pPr>
        <w:spacing w:before="240" w:after="240" w:line="240" w:lineRule="auto"/>
      </w:pPr>
      <w:r w:rsidRPr="00880B95">
        <w:t xml:space="preserve">Older people who are not currently accessing Support at Home, who would like to access the End-of-Life Pathway, can be referred for a high-priority aged care assessment. </w:t>
      </w:r>
    </w:p>
    <w:p w14:paraId="23A45093" w14:textId="5EA119A0" w:rsidR="007A743C" w:rsidRPr="00880B95" w:rsidRDefault="007A743C" w:rsidP="00A677C9">
      <w:pPr>
        <w:spacing w:before="240" w:after="240" w:line="240" w:lineRule="auto"/>
      </w:pPr>
      <w:r>
        <w:t xml:space="preserve">The End-of-Life Pathway Form must be completed before End-of-Life Pathway can be approved. The form captures specific medical information related to the participant’s medical condition and evidence of end-of-life. An appropriate medical practitioner (their GP, non-GP specialist or nurse practitioner) will complete the form.  </w:t>
      </w:r>
    </w:p>
    <w:p w14:paraId="0417F671" w14:textId="77777777" w:rsidR="007A743C" w:rsidRPr="00880B95" w:rsidRDefault="007A743C" w:rsidP="00A677C9">
      <w:pPr>
        <w:spacing w:before="240" w:after="240" w:line="240" w:lineRule="auto"/>
      </w:pPr>
      <w:r w:rsidRPr="00880B95">
        <w:t xml:space="preserve">The assessment referral will follow the same process as it does for all assessments and will be assigned by a Team Leader for triage. </w:t>
      </w:r>
    </w:p>
    <w:p w14:paraId="26560972" w14:textId="77777777" w:rsidR="007A743C" w:rsidRPr="00880B95" w:rsidRDefault="007A743C" w:rsidP="00A677C9">
      <w:pPr>
        <w:spacing w:before="240" w:after="240" w:line="240" w:lineRule="auto"/>
      </w:pPr>
      <w:r w:rsidRPr="00880B95">
        <w:t xml:space="preserve">All triage questions will be </w:t>
      </w:r>
      <w:r w:rsidRPr="00880B95">
        <w:rPr>
          <w:i/>
        </w:rPr>
        <w:t>optional</w:t>
      </w:r>
      <w:r w:rsidRPr="00880B95">
        <w:t xml:space="preserve"> for the End-of-Life </w:t>
      </w:r>
      <w:r>
        <w:t>Pathway</w:t>
      </w:r>
      <w:r w:rsidRPr="00880B95">
        <w:t xml:space="preserve"> so there is flexibility in only asking questions that are appropriate to the individual. Questions that would be insensitive to ask during triage can be skipped. </w:t>
      </w:r>
    </w:p>
    <w:p w14:paraId="0A05F220" w14:textId="11B38BBB" w:rsidR="007A743C" w:rsidRDefault="007A743C" w:rsidP="00A677C9">
      <w:pPr>
        <w:spacing w:before="240" w:after="240" w:line="240" w:lineRule="auto"/>
      </w:pPr>
      <w:r w:rsidRPr="156180CF">
        <w:t>T</w:t>
      </w:r>
      <w:r w:rsidRPr="156180CF" w:rsidDel="00D25DBA">
        <w:t xml:space="preserve">he </w:t>
      </w:r>
      <w:r w:rsidRPr="156180CF">
        <w:t xml:space="preserve">End-of-Life Pathway Form does not need to be submitted for the triage delegate to complete triage and assign </w:t>
      </w:r>
      <w:r>
        <w:t xml:space="preserve">the assessment </w:t>
      </w:r>
      <w:r w:rsidRPr="156180CF">
        <w:t xml:space="preserve">to an assessor. If an End-of-Life Pathway Form has not already been submitted, the triage delegate </w:t>
      </w:r>
      <w:r w:rsidRPr="00880B95">
        <w:t>should advise the older person of the steps required (e.g. downloading the form and visiting their GP</w:t>
      </w:r>
      <w:r>
        <w:t>, non-GP specialist</w:t>
      </w:r>
      <w:r w:rsidRPr="00880B95">
        <w:t xml:space="preserve"> or nurse practitioner to have the form signed).</w:t>
      </w:r>
    </w:p>
    <w:p w14:paraId="51B98A90" w14:textId="4B8D3C71" w:rsidR="002F51F0" w:rsidRDefault="002F51F0" w:rsidP="00A677C9">
      <w:pPr>
        <w:spacing w:before="240" w:after="240" w:line="240" w:lineRule="auto"/>
      </w:pPr>
      <w:r>
        <w:t xml:space="preserve">In cases </w:t>
      </w:r>
      <w:r w:rsidR="00712E1E">
        <w:t xml:space="preserve">where an aged care assessment or </w:t>
      </w:r>
      <w:r w:rsidR="6DF62CC1">
        <w:t>s</w:t>
      </w:r>
      <w:r w:rsidR="00712E1E">
        <w:t xml:space="preserve">upport </w:t>
      </w:r>
      <w:r w:rsidR="2BAF6D32">
        <w:t>p</w:t>
      </w:r>
      <w:r w:rsidR="00712E1E">
        <w:t xml:space="preserve">lan </w:t>
      </w:r>
      <w:r w:rsidR="720156BB">
        <w:t>r</w:t>
      </w:r>
      <w:r w:rsidR="00712E1E">
        <w:t xml:space="preserve">eview (SPR) will be undertaken via telehealth, assessors will need to assist older people to ensure the completed End-of-Life Pathway Form is submitted. More information </w:t>
      </w:r>
      <w:r w:rsidR="00A50A98">
        <w:t xml:space="preserve">on options </w:t>
      </w:r>
      <w:r w:rsidR="00184E99">
        <w:t>for submission</w:t>
      </w:r>
      <w:r w:rsidR="00A50A98">
        <w:t xml:space="preserve"> is included in section 6.3.1.</w:t>
      </w:r>
    </w:p>
    <w:p w14:paraId="3832DADC" w14:textId="77777777" w:rsidR="007A743C" w:rsidRDefault="007A743C" w:rsidP="00A677C9">
      <w:pPr>
        <w:spacing w:before="240" w:after="240" w:line="240" w:lineRule="auto"/>
      </w:pPr>
      <w:r w:rsidRPr="002E3F14">
        <w:t>For participants seeking access to the End-of-Life Pathway who have submitted their End-of-Life Pathway Form at this stage, triage may also involve verifying this documentation.</w:t>
      </w:r>
    </w:p>
    <w:p w14:paraId="3052C7AE" w14:textId="2380A049" w:rsidR="0075210F" w:rsidRDefault="0075210F" w:rsidP="00A677C9">
      <w:pPr>
        <w:spacing w:before="240" w:after="240" w:line="240" w:lineRule="auto"/>
      </w:pPr>
      <w:r>
        <w:t>If a Triage Delegate identifies a submitted End-of-Life Pathway Form contains a mistake or missing information</w:t>
      </w:r>
      <w:r w:rsidR="00FA1798">
        <w:t xml:space="preserve">, triage should still be completed and the older person should be </w:t>
      </w:r>
      <w:r w:rsidR="003E2CF3">
        <w:t xml:space="preserve">progressed to an assessment, while keeping the form as not validated. </w:t>
      </w:r>
      <w:r w:rsidR="00C50693">
        <w:t xml:space="preserve">An older </w:t>
      </w:r>
      <w:r w:rsidR="000142CD">
        <w:t xml:space="preserve">person should be informed the form contains missing or mistaken information </w:t>
      </w:r>
      <w:r w:rsidR="00B71781">
        <w:t xml:space="preserve">and what they need to do </w:t>
      </w:r>
      <w:r w:rsidR="00CC32A2">
        <w:t xml:space="preserve">for the form to be fixed. </w:t>
      </w:r>
      <w:r w:rsidR="00DE3B0E">
        <w:t xml:space="preserve">Once fixed, the form can be presented for validation at assessment. </w:t>
      </w:r>
    </w:p>
    <w:p w14:paraId="1202FE5F" w14:textId="77777777" w:rsidR="007A743C" w:rsidRDefault="007A743C" w:rsidP="00A677C9">
      <w:pPr>
        <w:spacing w:before="240" w:after="240" w:line="240" w:lineRule="auto"/>
      </w:pPr>
      <w:r>
        <w:t>The Triage Delegate can flag a referral as End-of-Life before or after (not during) triage by clicking the ‘Flag as End of Life’.</w:t>
      </w:r>
    </w:p>
    <w:p w14:paraId="17E52AD3" w14:textId="43F8B1CE" w:rsidR="007A743C" w:rsidRDefault="007A743C" w:rsidP="00A677C9">
      <w:pPr>
        <w:spacing w:before="240" w:after="240" w:line="240" w:lineRule="auto"/>
      </w:pPr>
      <w:r w:rsidRPr="00880B95">
        <w:t xml:space="preserve">To access the End-of-Life </w:t>
      </w:r>
      <w:r>
        <w:t>Pathway</w:t>
      </w:r>
      <w:r w:rsidRPr="00880B95">
        <w:t xml:space="preserve">, </w:t>
      </w:r>
      <w:r w:rsidRPr="002C6ABD">
        <w:t>existing</w:t>
      </w:r>
      <w:r w:rsidRPr="00880B95">
        <w:t xml:space="preserve"> Support at Home participants can request </w:t>
      </w:r>
      <w:r w:rsidR="004663CB" w:rsidRPr="00880B95">
        <w:t>an</w:t>
      </w:r>
      <w:r w:rsidRPr="00880B95">
        <w:t xml:space="preserve"> </w:t>
      </w:r>
      <w:r w:rsidR="00F42CDC">
        <w:t xml:space="preserve">urgent </w:t>
      </w:r>
      <w:r w:rsidR="53FDA39E">
        <w:t>s</w:t>
      </w:r>
      <w:r>
        <w:t xml:space="preserve">upport </w:t>
      </w:r>
      <w:r w:rsidR="75124624">
        <w:t>p</w:t>
      </w:r>
      <w:r>
        <w:t xml:space="preserve">lan </w:t>
      </w:r>
      <w:r w:rsidR="2124F960">
        <w:t>r</w:t>
      </w:r>
      <w:r w:rsidRPr="00880B95">
        <w:t>eview.</w:t>
      </w:r>
    </w:p>
    <w:p w14:paraId="4DA8AFDA" w14:textId="77777777" w:rsidR="007A743C" w:rsidRPr="00FC2F6C" w:rsidRDefault="007A743C" w:rsidP="00C56CEC">
      <w:pPr>
        <w:pStyle w:val="H3"/>
      </w:pPr>
      <w:bookmarkStart w:id="363" w:name="_Toc184026571"/>
      <w:bookmarkStart w:id="364" w:name="_Toc184402290"/>
      <w:r w:rsidRPr="00FC2F6C">
        <w:t>In-hospital triage and self-referrals</w:t>
      </w:r>
      <w:bookmarkEnd w:id="363"/>
      <w:bookmarkEnd w:id="364"/>
    </w:p>
    <w:p w14:paraId="5B6F17CF" w14:textId="77777777" w:rsidR="007A743C" w:rsidRPr="00EE1F1A" w:rsidRDefault="007A743C" w:rsidP="00A677C9">
      <w:pPr>
        <w:spacing w:before="240" w:after="240" w:line="240" w:lineRule="auto"/>
        <w:rPr>
          <w:rStyle w:val="normaltextrun"/>
        </w:rPr>
      </w:pPr>
      <w:r>
        <w:t xml:space="preserve">For hospital assessments, in the first instance an assessor, once obtaining the older person’s consent, will complete the triage </w:t>
      </w:r>
      <w:r w:rsidRPr="00EE1F1A">
        <w:rPr>
          <w:rStyle w:val="normaltextrun"/>
        </w:rPr>
        <w:t>questionnaire using clinical records and information that is available, in liaison with the hospital discharge team. Following triage, the assessor may recommend a high or medium priority assessment.</w:t>
      </w:r>
    </w:p>
    <w:p w14:paraId="336CDD68" w14:textId="4DEC1008" w:rsidR="003304D0" w:rsidRDefault="007A743C" w:rsidP="00A677C9">
      <w:pPr>
        <w:spacing w:before="240" w:after="240" w:line="240" w:lineRule="auto"/>
        <w:rPr>
          <w:rStyle w:val="normaltextrun"/>
        </w:rPr>
      </w:pPr>
      <w:r w:rsidRPr="00EE1F1A">
        <w:rPr>
          <w:rStyle w:val="normaltextrun"/>
        </w:rPr>
        <w:t xml:space="preserve">Where an assessment is self-referred, and the assessor is with the </w:t>
      </w:r>
      <w:r>
        <w:rPr>
          <w:rStyle w:val="normaltextrun"/>
        </w:rPr>
        <w:t>older person</w:t>
      </w:r>
      <w:r w:rsidRPr="00EE1F1A">
        <w:rPr>
          <w:rStyle w:val="normaltextrun"/>
        </w:rPr>
        <w:t xml:space="preserve">, assessors will be able to conduct triage with the </w:t>
      </w:r>
      <w:r>
        <w:rPr>
          <w:rStyle w:val="normaltextrun"/>
        </w:rPr>
        <w:t>older person</w:t>
      </w:r>
      <w:r w:rsidRPr="00EE1F1A">
        <w:rPr>
          <w:rStyle w:val="normaltextrun"/>
        </w:rPr>
        <w:t xml:space="preserve"> at the same time </w:t>
      </w:r>
      <w:r>
        <w:rPr>
          <w:rStyle w:val="normaltextrun"/>
        </w:rPr>
        <w:t>as the</w:t>
      </w:r>
      <w:r w:rsidRPr="00EE1F1A">
        <w:rPr>
          <w:rStyle w:val="normaltextrun"/>
        </w:rPr>
        <w:t xml:space="preserve"> assessment. For assessors who are not </w:t>
      </w:r>
      <w:r w:rsidR="00385041">
        <w:rPr>
          <w:rStyle w:val="normaltextrun"/>
        </w:rPr>
        <w:t>T</w:t>
      </w:r>
      <w:r>
        <w:rPr>
          <w:rStyle w:val="normaltextrun"/>
        </w:rPr>
        <w:t xml:space="preserve">riage </w:t>
      </w:r>
      <w:r w:rsidR="00385041">
        <w:rPr>
          <w:rStyle w:val="normaltextrun"/>
        </w:rPr>
        <w:t>D</w:t>
      </w:r>
      <w:r>
        <w:rPr>
          <w:rStyle w:val="normaltextrun"/>
        </w:rPr>
        <w:t>elegates</w:t>
      </w:r>
      <w:r w:rsidR="002C5A24">
        <w:rPr>
          <w:rStyle w:val="normaltextrun"/>
        </w:rPr>
        <w:t>,</w:t>
      </w:r>
      <w:r w:rsidRPr="00EE1F1A">
        <w:rPr>
          <w:rStyle w:val="normaltextrun"/>
        </w:rPr>
        <w:t xml:space="preserve"> triage </w:t>
      </w:r>
      <w:r>
        <w:rPr>
          <w:rStyle w:val="normaltextrun"/>
        </w:rPr>
        <w:t xml:space="preserve">must </w:t>
      </w:r>
      <w:r w:rsidRPr="00EE1F1A">
        <w:rPr>
          <w:rStyle w:val="normaltextrun"/>
        </w:rPr>
        <w:t xml:space="preserve">be conducted with </w:t>
      </w:r>
      <w:r>
        <w:rPr>
          <w:rStyle w:val="normaltextrun"/>
        </w:rPr>
        <w:t>triage delegate oversight.</w:t>
      </w:r>
    </w:p>
    <w:p w14:paraId="4B8CC162" w14:textId="021827C9" w:rsidR="00CB68ED" w:rsidRPr="000E0B6C" w:rsidRDefault="0050331F" w:rsidP="00C56CEC">
      <w:pPr>
        <w:pStyle w:val="H3"/>
      </w:pPr>
      <w:r>
        <w:rPr>
          <w:rStyle w:val="normaltextrun"/>
        </w:rPr>
        <w:t xml:space="preserve">Recording eligibility for an assessment </w:t>
      </w:r>
      <w:r w:rsidR="00B9766A">
        <w:rPr>
          <w:rStyle w:val="normaltextrun"/>
        </w:rPr>
        <w:t>for</w:t>
      </w:r>
      <w:r w:rsidR="00B9766A" w:rsidRPr="74B38DEF">
        <w:rPr>
          <w:rStyle w:val="normaltextrun"/>
        </w:rPr>
        <w:t xml:space="preserve"> </w:t>
      </w:r>
      <w:r>
        <w:rPr>
          <w:rStyle w:val="normaltextrun"/>
        </w:rPr>
        <w:t xml:space="preserve">individuals aged 50-64 </w:t>
      </w:r>
    </w:p>
    <w:p w14:paraId="6D0F42C3" w14:textId="35170D98" w:rsidR="00CB68ED" w:rsidRPr="00CB68ED" w:rsidRDefault="00CB68ED" w:rsidP="00A677C9">
      <w:pPr>
        <w:spacing w:before="240" w:after="240" w:line="240" w:lineRule="auto"/>
        <w:rPr>
          <w:lang w:val="en-AU"/>
        </w:rPr>
      </w:pPr>
      <w:r w:rsidRPr="00CB68ED">
        <w:rPr>
          <w:lang w:val="en-AU"/>
        </w:rPr>
        <w:t xml:space="preserve">When determining </w:t>
      </w:r>
      <w:r w:rsidR="0DF5D8EF" w:rsidRPr="0C3F42E3">
        <w:rPr>
          <w:lang w:val="en-AU"/>
        </w:rPr>
        <w:t xml:space="preserve">whether </w:t>
      </w:r>
      <w:r w:rsidR="00385041">
        <w:rPr>
          <w:lang w:val="en-AU"/>
        </w:rPr>
        <w:t>an individual</w:t>
      </w:r>
      <w:r w:rsidRPr="00CB68ED">
        <w:rPr>
          <w:lang w:val="en-AU"/>
        </w:rPr>
        <w:t xml:space="preserve"> aged 50-64 years is eligible for an aged care needs assessment, </w:t>
      </w:r>
      <w:r>
        <w:rPr>
          <w:lang w:val="en-AU"/>
        </w:rPr>
        <w:t>t</w:t>
      </w:r>
      <w:r w:rsidRPr="00CB68ED">
        <w:rPr>
          <w:lang w:val="en-AU"/>
        </w:rPr>
        <w:t xml:space="preserve">riage </w:t>
      </w:r>
      <w:r>
        <w:rPr>
          <w:lang w:val="en-AU"/>
        </w:rPr>
        <w:t>d</w:t>
      </w:r>
      <w:r w:rsidRPr="00CB68ED">
        <w:rPr>
          <w:lang w:val="en-AU"/>
        </w:rPr>
        <w:t>elegates should clearly record their decision and the information they relied upon to come to that decision. This should be recorded in the free text box at the end of the IAT triage section. For example, when finding someone aged between 50-64 is eligible for an assessment under the homeless/risk of homelessness provisions of the Act</w:t>
      </w:r>
      <w:r w:rsidR="00C3661D">
        <w:rPr>
          <w:lang w:val="en-AU"/>
        </w:rPr>
        <w:t>,</w:t>
      </w:r>
      <w:r w:rsidRPr="00CB68ED">
        <w:rPr>
          <w:lang w:val="en-AU"/>
        </w:rPr>
        <w:t xml:space="preserve"> the </w:t>
      </w:r>
      <w:r w:rsidR="00C3661D">
        <w:rPr>
          <w:lang w:val="en-AU"/>
        </w:rPr>
        <w:t>t</w:t>
      </w:r>
      <w:r w:rsidRPr="00CB68ED">
        <w:rPr>
          <w:lang w:val="en-AU"/>
        </w:rPr>
        <w:t xml:space="preserve">riage </w:t>
      </w:r>
      <w:r w:rsidR="00C3661D">
        <w:rPr>
          <w:lang w:val="en-AU"/>
        </w:rPr>
        <w:t>d</w:t>
      </w:r>
      <w:r w:rsidRPr="00CB68ED">
        <w:rPr>
          <w:lang w:val="en-AU"/>
        </w:rPr>
        <w:t xml:space="preserve">elegate should make specific reference to which criteria under the relevant definition applies to the individual who is seeking an assessment. </w:t>
      </w:r>
      <w:r w:rsidR="00385D2F">
        <w:rPr>
          <w:lang w:val="en-AU"/>
        </w:rPr>
        <w:t xml:space="preserve">Refer to </w:t>
      </w:r>
      <w:r w:rsidR="004869E8">
        <w:rPr>
          <w:lang w:val="en-AU"/>
        </w:rPr>
        <w:t xml:space="preserve">section </w:t>
      </w:r>
      <w:r w:rsidR="0023035A">
        <w:rPr>
          <w:lang w:val="en-AU"/>
        </w:rPr>
        <w:t>5.3</w:t>
      </w:r>
      <w:r w:rsidR="001B57A9">
        <w:rPr>
          <w:lang w:val="en-AU"/>
        </w:rPr>
        <w:t xml:space="preserve"> of this Manual</w:t>
      </w:r>
      <w:r w:rsidR="00385D2F">
        <w:rPr>
          <w:lang w:val="en-AU"/>
        </w:rPr>
        <w:t xml:space="preserve"> for the definition of homeless </w:t>
      </w:r>
      <w:r w:rsidR="006427E4">
        <w:rPr>
          <w:lang w:val="en-AU"/>
        </w:rPr>
        <w:t xml:space="preserve">and risk of homelessness. </w:t>
      </w:r>
    </w:p>
    <w:p w14:paraId="093A97DE" w14:textId="18AAFFF7" w:rsidR="00622E00" w:rsidRDefault="00176D99" w:rsidP="00A677C9">
      <w:pPr>
        <w:spacing w:before="240" w:after="240" w:line="240" w:lineRule="auto"/>
        <w:rPr>
          <w:lang w:val="en-AU"/>
        </w:rPr>
      </w:pPr>
      <w:r>
        <w:rPr>
          <w:lang w:val="en-AU"/>
        </w:rPr>
        <w:t xml:space="preserve">The free text box at the end of the </w:t>
      </w:r>
      <w:r w:rsidR="00754104">
        <w:rPr>
          <w:lang w:val="en-AU"/>
        </w:rPr>
        <w:t xml:space="preserve">triage section of the IAT </w:t>
      </w:r>
      <w:r w:rsidR="00122FBB">
        <w:rPr>
          <w:lang w:val="en-AU"/>
        </w:rPr>
        <w:t xml:space="preserve">should also be used by the triage delegate </w:t>
      </w:r>
      <w:r w:rsidR="00754104">
        <w:rPr>
          <w:lang w:val="en-AU"/>
        </w:rPr>
        <w:t xml:space="preserve">to </w:t>
      </w:r>
      <w:r w:rsidR="00122FBB">
        <w:rPr>
          <w:lang w:val="en-AU"/>
        </w:rPr>
        <w:t>record confirmation</w:t>
      </w:r>
      <w:r w:rsidR="00754104">
        <w:rPr>
          <w:lang w:val="en-AU"/>
        </w:rPr>
        <w:t xml:space="preserve"> </w:t>
      </w:r>
      <w:r w:rsidR="004C6046">
        <w:rPr>
          <w:lang w:val="en-AU"/>
        </w:rPr>
        <w:t xml:space="preserve">an individual aged under 65 has been informed of </w:t>
      </w:r>
      <w:r w:rsidR="00BC505B">
        <w:rPr>
          <w:lang w:val="en-AU"/>
        </w:rPr>
        <w:t>other</w:t>
      </w:r>
      <w:r w:rsidR="004C6046">
        <w:rPr>
          <w:lang w:val="en-AU"/>
        </w:rPr>
        <w:t xml:space="preserve"> services </w:t>
      </w:r>
      <w:r w:rsidR="00BC505B">
        <w:rPr>
          <w:lang w:val="en-AU"/>
        </w:rPr>
        <w:t xml:space="preserve">that may be available to meet their needs before electing to be provided funded aged care before the age of 65. </w:t>
      </w:r>
    </w:p>
    <w:p w14:paraId="6C8F21AA" w14:textId="77777777" w:rsidR="003D1826" w:rsidRPr="00CB68ED" w:rsidRDefault="003D1826" w:rsidP="00A677C9">
      <w:pPr>
        <w:spacing w:before="240" w:after="240" w:line="240" w:lineRule="auto"/>
        <w:rPr>
          <w:lang w:val="en-AU"/>
        </w:rPr>
      </w:pPr>
    </w:p>
    <w:p w14:paraId="15B65E0E" w14:textId="77777777" w:rsidR="000E0B6C" w:rsidRPr="000027E3" w:rsidRDefault="00526DC7" w:rsidP="00C325C6">
      <w:pPr>
        <w:pStyle w:val="Sub-headings"/>
      </w:pPr>
      <w:r w:rsidRPr="00904192">
        <w:t>Note</w:t>
      </w:r>
      <w:r w:rsidR="004B4CB0" w:rsidRPr="000027E3">
        <w:t>:</w:t>
      </w:r>
      <w:r w:rsidR="00E93079" w:rsidRPr="000027E3">
        <w:t xml:space="preserve"> </w:t>
      </w:r>
    </w:p>
    <w:p w14:paraId="1364FDD9" w14:textId="4F4BEB86" w:rsidR="0050331F" w:rsidRDefault="004B4CB0" w:rsidP="00C325C6">
      <w:pPr>
        <w:pStyle w:val="Sub-headings"/>
      </w:pPr>
      <w:r>
        <w:t>T</w:t>
      </w:r>
      <w:r w:rsidR="00251828">
        <w:t xml:space="preserve">riage </w:t>
      </w:r>
      <w:r>
        <w:t>D</w:t>
      </w:r>
      <w:r w:rsidR="00251828">
        <w:t>elegates should rev</w:t>
      </w:r>
      <w:r w:rsidR="008F3749">
        <w:t xml:space="preserve">iew </w:t>
      </w:r>
      <w:r w:rsidR="00DA03E9">
        <w:t>the ‘client story’ note in an older person’s record to confirm if a</w:t>
      </w:r>
      <w:r w:rsidR="00385D2F">
        <w:t>n</w:t>
      </w:r>
      <w:r w:rsidR="00DA03E9">
        <w:t xml:space="preserve"> eligible person aged 50-64 has been informed of other services that may meet their needs </w:t>
      </w:r>
      <w:r w:rsidR="009D00C7">
        <w:t xml:space="preserve">during screening. </w:t>
      </w:r>
      <w:r w:rsidR="00DA03E9">
        <w:t xml:space="preserve"> </w:t>
      </w:r>
    </w:p>
    <w:p w14:paraId="75B0D344" w14:textId="77777777" w:rsidR="007A743C" w:rsidRPr="00FC609E" w:rsidRDefault="007A743C" w:rsidP="00C56CEC">
      <w:pPr>
        <w:pStyle w:val="H3"/>
      </w:pPr>
      <w:bookmarkStart w:id="365" w:name="_Toc184026570"/>
      <w:bookmarkStart w:id="366" w:name="_Toc184402289"/>
      <w:r w:rsidRPr="00FC609E">
        <w:t>Preparing an older person for their assessment</w:t>
      </w:r>
      <w:bookmarkEnd w:id="365"/>
      <w:bookmarkEnd w:id="366"/>
    </w:p>
    <w:p w14:paraId="1BA5CB2C" w14:textId="77777777" w:rsidR="007A743C" w:rsidRDefault="007A743C" w:rsidP="00A677C9">
      <w:pPr>
        <w:spacing w:before="240" w:after="240" w:line="240" w:lineRule="auto"/>
      </w:pPr>
      <w:r>
        <w:t>Triage delegates</w:t>
      </w:r>
      <w:r w:rsidRPr="00C208D4">
        <w:t xml:space="preserve"> should outline to the </w:t>
      </w:r>
      <w:r>
        <w:t>older person</w:t>
      </w:r>
      <w:r w:rsidRPr="00C208D4">
        <w:t xml:space="preserve"> </w:t>
      </w:r>
      <w:r w:rsidRPr="56CD3535">
        <w:t>what will happen at the</w:t>
      </w:r>
      <w:r>
        <w:t xml:space="preserve"> assessment, d</w:t>
      </w:r>
      <w:r w:rsidRPr="56CD3535">
        <w:t xml:space="preserve">iscuss </w:t>
      </w:r>
      <w:r>
        <w:t xml:space="preserve">their </w:t>
      </w:r>
      <w:r w:rsidRPr="56CD3535">
        <w:t xml:space="preserve">availability for the assessment and </w:t>
      </w:r>
      <w:r>
        <w:t xml:space="preserve">then </w:t>
      </w:r>
      <w:r w:rsidRPr="56CD3535">
        <w:t xml:space="preserve">make </w:t>
      </w:r>
      <w:r w:rsidRPr="00C208D4">
        <w:t>the</w:t>
      </w:r>
      <w:r w:rsidRPr="56CD3535">
        <w:t xml:space="preserve"> appointment</w:t>
      </w:r>
      <w:r>
        <w:t xml:space="preserve">. Where possible, </w:t>
      </w:r>
      <w:r w:rsidRPr="00240784">
        <w:t>the</w:t>
      </w:r>
      <w:r>
        <w:t xml:space="preserve"> triage delegate should give the name of the assessor that will be undertaking the assessment.</w:t>
      </w:r>
    </w:p>
    <w:p w14:paraId="42700703" w14:textId="77777777" w:rsidR="007A743C" w:rsidRDefault="007A743C" w:rsidP="00A677C9">
      <w:pPr>
        <w:spacing w:before="240" w:after="240" w:line="240" w:lineRule="auto"/>
      </w:pPr>
      <w:r>
        <w:t>Additionally, triage delegates should:</w:t>
      </w:r>
    </w:p>
    <w:p w14:paraId="5EC9E87D" w14:textId="77777777" w:rsidR="007A743C" w:rsidRPr="004B4461" w:rsidRDefault="007A743C" w:rsidP="00DF3F6B">
      <w:pPr>
        <w:pStyle w:val="ListParagraph"/>
        <w:numPr>
          <w:ilvl w:val="0"/>
          <w:numId w:val="82"/>
        </w:numPr>
        <w:spacing w:before="240" w:after="240" w:line="240" w:lineRule="auto"/>
        <w:ind w:left="567" w:hanging="283"/>
        <w:contextualSpacing w:val="0"/>
        <w:rPr>
          <w:lang w:val="en"/>
        </w:rPr>
      </w:pPr>
      <w:r w:rsidRPr="00965623">
        <w:rPr>
          <w:lang w:val="en-US"/>
        </w:rPr>
        <w:t xml:space="preserve">Complete the Work, Health and Safety (WHS)/Home Safety Risk screen and check for alerts and notes in the referral information on the My Aged Care record. Ask relevant questions to identify work, health and safety concerns which could affect the assessment for example: “Are there any risks or hazards the Assessor needs to be aware of before attending the assessment in your home?”. The team leader may already have knowledge of </w:t>
      </w:r>
      <w:r>
        <w:rPr>
          <w:lang w:val="en-US"/>
        </w:rPr>
        <w:t>information</w:t>
      </w:r>
      <w:r w:rsidRPr="00965623">
        <w:rPr>
          <w:lang w:val="en-US"/>
        </w:rPr>
        <w:t xml:space="preserve"> that may be relevant to assessment services and assessor safety</w:t>
      </w:r>
      <w:r>
        <w:rPr>
          <w:lang w:val="en-US"/>
        </w:rPr>
        <w:t xml:space="preserve">. </w:t>
      </w:r>
    </w:p>
    <w:p w14:paraId="17EC46C9" w14:textId="77777777" w:rsidR="000E0B6C" w:rsidRPr="000027E3" w:rsidRDefault="007A743C" w:rsidP="00C325C6">
      <w:pPr>
        <w:pStyle w:val="Sub-headings"/>
      </w:pPr>
      <w:r w:rsidRPr="00904192">
        <w:t>Note</w:t>
      </w:r>
      <w:r w:rsidR="004B4CB0" w:rsidRPr="000027E3">
        <w:t>:</w:t>
      </w:r>
      <w:r w:rsidRPr="000027E3">
        <w:t xml:space="preserve"> </w:t>
      </w:r>
    </w:p>
    <w:p w14:paraId="56C37A23" w14:textId="199F10CB" w:rsidR="009B09BC" w:rsidRPr="00622E00" w:rsidRDefault="000E0B6C" w:rsidP="00C325C6">
      <w:pPr>
        <w:pStyle w:val="Sub-headings"/>
      </w:pPr>
      <w:r>
        <w:t>S</w:t>
      </w:r>
      <w:r w:rsidR="007A743C" w:rsidRPr="004B4461">
        <w:t xml:space="preserve">pecial WHS requirements (such as the necessary presence of the older person’s guide dog) at the assessment. Arrange other responses (such as the need for two assessors to attend the assessment due to safety concerns). </w:t>
      </w:r>
    </w:p>
    <w:p w14:paraId="3A153694" w14:textId="77777777" w:rsidR="007A743C" w:rsidRPr="003E1933" w:rsidRDefault="007A743C" w:rsidP="00DF3F6B">
      <w:pPr>
        <w:pStyle w:val="ListParagraph"/>
        <w:numPr>
          <w:ilvl w:val="0"/>
          <w:numId w:val="82"/>
        </w:numPr>
        <w:spacing w:before="240" w:after="240" w:line="240" w:lineRule="auto"/>
        <w:ind w:left="567" w:hanging="283"/>
        <w:contextualSpacing w:val="0"/>
        <w:rPr>
          <w:lang w:val="en"/>
        </w:rPr>
      </w:pPr>
      <w:r w:rsidRPr="00CA6BC6">
        <w:rPr>
          <w:lang w:val="en"/>
        </w:rPr>
        <w:t xml:space="preserve">Upload any additional </w:t>
      </w:r>
      <w:r>
        <w:rPr>
          <w:lang w:val="en"/>
        </w:rPr>
        <w:t>older person</w:t>
      </w:r>
      <w:r w:rsidRPr="00CA6BC6">
        <w:rPr>
          <w:lang w:val="en"/>
        </w:rPr>
        <w:t xml:space="preserve"> information to the </w:t>
      </w:r>
      <w:r>
        <w:rPr>
          <w:lang w:val="en"/>
        </w:rPr>
        <w:t>older person</w:t>
      </w:r>
      <w:r w:rsidRPr="00CA6BC6">
        <w:rPr>
          <w:lang w:val="en"/>
        </w:rPr>
        <w:t xml:space="preserve"> record (e.g., WHS screen) and use ‘</w:t>
      </w:r>
      <w:r w:rsidRPr="00CA6BC6">
        <w:t>Notes’</w:t>
      </w:r>
      <w:r w:rsidRPr="00CA6BC6">
        <w:rPr>
          <w:lang w:val="en"/>
        </w:rPr>
        <w:t xml:space="preserve"> to record assessment booking details. Include if relevant, with </w:t>
      </w:r>
      <w:r>
        <w:rPr>
          <w:lang w:val="en"/>
        </w:rPr>
        <w:t>older person</w:t>
      </w:r>
      <w:r w:rsidRPr="00CA6BC6">
        <w:rPr>
          <w:lang w:val="en"/>
        </w:rPr>
        <w:t>’s consent, sensitive information in sensitive notes and attachments</w:t>
      </w:r>
      <w:r w:rsidRPr="003E1933">
        <w:rPr>
          <w:lang w:val="en"/>
        </w:rPr>
        <w:t>.</w:t>
      </w:r>
      <w:r w:rsidRPr="003E1933">
        <w:t xml:space="preserve"> </w:t>
      </w:r>
    </w:p>
    <w:p w14:paraId="5ADBA010" w14:textId="23FA5F03" w:rsidR="007A743C" w:rsidRPr="00523709" w:rsidRDefault="007A743C" w:rsidP="00DF3F6B">
      <w:pPr>
        <w:pStyle w:val="ListParagraph"/>
        <w:numPr>
          <w:ilvl w:val="0"/>
          <w:numId w:val="82"/>
        </w:numPr>
        <w:spacing w:before="240" w:after="240" w:line="240" w:lineRule="auto"/>
        <w:ind w:left="567" w:hanging="283"/>
        <w:contextualSpacing w:val="0"/>
        <w:rPr>
          <w:lang w:val="en"/>
        </w:rPr>
      </w:pPr>
      <w:r w:rsidRPr="0016507D">
        <w:t>Check to see</w:t>
      </w:r>
      <w:r w:rsidRPr="56CD3535">
        <w:rPr>
          <w:lang w:val="en"/>
        </w:rPr>
        <w:t xml:space="preserve"> if there are cohabitating </w:t>
      </w:r>
      <w:r w:rsidR="00516348">
        <w:rPr>
          <w:lang w:val="en"/>
        </w:rPr>
        <w:t>older people</w:t>
      </w:r>
      <w:r w:rsidRPr="56CD3535">
        <w:rPr>
          <w:lang w:val="en"/>
        </w:rPr>
        <w:t xml:space="preserve"> in the house who may also require an </w:t>
      </w:r>
      <w:r w:rsidRPr="56CD3535" w:rsidDel="004A2F69">
        <w:rPr>
          <w:lang w:val="en"/>
        </w:rPr>
        <w:t>assessment</w:t>
      </w:r>
      <w:r w:rsidRPr="56CD3535">
        <w:rPr>
          <w:lang w:val="en"/>
        </w:rPr>
        <w:t xml:space="preserve"> and</w:t>
      </w:r>
      <w:r>
        <w:rPr>
          <w:lang w:val="en"/>
        </w:rPr>
        <w:t xml:space="preserve"> refer them to My Aged Care or include a note that they may be self-referred to their assessment organisation if circumstances meet the self-referral criteria and if</w:t>
      </w:r>
      <w:r w:rsidRPr="56CD3535">
        <w:rPr>
          <w:lang w:val="en"/>
        </w:rPr>
        <w:t xml:space="preserve"> appropriate</w:t>
      </w:r>
      <w:r>
        <w:rPr>
          <w:lang w:val="en"/>
        </w:rPr>
        <w:t>.</w:t>
      </w:r>
    </w:p>
    <w:p w14:paraId="219D05A7" w14:textId="78F0C18C" w:rsidR="00965F1F" w:rsidRDefault="00AB0268" w:rsidP="00C56CEC">
      <w:pPr>
        <w:pStyle w:val="H3"/>
      </w:pPr>
      <w:r w:rsidRPr="005E4E0E">
        <w:rPr>
          <w:bCs w:val="0"/>
          <w:noProof/>
        </w:rPr>
        <w:drawing>
          <wp:anchor distT="0" distB="0" distL="114300" distR="114300" simplePos="0" relativeHeight="251658304" behindDoc="0" locked="0" layoutInCell="1" allowOverlap="1" wp14:anchorId="077FF13B" wp14:editId="59440002">
            <wp:simplePos x="0" y="0"/>
            <wp:positionH relativeFrom="margin">
              <wp:posOffset>-38100</wp:posOffset>
            </wp:positionH>
            <wp:positionV relativeFrom="paragraph">
              <wp:posOffset>9525</wp:posOffset>
            </wp:positionV>
            <wp:extent cx="457200" cy="502920"/>
            <wp:effectExtent l="0" t="0" r="0" b="0"/>
            <wp:wrapSquare wrapText="bothSides"/>
            <wp:docPr id="392607471" name="Picture 392607471"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9A260E">
        <w:t xml:space="preserve">Preparing for an assessment with an </w:t>
      </w:r>
      <w:r w:rsidR="00621BE3" w:rsidRPr="00046342">
        <w:t xml:space="preserve">older Aboriginal and Torres Strait Islander </w:t>
      </w:r>
      <w:r w:rsidR="009A260E" w:rsidRPr="00046342">
        <w:t>pe</w:t>
      </w:r>
      <w:r w:rsidR="009A260E">
        <w:t>rson</w:t>
      </w:r>
    </w:p>
    <w:p w14:paraId="5353B055" w14:textId="5C530B99" w:rsidR="00AB4071" w:rsidRDefault="00AB4071" w:rsidP="00A677C9">
      <w:pPr>
        <w:spacing w:before="240" w:after="240" w:line="240" w:lineRule="auto"/>
      </w:pPr>
      <w:r>
        <w:t xml:space="preserve">Taking note of the community the older person belongs to, </w:t>
      </w:r>
      <w:r w:rsidR="3A3E7E3B">
        <w:t xml:space="preserve">assessors </w:t>
      </w:r>
      <w:r>
        <w:t>can support culturally safe and appropriate assessment practices. This information may help ensure</w:t>
      </w:r>
      <w:r w:rsidDel="008E7D8B">
        <w:t xml:space="preserve"> </w:t>
      </w:r>
      <w:r>
        <w:t xml:space="preserve">the referral is assigned to an assessor who is either from the same community or has a strong understanding of the local customs and </w:t>
      </w:r>
      <w:r w:rsidR="00DF532C">
        <w:t xml:space="preserve">cultural </w:t>
      </w:r>
      <w:r>
        <w:t>context. This alignment may enhance the delivery of culturally safe, trauma aware and healing informed assessments.</w:t>
      </w:r>
    </w:p>
    <w:p w14:paraId="4CA08897" w14:textId="43FE85AE" w:rsidR="00AB4071" w:rsidRDefault="00AB4071" w:rsidP="00A677C9">
      <w:pPr>
        <w:spacing w:before="240" w:after="240" w:line="240" w:lineRule="auto"/>
        <w:rPr>
          <w:lang w:val="en-AU"/>
        </w:rPr>
      </w:pPr>
      <w:r>
        <w:rPr>
          <w:lang w:val="en-AU"/>
        </w:rPr>
        <w:t>In preparation for the assessment, the assessor/</w:t>
      </w:r>
      <w:r w:rsidR="00DF532C">
        <w:rPr>
          <w:lang w:val="en-AU"/>
        </w:rPr>
        <w:t>t</w:t>
      </w:r>
      <w:r>
        <w:rPr>
          <w:lang w:val="en-AU"/>
        </w:rPr>
        <w:t xml:space="preserve">riage delegate should collect as much relevant </w:t>
      </w:r>
      <w:r w:rsidRPr="00D929F4">
        <w:rPr>
          <w:lang w:val="en-AU"/>
        </w:rPr>
        <w:t xml:space="preserve">information as possible </w:t>
      </w:r>
      <w:r>
        <w:rPr>
          <w:lang w:val="en-AU"/>
        </w:rPr>
        <w:t xml:space="preserve">prior to the assessment. This helps to inform the process and reduces the need for the older person having to re-tell their story. </w:t>
      </w:r>
    </w:p>
    <w:p w14:paraId="45A4EF48" w14:textId="77777777" w:rsidR="00AB4071" w:rsidRDefault="00AB4071" w:rsidP="00A677C9">
      <w:pPr>
        <w:spacing w:before="240" w:after="240" w:line="240" w:lineRule="auto"/>
        <w:rPr>
          <w:lang w:val="en-AU"/>
        </w:rPr>
      </w:pPr>
      <w:r>
        <w:rPr>
          <w:lang w:val="en-AU"/>
        </w:rPr>
        <w:t>Where consent is obtained from the older person, t</w:t>
      </w:r>
      <w:r w:rsidRPr="00D929F4">
        <w:rPr>
          <w:lang w:val="en-AU"/>
        </w:rPr>
        <w:t>his may include</w:t>
      </w:r>
      <w:r>
        <w:rPr>
          <w:lang w:val="en-AU"/>
        </w:rPr>
        <w:t>:</w:t>
      </w:r>
    </w:p>
    <w:p w14:paraId="637C829B" w14:textId="77777777" w:rsidR="00AB4071" w:rsidRDefault="00AB4071" w:rsidP="00DF3F6B">
      <w:pPr>
        <w:pStyle w:val="ListParagraph"/>
        <w:numPr>
          <w:ilvl w:val="0"/>
          <w:numId w:val="443"/>
        </w:numPr>
        <w:spacing w:before="240" w:after="240" w:line="240" w:lineRule="auto"/>
        <w:rPr>
          <w:lang w:val="en-AU"/>
        </w:rPr>
      </w:pPr>
      <w:r w:rsidRPr="000C3534">
        <w:rPr>
          <w:lang w:val="en-AU"/>
        </w:rPr>
        <w:t>information collected by the Elder Care Support workforce</w:t>
      </w:r>
    </w:p>
    <w:p w14:paraId="3AAB7244" w14:textId="77777777" w:rsidR="00AB4071" w:rsidRPr="00FE399E" w:rsidRDefault="00AB4071" w:rsidP="00DF3F6B">
      <w:pPr>
        <w:pStyle w:val="ListParagraph"/>
        <w:numPr>
          <w:ilvl w:val="0"/>
          <w:numId w:val="443"/>
        </w:numPr>
        <w:spacing w:before="240" w:after="240" w:line="240" w:lineRule="auto"/>
      </w:pPr>
      <w:r>
        <w:rPr>
          <w:lang w:val="en-AU"/>
        </w:rPr>
        <w:t>I</w:t>
      </w:r>
      <w:r w:rsidRPr="00B42AF4">
        <w:rPr>
          <w:lang w:val="en-AU"/>
        </w:rPr>
        <w:t xml:space="preserve">nformation from GPs or </w:t>
      </w:r>
      <w:r>
        <w:rPr>
          <w:lang w:val="en-AU"/>
        </w:rPr>
        <w:t xml:space="preserve">the Aboriginal Torres Strait Islander health/medical services, including results from MBS 715 health check </w:t>
      </w:r>
    </w:p>
    <w:p w14:paraId="39737DF4" w14:textId="08B6CF60" w:rsidR="00AB4071" w:rsidRPr="00046342" w:rsidRDefault="00AB4071" w:rsidP="00DF3F6B">
      <w:pPr>
        <w:pStyle w:val="ListParagraph"/>
        <w:numPr>
          <w:ilvl w:val="0"/>
          <w:numId w:val="443"/>
        </w:numPr>
        <w:spacing w:before="240" w:after="240" w:line="240" w:lineRule="auto"/>
      </w:pPr>
      <w:r>
        <w:t>Information from other health professionals, where appropriate</w:t>
      </w:r>
    </w:p>
    <w:p w14:paraId="36985D8E" w14:textId="77777777" w:rsidR="007A743C" w:rsidRDefault="007A743C" w:rsidP="00A677C9">
      <w:pPr>
        <w:spacing w:before="240" w:after="240" w:line="240" w:lineRule="auto"/>
      </w:pPr>
      <w:r w:rsidRPr="00925C5C">
        <w:rPr>
          <w:bCs/>
        </w:rPr>
        <w:t xml:space="preserve">Once triage is finalised and </w:t>
      </w:r>
      <w:r>
        <w:rPr>
          <w:bCs/>
        </w:rPr>
        <w:t xml:space="preserve">the </w:t>
      </w:r>
      <w:r w:rsidRPr="00925C5C">
        <w:rPr>
          <w:bCs/>
        </w:rPr>
        <w:t xml:space="preserve">assessment assigned to an </w:t>
      </w:r>
      <w:r>
        <w:rPr>
          <w:bCs/>
        </w:rPr>
        <w:t>a</w:t>
      </w:r>
      <w:r w:rsidRPr="00925C5C">
        <w:rPr>
          <w:bCs/>
        </w:rPr>
        <w:t xml:space="preserve">ssessor, the answers to triage questions cannot be </w:t>
      </w:r>
      <w:r w:rsidRPr="00851D41">
        <w:t>altered</w:t>
      </w:r>
      <w:r w:rsidRPr="00925C5C">
        <w:rPr>
          <w:bCs/>
        </w:rPr>
        <w:t xml:space="preserve"> by an </w:t>
      </w:r>
      <w:r>
        <w:rPr>
          <w:bCs/>
        </w:rPr>
        <w:t>a</w:t>
      </w:r>
      <w:r w:rsidRPr="00925C5C">
        <w:rPr>
          <w:bCs/>
        </w:rPr>
        <w:t xml:space="preserve">ssessor. </w:t>
      </w:r>
      <w:r>
        <w:t>Assessor</w:t>
      </w:r>
      <w:r w:rsidRPr="754519F4">
        <w:t xml:space="preserve">s and </w:t>
      </w:r>
      <w:r>
        <w:t>team leaders</w:t>
      </w:r>
      <w:r w:rsidRPr="754519F4">
        <w:t xml:space="preserve"> will be able to access historical triage information on </w:t>
      </w:r>
      <w:r>
        <w:t>an</w:t>
      </w:r>
      <w:r w:rsidRPr="754519F4">
        <w:t xml:space="preserve"> </w:t>
      </w:r>
      <w:r>
        <w:t>older person</w:t>
      </w:r>
      <w:r w:rsidRPr="754519F4">
        <w:t>’s record, which includes details such as the dates of previous triage, the organisation and individual who conducted it, and the outcomes of the triage.</w:t>
      </w:r>
      <w:r>
        <w:t xml:space="preserve"> </w:t>
      </w:r>
    </w:p>
    <w:p w14:paraId="07866D48" w14:textId="1E4224D9" w:rsidR="00F571D0" w:rsidRPr="00A64370" w:rsidRDefault="00F93A17" w:rsidP="00046342">
      <w:pPr>
        <w:spacing w:before="240" w:after="240" w:line="240" w:lineRule="auto"/>
      </w:pPr>
      <w:r>
        <w:t>Where possible,</w:t>
      </w:r>
      <w:r w:rsidR="007737DB">
        <w:t xml:space="preserve"> Aboriginal and Torres Strait </w:t>
      </w:r>
      <w:r w:rsidR="00253C45">
        <w:t>Islander people</w:t>
      </w:r>
      <w:r>
        <w:t xml:space="preserve"> should be matched with an asse</w:t>
      </w:r>
      <w:r w:rsidR="00F20B61">
        <w:t>s</w:t>
      </w:r>
      <w:r w:rsidR="00AA7BDC">
        <w:t>s</w:t>
      </w:r>
      <w:r w:rsidR="00F20B61">
        <w:t>or</w:t>
      </w:r>
      <w:r w:rsidR="00AA7BDC">
        <w:t xml:space="preserve"> who is </w:t>
      </w:r>
      <w:r w:rsidR="00F571D0" w:rsidRPr="00A64370">
        <w:t xml:space="preserve">appropriate as per the local customs, protocols, kinship obligations and preferences of the older person. This may include the </w:t>
      </w:r>
      <w:r w:rsidR="00F571D0">
        <w:t>support</w:t>
      </w:r>
      <w:r w:rsidR="00F571D0" w:rsidRPr="00A64370">
        <w:t xml:space="preserve"> of family members or advocates where appropriate. </w:t>
      </w:r>
    </w:p>
    <w:tbl>
      <w:tblPr>
        <w:tblStyle w:val="TableGrid"/>
        <w:tblW w:w="9730" w:type="dxa"/>
        <w:tblLayout w:type="fixed"/>
        <w:tblLook w:val="04A0" w:firstRow="1" w:lastRow="0" w:firstColumn="1" w:lastColumn="0" w:noHBand="0" w:noVBand="1"/>
      </w:tblPr>
      <w:tblGrid>
        <w:gridCol w:w="988"/>
        <w:gridCol w:w="8742"/>
      </w:tblGrid>
      <w:tr w:rsidR="007A743C" w14:paraId="46784F29" w14:textId="77777777">
        <w:trPr>
          <w:trHeight w:val="300"/>
        </w:trPr>
        <w:tc>
          <w:tcPr>
            <w:tcW w:w="988" w:type="dxa"/>
          </w:tcPr>
          <w:p w14:paraId="42FB5D0E" w14:textId="77777777" w:rsidR="007A743C" w:rsidRDefault="007A743C" w:rsidP="00A677C9">
            <w:pPr>
              <w:spacing w:before="240" w:after="240"/>
              <w:rPr>
                <w:b/>
                <w:szCs w:val="22"/>
              </w:rPr>
            </w:pPr>
            <w:r>
              <w:rPr>
                <w:noProof/>
              </w:rPr>
              <w:drawing>
                <wp:inline distT="0" distB="0" distL="0" distR="0" wp14:anchorId="15900FBE" wp14:editId="52B89682">
                  <wp:extent cx="383111" cy="381000"/>
                  <wp:effectExtent l="0" t="0" r="0" b="0"/>
                  <wp:docPr id="1020946753" name="Picture 10209467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742" w:type="dxa"/>
          </w:tcPr>
          <w:p w14:paraId="402DCC2F" w14:textId="6191D61A" w:rsidR="007A743C" w:rsidRPr="0078465B" w:rsidRDefault="007A743C" w:rsidP="00A677C9">
            <w:pPr>
              <w:spacing w:before="240" w:after="240"/>
              <w:rPr>
                <w:b/>
                <w:szCs w:val="22"/>
              </w:rPr>
            </w:pPr>
            <w:r>
              <w:rPr>
                <w:b/>
                <w:szCs w:val="22"/>
              </w:rPr>
              <w:t>Department</w:t>
            </w:r>
            <w:r w:rsidRPr="0078465B">
              <w:rPr>
                <w:b/>
                <w:szCs w:val="22"/>
              </w:rPr>
              <w:t xml:space="preserve"> of Health</w:t>
            </w:r>
            <w:r>
              <w:rPr>
                <w:b/>
                <w:szCs w:val="22"/>
              </w:rPr>
              <w:t>, Disability</w:t>
            </w:r>
            <w:r w:rsidRPr="0078465B">
              <w:rPr>
                <w:b/>
                <w:szCs w:val="22"/>
              </w:rPr>
              <w:t xml:space="preserve"> and </w:t>
            </w:r>
            <w:r w:rsidR="006E3E50">
              <w:rPr>
                <w:b/>
                <w:szCs w:val="22"/>
              </w:rPr>
              <w:t>Ageing</w:t>
            </w:r>
            <w:r w:rsidRPr="0078465B">
              <w:rPr>
                <w:b/>
                <w:szCs w:val="22"/>
              </w:rPr>
              <w:t xml:space="preserve"> website:</w:t>
            </w:r>
          </w:p>
          <w:p w14:paraId="37FF08B5" w14:textId="77777777" w:rsidR="007A743C" w:rsidRDefault="007A743C" w:rsidP="00A677C9">
            <w:pPr>
              <w:spacing w:before="240" w:after="240"/>
              <w:rPr>
                <w:szCs w:val="22"/>
              </w:rPr>
            </w:pPr>
            <w:hyperlink r:id="rId139" w:history="1">
              <w:r w:rsidRPr="0078465B">
                <w:rPr>
                  <w:rStyle w:val="Hyperlink"/>
                  <w:szCs w:val="22"/>
                </w:rPr>
                <w:t>Deaf Connect</w:t>
              </w:r>
            </w:hyperlink>
            <w:r w:rsidRPr="0078465B">
              <w:rPr>
                <w:szCs w:val="22"/>
              </w:rPr>
              <w:t xml:space="preserve"> (free face-to-face sign-language and Remote Video Interpreting Service)</w:t>
            </w:r>
          </w:p>
          <w:p w14:paraId="4DFDD53B" w14:textId="77777777" w:rsidR="007A743C" w:rsidRPr="00EA32B7" w:rsidRDefault="007A743C" w:rsidP="00A677C9">
            <w:pPr>
              <w:spacing w:before="240" w:after="240"/>
              <w:rPr>
                <w:szCs w:val="22"/>
              </w:rPr>
            </w:pPr>
            <w:hyperlink r:id="rId140" w:history="1">
              <w:r w:rsidRPr="00EA32B7">
                <w:rPr>
                  <w:rStyle w:val="Hyperlink"/>
                  <w:szCs w:val="22"/>
                </w:rPr>
                <w:t>Fact sheet for Assessors on care finders</w:t>
              </w:r>
            </w:hyperlink>
          </w:p>
          <w:p w14:paraId="1DEA0B3B" w14:textId="77777777" w:rsidR="007A743C" w:rsidRDefault="007A743C" w:rsidP="00A677C9">
            <w:pPr>
              <w:spacing w:before="240" w:after="240"/>
              <w:rPr>
                <w:rStyle w:val="Hyperlink"/>
              </w:rPr>
            </w:pPr>
            <w:r w:rsidRPr="0078465B">
              <w:rPr>
                <w:b/>
                <w:szCs w:val="22"/>
              </w:rPr>
              <w:t>My Aged Care website</w:t>
            </w:r>
            <w:r w:rsidRPr="0078465B">
              <w:rPr>
                <w:szCs w:val="22"/>
              </w:rPr>
              <w:t xml:space="preserve">: </w:t>
            </w:r>
            <w:hyperlink r:id="rId141">
              <w:r w:rsidRPr="0078465B">
                <w:rPr>
                  <w:rStyle w:val="Hyperlink"/>
                  <w:szCs w:val="22"/>
                </w:rPr>
                <w:t>Support for Hearing and Vision Impairment</w:t>
              </w:r>
            </w:hyperlink>
            <w:r>
              <w:rPr>
                <w:rStyle w:val="Hyperlink"/>
                <w:szCs w:val="22"/>
              </w:rPr>
              <w:t>;</w:t>
            </w:r>
            <w:r>
              <w:rPr>
                <w:rStyle w:val="Hyperlink"/>
              </w:rPr>
              <w:t xml:space="preserve"> </w:t>
            </w:r>
          </w:p>
          <w:p w14:paraId="36BDA542" w14:textId="77777777" w:rsidR="007A743C" w:rsidRPr="00EA32B7" w:rsidRDefault="007A743C" w:rsidP="00A677C9">
            <w:pPr>
              <w:spacing w:before="240" w:after="240"/>
              <w:rPr>
                <w:rStyle w:val="Hyperlink"/>
                <w:szCs w:val="22"/>
              </w:rPr>
            </w:pPr>
            <w:hyperlink r:id="rId142" w:history="1">
              <w:r w:rsidRPr="00EA32B7">
                <w:rPr>
                  <w:rStyle w:val="Hyperlink"/>
                  <w:szCs w:val="22"/>
                </w:rPr>
                <w:t>Help from a care finder</w:t>
              </w:r>
            </w:hyperlink>
          </w:p>
          <w:p w14:paraId="6BB2D3E8" w14:textId="69F5DC84" w:rsidR="007A743C" w:rsidRPr="008750A7" w:rsidRDefault="007A743C" w:rsidP="00A677C9">
            <w:pPr>
              <w:spacing w:before="240" w:after="240"/>
            </w:pPr>
          </w:p>
        </w:tc>
      </w:tr>
    </w:tbl>
    <w:p w14:paraId="1081B6AF" w14:textId="7428B297" w:rsidR="007A743C" w:rsidRPr="007123E9" w:rsidRDefault="007A743C" w:rsidP="00507F9D">
      <w:pPr>
        <w:pStyle w:val="h2"/>
      </w:pPr>
      <w:bookmarkStart w:id="367" w:name="_Toc209188982"/>
      <w:bookmarkStart w:id="368" w:name="_Toc224916643"/>
      <w:r w:rsidRPr="002067E8">
        <w:t>Revo</w:t>
      </w:r>
      <w:r w:rsidR="00385041">
        <w:t>king</w:t>
      </w:r>
      <w:r w:rsidRPr="002067E8">
        <w:t xml:space="preserve"> eligibility during an assessment</w:t>
      </w:r>
      <w:bookmarkEnd w:id="367"/>
      <w:bookmarkEnd w:id="368"/>
      <w:r w:rsidRPr="007123E9">
        <w:t xml:space="preserve"> </w:t>
      </w:r>
    </w:p>
    <w:p w14:paraId="414C3244" w14:textId="77777777" w:rsidR="007A743C" w:rsidRDefault="007A743C" w:rsidP="00A677C9">
      <w:pPr>
        <w:spacing w:before="240" w:after="240" w:line="240" w:lineRule="auto"/>
      </w:pPr>
      <w:r w:rsidRPr="007B5599">
        <w:t xml:space="preserve">An individual's eligibility to undergo an assessment is determined by a triage delegate based on the information available to them when triage is conducted. </w:t>
      </w:r>
      <w:r>
        <w:t xml:space="preserve">The Act provides specific circumstances where an eligibility decision may be revoked on the initiative of the System Governor, including during the application process the individual gave information or documents which were false or misleading, omitted any matter or things that without would make the document false or misleading. This may include situations where key facts presented were inaccurate or misleading, resulting in the eligibility decision being granted erroneously. In such cases, it is the departmental delegate’s responsibility to assess the evidence, and if warranted, initiate the revocation process to maintain the integrity of the aged care system. </w:t>
      </w:r>
    </w:p>
    <w:p w14:paraId="233141A8" w14:textId="040897B6" w:rsidR="007A743C" w:rsidRDefault="007A743C" w:rsidP="00A677C9">
      <w:pPr>
        <w:spacing w:before="240" w:after="240" w:line="240" w:lineRule="auto"/>
      </w:pPr>
      <w:r>
        <w:t xml:space="preserve">If an </w:t>
      </w:r>
      <w:r w:rsidRPr="007B5599">
        <w:t xml:space="preserve">assessor </w:t>
      </w:r>
      <w:r>
        <w:t xml:space="preserve">or </w:t>
      </w:r>
      <w:r w:rsidR="00DE7287">
        <w:t>a</w:t>
      </w:r>
      <w:r w:rsidR="00DE7287" w:rsidRPr="007B5599">
        <w:t>ssessment</w:t>
      </w:r>
      <w:r w:rsidDel="00DE7287">
        <w:t xml:space="preserve"> </w:t>
      </w:r>
      <w:r w:rsidR="00DE7287">
        <w:t xml:space="preserve">delegate </w:t>
      </w:r>
      <w:r w:rsidRPr="007B5599">
        <w:t xml:space="preserve">has concerns </w:t>
      </w:r>
      <w:r>
        <w:t xml:space="preserve">about the information or documents provided by an older person and/or </w:t>
      </w:r>
      <w:r w:rsidRPr="007B5599">
        <w:t xml:space="preserve">their </w:t>
      </w:r>
      <w:r>
        <w:t>registered</w:t>
      </w:r>
      <w:r w:rsidRPr="007B5599">
        <w:t xml:space="preserve"> supporter</w:t>
      </w:r>
      <w:r>
        <w:t>(s) or appointed decision makers, they</w:t>
      </w:r>
      <w:r w:rsidRPr="007B5599">
        <w:t xml:space="preserve"> should contact </w:t>
      </w:r>
      <w:r w:rsidR="006242FB">
        <w:t xml:space="preserve">their </w:t>
      </w:r>
      <w:r w:rsidR="00FB4182">
        <w:t xml:space="preserve">assessment </w:t>
      </w:r>
      <w:r w:rsidR="00285AD5">
        <w:t xml:space="preserve">organisation’s </w:t>
      </w:r>
      <w:r w:rsidR="00FB4182">
        <w:t>operational manager</w:t>
      </w:r>
      <w:r w:rsidR="00285AD5">
        <w:t>, who will make contact with the relevant area of the Department to resolve</w:t>
      </w:r>
      <w:r w:rsidR="001575EC">
        <w:t>.</w:t>
      </w:r>
    </w:p>
    <w:p w14:paraId="33B09389" w14:textId="71244B0E" w:rsidR="007A743C" w:rsidRDefault="007A743C" w:rsidP="00A677C9">
      <w:pPr>
        <w:spacing w:before="240" w:after="240" w:line="240" w:lineRule="auto"/>
      </w:pPr>
      <w:r>
        <w:t xml:space="preserve">For further information on revocations on the initiative of the System Governor and individual, please refer to Chapter </w:t>
      </w:r>
      <w:r w:rsidR="00873F8B">
        <w:fldChar w:fldCharType="begin"/>
      </w:r>
      <w:r w:rsidR="00873F8B">
        <w:instrText xml:space="preserve"> REF _Ref212735729 \w \h </w:instrText>
      </w:r>
      <w:r w:rsidR="00873F8B">
        <w:fldChar w:fldCharType="separate"/>
      </w:r>
      <w:r w:rsidR="00F97942">
        <w:t>11</w:t>
      </w:r>
      <w:r w:rsidR="00873F8B">
        <w:fldChar w:fldCharType="end"/>
      </w:r>
      <w:r>
        <w:t xml:space="preserve"> – Reviewable Decisions, Revocations and Complaints.</w:t>
      </w:r>
    </w:p>
    <w:p w14:paraId="1818CFE1" w14:textId="20AAA668" w:rsidR="007A743C" w:rsidRPr="00DC4DB4" w:rsidRDefault="007A743C" w:rsidP="00507F9D">
      <w:pPr>
        <w:pStyle w:val="h2"/>
      </w:pPr>
      <w:bookmarkStart w:id="369" w:name="_Toc159226877"/>
      <w:bookmarkStart w:id="370" w:name="_Toc184402292"/>
      <w:bookmarkStart w:id="371" w:name="_Toc204329548"/>
      <w:bookmarkStart w:id="372" w:name="_Toc209188983"/>
      <w:bookmarkStart w:id="373" w:name="_Toc224916644"/>
      <w:bookmarkStart w:id="374" w:name="_Toc198813677"/>
      <w:r w:rsidRPr="00DC4DB4">
        <w:t xml:space="preserve">Assessment </w:t>
      </w:r>
      <w:r w:rsidR="006D2D28">
        <w:t>s</w:t>
      </w:r>
      <w:r w:rsidRPr="00DC4DB4">
        <w:t>ettings</w:t>
      </w:r>
      <w:bookmarkEnd w:id="369"/>
      <w:bookmarkEnd w:id="370"/>
      <w:bookmarkEnd w:id="371"/>
      <w:bookmarkEnd w:id="372"/>
      <w:bookmarkEnd w:id="373"/>
    </w:p>
    <w:p w14:paraId="0AEBADCD" w14:textId="77777777" w:rsidR="007A743C" w:rsidRPr="00FD6802" w:rsidRDefault="007A743C" w:rsidP="00C56CEC">
      <w:pPr>
        <w:pStyle w:val="H3"/>
      </w:pPr>
      <w:r w:rsidRPr="00FD6802">
        <w:t>Usual accommodation setting</w:t>
      </w:r>
    </w:p>
    <w:p w14:paraId="0E775AC2" w14:textId="647C9C11" w:rsidR="007A743C" w:rsidRPr="00DC4DB4" w:rsidRDefault="00A07966" w:rsidP="00A677C9">
      <w:pPr>
        <w:spacing w:before="240" w:after="240" w:line="240" w:lineRule="auto"/>
        <w:rPr>
          <w:lang w:eastAsia="ko-KR"/>
        </w:rPr>
      </w:pPr>
      <w:r>
        <w:rPr>
          <w:lang w:eastAsia="ko-KR"/>
        </w:rPr>
        <w:t>An</w:t>
      </w:r>
      <w:r w:rsidR="007A743C" w:rsidRPr="00DC4DB4">
        <w:rPr>
          <w:lang w:eastAsia="ko-KR"/>
        </w:rPr>
        <w:t xml:space="preserve"> initial assessment should be face-to-face in the </w:t>
      </w:r>
      <w:r w:rsidR="007A743C">
        <w:rPr>
          <w:lang w:eastAsia="ko-KR"/>
        </w:rPr>
        <w:t>older person</w:t>
      </w:r>
      <w:r w:rsidR="007A743C" w:rsidRPr="00DC4DB4">
        <w:rPr>
          <w:lang w:eastAsia="ko-KR"/>
        </w:rPr>
        <w:t xml:space="preserve">’s usual accommodation setting. This will assist with the environmental, physical, and social components of the assessment by observing the </w:t>
      </w:r>
      <w:r w:rsidR="007A743C">
        <w:rPr>
          <w:lang w:eastAsia="ko-KR"/>
        </w:rPr>
        <w:t>older person</w:t>
      </w:r>
      <w:r w:rsidR="007A743C" w:rsidRPr="00DC4DB4">
        <w:rPr>
          <w:lang w:eastAsia="ko-KR"/>
        </w:rPr>
        <w:t>’s level of independence, functioning, and existing support arrangements in familiar surroundings</w:t>
      </w:r>
      <w:r w:rsidR="007A743C">
        <w:rPr>
          <w:lang w:eastAsia="ko-KR"/>
        </w:rPr>
        <w:t>.</w:t>
      </w:r>
      <w:r w:rsidR="007A743C" w:rsidRPr="00DC4DB4">
        <w:rPr>
          <w:lang w:eastAsia="ko-KR"/>
        </w:rPr>
        <w:t xml:space="preserve"> Due to the nature of transition care services, some assessments will occur in the hospital setting</w:t>
      </w:r>
      <w:r w:rsidR="007A743C">
        <w:rPr>
          <w:lang w:eastAsia="ko-KR"/>
        </w:rPr>
        <w:t>.</w:t>
      </w:r>
    </w:p>
    <w:p w14:paraId="5AFD543B" w14:textId="71994F69" w:rsidR="008E2851" w:rsidRDefault="008E2851" w:rsidP="00A677C9">
      <w:pPr>
        <w:spacing w:before="240" w:after="240" w:line="240" w:lineRule="auto"/>
      </w:pPr>
      <w:r>
        <w:t xml:space="preserve">However, if this is not possible, assessments </w:t>
      </w:r>
      <w:r w:rsidR="00465039">
        <w:t xml:space="preserve">for Aboriginal and Torres Strait Islander people </w:t>
      </w:r>
      <w:r>
        <w:t xml:space="preserve">should be undertaken at a setting that makes the older person feel safe, at ease and comfortable. </w:t>
      </w:r>
    </w:p>
    <w:p w14:paraId="4EA8B108" w14:textId="454F409B" w:rsidR="00AA7600" w:rsidRDefault="00AA7600" w:rsidP="006045D5">
      <w:pPr>
        <w:pStyle w:val="H4"/>
      </w:pPr>
      <w:r>
        <w:t>Assessing an older person who is not in their usual accommodation setting</w:t>
      </w:r>
    </w:p>
    <w:p w14:paraId="33CF82F0" w14:textId="56948BA6" w:rsidR="00C9195A" w:rsidRDefault="00262584" w:rsidP="00C9195A">
      <w:pPr>
        <w:spacing w:before="240" w:after="240" w:line="240" w:lineRule="auto"/>
        <w:rPr>
          <w:lang w:eastAsia="ko-KR"/>
        </w:rPr>
      </w:pPr>
      <w:r>
        <w:rPr>
          <w:lang w:eastAsia="ko-KR"/>
        </w:rPr>
        <w:t xml:space="preserve">When assessing an older person </w:t>
      </w:r>
      <w:r w:rsidR="00B953F2">
        <w:rPr>
          <w:lang w:eastAsia="ko-KR"/>
        </w:rPr>
        <w:t xml:space="preserve">who </w:t>
      </w:r>
      <w:r w:rsidR="00BC1BC6">
        <w:rPr>
          <w:lang w:eastAsia="ko-KR"/>
        </w:rPr>
        <w:t xml:space="preserve">is residing </w:t>
      </w:r>
      <w:r>
        <w:rPr>
          <w:lang w:eastAsia="ko-KR"/>
        </w:rPr>
        <w:t xml:space="preserve">in a residential aged care </w:t>
      </w:r>
      <w:r w:rsidR="00D715D1">
        <w:rPr>
          <w:lang w:eastAsia="ko-KR"/>
        </w:rPr>
        <w:t>or hospital</w:t>
      </w:r>
      <w:r>
        <w:rPr>
          <w:lang w:eastAsia="ko-KR"/>
        </w:rPr>
        <w:t xml:space="preserve"> setting</w:t>
      </w:r>
      <w:r w:rsidR="00C818CD">
        <w:rPr>
          <w:lang w:eastAsia="ko-KR"/>
        </w:rPr>
        <w:t xml:space="preserve"> </w:t>
      </w:r>
      <w:r w:rsidR="00B953F2">
        <w:rPr>
          <w:lang w:eastAsia="ko-KR"/>
        </w:rPr>
        <w:t xml:space="preserve">for services to </w:t>
      </w:r>
      <w:r w:rsidR="00EF4F05">
        <w:rPr>
          <w:lang w:eastAsia="ko-KR"/>
        </w:rPr>
        <w:t>support their transition to residing</w:t>
      </w:r>
      <w:r w:rsidR="00B953F2">
        <w:rPr>
          <w:lang w:eastAsia="ko-KR"/>
        </w:rPr>
        <w:t xml:space="preserve"> </w:t>
      </w:r>
      <w:r w:rsidR="00BC1BC6">
        <w:rPr>
          <w:lang w:eastAsia="ko-KR"/>
        </w:rPr>
        <w:t>in</w:t>
      </w:r>
      <w:r w:rsidR="00C9195A">
        <w:rPr>
          <w:lang w:eastAsia="ko-KR"/>
        </w:rPr>
        <w:t xml:space="preserve"> the </w:t>
      </w:r>
      <w:r w:rsidR="00BC1BC6">
        <w:rPr>
          <w:lang w:eastAsia="ko-KR"/>
        </w:rPr>
        <w:t>community</w:t>
      </w:r>
      <w:r w:rsidR="00C9195A">
        <w:rPr>
          <w:lang w:eastAsia="ko-KR"/>
        </w:rPr>
        <w:t xml:space="preserve">, the assessor can still complete a ‘true’ assessment based on their best efforts to understand and assess against the person’s functional needs in </w:t>
      </w:r>
      <w:r w:rsidR="000E7950">
        <w:rPr>
          <w:lang w:eastAsia="ko-KR"/>
        </w:rPr>
        <w:t>the community</w:t>
      </w:r>
      <w:r w:rsidR="00C9195A">
        <w:rPr>
          <w:lang w:eastAsia="ko-KR"/>
        </w:rPr>
        <w:t xml:space="preserve"> setting </w:t>
      </w:r>
      <w:r w:rsidR="000E7950">
        <w:rPr>
          <w:lang w:eastAsia="ko-KR"/>
        </w:rPr>
        <w:t xml:space="preserve">they intend to reside in </w:t>
      </w:r>
      <w:r w:rsidR="00C9195A">
        <w:rPr>
          <w:lang w:eastAsia="ko-KR"/>
        </w:rPr>
        <w:t xml:space="preserve">not the setting where the assessment is being carried out. </w:t>
      </w:r>
      <w:r w:rsidR="00AA7600">
        <w:rPr>
          <w:lang w:eastAsia="ko-KR"/>
        </w:rPr>
        <w:t>in these circumstances</w:t>
      </w:r>
      <w:r w:rsidR="00C9195A">
        <w:rPr>
          <w:lang w:eastAsia="ko-KR"/>
        </w:rPr>
        <w:t xml:space="preserve">, it may be necessary for assessors to seek information about the older person’s home environment from the older person’s care and support team to make an as accurate assessment as possible of their functional needs. </w:t>
      </w:r>
    </w:p>
    <w:p w14:paraId="061171B0" w14:textId="3ADEFAD8" w:rsidR="001851B9" w:rsidRPr="00DC4DB4" w:rsidRDefault="001851B9" w:rsidP="00A677C9">
      <w:pPr>
        <w:spacing w:before="240" w:after="240" w:line="240" w:lineRule="auto"/>
        <w:rPr>
          <w:lang w:eastAsia="ko-KR"/>
        </w:rPr>
      </w:pPr>
    </w:p>
    <w:p w14:paraId="13E16A52" w14:textId="08BAB9CC" w:rsidR="007A743C" w:rsidRPr="00363856" w:rsidRDefault="007A743C" w:rsidP="00C56CEC">
      <w:pPr>
        <w:pStyle w:val="H3"/>
        <w:rPr>
          <w:color w:val="1E1444"/>
        </w:rPr>
      </w:pPr>
      <w:r w:rsidRPr="00363856">
        <w:t>Telehealth</w:t>
      </w:r>
    </w:p>
    <w:p w14:paraId="3AF26B9D" w14:textId="5E0F809C" w:rsidR="005F7F97" w:rsidRDefault="00BB398D" w:rsidP="00A677C9">
      <w:pPr>
        <w:spacing w:before="240" w:after="240" w:line="240" w:lineRule="auto"/>
        <w:rPr>
          <w:lang w:eastAsia="ko-KR"/>
        </w:rPr>
      </w:pPr>
      <w:r>
        <w:rPr>
          <w:lang w:eastAsia="ko-KR"/>
        </w:rPr>
        <w:t>It is best practice for assessments to be conducted face-to-face</w:t>
      </w:r>
      <w:r w:rsidR="00166D4B">
        <w:rPr>
          <w:lang w:eastAsia="ko-KR"/>
        </w:rPr>
        <w:t>. A</w:t>
      </w:r>
      <w:r w:rsidR="00EA10AA">
        <w:rPr>
          <w:lang w:eastAsia="ko-KR"/>
        </w:rPr>
        <w:t xml:space="preserve">ssessment organisations are strongly </w:t>
      </w:r>
      <w:r w:rsidR="00CD611D">
        <w:rPr>
          <w:lang w:eastAsia="ko-KR"/>
        </w:rPr>
        <w:t>encouraged to ensure assessments are face-to-face wherever possible.</w:t>
      </w:r>
      <w:r>
        <w:rPr>
          <w:lang w:eastAsia="ko-KR"/>
        </w:rPr>
        <w:t xml:space="preserve"> </w:t>
      </w:r>
      <w:r w:rsidR="007A743C" w:rsidRPr="00DC4DB4">
        <w:rPr>
          <w:lang w:eastAsia="ko-KR"/>
        </w:rPr>
        <w:t xml:space="preserve">Where face-to-face contact between the assessor and </w:t>
      </w:r>
      <w:r w:rsidR="007A743C">
        <w:rPr>
          <w:lang w:eastAsia="ko-KR"/>
        </w:rPr>
        <w:t>older person</w:t>
      </w:r>
      <w:r w:rsidR="007A743C" w:rsidRPr="00DC4DB4">
        <w:rPr>
          <w:lang w:eastAsia="ko-KR"/>
        </w:rPr>
        <w:t xml:space="preserve"> is not possible (e.g., when assessing a</w:t>
      </w:r>
      <w:r w:rsidR="007A743C">
        <w:rPr>
          <w:lang w:eastAsia="ko-KR"/>
        </w:rPr>
        <w:t>n</w:t>
      </w:r>
      <w:r w:rsidR="007A743C" w:rsidRPr="00DC4DB4">
        <w:rPr>
          <w:lang w:eastAsia="ko-KR"/>
        </w:rPr>
        <w:t xml:space="preserve"> </w:t>
      </w:r>
      <w:r w:rsidR="007A743C">
        <w:rPr>
          <w:lang w:eastAsia="ko-KR"/>
        </w:rPr>
        <w:t>older person</w:t>
      </w:r>
      <w:r w:rsidR="007A743C" w:rsidRPr="00DC4DB4">
        <w:rPr>
          <w:lang w:eastAsia="ko-KR"/>
        </w:rPr>
        <w:t xml:space="preserve"> in a remote area or the </w:t>
      </w:r>
      <w:r w:rsidR="007A743C">
        <w:rPr>
          <w:lang w:eastAsia="ko-KR"/>
        </w:rPr>
        <w:t>older person</w:t>
      </w:r>
      <w:r w:rsidR="007A743C" w:rsidRPr="00DC4DB4">
        <w:rPr>
          <w:lang w:eastAsia="ko-KR"/>
        </w:rPr>
        <w:t xml:space="preserve"> is inaccessible due to exceptional circumstances such as a seasonal weather event), a telehealth assessment may be undertaken. </w:t>
      </w:r>
      <w:r w:rsidR="001D2096">
        <w:rPr>
          <w:lang w:eastAsia="ko-KR"/>
        </w:rPr>
        <w:t xml:space="preserve">Where a telehealth assessment is </w:t>
      </w:r>
      <w:r w:rsidR="00AF7D7D">
        <w:rPr>
          <w:lang w:eastAsia="ko-KR"/>
        </w:rPr>
        <w:t>proposed</w:t>
      </w:r>
      <w:r w:rsidR="00E04504">
        <w:rPr>
          <w:lang w:eastAsia="ko-KR"/>
        </w:rPr>
        <w:t xml:space="preserve"> by the assessor</w:t>
      </w:r>
      <w:r w:rsidR="00055085">
        <w:rPr>
          <w:lang w:eastAsia="ko-KR"/>
        </w:rPr>
        <w:t>, it is important that the</w:t>
      </w:r>
      <w:r w:rsidR="00E04504">
        <w:rPr>
          <w:lang w:eastAsia="ko-KR"/>
        </w:rPr>
        <w:t xml:space="preserve">y </w:t>
      </w:r>
      <w:r w:rsidR="00055085">
        <w:rPr>
          <w:lang w:eastAsia="ko-KR"/>
        </w:rPr>
        <w:t>explain</w:t>
      </w:r>
      <w:r w:rsidR="00A12530">
        <w:rPr>
          <w:lang w:eastAsia="ko-KR"/>
        </w:rPr>
        <w:t xml:space="preserve"> to the client</w:t>
      </w:r>
      <w:r w:rsidR="00055085">
        <w:rPr>
          <w:lang w:eastAsia="ko-KR"/>
        </w:rPr>
        <w:t xml:space="preserve"> </w:t>
      </w:r>
      <w:r w:rsidR="009329B8">
        <w:rPr>
          <w:lang w:eastAsia="ko-KR"/>
        </w:rPr>
        <w:t xml:space="preserve">the rationale </w:t>
      </w:r>
      <w:r w:rsidR="00E04504">
        <w:rPr>
          <w:lang w:eastAsia="ko-KR"/>
        </w:rPr>
        <w:t xml:space="preserve">of </w:t>
      </w:r>
      <w:r w:rsidR="0040351A">
        <w:rPr>
          <w:lang w:eastAsia="ko-KR"/>
        </w:rPr>
        <w:t xml:space="preserve">using that assessment setting </w:t>
      </w:r>
      <w:r w:rsidR="004E35FA">
        <w:rPr>
          <w:lang w:eastAsia="ko-KR"/>
        </w:rPr>
        <w:t xml:space="preserve">and </w:t>
      </w:r>
      <w:r w:rsidR="00413EE2">
        <w:rPr>
          <w:lang w:eastAsia="ko-KR"/>
        </w:rPr>
        <w:t>any implications</w:t>
      </w:r>
      <w:r w:rsidR="00A12530">
        <w:rPr>
          <w:lang w:eastAsia="ko-KR"/>
        </w:rPr>
        <w:t xml:space="preserve"> this may have </w:t>
      </w:r>
      <w:r w:rsidR="00413EE2">
        <w:rPr>
          <w:lang w:eastAsia="ko-KR"/>
        </w:rPr>
        <w:t>such as timing</w:t>
      </w:r>
      <w:r w:rsidR="00A12530">
        <w:rPr>
          <w:lang w:eastAsia="ko-KR"/>
        </w:rPr>
        <w:t>,</w:t>
      </w:r>
      <w:r w:rsidR="00A50F4F">
        <w:rPr>
          <w:lang w:eastAsia="ko-KR"/>
        </w:rPr>
        <w:t xml:space="preserve"> </w:t>
      </w:r>
      <w:r w:rsidR="00C9336B">
        <w:rPr>
          <w:lang w:eastAsia="ko-KR"/>
        </w:rPr>
        <w:t xml:space="preserve">the need of </w:t>
      </w:r>
      <w:r w:rsidR="00010E74">
        <w:rPr>
          <w:lang w:eastAsia="ko-KR"/>
        </w:rPr>
        <w:t>other people who may be involved before, during and/or after the assessment</w:t>
      </w:r>
      <w:r w:rsidR="00B32256">
        <w:rPr>
          <w:lang w:eastAsia="ko-KR"/>
        </w:rPr>
        <w:t xml:space="preserve"> and</w:t>
      </w:r>
      <w:r w:rsidR="00C9336B">
        <w:rPr>
          <w:lang w:eastAsia="ko-KR"/>
        </w:rPr>
        <w:t xml:space="preserve"> logistical considerations such as </w:t>
      </w:r>
      <w:r w:rsidR="005F7F97">
        <w:rPr>
          <w:lang w:eastAsia="ko-KR"/>
        </w:rPr>
        <w:t>organising</w:t>
      </w:r>
      <w:r w:rsidR="00C9336B">
        <w:rPr>
          <w:lang w:eastAsia="ko-KR"/>
        </w:rPr>
        <w:t xml:space="preserve"> video call capabilities.</w:t>
      </w:r>
      <w:r w:rsidR="00010E74">
        <w:rPr>
          <w:lang w:eastAsia="ko-KR"/>
        </w:rPr>
        <w:t xml:space="preserve"> </w:t>
      </w:r>
      <w:r w:rsidR="00AF7D7D">
        <w:rPr>
          <w:lang w:eastAsia="ko-KR"/>
        </w:rPr>
        <w:t xml:space="preserve"> </w:t>
      </w:r>
      <w:r w:rsidR="007A743C" w:rsidRPr="00DC4DB4">
        <w:rPr>
          <w:lang w:eastAsia="ko-KR"/>
        </w:rPr>
        <w:t xml:space="preserve"> </w:t>
      </w:r>
    </w:p>
    <w:p w14:paraId="49B874D9" w14:textId="74150717" w:rsidR="007A743C" w:rsidRDefault="007A743C" w:rsidP="00A677C9">
      <w:pPr>
        <w:spacing w:before="240" w:after="240" w:line="240" w:lineRule="auto"/>
        <w:rPr>
          <w:lang w:eastAsia="ko-KR"/>
        </w:rPr>
      </w:pPr>
      <w:r>
        <w:rPr>
          <w:lang w:eastAsia="ko-KR"/>
        </w:rPr>
        <w:t>The assessor must make additional efforts to ensure the quality of assessment is not compromised when conducting a telehealth assessment and that assessment decisions remain evidence based.</w:t>
      </w:r>
    </w:p>
    <w:p w14:paraId="4467975A" w14:textId="62F9EB20" w:rsidR="007A743C" w:rsidDel="00004CFE" w:rsidRDefault="007A743C" w:rsidP="00A677C9">
      <w:pPr>
        <w:spacing w:before="240" w:after="240" w:line="240" w:lineRule="auto"/>
      </w:pPr>
      <w:r w:rsidRPr="00DC4DB4">
        <w:rPr>
          <w:lang w:eastAsia="ko-KR"/>
        </w:rPr>
        <w:t xml:space="preserve">Another suitably qualified person (such as a local health worker) </w:t>
      </w:r>
      <w:r>
        <w:rPr>
          <w:lang w:eastAsia="ko-KR"/>
        </w:rPr>
        <w:t>and/or the older person’s agent</w:t>
      </w:r>
      <w:r w:rsidR="006947D3">
        <w:rPr>
          <w:lang w:eastAsia="ko-KR"/>
        </w:rPr>
        <w:t xml:space="preserve">, </w:t>
      </w:r>
      <w:r>
        <w:rPr>
          <w:lang w:eastAsia="ko-KR"/>
        </w:rPr>
        <w:t xml:space="preserve">registered supporter </w:t>
      </w:r>
      <w:r w:rsidR="006947D3">
        <w:rPr>
          <w:lang w:eastAsia="ko-KR"/>
        </w:rPr>
        <w:t xml:space="preserve">or appointed decision maker </w:t>
      </w:r>
      <w:r w:rsidRPr="00DC4DB4">
        <w:rPr>
          <w:lang w:eastAsia="ko-KR"/>
        </w:rPr>
        <w:t xml:space="preserve">may attend the assessment with the </w:t>
      </w:r>
      <w:r>
        <w:rPr>
          <w:lang w:eastAsia="ko-KR"/>
        </w:rPr>
        <w:t>older person</w:t>
      </w:r>
      <w:r w:rsidRPr="00DC4DB4">
        <w:rPr>
          <w:lang w:eastAsia="ko-KR"/>
        </w:rPr>
        <w:t xml:space="preserve"> to assist the assessment process.</w:t>
      </w:r>
      <w:r>
        <w:rPr>
          <w:lang w:eastAsia="ko-KR"/>
        </w:rPr>
        <w:t xml:space="preserve"> </w:t>
      </w:r>
      <w:r w:rsidR="00356BF2">
        <w:t>If a local health worker or provider is involved, and with consent from the older person, the assessor may, work with these individuals prior to an assessment to attain relevant information that can help inform the assessment process.</w:t>
      </w:r>
    </w:p>
    <w:p w14:paraId="0D31B943" w14:textId="2D6FB827" w:rsidR="002B440B" w:rsidRDefault="002B440B" w:rsidP="002B440B">
      <w:pPr>
        <w:spacing w:before="240" w:after="240" w:line="240" w:lineRule="auto"/>
      </w:pPr>
      <w:r>
        <w:t xml:space="preserve">In cases where an aged care assessment or </w:t>
      </w:r>
      <w:r w:rsidR="7C20BD06">
        <w:t>s</w:t>
      </w:r>
      <w:r>
        <w:t xml:space="preserve">upport </w:t>
      </w:r>
      <w:r w:rsidR="2F9558E7">
        <w:t>p</w:t>
      </w:r>
      <w:r>
        <w:t xml:space="preserve">lan </w:t>
      </w:r>
      <w:r w:rsidR="176E0343">
        <w:t>r</w:t>
      </w:r>
      <w:r>
        <w:t>eview (SPR) will be undertaken via telehealth to assess eligibility for the End-of-Life Pathway, assessors will need to assist older people to ensure the completed End-of-Life Pathway Form is submitted. More information on options for submission is included in section 6.3.1.</w:t>
      </w:r>
    </w:p>
    <w:p w14:paraId="1F8E6186" w14:textId="77777777" w:rsidR="00972EB6" w:rsidDel="00004CFE" w:rsidRDefault="00972EB6" w:rsidP="00A677C9">
      <w:pPr>
        <w:spacing w:before="240" w:after="240" w:line="240" w:lineRule="auto"/>
        <w:rPr>
          <w:b/>
          <w:lang w:eastAsia="ko-KR"/>
        </w:rPr>
      </w:pPr>
    </w:p>
    <w:p w14:paraId="55262E76" w14:textId="77777777" w:rsidR="007A743C" w:rsidRPr="00363856" w:rsidRDefault="007A743C" w:rsidP="00C56CEC">
      <w:pPr>
        <w:pStyle w:val="H3"/>
      </w:pPr>
      <w:r w:rsidRPr="00363856">
        <w:t xml:space="preserve">Remote </w:t>
      </w:r>
      <w:r w:rsidRPr="00BB6889">
        <w:t>setting</w:t>
      </w:r>
      <w:r w:rsidRPr="00363856">
        <w:t xml:space="preserve"> </w:t>
      </w:r>
    </w:p>
    <w:p w14:paraId="34D14BBF" w14:textId="0C918CEC" w:rsidR="007A743C" w:rsidRDefault="007A743C" w:rsidP="00A677C9">
      <w:pPr>
        <w:spacing w:before="240" w:after="240" w:line="240" w:lineRule="auto"/>
        <w:rPr>
          <w:lang w:eastAsia="ko-KR"/>
        </w:rPr>
      </w:pPr>
      <w:r w:rsidRPr="00DC4DB4">
        <w:rPr>
          <w:lang w:eastAsia="ko-KR"/>
        </w:rPr>
        <w:t xml:space="preserve">Assessors should use the remote assessment indicator in the My Aged Care </w:t>
      </w:r>
      <w:r w:rsidR="0060352D">
        <w:rPr>
          <w:lang w:eastAsia="ko-KR"/>
        </w:rPr>
        <w:t>assessor portal</w:t>
      </w:r>
      <w:r w:rsidRPr="00DC4DB4">
        <w:rPr>
          <w:lang w:eastAsia="ko-KR"/>
        </w:rPr>
        <w:t xml:space="preserve"> to </w:t>
      </w:r>
      <w:r>
        <w:rPr>
          <w:lang w:eastAsia="ko-KR"/>
        </w:rPr>
        <w:t>indicate</w:t>
      </w:r>
      <w:r w:rsidRPr="00DC4DB4">
        <w:rPr>
          <w:lang w:eastAsia="ko-KR"/>
        </w:rPr>
        <w:t xml:space="preserve"> if an assessment has been </w:t>
      </w:r>
      <w:r>
        <w:rPr>
          <w:lang w:eastAsia="ko-KR"/>
        </w:rPr>
        <w:t xml:space="preserve">or will be </w:t>
      </w:r>
      <w:r w:rsidRPr="00DC4DB4">
        <w:rPr>
          <w:lang w:eastAsia="ko-KR"/>
        </w:rPr>
        <w:t xml:space="preserve">conducted in a remote area. This indicator can be checked </w:t>
      </w:r>
      <w:r>
        <w:rPr>
          <w:lang w:eastAsia="ko-KR"/>
        </w:rPr>
        <w:t xml:space="preserve">before starting an assessment, when </w:t>
      </w:r>
      <w:r w:rsidRPr="00DC4DB4">
        <w:rPr>
          <w:lang w:eastAsia="ko-KR"/>
        </w:rPr>
        <w:t>upload</w:t>
      </w:r>
      <w:r>
        <w:rPr>
          <w:lang w:eastAsia="ko-KR"/>
        </w:rPr>
        <w:t xml:space="preserve">ing </w:t>
      </w:r>
      <w:r w:rsidRPr="00DC4DB4">
        <w:rPr>
          <w:lang w:eastAsia="ko-KR"/>
        </w:rPr>
        <w:t xml:space="preserve">from the </w:t>
      </w:r>
      <w:r>
        <w:rPr>
          <w:lang w:eastAsia="ko-KR"/>
        </w:rPr>
        <w:t>Aged Care Assessor App</w:t>
      </w:r>
      <w:r w:rsidRPr="00DC4DB4">
        <w:rPr>
          <w:lang w:eastAsia="ko-KR"/>
        </w:rPr>
        <w:t xml:space="preserve"> or on finalisation of a</w:t>
      </w:r>
      <w:r>
        <w:rPr>
          <w:lang w:eastAsia="ko-KR"/>
        </w:rPr>
        <w:t>n</w:t>
      </w:r>
      <w:r w:rsidRPr="00DC4DB4">
        <w:rPr>
          <w:lang w:eastAsia="ko-KR"/>
        </w:rPr>
        <w:t xml:space="preserve"> </w:t>
      </w:r>
      <w:r>
        <w:rPr>
          <w:lang w:eastAsia="ko-KR"/>
        </w:rPr>
        <w:t>older person</w:t>
      </w:r>
      <w:r w:rsidRPr="00DC4DB4">
        <w:rPr>
          <w:lang w:eastAsia="ko-KR"/>
        </w:rPr>
        <w:t>’s Support Plan.</w:t>
      </w:r>
      <w:r>
        <w:rPr>
          <w:lang w:eastAsia="ko-KR"/>
        </w:rPr>
        <w:t xml:space="preserve"> </w:t>
      </w:r>
    </w:p>
    <w:p w14:paraId="0F5162F7" w14:textId="174E40F0" w:rsidR="007A743C" w:rsidRPr="000E0B6C" w:rsidRDefault="007A743C" w:rsidP="00A677C9">
      <w:pPr>
        <w:spacing w:before="240" w:after="240" w:line="240" w:lineRule="auto"/>
        <w:rPr>
          <w:lang w:eastAsia="ko-KR"/>
        </w:rPr>
      </w:pPr>
      <w:r>
        <w:t xml:space="preserve">The Department uses the Modified Monash Model (MMM) as the classification system to define geographical remoteness. The remote assessment flag should only be selected where a face-to-face assessment is undertaken in a remote (MM6) or very remote (MM7) area. You can check the MMM classification by entering their address in the department’s </w:t>
      </w:r>
      <w:hyperlink r:id="rId143">
        <w:r w:rsidRPr="72EA3286">
          <w:rPr>
            <w:rStyle w:val="Hyperlink"/>
          </w:rPr>
          <w:t>Health Workforce Locator</w:t>
        </w:r>
      </w:hyperlink>
      <w:r w:rsidRPr="72EA3286">
        <w:t>.</w:t>
      </w:r>
      <w:bookmarkStart w:id="375" w:name="_Toc499195600"/>
    </w:p>
    <w:tbl>
      <w:tblPr>
        <w:tblStyle w:val="TableGrid"/>
        <w:tblW w:w="0" w:type="auto"/>
        <w:tblLook w:val="04A0" w:firstRow="1" w:lastRow="0" w:firstColumn="1" w:lastColumn="0" w:noHBand="0" w:noVBand="1"/>
      </w:tblPr>
      <w:tblGrid>
        <w:gridCol w:w="845"/>
        <w:gridCol w:w="7921"/>
      </w:tblGrid>
      <w:tr w:rsidR="007A743C" w14:paraId="36A7684B" w14:textId="77777777">
        <w:trPr>
          <w:trHeight w:val="300"/>
        </w:trPr>
        <w:tc>
          <w:tcPr>
            <w:tcW w:w="846" w:type="dxa"/>
          </w:tcPr>
          <w:p w14:paraId="404E606B"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1B1EC0C5" wp14:editId="05D611EC">
                  <wp:extent cx="383111" cy="381000"/>
                  <wp:effectExtent l="0" t="0" r="0" b="0"/>
                  <wp:docPr id="2095120939" name="Picture 209512093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9D5B5AD" w14:textId="5FD60513"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hyperlink r:id="rId144">
              <w:r w:rsidRPr="2B3AC401">
                <w:rPr>
                  <w:rStyle w:val="Hyperlink"/>
                  <w:szCs w:val="22"/>
                </w:rPr>
                <w:t>My Aged Care – Assessor Portal User Guide 6 – Completing an assessment</w:t>
              </w:r>
            </w:hyperlink>
          </w:p>
        </w:tc>
      </w:tr>
    </w:tbl>
    <w:p w14:paraId="4F58D2CC" w14:textId="69DC22DD" w:rsidR="007A743C" w:rsidRPr="00C308BA" w:rsidRDefault="007A743C" w:rsidP="00C56CEC">
      <w:pPr>
        <w:pStyle w:val="H3"/>
        <w:rPr>
          <w:color w:val="1E1444"/>
        </w:rPr>
      </w:pPr>
      <w:r w:rsidRPr="00C308BA">
        <w:t xml:space="preserve">Hospital </w:t>
      </w:r>
      <w:bookmarkEnd w:id="375"/>
      <w:r w:rsidR="006D2D28">
        <w:t>s</w:t>
      </w:r>
      <w:r w:rsidRPr="00C308BA">
        <w:t>etting</w:t>
      </w:r>
    </w:p>
    <w:p w14:paraId="1D9BB5E0" w14:textId="77777777" w:rsidR="007A743C" w:rsidRDefault="007A743C" w:rsidP="00A677C9">
      <w:pPr>
        <w:spacing w:before="240" w:after="240" w:line="240" w:lineRule="auto"/>
        <w:rPr>
          <w:lang w:eastAsia="ko-KR"/>
        </w:rPr>
      </w:pPr>
      <w:r>
        <w:rPr>
          <w:lang w:eastAsia="ko-KR"/>
        </w:rPr>
        <w:t>Assessments in a hospital setting are typically conducted by a clinical assessor.</w:t>
      </w:r>
    </w:p>
    <w:p w14:paraId="799D1D13" w14:textId="3A78C7EB" w:rsidR="007A743C" w:rsidRPr="00AC5A7E" w:rsidRDefault="007A743C" w:rsidP="00A677C9">
      <w:pPr>
        <w:spacing w:before="240" w:after="240" w:line="240" w:lineRule="auto"/>
        <w:rPr>
          <w:lang w:eastAsia="ko-KR"/>
        </w:rPr>
      </w:pPr>
      <w:r w:rsidRPr="00AC5A7E">
        <w:rPr>
          <w:lang w:eastAsia="ko-KR"/>
        </w:rPr>
        <w:t xml:space="preserve">For those </w:t>
      </w:r>
      <w:r w:rsidR="00516348">
        <w:rPr>
          <w:lang w:eastAsia="ko-KR"/>
        </w:rPr>
        <w:t>older people</w:t>
      </w:r>
      <w:r w:rsidRPr="00AC5A7E">
        <w:rPr>
          <w:lang w:eastAsia="ko-KR"/>
        </w:rPr>
        <w:t xml:space="preserve"> in hospital requiring a</w:t>
      </w:r>
      <w:r>
        <w:rPr>
          <w:lang w:eastAsia="ko-KR"/>
        </w:rPr>
        <w:t>n assessment</w:t>
      </w:r>
      <w:r w:rsidRPr="00AC5A7E">
        <w:rPr>
          <w:lang w:eastAsia="ko-KR"/>
        </w:rPr>
        <w:t xml:space="preserve">, they should be assessed in the same way as those assessed at home, </w:t>
      </w:r>
      <w:r>
        <w:rPr>
          <w:lang w:eastAsia="ko-KR"/>
        </w:rPr>
        <w:t xml:space="preserve">utilising the IAT to ensure a nationally consistent approach to assessment of aged care needs, </w:t>
      </w:r>
      <w:r w:rsidRPr="00AC5A7E">
        <w:rPr>
          <w:lang w:eastAsia="ko-KR"/>
        </w:rPr>
        <w:t xml:space="preserve">including consideration of the home environment and social issues. </w:t>
      </w:r>
      <w:bookmarkStart w:id="376" w:name="_Hlk89701488"/>
      <w:r w:rsidRPr="00AC5A7E">
        <w:rPr>
          <w:lang w:eastAsia="ko-KR"/>
        </w:rPr>
        <w:t>A</w:t>
      </w:r>
      <w:r>
        <w:rPr>
          <w:lang w:eastAsia="ko-KR"/>
        </w:rPr>
        <w:t>n</w:t>
      </w:r>
      <w:r w:rsidRPr="00AC5A7E">
        <w:rPr>
          <w:lang w:eastAsia="ko-KR"/>
        </w:rPr>
        <w:t xml:space="preserve"> </w:t>
      </w:r>
      <w:r>
        <w:rPr>
          <w:lang w:eastAsia="ko-KR"/>
        </w:rPr>
        <w:t>older person</w:t>
      </w:r>
      <w:r w:rsidRPr="00AC5A7E">
        <w:rPr>
          <w:lang w:eastAsia="ko-KR"/>
        </w:rPr>
        <w:t xml:space="preserve"> need</w:t>
      </w:r>
      <w:r>
        <w:rPr>
          <w:lang w:eastAsia="ko-KR"/>
        </w:rPr>
        <w:t>s</w:t>
      </w:r>
      <w:r w:rsidRPr="00AC5A7E">
        <w:rPr>
          <w:lang w:eastAsia="ko-KR"/>
        </w:rPr>
        <w:t xml:space="preserve"> to be in a stable condition for a hospital-based </w:t>
      </w:r>
      <w:r>
        <w:rPr>
          <w:lang w:eastAsia="ko-KR"/>
        </w:rPr>
        <w:t>assessment</w:t>
      </w:r>
      <w:r w:rsidRPr="00AC5A7E">
        <w:rPr>
          <w:lang w:eastAsia="ko-KR"/>
        </w:rPr>
        <w:t xml:space="preserve"> to take place</w:t>
      </w:r>
      <w:r>
        <w:rPr>
          <w:lang w:eastAsia="ko-KR"/>
        </w:rPr>
        <w:t xml:space="preserve"> (unless a rapidly deteriorating condition makes this impossible). Being medically stable</w:t>
      </w:r>
      <w:r w:rsidRPr="00AC5A7E">
        <w:rPr>
          <w:lang w:eastAsia="ko-KR"/>
        </w:rPr>
        <w:t xml:space="preserve"> ensure</w:t>
      </w:r>
      <w:r>
        <w:rPr>
          <w:lang w:eastAsia="ko-KR"/>
        </w:rPr>
        <w:t>s</w:t>
      </w:r>
      <w:r w:rsidRPr="00AC5A7E">
        <w:rPr>
          <w:lang w:eastAsia="ko-KR"/>
        </w:rPr>
        <w:t xml:space="preserve"> that the care needs of the </w:t>
      </w:r>
      <w:r>
        <w:rPr>
          <w:lang w:eastAsia="ko-KR"/>
        </w:rPr>
        <w:t>older person</w:t>
      </w:r>
      <w:r w:rsidRPr="00AC5A7E">
        <w:rPr>
          <w:lang w:eastAsia="ko-KR"/>
        </w:rPr>
        <w:t xml:space="preserve"> </w:t>
      </w:r>
      <w:r>
        <w:rPr>
          <w:lang w:eastAsia="ko-KR"/>
        </w:rPr>
        <w:t xml:space="preserve">outside of the hospital </w:t>
      </w:r>
      <w:r w:rsidRPr="00AC5A7E">
        <w:rPr>
          <w:lang w:eastAsia="ko-KR"/>
        </w:rPr>
        <w:t>can be accurately assessed and the most approp</w:t>
      </w:r>
      <w:r>
        <w:rPr>
          <w:lang w:eastAsia="ko-KR"/>
        </w:rPr>
        <w:t>riate care services recommended.</w:t>
      </w:r>
      <w:r w:rsidRPr="00AC5A7E">
        <w:rPr>
          <w:lang w:eastAsia="ko-KR"/>
        </w:rPr>
        <w:t xml:space="preserve"> </w:t>
      </w:r>
    </w:p>
    <w:bookmarkEnd w:id="376"/>
    <w:p w14:paraId="1B7165C7" w14:textId="77777777" w:rsidR="007A743C" w:rsidRPr="00AC5A7E" w:rsidRDefault="007A743C" w:rsidP="00A677C9">
      <w:pPr>
        <w:spacing w:before="240" w:after="240" w:line="240" w:lineRule="auto"/>
        <w:rPr>
          <w:lang w:eastAsia="ko-KR"/>
        </w:rPr>
      </w:pPr>
      <w:r>
        <w:rPr>
          <w:lang w:eastAsia="ko-KR"/>
        </w:rPr>
        <w:t xml:space="preserve">In </w:t>
      </w:r>
      <w:r w:rsidRPr="00AC5A7E">
        <w:rPr>
          <w:lang w:eastAsia="ko-KR"/>
        </w:rPr>
        <w:t>hospital assessment</w:t>
      </w:r>
      <w:r>
        <w:rPr>
          <w:lang w:eastAsia="ko-KR"/>
        </w:rPr>
        <w:t>s,</w:t>
      </w:r>
      <w:r w:rsidRPr="00AC5A7E">
        <w:rPr>
          <w:lang w:eastAsia="ko-KR"/>
        </w:rPr>
        <w:t xml:space="preserve"> the </w:t>
      </w:r>
      <w:r>
        <w:rPr>
          <w:lang w:eastAsia="ko-KR"/>
        </w:rPr>
        <w:t>assessor</w:t>
      </w:r>
      <w:r w:rsidRPr="00AC5A7E">
        <w:rPr>
          <w:lang w:eastAsia="ko-KR"/>
        </w:rPr>
        <w:t xml:space="preserve"> must ensure that a carer or other advocate is advised of the assessment in all circumstances and should be present during an assessment where possible</w:t>
      </w:r>
      <w:r>
        <w:rPr>
          <w:lang w:eastAsia="ko-KR"/>
        </w:rPr>
        <w:t>.</w:t>
      </w:r>
      <w:r w:rsidRPr="00AC5A7E">
        <w:rPr>
          <w:lang w:eastAsia="ko-KR"/>
        </w:rPr>
        <w:t xml:space="preserve"> </w:t>
      </w:r>
    </w:p>
    <w:p w14:paraId="50C56926" w14:textId="0D4C432B" w:rsidR="00441E2B" w:rsidRPr="00AC5A7E" w:rsidRDefault="007A743C" w:rsidP="00A677C9">
      <w:pPr>
        <w:spacing w:before="240" w:after="240" w:line="240" w:lineRule="auto"/>
        <w:rPr>
          <w:lang w:eastAsia="ko-KR"/>
        </w:rPr>
      </w:pPr>
      <w:r w:rsidRPr="00AC5A7E">
        <w:rPr>
          <w:lang w:eastAsia="ko-KR"/>
        </w:rPr>
        <w:t>Approvals for all types of care can be made following an assessment in a hospital environment</w:t>
      </w:r>
      <w:r>
        <w:rPr>
          <w:lang w:eastAsia="ko-KR"/>
        </w:rPr>
        <w:t xml:space="preserve"> (e.g. an assessor can recommend </w:t>
      </w:r>
      <w:r w:rsidR="00872E60">
        <w:rPr>
          <w:lang w:eastAsia="ko-KR"/>
        </w:rPr>
        <w:t xml:space="preserve">for Assessment Delegate to approve </w:t>
      </w:r>
      <w:r>
        <w:rPr>
          <w:lang w:eastAsia="ko-KR"/>
        </w:rPr>
        <w:t>CHSP</w:t>
      </w:r>
      <w:r w:rsidRPr="017FF414">
        <w:rPr>
          <w:lang w:eastAsia="ko-KR"/>
        </w:rPr>
        <w:t>).</w:t>
      </w:r>
      <w:r>
        <w:rPr>
          <w:lang w:eastAsia="ko-KR"/>
        </w:rPr>
        <w:t xml:space="preserve"> T</w:t>
      </w:r>
      <w:r w:rsidRPr="00AC5A7E">
        <w:rPr>
          <w:lang w:eastAsia="ko-KR"/>
        </w:rPr>
        <w:t xml:space="preserve">here should be no presumption that older </w:t>
      </w:r>
      <w:r>
        <w:rPr>
          <w:lang w:eastAsia="ko-KR"/>
        </w:rPr>
        <w:t xml:space="preserve">people </w:t>
      </w:r>
      <w:r w:rsidRPr="00AC5A7E">
        <w:rPr>
          <w:lang w:eastAsia="ko-KR"/>
        </w:rPr>
        <w:t>will progress from hospital to residential care</w:t>
      </w:r>
      <w:r>
        <w:rPr>
          <w:lang w:eastAsia="ko-KR"/>
        </w:rPr>
        <w:t>,</w:t>
      </w:r>
      <w:r w:rsidRPr="00AC5A7E">
        <w:rPr>
          <w:lang w:eastAsia="ko-KR"/>
        </w:rPr>
        <w:t xml:space="preserve"> as they may be able to return to their previous living arrangements.</w:t>
      </w:r>
      <w:r>
        <w:rPr>
          <w:lang w:eastAsia="ko-KR"/>
        </w:rPr>
        <w:t xml:space="preserve"> This is especially appropriate following an acute incident where the individual may benefit from a reassessment in the home environment after the acute phase. </w:t>
      </w:r>
    </w:p>
    <w:p w14:paraId="6BE7C7B7" w14:textId="579D1308" w:rsidR="007A743C" w:rsidRDefault="007A743C" w:rsidP="00A677C9">
      <w:pPr>
        <w:spacing w:before="240" w:after="240" w:line="240" w:lineRule="auto"/>
        <w:rPr>
          <w:lang w:eastAsia="ko-KR"/>
        </w:rPr>
      </w:pPr>
      <w:r>
        <w:rPr>
          <w:lang w:eastAsia="ko-KR"/>
        </w:rPr>
        <w:t>Assessors</w:t>
      </w:r>
      <w:r w:rsidRPr="00AC5A7E">
        <w:rPr>
          <w:lang w:eastAsia="ko-KR"/>
        </w:rPr>
        <w:t xml:space="preserve"> need to be aware that for a</w:t>
      </w:r>
      <w:r>
        <w:rPr>
          <w:lang w:eastAsia="ko-KR"/>
        </w:rPr>
        <w:t>n</w:t>
      </w:r>
      <w:r w:rsidRPr="00AC5A7E">
        <w:rPr>
          <w:lang w:eastAsia="ko-KR"/>
        </w:rPr>
        <w:t xml:space="preserve"> </w:t>
      </w:r>
      <w:r>
        <w:rPr>
          <w:lang w:eastAsia="ko-KR"/>
        </w:rPr>
        <w:t>older person</w:t>
      </w:r>
      <w:r w:rsidRPr="00AC5A7E">
        <w:rPr>
          <w:lang w:eastAsia="ko-KR"/>
        </w:rPr>
        <w:t xml:space="preserve"> to be approved for </w:t>
      </w:r>
      <w:r>
        <w:rPr>
          <w:lang w:eastAsia="ko-KR"/>
        </w:rPr>
        <w:t xml:space="preserve">TCP, </w:t>
      </w:r>
      <w:r w:rsidRPr="00AC5A7E">
        <w:rPr>
          <w:lang w:eastAsia="ko-KR"/>
        </w:rPr>
        <w:t xml:space="preserve">the assessment must be conducted while the person is in hospital. </w:t>
      </w:r>
      <w:r>
        <w:rPr>
          <w:lang w:eastAsia="ko-KR"/>
        </w:rPr>
        <w:t xml:space="preserve">Assessors should also consider arranging an assessment for </w:t>
      </w:r>
      <w:r w:rsidR="007A2F6D">
        <w:rPr>
          <w:lang w:eastAsia="ko-KR"/>
        </w:rPr>
        <w:t>Support at Home</w:t>
      </w:r>
      <w:r w:rsidR="00BE31BC">
        <w:rPr>
          <w:lang w:eastAsia="ko-KR"/>
        </w:rPr>
        <w:t xml:space="preserve"> or CHSP</w:t>
      </w:r>
      <w:r>
        <w:rPr>
          <w:lang w:eastAsia="ko-KR"/>
        </w:rPr>
        <w:t xml:space="preserve"> when the older person is discharged from a hospital and returns to their usual accommodation setting. This allows a more accurate picture of care needs in the home setting and ensures the older person’s current</w:t>
      </w:r>
      <w:r w:rsidRPr="00AC5A7E">
        <w:rPr>
          <w:lang w:eastAsia="ko-KR"/>
        </w:rPr>
        <w:t xml:space="preserve"> needs</w:t>
      </w:r>
      <w:r>
        <w:rPr>
          <w:lang w:eastAsia="ko-KR"/>
        </w:rPr>
        <w:t xml:space="preserve"> and goals are being assessed. </w:t>
      </w:r>
    </w:p>
    <w:p w14:paraId="35E59810" w14:textId="78D508FE" w:rsidR="007A743C" w:rsidRPr="00C82736" w:rsidRDefault="007A743C" w:rsidP="00A677C9">
      <w:pPr>
        <w:spacing w:before="240" w:after="240" w:line="240" w:lineRule="auto"/>
        <w:rPr>
          <w:sz w:val="20"/>
          <w:szCs w:val="20"/>
        </w:rPr>
      </w:pPr>
      <w:r>
        <w:rPr>
          <w:lang w:eastAsia="ko-KR"/>
        </w:rPr>
        <w:t xml:space="preserve">Assessors should be aware that a person </w:t>
      </w:r>
      <w:r w:rsidR="005D0E45">
        <w:rPr>
          <w:lang w:eastAsia="ko-KR"/>
        </w:rPr>
        <w:t xml:space="preserve">being assessed </w:t>
      </w:r>
      <w:r>
        <w:rPr>
          <w:lang w:eastAsia="ko-KR"/>
        </w:rPr>
        <w:t xml:space="preserve">in </w:t>
      </w:r>
      <w:r w:rsidR="005D0E45">
        <w:rPr>
          <w:lang w:eastAsia="ko-KR"/>
        </w:rPr>
        <w:t xml:space="preserve">a </w:t>
      </w:r>
      <w:r>
        <w:rPr>
          <w:lang w:eastAsia="ko-KR"/>
        </w:rPr>
        <w:t xml:space="preserve">hospital </w:t>
      </w:r>
      <w:r w:rsidR="005D0E45">
        <w:rPr>
          <w:lang w:eastAsia="ko-KR"/>
        </w:rPr>
        <w:t xml:space="preserve">setting </w:t>
      </w:r>
      <w:r>
        <w:rPr>
          <w:lang w:eastAsia="ko-KR"/>
        </w:rPr>
        <w:t>cannot be approved for the Restorative Care Pathway or a period of reablement.</w:t>
      </w:r>
    </w:p>
    <w:p w14:paraId="44077CE6" w14:textId="0E10D09F" w:rsidR="007A743C" w:rsidRPr="008A2113" w:rsidRDefault="007A743C" w:rsidP="00507F9D">
      <w:pPr>
        <w:pStyle w:val="h2"/>
      </w:pPr>
      <w:bookmarkStart w:id="377" w:name="_Toc499195601"/>
      <w:bookmarkStart w:id="378" w:name="_Ref46401537"/>
      <w:bookmarkStart w:id="379" w:name="_Ref49862933"/>
      <w:bookmarkStart w:id="380" w:name="_Ref50389524"/>
      <w:bookmarkStart w:id="381" w:name="_Ref58424942"/>
      <w:bookmarkStart w:id="382" w:name="_Ref128153976"/>
      <w:bookmarkStart w:id="383" w:name="_Toc159226878"/>
      <w:bookmarkStart w:id="384" w:name="_Toc184402293"/>
      <w:bookmarkStart w:id="385" w:name="_Toc204329549"/>
      <w:bookmarkStart w:id="386" w:name="_Toc209188984"/>
      <w:bookmarkStart w:id="387" w:name="_Ref212733648"/>
      <w:bookmarkStart w:id="388" w:name="_Ref212733690"/>
      <w:bookmarkStart w:id="389" w:name="_Toc224916645"/>
      <w:r>
        <w:t>Commencing</w:t>
      </w:r>
      <w:r w:rsidRPr="008A2113">
        <w:t xml:space="preserve"> the </w:t>
      </w:r>
      <w:bookmarkEnd w:id="377"/>
      <w:bookmarkEnd w:id="378"/>
      <w:bookmarkEnd w:id="379"/>
      <w:bookmarkEnd w:id="380"/>
      <w:bookmarkEnd w:id="381"/>
      <w:bookmarkEnd w:id="382"/>
      <w:bookmarkEnd w:id="383"/>
      <w:bookmarkEnd w:id="384"/>
      <w:bookmarkEnd w:id="385"/>
      <w:bookmarkEnd w:id="386"/>
      <w:r w:rsidR="00BE31BC">
        <w:t>A</w:t>
      </w:r>
      <w:r w:rsidR="00BE31BC" w:rsidRPr="008A2113">
        <w:t>s</w:t>
      </w:r>
      <w:r w:rsidR="00BE31BC">
        <w:t>s</w:t>
      </w:r>
      <w:r w:rsidR="00BE31BC" w:rsidRPr="008A2113">
        <w:t>essment</w:t>
      </w:r>
      <w:bookmarkEnd w:id="387"/>
      <w:bookmarkEnd w:id="388"/>
      <w:bookmarkEnd w:id="389"/>
      <w:r w:rsidRPr="008A2113">
        <w:t xml:space="preserve"> </w:t>
      </w:r>
    </w:p>
    <w:p w14:paraId="344EED7F" w14:textId="23E2AA7E" w:rsidR="00D57514" w:rsidRPr="00A33AF3" w:rsidRDefault="00D57514" w:rsidP="00A33AF3">
      <w:pPr>
        <w:pStyle w:val="Boxwithcolouredkeyline"/>
        <w:shd w:val="clear" w:color="auto" w:fill="F2F2F2" w:themeFill="background1" w:themeFillShade="F2"/>
        <w:rPr>
          <w:b/>
          <w:bCs/>
        </w:rPr>
      </w:pPr>
      <w:r w:rsidRPr="00A33AF3">
        <w:rPr>
          <w:b/>
          <w:bCs/>
        </w:rPr>
        <w:t>Note</w:t>
      </w:r>
    </w:p>
    <w:p w14:paraId="0702D542" w14:textId="794ACB99" w:rsidR="00D57514" w:rsidRDefault="00D57514" w:rsidP="00C716C5">
      <w:pPr>
        <w:pStyle w:val="Boxwithcolouredkeyline"/>
        <w:shd w:val="clear" w:color="auto" w:fill="F2F2F2" w:themeFill="background1" w:themeFillShade="F2"/>
        <w:spacing w:line="240" w:lineRule="auto"/>
      </w:pPr>
      <w:r>
        <w:t>Only appr</w:t>
      </w:r>
      <w:r w:rsidR="00065F52">
        <w:t>opriately qualified and certified assessment staff can hold assessor roles</w:t>
      </w:r>
      <w:r w:rsidR="00EA25C6">
        <w:t xml:space="preserve"> and undertake assessments. There are different credentials for clinical and non-clinical assessors. Please refer to training requirements for assessment teams in Chapter 2 and Aged care assessment workforce minimum qualification requirements in Appendix </w:t>
      </w:r>
      <w:r w:rsidR="006D6FB9">
        <w:t>F</w:t>
      </w:r>
      <w:r w:rsidR="00EA25C6">
        <w:t xml:space="preserve">.  </w:t>
      </w:r>
    </w:p>
    <w:p w14:paraId="1F3729B3" w14:textId="1767BEFF" w:rsidR="00E0459C" w:rsidRDefault="00E0459C" w:rsidP="00A677C9">
      <w:pPr>
        <w:spacing w:before="240" w:after="240" w:line="240" w:lineRule="auto"/>
      </w:pPr>
      <w:r w:rsidRPr="005E4E0E">
        <w:rPr>
          <w:bCs/>
          <w:noProof/>
        </w:rPr>
        <w:drawing>
          <wp:anchor distT="0" distB="0" distL="114300" distR="114300" simplePos="0" relativeHeight="251658295" behindDoc="0" locked="0" layoutInCell="1" allowOverlap="1" wp14:anchorId="36791067" wp14:editId="687D138A">
            <wp:simplePos x="0" y="0"/>
            <wp:positionH relativeFrom="margin">
              <wp:posOffset>-635</wp:posOffset>
            </wp:positionH>
            <wp:positionV relativeFrom="paragraph">
              <wp:posOffset>89684</wp:posOffset>
            </wp:positionV>
            <wp:extent cx="457200" cy="502920"/>
            <wp:effectExtent l="0" t="0" r="0" b="0"/>
            <wp:wrapSquare wrapText="bothSides"/>
            <wp:docPr id="1965204675" name="Picture 196520467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4A445C2F" w14:textId="60C9D085" w:rsidR="006964E3" w:rsidRPr="00E0459C" w:rsidRDefault="007A743C" w:rsidP="00E0459C">
      <w:pPr>
        <w:spacing w:before="240" w:after="240" w:line="240" w:lineRule="auto"/>
        <w:rPr>
          <w:lang w:val="en"/>
        </w:rPr>
      </w:pPr>
      <w:r>
        <w:t>Assessors are required to do the following prior to attending the assessment:</w:t>
      </w:r>
    </w:p>
    <w:p w14:paraId="72E1BE57" w14:textId="77777777" w:rsidR="007A743C" w:rsidRPr="00B97AC3" w:rsidRDefault="007A743C" w:rsidP="00DF3F6B">
      <w:pPr>
        <w:pStyle w:val="ListParagraph"/>
        <w:numPr>
          <w:ilvl w:val="0"/>
          <w:numId w:val="115"/>
        </w:numPr>
        <w:spacing w:before="240" w:after="240" w:line="240" w:lineRule="auto"/>
        <w:rPr>
          <w:lang w:val="en-US"/>
        </w:rPr>
      </w:pPr>
      <w:r w:rsidRPr="78E43FD9">
        <w:rPr>
          <w:lang w:val="en-US"/>
        </w:rPr>
        <w:t xml:space="preserve">After the referral </w:t>
      </w:r>
      <w:r>
        <w:rPr>
          <w:lang w:val="en-US"/>
        </w:rPr>
        <w:t xml:space="preserve">has been assigned </w:t>
      </w:r>
      <w:r w:rsidRPr="78E43FD9">
        <w:rPr>
          <w:lang w:val="en-US"/>
        </w:rPr>
        <w:t xml:space="preserve">to the assessor, the assessor must </w:t>
      </w:r>
      <w:r w:rsidRPr="00242E06">
        <w:rPr>
          <w:lang w:val="en"/>
        </w:rPr>
        <w:t>review</w:t>
      </w:r>
      <w:r w:rsidRPr="78E43FD9">
        <w:rPr>
          <w:lang w:val="en-US"/>
        </w:rPr>
        <w:t xml:space="preserve"> all information in the </w:t>
      </w:r>
      <w:r>
        <w:rPr>
          <w:lang w:val="en-US"/>
        </w:rPr>
        <w:t>older person’s</w:t>
      </w:r>
      <w:r w:rsidRPr="78E43FD9">
        <w:rPr>
          <w:lang w:val="en-US"/>
        </w:rPr>
        <w:t xml:space="preserve"> record.</w:t>
      </w:r>
    </w:p>
    <w:p w14:paraId="594FF821" w14:textId="77777777" w:rsidR="007A743C" w:rsidRPr="00B97AC3" w:rsidRDefault="007A743C" w:rsidP="00DF3F6B">
      <w:pPr>
        <w:pStyle w:val="ListParagraph"/>
        <w:numPr>
          <w:ilvl w:val="0"/>
          <w:numId w:val="115"/>
        </w:numPr>
        <w:spacing w:before="240" w:after="240" w:line="240" w:lineRule="auto"/>
        <w:rPr>
          <w:lang w:val="en-US"/>
        </w:rPr>
      </w:pPr>
      <w:r w:rsidRPr="78E43FD9">
        <w:rPr>
          <w:lang w:val="en-US"/>
        </w:rPr>
        <w:t xml:space="preserve">With the </w:t>
      </w:r>
      <w:r>
        <w:rPr>
          <w:lang w:val="en-US"/>
        </w:rPr>
        <w:t>older person</w:t>
      </w:r>
      <w:r w:rsidRPr="78E43FD9">
        <w:rPr>
          <w:lang w:val="en-US"/>
        </w:rPr>
        <w:t xml:space="preserve">’s consent, consider the collection of information on the </w:t>
      </w:r>
      <w:r>
        <w:rPr>
          <w:lang w:val="en-US"/>
        </w:rPr>
        <w:t>older person</w:t>
      </w:r>
      <w:r w:rsidRPr="78E43FD9">
        <w:rPr>
          <w:lang w:val="en-US"/>
        </w:rPr>
        <w:t>’s situation and medical conditions diagnosed by suitably qualified medical personnel that may be required prior to the assessment. Contact the referrer or health professional if indicated prior to the assessment.</w:t>
      </w:r>
    </w:p>
    <w:p w14:paraId="6BEEF2D0" w14:textId="77777777" w:rsidR="007A743C" w:rsidRDefault="007A743C" w:rsidP="00DF3F6B">
      <w:pPr>
        <w:pStyle w:val="ListParagraph"/>
        <w:numPr>
          <w:ilvl w:val="0"/>
          <w:numId w:val="115"/>
        </w:numPr>
        <w:spacing w:before="240" w:after="240" w:line="240" w:lineRule="auto"/>
        <w:rPr>
          <w:lang w:val="en"/>
        </w:rPr>
      </w:pPr>
      <w:r w:rsidRPr="56CD3535">
        <w:rPr>
          <w:lang w:val="en"/>
        </w:rPr>
        <w:t xml:space="preserve">Note and </w:t>
      </w:r>
      <w:r w:rsidRPr="007B499B">
        <w:rPr>
          <w:lang w:val="en-US"/>
        </w:rPr>
        <w:t>manage</w:t>
      </w:r>
      <w:r w:rsidRPr="56CD3535">
        <w:rPr>
          <w:lang w:val="en"/>
        </w:rPr>
        <w:t xml:space="preserve"> </w:t>
      </w:r>
      <w:r w:rsidRPr="00242E06">
        <w:rPr>
          <w:lang w:val="en-US"/>
        </w:rPr>
        <w:t>WHS</w:t>
      </w:r>
      <w:r w:rsidRPr="56CD3535">
        <w:rPr>
          <w:lang w:val="en"/>
        </w:rPr>
        <w:t xml:space="preserve"> risks. </w:t>
      </w:r>
    </w:p>
    <w:p w14:paraId="48E5F3D2" w14:textId="77777777" w:rsidR="007A743C" w:rsidRPr="00B97AC3" w:rsidRDefault="007A743C" w:rsidP="00DF3F6B">
      <w:pPr>
        <w:pStyle w:val="ListParagraph"/>
        <w:numPr>
          <w:ilvl w:val="0"/>
          <w:numId w:val="115"/>
        </w:numPr>
        <w:spacing w:before="240" w:after="240" w:line="240" w:lineRule="auto"/>
        <w:rPr>
          <w:lang w:val="en"/>
        </w:rPr>
      </w:pPr>
      <w:r w:rsidRPr="56CD3535">
        <w:rPr>
          <w:lang w:val="en"/>
        </w:rPr>
        <w:t xml:space="preserve">Note the timeliness </w:t>
      </w:r>
      <w:r w:rsidRPr="007B499B">
        <w:rPr>
          <w:lang w:val="en-US"/>
        </w:rPr>
        <w:t>measure</w:t>
      </w:r>
      <w:r w:rsidRPr="56CD3535">
        <w:rPr>
          <w:lang w:val="en"/>
        </w:rPr>
        <w:t xml:space="preserve"> for completion of the assessment process.</w:t>
      </w:r>
    </w:p>
    <w:p w14:paraId="38C7AC9C" w14:textId="09D6F3BB" w:rsidR="007A743C" w:rsidRPr="001151E7" w:rsidRDefault="007A743C" w:rsidP="00DF3F6B">
      <w:pPr>
        <w:pStyle w:val="ListParagraph"/>
        <w:numPr>
          <w:ilvl w:val="0"/>
          <w:numId w:val="115"/>
        </w:numPr>
        <w:spacing w:before="240" w:after="240" w:line="240" w:lineRule="auto"/>
        <w:rPr>
          <w:lang w:val="en-US"/>
        </w:rPr>
      </w:pPr>
      <w:r w:rsidRPr="205B8ECC">
        <w:rPr>
          <w:lang w:val="en-US"/>
        </w:rPr>
        <w:t>Determine whether a cultural broker, interpreter, care finder</w:t>
      </w:r>
      <w:r w:rsidR="005C67BF">
        <w:rPr>
          <w:lang w:val="en-US"/>
        </w:rPr>
        <w:t>,</w:t>
      </w:r>
      <w:r w:rsidRPr="205B8ECC">
        <w:rPr>
          <w:lang w:val="en-US"/>
        </w:rPr>
        <w:t xml:space="preserve"> elder care support worker</w:t>
      </w:r>
      <w:r w:rsidR="005C67BF">
        <w:rPr>
          <w:lang w:val="en-US"/>
        </w:rPr>
        <w:t xml:space="preserve"> or advocate </w:t>
      </w:r>
      <w:r w:rsidR="00130735">
        <w:rPr>
          <w:lang w:val="en-US"/>
        </w:rPr>
        <w:t>(through OPAN for example)</w:t>
      </w:r>
      <w:r w:rsidRPr="205B8ECC">
        <w:rPr>
          <w:lang w:val="en-US"/>
        </w:rPr>
        <w:t xml:space="preserve"> needs to be included in the assessment.</w:t>
      </w:r>
    </w:p>
    <w:p w14:paraId="5F35B709" w14:textId="77777777" w:rsidR="007A743C" w:rsidRDefault="007A743C" w:rsidP="00DF3F6B">
      <w:pPr>
        <w:pStyle w:val="ListParagraph"/>
        <w:numPr>
          <w:ilvl w:val="0"/>
          <w:numId w:val="115"/>
        </w:numPr>
        <w:spacing w:before="240" w:after="240" w:line="240" w:lineRule="auto"/>
        <w:rPr>
          <w:lang w:val="en-US"/>
        </w:rPr>
      </w:pPr>
      <w:r w:rsidRPr="78E43FD9">
        <w:rPr>
          <w:lang w:val="en-US"/>
        </w:rPr>
        <w:t>Gather any anticipated forms or resources, including providing copies of relevant My Aged Care booklets and/or brochures depending on the type of assessment to be conducted</w:t>
      </w:r>
      <w:r>
        <w:rPr>
          <w:lang w:val="en-US"/>
        </w:rPr>
        <w:t>.</w:t>
      </w:r>
      <w:r w:rsidRPr="78E43FD9">
        <w:rPr>
          <w:lang w:val="en-US"/>
        </w:rPr>
        <w:t xml:space="preserve"> </w:t>
      </w:r>
    </w:p>
    <w:p w14:paraId="2ABBB05C" w14:textId="77777777" w:rsidR="007A743C" w:rsidRPr="009B1D99" w:rsidRDefault="007A743C" w:rsidP="00DF3F6B">
      <w:pPr>
        <w:pStyle w:val="ListParagraph"/>
        <w:numPr>
          <w:ilvl w:val="0"/>
          <w:numId w:val="115"/>
        </w:numPr>
        <w:spacing w:before="240" w:after="240" w:line="240" w:lineRule="auto"/>
        <w:rPr>
          <w:lang w:val="en-US"/>
        </w:rPr>
      </w:pPr>
      <w:r>
        <w:rPr>
          <w:lang w:val="en-US"/>
        </w:rPr>
        <w:t xml:space="preserve">Review </w:t>
      </w:r>
      <w:r w:rsidRPr="00392576">
        <w:rPr>
          <w:i/>
          <w:iCs/>
          <w:lang w:val="en-US"/>
        </w:rPr>
        <w:t xml:space="preserve">Best practice </w:t>
      </w:r>
      <w:r>
        <w:rPr>
          <w:i/>
          <w:iCs/>
          <w:lang w:val="en-US"/>
        </w:rPr>
        <w:t>tools and</w:t>
      </w:r>
      <w:r w:rsidRPr="00392576">
        <w:rPr>
          <w:i/>
          <w:iCs/>
          <w:lang w:val="en-US"/>
        </w:rPr>
        <w:t xml:space="preserve"> tips for conducting the assessment</w:t>
      </w:r>
      <w:r w:rsidRPr="003F107F">
        <w:rPr>
          <w:lang w:val="en-US"/>
        </w:rPr>
        <w:t xml:space="preserve"> </w:t>
      </w:r>
      <w:r>
        <w:rPr>
          <w:lang w:val="en-US"/>
        </w:rPr>
        <w:t>in this manual</w:t>
      </w:r>
      <w:r w:rsidRPr="003F107F">
        <w:rPr>
          <w:lang w:val="en-US"/>
        </w:rPr>
        <w:t xml:space="preserve"> </w:t>
      </w:r>
      <w:r>
        <w:rPr>
          <w:lang w:val="en-US"/>
        </w:rPr>
        <w:t xml:space="preserve">for guidance on how to achieve </w:t>
      </w:r>
      <w:r w:rsidRPr="003F107F">
        <w:rPr>
          <w:lang w:val="en-US"/>
        </w:rPr>
        <w:t>a conversational, respectful, and empathetic approach</w:t>
      </w:r>
      <w:r>
        <w:rPr>
          <w:lang w:val="en-US"/>
        </w:rPr>
        <w:t xml:space="preserve"> during the assessment. This</w:t>
      </w:r>
      <w:r w:rsidRPr="003F107F">
        <w:rPr>
          <w:lang w:val="en-US"/>
        </w:rPr>
        <w:t xml:space="preserve"> will allow the assessor to develop rapport with the older person and their support network</w:t>
      </w:r>
      <w:r>
        <w:rPr>
          <w:lang w:val="en-US"/>
        </w:rPr>
        <w:t>.</w:t>
      </w:r>
    </w:p>
    <w:p w14:paraId="7D6975F6" w14:textId="77777777" w:rsidR="007A743C" w:rsidRDefault="007A743C" w:rsidP="00DF3F6B">
      <w:pPr>
        <w:pStyle w:val="ListParagraph"/>
        <w:numPr>
          <w:ilvl w:val="0"/>
          <w:numId w:val="115"/>
        </w:numPr>
        <w:spacing w:before="240" w:after="240" w:line="240" w:lineRule="auto"/>
        <w:rPr>
          <w:lang w:val="en-US"/>
        </w:rPr>
      </w:pPr>
      <w:r w:rsidRPr="00022B4D">
        <w:rPr>
          <w:lang w:val="en-US"/>
        </w:rPr>
        <w:t xml:space="preserve">Download </w:t>
      </w:r>
      <w:r>
        <w:rPr>
          <w:lang w:val="en-US"/>
        </w:rPr>
        <w:t xml:space="preserve">the </w:t>
      </w:r>
      <w:r w:rsidRPr="00022B4D">
        <w:rPr>
          <w:lang w:val="en-US"/>
        </w:rPr>
        <w:t xml:space="preserve">assessment if using </w:t>
      </w:r>
      <w:r>
        <w:rPr>
          <w:lang w:val="en-US"/>
        </w:rPr>
        <w:t>Aged Care Assessor App</w:t>
      </w:r>
      <w:r w:rsidRPr="00022B4D">
        <w:rPr>
          <w:lang w:val="en-US"/>
        </w:rPr>
        <w:t>.</w:t>
      </w:r>
    </w:p>
    <w:p w14:paraId="51DF5594" w14:textId="4008C495" w:rsidR="007A743C" w:rsidRPr="00880B95" w:rsidRDefault="007A743C" w:rsidP="00DF3F6B">
      <w:pPr>
        <w:pStyle w:val="ListParagraph"/>
        <w:numPr>
          <w:ilvl w:val="0"/>
          <w:numId w:val="115"/>
        </w:numPr>
        <w:spacing w:before="240" w:after="240" w:line="240" w:lineRule="auto"/>
      </w:pPr>
      <w:r w:rsidRPr="00880B95">
        <w:t xml:space="preserve">Check whether a supporter or agent for the older person has been registered or established. If the client is already registered in My Aged Care, assessors can </w:t>
      </w:r>
      <w:r w:rsidRPr="2A00F884">
        <w:t>do this by using</w:t>
      </w:r>
      <w:r w:rsidRPr="00880B95">
        <w:t xml:space="preserve"> the </w:t>
      </w:r>
      <w:r w:rsidR="0060352D">
        <w:t>assessor portal</w:t>
      </w:r>
      <w:r w:rsidRPr="00880B95">
        <w:t xml:space="preserve"> to find the client, then view their support network (if any supporter relationships have been registered).</w:t>
      </w:r>
      <w:r w:rsidRPr="2A00F884">
        <w:t xml:space="preserve"> Refer to </w:t>
      </w:r>
      <w:r w:rsidRPr="00D02B33">
        <w:t xml:space="preserve">Chapter </w:t>
      </w:r>
      <w:r w:rsidR="00873F8B">
        <w:fldChar w:fldCharType="begin"/>
      </w:r>
      <w:r w:rsidR="00873F8B">
        <w:instrText xml:space="preserve"> REF _Ref212735745 \w \h </w:instrText>
      </w:r>
      <w:r w:rsidR="00873F8B">
        <w:fldChar w:fldCharType="separate"/>
      </w:r>
      <w:r w:rsidR="00F97942">
        <w:t>3</w:t>
      </w:r>
      <w:r w:rsidR="00873F8B">
        <w:fldChar w:fldCharType="end"/>
      </w:r>
      <w:r w:rsidRPr="2A00F884">
        <w:t xml:space="preserve"> for information on how registered supporters must engage with the older people they support, and how they might be involved in an assessment.  </w:t>
      </w:r>
    </w:p>
    <w:p w14:paraId="7FE2E84D" w14:textId="77777777" w:rsidR="007A743C" w:rsidRPr="00D0723F" w:rsidRDefault="007A743C" w:rsidP="00DF3F6B">
      <w:pPr>
        <w:pStyle w:val="ListParagraph"/>
        <w:numPr>
          <w:ilvl w:val="0"/>
          <w:numId w:val="115"/>
        </w:numPr>
        <w:spacing w:before="240" w:after="240" w:line="240" w:lineRule="auto"/>
      </w:pPr>
      <w:r>
        <w:t>Check the authority of any active, appointed decision makers of the older person, if they have made themselves known to the assessor</w:t>
      </w:r>
      <w:r w:rsidRPr="2A00F884">
        <w:t xml:space="preserve"> or My Aged Care.</w:t>
      </w:r>
      <w:r>
        <w:t xml:space="preserve"> </w:t>
      </w:r>
      <w:r w:rsidRPr="4CDC6648">
        <w:t>Appointed</w:t>
      </w:r>
      <w:r w:rsidRPr="001D36BD">
        <w:t xml:space="preserve"> decision makers are not required to register as supporters to exercise their legal authority under a </w:t>
      </w:r>
      <w:r>
        <w:t xml:space="preserve">Commonwealth, </w:t>
      </w:r>
      <w:r w:rsidRPr="001D36BD">
        <w:t>state or territory arrangement</w:t>
      </w:r>
      <w:r>
        <w:t>. However</w:t>
      </w:r>
      <w:r w:rsidRPr="2A00F884">
        <w:t>,</w:t>
      </w:r>
      <w:r w:rsidRPr="001D36BD">
        <w:t xml:space="preserve"> </w:t>
      </w:r>
      <w:r w:rsidRPr="3E08F645">
        <w:t>this</w:t>
      </w:r>
      <w:r w:rsidRPr="001D36BD">
        <w:t xml:space="preserve"> is encouraged to streamline authentication and information sharing to support older </w:t>
      </w:r>
      <w:r w:rsidRPr="00677AEE">
        <w:t>people.</w:t>
      </w:r>
      <w:r w:rsidRPr="0015516B">
        <w:t xml:space="preserve"> </w:t>
      </w:r>
      <w:r w:rsidRPr="001D36BD">
        <w:t xml:space="preserve">Assessors can engage with </w:t>
      </w:r>
      <w:r>
        <w:t xml:space="preserve">active, </w:t>
      </w:r>
      <w:r w:rsidRPr="001D36BD">
        <w:t>appointed decision makers before, or without them, formally registering as supporters, provided the assessor is satisfied they are acting within their authority.</w:t>
      </w:r>
      <w:r>
        <w:t xml:space="preserve"> </w:t>
      </w:r>
      <w:r w:rsidRPr="007A00C7">
        <w:t xml:space="preserve">To do so, </w:t>
      </w:r>
      <w:r>
        <w:t>assessors</w:t>
      </w:r>
      <w:r w:rsidRPr="007A00C7">
        <w:t xml:space="preserve"> </w:t>
      </w:r>
      <w:r>
        <w:t xml:space="preserve">should seek legal </w:t>
      </w:r>
      <w:r w:rsidRPr="007A00C7">
        <w:t xml:space="preserve">documentation that shows </w:t>
      </w:r>
      <w:r>
        <w:t>the person</w:t>
      </w:r>
      <w:r w:rsidRPr="007A00C7">
        <w:t xml:space="preserve"> is an active, appointed decision-maker for the older person</w:t>
      </w:r>
      <w:r>
        <w:t xml:space="preserve"> and that their decision-making authority is relevant to the assessment</w:t>
      </w:r>
      <w:r w:rsidRPr="007A00C7" w:rsidDel="00CE37C9">
        <w:t>.</w:t>
      </w:r>
      <w:r w:rsidRPr="007A00C7">
        <w:t xml:space="preserve"> Medical evidence about the older person may also be required to show that the decision maker’s authority is active.</w:t>
      </w:r>
    </w:p>
    <w:p w14:paraId="3EF6D480" w14:textId="2DADB6C9" w:rsidR="007A743C" w:rsidRPr="001151E7" w:rsidRDefault="007A743C" w:rsidP="00DF3F6B">
      <w:pPr>
        <w:pStyle w:val="ListParagraph"/>
        <w:numPr>
          <w:ilvl w:val="0"/>
          <w:numId w:val="115"/>
        </w:numPr>
        <w:spacing w:before="240" w:after="240" w:line="240" w:lineRule="auto"/>
        <w:rPr>
          <w:lang w:val="en-US"/>
        </w:rPr>
      </w:pPr>
      <w:r>
        <w:rPr>
          <w:lang w:val="en-US"/>
        </w:rPr>
        <w:t>Review</w:t>
      </w:r>
      <w:r w:rsidRPr="001151E7">
        <w:rPr>
          <w:lang w:val="en-US"/>
        </w:rPr>
        <w:t xml:space="preserve"> notes entered at </w:t>
      </w:r>
      <w:r w:rsidR="009C23F8">
        <w:rPr>
          <w:lang w:val="en-US"/>
        </w:rPr>
        <w:t>t</w:t>
      </w:r>
      <w:r w:rsidR="009C23F8" w:rsidRPr="001151E7">
        <w:rPr>
          <w:lang w:val="en-US"/>
        </w:rPr>
        <w:t xml:space="preserve">riage </w:t>
      </w:r>
      <w:r w:rsidRPr="001151E7">
        <w:rPr>
          <w:lang w:val="en-US"/>
        </w:rPr>
        <w:t xml:space="preserve">including referrals, attached documents and previous support plans if applicable, to help </w:t>
      </w:r>
      <w:r w:rsidR="009C23F8" w:rsidRPr="001151E7">
        <w:rPr>
          <w:lang w:val="en-US"/>
        </w:rPr>
        <w:t>familiari</w:t>
      </w:r>
      <w:r w:rsidR="009C23F8">
        <w:rPr>
          <w:lang w:val="en-US"/>
        </w:rPr>
        <w:t>s</w:t>
      </w:r>
      <w:r w:rsidR="009C23F8" w:rsidRPr="001151E7">
        <w:rPr>
          <w:lang w:val="en-US"/>
        </w:rPr>
        <w:t xml:space="preserve">e </w:t>
      </w:r>
      <w:r w:rsidRPr="001151E7">
        <w:rPr>
          <w:lang w:val="en-US"/>
        </w:rPr>
        <w:t>yourself with the older person and their needs and limit the need for the older person to repeat their story.</w:t>
      </w:r>
    </w:p>
    <w:p w14:paraId="7ACDD744" w14:textId="7AFAA49A" w:rsidR="0001020A" w:rsidRDefault="00354B52" w:rsidP="0001020A">
      <w:pPr>
        <w:pStyle w:val="ListParagraph"/>
        <w:numPr>
          <w:ilvl w:val="0"/>
          <w:numId w:val="115"/>
        </w:numPr>
        <w:spacing w:before="240" w:after="240" w:line="240" w:lineRule="auto"/>
        <w:rPr>
          <w:lang w:val="en-US"/>
        </w:rPr>
      </w:pPr>
      <w:r>
        <w:rPr>
          <w:lang w:val="en-US"/>
        </w:rPr>
        <w:t xml:space="preserve">Connect with the local Aboriginal and Torres </w:t>
      </w:r>
      <w:r w:rsidR="7FA3BAF2" w:rsidRPr="3205990D">
        <w:rPr>
          <w:lang w:val="en-US"/>
        </w:rPr>
        <w:t>Strait</w:t>
      </w:r>
      <w:r>
        <w:rPr>
          <w:lang w:val="en-US"/>
        </w:rPr>
        <w:t xml:space="preserve"> Islander community with their knowledge of local services and culture.</w:t>
      </w:r>
    </w:p>
    <w:p w14:paraId="33850FEB" w14:textId="2DD01502" w:rsidR="0001020A" w:rsidRDefault="0001020A" w:rsidP="0001020A">
      <w:pPr>
        <w:pStyle w:val="ListParagraph"/>
        <w:numPr>
          <w:ilvl w:val="0"/>
          <w:numId w:val="115"/>
        </w:numPr>
        <w:spacing w:before="240" w:after="240" w:line="240" w:lineRule="auto"/>
      </w:pPr>
      <w:r>
        <w:t xml:space="preserve">It is recognised that building rapport and trust with older Aboriginal and Torres Strait Islander clients may require multiple contact attempts, particularly for individuals who have experienced trauma or institutionalisation. Assessment organisations should make all reasonable efforts to engage with the client in a respectful and culturally safe manner with their advocate if they have identified they are in contact with one. </w:t>
      </w:r>
    </w:p>
    <w:p w14:paraId="12C08244" w14:textId="0F4CD85D" w:rsidR="0001020A" w:rsidRPr="00724D2F" w:rsidRDefault="0001020A" w:rsidP="0001020A">
      <w:pPr>
        <w:pStyle w:val="ListParagraph"/>
        <w:numPr>
          <w:ilvl w:val="0"/>
          <w:numId w:val="115"/>
        </w:numPr>
        <w:spacing w:before="240" w:after="240" w:line="240" w:lineRule="auto"/>
      </w:pPr>
      <w:r>
        <w:t xml:space="preserve">Assessment </w:t>
      </w:r>
      <w:r w:rsidR="00AD1E76">
        <w:t>o</w:t>
      </w:r>
      <w:r>
        <w:t xml:space="preserve">rganisations are encouraged to consider culturally safe engagement strategies, such as involving trusted agents like Elder Care Support Connectors or other appropriate advocates as well as arranging face to face contact where possible. </w:t>
      </w:r>
    </w:p>
    <w:p w14:paraId="6FB3C297" w14:textId="03EBE966" w:rsidR="004200AC" w:rsidRPr="00ED64CE" w:rsidRDefault="004200AC" w:rsidP="00C56CEC">
      <w:pPr>
        <w:pStyle w:val="H3"/>
      </w:pPr>
      <w:r>
        <w:t>Confirming an older person’s preference prior to the</w:t>
      </w:r>
      <w:r w:rsidR="00EC2EF9">
        <w:t xml:space="preserve"> </w:t>
      </w:r>
      <w:r w:rsidRPr="00ED64CE">
        <w:t xml:space="preserve">assessment </w:t>
      </w:r>
    </w:p>
    <w:p w14:paraId="5E3D1297" w14:textId="77777777" w:rsidR="004200AC" w:rsidRPr="00ED64CE" w:rsidRDefault="004200AC" w:rsidP="004200AC">
      <w:pPr>
        <w:spacing w:before="120" w:after="120" w:line="288" w:lineRule="auto"/>
        <w:rPr>
          <w:rFonts w:eastAsia="Times New Roman"/>
          <w:noProof/>
          <w:color w:val="000000" w:themeColor="text1"/>
          <w:szCs w:val="20"/>
          <w:shd w:val="clear" w:color="auto" w:fill="FFFFFF"/>
          <w:lang w:eastAsia="en-GB"/>
        </w:rPr>
      </w:pPr>
      <w:r w:rsidRPr="00ED64CE">
        <w:rPr>
          <w:rFonts w:eastAsia="Times New Roman"/>
          <w:noProof/>
          <w:color w:val="000000" w:themeColor="text1"/>
          <w:szCs w:val="20"/>
          <w:shd w:val="clear" w:color="auto" w:fill="FFFFFF"/>
          <w:lang w:eastAsia="en-GB"/>
        </w:rPr>
        <w:t>As it is a phased rollout, Aboriginal and Torres Strait Islander people who are booked with a Single Assessment System organisation need to have the choice to transfer their assessment to an Aboriginal and Torres Strait Islander assessment organisation if one commences in their area.</w:t>
      </w:r>
    </w:p>
    <w:p w14:paraId="67FF0EE2" w14:textId="59803C24" w:rsidR="004200AC" w:rsidRPr="00ED64CE" w:rsidRDefault="004200AC" w:rsidP="004200AC">
      <w:pPr>
        <w:spacing w:before="120" w:after="120" w:line="288" w:lineRule="auto"/>
        <w:rPr>
          <w:rFonts w:eastAsia="Times New Roman"/>
          <w:noProof/>
          <w:color w:val="000000" w:themeColor="text1"/>
          <w:shd w:val="clear" w:color="auto" w:fill="FFFFFF"/>
          <w:lang w:eastAsia="en-GB"/>
        </w:rPr>
      </w:pPr>
      <w:r w:rsidRPr="00ED64CE">
        <w:rPr>
          <w:rFonts w:eastAsia="Times New Roman"/>
          <w:noProof/>
          <w:color w:val="000000" w:themeColor="text1"/>
          <w:shd w:val="clear" w:color="auto" w:fill="FFFFFF"/>
          <w:lang w:eastAsia="en-GB"/>
        </w:rPr>
        <w:t xml:space="preserve">Preferences for an Aboriginal and Torres Strait Islander assessment organisation should be uncovered during the assessor’s pre-assessment planning. This allows the assessor time to contact the client, discuss their preference and organise transferring the client prior to the assessment </w:t>
      </w:r>
      <w:r w:rsidR="00DD7AE0">
        <w:rPr>
          <w:rFonts w:eastAsia="Times New Roman"/>
          <w:noProof/>
          <w:color w:val="000000" w:themeColor="text1"/>
          <w:shd w:val="clear" w:color="auto" w:fill="FFFFFF"/>
          <w:lang w:eastAsia="en-GB"/>
        </w:rPr>
        <w:t>commencing</w:t>
      </w:r>
      <w:r w:rsidRPr="00ED64CE">
        <w:rPr>
          <w:rFonts w:eastAsia="Times New Roman"/>
          <w:noProof/>
          <w:color w:val="000000" w:themeColor="text1"/>
          <w:shd w:val="clear" w:color="auto" w:fill="FFFFFF"/>
          <w:lang w:eastAsia="en-GB"/>
        </w:rPr>
        <w:t xml:space="preserve">. </w:t>
      </w:r>
    </w:p>
    <w:p w14:paraId="3EEAE0BF" w14:textId="77777777" w:rsidR="004200AC" w:rsidRPr="00ED64CE" w:rsidRDefault="004200AC" w:rsidP="004200AC">
      <w:pPr>
        <w:pStyle w:val="ListBullet"/>
      </w:pPr>
      <w:r w:rsidRPr="00ED64CE">
        <w:t xml:space="preserve">This must occur </w:t>
      </w:r>
      <w:r w:rsidRPr="00A33AF3">
        <w:t>prior to the assessment</w:t>
      </w:r>
      <w:r w:rsidRPr="00517E54">
        <w:t>.</w:t>
      </w:r>
      <w:r w:rsidRPr="00ED64CE">
        <w:t xml:space="preserve"> Once the assessor starts the assessment, it will need to be cancelled it they are not proceeding with the assessment. The general recommendation would be that the assessor with the booking continues with the assessment as planned, </w:t>
      </w:r>
      <w:r w:rsidRPr="00A33AF3">
        <w:t>with the agreement of the client.</w:t>
      </w:r>
      <w:r w:rsidRPr="00ED64CE">
        <w:t xml:space="preserve"> </w:t>
      </w:r>
    </w:p>
    <w:p w14:paraId="53BCE7C3" w14:textId="77777777" w:rsidR="004200AC" w:rsidRPr="00ED64CE" w:rsidRDefault="004200AC" w:rsidP="004200AC">
      <w:pPr>
        <w:pStyle w:val="ListBullet"/>
      </w:pPr>
      <w:r w:rsidRPr="00ED64CE">
        <w:t xml:space="preserve">The client’s </w:t>
      </w:r>
      <w:r w:rsidRPr="00166CDA">
        <w:t>condition needs to be taken into consideration</w:t>
      </w:r>
      <w:r w:rsidRPr="00517E54">
        <w:t>,</w:t>
      </w:r>
      <w:r w:rsidRPr="00ED64CE">
        <w:t xml:space="preserve"> that their health condition and care needs would not be adversely impacted by a delay in assessment if they were to be referred to another organisation. </w:t>
      </w:r>
    </w:p>
    <w:p w14:paraId="1113FEA8" w14:textId="77777777" w:rsidR="004200AC" w:rsidRPr="00ED64CE" w:rsidRDefault="004200AC" w:rsidP="004200AC">
      <w:pPr>
        <w:pStyle w:val="ListBullet"/>
      </w:pPr>
      <w:r w:rsidRPr="00ED64CE">
        <w:t xml:space="preserve">A conversation with the client </w:t>
      </w:r>
      <w:r w:rsidRPr="00166CDA">
        <w:t>prior to the assessment</w:t>
      </w:r>
      <w:r w:rsidRPr="00ED64CE">
        <w:t xml:space="preserve"> is recommended to ensure that they have choice and control and the ability to make decisions regarding their care. </w:t>
      </w:r>
    </w:p>
    <w:p w14:paraId="471D2C34" w14:textId="1C4F9734" w:rsidR="004200AC" w:rsidRPr="00ED64CE" w:rsidRDefault="004200AC" w:rsidP="004200AC">
      <w:pPr>
        <w:pStyle w:val="ListBullet"/>
      </w:pPr>
      <w:r w:rsidRPr="00ED64CE">
        <w:t xml:space="preserve">If the client’s preference is to be assessed by the Aboriginal and Torres Strait Islander assessment organisation; and they understand the timing impacts; then the assessor can ensure </w:t>
      </w:r>
      <w:r w:rsidRPr="000807BC">
        <w:t>a warm referral</w:t>
      </w:r>
      <w:r w:rsidRPr="00ED64CE">
        <w:t xml:space="preserve">. </w:t>
      </w:r>
    </w:p>
    <w:p w14:paraId="45359112" w14:textId="236BB782" w:rsidR="004200AC" w:rsidRPr="00ED64CE" w:rsidRDefault="004200AC" w:rsidP="004200AC">
      <w:pPr>
        <w:pStyle w:val="ListBullet"/>
      </w:pPr>
      <w:r w:rsidRPr="00ED64CE">
        <w:t xml:space="preserve">A rejection reason ‘client prefers a FNAO’ is available in the </w:t>
      </w:r>
      <w:r w:rsidR="003823C6">
        <w:t>My Aged Care Assessor Portal</w:t>
      </w:r>
      <w:r w:rsidRPr="00ED64CE">
        <w:t xml:space="preserve">. An older Aboriginal and Torres Strait Islander person should not be rejected based on a client’s preference unless it </w:t>
      </w:r>
      <w:r w:rsidRPr="000807BC">
        <w:t>is a last resort.</w:t>
      </w:r>
      <w:r w:rsidRPr="00ED64CE">
        <w:t xml:space="preserve"> A transfer prior to the assessment is preferable to a rejection. </w:t>
      </w:r>
    </w:p>
    <w:p w14:paraId="330B32A3" w14:textId="77777777" w:rsidR="004200AC" w:rsidRPr="00ED64CE" w:rsidRDefault="004200AC" w:rsidP="004200AC">
      <w:pPr>
        <w:pStyle w:val="ListBullet2"/>
      </w:pPr>
      <w:r w:rsidRPr="00ED64CE">
        <w:t xml:space="preserve">If the referral is cancelled by the assessor at the point of assessment, this may slow down the process for the client which is not the desired outcome. </w:t>
      </w:r>
    </w:p>
    <w:p w14:paraId="1147BE52" w14:textId="0660B62D" w:rsidR="00193FA0" w:rsidRDefault="004200AC" w:rsidP="00A677C9">
      <w:pPr>
        <w:spacing w:before="240" w:after="240" w:line="240" w:lineRule="auto"/>
        <w:rPr>
          <w:b/>
        </w:rPr>
      </w:pPr>
      <w:r w:rsidRPr="00ED64CE">
        <w:t xml:space="preserve">This </w:t>
      </w:r>
      <w:r w:rsidRPr="00F319DC">
        <w:t xml:space="preserve">above process also </w:t>
      </w:r>
      <w:r w:rsidRPr="000807BC">
        <w:t xml:space="preserve">applies to </w:t>
      </w:r>
      <w:r w:rsidR="335C6B08">
        <w:t>s</w:t>
      </w:r>
      <w:r>
        <w:t xml:space="preserve">upport </w:t>
      </w:r>
      <w:r w:rsidR="5E6384F9">
        <w:t>p</w:t>
      </w:r>
      <w:r>
        <w:t xml:space="preserve">lan </w:t>
      </w:r>
      <w:r w:rsidR="4FD6948E">
        <w:t>r</w:t>
      </w:r>
      <w:r w:rsidRPr="000807BC">
        <w:t>eviews, and subsequent new assessments.</w:t>
      </w:r>
      <w:r w:rsidRPr="00F319DC">
        <w:rPr>
          <w:b/>
          <w:bCs/>
        </w:rPr>
        <w:t xml:space="preserve">  </w:t>
      </w:r>
    </w:p>
    <w:p w14:paraId="1E42F62A" w14:textId="77777777" w:rsidR="007A743C" w:rsidRDefault="007A743C" w:rsidP="00A677C9">
      <w:pPr>
        <w:spacing w:before="240" w:after="240" w:line="240" w:lineRule="auto"/>
      </w:pPr>
      <w:r>
        <w:t xml:space="preserve">At the time of the assessment, the assessor must: </w:t>
      </w:r>
    </w:p>
    <w:p w14:paraId="09EA5D90" w14:textId="77777777" w:rsidR="007A743C" w:rsidRDefault="007A743C" w:rsidP="00DF3F6B">
      <w:pPr>
        <w:pStyle w:val="ListParagraph"/>
        <w:numPr>
          <w:ilvl w:val="0"/>
          <w:numId w:val="84"/>
        </w:numPr>
        <w:spacing w:before="240" w:after="240" w:line="240" w:lineRule="auto"/>
        <w:rPr>
          <w:lang w:val="en-US"/>
        </w:rPr>
      </w:pPr>
      <w:r w:rsidRPr="78E43FD9">
        <w:rPr>
          <w:lang w:val="en-US"/>
        </w:rPr>
        <w:t xml:space="preserve">Be clear to the </w:t>
      </w:r>
      <w:r>
        <w:rPr>
          <w:lang w:val="en-US"/>
        </w:rPr>
        <w:t>older person</w:t>
      </w:r>
      <w:r w:rsidRPr="78E43FD9">
        <w:rPr>
          <w:lang w:val="en-US"/>
        </w:rPr>
        <w:t xml:space="preserve"> who you are</w:t>
      </w:r>
      <w:r w:rsidRPr="78E43FD9">
        <w:rPr>
          <w:rFonts w:hint="eastAsia"/>
          <w:lang w:val="en-US"/>
        </w:rPr>
        <w:t xml:space="preserve"> and </w:t>
      </w:r>
      <w:r w:rsidRPr="78E43FD9">
        <w:rPr>
          <w:lang w:val="en-US"/>
        </w:rPr>
        <w:t>the organi</w:t>
      </w:r>
      <w:r>
        <w:rPr>
          <w:lang w:val="en-US"/>
        </w:rPr>
        <w:t>s</w:t>
      </w:r>
      <w:r w:rsidRPr="78E43FD9">
        <w:rPr>
          <w:lang w:val="en-US"/>
        </w:rPr>
        <w:t xml:space="preserve">ation you are from and outline your </w:t>
      </w:r>
      <w:r w:rsidRPr="78E43FD9">
        <w:rPr>
          <w:rFonts w:hint="eastAsia"/>
          <w:lang w:val="en-US"/>
        </w:rPr>
        <w:t>rol</w:t>
      </w:r>
      <w:r w:rsidRPr="78E43FD9">
        <w:rPr>
          <w:lang w:val="en-US"/>
        </w:rPr>
        <w:t xml:space="preserve">e as an assessor on behalf of My Aged Care. </w:t>
      </w:r>
    </w:p>
    <w:p w14:paraId="7F14088B" w14:textId="77777777" w:rsidR="007A743C" w:rsidRPr="00DC4DB4" w:rsidRDefault="007A743C" w:rsidP="00DF3F6B">
      <w:pPr>
        <w:pStyle w:val="ListParagraph"/>
        <w:numPr>
          <w:ilvl w:val="0"/>
          <w:numId w:val="84"/>
        </w:numPr>
        <w:spacing w:before="240" w:after="240" w:line="240" w:lineRule="auto"/>
        <w:rPr>
          <w:lang w:val="en-US"/>
        </w:rPr>
      </w:pPr>
      <w:r w:rsidRPr="505B0EE0">
        <w:rPr>
          <w:lang w:val="en-US"/>
        </w:rPr>
        <w:t>Wear the My Aged Care badge or ID according to assessor branding protocols and style guide</w:t>
      </w:r>
      <w:r w:rsidRPr="350DB3BB">
        <w:rPr>
          <w:i/>
          <w:iCs/>
          <w:lang w:val="en-US"/>
        </w:rPr>
        <w:t>.</w:t>
      </w:r>
    </w:p>
    <w:p w14:paraId="3E98B548" w14:textId="6A01F2F3" w:rsidR="007A743C" w:rsidRPr="00B25D2B" w:rsidRDefault="005D4B8B" w:rsidP="00DF3F6B">
      <w:pPr>
        <w:pStyle w:val="ListParagraph"/>
        <w:numPr>
          <w:ilvl w:val="0"/>
          <w:numId w:val="84"/>
        </w:numPr>
        <w:spacing w:before="240" w:after="240" w:line="240" w:lineRule="auto"/>
      </w:pPr>
      <w:r>
        <w:t>I</w:t>
      </w:r>
      <w:r w:rsidR="007A743C" w:rsidRPr="00B25D2B">
        <w:t xml:space="preserve">nform the </w:t>
      </w:r>
      <w:r w:rsidR="007A743C">
        <w:t>older person</w:t>
      </w:r>
      <w:r w:rsidR="007A743C" w:rsidRPr="00B25D2B">
        <w:t xml:space="preserve"> of the assessment process and potential outcomes, </w:t>
      </w:r>
    </w:p>
    <w:p w14:paraId="036F5D82" w14:textId="77777777" w:rsidR="007A743C" w:rsidRDefault="007A743C" w:rsidP="00DF3F6B">
      <w:pPr>
        <w:pStyle w:val="ListParagraph"/>
        <w:numPr>
          <w:ilvl w:val="0"/>
          <w:numId w:val="84"/>
        </w:numPr>
        <w:spacing w:before="240" w:after="240" w:line="240" w:lineRule="auto"/>
        <w:contextualSpacing w:val="0"/>
        <w:rPr>
          <w:lang w:val="en"/>
        </w:rPr>
      </w:pPr>
      <w:r>
        <w:rPr>
          <w:lang w:val="en"/>
        </w:rPr>
        <w:t>Conduct a wallet check:</w:t>
      </w:r>
    </w:p>
    <w:p w14:paraId="6262E93D" w14:textId="77777777" w:rsidR="007A743C" w:rsidRPr="00D53780" w:rsidRDefault="007A743C" w:rsidP="00DF3F6B">
      <w:pPr>
        <w:pStyle w:val="ListParagraph"/>
        <w:numPr>
          <w:ilvl w:val="1"/>
          <w:numId w:val="84"/>
        </w:numPr>
        <w:spacing w:before="240" w:after="240" w:line="240" w:lineRule="auto"/>
        <w:contextualSpacing w:val="0"/>
        <w:rPr>
          <w:lang w:val="en"/>
        </w:rPr>
      </w:pPr>
      <w:r w:rsidRPr="00D53780">
        <w:rPr>
          <w:szCs w:val="20"/>
          <w:lang w:val="en"/>
        </w:rPr>
        <w:t>explain to the older person why you need to do this</w:t>
      </w:r>
    </w:p>
    <w:p w14:paraId="079ABF07" w14:textId="77777777" w:rsidR="007A743C" w:rsidRPr="00D53780" w:rsidRDefault="007A743C" w:rsidP="00DF3F6B">
      <w:pPr>
        <w:pStyle w:val="ListParagraph"/>
        <w:numPr>
          <w:ilvl w:val="1"/>
          <w:numId w:val="84"/>
        </w:numPr>
        <w:spacing w:before="240" w:after="240" w:line="240" w:lineRule="auto"/>
        <w:contextualSpacing w:val="0"/>
        <w:rPr>
          <w:lang w:val="en"/>
        </w:rPr>
      </w:pPr>
      <w:r w:rsidRPr="00D53780">
        <w:rPr>
          <w:szCs w:val="20"/>
          <w:lang w:val="en"/>
        </w:rPr>
        <w:t>sight two valid identity documents</w:t>
      </w:r>
    </w:p>
    <w:p w14:paraId="569F184E" w14:textId="77777777" w:rsidR="007A743C" w:rsidRPr="00D53780" w:rsidRDefault="007A743C" w:rsidP="00DF3F6B">
      <w:pPr>
        <w:pStyle w:val="ListParagraph"/>
        <w:numPr>
          <w:ilvl w:val="1"/>
          <w:numId w:val="84"/>
        </w:numPr>
        <w:spacing w:before="240" w:after="240" w:line="240" w:lineRule="auto"/>
        <w:rPr>
          <w:lang w:val="en"/>
        </w:rPr>
      </w:pPr>
      <w:r w:rsidRPr="00D53780">
        <w:rPr>
          <w:lang w:val="en-US"/>
        </w:rPr>
        <w:t>if the wallet check has been attempted but the older person is unable to produce two valid identity documents or has indicated they will provide documents at a later point, enter this information as a note in the older person record as evidence of attempting the wallet check</w:t>
      </w:r>
    </w:p>
    <w:p w14:paraId="30743AFC" w14:textId="77777777" w:rsidR="007A743C" w:rsidRPr="003F107F" w:rsidRDefault="007A743C" w:rsidP="00DF3F6B">
      <w:pPr>
        <w:pStyle w:val="ListParagraph"/>
        <w:numPr>
          <w:ilvl w:val="1"/>
          <w:numId w:val="84"/>
        </w:numPr>
        <w:spacing w:before="240" w:after="240" w:line="240" w:lineRule="auto"/>
      </w:pPr>
      <w:r w:rsidRPr="429D644A">
        <w:t>record the results on the older person’s record.</w:t>
      </w:r>
    </w:p>
    <w:p w14:paraId="7607966F" w14:textId="77777777" w:rsidR="007A743C" w:rsidRPr="00D41B34" w:rsidRDefault="007A743C" w:rsidP="00DF3F6B">
      <w:pPr>
        <w:pStyle w:val="ListParagraph"/>
        <w:numPr>
          <w:ilvl w:val="0"/>
          <w:numId w:val="84"/>
        </w:numPr>
        <w:spacing w:before="240" w:after="240" w:line="240" w:lineRule="auto"/>
      </w:pPr>
      <w:r w:rsidRPr="00D41B34">
        <w:rPr>
          <w:lang w:val="en"/>
        </w:rPr>
        <w:t xml:space="preserve">Confirm </w:t>
      </w:r>
      <w:r w:rsidRPr="00064807">
        <w:rPr>
          <w:lang w:eastAsia="ko-KR"/>
        </w:rPr>
        <w:t>that the</w:t>
      </w:r>
      <w:r>
        <w:rPr>
          <w:lang w:eastAsia="ko-KR"/>
        </w:rPr>
        <w:t xml:space="preserve"> older person</w:t>
      </w:r>
      <w:r w:rsidRPr="00064807">
        <w:rPr>
          <w:lang w:eastAsia="ko-KR"/>
        </w:rPr>
        <w:t xml:space="preserve"> understands the role of the </w:t>
      </w:r>
      <w:r>
        <w:rPr>
          <w:lang w:eastAsia="ko-KR"/>
        </w:rPr>
        <w:t>assessor</w:t>
      </w:r>
      <w:r w:rsidRPr="00064807">
        <w:rPr>
          <w:lang w:eastAsia="ko-KR"/>
        </w:rPr>
        <w:t xml:space="preserve"> and the assessment process</w:t>
      </w:r>
      <w:r w:rsidRPr="00D41B34">
        <w:rPr>
          <w:lang w:val="en"/>
        </w:rPr>
        <w:t xml:space="preserve"> and obtain the older person’s (or active, appointed decision maker’s consent (whether or not they are a registered supporter) before commencing the assessment</w:t>
      </w:r>
      <w:r w:rsidRPr="00064807">
        <w:rPr>
          <w:lang w:eastAsia="ko-KR"/>
        </w:rPr>
        <w:t xml:space="preserve">. </w:t>
      </w:r>
      <w:r w:rsidRPr="00D41B34">
        <w:rPr>
          <w:lang w:val="en"/>
        </w:rPr>
        <w:t xml:space="preserve">Explain to the older person that the assessment has now commenced as they have provided consent, and </w:t>
      </w:r>
    </w:p>
    <w:p w14:paraId="1C2305B4" w14:textId="2990FCA6" w:rsidR="007A743C" w:rsidRPr="00C37685" w:rsidRDefault="00E33AC1" w:rsidP="00DF3F6B">
      <w:pPr>
        <w:pStyle w:val="ListParagraph"/>
        <w:numPr>
          <w:ilvl w:val="0"/>
          <w:numId w:val="83"/>
        </w:numPr>
        <w:spacing w:before="240" w:after="240" w:line="240" w:lineRule="auto"/>
        <w:ind w:left="709" w:hanging="425"/>
        <w:rPr>
          <w:b/>
          <w:bCs/>
          <w:color w:val="1E1444"/>
        </w:rPr>
      </w:pPr>
      <w:r>
        <w:t>C</w:t>
      </w:r>
      <w:r w:rsidR="007A743C">
        <w:t>onfirm the identity of other people supporting the older person at the assessment, including the status of</w:t>
      </w:r>
      <w:r w:rsidR="007A743C" w:rsidRPr="00B25D2B">
        <w:t xml:space="preserve"> </w:t>
      </w:r>
      <w:r w:rsidR="007A743C">
        <w:t>registered</w:t>
      </w:r>
      <w:r w:rsidR="007A743C" w:rsidRPr="00B25D2B">
        <w:t xml:space="preserve"> </w:t>
      </w:r>
      <w:r w:rsidR="007A743C">
        <w:t xml:space="preserve">supporter and </w:t>
      </w:r>
      <w:r w:rsidR="007A743C" w:rsidRPr="00B25D2B">
        <w:t>agent relationships</w:t>
      </w:r>
    </w:p>
    <w:p w14:paraId="069E9B18" w14:textId="05ACA9D0" w:rsidR="007A743C" w:rsidRPr="004C17E1" w:rsidRDefault="007A743C" w:rsidP="00DF3F6B">
      <w:pPr>
        <w:pStyle w:val="ListParagraph"/>
        <w:numPr>
          <w:ilvl w:val="0"/>
          <w:numId w:val="83"/>
        </w:numPr>
        <w:spacing w:before="240" w:after="240" w:line="240" w:lineRule="auto"/>
        <w:ind w:left="709" w:hanging="425"/>
        <w:rPr>
          <w:b/>
          <w:color w:val="1E1444"/>
        </w:rPr>
      </w:pPr>
      <w:r w:rsidRPr="00F4431E">
        <w:rPr>
          <w:lang w:val="en"/>
        </w:rPr>
        <w:t xml:space="preserve">Submit requests to register supporters/agents as required and when practical, ensure </w:t>
      </w:r>
      <w:r w:rsidR="00E33AC1">
        <w:rPr>
          <w:lang w:val="en"/>
        </w:rPr>
        <w:t>any</w:t>
      </w:r>
      <w:r w:rsidR="00E33AC1" w:rsidRPr="00F4431E">
        <w:rPr>
          <w:lang w:val="en"/>
        </w:rPr>
        <w:t xml:space="preserve"> </w:t>
      </w:r>
      <w:r w:rsidRPr="00F4431E">
        <w:rPr>
          <w:lang w:val="en"/>
        </w:rPr>
        <w:t xml:space="preserve">supporting documentation is uploaded, including </w:t>
      </w:r>
      <w:r w:rsidR="00E33AC1">
        <w:rPr>
          <w:lang w:val="en"/>
        </w:rPr>
        <w:t xml:space="preserve">legal documentation and </w:t>
      </w:r>
      <w:r w:rsidRPr="00F4431E">
        <w:rPr>
          <w:lang w:val="en"/>
        </w:rPr>
        <w:t xml:space="preserve">medical evidence if required. </w:t>
      </w:r>
    </w:p>
    <w:p w14:paraId="01C919BC" w14:textId="2D16997B" w:rsidR="00D6246C" w:rsidRPr="006C5462" w:rsidRDefault="00B943D6" w:rsidP="00DF3F6B">
      <w:pPr>
        <w:pStyle w:val="ListParagraph"/>
        <w:numPr>
          <w:ilvl w:val="0"/>
          <w:numId w:val="83"/>
        </w:numPr>
        <w:spacing w:before="240" w:after="240" w:line="240" w:lineRule="auto"/>
        <w:ind w:left="709" w:hanging="425"/>
        <w:rPr>
          <w:b/>
          <w:color w:val="1E1444"/>
        </w:rPr>
      </w:pPr>
      <w:r>
        <w:rPr>
          <w:lang w:val="en"/>
        </w:rPr>
        <w:t>If the assessor is an Enrolled Nurse conducting a comprehensive assessment, they must be under direct or indirect Regist</w:t>
      </w:r>
      <w:r w:rsidR="00227C69">
        <w:rPr>
          <w:lang w:val="en"/>
        </w:rPr>
        <w:t xml:space="preserve">ered Nurse supervision within the same organisation. </w:t>
      </w:r>
    </w:p>
    <w:p w14:paraId="39E7678F" w14:textId="77777777" w:rsidR="006C5462" w:rsidRPr="006C5462" w:rsidRDefault="006C5462" w:rsidP="007C7FE4">
      <w:pPr>
        <w:spacing w:before="240" w:after="240" w:line="240" w:lineRule="auto"/>
        <w:rPr>
          <w:b/>
          <w:color w:val="1E1444"/>
        </w:rPr>
      </w:pPr>
    </w:p>
    <w:p w14:paraId="2E47ED19" w14:textId="77777777" w:rsidR="000E0B6C" w:rsidRPr="000027E3" w:rsidRDefault="007A743C" w:rsidP="00C325C6">
      <w:pPr>
        <w:pStyle w:val="Sub-headings"/>
      </w:pPr>
      <w:r w:rsidRPr="00904192">
        <w:t>Note</w:t>
      </w:r>
      <w:r w:rsidRPr="000027E3">
        <w:t xml:space="preserve">: </w:t>
      </w:r>
    </w:p>
    <w:p w14:paraId="0DB08CE3" w14:textId="5EDF0ECE" w:rsidR="007A743C" w:rsidRPr="00D53780" w:rsidRDefault="007A743C" w:rsidP="00C325C6">
      <w:pPr>
        <w:pStyle w:val="Sub-headings"/>
      </w:pPr>
      <w:r w:rsidRPr="00DB0F0C">
        <w:t xml:space="preserve">The older person can withdraw their consent at any time. In this case the assessment is discontinued. </w:t>
      </w:r>
      <w:bookmarkStart w:id="390" w:name="_Hlk88840709"/>
    </w:p>
    <w:p w14:paraId="42722093" w14:textId="77777777" w:rsidR="002364CD" w:rsidRDefault="002364CD" w:rsidP="00046342"/>
    <w:p w14:paraId="49199789" w14:textId="77777777" w:rsidR="007A743C" w:rsidRPr="00C37685" w:rsidRDefault="007A743C" w:rsidP="00C56CEC">
      <w:pPr>
        <w:pStyle w:val="H3"/>
        <w:rPr>
          <w:color w:val="1E1444"/>
        </w:rPr>
      </w:pPr>
      <w:bookmarkStart w:id="391" w:name="_Ref212733666"/>
      <w:r w:rsidRPr="00C37685">
        <w:t>Wallet check</w:t>
      </w:r>
      <w:bookmarkEnd w:id="391"/>
    </w:p>
    <w:p w14:paraId="75D75003" w14:textId="17F0EA4F" w:rsidR="007A743C" w:rsidRPr="0082564C" w:rsidRDefault="007A743C" w:rsidP="00A677C9">
      <w:pPr>
        <w:spacing w:before="240" w:after="240" w:line="240" w:lineRule="auto"/>
        <w:rPr>
          <w:lang w:val="en"/>
        </w:rPr>
      </w:pPr>
      <w:r w:rsidRPr="0082564C">
        <w:rPr>
          <w:lang w:val="en"/>
        </w:rPr>
        <w:t xml:space="preserve">A wallet check assists to verify the older person’s identity and reduce the risk of duplicate records. Whoever has the first face-to-face contact with the older person following the creation of the older person’s record (e.g., an assessor or service provider) is expected to sight two types of valid older person identification and record this information on the older person record. The </w:t>
      </w:r>
      <w:r>
        <w:t>My Aged Care</w:t>
      </w:r>
      <w:r w:rsidRPr="0082564C">
        <w:rPr>
          <w:lang w:val="en"/>
        </w:rPr>
        <w:t xml:space="preserve"> </w:t>
      </w:r>
      <w:r w:rsidR="0060352D">
        <w:rPr>
          <w:lang w:val="en"/>
        </w:rPr>
        <w:t>assessor portal</w:t>
      </w:r>
      <w:r w:rsidRPr="0082564C">
        <w:rPr>
          <w:lang w:val="en"/>
        </w:rPr>
        <w:t xml:space="preserve"> provides a list of types of identification that can be used for the wallet check. </w:t>
      </w:r>
    </w:p>
    <w:p w14:paraId="60257CD9" w14:textId="77777777" w:rsidR="007A743C" w:rsidRDefault="007A743C" w:rsidP="00A677C9">
      <w:pPr>
        <w:spacing w:before="240" w:after="240" w:line="240" w:lineRule="auto"/>
        <w:rPr>
          <w:lang w:val="en-US"/>
        </w:rPr>
      </w:pPr>
      <w:r w:rsidRPr="6529635C">
        <w:rPr>
          <w:lang w:val="en-US"/>
        </w:rPr>
        <w:t>The wallet check only needs to occur once. If a reassessment is being conducted for an older person who has previously had a wallet check it is best practice for the assessor to check the older person’s identification and confirm their details have not changed. Where possible</w:t>
      </w:r>
      <w:r w:rsidRPr="6529635C" w:rsidDel="004E5D63">
        <w:rPr>
          <w:lang w:val="en-US"/>
        </w:rPr>
        <w:t xml:space="preserve"> </w:t>
      </w:r>
      <w:r w:rsidRPr="6529635C">
        <w:rPr>
          <w:lang w:val="en-US"/>
        </w:rPr>
        <w:t xml:space="preserve">assessors should use the wallet check as an opportunity to confirm an individual’s age provided at screening or triage matches the age on their identification. If there are concerns that an individual does not meet the age eligibility requirement or one of the exceptions to undergo an assessment based on identification cited during a wallet check, the department should be contacted. </w:t>
      </w:r>
    </w:p>
    <w:p w14:paraId="54DBFD49" w14:textId="77777777" w:rsidR="000E0B6C" w:rsidRPr="000027E3" w:rsidRDefault="007A743C" w:rsidP="00C325C6">
      <w:pPr>
        <w:pStyle w:val="Sub-headings"/>
      </w:pPr>
      <w:r w:rsidRPr="00904192">
        <w:t>Note</w:t>
      </w:r>
      <w:r w:rsidR="000E0B6C" w:rsidRPr="000027E3">
        <w:t>:</w:t>
      </w:r>
      <w:r w:rsidRPr="000027E3">
        <w:t xml:space="preserve"> </w:t>
      </w:r>
    </w:p>
    <w:p w14:paraId="1933711E" w14:textId="77B3FEEC" w:rsidR="007A743C" w:rsidRPr="00633F48" w:rsidRDefault="000E0B6C" w:rsidP="00C325C6">
      <w:pPr>
        <w:pStyle w:val="Sub-headings"/>
      </w:pPr>
      <w:r>
        <w:t>T</w:t>
      </w:r>
      <w:r w:rsidR="007A743C" w:rsidRPr="00633F48">
        <w:t xml:space="preserve">he wallet check can be conducted at any stage of the registration or assessment process and through the Aged Care Assessor App. </w:t>
      </w:r>
    </w:p>
    <w:bookmarkEnd w:id="390"/>
    <w:p w14:paraId="65874F08" w14:textId="77777777" w:rsidR="007A743C" w:rsidRDefault="007A743C" w:rsidP="00A677C9">
      <w:pPr>
        <w:spacing w:before="240" w:after="240" w:line="240" w:lineRule="auto"/>
      </w:pPr>
    </w:p>
    <w:bookmarkEnd w:id="374"/>
    <w:p w14:paraId="12EFDC85" w14:textId="45D7166A" w:rsidR="007A743C" w:rsidRPr="00C37685" w:rsidRDefault="007A743C" w:rsidP="00C56CEC">
      <w:pPr>
        <w:pStyle w:val="H3"/>
        <w:rPr>
          <w:color w:val="1E1444"/>
        </w:rPr>
      </w:pPr>
      <w:r w:rsidRPr="00C37685">
        <w:t>Registering a supporter</w:t>
      </w:r>
    </w:p>
    <w:p w14:paraId="16EBA266" w14:textId="77777777" w:rsidR="007A743C" w:rsidRDefault="007A743C" w:rsidP="00A677C9">
      <w:pPr>
        <w:spacing w:before="240" w:after="240" w:line="240" w:lineRule="auto"/>
      </w:pPr>
      <w:r w:rsidRPr="00122A33">
        <w:t xml:space="preserve">Registered supporters help older people to make and communicate their own decisions about aged care. </w:t>
      </w:r>
      <w:r w:rsidRPr="00C916B0">
        <w:t xml:space="preserve">A registered supporter can request and receive information about </w:t>
      </w:r>
      <w:r>
        <w:t>an older person’s</w:t>
      </w:r>
      <w:r w:rsidRPr="00C916B0">
        <w:t xml:space="preserve"> aged care, help </w:t>
      </w:r>
      <w:r>
        <w:t>them</w:t>
      </w:r>
      <w:r w:rsidRPr="00C916B0">
        <w:t xml:space="preserve"> to understand information and make </w:t>
      </w:r>
      <w:r>
        <w:t>their</w:t>
      </w:r>
      <w:r w:rsidRPr="00C916B0">
        <w:t xml:space="preserve"> own decisions, and let people like My Aged Care and aged care providers know what </w:t>
      </w:r>
      <w:r>
        <w:t>the older person’s</w:t>
      </w:r>
      <w:r w:rsidRPr="00C916B0">
        <w:t xml:space="preserve"> decisions are. </w:t>
      </w:r>
    </w:p>
    <w:p w14:paraId="738E8031" w14:textId="77777777" w:rsidR="007A743C" w:rsidRPr="00880B95" w:rsidRDefault="007A743C" w:rsidP="00A677C9">
      <w:pPr>
        <w:spacing w:before="240" w:after="240" w:line="240" w:lineRule="auto"/>
      </w:pPr>
      <w:r w:rsidRPr="00880B95">
        <w:t xml:space="preserve">During an assessment </w:t>
      </w:r>
      <w:r w:rsidRPr="00766DBD">
        <w:t xml:space="preserve">an older person and/or their prospective supporter can </w:t>
      </w:r>
      <w:r>
        <w:t xml:space="preserve">request to </w:t>
      </w:r>
      <w:r w:rsidRPr="00766DBD">
        <w:t>register a supporter relationship by</w:t>
      </w:r>
      <w:r w:rsidRPr="00880B95">
        <w:t>:</w:t>
      </w:r>
    </w:p>
    <w:p w14:paraId="3CD8C054" w14:textId="14A01AC6" w:rsidR="007A743C" w:rsidRPr="00880B95" w:rsidRDefault="007A743C" w:rsidP="00DF3F6B">
      <w:pPr>
        <w:pStyle w:val="ListParagraph"/>
        <w:numPr>
          <w:ilvl w:val="0"/>
          <w:numId w:val="79"/>
        </w:numPr>
        <w:spacing w:before="240" w:after="240" w:line="240" w:lineRule="auto"/>
      </w:pPr>
      <w:r w:rsidRPr="00766DBD">
        <w:t xml:space="preserve">completing the </w:t>
      </w:r>
      <w:hyperlink r:id="rId145" w:history="1">
        <w:r w:rsidRPr="001951D2">
          <w:rPr>
            <w:rStyle w:val="Hyperlink"/>
          </w:rPr>
          <w:t>Registration of a Supporter form</w:t>
        </w:r>
      </w:hyperlink>
      <w:r w:rsidRPr="00766DBD">
        <w:t xml:space="preserve">. The assessor can upload the form and any associated documentation to the client’s record. </w:t>
      </w:r>
      <w:r w:rsidR="00D37D3D" w:rsidRPr="004468CA">
        <w:rPr>
          <w:b/>
          <w:bCs/>
          <w:lang w:val="en-AU"/>
        </w:rPr>
        <w:t>Note:</w:t>
      </w:r>
      <w:r w:rsidR="00D37D3D" w:rsidRPr="002C39B5">
        <w:rPr>
          <w:lang w:val="en-AU"/>
        </w:rPr>
        <w:t xml:space="preserve"> a </w:t>
      </w:r>
      <w:r w:rsidR="00D37D3D" w:rsidRPr="002C39B5">
        <w:rPr>
          <w:lang w:val="en-US"/>
        </w:rPr>
        <w:t>registration</w:t>
      </w:r>
      <w:r w:rsidR="00D37D3D" w:rsidRPr="002C39B5">
        <w:rPr>
          <w:lang w:val="en-AU"/>
        </w:rPr>
        <w:t xml:space="preserve"> form may also be generated following the completion </w:t>
      </w:r>
      <w:r w:rsidR="003A0BB3">
        <w:rPr>
          <w:lang w:val="en-AU"/>
        </w:rPr>
        <w:t>of</w:t>
      </w:r>
      <w:r w:rsidR="003A0BB3" w:rsidRPr="002C39B5">
        <w:rPr>
          <w:lang w:val="en-AU"/>
        </w:rPr>
        <w:t xml:space="preserve"> </w:t>
      </w:r>
      <w:r w:rsidR="00D37D3D" w:rsidRPr="002C39B5">
        <w:rPr>
          <w:lang w:val="en-AU"/>
        </w:rPr>
        <w:t xml:space="preserve">the </w:t>
      </w:r>
      <w:hyperlink r:id="rId146" w:history="1">
        <w:r w:rsidR="00D37D3D" w:rsidRPr="005D3F6F">
          <w:rPr>
            <w:rStyle w:val="Hyperlink"/>
            <w:lang w:val="en-AU"/>
          </w:rPr>
          <w:t>online registration form</w:t>
        </w:r>
      </w:hyperlink>
      <w:r w:rsidR="00D37D3D" w:rsidRPr="002C39B5">
        <w:rPr>
          <w:lang w:val="en-AU"/>
        </w:rPr>
        <w:t xml:space="preserve"> </w:t>
      </w:r>
      <w:r w:rsidR="00D37D3D">
        <w:rPr>
          <w:lang w:val="en-AU"/>
        </w:rPr>
        <w:t xml:space="preserve">through the </w:t>
      </w:r>
      <w:r w:rsidR="00D37D3D" w:rsidRPr="002C39B5">
        <w:rPr>
          <w:lang w:val="en-AU"/>
        </w:rPr>
        <w:t>My Aged Care</w:t>
      </w:r>
      <w:r w:rsidR="00D37D3D">
        <w:rPr>
          <w:lang w:val="en-AU"/>
        </w:rPr>
        <w:t xml:space="preserve"> website</w:t>
      </w:r>
      <w:r w:rsidR="00D37D3D" w:rsidRPr="002C39B5">
        <w:rPr>
          <w:lang w:val="en-AU"/>
        </w:rPr>
        <w:t>. This will look different to the Registration of a Supporter form</w:t>
      </w:r>
      <w:r w:rsidR="00D37D3D">
        <w:rPr>
          <w:lang w:val="en-AU"/>
        </w:rPr>
        <w:t xml:space="preserve"> </w:t>
      </w:r>
      <w:r w:rsidR="00D37D3D" w:rsidRPr="002C39B5">
        <w:rPr>
          <w:lang w:val="en-AU"/>
        </w:rPr>
        <w:t>but should have all the same information. Assessors should treat it the same as the Registration of a Supporter form</w:t>
      </w:r>
      <w:r w:rsidR="00B23AB0" w:rsidRPr="002C39B5">
        <w:rPr>
          <w:lang w:val="en-AU"/>
        </w:rPr>
        <w:t xml:space="preserve">. </w:t>
      </w:r>
    </w:p>
    <w:p w14:paraId="625718FA" w14:textId="79F93AF4" w:rsidR="007A743C" w:rsidRPr="002A4A42" w:rsidRDefault="007A743C" w:rsidP="00DF3F6B">
      <w:pPr>
        <w:pStyle w:val="ListParagraph"/>
        <w:numPr>
          <w:ilvl w:val="0"/>
          <w:numId w:val="79"/>
        </w:numPr>
        <w:spacing w:before="240" w:after="240" w:line="240" w:lineRule="auto"/>
      </w:pPr>
      <w:r>
        <w:t xml:space="preserve">submitting a registration request online with the assessor via the </w:t>
      </w:r>
      <w:r w:rsidR="0060352D">
        <w:t>assessor portal</w:t>
      </w:r>
      <w:r>
        <w:t xml:space="preserve"> or app, including uploading any associated</w:t>
      </w:r>
      <w:r w:rsidRPr="00766DBD">
        <w:t xml:space="preserve"> documentation.</w:t>
      </w:r>
      <w:r>
        <w:t xml:space="preserve"> </w:t>
      </w:r>
      <w:r w:rsidRPr="002A4A42">
        <w:rPr>
          <w:lang w:val="en"/>
        </w:rPr>
        <w:t>If necessary, the Aged Care Assessor App camera can take a photo of document</w:t>
      </w:r>
      <w:r w:rsidR="00F77636">
        <w:rPr>
          <w:lang w:val="en"/>
        </w:rPr>
        <w:t>/s</w:t>
      </w:r>
      <w:r w:rsidRPr="002A4A42">
        <w:rPr>
          <w:lang w:val="en"/>
        </w:rPr>
        <w:t xml:space="preserve"> to upload as an attachment as long as the document photographs are clear and readable. </w:t>
      </w:r>
    </w:p>
    <w:p w14:paraId="42660D15" w14:textId="4009D071" w:rsidR="007A743C" w:rsidRPr="002A4A42" w:rsidRDefault="007A743C" w:rsidP="00A677C9">
      <w:pPr>
        <w:spacing w:before="240" w:after="240" w:line="240" w:lineRule="auto"/>
        <w:rPr>
          <w:lang w:val="en"/>
        </w:rPr>
      </w:pPr>
      <w:r w:rsidRPr="002A4A42">
        <w:rPr>
          <w:lang w:val="en"/>
        </w:rPr>
        <w:t>A completed registration form and any associated documentation can be uploaded to the client’s record.</w:t>
      </w:r>
      <w:r w:rsidRPr="00A517DD" w:rsidDel="00635C7B">
        <w:t xml:space="preserve"> </w:t>
      </w:r>
      <w:r>
        <w:t>T</w:t>
      </w:r>
      <w:r w:rsidRPr="00A517DD">
        <w:t xml:space="preserve">he </w:t>
      </w:r>
      <w:r>
        <w:t>prospective</w:t>
      </w:r>
      <w:r w:rsidRPr="00A517DD">
        <w:t xml:space="preserve"> </w:t>
      </w:r>
      <w:r>
        <w:t>supporter</w:t>
      </w:r>
      <w:r w:rsidRPr="00A517DD">
        <w:t xml:space="preserve"> </w:t>
      </w:r>
      <w:r>
        <w:t xml:space="preserve">can also </w:t>
      </w:r>
      <w:r w:rsidRPr="00A517DD">
        <w:t xml:space="preserve">mail a copy of the documents to the My Aged Care contact </w:t>
      </w:r>
      <w:r w:rsidR="00055885" w:rsidRPr="00A517DD">
        <w:t>centre,</w:t>
      </w:r>
      <w:r w:rsidRPr="00A517DD">
        <w:t xml:space="preserve"> and the assessor can write a note in the </w:t>
      </w:r>
      <w:r>
        <w:t>older person’s</w:t>
      </w:r>
      <w:r w:rsidRPr="00A517DD">
        <w:t xml:space="preserve"> record of this undertaking (see Appendix </w:t>
      </w:r>
      <w:r w:rsidR="006D6FB9">
        <w:t>B</w:t>
      </w:r>
      <w:r>
        <w:t>. Contact Details</w:t>
      </w:r>
      <w:r w:rsidRPr="00A517DD">
        <w:t>).</w:t>
      </w:r>
      <w:r>
        <w:t xml:space="preserve"> </w:t>
      </w:r>
    </w:p>
    <w:p w14:paraId="046A23D0" w14:textId="77777777" w:rsidR="000E0B6C" w:rsidRPr="000027E3" w:rsidRDefault="007A743C" w:rsidP="00C325C6">
      <w:pPr>
        <w:pStyle w:val="Sub-headings"/>
      </w:pPr>
      <w:r w:rsidRPr="00904192">
        <w:t>Note</w:t>
      </w:r>
      <w:r w:rsidRPr="000027E3">
        <w:t xml:space="preserve">: </w:t>
      </w:r>
    </w:p>
    <w:p w14:paraId="5CAA4DA4" w14:textId="38C5AB26" w:rsidR="00C214EE" w:rsidRDefault="007A743C" w:rsidP="00C325C6">
      <w:pPr>
        <w:pStyle w:val="Sub-headings"/>
      </w:pPr>
      <w:r w:rsidRPr="00DD70C7">
        <w:t xml:space="preserve">Updated consent scripting and declarations for the registration of a supporter </w:t>
      </w:r>
      <w:r w:rsidRPr="00DD70C7">
        <w:rPr>
          <w:u w:val="single"/>
        </w:rPr>
        <w:t>must</w:t>
      </w:r>
      <w:r w:rsidRPr="00DD70C7">
        <w:t xml:space="preserve"> be used by assessors if they are assisting an older person or prospective supporter through the registration process. These will be available on the Assessor Portal or App, and the printed </w:t>
      </w:r>
      <w:r w:rsidR="00C214EE">
        <w:t>Registration of a Supporter</w:t>
      </w:r>
      <w:r w:rsidRPr="00DD70C7" w:rsidDel="00C214EE">
        <w:t xml:space="preserve"> </w:t>
      </w:r>
      <w:r w:rsidRPr="00DD70C7">
        <w:t>form</w:t>
      </w:r>
      <w:r w:rsidR="00C214EE">
        <w:t xml:space="preserve">. </w:t>
      </w:r>
    </w:p>
    <w:p w14:paraId="0A9D3323" w14:textId="55A65200" w:rsidR="002364CD" w:rsidRDefault="00C214EE" w:rsidP="001E3882">
      <w:r>
        <w:t>Assessors must not use scripting or forms previously used for the appointment of regular or authorised representatives</w:t>
      </w:r>
      <w:r w:rsidR="00F93408">
        <w:t>, as these are not relevant to the registered supporter role</w:t>
      </w:r>
      <w:r>
        <w:t>.</w:t>
      </w:r>
    </w:p>
    <w:p w14:paraId="79A7861C" w14:textId="77777777" w:rsidR="007A743C" w:rsidRPr="001B3D4C" w:rsidRDefault="007A743C" w:rsidP="00A677C9">
      <w:pPr>
        <w:spacing w:before="240" w:after="240" w:line="240" w:lineRule="auto"/>
        <w:rPr>
          <w:lang w:val="en-AU"/>
        </w:rPr>
      </w:pPr>
      <w:r w:rsidRPr="0AACF82E">
        <w:t xml:space="preserve">It is important to note that while assessors can collect and submit the required information, they </w:t>
      </w:r>
      <w:r>
        <w:t>may not be able to</w:t>
      </w:r>
      <w:r w:rsidRPr="0AACF82E">
        <w:t xml:space="preserve"> confirm or approve the registration of a supporter relationship</w:t>
      </w:r>
      <w:r>
        <w:t>, depending on the circumstances</w:t>
      </w:r>
      <w:r w:rsidRPr="0AACF82E">
        <w:t xml:space="preserve">. </w:t>
      </w:r>
      <w:r>
        <w:t xml:space="preserve">For example, </w:t>
      </w:r>
      <w:r w:rsidR="00055885">
        <w:t xml:space="preserve">some </w:t>
      </w:r>
      <w:r w:rsidRPr="001B3D4C">
        <w:rPr>
          <w:lang w:val="en-AU"/>
        </w:rPr>
        <w:t xml:space="preserve">applications must be escalated to the </w:t>
      </w:r>
      <w:r>
        <w:rPr>
          <w:lang w:val="en-AU"/>
        </w:rPr>
        <w:t>d</w:t>
      </w:r>
      <w:r w:rsidRPr="001B3D4C">
        <w:rPr>
          <w:lang w:val="en-AU"/>
        </w:rPr>
        <w:t xml:space="preserve">epartmental team </w:t>
      </w:r>
      <w:r>
        <w:rPr>
          <w:lang w:val="en-AU"/>
        </w:rPr>
        <w:t xml:space="preserve">responsible for supporters </w:t>
      </w:r>
      <w:r w:rsidRPr="001B3D4C">
        <w:rPr>
          <w:lang w:val="en-AU"/>
        </w:rPr>
        <w:t>to consider before a decision to register can be made.</w:t>
      </w:r>
      <w:r>
        <w:rPr>
          <w:lang w:val="en-AU"/>
        </w:rPr>
        <w:t xml:space="preserve"> This includes applications:</w:t>
      </w:r>
    </w:p>
    <w:p w14:paraId="2AD0EADE" w14:textId="77777777" w:rsidR="007A743C" w:rsidRDefault="007A743C" w:rsidP="00DF3F6B">
      <w:pPr>
        <w:pStyle w:val="ListParagraph"/>
        <w:numPr>
          <w:ilvl w:val="0"/>
          <w:numId w:val="79"/>
        </w:numPr>
        <w:spacing w:before="240" w:after="240" w:line="240" w:lineRule="auto"/>
      </w:pPr>
      <w:r>
        <w:t>where the prospective supporter has declared a conflict of interest</w:t>
      </w:r>
    </w:p>
    <w:p w14:paraId="2BCF0285" w14:textId="1125150D" w:rsidR="007A743C" w:rsidRPr="00C916B0" w:rsidRDefault="007A743C" w:rsidP="00DF3F6B">
      <w:pPr>
        <w:pStyle w:val="ListParagraph"/>
        <w:numPr>
          <w:ilvl w:val="0"/>
          <w:numId w:val="79"/>
        </w:numPr>
        <w:spacing w:before="240" w:after="240" w:line="240" w:lineRule="auto"/>
      </w:pPr>
      <w:r w:rsidRPr="2A00F884">
        <w:t>where there is anything to suggest the prospective supporter cannot comply with the duties of a supporter</w:t>
      </w:r>
      <w:r w:rsidR="00A2500D">
        <w:t xml:space="preserve"> (e.g., the prospective supporter </w:t>
      </w:r>
      <w:r w:rsidR="0092611C">
        <w:t xml:space="preserve">is currently suspended or </w:t>
      </w:r>
      <w:r w:rsidR="00A2500D">
        <w:t>had a previous registered supporter relationship cancelled)</w:t>
      </w:r>
      <w:r>
        <w:t>, or  </w:t>
      </w:r>
    </w:p>
    <w:p w14:paraId="3FA060D0" w14:textId="18E1182B" w:rsidR="007A743C" w:rsidRPr="001B3D4C" w:rsidRDefault="007A743C" w:rsidP="00DF3F6B">
      <w:pPr>
        <w:pStyle w:val="ListParagraph"/>
        <w:numPr>
          <w:ilvl w:val="0"/>
          <w:numId w:val="79"/>
        </w:numPr>
        <w:spacing w:before="240" w:after="240" w:line="240" w:lineRule="auto"/>
        <w:rPr>
          <w:lang w:val="en-AU"/>
        </w:rPr>
      </w:pPr>
      <w:r>
        <w:t>where the prospective supporter is also an appointed decision maker and must provide</w:t>
      </w:r>
      <w:r w:rsidRPr="001B3D4C">
        <w:rPr>
          <w:lang w:val="en-AU"/>
        </w:rPr>
        <w:t xml:space="preserve"> additional documentation like legal and medical evidence.</w:t>
      </w:r>
      <w:r w:rsidR="0092611C">
        <w:rPr>
          <w:lang w:val="en-AU"/>
        </w:rPr>
        <w:t xml:space="preserve"> These documents must be submitted to, and validated by, the departmental delegate responsible for supporters.</w:t>
      </w:r>
      <w:r w:rsidRPr="001B3D4C">
        <w:rPr>
          <w:lang w:val="en-AU"/>
        </w:rPr>
        <w:t> </w:t>
      </w:r>
    </w:p>
    <w:p w14:paraId="06AEE3C2" w14:textId="015BEA43" w:rsidR="007A743C" w:rsidRDefault="0092611C" w:rsidP="00A677C9">
      <w:pPr>
        <w:spacing w:before="240" w:after="240" w:line="240" w:lineRule="auto"/>
      </w:pPr>
      <w:r>
        <w:t>T</w:t>
      </w:r>
      <w:r w:rsidR="007A743C">
        <w:t>he My Aged Care website include</w:t>
      </w:r>
      <w:r>
        <w:t>s</w:t>
      </w:r>
      <w:r w:rsidR="007A743C">
        <w:t xml:space="preserve"> information on the various ways a person can request to register, or become, a supporter.</w:t>
      </w:r>
      <w:r w:rsidR="00A2500D">
        <w:t xml:space="preserve"> </w:t>
      </w:r>
    </w:p>
    <w:p w14:paraId="1C34084C" w14:textId="4CC5F854" w:rsidR="005D56E0" w:rsidRDefault="005D56E0" w:rsidP="00A677C9">
      <w:pPr>
        <w:spacing w:before="240" w:after="240" w:line="240" w:lineRule="auto"/>
        <w:rPr>
          <w:b/>
        </w:rPr>
      </w:pPr>
    </w:p>
    <w:tbl>
      <w:tblPr>
        <w:tblStyle w:val="TableGrid"/>
        <w:tblW w:w="0" w:type="auto"/>
        <w:tblLook w:val="04A0" w:firstRow="1" w:lastRow="0" w:firstColumn="1" w:lastColumn="0" w:noHBand="0" w:noVBand="1"/>
      </w:tblPr>
      <w:tblGrid>
        <w:gridCol w:w="843"/>
        <w:gridCol w:w="7923"/>
      </w:tblGrid>
      <w:tr w:rsidR="008B6B13" w14:paraId="0987035C" w14:textId="77777777">
        <w:trPr>
          <w:trHeight w:val="300"/>
        </w:trPr>
        <w:tc>
          <w:tcPr>
            <w:tcW w:w="846" w:type="dxa"/>
          </w:tcPr>
          <w:p w14:paraId="7A122ECC" w14:textId="77777777" w:rsidR="008B6B13" w:rsidRDefault="008B6B13">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1B9898EC" wp14:editId="482F4790">
                  <wp:extent cx="383111" cy="381000"/>
                  <wp:effectExtent l="0" t="0" r="0" b="0"/>
                  <wp:docPr id="1076623103" name="Picture 107662310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01FB34BD" w14:textId="77777777" w:rsidR="008B6B13" w:rsidRDefault="008B6B13">
            <w:pPr>
              <w:pStyle w:val="NormalText"/>
              <w:spacing w:before="240" w:after="240" w:line="240" w:lineRule="auto"/>
            </w:pPr>
            <w:hyperlink r:id="rId147" w:history="1">
              <w:r w:rsidRPr="00BA10BD">
                <w:rPr>
                  <w:rStyle w:val="Hyperlink"/>
                </w:rPr>
                <w:t>www.myagedcare.gov.au/registering-supporter</w:t>
              </w:r>
            </w:hyperlink>
          </w:p>
          <w:p w14:paraId="269A53A1" w14:textId="07E6B9B1" w:rsidR="008B6B13" w:rsidRDefault="008B6B13">
            <w:pPr>
              <w:pStyle w:val="NormalText"/>
              <w:spacing w:before="240" w:after="240" w:line="240" w:lineRule="auto"/>
              <w:rPr>
                <w:rFonts w:eastAsiaTheme="majorEastAsia" w:cs="Arial"/>
                <w:b/>
                <w:bCs/>
                <w:color w:val="1E1444"/>
                <w:szCs w:val="24"/>
                <w:shd w:val="clear" w:color="auto" w:fill="auto"/>
                <w:lang w:val="en-GB" w:eastAsia="en-AU"/>
              </w:rPr>
            </w:pPr>
            <w:hyperlink r:id="rId148" w:history="1">
              <w:r w:rsidRPr="00FF53F4">
                <w:rPr>
                  <w:rStyle w:val="Hyperlink"/>
                </w:rPr>
                <w:t>https://www.health.gov.au/resources/collections/registered-supporter-resources</w:t>
              </w:r>
            </w:hyperlink>
            <w:r>
              <w:t>.</w:t>
            </w:r>
          </w:p>
        </w:tc>
      </w:tr>
    </w:tbl>
    <w:p w14:paraId="654F9C26" w14:textId="66C9FFE8" w:rsidR="007A743C" w:rsidRDefault="007A743C" w:rsidP="00A677C9">
      <w:pPr>
        <w:spacing w:before="240" w:after="240" w:line="240" w:lineRule="auto"/>
      </w:pPr>
      <w:r w:rsidRPr="006A1F4A">
        <w:rPr>
          <w:lang w:eastAsia="ko-KR"/>
        </w:rPr>
        <w:t xml:space="preserve">If, in submitting a request to register a supporter who is also an appointed decision maker for the older person, </w:t>
      </w:r>
      <w:r w:rsidR="00DE704B">
        <w:rPr>
          <w:lang w:eastAsia="ko-KR"/>
        </w:rPr>
        <w:t>proof of legal decision-making authority</w:t>
      </w:r>
      <w:r w:rsidRPr="006A1F4A">
        <w:rPr>
          <w:lang w:eastAsia="ko-KR"/>
        </w:rPr>
        <w:t xml:space="preserve"> cannot be obtained, advise the pending </w:t>
      </w:r>
      <w:r>
        <w:rPr>
          <w:lang w:eastAsia="ko-KR"/>
        </w:rPr>
        <w:t xml:space="preserve">registered </w:t>
      </w:r>
      <w:r w:rsidRPr="006A1F4A">
        <w:rPr>
          <w:lang w:eastAsia="ko-KR"/>
        </w:rPr>
        <w:t xml:space="preserve">supporter to provide the required </w:t>
      </w:r>
      <w:r w:rsidR="000E0BD7">
        <w:rPr>
          <w:lang w:eastAsia="ko-KR"/>
        </w:rPr>
        <w:t>proof, including any legal or medical documentation</w:t>
      </w:r>
      <w:r w:rsidR="000E0BD7" w:rsidRPr="006A1F4A">
        <w:rPr>
          <w:lang w:eastAsia="ko-KR"/>
        </w:rPr>
        <w:t xml:space="preserve"> </w:t>
      </w:r>
      <w:r w:rsidRPr="006A1F4A">
        <w:rPr>
          <w:lang w:eastAsia="ko-KR"/>
        </w:rPr>
        <w:t xml:space="preserve">to </w:t>
      </w:r>
      <w:r>
        <w:rPr>
          <w:lang w:eastAsia="ko-KR"/>
        </w:rPr>
        <w:t xml:space="preserve">the </w:t>
      </w:r>
      <w:r w:rsidR="000E0BD7">
        <w:rPr>
          <w:lang w:eastAsia="ko-KR"/>
        </w:rPr>
        <w:t xml:space="preserve">delegate </w:t>
      </w:r>
      <w:r>
        <w:rPr>
          <w:lang w:eastAsia="ko-KR"/>
        </w:rPr>
        <w:t xml:space="preserve">team responsible for registered supporters. </w:t>
      </w:r>
      <w:r w:rsidRPr="006A1F4A">
        <w:rPr>
          <w:lang w:eastAsia="ko-KR"/>
        </w:rPr>
        <w:t>Th</w:t>
      </w:r>
      <w:r>
        <w:rPr>
          <w:lang w:eastAsia="ko-KR"/>
        </w:rPr>
        <w:t>is team</w:t>
      </w:r>
      <w:r w:rsidRPr="006A1F4A">
        <w:rPr>
          <w:lang w:eastAsia="ko-KR"/>
        </w:rPr>
        <w:t xml:space="preserve"> will process the documents and if validated, register the relationship. </w:t>
      </w:r>
    </w:p>
    <w:p w14:paraId="3A264A3A" w14:textId="7D851BA3" w:rsidR="007A743C" w:rsidRDefault="007A743C" w:rsidP="00507F9D">
      <w:pPr>
        <w:pStyle w:val="h2"/>
      </w:pPr>
      <w:bookmarkStart w:id="392" w:name="_Toc209188985"/>
      <w:bookmarkStart w:id="393" w:name="_Toc224916646"/>
      <w:r>
        <w:t>Undertaking an assessment using the Integrated Assessment Tool</w:t>
      </w:r>
      <w:bookmarkEnd w:id="392"/>
      <w:bookmarkEnd w:id="393"/>
    </w:p>
    <w:p w14:paraId="463CA34F" w14:textId="0372FA6F" w:rsidR="007A743C" w:rsidRPr="00384953" w:rsidRDefault="6FEDC61C" w:rsidP="00A677C9">
      <w:pPr>
        <w:spacing w:before="240" w:after="240" w:line="240" w:lineRule="auto"/>
      </w:pPr>
      <w:r w:rsidRPr="00B1AE3A">
        <w:rPr>
          <w:rFonts w:eastAsia="Arial"/>
        </w:rPr>
        <w:t>The assessment starts with getting the older person’s consent. Consent from the older person, or their active, appointed decision maker is recorded on the IAT.</w:t>
      </w:r>
      <w:r w:rsidR="009F1603">
        <w:rPr>
          <w:rFonts w:eastAsia="Arial"/>
        </w:rPr>
        <w:t xml:space="preserve"> </w:t>
      </w:r>
      <w:r w:rsidR="007A743C" w:rsidRPr="00384953">
        <w:t xml:space="preserve">The IAT is an assessment tool that has been designed to support skilled assessors to </w:t>
      </w:r>
      <w:r w:rsidR="002B7393">
        <w:t>assess</w:t>
      </w:r>
      <w:r w:rsidR="002B7393" w:rsidRPr="00384953">
        <w:t xml:space="preserve"> </w:t>
      </w:r>
      <w:r w:rsidR="007A743C" w:rsidRPr="00384953">
        <w:t>a client’s aged care needs. It comprises questions across social, physical, medical, cognitive, and psychological domains as well as home and personal safety, risk of vulnerability and support considerations.</w:t>
      </w:r>
    </w:p>
    <w:p w14:paraId="1F51EC1C" w14:textId="77777777" w:rsidR="007A743C" w:rsidRDefault="007A743C" w:rsidP="00A677C9">
      <w:pPr>
        <w:spacing w:before="240" w:after="240" w:line="240" w:lineRule="auto"/>
      </w:pPr>
      <w:r w:rsidRPr="00837AC1">
        <w:t>The assessment component of the IAT is divided into twelve sections</w:t>
      </w:r>
      <w:r>
        <w:t>. Some</w:t>
      </w:r>
      <w:r w:rsidRPr="001D273D">
        <w:t xml:space="preserve"> sections of the IAT contain nested questions</w:t>
      </w:r>
      <w:r>
        <w:t xml:space="preserve"> to tailor assessments, only diving deeper into areas where needed. This means that some question sets or validated tools in the IAT will only display to the assessor if certain answers are selected to the question directly proceeding it.</w:t>
      </w:r>
      <w:r w:rsidRPr="00FA2EAF">
        <w:t xml:space="preserve"> </w:t>
      </w:r>
      <w:r w:rsidRPr="00C51C8F">
        <w:t xml:space="preserve">The IAT integrates </w:t>
      </w:r>
      <w:r>
        <w:t>eleven</w:t>
      </w:r>
      <w:r w:rsidRPr="00C51C8F">
        <w:t xml:space="preserve"> validated tools directly into the assessment process, enhancing the depth and clinical relevance of the assessment</w:t>
      </w:r>
      <w:r>
        <w:t>.</w:t>
      </w:r>
    </w:p>
    <w:p w14:paraId="24DBC2EB" w14:textId="4B4B68BA" w:rsidR="007A743C" w:rsidRDefault="007A743C" w:rsidP="00A677C9">
      <w:pPr>
        <w:spacing w:before="240" w:after="240" w:line="240" w:lineRule="auto"/>
        <w:rPr>
          <w:lang w:val="en-US"/>
        </w:rPr>
      </w:pPr>
      <w:r w:rsidRPr="002C5590">
        <w:rPr>
          <w:lang w:val="en-US"/>
        </w:rPr>
        <w:t xml:space="preserve">Assessors may wish to use assessment tools not included in the Validated Assessment </w:t>
      </w:r>
      <w:r w:rsidR="000C1718">
        <w:rPr>
          <w:lang w:val="en-US"/>
        </w:rPr>
        <w:t>T</w:t>
      </w:r>
      <w:r w:rsidRPr="002C5590">
        <w:rPr>
          <w:lang w:val="en-US"/>
        </w:rPr>
        <w:t xml:space="preserve">ools within the IAT to enhance assessment and strengthen objective evidence for </w:t>
      </w:r>
      <w:r>
        <w:rPr>
          <w:lang w:val="en-US"/>
        </w:rPr>
        <w:t xml:space="preserve">an </w:t>
      </w:r>
      <w:r w:rsidRPr="002C5590">
        <w:rPr>
          <w:lang w:val="en-US"/>
        </w:rPr>
        <w:t>assessment recommendation</w:t>
      </w:r>
      <w:r>
        <w:rPr>
          <w:lang w:val="en-US"/>
        </w:rPr>
        <w:t>(</w:t>
      </w:r>
      <w:r w:rsidRPr="002C5590">
        <w:rPr>
          <w:lang w:val="en-US"/>
        </w:rPr>
        <w:t>s</w:t>
      </w:r>
      <w:r>
        <w:rPr>
          <w:lang w:val="en-US"/>
        </w:rPr>
        <w:t>)</w:t>
      </w:r>
      <w:r w:rsidRPr="002C5590">
        <w:rPr>
          <w:lang w:val="en-US"/>
        </w:rPr>
        <w:t xml:space="preserve">. </w:t>
      </w:r>
      <w:r>
        <w:rPr>
          <w:lang w:val="en-US"/>
        </w:rPr>
        <w:t>T</w:t>
      </w:r>
      <w:r w:rsidRPr="002C5590">
        <w:rPr>
          <w:lang w:val="en-US"/>
        </w:rPr>
        <w:t>his is at the discretion of the assessment organisation.</w:t>
      </w:r>
      <w:r>
        <w:rPr>
          <w:lang w:val="en-US"/>
        </w:rPr>
        <w:t xml:space="preserve"> </w:t>
      </w:r>
      <w:r w:rsidRPr="00D12537">
        <w:rPr>
          <w:lang w:val="en-AU"/>
        </w:rPr>
        <w:t xml:space="preserve">Each assessment organisation is responsible for providing their assessment staff with training on how to use these tools. General information about each tool is provided in assessor induction training but additional training is recommended to make sure each assessor understands the results from each validated tool. </w:t>
      </w:r>
    </w:p>
    <w:p w14:paraId="1DD1758F" w14:textId="5463CDF5" w:rsidR="007A743C" w:rsidRDefault="007A743C" w:rsidP="00A677C9">
      <w:pPr>
        <w:spacing w:before="240" w:after="240" w:line="240" w:lineRule="auto"/>
        <w:rPr>
          <w:lang w:val="en-US"/>
        </w:rPr>
      </w:pPr>
      <w:r>
        <w:t xml:space="preserve">The IAT includes decision support rules to assist assessors to make recommendations for the type of support an older person requires based on the older person’s responses to relevant questions. </w:t>
      </w:r>
    </w:p>
    <w:p w14:paraId="29E08B1F" w14:textId="46FB8BF5" w:rsidR="009F1603" w:rsidRDefault="009F1603" w:rsidP="00A677C9">
      <w:pPr>
        <w:spacing w:before="240" w:after="240" w:line="240" w:lineRule="auto"/>
      </w:pPr>
      <w:r w:rsidRPr="005E4E0E">
        <w:rPr>
          <w:bCs/>
          <w:noProof/>
        </w:rPr>
        <w:drawing>
          <wp:anchor distT="0" distB="0" distL="114300" distR="114300" simplePos="0" relativeHeight="251658296" behindDoc="0" locked="0" layoutInCell="1" allowOverlap="1" wp14:anchorId="3328E2B7" wp14:editId="2F9DE517">
            <wp:simplePos x="0" y="0"/>
            <wp:positionH relativeFrom="margin">
              <wp:posOffset>145415</wp:posOffset>
            </wp:positionH>
            <wp:positionV relativeFrom="paragraph">
              <wp:posOffset>176030</wp:posOffset>
            </wp:positionV>
            <wp:extent cx="457200" cy="502920"/>
            <wp:effectExtent l="0" t="0" r="0" b="0"/>
            <wp:wrapSquare wrapText="bothSides"/>
            <wp:docPr id="1250303899" name="Picture 125030389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0797ADAB" w14:textId="77777777" w:rsidR="007A743C" w:rsidRDefault="007A743C" w:rsidP="00A677C9">
      <w:pPr>
        <w:spacing w:before="240" w:after="240" w:line="240" w:lineRule="auto"/>
      </w:pPr>
      <w:r>
        <w:t>In completing the IAT, the assessment information should include:</w:t>
      </w:r>
    </w:p>
    <w:p w14:paraId="60EE2DDE" w14:textId="77777777" w:rsidR="007A743C" w:rsidRDefault="007A743C" w:rsidP="00DF3F6B">
      <w:pPr>
        <w:pStyle w:val="ListParagraph"/>
        <w:numPr>
          <w:ilvl w:val="0"/>
          <w:numId w:val="90"/>
        </w:numPr>
        <w:spacing w:before="240" w:after="240" w:line="240" w:lineRule="auto"/>
        <w:rPr>
          <w:lang w:val="en-US"/>
        </w:rPr>
      </w:pPr>
      <w:r w:rsidRPr="699BB344">
        <w:rPr>
          <w:lang w:val="en-US"/>
        </w:rPr>
        <w:t>evidence that the assessor has explored the older person’s own supports and/or non-funded services (e.g., state and local government programs, private services) as options to help maintain their independence.</w:t>
      </w:r>
    </w:p>
    <w:p w14:paraId="0BF5108C" w14:textId="567B0D6F" w:rsidR="027C059F" w:rsidRDefault="027C059F" w:rsidP="3FD93375">
      <w:pPr>
        <w:pStyle w:val="ListParagraph"/>
        <w:numPr>
          <w:ilvl w:val="0"/>
          <w:numId w:val="90"/>
        </w:numPr>
        <w:spacing w:before="240" w:after="240" w:line="240" w:lineRule="auto"/>
        <w:rPr>
          <w:rFonts w:eastAsia="Arial"/>
          <w:szCs w:val="22"/>
          <w:lang w:val="en-US"/>
        </w:rPr>
      </w:pPr>
      <w:r w:rsidRPr="3FD93375">
        <w:rPr>
          <w:rFonts w:eastAsia="Arial"/>
          <w:szCs w:val="22"/>
          <w:lang w:val="en-US"/>
        </w:rPr>
        <w:t xml:space="preserve">evidence that the assessor has explored, observed and understands the older person’s needs, concerns, strengths and goals to justify the assessor’s recommendations for all </w:t>
      </w:r>
      <w:r w:rsidR="006020DA">
        <w:rPr>
          <w:rFonts w:eastAsia="Arial"/>
          <w:szCs w:val="22"/>
          <w:lang w:val="en-US"/>
        </w:rPr>
        <w:t>a</w:t>
      </w:r>
      <w:r w:rsidRPr="3FD93375">
        <w:rPr>
          <w:rFonts w:eastAsia="Arial"/>
          <w:szCs w:val="22"/>
          <w:lang w:val="en-US"/>
        </w:rPr>
        <w:t xml:space="preserve">ged </w:t>
      </w:r>
      <w:r w:rsidR="006020DA">
        <w:rPr>
          <w:rFonts w:eastAsia="Arial"/>
          <w:szCs w:val="22"/>
          <w:lang w:val="en-US"/>
        </w:rPr>
        <w:t>c</w:t>
      </w:r>
      <w:r w:rsidRPr="3FD93375">
        <w:rPr>
          <w:rFonts w:eastAsia="Arial"/>
          <w:szCs w:val="22"/>
          <w:lang w:val="en-US"/>
        </w:rPr>
        <w:t>are services.</w:t>
      </w:r>
    </w:p>
    <w:p w14:paraId="2C62990F" w14:textId="77777777" w:rsidR="007A743C" w:rsidRDefault="007A743C" w:rsidP="00DF3F6B">
      <w:pPr>
        <w:pStyle w:val="ListParagraph"/>
        <w:numPr>
          <w:ilvl w:val="0"/>
          <w:numId w:val="90"/>
        </w:numPr>
        <w:spacing w:before="240" w:after="240" w:line="240" w:lineRule="auto"/>
        <w:rPr>
          <w:lang w:val="en-US"/>
        </w:rPr>
      </w:pPr>
      <w:r w:rsidRPr="699BB344">
        <w:rPr>
          <w:lang w:val="en-US"/>
        </w:rPr>
        <w:t xml:space="preserve">evidence of supporting an older person’s communication or support person needs. </w:t>
      </w:r>
    </w:p>
    <w:p w14:paraId="5D968E24" w14:textId="77777777" w:rsidR="007A743C" w:rsidRDefault="007A743C" w:rsidP="00DF3F6B">
      <w:pPr>
        <w:pStyle w:val="ListParagraph"/>
        <w:numPr>
          <w:ilvl w:val="0"/>
          <w:numId w:val="90"/>
        </w:numPr>
        <w:spacing w:before="240" w:after="240" w:line="240" w:lineRule="auto"/>
        <w:rPr>
          <w:lang w:val="en-US"/>
        </w:rPr>
      </w:pPr>
      <w:r w:rsidRPr="699BB344">
        <w:rPr>
          <w:lang w:val="en-US"/>
        </w:rPr>
        <w:t>a completed ‘Support Considerations’ section to demonstrate an understanding of what is important for the older person in regard to how support is provided, such as the below list (note some of these may be sensitive topics):</w:t>
      </w:r>
    </w:p>
    <w:p w14:paraId="73D7F608" w14:textId="77777777" w:rsidR="007A743C" w:rsidRDefault="007A743C" w:rsidP="00DF3F6B">
      <w:pPr>
        <w:pStyle w:val="ListParagraph"/>
        <w:numPr>
          <w:ilvl w:val="1"/>
          <w:numId w:val="90"/>
        </w:numPr>
        <w:spacing w:before="240" w:after="240" w:line="240" w:lineRule="auto"/>
        <w:rPr>
          <w:lang w:val="en"/>
        </w:rPr>
      </w:pPr>
      <w:r w:rsidRPr="699BB344">
        <w:rPr>
          <w:lang w:val="en"/>
        </w:rPr>
        <w:t>any cultural and/or religious values and beliefs</w:t>
      </w:r>
    </w:p>
    <w:p w14:paraId="3F0693E2" w14:textId="77777777" w:rsidR="007A743C" w:rsidRDefault="007A743C" w:rsidP="00DF3F6B">
      <w:pPr>
        <w:pStyle w:val="ListParagraph"/>
        <w:numPr>
          <w:ilvl w:val="1"/>
          <w:numId w:val="90"/>
        </w:numPr>
        <w:spacing w:before="240" w:after="240" w:line="240" w:lineRule="auto"/>
        <w:rPr>
          <w:lang w:val="en"/>
        </w:rPr>
      </w:pPr>
      <w:r w:rsidRPr="699BB344">
        <w:rPr>
          <w:lang w:val="en"/>
        </w:rPr>
        <w:t>gender identity or sexual orientation/sexuality or experience of discrimination</w:t>
      </w:r>
    </w:p>
    <w:p w14:paraId="7A640C0E" w14:textId="77777777" w:rsidR="007A743C" w:rsidRDefault="007A743C" w:rsidP="00DF3F6B">
      <w:pPr>
        <w:pStyle w:val="ListParagraph"/>
        <w:numPr>
          <w:ilvl w:val="1"/>
          <w:numId w:val="90"/>
        </w:numPr>
        <w:spacing w:before="240" w:after="240" w:line="240" w:lineRule="auto"/>
        <w:rPr>
          <w:lang w:val="en"/>
        </w:rPr>
      </w:pPr>
      <w:r w:rsidRPr="699BB344">
        <w:rPr>
          <w:lang w:val="en"/>
        </w:rPr>
        <w:t>history of childhood experiences</w:t>
      </w:r>
    </w:p>
    <w:p w14:paraId="6B2F75CF" w14:textId="516E995E" w:rsidR="007A743C" w:rsidRDefault="1497D884" w:rsidP="00DF3F6B">
      <w:pPr>
        <w:pStyle w:val="ListParagraph"/>
        <w:numPr>
          <w:ilvl w:val="1"/>
          <w:numId w:val="90"/>
        </w:numPr>
        <w:spacing w:before="240" w:after="240" w:line="240" w:lineRule="auto"/>
        <w:rPr>
          <w:lang w:val="en"/>
        </w:rPr>
      </w:pPr>
      <w:r w:rsidRPr="4AD41728">
        <w:rPr>
          <w:lang w:val="en"/>
        </w:rPr>
        <w:t>l</w:t>
      </w:r>
      <w:r w:rsidR="007A743C" w:rsidRPr="4AD41728">
        <w:rPr>
          <w:lang w:val="en"/>
        </w:rPr>
        <w:t>ife</w:t>
      </w:r>
      <w:r w:rsidR="007A743C" w:rsidRPr="699BB344">
        <w:rPr>
          <w:lang w:val="en"/>
        </w:rPr>
        <w:t xml:space="preserve"> experiences including traumatic events and associated triggers</w:t>
      </w:r>
    </w:p>
    <w:p w14:paraId="16C788CD" w14:textId="77777777" w:rsidR="007A743C" w:rsidRDefault="007A743C" w:rsidP="00DF3F6B">
      <w:pPr>
        <w:pStyle w:val="ListParagraph"/>
        <w:numPr>
          <w:ilvl w:val="1"/>
          <w:numId w:val="90"/>
        </w:numPr>
        <w:spacing w:before="240" w:after="240" w:line="240" w:lineRule="auto"/>
        <w:rPr>
          <w:lang w:val="en-US"/>
        </w:rPr>
      </w:pPr>
      <w:r w:rsidRPr="699BB344">
        <w:rPr>
          <w:lang w:val="en-US"/>
        </w:rPr>
        <w:t>other relevant information relating to parole conditions or other information that should be sensitively discussed with the older person when developing the Support Plan and that providers should be aware of</w:t>
      </w:r>
      <w:r>
        <w:rPr>
          <w:lang w:val="en-US"/>
        </w:rPr>
        <w:t>.</w:t>
      </w:r>
    </w:p>
    <w:p w14:paraId="7FD7EB06" w14:textId="77777777" w:rsidR="007A743C" w:rsidRDefault="007A743C" w:rsidP="00A677C9">
      <w:pPr>
        <w:spacing w:before="240" w:after="240" w:line="240" w:lineRule="auto"/>
      </w:pPr>
      <w:r>
        <w:t xml:space="preserve">The </w:t>
      </w:r>
      <w:hyperlink r:id="rId149">
        <w:r w:rsidRPr="017FF414">
          <w:rPr>
            <w:rStyle w:val="Hyperlink"/>
          </w:rPr>
          <w:t>IAT User Guide</w:t>
        </w:r>
      </w:hyperlink>
      <w:r>
        <w:t xml:space="preserve"> provides assessors with further advice about each question in the IAT and possible answers. </w:t>
      </w:r>
      <w:r w:rsidRPr="00717E08" w:rsidDel="002561D1">
        <w:t>Assessors must refer to the</w:t>
      </w:r>
      <w:r>
        <w:t xml:space="preserve"> </w:t>
      </w:r>
      <w:hyperlink r:id="rId150">
        <w:r w:rsidRPr="19ECD6C9">
          <w:rPr>
            <w:rStyle w:val="Hyperlink"/>
          </w:rPr>
          <w:t>IAT User Guide</w:t>
        </w:r>
      </w:hyperlink>
      <w:r w:rsidRPr="00717E08" w:rsidDel="002561D1">
        <w:t xml:space="preserve"> to ensure </w:t>
      </w:r>
      <w:r>
        <w:t>accuracy</w:t>
      </w:r>
      <w:r w:rsidRPr="00717E08" w:rsidDel="002561D1">
        <w:t xml:space="preserve"> in the use of the </w:t>
      </w:r>
      <w:r>
        <w:t>IAT</w:t>
      </w:r>
      <w:r w:rsidRPr="00717E08" w:rsidDel="002561D1">
        <w:t xml:space="preserve"> and in the delivery of </w:t>
      </w:r>
      <w:r w:rsidDel="002561D1">
        <w:t>high</w:t>
      </w:r>
      <w:r>
        <w:t>-</w:t>
      </w:r>
      <w:r w:rsidDel="002561D1">
        <w:t xml:space="preserve">quality </w:t>
      </w:r>
      <w:r>
        <w:t>a</w:t>
      </w:r>
      <w:r w:rsidRPr="00717E08" w:rsidDel="002561D1">
        <w:t>ssessments.</w:t>
      </w:r>
      <w:r w:rsidRPr="00E6250F">
        <w:t xml:space="preserve"> </w:t>
      </w:r>
    </w:p>
    <w:p w14:paraId="19603B1F" w14:textId="2A1056AC" w:rsidR="007A743C" w:rsidRDefault="007A743C" w:rsidP="00A677C9">
      <w:pPr>
        <w:spacing w:before="240" w:after="240" w:line="240" w:lineRule="auto"/>
      </w:pPr>
      <w:r>
        <w:t>A</w:t>
      </w:r>
      <w:r w:rsidRPr="00880B95">
        <w:t>ll mandatory questions must be completed</w:t>
      </w:r>
      <w:r>
        <w:t>,</w:t>
      </w:r>
      <w:r w:rsidRPr="00880B95">
        <w:t xml:space="preserve"> and </w:t>
      </w:r>
      <w:r>
        <w:t xml:space="preserve">it is best practice that the older person’s concerns and goals are added before finalising </w:t>
      </w:r>
      <w:r w:rsidRPr="00880B95">
        <w:t>the IAT</w:t>
      </w:r>
      <w:r>
        <w:t>. The assessor then selects</w:t>
      </w:r>
      <w:r w:rsidRPr="00880B95">
        <w:t xml:space="preserve"> ‘Finalise IAT’ before moving to the support plan. This is so the </w:t>
      </w:r>
      <w:r w:rsidR="002229BA">
        <w:t xml:space="preserve">IAT Classification </w:t>
      </w:r>
      <w:r w:rsidR="00AF6709">
        <w:t>Algorithm</w:t>
      </w:r>
      <w:r w:rsidR="00E1636B">
        <w:t xml:space="preserve"> can generate an </w:t>
      </w:r>
      <w:r w:rsidR="00897405">
        <w:t xml:space="preserve">ongoing </w:t>
      </w:r>
      <w:r w:rsidR="00897405" w:rsidRPr="00880B95">
        <w:t>home</w:t>
      </w:r>
      <w:r>
        <w:t xml:space="preserve"> support classification</w:t>
      </w:r>
      <w:r w:rsidR="00AD4F23">
        <w:t xml:space="preserve"> level (IAT Outcome in the system</w:t>
      </w:r>
      <w:r w:rsidR="00E74902">
        <w:t>),</w:t>
      </w:r>
      <w:r>
        <w:t xml:space="preserve"> which may be a </w:t>
      </w:r>
      <w:r w:rsidRPr="00880B95">
        <w:t>Support at Home class</w:t>
      </w:r>
      <w:r>
        <w:t>ification</w:t>
      </w:r>
      <w:r w:rsidRPr="00880B95">
        <w:t xml:space="preserve"> or CHSP</w:t>
      </w:r>
      <w:r>
        <w:t xml:space="preserve">. </w:t>
      </w:r>
      <w:r w:rsidR="004B1D77">
        <w:t>A</w:t>
      </w:r>
      <w:r>
        <w:t xml:space="preserve"> classification level recommendation must be made for people who choose to access services through the MPSP or NATISFACP</w:t>
      </w:r>
      <w:r w:rsidRPr="00880B95">
        <w:t xml:space="preserve">. </w:t>
      </w:r>
    </w:p>
    <w:p w14:paraId="1BC8C425" w14:textId="54D41475" w:rsidR="007A743C" w:rsidRPr="00880B95" w:rsidRDefault="007A743C" w:rsidP="00A677C9">
      <w:pPr>
        <w:spacing w:before="240" w:after="240" w:line="240" w:lineRule="auto"/>
      </w:pPr>
      <w:r w:rsidRPr="00880B95">
        <w:t xml:space="preserve">If the IAT has not been finalised, the IAT outcome and classification will not be displayed. The assessor will not be able to recommend </w:t>
      </w:r>
      <w:r>
        <w:t xml:space="preserve">the person for funded aged care </w:t>
      </w:r>
      <w:r w:rsidRPr="00880B95">
        <w:t xml:space="preserve">services. </w:t>
      </w:r>
    </w:p>
    <w:p w14:paraId="0924AAB4" w14:textId="77777777" w:rsidR="005C0E40" w:rsidRDefault="007A743C" w:rsidP="00A677C9">
      <w:pPr>
        <w:spacing w:before="240" w:after="240" w:line="240" w:lineRule="auto"/>
      </w:pPr>
      <w:r>
        <w:t xml:space="preserve">Aboriginal and Torres Strait Islander assessment organisations will be required to use the IAT to conduct assessments and must do so in a way that is culturally safe for the region or older person. </w:t>
      </w:r>
      <w:r w:rsidR="005C0E40">
        <w:t>Assessors may conduct the assessment without a device. In such cases, the assessor should upload the information into the IAT when the assessment is completed. Assessors may also be able to make inferences from the yarn to complete the IAT.</w:t>
      </w:r>
    </w:p>
    <w:p w14:paraId="0019758B" w14:textId="72084313" w:rsidR="007A743C" w:rsidRPr="00282961" w:rsidRDefault="005C0E40" w:rsidP="00A677C9">
      <w:pPr>
        <w:spacing w:before="240" w:after="240" w:line="240" w:lineRule="auto"/>
        <w:rPr>
          <w:lang w:val="en-AU"/>
        </w:rPr>
      </w:pPr>
      <w:r>
        <w:t xml:space="preserve">Use the validated culturally appropriate assessment tools as needed (see the </w:t>
      </w:r>
      <w:hyperlink r:id="rId151" w:history="1">
        <w:r w:rsidRPr="002C04D6">
          <w:rPr>
            <w:rStyle w:val="Hyperlink"/>
          </w:rPr>
          <w:t>IAT User Guide</w:t>
        </w:r>
      </w:hyperlink>
      <w:r>
        <w:t xml:space="preserve"> for more information). </w:t>
      </w:r>
    </w:p>
    <w:p w14:paraId="6412C46D" w14:textId="77777777" w:rsidR="00282961" w:rsidRPr="0020239B" w:rsidRDefault="007A743C" w:rsidP="00C325C6">
      <w:pPr>
        <w:pStyle w:val="Sub-headings"/>
      </w:pPr>
      <w:r w:rsidRPr="0020239B">
        <w:t>Note</w:t>
      </w:r>
      <w:r w:rsidR="00282961" w:rsidRPr="0020239B">
        <w:t>:</w:t>
      </w:r>
    </w:p>
    <w:p w14:paraId="6BBF0E84" w14:textId="1EEF9617" w:rsidR="007A743C" w:rsidRPr="0020239B" w:rsidRDefault="00282961" w:rsidP="00C325C6">
      <w:pPr>
        <w:pStyle w:val="Sub-headings"/>
      </w:pPr>
      <w:r w:rsidRPr="0020239B">
        <w:t>F</w:t>
      </w:r>
      <w:r w:rsidR="007A743C" w:rsidRPr="0020239B">
        <w:t xml:space="preserve">or End-of-Life Pathway assessments, only mandatory questions that are required to run the IAT </w:t>
      </w:r>
      <w:r w:rsidR="00815BEA" w:rsidRPr="0020239B">
        <w:t>Outcome</w:t>
      </w:r>
      <w:r w:rsidR="007A743C" w:rsidRPr="0020239B">
        <w:t xml:space="preserve"> and generate a classification are required to be completed. This is to ensure the older person has a valid classification to return to if they need services beyond the End-of-Life Pathway funding period. Other questions are optional based on the individual’s needs and context.</w:t>
      </w:r>
    </w:p>
    <w:p w14:paraId="6896298E" w14:textId="77777777" w:rsidR="00FF216E" w:rsidRDefault="00FF216E" w:rsidP="00FF216E"/>
    <w:p w14:paraId="6D1FA90E" w14:textId="3652B171" w:rsidR="00FF216E" w:rsidRDefault="00FF216E" w:rsidP="00C325C6">
      <w:pPr>
        <w:pStyle w:val="Sub-headings"/>
      </w:pPr>
      <w:r w:rsidRPr="00BC1A4D">
        <w:t>Important</w:t>
      </w:r>
      <w:r>
        <w:t>:</w:t>
      </w:r>
      <w:r w:rsidRPr="003E1933">
        <w:t xml:space="preserve"> </w:t>
      </w:r>
    </w:p>
    <w:p w14:paraId="72A57200" w14:textId="77777777" w:rsidR="00FF216E" w:rsidRDefault="00FF216E" w:rsidP="00C325C6">
      <w:pPr>
        <w:pStyle w:val="Sub-headings"/>
      </w:pPr>
      <w:r>
        <w:t>Under</w:t>
      </w:r>
      <w:r w:rsidRPr="005F4956">
        <w:t xml:space="preserve"> Support at Home, individuals who are care leavers are eligible for a care management supplement which will be credited to their provider's care management account. </w:t>
      </w:r>
    </w:p>
    <w:p w14:paraId="50135AC4" w14:textId="77777777" w:rsidR="00FF216E" w:rsidRDefault="00FF216E" w:rsidP="00C325C6">
      <w:pPr>
        <w:pStyle w:val="Sub-headings"/>
      </w:pPr>
      <w:r w:rsidRPr="6749E651">
        <w:t>To</w:t>
      </w:r>
      <w:r w:rsidRPr="005F4956">
        <w:t xml:space="preserve"> identify individuals who are eligible for a care management supplement during the assessment, assessors must use the diversity fields in the IAT, which do not currently capture care leavers. </w:t>
      </w:r>
    </w:p>
    <w:p w14:paraId="118DF948" w14:textId="77777777" w:rsidR="00FF216E" w:rsidRDefault="00FF216E" w:rsidP="00C325C6">
      <w:pPr>
        <w:pStyle w:val="Sub-headings"/>
      </w:pPr>
      <w:r w:rsidRPr="005F4956">
        <w:t xml:space="preserve">Assessors who have identified individuals who are care leavers during the assessment should select the diversity field 'a person separated from your parents or children by forced adoption or removal'. </w:t>
      </w:r>
    </w:p>
    <w:p w14:paraId="5C5227D3" w14:textId="0EA0FE19" w:rsidR="00FF216E" w:rsidRPr="00F94AEC" w:rsidRDefault="00FF216E" w:rsidP="00C325C6">
      <w:pPr>
        <w:pStyle w:val="Sub-headings"/>
      </w:pPr>
      <w:r w:rsidRPr="005F4956">
        <w:t>This will ensure Services Australia is able to identify these individuals from the assessment and apply a care management supplement to their provider's care management account. Refer to the Support at Home Program Manual for more information on care management supplements</w:t>
      </w:r>
    </w:p>
    <w:tbl>
      <w:tblPr>
        <w:tblStyle w:val="TableGrid"/>
        <w:tblW w:w="0" w:type="auto"/>
        <w:tblLook w:val="04A0" w:firstRow="1" w:lastRow="0" w:firstColumn="1" w:lastColumn="0" w:noHBand="0" w:noVBand="1"/>
      </w:tblPr>
      <w:tblGrid>
        <w:gridCol w:w="845"/>
        <w:gridCol w:w="7921"/>
      </w:tblGrid>
      <w:tr w:rsidR="007A743C" w14:paraId="374607AC" w14:textId="77777777">
        <w:trPr>
          <w:trHeight w:val="300"/>
        </w:trPr>
        <w:tc>
          <w:tcPr>
            <w:tcW w:w="846" w:type="dxa"/>
          </w:tcPr>
          <w:p w14:paraId="1B9CC090"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2CF4B423" wp14:editId="42AF67B9">
                  <wp:extent cx="383111" cy="381000"/>
                  <wp:effectExtent l="0" t="0" r="0" b="0"/>
                  <wp:docPr id="1274114140" name="Picture 127411414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1FFFC8C" w14:textId="77777777" w:rsidR="002364CD" w:rsidRDefault="002364CD" w:rsidP="00A677C9">
            <w:pPr>
              <w:pStyle w:val="NormalText"/>
              <w:spacing w:before="240" w:after="240" w:line="240" w:lineRule="auto"/>
            </w:pPr>
          </w:p>
          <w:p w14:paraId="67941712"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hyperlink r:id="rId152">
              <w:r w:rsidRPr="19ECD6C9">
                <w:rPr>
                  <w:rStyle w:val="Hyperlink"/>
                </w:rPr>
                <w:t>IAT User Guide</w:t>
              </w:r>
            </w:hyperlink>
          </w:p>
        </w:tc>
      </w:tr>
    </w:tbl>
    <w:p w14:paraId="14A12E2C" w14:textId="77777777" w:rsidR="007A743C" w:rsidRPr="00BD7C67" w:rsidRDefault="007A743C" w:rsidP="00C56CEC">
      <w:pPr>
        <w:pStyle w:val="H3"/>
        <w:rPr>
          <w:color w:val="1E1444"/>
        </w:rPr>
      </w:pPr>
      <w:bookmarkStart w:id="394" w:name="_Toc184026576"/>
      <w:bookmarkStart w:id="395" w:name="_Toc184402295"/>
      <w:bookmarkStart w:id="396" w:name="_Toc204329550"/>
      <w:bookmarkStart w:id="397" w:name="_Toc184026577"/>
      <w:bookmarkStart w:id="398" w:name="_Toc184402296"/>
      <w:r w:rsidRPr="00BD7C67">
        <w:t>Clinical attendance</w:t>
      </w:r>
      <w:bookmarkEnd w:id="394"/>
      <w:bookmarkEnd w:id="395"/>
      <w:bookmarkEnd w:id="396"/>
      <w:r w:rsidRPr="00BD7C67">
        <w:t xml:space="preserve"> </w:t>
      </w:r>
    </w:p>
    <w:p w14:paraId="06751BEA" w14:textId="77777777" w:rsidR="007A743C" w:rsidRPr="007229F6" w:rsidRDefault="007A743C" w:rsidP="00A677C9">
      <w:pPr>
        <w:spacing w:before="240" w:after="240" w:line="240" w:lineRule="auto"/>
      </w:pPr>
      <w:r w:rsidRPr="007229F6">
        <w:t>All</w:t>
      </w:r>
      <w:r w:rsidRPr="002F6DA2">
        <w:t xml:space="preserve"> sections </w:t>
      </w:r>
      <w:r w:rsidRPr="007229F6">
        <w:t xml:space="preserve">of the IAT will be visible to both clinical and non-clinical assessors. </w:t>
      </w:r>
    </w:p>
    <w:p w14:paraId="55BC8FE3" w14:textId="1EA4CF08" w:rsidR="007A743C" w:rsidRPr="007229F6" w:rsidRDefault="007A743C" w:rsidP="00A677C9">
      <w:pPr>
        <w:spacing w:before="240" w:after="240" w:line="240" w:lineRule="auto"/>
      </w:pPr>
      <w:r>
        <w:t>W</w:t>
      </w:r>
      <w:r w:rsidRPr="007229F6">
        <w:t xml:space="preserve">here an assessment is initiated as a home support assessment by a non-clinical assessor and questions are triggered that require clinical </w:t>
      </w:r>
      <w:r>
        <w:t>judgement</w:t>
      </w:r>
      <w:r w:rsidRPr="007229F6">
        <w:t xml:space="preserve"> (referred to as clinical questions), the non-clinical assessor must arrange </w:t>
      </w:r>
      <w:r>
        <w:t xml:space="preserve">for </w:t>
      </w:r>
      <w:r w:rsidRPr="007229F6">
        <w:t>the attendance of a clinical assessor to</w:t>
      </w:r>
      <w:r>
        <w:t xml:space="preserve"> be involved in</w:t>
      </w:r>
      <w:r w:rsidRPr="007229F6">
        <w:t xml:space="preserve"> ask</w:t>
      </w:r>
      <w:r>
        <w:t>ing</w:t>
      </w:r>
      <w:r w:rsidRPr="007229F6">
        <w:t xml:space="preserve"> the clinical questions</w:t>
      </w:r>
      <w:r>
        <w:t xml:space="preserve"> in the IAT</w:t>
      </w:r>
      <w:r w:rsidRPr="007229F6">
        <w:t>.</w:t>
      </w:r>
      <w:r>
        <w:t xml:space="preserve"> This process is known as clinical attendance and is supported by an assessment organisation’s Clinical </w:t>
      </w:r>
      <w:r w:rsidR="00342B20">
        <w:t xml:space="preserve">Governance </w:t>
      </w:r>
      <w:r w:rsidRPr="007102E6">
        <w:t>Framework</w:t>
      </w:r>
      <w:r>
        <w:t xml:space="preserve"> (</w:t>
      </w:r>
      <w:r w:rsidRPr="007102E6">
        <w:t xml:space="preserve">see Appendix </w:t>
      </w:r>
      <w:r w:rsidR="00A061AA">
        <w:t>C</w:t>
      </w:r>
      <w:r w:rsidRPr="007102E6">
        <w:t xml:space="preserve"> for guidance</w:t>
      </w:r>
      <w:r>
        <w:t xml:space="preserve">) and standard operating procedures. </w:t>
      </w:r>
      <w:r w:rsidRPr="007229F6">
        <w:t xml:space="preserve">This process </w:t>
      </w:r>
      <w:r>
        <w:t xml:space="preserve">helps to </w:t>
      </w:r>
      <w:r w:rsidRPr="007229F6">
        <w:t>make it easier for an older person to have their needs fully assessed</w:t>
      </w:r>
      <w:r>
        <w:t xml:space="preserve"> </w:t>
      </w:r>
      <w:r w:rsidRPr="002F6DA2">
        <w:t>without delaying their assessment or having to be transferred between assessors</w:t>
      </w:r>
      <w:r w:rsidRPr="007229F6">
        <w:t xml:space="preserve">. The clinical attendance process is outlined in detail below. </w:t>
      </w:r>
    </w:p>
    <w:p w14:paraId="3DE8D3ED" w14:textId="77777777" w:rsidR="007A743C" w:rsidRPr="007229F6" w:rsidRDefault="007A743C" w:rsidP="007A743C">
      <w:pPr>
        <w:pStyle w:val="H4"/>
      </w:pPr>
      <w:r w:rsidRPr="007229F6">
        <w:t>Clinical attendance in practice</w:t>
      </w:r>
    </w:p>
    <w:p w14:paraId="28170A7C" w14:textId="1C027CE1" w:rsidR="007A743C" w:rsidRPr="007229F6" w:rsidRDefault="007A743C" w:rsidP="00A677C9">
      <w:pPr>
        <w:pStyle w:val="pf0"/>
        <w:spacing w:before="240" w:beforeAutospacing="0" w:after="240" w:afterAutospacing="0"/>
        <w:ind w:left="0"/>
        <w:rPr>
          <w:rFonts w:ascii="Arial" w:eastAsiaTheme="majorEastAsia" w:hAnsi="Arial" w:cs="Arial"/>
        </w:rPr>
      </w:pPr>
      <w:r w:rsidRPr="19ECD6C9">
        <w:rPr>
          <w:rFonts w:ascii="Arial" w:eastAsiaTheme="majorEastAsia" w:hAnsi="Arial" w:cs="Arial"/>
        </w:rPr>
        <w:t xml:space="preserve">When a non-clinical assessor triggers clinical questions in the IAT, a warning message in the </w:t>
      </w:r>
      <w:r w:rsidR="00816359">
        <w:rPr>
          <w:rFonts w:ascii="Arial" w:eastAsiaTheme="majorEastAsia" w:hAnsi="Arial" w:cs="Arial"/>
        </w:rPr>
        <w:t xml:space="preserve">My Aged Care </w:t>
      </w:r>
      <w:r w:rsidRPr="19ECD6C9">
        <w:rPr>
          <w:rFonts w:ascii="Arial" w:eastAsiaTheme="majorEastAsia" w:hAnsi="Arial" w:cs="Arial"/>
        </w:rPr>
        <w:t>Assessor Portal or Aged Care Assessor App will prompt the assessor to complete the section in accordance with their organisation’s clinical governance framework. If the assessor is using the IAT offline form, the clinical questions are colour coded in light pink.</w:t>
      </w:r>
    </w:p>
    <w:p w14:paraId="16F9F34B" w14:textId="4B4D9AA0" w:rsidR="007A743C" w:rsidRDefault="007A743C" w:rsidP="00A677C9">
      <w:pPr>
        <w:spacing w:before="240" w:after="240" w:line="240" w:lineRule="auto"/>
      </w:pPr>
      <w:r w:rsidRPr="007229F6">
        <w:t xml:space="preserve">Where clinical questions are triggered, the assessor </w:t>
      </w:r>
      <w:r>
        <w:t>must</w:t>
      </w:r>
      <w:r w:rsidRPr="007229F6">
        <w:t xml:space="preserve"> seek clinical attendance to ask the clinical questions (listed at </w:t>
      </w:r>
      <w:r w:rsidRPr="007102E6">
        <w:t xml:space="preserve">Appendix </w:t>
      </w:r>
      <w:r w:rsidR="002E162C">
        <w:t>D</w:t>
      </w:r>
      <w:r>
        <w:t>).</w:t>
      </w:r>
      <w:r w:rsidRPr="007229F6">
        <w:t xml:space="preserve"> Clinical attendance will need to be sought from a staff member who is assigned a clinical assessor role in the My Aged Care Assessor Portal. The</w:t>
      </w:r>
      <w:r w:rsidRPr="007229F6" w:rsidDel="00F837EC">
        <w:t xml:space="preserve"> </w:t>
      </w:r>
      <w:r w:rsidRPr="007229F6">
        <w:t xml:space="preserve">ways in which clinical attendance can occur are detailed in </w:t>
      </w:r>
      <w:r w:rsidRPr="007102E6">
        <w:t>the Table below</w:t>
      </w:r>
      <w:r>
        <w:t xml:space="preserve"> </w:t>
      </w:r>
      <w:r w:rsidRPr="007229F6">
        <w:t>and presented as tiers. Tier 1 is considered best practice</w:t>
      </w:r>
      <w:r>
        <w:t>;</w:t>
      </w:r>
      <w:r w:rsidRPr="007229F6">
        <w:t xml:space="preserve"> it is expected that an assessment organisation will adopt Tier 1 clinical attendance in the majority of cases.</w:t>
      </w:r>
    </w:p>
    <w:p w14:paraId="27927415" w14:textId="77777777" w:rsidR="00282961" w:rsidRPr="000027E3" w:rsidRDefault="007A743C" w:rsidP="00C325C6">
      <w:pPr>
        <w:pStyle w:val="Sub-headings"/>
      </w:pPr>
      <w:r w:rsidRPr="00904192">
        <w:t>Note</w:t>
      </w:r>
      <w:r w:rsidR="00282961" w:rsidRPr="000027E3">
        <w:t>:</w:t>
      </w:r>
    </w:p>
    <w:p w14:paraId="0DF73939" w14:textId="4CF0E8CB" w:rsidR="007A743C" w:rsidRDefault="007A743C" w:rsidP="00C325C6">
      <w:pPr>
        <w:pStyle w:val="Sub-headings"/>
      </w:pPr>
      <w:r w:rsidRPr="00576762">
        <w:t>Enrolled Nurses (EN) who hold the clinical assessor role cannot provide clinical attendance to non-clinical assessors</w:t>
      </w:r>
      <w:r>
        <w:t>. T</w:t>
      </w:r>
      <w:r w:rsidRPr="00576762">
        <w:t>his is considered outside an EN’s scope of practice.</w:t>
      </w:r>
    </w:p>
    <w:p w14:paraId="77D50CB4" w14:textId="77777777" w:rsidR="002364CD" w:rsidRDefault="002364CD" w:rsidP="00A677C9">
      <w:pPr>
        <w:spacing w:before="240" w:after="240" w:line="240" w:lineRule="auto"/>
      </w:pPr>
    </w:p>
    <w:p w14:paraId="605B034A" w14:textId="57345E27" w:rsidR="007A743C" w:rsidRPr="007229F6" w:rsidRDefault="007A743C" w:rsidP="00A677C9">
      <w:pPr>
        <w:spacing w:before="240" w:after="240" w:line="240" w:lineRule="auto"/>
      </w:pPr>
      <w:r>
        <w:t xml:space="preserve">For case studies of how clinical attendance will work in practice please see </w:t>
      </w:r>
      <w:r w:rsidRPr="007102E6">
        <w:t xml:space="preserve">Appendix </w:t>
      </w:r>
      <w:r w:rsidR="001A29D8">
        <w:t>D</w:t>
      </w:r>
      <w:r>
        <w:t>.</w:t>
      </w:r>
    </w:p>
    <w:p w14:paraId="1E9A27F2" w14:textId="75079E99" w:rsidR="007A743C" w:rsidRPr="007229F6" w:rsidRDefault="007A743C" w:rsidP="00A677C9">
      <w:pPr>
        <w:pStyle w:val="Caption"/>
        <w:spacing w:before="240" w:after="240"/>
        <w:rPr>
          <w:bCs/>
          <w:shd w:val="clear" w:color="auto" w:fill="FFFFFF"/>
        </w:rPr>
      </w:pPr>
      <w:r w:rsidRPr="003E1933">
        <w:rPr>
          <w:shd w:val="clear" w:color="auto" w:fill="FFFFFF"/>
        </w:rPr>
        <w:t xml:space="preserve">Table </w:t>
      </w:r>
      <w:r w:rsidR="005D1D4D">
        <w:rPr>
          <w:shd w:val="clear" w:color="auto" w:fill="FFFFFF"/>
        </w:rPr>
        <w:t>20</w:t>
      </w:r>
      <w:r w:rsidRPr="003E1933">
        <w:rPr>
          <w:shd w:val="clear" w:color="auto" w:fill="FFFFFF"/>
        </w:rPr>
        <w:t>. Clinical attendance procedure</w:t>
      </w:r>
      <w:r w:rsidRPr="007229F6">
        <w:rPr>
          <w:bCs/>
          <w:shd w:val="clear" w:color="auto" w:fill="FFFFFF"/>
        </w:rPr>
        <w:t xml:space="preserve"> </w:t>
      </w:r>
    </w:p>
    <w:tbl>
      <w:tblPr>
        <w:tblStyle w:val="TableGrid"/>
        <w:tblW w:w="0" w:type="auto"/>
        <w:tblBorders>
          <w:bottom w:val="single" w:sz="4" w:space="0" w:color="auto"/>
          <w:insideH w:val="single" w:sz="4" w:space="0" w:color="auto"/>
        </w:tblBorders>
        <w:tblLook w:val="04A0" w:firstRow="1" w:lastRow="0" w:firstColumn="1" w:lastColumn="0" w:noHBand="0" w:noVBand="1"/>
        <w:tblCaption w:val="Clinical Attendance Procedure"/>
        <w:tblDescription w:val="Overview of the clinical attendance procedure"/>
      </w:tblPr>
      <w:tblGrid>
        <w:gridCol w:w="1468"/>
        <w:gridCol w:w="7298"/>
      </w:tblGrid>
      <w:tr w:rsidR="007A743C" w:rsidRPr="00C428E8" w14:paraId="4BF62F11" w14:textId="77777777">
        <w:trPr>
          <w:trHeight w:val="300"/>
        </w:trPr>
        <w:tc>
          <w:tcPr>
            <w:tcW w:w="1555" w:type="dxa"/>
            <w:shd w:val="clear" w:color="auto" w:fill="002060"/>
          </w:tcPr>
          <w:p w14:paraId="1AFB1E45" w14:textId="77777777" w:rsidR="007A743C" w:rsidRPr="00A521F5" w:rsidRDefault="007A743C" w:rsidP="00A677C9">
            <w:pPr>
              <w:pStyle w:val="NoSpacing"/>
              <w:spacing w:before="240" w:after="240"/>
              <w:rPr>
                <w:b/>
                <w:color w:val="FFFFFF" w:themeColor="background1"/>
                <w:shd w:val="clear" w:color="auto" w:fill="FFFFFF"/>
              </w:rPr>
            </w:pPr>
            <w:r w:rsidRPr="0027599F">
              <w:rPr>
                <w:rFonts w:ascii="Arial" w:hAnsi="Arial" w:cs="Arial"/>
                <w:b/>
                <w:color w:val="FFFFFF" w:themeColor="background1"/>
                <w:sz w:val="22"/>
                <w:szCs w:val="22"/>
                <w:lang w:val="en-GB"/>
              </w:rPr>
              <w:t>Tier 1</w:t>
            </w:r>
          </w:p>
        </w:tc>
        <w:tc>
          <w:tcPr>
            <w:tcW w:w="7795" w:type="dxa"/>
          </w:tcPr>
          <w:p w14:paraId="2EC50F1D" w14:textId="050452CF" w:rsidR="007A743C" w:rsidRPr="007229F6" w:rsidRDefault="007A743C" w:rsidP="00A677C9">
            <w:pPr>
              <w:spacing w:before="240" w:after="240"/>
              <w:rPr>
                <w:shd w:val="clear" w:color="auto" w:fill="FFFFFF"/>
              </w:rPr>
            </w:pPr>
            <w:r w:rsidRPr="007229F6">
              <w:rPr>
                <w:shd w:val="clear" w:color="auto" w:fill="FFFFFF"/>
              </w:rPr>
              <w:t xml:space="preserve">A </w:t>
            </w:r>
            <w:r>
              <w:rPr>
                <w:shd w:val="clear" w:color="auto" w:fill="FFFFFF"/>
              </w:rPr>
              <w:t>clinical assessor</w:t>
            </w:r>
            <w:r w:rsidRPr="007229F6">
              <w:rPr>
                <w:shd w:val="clear" w:color="auto" w:fill="FFFFFF"/>
              </w:rPr>
              <w:t xml:space="preserve"> who holds a clinical assessor role in the My Aged Care Assessor Portal is available by video or phone call at the time the assessment is taking place to </w:t>
            </w:r>
            <w:r>
              <w:rPr>
                <w:shd w:val="clear" w:color="auto" w:fill="FFFFFF"/>
              </w:rPr>
              <w:t>b</w:t>
            </w:r>
            <w:r>
              <w:t xml:space="preserve">e involved in </w:t>
            </w:r>
            <w:r w:rsidRPr="007229F6">
              <w:rPr>
                <w:shd w:val="clear" w:color="auto" w:fill="FFFFFF"/>
              </w:rPr>
              <w:t>ask</w:t>
            </w:r>
            <w:r>
              <w:rPr>
                <w:shd w:val="clear" w:color="auto" w:fill="FFFFFF"/>
              </w:rPr>
              <w:t>i</w:t>
            </w:r>
            <w:r>
              <w:t>ng</w:t>
            </w:r>
            <w:r w:rsidRPr="007229F6">
              <w:rPr>
                <w:shd w:val="clear" w:color="auto" w:fill="FFFFFF"/>
              </w:rPr>
              <w:t xml:space="preserve"> the clinical questions </w:t>
            </w:r>
            <w:r>
              <w:rPr>
                <w:shd w:val="clear" w:color="auto" w:fill="FFFFFF"/>
              </w:rPr>
              <w:t>w</w:t>
            </w:r>
            <w:r>
              <w:t xml:space="preserve">ith the non-clinical assessor </w:t>
            </w:r>
            <w:r w:rsidRPr="007229F6">
              <w:rPr>
                <w:shd w:val="clear" w:color="auto" w:fill="FFFFFF"/>
              </w:rPr>
              <w:t xml:space="preserve">to the older person being assessed. A video call is </w:t>
            </w:r>
            <w:r w:rsidRPr="007229F6">
              <w:t>preferable</w:t>
            </w:r>
            <w:r w:rsidRPr="007229F6">
              <w:rPr>
                <w:shd w:val="clear" w:color="auto" w:fill="FFFFFF"/>
              </w:rPr>
              <w:t xml:space="preserve">. </w:t>
            </w:r>
          </w:p>
          <w:p w14:paraId="58E1A167" w14:textId="77777777" w:rsidR="007A743C" w:rsidRPr="007229F6" w:rsidRDefault="007A743C" w:rsidP="00A677C9">
            <w:pPr>
              <w:spacing w:before="240" w:after="240"/>
              <w:rPr>
                <w:shd w:val="clear" w:color="auto" w:fill="FFFFFF"/>
              </w:rPr>
            </w:pPr>
          </w:p>
          <w:p w14:paraId="62F9CC66" w14:textId="53C41E63" w:rsidR="007A743C" w:rsidRDefault="007A743C" w:rsidP="00A677C9">
            <w:pPr>
              <w:spacing w:before="240" w:after="240"/>
              <w:rPr>
                <w:shd w:val="clear" w:color="auto" w:fill="FFFFFF"/>
              </w:rPr>
            </w:pPr>
            <w:r w:rsidRPr="007229F6">
              <w:rPr>
                <w:shd w:val="clear" w:color="auto" w:fill="FFFFFF"/>
              </w:rPr>
              <w:t xml:space="preserve">The assessor can receive a call back when a clinical assessor becomes available. The assessment should continue while waiting for the callback. In this instance, if the assessor is using the IAT </w:t>
            </w:r>
            <w:r>
              <w:rPr>
                <w:shd w:val="clear" w:color="auto" w:fill="FFFFFF"/>
              </w:rPr>
              <w:t>in the Assessor Portal or the Aged Care Assessor App</w:t>
            </w:r>
            <w:r w:rsidRPr="00E86AC2">
              <w:rPr>
                <w:shd w:val="clear" w:color="auto" w:fill="FFFFFF"/>
              </w:rPr>
              <w:t xml:space="preserve">, it is advised the assessor </w:t>
            </w:r>
            <w:r>
              <w:rPr>
                <w:shd w:val="clear" w:color="auto" w:fill="FFFFFF"/>
              </w:rPr>
              <w:t xml:space="preserve">selects ‘no’ to the declaration. The assessor can </w:t>
            </w:r>
            <w:r w:rsidRPr="00E86AC2">
              <w:rPr>
                <w:shd w:val="clear" w:color="auto" w:fill="FFFFFF"/>
              </w:rPr>
              <w:t>revisit the question/s once a clinical assessor is in attendance.</w:t>
            </w:r>
            <w:r>
              <w:rPr>
                <w:shd w:val="clear" w:color="auto" w:fill="FFFFFF"/>
              </w:rPr>
              <w:t xml:space="preserve"> As the assessor continues through the IAT, they will need to make note of any other clinical questions (see appendix </w:t>
            </w:r>
            <w:r w:rsidR="00802E75">
              <w:rPr>
                <w:shd w:val="clear" w:color="auto" w:fill="FFFFFF"/>
              </w:rPr>
              <w:t>D</w:t>
            </w:r>
            <w:r>
              <w:rPr>
                <w:shd w:val="clear" w:color="auto" w:fill="FFFFFF"/>
              </w:rPr>
              <w:t xml:space="preserve">) and ensure that these questions are answered with a clinical assessor in attendance. </w:t>
            </w:r>
          </w:p>
          <w:p w14:paraId="2423590C" w14:textId="77777777" w:rsidR="007A743C" w:rsidRPr="00E86AC2" w:rsidRDefault="007A743C" w:rsidP="00A677C9">
            <w:pPr>
              <w:spacing w:before="240" w:after="240"/>
              <w:rPr>
                <w:shd w:val="clear" w:color="auto" w:fill="FFFFFF"/>
              </w:rPr>
            </w:pPr>
          </w:p>
          <w:p w14:paraId="7B1BDBBA" w14:textId="77777777" w:rsidR="007A743C" w:rsidRPr="00E86AC2" w:rsidRDefault="007A743C" w:rsidP="00A677C9">
            <w:pPr>
              <w:spacing w:before="240" w:after="240"/>
              <w:rPr>
                <w:shd w:val="clear" w:color="auto" w:fill="FFFFFF"/>
              </w:rPr>
            </w:pPr>
            <w:r w:rsidRPr="19ECD6C9">
              <w:rPr>
                <w:shd w:val="clear" w:color="auto" w:fill="FFFFFF"/>
              </w:rPr>
              <w:t>There may be situations where it is not appropriate for the assessor to continue with the assessment, even with virtual, clinical attendance. This will be determined using the following criteria:</w:t>
            </w:r>
          </w:p>
          <w:p w14:paraId="76C95B83" w14:textId="77777777" w:rsidR="007A743C" w:rsidRPr="00E86AC2" w:rsidRDefault="007A743C" w:rsidP="00A677C9">
            <w:pPr>
              <w:spacing w:before="240" w:after="240"/>
              <w:rPr>
                <w:shd w:val="clear" w:color="auto" w:fill="FFFFFF"/>
              </w:rPr>
            </w:pPr>
          </w:p>
          <w:p w14:paraId="25C8B4FD"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 xml:space="preserve">It is not physically or psychologically safe for the older person to continue the assessment, </w:t>
            </w:r>
          </w:p>
          <w:p w14:paraId="1FD42641"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It is not physically or psychologically safe for the assessor to continue the assessment,</w:t>
            </w:r>
          </w:p>
          <w:p w14:paraId="28CC4503"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The older person’s condition requires a clinical assessor to undertake an end-to-end assessment</w:t>
            </w:r>
          </w:p>
          <w:p w14:paraId="3F803CD0" w14:textId="77777777" w:rsidR="007A743C" w:rsidRPr="00E86AC2" w:rsidRDefault="007A743C" w:rsidP="00A677C9">
            <w:pPr>
              <w:pStyle w:val="ListParagraph"/>
              <w:spacing w:before="240" w:after="240"/>
              <w:ind w:left="768"/>
              <w:rPr>
                <w:shd w:val="clear" w:color="auto" w:fill="FFFFFF"/>
              </w:rPr>
            </w:pPr>
          </w:p>
          <w:p w14:paraId="35A9BE4C" w14:textId="77777777" w:rsidR="007A743C" w:rsidRDefault="007A743C" w:rsidP="00A677C9">
            <w:pPr>
              <w:spacing w:before="240" w:after="240"/>
              <w:rPr>
                <w:b/>
                <w:shd w:val="clear" w:color="auto" w:fill="FFFFFF"/>
              </w:rPr>
            </w:pPr>
            <w:r w:rsidRPr="19ECD6C9">
              <w:rPr>
                <w:shd w:val="clear" w:color="auto" w:fill="FFFFFF"/>
              </w:rPr>
              <w:t xml:space="preserve">Where it is considered inappropriate to continue, the assessment will end and a team leader will reassign </w:t>
            </w:r>
            <w:r>
              <w:rPr>
                <w:shd w:val="clear" w:color="auto" w:fill="FFFFFF"/>
              </w:rPr>
              <w:t>the incomplete assessment</w:t>
            </w:r>
            <w:r w:rsidRPr="19ECD6C9">
              <w:rPr>
                <w:shd w:val="clear" w:color="auto" w:fill="FFFFFF"/>
              </w:rPr>
              <w:t xml:space="preserve"> to a clinical assessor to undertake.</w:t>
            </w:r>
          </w:p>
        </w:tc>
      </w:tr>
      <w:tr w:rsidR="007A743C" w:rsidRPr="004E06FA" w14:paraId="73F818A9" w14:textId="77777777">
        <w:trPr>
          <w:trHeight w:val="300"/>
        </w:trPr>
        <w:tc>
          <w:tcPr>
            <w:tcW w:w="1555" w:type="dxa"/>
            <w:shd w:val="clear" w:color="auto" w:fill="002060"/>
          </w:tcPr>
          <w:p w14:paraId="3E7887A0" w14:textId="77777777" w:rsidR="007A743C" w:rsidRDefault="007A743C" w:rsidP="00A677C9">
            <w:pPr>
              <w:pStyle w:val="NoSpacing"/>
              <w:spacing w:before="240" w:after="240"/>
              <w:rPr>
                <w:b/>
                <w:shd w:val="clear" w:color="auto" w:fill="FFFFFF"/>
              </w:rPr>
            </w:pPr>
            <w:r w:rsidRPr="0027599F">
              <w:rPr>
                <w:rFonts w:ascii="Arial" w:hAnsi="Arial" w:cs="Arial"/>
                <w:b/>
                <w:color w:val="FFFFFF" w:themeColor="background1"/>
                <w:sz w:val="22"/>
                <w:szCs w:val="22"/>
                <w:lang w:val="en-GB"/>
              </w:rPr>
              <w:t>Tier 2</w:t>
            </w:r>
          </w:p>
        </w:tc>
        <w:tc>
          <w:tcPr>
            <w:tcW w:w="7795" w:type="dxa"/>
          </w:tcPr>
          <w:p w14:paraId="30F7E6E8" w14:textId="77777777" w:rsidR="007A743C" w:rsidRPr="00F5765F" w:rsidRDefault="007A743C" w:rsidP="00A677C9">
            <w:pPr>
              <w:spacing w:before="240" w:after="240"/>
            </w:pPr>
            <w:r w:rsidRPr="00E86AC2">
              <w:t xml:space="preserve">There may be circumstances where real-time clinical attendance is not possible. </w:t>
            </w:r>
            <w:r w:rsidRPr="00E86AC2">
              <w:rPr>
                <w:shd w:val="clear" w:color="auto" w:fill="FFFFFF"/>
              </w:rPr>
              <w:t xml:space="preserve">If a clinical assessor cannot be contacted at the time the assessment is taking place, the assessor will </w:t>
            </w:r>
            <w:r w:rsidRPr="00E86AC2">
              <w:t xml:space="preserve">complete the questions </w:t>
            </w:r>
            <w:r w:rsidRPr="00F5765F">
              <w:t xml:space="preserve">that do not require clinical judgement. All other clinical questions are noted and cannot be asked. </w:t>
            </w:r>
          </w:p>
          <w:p w14:paraId="31622DB2" w14:textId="77777777" w:rsidR="007A743C" w:rsidRPr="00F5765F" w:rsidRDefault="007A743C" w:rsidP="00A677C9">
            <w:pPr>
              <w:spacing w:before="240" w:after="240"/>
            </w:pPr>
          </w:p>
          <w:p w14:paraId="1E7FD038" w14:textId="7DC4BDC6" w:rsidR="007A743C" w:rsidRDefault="007A743C" w:rsidP="00A677C9">
            <w:pPr>
              <w:spacing w:before="240" w:after="240"/>
              <w:rPr>
                <w:shd w:val="clear" w:color="auto" w:fill="FFFFFF"/>
              </w:rPr>
            </w:pPr>
            <w:r w:rsidRPr="005875F4">
              <w:rPr>
                <w:shd w:val="clear" w:color="auto" w:fill="FFFFFF"/>
              </w:rPr>
              <w:t xml:space="preserve">In this instance, if the assessor is using the IAT </w:t>
            </w:r>
            <w:r>
              <w:rPr>
                <w:shd w:val="clear" w:color="auto" w:fill="FFFFFF"/>
              </w:rPr>
              <w:t>in the Assessor Portal or the Aged Care Assessor App</w:t>
            </w:r>
            <w:r w:rsidRPr="005875F4">
              <w:rPr>
                <w:shd w:val="clear" w:color="auto" w:fill="FFFFFF"/>
              </w:rPr>
              <w:t xml:space="preserve">, it is advised the assessor </w:t>
            </w:r>
            <w:r>
              <w:rPr>
                <w:shd w:val="clear" w:color="auto" w:fill="FFFFFF"/>
              </w:rPr>
              <w:t xml:space="preserve">selects ‘no’ to the declaration. The assessor can </w:t>
            </w:r>
            <w:r w:rsidRPr="005875F4">
              <w:rPr>
                <w:shd w:val="clear" w:color="auto" w:fill="FFFFFF"/>
              </w:rPr>
              <w:t>revisit the question/s once a clinical assessor is in attendance.</w:t>
            </w:r>
            <w:r>
              <w:rPr>
                <w:shd w:val="clear" w:color="auto" w:fill="FFFFFF"/>
              </w:rPr>
              <w:t xml:space="preserve"> As the assessor continues through the IAT, they will need to make note of t</w:t>
            </w:r>
            <w:r>
              <w:t>he</w:t>
            </w:r>
            <w:r>
              <w:rPr>
                <w:shd w:val="clear" w:color="auto" w:fill="FFFFFF"/>
              </w:rPr>
              <w:t xml:space="preserve"> clinical questions p</w:t>
            </w:r>
            <w:r>
              <w:t>rompted</w:t>
            </w:r>
            <w:r>
              <w:rPr>
                <w:shd w:val="clear" w:color="auto" w:fill="FFFFFF"/>
              </w:rPr>
              <w:t xml:space="preserve"> (see appendix </w:t>
            </w:r>
            <w:r w:rsidR="0017588B">
              <w:rPr>
                <w:shd w:val="clear" w:color="auto" w:fill="FFFFFF"/>
              </w:rPr>
              <w:t>D</w:t>
            </w:r>
            <w:r>
              <w:rPr>
                <w:shd w:val="clear" w:color="auto" w:fill="FFFFFF"/>
              </w:rPr>
              <w:t xml:space="preserve">) and ensure that these questions are answered with a clinical assessor in attendance. </w:t>
            </w:r>
          </w:p>
          <w:p w14:paraId="2863C3EB" w14:textId="77777777" w:rsidR="007A743C" w:rsidRPr="005875F4" w:rsidRDefault="007A743C" w:rsidP="00A677C9">
            <w:pPr>
              <w:spacing w:before="240" w:after="240"/>
              <w:rPr>
                <w:shd w:val="clear" w:color="auto" w:fill="FFFFFF"/>
              </w:rPr>
            </w:pPr>
          </w:p>
          <w:p w14:paraId="165FE477" w14:textId="77777777" w:rsidR="007A743C" w:rsidRPr="00E86AC2" w:rsidRDefault="007A743C" w:rsidP="00A677C9">
            <w:pPr>
              <w:spacing w:before="240" w:after="240"/>
            </w:pPr>
            <w:r w:rsidRPr="00E86AC2">
              <w:t xml:space="preserve">The assessment will end once </w:t>
            </w:r>
            <w:r w:rsidRPr="00E86AC2">
              <w:rPr>
                <w:shd w:val="clear" w:color="auto" w:fill="FFFFFF"/>
              </w:rPr>
              <w:t>the</w:t>
            </w:r>
            <w:r w:rsidRPr="00E86AC2">
              <w:t xml:space="preserve"> assessor has completed the non-clinical questions in the IAT (noting the IAT itself will remain incomplete). The assessor will need to speak with a clinical assessor in their organisation about the assessment and the clinical questions. </w:t>
            </w:r>
          </w:p>
          <w:p w14:paraId="77CC77C1" w14:textId="77777777" w:rsidR="007A743C" w:rsidRPr="00E86AC2" w:rsidRDefault="007A743C" w:rsidP="00A677C9">
            <w:pPr>
              <w:spacing w:before="240" w:after="240"/>
            </w:pPr>
          </w:p>
          <w:p w14:paraId="7A1B0EBC" w14:textId="77777777" w:rsidR="007A743C" w:rsidRPr="00E86AC2" w:rsidRDefault="007A743C" w:rsidP="00A677C9">
            <w:pPr>
              <w:spacing w:before="240" w:after="240"/>
            </w:pPr>
            <w:r w:rsidRPr="19ECD6C9">
              <w:t xml:space="preserve">If it is appropriate for the clinical questions to be asked by a clinical assessor over the phone, arrangements will be made with the older person and relevant support people for this to take place. It is preferable the original, non-clinical assessor is also </w:t>
            </w:r>
            <w:r w:rsidRPr="19ECD6C9">
              <w:rPr>
                <w:shd w:val="clear" w:color="auto" w:fill="FFFFFF"/>
              </w:rPr>
              <w:t>on</w:t>
            </w:r>
            <w:r w:rsidRPr="19ECD6C9">
              <w:t xml:space="preserve"> the call. If the clinical components are completed over the phone by a clinical assessor, the assessment does not need to be reassigned to this assessor.</w:t>
            </w:r>
          </w:p>
          <w:p w14:paraId="7B114A97" w14:textId="77777777" w:rsidR="007A743C" w:rsidRPr="00E86AC2" w:rsidRDefault="007A743C" w:rsidP="00A677C9">
            <w:pPr>
              <w:spacing w:before="240" w:after="240"/>
            </w:pPr>
          </w:p>
          <w:p w14:paraId="61676C47" w14:textId="77777777" w:rsidR="007A743C" w:rsidRPr="00E86AC2" w:rsidRDefault="007A743C" w:rsidP="00A677C9">
            <w:pPr>
              <w:spacing w:before="240" w:after="240"/>
            </w:pPr>
            <w:r w:rsidRPr="19ECD6C9">
              <w:t xml:space="preserve">It may be determined that the assessment should be reassigned to a clinical </w:t>
            </w:r>
            <w:r w:rsidRPr="19ECD6C9">
              <w:rPr>
                <w:shd w:val="clear" w:color="auto" w:fill="FFFFFF"/>
              </w:rPr>
              <w:t>assessor</w:t>
            </w:r>
            <w:r w:rsidRPr="19ECD6C9">
              <w:t xml:space="preserve"> to complete the assessment, either in person or over the phone. This may be required because:</w:t>
            </w:r>
          </w:p>
          <w:p w14:paraId="57B1CF83" w14:textId="77777777" w:rsidR="007A743C" w:rsidRPr="00E86AC2" w:rsidRDefault="007A743C" w:rsidP="00A677C9">
            <w:pPr>
              <w:spacing w:before="240" w:after="240"/>
            </w:pPr>
          </w:p>
          <w:p w14:paraId="5B72A7C2" w14:textId="77777777"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multiple clinical questions are triggered in the IAT,</w:t>
            </w:r>
          </w:p>
          <w:p w14:paraId="589AAF24" w14:textId="27E1C8F4" w:rsidR="007A743C" w:rsidRPr="00E86AC2" w:rsidRDefault="007A743C" w:rsidP="00DF3F6B">
            <w:pPr>
              <w:pStyle w:val="ListParagraph"/>
              <w:numPr>
                <w:ilvl w:val="0"/>
                <w:numId w:val="88"/>
              </w:numPr>
              <w:spacing w:before="240" w:after="240"/>
              <w:rPr>
                <w:shd w:val="clear" w:color="auto" w:fill="FFFFFF"/>
              </w:rPr>
            </w:pPr>
            <w:r w:rsidRPr="00E86AC2">
              <w:rPr>
                <w:shd w:val="clear" w:color="auto" w:fill="FFFFFF"/>
              </w:rPr>
              <w:t>the needs of the older person are best assessed in person to ensure a high-quality assessment</w:t>
            </w:r>
            <w:r w:rsidR="001B46D1">
              <w:rPr>
                <w:shd w:val="clear" w:color="auto" w:fill="FFFFFF"/>
              </w:rPr>
              <w:t>.</w:t>
            </w:r>
          </w:p>
          <w:p w14:paraId="413DE6F9" w14:textId="77777777" w:rsidR="007A743C" w:rsidRPr="00E86AC2" w:rsidRDefault="007A743C" w:rsidP="00A677C9">
            <w:pPr>
              <w:pStyle w:val="ListParagraph"/>
              <w:spacing w:before="240" w:after="240"/>
              <w:ind w:left="768"/>
              <w:rPr>
                <w:shd w:val="clear" w:color="auto" w:fill="FFFFFF"/>
              </w:rPr>
            </w:pPr>
          </w:p>
          <w:p w14:paraId="7ED2B1B3" w14:textId="77777777" w:rsidR="007A743C" w:rsidRDefault="007A743C" w:rsidP="00A677C9">
            <w:pPr>
              <w:spacing w:before="240" w:after="240"/>
              <w:rPr>
                <w:b/>
                <w:shd w:val="clear" w:color="auto" w:fill="FFFFFF"/>
              </w:rPr>
            </w:pPr>
            <w:r w:rsidRPr="19ECD6C9">
              <w:rPr>
                <w:shd w:val="clear" w:color="auto" w:fill="FFFFFF"/>
              </w:rPr>
              <w:t>Where an in-person assessment with a clinical assessor is required, a team leader will reassign the assessment to a clinical assessor.</w:t>
            </w:r>
          </w:p>
        </w:tc>
      </w:tr>
    </w:tbl>
    <w:p w14:paraId="44B4630F" w14:textId="77777777" w:rsidR="007A743C" w:rsidRPr="00CF4787" w:rsidRDefault="007A743C" w:rsidP="00A677C9">
      <w:pPr>
        <w:pStyle w:val="Sub-headingnon-contentpage"/>
        <w:spacing w:before="240" w:after="240"/>
      </w:pPr>
      <w:r>
        <w:t xml:space="preserve">If the clinical process is initiated the assessor must: </w:t>
      </w:r>
    </w:p>
    <w:p w14:paraId="574903ED" w14:textId="77777777" w:rsidR="007A743C" w:rsidRDefault="007A743C" w:rsidP="00DF3F6B">
      <w:pPr>
        <w:pStyle w:val="ListParagraph"/>
        <w:numPr>
          <w:ilvl w:val="0"/>
          <w:numId w:val="89"/>
        </w:numPr>
        <w:spacing w:before="240" w:after="240" w:line="240" w:lineRule="auto"/>
      </w:pPr>
      <w:r>
        <w:t>ensure the older person understands that there are questions in the assessment tool that need to be asked with a clinically qualified assessor so that they can apply clinical knowledge and judgment to ensure that the older person’s needs are assessed in full and with their safety and wellbeing in mind. This should occur before the clinical assessor is contacted.</w:t>
      </w:r>
    </w:p>
    <w:p w14:paraId="27286DE5" w14:textId="77777777" w:rsidR="007A743C" w:rsidRPr="00B31DF6" w:rsidRDefault="007A743C" w:rsidP="00DF3F6B">
      <w:pPr>
        <w:pStyle w:val="ListParagraph"/>
        <w:numPr>
          <w:ilvl w:val="0"/>
          <w:numId w:val="89"/>
        </w:numPr>
        <w:spacing w:before="240" w:after="240" w:line="240" w:lineRule="auto"/>
      </w:pPr>
      <w:r>
        <w:t>include</w:t>
      </w:r>
      <w:r w:rsidRPr="00B31DF6">
        <w:t xml:space="preserve"> the </w:t>
      </w:r>
      <w:r>
        <w:t>older person</w:t>
      </w:r>
      <w:r w:rsidRPr="00B31DF6">
        <w:t xml:space="preserve"> </w:t>
      </w:r>
      <w:r>
        <w:t>in</w:t>
      </w:r>
      <w:r w:rsidRPr="00B31DF6">
        <w:t xml:space="preserve"> the initial discussion when the clinical assessor is being briefed on the </w:t>
      </w:r>
      <w:r>
        <w:t>older person</w:t>
      </w:r>
      <w:r w:rsidRPr="00B31DF6">
        <w:t xml:space="preserve">’s situation. The </w:t>
      </w:r>
      <w:r>
        <w:t>older person</w:t>
      </w:r>
      <w:r w:rsidRPr="00B31DF6">
        <w:t xml:space="preserve"> and/or their support person should be given the opportunity to describe their circumstances if they feel comfortable to do so.</w:t>
      </w:r>
    </w:p>
    <w:p w14:paraId="550CB904" w14:textId="77777777" w:rsidR="007A743C" w:rsidRDefault="007A743C" w:rsidP="00DF3F6B">
      <w:pPr>
        <w:pStyle w:val="ListParagraph"/>
        <w:numPr>
          <w:ilvl w:val="0"/>
          <w:numId w:val="89"/>
        </w:numPr>
        <w:spacing w:before="240" w:after="240" w:line="240" w:lineRule="auto"/>
      </w:pPr>
      <w:r>
        <w:t xml:space="preserve">ensure the camera is on at both ends so that older person can see the clinical assessor if the clinical assessor is called in on a video enabled device. </w:t>
      </w:r>
    </w:p>
    <w:p w14:paraId="6422AB96" w14:textId="77777777" w:rsidR="007A743C" w:rsidRDefault="007A743C" w:rsidP="00DF3F6B">
      <w:pPr>
        <w:pStyle w:val="ListParagraph"/>
        <w:numPr>
          <w:ilvl w:val="0"/>
          <w:numId w:val="89"/>
        </w:numPr>
        <w:spacing w:before="240" w:after="240" w:line="240" w:lineRule="auto"/>
      </w:pPr>
      <w:r>
        <w:t xml:space="preserve">ensure the call is on speaker phone so that the older person and clinical assessor can speak directly to one another, if the clinical assessor is called on a phone without video functionality. </w:t>
      </w:r>
    </w:p>
    <w:p w14:paraId="211D913B" w14:textId="77777777" w:rsidR="007A743C" w:rsidRDefault="007A743C" w:rsidP="00DF3F6B">
      <w:pPr>
        <w:pStyle w:val="ListParagraph"/>
        <w:numPr>
          <w:ilvl w:val="0"/>
          <w:numId w:val="89"/>
        </w:numPr>
        <w:spacing w:before="240" w:after="240" w:line="240" w:lineRule="auto"/>
      </w:pPr>
      <w:r>
        <w:t xml:space="preserve">explain to the older person that a follow-up phone call will be necessary to complete their assessment, if real-time clinical attendance is not possible. </w:t>
      </w:r>
    </w:p>
    <w:p w14:paraId="065941F4" w14:textId="77777777" w:rsidR="007A743C" w:rsidRDefault="007A743C" w:rsidP="00A677C9">
      <w:pPr>
        <w:spacing w:before="240" w:after="240" w:line="240" w:lineRule="auto"/>
      </w:pPr>
      <w:r>
        <w:t>If a follow-up call is necessary:</w:t>
      </w:r>
    </w:p>
    <w:p w14:paraId="2943E5FD" w14:textId="77777777" w:rsidR="007A743C" w:rsidRDefault="007A743C" w:rsidP="00DF3F6B">
      <w:pPr>
        <w:pStyle w:val="ListParagraph"/>
        <w:numPr>
          <w:ilvl w:val="0"/>
          <w:numId w:val="107"/>
        </w:numPr>
        <w:spacing w:before="240" w:after="240" w:line="240" w:lineRule="auto"/>
      </w:pPr>
      <w:r>
        <w:t>the original non-clinical assessor should be present on the phone call to ensure there is continuity of contact with the original assessor.</w:t>
      </w:r>
    </w:p>
    <w:p w14:paraId="2CDAE52A" w14:textId="77777777" w:rsidR="007A743C" w:rsidRPr="00203EEF" w:rsidRDefault="007A743C" w:rsidP="00DF3F6B">
      <w:pPr>
        <w:pStyle w:val="ListParagraph"/>
        <w:numPr>
          <w:ilvl w:val="0"/>
          <w:numId w:val="107"/>
        </w:numPr>
        <w:spacing w:before="240" w:after="240" w:line="240" w:lineRule="auto"/>
      </w:pPr>
      <w:r w:rsidRPr="00203EEF">
        <w:t>it is important that the non-clinical assessor keeps the older person, their primary contact and/or support person up to date on when the follow up phone call will take place.</w:t>
      </w:r>
    </w:p>
    <w:p w14:paraId="64965652" w14:textId="7F2A473B" w:rsidR="007A743C" w:rsidRPr="005017B1" w:rsidRDefault="007A743C" w:rsidP="00C56CEC">
      <w:pPr>
        <w:pStyle w:val="H3"/>
      </w:pPr>
      <w:bookmarkStart w:id="399" w:name="_Toc204329551"/>
      <w:r w:rsidRPr="005017B1">
        <w:t xml:space="preserve">Tools and </w:t>
      </w:r>
      <w:r w:rsidR="00571879">
        <w:t>t</w:t>
      </w:r>
      <w:r w:rsidRPr="005017B1">
        <w:t>echniques for assessing an older person’s needs</w:t>
      </w:r>
      <w:bookmarkEnd w:id="397"/>
      <w:bookmarkEnd w:id="398"/>
      <w:bookmarkEnd w:id="399"/>
    </w:p>
    <w:p w14:paraId="767A6E5D" w14:textId="53933262" w:rsidR="007A743C" w:rsidRDefault="00A53035" w:rsidP="00A677C9">
      <w:pPr>
        <w:pStyle w:val="Sub-headingnon-contentpage"/>
        <w:spacing w:before="240" w:after="240"/>
      </w:pPr>
      <w:r w:rsidRPr="005E4E0E">
        <w:rPr>
          <w:bCs/>
          <w:noProof/>
        </w:rPr>
        <w:drawing>
          <wp:anchor distT="0" distB="0" distL="114300" distR="114300" simplePos="0" relativeHeight="251658297" behindDoc="0" locked="0" layoutInCell="1" allowOverlap="1" wp14:anchorId="77012965" wp14:editId="5100C63F">
            <wp:simplePos x="0" y="0"/>
            <wp:positionH relativeFrom="margin">
              <wp:align>left</wp:align>
            </wp:positionH>
            <wp:positionV relativeFrom="paragraph">
              <wp:posOffset>404846</wp:posOffset>
            </wp:positionV>
            <wp:extent cx="457200" cy="502920"/>
            <wp:effectExtent l="0" t="0" r="0" b="0"/>
            <wp:wrapSquare wrapText="bothSides"/>
            <wp:docPr id="948548055" name="Picture 94854805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3E1933">
        <w:t>The table below details best practice</w:t>
      </w:r>
      <w:r w:rsidR="007A743C">
        <w:t xml:space="preserve"> tools and techniques for undertaking aged care needs assessments. </w:t>
      </w:r>
    </w:p>
    <w:p w14:paraId="51E8D92D" w14:textId="69288C17" w:rsidR="007A743C" w:rsidRDefault="007A743C" w:rsidP="00A677C9">
      <w:pPr>
        <w:pStyle w:val="Caption"/>
        <w:spacing w:before="240" w:after="240"/>
      </w:pPr>
      <w:r>
        <w:t xml:space="preserve">Table </w:t>
      </w:r>
      <w:r w:rsidR="004441F5">
        <w:t>2</w:t>
      </w:r>
      <w:r w:rsidR="005D1D4D">
        <w:t>1</w:t>
      </w:r>
      <w:r>
        <w:t>. Aged care needs assessment best practice tools and techniques</w:t>
      </w:r>
    </w:p>
    <w:tbl>
      <w:tblPr>
        <w:tblStyle w:val="TableGrid2"/>
        <w:tblW w:w="8789" w:type="dxa"/>
        <w:tblInd w:w="-5" w:type="dxa"/>
        <w:tblLayout w:type="fixed"/>
        <w:tblLook w:val="04A0" w:firstRow="1" w:lastRow="0" w:firstColumn="1" w:lastColumn="0" w:noHBand="0" w:noVBand="1"/>
        <w:tblCaption w:val="Aged care needs assessment best practice tools and techniques "/>
        <w:tblDescription w:val="Best practice tools and techniques for undertaking aged care needs assessment"/>
      </w:tblPr>
      <w:tblGrid>
        <w:gridCol w:w="2127"/>
        <w:gridCol w:w="6662"/>
      </w:tblGrid>
      <w:tr w:rsidR="00BA1EF7" w:rsidRPr="002F7D7D" w14:paraId="1AF4CF05" w14:textId="77777777" w:rsidTr="001F6B35">
        <w:tc>
          <w:tcPr>
            <w:tcW w:w="2127" w:type="dxa"/>
            <w:shd w:val="clear" w:color="auto" w:fill="002060"/>
          </w:tcPr>
          <w:p w14:paraId="6CE062B2" w14:textId="77777777" w:rsidR="007A743C" w:rsidRPr="0027599F" w:rsidRDefault="007A743C" w:rsidP="00A677C9">
            <w:pPr>
              <w:spacing w:before="240" w:after="240"/>
              <w:rPr>
                <w:b/>
                <w:color w:val="FFFFFF" w:themeColor="background1"/>
                <w:lang w:val="en"/>
              </w:rPr>
            </w:pPr>
            <w:r w:rsidRPr="0027599F">
              <w:rPr>
                <w:b/>
                <w:color w:val="FFFFFF" w:themeColor="background1"/>
                <w:lang w:val="en"/>
              </w:rPr>
              <w:t xml:space="preserve">Use the </w:t>
            </w:r>
            <w:hyperlink r:id="rId153">
              <w:r w:rsidRPr="0027599F">
                <w:rPr>
                  <w:rStyle w:val="Hyperlink"/>
                  <w:b/>
                  <w:color w:val="FFFFFF" w:themeColor="background1"/>
                  <w:lang w:val="en"/>
                </w:rPr>
                <w:t>Aged Care Assessment Quality Framework</w:t>
              </w:r>
            </w:hyperlink>
            <w:r w:rsidRPr="0027599F">
              <w:rPr>
                <w:b/>
                <w:color w:val="FFFFFF" w:themeColor="background1"/>
                <w:lang w:val="en"/>
              </w:rPr>
              <w:t xml:space="preserve"> </w:t>
            </w:r>
          </w:p>
        </w:tc>
        <w:tc>
          <w:tcPr>
            <w:tcW w:w="6662" w:type="dxa"/>
          </w:tcPr>
          <w:p w14:paraId="77372E36" w14:textId="1C33B673" w:rsidR="007A743C" w:rsidRPr="002F7D7D" w:rsidRDefault="0024535D" w:rsidP="00A53035">
            <w:pPr>
              <w:pStyle w:val="ListParagraph"/>
              <w:numPr>
                <w:ilvl w:val="0"/>
                <w:numId w:val="59"/>
              </w:numPr>
              <w:spacing w:before="240" w:after="240"/>
              <w:ind w:left="741" w:hanging="425"/>
              <w:rPr>
                <w:lang w:val="en-US"/>
              </w:rPr>
            </w:pPr>
            <w:r>
              <w:rPr>
                <w:lang w:val="en-US"/>
              </w:rPr>
              <w:t>U</w:t>
            </w:r>
            <w:r w:rsidRPr="45288FFC">
              <w:rPr>
                <w:lang w:val="en-US"/>
              </w:rPr>
              <w:t>se</w:t>
            </w:r>
            <w:r w:rsidR="007A743C" w:rsidRPr="45288FFC">
              <w:rPr>
                <w:lang w:val="en-US"/>
              </w:rPr>
              <w:t xml:space="preserve"> the four quality goals, personal, effective, connected and safe in your assessment practice</w:t>
            </w:r>
            <w:r>
              <w:rPr>
                <w:lang w:val="en-US"/>
              </w:rPr>
              <w:t>.</w:t>
            </w:r>
          </w:p>
        </w:tc>
      </w:tr>
      <w:tr w:rsidR="00BA1EF7" w:rsidRPr="002F7D7D" w14:paraId="2271D270" w14:textId="77777777" w:rsidTr="001F6B35">
        <w:tc>
          <w:tcPr>
            <w:tcW w:w="2127" w:type="dxa"/>
            <w:shd w:val="clear" w:color="auto" w:fill="002060"/>
          </w:tcPr>
          <w:p w14:paraId="3CB6C0F8" w14:textId="402D4686" w:rsidR="007A743C" w:rsidRPr="0027599F" w:rsidRDefault="007A743C" w:rsidP="00A677C9">
            <w:pPr>
              <w:spacing w:before="240" w:after="240"/>
              <w:rPr>
                <w:b/>
                <w:color w:val="FFFFFF" w:themeColor="background1"/>
                <w:lang w:val="en"/>
              </w:rPr>
            </w:pPr>
            <w:r w:rsidRPr="0027599F">
              <w:rPr>
                <w:rFonts w:hint="eastAsia"/>
                <w:b/>
                <w:color w:val="FFFFFF" w:themeColor="background1"/>
                <w:lang w:val="en"/>
              </w:rPr>
              <w:t>Use a c</w:t>
            </w:r>
            <w:r w:rsidRPr="0027599F">
              <w:rPr>
                <w:b/>
                <w:color w:val="FFFFFF" w:themeColor="background1"/>
                <w:lang w:val="en"/>
              </w:rPr>
              <w:t xml:space="preserve">onversational approach </w:t>
            </w:r>
            <w:r w:rsidRPr="0027599F">
              <w:rPr>
                <w:rFonts w:hint="eastAsia"/>
                <w:b/>
                <w:color w:val="FFFFFF" w:themeColor="background1"/>
                <w:lang w:val="en"/>
              </w:rPr>
              <w:t>when interacting with the older person</w:t>
            </w:r>
          </w:p>
          <w:p w14:paraId="4A15AEE1" w14:textId="77777777" w:rsidR="007A743C" w:rsidRPr="0027599F" w:rsidRDefault="007A743C" w:rsidP="00A677C9">
            <w:pPr>
              <w:pStyle w:val="ListParagraph"/>
              <w:spacing w:before="240" w:after="240"/>
              <w:ind w:left="567"/>
              <w:rPr>
                <w:color w:val="FFFFFF" w:themeColor="background1"/>
                <w:lang w:val="en"/>
              </w:rPr>
            </w:pPr>
          </w:p>
        </w:tc>
        <w:tc>
          <w:tcPr>
            <w:tcW w:w="6662" w:type="dxa"/>
          </w:tcPr>
          <w:p w14:paraId="58763D86" w14:textId="74FBCA59" w:rsidR="00917600" w:rsidRDefault="00917600" w:rsidP="00DF3F6B">
            <w:pPr>
              <w:pStyle w:val="ListParagraph"/>
              <w:numPr>
                <w:ilvl w:val="0"/>
                <w:numId w:val="444"/>
              </w:numPr>
              <w:spacing w:before="240" w:after="240"/>
              <w:rPr>
                <w:lang w:val="en-US"/>
              </w:rPr>
            </w:pPr>
            <w:r w:rsidRPr="00917600">
              <w:t>Confirm with the older person that they are comfortable with digital devices being used during their assessment</w:t>
            </w:r>
            <w:r>
              <w:t>, e</w:t>
            </w:r>
            <w:r w:rsidRPr="00917600">
              <w:t>nsuring that the older person understands why and how the information recorded is used during the assessment.</w:t>
            </w:r>
          </w:p>
          <w:p w14:paraId="3CE2BDD6" w14:textId="71C61DE8" w:rsidR="007A743C" w:rsidRPr="002F7D7D" w:rsidRDefault="0024535D" w:rsidP="00DF3F6B">
            <w:pPr>
              <w:pStyle w:val="ListParagraph"/>
              <w:numPr>
                <w:ilvl w:val="0"/>
                <w:numId w:val="444"/>
              </w:numPr>
              <w:spacing w:before="240" w:after="240"/>
              <w:rPr>
                <w:lang w:val="en-US"/>
              </w:rPr>
            </w:pPr>
            <w:r>
              <w:rPr>
                <w:lang w:val="en-US"/>
              </w:rPr>
              <w:t>U</w:t>
            </w:r>
            <w:r w:rsidR="007A743C" w:rsidRPr="002F7D7D">
              <w:rPr>
                <w:lang w:val="en-US"/>
              </w:rPr>
              <w:t xml:space="preserve">se a conversational approach </w:t>
            </w:r>
            <w:r w:rsidR="007A743C" w:rsidRPr="002F7D7D">
              <w:rPr>
                <w:rFonts w:hint="eastAsia"/>
                <w:lang w:val="en-US"/>
              </w:rPr>
              <w:t>when asking questions</w:t>
            </w:r>
            <w:r w:rsidR="007A743C" w:rsidRPr="002F7D7D">
              <w:rPr>
                <w:lang w:val="en-US"/>
              </w:rPr>
              <w:t>,</w:t>
            </w:r>
            <w:r w:rsidR="007A743C" w:rsidRPr="002F7D7D">
              <w:rPr>
                <w:rFonts w:hint="eastAsia"/>
                <w:lang w:val="en-US"/>
              </w:rPr>
              <w:t xml:space="preserve"> rather than simply running through</w:t>
            </w:r>
            <w:r w:rsidR="007A743C" w:rsidRPr="002F7D7D">
              <w:rPr>
                <w:lang w:val="en-US"/>
              </w:rPr>
              <w:t xml:space="preserve"> </w:t>
            </w:r>
            <w:r w:rsidR="007A743C" w:rsidRPr="002F7D7D">
              <w:rPr>
                <w:rFonts w:hint="eastAsia"/>
                <w:lang w:val="en-US"/>
              </w:rPr>
              <w:t xml:space="preserve">the </w:t>
            </w:r>
            <w:r w:rsidR="007A743C" w:rsidRPr="002F7D7D">
              <w:rPr>
                <w:lang w:val="en-US"/>
              </w:rPr>
              <w:t xml:space="preserve">assessment questions and </w:t>
            </w:r>
            <w:r w:rsidR="007A743C" w:rsidRPr="002F7D7D">
              <w:rPr>
                <w:lang w:val="en"/>
              </w:rPr>
              <w:t>tick</w:t>
            </w:r>
            <w:r w:rsidR="007A743C" w:rsidRPr="002F7D7D">
              <w:rPr>
                <w:rFonts w:hint="eastAsia"/>
                <w:lang w:val="en"/>
              </w:rPr>
              <w:t>ing</w:t>
            </w:r>
            <w:r w:rsidR="007A743C" w:rsidRPr="002F7D7D">
              <w:rPr>
                <w:lang w:val="en"/>
              </w:rPr>
              <w:t xml:space="preserve"> boxes</w:t>
            </w:r>
            <w:r w:rsidR="007A743C" w:rsidRPr="1E629A1A">
              <w:rPr>
                <w:lang w:val="en"/>
              </w:rPr>
              <w:t>. E</w:t>
            </w:r>
            <w:r w:rsidR="007A743C" w:rsidRPr="002F7D7D">
              <w:rPr>
                <w:lang w:val="en-US"/>
              </w:rPr>
              <w:t>nsure your conversation is undertaken in a manner that is respectful, non-judgmental, and non-confrontational.</w:t>
            </w:r>
          </w:p>
          <w:p w14:paraId="61999B40" w14:textId="403599C2" w:rsidR="007A743C" w:rsidRPr="002F7D7D" w:rsidRDefault="00753637" w:rsidP="00DF3F6B">
            <w:pPr>
              <w:pStyle w:val="ListParagraph"/>
              <w:numPr>
                <w:ilvl w:val="0"/>
                <w:numId w:val="444"/>
              </w:numPr>
              <w:spacing w:before="240" w:after="240"/>
              <w:rPr>
                <w:lang w:val="en"/>
              </w:rPr>
            </w:pPr>
            <w:r>
              <w:rPr>
                <w:lang w:val="en"/>
              </w:rPr>
              <w:t>K</w:t>
            </w:r>
            <w:r w:rsidRPr="002F7D7D">
              <w:rPr>
                <w:lang w:val="en"/>
              </w:rPr>
              <w:t>now</w:t>
            </w:r>
            <w:r w:rsidR="007A743C" w:rsidRPr="002F7D7D">
              <w:rPr>
                <w:lang w:val="en"/>
              </w:rPr>
              <w:t xml:space="preserve"> when and how to </w:t>
            </w:r>
            <w:r w:rsidR="007A743C" w:rsidRPr="002F7D7D">
              <w:rPr>
                <w:rFonts w:hint="eastAsia"/>
                <w:lang w:val="en"/>
              </w:rPr>
              <w:t xml:space="preserve">best </w:t>
            </w:r>
            <w:r w:rsidR="007A743C" w:rsidRPr="002F7D7D">
              <w:rPr>
                <w:lang w:val="en"/>
              </w:rPr>
              <w:t>use closed, open, direct, and indirect questioning</w:t>
            </w:r>
            <w:r>
              <w:rPr>
                <w:lang w:val="en"/>
              </w:rPr>
              <w:t>.</w:t>
            </w:r>
          </w:p>
          <w:p w14:paraId="5CE5BE4A" w14:textId="189A0A59" w:rsidR="007A743C" w:rsidRPr="002F7D7D" w:rsidRDefault="00753637" w:rsidP="00DF3F6B">
            <w:pPr>
              <w:pStyle w:val="ListParagraph"/>
              <w:numPr>
                <w:ilvl w:val="0"/>
                <w:numId w:val="444"/>
              </w:numPr>
              <w:spacing w:before="240" w:after="240"/>
              <w:rPr>
                <w:lang w:val="en-US"/>
              </w:rPr>
            </w:pPr>
            <w:r>
              <w:rPr>
                <w:lang w:val="en-US"/>
              </w:rPr>
              <w:t>U</w:t>
            </w:r>
            <w:r w:rsidRPr="45288FFC">
              <w:rPr>
                <w:lang w:val="en-US"/>
              </w:rPr>
              <w:t>se</w:t>
            </w:r>
            <w:r w:rsidR="007A743C" w:rsidRPr="45288FFC">
              <w:rPr>
                <w:lang w:val="en-US"/>
              </w:rPr>
              <w:t xml:space="preserve"> motivational interviewing techniques </w:t>
            </w:r>
            <w:r w:rsidR="007A743C" w:rsidRPr="45288FFC">
              <w:rPr>
                <w:rFonts w:hint="eastAsia"/>
                <w:lang w:val="en-US"/>
              </w:rPr>
              <w:t xml:space="preserve">such as </w:t>
            </w:r>
            <w:r w:rsidR="007A743C" w:rsidRPr="45288FFC">
              <w:rPr>
                <w:lang w:val="en-US"/>
              </w:rPr>
              <w:t>expressing</w:t>
            </w:r>
            <w:r w:rsidR="007A743C" w:rsidRPr="45288FFC">
              <w:rPr>
                <w:rFonts w:hint="eastAsia"/>
                <w:lang w:val="en-US"/>
              </w:rPr>
              <w:t xml:space="preserve"> empathy and eliciting self-motivational statements</w:t>
            </w:r>
            <w:r w:rsidR="007A743C" w:rsidRPr="45288FFC">
              <w:rPr>
                <w:lang w:val="en-US"/>
              </w:rPr>
              <w:t>.</w:t>
            </w:r>
          </w:p>
          <w:p w14:paraId="6EAA6EE3" w14:textId="3416741D" w:rsidR="007A743C" w:rsidRPr="002F7D7D" w:rsidRDefault="00753637" w:rsidP="00DF3F6B">
            <w:pPr>
              <w:pStyle w:val="ListParagraph"/>
              <w:numPr>
                <w:ilvl w:val="0"/>
                <w:numId w:val="444"/>
              </w:numPr>
              <w:spacing w:before="240" w:after="240"/>
              <w:rPr>
                <w:lang w:val="en"/>
              </w:rPr>
            </w:pPr>
            <w:r>
              <w:rPr>
                <w:lang w:val="en"/>
              </w:rPr>
              <w:t>U</w:t>
            </w:r>
            <w:r w:rsidRPr="002F7D7D">
              <w:rPr>
                <w:lang w:val="en"/>
              </w:rPr>
              <w:t xml:space="preserve">se </w:t>
            </w:r>
            <w:r w:rsidR="007A743C" w:rsidRPr="002F7D7D">
              <w:rPr>
                <w:lang w:val="en"/>
              </w:rPr>
              <w:t>active listening skills</w:t>
            </w:r>
            <w:r>
              <w:rPr>
                <w:lang w:val="en"/>
              </w:rPr>
              <w:t>.</w:t>
            </w:r>
          </w:p>
          <w:p w14:paraId="3C896F42" w14:textId="66AE8927" w:rsidR="007A743C" w:rsidRPr="002F7D7D" w:rsidRDefault="001177D0" w:rsidP="00DF3F6B">
            <w:pPr>
              <w:pStyle w:val="ListParagraph"/>
              <w:numPr>
                <w:ilvl w:val="0"/>
                <w:numId w:val="444"/>
              </w:numPr>
              <w:spacing w:before="240" w:after="240"/>
              <w:rPr>
                <w:lang w:val="en"/>
              </w:rPr>
            </w:pPr>
            <w:r w:rsidRPr="001177D0">
              <w:rPr>
                <w:lang w:val="en-US"/>
              </w:rPr>
              <w:t>Make eye contact to help engage the older person in the assessment process, unless it is culturally inappropriate to do so. For example, some Aboriginal and Torres Strait Islander people may consider direct eye contacts disrespectful or uncomfortable, but others may be more comfortable with Western norms of communication</w:t>
            </w:r>
            <w:r w:rsidR="00B12BFB">
              <w:rPr>
                <w:lang w:val="en-US"/>
              </w:rPr>
              <w:t xml:space="preserve">. </w:t>
            </w:r>
            <w:r w:rsidR="00FE0673">
              <w:rPr>
                <w:lang w:val="en"/>
              </w:rPr>
              <w:t>I</w:t>
            </w:r>
            <w:r w:rsidR="007A743C" w:rsidRPr="002F7D7D">
              <w:rPr>
                <w:lang w:val="en"/>
              </w:rPr>
              <w:t>f using a computer at the older person’s home, ensure you are not focused on just the computer</w:t>
            </w:r>
            <w:r w:rsidR="00FE0673">
              <w:rPr>
                <w:lang w:val="en"/>
              </w:rPr>
              <w:t>.</w:t>
            </w:r>
          </w:p>
          <w:p w14:paraId="33A88F43" w14:textId="77777777" w:rsidR="007A743C" w:rsidRDefault="00FE0673" w:rsidP="00DF3F6B">
            <w:pPr>
              <w:pStyle w:val="ListParagraph"/>
              <w:numPr>
                <w:ilvl w:val="0"/>
                <w:numId w:val="444"/>
              </w:numPr>
              <w:spacing w:before="240" w:after="240"/>
              <w:rPr>
                <w:lang w:val="en-US"/>
              </w:rPr>
            </w:pPr>
            <w:r w:rsidRPr="4A9A4A66">
              <w:rPr>
                <w:lang w:val="en-US"/>
              </w:rPr>
              <w:t>G</w:t>
            </w:r>
            <w:r w:rsidR="007A743C" w:rsidRPr="4A9A4A66">
              <w:rPr>
                <w:lang w:val="en-US"/>
              </w:rPr>
              <w:t>auge the older person’s level of engagement in the assessment. Look for signs of fatigue or discomfort and adjust approach accordingly</w:t>
            </w:r>
            <w:r w:rsidRPr="4A9A4A66">
              <w:rPr>
                <w:lang w:val="en-US"/>
              </w:rPr>
              <w:t>.</w:t>
            </w:r>
          </w:p>
          <w:p w14:paraId="3E746CA3" w14:textId="77777777" w:rsidR="009063DD" w:rsidRDefault="009063DD" w:rsidP="00A677C9">
            <w:pPr>
              <w:pStyle w:val="ListParagraph"/>
              <w:spacing w:before="240" w:after="240"/>
              <w:ind w:left="318"/>
              <w:rPr>
                <w:lang w:val="en-US"/>
              </w:rPr>
            </w:pPr>
          </w:p>
          <w:p w14:paraId="590CA383" w14:textId="6C777946" w:rsidR="003072F9" w:rsidRDefault="00207A3F" w:rsidP="00A677C9">
            <w:pPr>
              <w:pStyle w:val="ListParagraph"/>
              <w:spacing w:before="240" w:after="240"/>
              <w:ind w:left="318"/>
              <w:rPr>
                <w:lang w:val="en-US"/>
              </w:rPr>
            </w:pPr>
            <w:r>
              <w:rPr>
                <w:lang w:val="en-US"/>
              </w:rPr>
              <w:t xml:space="preserve">For Aboriginal and Torres Strait </w:t>
            </w:r>
            <w:r w:rsidR="00357722">
              <w:rPr>
                <w:lang w:val="en-US"/>
              </w:rPr>
              <w:t>Islander clients</w:t>
            </w:r>
          </w:p>
          <w:p w14:paraId="17E69B6E" w14:textId="1CD8EFF4" w:rsidR="00207A3F" w:rsidRDefault="73D9E90D" w:rsidP="00DF3F6B">
            <w:pPr>
              <w:pStyle w:val="ListParagraph"/>
              <w:numPr>
                <w:ilvl w:val="0"/>
                <w:numId w:val="444"/>
              </w:numPr>
              <w:spacing w:before="240" w:after="240"/>
              <w:rPr>
                <w:lang w:val="en-US"/>
              </w:rPr>
            </w:pPr>
            <w:r w:rsidRPr="3FD93375">
              <w:rPr>
                <w:lang w:val="en-US"/>
              </w:rPr>
              <w:t>Observe</w:t>
            </w:r>
            <w:r w:rsidR="00357722">
              <w:rPr>
                <w:lang w:val="en-US"/>
              </w:rPr>
              <w:t xml:space="preserve"> the local cultures and customs when conducting the assessment.</w:t>
            </w:r>
          </w:p>
          <w:p w14:paraId="31E5AC95" w14:textId="4688F3C2" w:rsidR="001D2F3E" w:rsidRDefault="1B96F9B0" w:rsidP="00DF3F6B">
            <w:pPr>
              <w:pStyle w:val="ListParagraph"/>
              <w:numPr>
                <w:ilvl w:val="0"/>
                <w:numId w:val="444"/>
              </w:numPr>
              <w:spacing w:before="240" w:after="240"/>
            </w:pPr>
            <w:r>
              <w:t>S</w:t>
            </w:r>
            <w:r w:rsidR="64C7D3A0">
              <w:t>tart</w:t>
            </w:r>
            <w:r w:rsidR="001D2F3E">
              <w:t xml:space="preserve"> with a social yarn to build rapport and trust. Share stories or other topics of common interest.</w:t>
            </w:r>
          </w:p>
          <w:p w14:paraId="16784210" w14:textId="77777777" w:rsidR="005B2E9A" w:rsidRDefault="005B2E9A" w:rsidP="00DF3F6B">
            <w:pPr>
              <w:pStyle w:val="ListParagraph"/>
              <w:numPr>
                <w:ilvl w:val="0"/>
                <w:numId w:val="444"/>
              </w:numPr>
              <w:spacing w:before="240" w:after="240"/>
            </w:pPr>
            <w:r w:rsidRPr="001B3721">
              <w:t>Take a whole-of-person approach to the discussion – understanding what</w:t>
            </w:r>
            <w:r>
              <w:t xml:space="preserve"> </w:t>
            </w:r>
            <w:r w:rsidRPr="001B3721">
              <w:t>motivates a person and contributes to their wellbeing – spiritual, emotional,</w:t>
            </w:r>
            <w:r>
              <w:t xml:space="preserve"> </w:t>
            </w:r>
            <w:r w:rsidRPr="001B3721">
              <w:t>and physical.</w:t>
            </w:r>
          </w:p>
          <w:p w14:paraId="518A8B56" w14:textId="3011CF1B" w:rsidR="00F13C0C" w:rsidRDefault="5B53FF91" w:rsidP="00DF3F6B">
            <w:pPr>
              <w:pStyle w:val="ListParagraph"/>
              <w:numPr>
                <w:ilvl w:val="0"/>
                <w:numId w:val="444"/>
              </w:numPr>
              <w:spacing w:before="240" w:after="240"/>
            </w:pPr>
            <w:r>
              <w:t xml:space="preserve">Explain to the older person and any support </w:t>
            </w:r>
            <w:r w:rsidR="0004642C">
              <w:t>people</w:t>
            </w:r>
            <w:r>
              <w:t xml:space="preserve"> present that if they feel uncomfortable during the assessment at any time, the assessment will be paused and rescheduled to ensure their wellbeing. </w:t>
            </w:r>
            <w:r w:rsidR="006E78E0">
              <w:t>A</w:t>
            </w:r>
            <w:r w:rsidR="00BF7FC9" w:rsidRPr="00A64370">
              <w:t xml:space="preserve">llow for multiple visits, if required, to build trust and develop a relationship between the assessor and the older person </w:t>
            </w:r>
          </w:p>
          <w:p w14:paraId="2694F3DF" w14:textId="7EFDBF89" w:rsidR="00A91605" w:rsidRPr="00A64370" w:rsidRDefault="4362AFDA" w:rsidP="00DF3F6B">
            <w:pPr>
              <w:pStyle w:val="ListParagraph"/>
              <w:numPr>
                <w:ilvl w:val="0"/>
                <w:numId w:val="444"/>
              </w:numPr>
              <w:spacing w:before="240" w:after="240"/>
            </w:pPr>
            <w:r>
              <w:t>W</w:t>
            </w:r>
            <w:r w:rsidR="298788F1">
              <w:t>elcome</w:t>
            </w:r>
            <w:r w:rsidR="00A91605" w:rsidRPr="00A64370">
              <w:t xml:space="preserve"> the presence of the older person</w:t>
            </w:r>
            <w:r w:rsidR="00401E5E">
              <w:t>’</w:t>
            </w:r>
            <w:r w:rsidR="00A91605" w:rsidRPr="00A64370">
              <w:t xml:space="preserve">s family member or advocate to be part of the meetings </w:t>
            </w:r>
          </w:p>
          <w:p w14:paraId="7F7E117D" w14:textId="7E118F8C" w:rsidR="007A743C" w:rsidRPr="00282961" w:rsidRDefault="7DB24B57" w:rsidP="00DF3F6B">
            <w:pPr>
              <w:pStyle w:val="ListParagraph"/>
              <w:numPr>
                <w:ilvl w:val="0"/>
                <w:numId w:val="444"/>
              </w:numPr>
              <w:spacing w:before="240" w:after="240"/>
            </w:pPr>
            <w:r>
              <w:t>T</w:t>
            </w:r>
            <w:r w:rsidR="6A1C4298">
              <w:t>ake</w:t>
            </w:r>
            <w:r w:rsidR="00F6556B" w:rsidRPr="00A64370">
              <w:t xml:space="preserve"> a less formal, yarning approach to aged care assessment.  </w:t>
            </w:r>
          </w:p>
        </w:tc>
      </w:tr>
      <w:tr w:rsidR="00BA1EF7" w:rsidRPr="002F7D7D" w14:paraId="352D7FEE" w14:textId="77777777" w:rsidTr="001F6B35">
        <w:tc>
          <w:tcPr>
            <w:tcW w:w="2127" w:type="dxa"/>
            <w:shd w:val="clear" w:color="auto" w:fill="002060"/>
          </w:tcPr>
          <w:p w14:paraId="03A2C711" w14:textId="77777777" w:rsidR="007A743C" w:rsidRPr="0027599F" w:rsidRDefault="007A743C" w:rsidP="00A677C9">
            <w:pPr>
              <w:spacing w:before="240" w:after="240"/>
              <w:rPr>
                <w:b/>
                <w:color w:val="FFFFFF" w:themeColor="background1"/>
                <w:lang w:val="en-US"/>
              </w:rPr>
            </w:pPr>
            <w:r w:rsidRPr="0027599F">
              <w:rPr>
                <w:rFonts w:hint="eastAsia"/>
                <w:b/>
                <w:color w:val="FFFFFF" w:themeColor="background1"/>
                <w:lang w:val="en-US"/>
              </w:rPr>
              <w:t>Use appropriate l</w:t>
            </w:r>
            <w:r w:rsidRPr="0027599F">
              <w:rPr>
                <w:b/>
                <w:color w:val="FFFFFF" w:themeColor="background1"/>
                <w:lang w:val="en-US"/>
              </w:rPr>
              <w:t xml:space="preserve">anguage </w:t>
            </w:r>
            <w:r w:rsidRPr="0027599F">
              <w:rPr>
                <w:rFonts w:hint="eastAsia"/>
                <w:b/>
                <w:color w:val="FFFFFF" w:themeColor="background1"/>
                <w:lang w:val="en-US"/>
              </w:rPr>
              <w:t>when speaking with the older person</w:t>
            </w:r>
          </w:p>
          <w:p w14:paraId="16BB8961" w14:textId="77777777" w:rsidR="007A743C" w:rsidRPr="0027599F" w:rsidRDefault="007A743C" w:rsidP="00A677C9">
            <w:pPr>
              <w:spacing w:before="240" w:after="240"/>
              <w:rPr>
                <w:b/>
                <w:color w:val="FFFFFF" w:themeColor="background1"/>
                <w:lang w:val="en"/>
              </w:rPr>
            </w:pPr>
          </w:p>
        </w:tc>
        <w:tc>
          <w:tcPr>
            <w:tcW w:w="6662" w:type="dxa"/>
          </w:tcPr>
          <w:p w14:paraId="33921C8A" w14:textId="062AAFA1" w:rsidR="007A743C" w:rsidRPr="002F7D7D" w:rsidRDefault="00FE0673" w:rsidP="00DF3F6B">
            <w:pPr>
              <w:pStyle w:val="ListParagraph"/>
              <w:numPr>
                <w:ilvl w:val="0"/>
                <w:numId w:val="59"/>
              </w:numPr>
              <w:spacing w:before="240" w:after="240"/>
              <w:ind w:left="318"/>
              <w:rPr>
                <w:lang w:val="en"/>
              </w:rPr>
            </w:pPr>
            <w:r>
              <w:rPr>
                <w:lang w:val="en"/>
              </w:rPr>
              <w:t>U</w:t>
            </w:r>
            <w:r w:rsidR="007A743C" w:rsidRPr="002F7D7D">
              <w:rPr>
                <w:lang w:val="en"/>
              </w:rPr>
              <w:t>se needs-focused language, explaining what could be short-term vs. long-term</w:t>
            </w:r>
            <w:r w:rsidR="007A743C" w:rsidRPr="002F7D7D">
              <w:rPr>
                <w:rFonts w:hint="eastAsia"/>
                <w:lang w:val="en"/>
              </w:rPr>
              <w:t xml:space="preserve"> options to meet their need</w:t>
            </w:r>
            <w:r w:rsidR="007A743C" w:rsidRPr="002F7D7D">
              <w:rPr>
                <w:lang w:val="en"/>
              </w:rPr>
              <w:t>s</w:t>
            </w:r>
            <w:r>
              <w:rPr>
                <w:lang w:val="en"/>
              </w:rPr>
              <w:t>.</w:t>
            </w:r>
          </w:p>
          <w:p w14:paraId="075DACDC" w14:textId="68705BC6" w:rsidR="007A743C" w:rsidRPr="002F7D7D" w:rsidRDefault="00FE0673" w:rsidP="00DF3F6B">
            <w:pPr>
              <w:pStyle w:val="ListParagraph"/>
              <w:numPr>
                <w:ilvl w:val="0"/>
                <w:numId w:val="59"/>
              </w:numPr>
              <w:spacing w:before="240" w:after="240"/>
              <w:ind w:left="318"/>
              <w:rPr>
                <w:lang w:val="en-US"/>
              </w:rPr>
            </w:pPr>
            <w:r>
              <w:rPr>
                <w:lang w:val="en-US"/>
              </w:rPr>
              <w:t>U</w:t>
            </w:r>
            <w:r w:rsidR="007A743C" w:rsidRPr="002F7D7D">
              <w:rPr>
                <w:lang w:val="en-US"/>
              </w:rPr>
              <w:t>se language that is positive and not dismissive. If necessary, potentially sensitive topics (such as lack of service availability or older person fees) can be introduced at the appropriate place during the assessment process after the older person’s areas of concern and goals have been identified, and when support options are being explored in the Support Plan stage</w:t>
            </w:r>
            <w:r>
              <w:rPr>
                <w:lang w:val="en-US"/>
              </w:rPr>
              <w:t>.</w:t>
            </w:r>
          </w:p>
          <w:p w14:paraId="2FBD156B" w14:textId="4EC2B31D" w:rsidR="007A743C" w:rsidRPr="002F7D7D" w:rsidRDefault="00FE0673" w:rsidP="00DF3F6B">
            <w:pPr>
              <w:pStyle w:val="ListParagraph"/>
              <w:numPr>
                <w:ilvl w:val="0"/>
                <w:numId w:val="59"/>
              </w:numPr>
              <w:spacing w:before="240" w:after="240"/>
              <w:ind w:left="318"/>
              <w:rPr>
                <w:lang w:val="en-US"/>
              </w:rPr>
            </w:pPr>
            <w:r>
              <w:rPr>
                <w:lang w:val="en-US"/>
              </w:rPr>
              <w:t>U</w:t>
            </w:r>
            <w:r w:rsidR="007A743C" w:rsidRPr="002F7D7D">
              <w:rPr>
                <w:lang w:val="en-US"/>
              </w:rPr>
              <w:t>se language that focuses on the older person’s strengths, abilities and what they want to achieve and how these could be further supported – a focus on independence</w:t>
            </w:r>
            <w:r>
              <w:rPr>
                <w:lang w:val="en-US"/>
              </w:rPr>
              <w:t>.</w:t>
            </w:r>
          </w:p>
          <w:p w14:paraId="74DF69B2" w14:textId="108C43EC" w:rsidR="00B15351" w:rsidRDefault="00B15351" w:rsidP="00DF3F6B">
            <w:pPr>
              <w:pStyle w:val="ListParagraph"/>
              <w:numPr>
                <w:ilvl w:val="0"/>
                <w:numId w:val="59"/>
              </w:numPr>
              <w:spacing w:before="240" w:after="240"/>
              <w:ind w:left="318"/>
              <w:rPr>
                <w:lang w:val="en-US"/>
              </w:rPr>
            </w:pPr>
            <w:r>
              <w:rPr>
                <w:lang w:val="en-US"/>
              </w:rPr>
              <w:t>Take the time to explain what will happen</w:t>
            </w:r>
          </w:p>
          <w:p w14:paraId="18D28FD5" w14:textId="605266A2" w:rsidR="00E409F2" w:rsidRPr="002F7D7D" w:rsidRDefault="00E409F2" w:rsidP="00DF3F6B">
            <w:pPr>
              <w:pStyle w:val="ListParagraph"/>
              <w:numPr>
                <w:ilvl w:val="0"/>
                <w:numId w:val="59"/>
              </w:numPr>
              <w:spacing w:before="240" w:after="240"/>
              <w:ind w:left="318"/>
              <w:rPr>
                <w:lang w:val="en-US"/>
              </w:rPr>
            </w:pPr>
            <w:r>
              <w:rPr>
                <w:lang w:val="en-US"/>
              </w:rPr>
              <w:t>Use informal and the local language where possible and avoid jargon</w:t>
            </w:r>
          </w:p>
          <w:p w14:paraId="03EB64C5" w14:textId="1502AB17" w:rsidR="007A743C" w:rsidRPr="002F7D7D" w:rsidRDefault="00FE0673" w:rsidP="00DF3F6B">
            <w:pPr>
              <w:pStyle w:val="ListParagraph"/>
              <w:numPr>
                <w:ilvl w:val="0"/>
                <w:numId w:val="59"/>
              </w:numPr>
              <w:spacing w:before="240" w:after="240"/>
              <w:ind w:left="318"/>
              <w:rPr>
                <w:lang w:val="en-US"/>
              </w:rPr>
            </w:pPr>
            <w:r>
              <w:rPr>
                <w:lang w:val="en-US"/>
              </w:rPr>
              <w:t>A</w:t>
            </w:r>
            <w:r w:rsidR="007A743C">
              <w:rPr>
                <w:lang w:val="en-US"/>
              </w:rPr>
              <w:t>djust language as needed to ensure sensitivity towards End-of-Life Pathway participants (for example, focusing on more immediate needs rather than longer-term goals)</w:t>
            </w:r>
            <w:r>
              <w:rPr>
                <w:lang w:val="en-US"/>
              </w:rPr>
              <w:t>.</w:t>
            </w:r>
          </w:p>
          <w:p w14:paraId="78858433" w14:textId="07AE409E" w:rsidR="007A743C" w:rsidRPr="002F7D7D" w:rsidRDefault="00FE0673" w:rsidP="00DF3F6B">
            <w:pPr>
              <w:pStyle w:val="ListParagraph"/>
              <w:numPr>
                <w:ilvl w:val="0"/>
                <w:numId w:val="59"/>
              </w:numPr>
              <w:spacing w:before="240" w:after="240"/>
              <w:ind w:left="318"/>
              <w:rPr>
                <w:lang w:val="en-US"/>
              </w:rPr>
            </w:pPr>
            <w:r>
              <w:rPr>
                <w:lang w:val="en-US"/>
              </w:rPr>
              <w:t>R</w:t>
            </w:r>
            <w:r w:rsidR="007A743C" w:rsidRPr="002F7D7D">
              <w:rPr>
                <w:lang w:val="en-US"/>
              </w:rPr>
              <w:t>eflect the conversation back to the older person to ensure you have understood what was said and agreed on</w:t>
            </w:r>
            <w:r w:rsidR="00F66212">
              <w:rPr>
                <w:lang w:val="en-US"/>
              </w:rPr>
              <w:t>.</w:t>
            </w:r>
          </w:p>
        </w:tc>
      </w:tr>
      <w:tr w:rsidR="00BA1EF7" w:rsidRPr="002F7D7D" w14:paraId="61D89C23" w14:textId="77777777" w:rsidTr="001F6B35">
        <w:tc>
          <w:tcPr>
            <w:tcW w:w="2127" w:type="dxa"/>
            <w:shd w:val="clear" w:color="auto" w:fill="002060"/>
          </w:tcPr>
          <w:p w14:paraId="2D919A6A" w14:textId="77777777" w:rsidR="007A743C" w:rsidRPr="0027599F" w:rsidRDefault="007A743C" w:rsidP="00A677C9">
            <w:pPr>
              <w:spacing w:before="240" w:after="240"/>
              <w:rPr>
                <w:b/>
                <w:color w:val="FFFFFF" w:themeColor="background1"/>
                <w:lang w:val="en"/>
              </w:rPr>
            </w:pPr>
            <w:r w:rsidRPr="0027599F">
              <w:rPr>
                <w:b/>
                <w:color w:val="FFFFFF" w:themeColor="background1"/>
                <w:lang w:val="en"/>
              </w:rPr>
              <w:t>Interpreters or support person</w:t>
            </w:r>
          </w:p>
        </w:tc>
        <w:tc>
          <w:tcPr>
            <w:tcW w:w="6662" w:type="dxa"/>
          </w:tcPr>
          <w:p w14:paraId="45DD9CE3" w14:textId="42F1AE5D" w:rsidR="007A743C" w:rsidRPr="002F7D7D" w:rsidRDefault="007A743C" w:rsidP="00DF3F6B">
            <w:pPr>
              <w:pStyle w:val="ListParagraph"/>
              <w:numPr>
                <w:ilvl w:val="0"/>
                <w:numId w:val="59"/>
              </w:numPr>
              <w:spacing w:before="240" w:after="240"/>
              <w:ind w:left="318"/>
              <w:rPr>
                <w:lang w:val="en-US"/>
              </w:rPr>
            </w:pPr>
            <w:r w:rsidRPr="002F7D7D">
              <w:rPr>
                <w:lang w:val="en-US"/>
              </w:rPr>
              <w:t>where the older person prefers to communicate in a language other than English or has indicated in their record that a support person is required, an interpreter or support person must attend the assessment (either in-person or via phone)</w:t>
            </w:r>
            <w:r w:rsidR="00F66212">
              <w:rPr>
                <w:lang w:val="en-US"/>
              </w:rPr>
              <w:t>.</w:t>
            </w:r>
          </w:p>
        </w:tc>
      </w:tr>
      <w:tr w:rsidR="00BA1EF7" w:rsidRPr="002F7D7D" w14:paraId="20F45B81" w14:textId="77777777" w:rsidTr="001F6B35">
        <w:tc>
          <w:tcPr>
            <w:tcW w:w="2127" w:type="dxa"/>
            <w:shd w:val="clear" w:color="auto" w:fill="002060"/>
          </w:tcPr>
          <w:p w14:paraId="4DEAC53A" w14:textId="77777777" w:rsidR="007A743C" w:rsidRPr="0027599F" w:rsidRDefault="007A743C" w:rsidP="00A677C9">
            <w:pPr>
              <w:spacing w:before="240" w:after="240"/>
              <w:rPr>
                <w:b/>
                <w:color w:val="FFFFFF" w:themeColor="background1"/>
                <w:lang w:val="en"/>
              </w:rPr>
            </w:pPr>
            <w:r w:rsidRPr="0027599F">
              <w:rPr>
                <w:b/>
                <w:color w:val="FFFFFF" w:themeColor="background1"/>
              </w:rPr>
              <w:t>Supporting people with dementia and other cognitive impairments</w:t>
            </w:r>
          </w:p>
        </w:tc>
        <w:tc>
          <w:tcPr>
            <w:tcW w:w="6662" w:type="dxa"/>
          </w:tcPr>
          <w:p w14:paraId="429D2C18" w14:textId="69596F89"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Use simplified language where appropriate</w:t>
            </w:r>
            <w:r w:rsidR="00F66212">
              <w:rPr>
                <w:rFonts w:ascii="Arial" w:eastAsiaTheme="majorEastAsia" w:hAnsi="Arial" w:cs="Arial"/>
                <w:lang w:val="en-US"/>
              </w:rPr>
              <w:t>.</w:t>
            </w:r>
          </w:p>
          <w:p w14:paraId="22B16F62" w14:textId="77777777"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Repeat questions and information where needed</w:t>
            </w:r>
          </w:p>
          <w:p w14:paraId="0C0AD434" w14:textId="3794CA9E"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Be attuned to non-verbal signs that the person may need further information to help them understand</w:t>
            </w:r>
            <w:r w:rsidR="00F66212">
              <w:rPr>
                <w:rFonts w:ascii="Arial" w:eastAsiaTheme="majorEastAsia" w:hAnsi="Arial" w:cs="Arial"/>
                <w:lang w:val="en-US"/>
              </w:rPr>
              <w:t>.</w:t>
            </w:r>
          </w:p>
          <w:p w14:paraId="167B7AF4" w14:textId="20698F76"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Seek discrete responses to questions (e.g. ‘Yes’ or ‘No’, or choices between two options) rather than multiple options</w:t>
            </w:r>
            <w:r w:rsidR="00F66212">
              <w:rPr>
                <w:rFonts w:ascii="Arial" w:eastAsiaTheme="majorEastAsia" w:hAnsi="Arial" w:cs="Arial"/>
                <w:lang w:val="en-US"/>
              </w:rPr>
              <w:t>.</w:t>
            </w:r>
          </w:p>
          <w:p w14:paraId="1A288EA0" w14:textId="0CB16694" w:rsidR="007A743C" w:rsidRPr="00D927DC" w:rsidRDefault="007A743C" w:rsidP="00DF3F6B">
            <w:pPr>
              <w:pStyle w:val="pf0"/>
              <w:numPr>
                <w:ilvl w:val="0"/>
                <w:numId w:val="59"/>
              </w:numPr>
              <w:spacing w:before="240" w:beforeAutospacing="0" w:after="240" w:afterAutospacing="0"/>
              <w:ind w:left="318"/>
              <w:rPr>
                <w:rFonts w:ascii="Arial" w:eastAsiaTheme="majorEastAsia" w:hAnsi="Arial" w:cs="Arial"/>
                <w:lang w:val="en-US"/>
              </w:rPr>
            </w:pPr>
            <w:r w:rsidRPr="00D927DC">
              <w:rPr>
                <w:rFonts w:ascii="Arial" w:eastAsiaTheme="majorEastAsia" w:hAnsi="Arial" w:cs="Arial"/>
                <w:lang w:val="en-US"/>
              </w:rPr>
              <w:t>Provide ample time for a person to respond to questions</w:t>
            </w:r>
            <w:r w:rsidR="00F66212">
              <w:rPr>
                <w:rFonts w:ascii="Arial" w:eastAsiaTheme="majorEastAsia" w:hAnsi="Arial" w:cs="Arial"/>
                <w:lang w:val="en-US"/>
              </w:rPr>
              <w:t>.</w:t>
            </w:r>
          </w:p>
        </w:tc>
      </w:tr>
      <w:tr w:rsidR="00BA1EF7" w:rsidRPr="002F7D7D" w14:paraId="053D01BC" w14:textId="77777777" w:rsidTr="001F6B35">
        <w:trPr>
          <w:trHeight w:val="300"/>
        </w:trPr>
        <w:tc>
          <w:tcPr>
            <w:tcW w:w="2127" w:type="dxa"/>
            <w:shd w:val="clear" w:color="auto" w:fill="002060"/>
          </w:tcPr>
          <w:p w14:paraId="5967335C" w14:textId="77777777" w:rsidR="007A743C" w:rsidRPr="0027599F" w:rsidRDefault="007A743C" w:rsidP="00A677C9">
            <w:pPr>
              <w:spacing w:before="240" w:after="240"/>
              <w:rPr>
                <w:b/>
                <w:color w:val="FFFFFF" w:themeColor="background1"/>
              </w:rPr>
            </w:pPr>
            <w:r w:rsidRPr="0027599F">
              <w:rPr>
                <w:b/>
                <w:color w:val="FFFFFF" w:themeColor="background1"/>
              </w:rPr>
              <w:t>Using Validated Assessment Tools</w:t>
            </w:r>
          </w:p>
        </w:tc>
        <w:tc>
          <w:tcPr>
            <w:tcW w:w="6662" w:type="dxa"/>
          </w:tcPr>
          <w:p w14:paraId="672A45E8" w14:textId="05987A3D" w:rsidR="007A743C" w:rsidRDefault="007A743C" w:rsidP="00A677C9">
            <w:pPr>
              <w:spacing w:before="240" w:after="240"/>
              <w:rPr>
                <w:lang w:val="en-US"/>
              </w:rPr>
            </w:pPr>
            <w:r w:rsidRPr="002C5590">
              <w:rPr>
                <w:lang w:val="en-US"/>
              </w:rPr>
              <w:t xml:space="preserve">Assessors may wish to use assessment tools not included in the Validated Assessment </w:t>
            </w:r>
            <w:r w:rsidR="0063027A">
              <w:rPr>
                <w:lang w:val="en-US"/>
              </w:rPr>
              <w:t>T</w:t>
            </w:r>
            <w:r w:rsidRPr="002C5590">
              <w:rPr>
                <w:lang w:val="en-US"/>
              </w:rPr>
              <w:t xml:space="preserve">ools within the IAT to enhance assessment and strengthen objective evidence for </w:t>
            </w:r>
            <w:r>
              <w:rPr>
                <w:lang w:val="en-US"/>
              </w:rPr>
              <w:t xml:space="preserve">an </w:t>
            </w:r>
            <w:r w:rsidRPr="002C5590">
              <w:rPr>
                <w:lang w:val="en-US"/>
              </w:rPr>
              <w:t>assessment recommendation</w:t>
            </w:r>
            <w:r>
              <w:rPr>
                <w:lang w:val="en-US"/>
              </w:rPr>
              <w:t>(</w:t>
            </w:r>
            <w:r w:rsidRPr="002C5590">
              <w:rPr>
                <w:lang w:val="en-US"/>
              </w:rPr>
              <w:t>s</w:t>
            </w:r>
            <w:r>
              <w:rPr>
                <w:lang w:val="en-US"/>
              </w:rPr>
              <w:t>)</w:t>
            </w:r>
            <w:r w:rsidRPr="002C5590">
              <w:rPr>
                <w:lang w:val="en-US"/>
              </w:rPr>
              <w:t xml:space="preserve">. </w:t>
            </w:r>
            <w:r>
              <w:rPr>
                <w:lang w:val="en-US"/>
              </w:rPr>
              <w:t>T</w:t>
            </w:r>
            <w:r w:rsidRPr="002C5590">
              <w:rPr>
                <w:lang w:val="en-US"/>
              </w:rPr>
              <w:t>his is at the discretion of the assessment organisation.</w:t>
            </w:r>
          </w:p>
          <w:p w14:paraId="5BC8CE4A" w14:textId="5817C93B" w:rsidR="007A743C" w:rsidRDefault="007A743C" w:rsidP="00A677C9">
            <w:pPr>
              <w:spacing w:before="240" w:after="240"/>
              <w:rPr>
                <w:lang w:val="en-US"/>
              </w:rPr>
            </w:pPr>
            <w:r>
              <w:rPr>
                <w:lang w:val="en-US"/>
              </w:rPr>
              <w:t xml:space="preserve">Clinical assessors should use their clinical judgement to determine if it is appropriate to use other Validated Assessment Tools. If other </w:t>
            </w:r>
            <w:r w:rsidR="3D359DDB" w:rsidRPr="3FD93375">
              <w:rPr>
                <w:lang w:val="en-US"/>
              </w:rPr>
              <w:t xml:space="preserve">assessment </w:t>
            </w:r>
            <w:r>
              <w:rPr>
                <w:lang w:val="en-US"/>
              </w:rPr>
              <w:t xml:space="preserve">tools are used, the assessor should make a note of this in their assessment summary. </w:t>
            </w:r>
          </w:p>
          <w:p w14:paraId="419ED422" w14:textId="369CA5F4" w:rsidR="007A743C" w:rsidRPr="00D927DC" w:rsidRDefault="13DFA324" w:rsidP="00A677C9">
            <w:pPr>
              <w:spacing w:before="240" w:after="240"/>
              <w:rPr>
                <w:lang w:val="en-US"/>
              </w:rPr>
            </w:pPr>
            <w:r w:rsidRPr="3FD93375">
              <w:rPr>
                <w:lang w:val="en-US"/>
              </w:rPr>
              <w:t xml:space="preserve">The assessor should record assessment tool outcomes and recommendations based on these outcomes within the Assessment Summary. The assessor should also make sure that the older person and their support </w:t>
            </w:r>
            <w:r w:rsidR="00196CAC">
              <w:rPr>
                <w:lang w:val="en-US"/>
              </w:rPr>
              <w:t>people</w:t>
            </w:r>
            <w:r w:rsidRPr="3FD93375">
              <w:rPr>
                <w:lang w:val="en-US"/>
              </w:rPr>
              <w:t xml:space="preserve"> understand the outcome of any assessment tools used.</w:t>
            </w:r>
          </w:p>
        </w:tc>
      </w:tr>
      <w:tr w:rsidR="00BA1EF7" w:rsidRPr="002F7D7D" w14:paraId="4F6FDBB3" w14:textId="77777777" w:rsidTr="001F6B35">
        <w:trPr>
          <w:trHeight w:val="300"/>
        </w:trPr>
        <w:tc>
          <w:tcPr>
            <w:tcW w:w="2127" w:type="dxa"/>
            <w:shd w:val="clear" w:color="auto" w:fill="002060"/>
          </w:tcPr>
          <w:p w14:paraId="1078338F" w14:textId="77777777" w:rsidR="007A743C" w:rsidRPr="0027599F" w:rsidRDefault="007A743C" w:rsidP="00A677C9">
            <w:pPr>
              <w:spacing w:before="240" w:after="240"/>
              <w:rPr>
                <w:b/>
                <w:color w:val="FFFFFF" w:themeColor="background1"/>
              </w:rPr>
            </w:pPr>
            <w:r>
              <w:rPr>
                <w:b/>
                <w:color w:val="FFFFFF" w:themeColor="background1"/>
              </w:rPr>
              <w:t xml:space="preserve">Observing functional activities </w:t>
            </w:r>
          </w:p>
        </w:tc>
        <w:tc>
          <w:tcPr>
            <w:tcW w:w="6662" w:type="dxa"/>
          </w:tcPr>
          <w:p w14:paraId="6E5EB982" w14:textId="77777777" w:rsidR="007A743C" w:rsidRPr="00FE2047" w:rsidRDefault="007A743C" w:rsidP="00A677C9">
            <w:pPr>
              <w:spacing w:before="240" w:after="240"/>
              <w:rPr>
                <w:lang w:eastAsia="ko-KR"/>
              </w:rPr>
            </w:pPr>
            <w:r>
              <w:rPr>
                <w:lang w:eastAsia="ko-KR"/>
              </w:rPr>
              <w:t>Where possible, a</w:t>
            </w:r>
            <w:r w:rsidRPr="00FE2047">
              <w:rPr>
                <w:lang w:eastAsia="ko-KR"/>
              </w:rPr>
              <w:t xml:space="preserve">ssessors must observe the </w:t>
            </w:r>
            <w:r>
              <w:rPr>
                <w:lang w:eastAsia="ko-KR"/>
              </w:rPr>
              <w:t>older person</w:t>
            </w:r>
            <w:r w:rsidRPr="00FE2047">
              <w:rPr>
                <w:lang w:eastAsia="ko-KR"/>
              </w:rPr>
              <w:t xml:space="preserve">’s activities to gain insight beyond information that is conveyed just verbally by the </w:t>
            </w:r>
            <w:r>
              <w:rPr>
                <w:lang w:eastAsia="ko-KR"/>
              </w:rPr>
              <w:t>older person,</w:t>
            </w:r>
            <w:r w:rsidRPr="00FE2047">
              <w:rPr>
                <w:lang w:eastAsia="ko-KR"/>
              </w:rPr>
              <w:t xml:space="preserve"> </w:t>
            </w:r>
            <w:r>
              <w:rPr>
                <w:lang w:eastAsia="ko-KR"/>
              </w:rPr>
              <w:t>a registered supporter or anyone else who supports the older person</w:t>
            </w:r>
            <w:r w:rsidRPr="00FE2047">
              <w:rPr>
                <w:lang w:eastAsia="ko-KR"/>
              </w:rPr>
              <w:t>. Therefore</w:t>
            </w:r>
            <w:r>
              <w:rPr>
                <w:lang w:eastAsia="ko-KR"/>
              </w:rPr>
              <w:t>,</w:t>
            </w:r>
            <w:r w:rsidRPr="00FE2047">
              <w:rPr>
                <w:lang w:eastAsia="ko-KR"/>
              </w:rPr>
              <w:t xml:space="preserve"> collect information through additional means: </w:t>
            </w:r>
          </w:p>
          <w:p w14:paraId="42FF91C9" w14:textId="77777777" w:rsidR="007A743C" w:rsidRPr="00FE2047" w:rsidRDefault="007A743C" w:rsidP="00DF3F6B">
            <w:pPr>
              <w:pStyle w:val="ListParagraph"/>
              <w:numPr>
                <w:ilvl w:val="0"/>
                <w:numId w:val="59"/>
              </w:numPr>
              <w:spacing w:before="240" w:after="240"/>
              <w:ind w:left="567" w:hanging="283"/>
              <w:rPr>
                <w:lang w:val="en"/>
              </w:rPr>
            </w:pPr>
            <w:r w:rsidRPr="1B42B10E">
              <w:rPr>
                <w:lang w:val="en"/>
              </w:rPr>
              <w:t xml:space="preserve">ask the older person to </w:t>
            </w:r>
            <w:r w:rsidRPr="0069602C">
              <w:rPr>
                <w:rStyle w:val="SubtleEmphasis"/>
                <w:b/>
              </w:rPr>
              <w:t>show you</w:t>
            </w:r>
            <w:r w:rsidRPr="1B42B10E">
              <w:rPr>
                <w:lang w:val="en"/>
              </w:rPr>
              <w:t xml:space="preserve"> how tasks are completed in the home and </w:t>
            </w:r>
            <w:r w:rsidRPr="0069602C">
              <w:rPr>
                <w:rStyle w:val="SubtleEmphasis"/>
                <w:b/>
              </w:rPr>
              <w:t>observe</w:t>
            </w:r>
            <w:r w:rsidRPr="1B42B10E">
              <w:rPr>
                <w:lang w:val="en"/>
              </w:rPr>
              <w:t xml:space="preserve"> the older person undertaking those tasks (this is an ‘active’ assessment) and</w:t>
            </w:r>
          </w:p>
          <w:p w14:paraId="618892AD" w14:textId="77777777" w:rsidR="007A743C" w:rsidRPr="00323C4D" w:rsidRDefault="007A743C" w:rsidP="00DF3F6B">
            <w:pPr>
              <w:pStyle w:val="ListParagraph"/>
              <w:numPr>
                <w:ilvl w:val="0"/>
                <w:numId w:val="59"/>
              </w:numPr>
              <w:spacing w:before="240" w:after="240"/>
              <w:ind w:left="567" w:hanging="283"/>
              <w:rPr>
                <w:lang w:val="en"/>
              </w:rPr>
            </w:pPr>
            <w:r w:rsidRPr="017FF414">
              <w:rPr>
                <w:lang w:val="en"/>
              </w:rPr>
              <w:t xml:space="preserve">advise the older person </w:t>
            </w:r>
            <w:r w:rsidRPr="0069602C">
              <w:rPr>
                <w:rStyle w:val="SubtleEmphasis"/>
                <w:b/>
              </w:rPr>
              <w:t>what</w:t>
            </w:r>
            <w:r w:rsidRPr="017FF414">
              <w:rPr>
                <w:lang w:val="en"/>
              </w:rPr>
              <w:t xml:space="preserve"> you have observed/seen during the task.</w:t>
            </w:r>
          </w:p>
        </w:tc>
      </w:tr>
    </w:tbl>
    <w:p w14:paraId="3A4C6794" w14:textId="500A60CA" w:rsidR="00057751" w:rsidRDefault="00057751" w:rsidP="00C56CEC">
      <w:pPr>
        <w:pStyle w:val="H3"/>
      </w:pPr>
      <w:bookmarkStart w:id="400" w:name="_Ref46401659"/>
      <w:bookmarkStart w:id="401" w:name="_Ref46401842"/>
      <w:bookmarkStart w:id="402" w:name="_Ref48662612"/>
      <w:bookmarkStart w:id="403" w:name="_Toc159226880"/>
      <w:bookmarkStart w:id="404" w:name="_Toc184402297"/>
      <w:bookmarkStart w:id="405" w:name="_Toc204329552"/>
      <w:bookmarkStart w:id="406" w:name="_Toc499195602"/>
      <w:bookmarkStart w:id="407" w:name="_Ref51434060"/>
      <w:r>
        <w:t>Aboriginal and Torres Strait Islander assessment</w:t>
      </w:r>
      <w:r w:rsidR="2772E318">
        <w:t>s</w:t>
      </w:r>
      <w:r>
        <w:t xml:space="preserve"> </w:t>
      </w:r>
    </w:p>
    <w:p w14:paraId="50AF865B" w14:textId="34DEE799" w:rsidR="00394179" w:rsidRDefault="00394179" w:rsidP="00A677C9">
      <w:pPr>
        <w:spacing w:before="240" w:after="240" w:line="240" w:lineRule="auto"/>
        <w:rPr>
          <w:lang w:val="en-AU"/>
        </w:rPr>
      </w:pPr>
      <w:r>
        <w:rPr>
          <w:lang w:val="en-AU"/>
        </w:rPr>
        <w:t>To support timely access to services, a</w:t>
      </w:r>
      <w:r w:rsidRPr="00A35476">
        <w:rPr>
          <w:lang w:val="en-AU"/>
        </w:rPr>
        <w:t>ssessors are encouraged to use their</w:t>
      </w:r>
      <w:r>
        <w:rPr>
          <w:lang w:val="en-AU"/>
        </w:rPr>
        <w:t xml:space="preserve"> professional</w:t>
      </w:r>
      <w:r w:rsidRPr="00A35476">
        <w:rPr>
          <w:lang w:val="en-AU"/>
        </w:rPr>
        <w:t xml:space="preserve"> judgement to determine when an assessment can be completed in one session or</w:t>
      </w:r>
      <w:r>
        <w:rPr>
          <w:lang w:val="en-AU"/>
        </w:rPr>
        <w:t>,</w:t>
      </w:r>
      <w:r w:rsidRPr="00A35476">
        <w:rPr>
          <w:lang w:val="en-AU"/>
        </w:rPr>
        <w:t xml:space="preserve"> be split over </w:t>
      </w:r>
      <w:r>
        <w:rPr>
          <w:lang w:val="en-AU"/>
        </w:rPr>
        <w:t>a few</w:t>
      </w:r>
      <w:r w:rsidRPr="00A35476">
        <w:rPr>
          <w:lang w:val="en-AU"/>
        </w:rPr>
        <w:t xml:space="preserve"> sessions</w:t>
      </w:r>
      <w:r>
        <w:rPr>
          <w:lang w:val="en-AU"/>
        </w:rPr>
        <w:t xml:space="preserve"> without disadvantaging the client from receiving timely services</w:t>
      </w:r>
      <w:r w:rsidRPr="00A35476">
        <w:rPr>
          <w:lang w:val="en-AU"/>
        </w:rPr>
        <w:t xml:space="preserve">. </w:t>
      </w:r>
    </w:p>
    <w:p w14:paraId="78C22619" w14:textId="263199B0" w:rsidR="00394179" w:rsidRDefault="00394179" w:rsidP="00A677C9">
      <w:pPr>
        <w:spacing w:before="240" w:after="240" w:line="240" w:lineRule="auto"/>
        <w:rPr>
          <w:lang w:val="en-AU"/>
        </w:rPr>
      </w:pPr>
      <w:r w:rsidRPr="00A35476">
        <w:rPr>
          <w:lang w:val="en-AU"/>
        </w:rPr>
        <w:t xml:space="preserve">By starting the assessment with a yarn, the assessor should be able to gauge whether </w:t>
      </w:r>
      <w:r>
        <w:rPr>
          <w:lang w:val="en-AU"/>
        </w:rPr>
        <w:t xml:space="preserve">it is appropriate </w:t>
      </w:r>
      <w:r w:rsidRPr="00A35476">
        <w:rPr>
          <w:lang w:val="en-AU"/>
        </w:rPr>
        <w:t xml:space="preserve">to </w:t>
      </w:r>
      <w:r>
        <w:rPr>
          <w:lang w:val="en-AU"/>
        </w:rPr>
        <w:t xml:space="preserve">proceed with </w:t>
      </w:r>
      <w:r w:rsidRPr="00A35476">
        <w:rPr>
          <w:lang w:val="en-AU"/>
        </w:rPr>
        <w:t>complet</w:t>
      </w:r>
      <w:r>
        <w:rPr>
          <w:lang w:val="en-AU"/>
        </w:rPr>
        <w:t>ing</w:t>
      </w:r>
      <w:r w:rsidRPr="00A35476">
        <w:rPr>
          <w:lang w:val="en-AU"/>
        </w:rPr>
        <w:t xml:space="preserve"> the assessment </w:t>
      </w:r>
      <w:r>
        <w:rPr>
          <w:lang w:val="en-AU"/>
        </w:rPr>
        <w:t>during the session</w:t>
      </w:r>
      <w:r w:rsidRPr="00A35476">
        <w:rPr>
          <w:lang w:val="en-AU"/>
        </w:rPr>
        <w:t xml:space="preserve">. </w:t>
      </w:r>
    </w:p>
    <w:p w14:paraId="4B3C9381" w14:textId="5E21F259" w:rsidR="00394179" w:rsidRDefault="00394179" w:rsidP="00A677C9">
      <w:pPr>
        <w:spacing w:before="240" w:after="240" w:line="240" w:lineRule="auto"/>
        <w:rPr>
          <w:lang w:val="en-AU"/>
        </w:rPr>
      </w:pPr>
      <w:r w:rsidRPr="00A35476">
        <w:rPr>
          <w:lang w:val="en-AU"/>
        </w:rPr>
        <w:t xml:space="preserve">Where an assessment </w:t>
      </w:r>
      <w:r>
        <w:rPr>
          <w:lang w:val="en-AU"/>
        </w:rPr>
        <w:t>cannot</w:t>
      </w:r>
      <w:r w:rsidRPr="00A35476">
        <w:rPr>
          <w:lang w:val="en-AU"/>
        </w:rPr>
        <w:t xml:space="preserve"> be finalised</w:t>
      </w:r>
      <w:r>
        <w:rPr>
          <w:lang w:val="en-AU"/>
        </w:rPr>
        <w:t xml:space="preserve"> during the initial session</w:t>
      </w:r>
      <w:r w:rsidDel="0021087F">
        <w:rPr>
          <w:lang w:val="en-AU"/>
        </w:rPr>
        <w:t xml:space="preserve"> </w:t>
      </w:r>
      <w:r>
        <w:rPr>
          <w:lang w:val="en-AU"/>
        </w:rPr>
        <w:t xml:space="preserve">and additional sittings are required, the </w:t>
      </w:r>
      <w:r w:rsidRPr="00A35476">
        <w:rPr>
          <w:lang w:val="en-AU"/>
        </w:rPr>
        <w:t xml:space="preserve">assessors should complete the </w:t>
      </w:r>
      <w:r>
        <w:rPr>
          <w:lang w:val="en-AU"/>
        </w:rPr>
        <w:t>initial</w:t>
      </w:r>
      <w:r w:rsidRPr="00A35476">
        <w:rPr>
          <w:lang w:val="en-AU"/>
        </w:rPr>
        <w:t xml:space="preserve"> yarn and </w:t>
      </w:r>
      <w:r>
        <w:rPr>
          <w:lang w:val="en-AU"/>
        </w:rPr>
        <w:t>schedule</w:t>
      </w:r>
      <w:r w:rsidRPr="00A35476">
        <w:rPr>
          <w:lang w:val="en-AU"/>
        </w:rPr>
        <w:t xml:space="preserve"> </w:t>
      </w:r>
      <w:r>
        <w:rPr>
          <w:lang w:val="en-AU"/>
        </w:rPr>
        <w:t>a follow up</w:t>
      </w:r>
      <w:r w:rsidRPr="00A35476">
        <w:rPr>
          <w:lang w:val="en-AU"/>
        </w:rPr>
        <w:t xml:space="preserve"> assessment. </w:t>
      </w:r>
      <w:r>
        <w:rPr>
          <w:lang w:val="en-AU"/>
        </w:rPr>
        <w:t>The subsequent sessions should be conducted as soon as practicable, as service referrals cannot proceed until the assessment is completed</w:t>
      </w:r>
      <w:r w:rsidR="000A5006">
        <w:rPr>
          <w:lang w:val="en-AU"/>
        </w:rPr>
        <w:t xml:space="preserve"> and</w:t>
      </w:r>
      <w:r>
        <w:rPr>
          <w:lang w:val="en-AU"/>
        </w:rPr>
        <w:t xml:space="preserve"> the Support Plan has been approved by the </w:t>
      </w:r>
      <w:r w:rsidR="00E45B54">
        <w:rPr>
          <w:lang w:val="en-AU"/>
        </w:rPr>
        <w:t>assessment delegate</w:t>
      </w:r>
      <w:r>
        <w:rPr>
          <w:lang w:val="en-AU"/>
        </w:rPr>
        <w:t xml:space="preserve">. </w:t>
      </w:r>
    </w:p>
    <w:p w14:paraId="6DF3909B" w14:textId="1D5F5A29" w:rsidR="00394179" w:rsidRDefault="00394179" w:rsidP="00A677C9">
      <w:pPr>
        <w:spacing w:before="240" w:after="240" w:line="240" w:lineRule="auto"/>
        <w:rPr>
          <w:lang w:val="en-AU"/>
        </w:rPr>
      </w:pPr>
      <w:r>
        <w:rPr>
          <w:lang w:val="en-AU"/>
        </w:rPr>
        <w:t xml:space="preserve">While the assessment remains open, the assessment organisation </w:t>
      </w:r>
      <w:r w:rsidR="008411CF">
        <w:rPr>
          <w:lang w:val="en-AU"/>
        </w:rPr>
        <w:t>should</w:t>
      </w:r>
      <w:r>
        <w:rPr>
          <w:lang w:val="en-AU"/>
        </w:rPr>
        <w:t xml:space="preserve"> maintain regular check ins with the client to ensure their circumstances have not changed. This ongoing engagement helps ensure the assessment remains accurate and responsive to the older person’s needs.</w:t>
      </w:r>
    </w:p>
    <w:p w14:paraId="33FF74DC" w14:textId="2906363C" w:rsidR="00394179" w:rsidRPr="00A35476" w:rsidRDefault="00394179" w:rsidP="00A677C9">
      <w:pPr>
        <w:spacing w:before="240" w:after="240" w:line="240" w:lineRule="auto"/>
        <w:rPr>
          <w:lang w:val="en-AU"/>
        </w:rPr>
      </w:pPr>
      <w:r w:rsidRPr="00A35476">
        <w:rPr>
          <w:lang w:val="en-AU"/>
        </w:rPr>
        <w:t>Factors to consider in determining whether to complete the assessment on the first visit include:</w:t>
      </w:r>
    </w:p>
    <w:p w14:paraId="6A32DAC9" w14:textId="77777777" w:rsidR="00394179" w:rsidRPr="00A35476" w:rsidRDefault="00394179" w:rsidP="00DF3F6B">
      <w:pPr>
        <w:numPr>
          <w:ilvl w:val="0"/>
          <w:numId w:val="445"/>
        </w:numPr>
        <w:spacing w:before="240" w:after="240" w:line="240" w:lineRule="auto"/>
        <w:rPr>
          <w:lang w:val="en-AU"/>
        </w:rPr>
      </w:pPr>
      <w:r w:rsidRPr="0001789A">
        <w:rPr>
          <w:b/>
          <w:bCs/>
          <w:lang w:val="en-AU"/>
        </w:rPr>
        <w:t>Support from Elder Care Support worker</w:t>
      </w:r>
      <w:r>
        <w:rPr>
          <w:lang w:val="en-AU"/>
        </w:rPr>
        <w:t xml:space="preserve">: Has an Elder Care Support worker facilitated the older person’s entry into the aged care system, </w:t>
      </w:r>
      <w:r w:rsidRPr="00A35476">
        <w:rPr>
          <w:lang w:val="en-AU"/>
        </w:rPr>
        <w:t>explained the assessment process</w:t>
      </w:r>
      <w:r>
        <w:rPr>
          <w:lang w:val="en-AU"/>
        </w:rPr>
        <w:t xml:space="preserve">, </w:t>
      </w:r>
      <w:r w:rsidRPr="00A35476">
        <w:rPr>
          <w:lang w:val="en-AU"/>
        </w:rPr>
        <w:t xml:space="preserve">and </w:t>
      </w:r>
      <w:r>
        <w:rPr>
          <w:lang w:val="en-AU"/>
        </w:rPr>
        <w:t xml:space="preserve">help </w:t>
      </w:r>
      <w:r w:rsidRPr="00A35476">
        <w:rPr>
          <w:lang w:val="en-AU"/>
        </w:rPr>
        <w:t xml:space="preserve">built trust in engaging with aged care? </w:t>
      </w:r>
    </w:p>
    <w:p w14:paraId="3C003A12" w14:textId="77777777" w:rsidR="00394179" w:rsidRPr="00A35476" w:rsidRDefault="00394179" w:rsidP="00DF3F6B">
      <w:pPr>
        <w:numPr>
          <w:ilvl w:val="0"/>
          <w:numId w:val="445"/>
        </w:numPr>
        <w:spacing w:before="240" w:after="240" w:line="240" w:lineRule="auto"/>
        <w:rPr>
          <w:lang w:val="en-AU"/>
        </w:rPr>
      </w:pPr>
      <w:r>
        <w:rPr>
          <w:b/>
          <w:bCs/>
          <w:lang w:val="en-AU"/>
        </w:rPr>
        <w:t xml:space="preserve">Client Engagement and Readiness: </w:t>
      </w:r>
      <w:r w:rsidRPr="00A35476">
        <w:rPr>
          <w:lang w:val="en-AU"/>
        </w:rPr>
        <w:t xml:space="preserve">Are the client’s body language and verbal cues non-responsive, suggesting they need more time to become familiar with the concept of aged care </w:t>
      </w:r>
      <w:r>
        <w:rPr>
          <w:lang w:val="en-AU"/>
        </w:rPr>
        <w:t>assessment</w:t>
      </w:r>
      <w:r w:rsidRPr="00A35476">
        <w:rPr>
          <w:lang w:val="en-AU"/>
        </w:rPr>
        <w:t>s?</w:t>
      </w:r>
    </w:p>
    <w:p w14:paraId="6FC09157" w14:textId="77777777" w:rsidR="00394179" w:rsidRPr="00A35476" w:rsidRDefault="00394179" w:rsidP="00DF3F6B">
      <w:pPr>
        <w:numPr>
          <w:ilvl w:val="0"/>
          <w:numId w:val="445"/>
        </w:numPr>
        <w:spacing w:before="240" w:after="240" w:line="240" w:lineRule="auto"/>
        <w:rPr>
          <w:lang w:val="en-AU"/>
        </w:rPr>
      </w:pPr>
      <w:r>
        <w:rPr>
          <w:b/>
          <w:bCs/>
          <w:lang w:val="en-AU"/>
        </w:rPr>
        <w:t xml:space="preserve">Availability of Information: </w:t>
      </w:r>
      <w:r>
        <w:rPr>
          <w:lang w:val="en-AU"/>
        </w:rPr>
        <w:t>Has</w:t>
      </w:r>
      <w:r w:rsidRPr="00A35476" w:rsidDel="00454969">
        <w:rPr>
          <w:lang w:val="en-AU"/>
        </w:rPr>
        <w:t xml:space="preserve"> </w:t>
      </w:r>
      <w:r w:rsidRPr="00A35476">
        <w:rPr>
          <w:lang w:val="en-AU"/>
        </w:rPr>
        <w:t xml:space="preserve">sufficient information </w:t>
      </w:r>
      <w:r>
        <w:rPr>
          <w:lang w:val="en-AU"/>
        </w:rPr>
        <w:t>been collected from various sources</w:t>
      </w:r>
      <w:r w:rsidRPr="00A35476">
        <w:rPr>
          <w:lang w:val="en-AU"/>
        </w:rPr>
        <w:t xml:space="preserve"> to allow assessment</w:t>
      </w:r>
      <w:r>
        <w:rPr>
          <w:lang w:val="en-AU"/>
        </w:rPr>
        <w:t xml:space="preserve"> to be undertaken</w:t>
      </w:r>
      <w:r w:rsidRPr="00A35476">
        <w:rPr>
          <w:lang w:val="en-AU"/>
        </w:rPr>
        <w:t xml:space="preserve"> in one sitting?</w:t>
      </w:r>
    </w:p>
    <w:p w14:paraId="4994976A" w14:textId="77777777" w:rsidR="00394179" w:rsidRPr="00A35476" w:rsidRDefault="00394179" w:rsidP="00DF3F6B">
      <w:pPr>
        <w:numPr>
          <w:ilvl w:val="0"/>
          <w:numId w:val="445"/>
        </w:numPr>
        <w:spacing w:before="240" w:after="240" w:line="240" w:lineRule="auto"/>
        <w:rPr>
          <w:lang w:val="en-AU"/>
        </w:rPr>
      </w:pPr>
      <w:r>
        <w:rPr>
          <w:b/>
          <w:bCs/>
          <w:lang w:val="en-AU"/>
        </w:rPr>
        <w:t xml:space="preserve">Supportive Environment: </w:t>
      </w:r>
      <w:r w:rsidRPr="00A35476">
        <w:rPr>
          <w:lang w:val="en-AU"/>
        </w:rPr>
        <w:t xml:space="preserve">Are family and/or community members </w:t>
      </w:r>
      <w:r>
        <w:rPr>
          <w:lang w:val="en-AU"/>
        </w:rPr>
        <w:t xml:space="preserve">present and </w:t>
      </w:r>
      <w:r w:rsidRPr="00A35476">
        <w:rPr>
          <w:lang w:val="en-AU"/>
        </w:rPr>
        <w:t xml:space="preserve">helping to </w:t>
      </w:r>
      <w:r>
        <w:rPr>
          <w:lang w:val="en-AU"/>
        </w:rPr>
        <w:t>create</w:t>
      </w:r>
      <w:r w:rsidRPr="00A35476">
        <w:rPr>
          <w:lang w:val="en-AU"/>
        </w:rPr>
        <w:t xml:space="preserve"> a safe and non-stressful environment for the assessment?</w:t>
      </w:r>
    </w:p>
    <w:p w14:paraId="76BD282A" w14:textId="316E2DDB" w:rsidR="00043B08" w:rsidRDefault="00292CD2" w:rsidP="00C56CEC">
      <w:pPr>
        <w:pStyle w:val="H3"/>
        <w:rPr>
          <w:sz w:val="36"/>
          <w:szCs w:val="36"/>
          <w:lang w:eastAsia="ko-KR"/>
        </w:rPr>
      </w:pPr>
      <w:r w:rsidRPr="005E4E0E">
        <w:rPr>
          <w:noProof/>
        </w:rPr>
        <w:drawing>
          <wp:anchor distT="0" distB="0" distL="114300" distR="114300" simplePos="0" relativeHeight="251658298" behindDoc="0" locked="0" layoutInCell="1" allowOverlap="1" wp14:anchorId="6AE1F52F" wp14:editId="6EE8A654">
            <wp:simplePos x="0" y="0"/>
            <wp:positionH relativeFrom="margin">
              <wp:align>left</wp:align>
            </wp:positionH>
            <wp:positionV relativeFrom="paragraph">
              <wp:posOffset>9944</wp:posOffset>
            </wp:positionV>
            <wp:extent cx="457200" cy="502920"/>
            <wp:effectExtent l="0" t="0" r="0" b="0"/>
            <wp:wrapSquare wrapText="bothSides"/>
            <wp:docPr id="2040722666" name="Picture 204072266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F313FA" w:rsidRPr="00166CDA">
        <w:t xml:space="preserve">Aboriginal and Torres Strait Islander </w:t>
      </w:r>
      <w:r w:rsidR="00642443" w:rsidRPr="00166CDA">
        <w:t>assessment organisation</w:t>
      </w:r>
      <w:r w:rsidR="00D25142">
        <w:t>s</w:t>
      </w:r>
      <w:r w:rsidR="00642443" w:rsidRPr="00166CDA">
        <w:t xml:space="preserve"> d</w:t>
      </w:r>
      <w:r w:rsidR="00043B08" w:rsidRPr="00166CDA">
        <w:t xml:space="preserve">elivering </w:t>
      </w:r>
      <w:r w:rsidR="0053071C">
        <w:t xml:space="preserve">home support </w:t>
      </w:r>
      <w:r w:rsidR="00043B08" w:rsidRPr="00166CDA">
        <w:t xml:space="preserve">assessments </w:t>
      </w:r>
    </w:p>
    <w:p w14:paraId="16AD63E4" w14:textId="1A9B0D6A" w:rsidR="00043B08" w:rsidRDefault="009B46BC" w:rsidP="00043B08">
      <w:pPr>
        <w:rPr>
          <w:lang w:eastAsia="ko-KR"/>
        </w:rPr>
      </w:pPr>
      <w:r>
        <w:rPr>
          <w:lang w:eastAsia="ko-KR"/>
        </w:rPr>
        <w:t xml:space="preserve">The </w:t>
      </w:r>
      <w:r w:rsidR="0037776D">
        <w:rPr>
          <w:lang w:eastAsia="ko-KR"/>
        </w:rPr>
        <w:t>Aboriginal and Torres Strait Islander assessment organisation</w:t>
      </w:r>
      <w:r>
        <w:rPr>
          <w:lang w:eastAsia="ko-KR"/>
        </w:rPr>
        <w:t>s</w:t>
      </w:r>
      <w:r w:rsidR="00043B08" w:rsidDel="0037776D">
        <w:rPr>
          <w:lang w:eastAsia="ko-KR"/>
        </w:rPr>
        <w:t xml:space="preserve"> participating</w:t>
      </w:r>
      <w:r w:rsidR="00043B08">
        <w:rPr>
          <w:lang w:eastAsia="ko-KR"/>
        </w:rPr>
        <w:t xml:space="preserve"> </w:t>
      </w:r>
      <w:r w:rsidR="00C90EFF">
        <w:rPr>
          <w:lang w:eastAsia="ko-KR"/>
        </w:rPr>
        <w:t>in the pilot a</w:t>
      </w:r>
      <w:r w:rsidR="009A7595">
        <w:rPr>
          <w:lang w:eastAsia="ko-KR"/>
        </w:rPr>
        <w:t xml:space="preserve">re </w:t>
      </w:r>
      <w:r w:rsidR="00E0035C">
        <w:rPr>
          <w:lang w:eastAsia="ko-KR"/>
        </w:rPr>
        <w:t>expand</w:t>
      </w:r>
      <w:r w:rsidR="00043B08">
        <w:rPr>
          <w:lang w:eastAsia="ko-KR"/>
        </w:rPr>
        <w:t>ing</w:t>
      </w:r>
      <w:r w:rsidR="00043B08" w:rsidDel="00E0035C">
        <w:rPr>
          <w:lang w:eastAsia="ko-KR"/>
        </w:rPr>
        <w:t xml:space="preserve"> </w:t>
      </w:r>
      <w:r w:rsidR="00043B08">
        <w:rPr>
          <w:lang w:eastAsia="ko-KR"/>
        </w:rPr>
        <w:t xml:space="preserve">their </w:t>
      </w:r>
      <w:r w:rsidR="00E0035C">
        <w:rPr>
          <w:lang w:eastAsia="ko-KR"/>
        </w:rPr>
        <w:t xml:space="preserve">expertise </w:t>
      </w:r>
      <w:r w:rsidR="00043B08">
        <w:rPr>
          <w:lang w:eastAsia="ko-KR"/>
        </w:rPr>
        <w:t>to deliver comprehensive assessments.</w:t>
      </w:r>
      <w:r w:rsidR="004A38D5">
        <w:rPr>
          <w:lang w:eastAsia="ko-KR"/>
        </w:rPr>
        <w:t xml:space="preserve">, </w:t>
      </w:r>
      <w:r w:rsidR="005221CA">
        <w:rPr>
          <w:lang w:eastAsia="ko-KR"/>
        </w:rPr>
        <w:t>I</w:t>
      </w:r>
      <w:r w:rsidR="00043B08">
        <w:rPr>
          <w:lang w:eastAsia="ko-KR"/>
        </w:rPr>
        <w:t>f a non-clinical</w:t>
      </w:r>
      <w:r w:rsidR="00043B08" w:rsidDel="00EE63EB">
        <w:rPr>
          <w:lang w:eastAsia="ko-KR"/>
        </w:rPr>
        <w:t xml:space="preserve"> </w:t>
      </w:r>
      <w:r w:rsidR="5C7129A0" w:rsidRPr="2FAC7490">
        <w:rPr>
          <w:lang w:eastAsia="ko-KR"/>
        </w:rPr>
        <w:t>assessor</w:t>
      </w:r>
      <w:r w:rsidR="6A017987" w:rsidRPr="2FAC7490">
        <w:rPr>
          <w:lang w:eastAsia="ko-KR"/>
        </w:rPr>
        <w:t xml:space="preserve"> </w:t>
      </w:r>
      <w:r w:rsidR="00043B08">
        <w:rPr>
          <w:lang w:eastAsia="ko-KR"/>
        </w:rPr>
        <w:t>triggers clinical questions within the IAT</w:t>
      </w:r>
      <w:r w:rsidR="000D21DC">
        <w:rPr>
          <w:lang w:eastAsia="ko-KR"/>
        </w:rPr>
        <w:t xml:space="preserve"> </w:t>
      </w:r>
      <w:r w:rsidR="00043B08">
        <w:rPr>
          <w:lang w:eastAsia="ko-KR"/>
        </w:rPr>
        <w:t xml:space="preserve">and the </w:t>
      </w:r>
      <w:r w:rsidR="00BD54BD">
        <w:rPr>
          <w:lang w:eastAsia="ko-KR"/>
        </w:rPr>
        <w:t xml:space="preserve">organisation </w:t>
      </w:r>
      <w:r w:rsidR="00EC5E12">
        <w:rPr>
          <w:lang w:eastAsia="ko-KR"/>
        </w:rPr>
        <w:t>does</w:t>
      </w:r>
      <w:r w:rsidR="00BD54BD">
        <w:rPr>
          <w:lang w:eastAsia="ko-KR"/>
        </w:rPr>
        <w:t xml:space="preserve"> not</w:t>
      </w:r>
      <w:r w:rsidR="00043B08" w:rsidDel="00BD54BD">
        <w:rPr>
          <w:lang w:eastAsia="ko-KR"/>
        </w:rPr>
        <w:t xml:space="preserve"> </w:t>
      </w:r>
      <w:r w:rsidR="00043B08">
        <w:rPr>
          <w:lang w:eastAsia="ko-KR"/>
        </w:rPr>
        <w:t>yet</w:t>
      </w:r>
      <w:r w:rsidR="00EC5E12">
        <w:rPr>
          <w:lang w:eastAsia="ko-KR"/>
        </w:rPr>
        <w:t xml:space="preserve"> have</w:t>
      </w:r>
      <w:r w:rsidR="00043B08" w:rsidDel="00EC5E12">
        <w:rPr>
          <w:lang w:eastAsia="ko-KR"/>
        </w:rPr>
        <w:t xml:space="preserve"> </w:t>
      </w:r>
      <w:r w:rsidR="009C77E7">
        <w:rPr>
          <w:lang w:eastAsia="ko-KR"/>
        </w:rPr>
        <w:t>c</w:t>
      </w:r>
      <w:r w:rsidR="00043B08">
        <w:rPr>
          <w:lang w:eastAsia="ko-KR"/>
        </w:rPr>
        <w:t xml:space="preserve">linical assessors </w:t>
      </w:r>
      <w:r w:rsidR="00AE758C">
        <w:rPr>
          <w:lang w:eastAsia="ko-KR"/>
        </w:rPr>
        <w:t xml:space="preserve">or full capability </w:t>
      </w:r>
      <w:r w:rsidR="00043B08">
        <w:rPr>
          <w:lang w:eastAsia="ko-KR"/>
        </w:rPr>
        <w:t xml:space="preserve">to provide </w:t>
      </w:r>
      <w:r w:rsidR="00E9771B">
        <w:rPr>
          <w:lang w:eastAsia="ko-KR"/>
        </w:rPr>
        <w:t>comprehensive assessments</w:t>
      </w:r>
      <w:r w:rsidR="00E81CBF">
        <w:rPr>
          <w:lang w:eastAsia="ko-KR"/>
        </w:rPr>
        <w:t xml:space="preserve"> including if the IAT Outcome generates a Support at Home Classification level</w:t>
      </w:r>
      <w:r w:rsidR="00043B08">
        <w:rPr>
          <w:lang w:eastAsia="ko-KR"/>
        </w:rPr>
        <w:t xml:space="preserve">, the following </w:t>
      </w:r>
      <w:r w:rsidR="00D52296">
        <w:rPr>
          <w:lang w:eastAsia="ko-KR"/>
        </w:rPr>
        <w:t>action must be taken</w:t>
      </w:r>
      <w:r w:rsidR="00043B08">
        <w:rPr>
          <w:lang w:eastAsia="ko-KR"/>
        </w:rPr>
        <w:t xml:space="preserve"> to ensure continuity of care and </w:t>
      </w:r>
      <w:r w:rsidR="004369D5">
        <w:rPr>
          <w:lang w:eastAsia="ko-KR"/>
        </w:rPr>
        <w:t xml:space="preserve">uphold a </w:t>
      </w:r>
      <w:r w:rsidR="00043B08">
        <w:rPr>
          <w:lang w:eastAsia="ko-KR"/>
        </w:rPr>
        <w:t>client centred</w:t>
      </w:r>
      <w:r w:rsidR="004369D5">
        <w:rPr>
          <w:lang w:eastAsia="ko-KR"/>
        </w:rPr>
        <w:t xml:space="preserve"> </w:t>
      </w:r>
      <w:r w:rsidR="00922F23">
        <w:rPr>
          <w:lang w:eastAsia="ko-KR"/>
        </w:rPr>
        <w:t>experience</w:t>
      </w:r>
      <w:r w:rsidR="00043B08">
        <w:rPr>
          <w:lang w:eastAsia="ko-KR"/>
        </w:rPr>
        <w:t>:</w:t>
      </w:r>
    </w:p>
    <w:p w14:paraId="33C1EA81" w14:textId="4D2B5344" w:rsidR="00EE3675" w:rsidRDefault="00EE3675" w:rsidP="004A2239">
      <w:pPr>
        <w:pStyle w:val="ListParagraph"/>
        <w:numPr>
          <w:ilvl w:val="0"/>
          <w:numId w:val="516"/>
        </w:numPr>
        <w:rPr>
          <w:lang w:eastAsia="ko-KR"/>
        </w:rPr>
      </w:pPr>
      <w:r w:rsidRPr="004A2239">
        <w:rPr>
          <w:lang w:eastAsia="ko-KR"/>
        </w:rPr>
        <w:t xml:space="preserve">Clearly explain next steps </w:t>
      </w:r>
    </w:p>
    <w:p w14:paraId="2E51A00B" w14:textId="7475DD13" w:rsidR="002E28ED" w:rsidRPr="004A2239" w:rsidRDefault="00A54F8A" w:rsidP="004A2239">
      <w:pPr>
        <w:pStyle w:val="ListParagraph"/>
        <w:numPr>
          <w:ilvl w:val="0"/>
          <w:numId w:val="516"/>
        </w:numPr>
        <w:rPr>
          <w:lang w:eastAsia="ko-KR"/>
        </w:rPr>
      </w:pPr>
      <w:r>
        <w:rPr>
          <w:lang w:eastAsia="ko-KR"/>
        </w:rPr>
        <w:t>If</w:t>
      </w:r>
      <w:r w:rsidR="00043B08" w:rsidDel="001F7C95">
        <w:rPr>
          <w:lang w:eastAsia="ko-KR"/>
        </w:rPr>
        <w:t xml:space="preserve"> </w:t>
      </w:r>
      <w:r w:rsidR="00043B08">
        <w:rPr>
          <w:lang w:eastAsia="ko-KR"/>
        </w:rPr>
        <w:t>the assessment is not finalised</w:t>
      </w:r>
      <w:r w:rsidR="001F7C95">
        <w:rPr>
          <w:lang w:eastAsia="ko-KR"/>
        </w:rPr>
        <w:t xml:space="preserve">, and </w:t>
      </w:r>
      <w:r w:rsidR="004A06DD">
        <w:rPr>
          <w:lang w:eastAsia="ko-KR"/>
        </w:rPr>
        <w:t>a</w:t>
      </w:r>
      <w:r w:rsidR="001F7C95">
        <w:rPr>
          <w:lang w:eastAsia="ko-KR"/>
        </w:rPr>
        <w:t xml:space="preserve"> cancellation is necessary</w:t>
      </w:r>
      <w:r w:rsidR="00040DF6">
        <w:rPr>
          <w:lang w:eastAsia="ko-KR"/>
        </w:rPr>
        <w:t xml:space="preserve">, </w:t>
      </w:r>
      <w:r w:rsidR="00977F8B">
        <w:rPr>
          <w:lang w:eastAsia="ko-KR"/>
        </w:rPr>
        <w:t>the assessor will only</w:t>
      </w:r>
      <w:r w:rsidR="00043B08">
        <w:rPr>
          <w:lang w:eastAsia="ko-KR"/>
        </w:rPr>
        <w:t xml:space="preserve"> </w:t>
      </w:r>
      <w:r w:rsidR="002E28ED">
        <w:rPr>
          <w:lang w:eastAsia="ko-KR"/>
        </w:rPr>
        <w:t>be able</w:t>
      </w:r>
      <w:r w:rsidR="00043B08">
        <w:rPr>
          <w:lang w:eastAsia="ko-KR"/>
        </w:rPr>
        <w:t xml:space="preserve"> to refer the client for </w:t>
      </w:r>
      <w:r w:rsidR="00977F8B">
        <w:rPr>
          <w:lang w:eastAsia="ko-KR"/>
        </w:rPr>
        <w:t>urgent</w:t>
      </w:r>
      <w:r w:rsidR="00043B08">
        <w:rPr>
          <w:lang w:eastAsia="ko-KR"/>
        </w:rPr>
        <w:t xml:space="preserve"> aged care services</w:t>
      </w:r>
      <w:r w:rsidR="00977F8B">
        <w:rPr>
          <w:lang w:eastAsia="ko-KR"/>
        </w:rPr>
        <w:t xml:space="preserve"> through the alternative entry pathway (</w:t>
      </w:r>
      <w:r w:rsidR="00977F8B" w:rsidRPr="00906FF2">
        <w:rPr>
          <w:lang w:eastAsia="ko-KR"/>
        </w:rPr>
        <w:t xml:space="preserve">see </w:t>
      </w:r>
      <w:r w:rsidR="003F2651" w:rsidRPr="00292CD2">
        <w:rPr>
          <w:lang w:eastAsia="ko-KR"/>
        </w:rPr>
        <w:t>Chapter 3</w:t>
      </w:r>
      <w:r w:rsidR="00977F8B" w:rsidRPr="00906FF2">
        <w:rPr>
          <w:lang w:eastAsia="ko-KR"/>
        </w:rPr>
        <w:t xml:space="preserve"> for further detail</w:t>
      </w:r>
      <w:r w:rsidR="00977F8B">
        <w:rPr>
          <w:lang w:eastAsia="ko-KR"/>
        </w:rPr>
        <w:t>)</w:t>
      </w:r>
      <w:r w:rsidR="002E28ED">
        <w:rPr>
          <w:lang w:eastAsia="ko-KR"/>
        </w:rPr>
        <w:t>,</w:t>
      </w:r>
    </w:p>
    <w:p w14:paraId="1D752133" w14:textId="176A341E" w:rsidR="00043B08" w:rsidRPr="00857CBE" w:rsidRDefault="00CC64CB" w:rsidP="00EB3A63">
      <w:pPr>
        <w:pStyle w:val="ListParagraph"/>
        <w:numPr>
          <w:ilvl w:val="0"/>
          <w:numId w:val="516"/>
        </w:numPr>
        <w:rPr>
          <w:lang w:eastAsia="ko-KR"/>
        </w:rPr>
      </w:pPr>
      <w:r>
        <w:rPr>
          <w:lang w:val="en-AU"/>
        </w:rPr>
        <w:t>T</w:t>
      </w:r>
      <w:r w:rsidR="00043B08" w:rsidRPr="003D225B">
        <w:rPr>
          <w:lang w:val="en-AU"/>
        </w:rPr>
        <w:t xml:space="preserve">o </w:t>
      </w:r>
      <w:r>
        <w:rPr>
          <w:lang w:val="en-AU"/>
        </w:rPr>
        <w:t xml:space="preserve">preserve valuable information, </w:t>
      </w:r>
      <w:r w:rsidR="00043B08" w:rsidRPr="003D225B">
        <w:rPr>
          <w:lang w:val="en-AU"/>
        </w:rPr>
        <w:t>the assess</w:t>
      </w:r>
      <w:r>
        <w:rPr>
          <w:lang w:val="en-AU"/>
        </w:rPr>
        <w:t xml:space="preserve">or </w:t>
      </w:r>
      <w:r w:rsidR="00043B08" w:rsidRPr="003D225B">
        <w:rPr>
          <w:lang w:val="en-AU"/>
        </w:rPr>
        <w:t>should print</w:t>
      </w:r>
      <w:r w:rsidR="00420FE0">
        <w:rPr>
          <w:lang w:val="en-AU"/>
        </w:rPr>
        <w:t xml:space="preserve"> the information </w:t>
      </w:r>
      <w:r w:rsidR="00043B08" w:rsidRPr="003D225B">
        <w:rPr>
          <w:lang w:val="en-AU"/>
        </w:rPr>
        <w:t xml:space="preserve">from the “client’s assessment history” tab </w:t>
      </w:r>
      <w:r w:rsidR="003276AA" w:rsidRPr="00166CDA">
        <w:rPr>
          <w:lang w:val="en-AU"/>
        </w:rPr>
        <w:t>before</w:t>
      </w:r>
      <w:r w:rsidR="00043B08" w:rsidRPr="003D225B">
        <w:rPr>
          <w:lang w:val="en-AU"/>
        </w:rPr>
        <w:t xml:space="preserve"> cancell</w:t>
      </w:r>
      <w:r w:rsidR="00DE4BCC">
        <w:rPr>
          <w:lang w:val="en-AU"/>
        </w:rPr>
        <w:t>ation</w:t>
      </w:r>
      <w:r w:rsidR="003276AA">
        <w:rPr>
          <w:lang w:val="en-AU"/>
        </w:rPr>
        <w:t xml:space="preserve"> and </w:t>
      </w:r>
      <w:r w:rsidR="00043B08">
        <w:rPr>
          <w:lang w:val="en-AU"/>
        </w:rPr>
        <w:t xml:space="preserve">upload the </w:t>
      </w:r>
      <w:r w:rsidR="002B1421">
        <w:rPr>
          <w:lang w:val="en-AU"/>
        </w:rPr>
        <w:t xml:space="preserve">document to the </w:t>
      </w:r>
      <w:r w:rsidR="00043B08">
        <w:rPr>
          <w:lang w:val="en-AU"/>
        </w:rPr>
        <w:t xml:space="preserve">client’s record. </w:t>
      </w:r>
    </w:p>
    <w:p w14:paraId="31A77113" w14:textId="50F2C05A" w:rsidR="007D57F0" w:rsidRDefault="00FC2A0C" w:rsidP="00EB3A63">
      <w:pPr>
        <w:pStyle w:val="ListParagraph"/>
        <w:numPr>
          <w:ilvl w:val="0"/>
          <w:numId w:val="516"/>
        </w:numPr>
        <w:rPr>
          <w:lang w:eastAsia="ko-KR"/>
        </w:rPr>
      </w:pPr>
      <w:r>
        <w:rPr>
          <w:lang w:eastAsia="ko-KR"/>
        </w:rPr>
        <w:t>F</w:t>
      </w:r>
      <w:r w:rsidR="00315FD0">
        <w:rPr>
          <w:lang w:eastAsia="ko-KR"/>
        </w:rPr>
        <w:t>acilitate a supported referral by contacting another organisation with capacity for comprehensive assessmen</w:t>
      </w:r>
      <w:r>
        <w:rPr>
          <w:lang w:eastAsia="ko-KR"/>
        </w:rPr>
        <w:t>t</w:t>
      </w:r>
      <w:r w:rsidR="008E1360">
        <w:rPr>
          <w:lang w:eastAsia="ko-KR"/>
        </w:rPr>
        <w:t>.</w:t>
      </w:r>
      <w:r>
        <w:rPr>
          <w:lang w:eastAsia="ko-KR"/>
        </w:rPr>
        <w:t xml:space="preserve"> </w:t>
      </w:r>
    </w:p>
    <w:p w14:paraId="00026B6A" w14:textId="118BAD7F" w:rsidR="00EE0460" w:rsidRDefault="00EE0460" w:rsidP="004A2239">
      <w:pPr>
        <w:pStyle w:val="ListParagraph"/>
        <w:numPr>
          <w:ilvl w:val="0"/>
          <w:numId w:val="516"/>
        </w:numPr>
        <w:rPr>
          <w:lang w:eastAsia="ko-KR"/>
        </w:rPr>
      </w:pPr>
      <w:r>
        <w:rPr>
          <w:lang w:eastAsia="ko-KR"/>
        </w:rPr>
        <w:t>Provide information on interim supports and assist with connections where possible.</w:t>
      </w:r>
    </w:p>
    <w:p w14:paraId="2E05408E" w14:textId="43B6810C" w:rsidR="004450ED" w:rsidRDefault="004450ED" w:rsidP="00BF4CEC">
      <w:pPr>
        <w:pStyle w:val="ListParagraph"/>
        <w:numPr>
          <w:ilvl w:val="0"/>
          <w:numId w:val="516"/>
        </w:numPr>
        <w:rPr>
          <w:lang w:eastAsia="ko-KR"/>
        </w:rPr>
      </w:pPr>
      <w:r>
        <w:rPr>
          <w:lang w:eastAsia="ko-KR"/>
        </w:rPr>
        <w:t>Maintain engagement with client and their support network</w:t>
      </w:r>
      <w:r w:rsidR="001249BB">
        <w:rPr>
          <w:lang w:eastAsia="ko-KR"/>
        </w:rPr>
        <w:t xml:space="preserve"> and,</w:t>
      </w:r>
      <w:r>
        <w:rPr>
          <w:lang w:eastAsia="ko-KR"/>
        </w:rPr>
        <w:t xml:space="preserve"> where appropriate</w:t>
      </w:r>
      <w:r w:rsidR="001249BB">
        <w:rPr>
          <w:lang w:eastAsia="ko-KR"/>
        </w:rPr>
        <w:t>,</w:t>
      </w:r>
      <w:r>
        <w:rPr>
          <w:lang w:eastAsia="ko-KR"/>
        </w:rPr>
        <w:t xml:space="preserve"> includ</w:t>
      </w:r>
      <w:r w:rsidR="001249BB">
        <w:rPr>
          <w:lang w:eastAsia="ko-KR"/>
        </w:rPr>
        <w:t>e</w:t>
      </w:r>
      <w:r>
        <w:rPr>
          <w:lang w:eastAsia="ko-KR"/>
        </w:rPr>
        <w:t xml:space="preserve"> Elder Care Support, to ensure continuity of care throughout the process.</w:t>
      </w:r>
    </w:p>
    <w:p w14:paraId="114C4E9A" w14:textId="35767D7E" w:rsidR="007A743C" w:rsidRPr="00297B3F" w:rsidRDefault="007A743C" w:rsidP="00C56CEC">
      <w:pPr>
        <w:pStyle w:val="H3"/>
        <w:rPr>
          <w:color w:val="1E1444"/>
        </w:rPr>
      </w:pPr>
      <w:r w:rsidRPr="00297B3F">
        <w:t xml:space="preserve">Recording </w:t>
      </w:r>
      <w:r w:rsidR="008452AC">
        <w:t>a</w:t>
      </w:r>
      <w:r w:rsidRPr="00297B3F">
        <w:t xml:space="preserve">ssessment </w:t>
      </w:r>
      <w:r w:rsidR="008452AC">
        <w:t>i</w:t>
      </w:r>
      <w:r w:rsidRPr="00297B3F">
        <w:t>nformation</w:t>
      </w:r>
      <w:bookmarkEnd w:id="400"/>
      <w:bookmarkEnd w:id="401"/>
      <w:bookmarkEnd w:id="402"/>
      <w:bookmarkEnd w:id="403"/>
      <w:bookmarkEnd w:id="404"/>
      <w:bookmarkEnd w:id="405"/>
      <w:r w:rsidRPr="00297B3F">
        <w:t xml:space="preserve"> </w:t>
      </w:r>
      <w:bookmarkEnd w:id="406"/>
      <w:bookmarkEnd w:id="407"/>
    </w:p>
    <w:p w14:paraId="377024FD" w14:textId="77777777" w:rsidR="007A743C" w:rsidRPr="00B633C7" w:rsidRDefault="007A743C" w:rsidP="00A677C9">
      <w:pPr>
        <w:spacing w:before="240" w:after="240" w:line="240" w:lineRule="auto"/>
        <w:rPr>
          <w:lang w:eastAsia="ko-KR"/>
        </w:rPr>
      </w:pPr>
      <w:r>
        <w:t>Assessors should m</w:t>
      </w:r>
      <w:r w:rsidRPr="00B633C7">
        <w:t>ake sure all</w:t>
      </w:r>
      <w:r>
        <w:t xml:space="preserve"> </w:t>
      </w:r>
      <w:r w:rsidRPr="00B633C7">
        <w:t xml:space="preserve">important assessment information is recorded before leaving the </w:t>
      </w:r>
      <w:r>
        <w:t>assessment</w:t>
      </w:r>
      <w:r w:rsidRPr="00B633C7">
        <w:t>.</w:t>
      </w:r>
      <w:r>
        <w:t xml:space="preserve"> </w:t>
      </w:r>
      <w:r w:rsidRPr="0094408D">
        <w:rPr>
          <w:rFonts w:hint="eastAsia"/>
          <w:lang w:eastAsia="ko-KR"/>
        </w:rPr>
        <w:t xml:space="preserve">The assessment information </w:t>
      </w:r>
      <w:r>
        <w:rPr>
          <w:lang w:eastAsia="ko-KR"/>
        </w:rPr>
        <w:t xml:space="preserve">in the IAT </w:t>
      </w:r>
      <w:r w:rsidRPr="0094408D">
        <w:rPr>
          <w:rFonts w:hint="eastAsia"/>
          <w:lang w:eastAsia="ko-KR"/>
        </w:rPr>
        <w:t>should be</w:t>
      </w:r>
      <w:r>
        <w:rPr>
          <w:lang w:eastAsia="ko-KR"/>
        </w:rPr>
        <w:t xml:space="preserve"> </w:t>
      </w:r>
      <w:r w:rsidRPr="00906DD2">
        <w:t>transparent, objective, accurate, complete and in plain language</w:t>
      </w:r>
      <w:r>
        <w:t xml:space="preserve">. </w:t>
      </w:r>
    </w:p>
    <w:p w14:paraId="6447DCD8" w14:textId="77777777" w:rsidR="007A743C" w:rsidRPr="003374E9" w:rsidRDefault="007A743C" w:rsidP="00A677C9">
      <w:pPr>
        <w:spacing w:before="240" w:after="240" w:line="240" w:lineRule="auto"/>
      </w:pPr>
      <w:r>
        <w:t>Before an assessment is finalised, assessors should p</w:t>
      </w:r>
      <w:r w:rsidRPr="003446BB">
        <w:t xml:space="preserve">erform a quality check on the assessment information, expanding on information and assessment evidence where required. </w:t>
      </w:r>
      <w:r>
        <w:t>Accurate r</w:t>
      </w:r>
      <w:r w:rsidRPr="00C95105">
        <w:t xml:space="preserve">ecording </w:t>
      </w:r>
      <w:r>
        <w:t xml:space="preserve">of </w:t>
      </w:r>
      <w:r w:rsidRPr="00C95105">
        <w:t xml:space="preserve">assessment information </w:t>
      </w:r>
      <w:r w:rsidRPr="00B633C7">
        <w:t>prevent</w:t>
      </w:r>
      <w:r>
        <w:t>s</w:t>
      </w:r>
      <w:r w:rsidRPr="00B633C7">
        <w:t xml:space="preserve"> unnecessary follow-up queries</w:t>
      </w:r>
      <w:r w:rsidRPr="00C95105">
        <w:t xml:space="preserve"> </w:t>
      </w:r>
      <w:r>
        <w:t xml:space="preserve">and </w:t>
      </w:r>
      <w:r w:rsidRPr="00C95105">
        <w:t>make</w:t>
      </w:r>
      <w:r>
        <w:t>s</w:t>
      </w:r>
      <w:r w:rsidRPr="00C95105">
        <w:t xml:space="preserve"> it more easily readable and usable for people who need to access it in the future.</w:t>
      </w:r>
      <w:r w:rsidRPr="003374E9" w:rsidDel="003374E9">
        <w:t xml:space="preserve"> </w:t>
      </w:r>
      <w:r>
        <w:t>Once the IAT is finalised, it will become read-only and cannot be edited.</w:t>
      </w:r>
    </w:p>
    <w:p w14:paraId="33F029A1" w14:textId="77777777" w:rsidR="007A743C" w:rsidRPr="004070D1" w:rsidRDefault="007A743C" w:rsidP="00A677C9">
      <w:pPr>
        <w:spacing w:before="240" w:after="240" w:line="240" w:lineRule="auto"/>
        <w:rPr>
          <w:lang w:eastAsia="ko-KR"/>
        </w:rPr>
      </w:pPr>
      <w:r w:rsidRPr="19ECD6C9">
        <w:t xml:space="preserve">The </w:t>
      </w:r>
      <w:r w:rsidRPr="19ECD6C9">
        <w:rPr>
          <w:lang w:eastAsia="ko-KR"/>
        </w:rPr>
        <w:t xml:space="preserve">accurate recording of assessment information (see the </w:t>
      </w:r>
      <w:hyperlink r:id="rId154">
        <w:r w:rsidRPr="19ECD6C9">
          <w:rPr>
            <w:rStyle w:val="Hyperlink"/>
            <w:lang w:eastAsia="ko-KR"/>
          </w:rPr>
          <w:t>Aged Care Assessment Quality Framework</w:t>
        </w:r>
      </w:hyperlink>
      <w:r w:rsidRPr="19ECD6C9">
        <w:rPr>
          <w:lang w:eastAsia="ko-KR"/>
        </w:rPr>
        <w:t xml:space="preserve">): </w:t>
      </w:r>
    </w:p>
    <w:p w14:paraId="3EE0FAD7" w14:textId="2DF75A9C" w:rsidR="0EFC4FF1" w:rsidRPr="00292726" w:rsidRDefault="0EFC4FF1" w:rsidP="3FD93375">
      <w:pPr>
        <w:pStyle w:val="ListParagraph"/>
        <w:numPr>
          <w:ilvl w:val="0"/>
          <w:numId w:val="85"/>
        </w:numPr>
        <w:spacing w:before="240" w:after="240" w:line="240" w:lineRule="auto"/>
        <w:ind w:left="568" w:hanging="284"/>
        <w:rPr>
          <w:lang w:val="en"/>
        </w:rPr>
      </w:pPr>
      <w:r w:rsidRPr="00292726" w:rsidDel="0EFC4FF1">
        <w:rPr>
          <w:lang w:val="en"/>
        </w:rPr>
        <w:t xml:space="preserve">lays the foundation for creating the Support Plan for the older person and is reflective of what the older person </w:t>
      </w:r>
      <w:r w:rsidR="0869794D" w:rsidRPr="00292726">
        <w:rPr>
          <w:lang w:val="en"/>
        </w:rPr>
        <w:t>said, was observed doing, and/or reported by carers/support persons</w:t>
      </w:r>
    </w:p>
    <w:p w14:paraId="1FA7C024" w14:textId="77777777" w:rsidR="007A743C" w:rsidRPr="00FE4EE4" w:rsidRDefault="007A743C" w:rsidP="00DF3F6B">
      <w:pPr>
        <w:pStyle w:val="ListParagraph"/>
        <w:numPr>
          <w:ilvl w:val="0"/>
          <w:numId w:val="85"/>
        </w:numPr>
        <w:spacing w:before="240" w:after="240" w:line="240" w:lineRule="auto"/>
        <w:ind w:left="568" w:hanging="284"/>
        <w:rPr>
          <w:lang w:val="en-US"/>
        </w:rPr>
      </w:pPr>
      <w:r w:rsidRPr="78E43FD9">
        <w:rPr>
          <w:lang w:val="en-US"/>
        </w:rPr>
        <w:t xml:space="preserve">minimises duplication between the assessment and Support Plan </w:t>
      </w:r>
    </w:p>
    <w:p w14:paraId="0182E78B" w14:textId="77777777" w:rsidR="007A743C" w:rsidRPr="00FE4EE4" w:rsidRDefault="007A743C" w:rsidP="00DF3F6B">
      <w:pPr>
        <w:pStyle w:val="ListParagraph"/>
        <w:numPr>
          <w:ilvl w:val="0"/>
          <w:numId w:val="85"/>
        </w:numPr>
        <w:spacing w:before="240" w:after="240" w:line="240" w:lineRule="auto"/>
        <w:ind w:left="568" w:hanging="284"/>
        <w:rPr>
          <w:lang w:val="en"/>
        </w:rPr>
      </w:pPr>
      <w:r w:rsidRPr="1B42B10E">
        <w:rPr>
          <w:lang w:val="en"/>
        </w:rPr>
        <w:t>p</w:t>
      </w:r>
      <w:r w:rsidRPr="1B42B10E">
        <w:rPr>
          <w:rFonts w:hint="eastAsia"/>
          <w:lang w:val="en"/>
        </w:rPr>
        <w:t xml:space="preserve">rovides sufficient </w:t>
      </w:r>
      <w:r w:rsidRPr="1B42B10E">
        <w:rPr>
          <w:lang w:val="en"/>
        </w:rPr>
        <w:t xml:space="preserve">evidence for assessment delegate decision </w:t>
      </w:r>
    </w:p>
    <w:p w14:paraId="15F97765" w14:textId="77777777" w:rsidR="007A743C" w:rsidRPr="00FE4EE4" w:rsidRDefault="007A743C" w:rsidP="00DF3F6B">
      <w:pPr>
        <w:pStyle w:val="ListParagraph"/>
        <w:numPr>
          <w:ilvl w:val="0"/>
          <w:numId w:val="85"/>
        </w:numPr>
        <w:spacing w:before="240" w:after="240" w:line="240" w:lineRule="auto"/>
        <w:ind w:left="568" w:hanging="284"/>
        <w:rPr>
          <w:lang w:val="en"/>
        </w:rPr>
      </w:pPr>
      <w:r w:rsidRPr="1B42B10E">
        <w:rPr>
          <w:lang w:val="en"/>
        </w:rPr>
        <w:t>is required for audit purposes</w:t>
      </w:r>
    </w:p>
    <w:p w14:paraId="1E662481" w14:textId="6E47ADD4" w:rsidR="007A743C" w:rsidRPr="00FE4EE4" w:rsidRDefault="007A743C" w:rsidP="00DF3F6B">
      <w:pPr>
        <w:pStyle w:val="ListParagraph"/>
        <w:numPr>
          <w:ilvl w:val="0"/>
          <w:numId w:val="85"/>
        </w:numPr>
        <w:spacing w:before="240" w:after="240" w:line="240" w:lineRule="auto"/>
        <w:ind w:left="567" w:hanging="283"/>
        <w:rPr>
          <w:lang w:val="en-US"/>
        </w:rPr>
      </w:pPr>
      <w:r w:rsidRPr="78E43FD9">
        <w:rPr>
          <w:lang w:val="en-US"/>
        </w:rPr>
        <w:t>helps to inform a</w:t>
      </w:r>
      <w:r>
        <w:rPr>
          <w:lang w:val="en-US"/>
        </w:rPr>
        <w:t>n</w:t>
      </w:r>
      <w:r w:rsidRPr="78E43FD9">
        <w:rPr>
          <w:lang w:val="en-US"/>
        </w:rPr>
        <w:t xml:space="preserve"> </w:t>
      </w:r>
      <w:r>
        <w:rPr>
          <w:lang w:val="en-US"/>
        </w:rPr>
        <w:t>older person</w:t>
      </w:r>
      <w:r w:rsidRPr="78E43FD9">
        <w:rPr>
          <w:lang w:val="en-US"/>
        </w:rPr>
        <w:t xml:space="preserve">’s provision of care and highlights important information or risks about the </w:t>
      </w:r>
      <w:r>
        <w:rPr>
          <w:lang w:val="en-US"/>
        </w:rPr>
        <w:t>older person</w:t>
      </w:r>
      <w:r w:rsidRPr="78E43FD9">
        <w:rPr>
          <w:lang w:val="en-US"/>
        </w:rPr>
        <w:t xml:space="preserve">’s situation that needs to be managed by the </w:t>
      </w:r>
      <w:r>
        <w:rPr>
          <w:lang w:val="en-US"/>
        </w:rPr>
        <w:t xml:space="preserve">care </w:t>
      </w:r>
      <w:r w:rsidRPr="78E43FD9">
        <w:rPr>
          <w:lang w:val="en-US"/>
        </w:rPr>
        <w:t xml:space="preserve">provider or other </w:t>
      </w:r>
      <w:r>
        <w:rPr>
          <w:lang w:val="en-US"/>
        </w:rPr>
        <w:t>part</w:t>
      </w:r>
      <w:r w:rsidRPr="78E43FD9">
        <w:rPr>
          <w:lang w:val="en-US"/>
        </w:rPr>
        <w:t xml:space="preserve">ies </w:t>
      </w:r>
    </w:p>
    <w:p w14:paraId="4F931A6D" w14:textId="55755EC9" w:rsidR="007A743C" w:rsidRPr="00FE4EE4" w:rsidRDefault="00F66212" w:rsidP="00DF3F6B">
      <w:pPr>
        <w:pStyle w:val="ListParagraph"/>
        <w:numPr>
          <w:ilvl w:val="0"/>
          <w:numId w:val="85"/>
        </w:numPr>
        <w:spacing w:before="240" w:after="240" w:line="240" w:lineRule="auto"/>
        <w:ind w:left="567" w:hanging="283"/>
        <w:rPr>
          <w:lang w:val="en-US"/>
        </w:rPr>
      </w:pPr>
      <w:r>
        <w:rPr>
          <w:lang w:val="en-US"/>
        </w:rPr>
        <w:t>p</w:t>
      </w:r>
      <w:r w:rsidR="007A743C">
        <w:rPr>
          <w:lang w:val="en-US"/>
        </w:rPr>
        <w:t>uts the older person at the centre of the Support Plan</w:t>
      </w:r>
    </w:p>
    <w:p w14:paraId="5969BA93" w14:textId="77777777" w:rsidR="007A743C" w:rsidRPr="002D2AC2" w:rsidRDefault="007A743C" w:rsidP="00A677C9">
      <w:pPr>
        <w:spacing w:before="240" w:after="240" w:line="240" w:lineRule="auto"/>
        <w:rPr>
          <w:lang w:val="en"/>
        </w:rPr>
      </w:pPr>
      <w:r w:rsidRPr="000F4163">
        <w:rPr>
          <w:lang w:val="en"/>
        </w:rPr>
        <w:t xml:space="preserve">Depending on the risk and issues highlighted in the assessment, the assessor must decide where to record the information in the </w:t>
      </w:r>
      <w:r>
        <w:rPr>
          <w:lang w:val="en"/>
        </w:rPr>
        <w:t>older person’s</w:t>
      </w:r>
      <w:r w:rsidRPr="000F4163">
        <w:rPr>
          <w:lang w:val="en"/>
        </w:rPr>
        <w:t xml:space="preserve"> record</w:t>
      </w:r>
      <w:r>
        <w:rPr>
          <w:lang w:val="en"/>
        </w:rPr>
        <w:t>,</w:t>
      </w:r>
      <w:r w:rsidRPr="000F4163">
        <w:rPr>
          <w:lang w:val="en"/>
        </w:rPr>
        <w:t xml:space="preserve"> e.g., in the </w:t>
      </w:r>
      <w:r>
        <w:rPr>
          <w:lang w:val="en"/>
        </w:rPr>
        <w:t>IAT</w:t>
      </w:r>
      <w:r w:rsidRPr="000F4163">
        <w:rPr>
          <w:lang w:val="en"/>
        </w:rPr>
        <w:t xml:space="preserve">, the Support Plan, in </w:t>
      </w:r>
      <w:r>
        <w:rPr>
          <w:lang w:val="en"/>
        </w:rPr>
        <w:t>N</w:t>
      </w:r>
      <w:r w:rsidRPr="000F4163">
        <w:rPr>
          <w:lang w:val="en"/>
        </w:rPr>
        <w:t xml:space="preserve">otes, as attachments or as sensitive notes or sensitive attachments. </w:t>
      </w:r>
    </w:p>
    <w:p w14:paraId="48277C02" w14:textId="2F77C8B7" w:rsidR="007A743C" w:rsidRPr="00613E21" w:rsidRDefault="007A743C" w:rsidP="00A677C9">
      <w:pPr>
        <w:spacing w:before="240" w:after="240" w:line="240" w:lineRule="auto"/>
        <w:rPr>
          <w:rFonts w:eastAsia="Arial"/>
          <w:iCs/>
          <w:color w:val="000000" w:themeColor="text1"/>
          <w:lang w:val="en-AU"/>
        </w:rPr>
      </w:pPr>
      <w:r w:rsidRPr="00613E21">
        <w:rPr>
          <w:rFonts w:eastAsia="Arial"/>
          <w:iCs/>
          <w:color w:val="000000" w:themeColor="text1"/>
          <w:lang w:val="en-AU"/>
        </w:rPr>
        <w:t>Assessment information and evidence should include all relevant documentation that supports the recommendations and decisions made throughout the assessment process</w:t>
      </w:r>
      <w:r w:rsidRPr="43D15ED4">
        <w:rPr>
          <w:rFonts w:eastAsia="Arial"/>
          <w:color w:val="000000" w:themeColor="text1"/>
          <w:lang w:val="en-AU"/>
        </w:rPr>
        <w:t xml:space="preserve">. </w:t>
      </w:r>
      <w:r w:rsidR="30DACAAE" w:rsidRPr="3FD93375">
        <w:rPr>
          <w:rFonts w:eastAsia="Arial"/>
          <w:color w:val="000000" w:themeColor="text1"/>
          <w:lang w:val="en-AU"/>
        </w:rPr>
        <w:t xml:space="preserve">All documents must be in PDF format and finalised in the My Aged Care Assessor Portal. The department is unable to access documents submitted to the Assessor Portal unless they have been finalised. </w:t>
      </w:r>
      <w:r w:rsidRPr="00613E21">
        <w:rPr>
          <w:rFonts w:eastAsia="Arial"/>
          <w:iCs/>
          <w:color w:val="000000" w:themeColor="text1"/>
          <w:lang w:val="en-AU"/>
        </w:rPr>
        <w:t>The assessment documentation must include:</w:t>
      </w:r>
    </w:p>
    <w:p w14:paraId="2DCD3411" w14:textId="77777777"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Consent</w:t>
      </w:r>
    </w:p>
    <w:p w14:paraId="345333C3" w14:textId="6BB579B8"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IAT and Validated Assessment Tools (VATs)</w:t>
      </w:r>
    </w:p>
    <w:p w14:paraId="76F59388" w14:textId="77777777"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Additional Evidence</w:t>
      </w:r>
    </w:p>
    <w:p w14:paraId="4629C47D" w14:textId="77777777" w:rsidR="007A743C" w:rsidRPr="00613E21" w:rsidRDefault="007A743C"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Support Plan and Recommendations</w:t>
      </w:r>
    </w:p>
    <w:p w14:paraId="4D017B5F" w14:textId="77777777" w:rsidR="007A743C" w:rsidRDefault="007A743C" w:rsidP="00DF3F6B">
      <w:pPr>
        <w:pStyle w:val="ListParagraph"/>
        <w:numPr>
          <w:ilvl w:val="0"/>
          <w:numId w:val="103"/>
        </w:numPr>
        <w:spacing w:before="240" w:after="240" w:line="240" w:lineRule="auto"/>
        <w:rPr>
          <w:rFonts w:eastAsia="Arial"/>
          <w:color w:val="000000" w:themeColor="text1"/>
          <w:lang w:val="en-AU"/>
        </w:rPr>
      </w:pPr>
      <w:r w:rsidRPr="4F50FAC9">
        <w:rPr>
          <w:rFonts w:eastAsia="Arial"/>
          <w:color w:val="000000" w:themeColor="text1"/>
          <w:lang w:val="en-AU"/>
        </w:rPr>
        <w:t>Notice of Decision letter</w:t>
      </w:r>
    </w:p>
    <w:p w14:paraId="64C90751" w14:textId="4C367098" w:rsidR="00F66212" w:rsidRPr="00F66212" w:rsidRDefault="00F66212" w:rsidP="00DF3F6B">
      <w:pPr>
        <w:pStyle w:val="ListParagraph"/>
        <w:numPr>
          <w:ilvl w:val="0"/>
          <w:numId w:val="103"/>
        </w:numPr>
        <w:spacing w:before="240" w:after="240" w:line="240" w:lineRule="auto"/>
        <w:rPr>
          <w:rFonts w:eastAsia="Arial"/>
          <w:iCs/>
          <w:color w:val="000000" w:themeColor="text1"/>
          <w:lang w:val="en-AU"/>
        </w:rPr>
      </w:pPr>
      <w:r w:rsidRPr="00613E21">
        <w:rPr>
          <w:rFonts w:eastAsia="Arial"/>
          <w:iCs/>
          <w:color w:val="000000" w:themeColor="text1"/>
          <w:lang w:val="en-AU"/>
        </w:rPr>
        <w:t>Referral Information</w:t>
      </w:r>
    </w:p>
    <w:p w14:paraId="4CE6CB7F" w14:textId="77777777" w:rsidR="007A743C" w:rsidRPr="00613E21" w:rsidRDefault="007A743C" w:rsidP="00A677C9">
      <w:pPr>
        <w:pStyle w:val="ListParagraph"/>
        <w:spacing w:before="240" w:after="240" w:line="240" w:lineRule="auto"/>
        <w:rPr>
          <w:rFonts w:eastAsia="Arial"/>
          <w:iCs/>
          <w:color w:val="000000" w:themeColor="text1"/>
          <w:lang w:val="en-AU"/>
        </w:rPr>
      </w:pPr>
    </w:p>
    <w:p w14:paraId="4D1994C3" w14:textId="77777777" w:rsidR="007A743C" w:rsidRPr="003E1933" w:rsidRDefault="007A743C" w:rsidP="00A677C9">
      <w:pPr>
        <w:spacing w:before="240" w:after="240" w:line="240" w:lineRule="auto"/>
        <w:rPr>
          <w:rFonts w:eastAsia="Arial"/>
          <w:i/>
          <w:lang w:val="en-AU"/>
        </w:rPr>
      </w:pPr>
      <w:r w:rsidRPr="00613E21">
        <w:rPr>
          <w:rFonts w:eastAsia="Arial"/>
          <w:iCs/>
          <w:color w:val="000000" w:themeColor="text1"/>
          <w:lang w:val="en-AU"/>
        </w:rPr>
        <w:t>The assessment should contain comprehensive information to support the justification of the assessor’s recommendation for funded aged care approvals</w:t>
      </w:r>
      <w:r w:rsidRPr="003E1933">
        <w:rPr>
          <w:rFonts w:eastAsia="Arial"/>
          <w:i/>
          <w:color w:val="000000" w:themeColor="text1"/>
          <w:lang w:val="en-AU"/>
        </w:rPr>
        <w:t>.</w:t>
      </w:r>
    </w:p>
    <w:p w14:paraId="696CDD92" w14:textId="77777777" w:rsidR="007A743C" w:rsidRPr="00297B3F" w:rsidRDefault="007A743C" w:rsidP="007A743C">
      <w:pPr>
        <w:pStyle w:val="H4"/>
        <w:rPr>
          <w:color w:val="1E1444"/>
          <w:szCs w:val="24"/>
        </w:rPr>
      </w:pPr>
      <w:bookmarkStart w:id="408" w:name="_Ref128234722"/>
      <w:bookmarkStart w:id="409" w:name="_Toc204329553"/>
      <w:r w:rsidRPr="00297B3F">
        <w:t>Recording sensitive information</w:t>
      </w:r>
      <w:bookmarkEnd w:id="408"/>
      <w:bookmarkEnd w:id="409"/>
    </w:p>
    <w:p w14:paraId="107D16FD" w14:textId="7964B127" w:rsidR="007A743C" w:rsidRPr="00CD7798" w:rsidRDefault="007A743C" w:rsidP="00A677C9">
      <w:pPr>
        <w:spacing w:before="240" w:after="240" w:line="240" w:lineRule="auto"/>
      </w:pPr>
      <w:r w:rsidRPr="00CD7798">
        <w:t xml:space="preserve">If the </w:t>
      </w:r>
      <w:r>
        <w:t xml:space="preserve">older </w:t>
      </w:r>
      <w:r w:rsidRPr="00CD7798">
        <w:t>person shares (or the assessor is in receipt of</w:t>
      </w:r>
      <w:r>
        <w:t>)</w:t>
      </w:r>
      <w:r w:rsidRPr="00CD7798">
        <w:t xml:space="preserve"> sensitive information, with the </w:t>
      </w:r>
      <w:r>
        <w:t>older person</w:t>
      </w:r>
      <w:r w:rsidRPr="00CD7798">
        <w:t xml:space="preserve">’s consent this can be recorded by adding a sensitive note and/or a sensitive attachment on the </w:t>
      </w:r>
      <w:r>
        <w:t>older person</w:t>
      </w:r>
      <w:r w:rsidRPr="00CD7798">
        <w:t xml:space="preserve">’s record. This information will not display to providers or </w:t>
      </w:r>
      <w:r>
        <w:t>to older person</w:t>
      </w:r>
      <w:r w:rsidRPr="00CD7798">
        <w:t xml:space="preserve">s viewing their information through the My Aged Care </w:t>
      </w:r>
      <w:r>
        <w:t>O</w:t>
      </w:r>
      <w:r w:rsidRPr="00CD7798">
        <w:t xml:space="preserve">nline </w:t>
      </w:r>
      <w:r>
        <w:t>A</w:t>
      </w:r>
      <w:r w:rsidRPr="00CD7798">
        <w:t xml:space="preserve">ccount and will be visible only to assessors and </w:t>
      </w:r>
      <w:r>
        <w:t>c</w:t>
      </w:r>
      <w:r w:rsidRPr="00CD7798">
        <w:t xml:space="preserve">ontact </w:t>
      </w:r>
      <w:r>
        <w:t>c</w:t>
      </w:r>
      <w:r w:rsidRPr="00CD7798">
        <w:t>entre</w:t>
      </w:r>
      <w:r>
        <w:t>/ACSO</w:t>
      </w:r>
      <w:r w:rsidRPr="00CD7798">
        <w:t xml:space="preserve"> </w:t>
      </w:r>
      <w:r>
        <w:t>s</w:t>
      </w:r>
      <w:r w:rsidRPr="00CD7798">
        <w:t xml:space="preserve">taff. </w:t>
      </w:r>
    </w:p>
    <w:p w14:paraId="29E79F6F" w14:textId="77777777" w:rsidR="007A743C" w:rsidRPr="00CD7798" w:rsidRDefault="007A743C" w:rsidP="00A677C9">
      <w:pPr>
        <w:spacing w:before="240" w:after="240" w:line="240" w:lineRule="auto"/>
      </w:pPr>
      <w:r w:rsidRPr="00CD7798">
        <w:t>Sensitive notes should be used to record information that is of importance. This may include information about:</w:t>
      </w:r>
    </w:p>
    <w:p w14:paraId="35DC2FA7" w14:textId="77777777" w:rsidR="007A743C" w:rsidRPr="00CD7798" w:rsidRDefault="007A743C" w:rsidP="00DF3F6B">
      <w:pPr>
        <w:pStyle w:val="ListParagraph"/>
        <w:numPr>
          <w:ilvl w:val="0"/>
          <w:numId w:val="86"/>
        </w:numPr>
        <w:spacing w:before="240" w:after="240" w:line="240" w:lineRule="auto"/>
        <w:ind w:left="568" w:hanging="284"/>
        <w:rPr>
          <w:lang w:val="en"/>
        </w:rPr>
      </w:pPr>
      <w:r w:rsidRPr="1B42B10E">
        <w:rPr>
          <w:lang w:val="en"/>
        </w:rPr>
        <w:t>financial issues</w:t>
      </w:r>
    </w:p>
    <w:p w14:paraId="5B1CFAB3" w14:textId="77777777" w:rsidR="007A743C" w:rsidRPr="00CD7798" w:rsidRDefault="007A743C" w:rsidP="00DF3F6B">
      <w:pPr>
        <w:pStyle w:val="ListParagraph"/>
        <w:numPr>
          <w:ilvl w:val="0"/>
          <w:numId w:val="86"/>
        </w:numPr>
        <w:spacing w:before="240" w:after="240" w:line="240" w:lineRule="auto"/>
        <w:ind w:left="568" w:hanging="284"/>
        <w:rPr>
          <w:lang w:val="en"/>
        </w:rPr>
      </w:pPr>
      <w:r w:rsidRPr="1B42B10E">
        <w:rPr>
          <w:lang w:val="en"/>
        </w:rPr>
        <w:t>safety concerns</w:t>
      </w:r>
    </w:p>
    <w:p w14:paraId="01CA877D" w14:textId="77777777" w:rsidR="007A743C" w:rsidRPr="00CD7798" w:rsidRDefault="007A743C" w:rsidP="00DF3F6B">
      <w:pPr>
        <w:pStyle w:val="ListParagraph"/>
        <w:numPr>
          <w:ilvl w:val="0"/>
          <w:numId w:val="86"/>
        </w:numPr>
        <w:spacing w:before="240" w:after="240" w:line="240" w:lineRule="auto"/>
        <w:ind w:left="568" w:hanging="284"/>
        <w:rPr>
          <w:lang w:val="en"/>
        </w:rPr>
      </w:pPr>
      <w:r w:rsidRPr="1B42B10E">
        <w:rPr>
          <w:lang w:val="en"/>
        </w:rPr>
        <w:t>health issues</w:t>
      </w:r>
    </w:p>
    <w:p w14:paraId="51BC6D72" w14:textId="77777777" w:rsidR="007A743C" w:rsidRPr="00CD7798" w:rsidRDefault="007A743C" w:rsidP="00DF3F6B">
      <w:pPr>
        <w:pStyle w:val="ListParagraph"/>
        <w:numPr>
          <w:ilvl w:val="0"/>
          <w:numId w:val="86"/>
        </w:numPr>
        <w:spacing w:before="240" w:after="240" w:line="240" w:lineRule="auto"/>
        <w:ind w:left="568" w:hanging="284"/>
        <w:rPr>
          <w:lang w:val="en"/>
        </w:rPr>
      </w:pPr>
      <w:r w:rsidRPr="278C3955">
        <w:rPr>
          <w:lang w:val="en"/>
        </w:rPr>
        <w:t>legal situations</w:t>
      </w:r>
    </w:p>
    <w:p w14:paraId="44BFA09B" w14:textId="77777777" w:rsidR="007A743C" w:rsidRPr="00CD7798" w:rsidRDefault="007A743C" w:rsidP="00DF3F6B">
      <w:pPr>
        <w:pStyle w:val="ListParagraph"/>
        <w:numPr>
          <w:ilvl w:val="0"/>
          <w:numId w:val="86"/>
        </w:numPr>
        <w:spacing w:before="240" w:after="240" w:line="240" w:lineRule="auto"/>
        <w:ind w:left="568" w:hanging="284"/>
        <w:rPr>
          <w:lang w:val="en"/>
        </w:rPr>
      </w:pPr>
      <w:r>
        <w:rPr>
          <w:lang w:val="en"/>
        </w:rPr>
        <w:t>p</w:t>
      </w:r>
      <w:r w:rsidRPr="56CD3535">
        <w:rPr>
          <w:lang w:val="en"/>
        </w:rPr>
        <w:t xml:space="preserve">ast experiences of trauma </w:t>
      </w:r>
    </w:p>
    <w:p w14:paraId="06814443" w14:textId="77777777" w:rsidR="00897405" w:rsidRDefault="007A743C" w:rsidP="00A677C9">
      <w:pPr>
        <w:spacing w:before="240" w:after="240" w:line="240" w:lineRule="auto"/>
        <w:rPr>
          <w:lang w:val="en"/>
        </w:rPr>
      </w:pPr>
      <w:r w:rsidRPr="00CD7798">
        <w:rPr>
          <w:lang w:val="en"/>
        </w:rPr>
        <w:t xml:space="preserve">For example, a sensitive note could be used to record a personal safety issue such as conflict between family members causing the </w:t>
      </w:r>
      <w:r>
        <w:rPr>
          <w:lang w:val="en"/>
        </w:rPr>
        <w:t>older person</w:t>
      </w:r>
      <w:r w:rsidRPr="00CD7798">
        <w:rPr>
          <w:lang w:val="en"/>
        </w:rPr>
        <w:t xml:space="preserve"> to be anxious. </w:t>
      </w:r>
    </w:p>
    <w:p w14:paraId="19E3D3CA" w14:textId="25A5D2B8" w:rsidR="007A743C" w:rsidRDefault="00897405" w:rsidP="00897405">
      <w:pPr>
        <w:rPr>
          <w:lang w:val="en"/>
        </w:rPr>
      </w:pPr>
      <w:r>
        <w:rPr>
          <w:lang w:val="en"/>
        </w:rPr>
        <w:br w:type="page"/>
      </w:r>
    </w:p>
    <w:p w14:paraId="31D94E0A" w14:textId="77777777" w:rsidR="00282961" w:rsidRPr="000027E3" w:rsidRDefault="007A743C" w:rsidP="00C325C6">
      <w:pPr>
        <w:pStyle w:val="Sub-headings"/>
      </w:pPr>
      <w:r w:rsidRPr="00904192">
        <w:t>Note</w:t>
      </w:r>
      <w:r w:rsidRPr="000027E3">
        <w:t xml:space="preserve">: </w:t>
      </w:r>
    </w:p>
    <w:p w14:paraId="76D0DDE5" w14:textId="419D0CD6" w:rsidR="00643C9B" w:rsidRDefault="007A743C" w:rsidP="00C325C6">
      <w:pPr>
        <w:pStyle w:val="Sub-headings"/>
      </w:pPr>
      <w:r w:rsidRPr="00AA2489">
        <w:t xml:space="preserve">Assessors must follow their reporting obligation specified in relevant legislation and protocols in their state or territory where they identify an older person is at risk of </w:t>
      </w:r>
      <w:r>
        <w:t xml:space="preserve">elder </w:t>
      </w:r>
      <w:r w:rsidRPr="00AA2489">
        <w:t>abuse.</w:t>
      </w:r>
    </w:p>
    <w:p w14:paraId="18437B35" w14:textId="77777777" w:rsidR="007A743C" w:rsidRPr="00CD7798" w:rsidRDefault="007A743C" w:rsidP="00A677C9">
      <w:pPr>
        <w:spacing w:before="240" w:after="240" w:line="240" w:lineRule="auto"/>
      </w:pPr>
      <w:r w:rsidRPr="00CD7798">
        <w:t>Sensitive notes and attachments are not visible through the My Aged Care</w:t>
      </w:r>
      <w:r w:rsidRPr="00CD7798">
        <w:rPr>
          <w:lang w:val="en"/>
        </w:rPr>
        <w:t xml:space="preserve"> </w:t>
      </w:r>
      <w:r>
        <w:t>Service and Support</w:t>
      </w:r>
      <w:r w:rsidRPr="00CD7798">
        <w:t xml:space="preserve"> portal. Instead, a message will display on the </w:t>
      </w:r>
      <w:r>
        <w:t>older person</w:t>
      </w:r>
      <w:r w:rsidRPr="00CD7798">
        <w:t xml:space="preserve">’s record stating “the </w:t>
      </w:r>
      <w:r>
        <w:t>older person</w:t>
      </w:r>
      <w:r w:rsidRPr="00CD7798">
        <w:t xml:space="preserve"> has a sensitive note/attachment on their record”.</w:t>
      </w:r>
    </w:p>
    <w:p w14:paraId="6FDA4BEF" w14:textId="77777777" w:rsidR="007A743C" w:rsidRPr="00CD7798" w:rsidRDefault="007A743C" w:rsidP="00A677C9">
      <w:pPr>
        <w:spacing w:before="240" w:after="240" w:line="240" w:lineRule="auto"/>
      </w:pPr>
      <w:r w:rsidRPr="00CD7798">
        <w:t xml:space="preserve">Given the assessor may be best placed to discuss the sensitive issues with the provider/s, the provider </w:t>
      </w:r>
      <w:r>
        <w:t>could</w:t>
      </w:r>
      <w:r w:rsidRPr="00CD7798">
        <w:t xml:space="preserve"> contact the assess</w:t>
      </w:r>
      <w:r>
        <w:t xml:space="preserve">ment organisation </w:t>
      </w:r>
      <w:r w:rsidRPr="00CD7798">
        <w:t xml:space="preserve">for enquiries on notes and/or attachments. The provider may also contact the assessor directly if they have a question concerning sensitive attachments. Sensitive information may be disclosed to the provider if it is relevant to their </w:t>
      </w:r>
      <w:r>
        <w:t xml:space="preserve">particular </w:t>
      </w:r>
      <w:r w:rsidRPr="00CD7798">
        <w:t>service. For example, where it is recorded that a</w:t>
      </w:r>
      <w:r>
        <w:t>n</w:t>
      </w:r>
      <w:r w:rsidRPr="00CD7798">
        <w:t xml:space="preserve"> </w:t>
      </w:r>
      <w:r>
        <w:t>older person</w:t>
      </w:r>
      <w:r w:rsidRPr="00CD7798">
        <w:t xml:space="preserve"> has a sensitive </w:t>
      </w:r>
      <w:r w:rsidRPr="00247A7E">
        <w:t>health</w:t>
      </w:r>
      <w:r w:rsidRPr="00CD7798">
        <w:t xml:space="preserve"> issue, an assessor may be contacted by a garden maintenance provider and </w:t>
      </w:r>
      <w:r>
        <w:t>the assessor may consider it inappropriate</w:t>
      </w:r>
      <w:r w:rsidRPr="00CD7798">
        <w:t xml:space="preserve"> to disclose the information</w:t>
      </w:r>
      <w:r>
        <w:t>;</w:t>
      </w:r>
      <w:r w:rsidRPr="00CD7798">
        <w:t xml:space="preserve"> whereas if </w:t>
      </w:r>
      <w:r>
        <w:t xml:space="preserve">the assessor is </w:t>
      </w:r>
      <w:r w:rsidRPr="00CD7798">
        <w:t>contacted by a personal care provider</w:t>
      </w:r>
      <w:r>
        <w:t>,</w:t>
      </w:r>
      <w:r w:rsidRPr="00CD7798">
        <w:t xml:space="preserve"> the assessor may have a duty of care to disclose the information</w:t>
      </w:r>
      <w:r>
        <w:t xml:space="preserve"> as it has implications for the service being delivered</w:t>
      </w:r>
      <w:r w:rsidRPr="00CD7798">
        <w:t>.</w:t>
      </w:r>
    </w:p>
    <w:p w14:paraId="24A00C0F" w14:textId="66B21368" w:rsidR="007A743C" w:rsidRPr="00CD7798" w:rsidRDefault="007A743C" w:rsidP="00A677C9">
      <w:pPr>
        <w:spacing w:before="240" w:after="240" w:line="240" w:lineRule="auto"/>
      </w:pPr>
      <w:r w:rsidRPr="00CD7798">
        <w:t xml:space="preserve">Where an existing </w:t>
      </w:r>
      <w:r>
        <w:t>older person</w:t>
      </w:r>
      <w:r w:rsidRPr="00CD7798">
        <w:t xml:space="preserve"> currently receiving services has received a </w:t>
      </w:r>
      <w:r>
        <w:t>reassessment,</w:t>
      </w:r>
      <w:r w:rsidRPr="00CD7798">
        <w:t xml:space="preserve"> and has disclosed new information that is </w:t>
      </w:r>
      <w:r>
        <w:t xml:space="preserve">categorised and </w:t>
      </w:r>
      <w:r w:rsidRPr="00CD7798">
        <w:t xml:space="preserve">recorded as a </w:t>
      </w:r>
      <w:r>
        <w:t xml:space="preserve">‘sensitive’ </w:t>
      </w:r>
      <w:r w:rsidRPr="00CD7798">
        <w:t xml:space="preserve">note (that may impact the safety and welfare of the </w:t>
      </w:r>
      <w:r>
        <w:t>older person,</w:t>
      </w:r>
      <w:r w:rsidRPr="00CD7798">
        <w:t xml:space="preserve"> staff</w:t>
      </w:r>
      <w:r>
        <w:t xml:space="preserve"> or other </w:t>
      </w:r>
      <w:r w:rsidR="00516348">
        <w:t>older people</w:t>
      </w:r>
      <w:r w:rsidRPr="00CD7798">
        <w:t>), the assessor should contact the provider/s to</w:t>
      </w:r>
      <w:r>
        <w:t xml:space="preserve"> make them aware of the sensitive information and</w:t>
      </w:r>
      <w:r w:rsidRPr="00CD7798">
        <w:t xml:space="preserve"> enable them to make a risk-determination of how best to support the </w:t>
      </w:r>
      <w:r>
        <w:t>older person</w:t>
      </w:r>
      <w:r w:rsidRPr="00CD7798">
        <w:t xml:space="preserve"> for the safe delivery of services </w:t>
      </w:r>
      <w:r w:rsidRPr="003E1933">
        <w:t>(</w:t>
      </w:r>
      <w:r w:rsidR="00280CFF" w:rsidRPr="003E1933">
        <w:t>see</w:t>
      </w:r>
      <w:r w:rsidR="00280CFF">
        <w:t xml:space="preserve"> section </w:t>
      </w:r>
      <w:r w:rsidR="00340D28">
        <w:fldChar w:fldCharType="begin"/>
      </w:r>
      <w:r w:rsidR="00340D28">
        <w:instrText xml:space="preserve"> REF _Ref212734170 \r \h </w:instrText>
      </w:r>
      <w:r w:rsidR="00340D28">
        <w:fldChar w:fldCharType="separate"/>
      </w:r>
      <w:r w:rsidR="00F97942">
        <w:t>12.11.4</w:t>
      </w:r>
      <w:r w:rsidR="00340D28">
        <w:fldChar w:fldCharType="end"/>
      </w:r>
      <w:r w:rsidR="70F77DBC">
        <w:t xml:space="preserve">13.11.4 </w:t>
      </w:r>
      <w:r w:rsidR="00280CFF">
        <w:t>olde</w:t>
      </w:r>
      <w:r w:rsidR="00C53EEA">
        <w:t>r</w:t>
      </w:r>
      <w:r w:rsidR="00280CFF">
        <w:t xml:space="preserve"> people who are in prison</w:t>
      </w:r>
      <w:r w:rsidRPr="003E1933">
        <w:t>).</w:t>
      </w:r>
    </w:p>
    <w:p w14:paraId="2AFB5538" w14:textId="77777777" w:rsidR="007A743C" w:rsidRPr="00BD7C67" w:rsidRDefault="007A743C" w:rsidP="007A743C">
      <w:pPr>
        <w:pStyle w:val="H4"/>
        <w:rPr>
          <w:color w:val="1E1444"/>
          <w:szCs w:val="24"/>
        </w:rPr>
      </w:pPr>
      <w:r w:rsidRPr="00BD7C67">
        <w:t>Sensitive user flag</w:t>
      </w:r>
    </w:p>
    <w:p w14:paraId="070120E9" w14:textId="77777777" w:rsidR="007A743C" w:rsidRPr="00CD7798" w:rsidRDefault="007A743C" w:rsidP="00A677C9">
      <w:pPr>
        <w:spacing w:before="240" w:after="240" w:line="240" w:lineRule="auto"/>
        <w:rPr>
          <w:rFonts w:eastAsia="MS PGothic"/>
        </w:rPr>
      </w:pPr>
      <w:r w:rsidRPr="00CD7798">
        <w:t xml:space="preserve">The My Aged Care system also enables </w:t>
      </w:r>
      <w:r w:rsidRPr="00CD7798">
        <w:rPr>
          <w:rFonts w:eastAsia="MS PGothic"/>
        </w:rPr>
        <w:t>a</w:t>
      </w:r>
      <w:r>
        <w:rPr>
          <w:rFonts w:eastAsia="MS PGothic"/>
        </w:rPr>
        <w:t>n older person</w:t>
      </w:r>
      <w:r w:rsidRPr="00CD7798">
        <w:rPr>
          <w:rFonts w:eastAsia="MS PGothic"/>
        </w:rPr>
        <w:t xml:space="preserve"> or </w:t>
      </w:r>
      <w:r>
        <w:rPr>
          <w:rFonts w:eastAsia="MS PGothic"/>
        </w:rPr>
        <w:t>registered supporter</w:t>
      </w:r>
      <w:r w:rsidRPr="00CD7798">
        <w:rPr>
          <w:rFonts w:eastAsia="MS PGothic"/>
        </w:rPr>
        <w:t xml:space="preserve"> to be flagged as a ‘sensitive </w:t>
      </w:r>
      <w:r>
        <w:rPr>
          <w:rFonts w:eastAsia="MS PGothic"/>
        </w:rPr>
        <w:t>user’</w:t>
      </w:r>
      <w:r w:rsidRPr="00CD7798">
        <w:rPr>
          <w:rFonts w:eastAsia="MS PGothic"/>
        </w:rPr>
        <w:t xml:space="preserve"> if the </w:t>
      </w:r>
      <w:r>
        <w:rPr>
          <w:rFonts w:eastAsia="MS PGothic"/>
        </w:rPr>
        <w:t>older person</w:t>
      </w:r>
      <w:r w:rsidRPr="00CD7798">
        <w:rPr>
          <w:rFonts w:eastAsia="MS PGothic"/>
        </w:rPr>
        <w:t xml:space="preserve"> or </w:t>
      </w:r>
      <w:r>
        <w:rPr>
          <w:rFonts w:eastAsia="MS PGothic"/>
        </w:rPr>
        <w:t>registered supporter</w:t>
      </w:r>
      <w:r w:rsidRPr="00CD7798">
        <w:rPr>
          <w:rFonts w:eastAsia="MS PGothic"/>
        </w:rPr>
        <w:t xml:space="preserve"> requests </w:t>
      </w:r>
      <w:r>
        <w:rPr>
          <w:rFonts w:eastAsia="MS PGothic"/>
        </w:rPr>
        <w:t xml:space="preserve">to limit </w:t>
      </w:r>
      <w:r w:rsidRPr="00CD7798">
        <w:rPr>
          <w:rFonts w:eastAsia="MS PGothic"/>
        </w:rPr>
        <w:t xml:space="preserve">access to their information, AND the </w:t>
      </w:r>
      <w:r>
        <w:rPr>
          <w:rFonts w:eastAsia="MS PGothic"/>
        </w:rPr>
        <w:t>older person</w:t>
      </w:r>
      <w:r w:rsidRPr="00CD7798">
        <w:rPr>
          <w:rFonts w:eastAsia="MS PGothic"/>
        </w:rPr>
        <w:t xml:space="preserve"> or </w:t>
      </w:r>
      <w:r>
        <w:rPr>
          <w:rFonts w:eastAsia="MS PGothic"/>
        </w:rPr>
        <w:t>registered supporter</w:t>
      </w:r>
      <w:r w:rsidRPr="00CD7798">
        <w:rPr>
          <w:rFonts w:eastAsia="MS PGothic"/>
        </w:rPr>
        <w:t>:</w:t>
      </w:r>
    </w:p>
    <w:p w14:paraId="51583CC5" w14:textId="77777777" w:rsidR="007A743C" w:rsidRPr="00CD7798" w:rsidRDefault="007A743C" w:rsidP="00DF3F6B">
      <w:pPr>
        <w:numPr>
          <w:ilvl w:val="0"/>
          <w:numId w:val="87"/>
        </w:numPr>
        <w:spacing w:before="240" w:after="240" w:line="240" w:lineRule="auto"/>
        <w:ind w:left="568" w:hanging="284"/>
        <w:rPr>
          <w:rFonts w:eastAsia="MS PGothic"/>
        </w:rPr>
      </w:pPr>
      <w:r w:rsidRPr="00CD7798">
        <w:rPr>
          <w:rFonts w:eastAsia="MS PGothic"/>
        </w:rPr>
        <w:t>works for My Aged Care or</w:t>
      </w:r>
      <w:r>
        <w:rPr>
          <w:rFonts w:eastAsia="MS PGothic"/>
        </w:rPr>
        <w:t xml:space="preserve"> the department</w:t>
      </w:r>
      <w:r w:rsidDel="001F504E">
        <w:rPr>
          <w:rFonts w:eastAsia="MS PGothic"/>
        </w:rPr>
        <w:t xml:space="preserve"> </w:t>
      </w:r>
      <w:r>
        <w:rPr>
          <w:rFonts w:eastAsia="MS PGothic"/>
        </w:rPr>
        <w:t xml:space="preserve"> </w:t>
      </w:r>
    </w:p>
    <w:p w14:paraId="41203F43" w14:textId="0E308CD9" w:rsidR="007A743C" w:rsidRPr="00CD7798" w:rsidRDefault="007A743C" w:rsidP="00DF3F6B">
      <w:pPr>
        <w:numPr>
          <w:ilvl w:val="0"/>
          <w:numId w:val="87"/>
        </w:numPr>
        <w:spacing w:before="240" w:after="240" w:line="240" w:lineRule="auto"/>
        <w:ind w:left="568" w:hanging="284"/>
        <w:rPr>
          <w:rFonts w:eastAsia="MS PGothic"/>
        </w:rPr>
      </w:pPr>
      <w:r w:rsidRPr="00CD7798">
        <w:rPr>
          <w:rFonts w:eastAsia="MS PGothic"/>
        </w:rPr>
        <w:t>has a conflict of interest with My Aged Care staff</w:t>
      </w:r>
      <w:r w:rsidR="006D19C0">
        <w:rPr>
          <w:rFonts w:eastAsia="MS PGothic"/>
        </w:rPr>
        <w:t>, or</w:t>
      </w:r>
    </w:p>
    <w:p w14:paraId="0D27C42F" w14:textId="77777777" w:rsidR="007A743C" w:rsidRPr="00CD7798" w:rsidRDefault="007A743C" w:rsidP="00DF3F6B">
      <w:pPr>
        <w:numPr>
          <w:ilvl w:val="0"/>
          <w:numId w:val="87"/>
        </w:numPr>
        <w:spacing w:before="240" w:after="240" w:line="240" w:lineRule="auto"/>
        <w:ind w:left="567" w:hanging="283"/>
        <w:rPr>
          <w:rFonts w:eastAsia="MS PGothic"/>
        </w:rPr>
      </w:pPr>
      <w:r w:rsidRPr="00CD7798">
        <w:rPr>
          <w:rFonts w:eastAsia="MS PGothic"/>
        </w:rPr>
        <w:t xml:space="preserve">has provided reasonable justification to support that their identity and contact information is to be protected. </w:t>
      </w:r>
    </w:p>
    <w:p w14:paraId="499E068E" w14:textId="77777777" w:rsidR="007A743C" w:rsidRPr="00CD7798" w:rsidRDefault="007A743C" w:rsidP="00A677C9">
      <w:pPr>
        <w:spacing w:before="240" w:after="240" w:line="240" w:lineRule="auto"/>
        <w:rPr>
          <w:rFonts w:eastAsia="MS PGothic"/>
        </w:rPr>
      </w:pPr>
      <w:r w:rsidRPr="00CD7798">
        <w:rPr>
          <w:rFonts w:eastAsia="MS PGothic"/>
        </w:rPr>
        <w:t>A</w:t>
      </w:r>
      <w:r>
        <w:rPr>
          <w:rFonts w:eastAsia="MS PGothic"/>
        </w:rPr>
        <w:t>n</w:t>
      </w:r>
      <w:r w:rsidRPr="00CD7798">
        <w:rPr>
          <w:rFonts w:eastAsia="MS PGothic"/>
        </w:rPr>
        <w:t xml:space="preserve"> </w:t>
      </w:r>
      <w:r>
        <w:rPr>
          <w:rFonts w:eastAsia="MS PGothic"/>
        </w:rPr>
        <w:t>older person</w:t>
      </w:r>
      <w:r w:rsidRPr="00CD7798">
        <w:rPr>
          <w:rFonts w:eastAsia="MS PGothic"/>
        </w:rPr>
        <w:t xml:space="preserve"> or their </w:t>
      </w:r>
      <w:r>
        <w:rPr>
          <w:rFonts w:eastAsia="MS PGothic"/>
        </w:rPr>
        <w:t>registered supporter</w:t>
      </w:r>
      <w:r w:rsidRPr="00CD7798">
        <w:rPr>
          <w:rFonts w:eastAsia="MS PGothic"/>
        </w:rPr>
        <w:t xml:space="preserve"> may request that </w:t>
      </w:r>
      <w:r>
        <w:rPr>
          <w:rFonts w:eastAsia="MS PGothic"/>
        </w:rPr>
        <w:t>the older person or the registered supporter is</w:t>
      </w:r>
      <w:r w:rsidRPr="00CD7798">
        <w:rPr>
          <w:rFonts w:eastAsia="MS PGothic"/>
        </w:rPr>
        <w:t xml:space="preserve"> made a ‘sensitive </w:t>
      </w:r>
      <w:r w:rsidRPr="017FF414">
        <w:rPr>
          <w:rFonts w:eastAsia="MS PGothic"/>
        </w:rPr>
        <w:t>user’</w:t>
      </w:r>
      <w:r w:rsidRPr="00CD7798">
        <w:rPr>
          <w:rFonts w:eastAsia="MS PGothic"/>
        </w:rPr>
        <w:t xml:space="preserve"> through the </w:t>
      </w:r>
      <w:r>
        <w:rPr>
          <w:rFonts w:eastAsia="MS PGothic"/>
        </w:rPr>
        <w:t xml:space="preserve">My Aged Care </w:t>
      </w:r>
      <w:r w:rsidRPr="00CD7798">
        <w:rPr>
          <w:rFonts w:eastAsia="MS PGothic"/>
        </w:rPr>
        <w:t xml:space="preserve">contact centre. The request will be assessed by contact centre team leaders and if appropriate the </w:t>
      </w:r>
      <w:r>
        <w:rPr>
          <w:rFonts w:eastAsia="MS PGothic"/>
        </w:rPr>
        <w:t>older person</w:t>
      </w:r>
      <w:r w:rsidRPr="00CD7798">
        <w:rPr>
          <w:rFonts w:eastAsia="MS PGothic"/>
        </w:rPr>
        <w:t xml:space="preserve"> or </w:t>
      </w:r>
      <w:r>
        <w:rPr>
          <w:rFonts w:eastAsia="MS PGothic"/>
        </w:rPr>
        <w:t>registered supporter’s</w:t>
      </w:r>
      <w:r w:rsidRPr="00CD7798">
        <w:rPr>
          <w:rFonts w:eastAsia="MS PGothic"/>
        </w:rPr>
        <w:t xml:space="preserve"> record will be flagged as</w:t>
      </w:r>
      <w:r>
        <w:rPr>
          <w:rFonts w:eastAsia="MS PGothic"/>
        </w:rPr>
        <w:t xml:space="preserve"> a</w:t>
      </w:r>
      <w:r w:rsidRPr="00CD7798">
        <w:rPr>
          <w:rFonts w:eastAsia="MS PGothic"/>
        </w:rPr>
        <w:t xml:space="preserve"> ‘sensitive</w:t>
      </w:r>
      <w:r>
        <w:rPr>
          <w:rFonts w:eastAsia="MS PGothic"/>
        </w:rPr>
        <w:t xml:space="preserve"> user</w:t>
      </w:r>
      <w:r w:rsidRPr="00CD7798">
        <w:rPr>
          <w:rFonts w:eastAsia="MS PGothic"/>
        </w:rPr>
        <w:t>’</w:t>
      </w:r>
      <w:r>
        <w:rPr>
          <w:rFonts w:eastAsia="MS PGothic"/>
        </w:rPr>
        <w:t xml:space="preserve"> record</w:t>
      </w:r>
      <w:r w:rsidRPr="00CD7798" w:rsidDel="00327FAC">
        <w:rPr>
          <w:rFonts w:eastAsia="MS PGothic"/>
        </w:rPr>
        <w:t>.</w:t>
      </w:r>
      <w:r w:rsidRPr="00CD7798">
        <w:rPr>
          <w:rFonts w:eastAsia="MS PGothic"/>
        </w:rPr>
        <w:t xml:space="preserve"> </w:t>
      </w:r>
    </w:p>
    <w:p w14:paraId="4E6E5A5D" w14:textId="5342962B" w:rsidR="007A743C" w:rsidRDefault="007A743C" w:rsidP="00A677C9">
      <w:pPr>
        <w:spacing w:before="240" w:after="240" w:line="240" w:lineRule="auto"/>
        <w:rPr>
          <w:rFonts w:eastAsia="MS Mincho"/>
        </w:rPr>
      </w:pPr>
      <w:r w:rsidRPr="017FF414">
        <w:rPr>
          <w:rFonts w:eastAsia="MS PGothic"/>
        </w:rPr>
        <w:t>The</w:t>
      </w:r>
      <w:r w:rsidRPr="00CD7798">
        <w:rPr>
          <w:rFonts w:eastAsia="MS PGothic"/>
        </w:rPr>
        <w:t xml:space="preserve"> details </w:t>
      </w:r>
      <w:r>
        <w:rPr>
          <w:rFonts w:eastAsia="MS PGothic"/>
        </w:rPr>
        <w:t xml:space="preserve">of a ‘sensitive user’ </w:t>
      </w:r>
      <w:r w:rsidRPr="00CD7798">
        <w:rPr>
          <w:rFonts w:eastAsia="MS PGothic"/>
        </w:rPr>
        <w:t xml:space="preserve">will remain available to assessors and service providers who are working with the </w:t>
      </w:r>
      <w:r>
        <w:rPr>
          <w:rFonts w:eastAsia="MS PGothic"/>
        </w:rPr>
        <w:t>older person</w:t>
      </w:r>
      <w:r w:rsidRPr="00CD7798">
        <w:rPr>
          <w:rFonts w:eastAsia="MS PGothic"/>
        </w:rPr>
        <w:t>.</w:t>
      </w:r>
      <w:r w:rsidRPr="00CD7798">
        <w:rPr>
          <w:rFonts w:eastAsia="MS Mincho"/>
        </w:rPr>
        <w:t xml:space="preserve"> </w:t>
      </w:r>
      <w:r w:rsidR="00516348">
        <w:rPr>
          <w:rFonts w:eastAsia="MS Mincho"/>
        </w:rPr>
        <w:t>Older people</w:t>
      </w:r>
      <w:r w:rsidRPr="00CD7798">
        <w:rPr>
          <w:rFonts w:eastAsia="MS Mincho"/>
        </w:rPr>
        <w:t xml:space="preserve"> or </w:t>
      </w:r>
      <w:r>
        <w:rPr>
          <w:rFonts w:eastAsia="MS PGothic"/>
        </w:rPr>
        <w:t xml:space="preserve">registered </w:t>
      </w:r>
      <w:r>
        <w:rPr>
          <w:rFonts w:eastAsia="MS Mincho"/>
        </w:rPr>
        <w:t>supporters</w:t>
      </w:r>
      <w:r w:rsidRPr="00CD7798">
        <w:rPr>
          <w:rFonts w:eastAsia="MS Mincho"/>
        </w:rPr>
        <w:t xml:space="preserve"> who are flagged as a ‘sensitive </w:t>
      </w:r>
      <w:r w:rsidRPr="017FF414">
        <w:rPr>
          <w:rFonts w:eastAsia="MS Mincho"/>
        </w:rPr>
        <w:t>user’</w:t>
      </w:r>
      <w:r w:rsidRPr="00CD7798">
        <w:rPr>
          <w:rFonts w:eastAsia="MS Mincho"/>
        </w:rPr>
        <w:t xml:space="preserve"> will need to disclose this status to the contact centre at the time of their interaction, as the information is restricted and will require a team leader to access and edit the record.</w:t>
      </w:r>
    </w:p>
    <w:tbl>
      <w:tblPr>
        <w:tblStyle w:val="TableGrid"/>
        <w:tblW w:w="0" w:type="auto"/>
        <w:tblLook w:val="04A0" w:firstRow="1" w:lastRow="0" w:firstColumn="1" w:lastColumn="0" w:noHBand="0" w:noVBand="1"/>
      </w:tblPr>
      <w:tblGrid>
        <w:gridCol w:w="845"/>
        <w:gridCol w:w="7921"/>
      </w:tblGrid>
      <w:tr w:rsidR="007A743C" w14:paraId="00BEAE69" w14:textId="77777777">
        <w:trPr>
          <w:trHeight w:val="300"/>
        </w:trPr>
        <w:tc>
          <w:tcPr>
            <w:tcW w:w="846" w:type="dxa"/>
          </w:tcPr>
          <w:p w14:paraId="7A8D8762" w14:textId="77777777" w:rsidR="007A743C" w:rsidRDefault="007A743C" w:rsidP="00A677C9">
            <w:pPr>
              <w:pStyle w:val="NormalText"/>
              <w:spacing w:before="240" w:after="240" w:line="240" w:lineRule="auto"/>
              <w:rPr>
                <w:rFonts w:eastAsiaTheme="majorEastAsia" w:cs="Arial"/>
                <w:b/>
                <w:color w:val="1E1444"/>
                <w:shd w:val="clear" w:color="auto" w:fill="auto"/>
                <w:lang w:val="en-GB" w:eastAsia="en-AU"/>
              </w:rPr>
            </w:pPr>
            <w:r>
              <w:rPr>
                <w:noProof/>
              </w:rPr>
              <w:drawing>
                <wp:inline distT="0" distB="0" distL="0" distR="0" wp14:anchorId="5E2B0935" wp14:editId="340D30C3">
                  <wp:extent cx="383111" cy="381000"/>
                  <wp:effectExtent l="0" t="0" r="0" b="0"/>
                  <wp:docPr id="1845880569" name="Picture 184588056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228FC67F" w14:textId="1364AF3A" w:rsidR="007A743C" w:rsidRPr="003E3238" w:rsidRDefault="007A743C" w:rsidP="00A677C9">
            <w:pPr>
              <w:spacing w:before="240" w:after="240"/>
              <w:rPr>
                <w:rStyle w:val="Hyperlink"/>
              </w:rPr>
            </w:pPr>
            <w:hyperlink r:id="rId155">
              <w:r w:rsidRPr="7AD2C21E">
                <w:rPr>
                  <w:rStyle w:val="Hyperlink"/>
                </w:rPr>
                <w:t>My Aged Care – Assessor Portal User Guide 4 – Navigating and updating the older person record</w:t>
              </w:r>
            </w:hyperlink>
          </w:p>
        </w:tc>
      </w:tr>
    </w:tbl>
    <w:p w14:paraId="647BECD4" w14:textId="1F0D3D78" w:rsidR="008D1482" w:rsidRPr="00EA0B98" w:rsidRDefault="007A743C" w:rsidP="00C56CEC">
      <w:pPr>
        <w:pStyle w:val="H3"/>
      </w:pPr>
      <w:r w:rsidRPr="00EA0B98">
        <w:t xml:space="preserve">Urgent </w:t>
      </w:r>
      <w:r w:rsidR="00F66212">
        <w:t>s</w:t>
      </w:r>
      <w:r w:rsidRPr="00EA0B98">
        <w:t xml:space="preserve">ervice </w:t>
      </w:r>
      <w:r w:rsidR="0013219F">
        <w:t>p</w:t>
      </w:r>
      <w:r w:rsidRPr="00EA0B98">
        <w:t xml:space="preserve">rovision in the IAT </w:t>
      </w:r>
    </w:p>
    <w:p w14:paraId="5D7E1B25" w14:textId="6BD196D5" w:rsidR="007A743C" w:rsidRPr="00AA5D7A" w:rsidRDefault="00943C5D" w:rsidP="00A677C9">
      <w:pPr>
        <w:spacing w:before="240" w:after="240" w:line="240" w:lineRule="auto"/>
        <w:rPr>
          <w:iCs/>
          <w:lang w:val="en-AU"/>
        </w:rPr>
      </w:pPr>
      <w:r>
        <w:rPr>
          <w:noProof/>
        </w:rPr>
        <w:drawing>
          <wp:inline distT="0" distB="0" distL="0" distR="0" wp14:anchorId="7CC40417" wp14:editId="06DDD22E">
            <wp:extent cx="457200" cy="506095"/>
            <wp:effectExtent l="0" t="0" r="0" b="8255"/>
            <wp:docPr id="1757515238" name="Picture 1757515238"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62290"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7A743C" w:rsidRPr="00AA5D7A">
        <w:rPr>
          <w:iCs/>
        </w:rPr>
        <w:t>The IAT includes a question about an older person’s need for urgent service provision, “Does the client require urgent service provision?” This a mandatory question and requires a Yes or No answer. The response to this question is one of multiple factors used by the system to calculate a priority category for the person for the Support at Home Priority System. Other information is also used to calculate a priority category. </w:t>
      </w:r>
      <w:r w:rsidR="007A743C" w:rsidRPr="00AA5D7A">
        <w:rPr>
          <w:iCs/>
          <w:lang w:val="en-AU"/>
        </w:rPr>
        <w:t> </w:t>
      </w:r>
      <w:r w:rsidR="007A743C" w:rsidRPr="00AA5D7A">
        <w:rPr>
          <w:iCs/>
        </w:rPr>
        <w:t xml:space="preserve">An older person’s priority for </w:t>
      </w:r>
      <w:r w:rsidR="00FB6511">
        <w:rPr>
          <w:iCs/>
        </w:rPr>
        <w:t xml:space="preserve">ongoing </w:t>
      </w:r>
      <w:r w:rsidR="007A743C" w:rsidRPr="00AA5D7A">
        <w:rPr>
          <w:iCs/>
        </w:rPr>
        <w:t>funding is based on their personal circumstances and characteristics.  </w:t>
      </w:r>
      <w:r w:rsidR="007A743C" w:rsidRPr="00AA5D7A">
        <w:rPr>
          <w:iCs/>
          <w:lang w:val="en-AU"/>
        </w:rPr>
        <w:t> </w:t>
      </w:r>
    </w:p>
    <w:p w14:paraId="49E44C25" w14:textId="77777777" w:rsidR="007A743C" w:rsidRPr="00AA5D7A" w:rsidRDefault="007A743C" w:rsidP="00A677C9">
      <w:pPr>
        <w:spacing w:before="240" w:after="240" w:line="240" w:lineRule="auto"/>
        <w:rPr>
          <w:iCs/>
          <w:lang w:val="en-AU"/>
        </w:rPr>
      </w:pPr>
      <w:r w:rsidRPr="00AA5D7A">
        <w:rPr>
          <w:iCs/>
        </w:rPr>
        <w:t>An older person can be determined to need urgent service provision if the older person: </w:t>
      </w:r>
      <w:r w:rsidRPr="00AA5D7A">
        <w:rPr>
          <w:iCs/>
          <w:lang w:val="en-AU"/>
        </w:rPr>
        <w:t> </w:t>
      </w:r>
    </w:p>
    <w:p w14:paraId="564A0699" w14:textId="1BC8EB4B" w:rsidR="007A743C" w:rsidRPr="00AA5D7A" w:rsidRDefault="007A743C" w:rsidP="00DF3F6B">
      <w:pPr>
        <w:numPr>
          <w:ilvl w:val="0"/>
          <w:numId w:val="120"/>
        </w:numPr>
        <w:spacing w:before="240" w:after="240" w:line="240" w:lineRule="auto"/>
        <w:rPr>
          <w:iCs/>
          <w:lang w:val="en-AU"/>
        </w:rPr>
      </w:pPr>
      <w:r w:rsidRPr="00AA5D7A">
        <w:rPr>
          <w:iCs/>
          <w:lang w:val="en-AU"/>
        </w:rPr>
        <w:t>is considered at urgent and immediate risk in terms of their personal safety; and/or </w:t>
      </w:r>
    </w:p>
    <w:p w14:paraId="70EC0FA5" w14:textId="1913C2D9" w:rsidR="007A743C" w:rsidRPr="00AA5D7A" w:rsidRDefault="007A743C" w:rsidP="00DF3F6B">
      <w:pPr>
        <w:numPr>
          <w:ilvl w:val="0"/>
          <w:numId w:val="121"/>
        </w:numPr>
        <w:spacing w:before="240" w:after="240" w:line="240" w:lineRule="auto"/>
        <w:rPr>
          <w:iCs/>
          <w:lang w:val="en-AU"/>
        </w:rPr>
      </w:pPr>
      <w:r w:rsidRPr="00AA5D7A">
        <w:rPr>
          <w:iCs/>
          <w:lang w:val="en-AU"/>
        </w:rPr>
        <w:t>is at immediate risk of admission into residential care; and/or  </w:t>
      </w:r>
    </w:p>
    <w:p w14:paraId="3DF578FE" w14:textId="19A07326" w:rsidR="00EF3113" w:rsidRPr="00E80FE6" w:rsidRDefault="00E80FE6" w:rsidP="00B73461">
      <w:pPr>
        <w:pStyle w:val="ListParagraph"/>
        <w:numPr>
          <w:ilvl w:val="0"/>
          <w:numId w:val="121"/>
        </w:numPr>
        <w:rPr>
          <w:iCs/>
          <w:lang w:val="en-AU"/>
        </w:rPr>
      </w:pPr>
      <w:r w:rsidRPr="00E80FE6">
        <w:rPr>
          <w:iCs/>
          <w:lang w:val="en-AU"/>
        </w:rPr>
        <w:t>is unable to be safely discharged from hospital without timely access to in-home care</w:t>
      </w:r>
      <w:r w:rsidR="00CD764E">
        <w:rPr>
          <w:iCs/>
          <w:lang w:val="en-AU"/>
        </w:rPr>
        <w:t>; and/or</w:t>
      </w:r>
    </w:p>
    <w:p w14:paraId="2B2114A5" w14:textId="45A4379E" w:rsidR="007A743C" w:rsidRPr="00AA5D7A" w:rsidRDefault="00DE7669" w:rsidP="00DF3F6B">
      <w:pPr>
        <w:numPr>
          <w:ilvl w:val="0"/>
          <w:numId w:val="122"/>
        </w:numPr>
        <w:spacing w:before="240" w:after="240" w:line="240" w:lineRule="auto"/>
        <w:rPr>
          <w:iCs/>
          <w:lang w:val="en-AU"/>
        </w:rPr>
      </w:pPr>
      <w:r>
        <w:rPr>
          <w:iCs/>
          <w:lang w:val="en-AU"/>
        </w:rPr>
        <w:t>ha</w:t>
      </w:r>
      <w:r w:rsidR="007A743C" w:rsidRPr="00AA5D7A">
        <w:rPr>
          <w:iCs/>
          <w:lang w:val="en-AU"/>
        </w:rPr>
        <w:t>s a carer, and the carer arrangements are unsustainable, or the carer is at crisis point</w:t>
      </w:r>
      <w:r w:rsidR="00B23AB0">
        <w:rPr>
          <w:iCs/>
          <w:lang w:val="en-AU"/>
        </w:rPr>
        <w:t>.</w:t>
      </w:r>
      <w:r w:rsidR="00B23AB0" w:rsidRPr="00AA5D7A">
        <w:rPr>
          <w:iCs/>
          <w:lang w:val="en-AU"/>
        </w:rPr>
        <w:t xml:space="preserve"> </w:t>
      </w:r>
    </w:p>
    <w:p w14:paraId="781F8FF3" w14:textId="77777777" w:rsidR="000673FD" w:rsidRDefault="007A743C" w:rsidP="00A677C9">
      <w:pPr>
        <w:spacing w:before="240" w:after="240" w:line="240" w:lineRule="auto"/>
        <w:rPr>
          <w:szCs w:val="22"/>
        </w:rPr>
        <w:sectPr w:rsidR="000673FD" w:rsidSect="00ED03BF">
          <w:pgSz w:w="11906" w:h="16838"/>
          <w:pgMar w:top="1440" w:right="1700" w:bottom="1440" w:left="1440" w:header="708" w:footer="708" w:gutter="0"/>
          <w:cols w:space="708"/>
          <w:docGrid w:linePitch="360"/>
        </w:sectPr>
      </w:pPr>
      <w:r w:rsidRPr="00AA5D7A">
        <w:rPr>
          <w:iCs/>
        </w:rPr>
        <w:t>The guide below has been developed to help assessors determine whether an older person requires urgent service provision</w:t>
      </w:r>
      <w:r w:rsidR="00DE7669">
        <w:rPr>
          <w:iCs/>
        </w:rPr>
        <w:t>.</w:t>
      </w:r>
      <w:r w:rsidRPr="00AA5D7A">
        <w:rPr>
          <w:iCs/>
        </w:rPr>
        <w:t> </w:t>
      </w:r>
      <w:r w:rsidRPr="00AA5D7A">
        <w:rPr>
          <w:szCs w:val="22"/>
        </w:rPr>
        <w:t> </w:t>
      </w:r>
    </w:p>
    <w:p w14:paraId="3CDF0DAE" w14:textId="12B362CC" w:rsidR="007A743C" w:rsidRPr="00AA5D7A" w:rsidRDefault="007A743C" w:rsidP="00A677C9">
      <w:pPr>
        <w:pStyle w:val="Caption"/>
        <w:spacing w:before="240" w:after="240"/>
      </w:pPr>
      <w:r>
        <w:t>Table 2</w:t>
      </w:r>
      <w:r w:rsidR="00EC1CA5">
        <w:t>2</w:t>
      </w:r>
      <w:r>
        <w:t xml:space="preserve">. Urgent service provision guide </w:t>
      </w:r>
    </w:p>
    <w:tbl>
      <w:tblPr>
        <w:tblpPr w:leftFromText="180" w:rightFromText="180" w:vertAnchor="text" w:tblpY="1"/>
        <w:tblOverlap w:val="never"/>
        <w:tblW w:w="5000" w:type="pct"/>
        <w:tblBorders>
          <w:bottom w:val="single" w:sz="4" w:space="0" w:color="auto"/>
          <w:insideH w:val="single" w:sz="4" w:space="0" w:color="auto"/>
        </w:tblBorders>
        <w:tblCellMar>
          <w:left w:w="0" w:type="dxa"/>
          <w:right w:w="0" w:type="dxa"/>
        </w:tblCellMar>
        <w:tblLook w:val="04A0" w:firstRow="1" w:lastRow="0" w:firstColumn="1" w:lastColumn="0" w:noHBand="0" w:noVBand="1"/>
        <w:tblCaption w:val="Urgent service provision guide "/>
        <w:tblDescription w:val="Guide to assist assessors determine whether an older person requires urgent service provision"/>
      </w:tblPr>
      <w:tblGrid>
        <w:gridCol w:w="1713"/>
        <w:gridCol w:w="3143"/>
        <w:gridCol w:w="4076"/>
        <w:gridCol w:w="2412"/>
        <w:gridCol w:w="2496"/>
        <w:gridCol w:w="31"/>
        <w:gridCol w:w="31"/>
        <w:gridCol w:w="31"/>
        <w:gridCol w:w="25"/>
      </w:tblGrid>
      <w:tr w:rsidR="007A743C" w:rsidRPr="00C8627D" w14:paraId="3F116A96" w14:textId="2C7CF6E3" w:rsidTr="00E6431F">
        <w:trPr>
          <w:trHeight w:val="300"/>
          <w:tblHeader/>
        </w:trPr>
        <w:tc>
          <w:tcPr>
            <w:tcW w:w="614" w:type="pct"/>
            <w:shd w:val="clear" w:color="auto" w:fill="002060"/>
            <w:hideMark/>
          </w:tcPr>
          <w:p w14:paraId="541C9304" w14:textId="4C6C6FA4"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 </w:t>
            </w:r>
          </w:p>
        </w:tc>
        <w:tc>
          <w:tcPr>
            <w:tcW w:w="1126" w:type="pct"/>
            <w:shd w:val="clear" w:color="auto" w:fill="002060"/>
            <w:hideMark/>
          </w:tcPr>
          <w:p w14:paraId="6740F33E" w14:textId="65EABF72"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 xml:space="preserve">Carer </w:t>
            </w:r>
            <w:r w:rsidR="00D223D9">
              <w:rPr>
                <w:b/>
                <w:color w:val="FFFFFF" w:themeColor="background1"/>
                <w:lang w:val="en-AU"/>
              </w:rPr>
              <w:t>a</w:t>
            </w:r>
            <w:r w:rsidRPr="00AA5D7A">
              <w:rPr>
                <w:b/>
                <w:color w:val="FFFFFF" w:themeColor="background1"/>
                <w:lang w:val="en-AU"/>
              </w:rPr>
              <w:t>rrangements are unsustainable   </w:t>
            </w:r>
          </w:p>
        </w:tc>
        <w:tc>
          <w:tcPr>
            <w:tcW w:w="1460" w:type="pct"/>
            <w:shd w:val="clear" w:color="auto" w:fill="002060"/>
            <w:hideMark/>
          </w:tcPr>
          <w:p w14:paraId="41C075DA" w14:textId="77777777"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Older person is at immediate Risk due to personal safety  </w:t>
            </w:r>
          </w:p>
        </w:tc>
        <w:tc>
          <w:tcPr>
            <w:tcW w:w="864" w:type="pct"/>
            <w:shd w:val="clear" w:color="auto" w:fill="002060"/>
            <w:hideMark/>
          </w:tcPr>
          <w:p w14:paraId="0F760E5B" w14:textId="1E7E9EE5" w:rsidR="007A743C" w:rsidRPr="00AA5D7A" w:rsidRDefault="007A743C" w:rsidP="00A677C9">
            <w:pPr>
              <w:spacing w:before="240" w:after="240" w:line="240" w:lineRule="auto"/>
              <w:rPr>
                <w:b/>
                <w:color w:val="FFFFFF" w:themeColor="background1"/>
                <w:lang w:val="en-AU"/>
              </w:rPr>
            </w:pPr>
            <w:r w:rsidRPr="00AA5D7A">
              <w:rPr>
                <w:b/>
                <w:color w:val="FFFFFF" w:themeColor="background1"/>
                <w:lang w:val="en-AU"/>
              </w:rPr>
              <w:t>Immediate risk of admission into residential care </w:t>
            </w:r>
          </w:p>
        </w:tc>
        <w:tc>
          <w:tcPr>
            <w:tcW w:w="894" w:type="pct"/>
            <w:shd w:val="clear" w:color="auto" w:fill="002060"/>
          </w:tcPr>
          <w:p w14:paraId="611866D6" w14:textId="5F374127" w:rsidR="008F3591" w:rsidRPr="00D76E07" w:rsidRDefault="008F3591" w:rsidP="003D4876">
            <w:pPr>
              <w:spacing w:before="240" w:after="240" w:line="240" w:lineRule="auto"/>
              <w:rPr>
                <w:b/>
                <w:bCs/>
                <w:color w:val="FF0000"/>
              </w:rPr>
            </w:pPr>
            <w:r w:rsidRPr="00E6431F">
              <w:rPr>
                <w:b/>
                <w:color w:val="FFFFFF" w:themeColor="background1"/>
              </w:rPr>
              <w:t xml:space="preserve">Requires </w:t>
            </w:r>
            <w:r w:rsidR="00CE0649" w:rsidRPr="00E6431F">
              <w:rPr>
                <w:b/>
                <w:color w:val="FFFFFF" w:themeColor="background1"/>
              </w:rPr>
              <w:t xml:space="preserve">timely access to home </w:t>
            </w:r>
            <w:r w:rsidRPr="00E6431F">
              <w:rPr>
                <w:b/>
                <w:color w:val="FFFFFF" w:themeColor="background1"/>
              </w:rPr>
              <w:t>care to support discharge from hospital</w:t>
            </w:r>
          </w:p>
        </w:tc>
        <w:tc>
          <w:tcPr>
            <w:tcW w:w="11" w:type="pct"/>
          </w:tcPr>
          <w:p w14:paraId="60AD3C59" w14:textId="4ADC18C7" w:rsidR="0098047A" w:rsidRPr="00AA5D7A" w:rsidRDefault="0098047A" w:rsidP="003D4876">
            <w:pPr>
              <w:spacing w:before="240" w:after="240" w:line="240" w:lineRule="auto"/>
              <w:rPr>
                <w:b/>
                <w:color w:val="FFFFFF" w:themeColor="background1"/>
                <w:lang w:val="en-AU"/>
              </w:rPr>
            </w:pPr>
          </w:p>
        </w:tc>
        <w:tc>
          <w:tcPr>
            <w:tcW w:w="11" w:type="pct"/>
          </w:tcPr>
          <w:p w14:paraId="70F11233" w14:textId="77777777" w:rsidR="0098047A" w:rsidRPr="00AA5D7A" w:rsidRDefault="0098047A" w:rsidP="003D4876">
            <w:pPr>
              <w:spacing w:before="240" w:after="240" w:line="240" w:lineRule="auto"/>
              <w:rPr>
                <w:b/>
                <w:color w:val="FFFFFF" w:themeColor="background1"/>
                <w:lang w:val="en-AU"/>
              </w:rPr>
            </w:pPr>
          </w:p>
        </w:tc>
        <w:tc>
          <w:tcPr>
            <w:tcW w:w="11" w:type="pct"/>
          </w:tcPr>
          <w:p w14:paraId="6B540FA2" w14:textId="77777777" w:rsidR="0098047A" w:rsidRPr="00AA5D7A" w:rsidRDefault="0098047A" w:rsidP="003D4876">
            <w:pPr>
              <w:spacing w:before="240" w:after="240" w:line="240" w:lineRule="auto"/>
              <w:rPr>
                <w:b/>
                <w:color w:val="FFFFFF" w:themeColor="background1"/>
                <w:lang w:val="en-AU"/>
              </w:rPr>
            </w:pPr>
          </w:p>
        </w:tc>
        <w:tc>
          <w:tcPr>
            <w:tcW w:w="11" w:type="pct"/>
          </w:tcPr>
          <w:p w14:paraId="12E8A347" w14:textId="77777777" w:rsidR="0098047A" w:rsidRPr="00AA5D7A" w:rsidRDefault="0098047A" w:rsidP="003D4876">
            <w:pPr>
              <w:spacing w:before="240" w:after="240" w:line="240" w:lineRule="auto"/>
              <w:rPr>
                <w:b/>
                <w:color w:val="FFFFFF" w:themeColor="background1"/>
                <w:lang w:val="en-AU"/>
              </w:rPr>
            </w:pPr>
          </w:p>
        </w:tc>
      </w:tr>
      <w:tr w:rsidR="007A743C" w:rsidRPr="00AA5D7A" w14:paraId="19B07E94" w14:textId="003EADCD" w:rsidTr="00E6431F">
        <w:trPr>
          <w:trHeight w:val="300"/>
        </w:trPr>
        <w:tc>
          <w:tcPr>
            <w:tcW w:w="614" w:type="pct"/>
            <w:shd w:val="clear" w:color="auto" w:fill="002060"/>
            <w:hideMark/>
          </w:tcPr>
          <w:p w14:paraId="1A32D8CE" w14:textId="77777777" w:rsidR="007A743C" w:rsidRPr="00AA5D7A" w:rsidRDefault="007A743C" w:rsidP="00A677C9">
            <w:pPr>
              <w:spacing w:before="240" w:after="240" w:line="240" w:lineRule="auto"/>
              <w:rPr>
                <w:b/>
                <w:bCs/>
                <w:iCs/>
                <w:lang w:val="en-AU"/>
              </w:rPr>
            </w:pPr>
            <w:r w:rsidRPr="00AA5D7A">
              <w:rPr>
                <w:b/>
                <w:bCs/>
                <w:iCs/>
                <w:lang w:val="en-AU"/>
              </w:rPr>
              <w:t> </w:t>
            </w:r>
          </w:p>
          <w:p w14:paraId="2BB42849" w14:textId="77777777" w:rsidR="007A743C" w:rsidRPr="00AA5D7A" w:rsidRDefault="007A743C" w:rsidP="00A677C9">
            <w:pPr>
              <w:spacing w:before="240" w:after="240" w:line="240" w:lineRule="auto"/>
              <w:rPr>
                <w:b/>
                <w:bCs/>
                <w:iCs/>
                <w:lang w:val="en-AU"/>
              </w:rPr>
            </w:pPr>
            <w:r w:rsidRPr="00AA5D7A">
              <w:rPr>
                <w:b/>
                <w:bCs/>
                <w:iCs/>
                <w:lang w:val="en-AU"/>
              </w:rPr>
              <w:t> </w:t>
            </w:r>
          </w:p>
          <w:p w14:paraId="397A3D01" w14:textId="77777777" w:rsidR="007A743C" w:rsidRPr="00AA5D7A" w:rsidRDefault="007A743C" w:rsidP="00A677C9">
            <w:pPr>
              <w:spacing w:before="240" w:after="240" w:line="240" w:lineRule="auto"/>
              <w:rPr>
                <w:b/>
                <w:bCs/>
                <w:iCs/>
                <w:lang w:val="en-AU"/>
              </w:rPr>
            </w:pPr>
            <w:r w:rsidRPr="00AA5D7A">
              <w:rPr>
                <w:b/>
                <w:bCs/>
                <w:iCs/>
                <w:lang w:val="en-AU"/>
              </w:rPr>
              <w:t> </w:t>
            </w:r>
          </w:p>
          <w:p w14:paraId="218329F4" w14:textId="77777777" w:rsidR="007A743C" w:rsidRPr="00AA5D7A" w:rsidRDefault="007A743C" w:rsidP="00A677C9">
            <w:pPr>
              <w:spacing w:before="240" w:after="240" w:line="240" w:lineRule="auto"/>
              <w:rPr>
                <w:b/>
                <w:bCs/>
                <w:iCs/>
                <w:lang w:val="en-AU"/>
              </w:rPr>
            </w:pPr>
            <w:r w:rsidRPr="00AA5D7A">
              <w:rPr>
                <w:b/>
                <w:bCs/>
                <w:iCs/>
                <w:lang w:val="en-AU"/>
              </w:rPr>
              <w:t> </w:t>
            </w:r>
          </w:p>
          <w:p w14:paraId="3FED4045" w14:textId="77777777" w:rsidR="007A743C" w:rsidRPr="00AA5D7A" w:rsidRDefault="007A743C" w:rsidP="00A677C9">
            <w:pPr>
              <w:spacing w:before="240" w:after="240" w:line="240" w:lineRule="auto"/>
              <w:rPr>
                <w:b/>
                <w:bCs/>
                <w:iCs/>
                <w:lang w:val="en-AU"/>
              </w:rPr>
            </w:pPr>
            <w:r w:rsidRPr="00AA5D7A">
              <w:rPr>
                <w:b/>
                <w:bCs/>
                <w:iCs/>
                <w:lang w:val="en-AU"/>
              </w:rPr>
              <w:t> </w:t>
            </w:r>
          </w:p>
          <w:p w14:paraId="0BC76D9D" w14:textId="77777777" w:rsidR="007A743C" w:rsidRPr="00AA5D7A" w:rsidRDefault="007A743C" w:rsidP="00A677C9">
            <w:pPr>
              <w:spacing w:before="240" w:after="240" w:line="240" w:lineRule="auto"/>
              <w:rPr>
                <w:b/>
                <w:bCs/>
                <w:iCs/>
                <w:lang w:val="en-AU"/>
              </w:rPr>
            </w:pPr>
            <w:r w:rsidRPr="00AA5D7A">
              <w:rPr>
                <w:b/>
                <w:bCs/>
                <w:iCs/>
                <w:lang w:val="en-AU"/>
              </w:rPr>
              <w:t> </w:t>
            </w:r>
          </w:p>
          <w:p w14:paraId="7CC4CBA4" w14:textId="3D8A6E4A" w:rsidR="007A743C" w:rsidRPr="00AA5D7A" w:rsidRDefault="007A743C" w:rsidP="00A677C9">
            <w:pPr>
              <w:spacing w:before="240" w:after="240" w:line="240" w:lineRule="auto"/>
              <w:rPr>
                <w:b/>
                <w:bCs/>
                <w:iCs/>
                <w:lang w:val="en-AU"/>
              </w:rPr>
            </w:pPr>
            <w:r w:rsidRPr="00AA5D7A">
              <w:rPr>
                <w:b/>
                <w:color w:val="FFFFFF" w:themeColor="background1"/>
                <w:lang w:val="en-AU"/>
              </w:rPr>
              <w:t>Criteria for determining urgency   </w:t>
            </w:r>
          </w:p>
        </w:tc>
        <w:tc>
          <w:tcPr>
            <w:tcW w:w="1126" w:type="pct"/>
            <w:hideMark/>
          </w:tcPr>
          <w:p w14:paraId="24C547D8" w14:textId="77777777" w:rsidR="007A743C" w:rsidRPr="00AA5D7A" w:rsidRDefault="007A743C" w:rsidP="00A677C9">
            <w:pPr>
              <w:spacing w:before="240" w:after="240" w:line="240" w:lineRule="auto"/>
              <w:rPr>
                <w:iCs/>
                <w:lang w:val="en-AU"/>
              </w:rPr>
            </w:pPr>
            <w:r w:rsidRPr="00AA5D7A">
              <w:rPr>
                <w:iCs/>
                <w:lang w:val="en-AU"/>
              </w:rPr>
              <w:t>Indicators that a carer arrangement is unsustainable:  </w:t>
            </w:r>
          </w:p>
          <w:p w14:paraId="3F61E749" w14:textId="77777777" w:rsidR="007A743C" w:rsidRPr="00AA5D7A" w:rsidRDefault="007A743C" w:rsidP="00DF3F6B">
            <w:pPr>
              <w:numPr>
                <w:ilvl w:val="0"/>
                <w:numId w:val="123"/>
              </w:numPr>
              <w:spacing w:before="240" w:after="240" w:line="240" w:lineRule="auto"/>
              <w:rPr>
                <w:iCs/>
                <w:lang w:val="en-AU"/>
              </w:rPr>
            </w:pPr>
            <w:r w:rsidRPr="00AA5D7A">
              <w:rPr>
                <w:iCs/>
                <w:lang w:val="en-AU"/>
              </w:rPr>
              <w:t>Carer in crisis  </w:t>
            </w:r>
          </w:p>
          <w:p w14:paraId="29F2AFBE" w14:textId="5CAF5CE9" w:rsidR="007A743C" w:rsidRPr="00AA5D7A" w:rsidRDefault="007A743C" w:rsidP="00DF3F6B">
            <w:pPr>
              <w:numPr>
                <w:ilvl w:val="0"/>
                <w:numId w:val="124"/>
              </w:numPr>
              <w:spacing w:before="240" w:after="240" w:line="240" w:lineRule="auto"/>
              <w:rPr>
                <w:iCs/>
                <w:lang w:val="en-AU"/>
              </w:rPr>
            </w:pPr>
            <w:r w:rsidRPr="00AA5D7A">
              <w:rPr>
                <w:iCs/>
                <w:lang w:val="en-AU"/>
              </w:rPr>
              <w:t>Carer may have a dual caring role</w:t>
            </w:r>
            <w:r w:rsidR="00B23AB0" w:rsidRPr="00AA5D7A">
              <w:rPr>
                <w:iCs/>
                <w:lang w:val="en-AU"/>
              </w:rPr>
              <w:t xml:space="preserve">. </w:t>
            </w:r>
          </w:p>
          <w:p w14:paraId="5E4CC5CB" w14:textId="77777777" w:rsidR="007A743C" w:rsidRPr="00AA5D7A" w:rsidRDefault="007A743C" w:rsidP="00DF3F6B">
            <w:pPr>
              <w:numPr>
                <w:ilvl w:val="0"/>
                <w:numId w:val="125"/>
              </w:numPr>
              <w:spacing w:before="240" w:after="240" w:line="240" w:lineRule="auto"/>
              <w:rPr>
                <w:iCs/>
                <w:lang w:val="en-AU"/>
              </w:rPr>
            </w:pPr>
            <w:r w:rsidRPr="00AA5D7A">
              <w:rPr>
                <w:iCs/>
                <w:lang w:val="en-AU"/>
              </w:rPr>
              <w:t>Carer’s employment is being jeopardised by their caring duties </w:t>
            </w:r>
          </w:p>
          <w:p w14:paraId="424CD84F" w14:textId="77777777" w:rsidR="007A743C" w:rsidRPr="00AA5D7A" w:rsidRDefault="007A743C" w:rsidP="00DF3F6B">
            <w:pPr>
              <w:numPr>
                <w:ilvl w:val="0"/>
                <w:numId w:val="126"/>
              </w:numPr>
              <w:spacing w:before="240" w:after="240" w:line="240" w:lineRule="auto"/>
              <w:rPr>
                <w:iCs/>
                <w:lang w:val="en-AU"/>
              </w:rPr>
            </w:pPr>
            <w:r w:rsidRPr="00AA5D7A">
              <w:rPr>
                <w:iCs/>
                <w:lang w:val="en-AU"/>
              </w:rPr>
              <w:t>Carer may be returning to full time employment. </w:t>
            </w:r>
          </w:p>
          <w:p w14:paraId="19132731" w14:textId="77777777" w:rsidR="007A743C" w:rsidRPr="00AA5D7A" w:rsidRDefault="007A743C" w:rsidP="00DF3F6B">
            <w:pPr>
              <w:numPr>
                <w:ilvl w:val="0"/>
                <w:numId w:val="127"/>
              </w:numPr>
              <w:spacing w:before="240" w:after="240" w:line="240" w:lineRule="auto"/>
              <w:rPr>
                <w:iCs/>
                <w:lang w:val="en-AU"/>
              </w:rPr>
            </w:pPr>
            <w:r w:rsidRPr="00AA5D7A">
              <w:rPr>
                <w:iCs/>
                <w:lang w:val="en-AU"/>
              </w:rPr>
              <w:t>The level of care required by the older person is increasingly more complex and the primary carer is unable to provide the level of assistance required. </w:t>
            </w:r>
          </w:p>
          <w:p w14:paraId="0ED34A23" w14:textId="41D4A765" w:rsidR="007A743C" w:rsidRPr="00AA5D7A" w:rsidRDefault="007A743C" w:rsidP="00DF3F6B">
            <w:pPr>
              <w:numPr>
                <w:ilvl w:val="0"/>
                <w:numId w:val="128"/>
              </w:numPr>
              <w:spacing w:before="240" w:after="240" w:line="240" w:lineRule="auto"/>
              <w:rPr>
                <w:iCs/>
                <w:lang w:val="en-AU"/>
              </w:rPr>
            </w:pPr>
            <w:r w:rsidRPr="00AA5D7A">
              <w:rPr>
                <w:iCs/>
                <w:lang w:val="en-AU"/>
              </w:rPr>
              <w:t xml:space="preserve">Recent changes in the </w:t>
            </w:r>
            <w:r w:rsidR="00516348">
              <w:rPr>
                <w:iCs/>
                <w:lang w:val="en-AU"/>
              </w:rPr>
              <w:t>older people</w:t>
            </w:r>
            <w:r w:rsidRPr="00AA5D7A">
              <w:rPr>
                <w:iCs/>
                <w:lang w:val="en-AU"/>
              </w:rPr>
              <w:t>' family, cultural, housing or social situation resulting in trauma</w:t>
            </w:r>
            <w:r w:rsidRPr="00AA5D7A">
              <w:rPr>
                <w:iCs/>
                <w:u w:val="single"/>
                <w:lang w:val="en-AU"/>
              </w:rPr>
              <w:t>,</w:t>
            </w:r>
            <w:r w:rsidRPr="00AA5D7A">
              <w:rPr>
                <w:iCs/>
                <w:lang w:val="en-AU"/>
              </w:rPr>
              <w:t xml:space="preserve"> or feeling unsafe (including culturally unsafe) </w:t>
            </w:r>
          </w:p>
          <w:p w14:paraId="5ACFD131" w14:textId="77777777" w:rsidR="007A743C" w:rsidRPr="00AA5D7A" w:rsidRDefault="007A743C" w:rsidP="00A677C9">
            <w:pPr>
              <w:spacing w:before="240" w:after="240" w:line="240" w:lineRule="auto"/>
              <w:rPr>
                <w:iCs/>
                <w:lang w:val="en-AU"/>
              </w:rPr>
            </w:pPr>
            <w:r w:rsidRPr="00AA5D7A">
              <w:rPr>
                <w:iCs/>
                <w:lang w:val="en-AU"/>
              </w:rPr>
              <w:t>The carer in crisis is no longer able to provide care due to:  </w:t>
            </w:r>
          </w:p>
          <w:p w14:paraId="719932A5" w14:textId="77777777" w:rsidR="007A743C" w:rsidRPr="00AA5D7A" w:rsidRDefault="007A743C" w:rsidP="00DF3F6B">
            <w:pPr>
              <w:numPr>
                <w:ilvl w:val="0"/>
                <w:numId w:val="129"/>
              </w:numPr>
              <w:spacing w:before="240" w:after="240" w:line="240" w:lineRule="auto"/>
              <w:rPr>
                <w:iCs/>
                <w:lang w:val="en-AU"/>
              </w:rPr>
            </w:pPr>
            <w:r w:rsidRPr="00AA5D7A">
              <w:rPr>
                <w:iCs/>
                <w:lang w:val="en-AU"/>
              </w:rPr>
              <w:t>A change in the carer’s personal circumstance i.e. death/significant decline in carers own health status </w:t>
            </w:r>
          </w:p>
          <w:p w14:paraId="1D38C8B9" w14:textId="77777777" w:rsidR="007A743C" w:rsidRPr="00AA5D7A" w:rsidRDefault="007A743C" w:rsidP="00DF3F6B">
            <w:pPr>
              <w:numPr>
                <w:ilvl w:val="0"/>
                <w:numId w:val="130"/>
              </w:numPr>
              <w:spacing w:before="240" w:after="240" w:line="240" w:lineRule="auto"/>
              <w:rPr>
                <w:iCs/>
                <w:lang w:val="en-AU"/>
              </w:rPr>
            </w:pPr>
            <w:r w:rsidRPr="00AA5D7A">
              <w:rPr>
                <w:iCs/>
                <w:lang w:val="en-AU"/>
              </w:rPr>
              <w:t>An inability to sustain their caring role due to a lack of assistance being received i.e. the older person has significant needs and no (or minimal) support is being provided. </w:t>
            </w:r>
          </w:p>
          <w:p w14:paraId="26792086" w14:textId="15C98467" w:rsidR="007A743C" w:rsidRPr="00AA5D7A" w:rsidRDefault="007A743C" w:rsidP="00A677C9">
            <w:pPr>
              <w:spacing w:before="240" w:after="240" w:line="240" w:lineRule="auto"/>
              <w:rPr>
                <w:iCs/>
                <w:lang w:val="en-AU"/>
              </w:rPr>
            </w:pPr>
            <w:r w:rsidRPr="00AA5D7A">
              <w:rPr>
                <w:b/>
                <w:bCs/>
                <w:iCs/>
                <w:lang w:val="en-AU"/>
              </w:rPr>
              <w:t>NOTE</w:t>
            </w:r>
            <w:r w:rsidRPr="00AA5D7A">
              <w:rPr>
                <w:iCs/>
                <w:lang w:val="en-AU"/>
              </w:rPr>
              <w:t xml:space="preserve">: Carer in crisis is different to caregiver stress. Caregiver stress is a condition of exhaustion, anger, or guilt that results from unrelieved caring for a chronically ill dependent. The stress can vary depending on the </w:t>
            </w:r>
            <w:r w:rsidRPr="00BB5C3B">
              <w:rPr>
                <w:iCs/>
                <w:lang w:val="en-AU"/>
              </w:rPr>
              <w:t>individual and</w:t>
            </w:r>
            <w:r w:rsidRPr="00AA5D7A">
              <w:rPr>
                <w:iCs/>
                <w:lang w:val="en-AU"/>
              </w:rPr>
              <w:t xml:space="preserve"> generally does not prohibit the carer from providing care. Caregiver stress can be reduced by accessing respite care</w:t>
            </w:r>
            <w:r w:rsidR="00B23AB0" w:rsidRPr="00AA5D7A">
              <w:rPr>
                <w:iCs/>
                <w:lang w:val="en-AU"/>
              </w:rPr>
              <w:t xml:space="preserve">. </w:t>
            </w:r>
          </w:p>
        </w:tc>
        <w:tc>
          <w:tcPr>
            <w:tcW w:w="1460" w:type="pct"/>
            <w:hideMark/>
          </w:tcPr>
          <w:p w14:paraId="0FE17AD1" w14:textId="6EC9D1A6" w:rsidR="007A743C" w:rsidRPr="00AA5D7A" w:rsidRDefault="007A743C" w:rsidP="00A677C9">
            <w:pPr>
              <w:spacing w:before="240" w:after="240" w:line="240" w:lineRule="auto"/>
              <w:rPr>
                <w:iCs/>
                <w:lang w:val="en-AU"/>
              </w:rPr>
            </w:pPr>
            <w:r w:rsidRPr="00AA5D7A">
              <w:rPr>
                <w:iCs/>
                <w:lang w:val="en-AU"/>
              </w:rPr>
              <w:t xml:space="preserve">Some indicators of a person being at urgent and immediate risk with respect </w:t>
            </w:r>
            <w:r w:rsidR="00E6431F">
              <w:rPr>
                <w:iCs/>
                <w:lang w:val="en-AU"/>
              </w:rPr>
              <w:t xml:space="preserve">  </w:t>
            </w:r>
            <w:r w:rsidRPr="00AA5D7A">
              <w:rPr>
                <w:iCs/>
                <w:lang w:val="en-AU"/>
              </w:rPr>
              <w:t xml:space="preserve">to their personal safety may include, </w:t>
            </w:r>
            <w:r w:rsidR="00E6431F">
              <w:rPr>
                <w:iCs/>
                <w:lang w:val="en-AU"/>
              </w:rPr>
              <w:t xml:space="preserve">    </w:t>
            </w:r>
            <w:r w:rsidRPr="00AA5D7A">
              <w:rPr>
                <w:iCs/>
                <w:lang w:val="en-AU"/>
              </w:rPr>
              <w:t>but are not limited to: </w:t>
            </w:r>
          </w:p>
          <w:p w14:paraId="58315800" w14:textId="77777777" w:rsidR="007A743C" w:rsidRPr="00AA5D7A" w:rsidRDefault="007A743C" w:rsidP="00DF3F6B">
            <w:pPr>
              <w:numPr>
                <w:ilvl w:val="0"/>
                <w:numId w:val="131"/>
              </w:numPr>
              <w:spacing w:before="240" w:after="240" w:line="240" w:lineRule="auto"/>
              <w:rPr>
                <w:iCs/>
                <w:lang w:val="en-AU"/>
              </w:rPr>
            </w:pPr>
            <w:r w:rsidRPr="00AA5D7A">
              <w:rPr>
                <w:iCs/>
                <w:lang w:val="en-AU"/>
              </w:rPr>
              <w:t>Neglect of basic needs i.e., unable to access or prepare food resulting in malnutrition, weight loss or dehydration </w:t>
            </w:r>
          </w:p>
          <w:p w14:paraId="7809DB0D" w14:textId="77777777" w:rsidR="007A743C" w:rsidRPr="00AA5D7A" w:rsidRDefault="007A743C" w:rsidP="00DF3F6B">
            <w:pPr>
              <w:numPr>
                <w:ilvl w:val="0"/>
                <w:numId w:val="132"/>
              </w:numPr>
              <w:spacing w:before="240" w:after="240" w:line="240" w:lineRule="auto"/>
              <w:rPr>
                <w:iCs/>
                <w:lang w:val="en-AU"/>
              </w:rPr>
            </w:pPr>
            <w:r w:rsidRPr="00AA5D7A">
              <w:rPr>
                <w:iCs/>
                <w:lang w:val="en-AU"/>
              </w:rPr>
              <w:t>Inadequate personal hygiene such as severe neglect of personal care leading to serious hygiene issues, infections or injuries. </w:t>
            </w:r>
          </w:p>
          <w:p w14:paraId="2D2586DF" w14:textId="77777777" w:rsidR="007A743C" w:rsidRPr="00AA5D7A" w:rsidRDefault="007A743C" w:rsidP="00DF3F6B">
            <w:pPr>
              <w:numPr>
                <w:ilvl w:val="0"/>
                <w:numId w:val="133"/>
              </w:numPr>
              <w:spacing w:before="240" w:after="240" w:line="240" w:lineRule="auto"/>
              <w:rPr>
                <w:iCs/>
                <w:lang w:val="en-AU"/>
              </w:rPr>
            </w:pPr>
            <w:r w:rsidRPr="00AA5D7A">
              <w:rPr>
                <w:iCs/>
                <w:lang w:val="en-AU"/>
              </w:rPr>
              <w:t>Repeated hospital admissions due to frequent falls with sustained injuries. </w:t>
            </w:r>
          </w:p>
          <w:p w14:paraId="13B3EA50" w14:textId="77777777" w:rsidR="007A743C" w:rsidRPr="00AA5D7A" w:rsidRDefault="007A743C" w:rsidP="00DF3F6B">
            <w:pPr>
              <w:numPr>
                <w:ilvl w:val="0"/>
                <w:numId w:val="134"/>
              </w:numPr>
              <w:spacing w:before="240" w:after="240" w:line="240" w:lineRule="auto"/>
              <w:rPr>
                <w:iCs/>
                <w:lang w:val="en-AU"/>
              </w:rPr>
            </w:pPr>
            <w:r w:rsidRPr="00AA5D7A">
              <w:rPr>
                <w:iCs/>
                <w:lang w:val="en-AU"/>
              </w:rPr>
              <w:t>Failure to administer necessary medications/treatments and/or attend medical appointments. For example, medication mishaps with potential for adverse outcomes. </w:t>
            </w:r>
          </w:p>
          <w:p w14:paraId="7830B59B" w14:textId="77777777" w:rsidR="007A743C" w:rsidRPr="00AA5D7A" w:rsidRDefault="007A743C" w:rsidP="00DF3F6B">
            <w:pPr>
              <w:numPr>
                <w:ilvl w:val="0"/>
                <w:numId w:val="135"/>
              </w:numPr>
              <w:spacing w:before="240" w:after="240" w:line="240" w:lineRule="auto"/>
              <w:rPr>
                <w:iCs/>
                <w:lang w:val="en-AU"/>
              </w:rPr>
            </w:pPr>
            <w:r w:rsidRPr="00AA5D7A">
              <w:rPr>
                <w:iCs/>
                <w:lang w:val="en-AU"/>
              </w:rPr>
              <w:t>Severe cognitive impairments with client engaging in risky behaviours (e.g. wandering) </w:t>
            </w:r>
          </w:p>
          <w:p w14:paraId="7FB40480" w14:textId="77777777" w:rsidR="007A743C" w:rsidRPr="00AA5D7A" w:rsidRDefault="007A743C" w:rsidP="00DF3F6B">
            <w:pPr>
              <w:numPr>
                <w:ilvl w:val="0"/>
                <w:numId w:val="136"/>
              </w:numPr>
              <w:spacing w:before="240" w:after="240" w:line="240" w:lineRule="auto"/>
              <w:rPr>
                <w:iCs/>
                <w:lang w:val="en-AU"/>
              </w:rPr>
            </w:pPr>
            <w:r w:rsidRPr="00AA5D7A">
              <w:rPr>
                <w:iCs/>
                <w:lang w:val="en-AU"/>
              </w:rPr>
              <w:t>Person is unable to safely navigate their home and community due to insufficient aids, equipment and/or home modifications.  </w:t>
            </w:r>
          </w:p>
          <w:p w14:paraId="381D92D1" w14:textId="0D3E9EFA" w:rsidR="007A743C" w:rsidRPr="00AA5D7A" w:rsidRDefault="007A743C" w:rsidP="00DF3F6B">
            <w:pPr>
              <w:numPr>
                <w:ilvl w:val="0"/>
                <w:numId w:val="137"/>
              </w:numPr>
              <w:spacing w:before="240" w:after="240" w:line="240" w:lineRule="auto"/>
              <w:rPr>
                <w:iCs/>
                <w:lang w:val="en-AU"/>
              </w:rPr>
            </w:pPr>
            <w:r w:rsidRPr="00AA5D7A">
              <w:rPr>
                <w:iCs/>
                <w:lang w:val="en-AU"/>
              </w:rPr>
              <w:t xml:space="preserve">Recent changes in the </w:t>
            </w:r>
            <w:r w:rsidR="00516348">
              <w:rPr>
                <w:iCs/>
                <w:lang w:val="en-AU"/>
              </w:rPr>
              <w:t>older pe</w:t>
            </w:r>
            <w:r w:rsidR="005C42F6">
              <w:rPr>
                <w:iCs/>
                <w:lang w:val="en-AU"/>
              </w:rPr>
              <w:t>rson’s</w:t>
            </w:r>
            <w:r w:rsidRPr="00AA5D7A">
              <w:rPr>
                <w:iCs/>
                <w:lang w:val="en-AU"/>
              </w:rPr>
              <w:t xml:space="preserve"> family, cultural, housing or social situation resulting in trauma, or feeling unsafe (including culturally unsafe) </w:t>
            </w:r>
          </w:p>
          <w:p w14:paraId="6196408E" w14:textId="77777777" w:rsidR="007A743C" w:rsidRPr="00AA5D7A" w:rsidRDefault="007A743C" w:rsidP="00A677C9">
            <w:pPr>
              <w:spacing w:before="240" w:after="240" w:line="240" w:lineRule="auto"/>
              <w:rPr>
                <w:iCs/>
                <w:lang w:val="en-AU"/>
              </w:rPr>
            </w:pPr>
            <w:r w:rsidRPr="00AA5D7A">
              <w:rPr>
                <w:iCs/>
                <w:lang w:val="en-AU"/>
              </w:rPr>
              <w:t> </w:t>
            </w:r>
          </w:p>
          <w:p w14:paraId="5C375F40" w14:textId="77777777" w:rsidR="007A743C" w:rsidRPr="00AA5D7A" w:rsidRDefault="007A743C" w:rsidP="00A677C9">
            <w:pPr>
              <w:spacing w:before="240" w:after="240" w:line="240" w:lineRule="auto"/>
              <w:rPr>
                <w:iCs/>
                <w:lang w:val="en-AU"/>
              </w:rPr>
            </w:pPr>
            <w:r w:rsidRPr="00AA5D7A">
              <w:rPr>
                <w:iCs/>
                <w:lang w:val="en-AU"/>
              </w:rPr>
              <w:t> </w:t>
            </w:r>
          </w:p>
        </w:tc>
        <w:tc>
          <w:tcPr>
            <w:tcW w:w="864" w:type="pct"/>
            <w:hideMark/>
          </w:tcPr>
          <w:p w14:paraId="534E0805" w14:textId="77777777" w:rsidR="007A743C" w:rsidRPr="00AA5D7A" w:rsidRDefault="007A743C" w:rsidP="00A677C9">
            <w:pPr>
              <w:spacing w:before="240" w:after="240" w:line="240" w:lineRule="auto"/>
              <w:rPr>
                <w:iCs/>
                <w:lang w:val="en-AU"/>
              </w:rPr>
            </w:pPr>
            <w:r w:rsidRPr="00AA5D7A">
              <w:rPr>
                <w:iCs/>
                <w:lang w:val="en-AU"/>
              </w:rPr>
              <w:t>There is an immediate risk of the older person entering Residential Care due to:  </w:t>
            </w:r>
          </w:p>
          <w:p w14:paraId="739685A0" w14:textId="77777777" w:rsidR="007A743C" w:rsidRPr="00AA5D7A" w:rsidRDefault="007A743C" w:rsidP="00DF3F6B">
            <w:pPr>
              <w:numPr>
                <w:ilvl w:val="0"/>
                <w:numId w:val="138"/>
              </w:numPr>
              <w:spacing w:before="240" w:after="240" w:line="240" w:lineRule="auto"/>
              <w:rPr>
                <w:iCs/>
                <w:lang w:val="en-AU"/>
              </w:rPr>
            </w:pPr>
            <w:r w:rsidRPr="00AA5D7A">
              <w:rPr>
                <w:iCs/>
                <w:lang w:val="en-AU"/>
              </w:rPr>
              <w:t>carer in crisis and/or inability of carer to offer required support; or  </w:t>
            </w:r>
          </w:p>
          <w:p w14:paraId="709134D9" w14:textId="170750B2" w:rsidR="007A743C" w:rsidRPr="00AA5D7A" w:rsidRDefault="007A743C" w:rsidP="00DF3F6B">
            <w:pPr>
              <w:numPr>
                <w:ilvl w:val="0"/>
                <w:numId w:val="139"/>
              </w:numPr>
              <w:spacing w:before="240" w:after="240" w:line="240" w:lineRule="auto"/>
              <w:rPr>
                <w:iCs/>
                <w:lang w:val="en-AU"/>
              </w:rPr>
            </w:pPr>
            <w:r w:rsidRPr="00AA5D7A">
              <w:rPr>
                <w:iCs/>
                <w:lang w:val="en-AU"/>
              </w:rPr>
              <w:t>Lack of access to services to meet the older persons’ needs and fairly mitigate immediacy of risk to personal safety </w:t>
            </w:r>
          </w:p>
          <w:p w14:paraId="0DA54E10" w14:textId="77777777" w:rsidR="007A743C" w:rsidRPr="00AA5D7A" w:rsidRDefault="007A743C" w:rsidP="00DF3F6B">
            <w:pPr>
              <w:pStyle w:val="ListParagraph"/>
              <w:numPr>
                <w:ilvl w:val="0"/>
                <w:numId w:val="139"/>
              </w:numPr>
              <w:spacing w:before="240" w:after="240" w:line="240" w:lineRule="auto"/>
              <w:rPr>
                <w:iCs/>
                <w:lang w:val="en-AU"/>
              </w:rPr>
            </w:pPr>
            <w:r w:rsidRPr="00AA5D7A">
              <w:rPr>
                <w:iCs/>
                <w:lang w:val="en-AU"/>
              </w:rPr>
              <w:t>If the older person had access to these services (as soon as possible), they could be managed at home. </w:t>
            </w:r>
          </w:p>
        </w:tc>
        <w:tc>
          <w:tcPr>
            <w:tcW w:w="894" w:type="pct"/>
          </w:tcPr>
          <w:p w14:paraId="4AECE4E6" w14:textId="77777777" w:rsidR="0098047A" w:rsidRDefault="006A75E0" w:rsidP="003D4876">
            <w:pPr>
              <w:spacing w:before="240" w:after="240" w:line="240" w:lineRule="auto"/>
              <w:rPr>
                <w:iCs/>
                <w:lang w:val="en-AU"/>
              </w:rPr>
            </w:pPr>
            <w:r w:rsidRPr="006A75E0">
              <w:rPr>
                <w:iCs/>
                <w:lang w:val="en-AU"/>
              </w:rPr>
              <w:t>The older person cannot be safely discharged from hospital without significant risk, where:</w:t>
            </w:r>
          </w:p>
          <w:p w14:paraId="55323B8D" w14:textId="77777777" w:rsidR="00635242" w:rsidRPr="00B73461" w:rsidRDefault="00CF738B" w:rsidP="003D4876">
            <w:pPr>
              <w:numPr>
                <w:ilvl w:val="0"/>
                <w:numId w:val="138"/>
              </w:numPr>
              <w:spacing w:before="240" w:after="240" w:line="240" w:lineRule="auto"/>
              <w:rPr>
                <w:iCs/>
                <w:lang w:val="en-AU"/>
              </w:rPr>
            </w:pPr>
            <w:r w:rsidRPr="0006662D">
              <w:t>A</w:t>
            </w:r>
            <w:r w:rsidR="00826108" w:rsidRPr="0006662D">
              <w:t xml:space="preserve"> l</w:t>
            </w:r>
            <w:r w:rsidR="009F3532" w:rsidRPr="0006662D">
              <w:t>ack</w:t>
            </w:r>
            <w:r w:rsidR="009F3532">
              <w:t xml:space="preserve"> </w:t>
            </w:r>
            <w:r w:rsidR="009F3532" w:rsidRPr="0006662D">
              <w:t xml:space="preserve">of access to services in the home would create significant risk of re-admission; and </w:t>
            </w:r>
          </w:p>
          <w:p w14:paraId="19342DE5" w14:textId="67177AFA" w:rsidR="007409ED" w:rsidRPr="00B73461" w:rsidRDefault="001B47E6" w:rsidP="003D4876">
            <w:pPr>
              <w:numPr>
                <w:ilvl w:val="0"/>
                <w:numId w:val="138"/>
              </w:numPr>
              <w:spacing w:before="240" w:after="240" w:line="240" w:lineRule="auto"/>
              <w:rPr>
                <w:iCs/>
                <w:lang w:val="en-AU"/>
              </w:rPr>
            </w:pPr>
            <w:r w:rsidRPr="0006662D">
              <w:t xml:space="preserve">If the older person had access to these services (as soon as possible following hospital discharge), </w:t>
            </w:r>
            <w:r w:rsidR="00F165EC" w:rsidRPr="0006662D">
              <w:t>their care needs could be managed at home</w:t>
            </w:r>
            <w:r w:rsidR="00957F9F" w:rsidRPr="0006662D">
              <w:t>.</w:t>
            </w:r>
          </w:p>
          <w:p w14:paraId="4A13B667" w14:textId="552878E5" w:rsidR="006A75E0" w:rsidRPr="006A75E0" w:rsidRDefault="00DB24D9" w:rsidP="003D4876">
            <w:pPr>
              <w:spacing w:before="240" w:after="240" w:line="240" w:lineRule="auto"/>
              <w:rPr>
                <w:iCs/>
                <w:lang w:val="en-AU"/>
              </w:rPr>
            </w:pPr>
            <w:r w:rsidRPr="00DB24D9">
              <w:rPr>
                <w:iCs/>
                <w:lang w:val="en-AU"/>
              </w:rPr>
              <w:t>Note: As there will still be a wait time for the older person’s Support at Home funding to be</w:t>
            </w:r>
            <w:r w:rsidR="00131894">
              <w:rPr>
                <w:iCs/>
                <w:lang w:val="en-AU"/>
              </w:rPr>
              <w:t>come</w:t>
            </w:r>
            <w:r w:rsidRPr="00DB24D9">
              <w:rPr>
                <w:iCs/>
                <w:lang w:val="en-AU"/>
              </w:rPr>
              <w:t xml:space="preserve"> </w:t>
            </w:r>
            <w:r w:rsidR="00CC50D8">
              <w:rPr>
                <w:iCs/>
                <w:lang w:val="en-AU"/>
              </w:rPr>
              <w:t>available</w:t>
            </w:r>
            <w:r w:rsidR="00462DAC" w:rsidRPr="00462DAC">
              <w:rPr>
                <w:iCs/>
                <w:lang w:val="en-AU"/>
              </w:rPr>
              <w:t xml:space="preserve">, a </w:t>
            </w:r>
            <w:r w:rsidR="00DF0350">
              <w:rPr>
                <w:iCs/>
                <w:lang w:val="en-AU"/>
              </w:rPr>
              <w:t>comprehensive</w:t>
            </w:r>
            <w:r w:rsidR="00462DAC" w:rsidRPr="00462DAC">
              <w:rPr>
                <w:iCs/>
                <w:lang w:val="en-AU"/>
              </w:rPr>
              <w:t xml:space="preserve"> assessment should be performed as soon as possible to support continuity of care and to not delay discharge</w:t>
            </w:r>
            <w:r w:rsidR="00462DAC">
              <w:rPr>
                <w:iCs/>
                <w:lang w:val="en-AU"/>
              </w:rPr>
              <w:t>.</w:t>
            </w:r>
          </w:p>
        </w:tc>
        <w:tc>
          <w:tcPr>
            <w:tcW w:w="11" w:type="pct"/>
          </w:tcPr>
          <w:p w14:paraId="703C7D28" w14:textId="418FFF7E" w:rsidR="0098047A" w:rsidRPr="00AA5D7A" w:rsidRDefault="0098047A" w:rsidP="003D4876">
            <w:pPr>
              <w:spacing w:before="240" w:after="240" w:line="240" w:lineRule="auto"/>
              <w:rPr>
                <w:iCs/>
                <w:lang w:val="en-AU"/>
              </w:rPr>
            </w:pPr>
          </w:p>
        </w:tc>
        <w:tc>
          <w:tcPr>
            <w:tcW w:w="11" w:type="pct"/>
          </w:tcPr>
          <w:p w14:paraId="5B9A5812" w14:textId="77777777" w:rsidR="0098047A" w:rsidRPr="00AA5D7A" w:rsidRDefault="0098047A" w:rsidP="003D4876">
            <w:pPr>
              <w:spacing w:before="240" w:after="240" w:line="240" w:lineRule="auto"/>
              <w:rPr>
                <w:iCs/>
                <w:lang w:val="en-AU"/>
              </w:rPr>
            </w:pPr>
          </w:p>
        </w:tc>
        <w:tc>
          <w:tcPr>
            <w:tcW w:w="11" w:type="pct"/>
          </w:tcPr>
          <w:p w14:paraId="4B31A426" w14:textId="77777777" w:rsidR="0098047A" w:rsidRPr="00AA5D7A" w:rsidRDefault="0098047A" w:rsidP="003D4876">
            <w:pPr>
              <w:spacing w:before="240" w:after="240" w:line="240" w:lineRule="auto"/>
              <w:rPr>
                <w:iCs/>
                <w:lang w:val="en-AU"/>
              </w:rPr>
            </w:pPr>
          </w:p>
        </w:tc>
        <w:tc>
          <w:tcPr>
            <w:tcW w:w="11" w:type="pct"/>
          </w:tcPr>
          <w:p w14:paraId="4A731813" w14:textId="77777777" w:rsidR="0098047A" w:rsidRPr="00AA5D7A" w:rsidRDefault="0098047A" w:rsidP="003D4876">
            <w:pPr>
              <w:spacing w:before="240" w:after="240" w:line="240" w:lineRule="auto"/>
              <w:rPr>
                <w:iCs/>
                <w:lang w:val="en-AU"/>
              </w:rPr>
            </w:pPr>
          </w:p>
        </w:tc>
      </w:tr>
    </w:tbl>
    <w:p w14:paraId="6D82DA75" w14:textId="77777777" w:rsidR="000673FD" w:rsidRDefault="000673FD" w:rsidP="007A743C">
      <w:pPr>
        <w:pStyle w:val="H4"/>
        <w:sectPr w:rsidR="000673FD" w:rsidSect="00E6431F">
          <w:pgSz w:w="16838" w:h="11906" w:orient="landscape"/>
          <w:pgMar w:top="1440" w:right="1440" w:bottom="1700" w:left="1440" w:header="708" w:footer="708" w:gutter="0"/>
          <w:cols w:space="708"/>
          <w:docGrid w:linePitch="360"/>
        </w:sectPr>
      </w:pPr>
      <w:bookmarkStart w:id="410" w:name="_Toc198813678"/>
    </w:p>
    <w:p w14:paraId="1DD7F1AC" w14:textId="498D91A8" w:rsidR="007A743C" w:rsidRPr="00A97805" w:rsidRDefault="00EB446F" w:rsidP="007A743C">
      <w:pPr>
        <w:pStyle w:val="H4"/>
      </w:pPr>
      <w:r>
        <w:t xml:space="preserve">Concerns, </w:t>
      </w:r>
      <w:r w:rsidR="009D6FF9">
        <w:t xml:space="preserve">goals and recommendations </w:t>
      </w:r>
    </w:p>
    <w:p w14:paraId="005F216A" w14:textId="5C1EF80F" w:rsidR="007A743C" w:rsidRPr="00A97805" w:rsidRDefault="007A743C" w:rsidP="009C4600">
      <w:pPr>
        <w:spacing w:before="240" w:after="240" w:line="240" w:lineRule="auto"/>
        <w:ind w:left="-284"/>
      </w:pPr>
      <w:r w:rsidRPr="00A97805">
        <w:t xml:space="preserve">It is important to identify the goals the older person wants to achieve that are associated with the areas of concern that the older person wishes to address. The goals note the older person’s strengths and abilities, the domain the goal(s) relate to, their area of difficulty and level of motivation to achieve the goal. The recommendations represent the agreed strategies and </w:t>
      </w:r>
      <w:r w:rsidR="00AD7A21" w:rsidRPr="00A97805">
        <w:t>support</w:t>
      </w:r>
      <w:r w:rsidRPr="00A97805">
        <w:t xml:space="preserve"> to achieve goals. It is recommended that goals are added under ‘Client concerns and goals’ on the </w:t>
      </w:r>
      <w:r w:rsidRPr="00A97805">
        <w:rPr>
          <w:i/>
        </w:rPr>
        <w:t>Goals &amp; recommendations</w:t>
      </w:r>
      <w:r w:rsidRPr="00A97805">
        <w:t xml:space="preserve"> tab before accepting or overriding the IAT outcome.  </w:t>
      </w:r>
    </w:p>
    <w:p w14:paraId="5C918F63" w14:textId="20F9E338" w:rsidR="007A743C" w:rsidRPr="00A97805" w:rsidRDefault="674F5884" w:rsidP="009C4600">
      <w:pPr>
        <w:spacing w:before="240" w:after="240" w:line="240" w:lineRule="auto"/>
        <w:ind w:left="-284"/>
        <w:rPr>
          <w:lang w:eastAsia="ko-KR"/>
        </w:rPr>
      </w:pPr>
      <w:r w:rsidRPr="3FD93375">
        <w:rPr>
          <w:rFonts w:eastAsia="Arial"/>
          <w:szCs w:val="22"/>
        </w:rPr>
        <w:t xml:space="preserve">After recording observations under all relevant domains and categories in the IAT and prior to finalising the </w:t>
      </w:r>
      <w:r w:rsidR="009F6C8F" w:rsidRPr="3FD93375">
        <w:rPr>
          <w:rFonts w:eastAsia="Arial"/>
          <w:szCs w:val="22"/>
        </w:rPr>
        <w:t>IAT (</w:t>
      </w:r>
      <w:r w:rsidRPr="3FD93375">
        <w:rPr>
          <w:rFonts w:eastAsia="Arial"/>
          <w:szCs w:val="22"/>
        </w:rPr>
        <w:t>noting that once the IAT is finalised, answers in the IAT become read-only) the assessor supports the older person to identify the goals they would like to achieve to help address their areas of concern.</w:t>
      </w:r>
    </w:p>
    <w:p w14:paraId="5736A56D" w14:textId="19A946D3" w:rsidR="00AD7A21" w:rsidRDefault="007A743C" w:rsidP="009C4600">
      <w:pPr>
        <w:spacing w:before="240" w:after="240" w:line="240" w:lineRule="auto"/>
        <w:ind w:left="-284"/>
        <w:rPr>
          <w:lang w:eastAsia="ko-KR"/>
        </w:rPr>
      </w:pPr>
      <w:r w:rsidRPr="1B42B10E">
        <w:rPr>
          <w:lang w:eastAsia="ko-KR"/>
        </w:rPr>
        <w:t xml:space="preserve">The goals should reflect the older person’s current strengths, abilities, and areas of difficulty, along with the relevant domain and their level of motivation to achieve each goal. Recommendations must outline the agreed strategies and supports to help achieve these goals. Historical content from previous Support Plans should not be carried over unless it is clearly identified as historical or dated appropriately. Including outdated information can lead to confusion and reduce clarity. All content must focus on the older person’s present needs and circumstances. </w:t>
      </w:r>
    </w:p>
    <w:p w14:paraId="6675345E" w14:textId="1C8E77C3" w:rsidR="007A743C" w:rsidRPr="00A97805" w:rsidRDefault="007A743C" w:rsidP="009C4600">
      <w:pPr>
        <w:pStyle w:val="Sub-headingnon-contentpage"/>
        <w:spacing w:before="240" w:after="240"/>
        <w:ind w:left="-284"/>
      </w:pPr>
      <w:r w:rsidRPr="007123E9">
        <w:t>Assessors must:</w:t>
      </w:r>
      <w:r w:rsidRPr="00A97805">
        <w:t xml:space="preserve"> </w:t>
      </w:r>
    </w:p>
    <w:p w14:paraId="0153D1FD" w14:textId="277309DC" w:rsidR="000616E6" w:rsidRPr="00B73461" w:rsidRDefault="001D3AFF" w:rsidP="00C529FD">
      <w:pPr>
        <w:pStyle w:val="ListParagraph"/>
        <w:numPr>
          <w:ilvl w:val="0"/>
          <w:numId w:val="589"/>
        </w:numPr>
        <w:spacing w:before="240" w:after="240" w:line="240" w:lineRule="auto"/>
        <w:rPr>
          <w:rFonts w:eastAsia="MS PGothic"/>
        </w:rPr>
      </w:pPr>
      <w:r>
        <w:rPr>
          <w:rFonts w:eastAsia="MS PGothic"/>
        </w:rPr>
        <w:t xml:space="preserve">Draft and include at least one Concern and Goal linked to any recommended services. If no services are recommended or no change to services is required, a Concern and Goal does not need to be included. </w:t>
      </w:r>
    </w:p>
    <w:p w14:paraId="3966D7F6" w14:textId="76A6C852" w:rsidR="007A743C" w:rsidRDefault="007A743C" w:rsidP="00C529FD">
      <w:pPr>
        <w:pStyle w:val="ListParagraph"/>
        <w:numPr>
          <w:ilvl w:val="0"/>
          <w:numId w:val="589"/>
        </w:numPr>
        <w:spacing w:before="240" w:after="240" w:line="240" w:lineRule="auto"/>
        <w:rPr>
          <w:rFonts w:eastAsia="MS PGothic"/>
        </w:rPr>
      </w:pPr>
      <w:r w:rsidRPr="00A97805">
        <w:rPr>
          <w:lang w:eastAsia="ko-KR"/>
        </w:rPr>
        <w:t xml:space="preserve">Draft Concerns and Goals that are clear, actionable, realistic and written from the older person’s perspective (e.g., I find showering to be painful (concern). I would </w:t>
      </w:r>
      <w:r w:rsidRPr="00C916B0">
        <w:rPr>
          <w:rFonts w:eastAsia="MS PGothic"/>
        </w:rPr>
        <w:t>like to learn ways to have a shower without pain and reduce my pain rating from moderate (6/10) to mild to (3/10) (goal)).</w:t>
      </w:r>
    </w:p>
    <w:p w14:paraId="1F3485A0" w14:textId="0BDEB1E2" w:rsidR="00336583" w:rsidRPr="00C916B0" w:rsidRDefault="00BE6E33" w:rsidP="00C529FD">
      <w:pPr>
        <w:pStyle w:val="ListParagraph"/>
        <w:numPr>
          <w:ilvl w:val="0"/>
          <w:numId w:val="589"/>
        </w:numPr>
        <w:spacing w:before="240" w:after="240" w:line="240" w:lineRule="auto"/>
        <w:rPr>
          <w:rFonts w:eastAsia="MS PGothic"/>
        </w:rPr>
      </w:pPr>
      <w:r>
        <w:rPr>
          <w:rFonts w:eastAsia="MS PGothic"/>
        </w:rPr>
        <w:t>The older person’s Concerns, Goals and recommendations will become clear as the assessor conducts the assessment and records their observations within the IAT. The assessor must ensure that the older person’s Concerns and Goals reflect their needs as detailed in the IAT (e.g., Physical and Medical domains of the IAT provide details of the Mr Arnolds functional limitations with showering and the pain he is experiencing</w:t>
      </w:r>
      <w:r w:rsidRPr="00C529FD">
        <w:rPr>
          <w:rFonts w:eastAsia="MS PGothic"/>
        </w:rPr>
        <w:t>)</w:t>
      </w:r>
    </w:p>
    <w:p w14:paraId="4169B3B9" w14:textId="6ED489EE" w:rsidR="007A743C" w:rsidRPr="00C916B0" w:rsidRDefault="007A743C" w:rsidP="00C529FD">
      <w:pPr>
        <w:pStyle w:val="ListParagraph"/>
        <w:numPr>
          <w:ilvl w:val="0"/>
          <w:numId w:val="589"/>
        </w:numPr>
        <w:spacing w:before="240" w:after="240" w:line="240" w:lineRule="auto"/>
        <w:rPr>
          <w:rFonts w:eastAsia="MS PGothic"/>
        </w:rPr>
      </w:pPr>
      <w:r w:rsidRPr="017FF414">
        <w:rPr>
          <w:rFonts w:eastAsia="MS PGothic"/>
        </w:rPr>
        <w:t xml:space="preserve">Consider whether the older person will benefit from </w:t>
      </w:r>
      <w:r w:rsidRPr="0091333C">
        <w:rPr>
          <w:rFonts w:eastAsia="MS PGothic"/>
        </w:rPr>
        <w:t>a short-term reablement intervention to maximise their independence, choice and quality of life</w:t>
      </w:r>
      <w:r w:rsidRPr="00C916B0">
        <w:rPr>
          <w:rFonts w:eastAsia="MS PGothic"/>
        </w:rPr>
        <w:t xml:space="preserve">, and the older person’s capability, motivation, and strengths to contribute to their goals. </w:t>
      </w:r>
      <w:r w:rsidRPr="0091333C">
        <w:rPr>
          <w:rFonts w:eastAsia="MS PGothic"/>
        </w:rPr>
        <w:t>Reablement can be provided by the assessor or by CHSP providers, with a</w:t>
      </w:r>
      <w:r>
        <w:rPr>
          <w:rFonts w:eastAsia="MS PGothic"/>
        </w:rPr>
        <w:t xml:space="preserve">ssessor </w:t>
      </w:r>
      <w:r w:rsidRPr="0091333C">
        <w:rPr>
          <w:rFonts w:eastAsia="MS PGothic"/>
          <w:lang w:val="en-AU"/>
        </w:rPr>
        <w:t xml:space="preserve">review to </w:t>
      </w:r>
      <w:r w:rsidRPr="0091333C">
        <w:rPr>
          <w:rFonts w:eastAsia="MS PGothic"/>
        </w:rPr>
        <w:t>determine when the reablement period should be finalised and what ongoing support (if any) may be required for the older person.</w:t>
      </w:r>
    </w:p>
    <w:p w14:paraId="0F20A24B" w14:textId="28E39AF5" w:rsidR="007A743C" w:rsidRPr="00A97805" w:rsidRDefault="007A743C" w:rsidP="00C529FD">
      <w:pPr>
        <w:pStyle w:val="ListParagraph"/>
        <w:numPr>
          <w:ilvl w:val="0"/>
          <w:numId w:val="589"/>
        </w:numPr>
        <w:spacing w:before="240" w:after="240" w:line="240" w:lineRule="auto"/>
        <w:rPr>
          <w:lang w:eastAsia="ko-KR"/>
        </w:rPr>
      </w:pPr>
      <w:r w:rsidRPr="017FF414">
        <w:rPr>
          <w:rFonts w:eastAsia="MS PGothic"/>
        </w:rPr>
        <w:t>Consider whether the goals identified suggest suitability for Restorative Care Pathway</w:t>
      </w:r>
      <w:r w:rsidR="00D452AB">
        <w:rPr>
          <w:lang w:eastAsia="ko-KR"/>
        </w:rPr>
        <w:t xml:space="preserve"> (RCP)</w:t>
      </w:r>
      <w:r w:rsidRPr="00A97805" w:rsidDel="00D452AB">
        <w:rPr>
          <w:lang w:eastAsia="ko-KR"/>
        </w:rPr>
        <w:t xml:space="preserve"> </w:t>
      </w:r>
      <w:r w:rsidR="00414BF3">
        <w:rPr>
          <w:lang w:eastAsia="ko-KR"/>
        </w:rPr>
        <w:t>such as improving</w:t>
      </w:r>
      <w:r w:rsidRPr="00A97805">
        <w:rPr>
          <w:lang w:eastAsia="ko-KR"/>
        </w:rPr>
        <w:t xml:space="preserve"> function, learning, reablement, or other goals which support delaying the need for higher level or ongoing services. This consideration should include whether a person has the motivation and capacity to actively participate in </w:t>
      </w:r>
      <w:r w:rsidR="00F4017C">
        <w:rPr>
          <w:lang w:eastAsia="ko-KR"/>
        </w:rPr>
        <w:t xml:space="preserve">RCP </w:t>
      </w:r>
      <w:r w:rsidRPr="00A97805">
        <w:rPr>
          <w:lang w:eastAsia="ko-KR"/>
        </w:rPr>
        <w:t>including attending frequent allied health interventions (over more passive interventions).</w:t>
      </w:r>
      <w:r>
        <w:rPr>
          <w:lang w:eastAsia="ko-KR"/>
        </w:rPr>
        <w:t xml:space="preserve"> The need for a multi-disciplinary allied health and/or nursing approach to care must also be required before recommending R</w:t>
      </w:r>
      <w:r w:rsidR="00D452AB">
        <w:rPr>
          <w:lang w:eastAsia="ko-KR"/>
        </w:rPr>
        <w:t>CP</w:t>
      </w:r>
      <w:r>
        <w:rPr>
          <w:lang w:eastAsia="ko-KR"/>
        </w:rPr>
        <w:t>. Consideration of long-term needs should also be given before approving R</w:t>
      </w:r>
      <w:r w:rsidR="00D452AB">
        <w:rPr>
          <w:lang w:eastAsia="ko-KR"/>
        </w:rPr>
        <w:t>CP</w:t>
      </w:r>
      <w:r>
        <w:rPr>
          <w:lang w:eastAsia="ko-KR"/>
        </w:rPr>
        <w:t xml:space="preserve"> as it will impact their position on the Support at Home prioritisation system. </w:t>
      </w:r>
    </w:p>
    <w:p w14:paraId="71FEC1CD" w14:textId="2C9B9838" w:rsidR="007A743C" w:rsidRPr="006920F9" w:rsidRDefault="007A743C" w:rsidP="00C529FD">
      <w:pPr>
        <w:pStyle w:val="ListParagraph"/>
        <w:numPr>
          <w:ilvl w:val="0"/>
          <w:numId w:val="589"/>
        </w:numPr>
        <w:spacing w:before="240" w:after="240" w:line="240" w:lineRule="auto"/>
        <w:rPr>
          <w:lang w:eastAsia="ko-KR"/>
        </w:rPr>
      </w:pPr>
      <w:r w:rsidRPr="1BDD4939">
        <w:rPr>
          <w:lang w:eastAsia="ko-KR"/>
        </w:rPr>
        <w:t>Consider whether available units of funding for the R</w:t>
      </w:r>
      <w:r w:rsidR="00CB4B92">
        <w:rPr>
          <w:lang w:eastAsia="ko-KR"/>
        </w:rPr>
        <w:t>CP</w:t>
      </w:r>
      <w:r w:rsidRPr="1BDD4939">
        <w:rPr>
          <w:lang w:eastAsia="ko-KR"/>
        </w:rPr>
        <w:t xml:space="preserve"> are low. If the recommendation for the R</w:t>
      </w:r>
      <w:r w:rsidR="00CB4B92">
        <w:rPr>
          <w:lang w:eastAsia="ko-KR"/>
        </w:rPr>
        <w:t>CP</w:t>
      </w:r>
      <w:r w:rsidRPr="1BDD4939">
        <w:rPr>
          <w:lang w:eastAsia="ko-KR"/>
        </w:rPr>
        <w:t xml:space="preserve"> classification </w:t>
      </w:r>
      <w:r w:rsidR="24186390" w:rsidRPr="5A3153C0">
        <w:rPr>
          <w:lang w:eastAsia="ko-KR"/>
        </w:rPr>
        <w:t>may</w:t>
      </w:r>
      <w:r w:rsidRPr="1BDD4939">
        <w:rPr>
          <w:lang w:eastAsia="ko-KR"/>
        </w:rPr>
        <w:t xml:space="preserve"> not </w:t>
      </w:r>
      <w:r w:rsidR="75ED166C" w:rsidRPr="3FD93375">
        <w:rPr>
          <w:lang w:eastAsia="ko-KR"/>
        </w:rPr>
        <w:t xml:space="preserve">be </w:t>
      </w:r>
      <w:r w:rsidRPr="1BDD4939">
        <w:rPr>
          <w:lang w:eastAsia="ko-KR"/>
        </w:rPr>
        <w:t xml:space="preserve">approved by the </w:t>
      </w:r>
      <w:r w:rsidR="00F66F59">
        <w:rPr>
          <w:lang w:eastAsia="ko-KR"/>
        </w:rPr>
        <w:t>A</w:t>
      </w:r>
      <w:r>
        <w:rPr>
          <w:lang w:eastAsia="ko-KR"/>
        </w:rPr>
        <w:t xml:space="preserve">ssessment </w:t>
      </w:r>
      <w:r w:rsidR="00F66F59">
        <w:rPr>
          <w:lang w:eastAsia="ko-KR"/>
        </w:rPr>
        <w:t>D</w:t>
      </w:r>
      <w:r w:rsidRPr="1BDD4939">
        <w:rPr>
          <w:lang w:eastAsia="ko-KR"/>
        </w:rPr>
        <w:t xml:space="preserve">elegate due to no units being available, assessors </w:t>
      </w:r>
      <w:r w:rsidR="7470374B" w:rsidRPr="5A3153C0">
        <w:rPr>
          <w:lang w:eastAsia="ko-KR"/>
        </w:rPr>
        <w:t>could</w:t>
      </w:r>
      <w:r w:rsidRPr="1BDD4939">
        <w:rPr>
          <w:lang w:eastAsia="ko-KR"/>
        </w:rPr>
        <w:t xml:space="preserve"> contact the older person to discuss alternative supports for recommendation. </w:t>
      </w:r>
    </w:p>
    <w:p w14:paraId="555DDC45" w14:textId="0F7BB4C6" w:rsidR="007A743C" w:rsidRDefault="007A743C" w:rsidP="00C529FD">
      <w:pPr>
        <w:pStyle w:val="ListParagraph"/>
        <w:numPr>
          <w:ilvl w:val="0"/>
          <w:numId w:val="589"/>
        </w:numPr>
        <w:spacing w:before="240" w:after="240" w:line="240" w:lineRule="auto"/>
        <w:rPr>
          <w:lang w:eastAsia="ko-KR"/>
        </w:rPr>
      </w:pPr>
      <w:r w:rsidRPr="465824C7">
        <w:rPr>
          <w:lang w:eastAsia="ko-KR"/>
        </w:rPr>
        <w:t>Consider</w:t>
      </w:r>
      <w:r>
        <w:rPr>
          <w:lang w:eastAsia="ko-KR"/>
        </w:rPr>
        <w:t xml:space="preserve">, throughout the assessment, </w:t>
      </w:r>
      <w:r w:rsidRPr="747FBEA6">
        <w:rPr>
          <w:lang w:eastAsia="ko-KR"/>
        </w:rPr>
        <w:t>whether</w:t>
      </w:r>
      <w:r w:rsidRPr="465824C7">
        <w:rPr>
          <w:lang w:eastAsia="ko-KR"/>
        </w:rPr>
        <w:t xml:space="preserve"> the older person will benefit </w:t>
      </w:r>
      <w:r w:rsidRPr="747FBEA6">
        <w:rPr>
          <w:lang w:eastAsia="ko-KR"/>
        </w:rPr>
        <w:t xml:space="preserve">from assistive technology </w:t>
      </w:r>
      <w:r>
        <w:rPr>
          <w:lang w:eastAsia="ko-KR"/>
        </w:rPr>
        <w:t xml:space="preserve">and </w:t>
      </w:r>
      <w:r w:rsidRPr="747FBEA6">
        <w:rPr>
          <w:lang w:eastAsia="ko-KR"/>
        </w:rPr>
        <w:t xml:space="preserve">home modifications </w:t>
      </w:r>
      <w:r w:rsidRPr="00E4187B">
        <w:rPr>
          <w:lang w:eastAsia="ko-KR"/>
        </w:rPr>
        <w:t>funding to</w:t>
      </w:r>
      <w:r w:rsidRPr="00C916B0">
        <w:rPr>
          <w:lang w:eastAsia="ko-KR"/>
        </w:rPr>
        <w:t xml:space="preserve"> support functional needs and safety at home</w:t>
      </w:r>
      <w:r>
        <w:rPr>
          <w:lang w:eastAsia="ko-KR"/>
        </w:rPr>
        <w:t xml:space="preserve"> in areas such as:</w:t>
      </w:r>
    </w:p>
    <w:p w14:paraId="0CD81438" w14:textId="42C5C1A2" w:rsidR="007A743C" w:rsidRDefault="007A743C" w:rsidP="00DF3F6B">
      <w:pPr>
        <w:numPr>
          <w:ilvl w:val="1"/>
          <w:numId w:val="87"/>
        </w:numPr>
        <w:spacing w:before="240" w:after="240" w:line="240" w:lineRule="auto"/>
        <w:rPr>
          <w:lang w:eastAsia="ko-KR"/>
        </w:rPr>
      </w:pPr>
      <w:r>
        <w:rPr>
          <w:lang w:eastAsia="ko-KR"/>
        </w:rPr>
        <w:t>m</w:t>
      </w:r>
      <w:r w:rsidRPr="00923594">
        <w:rPr>
          <w:lang w:eastAsia="ko-KR"/>
        </w:rPr>
        <w:t>anaging body functions</w:t>
      </w:r>
    </w:p>
    <w:p w14:paraId="588C50F4" w14:textId="1104141A" w:rsidR="007A743C" w:rsidRDefault="007A743C" w:rsidP="00DF3F6B">
      <w:pPr>
        <w:numPr>
          <w:ilvl w:val="1"/>
          <w:numId w:val="87"/>
        </w:numPr>
        <w:spacing w:before="240" w:after="240" w:line="240" w:lineRule="auto"/>
        <w:rPr>
          <w:lang w:eastAsia="ko-KR"/>
        </w:rPr>
      </w:pPr>
      <w:r>
        <w:rPr>
          <w:lang w:eastAsia="ko-KR"/>
        </w:rPr>
        <w:t>self-care</w:t>
      </w:r>
    </w:p>
    <w:p w14:paraId="1A0A8BB7" w14:textId="19D95E71" w:rsidR="007A743C" w:rsidRDefault="007A743C" w:rsidP="00DF3F6B">
      <w:pPr>
        <w:numPr>
          <w:ilvl w:val="1"/>
          <w:numId w:val="87"/>
        </w:numPr>
        <w:spacing w:before="240" w:after="240" w:line="240" w:lineRule="auto"/>
        <w:rPr>
          <w:lang w:eastAsia="ko-KR"/>
        </w:rPr>
      </w:pPr>
      <w:r>
        <w:rPr>
          <w:lang w:eastAsia="ko-KR"/>
        </w:rPr>
        <w:t>mobility</w:t>
      </w:r>
    </w:p>
    <w:p w14:paraId="219EB49D" w14:textId="481F726E" w:rsidR="007A743C" w:rsidRDefault="007A743C" w:rsidP="00DF3F6B">
      <w:pPr>
        <w:numPr>
          <w:ilvl w:val="1"/>
          <w:numId w:val="87"/>
        </w:numPr>
        <w:spacing w:before="240" w:after="240" w:line="240" w:lineRule="auto"/>
        <w:rPr>
          <w:lang w:eastAsia="ko-KR"/>
        </w:rPr>
      </w:pPr>
      <w:r>
        <w:rPr>
          <w:lang w:eastAsia="ko-KR"/>
        </w:rPr>
        <w:t>domestic life</w:t>
      </w:r>
    </w:p>
    <w:p w14:paraId="6083A94D" w14:textId="20CC5DF8" w:rsidR="007A743C" w:rsidRDefault="00821103" w:rsidP="00DF3F6B">
      <w:pPr>
        <w:numPr>
          <w:ilvl w:val="1"/>
          <w:numId w:val="87"/>
        </w:numPr>
        <w:spacing w:before="240" w:after="240" w:line="240" w:lineRule="auto"/>
        <w:rPr>
          <w:lang w:eastAsia="ko-KR"/>
        </w:rPr>
      </w:pPr>
      <w:r w:rsidRPr="005E4E0E">
        <w:rPr>
          <w:bCs/>
          <w:noProof/>
        </w:rPr>
        <w:drawing>
          <wp:anchor distT="0" distB="0" distL="114300" distR="114300" simplePos="0" relativeHeight="251658299" behindDoc="0" locked="0" layoutInCell="1" allowOverlap="1" wp14:anchorId="175E9682" wp14:editId="2FE3D4E9">
            <wp:simplePos x="0" y="0"/>
            <wp:positionH relativeFrom="margin">
              <wp:posOffset>-77821</wp:posOffset>
            </wp:positionH>
            <wp:positionV relativeFrom="paragraph">
              <wp:posOffset>173018</wp:posOffset>
            </wp:positionV>
            <wp:extent cx="457200" cy="502920"/>
            <wp:effectExtent l="0" t="0" r="0" b="0"/>
            <wp:wrapSquare wrapText="bothSides"/>
            <wp:docPr id="13611924" name="Picture 1361192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Pr>
          <w:lang w:eastAsia="ko-KR"/>
        </w:rPr>
        <w:t>communication and information management</w:t>
      </w:r>
    </w:p>
    <w:p w14:paraId="238B48FD" w14:textId="5F42F456" w:rsidR="007A743C" w:rsidRPr="00441859" w:rsidRDefault="007A743C" w:rsidP="00C56CEC">
      <w:pPr>
        <w:pStyle w:val="H3"/>
      </w:pPr>
      <w:bookmarkStart w:id="411" w:name="_Toc204329554"/>
      <w:r w:rsidRPr="00441859">
        <w:t>IAT</w:t>
      </w:r>
      <w:r w:rsidR="008D524D">
        <w:t xml:space="preserve"> Classification Algorithm (IAT</w:t>
      </w:r>
      <w:r w:rsidRPr="00441859">
        <w:t xml:space="preserve"> </w:t>
      </w:r>
      <w:r w:rsidR="004A72AD" w:rsidRPr="00441859">
        <w:t>o</w:t>
      </w:r>
      <w:r w:rsidRPr="00441859">
        <w:t>utcome</w:t>
      </w:r>
      <w:bookmarkEnd w:id="411"/>
      <w:r w:rsidR="008D524D">
        <w:t>)</w:t>
      </w:r>
    </w:p>
    <w:p w14:paraId="50E6937B" w14:textId="3E4546EA" w:rsidR="00C5184B" w:rsidRPr="00821103" w:rsidRDefault="00C5184B" w:rsidP="000411E0">
      <w:pPr>
        <w:pStyle w:val="H4"/>
        <w:rPr>
          <w:rFonts w:eastAsiaTheme="majorEastAsia"/>
        </w:rPr>
      </w:pPr>
      <w:r w:rsidRPr="00821103">
        <w:rPr>
          <w:rFonts w:eastAsiaTheme="majorEastAsia"/>
        </w:rPr>
        <w:t>About the IAT Classification Algorithm</w:t>
      </w:r>
    </w:p>
    <w:p w14:paraId="60F5545A" w14:textId="303DE0D2" w:rsidR="004859FC" w:rsidRPr="00695EF1" w:rsidRDefault="00CB3BCE" w:rsidP="00821103">
      <w:pPr>
        <w:spacing w:after="0" w:line="240" w:lineRule="auto"/>
        <w:textAlignment w:val="baseline"/>
        <w:rPr>
          <w:rFonts w:eastAsia="Arial"/>
          <w:szCs w:val="22"/>
        </w:rPr>
      </w:pPr>
      <w:r>
        <w:rPr>
          <w:rFonts w:eastAsia="Arial"/>
          <w:szCs w:val="22"/>
        </w:rPr>
        <w:t xml:space="preserve">The </w:t>
      </w:r>
      <w:r w:rsidR="00C5184B">
        <w:rPr>
          <w:rFonts w:eastAsia="Arial"/>
          <w:szCs w:val="22"/>
        </w:rPr>
        <w:t>Integrated Assessment Tool (</w:t>
      </w:r>
      <w:r w:rsidR="00F96970">
        <w:rPr>
          <w:rFonts w:eastAsia="Arial"/>
          <w:szCs w:val="22"/>
        </w:rPr>
        <w:t>IAT</w:t>
      </w:r>
      <w:r w:rsidR="00C5184B">
        <w:rPr>
          <w:rFonts w:eastAsia="Arial"/>
          <w:szCs w:val="22"/>
        </w:rPr>
        <w:t>)</w:t>
      </w:r>
      <w:r w:rsidR="00F96970">
        <w:rPr>
          <w:rFonts w:eastAsia="Arial"/>
          <w:szCs w:val="22"/>
        </w:rPr>
        <w:t xml:space="preserve"> Classification Algorithm</w:t>
      </w:r>
      <w:r w:rsidR="00E70989">
        <w:rPr>
          <w:rFonts w:eastAsia="Arial"/>
          <w:szCs w:val="22"/>
        </w:rPr>
        <w:t xml:space="preserve"> </w:t>
      </w:r>
      <w:r w:rsidR="009A5BDD">
        <w:rPr>
          <w:rFonts w:eastAsia="Arial"/>
          <w:szCs w:val="22"/>
        </w:rPr>
        <w:t>(</w:t>
      </w:r>
      <w:r w:rsidR="005A079E">
        <w:rPr>
          <w:rFonts w:eastAsia="Arial"/>
          <w:szCs w:val="22"/>
        </w:rPr>
        <w:t xml:space="preserve">the outcome of </w:t>
      </w:r>
      <w:r w:rsidR="00FC738E">
        <w:rPr>
          <w:rFonts w:eastAsia="Arial"/>
          <w:szCs w:val="22"/>
        </w:rPr>
        <w:t xml:space="preserve">the algorithm </w:t>
      </w:r>
      <w:r w:rsidR="005A079E">
        <w:rPr>
          <w:rFonts w:eastAsia="Arial"/>
          <w:szCs w:val="22"/>
        </w:rPr>
        <w:t xml:space="preserve">is </w:t>
      </w:r>
      <w:r w:rsidR="00FC738E">
        <w:rPr>
          <w:rFonts w:eastAsia="Arial"/>
          <w:szCs w:val="22"/>
        </w:rPr>
        <w:t xml:space="preserve">known as </w:t>
      </w:r>
      <w:r w:rsidR="005A079E">
        <w:rPr>
          <w:rFonts w:eastAsia="Arial"/>
          <w:szCs w:val="22"/>
        </w:rPr>
        <w:t>the IAT Outcome</w:t>
      </w:r>
      <w:r w:rsidR="00F96970">
        <w:rPr>
          <w:rFonts w:eastAsia="Arial"/>
          <w:szCs w:val="22"/>
        </w:rPr>
        <w:t xml:space="preserve"> </w:t>
      </w:r>
      <w:r w:rsidR="005A079E">
        <w:rPr>
          <w:rFonts w:eastAsia="Arial"/>
          <w:szCs w:val="22"/>
        </w:rPr>
        <w:t xml:space="preserve">in the assessment workflow) </w:t>
      </w:r>
      <w:r w:rsidR="00F96970">
        <w:rPr>
          <w:rFonts w:eastAsia="Arial"/>
          <w:szCs w:val="22"/>
        </w:rPr>
        <w:t xml:space="preserve">was introduced </w:t>
      </w:r>
      <w:r w:rsidR="009F1706">
        <w:rPr>
          <w:rFonts w:eastAsia="Arial"/>
          <w:szCs w:val="22"/>
        </w:rPr>
        <w:t>on c</w:t>
      </w:r>
      <w:r w:rsidR="00DE63A7">
        <w:rPr>
          <w:rFonts w:eastAsia="Arial"/>
          <w:szCs w:val="22"/>
        </w:rPr>
        <w:t xml:space="preserve">ommencement </w:t>
      </w:r>
      <w:r w:rsidR="00E70989">
        <w:rPr>
          <w:rFonts w:eastAsia="Arial"/>
          <w:szCs w:val="22"/>
        </w:rPr>
        <w:t xml:space="preserve">of the Support at Home program and </w:t>
      </w:r>
      <w:r w:rsidR="00E70989" w:rsidRPr="00821103">
        <w:rPr>
          <w:rFonts w:eastAsia="Arial"/>
          <w:i/>
          <w:szCs w:val="22"/>
        </w:rPr>
        <w:t>Aged Care Act 2024</w:t>
      </w:r>
      <w:r w:rsidR="00F73276">
        <w:rPr>
          <w:rFonts w:eastAsia="Arial"/>
          <w:szCs w:val="22"/>
        </w:rPr>
        <w:t xml:space="preserve"> to</w:t>
      </w:r>
      <w:r w:rsidR="00E70989" w:rsidRPr="00B73461">
        <w:rPr>
          <w:rFonts w:eastAsia="Arial"/>
          <w:szCs w:val="22"/>
        </w:rPr>
        <w:t xml:space="preserve"> </w:t>
      </w:r>
      <w:r w:rsidR="00E26E99">
        <w:rPr>
          <w:rFonts w:eastAsia="Arial"/>
          <w:szCs w:val="22"/>
        </w:rPr>
        <w:t>ensur</w:t>
      </w:r>
      <w:r w:rsidR="00F73276">
        <w:rPr>
          <w:rFonts w:eastAsia="Arial"/>
          <w:szCs w:val="22"/>
        </w:rPr>
        <w:t>e</w:t>
      </w:r>
      <w:r w:rsidR="00E26E99">
        <w:rPr>
          <w:rFonts w:eastAsia="Arial"/>
          <w:szCs w:val="22"/>
        </w:rPr>
        <w:t xml:space="preserve"> that people with </w:t>
      </w:r>
      <w:r w:rsidR="0062263A">
        <w:rPr>
          <w:rFonts w:eastAsia="Arial"/>
          <w:szCs w:val="22"/>
        </w:rPr>
        <w:t xml:space="preserve">similar clinical care needs receive the same level of </w:t>
      </w:r>
      <w:r w:rsidR="00CC49B8">
        <w:rPr>
          <w:rFonts w:eastAsia="Arial"/>
          <w:szCs w:val="22"/>
        </w:rPr>
        <w:t>funding</w:t>
      </w:r>
      <w:r w:rsidR="0005044B">
        <w:rPr>
          <w:rFonts w:eastAsia="Arial"/>
          <w:szCs w:val="22"/>
        </w:rPr>
        <w:t xml:space="preserve"> </w:t>
      </w:r>
      <w:r w:rsidR="007F29F0">
        <w:rPr>
          <w:rFonts w:eastAsia="Arial"/>
          <w:szCs w:val="22"/>
        </w:rPr>
        <w:t>to access</w:t>
      </w:r>
      <w:r w:rsidR="0005044B">
        <w:rPr>
          <w:rFonts w:eastAsia="Arial"/>
          <w:szCs w:val="22"/>
        </w:rPr>
        <w:t xml:space="preserve"> ongoing home support</w:t>
      </w:r>
      <w:r w:rsidR="00E70989" w:rsidRPr="00B73461">
        <w:rPr>
          <w:rFonts w:eastAsia="Arial"/>
          <w:szCs w:val="22"/>
        </w:rPr>
        <w:t>.</w:t>
      </w:r>
      <w:r w:rsidR="002119A1">
        <w:rPr>
          <w:rFonts w:eastAsia="Arial"/>
          <w:szCs w:val="22"/>
        </w:rPr>
        <w:t xml:space="preserve"> </w:t>
      </w:r>
      <w:r w:rsidR="00CF7483">
        <w:rPr>
          <w:rFonts w:eastAsia="Arial"/>
          <w:szCs w:val="22"/>
        </w:rPr>
        <w:t xml:space="preserve">It </w:t>
      </w:r>
      <w:r w:rsidR="00CF7483" w:rsidRPr="00695EF1">
        <w:rPr>
          <w:rFonts w:eastAsia="Arial"/>
          <w:szCs w:val="22"/>
        </w:rPr>
        <w:t>is designed to:</w:t>
      </w:r>
      <w:r w:rsidR="004859FC" w:rsidRPr="00695EF1">
        <w:rPr>
          <w:rFonts w:eastAsia="Arial"/>
          <w:szCs w:val="22"/>
        </w:rPr>
        <w:t> </w:t>
      </w:r>
    </w:p>
    <w:p w14:paraId="3EB1EA0B" w14:textId="77777777" w:rsidR="004859FC" w:rsidRPr="00695EF1" w:rsidRDefault="004859FC" w:rsidP="004859FC">
      <w:pPr>
        <w:numPr>
          <w:ilvl w:val="0"/>
          <w:numId w:val="456"/>
        </w:numPr>
        <w:spacing w:before="240" w:after="240" w:line="240" w:lineRule="auto"/>
        <w:rPr>
          <w:rFonts w:eastAsia="Arial"/>
          <w:szCs w:val="22"/>
        </w:rPr>
      </w:pPr>
      <w:r w:rsidRPr="009142E2">
        <w:rPr>
          <w:rFonts w:eastAsia="Arial"/>
          <w:b/>
          <w:bCs/>
          <w:szCs w:val="22"/>
        </w:rPr>
        <w:t>Achieve consistency</w:t>
      </w:r>
      <w:r w:rsidRPr="00695EF1">
        <w:rPr>
          <w:rFonts w:eastAsia="Arial"/>
          <w:szCs w:val="22"/>
        </w:rPr>
        <w:t xml:space="preserve"> – so that decisions are not influenced by individual discretion or subjective judgment. </w:t>
      </w:r>
    </w:p>
    <w:p w14:paraId="4A6C90AC" w14:textId="77777777" w:rsidR="004859FC" w:rsidRPr="00695EF1" w:rsidRDefault="004859FC" w:rsidP="004859FC">
      <w:pPr>
        <w:numPr>
          <w:ilvl w:val="0"/>
          <w:numId w:val="457"/>
        </w:numPr>
        <w:spacing w:before="240" w:after="240" w:line="240" w:lineRule="auto"/>
        <w:rPr>
          <w:rFonts w:eastAsia="Arial"/>
          <w:szCs w:val="22"/>
        </w:rPr>
      </w:pPr>
      <w:r w:rsidRPr="009142E2">
        <w:rPr>
          <w:rFonts w:eastAsia="Arial"/>
          <w:b/>
          <w:bCs/>
          <w:szCs w:val="22"/>
        </w:rPr>
        <w:t>Ensure equity</w:t>
      </w:r>
      <w:r w:rsidRPr="00695EF1">
        <w:rPr>
          <w:rFonts w:eastAsia="Arial"/>
          <w:szCs w:val="22"/>
        </w:rPr>
        <w:t xml:space="preserve"> – so that everyone is treated fairly. </w:t>
      </w:r>
    </w:p>
    <w:p w14:paraId="41F6E6CF" w14:textId="77777777" w:rsidR="004859FC" w:rsidRDefault="004859FC" w:rsidP="004859FC">
      <w:pPr>
        <w:numPr>
          <w:ilvl w:val="0"/>
          <w:numId w:val="458"/>
        </w:numPr>
        <w:spacing w:before="240" w:after="240" w:line="240" w:lineRule="auto"/>
        <w:rPr>
          <w:rFonts w:eastAsia="Arial"/>
        </w:rPr>
      </w:pPr>
      <w:r w:rsidRPr="00B1AE3A">
        <w:rPr>
          <w:rFonts w:eastAsia="Arial"/>
          <w:b/>
        </w:rPr>
        <w:t>Build confidence</w:t>
      </w:r>
      <w:r w:rsidRPr="00B1AE3A">
        <w:rPr>
          <w:rFonts w:eastAsia="Arial"/>
        </w:rPr>
        <w:t xml:space="preserve"> – so older people and their families can trust that the system is transparent and reliable.</w:t>
      </w:r>
      <w:r>
        <w:t xml:space="preserve"> </w:t>
      </w:r>
      <w:r w:rsidRPr="00B1AE3A">
        <w:rPr>
          <w:rStyle w:val="eop"/>
          <w:color w:val="D13438"/>
        </w:rPr>
        <w:t> </w:t>
      </w:r>
    </w:p>
    <w:p w14:paraId="095A649D" w14:textId="7315A06F" w:rsidR="00614B83" w:rsidRPr="00614B83" w:rsidRDefault="00A870DB" w:rsidP="00614B83">
      <w:pPr>
        <w:spacing w:before="240" w:after="240" w:line="240" w:lineRule="auto"/>
        <w:rPr>
          <w:rFonts w:eastAsia="Arial"/>
          <w:szCs w:val="22"/>
          <w:lang w:val="en-AU"/>
        </w:rPr>
      </w:pPr>
      <w:r w:rsidRPr="00695EF1">
        <w:rPr>
          <w:rFonts w:eastAsia="Arial"/>
          <w:szCs w:val="22"/>
        </w:rPr>
        <w:t xml:space="preserve">The </w:t>
      </w:r>
      <w:r>
        <w:rPr>
          <w:rFonts w:eastAsia="Arial"/>
          <w:szCs w:val="22"/>
        </w:rPr>
        <w:t xml:space="preserve">IAT Classification Algorithm was </w:t>
      </w:r>
      <w:r w:rsidR="00614B83" w:rsidRPr="00614B83">
        <w:rPr>
          <w:rFonts w:eastAsia="Arial"/>
          <w:szCs w:val="22"/>
          <w:lang w:val="en-AU"/>
        </w:rPr>
        <w:t>carefully developed over time and built on data from over 22,000 assessments conducted in 2023</w:t>
      </w:r>
      <w:r w:rsidR="00614B83">
        <w:rPr>
          <w:rFonts w:eastAsia="Arial"/>
          <w:szCs w:val="22"/>
          <w:lang w:val="en-AU"/>
        </w:rPr>
        <w:t xml:space="preserve"> through the IAT live trial</w:t>
      </w:r>
      <w:r w:rsidR="00614B83" w:rsidRPr="00614B83">
        <w:rPr>
          <w:rFonts w:eastAsia="Arial"/>
          <w:szCs w:val="22"/>
          <w:lang w:val="en-AU"/>
        </w:rPr>
        <w:t>.</w:t>
      </w:r>
      <w:r w:rsidR="00357681">
        <w:rPr>
          <w:rFonts w:eastAsia="Arial"/>
          <w:szCs w:val="22"/>
          <w:lang w:val="en-AU"/>
        </w:rPr>
        <w:t xml:space="preserve"> </w:t>
      </w:r>
      <w:r w:rsidR="00614B83" w:rsidRPr="00614B83">
        <w:rPr>
          <w:rFonts w:eastAsia="Arial"/>
          <w:szCs w:val="22"/>
          <w:lang w:val="en-AU"/>
        </w:rPr>
        <w:t xml:space="preserve">Before </w:t>
      </w:r>
      <w:r w:rsidR="004A0A36">
        <w:rPr>
          <w:rFonts w:eastAsia="Arial"/>
          <w:szCs w:val="22"/>
          <w:lang w:val="en-AU"/>
        </w:rPr>
        <w:t>it was implemented</w:t>
      </w:r>
      <w:r w:rsidR="00614B83" w:rsidRPr="00614B83">
        <w:rPr>
          <w:rFonts w:eastAsia="Arial"/>
          <w:szCs w:val="22"/>
          <w:lang w:val="en-AU"/>
        </w:rPr>
        <w:t xml:space="preserve"> the </w:t>
      </w:r>
      <w:r w:rsidR="00924F77">
        <w:rPr>
          <w:rFonts w:eastAsia="Arial"/>
          <w:szCs w:val="22"/>
          <w:lang w:val="en-AU"/>
        </w:rPr>
        <w:t>a</w:t>
      </w:r>
      <w:r w:rsidR="00614B83" w:rsidRPr="00614B83">
        <w:rPr>
          <w:rFonts w:eastAsia="Arial"/>
          <w:szCs w:val="22"/>
          <w:lang w:val="en-AU"/>
        </w:rPr>
        <w:t>lgorithm was refined on more than 200,000 assessments completed in 2024-25. This process was undertaken to ensure it would</w:t>
      </w:r>
      <w:r w:rsidR="00234D09">
        <w:rPr>
          <w:rFonts w:eastAsia="Arial"/>
          <w:szCs w:val="22"/>
          <w:lang w:val="en-AU"/>
        </w:rPr>
        <w:t xml:space="preserve"> </w:t>
      </w:r>
      <w:r w:rsidR="00614B83" w:rsidRPr="00614B83">
        <w:rPr>
          <w:rFonts w:eastAsia="Arial"/>
          <w:szCs w:val="22"/>
          <w:lang w:val="en-AU"/>
        </w:rPr>
        <w:t>achieve the best outcomes for older people</w:t>
      </w:r>
      <w:r w:rsidR="00234D09">
        <w:rPr>
          <w:rFonts w:eastAsia="Arial"/>
          <w:szCs w:val="22"/>
          <w:lang w:val="en-AU"/>
        </w:rPr>
        <w:t xml:space="preserve">, deliver on the policy intent of the </w:t>
      </w:r>
      <w:r w:rsidR="00614B83" w:rsidRPr="00614B83">
        <w:rPr>
          <w:rFonts w:eastAsia="Arial"/>
          <w:szCs w:val="22"/>
          <w:lang w:val="en-AU"/>
        </w:rPr>
        <w:t>Support at Home program</w:t>
      </w:r>
      <w:r w:rsidR="00234D09">
        <w:rPr>
          <w:rFonts w:eastAsia="Arial"/>
          <w:szCs w:val="22"/>
          <w:lang w:val="en-AU"/>
        </w:rPr>
        <w:t xml:space="preserve"> and </w:t>
      </w:r>
      <w:r w:rsidR="00614B83" w:rsidRPr="00614B83">
        <w:rPr>
          <w:rFonts w:eastAsia="Arial"/>
          <w:szCs w:val="22"/>
          <w:lang w:val="en-AU"/>
        </w:rPr>
        <w:t>support the responsible use of taxpayer funds</w:t>
      </w:r>
      <w:r w:rsidR="00B23AB0" w:rsidRPr="00614B83">
        <w:rPr>
          <w:rFonts w:eastAsia="Arial"/>
          <w:szCs w:val="22"/>
          <w:lang w:val="en-AU"/>
        </w:rPr>
        <w:t xml:space="preserve">. </w:t>
      </w:r>
    </w:p>
    <w:p w14:paraId="0A7ABF60" w14:textId="4D4C9031" w:rsidR="00EE25D7" w:rsidRDefault="00EE25D7" w:rsidP="00821103">
      <w:pPr>
        <w:pStyle w:val="H4"/>
      </w:pPr>
      <w:r>
        <w:t>How the IAT Classification Algorithm works</w:t>
      </w:r>
    </w:p>
    <w:p w14:paraId="3D81144D" w14:textId="22370EE3" w:rsidR="00A870DB" w:rsidRPr="00695EF1" w:rsidRDefault="00234D09" w:rsidP="00A870DB">
      <w:pPr>
        <w:spacing w:before="240" w:after="240" w:line="240" w:lineRule="auto"/>
        <w:rPr>
          <w:rFonts w:eastAsia="Arial"/>
          <w:szCs w:val="22"/>
        </w:rPr>
      </w:pPr>
      <w:r>
        <w:rPr>
          <w:rFonts w:eastAsia="Arial"/>
          <w:szCs w:val="22"/>
        </w:rPr>
        <w:t xml:space="preserve">The IAT Classification Algorithm </w:t>
      </w:r>
      <w:r w:rsidR="00A870DB">
        <w:rPr>
          <w:rFonts w:eastAsia="Arial"/>
          <w:szCs w:val="22"/>
        </w:rPr>
        <w:t xml:space="preserve">uses data that an assessor enters into the IAT during </w:t>
      </w:r>
      <w:r w:rsidR="00DF4D4D">
        <w:rPr>
          <w:rFonts w:eastAsia="Arial"/>
          <w:szCs w:val="22"/>
        </w:rPr>
        <w:t>an</w:t>
      </w:r>
      <w:r w:rsidR="00A870DB">
        <w:rPr>
          <w:rFonts w:eastAsia="Arial"/>
          <w:szCs w:val="22"/>
        </w:rPr>
        <w:t xml:space="preserve"> assessment</w:t>
      </w:r>
      <w:r w:rsidR="00D51773">
        <w:rPr>
          <w:rFonts w:eastAsia="Arial"/>
          <w:szCs w:val="22"/>
        </w:rPr>
        <w:t xml:space="preserve"> across a number of domains</w:t>
      </w:r>
      <w:r w:rsidR="00C5184B">
        <w:rPr>
          <w:rFonts w:eastAsia="Arial"/>
          <w:szCs w:val="22"/>
        </w:rPr>
        <w:t xml:space="preserve"> in the tool</w:t>
      </w:r>
      <w:r w:rsidR="00B169E2">
        <w:rPr>
          <w:rFonts w:eastAsia="Arial"/>
          <w:szCs w:val="22"/>
        </w:rPr>
        <w:t xml:space="preserve">. It </w:t>
      </w:r>
      <w:r w:rsidR="00D51773">
        <w:rPr>
          <w:rFonts w:eastAsia="Arial"/>
          <w:szCs w:val="22"/>
        </w:rPr>
        <w:t>uses this data</w:t>
      </w:r>
      <w:r w:rsidR="00A870DB">
        <w:rPr>
          <w:rFonts w:eastAsia="Arial"/>
          <w:szCs w:val="22"/>
        </w:rPr>
        <w:t xml:space="preserve"> to evaluate an older person’s clinical characteristics</w:t>
      </w:r>
      <w:r w:rsidR="00D51773">
        <w:rPr>
          <w:rFonts w:eastAsia="Arial"/>
          <w:szCs w:val="22"/>
        </w:rPr>
        <w:t xml:space="preserve"> and assigns a classification level (or funding level) </w:t>
      </w:r>
      <w:r w:rsidR="00A870DB">
        <w:rPr>
          <w:rFonts w:eastAsia="Arial"/>
          <w:szCs w:val="22"/>
        </w:rPr>
        <w:t xml:space="preserve">for </w:t>
      </w:r>
      <w:r w:rsidR="00A870DB" w:rsidRPr="00B73461">
        <w:rPr>
          <w:rFonts w:eastAsia="Arial"/>
          <w:szCs w:val="22"/>
        </w:rPr>
        <w:t>ongoing home support</w:t>
      </w:r>
      <w:r w:rsidR="00A870DB">
        <w:rPr>
          <w:rFonts w:eastAsia="Arial"/>
          <w:szCs w:val="22"/>
        </w:rPr>
        <w:t xml:space="preserve"> (i.e., C</w:t>
      </w:r>
      <w:r w:rsidR="00DF6567">
        <w:rPr>
          <w:rFonts w:eastAsia="Arial"/>
          <w:szCs w:val="22"/>
        </w:rPr>
        <w:t xml:space="preserve">ommonwealth </w:t>
      </w:r>
      <w:r w:rsidR="00A870DB">
        <w:rPr>
          <w:rFonts w:eastAsia="Arial"/>
          <w:szCs w:val="22"/>
        </w:rPr>
        <w:t>H</w:t>
      </w:r>
      <w:r w:rsidR="00DF6567">
        <w:rPr>
          <w:rFonts w:eastAsia="Arial"/>
          <w:szCs w:val="22"/>
        </w:rPr>
        <w:t xml:space="preserve">ome </w:t>
      </w:r>
      <w:r w:rsidR="00A870DB">
        <w:rPr>
          <w:rFonts w:eastAsia="Arial"/>
          <w:szCs w:val="22"/>
        </w:rPr>
        <w:t>S</w:t>
      </w:r>
      <w:r w:rsidR="00DF6567">
        <w:rPr>
          <w:rFonts w:eastAsia="Arial"/>
          <w:szCs w:val="22"/>
        </w:rPr>
        <w:t xml:space="preserve">upport </w:t>
      </w:r>
      <w:r w:rsidR="00A870DB">
        <w:rPr>
          <w:rFonts w:eastAsia="Arial"/>
          <w:szCs w:val="22"/>
        </w:rPr>
        <w:t>P</w:t>
      </w:r>
      <w:r w:rsidR="00DF6567">
        <w:rPr>
          <w:rFonts w:eastAsia="Arial"/>
          <w:szCs w:val="22"/>
        </w:rPr>
        <w:t>rogram (CHSP)</w:t>
      </w:r>
      <w:r w:rsidR="00A870DB">
        <w:rPr>
          <w:rFonts w:eastAsia="Arial"/>
          <w:szCs w:val="22"/>
        </w:rPr>
        <w:t xml:space="preserve"> or Support at Home).  </w:t>
      </w:r>
      <w:r w:rsidR="00D51773">
        <w:rPr>
          <w:rFonts w:eastAsia="Arial"/>
          <w:szCs w:val="22"/>
        </w:rPr>
        <w:t>The IAT Classification Algorithm</w:t>
      </w:r>
      <w:r w:rsidR="00A870DB">
        <w:rPr>
          <w:rFonts w:eastAsia="Arial"/>
          <w:szCs w:val="22"/>
        </w:rPr>
        <w:t xml:space="preserve">: </w:t>
      </w:r>
      <w:r w:rsidR="00A870DB" w:rsidRPr="00695EF1">
        <w:rPr>
          <w:rFonts w:eastAsia="Arial"/>
          <w:szCs w:val="22"/>
        </w:rPr>
        <w:t>considers a client’s needs at three levels: </w:t>
      </w:r>
    </w:p>
    <w:p w14:paraId="1BF490BC" w14:textId="77777777" w:rsidR="00A870DB" w:rsidRPr="00695EF1" w:rsidRDefault="00A870DB" w:rsidP="00A870DB">
      <w:pPr>
        <w:numPr>
          <w:ilvl w:val="0"/>
          <w:numId w:val="459"/>
        </w:numPr>
        <w:spacing w:before="240" w:after="240" w:line="240" w:lineRule="auto"/>
        <w:rPr>
          <w:rFonts w:eastAsia="Arial"/>
          <w:szCs w:val="22"/>
        </w:rPr>
      </w:pPr>
      <w:r w:rsidRPr="00695EF1">
        <w:rPr>
          <w:rFonts w:eastAsia="Arial"/>
          <w:szCs w:val="22"/>
        </w:rPr>
        <w:t xml:space="preserve">Identification of the </w:t>
      </w:r>
      <w:r>
        <w:rPr>
          <w:rFonts w:eastAsia="Arial"/>
          <w:szCs w:val="22"/>
        </w:rPr>
        <w:t>older person’s</w:t>
      </w:r>
      <w:r w:rsidRPr="00695EF1">
        <w:rPr>
          <w:rFonts w:eastAsia="Arial"/>
          <w:szCs w:val="22"/>
        </w:rPr>
        <w:t xml:space="preserve"> functional abilities. </w:t>
      </w:r>
    </w:p>
    <w:p w14:paraId="10615012" w14:textId="77777777" w:rsidR="00A870DB" w:rsidRPr="00695EF1" w:rsidRDefault="00A870DB" w:rsidP="00A870DB">
      <w:pPr>
        <w:numPr>
          <w:ilvl w:val="0"/>
          <w:numId w:val="460"/>
        </w:numPr>
        <w:spacing w:before="240" w:after="240" w:line="240" w:lineRule="auto"/>
        <w:rPr>
          <w:rFonts w:eastAsia="Arial"/>
          <w:szCs w:val="22"/>
        </w:rPr>
      </w:pPr>
      <w:r w:rsidRPr="00695EF1">
        <w:rPr>
          <w:rFonts w:eastAsia="Arial"/>
          <w:szCs w:val="22"/>
        </w:rPr>
        <w:t xml:space="preserve">Assessment of how well the </w:t>
      </w:r>
      <w:r>
        <w:rPr>
          <w:rFonts w:eastAsia="Arial"/>
          <w:szCs w:val="22"/>
        </w:rPr>
        <w:t>older person’s</w:t>
      </w:r>
      <w:r w:rsidRPr="00695EF1">
        <w:rPr>
          <w:rFonts w:eastAsia="Arial"/>
          <w:szCs w:val="22"/>
        </w:rPr>
        <w:t xml:space="preserve"> functional needs are currently being met. </w:t>
      </w:r>
    </w:p>
    <w:p w14:paraId="004978DE" w14:textId="0EB4F99B" w:rsidR="00A870DB" w:rsidRDefault="00A870DB" w:rsidP="00A870DB">
      <w:pPr>
        <w:numPr>
          <w:ilvl w:val="0"/>
          <w:numId w:val="461"/>
        </w:numPr>
        <w:spacing w:before="240" w:after="240" w:line="240" w:lineRule="auto"/>
        <w:rPr>
          <w:rFonts w:eastAsia="Arial"/>
        </w:rPr>
      </w:pPr>
      <w:r w:rsidRPr="00B1AE3A">
        <w:rPr>
          <w:rFonts w:eastAsia="Arial"/>
        </w:rPr>
        <w:t xml:space="preserve">Consideration of compounding factors, which allows the </w:t>
      </w:r>
      <w:r>
        <w:rPr>
          <w:rFonts w:eastAsia="Arial"/>
        </w:rPr>
        <w:t>IAT Classification A</w:t>
      </w:r>
      <w:r w:rsidRPr="00B1AE3A">
        <w:rPr>
          <w:rFonts w:eastAsia="Arial"/>
        </w:rPr>
        <w:t>lgorithm to differentiate between people with similar functional status and level of met needs.</w:t>
      </w:r>
    </w:p>
    <w:p w14:paraId="6171E240" w14:textId="77777777" w:rsidR="00A870DB" w:rsidRDefault="00A870DB" w:rsidP="00073158">
      <w:pPr>
        <w:spacing w:after="0" w:line="240" w:lineRule="auto"/>
        <w:textAlignment w:val="baseline"/>
        <w:rPr>
          <w:rFonts w:eastAsia="Arial"/>
          <w:szCs w:val="22"/>
        </w:rPr>
      </w:pPr>
    </w:p>
    <w:p w14:paraId="7D398A29" w14:textId="6977F4E6" w:rsidR="00A870DB" w:rsidRPr="00821103" w:rsidRDefault="002119A1" w:rsidP="00A870DB">
      <w:pPr>
        <w:spacing w:after="0" w:line="240" w:lineRule="auto"/>
        <w:textAlignment w:val="baseline"/>
        <w:rPr>
          <w:rFonts w:eastAsia="Arial"/>
          <w:color w:val="D13438"/>
        </w:rPr>
      </w:pPr>
      <w:r w:rsidRPr="00821103">
        <w:rPr>
          <w:rStyle w:val="eop"/>
          <w:rFonts w:eastAsia="Arial"/>
        </w:rPr>
        <w:t xml:space="preserve">For a given set of clinical characteristics, the IAT Classification Algorithm will always generate the same classification level. </w:t>
      </w:r>
      <w:r w:rsidR="00A870DB" w:rsidRPr="00B73461">
        <w:rPr>
          <w:rFonts w:eastAsia="Arial"/>
          <w:szCs w:val="22"/>
        </w:rPr>
        <w:t>The</w:t>
      </w:r>
      <w:r w:rsidR="00A870DB">
        <w:rPr>
          <w:rFonts w:eastAsia="Arial"/>
          <w:szCs w:val="22"/>
        </w:rPr>
        <w:t xml:space="preserve"> </w:t>
      </w:r>
      <w:r w:rsidR="00C52884">
        <w:rPr>
          <w:rFonts w:eastAsia="Arial"/>
          <w:szCs w:val="22"/>
        </w:rPr>
        <w:t>rules</w:t>
      </w:r>
      <w:r w:rsidR="00A17E53">
        <w:rPr>
          <w:rFonts w:eastAsia="Arial"/>
          <w:szCs w:val="22"/>
        </w:rPr>
        <w:t xml:space="preserve"> or criteria</w:t>
      </w:r>
      <w:r w:rsidR="00A870DB" w:rsidRPr="00B73461">
        <w:rPr>
          <w:rFonts w:eastAsia="Arial"/>
          <w:szCs w:val="22"/>
        </w:rPr>
        <w:t xml:space="preserve"> </w:t>
      </w:r>
      <w:r w:rsidR="00A870DB">
        <w:rPr>
          <w:rFonts w:eastAsia="Arial"/>
          <w:szCs w:val="22"/>
        </w:rPr>
        <w:t xml:space="preserve">that must be met for each ongoing home support classification level </w:t>
      </w:r>
      <w:r w:rsidR="00A870DB" w:rsidRPr="00B73461">
        <w:rPr>
          <w:rFonts w:eastAsia="Arial"/>
          <w:szCs w:val="22"/>
        </w:rPr>
        <w:t>are defin</w:t>
      </w:r>
      <w:r w:rsidR="00A870DB" w:rsidRPr="00C5184B">
        <w:rPr>
          <w:rFonts w:eastAsia="Arial"/>
          <w:szCs w:val="22"/>
        </w:rPr>
        <w:t xml:space="preserve">ed in section 81-10 of the </w:t>
      </w:r>
      <w:r w:rsidR="00A870DB" w:rsidRPr="00821103">
        <w:rPr>
          <w:rFonts w:eastAsia="Arial"/>
          <w:szCs w:val="22"/>
        </w:rPr>
        <w:t>Aged Care Rules 2025 (the Rules)</w:t>
      </w:r>
      <w:r w:rsidR="002007FC" w:rsidRPr="00821103">
        <w:rPr>
          <w:rFonts w:eastAsia="Arial"/>
          <w:szCs w:val="22"/>
        </w:rPr>
        <w:t>. The Rules are prescriptive</w:t>
      </w:r>
      <w:r w:rsidR="00CC11C6" w:rsidRPr="00821103">
        <w:rPr>
          <w:rFonts w:eastAsia="Arial"/>
          <w:szCs w:val="22"/>
        </w:rPr>
        <w:t xml:space="preserve"> and do not allow for an ongoing </w:t>
      </w:r>
      <w:r w:rsidR="00C52884" w:rsidRPr="00821103">
        <w:rPr>
          <w:rFonts w:eastAsia="Arial"/>
          <w:szCs w:val="22"/>
        </w:rPr>
        <w:t xml:space="preserve">home support classification to be approved that is different to the rules it describes and which the algorithm relies on. </w:t>
      </w:r>
      <w:r w:rsidR="00A17E53" w:rsidRPr="00821103">
        <w:rPr>
          <w:rFonts w:eastAsia="Arial"/>
          <w:szCs w:val="22"/>
        </w:rPr>
        <w:t>T</w:t>
      </w:r>
      <w:r w:rsidR="007A695D" w:rsidRPr="00821103">
        <w:rPr>
          <w:rFonts w:eastAsia="Arial"/>
          <w:szCs w:val="22"/>
        </w:rPr>
        <w:t>herefore overriding the IAT Classification Algorithm outcome to a different ongoing home support classification level (e.g., CHSP to SaH class 1-8</w:t>
      </w:r>
      <w:r w:rsidR="00A73FC5" w:rsidRPr="00821103">
        <w:rPr>
          <w:rFonts w:eastAsia="Arial"/>
          <w:szCs w:val="22"/>
        </w:rPr>
        <w:t>; ineligible for CHSP/SaH to CHSP or SaH class 1-8; SaH class</w:t>
      </w:r>
      <w:r w:rsidR="00E92783" w:rsidRPr="00821103">
        <w:rPr>
          <w:rFonts w:eastAsia="Arial"/>
          <w:szCs w:val="22"/>
        </w:rPr>
        <w:t xml:space="preserve"> 1-8 to a different SaH class 1-8) </w:t>
      </w:r>
      <w:r w:rsidR="00B169EC" w:rsidRPr="00821103">
        <w:rPr>
          <w:rFonts w:eastAsia="Arial"/>
          <w:szCs w:val="22"/>
        </w:rPr>
        <w:t>is</w:t>
      </w:r>
      <w:r w:rsidR="00A17E53" w:rsidRPr="00821103">
        <w:rPr>
          <w:rFonts w:eastAsia="Arial"/>
          <w:szCs w:val="22"/>
        </w:rPr>
        <w:t xml:space="preserve"> unlawful</w:t>
      </w:r>
      <w:r w:rsidR="00A870DB" w:rsidRPr="00C5184B">
        <w:rPr>
          <w:rFonts w:eastAsia="Arial"/>
          <w:szCs w:val="22"/>
        </w:rPr>
        <w:t>.</w:t>
      </w:r>
      <w:r w:rsidR="00A870DB">
        <w:rPr>
          <w:rFonts w:eastAsia="Arial"/>
          <w:szCs w:val="22"/>
        </w:rPr>
        <w:t xml:space="preserve">  </w:t>
      </w:r>
    </w:p>
    <w:p w14:paraId="3BB6B2C7" w14:textId="34F560B1" w:rsidR="0016278A" w:rsidRDefault="00FD4927" w:rsidP="0000739C">
      <w:pPr>
        <w:spacing w:before="240" w:after="240" w:line="240" w:lineRule="auto"/>
        <w:rPr>
          <w:rFonts w:eastAsia="Arial"/>
          <w:szCs w:val="22"/>
        </w:rPr>
      </w:pPr>
      <w:r w:rsidRPr="00821103">
        <w:rPr>
          <w:rStyle w:val="eop"/>
          <w:rFonts w:eastAsia="Arial"/>
        </w:rPr>
        <w:t>The accuracy of the IAT Outcome relies on information that has been entered into the IAT during the assessment. Assessors</w:t>
      </w:r>
      <w:r w:rsidR="001010F5" w:rsidRPr="00821103">
        <w:rPr>
          <w:rStyle w:val="eop"/>
          <w:rFonts w:eastAsia="Arial"/>
        </w:rPr>
        <w:t xml:space="preserve"> continue</w:t>
      </w:r>
      <w:r w:rsidRPr="00821103">
        <w:rPr>
          <w:rStyle w:val="eop"/>
          <w:rFonts w:eastAsia="Arial"/>
        </w:rPr>
        <w:t xml:space="preserve"> play a critical role in achieving high quality assessment outcomes by using their strong communication and interpersonal skills to complete the IAT during the assessment, and their clinical judgement when undertaking comprehensive assessments.</w:t>
      </w:r>
    </w:p>
    <w:p w14:paraId="2AAE6BA1" w14:textId="46166A89" w:rsidR="0016278A" w:rsidRDefault="0016278A" w:rsidP="003B269E">
      <w:pPr>
        <w:pStyle w:val="H4"/>
        <w:rPr>
          <w:rFonts w:eastAsia="Arial"/>
        </w:rPr>
      </w:pPr>
      <w:r>
        <w:rPr>
          <w:rFonts w:eastAsia="Arial"/>
        </w:rPr>
        <w:t>Accepting the IAT Outcome</w:t>
      </w:r>
    </w:p>
    <w:p w14:paraId="77535664" w14:textId="51A38169" w:rsidR="00073158" w:rsidRDefault="00073158" w:rsidP="00073158">
      <w:pPr>
        <w:spacing w:after="0" w:line="240" w:lineRule="auto"/>
        <w:textAlignment w:val="baseline"/>
        <w:rPr>
          <w:rFonts w:eastAsia="Arial"/>
          <w:szCs w:val="22"/>
        </w:rPr>
      </w:pPr>
      <w:r w:rsidRPr="00695EF1">
        <w:rPr>
          <w:rFonts w:eastAsia="Arial"/>
          <w:szCs w:val="22"/>
        </w:rPr>
        <w:t xml:space="preserve">If </w:t>
      </w:r>
      <w:r>
        <w:rPr>
          <w:rFonts w:eastAsia="Arial"/>
          <w:szCs w:val="22"/>
        </w:rPr>
        <w:t xml:space="preserve">an </w:t>
      </w:r>
      <w:r w:rsidRPr="00695EF1">
        <w:rPr>
          <w:rFonts w:eastAsia="Arial"/>
          <w:szCs w:val="22"/>
        </w:rPr>
        <w:t xml:space="preserve">assessor </w:t>
      </w:r>
      <w:r w:rsidR="00EE25D7">
        <w:rPr>
          <w:rFonts w:eastAsia="Arial"/>
          <w:szCs w:val="22"/>
        </w:rPr>
        <w:t>intends</w:t>
      </w:r>
      <w:r w:rsidR="00EE25D7" w:rsidRPr="00695EF1">
        <w:rPr>
          <w:rFonts w:eastAsia="Arial"/>
          <w:szCs w:val="22"/>
        </w:rPr>
        <w:t xml:space="preserve"> </w:t>
      </w:r>
      <w:r w:rsidRPr="00695EF1">
        <w:rPr>
          <w:rFonts w:eastAsia="Arial"/>
          <w:szCs w:val="22"/>
        </w:rPr>
        <w:t>to recommend ongoing</w:t>
      </w:r>
      <w:r>
        <w:rPr>
          <w:rFonts w:eastAsia="Arial"/>
          <w:szCs w:val="22"/>
        </w:rPr>
        <w:t xml:space="preserve"> home support</w:t>
      </w:r>
      <w:r w:rsidRPr="00695EF1">
        <w:rPr>
          <w:rFonts w:eastAsia="Arial"/>
          <w:szCs w:val="22"/>
        </w:rPr>
        <w:t xml:space="preserve"> for an older person through Support at Home or CHSP</w:t>
      </w:r>
      <w:r>
        <w:rPr>
          <w:rFonts w:eastAsia="Arial"/>
          <w:szCs w:val="22"/>
        </w:rPr>
        <w:t xml:space="preserve">, </w:t>
      </w:r>
      <w:r w:rsidRPr="00695EF1">
        <w:rPr>
          <w:rFonts w:eastAsia="Arial"/>
          <w:szCs w:val="22"/>
        </w:rPr>
        <w:t xml:space="preserve">the </w:t>
      </w:r>
      <w:r w:rsidR="00DF6567">
        <w:rPr>
          <w:rFonts w:eastAsia="Arial"/>
          <w:szCs w:val="22"/>
        </w:rPr>
        <w:t xml:space="preserve">system generated </w:t>
      </w:r>
      <w:r w:rsidRPr="00695EF1">
        <w:rPr>
          <w:rFonts w:eastAsia="Arial"/>
          <w:szCs w:val="22"/>
        </w:rPr>
        <w:t xml:space="preserve">IAT </w:t>
      </w:r>
      <w:r>
        <w:rPr>
          <w:rFonts w:eastAsia="Arial"/>
          <w:szCs w:val="22"/>
        </w:rPr>
        <w:t>O</w:t>
      </w:r>
      <w:r w:rsidRPr="00695EF1">
        <w:rPr>
          <w:rFonts w:eastAsia="Arial"/>
          <w:szCs w:val="22"/>
        </w:rPr>
        <w:t xml:space="preserve">utcome </w:t>
      </w:r>
      <w:r>
        <w:rPr>
          <w:rFonts w:eastAsia="Arial"/>
          <w:szCs w:val="22"/>
        </w:rPr>
        <w:t>must be</w:t>
      </w:r>
      <w:r w:rsidRPr="00695EF1">
        <w:rPr>
          <w:rFonts w:eastAsia="Arial"/>
          <w:szCs w:val="22"/>
        </w:rPr>
        <w:t xml:space="preserve"> accepted by the assessor. </w:t>
      </w:r>
      <w:r>
        <w:rPr>
          <w:rFonts w:eastAsia="Arial"/>
          <w:szCs w:val="22"/>
        </w:rPr>
        <w:t xml:space="preserve">For example, where the IAT Outcome recommends an ongoing SaH </w:t>
      </w:r>
      <w:r w:rsidR="00DF6567">
        <w:rPr>
          <w:rFonts w:eastAsia="Arial"/>
          <w:szCs w:val="22"/>
        </w:rPr>
        <w:t xml:space="preserve">class </w:t>
      </w:r>
      <w:r>
        <w:rPr>
          <w:rFonts w:eastAsia="Arial"/>
          <w:szCs w:val="22"/>
        </w:rPr>
        <w:t>5 the assessor will accept this IAT Outcome</w:t>
      </w:r>
      <w:r w:rsidR="00DF6567">
        <w:rPr>
          <w:rFonts w:eastAsia="Arial"/>
          <w:szCs w:val="22"/>
        </w:rPr>
        <w:t xml:space="preserve"> to recommend ongoing SaH class 5</w:t>
      </w:r>
      <w:r>
        <w:rPr>
          <w:rFonts w:eastAsia="Arial"/>
          <w:szCs w:val="22"/>
        </w:rPr>
        <w:t>.</w:t>
      </w:r>
    </w:p>
    <w:p w14:paraId="53262699" w14:textId="77777777" w:rsidR="00073158" w:rsidRDefault="00073158" w:rsidP="00073158">
      <w:pPr>
        <w:spacing w:after="0" w:line="240" w:lineRule="auto"/>
        <w:textAlignment w:val="baseline"/>
        <w:rPr>
          <w:rFonts w:eastAsia="Arial"/>
          <w:szCs w:val="22"/>
        </w:rPr>
      </w:pPr>
    </w:p>
    <w:p w14:paraId="79A3A78D" w14:textId="4CB78994" w:rsidR="00073158" w:rsidRPr="009B3A7C" w:rsidRDefault="00073158" w:rsidP="00073158">
      <w:pPr>
        <w:spacing w:after="0" w:line="240" w:lineRule="auto"/>
        <w:textAlignment w:val="baseline"/>
        <w:rPr>
          <w:rFonts w:eastAsia="Arial"/>
          <w:szCs w:val="22"/>
        </w:rPr>
      </w:pPr>
      <w:r>
        <w:rPr>
          <w:rFonts w:eastAsia="Arial"/>
          <w:szCs w:val="22"/>
        </w:rPr>
        <w:t xml:space="preserve">If the IAT Outcome results in </w:t>
      </w:r>
      <w:r w:rsidR="0022072D">
        <w:rPr>
          <w:rFonts w:eastAsia="Arial"/>
          <w:szCs w:val="22"/>
        </w:rPr>
        <w:t>‘</w:t>
      </w:r>
      <w:r>
        <w:rPr>
          <w:rFonts w:eastAsia="Arial"/>
          <w:szCs w:val="22"/>
        </w:rPr>
        <w:t>ineligib</w:t>
      </w:r>
      <w:r w:rsidR="006448AC">
        <w:rPr>
          <w:rFonts w:eastAsia="Arial"/>
          <w:szCs w:val="22"/>
        </w:rPr>
        <w:t>le</w:t>
      </w:r>
      <w:r>
        <w:rPr>
          <w:rFonts w:eastAsia="Arial"/>
          <w:szCs w:val="22"/>
        </w:rPr>
        <w:t xml:space="preserve"> </w:t>
      </w:r>
      <w:r w:rsidR="005F72A0">
        <w:rPr>
          <w:rFonts w:eastAsia="Arial"/>
          <w:szCs w:val="22"/>
        </w:rPr>
        <w:t xml:space="preserve">for </w:t>
      </w:r>
      <w:r w:rsidR="00FE6BB7">
        <w:rPr>
          <w:rFonts w:eastAsia="Arial"/>
          <w:szCs w:val="22"/>
        </w:rPr>
        <w:t>CHSP</w:t>
      </w:r>
      <w:r w:rsidR="006448AC">
        <w:rPr>
          <w:rFonts w:eastAsia="Arial"/>
          <w:szCs w:val="22"/>
        </w:rPr>
        <w:t>/</w:t>
      </w:r>
      <w:r w:rsidR="0081047E">
        <w:rPr>
          <w:rFonts w:eastAsia="Arial"/>
          <w:szCs w:val="22"/>
        </w:rPr>
        <w:t>SaH</w:t>
      </w:r>
      <w:r w:rsidR="0022072D">
        <w:rPr>
          <w:rFonts w:eastAsia="Arial"/>
          <w:szCs w:val="22"/>
        </w:rPr>
        <w:t>’</w:t>
      </w:r>
      <w:r>
        <w:rPr>
          <w:rFonts w:eastAsia="Arial"/>
          <w:szCs w:val="22"/>
        </w:rPr>
        <w:t xml:space="preserve">, the person is not eligible to receive </w:t>
      </w:r>
      <w:r w:rsidR="00A456F7">
        <w:rPr>
          <w:rFonts w:eastAsia="Arial"/>
          <w:szCs w:val="22"/>
        </w:rPr>
        <w:t xml:space="preserve">CHSP or </w:t>
      </w:r>
      <w:r w:rsidR="003F0834">
        <w:rPr>
          <w:rFonts w:eastAsia="Arial"/>
          <w:szCs w:val="22"/>
        </w:rPr>
        <w:t>ongoing SaH</w:t>
      </w:r>
      <w:r>
        <w:rPr>
          <w:rFonts w:eastAsia="Arial"/>
          <w:szCs w:val="22"/>
        </w:rPr>
        <w:t xml:space="preserve">. </w:t>
      </w:r>
      <w:r w:rsidR="00405681">
        <w:rPr>
          <w:rFonts w:eastAsia="Arial"/>
          <w:szCs w:val="22"/>
        </w:rPr>
        <w:t>An assessor must not override the IAT Outcome to recommend an ongoing home support classification level.</w:t>
      </w:r>
      <w:r>
        <w:rPr>
          <w:rFonts w:eastAsia="Arial"/>
          <w:szCs w:val="22"/>
        </w:rPr>
        <w:t xml:space="preserve"> </w:t>
      </w:r>
      <w:r w:rsidR="0093453D">
        <w:rPr>
          <w:rFonts w:eastAsia="Arial"/>
          <w:szCs w:val="22"/>
        </w:rPr>
        <w:t xml:space="preserve">If </w:t>
      </w:r>
      <w:r w:rsidR="0036590D">
        <w:rPr>
          <w:rFonts w:eastAsia="Arial"/>
          <w:szCs w:val="22"/>
        </w:rPr>
        <w:t xml:space="preserve">by considering the eligibility criteria in the </w:t>
      </w:r>
      <w:r w:rsidR="0036590D" w:rsidRPr="00441859">
        <w:rPr>
          <w:rFonts w:eastAsia="Arial"/>
          <w:i/>
          <w:szCs w:val="22"/>
        </w:rPr>
        <w:t>Aged Care Act 2024</w:t>
      </w:r>
      <w:r w:rsidR="0036590D">
        <w:rPr>
          <w:rFonts w:eastAsia="Arial"/>
          <w:szCs w:val="22"/>
        </w:rPr>
        <w:t xml:space="preserve"> for residential care,</w:t>
      </w:r>
      <w:r w:rsidR="0093453D">
        <w:rPr>
          <w:rFonts w:eastAsia="Arial"/>
          <w:szCs w:val="22"/>
        </w:rPr>
        <w:t xml:space="preserve"> </w:t>
      </w:r>
      <w:r w:rsidR="00475722">
        <w:rPr>
          <w:rFonts w:eastAsia="Arial"/>
          <w:szCs w:val="22"/>
        </w:rPr>
        <w:t>the</w:t>
      </w:r>
      <w:r w:rsidR="0093453D">
        <w:rPr>
          <w:rFonts w:eastAsia="Arial"/>
          <w:szCs w:val="22"/>
        </w:rPr>
        <w:t xml:space="preserve"> assessor </w:t>
      </w:r>
      <w:r w:rsidR="00475722">
        <w:rPr>
          <w:rFonts w:eastAsia="Arial"/>
          <w:szCs w:val="22"/>
        </w:rPr>
        <w:t xml:space="preserve">wants to recommend </w:t>
      </w:r>
      <w:r w:rsidR="00564B47">
        <w:rPr>
          <w:rFonts w:eastAsia="Arial"/>
          <w:szCs w:val="22"/>
        </w:rPr>
        <w:t>residential care</w:t>
      </w:r>
      <w:r w:rsidR="0036590D">
        <w:rPr>
          <w:rFonts w:eastAsia="Arial"/>
          <w:szCs w:val="22"/>
        </w:rPr>
        <w:t xml:space="preserve">, </w:t>
      </w:r>
      <w:r w:rsidR="00902435">
        <w:rPr>
          <w:rFonts w:eastAsia="Arial"/>
          <w:szCs w:val="22"/>
        </w:rPr>
        <w:t xml:space="preserve">it is appropriate </w:t>
      </w:r>
      <w:r w:rsidR="00B42E63">
        <w:rPr>
          <w:rFonts w:eastAsia="Arial"/>
          <w:szCs w:val="22"/>
        </w:rPr>
        <w:t xml:space="preserve">to </w:t>
      </w:r>
      <w:r w:rsidR="00233CA4">
        <w:rPr>
          <w:rFonts w:eastAsia="Arial"/>
          <w:szCs w:val="22"/>
        </w:rPr>
        <w:t>accept</w:t>
      </w:r>
      <w:r w:rsidR="00B42E63">
        <w:rPr>
          <w:rFonts w:eastAsia="Arial"/>
          <w:szCs w:val="22"/>
        </w:rPr>
        <w:t xml:space="preserve"> </w:t>
      </w:r>
      <w:r w:rsidR="005F72A0">
        <w:rPr>
          <w:rFonts w:eastAsia="Arial"/>
          <w:szCs w:val="22"/>
        </w:rPr>
        <w:t xml:space="preserve">the ineligibility </w:t>
      </w:r>
      <w:r w:rsidR="001F6180">
        <w:rPr>
          <w:rFonts w:eastAsia="Arial"/>
          <w:szCs w:val="22"/>
        </w:rPr>
        <w:t xml:space="preserve">outcome </w:t>
      </w:r>
      <w:r w:rsidR="0068581B">
        <w:rPr>
          <w:rFonts w:eastAsia="Arial"/>
          <w:szCs w:val="22"/>
        </w:rPr>
        <w:t>and</w:t>
      </w:r>
      <w:r w:rsidR="00145D7E">
        <w:rPr>
          <w:rFonts w:eastAsia="Arial"/>
          <w:szCs w:val="22"/>
        </w:rPr>
        <w:t xml:space="preserve"> recommend </w:t>
      </w:r>
      <w:r w:rsidR="00AA4716">
        <w:rPr>
          <w:rFonts w:eastAsia="Arial"/>
          <w:szCs w:val="22"/>
        </w:rPr>
        <w:t>residential care</w:t>
      </w:r>
      <w:r w:rsidR="00DF30A9">
        <w:rPr>
          <w:rFonts w:eastAsia="Arial"/>
          <w:szCs w:val="22"/>
        </w:rPr>
        <w:t xml:space="preserve">. </w:t>
      </w:r>
      <w:r w:rsidR="00B42E63">
        <w:rPr>
          <w:rFonts w:eastAsia="Arial"/>
          <w:szCs w:val="22"/>
        </w:rPr>
        <w:t xml:space="preserve"> </w:t>
      </w:r>
    </w:p>
    <w:p w14:paraId="165FC29D" w14:textId="77777777" w:rsidR="00073158" w:rsidRPr="00695EF1" w:rsidRDefault="00073158" w:rsidP="00073158">
      <w:pPr>
        <w:spacing w:after="0" w:line="240" w:lineRule="auto"/>
        <w:textAlignment w:val="baseline"/>
        <w:rPr>
          <w:rFonts w:eastAsia="Arial"/>
          <w:szCs w:val="22"/>
        </w:rPr>
      </w:pPr>
    </w:p>
    <w:p w14:paraId="1637EF9F" w14:textId="77777777" w:rsidR="003B269E" w:rsidRPr="003B269E" w:rsidRDefault="00073158" w:rsidP="00026DA9">
      <w:pPr>
        <w:pStyle w:val="Boxwithcolouredkeyline"/>
        <w:shd w:val="clear" w:color="auto" w:fill="F2F2F2" w:themeFill="background1" w:themeFillShade="F2"/>
        <w:rPr>
          <w:b/>
          <w:bCs/>
        </w:rPr>
      </w:pPr>
      <w:r w:rsidRPr="003B269E">
        <w:rPr>
          <w:b/>
        </w:rPr>
        <w:t xml:space="preserve">Important: </w:t>
      </w:r>
    </w:p>
    <w:p w14:paraId="15081DCC" w14:textId="4564E72D" w:rsidR="00073158" w:rsidRDefault="00073158" w:rsidP="00026DA9">
      <w:pPr>
        <w:pStyle w:val="Boxwithcolouredkeyline"/>
        <w:shd w:val="clear" w:color="auto" w:fill="F2F2F2" w:themeFill="background1" w:themeFillShade="F2"/>
      </w:pPr>
      <w:r w:rsidRPr="008060E3">
        <w:t>To support the IAT Outcome recommending a level of care which appropriately addresses an individual’s care needs, assessors should ensure all inputs into the IAT are accurate</w:t>
      </w:r>
      <w:r w:rsidR="00AA5F92">
        <w:t xml:space="preserve"> before it is finalised</w:t>
      </w:r>
      <w:r w:rsidRPr="008060E3">
        <w:t>.</w:t>
      </w:r>
      <w:r w:rsidR="00F274F7">
        <w:t xml:space="preserve"> The IAT will lock once it is finalised </w:t>
      </w:r>
      <w:r w:rsidR="00B722AB">
        <w:t xml:space="preserve">and </w:t>
      </w:r>
      <w:r w:rsidR="00F274F7">
        <w:t xml:space="preserve">data will not be able to be updated in the IAT after this time. </w:t>
      </w:r>
    </w:p>
    <w:p w14:paraId="60978C02" w14:textId="02A35B94" w:rsidR="000D2528" w:rsidRDefault="000D2528" w:rsidP="000D2528">
      <w:r>
        <w:br w:type="page"/>
      </w:r>
    </w:p>
    <w:p w14:paraId="0C7084AE" w14:textId="77777777" w:rsidR="00073158" w:rsidRPr="00695EF1" w:rsidRDefault="00073158" w:rsidP="00073158">
      <w:pPr>
        <w:pStyle w:val="H4"/>
      </w:pPr>
      <w:r w:rsidRPr="00695EF1">
        <w:t>Overriding the IAT outcome</w:t>
      </w:r>
    </w:p>
    <w:p w14:paraId="57FF4618" w14:textId="77777777" w:rsidR="0002112D" w:rsidRPr="003B269E" w:rsidRDefault="0002112D" w:rsidP="003B269E">
      <w:pPr>
        <w:pStyle w:val="Boxwithcolouredkeyline"/>
        <w:shd w:val="clear" w:color="auto" w:fill="F2F2F2" w:themeFill="background1" w:themeFillShade="F2"/>
        <w:rPr>
          <w:b/>
        </w:rPr>
      </w:pPr>
      <w:r w:rsidRPr="003B269E">
        <w:rPr>
          <w:b/>
        </w:rPr>
        <w:t xml:space="preserve">Important: </w:t>
      </w:r>
    </w:p>
    <w:p w14:paraId="7730F7A2" w14:textId="6014ED23" w:rsidR="0002112D" w:rsidRPr="008060E3" w:rsidRDefault="00D2449E" w:rsidP="003B269E">
      <w:pPr>
        <w:pStyle w:val="Boxwithcolouredkeyline"/>
        <w:shd w:val="clear" w:color="auto" w:fill="F2F2F2" w:themeFill="background1" w:themeFillShade="F2"/>
      </w:pPr>
      <w:r>
        <w:t>There is</w:t>
      </w:r>
      <w:r w:rsidR="0002112D" w:rsidRPr="008060E3">
        <w:t xml:space="preserve"> functionality </w:t>
      </w:r>
      <w:r>
        <w:t xml:space="preserve">in the assessor workflow </w:t>
      </w:r>
      <w:r w:rsidR="0002112D" w:rsidRPr="008060E3">
        <w:t xml:space="preserve">that allows for actions that </w:t>
      </w:r>
      <w:r w:rsidR="0002112D" w:rsidRPr="00181222">
        <w:rPr>
          <w:u w:val="single"/>
        </w:rPr>
        <w:t>must not</w:t>
      </w:r>
      <w:r w:rsidR="0002112D" w:rsidRPr="008060E3">
        <w:t xml:space="preserve"> be taken by assessors as these actions do not align with the </w:t>
      </w:r>
      <w:r w:rsidR="0002112D" w:rsidRPr="004E6F88">
        <w:rPr>
          <w:i/>
        </w:rPr>
        <w:t>Aged Care Rules 2025</w:t>
      </w:r>
      <w:r w:rsidR="0002112D">
        <w:rPr>
          <w:i/>
        </w:rPr>
        <w:t xml:space="preserve"> (the Rules)</w:t>
      </w:r>
      <w:r w:rsidR="00D55328">
        <w:rPr>
          <w:i/>
        </w:rPr>
        <w:t xml:space="preserve">, </w:t>
      </w:r>
      <w:r w:rsidR="00D55328" w:rsidRPr="00821103">
        <w:t>deeming them unlawful</w:t>
      </w:r>
      <w:r w:rsidR="0002112D" w:rsidRPr="008060E3">
        <w:t>. This includes:</w:t>
      </w:r>
    </w:p>
    <w:p w14:paraId="6EFADDF6" w14:textId="2E0BBED3" w:rsidR="003B269E" w:rsidRDefault="003B269E" w:rsidP="003B269E">
      <w:pPr>
        <w:pStyle w:val="Boxwithcolouredkeyline"/>
        <w:shd w:val="clear" w:color="auto" w:fill="F2F2F2" w:themeFill="background1" w:themeFillShade="F2"/>
      </w:pPr>
      <w:r>
        <w:t>-</w:t>
      </w:r>
      <w:r w:rsidR="0002112D" w:rsidRPr="008060E3">
        <w:t xml:space="preserve">the IAT Outcome </w:t>
      </w:r>
      <w:r w:rsidR="00BB49C6">
        <w:t>must</w:t>
      </w:r>
      <w:r w:rsidR="0002112D">
        <w:t xml:space="preserve"> not be </w:t>
      </w:r>
      <w:r w:rsidR="0002112D" w:rsidRPr="008060E3">
        <w:t>overridden to recommend a different ongoing home support classification (</w:t>
      </w:r>
      <w:r w:rsidR="002A6328">
        <w:t>e.g</w:t>
      </w:r>
      <w:r w:rsidR="004B2556">
        <w:t xml:space="preserve">., Ineligible for CHSP/SaH to </w:t>
      </w:r>
      <w:r w:rsidR="00534515">
        <w:t>CHSP or SaH 1-8; CHSP to SaH 1-</w:t>
      </w:r>
      <w:r w:rsidR="00E74902">
        <w:t>8; SaH</w:t>
      </w:r>
      <w:r w:rsidR="00C042A9">
        <w:t xml:space="preserve"> 1-8 to CHSP;</w:t>
      </w:r>
      <w:r w:rsidR="00534515">
        <w:t xml:space="preserve"> </w:t>
      </w:r>
      <w:r w:rsidR="0002112D" w:rsidRPr="008060E3">
        <w:t xml:space="preserve">SaH 5 to SaH 6). In line with section 81-10 of the Rules the criteria for each classification </w:t>
      </w:r>
      <w:r w:rsidR="00E74902" w:rsidRPr="008060E3">
        <w:t>are</w:t>
      </w:r>
      <w:r w:rsidR="0002112D" w:rsidRPr="008060E3">
        <w:t xml:space="preserve"> prescriptive and does not allow for an ongoing classification </w:t>
      </w:r>
      <w:r w:rsidR="00F86DD8">
        <w:t xml:space="preserve">to be </w:t>
      </w:r>
      <w:r w:rsidR="0002112D" w:rsidRPr="008060E3">
        <w:t xml:space="preserve">different to the IAT Outcome to be recommended. </w:t>
      </w:r>
    </w:p>
    <w:p w14:paraId="0366D6A1" w14:textId="7D3C682D" w:rsidR="0002112D" w:rsidRPr="008060E3" w:rsidRDefault="003B269E" w:rsidP="003B269E">
      <w:pPr>
        <w:pStyle w:val="Boxwithcolouredkeyline"/>
        <w:shd w:val="clear" w:color="auto" w:fill="F2F2F2" w:themeFill="background1" w:themeFillShade="F2"/>
      </w:pPr>
      <w:r>
        <w:t>-</w:t>
      </w:r>
      <w:r w:rsidR="0002112D" w:rsidRPr="008060E3">
        <w:t>a CHSP classification can be overridden to recommend Restorative Care Pathway (RCP) during a comprehensive assessment. In line with section 81-15 of the Rules, RCP cannot be recommended for approval when a Support at Home classification has not be</w:t>
      </w:r>
      <w:r w:rsidR="0002112D">
        <w:t>en</w:t>
      </w:r>
      <w:r w:rsidR="0002112D" w:rsidRPr="008060E3">
        <w:t xml:space="preserve"> generated by the IAT Outcome.  </w:t>
      </w:r>
    </w:p>
    <w:p w14:paraId="60117F5C" w14:textId="781EB7B3" w:rsidR="0002112D" w:rsidRDefault="0002112D" w:rsidP="000D2528">
      <w:pPr>
        <w:pStyle w:val="Boxwithcolouredkeyline"/>
        <w:shd w:val="clear" w:color="auto" w:fill="F2F2F2" w:themeFill="background1" w:themeFillShade="F2"/>
        <w:rPr>
          <w:rFonts w:eastAsia="Arial"/>
          <w:szCs w:val="22"/>
        </w:rPr>
      </w:pPr>
      <w:r w:rsidRPr="008060E3">
        <w:t>It is important that assessors do not take these actions and delegates do not approve recommendations when these actions have occurred.</w:t>
      </w:r>
      <w:r>
        <w:t xml:space="preserve"> </w:t>
      </w:r>
    </w:p>
    <w:p w14:paraId="539ECDDE" w14:textId="17F94E64" w:rsidR="00073158" w:rsidRPr="00695EF1" w:rsidRDefault="00073158" w:rsidP="00073158">
      <w:pPr>
        <w:spacing w:before="240" w:after="240" w:line="240" w:lineRule="auto"/>
        <w:rPr>
          <w:rFonts w:eastAsia="Arial"/>
          <w:szCs w:val="22"/>
        </w:rPr>
      </w:pPr>
      <w:r w:rsidRPr="00695EF1">
        <w:rPr>
          <w:rFonts w:eastAsia="Arial"/>
          <w:szCs w:val="22"/>
        </w:rPr>
        <w:t>It will be necessary to override the</w:t>
      </w:r>
      <w:r>
        <w:rPr>
          <w:rFonts w:eastAsia="Arial"/>
          <w:szCs w:val="22"/>
        </w:rPr>
        <w:t xml:space="preserve"> system-generated</w:t>
      </w:r>
      <w:r w:rsidRPr="00695EF1">
        <w:rPr>
          <w:rFonts w:eastAsia="Arial"/>
          <w:szCs w:val="22"/>
        </w:rPr>
        <w:t xml:space="preserve"> IAT Outcome to recommend the:</w:t>
      </w:r>
    </w:p>
    <w:p w14:paraId="0E4CA281" w14:textId="77777777" w:rsidR="00073158" w:rsidRPr="00695EF1" w:rsidRDefault="00073158" w:rsidP="00DF3F6B">
      <w:pPr>
        <w:pStyle w:val="ListParagraph"/>
        <w:numPr>
          <w:ilvl w:val="0"/>
          <w:numId w:val="462"/>
        </w:numPr>
        <w:spacing w:before="240" w:after="240" w:line="240" w:lineRule="auto"/>
        <w:rPr>
          <w:rFonts w:eastAsia="Arial"/>
          <w:szCs w:val="22"/>
        </w:rPr>
      </w:pPr>
      <w:r>
        <w:rPr>
          <w:rFonts w:eastAsia="Arial"/>
          <w:szCs w:val="22"/>
        </w:rPr>
        <w:t xml:space="preserve">SaH </w:t>
      </w:r>
      <w:r w:rsidRPr="00695EF1">
        <w:rPr>
          <w:rFonts w:eastAsia="Arial"/>
          <w:szCs w:val="22"/>
        </w:rPr>
        <w:t xml:space="preserve">Restorative Care Pathway, </w:t>
      </w:r>
    </w:p>
    <w:p w14:paraId="2D02F513" w14:textId="77777777" w:rsidR="00073158" w:rsidRDefault="00073158" w:rsidP="00DF3F6B">
      <w:pPr>
        <w:pStyle w:val="ListParagraph"/>
        <w:numPr>
          <w:ilvl w:val="0"/>
          <w:numId w:val="462"/>
        </w:numPr>
        <w:spacing w:before="240" w:after="240" w:line="240" w:lineRule="auto"/>
        <w:rPr>
          <w:rFonts w:eastAsia="Arial"/>
          <w:szCs w:val="22"/>
        </w:rPr>
      </w:pPr>
      <w:r>
        <w:rPr>
          <w:rFonts w:eastAsia="Arial"/>
          <w:szCs w:val="22"/>
        </w:rPr>
        <w:t xml:space="preserve">SaH </w:t>
      </w:r>
      <w:r w:rsidRPr="00695EF1">
        <w:rPr>
          <w:rFonts w:eastAsia="Arial"/>
          <w:szCs w:val="22"/>
        </w:rPr>
        <w:t>End of Life Pathway</w:t>
      </w:r>
      <w:r>
        <w:rPr>
          <w:rFonts w:eastAsia="Arial"/>
          <w:szCs w:val="22"/>
        </w:rPr>
        <w:t>,</w:t>
      </w:r>
    </w:p>
    <w:p w14:paraId="658094F2" w14:textId="3B4ABF08" w:rsidR="00073158" w:rsidRDefault="00073158" w:rsidP="00DF3F6B">
      <w:pPr>
        <w:pStyle w:val="ListParagraph"/>
        <w:numPr>
          <w:ilvl w:val="0"/>
          <w:numId w:val="462"/>
        </w:numPr>
        <w:spacing w:before="240" w:after="240" w:line="240" w:lineRule="auto"/>
        <w:rPr>
          <w:rFonts w:eastAsia="Arial"/>
          <w:szCs w:val="22"/>
        </w:rPr>
      </w:pPr>
      <w:r>
        <w:rPr>
          <w:rFonts w:eastAsia="Arial"/>
          <w:szCs w:val="22"/>
        </w:rPr>
        <w:t>Transition Care Program (TCP)</w:t>
      </w:r>
      <w:r w:rsidR="00473C25">
        <w:rPr>
          <w:rFonts w:eastAsia="Arial"/>
          <w:szCs w:val="22"/>
        </w:rPr>
        <w:t xml:space="preserve"> without ongoing in-home services</w:t>
      </w:r>
      <w:r>
        <w:rPr>
          <w:rFonts w:eastAsia="Arial"/>
          <w:szCs w:val="22"/>
        </w:rPr>
        <w:t>,</w:t>
      </w:r>
    </w:p>
    <w:p w14:paraId="10DEE6DA" w14:textId="77777777" w:rsidR="00073158" w:rsidRDefault="00073158" w:rsidP="00DF3F6B">
      <w:pPr>
        <w:pStyle w:val="ListParagraph"/>
        <w:numPr>
          <w:ilvl w:val="0"/>
          <w:numId w:val="462"/>
        </w:numPr>
        <w:spacing w:before="240" w:after="240" w:line="240" w:lineRule="auto"/>
        <w:rPr>
          <w:rFonts w:eastAsia="Arial"/>
          <w:szCs w:val="22"/>
        </w:rPr>
      </w:pPr>
      <w:r>
        <w:rPr>
          <w:rFonts w:eastAsia="Arial"/>
          <w:szCs w:val="22"/>
        </w:rPr>
        <w:t>Permanent Residential Care without ongoing in-home services,</w:t>
      </w:r>
    </w:p>
    <w:p w14:paraId="524AF1FD" w14:textId="77777777" w:rsidR="00073158" w:rsidRPr="00C972D4" w:rsidRDefault="00073158" w:rsidP="00DF3F6B">
      <w:pPr>
        <w:pStyle w:val="ListParagraph"/>
        <w:numPr>
          <w:ilvl w:val="0"/>
          <w:numId w:val="462"/>
        </w:numPr>
        <w:spacing w:before="240" w:after="240" w:line="240" w:lineRule="auto"/>
        <w:rPr>
          <w:rFonts w:eastAsia="Arial"/>
          <w:szCs w:val="22"/>
        </w:rPr>
      </w:pPr>
      <w:r>
        <w:rPr>
          <w:rFonts w:eastAsia="Arial"/>
          <w:szCs w:val="22"/>
        </w:rPr>
        <w:t xml:space="preserve">Residential Respite care without ongoing in-home services. </w:t>
      </w:r>
      <w:r w:rsidRPr="00C972D4">
        <w:rPr>
          <w:rFonts w:eastAsia="Arial"/>
          <w:szCs w:val="22"/>
        </w:rPr>
        <w:t xml:space="preserve"> </w:t>
      </w:r>
    </w:p>
    <w:p w14:paraId="20326AFA" w14:textId="5B34FF44" w:rsidR="00073158" w:rsidRDefault="00073158" w:rsidP="005872EB">
      <w:pPr>
        <w:pStyle w:val="Boxwithcolouredkeyline"/>
        <w:shd w:val="clear" w:color="auto" w:fill="F2F2F2" w:themeFill="background1" w:themeFillShade="F2"/>
      </w:pPr>
      <w:r w:rsidRPr="002F60CA">
        <w:rPr>
          <w:b/>
          <w:bCs/>
        </w:rPr>
        <w:t>Note:</w:t>
      </w:r>
      <w:r>
        <w:t xml:space="preserve"> </w:t>
      </w:r>
      <w:r w:rsidRPr="00477733">
        <w:t>in order to</w:t>
      </w:r>
      <w:r>
        <w:t xml:space="preserve"> </w:t>
      </w:r>
      <w:r w:rsidR="000D2528" w:rsidRPr="00477733">
        <w:t>recommend residential</w:t>
      </w:r>
      <w:r w:rsidRPr="00477733">
        <w:t xml:space="preserve"> care (permanent or short-term)</w:t>
      </w:r>
      <w:r w:rsidR="00473C25">
        <w:t xml:space="preserve"> </w:t>
      </w:r>
      <w:r w:rsidR="00473C25">
        <w:rPr>
          <w:rFonts w:eastAsia="Arial"/>
          <w:szCs w:val="22"/>
        </w:rPr>
        <w:t>without ongoing in-home services</w:t>
      </w:r>
      <w:r w:rsidRPr="00477733">
        <w:t>, assessors will need to override the IAT Outcome</w:t>
      </w:r>
      <w:r w:rsidRPr="008060E3">
        <w:t xml:space="preserve"> </w:t>
      </w:r>
      <w:r w:rsidR="00F050A0">
        <w:t>of CHSP</w:t>
      </w:r>
      <w:r w:rsidRPr="008060E3">
        <w:t xml:space="preserve"> </w:t>
      </w:r>
      <w:r w:rsidR="000F19D1">
        <w:t>or Support at Home</w:t>
      </w:r>
      <w:r w:rsidRPr="00477733">
        <w:t xml:space="preserve"> to ‘ineligible for ongoing SaH/CHSP’. Assessors can then recommend these care types in the support plan.</w:t>
      </w:r>
      <w:r>
        <w:t xml:space="preserve"> </w:t>
      </w:r>
    </w:p>
    <w:p w14:paraId="66B8B29A" w14:textId="61D937B2" w:rsidR="00BD31F1" w:rsidRDefault="00BD31F1" w:rsidP="005872EB">
      <w:pPr>
        <w:pStyle w:val="Boxwithcolouredkeyline"/>
        <w:shd w:val="clear" w:color="auto" w:fill="F2F2F2" w:themeFill="background1" w:themeFillShade="F2"/>
        <w:rPr>
          <w:rFonts w:eastAsia="Aptos"/>
        </w:rPr>
      </w:pPr>
      <w:r w:rsidRPr="00D57F25">
        <w:rPr>
          <w:rFonts w:eastAsia="Aptos"/>
        </w:rPr>
        <w:t xml:space="preserve">An older person can be recommended and approved for CHSP or Support at Home services at the same time as TCP, provided the IAT outcome generates an ongoing home support outcome. </w:t>
      </w:r>
      <w:r w:rsidR="0063483D">
        <w:rPr>
          <w:rFonts w:eastAsia="Aptos"/>
        </w:rPr>
        <w:t xml:space="preserve">For </w:t>
      </w:r>
      <w:r w:rsidR="000D2528">
        <w:rPr>
          <w:rFonts w:eastAsia="Aptos"/>
        </w:rPr>
        <w:t>example,</w:t>
      </w:r>
      <w:r w:rsidRPr="00D57F25">
        <w:rPr>
          <w:rFonts w:eastAsia="Aptos"/>
        </w:rPr>
        <w:t xml:space="preserve"> Support at Home services can only be recommended if the IAT Outcome generates a SaH 1-8 classification level</w:t>
      </w:r>
      <w:r w:rsidR="00DA0BF9">
        <w:rPr>
          <w:rFonts w:eastAsia="Aptos"/>
        </w:rPr>
        <w:t xml:space="preserve"> and interim CHSP services may also be recommended.</w:t>
      </w:r>
      <w:r w:rsidR="00A7731D">
        <w:rPr>
          <w:rFonts w:eastAsia="Aptos"/>
        </w:rPr>
        <w:t xml:space="preserve"> </w:t>
      </w:r>
      <w:r w:rsidR="00494A0F">
        <w:rPr>
          <w:rFonts w:eastAsia="Aptos"/>
        </w:rPr>
        <w:t xml:space="preserve">If the IAT outcome results in a CHSP classification, only CHSP services can be recommended. </w:t>
      </w:r>
      <w:r w:rsidRPr="00D57F25">
        <w:rPr>
          <w:rFonts w:eastAsia="Aptos"/>
        </w:rPr>
        <w:t xml:space="preserve"> </w:t>
      </w:r>
    </w:p>
    <w:p w14:paraId="177411B2" w14:textId="77777777" w:rsidR="00565BF9" w:rsidRDefault="00BD31F1" w:rsidP="005872EB">
      <w:pPr>
        <w:pStyle w:val="Boxwithcolouredkeyline"/>
        <w:shd w:val="clear" w:color="auto" w:fill="F2F2F2" w:themeFill="background1" w:themeFillShade="F2"/>
      </w:pPr>
      <w:r>
        <w:t>I</w:t>
      </w:r>
      <w:r w:rsidRPr="00E73746">
        <w:t>f it is not appropriate to recommend ongoing home support services</w:t>
      </w:r>
      <w:r>
        <w:t xml:space="preserve"> </w:t>
      </w:r>
      <w:r w:rsidRPr="00E73746">
        <w:t xml:space="preserve">at the same time as TCP </w:t>
      </w:r>
      <w:r>
        <w:t xml:space="preserve">for people new to the aged care system, </w:t>
      </w:r>
      <w:r w:rsidRPr="00E73746">
        <w:t xml:space="preserve">the IAT outcome can be overridden to ‘ineligible for CHSP/SaH’ and </w:t>
      </w:r>
      <w:r>
        <w:t xml:space="preserve">then the transition care option can be chosen under ‘Add a Care type for Delegate Decision’ button. </w:t>
      </w:r>
      <w:r w:rsidRPr="00BD38D9">
        <w:t>The system will still allow CHSP services to be recommended concurrently with TCP if required.</w:t>
      </w:r>
      <w:r>
        <w:t xml:space="preserve"> </w:t>
      </w:r>
    </w:p>
    <w:p w14:paraId="18B4C721" w14:textId="59F9654E" w:rsidR="00565BF9" w:rsidRPr="00906199" w:rsidRDefault="00565BF9" w:rsidP="005872EB">
      <w:pPr>
        <w:pStyle w:val="Boxwithcolouredkeyline"/>
        <w:shd w:val="clear" w:color="auto" w:fill="F2F2F2" w:themeFill="background1" w:themeFillShade="F2"/>
        <w:rPr>
          <w:rFonts w:eastAsia="Aptos"/>
        </w:rPr>
      </w:pPr>
      <w:r w:rsidRPr="00E73746">
        <w:t xml:space="preserve">For </w:t>
      </w:r>
      <w:r>
        <w:t xml:space="preserve">transitioned </w:t>
      </w:r>
      <w:r w:rsidRPr="00E73746">
        <w:t>HCP</w:t>
      </w:r>
      <w:r>
        <w:t xml:space="preserve">, </w:t>
      </w:r>
      <w:r w:rsidRPr="00E73746">
        <w:t>SaH clients</w:t>
      </w:r>
      <w:r>
        <w:t xml:space="preserve"> and CHSP clients who are assessed for TCP</w:t>
      </w:r>
      <w:r w:rsidRPr="00E73746">
        <w:t xml:space="preserve">, the IAT outcome will need to be </w:t>
      </w:r>
      <w:r w:rsidR="000D2528" w:rsidRPr="00E73746">
        <w:t>accepted,</w:t>
      </w:r>
      <w:r w:rsidRPr="00E73746">
        <w:t xml:space="preserve"> and TCP </w:t>
      </w:r>
      <w:r>
        <w:t>added as a care type</w:t>
      </w:r>
      <w:r w:rsidRPr="00E73746">
        <w:t xml:space="preserve">. </w:t>
      </w:r>
      <w:r>
        <w:rPr>
          <w:rFonts w:eastAsia="Aptos"/>
        </w:rPr>
        <w:t xml:space="preserve">These </w:t>
      </w:r>
      <w:r w:rsidR="00BF6F5F">
        <w:rPr>
          <w:rFonts w:eastAsia="Aptos"/>
        </w:rPr>
        <w:t>services</w:t>
      </w:r>
      <w:r>
        <w:rPr>
          <w:rFonts w:eastAsia="Aptos"/>
        </w:rPr>
        <w:t xml:space="preserve"> </w:t>
      </w:r>
      <w:r w:rsidRPr="00417711">
        <w:rPr>
          <w:rFonts w:eastAsia="Aptos"/>
        </w:rPr>
        <w:t xml:space="preserve">can continue to be accessed while accessing TCP, as long as the services are not duplicative. </w:t>
      </w:r>
      <w:r>
        <w:rPr>
          <w:rFonts w:eastAsia="Aptos"/>
        </w:rPr>
        <w:t>See Chapter 6 for further information.</w:t>
      </w:r>
    </w:p>
    <w:p w14:paraId="23B9BC6C" w14:textId="77777777" w:rsidR="00BD31F1" w:rsidRDefault="00BD31F1" w:rsidP="000D2528"/>
    <w:p w14:paraId="0678795C" w14:textId="77777777" w:rsidR="00073158" w:rsidRPr="00695EF1" w:rsidRDefault="00073158" w:rsidP="00073158">
      <w:pPr>
        <w:spacing w:before="240" w:after="240" w:line="240" w:lineRule="auto"/>
        <w:rPr>
          <w:rFonts w:eastAsia="Arial"/>
          <w:szCs w:val="22"/>
        </w:rPr>
      </w:pPr>
      <w:r>
        <w:rPr>
          <w:rFonts w:eastAsia="Arial"/>
          <w:szCs w:val="22"/>
        </w:rPr>
        <w:t xml:space="preserve">Once the override button is selected, </w:t>
      </w:r>
      <w:r w:rsidRPr="00695EF1">
        <w:rPr>
          <w:rFonts w:eastAsia="Arial"/>
          <w:szCs w:val="22"/>
        </w:rPr>
        <w:t xml:space="preserve">a screen will display where </w:t>
      </w:r>
      <w:r>
        <w:rPr>
          <w:rFonts w:eastAsia="Arial"/>
          <w:szCs w:val="22"/>
        </w:rPr>
        <w:t>an assessor</w:t>
      </w:r>
      <w:r w:rsidRPr="00695EF1">
        <w:rPr>
          <w:rFonts w:eastAsia="Arial"/>
          <w:szCs w:val="22"/>
        </w:rPr>
        <w:t xml:space="preserve"> can perform these actions. If an assessor override</w:t>
      </w:r>
      <w:r>
        <w:rPr>
          <w:rFonts w:eastAsia="Arial"/>
          <w:szCs w:val="22"/>
        </w:rPr>
        <w:t>s</w:t>
      </w:r>
      <w:r w:rsidRPr="00695EF1">
        <w:rPr>
          <w:rFonts w:eastAsia="Arial"/>
          <w:szCs w:val="22"/>
        </w:rPr>
        <w:t xml:space="preserve"> the IAT outcome, they will be required to: </w:t>
      </w:r>
    </w:p>
    <w:p w14:paraId="56D47651" w14:textId="77777777" w:rsidR="00073158" w:rsidRPr="00695EF1" w:rsidRDefault="00073158" w:rsidP="00DF3F6B">
      <w:pPr>
        <w:numPr>
          <w:ilvl w:val="0"/>
          <w:numId w:val="463"/>
        </w:numPr>
        <w:spacing w:before="240" w:after="240" w:line="240" w:lineRule="auto"/>
        <w:rPr>
          <w:rFonts w:eastAsia="Arial"/>
          <w:szCs w:val="22"/>
        </w:rPr>
      </w:pPr>
      <w:r w:rsidRPr="00695EF1">
        <w:rPr>
          <w:rFonts w:eastAsia="Arial"/>
          <w:szCs w:val="22"/>
        </w:rPr>
        <w:t>select a reason for overriding the IAT outcome, and </w:t>
      </w:r>
    </w:p>
    <w:p w14:paraId="2FCBEE99" w14:textId="77777777" w:rsidR="00073158" w:rsidRDefault="00073158" w:rsidP="00DF3F6B">
      <w:pPr>
        <w:numPr>
          <w:ilvl w:val="0"/>
          <w:numId w:val="464"/>
        </w:numPr>
        <w:spacing w:before="240" w:after="240" w:line="240" w:lineRule="auto"/>
      </w:pPr>
      <w:r w:rsidRPr="00695EF1">
        <w:rPr>
          <w:rFonts w:eastAsia="Arial"/>
          <w:szCs w:val="22"/>
        </w:rPr>
        <w:t>provide a descriptive reason for overriding.  </w:t>
      </w:r>
    </w:p>
    <w:p w14:paraId="3CAAF99F" w14:textId="136EA25B" w:rsidR="00073158" w:rsidRPr="00CA075B" w:rsidRDefault="00073158" w:rsidP="00073158">
      <w:pPr>
        <w:spacing w:before="240" w:after="240"/>
      </w:pPr>
      <w:r w:rsidRPr="00CA075B">
        <w:rPr>
          <w:rFonts w:eastAsia="Arial"/>
          <w:b/>
          <w:bCs/>
          <w:szCs w:val="22"/>
        </w:rPr>
        <w:t xml:space="preserve">Tips for assessors when </w:t>
      </w:r>
      <w:r>
        <w:rPr>
          <w:rFonts w:eastAsia="Arial"/>
          <w:b/>
          <w:bCs/>
          <w:szCs w:val="22"/>
        </w:rPr>
        <w:t>explaining</w:t>
      </w:r>
      <w:r w:rsidRPr="00CA075B">
        <w:rPr>
          <w:rFonts w:eastAsia="Arial"/>
          <w:b/>
          <w:bCs/>
          <w:szCs w:val="22"/>
        </w:rPr>
        <w:t xml:space="preserve"> the IAT outcome and recommended classification level</w:t>
      </w:r>
      <w:r>
        <w:rPr>
          <w:rFonts w:eastAsia="Arial"/>
          <w:b/>
          <w:bCs/>
          <w:szCs w:val="22"/>
        </w:rPr>
        <w:t xml:space="preserve"> for ongoing home support to</w:t>
      </w:r>
      <w:r w:rsidRPr="00CA075B">
        <w:rPr>
          <w:rFonts w:eastAsia="Arial"/>
          <w:b/>
          <w:bCs/>
          <w:szCs w:val="22"/>
        </w:rPr>
        <w:t xml:space="preserve"> older people</w:t>
      </w:r>
      <w:r>
        <w:rPr>
          <w:rFonts w:eastAsia="Arial"/>
          <w:b/>
          <w:bCs/>
          <w:szCs w:val="22"/>
        </w:rPr>
        <w:t xml:space="preserve"> and </w:t>
      </w:r>
      <w:r w:rsidRPr="00CA075B">
        <w:rPr>
          <w:rFonts w:eastAsia="Arial"/>
          <w:b/>
          <w:bCs/>
          <w:szCs w:val="22"/>
        </w:rPr>
        <w:t xml:space="preserve">their supporters. </w:t>
      </w:r>
    </w:p>
    <w:p w14:paraId="7A623D4A" w14:textId="07B5B7D1" w:rsidR="00C6576C" w:rsidRDefault="00073158" w:rsidP="00DF3F6B">
      <w:pPr>
        <w:pStyle w:val="ListParagraph"/>
        <w:numPr>
          <w:ilvl w:val="0"/>
          <w:numId w:val="472"/>
        </w:numPr>
        <w:spacing w:after="0" w:line="257" w:lineRule="auto"/>
        <w:rPr>
          <w:rFonts w:eastAsia="Arial"/>
          <w:szCs w:val="22"/>
        </w:rPr>
      </w:pPr>
      <w:r w:rsidRPr="00CA075B">
        <w:rPr>
          <w:rFonts w:eastAsia="Arial"/>
          <w:szCs w:val="22"/>
        </w:rPr>
        <w:t>I have put the information you/&lt;older person’s name&gt; have</w:t>
      </w:r>
      <w:r>
        <w:rPr>
          <w:rFonts w:eastAsia="Arial"/>
          <w:szCs w:val="22"/>
        </w:rPr>
        <w:t>/has</w:t>
      </w:r>
      <w:r w:rsidRPr="00CA075B">
        <w:rPr>
          <w:rFonts w:eastAsia="Arial"/>
          <w:szCs w:val="22"/>
        </w:rPr>
        <w:t xml:space="preserve"> given me during your/their assessment into the assessment tool and the system has generated an outcome for your</w:t>
      </w:r>
      <w:r w:rsidR="00852D9F">
        <w:rPr>
          <w:rFonts w:eastAsia="Arial"/>
          <w:szCs w:val="22"/>
        </w:rPr>
        <w:t>/their</w:t>
      </w:r>
      <w:r w:rsidRPr="00CA075B">
        <w:rPr>
          <w:rFonts w:eastAsia="Arial"/>
          <w:szCs w:val="22"/>
        </w:rPr>
        <w:t xml:space="preserve"> &lt;eligibility for CHSP/level of funding for Support of Home&gt; OR &lt;ineligibility for </w:t>
      </w:r>
      <w:r w:rsidR="00852D9F">
        <w:rPr>
          <w:rFonts w:eastAsia="Arial"/>
          <w:szCs w:val="22"/>
        </w:rPr>
        <w:t>ongoing home support</w:t>
      </w:r>
      <w:r w:rsidRPr="00CA075B">
        <w:rPr>
          <w:rFonts w:eastAsia="Arial"/>
          <w:szCs w:val="22"/>
        </w:rPr>
        <w:t xml:space="preserve"> services&gt;</w:t>
      </w:r>
      <w:r w:rsidR="00C6576C">
        <w:rPr>
          <w:rFonts w:eastAsia="Arial"/>
          <w:szCs w:val="22"/>
        </w:rPr>
        <w:t xml:space="preserve"> using an algorithm</w:t>
      </w:r>
      <w:r w:rsidRPr="00CA075B">
        <w:rPr>
          <w:rFonts w:eastAsia="Arial"/>
          <w:szCs w:val="22"/>
        </w:rPr>
        <w:t>.</w:t>
      </w:r>
    </w:p>
    <w:p w14:paraId="0B8227C5" w14:textId="77777777" w:rsidR="00073158" w:rsidRPr="00CA075B" w:rsidRDefault="00073158" w:rsidP="00DF3F6B">
      <w:pPr>
        <w:pStyle w:val="ListParagraph"/>
        <w:numPr>
          <w:ilvl w:val="0"/>
          <w:numId w:val="472"/>
        </w:numPr>
        <w:spacing w:after="0" w:line="257" w:lineRule="auto"/>
        <w:rPr>
          <w:rFonts w:eastAsia="Arial"/>
          <w:szCs w:val="22"/>
        </w:rPr>
      </w:pPr>
      <w:r w:rsidRPr="00CA075B">
        <w:rPr>
          <w:rFonts w:eastAsia="Arial"/>
          <w:szCs w:val="22"/>
        </w:rPr>
        <w:t xml:space="preserve">The system uses a set of rules which rely on information that </w:t>
      </w:r>
      <w:r>
        <w:rPr>
          <w:rFonts w:eastAsia="Arial"/>
          <w:szCs w:val="22"/>
        </w:rPr>
        <w:t xml:space="preserve">you/they have told me during your/their </w:t>
      </w:r>
      <w:r w:rsidRPr="00CA075B">
        <w:rPr>
          <w:rFonts w:eastAsia="Arial"/>
          <w:szCs w:val="22"/>
        </w:rPr>
        <w:t>assessment which include:</w:t>
      </w:r>
      <w:r w:rsidRPr="00CA075B">
        <w:tab/>
      </w:r>
      <w:r w:rsidRPr="00CA075B">
        <w:rPr>
          <w:rFonts w:eastAsia="Arial"/>
          <w:szCs w:val="22"/>
        </w:rPr>
        <w:t xml:space="preserve"> </w:t>
      </w:r>
    </w:p>
    <w:p w14:paraId="1B3C5AAE" w14:textId="16D4C47B" w:rsidR="00073158" w:rsidRPr="00CA075B" w:rsidRDefault="00073158" w:rsidP="00DF3F6B">
      <w:pPr>
        <w:pStyle w:val="ListParagraph"/>
        <w:numPr>
          <w:ilvl w:val="1"/>
          <w:numId w:val="472"/>
        </w:numPr>
        <w:spacing w:after="0" w:line="257" w:lineRule="auto"/>
        <w:rPr>
          <w:rFonts w:eastAsia="Arial"/>
          <w:szCs w:val="22"/>
        </w:rPr>
      </w:pPr>
      <w:r>
        <w:rPr>
          <w:rFonts w:eastAsia="Arial"/>
          <w:szCs w:val="22"/>
        </w:rPr>
        <w:t xml:space="preserve">Your/their </w:t>
      </w:r>
      <w:r w:rsidRPr="00CA075B">
        <w:rPr>
          <w:rFonts w:eastAsia="Arial"/>
          <w:szCs w:val="22"/>
        </w:rPr>
        <w:t xml:space="preserve">functional ability to undertake daily tasks </w:t>
      </w:r>
      <w:r w:rsidR="0094490F" w:rsidRPr="00CA075B">
        <w:rPr>
          <w:rFonts w:eastAsia="Arial"/>
          <w:szCs w:val="22"/>
        </w:rPr>
        <w:t>e.g.</w:t>
      </w:r>
      <w:r w:rsidRPr="00CA075B">
        <w:rPr>
          <w:rFonts w:eastAsia="Arial"/>
          <w:szCs w:val="22"/>
        </w:rPr>
        <w:t xml:space="preserve"> walking, eating, bathing, toileting, managing their finances, cooking, and shopping, and  </w:t>
      </w:r>
    </w:p>
    <w:p w14:paraId="756F7BD5" w14:textId="77777777" w:rsidR="00073158" w:rsidRPr="00CA075B" w:rsidRDefault="00073158" w:rsidP="00DF3F6B">
      <w:pPr>
        <w:pStyle w:val="ListParagraph"/>
        <w:numPr>
          <w:ilvl w:val="1"/>
          <w:numId w:val="472"/>
        </w:numPr>
        <w:spacing w:after="0" w:line="257" w:lineRule="auto"/>
        <w:rPr>
          <w:rFonts w:eastAsia="Arial"/>
          <w:szCs w:val="22"/>
        </w:rPr>
      </w:pPr>
      <w:r w:rsidRPr="00CA075B">
        <w:rPr>
          <w:rFonts w:eastAsia="Arial"/>
          <w:szCs w:val="22"/>
        </w:rPr>
        <w:t>the extent to which your</w:t>
      </w:r>
      <w:r>
        <w:rPr>
          <w:rFonts w:eastAsia="Arial"/>
          <w:szCs w:val="22"/>
        </w:rPr>
        <w:t>/their</w:t>
      </w:r>
      <w:r w:rsidRPr="00CA075B">
        <w:rPr>
          <w:rFonts w:eastAsia="Arial"/>
          <w:szCs w:val="22"/>
        </w:rPr>
        <w:t xml:space="preserve"> needs are currently being met, and </w:t>
      </w:r>
    </w:p>
    <w:p w14:paraId="50EE842D" w14:textId="2FCDA1DA" w:rsidR="00073158" w:rsidRPr="00CA075B" w:rsidRDefault="00073158" w:rsidP="00DF3F6B">
      <w:pPr>
        <w:pStyle w:val="ListParagraph"/>
        <w:numPr>
          <w:ilvl w:val="1"/>
          <w:numId w:val="472"/>
        </w:numPr>
        <w:spacing w:after="0" w:line="257" w:lineRule="auto"/>
        <w:rPr>
          <w:rFonts w:eastAsia="Arial"/>
          <w:szCs w:val="22"/>
        </w:rPr>
      </w:pPr>
      <w:r w:rsidRPr="00CA075B">
        <w:rPr>
          <w:rFonts w:eastAsia="Arial"/>
          <w:szCs w:val="22"/>
        </w:rPr>
        <w:t>other factors that may introduce additional complexity for you</w:t>
      </w:r>
      <w:r>
        <w:rPr>
          <w:rFonts w:eastAsia="Arial"/>
          <w:szCs w:val="22"/>
        </w:rPr>
        <w:t>/them</w:t>
      </w:r>
      <w:r w:rsidRPr="00CA075B">
        <w:rPr>
          <w:rFonts w:eastAsia="Arial"/>
          <w:szCs w:val="22"/>
        </w:rPr>
        <w:t xml:space="preserve"> such as sensory concerns, medical conditions and co-morbidities</w:t>
      </w:r>
      <w:r w:rsidR="007D4529">
        <w:rPr>
          <w:rFonts w:eastAsia="Arial"/>
          <w:szCs w:val="22"/>
        </w:rPr>
        <w:t xml:space="preserve"> (i.e., the simultaneous presence of two or more diseases or medical conditions)</w:t>
      </w:r>
      <w:r w:rsidRPr="00CA075B">
        <w:rPr>
          <w:rFonts w:eastAsia="Arial"/>
          <w:szCs w:val="22"/>
        </w:rPr>
        <w:t xml:space="preserve">, carer availability, mental health, continence, and vision impairment. </w:t>
      </w:r>
    </w:p>
    <w:p w14:paraId="69519E78" w14:textId="2614B0E7" w:rsidR="00073158" w:rsidRDefault="00073158" w:rsidP="00DF3F6B">
      <w:pPr>
        <w:pStyle w:val="ListParagraph"/>
        <w:numPr>
          <w:ilvl w:val="0"/>
          <w:numId w:val="472"/>
        </w:numPr>
        <w:spacing w:after="0" w:line="257" w:lineRule="auto"/>
        <w:rPr>
          <w:rFonts w:eastAsia="Arial"/>
          <w:szCs w:val="22"/>
        </w:rPr>
      </w:pPr>
      <w:r w:rsidRPr="00CA075B">
        <w:rPr>
          <w:rFonts w:eastAsia="Arial"/>
          <w:szCs w:val="22"/>
        </w:rPr>
        <w:t>Using this set of rules</w:t>
      </w:r>
      <w:r>
        <w:rPr>
          <w:rFonts w:eastAsia="Arial"/>
          <w:szCs w:val="22"/>
        </w:rPr>
        <w:t xml:space="preserve">, the assessment tool has determined </w:t>
      </w:r>
      <w:r w:rsidRPr="00CA075B">
        <w:rPr>
          <w:rFonts w:eastAsia="Arial"/>
          <w:szCs w:val="22"/>
        </w:rPr>
        <w:t>your</w:t>
      </w:r>
      <w:r>
        <w:rPr>
          <w:rFonts w:eastAsia="Arial"/>
          <w:szCs w:val="22"/>
        </w:rPr>
        <w:t>/their</w:t>
      </w:r>
      <w:r w:rsidRPr="00CA075B">
        <w:rPr>
          <w:rFonts w:eastAsia="Arial"/>
          <w:szCs w:val="22"/>
        </w:rPr>
        <w:t xml:space="preserve"> level of funding</w:t>
      </w:r>
      <w:r>
        <w:rPr>
          <w:rFonts w:eastAsia="Arial"/>
          <w:szCs w:val="22"/>
        </w:rPr>
        <w:t xml:space="preserve"> for ongoing</w:t>
      </w:r>
      <w:r w:rsidR="008811FC">
        <w:rPr>
          <w:rFonts w:eastAsia="Arial"/>
          <w:szCs w:val="22"/>
        </w:rPr>
        <w:t xml:space="preserve"> </w:t>
      </w:r>
      <w:r>
        <w:rPr>
          <w:rFonts w:eastAsia="Arial"/>
          <w:szCs w:val="22"/>
        </w:rPr>
        <w:t>home care</w:t>
      </w:r>
      <w:r w:rsidR="008811FC">
        <w:rPr>
          <w:rFonts w:eastAsia="Arial"/>
          <w:szCs w:val="22"/>
        </w:rPr>
        <w:t xml:space="preserve"> services</w:t>
      </w:r>
      <w:r>
        <w:rPr>
          <w:rFonts w:eastAsia="Arial"/>
          <w:szCs w:val="22"/>
        </w:rPr>
        <w:t>.</w:t>
      </w:r>
    </w:p>
    <w:p w14:paraId="7B393F8D" w14:textId="29DF016B" w:rsidR="00073158" w:rsidRDefault="00073158" w:rsidP="00DF3F6B">
      <w:pPr>
        <w:pStyle w:val="ListParagraph"/>
        <w:numPr>
          <w:ilvl w:val="0"/>
          <w:numId w:val="472"/>
        </w:numPr>
        <w:spacing w:after="0" w:line="257" w:lineRule="auto"/>
        <w:rPr>
          <w:rFonts w:eastAsia="Arial"/>
          <w:szCs w:val="22"/>
        </w:rPr>
      </w:pPr>
      <w:r>
        <w:rPr>
          <w:rFonts w:eastAsia="Arial"/>
          <w:szCs w:val="22"/>
        </w:rPr>
        <w:t xml:space="preserve">This helps to ensure consistency in how funding </w:t>
      </w:r>
      <w:r w:rsidR="00BE42BD">
        <w:rPr>
          <w:rFonts w:eastAsia="Arial"/>
          <w:szCs w:val="22"/>
        </w:rPr>
        <w:t xml:space="preserve">is </w:t>
      </w:r>
      <w:r>
        <w:rPr>
          <w:rFonts w:eastAsia="Arial"/>
          <w:szCs w:val="22"/>
        </w:rPr>
        <w:t>assigned and means that y</w:t>
      </w:r>
      <w:r w:rsidRPr="002A1E11">
        <w:rPr>
          <w:rFonts w:eastAsia="Arial"/>
          <w:szCs w:val="22"/>
        </w:rPr>
        <w:t>our</w:t>
      </w:r>
      <w:r>
        <w:rPr>
          <w:rFonts w:eastAsia="Arial"/>
          <w:szCs w:val="22"/>
        </w:rPr>
        <w:t>/their</w:t>
      </w:r>
      <w:r w:rsidRPr="002A1E11">
        <w:rPr>
          <w:rFonts w:eastAsia="Arial"/>
          <w:szCs w:val="22"/>
        </w:rPr>
        <w:t xml:space="preserve"> funding level will be the same as other people who have similar needs and clinical characteristics.</w:t>
      </w:r>
    </w:p>
    <w:p w14:paraId="5262DFD8" w14:textId="57513752" w:rsidR="00C6576C" w:rsidRDefault="00073158" w:rsidP="00C458DA">
      <w:pPr>
        <w:pStyle w:val="ListParagraph"/>
        <w:numPr>
          <w:ilvl w:val="0"/>
          <w:numId w:val="472"/>
        </w:numPr>
        <w:spacing w:after="0" w:line="257" w:lineRule="auto"/>
        <w:rPr>
          <w:rFonts w:eastAsia="Arial"/>
          <w:szCs w:val="22"/>
        </w:rPr>
      </w:pPr>
      <w:r>
        <w:rPr>
          <w:rFonts w:eastAsia="Arial"/>
          <w:szCs w:val="22"/>
        </w:rPr>
        <w:t xml:space="preserve">I have included services in your support plan that will help to meet your goals and needs. Once approved and your funding is assigned to you, you can work with a provider to determine the services you will receive and how often within your </w:t>
      </w:r>
      <w:r w:rsidR="00C6576C">
        <w:rPr>
          <w:rFonts w:eastAsia="Arial"/>
          <w:szCs w:val="22"/>
        </w:rPr>
        <w:t xml:space="preserve">funding </w:t>
      </w:r>
      <w:r>
        <w:rPr>
          <w:rFonts w:eastAsia="Arial"/>
          <w:szCs w:val="22"/>
        </w:rPr>
        <w:t xml:space="preserve">level. </w:t>
      </w:r>
    </w:p>
    <w:p w14:paraId="70C93872" w14:textId="0F935908" w:rsidR="001E27DA" w:rsidRPr="00EC7373" w:rsidRDefault="001E27DA" w:rsidP="00EC7373">
      <w:pPr>
        <w:spacing w:after="0" w:line="257" w:lineRule="auto"/>
        <w:ind w:left="360"/>
      </w:pPr>
    </w:p>
    <w:p w14:paraId="6C15592D" w14:textId="702000DB" w:rsidR="00EC7373" w:rsidRPr="001E27DA" w:rsidRDefault="00EC7373" w:rsidP="00C458DA">
      <w:r w:rsidRPr="00EC7373">
        <w:rPr>
          <w:b/>
          <w:iCs/>
          <w:noProof/>
        </w:rPr>
        <w:drawing>
          <wp:inline distT="0" distB="0" distL="0" distR="0" wp14:anchorId="16CDCD1E" wp14:editId="3D1D10A6">
            <wp:extent cx="5566410" cy="3449320"/>
            <wp:effectExtent l="0" t="0" r="0" b="0"/>
            <wp:docPr id="189466291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41233" name="Picture 1" descr="A screenshot of a computer screen&#10;&#10;AI-generated content may be incorrect."/>
                    <pic:cNvPicPr/>
                  </pic:nvPicPr>
                  <pic:blipFill>
                    <a:blip r:embed="rId157"/>
                    <a:stretch>
                      <a:fillRect/>
                    </a:stretch>
                  </pic:blipFill>
                  <pic:spPr>
                    <a:xfrm>
                      <a:off x="0" y="0"/>
                      <a:ext cx="5566410" cy="3449320"/>
                    </a:xfrm>
                    <a:prstGeom prst="rect">
                      <a:avLst/>
                    </a:prstGeom>
                  </pic:spPr>
                </pic:pic>
              </a:graphicData>
            </a:graphic>
          </wp:inline>
        </w:drawing>
      </w:r>
    </w:p>
    <w:p w14:paraId="5C1870FE" w14:textId="194209E5" w:rsidR="006B524A" w:rsidRPr="00EB2639" w:rsidRDefault="00B232AD" w:rsidP="00100EEE">
      <w:pPr>
        <w:pStyle w:val="Caption"/>
        <w:rPr>
          <w:b w:val="0"/>
          <w:bCs/>
          <w:i/>
          <w:iCs w:val="0"/>
        </w:rPr>
      </w:pPr>
      <w:r w:rsidRPr="00EB2639">
        <w:rPr>
          <w:b w:val="0"/>
          <w:bCs/>
          <w:i/>
          <w:iCs w:val="0"/>
        </w:rPr>
        <w:t xml:space="preserve">Figure </w:t>
      </w:r>
      <w:r w:rsidR="00EB2639" w:rsidRPr="00EB2639">
        <w:rPr>
          <w:b w:val="0"/>
          <w:bCs/>
          <w:i/>
          <w:iCs w:val="0"/>
        </w:rPr>
        <w:t>4</w:t>
      </w:r>
      <w:r w:rsidRPr="00EB2639">
        <w:rPr>
          <w:b w:val="0"/>
          <w:bCs/>
          <w:i/>
          <w:iCs w:val="0"/>
        </w:rPr>
        <w:t xml:space="preserve"> - IAT recommendation pathways and outcomes </w:t>
      </w:r>
    </w:p>
    <w:p w14:paraId="046F1E15" w14:textId="423D0D54" w:rsidR="00211DB4" w:rsidRPr="007F4972" w:rsidRDefault="00211DB4" w:rsidP="007F4972">
      <w:pPr>
        <w:rPr>
          <w:b/>
          <w:iCs/>
        </w:rPr>
      </w:pPr>
    </w:p>
    <w:p w14:paraId="2EA64BDD" w14:textId="13E1D14E" w:rsidR="007A743C" w:rsidRDefault="003B269E" w:rsidP="00507F9D">
      <w:pPr>
        <w:pStyle w:val="h2"/>
      </w:pPr>
      <w:bookmarkStart w:id="412" w:name="_Toc204329555"/>
      <w:bookmarkStart w:id="413" w:name="_Toc209188986"/>
      <w:bookmarkStart w:id="414" w:name="_Toc224916647"/>
      <w:r w:rsidRPr="005E4E0E">
        <w:rPr>
          <w:noProof/>
        </w:rPr>
        <w:drawing>
          <wp:anchor distT="0" distB="0" distL="114300" distR="114300" simplePos="0" relativeHeight="251658300" behindDoc="0" locked="0" layoutInCell="1" allowOverlap="1" wp14:anchorId="15CEA057" wp14:editId="55F83DD0">
            <wp:simplePos x="0" y="0"/>
            <wp:positionH relativeFrom="margin">
              <wp:align>left</wp:align>
            </wp:positionH>
            <wp:positionV relativeFrom="paragraph">
              <wp:posOffset>9065</wp:posOffset>
            </wp:positionV>
            <wp:extent cx="457200" cy="502920"/>
            <wp:effectExtent l="0" t="0" r="0" b="0"/>
            <wp:wrapSquare wrapText="bothSides"/>
            <wp:docPr id="654218976" name="Picture 654218976"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t>Converting a home support assessment to a comprehensive assessment</w:t>
      </w:r>
      <w:bookmarkEnd w:id="412"/>
      <w:bookmarkEnd w:id="413"/>
      <w:bookmarkEnd w:id="414"/>
    </w:p>
    <w:p w14:paraId="3CB92957" w14:textId="11B1649D" w:rsidR="007A743C" w:rsidRPr="00877CCF" w:rsidRDefault="007A743C" w:rsidP="00A677C9">
      <w:pPr>
        <w:spacing w:before="240" w:after="240" w:line="240" w:lineRule="auto"/>
        <w:rPr>
          <w:shd w:val="clear" w:color="auto" w:fill="FFFFFF"/>
        </w:rPr>
      </w:pPr>
      <w:r w:rsidRPr="00877CCF">
        <w:rPr>
          <w:shd w:val="clear" w:color="auto" w:fill="FFFFFF"/>
        </w:rPr>
        <w:t xml:space="preserve">If an assessment is triaged as a home support assessment </w:t>
      </w:r>
      <w:r w:rsidRPr="00CB11E5">
        <w:rPr>
          <w:shd w:val="clear" w:color="auto" w:fill="FFFFFF"/>
        </w:rPr>
        <w:t xml:space="preserve">and the IAT outcome </w:t>
      </w:r>
      <w:r w:rsidR="00F27707">
        <w:rPr>
          <w:shd w:val="clear" w:color="auto" w:fill="FFFFFF"/>
        </w:rPr>
        <w:t xml:space="preserve">generates a </w:t>
      </w:r>
      <w:r w:rsidRPr="00CB11E5">
        <w:rPr>
          <w:shd w:val="clear" w:color="auto" w:fill="FFFFFF"/>
        </w:rPr>
        <w:t xml:space="preserve">Support at Home </w:t>
      </w:r>
      <w:r w:rsidR="00F27707">
        <w:rPr>
          <w:shd w:val="clear" w:color="auto" w:fill="FFFFFF"/>
        </w:rPr>
        <w:t>classification</w:t>
      </w:r>
      <w:r w:rsidR="2DE463BD">
        <w:t>,</w:t>
      </w:r>
      <w:r>
        <w:t xml:space="preserve"> </w:t>
      </w:r>
      <w:r w:rsidR="2DE463BD">
        <w:t>and/or</w:t>
      </w:r>
      <w:r w:rsidDel="007A743C">
        <w:t xml:space="preserve"> </w:t>
      </w:r>
      <w:r w:rsidR="00FC726E">
        <w:t xml:space="preserve">the assessor wants to </w:t>
      </w:r>
      <w:r w:rsidR="008D6CC2">
        <w:t>recommend</w:t>
      </w:r>
      <w:r w:rsidR="00593934">
        <w:t xml:space="preserve"> </w:t>
      </w:r>
      <w:r w:rsidR="00FC726E">
        <w:t>residential care (permanent or short</w:t>
      </w:r>
      <w:r w:rsidR="00B32932">
        <w:t>-</w:t>
      </w:r>
      <w:r w:rsidR="00FC726E">
        <w:t>term</w:t>
      </w:r>
      <w:r w:rsidR="000D2528">
        <w:t>),</w:t>
      </w:r>
      <w:r>
        <w:t xml:space="preserve"> the assessment will need to be converted to a comprehensive assessment under the supervision of a staff member who holds a clinical assessor role in the My Aged Care Assessor Portal.</w:t>
      </w:r>
    </w:p>
    <w:p w14:paraId="2673B018" w14:textId="6AF3920A" w:rsidR="007A743C" w:rsidRPr="00086F5A" w:rsidRDefault="007A743C" w:rsidP="003B269E">
      <w:pPr>
        <w:pStyle w:val="Boxwithcolouredkeyline"/>
        <w:shd w:val="clear" w:color="auto" w:fill="F2F2F2" w:themeFill="background1" w:themeFillShade="F2"/>
      </w:pPr>
      <w:r w:rsidRPr="00904192">
        <w:t>Note</w:t>
      </w:r>
      <w:r w:rsidR="00BB0543" w:rsidRPr="000027E3">
        <w:t>:</w:t>
      </w:r>
      <w:r w:rsidRPr="000027E3">
        <w:t xml:space="preserve"> </w:t>
      </w:r>
      <w:r w:rsidRPr="00576762">
        <w:t xml:space="preserve">Enrolled Nurses (EN) who hold the clinical assessor role </w:t>
      </w:r>
      <w:r w:rsidR="00DD1821">
        <w:t>may</w:t>
      </w:r>
      <w:r w:rsidR="00DD1821" w:rsidRPr="00576762">
        <w:t xml:space="preserve"> </w:t>
      </w:r>
      <w:r w:rsidRPr="00576762">
        <w:t>provide</w:t>
      </w:r>
      <w:r w:rsidRPr="00576762" w:rsidDel="00FE2D40">
        <w:t xml:space="preserve"> </w:t>
      </w:r>
      <w:r>
        <w:t>supervision</w:t>
      </w:r>
      <w:r w:rsidRPr="00576762">
        <w:t xml:space="preserve"> to non-clinical assessors</w:t>
      </w:r>
      <w:r w:rsidR="00E8059F">
        <w:t xml:space="preserve"> if a home support assessment </w:t>
      </w:r>
      <w:r w:rsidR="001A0F93">
        <w:t xml:space="preserve">is converted to recommend Support at Home and </w:t>
      </w:r>
      <w:r w:rsidR="005558BE">
        <w:t>no clinical questions have been triggered in the IAT</w:t>
      </w:r>
      <w:r>
        <w:t xml:space="preserve">. </w:t>
      </w:r>
      <w:r w:rsidR="005558BE">
        <w:t>E</w:t>
      </w:r>
      <w:r w:rsidR="00746CA3">
        <w:t>Ns must ensure that they continue to act within their scope of practice.</w:t>
      </w:r>
      <w:r w:rsidR="00615EB4" w:rsidDel="00615EB4">
        <w:t xml:space="preserve"> </w:t>
      </w:r>
    </w:p>
    <w:p w14:paraId="3F37591E" w14:textId="77777777" w:rsidR="007A743C" w:rsidRPr="005906C6" w:rsidRDefault="007A743C" w:rsidP="00A677C9">
      <w:pPr>
        <w:spacing w:before="240" w:after="240" w:line="240" w:lineRule="auto"/>
        <w:rPr>
          <w:lang w:eastAsia="ko-KR"/>
        </w:rPr>
      </w:pPr>
      <w:r w:rsidRPr="00877CCF">
        <w:t xml:space="preserve">In the expanded view of the </w:t>
      </w:r>
      <w:r w:rsidRPr="008218F9">
        <w:rPr>
          <w:i/>
        </w:rPr>
        <w:t>Goals and Recommendations</w:t>
      </w:r>
      <w:r w:rsidRPr="00877CCF">
        <w:t xml:space="preserve"> tab, the assessor will</w:t>
      </w:r>
      <w:r>
        <w:t xml:space="preserve"> </w:t>
      </w:r>
      <w:r w:rsidRPr="00877CCF">
        <w:t xml:space="preserve">have the option </w:t>
      </w:r>
      <w:r w:rsidRPr="19ECD6C9">
        <w:rPr>
          <w:lang w:eastAsia="ko-KR"/>
        </w:rPr>
        <w:t>to</w:t>
      </w:r>
      <w:r w:rsidRPr="00877CCF">
        <w:t xml:space="preserve"> convert to a comprehensive assessment if the current assessment</w:t>
      </w:r>
      <w:r>
        <w:t xml:space="preserve"> </w:t>
      </w:r>
      <w:r w:rsidRPr="00877CCF">
        <w:t xml:space="preserve">type is Home Support. An assessor will only be allowed to convert to comprehensive </w:t>
      </w:r>
      <w:r w:rsidRPr="19ECD6C9">
        <w:rPr>
          <w:lang w:eastAsia="ko-KR"/>
        </w:rPr>
        <w:t xml:space="preserve">assessment from a home support assessment. </w:t>
      </w:r>
    </w:p>
    <w:p w14:paraId="4962A9EA" w14:textId="7B3E2D0C" w:rsidR="007A743C" w:rsidRPr="005906C6" w:rsidRDefault="007A743C" w:rsidP="00A677C9">
      <w:pPr>
        <w:spacing w:before="240" w:after="240" w:line="240" w:lineRule="auto"/>
        <w:rPr>
          <w:lang w:eastAsia="ko-KR"/>
        </w:rPr>
      </w:pPr>
      <w:r w:rsidRPr="00003182">
        <w:rPr>
          <w:lang w:eastAsia="ko-KR"/>
        </w:rPr>
        <w:t>In assessments where services under the Support at Home program and/or residential care are recommended,</w:t>
      </w:r>
      <w:r w:rsidRPr="19ECD6C9">
        <w:rPr>
          <w:lang w:eastAsia="ko-KR"/>
        </w:rPr>
        <w:t xml:space="preserve"> but clinical questions are not triggered in the IAT during the assessment, </w:t>
      </w:r>
      <w:r w:rsidR="007532EA" w:rsidRPr="19ECD6C9">
        <w:rPr>
          <w:lang w:eastAsia="ko-KR"/>
        </w:rPr>
        <w:t>a</w:t>
      </w:r>
      <w:r w:rsidR="007532EA">
        <w:rPr>
          <w:lang w:eastAsia="ko-KR"/>
        </w:rPr>
        <w:t xml:space="preserve"> non-clinical</w:t>
      </w:r>
      <w:r w:rsidR="007532EA" w:rsidRPr="19ECD6C9">
        <w:rPr>
          <w:lang w:eastAsia="ko-KR"/>
        </w:rPr>
        <w:t xml:space="preserve"> </w:t>
      </w:r>
      <w:r w:rsidRPr="19ECD6C9">
        <w:rPr>
          <w:lang w:eastAsia="ko-KR"/>
        </w:rPr>
        <w:t xml:space="preserve">assessor will need to seek the supervision of a staff member who holds a clinical assessor role in the My Aged Care Assessor Portal. The supervising assessor will need to be nominated before the assessment </w:t>
      </w:r>
      <w:r w:rsidR="00E44BBC">
        <w:rPr>
          <w:lang w:eastAsia="ko-KR"/>
        </w:rPr>
        <w:t>can</w:t>
      </w:r>
      <w:r w:rsidR="00E44BBC" w:rsidRPr="19ECD6C9">
        <w:rPr>
          <w:lang w:eastAsia="ko-KR"/>
        </w:rPr>
        <w:t xml:space="preserve"> </w:t>
      </w:r>
      <w:r w:rsidRPr="19ECD6C9">
        <w:rPr>
          <w:lang w:eastAsia="ko-KR"/>
        </w:rPr>
        <w:t xml:space="preserve">be converted.  </w:t>
      </w:r>
    </w:p>
    <w:p w14:paraId="691D63ED" w14:textId="77777777" w:rsidR="007A743C" w:rsidRPr="005906C6" w:rsidRDefault="007A743C" w:rsidP="00A677C9">
      <w:pPr>
        <w:spacing w:before="240" w:after="240" w:line="240" w:lineRule="auto"/>
        <w:rPr>
          <w:lang w:eastAsia="ko-KR"/>
        </w:rPr>
      </w:pPr>
      <w:r w:rsidRPr="1B42B10E">
        <w:rPr>
          <w:lang w:eastAsia="ko-KR"/>
        </w:rPr>
        <w:t xml:space="preserve">If a clinical assessor has already provided clinical attendance during the assessment and nominated as the supervising assessor, the details saved when the IAT was finalised will display as read-only. </w:t>
      </w:r>
    </w:p>
    <w:p w14:paraId="278F66D9" w14:textId="3332D3CA" w:rsidR="007A743C" w:rsidRPr="005906C6" w:rsidRDefault="007A743C" w:rsidP="00A677C9">
      <w:pPr>
        <w:spacing w:before="240" w:after="240" w:line="240" w:lineRule="auto"/>
      </w:pPr>
      <w:r w:rsidRPr="1B42B10E">
        <w:rPr>
          <w:lang w:eastAsia="ko-KR"/>
        </w:rPr>
        <w:t>When the assessment is finalised, a</w:t>
      </w:r>
      <w:r>
        <w:rPr>
          <w:lang w:eastAsia="ko-KR"/>
        </w:rPr>
        <w:t xml:space="preserve"> </w:t>
      </w:r>
      <w:r w:rsidRPr="1B42B10E">
        <w:rPr>
          <w:lang w:eastAsia="ko-KR"/>
        </w:rPr>
        <w:t xml:space="preserve">system notification 'Notification of Supervised Assessment' will be sent out to the outlet associated with the nominated supervising assessor. This notification will be visible on the Assessor </w:t>
      </w:r>
      <w:r w:rsidR="00E118B1">
        <w:rPr>
          <w:lang w:eastAsia="ko-KR"/>
        </w:rPr>
        <w:t>P</w:t>
      </w:r>
      <w:r w:rsidRPr="1B42B10E">
        <w:rPr>
          <w:lang w:eastAsia="ko-KR"/>
        </w:rPr>
        <w:t xml:space="preserve">ortal as per existing notifications functionality. </w:t>
      </w:r>
    </w:p>
    <w:p w14:paraId="39DE6255" w14:textId="715C0939" w:rsidR="727343B2" w:rsidRDefault="007B6D6E" w:rsidP="0515703D">
      <w:pPr>
        <w:spacing w:before="240" w:after="240" w:line="240" w:lineRule="auto"/>
      </w:pPr>
      <w:r>
        <w:rPr>
          <w:lang w:eastAsia="ko-KR"/>
        </w:rPr>
        <w:t>The s</w:t>
      </w:r>
      <w:r w:rsidR="727343B2" w:rsidRPr="0515703D">
        <w:rPr>
          <w:lang w:eastAsia="ko-KR"/>
        </w:rPr>
        <w:t>upervision required to convert a home support assessment to a comprehensive assessment is not the same as the clinical attendance process outlined in Section 5.7. Rather, it is a conversation between assessors to ensure the support plan reflects the needs of the older person and the appropriate care recommendations are included for delegate approval. There is no requirement for the assessment to be undertaken again by the clinical assessor.</w:t>
      </w:r>
    </w:p>
    <w:p w14:paraId="43694DF3" w14:textId="77777777" w:rsidR="007A743C" w:rsidRPr="00766DBD" w:rsidRDefault="007A743C" w:rsidP="00507F9D">
      <w:pPr>
        <w:pStyle w:val="h2"/>
      </w:pPr>
      <w:bookmarkStart w:id="415" w:name="_Toc224888059"/>
      <w:bookmarkStart w:id="416" w:name="_Toc204329556"/>
      <w:bookmarkStart w:id="417" w:name="_Toc209188987"/>
      <w:bookmarkStart w:id="418" w:name="_Toc224916648"/>
      <w:bookmarkEnd w:id="415"/>
      <w:r w:rsidRPr="00766DBD">
        <w:t xml:space="preserve">Developing a </w:t>
      </w:r>
      <w:r>
        <w:t xml:space="preserve">high-quality </w:t>
      </w:r>
      <w:r w:rsidRPr="00766DBD">
        <w:t>support plan</w:t>
      </w:r>
      <w:bookmarkEnd w:id="410"/>
      <w:bookmarkEnd w:id="416"/>
      <w:bookmarkEnd w:id="417"/>
      <w:bookmarkEnd w:id="418"/>
      <w:r w:rsidRPr="00766DBD">
        <w:t xml:space="preserve"> </w:t>
      </w:r>
    </w:p>
    <w:p w14:paraId="39E0492E" w14:textId="77777777" w:rsidR="007A743C" w:rsidRPr="00CD7798" w:rsidRDefault="007A743C" w:rsidP="00A677C9">
      <w:pPr>
        <w:spacing w:before="240" w:after="240" w:line="240" w:lineRule="auto"/>
      </w:pPr>
      <w:r w:rsidRPr="00CD7798">
        <w:t xml:space="preserve">The Support Plan is a plain language summary of the </w:t>
      </w:r>
      <w:r>
        <w:t>older person</w:t>
      </w:r>
      <w:r w:rsidRPr="00CD7798">
        <w:t xml:space="preserve">’s </w:t>
      </w:r>
      <w:r>
        <w:t xml:space="preserve">situation, strengths, goals, </w:t>
      </w:r>
      <w:r w:rsidRPr="00CD7798">
        <w:t xml:space="preserve">aged care needs and recommendations, based on information obtained during the completion of the </w:t>
      </w:r>
      <w:r>
        <w:t>IAT</w:t>
      </w:r>
      <w:r w:rsidRPr="00CD7798">
        <w:t xml:space="preserve">. </w:t>
      </w:r>
    </w:p>
    <w:p w14:paraId="6C6444BF" w14:textId="77777777" w:rsidR="007A743C" w:rsidRPr="003E1933" w:rsidRDefault="007A743C" w:rsidP="00A677C9">
      <w:pPr>
        <w:spacing w:before="240" w:after="240" w:line="240" w:lineRule="auto"/>
      </w:pPr>
      <w:r w:rsidRPr="003E1933">
        <w:t>The Support Plan sections include:</w:t>
      </w:r>
    </w:p>
    <w:p w14:paraId="5DAE47D3" w14:textId="77777777" w:rsidR="007A743C" w:rsidRPr="008E68D3" w:rsidRDefault="007A743C" w:rsidP="00DF3F6B">
      <w:pPr>
        <w:pStyle w:val="ListParagraph"/>
        <w:numPr>
          <w:ilvl w:val="0"/>
          <w:numId w:val="91"/>
        </w:numPr>
        <w:spacing w:before="240" w:after="240" w:line="240" w:lineRule="auto"/>
      </w:pPr>
      <w:r w:rsidRPr="008E68D3">
        <w:t xml:space="preserve">Assessment summary </w:t>
      </w:r>
    </w:p>
    <w:p w14:paraId="02064DFC" w14:textId="77777777" w:rsidR="007A743C" w:rsidRDefault="007A743C" w:rsidP="00DF3F6B">
      <w:pPr>
        <w:pStyle w:val="ListParagraph"/>
        <w:numPr>
          <w:ilvl w:val="0"/>
          <w:numId w:val="91"/>
        </w:numPr>
        <w:spacing w:before="240" w:after="240" w:line="240" w:lineRule="auto"/>
      </w:pPr>
      <w:r w:rsidRPr="008E68D3">
        <w:t>Concerns and goals</w:t>
      </w:r>
    </w:p>
    <w:p w14:paraId="46EA7857" w14:textId="77777777" w:rsidR="007A743C" w:rsidRPr="008E68D3" w:rsidRDefault="007A743C" w:rsidP="00DF3F6B">
      <w:pPr>
        <w:pStyle w:val="ListParagraph"/>
        <w:numPr>
          <w:ilvl w:val="0"/>
          <w:numId w:val="91"/>
        </w:numPr>
        <w:spacing w:before="240" w:after="240" w:line="240" w:lineRule="auto"/>
      </w:pPr>
      <w:r w:rsidRPr="003E1933">
        <w:t>Service recommendations</w:t>
      </w:r>
    </w:p>
    <w:p w14:paraId="1B9CF074" w14:textId="0C063BEF" w:rsidR="007A743C" w:rsidRPr="00282961" w:rsidRDefault="007A743C" w:rsidP="00282961">
      <w:pPr>
        <w:tabs>
          <w:tab w:val="left" w:pos="1134"/>
        </w:tabs>
        <w:spacing w:before="240" w:after="240" w:line="240" w:lineRule="auto"/>
      </w:pPr>
      <w:r>
        <w:t xml:space="preserve">The role of an assessor, when developing the Support Plan with an older person, is to consider IAT findings and the older person’s needs holistically to recommend support most appropriate to their needs and circumstances. </w:t>
      </w:r>
    </w:p>
    <w:p w14:paraId="7DD413C0" w14:textId="77777777" w:rsidR="00ED737B" w:rsidRPr="00556131" w:rsidRDefault="00ED737B" w:rsidP="00C325C6">
      <w:pPr>
        <w:pStyle w:val="Sub-headings"/>
      </w:pPr>
      <w:r w:rsidRPr="00904192">
        <w:t>Note</w:t>
      </w:r>
      <w:r>
        <w:t>:</w:t>
      </w:r>
    </w:p>
    <w:p w14:paraId="4C06968C" w14:textId="63C5FABB" w:rsidR="00ED737B" w:rsidRDefault="007D7BC4" w:rsidP="00C325C6">
      <w:pPr>
        <w:pStyle w:val="Sub-headings"/>
      </w:pPr>
      <w:r>
        <w:t>T</w:t>
      </w:r>
      <w:r w:rsidR="00ED737B" w:rsidRPr="00CE0840">
        <w:t>he Support Plan functionality in the system accommodate</w:t>
      </w:r>
      <w:r>
        <w:t>s</w:t>
      </w:r>
      <w:r w:rsidR="00ED737B" w:rsidRPr="00CE0840">
        <w:t xml:space="preserve"> the Support at Home classes and associated service recommendations and AT-HM scheme. </w:t>
      </w:r>
    </w:p>
    <w:p w14:paraId="33CA64FB" w14:textId="18F0FFDF" w:rsidR="00ED737B" w:rsidRDefault="00ED737B" w:rsidP="00C325C6">
      <w:pPr>
        <w:pStyle w:val="Sub-headings"/>
      </w:pPr>
      <w:r w:rsidRPr="00CE0840">
        <w:t xml:space="preserve">Once finalised, the Support Plan is sent to the older person, and their registered supporter/s and/or appointed decision maker/s as applicable (via post and/or email), as a record of the assessment, accompanied by a </w:t>
      </w:r>
      <w:r w:rsidR="005E6EF3" w:rsidRPr="00CE0840">
        <w:t>Notice of Decision</w:t>
      </w:r>
      <w:r w:rsidR="005E6EF3">
        <w:t xml:space="preserve"> letter</w:t>
      </w:r>
      <w:r w:rsidRPr="00CE0840">
        <w:t xml:space="preserve">. Registered providers also use the support plan to inform the individual's care </w:t>
      </w:r>
      <w:r w:rsidR="005E6EF3" w:rsidRPr="00CE0840">
        <w:t>plan;</w:t>
      </w:r>
      <w:r w:rsidRPr="00CE0840">
        <w:t xml:space="preserve"> </w:t>
      </w:r>
      <w:r w:rsidR="005E6EF3" w:rsidRPr="00CE0840">
        <w:t>therefore,</w:t>
      </w:r>
      <w:r w:rsidRPr="00CE0840">
        <w:t xml:space="preserve"> accuracy and clarity is essential. </w:t>
      </w:r>
    </w:p>
    <w:p w14:paraId="177F74AC" w14:textId="7800D2EF" w:rsidR="00ED737B" w:rsidRDefault="00ED737B" w:rsidP="00C325C6">
      <w:pPr>
        <w:pStyle w:val="Sub-headings"/>
      </w:pPr>
      <w:r w:rsidRPr="00CE0840">
        <w:t xml:space="preserve">Referral codes </w:t>
      </w:r>
      <w:r w:rsidR="2AFC19B0">
        <w:t>are</w:t>
      </w:r>
      <w:r w:rsidRPr="00CE0840">
        <w:t xml:space="preserve"> included in the Support Plan for the majority of services approved however there are several nuances about where they will appear depending on the program or pathway. For further detail on how referral codes will be communicated to clients and providers, see Chapter </w:t>
      </w:r>
      <w:r w:rsidR="00845716">
        <w:fldChar w:fldCharType="begin"/>
      </w:r>
      <w:r w:rsidR="00845716">
        <w:instrText xml:space="preserve"> REF _Ref212735789 \w \h </w:instrText>
      </w:r>
      <w:r w:rsidR="00845716">
        <w:fldChar w:fldCharType="separate"/>
      </w:r>
      <w:r w:rsidR="00F97942">
        <w:t>7</w:t>
      </w:r>
      <w:r w:rsidR="00845716">
        <w:fldChar w:fldCharType="end"/>
      </w:r>
      <w:r w:rsidRPr="00CE0840">
        <w:t xml:space="preserve"> ‘Post Assessment Referral and Services Access’</w:t>
      </w:r>
    </w:p>
    <w:p w14:paraId="240DB6A2" w14:textId="38ED4BFB" w:rsidR="00BA26AD" w:rsidRPr="00282961" w:rsidRDefault="00BA26AD" w:rsidP="00BA26AD">
      <w:r>
        <w:br w:type="page"/>
      </w:r>
    </w:p>
    <w:p w14:paraId="4971D888" w14:textId="0BA63C82" w:rsidR="007A743C" w:rsidRDefault="003B269E" w:rsidP="00C56CEC">
      <w:pPr>
        <w:pStyle w:val="H3"/>
      </w:pPr>
      <w:bookmarkStart w:id="419" w:name="_Toc204329557"/>
      <w:bookmarkStart w:id="420" w:name="_Ref212736148"/>
      <w:r w:rsidRPr="005E4E0E">
        <w:rPr>
          <w:noProof/>
        </w:rPr>
        <w:drawing>
          <wp:anchor distT="0" distB="0" distL="114300" distR="114300" simplePos="0" relativeHeight="251658301" behindDoc="0" locked="0" layoutInCell="1" allowOverlap="1" wp14:anchorId="6BCBBF54" wp14:editId="666EF54E">
            <wp:simplePos x="0" y="0"/>
            <wp:positionH relativeFrom="margin">
              <wp:align>left</wp:align>
            </wp:positionH>
            <wp:positionV relativeFrom="paragraph">
              <wp:posOffset>9444</wp:posOffset>
            </wp:positionV>
            <wp:extent cx="457200" cy="502920"/>
            <wp:effectExtent l="0" t="0" r="0" b="0"/>
            <wp:wrapSquare wrapText="bothSides"/>
            <wp:docPr id="1947480374" name="Picture 194748037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t xml:space="preserve">Assessment </w:t>
      </w:r>
      <w:r w:rsidR="00991560">
        <w:t>s</w:t>
      </w:r>
      <w:r w:rsidR="007A743C">
        <w:t>ummary</w:t>
      </w:r>
      <w:bookmarkEnd w:id="419"/>
      <w:bookmarkEnd w:id="420"/>
      <w:r w:rsidR="007A743C">
        <w:t xml:space="preserve"> </w:t>
      </w:r>
    </w:p>
    <w:p w14:paraId="2F8CAB61" w14:textId="586F8B40" w:rsidR="007A743C" w:rsidRPr="00732066" w:rsidRDefault="007A743C" w:rsidP="00A677C9">
      <w:pPr>
        <w:spacing w:before="240" w:after="240" w:line="240" w:lineRule="auto"/>
        <w:rPr>
          <w:lang w:eastAsia="ko-KR"/>
        </w:rPr>
      </w:pPr>
      <w:r w:rsidRPr="00732066">
        <w:rPr>
          <w:lang w:eastAsia="ko-KR"/>
        </w:rPr>
        <w:t xml:space="preserve">The assessment summary section of the Support Plan is a succinct overview of the </w:t>
      </w:r>
      <w:r w:rsidRPr="017FF414">
        <w:rPr>
          <w:lang w:eastAsia="ko-KR"/>
        </w:rPr>
        <w:t>assessment</w:t>
      </w:r>
      <w:r w:rsidRPr="00732066">
        <w:rPr>
          <w:lang w:eastAsia="ko-KR"/>
        </w:rPr>
        <w:t xml:space="preserve"> that appears on the </w:t>
      </w:r>
      <w:r>
        <w:rPr>
          <w:lang w:eastAsia="ko-KR"/>
        </w:rPr>
        <w:t xml:space="preserve">Support Plan for the older person. </w:t>
      </w:r>
    </w:p>
    <w:p w14:paraId="42977723" w14:textId="22FA0F31" w:rsidR="007A743C" w:rsidRPr="00732066" w:rsidRDefault="007A743C" w:rsidP="00A677C9">
      <w:pPr>
        <w:spacing w:before="240" w:after="240" w:line="240" w:lineRule="auto"/>
        <w:rPr>
          <w:lang w:val="en"/>
        </w:rPr>
      </w:pPr>
      <w:r w:rsidRPr="00732066">
        <w:rPr>
          <w:lang w:eastAsia="ko-KR"/>
        </w:rPr>
        <w:t>When completing the assessment summary,</w:t>
      </w:r>
      <w:r>
        <w:rPr>
          <w:lang w:eastAsia="ko-KR"/>
        </w:rPr>
        <w:t xml:space="preserve"> the My Aged Care system allows the assessor</w:t>
      </w:r>
      <w:r w:rsidRPr="00732066">
        <w:rPr>
          <w:lang w:eastAsia="ko-KR"/>
        </w:rPr>
        <w:t xml:space="preserve"> to pre-populate a </w:t>
      </w:r>
      <w:r w:rsidRPr="00732066">
        <w:rPr>
          <w:lang w:val="en"/>
        </w:rPr>
        <w:t xml:space="preserve">summary of the </w:t>
      </w:r>
      <w:r>
        <w:rPr>
          <w:lang w:val="en"/>
        </w:rPr>
        <w:t>older person</w:t>
      </w:r>
      <w:r w:rsidRPr="00732066">
        <w:rPr>
          <w:lang w:val="en"/>
        </w:rPr>
        <w:t xml:space="preserve">’s functional ability, support considerations and complexity indicators </w:t>
      </w:r>
      <w:r>
        <w:rPr>
          <w:lang w:val="en"/>
        </w:rPr>
        <w:t xml:space="preserve">that were </w:t>
      </w:r>
      <w:r w:rsidRPr="00732066">
        <w:rPr>
          <w:lang w:val="en"/>
        </w:rPr>
        <w:t>identified during the assessment</w:t>
      </w:r>
      <w:r w:rsidR="238F8D75" w:rsidRPr="3FD93375">
        <w:rPr>
          <w:lang w:val="en"/>
        </w:rPr>
        <w:t xml:space="preserve"> and recorded in the IAT</w:t>
      </w:r>
      <w:r w:rsidR="0EFC4FF1" w:rsidRPr="3FD93375">
        <w:rPr>
          <w:lang w:val="en"/>
        </w:rPr>
        <w:t>.</w:t>
      </w:r>
      <w:r w:rsidRPr="00732066">
        <w:rPr>
          <w:lang w:val="en"/>
        </w:rPr>
        <w:t xml:space="preserve"> The pre-populated information will be displayed in the ISBAR format, which is the </w:t>
      </w:r>
      <w:r>
        <w:rPr>
          <w:lang w:val="en"/>
        </w:rPr>
        <w:t>required</w:t>
      </w:r>
      <w:r w:rsidRPr="00732066">
        <w:rPr>
          <w:lang w:val="en"/>
        </w:rPr>
        <w:t xml:space="preserve"> template for recording information in the assessment summary. </w:t>
      </w:r>
    </w:p>
    <w:p w14:paraId="47C25DD2" w14:textId="77777777" w:rsidR="007A743C" w:rsidRPr="00732066" w:rsidRDefault="007A743C" w:rsidP="00A677C9">
      <w:pPr>
        <w:spacing w:before="240" w:after="240" w:line="240" w:lineRule="auto"/>
        <w:rPr>
          <w:lang w:eastAsia="ko-KR"/>
        </w:rPr>
      </w:pPr>
      <w:r w:rsidRPr="227AC65F">
        <w:rPr>
          <w:lang w:eastAsia="ko-KR"/>
        </w:rPr>
        <w:t xml:space="preserve">Assessors must </w:t>
      </w:r>
      <w:r w:rsidRPr="1B42B10E">
        <w:rPr>
          <w:lang w:eastAsia="ko-KR"/>
        </w:rPr>
        <w:t>use</w:t>
      </w:r>
      <w:r w:rsidRPr="00732066">
        <w:rPr>
          <w:lang w:eastAsia="ko-KR"/>
        </w:rPr>
        <w:t xml:space="preserve"> a standard template </w:t>
      </w:r>
      <w:r w:rsidRPr="003E1933">
        <w:rPr>
          <w:lang w:eastAsia="ko-KR"/>
        </w:rPr>
        <w:t>(</w:t>
      </w:r>
      <w:r>
        <w:rPr>
          <w:lang w:eastAsia="ko-KR"/>
        </w:rPr>
        <w:t xml:space="preserve">see </w:t>
      </w:r>
      <w:r w:rsidRPr="003E1933">
        <w:rPr>
          <w:lang w:eastAsia="ko-KR"/>
        </w:rPr>
        <w:t>ISBAR approach below)</w:t>
      </w:r>
      <w:r w:rsidRPr="00732066">
        <w:rPr>
          <w:lang w:eastAsia="ko-KR"/>
        </w:rPr>
        <w:t xml:space="preserve"> to complete the assessment summary to ensure information is recorded in a consistent manner across </w:t>
      </w:r>
      <w:r>
        <w:rPr>
          <w:lang w:eastAsia="ko-KR"/>
        </w:rPr>
        <w:t>assessment types</w:t>
      </w:r>
      <w:r w:rsidRPr="00732066">
        <w:rPr>
          <w:lang w:eastAsia="ko-KR"/>
        </w:rPr>
        <w:t>. It is simple to adopt and helps make information easier to read while better supporting the delegation process</w:t>
      </w:r>
      <w:r>
        <w:rPr>
          <w:lang w:eastAsia="ko-KR"/>
        </w:rPr>
        <w:t xml:space="preserve"> and assisting the service provider to</w:t>
      </w:r>
      <w:r w:rsidRPr="00732066">
        <w:rPr>
          <w:lang w:eastAsia="ko-KR"/>
        </w:rPr>
        <w:t xml:space="preserve"> develop </w:t>
      </w:r>
      <w:r>
        <w:rPr>
          <w:lang w:eastAsia="ko-KR"/>
        </w:rPr>
        <w:t xml:space="preserve">the </w:t>
      </w:r>
      <w:r w:rsidRPr="00732066">
        <w:rPr>
          <w:lang w:eastAsia="ko-KR"/>
        </w:rPr>
        <w:t>care plan.</w:t>
      </w:r>
      <w:r>
        <w:rPr>
          <w:lang w:eastAsia="ko-KR"/>
        </w:rPr>
        <w:t xml:space="preserve"> </w:t>
      </w:r>
    </w:p>
    <w:p w14:paraId="06960E8B" w14:textId="77777777" w:rsidR="007A743C" w:rsidRDefault="007A743C" w:rsidP="00A677C9">
      <w:pPr>
        <w:spacing w:before="240" w:after="240" w:line="240" w:lineRule="auto"/>
        <w:rPr>
          <w:lang w:eastAsia="ko-KR"/>
        </w:rPr>
      </w:pPr>
      <w:r w:rsidRPr="00732066">
        <w:rPr>
          <w:lang w:eastAsia="ko-KR"/>
        </w:rPr>
        <w:t xml:space="preserve">The assessment summary </w:t>
      </w:r>
      <w:r>
        <w:rPr>
          <w:lang w:eastAsia="ko-KR"/>
        </w:rPr>
        <w:t>must</w:t>
      </w:r>
      <w:r w:rsidRPr="00732066">
        <w:rPr>
          <w:lang w:eastAsia="ko-KR"/>
        </w:rPr>
        <w:t xml:space="preserve">: </w:t>
      </w:r>
    </w:p>
    <w:p w14:paraId="45B8A863" w14:textId="77777777" w:rsidR="007A743C" w:rsidRDefault="007A743C" w:rsidP="00DF3F6B">
      <w:pPr>
        <w:pStyle w:val="ListParagraph"/>
        <w:numPr>
          <w:ilvl w:val="0"/>
          <w:numId w:val="98"/>
        </w:numPr>
        <w:spacing w:before="240" w:after="240" w:line="240" w:lineRule="auto"/>
        <w:rPr>
          <w:lang w:eastAsia="ko-KR"/>
        </w:rPr>
      </w:pPr>
      <w:r>
        <w:t>Be w</w:t>
      </w:r>
      <w:r w:rsidRPr="00732066">
        <w:t xml:space="preserve">ritten </w:t>
      </w:r>
      <w:r w:rsidRPr="1B42B10E">
        <w:rPr>
          <w:lang w:eastAsia="ko-KR"/>
        </w:rPr>
        <w:t>in</w:t>
      </w:r>
      <w:r w:rsidRPr="00732066">
        <w:t xml:space="preserve"> a succinct manner (using the ISBAR approach), focusing on relevant/essential information.</w:t>
      </w:r>
    </w:p>
    <w:p w14:paraId="5820B927" w14:textId="77777777" w:rsidR="007A743C" w:rsidRDefault="007A743C" w:rsidP="00DF3F6B">
      <w:pPr>
        <w:pStyle w:val="ListParagraph"/>
        <w:numPr>
          <w:ilvl w:val="0"/>
          <w:numId w:val="98"/>
        </w:numPr>
        <w:spacing w:before="240" w:after="240" w:line="240" w:lineRule="auto"/>
        <w:rPr>
          <w:lang w:eastAsia="ko-KR"/>
        </w:rPr>
      </w:pPr>
      <w:r>
        <w:t>Be p</w:t>
      </w:r>
      <w:r w:rsidRPr="00732066">
        <w:t>resented in a structured way that makes the information easy to interpret.</w:t>
      </w:r>
    </w:p>
    <w:p w14:paraId="7A6BE92D" w14:textId="7D719C49" w:rsidR="007A743C" w:rsidRDefault="054BE6A0" w:rsidP="00DF3F6B">
      <w:pPr>
        <w:pStyle w:val="ListParagraph"/>
        <w:numPr>
          <w:ilvl w:val="0"/>
          <w:numId w:val="98"/>
        </w:numPr>
        <w:spacing w:before="240" w:after="240" w:line="240" w:lineRule="auto"/>
        <w:rPr>
          <w:lang w:eastAsia="ko-KR"/>
        </w:rPr>
      </w:pPr>
      <w:r>
        <w:t xml:space="preserve">Be understandable to anyone without prior knowledge. Limit spelling and grammatical errors and avoid acronyms, abbreviations, jargon, and unnecessary headings. </w:t>
      </w:r>
      <w:r w:rsidR="007A743C" w:rsidRPr="00732066">
        <w:t xml:space="preserve"> </w:t>
      </w:r>
    </w:p>
    <w:p w14:paraId="18DD65A7" w14:textId="77777777" w:rsidR="007A743C" w:rsidRDefault="007A743C" w:rsidP="00DF3F6B">
      <w:pPr>
        <w:pStyle w:val="ListParagraph"/>
        <w:numPr>
          <w:ilvl w:val="0"/>
          <w:numId w:val="98"/>
        </w:numPr>
        <w:spacing w:before="240" w:after="240" w:line="240" w:lineRule="auto"/>
        <w:rPr>
          <w:lang w:eastAsia="ko-KR"/>
        </w:rPr>
      </w:pPr>
      <w:r w:rsidRPr="009601BA">
        <w:rPr>
          <w:lang w:eastAsia="ko-KR"/>
        </w:rPr>
        <w:t xml:space="preserve">Provide a holistic </w:t>
      </w:r>
      <w:r w:rsidRPr="227AC65F">
        <w:rPr>
          <w:lang w:eastAsia="ko-KR"/>
        </w:rPr>
        <w:t xml:space="preserve">and complete </w:t>
      </w:r>
      <w:r w:rsidRPr="009601BA">
        <w:rPr>
          <w:lang w:eastAsia="ko-KR"/>
        </w:rPr>
        <w:t>summary of the older person’s assessment at that time.</w:t>
      </w:r>
    </w:p>
    <w:p w14:paraId="0091665A" w14:textId="77777777" w:rsidR="007A743C" w:rsidRPr="00732066" w:rsidRDefault="007A743C" w:rsidP="00DF3F6B">
      <w:pPr>
        <w:pStyle w:val="ListParagraph"/>
        <w:numPr>
          <w:ilvl w:val="0"/>
          <w:numId w:val="98"/>
        </w:numPr>
        <w:spacing w:before="240" w:after="240" w:line="240" w:lineRule="auto"/>
      </w:pPr>
      <w:r>
        <w:t>Be r</w:t>
      </w:r>
      <w:r w:rsidRPr="00732066">
        <w:t xml:space="preserve">elevant. Only include information that is relevant to the </w:t>
      </w:r>
      <w:r>
        <w:t>older person</w:t>
      </w:r>
      <w:r w:rsidRPr="00732066">
        <w:t>’s current situation. This may mean updating previous information.</w:t>
      </w:r>
    </w:p>
    <w:p w14:paraId="65104463" w14:textId="77777777" w:rsidR="007A743C" w:rsidRPr="00597A44" w:rsidRDefault="007A743C" w:rsidP="00A677C9">
      <w:pPr>
        <w:spacing w:before="240" w:after="240" w:line="240" w:lineRule="auto"/>
        <w:rPr>
          <w:b/>
          <w:lang w:eastAsia="ko-KR"/>
        </w:rPr>
      </w:pPr>
      <w:r w:rsidRPr="00597A44">
        <w:t xml:space="preserve">Assessors must also: </w:t>
      </w:r>
    </w:p>
    <w:p w14:paraId="42BF266C" w14:textId="3C81F3D0" w:rsidR="0EFC4FF1" w:rsidRDefault="007A743C" w:rsidP="3FD93375">
      <w:pPr>
        <w:pStyle w:val="ListParagraph"/>
        <w:numPr>
          <w:ilvl w:val="0"/>
          <w:numId w:val="117"/>
        </w:numPr>
        <w:spacing w:before="240" w:after="240" w:line="240" w:lineRule="auto"/>
        <w:rPr>
          <w:b/>
          <w:bCs/>
        </w:rPr>
      </w:pPr>
      <w:r w:rsidRPr="00597A44">
        <w:t xml:space="preserve">Use the ‘pre-populate’ function in the Assessor Portal to enable the ISBAR template to tailor the pre-populated assessment information in consultation with the older person.  Ensure the Assessment summary is not limited to pre-populated information but includes a holistic, comprehensive view of the older person as per information collected from the assessment. </w:t>
      </w:r>
    </w:p>
    <w:p w14:paraId="42E34698" w14:textId="717E1021" w:rsidR="007A743C" w:rsidRDefault="41507263" w:rsidP="00DF3F6B">
      <w:pPr>
        <w:pStyle w:val="ListParagraph"/>
        <w:numPr>
          <w:ilvl w:val="0"/>
          <w:numId w:val="117"/>
        </w:numPr>
        <w:spacing w:before="240" w:after="240" w:line="240" w:lineRule="auto"/>
      </w:pPr>
      <w:r>
        <w:t>Avoid simple dot point form. Information should be re-written in a sentence format that is succinct, objective, supports the client’s needs, readable to the older person and justifies funding for My Aged Care services. See template in the Table 23 below.</w:t>
      </w:r>
    </w:p>
    <w:p w14:paraId="2D2439D0" w14:textId="77777777" w:rsidR="007A743C" w:rsidRPr="000E7091" w:rsidRDefault="007A743C" w:rsidP="00DF3F6B">
      <w:pPr>
        <w:pStyle w:val="ListParagraph"/>
        <w:numPr>
          <w:ilvl w:val="0"/>
          <w:numId w:val="116"/>
        </w:numPr>
        <w:spacing w:before="240" w:after="240" w:line="240" w:lineRule="auto"/>
      </w:pPr>
      <w:r w:rsidRPr="00597A44">
        <w:t>Review and edit information populated from the assessment – such as functional needs, health conditions, support considerations, and complexity indicators. For a SPR or reassessment, the assessor (in updating previous information) may need to remove content that is no longer current to remain within the 5000 character system limit. All past versions of the Support Plan are retained as a record of any deleted content. Each Support Plan</w:t>
      </w:r>
      <w:r>
        <w:t xml:space="preserve"> must reflect the older person's current needs and circumstances. Historical content needs to be clearly identified or removed to ensure clarity of current needs.</w:t>
      </w:r>
    </w:p>
    <w:p w14:paraId="3AB973FF" w14:textId="77777777" w:rsidR="007A743C" w:rsidRPr="00597A44" w:rsidRDefault="007A743C" w:rsidP="00DF3F6B">
      <w:pPr>
        <w:pStyle w:val="ListParagraph"/>
        <w:numPr>
          <w:ilvl w:val="0"/>
          <w:numId w:val="116"/>
        </w:numPr>
        <w:spacing w:before="240" w:after="240" w:line="240" w:lineRule="auto"/>
        <w:rPr>
          <w:b/>
        </w:rPr>
      </w:pPr>
      <w:r w:rsidRPr="00597A44">
        <w:t>If clinical attendance occurred during the assessment process, the assessor must make a note of this in the Support Plan.</w:t>
      </w:r>
    </w:p>
    <w:p w14:paraId="3F96333E" w14:textId="426FDBFB" w:rsidR="00235241" w:rsidRPr="00597A44" w:rsidRDefault="00235241" w:rsidP="00DF3F6B">
      <w:pPr>
        <w:pStyle w:val="ListParagraph"/>
        <w:numPr>
          <w:ilvl w:val="0"/>
          <w:numId w:val="116"/>
        </w:numPr>
        <w:spacing w:before="240" w:after="240" w:line="240" w:lineRule="auto"/>
        <w:rPr>
          <w:b/>
        </w:rPr>
      </w:pPr>
      <w:r>
        <w:t>Enrolled Nurses (EN) who complete a comprehensive assessment must include a statement in the support plan that the assessment has been conducted under direct or indirect RN supervision within the same organisation</w:t>
      </w:r>
    </w:p>
    <w:p w14:paraId="0CD1208B" w14:textId="4BB7B67E" w:rsidR="00C43993" w:rsidRPr="0047007F" w:rsidRDefault="00C43993" w:rsidP="0047007F">
      <w:pPr>
        <w:pStyle w:val="Boxwithcolouredkeyline"/>
        <w:shd w:val="clear" w:color="auto" w:fill="F2F2F2" w:themeFill="background1" w:themeFillShade="F2"/>
        <w:rPr>
          <w:rFonts w:eastAsia="Arial"/>
          <w:b/>
          <w:bCs/>
          <w:szCs w:val="22"/>
        </w:rPr>
      </w:pPr>
      <w:r w:rsidRPr="0047007F">
        <w:rPr>
          <w:rFonts w:eastAsia="Arial"/>
          <w:b/>
          <w:bCs/>
          <w:szCs w:val="22"/>
        </w:rPr>
        <w:t>Note</w:t>
      </w:r>
    </w:p>
    <w:p w14:paraId="3F5BF1A7" w14:textId="40475D3F" w:rsidR="00C43993" w:rsidRDefault="00C43993" w:rsidP="0047007F">
      <w:pPr>
        <w:pStyle w:val="Boxwithcolouredkeyline"/>
        <w:shd w:val="clear" w:color="auto" w:fill="F2F2F2" w:themeFill="background1" w:themeFillShade="F2"/>
      </w:pPr>
      <w:r>
        <w:rPr>
          <w:rFonts w:eastAsia="Arial"/>
          <w:szCs w:val="22"/>
        </w:rPr>
        <w:t>L</w:t>
      </w:r>
      <w:r w:rsidRPr="3FD93375">
        <w:rPr>
          <w:rFonts w:eastAsia="Arial"/>
          <w:szCs w:val="22"/>
        </w:rPr>
        <w:t>earner assessors must be supervised by an experienced certified assessor through their learning pathway. The Support Plans developed by learners must include a statement that the assessment was conducted under supervision and include the supervisor name.</w:t>
      </w:r>
    </w:p>
    <w:p w14:paraId="77A3DED1" w14:textId="77777777" w:rsidR="007A743C" w:rsidRDefault="007A743C" w:rsidP="00A677C9">
      <w:pPr>
        <w:spacing w:before="240" w:after="240" w:line="240" w:lineRule="auto"/>
        <w:rPr>
          <w:b/>
          <w:bCs/>
        </w:rPr>
      </w:pPr>
      <w:r w:rsidRPr="00597A44">
        <w:t xml:space="preserve">All support plans within the assessment summary must be written using the ISBAR approach. </w:t>
      </w:r>
      <w:r w:rsidRPr="00D02B33">
        <w:t>It is expected assessors use the ISBAR format as a guide on how information is structured in the assessment summary with clear headings and subheadings where required. This</w:t>
      </w:r>
      <w:r w:rsidRPr="00D02B33" w:rsidDel="62107929">
        <w:t xml:space="preserve"> </w:t>
      </w:r>
      <w:r w:rsidRPr="00D02B33">
        <w:t xml:space="preserve">ensures readability for not only the older person, but </w:t>
      </w:r>
      <w:r>
        <w:t xml:space="preserve">for </w:t>
      </w:r>
      <w:r w:rsidRPr="00D02B33">
        <w:t>their carers, service providers or future assessors</w:t>
      </w:r>
      <w:r>
        <w:t xml:space="preserve">, </w:t>
      </w:r>
      <w:r w:rsidRPr="00D02B33">
        <w:t>provid</w:t>
      </w:r>
      <w:r>
        <w:t>ing</w:t>
      </w:r>
      <w:r w:rsidRPr="00D02B33">
        <w:t xml:space="preserve"> a holistic view of the assessment and older person</w:t>
      </w:r>
      <w:r>
        <w:t>.</w:t>
      </w:r>
      <w:r w:rsidRPr="00597A44">
        <w:rPr>
          <w:b/>
          <w:bCs/>
        </w:rPr>
        <w:t xml:space="preserve"> </w:t>
      </w:r>
    </w:p>
    <w:p w14:paraId="7D9802FF" w14:textId="190343CA" w:rsidR="00F56FDA" w:rsidRPr="00807A0A" w:rsidRDefault="00F56FDA" w:rsidP="00C325C6">
      <w:pPr>
        <w:pStyle w:val="Sub-headings"/>
      </w:pPr>
      <w:r w:rsidRPr="00807A0A">
        <w:t>Note to Aboriginal and Torres Strait Islander Assessment organisations:</w:t>
      </w:r>
    </w:p>
    <w:p w14:paraId="04554D45" w14:textId="7F88C7C2" w:rsidR="00B83A7C" w:rsidRPr="00B6790C" w:rsidRDefault="00B83A7C" w:rsidP="00C325C6">
      <w:pPr>
        <w:pStyle w:val="Sub-headings"/>
      </w:pPr>
      <w:r w:rsidRPr="00B6790C">
        <w:t>Assessors should be mindful that the Support Plan should be written in a way that can be understood by the older person and their support network. If needed, the assessor may follow up with the older person to explain the Support Plan to the older Aboriginal and/or Torres Strait Islander person.</w:t>
      </w:r>
    </w:p>
    <w:p w14:paraId="417C74DB" w14:textId="3B935D99" w:rsidR="007A743C" w:rsidRPr="00004D36" w:rsidRDefault="007A743C" w:rsidP="00A677C9">
      <w:pPr>
        <w:pStyle w:val="Caption"/>
        <w:spacing w:before="240" w:after="240"/>
      </w:pPr>
      <w:r w:rsidRPr="003E1933">
        <w:t>Table</w:t>
      </w:r>
      <w:r>
        <w:t xml:space="preserve"> 2</w:t>
      </w:r>
      <w:r w:rsidR="00437A70">
        <w:t>3</w:t>
      </w:r>
      <w:r w:rsidRPr="003E1933">
        <w:t>. Assessment summary template using the ISBAR approach</w:t>
      </w:r>
    </w:p>
    <w:tbl>
      <w:tblPr>
        <w:tblStyle w:val="TableGrid"/>
        <w:tblW w:w="9350" w:type="dxa"/>
        <w:tblInd w:w="-5" w:type="dxa"/>
        <w:tblBorders>
          <w:bottom w:val="single" w:sz="4" w:space="0" w:color="auto"/>
          <w:insideH w:val="single" w:sz="4" w:space="0" w:color="auto"/>
        </w:tblBorders>
        <w:tblLayout w:type="fixed"/>
        <w:tblLook w:val="04A0" w:firstRow="1" w:lastRow="0" w:firstColumn="1" w:lastColumn="0" w:noHBand="0" w:noVBand="1"/>
        <w:tblCaption w:val="Assessment summary Template using ISBAR approach"/>
      </w:tblPr>
      <w:tblGrid>
        <w:gridCol w:w="2552"/>
        <w:gridCol w:w="6798"/>
      </w:tblGrid>
      <w:tr w:rsidR="00A562C4" w:rsidRPr="0038599B" w14:paraId="4239C24C" w14:textId="77777777" w:rsidTr="3FD93375">
        <w:trPr>
          <w:trHeight w:val="454"/>
          <w:tblHeader/>
        </w:trPr>
        <w:tc>
          <w:tcPr>
            <w:tcW w:w="2552" w:type="dxa"/>
            <w:shd w:val="clear" w:color="auto" w:fill="002060"/>
          </w:tcPr>
          <w:p w14:paraId="5E9BC176" w14:textId="77777777" w:rsidR="007A743C" w:rsidRPr="0038599B" w:rsidRDefault="007A743C" w:rsidP="00A677C9">
            <w:pPr>
              <w:pStyle w:val="Sub-headingnon-contentpage"/>
              <w:spacing w:before="240" w:after="240"/>
              <w:rPr>
                <w:b/>
              </w:rPr>
            </w:pPr>
            <w:bookmarkStart w:id="421" w:name="_Hlk128230935"/>
            <w:r w:rsidRPr="0038599B">
              <w:rPr>
                <w:b/>
              </w:rPr>
              <w:t>ISBAR topic</w:t>
            </w:r>
          </w:p>
        </w:tc>
        <w:tc>
          <w:tcPr>
            <w:tcW w:w="6798" w:type="dxa"/>
            <w:shd w:val="clear" w:color="auto" w:fill="002060"/>
          </w:tcPr>
          <w:p w14:paraId="1859A5C9" w14:textId="77777777" w:rsidR="007A743C" w:rsidRPr="0038599B" w:rsidRDefault="007A743C" w:rsidP="00A677C9">
            <w:pPr>
              <w:pStyle w:val="Sub-headingnon-contentpage"/>
              <w:spacing w:before="240" w:after="240"/>
              <w:rPr>
                <w:b/>
              </w:rPr>
            </w:pPr>
            <w:r w:rsidRPr="0038599B">
              <w:rPr>
                <w:b/>
              </w:rPr>
              <w:t>Assessment information</w:t>
            </w:r>
          </w:p>
        </w:tc>
      </w:tr>
      <w:tr w:rsidR="000201EF" w:rsidRPr="008F51C1" w14:paraId="25FD4D2E" w14:textId="77777777" w:rsidTr="3FD93375">
        <w:trPr>
          <w:trHeight w:val="1094"/>
        </w:trPr>
        <w:tc>
          <w:tcPr>
            <w:tcW w:w="2552" w:type="dxa"/>
            <w:shd w:val="clear" w:color="auto" w:fill="002060"/>
          </w:tcPr>
          <w:p w14:paraId="3CDFB2E1" w14:textId="77777777" w:rsidR="007A743C" w:rsidRPr="00BD164E" w:rsidRDefault="007A743C" w:rsidP="00A677C9">
            <w:pPr>
              <w:spacing w:before="240" w:after="240"/>
              <w:rPr>
                <w:b/>
                <w:color w:val="FFFFFF" w:themeColor="background1"/>
                <w:u w:val="single"/>
              </w:rPr>
            </w:pPr>
          </w:p>
          <w:p w14:paraId="6CDE3056" w14:textId="77777777" w:rsidR="007A743C" w:rsidRPr="00BD164E" w:rsidRDefault="007A743C" w:rsidP="00A677C9">
            <w:pPr>
              <w:spacing w:before="240" w:after="240"/>
              <w:rPr>
                <w:b/>
                <w:color w:val="FFFFFF" w:themeColor="background1"/>
                <w:u w:val="single"/>
              </w:rPr>
            </w:pPr>
            <w:r w:rsidRPr="00BD164E">
              <w:rPr>
                <w:b/>
                <w:color w:val="FFFFFF" w:themeColor="background1"/>
                <w:u w:val="single"/>
              </w:rPr>
              <w:t>I</w:t>
            </w:r>
            <w:r w:rsidRPr="00BD164E">
              <w:rPr>
                <w:b/>
                <w:color w:val="FFFFFF" w:themeColor="background1"/>
              </w:rPr>
              <w:t>ntroduction</w:t>
            </w:r>
          </w:p>
        </w:tc>
        <w:tc>
          <w:tcPr>
            <w:tcW w:w="6798" w:type="dxa"/>
          </w:tcPr>
          <w:p w14:paraId="22F141D7" w14:textId="77777777" w:rsidR="007A743C" w:rsidRPr="008F51C1" w:rsidRDefault="007A743C" w:rsidP="00DF3F6B">
            <w:pPr>
              <w:pStyle w:val="ListParagraph"/>
              <w:numPr>
                <w:ilvl w:val="0"/>
                <w:numId w:val="97"/>
              </w:numPr>
              <w:spacing w:before="240" w:after="240"/>
              <w:ind w:left="360"/>
              <w:rPr>
                <w:b/>
              </w:rPr>
            </w:pPr>
            <w:r w:rsidRPr="008F51C1">
              <w:t>Older person’s name and age</w:t>
            </w:r>
          </w:p>
          <w:p w14:paraId="1C778C7B" w14:textId="77777777" w:rsidR="007A743C" w:rsidRPr="008F51C1" w:rsidRDefault="007A743C" w:rsidP="00DF3F6B">
            <w:pPr>
              <w:pStyle w:val="ListParagraph"/>
              <w:numPr>
                <w:ilvl w:val="0"/>
                <w:numId w:val="92"/>
              </w:numPr>
              <w:spacing w:before="240" w:after="240"/>
              <w:ind w:left="360"/>
              <w:rPr>
                <w:b/>
                <w:bCs/>
              </w:rPr>
            </w:pPr>
            <w:r w:rsidRPr="008F51C1">
              <w:t>Reason for assessment, including referral details (who made the referral and why, if appropriate)</w:t>
            </w:r>
          </w:p>
          <w:p w14:paraId="542A0C49" w14:textId="3A7B50A1" w:rsidR="007A743C" w:rsidRPr="008F51C1" w:rsidRDefault="007A743C" w:rsidP="00DF3F6B">
            <w:pPr>
              <w:pStyle w:val="ListParagraph"/>
              <w:numPr>
                <w:ilvl w:val="0"/>
                <w:numId w:val="92"/>
              </w:numPr>
              <w:spacing w:before="240" w:after="240"/>
              <w:ind w:left="360"/>
            </w:pPr>
            <w:r w:rsidRPr="008F51C1">
              <w:t>Assessment details – type (home support or comprehensive), date, location, mode, attendees, assessor name</w:t>
            </w:r>
          </w:p>
          <w:p w14:paraId="31550714" w14:textId="5D55F265" w:rsidR="007A743C" w:rsidRPr="008F51C1" w:rsidRDefault="2CC0B500" w:rsidP="00DF3F6B">
            <w:pPr>
              <w:pStyle w:val="ListParagraph"/>
              <w:numPr>
                <w:ilvl w:val="0"/>
                <w:numId w:val="92"/>
              </w:numPr>
              <w:spacing w:before="240" w:after="240"/>
              <w:ind w:left="360"/>
              <w:rPr>
                <w:rFonts w:eastAsia="Arial"/>
                <w:szCs w:val="22"/>
              </w:rPr>
            </w:pPr>
            <w:r w:rsidRPr="3FD93375">
              <w:rPr>
                <w:rFonts w:eastAsia="Arial"/>
                <w:szCs w:val="22"/>
              </w:rPr>
              <w:t>Whether the assessor is an EN requiring direct/indirect supervision from an RN.</w:t>
            </w:r>
          </w:p>
        </w:tc>
      </w:tr>
      <w:bookmarkEnd w:id="421"/>
      <w:tr w:rsidR="000201EF" w:rsidRPr="008F51C1" w14:paraId="44188254" w14:textId="77777777" w:rsidTr="3FD93375">
        <w:trPr>
          <w:trHeight w:val="832"/>
        </w:trPr>
        <w:tc>
          <w:tcPr>
            <w:tcW w:w="2552" w:type="dxa"/>
            <w:shd w:val="clear" w:color="auto" w:fill="002060"/>
            <w:vAlign w:val="center"/>
          </w:tcPr>
          <w:p w14:paraId="0186990F" w14:textId="77777777" w:rsidR="007A743C" w:rsidRPr="00BD164E" w:rsidRDefault="007A743C" w:rsidP="00A677C9">
            <w:pPr>
              <w:spacing w:before="240" w:after="240"/>
              <w:rPr>
                <w:b/>
                <w:color w:val="FFFFFF" w:themeColor="background1"/>
              </w:rPr>
            </w:pPr>
            <w:r w:rsidRPr="00BD164E">
              <w:rPr>
                <w:b/>
                <w:color w:val="FFFFFF" w:themeColor="background1"/>
                <w:u w:val="single"/>
              </w:rPr>
              <w:t>S</w:t>
            </w:r>
            <w:r w:rsidRPr="00BD164E">
              <w:rPr>
                <w:b/>
                <w:color w:val="FFFFFF" w:themeColor="background1"/>
              </w:rPr>
              <w:t>ituation</w:t>
            </w:r>
          </w:p>
        </w:tc>
        <w:tc>
          <w:tcPr>
            <w:tcW w:w="6798" w:type="dxa"/>
          </w:tcPr>
          <w:p w14:paraId="23AA8288" w14:textId="77777777" w:rsidR="007A743C" w:rsidRPr="008F51C1" w:rsidRDefault="007A743C" w:rsidP="00DF3F6B">
            <w:pPr>
              <w:pStyle w:val="ListParagraph"/>
              <w:numPr>
                <w:ilvl w:val="0"/>
                <w:numId w:val="93"/>
              </w:numPr>
              <w:spacing w:before="240" w:after="240"/>
            </w:pPr>
            <w:r w:rsidRPr="008F51C1">
              <w:t>Key health conditions that impact functional limitations</w:t>
            </w:r>
            <w:r w:rsidRPr="2A00F884">
              <w:t xml:space="preserve"> and need for an aged care assessment </w:t>
            </w:r>
          </w:p>
          <w:p w14:paraId="5F5E6A15" w14:textId="00154878" w:rsidR="007A743C" w:rsidRPr="008F51C1" w:rsidRDefault="007A743C" w:rsidP="00DF3F6B">
            <w:pPr>
              <w:pStyle w:val="ListParagraph"/>
              <w:numPr>
                <w:ilvl w:val="0"/>
                <w:numId w:val="93"/>
              </w:numPr>
              <w:spacing w:before="240" w:after="240"/>
            </w:pPr>
            <w:r w:rsidRPr="008F51C1">
              <w:t xml:space="preserve">Medical issues (clinical assessors to include diagnosis </w:t>
            </w:r>
            <w:r w:rsidR="00437A70" w:rsidRPr="008F51C1">
              <w:t>status) *</w:t>
            </w:r>
          </w:p>
        </w:tc>
      </w:tr>
      <w:tr w:rsidR="000201EF" w:rsidRPr="008F51C1" w14:paraId="3F83DCF0" w14:textId="77777777" w:rsidTr="0047007F">
        <w:trPr>
          <w:trHeight w:hRule="exact" w:val="2974"/>
        </w:trPr>
        <w:tc>
          <w:tcPr>
            <w:tcW w:w="2552" w:type="dxa"/>
            <w:shd w:val="clear" w:color="auto" w:fill="002060"/>
            <w:vAlign w:val="center"/>
          </w:tcPr>
          <w:p w14:paraId="7B4CB8D0" w14:textId="77777777" w:rsidR="007A743C" w:rsidRPr="00BD164E" w:rsidRDefault="007A743C" w:rsidP="00A677C9">
            <w:pPr>
              <w:spacing w:before="240" w:after="240"/>
              <w:rPr>
                <w:b/>
                <w:color w:val="FFFFFF" w:themeColor="background1"/>
              </w:rPr>
            </w:pPr>
            <w:r w:rsidRPr="00BD164E">
              <w:rPr>
                <w:b/>
                <w:color w:val="FFFFFF" w:themeColor="background1"/>
                <w:u w:val="single"/>
              </w:rPr>
              <w:t>B</w:t>
            </w:r>
            <w:r w:rsidRPr="00BD164E">
              <w:rPr>
                <w:b/>
                <w:color w:val="FFFFFF" w:themeColor="background1"/>
              </w:rPr>
              <w:t>ackground</w:t>
            </w:r>
          </w:p>
        </w:tc>
        <w:tc>
          <w:tcPr>
            <w:tcW w:w="6798" w:type="dxa"/>
          </w:tcPr>
          <w:p w14:paraId="495AFDC5" w14:textId="77777777" w:rsidR="007A743C" w:rsidRDefault="007A743C" w:rsidP="00DF3F6B">
            <w:pPr>
              <w:pStyle w:val="ListParagraph"/>
              <w:numPr>
                <w:ilvl w:val="0"/>
                <w:numId w:val="94"/>
              </w:numPr>
              <w:spacing w:before="240" w:after="240"/>
            </w:pPr>
            <w:r w:rsidRPr="008F51C1">
              <w:t>Living arrangements*</w:t>
            </w:r>
          </w:p>
          <w:p w14:paraId="65AA2D91" w14:textId="16E38BC1" w:rsidR="00C749AA" w:rsidRPr="008F51C1" w:rsidRDefault="00C749AA" w:rsidP="00DF3F6B">
            <w:pPr>
              <w:pStyle w:val="ListParagraph"/>
              <w:numPr>
                <w:ilvl w:val="0"/>
                <w:numId w:val="94"/>
              </w:numPr>
              <w:spacing w:before="240" w:after="240"/>
            </w:pPr>
            <w:r>
              <w:t>Diversity considerations supporting the Statement of Rights and Principles</w:t>
            </w:r>
          </w:p>
          <w:p w14:paraId="42C6524C" w14:textId="77777777" w:rsidR="007A743C" w:rsidRPr="008F51C1" w:rsidRDefault="007A743C" w:rsidP="00DF3F6B">
            <w:pPr>
              <w:pStyle w:val="ListParagraph"/>
              <w:numPr>
                <w:ilvl w:val="0"/>
                <w:numId w:val="94"/>
              </w:numPr>
              <w:spacing w:before="240" w:after="240"/>
            </w:pPr>
            <w:r w:rsidRPr="2A00F884">
              <w:t xml:space="preserve">Current social situation and </w:t>
            </w:r>
            <w:r>
              <w:t>s</w:t>
            </w:r>
            <w:r w:rsidRPr="2A00F884">
              <w:t>ocial history*</w:t>
            </w:r>
          </w:p>
          <w:p w14:paraId="4D4FFE62" w14:textId="77777777" w:rsidR="007A743C" w:rsidRPr="008F51C1" w:rsidRDefault="007A743C" w:rsidP="00DF3F6B">
            <w:pPr>
              <w:pStyle w:val="ListParagraph"/>
              <w:numPr>
                <w:ilvl w:val="0"/>
                <w:numId w:val="94"/>
              </w:numPr>
              <w:spacing w:before="240" w:after="240"/>
            </w:pPr>
            <w:r w:rsidRPr="008F51C1">
              <w:t>Current support</w:t>
            </w:r>
          </w:p>
          <w:p w14:paraId="10DEC81A" w14:textId="561637CE" w:rsidR="007A743C" w:rsidRPr="008F51C1" w:rsidRDefault="007A743C" w:rsidP="00DF3F6B">
            <w:pPr>
              <w:pStyle w:val="ListParagraph"/>
              <w:numPr>
                <w:ilvl w:val="1"/>
                <w:numId w:val="94"/>
              </w:numPr>
              <w:spacing w:before="240" w:after="240"/>
            </w:pPr>
            <w:r w:rsidRPr="008F51C1">
              <w:t xml:space="preserve">Carer </w:t>
            </w:r>
            <w:r w:rsidR="005F79F6">
              <w:t>profile</w:t>
            </w:r>
            <w:r w:rsidR="005F79F6" w:rsidRPr="008F51C1">
              <w:t xml:space="preserve"> </w:t>
            </w:r>
            <w:r w:rsidRPr="008F51C1">
              <w:t>(including details of Power of Attorney in place)</w:t>
            </w:r>
          </w:p>
          <w:p w14:paraId="4DAF4065" w14:textId="77777777" w:rsidR="007A743C" w:rsidRPr="008F51C1" w:rsidRDefault="007A743C" w:rsidP="00DF3F6B">
            <w:pPr>
              <w:pStyle w:val="ListParagraph"/>
              <w:numPr>
                <w:ilvl w:val="1"/>
                <w:numId w:val="94"/>
              </w:numPr>
              <w:spacing w:before="240" w:after="240"/>
            </w:pPr>
            <w:r w:rsidRPr="008F51C1">
              <w:t>Other informal supports*</w:t>
            </w:r>
          </w:p>
          <w:p w14:paraId="5746504F" w14:textId="21770EE8" w:rsidR="007A743C" w:rsidRPr="008F51C1" w:rsidRDefault="007A743C" w:rsidP="00DF3F6B">
            <w:pPr>
              <w:pStyle w:val="ListParagraph"/>
              <w:numPr>
                <w:ilvl w:val="1"/>
                <w:numId w:val="94"/>
              </w:numPr>
              <w:spacing w:before="240" w:after="240"/>
            </w:pPr>
            <w:r w:rsidRPr="008F51C1">
              <w:rPr>
                <w:rFonts w:hint="eastAsia"/>
                <w:lang w:eastAsia="ko-KR"/>
              </w:rPr>
              <w:t xml:space="preserve">Current </w:t>
            </w:r>
            <w:r w:rsidR="005F79F6">
              <w:rPr>
                <w:lang w:eastAsia="ko-KR"/>
              </w:rPr>
              <w:t xml:space="preserve">and previous </w:t>
            </w:r>
            <w:r w:rsidRPr="008F51C1">
              <w:rPr>
                <w:rFonts w:hint="eastAsia"/>
                <w:lang w:eastAsia="ko-KR"/>
              </w:rPr>
              <w:t>s</w:t>
            </w:r>
            <w:r w:rsidRPr="008F51C1">
              <w:t>ervices including aged care, mental health, disability, palliative care</w:t>
            </w:r>
          </w:p>
        </w:tc>
      </w:tr>
      <w:tr w:rsidR="000201EF" w:rsidRPr="008F51C1" w14:paraId="64597F28" w14:textId="77777777" w:rsidTr="3FD93375">
        <w:trPr>
          <w:trHeight w:val="877"/>
        </w:trPr>
        <w:tc>
          <w:tcPr>
            <w:tcW w:w="2552" w:type="dxa"/>
            <w:shd w:val="clear" w:color="auto" w:fill="002060"/>
            <w:vAlign w:val="center"/>
          </w:tcPr>
          <w:p w14:paraId="40BFAECA" w14:textId="77777777" w:rsidR="007A743C" w:rsidRPr="00BD164E" w:rsidRDefault="007A743C" w:rsidP="00A677C9">
            <w:pPr>
              <w:spacing w:before="240" w:after="240"/>
              <w:rPr>
                <w:b/>
                <w:color w:val="FFFFFF" w:themeColor="background1"/>
              </w:rPr>
            </w:pPr>
            <w:r w:rsidRPr="00BD164E">
              <w:rPr>
                <w:b/>
                <w:color w:val="FFFFFF" w:themeColor="background1"/>
                <w:u w:val="single"/>
              </w:rPr>
              <w:t>A</w:t>
            </w:r>
            <w:r w:rsidRPr="00BD164E">
              <w:rPr>
                <w:b/>
                <w:color w:val="FFFFFF" w:themeColor="background1"/>
              </w:rPr>
              <w:t>ssessment</w:t>
            </w:r>
          </w:p>
        </w:tc>
        <w:tc>
          <w:tcPr>
            <w:tcW w:w="6798" w:type="dxa"/>
          </w:tcPr>
          <w:p w14:paraId="0DE48B26" w14:textId="63E0BD77" w:rsidR="007A743C" w:rsidRPr="00C8627D" w:rsidRDefault="00AB5BE5" w:rsidP="00DF3F6B">
            <w:pPr>
              <w:pStyle w:val="ListParagraph"/>
              <w:numPr>
                <w:ilvl w:val="0"/>
                <w:numId w:val="95"/>
              </w:numPr>
              <w:spacing w:before="240" w:after="240"/>
            </w:pPr>
            <w:r>
              <w:rPr>
                <w:lang w:eastAsia="ko-KR"/>
              </w:rPr>
              <w:t>Assessment observations (include carer involvement</w:t>
            </w:r>
            <w:r w:rsidR="00552816">
              <w:rPr>
                <w:lang w:eastAsia="ko-KR"/>
              </w:rPr>
              <w:t xml:space="preserve">/carer strain) under the relevant </w:t>
            </w:r>
            <w:r w:rsidR="00B56B30">
              <w:rPr>
                <w:lang w:eastAsia="ko-KR"/>
              </w:rPr>
              <w:t>domains:</w:t>
            </w:r>
            <w:r w:rsidR="00B56B30" w:rsidRPr="00C8627D">
              <w:rPr>
                <w:lang w:eastAsia="ko-KR"/>
              </w:rPr>
              <w:t xml:space="preserve"> F</w:t>
            </w:r>
            <w:r w:rsidR="00B56B30" w:rsidRPr="00C8627D">
              <w:t>unction</w:t>
            </w:r>
          </w:p>
          <w:p w14:paraId="13BADE37" w14:textId="77777777" w:rsidR="007A743C" w:rsidRPr="00C8627D" w:rsidRDefault="007A743C" w:rsidP="00DF3F6B">
            <w:pPr>
              <w:pStyle w:val="ListParagraph"/>
              <w:numPr>
                <w:ilvl w:val="0"/>
                <w:numId w:val="95"/>
              </w:numPr>
              <w:spacing w:before="240" w:after="240"/>
            </w:pPr>
            <w:r w:rsidRPr="00C8627D">
              <w:t>Medical and medications</w:t>
            </w:r>
          </w:p>
          <w:p w14:paraId="02EB9A4F" w14:textId="77777777" w:rsidR="007A743C" w:rsidRPr="00C8627D" w:rsidRDefault="007A743C" w:rsidP="00DF3F6B">
            <w:pPr>
              <w:pStyle w:val="ListParagraph"/>
              <w:numPr>
                <w:ilvl w:val="0"/>
                <w:numId w:val="95"/>
              </w:numPr>
              <w:spacing w:before="240" w:after="240"/>
            </w:pPr>
            <w:r w:rsidRPr="00C8627D">
              <w:t>Physical and personal health and frailty</w:t>
            </w:r>
          </w:p>
          <w:p w14:paraId="238B7043" w14:textId="77777777" w:rsidR="007A743C" w:rsidRPr="00C8627D" w:rsidRDefault="007A743C" w:rsidP="00DF3F6B">
            <w:pPr>
              <w:pStyle w:val="ListParagraph"/>
              <w:numPr>
                <w:ilvl w:val="0"/>
                <w:numId w:val="95"/>
              </w:numPr>
              <w:spacing w:before="240" w:after="240"/>
            </w:pPr>
            <w:r w:rsidRPr="00C8627D">
              <w:t>Social</w:t>
            </w:r>
          </w:p>
          <w:p w14:paraId="375E9096" w14:textId="77777777" w:rsidR="007A743C" w:rsidRPr="00C8627D" w:rsidRDefault="007A743C" w:rsidP="00DF3F6B">
            <w:pPr>
              <w:pStyle w:val="ListParagraph"/>
              <w:numPr>
                <w:ilvl w:val="0"/>
                <w:numId w:val="95"/>
              </w:numPr>
              <w:spacing w:before="240" w:after="240"/>
            </w:pPr>
            <w:r w:rsidRPr="00C8627D">
              <w:t>Cognition</w:t>
            </w:r>
          </w:p>
          <w:p w14:paraId="41DD9798" w14:textId="77777777" w:rsidR="007A743C" w:rsidRPr="00C8627D" w:rsidRDefault="007A743C" w:rsidP="00DF3F6B">
            <w:pPr>
              <w:pStyle w:val="ListParagraph"/>
              <w:numPr>
                <w:ilvl w:val="0"/>
                <w:numId w:val="95"/>
              </w:numPr>
              <w:spacing w:before="240" w:after="240"/>
            </w:pPr>
            <w:r w:rsidRPr="00C8627D">
              <w:t>Behaviour</w:t>
            </w:r>
          </w:p>
          <w:p w14:paraId="6D0D7889" w14:textId="77777777" w:rsidR="007A743C" w:rsidRPr="00C8627D" w:rsidRDefault="007A743C" w:rsidP="00DF3F6B">
            <w:pPr>
              <w:pStyle w:val="ListParagraph"/>
              <w:numPr>
                <w:ilvl w:val="0"/>
                <w:numId w:val="95"/>
              </w:numPr>
              <w:spacing w:before="240" w:after="240"/>
            </w:pPr>
            <w:r w:rsidRPr="00C8627D">
              <w:t>Psychological</w:t>
            </w:r>
          </w:p>
          <w:p w14:paraId="38D60333" w14:textId="77777777" w:rsidR="007A743C" w:rsidRPr="00C8627D" w:rsidRDefault="007A743C" w:rsidP="00DF3F6B">
            <w:pPr>
              <w:pStyle w:val="ListParagraph"/>
              <w:numPr>
                <w:ilvl w:val="0"/>
                <w:numId w:val="95"/>
              </w:numPr>
              <w:spacing w:before="240" w:after="240"/>
            </w:pPr>
            <w:r w:rsidRPr="00C8627D">
              <w:t>Home and personal safety</w:t>
            </w:r>
          </w:p>
          <w:p w14:paraId="054596DE" w14:textId="77777777" w:rsidR="007A743C" w:rsidRPr="00C8627D" w:rsidRDefault="007A743C" w:rsidP="00DF3F6B">
            <w:pPr>
              <w:pStyle w:val="ListParagraph"/>
              <w:numPr>
                <w:ilvl w:val="0"/>
                <w:numId w:val="95"/>
              </w:numPr>
              <w:spacing w:before="240" w:after="240"/>
            </w:pPr>
            <w:r w:rsidRPr="00C8627D">
              <w:t>Financial or legal</w:t>
            </w:r>
          </w:p>
          <w:p w14:paraId="59B9863C" w14:textId="77777777" w:rsidR="007A743C" w:rsidRPr="00C8627D" w:rsidRDefault="007A743C" w:rsidP="00DF3F6B">
            <w:pPr>
              <w:pStyle w:val="ListParagraph"/>
              <w:numPr>
                <w:ilvl w:val="0"/>
                <w:numId w:val="95"/>
              </w:numPr>
              <w:spacing w:before="240" w:after="240"/>
            </w:pPr>
            <w:r w:rsidRPr="00C8627D">
              <w:t>Support considerations</w:t>
            </w:r>
          </w:p>
          <w:p w14:paraId="3D5F7F7E" w14:textId="77777777" w:rsidR="007A743C" w:rsidRPr="00C8627D" w:rsidRDefault="007A743C" w:rsidP="00DF3F6B">
            <w:pPr>
              <w:pStyle w:val="ListParagraph"/>
              <w:numPr>
                <w:ilvl w:val="0"/>
                <w:numId w:val="95"/>
              </w:numPr>
              <w:spacing w:before="240" w:after="240"/>
            </w:pPr>
            <w:r w:rsidRPr="00C8627D">
              <w:t>Whether clinical attendance was sought by a non-clinical assessor</w:t>
            </w:r>
          </w:p>
          <w:p w14:paraId="13AADA7F" w14:textId="77777777" w:rsidR="007A743C" w:rsidRPr="00C8627D" w:rsidRDefault="007A743C" w:rsidP="00DF3F6B">
            <w:pPr>
              <w:pStyle w:val="ListParagraph"/>
              <w:numPr>
                <w:ilvl w:val="0"/>
                <w:numId w:val="95"/>
              </w:numPr>
              <w:spacing w:before="240" w:after="240"/>
            </w:pPr>
            <w:r w:rsidRPr="00C8627D">
              <w:t>Reference the use of any validated assessment tool (including those conducted through use of clinical attendance), the outcome of the tool and how that outcome was incorporated into the assessment.</w:t>
            </w:r>
          </w:p>
          <w:p w14:paraId="1C8CE5D3" w14:textId="77777777" w:rsidR="007A743C" w:rsidRPr="00EE154E" w:rsidRDefault="007A743C" w:rsidP="00A677C9">
            <w:pPr>
              <w:pStyle w:val="ListParagraph"/>
              <w:spacing w:before="240" w:after="240"/>
              <w:ind w:left="360"/>
              <w:rPr>
                <w:color w:val="FFFFFF" w:themeColor="background1"/>
              </w:rPr>
            </w:pPr>
          </w:p>
        </w:tc>
      </w:tr>
      <w:tr w:rsidR="000201EF" w:rsidRPr="008F51C1" w14:paraId="6E288241" w14:textId="77777777" w:rsidTr="3FD93375">
        <w:tc>
          <w:tcPr>
            <w:tcW w:w="2552" w:type="dxa"/>
            <w:shd w:val="clear" w:color="auto" w:fill="002060"/>
            <w:vAlign w:val="center"/>
          </w:tcPr>
          <w:p w14:paraId="58700183" w14:textId="77777777" w:rsidR="007A743C" w:rsidRPr="00BD164E" w:rsidRDefault="007A743C" w:rsidP="00A677C9">
            <w:pPr>
              <w:spacing w:before="240" w:after="240"/>
              <w:rPr>
                <w:b/>
                <w:color w:val="FFFFFF" w:themeColor="background1"/>
              </w:rPr>
            </w:pPr>
            <w:r w:rsidRPr="00BD164E">
              <w:rPr>
                <w:b/>
                <w:color w:val="FFFFFF" w:themeColor="background1"/>
                <w:u w:val="single"/>
              </w:rPr>
              <w:t>R</w:t>
            </w:r>
            <w:r w:rsidRPr="00BD164E">
              <w:rPr>
                <w:b/>
                <w:color w:val="FFFFFF" w:themeColor="background1"/>
              </w:rPr>
              <w:t>ecommendations</w:t>
            </w:r>
          </w:p>
        </w:tc>
        <w:tc>
          <w:tcPr>
            <w:tcW w:w="6798" w:type="dxa"/>
          </w:tcPr>
          <w:p w14:paraId="5BF6F294" w14:textId="3A9BF734" w:rsidR="007A743C" w:rsidRPr="008F51C1" w:rsidRDefault="007A743C" w:rsidP="00DF3F6B">
            <w:pPr>
              <w:pStyle w:val="ListParagraph"/>
              <w:numPr>
                <w:ilvl w:val="0"/>
                <w:numId w:val="96"/>
              </w:numPr>
              <w:spacing w:before="240" w:after="240"/>
            </w:pPr>
            <w:r w:rsidRPr="008F51C1">
              <w:t>Previous approvals</w:t>
            </w:r>
          </w:p>
          <w:p w14:paraId="2BC4F880" w14:textId="43267C8A" w:rsidR="007A743C" w:rsidRPr="008F51C1" w:rsidRDefault="007A743C" w:rsidP="00DF3F6B">
            <w:pPr>
              <w:pStyle w:val="ListParagraph"/>
              <w:numPr>
                <w:ilvl w:val="0"/>
                <w:numId w:val="96"/>
              </w:numPr>
              <w:spacing w:before="240" w:after="240"/>
            </w:pPr>
            <w:r w:rsidRPr="008F51C1">
              <w:t>Current recommendations*</w:t>
            </w:r>
          </w:p>
          <w:p w14:paraId="3E7E0D15" w14:textId="77777777" w:rsidR="007A743C" w:rsidRPr="008F51C1" w:rsidRDefault="007A743C" w:rsidP="00DF3F6B">
            <w:pPr>
              <w:pStyle w:val="ListParagraph"/>
              <w:numPr>
                <w:ilvl w:val="1"/>
                <w:numId w:val="96"/>
              </w:numPr>
              <w:spacing w:before="240" w:after="240"/>
            </w:pPr>
            <w:r w:rsidRPr="008F51C1">
              <w:t>Reason for the recommendation (the older person benefit from X)</w:t>
            </w:r>
          </w:p>
          <w:p w14:paraId="4214B86B" w14:textId="5828B0A1" w:rsidR="7B47D507" w:rsidRDefault="7B47D507" w:rsidP="3FD93375">
            <w:pPr>
              <w:pStyle w:val="ListParagraph"/>
              <w:numPr>
                <w:ilvl w:val="1"/>
                <w:numId w:val="96"/>
              </w:numPr>
              <w:spacing w:before="240" w:after="240"/>
              <w:rPr>
                <w:rFonts w:eastAsia="Arial"/>
                <w:szCs w:val="22"/>
              </w:rPr>
            </w:pPr>
            <w:r w:rsidRPr="3FD93375">
              <w:rPr>
                <w:rFonts w:eastAsia="Arial"/>
                <w:szCs w:val="22"/>
              </w:rPr>
              <w:t>Comments to support recommended interim services</w:t>
            </w:r>
          </w:p>
          <w:p w14:paraId="04C8BC85" w14:textId="77777777" w:rsidR="007A743C" w:rsidRPr="008F51C1" w:rsidRDefault="007A743C" w:rsidP="00DF3F6B">
            <w:pPr>
              <w:pStyle w:val="ListParagraph"/>
              <w:numPr>
                <w:ilvl w:val="1"/>
                <w:numId w:val="96"/>
              </w:numPr>
              <w:spacing w:before="240" w:after="240"/>
            </w:pPr>
            <w:r w:rsidRPr="008F51C1">
              <w:t xml:space="preserve">Comments relating to the urgency of service </w:t>
            </w:r>
          </w:p>
          <w:p w14:paraId="23F4DE49" w14:textId="77777777" w:rsidR="007A743C" w:rsidRPr="008F51C1" w:rsidRDefault="007A743C" w:rsidP="00DF3F6B">
            <w:pPr>
              <w:pStyle w:val="ListParagraph"/>
              <w:numPr>
                <w:ilvl w:val="1"/>
                <w:numId w:val="96"/>
              </w:numPr>
              <w:spacing w:before="240" w:after="240"/>
            </w:pPr>
            <w:r w:rsidRPr="008F51C1">
              <w:t>Who is to action the recommendation – older person, assessor</w:t>
            </w:r>
          </w:p>
          <w:p w14:paraId="2C0A0F53" w14:textId="0B3AD90E" w:rsidR="0EFC4FF1" w:rsidRDefault="0EFC4FF1" w:rsidP="3FD93375">
            <w:pPr>
              <w:pStyle w:val="ListParagraph"/>
              <w:numPr>
                <w:ilvl w:val="1"/>
                <w:numId w:val="96"/>
              </w:numPr>
              <w:spacing w:before="240" w:after="240"/>
              <w:rPr>
                <w:rFonts w:eastAsia="Arial"/>
                <w:szCs w:val="22"/>
              </w:rPr>
            </w:pPr>
            <w:r w:rsidDel="0EFC4FF1">
              <w:t xml:space="preserve">Recommendations associated with the carer </w:t>
            </w:r>
            <w:r w:rsidR="374A68DA" w:rsidRPr="3FD93375">
              <w:rPr>
                <w:rFonts w:eastAsia="Arial"/>
                <w:szCs w:val="22"/>
              </w:rPr>
              <w:t>and/or affected support person/s</w:t>
            </w:r>
          </w:p>
          <w:p w14:paraId="1B3780E5" w14:textId="0B1901FA" w:rsidR="007A743C" w:rsidRPr="008F51C1" w:rsidRDefault="007A743C" w:rsidP="00DF3F6B">
            <w:pPr>
              <w:pStyle w:val="ListParagraph"/>
              <w:numPr>
                <w:ilvl w:val="1"/>
                <w:numId w:val="96"/>
              </w:numPr>
              <w:spacing w:before="240" w:after="240"/>
            </w:pPr>
            <w:r>
              <w:t xml:space="preserve">Recommendations </w:t>
            </w:r>
            <w:r w:rsidR="00E62F64">
              <w:t>must be justified by a clear link</w:t>
            </w:r>
            <w:r>
              <w:t xml:space="preserve"> to assessment outcomes and</w:t>
            </w:r>
            <w:r w:rsidR="00E62F64">
              <w:t xml:space="preserve"> support </w:t>
            </w:r>
            <w:r w:rsidR="00B56B30">
              <w:t>the older</w:t>
            </w:r>
            <w:r>
              <w:t xml:space="preserve"> person</w:t>
            </w:r>
            <w:r w:rsidR="00E62F64">
              <w:t>’</w:t>
            </w:r>
            <w:r>
              <w:t xml:space="preserve">s </w:t>
            </w:r>
            <w:r w:rsidR="00E62F64">
              <w:t>g</w:t>
            </w:r>
            <w:r>
              <w:t xml:space="preserve">oals and </w:t>
            </w:r>
            <w:r w:rsidR="00E62F64">
              <w:t>c</w:t>
            </w:r>
            <w:r>
              <w:t>oncerns.</w:t>
            </w:r>
          </w:p>
          <w:p w14:paraId="3B589E98" w14:textId="77777777" w:rsidR="007A743C" w:rsidRPr="008F51C1" w:rsidRDefault="007A743C" w:rsidP="00DF3F6B">
            <w:pPr>
              <w:pStyle w:val="ListParagraph"/>
              <w:numPr>
                <w:ilvl w:val="0"/>
                <w:numId w:val="96"/>
              </w:numPr>
              <w:spacing w:before="240" w:after="240"/>
            </w:pPr>
            <w:r w:rsidRPr="008F51C1">
              <w:t>Referrals*</w:t>
            </w:r>
          </w:p>
          <w:p w14:paraId="51C8F90C" w14:textId="77777777" w:rsidR="007A743C" w:rsidRPr="008F51C1" w:rsidRDefault="007A743C" w:rsidP="00DF3F6B">
            <w:pPr>
              <w:pStyle w:val="ListParagraph"/>
              <w:numPr>
                <w:ilvl w:val="1"/>
                <w:numId w:val="96"/>
              </w:numPr>
              <w:spacing w:before="240" w:after="240"/>
            </w:pPr>
            <w:r w:rsidRPr="008F51C1">
              <w:t>Status of referral (e.g., referral made with consent, older person declined referral)</w:t>
            </w:r>
          </w:p>
          <w:p w14:paraId="2607144F" w14:textId="77777777" w:rsidR="007A743C" w:rsidRPr="008F51C1" w:rsidRDefault="007A743C" w:rsidP="00DF3F6B">
            <w:pPr>
              <w:pStyle w:val="ListParagraph"/>
              <w:numPr>
                <w:ilvl w:val="1"/>
                <w:numId w:val="96"/>
              </w:numPr>
              <w:spacing w:before="240" w:after="240"/>
            </w:pPr>
            <w:r w:rsidRPr="008F51C1">
              <w:t>Who is responsible for contacting services</w:t>
            </w:r>
          </w:p>
          <w:p w14:paraId="78A2D118" w14:textId="0421B208" w:rsidR="007A743C" w:rsidRPr="008F51C1" w:rsidRDefault="007A743C" w:rsidP="00DF3F6B">
            <w:pPr>
              <w:pStyle w:val="ListParagraph"/>
              <w:numPr>
                <w:ilvl w:val="1"/>
                <w:numId w:val="96"/>
              </w:numPr>
              <w:spacing w:before="240" w:after="240"/>
            </w:pPr>
            <w:r w:rsidRPr="008F51C1">
              <w:t>Time-limited/end date or review date, or a rationale for ongoing services.</w:t>
            </w:r>
          </w:p>
          <w:p w14:paraId="193C80FA" w14:textId="028E7294" w:rsidR="007A743C" w:rsidRPr="008F51C1" w:rsidRDefault="007A743C" w:rsidP="00DF3F6B">
            <w:pPr>
              <w:pStyle w:val="ListParagraph"/>
              <w:numPr>
                <w:ilvl w:val="0"/>
                <w:numId w:val="96"/>
              </w:numPr>
              <w:spacing w:before="240" w:after="240"/>
            </w:pPr>
            <w:r w:rsidRPr="008F51C1">
              <w:t xml:space="preserve">Contact details (if not older </w:t>
            </w:r>
            <w:r w:rsidR="00437A70" w:rsidRPr="008F51C1">
              <w:t>person) *</w:t>
            </w:r>
          </w:p>
          <w:p w14:paraId="412CC904" w14:textId="77777777" w:rsidR="007A743C" w:rsidRPr="008F51C1" w:rsidRDefault="007A743C" w:rsidP="0047007F">
            <w:pPr>
              <w:pStyle w:val="ListParagraph"/>
              <w:numPr>
                <w:ilvl w:val="0"/>
                <w:numId w:val="96"/>
              </w:numPr>
              <w:spacing w:before="240" w:after="240"/>
            </w:pPr>
            <w:r w:rsidRPr="008F51C1">
              <w:t>Who has been sent a copy of the Support Plan, including whether it has been linked to the older person’s My Health Record*</w:t>
            </w:r>
          </w:p>
        </w:tc>
      </w:tr>
    </w:tbl>
    <w:p w14:paraId="2319F5B8" w14:textId="5B777A3C" w:rsidR="00B56B30" w:rsidRDefault="007A743C" w:rsidP="00A677C9">
      <w:pPr>
        <w:spacing w:before="240" w:after="240" w:line="240" w:lineRule="auto"/>
      </w:pPr>
      <w:r w:rsidRPr="00597A44">
        <w:t>*</w:t>
      </w:r>
      <w:r w:rsidR="00437A70" w:rsidRPr="00597A44">
        <w:t>Indicates</w:t>
      </w:r>
      <w:r w:rsidRPr="00597A44">
        <w:t xml:space="preserve"> items that are not pre-populated</w:t>
      </w:r>
    </w:p>
    <w:p w14:paraId="284A0759" w14:textId="7CA48241" w:rsidR="007A743C" w:rsidRPr="00B56B30" w:rsidRDefault="00B56B30" w:rsidP="00B56B30">
      <w:r>
        <w:br w:type="page"/>
      </w:r>
    </w:p>
    <w:p w14:paraId="35F4624B" w14:textId="77777777" w:rsidR="007A743C" w:rsidRPr="00597A44" w:rsidRDefault="007A743C" w:rsidP="00A677C9">
      <w:pPr>
        <w:spacing w:before="240" w:after="240" w:line="240" w:lineRule="auto"/>
        <w:rPr>
          <w:b/>
          <w:bCs/>
        </w:rPr>
      </w:pPr>
      <w:r w:rsidRPr="00597A44">
        <w:t xml:space="preserve">Further guidance on </w:t>
      </w:r>
      <w:r w:rsidRPr="00597A44">
        <w:rPr>
          <w:b/>
          <w:bCs/>
        </w:rPr>
        <w:t>the information that should be included under each heading is below:</w:t>
      </w:r>
    </w:p>
    <w:p w14:paraId="0FFCDC9C" w14:textId="5D45406A" w:rsidR="4AEDACC2" w:rsidRDefault="4AEDACC2" w:rsidP="0047007F">
      <w:pPr>
        <w:spacing w:before="240" w:after="240"/>
        <w:rPr>
          <w:rFonts w:eastAsia="Arial"/>
          <w:szCs w:val="22"/>
        </w:rPr>
      </w:pPr>
      <w:r w:rsidRPr="3FD93375">
        <w:rPr>
          <w:rFonts w:eastAsia="Arial"/>
          <w:b/>
          <w:bCs/>
          <w:szCs w:val="22"/>
        </w:rPr>
        <w:t xml:space="preserve">Introduction section: </w:t>
      </w:r>
      <w:r w:rsidRPr="3FD93375">
        <w:rPr>
          <w:rFonts w:eastAsia="Arial"/>
          <w:szCs w:val="22"/>
        </w:rPr>
        <w:t>Sets the scene for the assessment. This section should include the client’s name and age, the type of assessment being conducted, the reason for assessment, support persons present such as carers/registered support persons/translation services, the date of when the assessment took place, whether the assessment was conducted face-to-face or via telehealth or telephone, the name of the assessor including supervising assessors (including registered nurses if assessor is an enrolled nurse).</w:t>
      </w:r>
    </w:p>
    <w:p w14:paraId="7B6BB7E6" w14:textId="25082010" w:rsidR="007A743C" w:rsidRPr="00C8627D" w:rsidRDefault="007A743C" w:rsidP="00A677C9">
      <w:pPr>
        <w:spacing w:before="240" w:after="240" w:line="240" w:lineRule="auto"/>
      </w:pPr>
      <w:r w:rsidRPr="00C8627D">
        <w:rPr>
          <w:b/>
        </w:rPr>
        <w:t>Situation section:</w:t>
      </w:r>
      <w:r w:rsidRPr="00C8627D">
        <w:t xml:space="preserve"> Ensure this section outlines the primary reasoning for the referral for aged care reason including any linkages to functional, social, psychosocial and environmental factors. This section should</w:t>
      </w:r>
      <w:r w:rsidRPr="00C8627D" w:rsidDel="00557E6F">
        <w:t xml:space="preserve"> i</w:t>
      </w:r>
      <w:r w:rsidRPr="00C8627D">
        <w:t>nclude an older persons’ medical history with specific reference to the primary health condition(s) that impact their activities of daily living and/or social situation. Include any recent hospitalisations or access to ongoing medical intervention. This should link to any medical services the older person is currently receiving including any specific specialists, doctors or other medical professionals they are currently seeing (e.g. GP)</w:t>
      </w:r>
    </w:p>
    <w:p w14:paraId="6E7AFEE5" w14:textId="72288F9C" w:rsidR="007A743C" w:rsidRPr="00C8627D" w:rsidRDefault="007A743C" w:rsidP="00A677C9">
      <w:pPr>
        <w:spacing w:before="240" w:after="240" w:line="240" w:lineRule="auto"/>
      </w:pPr>
      <w:r w:rsidRPr="00C8627D">
        <w:rPr>
          <w:b/>
        </w:rPr>
        <w:t>Background section</w:t>
      </w:r>
      <w:r w:rsidRPr="00597A44">
        <w:rPr>
          <w:b/>
          <w:bCs/>
        </w:rPr>
        <w:t>:</w:t>
      </w:r>
      <w:r w:rsidRPr="00C8627D">
        <w:t xml:space="preserve"> Include information that pertains to the older person’s current social situation and any social history with details on living arrangements, work and/or social engagements. This includes caring arrangements (formal or informal) that are in place for the older person and what specific supports they are currently providing to the older person. This should also outline any carer stress or carer sustainability issues pertaining to the older person. Assessors should outline any aged care services</w:t>
      </w:r>
      <w:r w:rsidR="00EF5811">
        <w:t xml:space="preserve"> (past and present)</w:t>
      </w:r>
      <w:r w:rsidRPr="00C8627D">
        <w:t xml:space="preserve"> or other government or </w:t>
      </w:r>
      <w:r w:rsidR="00437A70" w:rsidRPr="00C8627D">
        <w:t>state-based</w:t>
      </w:r>
      <w:r w:rsidRPr="00C8627D">
        <w:t xml:space="preserve"> services that are being accessed at the time of the assessment.</w:t>
      </w:r>
    </w:p>
    <w:p w14:paraId="7F917945" w14:textId="2F72E9A2" w:rsidR="007A743C" w:rsidRPr="00C8627D" w:rsidRDefault="0EFC4FF1" w:rsidP="00A677C9">
      <w:pPr>
        <w:spacing w:before="240" w:after="240" w:line="240" w:lineRule="auto"/>
      </w:pPr>
      <w:r w:rsidRPr="3FD93375">
        <w:rPr>
          <w:b/>
          <w:bCs/>
        </w:rPr>
        <w:t>Assessment section:</w:t>
      </w:r>
      <w:r>
        <w:t xml:space="preserve"> </w:t>
      </w:r>
      <w:r w:rsidR="1E0BE84E" w:rsidRPr="3FD93375">
        <w:rPr>
          <w:rFonts w:eastAsia="Arial"/>
          <w:szCs w:val="22"/>
        </w:rPr>
        <w:t>Include all relevant sections of the assessment and highlight any complexity indicators. Record detailed observations against the domains and use language such as ‘the older person experiences X and has difficulty with Y, they would benefit from Z’.</w:t>
      </w:r>
      <w:r w:rsidR="007A743C" w:rsidRPr="3FD93375">
        <w:rPr>
          <w:rFonts w:eastAsia="Arial"/>
          <w:szCs w:val="22"/>
        </w:rPr>
        <w:t xml:space="preserve"> </w:t>
      </w:r>
      <w:r w:rsidR="007A743C" w:rsidRPr="00C8627D">
        <w:t xml:space="preserve">It should include all validated assessment tools and its scores that were used in the ‘assessment’ section along with an explanation of what the score indicates. The assessor should exercise clinical judgement on whether specific scores should be excluded (e.g. sensitivity content for the older person) </w:t>
      </w:r>
    </w:p>
    <w:p w14:paraId="0AE6436E" w14:textId="180CF5E1" w:rsidR="007A743C" w:rsidRDefault="007A743C" w:rsidP="00A677C9">
      <w:pPr>
        <w:spacing w:before="240" w:after="240" w:line="240" w:lineRule="auto"/>
        <w:rPr>
          <w:b/>
        </w:rPr>
      </w:pPr>
      <w:r w:rsidRPr="00C8627D">
        <w:rPr>
          <w:b/>
        </w:rPr>
        <w:t>Recommendation section:</w:t>
      </w:r>
      <w:r w:rsidRPr="00597A44">
        <w:t xml:space="preserve"> </w:t>
      </w:r>
      <w:r w:rsidR="5D69F0EB" w:rsidRPr="003B269E">
        <w:t xml:space="preserve"> Include all new recommendations/continuation of existing approvals, status of service referrals, time limited/ongoing/interim supports, who is responsible for actioning next steps, older persons’ contact details and whether clinical attendance was required. Ensure that recommendations can be justified clearly through the Assessment Summary ISBAR format. Ensure that the information provided here can be linked to the older persons’ service recommendations and approvals under the Goals and Concerns. It is </w:t>
      </w:r>
      <w:r w:rsidR="00B56B30" w:rsidRPr="003B269E">
        <w:t>best practice</w:t>
      </w:r>
      <w:r w:rsidR="5D69F0EB" w:rsidRPr="003B269E">
        <w:t xml:space="preserve"> to revisit the recommendations section of the Assessment Summary following recording the older person’s Concerns and Goals</w:t>
      </w:r>
      <w:r w:rsidR="5D69F0EB" w:rsidRPr="0047007F">
        <w:rPr>
          <w:b/>
          <w:bCs/>
        </w:rPr>
        <w:t xml:space="preserve"> </w:t>
      </w:r>
      <w:r w:rsidR="5D69F0EB" w:rsidRPr="0093069B">
        <w:t>and prior to finalising the IAT.</w:t>
      </w:r>
    </w:p>
    <w:p w14:paraId="3EB59413" w14:textId="42D9FE6D" w:rsidR="007A743C" w:rsidRPr="00766DBD" w:rsidRDefault="007A743C" w:rsidP="00507F9D">
      <w:pPr>
        <w:pStyle w:val="h2"/>
      </w:pPr>
      <w:bookmarkStart w:id="422" w:name="_Toc198813655"/>
      <w:bookmarkStart w:id="423" w:name="_Toc204329558"/>
      <w:bookmarkStart w:id="424" w:name="_Toc209188988"/>
      <w:bookmarkStart w:id="425" w:name="_Toc224916649"/>
      <w:bookmarkStart w:id="426" w:name="CH1_WellnessandReablement"/>
      <w:r w:rsidRPr="007123E9">
        <w:t xml:space="preserve">Wellness and </w:t>
      </w:r>
      <w:r w:rsidR="00E02EDD">
        <w:t>r</w:t>
      </w:r>
      <w:r w:rsidRPr="007123E9">
        <w:t xml:space="preserve">eablement </w:t>
      </w:r>
      <w:r w:rsidR="00E02EDD">
        <w:t>a</w:t>
      </w:r>
      <w:r w:rsidRPr="007123E9">
        <w:t>pproach</w:t>
      </w:r>
      <w:bookmarkEnd w:id="422"/>
      <w:bookmarkEnd w:id="423"/>
      <w:bookmarkEnd w:id="424"/>
      <w:bookmarkEnd w:id="425"/>
    </w:p>
    <w:bookmarkEnd w:id="426"/>
    <w:p w14:paraId="56FE70D2" w14:textId="77777777" w:rsidR="007A743C" w:rsidRDefault="007A743C" w:rsidP="00A677C9">
      <w:pPr>
        <w:spacing w:before="240" w:after="240" w:line="240" w:lineRule="auto"/>
      </w:pPr>
      <w:r w:rsidRPr="00F536E1">
        <w:t>Wellness and reablement are person-centred, holistic approaches to service delivery</w:t>
      </w:r>
      <w:r>
        <w:t>.</w:t>
      </w:r>
      <w:r w:rsidRPr="00F536E1">
        <w:t xml:space="preserve"> </w:t>
      </w:r>
      <w:r>
        <w:t>They</w:t>
      </w:r>
      <w:r w:rsidRPr="00F536E1">
        <w:t xml:space="preserve"> build on people’s strengths</w:t>
      </w:r>
      <w:r>
        <w:t>, capacity</w:t>
      </w:r>
      <w:r w:rsidRPr="00F536E1">
        <w:t xml:space="preserve"> and goals to promote greater independence and autonomy. </w:t>
      </w:r>
      <w:r>
        <w:t xml:space="preserve">Wellness and reablement approaches are based on the premise that, even for individuals who experience frailty, older people want to improve their physical, social and emotional wellbeing, and remain living at home, connected to their community. </w:t>
      </w:r>
    </w:p>
    <w:p w14:paraId="7A3B12E9" w14:textId="77777777" w:rsidR="007A743C" w:rsidRPr="005906C6" w:rsidRDefault="007A743C" w:rsidP="00A677C9">
      <w:pPr>
        <w:spacing w:before="240" w:after="240" w:line="240" w:lineRule="auto"/>
        <w:rPr>
          <w:rFonts w:eastAsia="Arial"/>
        </w:rPr>
      </w:pPr>
      <w:r w:rsidRPr="00C916B0">
        <w:rPr>
          <w:rFonts w:eastAsia="Arial"/>
        </w:rPr>
        <w:t xml:space="preserve">By focusing on capacity-building and restoring or maintaining function, wellness and reablement approaches directly contribute to the wellbeing outcomes described in the Act and the strengthened </w:t>
      </w:r>
      <w:r>
        <w:rPr>
          <w:rFonts w:eastAsia="Arial"/>
        </w:rPr>
        <w:t xml:space="preserve">Aged Care </w:t>
      </w:r>
      <w:r w:rsidRPr="00C916B0">
        <w:rPr>
          <w:rFonts w:eastAsia="Arial"/>
        </w:rPr>
        <w:t>Quality Standards. These support older people to live safely, independently, and with a sustained sense of meaning and connection in their own homes and communities.</w:t>
      </w:r>
      <w:bookmarkStart w:id="427" w:name="_Linking_Supports"/>
      <w:bookmarkEnd w:id="427"/>
    </w:p>
    <w:p w14:paraId="475160B1" w14:textId="1D7D654C" w:rsidR="007A743C" w:rsidRPr="00457FE6" w:rsidRDefault="007A743C" w:rsidP="00C56CEC">
      <w:pPr>
        <w:pStyle w:val="H3"/>
        <w:rPr>
          <w:lang w:val="en-AU"/>
        </w:rPr>
      </w:pPr>
      <w:r w:rsidRPr="00457FE6">
        <w:t xml:space="preserve">Delivering </w:t>
      </w:r>
      <w:r w:rsidR="00E02EDD">
        <w:t>r</w:t>
      </w:r>
      <w:r w:rsidRPr="00457FE6">
        <w:t xml:space="preserve">eablement </w:t>
      </w:r>
    </w:p>
    <w:p w14:paraId="17F73D72" w14:textId="77777777" w:rsidR="007A743C" w:rsidRPr="003E1933" w:rsidRDefault="007A743C" w:rsidP="00A677C9">
      <w:pPr>
        <w:spacing w:before="240" w:after="240" w:line="240" w:lineRule="auto"/>
        <w:rPr>
          <w:i/>
          <w:lang w:eastAsia="ko-KR"/>
        </w:rPr>
      </w:pPr>
      <w:r w:rsidRPr="003E1933">
        <w:rPr>
          <w:lang w:eastAsia="ko-KR"/>
        </w:rPr>
        <w:t xml:space="preserve">The provision of wellness and reablement approaches should be embedded in the assessment and support planning processes. Wellness and reablement underpins all assessment and service provision, drawing on the wellness philosophy to inform a way of working with people. </w:t>
      </w:r>
      <w:r>
        <w:rPr>
          <w:lang w:eastAsia="ko-KR"/>
        </w:rPr>
        <w:t xml:space="preserve">Wellness and reablement are inclusive approaches that </w:t>
      </w:r>
      <w:r w:rsidRPr="003E1933">
        <w:rPr>
          <w:lang w:eastAsia="ko-KR"/>
        </w:rPr>
        <w:t>involve assessment, planning and delivery of supports that build on the strengths, capacity, and goals of</w:t>
      </w:r>
      <w:r>
        <w:rPr>
          <w:lang w:eastAsia="ko-KR"/>
        </w:rPr>
        <w:t xml:space="preserve"> </w:t>
      </w:r>
      <w:r w:rsidRPr="003E1933">
        <w:rPr>
          <w:lang w:eastAsia="ko-KR"/>
        </w:rPr>
        <w:t>individual</w:t>
      </w:r>
      <w:r>
        <w:rPr>
          <w:lang w:eastAsia="ko-KR"/>
        </w:rPr>
        <w:t xml:space="preserve">s </w:t>
      </w:r>
      <w:r w:rsidRPr="00B46FAB">
        <w:rPr>
          <w:lang w:eastAsia="ko-KR"/>
        </w:rPr>
        <w:t>irrespective of age, capacity, diagnosis or setting</w:t>
      </w:r>
      <w:r>
        <w:rPr>
          <w:rStyle w:val="FootnoteReference"/>
          <w:lang w:eastAsia="ko-KR"/>
        </w:rPr>
        <w:footnoteReference w:id="4"/>
      </w:r>
      <w:r w:rsidRPr="003E1933">
        <w:rPr>
          <w:lang w:eastAsia="ko-KR"/>
        </w:rPr>
        <w:t xml:space="preserve">. Additionally, </w:t>
      </w:r>
      <w:r>
        <w:rPr>
          <w:lang w:eastAsia="ko-KR"/>
        </w:rPr>
        <w:t>these approaches</w:t>
      </w:r>
      <w:r w:rsidRPr="003E1933">
        <w:rPr>
          <w:lang w:eastAsia="ko-KR"/>
        </w:rPr>
        <w:t xml:space="preserve"> build on people’s strengths and goals to promote greater independence and autonomy in daily living tasks, as well as reducing risks affecting the ability to live safely at home. </w:t>
      </w:r>
      <w:r>
        <w:rPr>
          <w:lang w:eastAsia="ko-KR"/>
        </w:rPr>
        <w:t>They</w:t>
      </w:r>
      <w:r w:rsidRPr="003E1933">
        <w:rPr>
          <w:lang w:eastAsia="ko-KR"/>
        </w:rPr>
        <w:t xml:space="preserve"> avoid 'doing for' when a 'doing with' approach can assist individuals to undertake a task or activity themselves (or with less assistance), and to increase satisfaction with any gains made.</w:t>
      </w:r>
      <w:r w:rsidRPr="7E512B5E">
        <w:rPr>
          <w:rFonts w:ascii="Calibri" w:hAnsi="Calibri" w:cs="Calibri"/>
        </w:rPr>
        <w:t xml:space="preserve"> </w:t>
      </w:r>
    </w:p>
    <w:p w14:paraId="02FCFB69" w14:textId="77777777" w:rsidR="007A743C" w:rsidRPr="003E1933" w:rsidRDefault="007A743C" w:rsidP="00A677C9">
      <w:pPr>
        <w:spacing w:before="240" w:after="240" w:line="240" w:lineRule="auto"/>
      </w:pPr>
      <w:r w:rsidRPr="003E1933">
        <w:t xml:space="preserve">Reablement approaches involve time-limited services </w:t>
      </w:r>
      <w:r>
        <w:t>for a period of up to 12 weeks</w:t>
      </w:r>
      <w:r w:rsidRPr="003E1933">
        <w:t xml:space="preserve"> and always include a specific goal. Time-limited support aims to address a specific barrier to independence and to support the older person getting back to doing things for themselves. This involves a targeted timeframe, developed with the older person, to achieve their goals. </w:t>
      </w:r>
    </w:p>
    <w:p w14:paraId="3E459913" w14:textId="12BF1DEC" w:rsidR="007A743C" w:rsidRPr="003E1933" w:rsidRDefault="007A743C" w:rsidP="00A677C9">
      <w:pPr>
        <w:spacing w:before="240" w:after="240" w:line="240" w:lineRule="auto"/>
      </w:pPr>
      <w:r w:rsidRPr="003E1933">
        <w:t xml:space="preserve">It should be noted that wellness and reablement approaches should be adopted by all assessors, including clinical assessors. For clinical assessors who are undertaking a comprehensive assessment, the option is </w:t>
      </w:r>
      <w:r w:rsidR="003C4B0A">
        <w:t xml:space="preserve">also </w:t>
      </w:r>
      <w:r w:rsidRPr="003E1933">
        <w:t xml:space="preserve">available to recommend an older person to receive a reablement </w:t>
      </w:r>
      <w:r>
        <w:t>service under CHSP</w:t>
      </w:r>
      <w:r w:rsidRPr="003E1933">
        <w:t xml:space="preserve"> if it is appropriate to do so. </w:t>
      </w:r>
    </w:p>
    <w:p w14:paraId="0F0E5502" w14:textId="79267EB5" w:rsidR="007A743C" w:rsidRPr="00B46FAB" w:rsidRDefault="007A743C" w:rsidP="00A677C9">
      <w:pPr>
        <w:spacing w:before="240" w:after="240" w:line="240" w:lineRule="auto"/>
      </w:pPr>
      <w:r w:rsidRPr="00B46FAB">
        <w:t xml:space="preserve">A wellness and reablement approach to assessment means where possible, </w:t>
      </w:r>
      <w:r w:rsidRPr="00B46FAB">
        <w:rPr>
          <w:lang w:val="en-AU"/>
        </w:rPr>
        <w:t>assessors undertake a ‘show me’ (active) assessment in which older people demonstrate how they undertake certain tasks to better understand their limitations and identify risks. This</w:t>
      </w:r>
      <w:r w:rsidRPr="00B46FAB">
        <w:t xml:space="preserve"> </w:t>
      </w:r>
      <w:r w:rsidRPr="00B46FAB">
        <w:rPr>
          <w:lang w:val="en-AU"/>
        </w:rPr>
        <w:t>is distinct from the traditional “tell me” approach used by assessors</w:t>
      </w:r>
      <w:r w:rsidR="00B23AB0" w:rsidRPr="00B46FAB">
        <w:rPr>
          <w:lang w:val="en-AU"/>
        </w:rPr>
        <w:t>.</w:t>
      </w:r>
      <w:r w:rsidR="00B23AB0" w:rsidRPr="00B46FAB">
        <w:t xml:space="preserve"> </w:t>
      </w:r>
    </w:p>
    <w:p w14:paraId="33DFF5CF" w14:textId="77777777" w:rsidR="007A743C" w:rsidRPr="003E1933" w:rsidRDefault="007A743C" w:rsidP="00A677C9">
      <w:pPr>
        <w:spacing w:before="240" w:after="240" w:line="240" w:lineRule="auto"/>
      </w:pPr>
      <w:r w:rsidRPr="003E1933">
        <w:t>Understanding what a good day looks like for an older person and how it relates to their individual goals and outcomes is important to determine short-term support needs during an assessment. This could be maintaining a level of activity or independence or working towards regaining it. Time-limited reablement is usually delivered within a 12-week period with the aim to wrap up and cease the services when the older person has met their goal or specific outcome.</w:t>
      </w:r>
    </w:p>
    <w:p w14:paraId="31E5D600" w14:textId="46760076" w:rsidR="007A743C" w:rsidRPr="003E1933" w:rsidRDefault="007A743C" w:rsidP="00A677C9">
      <w:pPr>
        <w:spacing w:before="240" w:after="240" w:line="240" w:lineRule="auto"/>
      </w:pPr>
      <w:r w:rsidRPr="003E1933">
        <w:t xml:space="preserve">Time-limited reablement </w:t>
      </w:r>
      <w:r>
        <w:t xml:space="preserve">under the CHSP </w:t>
      </w:r>
      <w:r w:rsidRPr="003E1933">
        <w:t>that assessors may refer older persons for can include:</w:t>
      </w:r>
    </w:p>
    <w:p w14:paraId="594F82A2" w14:textId="77777777" w:rsidR="007A743C" w:rsidRPr="003E1933" w:rsidRDefault="007A743C" w:rsidP="00DF3F6B">
      <w:pPr>
        <w:pStyle w:val="ListParagraph"/>
        <w:numPr>
          <w:ilvl w:val="0"/>
          <w:numId w:val="99"/>
        </w:numPr>
        <w:spacing w:before="240" w:after="240" w:line="240" w:lineRule="auto"/>
      </w:pPr>
      <w:r>
        <w:t>L</w:t>
      </w:r>
      <w:r w:rsidRPr="003E1933">
        <w:t xml:space="preserve">earning a new skill, or actively working to regain or maintain an existing skill </w:t>
      </w:r>
    </w:p>
    <w:p w14:paraId="5A536960" w14:textId="77777777" w:rsidR="007A743C" w:rsidRPr="003E1933" w:rsidRDefault="007A743C" w:rsidP="00A677C9">
      <w:pPr>
        <w:pStyle w:val="ListParagraph"/>
        <w:spacing w:before="240" w:after="240" w:line="240" w:lineRule="auto"/>
        <w:ind w:left="765" w:hanging="357"/>
      </w:pPr>
      <w:r w:rsidRPr="003E1933">
        <w:t xml:space="preserve">modification to a person’s home environment, </w:t>
      </w:r>
    </w:p>
    <w:p w14:paraId="4CFE70A0" w14:textId="77777777" w:rsidR="007A743C" w:rsidRPr="003E1933" w:rsidRDefault="007A743C" w:rsidP="00DF3F6B">
      <w:pPr>
        <w:pStyle w:val="ListParagraph"/>
        <w:numPr>
          <w:ilvl w:val="0"/>
          <w:numId w:val="99"/>
        </w:numPr>
        <w:spacing w:before="240" w:after="240" w:line="240" w:lineRule="auto"/>
      </w:pPr>
      <w:r>
        <w:t>P</w:t>
      </w:r>
      <w:r w:rsidRPr="003E1933">
        <w:t>roviding access to assistive technology to help live more independently and safely in the home.</w:t>
      </w:r>
    </w:p>
    <w:p w14:paraId="5833816A" w14:textId="77777777" w:rsidR="007A743C" w:rsidRPr="003E1933" w:rsidRDefault="007A743C" w:rsidP="00A677C9">
      <w:pPr>
        <w:spacing w:before="240" w:after="240" w:line="240" w:lineRule="auto"/>
        <w:rPr>
          <w:lang w:eastAsia="ko-KR"/>
        </w:rPr>
      </w:pPr>
      <w:r w:rsidRPr="003E1933">
        <w:rPr>
          <w:lang w:eastAsia="ko-KR"/>
        </w:rPr>
        <w:t xml:space="preserve">For example, learning a new skill could require referral for support on how to prepare simple meals for themselves, rather than referring for meals delivery. Regaining or maintaining existing skills could require referral for Allied Health and Therapy Services to ensure the older person can continue to transfer around the home and reduce the risk of falls. </w:t>
      </w:r>
    </w:p>
    <w:p w14:paraId="4AF8B0CD" w14:textId="77777777" w:rsidR="007A743C" w:rsidRPr="003E1933" w:rsidRDefault="007A743C" w:rsidP="00A677C9">
      <w:pPr>
        <w:spacing w:before="240" w:after="240" w:line="240" w:lineRule="auto"/>
        <w:rPr>
          <w:lang w:eastAsia="ko-KR"/>
        </w:rPr>
      </w:pPr>
      <w:r w:rsidRPr="003E1933">
        <w:rPr>
          <w:lang w:eastAsia="ko-KR"/>
        </w:rPr>
        <w:t>As part of the assessment process, the assessor will need to work with the older person to identify whether they would benefit from a reablement approach to home support services, based on their needs and goals.</w:t>
      </w:r>
    </w:p>
    <w:p w14:paraId="41A37486" w14:textId="43DEB745" w:rsidR="007A743C" w:rsidRPr="003E1933" w:rsidRDefault="007A743C" w:rsidP="00A677C9">
      <w:pPr>
        <w:spacing w:before="240" w:after="240" w:line="240" w:lineRule="auto"/>
        <w:rPr>
          <w:lang w:eastAsia="ko-KR"/>
        </w:rPr>
      </w:pPr>
      <w:r w:rsidRPr="003E1933">
        <w:rPr>
          <w:lang w:eastAsia="ko-KR"/>
        </w:rPr>
        <w:t>If the older person agrees short-term reablement support is appropriate and/or beneficial to them, the assessor should include service solutions within the Support Plan to promote their independence. The assessor</w:t>
      </w:r>
      <w:r w:rsidRPr="046C6128" w:rsidDel="00AD4E4E">
        <w:rPr>
          <w:lang w:eastAsia="ko-KR"/>
        </w:rPr>
        <w:t xml:space="preserve"> </w:t>
      </w:r>
      <w:r w:rsidRPr="046C6128">
        <w:rPr>
          <w:lang w:eastAsia="ko-KR"/>
        </w:rPr>
        <w:t>must</w:t>
      </w:r>
      <w:r w:rsidRPr="003E1933">
        <w:rPr>
          <w:lang w:eastAsia="ko-KR"/>
        </w:rPr>
        <w:t xml:space="preserve"> record the reason for </w:t>
      </w:r>
      <w:r w:rsidRPr="046C6128">
        <w:rPr>
          <w:lang w:eastAsia="ko-KR"/>
        </w:rPr>
        <w:t xml:space="preserve">the </w:t>
      </w:r>
      <w:r w:rsidRPr="003E1933">
        <w:rPr>
          <w:lang w:eastAsia="ko-KR"/>
        </w:rPr>
        <w:t xml:space="preserve">reablement period within the Support Plan such as: </w:t>
      </w:r>
    </w:p>
    <w:p w14:paraId="36BA2088"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rebuild confidence and independence in mobility</w:t>
      </w:r>
    </w:p>
    <w:p w14:paraId="1D7ED1CF" w14:textId="61237A01"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rebuild confidence and independence in cognitive abilities</w:t>
      </w:r>
      <w:r w:rsidR="3B0E7F91" w:rsidRPr="7E633E03">
        <w:rPr>
          <w:lang w:eastAsia="ko-KR"/>
        </w:rPr>
        <w:t>,</w:t>
      </w:r>
      <w:r w:rsidR="3B0E7F91" w:rsidRPr="1B4F113E">
        <w:rPr>
          <w:lang w:eastAsia="ko-KR"/>
        </w:rPr>
        <w:t xml:space="preserve"> including for people living with dementia</w:t>
      </w:r>
    </w:p>
    <w:p w14:paraId="2543A1DB"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adaptation to functional limitation</w:t>
      </w:r>
    </w:p>
    <w:p w14:paraId="2EA5161E"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support the development/relearning of daily activities</w:t>
      </w:r>
    </w:p>
    <w:p w14:paraId="0E4E4249"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task simplification and energy conservation for managing housework</w:t>
      </w:r>
    </w:p>
    <w:p w14:paraId="6B51A5A3"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promote social contact, community access and participation</w:t>
      </w:r>
    </w:p>
    <w:p w14:paraId="364C441E" w14:textId="77777777" w:rsidR="007A743C" w:rsidRDefault="007A743C" w:rsidP="00DF3F6B">
      <w:pPr>
        <w:pStyle w:val="ListParagraph"/>
        <w:numPr>
          <w:ilvl w:val="0"/>
          <w:numId w:val="101"/>
        </w:numPr>
        <w:spacing w:before="240" w:after="240" w:line="240" w:lineRule="auto"/>
        <w:ind w:left="568" w:hanging="284"/>
        <w:rPr>
          <w:lang w:eastAsia="ko-KR"/>
        </w:rPr>
      </w:pPr>
      <w:r w:rsidRPr="003E1933">
        <w:rPr>
          <w:lang w:eastAsia="ko-KR"/>
        </w:rPr>
        <w:t>skills development in using public transport</w:t>
      </w:r>
    </w:p>
    <w:p w14:paraId="26DE0DF0" w14:textId="77777777" w:rsidR="007A743C" w:rsidRDefault="007A743C" w:rsidP="00DF3F6B">
      <w:pPr>
        <w:pStyle w:val="ListParagraph"/>
        <w:numPr>
          <w:ilvl w:val="0"/>
          <w:numId w:val="101"/>
        </w:numPr>
        <w:spacing w:before="240" w:after="240" w:line="240" w:lineRule="auto"/>
        <w:ind w:left="568" w:hanging="284"/>
        <w:rPr>
          <w:lang w:eastAsia="ko-KR"/>
        </w:rPr>
      </w:pPr>
      <w:r w:rsidRPr="003E1933">
        <w:rPr>
          <w:lang w:eastAsia="ko-KR"/>
        </w:rPr>
        <w:t>supporting independence through assessment for appropriate assistive</w:t>
      </w:r>
      <w:r>
        <w:rPr>
          <w:lang w:eastAsia="ko-KR"/>
        </w:rPr>
        <w:t xml:space="preserve"> </w:t>
      </w:r>
      <w:r w:rsidRPr="003E1933">
        <w:rPr>
          <w:lang w:eastAsia="ko-KR"/>
        </w:rPr>
        <w:t>technology</w:t>
      </w:r>
    </w:p>
    <w:p w14:paraId="2FC97E44" w14:textId="77777777" w:rsidR="007A743C" w:rsidRPr="003E1933" w:rsidRDefault="007A743C" w:rsidP="00DF3F6B">
      <w:pPr>
        <w:pStyle w:val="ListParagraph"/>
        <w:numPr>
          <w:ilvl w:val="0"/>
          <w:numId w:val="101"/>
        </w:numPr>
        <w:spacing w:before="240" w:after="240" w:line="240" w:lineRule="auto"/>
        <w:ind w:left="568" w:hanging="284"/>
        <w:rPr>
          <w:lang w:eastAsia="ko-KR"/>
        </w:rPr>
      </w:pPr>
      <w:r w:rsidRPr="003E1933">
        <w:rPr>
          <w:lang w:eastAsia="ko-KR"/>
        </w:rPr>
        <w:t>training in the use of assistive technology</w:t>
      </w:r>
    </w:p>
    <w:p w14:paraId="5FFDB484" w14:textId="77777777" w:rsidR="007A743C" w:rsidRDefault="007A743C" w:rsidP="00DF3F6B">
      <w:pPr>
        <w:pStyle w:val="ListParagraph"/>
        <w:numPr>
          <w:ilvl w:val="0"/>
          <w:numId w:val="101"/>
        </w:numPr>
        <w:spacing w:before="240" w:after="240" w:line="240" w:lineRule="auto"/>
        <w:ind w:left="568" w:hanging="284"/>
        <w:rPr>
          <w:lang w:eastAsia="ko-KR"/>
        </w:rPr>
      </w:pPr>
      <w:r w:rsidRPr="017FF414">
        <w:rPr>
          <w:lang w:eastAsia="ko-KR"/>
        </w:rPr>
        <w:t>supporting</w:t>
      </w:r>
      <w:r w:rsidRPr="67FE7011">
        <w:rPr>
          <w:lang w:eastAsia="ko-KR"/>
        </w:rPr>
        <w:t xml:space="preserve"> independence through </w:t>
      </w:r>
      <w:r w:rsidRPr="6CB6F5BE">
        <w:rPr>
          <w:lang w:eastAsia="ko-KR"/>
        </w:rPr>
        <w:t xml:space="preserve">assessment for </w:t>
      </w:r>
      <w:r w:rsidRPr="67FE7011">
        <w:rPr>
          <w:lang w:eastAsia="ko-KR"/>
        </w:rPr>
        <w:t xml:space="preserve">home modifications </w:t>
      </w:r>
      <w:r w:rsidRPr="5B7213BA">
        <w:rPr>
          <w:lang w:eastAsia="ko-KR"/>
        </w:rPr>
        <w:t>ensu</w:t>
      </w:r>
      <w:r>
        <w:rPr>
          <w:lang w:eastAsia="ko-KR"/>
        </w:rPr>
        <w:t>r</w:t>
      </w:r>
      <w:r w:rsidRPr="5B7213BA">
        <w:rPr>
          <w:lang w:eastAsia="ko-KR"/>
        </w:rPr>
        <w:t>ing safe living environments.</w:t>
      </w:r>
    </w:p>
    <w:p w14:paraId="2303268A" w14:textId="170FE1BE" w:rsidR="007A743C" w:rsidRPr="003E1933" w:rsidRDefault="007A743C" w:rsidP="00A677C9">
      <w:pPr>
        <w:spacing w:before="240" w:after="240" w:line="240" w:lineRule="auto"/>
        <w:rPr>
          <w:lang w:eastAsia="ko-KR"/>
        </w:rPr>
      </w:pPr>
      <w:r w:rsidRPr="003E1933">
        <w:rPr>
          <w:lang w:eastAsia="ko-KR"/>
        </w:rPr>
        <w:t xml:space="preserve">The Support Plan may include recommendations to assist the older person to maintain and strengthen their capacity to continue to undertake daily activities and maintain social and community connections. Due to the nature of reablement supports, it is possible there will be several items in the Support Plan that need to be delivered in a coordinated way across a number of </w:t>
      </w:r>
      <w:r w:rsidR="00AC5DAE">
        <w:rPr>
          <w:lang w:eastAsia="ko-KR"/>
        </w:rPr>
        <w:t>CHSP</w:t>
      </w:r>
      <w:r w:rsidRPr="003E1933">
        <w:rPr>
          <w:lang w:eastAsia="ko-KR"/>
        </w:rPr>
        <w:t xml:space="preserve"> service types over a limited time period. In these circumstances, the assessor could refer an older person to a lead provider – the organisation or individual provider who will deliver the key services as identified in the Support Plan. </w:t>
      </w:r>
    </w:p>
    <w:p w14:paraId="4AEA35E7" w14:textId="77777777" w:rsidR="007A743C" w:rsidRPr="003E1933" w:rsidRDefault="007A743C" w:rsidP="00A677C9">
      <w:pPr>
        <w:spacing w:before="240" w:after="240" w:line="240" w:lineRule="auto"/>
        <w:rPr>
          <w:lang w:eastAsia="ko-KR"/>
        </w:rPr>
      </w:pPr>
      <w:r w:rsidRPr="003E1933">
        <w:rPr>
          <w:lang w:eastAsia="ko-KR"/>
        </w:rPr>
        <w:t xml:space="preserve">The assessor may also need to take on a coordination role to ensure that all services in the Support Plan are linked to a </w:t>
      </w:r>
      <w:r>
        <w:rPr>
          <w:lang w:eastAsia="ko-KR"/>
        </w:rPr>
        <w:t xml:space="preserve">CHSP </w:t>
      </w:r>
      <w:r w:rsidRPr="003E1933">
        <w:rPr>
          <w:lang w:eastAsia="ko-KR"/>
        </w:rPr>
        <w:t xml:space="preserve">provider, and that they will all be delivered within the timeframe of the overall reablement service. For older </w:t>
      </w:r>
      <w:r>
        <w:rPr>
          <w:lang w:eastAsia="ko-KR"/>
        </w:rPr>
        <w:t>people</w:t>
      </w:r>
      <w:r w:rsidRPr="003E1933">
        <w:rPr>
          <w:lang w:eastAsia="ko-KR"/>
        </w:rPr>
        <w:t xml:space="preserve"> receiving reablement support, assessors must include review dates on the older person’s Support Plan for the purposes of reviewing the older person’s progress towards their goals and desired outcomes, requirement for ongoing services, or whether to adjust the services required. </w:t>
      </w:r>
    </w:p>
    <w:p w14:paraId="1622BA7C" w14:textId="77777777" w:rsidR="007A743C" w:rsidRDefault="007A743C" w:rsidP="00A677C9">
      <w:pPr>
        <w:spacing w:before="240" w:after="240" w:line="240" w:lineRule="auto"/>
        <w:rPr>
          <w:lang w:eastAsia="ko-KR"/>
        </w:rPr>
      </w:pPr>
      <w:r w:rsidRPr="003E1933">
        <w:rPr>
          <w:lang w:eastAsia="ko-KR"/>
        </w:rPr>
        <w:t xml:space="preserve">The reablement function on My Aged Care is designed so that the Support Plan can be finalised but also kept open for the support period to allow additional edits to be made (by the assessor who completed the assessment). The timeliness Key Performance Indicator (KPI) will not be impacted. The timeliness KPI ends at the “finalise Support Plan &amp; keep open for support period”. </w:t>
      </w:r>
    </w:p>
    <w:p w14:paraId="4D58D92C" w14:textId="29E5F211" w:rsidR="007A743C" w:rsidRPr="003E1933" w:rsidRDefault="007A743C" w:rsidP="00A677C9">
      <w:pPr>
        <w:spacing w:before="240" w:after="240" w:line="240" w:lineRule="auto"/>
      </w:pPr>
      <w:r w:rsidRPr="003E1933">
        <w:t xml:space="preserve">For a smaller sub-set of older </w:t>
      </w:r>
      <w:r>
        <w:t>people</w:t>
      </w:r>
      <w:r w:rsidRPr="003E1933">
        <w:t xml:space="preserve">, </w:t>
      </w:r>
      <w:r>
        <w:t>CHSP</w:t>
      </w:r>
      <w:r w:rsidRPr="003E1933">
        <w:t xml:space="preserve"> restorative care may also be appropriate, where assessment indicates that the older person has potential to make a functional gain. Restorative care</w:t>
      </w:r>
      <w:r>
        <w:t xml:space="preserve"> under CHSP</w:t>
      </w:r>
      <w:r w:rsidRPr="003E1933">
        <w:t xml:space="preserve"> involves evidence-based interventions led by an allied health worker or professional that allows a person to make a functional gain or improvement after a setback, or to avoid a preventable injury</w:t>
      </w:r>
      <w:r w:rsidRPr="007D6BC2">
        <w:t>.</w:t>
      </w:r>
    </w:p>
    <w:p w14:paraId="64905AAD" w14:textId="008F26C8" w:rsidR="007A743C" w:rsidRPr="003E1933" w:rsidRDefault="007A743C" w:rsidP="00A677C9">
      <w:pPr>
        <w:spacing w:before="240" w:after="240" w:line="240" w:lineRule="auto"/>
        <w:rPr>
          <w:lang w:eastAsia="ko-KR"/>
        </w:rPr>
      </w:pPr>
      <w:r w:rsidRPr="003E1933">
        <w:rPr>
          <w:lang w:eastAsia="ko-KR"/>
        </w:rPr>
        <w:t>The department’s expected proportion is that assessment organisations recommend a period of reablement</w:t>
      </w:r>
      <w:r>
        <w:rPr>
          <w:lang w:eastAsia="ko-KR"/>
        </w:rPr>
        <w:t xml:space="preserve">, which will include </w:t>
      </w:r>
      <w:r w:rsidRPr="1B42B10E">
        <w:rPr>
          <w:lang w:eastAsia="ko-KR"/>
        </w:rPr>
        <w:t>reablement based</w:t>
      </w:r>
      <w:r w:rsidRPr="00AE5978">
        <w:rPr>
          <w:lang w:eastAsia="ko-KR"/>
        </w:rPr>
        <w:t xml:space="preserve"> strategies and </w:t>
      </w:r>
      <w:r w:rsidRPr="1B42B10E">
        <w:rPr>
          <w:lang w:eastAsia="ko-KR"/>
        </w:rPr>
        <w:t>short-term</w:t>
      </w:r>
      <w:r w:rsidRPr="00AE5978">
        <w:rPr>
          <w:lang w:eastAsia="ko-KR"/>
        </w:rPr>
        <w:t xml:space="preserve"> support from the Aged Care Assessor and, where required, a referral to </w:t>
      </w:r>
      <w:r w:rsidRPr="1B42B10E">
        <w:rPr>
          <w:lang w:eastAsia="ko-KR"/>
        </w:rPr>
        <w:t>short</w:t>
      </w:r>
      <w:r w:rsidR="003863BD">
        <w:rPr>
          <w:lang w:eastAsia="ko-KR"/>
        </w:rPr>
        <w:t>-</w:t>
      </w:r>
      <w:r w:rsidRPr="1B42B10E">
        <w:rPr>
          <w:lang w:eastAsia="ko-KR"/>
        </w:rPr>
        <w:t>term CHSP Reablement based</w:t>
      </w:r>
      <w:r w:rsidRPr="00AE5978">
        <w:rPr>
          <w:lang w:eastAsia="ko-KR"/>
        </w:rPr>
        <w:t xml:space="preserve"> support services</w:t>
      </w:r>
      <w:r>
        <w:rPr>
          <w:lang w:eastAsia="ko-KR"/>
        </w:rPr>
        <w:t>,</w:t>
      </w:r>
      <w:r w:rsidRPr="003E1933">
        <w:rPr>
          <w:lang w:eastAsia="ko-KR"/>
        </w:rPr>
        <w:t xml:space="preserve"> to a minimum of 10% of </w:t>
      </w:r>
      <w:r w:rsidR="00516348">
        <w:rPr>
          <w:lang w:eastAsia="ko-KR"/>
        </w:rPr>
        <w:t>older people</w:t>
      </w:r>
      <w:r w:rsidRPr="003E1933">
        <w:rPr>
          <w:lang w:eastAsia="ko-KR"/>
        </w:rPr>
        <w:t>.</w:t>
      </w:r>
    </w:p>
    <w:p w14:paraId="10F39C0E" w14:textId="77777777" w:rsidR="007A743C" w:rsidRPr="003E1933" w:rsidRDefault="007A743C" w:rsidP="00A677C9">
      <w:pPr>
        <w:pStyle w:val="Sub-headingnon-contentpage"/>
        <w:spacing w:before="240" w:after="240"/>
      </w:pPr>
      <w:r>
        <w:t xml:space="preserve">The following </w:t>
      </w:r>
      <w:r w:rsidRPr="003E1933">
        <w:t xml:space="preserve">Steps/Activities </w:t>
      </w:r>
      <w:r>
        <w:t xml:space="preserve">are required </w:t>
      </w:r>
      <w:r w:rsidRPr="003E1933">
        <w:t xml:space="preserve">for </w:t>
      </w:r>
      <w:r>
        <w:t>f</w:t>
      </w:r>
      <w:r w:rsidRPr="003E1933">
        <w:t xml:space="preserve">acilitating </w:t>
      </w:r>
      <w:r>
        <w:t>r</w:t>
      </w:r>
      <w:r w:rsidRPr="003E1933">
        <w:t>eablement</w:t>
      </w:r>
      <w:r>
        <w:t>:</w:t>
      </w:r>
    </w:p>
    <w:p w14:paraId="7C4BC493" w14:textId="10DE8DAD" w:rsidR="0CB4DB6A" w:rsidRDefault="0CB4DB6A" w:rsidP="1CD32824">
      <w:pPr>
        <w:pStyle w:val="ListParagraph"/>
        <w:numPr>
          <w:ilvl w:val="0"/>
          <w:numId w:val="99"/>
        </w:numPr>
        <w:spacing w:before="240" w:after="240" w:line="240" w:lineRule="auto"/>
        <w:rPr>
          <w:lang w:eastAsia="ko-KR"/>
        </w:rPr>
      </w:pPr>
      <w:r w:rsidRPr="1CD32824">
        <w:rPr>
          <w:lang w:eastAsia="ko-KR"/>
        </w:rPr>
        <w:t xml:space="preserve">Consider if the older person would benefit from short-term reablement </w:t>
      </w:r>
      <w:r w:rsidR="00A172FE" w:rsidRPr="1CD32824">
        <w:rPr>
          <w:lang w:eastAsia="ko-KR"/>
        </w:rPr>
        <w:t>support, particularly</w:t>
      </w:r>
      <w:r w:rsidRPr="1CD32824">
        <w:rPr>
          <w:lang w:eastAsia="ko-KR"/>
        </w:rPr>
        <w:t xml:space="preserve"> if the older person has experienced some functional loss and expresses the desire to improve independence and/or regain confidence and capacity to resume activities, including connecting with their community.</w:t>
      </w:r>
      <w:r w:rsidR="32C4E1F9" w:rsidRPr="3D3DA493">
        <w:rPr>
          <w:lang w:eastAsia="ko-KR"/>
        </w:rPr>
        <w:t xml:space="preserve"> </w:t>
      </w:r>
    </w:p>
    <w:p w14:paraId="63402AE2" w14:textId="64A86D68" w:rsidR="0CB4DB6A" w:rsidRDefault="253C6537" w:rsidP="1CD32824">
      <w:pPr>
        <w:pStyle w:val="ListParagraph"/>
        <w:numPr>
          <w:ilvl w:val="0"/>
          <w:numId w:val="99"/>
        </w:numPr>
        <w:spacing w:before="240" w:after="240" w:line="240" w:lineRule="auto"/>
        <w:rPr>
          <w:lang w:eastAsia="ko-KR"/>
        </w:rPr>
      </w:pPr>
      <w:r w:rsidRPr="531E6D1D">
        <w:rPr>
          <w:lang w:eastAsia="ko-KR"/>
        </w:rPr>
        <w:t>Consider assistive technology or home modifications for reablement</w:t>
      </w:r>
      <w:r w:rsidR="58031CCA" w:rsidRPr="7A9CC589">
        <w:rPr>
          <w:lang w:eastAsia="ko-KR"/>
        </w:rPr>
        <w:t xml:space="preserve"> support</w:t>
      </w:r>
      <w:r w:rsidRPr="7A9CC589">
        <w:rPr>
          <w:lang w:eastAsia="ko-KR"/>
        </w:rPr>
        <w:t>.</w:t>
      </w:r>
      <w:r w:rsidRPr="531E6D1D">
        <w:rPr>
          <w:lang w:eastAsia="ko-KR"/>
        </w:rPr>
        <w:t xml:space="preserve"> </w:t>
      </w:r>
      <w:r w:rsidR="49AAE6ED" w:rsidRPr="495E5F55">
        <w:rPr>
          <w:lang w:eastAsia="ko-KR"/>
        </w:rPr>
        <w:t xml:space="preserve">Support at Home participants </w:t>
      </w:r>
      <w:r w:rsidR="29041E2A" w:rsidRPr="495E5F55">
        <w:rPr>
          <w:lang w:eastAsia="ko-KR"/>
        </w:rPr>
        <w:t>f</w:t>
      </w:r>
      <w:r w:rsidR="65E2E6F7" w:rsidRPr="495E5F55">
        <w:rPr>
          <w:lang w:eastAsia="ko-KR"/>
        </w:rPr>
        <w:t>or</w:t>
      </w:r>
      <w:r w:rsidR="32C4E1F9" w:rsidRPr="71AB99F2">
        <w:rPr>
          <w:lang w:eastAsia="ko-KR"/>
        </w:rPr>
        <w:t xml:space="preserve"> example</w:t>
      </w:r>
      <w:r w:rsidR="1BB45D70" w:rsidRPr="72C9EA41">
        <w:rPr>
          <w:lang w:eastAsia="ko-KR"/>
        </w:rPr>
        <w:t>,</w:t>
      </w:r>
      <w:r w:rsidR="32C4E1F9" w:rsidRPr="71AB99F2">
        <w:rPr>
          <w:lang w:eastAsia="ko-KR"/>
        </w:rPr>
        <w:t xml:space="preserve"> if the older person would </w:t>
      </w:r>
      <w:r w:rsidR="6161CAC0" w:rsidRPr="72C9EA41">
        <w:rPr>
          <w:lang w:eastAsia="ko-KR"/>
        </w:rPr>
        <w:t>benefit</w:t>
      </w:r>
      <w:r w:rsidR="32C4E1F9" w:rsidRPr="71AB99F2">
        <w:rPr>
          <w:lang w:eastAsia="ko-KR"/>
        </w:rPr>
        <w:t xml:space="preserve"> from </w:t>
      </w:r>
      <w:r w:rsidR="7D60C498" w:rsidRPr="64CED487">
        <w:rPr>
          <w:lang w:eastAsia="ko-KR"/>
        </w:rPr>
        <w:t xml:space="preserve">a shower chair under the AT-HM scheme </w:t>
      </w:r>
      <w:r w:rsidR="584DAF8C" w:rsidRPr="495E5F55">
        <w:rPr>
          <w:lang w:eastAsia="ko-KR"/>
        </w:rPr>
        <w:t xml:space="preserve">or </w:t>
      </w:r>
      <w:r w:rsidR="7DC0C285" w:rsidRPr="495E5F55">
        <w:rPr>
          <w:lang w:eastAsia="ko-KR"/>
        </w:rPr>
        <w:t xml:space="preserve">for </w:t>
      </w:r>
      <w:r w:rsidR="34E93778" w:rsidRPr="495E5F55">
        <w:rPr>
          <w:lang w:eastAsia="ko-KR"/>
        </w:rPr>
        <w:t xml:space="preserve">CHSP </w:t>
      </w:r>
      <w:r w:rsidR="576FCD35" w:rsidRPr="495E5F55">
        <w:rPr>
          <w:lang w:eastAsia="ko-KR"/>
        </w:rPr>
        <w:t xml:space="preserve">clients, an </w:t>
      </w:r>
      <w:r w:rsidR="34E93778" w:rsidRPr="495E5F55">
        <w:rPr>
          <w:lang w:eastAsia="ko-KR"/>
        </w:rPr>
        <w:t>equipment and products</w:t>
      </w:r>
      <w:r w:rsidR="6D94B580" w:rsidRPr="495E5F55">
        <w:rPr>
          <w:lang w:eastAsia="ko-KR"/>
        </w:rPr>
        <w:t xml:space="preserve"> </w:t>
      </w:r>
      <w:r w:rsidR="526311DB" w:rsidRPr="495E5F55">
        <w:rPr>
          <w:lang w:eastAsia="ko-KR"/>
        </w:rPr>
        <w:t xml:space="preserve">referral </w:t>
      </w:r>
      <w:r w:rsidR="7D60C498" w:rsidRPr="64CED487">
        <w:rPr>
          <w:lang w:eastAsia="ko-KR"/>
        </w:rPr>
        <w:t xml:space="preserve">to assist </w:t>
      </w:r>
      <w:r w:rsidR="7942A16B" w:rsidRPr="72C9EA41">
        <w:rPr>
          <w:lang w:eastAsia="ko-KR"/>
        </w:rPr>
        <w:t>them with</w:t>
      </w:r>
      <w:r w:rsidR="7D60C498" w:rsidRPr="72C9EA41">
        <w:rPr>
          <w:lang w:eastAsia="ko-KR"/>
        </w:rPr>
        <w:t xml:space="preserve"> shower</w:t>
      </w:r>
      <w:r w:rsidR="77FE4ED4" w:rsidRPr="72C9EA41">
        <w:rPr>
          <w:lang w:eastAsia="ko-KR"/>
        </w:rPr>
        <w:t>ing</w:t>
      </w:r>
      <w:r w:rsidR="7D60C498" w:rsidRPr="72C9EA41">
        <w:rPr>
          <w:lang w:eastAsia="ko-KR"/>
        </w:rPr>
        <w:t xml:space="preserve"> </w:t>
      </w:r>
      <w:r w:rsidR="0985220D" w:rsidRPr="72C9EA41">
        <w:rPr>
          <w:lang w:eastAsia="ko-KR"/>
        </w:rPr>
        <w:t>and</w:t>
      </w:r>
      <w:r w:rsidR="7D60C498" w:rsidRPr="72C9EA41">
        <w:rPr>
          <w:lang w:eastAsia="ko-KR"/>
        </w:rPr>
        <w:t xml:space="preserve"> </w:t>
      </w:r>
      <w:r w:rsidR="08766E26" w:rsidRPr="72C9EA41">
        <w:rPr>
          <w:lang w:eastAsia="ko-KR"/>
        </w:rPr>
        <w:t>preserve</w:t>
      </w:r>
      <w:r w:rsidR="7D60C498" w:rsidRPr="72C9EA41">
        <w:rPr>
          <w:lang w:eastAsia="ko-KR"/>
        </w:rPr>
        <w:t xml:space="preserve"> their </w:t>
      </w:r>
      <w:r w:rsidR="24361902" w:rsidRPr="72C9EA41">
        <w:rPr>
          <w:lang w:eastAsia="ko-KR"/>
        </w:rPr>
        <w:t>dignity</w:t>
      </w:r>
      <w:r w:rsidR="12DF35BD" w:rsidRPr="72C9EA41">
        <w:rPr>
          <w:lang w:eastAsia="ko-KR"/>
        </w:rPr>
        <w:t xml:space="preserve">, </w:t>
      </w:r>
      <w:r w:rsidR="7D60C498" w:rsidRPr="72C9EA41">
        <w:rPr>
          <w:lang w:eastAsia="ko-KR"/>
        </w:rPr>
        <w:t xml:space="preserve">instead of </w:t>
      </w:r>
      <w:r w:rsidR="55826CB4" w:rsidRPr="72C9EA41">
        <w:rPr>
          <w:lang w:eastAsia="ko-KR"/>
        </w:rPr>
        <w:t xml:space="preserve">having a </w:t>
      </w:r>
      <w:r w:rsidR="000A3D17">
        <w:rPr>
          <w:lang w:eastAsia="ko-KR"/>
        </w:rPr>
        <w:t>support worker</w:t>
      </w:r>
      <w:r w:rsidR="55826CB4" w:rsidRPr="72C9EA41">
        <w:rPr>
          <w:lang w:eastAsia="ko-KR"/>
        </w:rPr>
        <w:t xml:space="preserve"> to </w:t>
      </w:r>
      <w:r w:rsidR="00D754D3">
        <w:rPr>
          <w:lang w:eastAsia="ko-KR"/>
        </w:rPr>
        <w:t>attend</w:t>
      </w:r>
      <w:r w:rsidR="55826CB4" w:rsidRPr="72C9EA41">
        <w:rPr>
          <w:lang w:eastAsia="ko-KR"/>
        </w:rPr>
        <w:t xml:space="preserve"> and</w:t>
      </w:r>
      <w:r w:rsidR="7D60C498" w:rsidRPr="1A0734A8">
        <w:rPr>
          <w:lang w:eastAsia="ko-KR"/>
        </w:rPr>
        <w:t xml:space="preserve"> shower </w:t>
      </w:r>
      <w:r w:rsidR="55826CB4" w:rsidRPr="72C9EA41">
        <w:rPr>
          <w:lang w:eastAsia="ko-KR"/>
        </w:rPr>
        <w:t>them.</w:t>
      </w:r>
    </w:p>
    <w:p w14:paraId="323B7B75" w14:textId="040749C5" w:rsidR="007A743C" w:rsidRPr="003E1933" w:rsidRDefault="007A743C" w:rsidP="00DF3F6B">
      <w:pPr>
        <w:pStyle w:val="ListParagraph"/>
        <w:numPr>
          <w:ilvl w:val="0"/>
          <w:numId w:val="99"/>
        </w:numPr>
        <w:spacing w:before="240" w:after="240" w:line="240" w:lineRule="auto"/>
        <w:rPr>
          <w:lang w:eastAsia="ko-KR"/>
        </w:rPr>
      </w:pPr>
      <w:r>
        <w:rPr>
          <w:lang w:eastAsia="ko-KR"/>
        </w:rPr>
        <w:t xml:space="preserve">Where </w:t>
      </w:r>
      <w:r w:rsidRPr="003E1933">
        <w:rPr>
          <w:lang w:eastAsia="ko-KR"/>
        </w:rPr>
        <w:t xml:space="preserve">reablement is </w:t>
      </w:r>
      <w:r>
        <w:rPr>
          <w:lang w:eastAsia="ko-KR"/>
        </w:rPr>
        <w:t xml:space="preserve">to be </w:t>
      </w:r>
      <w:r w:rsidRPr="003E1933">
        <w:rPr>
          <w:lang w:eastAsia="ko-KR"/>
        </w:rPr>
        <w:t xml:space="preserve">provided </w:t>
      </w:r>
      <w:r>
        <w:rPr>
          <w:lang w:eastAsia="ko-KR"/>
        </w:rPr>
        <w:t>by one or more CHSP providers</w:t>
      </w:r>
      <w:r w:rsidRPr="003E1933">
        <w:rPr>
          <w:lang w:eastAsia="ko-KR"/>
        </w:rPr>
        <w:t xml:space="preserve">, recommend a period of reablement on the older person’s Support Plan. This function allows assessors to identify </w:t>
      </w:r>
      <w:r w:rsidR="00516348">
        <w:rPr>
          <w:lang w:eastAsia="ko-KR"/>
        </w:rPr>
        <w:t>older people</w:t>
      </w:r>
      <w:r w:rsidRPr="003E1933">
        <w:rPr>
          <w:lang w:eastAsia="ko-KR"/>
        </w:rPr>
        <w:t xml:space="preserve"> who would benefit from reablement and allow assessors to make changes to the older person’s Support Plan during the reablement period. Users accessing the older person’s record (such as </w:t>
      </w:r>
      <w:r w:rsidR="00516348">
        <w:rPr>
          <w:lang w:eastAsia="ko-KR"/>
        </w:rPr>
        <w:t>older people</w:t>
      </w:r>
      <w:r w:rsidRPr="003E1933">
        <w:rPr>
          <w:lang w:eastAsia="ko-KR"/>
        </w:rPr>
        <w:t xml:space="preserve"> and service providers) will be informed that the older person is undergoing a period of linking support and/or reablement.</w:t>
      </w:r>
    </w:p>
    <w:p w14:paraId="2EFBF6D2" w14:textId="77777777"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Focus on elements of functional tasks that an older person can complete, and discuss what specific assistance they would benefit from in order to complete the task by themselves (to maintain and continue the independence to live at home)</w:t>
      </w:r>
    </w:p>
    <w:p w14:paraId="13389C6D" w14:textId="77777777"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Discuss strategies an older person can employ to more easily manage day-to-day tasks (e.g., transport planning to meet goals around the use of public transport to maintain usual activities)</w:t>
      </w:r>
    </w:p>
    <w:p w14:paraId="7DD5B5AB" w14:textId="77777777" w:rsidR="007A743C" w:rsidRDefault="007A743C" w:rsidP="00DF3F6B">
      <w:pPr>
        <w:pStyle w:val="ListParagraph"/>
        <w:numPr>
          <w:ilvl w:val="0"/>
          <w:numId w:val="99"/>
        </w:numPr>
        <w:spacing w:before="240" w:after="240" w:line="240" w:lineRule="auto"/>
        <w:rPr>
          <w:lang w:eastAsia="ko-KR"/>
        </w:rPr>
      </w:pPr>
      <w:r w:rsidRPr="003E1933">
        <w:rPr>
          <w:lang w:eastAsia="ko-KR"/>
        </w:rPr>
        <w:t xml:space="preserve">It is important to ask what goals the older person wants to achieve. This can be as simple as making a cup of tea without help, or to understand their bus timetable. A goal could be walking to the local bus stop to go shopping, or to get to regular senior’s events. Even small goals go a long way towards building self-confidence and regaining (or maintaining) skills to get back to doing things for oneself, to be more independent; </w:t>
      </w:r>
    </w:p>
    <w:p w14:paraId="0AA76A8B" w14:textId="77777777" w:rsidR="007A743C" w:rsidRPr="00D70730" w:rsidRDefault="007A743C" w:rsidP="00DF3F6B">
      <w:pPr>
        <w:pStyle w:val="ListParagraph"/>
        <w:numPr>
          <w:ilvl w:val="0"/>
          <w:numId w:val="99"/>
        </w:numPr>
        <w:spacing w:before="240" w:after="240" w:line="240" w:lineRule="auto"/>
        <w:rPr>
          <w:lang w:eastAsia="ko-KR"/>
        </w:rPr>
      </w:pPr>
      <w:r w:rsidRPr="017FF414">
        <w:rPr>
          <w:lang w:eastAsia="ko-KR"/>
        </w:rPr>
        <w:t>When looking at what goals the older person could achieve, start by asking what a good day looks like for them? Then work out with the older person what goals they need to achieve to have more of those good days.</w:t>
      </w:r>
    </w:p>
    <w:p w14:paraId="53AF0F11" w14:textId="77777777" w:rsidR="007A743C" w:rsidRDefault="007A743C" w:rsidP="00DF3F6B">
      <w:pPr>
        <w:pStyle w:val="ListParagraph"/>
        <w:numPr>
          <w:ilvl w:val="0"/>
          <w:numId w:val="99"/>
        </w:numPr>
        <w:spacing w:before="240" w:after="240" w:line="240" w:lineRule="auto"/>
        <w:rPr>
          <w:lang w:eastAsia="ko-KR"/>
        </w:rPr>
      </w:pPr>
      <w:r w:rsidRPr="003E1933">
        <w:rPr>
          <w:lang w:eastAsia="ko-KR"/>
        </w:rPr>
        <w:t xml:space="preserve">Consider the older person’s need for a mix of short-term, episodic, or ongoing services across </w:t>
      </w:r>
      <w:r>
        <w:rPr>
          <w:lang w:eastAsia="ko-KR"/>
        </w:rPr>
        <w:t xml:space="preserve">CHSP </w:t>
      </w:r>
      <w:r w:rsidRPr="003E1933">
        <w:rPr>
          <w:lang w:eastAsia="ko-KR"/>
        </w:rPr>
        <w:t>service types (e.g., short-term personal care, episodic allied health, ongoing transport). Review this approach regularly to ensure the intensity of services matches the older person’s needs.</w:t>
      </w:r>
    </w:p>
    <w:p w14:paraId="7DE1DE55" w14:textId="77777777" w:rsidR="007A743C" w:rsidRPr="003E1933" w:rsidRDefault="007A743C" w:rsidP="00DF3F6B">
      <w:pPr>
        <w:pStyle w:val="ListParagraph"/>
        <w:numPr>
          <w:ilvl w:val="0"/>
          <w:numId w:val="99"/>
        </w:numPr>
        <w:spacing w:before="240" w:after="240" w:line="240" w:lineRule="auto"/>
        <w:rPr>
          <w:lang w:eastAsia="ko-KR"/>
        </w:rPr>
      </w:pPr>
      <w:r w:rsidRPr="017FF414">
        <w:rPr>
          <w:lang w:eastAsia="ko-KR"/>
        </w:rPr>
        <w:t>Maintain regular contact with the older person and providers and during the period of reablement.</w:t>
      </w:r>
    </w:p>
    <w:p w14:paraId="5D1B56F1" w14:textId="77777777"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In consultation, determine when the reablement period should be finalised and what ongoing support (if any) may be required for the older person.</w:t>
      </w:r>
    </w:p>
    <w:p w14:paraId="7CE34353" w14:textId="6E7EA1B2" w:rsidR="007A743C" w:rsidRPr="003E1933" w:rsidRDefault="007A743C" w:rsidP="00DF3F6B">
      <w:pPr>
        <w:pStyle w:val="ListParagraph"/>
        <w:numPr>
          <w:ilvl w:val="0"/>
          <w:numId w:val="99"/>
        </w:numPr>
        <w:spacing w:before="240" w:after="240" w:line="240" w:lineRule="auto"/>
        <w:rPr>
          <w:lang w:eastAsia="ko-KR"/>
        </w:rPr>
      </w:pPr>
      <w:r w:rsidRPr="003E1933">
        <w:rPr>
          <w:lang w:eastAsia="ko-KR"/>
        </w:rPr>
        <w:t xml:space="preserve">Develop local knowledge of reablement-type services in the region. Discuss with local providers their capacity and willingness to take on short-term </w:t>
      </w:r>
      <w:r w:rsidR="00516348">
        <w:rPr>
          <w:lang w:eastAsia="ko-KR"/>
        </w:rPr>
        <w:t>older people</w:t>
      </w:r>
      <w:r w:rsidRPr="003E1933">
        <w:rPr>
          <w:lang w:eastAsia="ko-KR"/>
        </w:rPr>
        <w:t xml:space="preserve"> as part of a reablement episode.</w:t>
      </w:r>
    </w:p>
    <w:p w14:paraId="359AB6F2" w14:textId="516A280F" w:rsidR="007A743C" w:rsidRDefault="007A743C" w:rsidP="00DF3F6B">
      <w:pPr>
        <w:pStyle w:val="ListParagraph"/>
        <w:numPr>
          <w:ilvl w:val="0"/>
          <w:numId w:val="99"/>
        </w:numPr>
        <w:spacing w:before="240" w:after="240" w:line="240" w:lineRule="auto"/>
        <w:rPr>
          <w:lang w:eastAsia="ko-KR"/>
        </w:rPr>
      </w:pPr>
      <w:r w:rsidRPr="003E1933">
        <w:rPr>
          <w:lang w:eastAsia="ko-KR"/>
        </w:rPr>
        <w:t xml:space="preserve">An expanded in-depth description of Supporting Independence: Reablement including older person scenarios is at Appendix </w:t>
      </w:r>
      <w:r w:rsidR="00AF6C33">
        <w:rPr>
          <w:lang w:eastAsia="ko-KR"/>
        </w:rPr>
        <w:t>E</w:t>
      </w:r>
      <w:r w:rsidRPr="003E1933">
        <w:rPr>
          <w:lang w:eastAsia="ko-KR"/>
        </w:rPr>
        <w:t>.</w:t>
      </w:r>
    </w:p>
    <w:p w14:paraId="0B693C0E" w14:textId="77777777" w:rsidR="007A743C" w:rsidRDefault="007A743C" w:rsidP="00A677C9">
      <w:pPr>
        <w:pStyle w:val="ListParagraph"/>
        <w:spacing w:before="240" w:after="240" w:line="240" w:lineRule="auto"/>
        <w:ind w:left="360"/>
        <w:rPr>
          <w:lang w:eastAsia="ko-KR"/>
        </w:rPr>
      </w:pPr>
    </w:p>
    <w:tbl>
      <w:tblPr>
        <w:tblStyle w:val="TableGrid"/>
        <w:tblW w:w="0" w:type="auto"/>
        <w:tblLook w:val="04A0" w:firstRow="1" w:lastRow="0" w:firstColumn="1" w:lastColumn="0" w:noHBand="0" w:noVBand="1"/>
      </w:tblPr>
      <w:tblGrid>
        <w:gridCol w:w="846"/>
        <w:gridCol w:w="6866"/>
      </w:tblGrid>
      <w:tr w:rsidR="007A743C" w14:paraId="0D3EAEB7" w14:textId="77777777">
        <w:trPr>
          <w:trHeight w:val="1440"/>
        </w:trPr>
        <w:tc>
          <w:tcPr>
            <w:tcW w:w="846" w:type="dxa"/>
          </w:tcPr>
          <w:p w14:paraId="5F31AC44" w14:textId="77777777" w:rsidR="007A743C" w:rsidRPr="0051333F" w:rsidRDefault="007A743C" w:rsidP="00A677C9">
            <w:pPr>
              <w:tabs>
                <w:tab w:val="left" w:pos="709"/>
              </w:tabs>
              <w:spacing w:before="240" w:after="240"/>
              <w:rPr>
                <w:lang w:eastAsia="ko-KR"/>
              </w:rPr>
            </w:pPr>
            <w:r w:rsidRPr="0028657F">
              <w:rPr>
                <w:noProof/>
              </w:rPr>
              <w:drawing>
                <wp:anchor distT="0" distB="0" distL="114300" distR="114300" simplePos="0" relativeHeight="251658250" behindDoc="0" locked="0" layoutInCell="1" allowOverlap="1" wp14:anchorId="68502116" wp14:editId="6D1BEAEC">
                  <wp:simplePos x="0" y="0"/>
                  <wp:positionH relativeFrom="margin">
                    <wp:posOffset>-15875</wp:posOffset>
                  </wp:positionH>
                  <wp:positionV relativeFrom="paragraph">
                    <wp:posOffset>255270</wp:posOffset>
                  </wp:positionV>
                  <wp:extent cx="342900" cy="340995"/>
                  <wp:effectExtent l="0" t="0" r="0" b="1905"/>
                  <wp:wrapSquare wrapText="bothSides"/>
                  <wp:docPr id="361579353" name="Picture 3615793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0FAA9BFA" w14:textId="77777777" w:rsidR="007A743C" w:rsidRPr="003E1933" w:rsidRDefault="007A743C" w:rsidP="00A677C9">
            <w:pPr>
              <w:spacing w:before="240" w:after="240"/>
              <w:rPr>
                <w:b/>
                <w:szCs w:val="22"/>
              </w:rPr>
            </w:pPr>
            <w:r w:rsidRPr="003E1933">
              <w:rPr>
                <w:b/>
                <w:szCs w:val="22"/>
              </w:rPr>
              <w:t>Department of Health</w:t>
            </w:r>
            <w:r>
              <w:rPr>
                <w:b/>
                <w:szCs w:val="22"/>
              </w:rPr>
              <w:t>, Disability</w:t>
            </w:r>
            <w:r w:rsidRPr="003E1933">
              <w:rPr>
                <w:b/>
                <w:szCs w:val="22"/>
              </w:rPr>
              <w:t xml:space="preserve"> and </w:t>
            </w:r>
            <w:r w:rsidRPr="017FF414">
              <w:rPr>
                <w:b/>
                <w:szCs w:val="22"/>
              </w:rPr>
              <w:t>Ageing</w:t>
            </w:r>
            <w:r w:rsidRPr="003E1933">
              <w:rPr>
                <w:b/>
                <w:szCs w:val="22"/>
              </w:rPr>
              <w:t xml:space="preserve"> website: </w:t>
            </w:r>
          </w:p>
          <w:p w14:paraId="1F2E6F2F" w14:textId="77777777" w:rsidR="007A743C" w:rsidRPr="005F4645" w:rsidRDefault="007A743C" w:rsidP="00DF3F6B">
            <w:pPr>
              <w:pStyle w:val="ListParagraph"/>
              <w:numPr>
                <w:ilvl w:val="0"/>
                <w:numId w:val="105"/>
              </w:numPr>
              <w:spacing w:before="240" w:after="240"/>
              <w:ind w:left="458"/>
              <w:rPr>
                <w:color w:val="2BB1BB"/>
                <w:szCs w:val="22"/>
                <w:u w:val="single"/>
              </w:rPr>
            </w:pPr>
            <w:hyperlink r:id="rId158">
              <w:r w:rsidRPr="017FF414">
                <w:rPr>
                  <w:color w:val="2BB1BB"/>
                  <w:szCs w:val="22"/>
                  <w:u w:val="single"/>
                </w:rPr>
                <w:t>Commonwealth Home Support Program (CHSP) 2025-27 Manual | Australian Government Department of Health, Disability and Ageing</w:t>
              </w:r>
            </w:hyperlink>
          </w:p>
          <w:p w14:paraId="536C1BBD" w14:textId="77777777" w:rsidR="007A743C" w:rsidRDefault="007A743C" w:rsidP="00DF3F6B">
            <w:pPr>
              <w:pStyle w:val="ListParagraph"/>
              <w:numPr>
                <w:ilvl w:val="0"/>
                <w:numId w:val="105"/>
              </w:numPr>
              <w:spacing w:before="240" w:after="240"/>
              <w:ind w:left="458"/>
              <w:rPr>
                <w:lang w:eastAsia="ko-KR"/>
              </w:rPr>
            </w:pPr>
            <w:hyperlink r:id="rId159">
              <w:r w:rsidRPr="017FF414">
                <w:rPr>
                  <w:rStyle w:val="Hyperlink"/>
                </w:rPr>
                <w:t>Wellness and reablement resources</w:t>
              </w:r>
            </w:hyperlink>
          </w:p>
          <w:p w14:paraId="75710E4E" w14:textId="77777777" w:rsidR="007A743C" w:rsidRDefault="007A743C" w:rsidP="00DF3F6B">
            <w:pPr>
              <w:pStyle w:val="ListParagraph"/>
              <w:numPr>
                <w:ilvl w:val="0"/>
                <w:numId w:val="105"/>
              </w:numPr>
              <w:spacing w:before="240" w:after="240"/>
              <w:ind w:left="458"/>
              <w:rPr>
                <w:lang w:eastAsia="ko-KR"/>
              </w:rPr>
            </w:pPr>
            <w:hyperlink r:id="rId160">
              <w:r w:rsidRPr="7AD2C21E">
                <w:rPr>
                  <w:rStyle w:val="Hyperlink"/>
                </w:rPr>
                <w:t>Living Well at Home – CHSP Good Practice Guide</w:t>
              </w:r>
            </w:hyperlink>
          </w:p>
        </w:tc>
      </w:tr>
    </w:tbl>
    <w:p w14:paraId="38C15702" w14:textId="7498E0A2" w:rsidR="007A743C" w:rsidRPr="00766DBD" w:rsidRDefault="007A743C" w:rsidP="00C56CEC">
      <w:pPr>
        <w:pStyle w:val="H3"/>
      </w:pPr>
      <w:bookmarkStart w:id="428" w:name="_Toc198813657"/>
      <w:bookmarkStart w:id="429" w:name="_Toc204329559"/>
      <w:bookmarkStart w:id="430" w:name="CH1_LinkingSupports"/>
      <w:bookmarkStart w:id="431" w:name="_Ref128155818"/>
      <w:r w:rsidRPr="007B5599">
        <w:t xml:space="preserve">Linking </w:t>
      </w:r>
      <w:r w:rsidR="004D00EC">
        <w:t>s</w:t>
      </w:r>
      <w:r w:rsidRPr="007B5599">
        <w:t>upports</w:t>
      </w:r>
      <w:bookmarkEnd w:id="428"/>
      <w:bookmarkEnd w:id="429"/>
    </w:p>
    <w:bookmarkEnd w:id="430"/>
    <w:p w14:paraId="56C77475" w14:textId="77777777" w:rsidR="00E87E6F" w:rsidRDefault="007A743C" w:rsidP="00A677C9">
      <w:pPr>
        <w:spacing w:before="240" w:after="240" w:line="240" w:lineRule="auto"/>
      </w:pPr>
      <w:r w:rsidRPr="0C1D10EC">
        <w:t xml:space="preserve">The </w:t>
      </w:r>
      <w:r w:rsidR="003E58E9">
        <w:t>de</w:t>
      </w:r>
      <w:r w:rsidR="003E58E9" w:rsidRPr="0C1D10EC">
        <w:t>partment</w:t>
      </w:r>
      <w:r w:rsidRPr="0C1D10EC">
        <w:t xml:space="preserve"> has established services that will assist clients requiring support to access aged care services, including Care Finders, and Elder Care Support services.</w:t>
      </w:r>
    </w:p>
    <w:p w14:paraId="3743BA30" w14:textId="77777777" w:rsidR="00913756" w:rsidRDefault="00913756" w:rsidP="00A677C9">
      <w:pPr>
        <w:spacing w:before="240" w:after="240" w:line="240" w:lineRule="auto"/>
      </w:pPr>
      <w:r w:rsidRPr="0078752B">
        <w:t>For</w:t>
      </w:r>
      <w:r w:rsidDel="00A95B6E">
        <w:t xml:space="preserve"> Aboriginal and Torres Strait Islander </w:t>
      </w:r>
      <w:r w:rsidRPr="0078752B">
        <w:t xml:space="preserve">assessment organisations, </w:t>
      </w:r>
      <w:r>
        <w:t>Elder Care Support</w:t>
      </w:r>
      <w:r w:rsidRPr="0078752B">
        <w:t xml:space="preserve"> workers </w:t>
      </w:r>
      <w:r>
        <w:t xml:space="preserve">can be </w:t>
      </w:r>
      <w:r w:rsidRPr="0078752B">
        <w:t>key partners in delivering culturally safe, trauma-aware, and healing</w:t>
      </w:r>
      <w:r>
        <w:t xml:space="preserve"> </w:t>
      </w:r>
      <w:r w:rsidRPr="0078752B">
        <w:t>informed assessments.</w:t>
      </w:r>
      <w:r>
        <w:t xml:space="preserve"> where it is needed.</w:t>
      </w:r>
    </w:p>
    <w:p w14:paraId="43668E14" w14:textId="18859E98" w:rsidR="00913756" w:rsidRPr="00845A5A" w:rsidRDefault="00913756" w:rsidP="00A677C9">
      <w:pPr>
        <w:spacing w:before="240" w:after="240" w:line="240" w:lineRule="auto"/>
      </w:pPr>
      <w:r>
        <w:t xml:space="preserve">With </w:t>
      </w:r>
      <w:r w:rsidR="00DF0AAA">
        <w:t>a</w:t>
      </w:r>
      <w:r>
        <w:t xml:space="preserve"> client’s consent, Elder Care Support workers could attend an assessment to provide trusted experience for the older person. The assessor should work closely with Elder Care Support staff to facilitate a warm handover. This collaboration ensures continuity of care and supports a culturally safe and trusted transition for the older person into aged care services. </w:t>
      </w:r>
    </w:p>
    <w:p w14:paraId="5F9D8262" w14:textId="2BEA7E5E" w:rsidR="00913756" w:rsidRDefault="00913756" w:rsidP="00A677C9">
      <w:pPr>
        <w:spacing w:before="240" w:after="240" w:line="240" w:lineRule="auto"/>
      </w:pPr>
      <w:r>
        <w:t>If an Elder Care Support worker has not been engaged prior to the assessment, the assessor should assist the older person in connecting with Elder Care Support services delivered by Aboriginal Community Controlled Health Organisations This support can help build trust, improve understanding of the aged care system and facilitate a smoother transition into services.</w:t>
      </w:r>
    </w:p>
    <w:tbl>
      <w:tblPr>
        <w:tblStyle w:val="TableGrid"/>
        <w:tblW w:w="0" w:type="auto"/>
        <w:tblLook w:val="04A0" w:firstRow="1" w:lastRow="0" w:firstColumn="1" w:lastColumn="0" w:noHBand="0" w:noVBand="1"/>
      </w:tblPr>
      <w:tblGrid>
        <w:gridCol w:w="846"/>
        <w:gridCol w:w="6866"/>
      </w:tblGrid>
      <w:tr w:rsidR="00E77149" w14:paraId="3E10F424" w14:textId="77777777">
        <w:trPr>
          <w:trHeight w:val="1440"/>
        </w:trPr>
        <w:tc>
          <w:tcPr>
            <w:tcW w:w="846" w:type="dxa"/>
          </w:tcPr>
          <w:p w14:paraId="28F10BDA" w14:textId="77777777" w:rsidR="00E77149" w:rsidRPr="0051333F" w:rsidRDefault="00E77149" w:rsidP="00173995">
            <w:pPr>
              <w:tabs>
                <w:tab w:val="left" w:pos="709"/>
              </w:tabs>
              <w:spacing w:before="240" w:after="240"/>
              <w:rPr>
                <w:lang w:eastAsia="ko-KR"/>
              </w:rPr>
            </w:pPr>
            <w:r w:rsidRPr="0028657F">
              <w:rPr>
                <w:noProof/>
              </w:rPr>
              <w:drawing>
                <wp:anchor distT="0" distB="0" distL="114300" distR="114300" simplePos="0" relativeHeight="251658273" behindDoc="0" locked="0" layoutInCell="1" allowOverlap="1" wp14:anchorId="2B72EBAF" wp14:editId="72C873E9">
                  <wp:simplePos x="0" y="0"/>
                  <wp:positionH relativeFrom="margin">
                    <wp:posOffset>-15875</wp:posOffset>
                  </wp:positionH>
                  <wp:positionV relativeFrom="paragraph">
                    <wp:posOffset>255270</wp:posOffset>
                  </wp:positionV>
                  <wp:extent cx="342900" cy="340995"/>
                  <wp:effectExtent l="0" t="0" r="0" b="1905"/>
                  <wp:wrapSquare wrapText="bothSides"/>
                  <wp:docPr id="551472161" name="Picture 55147216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42606085" w14:textId="77777777" w:rsidR="00E77149" w:rsidRPr="003E1933" w:rsidRDefault="00E77149" w:rsidP="00173995">
            <w:pPr>
              <w:spacing w:before="240" w:after="240"/>
              <w:rPr>
                <w:b/>
                <w:szCs w:val="22"/>
              </w:rPr>
            </w:pPr>
            <w:r w:rsidRPr="003E1933">
              <w:rPr>
                <w:b/>
                <w:szCs w:val="22"/>
              </w:rPr>
              <w:t>Department of Health</w:t>
            </w:r>
            <w:r>
              <w:rPr>
                <w:b/>
                <w:szCs w:val="22"/>
              </w:rPr>
              <w:t>, Disability</w:t>
            </w:r>
            <w:r w:rsidRPr="003E1933">
              <w:rPr>
                <w:b/>
                <w:szCs w:val="22"/>
              </w:rPr>
              <w:t xml:space="preserve"> and </w:t>
            </w:r>
            <w:r w:rsidRPr="017FF414">
              <w:rPr>
                <w:b/>
                <w:szCs w:val="22"/>
              </w:rPr>
              <w:t>Ageing</w:t>
            </w:r>
            <w:r w:rsidRPr="003E1933">
              <w:rPr>
                <w:b/>
                <w:szCs w:val="22"/>
              </w:rPr>
              <w:t xml:space="preserve"> website: </w:t>
            </w:r>
          </w:p>
          <w:p w14:paraId="2D5557AB" w14:textId="2713CE2A" w:rsidR="00E77149" w:rsidRDefault="00E77149" w:rsidP="00DF3F6B">
            <w:pPr>
              <w:pStyle w:val="ListParagraph"/>
              <w:numPr>
                <w:ilvl w:val="0"/>
                <w:numId w:val="105"/>
              </w:numPr>
              <w:spacing w:before="240" w:after="240"/>
              <w:ind w:left="458"/>
              <w:rPr>
                <w:lang w:eastAsia="ko-KR"/>
              </w:rPr>
            </w:pPr>
            <w:hyperlink r:id="rId161" w:history="1">
              <w:r w:rsidRPr="00E77149">
                <w:rPr>
                  <w:rStyle w:val="Hyperlink"/>
                  <w:lang w:eastAsia="ko-KR"/>
                </w:rPr>
                <w:t>List of Elder Care Support Providers | Australian Government Department of Health, Disability and Ageing</w:t>
              </w:r>
            </w:hyperlink>
          </w:p>
        </w:tc>
      </w:tr>
    </w:tbl>
    <w:p w14:paraId="14BBB5B6" w14:textId="016DA41E" w:rsidR="007A743C" w:rsidRPr="00880B95" w:rsidRDefault="007A743C" w:rsidP="00A677C9">
      <w:pPr>
        <w:spacing w:before="240" w:after="240" w:line="240" w:lineRule="auto"/>
      </w:pPr>
      <w:r w:rsidRPr="0C1D10EC">
        <w:t xml:space="preserve">Where a client’s complex circumstances may be impeding their access to aged care services, </w:t>
      </w:r>
      <w:r w:rsidR="00C9379D">
        <w:t>l</w:t>
      </w:r>
      <w:r w:rsidRPr="0C1D10EC">
        <w:t xml:space="preserve">inking </w:t>
      </w:r>
      <w:r w:rsidR="00C9379D">
        <w:t>s</w:t>
      </w:r>
      <w:r w:rsidRPr="0C1D10EC">
        <w:t xml:space="preserve">ervice </w:t>
      </w:r>
      <w:r w:rsidR="00C9379D">
        <w:t>s</w:t>
      </w:r>
      <w:r w:rsidRPr="0C1D10EC">
        <w:t xml:space="preserve">upport will assist in linking them to the various services they require to live in the community with dignity, safety and independence. The aged care needs assessor must determine if a client requires </w:t>
      </w:r>
      <w:r w:rsidR="00A16275">
        <w:t>l</w:t>
      </w:r>
      <w:r w:rsidR="00A16275" w:rsidRPr="0C1D10EC">
        <w:t xml:space="preserve">inking </w:t>
      </w:r>
      <w:r w:rsidR="00A16275">
        <w:t>support</w:t>
      </w:r>
      <w:r w:rsidRPr="0C1D10EC">
        <w:t xml:space="preserve">. </w:t>
      </w:r>
    </w:p>
    <w:p w14:paraId="0036B44E" w14:textId="56BD1B8E" w:rsidR="007A743C" w:rsidRDefault="007A743C" w:rsidP="00A677C9">
      <w:pPr>
        <w:spacing w:before="240" w:after="240" w:line="240" w:lineRule="auto"/>
      </w:pPr>
      <w:r w:rsidRPr="0C1D10EC">
        <w:t xml:space="preserve">Linking </w:t>
      </w:r>
      <w:r w:rsidR="00C9379D">
        <w:t>s</w:t>
      </w:r>
      <w:r w:rsidRPr="0C1D10EC">
        <w:t xml:space="preserve">ervice </w:t>
      </w:r>
      <w:r w:rsidR="004D2CE9">
        <w:t>s</w:t>
      </w:r>
      <w:r w:rsidRPr="0C1D10EC">
        <w:t>upport activities are aimed at working with the client to address areas of vulnerability that are preventing access to receiving mainstream aged care support, to the extent that the client is willing or able to access aged care services. The issues include homelessness, mental health issues, drug and alcohol issues, elder and systems abuse, neglect, financial disadvantage and cognitive decline.</w:t>
      </w:r>
    </w:p>
    <w:p w14:paraId="4DAFB5C1" w14:textId="579D3EDD" w:rsidR="007A743C" w:rsidRPr="00880B95" w:rsidRDefault="007A743C" w:rsidP="00A677C9">
      <w:pPr>
        <w:spacing w:before="240" w:after="240" w:line="240" w:lineRule="auto"/>
      </w:pPr>
      <w:r w:rsidRPr="00880B95">
        <w:t xml:space="preserve">Linking </w:t>
      </w:r>
      <w:r w:rsidR="004D2CE9">
        <w:t>s</w:t>
      </w:r>
      <w:r w:rsidRPr="00880B95">
        <w:t xml:space="preserve">ervice </w:t>
      </w:r>
      <w:r w:rsidR="004D2CE9">
        <w:t>s</w:t>
      </w:r>
      <w:r w:rsidRPr="00880B95">
        <w:t xml:space="preserve">upport through the </w:t>
      </w:r>
      <w:r w:rsidR="005F5882">
        <w:t>a</w:t>
      </w:r>
      <w:r w:rsidRPr="00880B95">
        <w:t xml:space="preserve">ssessment </w:t>
      </w:r>
      <w:r w:rsidR="005F5882">
        <w:t>o</w:t>
      </w:r>
      <w:r w:rsidRPr="00880B95">
        <w:t xml:space="preserve">rganisation is limited to short-term case management or care coordination to the Point of Effective Referral. It is not designed to provide ongoing support services. The role of the </w:t>
      </w:r>
      <w:r>
        <w:t>a</w:t>
      </w:r>
      <w:r w:rsidRPr="00880B95">
        <w:t xml:space="preserve">ged </w:t>
      </w:r>
      <w:r>
        <w:t>c</w:t>
      </w:r>
      <w:r w:rsidRPr="00880B95">
        <w:t xml:space="preserve">are </w:t>
      </w:r>
      <w:r>
        <w:t>n</w:t>
      </w:r>
      <w:r w:rsidRPr="00880B95">
        <w:t xml:space="preserve">eeds </w:t>
      </w:r>
      <w:r>
        <w:t>a</w:t>
      </w:r>
      <w:r w:rsidRPr="00880B95">
        <w:t>ssessor is finalised when:</w:t>
      </w:r>
    </w:p>
    <w:p w14:paraId="68DC8767" w14:textId="41152041" w:rsidR="007A743C" w:rsidRPr="00880B95" w:rsidRDefault="007A743C" w:rsidP="00DF3F6B">
      <w:pPr>
        <w:pStyle w:val="ListParagraph"/>
        <w:numPr>
          <w:ilvl w:val="0"/>
          <w:numId w:val="109"/>
        </w:numPr>
        <w:spacing w:before="240" w:after="240" w:line="240" w:lineRule="auto"/>
      </w:pPr>
      <w:r w:rsidRPr="00880B95">
        <w:t xml:space="preserve">a referral for </w:t>
      </w:r>
      <w:r w:rsidR="005F5882">
        <w:t>s</w:t>
      </w:r>
      <w:r w:rsidRPr="00880B95">
        <w:t xml:space="preserve">ervices is accepted by a </w:t>
      </w:r>
      <w:r w:rsidR="005F5882">
        <w:t>s</w:t>
      </w:r>
      <w:r w:rsidRPr="00880B95">
        <w:t xml:space="preserve">ervice </w:t>
      </w:r>
      <w:r w:rsidR="005F5882">
        <w:t>p</w:t>
      </w:r>
      <w:r w:rsidR="0066186B" w:rsidRPr="00880B95">
        <w:t>rovider.</w:t>
      </w:r>
    </w:p>
    <w:p w14:paraId="6F435DEC" w14:textId="77777777" w:rsidR="007A743C" w:rsidRPr="00880B95" w:rsidRDefault="007A743C" w:rsidP="00DF3F6B">
      <w:pPr>
        <w:pStyle w:val="ListParagraph"/>
        <w:numPr>
          <w:ilvl w:val="0"/>
          <w:numId w:val="109"/>
        </w:numPr>
        <w:spacing w:before="240" w:after="240" w:line="240" w:lineRule="auto"/>
      </w:pPr>
      <w:r w:rsidRPr="00880B95">
        <w:t xml:space="preserve">the </w:t>
      </w:r>
      <w:r>
        <w:t>c</w:t>
      </w:r>
      <w:r w:rsidRPr="00880B95">
        <w:t xml:space="preserve">lient has accepted responsibility for managing their own referral for services; </w:t>
      </w:r>
    </w:p>
    <w:p w14:paraId="067708F8" w14:textId="77777777" w:rsidR="007A743C" w:rsidRPr="00880B95" w:rsidRDefault="007A743C" w:rsidP="00DF3F6B">
      <w:pPr>
        <w:pStyle w:val="ListParagraph"/>
        <w:numPr>
          <w:ilvl w:val="0"/>
          <w:numId w:val="109"/>
        </w:numPr>
        <w:spacing w:before="240" w:after="240" w:line="240" w:lineRule="auto"/>
      </w:pPr>
      <w:r w:rsidRPr="00880B95">
        <w:t xml:space="preserve">the </w:t>
      </w:r>
      <w:r>
        <w:t>c</w:t>
      </w:r>
      <w:r w:rsidRPr="00880B95">
        <w:t xml:space="preserve">lient has made a choice not to proceed with </w:t>
      </w:r>
      <w:r>
        <w:t>a</w:t>
      </w:r>
      <w:r w:rsidRPr="00880B95">
        <w:t xml:space="preserve">ged </w:t>
      </w:r>
      <w:r>
        <w:t>c</w:t>
      </w:r>
      <w:r w:rsidRPr="00880B95">
        <w:t xml:space="preserve">are </w:t>
      </w:r>
      <w:r>
        <w:t>n</w:t>
      </w:r>
      <w:r w:rsidRPr="00880B95">
        <w:t xml:space="preserve">eeds </w:t>
      </w:r>
      <w:r>
        <w:t>a</w:t>
      </w:r>
      <w:r w:rsidRPr="00880B95">
        <w:t xml:space="preserve">ssessments or </w:t>
      </w:r>
      <w:r>
        <w:t>a</w:t>
      </w:r>
      <w:r w:rsidRPr="00880B95">
        <w:t xml:space="preserve">ged </w:t>
      </w:r>
      <w:r>
        <w:t>c</w:t>
      </w:r>
      <w:r w:rsidRPr="00880B95">
        <w:t xml:space="preserve">are </w:t>
      </w:r>
      <w:r>
        <w:t>n</w:t>
      </w:r>
      <w:r w:rsidRPr="00880B95">
        <w:t xml:space="preserve">eeds </w:t>
      </w:r>
      <w:r>
        <w:t>a</w:t>
      </w:r>
      <w:r w:rsidRPr="00880B95">
        <w:t xml:space="preserve">ssessment </w:t>
      </w:r>
      <w:r>
        <w:t>r</w:t>
      </w:r>
      <w:r w:rsidRPr="00880B95">
        <w:t xml:space="preserve">elated </w:t>
      </w:r>
      <w:r>
        <w:t>s</w:t>
      </w:r>
      <w:r w:rsidRPr="00880B95">
        <w:t xml:space="preserve">ervices; or </w:t>
      </w:r>
    </w:p>
    <w:p w14:paraId="1F9FCAAB" w14:textId="77777777" w:rsidR="007A743C" w:rsidRPr="00880B95" w:rsidRDefault="007A743C" w:rsidP="00DF3F6B">
      <w:pPr>
        <w:pStyle w:val="ListParagraph"/>
        <w:numPr>
          <w:ilvl w:val="0"/>
          <w:numId w:val="109"/>
        </w:numPr>
        <w:spacing w:before="240" w:after="240" w:line="240" w:lineRule="auto"/>
      </w:pPr>
      <w:r w:rsidRPr="00880B95">
        <w:t xml:space="preserve">the outcome of the </w:t>
      </w:r>
      <w:r>
        <w:t>a</w:t>
      </w:r>
      <w:r w:rsidRPr="00880B95">
        <w:t xml:space="preserve">ged </w:t>
      </w:r>
      <w:r>
        <w:t>c</w:t>
      </w:r>
      <w:r w:rsidRPr="00880B95">
        <w:t xml:space="preserve">are </w:t>
      </w:r>
      <w:r>
        <w:t>n</w:t>
      </w:r>
      <w:r w:rsidRPr="00880B95">
        <w:t xml:space="preserve">eeds </w:t>
      </w:r>
      <w:r>
        <w:t>a</w:t>
      </w:r>
      <w:r w:rsidRPr="00880B95">
        <w:t xml:space="preserve">ssessment is that no further action is required by the </w:t>
      </w:r>
      <w:r>
        <w:t>a</w:t>
      </w:r>
      <w:r w:rsidRPr="00880B95">
        <w:t xml:space="preserve">ged </w:t>
      </w:r>
      <w:r>
        <w:t>c</w:t>
      </w:r>
      <w:r w:rsidRPr="00880B95">
        <w:t xml:space="preserve">are </w:t>
      </w:r>
      <w:r>
        <w:t>n</w:t>
      </w:r>
      <w:r w:rsidRPr="00880B95">
        <w:t xml:space="preserve">eeds </w:t>
      </w:r>
      <w:r>
        <w:t>a</w:t>
      </w:r>
      <w:r w:rsidRPr="00880B95">
        <w:t xml:space="preserve">ssessor. </w:t>
      </w:r>
    </w:p>
    <w:p w14:paraId="4A15C3BE" w14:textId="470F4027" w:rsidR="00F32404" w:rsidRDefault="00C74B13" w:rsidP="00A677C9">
      <w:pPr>
        <w:spacing w:before="240" w:after="240" w:line="240" w:lineRule="auto"/>
      </w:pPr>
      <w:r>
        <w:t>If longer term support is needed, with consent from the older person, Elder Care Support workers or care finders should be engaged to help clients navigate the aged care system.</w:t>
      </w:r>
    </w:p>
    <w:p w14:paraId="502EBAEB" w14:textId="662189C7" w:rsidR="007A743C" w:rsidRPr="00E919A3" w:rsidRDefault="007A743C" w:rsidP="00A677C9">
      <w:pPr>
        <w:spacing w:before="240" w:after="240" w:line="240" w:lineRule="auto"/>
        <w:rPr>
          <w:rFonts w:eastAsia="Arial"/>
          <w:color w:val="000000" w:themeColor="text1"/>
          <w:szCs w:val="22"/>
        </w:rPr>
      </w:pPr>
      <w:r w:rsidRPr="00E919A3">
        <w:rPr>
          <w:rFonts w:eastAsia="Arial"/>
          <w:szCs w:val="22"/>
        </w:rPr>
        <w:t xml:space="preserve">Key Performance Indicators have been set by the department for assessment organisations to increase the referral of older people to time limited Linking Services Support. This </w:t>
      </w:r>
      <w:r w:rsidR="00C86062" w:rsidRPr="00E919A3">
        <w:rPr>
          <w:rFonts w:eastAsia="Arial"/>
          <w:szCs w:val="22"/>
        </w:rPr>
        <w:t>KPI</w:t>
      </w:r>
      <w:r w:rsidRPr="00E919A3">
        <w:rPr>
          <w:rFonts w:eastAsia="Arial"/>
          <w:szCs w:val="22"/>
        </w:rPr>
        <w:t xml:space="preserve"> specifies that </w:t>
      </w:r>
      <w:r w:rsidRPr="00E919A3">
        <w:rPr>
          <w:rFonts w:eastAsia="Arial"/>
          <w:color w:val="000000" w:themeColor="text1"/>
          <w:szCs w:val="22"/>
        </w:rPr>
        <w:t xml:space="preserve">2.5 per cent of all </w:t>
      </w:r>
      <w:r w:rsidR="00C86062">
        <w:rPr>
          <w:rFonts w:eastAsia="Arial"/>
          <w:color w:val="000000" w:themeColor="text1"/>
          <w:szCs w:val="22"/>
        </w:rPr>
        <w:t>c</w:t>
      </w:r>
      <w:r w:rsidR="00C86062" w:rsidRPr="00E919A3">
        <w:rPr>
          <w:rFonts w:eastAsia="Arial"/>
          <w:color w:val="000000" w:themeColor="text1"/>
          <w:szCs w:val="22"/>
        </w:rPr>
        <w:t xml:space="preserve">lients </w:t>
      </w:r>
      <w:r w:rsidRPr="00E919A3">
        <w:rPr>
          <w:rFonts w:eastAsia="Arial"/>
          <w:color w:val="000000" w:themeColor="text1"/>
          <w:szCs w:val="22"/>
        </w:rPr>
        <w:t>will receive a time-limited Linking Services Support to address areas of vulnerability that are preventing access to receiving mainstream aged care support. Support may include short-term case management and non-aged care support.</w:t>
      </w:r>
    </w:p>
    <w:p w14:paraId="2BC59713" w14:textId="259E3E3C" w:rsidR="007A743C" w:rsidRPr="003E1933" w:rsidRDefault="007A743C" w:rsidP="00CC6081">
      <w:pPr>
        <w:pStyle w:val="H4"/>
      </w:pPr>
      <w:bookmarkStart w:id="432" w:name="_Toc204329560"/>
      <w:r w:rsidRPr="003E1933">
        <w:t xml:space="preserve">Delivering </w:t>
      </w:r>
      <w:r w:rsidR="004D00EC">
        <w:t>l</w:t>
      </w:r>
      <w:r w:rsidRPr="003E1933">
        <w:t xml:space="preserve">inking </w:t>
      </w:r>
      <w:r w:rsidR="004D00EC">
        <w:t>s</w:t>
      </w:r>
      <w:r w:rsidRPr="003E1933">
        <w:t>upport/</w:t>
      </w:r>
      <w:r w:rsidR="004D00EC">
        <w:t>c</w:t>
      </w:r>
      <w:r w:rsidRPr="003E1933">
        <w:t xml:space="preserve">are </w:t>
      </w:r>
      <w:r w:rsidR="004D00EC">
        <w:t>c</w:t>
      </w:r>
      <w:r w:rsidRPr="003E1933">
        <w:t xml:space="preserve">oordination to </w:t>
      </w:r>
      <w:bookmarkEnd w:id="431"/>
      <w:r w:rsidR="004D00EC">
        <w:t>v</w:t>
      </w:r>
      <w:r w:rsidRPr="003E1933">
        <w:t xml:space="preserve">ulnerable </w:t>
      </w:r>
      <w:bookmarkEnd w:id="432"/>
      <w:r w:rsidR="00516348">
        <w:t>older people</w:t>
      </w:r>
    </w:p>
    <w:p w14:paraId="5641753D" w14:textId="77777777" w:rsidR="007A743C" w:rsidRPr="003E1933" w:rsidRDefault="007A743C" w:rsidP="00A677C9">
      <w:pPr>
        <w:spacing w:before="240" w:after="240" w:line="240" w:lineRule="auto"/>
        <w:rPr>
          <w:lang w:eastAsia="ko-KR"/>
        </w:rPr>
      </w:pPr>
      <w:r w:rsidRPr="6B3BFF78">
        <w:rPr>
          <w:lang w:eastAsia="ko-KR"/>
        </w:rPr>
        <w:t>Facilitating</w:t>
      </w:r>
      <w:r w:rsidRPr="003E1933">
        <w:rPr>
          <w:lang w:eastAsia="ko-KR"/>
        </w:rPr>
        <w:t xml:space="preserve"> linking support can greatly benefit some older </w:t>
      </w:r>
      <w:r>
        <w:rPr>
          <w:lang w:eastAsia="ko-KR"/>
        </w:rPr>
        <w:t>people</w:t>
      </w:r>
      <w:r w:rsidRPr="003E1933">
        <w:rPr>
          <w:lang w:eastAsia="ko-KR"/>
        </w:rPr>
        <w:t xml:space="preserve"> </w:t>
      </w:r>
      <w:r>
        <w:rPr>
          <w:lang w:eastAsia="ko-KR"/>
        </w:rPr>
        <w:t>whose</w:t>
      </w:r>
      <w:r w:rsidRPr="003E1933">
        <w:rPr>
          <w:lang w:eastAsia="ko-KR"/>
        </w:rPr>
        <w:t xml:space="preserve"> circumstances may impede their access to aged care services. Linking support may be conducted b</w:t>
      </w:r>
      <w:r>
        <w:t>y providing</w:t>
      </w:r>
      <w:r w:rsidRPr="3A6D7957">
        <w:rPr>
          <w:lang w:eastAsia="ko-KR"/>
        </w:rPr>
        <w:t xml:space="preserve"> </w:t>
      </w:r>
      <w:r w:rsidRPr="003E1933">
        <w:t xml:space="preserve">short-term case management or care coordination to the point of effective referral. </w:t>
      </w:r>
      <w:r>
        <w:t>A</w:t>
      </w:r>
      <w:r w:rsidRPr="003E1933">
        <w:t xml:space="preserve">ctivities are aimed at working with the older person to address areas of vulnerability </w:t>
      </w:r>
      <w:r>
        <w:t>which prevent</w:t>
      </w:r>
      <w:r w:rsidRPr="003E1933">
        <w:t xml:space="preserve"> access to receiving mainstream aged care supports or care, to the extent that the older person is willing or able to access aged care services. Issues leading to vulnerability could include homelessness, mental health concerns, drug and alcohol issues, elder and systems abuse, neglect, financial disadvantage, cognitive decline and/or living in a remote locality.</w:t>
      </w:r>
      <w:r w:rsidRPr="003E1933">
        <w:rPr>
          <w:lang w:eastAsia="ko-KR"/>
        </w:rPr>
        <w:t xml:space="preserve"> </w:t>
      </w:r>
    </w:p>
    <w:p w14:paraId="283B8DFD" w14:textId="5653DD72" w:rsidR="007A743C" w:rsidRPr="003E1933" w:rsidRDefault="007A743C" w:rsidP="00A677C9">
      <w:pPr>
        <w:spacing w:before="240" w:after="240" w:line="240" w:lineRule="auto"/>
        <w:rPr>
          <w:i/>
          <w:color w:val="279986"/>
          <w:u w:val="single"/>
        </w:rPr>
      </w:pPr>
      <w:r w:rsidRPr="003E1933">
        <w:t xml:space="preserve">Assessment organisations are expected to provide short-term case management services for vulnerable </w:t>
      </w:r>
      <w:r w:rsidR="00516348">
        <w:t>older people</w:t>
      </w:r>
      <w:r w:rsidRPr="003E1933">
        <w:t xml:space="preserve"> who require linking services</w:t>
      </w:r>
      <w:r w:rsidRPr="003E1933">
        <w:rPr>
          <w:i/>
        </w:rPr>
        <w:t xml:space="preserve">. </w:t>
      </w:r>
    </w:p>
    <w:p w14:paraId="0FC2DACF" w14:textId="002FA578" w:rsidR="007A743C" w:rsidRPr="00AA0588" w:rsidRDefault="007A743C" w:rsidP="00CC6081">
      <w:pPr>
        <w:pStyle w:val="H4"/>
      </w:pPr>
      <w:r w:rsidRPr="00AA0588">
        <w:t>Identifying a vulnerable person for linking support</w:t>
      </w:r>
    </w:p>
    <w:p w14:paraId="4150FE02" w14:textId="77777777" w:rsidR="007A743C" w:rsidRDefault="007A743C" w:rsidP="00A677C9">
      <w:pPr>
        <w:spacing w:before="240" w:after="240" w:line="240" w:lineRule="auto"/>
      </w:pPr>
      <w:r w:rsidRPr="003E1933">
        <w:t xml:space="preserve">The IAT is designed to assist </w:t>
      </w:r>
      <w:r>
        <w:t>an</w:t>
      </w:r>
      <w:r w:rsidRPr="003E1933">
        <w:t xml:space="preserve"> assessor </w:t>
      </w:r>
      <w:r>
        <w:t>to identify</w:t>
      </w:r>
      <w:r w:rsidRPr="003E1933">
        <w:t xml:space="preserve"> the complexity of an older person who may require linking support</w:t>
      </w:r>
      <w:r>
        <w:t>.</w:t>
      </w:r>
      <w:r w:rsidRPr="003E1933">
        <w:t xml:space="preserve"> </w:t>
      </w:r>
      <w:r>
        <w:t>A</w:t>
      </w:r>
      <w:r w:rsidRPr="003E1933">
        <w:t>ssessor judgment also plays a significant role, noting the presence of the same risk in different people may signify varying degrees of vulnerability. If applicable, the assessor selects from the following complexity indicators</w:t>
      </w:r>
      <w:r>
        <w:t xml:space="preserve">. </w:t>
      </w:r>
    </w:p>
    <w:p w14:paraId="5B2D5F27" w14:textId="77777777" w:rsidR="007A743C" w:rsidRPr="003E1933" w:rsidRDefault="007A743C" w:rsidP="00A677C9">
      <w:pPr>
        <w:spacing w:before="240" w:after="240" w:line="240" w:lineRule="auto"/>
      </w:pPr>
      <w:r>
        <w:t>The older person</w:t>
      </w:r>
      <w:r w:rsidRPr="003E1933">
        <w:t xml:space="preserve">: </w:t>
      </w:r>
    </w:p>
    <w:p w14:paraId="76A83F7E" w14:textId="77777777" w:rsidR="007A743C" w:rsidRPr="003E1933" w:rsidRDefault="007A743C" w:rsidP="00DF3F6B">
      <w:pPr>
        <w:pStyle w:val="ListParagraph"/>
        <w:numPr>
          <w:ilvl w:val="1"/>
          <w:numId w:val="113"/>
        </w:numPr>
        <w:spacing w:before="240" w:after="240" w:line="240" w:lineRule="auto"/>
      </w:pPr>
      <w:r w:rsidRPr="003E1933">
        <w:t>is living in inadequate housing or with insecure tenure or is already homeless which compromises their health, wellbeing, and ability to remain living in the community</w:t>
      </w:r>
      <w:r>
        <w:t>,</w:t>
      </w:r>
      <w:r w:rsidRPr="003E1933">
        <w:t xml:space="preserve"> </w:t>
      </w:r>
    </w:p>
    <w:p w14:paraId="2F98CD4B" w14:textId="77777777" w:rsidR="007A743C" w:rsidRPr="003E1933" w:rsidRDefault="007A743C" w:rsidP="00DF3F6B">
      <w:pPr>
        <w:pStyle w:val="ListParagraph"/>
        <w:numPr>
          <w:ilvl w:val="1"/>
          <w:numId w:val="113"/>
        </w:numPr>
        <w:spacing w:before="240" w:after="240" w:line="240" w:lineRule="auto"/>
      </w:pPr>
      <w:r w:rsidRPr="003E1933">
        <w:t xml:space="preserve">is </w:t>
      </w:r>
      <w:r>
        <w:t xml:space="preserve">at </w:t>
      </w:r>
      <w:r w:rsidRPr="003E1933">
        <w:t xml:space="preserve">risk of, </w:t>
      </w:r>
      <w:r>
        <w:t>experiencing (</w:t>
      </w:r>
      <w:r w:rsidRPr="003E1933">
        <w:t xml:space="preserve">or suspected </w:t>
      </w:r>
      <w:r>
        <w:t>to be experiencing)</w:t>
      </w:r>
      <w:r w:rsidRPr="003E1933">
        <w:t xml:space="preserve"> abuse</w:t>
      </w:r>
      <w:r>
        <w:t xml:space="preserve">, </w:t>
      </w:r>
    </w:p>
    <w:p w14:paraId="14088E4A" w14:textId="77777777" w:rsidR="007A743C" w:rsidRPr="003E1933" w:rsidRDefault="007A743C" w:rsidP="00DF3F6B">
      <w:pPr>
        <w:pStyle w:val="ListParagraph"/>
        <w:numPr>
          <w:ilvl w:val="1"/>
          <w:numId w:val="113"/>
        </w:numPr>
        <w:spacing w:before="240" w:after="240" w:line="240" w:lineRule="auto"/>
      </w:pPr>
      <w:r w:rsidRPr="003E1933">
        <w:t>has emotional or mental health issues which significantly limits self-care capability, requires intensive supervision and/or frequent changes to support</w:t>
      </w:r>
      <w:r>
        <w:t>,</w:t>
      </w:r>
    </w:p>
    <w:p w14:paraId="274770C5" w14:textId="77777777" w:rsidR="007A743C" w:rsidRPr="003E1933" w:rsidRDefault="007A743C" w:rsidP="00DF3F6B">
      <w:pPr>
        <w:pStyle w:val="ListParagraph"/>
        <w:numPr>
          <w:ilvl w:val="1"/>
          <w:numId w:val="113"/>
        </w:numPr>
        <w:spacing w:before="240" w:after="240" w:line="240" w:lineRule="auto"/>
      </w:pPr>
      <w:r w:rsidRPr="003E1933">
        <w:t>is experiencing financial disadvantage or other barriers that threaten their access to services essential to their support</w:t>
      </w:r>
      <w:r>
        <w:t>,</w:t>
      </w:r>
    </w:p>
    <w:p w14:paraId="7ABDFEC5" w14:textId="77777777" w:rsidR="007A743C" w:rsidRPr="003E1933" w:rsidRDefault="007A743C" w:rsidP="00DF3F6B">
      <w:pPr>
        <w:pStyle w:val="ListParagraph"/>
        <w:numPr>
          <w:ilvl w:val="1"/>
          <w:numId w:val="113"/>
        </w:numPr>
        <w:spacing w:before="240" w:after="240" w:line="240" w:lineRule="auto"/>
      </w:pPr>
      <w:r w:rsidRPr="003E1933">
        <w:t>has experienced adverse effects of institutionalisation and/or systems abuse (e.g., spending time in institutions, prisons, foster care, residential care or out of home care) and is refusing assistance or services when they are clearly needed to maintain safety and wellbeing</w:t>
      </w:r>
      <w:r>
        <w:t>,</w:t>
      </w:r>
    </w:p>
    <w:p w14:paraId="65E3B729" w14:textId="77777777" w:rsidR="007A743C" w:rsidRPr="003E1933" w:rsidRDefault="007A743C" w:rsidP="00DF3F6B">
      <w:pPr>
        <w:pStyle w:val="ListParagraph"/>
        <w:numPr>
          <w:ilvl w:val="1"/>
          <w:numId w:val="113"/>
        </w:numPr>
        <w:spacing w:before="240" w:after="240" w:line="240" w:lineRule="auto"/>
      </w:pPr>
      <w:r w:rsidRPr="003E1933">
        <w:t>is exposed to risks due to drug and/or alcohol related issues and is likely to cause harm to themselves or others</w:t>
      </w:r>
      <w:r>
        <w:t>,</w:t>
      </w:r>
    </w:p>
    <w:p w14:paraId="6BF699CD" w14:textId="77777777" w:rsidR="007A743C" w:rsidRPr="003E1933" w:rsidRDefault="007A743C" w:rsidP="00DF3F6B">
      <w:pPr>
        <w:pStyle w:val="ListParagraph"/>
        <w:numPr>
          <w:ilvl w:val="1"/>
          <w:numId w:val="113"/>
        </w:numPr>
        <w:spacing w:before="240" w:after="240" w:line="240" w:lineRule="auto"/>
      </w:pPr>
      <w:r w:rsidRPr="003E1933">
        <w:t>is exposed to risks or is self-neglecting of personal care and/or safety and is likely to cause harm to themselves or others</w:t>
      </w:r>
      <w:r>
        <w:t>,</w:t>
      </w:r>
    </w:p>
    <w:p w14:paraId="6E773B9D" w14:textId="77777777" w:rsidR="007A743C" w:rsidRPr="003E1933" w:rsidRDefault="007A743C" w:rsidP="00DF3F6B">
      <w:pPr>
        <w:pStyle w:val="ListParagraph"/>
        <w:numPr>
          <w:ilvl w:val="1"/>
          <w:numId w:val="113"/>
        </w:numPr>
        <w:spacing w:before="240" w:after="240" w:line="240" w:lineRule="auto"/>
      </w:pPr>
      <w:r w:rsidRPr="003E1933">
        <w:t xml:space="preserve">has a </w:t>
      </w:r>
      <w:r>
        <w:t xml:space="preserve">cognitive impairment (e.g. </w:t>
      </w:r>
      <w:r w:rsidRPr="003E1933">
        <w:t>memory problem or confusion</w:t>
      </w:r>
      <w:r>
        <w:t xml:space="preserve">) </w:t>
      </w:r>
      <w:r w:rsidRPr="003E1933">
        <w:t>that significantly limits self-care capacity, requires intensive supervision and/or frequent changes to support.</w:t>
      </w:r>
    </w:p>
    <w:p w14:paraId="6F36F6D6" w14:textId="77777777" w:rsidR="007A743C" w:rsidRPr="003E1933" w:rsidRDefault="007A743C" w:rsidP="00A677C9">
      <w:pPr>
        <w:spacing w:before="240" w:after="240" w:line="240" w:lineRule="auto"/>
      </w:pPr>
      <w:r>
        <w:t>The</w:t>
      </w:r>
      <w:r w:rsidRPr="003E1933">
        <w:t xml:space="preserve"> assessor may also need to consider challenges faced for people living in remote or very remote regions. </w:t>
      </w:r>
    </w:p>
    <w:p w14:paraId="2AA852E0" w14:textId="77777777" w:rsidR="007A743C" w:rsidRPr="003E1933" w:rsidRDefault="007A743C" w:rsidP="00A677C9">
      <w:pPr>
        <w:spacing w:before="240" w:after="240" w:line="240" w:lineRule="auto"/>
      </w:pPr>
      <w:r w:rsidRPr="003E1933">
        <w:t xml:space="preserve">The assessor then selects, if applicable, the </w:t>
      </w:r>
      <w:r>
        <w:t>‘</w:t>
      </w:r>
      <w:r w:rsidRPr="003E1933">
        <w:t xml:space="preserve">Risk of Vulnerability </w:t>
      </w:r>
      <w:r>
        <w:t>Cohort’</w:t>
      </w:r>
      <w:r w:rsidRPr="003E1933">
        <w:t xml:space="preserve"> from the following:</w:t>
      </w:r>
    </w:p>
    <w:p w14:paraId="16801AD8" w14:textId="77777777" w:rsidR="007A743C" w:rsidRPr="003E1933" w:rsidRDefault="007A743C" w:rsidP="00DF3F6B">
      <w:pPr>
        <w:pStyle w:val="ListParagraph"/>
        <w:numPr>
          <w:ilvl w:val="0"/>
          <w:numId w:val="114"/>
        </w:numPr>
        <w:spacing w:before="240" w:after="240" w:line="240" w:lineRule="auto"/>
      </w:pPr>
      <w:r>
        <w:t>Culturally and linguistically or ethnically diverse individual; and/or</w:t>
      </w:r>
    </w:p>
    <w:p w14:paraId="4B927E2D" w14:textId="77777777" w:rsidR="007A743C" w:rsidRPr="003E1933" w:rsidRDefault="007A743C" w:rsidP="00DF3F6B">
      <w:pPr>
        <w:pStyle w:val="ListParagraph"/>
        <w:numPr>
          <w:ilvl w:val="0"/>
          <w:numId w:val="114"/>
        </w:numPr>
        <w:spacing w:before="240" w:after="240" w:line="240" w:lineRule="auto"/>
      </w:pPr>
      <w:r w:rsidRPr="003E1933">
        <w:t xml:space="preserve">Aboriginal or Torres Strait Islander </w:t>
      </w:r>
    </w:p>
    <w:p w14:paraId="4DFF568B" w14:textId="77777777" w:rsidR="007A743C" w:rsidRDefault="007A743C" w:rsidP="00DF3F6B">
      <w:pPr>
        <w:pStyle w:val="ListParagraph"/>
        <w:numPr>
          <w:ilvl w:val="0"/>
          <w:numId w:val="114"/>
        </w:numPr>
        <w:spacing w:before="240" w:after="240" w:line="240" w:lineRule="auto"/>
      </w:pPr>
      <w:r>
        <w:t>Living in a rural or remote area</w:t>
      </w:r>
    </w:p>
    <w:p w14:paraId="57A7F64D" w14:textId="77777777" w:rsidR="007A743C" w:rsidRDefault="007A743C" w:rsidP="00DF3F6B">
      <w:pPr>
        <w:pStyle w:val="ListParagraph"/>
        <w:numPr>
          <w:ilvl w:val="0"/>
          <w:numId w:val="114"/>
        </w:numPr>
        <w:spacing w:before="240" w:after="240" w:line="240" w:lineRule="auto"/>
      </w:pPr>
      <w:r>
        <w:t>Financially or socially disadvantaged</w:t>
      </w:r>
    </w:p>
    <w:p w14:paraId="61A0BFB6" w14:textId="77777777" w:rsidR="007A743C" w:rsidRPr="003E1933" w:rsidRDefault="007A743C" w:rsidP="00DF3F6B">
      <w:pPr>
        <w:pStyle w:val="ListParagraph"/>
        <w:numPr>
          <w:ilvl w:val="0"/>
          <w:numId w:val="114"/>
        </w:numPr>
        <w:spacing w:before="240" w:after="240" w:line="240" w:lineRule="auto"/>
      </w:pPr>
      <w:r>
        <w:t xml:space="preserve">A </w:t>
      </w:r>
      <w:r w:rsidRPr="003E1933">
        <w:t>Veteran</w:t>
      </w:r>
    </w:p>
    <w:p w14:paraId="6EE79DDA" w14:textId="77777777" w:rsidR="007A743C" w:rsidRDefault="007A743C" w:rsidP="00DF3F6B">
      <w:pPr>
        <w:pStyle w:val="ListParagraph"/>
        <w:numPr>
          <w:ilvl w:val="0"/>
          <w:numId w:val="114"/>
        </w:numPr>
        <w:spacing w:before="240" w:after="240" w:line="240" w:lineRule="auto"/>
      </w:pPr>
      <w:r>
        <w:t>Homeless or at risk of homelessness</w:t>
      </w:r>
    </w:p>
    <w:p w14:paraId="469FB43F" w14:textId="77777777" w:rsidR="007A743C" w:rsidRPr="003E1933" w:rsidRDefault="007A743C" w:rsidP="00DF3F6B">
      <w:pPr>
        <w:pStyle w:val="ListParagraph"/>
        <w:numPr>
          <w:ilvl w:val="0"/>
          <w:numId w:val="114"/>
        </w:numPr>
        <w:spacing w:before="240" w:after="240" w:line="240" w:lineRule="auto"/>
      </w:pPr>
      <w:r>
        <w:t>Lesbian, Gay, Bisexual, Transgender, Intersex, or other gender diverse</w:t>
      </w:r>
    </w:p>
    <w:p w14:paraId="77D2BF0F" w14:textId="77777777" w:rsidR="007A743C" w:rsidRDefault="007A743C" w:rsidP="00DF3F6B">
      <w:pPr>
        <w:pStyle w:val="ListParagraph"/>
        <w:numPr>
          <w:ilvl w:val="0"/>
          <w:numId w:val="114"/>
        </w:numPr>
        <w:spacing w:before="240" w:after="240" w:line="240" w:lineRule="auto"/>
      </w:pPr>
      <w:r>
        <w:t>Individuals</w:t>
      </w:r>
    </w:p>
    <w:p w14:paraId="6AF88B0C" w14:textId="77777777" w:rsidR="007A743C" w:rsidRPr="003E1933" w:rsidRDefault="007A743C" w:rsidP="00DF3F6B">
      <w:pPr>
        <w:pStyle w:val="ListParagraph"/>
        <w:numPr>
          <w:ilvl w:val="0"/>
          <w:numId w:val="114"/>
        </w:numPr>
        <w:spacing w:before="240" w:after="240" w:line="240" w:lineRule="auto"/>
      </w:pPr>
      <w:r>
        <w:t>A person separated from their parents or children through forced adoption or removal</w:t>
      </w:r>
    </w:p>
    <w:p w14:paraId="5BFB3B13" w14:textId="77777777" w:rsidR="007A743C" w:rsidRPr="003E1933" w:rsidRDefault="007A743C" w:rsidP="00DF3F6B">
      <w:pPr>
        <w:pStyle w:val="ListParagraph"/>
        <w:numPr>
          <w:ilvl w:val="0"/>
          <w:numId w:val="114"/>
        </w:numPr>
        <w:spacing w:before="240" w:after="240" w:line="240" w:lineRule="auto"/>
      </w:pPr>
      <w:r>
        <w:t>A socially isolated individual</w:t>
      </w:r>
    </w:p>
    <w:p w14:paraId="50164183" w14:textId="1A5D242D" w:rsidR="007A743C" w:rsidRPr="003E1933" w:rsidRDefault="007A743C" w:rsidP="00DF3F6B">
      <w:pPr>
        <w:pStyle w:val="ListParagraph"/>
        <w:numPr>
          <w:ilvl w:val="0"/>
          <w:numId w:val="114"/>
        </w:numPr>
        <w:spacing w:before="240" w:after="240" w:line="240" w:lineRule="auto"/>
      </w:pPr>
      <w:r>
        <w:t>Other (assessor to specify)</w:t>
      </w:r>
    </w:p>
    <w:p w14:paraId="19E72E79" w14:textId="3ACCA0BE" w:rsidR="00E925C9" w:rsidRDefault="00E925C9" w:rsidP="00A677C9">
      <w:pPr>
        <w:spacing w:before="240" w:after="240" w:line="240" w:lineRule="auto"/>
      </w:pPr>
      <w:r>
        <w:t xml:space="preserve">Further information on identifying and supporting vulnerable cohorts is included in Chapter </w:t>
      </w:r>
      <w:r w:rsidR="00845716">
        <w:fldChar w:fldCharType="begin"/>
      </w:r>
      <w:r w:rsidR="00845716">
        <w:instrText xml:space="preserve"> REF _Ref212735812 \w \h </w:instrText>
      </w:r>
      <w:r w:rsidR="00845716">
        <w:fldChar w:fldCharType="separate"/>
      </w:r>
      <w:r w:rsidR="00F97942">
        <w:t>12</w:t>
      </w:r>
      <w:r w:rsidR="00845716">
        <w:fldChar w:fldCharType="end"/>
      </w:r>
      <w:r w:rsidR="00732F76">
        <w:t xml:space="preserve"> ‘Supporting Diverse Experiences and Needs’</w:t>
      </w:r>
      <w:r>
        <w:t>.</w:t>
      </w:r>
    </w:p>
    <w:p w14:paraId="00DC10DE" w14:textId="77777777" w:rsidR="007A743C" w:rsidRPr="003E1933" w:rsidRDefault="007A743C" w:rsidP="00A677C9">
      <w:pPr>
        <w:spacing w:before="240" w:after="240" w:line="240" w:lineRule="auto"/>
      </w:pPr>
      <w:r w:rsidRPr="003E1933">
        <w:t xml:space="preserve">Following this, the assessor will decide whether the person would benefit from Linking Support by considering and selecting (if applicable):  </w:t>
      </w:r>
    </w:p>
    <w:p w14:paraId="157FB2B3" w14:textId="77777777" w:rsidR="007A743C" w:rsidRPr="003E1933" w:rsidRDefault="007A743C" w:rsidP="00A677C9">
      <w:pPr>
        <w:spacing w:before="240" w:after="240" w:line="240" w:lineRule="auto"/>
        <w:ind w:left="709" w:hanging="567"/>
      </w:pPr>
      <w:r w:rsidRPr="003E1933">
        <w:t>(a)</w:t>
      </w:r>
      <w:r w:rsidRPr="003E1933">
        <w:tab/>
        <w:t xml:space="preserve">whether complexity indicators impact the older person's ability to live independently in the community </w:t>
      </w:r>
    </w:p>
    <w:p w14:paraId="5EF72A49" w14:textId="77777777" w:rsidR="007A743C" w:rsidRPr="003E1933" w:rsidRDefault="007A743C" w:rsidP="00A677C9">
      <w:pPr>
        <w:spacing w:before="240" w:after="240" w:line="240" w:lineRule="auto"/>
        <w:ind w:left="709" w:hanging="567"/>
      </w:pPr>
      <w:r w:rsidRPr="003E1933">
        <w:t>(b)</w:t>
      </w:r>
      <w:r w:rsidRPr="003E1933">
        <w:tab/>
        <w:t xml:space="preserve">whether urgent intervention is required and </w:t>
      </w:r>
    </w:p>
    <w:p w14:paraId="4B1E0CC5" w14:textId="77777777" w:rsidR="007A743C" w:rsidRPr="003E1933" w:rsidRDefault="007A743C" w:rsidP="00A677C9">
      <w:pPr>
        <w:spacing w:before="240" w:after="240" w:line="240" w:lineRule="auto"/>
        <w:ind w:left="709" w:hanging="566"/>
      </w:pPr>
      <w:r w:rsidRPr="003E1933">
        <w:t>(c)</w:t>
      </w:r>
      <w:r w:rsidRPr="003E1933">
        <w:tab/>
        <w:t xml:space="preserve">whether the older person has indicators that impede access to delivery of aged care services.  </w:t>
      </w:r>
    </w:p>
    <w:p w14:paraId="5ADCC66B" w14:textId="77777777" w:rsidR="007A743C" w:rsidRPr="003E1933" w:rsidRDefault="007A743C" w:rsidP="00A677C9">
      <w:pPr>
        <w:spacing w:before="240" w:after="240" w:line="240" w:lineRule="auto"/>
      </w:pPr>
      <w:r w:rsidRPr="003E1933">
        <w:t xml:space="preserve">Where the access to delivery of aged care services might be impeded, the assessor is to recommend Linking Support and short-term case management. </w:t>
      </w:r>
    </w:p>
    <w:p w14:paraId="62B4E371" w14:textId="77777777" w:rsidR="007A743C" w:rsidRPr="00AA0588" w:rsidRDefault="007A743C" w:rsidP="00CC6081">
      <w:pPr>
        <w:pStyle w:val="H4"/>
      </w:pPr>
      <w:r w:rsidRPr="00AA0588">
        <w:t>Linking support and short-term case management activities</w:t>
      </w:r>
    </w:p>
    <w:p w14:paraId="19E624B8" w14:textId="77777777" w:rsidR="0016763A" w:rsidRDefault="007A743C" w:rsidP="00A677C9">
      <w:pPr>
        <w:spacing w:before="240" w:after="240" w:line="240" w:lineRule="auto"/>
      </w:pPr>
      <w:r w:rsidRPr="003E1933">
        <w:t>The level of linking service support offered by assessors is time</w:t>
      </w:r>
      <w:r w:rsidRPr="003E1933">
        <w:rPr>
          <w:color w:val="1F497D"/>
        </w:rPr>
        <w:t>-</w:t>
      </w:r>
      <w:r w:rsidRPr="003E1933">
        <w:t>limited and is not designed to provide ongoing support services.</w:t>
      </w:r>
    </w:p>
    <w:p w14:paraId="706D9DFE" w14:textId="46249570" w:rsidR="006F6FE8" w:rsidRDefault="006F6FE8" w:rsidP="00A677C9">
      <w:pPr>
        <w:spacing w:before="240" w:after="240" w:line="240" w:lineRule="auto"/>
      </w:pPr>
      <w:r>
        <w:t xml:space="preserve">However, it is understood that in some circumstances due to ECS services not being available in their area or due to preferences of older people who have already established trusted relationships with an assessor from an Aboriginal and Torres Strait Islander assessment organisation, an assessor may have a role in providing ongoing case management services to their clients. </w:t>
      </w:r>
    </w:p>
    <w:p w14:paraId="50864775" w14:textId="529D7290" w:rsidR="007A743C" w:rsidRPr="003E1933" w:rsidRDefault="007A743C" w:rsidP="00A677C9">
      <w:pPr>
        <w:spacing w:before="240" w:after="240" w:line="240" w:lineRule="auto"/>
        <w:rPr>
          <w:color w:val="1F497D"/>
        </w:rPr>
      </w:pPr>
      <w:r w:rsidRPr="003E1933">
        <w:t>The activities that an assessor chooses to undertake when providing linking support will be dependent on the needs, circumstances, and preferences of the older person, and may include one or more of the following:</w:t>
      </w:r>
    </w:p>
    <w:p w14:paraId="4A703270" w14:textId="79CA3BA7" w:rsidR="007A743C" w:rsidRDefault="007A743C" w:rsidP="00DF3F6B">
      <w:pPr>
        <w:pStyle w:val="ListParagraph"/>
        <w:numPr>
          <w:ilvl w:val="0"/>
          <w:numId w:val="110"/>
        </w:numPr>
        <w:spacing w:before="240" w:after="240" w:line="240" w:lineRule="auto"/>
      </w:pPr>
      <w:r w:rsidRPr="2A00F884">
        <w:rPr>
          <w:b/>
          <w:bCs/>
        </w:rPr>
        <w:t>Information provision and tailored advice</w:t>
      </w:r>
      <w:r w:rsidRPr="003E1933">
        <w:t xml:space="preserve"> – provision of clear, reliable, up-to-date, and relevant information and advice to </w:t>
      </w:r>
      <w:r w:rsidR="00516348">
        <w:t>older people</w:t>
      </w:r>
      <w:r w:rsidRPr="003E1933">
        <w:t xml:space="preserve"> regarding service options and pathways.</w:t>
      </w:r>
    </w:p>
    <w:p w14:paraId="4D4BD1D9" w14:textId="77777777" w:rsidR="007A743C" w:rsidRPr="003E1933" w:rsidRDefault="007A743C" w:rsidP="00A677C9">
      <w:pPr>
        <w:pStyle w:val="ListParagraph"/>
        <w:spacing w:before="240" w:after="240" w:line="240" w:lineRule="auto"/>
        <w:ind w:left="284" w:hanging="223"/>
      </w:pPr>
    </w:p>
    <w:p w14:paraId="70BE3F88" w14:textId="77777777" w:rsidR="007A743C" w:rsidRDefault="007A743C" w:rsidP="00DF3F6B">
      <w:pPr>
        <w:pStyle w:val="ListParagraph"/>
        <w:numPr>
          <w:ilvl w:val="0"/>
          <w:numId w:val="110"/>
        </w:numPr>
        <w:spacing w:before="240" w:after="240" w:line="240" w:lineRule="auto"/>
      </w:pPr>
      <w:r w:rsidRPr="2A00F884">
        <w:rPr>
          <w:b/>
          <w:bCs/>
        </w:rPr>
        <w:t>Guided referral</w:t>
      </w:r>
      <w:r w:rsidRPr="003E1933">
        <w:t xml:space="preserve"> – facilitation and management of the process of linking a vulnerable older person to appropriate service pathways within or outside the aged care system. This includes monitoring the success of the referral process and ensuring that linking to the appropriate services is achieved.</w:t>
      </w:r>
    </w:p>
    <w:p w14:paraId="4D982C1B" w14:textId="77777777" w:rsidR="007A743C" w:rsidRPr="003E1933" w:rsidRDefault="007A743C" w:rsidP="00A677C9">
      <w:pPr>
        <w:pStyle w:val="ListParagraph"/>
        <w:spacing w:before="240" w:after="240" w:line="240" w:lineRule="auto"/>
        <w:ind w:left="284" w:hanging="283"/>
      </w:pPr>
    </w:p>
    <w:p w14:paraId="61E0F0A2" w14:textId="77777777" w:rsidR="007A743C" w:rsidRDefault="007A743C" w:rsidP="00DF3F6B">
      <w:pPr>
        <w:pStyle w:val="ListParagraph"/>
        <w:numPr>
          <w:ilvl w:val="0"/>
          <w:numId w:val="110"/>
        </w:numPr>
        <w:spacing w:before="240" w:after="240" w:line="240" w:lineRule="auto"/>
      </w:pPr>
      <w:r w:rsidRPr="003E1933">
        <w:rPr>
          <w:b/>
        </w:rPr>
        <w:t>Service coordination</w:t>
      </w:r>
      <w:r w:rsidRPr="003E1933">
        <w:t xml:space="preserve"> – where an older person’s needs are complex and require a range of services spanning multiple sectors, the assessment organisation oversees the coordination of these services.</w:t>
      </w:r>
    </w:p>
    <w:p w14:paraId="0D7C551D" w14:textId="77777777" w:rsidR="007A743C" w:rsidRPr="003E1933" w:rsidRDefault="007A743C" w:rsidP="00A677C9">
      <w:pPr>
        <w:pStyle w:val="ListParagraph"/>
        <w:spacing w:before="240" w:after="240" w:line="240" w:lineRule="auto"/>
        <w:ind w:left="284" w:hanging="223"/>
      </w:pPr>
    </w:p>
    <w:p w14:paraId="75DA0057" w14:textId="77777777" w:rsidR="007A743C" w:rsidRDefault="007A743C" w:rsidP="00DF3F6B">
      <w:pPr>
        <w:pStyle w:val="ListParagraph"/>
        <w:numPr>
          <w:ilvl w:val="0"/>
          <w:numId w:val="110"/>
        </w:numPr>
        <w:tabs>
          <w:tab w:val="left" w:pos="143"/>
        </w:tabs>
        <w:autoSpaceDE w:val="0"/>
        <w:autoSpaceDN w:val="0"/>
        <w:adjustRightInd w:val="0"/>
        <w:spacing w:before="240" w:after="240" w:line="240" w:lineRule="auto"/>
        <w:rPr>
          <w:color w:val="000000" w:themeColor="text1"/>
        </w:rPr>
      </w:pPr>
      <w:r w:rsidRPr="2A00F884">
        <w:rPr>
          <w:b/>
          <w:bCs/>
          <w:color w:val="000000" w:themeColor="text1"/>
        </w:rPr>
        <w:t>Advocacy activities</w:t>
      </w:r>
      <w:r w:rsidRPr="003E1933">
        <w:rPr>
          <w:color w:val="000000" w:themeColor="text1"/>
        </w:rPr>
        <w:t xml:space="preserve"> – for the vulnerable older person to gain access to the identified support services, the assessment organisation may be required to speak, act, and write to the identified service providers on behalf of the vulnerable older person.</w:t>
      </w:r>
    </w:p>
    <w:p w14:paraId="474BFC65" w14:textId="77777777" w:rsidR="007A743C" w:rsidRPr="003E1933" w:rsidRDefault="007A743C" w:rsidP="00A677C9">
      <w:pPr>
        <w:pStyle w:val="ListParagraph"/>
        <w:autoSpaceDE w:val="0"/>
        <w:autoSpaceDN w:val="0"/>
        <w:adjustRightInd w:val="0"/>
        <w:spacing w:before="240" w:after="240" w:line="240" w:lineRule="auto"/>
        <w:ind w:left="284" w:hanging="283"/>
        <w:rPr>
          <w:color w:val="000000"/>
        </w:rPr>
      </w:pPr>
    </w:p>
    <w:p w14:paraId="491E9305" w14:textId="6169070F" w:rsidR="007A743C" w:rsidRDefault="007A743C" w:rsidP="00DF3F6B">
      <w:pPr>
        <w:pStyle w:val="ListParagraph"/>
        <w:numPr>
          <w:ilvl w:val="0"/>
          <w:numId w:val="110"/>
        </w:numPr>
        <w:spacing w:before="240" w:after="240" w:line="240" w:lineRule="auto"/>
      </w:pPr>
      <w:r w:rsidRPr="2A00F884">
        <w:rPr>
          <w:b/>
          <w:bCs/>
        </w:rPr>
        <w:t>Case conferencing/multidisciplinary service coordination</w:t>
      </w:r>
      <w:r w:rsidRPr="003E1933">
        <w:t xml:space="preserve"> – provision of comprehensive, integrated service coordination for </w:t>
      </w:r>
      <w:r w:rsidR="00516348">
        <w:t>older people</w:t>
      </w:r>
      <w:r w:rsidRPr="003E1933">
        <w:t xml:space="preserve"> with high-level needs. This involves using a case conferencing/multidisciplinary service coordination approach which brings together a number of team members and a suite of services across sectors in order to meet the older person’s needs at different levels.</w:t>
      </w:r>
    </w:p>
    <w:p w14:paraId="34FB08F9" w14:textId="77777777" w:rsidR="007A743C" w:rsidRPr="003E1933" w:rsidRDefault="007A743C" w:rsidP="00A677C9">
      <w:pPr>
        <w:pStyle w:val="ListParagraph"/>
        <w:spacing w:before="240" w:after="240" w:line="240" w:lineRule="auto"/>
        <w:ind w:left="284" w:hanging="283"/>
      </w:pPr>
    </w:p>
    <w:p w14:paraId="1D94105A" w14:textId="77777777" w:rsidR="007A743C" w:rsidRDefault="007A743C" w:rsidP="00DF3F6B">
      <w:pPr>
        <w:pStyle w:val="ListParagraph"/>
        <w:numPr>
          <w:ilvl w:val="0"/>
          <w:numId w:val="110"/>
        </w:numPr>
        <w:spacing w:before="240" w:after="240" w:line="240" w:lineRule="auto"/>
      </w:pPr>
      <w:r w:rsidRPr="2A00F884">
        <w:rPr>
          <w:b/>
          <w:bCs/>
        </w:rPr>
        <w:t>Establish local knowledge and networks</w:t>
      </w:r>
      <w:r w:rsidRPr="003E1933">
        <w:t xml:space="preserve"> – the assessment organisation establishes local connections with service providers which support vulnerable people in their region.</w:t>
      </w:r>
    </w:p>
    <w:p w14:paraId="544402A5" w14:textId="77777777" w:rsidR="007A743C" w:rsidRPr="003E1933" w:rsidRDefault="007A743C" w:rsidP="00A677C9">
      <w:pPr>
        <w:pStyle w:val="ListParagraph"/>
        <w:spacing w:before="240" w:after="240" w:line="240" w:lineRule="auto"/>
        <w:ind w:left="284" w:hanging="223"/>
      </w:pPr>
    </w:p>
    <w:p w14:paraId="50264563" w14:textId="19AC306C" w:rsidR="007A743C" w:rsidRPr="003E1933" w:rsidRDefault="007A743C" w:rsidP="00DF3F6B">
      <w:pPr>
        <w:pStyle w:val="ListParagraph"/>
        <w:numPr>
          <w:ilvl w:val="0"/>
          <w:numId w:val="110"/>
        </w:numPr>
        <w:spacing w:before="240" w:after="240" w:line="240" w:lineRule="auto"/>
      </w:pPr>
      <w:r w:rsidRPr="2A00F884">
        <w:rPr>
          <w:b/>
          <w:bCs/>
        </w:rPr>
        <w:t xml:space="preserve">Administrative tasks </w:t>
      </w:r>
      <w:r w:rsidRPr="003E1933">
        <w:t>–</w:t>
      </w:r>
      <w:r w:rsidRPr="2A00F884">
        <w:rPr>
          <w:b/>
          <w:bCs/>
        </w:rPr>
        <w:t xml:space="preserve"> </w:t>
      </w:r>
      <w:r w:rsidRPr="003E1933">
        <w:t xml:space="preserve">establish and undertake the administrative functions necessary to support the smooth and seamless progression of vulnerable </w:t>
      </w:r>
      <w:r w:rsidR="00516348">
        <w:t>older people</w:t>
      </w:r>
      <w:r w:rsidRPr="003E1933">
        <w:t xml:space="preserve"> through the required services. Some examples are:</w:t>
      </w:r>
    </w:p>
    <w:p w14:paraId="6740D1CF" w14:textId="77777777" w:rsidR="007A743C" w:rsidRPr="003E1933" w:rsidRDefault="007A743C" w:rsidP="00DF3F6B">
      <w:pPr>
        <w:pStyle w:val="ListParagraph"/>
        <w:numPr>
          <w:ilvl w:val="0"/>
          <w:numId w:val="111"/>
        </w:numPr>
        <w:spacing w:before="240" w:after="240" w:line="240" w:lineRule="auto"/>
      </w:pPr>
      <w:r w:rsidRPr="003E1933">
        <w:t>Contact the relevant service providers on behalf of the older person (e.g., legal services, health services, housing services etc.)</w:t>
      </w:r>
    </w:p>
    <w:p w14:paraId="3CBDF327" w14:textId="77777777" w:rsidR="007A743C" w:rsidRPr="003E1933" w:rsidRDefault="007A743C" w:rsidP="00DF3F6B">
      <w:pPr>
        <w:pStyle w:val="ListParagraph"/>
        <w:numPr>
          <w:ilvl w:val="0"/>
          <w:numId w:val="111"/>
        </w:numPr>
        <w:spacing w:before="240" w:after="240" w:line="240" w:lineRule="auto"/>
      </w:pPr>
      <w:r w:rsidRPr="003E1933">
        <w:t>Obtaining the necessary older person information from various sources and organisations</w:t>
      </w:r>
    </w:p>
    <w:p w14:paraId="5E25E9CC" w14:textId="77777777" w:rsidR="007A743C" w:rsidRDefault="007A743C" w:rsidP="00DF3F6B">
      <w:pPr>
        <w:pStyle w:val="ListParagraph"/>
        <w:numPr>
          <w:ilvl w:val="0"/>
          <w:numId w:val="111"/>
        </w:numPr>
        <w:spacing w:before="240" w:after="240" w:line="240" w:lineRule="auto"/>
      </w:pPr>
      <w:r w:rsidRPr="003E1933">
        <w:t>Compiling and completing the necessary forms on the older person’s behalf</w:t>
      </w:r>
    </w:p>
    <w:p w14:paraId="6F870DA6" w14:textId="77777777" w:rsidR="007A743C" w:rsidRDefault="007A743C" w:rsidP="00DF3F6B">
      <w:pPr>
        <w:pStyle w:val="ListParagraph"/>
        <w:numPr>
          <w:ilvl w:val="0"/>
          <w:numId w:val="111"/>
        </w:numPr>
        <w:spacing w:before="240" w:after="240" w:line="240" w:lineRule="auto"/>
      </w:pPr>
      <w:r w:rsidRPr="003E1933">
        <w:t>Organising relocation services for the older person, if required (e.g., removalist and utility services)</w:t>
      </w:r>
    </w:p>
    <w:p w14:paraId="2B2391A4" w14:textId="77777777" w:rsidR="007A743C" w:rsidRPr="003E1933" w:rsidRDefault="007A743C" w:rsidP="00DF3F6B">
      <w:pPr>
        <w:pStyle w:val="ListParagraph"/>
        <w:numPr>
          <w:ilvl w:val="0"/>
          <w:numId w:val="111"/>
        </w:numPr>
        <w:spacing w:before="240" w:after="240" w:line="240" w:lineRule="auto"/>
      </w:pPr>
      <w:r w:rsidRPr="003E1933">
        <w:t>Organising cleaning services for the older person’s place of residence, if required</w:t>
      </w:r>
    </w:p>
    <w:p w14:paraId="0E970FA1" w14:textId="77777777" w:rsidR="007A743C" w:rsidRPr="003E1933" w:rsidRDefault="007A743C" w:rsidP="00DF3F6B">
      <w:pPr>
        <w:pStyle w:val="ListParagraph"/>
        <w:numPr>
          <w:ilvl w:val="0"/>
          <w:numId w:val="111"/>
        </w:numPr>
        <w:spacing w:before="240" w:after="240" w:line="240" w:lineRule="auto"/>
      </w:pPr>
      <w:r w:rsidRPr="003E1933">
        <w:t>Documenting the older person’s progress.</w:t>
      </w:r>
    </w:p>
    <w:p w14:paraId="543F5F2A" w14:textId="3959EC1F" w:rsidR="007A743C" w:rsidRPr="003E1933" w:rsidDel="00015F34" w:rsidRDefault="007A743C" w:rsidP="00A677C9">
      <w:pPr>
        <w:spacing w:before="240" w:after="240" w:line="240" w:lineRule="auto"/>
        <w:rPr>
          <w:lang w:eastAsia="ko-KR"/>
        </w:rPr>
      </w:pPr>
      <w:r>
        <w:rPr>
          <w:lang w:eastAsia="ko-KR"/>
        </w:rPr>
        <w:t>It is expected that a</w:t>
      </w:r>
      <w:r w:rsidRPr="003E1933">
        <w:rPr>
          <w:lang w:eastAsia="ko-KR"/>
        </w:rPr>
        <w:t xml:space="preserve">ssessors </w:t>
      </w:r>
      <w:r>
        <w:rPr>
          <w:lang w:eastAsia="ko-KR"/>
        </w:rPr>
        <w:t>will</w:t>
      </w:r>
      <w:r w:rsidRPr="003E1933">
        <w:rPr>
          <w:lang w:eastAsia="ko-KR"/>
        </w:rPr>
        <w:t xml:space="preserve"> work closely with vulnerable </w:t>
      </w:r>
      <w:r w:rsidR="00516348">
        <w:rPr>
          <w:lang w:eastAsia="ko-KR"/>
        </w:rPr>
        <w:t>older people</w:t>
      </w:r>
      <w:r w:rsidRPr="003E1933">
        <w:rPr>
          <w:lang w:eastAsia="ko-KR"/>
        </w:rPr>
        <w:t xml:space="preserve"> on a low income who are living with hoarding behaviour or in a squalid environment and at risk of homelessness or unable </w:t>
      </w:r>
      <w:r w:rsidRPr="003E1933">
        <w:rPr>
          <w:rFonts w:eastAsia="MS Mincho"/>
        </w:rPr>
        <w:t>to</w:t>
      </w:r>
      <w:r w:rsidRPr="003E1933">
        <w:rPr>
          <w:lang w:eastAsia="ko-KR"/>
        </w:rPr>
        <w:t xml:space="preserve"> receive the aged care services they need. Where there is no coverage</w:t>
      </w:r>
      <w:r>
        <w:rPr>
          <w:lang w:eastAsia="ko-KR"/>
        </w:rPr>
        <w:t xml:space="preserve"> for hoarding and squalor </w:t>
      </w:r>
      <w:r w:rsidR="007B3022">
        <w:rPr>
          <w:lang w:eastAsia="ko-KR"/>
        </w:rPr>
        <w:t>assistance</w:t>
      </w:r>
      <w:r w:rsidRPr="003E1933">
        <w:rPr>
          <w:lang w:eastAsia="ko-KR"/>
        </w:rPr>
        <w:t>, the eligible older person can be referred to CHSP services such as social work and other services targeted at avoiding or reducing the impact of hoarding and squalor si</w:t>
      </w:r>
      <w:r w:rsidRPr="005B2B6C">
        <w:rPr>
          <w:lang w:eastAsia="ko-KR"/>
        </w:rPr>
        <w:t xml:space="preserve">tuations (see </w:t>
      </w:r>
      <w:r w:rsidRPr="00441859">
        <w:rPr>
          <w:lang w:eastAsia="ko-KR"/>
        </w:rPr>
        <w:t xml:space="preserve">Chapter </w:t>
      </w:r>
      <w:r w:rsidR="00845716">
        <w:rPr>
          <w:lang w:eastAsia="ko-KR"/>
        </w:rPr>
        <w:fldChar w:fldCharType="begin"/>
      </w:r>
      <w:r w:rsidR="00845716">
        <w:rPr>
          <w:lang w:eastAsia="ko-KR"/>
        </w:rPr>
        <w:instrText xml:space="preserve"> REF _Ref212735832 \w \h </w:instrText>
      </w:r>
      <w:r w:rsidR="00845716">
        <w:rPr>
          <w:lang w:eastAsia="ko-KR"/>
        </w:rPr>
      </w:r>
      <w:r w:rsidR="00845716">
        <w:rPr>
          <w:lang w:eastAsia="ko-KR"/>
        </w:rPr>
        <w:fldChar w:fldCharType="separate"/>
      </w:r>
      <w:r w:rsidR="00F97942">
        <w:rPr>
          <w:lang w:eastAsia="ko-KR"/>
        </w:rPr>
        <w:t>6</w:t>
      </w:r>
      <w:r w:rsidR="00845716">
        <w:rPr>
          <w:lang w:eastAsia="ko-KR"/>
        </w:rPr>
        <w:fldChar w:fldCharType="end"/>
      </w:r>
      <w:r w:rsidRPr="005B2B6C">
        <w:rPr>
          <w:lang w:eastAsia="ko-KR"/>
        </w:rPr>
        <w:t xml:space="preserve"> Aged Care Programs – Hoarding and squalor assistance).</w:t>
      </w:r>
      <w:r w:rsidRPr="003E1933">
        <w:rPr>
          <w:lang w:eastAsia="ko-KR"/>
        </w:rPr>
        <w:t xml:space="preserve"> </w:t>
      </w:r>
    </w:p>
    <w:p w14:paraId="1E32B9A2" w14:textId="11E11500" w:rsidR="007A743C" w:rsidRPr="003E1933" w:rsidDel="00015F34" w:rsidRDefault="00ED5B75" w:rsidP="00A677C9">
      <w:pPr>
        <w:spacing w:before="240" w:after="240" w:line="240" w:lineRule="auto"/>
        <w:rPr>
          <w:lang w:eastAsia="ko-KR"/>
        </w:rPr>
      </w:pPr>
      <w:r w:rsidRPr="003E1933">
        <w:rPr>
          <w:lang w:eastAsia="ko-KR"/>
        </w:rPr>
        <w:t>All Care</w:t>
      </w:r>
      <w:r>
        <w:rPr>
          <w:lang w:eastAsia="ko-KR"/>
        </w:rPr>
        <w:t xml:space="preserve"> </w:t>
      </w:r>
      <w:r w:rsidRPr="003E1933">
        <w:rPr>
          <w:lang w:eastAsia="ko-KR"/>
        </w:rPr>
        <w:t>Finder and Elder Care Support Program clients seeking aged care services must be assessed by My Aged Care via the assessment services to determine eligibility and the need to receive additional CHSP services</w:t>
      </w:r>
      <w:r w:rsidRPr="003E1933" w:rsidDel="00015F34">
        <w:rPr>
          <w:lang w:eastAsia="ko-KR"/>
        </w:rPr>
        <w:t xml:space="preserve">. </w:t>
      </w:r>
      <w:r w:rsidR="007A743C" w:rsidRPr="003E1933">
        <w:rPr>
          <w:lang w:eastAsia="ko-KR"/>
        </w:rPr>
        <w:t xml:space="preserve">People receiving assistance through the </w:t>
      </w:r>
      <w:r w:rsidR="007A743C">
        <w:rPr>
          <w:lang w:eastAsia="ko-KR"/>
        </w:rPr>
        <w:t>C</w:t>
      </w:r>
      <w:r w:rsidR="007A743C" w:rsidRPr="003E1933">
        <w:rPr>
          <w:lang w:eastAsia="ko-KR"/>
        </w:rPr>
        <w:t xml:space="preserve">are </w:t>
      </w:r>
      <w:r w:rsidR="007A743C">
        <w:rPr>
          <w:lang w:eastAsia="ko-KR"/>
        </w:rPr>
        <w:t>F</w:t>
      </w:r>
      <w:r w:rsidR="007A743C" w:rsidRPr="003E1933">
        <w:rPr>
          <w:lang w:eastAsia="ko-KR"/>
        </w:rPr>
        <w:t xml:space="preserve">inder program or Elder Care Support program may be eligible to access CHSP services targeted at avoiding homelessness or reducing the impact of homelessness. Any entry level CHSP services made available to a Care Finder or Elder Care Support Program older person between the age of 50 and 65 must be targeted at avoiding homelessness or reducing the impact of homelessness. </w:t>
      </w:r>
    </w:p>
    <w:p w14:paraId="3CDA5B89" w14:textId="77777777" w:rsidR="007A743C" w:rsidRPr="007118CE" w:rsidRDefault="007A743C" w:rsidP="00CC6081">
      <w:pPr>
        <w:pStyle w:val="H4"/>
      </w:pPr>
      <w:r w:rsidRPr="007118CE">
        <w:t>My Aged Care system function – linking support</w:t>
      </w:r>
    </w:p>
    <w:p w14:paraId="1FF67675" w14:textId="10F2081B" w:rsidR="007A743C" w:rsidRPr="003E1933" w:rsidRDefault="007A743C" w:rsidP="00A677C9">
      <w:pPr>
        <w:spacing w:before="240" w:after="240" w:line="240" w:lineRule="auto"/>
        <w:rPr>
          <w:lang w:eastAsia="ko-KR"/>
        </w:rPr>
      </w:pPr>
      <w:r w:rsidRPr="003E1933">
        <w:rPr>
          <w:lang w:eastAsia="ko-KR"/>
        </w:rPr>
        <w:t xml:space="preserve">The linking support function on My Aged Care provides assessors with the opportunity to record activities for </w:t>
      </w:r>
      <w:r w:rsidR="00516348">
        <w:rPr>
          <w:lang w:eastAsia="ko-KR"/>
        </w:rPr>
        <w:t>older people</w:t>
      </w:r>
      <w:r w:rsidRPr="003E1933">
        <w:rPr>
          <w:lang w:eastAsia="ko-KR"/>
        </w:rPr>
        <w:t xml:space="preserve"> identified as benefiting from linking support. The function allows assessors to make changes to the older person’s Support Plan during the linking support </w:t>
      </w:r>
      <w:r w:rsidRPr="003E1933">
        <w:rPr>
          <w:rFonts w:eastAsiaTheme="minorEastAsia"/>
          <w:lang w:eastAsia="ko-KR"/>
        </w:rPr>
        <w:t>period</w:t>
      </w:r>
      <w:r w:rsidRPr="003E1933">
        <w:rPr>
          <w:lang w:eastAsia="ko-KR"/>
        </w:rPr>
        <w:t xml:space="preserve">. Users accessing the older person’s record, such as </w:t>
      </w:r>
      <w:r w:rsidR="00516348">
        <w:rPr>
          <w:lang w:eastAsia="ko-KR"/>
        </w:rPr>
        <w:t>older people</w:t>
      </w:r>
      <w:r w:rsidRPr="003E1933">
        <w:rPr>
          <w:lang w:eastAsia="ko-KR"/>
        </w:rPr>
        <w:t xml:space="preserve">, contact centre and service providers, will be informed that the older person is undergoing a period of linking support. The department’s expected proportion is that assessment organisations deliver linking support to a minimum of 2.5% of </w:t>
      </w:r>
      <w:r w:rsidR="00516348">
        <w:rPr>
          <w:lang w:eastAsia="ko-KR"/>
        </w:rPr>
        <w:t>older people</w:t>
      </w:r>
      <w:r w:rsidRPr="003E1933">
        <w:rPr>
          <w:lang w:eastAsia="ko-KR"/>
        </w:rPr>
        <w:t>.</w:t>
      </w:r>
    </w:p>
    <w:p w14:paraId="4D2B1841" w14:textId="77777777" w:rsidR="007A743C" w:rsidRPr="005906C6" w:rsidRDefault="007A743C" w:rsidP="00A677C9">
      <w:pPr>
        <w:spacing w:before="240" w:after="240" w:line="240" w:lineRule="auto"/>
        <w:rPr>
          <w:lang w:eastAsia="ko-KR"/>
        </w:rPr>
      </w:pPr>
      <w:r w:rsidRPr="003E1933">
        <w:rPr>
          <w:lang w:eastAsia="ko-KR"/>
        </w:rPr>
        <w:t xml:space="preserve">The function is designed so that the Support Plan can be finalised and kept open for the support period and the timeliness KPI will not be impacted. The timeliness KPI ends at the ‘Finalise Support Plan &amp; keep open for support period’. </w:t>
      </w:r>
    </w:p>
    <w:p w14:paraId="094E66D5" w14:textId="7167D56C" w:rsidR="007A743C" w:rsidRPr="003E1933" w:rsidRDefault="007A743C" w:rsidP="00507F9D">
      <w:pPr>
        <w:pStyle w:val="h2"/>
      </w:pPr>
      <w:bookmarkStart w:id="433" w:name="_Toc209188989"/>
      <w:bookmarkStart w:id="434" w:name="_Toc224916650"/>
      <w:r w:rsidRPr="003E1933">
        <w:t xml:space="preserve">Vulnerable older </w:t>
      </w:r>
      <w:r>
        <w:t>people</w:t>
      </w:r>
      <w:r w:rsidRPr="003E1933">
        <w:t xml:space="preserve"> relating to </w:t>
      </w:r>
      <w:r>
        <w:t>aged care services</w:t>
      </w:r>
      <w:bookmarkEnd w:id="433"/>
      <w:bookmarkEnd w:id="434"/>
      <w:r>
        <w:t xml:space="preserve"> </w:t>
      </w:r>
    </w:p>
    <w:p w14:paraId="1FCBBE77" w14:textId="77777777" w:rsidR="007A743C" w:rsidRDefault="007A743C" w:rsidP="00A677C9">
      <w:pPr>
        <w:spacing w:before="240" w:after="240" w:line="240" w:lineRule="auto"/>
        <w:rPr>
          <w:lang w:eastAsia="ko-KR"/>
        </w:rPr>
      </w:pPr>
      <w:r w:rsidRPr="003E1933">
        <w:rPr>
          <w:lang w:eastAsia="ko-KR"/>
        </w:rPr>
        <w:t xml:space="preserve">Where the assessor wishes to monitor the older person’s access to </w:t>
      </w:r>
      <w:r>
        <w:rPr>
          <w:lang w:eastAsia="ko-KR"/>
        </w:rPr>
        <w:t>aged care services</w:t>
      </w:r>
      <w:r w:rsidRPr="003E1933">
        <w:rPr>
          <w:lang w:eastAsia="ko-KR"/>
        </w:rPr>
        <w:t xml:space="preserve"> more closely, </w:t>
      </w:r>
      <w:r>
        <w:rPr>
          <w:lang w:eastAsia="ko-KR"/>
        </w:rPr>
        <w:t>they</w:t>
      </w:r>
      <w:r w:rsidRPr="003E1933">
        <w:rPr>
          <w:lang w:eastAsia="ko-KR"/>
        </w:rPr>
        <w:t xml:space="preserve"> can elect (or at the older person or appointed decision maker’s request) to be notified of correspondence sent to the older person. This particularly applies to vulnerable older </w:t>
      </w:r>
      <w:r>
        <w:rPr>
          <w:lang w:eastAsia="ko-KR"/>
        </w:rPr>
        <w:t>people</w:t>
      </w:r>
      <w:r w:rsidRPr="003E1933">
        <w:rPr>
          <w:lang w:eastAsia="ko-KR"/>
        </w:rPr>
        <w:t xml:space="preserve"> who need assistance with the process of finding a suitable provider, and do not have support to assist them. Only one person from an </w:t>
      </w:r>
      <w:r>
        <w:rPr>
          <w:lang w:eastAsia="ko-KR"/>
        </w:rPr>
        <w:t xml:space="preserve">assessment </w:t>
      </w:r>
      <w:r w:rsidRPr="003E1933">
        <w:rPr>
          <w:lang w:eastAsia="ko-KR"/>
        </w:rPr>
        <w:t>outlet can be selected to receive this notification. This person’s contact details will also appear on all correspondence with the older person.</w:t>
      </w:r>
    </w:p>
    <w:p w14:paraId="6656A0D6" w14:textId="77777777" w:rsidR="007A743C" w:rsidRPr="003E1933" w:rsidRDefault="007A743C" w:rsidP="00A677C9">
      <w:pPr>
        <w:spacing w:before="240" w:after="240" w:line="240" w:lineRule="auto"/>
        <w:rPr>
          <w:lang w:eastAsia="ko-KR"/>
        </w:rPr>
      </w:pPr>
      <w:r>
        <w:rPr>
          <w:lang w:eastAsia="ko-KR"/>
        </w:rPr>
        <w:t xml:space="preserve">An assessor should also consider whether a person can access support through the Care Finder and Elder Care Support Program. </w:t>
      </w:r>
    </w:p>
    <w:p w14:paraId="24652822" w14:textId="77777777" w:rsidR="007A743C" w:rsidRPr="003E1933" w:rsidRDefault="007A743C" w:rsidP="00A677C9">
      <w:pPr>
        <w:spacing w:before="240" w:after="240" w:line="240" w:lineRule="auto"/>
        <w:rPr>
          <w:lang w:eastAsia="ko-KR"/>
        </w:rPr>
      </w:pPr>
      <w:r w:rsidRPr="003E1933">
        <w:rPr>
          <w:lang w:eastAsia="ko-KR"/>
        </w:rPr>
        <w:t>This notification can be enabled from any tab in the older person’s Support Plan or on the ‘Approvals’ tab in the older person record. The notification link will only be enabled if the older person has been marked as ‘seeking services’, or a recommendation has been made.</w:t>
      </w:r>
    </w:p>
    <w:p w14:paraId="57C15387" w14:textId="60306477" w:rsidR="007A743C" w:rsidRDefault="007A743C" w:rsidP="00A677C9">
      <w:pPr>
        <w:spacing w:before="240" w:after="240" w:line="240" w:lineRule="auto"/>
      </w:pPr>
      <w:r w:rsidRPr="007123E9">
        <w:t xml:space="preserve">Where an assessor is receiving </w:t>
      </w:r>
      <w:r w:rsidR="00AE7566">
        <w:t>Support at Home</w:t>
      </w:r>
      <w:r w:rsidRPr="007123E9">
        <w:t xml:space="preserve"> notifications for a vulnerable older person who has been approved to access funded aged care services, the assessor is able to extend an older person’s acceptance period for ongoing </w:t>
      </w:r>
      <w:r w:rsidR="00105622">
        <w:t>services</w:t>
      </w:r>
      <w:r w:rsidRPr="007123E9">
        <w:t xml:space="preserve"> beyond the 56-day entry period, and extend the older person’s time to select provider for an additional 28 days through the extension process on My Aged Care.</w:t>
      </w:r>
      <w:r>
        <w:t xml:space="preserve"> </w:t>
      </w:r>
    </w:p>
    <w:tbl>
      <w:tblPr>
        <w:tblStyle w:val="TableGrid"/>
        <w:tblW w:w="0" w:type="auto"/>
        <w:tblLook w:val="04A0" w:firstRow="1" w:lastRow="0" w:firstColumn="1" w:lastColumn="0" w:noHBand="0" w:noVBand="1"/>
      </w:tblPr>
      <w:tblGrid>
        <w:gridCol w:w="845"/>
        <w:gridCol w:w="7921"/>
      </w:tblGrid>
      <w:tr w:rsidR="007A743C" w14:paraId="416534A5" w14:textId="77777777">
        <w:trPr>
          <w:trHeight w:val="300"/>
        </w:trPr>
        <w:tc>
          <w:tcPr>
            <w:tcW w:w="846" w:type="dxa"/>
          </w:tcPr>
          <w:p w14:paraId="6D953AC3"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05D47FC7" wp14:editId="44369B6E">
                  <wp:extent cx="383111" cy="381000"/>
                  <wp:effectExtent l="0" t="0" r="0" b="0"/>
                  <wp:docPr id="741271724" name="Picture 74127172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0FC3DEF" w14:textId="77777777" w:rsidR="007A743C" w:rsidRDefault="007A743C" w:rsidP="00A677C9">
            <w:pPr>
              <w:pStyle w:val="NormalText"/>
              <w:spacing w:before="240" w:after="240" w:line="240" w:lineRule="auto"/>
            </w:pPr>
            <w:hyperlink r:id="rId162" w:history="1">
              <w:r w:rsidRPr="00CB25F3">
                <w:rPr>
                  <w:rStyle w:val="Hyperlink"/>
                  <w:rFonts w:cstheme="minorBidi"/>
                  <w:lang w:val="en-GB"/>
                </w:rPr>
                <w:t>Care finder program | Australian Government Department of Health, Disability and Ageing</w:t>
              </w:r>
            </w:hyperlink>
          </w:p>
          <w:p w14:paraId="37E0AD4D" w14:textId="77777777" w:rsidR="007A743C" w:rsidRPr="009C3175" w:rsidRDefault="007A743C" w:rsidP="00A677C9">
            <w:pPr>
              <w:pStyle w:val="NormalText"/>
              <w:spacing w:before="240" w:after="240" w:line="240" w:lineRule="auto"/>
              <w:rPr>
                <w:rFonts w:eastAsiaTheme="majorEastAsia" w:cs="Arial"/>
                <w:color w:val="1E1444"/>
                <w:szCs w:val="24"/>
                <w:shd w:val="clear" w:color="auto" w:fill="auto"/>
                <w:lang w:val="en-GB" w:eastAsia="en-AU"/>
              </w:rPr>
            </w:pPr>
            <w:hyperlink r:id="rId163" w:history="1">
              <w:r w:rsidRPr="009C3175">
                <w:rPr>
                  <w:rStyle w:val="Hyperlink"/>
                  <w:rFonts w:eastAsiaTheme="majorEastAsia"/>
                  <w:szCs w:val="24"/>
                  <w:shd w:val="clear" w:color="auto" w:fill="auto"/>
                  <w:lang w:val="en-GB" w:eastAsia="en-AU"/>
                </w:rPr>
                <w:t>Elder Care Support | Australian Government Department of Health, Disability and Ageing</w:t>
              </w:r>
            </w:hyperlink>
          </w:p>
        </w:tc>
      </w:tr>
    </w:tbl>
    <w:p w14:paraId="62A17754" w14:textId="77777777" w:rsidR="007A743C" w:rsidRPr="003E1933" w:rsidRDefault="007A743C" w:rsidP="00A677C9">
      <w:pPr>
        <w:pStyle w:val="Sub-headingnon-contentpage"/>
        <w:spacing w:before="240" w:after="240"/>
      </w:pPr>
      <w:r>
        <w:t xml:space="preserve">The assessor must carry out the following steps and activities: </w:t>
      </w:r>
    </w:p>
    <w:p w14:paraId="676BC61A" w14:textId="77777777" w:rsidR="007A743C" w:rsidRDefault="007A743C" w:rsidP="00DF3F6B">
      <w:pPr>
        <w:pStyle w:val="ListParagraph"/>
        <w:numPr>
          <w:ilvl w:val="0"/>
          <w:numId w:val="108"/>
        </w:numPr>
        <w:tabs>
          <w:tab w:val="left" w:pos="709"/>
        </w:tabs>
        <w:spacing w:before="240" w:after="240" w:line="240" w:lineRule="auto"/>
        <w:rPr>
          <w:lang w:eastAsia="ko-KR"/>
        </w:rPr>
      </w:pPr>
      <w:r>
        <w:rPr>
          <w:lang w:eastAsia="ko-KR"/>
        </w:rPr>
        <w:t>Consider</w:t>
      </w:r>
      <w:r w:rsidRPr="3B842621">
        <w:rPr>
          <w:lang w:eastAsia="ko-KR"/>
        </w:rPr>
        <w:t xml:space="preserve"> if linking support is</w:t>
      </w:r>
      <w:r w:rsidRPr="003E1933">
        <w:rPr>
          <w:rFonts w:hint="eastAsia"/>
          <w:lang w:eastAsia="ko-KR"/>
        </w:rPr>
        <w:t xml:space="preserve"> required</w:t>
      </w:r>
      <w:r w:rsidRPr="003E1933">
        <w:rPr>
          <w:lang w:eastAsia="ko-KR"/>
        </w:rPr>
        <w:t xml:space="preserve"> – particularly</w:t>
      </w:r>
      <w:r w:rsidRPr="003E1933">
        <w:rPr>
          <w:rFonts w:hint="eastAsia"/>
          <w:lang w:eastAsia="ko-KR"/>
        </w:rPr>
        <w:t xml:space="preserve"> i</w:t>
      </w:r>
      <w:r w:rsidRPr="003E1933">
        <w:rPr>
          <w:lang w:eastAsia="ko-KR"/>
        </w:rPr>
        <w:t xml:space="preserve">f the older person presents with two or more complexities (and/or risk of vulnerability) – and may have been further confirmed through the support considerations process. </w:t>
      </w:r>
    </w:p>
    <w:p w14:paraId="2C9BC590" w14:textId="77777777" w:rsidR="007A743C" w:rsidRDefault="007A743C" w:rsidP="00DF3F6B">
      <w:pPr>
        <w:pStyle w:val="ListParagraph"/>
        <w:numPr>
          <w:ilvl w:val="0"/>
          <w:numId w:val="108"/>
        </w:numPr>
        <w:tabs>
          <w:tab w:val="left" w:pos="709"/>
        </w:tabs>
        <w:spacing w:before="240" w:after="240" w:line="240" w:lineRule="auto"/>
        <w:rPr>
          <w:lang w:eastAsia="ko-KR"/>
        </w:rPr>
      </w:pPr>
      <w:r w:rsidRPr="003E1933">
        <w:rPr>
          <w:lang w:eastAsia="ko-KR"/>
        </w:rPr>
        <w:t>If identified as ‘vulnerable’, with the older person’s agreement, the older person will be provided with linking support. If not applicable, check an appropriate plan is in place. Therefore, the IAT and/or the Support Plan evidences the complexity or risk of vulnerability support has been considered and documented.</w:t>
      </w:r>
      <w:r w:rsidRPr="003E1933" w:rsidDel="000D40C0">
        <w:rPr>
          <w:lang w:eastAsia="ko-KR"/>
        </w:rPr>
        <w:t xml:space="preserve"> </w:t>
      </w:r>
      <w:r w:rsidRPr="003E1933">
        <w:rPr>
          <w:lang w:eastAsia="ko-KR"/>
        </w:rPr>
        <w:t xml:space="preserve">If linking support is applicable, develop the Support Plan to include linking support, recommending the period of linking support and the planned activities. Action the recommended activities, monitor progress and record the outcomes (using the linking support function). </w:t>
      </w:r>
    </w:p>
    <w:p w14:paraId="6EF6F14A" w14:textId="77777777" w:rsidR="007A743C" w:rsidRDefault="007A743C" w:rsidP="00DF3F6B">
      <w:pPr>
        <w:pStyle w:val="ListParagraph"/>
        <w:numPr>
          <w:ilvl w:val="0"/>
          <w:numId w:val="108"/>
        </w:numPr>
        <w:tabs>
          <w:tab w:val="left" w:pos="709"/>
        </w:tabs>
        <w:spacing w:before="240" w:after="240" w:line="240" w:lineRule="auto"/>
        <w:rPr>
          <w:lang w:eastAsia="ko-KR"/>
        </w:rPr>
      </w:pPr>
      <w:r w:rsidRPr="003E1933">
        <w:rPr>
          <w:lang w:eastAsia="ko-KR"/>
        </w:rPr>
        <w:t>Consider all available care and support options appropriate to the needs of the older person and facilitate the provision of services to the point of effective referral</w:t>
      </w:r>
      <w:r>
        <w:rPr>
          <w:lang w:eastAsia="ko-KR"/>
        </w:rPr>
        <w:t>.</w:t>
      </w:r>
    </w:p>
    <w:p w14:paraId="129384C5" w14:textId="77777777" w:rsidR="007A743C" w:rsidRPr="00F461F9" w:rsidRDefault="007A743C" w:rsidP="00DF3F6B">
      <w:pPr>
        <w:pStyle w:val="ListParagraph"/>
        <w:numPr>
          <w:ilvl w:val="0"/>
          <w:numId w:val="108"/>
        </w:numPr>
        <w:tabs>
          <w:tab w:val="left" w:pos="709"/>
        </w:tabs>
        <w:spacing w:before="240" w:after="240" w:line="240" w:lineRule="auto"/>
        <w:rPr>
          <w:lang w:eastAsia="ko-KR"/>
        </w:rPr>
      </w:pPr>
      <w:r w:rsidRPr="1B42B10E">
        <w:rPr>
          <w:lang w:eastAsia="ko-KR"/>
        </w:rPr>
        <w:t xml:space="preserve">Liaise, consult, and work collaboratively with all stakeholders and service providers in a multidisciplinary approach across service sectors to support individual older person needs. For example: </w:t>
      </w:r>
    </w:p>
    <w:p w14:paraId="405927CC" w14:textId="77777777" w:rsidR="007A743C" w:rsidRPr="003E1933" w:rsidRDefault="007A743C" w:rsidP="00DF3F6B">
      <w:pPr>
        <w:pStyle w:val="ListParagraph"/>
        <w:numPr>
          <w:ilvl w:val="0"/>
          <w:numId w:val="100"/>
        </w:numPr>
        <w:tabs>
          <w:tab w:val="left" w:pos="709"/>
        </w:tabs>
        <w:spacing w:before="240" w:after="240" w:line="240" w:lineRule="auto"/>
        <w:ind w:left="1418" w:hanging="284"/>
        <w:rPr>
          <w:lang w:eastAsia="ko-KR"/>
        </w:rPr>
      </w:pPr>
      <w:r w:rsidRPr="003E1933">
        <w:rPr>
          <w:lang w:eastAsia="ko-KR"/>
        </w:rPr>
        <w:t xml:space="preserve">Contact relevant experts and service providers to discuss the older person's current situation and Support Plan moving forward, and to assist with the co-ordination of the older person’s care whilst receiving linking support (e.g., care finders, </w:t>
      </w:r>
      <w:r w:rsidRPr="3B842621">
        <w:rPr>
          <w:lang w:eastAsia="ko-KR"/>
        </w:rPr>
        <w:t>CHSP</w:t>
      </w:r>
      <w:r w:rsidRPr="003E1933">
        <w:rPr>
          <w:lang w:eastAsia="ko-KR"/>
        </w:rPr>
        <w:t xml:space="preserve"> Hoarding and Squalor providers, health, housing and legal services, community Geriatric Evaluation and Management teams, advocates, social, case management and/or mental health workers and </w:t>
      </w:r>
      <w:r w:rsidRPr="3B842621">
        <w:rPr>
          <w:lang w:eastAsia="ko-KR"/>
        </w:rPr>
        <w:t>local councils).</w:t>
      </w:r>
    </w:p>
    <w:p w14:paraId="375899B9" w14:textId="77777777" w:rsidR="007A743C" w:rsidRPr="003E1933" w:rsidRDefault="007A743C" w:rsidP="00DF3F6B">
      <w:pPr>
        <w:pStyle w:val="ListParagraph"/>
        <w:numPr>
          <w:ilvl w:val="0"/>
          <w:numId w:val="100"/>
        </w:numPr>
        <w:tabs>
          <w:tab w:val="left" w:pos="709"/>
        </w:tabs>
        <w:spacing w:before="240" w:after="240" w:line="240" w:lineRule="auto"/>
        <w:ind w:left="1418" w:hanging="284"/>
        <w:rPr>
          <w:lang w:eastAsia="ko-KR"/>
        </w:rPr>
      </w:pPr>
      <w:r w:rsidRPr="1B42B10E">
        <w:rPr>
          <w:lang w:eastAsia="ko-KR"/>
        </w:rPr>
        <w:t>With older person’s consent, obtain the necessary older person information from various sources and organisations.</w:t>
      </w:r>
    </w:p>
    <w:p w14:paraId="5D0E152A" w14:textId="77777777" w:rsidR="007A743C" w:rsidRDefault="007A743C" w:rsidP="00DF3F6B">
      <w:pPr>
        <w:pStyle w:val="ListParagraph"/>
        <w:numPr>
          <w:ilvl w:val="0"/>
          <w:numId w:val="100"/>
        </w:numPr>
        <w:tabs>
          <w:tab w:val="left" w:pos="851"/>
        </w:tabs>
        <w:spacing w:before="240" w:after="240" w:line="240" w:lineRule="auto"/>
        <w:ind w:left="1418" w:hanging="284"/>
        <w:rPr>
          <w:lang w:eastAsia="ko-KR"/>
        </w:rPr>
      </w:pPr>
      <w:r w:rsidRPr="1B42B10E">
        <w:rPr>
          <w:lang w:eastAsia="ko-KR"/>
        </w:rPr>
        <w:t>Maintain regular contact with the older person, providers, and those co-ordinating services during the period of linking support.</w:t>
      </w:r>
    </w:p>
    <w:p w14:paraId="004EC6A0" w14:textId="206AC7DE" w:rsidR="007A743C" w:rsidRPr="00EC3A87" w:rsidRDefault="007A743C" w:rsidP="00DF3F6B">
      <w:pPr>
        <w:pStyle w:val="ListParagraph"/>
        <w:numPr>
          <w:ilvl w:val="0"/>
          <w:numId w:val="100"/>
        </w:numPr>
        <w:tabs>
          <w:tab w:val="left" w:pos="851"/>
        </w:tabs>
        <w:spacing w:before="240" w:after="240" w:line="240" w:lineRule="auto"/>
        <w:ind w:left="1418" w:hanging="284"/>
        <w:rPr>
          <w:lang w:eastAsia="ko-KR"/>
        </w:rPr>
      </w:pPr>
      <w:r w:rsidRPr="003E1933">
        <w:rPr>
          <w:lang w:eastAsia="ko-KR"/>
        </w:rPr>
        <w:t xml:space="preserve">Assist </w:t>
      </w:r>
      <w:r w:rsidR="00516348">
        <w:rPr>
          <w:lang w:eastAsia="ko-KR"/>
        </w:rPr>
        <w:t>older people</w:t>
      </w:r>
      <w:r w:rsidRPr="003E1933">
        <w:rPr>
          <w:lang w:eastAsia="ko-KR"/>
        </w:rPr>
        <w:t xml:space="preserve"> with issues relating to transition to alternate service options.</w:t>
      </w:r>
    </w:p>
    <w:p w14:paraId="69269DD9" w14:textId="77777777" w:rsidR="007A743C" w:rsidRPr="002974BF" w:rsidRDefault="007A743C" w:rsidP="00DF3F6B">
      <w:pPr>
        <w:pStyle w:val="ListParagraph"/>
        <w:numPr>
          <w:ilvl w:val="0"/>
          <w:numId w:val="100"/>
        </w:numPr>
        <w:tabs>
          <w:tab w:val="left" w:pos="851"/>
        </w:tabs>
        <w:spacing w:before="240" w:after="240" w:line="240" w:lineRule="auto"/>
        <w:ind w:left="1418" w:hanging="284"/>
        <w:rPr>
          <w:lang w:eastAsia="ko-KR"/>
        </w:rPr>
      </w:pPr>
      <w:r w:rsidRPr="003E1933">
        <w:rPr>
          <w:lang w:eastAsia="ko-KR"/>
        </w:rPr>
        <w:t>In consultation</w:t>
      </w:r>
      <w:r>
        <w:rPr>
          <w:lang w:eastAsia="ko-KR"/>
        </w:rPr>
        <w:t xml:space="preserve"> with the older person</w:t>
      </w:r>
      <w:r w:rsidRPr="003E1933">
        <w:rPr>
          <w:lang w:eastAsia="ko-KR"/>
        </w:rPr>
        <w:t xml:space="preserve">, determine when the linking support period should be finalised, and what ongoing support (if any) may be required for the older person </w:t>
      </w:r>
    </w:p>
    <w:p w14:paraId="098270BE" w14:textId="77777777" w:rsidR="007A743C" w:rsidRPr="003E1933" w:rsidRDefault="007A743C" w:rsidP="00DF3F6B">
      <w:pPr>
        <w:pStyle w:val="ListParagraph"/>
        <w:numPr>
          <w:ilvl w:val="0"/>
          <w:numId w:val="100"/>
        </w:numPr>
        <w:tabs>
          <w:tab w:val="left" w:pos="851"/>
        </w:tabs>
        <w:spacing w:before="240" w:after="240" w:line="240" w:lineRule="auto"/>
        <w:ind w:left="1418" w:hanging="284"/>
        <w:rPr>
          <w:lang w:eastAsia="ko-KR"/>
        </w:rPr>
      </w:pPr>
      <w:r w:rsidRPr="003E1933">
        <w:rPr>
          <w:lang w:eastAsia="ko-KR"/>
        </w:rPr>
        <w:t xml:space="preserve">If aged care </w:t>
      </w:r>
      <w:r>
        <w:rPr>
          <w:lang w:eastAsia="ko-KR"/>
        </w:rPr>
        <w:t>service access is not approved</w:t>
      </w:r>
      <w:r w:rsidRPr="003E1933">
        <w:rPr>
          <w:lang w:eastAsia="ko-KR"/>
        </w:rPr>
        <w:t xml:space="preserve">, consider referral to a support service outside of aged care and if relevant a support service which provides a coordination or case management function. </w:t>
      </w:r>
    </w:p>
    <w:p w14:paraId="6C2BE1E4" w14:textId="77777777" w:rsidR="007A743C" w:rsidRPr="002974BF" w:rsidRDefault="007A743C" w:rsidP="00DF3F6B">
      <w:pPr>
        <w:pStyle w:val="ListParagraph"/>
        <w:numPr>
          <w:ilvl w:val="0"/>
          <w:numId w:val="104"/>
        </w:numPr>
        <w:tabs>
          <w:tab w:val="left" w:pos="851"/>
        </w:tabs>
        <w:spacing w:before="240" w:after="240" w:line="240" w:lineRule="auto"/>
        <w:ind w:left="426"/>
        <w:rPr>
          <w:lang w:eastAsia="ko-KR"/>
        </w:rPr>
      </w:pPr>
      <w:r w:rsidRPr="002974BF">
        <w:rPr>
          <w:lang w:eastAsia="ko-KR"/>
        </w:rPr>
        <w:t xml:space="preserve">Offer the information in a variety of formats to promote equitable access (e.g., paper-based, electronic, face-to-face, over the phone, etc.) and where appropriate, include information to self-refer to the identified services and supports and information on rights, responsibilities, and mechanisms for complaints. </w:t>
      </w:r>
    </w:p>
    <w:p w14:paraId="6A85E2DC" w14:textId="43AA9829" w:rsidR="007A743C" w:rsidRPr="002974BF" w:rsidRDefault="007A743C" w:rsidP="00A677C9">
      <w:pPr>
        <w:tabs>
          <w:tab w:val="left" w:pos="851"/>
        </w:tabs>
        <w:spacing w:before="240" w:after="240" w:line="240" w:lineRule="auto"/>
        <w:ind w:left="66"/>
        <w:rPr>
          <w:lang w:eastAsia="ko-KR"/>
        </w:rPr>
      </w:pPr>
    </w:p>
    <w:p w14:paraId="2D5CF5A7" w14:textId="7381FE96" w:rsidR="007A743C" w:rsidRDefault="007A743C" w:rsidP="00507F9D">
      <w:pPr>
        <w:pStyle w:val="h2"/>
      </w:pPr>
      <w:bookmarkStart w:id="435" w:name="_Toc204329561"/>
      <w:bookmarkStart w:id="436" w:name="_Toc209188990"/>
      <w:bookmarkStart w:id="437" w:name="_Toc224916651"/>
      <w:r w:rsidRPr="00CB5799">
        <w:t xml:space="preserve">Recommending </w:t>
      </w:r>
      <w:r>
        <w:t>aged care</w:t>
      </w:r>
      <w:r w:rsidRPr="00CB5799">
        <w:t xml:space="preserve"> service</w:t>
      </w:r>
      <w:r>
        <w:t>s</w:t>
      </w:r>
      <w:bookmarkEnd w:id="435"/>
      <w:bookmarkEnd w:id="436"/>
      <w:bookmarkEnd w:id="437"/>
    </w:p>
    <w:p w14:paraId="6C38A637" w14:textId="77777777" w:rsidR="00D5327C" w:rsidRPr="00CB5799" w:rsidRDefault="00D5327C" w:rsidP="00D5327C"/>
    <w:p w14:paraId="128AAC3F" w14:textId="77777777" w:rsidR="00282961" w:rsidRPr="000027E3" w:rsidRDefault="007A743C" w:rsidP="00C325C6">
      <w:pPr>
        <w:pStyle w:val="Sub-headings"/>
      </w:pPr>
      <w:r w:rsidRPr="00005E87">
        <w:t>Note</w:t>
      </w:r>
      <w:r w:rsidR="009C154A" w:rsidRPr="000027E3">
        <w:t>:</w:t>
      </w:r>
      <w:r w:rsidRPr="000027E3">
        <w:t xml:space="preserve"> </w:t>
      </w:r>
    </w:p>
    <w:p w14:paraId="224699F2" w14:textId="78DB8E2A" w:rsidR="00643C9B" w:rsidRDefault="007A743C" w:rsidP="00C325C6">
      <w:pPr>
        <w:pStyle w:val="Sub-headings"/>
      </w:pPr>
      <w:r w:rsidRPr="001C69EE">
        <w:t xml:space="preserve">Providers will </w:t>
      </w:r>
      <w:r w:rsidR="00946106">
        <w:t xml:space="preserve">not be </w:t>
      </w:r>
      <w:r w:rsidR="00A172FE">
        <w:t xml:space="preserve">able </w:t>
      </w:r>
      <w:r w:rsidR="00A172FE" w:rsidRPr="001C69EE">
        <w:t>to</w:t>
      </w:r>
      <w:r w:rsidRPr="001C69EE">
        <w:t xml:space="preserve"> deliver or claim for any services for an individual that </w:t>
      </w:r>
      <w:r w:rsidR="008101D7">
        <w:t>are</w:t>
      </w:r>
      <w:r w:rsidR="008101D7" w:rsidRPr="001C69EE">
        <w:t xml:space="preserve"> </w:t>
      </w:r>
      <w:r w:rsidRPr="001C69EE">
        <w:t>not approved in the support plan (even if there is an immediate need).</w:t>
      </w:r>
    </w:p>
    <w:p w14:paraId="1FA4398D" w14:textId="3281E284" w:rsidR="007A743C" w:rsidRDefault="007A743C" w:rsidP="00A677C9">
      <w:pPr>
        <w:spacing w:before="240" w:after="240" w:line="240" w:lineRule="auto"/>
      </w:pPr>
      <w:r>
        <w:t xml:space="preserve">Once the IAT has been finalised, an assessor will assess an older person’s need for aged care services as defined in </w:t>
      </w:r>
      <w:r w:rsidR="0042088F">
        <w:rPr>
          <w:b/>
        </w:rPr>
        <w:t>S</w:t>
      </w:r>
      <w:r w:rsidR="0042088F" w:rsidRPr="00553C2E">
        <w:rPr>
          <w:b/>
        </w:rPr>
        <w:t>ection</w:t>
      </w:r>
      <w:r w:rsidR="0042088F">
        <w:rPr>
          <w:b/>
        </w:rPr>
        <w:t>s</w:t>
      </w:r>
      <w:r w:rsidR="0042088F" w:rsidRPr="00553C2E">
        <w:rPr>
          <w:b/>
        </w:rPr>
        <w:t xml:space="preserve"> </w:t>
      </w:r>
      <w:r w:rsidRPr="00553C2E">
        <w:rPr>
          <w:b/>
        </w:rPr>
        <w:t>6</w:t>
      </w:r>
      <w:r>
        <w:rPr>
          <w:b/>
        </w:rPr>
        <w:t>6 to 68</w:t>
      </w:r>
      <w:r>
        <w:t xml:space="preserve"> of the </w:t>
      </w:r>
      <w:r w:rsidRPr="00974674">
        <w:rPr>
          <w:i/>
        </w:rPr>
        <w:t>Aged Care Act 2024</w:t>
      </w:r>
      <w:r>
        <w:t xml:space="preserve">. </w:t>
      </w:r>
    </w:p>
    <w:p w14:paraId="7A40892C" w14:textId="35A50989" w:rsidR="007A743C" w:rsidRPr="00CB5799" w:rsidRDefault="00A172FE" w:rsidP="00A677C9">
      <w:pPr>
        <w:spacing w:before="240" w:after="240" w:line="240" w:lineRule="auto"/>
      </w:pPr>
      <w:r>
        <w:t>If</w:t>
      </w:r>
      <w:r w:rsidRPr="343BEAEA">
        <w:t xml:space="preserve"> ongoing</w:t>
      </w:r>
      <w:r w:rsidR="007A743C" w:rsidRPr="343BEAEA">
        <w:t xml:space="preserve"> Support at Home, Restorative Care Pathway or End-of-life Pathway,</w:t>
      </w:r>
      <w:r w:rsidR="005E386C">
        <w:t xml:space="preserve"> are recommended</w:t>
      </w:r>
      <w:r w:rsidR="007A743C" w:rsidRPr="343BEAEA">
        <w:t xml:space="preserve"> </w:t>
      </w:r>
      <w:r w:rsidR="007A743C">
        <w:t>assessors</w:t>
      </w:r>
      <w:r w:rsidR="007A743C" w:rsidRPr="343BEAEA">
        <w:t xml:space="preserve"> will be taken directly to the ‘Add Home Support services’ page. On this page specific services are grouped by service type. These service types relate to the services in the </w:t>
      </w:r>
      <w:r w:rsidR="007A743C" w:rsidRPr="00F63565">
        <w:t>Aged Care Rules 2025</w:t>
      </w:r>
      <w:r w:rsidR="007A743C" w:rsidRPr="343BEAEA">
        <w:t xml:space="preserve">. </w:t>
      </w:r>
    </w:p>
    <w:p w14:paraId="18DB4A9B" w14:textId="4299C67F" w:rsidR="007A743C" w:rsidRDefault="007A743C" w:rsidP="00282961">
      <w:pPr>
        <w:spacing w:before="240" w:after="240" w:line="240" w:lineRule="auto"/>
        <w:ind w:firstLine="426"/>
        <w:rPr>
          <w:lang w:val="en-US"/>
        </w:rPr>
      </w:pPr>
      <w:r>
        <w:rPr>
          <w:lang w:val="en-US"/>
        </w:rPr>
        <w:t>Under each service type, specific services will appear (known as service levels). For example, under the service type</w:t>
      </w:r>
      <w:r w:rsidRPr="00CB5799">
        <w:rPr>
          <w:i/>
          <w:lang w:val="en-US"/>
        </w:rPr>
        <w:t xml:space="preserve"> Domestic Assistance</w:t>
      </w:r>
      <w:r>
        <w:rPr>
          <w:lang w:val="en-US"/>
        </w:rPr>
        <w:t xml:space="preserve">, services such as general house cleaning, laundry service, shopping assistance etc. will display. </w:t>
      </w:r>
      <w:r w:rsidRPr="00007252">
        <w:rPr>
          <w:lang w:val="en-US"/>
        </w:rPr>
        <w:t>All services are pre-selected</w:t>
      </w:r>
      <w:r>
        <w:rPr>
          <w:lang w:val="en-US"/>
        </w:rPr>
        <w:t>,</w:t>
      </w:r>
      <w:r w:rsidRPr="00007252">
        <w:rPr>
          <w:lang w:val="en-US"/>
        </w:rPr>
        <w:t xml:space="preserve"> except for services in the</w:t>
      </w:r>
      <w:r>
        <w:rPr>
          <w:lang w:val="en-US"/>
        </w:rPr>
        <w:t xml:space="preserve"> ‘prescribed’ service types</w:t>
      </w:r>
      <w:r w:rsidRPr="00007252">
        <w:rPr>
          <w:lang w:val="en-US"/>
        </w:rPr>
        <w:t xml:space="preserve"> </w:t>
      </w:r>
      <w:r w:rsidRPr="00007252">
        <w:rPr>
          <w:i/>
          <w:lang w:val="en-US"/>
        </w:rPr>
        <w:t>Allied health and Therapy</w:t>
      </w:r>
      <w:r w:rsidRPr="00007252">
        <w:rPr>
          <w:lang w:val="en-US"/>
        </w:rPr>
        <w:t xml:space="preserve"> and </w:t>
      </w:r>
      <w:r w:rsidRPr="00007252">
        <w:rPr>
          <w:i/>
          <w:lang w:val="en-US"/>
        </w:rPr>
        <w:t>Therapeutic Services for Independent Living</w:t>
      </w:r>
      <w:r w:rsidRPr="00007252">
        <w:rPr>
          <w:lang w:val="en-US"/>
        </w:rPr>
        <w:t xml:space="preserve">. This is due to the specific nature of these services and should only be recommended if an older person has a need for </w:t>
      </w:r>
      <w:r>
        <w:rPr>
          <w:lang w:val="en-US"/>
        </w:rPr>
        <w:t>them</w:t>
      </w:r>
      <w:r w:rsidRPr="00007252">
        <w:rPr>
          <w:lang w:val="en-US"/>
        </w:rPr>
        <w:t>.</w:t>
      </w:r>
    </w:p>
    <w:p w14:paraId="024F8FD0" w14:textId="36530E4B" w:rsidR="000027E3" w:rsidRPr="000027E3" w:rsidRDefault="007A743C" w:rsidP="00C325C6">
      <w:pPr>
        <w:pStyle w:val="Sub-headings"/>
      </w:pPr>
      <w:r w:rsidRPr="000027E3">
        <w:t xml:space="preserve">Important: </w:t>
      </w:r>
    </w:p>
    <w:p w14:paraId="4B6CCCA7" w14:textId="77777777" w:rsidR="002B7B30" w:rsidRDefault="007A743C" w:rsidP="00C325C6">
      <w:pPr>
        <w:pStyle w:val="Sub-headings"/>
      </w:pPr>
      <w:r w:rsidRPr="00FD65F6">
        <w:rPr>
          <w:rFonts w:eastAsia="Arial"/>
          <w:bCs w:val="0"/>
          <w:color w:val="000000" w:themeColor="text1"/>
        </w:rPr>
        <w:t xml:space="preserve">For any service type other than </w:t>
      </w:r>
      <w:r w:rsidRPr="008B7EE7">
        <w:rPr>
          <w:i/>
        </w:rPr>
        <w:t>Allied health and Therapy</w:t>
      </w:r>
      <w:r w:rsidRPr="008B7EE7">
        <w:t xml:space="preserve"> and </w:t>
      </w:r>
      <w:r w:rsidRPr="008B7EE7">
        <w:rPr>
          <w:i/>
        </w:rPr>
        <w:t xml:space="preserve">Therapeutic Services for Independent Living </w:t>
      </w:r>
      <w:r w:rsidRPr="008B7EE7">
        <w:t xml:space="preserve">(the ‘non-prescribed’ service types), if you think the older person needs </w:t>
      </w:r>
      <w:r w:rsidRPr="008B7EE7">
        <w:rPr>
          <w:u w:val="single"/>
        </w:rPr>
        <w:t>any</w:t>
      </w:r>
      <w:r w:rsidRPr="008B7EE7">
        <w:t xml:space="preserve"> service in the service type, then you need to select </w:t>
      </w:r>
      <w:r w:rsidRPr="008B7EE7">
        <w:rPr>
          <w:u w:val="single"/>
        </w:rPr>
        <w:t>all</w:t>
      </w:r>
      <w:r w:rsidRPr="008B7EE7">
        <w:t xml:space="preserve"> services in the service type. </w:t>
      </w:r>
    </w:p>
    <w:p w14:paraId="2FC9EC42" w14:textId="387068AF" w:rsidR="007A743C" w:rsidRPr="008B7EE7" w:rsidRDefault="007A743C" w:rsidP="00C325C6">
      <w:pPr>
        <w:pStyle w:val="Sub-headings"/>
      </w:pPr>
      <w:r w:rsidRPr="008B7EE7">
        <w:t xml:space="preserve">This is because, for the non-prescribed service types under the Act, an older person is approved for access </w:t>
      </w:r>
      <w:r w:rsidRPr="008B7EE7">
        <w:rPr>
          <w:i/>
        </w:rPr>
        <w:t>at the level of service type only</w:t>
      </w:r>
      <w:r w:rsidRPr="008B7EE7">
        <w:t>. This applies to service recommendations for Support at Home classifications and CHSP.</w:t>
      </w:r>
    </w:p>
    <w:p w14:paraId="3D835BCF" w14:textId="10F4E0AD" w:rsidR="002B7B30" w:rsidRDefault="007A743C" w:rsidP="00C325C6">
      <w:pPr>
        <w:pStyle w:val="Sub-headings"/>
      </w:pPr>
      <w:r w:rsidRPr="006848C9">
        <w:t>Under</w:t>
      </w:r>
      <w:r>
        <w:t xml:space="preserve"> </w:t>
      </w:r>
      <w:r w:rsidRPr="00A9172A">
        <w:rPr>
          <w:bCs w:val="0"/>
        </w:rPr>
        <w:t>Section 65 of</w:t>
      </w:r>
      <w:r w:rsidRPr="006848C9">
        <w:t xml:space="preserve"> the</w:t>
      </w:r>
      <w:r w:rsidRPr="006848C9">
        <w:rPr>
          <w:i/>
        </w:rPr>
        <w:t xml:space="preserve"> Aged Care Act 2024 </w:t>
      </w:r>
      <w:r w:rsidRPr="006848C9">
        <w:t>an</w:t>
      </w:r>
      <w:r w:rsidRPr="006848C9">
        <w:rPr>
          <w:i/>
        </w:rPr>
        <w:t xml:space="preserve"> </w:t>
      </w:r>
      <w:r w:rsidRPr="006848C9">
        <w:t xml:space="preserve">older Aboriginal and Torres Strait Islander person only needs an approval at the level of service group </w:t>
      </w:r>
      <w:r>
        <w:t>and classification type</w:t>
      </w:r>
      <w:r w:rsidRPr="006848C9">
        <w:t xml:space="preserve"> to receive aged care services. This means that if the older person is approved for a service group, they are automatically approved for </w:t>
      </w:r>
      <w:r w:rsidRPr="006848C9">
        <w:rPr>
          <w:i/>
        </w:rPr>
        <w:t>all service types</w:t>
      </w:r>
      <w:r w:rsidRPr="006848C9">
        <w:t xml:space="preserve"> </w:t>
      </w:r>
      <w:r w:rsidRPr="006848C9">
        <w:rPr>
          <w:i/>
        </w:rPr>
        <w:t>and services</w:t>
      </w:r>
      <w:r w:rsidRPr="006848C9">
        <w:t xml:space="preserve"> in that group. </w:t>
      </w:r>
    </w:p>
    <w:p w14:paraId="58C0AA9F" w14:textId="28E03CA5" w:rsidR="009263F4" w:rsidRPr="008B7EE7" w:rsidRDefault="007A743C" w:rsidP="00C325C6">
      <w:pPr>
        <w:pStyle w:val="Sub-headings"/>
      </w:pPr>
      <w:r w:rsidRPr="006848C9">
        <w:t xml:space="preserve">In the system, however, for the </w:t>
      </w:r>
      <w:r w:rsidRPr="006848C9">
        <w:rPr>
          <w:i/>
        </w:rPr>
        <w:t>home support</w:t>
      </w:r>
      <w:r w:rsidRPr="006848C9">
        <w:t xml:space="preserve"> service group you must ensure all service types and services are selected in the ‘Add home support services’ page, if the older person is Aboriginal or Torres Strait Islander. If you add Assistive Technology, Home Modifications or residential aged care to the support plan, there is no need for you to select specific services.</w:t>
      </w:r>
    </w:p>
    <w:p w14:paraId="4388E9C2" w14:textId="77777777" w:rsidR="007A743C" w:rsidRDefault="007A743C" w:rsidP="00A677C9">
      <w:pPr>
        <w:spacing w:before="240" w:after="240" w:line="240" w:lineRule="auto"/>
      </w:pPr>
    </w:p>
    <w:p w14:paraId="03655FA8" w14:textId="77777777" w:rsidR="007A743C" w:rsidRDefault="007A743C" w:rsidP="00A677C9">
      <w:pPr>
        <w:spacing w:before="240" w:after="240" w:line="240" w:lineRule="auto"/>
      </w:pPr>
      <w:r w:rsidRPr="030CBCAC">
        <w:t xml:space="preserve">On </w:t>
      </w:r>
      <w:r>
        <w:t xml:space="preserve">the </w:t>
      </w:r>
      <w:r w:rsidRPr="0078185E">
        <w:rPr>
          <w:i/>
          <w:iCs/>
        </w:rPr>
        <w:t>Add Home Support services</w:t>
      </w:r>
      <w:r w:rsidRPr="343BEAEA">
        <w:t xml:space="preserve"> page</w:t>
      </w:r>
      <w:r w:rsidRPr="030CBCAC">
        <w:t xml:space="preserve">, </w:t>
      </w:r>
      <w:r>
        <w:t>assessors</w:t>
      </w:r>
      <w:r w:rsidRPr="030CBCAC">
        <w:t xml:space="preserve"> can </w:t>
      </w:r>
      <w:r>
        <w:t xml:space="preserve">also: </w:t>
      </w:r>
    </w:p>
    <w:p w14:paraId="631360F5" w14:textId="77777777" w:rsidR="007A743C" w:rsidRDefault="007A743C" w:rsidP="00DF3F6B">
      <w:pPr>
        <w:pStyle w:val="ListParagraph"/>
        <w:numPr>
          <w:ilvl w:val="0"/>
          <w:numId w:val="80"/>
        </w:numPr>
        <w:spacing w:before="240" w:after="240" w:line="240" w:lineRule="auto"/>
      </w:pPr>
      <w:r w:rsidRPr="030CBCAC">
        <w:t>recommend the frequency and intensity of services</w:t>
      </w:r>
    </w:p>
    <w:p w14:paraId="797B884B" w14:textId="77777777" w:rsidR="007A743C" w:rsidRPr="00C9027E" w:rsidRDefault="007A743C" w:rsidP="00DF3F6B">
      <w:pPr>
        <w:pStyle w:val="ListParagraph"/>
        <w:numPr>
          <w:ilvl w:val="0"/>
          <w:numId w:val="80"/>
        </w:numPr>
        <w:spacing w:before="240" w:after="240" w:line="240" w:lineRule="auto"/>
      </w:pPr>
      <w:r w:rsidRPr="00D078DA">
        <w:t xml:space="preserve">link the older person’s concerns and goals to the services that have been selected.  </w:t>
      </w:r>
    </w:p>
    <w:p w14:paraId="132897AA" w14:textId="247DBAFD" w:rsidR="007A743C" w:rsidRDefault="007A743C" w:rsidP="00A677C9">
      <w:pPr>
        <w:spacing w:before="240" w:after="240" w:line="240" w:lineRule="auto"/>
      </w:pPr>
      <w:r w:rsidRPr="79075D12">
        <w:t xml:space="preserve">Care types and services that are not part of Support at Home can be recommended by clicking ‘Add a Service Recommendation’ or ‘Add a care type for delegate decision’ under </w:t>
      </w:r>
      <w:r w:rsidR="0061221A" w:rsidRPr="79075D12">
        <w:rPr>
          <w:i/>
        </w:rPr>
        <w:t>other</w:t>
      </w:r>
      <w:r w:rsidRPr="79075D12">
        <w:rPr>
          <w:i/>
        </w:rPr>
        <w:t xml:space="preserve"> recommendations</w:t>
      </w:r>
      <w:r w:rsidRPr="79075D12">
        <w:t xml:space="preserve"> in the </w:t>
      </w:r>
      <w:r w:rsidRPr="79075D12">
        <w:rPr>
          <w:i/>
        </w:rPr>
        <w:t>Goals &amp; recommendations</w:t>
      </w:r>
      <w:r w:rsidRPr="79075D12">
        <w:t xml:space="preserve"> tab. This applies to MPSP and </w:t>
      </w:r>
      <w:r w:rsidRPr="6E1E432A">
        <w:t>NATSIFACP</w:t>
      </w:r>
      <w:r w:rsidRPr="79075D12">
        <w:t xml:space="preserve"> services, Residential Care, Transition Care and CHSP. </w:t>
      </w:r>
    </w:p>
    <w:p w14:paraId="174F1653" w14:textId="23BF78CD" w:rsidR="007A743C" w:rsidRPr="00BB1669" w:rsidRDefault="007A743C" w:rsidP="00C56CEC">
      <w:pPr>
        <w:pStyle w:val="H3"/>
      </w:pPr>
      <w:r>
        <w:t xml:space="preserve">Making </w:t>
      </w:r>
      <w:r w:rsidR="00652EAB">
        <w:t>s</w:t>
      </w:r>
      <w:r w:rsidRPr="1B42B10E">
        <w:t xml:space="preserve">ervice </w:t>
      </w:r>
      <w:r w:rsidR="00652EAB">
        <w:t>r</w:t>
      </w:r>
      <w:r w:rsidRPr="1B42B10E">
        <w:t xml:space="preserve">ecommendations </w:t>
      </w:r>
    </w:p>
    <w:p w14:paraId="50181F28" w14:textId="77777777" w:rsidR="007A743C" w:rsidRPr="005906C6" w:rsidRDefault="007A743C" w:rsidP="00A677C9">
      <w:pPr>
        <w:spacing w:before="240" w:after="240" w:line="240" w:lineRule="auto"/>
        <w:rPr>
          <w:lang w:eastAsia="ko-KR"/>
        </w:rPr>
      </w:pPr>
      <w:r w:rsidRPr="00A97805">
        <w:rPr>
          <w:lang w:eastAsia="ko-KR"/>
        </w:rPr>
        <w:t xml:space="preserve">There are two types of recommendations that can be made on the Support Plan: </w:t>
      </w:r>
    </w:p>
    <w:p w14:paraId="4870136D" w14:textId="36EF0ED1" w:rsidR="007A743C" w:rsidRPr="005906C6" w:rsidRDefault="007A743C" w:rsidP="00DF3F6B">
      <w:pPr>
        <w:pStyle w:val="ListParagraph"/>
        <w:numPr>
          <w:ilvl w:val="0"/>
          <w:numId w:val="118"/>
        </w:numPr>
        <w:spacing w:before="240" w:after="240" w:line="240" w:lineRule="auto"/>
        <w:rPr>
          <w:lang w:eastAsia="ko-KR"/>
        </w:rPr>
      </w:pPr>
      <w:r w:rsidRPr="00237F74">
        <w:rPr>
          <w:b/>
          <w:lang w:eastAsia="ko-KR"/>
        </w:rPr>
        <w:t>Service recommendations</w:t>
      </w:r>
      <w:r w:rsidRPr="00A97805">
        <w:rPr>
          <w:lang w:eastAsia="ko-KR"/>
        </w:rPr>
        <w:t xml:space="preserve"> represent referrals that can be made through the Assessor Portal to Commonwealth-subsidised aged care services. </w:t>
      </w:r>
    </w:p>
    <w:p w14:paraId="0EA62AE5" w14:textId="3ECFDED9" w:rsidR="007A743C" w:rsidRPr="00A97805" w:rsidRDefault="007A743C" w:rsidP="00DF3F6B">
      <w:pPr>
        <w:pStyle w:val="ListParagraph"/>
        <w:numPr>
          <w:ilvl w:val="0"/>
          <w:numId w:val="118"/>
        </w:numPr>
        <w:spacing w:before="240" w:after="240" w:line="240" w:lineRule="auto"/>
      </w:pPr>
      <w:bookmarkStart w:id="438" w:name="_Hlk128331641"/>
      <w:r w:rsidRPr="00237F74">
        <w:rPr>
          <w:b/>
          <w:bCs/>
        </w:rPr>
        <w:t>General recommendations</w:t>
      </w:r>
      <w:r w:rsidRPr="00A97805">
        <w:t xml:space="preserve"> relate to a type of support that is non-government funded or where a referral is </w:t>
      </w:r>
      <w:r>
        <w:t>made outside</w:t>
      </w:r>
      <w:r w:rsidRPr="00A97805">
        <w:t xml:space="preserve"> of the Assessor Portal. </w:t>
      </w:r>
      <w:bookmarkEnd w:id="438"/>
      <w:r>
        <w:t>All recommendations – whether government-funded services, specialist programs, linking support, or general actions – must be clearly documented in the Support Plan.</w:t>
      </w:r>
    </w:p>
    <w:p w14:paraId="17C8550E" w14:textId="77777777" w:rsidR="007A743C" w:rsidRDefault="007A743C" w:rsidP="00A677C9">
      <w:pPr>
        <w:pStyle w:val="ListParagraph"/>
        <w:spacing w:before="240" w:after="240" w:line="240" w:lineRule="auto"/>
        <w:ind w:left="1"/>
        <w:rPr>
          <w:lang w:eastAsia="ko-KR"/>
        </w:rPr>
      </w:pPr>
    </w:p>
    <w:p w14:paraId="7B73C6F6" w14:textId="77777777" w:rsidR="007A743C" w:rsidRDefault="007A743C" w:rsidP="00A677C9">
      <w:pPr>
        <w:pStyle w:val="ListParagraph"/>
        <w:spacing w:before="240" w:after="240" w:line="240" w:lineRule="auto"/>
        <w:ind w:left="1"/>
      </w:pPr>
      <w:r w:rsidRPr="00A97805">
        <w:rPr>
          <w:lang w:eastAsia="ko-KR"/>
        </w:rPr>
        <w:t xml:space="preserve">Recommendations for aged care services must be aligned to an older person’s </w:t>
      </w:r>
      <w:r>
        <w:rPr>
          <w:lang w:eastAsia="ko-KR"/>
        </w:rPr>
        <w:t>current</w:t>
      </w:r>
      <w:r w:rsidRPr="00A97805">
        <w:rPr>
          <w:lang w:eastAsia="ko-KR"/>
        </w:rPr>
        <w:t xml:space="preserve"> needs</w:t>
      </w:r>
      <w:r w:rsidRPr="00A97805">
        <w:t>.  If multiple services are recommended, the assessor must clearly link each service to a relevant concern and goal.</w:t>
      </w:r>
      <w:r>
        <w:t xml:space="preserve"> If there are no recommendations as a result of the assessment, the assessor must provide clear reasons for the outcome</w:t>
      </w:r>
      <w:r w:rsidRPr="00A97805">
        <w:t xml:space="preserve"> </w:t>
      </w:r>
      <w:r>
        <w:t>within the Support Plan and communicate clearly to the older person.</w:t>
      </w:r>
    </w:p>
    <w:p w14:paraId="23A4B325" w14:textId="77777777" w:rsidR="007A743C" w:rsidRPr="00A97805" w:rsidRDefault="007A743C" w:rsidP="00A677C9">
      <w:pPr>
        <w:pStyle w:val="ListParagraph"/>
        <w:spacing w:before="240" w:after="240" w:line="240" w:lineRule="auto"/>
        <w:ind w:left="1"/>
        <w:rPr>
          <w:lang w:eastAsia="ko-KR"/>
        </w:rPr>
      </w:pPr>
    </w:p>
    <w:p w14:paraId="00795BF3" w14:textId="6846990D" w:rsidR="007A743C" w:rsidRPr="00B037C4" w:rsidRDefault="007A743C" w:rsidP="00A677C9">
      <w:pPr>
        <w:pStyle w:val="ListParagraph"/>
        <w:spacing w:before="240" w:after="240" w:line="240" w:lineRule="auto"/>
        <w:ind w:left="1"/>
        <w:rPr>
          <w:lang w:eastAsia="ko-KR"/>
        </w:rPr>
      </w:pPr>
      <w:r w:rsidRPr="2A00F884">
        <w:rPr>
          <w:lang w:eastAsia="ko-KR"/>
        </w:rPr>
        <w:t>Assessors must clearly articulate the service recommendation details – service type and services</w:t>
      </w:r>
      <w:r>
        <w:rPr>
          <w:lang w:eastAsia="ko-KR"/>
        </w:rPr>
        <w:t xml:space="preserve"> </w:t>
      </w:r>
      <w:r w:rsidRPr="2A00F884">
        <w:rPr>
          <w:lang w:eastAsia="ko-KR"/>
        </w:rPr>
        <w:t>(if applicable), start, end and review dates (if applicable), frequency, intensity, priority, and outcome</w:t>
      </w:r>
      <w:r w:rsidR="00C37A42">
        <w:rPr>
          <w:lang w:eastAsia="ko-KR"/>
        </w:rPr>
        <w:t xml:space="preserve">, </w:t>
      </w:r>
    </w:p>
    <w:p w14:paraId="4AC93405" w14:textId="77777777" w:rsidR="007A743C" w:rsidRPr="00B037C4" w:rsidRDefault="007A743C" w:rsidP="00DF3F6B">
      <w:pPr>
        <w:pStyle w:val="ListParagraph"/>
        <w:numPr>
          <w:ilvl w:val="0"/>
          <w:numId w:val="102"/>
        </w:numPr>
        <w:spacing w:before="240" w:after="240" w:line="240" w:lineRule="auto"/>
        <w:rPr>
          <w:lang w:eastAsia="ko-KR"/>
        </w:rPr>
      </w:pPr>
      <w:r w:rsidRPr="00B037C4">
        <w:rPr>
          <w:lang w:eastAsia="ko-KR"/>
        </w:rPr>
        <w:t>The frequency and intensity of the services may be recorded if indicated, however may be decided at a later point by the service provider with the development of the Care Plan. Example: Two times weekly.</w:t>
      </w:r>
    </w:p>
    <w:p w14:paraId="23DD8D3E" w14:textId="77777777" w:rsidR="007A743C" w:rsidRPr="00B037C4" w:rsidRDefault="007A743C" w:rsidP="00DF3F6B">
      <w:pPr>
        <w:pStyle w:val="ListParagraph"/>
        <w:numPr>
          <w:ilvl w:val="0"/>
          <w:numId w:val="102"/>
        </w:numPr>
        <w:spacing w:before="240" w:after="240" w:line="240" w:lineRule="auto"/>
        <w:rPr>
          <w:lang w:eastAsia="ko-KR"/>
        </w:rPr>
      </w:pPr>
      <w:r w:rsidRPr="00B037C4">
        <w:rPr>
          <w:lang w:eastAsia="ko-KR"/>
        </w:rPr>
        <w:t xml:space="preserve">The priority for the service recommendations is based on the older person’s needs and urgency for services. The determination of urgency for services is based on the older person’s circumstances, such that there is an urgent need for services which, if not met immediately, may place the older person’s health and safety at risk. </w:t>
      </w:r>
    </w:p>
    <w:p w14:paraId="05805845" w14:textId="77777777" w:rsidR="007A743C" w:rsidRPr="00B037C4" w:rsidRDefault="007A743C" w:rsidP="00DF3F6B">
      <w:pPr>
        <w:pStyle w:val="ListParagraph"/>
        <w:numPr>
          <w:ilvl w:val="0"/>
          <w:numId w:val="102"/>
        </w:numPr>
        <w:spacing w:before="240" w:after="240" w:line="240" w:lineRule="auto"/>
        <w:rPr>
          <w:lang w:eastAsia="ko-KR"/>
        </w:rPr>
      </w:pPr>
      <w:r w:rsidRPr="00B037C4">
        <w:rPr>
          <w:lang w:eastAsia="ko-KR"/>
        </w:rPr>
        <w:t xml:space="preserve">Include CHSP service </w:t>
      </w:r>
      <w:r w:rsidRPr="017FF414">
        <w:rPr>
          <w:lang w:eastAsia="ko-KR"/>
        </w:rPr>
        <w:t>(short</w:t>
      </w:r>
      <w:r>
        <w:rPr>
          <w:lang w:eastAsia="ko-KR"/>
        </w:rPr>
        <w:t>-term</w:t>
      </w:r>
      <w:r w:rsidRPr="00B037C4">
        <w:rPr>
          <w:lang w:eastAsia="ko-KR"/>
        </w:rPr>
        <w:t xml:space="preserve"> or ongoing) information in the assessment summary (see previous sub-section: Assessment Summary). </w:t>
      </w:r>
    </w:p>
    <w:p w14:paraId="067726CA" w14:textId="77777777" w:rsidR="00282961" w:rsidRPr="000027E3" w:rsidRDefault="007A743C" w:rsidP="00C325C6">
      <w:pPr>
        <w:pStyle w:val="Sub-headings"/>
      </w:pPr>
      <w:r w:rsidRPr="00005E87">
        <w:t>Note</w:t>
      </w:r>
      <w:r w:rsidR="00E37E3A" w:rsidRPr="000027E3">
        <w:t>:</w:t>
      </w:r>
      <w:r w:rsidRPr="000027E3">
        <w:t xml:space="preserve"> </w:t>
      </w:r>
    </w:p>
    <w:p w14:paraId="3E1D1981" w14:textId="77777777" w:rsidR="002B7B30" w:rsidRDefault="007A743C" w:rsidP="00C325C6">
      <w:pPr>
        <w:pStyle w:val="Sub-headings"/>
      </w:pPr>
      <w:r w:rsidRPr="00CD1414">
        <w:t>If a non-clinical assessor is recommending services other than CHSP, they must seek the supervision of a clinical assessor to assist with providing recommendations for those services e</w:t>
      </w:r>
      <w:r>
        <w:t>.</w:t>
      </w:r>
      <w:r w:rsidRPr="00CD1414">
        <w:t xml:space="preserve">g. Support at Home ongoing, </w:t>
      </w:r>
      <w:r>
        <w:t>r</w:t>
      </w:r>
      <w:r w:rsidRPr="00CD1414">
        <w:t xml:space="preserve">esidential </w:t>
      </w:r>
      <w:r>
        <w:t>c</w:t>
      </w:r>
      <w:r w:rsidRPr="00CD1414">
        <w:t>are</w:t>
      </w:r>
      <w:r>
        <w:t xml:space="preserve"> and AT-HM</w:t>
      </w:r>
      <w:r w:rsidRPr="00CD1414">
        <w:t xml:space="preserve">. </w:t>
      </w:r>
    </w:p>
    <w:p w14:paraId="0CE5A20D" w14:textId="77777777" w:rsidR="002B7B30" w:rsidRDefault="007A743C" w:rsidP="00C325C6">
      <w:pPr>
        <w:pStyle w:val="Sub-headings"/>
      </w:pPr>
      <w:r w:rsidRPr="00CD1414">
        <w:t xml:space="preserve">If clinical attendance occurred during the assessment, this supervision should be given by the clinical assessor who provided this attendance. </w:t>
      </w:r>
    </w:p>
    <w:p w14:paraId="1B6A4974" w14:textId="3FF33803" w:rsidR="00AF7036" w:rsidRDefault="007A743C" w:rsidP="00C325C6">
      <w:pPr>
        <w:pStyle w:val="Sub-headings"/>
        <w:rPr>
          <w:rFonts w:eastAsia="MS PGothic"/>
        </w:rPr>
      </w:pPr>
      <w:r w:rsidRPr="00CD1414">
        <w:t xml:space="preserve">If services that are not CHSP services are recommended and clinical questions were not triggered in the IAT, the non-clinical assessor will need to seek the supervision of a clinical assessor upon converting the assessment to a comprehensive assessment.  </w:t>
      </w:r>
    </w:p>
    <w:p w14:paraId="1B3A6355" w14:textId="77777777" w:rsidR="007A743C" w:rsidRPr="00C8627D" w:rsidRDefault="007A743C" w:rsidP="00A677C9">
      <w:pPr>
        <w:spacing w:before="240" w:after="240" w:line="240" w:lineRule="auto"/>
        <w:rPr>
          <w:lang w:eastAsia="en-GB"/>
        </w:rPr>
      </w:pPr>
      <w:r w:rsidRPr="00C8627D">
        <w:rPr>
          <w:rFonts w:eastAsia="MS PGothic"/>
        </w:rPr>
        <w:t>Detail</w:t>
      </w:r>
      <w:r w:rsidRPr="00C8627D">
        <w:rPr>
          <w:lang w:eastAsia="ko-KR"/>
        </w:rPr>
        <w:t xml:space="preserve"> all care options agreed with the older person, ensuring general and service recommendations:</w:t>
      </w:r>
    </w:p>
    <w:p w14:paraId="2A0168A1"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 xml:space="preserve">Are evidence-based, defensible and </w:t>
      </w:r>
      <w:r w:rsidRPr="00C121F3">
        <w:t xml:space="preserve">are clearly drawn from and linked to the older person’s goals and needs/area of concern. For example: a recommendation for respite, links to information on the older person/carer relationship, dementia support, and any difficulties or concerns that are experienced to reduce carer stress and support the care relationship. </w:t>
      </w:r>
    </w:p>
    <w:p w14:paraId="1317BD89"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relate to the older person’s current unmet needs and are supported by the assessment.</w:t>
      </w:r>
    </w:p>
    <w:p w14:paraId="10CEEA78"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 xml:space="preserve">take into account their identified support considerations when recommending options for support. </w:t>
      </w:r>
    </w:p>
    <w:p w14:paraId="6D05ABD2" w14:textId="77777777" w:rsidR="007A743C" w:rsidRPr="00C121F3" w:rsidRDefault="007A743C" w:rsidP="00DF3F6B">
      <w:pPr>
        <w:pStyle w:val="ListParagraph"/>
        <w:numPr>
          <w:ilvl w:val="0"/>
          <w:numId w:val="112"/>
        </w:numPr>
        <w:spacing w:before="240" w:after="240" w:line="240" w:lineRule="auto"/>
        <w:rPr>
          <w:lang w:eastAsia="ko-KR"/>
        </w:rPr>
      </w:pPr>
      <w:r w:rsidRPr="00C121F3">
        <w:rPr>
          <w:rFonts w:eastAsia="MS PGothic"/>
        </w:rPr>
        <w:t>consider</w:t>
      </w:r>
      <w:r w:rsidRPr="00C121F3">
        <w:rPr>
          <w:lang w:eastAsia="ko-KR"/>
        </w:rPr>
        <w:t xml:space="preserve"> the availability and capability of services and supports to meet the older person's care needs including:</w:t>
      </w:r>
    </w:p>
    <w:p w14:paraId="0D9D9A44"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services in and outside of aged care</w:t>
      </w:r>
    </w:p>
    <w:p w14:paraId="7233E9A8" w14:textId="77777777" w:rsidR="007A743C" w:rsidRPr="00C121F3" w:rsidRDefault="007A743C" w:rsidP="00DF3F6B">
      <w:pPr>
        <w:pStyle w:val="ListParagraph"/>
        <w:numPr>
          <w:ilvl w:val="0"/>
          <w:numId w:val="112"/>
        </w:numPr>
        <w:spacing w:before="240" w:after="240" w:line="240" w:lineRule="auto"/>
        <w:rPr>
          <w:lang w:eastAsia="ko-KR"/>
        </w:rPr>
      </w:pPr>
      <w:r w:rsidRPr="00C121F3">
        <w:rPr>
          <w:lang w:eastAsia="ko-KR"/>
        </w:rPr>
        <w:t>informal supports, what family, friends and neighbours contribute (including the sustainability of these)</w:t>
      </w:r>
    </w:p>
    <w:p w14:paraId="5807ABA4" w14:textId="18523F49" w:rsidR="007A743C" w:rsidRDefault="007A743C" w:rsidP="00DF3F6B">
      <w:pPr>
        <w:pStyle w:val="ListParagraph"/>
        <w:numPr>
          <w:ilvl w:val="0"/>
          <w:numId w:val="112"/>
        </w:numPr>
        <w:spacing w:before="240" w:after="240" w:line="240" w:lineRule="auto"/>
      </w:pPr>
      <w:r w:rsidRPr="00C121F3">
        <w:rPr>
          <w:rFonts w:eastAsia="MS PGothic"/>
        </w:rPr>
        <w:t>General</w:t>
      </w:r>
      <w:r w:rsidRPr="00C121F3">
        <w:rPr>
          <w:lang w:eastAsia="ko-KR"/>
        </w:rPr>
        <w:t xml:space="preserve"> recommendations include responsibility to action (older person/other).</w:t>
      </w:r>
    </w:p>
    <w:p w14:paraId="5BAEC391" w14:textId="3D34AA95" w:rsidR="00DE1E1B" w:rsidRDefault="00DE1E1B" w:rsidP="00DF3F6B">
      <w:pPr>
        <w:pStyle w:val="ListParagraph"/>
        <w:numPr>
          <w:ilvl w:val="0"/>
          <w:numId w:val="112"/>
        </w:numPr>
        <w:spacing w:before="240" w:after="240" w:line="240" w:lineRule="auto"/>
      </w:pPr>
      <w:r>
        <w:t xml:space="preserve">In some </w:t>
      </w:r>
      <w:r w:rsidDel="0049335C">
        <w:t>instances</w:t>
      </w:r>
      <w:r>
        <w:t xml:space="preserve">, Aboriginal and Torres Strait Islander assessment organisations may also be an aged care provider. It is critically important that clients are provided with choice and control over service providers from whom they would like to receive aged care services. Assessors should discuss all the options with the older person.  </w:t>
      </w:r>
    </w:p>
    <w:p w14:paraId="1F9C2350" w14:textId="03F01E2C" w:rsidR="001E41D8" w:rsidRDefault="001E41D8" w:rsidP="004D2E46">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pPr>
      <w:r w:rsidRPr="004D2E46">
        <w:rPr>
          <w:b/>
        </w:rPr>
        <w:t>Important:</w:t>
      </w:r>
      <w:r>
        <w:t xml:space="preserve"> If a </w:t>
      </w:r>
      <w:r w:rsidR="004F37CB">
        <w:t xml:space="preserve">person can access some services from an MPSP or NATISFACP provider, you must </w:t>
      </w:r>
      <w:r w:rsidR="00EA4FC5">
        <w:t xml:space="preserve">add an MPSP or NATISFACP </w:t>
      </w:r>
      <w:r w:rsidR="00EB7644">
        <w:t xml:space="preserve">service </w:t>
      </w:r>
      <w:r w:rsidR="00EA4FC5">
        <w:t>re</w:t>
      </w:r>
      <w:r w:rsidR="00EB7644">
        <w:t>commendation</w:t>
      </w:r>
      <w:r w:rsidR="00EA4FC5">
        <w:t>.</w:t>
      </w:r>
      <w:r w:rsidR="00EB7644">
        <w:t xml:space="preserve"> See </w:t>
      </w:r>
      <w:r w:rsidR="004D2E46">
        <w:t>Chapter</w:t>
      </w:r>
      <w:r w:rsidR="00EB7644">
        <w:t xml:space="preserve"> </w:t>
      </w:r>
      <w:r w:rsidR="009E44AC">
        <w:t>6 for more information</w:t>
      </w:r>
      <w:r w:rsidR="00EA4FC5">
        <w:t xml:space="preserve">. </w:t>
      </w:r>
    </w:p>
    <w:p w14:paraId="777D38B6" w14:textId="77777777" w:rsidR="007A743C" w:rsidRPr="00993400" w:rsidRDefault="007A743C" w:rsidP="00C56CEC">
      <w:pPr>
        <w:pStyle w:val="H3"/>
      </w:pPr>
      <w:r>
        <w:t xml:space="preserve">Setting the ‘service </w:t>
      </w:r>
      <w:r w:rsidRPr="00993400">
        <w:t>seeking</w:t>
      </w:r>
      <w:r>
        <w:t>’</w:t>
      </w:r>
      <w:r w:rsidRPr="00993400">
        <w:t xml:space="preserve"> </w:t>
      </w:r>
      <w:r>
        <w:t>preference for prioritised services under the Support at Home program</w:t>
      </w:r>
    </w:p>
    <w:p w14:paraId="19F58EF6" w14:textId="3BB5E30D" w:rsidR="007A743C" w:rsidRDefault="007A743C" w:rsidP="00A677C9">
      <w:pPr>
        <w:spacing w:before="240" w:after="240" w:line="240" w:lineRule="auto"/>
      </w:pPr>
      <w:r>
        <w:t xml:space="preserve">Access to ongoing Support at Home (SaH) classifications and AT-HM under the Support at Home </w:t>
      </w:r>
      <w:r w:rsidR="00972F39">
        <w:t>p</w:t>
      </w:r>
      <w:r>
        <w:t>rogram (the AT-HM scheme) is managed through three independent priority systems:</w:t>
      </w:r>
    </w:p>
    <w:p w14:paraId="7C7A3C1F" w14:textId="77777777" w:rsidR="007A743C" w:rsidRDefault="007A743C" w:rsidP="00DF3F6B">
      <w:pPr>
        <w:pStyle w:val="ListParagraph"/>
        <w:numPr>
          <w:ilvl w:val="0"/>
          <w:numId w:val="112"/>
        </w:numPr>
        <w:spacing w:before="240" w:after="240" w:line="240" w:lineRule="auto"/>
      </w:pPr>
      <w:r>
        <w:t>the Support at Home Priority System – for the ongoing SaH classifications</w:t>
      </w:r>
    </w:p>
    <w:p w14:paraId="78615969" w14:textId="77777777" w:rsidR="007A743C" w:rsidRDefault="007A743C" w:rsidP="00DF3F6B">
      <w:pPr>
        <w:pStyle w:val="ListParagraph"/>
        <w:numPr>
          <w:ilvl w:val="0"/>
          <w:numId w:val="112"/>
        </w:numPr>
        <w:spacing w:before="240" w:after="240" w:line="240" w:lineRule="auto"/>
      </w:pPr>
      <w:r>
        <w:t>the Assistive Technology Priority System – for AT under the SaH program</w:t>
      </w:r>
    </w:p>
    <w:p w14:paraId="49AFFD91" w14:textId="04FC93EB" w:rsidR="007A743C" w:rsidRDefault="007A743C" w:rsidP="00DF3F6B">
      <w:pPr>
        <w:pStyle w:val="ListParagraph"/>
        <w:numPr>
          <w:ilvl w:val="0"/>
          <w:numId w:val="112"/>
        </w:numPr>
        <w:spacing w:before="240" w:after="240" w:line="240" w:lineRule="auto"/>
      </w:pPr>
      <w:r>
        <w:t>the Home Modifications Priority System – for HM under the SaH program.</w:t>
      </w:r>
    </w:p>
    <w:p w14:paraId="7F9F7738" w14:textId="77777777" w:rsidR="007A743C" w:rsidRPr="001E74F5" w:rsidRDefault="007A743C" w:rsidP="00A677C9">
      <w:pPr>
        <w:spacing w:before="240" w:after="240" w:line="240" w:lineRule="auto"/>
      </w:pPr>
      <w:r w:rsidRPr="001E74F5">
        <w:t xml:space="preserve">As part of the assessment process, it is important for assessors to have a clear conversation with the individual about whether they are seeking to receive these services </w:t>
      </w:r>
      <w:r w:rsidRPr="00D848E0">
        <w:t>through the Support at Home program</w:t>
      </w:r>
      <w:r w:rsidRPr="001E74F5">
        <w:t>.</w:t>
      </w:r>
    </w:p>
    <w:p w14:paraId="23AD8D7E" w14:textId="7E357969" w:rsidR="007A743C" w:rsidRPr="00E45FCB" w:rsidRDefault="007A743C" w:rsidP="00A677C9">
      <w:pPr>
        <w:spacing w:before="240" w:after="240" w:line="240" w:lineRule="auto"/>
      </w:pPr>
      <w:r>
        <w:t>There is a separate ‘seeking services’ preference field in the Support Plan section of the Assessor Portal for each of these recommendations (ongoing SaH classification, AT and HM). Assessors must record if the client is ‘seeking services’ or ‘not seeking services’ through the Support at Home program for each of the recommendations, in line with the following guidance:</w:t>
      </w:r>
    </w:p>
    <w:p w14:paraId="6E6138B7" w14:textId="77777777" w:rsidR="00015C2D" w:rsidRDefault="007A743C" w:rsidP="00DF3F6B">
      <w:pPr>
        <w:pStyle w:val="ListParagraph"/>
        <w:numPr>
          <w:ilvl w:val="0"/>
          <w:numId w:val="141"/>
        </w:numPr>
        <w:spacing w:before="240" w:after="240" w:line="240" w:lineRule="auto"/>
      </w:pPr>
      <w:r w:rsidRPr="00D848E0">
        <w:t>For clients seeking these services through the Support at Home program</w:t>
      </w:r>
      <w:r w:rsidRPr="007A5C3D">
        <w:rPr>
          <w:bCs/>
        </w:rPr>
        <w:t>,</w:t>
      </w:r>
      <w:r w:rsidRPr="00E64AC3">
        <w:t xml:space="preserve"> the assessor should set the </w:t>
      </w:r>
      <w:r>
        <w:t xml:space="preserve">relevant </w:t>
      </w:r>
      <w:r w:rsidRPr="00E64AC3">
        <w:t xml:space="preserve">service seeking preference to </w:t>
      </w:r>
      <w:r w:rsidRPr="00E64AC3">
        <w:rPr>
          <w:rFonts w:hint="eastAsia"/>
        </w:rPr>
        <w:t>‘</w:t>
      </w:r>
      <w:r w:rsidRPr="00E64AC3">
        <w:t>seeking services</w:t>
      </w:r>
      <w:r>
        <w:t>’.</w:t>
      </w:r>
    </w:p>
    <w:p w14:paraId="5419CED9" w14:textId="08D85231" w:rsidR="007A743C" w:rsidRPr="00E64AC3" w:rsidRDefault="007A743C" w:rsidP="00D848E0">
      <w:pPr>
        <w:pStyle w:val="ListParagraph"/>
        <w:spacing w:before="240" w:after="240" w:line="240" w:lineRule="auto"/>
      </w:pPr>
      <w:r>
        <w:t>This ensures that the older person is placed on the appropriate priority system(s).</w:t>
      </w:r>
    </w:p>
    <w:p w14:paraId="338DDBA7" w14:textId="77777777" w:rsidR="00AB51F0" w:rsidRDefault="007A743C" w:rsidP="00DF3F6B">
      <w:pPr>
        <w:pStyle w:val="ListParagraph"/>
        <w:numPr>
          <w:ilvl w:val="0"/>
          <w:numId w:val="141"/>
        </w:numPr>
        <w:spacing w:before="240" w:after="240" w:line="240" w:lineRule="auto"/>
      </w:pPr>
      <w:r w:rsidRPr="00D848E0">
        <w:t xml:space="preserve">For clients </w:t>
      </w:r>
      <w:r w:rsidRPr="00D848E0">
        <w:rPr>
          <w:u w:val="single"/>
        </w:rPr>
        <w:t>not</w:t>
      </w:r>
      <w:r w:rsidRPr="00D848E0">
        <w:t xml:space="preserve"> seeking these services through the Support at Home program</w:t>
      </w:r>
      <w:r w:rsidRPr="007A5C3D">
        <w:rPr>
          <w:bCs/>
        </w:rPr>
        <w:t>,</w:t>
      </w:r>
      <w:r w:rsidRPr="00E64AC3">
        <w:t xml:space="preserve"> the assessor should set the </w:t>
      </w:r>
      <w:r>
        <w:t xml:space="preserve">relevant </w:t>
      </w:r>
      <w:r w:rsidRPr="00E64AC3">
        <w:t xml:space="preserve">service seeking preference to </w:t>
      </w:r>
      <w:r>
        <w:t>‘</w:t>
      </w:r>
      <w:r w:rsidRPr="00E64AC3">
        <w:t>not seeking services</w:t>
      </w:r>
      <w:r>
        <w:t>’</w:t>
      </w:r>
      <w:r w:rsidRPr="00E64AC3">
        <w:t xml:space="preserve">. </w:t>
      </w:r>
    </w:p>
    <w:p w14:paraId="7D213DE2" w14:textId="6F2D2FC0" w:rsidR="007A743C" w:rsidRDefault="007A743C" w:rsidP="00DF3F6B">
      <w:pPr>
        <w:pStyle w:val="ListParagraph"/>
        <w:numPr>
          <w:ilvl w:val="0"/>
          <w:numId w:val="141"/>
        </w:numPr>
        <w:spacing w:before="240" w:after="240" w:line="240" w:lineRule="auto"/>
      </w:pPr>
      <w:r w:rsidRPr="00E64AC3">
        <w:t xml:space="preserve">This option makes sure the client </w:t>
      </w:r>
      <w:r w:rsidRPr="00313200">
        <w:rPr>
          <w:b/>
        </w:rPr>
        <w:t>does not</w:t>
      </w:r>
      <w:r w:rsidRPr="00E64AC3">
        <w:t xml:space="preserve"> enter the </w:t>
      </w:r>
      <w:r>
        <w:t>relevant priority system(s)</w:t>
      </w:r>
      <w:r w:rsidRPr="00E64AC3">
        <w:t xml:space="preserve"> and </w:t>
      </w:r>
      <w:r>
        <w:t xml:space="preserve">will </w:t>
      </w:r>
      <w:r w:rsidRPr="00E64AC3">
        <w:t xml:space="preserve">not </w:t>
      </w:r>
      <w:r>
        <w:t xml:space="preserve">be </w:t>
      </w:r>
      <w:r w:rsidRPr="00E64AC3">
        <w:t xml:space="preserve">allocated funding under the </w:t>
      </w:r>
      <w:r>
        <w:t>Support at Home program</w:t>
      </w:r>
      <w:r w:rsidRPr="00E64AC3">
        <w:t>.</w:t>
      </w:r>
      <w:r>
        <w:t xml:space="preserve"> Relevant circumstances include when:</w:t>
      </w:r>
    </w:p>
    <w:p w14:paraId="7F500C3F" w14:textId="77777777" w:rsidR="007A743C" w:rsidRDefault="007A743C" w:rsidP="00DF3F6B">
      <w:pPr>
        <w:pStyle w:val="ListParagraph"/>
        <w:numPr>
          <w:ilvl w:val="1"/>
          <w:numId w:val="141"/>
        </w:numPr>
        <w:spacing w:before="240" w:after="240" w:line="240" w:lineRule="auto"/>
      </w:pPr>
      <w:r>
        <w:t xml:space="preserve">the </w:t>
      </w:r>
      <w:r w:rsidRPr="00E64AC3">
        <w:t>client</w:t>
      </w:r>
      <w:r>
        <w:t xml:space="preserve"> has chosen </w:t>
      </w:r>
      <w:r w:rsidRPr="00E64AC3">
        <w:t xml:space="preserve">to access services through NATSIFACP or MPSP and so </w:t>
      </w:r>
      <w:r>
        <w:t xml:space="preserve">they </w:t>
      </w:r>
      <w:r w:rsidRPr="00E64AC3">
        <w:t xml:space="preserve">do not require services from a </w:t>
      </w:r>
      <w:r>
        <w:t>SaH</w:t>
      </w:r>
      <w:r w:rsidRPr="00E64AC3">
        <w:t xml:space="preserve"> provider</w:t>
      </w:r>
      <w:r>
        <w:t xml:space="preserve"> (or funding from the SaH program)</w:t>
      </w:r>
    </w:p>
    <w:p w14:paraId="3CF2C48C" w14:textId="77777777" w:rsidR="007A743C" w:rsidRPr="00E64AC3" w:rsidRDefault="007A743C" w:rsidP="00DF3F6B">
      <w:pPr>
        <w:pStyle w:val="ListParagraph"/>
        <w:numPr>
          <w:ilvl w:val="1"/>
          <w:numId w:val="141"/>
        </w:numPr>
        <w:spacing w:before="240" w:after="240" w:line="240" w:lineRule="auto"/>
      </w:pPr>
      <w:r>
        <w:t>the client does not want to access the recommended services at this time</w:t>
      </w:r>
      <w:r w:rsidRPr="00E64AC3" w:rsidDel="00587696">
        <w:t>.</w:t>
      </w:r>
    </w:p>
    <w:p w14:paraId="486B0BD8" w14:textId="77777777" w:rsidR="007A743C" w:rsidRDefault="007A743C" w:rsidP="00A677C9">
      <w:pPr>
        <w:spacing w:before="240" w:after="240" w:line="240" w:lineRule="auto"/>
      </w:pPr>
      <w:r w:rsidRPr="00E64AC3">
        <w:t xml:space="preserve">If the older person later wants to access </w:t>
      </w:r>
      <w:r>
        <w:t xml:space="preserve">one of these </w:t>
      </w:r>
      <w:r w:rsidRPr="00E64AC3">
        <w:t xml:space="preserve">services through the Support at Home program, they can change their preference and enter the </w:t>
      </w:r>
      <w:r>
        <w:t>relevant priority system</w:t>
      </w:r>
      <w:r w:rsidRPr="00E64AC3">
        <w:t xml:space="preserve">. </w:t>
      </w:r>
      <w:r>
        <w:t xml:space="preserve">Older people wanting to enter the AT or HM Priority System will need to be </w:t>
      </w:r>
      <w:r w:rsidRPr="00E64AC3">
        <w:t xml:space="preserve">a Support at Home participant (for ongoing home support) to </w:t>
      </w:r>
      <w:r>
        <w:t>do this</w:t>
      </w:r>
      <w:r w:rsidRPr="00E64AC3">
        <w:t xml:space="preserve">. </w:t>
      </w:r>
      <w:r>
        <w:t xml:space="preserve">For all three priority systems, </w:t>
      </w:r>
      <w:r w:rsidRPr="00E64AC3">
        <w:t xml:space="preserve">wait time </w:t>
      </w:r>
      <w:r>
        <w:t xml:space="preserve">is always </w:t>
      </w:r>
      <w:r w:rsidRPr="00E64AC3">
        <w:t xml:space="preserve">counted from the original access approval date of effect. That is, </w:t>
      </w:r>
      <w:r>
        <w:t xml:space="preserve">for older people who enter any of these priority systems at a later time, </w:t>
      </w:r>
      <w:r w:rsidRPr="00E64AC3">
        <w:t>it will be as if they had stayed in the queue from their first approval.</w:t>
      </w:r>
    </w:p>
    <w:p w14:paraId="4DB24744" w14:textId="77777777" w:rsidR="007A743C" w:rsidRPr="00E64AC3" w:rsidRDefault="007A743C" w:rsidP="00A677C9">
      <w:pPr>
        <w:spacing w:before="240" w:after="240" w:line="240" w:lineRule="auto"/>
      </w:pPr>
      <w:r>
        <w:t xml:space="preserve">An older person can </w:t>
      </w:r>
      <w:r w:rsidRPr="00E64AC3">
        <w:t xml:space="preserve">change their </w:t>
      </w:r>
      <w:r>
        <w:t xml:space="preserve">service seeking </w:t>
      </w:r>
      <w:r w:rsidRPr="00E64AC3">
        <w:t>preference by:</w:t>
      </w:r>
    </w:p>
    <w:p w14:paraId="4B64E7D3" w14:textId="77777777" w:rsidR="007A743C" w:rsidRPr="00E64AC3" w:rsidRDefault="007A743C" w:rsidP="00DF3F6B">
      <w:pPr>
        <w:pStyle w:val="ListParagraph"/>
        <w:numPr>
          <w:ilvl w:val="0"/>
          <w:numId w:val="141"/>
        </w:numPr>
        <w:spacing w:before="240" w:after="240" w:line="240" w:lineRule="auto"/>
      </w:pPr>
      <w:r w:rsidRPr="00E64AC3">
        <w:t>contacting My Aged Care</w:t>
      </w:r>
    </w:p>
    <w:p w14:paraId="791E679C" w14:textId="77777777" w:rsidR="007A743C" w:rsidRPr="001A51D4" w:rsidRDefault="007A743C" w:rsidP="00DF3F6B">
      <w:pPr>
        <w:pStyle w:val="ListParagraph"/>
        <w:numPr>
          <w:ilvl w:val="0"/>
          <w:numId w:val="141"/>
        </w:numPr>
        <w:spacing w:before="240" w:after="240" w:line="240" w:lineRule="auto"/>
      </w:pPr>
      <w:r w:rsidRPr="00E64AC3">
        <w:t xml:space="preserve">using the </w:t>
      </w:r>
      <w:hyperlink r:id="rId164">
        <w:r w:rsidRPr="00E64AC3">
          <w:rPr>
            <w:rStyle w:val="Hyperlink"/>
            <w:rFonts w:eastAsia="Arial"/>
          </w:rPr>
          <w:t>My Aged Care Online Account</w:t>
        </w:r>
      </w:hyperlink>
      <w:r w:rsidRPr="00E64AC3">
        <w:t xml:space="preserve">. </w:t>
      </w:r>
    </w:p>
    <w:p w14:paraId="1E79C356" w14:textId="77777777" w:rsidR="007A743C" w:rsidRPr="006F6E04" w:rsidRDefault="007A743C" w:rsidP="00507F9D">
      <w:pPr>
        <w:pStyle w:val="h2"/>
      </w:pPr>
      <w:bookmarkStart w:id="439" w:name="_Toc209188991"/>
      <w:bookmarkStart w:id="440" w:name="_Toc224916652"/>
      <w:r w:rsidRPr="006F6E04">
        <w:t xml:space="preserve">Review </w:t>
      </w:r>
      <w:r>
        <w:t>of</w:t>
      </w:r>
      <w:r w:rsidRPr="006F6E04">
        <w:t xml:space="preserve"> </w:t>
      </w:r>
      <w:r w:rsidRPr="004E3801">
        <w:t>Support</w:t>
      </w:r>
      <w:r w:rsidRPr="006F6E04">
        <w:t xml:space="preserve"> Plan</w:t>
      </w:r>
      <w:bookmarkEnd w:id="439"/>
      <w:bookmarkEnd w:id="440"/>
    </w:p>
    <w:p w14:paraId="404770DD" w14:textId="731AD1AD" w:rsidR="007A743C" w:rsidRDefault="007A743C" w:rsidP="00A677C9">
      <w:pPr>
        <w:spacing w:before="240" w:after="240" w:line="240" w:lineRule="auto"/>
        <w:rPr>
          <w:lang w:eastAsia="ko-KR"/>
        </w:rPr>
      </w:pPr>
      <w:r w:rsidRPr="006F6E04">
        <w:rPr>
          <w:lang w:eastAsia="ko-KR"/>
        </w:rPr>
        <w:t>A review date can be entered on the Support Plan and reason for the review for</w:t>
      </w:r>
      <w:r w:rsidR="009B0B86">
        <w:rPr>
          <w:lang w:eastAsia="ko-KR"/>
        </w:rPr>
        <w:t xml:space="preserve"> </w:t>
      </w:r>
      <w:r w:rsidR="00B626B6">
        <w:rPr>
          <w:lang w:eastAsia="ko-KR"/>
        </w:rPr>
        <w:t>example</w:t>
      </w:r>
      <w:r w:rsidRPr="006F6E04">
        <w:rPr>
          <w:lang w:eastAsia="ko-KR"/>
        </w:rPr>
        <w:t xml:space="preserve"> “12-month review for CHSP ongoing service recommendation”. Linking support and reablement start and end dates and review dates are displayed on the Support Plan. The ‘Associated People’ section of the Support Plan helps assessors identify the people who will be helping the older person meet their goals, or who may be providing support. It also assists in checking whether the older person consents to the associated person receiving their Support Plan.</w:t>
      </w:r>
    </w:p>
    <w:p w14:paraId="67E778F0" w14:textId="3EA0B37F" w:rsidR="00B626B6" w:rsidRPr="00DB7275" w:rsidRDefault="00B626B6" w:rsidP="00A677C9">
      <w:pPr>
        <w:spacing w:before="240" w:after="240" w:line="240" w:lineRule="auto"/>
        <w:rPr>
          <w:lang w:eastAsia="ko-KR"/>
        </w:rPr>
      </w:pPr>
      <w:r>
        <w:rPr>
          <w:lang w:eastAsia="ko-KR"/>
        </w:rPr>
        <w:t>A review date of no longer than 12 months should be set for older Aboriginal and Torres Strait Islander people to ensure the services still meet their needs</w:t>
      </w:r>
      <w:r w:rsidRPr="2A00F884">
        <w:rPr>
          <w:lang w:eastAsia="ko-KR"/>
        </w:rPr>
        <w:t>:</w:t>
      </w:r>
    </w:p>
    <w:p w14:paraId="3D453E14" w14:textId="47D9A0BF" w:rsidR="005E445A" w:rsidRPr="00DB7275" w:rsidRDefault="00743C5F" w:rsidP="00C56CEC">
      <w:pPr>
        <w:pStyle w:val="H3"/>
      </w:pPr>
      <w:r>
        <w:t xml:space="preserve">Scheduling a </w:t>
      </w:r>
      <w:r w:rsidR="0E4E667C">
        <w:t>s</w:t>
      </w:r>
      <w:r>
        <w:t>uppo</w:t>
      </w:r>
      <w:r w:rsidR="00582A54">
        <w:t xml:space="preserve">rt </w:t>
      </w:r>
      <w:r w:rsidR="4CB3DBA3">
        <w:t>p</w:t>
      </w:r>
      <w:r w:rsidR="00582A54">
        <w:t xml:space="preserve">lan </w:t>
      </w:r>
      <w:r w:rsidR="0ABB0CA3">
        <w:t>r</w:t>
      </w:r>
      <w:r w:rsidR="00582A54">
        <w:t>eview f</w:t>
      </w:r>
      <w:r w:rsidR="003E339D">
        <w:t>or Aboriginal and Torres Strait Islander assessment organisations:</w:t>
      </w:r>
    </w:p>
    <w:p w14:paraId="087CEA35" w14:textId="735AE798" w:rsidR="003B39B2" w:rsidRDefault="003B39B2" w:rsidP="00A677C9">
      <w:pPr>
        <w:spacing w:before="240" w:after="240" w:line="240" w:lineRule="auto"/>
      </w:pPr>
      <w:r>
        <w:t>Acknowledging that it may take a longer time to accurately identify the holistic aged care needs of an older Aboriginal and Torres Strait Islander person, f</w:t>
      </w:r>
      <w:r w:rsidRPr="00AE21B3">
        <w:t xml:space="preserve">ollowing an initial </w:t>
      </w:r>
      <w:r>
        <w:t>assessment</w:t>
      </w:r>
      <w:r w:rsidRPr="00AE21B3">
        <w:t>,</w:t>
      </w:r>
      <w:r>
        <w:t xml:space="preserve"> an</w:t>
      </w:r>
      <w:r w:rsidRPr="0086537A">
        <w:t xml:space="preserve"> SPR should be scheduled </w:t>
      </w:r>
      <w:r w:rsidRPr="00AE21B3">
        <w:t>to ensure the Support Plan remains responsive to the client’s needs</w:t>
      </w:r>
      <w:r>
        <w:t xml:space="preserve"> at the time of the assessment. The date should be:</w:t>
      </w:r>
    </w:p>
    <w:p w14:paraId="3B31AA2D" w14:textId="77777777" w:rsidR="003B39B2" w:rsidRDefault="003B39B2" w:rsidP="00DF3F6B">
      <w:pPr>
        <w:pStyle w:val="ListParagraph"/>
        <w:numPr>
          <w:ilvl w:val="0"/>
          <w:numId w:val="446"/>
        </w:numPr>
        <w:spacing w:before="240" w:after="240" w:line="240" w:lineRule="auto"/>
      </w:pPr>
      <w:r>
        <w:t>no later than 12 months after the assessment, and</w:t>
      </w:r>
    </w:p>
    <w:p w14:paraId="7B5A5FA7" w14:textId="77777777" w:rsidR="003B39B2" w:rsidRDefault="003B39B2" w:rsidP="00DF3F6B">
      <w:pPr>
        <w:pStyle w:val="ListParagraph"/>
        <w:numPr>
          <w:ilvl w:val="0"/>
          <w:numId w:val="446"/>
        </w:numPr>
        <w:spacing w:before="240" w:after="240" w:line="240" w:lineRule="auto"/>
      </w:pPr>
      <w:r>
        <w:t>sooner if appropriate.</w:t>
      </w:r>
    </w:p>
    <w:p w14:paraId="63649B32" w14:textId="62A678F1" w:rsidR="003E339D" w:rsidRPr="00DB7275" w:rsidRDefault="00E0273C" w:rsidP="008566D6">
      <w:pPr>
        <w:spacing w:before="240" w:after="240" w:line="240" w:lineRule="auto"/>
        <w:rPr>
          <w:lang w:eastAsia="ko-KR"/>
        </w:rPr>
      </w:pPr>
      <w:r>
        <w:t xml:space="preserve">This approach enables the older person to access aged care services while enabling </w:t>
      </w:r>
      <w:r w:rsidDel="00793FEC">
        <w:t>a</w:t>
      </w:r>
      <w:r>
        <w:t>djustments to the Support Plan if more needs are identified over time (most likely identified by the service provider) at the review date.</w:t>
      </w:r>
    </w:p>
    <w:p w14:paraId="0FC1B816" w14:textId="0D6271B5" w:rsidR="007A743C" w:rsidRPr="006A1F4A" w:rsidRDefault="007A743C" w:rsidP="00507F9D">
      <w:pPr>
        <w:pStyle w:val="h2"/>
      </w:pPr>
      <w:bookmarkStart w:id="441" w:name="_Toc209188992"/>
      <w:bookmarkStart w:id="442" w:name="_Toc224916653"/>
      <w:bookmarkStart w:id="443" w:name="_Toc198813679"/>
      <w:bookmarkStart w:id="444" w:name="_Toc204329562"/>
      <w:r w:rsidRPr="006A1F4A">
        <w:t xml:space="preserve">Assessment </w:t>
      </w:r>
      <w:r w:rsidR="002E6DD0">
        <w:t>w</w:t>
      </w:r>
      <w:r w:rsidRPr="006A1F4A">
        <w:t>rap-</w:t>
      </w:r>
      <w:r w:rsidR="002E6DD0">
        <w:t>u</w:t>
      </w:r>
      <w:r w:rsidRPr="006A1F4A">
        <w:t>p</w:t>
      </w:r>
      <w:bookmarkEnd w:id="441"/>
      <w:bookmarkEnd w:id="442"/>
    </w:p>
    <w:p w14:paraId="7E7748B5" w14:textId="0533A79E" w:rsidR="007A743C" w:rsidRPr="006A1F4A" w:rsidRDefault="007A743C" w:rsidP="00A677C9">
      <w:pPr>
        <w:spacing w:before="240" w:after="240" w:line="240" w:lineRule="auto"/>
        <w:rPr>
          <w:lang w:eastAsia="ko-KR"/>
        </w:rPr>
      </w:pPr>
      <w:r w:rsidRPr="006A1F4A">
        <w:rPr>
          <w:lang w:eastAsia="ko-KR"/>
        </w:rPr>
        <w:t>At the end of the assessment, an assessor should inform the older person of the next steps so they have a realistic expectation of what will occur following the assessment. This will help the older person to feel more assured and increase their satisfaction in the overall assessment experience.</w:t>
      </w:r>
      <w:r w:rsidR="003B66E9" w:rsidRPr="006A1F4A">
        <w:rPr>
          <w:lang w:eastAsia="ko-KR"/>
        </w:rPr>
        <w:t xml:space="preserve"> </w:t>
      </w:r>
      <w:r w:rsidRPr="006A1F4A">
        <w:rPr>
          <w:lang w:eastAsia="ko-KR"/>
        </w:rPr>
        <w:t xml:space="preserve">There are a variety of </w:t>
      </w:r>
      <w:hyperlink r:id="rId165" w:history="1">
        <w:r w:rsidRPr="001C34DE">
          <w:t>resources</w:t>
        </w:r>
      </w:hyperlink>
      <w:r w:rsidRPr="006A1F4A">
        <w:rPr>
          <w:lang w:eastAsia="ko-KR"/>
        </w:rPr>
        <w:t xml:space="preserve"> an assessor might leave with an older person at the conclusion of an assessment that are also available in many languages other than English </w:t>
      </w:r>
      <w:r w:rsidRPr="006A1F4A">
        <w:t>(see</w:t>
      </w:r>
      <w:r w:rsidRPr="00D02B33">
        <w:t xml:space="preserve"> Chapter </w:t>
      </w:r>
      <w:r w:rsidR="004155B7">
        <w:fldChar w:fldCharType="begin"/>
      </w:r>
      <w:r w:rsidR="004155B7">
        <w:instrText xml:space="preserve"> REF _Ref212735882 \w \h </w:instrText>
      </w:r>
      <w:r w:rsidR="004155B7">
        <w:fldChar w:fldCharType="separate"/>
      </w:r>
      <w:r w:rsidR="00F97942">
        <w:t>13</w:t>
      </w:r>
      <w:r w:rsidR="004155B7">
        <w:fldChar w:fldCharType="end"/>
      </w:r>
      <w:r w:rsidRPr="00D02B33">
        <w:t>. Aged Care Resources for Consumers</w:t>
      </w:r>
      <w:r w:rsidRPr="006A1F4A">
        <w:t>).</w:t>
      </w:r>
      <w:r w:rsidRPr="006A1F4A">
        <w:rPr>
          <w:lang w:eastAsia="ko-KR"/>
        </w:rPr>
        <w:t xml:space="preserve"> </w:t>
      </w:r>
    </w:p>
    <w:p w14:paraId="412D3F6A" w14:textId="77777777" w:rsidR="007A743C" w:rsidRPr="00990738" w:rsidRDefault="007A743C" w:rsidP="00A677C9">
      <w:pPr>
        <w:pStyle w:val="Sub-headingnon-contentpage"/>
        <w:spacing w:before="240" w:after="240"/>
      </w:pPr>
      <w:r w:rsidRPr="00990738">
        <w:t>An assessor must:</w:t>
      </w:r>
    </w:p>
    <w:p w14:paraId="7FE6A27E" w14:textId="77777777" w:rsidR="007A743C" w:rsidRPr="00990738" w:rsidRDefault="007A743C" w:rsidP="00DF3F6B">
      <w:pPr>
        <w:pStyle w:val="ListParagraph"/>
        <w:numPr>
          <w:ilvl w:val="0"/>
          <w:numId w:val="106"/>
        </w:numPr>
        <w:spacing w:before="240" w:after="240" w:line="240" w:lineRule="auto"/>
        <w:rPr>
          <w:lang w:eastAsia="ko-KR"/>
        </w:rPr>
      </w:pPr>
      <w:r w:rsidRPr="1B42B10E">
        <w:rPr>
          <w:rFonts w:hint="eastAsia"/>
          <w:lang w:eastAsia="ko-KR"/>
        </w:rPr>
        <w:t xml:space="preserve">Inform the older person on the next steps, such as: </w:t>
      </w:r>
    </w:p>
    <w:p w14:paraId="4DF4A592" w14:textId="77777777" w:rsidR="007A743C" w:rsidRPr="00121FB5" w:rsidRDefault="007A743C" w:rsidP="00DF3F6B">
      <w:pPr>
        <w:pStyle w:val="ListParagraph"/>
        <w:numPr>
          <w:ilvl w:val="1"/>
          <w:numId w:val="60"/>
        </w:numPr>
        <w:spacing w:before="240" w:after="240" w:line="240" w:lineRule="auto"/>
        <w:ind w:left="1643"/>
        <w:rPr>
          <w:lang w:eastAsia="ko-KR"/>
        </w:rPr>
      </w:pPr>
      <w:r w:rsidRPr="00121FB5">
        <w:rPr>
          <w:lang w:eastAsia="ko-KR"/>
        </w:rPr>
        <w:t>w</w:t>
      </w:r>
      <w:r w:rsidRPr="00121FB5">
        <w:rPr>
          <w:rFonts w:hint="eastAsia"/>
          <w:lang w:eastAsia="ko-KR"/>
        </w:rPr>
        <w:t>ho to contact</w:t>
      </w:r>
      <w:r w:rsidRPr="00121FB5">
        <w:rPr>
          <w:lang w:eastAsia="ko-KR"/>
        </w:rPr>
        <w:t xml:space="preserve"> and in what instance (e.g., if the older person has chosen to be referred to service</w:t>
      </w:r>
      <w:r w:rsidRPr="6D3A00C7">
        <w:rPr>
          <w:lang w:eastAsia="ko-KR"/>
        </w:rPr>
        <w:t xml:space="preserve"> providers</w:t>
      </w:r>
      <w:r w:rsidRPr="00121FB5">
        <w:rPr>
          <w:lang w:eastAsia="ko-KR"/>
        </w:rPr>
        <w:t xml:space="preserve">, they will be contacted by </w:t>
      </w:r>
      <w:r w:rsidRPr="6D3A00C7">
        <w:rPr>
          <w:lang w:eastAsia="ko-KR"/>
        </w:rPr>
        <w:t>these</w:t>
      </w:r>
      <w:r w:rsidRPr="00121FB5">
        <w:rPr>
          <w:lang w:eastAsia="ko-KR"/>
        </w:rPr>
        <w:t xml:space="preserve"> providers to discuss details of the service being requested; if the older person has chosen to receive a referral code, they will need to take the code to the provider of their choice to access the service)</w:t>
      </w:r>
    </w:p>
    <w:p w14:paraId="3D80BE29" w14:textId="77777777" w:rsidR="007A743C" w:rsidRPr="00121FB5" w:rsidRDefault="007A743C" w:rsidP="00DF3F6B">
      <w:pPr>
        <w:pStyle w:val="ListParagraph"/>
        <w:numPr>
          <w:ilvl w:val="1"/>
          <w:numId w:val="60"/>
        </w:numPr>
        <w:tabs>
          <w:tab w:val="left" w:pos="1134"/>
        </w:tabs>
        <w:spacing w:before="240" w:after="240" w:line="240" w:lineRule="auto"/>
        <w:ind w:left="1643"/>
        <w:rPr>
          <w:lang w:eastAsia="ko-KR"/>
        </w:rPr>
      </w:pPr>
      <w:r w:rsidRPr="00121FB5">
        <w:rPr>
          <w:lang w:eastAsia="ko-KR"/>
        </w:rPr>
        <w:t>t</w:t>
      </w:r>
      <w:r w:rsidRPr="00121FB5">
        <w:rPr>
          <w:rFonts w:hint="eastAsia"/>
          <w:lang w:eastAsia="ko-KR"/>
        </w:rPr>
        <w:t>he actions they</w:t>
      </w:r>
      <w:r w:rsidRPr="00121FB5">
        <w:rPr>
          <w:lang w:eastAsia="ko-KR"/>
        </w:rPr>
        <w:t>, or others identified in the Support Plan,</w:t>
      </w:r>
      <w:r w:rsidRPr="00121FB5">
        <w:rPr>
          <w:rFonts w:hint="eastAsia"/>
          <w:lang w:eastAsia="ko-KR"/>
        </w:rPr>
        <w:t xml:space="preserve"> are responsible for (</w:t>
      </w:r>
      <w:r w:rsidRPr="00121FB5">
        <w:rPr>
          <w:lang w:eastAsia="ko-KR"/>
        </w:rPr>
        <w:t>e.g.,</w:t>
      </w:r>
      <w:r w:rsidRPr="00121FB5">
        <w:rPr>
          <w:rFonts w:hint="eastAsia"/>
          <w:lang w:eastAsia="ko-KR"/>
        </w:rPr>
        <w:t xml:space="preserve"> visiting providers, organising a </w:t>
      </w:r>
      <w:r w:rsidRPr="00121FB5">
        <w:rPr>
          <w:lang w:eastAsia="ko-KR"/>
        </w:rPr>
        <w:t>check-up</w:t>
      </w:r>
      <w:r w:rsidRPr="00121FB5">
        <w:rPr>
          <w:rFonts w:hint="eastAsia"/>
          <w:lang w:eastAsia="ko-KR"/>
        </w:rPr>
        <w:t xml:space="preserve"> with a GP/specialist) </w:t>
      </w:r>
    </w:p>
    <w:p w14:paraId="0F0C08DC" w14:textId="77777777" w:rsidR="007A743C" w:rsidRPr="00121FB5" w:rsidRDefault="007A743C" w:rsidP="00DF3F6B">
      <w:pPr>
        <w:pStyle w:val="ListParagraph"/>
        <w:numPr>
          <w:ilvl w:val="1"/>
          <w:numId w:val="60"/>
        </w:numPr>
        <w:tabs>
          <w:tab w:val="left" w:pos="1134"/>
        </w:tabs>
        <w:spacing w:before="240" w:after="240" w:line="240" w:lineRule="auto"/>
        <w:ind w:left="1643"/>
        <w:rPr>
          <w:lang w:eastAsia="ko-KR"/>
        </w:rPr>
      </w:pPr>
      <w:r w:rsidRPr="00121FB5">
        <w:rPr>
          <w:lang w:eastAsia="ko-KR"/>
        </w:rPr>
        <w:t xml:space="preserve">identify the older person’s preferred referral method to action service referrals to providers and specialist assessment (e.g., allied health, occupational therapy assessment or vision services) </w:t>
      </w:r>
    </w:p>
    <w:p w14:paraId="5BBC8ADB" w14:textId="77777777" w:rsidR="007A743C" w:rsidRPr="00121FB5" w:rsidRDefault="007A743C" w:rsidP="00DF3F6B">
      <w:pPr>
        <w:pStyle w:val="ListParagraph"/>
        <w:numPr>
          <w:ilvl w:val="0"/>
          <w:numId w:val="60"/>
        </w:numPr>
        <w:spacing w:before="240" w:after="240" w:line="240" w:lineRule="auto"/>
        <w:ind w:left="567" w:hanging="283"/>
      </w:pPr>
      <w:r w:rsidRPr="00121FB5">
        <w:t xml:space="preserve">Consider </w:t>
      </w:r>
      <w:r>
        <w:t xml:space="preserve">the </w:t>
      </w:r>
      <w:r w:rsidRPr="00121FB5">
        <w:t>older person</w:t>
      </w:r>
      <w:r>
        <w:t>’s</w:t>
      </w:r>
      <w:r w:rsidRPr="00121FB5">
        <w:t xml:space="preserve"> information preferences (e.g., hardcopy or electronic copy) and their communication needs.</w:t>
      </w:r>
    </w:p>
    <w:p w14:paraId="6B27D078" w14:textId="77777777" w:rsidR="007A743C" w:rsidRPr="00121FB5" w:rsidRDefault="007A743C" w:rsidP="00DF3F6B">
      <w:pPr>
        <w:pStyle w:val="ListParagraph"/>
        <w:numPr>
          <w:ilvl w:val="0"/>
          <w:numId w:val="60"/>
        </w:numPr>
        <w:spacing w:before="240" w:after="240" w:line="240" w:lineRule="auto"/>
        <w:ind w:left="567" w:hanging="283"/>
      </w:pPr>
      <w:r w:rsidRPr="00121FB5">
        <w:rPr>
          <w:rFonts w:hint="eastAsia"/>
        </w:rPr>
        <w:t xml:space="preserve">Provide </w:t>
      </w:r>
      <w:r w:rsidRPr="00121FB5">
        <w:t xml:space="preserve">contact details to </w:t>
      </w:r>
      <w:r w:rsidRPr="00121FB5">
        <w:rPr>
          <w:rFonts w:hint="eastAsia"/>
        </w:rPr>
        <w:t xml:space="preserve">the </w:t>
      </w:r>
      <w:r w:rsidRPr="00121FB5">
        <w:t xml:space="preserve">older person </w:t>
      </w:r>
      <w:r w:rsidRPr="00121FB5">
        <w:rPr>
          <w:rFonts w:hint="eastAsia"/>
        </w:rPr>
        <w:t xml:space="preserve">on </w:t>
      </w:r>
      <w:r w:rsidRPr="00121FB5">
        <w:t xml:space="preserve">who </w:t>
      </w:r>
      <w:r w:rsidRPr="00121FB5">
        <w:rPr>
          <w:rFonts w:hint="eastAsia"/>
        </w:rPr>
        <w:t xml:space="preserve">they should </w:t>
      </w:r>
      <w:r w:rsidRPr="00121FB5">
        <w:t>contact in the future</w:t>
      </w:r>
      <w:r w:rsidRPr="00121FB5">
        <w:rPr>
          <w:rFonts w:hint="eastAsia"/>
        </w:rPr>
        <w:t xml:space="preserve"> </w:t>
      </w:r>
      <w:r w:rsidRPr="00121FB5">
        <w:t>[e.g.,</w:t>
      </w:r>
      <w:r w:rsidRPr="00121FB5">
        <w:rPr>
          <w:rFonts w:hint="eastAsia"/>
        </w:rPr>
        <w:t> </w:t>
      </w:r>
      <w:r w:rsidRPr="00121FB5">
        <w:t>the My Aged Care C</w:t>
      </w:r>
      <w:r w:rsidRPr="00121FB5">
        <w:rPr>
          <w:rFonts w:hint="eastAsia"/>
        </w:rPr>
        <w:t xml:space="preserve">ontact </w:t>
      </w:r>
      <w:r w:rsidRPr="00121FB5">
        <w:t>C</w:t>
      </w:r>
      <w:r w:rsidRPr="00121FB5">
        <w:rPr>
          <w:rFonts w:hint="eastAsia"/>
        </w:rPr>
        <w:t>entre</w:t>
      </w:r>
      <w:r w:rsidRPr="00121FB5">
        <w:t xml:space="preserve">, the </w:t>
      </w:r>
      <w:r w:rsidRPr="00121FB5">
        <w:rPr>
          <w:rFonts w:hint="eastAsia"/>
        </w:rPr>
        <w:t>assessment organisation</w:t>
      </w:r>
      <w:r w:rsidRPr="00121FB5">
        <w:t xml:space="preserve"> (name and contact details of the assessor)</w:t>
      </w:r>
      <w:r w:rsidRPr="00121FB5">
        <w:rPr>
          <w:rFonts w:hint="eastAsia"/>
        </w:rPr>
        <w:t>,</w:t>
      </w:r>
      <w:r w:rsidRPr="00121FB5">
        <w:t xml:space="preserve"> and one or more service providers]</w:t>
      </w:r>
      <w:r w:rsidRPr="00121FB5">
        <w:rPr>
          <w:rFonts w:hint="eastAsia"/>
        </w:rPr>
        <w:t>.</w:t>
      </w:r>
    </w:p>
    <w:p w14:paraId="71756E6C" w14:textId="77777777" w:rsidR="007A743C" w:rsidRPr="00121FB5" w:rsidRDefault="007A743C" w:rsidP="00DF3F6B">
      <w:pPr>
        <w:pStyle w:val="ListParagraph"/>
        <w:numPr>
          <w:ilvl w:val="0"/>
          <w:numId w:val="60"/>
        </w:numPr>
        <w:spacing w:before="240" w:after="240" w:line="240" w:lineRule="auto"/>
        <w:ind w:left="567" w:hanging="283"/>
        <w:rPr>
          <w:lang w:eastAsia="ko-KR"/>
        </w:rPr>
      </w:pPr>
      <w:r w:rsidRPr="617791F0">
        <w:rPr>
          <w:lang w:eastAsia="ko-KR"/>
        </w:rPr>
        <w:t>explain that the assessor recommendations will be submitted to the assessment delegate for approval and the older person will be contacted about the outcome.</w:t>
      </w:r>
    </w:p>
    <w:p w14:paraId="464FF7FE" w14:textId="08E9D268" w:rsidR="00896E32" w:rsidRDefault="00F274C0" w:rsidP="00C56CEC">
      <w:pPr>
        <w:pStyle w:val="H3"/>
      </w:pPr>
      <w:bookmarkStart w:id="445" w:name="_Toc178942717"/>
      <w:bookmarkStart w:id="446" w:name="_Toc178946393"/>
      <w:bookmarkStart w:id="447" w:name="_Toc180396746"/>
      <w:bookmarkStart w:id="448" w:name="_Toc180396961"/>
      <w:bookmarkStart w:id="449" w:name="_Toc180418234"/>
      <w:bookmarkStart w:id="450" w:name="_Toc178942718"/>
      <w:bookmarkStart w:id="451" w:name="_Toc178946394"/>
      <w:bookmarkStart w:id="452" w:name="_Toc180396747"/>
      <w:bookmarkStart w:id="453" w:name="_Toc180396962"/>
      <w:bookmarkStart w:id="454" w:name="_Toc180418235"/>
      <w:bookmarkStart w:id="455" w:name="_Toc178942719"/>
      <w:bookmarkStart w:id="456" w:name="_Toc178946395"/>
      <w:bookmarkStart w:id="457" w:name="_Toc180396748"/>
      <w:bookmarkStart w:id="458" w:name="_Toc180396963"/>
      <w:bookmarkStart w:id="459" w:name="_Toc18041823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t>Aboriginal and Torres Strait Islander Assessment Organisations</w:t>
      </w:r>
      <w:r w:rsidR="008829DD">
        <w:t xml:space="preserve"> assessment wrap-up</w:t>
      </w:r>
    </w:p>
    <w:p w14:paraId="7C65404A" w14:textId="326F963F" w:rsidR="0058183E" w:rsidRDefault="0058183E" w:rsidP="00A677C9">
      <w:pPr>
        <w:spacing w:before="240" w:after="240" w:line="240" w:lineRule="auto"/>
      </w:pPr>
      <w:r w:rsidRPr="00274651">
        <w:t>Due to the higher likelihood of older Aboriginal and Torres Strait Islander people being vulnerable and require additional support to access services,</w:t>
      </w:r>
      <w:r>
        <w:t xml:space="preserve"> it </w:t>
      </w:r>
      <w:r w:rsidR="00B10DAE">
        <w:t>is</w:t>
      </w:r>
      <w:r>
        <w:t xml:space="preserve"> best practice to </w:t>
      </w:r>
      <w:r w:rsidR="00F72EA6">
        <w:t xml:space="preserve">routinely </w:t>
      </w:r>
      <w:r>
        <w:t xml:space="preserve">follow up with the client (or </w:t>
      </w:r>
      <w:r w:rsidR="00F72EA6">
        <w:t xml:space="preserve">their </w:t>
      </w:r>
      <w:r>
        <w:t>support network) post assessment, particularly for those who:</w:t>
      </w:r>
    </w:p>
    <w:p w14:paraId="53604627" w14:textId="77777777" w:rsidR="0058183E" w:rsidRDefault="0058183E" w:rsidP="00DF3F6B">
      <w:pPr>
        <w:pStyle w:val="ListParagraph"/>
        <w:numPr>
          <w:ilvl w:val="0"/>
          <w:numId w:val="447"/>
        </w:numPr>
        <w:spacing w:before="240" w:after="240" w:line="240" w:lineRule="auto"/>
      </w:pPr>
      <w:r>
        <w:t>have complex social need;</w:t>
      </w:r>
    </w:p>
    <w:p w14:paraId="2F7015F8" w14:textId="77777777" w:rsidR="0058183E" w:rsidRDefault="0058183E" w:rsidP="00DF3F6B">
      <w:pPr>
        <w:pStyle w:val="ListParagraph"/>
        <w:numPr>
          <w:ilvl w:val="0"/>
          <w:numId w:val="447"/>
        </w:numPr>
        <w:spacing w:before="240" w:after="240" w:line="240" w:lineRule="auto"/>
      </w:pPr>
      <w:r>
        <w:t>have limited family or community support;</w:t>
      </w:r>
    </w:p>
    <w:p w14:paraId="7A078FBA" w14:textId="77777777" w:rsidR="0058183E" w:rsidRDefault="0058183E" w:rsidP="00DF3F6B">
      <w:pPr>
        <w:pStyle w:val="ListParagraph"/>
        <w:numPr>
          <w:ilvl w:val="0"/>
          <w:numId w:val="447"/>
        </w:numPr>
        <w:spacing w:before="240" w:after="240" w:line="240" w:lineRule="auto"/>
      </w:pPr>
      <w:r>
        <w:t>have experienced recent changes in health, housing, or care arrangements;</w:t>
      </w:r>
    </w:p>
    <w:p w14:paraId="0F21BB19" w14:textId="77777777" w:rsidR="0058183E" w:rsidRDefault="0058183E" w:rsidP="00DF3F6B">
      <w:pPr>
        <w:pStyle w:val="ListParagraph"/>
        <w:numPr>
          <w:ilvl w:val="0"/>
          <w:numId w:val="447"/>
        </w:numPr>
        <w:spacing w:before="240" w:after="240" w:line="240" w:lineRule="auto"/>
      </w:pPr>
      <w:r>
        <w:t>have communication or cognitive difficulties that may impact understanding of the assessment;</w:t>
      </w:r>
    </w:p>
    <w:p w14:paraId="1C13708C" w14:textId="77777777" w:rsidR="0058183E" w:rsidRDefault="0058183E" w:rsidP="00DF3F6B">
      <w:pPr>
        <w:pStyle w:val="ListParagraph"/>
        <w:numPr>
          <w:ilvl w:val="0"/>
          <w:numId w:val="447"/>
        </w:numPr>
        <w:spacing w:before="240" w:after="240" w:line="240" w:lineRule="auto"/>
      </w:pPr>
      <w:r w:rsidRPr="00264632">
        <w:t>have referrals rejected/not actioned</w:t>
      </w:r>
      <w:r>
        <w:t>;</w:t>
      </w:r>
      <w:r w:rsidRPr="00EE3A3F">
        <w:t xml:space="preserve"> </w:t>
      </w:r>
      <w:r w:rsidRPr="00264632">
        <w:t xml:space="preserve"> </w:t>
      </w:r>
    </w:p>
    <w:p w14:paraId="30D162C2" w14:textId="77777777" w:rsidR="0058183E" w:rsidRDefault="0058183E" w:rsidP="00DF3F6B">
      <w:pPr>
        <w:pStyle w:val="ListParagraph"/>
        <w:numPr>
          <w:ilvl w:val="0"/>
          <w:numId w:val="447"/>
        </w:numPr>
        <w:spacing w:before="240" w:after="240" w:line="240" w:lineRule="auto"/>
      </w:pPr>
      <w:r>
        <w:t>have experience difficulties with accessing services;</w:t>
      </w:r>
      <w:r w:rsidRPr="00EE3A3F">
        <w:t xml:space="preserve"> </w:t>
      </w:r>
    </w:p>
    <w:p w14:paraId="6BC67348" w14:textId="3106460F" w:rsidR="0058183E" w:rsidRDefault="0058183E" w:rsidP="00DF3F6B">
      <w:pPr>
        <w:pStyle w:val="ListParagraph"/>
        <w:numPr>
          <w:ilvl w:val="0"/>
          <w:numId w:val="447"/>
        </w:numPr>
        <w:spacing w:before="240" w:after="240" w:line="240" w:lineRule="auto"/>
      </w:pPr>
      <w:r>
        <w:t>w</w:t>
      </w:r>
      <w:r w:rsidRPr="00EE3A3F">
        <w:t>ork</w:t>
      </w:r>
      <w:r w:rsidRPr="00264632">
        <w:t xml:space="preserve"> on short-term goal(s) in line with the length of time stipulated in the Support </w:t>
      </w:r>
      <w:r w:rsidR="0061221A" w:rsidRPr="00264632">
        <w:t>Plan</w:t>
      </w:r>
      <w:r w:rsidR="0061221A">
        <w:t>;</w:t>
      </w:r>
    </w:p>
    <w:p w14:paraId="374183F2" w14:textId="77777777" w:rsidR="0058183E" w:rsidRDefault="0058183E" w:rsidP="00DF3F6B">
      <w:pPr>
        <w:pStyle w:val="ListParagraph"/>
        <w:numPr>
          <w:ilvl w:val="0"/>
          <w:numId w:val="447"/>
        </w:numPr>
        <w:spacing w:before="240" w:after="240" w:line="240" w:lineRule="auto"/>
      </w:pPr>
      <w:r w:rsidRPr="00264632">
        <w:t>need linking support and requir</w:t>
      </w:r>
      <w:r>
        <w:t>e</w:t>
      </w:r>
      <w:r w:rsidRPr="00264632">
        <w:t xml:space="preserve"> short-term linking assistance </w:t>
      </w:r>
      <w:r>
        <w:t>for the</w:t>
      </w:r>
      <w:r w:rsidRPr="00264632">
        <w:t xml:space="preserve"> purpose of implementing the Support Plan</w:t>
      </w:r>
      <w:r>
        <w:t xml:space="preserve">; </w:t>
      </w:r>
    </w:p>
    <w:p w14:paraId="676FBF3E" w14:textId="77777777" w:rsidR="0058183E" w:rsidRDefault="0058183E" w:rsidP="00DF3F6B">
      <w:pPr>
        <w:pStyle w:val="ListParagraph"/>
        <w:numPr>
          <w:ilvl w:val="0"/>
          <w:numId w:val="447"/>
        </w:numPr>
        <w:spacing w:before="240" w:after="240" w:line="240" w:lineRule="auto"/>
      </w:pPr>
      <w:r>
        <w:t>have expressed uncertainty or concern about the process or services recommended; and/or</w:t>
      </w:r>
    </w:p>
    <w:p w14:paraId="45088FAE" w14:textId="77777777" w:rsidR="0058183E" w:rsidRDefault="0058183E" w:rsidP="00DF3F6B">
      <w:pPr>
        <w:pStyle w:val="ListParagraph"/>
        <w:numPr>
          <w:ilvl w:val="0"/>
          <w:numId w:val="447"/>
        </w:numPr>
        <w:spacing w:before="240" w:after="240" w:line="240" w:lineRule="auto"/>
      </w:pPr>
      <w:r>
        <w:t>are at risk of disengaging from services due to past negative experiences or systemic barriers.</w:t>
      </w:r>
    </w:p>
    <w:p w14:paraId="747CDE19" w14:textId="06E4F38F" w:rsidR="0058183E" w:rsidRDefault="0058183E" w:rsidP="00A677C9">
      <w:pPr>
        <w:spacing w:before="240" w:after="240" w:line="240" w:lineRule="auto"/>
      </w:pPr>
      <w:r w:rsidRPr="00EE3A3F">
        <w:t>Follow up may include</w:t>
      </w:r>
      <w:r>
        <w:t xml:space="preserve">, but not limited </w:t>
      </w:r>
      <w:r w:rsidR="0061221A">
        <w:t>to:</w:t>
      </w:r>
    </w:p>
    <w:p w14:paraId="756167C1" w14:textId="77777777" w:rsidR="0058183E" w:rsidRDefault="0058183E" w:rsidP="00DF3F6B">
      <w:pPr>
        <w:pStyle w:val="ListParagraph"/>
        <w:numPr>
          <w:ilvl w:val="0"/>
          <w:numId w:val="448"/>
        </w:numPr>
        <w:spacing w:before="240" w:after="240" w:line="240" w:lineRule="auto"/>
      </w:pPr>
      <w:r w:rsidRPr="00EE3A3F">
        <w:t>monitoring of referrals to services or negotiating with service providers for the provision of alternative services if necessary</w:t>
      </w:r>
      <w:r>
        <w:t xml:space="preserve">; </w:t>
      </w:r>
    </w:p>
    <w:p w14:paraId="34D64EED" w14:textId="77777777" w:rsidR="0058183E" w:rsidRDefault="0058183E" w:rsidP="00DF3F6B">
      <w:pPr>
        <w:pStyle w:val="ListParagraph"/>
        <w:numPr>
          <w:ilvl w:val="0"/>
          <w:numId w:val="448"/>
        </w:numPr>
        <w:spacing w:before="240" w:after="240" w:line="240" w:lineRule="auto"/>
      </w:pPr>
      <w:r>
        <w:t>discussion</w:t>
      </w:r>
      <w:r w:rsidRPr="00EE3A3F">
        <w:t xml:space="preserve"> with the service provider and </w:t>
      </w:r>
      <w:r>
        <w:t xml:space="preserve">give </w:t>
      </w:r>
      <w:r w:rsidRPr="00EE3A3F">
        <w:t xml:space="preserve">advice </w:t>
      </w:r>
      <w:r>
        <w:t xml:space="preserve">to client </w:t>
      </w:r>
      <w:r w:rsidRPr="00EE3A3F">
        <w:t>on any follow up actions</w:t>
      </w:r>
      <w:r>
        <w:t xml:space="preserve"> </w:t>
      </w:r>
      <w:r w:rsidRPr="00EE3A3F">
        <w:t>taken;</w:t>
      </w:r>
      <w:r>
        <w:t xml:space="preserve"> and/or</w:t>
      </w:r>
    </w:p>
    <w:p w14:paraId="320C7D15" w14:textId="76854329" w:rsidR="00F274C0" w:rsidRPr="00F274C0" w:rsidRDefault="0058183E" w:rsidP="00DF3F6B">
      <w:pPr>
        <w:pStyle w:val="ListParagraph"/>
        <w:numPr>
          <w:ilvl w:val="0"/>
          <w:numId w:val="448"/>
        </w:numPr>
        <w:spacing w:before="240" w:after="240" w:line="240" w:lineRule="auto"/>
        <w:rPr>
          <w:lang w:eastAsia="ko-KR"/>
        </w:rPr>
      </w:pPr>
      <w:r>
        <w:t>explaining any notifications/notices the older person may have received from M</w:t>
      </w:r>
      <w:r w:rsidR="009C1AC8">
        <w:t xml:space="preserve">y </w:t>
      </w:r>
      <w:r>
        <w:t>A</w:t>
      </w:r>
      <w:r w:rsidR="009C1AC8">
        <w:t xml:space="preserve">ged </w:t>
      </w:r>
      <w:r>
        <w:t>C</w:t>
      </w:r>
      <w:r w:rsidR="009C1AC8">
        <w:t>are</w:t>
      </w:r>
      <w:r>
        <w:t>.</w:t>
      </w:r>
    </w:p>
    <w:tbl>
      <w:tblPr>
        <w:tblStyle w:val="TableGrid"/>
        <w:tblW w:w="0" w:type="auto"/>
        <w:tblLook w:val="04A0" w:firstRow="1" w:lastRow="0" w:firstColumn="1" w:lastColumn="0" w:noHBand="0" w:noVBand="1"/>
      </w:tblPr>
      <w:tblGrid>
        <w:gridCol w:w="845"/>
        <w:gridCol w:w="7921"/>
      </w:tblGrid>
      <w:tr w:rsidR="007A743C" w14:paraId="575375B1" w14:textId="77777777">
        <w:trPr>
          <w:trHeight w:val="300"/>
        </w:trPr>
        <w:tc>
          <w:tcPr>
            <w:tcW w:w="846" w:type="dxa"/>
          </w:tcPr>
          <w:p w14:paraId="20B9A6DB" w14:textId="77777777" w:rsidR="007A743C" w:rsidRDefault="007A743C" w:rsidP="00A677C9">
            <w:pPr>
              <w:pStyle w:val="NormalText"/>
              <w:spacing w:before="240" w:after="240" w:line="240" w:lineRule="auto"/>
              <w:rPr>
                <w:rFonts w:eastAsiaTheme="majorEastAsia" w:cs="Arial"/>
                <w:b/>
                <w:bCs/>
                <w:color w:val="1E1444"/>
                <w:szCs w:val="24"/>
                <w:shd w:val="clear" w:color="auto" w:fill="auto"/>
                <w:lang w:val="en-GB" w:eastAsia="en-AU"/>
              </w:rPr>
            </w:pPr>
            <w:r w:rsidRPr="007B77C5">
              <w:rPr>
                <w:noProof/>
                <w:shd w:val="clear" w:color="auto" w:fill="FFFFFF" w:themeFill="background1"/>
              </w:rPr>
              <w:drawing>
                <wp:inline distT="0" distB="0" distL="0" distR="0" wp14:anchorId="6A67AB6E" wp14:editId="26287AB9">
                  <wp:extent cx="383111" cy="381000"/>
                  <wp:effectExtent l="0" t="0" r="0" b="0"/>
                  <wp:docPr id="198888159" name="Picture 19888815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0D42D0DD" w14:textId="77777777" w:rsidR="007A743C" w:rsidRPr="009C3175" w:rsidRDefault="007A743C" w:rsidP="00A677C9">
            <w:pPr>
              <w:pStyle w:val="NormalText"/>
              <w:spacing w:before="240" w:after="240" w:line="240" w:lineRule="auto"/>
              <w:rPr>
                <w:rFonts w:eastAsiaTheme="majorEastAsia" w:cs="Arial"/>
                <w:color w:val="1E1444"/>
                <w:szCs w:val="24"/>
                <w:shd w:val="clear" w:color="auto" w:fill="auto"/>
                <w:lang w:val="en-GB" w:eastAsia="en-AU"/>
              </w:rPr>
            </w:pPr>
            <w:hyperlink r:id="rId166" w:history="1">
              <w:r w:rsidRPr="00940154">
                <w:rPr>
                  <w:rStyle w:val="Hyperlink"/>
                  <w:rFonts w:eastAsiaTheme="majorEastAsia"/>
                  <w:szCs w:val="24"/>
                  <w:shd w:val="clear" w:color="auto" w:fill="auto"/>
                  <w:lang w:val="en-GB" w:eastAsia="en-AU"/>
                </w:rPr>
                <w:t>Resources | My Aged Care</w:t>
              </w:r>
            </w:hyperlink>
          </w:p>
        </w:tc>
      </w:tr>
    </w:tbl>
    <w:p w14:paraId="37D6E51D" w14:textId="4262AF12" w:rsidR="007A743C" w:rsidRDefault="007A743C" w:rsidP="00C56CEC">
      <w:pPr>
        <w:pStyle w:val="H3"/>
        <w:rPr>
          <w:lang w:eastAsia="ko-KR"/>
        </w:rPr>
      </w:pPr>
      <w:r>
        <w:t xml:space="preserve">Providing an assessment report for approval </w:t>
      </w:r>
    </w:p>
    <w:p w14:paraId="4A204CE5" w14:textId="4AF7F381" w:rsidR="007A743C" w:rsidRDefault="007A743C" w:rsidP="00A677C9">
      <w:pPr>
        <w:spacing w:before="240" w:after="240" w:line="240" w:lineRule="auto"/>
        <w:rPr>
          <w:lang w:eastAsia="ko-KR"/>
        </w:rPr>
      </w:pPr>
      <w:r>
        <w:rPr>
          <w:lang w:eastAsia="ko-KR"/>
        </w:rPr>
        <w:t>Once the assessor has finalised the assessment, they must submit it for approval by an assessment delegate. For a comprehensive assessment, this delegate approval can be done on system. For home support assessments, this delegate approval workflow will be off</w:t>
      </w:r>
      <w:r w:rsidR="00417101">
        <w:rPr>
          <w:lang w:eastAsia="ko-KR"/>
        </w:rPr>
        <w:t>line</w:t>
      </w:r>
      <w:r>
        <w:rPr>
          <w:lang w:eastAsia="ko-KR"/>
        </w:rPr>
        <w:t>. A fact sheet is available to assessors and assessment organisations to manage this workflow.</w:t>
      </w:r>
    </w:p>
    <w:p w14:paraId="5432D258" w14:textId="7820FF15" w:rsidR="007A743C" w:rsidRDefault="007A743C" w:rsidP="00A677C9">
      <w:pPr>
        <w:spacing w:before="240" w:after="240" w:line="240" w:lineRule="auto"/>
        <w:rPr>
          <w:lang w:val="en-US"/>
        </w:rPr>
      </w:pPr>
      <w:r w:rsidRPr="00880B95">
        <w:rPr>
          <w:lang w:val="en-US"/>
        </w:rPr>
        <w:t xml:space="preserve">Under the </w:t>
      </w:r>
      <w:r w:rsidRPr="00880B95">
        <w:rPr>
          <w:i/>
          <w:lang w:val="en-US"/>
        </w:rPr>
        <w:t>Aged Care Act 2024</w:t>
      </w:r>
      <w:r>
        <w:rPr>
          <w:lang w:val="en-US"/>
        </w:rPr>
        <w:t>,</w:t>
      </w:r>
      <w:r w:rsidRPr="00880B95">
        <w:rPr>
          <w:lang w:val="en-US"/>
        </w:rPr>
        <w:t xml:space="preserve"> assessors are required to provide the System Governor with a report of the assessment as soon as practicable after the assessment has been completed.</w:t>
      </w:r>
      <w:r>
        <w:rPr>
          <w:lang w:val="en-US"/>
        </w:rPr>
        <w:t xml:space="preserve"> This report is the support plan.</w:t>
      </w:r>
      <w:r w:rsidRPr="00880B95">
        <w:rPr>
          <w:lang w:val="en-US"/>
        </w:rPr>
        <w:t xml:space="preserve"> System Governor functions </w:t>
      </w:r>
      <w:r>
        <w:rPr>
          <w:lang w:val="en-US"/>
        </w:rPr>
        <w:t xml:space="preserve">at this stage of the assessment process </w:t>
      </w:r>
      <w:r w:rsidRPr="00880B95">
        <w:rPr>
          <w:lang w:val="en-US"/>
        </w:rPr>
        <w:t xml:space="preserve">are performed by </w:t>
      </w:r>
      <w:r>
        <w:rPr>
          <w:lang w:val="en-US"/>
        </w:rPr>
        <w:t>(delegated to)</w:t>
      </w:r>
      <w:r w:rsidRPr="00880B95">
        <w:rPr>
          <w:lang w:val="en-US"/>
        </w:rPr>
        <w:t xml:space="preserve"> </w:t>
      </w:r>
      <w:r>
        <w:rPr>
          <w:lang w:val="en-US"/>
        </w:rPr>
        <w:t>A</w:t>
      </w:r>
      <w:r w:rsidRPr="00880B95">
        <w:rPr>
          <w:lang w:val="en-US"/>
        </w:rPr>
        <w:t xml:space="preserve">ssessment </w:t>
      </w:r>
      <w:r>
        <w:rPr>
          <w:lang w:val="en-US"/>
        </w:rPr>
        <w:t>D</w:t>
      </w:r>
      <w:r w:rsidRPr="00880B95">
        <w:rPr>
          <w:lang w:val="en-US"/>
        </w:rPr>
        <w:t xml:space="preserve">elegates. </w:t>
      </w:r>
      <w:r>
        <w:rPr>
          <w:lang w:val="en-US"/>
        </w:rPr>
        <w:t xml:space="preserve">The </w:t>
      </w:r>
      <w:r w:rsidR="0060352D">
        <w:rPr>
          <w:lang w:val="en-US"/>
        </w:rPr>
        <w:t>assessor portal</w:t>
      </w:r>
      <w:r>
        <w:rPr>
          <w:lang w:val="en-US"/>
        </w:rPr>
        <w:t xml:space="preserve"> will support assessors to recommend</w:t>
      </w:r>
      <w:r w:rsidRPr="00880B95">
        <w:rPr>
          <w:lang w:val="en-US"/>
        </w:rPr>
        <w:t xml:space="preserve"> </w:t>
      </w:r>
      <w:r>
        <w:rPr>
          <w:lang w:val="en-US"/>
        </w:rPr>
        <w:t>the following to the assessment delegate for approval:</w:t>
      </w:r>
      <w:r w:rsidRPr="00880B95">
        <w:rPr>
          <w:lang w:val="en-US"/>
        </w:rPr>
        <w:t xml:space="preserve"> </w:t>
      </w:r>
    </w:p>
    <w:p w14:paraId="3CBC5C0D" w14:textId="77777777" w:rsidR="007A743C" w:rsidRPr="006C396C" w:rsidRDefault="007A743C" w:rsidP="00DF3F6B">
      <w:pPr>
        <w:pStyle w:val="ListParagraph"/>
        <w:numPr>
          <w:ilvl w:val="0"/>
          <w:numId w:val="119"/>
        </w:numPr>
        <w:spacing w:before="240" w:after="240" w:line="240" w:lineRule="auto"/>
        <w:rPr>
          <w:lang w:val="en-US"/>
        </w:rPr>
      </w:pPr>
      <w:r w:rsidRPr="00906F4C">
        <w:rPr>
          <w:b/>
          <w:lang w:val="en-US"/>
        </w:rPr>
        <w:t>service groups</w:t>
      </w:r>
      <w:r>
        <w:rPr>
          <w:lang w:val="en-US"/>
        </w:rPr>
        <w:t>,</w:t>
      </w:r>
    </w:p>
    <w:p w14:paraId="21242FA6" w14:textId="77777777" w:rsidR="007A743C" w:rsidRPr="006C396C" w:rsidRDefault="007A743C" w:rsidP="00DF3F6B">
      <w:pPr>
        <w:pStyle w:val="ListParagraph"/>
        <w:numPr>
          <w:ilvl w:val="0"/>
          <w:numId w:val="119"/>
        </w:numPr>
        <w:spacing w:before="240" w:after="240" w:line="240" w:lineRule="auto"/>
        <w:rPr>
          <w:lang w:val="en-US"/>
        </w:rPr>
      </w:pPr>
      <w:r w:rsidRPr="00880B95">
        <w:rPr>
          <w:lang w:val="en-US"/>
        </w:rPr>
        <w:t>the</w:t>
      </w:r>
      <w:r>
        <w:rPr>
          <w:b/>
          <w:lang w:val="en-US"/>
        </w:rPr>
        <w:t xml:space="preserve"> </w:t>
      </w:r>
      <w:r w:rsidRPr="00B636DB">
        <w:rPr>
          <w:b/>
          <w:lang w:val="en-US"/>
        </w:rPr>
        <w:t>classification type</w:t>
      </w:r>
      <w:r w:rsidRPr="37A436E4">
        <w:rPr>
          <w:lang w:val="en-US"/>
        </w:rPr>
        <w:t xml:space="preserve"> </w:t>
      </w:r>
      <w:r>
        <w:rPr>
          <w:lang w:val="en-US"/>
        </w:rPr>
        <w:t>(</w:t>
      </w:r>
      <w:r w:rsidRPr="37A436E4">
        <w:rPr>
          <w:lang w:val="en-US"/>
        </w:rPr>
        <w:t>short-term, ongoing or hospital transition</w:t>
      </w:r>
      <w:r>
        <w:rPr>
          <w:lang w:val="en-US"/>
        </w:rPr>
        <w:t xml:space="preserve">) for each recommended service group; </w:t>
      </w:r>
    </w:p>
    <w:p w14:paraId="0444AD61" w14:textId="77777777" w:rsidR="007A743C" w:rsidRPr="006C396C" w:rsidRDefault="007A743C" w:rsidP="00DF3F6B">
      <w:pPr>
        <w:pStyle w:val="ListParagraph"/>
        <w:numPr>
          <w:ilvl w:val="0"/>
          <w:numId w:val="119"/>
        </w:numPr>
        <w:spacing w:before="240" w:after="240" w:line="240" w:lineRule="auto"/>
        <w:rPr>
          <w:lang w:val="en-US"/>
        </w:rPr>
      </w:pPr>
      <w:r>
        <w:rPr>
          <w:lang w:val="en-US"/>
        </w:rPr>
        <w:t xml:space="preserve">the </w:t>
      </w:r>
      <w:r w:rsidRPr="00906F4C">
        <w:rPr>
          <w:b/>
          <w:lang w:val="en-US"/>
        </w:rPr>
        <w:t>classification level</w:t>
      </w:r>
    </w:p>
    <w:p w14:paraId="59BC0CF2" w14:textId="77777777" w:rsidR="007A743C" w:rsidRPr="006C396C" w:rsidRDefault="007A743C" w:rsidP="00DF3F6B">
      <w:pPr>
        <w:pStyle w:val="ListParagraph"/>
        <w:numPr>
          <w:ilvl w:val="0"/>
          <w:numId w:val="119"/>
        </w:numPr>
        <w:spacing w:before="240" w:after="240" w:line="240" w:lineRule="auto"/>
        <w:rPr>
          <w:lang w:val="en-US"/>
        </w:rPr>
      </w:pPr>
      <w:r>
        <w:rPr>
          <w:lang w:val="en-US"/>
        </w:rPr>
        <w:t xml:space="preserve">any </w:t>
      </w:r>
      <w:r w:rsidRPr="00906F4C">
        <w:rPr>
          <w:b/>
          <w:lang w:val="en-US"/>
        </w:rPr>
        <w:t>service types</w:t>
      </w:r>
      <w:r>
        <w:rPr>
          <w:lang w:val="en-US"/>
        </w:rPr>
        <w:t xml:space="preserve"> or </w:t>
      </w:r>
      <w:r w:rsidRPr="00906F4C">
        <w:rPr>
          <w:b/>
          <w:lang w:val="en-US"/>
        </w:rPr>
        <w:t>services</w:t>
      </w:r>
      <w:r>
        <w:rPr>
          <w:lang w:val="en-US"/>
        </w:rPr>
        <w:t xml:space="preserve"> </w:t>
      </w:r>
    </w:p>
    <w:p w14:paraId="1E498E49" w14:textId="77777777" w:rsidR="007A743C" w:rsidRDefault="007A743C" w:rsidP="00DF3F6B">
      <w:pPr>
        <w:pStyle w:val="ListParagraph"/>
        <w:numPr>
          <w:ilvl w:val="0"/>
          <w:numId w:val="119"/>
        </w:numPr>
        <w:spacing w:before="240" w:after="240" w:line="240" w:lineRule="auto"/>
        <w:rPr>
          <w:lang w:val="en-US"/>
        </w:rPr>
      </w:pPr>
      <w:r>
        <w:rPr>
          <w:lang w:val="en-US"/>
        </w:rPr>
        <w:t xml:space="preserve">the </w:t>
      </w:r>
      <w:r>
        <w:rPr>
          <w:b/>
          <w:bCs/>
          <w:lang w:val="en-US"/>
        </w:rPr>
        <w:t>priority category</w:t>
      </w:r>
      <w:r>
        <w:rPr>
          <w:lang w:val="en-US"/>
        </w:rPr>
        <w:t xml:space="preserve"> if required.</w:t>
      </w:r>
    </w:p>
    <w:p w14:paraId="0D70FF42" w14:textId="128817AD" w:rsidR="008A19AD" w:rsidRDefault="002227D3" w:rsidP="00A677C9">
      <w:pPr>
        <w:spacing w:before="240" w:after="240" w:line="240" w:lineRule="auto"/>
        <w:rPr>
          <w:lang w:val="en-US"/>
        </w:rPr>
      </w:pPr>
      <w:r>
        <w:rPr>
          <w:lang w:val="en-US"/>
        </w:rPr>
        <w:t>F</w:t>
      </w:r>
      <w:r w:rsidR="00322984">
        <w:rPr>
          <w:lang w:val="en-US"/>
        </w:rPr>
        <w:t>or older Aboriginal and Torres Strait Islander people</w:t>
      </w:r>
      <w:r>
        <w:rPr>
          <w:lang w:val="en-US"/>
        </w:rPr>
        <w:t>,</w:t>
      </w:r>
      <w:r w:rsidR="00322984">
        <w:rPr>
          <w:lang w:val="en-US"/>
        </w:rPr>
        <w:t xml:space="preserve"> </w:t>
      </w:r>
      <w:r w:rsidR="008A19AD">
        <w:rPr>
          <w:lang w:val="en-US"/>
        </w:rPr>
        <w:t xml:space="preserve">an </w:t>
      </w:r>
      <w:r w:rsidR="00B626B6">
        <w:rPr>
          <w:lang w:val="en-US"/>
        </w:rPr>
        <w:t>a</w:t>
      </w:r>
      <w:r w:rsidR="008A19AD">
        <w:rPr>
          <w:lang w:val="en-US"/>
        </w:rPr>
        <w:t xml:space="preserve">ssessment </w:t>
      </w:r>
      <w:r w:rsidR="00B626B6">
        <w:rPr>
          <w:lang w:val="en-US"/>
        </w:rPr>
        <w:t>d</w:t>
      </w:r>
      <w:r w:rsidR="008A19AD">
        <w:rPr>
          <w:lang w:val="en-US"/>
        </w:rPr>
        <w:t xml:space="preserve">elegate only </w:t>
      </w:r>
      <w:r>
        <w:rPr>
          <w:lang w:val="en-US"/>
        </w:rPr>
        <w:t>require</w:t>
      </w:r>
      <w:r w:rsidR="008A19AD">
        <w:rPr>
          <w:lang w:val="en-US"/>
        </w:rPr>
        <w:t>s to approv</w:t>
      </w:r>
      <w:r w:rsidR="00F822D6">
        <w:rPr>
          <w:lang w:val="en-US"/>
        </w:rPr>
        <w:t xml:space="preserve">e services at the service group level. </w:t>
      </w:r>
      <w:r w:rsidR="00941C32">
        <w:rPr>
          <w:lang w:val="en-US"/>
        </w:rPr>
        <w:t xml:space="preserve">This means </w:t>
      </w:r>
      <w:r w:rsidR="00C00FB6">
        <w:rPr>
          <w:lang w:val="en-US"/>
        </w:rPr>
        <w:t>t</w:t>
      </w:r>
      <w:r w:rsidR="0025700D">
        <w:rPr>
          <w:lang w:val="en-US"/>
        </w:rPr>
        <w:t>he clients</w:t>
      </w:r>
      <w:r w:rsidR="00F822D6" w:rsidRPr="00422EC0">
        <w:t xml:space="preserve"> are automatically approved for all the service types and </w:t>
      </w:r>
      <w:r w:rsidR="006206EC">
        <w:t xml:space="preserve">individual </w:t>
      </w:r>
      <w:r w:rsidR="00F822D6" w:rsidRPr="00422EC0">
        <w:t xml:space="preserve">services </w:t>
      </w:r>
      <w:r w:rsidR="006206EC">
        <w:t>with</w:t>
      </w:r>
      <w:r w:rsidR="00F822D6" w:rsidRPr="00422EC0">
        <w:t>in any service group they are approved for.</w:t>
      </w:r>
    </w:p>
    <w:p w14:paraId="06E44F5B" w14:textId="3D643CC5" w:rsidR="007A743C" w:rsidRPr="00880B95" w:rsidRDefault="007A743C" w:rsidP="00A677C9">
      <w:pPr>
        <w:spacing w:before="240" w:after="240" w:line="240" w:lineRule="auto"/>
        <w:rPr>
          <w:lang w:val="en-US"/>
        </w:rPr>
      </w:pPr>
      <w:r>
        <w:rPr>
          <w:lang w:val="en-US"/>
        </w:rPr>
        <w:t>Assessors</w:t>
      </w:r>
      <w:r w:rsidRPr="00880B95">
        <w:rPr>
          <w:lang w:val="en-US"/>
        </w:rPr>
        <w:t xml:space="preserve"> </w:t>
      </w:r>
      <w:r>
        <w:rPr>
          <w:lang w:val="en-US"/>
        </w:rPr>
        <w:t>must also include in the support plan any i</w:t>
      </w:r>
      <w:r w:rsidRPr="003973F5">
        <w:rPr>
          <w:lang w:val="en-US"/>
        </w:rPr>
        <w:t>nformation</w:t>
      </w:r>
      <w:r w:rsidRPr="7E608CDE">
        <w:rPr>
          <w:lang w:val="en-US"/>
        </w:rPr>
        <w:t xml:space="preserve"> to support the Assessment Delegate to </w:t>
      </w:r>
      <w:r w:rsidRPr="5CD45258">
        <w:rPr>
          <w:lang w:val="en-US"/>
        </w:rPr>
        <w:t xml:space="preserve">decide that the </w:t>
      </w:r>
      <w:r w:rsidRPr="2FA932E5">
        <w:rPr>
          <w:lang w:val="en-US"/>
        </w:rPr>
        <w:t xml:space="preserve">individual meets the relevant criteria (in the Act and </w:t>
      </w:r>
      <w:r w:rsidRPr="583DDB28">
        <w:rPr>
          <w:lang w:val="en-US"/>
        </w:rPr>
        <w:t>its related rules</w:t>
      </w:r>
      <w:r w:rsidRPr="2FA932E5">
        <w:rPr>
          <w:lang w:val="en-US"/>
        </w:rPr>
        <w:t>) for the recommended approvals.</w:t>
      </w:r>
    </w:p>
    <w:p w14:paraId="7FC4F872" w14:textId="77777777" w:rsidR="007A743C" w:rsidRPr="00880B95" w:rsidRDefault="007A743C" w:rsidP="00A677C9">
      <w:pPr>
        <w:spacing w:before="240" w:after="240" w:line="240" w:lineRule="auto"/>
        <w:rPr>
          <w:lang w:val="en-US"/>
        </w:rPr>
      </w:pPr>
      <w:r w:rsidRPr="00880B95">
        <w:rPr>
          <w:lang w:val="en-US"/>
        </w:rPr>
        <w:t xml:space="preserve">Assessors must ensure all information generated during the assessment is uploaded to the older person’s My Aged Care Record following the completion of an assessment. </w:t>
      </w:r>
    </w:p>
    <w:p w14:paraId="7A94BE3A" w14:textId="5D170063" w:rsidR="0061221A" w:rsidRDefault="00D73A4D" w:rsidP="00A677C9">
      <w:pPr>
        <w:spacing w:before="240" w:after="240" w:line="240" w:lineRule="auto"/>
        <w:rPr>
          <w:lang w:val="en-US"/>
        </w:rPr>
      </w:pPr>
      <w:r>
        <w:rPr>
          <w:lang w:val="en-US"/>
        </w:rPr>
        <w:t xml:space="preserve">The fact sheet on </w:t>
      </w:r>
      <w:r w:rsidR="004A5A80">
        <w:rPr>
          <w:lang w:val="en-US"/>
        </w:rPr>
        <w:t xml:space="preserve">non-clinical delegate workflow will be provided in the next addition of the Assessment Manual. </w:t>
      </w:r>
    </w:p>
    <w:p w14:paraId="756CC3CC" w14:textId="53B6B485" w:rsidR="00960A13" w:rsidRPr="00C14639" w:rsidRDefault="00960A13" w:rsidP="00D816E6">
      <w:pPr>
        <w:pStyle w:val="H1"/>
      </w:pPr>
      <w:bookmarkStart w:id="460" w:name="_Toc198813680"/>
      <w:bookmarkStart w:id="461" w:name="_Toc204329563"/>
      <w:bookmarkStart w:id="462" w:name="_Toc209188993"/>
      <w:bookmarkStart w:id="463" w:name="_Ref212734795"/>
      <w:bookmarkStart w:id="464" w:name="_Ref212735832"/>
      <w:bookmarkStart w:id="465" w:name="_Ref212736115"/>
      <w:bookmarkStart w:id="466" w:name="_Ref212736206"/>
      <w:bookmarkStart w:id="467" w:name="_Ref212736230"/>
      <w:bookmarkStart w:id="468" w:name="_Ref212736248"/>
      <w:bookmarkStart w:id="469" w:name="_Ref212736395"/>
      <w:bookmarkStart w:id="470" w:name="_Ref212736454"/>
      <w:bookmarkStart w:id="471" w:name="_Ref212738010"/>
      <w:bookmarkStart w:id="472" w:name="_Toc224916654"/>
      <w:r w:rsidRPr="00834FB2">
        <w:t>Chapter</w:t>
      </w:r>
      <w:r w:rsidRPr="00C14639">
        <w:t xml:space="preserve"> </w:t>
      </w:r>
      <w:r>
        <w:t>6</w:t>
      </w:r>
      <w:r w:rsidRPr="00C14639">
        <w:t xml:space="preserve">: Aged </w:t>
      </w:r>
      <w:r w:rsidR="002E6DD0">
        <w:t>c</w:t>
      </w:r>
      <w:r w:rsidRPr="00C14639">
        <w:t xml:space="preserve">are </w:t>
      </w:r>
      <w:r w:rsidR="002E6DD0">
        <w:t>p</w:t>
      </w:r>
      <w:r w:rsidRPr="00C14639">
        <w:t>rograms</w:t>
      </w:r>
      <w:bookmarkEnd w:id="460"/>
      <w:bookmarkEnd w:id="461"/>
      <w:bookmarkEnd w:id="462"/>
      <w:bookmarkEnd w:id="463"/>
      <w:bookmarkEnd w:id="464"/>
      <w:bookmarkEnd w:id="465"/>
      <w:bookmarkEnd w:id="466"/>
      <w:bookmarkEnd w:id="467"/>
      <w:bookmarkEnd w:id="468"/>
      <w:bookmarkEnd w:id="469"/>
      <w:bookmarkEnd w:id="470"/>
      <w:bookmarkEnd w:id="471"/>
      <w:bookmarkEnd w:id="472"/>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F2F2F2" w:themeFill="background1" w:themeFillShade="F2"/>
        <w:tblLook w:val="04A0" w:firstRow="1" w:lastRow="0" w:firstColumn="1" w:lastColumn="0" w:noHBand="0" w:noVBand="1"/>
      </w:tblPr>
      <w:tblGrid>
        <w:gridCol w:w="9067"/>
        <w:gridCol w:w="293"/>
      </w:tblGrid>
      <w:tr w:rsidR="00960A13" w:rsidRPr="009E1361" w14:paraId="436D4FF5" w14:textId="77777777" w:rsidTr="00097F05">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A04CD6" w14:textId="77777777" w:rsidR="00960A13" w:rsidRPr="009E1361" w:rsidRDefault="00960A13" w:rsidP="00554F7E">
            <w:bookmarkStart w:id="473" w:name="_Toc209188994"/>
            <w:bookmarkStart w:id="474" w:name="_Toc198813681"/>
            <w:bookmarkStart w:id="475" w:name="_Toc204329564"/>
            <w:r w:rsidRPr="00380A8B">
              <w:rPr>
                <w:b/>
                <w:color w:val="358189"/>
                <w:sz w:val="36"/>
                <w:szCs w:val="36"/>
              </w:rPr>
              <w:t>What you’ll find in this chapter</w:t>
            </w:r>
            <w:bookmarkEnd w:id="473"/>
            <w:r w:rsidRPr="00380A8B">
              <w:rPr>
                <w:b/>
                <w:color w:val="358189"/>
                <w:sz w:val="36"/>
                <w:szCs w:val="36"/>
              </w:rPr>
              <w:t xml:space="preserve"> </w:t>
            </w:r>
          </w:p>
          <w:p w14:paraId="68B0A4F3" w14:textId="77777777" w:rsidR="00960A13" w:rsidRDefault="00960A13" w:rsidP="00A677C9">
            <w:pPr>
              <w:spacing w:before="240" w:after="240"/>
            </w:pPr>
            <w:r w:rsidRPr="009E1361">
              <w:t xml:space="preserve">This chapter includes important information about the aged care programs that can be recommended by assessors to meet an older person’s </w:t>
            </w:r>
            <w:r>
              <w:t xml:space="preserve">assessed </w:t>
            </w:r>
            <w:r w:rsidRPr="009E1361">
              <w:t xml:space="preserve">needs and goals. </w:t>
            </w:r>
            <w:r>
              <w:t xml:space="preserve">It </w:t>
            </w:r>
            <w:r w:rsidRPr="009E1361">
              <w:t>includes</w:t>
            </w:r>
            <w:r>
              <w:t xml:space="preserve"> information about: </w:t>
            </w:r>
          </w:p>
          <w:p w14:paraId="5BB4FE1B" w14:textId="77777777" w:rsidR="00960A13" w:rsidRDefault="00960A13" w:rsidP="00A677C9">
            <w:pPr>
              <w:spacing w:before="240" w:after="240"/>
            </w:pPr>
          </w:p>
          <w:p w14:paraId="49852700"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(Ongoing 1 – 8)</w:t>
            </w:r>
          </w:p>
          <w:p w14:paraId="143618FF"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(Restorative Care Pathway)</w:t>
            </w:r>
          </w:p>
          <w:p w14:paraId="7A69BAFC"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(End of Life Pathway)</w:t>
            </w:r>
          </w:p>
          <w:p w14:paraId="45375945" w14:textId="77777777" w:rsidR="00960A13" w:rsidRPr="002B2537" w:rsidRDefault="00960A13" w:rsidP="00DF3F6B">
            <w:pPr>
              <w:pStyle w:val="ListParagraph"/>
              <w:numPr>
                <w:ilvl w:val="0"/>
                <w:numId w:val="198"/>
              </w:numPr>
              <w:spacing w:before="240" w:after="240"/>
              <w:rPr>
                <w:lang w:val="en-AU"/>
              </w:rPr>
            </w:pPr>
            <w:r w:rsidRPr="002B2537">
              <w:rPr>
                <w:lang w:val="en-AU"/>
              </w:rPr>
              <w:t>Support at Home (AT-HM)</w:t>
            </w:r>
          </w:p>
          <w:p w14:paraId="7768927E" w14:textId="77777777" w:rsidR="00960A13" w:rsidRPr="002B2537" w:rsidRDefault="00960A13" w:rsidP="00DF3F6B">
            <w:pPr>
              <w:pStyle w:val="ListParagraph"/>
              <w:numPr>
                <w:ilvl w:val="0"/>
                <w:numId w:val="198"/>
              </w:numPr>
              <w:spacing w:before="240" w:after="240"/>
              <w:rPr>
                <w:lang w:val="en-AU"/>
              </w:rPr>
            </w:pPr>
            <w:r w:rsidRPr="002B2537">
              <w:rPr>
                <w:lang w:val="en-AU"/>
              </w:rPr>
              <w:t>Commonwealth Home Support Program (CHSP)</w:t>
            </w:r>
          </w:p>
          <w:p w14:paraId="01C8D13B" w14:textId="77777777" w:rsidR="00960A13" w:rsidRPr="002B2537" w:rsidRDefault="00960A13" w:rsidP="00DF3F6B">
            <w:pPr>
              <w:pStyle w:val="ListParagraph"/>
              <w:numPr>
                <w:ilvl w:val="0"/>
                <w:numId w:val="198"/>
              </w:numPr>
              <w:spacing w:before="240" w:after="240"/>
              <w:rPr>
                <w:lang w:val="en-AU"/>
              </w:rPr>
            </w:pPr>
            <w:r w:rsidRPr="002B2537">
              <w:rPr>
                <w:lang w:val="en-AU"/>
              </w:rPr>
              <w:t>National Aboriginal and Torres Strait Islander Flexible Aged Care</w:t>
            </w:r>
            <w:r>
              <w:rPr>
                <w:lang w:val="en-AU"/>
              </w:rPr>
              <w:t xml:space="preserve"> Program</w:t>
            </w:r>
            <w:r w:rsidRPr="002B2537">
              <w:rPr>
                <w:lang w:val="en-AU"/>
              </w:rPr>
              <w:t xml:space="preserve"> (NATSIFAC</w:t>
            </w:r>
            <w:r>
              <w:rPr>
                <w:lang w:val="en-AU"/>
              </w:rPr>
              <w:t>P</w:t>
            </w:r>
            <w:r w:rsidRPr="002B2537">
              <w:rPr>
                <w:lang w:val="en-AU"/>
              </w:rPr>
              <w:t>)</w:t>
            </w:r>
          </w:p>
          <w:p w14:paraId="100F75D1" w14:textId="77777777" w:rsidR="00960A13" w:rsidRPr="002B2537" w:rsidRDefault="00960A13" w:rsidP="00DF3F6B">
            <w:pPr>
              <w:pStyle w:val="ListParagraph"/>
              <w:numPr>
                <w:ilvl w:val="0"/>
                <w:numId w:val="198"/>
              </w:numPr>
              <w:spacing w:before="240" w:after="240"/>
              <w:rPr>
                <w:lang w:val="en-AU"/>
              </w:rPr>
            </w:pPr>
            <w:r w:rsidRPr="002B2537">
              <w:rPr>
                <w:lang w:val="en-AU"/>
              </w:rPr>
              <w:t>Multi-Purpose Service Program (MPSP)</w:t>
            </w:r>
          </w:p>
          <w:p w14:paraId="3C277AF1" w14:textId="77777777" w:rsidR="00960A13" w:rsidRPr="002B2537" w:rsidRDefault="00960A13" w:rsidP="00DF3F6B">
            <w:pPr>
              <w:pStyle w:val="ListParagraph"/>
              <w:numPr>
                <w:ilvl w:val="0"/>
                <w:numId w:val="198"/>
              </w:numPr>
              <w:spacing w:before="240" w:after="240"/>
              <w:rPr>
                <w:lang w:val="en-AU"/>
              </w:rPr>
            </w:pPr>
            <w:r w:rsidRPr="002B2537">
              <w:rPr>
                <w:lang w:val="en-AU"/>
              </w:rPr>
              <w:t>Transition Care Program (TCP)</w:t>
            </w:r>
          </w:p>
          <w:p w14:paraId="51A439E1" w14:textId="77777777" w:rsidR="00960A13" w:rsidRPr="002B2537" w:rsidRDefault="00960A13" w:rsidP="00DF3F6B">
            <w:pPr>
              <w:pStyle w:val="ListParagraph"/>
              <w:numPr>
                <w:ilvl w:val="0"/>
                <w:numId w:val="198"/>
              </w:numPr>
              <w:spacing w:before="240" w:after="240"/>
              <w:rPr>
                <w:lang w:val="en-AU"/>
              </w:rPr>
            </w:pPr>
            <w:r>
              <w:rPr>
                <w:lang w:val="en-AU"/>
              </w:rPr>
              <w:t>Permanent r</w:t>
            </w:r>
            <w:r w:rsidRPr="002B2537">
              <w:rPr>
                <w:lang w:val="en-AU"/>
              </w:rPr>
              <w:t xml:space="preserve">esidential </w:t>
            </w:r>
            <w:r>
              <w:rPr>
                <w:lang w:val="en-AU"/>
              </w:rPr>
              <w:t>c</w:t>
            </w:r>
            <w:r w:rsidRPr="002B2537">
              <w:rPr>
                <w:lang w:val="en-AU"/>
              </w:rPr>
              <w:t>are</w:t>
            </w:r>
          </w:p>
          <w:p w14:paraId="244D4DC6" w14:textId="08597323" w:rsidR="00960A13" w:rsidRPr="002B2537" w:rsidRDefault="00960A13" w:rsidP="00DF3F6B">
            <w:pPr>
              <w:pStyle w:val="ListParagraph"/>
              <w:numPr>
                <w:ilvl w:val="0"/>
                <w:numId w:val="198"/>
              </w:numPr>
              <w:spacing w:before="240" w:after="240"/>
              <w:rPr>
                <w:lang w:val="en-AU"/>
              </w:rPr>
            </w:pPr>
            <w:r w:rsidRPr="002B2537">
              <w:rPr>
                <w:lang w:val="en-AU"/>
              </w:rPr>
              <w:t xml:space="preserve">Residential </w:t>
            </w:r>
            <w:r>
              <w:rPr>
                <w:lang w:val="en-AU"/>
              </w:rPr>
              <w:t>r</w:t>
            </w:r>
            <w:r w:rsidRPr="002B2537">
              <w:rPr>
                <w:lang w:val="en-AU"/>
              </w:rPr>
              <w:t>espite</w:t>
            </w:r>
          </w:p>
          <w:p w14:paraId="44AD6106" w14:textId="77777777" w:rsidR="00960A13" w:rsidRPr="009E1361" w:rsidRDefault="00960A13" w:rsidP="00A677C9">
            <w:pPr>
              <w:spacing w:before="240" w:after="240"/>
              <w:rPr>
                <w:rFonts w:eastAsia="Times New Roman"/>
              </w:rPr>
            </w:pPr>
          </w:p>
        </w:tc>
        <w:tc>
          <w:tcPr>
            <w:tcW w:w="293" w:type="dxa"/>
            <w:tcBorders>
              <w:left w:val="single" w:sz="4" w:space="0" w:color="auto"/>
            </w:tcBorders>
            <w:shd w:val="clear" w:color="auto" w:fill="F2F2F2" w:themeFill="background1" w:themeFillShade="F2"/>
          </w:tcPr>
          <w:p w14:paraId="4A6FF095" w14:textId="77777777" w:rsidR="00960A13" w:rsidRPr="009E1361" w:rsidRDefault="00960A13" w:rsidP="00A677C9">
            <w:pPr>
              <w:pStyle w:val="Heading2"/>
              <w:spacing w:before="240" w:after="240"/>
              <w:rPr>
                <w:rFonts w:ascii="Arial" w:hAnsi="Arial" w:cs="Arial"/>
              </w:rPr>
            </w:pPr>
          </w:p>
        </w:tc>
      </w:tr>
    </w:tbl>
    <w:p w14:paraId="53A13CF3" w14:textId="4943EC2D" w:rsidR="00960A13" w:rsidRPr="009E1361" w:rsidRDefault="00960A13" w:rsidP="00507F9D">
      <w:pPr>
        <w:pStyle w:val="h2"/>
      </w:pPr>
      <w:bookmarkStart w:id="476" w:name="_Toc209188995"/>
      <w:bookmarkStart w:id="477" w:name="_Toc224916655"/>
      <w:r w:rsidRPr="009E1361">
        <w:t xml:space="preserve">Support at Home - </w:t>
      </w:r>
      <w:r w:rsidR="008B3C5A">
        <w:t>o</w:t>
      </w:r>
      <w:r w:rsidRPr="009E1361">
        <w:t xml:space="preserve">ngoing </w:t>
      </w:r>
      <w:r w:rsidR="008B3C5A">
        <w:t>c</w:t>
      </w:r>
      <w:r w:rsidRPr="009E1361">
        <w:t>lassifications 1-8</w:t>
      </w:r>
      <w:bookmarkEnd w:id="474"/>
      <w:bookmarkEnd w:id="475"/>
      <w:bookmarkEnd w:id="476"/>
      <w:bookmarkEnd w:id="477"/>
    </w:p>
    <w:p w14:paraId="6BAC1309" w14:textId="77777777" w:rsidR="00960A13" w:rsidRPr="009E1361" w:rsidRDefault="00960A13" w:rsidP="00A677C9">
      <w:pPr>
        <w:spacing w:before="240" w:after="240" w:line="240" w:lineRule="auto"/>
      </w:pPr>
      <w:r w:rsidRPr="009E1361">
        <w:t xml:space="preserve">Support at Home improves on the four Home Care Package levels and consists of 8 ongoing classifications (1 – 8) with increasing levels of funding based on varying need in terms of the frequency and intensity of those services. </w:t>
      </w:r>
    </w:p>
    <w:p w14:paraId="43633B87" w14:textId="77777777" w:rsidR="00960A13" w:rsidRPr="009E1361" w:rsidRDefault="00960A13" w:rsidP="00A677C9">
      <w:pPr>
        <w:spacing w:before="240" w:after="240" w:line="240" w:lineRule="auto"/>
      </w:pPr>
      <w:r w:rsidRPr="009E1361">
        <w:t>For participants assessed from 1 November 2025, a new classification framework will specify different funding levels based on the information captured during their assessment. </w:t>
      </w:r>
    </w:p>
    <w:p w14:paraId="50EF7C3D" w14:textId="2060A807" w:rsidR="00960A13" w:rsidRPr="009E1361" w:rsidRDefault="00960A13" w:rsidP="00A677C9">
      <w:pPr>
        <w:spacing w:before="240" w:after="240" w:line="240" w:lineRule="auto"/>
      </w:pPr>
      <w:r w:rsidRPr="009E1361">
        <w:t xml:space="preserve">Funding amounts for each Support at Home classification are outlined below. Note that these amounts </w:t>
      </w:r>
      <w:r w:rsidR="003D6D1D">
        <w:t>include the funding for care management</w:t>
      </w:r>
      <w:r w:rsidR="00604CA6">
        <w:t xml:space="preserve">, </w:t>
      </w:r>
      <w:r w:rsidR="003D6D1D">
        <w:t>are</w:t>
      </w:r>
      <w:r w:rsidRPr="009E1361">
        <w:t xml:space="preserve"> indicative and are subject to indexation revisions. </w:t>
      </w:r>
    </w:p>
    <w:p w14:paraId="0E7E13F8" w14:textId="77777777" w:rsidR="00960A13" w:rsidRPr="009E1361" w:rsidRDefault="00960A13" w:rsidP="00A677C9">
      <w:pPr>
        <w:spacing w:before="240" w:after="240" w:line="240" w:lineRule="auto"/>
      </w:pPr>
      <w:r w:rsidRPr="009E1361">
        <w:t xml:space="preserve">In addition, there are 3 short-term pathways which are part of the Support at Home program, and these are defined as stand-alone service groups under the Act: </w:t>
      </w:r>
    </w:p>
    <w:p w14:paraId="15D0C279" w14:textId="77777777" w:rsidR="00960A13" w:rsidRPr="009E1361" w:rsidRDefault="00960A13" w:rsidP="00DF3F6B">
      <w:pPr>
        <w:pStyle w:val="ListParagraph"/>
        <w:numPr>
          <w:ilvl w:val="0"/>
          <w:numId w:val="163"/>
        </w:numPr>
        <w:spacing w:before="240" w:after="240" w:line="240" w:lineRule="auto"/>
      </w:pPr>
      <w:r w:rsidRPr="009E1361">
        <w:t>Restorative Care Pathway</w:t>
      </w:r>
    </w:p>
    <w:p w14:paraId="04C16A56" w14:textId="77777777" w:rsidR="00960A13" w:rsidRPr="009E1361" w:rsidRDefault="00960A13" w:rsidP="00DF3F6B">
      <w:pPr>
        <w:pStyle w:val="ListParagraph"/>
        <w:numPr>
          <w:ilvl w:val="0"/>
          <w:numId w:val="163"/>
        </w:numPr>
        <w:spacing w:before="240" w:after="240" w:line="240" w:lineRule="auto"/>
      </w:pPr>
      <w:r w:rsidRPr="009E1361">
        <w:t>End-of-Life Pathway</w:t>
      </w:r>
    </w:p>
    <w:p w14:paraId="0B191892" w14:textId="45D1EADE" w:rsidR="00CC562B" w:rsidRDefault="0018672A" w:rsidP="00A677C9">
      <w:pPr>
        <w:pStyle w:val="ListParagraph"/>
        <w:numPr>
          <w:ilvl w:val="0"/>
          <w:numId w:val="163"/>
        </w:numPr>
        <w:spacing w:before="240" w:after="240" w:line="240" w:lineRule="auto"/>
      </w:pPr>
      <w:r>
        <w:t xml:space="preserve">The </w:t>
      </w:r>
      <w:r w:rsidR="00960A13" w:rsidRPr="009E1361">
        <w:t xml:space="preserve">Assistive Technology and Home Modifications (AT-HM) scheme </w:t>
      </w:r>
    </w:p>
    <w:p w14:paraId="1664D18E" w14:textId="3F15C11D" w:rsidR="00CC562B" w:rsidRPr="00CC562B" w:rsidRDefault="00CC562B" w:rsidP="00CC562B">
      <w:pPr>
        <w:rPr>
          <w:b/>
          <w:iCs/>
          <w:color w:val="44546A" w:themeColor="text2"/>
          <w:sz w:val="21"/>
          <w:szCs w:val="18"/>
        </w:rPr>
      </w:pPr>
      <w:r>
        <w:br w:type="page"/>
      </w:r>
    </w:p>
    <w:p w14:paraId="5CD05CC6" w14:textId="3AC3C0FF" w:rsidR="00960A13" w:rsidRPr="009E1361" w:rsidRDefault="00960A13" w:rsidP="00A677C9">
      <w:pPr>
        <w:pStyle w:val="Caption"/>
        <w:spacing w:before="240" w:after="240"/>
      </w:pPr>
      <w:r>
        <w:t>Table 2</w:t>
      </w:r>
      <w:r w:rsidR="009B5F15">
        <w:t>4</w:t>
      </w:r>
      <w:r>
        <w:t xml:space="preserve">. </w:t>
      </w:r>
      <w:r w:rsidRPr="009E1361">
        <w:t xml:space="preserve">Budgets for Support at Home </w:t>
      </w:r>
      <w:r w:rsidR="008B3C5A">
        <w:t>c</w:t>
      </w:r>
      <w:r w:rsidRPr="009E1361">
        <w:t>lassifications</w:t>
      </w:r>
    </w:p>
    <w:tbl>
      <w:tblPr>
        <w:tblStyle w:val="TableGrid"/>
        <w:tblW w:w="0" w:type="auto"/>
        <w:tblBorders>
          <w:bottom w:val="single" w:sz="4" w:space="0" w:color="auto"/>
          <w:insideH w:val="single" w:sz="4" w:space="0" w:color="auto"/>
        </w:tblBorders>
        <w:tblLook w:val="04A0" w:firstRow="1" w:lastRow="0" w:firstColumn="1" w:lastColumn="0" w:noHBand="0" w:noVBand="1"/>
        <w:tblCaption w:val="Budgets for Support at Home classifications"/>
      </w:tblPr>
      <w:tblGrid>
        <w:gridCol w:w="2634"/>
        <w:gridCol w:w="2755"/>
        <w:gridCol w:w="3377"/>
      </w:tblGrid>
      <w:tr w:rsidR="00960A13" w:rsidRPr="009529A9" w14:paraId="0602718A" w14:textId="77777777">
        <w:trPr>
          <w:tblHeader/>
        </w:trPr>
        <w:tc>
          <w:tcPr>
            <w:tcW w:w="2689" w:type="dxa"/>
            <w:shd w:val="clear" w:color="auto" w:fill="002060"/>
          </w:tcPr>
          <w:p w14:paraId="4083F990" w14:textId="77777777" w:rsidR="00960A13" w:rsidRPr="009529A9" w:rsidRDefault="00960A13" w:rsidP="00A677C9">
            <w:pPr>
              <w:spacing w:before="240" w:after="240"/>
              <w:rPr>
                <w:b/>
                <w:color w:val="FFFFFF" w:themeColor="background1"/>
              </w:rPr>
            </w:pPr>
            <w:r w:rsidRPr="009529A9">
              <w:rPr>
                <w:b/>
                <w:color w:val="FFFFFF" w:themeColor="background1"/>
              </w:rPr>
              <w:t>Classification</w:t>
            </w:r>
          </w:p>
        </w:tc>
        <w:tc>
          <w:tcPr>
            <w:tcW w:w="2835" w:type="dxa"/>
            <w:shd w:val="clear" w:color="auto" w:fill="002060"/>
          </w:tcPr>
          <w:p w14:paraId="2209D6CA" w14:textId="77777777" w:rsidR="00960A13" w:rsidRPr="009529A9" w:rsidRDefault="00960A13" w:rsidP="00A677C9">
            <w:pPr>
              <w:spacing w:before="240" w:after="240"/>
              <w:rPr>
                <w:b/>
                <w:color w:val="FFFFFF" w:themeColor="background1"/>
              </w:rPr>
            </w:pPr>
            <w:r w:rsidRPr="009529A9">
              <w:rPr>
                <w:b/>
                <w:color w:val="FFFFFF" w:themeColor="background1"/>
              </w:rPr>
              <w:t>Quarterly Budget</w:t>
            </w:r>
          </w:p>
        </w:tc>
        <w:tc>
          <w:tcPr>
            <w:tcW w:w="3492" w:type="dxa"/>
            <w:shd w:val="clear" w:color="auto" w:fill="002060"/>
          </w:tcPr>
          <w:p w14:paraId="6E81D62D" w14:textId="77777777" w:rsidR="00960A13" w:rsidRPr="009529A9" w:rsidRDefault="00960A13" w:rsidP="00A677C9">
            <w:pPr>
              <w:spacing w:before="240" w:after="240"/>
              <w:rPr>
                <w:b/>
                <w:color w:val="FFFFFF" w:themeColor="background1"/>
              </w:rPr>
            </w:pPr>
            <w:r w:rsidRPr="009529A9">
              <w:rPr>
                <w:b/>
                <w:color w:val="FFFFFF" w:themeColor="background1"/>
              </w:rPr>
              <w:t>Annual Amount</w:t>
            </w:r>
          </w:p>
        </w:tc>
      </w:tr>
      <w:tr w:rsidR="00960A13" w:rsidRPr="009E1361" w14:paraId="4A3D0D92" w14:textId="77777777">
        <w:tc>
          <w:tcPr>
            <w:tcW w:w="2689" w:type="dxa"/>
            <w:shd w:val="clear" w:color="auto" w:fill="002060"/>
          </w:tcPr>
          <w:p w14:paraId="26CA71E8" w14:textId="77777777" w:rsidR="00960A13" w:rsidRPr="009529A9" w:rsidRDefault="00960A13" w:rsidP="00A677C9">
            <w:pPr>
              <w:spacing w:before="240" w:after="240"/>
              <w:rPr>
                <w:color w:val="FFFFFF" w:themeColor="background1"/>
              </w:rPr>
            </w:pPr>
            <w:r w:rsidRPr="009529A9">
              <w:rPr>
                <w:color w:val="FFFFFF" w:themeColor="background1"/>
              </w:rPr>
              <w:t>1</w:t>
            </w:r>
          </w:p>
        </w:tc>
        <w:tc>
          <w:tcPr>
            <w:tcW w:w="2835" w:type="dxa"/>
          </w:tcPr>
          <w:p w14:paraId="3F80A2A7" w14:textId="1370087D" w:rsidR="00960A13" w:rsidRPr="009E1361" w:rsidRDefault="00960A13" w:rsidP="00A677C9">
            <w:pPr>
              <w:spacing w:before="240" w:after="240"/>
            </w:pPr>
            <w:r w:rsidRPr="009E1361">
              <w:t>$2,68</w:t>
            </w:r>
            <w:r w:rsidR="005D0031">
              <w:t>2.75</w:t>
            </w:r>
          </w:p>
        </w:tc>
        <w:tc>
          <w:tcPr>
            <w:tcW w:w="3492" w:type="dxa"/>
          </w:tcPr>
          <w:p w14:paraId="44ECC48C" w14:textId="0BE3B8AB" w:rsidR="00960A13" w:rsidRPr="009E1361" w:rsidRDefault="00960A13" w:rsidP="00A677C9">
            <w:pPr>
              <w:spacing w:before="240" w:after="240"/>
            </w:pPr>
            <w:r w:rsidRPr="009E1361">
              <w:t>$10,73</w:t>
            </w:r>
            <w:r w:rsidR="00434199">
              <w:t>1.00</w:t>
            </w:r>
          </w:p>
        </w:tc>
      </w:tr>
      <w:tr w:rsidR="00960A13" w:rsidRPr="009E1361" w14:paraId="315F1CD2" w14:textId="77777777">
        <w:tc>
          <w:tcPr>
            <w:tcW w:w="2689" w:type="dxa"/>
            <w:shd w:val="clear" w:color="auto" w:fill="002060"/>
          </w:tcPr>
          <w:p w14:paraId="233E644C" w14:textId="77777777" w:rsidR="00960A13" w:rsidRPr="009529A9" w:rsidRDefault="00960A13" w:rsidP="00A677C9">
            <w:pPr>
              <w:spacing w:before="240" w:after="240"/>
              <w:rPr>
                <w:color w:val="FFFFFF" w:themeColor="background1"/>
              </w:rPr>
            </w:pPr>
            <w:r w:rsidRPr="009529A9">
              <w:rPr>
                <w:color w:val="FFFFFF" w:themeColor="background1"/>
              </w:rPr>
              <w:t>2</w:t>
            </w:r>
          </w:p>
        </w:tc>
        <w:tc>
          <w:tcPr>
            <w:tcW w:w="2835" w:type="dxa"/>
          </w:tcPr>
          <w:p w14:paraId="2B9A6B50" w14:textId="295A9EB7" w:rsidR="00960A13" w:rsidRPr="009E1361" w:rsidRDefault="00960A13" w:rsidP="00A677C9">
            <w:pPr>
              <w:spacing w:before="240" w:after="240"/>
            </w:pPr>
            <w:r w:rsidRPr="009E1361">
              <w:t>$4,008.</w:t>
            </w:r>
            <w:r w:rsidR="00927625">
              <w:t>61</w:t>
            </w:r>
          </w:p>
        </w:tc>
        <w:tc>
          <w:tcPr>
            <w:tcW w:w="3492" w:type="dxa"/>
          </w:tcPr>
          <w:p w14:paraId="5E139C46" w14:textId="682865CA" w:rsidR="00960A13" w:rsidRPr="009E1361" w:rsidRDefault="00960A13" w:rsidP="00A677C9">
            <w:pPr>
              <w:spacing w:before="240" w:after="240"/>
            </w:pPr>
            <w:r w:rsidRPr="009E1361">
              <w:t>$16,03</w:t>
            </w:r>
            <w:r w:rsidR="00434199">
              <w:t>4.45</w:t>
            </w:r>
          </w:p>
        </w:tc>
      </w:tr>
      <w:tr w:rsidR="00960A13" w:rsidRPr="009E1361" w14:paraId="00959DF0" w14:textId="77777777">
        <w:tc>
          <w:tcPr>
            <w:tcW w:w="2689" w:type="dxa"/>
            <w:shd w:val="clear" w:color="auto" w:fill="002060"/>
          </w:tcPr>
          <w:p w14:paraId="28E173A4" w14:textId="77777777" w:rsidR="00960A13" w:rsidRPr="009529A9" w:rsidRDefault="00960A13" w:rsidP="00A677C9">
            <w:pPr>
              <w:spacing w:before="240" w:after="240"/>
              <w:rPr>
                <w:color w:val="FFFFFF" w:themeColor="background1"/>
              </w:rPr>
            </w:pPr>
            <w:r w:rsidRPr="009529A9">
              <w:rPr>
                <w:color w:val="FFFFFF" w:themeColor="background1"/>
              </w:rPr>
              <w:t>3</w:t>
            </w:r>
          </w:p>
        </w:tc>
        <w:tc>
          <w:tcPr>
            <w:tcW w:w="2835" w:type="dxa"/>
          </w:tcPr>
          <w:p w14:paraId="6C1E1BC3" w14:textId="55D01E03" w:rsidR="00960A13" w:rsidRPr="009E1361" w:rsidRDefault="00960A13" w:rsidP="00A677C9">
            <w:pPr>
              <w:spacing w:before="240" w:after="240"/>
            </w:pPr>
            <w:r w:rsidRPr="009E1361">
              <w:t>$5,491.</w:t>
            </w:r>
            <w:r w:rsidR="00927625">
              <w:t>43</w:t>
            </w:r>
          </w:p>
        </w:tc>
        <w:tc>
          <w:tcPr>
            <w:tcW w:w="3492" w:type="dxa"/>
          </w:tcPr>
          <w:p w14:paraId="5A1C0917" w14:textId="5B417DED" w:rsidR="00960A13" w:rsidRPr="009E1361" w:rsidRDefault="00960A13" w:rsidP="00A677C9">
            <w:pPr>
              <w:spacing w:before="240" w:after="240"/>
            </w:pPr>
            <w:r w:rsidRPr="009E1361">
              <w:t>$21,96</w:t>
            </w:r>
            <w:r w:rsidR="00434199">
              <w:t>5.70</w:t>
            </w:r>
          </w:p>
        </w:tc>
      </w:tr>
      <w:tr w:rsidR="00960A13" w:rsidRPr="009E1361" w14:paraId="1FA3375C" w14:textId="77777777">
        <w:tc>
          <w:tcPr>
            <w:tcW w:w="2689" w:type="dxa"/>
            <w:shd w:val="clear" w:color="auto" w:fill="002060"/>
          </w:tcPr>
          <w:p w14:paraId="06D8A6DB" w14:textId="77777777" w:rsidR="00960A13" w:rsidRPr="009529A9" w:rsidRDefault="00960A13" w:rsidP="00A677C9">
            <w:pPr>
              <w:spacing w:before="240" w:after="240"/>
              <w:rPr>
                <w:color w:val="FFFFFF" w:themeColor="background1"/>
              </w:rPr>
            </w:pPr>
            <w:r w:rsidRPr="009529A9">
              <w:rPr>
                <w:color w:val="FFFFFF" w:themeColor="background1"/>
              </w:rPr>
              <w:t>4</w:t>
            </w:r>
          </w:p>
        </w:tc>
        <w:tc>
          <w:tcPr>
            <w:tcW w:w="2835" w:type="dxa"/>
          </w:tcPr>
          <w:p w14:paraId="4085C88C" w14:textId="0A9ECA07" w:rsidR="00960A13" w:rsidRPr="009E1361" w:rsidRDefault="00960A13" w:rsidP="00A677C9">
            <w:pPr>
              <w:spacing w:before="240" w:after="240"/>
            </w:pPr>
            <w:r w:rsidRPr="009E1361">
              <w:t>$7,424.</w:t>
            </w:r>
            <w:r w:rsidR="00927625">
              <w:t>10</w:t>
            </w:r>
          </w:p>
        </w:tc>
        <w:tc>
          <w:tcPr>
            <w:tcW w:w="3492" w:type="dxa"/>
          </w:tcPr>
          <w:p w14:paraId="676B6F8C" w14:textId="3322C9DB" w:rsidR="00960A13" w:rsidRPr="009E1361" w:rsidRDefault="00960A13" w:rsidP="00A677C9">
            <w:pPr>
              <w:spacing w:before="240" w:after="240"/>
            </w:pPr>
            <w:r w:rsidRPr="009E1361">
              <w:t>$29,696.</w:t>
            </w:r>
            <w:r w:rsidR="00434199">
              <w:t>40</w:t>
            </w:r>
          </w:p>
        </w:tc>
      </w:tr>
      <w:tr w:rsidR="00960A13" w:rsidRPr="009E1361" w14:paraId="1AB090F5" w14:textId="77777777">
        <w:tc>
          <w:tcPr>
            <w:tcW w:w="2689" w:type="dxa"/>
            <w:shd w:val="clear" w:color="auto" w:fill="002060"/>
          </w:tcPr>
          <w:p w14:paraId="538F94AB" w14:textId="77777777" w:rsidR="00960A13" w:rsidRPr="009529A9" w:rsidRDefault="00960A13" w:rsidP="00A677C9">
            <w:pPr>
              <w:spacing w:before="240" w:after="240"/>
              <w:rPr>
                <w:color w:val="FFFFFF" w:themeColor="background1"/>
              </w:rPr>
            </w:pPr>
            <w:r w:rsidRPr="009529A9">
              <w:rPr>
                <w:color w:val="FFFFFF" w:themeColor="background1"/>
              </w:rPr>
              <w:t>5</w:t>
            </w:r>
          </w:p>
        </w:tc>
        <w:tc>
          <w:tcPr>
            <w:tcW w:w="2835" w:type="dxa"/>
          </w:tcPr>
          <w:p w14:paraId="46475291" w14:textId="7E51D2ED" w:rsidR="00960A13" w:rsidRPr="009E1361" w:rsidRDefault="00960A13" w:rsidP="00A677C9">
            <w:pPr>
              <w:spacing w:before="240" w:after="240"/>
            </w:pPr>
            <w:r w:rsidRPr="009E1361">
              <w:t>$9,924.</w:t>
            </w:r>
            <w:r w:rsidR="00927625">
              <w:t>35</w:t>
            </w:r>
          </w:p>
        </w:tc>
        <w:tc>
          <w:tcPr>
            <w:tcW w:w="3492" w:type="dxa"/>
          </w:tcPr>
          <w:p w14:paraId="3937547A" w14:textId="5C9700EC" w:rsidR="00960A13" w:rsidRPr="009E1361" w:rsidRDefault="00960A13" w:rsidP="00A677C9">
            <w:pPr>
              <w:spacing w:before="240" w:after="240"/>
            </w:pPr>
            <w:r w:rsidRPr="009E1361">
              <w:t>$39,697.</w:t>
            </w:r>
            <w:r w:rsidR="00F845EB">
              <w:t>40</w:t>
            </w:r>
          </w:p>
        </w:tc>
      </w:tr>
      <w:tr w:rsidR="00960A13" w:rsidRPr="009E1361" w14:paraId="5B3876BF" w14:textId="77777777">
        <w:tc>
          <w:tcPr>
            <w:tcW w:w="2689" w:type="dxa"/>
            <w:shd w:val="clear" w:color="auto" w:fill="002060"/>
          </w:tcPr>
          <w:p w14:paraId="02B5C92B" w14:textId="77777777" w:rsidR="00960A13" w:rsidRPr="009529A9" w:rsidRDefault="00960A13" w:rsidP="00A677C9">
            <w:pPr>
              <w:spacing w:before="240" w:after="240"/>
              <w:rPr>
                <w:color w:val="FFFFFF" w:themeColor="background1"/>
              </w:rPr>
            </w:pPr>
            <w:r w:rsidRPr="009529A9">
              <w:rPr>
                <w:color w:val="FFFFFF" w:themeColor="background1"/>
              </w:rPr>
              <w:t>6</w:t>
            </w:r>
          </w:p>
        </w:tc>
        <w:tc>
          <w:tcPr>
            <w:tcW w:w="2835" w:type="dxa"/>
          </w:tcPr>
          <w:p w14:paraId="12F33903" w14:textId="166B5C96" w:rsidR="00960A13" w:rsidRPr="009E1361" w:rsidRDefault="00960A13" w:rsidP="00A677C9">
            <w:pPr>
              <w:spacing w:before="240" w:after="240"/>
            </w:pPr>
            <w:r w:rsidRPr="009E1361">
              <w:t>$12,028.</w:t>
            </w:r>
            <w:r w:rsidR="00927625">
              <w:t>58</w:t>
            </w:r>
          </w:p>
        </w:tc>
        <w:tc>
          <w:tcPr>
            <w:tcW w:w="3492" w:type="dxa"/>
          </w:tcPr>
          <w:p w14:paraId="17DED906" w14:textId="28127C79" w:rsidR="00960A13" w:rsidRPr="009E1361" w:rsidRDefault="00960A13" w:rsidP="00A677C9">
            <w:pPr>
              <w:spacing w:before="240" w:after="240"/>
            </w:pPr>
            <w:r w:rsidRPr="009E1361">
              <w:t>$48,11</w:t>
            </w:r>
            <w:r w:rsidR="00F845EB">
              <w:t>4.30</w:t>
            </w:r>
          </w:p>
        </w:tc>
      </w:tr>
      <w:tr w:rsidR="00960A13" w:rsidRPr="009E1361" w14:paraId="02C719B6" w14:textId="77777777">
        <w:tc>
          <w:tcPr>
            <w:tcW w:w="2689" w:type="dxa"/>
            <w:shd w:val="clear" w:color="auto" w:fill="002060"/>
          </w:tcPr>
          <w:p w14:paraId="203066BD" w14:textId="77777777" w:rsidR="00960A13" w:rsidRPr="009529A9" w:rsidRDefault="00960A13" w:rsidP="00A677C9">
            <w:pPr>
              <w:spacing w:before="240" w:after="240"/>
              <w:rPr>
                <w:color w:val="FFFFFF" w:themeColor="background1"/>
              </w:rPr>
            </w:pPr>
            <w:r w:rsidRPr="009529A9">
              <w:rPr>
                <w:color w:val="FFFFFF" w:themeColor="background1"/>
              </w:rPr>
              <w:t>7</w:t>
            </w:r>
          </w:p>
        </w:tc>
        <w:tc>
          <w:tcPr>
            <w:tcW w:w="2835" w:type="dxa"/>
          </w:tcPr>
          <w:p w14:paraId="7BE222F8" w14:textId="1391880A" w:rsidR="00960A13" w:rsidRPr="009E1361" w:rsidRDefault="00960A13" w:rsidP="00A677C9">
            <w:pPr>
              <w:spacing w:before="240" w:after="240"/>
            </w:pPr>
            <w:r w:rsidRPr="009E1361">
              <w:t>$14,53</w:t>
            </w:r>
            <w:r w:rsidR="00927625">
              <w:t>7.04</w:t>
            </w:r>
          </w:p>
        </w:tc>
        <w:tc>
          <w:tcPr>
            <w:tcW w:w="3492" w:type="dxa"/>
          </w:tcPr>
          <w:p w14:paraId="2D647AC8" w14:textId="526A2E45" w:rsidR="00960A13" w:rsidRPr="009E1361" w:rsidRDefault="00960A13" w:rsidP="00A677C9">
            <w:pPr>
              <w:spacing w:before="240" w:after="240"/>
            </w:pPr>
            <w:r w:rsidRPr="009E1361">
              <w:t>$58,14</w:t>
            </w:r>
            <w:r w:rsidR="00F845EB">
              <w:t>8.15</w:t>
            </w:r>
          </w:p>
        </w:tc>
      </w:tr>
      <w:tr w:rsidR="00960A13" w:rsidRPr="009E1361" w14:paraId="04F1868C" w14:textId="77777777">
        <w:tc>
          <w:tcPr>
            <w:tcW w:w="2689" w:type="dxa"/>
            <w:shd w:val="clear" w:color="auto" w:fill="002060"/>
          </w:tcPr>
          <w:p w14:paraId="2B32006F" w14:textId="77777777" w:rsidR="00960A13" w:rsidRPr="009529A9" w:rsidRDefault="00960A13" w:rsidP="00A677C9">
            <w:pPr>
              <w:spacing w:before="240" w:after="240"/>
              <w:rPr>
                <w:color w:val="FFFFFF" w:themeColor="background1"/>
              </w:rPr>
            </w:pPr>
            <w:r w:rsidRPr="009529A9">
              <w:rPr>
                <w:color w:val="FFFFFF" w:themeColor="background1"/>
              </w:rPr>
              <w:t>8</w:t>
            </w:r>
          </w:p>
        </w:tc>
        <w:tc>
          <w:tcPr>
            <w:tcW w:w="2835" w:type="dxa"/>
          </w:tcPr>
          <w:p w14:paraId="38476756" w14:textId="221E633B" w:rsidR="00960A13" w:rsidRPr="009E1361" w:rsidRDefault="00960A13" w:rsidP="00A677C9">
            <w:pPr>
              <w:spacing w:before="240" w:after="240"/>
            </w:pPr>
            <w:r w:rsidRPr="009E1361">
              <w:t>$19,526.</w:t>
            </w:r>
            <w:r w:rsidR="00927625">
              <w:t>59</w:t>
            </w:r>
          </w:p>
        </w:tc>
        <w:tc>
          <w:tcPr>
            <w:tcW w:w="3492" w:type="dxa"/>
          </w:tcPr>
          <w:p w14:paraId="265423E3" w14:textId="392837C3" w:rsidR="00960A13" w:rsidRPr="009E1361" w:rsidRDefault="00960A13" w:rsidP="00A677C9">
            <w:pPr>
              <w:spacing w:before="240" w:after="240"/>
            </w:pPr>
            <w:r w:rsidRPr="009E1361">
              <w:t>$78,106.</w:t>
            </w:r>
            <w:r w:rsidR="00F845EB">
              <w:t>35</w:t>
            </w:r>
          </w:p>
        </w:tc>
      </w:tr>
      <w:tr w:rsidR="00960A13" w:rsidRPr="009E1361" w14:paraId="639BD9AF" w14:textId="77777777">
        <w:tc>
          <w:tcPr>
            <w:tcW w:w="2689" w:type="dxa"/>
            <w:shd w:val="clear" w:color="auto" w:fill="002060"/>
          </w:tcPr>
          <w:p w14:paraId="40C35C7C" w14:textId="77777777" w:rsidR="00960A13" w:rsidRPr="009529A9" w:rsidRDefault="00960A13" w:rsidP="00A677C9">
            <w:pPr>
              <w:spacing w:before="240" w:after="240"/>
              <w:rPr>
                <w:color w:val="FFFFFF" w:themeColor="background1"/>
              </w:rPr>
            </w:pPr>
            <w:r w:rsidRPr="009529A9">
              <w:rPr>
                <w:color w:val="FFFFFF" w:themeColor="background1"/>
              </w:rPr>
              <w:t>Restorative Care Pathway</w:t>
            </w:r>
          </w:p>
        </w:tc>
        <w:tc>
          <w:tcPr>
            <w:tcW w:w="6327" w:type="dxa"/>
            <w:gridSpan w:val="2"/>
          </w:tcPr>
          <w:p w14:paraId="21BFE0A8" w14:textId="7E6C1FBD" w:rsidR="00960A13" w:rsidRPr="009E1361" w:rsidRDefault="00960A13" w:rsidP="00A677C9">
            <w:pPr>
              <w:spacing w:before="240" w:after="240"/>
            </w:pPr>
            <w:r w:rsidRPr="009E1361">
              <w:t>$6,011.</w:t>
            </w:r>
            <w:r w:rsidR="00B4061A">
              <w:t>04</w:t>
            </w:r>
            <w:r w:rsidRPr="009E1361">
              <w:t xml:space="preserve"> (up to 16 weeks)</w:t>
            </w:r>
          </w:p>
          <w:p w14:paraId="591A5E2D" w14:textId="77777777" w:rsidR="00960A13" w:rsidRPr="009E1361" w:rsidRDefault="00960A13" w:rsidP="00A677C9">
            <w:pPr>
              <w:spacing w:before="240" w:after="240"/>
            </w:pPr>
            <w:r w:rsidRPr="009E1361">
              <w:t>May be increased to $12,000 when eligible and if units of funding are available</w:t>
            </w:r>
          </w:p>
        </w:tc>
      </w:tr>
      <w:tr w:rsidR="00960A13" w:rsidRPr="009E1361" w14:paraId="30C46CF4" w14:textId="77777777">
        <w:tc>
          <w:tcPr>
            <w:tcW w:w="2689" w:type="dxa"/>
            <w:shd w:val="clear" w:color="auto" w:fill="002060"/>
          </w:tcPr>
          <w:p w14:paraId="6CFAF9A5" w14:textId="77777777" w:rsidR="00960A13" w:rsidRPr="009529A9" w:rsidRDefault="00960A13" w:rsidP="00A677C9">
            <w:pPr>
              <w:spacing w:before="240" w:after="240"/>
              <w:rPr>
                <w:color w:val="FFFFFF" w:themeColor="background1"/>
              </w:rPr>
            </w:pPr>
            <w:r w:rsidRPr="009529A9">
              <w:rPr>
                <w:color w:val="FFFFFF" w:themeColor="background1"/>
              </w:rPr>
              <w:t>End-of-Life Pathway</w:t>
            </w:r>
          </w:p>
        </w:tc>
        <w:tc>
          <w:tcPr>
            <w:tcW w:w="6327" w:type="dxa"/>
            <w:gridSpan w:val="2"/>
          </w:tcPr>
          <w:p w14:paraId="73481E6F" w14:textId="3B9AA461" w:rsidR="00960A13" w:rsidRPr="009E1361" w:rsidRDefault="00960A13" w:rsidP="00A677C9">
            <w:pPr>
              <w:spacing w:before="240" w:after="240"/>
            </w:pPr>
            <w:r w:rsidRPr="009E1361">
              <w:t>$25,035.</w:t>
            </w:r>
            <w:r w:rsidR="0049628C">
              <w:t>36</w:t>
            </w:r>
            <w:r w:rsidRPr="009E1361">
              <w:t xml:space="preserve"> (up to 16 weeks)</w:t>
            </w:r>
          </w:p>
        </w:tc>
      </w:tr>
      <w:tr w:rsidR="00960A13" w:rsidRPr="009E1361" w14:paraId="60857DA8" w14:textId="77777777">
        <w:tc>
          <w:tcPr>
            <w:tcW w:w="2689" w:type="dxa"/>
            <w:shd w:val="clear" w:color="auto" w:fill="002060"/>
          </w:tcPr>
          <w:p w14:paraId="7A94A461" w14:textId="77777777" w:rsidR="00960A13" w:rsidRPr="009529A9" w:rsidRDefault="00960A13" w:rsidP="00A677C9">
            <w:pPr>
              <w:spacing w:before="240" w:after="240"/>
              <w:rPr>
                <w:color w:val="FFFFFF" w:themeColor="background1"/>
              </w:rPr>
            </w:pPr>
            <w:r w:rsidRPr="009529A9">
              <w:rPr>
                <w:color w:val="FFFFFF" w:themeColor="background1"/>
              </w:rPr>
              <w:t>Assistive technology short-term (12months)</w:t>
            </w:r>
          </w:p>
        </w:tc>
        <w:tc>
          <w:tcPr>
            <w:tcW w:w="6327" w:type="dxa"/>
            <w:gridSpan w:val="2"/>
          </w:tcPr>
          <w:p w14:paraId="337311FA" w14:textId="4D0C2004" w:rsidR="00960A13" w:rsidRPr="009E1361" w:rsidRDefault="00960A13" w:rsidP="00A677C9">
            <w:pPr>
              <w:spacing w:before="240" w:after="240"/>
            </w:pPr>
            <w:r w:rsidRPr="009E1361">
              <w:t>Low ($500), medium ($2,000) and high ($15,000) funding tiers based on assessed need. A higher amount maybe approved with a valid prescription from a suitably qualified health professional.  For progressive condition bundles, funding is available for 24 months (may be extended for another 24 months if required with declaration).</w:t>
            </w:r>
          </w:p>
        </w:tc>
      </w:tr>
      <w:tr w:rsidR="00960A13" w:rsidRPr="009E1361" w14:paraId="0481C48C" w14:textId="77777777">
        <w:trPr>
          <w:trHeight w:val="300"/>
        </w:trPr>
        <w:tc>
          <w:tcPr>
            <w:tcW w:w="2689" w:type="dxa"/>
            <w:shd w:val="clear" w:color="auto" w:fill="002060"/>
          </w:tcPr>
          <w:p w14:paraId="7C328E10" w14:textId="77777777" w:rsidR="00960A13" w:rsidRPr="009529A9" w:rsidRDefault="00960A13" w:rsidP="00A677C9">
            <w:pPr>
              <w:spacing w:before="240" w:after="240"/>
              <w:rPr>
                <w:color w:val="FFFFFF" w:themeColor="background1"/>
              </w:rPr>
            </w:pPr>
            <w:r w:rsidRPr="009529A9">
              <w:rPr>
                <w:color w:val="FFFFFF" w:themeColor="background1"/>
              </w:rPr>
              <w:t>Assistive technology</w:t>
            </w:r>
          </w:p>
          <w:p w14:paraId="3A80FB91" w14:textId="77777777" w:rsidR="00960A13" w:rsidRPr="009529A9" w:rsidRDefault="00960A13" w:rsidP="00A677C9">
            <w:pPr>
              <w:spacing w:before="240" w:after="240"/>
              <w:rPr>
                <w:color w:val="FFFFFF" w:themeColor="background1"/>
              </w:rPr>
            </w:pPr>
            <w:r w:rsidRPr="009529A9">
              <w:rPr>
                <w:color w:val="FFFFFF" w:themeColor="background1"/>
              </w:rPr>
              <w:t>On-going</w:t>
            </w:r>
          </w:p>
        </w:tc>
        <w:tc>
          <w:tcPr>
            <w:tcW w:w="6327" w:type="dxa"/>
            <w:gridSpan w:val="2"/>
          </w:tcPr>
          <w:p w14:paraId="013FB7FB" w14:textId="77777777" w:rsidR="00960A13" w:rsidRPr="009E1361" w:rsidRDefault="00960A13" w:rsidP="00A677C9">
            <w:pPr>
              <w:spacing w:before="240" w:after="240"/>
            </w:pPr>
            <w:r w:rsidRPr="009E1361">
              <w:t>Assistance dogs $2,000 per year</w:t>
            </w:r>
          </w:p>
        </w:tc>
      </w:tr>
      <w:tr w:rsidR="00960A13" w:rsidRPr="009E1361" w14:paraId="416E7657" w14:textId="77777777">
        <w:trPr>
          <w:trHeight w:val="300"/>
        </w:trPr>
        <w:tc>
          <w:tcPr>
            <w:tcW w:w="2689" w:type="dxa"/>
            <w:shd w:val="clear" w:color="auto" w:fill="002060"/>
          </w:tcPr>
          <w:p w14:paraId="015DD05C" w14:textId="77777777" w:rsidR="00960A13" w:rsidRPr="009529A9" w:rsidRDefault="00960A13" w:rsidP="00A677C9">
            <w:pPr>
              <w:spacing w:before="240" w:after="240"/>
              <w:rPr>
                <w:color w:val="FFFFFF" w:themeColor="background1"/>
              </w:rPr>
            </w:pPr>
            <w:r w:rsidRPr="009529A9">
              <w:rPr>
                <w:color w:val="FFFFFF" w:themeColor="background1"/>
              </w:rPr>
              <w:t>Home modifications</w:t>
            </w:r>
          </w:p>
          <w:p w14:paraId="070EF974" w14:textId="77777777" w:rsidR="00960A13" w:rsidRPr="009529A9" w:rsidRDefault="00960A13" w:rsidP="00A677C9">
            <w:pPr>
              <w:spacing w:before="240" w:after="240"/>
              <w:rPr>
                <w:color w:val="FFFFFF" w:themeColor="background1"/>
              </w:rPr>
            </w:pPr>
            <w:r w:rsidRPr="009529A9">
              <w:rPr>
                <w:color w:val="FFFFFF" w:themeColor="background1"/>
              </w:rPr>
              <w:t>Short-term (12 months)</w:t>
            </w:r>
          </w:p>
          <w:p w14:paraId="648488CB" w14:textId="77777777" w:rsidR="00960A13" w:rsidRPr="009529A9" w:rsidRDefault="00960A13" w:rsidP="00A677C9">
            <w:pPr>
              <w:spacing w:before="240" w:after="240"/>
              <w:rPr>
                <w:color w:val="FFFFFF" w:themeColor="background1"/>
              </w:rPr>
            </w:pPr>
          </w:p>
        </w:tc>
        <w:tc>
          <w:tcPr>
            <w:tcW w:w="6327" w:type="dxa"/>
            <w:gridSpan w:val="2"/>
          </w:tcPr>
          <w:p w14:paraId="4B80C9B6" w14:textId="77777777" w:rsidR="00960A13" w:rsidRPr="009E1361" w:rsidRDefault="00960A13" w:rsidP="00A677C9">
            <w:pPr>
              <w:spacing w:before="240" w:after="240"/>
            </w:pPr>
            <w:r w:rsidRPr="009E1361">
              <w:t xml:space="preserve">Low ($500), medium ($2,000) and high ($15,000) funding tiers based on assessed need.  </w:t>
            </w:r>
          </w:p>
          <w:p w14:paraId="26C728A1" w14:textId="42001017" w:rsidR="00960A13" w:rsidRPr="009E1361" w:rsidRDefault="00960A13" w:rsidP="00A677C9">
            <w:pPr>
              <w:spacing w:before="240" w:after="240"/>
            </w:pPr>
            <w:r w:rsidRPr="009E1361">
              <w:t>Providers may apply for a funding tier time extension of an additional 12 months for HM high tier (24 months in total).</w:t>
            </w:r>
          </w:p>
        </w:tc>
      </w:tr>
    </w:tbl>
    <w:p w14:paraId="407AB652" w14:textId="7381EB44" w:rsidR="00960A13" w:rsidRPr="009E1361" w:rsidRDefault="00960A13" w:rsidP="00A677C9">
      <w:pPr>
        <w:spacing w:before="240" w:after="240" w:line="240" w:lineRule="auto"/>
      </w:pPr>
      <w:r w:rsidRPr="009E1361">
        <w:t xml:space="preserve">A </w:t>
      </w:r>
      <w:r w:rsidR="00F85986">
        <w:t xml:space="preserve">participant’s </w:t>
      </w:r>
      <w:r w:rsidRPr="009E1361">
        <w:t>annual Support at Home budget is divided into quarterly (3-monthly) budgets. Older people receiving Support at Home (known as participants) can carry over unspent funds of up to $1,000 or 10% of the quarterly budget (whichever is greater) from one quarter to the next.</w:t>
      </w:r>
    </w:p>
    <w:p w14:paraId="3EB146CC" w14:textId="77777777" w:rsidR="00960A13" w:rsidRPr="009E1361" w:rsidRDefault="00960A13" w:rsidP="00A677C9">
      <w:pPr>
        <w:spacing w:before="240" w:after="240" w:line="240" w:lineRule="auto"/>
      </w:pPr>
      <w:r w:rsidRPr="009E1361">
        <w:t>These budgets are segmented into quarterly allocations to provide tailored support based on the participant's classification.</w:t>
      </w:r>
    </w:p>
    <w:p w14:paraId="31F5E63D" w14:textId="77777777" w:rsidR="00960A13" w:rsidRPr="009E1361" w:rsidRDefault="00960A13" w:rsidP="00A677C9">
      <w:pPr>
        <w:spacing w:before="240" w:after="240" w:line="240" w:lineRule="auto"/>
      </w:pPr>
      <w:r w:rsidRPr="009E1361">
        <w:t>Ten percent (10%) will be deducted from each participant's quarterly budget for care management delivered by their service provider. Care management involves:</w:t>
      </w:r>
    </w:p>
    <w:p w14:paraId="418E7BBD" w14:textId="77777777" w:rsidR="00960A13" w:rsidRPr="009E1361" w:rsidRDefault="00960A13" w:rsidP="00DF3F6B">
      <w:pPr>
        <w:pStyle w:val="ListParagraph"/>
        <w:numPr>
          <w:ilvl w:val="0"/>
          <w:numId w:val="150"/>
        </w:numPr>
        <w:spacing w:before="240" w:after="240" w:line="240" w:lineRule="auto"/>
      </w:pPr>
      <w:r w:rsidRPr="009E1361">
        <w:t>planning and coordinating services</w:t>
      </w:r>
    </w:p>
    <w:p w14:paraId="122DE9BD" w14:textId="77777777" w:rsidR="00960A13" w:rsidRPr="009E1361" w:rsidRDefault="00960A13" w:rsidP="00DF3F6B">
      <w:pPr>
        <w:pStyle w:val="ListParagraph"/>
        <w:numPr>
          <w:ilvl w:val="0"/>
          <w:numId w:val="150"/>
        </w:numPr>
        <w:spacing w:before="240" w:after="240" w:line="240" w:lineRule="auto"/>
      </w:pPr>
      <w:r w:rsidRPr="009E1361">
        <w:t>checking in with participants to ensure they are being well supported</w:t>
      </w:r>
    </w:p>
    <w:p w14:paraId="066CB69B" w14:textId="77777777" w:rsidR="00960A13" w:rsidRPr="009E1361" w:rsidRDefault="00960A13" w:rsidP="00DF3F6B">
      <w:pPr>
        <w:pStyle w:val="ListParagraph"/>
        <w:numPr>
          <w:ilvl w:val="0"/>
          <w:numId w:val="150"/>
        </w:numPr>
        <w:spacing w:before="240" w:after="240" w:line="240" w:lineRule="auto"/>
      </w:pPr>
      <w:r w:rsidRPr="009E1361">
        <w:t>clinical advice and practical support to address any changes in need or issues that arise</w:t>
      </w:r>
    </w:p>
    <w:p w14:paraId="13A5FB9A" w14:textId="3B388718" w:rsidR="00960A13" w:rsidRPr="009E1361" w:rsidRDefault="0096469D" w:rsidP="00DF3F6B">
      <w:pPr>
        <w:pStyle w:val="ListParagraph"/>
        <w:numPr>
          <w:ilvl w:val="0"/>
          <w:numId w:val="150"/>
        </w:numPr>
        <w:spacing w:before="240" w:after="240" w:line="240" w:lineRule="auto"/>
      </w:pPr>
      <w:r w:rsidRPr="005E4E0E">
        <w:rPr>
          <w:bCs/>
          <w:noProof/>
        </w:rPr>
        <w:drawing>
          <wp:anchor distT="0" distB="0" distL="114300" distR="114300" simplePos="0" relativeHeight="251658282" behindDoc="0" locked="0" layoutInCell="1" allowOverlap="1" wp14:anchorId="6368BCED" wp14:editId="6D248023">
            <wp:simplePos x="0" y="0"/>
            <wp:positionH relativeFrom="margin">
              <wp:posOffset>38911</wp:posOffset>
            </wp:positionH>
            <wp:positionV relativeFrom="paragraph">
              <wp:posOffset>224533</wp:posOffset>
            </wp:positionV>
            <wp:extent cx="457200" cy="502920"/>
            <wp:effectExtent l="0" t="0" r="0" b="0"/>
            <wp:wrapSquare wrapText="bothSides"/>
            <wp:docPr id="1999565050" name="Picture 199956505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960A13" w:rsidRPr="009E1361">
        <w:t>providing support and education where needed.</w:t>
      </w:r>
    </w:p>
    <w:p w14:paraId="0A6C35CD" w14:textId="47048FEF" w:rsidR="4650FF9A" w:rsidRDefault="4650FF9A" w:rsidP="00B1522B">
      <w:pPr>
        <w:pStyle w:val="H4"/>
      </w:pPr>
      <w:r>
        <w:t>Support at Home funding and finding a provider</w:t>
      </w:r>
    </w:p>
    <w:p w14:paraId="51255B1E" w14:textId="7F116DAD" w:rsidR="56C63D43" w:rsidRDefault="56C63D43" w:rsidP="00B1522B">
      <w:pPr>
        <w:spacing w:before="240" w:after="240" w:line="240" w:lineRule="auto"/>
      </w:pPr>
      <w:r>
        <w:t xml:space="preserve">When funding (including interim funding) becomes available and is allocated, the eligible participant will receive a letter notifying them that they have been allocated Support at Home funding. After funding has been allocated, participants have 56 calendar days from the date their funding was allocated to find a </w:t>
      </w:r>
      <w:r w:rsidR="00E74902">
        <w:t>provider, and</w:t>
      </w:r>
      <w:r>
        <w:t xml:space="preserve"> </w:t>
      </w:r>
      <w:r w:rsidR="1F2B88A0">
        <w:t>start services</w:t>
      </w:r>
      <w:r>
        <w:t>.</w:t>
      </w:r>
    </w:p>
    <w:p w14:paraId="173F3B4B" w14:textId="78EDF76B" w:rsidR="56C63D43" w:rsidRDefault="56C63D43" w:rsidP="30160E36">
      <w:pPr>
        <w:spacing w:before="240" w:after="240" w:line="240" w:lineRule="auto"/>
      </w:pPr>
      <w:r>
        <w:t xml:space="preserve">If a participant wants more time to find a suitable provider, they can contact My Aged Care and request a 28 day extension, giving them a total of 84 calendar days to </w:t>
      </w:r>
      <w:r w:rsidR="6B9E321C">
        <w:t>start services</w:t>
      </w:r>
      <w:r>
        <w:t xml:space="preserve">. </w:t>
      </w:r>
    </w:p>
    <w:p w14:paraId="163D3228" w14:textId="2D2F439E" w:rsidR="56C63D43" w:rsidRDefault="56C63D43" w:rsidP="47BC12B3">
      <w:pPr>
        <w:spacing w:before="240" w:after="240" w:line="240" w:lineRule="auto"/>
      </w:pPr>
      <w:r>
        <w:t xml:space="preserve">If a participant has not </w:t>
      </w:r>
      <w:r w:rsidR="77184F12">
        <w:t>started services</w:t>
      </w:r>
      <w:r>
        <w:t xml:space="preserve"> within 56 calendar days (or 84 calendar days with the extension), the</w:t>
      </w:r>
      <w:r w:rsidR="13594052">
        <w:t>ir Support at Home</w:t>
      </w:r>
      <w:r>
        <w:t xml:space="preserve"> funding is withdrawn.</w:t>
      </w:r>
      <w:r w:rsidR="3AEA1FA3">
        <w:t xml:space="preserve"> </w:t>
      </w:r>
      <w:r>
        <w:t xml:space="preserve">This means funding for their classification is no longer available and providers cannot provide government-funded services. </w:t>
      </w:r>
    </w:p>
    <w:p w14:paraId="6C29518C" w14:textId="21900A6C" w:rsidR="34D6828A" w:rsidRDefault="56C63D43" w:rsidP="47BC12B3">
      <w:pPr>
        <w:spacing w:before="240" w:after="240" w:line="240" w:lineRule="auto"/>
      </w:pPr>
      <w:r>
        <w:t>If the</w:t>
      </w:r>
      <w:r w:rsidR="20188CF2">
        <w:t xml:space="preserve"> participant</w:t>
      </w:r>
      <w:r>
        <w:t xml:space="preserve"> later decide</w:t>
      </w:r>
      <w:r w:rsidR="751FCBC3">
        <w:t>s</w:t>
      </w:r>
      <w:r>
        <w:t xml:space="preserve"> they want to receive Support at Home services</w:t>
      </w:r>
      <w:r w:rsidR="76460399">
        <w:t>,</w:t>
      </w:r>
      <w:r>
        <w:t xml:space="preserve"> they need to re-join the Support at Home Priority System by contacting My Aged Care. People who re-join the Support at Home Priority System will have their date of entry recorded as the date they were originally approved for Support at Home. Refer to Page 54 of the Support a</w:t>
      </w:r>
      <w:r w:rsidR="3064CDB4">
        <w:t>t</w:t>
      </w:r>
      <w:r>
        <w:t xml:space="preserve"> Home program manual</w:t>
      </w:r>
      <w:r w:rsidR="18302065">
        <w:t xml:space="preserve"> for more information</w:t>
      </w:r>
      <w:r>
        <w:t>.</w:t>
      </w:r>
    </w:p>
    <w:tbl>
      <w:tblPr>
        <w:tblStyle w:val="TableGrid"/>
        <w:tblW w:w="0" w:type="auto"/>
        <w:tblLook w:val="04A0" w:firstRow="1" w:lastRow="0" w:firstColumn="1" w:lastColumn="0" w:noHBand="0" w:noVBand="1"/>
      </w:tblPr>
      <w:tblGrid>
        <w:gridCol w:w="986"/>
        <w:gridCol w:w="7780"/>
      </w:tblGrid>
      <w:tr w:rsidR="00960A13" w:rsidRPr="009E1361" w14:paraId="7412064B" w14:textId="77777777">
        <w:trPr>
          <w:trHeight w:val="300"/>
        </w:trPr>
        <w:tc>
          <w:tcPr>
            <w:tcW w:w="988" w:type="dxa"/>
          </w:tcPr>
          <w:p w14:paraId="61B20BA0" w14:textId="77777777" w:rsidR="00960A13" w:rsidRPr="009E1361" w:rsidRDefault="00960A13" w:rsidP="00A677C9">
            <w:pPr>
              <w:spacing w:before="240" w:after="240"/>
            </w:pPr>
            <w:r w:rsidRPr="009E1361">
              <w:rPr>
                <w:noProof/>
              </w:rPr>
              <w:drawing>
                <wp:inline distT="0" distB="0" distL="0" distR="0" wp14:anchorId="3101F1A9" wp14:editId="32A0A913">
                  <wp:extent cx="447675" cy="438150"/>
                  <wp:effectExtent l="0" t="0" r="0" b="0"/>
                  <wp:docPr id="605718308" name="Picture 60571830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0674DA50" w14:textId="77777777" w:rsidR="00960A13" w:rsidRPr="009E1361" w:rsidRDefault="00960A13" w:rsidP="00A677C9">
            <w:pPr>
              <w:spacing w:before="240" w:after="240"/>
            </w:pPr>
          </w:p>
          <w:p w14:paraId="178C1518" w14:textId="0681DBA3" w:rsidR="00960A13" w:rsidRPr="009E1361" w:rsidRDefault="00960A13" w:rsidP="00A677C9">
            <w:pPr>
              <w:spacing w:before="240" w:after="240"/>
            </w:pPr>
            <w:hyperlink r:id="rId167">
              <w:r w:rsidRPr="009E1361">
                <w:rPr>
                  <w:rStyle w:val="Hyperlink"/>
                </w:rPr>
                <w:t>Support at Home Program Manual</w:t>
              </w:r>
            </w:hyperlink>
            <w:r w:rsidRPr="009E1361">
              <w:t xml:space="preserve">  </w:t>
            </w:r>
          </w:p>
        </w:tc>
      </w:tr>
    </w:tbl>
    <w:p w14:paraId="72885D82" w14:textId="11CFF82A" w:rsidR="00960A13" w:rsidRDefault="00960A13" w:rsidP="00C325C6">
      <w:pPr>
        <w:pStyle w:val="Sub-headings"/>
      </w:pPr>
      <w:r>
        <w:t xml:space="preserve">An Assessor’s </w:t>
      </w:r>
      <w:r w:rsidR="004F3055">
        <w:t>r</w:t>
      </w:r>
      <w:r>
        <w:t>ole in budget planning and contributions</w:t>
      </w:r>
    </w:p>
    <w:p w14:paraId="5063DDBA" w14:textId="77777777" w:rsidR="00697B4D" w:rsidRPr="00B6790C" w:rsidRDefault="00960A13" w:rsidP="00C325C6">
      <w:pPr>
        <w:pStyle w:val="Sub-headings"/>
      </w:pPr>
      <w:r w:rsidRPr="00B6790C">
        <w:t xml:space="preserve">Assessors are not expected to develop detailed budget plans or explain contributions with Support at Home participants. The assessor may wish to give a high-level overview based on the information in this guidance document and direct their client to the Support at Home fee estimator tool. </w:t>
      </w:r>
    </w:p>
    <w:p w14:paraId="74784493" w14:textId="23FB07E3" w:rsidR="00960A13" w:rsidRPr="00B6790C" w:rsidRDefault="00960A13" w:rsidP="00C325C6">
      <w:pPr>
        <w:pStyle w:val="Sub-headings"/>
        <w:rPr>
          <w:lang w:val="en-AU"/>
        </w:rPr>
      </w:pPr>
      <w:r w:rsidRPr="00B6790C">
        <w:t xml:space="preserve">A full fee estimator </w:t>
      </w:r>
      <w:r w:rsidR="00A457A2" w:rsidRPr="00B6790C">
        <w:t>is</w:t>
      </w:r>
      <w:r w:rsidRPr="00B6790C">
        <w:t xml:space="preserve"> available </w:t>
      </w:r>
      <w:r w:rsidR="00B96011" w:rsidRPr="00B6790C">
        <w:t>via</w:t>
      </w:r>
      <w:r w:rsidR="00A457A2" w:rsidRPr="00B6790C">
        <w:t xml:space="preserve"> the department’s website </w:t>
      </w:r>
      <w:r w:rsidR="00B96011" w:rsidRPr="00B6790C">
        <w:rPr>
          <w:lang w:val="en-AU"/>
        </w:rPr>
        <w:t>myagedcare.gov.au/support-at-home-fee-estimator</w:t>
      </w:r>
      <w:r w:rsidRPr="00B6790C">
        <w:t>. This tool will allow people to plan budgets and estimate their contributions.</w:t>
      </w:r>
    </w:p>
    <w:p w14:paraId="44EBC173" w14:textId="786ECCEE" w:rsidR="00960A13" w:rsidRPr="00B6790C" w:rsidRDefault="00960A13" w:rsidP="00C325C6">
      <w:pPr>
        <w:pStyle w:val="Sub-headings"/>
      </w:pPr>
      <w:r w:rsidRPr="00B6790C">
        <w:t>The assessor should emphasise that there will be an opportunity to discuss contributions further with their registered provider’s care partner. A budget must be developed between the participant and their provider alongside the development of the care plan. The budget must outline how funding for participant’s ongoing and/or short-term services will be spent in relation to the types and frequency of services outlined in their care plan, as well as any contributions for services to be delivered.</w:t>
      </w:r>
    </w:p>
    <w:p w14:paraId="5288FD7B" w14:textId="1B57792C" w:rsidR="00CC562B" w:rsidRPr="009E1361" w:rsidRDefault="00CC562B" w:rsidP="00CC562B">
      <w:r>
        <w:br w:type="page"/>
      </w:r>
    </w:p>
    <w:p w14:paraId="236930F8" w14:textId="42A6B1A3" w:rsidR="00960A13" w:rsidRPr="009E1361" w:rsidRDefault="00960A13" w:rsidP="00C56CEC">
      <w:pPr>
        <w:pStyle w:val="H3"/>
        <w:rPr>
          <w:i/>
        </w:rPr>
      </w:pPr>
      <w:r w:rsidRPr="009E1361">
        <w:t xml:space="preserve">The Support at Home </w:t>
      </w:r>
      <w:r w:rsidR="00E12C59">
        <w:t>P</w:t>
      </w:r>
      <w:r w:rsidRPr="009E1361">
        <w:t xml:space="preserve">riority </w:t>
      </w:r>
      <w:r w:rsidR="00E12C59">
        <w:t>S</w:t>
      </w:r>
      <w:r w:rsidRPr="009E1361">
        <w:t>ystem</w:t>
      </w:r>
    </w:p>
    <w:p w14:paraId="15886BEB" w14:textId="77777777" w:rsidR="00960A13" w:rsidRPr="009E1361" w:rsidRDefault="00960A13" w:rsidP="00A677C9">
      <w:pPr>
        <w:spacing w:before="240" w:after="240" w:line="240" w:lineRule="auto"/>
      </w:pPr>
      <w:r w:rsidRPr="009E1361">
        <w:t xml:space="preserve">An older person approved to access ongoing Support at Home services (SAH classifications 1 to 8) will enter the Support at Home Priority System in one of its four priority categories: </w:t>
      </w:r>
    </w:p>
    <w:p w14:paraId="2DA0D756" w14:textId="77777777" w:rsidR="00960A13" w:rsidRPr="009E1361" w:rsidRDefault="00960A13" w:rsidP="00DF3F6B">
      <w:pPr>
        <w:pStyle w:val="ListParagraph"/>
        <w:numPr>
          <w:ilvl w:val="0"/>
          <w:numId w:val="104"/>
        </w:numPr>
        <w:spacing w:before="240" w:after="240" w:line="240" w:lineRule="auto"/>
      </w:pPr>
      <w:r w:rsidRPr="009E1361">
        <w:t>Urgent</w:t>
      </w:r>
    </w:p>
    <w:p w14:paraId="0E71C43B" w14:textId="77777777" w:rsidR="00960A13" w:rsidRPr="009E1361" w:rsidRDefault="00960A13" w:rsidP="00DF3F6B">
      <w:pPr>
        <w:pStyle w:val="ListParagraph"/>
        <w:numPr>
          <w:ilvl w:val="0"/>
          <w:numId w:val="104"/>
        </w:numPr>
        <w:spacing w:before="240" w:after="240" w:line="240" w:lineRule="auto"/>
      </w:pPr>
      <w:r w:rsidRPr="009E1361">
        <w:t>High</w:t>
      </w:r>
    </w:p>
    <w:p w14:paraId="3D81B193" w14:textId="77777777" w:rsidR="00960A13" w:rsidRPr="009E1361" w:rsidRDefault="00960A13" w:rsidP="00DF3F6B">
      <w:pPr>
        <w:pStyle w:val="ListParagraph"/>
        <w:numPr>
          <w:ilvl w:val="0"/>
          <w:numId w:val="104"/>
        </w:numPr>
        <w:spacing w:before="240" w:after="240" w:line="240" w:lineRule="auto"/>
      </w:pPr>
      <w:r w:rsidRPr="009E1361">
        <w:t>Medium</w:t>
      </w:r>
    </w:p>
    <w:p w14:paraId="33861956" w14:textId="77777777" w:rsidR="00960A13" w:rsidRPr="009E1361" w:rsidRDefault="00960A13" w:rsidP="00DF3F6B">
      <w:pPr>
        <w:pStyle w:val="ListParagraph"/>
        <w:numPr>
          <w:ilvl w:val="0"/>
          <w:numId w:val="104"/>
        </w:numPr>
        <w:spacing w:before="240" w:after="240" w:line="240" w:lineRule="auto"/>
      </w:pPr>
      <w:r w:rsidRPr="009E1361">
        <w:t>Standard</w:t>
      </w:r>
    </w:p>
    <w:p w14:paraId="3A86D647" w14:textId="4F6D1EAE" w:rsidR="00960A13" w:rsidRPr="009E1361" w:rsidRDefault="00960A13" w:rsidP="00A677C9">
      <w:pPr>
        <w:spacing w:before="240" w:after="240" w:line="240" w:lineRule="auto"/>
      </w:pPr>
      <w:r w:rsidRPr="009E1361">
        <w:t>An older person’s priority category is based on the information collected during the aged care needs assessment. It is automatically calculated using the responses to six different criteria. The amount of time the older person waits to receive their funding will depend on the priority category they are given. The priority category will be displayed under ‘Approvals for a Client’ in the Assessor Portal.</w:t>
      </w:r>
    </w:p>
    <w:p w14:paraId="61D73A0F" w14:textId="568CDB00" w:rsidR="00960A13" w:rsidRPr="009E1361" w:rsidRDefault="00960A13" w:rsidP="00A677C9">
      <w:pPr>
        <w:spacing w:before="240" w:after="240" w:line="240" w:lineRule="auto"/>
      </w:pPr>
      <w:r w:rsidRPr="009E1361">
        <w:t>If an assessor makes changes to the following fields in an older person’s client profile after the priority category has been calculated and the person has been placed in the queue, the system will automatically recalculate the priority category and queue position: </w:t>
      </w:r>
    </w:p>
    <w:p w14:paraId="18DB2A3E" w14:textId="77777777" w:rsidR="00960A13" w:rsidRPr="009E1361" w:rsidRDefault="00960A13" w:rsidP="00DF3F6B">
      <w:pPr>
        <w:pStyle w:val="ListParagraph"/>
        <w:numPr>
          <w:ilvl w:val="0"/>
          <w:numId w:val="162"/>
        </w:numPr>
        <w:spacing w:before="240" w:after="240" w:line="240" w:lineRule="auto"/>
      </w:pPr>
      <w:r w:rsidRPr="009E1361">
        <w:t>Accommodation type</w:t>
      </w:r>
    </w:p>
    <w:p w14:paraId="2AF0495E" w14:textId="77777777" w:rsidR="00960A13" w:rsidRPr="009E1361" w:rsidRDefault="00960A13" w:rsidP="00DF3F6B">
      <w:pPr>
        <w:pStyle w:val="ListParagraph"/>
        <w:numPr>
          <w:ilvl w:val="0"/>
          <w:numId w:val="162"/>
        </w:numPr>
        <w:spacing w:before="240" w:after="240" w:line="240" w:lineRule="auto"/>
      </w:pPr>
      <w:r w:rsidRPr="009E1361">
        <w:t>No fixed address</w:t>
      </w:r>
    </w:p>
    <w:p w14:paraId="5F3B6181" w14:textId="77777777" w:rsidR="00960A13" w:rsidRPr="009E1361" w:rsidRDefault="00960A13" w:rsidP="00DF3F6B">
      <w:pPr>
        <w:pStyle w:val="ListParagraph"/>
        <w:numPr>
          <w:ilvl w:val="0"/>
          <w:numId w:val="162"/>
        </w:numPr>
        <w:spacing w:before="240" w:after="240" w:line="240" w:lineRule="auto"/>
      </w:pPr>
      <w:r w:rsidRPr="009E1361">
        <w:t>Lives with</w:t>
      </w:r>
    </w:p>
    <w:p w14:paraId="04188136" w14:textId="5F9AD819" w:rsidR="00960A13" w:rsidRPr="009E1361" w:rsidRDefault="00960A13" w:rsidP="00DF3F6B">
      <w:pPr>
        <w:pStyle w:val="ListParagraph"/>
        <w:numPr>
          <w:ilvl w:val="0"/>
          <w:numId w:val="162"/>
        </w:numPr>
        <w:spacing w:before="240" w:after="240" w:line="240" w:lineRule="auto"/>
      </w:pPr>
      <w:r w:rsidRPr="009E1361">
        <w:t>Aboriginal and Torres Strait Islander Status</w:t>
      </w:r>
    </w:p>
    <w:p w14:paraId="3B21A4F2" w14:textId="77777777" w:rsidR="00960A13" w:rsidRPr="009E1361" w:rsidRDefault="00960A13" w:rsidP="00A677C9">
      <w:pPr>
        <w:spacing w:before="240" w:after="240" w:line="240" w:lineRule="auto"/>
      </w:pPr>
      <w:r w:rsidRPr="009E1361">
        <w:t xml:space="preserve">An older person can request to be set as ‘seeking services’ or ‘not seeking services’ at any point. This can be done by contacting My Aged Care, or by using the My Aged Care Online Account. </w:t>
      </w:r>
    </w:p>
    <w:p w14:paraId="14C1B7D3" w14:textId="77777777" w:rsidR="00960A13" w:rsidRPr="009E1361" w:rsidRDefault="00960A13" w:rsidP="00A677C9">
      <w:pPr>
        <w:spacing w:before="240" w:after="240" w:line="240" w:lineRule="auto"/>
      </w:pPr>
    </w:p>
    <w:p w14:paraId="6A6B1B8D" w14:textId="340762FB" w:rsidR="00960A13" w:rsidRPr="009E1361" w:rsidRDefault="00960A13" w:rsidP="00507F9D">
      <w:pPr>
        <w:pStyle w:val="h2"/>
      </w:pPr>
      <w:bookmarkStart w:id="478" w:name="_Toc198813682"/>
      <w:bookmarkStart w:id="479" w:name="_Toc204329565"/>
      <w:bookmarkStart w:id="480" w:name="_Toc209188996"/>
      <w:bookmarkStart w:id="481" w:name="_Toc224916656"/>
      <w:r w:rsidRPr="009E1361">
        <w:t>Support at Home - Restorative Care Pathway</w:t>
      </w:r>
      <w:bookmarkEnd w:id="478"/>
      <w:bookmarkEnd w:id="479"/>
      <w:bookmarkEnd w:id="480"/>
      <w:bookmarkEnd w:id="481"/>
    </w:p>
    <w:p w14:paraId="2A0CDCCC" w14:textId="77777777" w:rsidR="00960A13" w:rsidRPr="009E1361" w:rsidRDefault="00960A13" w:rsidP="00A677C9">
      <w:pPr>
        <w:spacing w:before="240" w:after="240" w:line="240" w:lineRule="auto"/>
      </w:pPr>
      <w:r w:rsidRPr="009E1361">
        <w:t>The Restorative Care Pathway (RCP), under the Support at Home program, is designed to provide early intervention support to older people by:  </w:t>
      </w:r>
    </w:p>
    <w:p w14:paraId="4A7F3927" w14:textId="77777777" w:rsidR="00960A13" w:rsidRPr="00A55556" w:rsidRDefault="00960A13" w:rsidP="00DF3F6B">
      <w:pPr>
        <w:pStyle w:val="ListParagraph"/>
        <w:numPr>
          <w:ilvl w:val="0"/>
          <w:numId w:val="199"/>
        </w:numPr>
        <w:spacing w:before="240" w:after="240" w:line="240" w:lineRule="auto"/>
        <w:rPr>
          <w:b/>
        </w:rPr>
      </w:pPr>
      <w:r w:rsidRPr="009E1361">
        <w:t>preventing or delaying the need for ongoing in-home care services or the need to access higher levels of ongoing care</w:t>
      </w:r>
    </w:p>
    <w:p w14:paraId="0DC06C1B" w14:textId="77777777" w:rsidR="00960A13" w:rsidRPr="00A55556" w:rsidRDefault="00960A13" w:rsidP="00DF3F6B">
      <w:pPr>
        <w:pStyle w:val="ListParagraph"/>
        <w:numPr>
          <w:ilvl w:val="0"/>
          <w:numId w:val="199"/>
        </w:numPr>
        <w:spacing w:before="240" w:after="240" w:line="240" w:lineRule="auto"/>
        <w:rPr>
          <w:b/>
        </w:rPr>
      </w:pPr>
      <w:r w:rsidRPr="009E1361">
        <w:t>supporting participants to regain their ability to carry out daily activities   </w:t>
      </w:r>
    </w:p>
    <w:p w14:paraId="2A00009B" w14:textId="77777777" w:rsidR="00960A13" w:rsidRPr="00A55556" w:rsidRDefault="00960A13" w:rsidP="00DF3F6B">
      <w:pPr>
        <w:pStyle w:val="ListParagraph"/>
        <w:numPr>
          <w:ilvl w:val="0"/>
          <w:numId w:val="199"/>
        </w:numPr>
        <w:spacing w:before="240" w:after="240" w:line="240" w:lineRule="auto"/>
        <w:rPr>
          <w:b/>
        </w:rPr>
      </w:pPr>
      <w:r w:rsidRPr="009E1361">
        <w:t>helping participants to manage new or changing age-related conditions  </w:t>
      </w:r>
    </w:p>
    <w:p w14:paraId="5D240802" w14:textId="77777777" w:rsidR="00960A13" w:rsidRPr="00A55556" w:rsidRDefault="00960A13" w:rsidP="00DF3F6B">
      <w:pPr>
        <w:pStyle w:val="ListParagraph"/>
        <w:numPr>
          <w:ilvl w:val="0"/>
          <w:numId w:val="199"/>
        </w:numPr>
        <w:spacing w:before="240" w:after="240" w:line="240" w:lineRule="auto"/>
        <w:rPr>
          <w:b/>
          <w:bCs/>
        </w:rPr>
      </w:pPr>
      <w:r w:rsidRPr="009E1361">
        <w:t>providing reablement education and skills to participants on how they can retain better function as they age for longer independent living. </w:t>
      </w:r>
    </w:p>
    <w:p w14:paraId="4A541C6D" w14:textId="7647D0F0" w:rsidR="00960A13" w:rsidRPr="009E1361" w:rsidRDefault="004674D7" w:rsidP="00A677C9">
      <w:pPr>
        <w:spacing w:before="240" w:after="240" w:line="240" w:lineRule="auto"/>
      </w:pPr>
      <w:r>
        <w:t xml:space="preserve">The </w:t>
      </w:r>
      <w:r w:rsidR="00960A13" w:rsidRPr="009E1361">
        <w:t>R</w:t>
      </w:r>
      <w:r w:rsidR="00197520">
        <w:t>CP</w:t>
      </w:r>
      <w:r w:rsidR="00817EFA">
        <w:t xml:space="preserve"> </w:t>
      </w:r>
      <w:r w:rsidR="00960A13" w:rsidRPr="009E1361">
        <w:t>can be provided in a home or community setting, or a combination of both.  An older person can receive up to a maximum of two units of R</w:t>
      </w:r>
      <w:r w:rsidR="00197520">
        <w:t>CP</w:t>
      </w:r>
      <w:r w:rsidR="00960A13" w:rsidRPr="009E1361">
        <w:t xml:space="preserve"> in any 12-month period. </w:t>
      </w:r>
      <w:r>
        <w:t xml:space="preserve">The </w:t>
      </w:r>
      <w:r w:rsidR="00960A13" w:rsidRPr="009E1361">
        <w:t>R</w:t>
      </w:r>
      <w:r w:rsidR="00197520">
        <w:t>CP</w:t>
      </w:r>
      <w:r w:rsidR="00960A13" w:rsidRPr="009E1361">
        <w:t xml:space="preserve"> cannot be undertaken consecutively and must allow a minimum 90-day period between episodes. </w:t>
      </w:r>
    </w:p>
    <w:p w14:paraId="17D36A6D" w14:textId="3807331D" w:rsidR="00960A13" w:rsidRPr="009E1361" w:rsidRDefault="004674D7" w:rsidP="00A677C9">
      <w:pPr>
        <w:spacing w:before="240" w:after="240" w:line="240" w:lineRule="auto"/>
      </w:pPr>
      <w:r>
        <w:t xml:space="preserve">The </w:t>
      </w:r>
      <w:r w:rsidR="00960A13" w:rsidRPr="009E1361">
        <w:t>R</w:t>
      </w:r>
      <w:r w:rsidR="00197520">
        <w:t xml:space="preserve">CP </w:t>
      </w:r>
      <w:r w:rsidR="00960A13" w:rsidRPr="009E1361">
        <w:t xml:space="preserve">can be delivered for up to a duration of 16 weeks. </w:t>
      </w:r>
      <w:r w:rsidR="0003749E">
        <w:t>P</w:t>
      </w:r>
      <w:r w:rsidR="00960A13" w:rsidRPr="009E1361">
        <w:t xml:space="preserve">articipants may have a shorter </w:t>
      </w:r>
      <w:r w:rsidR="0003749E">
        <w:t>RCP</w:t>
      </w:r>
      <w:r w:rsidR="00FE519F">
        <w:t xml:space="preserve"> </w:t>
      </w:r>
      <w:r w:rsidR="00960A13" w:rsidRPr="009E1361">
        <w:t xml:space="preserve">episode, for example, where they reach their goals earlier. </w:t>
      </w:r>
    </w:p>
    <w:p w14:paraId="24A68F7F" w14:textId="123F45C4" w:rsidR="00960A13" w:rsidRPr="009E1361" w:rsidRDefault="00960A13" w:rsidP="00A677C9">
      <w:pPr>
        <w:spacing w:before="240" w:after="240" w:line="240" w:lineRule="auto"/>
        <w:rPr>
          <w:b/>
          <w:lang w:val="en-US"/>
        </w:rPr>
      </w:pPr>
      <w:r w:rsidRPr="009E1361">
        <w:t>The R</w:t>
      </w:r>
      <w:r w:rsidR="000679EC">
        <w:t>CP</w:t>
      </w:r>
      <w:r w:rsidRPr="009E1361">
        <w:t xml:space="preserve"> may also be accessed in addition to a participant’s ongoing Support at Home budget. </w:t>
      </w:r>
      <w:r w:rsidRPr="009E1361">
        <w:rPr>
          <w:bCs/>
        </w:rPr>
        <w:t xml:space="preserve">A participant with an ongoing Support at Home budget who is approved for </w:t>
      </w:r>
      <w:r w:rsidR="000679EC">
        <w:rPr>
          <w:bCs/>
        </w:rPr>
        <w:t>RCP</w:t>
      </w:r>
      <w:r w:rsidRPr="009E1361">
        <w:rPr>
          <w:bCs/>
        </w:rPr>
        <w:t>, can continue to access their ongoing services while undergoing the Restorative Care Pathway. Restorative</w:t>
      </w:r>
      <w:r w:rsidRPr="009E1361">
        <w:t xml:space="preserve"> care partners will need to ensure that services are complementary. </w:t>
      </w:r>
    </w:p>
    <w:p w14:paraId="740A1EE9" w14:textId="035A83DC" w:rsidR="00282961" w:rsidRPr="000027E3" w:rsidRDefault="00960A13" w:rsidP="00C325C6">
      <w:pPr>
        <w:pStyle w:val="Sub-headings"/>
        <w:rPr>
          <w:bCs w:val="0"/>
        </w:rPr>
      </w:pPr>
      <w:r w:rsidRPr="00E85E91">
        <w:t>Important:</w:t>
      </w:r>
      <w:r w:rsidRPr="42A9625C">
        <w:t xml:space="preserve"> </w:t>
      </w:r>
    </w:p>
    <w:p w14:paraId="014151DC" w14:textId="656F305E" w:rsidR="000027E3" w:rsidRDefault="00960A13" w:rsidP="00C325C6">
      <w:pPr>
        <w:pStyle w:val="Sub-headings"/>
      </w:pPr>
      <w:r w:rsidRPr="00E37E3A">
        <w:rPr>
          <w:bCs w:val="0"/>
        </w:rPr>
        <w:t>An</w:t>
      </w:r>
      <w:r w:rsidRPr="009E1361">
        <w:t xml:space="preserve"> approval for RCP is equal to 1 unit of RCP funding (approximately $6,000). R</w:t>
      </w:r>
      <w:r w:rsidR="00F76374">
        <w:t>CP</w:t>
      </w:r>
      <w:r w:rsidRPr="009E1361">
        <w:t xml:space="preserve"> units are capped to 20,000 units of funding annually (managed as 5,000 units of funding per quarter) across Australia.  </w:t>
      </w:r>
    </w:p>
    <w:p w14:paraId="27CA106F" w14:textId="7E70DBC5" w:rsidR="000027E3" w:rsidRDefault="19B7D8D3" w:rsidP="00C325C6">
      <w:pPr>
        <w:pStyle w:val="Sub-headings"/>
      </w:pPr>
      <w:r>
        <w:t>S</w:t>
      </w:r>
      <w:r w:rsidR="0D0D3E6C">
        <w:t>ystem-based visibility of R</w:t>
      </w:r>
      <w:r w:rsidR="0610200E">
        <w:t>CP</w:t>
      </w:r>
      <w:r w:rsidR="0D0D3E6C">
        <w:t xml:space="preserve"> caps </w:t>
      </w:r>
      <w:r w:rsidR="403C29E3">
        <w:t>is not</w:t>
      </w:r>
      <w:r w:rsidR="0D0D3E6C">
        <w:t xml:space="preserve"> available. As a result, there </w:t>
      </w:r>
      <w:r w:rsidR="74936D83">
        <w:t>are</w:t>
      </w:r>
      <w:r w:rsidR="0D0D3E6C">
        <w:t xml:space="preserve"> no in-system prompts or controls to prevent the approval of </w:t>
      </w:r>
      <w:r w:rsidR="0610200E">
        <w:t>RCP</w:t>
      </w:r>
      <w:r w:rsidR="0D0D3E6C">
        <w:t xml:space="preserve"> units beyond the quarterly caps. </w:t>
      </w:r>
    </w:p>
    <w:p w14:paraId="1309C44D" w14:textId="616CF087" w:rsidR="000027E3" w:rsidRDefault="0D0D3E6C" w:rsidP="00C325C6">
      <w:pPr>
        <w:pStyle w:val="Sub-headings"/>
      </w:pPr>
      <w:r>
        <w:t xml:space="preserve">Twice-weekly reports of allocations </w:t>
      </w:r>
      <w:r w:rsidR="2FE12D6A">
        <w:t>are</w:t>
      </w:r>
      <w:r>
        <w:t xml:space="preserve"> generated, allowing the Department to monitor R</w:t>
      </w:r>
      <w:r w:rsidR="0610200E">
        <w:t>CP</w:t>
      </w:r>
      <w:r>
        <w:t xml:space="preserve"> approvals and communicate with assessment organisations when approvals approach or exceed the assigned caps. </w:t>
      </w:r>
    </w:p>
    <w:p w14:paraId="24DBC1F2" w14:textId="46CC0D54" w:rsidR="00960A13" w:rsidRPr="009E1361" w:rsidRDefault="4640BDB2" w:rsidP="00C325C6">
      <w:pPr>
        <w:pStyle w:val="Sub-headings"/>
      </w:pPr>
      <w:r>
        <w:t xml:space="preserve">Assessors and </w:t>
      </w:r>
      <w:r w:rsidR="0D0D3E6C">
        <w:t xml:space="preserve">Assessment Delegates </w:t>
      </w:r>
      <w:r w:rsidR="7974BC5E">
        <w:t>should</w:t>
      </w:r>
      <w:r w:rsidR="0D0D3E6C">
        <w:t xml:space="preserve"> remain aware of any communication from the Department’s Assessment Delivery Section regarding R</w:t>
      </w:r>
      <w:r w:rsidR="0610200E">
        <w:t>CP</w:t>
      </w:r>
      <w:r w:rsidR="0D0D3E6C">
        <w:t xml:space="preserve"> units. This </w:t>
      </w:r>
      <w:r w:rsidR="414974E0">
        <w:t>applies</w:t>
      </w:r>
      <w:r w:rsidR="0D0D3E6C">
        <w:t xml:space="preserve"> to decisions made through assessment/reassessment and SPRs.</w:t>
      </w:r>
    </w:p>
    <w:p w14:paraId="0CFC60D9" w14:textId="77777777" w:rsidR="007E36A8" w:rsidRPr="009E1361" w:rsidRDefault="007E36A8" w:rsidP="00C325C6">
      <w:pPr>
        <w:pStyle w:val="Sub-headings"/>
      </w:pPr>
    </w:p>
    <w:p w14:paraId="70C2D64A" w14:textId="77777777" w:rsidR="00DE1DCD" w:rsidRDefault="00DE1DCD" w:rsidP="00A677C9">
      <w:pPr>
        <w:spacing w:before="240" w:after="240" w:line="240" w:lineRule="auto"/>
      </w:pPr>
    </w:p>
    <w:p w14:paraId="1DAC2D58" w14:textId="02682793" w:rsidR="00960A13" w:rsidRPr="009E1361" w:rsidRDefault="00960A13" w:rsidP="00C56CEC">
      <w:pPr>
        <w:pStyle w:val="H3"/>
        <w:rPr>
          <w:i/>
        </w:rPr>
      </w:pPr>
      <w:r w:rsidRPr="009E1361">
        <w:t>Assessing for the Restorative Care Pathway</w:t>
      </w:r>
    </w:p>
    <w:p w14:paraId="715446EF" w14:textId="567289DC" w:rsidR="00960A13" w:rsidRPr="009E1361" w:rsidRDefault="00960A13" w:rsidP="00A677C9">
      <w:pPr>
        <w:spacing w:before="240" w:after="240" w:line="240" w:lineRule="auto"/>
        <w:rPr>
          <w:b/>
        </w:rPr>
      </w:pPr>
      <w:r w:rsidRPr="009E1361">
        <w:t>R</w:t>
      </w:r>
      <w:r w:rsidR="008007E2">
        <w:t xml:space="preserve">CP </w:t>
      </w:r>
      <w:r w:rsidRPr="009E1361">
        <w:t>provides a coordinated, multidisciplinary package of allied health and/or nursing services. An individual must require a range of different allied health and/or nursing interventions to be eligible for the R</w:t>
      </w:r>
      <w:r w:rsidR="007D1C90">
        <w:t>CP</w:t>
      </w:r>
      <w:r w:rsidRPr="009E1361">
        <w:t xml:space="preserve">. For example, an individual only requiring physiotherapy, domestic assistance and gardening is not eligible as they do not meet the requirements for a multidisciplinary allied health and/or nursing team. </w:t>
      </w:r>
    </w:p>
    <w:p w14:paraId="493220FB" w14:textId="0198BC4E" w:rsidR="00960A13" w:rsidRPr="009E1361" w:rsidRDefault="00960A13" w:rsidP="00A677C9">
      <w:pPr>
        <w:spacing w:before="240" w:after="240" w:line="240" w:lineRule="auto"/>
        <w:rPr>
          <w:b/>
        </w:rPr>
      </w:pPr>
      <w:r w:rsidRPr="009E1361">
        <w:t xml:space="preserve">Supporting people to regain independence and function to facilitate less reliance on higher levels of care is a critical objective of </w:t>
      </w:r>
      <w:r w:rsidR="00A46AEE">
        <w:t>RCP</w:t>
      </w:r>
      <w:r w:rsidRPr="009E1361">
        <w:t>. The intent of the R</w:t>
      </w:r>
      <w:r w:rsidR="00A46AEE">
        <w:t>CP</w:t>
      </w:r>
      <w:r w:rsidRPr="009E1361">
        <w:t xml:space="preserve"> is not for an older person to receive passive ‘care’ services but to be an active participant to safely regain lost independence based on their individual circumstances.  </w:t>
      </w:r>
    </w:p>
    <w:p w14:paraId="2328153A" w14:textId="17C87B9C" w:rsidR="00960A13" w:rsidRPr="009E1361" w:rsidRDefault="00960A13" w:rsidP="00A677C9">
      <w:pPr>
        <w:spacing w:before="240" w:after="240" w:line="240" w:lineRule="auto"/>
      </w:pPr>
      <w:r w:rsidRPr="009E1361">
        <w:t>A reablement approach underpins the Support at Home R</w:t>
      </w:r>
      <w:r w:rsidR="00C22D8F">
        <w:t>CP</w:t>
      </w:r>
      <w:r w:rsidRPr="009E1361">
        <w:t>, aiming to restore capability and keep people as independent as possible.</w:t>
      </w:r>
    </w:p>
    <w:p w14:paraId="53C315F4" w14:textId="549DC560" w:rsidR="00960A13" w:rsidRPr="009E1361" w:rsidRDefault="00960A13" w:rsidP="00A677C9">
      <w:pPr>
        <w:spacing w:before="240" w:after="240" w:line="240" w:lineRule="auto"/>
        <w:rPr>
          <w:b/>
        </w:rPr>
      </w:pPr>
      <w:r w:rsidRPr="009E1361">
        <w:t>A person is eligible to receive R</w:t>
      </w:r>
      <w:r w:rsidR="008D436A">
        <w:t>CP</w:t>
      </w:r>
      <w:r w:rsidRPr="009E1361">
        <w:t xml:space="preserve"> only if they meet all </w:t>
      </w:r>
      <w:r w:rsidR="00096905">
        <w:t xml:space="preserve">of </w:t>
      </w:r>
      <w:r w:rsidRPr="009E1361">
        <w:t>the following criteria: </w:t>
      </w:r>
    </w:p>
    <w:p w14:paraId="7E2E2135"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is assessed as experiencing functional decline that is likely to be reversed through frequent, multidisciplinary allied health and/or nursing interventions over a short period of time </w:t>
      </w:r>
    </w:p>
    <w:p w14:paraId="4ABCD9DA"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has goals which align with restorative care outcomes (improve function, want to be independent, rely less on others’ help, regain previous levels of function, etc)  </w:t>
      </w:r>
    </w:p>
    <w:p w14:paraId="49FE53BD"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demonstrates motivation through willingness and capacity to engage and actively participate in short-term clinical interventions to increase independence (for example, willing to attend frequent allied health appointments, engage in exercise and/or nutrition classes, learn how to apply techniques to regain independence, increase health literacy and education, etc)  </w:t>
      </w:r>
    </w:p>
    <w:p w14:paraId="3CDF67CE" w14:textId="55B8B63A"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 xml:space="preserve">The person has received an ongoing SaH classification through the IAT </w:t>
      </w:r>
      <w:r w:rsidR="00815BEA">
        <w:rPr>
          <w:rFonts w:eastAsiaTheme="majorEastAsia"/>
          <w:b w:val="0"/>
          <w:bCs w:val="0"/>
        </w:rPr>
        <w:t>Outcome</w:t>
      </w:r>
      <w:r w:rsidR="003A2227">
        <w:rPr>
          <w:rFonts w:eastAsiaTheme="majorEastAsia"/>
          <w:b w:val="0"/>
          <w:bCs w:val="0"/>
        </w:rPr>
        <w:t xml:space="preserve"> (</w:t>
      </w:r>
      <w:r w:rsidR="006A67A1">
        <w:rPr>
          <w:rFonts w:eastAsiaTheme="majorEastAsia"/>
          <w:b w:val="0"/>
          <w:bCs w:val="0"/>
        </w:rPr>
        <w:t>more information is included under section 6.2.3</w:t>
      </w:r>
      <w:r w:rsidR="003A2227">
        <w:rPr>
          <w:rFonts w:eastAsiaTheme="majorEastAsia"/>
          <w:b w:val="0"/>
          <w:bCs w:val="0"/>
        </w:rPr>
        <w:t>)</w:t>
      </w:r>
    </w:p>
    <w:p w14:paraId="619E241F" w14:textId="42064815"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The person is not receiving or, eligible for, the Transition Care Program (they should also not be in hospital at the time of assessment) </w:t>
      </w:r>
    </w:p>
    <w:p w14:paraId="0ADCB4BF"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The person is not in permanent residential care </w:t>
      </w:r>
    </w:p>
    <w:p w14:paraId="500EC40D"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The person is not eligible for, or has recently received, the End-of-Life Pathway </w:t>
      </w:r>
    </w:p>
    <w:p w14:paraId="6183F732" w14:textId="27FCD2AF"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rPr>
      </w:pPr>
      <w:r w:rsidRPr="009E1361">
        <w:rPr>
          <w:rFonts w:eastAsiaTheme="majorEastAsia"/>
          <w:b w:val="0"/>
          <w:bCs w:val="0"/>
        </w:rPr>
        <w:t xml:space="preserve"> The person has not been approved for more than two units of </w:t>
      </w:r>
      <w:r w:rsidR="003439EC">
        <w:rPr>
          <w:rFonts w:eastAsiaTheme="majorEastAsia"/>
          <w:b w:val="0"/>
          <w:bCs w:val="0"/>
        </w:rPr>
        <w:t xml:space="preserve">RCP </w:t>
      </w:r>
      <w:r w:rsidRPr="009E1361">
        <w:rPr>
          <w:rFonts w:eastAsiaTheme="majorEastAsia"/>
          <w:b w:val="0"/>
          <w:bCs w:val="0"/>
        </w:rPr>
        <w:t xml:space="preserve">funding in any 12-month period and/or at least 90 days have passed from the end of the 16 weeks period associated with the original episode. </w:t>
      </w:r>
      <w:r w:rsidRPr="009E1361" w:rsidDel="00AD4E4E">
        <w:rPr>
          <w:rFonts w:eastAsiaTheme="majorEastAsia"/>
          <w:b w:val="0"/>
          <w:bCs w:val="0"/>
        </w:rPr>
        <w:t xml:space="preserve"> </w:t>
      </w:r>
    </w:p>
    <w:p w14:paraId="1EAF1627" w14:textId="2041687B" w:rsidR="00960A13" w:rsidRPr="009E1361" w:rsidRDefault="00960A13" w:rsidP="00A677C9">
      <w:pPr>
        <w:spacing w:before="240" w:after="240" w:line="240" w:lineRule="auto"/>
      </w:pPr>
      <w:r w:rsidRPr="009E1361">
        <w:t>Assessors must only recommend the R</w:t>
      </w:r>
      <w:r w:rsidR="003439EC">
        <w:t>CP</w:t>
      </w:r>
      <w:r w:rsidRPr="009E1361">
        <w:t xml:space="preserve"> if all the above eligibility criteria </w:t>
      </w:r>
      <w:r w:rsidR="001229D3" w:rsidRPr="009E1361">
        <w:t>are</w:t>
      </w:r>
      <w:r w:rsidRPr="009E1361">
        <w:t xml:space="preserve"> met. </w:t>
      </w:r>
    </w:p>
    <w:p w14:paraId="41CDAC1C" w14:textId="1B4E75E5" w:rsidR="00282961" w:rsidRPr="002F27EA" w:rsidRDefault="000872FD" w:rsidP="00A677C9">
      <w:pPr>
        <w:spacing w:before="240" w:after="240" w:line="240" w:lineRule="auto"/>
      </w:pPr>
      <w:r>
        <w:t>A</w:t>
      </w:r>
      <w:r w:rsidR="00960A13">
        <w:t>ssessor</w:t>
      </w:r>
      <w:r w:rsidR="795555AC">
        <w:t>s</w:t>
      </w:r>
      <w:r w:rsidR="00960A13" w:rsidRPr="009E1361">
        <w:t xml:space="preserve"> </w:t>
      </w:r>
      <w:r>
        <w:t>may consider</w:t>
      </w:r>
      <w:r w:rsidR="00960A13" w:rsidRPr="009E1361">
        <w:t xml:space="preserve"> contact</w:t>
      </w:r>
      <w:r>
        <w:t>ing</w:t>
      </w:r>
      <w:r w:rsidR="00960A13" w:rsidRPr="009E1361">
        <w:t xml:space="preserve"> the older person to discuss alternative supports for recommendation</w:t>
      </w:r>
      <w:r w:rsidR="00F56C7F">
        <w:t xml:space="preserve"> if the RCP units are near exhaustion</w:t>
      </w:r>
      <w:r w:rsidR="00960A13" w:rsidRPr="009E1361">
        <w:t>.  </w:t>
      </w:r>
    </w:p>
    <w:p w14:paraId="49FF268C" w14:textId="433BB055" w:rsidR="00960A13" w:rsidRDefault="00651FE6" w:rsidP="00A677C9">
      <w:pPr>
        <w:spacing w:before="240" w:after="240" w:line="240" w:lineRule="auto"/>
      </w:pPr>
      <w:r>
        <w:br w:type="page"/>
      </w:r>
    </w:p>
    <w:tbl>
      <w:tblPr>
        <w:tblStyle w:val="TableGrid"/>
        <w:tblW w:w="9398" w:type="dxa"/>
        <w:tblLook w:val="04A0" w:firstRow="1" w:lastRow="0" w:firstColumn="1" w:lastColumn="0" w:noHBand="0" w:noVBand="1"/>
      </w:tblPr>
      <w:tblGrid>
        <w:gridCol w:w="9186"/>
        <w:gridCol w:w="222"/>
      </w:tblGrid>
      <w:tr w:rsidR="00960A13" w:rsidRPr="009E1361" w14:paraId="29204405" w14:textId="77777777" w:rsidTr="00651FE6">
        <w:trPr>
          <w:trHeight w:val="300"/>
        </w:trPr>
        <w:tc>
          <w:tcPr>
            <w:tcW w:w="9176" w:type="dxa"/>
          </w:tcPr>
          <w:tbl>
            <w:tblPr>
              <w:tblStyle w:val="TableGrid"/>
              <w:tblW w:w="8960"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960"/>
            </w:tblGrid>
            <w:tr w:rsidR="00400EFA" w:rsidRPr="00400EFA" w14:paraId="68E3292A" w14:textId="77777777" w:rsidTr="00C82277">
              <w:tc>
                <w:tcPr>
                  <w:tcW w:w="8960" w:type="dxa"/>
                  <w:shd w:val="clear" w:color="auto" w:fill="F2F2F2" w:themeFill="background1" w:themeFillShade="F2"/>
                </w:tcPr>
                <w:p w14:paraId="193F0315" w14:textId="63316D4B" w:rsidR="00651FE6" w:rsidRPr="00282961" w:rsidRDefault="00651FE6" w:rsidP="00A677C9">
                  <w:pPr>
                    <w:spacing w:before="240" w:after="240"/>
                    <w:rPr>
                      <w:b/>
                      <w:szCs w:val="22"/>
                    </w:rPr>
                  </w:pPr>
                  <w:r w:rsidRPr="00F77E8E">
                    <w:rPr>
                      <w:b/>
                      <w:szCs w:val="22"/>
                    </w:rPr>
                    <w:t>Case Study: Omar, age 66</w:t>
                  </w:r>
                </w:p>
                <w:p w14:paraId="63E002D1" w14:textId="4360A5F8" w:rsidR="00960A13" w:rsidRPr="00F77E8E" w:rsidRDefault="00960A13" w:rsidP="00A677C9">
                  <w:pPr>
                    <w:spacing w:before="240" w:after="240"/>
                    <w:rPr>
                      <w:szCs w:val="22"/>
                    </w:rPr>
                  </w:pPr>
                  <w:r w:rsidRPr="00F77E8E">
                    <w:rPr>
                      <w:szCs w:val="22"/>
                    </w:rPr>
                    <w:t>Omar is 66 and lives with his wife, Barbara. He recently had a little fall which has left him with a few small issues but has severely impacted his confidence. He is after some help around the home, so he doesn’t fall again. After talking to both Omar and Barbara, the assessor suggests he might like to consider Res</w:t>
                  </w:r>
                  <w:r w:rsidR="00AF48CD" w:rsidRPr="00F77E8E">
                    <w:rPr>
                      <w:szCs w:val="22"/>
                    </w:rPr>
                    <w:t xml:space="preserve">torative Care Pathway </w:t>
                  </w:r>
                  <w:r w:rsidR="001827FE" w:rsidRPr="00F77E8E">
                    <w:rPr>
                      <w:szCs w:val="22"/>
                    </w:rPr>
                    <w:t>(RCP)</w:t>
                  </w:r>
                  <w:r w:rsidR="003C61A5">
                    <w:rPr>
                      <w:szCs w:val="22"/>
                    </w:rPr>
                    <w:t xml:space="preserve"> </w:t>
                  </w:r>
                  <w:r w:rsidRPr="00F77E8E">
                    <w:rPr>
                      <w:szCs w:val="22"/>
                    </w:rPr>
                    <w:t>as:​ </w:t>
                  </w:r>
                </w:p>
                <w:p w14:paraId="23D8ED7C" w14:textId="77777777" w:rsidR="00960A13" w:rsidRPr="00F77E8E" w:rsidRDefault="00960A13" w:rsidP="00DF3F6B">
                  <w:pPr>
                    <w:pStyle w:val="ListParagraph"/>
                    <w:numPr>
                      <w:ilvl w:val="0"/>
                      <w:numId w:val="200"/>
                    </w:numPr>
                    <w:spacing w:before="240" w:after="240"/>
                    <w:rPr>
                      <w:szCs w:val="22"/>
                    </w:rPr>
                  </w:pPr>
                  <w:r w:rsidRPr="00F77E8E">
                    <w:rPr>
                      <w:szCs w:val="22"/>
                    </w:rPr>
                    <w:t>Omar still has quite good mobility but needs some help building up his balance and strength to restore his confidence. </w:t>
                  </w:r>
                </w:p>
                <w:p w14:paraId="541B748E" w14:textId="77777777" w:rsidR="00960A13" w:rsidRPr="00F77E8E" w:rsidRDefault="00960A13" w:rsidP="00DF3F6B">
                  <w:pPr>
                    <w:pStyle w:val="ListParagraph"/>
                    <w:numPr>
                      <w:ilvl w:val="0"/>
                      <w:numId w:val="200"/>
                    </w:numPr>
                    <w:spacing w:before="240" w:after="240"/>
                    <w:rPr>
                      <w:szCs w:val="22"/>
                    </w:rPr>
                  </w:pPr>
                  <w:r w:rsidRPr="00F77E8E">
                    <w:rPr>
                      <w:szCs w:val="22"/>
                    </w:rPr>
                    <w:t>Omar has the support of Barbara and family who are keen to help him stay independent​. </w:t>
                  </w:r>
                </w:p>
                <w:p w14:paraId="3C534281" w14:textId="4D372596" w:rsidR="00960A13" w:rsidRPr="00F77E8E" w:rsidRDefault="00960A13" w:rsidP="00DF3F6B">
                  <w:pPr>
                    <w:pStyle w:val="ListParagraph"/>
                    <w:numPr>
                      <w:ilvl w:val="0"/>
                      <w:numId w:val="200"/>
                    </w:numPr>
                    <w:spacing w:before="240" w:after="240"/>
                    <w:rPr>
                      <w:szCs w:val="22"/>
                    </w:rPr>
                  </w:pPr>
                  <w:r w:rsidRPr="00F77E8E">
                    <w:rPr>
                      <w:szCs w:val="22"/>
                    </w:rPr>
                    <w:t xml:space="preserve">Omar initially had some concerns about undertaking </w:t>
                  </w:r>
                  <w:r w:rsidR="001827FE" w:rsidRPr="00F77E8E">
                    <w:rPr>
                      <w:szCs w:val="22"/>
                    </w:rPr>
                    <w:t>the RCP</w:t>
                  </w:r>
                  <w:r w:rsidRPr="00F77E8E">
                    <w:rPr>
                      <w:szCs w:val="22"/>
                    </w:rPr>
                    <w:t xml:space="preserve"> but after discussion with the assessor, he is willing to try it as he would like to remain independent at home.​ </w:t>
                  </w:r>
                </w:p>
                <w:p w14:paraId="612B1D50" w14:textId="77777777" w:rsidR="00960A13" w:rsidRPr="00F77E8E" w:rsidRDefault="00960A13" w:rsidP="00A677C9">
                  <w:pPr>
                    <w:pStyle w:val="ListParagraph"/>
                    <w:spacing w:before="240" w:after="240"/>
                    <w:rPr>
                      <w:szCs w:val="22"/>
                    </w:rPr>
                  </w:pPr>
                </w:p>
                <w:p w14:paraId="4E1066B8" w14:textId="77777777" w:rsidR="00960A13" w:rsidRPr="00F77E8E" w:rsidRDefault="00960A13" w:rsidP="00A677C9">
                  <w:pPr>
                    <w:spacing w:before="240" w:after="240"/>
                    <w:rPr>
                      <w:szCs w:val="22"/>
                    </w:rPr>
                  </w:pPr>
                  <w:r w:rsidRPr="00F77E8E">
                    <w:rPr>
                      <w:szCs w:val="22"/>
                    </w:rPr>
                    <w:t>Omar’s restorative care provides:​ </w:t>
                  </w:r>
                </w:p>
                <w:p w14:paraId="664186D2" w14:textId="67B2E070" w:rsidR="00960A13" w:rsidRPr="00F77E8E" w:rsidRDefault="00960A13" w:rsidP="00DF3F6B">
                  <w:pPr>
                    <w:pStyle w:val="ListParagraph"/>
                    <w:numPr>
                      <w:ilvl w:val="0"/>
                      <w:numId w:val="201"/>
                    </w:numPr>
                    <w:spacing w:before="240" w:after="240"/>
                    <w:rPr>
                      <w:szCs w:val="22"/>
                    </w:rPr>
                  </w:pPr>
                  <w:r w:rsidRPr="00F77E8E">
                    <w:rPr>
                      <w:szCs w:val="22"/>
                    </w:rPr>
                    <w:t xml:space="preserve">Biweekly strength classes which start as individual classes at Omar’s home </w:t>
                  </w:r>
                  <w:r w:rsidR="00FC5E1E" w:rsidRPr="00F77E8E">
                    <w:rPr>
                      <w:szCs w:val="22"/>
                    </w:rPr>
                    <w:t>with an exercise physiolog</w:t>
                  </w:r>
                  <w:r w:rsidR="002C7B43" w:rsidRPr="00F77E8E">
                    <w:rPr>
                      <w:szCs w:val="22"/>
                    </w:rPr>
                    <w:t xml:space="preserve">ist </w:t>
                  </w:r>
                  <w:r w:rsidR="000D2208" w:rsidRPr="00F77E8E">
                    <w:rPr>
                      <w:szCs w:val="22"/>
                    </w:rPr>
                    <w:t>but, as</w:t>
                  </w:r>
                  <w:r w:rsidRPr="00F77E8E">
                    <w:rPr>
                      <w:szCs w:val="22"/>
                    </w:rPr>
                    <w:t xml:space="preserve"> his confidence increases, transitions into group exercise classes at the allied health centre. This also provides opportunity for Omar to connect with others while supporting increase</w:t>
                  </w:r>
                  <w:r w:rsidR="00321AA9" w:rsidRPr="00F77E8E">
                    <w:rPr>
                      <w:szCs w:val="22"/>
                    </w:rPr>
                    <w:t>s</w:t>
                  </w:r>
                  <w:r w:rsidRPr="00F77E8E">
                    <w:rPr>
                      <w:szCs w:val="22"/>
                    </w:rPr>
                    <w:t xml:space="preserve"> in physical and mental function.  </w:t>
                  </w:r>
                </w:p>
                <w:p w14:paraId="7ADE084B" w14:textId="77777777" w:rsidR="00960A13" w:rsidRPr="00F77E8E" w:rsidRDefault="00960A13" w:rsidP="00DF3F6B">
                  <w:pPr>
                    <w:pStyle w:val="ListParagraph"/>
                    <w:numPr>
                      <w:ilvl w:val="0"/>
                      <w:numId w:val="201"/>
                    </w:numPr>
                    <w:spacing w:before="240" w:after="240"/>
                    <w:rPr>
                      <w:szCs w:val="22"/>
                    </w:rPr>
                  </w:pPr>
                  <w:r w:rsidRPr="00F77E8E">
                    <w:rPr>
                      <w:szCs w:val="22"/>
                    </w:rPr>
                    <w:t>Nutritionist support which provides insight and education into nutritional requirements to support his increased activity and support good health (plus meeting any cultural food requirements). </w:t>
                  </w:r>
                </w:p>
                <w:p w14:paraId="32F11591" w14:textId="77777777" w:rsidR="00960A13" w:rsidRPr="00F77E8E" w:rsidRDefault="00960A13" w:rsidP="00DF3F6B">
                  <w:pPr>
                    <w:pStyle w:val="ListParagraph"/>
                    <w:numPr>
                      <w:ilvl w:val="0"/>
                      <w:numId w:val="201"/>
                    </w:numPr>
                    <w:spacing w:before="240" w:after="240"/>
                    <w:rPr>
                      <w:szCs w:val="22"/>
                    </w:rPr>
                  </w:pPr>
                  <w:r w:rsidRPr="00F77E8E">
                    <w:rPr>
                      <w:szCs w:val="22"/>
                    </w:rPr>
                    <w:t>Two podiatrist appointments to assess for issues with his feet which are impacting his balance. </w:t>
                  </w:r>
                </w:p>
                <w:p w14:paraId="65D519F0" w14:textId="24E6ED0E" w:rsidR="00960A13" w:rsidRPr="00F77E8E" w:rsidRDefault="00960A13" w:rsidP="00DF3F6B">
                  <w:pPr>
                    <w:pStyle w:val="ListParagraph"/>
                    <w:numPr>
                      <w:ilvl w:val="0"/>
                      <w:numId w:val="201"/>
                    </w:numPr>
                    <w:spacing w:before="240" w:after="240"/>
                    <w:rPr>
                      <w:szCs w:val="22"/>
                    </w:rPr>
                  </w:pPr>
                  <w:r w:rsidRPr="00F77E8E">
                    <w:rPr>
                      <w:szCs w:val="22"/>
                    </w:rPr>
                    <w:t xml:space="preserve">A </w:t>
                  </w:r>
                  <w:r w:rsidR="00B22C4C" w:rsidRPr="00F77E8E">
                    <w:rPr>
                      <w:szCs w:val="22"/>
                    </w:rPr>
                    <w:t>r</w:t>
                  </w:r>
                  <w:r w:rsidRPr="00F77E8E">
                    <w:rPr>
                      <w:szCs w:val="22"/>
                    </w:rPr>
                    <w:t xml:space="preserve">estorative </w:t>
                  </w:r>
                  <w:r w:rsidR="00B22C4C" w:rsidRPr="00F77E8E">
                    <w:rPr>
                      <w:szCs w:val="22"/>
                    </w:rPr>
                    <w:t>c</w:t>
                  </w:r>
                  <w:r w:rsidRPr="00F77E8E">
                    <w:rPr>
                      <w:szCs w:val="22"/>
                    </w:rPr>
                    <w:t xml:space="preserve">are </w:t>
                  </w:r>
                  <w:r w:rsidR="00B22C4C" w:rsidRPr="00F77E8E">
                    <w:rPr>
                      <w:szCs w:val="22"/>
                    </w:rPr>
                    <w:t>p</w:t>
                  </w:r>
                  <w:r w:rsidRPr="00F77E8E">
                    <w:rPr>
                      <w:szCs w:val="22"/>
                    </w:rPr>
                    <w:t>artner who works with him on his goals and continues to support Omar, checking in periodically, monitoring his progress and continuing to discuss how problems achieving his goals can be resolved to help restore his confidence​ with the multidisciplinary team (MDT). </w:t>
                  </w:r>
                </w:p>
                <w:p w14:paraId="3B510A38" w14:textId="77777777" w:rsidR="00960A13" w:rsidRPr="00F77E8E" w:rsidRDefault="00960A13" w:rsidP="00A677C9">
                  <w:pPr>
                    <w:pStyle w:val="ListParagraph"/>
                    <w:spacing w:before="240" w:after="240"/>
                    <w:rPr>
                      <w:szCs w:val="22"/>
                    </w:rPr>
                  </w:pPr>
                </w:p>
                <w:p w14:paraId="733F1C8F" w14:textId="02911250" w:rsidR="00960A13" w:rsidRPr="00282961" w:rsidRDefault="00960A13" w:rsidP="00A677C9">
                  <w:pPr>
                    <w:spacing w:before="240" w:after="240"/>
                    <w:rPr>
                      <w:b/>
                      <w:szCs w:val="22"/>
                    </w:rPr>
                  </w:pPr>
                  <w:r w:rsidRPr="00F77E8E">
                    <w:rPr>
                      <w:b/>
                      <w:szCs w:val="22"/>
                    </w:rPr>
                    <w:t>Outcomes​ </w:t>
                  </w:r>
                </w:p>
                <w:p w14:paraId="07C342B7" w14:textId="37B0F888" w:rsidR="00960A13" w:rsidRPr="00F77E8E" w:rsidRDefault="00960A13" w:rsidP="00A677C9">
                  <w:pPr>
                    <w:spacing w:before="240" w:after="240"/>
                  </w:pPr>
                  <w:r w:rsidRPr="00F77E8E">
                    <w:rPr>
                      <w:szCs w:val="22"/>
                    </w:rPr>
                    <w:t xml:space="preserve">Omar regains confidence in his mobility. He teaches Barbara what he learns during his time receiving </w:t>
                  </w:r>
                  <w:r w:rsidR="00BC5AE8" w:rsidRPr="00F77E8E">
                    <w:rPr>
                      <w:szCs w:val="22"/>
                    </w:rPr>
                    <w:t>RCP</w:t>
                  </w:r>
                  <w:r w:rsidR="0005411D" w:rsidRPr="00F77E8E">
                    <w:rPr>
                      <w:szCs w:val="22"/>
                    </w:rPr>
                    <w:t xml:space="preserve"> </w:t>
                  </w:r>
                  <w:r w:rsidRPr="00F77E8E">
                    <w:rPr>
                      <w:szCs w:val="22"/>
                    </w:rPr>
                    <w:t xml:space="preserve">services. They start attending strength building classes together at the local gym and join a walking group. After discussion with Omar and Barbara, the </w:t>
                  </w:r>
                  <w:r w:rsidR="0005411D" w:rsidRPr="00F77E8E">
                    <w:rPr>
                      <w:szCs w:val="22"/>
                    </w:rPr>
                    <w:t>e</w:t>
                  </w:r>
                  <w:r w:rsidRPr="00F77E8E">
                    <w:rPr>
                      <w:szCs w:val="22"/>
                    </w:rPr>
                    <w:t xml:space="preserve">xit </w:t>
                  </w:r>
                  <w:r w:rsidR="0005411D" w:rsidRPr="00F77E8E">
                    <w:rPr>
                      <w:szCs w:val="22"/>
                    </w:rPr>
                    <w:t>p</w:t>
                  </w:r>
                  <w:r w:rsidRPr="00F77E8E">
                    <w:rPr>
                      <w:szCs w:val="22"/>
                    </w:rPr>
                    <w:t>lan recommends no ongoing services are needed.  ​ </w:t>
                  </w:r>
                </w:p>
              </w:tc>
            </w:tr>
          </w:tbl>
          <w:p w14:paraId="6DAF236C" w14:textId="77777777" w:rsidR="00960A13" w:rsidRPr="00880B95" w:rsidRDefault="00960A13" w:rsidP="00A677C9">
            <w:pPr>
              <w:spacing w:before="240" w:after="240"/>
            </w:pPr>
          </w:p>
          <w:p w14:paraId="4288EDC3" w14:textId="77777777" w:rsidR="00651FE6" w:rsidRDefault="00651FE6" w:rsidP="00A677C9">
            <w:pPr>
              <w:spacing w:before="240" w:after="240"/>
            </w:pPr>
          </w:p>
          <w:p w14:paraId="2BC3EFD1" w14:textId="77777777" w:rsidR="00651FE6" w:rsidRDefault="00651FE6" w:rsidP="00A677C9">
            <w:pPr>
              <w:spacing w:before="240" w:after="240"/>
            </w:pPr>
          </w:p>
          <w:p w14:paraId="6DC59FC3" w14:textId="77777777" w:rsidR="00F94209" w:rsidRDefault="00F94209" w:rsidP="00A677C9">
            <w:pPr>
              <w:spacing w:before="240" w:after="240"/>
            </w:pPr>
          </w:p>
          <w:p w14:paraId="7162F20A" w14:textId="77777777" w:rsidR="00F94209" w:rsidRDefault="00F94209" w:rsidP="00A677C9">
            <w:pPr>
              <w:spacing w:before="240" w:after="240"/>
            </w:pPr>
          </w:p>
          <w:p w14:paraId="3580011E" w14:textId="77777777" w:rsidR="00F94209" w:rsidRDefault="00F94209" w:rsidP="00A677C9">
            <w:pPr>
              <w:spacing w:before="240" w:after="240"/>
            </w:pPr>
          </w:p>
          <w:tbl>
            <w:tblPr>
              <w:tblStyle w:val="TableGrid"/>
              <w:tblW w:w="895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955"/>
            </w:tblGrid>
            <w:tr w:rsidR="00400EFA" w:rsidRPr="00400EFA" w14:paraId="4E06E626" w14:textId="77777777" w:rsidTr="00C82277">
              <w:tc>
                <w:tcPr>
                  <w:tcW w:w="8955" w:type="dxa"/>
                  <w:shd w:val="clear" w:color="auto" w:fill="F2F2F2" w:themeFill="background1" w:themeFillShade="F2"/>
                </w:tcPr>
                <w:p w14:paraId="72EEC70A" w14:textId="77777777" w:rsidR="00960A13" w:rsidRPr="00F77E8E" w:rsidRDefault="00960A13" w:rsidP="00A677C9">
                  <w:pPr>
                    <w:spacing w:before="240" w:after="240"/>
                    <w:rPr>
                      <w:b/>
                      <w:szCs w:val="22"/>
                    </w:rPr>
                  </w:pPr>
                  <w:r w:rsidRPr="00F77E8E">
                    <w:rPr>
                      <w:b/>
                      <w:szCs w:val="22"/>
                    </w:rPr>
                    <w:t xml:space="preserve">Case study: John, age 55 </w:t>
                  </w:r>
                </w:p>
                <w:p w14:paraId="13D8DAB4" w14:textId="07F09D1C" w:rsidR="00960A13" w:rsidRPr="00F77E8E" w:rsidRDefault="00960A13" w:rsidP="00A677C9">
                  <w:pPr>
                    <w:spacing w:before="240" w:after="240"/>
                    <w:rPr>
                      <w:szCs w:val="22"/>
                    </w:rPr>
                  </w:pPr>
                  <w:r w:rsidRPr="00F77E8E">
                    <w:rPr>
                      <w:szCs w:val="22"/>
                    </w:rPr>
                    <w:t>John is a 55 year old Aboriginal man. He currently receives Support at Home classification 1 to help support him at home. He has several chronic health conditions and lives with his wife and adult son. His GP has recommended he be reassessed to help him manage his health conditions. After yarning to John and his family, the assessor recommends the Restorative Care Pathway</w:t>
                  </w:r>
                  <w:r w:rsidR="00133D48" w:rsidRPr="00F77E8E">
                    <w:rPr>
                      <w:szCs w:val="22"/>
                    </w:rPr>
                    <w:t xml:space="preserve"> (RCP)</w:t>
                  </w:r>
                  <w:r w:rsidRPr="00F77E8E">
                    <w:rPr>
                      <w:szCs w:val="22"/>
                    </w:rPr>
                    <w:t>. This is because services and education on how he can remain independent at home could help the household which is a good outcome for everyone. John knows he can manage his health conditions if given the support to do so​</w:t>
                  </w:r>
                  <w:r w:rsidR="005B3E05" w:rsidRPr="00F77E8E">
                    <w:rPr>
                      <w:szCs w:val="22"/>
                    </w:rPr>
                    <w:t>.</w:t>
                  </w:r>
                </w:p>
                <w:p w14:paraId="2F1B6A6B" w14:textId="0738991B" w:rsidR="00960A13" w:rsidRPr="00F77E8E" w:rsidRDefault="00960A13" w:rsidP="00A677C9">
                  <w:pPr>
                    <w:spacing w:before="240" w:after="240"/>
                    <w:rPr>
                      <w:szCs w:val="22"/>
                    </w:rPr>
                  </w:pPr>
                  <w:r w:rsidRPr="00F77E8E">
                    <w:rPr>
                      <w:szCs w:val="22"/>
                    </w:rPr>
                    <w:t xml:space="preserve">His goals support restorative care outcomes (to regain function, keep level of independence, delay needing higher level of services). John was also approved for assistive technology and home modifications funding to support his </w:t>
                  </w:r>
                  <w:r w:rsidR="00011A0C" w:rsidRPr="00F77E8E">
                    <w:rPr>
                      <w:szCs w:val="22"/>
                    </w:rPr>
                    <w:t>RCP episode.</w:t>
                  </w:r>
                  <w:r w:rsidR="006E3014" w:rsidRPr="00F77E8E">
                    <w:rPr>
                      <w:szCs w:val="22"/>
                    </w:rPr>
                    <w:t xml:space="preserve"> </w:t>
                  </w:r>
                  <w:r w:rsidR="00011A0C" w:rsidRPr="00F77E8E">
                    <w:rPr>
                      <w:szCs w:val="22"/>
                    </w:rPr>
                    <w:t>T</w:t>
                  </w:r>
                  <w:r w:rsidRPr="00F77E8E">
                    <w:rPr>
                      <w:szCs w:val="22"/>
                    </w:rPr>
                    <w:t xml:space="preserve">his is funded through the </w:t>
                  </w:r>
                  <w:r w:rsidR="006E3014" w:rsidRPr="00F77E8E">
                    <w:rPr>
                      <w:szCs w:val="22"/>
                    </w:rPr>
                    <w:t>Assistive</w:t>
                  </w:r>
                  <w:r w:rsidR="001E3125" w:rsidRPr="00F77E8E">
                    <w:rPr>
                      <w:szCs w:val="22"/>
                    </w:rPr>
                    <w:t xml:space="preserve"> </w:t>
                  </w:r>
                  <w:r w:rsidRPr="00F77E8E">
                    <w:rPr>
                      <w:szCs w:val="22"/>
                    </w:rPr>
                    <w:t>T</w:t>
                  </w:r>
                  <w:r w:rsidR="001E3125" w:rsidRPr="00F77E8E">
                    <w:rPr>
                      <w:szCs w:val="22"/>
                    </w:rPr>
                    <w:t>echnology</w:t>
                  </w:r>
                  <w:r w:rsidRPr="00F77E8E">
                    <w:rPr>
                      <w:szCs w:val="22"/>
                    </w:rPr>
                    <w:t>-H</w:t>
                  </w:r>
                  <w:r w:rsidR="001E3125" w:rsidRPr="00F77E8E">
                    <w:rPr>
                      <w:szCs w:val="22"/>
                    </w:rPr>
                    <w:t xml:space="preserve">ome </w:t>
                  </w:r>
                  <w:r w:rsidRPr="00F77E8E">
                    <w:rPr>
                      <w:szCs w:val="22"/>
                    </w:rPr>
                    <w:t>M</w:t>
                  </w:r>
                  <w:r w:rsidR="001E3125" w:rsidRPr="00F77E8E">
                    <w:rPr>
                      <w:szCs w:val="22"/>
                    </w:rPr>
                    <w:t>odifications (AT-HM)</w:t>
                  </w:r>
                  <w:r w:rsidRPr="00F77E8E">
                    <w:rPr>
                      <w:szCs w:val="22"/>
                    </w:rPr>
                    <w:t xml:space="preserve"> scheme​. </w:t>
                  </w:r>
                </w:p>
                <w:p w14:paraId="0C3CEB57" w14:textId="77777777" w:rsidR="00960A13" w:rsidRPr="00F77E8E" w:rsidRDefault="00960A13" w:rsidP="00A677C9">
                  <w:pPr>
                    <w:spacing w:before="240" w:after="240"/>
                    <w:rPr>
                      <w:b/>
                      <w:szCs w:val="22"/>
                    </w:rPr>
                  </w:pPr>
                  <w:r w:rsidRPr="00F77E8E">
                    <w:rPr>
                      <w:b/>
                      <w:szCs w:val="22"/>
                    </w:rPr>
                    <w:t>Delivery​ </w:t>
                  </w:r>
                </w:p>
                <w:p w14:paraId="2FEAC1E1" w14:textId="77777777" w:rsidR="00960A13" w:rsidRPr="00F77E8E" w:rsidRDefault="00960A13" w:rsidP="00A677C9">
                  <w:pPr>
                    <w:spacing w:before="240" w:after="240"/>
                    <w:rPr>
                      <w:szCs w:val="22"/>
                    </w:rPr>
                  </w:pPr>
                  <w:r w:rsidRPr="00F77E8E">
                    <w:rPr>
                      <w:szCs w:val="22"/>
                    </w:rPr>
                    <w:t>​John’s restorative care provides:​ </w:t>
                  </w:r>
                </w:p>
                <w:p w14:paraId="5C1CA728" w14:textId="7B71E0CA" w:rsidR="00960A13" w:rsidRPr="00F77E8E" w:rsidRDefault="00960A13" w:rsidP="00DF3F6B">
                  <w:pPr>
                    <w:pStyle w:val="ListParagraph"/>
                    <w:numPr>
                      <w:ilvl w:val="0"/>
                      <w:numId w:val="202"/>
                    </w:numPr>
                    <w:spacing w:before="240" w:after="240"/>
                    <w:rPr>
                      <w:szCs w:val="22"/>
                    </w:rPr>
                  </w:pPr>
                  <w:r w:rsidRPr="00F77E8E">
                    <w:rPr>
                      <w:szCs w:val="22"/>
                    </w:rPr>
                    <w:t xml:space="preserve">Support and referrals to help manage his health issues including to a care manager at the local </w:t>
                  </w:r>
                  <w:r w:rsidR="006E3014" w:rsidRPr="00F77E8E">
                    <w:rPr>
                      <w:szCs w:val="22"/>
                    </w:rPr>
                    <w:t>primary health network</w:t>
                  </w:r>
                  <w:r w:rsidRPr="00F77E8E">
                    <w:rPr>
                      <w:szCs w:val="22"/>
                    </w:rPr>
                    <w:t xml:space="preserve"> for his diabetes​ </w:t>
                  </w:r>
                </w:p>
                <w:p w14:paraId="5245A23D" w14:textId="3DB52542" w:rsidR="00960A13" w:rsidRPr="00F77E8E" w:rsidRDefault="00960A13" w:rsidP="00DF3F6B">
                  <w:pPr>
                    <w:pStyle w:val="ListParagraph"/>
                    <w:numPr>
                      <w:ilvl w:val="0"/>
                      <w:numId w:val="202"/>
                    </w:numPr>
                    <w:spacing w:before="240" w:after="240"/>
                  </w:pPr>
                  <w:r>
                    <w:t xml:space="preserve">Support from a </w:t>
                  </w:r>
                  <w:r w:rsidR="00C437A2">
                    <w:t>r</w:t>
                  </w:r>
                  <w:r>
                    <w:t xml:space="preserve">egistered </w:t>
                  </w:r>
                  <w:r w:rsidR="00C437A2">
                    <w:t>n</w:t>
                  </w:r>
                  <w:r>
                    <w:t>urse who provides education and advice around how John can manage his health conditions. </w:t>
                  </w:r>
                </w:p>
                <w:p w14:paraId="1899406B" w14:textId="568A881E" w:rsidR="00960A13" w:rsidRPr="00F77E8E" w:rsidRDefault="00960A13" w:rsidP="00DF3F6B">
                  <w:pPr>
                    <w:pStyle w:val="ListParagraph"/>
                    <w:numPr>
                      <w:ilvl w:val="0"/>
                      <w:numId w:val="202"/>
                    </w:numPr>
                    <w:spacing w:before="240" w:after="240"/>
                  </w:pPr>
                  <w:r>
                    <w:t>​An occupational therapist (OT) visits several times to talk to John and his family about what assistive technology and home modifications can help him and, how John and his family can use the assistive technology safely and to check that home modifications meet John’s needs.</w:t>
                  </w:r>
                </w:p>
                <w:p w14:paraId="712A6448" w14:textId="4A009F7A" w:rsidR="00960A13" w:rsidRPr="00F77E8E" w:rsidRDefault="00960A13" w:rsidP="00DF3F6B">
                  <w:pPr>
                    <w:pStyle w:val="ListParagraph"/>
                    <w:numPr>
                      <w:ilvl w:val="0"/>
                      <w:numId w:val="202"/>
                    </w:numPr>
                    <w:spacing w:before="240" w:after="240"/>
                  </w:pPr>
                  <w:r>
                    <w:t xml:space="preserve">Administration and coordination costs of sourcing relevant </w:t>
                  </w:r>
                  <w:r w:rsidR="00F52DBB">
                    <w:t>AT-HM</w:t>
                  </w:r>
                  <w:r>
                    <w:t xml:space="preserve"> to support</w:t>
                  </w:r>
                  <w:r w:rsidR="00F52DBB">
                    <w:t xml:space="preserve"> his</w:t>
                  </w:r>
                  <w:r>
                    <w:t xml:space="preserve"> restorative care goals.  </w:t>
                  </w:r>
                </w:p>
                <w:p w14:paraId="4A42BE05" w14:textId="77777777" w:rsidR="00F7404B" w:rsidRPr="00F77E8E" w:rsidRDefault="00960A13" w:rsidP="00DF3F6B">
                  <w:pPr>
                    <w:pStyle w:val="ListParagraph"/>
                    <w:numPr>
                      <w:ilvl w:val="0"/>
                      <w:numId w:val="202"/>
                    </w:numPr>
                    <w:spacing w:before="240" w:after="240"/>
                    <w:rPr>
                      <w:szCs w:val="22"/>
                    </w:rPr>
                  </w:pPr>
                  <w:r w:rsidRPr="00F77E8E">
                    <w:rPr>
                      <w:szCs w:val="22"/>
                    </w:rPr>
                    <w:t xml:space="preserve">An Aboriginal and Torres Strait Islander Health Worker works with John to help provide cultural support, treatments and conduct relevant health assessments and provide connection to other relevant services, as required. </w:t>
                  </w:r>
                </w:p>
                <w:p w14:paraId="72E8E149" w14:textId="77777777" w:rsidR="00F7404B" w:rsidRPr="00F77E8E" w:rsidRDefault="00F7404B" w:rsidP="00A677C9">
                  <w:pPr>
                    <w:pStyle w:val="ListParagraph"/>
                    <w:spacing w:before="240" w:after="240"/>
                    <w:rPr>
                      <w:szCs w:val="22"/>
                    </w:rPr>
                  </w:pPr>
                </w:p>
                <w:p w14:paraId="391A4C4F" w14:textId="426A2B7B" w:rsidR="00960A13" w:rsidRPr="00F77E8E" w:rsidRDefault="00960A13" w:rsidP="00A677C9">
                  <w:pPr>
                    <w:spacing w:before="240" w:after="240"/>
                    <w:rPr>
                      <w:szCs w:val="22"/>
                    </w:rPr>
                  </w:pPr>
                  <w:r w:rsidRPr="00F77E8E">
                    <w:rPr>
                      <w:szCs w:val="22"/>
                    </w:rPr>
                    <w:t xml:space="preserve">John’s ongoing Support at Home services continue. </w:t>
                  </w:r>
                  <w:r w:rsidR="00AF3110" w:rsidRPr="00F77E8E">
                    <w:rPr>
                      <w:szCs w:val="22"/>
                    </w:rPr>
                    <w:t>A r</w:t>
                  </w:r>
                  <w:r w:rsidRPr="00F77E8E">
                    <w:rPr>
                      <w:szCs w:val="22"/>
                    </w:rPr>
                    <w:t xml:space="preserve">estorative </w:t>
                  </w:r>
                  <w:r w:rsidR="00AF3110" w:rsidRPr="00F77E8E">
                    <w:rPr>
                      <w:szCs w:val="22"/>
                    </w:rPr>
                    <w:t>c</w:t>
                  </w:r>
                  <w:r w:rsidRPr="00F77E8E">
                    <w:rPr>
                      <w:szCs w:val="22"/>
                    </w:rPr>
                    <w:t xml:space="preserve">are </w:t>
                  </w:r>
                  <w:r w:rsidR="00AF3110" w:rsidRPr="00F77E8E">
                    <w:rPr>
                      <w:szCs w:val="22"/>
                    </w:rPr>
                    <w:t>p</w:t>
                  </w:r>
                  <w:r w:rsidRPr="00F77E8E">
                    <w:rPr>
                      <w:szCs w:val="22"/>
                    </w:rPr>
                    <w:t xml:space="preserve">artner helps ensure restorative care services </w:t>
                  </w:r>
                  <w:r w:rsidR="00E97906" w:rsidRPr="00F77E8E">
                    <w:rPr>
                      <w:szCs w:val="22"/>
                    </w:rPr>
                    <w:t>complement</w:t>
                  </w:r>
                  <w:r w:rsidRPr="00F77E8E">
                    <w:rPr>
                      <w:szCs w:val="22"/>
                    </w:rPr>
                    <w:t xml:space="preserve"> his ongoing Support at Home services.</w:t>
                  </w:r>
                </w:p>
                <w:p w14:paraId="332D0EA3" w14:textId="4423E9F6" w:rsidR="00960A13" w:rsidRPr="00282961" w:rsidRDefault="00960A13" w:rsidP="00A677C9">
                  <w:pPr>
                    <w:spacing w:before="240" w:after="240"/>
                    <w:rPr>
                      <w:b/>
                      <w:szCs w:val="22"/>
                    </w:rPr>
                  </w:pPr>
                  <w:r w:rsidRPr="00F77E8E">
                    <w:rPr>
                      <w:b/>
                      <w:szCs w:val="22"/>
                    </w:rPr>
                    <w:t>Outcomes </w:t>
                  </w:r>
                </w:p>
                <w:p w14:paraId="60057FDB" w14:textId="01F9470F" w:rsidR="00960A13" w:rsidRPr="00F77E8E" w:rsidRDefault="00EB256A" w:rsidP="00A677C9">
                  <w:pPr>
                    <w:spacing w:before="240" w:after="240"/>
                  </w:pPr>
                  <w:r w:rsidRPr="00F77E8E">
                    <w:rPr>
                      <w:szCs w:val="22"/>
                    </w:rPr>
                    <w:t>John’s r</w:t>
                  </w:r>
                  <w:r w:rsidR="00960A13" w:rsidRPr="00F77E8E">
                    <w:rPr>
                      <w:szCs w:val="22"/>
                    </w:rPr>
                    <w:t xml:space="preserve">estorative </w:t>
                  </w:r>
                  <w:r w:rsidRPr="00F77E8E">
                    <w:rPr>
                      <w:szCs w:val="22"/>
                    </w:rPr>
                    <w:t>c</w:t>
                  </w:r>
                  <w:r w:rsidR="00960A13" w:rsidRPr="00F77E8E">
                    <w:rPr>
                      <w:szCs w:val="22"/>
                    </w:rPr>
                    <w:t xml:space="preserve">are partner finalises the </w:t>
                  </w:r>
                  <w:r w:rsidR="00A86C54" w:rsidRPr="00F77E8E">
                    <w:rPr>
                      <w:szCs w:val="22"/>
                    </w:rPr>
                    <w:t>e</w:t>
                  </w:r>
                  <w:r w:rsidR="00960A13" w:rsidRPr="00F77E8E">
                    <w:rPr>
                      <w:szCs w:val="22"/>
                    </w:rPr>
                    <w:t xml:space="preserve">xit </w:t>
                  </w:r>
                  <w:r w:rsidR="00A86C54" w:rsidRPr="00F77E8E">
                    <w:rPr>
                      <w:szCs w:val="22"/>
                    </w:rPr>
                    <w:t>p</w:t>
                  </w:r>
                  <w:r w:rsidR="00960A13" w:rsidRPr="00F77E8E">
                    <w:rPr>
                      <w:szCs w:val="22"/>
                    </w:rPr>
                    <w:t xml:space="preserve">lan after </w:t>
                  </w:r>
                  <w:r w:rsidR="00B805A3" w:rsidRPr="00F77E8E">
                    <w:rPr>
                      <w:szCs w:val="22"/>
                    </w:rPr>
                    <w:t>reviewing</w:t>
                  </w:r>
                  <w:r w:rsidR="0044405E" w:rsidRPr="00F77E8E">
                    <w:rPr>
                      <w:szCs w:val="22"/>
                    </w:rPr>
                    <w:t xml:space="preserve"> the goals i</w:t>
                  </w:r>
                  <w:r w:rsidR="00C20F2B" w:rsidRPr="00F77E8E">
                    <w:rPr>
                      <w:szCs w:val="22"/>
                    </w:rPr>
                    <w:t>dentified in John’s</w:t>
                  </w:r>
                  <w:r w:rsidR="0044405E" w:rsidRPr="00F77E8E">
                    <w:rPr>
                      <w:szCs w:val="22"/>
                    </w:rPr>
                    <w:t xml:space="preserve"> goal plan</w:t>
                  </w:r>
                  <w:r w:rsidR="00960A13" w:rsidRPr="00F77E8E">
                    <w:rPr>
                      <w:szCs w:val="22"/>
                    </w:rPr>
                    <w:t xml:space="preserve">. John feels that he </w:t>
                  </w:r>
                  <w:r w:rsidR="0044405E" w:rsidRPr="00F77E8E">
                    <w:rPr>
                      <w:szCs w:val="22"/>
                    </w:rPr>
                    <w:t>can</w:t>
                  </w:r>
                  <w:r w:rsidR="00960A13" w:rsidRPr="00F77E8E">
                    <w:rPr>
                      <w:szCs w:val="22"/>
                    </w:rPr>
                    <w:t xml:space="preserve"> apply what he learnt about managing his conditions</w:t>
                  </w:r>
                  <w:r w:rsidR="00C20F2B" w:rsidRPr="00F77E8E">
                    <w:rPr>
                      <w:szCs w:val="22"/>
                    </w:rPr>
                    <w:t>,</w:t>
                  </w:r>
                  <w:r w:rsidR="00960A13" w:rsidRPr="00F77E8E">
                    <w:rPr>
                      <w:szCs w:val="22"/>
                    </w:rPr>
                    <w:t xml:space="preserve"> decid</w:t>
                  </w:r>
                  <w:r w:rsidR="00C20F2B" w:rsidRPr="00F77E8E">
                    <w:rPr>
                      <w:szCs w:val="22"/>
                    </w:rPr>
                    <w:t>ing</w:t>
                  </w:r>
                  <w:r w:rsidR="00960A13" w:rsidRPr="00F77E8E">
                    <w:rPr>
                      <w:szCs w:val="22"/>
                    </w:rPr>
                    <w:t xml:space="preserve"> he was happy with his current level of ongoing support. His </w:t>
                  </w:r>
                  <w:r w:rsidR="00497814" w:rsidRPr="00F77E8E">
                    <w:rPr>
                      <w:szCs w:val="22"/>
                    </w:rPr>
                    <w:t xml:space="preserve">RCP </w:t>
                  </w:r>
                  <w:r w:rsidR="00960A13" w:rsidRPr="00F77E8E">
                    <w:rPr>
                      <w:szCs w:val="22"/>
                    </w:rPr>
                    <w:t>episode ceases and his ongoing Support at Home services continue.  </w:t>
                  </w:r>
                </w:p>
              </w:tc>
            </w:tr>
          </w:tbl>
          <w:p w14:paraId="79B827BA" w14:textId="77777777" w:rsidR="00960A13" w:rsidRPr="009E1361" w:rsidRDefault="00960A13" w:rsidP="00A677C9">
            <w:pPr>
              <w:spacing w:before="240" w:after="240"/>
            </w:pPr>
          </w:p>
        </w:tc>
        <w:tc>
          <w:tcPr>
            <w:tcW w:w="222" w:type="dxa"/>
          </w:tcPr>
          <w:p w14:paraId="28D9084D" w14:textId="77777777" w:rsidR="00960A13" w:rsidRPr="009E1361" w:rsidRDefault="00960A13" w:rsidP="00A677C9">
            <w:pPr>
              <w:spacing w:before="240" w:after="240"/>
            </w:pPr>
          </w:p>
        </w:tc>
      </w:tr>
    </w:tbl>
    <w:p w14:paraId="55DE49AF" w14:textId="77777777" w:rsidR="00960A13" w:rsidRPr="009E1361" w:rsidRDefault="00960A13" w:rsidP="00C56CEC">
      <w:pPr>
        <w:pStyle w:val="H3"/>
      </w:pPr>
      <w:r w:rsidRPr="009E1361">
        <w:t>Expectation setting</w:t>
      </w:r>
    </w:p>
    <w:p w14:paraId="4BBD9E8F" w14:textId="1A64ADB9" w:rsidR="00960A13" w:rsidRPr="009E1361" w:rsidRDefault="00960A13" w:rsidP="00A677C9">
      <w:pPr>
        <w:spacing w:before="240" w:after="240" w:line="240" w:lineRule="auto"/>
        <w:rPr>
          <w:b/>
        </w:rPr>
      </w:pPr>
      <w:r w:rsidRPr="009E1361">
        <w:t xml:space="preserve">Expectation setting is an important part of ensuring restorative care is successful and helps ensure people receive the care they need. Assessors should ensure the roles, responsibilities and objectives of </w:t>
      </w:r>
      <w:r w:rsidR="00B805A3">
        <w:t>RCP</w:t>
      </w:r>
      <w:r w:rsidRPr="009E1361">
        <w:t xml:space="preserve"> are fully explained during the assessment (including in comparison to ongoing care). This should happen before the </w:t>
      </w:r>
      <w:r w:rsidR="005B3B1A">
        <w:t>RCP</w:t>
      </w:r>
      <w:r w:rsidRPr="009E1361">
        <w:t xml:space="preserve"> is recommended to ensure the older person fully understands the support that will be available to them and their role. Older people who do not have the capacity or the willingness to engage with the R</w:t>
      </w:r>
      <w:r w:rsidR="005B3B1A">
        <w:t>CP</w:t>
      </w:r>
      <w:r w:rsidRPr="009E1361">
        <w:t xml:space="preserve"> should not be recommended and approved for it.  </w:t>
      </w:r>
    </w:p>
    <w:p w14:paraId="4478A193" w14:textId="77777777" w:rsidR="00960A13" w:rsidRPr="009E1361" w:rsidRDefault="00960A13" w:rsidP="00A677C9">
      <w:pPr>
        <w:spacing w:before="240" w:after="240" w:line="240" w:lineRule="auto"/>
        <w:rPr>
          <w:b/>
        </w:rPr>
      </w:pPr>
      <w:r w:rsidRPr="009E1361">
        <w:t>For older people new to the aged care system and who are not receiving aged care services:</w:t>
      </w:r>
    </w:p>
    <w:p w14:paraId="62DB6522" w14:textId="67FFEE3D" w:rsidR="00960A13" w:rsidRPr="00CA302D" w:rsidRDefault="00960A13" w:rsidP="00DF3F6B">
      <w:pPr>
        <w:pStyle w:val="ListParagraph"/>
        <w:numPr>
          <w:ilvl w:val="0"/>
          <w:numId w:val="166"/>
        </w:numPr>
        <w:spacing w:before="240" w:after="240" w:line="240" w:lineRule="auto"/>
        <w:rPr>
          <w:b/>
        </w:rPr>
      </w:pPr>
      <w:r w:rsidRPr="009E1361">
        <w:t xml:space="preserve">an ongoing Support at Home </w:t>
      </w:r>
      <w:r w:rsidR="00560B0A">
        <w:t>or CHSP</w:t>
      </w:r>
      <w:r w:rsidRPr="009E1361">
        <w:t xml:space="preserve"> classification cannot be recommended at the same time as the R</w:t>
      </w:r>
      <w:r w:rsidR="00240AD7">
        <w:t>CP</w:t>
      </w:r>
      <w:r w:rsidRPr="009E1361">
        <w:t>.</w:t>
      </w:r>
    </w:p>
    <w:p w14:paraId="406DBF82" w14:textId="24C8C9E0" w:rsidR="002A3656" w:rsidRPr="009E1361" w:rsidRDefault="0084370A" w:rsidP="00DF3F6B">
      <w:pPr>
        <w:pStyle w:val="ListParagraph"/>
        <w:numPr>
          <w:ilvl w:val="0"/>
          <w:numId w:val="166"/>
        </w:numPr>
        <w:spacing w:before="240" w:after="240" w:line="240" w:lineRule="auto"/>
        <w:rPr>
          <w:b/>
        </w:rPr>
      </w:pPr>
      <w:r>
        <w:t>t</w:t>
      </w:r>
      <w:r w:rsidR="002A3656">
        <w:t>he R</w:t>
      </w:r>
      <w:r w:rsidR="00364DAC">
        <w:t>CP</w:t>
      </w:r>
      <w:r w:rsidR="002A3656">
        <w:t xml:space="preserve"> is </w:t>
      </w:r>
      <w:r w:rsidR="002A3656" w:rsidRPr="005D2CC2">
        <w:rPr>
          <w:u w:val="single"/>
        </w:rPr>
        <w:t>not</w:t>
      </w:r>
      <w:r w:rsidR="002A3656">
        <w:t xml:space="preserve"> a mechanism to access urgent services.</w:t>
      </w:r>
    </w:p>
    <w:p w14:paraId="15C3B64D" w14:textId="77777777" w:rsidR="00960A13" w:rsidRPr="009E1361" w:rsidRDefault="00960A13" w:rsidP="00A677C9">
      <w:pPr>
        <w:spacing w:before="240" w:after="240" w:line="240" w:lineRule="auto"/>
        <w:rPr>
          <w:b/>
        </w:rPr>
      </w:pPr>
      <w:r w:rsidRPr="009E1361">
        <w:t>For older people who are receiving aged care services through an ongoing classification:</w:t>
      </w:r>
    </w:p>
    <w:p w14:paraId="10355F7F" w14:textId="31AE22BC" w:rsidR="00960A13" w:rsidRPr="009E1361" w:rsidRDefault="00960A13" w:rsidP="00DF3F6B">
      <w:pPr>
        <w:pStyle w:val="ListParagraph"/>
        <w:numPr>
          <w:ilvl w:val="0"/>
          <w:numId w:val="166"/>
        </w:numPr>
        <w:spacing w:before="240" w:after="240" w:line="240" w:lineRule="auto"/>
      </w:pPr>
      <w:r w:rsidRPr="009E1361">
        <w:t>The R</w:t>
      </w:r>
      <w:r w:rsidR="00106AF7">
        <w:t>CP</w:t>
      </w:r>
      <w:r w:rsidRPr="009E1361">
        <w:t xml:space="preserve"> can be recommended and approved where eligibility criteria </w:t>
      </w:r>
      <w:r w:rsidRPr="009E1361">
        <w:rPr>
          <w:b/>
        </w:rPr>
        <w:t>are</w:t>
      </w:r>
      <w:r w:rsidRPr="009E1361">
        <w:t xml:space="preserve"> met.</w:t>
      </w:r>
    </w:p>
    <w:p w14:paraId="6A9D5577" w14:textId="3C263563" w:rsidR="00960A13" w:rsidRPr="009E1361" w:rsidRDefault="00960A13" w:rsidP="00DF3F6B">
      <w:pPr>
        <w:pStyle w:val="ListParagraph"/>
        <w:numPr>
          <w:ilvl w:val="1"/>
          <w:numId w:val="166"/>
        </w:numPr>
        <w:spacing w:before="240" w:after="240" w:line="240" w:lineRule="auto"/>
      </w:pPr>
      <w:r w:rsidRPr="009E1361">
        <w:t xml:space="preserve">Assessors must consider the potential for functional improvement that would delay the need for a </w:t>
      </w:r>
      <w:r w:rsidR="00585229" w:rsidRPr="009E1361">
        <w:t>higher-level</w:t>
      </w:r>
      <w:r w:rsidRPr="009E1361">
        <w:t xml:space="preserve"> classification when approving</w:t>
      </w:r>
      <w:r w:rsidR="00744BD2">
        <w:t xml:space="preserve"> RCP</w:t>
      </w:r>
      <w:r w:rsidR="0067601B">
        <w:t xml:space="preserve"> (as a higher ongoing Support at Home classification cannot be recommended at the same time)</w:t>
      </w:r>
      <w:r w:rsidRPr="009E1361">
        <w:t xml:space="preserve">. </w:t>
      </w:r>
    </w:p>
    <w:p w14:paraId="30E49744" w14:textId="5E280B53" w:rsidR="00960A13" w:rsidRPr="009E1361" w:rsidRDefault="00960A13" w:rsidP="00DF3F6B">
      <w:pPr>
        <w:pStyle w:val="ListParagraph"/>
        <w:numPr>
          <w:ilvl w:val="1"/>
          <w:numId w:val="166"/>
        </w:numPr>
        <w:spacing w:before="240" w:after="240" w:line="240" w:lineRule="auto"/>
        <w:rPr>
          <w:b/>
          <w:bCs/>
        </w:rPr>
      </w:pPr>
      <w:r w:rsidRPr="009E1361">
        <w:t>The R</w:t>
      </w:r>
      <w:r w:rsidR="00744BD2">
        <w:t>CP</w:t>
      </w:r>
      <w:r w:rsidRPr="009E1361">
        <w:t xml:space="preserve"> is </w:t>
      </w:r>
      <w:r w:rsidRPr="009E1361">
        <w:rPr>
          <w:u w:val="single"/>
        </w:rPr>
        <w:t>not</w:t>
      </w:r>
      <w:r w:rsidRPr="009E1361">
        <w:t xml:space="preserve"> a mechanism to provide additional funding to supplement ongoing services.</w:t>
      </w:r>
    </w:p>
    <w:p w14:paraId="4C8BC7CC" w14:textId="7CA42113"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If, through a reassessment, the IAT outcome is a higher ongoing classification, assessors will only be able to select the higher ongoing classification OR the R</w:t>
      </w:r>
      <w:r w:rsidR="00585229">
        <w:rPr>
          <w:rFonts w:eastAsiaTheme="majorEastAsia"/>
          <w:b w:val="0"/>
        </w:rPr>
        <w:t>CP</w:t>
      </w:r>
      <w:r w:rsidRPr="009E1361">
        <w:rPr>
          <w:rFonts w:eastAsiaTheme="majorEastAsia"/>
          <w:b w:val="0"/>
        </w:rPr>
        <w:t xml:space="preserve">. </w:t>
      </w:r>
    </w:p>
    <w:p w14:paraId="297CAA83" w14:textId="35614092" w:rsidR="00960A13" w:rsidRPr="009E1361" w:rsidRDefault="00960A13" w:rsidP="00DF3F6B">
      <w:pPr>
        <w:pStyle w:val="ListParagraph"/>
        <w:numPr>
          <w:ilvl w:val="1"/>
          <w:numId w:val="166"/>
        </w:numPr>
        <w:spacing w:before="240" w:after="240" w:line="240" w:lineRule="auto"/>
      </w:pPr>
      <w:r w:rsidRPr="009E1361">
        <w:t>If the R</w:t>
      </w:r>
      <w:r w:rsidR="00585229">
        <w:t>CP</w:t>
      </w:r>
      <w:r w:rsidRPr="009E1361">
        <w:t xml:space="preserve"> is selected, the person will remain on their current ongoing classification (rather than the higher classification recommended).  </w:t>
      </w:r>
    </w:p>
    <w:p w14:paraId="2EA62F6B" w14:textId="0AB4CCD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 xml:space="preserve">Assessors should consider if the older person’s current provider delivers the </w:t>
      </w:r>
      <w:r w:rsidR="00106AF7">
        <w:rPr>
          <w:rFonts w:eastAsiaTheme="majorEastAsia"/>
          <w:b w:val="0"/>
        </w:rPr>
        <w:t>RCP</w:t>
      </w:r>
      <w:r w:rsidRPr="009E1361">
        <w:rPr>
          <w:rFonts w:eastAsiaTheme="majorEastAsia"/>
          <w:b w:val="0"/>
        </w:rPr>
        <w:t xml:space="preserve">. </w:t>
      </w:r>
    </w:p>
    <w:p w14:paraId="3875EED1" w14:textId="44C7346A" w:rsidR="00960A13" w:rsidRPr="009E1361" w:rsidRDefault="00960A13" w:rsidP="00DF3F6B">
      <w:pPr>
        <w:pStyle w:val="ListParagraph"/>
        <w:numPr>
          <w:ilvl w:val="1"/>
          <w:numId w:val="166"/>
        </w:numPr>
        <w:spacing w:before="240" w:after="240" w:line="240" w:lineRule="auto"/>
      </w:pPr>
      <w:r w:rsidRPr="009E1361">
        <w:t xml:space="preserve">Under Support at Home, services must be delivered by a single provider (service delivery branch level). If the provider does not deliver the </w:t>
      </w:r>
      <w:r w:rsidR="000A0F60">
        <w:t>RCP</w:t>
      </w:r>
      <w:r w:rsidRPr="009E1361">
        <w:t xml:space="preserve">, the participant will need to change providers to access both </w:t>
      </w:r>
      <w:r w:rsidR="006410BC">
        <w:t>RCP</w:t>
      </w:r>
      <w:r w:rsidRPr="009E1361">
        <w:t xml:space="preserve"> and ongoing services. This should be considered before approving </w:t>
      </w:r>
      <w:r w:rsidR="006410BC">
        <w:t xml:space="preserve">the </w:t>
      </w:r>
      <w:r w:rsidRPr="009E1361">
        <w:t>R</w:t>
      </w:r>
      <w:r w:rsidR="006410BC">
        <w:t>CP</w:t>
      </w:r>
      <w:r w:rsidRPr="009E1361">
        <w:t xml:space="preserve"> for people already accessing ongoing services through Support at Home. </w:t>
      </w:r>
    </w:p>
    <w:p w14:paraId="1F57A4B0" w14:textId="019E99D8" w:rsidR="00960A13" w:rsidRPr="009E1361" w:rsidRDefault="00960A13" w:rsidP="00A677C9">
      <w:pPr>
        <w:spacing w:before="240" w:after="240" w:line="240" w:lineRule="auto"/>
        <w:rPr>
          <w:lang w:val="en-AU"/>
        </w:rPr>
      </w:pPr>
      <w:r w:rsidRPr="009E1361">
        <w:rPr>
          <w:lang w:val="en-AU"/>
        </w:rPr>
        <w:t xml:space="preserve">For those already accessing ongoing care, assessors should carefully consider ongoing needs before recommending </w:t>
      </w:r>
      <w:r w:rsidR="006410BC">
        <w:rPr>
          <w:lang w:val="en-AU"/>
        </w:rPr>
        <w:t xml:space="preserve">the </w:t>
      </w:r>
      <w:r w:rsidRPr="009E1361">
        <w:rPr>
          <w:lang w:val="en-AU"/>
        </w:rPr>
        <w:t>R</w:t>
      </w:r>
      <w:r w:rsidR="006410BC">
        <w:rPr>
          <w:lang w:val="en-AU"/>
        </w:rPr>
        <w:t>CP</w:t>
      </w:r>
      <w:r w:rsidRPr="009E1361">
        <w:rPr>
          <w:lang w:val="en-AU"/>
        </w:rPr>
        <w:t>. Assessors cannot recommend a new higher classification and the R</w:t>
      </w:r>
      <w:r w:rsidR="00850B5E">
        <w:rPr>
          <w:lang w:val="en-AU"/>
        </w:rPr>
        <w:t xml:space="preserve">CP </w:t>
      </w:r>
      <w:r w:rsidRPr="009E1361">
        <w:rPr>
          <w:lang w:val="en-AU"/>
        </w:rPr>
        <w:t xml:space="preserve">at assessment. This will impact a new ongoing </w:t>
      </w:r>
      <w:r w:rsidR="002B067A">
        <w:rPr>
          <w:lang w:val="en-AU"/>
        </w:rPr>
        <w:t xml:space="preserve">Support at Home </w:t>
      </w:r>
      <w:r w:rsidRPr="009E1361">
        <w:rPr>
          <w:lang w:val="en-AU"/>
        </w:rPr>
        <w:t>classification entry into the Priority System</w:t>
      </w:r>
      <w:r w:rsidR="00B23AB0" w:rsidRPr="009E1361">
        <w:rPr>
          <w:lang w:val="en-AU"/>
        </w:rPr>
        <w:t xml:space="preserve">. </w:t>
      </w:r>
    </w:p>
    <w:p w14:paraId="0055C8D6" w14:textId="771E04A7" w:rsidR="00960A13" w:rsidRPr="00A20F68" w:rsidRDefault="00960A13" w:rsidP="00A677C9">
      <w:pPr>
        <w:spacing w:before="240" w:after="240" w:line="240" w:lineRule="auto"/>
        <w:rPr>
          <w:lang w:val="en-AU"/>
        </w:rPr>
      </w:pPr>
      <w:r w:rsidRPr="00A20F68">
        <w:rPr>
          <w:lang w:val="en-AU"/>
        </w:rPr>
        <w:t>For new participants, eligibility for ongoing services will need to be determined at the end of the R</w:t>
      </w:r>
      <w:r w:rsidR="00A21F36">
        <w:rPr>
          <w:lang w:val="en-AU"/>
        </w:rPr>
        <w:t>CP</w:t>
      </w:r>
      <w:r w:rsidRPr="00A20F68">
        <w:rPr>
          <w:lang w:val="en-AU"/>
        </w:rPr>
        <w:t xml:space="preserve"> episode</w:t>
      </w:r>
      <w:r w:rsidR="00AE162E">
        <w:rPr>
          <w:lang w:val="en-AU"/>
        </w:rPr>
        <w:t xml:space="preserve"> (if RCP is recommended)</w:t>
      </w:r>
      <w:r w:rsidRPr="00A20F68">
        <w:rPr>
          <w:lang w:val="en-AU"/>
        </w:rPr>
        <w:t xml:space="preserve">. </w:t>
      </w:r>
    </w:p>
    <w:p w14:paraId="7606657F" w14:textId="5D81CB1F" w:rsidR="00960A13" w:rsidRPr="009E1361" w:rsidRDefault="00960A13" w:rsidP="00C56CEC">
      <w:pPr>
        <w:pStyle w:val="H3"/>
        <w:rPr>
          <w:i/>
        </w:rPr>
      </w:pPr>
      <w:r w:rsidRPr="009E1361">
        <w:t xml:space="preserve">Recommending Restorative Care Pathway in the </w:t>
      </w:r>
      <w:r w:rsidR="0060352D">
        <w:t>assessor portal</w:t>
      </w:r>
    </w:p>
    <w:p w14:paraId="6E70BC56" w14:textId="54245E48" w:rsidR="00960A13" w:rsidRDefault="00960A13" w:rsidP="00A677C9">
      <w:pPr>
        <w:spacing w:before="240" w:after="240" w:line="240" w:lineRule="auto"/>
      </w:pPr>
      <w:r w:rsidRPr="009E1361">
        <w:t xml:space="preserve">Upon finalisation of the IAT, if the IAT outcome recommends an ongoing Support at Home classification, this can be overridden to change the IAT outcome to </w:t>
      </w:r>
      <w:r w:rsidR="00321882">
        <w:t xml:space="preserve">the RCP </w:t>
      </w:r>
      <w:r w:rsidRPr="009E1361">
        <w:t>by clicking the override button. By overriding to the R</w:t>
      </w:r>
      <w:r w:rsidR="00B952BE">
        <w:t>CP</w:t>
      </w:r>
      <w:r w:rsidRPr="009E1361">
        <w:t>, assessor</w:t>
      </w:r>
      <w:r>
        <w:t>s</w:t>
      </w:r>
      <w:r w:rsidRPr="009E1361">
        <w:t xml:space="preserve"> will be navigated to the ‘</w:t>
      </w:r>
      <w:r w:rsidRPr="00EE6B76">
        <w:rPr>
          <w:i/>
        </w:rPr>
        <w:t>Add Home Support Services</w:t>
      </w:r>
      <w:r w:rsidRPr="009E1361">
        <w:t xml:space="preserve">’ page to add services.    </w:t>
      </w:r>
    </w:p>
    <w:p w14:paraId="5B950D7E" w14:textId="62290E75" w:rsidR="00992627" w:rsidRDefault="00992627" w:rsidP="00992627">
      <w:r>
        <w:br w:type="page"/>
      </w:r>
    </w:p>
    <w:p w14:paraId="0A5FC4D2" w14:textId="77777777" w:rsidR="005278F1" w:rsidRDefault="005278F1" w:rsidP="00C325C6">
      <w:pPr>
        <w:pStyle w:val="Sub-headings"/>
        <w:rPr>
          <w:lang w:eastAsia="en-US"/>
          <w14:ligatures w14:val="standardContextual"/>
        </w:rPr>
      </w:pPr>
      <w:r w:rsidRPr="00005E87">
        <w:rPr>
          <w:lang w:eastAsia="en-US"/>
        </w:rPr>
        <w:t>Note</w:t>
      </w:r>
      <w:r w:rsidRPr="00337D1F">
        <w:rPr>
          <w:lang w:eastAsia="en-US"/>
        </w:rPr>
        <w:t>:</w:t>
      </w:r>
      <w:r w:rsidRPr="42A9625C">
        <w:rPr>
          <w:lang w:eastAsia="en-US"/>
        </w:rPr>
        <w:t xml:space="preserve"> </w:t>
      </w:r>
    </w:p>
    <w:p w14:paraId="170E5E45" w14:textId="77777777" w:rsidR="005278F1" w:rsidRDefault="005278F1" w:rsidP="00C325C6">
      <w:pPr>
        <w:pStyle w:val="Sub-headings"/>
        <w:rPr>
          <w:lang w:eastAsia="en-US"/>
          <w14:ligatures w14:val="standardContextual"/>
        </w:rPr>
      </w:pPr>
      <w:r w:rsidRPr="42A9625C">
        <w:rPr>
          <w:lang w:eastAsia="en-US"/>
        </w:rPr>
        <w:t xml:space="preserve">The IAT will allow a CHSP classification to be overridden to RCP during a comprehensive assessment. However, assessors </w:t>
      </w:r>
      <w:r w:rsidRPr="2B44B816">
        <w:rPr>
          <w:lang w:eastAsia="en-US"/>
        </w:rPr>
        <w:t>must</w:t>
      </w:r>
      <w:r w:rsidRPr="42A9625C">
        <w:rPr>
          <w:lang w:eastAsia="en-US"/>
        </w:rPr>
        <w:t xml:space="preserve"> not undertake this action </w:t>
      </w:r>
      <w:r w:rsidRPr="00337D1F">
        <w:rPr>
          <w:lang w:eastAsia="en-US"/>
        </w:rPr>
        <w:t xml:space="preserve">and delegates </w:t>
      </w:r>
      <w:r w:rsidRPr="2B44B816">
        <w:rPr>
          <w:lang w:eastAsia="en-US"/>
        </w:rPr>
        <w:t>must</w:t>
      </w:r>
      <w:r w:rsidRPr="00337D1F">
        <w:rPr>
          <w:lang w:eastAsia="en-US"/>
        </w:rPr>
        <w:t xml:space="preserve"> not approve assessments where this occurs</w:t>
      </w:r>
      <w:r w:rsidRPr="42A9625C">
        <w:rPr>
          <w:lang w:eastAsia="en-US"/>
        </w:rPr>
        <w:t xml:space="preserve">. </w:t>
      </w:r>
    </w:p>
    <w:p w14:paraId="1D433677" w14:textId="77777777" w:rsidR="005278F1" w:rsidRDefault="005278F1" w:rsidP="00C325C6">
      <w:pPr>
        <w:pStyle w:val="Sub-headings"/>
        <w:rPr>
          <w:lang w:eastAsia="en-US"/>
          <w14:ligatures w14:val="standardContextual"/>
        </w:rPr>
      </w:pPr>
      <w:r w:rsidRPr="42A9625C">
        <w:rPr>
          <w:lang w:eastAsia="en-US"/>
        </w:rPr>
        <w:t xml:space="preserve">Where a CHSP classification outcome is generated, RCP cannot be recommended </w:t>
      </w:r>
      <w:r w:rsidRPr="00337D1F">
        <w:rPr>
          <w:lang w:eastAsia="en-US"/>
        </w:rPr>
        <w:t xml:space="preserve">for approval </w:t>
      </w:r>
      <w:r w:rsidRPr="42A9625C">
        <w:rPr>
          <w:lang w:eastAsia="en-US"/>
        </w:rPr>
        <w:t xml:space="preserve">(in line with section 81-15 of the Aged Care Rules.) </w:t>
      </w:r>
    </w:p>
    <w:p w14:paraId="531480BE" w14:textId="465C7E7B" w:rsidR="00282961" w:rsidRDefault="005278F1" w:rsidP="00C325C6">
      <w:pPr>
        <w:pStyle w:val="Sub-headings"/>
      </w:pPr>
      <w:r w:rsidRPr="003A2227">
        <w:rPr>
          <w:lang w:eastAsia="en-US"/>
        </w:rPr>
        <w:t xml:space="preserve">An ongoing SaH classification must be generated to override and recommend RCP </w:t>
      </w:r>
      <w:r w:rsidRPr="00337D1F">
        <w:rPr>
          <w:lang w:eastAsia="en-US"/>
        </w:rPr>
        <w:t>for approval</w:t>
      </w:r>
      <w:r w:rsidRPr="003A2227">
        <w:rPr>
          <w:lang w:eastAsia="en-US"/>
        </w:rPr>
        <w:t>. </w:t>
      </w:r>
    </w:p>
    <w:p w14:paraId="75F61990" w14:textId="3A546928" w:rsidR="00960A13" w:rsidRPr="009E1361" w:rsidRDefault="00960A13" w:rsidP="00A677C9">
      <w:pPr>
        <w:spacing w:before="240" w:after="240" w:line="240" w:lineRule="auto"/>
        <w:rPr>
          <w:b/>
        </w:rPr>
      </w:pPr>
      <w:r w:rsidRPr="009E1361">
        <w:t>Older people approved for the R</w:t>
      </w:r>
      <w:r w:rsidR="00B952BE">
        <w:t>CP</w:t>
      </w:r>
      <w:r w:rsidRPr="009E1361">
        <w:t xml:space="preserve"> can only access services they have been approved for. </w:t>
      </w:r>
    </w:p>
    <w:p w14:paraId="267138BE" w14:textId="0E4472B1" w:rsidR="006E5C48" w:rsidRDefault="00960A13" w:rsidP="00A677C9">
      <w:pPr>
        <w:spacing w:before="240" w:after="240" w:line="240" w:lineRule="auto"/>
      </w:pPr>
      <w:r w:rsidRPr="009E1361">
        <w:t>Assessors should consider what services are being accessed under the person’s ongoing Support at Home classification and ensure they are complementary (and be based on need connected to their restorative care approval)</w:t>
      </w:r>
      <w:r w:rsidR="005163AE">
        <w:t>. Assessors should note that</w:t>
      </w:r>
      <w:r w:rsidRPr="009E1361">
        <w:t xml:space="preserve"> delivery of multidisciplinary intensive allied health/nursing services is a key element of the</w:t>
      </w:r>
      <w:r w:rsidR="00FA2DF2">
        <w:t xml:space="preserve"> </w:t>
      </w:r>
      <w:r w:rsidR="00CC5FD4">
        <w:t>RCP</w:t>
      </w:r>
      <w:r w:rsidRPr="009E1361">
        <w:t>.</w:t>
      </w:r>
      <w:r w:rsidR="00F378B5">
        <w:t xml:space="preserve"> </w:t>
      </w:r>
    </w:p>
    <w:p w14:paraId="28D7D127" w14:textId="48DE2C18" w:rsidR="0016028D" w:rsidRPr="009E1361" w:rsidRDefault="00F378B5" w:rsidP="00A677C9">
      <w:pPr>
        <w:spacing w:before="240" w:after="240" w:line="240" w:lineRule="auto"/>
      </w:pPr>
      <w:r>
        <w:t>Restorative care management is also a mandatory service type</w:t>
      </w:r>
      <w:r w:rsidR="006731D3">
        <w:t xml:space="preserve"> when undertaking the RCP</w:t>
      </w:r>
      <w:r>
        <w:t>.</w:t>
      </w:r>
      <w:r w:rsidR="006E5C48">
        <w:t xml:space="preserve"> </w:t>
      </w:r>
      <w:r w:rsidR="006641BC">
        <w:t>To search for a RCP provider, p</w:t>
      </w:r>
      <w:r w:rsidR="00FC4761">
        <w:t xml:space="preserve">eople can search for </w:t>
      </w:r>
      <w:r w:rsidR="00675C34">
        <w:t xml:space="preserve">the service type </w:t>
      </w:r>
      <w:r w:rsidR="008802EC">
        <w:t>‘</w:t>
      </w:r>
      <w:r w:rsidR="006641BC">
        <w:t>r</w:t>
      </w:r>
      <w:r w:rsidR="008802EC">
        <w:t xml:space="preserve">estorative care management’ </w:t>
      </w:r>
      <w:r w:rsidR="00FC4761">
        <w:t xml:space="preserve">through the </w:t>
      </w:r>
      <w:r w:rsidR="00920B7C">
        <w:t>‘Find a Provider’ website</w:t>
      </w:r>
      <w:r w:rsidR="00FC4761">
        <w:t xml:space="preserve"> </w:t>
      </w:r>
      <w:r w:rsidR="00675C34">
        <w:t>(when</w:t>
      </w:r>
      <w:r w:rsidR="00FC4761">
        <w:t xml:space="preserve"> </w:t>
      </w:r>
      <w:r w:rsidR="00675C34">
        <w:t>‘</w:t>
      </w:r>
      <w:r w:rsidR="00FC4761">
        <w:t>Support at Home program</w:t>
      </w:r>
      <w:r w:rsidR="00675C34">
        <w:t>’</w:t>
      </w:r>
      <w:r w:rsidR="006641BC">
        <w:t xml:space="preserve"> is selected</w:t>
      </w:r>
      <w:r w:rsidR="00920B7C">
        <w:t xml:space="preserve">. </w:t>
      </w:r>
    </w:p>
    <w:p w14:paraId="4AC57019" w14:textId="339C684C" w:rsidR="00696B05" w:rsidRPr="00696B05" w:rsidRDefault="00696B05" w:rsidP="00C325C6">
      <w:pPr>
        <w:pStyle w:val="Sub-headings"/>
      </w:pPr>
      <w:r w:rsidRPr="00005E87">
        <w:t>Note</w:t>
      </w:r>
      <w:r w:rsidRPr="00696B05">
        <w:t xml:space="preserve">: </w:t>
      </w:r>
      <w:r w:rsidRPr="00DD70C7">
        <w:t xml:space="preserve">Hoarding and Squalor services cannot be recommended alongside a recommendation for the Restorative Care Pathway.  </w:t>
      </w:r>
    </w:p>
    <w:p w14:paraId="6AE3D140" w14:textId="05BD12A1" w:rsidR="00C32645" w:rsidRPr="00C32645" w:rsidRDefault="00C32645" w:rsidP="00C325C6">
      <w:pPr>
        <w:pStyle w:val="Sub-headings"/>
      </w:pPr>
      <w:r>
        <w:t xml:space="preserve">Note: </w:t>
      </w:r>
      <w:r w:rsidR="00C65C56">
        <w:t xml:space="preserve">If the client </w:t>
      </w:r>
      <w:r w:rsidR="00E14C45">
        <w:t>is assessed i</w:t>
      </w:r>
      <w:r w:rsidR="006020F4">
        <w:t>n</w:t>
      </w:r>
      <w:r w:rsidR="00E14C45">
        <w:t xml:space="preserve"> hospital, the Restorative Care Pathway should not be recommended</w:t>
      </w:r>
      <w:r w:rsidR="00877902">
        <w:t>.</w:t>
      </w:r>
      <w:r w:rsidR="00E14C45">
        <w:t xml:space="preserve"> </w:t>
      </w:r>
      <w:r w:rsidR="00F3549B">
        <w:t xml:space="preserve">Assessors </w:t>
      </w:r>
      <w:r w:rsidR="00791215">
        <w:t>should consider</w:t>
      </w:r>
      <w:r w:rsidR="00877902">
        <w:t xml:space="preserve"> </w:t>
      </w:r>
      <w:r w:rsidR="00E500BE">
        <w:t>appropriate a</w:t>
      </w:r>
      <w:r w:rsidR="006963A7">
        <w:t xml:space="preserve">lternative </w:t>
      </w:r>
      <w:r w:rsidR="00A07E94">
        <w:t xml:space="preserve">services. </w:t>
      </w:r>
    </w:p>
    <w:p w14:paraId="0CE70F42" w14:textId="77777777" w:rsidR="00960A13" w:rsidRDefault="00960A13" w:rsidP="00C56CEC">
      <w:pPr>
        <w:pStyle w:val="H3"/>
      </w:pPr>
      <w:r w:rsidRPr="009E1361">
        <w:t>Interactions with other programs</w:t>
      </w:r>
    </w:p>
    <w:p w14:paraId="17410775" w14:textId="268A9D0E" w:rsidR="00960A13" w:rsidRPr="009E1361" w:rsidRDefault="00960A13" w:rsidP="00A677C9">
      <w:pPr>
        <w:pStyle w:val="Caption"/>
        <w:spacing w:before="240" w:after="240"/>
      </w:pPr>
      <w:r>
        <w:t>Table 2</w:t>
      </w:r>
      <w:r w:rsidR="00992627">
        <w:t>5</w:t>
      </w:r>
      <w:r>
        <w:t xml:space="preserve">. Restorative Care Pathway interaction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Restorative Care Pathway interaction with other programs"/>
      </w:tblPr>
      <w:tblGrid>
        <w:gridCol w:w="2092"/>
        <w:gridCol w:w="6674"/>
      </w:tblGrid>
      <w:tr w:rsidR="00960A13" w:rsidRPr="00705A2B" w14:paraId="244C87C2" w14:textId="77777777">
        <w:trPr>
          <w:tblHeader/>
        </w:trPr>
        <w:tc>
          <w:tcPr>
            <w:tcW w:w="2122" w:type="dxa"/>
            <w:shd w:val="clear" w:color="auto" w:fill="002060"/>
          </w:tcPr>
          <w:p w14:paraId="34C7DAFD" w14:textId="77777777" w:rsidR="00960A13" w:rsidRPr="00705A2B" w:rsidRDefault="00960A13" w:rsidP="00A677C9">
            <w:pPr>
              <w:pStyle w:val="H5"/>
              <w:spacing w:before="240" w:after="240"/>
              <w:rPr>
                <w:color w:val="FFFFFF" w:themeColor="background1"/>
              </w:rPr>
            </w:pPr>
            <w:r w:rsidRPr="00705A2B">
              <w:rPr>
                <w:color w:val="FFFFFF" w:themeColor="background1"/>
              </w:rPr>
              <w:t>Program</w:t>
            </w:r>
          </w:p>
        </w:tc>
        <w:tc>
          <w:tcPr>
            <w:tcW w:w="6894" w:type="dxa"/>
            <w:shd w:val="clear" w:color="auto" w:fill="002060"/>
          </w:tcPr>
          <w:p w14:paraId="7228DA53" w14:textId="3C5DED37" w:rsidR="00960A13" w:rsidRPr="00705A2B" w:rsidRDefault="00960A13" w:rsidP="00A677C9">
            <w:pPr>
              <w:spacing w:before="240" w:after="240"/>
              <w:rPr>
                <w:b/>
                <w:color w:val="FFFFFF" w:themeColor="background1"/>
              </w:rPr>
            </w:pPr>
            <w:r w:rsidRPr="00705A2B">
              <w:rPr>
                <w:b/>
                <w:color w:val="FFFFFF" w:themeColor="background1"/>
              </w:rPr>
              <w:t>Interaction with Restorative Care Pathway</w:t>
            </w:r>
            <w:r w:rsidR="00FA2DF2">
              <w:rPr>
                <w:b/>
                <w:color w:val="FFFFFF" w:themeColor="background1"/>
              </w:rPr>
              <w:t xml:space="preserve"> (RCP)</w:t>
            </w:r>
          </w:p>
        </w:tc>
      </w:tr>
      <w:tr w:rsidR="0048673C" w:rsidRPr="009E1361" w14:paraId="4182C14F" w14:textId="77777777">
        <w:tc>
          <w:tcPr>
            <w:tcW w:w="2122" w:type="dxa"/>
            <w:shd w:val="clear" w:color="auto" w:fill="002060"/>
          </w:tcPr>
          <w:p w14:paraId="79497C55" w14:textId="24FD5748" w:rsidR="0048673C" w:rsidRPr="00705A2B" w:rsidRDefault="00E10C05" w:rsidP="00A677C9">
            <w:pPr>
              <w:pStyle w:val="H5"/>
              <w:spacing w:before="240" w:after="240"/>
              <w:rPr>
                <w:b w:val="0"/>
                <w:color w:val="FFFFFF" w:themeColor="background1"/>
              </w:rPr>
            </w:pPr>
            <w:r>
              <w:rPr>
                <w:b w:val="0"/>
                <w:color w:val="FFFFFF" w:themeColor="background1"/>
              </w:rPr>
              <w:t>Ongoing Support at Home</w:t>
            </w:r>
          </w:p>
        </w:tc>
        <w:tc>
          <w:tcPr>
            <w:tcW w:w="6894" w:type="dxa"/>
          </w:tcPr>
          <w:p w14:paraId="4F470F6B" w14:textId="3BD02879" w:rsidR="0048673C" w:rsidRDefault="00650113" w:rsidP="00A677C9">
            <w:pPr>
              <w:spacing w:before="240" w:after="240"/>
            </w:pPr>
            <w:r>
              <w:t>If an o</w:t>
            </w:r>
            <w:r w:rsidR="00C24FDD">
              <w:t>lder pe</w:t>
            </w:r>
            <w:r w:rsidR="00FA5047">
              <w:t>rson receives</w:t>
            </w:r>
            <w:r w:rsidR="00C24FDD">
              <w:t xml:space="preserve"> an ongoing S</w:t>
            </w:r>
            <w:r w:rsidR="00C60268">
              <w:t>upport at Home</w:t>
            </w:r>
            <w:r w:rsidR="00C24FDD">
              <w:t xml:space="preserve"> classification </w:t>
            </w:r>
            <w:r w:rsidR="00C60268">
              <w:t xml:space="preserve">through </w:t>
            </w:r>
            <w:r w:rsidR="006E5C48">
              <w:t>the IAT</w:t>
            </w:r>
            <w:r>
              <w:t>, this can</w:t>
            </w:r>
            <w:r w:rsidR="00C24FDD">
              <w:t xml:space="preserve"> be </w:t>
            </w:r>
            <w:r>
              <w:t>overridden to recommend the R</w:t>
            </w:r>
            <w:r w:rsidR="00252ED2">
              <w:t>CP</w:t>
            </w:r>
            <w:r>
              <w:t xml:space="preserve">. </w:t>
            </w:r>
          </w:p>
          <w:p w14:paraId="1333B3BB" w14:textId="68F094B5" w:rsidR="0048673C" w:rsidRPr="009E1361" w:rsidRDefault="0048673C" w:rsidP="00A677C9">
            <w:pPr>
              <w:spacing w:before="240" w:after="240"/>
            </w:pPr>
          </w:p>
        </w:tc>
      </w:tr>
      <w:tr w:rsidR="00960A13" w:rsidRPr="009E1361" w14:paraId="1909FD6E" w14:textId="77777777" w:rsidTr="00337D1F">
        <w:trPr>
          <w:trHeight w:val="1518"/>
        </w:trPr>
        <w:tc>
          <w:tcPr>
            <w:tcW w:w="2122" w:type="dxa"/>
            <w:shd w:val="clear" w:color="auto" w:fill="002060"/>
          </w:tcPr>
          <w:p w14:paraId="2700DCA5" w14:textId="77777777" w:rsidR="00960A13" w:rsidRPr="00705A2B" w:rsidRDefault="00960A13" w:rsidP="00A677C9">
            <w:pPr>
              <w:pStyle w:val="H5"/>
              <w:spacing w:before="240" w:after="240"/>
              <w:rPr>
                <w:b w:val="0"/>
                <w:color w:val="FFFFFF" w:themeColor="background1"/>
              </w:rPr>
            </w:pPr>
            <w:r w:rsidRPr="00705A2B">
              <w:rPr>
                <w:b w:val="0"/>
                <w:color w:val="FFFFFF" w:themeColor="background1"/>
              </w:rPr>
              <w:t>Assistive Technology and Home Modifications (AT-HM) scheme</w:t>
            </w:r>
          </w:p>
          <w:p w14:paraId="671D5E23" w14:textId="77777777" w:rsidR="00960A13" w:rsidRPr="00705A2B" w:rsidRDefault="00960A13" w:rsidP="00A677C9">
            <w:pPr>
              <w:pStyle w:val="H5"/>
              <w:spacing w:before="240" w:after="240"/>
              <w:rPr>
                <w:b w:val="0"/>
                <w:color w:val="FFFFFF" w:themeColor="background1"/>
              </w:rPr>
            </w:pPr>
          </w:p>
        </w:tc>
        <w:tc>
          <w:tcPr>
            <w:tcW w:w="6894" w:type="dxa"/>
          </w:tcPr>
          <w:p w14:paraId="6CB14765" w14:textId="4C0E617F" w:rsidR="00960A13" w:rsidRPr="009E1361" w:rsidRDefault="00960A13" w:rsidP="00A677C9">
            <w:pPr>
              <w:spacing w:before="240" w:after="240"/>
            </w:pPr>
            <w:r w:rsidRPr="009E1361">
              <w:t>Older people approved for the R</w:t>
            </w:r>
            <w:r w:rsidR="00FA2DF2">
              <w:t>CP</w:t>
            </w:r>
            <w:r w:rsidRPr="009E1361">
              <w:t xml:space="preserve"> may also require Assistive Technology or Home Modifications to support good restorative care outcomes. Assessors must always ensure these needs are considered when approving </w:t>
            </w:r>
            <w:r w:rsidR="00417AF6">
              <w:t>the RCP</w:t>
            </w:r>
            <w:r w:rsidRPr="009E1361">
              <w:t>. </w:t>
            </w:r>
          </w:p>
          <w:p w14:paraId="4E944F77" w14:textId="435002F5" w:rsidR="00960A13" w:rsidRPr="009E1361" w:rsidRDefault="00960A13" w:rsidP="00A677C9">
            <w:pPr>
              <w:spacing w:before="240" w:after="240"/>
            </w:pPr>
            <w:r w:rsidRPr="009E1361">
              <w:t>Older people who are approved for the R</w:t>
            </w:r>
            <w:r w:rsidR="00291DDF">
              <w:t>CP</w:t>
            </w:r>
            <w:r w:rsidRPr="009E1361">
              <w:t xml:space="preserve"> are eligible to receive an Assistive Technology low, medium and high funding tier, and low and medium </w:t>
            </w:r>
            <w:r w:rsidRPr="009E1361">
              <w:rPr>
                <w:shd w:val="clear" w:color="auto" w:fill="FFFFFF" w:themeFill="background1"/>
              </w:rPr>
              <w:t>tier</w:t>
            </w:r>
            <w:r w:rsidRPr="009E1361">
              <w:rPr>
                <w:rStyle w:val="HeaderChar"/>
                <w:shd w:val="clear" w:color="auto" w:fill="FFFFFF" w:themeFill="background1"/>
              </w:rPr>
              <w:t xml:space="preserve"> home modifications</w:t>
            </w:r>
            <w:r w:rsidRPr="009E1361">
              <w:t>. Participants with an ongoing Support at Home classification who are already have high tier home modifications funding can keep this approval, noting this approval is connected to their ongoing classification approval. </w:t>
            </w:r>
          </w:p>
          <w:p w14:paraId="1DF0B1BF" w14:textId="77777777" w:rsidR="00337D1F" w:rsidRPr="009E1361" w:rsidRDefault="00337D1F" w:rsidP="00A677C9">
            <w:pPr>
              <w:spacing w:before="240" w:after="240"/>
            </w:pPr>
          </w:p>
          <w:p w14:paraId="2416C82C" w14:textId="611228D9" w:rsidR="00960A13" w:rsidRPr="00337D1F" w:rsidRDefault="00960A13" w:rsidP="00337D1F">
            <w:pPr>
              <w:spacing w:before="240" w:after="240"/>
              <w:rPr>
                <w:b/>
              </w:rPr>
            </w:pPr>
            <w:r w:rsidRPr="009E1361">
              <w:t xml:space="preserve">The assessor will need to select assistive technology and home modifications for these to be added to the support plan. </w:t>
            </w:r>
          </w:p>
        </w:tc>
      </w:tr>
      <w:tr w:rsidR="00960A13" w:rsidRPr="009E1361" w14:paraId="6772D12E" w14:textId="77777777">
        <w:tc>
          <w:tcPr>
            <w:tcW w:w="2122" w:type="dxa"/>
            <w:shd w:val="clear" w:color="auto" w:fill="002060"/>
          </w:tcPr>
          <w:p w14:paraId="2F4C1657" w14:textId="77777777" w:rsidR="00960A13" w:rsidRPr="00705A2B" w:rsidRDefault="00960A13" w:rsidP="00A677C9">
            <w:pPr>
              <w:pStyle w:val="H5"/>
              <w:spacing w:before="240" w:after="240"/>
              <w:rPr>
                <w:b w:val="0"/>
                <w:color w:val="FFFFFF" w:themeColor="background1"/>
              </w:rPr>
            </w:pPr>
            <w:r w:rsidRPr="00705A2B">
              <w:rPr>
                <w:b w:val="0"/>
                <w:color w:val="FFFFFF" w:themeColor="background1"/>
              </w:rPr>
              <w:t>CHSP</w:t>
            </w:r>
          </w:p>
          <w:p w14:paraId="1501D5FC" w14:textId="77777777" w:rsidR="00960A13" w:rsidRPr="00705A2B" w:rsidRDefault="00960A13" w:rsidP="00A677C9">
            <w:pPr>
              <w:pStyle w:val="H5"/>
              <w:spacing w:before="240" w:after="240"/>
              <w:rPr>
                <w:b w:val="0"/>
                <w:color w:val="FFFFFF" w:themeColor="background1"/>
              </w:rPr>
            </w:pPr>
          </w:p>
        </w:tc>
        <w:tc>
          <w:tcPr>
            <w:tcW w:w="6894" w:type="dxa"/>
          </w:tcPr>
          <w:p w14:paraId="027AD7E0" w14:textId="10E83AA0" w:rsidR="00960A13" w:rsidRPr="009E1361" w:rsidRDefault="003A2227" w:rsidP="00A677C9">
            <w:pPr>
              <w:spacing w:before="240" w:after="240"/>
              <w:rPr>
                <w:b/>
              </w:rPr>
            </w:pPr>
            <w:r>
              <w:t>Though the IAT will allow a CHSP classification to be overridden to RCP during a comprehensive assessment, a</w:t>
            </w:r>
            <w:r w:rsidR="00960A13" w:rsidRPr="009E1361">
              <w:t xml:space="preserve">n assessor </w:t>
            </w:r>
            <w:r w:rsidR="3BE777E2">
              <w:t xml:space="preserve">must </w:t>
            </w:r>
            <w:r w:rsidR="00960A13" w:rsidRPr="4A7BC182">
              <w:rPr>
                <w:b/>
                <w:bCs/>
              </w:rPr>
              <w:t>not</w:t>
            </w:r>
            <w:r w:rsidR="00960A13" w:rsidRPr="00282961">
              <w:rPr>
                <w:b/>
              </w:rPr>
              <w:t xml:space="preserve"> </w:t>
            </w:r>
            <w:r w:rsidR="00960A13" w:rsidRPr="009E1361">
              <w:t>recommend or approve the R</w:t>
            </w:r>
            <w:r w:rsidR="00261022">
              <w:t>CP</w:t>
            </w:r>
            <w:r w:rsidR="00960A13" w:rsidRPr="009E1361">
              <w:t xml:space="preserve"> for:</w:t>
            </w:r>
          </w:p>
          <w:p w14:paraId="3DB8701C" w14:textId="77777777" w:rsidR="00960A13" w:rsidRPr="009E1361" w:rsidRDefault="00960A13" w:rsidP="00DF3F6B">
            <w:pPr>
              <w:pStyle w:val="ListParagraph"/>
              <w:numPr>
                <w:ilvl w:val="0"/>
                <w:numId w:val="169"/>
              </w:numPr>
              <w:spacing w:before="240" w:after="240"/>
              <w:rPr>
                <w:b/>
              </w:rPr>
            </w:pPr>
            <w:r w:rsidRPr="009E1361">
              <w:t>an older person new to the aged care system and not receiving aged care services, who is recommended CHSP by the IAT outcome; or</w:t>
            </w:r>
          </w:p>
          <w:p w14:paraId="67B1C3CE" w14:textId="77777777" w:rsidR="00960A13" w:rsidRPr="009E1361" w:rsidRDefault="00960A13" w:rsidP="00DF3F6B">
            <w:pPr>
              <w:pStyle w:val="ListParagraph"/>
              <w:numPr>
                <w:ilvl w:val="0"/>
                <w:numId w:val="169"/>
              </w:numPr>
              <w:spacing w:before="240" w:after="240"/>
              <w:rPr>
                <w:b/>
              </w:rPr>
            </w:pPr>
            <w:r w:rsidRPr="009E1361">
              <w:t>an older person already accessing CHSP, who is recommended CHSP by the IAT outcome.</w:t>
            </w:r>
          </w:p>
          <w:p w14:paraId="0CF9CDDD" w14:textId="7F5CD3B4" w:rsidR="002E7D17" w:rsidRDefault="002E7D17" w:rsidP="00A677C9">
            <w:pPr>
              <w:spacing w:before="240" w:after="240"/>
            </w:pPr>
            <w:r>
              <w:t xml:space="preserve">(Noting, where a CHSP classification outcome is generated, RCP cannot be recommended </w:t>
            </w:r>
            <w:r w:rsidRPr="00282961">
              <w:t>for approval </w:t>
            </w:r>
            <w:r>
              <w:t>(in line with section 81-15 of the Aged Care Rules.) </w:t>
            </w:r>
          </w:p>
          <w:p w14:paraId="29B19A51" w14:textId="5FB7477D" w:rsidR="00960A13" w:rsidRPr="009E1361" w:rsidRDefault="00960A13" w:rsidP="00A677C9">
            <w:pPr>
              <w:spacing w:before="240" w:after="240"/>
            </w:pPr>
            <w:r w:rsidRPr="009E1361">
              <w:t xml:space="preserve">If an older person accessing CHSP is recommended an ongoing Support at Home classification through a </w:t>
            </w:r>
            <w:r w:rsidR="009B4B25">
              <w:t>re</w:t>
            </w:r>
            <w:r w:rsidRPr="009E1361">
              <w:t xml:space="preserve">assessment using the IAT, this can be overridden to recommend the Restorative Care Pathway. </w:t>
            </w:r>
          </w:p>
          <w:p w14:paraId="1D79DF28" w14:textId="0A7B8946" w:rsidR="00960A13" w:rsidRPr="009E1361" w:rsidRDefault="008148F6" w:rsidP="00A677C9">
            <w:pPr>
              <w:spacing w:before="240" w:after="240"/>
            </w:pPr>
            <w:r w:rsidRPr="009E1361">
              <w:t>Note: Older people can access allied health and therapy services through CHSP. Assessors can recommend reablement and/or allied health and therapy services on their support plan</w:t>
            </w:r>
          </w:p>
        </w:tc>
      </w:tr>
      <w:tr w:rsidR="00960A13" w:rsidRPr="009E1361" w14:paraId="3F0944AE" w14:textId="77777777">
        <w:tc>
          <w:tcPr>
            <w:tcW w:w="2122" w:type="dxa"/>
            <w:shd w:val="clear" w:color="auto" w:fill="002060"/>
          </w:tcPr>
          <w:p w14:paraId="4C70AC55" w14:textId="54EAE281" w:rsidR="00960A13" w:rsidRPr="00705A2B" w:rsidRDefault="00960A13" w:rsidP="00337D1F">
            <w:pPr>
              <w:spacing w:before="240" w:after="240"/>
            </w:pPr>
            <w:r w:rsidRPr="00705A2B">
              <w:rPr>
                <w:color w:val="FFFFFF" w:themeColor="background1"/>
              </w:rPr>
              <w:t>End-of-Life Pathway (or if they have recently accessed this pathway) </w:t>
            </w:r>
          </w:p>
        </w:tc>
        <w:tc>
          <w:tcPr>
            <w:tcW w:w="6894" w:type="dxa"/>
            <w:vMerge w:val="restart"/>
            <w:vAlign w:val="center"/>
          </w:tcPr>
          <w:p w14:paraId="199020E2" w14:textId="4332360E" w:rsidR="00960A13" w:rsidRPr="009E1361" w:rsidRDefault="00960A13" w:rsidP="00A677C9">
            <w:pPr>
              <w:spacing w:before="240" w:after="240"/>
              <w:rPr>
                <w:b/>
              </w:rPr>
            </w:pPr>
            <w:r w:rsidRPr="009E1361">
              <w:t>Cannot receive the Restorative Care Pathway at the same time</w:t>
            </w:r>
            <w:r w:rsidR="00573D41">
              <w:t xml:space="preserve"> (applicable for EoL, TCP and permanent Residential Care).</w:t>
            </w:r>
            <w:r w:rsidRPr="009E1361">
              <w:t> </w:t>
            </w:r>
          </w:p>
          <w:p w14:paraId="494A3613" w14:textId="77777777" w:rsidR="00960A13" w:rsidRPr="009E1361" w:rsidRDefault="00960A13" w:rsidP="00A677C9">
            <w:pPr>
              <w:pStyle w:val="H5"/>
              <w:spacing w:before="240" w:after="240"/>
            </w:pPr>
          </w:p>
        </w:tc>
      </w:tr>
      <w:tr w:rsidR="00960A13" w:rsidRPr="009E1361" w14:paraId="72043967" w14:textId="77777777">
        <w:tc>
          <w:tcPr>
            <w:tcW w:w="2122" w:type="dxa"/>
            <w:shd w:val="clear" w:color="auto" w:fill="002060"/>
          </w:tcPr>
          <w:p w14:paraId="619C8F84" w14:textId="77777777" w:rsidR="00960A13" w:rsidRPr="00705A2B" w:rsidRDefault="00960A13" w:rsidP="00A677C9">
            <w:pPr>
              <w:spacing w:before="240" w:after="240"/>
              <w:rPr>
                <w:color w:val="FFFFFF" w:themeColor="background1"/>
              </w:rPr>
            </w:pPr>
            <w:r w:rsidRPr="00705A2B">
              <w:rPr>
                <w:color w:val="FFFFFF" w:themeColor="background1"/>
              </w:rPr>
              <w:t>Transition Care Program </w:t>
            </w:r>
          </w:p>
          <w:p w14:paraId="4E3A9FA8" w14:textId="77777777" w:rsidR="00960A13" w:rsidRPr="00705A2B" w:rsidRDefault="00960A13" w:rsidP="00A677C9">
            <w:pPr>
              <w:pStyle w:val="H5"/>
              <w:spacing w:before="240" w:after="240"/>
              <w:rPr>
                <w:b w:val="0"/>
                <w:color w:val="FFFFFF" w:themeColor="background1"/>
              </w:rPr>
            </w:pPr>
          </w:p>
        </w:tc>
        <w:tc>
          <w:tcPr>
            <w:tcW w:w="6894" w:type="dxa"/>
            <w:vMerge/>
          </w:tcPr>
          <w:p w14:paraId="3A0BCEAB" w14:textId="77777777" w:rsidR="00960A13" w:rsidRPr="009E1361" w:rsidRDefault="00960A13" w:rsidP="00A677C9">
            <w:pPr>
              <w:pStyle w:val="H5"/>
              <w:spacing w:before="240" w:after="240"/>
            </w:pPr>
          </w:p>
        </w:tc>
      </w:tr>
      <w:tr w:rsidR="00960A13" w:rsidRPr="009E1361" w14:paraId="1EEEC05C" w14:textId="77777777">
        <w:tc>
          <w:tcPr>
            <w:tcW w:w="2122" w:type="dxa"/>
            <w:shd w:val="clear" w:color="auto" w:fill="002060"/>
          </w:tcPr>
          <w:p w14:paraId="57FF7202" w14:textId="52005D3B" w:rsidR="00960A13" w:rsidRPr="00705A2B" w:rsidRDefault="00960A13" w:rsidP="00A677C9">
            <w:pPr>
              <w:spacing w:before="240" w:after="240"/>
              <w:rPr>
                <w:color w:val="FFFFFF" w:themeColor="background1"/>
              </w:rPr>
            </w:pPr>
            <w:r w:rsidRPr="00705A2B">
              <w:rPr>
                <w:color w:val="FFFFFF" w:themeColor="background1"/>
              </w:rPr>
              <w:t>Permanent Residential Care</w:t>
            </w:r>
          </w:p>
        </w:tc>
        <w:tc>
          <w:tcPr>
            <w:tcW w:w="6894" w:type="dxa"/>
            <w:vMerge/>
          </w:tcPr>
          <w:p w14:paraId="7DC58E3D" w14:textId="77777777" w:rsidR="00960A13" w:rsidRPr="009E1361" w:rsidRDefault="00960A13" w:rsidP="00A677C9">
            <w:pPr>
              <w:pStyle w:val="H5"/>
              <w:spacing w:before="240" w:after="240"/>
            </w:pPr>
          </w:p>
        </w:tc>
      </w:tr>
    </w:tbl>
    <w:p w14:paraId="31428005" w14:textId="1519D04A" w:rsidR="00960A13" w:rsidRPr="009E1361" w:rsidRDefault="00960A13" w:rsidP="00C56CEC">
      <w:pPr>
        <w:pStyle w:val="H3"/>
        <w:rPr>
          <w:i/>
        </w:rPr>
      </w:pPr>
      <w:r w:rsidRPr="009E1361">
        <w:t xml:space="preserve">Lapse in Restorative Care Pathway </w:t>
      </w:r>
      <w:r w:rsidR="00CD6E39">
        <w:t>a</w:t>
      </w:r>
      <w:r w:rsidRPr="009E1361">
        <w:t>ccess</w:t>
      </w:r>
    </w:p>
    <w:p w14:paraId="5F360187" w14:textId="25A112CA" w:rsidR="00960A13" w:rsidRPr="009E1361" w:rsidRDefault="00960A13" w:rsidP="00A677C9">
      <w:pPr>
        <w:spacing w:before="240" w:after="240" w:line="240" w:lineRule="auto"/>
        <w:rPr>
          <w:b/>
        </w:rPr>
      </w:pPr>
      <w:r w:rsidRPr="009E1361">
        <w:t xml:space="preserve">Access to the Restorative Care Pathway </w:t>
      </w:r>
      <w:r w:rsidR="00205D80">
        <w:t>(RCP)</w:t>
      </w:r>
      <w:r w:rsidRPr="009E1361">
        <w:t xml:space="preserve"> will lapse if:  </w:t>
      </w:r>
    </w:p>
    <w:p w14:paraId="35E57D59" w14:textId="055AF4D0" w:rsidR="00960A13" w:rsidRPr="009E1361" w:rsidRDefault="00960A13" w:rsidP="00DF3F6B">
      <w:pPr>
        <w:pStyle w:val="ListParagraph"/>
        <w:numPr>
          <w:ilvl w:val="0"/>
          <w:numId w:val="168"/>
        </w:numPr>
        <w:spacing w:before="240" w:after="240" w:line="240" w:lineRule="auto"/>
      </w:pPr>
      <w:r w:rsidRPr="009E1361">
        <w:t xml:space="preserve">the older person’s episode of </w:t>
      </w:r>
      <w:r w:rsidR="002B54A6">
        <w:t>RCP</w:t>
      </w:r>
      <w:r w:rsidRPr="009E1361">
        <w:t xml:space="preserve"> ends (maximum 16 weeks); or </w:t>
      </w:r>
    </w:p>
    <w:p w14:paraId="400688FD" w14:textId="7B723968" w:rsidR="00960A13" w:rsidRPr="009E1361" w:rsidRDefault="00960A13" w:rsidP="00DF3F6B">
      <w:pPr>
        <w:pStyle w:val="ListParagraph"/>
        <w:numPr>
          <w:ilvl w:val="0"/>
          <w:numId w:val="168"/>
        </w:numPr>
        <w:spacing w:before="240" w:after="240" w:line="240" w:lineRule="auto"/>
      </w:pPr>
      <w:r w:rsidRPr="009E1361">
        <w:t>a person does not enter into an agreement with a provider to deliver the R</w:t>
      </w:r>
      <w:r w:rsidR="002B54A6">
        <w:t>CP</w:t>
      </w:r>
      <w:r w:rsidRPr="009E1361">
        <w:t xml:space="preserve"> before the access code expires (within 56 days of approval with a further 28 days if M</w:t>
      </w:r>
      <w:r w:rsidR="00C251FC">
        <w:t xml:space="preserve">y </w:t>
      </w:r>
      <w:r w:rsidRPr="009E1361">
        <w:t>A</w:t>
      </w:r>
      <w:r w:rsidR="00C251FC">
        <w:t xml:space="preserve">ged </w:t>
      </w:r>
      <w:r w:rsidRPr="009E1361">
        <w:t>C</w:t>
      </w:r>
      <w:r w:rsidR="00C251FC">
        <w:t>are</w:t>
      </w:r>
      <w:r w:rsidRPr="009E1361">
        <w:t xml:space="preserve"> is contacted for an extension). </w:t>
      </w:r>
    </w:p>
    <w:p w14:paraId="44D8EDA9" w14:textId="392F2008" w:rsidR="00960A13" w:rsidRPr="009E1361" w:rsidRDefault="00960A13" w:rsidP="00A677C9">
      <w:pPr>
        <w:spacing w:before="240" w:after="240" w:line="240" w:lineRule="auto"/>
      </w:pPr>
      <w:r w:rsidRPr="009E1361">
        <w:t>An older person will need to be reassessed if they wish to access the R</w:t>
      </w:r>
      <w:r w:rsidR="00B125C3">
        <w:t>CP</w:t>
      </w:r>
      <w:r w:rsidRPr="009E1361">
        <w:t xml:space="preserve"> after their access period ends lapses</w:t>
      </w:r>
      <w:r w:rsidR="00B125C3">
        <w:t xml:space="preserve"> (with </w:t>
      </w:r>
      <w:r w:rsidR="00264C8D">
        <w:t xml:space="preserve">a </w:t>
      </w:r>
      <w:r w:rsidR="00B125C3">
        <w:t>90 day break applied)</w:t>
      </w:r>
      <w:r w:rsidRPr="009E1361">
        <w:t>.  </w:t>
      </w:r>
    </w:p>
    <w:p w14:paraId="512257EA" w14:textId="35118103" w:rsidR="00960A13" w:rsidRPr="00A64AE8" w:rsidRDefault="00960A13" w:rsidP="00C56CEC">
      <w:pPr>
        <w:pStyle w:val="H3"/>
      </w:pPr>
      <w:bookmarkStart w:id="482" w:name="_Toc198008573"/>
      <w:r>
        <w:t xml:space="preserve">Manual oversight of Restorative Care </w:t>
      </w:r>
      <w:r w:rsidR="000C2495">
        <w:t xml:space="preserve">Pathway </w:t>
      </w:r>
      <w:r>
        <w:t>places</w:t>
      </w:r>
      <w:bookmarkEnd w:id="482"/>
    </w:p>
    <w:p w14:paraId="2D939EF3" w14:textId="0D08414B" w:rsidR="00960A13" w:rsidRPr="00E64AC3" w:rsidRDefault="0D0D3E6C" w:rsidP="6CF46889">
      <w:pPr>
        <w:spacing w:before="240" w:after="240" w:line="240" w:lineRule="auto"/>
      </w:pPr>
      <w:r>
        <w:t>R</w:t>
      </w:r>
      <w:r w:rsidR="75FDCE0E">
        <w:t xml:space="preserve">CP </w:t>
      </w:r>
      <w:r>
        <w:t xml:space="preserve">places are capped at 20,000 units per year across Australia, managed as around 5,000 units per quarter. </w:t>
      </w:r>
      <w:r w:rsidR="63479120">
        <w:t>T</w:t>
      </w:r>
      <w:r w:rsidR="5C9FC3BE">
        <w:t>here are</w:t>
      </w:r>
      <w:r>
        <w:t xml:space="preserve"> no in-system prompts or controls to prevent the approval of R</w:t>
      </w:r>
      <w:r w:rsidR="79208BAC">
        <w:t xml:space="preserve">CP </w:t>
      </w:r>
      <w:r>
        <w:t xml:space="preserve">funding units beyond the quarterly caps. Twice-weekly reports of approvals made </w:t>
      </w:r>
      <w:r w:rsidR="59D30BDC">
        <w:t>are</w:t>
      </w:r>
      <w:r>
        <w:t xml:space="preserve"> generated, allowing the Department to monitor R</w:t>
      </w:r>
      <w:r w:rsidR="79208BAC">
        <w:t>CP</w:t>
      </w:r>
      <w:r>
        <w:t xml:space="preserve"> approvals and communicate with assessment organisations when approvals approach or exceed the assigned caps. </w:t>
      </w:r>
    </w:p>
    <w:p w14:paraId="13459C2F" w14:textId="154D7390" w:rsidR="00960A13" w:rsidRPr="00E64AC3" w:rsidRDefault="009E45BA" w:rsidP="00A677C9">
      <w:pPr>
        <w:spacing w:before="240" w:after="240" w:line="240" w:lineRule="auto"/>
      </w:pPr>
      <w:r>
        <w:t>T</w:t>
      </w:r>
      <w:r w:rsidR="00960A13">
        <w:t>hose with an active S</w:t>
      </w:r>
      <w:r w:rsidR="0029397E">
        <w:t>hort-</w:t>
      </w:r>
      <w:r w:rsidR="00960A13">
        <w:t>T</w:t>
      </w:r>
      <w:r w:rsidR="0029397E">
        <w:t xml:space="preserve">erm </w:t>
      </w:r>
      <w:r w:rsidR="00960A13">
        <w:t>R</w:t>
      </w:r>
      <w:r w:rsidR="0029397E">
        <w:t>estorat</w:t>
      </w:r>
      <w:r w:rsidR="00A17B82">
        <w:t xml:space="preserve">ive </w:t>
      </w:r>
      <w:r w:rsidR="00960A13">
        <w:t>C</w:t>
      </w:r>
      <w:r w:rsidR="00A17B82">
        <w:t>are (</w:t>
      </w:r>
      <w:r w:rsidR="00960A13">
        <w:t>STRC</w:t>
      </w:r>
      <w:r w:rsidR="00A17B82">
        <w:t>)</w:t>
      </w:r>
      <w:r w:rsidR="00960A13">
        <w:t xml:space="preserve"> approval (who did not start STRC before 1 November 2025), have</w:t>
      </w:r>
      <w:r>
        <w:t xml:space="preserve"> had</w:t>
      </w:r>
      <w:r w:rsidR="00960A13">
        <w:t xml:space="preserve"> their approvals transferred into an approval for </w:t>
      </w:r>
      <w:r w:rsidR="00587AEA">
        <w:t>RCP</w:t>
      </w:r>
      <w:r w:rsidR="00960A13">
        <w:t xml:space="preserve">. </w:t>
      </w:r>
    </w:p>
    <w:p w14:paraId="70856A9F" w14:textId="0C1473A5" w:rsidR="00960A13" w:rsidRPr="009263F4" w:rsidRDefault="00960A13" w:rsidP="00A677C9">
      <w:pPr>
        <w:spacing w:before="240" w:after="240" w:line="240" w:lineRule="auto"/>
        <w:rPr>
          <w:b/>
        </w:rPr>
      </w:pPr>
      <w:r w:rsidRPr="009263F4">
        <w:rPr>
          <w:b/>
        </w:rPr>
        <w:t xml:space="preserve">Note for this cohort using their STRC approval to access the </w:t>
      </w:r>
      <w:r w:rsidR="00952D73" w:rsidRPr="00880572">
        <w:rPr>
          <w:b/>
        </w:rPr>
        <w:t>RCP</w:t>
      </w:r>
      <w:r w:rsidRPr="00E64AC3">
        <w:t>:</w:t>
      </w:r>
    </w:p>
    <w:p w14:paraId="495854C4" w14:textId="64087622" w:rsidR="00960A13" w:rsidRPr="003F4810" w:rsidRDefault="00960A13" w:rsidP="00DF3F6B">
      <w:pPr>
        <w:pStyle w:val="ListParagraph"/>
        <w:numPr>
          <w:ilvl w:val="0"/>
          <w:numId w:val="479"/>
        </w:numPr>
        <w:spacing w:before="240" w:after="240" w:line="240" w:lineRule="auto"/>
      </w:pPr>
      <w:r>
        <w:t>This cohort will also be accessing the R</w:t>
      </w:r>
      <w:r w:rsidR="00EE6DBA">
        <w:t>CP</w:t>
      </w:r>
      <w:r>
        <w:t xml:space="preserve"> units of funding for the first six months from 1 November 2025.</w:t>
      </w:r>
      <w:r w:rsidRPr="000349D7">
        <w:rPr>
          <w:rFonts w:eastAsiaTheme="minorEastAsia"/>
        </w:rPr>
        <w:t xml:space="preserve"> </w:t>
      </w:r>
    </w:p>
    <w:p w14:paraId="70264811" w14:textId="46A5FC75" w:rsidR="00960A13" w:rsidRPr="00DF3F6B" w:rsidRDefault="00960A13" w:rsidP="00DF3F6B">
      <w:pPr>
        <w:pStyle w:val="ListParagraph"/>
        <w:numPr>
          <w:ilvl w:val="0"/>
          <w:numId w:val="208"/>
        </w:numPr>
        <w:spacing w:before="240" w:after="240" w:line="240" w:lineRule="auto"/>
        <w:rPr>
          <w:rFonts w:eastAsiaTheme="minorEastAsia"/>
        </w:rPr>
      </w:pPr>
      <w:r w:rsidRPr="1B2D6E25">
        <w:rPr>
          <w:rFonts w:eastAsiaTheme="minorEastAsia"/>
        </w:rPr>
        <w:t>A second unit of funding to use within a singl</w:t>
      </w:r>
      <w:r w:rsidR="00433FE6">
        <w:rPr>
          <w:rFonts w:eastAsiaTheme="minorEastAsia"/>
        </w:rPr>
        <w:t>e RCP</w:t>
      </w:r>
      <w:r w:rsidRPr="1B2D6E25">
        <w:rPr>
          <w:rFonts w:eastAsiaTheme="minorEastAsia"/>
        </w:rPr>
        <w:t xml:space="preserve"> episode can be requested via a </w:t>
      </w:r>
      <w:r w:rsidR="3A96EDE4" w:rsidRPr="26DCC21E">
        <w:rPr>
          <w:rFonts w:eastAsiaTheme="minorEastAsia"/>
        </w:rPr>
        <w:t>s</w:t>
      </w:r>
      <w:r w:rsidR="00C1712D" w:rsidRPr="26DCC21E">
        <w:rPr>
          <w:rFonts w:eastAsiaTheme="minorEastAsia"/>
        </w:rPr>
        <w:t xml:space="preserve">upport </w:t>
      </w:r>
      <w:r w:rsidR="0565D2F2" w:rsidRPr="26DCC21E">
        <w:rPr>
          <w:rFonts w:eastAsiaTheme="minorEastAsia"/>
        </w:rPr>
        <w:t>p</w:t>
      </w:r>
      <w:r w:rsidR="00C1712D" w:rsidRPr="26DCC21E">
        <w:rPr>
          <w:rFonts w:eastAsiaTheme="minorEastAsia"/>
        </w:rPr>
        <w:t xml:space="preserve">lan </w:t>
      </w:r>
      <w:r w:rsidR="122C8255" w:rsidRPr="26DCC21E">
        <w:rPr>
          <w:rFonts w:eastAsiaTheme="minorEastAsia"/>
        </w:rPr>
        <w:t>r</w:t>
      </w:r>
      <w:r w:rsidRPr="1B2D6E25">
        <w:rPr>
          <w:rFonts w:eastAsiaTheme="minorEastAsia"/>
        </w:rPr>
        <w:t>eview</w:t>
      </w:r>
      <w:r w:rsidR="007731E3">
        <w:rPr>
          <w:rFonts w:eastAsiaTheme="minorEastAsia"/>
        </w:rPr>
        <w:t xml:space="preserve"> (SPR)</w:t>
      </w:r>
      <w:r w:rsidRPr="1B2D6E25">
        <w:rPr>
          <w:rFonts w:eastAsiaTheme="minorEastAsia"/>
        </w:rPr>
        <w:t xml:space="preserve"> request</w:t>
      </w:r>
      <w:r w:rsidR="00DF3F6B">
        <w:rPr>
          <w:rFonts w:eastAsiaTheme="minorEastAsia"/>
        </w:rPr>
        <w:t>. H</w:t>
      </w:r>
      <w:r w:rsidR="006914BE">
        <w:rPr>
          <w:rFonts w:eastAsiaTheme="minorEastAsia"/>
        </w:rPr>
        <w:t>oweve</w:t>
      </w:r>
      <w:r w:rsidR="00DF3F6B">
        <w:rPr>
          <w:rFonts w:eastAsiaTheme="minorEastAsia"/>
        </w:rPr>
        <w:t>r</w:t>
      </w:r>
      <w:r w:rsidRPr="00A924B0">
        <w:rPr>
          <w:rFonts w:eastAsiaTheme="minorEastAsia"/>
        </w:rPr>
        <w:t xml:space="preserve">, </w:t>
      </w:r>
      <w:r w:rsidR="006914BE">
        <w:rPr>
          <w:rFonts w:eastAsiaTheme="minorEastAsia"/>
        </w:rPr>
        <w:t>assessors</w:t>
      </w:r>
      <w:r w:rsidRPr="00A924B0">
        <w:rPr>
          <w:rFonts w:eastAsiaTheme="minorEastAsia"/>
        </w:rPr>
        <w:t xml:space="preserve"> will need to self-refer this for reassessment to grant access to a second unit of funding. </w:t>
      </w:r>
      <w:r w:rsidRPr="00DF3F6B">
        <w:rPr>
          <w:rFonts w:eastAsiaTheme="minorEastAsia"/>
        </w:rPr>
        <w:t xml:space="preserve">This is because the ability to add a second unit via SPR will not be available on the </w:t>
      </w:r>
      <w:r w:rsidR="0060352D" w:rsidRPr="00DF3F6B">
        <w:rPr>
          <w:rFonts w:eastAsiaTheme="minorEastAsia"/>
        </w:rPr>
        <w:t>assessor portal</w:t>
      </w:r>
      <w:r w:rsidRPr="00DF3F6B">
        <w:rPr>
          <w:rFonts w:eastAsiaTheme="minorEastAsia"/>
        </w:rPr>
        <w:t xml:space="preserve"> for those with an STRC approval. </w:t>
      </w:r>
    </w:p>
    <w:p w14:paraId="07A7B8A7" w14:textId="095659D7" w:rsidR="00960A13" w:rsidRPr="003F4810" w:rsidRDefault="00960A13" w:rsidP="00DF3F6B">
      <w:pPr>
        <w:pStyle w:val="ListParagraph"/>
        <w:numPr>
          <w:ilvl w:val="1"/>
          <w:numId w:val="208"/>
        </w:numPr>
        <w:spacing w:before="240" w:after="240" w:line="240" w:lineRule="auto"/>
        <w:rPr>
          <w:rFonts w:eastAsiaTheme="minorEastAsia"/>
        </w:rPr>
      </w:pPr>
      <w:r w:rsidRPr="1B2D6E25">
        <w:rPr>
          <w:rFonts w:eastAsiaTheme="minorEastAsia"/>
        </w:rPr>
        <w:t>The reassessment can be done over the phone and does not require queuing for a face-to-face assessment.</w:t>
      </w:r>
    </w:p>
    <w:p w14:paraId="2FB95DCE" w14:textId="09465B40" w:rsidR="00960A13" w:rsidRPr="003F4810" w:rsidRDefault="00960A13" w:rsidP="00DF3F6B">
      <w:pPr>
        <w:pStyle w:val="ListParagraph"/>
        <w:numPr>
          <w:ilvl w:val="1"/>
          <w:numId w:val="208"/>
        </w:numPr>
        <w:spacing w:before="240" w:after="240" w:line="240" w:lineRule="auto"/>
      </w:pPr>
      <w:r w:rsidRPr="1B2D6E25">
        <w:rPr>
          <w:rFonts w:eastAsiaTheme="minorEastAsia"/>
        </w:rPr>
        <w:t>The decision to approve a second unit will be informed by</w:t>
      </w:r>
      <w:r w:rsidR="00045798">
        <w:rPr>
          <w:rFonts w:eastAsiaTheme="minorEastAsia"/>
        </w:rPr>
        <w:t xml:space="preserve"> e</w:t>
      </w:r>
      <w:r w:rsidRPr="00045798">
        <w:rPr>
          <w:rFonts w:eastAsiaTheme="minorEastAsia"/>
        </w:rPr>
        <w:t>vidence</w:t>
      </w:r>
      <w:r w:rsidRPr="1B2D6E25">
        <w:rPr>
          <w:rFonts w:eastAsiaTheme="minorEastAsia"/>
        </w:rPr>
        <w:t xml:space="preserve"> submitted by the provider with the SPR request</w:t>
      </w:r>
      <w:r w:rsidR="00045798">
        <w:rPr>
          <w:rFonts w:eastAsiaTheme="minorEastAsia"/>
        </w:rPr>
        <w:t>.</w:t>
      </w:r>
    </w:p>
    <w:p w14:paraId="7550650D" w14:textId="6B276D21" w:rsidR="00960A13" w:rsidRPr="003F4810" w:rsidRDefault="00960A13" w:rsidP="00DF3F6B">
      <w:pPr>
        <w:pStyle w:val="ListParagraph"/>
        <w:numPr>
          <w:ilvl w:val="1"/>
          <w:numId w:val="208"/>
        </w:numPr>
        <w:spacing w:before="240" w:after="240" w:line="240" w:lineRule="auto"/>
      </w:pPr>
      <w:r w:rsidRPr="1B2D6E25">
        <w:rPr>
          <w:rFonts w:eastAsiaTheme="minorEastAsia"/>
        </w:rPr>
        <w:t>Availability of R</w:t>
      </w:r>
      <w:r w:rsidR="00D36FB9">
        <w:rPr>
          <w:rFonts w:eastAsiaTheme="minorEastAsia"/>
        </w:rPr>
        <w:t>CP</w:t>
      </w:r>
      <w:r w:rsidRPr="1B2D6E25">
        <w:rPr>
          <w:rFonts w:eastAsiaTheme="minorEastAsia"/>
        </w:rPr>
        <w:t xml:space="preserve"> funding units</w:t>
      </w:r>
      <w:r w:rsidR="00045798">
        <w:rPr>
          <w:rFonts w:eastAsiaTheme="minorEastAsia"/>
        </w:rPr>
        <w:t xml:space="preserve"> may also be considered</w:t>
      </w:r>
      <w:r w:rsidRPr="1B2D6E25">
        <w:rPr>
          <w:rFonts w:eastAsiaTheme="minorEastAsia"/>
        </w:rPr>
        <w:t>.</w:t>
      </w:r>
    </w:p>
    <w:p w14:paraId="28418CEC" w14:textId="593AAA0C" w:rsidR="00960A13" w:rsidRPr="003F4810" w:rsidRDefault="00960A13" w:rsidP="00DF3F6B">
      <w:pPr>
        <w:pStyle w:val="ListParagraph"/>
        <w:numPr>
          <w:ilvl w:val="0"/>
          <w:numId w:val="208"/>
        </w:numPr>
        <w:spacing w:before="240" w:after="240" w:line="240" w:lineRule="auto"/>
        <w:rPr>
          <w:rFonts w:eastAsiaTheme="minorEastAsia"/>
        </w:rPr>
      </w:pPr>
      <w:r>
        <w:t>When a request for a second unit of RCP is received assessors should confirm if there is ap</w:t>
      </w:r>
      <w:r w:rsidRPr="1B2D6E25">
        <w:rPr>
          <w:rFonts w:eastAsiaTheme="minorEastAsia"/>
        </w:rPr>
        <w:t>proval for STRC and R</w:t>
      </w:r>
      <w:r w:rsidR="00D36FB9">
        <w:rPr>
          <w:rFonts w:eastAsiaTheme="minorEastAsia"/>
        </w:rPr>
        <w:t>CP</w:t>
      </w:r>
      <w:r w:rsidRPr="1B2D6E25">
        <w:rPr>
          <w:rFonts w:eastAsiaTheme="minorEastAsia"/>
        </w:rPr>
        <w:t xml:space="preserve"> on the client</w:t>
      </w:r>
      <w:r>
        <w:rPr>
          <w:rFonts w:eastAsiaTheme="minorEastAsia"/>
        </w:rPr>
        <w:t>’</w:t>
      </w:r>
      <w:r w:rsidRPr="1B2D6E25">
        <w:rPr>
          <w:rFonts w:eastAsiaTheme="minorEastAsia"/>
        </w:rPr>
        <w:t>s record. If there is approval for both, the assessor will need to confirm with the client if the client entered care under the R</w:t>
      </w:r>
      <w:r w:rsidR="00CB72BD">
        <w:rPr>
          <w:rFonts w:eastAsiaTheme="minorEastAsia"/>
        </w:rPr>
        <w:t>CP</w:t>
      </w:r>
      <w:r w:rsidRPr="1B2D6E25">
        <w:rPr>
          <w:rFonts w:eastAsiaTheme="minorEastAsia"/>
        </w:rPr>
        <w:t xml:space="preserve"> after 1 November 2025 using the STRC approval. If this is the case, then the assessor must not approve a third unit of R</w:t>
      </w:r>
      <w:r w:rsidR="00CB72BD">
        <w:rPr>
          <w:rFonts w:eastAsiaTheme="minorEastAsia"/>
        </w:rPr>
        <w:t>CP</w:t>
      </w:r>
      <w:r w:rsidRPr="1B2D6E25">
        <w:rPr>
          <w:rFonts w:eastAsiaTheme="minorEastAsia"/>
        </w:rPr>
        <w:t xml:space="preserve"> funding.</w:t>
      </w:r>
    </w:p>
    <w:p w14:paraId="75C81478" w14:textId="45570BBF" w:rsidR="00960A13" w:rsidRPr="00E64AC3" w:rsidRDefault="00960A13" w:rsidP="00DF3F6B">
      <w:pPr>
        <w:pStyle w:val="ListParagraph"/>
        <w:numPr>
          <w:ilvl w:val="0"/>
          <w:numId w:val="208"/>
        </w:numPr>
        <w:spacing w:before="240" w:after="240" w:line="240" w:lineRule="auto"/>
      </w:pPr>
      <w:r w:rsidRPr="1B2D6E25">
        <w:rPr>
          <w:rFonts w:eastAsiaTheme="minorEastAsia"/>
        </w:rPr>
        <w:t xml:space="preserve">If the participant is eligible to access an additional </w:t>
      </w:r>
      <w:r w:rsidR="00CB72BD">
        <w:rPr>
          <w:rFonts w:eastAsiaTheme="minorEastAsia"/>
        </w:rPr>
        <w:t>RCP unit</w:t>
      </w:r>
      <w:r w:rsidRPr="1B2D6E25">
        <w:rPr>
          <w:rFonts w:eastAsiaTheme="minorEastAsia"/>
        </w:rPr>
        <w:t xml:space="preserve"> they must wait at least 12 months before accessing another episode.</w:t>
      </w:r>
    </w:p>
    <w:p w14:paraId="17C63E86" w14:textId="56D08048" w:rsidR="00960A13" w:rsidRPr="00E64AC3" w:rsidRDefault="00D02122" w:rsidP="00A677C9">
      <w:pPr>
        <w:spacing w:before="240" w:after="240" w:line="240" w:lineRule="auto"/>
      </w:pPr>
      <w:r>
        <w:t>Assessors will</w:t>
      </w:r>
      <w:r w:rsidR="00960A13">
        <w:t xml:space="preserve"> need to remain acutely aware of any communication from the </w:t>
      </w:r>
      <w:r w:rsidR="00572527">
        <w:t xml:space="preserve">department </w:t>
      </w:r>
      <w:r w:rsidR="00960A13">
        <w:t>regarding R</w:t>
      </w:r>
      <w:r w:rsidR="00893C87">
        <w:t>CP</w:t>
      </w:r>
      <w:r w:rsidR="00960A13">
        <w:t xml:space="preserve"> caps to ensure you are making informed decisions. These communications will be the </w:t>
      </w:r>
      <w:r w:rsidR="00960A13" w:rsidRPr="00E64AC3">
        <w:rPr>
          <w:b/>
        </w:rPr>
        <w:t>primary tool</w:t>
      </w:r>
      <w:r w:rsidR="00960A13">
        <w:t> for identifying when R</w:t>
      </w:r>
      <w:r w:rsidR="007F2056">
        <w:t xml:space="preserve">CP </w:t>
      </w:r>
      <w:r w:rsidR="00960A13">
        <w:t>units are nearing exhaustion. Being responsive to these insights is essential for maintaining compliance with pathway limits and avoiding over-allocation.</w:t>
      </w:r>
    </w:p>
    <w:p w14:paraId="55A733CE" w14:textId="36B40C07" w:rsidR="005752C1" w:rsidRPr="00E64AC3" w:rsidRDefault="00960A13" w:rsidP="00A677C9">
      <w:pPr>
        <w:spacing w:before="240" w:after="240" w:line="240" w:lineRule="auto"/>
      </w:pPr>
      <w:r>
        <w:t>Before recommending the R</w:t>
      </w:r>
      <w:r w:rsidR="0051290B">
        <w:t>CP</w:t>
      </w:r>
      <w:r w:rsidR="484E2B63">
        <w:t xml:space="preserve"> for approval</w:t>
      </w:r>
      <w:r>
        <w:t xml:space="preserve">, </w:t>
      </w:r>
      <w:r w:rsidR="00E5544A">
        <w:t xml:space="preserve">assessors </w:t>
      </w:r>
      <w:r>
        <w:t xml:space="preserve">should consider whether other service types—such as other Support at Home services or reablement options under the Commonwealth Home Support Program (CHSP)—could provide an equivalent level of support. This ensures that </w:t>
      </w:r>
      <w:r w:rsidR="1A7858B1">
        <w:t>recommendations</w:t>
      </w:r>
      <w:r>
        <w:t xml:space="preserve"> </w:t>
      </w:r>
      <w:r w:rsidR="4720B3DF">
        <w:t>for approval</w:t>
      </w:r>
      <w:r>
        <w:t xml:space="preserve"> are appropriate to an individual's needs</w:t>
      </w:r>
      <w:r w:rsidR="0675FCB6">
        <w:t>,</w:t>
      </w:r>
      <w:r>
        <w:t xml:space="preserve"> </w:t>
      </w:r>
      <w:r w:rsidR="3D28E42B">
        <w:t>consider</w:t>
      </w:r>
      <w:r>
        <w:t xml:space="preserve"> </w:t>
      </w:r>
      <w:r w:rsidR="3D28E42B">
        <w:t>if a place will be available for the older person</w:t>
      </w:r>
      <w:r w:rsidR="07948767">
        <w:t xml:space="preserve"> to access,</w:t>
      </w:r>
      <w:r w:rsidR="3D28E42B">
        <w:t xml:space="preserve"> </w:t>
      </w:r>
      <w:r>
        <w:t>and aligned with the sustainable allocation of places.</w:t>
      </w:r>
    </w:p>
    <w:p w14:paraId="2022F7A6" w14:textId="25517D56" w:rsidR="00960A13" w:rsidRPr="00E64AC3" w:rsidRDefault="00960A13" w:rsidP="00A677C9">
      <w:pPr>
        <w:spacing w:before="240" w:after="240" w:line="240" w:lineRule="auto"/>
      </w:pPr>
      <w:r>
        <w:t xml:space="preserve">If </w:t>
      </w:r>
      <w:r w:rsidR="00163987">
        <w:t>an</w:t>
      </w:r>
      <w:r>
        <w:t xml:space="preserve"> R</w:t>
      </w:r>
      <w:r w:rsidR="00802A88">
        <w:t>CP</w:t>
      </w:r>
      <w:r>
        <w:t xml:space="preserve"> recommendation </w:t>
      </w:r>
      <w:r w:rsidR="5CE363CD">
        <w:t>is not made</w:t>
      </w:r>
      <w:r>
        <w:t xml:space="preserve"> due to no places being available for allocation, the assessor should </w:t>
      </w:r>
      <w:r w:rsidR="00A87DD1">
        <w:t xml:space="preserve">consider </w:t>
      </w:r>
      <w:r w:rsidR="0E9CE4AA">
        <w:t>discussing with</w:t>
      </w:r>
      <w:r>
        <w:t xml:space="preserve"> the older person alternative supports for recommendation. </w:t>
      </w:r>
      <w:r w:rsidR="005752C1">
        <w:rPr>
          <w:rFonts w:eastAsia="Yu Gothic Light"/>
        </w:rPr>
        <w:t xml:space="preserve">Assessors </w:t>
      </w:r>
      <w:r w:rsidR="005752C1" w:rsidRPr="002F3121">
        <w:rPr>
          <w:rFonts w:eastAsia="Yu Gothic Light"/>
        </w:rPr>
        <w:t xml:space="preserve">may </w:t>
      </w:r>
      <w:r w:rsidR="005752C1">
        <w:rPr>
          <w:rFonts w:eastAsia="Yu Gothic Light"/>
        </w:rPr>
        <w:t xml:space="preserve">also </w:t>
      </w:r>
      <w:r w:rsidR="005752C1" w:rsidRPr="002F3121">
        <w:rPr>
          <w:rFonts w:eastAsia="Yu Gothic Light"/>
        </w:rPr>
        <w:t>consider if an alternative classification could be recommended to meet the care needs of the individual</w:t>
      </w:r>
      <w:r w:rsidR="005752C1">
        <w:rPr>
          <w:rFonts w:eastAsia="Yu Gothic Light"/>
        </w:rPr>
        <w:t>.</w:t>
      </w:r>
      <w:r>
        <w:t xml:space="preserve"> </w:t>
      </w:r>
    </w:p>
    <w:p w14:paraId="6243CB60" w14:textId="7B1196C4" w:rsidR="00960A13" w:rsidRPr="009E1361" w:rsidRDefault="00960A13" w:rsidP="00C56CEC">
      <w:pPr>
        <w:pStyle w:val="H3"/>
        <w:rPr>
          <w:i/>
        </w:rPr>
      </w:pPr>
      <w:r w:rsidRPr="009E1361">
        <w:t xml:space="preserve">Restorative </w:t>
      </w:r>
      <w:r w:rsidR="00CD6E39">
        <w:t>c</w:t>
      </w:r>
      <w:r w:rsidRPr="009E1361">
        <w:t xml:space="preserve">are </w:t>
      </w:r>
      <w:r w:rsidR="00CD6E39">
        <w:t>f</w:t>
      </w:r>
      <w:r w:rsidRPr="009E1361">
        <w:t>unding</w:t>
      </w:r>
    </w:p>
    <w:p w14:paraId="5DDE1231" w14:textId="6E23E9ED" w:rsidR="00960A13" w:rsidRPr="009E1361" w:rsidRDefault="00960A13" w:rsidP="00A677C9">
      <w:pPr>
        <w:spacing w:before="240" w:after="240" w:line="240" w:lineRule="auto"/>
      </w:pPr>
      <w:r w:rsidRPr="009E1361">
        <w:t xml:space="preserve">The </w:t>
      </w:r>
      <w:r w:rsidR="000A345D">
        <w:t xml:space="preserve">RCP </w:t>
      </w:r>
      <w:r w:rsidRPr="009E1361">
        <w:t>provides around $6,000 of funding, for up to 16 weeks. The total amount of funding a participant uses and length of time to complete an episode can differ. Restorative care partners will consider this when developing the goal plan.</w:t>
      </w:r>
    </w:p>
    <w:p w14:paraId="2B6CC65B" w14:textId="512344E4" w:rsidR="00960A13" w:rsidRPr="009E1361" w:rsidRDefault="00960A13" w:rsidP="00A677C9">
      <w:pPr>
        <w:spacing w:before="240" w:after="240" w:line="240" w:lineRule="auto"/>
      </w:pPr>
      <w:r w:rsidRPr="009E1361">
        <w:t xml:space="preserve">At times, participants with higher needs may require additional funding over and above the $6,000 allocated per episode. If the participant requires additional funding within a single 16-week episode, the provider can submit a request for a </w:t>
      </w:r>
      <w:r w:rsidR="31BE400D">
        <w:t>s</w:t>
      </w:r>
      <w:r>
        <w:t xml:space="preserve">upport </w:t>
      </w:r>
      <w:r w:rsidR="16F71915">
        <w:t>p</w:t>
      </w:r>
      <w:r>
        <w:t xml:space="preserve">lan </w:t>
      </w:r>
      <w:r w:rsidR="7D179BE2">
        <w:t>r</w:t>
      </w:r>
      <w:r>
        <w:t>eview.</w:t>
      </w:r>
      <w:r w:rsidRPr="009E1361">
        <w:t xml:space="preserve"> If certain circumstances are met, approval can be given for the additional $6,000 in funds to support the episode (see </w:t>
      </w:r>
      <w:r>
        <w:t xml:space="preserve">Chapter </w:t>
      </w:r>
      <w:r w:rsidR="004155B7">
        <w:fldChar w:fldCharType="begin"/>
      </w:r>
      <w:r w:rsidR="004155B7">
        <w:instrText xml:space="preserve"> REF _Ref212735908 \w \h </w:instrText>
      </w:r>
      <w:r w:rsidR="004155B7">
        <w:fldChar w:fldCharType="separate"/>
      </w:r>
      <w:r w:rsidR="00F97942">
        <w:t>10</w:t>
      </w:r>
      <w:r w:rsidR="004155B7">
        <w:fldChar w:fldCharType="end"/>
      </w:r>
      <w:r w:rsidRPr="009E1361">
        <w:t xml:space="preserve"> on </w:t>
      </w:r>
      <w:r w:rsidR="1F64AFFD">
        <w:t>s</w:t>
      </w:r>
      <w:r>
        <w:t xml:space="preserve">upport </w:t>
      </w:r>
      <w:r w:rsidR="3D98E043">
        <w:t>p</w:t>
      </w:r>
      <w:r>
        <w:t xml:space="preserve">lan </w:t>
      </w:r>
      <w:r w:rsidR="0D1641CC">
        <w:t>r</w:t>
      </w:r>
      <w:r>
        <w:t>eviews).</w:t>
      </w:r>
    </w:p>
    <w:p w14:paraId="070261C3" w14:textId="49C0352F" w:rsidR="00960A13" w:rsidRPr="009E1361" w:rsidRDefault="00960A13" w:rsidP="00A677C9">
      <w:pPr>
        <w:spacing w:before="240" w:after="240" w:line="240" w:lineRule="auto"/>
      </w:pPr>
      <w:r w:rsidRPr="009E1361">
        <w:t xml:space="preserve">If approved, a participant can access an additional unit of funding (up to $6,000), to provide a combined total of up to $12,000, for a single </w:t>
      </w:r>
      <w:r w:rsidR="00105A10">
        <w:t>RCP episode</w:t>
      </w:r>
      <w:r w:rsidRPr="009E1361">
        <w:t xml:space="preserve">. If additional funding is approved, a participant will not be eligible for a further episode of </w:t>
      </w:r>
      <w:r w:rsidR="005E51CB">
        <w:t>RCP</w:t>
      </w:r>
      <w:r w:rsidRPr="009E1361">
        <w:t xml:space="preserve"> within a 12-month period as they have accessed the maximum 2 units of funding within the first episode.</w:t>
      </w:r>
    </w:p>
    <w:p w14:paraId="016D1B02" w14:textId="0BB35991" w:rsidR="00960A13" w:rsidRPr="00903383" w:rsidRDefault="00960A13" w:rsidP="00A677C9">
      <w:pPr>
        <w:spacing w:before="240" w:after="240" w:line="240" w:lineRule="auto"/>
        <w:rPr>
          <w:b/>
        </w:rPr>
      </w:pPr>
      <w:r w:rsidRPr="009E1361">
        <w:t>The decision to approve additional funding to the R</w:t>
      </w:r>
      <w:r w:rsidR="005E51CB">
        <w:t>CP</w:t>
      </w:r>
      <w:r w:rsidRPr="009E1361">
        <w:t xml:space="preserve"> episode is made under </w:t>
      </w:r>
      <w:r w:rsidRPr="00903383">
        <w:rPr>
          <w:i/>
        </w:rPr>
        <w:t>subsection 195-3 of the Rules</w:t>
      </w:r>
      <w:r w:rsidRPr="009E1361">
        <w:t>. It is a non-reviewable decision. The criteria in the Rules includes that required evidence must be given by the participant’s provider and there must be units of funding available for approval</w:t>
      </w:r>
      <w:r>
        <w:t>.</w:t>
      </w:r>
      <w:r w:rsidRPr="009E1361">
        <w:t xml:space="preserve"> </w:t>
      </w:r>
    </w:p>
    <w:p w14:paraId="51B1D2CC" w14:textId="7A7FCCF7" w:rsidR="00960A13" w:rsidRPr="009E1361" w:rsidRDefault="00960A13" w:rsidP="00A677C9">
      <w:pPr>
        <w:spacing w:before="240" w:after="240" w:line="240" w:lineRule="auto"/>
      </w:pPr>
      <w:r w:rsidRPr="009E1361">
        <w:t>Evidence to support the additional funding may include</w:t>
      </w:r>
      <w:r w:rsidR="00882A3A">
        <w:t>:</w:t>
      </w:r>
    </w:p>
    <w:p w14:paraId="2DF0C95B" w14:textId="77777777" w:rsidR="00960A13" w:rsidRPr="009E1361" w:rsidRDefault="00960A13" w:rsidP="00DF3F6B">
      <w:pPr>
        <w:pStyle w:val="ListParagraph"/>
        <w:numPr>
          <w:ilvl w:val="1"/>
          <w:numId w:val="168"/>
        </w:numPr>
        <w:spacing w:before="240" w:after="240" w:line="240" w:lineRule="auto"/>
      </w:pPr>
      <w:r w:rsidRPr="009E1361">
        <w:t>Goal plan and individualised budget outlining how the required clinical interventions are not supported by the initial funding</w:t>
      </w:r>
    </w:p>
    <w:p w14:paraId="096986EC" w14:textId="57E8823D" w:rsidR="00535476" w:rsidRDefault="00960A13" w:rsidP="00DF3F6B">
      <w:pPr>
        <w:pStyle w:val="ListParagraph"/>
        <w:numPr>
          <w:ilvl w:val="1"/>
          <w:numId w:val="168"/>
        </w:numPr>
        <w:spacing w:before="240" w:after="240" w:line="240" w:lineRule="auto"/>
      </w:pPr>
      <w:r w:rsidRPr="009E1361">
        <w:t>Information as to why ongoing funding cannot be used to complement restorative care clinical goals.</w:t>
      </w:r>
    </w:p>
    <w:p w14:paraId="60F952C0" w14:textId="021DE972" w:rsidR="00960A13" w:rsidRPr="009E1361" w:rsidRDefault="00535476" w:rsidP="00535476">
      <w:r>
        <w:br w:type="page"/>
      </w:r>
    </w:p>
    <w:p w14:paraId="5E2EED66" w14:textId="1AB0AE6C" w:rsidR="00FF60CA" w:rsidRDefault="00960A13" w:rsidP="00A677C9">
      <w:pPr>
        <w:spacing w:before="240" w:after="240" w:line="240" w:lineRule="auto"/>
      </w:pPr>
      <w:r w:rsidRPr="009E1361">
        <w:t xml:space="preserve">The assessment delegate must send a letter to the older person (and their registered supporter/s, if required under the Act) notifying them of the outcome of the application for the additional funding. The assessment delegate should choose the appropriate template under ‘Reports and documents’ &gt; ‘Forms’ in the Assessor Portal. </w:t>
      </w:r>
    </w:p>
    <w:p w14:paraId="0E84DF26" w14:textId="0FCCCA1D" w:rsidR="00AA519C" w:rsidRDefault="00AA519C" w:rsidP="00C325C6">
      <w:pPr>
        <w:pStyle w:val="Sub-headings"/>
      </w:pPr>
      <w:r w:rsidRPr="00005E87">
        <w:t>Note</w:t>
      </w:r>
      <w:r>
        <w:t xml:space="preserve">: </w:t>
      </w:r>
    </w:p>
    <w:p w14:paraId="3D0AF385" w14:textId="5F94ED04" w:rsidR="00AA519C" w:rsidRDefault="00AA519C" w:rsidP="00C325C6">
      <w:pPr>
        <w:pStyle w:val="Sub-headings"/>
      </w:pPr>
      <w:r>
        <w:t xml:space="preserve">This is a different template to the Notice of Decision issues for other approval decisions. </w:t>
      </w:r>
    </w:p>
    <w:p w14:paraId="6E40F544" w14:textId="77777777" w:rsidR="00AC5282" w:rsidRDefault="00AC5282" w:rsidP="007601F4"/>
    <w:p w14:paraId="639A0F22" w14:textId="7D1BF1C3" w:rsidR="00960A13" w:rsidRPr="009E1361" w:rsidRDefault="00960A13" w:rsidP="00C56CEC">
      <w:pPr>
        <w:pStyle w:val="H3"/>
        <w:rPr>
          <w:i/>
        </w:rPr>
      </w:pPr>
      <w:r w:rsidRPr="009E1361">
        <w:t xml:space="preserve">Restorative Care Pathway and the Support at Home </w:t>
      </w:r>
      <w:r w:rsidR="00E12C59">
        <w:t>P</w:t>
      </w:r>
      <w:r w:rsidRPr="009E1361">
        <w:t xml:space="preserve">riority </w:t>
      </w:r>
      <w:r w:rsidR="00E12C59">
        <w:t>S</w:t>
      </w:r>
      <w:r w:rsidRPr="009E1361">
        <w:t xml:space="preserve">ystem </w:t>
      </w:r>
    </w:p>
    <w:p w14:paraId="284372AE" w14:textId="6D020A55" w:rsidR="00960A13" w:rsidRPr="009E1361" w:rsidRDefault="00960A13" w:rsidP="00A677C9">
      <w:pPr>
        <w:spacing w:before="240" w:after="240" w:line="240" w:lineRule="auto"/>
      </w:pPr>
      <w:r w:rsidRPr="009E1361">
        <w:t xml:space="preserve">The Restorative Care Pathway </w:t>
      </w:r>
      <w:r w:rsidR="00FA504A">
        <w:t xml:space="preserve">(RCP) </w:t>
      </w:r>
      <w:r w:rsidRPr="009E1361">
        <w:t>is not subject to the Support at Home Priority System. People can access R</w:t>
      </w:r>
      <w:r w:rsidR="00FA504A">
        <w:t>CP</w:t>
      </w:r>
      <w:r w:rsidRPr="009E1361">
        <w:rPr>
          <w:b/>
        </w:rPr>
        <w:t xml:space="preserve"> </w:t>
      </w:r>
      <w:r w:rsidRPr="009E1361">
        <w:t xml:space="preserve">once a Notice of Decision letter has been received after delegate approval. </w:t>
      </w:r>
      <w:r w:rsidR="7ABD203D">
        <w:t>Please note that</w:t>
      </w:r>
      <w:r w:rsidRPr="009E1361">
        <w:t xml:space="preserve"> selecting the R</w:t>
      </w:r>
      <w:r w:rsidR="00FA504A">
        <w:t>CP</w:t>
      </w:r>
      <w:r w:rsidRPr="009E1361">
        <w:t xml:space="preserve"> will mean that any new ongoing or higher ongoing Support at Home </w:t>
      </w:r>
      <w:r>
        <w:t>classification</w:t>
      </w:r>
      <w:r w:rsidR="6B86A5B8">
        <w:t>s</w:t>
      </w:r>
      <w:r w:rsidRPr="009E1361">
        <w:t xml:space="preserve"> cannot be selected. As such, assessors should consider long term need when approving for the R</w:t>
      </w:r>
      <w:r w:rsidR="007218FE">
        <w:t>CP</w:t>
      </w:r>
      <w:r w:rsidRPr="009E1361">
        <w:t>.</w:t>
      </w:r>
      <w:r w:rsidR="09CFC91F">
        <w:t xml:space="preserve"> A</w:t>
      </w:r>
      <w:r w:rsidR="0ED321FE">
        <w:t>n a</w:t>
      </w:r>
      <w:r w:rsidR="09CFC91F">
        <w:t xml:space="preserve">ssessor may </w:t>
      </w:r>
      <w:r w:rsidR="6FC88FBF">
        <w:t xml:space="preserve">only </w:t>
      </w:r>
      <w:r w:rsidR="09CFC91F">
        <w:t xml:space="preserve">select an ongoing (or new ongoing) Support at Home classification which will </w:t>
      </w:r>
      <w:r w:rsidR="6EA5341F">
        <w:t>put them in</w:t>
      </w:r>
      <w:r w:rsidR="09CFC91F">
        <w:t xml:space="preserve"> the Priority system OR select RCP. </w:t>
      </w:r>
    </w:p>
    <w:p w14:paraId="3E934332" w14:textId="2A4A1CAC" w:rsidR="00960A13" w:rsidRPr="009E1361" w:rsidRDefault="00960A13" w:rsidP="00A677C9">
      <w:pPr>
        <w:spacing w:before="240" w:after="240" w:line="240" w:lineRule="auto"/>
      </w:pPr>
      <w:r w:rsidRPr="009E1361">
        <w:t>R</w:t>
      </w:r>
      <w:r w:rsidR="007218FE">
        <w:t>CP</w:t>
      </w:r>
      <w:r w:rsidRPr="009E1361">
        <w:t xml:space="preserve"> participants will have immediate access to any recommended assistive technology and home modifications under the AT-HM scheme based on their assessed needs.</w:t>
      </w:r>
    </w:p>
    <w:p w14:paraId="3285A1AB" w14:textId="77777777" w:rsidR="00960A13" w:rsidRPr="009E1361" w:rsidRDefault="00960A13" w:rsidP="00C56CEC">
      <w:pPr>
        <w:pStyle w:val="H3"/>
        <w:rPr>
          <w:i/>
        </w:rPr>
      </w:pPr>
      <w:r w:rsidRPr="009E1361">
        <w:t>Hospitalisation, residential respite and leave </w:t>
      </w:r>
    </w:p>
    <w:p w14:paraId="1CC81120" w14:textId="23178AD6" w:rsidR="00960A13" w:rsidRDefault="00960A13" w:rsidP="00A677C9">
      <w:pPr>
        <w:spacing w:before="240" w:after="240" w:line="240" w:lineRule="auto"/>
        <w:sectPr w:rsidR="00960A13" w:rsidSect="00ED03BF">
          <w:pgSz w:w="11906" w:h="16838"/>
          <w:pgMar w:top="1440" w:right="1700" w:bottom="1440" w:left="1440" w:header="708" w:footer="708" w:gutter="0"/>
          <w:cols w:space="708"/>
          <w:docGrid w:linePitch="360"/>
        </w:sectPr>
      </w:pPr>
      <w:r w:rsidRPr="009E1361">
        <w:t>People may need to enter hospital or residential respite while accessing the R</w:t>
      </w:r>
      <w:r w:rsidR="007218FE">
        <w:t>CP</w:t>
      </w:r>
      <w:r w:rsidRPr="009E1361">
        <w:t>. There are no leave provisions under Support at Home. If a person’s R</w:t>
      </w:r>
      <w:r w:rsidR="00122C21">
        <w:t>CP</w:t>
      </w:r>
      <w:r w:rsidRPr="009E1361">
        <w:t xml:space="preserve"> episode finishes while they are in hospital or residential respite, they will need to consider reassessment to determine what will meet their needs.</w:t>
      </w:r>
    </w:p>
    <w:p w14:paraId="4245AA87" w14:textId="5EBF5203" w:rsidR="00960A13" w:rsidRPr="009E1361" w:rsidRDefault="00960A13" w:rsidP="00507F9D">
      <w:pPr>
        <w:pStyle w:val="h2"/>
      </w:pPr>
      <w:bookmarkStart w:id="483" w:name="_Toc198813683"/>
      <w:bookmarkStart w:id="484" w:name="_Toc209188997"/>
      <w:bookmarkStart w:id="485" w:name="_Toc224916657"/>
      <w:bookmarkStart w:id="486" w:name="_Toc204329566"/>
      <w:r w:rsidRPr="009E1361">
        <w:t>Support at Home - End-of-Life Pathway</w:t>
      </w:r>
      <w:bookmarkEnd w:id="483"/>
      <w:bookmarkEnd w:id="484"/>
      <w:bookmarkEnd w:id="485"/>
      <w:r w:rsidRPr="009E1361">
        <w:t xml:space="preserve"> </w:t>
      </w:r>
      <w:bookmarkEnd w:id="486"/>
    </w:p>
    <w:p w14:paraId="05ABD5D6" w14:textId="426537BB" w:rsidR="00960A13" w:rsidRPr="002B39CA" w:rsidRDefault="00960A13" w:rsidP="00A677C9">
      <w:pPr>
        <w:spacing w:before="240" w:after="240" w:line="240" w:lineRule="auto"/>
        <w:rPr>
          <w:rFonts w:eastAsia="Aptos"/>
        </w:rPr>
      </w:pPr>
      <w:r w:rsidRPr="00A955C2">
        <w:rPr>
          <w:rFonts w:eastAsia="Aptos"/>
        </w:rPr>
        <w:t xml:space="preserve">The End-of-Life Pathway is one of the short-term home support classifications under the Support at Home program. </w:t>
      </w:r>
      <w:r w:rsidRPr="009E1361">
        <w:t xml:space="preserve">A participant can access one episode of the End-of-Life Pathway. A total of $25,000 is available per eligible participant over a 12-week period. This is the highest funding classification category (per day) available in the Support at Home program. </w:t>
      </w:r>
    </w:p>
    <w:p w14:paraId="2C372F96" w14:textId="77777777" w:rsidR="00960A13" w:rsidRPr="009E1361" w:rsidRDefault="00960A13" w:rsidP="00A677C9">
      <w:pPr>
        <w:spacing w:before="240" w:after="240" w:line="240" w:lineRule="auto"/>
      </w:pPr>
      <w:r w:rsidRPr="009E1361">
        <w:t>An older person is eligible to access this pathway if they meet the following criteria:</w:t>
      </w:r>
    </w:p>
    <w:p w14:paraId="5C2953D9"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bCs w:val="0"/>
        </w:rPr>
      </w:pPr>
      <w:r w:rsidRPr="009E1361">
        <w:rPr>
          <w:rFonts w:eastAsiaTheme="majorEastAsia"/>
          <w:b w:val="0"/>
          <w:bCs w:val="0"/>
        </w:rPr>
        <w:t>A doctor or nurse practitioner advises an estimated life expectancy of 3 months or less to live</w:t>
      </w:r>
    </w:p>
    <w:p w14:paraId="38829B2D" w14:textId="77777777" w:rsidR="00960A13" w:rsidRPr="009E1361" w:rsidRDefault="00960A13" w:rsidP="00DF3F6B">
      <w:pPr>
        <w:pStyle w:val="Header"/>
        <w:numPr>
          <w:ilvl w:val="0"/>
          <w:numId w:val="142"/>
        </w:numPr>
        <w:shd w:val="clear" w:color="auto" w:fill="FFFFFF" w:themeFill="background1"/>
        <w:spacing w:before="240" w:after="240" w:line="240" w:lineRule="auto"/>
        <w:rPr>
          <w:rFonts w:eastAsiaTheme="majorEastAsia"/>
          <w:b w:val="0"/>
        </w:rPr>
      </w:pPr>
      <w:r w:rsidRPr="009E1361">
        <w:rPr>
          <w:rFonts w:eastAsiaTheme="majorEastAsia"/>
          <w:b w:val="0"/>
        </w:rPr>
        <w:t>Australian-modified Karnofsky Performance Status (AKPS) score (mobility/frailty indicator) of 40 or less.</w:t>
      </w:r>
    </w:p>
    <w:p w14:paraId="0587E40B" w14:textId="77777777" w:rsidR="00960A13" w:rsidRPr="009E1361" w:rsidRDefault="00960A13" w:rsidP="00A677C9">
      <w:pPr>
        <w:spacing w:before="240" w:after="240" w:line="240" w:lineRule="auto"/>
      </w:pPr>
      <w:r w:rsidRPr="009E1361">
        <w:t xml:space="preserve">Funding can be used to access the participant’s approved services from the Home Support service list, including care management. </w:t>
      </w:r>
    </w:p>
    <w:p w14:paraId="4944338A" w14:textId="77777777" w:rsidR="00960A13" w:rsidRPr="00E4742E" w:rsidRDefault="00960A13" w:rsidP="00C56CEC">
      <w:pPr>
        <w:pStyle w:val="H3"/>
      </w:pPr>
      <w:r w:rsidRPr="00E4742E">
        <w:t>End-of-Life Pathway form</w:t>
      </w:r>
    </w:p>
    <w:p w14:paraId="587A2227" w14:textId="77777777" w:rsidR="00960A13" w:rsidRPr="0057379D" w:rsidRDefault="00960A13" w:rsidP="00A677C9">
      <w:pPr>
        <w:spacing w:before="240" w:after="240" w:line="240" w:lineRule="auto"/>
        <w:rPr>
          <w:rFonts w:eastAsia="Aptos"/>
        </w:rPr>
      </w:pPr>
      <w:r w:rsidRPr="0057379D">
        <w:rPr>
          <w:rFonts w:eastAsia="Aptos"/>
        </w:rPr>
        <w:t>The End-of-Life Pathway form is used to document the required medical evidence for accessing the End-of-Life Pathway under the Support at Home program. An individual seeking access to the End-of-Life Pathway must complete all relevant sections and present this form to a medical practitioner or nurse practitioner for completion. The completed form should then be submitted as part of the assessment process—either before or during triage, or assessment—and reviewed to confirm eligibility for the End-of-Life Pathway.</w:t>
      </w:r>
    </w:p>
    <w:p w14:paraId="3BD0ACA9" w14:textId="039C2C08" w:rsidR="002332D4" w:rsidRPr="002332D4" w:rsidRDefault="0005623F" w:rsidP="00F21947">
      <w:pPr>
        <w:spacing w:before="240" w:after="240" w:line="240" w:lineRule="auto"/>
        <w:rPr>
          <w:rFonts w:eastAsia="Aptos"/>
          <w:lang w:val="en-US"/>
        </w:rPr>
      </w:pPr>
      <w:r w:rsidRPr="005E4E0E">
        <w:rPr>
          <w:noProof/>
        </w:rPr>
        <w:drawing>
          <wp:anchor distT="0" distB="0" distL="114300" distR="114300" simplePos="0" relativeHeight="251658281" behindDoc="0" locked="0" layoutInCell="1" allowOverlap="1" wp14:anchorId="10302943" wp14:editId="22ABA0A5">
            <wp:simplePos x="0" y="0"/>
            <wp:positionH relativeFrom="margin">
              <wp:posOffset>0</wp:posOffset>
            </wp:positionH>
            <wp:positionV relativeFrom="paragraph">
              <wp:posOffset>158750</wp:posOffset>
            </wp:positionV>
            <wp:extent cx="457200" cy="502920"/>
            <wp:effectExtent l="0" t="0" r="0" b="0"/>
            <wp:wrapSquare wrapText="bothSides"/>
            <wp:docPr id="983638297" name="Picture 98363829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13456D" w:rsidRPr="00720555">
        <w:rPr>
          <w:rFonts w:eastAsia="Aptos"/>
        </w:rPr>
        <w:t>The</w:t>
      </w:r>
      <w:r w:rsidR="0013456D" w:rsidRPr="0013456D">
        <w:rPr>
          <w:rFonts w:eastAsia="Aptos"/>
        </w:rPr>
        <w:t xml:space="preserve"> End-of-Life Pathway Form is required to be completed and submitted before a participant can be assessed as eligible for the End-of-Life Pathway.</w:t>
      </w:r>
      <w:r w:rsidR="003A52BB">
        <w:rPr>
          <w:rFonts w:eastAsia="Aptos"/>
        </w:rPr>
        <w:t xml:space="preserve"> </w:t>
      </w:r>
      <w:r w:rsidR="003A52BB" w:rsidRPr="003A52BB">
        <w:rPr>
          <w:rFonts w:eastAsia="Aptos"/>
          <w:lang w:val="en-US"/>
        </w:rPr>
        <w:t>Assessors are responsible for ensuring they receive the completed End-of-Life Pathway Form to proceed with the assessment.</w:t>
      </w:r>
      <w:r w:rsidR="002F4298">
        <w:rPr>
          <w:rFonts w:eastAsia="Aptos"/>
          <w:lang w:val="en-US"/>
        </w:rPr>
        <w:t xml:space="preserve"> </w:t>
      </w:r>
      <w:r w:rsidR="002F4298" w:rsidRPr="002F4298">
        <w:rPr>
          <w:rFonts w:eastAsia="Aptos"/>
          <w:lang w:val="en-AU"/>
        </w:rPr>
        <w:t xml:space="preserve">In cases where an aged care assessment or </w:t>
      </w:r>
      <w:r w:rsidR="1BD47D43" w:rsidRPr="290A720A">
        <w:rPr>
          <w:rFonts w:eastAsia="Aptos"/>
          <w:lang w:val="en-AU"/>
        </w:rPr>
        <w:t>s</w:t>
      </w:r>
      <w:r w:rsidR="002F4298" w:rsidRPr="290A720A">
        <w:rPr>
          <w:rFonts w:eastAsia="Aptos"/>
          <w:lang w:val="en-AU"/>
        </w:rPr>
        <w:t xml:space="preserve">upport </w:t>
      </w:r>
      <w:r w:rsidR="1F9B68C4" w:rsidRPr="290A720A">
        <w:rPr>
          <w:rFonts w:eastAsia="Aptos"/>
          <w:lang w:val="en-AU"/>
        </w:rPr>
        <w:t>p</w:t>
      </w:r>
      <w:r w:rsidR="002F4298" w:rsidRPr="290A720A">
        <w:rPr>
          <w:rFonts w:eastAsia="Aptos"/>
          <w:lang w:val="en-AU"/>
        </w:rPr>
        <w:t xml:space="preserve">lan </w:t>
      </w:r>
      <w:r w:rsidR="7CF79E1C" w:rsidRPr="290A720A">
        <w:rPr>
          <w:rFonts w:eastAsia="Aptos"/>
          <w:lang w:val="en-AU"/>
        </w:rPr>
        <w:t>r</w:t>
      </w:r>
      <w:r w:rsidR="002F4298" w:rsidRPr="002F4298">
        <w:rPr>
          <w:rFonts w:eastAsia="Aptos"/>
          <w:lang w:val="en-AU"/>
        </w:rPr>
        <w:t>eview (SPR) is undertaken via telehealth</w:t>
      </w:r>
      <w:r w:rsidR="002F4298">
        <w:rPr>
          <w:rFonts w:eastAsia="Aptos"/>
          <w:lang w:val="en-AU"/>
        </w:rPr>
        <w:t xml:space="preserve"> </w:t>
      </w:r>
      <w:r w:rsidR="00F86E10">
        <w:rPr>
          <w:rFonts w:eastAsia="Aptos"/>
          <w:lang w:val="en-AU"/>
        </w:rPr>
        <w:t>(and where digital referral or GP e-referral is not used)</w:t>
      </w:r>
      <w:r w:rsidR="002F4298" w:rsidRPr="002F4298">
        <w:rPr>
          <w:rFonts w:eastAsia="Aptos"/>
          <w:lang w:val="en-AU"/>
        </w:rPr>
        <w:t>, assessors must assist older people to ensure the completed End-of-Life Pathway Form is submitted.</w:t>
      </w:r>
      <w:r w:rsidR="002332D4">
        <w:rPr>
          <w:rFonts w:eastAsia="Aptos"/>
          <w:lang w:val="en-AU"/>
        </w:rPr>
        <w:t xml:space="preserve"> </w:t>
      </w:r>
      <w:r w:rsidR="002332D4" w:rsidRPr="002332D4">
        <w:rPr>
          <w:rFonts w:eastAsia="Aptos"/>
          <w:lang w:val="en-US"/>
        </w:rPr>
        <w:t>Options for lodging the completed End-of-Life Pathway Form include:</w:t>
      </w:r>
    </w:p>
    <w:p w14:paraId="4F7C918E" w14:textId="77777777" w:rsidR="002332D4" w:rsidRPr="002332D4" w:rsidRDefault="002332D4" w:rsidP="002332D4">
      <w:pPr>
        <w:numPr>
          <w:ilvl w:val="1"/>
          <w:numId w:val="487"/>
        </w:numPr>
        <w:spacing w:before="240" w:after="240" w:line="240" w:lineRule="auto"/>
        <w:rPr>
          <w:rFonts w:eastAsia="Aptos"/>
          <w:lang w:val="en-AU"/>
        </w:rPr>
      </w:pPr>
      <w:r w:rsidRPr="002332D4">
        <w:rPr>
          <w:rFonts w:eastAsia="Aptos"/>
          <w:lang w:val="en-AU"/>
        </w:rPr>
        <w:t>An older person or their support person may nominate to send the signed form directly to the assessment organisation via their preferred mechanism (for example, email). Assessors should contact the person to discuss their options and assist to obtain the form in cases where a person is unable to send the form themselves due to circumstances such as digital barriers or limited access to support; or</w:t>
      </w:r>
    </w:p>
    <w:p w14:paraId="78E8DD55" w14:textId="5E4F0718" w:rsidR="002332D4" w:rsidRPr="002332D4" w:rsidRDefault="002332D4" w:rsidP="002332D4">
      <w:pPr>
        <w:numPr>
          <w:ilvl w:val="1"/>
          <w:numId w:val="487"/>
        </w:numPr>
        <w:spacing w:before="240" w:after="240" w:line="240" w:lineRule="auto"/>
        <w:rPr>
          <w:rFonts w:eastAsia="Aptos"/>
          <w:lang w:val="en-AU"/>
        </w:rPr>
      </w:pPr>
      <w:r w:rsidRPr="002332D4">
        <w:rPr>
          <w:rFonts w:eastAsia="Aptos"/>
          <w:lang w:val="en-AU"/>
        </w:rPr>
        <w:t>Assessors contact the relevant medical or nurse practitioner to request they send the completed End-of-Life Pathway Form to the assessment organisation via their standard processes for information sharing (for example, fax)</w:t>
      </w:r>
    </w:p>
    <w:p w14:paraId="7A0AFDCA" w14:textId="1DD5BCB1" w:rsidR="005B362E" w:rsidRPr="002332D4" w:rsidRDefault="005B362E" w:rsidP="00711284">
      <w:pPr>
        <w:spacing w:before="240" w:after="240" w:line="240" w:lineRule="auto"/>
        <w:ind w:left="720"/>
        <w:rPr>
          <w:rFonts w:eastAsia="Aptos"/>
          <w:lang w:val="en-AU"/>
        </w:rPr>
      </w:pPr>
    </w:p>
    <w:p w14:paraId="227E6295" w14:textId="18800389" w:rsidR="002F4298" w:rsidRPr="002F4298" w:rsidRDefault="002F4298" w:rsidP="00711284">
      <w:pPr>
        <w:spacing w:before="240" w:after="240" w:line="240" w:lineRule="auto"/>
        <w:rPr>
          <w:rFonts w:eastAsia="Aptos"/>
          <w:lang w:val="en-AU"/>
        </w:rPr>
      </w:pPr>
    </w:p>
    <w:p w14:paraId="3F354BE2" w14:textId="6598A98C" w:rsidR="003A52BB" w:rsidRPr="003A52BB" w:rsidRDefault="003A52BB" w:rsidP="00711284">
      <w:pPr>
        <w:spacing w:before="240" w:after="240" w:line="240" w:lineRule="auto"/>
        <w:rPr>
          <w:rFonts w:eastAsia="Aptos"/>
          <w:lang w:val="en-US"/>
        </w:rPr>
      </w:pPr>
    </w:p>
    <w:p w14:paraId="607D1705" w14:textId="2FC6B880" w:rsidR="00960A13" w:rsidRPr="0057379D" w:rsidRDefault="00960A13" w:rsidP="00A677C9">
      <w:pPr>
        <w:spacing w:before="240" w:after="240" w:line="240" w:lineRule="auto"/>
        <w:rPr>
          <w:rFonts w:eastAsia="Aptos"/>
        </w:rPr>
      </w:pPr>
      <w:r w:rsidRPr="0057379D">
        <w:rPr>
          <w:rFonts w:eastAsia="Aptos"/>
        </w:rPr>
        <w:t xml:space="preserve">Assessment </w:t>
      </w:r>
      <w:r>
        <w:rPr>
          <w:rFonts w:eastAsia="Aptos"/>
        </w:rPr>
        <w:t>d</w:t>
      </w:r>
      <w:r w:rsidRPr="0057379D">
        <w:rPr>
          <w:rFonts w:eastAsia="Aptos"/>
        </w:rPr>
        <w:t>elegate</w:t>
      </w:r>
      <w:r>
        <w:rPr>
          <w:rFonts w:eastAsia="Aptos"/>
        </w:rPr>
        <w:t>s</w:t>
      </w:r>
      <w:r w:rsidRPr="0057379D">
        <w:rPr>
          <w:rFonts w:eastAsia="Aptos"/>
        </w:rPr>
        <w:t xml:space="preserve"> are responsible for verifying the completion of this form in the older person’s record when the End-of-Life Pathway has been flagged in the My Aged Care </w:t>
      </w:r>
      <w:r w:rsidR="0060352D">
        <w:rPr>
          <w:rFonts w:eastAsia="Aptos"/>
        </w:rPr>
        <w:t>assessor portal</w:t>
      </w:r>
      <w:r w:rsidRPr="0057379D">
        <w:rPr>
          <w:rFonts w:eastAsia="Aptos"/>
        </w:rPr>
        <w:t>.</w:t>
      </w:r>
    </w:p>
    <w:p w14:paraId="39E90763" w14:textId="77777777" w:rsidR="00960A13" w:rsidRPr="006F493D" w:rsidRDefault="00960A13" w:rsidP="00A677C9">
      <w:pPr>
        <w:spacing w:before="240" w:after="240" w:line="240" w:lineRule="auto"/>
        <w:rPr>
          <w:rFonts w:eastAsia="Aptos"/>
        </w:rPr>
      </w:pPr>
      <w:r w:rsidRPr="006F493D">
        <w:rPr>
          <w:rFonts w:eastAsia="Aptos"/>
        </w:rPr>
        <w:t>Reviewing the form will involve:</w:t>
      </w:r>
    </w:p>
    <w:p w14:paraId="3BCD425F" w14:textId="4F7AFF85" w:rsidR="00960A13" w:rsidRPr="006F493D" w:rsidRDefault="00960A13" w:rsidP="00DF3F6B">
      <w:pPr>
        <w:numPr>
          <w:ilvl w:val="0"/>
          <w:numId w:val="192"/>
        </w:numPr>
        <w:spacing w:before="240" w:after="240" w:line="240" w:lineRule="auto"/>
        <w:contextualSpacing/>
        <w:rPr>
          <w:rFonts w:eastAsia="Aptos"/>
        </w:rPr>
      </w:pPr>
      <w:r w:rsidRPr="006F493D">
        <w:rPr>
          <w:rFonts w:eastAsia="Aptos"/>
        </w:rPr>
        <w:t>Checking the individual’s details to ensure they match the record in the portal.</w:t>
      </w:r>
    </w:p>
    <w:p w14:paraId="663566EF" w14:textId="2DE87AFD" w:rsidR="000027E3" w:rsidRDefault="00960A13" w:rsidP="00DF3F6B">
      <w:pPr>
        <w:numPr>
          <w:ilvl w:val="0"/>
          <w:numId w:val="192"/>
        </w:numPr>
        <w:spacing w:before="240" w:after="240" w:line="240" w:lineRule="auto"/>
        <w:contextualSpacing/>
        <w:rPr>
          <w:rFonts w:eastAsia="Aptos"/>
        </w:rPr>
      </w:pPr>
      <w:r w:rsidRPr="006F493D">
        <w:rPr>
          <w:rFonts w:eastAsia="Aptos"/>
        </w:rPr>
        <w:t>Verifying the completion of all areas of the Medical Assessment section to confirm</w:t>
      </w:r>
      <w:r w:rsidR="000027E3" w:rsidRPr="42A9625C">
        <w:rPr>
          <w:rFonts w:eastAsia="Aptos"/>
        </w:rPr>
        <w:t>:</w:t>
      </w:r>
    </w:p>
    <w:p w14:paraId="4C781572" w14:textId="50083711" w:rsidR="00960A13" w:rsidRPr="006F493D" w:rsidRDefault="00960A13" w:rsidP="000027E3">
      <w:pPr>
        <w:spacing w:before="240" w:after="240" w:line="240" w:lineRule="auto"/>
        <w:ind w:left="720"/>
        <w:contextualSpacing/>
        <w:rPr>
          <w:rFonts w:eastAsia="Aptos"/>
        </w:rPr>
      </w:pPr>
      <w:r w:rsidRPr="006F493D">
        <w:rPr>
          <w:rFonts w:eastAsia="Aptos"/>
        </w:rPr>
        <w:t xml:space="preserve"> </w:t>
      </w:r>
    </w:p>
    <w:p w14:paraId="35DB9593" w14:textId="28C03E1C" w:rsidR="00960A13" w:rsidRPr="006F493D" w:rsidRDefault="00960A13" w:rsidP="00DF3F6B">
      <w:pPr>
        <w:numPr>
          <w:ilvl w:val="0"/>
          <w:numId w:val="193"/>
        </w:numPr>
        <w:spacing w:before="240" w:after="240" w:line="240" w:lineRule="auto"/>
        <w:contextualSpacing/>
        <w:rPr>
          <w:rFonts w:eastAsia="Aptos"/>
        </w:rPr>
      </w:pPr>
      <w:r w:rsidRPr="006F493D">
        <w:rPr>
          <w:rFonts w:eastAsia="Aptos"/>
        </w:rPr>
        <w:t>The individual has a prognosis of a life expectancy of three months or less, and </w:t>
      </w:r>
    </w:p>
    <w:p w14:paraId="4405F61A" w14:textId="3A49D8B7" w:rsidR="00960A13" w:rsidRPr="006F493D" w:rsidRDefault="00960A13" w:rsidP="00DF3F6B">
      <w:pPr>
        <w:numPr>
          <w:ilvl w:val="0"/>
          <w:numId w:val="193"/>
        </w:numPr>
        <w:spacing w:before="240" w:after="240" w:line="240" w:lineRule="auto"/>
        <w:contextualSpacing/>
        <w:rPr>
          <w:rFonts w:eastAsia="Aptos"/>
        </w:rPr>
      </w:pPr>
      <w:r w:rsidRPr="006F493D">
        <w:rPr>
          <w:rFonts w:eastAsia="Aptos"/>
        </w:rPr>
        <w:t>An Australian-modified Karnofsky Performance Status (AKPS) score of 40 or less.</w:t>
      </w:r>
    </w:p>
    <w:p w14:paraId="33BF2B26" w14:textId="77777777" w:rsidR="00960A13" w:rsidRPr="006F493D" w:rsidRDefault="00960A13" w:rsidP="00DF3F6B">
      <w:pPr>
        <w:numPr>
          <w:ilvl w:val="0"/>
          <w:numId w:val="193"/>
        </w:numPr>
        <w:spacing w:before="240" w:after="240" w:line="240" w:lineRule="auto"/>
        <w:contextualSpacing/>
        <w:rPr>
          <w:rFonts w:eastAsia="Aptos"/>
        </w:rPr>
      </w:pPr>
      <w:r w:rsidRPr="006F493D">
        <w:rPr>
          <w:rFonts w:eastAsia="Aptos"/>
        </w:rPr>
        <w:t>Medical practitioner or nurse practitioner has completed and signed the form.</w:t>
      </w:r>
    </w:p>
    <w:p w14:paraId="47E71344" w14:textId="77777777" w:rsidR="00960A13" w:rsidRDefault="00960A13" w:rsidP="00A677C9">
      <w:pPr>
        <w:spacing w:before="240" w:after="240" w:line="240" w:lineRule="auto"/>
        <w:rPr>
          <w:rFonts w:eastAsia="Aptos"/>
        </w:rPr>
      </w:pPr>
    </w:p>
    <w:p w14:paraId="06DAF5F7" w14:textId="77777777" w:rsidR="00960A13" w:rsidRPr="006F493D" w:rsidRDefault="00960A13" w:rsidP="00A677C9">
      <w:pPr>
        <w:spacing w:before="240" w:after="240" w:line="240" w:lineRule="auto"/>
        <w:rPr>
          <w:rFonts w:eastAsia="Aptos"/>
        </w:rPr>
      </w:pPr>
      <w:r w:rsidRPr="006F493D">
        <w:rPr>
          <w:rFonts w:eastAsia="Aptos"/>
        </w:rPr>
        <w:t xml:space="preserve">An individual will </w:t>
      </w:r>
      <w:r w:rsidRPr="006F493D">
        <w:rPr>
          <w:rFonts w:eastAsia="Aptos"/>
          <w:b/>
        </w:rPr>
        <w:t>not</w:t>
      </w:r>
      <w:r w:rsidRPr="006F493D">
        <w:rPr>
          <w:rFonts w:eastAsia="Aptos"/>
        </w:rPr>
        <w:t xml:space="preserve"> be eligible for approval for the End-of-Life Pathway if the required criteria outlined in the medical assessment section are not met.</w:t>
      </w:r>
    </w:p>
    <w:p w14:paraId="191ACB8A" w14:textId="77777777" w:rsidR="00960A13" w:rsidRPr="006F612E" w:rsidRDefault="00960A13" w:rsidP="00C56CEC">
      <w:pPr>
        <w:pStyle w:val="H3"/>
      </w:pPr>
      <w:r w:rsidRPr="006F612E">
        <w:t xml:space="preserve">Accessing the End-of-Life Pathway </w:t>
      </w:r>
    </w:p>
    <w:p w14:paraId="33FF3990" w14:textId="0A457D37" w:rsidR="00960A13" w:rsidRPr="006F612E" w:rsidRDefault="00960A13" w:rsidP="00A677C9">
      <w:pPr>
        <w:spacing w:before="240" w:after="240" w:line="240" w:lineRule="auto"/>
        <w:rPr>
          <w:rFonts w:eastAsia="Aptos"/>
          <w:b/>
        </w:rPr>
      </w:pPr>
      <w:r w:rsidRPr="003D0475">
        <w:rPr>
          <w:rFonts w:eastAsia="Aptos"/>
        </w:rPr>
        <w:t>Existing Support at Home participants can access E</w:t>
      </w:r>
      <w:r w:rsidR="00D43239">
        <w:rPr>
          <w:rFonts w:eastAsia="Aptos"/>
        </w:rPr>
        <w:t>nd-</w:t>
      </w:r>
      <w:r w:rsidRPr="003D0475">
        <w:rPr>
          <w:rFonts w:eastAsia="Aptos"/>
        </w:rPr>
        <w:t>o</w:t>
      </w:r>
      <w:r w:rsidR="00D43239">
        <w:rPr>
          <w:rFonts w:eastAsia="Aptos"/>
        </w:rPr>
        <w:t>f-</w:t>
      </w:r>
      <w:r w:rsidRPr="003D0475">
        <w:rPr>
          <w:rFonts w:eastAsia="Aptos"/>
        </w:rPr>
        <w:t>L</w:t>
      </w:r>
      <w:r w:rsidR="00D43239">
        <w:rPr>
          <w:rFonts w:eastAsia="Aptos"/>
        </w:rPr>
        <w:t>ife</w:t>
      </w:r>
      <w:r w:rsidR="007C4488">
        <w:rPr>
          <w:rFonts w:eastAsia="Aptos"/>
        </w:rPr>
        <w:t xml:space="preserve"> Pathway</w:t>
      </w:r>
      <w:r w:rsidRPr="003D0475">
        <w:rPr>
          <w:rFonts w:eastAsia="Aptos"/>
        </w:rPr>
        <w:t xml:space="preserve"> through a </w:t>
      </w:r>
      <w:r w:rsidR="211FEC65" w:rsidRPr="00A0258B">
        <w:rPr>
          <w:rFonts w:eastAsia="Aptos"/>
        </w:rPr>
        <w:t>s</w:t>
      </w:r>
      <w:r w:rsidR="00EC70BE" w:rsidRPr="00A0258B">
        <w:rPr>
          <w:rFonts w:eastAsia="Aptos"/>
        </w:rPr>
        <w:t xml:space="preserve">upport </w:t>
      </w:r>
      <w:r w:rsidR="1C0F8D71" w:rsidRPr="00A0258B">
        <w:rPr>
          <w:rFonts w:eastAsia="Aptos"/>
        </w:rPr>
        <w:t>p</w:t>
      </w:r>
      <w:r w:rsidR="00EC70BE" w:rsidRPr="00A0258B">
        <w:rPr>
          <w:rFonts w:eastAsia="Aptos"/>
        </w:rPr>
        <w:t xml:space="preserve">lan </w:t>
      </w:r>
      <w:r w:rsidR="1DAA3F45" w:rsidRPr="00A0258B">
        <w:rPr>
          <w:rFonts w:eastAsia="Aptos"/>
        </w:rPr>
        <w:t>r</w:t>
      </w:r>
      <w:r w:rsidRPr="00A0258B">
        <w:rPr>
          <w:rFonts w:eastAsia="Aptos"/>
        </w:rPr>
        <w:t>eview.</w:t>
      </w:r>
      <w:r w:rsidRPr="003D0475">
        <w:rPr>
          <w:rFonts w:eastAsia="Aptos"/>
        </w:rPr>
        <w:t xml:space="preserve"> This</w:t>
      </w:r>
      <w:r w:rsidRPr="006F612E">
        <w:rPr>
          <w:rFonts w:eastAsia="Aptos"/>
        </w:rPr>
        <w:t xml:space="preserve"> is usually requested through the </w:t>
      </w:r>
      <w:r w:rsidR="00D834ED">
        <w:rPr>
          <w:rFonts w:eastAsia="Aptos"/>
        </w:rPr>
        <w:t xml:space="preserve">My Aged Care </w:t>
      </w:r>
      <w:r w:rsidRPr="006F612E">
        <w:rPr>
          <w:rFonts w:eastAsia="Aptos"/>
        </w:rPr>
        <w:t xml:space="preserve">Service and Support Portal by the older person’s </w:t>
      </w:r>
      <w:r w:rsidR="004E5652" w:rsidRPr="006F612E">
        <w:rPr>
          <w:rFonts w:eastAsia="Aptos"/>
        </w:rPr>
        <w:t>provider and</w:t>
      </w:r>
      <w:r w:rsidRPr="006F612E">
        <w:rPr>
          <w:rFonts w:eastAsia="Aptos"/>
        </w:rPr>
        <w:t xml:space="preserve"> should be made using the approved form.</w:t>
      </w:r>
      <w:r w:rsidRPr="006F612E">
        <w:rPr>
          <w:rFonts w:eastAsia="Aptos"/>
          <w:b/>
        </w:rPr>
        <w:t xml:space="preserve">  </w:t>
      </w:r>
    </w:p>
    <w:p w14:paraId="61500747" w14:textId="32E9667C" w:rsidR="00960A13" w:rsidRPr="006F612E" w:rsidRDefault="009E760B" w:rsidP="00A677C9">
      <w:pPr>
        <w:spacing w:before="240" w:after="240" w:line="240" w:lineRule="auto"/>
        <w:rPr>
          <w:rFonts w:eastAsia="Aptos"/>
          <w:b/>
        </w:rPr>
      </w:pPr>
      <w:r>
        <w:rPr>
          <w:rFonts w:eastAsia="Aptos"/>
        </w:rPr>
        <w:t>Older people</w:t>
      </w:r>
      <w:r w:rsidR="00960A13" w:rsidRPr="006F612E">
        <w:rPr>
          <w:rFonts w:eastAsia="Aptos"/>
        </w:rPr>
        <w:t xml:space="preserve"> can seek a referral through their medical practitioner or other health professional (using the Make a Referral or GP e-referral channels) or by contacting the My Aged Care contact centre or using Apply Online. The End-of-</w:t>
      </w:r>
      <w:r w:rsidR="00FC4C3C">
        <w:rPr>
          <w:rFonts w:eastAsia="Aptos"/>
        </w:rPr>
        <w:t xml:space="preserve">Life </w:t>
      </w:r>
      <w:r w:rsidR="00960A13" w:rsidRPr="006F612E">
        <w:rPr>
          <w:rFonts w:eastAsia="Aptos"/>
        </w:rPr>
        <w:t>Pathway form must be attached for referrals using Make a Referral or GP e-referral. For other entry pathways, Triage is still able to be undertaken without a completed End-of-Life Pathway Form. In these instances, participants should be advised at Triage to have the form completed by an appropriate medical practitioner (their GP, non-GP specialist or nurse practitioner.)  The End-of-Life Pathway Form</w:t>
      </w:r>
      <w:r w:rsidR="00960A13" w:rsidRPr="006F612E">
        <w:rPr>
          <w:rFonts w:eastAsia="Aptos"/>
          <w:b/>
        </w:rPr>
        <w:t xml:space="preserve"> </w:t>
      </w:r>
      <w:r w:rsidR="00960A13" w:rsidRPr="006F612E">
        <w:rPr>
          <w:rFonts w:eastAsia="Aptos"/>
        </w:rPr>
        <w:t xml:space="preserve">must be completed before </w:t>
      </w:r>
      <w:r w:rsidR="0012012F">
        <w:rPr>
          <w:rFonts w:eastAsia="Aptos"/>
        </w:rPr>
        <w:t xml:space="preserve">the </w:t>
      </w:r>
      <w:r w:rsidR="00960A13" w:rsidRPr="006F612E">
        <w:rPr>
          <w:rFonts w:eastAsia="Aptos"/>
        </w:rPr>
        <w:t>End</w:t>
      </w:r>
      <w:r w:rsidR="0012012F">
        <w:rPr>
          <w:rFonts w:eastAsia="Aptos"/>
        </w:rPr>
        <w:t>-</w:t>
      </w:r>
      <w:r w:rsidR="00960A13" w:rsidRPr="006F612E">
        <w:rPr>
          <w:rFonts w:eastAsia="Aptos"/>
        </w:rPr>
        <w:t>of</w:t>
      </w:r>
      <w:r w:rsidR="0012012F">
        <w:rPr>
          <w:rFonts w:eastAsia="Aptos"/>
        </w:rPr>
        <w:t>-</w:t>
      </w:r>
      <w:r w:rsidR="00960A13" w:rsidRPr="006F612E">
        <w:rPr>
          <w:rFonts w:eastAsia="Aptos"/>
        </w:rPr>
        <w:t xml:space="preserve">Life </w:t>
      </w:r>
      <w:r w:rsidR="0012012F">
        <w:rPr>
          <w:rFonts w:eastAsia="Aptos"/>
        </w:rPr>
        <w:t>Pathway</w:t>
      </w:r>
      <w:r w:rsidR="00960A13" w:rsidRPr="006F612E">
        <w:rPr>
          <w:rFonts w:eastAsia="Aptos"/>
        </w:rPr>
        <w:t xml:space="preserve"> is approved</w:t>
      </w:r>
      <w:r w:rsidR="00960A13" w:rsidRPr="006F612E">
        <w:rPr>
          <w:rFonts w:eastAsia="Aptos"/>
          <w:b/>
        </w:rPr>
        <w:t xml:space="preserve">. </w:t>
      </w:r>
    </w:p>
    <w:p w14:paraId="563410F3" w14:textId="77777777" w:rsidR="00960A13" w:rsidRPr="006F612E" w:rsidRDefault="00960A13" w:rsidP="00A677C9">
      <w:pPr>
        <w:spacing w:before="240" w:after="240" w:line="240" w:lineRule="auto"/>
        <w:rPr>
          <w:rFonts w:eastAsia="Aptos"/>
        </w:rPr>
      </w:pPr>
      <w:r w:rsidRPr="006F612E">
        <w:rPr>
          <w:rFonts w:eastAsia="Aptos"/>
        </w:rPr>
        <w:t>Once approved, services are delivered under the End-of-Life Pathway classification and care partners work with any relevant state and territory palliative services to ensure care is appropriate and tailored to the individual's preferences and needs.</w:t>
      </w:r>
    </w:p>
    <w:p w14:paraId="267B122C" w14:textId="77777777" w:rsidR="00960A13" w:rsidRDefault="00960A13" w:rsidP="00C56CEC">
      <w:pPr>
        <w:pStyle w:val="H3"/>
      </w:pPr>
      <w:r w:rsidRPr="009E1361">
        <w:t>Interactions with other programs</w:t>
      </w:r>
    </w:p>
    <w:p w14:paraId="5A74D7EE" w14:textId="39698EE6" w:rsidR="00960A13" w:rsidRPr="009E1361" w:rsidRDefault="00960A13" w:rsidP="00A677C9">
      <w:pPr>
        <w:pStyle w:val="Caption"/>
        <w:spacing w:before="240" w:after="240"/>
      </w:pPr>
      <w:r>
        <w:t>Table 2</w:t>
      </w:r>
      <w:r w:rsidR="004F2D6E">
        <w:t>6</w:t>
      </w:r>
      <w:r>
        <w:t xml:space="preserve">. End-of-Life Pathway interactions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End-of-Life Pathway interactions with other programs"/>
      </w:tblPr>
      <w:tblGrid>
        <w:gridCol w:w="2122"/>
        <w:gridCol w:w="6894"/>
      </w:tblGrid>
      <w:tr w:rsidR="00960A13" w:rsidRPr="00BE6B4F" w14:paraId="4651ED99" w14:textId="77777777" w:rsidTr="00337D1F">
        <w:trPr>
          <w:tblHeader/>
        </w:trPr>
        <w:tc>
          <w:tcPr>
            <w:tcW w:w="2122" w:type="dxa"/>
            <w:shd w:val="clear" w:color="auto" w:fill="002060"/>
          </w:tcPr>
          <w:p w14:paraId="4F8CBD45" w14:textId="77777777" w:rsidR="00960A13" w:rsidRPr="00BE6B4F" w:rsidRDefault="00960A13" w:rsidP="00A677C9">
            <w:pPr>
              <w:pStyle w:val="H5"/>
              <w:spacing w:before="240" w:after="240"/>
              <w:rPr>
                <w:color w:val="FFFFFF" w:themeColor="background1"/>
              </w:rPr>
            </w:pPr>
            <w:r w:rsidRPr="00BE6B4F">
              <w:rPr>
                <w:color w:val="FFFFFF" w:themeColor="background1"/>
              </w:rPr>
              <w:t>Program</w:t>
            </w:r>
          </w:p>
        </w:tc>
        <w:tc>
          <w:tcPr>
            <w:tcW w:w="6894" w:type="dxa"/>
            <w:shd w:val="clear" w:color="auto" w:fill="002060"/>
          </w:tcPr>
          <w:p w14:paraId="6545EAEA" w14:textId="59DD2281" w:rsidR="00960A13" w:rsidRPr="00BE6B4F" w:rsidRDefault="00960A13" w:rsidP="00A677C9">
            <w:pPr>
              <w:spacing w:before="240" w:after="240"/>
              <w:rPr>
                <w:b/>
                <w:bCs/>
                <w:color w:val="FFFFFF" w:themeColor="background1"/>
              </w:rPr>
            </w:pPr>
            <w:r w:rsidRPr="00BE6B4F">
              <w:rPr>
                <w:b/>
                <w:bCs/>
                <w:color w:val="FFFFFF" w:themeColor="background1"/>
              </w:rPr>
              <w:t xml:space="preserve">Interaction with the </w:t>
            </w:r>
            <w:r w:rsidR="0034661B" w:rsidRPr="00BE6B4F">
              <w:rPr>
                <w:b/>
                <w:bCs/>
                <w:color w:val="FFFFFF" w:themeColor="background1"/>
              </w:rPr>
              <w:t>End-of-Life</w:t>
            </w:r>
            <w:r w:rsidRPr="00BE6B4F">
              <w:rPr>
                <w:b/>
                <w:bCs/>
                <w:color w:val="FFFFFF" w:themeColor="background1"/>
              </w:rPr>
              <w:t xml:space="preserve"> Pathway</w:t>
            </w:r>
          </w:p>
        </w:tc>
      </w:tr>
      <w:tr w:rsidR="00960A13" w:rsidRPr="009E1361" w14:paraId="5979CAE0" w14:textId="77777777">
        <w:tc>
          <w:tcPr>
            <w:tcW w:w="2122" w:type="dxa"/>
            <w:shd w:val="clear" w:color="auto" w:fill="002060"/>
            <w:vAlign w:val="center"/>
          </w:tcPr>
          <w:p w14:paraId="5014D136" w14:textId="77777777" w:rsidR="00960A13" w:rsidRPr="00810AB7" w:rsidRDefault="00960A13" w:rsidP="00A677C9">
            <w:pPr>
              <w:pStyle w:val="H5"/>
              <w:spacing w:before="240" w:after="240"/>
              <w:rPr>
                <w:b w:val="0"/>
                <w:color w:val="FFFFFF" w:themeColor="background1"/>
              </w:rPr>
            </w:pPr>
            <w:r w:rsidRPr="00810AB7">
              <w:rPr>
                <w:b w:val="0"/>
                <w:color w:val="FFFFFF" w:themeColor="background1"/>
              </w:rPr>
              <w:t>Assistive Technology and Home Modifications (AT-HM) scheme</w:t>
            </w:r>
          </w:p>
          <w:p w14:paraId="49AADB29" w14:textId="77777777" w:rsidR="00960A13" w:rsidRPr="00810AB7" w:rsidRDefault="00960A13" w:rsidP="00A677C9">
            <w:pPr>
              <w:pStyle w:val="H5"/>
              <w:spacing w:before="240" w:after="240"/>
              <w:rPr>
                <w:b w:val="0"/>
                <w:color w:val="FFFFFF" w:themeColor="background1"/>
              </w:rPr>
            </w:pPr>
          </w:p>
        </w:tc>
        <w:tc>
          <w:tcPr>
            <w:tcW w:w="6894" w:type="dxa"/>
          </w:tcPr>
          <w:p w14:paraId="3AA685DE" w14:textId="1B40AB37" w:rsidR="00960A13" w:rsidRPr="009E1361" w:rsidRDefault="00960A13" w:rsidP="00A677C9">
            <w:pPr>
              <w:spacing w:before="240" w:after="240"/>
            </w:pPr>
            <w:r w:rsidRPr="00057FF2">
              <w:rPr>
                <w:rFonts w:eastAsia="Aptos"/>
              </w:rPr>
              <w:t xml:space="preserve">Individuals receiving support through the End-of-Life Pathway can be approved to access assistive technology </w:t>
            </w:r>
            <w:r w:rsidR="00F13E51">
              <w:rPr>
                <w:rFonts w:eastAsia="Aptos"/>
              </w:rPr>
              <w:t>l</w:t>
            </w:r>
            <w:r w:rsidR="30A5ED64" w:rsidRPr="6B789650">
              <w:rPr>
                <w:rFonts w:eastAsia="Aptos"/>
              </w:rPr>
              <w:t>ow or medium tier only</w:t>
            </w:r>
            <w:r w:rsidRPr="332B734F">
              <w:rPr>
                <w:rFonts w:eastAsia="Aptos"/>
              </w:rPr>
              <w:t xml:space="preserve"> </w:t>
            </w:r>
            <w:r w:rsidRPr="00057FF2">
              <w:rPr>
                <w:rFonts w:eastAsia="Aptos"/>
              </w:rPr>
              <w:t xml:space="preserve">at the same time. </w:t>
            </w:r>
            <w:r w:rsidRPr="00EE4718">
              <w:t xml:space="preserve">If approved for assistive technology, immediate AT-HM scheme funding can also be used to access </w:t>
            </w:r>
            <w:r w:rsidR="00EE123E">
              <w:t>products and</w:t>
            </w:r>
            <w:r w:rsidRPr="00EE4718">
              <w:t xml:space="preserve"> equipment from the AT-HM list. If eligible, primary supplements will also apply to participants.  The assessor will need to select assistive technology for this to be added to the support plan.</w:t>
            </w:r>
          </w:p>
          <w:p w14:paraId="216A648D" w14:textId="77777777" w:rsidR="00960A13" w:rsidRDefault="00960A13" w:rsidP="00A677C9">
            <w:pPr>
              <w:spacing w:before="240" w:after="240"/>
              <w:rPr>
                <w:rFonts w:eastAsia="Aptos"/>
              </w:rPr>
            </w:pPr>
          </w:p>
          <w:p w14:paraId="09A032F8" w14:textId="77777777" w:rsidR="00960A13" w:rsidRDefault="00960A13" w:rsidP="00A677C9">
            <w:pPr>
              <w:spacing w:before="240" w:after="240"/>
              <w:rPr>
                <w:rFonts w:eastAsia="Aptos"/>
              </w:rPr>
            </w:pPr>
          </w:p>
          <w:p w14:paraId="61CFFAFB" w14:textId="77777777" w:rsidR="00960A13" w:rsidRPr="00057FF2" w:rsidRDefault="00960A13" w:rsidP="00A677C9">
            <w:pPr>
              <w:spacing w:before="240" w:after="240"/>
              <w:rPr>
                <w:rFonts w:eastAsia="Aptos"/>
              </w:rPr>
            </w:pPr>
            <w:r w:rsidRPr="00057FF2">
              <w:rPr>
                <w:rFonts w:eastAsia="Aptos"/>
              </w:rPr>
              <w:t>Access to home modifications</w:t>
            </w:r>
            <w:r>
              <w:rPr>
                <w:rFonts w:eastAsia="Aptos"/>
              </w:rPr>
              <w:t xml:space="preserve"> </w:t>
            </w:r>
            <w:r w:rsidRPr="00057FF2">
              <w:rPr>
                <w:rFonts w:eastAsia="Aptos"/>
              </w:rPr>
              <w:t>is not permitted. If home modifications are already underway through the AT-HM scheme at the time the End-of-Life Pathway is approved, these modifications can continue while accessing the End-of-Life Pathway.</w:t>
            </w:r>
          </w:p>
          <w:p w14:paraId="02DC5371" w14:textId="77777777" w:rsidR="00960A13" w:rsidRPr="009E1361" w:rsidRDefault="00960A13" w:rsidP="00A677C9">
            <w:pPr>
              <w:pStyle w:val="H5"/>
              <w:spacing w:before="240" w:after="240"/>
            </w:pPr>
          </w:p>
        </w:tc>
      </w:tr>
      <w:tr w:rsidR="00960A13" w:rsidRPr="009E1361" w14:paraId="6814BF2E" w14:textId="77777777">
        <w:tc>
          <w:tcPr>
            <w:tcW w:w="2122" w:type="dxa"/>
            <w:shd w:val="clear" w:color="auto" w:fill="002060"/>
            <w:vAlign w:val="center"/>
          </w:tcPr>
          <w:p w14:paraId="3068CF64" w14:textId="77777777" w:rsidR="00960A13" w:rsidRPr="00810AB7" w:rsidRDefault="00960A13" w:rsidP="00A677C9">
            <w:pPr>
              <w:pStyle w:val="H5"/>
              <w:spacing w:before="240" w:after="240"/>
              <w:rPr>
                <w:b w:val="0"/>
                <w:color w:val="FFFFFF" w:themeColor="background1"/>
              </w:rPr>
            </w:pPr>
            <w:r w:rsidRPr="00810AB7">
              <w:rPr>
                <w:b w:val="0"/>
                <w:color w:val="FFFFFF" w:themeColor="background1"/>
              </w:rPr>
              <w:t>Residential Respite</w:t>
            </w:r>
          </w:p>
        </w:tc>
        <w:tc>
          <w:tcPr>
            <w:tcW w:w="6894" w:type="dxa"/>
          </w:tcPr>
          <w:p w14:paraId="3FE8FBE8" w14:textId="77777777" w:rsidR="00960A13" w:rsidRPr="00467DE5" w:rsidRDefault="00960A13" w:rsidP="00A677C9">
            <w:pPr>
              <w:spacing w:before="240" w:after="240"/>
              <w:rPr>
                <w:rFonts w:eastAsia="Aptos"/>
              </w:rPr>
            </w:pPr>
            <w:r w:rsidRPr="00467DE5">
              <w:rPr>
                <w:rFonts w:eastAsia="Aptos"/>
              </w:rPr>
              <w:t>Participants accessing the End-of-Life Pathway may continue to access these services during a period of Residential Respite, as long as services are not duplicative.</w:t>
            </w:r>
          </w:p>
        </w:tc>
      </w:tr>
      <w:tr w:rsidR="00960A13" w:rsidRPr="009E1361" w14:paraId="3DF02F91" w14:textId="77777777">
        <w:tc>
          <w:tcPr>
            <w:tcW w:w="2122" w:type="dxa"/>
            <w:shd w:val="clear" w:color="auto" w:fill="002060"/>
            <w:vAlign w:val="center"/>
          </w:tcPr>
          <w:p w14:paraId="7EF747FC" w14:textId="77777777" w:rsidR="00960A13" w:rsidRPr="00810AB7" w:rsidRDefault="00960A13" w:rsidP="00A677C9">
            <w:pPr>
              <w:pStyle w:val="H5"/>
              <w:spacing w:before="240" w:after="240"/>
              <w:rPr>
                <w:b w:val="0"/>
                <w:color w:val="FFFFFF" w:themeColor="background1"/>
              </w:rPr>
            </w:pPr>
            <w:r w:rsidRPr="00810AB7">
              <w:rPr>
                <w:b w:val="0"/>
                <w:color w:val="FFFFFF" w:themeColor="background1"/>
              </w:rPr>
              <w:t>Transition Care Program</w:t>
            </w:r>
          </w:p>
        </w:tc>
        <w:tc>
          <w:tcPr>
            <w:tcW w:w="6894" w:type="dxa"/>
          </w:tcPr>
          <w:p w14:paraId="6F918D8C" w14:textId="0F1E78CA" w:rsidR="00960A13" w:rsidRPr="00467DE5" w:rsidRDefault="1A74E661" w:rsidP="00A677C9">
            <w:pPr>
              <w:spacing w:before="240" w:after="240"/>
              <w:rPr>
                <w:rFonts w:eastAsia="Aptos"/>
              </w:rPr>
            </w:pPr>
            <w:r w:rsidRPr="70B72C65">
              <w:rPr>
                <w:rFonts w:eastAsia="Aptos"/>
              </w:rPr>
              <w:t>Participants accessing the End-of-</w:t>
            </w:r>
            <w:r w:rsidRPr="5216ABB7">
              <w:rPr>
                <w:rFonts w:eastAsia="Aptos"/>
              </w:rPr>
              <w:t xml:space="preserve">Life </w:t>
            </w:r>
            <w:r w:rsidRPr="3858BB6C">
              <w:rPr>
                <w:rFonts w:eastAsia="Aptos"/>
              </w:rPr>
              <w:t>Pathway are not eligible to receive transition care.</w:t>
            </w:r>
            <w:r w:rsidR="0312F2FE" w:rsidRPr="6A74F546">
              <w:rPr>
                <w:rFonts w:eastAsia="Aptos"/>
              </w:rPr>
              <w:t xml:space="preserve"> </w:t>
            </w:r>
          </w:p>
        </w:tc>
      </w:tr>
      <w:tr w:rsidR="00D52769" w:rsidRPr="009E1361" w14:paraId="0748DEC7" w14:textId="77777777">
        <w:tc>
          <w:tcPr>
            <w:tcW w:w="2122" w:type="dxa"/>
            <w:shd w:val="clear" w:color="auto" w:fill="002060"/>
            <w:vAlign w:val="center"/>
          </w:tcPr>
          <w:p w14:paraId="753B029F" w14:textId="416921FF" w:rsidR="00D52769" w:rsidRPr="00810AB7" w:rsidRDefault="008F56F9" w:rsidP="00A677C9">
            <w:pPr>
              <w:pStyle w:val="H5"/>
              <w:spacing w:before="240" w:after="240"/>
              <w:rPr>
                <w:b w:val="0"/>
                <w:color w:val="FFFFFF" w:themeColor="background1"/>
              </w:rPr>
            </w:pPr>
            <w:r>
              <w:rPr>
                <w:b w:val="0"/>
                <w:color w:val="FFFFFF" w:themeColor="background1"/>
              </w:rPr>
              <w:t>CHSP</w:t>
            </w:r>
          </w:p>
        </w:tc>
        <w:tc>
          <w:tcPr>
            <w:tcW w:w="6894" w:type="dxa"/>
          </w:tcPr>
          <w:p w14:paraId="75F26102" w14:textId="5EAC045B" w:rsidR="00D52769" w:rsidRPr="70B72C65" w:rsidRDefault="00AD454B" w:rsidP="00A677C9">
            <w:pPr>
              <w:spacing w:before="240" w:after="240"/>
              <w:rPr>
                <w:rFonts w:eastAsia="Aptos"/>
              </w:rPr>
            </w:pPr>
            <w:r>
              <w:rPr>
                <w:rFonts w:eastAsia="Aptos"/>
              </w:rPr>
              <w:t>Participants accessing the</w:t>
            </w:r>
            <w:r w:rsidR="0043358C">
              <w:rPr>
                <w:rFonts w:eastAsia="Aptos"/>
              </w:rPr>
              <w:t xml:space="preserve"> End-</w:t>
            </w:r>
            <w:r>
              <w:rPr>
                <w:rFonts w:eastAsia="Aptos"/>
              </w:rPr>
              <w:t>of-Life Pathway</w:t>
            </w:r>
            <w:r w:rsidR="00043629">
              <w:rPr>
                <w:rFonts w:eastAsia="Aptos"/>
              </w:rPr>
              <w:t xml:space="preserve"> can access CHSP </w:t>
            </w:r>
            <w:r w:rsidR="164C7545" w:rsidRPr="17463F08">
              <w:rPr>
                <w:rFonts w:eastAsia="Aptos"/>
              </w:rPr>
              <w:t>services</w:t>
            </w:r>
            <w:r w:rsidR="1BCCF5EE" w:rsidRPr="15DC00B3">
              <w:rPr>
                <w:rFonts w:eastAsia="Aptos"/>
              </w:rPr>
              <w:t>, including</w:t>
            </w:r>
            <w:r w:rsidR="164C7545" w:rsidRPr="17463F08">
              <w:rPr>
                <w:rFonts w:eastAsia="Aptos"/>
              </w:rPr>
              <w:t xml:space="preserve"> </w:t>
            </w:r>
            <w:r w:rsidR="0043358C">
              <w:rPr>
                <w:rFonts w:eastAsia="Aptos"/>
              </w:rPr>
              <w:t>urgent services</w:t>
            </w:r>
            <w:r w:rsidR="1BCCF5EE" w:rsidRPr="15DC00B3">
              <w:rPr>
                <w:rFonts w:eastAsia="Aptos"/>
              </w:rPr>
              <w:t>,</w:t>
            </w:r>
            <w:r w:rsidR="164C7545" w:rsidRPr="17463F08">
              <w:rPr>
                <w:rFonts w:eastAsia="Aptos"/>
              </w:rPr>
              <w:t xml:space="preserve"> in </w:t>
            </w:r>
            <w:r w:rsidR="4617C89E" w:rsidRPr="3446EF61">
              <w:rPr>
                <w:rFonts w:eastAsia="Aptos"/>
              </w:rPr>
              <w:t>limited circumstances.</w:t>
            </w:r>
          </w:p>
          <w:p w14:paraId="76E37C14" w14:textId="0E79F538" w:rsidR="00D52769" w:rsidRPr="70B72C65" w:rsidRDefault="00D52769" w:rsidP="00A677C9">
            <w:pPr>
              <w:spacing w:before="240" w:after="240"/>
              <w:rPr>
                <w:rFonts w:eastAsia="Aptos"/>
              </w:rPr>
            </w:pPr>
          </w:p>
          <w:p w14:paraId="73E08485" w14:textId="60AA2242" w:rsidR="00D52769" w:rsidRPr="70B72C65" w:rsidRDefault="4617C89E" w:rsidP="00A677C9">
            <w:pPr>
              <w:spacing w:before="240" w:after="240"/>
              <w:rPr>
                <w:rFonts w:eastAsia="Aptos"/>
              </w:rPr>
            </w:pPr>
            <w:r w:rsidRPr="3446EF61">
              <w:rPr>
                <w:rFonts w:eastAsia="Aptos"/>
              </w:rPr>
              <w:t>See</w:t>
            </w:r>
            <w:r w:rsidR="164C7545" w:rsidRPr="17463F08">
              <w:rPr>
                <w:rFonts w:eastAsia="Aptos"/>
              </w:rPr>
              <w:t xml:space="preserve"> Table 29</w:t>
            </w:r>
            <w:r w:rsidR="23BB0484" w:rsidRPr="3446EF61">
              <w:rPr>
                <w:rFonts w:eastAsia="Aptos"/>
              </w:rPr>
              <w:t xml:space="preserve"> for more information</w:t>
            </w:r>
            <w:r w:rsidR="72E2CAB0" w:rsidRPr="17463F08">
              <w:rPr>
                <w:rFonts w:eastAsia="Aptos"/>
              </w:rPr>
              <w:t>.</w:t>
            </w:r>
          </w:p>
        </w:tc>
      </w:tr>
      <w:tr w:rsidR="00960A13" w:rsidRPr="009E1361" w14:paraId="1C8110CD" w14:textId="77777777">
        <w:trPr>
          <w:trHeight w:val="759"/>
        </w:trPr>
        <w:tc>
          <w:tcPr>
            <w:tcW w:w="2122" w:type="dxa"/>
            <w:shd w:val="clear" w:color="auto" w:fill="002060"/>
            <w:vAlign w:val="center"/>
          </w:tcPr>
          <w:p w14:paraId="1D4F4BDF" w14:textId="4AD770FD" w:rsidR="00960A13" w:rsidRPr="00810AB7" w:rsidRDefault="00D52769" w:rsidP="00A677C9">
            <w:pPr>
              <w:pStyle w:val="H5"/>
              <w:spacing w:before="240" w:after="240"/>
              <w:rPr>
                <w:b w:val="0"/>
                <w:color w:val="FFFFFF" w:themeColor="background1"/>
              </w:rPr>
            </w:pPr>
            <w:r w:rsidRPr="00810AB7">
              <w:rPr>
                <w:b w:val="0"/>
                <w:color w:val="FFFFFF" w:themeColor="background1"/>
              </w:rPr>
              <w:t>Support at Home ongoing</w:t>
            </w:r>
          </w:p>
        </w:tc>
        <w:tc>
          <w:tcPr>
            <w:tcW w:w="6894" w:type="dxa"/>
            <w:vMerge w:val="restart"/>
            <w:vAlign w:val="center"/>
          </w:tcPr>
          <w:p w14:paraId="061E5DA4" w14:textId="699BCA8D" w:rsidR="00960A13" w:rsidRPr="006730BF" w:rsidRDefault="00960A13" w:rsidP="00A677C9">
            <w:pPr>
              <w:spacing w:before="240" w:after="240"/>
              <w:rPr>
                <w:rFonts w:eastAsia="Aptos"/>
                <w:bCs/>
              </w:rPr>
            </w:pPr>
            <w:r w:rsidRPr="006730BF">
              <w:rPr>
                <w:rFonts w:eastAsia="Aptos"/>
                <w:bCs/>
              </w:rPr>
              <w:t xml:space="preserve">An individual cannot access </w:t>
            </w:r>
            <w:r w:rsidR="008B39C8">
              <w:rPr>
                <w:rFonts w:eastAsia="Aptos"/>
                <w:bCs/>
              </w:rPr>
              <w:t xml:space="preserve">these </w:t>
            </w:r>
            <w:r w:rsidRPr="006730BF">
              <w:rPr>
                <w:rFonts w:eastAsia="Aptos"/>
                <w:bCs/>
              </w:rPr>
              <w:t xml:space="preserve">services under the End-of-Life Pathway </w:t>
            </w:r>
          </w:p>
          <w:p w14:paraId="55FB15D3" w14:textId="77777777" w:rsidR="00960A13" w:rsidRPr="009E1361" w:rsidRDefault="00960A13" w:rsidP="00A677C9">
            <w:pPr>
              <w:spacing w:before="240" w:after="240"/>
            </w:pPr>
          </w:p>
        </w:tc>
      </w:tr>
      <w:tr w:rsidR="00960A13" w:rsidRPr="009E1361" w14:paraId="714ACBA9" w14:textId="77777777">
        <w:tc>
          <w:tcPr>
            <w:tcW w:w="2122" w:type="dxa"/>
            <w:shd w:val="clear" w:color="auto" w:fill="002060"/>
            <w:vAlign w:val="center"/>
          </w:tcPr>
          <w:p w14:paraId="14DA39C4" w14:textId="77777777" w:rsidR="00960A13" w:rsidRPr="00810AB7" w:rsidRDefault="00960A13" w:rsidP="00A677C9">
            <w:pPr>
              <w:spacing w:before="240" w:after="240"/>
              <w:rPr>
                <w:color w:val="FFFFFF" w:themeColor="background1"/>
              </w:rPr>
            </w:pPr>
            <w:r w:rsidRPr="00810AB7">
              <w:rPr>
                <w:color w:val="FFFFFF" w:themeColor="background1"/>
              </w:rPr>
              <w:t>Restorative Care Pathway</w:t>
            </w:r>
          </w:p>
          <w:p w14:paraId="12E6C582" w14:textId="77777777" w:rsidR="00960A13" w:rsidRPr="00810AB7" w:rsidRDefault="00960A13" w:rsidP="00A677C9">
            <w:pPr>
              <w:pStyle w:val="H5"/>
              <w:spacing w:before="240" w:after="240"/>
              <w:rPr>
                <w:b w:val="0"/>
                <w:color w:val="FFFFFF" w:themeColor="background1"/>
              </w:rPr>
            </w:pPr>
          </w:p>
        </w:tc>
        <w:tc>
          <w:tcPr>
            <w:tcW w:w="6894" w:type="dxa"/>
            <w:vMerge/>
            <w:vAlign w:val="center"/>
          </w:tcPr>
          <w:p w14:paraId="3A33D3A2" w14:textId="77777777" w:rsidR="00960A13" w:rsidRPr="009E1361" w:rsidRDefault="00960A13" w:rsidP="00A677C9">
            <w:pPr>
              <w:spacing w:before="240" w:after="240"/>
            </w:pPr>
          </w:p>
        </w:tc>
      </w:tr>
      <w:tr w:rsidR="00960A13" w:rsidRPr="009E1361" w14:paraId="68EC8DA6" w14:textId="77777777">
        <w:tc>
          <w:tcPr>
            <w:tcW w:w="2122" w:type="dxa"/>
            <w:shd w:val="clear" w:color="auto" w:fill="002060"/>
            <w:vAlign w:val="center"/>
          </w:tcPr>
          <w:p w14:paraId="5D73FC1E" w14:textId="77777777" w:rsidR="00960A13" w:rsidRPr="00810AB7" w:rsidRDefault="00960A13" w:rsidP="00A677C9">
            <w:pPr>
              <w:spacing w:before="240" w:after="240"/>
              <w:rPr>
                <w:color w:val="FFFFFF" w:themeColor="background1"/>
              </w:rPr>
            </w:pPr>
            <w:r w:rsidRPr="00810AB7">
              <w:rPr>
                <w:color w:val="FFFFFF" w:themeColor="background1"/>
              </w:rPr>
              <w:t>Permanent Residential Care </w:t>
            </w:r>
          </w:p>
          <w:p w14:paraId="459BF020" w14:textId="77777777" w:rsidR="00960A13" w:rsidRPr="00810AB7" w:rsidRDefault="00960A13" w:rsidP="00A677C9">
            <w:pPr>
              <w:spacing w:before="240" w:after="240"/>
              <w:rPr>
                <w:color w:val="FFFFFF" w:themeColor="background1"/>
              </w:rPr>
            </w:pPr>
          </w:p>
        </w:tc>
        <w:tc>
          <w:tcPr>
            <w:tcW w:w="6894" w:type="dxa"/>
            <w:vMerge/>
          </w:tcPr>
          <w:p w14:paraId="0A57E4AE" w14:textId="77777777" w:rsidR="00960A13" w:rsidRPr="009E1361" w:rsidRDefault="00960A13" w:rsidP="00A677C9">
            <w:pPr>
              <w:pStyle w:val="H5"/>
              <w:spacing w:before="240" w:after="240"/>
            </w:pPr>
          </w:p>
        </w:tc>
      </w:tr>
    </w:tbl>
    <w:p w14:paraId="4B41F816" w14:textId="77777777" w:rsidR="00960A13" w:rsidRPr="00BF5C17" w:rsidRDefault="00960A13" w:rsidP="00A677C9">
      <w:pPr>
        <w:spacing w:before="240" w:after="240" w:line="240" w:lineRule="auto"/>
        <w:rPr>
          <w:rFonts w:eastAsia="Aptos"/>
        </w:rPr>
      </w:pPr>
      <w:r w:rsidRPr="00BF5C17">
        <w:rPr>
          <w:rFonts w:eastAsia="Aptos"/>
        </w:rPr>
        <w:t>If an individual is eligible for the End-of-Life Pathway, they </w:t>
      </w:r>
      <w:r w:rsidRPr="00BE6B4F">
        <w:rPr>
          <w:rFonts w:eastAsia="Aptos"/>
        </w:rPr>
        <w:t>can be referred and transitioned</w:t>
      </w:r>
      <w:r w:rsidRPr="00BF5C17">
        <w:rPr>
          <w:rFonts w:eastAsia="Aptos"/>
        </w:rPr>
        <w:t> out of any of the above programs to begin receiving services under the End-of-Life Pathway. Individuals who are accessing services through MPSP or NATSIFACP, can access their SAH End-of-Life approval through those programs as well. Participants accessing the End-of-Life Pathway may continue to access these services during a period of Residential Respite, as long as services are not duplicative.</w:t>
      </w:r>
    </w:p>
    <w:p w14:paraId="3CD73DC2" w14:textId="77777777" w:rsidR="00960A13" w:rsidRDefault="00960A13" w:rsidP="00C56CEC">
      <w:pPr>
        <w:pStyle w:val="H3"/>
      </w:pPr>
      <w:r>
        <w:t>Funding for the End-of-Life Pathway</w:t>
      </w:r>
    </w:p>
    <w:p w14:paraId="2869062F" w14:textId="77777777" w:rsidR="00960A13" w:rsidRPr="00516107" w:rsidRDefault="00960A13" w:rsidP="00A677C9">
      <w:pPr>
        <w:spacing w:before="240" w:after="240" w:line="240" w:lineRule="auto"/>
      </w:pPr>
      <w:r w:rsidRPr="00516107">
        <w:t xml:space="preserve">Funding for the End-of-Life Pathway is discrete from other Support at Home classifications. If an existing Support at Home participant moves to the End-of-Life Pathway, this will replace their ongoing Support at Home classification. </w:t>
      </w:r>
    </w:p>
    <w:p w14:paraId="601EF038" w14:textId="77777777" w:rsidR="00960A13" w:rsidRPr="009E1361" w:rsidRDefault="00960A13" w:rsidP="00A677C9">
      <w:pPr>
        <w:spacing w:before="240" w:after="240" w:line="240" w:lineRule="auto"/>
      </w:pPr>
      <w:r w:rsidRPr="009E1361">
        <w:t xml:space="preserve">Unlike an ongoing classification, participants cannot accrue funds under the End-of-Life Pathway. </w:t>
      </w:r>
      <w:r w:rsidRPr="00C440C5">
        <w:t>This means that any unspent budget from an End-of-Life Pathway classification will not follow a participant if they live beyond the End-of-Life funding period and move to an ongoing classification.</w:t>
      </w:r>
    </w:p>
    <w:p w14:paraId="1DF2888F" w14:textId="4499DECF" w:rsidR="00960A13" w:rsidRPr="009E1361" w:rsidRDefault="00960A13" w:rsidP="00A677C9">
      <w:pPr>
        <w:spacing w:before="240" w:after="240" w:line="240" w:lineRule="auto"/>
        <w:rPr>
          <w:lang w:val="en-AU"/>
        </w:rPr>
      </w:pPr>
      <w:r w:rsidRPr="009E1361">
        <w:rPr>
          <w:lang w:val="en-AU"/>
        </w:rPr>
        <w:t xml:space="preserve">Transitioned HCP clients </w:t>
      </w:r>
      <w:r w:rsidR="003002B2">
        <w:rPr>
          <w:lang w:val="en-AU"/>
        </w:rPr>
        <w:t>can access the</w:t>
      </w:r>
      <w:r w:rsidRPr="009E1361">
        <w:rPr>
          <w:lang w:val="en-AU"/>
        </w:rPr>
        <w:t xml:space="preserve"> End-of-Life Pathway </w:t>
      </w:r>
      <w:r w:rsidR="003002B2">
        <w:rPr>
          <w:lang w:val="en-AU"/>
        </w:rPr>
        <w:t>via</w:t>
      </w:r>
      <w:r w:rsidRPr="009E1361">
        <w:rPr>
          <w:lang w:val="en-AU"/>
        </w:rPr>
        <w:t xml:space="preserve"> an SPR, like all existing Support at Home </w:t>
      </w:r>
      <w:r w:rsidR="003002B2">
        <w:rPr>
          <w:lang w:val="en-AU"/>
        </w:rPr>
        <w:t>participants</w:t>
      </w:r>
      <w:r w:rsidRPr="009E1361">
        <w:rPr>
          <w:lang w:val="en-AU"/>
        </w:rPr>
        <w:t xml:space="preserve">. </w:t>
      </w:r>
      <w:r w:rsidR="007553A5">
        <w:rPr>
          <w:lang w:val="en-AU"/>
        </w:rPr>
        <w:t>If they require services beyond the End-of-Life Pathway funding period,</w:t>
      </w:r>
      <w:r w:rsidRPr="009E1361">
        <w:rPr>
          <w:lang w:val="en-AU"/>
        </w:rPr>
        <w:t xml:space="preserve"> they can return to </w:t>
      </w:r>
      <w:r w:rsidR="00417537">
        <w:rPr>
          <w:lang w:val="en-AU"/>
        </w:rPr>
        <w:t xml:space="preserve">their previous </w:t>
      </w:r>
      <w:r w:rsidRPr="009E1361">
        <w:rPr>
          <w:lang w:val="en-AU"/>
        </w:rPr>
        <w:t xml:space="preserve">transitional classification via </w:t>
      </w:r>
      <w:r w:rsidR="00677FBC">
        <w:rPr>
          <w:lang w:val="en-AU"/>
        </w:rPr>
        <w:t xml:space="preserve">an </w:t>
      </w:r>
      <w:r w:rsidRPr="009E1361">
        <w:rPr>
          <w:lang w:val="en-AU"/>
        </w:rPr>
        <w:t xml:space="preserve">SPR. </w:t>
      </w:r>
    </w:p>
    <w:p w14:paraId="7C6DA538" w14:textId="77777777" w:rsidR="00960A13" w:rsidRPr="009E1361" w:rsidRDefault="00960A13" w:rsidP="00C56CEC">
      <w:pPr>
        <w:pStyle w:val="H3"/>
      </w:pPr>
      <w:r w:rsidRPr="009E1361">
        <w:t>Allocation of ongoing Support at Home to the client after End-of-Life Pathway</w:t>
      </w:r>
    </w:p>
    <w:p w14:paraId="15685C4B" w14:textId="77777777" w:rsidR="00960A13" w:rsidRPr="009E1361" w:rsidRDefault="00960A13" w:rsidP="00A677C9">
      <w:pPr>
        <w:spacing w:before="240" w:after="240" w:line="240" w:lineRule="auto"/>
      </w:pPr>
      <w:r w:rsidRPr="009E1361">
        <w:t>If the participant requires ongoing Support at Home services following the completion of the End-of-Life Pathway, the following will apply:</w:t>
      </w:r>
    </w:p>
    <w:p w14:paraId="5FA961F7" w14:textId="6D5F5403" w:rsidR="00960A13" w:rsidRPr="009E1361" w:rsidRDefault="00960A13" w:rsidP="00A677C9">
      <w:pPr>
        <w:spacing w:before="240" w:after="240" w:line="240" w:lineRule="auto"/>
      </w:pPr>
      <w:r w:rsidRPr="009E1361">
        <w:t>Participants who were accessing ongoing Support at Home services prior to accessing the End-of-Life Pathway can be transferred to their previous Support at Home classification via a</w:t>
      </w:r>
      <w:r w:rsidR="00543441">
        <w:t>n urgent</w:t>
      </w:r>
      <w:r w:rsidRPr="009E1361">
        <w:t xml:space="preserve"> </w:t>
      </w:r>
      <w:r w:rsidR="7741FD52">
        <w:t>s</w:t>
      </w:r>
      <w:r w:rsidRPr="009E1361">
        <w:t xml:space="preserve">upport </w:t>
      </w:r>
      <w:r w:rsidR="20B12B88">
        <w:t>p</w:t>
      </w:r>
      <w:r>
        <w:t xml:space="preserve">lan </w:t>
      </w:r>
      <w:r w:rsidR="67A81253">
        <w:t>r</w:t>
      </w:r>
      <w:r w:rsidRPr="009E1361">
        <w:t>eview. </w:t>
      </w:r>
    </w:p>
    <w:p w14:paraId="00202DD5" w14:textId="64155A10" w:rsidR="00960A13" w:rsidRPr="009E1361" w:rsidRDefault="00960A13" w:rsidP="00A677C9">
      <w:pPr>
        <w:spacing w:before="240" w:after="240" w:line="240" w:lineRule="auto"/>
      </w:pPr>
      <w:r w:rsidRPr="009E1361">
        <w:t xml:space="preserve">Participants who were new to Support at Home when they commenced the End-of-Life Pathway can be transferred to the inactive classification that was assigned at their aged care assessment, via an urgent </w:t>
      </w:r>
      <w:r w:rsidR="54DD5C80">
        <w:t>s</w:t>
      </w:r>
      <w:r>
        <w:t xml:space="preserve">upport </w:t>
      </w:r>
      <w:r w:rsidR="3AF21776">
        <w:t>p</w:t>
      </w:r>
      <w:r>
        <w:t xml:space="preserve">lan </w:t>
      </w:r>
      <w:r w:rsidR="0BCCC82E">
        <w:t>r</w:t>
      </w:r>
      <w:r w:rsidRPr="009E1361">
        <w:t>eview.</w:t>
      </w:r>
    </w:p>
    <w:p w14:paraId="6D8AE379" w14:textId="0AB42535" w:rsidR="00960A13" w:rsidRPr="009E1361" w:rsidRDefault="00960A13" w:rsidP="00C56CEC">
      <w:pPr>
        <w:pStyle w:val="H3"/>
      </w:pPr>
      <w:r w:rsidRPr="009E1361">
        <w:t>Assessing for End-of-Life</w:t>
      </w:r>
      <w:r w:rsidR="003261D1">
        <w:t xml:space="preserve"> Pathway </w:t>
      </w:r>
    </w:p>
    <w:p w14:paraId="0445816A" w14:textId="41F5311C" w:rsidR="00960A13" w:rsidRPr="009E1361" w:rsidRDefault="00033E78" w:rsidP="00A677C9">
      <w:pPr>
        <w:spacing w:before="240" w:after="240" w:line="240" w:lineRule="auto"/>
        <w:rPr>
          <w:lang w:val="en-US"/>
        </w:rPr>
      </w:pPr>
      <w:r>
        <w:rPr>
          <w:lang w:val="en-US"/>
        </w:rPr>
        <w:t xml:space="preserve">When assessing for the </w:t>
      </w:r>
      <w:r w:rsidR="00960A13" w:rsidRPr="009E1361">
        <w:rPr>
          <w:lang w:val="en-US"/>
        </w:rPr>
        <w:t xml:space="preserve">End-of-Life </w:t>
      </w:r>
      <w:r w:rsidR="00A91A9B">
        <w:rPr>
          <w:lang w:val="en-US"/>
        </w:rPr>
        <w:t>P</w:t>
      </w:r>
      <w:r w:rsidR="00A91A9B" w:rsidRPr="009E1361">
        <w:rPr>
          <w:lang w:val="en-US"/>
        </w:rPr>
        <w:t>athway</w:t>
      </w:r>
      <w:r w:rsidR="00960A13" w:rsidRPr="009E1361">
        <w:rPr>
          <w:lang w:val="en-US"/>
        </w:rPr>
        <w:t xml:space="preserve">, only mandatory questions that are required to run the IAT </w:t>
      </w:r>
      <w:r w:rsidR="00815BEA">
        <w:rPr>
          <w:lang w:val="en-US"/>
        </w:rPr>
        <w:t>Outcome</w:t>
      </w:r>
      <w:r w:rsidR="00960A13" w:rsidRPr="009E1361">
        <w:rPr>
          <w:lang w:val="en-US"/>
        </w:rPr>
        <w:t xml:space="preserve"> and generate an ongoing Support at Home classification are required to be completed. This is to ensure the older person has a valid classification to return to if they need services beyond the End-of-Life Pathway funding period. Other questions are optional based on the individual’s needs and context.</w:t>
      </w:r>
    </w:p>
    <w:p w14:paraId="798262F2" w14:textId="24D52FEB" w:rsidR="00960A13" w:rsidRPr="009E1361" w:rsidRDefault="00960A13" w:rsidP="00C56CEC">
      <w:pPr>
        <w:pStyle w:val="H3"/>
      </w:pPr>
      <w:r w:rsidRPr="009E1361">
        <w:t xml:space="preserve">Recommending the End-of-Life </w:t>
      </w:r>
      <w:r w:rsidR="00605147">
        <w:t>P</w:t>
      </w:r>
      <w:r w:rsidRPr="009E1361">
        <w:t>athway in the assessor portal</w:t>
      </w:r>
    </w:p>
    <w:p w14:paraId="1A1ADAE6" w14:textId="7FA8345D" w:rsidR="00960A13" w:rsidRDefault="00960A13" w:rsidP="00A677C9">
      <w:pPr>
        <w:spacing w:before="240" w:after="240" w:line="240" w:lineRule="auto"/>
        <w:rPr>
          <w:lang w:val="en-US"/>
        </w:rPr>
      </w:pPr>
      <w:r>
        <w:rPr>
          <w:lang w:val="en-US"/>
        </w:rPr>
        <w:t>Assessors</w:t>
      </w:r>
      <w:r w:rsidRPr="009E1361">
        <w:rPr>
          <w:lang w:val="en-US"/>
        </w:rPr>
        <w:t xml:space="preserve"> can select the End-of-Life </w:t>
      </w:r>
      <w:r w:rsidR="00605147">
        <w:rPr>
          <w:lang w:val="en-US"/>
        </w:rPr>
        <w:t>P</w:t>
      </w:r>
      <w:r w:rsidRPr="009E1361">
        <w:rPr>
          <w:lang w:val="en-US"/>
        </w:rPr>
        <w:t>athway for older people under the ‘</w:t>
      </w:r>
      <w:r w:rsidRPr="009E1361">
        <w:rPr>
          <w:i/>
          <w:lang w:val="en-US"/>
        </w:rPr>
        <w:t>Goals &amp; recommendations’</w:t>
      </w:r>
      <w:r w:rsidRPr="009E1361">
        <w:rPr>
          <w:lang w:val="en-US"/>
        </w:rPr>
        <w:t xml:space="preserve"> tab within the Support </w:t>
      </w:r>
      <w:r w:rsidR="00D74A3C">
        <w:rPr>
          <w:lang w:val="en-US"/>
        </w:rPr>
        <w:t>P</w:t>
      </w:r>
      <w:r w:rsidR="00D74A3C" w:rsidRPr="009E1361">
        <w:rPr>
          <w:lang w:val="en-US"/>
        </w:rPr>
        <w:t xml:space="preserve">lan </w:t>
      </w:r>
      <w:r w:rsidRPr="009E1361">
        <w:rPr>
          <w:lang w:val="en-US"/>
        </w:rPr>
        <w:t xml:space="preserve">and services section of the </w:t>
      </w:r>
      <w:r w:rsidR="00D74A3C">
        <w:rPr>
          <w:lang w:val="en-US"/>
        </w:rPr>
        <w:t>My Aged Care</w:t>
      </w:r>
      <w:r w:rsidRPr="009E1361">
        <w:rPr>
          <w:lang w:val="en-US"/>
        </w:rPr>
        <w:t xml:space="preserve"> Assessor Portal. It is best practice for End-of-Life to be flagged and verified prior to the commencement of the assessment, however there are allowances to be able to complete these two tasks after an assessment has started. </w:t>
      </w:r>
    </w:p>
    <w:p w14:paraId="134C5C22" w14:textId="10CAD9E9" w:rsidR="00960A13" w:rsidRPr="009E1361" w:rsidRDefault="00960A13" w:rsidP="00A677C9">
      <w:pPr>
        <w:spacing w:before="240" w:after="240" w:line="240" w:lineRule="auto"/>
        <w:rPr>
          <w:lang w:val="en-US"/>
        </w:rPr>
      </w:pPr>
      <w:r w:rsidRPr="009E1361">
        <w:rPr>
          <w:lang w:val="en-US"/>
        </w:rPr>
        <w:t xml:space="preserve">Upon finalising the IAT, the system will recommend either a single CHSP classification or an ongoing Support at Home classification (in nearly all instances, it will be a Support at Home classification for this cohort). </w:t>
      </w:r>
      <w:r w:rsidR="003434C8">
        <w:rPr>
          <w:lang w:val="en-US"/>
        </w:rPr>
        <w:t xml:space="preserve">If a </w:t>
      </w:r>
      <w:r w:rsidR="00B5157F">
        <w:rPr>
          <w:lang w:val="en-US"/>
        </w:rPr>
        <w:t>Support at Home classification is generated</w:t>
      </w:r>
      <w:r w:rsidR="003E043C">
        <w:rPr>
          <w:lang w:val="en-US"/>
        </w:rPr>
        <w:t>,</w:t>
      </w:r>
      <w:r w:rsidRPr="009E1361">
        <w:rPr>
          <w:rFonts w:eastAsia="Arial"/>
          <w:lang w:val="en-US"/>
        </w:rPr>
        <w:t xml:space="preserve"> </w:t>
      </w:r>
      <w:r>
        <w:rPr>
          <w:rFonts w:eastAsia="Arial"/>
          <w:lang w:val="en-US"/>
        </w:rPr>
        <w:t>assessors</w:t>
      </w:r>
      <w:r w:rsidRPr="009E1361">
        <w:rPr>
          <w:rFonts w:eastAsia="Arial"/>
          <w:lang w:val="en-US"/>
        </w:rPr>
        <w:t xml:space="preserve"> will need to override the recommendation and choose ‘End-of-Life’. </w:t>
      </w:r>
      <w:r>
        <w:rPr>
          <w:rFonts w:eastAsia="Arial"/>
          <w:lang w:val="en-US"/>
        </w:rPr>
        <w:t>Assessors</w:t>
      </w:r>
      <w:r w:rsidRPr="009E1361">
        <w:rPr>
          <w:rFonts w:eastAsia="Arial"/>
          <w:lang w:val="en-US"/>
        </w:rPr>
        <w:t xml:space="preserve"> will be navigated to the ‘Add Home Support Services’ page where services are pre-selected. </w:t>
      </w:r>
      <w:r w:rsidRPr="009E1361">
        <w:rPr>
          <w:rFonts w:eastAsia="Arial"/>
          <w:color w:val="000000" w:themeColor="text1"/>
          <w:lang w:val="en-US"/>
        </w:rPr>
        <w:t>Assessors should only unselect service sub types if they think the client may not have a need for this service.</w:t>
      </w:r>
      <w:r w:rsidRPr="009E1361">
        <w:rPr>
          <w:rFonts w:eastAsia="Arial"/>
          <w:lang w:val="en-US"/>
        </w:rPr>
        <w:t xml:space="preserve"> </w:t>
      </w:r>
    </w:p>
    <w:p w14:paraId="4E32F5AD" w14:textId="42C61CCA" w:rsidR="002F3DC5" w:rsidRDefault="00960A13" w:rsidP="00A677C9">
      <w:pPr>
        <w:spacing w:before="240" w:after="240" w:line="240" w:lineRule="auto"/>
        <w:rPr>
          <w:lang w:val="en-US"/>
        </w:rPr>
      </w:pPr>
      <w:r w:rsidRPr="009E1361">
        <w:rPr>
          <w:lang w:val="en-US"/>
        </w:rPr>
        <w:t xml:space="preserve">This will then enable </w:t>
      </w:r>
      <w:r>
        <w:rPr>
          <w:lang w:val="en-US"/>
        </w:rPr>
        <w:t>assessors</w:t>
      </w:r>
      <w:r w:rsidRPr="009E1361">
        <w:rPr>
          <w:lang w:val="en-US"/>
        </w:rPr>
        <w:t xml:space="preserve"> to allocate this pathway for </w:t>
      </w:r>
      <w:r>
        <w:rPr>
          <w:lang w:val="en-US"/>
        </w:rPr>
        <w:t xml:space="preserve">assessment </w:t>
      </w:r>
      <w:r w:rsidRPr="009E1361">
        <w:rPr>
          <w:lang w:val="en-US"/>
        </w:rPr>
        <w:t>delegate approval.</w:t>
      </w:r>
    </w:p>
    <w:p w14:paraId="75D94CA2" w14:textId="77777777" w:rsidR="007A2DAD" w:rsidRPr="009E1361" w:rsidRDefault="007A2DAD" w:rsidP="00A677C9">
      <w:pPr>
        <w:spacing w:before="240" w:after="240" w:line="240" w:lineRule="auto"/>
        <w:rPr>
          <w:lang w:val="en-US"/>
        </w:rPr>
      </w:pPr>
    </w:p>
    <w:p w14:paraId="43238978" w14:textId="50A8A345" w:rsidR="00960A13" w:rsidRPr="009E1361" w:rsidRDefault="00960A13" w:rsidP="00507F9D">
      <w:pPr>
        <w:pStyle w:val="h2"/>
      </w:pPr>
      <w:bookmarkStart w:id="487" w:name="_Toc198813684"/>
      <w:bookmarkStart w:id="488" w:name="_Toc204329567"/>
      <w:bookmarkStart w:id="489" w:name="_Toc209188998"/>
      <w:bookmarkStart w:id="490" w:name="_Toc224916658"/>
      <w:r w:rsidRPr="009E1361">
        <w:t xml:space="preserve">Support at Home – Assistive Technology and Home Modifications (AT-HM) </w:t>
      </w:r>
      <w:bookmarkEnd w:id="487"/>
      <w:bookmarkEnd w:id="488"/>
      <w:r w:rsidRPr="009E1361">
        <w:t>scheme</w:t>
      </w:r>
      <w:bookmarkEnd w:id="489"/>
      <w:bookmarkEnd w:id="490"/>
      <w:r w:rsidRPr="009E1361">
        <w:t xml:space="preserve"> </w:t>
      </w:r>
    </w:p>
    <w:p w14:paraId="2F26097E" w14:textId="13B0DFFC" w:rsidR="00A70265" w:rsidRDefault="00960A13" w:rsidP="00A677C9">
      <w:pPr>
        <w:spacing w:before="240" w:after="240" w:line="240" w:lineRule="auto"/>
        <w:rPr>
          <w:lang w:val="en-AU"/>
        </w:rPr>
      </w:pPr>
      <w:r w:rsidRPr="009E1361">
        <w:t xml:space="preserve">The Assistive Technology and Home Modification (AT-HM) scheme is a short-term pathway that supports older people to live at home and within their community with increased independence, safety, accessibility and wellbeing. The AT-HM scheme provides separate supports under Support at Home, with separate funding tiers (called </w:t>
      </w:r>
      <w:r w:rsidRPr="009E1361">
        <w:rPr>
          <w:i/>
          <w:iCs/>
        </w:rPr>
        <w:t>classification levels</w:t>
      </w:r>
      <w:r w:rsidRPr="009E1361">
        <w:t xml:space="preserve"> under the Act) and program settings. Participants can access both assistive technology and home modifications funding tiers at the same time if needed. This will provide upfront funding to access products, equipment and home modifications. </w:t>
      </w:r>
      <w:r w:rsidRPr="009E1361">
        <w:rPr>
          <w:lang w:val="en-AU"/>
        </w:rPr>
        <w:t xml:space="preserve">The AT-HM scheme is delivered in parallel to a participant accessing ongoing services through Support at Home. This means that participants can access these supports without needing to save up funds from their Support at Home quarterly budgets. </w:t>
      </w:r>
    </w:p>
    <w:p w14:paraId="3976F1A8" w14:textId="40AA253F" w:rsidR="000A345D" w:rsidRPr="00F83062" w:rsidRDefault="003C5A05" w:rsidP="00A677C9">
      <w:pPr>
        <w:spacing w:before="240" w:after="240" w:line="240" w:lineRule="auto"/>
        <w:rPr>
          <w:lang w:val="en-AU"/>
        </w:rPr>
      </w:pPr>
      <w:r w:rsidRPr="005E4E0E">
        <w:rPr>
          <w:bCs/>
          <w:noProof/>
        </w:rPr>
        <w:drawing>
          <wp:anchor distT="0" distB="0" distL="114300" distR="114300" simplePos="0" relativeHeight="251658283" behindDoc="0" locked="0" layoutInCell="1" allowOverlap="1" wp14:anchorId="5A63C9F6" wp14:editId="7FE52282">
            <wp:simplePos x="0" y="0"/>
            <wp:positionH relativeFrom="margin">
              <wp:align>left</wp:align>
            </wp:positionH>
            <wp:positionV relativeFrom="paragraph">
              <wp:posOffset>9458</wp:posOffset>
            </wp:positionV>
            <wp:extent cx="457200" cy="502920"/>
            <wp:effectExtent l="0" t="0" r="0" b="0"/>
            <wp:wrapSquare wrapText="bothSides"/>
            <wp:docPr id="1472303287" name="Picture 147230328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A70265" w:rsidRPr="00A70265">
        <w:t xml:space="preserve">Older people new to the aged care system who are approved for the Support at Home AT-HM scheme cannot be issued referrals to </w:t>
      </w:r>
      <w:r w:rsidR="008134EB">
        <w:t>Commonwealth Home Support Program</w:t>
      </w:r>
      <w:r w:rsidR="008134EB" w:rsidRPr="00A70265">
        <w:t xml:space="preserve"> </w:t>
      </w:r>
      <w:r w:rsidR="008134EB">
        <w:t>(</w:t>
      </w:r>
      <w:r w:rsidR="00A70265" w:rsidRPr="00A70265">
        <w:t>CHSP</w:t>
      </w:r>
      <w:r w:rsidR="008134EB">
        <w:t>)</w:t>
      </w:r>
      <w:r w:rsidR="00A70265" w:rsidRPr="00A70265">
        <w:t xml:space="preserve"> AT and/or HM services while they wait for AT-HM scheme funding.</w:t>
      </w:r>
      <w:r w:rsidR="00960A13" w:rsidRPr="009E1361">
        <w:rPr>
          <w:lang w:val="en-AU"/>
        </w:rPr>
        <w:t xml:space="preserve"> </w:t>
      </w:r>
    </w:p>
    <w:p w14:paraId="0E9DE76C" w14:textId="17C173D6" w:rsidR="00B84196" w:rsidRPr="00F83062" w:rsidRDefault="00B84196" w:rsidP="00AA3B43">
      <w:r w:rsidRPr="00B84196">
        <w:t xml:space="preserve">If an older person receiving CHSP services is reassessed for Support at Home and the AT-HM </w:t>
      </w:r>
      <w:r w:rsidR="001F3B46">
        <w:t>s</w:t>
      </w:r>
      <w:r w:rsidRPr="00B84196">
        <w:t>cheme, they may keep accessing CHSP AT and HM, if they have referrals for these services, until their AT-HM scheme budget becomes available. After that, CHSP-funded AT and HM services will no longer be available for them to access.  </w:t>
      </w:r>
    </w:p>
    <w:p w14:paraId="15485AD2" w14:textId="77777777" w:rsidR="00954412" w:rsidRPr="00F83062" w:rsidRDefault="00954412" w:rsidP="00A410FF"/>
    <w:p w14:paraId="309341AC" w14:textId="14446F01" w:rsidR="00960A13" w:rsidRDefault="00960A13" w:rsidP="00C56CEC">
      <w:pPr>
        <w:pStyle w:val="H3"/>
      </w:pPr>
      <w:r w:rsidRPr="009E1361">
        <w:t xml:space="preserve">AT-HM scheme participants </w:t>
      </w:r>
    </w:p>
    <w:p w14:paraId="1C4B3C6D"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lang w:val="en-AU"/>
        </w:rPr>
        <w:t xml:space="preserve">AT-HM scheme participants are empowered to actively participate in informed decision-making regarding the care, products, equipment and home modifications they receive. Providers </w:t>
      </w:r>
      <w:r>
        <w:rPr>
          <w:rFonts w:eastAsia="Arial"/>
          <w:color w:val="000000" w:themeColor="text1"/>
          <w:lang w:val="en-AU"/>
        </w:rPr>
        <w:t>are expected to</w:t>
      </w:r>
      <w:r w:rsidRPr="009E1361">
        <w:rPr>
          <w:rFonts w:eastAsia="Arial"/>
          <w:color w:val="000000" w:themeColor="text1"/>
          <w:lang w:val="en-AU"/>
        </w:rPr>
        <w:t xml:space="preserve"> consult participants to determine their support needs to ensure services are individualised and relevant. </w:t>
      </w:r>
    </w:p>
    <w:p w14:paraId="0D59EC61"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lang w:val="en-AU"/>
        </w:rPr>
        <w:t>Through the AT-HM scheme, participants will:</w:t>
      </w:r>
    </w:p>
    <w:p w14:paraId="4DCE035A" w14:textId="77777777" w:rsidR="00960A13" w:rsidRPr="009E1361" w:rsidRDefault="00960A13" w:rsidP="00DF3F6B">
      <w:pPr>
        <w:pStyle w:val="ListParagraph"/>
        <w:numPr>
          <w:ilvl w:val="0"/>
          <w:numId w:val="190"/>
        </w:numPr>
        <w:spacing w:before="240" w:after="240" w:line="240" w:lineRule="auto"/>
        <w:rPr>
          <w:rFonts w:eastAsia="Arial"/>
          <w:color w:val="000000" w:themeColor="text1"/>
        </w:rPr>
      </w:pPr>
      <w:r w:rsidRPr="009E1361">
        <w:rPr>
          <w:rFonts w:eastAsia="Arial"/>
          <w:color w:val="000000" w:themeColor="text1"/>
          <w:lang w:val="en-AU"/>
        </w:rPr>
        <w:t>have access to the AT-HM list to understand what equipment, products and home modifications are available to meet their assessed need</w:t>
      </w:r>
      <w:r>
        <w:rPr>
          <w:rFonts w:eastAsia="Arial"/>
          <w:color w:val="000000" w:themeColor="text1"/>
          <w:lang w:val="en-AU"/>
        </w:rPr>
        <w:t>,</w:t>
      </w:r>
    </w:p>
    <w:p w14:paraId="736383C9" w14:textId="77777777" w:rsidR="00960A13" w:rsidRPr="009E1361" w:rsidRDefault="00960A13" w:rsidP="00DF3F6B">
      <w:pPr>
        <w:pStyle w:val="ListParagraph"/>
        <w:numPr>
          <w:ilvl w:val="0"/>
          <w:numId w:val="190"/>
        </w:numPr>
        <w:spacing w:before="240" w:after="240" w:line="240" w:lineRule="auto"/>
        <w:rPr>
          <w:rFonts w:eastAsia="Arial"/>
          <w:color w:val="000000" w:themeColor="text1"/>
        </w:rPr>
      </w:pPr>
      <w:r w:rsidRPr="009E1361">
        <w:rPr>
          <w:rFonts w:eastAsia="Arial"/>
          <w:color w:val="000000" w:themeColor="text1"/>
          <w:lang w:val="en-AU"/>
        </w:rPr>
        <w:t>actively participate in the care planning process and have the AT-HM scheme explained in a way that they understand</w:t>
      </w:r>
      <w:r>
        <w:rPr>
          <w:rFonts w:eastAsia="Arial"/>
          <w:color w:val="000000" w:themeColor="text1"/>
          <w:lang w:val="en-AU"/>
        </w:rPr>
        <w:t>,</w:t>
      </w:r>
    </w:p>
    <w:p w14:paraId="4BC3AC08" w14:textId="77777777" w:rsidR="00960A13" w:rsidRPr="0010680D" w:rsidRDefault="00960A13" w:rsidP="00DF3F6B">
      <w:pPr>
        <w:pStyle w:val="ListParagraph"/>
        <w:numPr>
          <w:ilvl w:val="0"/>
          <w:numId w:val="190"/>
        </w:numPr>
        <w:spacing w:before="240" w:after="240" w:line="240" w:lineRule="auto"/>
        <w:rPr>
          <w:rFonts w:eastAsia="Arial"/>
          <w:color w:val="000000" w:themeColor="text1"/>
        </w:rPr>
      </w:pPr>
      <w:r w:rsidRPr="009E1361">
        <w:rPr>
          <w:rFonts w:eastAsia="Arial"/>
          <w:color w:val="000000" w:themeColor="text1"/>
          <w:lang w:val="en-AU"/>
        </w:rPr>
        <w:t xml:space="preserve">identify their needs, life goals, strengths, and service delivery preferences including choice of health professionals, </w:t>
      </w:r>
    </w:p>
    <w:p w14:paraId="72E6E840" w14:textId="74DB2F60" w:rsidR="00960A13" w:rsidRPr="009E1361" w:rsidRDefault="00960A13" w:rsidP="00C56CEC">
      <w:pPr>
        <w:pStyle w:val="H3"/>
      </w:pPr>
      <w:r>
        <w:t xml:space="preserve">Assistive </w:t>
      </w:r>
      <w:r w:rsidR="00BF5E0F">
        <w:t>t</w:t>
      </w:r>
      <w:r>
        <w:t>echnology</w:t>
      </w:r>
    </w:p>
    <w:p w14:paraId="1F68CFDF" w14:textId="6D8A9FD5" w:rsidR="00960A13" w:rsidRPr="009E1361" w:rsidRDefault="00960A13" w:rsidP="00A677C9">
      <w:pPr>
        <w:spacing w:before="240" w:after="240" w:line="240" w:lineRule="auto"/>
      </w:pPr>
      <w:r w:rsidRPr="009E1361">
        <w:t>Assistive technology (AT) is any item, piece of equipment or product that is used to help an older person do things more easily or complete activities they can no longer do independently</w:t>
      </w:r>
      <w:r w:rsidR="005078C0">
        <w:t xml:space="preserve"> at home or in the community</w:t>
      </w:r>
      <w:r w:rsidRPr="009E1361">
        <w:t>.  </w:t>
      </w:r>
    </w:p>
    <w:p w14:paraId="12FB51CA" w14:textId="77777777" w:rsidR="00960A13" w:rsidRPr="009E1361" w:rsidRDefault="00960A13" w:rsidP="00A677C9">
      <w:pPr>
        <w:spacing w:before="240" w:after="240" w:line="240" w:lineRule="auto"/>
      </w:pPr>
      <w:r w:rsidRPr="009E1361">
        <w:t>Examples of assistive technology include:  </w:t>
      </w:r>
    </w:p>
    <w:p w14:paraId="4E7D7990" w14:textId="77777777" w:rsidR="00960A13" w:rsidRPr="009E1361" w:rsidRDefault="00960A13" w:rsidP="00DF3F6B">
      <w:pPr>
        <w:pStyle w:val="ListParagraph"/>
        <w:numPr>
          <w:ilvl w:val="0"/>
          <w:numId w:val="152"/>
        </w:numPr>
        <w:spacing w:before="240" w:after="240" w:line="240" w:lineRule="auto"/>
      </w:pPr>
      <w:r w:rsidRPr="009E1361">
        <w:t>mobility equipment such as walking sticks, walking frames and wheelchairs </w:t>
      </w:r>
    </w:p>
    <w:p w14:paraId="3EAD7895" w14:textId="77777777" w:rsidR="00960A13" w:rsidRPr="009E1361" w:rsidRDefault="00960A13" w:rsidP="00DF3F6B">
      <w:pPr>
        <w:pStyle w:val="ListParagraph"/>
        <w:numPr>
          <w:ilvl w:val="0"/>
          <w:numId w:val="152"/>
        </w:numPr>
        <w:spacing w:before="240" w:after="240" w:line="240" w:lineRule="auto"/>
      </w:pPr>
      <w:r w:rsidRPr="009E1361">
        <w:t>toileting supports including bedpans and commodes  </w:t>
      </w:r>
    </w:p>
    <w:p w14:paraId="1FF7BBDB" w14:textId="77777777" w:rsidR="00960A13" w:rsidRPr="009E1361" w:rsidRDefault="00960A13" w:rsidP="00DF3F6B">
      <w:pPr>
        <w:pStyle w:val="ListParagraph"/>
        <w:numPr>
          <w:ilvl w:val="0"/>
          <w:numId w:val="152"/>
        </w:numPr>
        <w:spacing w:before="240" w:after="240" w:line="240" w:lineRule="auto"/>
      </w:pPr>
      <w:r w:rsidRPr="009E1361">
        <w:t>bathing devices including shower chairs and bath boards  </w:t>
      </w:r>
    </w:p>
    <w:p w14:paraId="7DEE7E39" w14:textId="77777777" w:rsidR="00960A13" w:rsidRPr="009E1361" w:rsidRDefault="00960A13" w:rsidP="00DF3F6B">
      <w:pPr>
        <w:pStyle w:val="ListParagraph"/>
        <w:numPr>
          <w:ilvl w:val="0"/>
          <w:numId w:val="152"/>
        </w:numPr>
        <w:spacing w:before="240" w:after="240" w:line="240" w:lineRule="auto"/>
      </w:pPr>
      <w:r w:rsidRPr="009E1361">
        <w:t>alternative and augmentative communication (AAC) products  </w:t>
      </w:r>
    </w:p>
    <w:p w14:paraId="416D3D5A" w14:textId="77777777" w:rsidR="00960A13" w:rsidRPr="009E1361" w:rsidRDefault="00960A13" w:rsidP="00DF3F6B">
      <w:pPr>
        <w:pStyle w:val="ListParagraph"/>
        <w:numPr>
          <w:ilvl w:val="0"/>
          <w:numId w:val="152"/>
        </w:numPr>
        <w:spacing w:before="240" w:after="240" w:line="240" w:lineRule="auto"/>
      </w:pPr>
      <w:r w:rsidRPr="009E1361">
        <w:t>products for food preparation and eating including adaptive cutting boards and knives, as well as modified cutlery</w:t>
      </w:r>
    </w:p>
    <w:p w14:paraId="16D78E39" w14:textId="552D5C2D" w:rsidR="00960A13" w:rsidRPr="009E1361" w:rsidRDefault="005E3B63" w:rsidP="00DF3F6B">
      <w:pPr>
        <w:pStyle w:val="ListParagraph"/>
        <w:numPr>
          <w:ilvl w:val="0"/>
          <w:numId w:val="152"/>
        </w:numPr>
        <w:spacing w:before="240" w:after="240" w:line="240" w:lineRule="auto"/>
      </w:pPr>
      <w:r>
        <w:t xml:space="preserve">a contribution toward </w:t>
      </w:r>
      <w:r w:rsidR="00960A13" w:rsidRPr="009E1361">
        <w:t>costs associated with assistance dog maintenance.  </w:t>
      </w:r>
    </w:p>
    <w:p w14:paraId="6677E317" w14:textId="77777777" w:rsidR="00960A13" w:rsidRPr="009E1361" w:rsidRDefault="00960A13" w:rsidP="00A677C9">
      <w:pPr>
        <w:spacing w:before="240" w:after="240" w:line="240" w:lineRule="auto"/>
      </w:pPr>
      <w:r w:rsidRPr="009E1361">
        <w:t>The AT-HM scheme does not include items such as:  </w:t>
      </w:r>
    </w:p>
    <w:p w14:paraId="204FE703" w14:textId="77777777" w:rsidR="00960A13" w:rsidRPr="009E1361" w:rsidRDefault="00960A13" w:rsidP="00DF3F6B">
      <w:pPr>
        <w:pStyle w:val="ListParagraph"/>
        <w:numPr>
          <w:ilvl w:val="0"/>
          <w:numId w:val="153"/>
        </w:numPr>
        <w:spacing w:before="240" w:after="240" w:line="240" w:lineRule="auto"/>
      </w:pPr>
      <w:r w:rsidRPr="009E1361">
        <w:t>everyday household appliances e.g., a dishwasher  </w:t>
      </w:r>
    </w:p>
    <w:p w14:paraId="345E2905" w14:textId="77777777" w:rsidR="00960A13" w:rsidRPr="009E1361" w:rsidRDefault="00960A13" w:rsidP="00DF3F6B">
      <w:pPr>
        <w:pStyle w:val="ListParagraph"/>
        <w:numPr>
          <w:ilvl w:val="0"/>
          <w:numId w:val="153"/>
        </w:numPr>
        <w:spacing w:before="240" w:after="240" w:line="240" w:lineRule="auto"/>
      </w:pPr>
      <w:r w:rsidRPr="009E1361">
        <w:t>assessment or therapy tools used by a therapist  </w:t>
      </w:r>
    </w:p>
    <w:p w14:paraId="1B5870DF" w14:textId="3ADB045F" w:rsidR="00960A13" w:rsidRPr="009E1361" w:rsidRDefault="00960A13" w:rsidP="00DF3F6B">
      <w:pPr>
        <w:pStyle w:val="ListParagraph"/>
        <w:numPr>
          <w:ilvl w:val="0"/>
          <w:numId w:val="153"/>
        </w:numPr>
        <w:spacing w:before="240" w:after="240" w:line="240" w:lineRule="auto"/>
      </w:pPr>
      <w:r w:rsidRPr="009E1361">
        <w:t>products or technologies funded through an alternative national or state-based program (e.g., the Medical Aids Subsidy Scheme).  </w:t>
      </w:r>
    </w:p>
    <w:tbl>
      <w:tblPr>
        <w:tblStyle w:val="TableGrid"/>
        <w:tblW w:w="0" w:type="auto"/>
        <w:tblLook w:val="04A0" w:firstRow="1" w:lastRow="0" w:firstColumn="1" w:lastColumn="0" w:noHBand="0" w:noVBand="1"/>
      </w:tblPr>
      <w:tblGrid>
        <w:gridCol w:w="988"/>
        <w:gridCol w:w="8028"/>
      </w:tblGrid>
      <w:tr w:rsidR="008B3FC9" w:rsidRPr="009E1361" w14:paraId="29479B8F" w14:textId="77777777">
        <w:trPr>
          <w:trHeight w:val="300"/>
        </w:trPr>
        <w:tc>
          <w:tcPr>
            <w:tcW w:w="988" w:type="dxa"/>
          </w:tcPr>
          <w:p w14:paraId="493981B7" w14:textId="77777777" w:rsidR="008B3FC9" w:rsidRPr="009E1361" w:rsidRDefault="008B3FC9" w:rsidP="00A677C9">
            <w:pPr>
              <w:spacing w:before="240" w:after="240"/>
            </w:pPr>
            <w:r w:rsidRPr="009E1361">
              <w:rPr>
                <w:noProof/>
              </w:rPr>
              <w:drawing>
                <wp:inline distT="0" distB="0" distL="0" distR="0" wp14:anchorId="3B2774EC" wp14:editId="73BD4F82">
                  <wp:extent cx="447675" cy="438150"/>
                  <wp:effectExtent l="0" t="0" r="0" b="0"/>
                  <wp:docPr id="754586922" name="Picture 7545869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3E32268B" w14:textId="77777777" w:rsidR="008B3FC9" w:rsidRPr="009E1361" w:rsidRDefault="008B3FC9" w:rsidP="00A677C9">
            <w:pPr>
              <w:spacing w:before="240" w:after="240"/>
            </w:pPr>
          </w:p>
          <w:p w14:paraId="24FD6CE7" w14:textId="5C34FF8B" w:rsidR="008B3FC9" w:rsidRPr="009E1361" w:rsidRDefault="00C04A6A" w:rsidP="00A677C9">
            <w:pPr>
              <w:spacing w:before="240" w:after="240"/>
            </w:pPr>
            <w:hyperlink r:id="rId168">
              <w:r>
                <w:rPr>
                  <w:rStyle w:val="Hyperlink"/>
                </w:rPr>
                <w:t>Assistive Technology and Home Modifications list (AT-HM list)</w:t>
              </w:r>
            </w:hyperlink>
          </w:p>
        </w:tc>
      </w:tr>
    </w:tbl>
    <w:p w14:paraId="288DEAE6" w14:textId="17B57615" w:rsidR="00960A13" w:rsidRDefault="00960A13" w:rsidP="00C56CEC">
      <w:pPr>
        <w:pStyle w:val="H3"/>
      </w:pPr>
      <w:r>
        <w:t xml:space="preserve">Home </w:t>
      </w:r>
      <w:r w:rsidR="00BF5E0F">
        <w:t>m</w:t>
      </w:r>
      <w:r>
        <w:t>odifications</w:t>
      </w:r>
    </w:p>
    <w:p w14:paraId="67794F92" w14:textId="77777777" w:rsidR="00960A13" w:rsidRPr="009E1361" w:rsidRDefault="00960A13" w:rsidP="00A677C9">
      <w:pPr>
        <w:spacing w:before="240" w:after="240" w:line="240" w:lineRule="auto"/>
      </w:pPr>
      <w:r w:rsidRPr="009E1361">
        <w:t>Home modifications (HM) provide changes to an older person’s home to create a home environment that is safer and more accessible, so they can remain living safely at home. </w:t>
      </w:r>
    </w:p>
    <w:p w14:paraId="33EE81F6" w14:textId="77777777" w:rsidR="00960A13" w:rsidRPr="009E1361" w:rsidRDefault="00960A13" w:rsidP="00A677C9">
      <w:pPr>
        <w:spacing w:before="240" w:after="240" w:line="240" w:lineRule="auto"/>
      </w:pPr>
      <w:r w:rsidRPr="009E1361">
        <w:t>Examples of home modifications include:  </w:t>
      </w:r>
    </w:p>
    <w:p w14:paraId="5FFC7FC0" w14:textId="77777777" w:rsidR="00960A13" w:rsidRPr="009E1361" w:rsidRDefault="00960A13" w:rsidP="00DF3F6B">
      <w:pPr>
        <w:pStyle w:val="ListParagraph"/>
        <w:numPr>
          <w:ilvl w:val="0"/>
          <w:numId w:val="154"/>
        </w:numPr>
        <w:spacing w:before="240" w:after="240" w:line="240" w:lineRule="auto"/>
      </w:pPr>
      <w:r w:rsidRPr="009E1361">
        <w:t>lever tap sets or lever door handles </w:t>
      </w:r>
    </w:p>
    <w:p w14:paraId="74BDCA3B" w14:textId="77777777" w:rsidR="00960A13" w:rsidRPr="009E1361" w:rsidRDefault="00960A13" w:rsidP="00DF3F6B">
      <w:pPr>
        <w:pStyle w:val="ListParagraph"/>
        <w:numPr>
          <w:ilvl w:val="0"/>
          <w:numId w:val="154"/>
        </w:numPr>
        <w:spacing w:before="240" w:after="240" w:line="240" w:lineRule="auto"/>
      </w:pPr>
      <w:r w:rsidRPr="009E1361">
        <w:t>grab rails in the shower or bathroom </w:t>
      </w:r>
    </w:p>
    <w:p w14:paraId="30041F56" w14:textId="77777777" w:rsidR="00960A13" w:rsidRPr="009E1361" w:rsidRDefault="00960A13" w:rsidP="00DF3F6B">
      <w:pPr>
        <w:pStyle w:val="ListParagraph"/>
        <w:numPr>
          <w:ilvl w:val="0"/>
          <w:numId w:val="154"/>
        </w:numPr>
        <w:spacing w:before="240" w:after="240" w:line="240" w:lineRule="auto"/>
      </w:pPr>
      <w:r w:rsidRPr="009E1361">
        <w:t>internal and external handrails </w:t>
      </w:r>
    </w:p>
    <w:p w14:paraId="29330148" w14:textId="77777777" w:rsidR="00960A13" w:rsidRPr="009E1361" w:rsidRDefault="00960A13" w:rsidP="00DF3F6B">
      <w:pPr>
        <w:pStyle w:val="ListParagraph"/>
        <w:numPr>
          <w:ilvl w:val="0"/>
          <w:numId w:val="154"/>
        </w:numPr>
        <w:spacing w:before="240" w:after="240" w:line="240" w:lineRule="auto"/>
      </w:pPr>
      <w:r w:rsidRPr="009E1361">
        <w:t>modified door locks </w:t>
      </w:r>
    </w:p>
    <w:p w14:paraId="24C4F53C" w14:textId="77777777" w:rsidR="00960A13" w:rsidRPr="009E1361" w:rsidRDefault="00960A13" w:rsidP="00DF3F6B">
      <w:pPr>
        <w:pStyle w:val="ListParagraph"/>
        <w:numPr>
          <w:ilvl w:val="0"/>
          <w:numId w:val="154"/>
        </w:numPr>
        <w:spacing w:before="240" w:after="240" w:line="240" w:lineRule="auto"/>
      </w:pPr>
      <w:r w:rsidRPr="009E1361">
        <w:t>non-slip materials and surfaces for floors and stairs. </w:t>
      </w:r>
    </w:p>
    <w:p w14:paraId="3300BC9D" w14:textId="77777777" w:rsidR="00960A13" w:rsidRPr="009E1361" w:rsidRDefault="00960A13" w:rsidP="00A677C9">
      <w:pPr>
        <w:spacing w:before="240" w:after="240" w:line="240" w:lineRule="auto"/>
      </w:pPr>
      <w:r w:rsidRPr="009E1361">
        <w:t>In some circumstances, participants may be approved for more significant home modifications including:  </w:t>
      </w:r>
    </w:p>
    <w:p w14:paraId="3E50A741" w14:textId="77777777" w:rsidR="00960A13" w:rsidRPr="009E1361" w:rsidRDefault="00960A13" w:rsidP="00DF3F6B">
      <w:pPr>
        <w:pStyle w:val="ListParagraph"/>
        <w:numPr>
          <w:ilvl w:val="0"/>
          <w:numId w:val="155"/>
        </w:numPr>
        <w:spacing w:before="240" w:after="240" w:line="240" w:lineRule="auto"/>
      </w:pPr>
      <w:r w:rsidRPr="009E1361">
        <w:t>bathroom modification (e.g., level access shower and modifications to improve accessibility) </w:t>
      </w:r>
    </w:p>
    <w:p w14:paraId="372D48BF" w14:textId="7F437644" w:rsidR="00960A13" w:rsidRPr="009E1361" w:rsidRDefault="00960A13" w:rsidP="00DF3F6B">
      <w:pPr>
        <w:pStyle w:val="ListParagraph"/>
        <w:numPr>
          <w:ilvl w:val="0"/>
          <w:numId w:val="155"/>
        </w:numPr>
        <w:spacing w:before="240" w:after="240" w:line="240" w:lineRule="auto"/>
      </w:pPr>
      <w:r w:rsidRPr="009E1361">
        <w:t>ramps and stairlifts. </w:t>
      </w:r>
    </w:p>
    <w:p w14:paraId="5F4CA2F3" w14:textId="77777777" w:rsidR="00960A13" w:rsidRPr="009E1361" w:rsidRDefault="00960A13" w:rsidP="00A677C9">
      <w:pPr>
        <w:spacing w:before="240" w:after="240" w:line="240" w:lineRule="auto"/>
      </w:pPr>
      <w:r w:rsidRPr="009E1361">
        <w:t>The AT-HM scheme does not include:  </w:t>
      </w:r>
    </w:p>
    <w:p w14:paraId="1A141CC5" w14:textId="77777777" w:rsidR="00960A13" w:rsidRPr="009E1361" w:rsidRDefault="00960A13" w:rsidP="00DF3F6B">
      <w:pPr>
        <w:pStyle w:val="ListParagraph"/>
        <w:numPr>
          <w:ilvl w:val="0"/>
          <w:numId w:val="156"/>
        </w:numPr>
        <w:spacing w:before="240" w:after="240" w:line="240" w:lineRule="auto"/>
      </w:pPr>
      <w:r w:rsidRPr="009E1361">
        <w:t>general renovations to a home or dwelling </w:t>
      </w:r>
    </w:p>
    <w:p w14:paraId="10A078E7" w14:textId="77777777" w:rsidR="00960A13" w:rsidRPr="009E1361" w:rsidRDefault="00960A13" w:rsidP="00DF3F6B">
      <w:pPr>
        <w:pStyle w:val="ListParagraph"/>
        <w:numPr>
          <w:ilvl w:val="0"/>
          <w:numId w:val="156"/>
        </w:numPr>
        <w:spacing w:before="240" w:after="240" w:line="240" w:lineRule="auto"/>
      </w:pPr>
      <w:r w:rsidRPr="009E1361">
        <w:t>restorations or repairs which are considered normal maintenance of home or dwelling </w:t>
      </w:r>
    </w:p>
    <w:p w14:paraId="774AE665" w14:textId="77777777" w:rsidR="00960A13" w:rsidRPr="009E1361" w:rsidRDefault="00960A13" w:rsidP="00DF3F6B">
      <w:pPr>
        <w:pStyle w:val="ListParagraph"/>
        <w:numPr>
          <w:ilvl w:val="0"/>
          <w:numId w:val="156"/>
        </w:numPr>
        <w:spacing w:before="240" w:after="240" w:line="240" w:lineRule="auto"/>
      </w:pPr>
      <w:r w:rsidRPr="009E1361">
        <w:t>changes to a home layout that do not relate to a participant’s support needs.</w:t>
      </w:r>
    </w:p>
    <w:p w14:paraId="0F759E8A" w14:textId="3FBB949B" w:rsidR="00782994" w:rsidRDefault="00782994" w:rsidP="00DF3F6B">
      <w:pPr>
        <w:pStyle w:val="ListParagraph"/>
        <w:numPr>
          <w:ilvl w:val="0"/>
          <w:numId w:val="156"/>
        </w:numPr>
        <w:spacing w:before="240" w:after="240" w:line="240" w:lineRule="auto"/>
      </w:pPr>
    </w:p>
    <w:p w14:paraId="6D1165C7" w14:textId="3273B47B" w:rsidR="00960A13" w:rsidRPr="00782994" w:rsidRDefault="00782994" w:rsidP="00782994">
      <w:r>
        <w:br w:type="page"/>
      </w:r>
    </w:p>
    <w:p w14:paraId="2E4FD2B3" w14:textId="77777777" w:rsidR="00960A13" w:rsidRDefault="00960A13" w:rsidP="00C56CEC">
      <w:pPr>
        <w:pStyle w:val="H3"/>
      </w:pPr>
      <w:r>
        <w:t>Funding tiers for AT-HM</w:t>
      </w:r>
    </w:p>
    <w:p w14:paraId="4752EA34" w14:textId="77777777" w:rsidR="00960A13" w:rsidRDefault="00960A13" w:rsidP="00A677C9">
      <w:pPr>
        <w:spacing w:before="240" w:after="240" w:line="240" w:lineRule="auto"/>
      </w:pPr>
      <w:r w:rsidRPr="009E1361">
        <w:t>The table below outlines the 3 funding tiers for assistive technology and home modifications.  </w:t>
      </w:r>
    </w:p>
    <w:p w14:paraId="52EFAA2D" w14:textId="2760F2E8" w:rsidR="00960A13" w:rsidRPr="009E1361" w:rsidRDefault="00960A13" w:rsidP="00A677C9">
      <w:pPr>
        <w:pStyle w:val="Caption"/>
        <w:spacing w:before="240" w:after="240"/>
      </w:pPr>
      <w:r>
        <w:t>Table 2</w:t>
      </w:r>
      <w:r w:rsidR="007A2DAD">
        <w:t>7</w:t>
      </w:r>
      <w:r>
        <w:t xml:space="preserve">. AT-HM funding tiers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T-HM funding tiers"/>
      </w:tblPr>
      <w:tblGrid>
        <w:gridCol w:w="2992"/>
        <w:gridCol w:w="2985"/>
        <w:gridCol w:w="2992"/>
      </w:tblGrid>
      <w:tr w:rsidR="00960A13" w:rsidRPr="00AF2374" w14:paraId="2FD75D57" w14:textId="77777777" w:rsidTr="00782994">
        <w:trPr>
          <w:trHeight w:val="300"/>
          <w:tblHeader/>
        </w:trPr>
        <w:tc>
          <w:tcPr>
            <w:tcW w:w="2992" w:type="dxa"/>
            <w:shd w:val="clear" w:color="auto" w:fill="002060"/>
            <w:tcMar>
              <w:left w:w="105" w:type="dxa"/>
              <w:right w:w="105" w:type="dxa"/>
            </w:tcMar>
          </w:tcPr>
          <w:p w14:paraId="4F605FA8" w14:textId="77777777" w:rsidR="00960A13" w:rsidRPr="00AF2374" w:rsidRDefault="00960A13" w:rsidP="00BD7051">
            <w:pPr>
              <w:spacing w:before="120" w:after="120"/>
              <w:rPr>
                <w:b/>
                <w:color w:val="FFFFFF" w:themeColor="background1"/>
              </w:rPr>
            </w:pPr>
            <w:r w:rsidRPr="00AF2374">
              <w:rPr>
                <w:b/>
                <w:color w:val="FFFFFF" w:themeColor="background1"/>
              </w:rPr>
              <w:t>Funding tier</w:t>
            </w:r>
          </w:p>
        </w:tc>
        <w:tc>
          <w:tcPr>
            <w:tcW w:w="2985" w:type="dxa"/>
            <w:shd w:val="clear" w:color="auto" w:fill="002060"/>
            <w:tcMar>
              <w:left w:w="105" w:type="dxa"/>
              <w:right w:w="105" w:type="dxa"/>
            </w:tcMar>
          </w:tcPr>
          <w:p w14:paraId="3F428BAB" w14:textId="77777777" w:rsidR="00960A13" w:rsidRPr="00AF2374" w:rsidRDefault="00960A13" w:rsidP="00BD7051">
            <w:pPr>
              <w:spacing w:before="120" w:after="120"/>
              <w:rPr>
                <w:b/>
                <w:color w:val="FFFFFF" w:themeColor="background1"/>
              </w:rPr>
            </w:pPr>
            <w:r w:rsidRPr="00AF2374">
              <w:rPr>
                <w:b/>
                <w:color w:val="FFFFFF" w:themeColor="background1"/>
              </w:rPr>
              <w:t>Funding allocation cap</w:t>
            </w:r>
          </w:p>
        </w:tc>
        <w:tc>
          <w:tcPr>
            <w:tcW w:w="2992" w:type="dxa"/>
            <w:shd w:val="clear" w:color="auto" w:fill="002060"/>
            <w:tcMar>
              <w:left w:w="105" w:type="dxa"/>
              <w:right w:w="105" w:type="dxa"/>
            </w:tcMar>
          </w:tcPr>
          <w:p w14:paraId="76F4FE94" w14:textId="77777777" w:rsidR="00960A13" w:rsidRPr="00AF2374" w:rsidRDefault="00960A13" w:rsidP="00BD7051">
            <w:pPr>
              <w:spacing w:before="120" w:after="120"/>
              <w:rPr>
                <w:b/>
                <w:color w:val="FFFFFF" w:themeColor="background1"/>
              </w:rPr>
            </w:pPr>
            <w:r w:rsidRPr="00AF2374">
              <w:rPr>
                <w:b/>
                <w:color w:val="FFFFFF" w:themeColor="background1"/>
              </w:rPr>
              <w:t>Funding period</w:t>
            </w:r>
          </w:p>
        </w:tc>
      </w:tr>
      <w:tr w:rsidR="00960A13" w:rsidRPr="00BF3228" w14:paraId="3D96A77C" w14:textId="77777777" w:rsidTr="00782994">
        <w:trPr>
          <w:trHeight w:val="300"/>
          <w:tblHeader/>
        </w:trPr>
        <w:tc>
          <w:tcPr>
            <w:tcW w:w="8969" w:type="dxa"/>
            <w:gridSpan w:val="3"/>
            <w:shd w:val="clear" w:color="auto" w:fill="002060"/>
            <w:tcMar>
              <w:left w:w="105" w:type="dxa"/>
              <w:right w:w="105" w:type="dxa"/>
            </w:tcMar>
          </w:tcPr>
          <w:p w14:paraId="7424A9E5" w14:textId="77777777" w:rsidR="00960A13" w:rsidRPr="00BF3228" w:rsidRDefault="00960A13" w:rsidP="00BD7051">
            <w:pPr>
              <w:spacing w:before="120" w:after="120"/>
              <w:rPr>
                <w:color w:val="FFFFFF" w:themeColor="background1"/>
              </w:rPr>
            </w:pPr>
            <w:r w:rsidRPr="00BF3228">
              <w:rPr>
                <w:color w:val="FFFFFF" w:themeColor="background1"/>
              </w:rPr>
              <w:t>Assistive technology</w:t>
            </w:r>
          </w:p>
        </w:tc>
      </w:tr>
      <w:tr w:rsidR="00960A13" w:rsidRPr="009E1361" w14:paraId="5BDA6FB9" w14:textId="77777777" w:rsidTr="00782994">
        <w:trPr>
          <w:trHeight w:val="300"/>
          <w:tblHeader/>
        </w:trPr>
        <w:tc>
          <w:tcPr>
            <w:tcW w:w="2992" w:type="dxa"/>
            <w:tcMar>
              <w:left w:w="105" w:type="dxa"/>
              <w:right w:w="105" w:type="dxa"/>
            </w:tcMar>
          </w:tcPr>
          <w:p w14:paraId="57A40C19" w14:textId="77777777" w:rsidR="00960A13" w:rsidRPr="009E1361" w:rsidRDefault="00960A13" w:rsidP="00BD7051">
            <w:pPr>
              <w:spacing w:before="120" w:after="120"/>
            </w:pPr>
            <w:r w:rsidRPr="009E1361">
              <w:t>Low</w:t>
            </w:r>
          </w:p>
        </w:tc>
        <w:tc>
          <w:tcPr>
            <w:tcW w:w="2985" w:type="dxa"/>
            <w:tcMar>
              <w:left w:w="105" w:type="dxa"/>
              <w:right w:w="105" w:type="dxa"/>
            </w:tcMar>
          </w:tcPr>
          <w:p w14:paraId="4B7102EF" w14:textId="77777777" w:rsidR="00960A13" w:rsidRPr="009E1361" w:rsidRDefault="00960A13" w:rsidP="00BD7051">
            <w:pPr>
              <w:spacing w:before="120" w:after="120"/>
            </w:pPr>
            <w:r w:rsidRPr="009E1361">
              <w:t>$500</w:t>
            </w:r>
          </w:p>
        </w:tc>
        <w:tc>
          <w:tcPr>
            <w:tcW w:w="2992" w:type="dxa"/>
            <w:tcMar>
              <w:left w:w="105" w:type="dxa"/>
              <w:right w:w="105" w:type="dxa"/>
            </w:tcMar>
          </w:tcPr>
          <w:p w14:paraId="498A5B39" w14:textId="18E49A0C" w:rsidR="00960A13" w:rsidRPr="009E1361" w:rsidRDefault="00960A13" w:rsidP="00BD7051">
            <w:pPr>
              <w:spacing w:before="120" w:after="120"/>
            </w:pPr>
            <w:r w:rsidRPr="009E1361">
              <w:t>12 months</w:t>
            </w:r>
            <w:r w:rsidR="00BE0989">
              <w:t xml:space="preserve"> (in most instances)</w:t>
            </w:r>
          </w:p>
        </w:tc>
      </w:tr>
      <w:tr w:rsidR="00960A13" w:rsidRPr="009E1361" w14:paraId="079F102E" w14:textId="77777777" w:rsidTr="00782994">
        <w:trPr>
          <w:trHeight w:val="300"/>
          <w:tblHeader/>
        </w:trPr>
        <w:tc>
          <w:tcPr>
            <w:tcW w:w="2992" w:type="dxa"/>
            <w:tcMar>
              <w:left w:w="105" w:type="dxa"/>
              <w:right w:w="105" w:type="dxa"/>
            </w:tcMar>
          </w:tcPr>
          <w:p w14:paraId="65FCFA20" w14:textId="77777777" w:rsidR="00960A13" w:rsidRPr="009E1361" w:rsidRDefault="00960A13" w:rsidP="00BD7051">
            <w:pPr>
              <w:spacing w:before="120" w:after="120"/>
            </w:pPr>
            <w:r w:rsidRPr="009E1361">
              <w:t>Medium</w:t>
            </w:r>
          </w:p>
        </w:tc>
        <w:tc>
          <w:tcPr>
            <w:tcW w:w="2985" w:type="dxa"/>
            <w:tcMar>
              <w:left w:w="105" w:type="dxa"/>
              <w:right w:w="105" w:type="dxa"/>
            </w:tcMar>
          </w:tcPr>
          <w:p w14:paraId="3514895F" w14:textId="77777777" w:rsidR="00960A13" w:rsidRPr="009E1361" w:rsidRDefault="00960A13" w:rsidP="00BD7051">
            <w:pPr>
              <w:spacing w:before="120" w:after="120"/>
            </w:pPr>
            <w:r w:rsidRPr="009E1361">
              <w:t>$2,000</w:t>
            </w:r>
          </w:p>
        </w:tc>
        <w:tc>
          <w:tcPr>
            <w:tcW w:w="2992" w:type="dxa"/>
            <w:tcMar>
              <w:left w:w="105" w:type="dxa"/>
              <w:right w:w="105" w:type="dxa"/>
            </w:tcMar>
          </w:tcPr>
          <w:p w14:paraId="6FE6E2FE" w14:textId="265E78C8" w:rsidR="00960A13" w:rsidRPr="009E1361" w:rsidRDefault="00BE0989" w:rsidP="00BD7051">
            <w:pPr>
              <w:spacing w:before="120" w:after="120"/>
            </w:pPr>
            <w:r w:rsidRPr="009E1361">
              <w:t>12 months</w:t>
            </w:r>
            <w:r>
              <w:t xml:space="preserve"> (in most instances)</w:t>
            </w:r>
          </w:p>
        </w:tc>
      </w:tr>
      <w:tr w:rsidR="00960A13" w:rsidRPr="009E1361" w14:paraId="491B8786" w14:textId="77777777" w:rsidTr="00782994">
        <w:trPr>
          <w:trHeight w:val="300"/>
          <w:tblHeader/>
        </w:trPr>
        <w:tc>
          <w:tcPr>
            <w:tcW w:w="2992" w:type="dxa"/>
            <w:tcMar>
              <w:left w:w="105" w:type="dxa"/>
              <w:right w:w="105" w:type="dxa"/>
            </w:tcMar>
          </w:tcPr>
          <w:p w14:paraId="7C3C6962" w14:textId="77777777" w:rsidR="00960A13" w:rsidRPr="009E1361" w:rsidRDefault="00960A13" w:rsidP="00BD7051">
            <w:pPr>
              <w:spacing w:before="120" w:after="120"/>
            </w:pPr>
            <w:r w:rsidRPr="009E1361">
              <w:t>High</w:t>
            </w:r>
          </w:p>
        </w:tc>
        <w:tc>
          <w:tcPr>
            <w:tcW w:w="2985" w:type="dxa"/>
            <w:tcMar>
              <w:left w:w="105" w:type="dxa"/>
              <w:right w:w="105" w:type="dxa"/>
            </w:tcMar>
          </w:tcPr>
          <w:p w14:paraId="34A3C90B" w14:textId="7623F3B8" w:rsidR="00960A13" w:rsidRPr="009E1361" w:rsidRDefault="00960A13" w:rsidP="00BD7051">
            <w:pPr>
              <w:spacing w:before="120" w:after="120"/>
            </w:pPr>
            <w:r w:rsidRPr="009E1361">
              <w:t>$15,</w:t>
            </w:r>
            <w:r w:rsidR="00163987" w:rsidRPr="009E1361">
              <w:t>000</w:t>
            </w:r>
            <w:r w:rsidR="00163987" w:rsidRPr="009E1361">
              <w:rPr>
                <w:vertAlign w:val="superscript"/>
              </w:rPr>
              <w:t>1 (</w:t>
            </w:r>
            <w:r w:rsidRPr="009E1361">
              <w:t>nominal)</w:t>
            </w:r>
          </w:p>
        </w:tc>
        <w:tc>
          <w:tcPr>
            <w:tcW w:w="2992" w:type="dxa"/>
            <w:tcMar>
              <w:left w:w="105" w:type="dxa"/>
              <w:right w:w="105" w:type="dxa"/>
            </w:tcMar>
          </w:tcPr>
          <w:p w14:paraId="0A6468F7" w14:textId="1FB0BFCF" w:rsidR="00960A13" w:rsidRPr="009E1361" w:rsidRDefault="00BE0989" w:rsidP="00BD7051">
            <w:pPr>
              <w:spacing w:before="120" w:after="120"/>
            </w:pPr>
            <w:r w:rsidRPr="009E1361">
              <w:t>12 months</w:t>
            </w:r>
            <w:r>
              <w:t xml:space="preserve"> (in most instances)</w:t>
            </w:r>
          </w:p>
        </w:tc>
      </w:tr>
      <w:tr w:rsidR="00960A13" w:rsidRPr="009E1361" w14:paraId="4B68785A" w14:textId="77777777" w:rsidTr="00782994">
        <w:trPr>
          <w:trHeight w:val="300"/>
          <w:tblHeader/>
        </w:trPr>
        <w:tc>
          <w:tcPr>
            <w:tcW w:w="8969" w:type="dxa"/>
            <w:gridSpan w:val="3"/>
            <w:tcMar>
              <w:left w:w="105" w:type="dxa"/>
              <w:right w:w="105" w:type="dxa"/>
            </w:tcMar>
          </w:tcPr>
          <w:p w14:paraId="402AF792" w14:textId="77777777" w:rsidR="00960A13" w:rsidRPr="009E1361" w:rsidRDefault="00960A13" w:rsidP="00BD7051">
            <w:pPr>
              <w:spacing w:before="120" w:after="120"/>
            </w:pPr>
            <w:r w:rsidRPr="009E1361">
              <w:rPr>
                <w:vertAlign w:val="superscript"/>
              </w:rPr>
              <w:t>1</w:t>
            </w:r>
            <w:r w:rsidRPr="009E1361">
              <w:t xml:space="preserve"> Products and equipment with costs greater than $15,000 are available to participants with a prescribed need.</w:t>
            </w:r>
          </w:p>
        </w:tc>
      </w:tr>
      <w:tr w:rsidR="00960A13" w:rsidRPr="00BF3228" w14:paraId="38D2DDED" w14:textId="77777777" w:rsidTr="00782994">
        <w:trPr>
          <w:trHeight w:val="300"/>
          <w:tblHeader/>
        </w:trPr>
        <w:tc>
          <w:tcPr>
            <w:tcW w:w="8969" w:type="dxa"/>
            <w:gridSpan w:val="3"/>
            <w:shd w:val="clear" w:color="auto" w:fill="002060"/>
            <w:tcMar>
              <w:left w:w="105" w:type="dxa"/>
              <w:right w:w="105" w:type="dxa"/>
            </w:tcMar>
          </w:tcPr>
          <w:p w14:paraId="01DDE626" w14:textId="77777777" w:rsidR="00960A13" w:rsidRPr="00BF3228" w:rsidRDefault="00960A13" w:rsidP="00BD7051">
            <w:pPr>
              <w:spacing w:before="120" w:after="120"/>
              <w:rPr>
                <w:color w:val="FFFFFF" w:themeColor="background1"/>
              </w:rPr>
            </w:pPr>
            <w:r w:rsidRPr="00BF3228">
              <w:rPr>
                <w:color w:val="FFFFFF" w:themeColor="background1"/>
              </w:rPr>
              <w:t>Home modifications</w:t>
            </w:r>
          </w:p>
        </w:tc>
      </w:tr>
      <w:tr w:rsidR="00960A13" w:rsidRPr="009E1361" w14:paraId="0ED01CC1" w14:textId="77777777" w:rsidTr="00782994">
        <w:trPr>
          <w:trHeight w:val="300"/>
          <w:tblHeader/>
        </w:trPr>
        <w:tc>
          <w:tcPr>
            <w:tcW w:w="2992" w:type="dxa"/>
            <w:tcMar>
              <w:left w:w="105" w:type="dxa"/>
              <w:right w:w="105" w:type="dxa"/>
            </w:tcMar>
          </w:tcPr>
          <w:p w14:paraId="0C98A7B1" w14:textId="77777777" w:rsidR="00960A13" w:rsidRPr="009E1361" w:rsidRDefault="00960A13" w:rsidP="00BD7051">
            <w:pPr>
              <w:spacing w:before="120" w:after="120"/>
            </w:pPr>
            <w:r w:rsidRPr="009E1361">
              <w:t>Low</w:t>
            </w:r>
          </w:p>
        </w:tc>
        <w:tc>
          <w:tcPr>
            <w:tcW w:w="2985" w:type="dxa"/>
            <w:tcMar>
              <w:left w:w="105" w:type="dxa"/>
              <w:right w:w="105" w:type="dxa"/>
            </w:tcMar>
          </w:tcPr>
          <w:p w14:paraId="5765EC91" w14:textId="77777777" w:rsidR="00960A13" w:rsidRPr="009E1361" w:rsidRDefault="00960A13" w:rsidP="00BD7051">
            <w:pPr>
              <w:spacing w:before="120" w:after="120"/>
            </w:pPr>
            <w:r w:rsidRPr="009E1361">
              <w:t>$500</w:t>
            </w:r>
          </w:p>
        </w:tc>
        <w:tc>
          <w:tcPr>
            <w:tcW w:w="2992" w:type="dxa"/>
            <w:tcMar>
              <w:left w:w="105" w:type="dxa"/>
              <w:right w:w="105" w:type="dxa"/>
            </w:tcMar>
          </w:tcPr>
          <w:p w14:paraId="7C316A83" w14:textId="77777777" w:rsidR="00960A13" w:rsidRPr="009E1361" w:rsidRDefault="00960A13" w:rsidP="00BD7051">
            <w:pPr>
              <w:spacing w:before="120" w:after="120"/>
            </w:pPr>
            <w:r w:rsidRPr="009E1361">
              <w:t>12 months</w:t>
            </w:r>
          </w:p>
        </w:tc>
      </w:tr>
      <w:tr w:rsidR="00960A13" w:rsidRPr="009E1361" w14:paraId="71C56FF1" w14:textId="77777777" w:rsidTr="00782994">
        <w:trPr>
          <w:trHeight w:val="300"/>
          <w:tblHeader/>
        </w:trPr>
        <w:tc>
          <w:tcPr>
            <w:tcW w:w="2992" w:type="dxa"/>
            <w:tcMar>
              <w:left w:w="105" w:type="dxa"/>
              <w:right w:w="105" w:type="dxa"/>
            </w:tcMar>
          </w:tcPr>
          <w:p w14:paraId="60EBC0A6" w14:textId="77777777" w:rsidR="00960A13" w:rsidRPr="009E1361" w:rsidRDefault="00960A13" w:rsidP="00BD7051">
            <w:pPr>
              <w:spacing w:before="120" w:after="120"/>
            </w:pPr>
            <w:r w:rsidRPr="009E1361">
              <w:t>Medium</w:t>
            </w:r>
          </w:p>
        </w:tc>
        <w:tc>
          <w:tcPr>
            <w:tcW w:w="2985" w:type="dxa"/>
            <w:tcMar>
              <w:left w:w="105" w:type="dxa"/>
              <w:right w:w="105" w:type="dxa"/>
            </w:tcMar>
          </w:tcPr>
          <w:p w14:paraId="4F4A8469" w14:textId="77777777" w:rsidR="00960A13" w:rsidRPr="009E1361" w:rsidRDefault="00960A13" w:rsidP="00BD7051">
            <w:pPr>
              <w:spacing w:before="120" w:after="120"/>
            </w:pPr>
            <w:r w:rsidRPr="009E1361">
              <w:t>$2,000</w:t>
            </w:r>
          </w:p>
        </w:tc>
        <w:tc>
          <w:tcPr>
            <w:tcW w:w="2992" w:type="dxa"/>
            <w:tcMar>
              <w:left w:w="105" w:type="dxa"/>
              <w:right w:w="105" w:type="dxa"/>
            </w:tcMar>
          </w:tcPr>
          <w:p w14:paraId="78C67D64" w14:textId="77777777" w:rsidR="00960A13" w:rsidRPr="009E1361" w:rsidRDefault="00960A13" w:rsidP="00BD7051">
            <w:pPr>
              <w:spacing w:before="120" w:after="120"/>
            </w:pPr>
            <w:r w:rsidRPr="009E1361">
              <w:t>12 months</w:t>
            </w:r>
          </w:p>
        </w:tc>
      </w:tr>
      <w:tr w:rsidR="00960A13" w:rsidRPr="009E1361" w14:paraId="3189E551" w14:textId="77777777" w:rsidTr="00782994">
        <w:trPr>
          <w:trHeight w:val="300"/>
          <w:tblHeader/>
        </w:trPr>
        <w:tc>
          <w:tcPr>
            <w:tcW w:w="2992" w:type="dxa"/>
            <w:tcMar>
              <w:left w:w="105" w:type="dxa"/>
              <w:right w:w="105" w:type="dxa"/>
            </w:tcMar>
          </w:tcPr>
          <w:p w14:paraId="3E647241" w14:textId="77777777" w:rsidR="00960A13" w:rsidRPr="009E1361" w:rsidRDefault="00960A13" w:rsidP="00BD7051">
            <w:pPr>
              <w:spacing w:before="120" w:after="120"/>
            </w:pPr>
            <w:r w:rsidRPr="009E1361">
              <w:t>High</w:t>
            </w:r>
          </w:p>
        </w:tc>
        <w:tc>
          <w:tcPr>
            <w:tcW w:w="2985" w:type="dxa"/>
            <w:tcMar>
              <w:left w:w="105" w:type="dxa"/>
              <w:right w:w="105" w:type="dxa"/>
            </w:tcMar>
          </w:tcPr>
          <w:p w14:paraId="2E7FEB46" w14:textId="77777777" w:rsidR="00960A13" w:rsidRPr="009E1361" w:rsidRDefault="00960A13" w:rsidP="00BD7051">
            <w:pPr>
              <w:spacing w:before="120" w:after="120"/>
            </w:pPr>
            <w:r w:rsidRPr="009E1361">
              <w:t>$15,000</w:t>
            </w:r>
          </w:p>
        </w:tc>
        <w:tc>
          <w:tcPr>
            <w:tcW w:w="2992" w:type="dxa"/>
            <w:tcMar>
              <w:left w:w="105" w:type="dxa"/>
              <w:right w:w="105" w:type="dxa"/>
            </w:tcMar>
          </w:tcPr>
          <w:p w14:paraId="7C71B717" w14:textId="77777777" w:rsidR="00960A13" w:rsidRPr="009E1361" w:rsidRDefault="00960A13" w:rsidP="00BD7051">
            <w:pPr>
              <w:spacing w:before="120" w:after="120"/>
              <w:rPr>
                <w:vertAlign w:val="superscript"/>
              </w:rPr>
            </w:pPr>
            <w:r w:rsidRPr="009E1361">
              <w:t>12 months</w:t>
            </w:r>
            <w:r w:rsidRPr="009E1361">
              <w:rPr>
                <w:vertAlign w:val="superscript"/>
              </w:rPr>
              <w:t>2</w:t>
            </w:r>
          </w:p>
        </w:tc>
      </w:tr>
      <w:tr w:rsidR="00960A13" w:rsidRPr="009E1361" w14:paraId="35F5050D" w14:textId="77777777" w:rsidTr="00782994">
        <w:trPr>
          <w:trHeight w:val="300"/>
          <w:tblHeader/>
        </w:trPr>
        <w:tc>
          <w:tcPr>
            <w:tcW w:w="8969" w:type="dxa"/>
            <w:gridSpan w:val="3"/>
            <w:tcMar>
              <w:left w:w="105" w:type="dxa"/>
              <w:right w:w="105" w:type="dxa"/>
            </w:tcMar>
          </w:tcPr>
          <w:p w14:paraId="122F26ED" w14:textId="77777777" w:rsidR="00960A13" w:rsidRPr="009E1361" w:rsidRDefault="00960A13" w:rsidP="00BD7051">
            <w:pPr>
              <w:spacing w:before="120" w:after="120"/>
            </w:pPr>
            <w:r w:rsidRPr="009E1361">
              <w:rPr>
                <w:vertAlign w:val="superscript"/>
              </w:rPr>
              <w:t xml:space="preserve">2 </w:t>
            </w:r>
            <w:r w:rsidRPr="009E1361">
              <w:t>Funding may be extended for an additional 12 months to complete complex home modifications (24 months in total) if evidence is provided to Services Australia</w:t>
            </w:r>
          </w:p>
        </w:tc>
      </w:tr>
      <w:tr w:rsidR="00960A13" w:rsidRPr="00BF3228" w14:paraId="1C138F0F" w14:textId="77777777" w:rsidTr="00782994">
        <w:trPr>
          <w:trHeight w:val="300"/>
          <w:tblHeader/>
        </w:trPr>
        <w:tc>
          <w:tcPr>
            <w:tcW w:w="8969" w:type="dxa"/>
            <w:gridSpan w:val="3"/>
            <w:shd w:val="clear" w:color="auto" w:fill="002060"/>
            <w:tcMar>
              <w:left w:w="105" w:type="dxa"/>
              <w:right w:w="105" w:type="dxa"/>
            </w:tcMar>
          </w:tcPr>
          <w:p w14:paraId="13CF8AFC" w14:textId="77777777" w:rsidR="00960A13" w:rsidRPr="00BF3228" w:rsidRDefault="00960A13" w:rsidP="00BD7051">
            <w:pPr>
              <w:spacing w:before="120" w:after="120"/>
              <w:rPr>
                <w:color w:val="FFFFFF" w:themeColor="background1"/>
              </w:rPr>
            </w:pPr>
            <w:r w:rsidRPr="00BF3228">
              <w:rPr>
                <w:color w:val="FFFFFF" w:themeColor="background1"/>
              </w:rPr>
              <w:t>Other funding</w:t>
            </w:r>
          </w:p>
        </w:tc>
      </w:tr>
      <w:tr w:rsidR="00960A13" w:rsidRPr="009E1361" w14:paraId="3115C285" w14:textId="77777777" w:rsidTr="00782994">
        <w:trPr>
          <w:trHeight w:val="300"/>
          <w:tblHeader/>
        </w:trPr>
        <w:tc>
          <w:tcPr>
            <w:tcW w:w="2992" w:type="dxa"/>
            <w:tcMar>
              <w:left w:w="105" w:type="dxa"/>
              <w:right w:w="105" w:type="dxa"/>
            </w:tcMar>
          </w:tcPr>
          <w:p w14:paraId="3563FE0E" w14:textId="77777777" w:rsidR="00960A13" w:rsidRPr="009E1361" w:rsidRDefault="00960A13" w:rsidP="00BD7051">
            <w:pPr>
              <w:spacing w:before="120" w:after="120"/>
            </w:pPr>
            <w:r w:rsidRPr="009E1361">
              <w:t>Assistance dog maintenance</w:t>
            </w:r>
          </w:p>
        </w:tc>
        <w:tc>
          <w:tcPr>
            <w:tcW w:w="2985" w:type="dxa"/>
            <w:tcMar>
              <w:left w:w="105" w:type="dxa"/>
              <w:right w:w="105" w:type="dxa"/>
            </w:tcMar>
          </w:tcPr>
          <w:p w14:paraId="58161D20" w14:textId="77777777" w:rsidR="00960A13" w:rsidRPr="009E1361" w:rsidRDefault="00960A13" w:rsidP="00BD7051">
            <w:pPr>
              <w:spacing w:before="120" w:after="120"/>
            </w:pPr>
            <w:r w:rsidRPr="009E1361">
              <w:t>$2,000 per year</w:t>
            </w:r>
          </w:p>
        </w:tc>
        <w:tc>
          <w:tcPr>
            <w:tcW w:w="2992" w:type="dxa"/>
            <w:tcMar>
              <w:left w:w="105" w:type="dxa"/>
              <w:right w:w="105" w:type="dxa"/>
            </w:tcMar>
          </w:tcPr>
          <w:p w14:paraId="63683DBF" w14:textId="77777777" w:rsidR="00960A13" w:rsidRPr="009E1361" w:rsidRDefault="00960A13" w:rsidP="00BD7051">
            <w:pPr>
              <w:spacing w:before="120" w:after="120"/>
              <w:rPr>
                <w:vertAlign w:val="superscript"/>
              </w:rPr>
            </w:pPr>
            <w:r w:rsidRPr="009E1361">
              <w:t>Ongoing</w:t>
            </w:r>
            <w:r w:rsidRPr="009E1361">
              <w:rPr>
                <w:vertAlign w:val="superscript"/>
              </w:rPr>
              <w:t>3</w:t>
            </w:r>
          </w:p>
        </w:tc>
      </w:tr>
      <w:tr w:rsidR="00960A13" w:rsidRPr="009E1361" w14:paraId="2C68054A" w14:textId="77777777" w:rsidTr="00782994">
        <w:trPr>
          <w:trHeight w:val="300"/>
          <w:tblHeader/>
        </w:trPr>
        <w:tc>
          <w:tcPr>
            <w:tcW w:w="8969" w:type="dxa"/>
            <w:gridSpan w:val="3"/>
            <w:tcMar>
              <w:left w:w="105" w:type="dxa"/>
              <w:right w:w="105" w:type="dxa"/>
            </w:tcMar>
          </w:tcPr>
          <w:p w14:paraId="40C033C2" w14:textId="77777777" w:rsidR="00960A13" w:rsidRDefault="00960A13" w:rsidP="00BD7051">
            <w:pPr>
              <w:spacing w:before="120" w:after="120"/>
            </w:pPr>
            <w:r w:rsidRPr="009E1361">
              <w:rPr>
                <w:vertAlign w:val="superscript"/>
              </w:rPr>
              <w:t>3</w:t>
            </w:r>
            <w:r w:rsidRPr="009E1361">
              <w:t xml:space="preserve"> Funding for assistance dog maintenance will be automatically allocated every 12 months; however, the funding cannot accrue or rollover.</w:t>
            </w:r>
          </w:p>
          <w:p w14:paraId="2AD44501" w14:textId="3071ED55" w:rsidR="00BB0DFC" w:rsidRPr="009E1361" w:rsidRDefault="00BB0DFC" w:rsidP="00BD7051">
            <w:pPr>
              <w:spacing w:before="120" w:after="120"/>
            </w:pPr>
          </w:p>
        </w:tc>
      </w:tr>
    </w:tbl>
    <w:p w14:paraId="644DAE16" w14:textId="77777777" w:rsidR="00960A13" w:rsidRPr="009E1361" w:rsidRDefault="00960A13" w:rsidP="00A677C9">
      <w:pPr>
        <w:spacing w:before="240" w:after="240" w:line="240" w:lineRule="auto"/>
      </w:pPr>
      <w:r w:rsidRPr="009E1361">
        <w:t>This funding may cover the following:</w:t>
      </w:r>
      <w:r w:rsidRPr="009E1361">
        <w:rPr>
          <w:lang w:val="en-US"/>
        </w:rPr>
        <w:t> </w:t>
      </w:r>
      <w:r w:rsidRPr="009E1361">
        <w:t> </w:t>
      </w:r>
    </w:p>
    <w:p w14:paraId="131C6161" w14:textId="77777777" w:rsidR="00960A13" w:rsidRDefault="00960A13" w:rsidP="00DF3F6B">
      <w:pPr>
        <w:pStyle w:val="ListParagraph"/>
        <w:numPr>
          <w:ilvl w:val="0"/>
          <w:numId w:val="156"/>
        </w:numPr>
        <w:spacing w:before="240" w:after="240" w:line="240" w:lineRule="auto"/>
      </w:pPr>
      <w:r w:rsidRPr="009E1361">
        <w:t>Assistive technology equipment and products </w:t>
      </w:r>
    </w:p>
    <w:p w14:paraId="77E84435" w14:textId="38D5FF8B" w:rsidR="006106B0" w:rsidRPr="009E1361" w:rsidRDefault="006106B0" w:rsidP="00DF3F6B">
      <w:pPr>
        <w:pStyle w:val="ListParagraph"/>
        <w:numPr>
          <w:ilvl w:val="0"/>
          <w:numId w:val="156"/>
        </w:numPr>
        <w:spacing w:before="240" w:after="240" w:line="240" w:lineRule="auto"/>
      </w:pPr>
      <w:r>
        <w:t xml:space="preserve">Home modifications and </w:t>
      </w:r>
      <w:r w:rsidR="008C118C">
        <w:t>associated services</w:t>
      </w:r>
    </w:p>
    <w:p w14:paraId="42D0827B" w14:textId="77777777" w:rsidR="00960A13" w:rsidRPr="009E1361" w:rsidRDefault="00960A13" w:rsidP="00DF3F6B">
      <w:pPr>
        <w:pStyle w:val="ListParagraph"/>
        <w:numPr>
          <w:ilvl w:val="0"/>
          <w:numId w:val="156"/>
        </w:numPr>
        <w:spacing w:before="240" w:after="240" w:line="240" w:lineRule="auto"/>
      </w:pPr>
      <w:r w:rsidRPr="009E1361">
        <w:t>Repairs or maintenance of assistive technology items available on the AT-HM list</w:t>
      </w:r>
    </w:p>
    <w:p w14:paraId="542A8405" w14:textId="77777777" w:rsidR="00960A13" w:rsidRPr="009E1361" w:rsidRDefault="00960A13" w:rsidP="00DF3F6B">
      <w:pPr>
        <w:pStyle w:val="ListParagraph"/>
        <w:numPr>
          <w:ilvl w:val="0"/>
          <w:numId w:val="156"/>
        </w:numPr>
        <w:spacing w:before="240" w:after="240" w:line="240" w:lineRule="auto"/>
      </w:pPr>
      <w:r w:rsidRPr="009E1361">
        <w:t>Prescription of items, where appropriate, by a suitably qualified health professional working within their professional scope of practice</w:t>
      </w:r>
    </w:p>
    <w:p w14:paraId="7E179DC3" w14:textId="77777777" w:rsidR="00960A13" w:rsidRPr="009E1361" w:rsidRDefault="00960A13" w:rsidP="00DF3F6B">
      <w:pPr>
        <w:pStyle w:val="ListParagraph"/>
        <w:numPr>
          <w:ilvl w:val="0"/>
          <w:numId w:val="156"/>
        </w:numPr>
        <w:spacing w:before="240" w:after="240" w:line="240" w:lineRule="auto"/>
      </w:pPr>
      <w:r w:rsidRPr="009E1361">
        <w:t>Associated administration activities (cap will apply – see the AT-HM scheme guidelines for further details).  </w:t>
      </w:r>
    </w:p>
    <w:p w14:paraId="6B0C3BE5" w14:textId="77777777" w:rsidR="00960A13" w:rsidRPr="009E1361" w:rsidRDefault="00960A13" w:rsidP="00A677C9">
      <w:pPr>
        <w:spacing w:before="240" w:after="240" w:line="240" w:lineRule="auto"/>
      </w:pPr>
      <w:r w:rsidRPr="009E1361">
        <w:t>Participants will be allocated a funding tier for 12 months (in most cases) to spend their assistive technology and home modifications funding.  </w:t>
      </w:r>
    </w:p>
    <w:p w14:paraId="4F62BC59" w14:textId="77777777" w:rsidR="00960A13" w:rsidRPr="009E1361" w:rsidRDefault="00960A13" w:rsidP="00A677C9">
      <w:pPr>
        <w:spacing w:before="240" w:after="240" w:line="240" w:lineRule="auto"/>
      </w:pPr>
      <w:r w:rsidRPr="009E1361">
        <w:t>The cost of wrap-around services—such as delivery, setup, training, and follow-up—are also drawn from the AT-HM funding tier. Providers can add a 10% charge on administration costs for AT claims and a 15% charge for coordination costs for HM claims. Assessors must consider these costs when allocating a funding tier.</w:t>
      </w:r>
    </w:p>
    <w:p w14:paraId="19E07B6D" w14:textId="77777777" w:rsidR="00960A13" w:rsidRPr="009E1361" w:rsidRDefault="00960A13" w:rsidP="00A677C9">
      <w:pPr>
        <w:spacing w:before="240" w:after="240" w:line="240" w:lineRule="auto"/>
      </w:pPr>
      <w:r w:rsidRPr="009E1361">
        <w:t>Participants may be required to contribute towards their assistive technology or home modifications. </w:t>
      </w:r>
    </w:p>
    <w:p w14:paraId="53EBB6F3" w14:textId="2C2D629D" w:rsidR="00960A13" w:rsidRPr="009E1361" w:rsidRDefault="00960A13" w:rsidP="00A677C9">
      <w:pPr>
        <w:spacing w:before="240" w:after="240" w:line="240" w:lineRule="auto"/>
      </w:pPr>
      <w:r w:rsidRPr="009E1361">
        <w:t>AT-HM funds will not accrue over time and funding will be available for 12 months</w:t>
      </w:r>
      <w:r w:rsidR="00223CA9">
        <w:t xml:space="preserve"> (in most instances)</w:t>
      </w:r>
      <w:r w:rsidRPr="009E1361">
        <w:t xml:space="preserve"> once a participant is assessed (or reassessed) and approved. If major home modifications take longer than 12 months, funding may be available for a further 12 months if the participant can provide evidence the work has commenced. This will ensure enough time to complete the work to the required standards. </w:t>
      </w:r>
    </w:p>
    <w:p w14:paraId="605C34F8" w14:textId="73EEBA5B" w:rsidR="00D2768A" w:rsidRPr="005F073C" w:rsidRDefault="00960A13" w:rsidP="00A677C9">
      <w:pPr>
        <w:spacing w:before="240" w:after="240" w:line="240" w:lineRule="auto"/>
        <w:rPr>
          <w:lang w:val="en-AU"/>
        </w:rPr>
      </w:pPr>
      <w:r w:rsidRPr="009E1361">
        <w:t>Older people identified at assessment with specific progressive conditions may be eligible to access assistive technology funding for 24 months to meet their rapidly changing needs.</w:t>
      </w:r>
      <w:r w:rsidR="00D2768A">
        <w:br/>
      </w:r>
      <w:r w:rsidR="00D2768A" w:rsidRPr="02ABCA45">
        <w:rPr>
          <w:lang w:val="en-AU"/>
        </w:rPr>
        <w:t>The 13 conditions listed below are all eligible AT-HM progressive conditions under Support at Home.</w:t>
      </w:r>
    </w:p>
    <w:p w14:paraId="4C6909A6" w14:textId="76E4FC61" w:rsidR="00D2768A" w:rsidRPr="005F073C" w:rsidRDefault="00D2768A" w:rsidP="00A677C9">
      <w:pPr>
        <w:spacing w:before="240" w:after="240" w:line="240" w:lineRule="auto"/>
        <w:rPr>
          <w:szCs w:val="22"/>
          <w:lang w:val="en-AU"/>
        </w:rPr>
      </w:pPr>
      <w:r w:rsidRPr="005F073C">
        <w:rPr>
          <w:szCs w:val="22"/>
        </w:rPr>
        <w:t xml:space="preserve">These conditions </w:t>
      </w:r>
      <w:r w:rsidR="00E07D76">
        <w:rPr>
          <w:szCs w:val="22"/>
        </w:rPr>
        <w:t>are</w:t>
      </w:r>
      <w:r w:rsidRPr="005F073C">
        <w:rPr>
          <w:szCs w:val="22"/>
        </w:rPr>
        <w:t>:</w:t>
      </w:r>
      <w:r w:rsidRPr="005F073C">
        <w:rPr>
          <w:szCs w:val="22"/>
          <w:lang w:val="en-AU"/>
        </w:rPr>
        <w:t> </w:t>
      </w:r>
    </w:p>
    <w:p w14:paraId="74A4134C"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Cerebral Palsy</w:t>
      </w:r>
      <w:r w:rsidRPr="005F073C">
        <w:rPr>
          <w:szCs w:val="22"/>
          <w:lang w:val="en-AU"/>
        </w:rPr>
        <w:t> </w:t>
      </w:r>
    </w:p>
    <w:p w14:paraId="55853D53"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Epilepsy</w:t>
      </w:r>
      <w:r w:rsidRPr="005F073C">
        <w:rPr>
          <w:szCs w:val="22"/>
          <w:lang w:val="en-AU"/>
        </w:rPr>
        <w:t> </w:t>
      </w:r>
    </w:p>
    <w:p w14:paraId="738E7696"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Huntington’s Disease</w:t>
      </w:r>
      <w:r w:rsidRPr="005F073C">
        <w:rPr>
          <w:szCs w:val="22"/>
          <w:lang w:val="en-AU"/>
        </w:rPr>
        <w:t> </w:t>
      </w:r>
    </w:p>
    <w:p w14:paraId="3B6845BD"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Motor Neurone Disease (MND) noting different phenotypes require different management</w:t>
      </w:r>
      <w:r w:rsidRPr="005F073C">
        <w:rPr>
          <w:szCs w:val="22"/>
          <w:lang w:val="en-AU"/>
        </w:rPr>
        <w:t> </w:t>
      </w:r>
    </w:p>
    <w:p w14:paraId="2A483735"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Multiple Sclerosis (MS)</w:t>
      </w:r>
      <w:r w:rsidRPr="005F073C">
        <w:rPr>
          <w:szCs w:val="22"/>
          <w:lang w:val="en-AU"/>
        </w:rPr>
        <w:t> </w:t>
      </w:r>
    </w:p>
    <w:p w14:paraId="2F7AB409"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Parkinson’s Disease</w:t>
      </w:r>
      <w:r w:rsidRPr="005F073C">
        <w:rPr>
          <w:szCs w:val="22"/>
          <w:lang w:val="en-AU"/>
        </w:rPr>
        <w:t> </w:t>
      </w:r>
    </w:p>
    <w:p w14:paraId="11599790"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Late effects of Polio</w:t>
      </w:r>
      <w:r w:rsidRPr="005F073C">
        <w:rPr>
          <w:szCs w:val="22"/>
          <w:lang w:val="en-AU"/>
        </w:rPr>
        <w:t> </w:t>
      </w:r>
    </w:p>
    <w:p w14:paraId="35181E12"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Spinal Cord Injury</w:t>
      </w:r>
      <w:r w:rsidRPr="005F073C">
        <w:rPr>
          <w:szCs w:val="22"/>
          <w:lang w:val="en-AU"/>
        </w:rPr>
        <w:t> </w:t>
      </w:r>
    </w:p>
    <w:p w14:paraId="79465933"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Spinal Muscular Atrophy</w:t>
      </w:r>
      <w:r w:rsidRPr="005F073C">
        <w:rPr>
          <w:szCs w:val="22"/>
          <w:lang w:val="en-AU"/>
        </w:rPr>
        <w:t> </w:t>
      </w:r>
    </w:p>
    <w:p w14:paraId="1AD8F05E" w14:textId="77777777" w:rsidR="00D2768A" w:rsidRPr="005F073C" w:rsidRDefault="00D2768A" w:rsidP="00DF3F6B">
      <w:pPr>
        <w:pStyle w:val="ListParagraph"/>
        <w:numPr>
          <w:ilvl w:val="0"/>
          <w:numId w:val="397"/>
        </w:numPr>
        <w:spacing w:before="240" w:after="240" w:line="240" w:lineRule="auto"/>
        <w:rPr>
          <w:szCs w:val="22"/>
          <w:lang w:val="en-AU"/>
        </w:rPr>
      </w:pPr>
      <w:r w:rsidRPr="005F073C">
        <w:rPr>
          <w:szCs w:val="22"/>
        </w:rPr>
        <w:t>Stroke</w:t>
      </w:r>
      <w:r w:rsidRPr="005F073C">
        <w:rPr>
          <w:szCs w:val="22"/>
          <w:lang w:val="en-AU"/>
        </w:rPr>
        <w:t> </w:t>
      </w:r>
    </w:p>
    <w:p w14:paraId="0F89FCED" w14:textId="77777777" w:rsidR="00D2768A" w:rsidRPr="005F073C" w:rsidRDefault="00D2768A" w:rsidP="00DF3F6B">
      <w:pPr>
        <w:pStyle w:val="ListParagraph"/>
        <w:numPr>
          <w:ilvl w:val="0"/>
          <w:numId w:val="397"/>
        </w:numPr>
        <w:spacing w:before="240" w:after="240" w:line="240" w:lineRule="auto"/>
        <w:rPr>
          <w:szCs w:val="22"/>
        </w:rPr>
      </w:pPr>
      <w:r w:rsidRPr="005F073C">
        <w:rPr>
          <w:szCs w:val="22"/>
        </w:rPr>
        <w:t>Acquired Brain Injury noting different types of brain injury require different management </w:t>
      </w:r>
    </w:p>
    <w:p w14:paraId="3BB8BB1B" w14:textId="77777777" w:rsidR="00D2768A" w:rsidRPr="005F073C" w:rsidRDefault="00D2768A" w:rsidP="00DF3F6B">
      <w:pPr>
        <w:pStyle w:val="ListParagraph"/>
        <w:numPr>
          <w:ilvl w:val="0"/>
          <w:numId w:val="397"/>
        </w:numPr>
        <w:spacing w:before="240" w:after="240" w:line="240" w:lineRule="auto"/>
        <w:rPr>
          <w:szCs w:val="22"/>
        </w:rPr>
      </w:pPr>
      <w:r w:rsidRPr="005F073C">
        <w:rPr>
          <w:szCs w:val="22"/>
        </w:rPr>
        <w:t>Muscular Dystrophies and Muscular Atrophies.</w:t>
      </w:r>
      <w:r w:rsidRPr="005F073C">
        <w:rPr>
          <w:szCs w:val="22"/>
          <w:lang w:val="en-AU"/>
        </w:rPr>
        <w:t> </w:t>
      </w:r>
    </w:p>
    <w:p w14:paraId="7FDAE66E" w14:textId="608DC89A" w:rsidR="00960A13" w:rsidRPr="009E1361" w:rsidRDefault="00960A13" w:rsidP="00A677C9">
      <w:pPr>
        <w:spacing w:before="240" w:after="240" w:line="240" w:lineRule="auto"/>
      </w:pPr>
      <w:r w:rsidRPr="009E1361">
        <w:t>In some cases, this funding can be extended for another 24 months, providing a total of 48 months of support.</w:t>
      </w:r>
      <w:r w:rsidR="0024254D">
        <w:t xml:space="preserve"> </w:t>
      </w:r>
      <w:r w:rsidRPr="009E1361">
        <w:t>If available, Home Care Package unspent funds must be used to access assistive technology and home modifications before AT-HM scheme funding is used.</w:t>
      </w:r>
    </w:p>
    <w:p w14:paraId="6B489CBF" w14:textId="77777777" w:rsidR="00960A13" w:rsidRPr="009E1361" w:rsidRDefault="00960A13" w:rsidP="00C56CEC">
      <w:pPr>
        <w:pStyle w:val="H3"/>
      </w:pPr>
      <w:r w:rsidRPr="009E1361">
        <w:t>AT-HM list</w:t>
      </w:r>
    </w:p>
    <w:p w14:paraId="5BB246DE" w14:textId="77777777" w:rsidR="00960A13" w:rsidRPr="009E1361" w:rsidRDefault="00960A13" w:rsidP="00A677C9">
      <w:pPr>
        <w:spacing w:before="240" w:after="240" w:line="240" w:lineRule="auto"/>
      </w:pPr>
      <w:r w:rsidRPr="009E1361">
        <w:t xml:space="preserve">The </w:t>
      </w:r>
      <w:r w:rsidRPr="005C2837">
        <w:t>AT-HM list</w:t>
      </w:r>
      <w:r w:rsidRPr="009E1361">
        <w:t xml:space="preserve"> sets out the assistive technology and home modifications that can be accessed and funded through the AT-HM scheme. </w:t>
      </w:r>
    </w:p>
    <w:p w14:paraId="615599AC" w14:textId="77777777" w:rsidR="00960A13" w:rsidRPr="009E1361" w:rsidRDefault="00960A13" w:rsidP="00A677C9">
      <w:pPr>
        <w:spacing w:before="240" w:after="240" w:line="240" w:lineRule="auto"/>
      </w:pPr>
      <w:r w:rsidRPr="009E1361">
        <w:t>The AT-HM list is sorted into the following categories:  </w:t>
      </w:r>
    </w:p>
    <w:p w14:paraId="2BF55252" w14:textId="77777777" w:rsidR="00960A13" w:rsidRPr="009E1361" w:rsidRDefault="00960A13" w:rsidP="00DF3F6B">
      <w:pPr>
        <w:pStyle w:val="ListParagraph"/>
        <w:numPr>
          <w:ilvl w:val="0"/>
          <w:numId w:val="144"/>
        </w:numPr>
        <w:spacing w:before="240" w:after="240" w:line="240" w:lineRule="auto"/>
      </w:pPr>
      <w:r w:rsidRPr="00A410FF">
        <w:rPr>
          <w:b/>
        </w:rPr>
        <w:t>managing body functions</w:t>
      </w:r>
      <w:r w:rsidRPr="009E1361">
        <w:t xml:space="preserve"> – including pressure cushions, anti-oedema stockings and memory support products </w:t>
      </w:r>
    </w:p>
    <w:p w14:paraId="7D63F0C6" w14:textId="77777777" w:rsidR="00960A13" w:rsidRPr="009E1361" w:rsidRDefault="00960A13" w:rsidP="00DF3F6B">
      <w:pPr>
        <w:pStyle w:val="ListParagraph"/>
        <w:numPr>
          <w:ilvl w:val="0"/>
          <w:numId w:val="145"/>
        </w:numPr>
        <w:spacing w:before="240" w:after="240" w:line="240" w:lineRule="auto"/>
      </w:pPr>
      <w:r w:rsidRPr="00A410FF">
        <w:rPr>
          <w:b/>
        </w:rPr>
        <w:t>self-care products</w:t>
      </w:r>
      <w:r w:rsidRPr="009E1361">
        <w:t xml:space="preserve"> – including adaptive clothing or shoes and assistive products for toileting, bathing and showering </w:t>
      </w:r>
    </w:p>
    <w:p w14:paraId="7E18C5BA" w14:textId="77777777" w:rsidR="00960A13" w:rsidRPr="009E1361" w:rsidRDefault="00960A13" w:rsidP="00DF3F6B">
      <w:pPr>
        <w:pStyle w:val="ListParagraph"/>
        <w:numPr>
          <w:ilvl w:val="0"/>
          <w:numId w:val="146"/>
        </w:numPr>
        <w:spacing w:before="240" w:after="240" w:line="240" w:lineRule="auto"/>
      </w:pPr>
      <w:r w:rsidRPr="00A410FF">
        <w:rPr>
          <w:b/>
        </w:rPr>
        <w:t>mobility products</w:t>
      </w:r>
      <w:r w:rsidRPr="009E1361">
        <w:t xml:space="preserve"> – including walking frames, wheelchairs and lifting devices  </w:t>
      </w:r>
    </w:p>
    <w:p w14:paraId="17665CB2" w14:textId="77777777" w:rsidR="00960A13" w:rsidRPr="009E1361" w:rsidRDefault="00960A13" w:rsidP="00DF3F6B">
      <w:pPr>
        <w:pStyle w:val="ListParagraph"/>
        <w:numPr>
          <w:ilvl w:val="0"/>
          <w:numId w:val="147"/>
        </w:numPr>
        <w:spacing w:before="240" w:after="240" w:line="240" w:lineRule="auto"/>
      </w:pPr>
      <w:r w:rsidRPr="00A410FF">
        <w:rPr>
          <w:b/>
        </w:rPr>
        <w:t>domestic life products</w:t>
      </w:r>
      <w:r w:rsidRPr="009E1361">
        <w:t xml:space="preserve"> – including assistive products for food preparation, eating, drinking and house cleaning </w:t>
      </w:r>
    </w:p>
    <w:p w14:paraId="4CFED056" w14:textId="77777777" w:rsidR="00960A13" w:rsidRPr="009E1361" w:rsidRDefault="00960A13" w:rsidP="00DF3F6B">
      <w:pPr>
        <w:pStyle w:val="ListParagraph"/>
        <w:numPr>
          <w:ilvl w:val="0"/>
          <w:numId w:val="148"/>
        </w:numPr>
        <w:spacing w:before="240" w:after="240" w:line="240" w:lineRule="auto"/>
      </w:pPr>
      <w:r w:rsidRPr="00A410FF">
        <w:rPr>
          <w:b/>
        </w:rPr>
        <w:t>communication and information management products</w:t>
      </w:r>
      <w:r w:rsidRPr="009E1361">
        <w:t xml:space="preserve"> – products and equipment that assist with reading and writing, as well as alternative and augmentative communication (AAC) devices </w:t>
      </w:r>
    </w:p>
    <w:p w14:paraId="668B4B81" w14:textId="77777777" w:rsidR="00960A13" w:rsidRPr="009E1361" w:rsidRDefault="00960A13" w:rsidP="00DF3F6B">
      <w:pPr>
        <w:pStyle w:val="ListParagraph"/>
        <w:numPr>
          <w:ilvl w:val="0"/>
          <w:numId w:val="149"/>
        </w:numPr>
        <w:spacing w:before="240" w:after="240" w:line="240" w:lineRule="auto"/>
      </w:pPr>
      <w:r w:rsidRPr="00A410FF">
        <w:rPr>
          <w:b/>
        </w:rPr>
        <w:t>home modifications</w:t>
      </w:r>
      <w:r w:rsidRPr="009E1361">
        <w:t xml:space="preserve"> - including accessible showers, grabrails, fixed ramps and safety barriers.  </w:t>
      </w:r>
    </w:p>
    <w:p w14:paraId="08DC9305" w14:textId="5B31A049" w:rsidR="00960A13" w:rsidRDefault="00960A13" w:rsidP="00A677C9">
      <w:pPr>
        <w:spacing w:before="240" w:after="240" w:line="240" w:lineRule="auto"/>
      </w:pPr>
      <w:r w:rsidRPr="009E1361">
        <w:t xml:space="preserve">The AT-HM list also </w:t>
      </w:r>
      <w:r w:rsidR="00242B94">
        <w:t>includes</w:t>
      </w:r>
      <w:r w:rsidR="00242B94" w:rsidRPr="009E1361">
        <w:t xml:space="preserve"> </w:t>
      </w:r>
      <w:r w:rsidR="00181716">
        <w:t>a guide o</w:t>
      </w:r>
      <w:r w:rsidR="00E135BF">
        <w:t>n</w:t>
      </w:r>
      <w:r w:rsidR="00181716">
        <w:t xml:space="preserve"> </w:t>
      </w:r>
      <w:r w:rsidRPr="009E1361">
        <w:t xml:space="preserve">the </w:t>
      </w:r>
      <w:r w:rsidR="00633F2E">
        <w:t xml:space="preserve">recommended </w:t>
      </w:r>
      <w:r w:rsidRPr="009E1361">
        <w:t>prescription category for each item. The prescription category is the suggested level of skill or qualification required to effectively provide recommendations for the safe and effective use of assistive products or equipment or installation of home modifications. </w:t>
      </w:r>
    </w:p>
    <w:tbl>
      <w:tblPr>
        <w:tblStyle w:val="TableGrid"/>
        <w:tblW w:w="0" w:type="auto"/>
        <w:tblLook w:val="04A0" w:firstRow="1" w:lastRow="0" w:firstColumn="1" w:lastColumn="0" w:noHBand="0" w:noVBand="1"/>
      </w:tblPr>
      <w:tblGrid>
        <w:gridCol w:w="988"/>
        <w:gridCol w:w="8028"/>
      </w:tblGrid>
      <w:tr w:rsidR="00960A13" w:rsidRPr="009E1361" w14:paraId="61D04069" w14:textId="77777777">
        <w:trPr>
          <w:trHeight w:val="300"/>
        </w:trPr>
        <w:tc>
          <w:tcPr>
            <w:tcW w:w="988" w:type="dxa"/>
          </w:tcPr>
          <w:p w14:paraId="1100E3A9" w14:textId="77777777" w:rsidR="00960A13" w:rsidRPr="009E1361" w:rsidRDefault="00960A13" w:rsidP="00A677C9">
            <w:pPr>
              <w:spacing w:before="240" w:after="240"/>
            </w:pPr>
            <w:r w:rsidRPr="009E1361">
              <w:rPr>
                <w:noProof/>
              </w:rPr>
              <w:drawing>
                <wp:inline distT="0" distB="0" distL="0" distR="0" wp14:anchorId="2F9248F0" wp14:editId="1A04F475">
                  <wp:extent cx="447675" cy="438150"/>
                  <wp:effectExtent l="0" t="0" r="0" b="0"/>
                  <wp:docPr id="1946842903" name="Picture 194684290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A2A90C0" w14:textId="77777777" w:rsidR="00960A13" w:rsidRPr="009E1361" w:rsidRDefault="00960A13" w:rsidP="00A677C9">
            <w:pPr>
              <w:spacing w:before="240" w:after="240"/>
            </w:pPr>
          </w:p>
          <w:p w14:paraId="7E000517" w14:textId="66E9E77E" w:rsidR="00960A13" w:rsidRPr="009E1361" w:rsidRDefault="00C04A6A" w:rsidP="00A677C9">
            <w:pPr>
              <w:spacing w:before="240" w:after="240"/>
            </w:pPr>
            <w:hyperlink r:id="rId169">
              <w:r>
                <w:rPr>
                  <w:rStyle w:val="Hyperlink"/>
                </w:rPr>
                <w:t>Assistive Technology and Home Modifications list (AT-HM list)</w:t>
              </w:r>
            </w:hyperlink>
          </w:p>
        </w:tc>
      </w:tr>
    </w:tbl>
    <w:p w14:paraId="7F60AB9C" w14:textId="6FA3E12D" w:rsidR="00960A13" w:rsidRPr="009E1361" w:rsidRDefault="00960A13" w:rsidP="00C56CEC">
      <w:pPr>
        <w:pStyle w:val="H3"/>
      </w:pPr>
      <w:r w:rsidRPr="009E1361">
        <w:t xml:space="preserve">Assessing </w:t>
      </w:r>
      <w:r>
        <w:t>the</w:t>
      </w:r>
      <w:r w:rsidR="00EF3C68">
        <w:t xml:space="preserve"> need for</w:t>
      </w:r>
      <w:r>
        <w:t xml:space="preserve"> </w:t>
      </w:r>
      <w:r w:rsidRPr="009E1361">
        <w:t>AT-HM scheme</w:t>
      </w:r>
      <w:r w:rsidR="00EF3C68">
        <w:t xml:space="preserve"> funding</w:t>
      </w:r>
    </w:p>
    <w:p w14:paraId="3AA486C5" w14:textId="71FD9C54" w:rsidR="00960A13" w:rsidRPr="009E1361" w:rsidRDefault="00960A13" w:rsidP="00A677C9">
      <w:pPr>
        <w:spacing w:before="240" w:after="240" w:line="240" w:lineRule="auto"/>
      </w:pPr>
      <w:r w:rsidRPr="009E1361">
        <w:t xml:space="preserve">Existing questions in the IAT will help to identify and determine an older person’s need for assistive technology and home modifications. </w:t>
      </w:r>
      <w:r w:rsidR="00A03333">
        <w:t>T</w:t>
      </w:r>
      <w:r w:rsidR="00A03333" w:rsidRPr="00A03333">
        <w:t>he AT-HM tier guide</w:t>
      </w:r>
      <w:r w:rsidR="00A03333">
        <w:t xml:space="preserve"> will assist the assessor to make a funding tier recommendation.</w:t>
      </w:r>
      <w:r w:rsidR="00A03333" w:rsidRPr="00A03333">
        <w:t xml:space="preserve"> </w:t>
      </w:r>
      <w:r w:rsidRPr="009E1361">
        <w:t xml:space="preserve">For </w:t>
      </w:r>
      <w:r w:rsidR="00782994" w:rsidRPr="009E1361">
        <w:t>example,</w:t>
      </w:r>
      <w:r w:rsidRPr="009E1361">
        <w:t xml:space="preserve"> the function section will provide a more detailed understanding of a client’s functional ability, their ability to complete activities of daily living, and if the client requires further assistance with these.</w:t>
      </w:r>
    </w:p>
    <w:p w14:paraId="54D2FA39" w14:textId="77777777" w:rsidR="00960A13" w:rsidRPr="009E1361" w:rsidRDefault="00960A13" w:rsidP="00A677C9">
      <w:pPr>
        <w:spacing w:before="240" w:after="240" w:line="240" w:lineRule="auto"/>
      </w:pPr>
      <w:r w:rsidRPr="009E1361">
        <w:t>Assessors are </w:t>
      </w:r>
      <w:r w:rsidRPr="009E1361">
        <w:rPr>
          <w:b/>
          <w:bCs/>
        </w:rPr>
        <w:t>not required</w:t>
      </w:r>
      <w:r w:rsidRPr="009E1361">
        <w:t xml:space="preserve"> to determine the exact item or product to be provided. Rather, an assessor’s role is to identify whether the person is likely to benefit from AT or HM supports based on observed and reported difficulties, risks, or goals. Assessors are asked to assign a funding tier for AT and HM based on the assessed need with the support of the AT-HM tier guide. It is recommended that assessors also familiarise themselves with the </w:t>
      </w:r>
      <w:r w:rsidRPr="005C2837">
        <w:t>AT-HM list</w:t>
      </w:r>
      <w:r w:rsidRPr="009E1361">
        <w:t xml:space="preserve"> and how it is utilised in the AT-HM scheme. The specific types of AT-HM best suited to the client, and any required prescriptions, is the responsibility of</w:t>
      </w:r>
      <w:r w:rsidRPr="009E1361" w:rsidDel="00AD4E4E">
        <w:t xml:space="preserve"> </w:t>
      </w:r>
      <w:r w:rsidRPr="009E1361">
        <w:t>the registered provider at the point of service delivery.</w:t>
      </w:r>
    </w:p>
    <w:p w14:paraId="3CD64190" w14:textId="77777777" w:rsidR="00960A13" w:rsidRPr="009E1361" w:rsidRDefault="00960A13" w:rsidP="00A677C9">
      <w:pPr>
        <w:spacing w:before="240" w:after="240" w:line="240" w:lineRule="auto"/>
      </w:pPr>
      <w:r w:rsidRPr="009E1361">
        <w:t>During the assessment, consider whether the older person:</w:t>
      </w:r>
    </w:p>
    <w:p w14:paraId="029DF786" w14:textId="77777777" w:rsidR="00960A13" w:rsidRPr="009E1361" w:rsidRDefault="00960A13" w:rsidP="00DF3F6B">
      <w:pPr>
        <w:pStyle w:val="ListParagraph"/>
        <w:numPr>
          <w:ilvl w:val="0"/>
          <w:numId w:val="158"/>
        </w:numPr>
        <w:spacing w:before="240" w:after="240" w:line="240" w:lineRule="auto"/>
      </w:pPr>
      <w:r w:rsidRPr="009E1361">
        <w:t>has needs and goals that could be met through using assistive technology and home modifications</w:t>
      </w:r>
    </w:p>
    <w:p w14:paraId="012D8ABA" w14:textId="51C8FC2F" w:rsidR="00960A13" w:rsidRPr="009E1361" w:rsidRDefault="00960A13" w:rsidP="00DF3F6B">
      <w:pPr>
        <w:pStyle w:val="ListParagraph"/>
        <w:numPr>
          <w:ilvl w:val="0"/>
          <w:numId w:val="158"/>
        </w:numPr>
        <w:spacing w:before="240" w:after="240" w:line="240" w:lineRule="auto"/>
      </w:pPr>
      <w:r w:rsidRPr="009E1361">
        <w:t xml:space="preserve">can have those needs met through the </w:t>
      </w:r>
      <w:r w:rsidR="1E862733">
        <w:t>products, equipment and home modifications included</w:t>
      </w:r>
      <w:r w:rsidR="0169377A" w:rsidDel="00E546A0">
        <w:t xml:space="preserve"> </w:t>
      </w:r>
      <w:r w:rsidRPr="009E1361">
        <w:t>on the AT-HM list.</w:t>
      </w:r>
    </w:p>
    <w:p w14:paraId="4B2FBA25" w14:textId="77777777" w:rsidR="00960A13" w:rsidRDefault="00960A13" w:rsidP="00DF3F6B">
      <w:pPr>
        <w:pStyle w:val="ListParagraph"/>
        <w:numPr>
          <w:ilvl w:val="0"/>
          <w:numId w:val="158"/>
        </w:numPr>
        <w:spacing w:before="240" w:after="240" w:line="240" w:lineRule="auto"/>
      </w:pPr>
      <w:r w:rsidRPr="009E1361">
        <w:t>may require prescription or wraparound services for the assessed needs of the assistive technology and home modifications. This will need to be considered and captured under the recommended funding tier allocation.</w:t>
      </w:r>
    </w:p>
    <w:p w14:paraId="3151DBB3" w14:textId="19FF605D" w:rsidR="008A73E0" w:rsidRPr="009E1361" w:rsidRDefault="00F03926" w:rsidP="00A410FF">
      <w:r>
        <w:t>O</w:t>
      </w:r>
      <w:r w:rsidR="00CD64D0">
        <w:t>lder Aboriginal and Torres Strait Islander people</w:t>
      </w:r>
      <w:r w:rsidR="002F672D">
        <w:t xml:space="preserve"> may not</w:t>
      </w:r>
      <w:r w:rsidR="00516698">
        <w:t xml:space="preserve"> reveal the </w:t>
      </w:r>
      <w:r w:rsidR="0EBF26B7">
        <w:t>full</w:t>
      </w:r>
      <w:r w:rsidR="00516698">
        <w:t xml:space="preserve"> care needs to service providers </w:t>
      </w:r>
      <w:r w:rsidR="0007305B">
        <w:t xml:space="preserve">who they may not know or with whom they have a trusted relationship. </w:t>
      </w:r>
      <w:r w:rsidR="00FB5D66">
        <w:t xml:space="preserve">If trust and rapport has already been built with the </w:t>
      </w:r>
      <w:r w:rsidR="00A2268F">
        <w:t xml:space="preserve">FNAO </w:t>
      </w:r>
      <w:r w:rsidR="00FB5D66">
        <w:t>assessor through the assessment process</w:t>
      </w:r>
      <w:r w:rsidR="00CD64D0">
        <w:t xml:space="preserve"> </w:t>
      </w:r>
      <w:r w:rsidR="00CA26D2">
        <w:t xml:space="preserve">or with the ECS worker, </w:t>
      </w:r>
      <w:r w:rsidR="00421D59">
        <w:t xml:space="preserve">the assessor/ECS worker may </w:t>
      </w:r>
      <w:r w:rsidR="00606EF0">
        <w:t xml:space="preserve">(if </w:t>
      </w:r>
      <w:r w:rsidR="004A2866">
        <w:t>appropriate</w:t>
      </w:r>
      <w:r w:rsidR="00606EF0">
        <w:t xml:space="preserve">) </w:t>
      </w:r>
      <w:r w:rsidR="00421D59">
        <w:t xml:space="preserve">choose to facilitate service providers </w:t>
      </w:r>
      <w:r w:rsidR="00700E94">
        <w:t xml:space="preserve">and </w:t>
      </w:r>
      <w:r w:rsidR="00770471">
        <w:t xml:space="preserve">the client </w:t>
      </w:r>
      <w:r w:rsidR="00000933">
        <w:t xml:space="preserve">with the process of identifying specific </w:t>
      </w:r>
      <w:r w:rsidR="00A15051">
        <w:t xml:space="preserve">types of AT-HM </w:t>
      </w:r>
      <w:r w:rsidR="00C11FD1">
        <w:t>which are best suited</w:t>
      </w:r>
      <w:r w:rsidR="0032034E">
        <w:t xml:space="preserve"> and advise on any cultural </w:t>
      </w:r>
      <w:r w:rsidR="00771982">
        <w:t xml:space="preserve">matters that may need to be considered. </w:t>
      </w:r>
    </w:p>
    <w:p w14:paraId="0104ED3D" w14:textId="77777777" w:rsidR="00960A13" w:rsidRPr="009E1361" w:rsidRDefault="00960A13" w:rsidP="00C56CEC">
      <w:pPr>
        <w:pStyle w:val="H3"/>
      </w:pPr>
      <w:r w:rsidRPr="009E1361">
        <w:t>AT-HM funding tier guide</w:t>
      </w:r>
    </w:p>
    <w:p w14:paraId="350DEEB0" w14:textId="77777777" w:rsidR="00960A13" w:rsidRPr="009E1361" w:rsidRDefault="00960A13" w:rsidP="00F83062">
      <w:pPr>
        <w:spacing w:before="240" w:after="240" w:line="240" w:lineRule="auto"/>
        <w:ind w:right="379"/>
      </w:pPr>
      <w:r w:rsidRPr="009E1361">
        <w:t xml:space="preserve">If assessors identify that the older person requires AT-HM they are required to recommend a funding tier. AT-HM funding tier guidance has been developed to assist assessors to make a funding tier recommendation for AT and HM based on the older person’s assessed need in the IAT. This includes considering their current functional ability and home environment. </w:t>
      </w:r>
    </w:p>
    <w:p w14:paraId="728AB23F" w14:textId="44697EC0" w:rsidR="00960A13" w:rsidRPr="009E1361" w:rsidRDefault="00960A13" w:rsidP="00A677C9">
      <w:pPr>
        <w:spacing w:before="240" w:after="240" w:line="240" w:lineRule="auto"/>
      </w:pPr>
      <w:r w:rsidRPr="009E1361">
        <w:t xml:space="preserve">The guidance has been designed to consolidate the main elements of the IAT relevant to AT-HM </w:t>
      </w:r>
      <w:r w:rsidR="65F14A89">
        <w:t xml:space="preserve">and </w:t>
      </w:r>
      <w:r>
        <w:t>support</w:t>
      </w:r>
      <w:r w:rsidRPr="009E1361">
        <w:t xml:space="preserve"> assessors in choosing a funding tier. The guide will suggest an assessment tier which should sit where the majority of tier indicators have been selected. The guide groups indicators into three tiers</w:t>
      </w:r>
      <w:r w:rsidR="008B3FC9">
        <w:t xml:space="preserve">: </w:t>
      </w:r>
      <w:r w:rsidR="00BB7C2D" w:rsidRPr="009E1361">
        <w:rPr>
          <w:b/>
          <w:bCs/>
        </w:rPr>
        <w:t>low</w:t>
      </w:r>
      <w:r w:rsidR="00BB7C2D">
        <w:rPr>
          <w:b/>
          <w:bCs/>
        </w:rPr>
        <w:t>,</w:t>
      </w:r>
      <w:r w:rsidRPr="009E1361">
        <w:rPr>
          <w:b/>
          <w:bCs/>
        </w:rPr>
        <w:t xml:space="preserve"> medium, </w:t>
      </w:r>
      <w:r w:rsidR="008F5F5A" w:rsidRPr="009E1361">
        <w:rPr>
          <w:b/>
          <w:bCs/>
        </w:rPr>
        <w:t>and high</w:t>
      </w:r>
      <w:r w:rsidRPr="009E1361">
        <w:t xml:space="preserve">—and uses a checkbox format for ease of completion. </w:t>
      </w:r>
      <w:r w:rsidR="008B3FC9">
        <w:t>T</w:t>
      </w:r>
      <w:r w:rsidRPr="009E1361">
        <w:t>he AT-HM tier guide provides a non-scored pattern of recommendation—the more indicators selected within a particular tier, the stronger the alignment with that level of support.</w:t>
      </w:r>
    </w:p>
    <w:p w14:paraId="4DE51E33" w14:textId="53AC8EB3" w:rsidR="00960A13" w:rsidRPr="009E1361" w:rsidRDefault="00960A13" w:rsidP="00A677C9">
      <w:pPr>
        <w:spacing w:before="240" w:after="240" w:line="240" w:lineRule="auto"/>
      </w:pPr>
      <w:r w:rsidRPr="009E1361">
        <w:t>Where the guide does not produce a clear outcome, or in more complex cases, clinical reasoning based on the person’s functional ability, safety, independence, and home environment should guide the tier allocation</w:t>
      </w:r>
      <w:r w:rsidRPr="00F77E8E">
        <w:t>.</w:t>
      </w:r>
      <w:r w:rsidRPr="009E1361">
        <w:t xml:space="preserve"> Progressive conditions—particularly if multiple are present—may also justify a higher tier </w:t>
      </w:r>
      <w:r w:rsidR="008F5F5A" w:rsidRPr="009E1361">
        <w:t>allocation,</w:t>
      </w:r>
      <w:r w:rsidRPr="009E1361">
        <w:t xml:space="preserve"> even if fewer indicators are ticked.</w:t>
      </w:r>
    </w:p>
    <w:p w14:paraId="69C45DC5" w14:textId="271F8AB1" w:rsidR="00960A13" w:rsidRDefault="00960A13" w:rsidP="00A677C9">
      <w:pPr>
        <w:spacing w:before="240" w:after="240" w:line="240" w:lineRule="auto"/>
      </w:pPr>
      <w:r w:rsidRPr="009E1361">
        <w:t xml:space="preserve">Assessors should ensure their recommendations align with the participant’s goals, safety, independence, and overall ability to remain living at home. They may choose to select an alternate tier if funding does not align with assessed need. Assessors can upload the document as an attachment to allow the assessment delegate to review as supporting evidence for any funding tier recommendations made. </w:t>
      </w:r>
    </w:p>
    <w:p w14:paraId="0C02DBED" w14:textId="2580F240" w:rsidR="00BD7051" w:rsidRDefault="00BD7051" w:rsidP="00C325C6">
      <w:pPr>
        <w:pStyle w:val="Sub-headings"/>
      </w:pPr>
      <w:r w:rsidRPr="00005E87">
        <w:t>Note</w:t>
      </w:r>
      <w:r>
        <w:t>:</w:t>
      </w:r>
    </w:p>
    <w:p w14:paraId="2D4E4734" w14:textId="3DBE6B65" w:rsidR="00960A13" w:rsidRPr="003D3E8C" w:rsidRDefault="00960A13" w:rsidP="00C325C6">
      <w:pPr>
        <w:pStyle w:val="Sub-headings"/>
      </w:pPr>
      <w:r w:rsidRPr="003D3E8C">
        <w:t xml:space="preserve">Assessment operation managers will have access to the AT-HM tier guide document </w:t>
      </w:r>
      <w:r w:rsidR="00CF14BC" w:rsidRPr="003D3E8C">
        <w:t>on</w:t>
      </w:r>
      <w:r w:rsidRPr="003D3E8C">
        <w:t xml:space="preserve"> the assessor SharePoint site. Operation managers can download and provide the template to assessors.</w:t>
      </w:r>
    </w:p>
    <w:p w14:paraId="2F0E5A4D" w14:textId="77777777" w:rsidR="00960A13" w:rsidRDefault="00960A13" w:rsidP="00631758">
      <w:pPr>
        <w:rPr>
          <w:rFonts w:eastAsia="Aptos"/>
        </w:rPr>
      </w:pPr>
    </w:p>
    <w:p w14:paraId="54AB0F97" w14:textId="7683923A" w:rsidR="00960A13" w:rsidRPr="009E1361" w:rsidRDefault="00960A13" w:rsidP="00C56CEC">
      <w:pPr>
        <w:pStyle w:val="H3"/>
        <w:rPr>
          <w:lang w:val="en-AU"/>
        </w:rPr>
      </w:pPr>
      <w:r w:rsidRPr="009E1361">
        <w:t xml:space="preserve">Instructions for assessors completing the AT-HM </w:t>
      </w:r>
      <w:r w:rsidR="008B3FC9">
        <w:t>T</w:t>
      </w:r>
      <w:r w:rsidRPr="009E1361">
        <w:t xml:space="preserve">ier </w:t>
      </w:r>
      <w:r w:rsidR="008B3FC9">
        <w:t>G</w:t>
      </w:r>
      <w:r w:rsidRPr="009E1361">
        <w:t>uide</w:t>
      </w:r>
      <w:r w:rsidRPr="009E1361">
        <w:rPr>
          <w:lang w:val="en-AU"/>
        </w:rPr>
        <w:t> </w:t>
      </w:r>
    </w:p>
    <w:p w14:paraId="418208F8" w14:textId="436335E2" w:rsidR="00960A13" w:rsidRDefault="00960A13" w:rsidP="00A677C9">
      <w:pPr>
        <w:spacing w:before="240" w:after="240" w:line="240" w:lineRule="auto"/>
        <w:rPr>
          <w:lang w:val="en-AU"/>
        </w:rPr>
      </w:pPr>
      <w:r>
        <w:rPr>
          <w:lang w:val="en-AU"/>
        </w:rPr>
        <w:t xml:space="preserve">The AT-HM Tier </w:t>
      </w:r>
      <w:r w:rsidR="006338CD">
        <w:rPr>
          <w:lang w:val="en-AU"/>
        </w:rPr>
        <w:t xml:space="preserve">Guide </w:t>
      </w:r>
      <w:r>
        <w:rPr>
          <w:lang w:val="en-AU"/>
        </w:rPr>
        <w:t xml:space="preserve">should be used by assessors and assessment delegates to determine the appropriate funding tier for an older person who has been assessed as having a need for AT and/or HM. </w:t>
      </w:r>
    </w:p>
    <w:p w14:paraId="349EE843" w14:textId="77777777" w:rsidR="00960A13" w:rsidRPr="009E1361" w:rsidRDefault="00960A13" w:rsidP="00A677C9">
      <w:pPr>
        <w:spacing w:before="240" w:after="240" w:line="240" w:lineRule="auto"/>
        <w:rPr>
          <w:lang w:val="en-AU"/>
        </w:rPr>
      </w:pPr>
      <w:r w:rsidRPr="009E1361">
        <w:rPr>
          <w:lang w:val="en-AU"/>
        </w:rPr>
        <w:t>Assessors are asked to complete the following:</w:t>
      </w:r>
    </w:p>
    <w:p w14:paraId="4F4127D5" w14:textId="77777777" w:rsidR="00960A13" w:rsidRPr="009E1361" w:rsidRDefault="00960A13" w:rsidP="00DF3F6B">
      <w:pPr>
        <w:pStyle w:val="ListParagraph"/>
        <w:numPr>
          <w:ilvl w:val="0"/>
          <w:numId w:val="189"/>
        </w:numPr>
        <w:spacing w:before="240" w:after="240" w:line="240" w:lineRule="auto"/>
        <w:rPr>
          <w:lang w:val="en-AU"/>
        </w:rPr>
      </w:pPr>
      <w:r w:rsidRPr="009E1361">
        <w:rPr>
          <w:lang w:val="en-AU"/>
        </w:rPr>
        <w:t>use the relevant information from the older person’s assessment when completing the AT and HM tier guide</w:t>
      </w:r>
    </w:p>
    <w:p w14:paraId="11A1F9E3" w14:textId="77777777" w:rsidR="00960A13" w:rsidRPr="009E1361" w:rsidRDefault="00960A13" w:rsidP="00DF3F6B">
      <w:pPr>
        <w:pStyle w:val="ListParagraph"/>
        <w:numPr>
          <w:ilvl w:val="0"/>
          <w:numId w:val="189"/>
        </w:numPr>
        <w:spacing w:before="240" w:after="240" w:line="240" w:lineRule="auto"/>
        <w:rPr>
          <w:lang w:val="en-AU"/>
        </w:rPr>
      </w:pPr>
      <w:r w:rsidRPr="009E1361">
        <w:rPr>
          <w:lang w:val="en-AU"/>
        </w:rPr>
        <w:t>select the relevant indicators on the tier guide for either AT and HM based on the older person’s assessed need</w:t>
      </w:r>
    </w:p>
    <w:p w14:paraId="0DFC3556" w14:textId="77777777" w:rsidR="00960A13" w:rsidRPr="009E1361" w:rsidRDefault="00960A13" w:rsidP="00DF3F6B">
      <w:pPr>
        <w:pStyle w:val="ListParagraph"/>
        <w:numPr>
          <w:ilvl w:val="0"/>
          <w:numId w:val="189"/>
        </w:numPr>
        <w:spacing w:before="240" w:after="240" w:line="240" w:lineRule="auto"/>
        <w:rPr>
          <w:lang w:val="en-AU"/>
        </w:rPr>
      </w:pPr>
      <w:r w:rsidRPr="009E1361">
        <w:t xml:space="preserve">review </w:t>
      </w:r>
      <w:r>
        <w:t xml:space="preserve">the </w:t>
      </w:r>
      <w:r w:rsidRPr="009E1361">
        <w:t xml:space="preserve">guide to support tier allocation recommendation. The AT-HM tier guide will suggest a tier where the highest number of tier indicators have been selected. </w:t>
      </w:r>
      <w:r w:rsidRPr="009E1361">
        <w:rPr>
          <w:lang w:val="en-AU"/>
        </w:rPr>
        <w:t> </w:t>
      </w:r>
    </w:p>
    <w:p w14:paraId="1F96DCBE" w14:textId="377C3951" w:rsidR="00960A13" w:rsidRPr="009E1361" w:rsidRDefault="00960A13" w:rsidP="00DF3F6B">
      <w:pPr>
        <w:pStyle w:val="ListParagraph"/>
        <w:numPr>
          <w:ilvl w:val="0"/>
          <w:numId w:val="189"/>
        </w:numPr>
        <w:spacing w:before="240" w:after="240" w:line="240" w:lineRule="auto"/>
        <w:rPr>
          <w:lang w:val="en-AU"/>
        </w:rPr>
      </w:pPr>
      <w:r w:rsidRPr="009E1361">
        <w:rPr>
          <w:lang w:val="en-AU"/>
        </w:rPr>
        <w:t xml:space="preserve">upload the completed AT-HM tier guide to the </w:t>
      </w:r>
      <w:r w:rsidR="0060352D">
        <w:rPr>
          <w:lang w:val="en-AU"/>
        </w:rPr>
        <w:t>assessor portal</w:t>
      </w:r>
      <w:r w:rsidRPr="009E1361">
        <w:rPr>
          <w:lang w:val="en-AU"/>
        </w:rPr>
        <w:t xml:space="preserve"> under ‘other' and title the document ‘AT-HM Tier Guide</w:t>
      </w:r>
      <w:r w:rsidR="00B23AB0" w:rsidRPr="009E1361">
        <w:rPr>
          <w:lang w:val="en-AU"/>
        </w:rPr>
        <w:t>.’</w:t>
      </w:r>
      <w:r w:rsidRPr="009E1361">
        <w:rPr>
          <w:lang w:val="en-AU"/>
        </w:rPr>
        <w:t xml:space="preserve"> The Assessment Delegate should consider the guide when approving or declining the AT-HM funding tier.</w:t>
      </w:r>
    </w:p>
    <w:p w14:paraId="799F16D9" w14:textId="77777777" w:rsidR="00960A13" w:rsidRPr="009E1361" w:rsidRDefault="00960A13" w:rsidP="00DF3F6B">
      <w:pPr>
        <w:pStyle w:val="ListParagraph"/>
        <w:numPr>
          <w:ilvl w:val="0"/>
          <w:numId w:val="189"/>
        </w:numPr>
        <w:spacing w:before="240" w:after="240" w:line="240" w:lineRule="auto"/>
        <w:rPr>
          <w:lang w:val="en-AU"/>
        </w:rPr>
      </w:pPr>
      <w:r w:rsidRPr="009E1361">
        <w:rPr>
          <w:lang w:val="en-AU"/>
        </w:rPr>
        <w:t>manually add the recommended AT and HM tier in the support plan</w:t>
      </w:r>
      <w:r>
        <w:rPr>
          <w:lang w:val="en-AU"/>
        </w:rPr>
        <w:t xml:space="preserve"> </w:t>
      </w:r>
      <w:r w:rsidRPr="009E1361">
        <w:rPr>
          <w:lang w:val="en-AU"/>
        </w:rPr>
        <w:t>once a funding tier is determined.</w:t>
      </w:r>
    </w:p>
    <w:p w14:paraId="673C7B04" w14:textId="676862C2" w:rsidR="00960A13" w:rsidRPr="009E1361" w:rsidRDefault="00960A13" w:rsidP="00A677C9">
      <w:pPr>
        <w:spacing w:before="240" w:after="240" w:line="240" w:lineRule="auto"/>
        <w:rPr>
          <w:lang w:val="en-AU"/>
        </w:rPr>
      </w:pPr>
      <w:r w:rsidRPr="00961840">
        <w:rPr>
          <w:lang w:val="en-AU"/>
        </w:rPr>
        <w:t xml:space="preserve">Assessment decisions for AT-HM funding tier allocation can be reviewed through a </w:t>
      </w:r>
      <w:r w:rsidR="63CA90B5" w:rsidRPr="0B684D20">
        <w:rPr>
          <w:lang w:val="en-AU"/>
        </w:rPr>
        <w:t>s</w:t>
      </w:r>
      <w:r w:rsidRPr="0B684D20">
        <w:rPr>
          <w:lang w:val="en-AU"/>
        </w:rPr>
        <w:t xml:space="preserve">upport </w:t>
      </w:r>
      <w:r w:rsidR="742825CF" w:rsidRPr="0B684D20">
        <w:rPr>
          <w:lang w:val="en-AU"/>
        </w:rPr>
        <w:t>p</w:t>
      </w:r>
      <w:r w:rsidRPr="0B684D20">
        <w:rPr>
          <w:lang w:val="en-AU"/>
        </w:rPr>
        <w:t xml:space="preserve">lan </w:t>
      </w:r>
      <w:r w:rsidR="32210D13" w:rsidRPr="0B684D20">
        <w:rPr>
          <w:lang w:val="en-AU"/>
        </w:rPr>
        <w:t>r</w:t>
      </w:r>
      <w:r w:rsidRPr="00961840">
        <w:rPr>
          <w:lang w:val="en-AU"/>
        </w:rPr>
        <w:t>eview if the funding tier does not cover the assessed need.</w:t>
      </w:r>
      <w:r w:rsidRPr="009E1361">
        <w:rPr>
          <w:lang w:val="en-AU"/>
        </w:rPr>
        <w:t> </w:t>
      </w:r>
    </w:p>
    <w:p w14:paraId="10CA88D8" w14:textId="77777777" w:rsidR="00651FE6" w:rsidRDefault="00651FE6" w:rsidP="00A677C9">
      <w:pPr>
        <w:spacing w:before="240" w:after="240" w:line="240" w:lineRule="auto"/>
        <w:rPr>
          <w:lang w:val="en-AU"/>
        </w:rPr>
      </w:pPr>
      <w:r>
        <w:rPr>
          <w:lang w:val="en-AU"/>
        </w:rP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358189"/>
        <w:tblLook w:val="04A0" w:firstRow="1" w:lastRow="0" w:firstColumn="1" w:lastColumn="0" w:noHBand="0" w:noVBand="1"/>
      </w:tblPr>
      <w:tblGrid>
        <w:gridCol w:w="9016"/>
      </w:tblGrid>
      <w:tr w:rsidR="00960A13" w:rsidRPr="004C4B5C" w14:paraId="270B5C1D" w14:textId="77777777" w:rsidTr="008B3FC9">
        <w:tc>
          <w:tcPr>
            <w:tcW w:w="9016" w:type="dxa"/>
            <w:shd w:val="clear" w:color="auto" w:fill="F2F2F2" w:themeFill="background1" w:themeFillShade="F2"/>
          </w:tcPr>
          <w:p w14:paraId="7213E238" w14:textId="77777777" w:rsidR="00651FE6" w:rsidRPr="008B3FC9" w:rsidRDefault="00651FE6" w:rsidP="0003231B">
            <w:pPr>
              <w:spacing w:before="120" w:after="120"/>
              <w:rPr>
                <w:b/>
                <w:szCs w:val="22"/>
                <w:lang w:val="en-AU"/>
              </w:rPr>
            </w:pPr>
          </w:p>
          <w:p w14:paraId="16482FC8" w14:textId="4465E5AC" w:rsidR="00960A13" w:rsidRPr="0003231B" w:rsidRDefault="00960A13" w:rsidP="0003231B">
            <w:pPr>
              <w:spacing w:before="120" w:after="120"/>
              <w:jc w:val="center"/>
              <w:rPr>
                <w:b/>
                <w:sz w:val="24"/>
                <w:lang w:val="en-AU"/>
              </w:rPr>
            </w:pPr>
            <w:r w:rsidRPr="0003231B">
              <w:rPr>
                <w:b/>
                <w:sz w:val="24"/>
                <w:lang w:val="en-AU"/>
              </w:rPr>
              <w:t xml:space="preserve">CASE STUDY: AT </w:t>
            </w:r>
            <w:r w:rsidR="08FBA39C" w:rsidRPr="0003231B">
              <w:rPr>
                <w:b/>
                <w:sz w:val="24"/>
                <w:lang w:val="en-AU"/>
              </w:rPr>
              <w:t>low tier</w:t>
            </w:r>
          </w:p>
          <w:p w14:paraId="6A5DD1A3" w14:textId="77777777" w:rsidR="00960A13" w:rsidRPr="008B3FC9" w:rsidRDefault="00960A13" w:rsidP="0003231B">
            <w:pPr>
              <w:spacing w:before="120" w:after="120"/>
              <w:rPr>
                <w:b/>
                <w:szCs w:val="22"/>
                <w:lang w:val="en-AU"/>
              </w:rPr>
            </w:pPr>
            <w:r w:rsidRPr="008B3FC9">
              <w:rPr>
                <w:b/>
                <w:szCs w:val="22"/>
                <w:lang w:val="en-AU"/>
              </w:rPr>
              <w:t xml:space="preserve">  </w:t>
            </w:r>
          </w:p>
          <w:p w14:paraId="2C404D15" w14:textId="10786CC6" w:rsidR="00960A13" w:rsidRPr="008B3FC9" w:rsidRDefault="00960A13" w:rsidP="0003231B">
            <w:pPr>
              <w:spacing w:before="120" w:after="120"/>
              <w:rPr>
                <w:szCs w:val="22"/>
                <w:lang w:val="en-AU"/>
              </w:rPr>
            </w:pPr>
            <w:r w:rsidRPr="008B3FC9">
              <w:rPr>
                <w:szCs w:val="22"/>
                <w:lang w:val="en-AU"/>
              </w:rPr>
              <w:t>Carol is 65 and has just been assessed and during her comprehensive assessment it was found that she is managing daily activities independently but would benefit from some help with housework and getting to and from the shops</w:t>
            </w:r>
            <w:r w:rsidR="00B23AB0" w:rsidRPr="008B3FC9">
              <w:rPr>
                <w:szCs w:val="22"/>
                <w:lang w:val="en-AU"/>
              </w:rPr>
              <w:t xml:space="preserve">. </w:t>
            </w:r>
            <w:r w:rsidRPr="008B3FC9">
              <w:rPr>
                <w:szCs w:val="22"/>
                <w:lang w:val="en-AU"/>
              </w:rPr>
              <w:t xml:space="preserve">She mentioned that she has some difficulty washing her legs, feet and back in the shower and finds it hard to bend down to put her shoes on. </w:t>
            </w:r>
          </w:p>
          <w:p w14:paraId="39D9E390" w14:textId="77777777" w:rsidR="00960A13" w:rsidRPr="008B3FC9" w:rsidRDefault="00960A13" w:rsidP="0003231B">
            <w:pPr>
              <w:spacing w:before="120" w:after="120"/>
              <w:rPr>
                <w:szCs w:val="22"/>
                <w:lang w:val="en-AU"/>
              </w:rPr>
            </w:pPr>
          </w:p>
          <w:p w14:paraId="76FBE958" w14:textId="027985C7" w:rsidR="00960A13" w:rsidRPr="008B3FC9" w:rsidRDefault="00960A13" w:rsidP="0003231B">
            <w:pPr>
              <w:spacing w:before="120" w:after="120"/>
              <w:rPr>
                <w:szCs w:val="22"/>
                <w:lang w:val="en-AU"/>
              </w:rPr>
            </w:pPr>
            <w:r w:rsidRPr="008B3FC9">
              <w:rPr>
                <w:szCs w:val="22"/>
                <w:lang w:val="en-AU"/>
              </w:rPr>
              <w:t>The assessor thinks Carol may benefit from some basic items such as a long-handled sponge, a non-slip bathmat and a long-handled shoehorn</w:t>
            </w:r>
            <w:r w:rsidR="00B23AB0" w:rsidRPr="008B3FC9">
              <w:rPr>
                <w:szCs w:val="22"/>
                <w:lang w:val="en-AU"/>
              </w:rPr>
              <w:t xml:space="preserve">. </w:t>
            </w:r>
            <w:r w:rsidRPr="008B3FC9">
              <w:rPr>
                <w:szCs w:val="22"/>
                <w:lang w:val="en-AU"/>
              </w:rPr>
              <w:t>After looking at the AT-HM list the assessor believes that all these items are low-cost and low risk and Carol should be allocated Assistive Technology low tier</w:t>
            </w:r>
            <w:r w:rsidR="004907AA">
              <w:rPr>
                <w:szCs w:val="22"/>
                <w:lang w:val="en-AU"/>
              </w:rPr>
              <w:t xml:space="preserve"> </w:t>
            </w:r>
            <w:r w:rsidR="00551437">
              <w:rPr>
                <w:szCs w:val="22"/>
                <w:lang w:val="en-AU"/>
              </w:rPr>
              <w:t xml:space="preserve">(AT Tier 1) </w:t>
            </w:r>
            <w:r w:rsidRPr="008B3FC9">
              <w:rPr>
                <w:szCs w:val="22"/>
                <w:lang w:val="en-AU"/>
              </w:rPr>
              <w:t xml:space="preserve">funding to cover the cost of these items. </w:t>
            </w:r>
          </w:p>
          <w:p w14:paraId="3933D399" w14:textId="77777777" w:rsidR="00960A13" w:rsidRPr="008B3FC9" w:rsidRDefault="00960A13" w:rsidP="0003231B">
            <w:pPr>
              <w:spacing w:before="120" w:after="120"/>
              <w:rPr>
                <w:szCs w:val="22"/>
                <w:lang w:val="en-AU"/>
              </w:rPr>
            </w:pPr>
          </w:p>
          <w:p w14:paraId="14496D86" w14:textId="260D207B" w:rsidR="00960A13" w:rsidRPr="008B3FC9" w:rsidRDefault="00960A13" w:rsidP="0003231B">
            <w:pPr>
              <w:spacing w:before="120" w:after="120"/>
              <w:rPr>
                <w:szCs w:val="22"/>
                <w:lang w:val="en-AU"/>
              </w:rPr>
            </w:pPr>
            <w:r w:rsidRPr="008B3FC9">
              <w:rPr>
                <w:szCs w:val="22"/>
                <w:lang w:val="en-AU"/>
              </w:rPr>
              <w:t xml:space="preserve">Using the assessment findings the assessor completes the assistive technology section of the AT-HM tier guide. All selected indicators sit within Tier 1. The assessor allocates Carol with an Assistive Technology </w:t>
            </w:r>
            <w:r w:rsidR="00407F85">
              <w:rPr>
                <w:szCs w:val="22"/>
                <w:lang w:val="en-AU"/>
              </w:rPr>
              <w:t>low tier</w:t>
            </w:r>
            <w:r w:rsidRPr="008B3FC9">
              <w:rPr>
                <w:szCs w:val="22"/>
                <w:lang w:val="en-AU"/>
              </w:rPr>
              <w:t xml:space="preserve"> (AT </w:t>
            </w:r>
            <w:r w:rsidR="00CF2947">
              <w:rPr>
                <w:szCs w:val="22"/>
                <w:lang w:val="en-AU"/>
              </w:rPr>
              <w:t>T</w:t>
            </w:r>
            <w:r w:rsidRPr="008B3FC9">
              <w:rPr>
                <w:szCs w:val="22"/>
                <w:lang w:val="en-AU"/>
              </w:rPr>
              <w:t>ier</w:t>
            </w:r>
            <w:r w:rsidR="00407F85">
              <w:rPr>
                <w:szCs w:val="22"/>
                <w:lang w:val="en-AU"/>
              </w:rPr>
              <w:t xml:space="preserve"> 1</w:t>
            </w:r>
            <w:r w:rsidRPr="008B3FC9">
              <w:rPr>
                <w:szCs w:val="22"/>
                <w:lang w:val="en-AU"/>
              </w:rPr>
              <w:t>) on the support plan. This decision is supported by the information gained during the assessment and the AT-HM tier guide recommendation.</w:t>
            </w:r>
          </w:p>
          <w:p w14:paraId="5FFB7875" w14:textId="77777777" w:rsidR="00960A13" w:rsidRPr="008B3FC9" w:rsidRDefault="00960A13" w:rsidP="0003231B">
            <w:pPr>
              <w:spacing w:before="120" w:after="120"/>
              <w:rPr>
                <w:szCs w:val="22"/>
                <w:lang w:val="en-AU"/>
              </w:rPr>
            </w:pPr>
          </w:p>
          <w:p w14:paraId="4D4904FB" w14:textId="1270887C" w:rsidR="00960A13" w:rsidRPr="008B3FC9" w:rsidRDefault="00960A13" w:rsidP="0003231B">
            <w:pPr>
              <w:spacing w:before="120" w:after="120"/>
              <w:rPr>
                <w:szCs w:val="22"/>
                <w:lang w:val="en-AU"/>
              </w:rPr>
            </w:pPr>
            <w:r w:rsidRPr="008B3FC9">
              <w:rPr>
                <w:szCs w:val="22"/>
                <w:lang w:val="en-AU"/>
              </w:rPr>
              <w:t xml:space="preserve">The assessor uploads the AT-HM tier guide to the </w:t>
            </w:r>
            <w:r w:rsidR="0060352D" w:rsidRPr="008B3FC9">
              <w:rPr>
                <w:szCs w:val="22"/>
                <w:lang w:val="en-AU"/>
              </w:rPr>
              <w:t>assessor portal</w:t>
            </w:r>
            <w:r w:rsidRPr="008B3FC9">
              <w:rPr>
                <w:szCs w:val="22"/>
                <w:lang w:val="en-AU"/>
              </w:rPr>
              <w:t xml:space="preserve"> under ‘other’ naming the document ‘AT-HM tier guide</w:t>
            </w:r>
            <w:r w:rsidR="00B23AB0" w:rsidRPr="008B3FC9">
              <w:rPr>
                <w:szCs w:val="22"/>
                <w:lang w:val="en-AU"/>
              </w:rPr>
              <w:t>.’</w:t>
            </w:r>
            <w:r w:rsidRPr="008B3FC9">
              <w:rPr>
                <w:szCs w:val="22"/>
                <w:lang w:val="en-AU"/>
              </w:rPr>
              <w:t xml:space="preserve"> This is considered by the delegate as supporting evidence of AT-HM tier recommendation.</w:t>
            </w:r>
          </w:p>
          <w:p w14:paraId="05510148" w14:textId="77777777" w:rsidR="00960A13" w:rsidRPr="008B3FC9" w:rsidRDefault="00960A13" w:rsidP="0003231B">
            <w:pPr>
              <w:spacing w:before="120" w:after="120"/>
              <w:rPr>
                <w:szCs w:val="22"/>
                <w:lang w:val="en-AU"/>
              </w:rPr>
            </w:pPr>
          </w:p>
          <w:p w14:paraId="7C2CF2EA" w14:textId="2F549DDE" w:rsidR="00960A13" w:rsidRPr="008B3FC9" w:rsidRDefault="00960A13" w:rsidP="0003231B">
            <w:pPr>
              <w:spacing w:before="120" w:after="120"/>
              <w:rPr>
                <w:rStyle w:val="eop"/>
                <w:rFonts w:ascii="Aptos" w:hAnsi="Aptos"/>
                <w:szCs w:val="22"/>
                <w:shd w:val="clear" w:color="auto" w:fill="FFFFFF"/>
              </w:rPr>
            </w:pPr>
            <w:r w:rsidRPr="008B3FC9">
              <w:rPr>
                <w:szCs w:val="22"/>
                <w:lang w:val="en-AU"/>
              </w:rPr>
              <w:t>Carol’s AT recommendation is sent to the assessment delegate for approval. If approved by the assessor delegate, Carol will receive a Notice of Decision letter informing her that she has been approved for a SaH on-going classification and AT low tier funding for assistive technology. Once funding is assigned</w:t>
            </w:r>
            <w:r w:rsidR="00D672DC">
              <w:rPr>
                <w:szCs w:val="22"/>
                <w:lang w:val="en-AU"/>
              </w:rPr>
              <w:t xml:space="preserve"> and the Funding Assignment Notice is sent to the participant</w:t>
            </w:r>
            <w:r w:rsidRPr="008B3FC9">
              <w:rPr>
                <w:szCs w:val="22"/>
                <w:lang w:val="en-AU"/>
              </w:rPr>
              <w:t>, she can then find a provider to help source the low-cost and low risk AT items she needs.</w:t>
            </w:r>
            <w:r w:rsidRPr="008B3FC9">
              <w:rPr>
                <w:rStyle w:val="eop"/>
                <w:rFonts w:ascii="Aptos" w:hAnsi="Aptos"/>
                <w:szCs w:val="22"/>
                <w:shd w:val="clear" w:color="auto" w:fill="FFFFFF"/>
              </w:rPr>
              <w:t> </w:t>
            </w:r>
          </w:p>
          <w:p w14:paraId="5BD103AC" w14:textId="60471D53" w:rsidR="00651FE6" w:rsidRPr="008B3FC9" w:rsidRDefault="00651FE6" w:rsidP="51B38498">
            <w:pPr>
              <w:spacing w:before="120" w:after="120"/>
              <w:rPr>
                <w:rStyle w:val="eop"/>
                <w:rFonts w:ascii="Aptos" w:hAnsi="Aptos"/>
                <w:shd w:val="clear" w:color="auto" w:fill="FFFFFF"/>
              </w:rPr>
            </w:pPr>
          </w:p>
          <w:p w14:paraId="68256139" w14:textId="51B23EBF" w:rsidR="0003231B" w:rsidRDefault="0003231B" w:rsidP="51B38498">
            <w:pPr>
              <w:spacing w:before="120" w:after="120"/>
              <w:rPr>
                <w:rStyle w:val="eop"/>
                <w:rFonts w:ascii="Aptos" w:hAnsi="Aptos"/>
                <w:shd w:val="clear" w:color="auto" w:fill="FFFFFF"/>
              </w:rPr>
            </w:pPr>
          </w:p>
          <w:p w14:paraId="5F897D6E" w14:textId="1A76D757" w:rsidR="0003231B" w:rsidRDefault="0003231B" w:rsidP="51B38498">
            <w:pPr>
              <w:spacing w:before="120" w:after="120"/>
              <w:rPr>
                <w:rStyle w:val="eop"/>
                <w:rFonts w:ascii="Aptos" w:hAnsi="Aptos"/>
                <w:shd w:val="clear" w:color="auto" w:fill="FFFFFF"/>
              </w:rPr>
            </w:pPr>
          </w:p>
          <w:p w14:paraId="18BE785A" w14:textId="6E4ED44B" w:rsidR="0003231B" w:rsidRDefault="0003231B" w:rsidP="51B38498">
            <w:pPr>
              <w:spacing w:before="120" w:after="120"/>
              <w:rPr>
                <w:rStyle w:val="eop"/>
                <w:rFonts w:ascii="Aptos" w:hAnsi="Aptos"/>
                <w:shd w:val="clear" w:color="auto" w:fill="FFFFFF"/>
              </w:rPr>
            </w:pPr>
          </w:p>
          <w:p w14:paraId="6C22C2E9" w14:textId="47D41168" w:rsidR="0003231B" w:rsidRDefault="0003231B" w:rsidP="51B38498">
            <w:pPr>
              <w:spacing w:before="120" w:after="120"/>
              <w:rPr>
                <w:rStyle w:val="eop"/>
                <w:rFonts w:ascii="Aptos" w:hAnsi="Aptos"/>
                <w:shd w:val="clear" w:color="auto" w:fill="FFFFFF"/>
              </w:rPr>
            </w:pPr>
          </w:p>
          <w:p w14:paraId="655A3BA6" w14:textId="5020FFF3" w:rsidR="0003231B" w:rsidRDefault="0003231B" w:rsidP="51B38498">
            <w:pPr>
              <w:spacing w:before="120" w:after="120"/>
              <w:rPr>
                <w:rStyle w:val="eop"/>
                <w:rFonts w:ascii="Aptos" w:hAnsi="Aptos"/>
                <w:shd w:val="clear" w:color="auto" w:fill="FFFFFF"/>
              </w:rPr>
            </w:pPr>
          </w:p>
          <w:p w14:paraId="49CCCAF7" w14:textId="30C9824F" w:rsidR="0003231B" w:rsidRDefault="0003231B" w:rsidP="51B38498">
            <w:pPr>
              <w:spacing w:before="120" w:after="120"/>
              <w:rPr>
                <w:rStyle w:val="eop"/>
                <w:rFonts w:ascii="Aptos" w:hAnsi="Aptos"/>
                <w:shd w:val="clear" w:color="auto" w:fill="FFFFFF"/>
              </w:rPr>
            </w:pPr>
          </w:p>
          <w:p w14:paraId="3A99059E" w14:textId="0E4525DE" w:rsidR="0003231B" w:rsidRDefault="0003231B" w:rsidP="51B38498">
            <w:pPr>
              <w:spacing w:before="120" w:after="120"/>
              <w:rPr>
                <w:rStyle w:val="eop"/>
                <w:rFonts w:ascii="Aptos" w:hAnsi="Aptos"/>
                <w:shd w:val="clear" w:color="auto" w:fill="FFFFFF"/>
              </w:rPr>
            </w:pPr>
          </w:p>
          <w:p w14:paraId="1676E1AE" w14:textId="43FE66FB" w:rsidR="0003231B" w:rsidRPr="008B3FC9" w:rsidRDefault="0003231B" w:rsidP="51B38498">
            <w:pPr>
              <w:spacing w:before="120" w:after="120"/>
              <w:rPr>
                <w:rStyle w:val="eop"/>
                <w:rFonts w:ascii="Aptos" w:hAnsi="Aptos"/>
                <w:shd w:val="clear" w:color="auto" w:fill="FFFFFF"/>
              </w:rPr>
            </w:pPr>
          </w:p>
          <w:p w14:paraId="0FAAD072" w14:textId="6BCCDE51" w:rsidR="00960A13" w:rsidRPr="008B3FC9" w:rsidRDefault="00960A13" w:rsidP="0003231B">
            <w:pPr>
              <w:spacing w:before="120" w:after="120"/>
              <w:rPr>
                <w:szCs w:val="22"/>
                <w:lang w:val="en-AU"/>
              </w:rPr>
            </w:pPr>
          </w:p>
        </w:tc>
      </w:tr>
    </w:tbl>
    <w:p w14:paraId="79D98EF0" w14:textId="77777777" w:rsidR="00960A13" w:rsidRPr="009E1361" w:rsidRDefault="00960A13" w:rsidP="0003231B">
      <w:pPr>
        <w:spacing w:before="120" w:after="120" w:line="240" w:lineRule="auto"/>
        <w:rPr>
          <w:lang w:val="en-AU"/>
        </w:rPr>
      </w:pPr>
    </w:p>
    <w:p w14:paraId="4E60D127" w14:textId="77777777" w:rsidR="00651FE6" w:rsidRDefault="00651FE6" w:rsidP="0003231B">
      <w:pPr>
        <w:spacing w:before="120" w:after="120" w:line="240" w:lineRule="auto"/>
        <w:rPr>
          <w:lang w:val="en-AU"/>
        </w:rPr>
      </w:pPr>
      <w:r>
        <w:rPr>
          <w:lang w:val="en-AU"/>
        </w:rP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BB0DFC" w:rsidRPr="00BB0DFC" w14:paraId="320BE0EC" w14:textId="77777777" w:rsidTr="00BB0DFC">
        <w:tc>
          <w:tcPr>
            <w:tcW w:w="9016" w:type="dxa"/>
            <w:shd w:val="clear" w:color="auto" w:fill="F2F2F2" w:themeFill="background1" w:themeFillShade="F2"/>
          </w:tcPr>
          <w:p w14:paraId="5719DDFD" w14:textId="77777777" w:rsidR="00651FE6" w:rsidRPr="00BB0DFC" w:rsidRDefault="00651FE6" w:rsidP="0003231B">
            <w:pPr>
              <w:spacing w:before="120" w:after="120"/>
              <w:jc w:val="center"/>
              <w:rPr>
                <w:b/>
                <w:szCs w:val="22"/>
                <w:lang w:val="en-AU"/>
              </w:rPr>
            </w:pPr>
          </w:p>
          <w:p w14:paraId="2A4D7531" w14:textId="03BC1E91" w:rsidR="00960A13" w:rsidRPr="0003231B" w:rsidRDefault="00960A13" w:rsidP="0003231B">
            <w:pPr>
              <w:spacing w:before="120" w:after="120"/>
              <w:jc w:val="center"/>
              <w:rPr>
                <w:b/>
                <w:sz w:val="24"/>
                <w:lang w:val="en-AU"/>
              </w:rPr>
            </w:pPr>
            <w:r w:rsidRPr="0003231B">
              <w:rPr>
                <w:b/>
                <w:sz w:val="24"/>
                <w:lang w:val="en-AU"/>
              </w:rPr>
              <w:t>CASE STUDY: HM high tier</w:t>
            </w:r>
          </w:p>
          <w:p w14:paraId="789590C5" w14:textId="77777777" w:rsidR="00960A13" w:rsidRPr="00BB0DFC" w:rsidRDefault="00960A13" w:rsidP="0003231B">
            <w:pPr>
              <w:spacing w:before="120" w:after="120"/>
              <w:rPr>
                <w:szCs w:val="22"/>
                <w:lang w:val="en-AU"/>
              </w:rPr>
            </w:pPr>
          </w:p>
          <w:p w14:paraId="1CDFC9B5" w14:textId="3D14A7E9" w:rsidR="00960A13" w:rsidRPr="00BB0DFC" w:rsidRDefault="00960A13" w:rsidP="0003231B">
            <w:pPr>
              <w:spacing w:before="120" w:after="120"/>
              <w:rPr>
                <w:szCs w:val="22"/>
                <w:lang w:val="en-AU"/>
              </w:rPr>
            </w:pPr>
            <w:r w:rsidRPr="00BB0DFC">
              <w:rPr>
                <w:szCs w:val="22"/>
                <w:lang w:val="en-AU"/>
              </w:rPr>
              <w:t xml:space="preserve">David is 55 and lives </w:t>
            </w:r>
            <w:r w:rsidRPr="00BB0DFC">
              <w:rPr>
                <w:szCs w:val="22"/>
              </w:rPr>
              <w:t xml:space="preserve">in a small rural community in Western Queensland. He attends an Elders’ social group at his local Aboriginal Community Controlled Organisation (ACCO). The ACCO’s Elder Care Support worker supported David </w:t>
            </w:r>
            <w:r w:rsidRPr="00BB0DFC">
              <w:rPr>
                <w:szCs w:val="22"/>
                <w:lang w:val="en-AU"/>
              </w:rPr>
              <w:t xml:space="preserve">during an aged care needs assessment </w:t>
            </w:r>
            <w:r w:rsidRPr="00BB0DFC">
              <w:rPr>
                <w:szCs w:val="22"/>
              </w:rPr>
              <w:t>conducted by an Aboriginal and Torres Strait Islander assessment organisation.</w:t>
            </w:r>
            <w:r w:rsidRPr="00BB0DFC">
              <w:rPr>
                <w:szCs w:val="22"/>
                <w:lang w:val="en-AU"/>
              </w:rPr>
              <w:t xml:space="preserve"> David has just been assessed. During David’s assessment he explained that he would like to be able to come and go from his home more easily so he can do things for himself like shopping. During the subsequent discussion, the assessor noted that David has significant issues managing at home safely due to his home environment</w:t>
            </w:r>
            <w:r w:rsidR="009F3572" w:rsidRPr="00BB0DFC">
              <w:rPr>
                <w:szCs w:val="22"/>
                <w:lang w:val="en-AU"/>
              </w:rPr>
              <w:t xml:space="preserve">. </w:t>
            </w:r>
            <w:r w:rsidRPr="00BB0DFC">
              <w:rPr>
                <w:szCs w:val="22"/>
                <w:lang w:val="en-AU"/>
              </w:rPr>
              <w:t xml:space="preserve">He lives alone and is not able to easily enter or exit his house because of the steep front stairs and difficulties carrying his walking frame on the stairs. </w:t>
            </w:r>
          </w:p>
          <w:p w14:paraId="5049ED35" w14:textId="77777777" w:rsidR="00960A13" w:rsidRPr="00BB0DFC" w:rsidRDefault="00960A13" w:rsidP="0003231B">
            <w:pPr>
              <w:spacing w:before="120" w:after="120"/>
              <w:rPr>
                <w:szCs w:val="22"/>
                <w:lang w:val="en-AU"/>
              </w:rPr>
            </w:pPr>
          </w:p>
          <w:p w14:paraId="3F1DFCE5" w14:textId="77777777" w:rsidR="00960A13" w:rsidRPr="00BB0DFC" w:rsidRDefault="00960A13" w:rsidP="0003231B">
            <w:pPr>
              <w:spacing w:before="120" w:after="120"/>
              <w:rPr>
                <w:szCs w:val="22"/>
                <w:lang w:val="en-AU"/>
              </w:rPr>
            </w:pPr>
            <w:r w:rsidRPr="00BB0DFC">
              <w:rPr>
                <w:szCs w:val="22"/>
                <w:lang w:val="en-AU"/>
              </w:rPr>
              <w:t xml:space="preserve">After spending time with David to build his trust and understanding of the assessment process, David explained he feared falling when entering and exiting his shower due to a large step into his shower recess. David’s son helps him when he can, but he lives in another town and can only visit a couple of times a week. </w:t>
            </w:r>
          </w:p>
          <w:p w14:paraId="7C7BB395" w14:textId="77777777" w:rsidR="00960A13" w:rsidRPr="00BB0DFC" w:rsidRDefault="00960A13" w:rsidP="0003231B">
            <w:pPr>
              <w:spacing w:before="120" w:after="120"/>
              <w:rPr>
                <w:szCs w:val="22"/>
                <w:lang w:val="en-AU"/>
              </w:rPr>
            </w:pPr>
          </w:p>
          <w:p w14:paraId="30A54587" w14:textId="316A88F7" w:rsidR="00960A13" w:rsidRPr="00BB0DFC" w:rsidRDefault="00960A13" w:rsidP="0003231B">
            <w:pPr>
              <w:spacing w:before="120" w:after="120"/>
              <w:rPr>
                <w:szCs w:val="22"/>
                <w:lang w:val="en-AU"/>
              </w:rPr>
            </w:pPr>
            <w:r w:rsidRPr="00BB0DFC">
              <w:rPr>
                <w:szCs w:val="22"/>
                <w:lang w:val="en-AU"/>
              </w:rPr>
              <w:t xml:space="preserve">The assessor and Elder Care Support worker identify in the AT-HM list that David could benefit from some modifications to his home which could include a ramp or railings at the front and modifications to his bathroom. David agrees with this assessment. The assessor completes the tier guide, and the indicators show mostly in the high tier, with some also in the medium tier. As it is likely he will need major modifications to his front access or bathroom, the assessor recommends a </w:t>
            </w:r>
            <w:r w:rsidR="00797A45" w:rsidRPr="00797A45">
              <w:rPr>
                <w:szCs w:val="22"/>
                <w:lang w:val="en-AU"/>
              </w:rPr>
              <w:t>HM high tier</w:t>
            </w:r>
            <w:r w:rsidRPr="00BB0DFC">
              <w:rPr>
                <w:szCs w:val="22"/>
                <w:lang w:val="en-AU"/>
              </w:rPr>
              <w:t xml:space="preserve"> (HM </w:t>
            </w:r>
            <w:r w:rsidR="00797A45" w:rsidRPr="00797A45">
              <w:rPr>
                <w:szCs w:val="22"/>
                <w:lang w:val="en-AU"/>
              </w:rPr>
              <w:t>Tier 3</w:t>
            </w:r>
            <w:r w:rsidRPr="00BB0DFC">
              <w:rPr>
                <w:szCs w:val="22"/>
                <w:lang w:val="en-AU"/>
              </w:rPr>
              <w:t xml:space="preserve">). </w:t>
            </w:r>
          </w:p>
          <w:p w14:paraId="4F69232F" w14:textId="77777777" w:rsidR="00960A13" w:rsidRPr="00BB0DFC" w:rsidRDefault="00960A13" w:rsidP="0003231B">
            <w:pPr>
              <w:spacing w:before="120" w:after="120"/>
              <w:rPr>
                <w:szCs w:val="22"/>
                <w:lang w:val="en-AU"/>
              </w:rPr>
            </w:pPr>
          </w:p>
          <w:p w14:paraId="0F77A56F" w14:textId="60FBEABE" w:rsidR="00960A13" w:rsidRPr="00BB0DFC" w:rsidRDefault="00960A13" w:rsidP="0003231B">
            <w:pPr>
              <w:spacing w:before="120" w:after="120"/>
              <w:rPr>
                <w:szCs w:val="22"/>
                <w:lang w:val="en-AU"/>
              </w:rPr>
            </w:pPr>
            <w:r w:rsidRPr="00BB0DFC">
              <w:rPr>
                <w:szCs w:val="22"/>
                <w:lang w:val="en-AU"/>
              </w:rPr>
              <w:t xml:space="preserve">The assessor uploads the AT-HM tier guide to the </w:t>
            </w:r>
            <w:r w:rsidR="0060352D" w:rsidRPr="00BB0DFC">
              <w:rPr>
                <w:szCs w:val="22"/>
                <w:lang w:val="en-AU"/>
              </w:rPr>
              <w:t>assessor portal</w:t>
            </w:r>
            <w:r w:rsidRPr="00BB0DFC">
              <w:rPr>
                <w:szCs w:val="22"/>
                <w:lang w:val="en-AU"/>
              </w:rPr>
              <w:t xml:space="preserve"> under ‘other’ naming the document ‘AT-HM tier guide</w:t>
            </w:r>
            <w:r w:rsidR="00C5559F" w:rsidRPr="00BB0DFC">
              <w:rPr>
                <w:szCs w:val="22"/>
                <w:lang w:val="en-AU"/>
              </w:rPr>
              <w:t>.’</w:t>
            </w:r>
            <w:r w:rsidRPr="00BB0DFC">
              <w:rPr>
                <w:szCs w:val="22"/>
                <w:lang w:val="en-AU"/>
              </w:rPr>
              <w:t xml:space="preserve"> This is considered by the delegate as supporting evidence of AT-HM tier recommendation. </w:t>
            </w:r>
          </w:p>
          <w:p w14:paraId="7C124140" w14:textId="77777777" w:rsidR="00960A13" w:rsidRPr="00BB0DFC" w:rsidRDefault="00960A13" w:rsidP="0003231B">
            <w:pPr>
              <w:spacing w:before="120" w:after="120"/>
              <w:rPr>
                <w:szCs w:val="22"/>
                <w:lang w:val="en-AU"/>
              </w:rPr>
            </w:pPr>
          </w:p>
          <w:p w14:paraId="63C4B644" w14:textId="3F24C19A" w:rsidR="00960A13" w:rsidRPr="00BB0DFC" w:rsidRDefault="00960A13" w:rsidP="0003231B">
            <w:pPr>
              <w:spacing w:before="120" w:after="120"/>
              <w:rPr>
                <w:szCs w:val="22"/>
                <w:lang w:val="en-AU"/>
              </w:rPr>
            </w:pPr>
            <w:r w:rsidRPr="00BB0DFC">
              <w:rPr>
                <w:szCs w:val="22"/>
                <w:lang w:val="en-AU"/>
              </w:rPr>
              <w:t xml:space="preserve">David’s HM tier recommendation is sent to the assessment delegate for approval. If approved by the assessor delegate, David will receive a Notice of Decision letter informing him that he has approval for a SaH on-going classification and </w:t>
            </w:r>
            <w:r w:rsidR="005F5786">
              <w:rPr>
                <w:szCs w:val="22"/>
                <w:lang w:val="en-AU"/>
              </w:rPr>
              <w:t xml:space="preserve">approval for a home modifications </w:t>
            </w:r>
            <w:r w:rsidR="003D22AA">
              <w:rPr>
                <w:szCs w:val="22"/>
                <w:lang w:val="en-AU"/>
              </w:rPr>
              <w:t>high tier</w:t>
            </w:r>
            <w:r w:rsidRPr="00BB0DFC">
              <w:rPr>
                <w:szCs w:val="22"/>
                <w:lang w:val="en-AU"/>
              </w:rPr>
              <w:t>. Once funding is assigned</w:t>
            </w:r>
            <w:r w:rsidR="006B222A">
              <w:rPr>
                <w:szCs w:val="22"/>
                <w:lang w:val="en-AU"/>
              </w:rPr>
              <w:t xml:space="preserve"> and the Funding Assignment</w:t>
            </w:r>
            <w:r w:rsidR="00D672DC">
              <w:rPr>
                <w:szCs w:val="22"/>
                <w:lang w:val="en-AU"/>
              </w:rPr>
              <w:t xml:space="preserve"> Notice </w:t>
            </w:r>
            <w:r w:rsidR="00F60F74">
              <w:rPr>
                <w:szCs w:val="22"/>
                <w:lang w:val="en-AU"/>
              </w:rPr>
              <w:t>has been</w:t>
            </w:r>
            <w:r w:rsidR="00D672DC">
              <w:rPr>
                <w:szCs w:val="22"/>
                <w:lang w:val="en-AU"/>
              </w:rPr>
              <w:t xml:space="preserve"> sent</w:t>
            </w:r>
            <w:r w:rsidRPr="00BB0DFC">
              <w:rPr>
                <w:szCs w:val="22"/>
                <w:lang w:val="en-AU"/>
              </w:rPr>
              <w:t xml:space="preserve">, he can then find a provider to help source the prescriber and home modifications he needs. The Elder Care Support worker can assist David with this process. When this is explained to David, he says he is excited to think about being able to do shopping and other tasks for himself whenever he needs to. He is also glad this will take some of the pressure off his son. </w:t>
            </w:r>
          </w:p>
          <w:p w14:paraId="39D296E4" w14:textId="77777777" w:rsidR="00651FE6" w:rsidRPr="00BB0DFC" w:rsidRDefault="00651FE6" w:rsidP="0003231B">
            <w:pPr>
              <w:spacing w:before="120" w:after="120"/>
              <w:rPr>
                <w:szCs w:val="22"/>
                <w:lang w:val="en-AU"/>
              </w:rPr>
            </w:pPr>
          </w:p>
          <w:p w14:paraId="635E41B6" w14:textId="2D79CC7A" w:rsidR="00960A13" w:rsidRPr="00BB0DFC" w:rsidRDefault="00960A13" w:rsidP="0003231B">
            <w:pPr>
              <w:spacing w:before="120" w:after="120"/>
              <w:rPr>
                <w:szCs w:val="22"/>
                <w:lang w:val="en-AU"/>
              </w:rPr>
            </w:pPr>
          </w:p>
        </w:tc>
      </w:tr>
      <w:tr w:rsidR="00BB0DFC" w:rsidRPr="00BB0DFC" w14:paraId="7E2E7A0C" w14:textId="77777777" w:rsidTr="00BB0DFC">
        <w:tc>
          <w:tcPr>
            <w:tcW w:w="9016" w:type="dxa"/>
            <w:shd w:val="clear" w:color="auto" w:fill="F2F2F2" w:themeFill="background1" w:themeFillShade="F2"/>
          </w:tcPr>
          <w:p w14:paraId="2B1290FC" w14:textId="2317324E" w:rsidR="0003231B" w:rsidRDefault="0003231B" w:rsidP="51B38498">
            <w:pPr>
              <w:spacing w:before="120" w:after="120"/>
              <w:rPr>
                <w:b/>
              </w:rPr>
            </w:pPr>
          </w:p>
          <w:p w14:paraId="6EF7535F" w14:textId="282CDECB" w:rsidR="0003231B" w:rsidRDefault="0003231B" w:rsidP="51B38498">
            <w:pPr>
              <w:spacing w:before="120" w:after="120"/>
              <w:rPr>
                <w:b/>
              </w:rPr>
            </w:pPr>
          </w:p>
          <w:p w14:paraId="22E546D1" w14:textId="7C5E1EEE" w:rsidR="0003231B" w:rsidRDefault="0003231B" w:rsidP="51B38498">
            <w:pPr>
              <w:spacing w:before="120" w:after="120"/>
              <w:rPr>
                <w:b/>
              </w:rPr>
            </w:pPr>
          </w:p>
          <w:p w14:paraId="7598C1AB" w14:textId="0AEB8EBE" w:rsidR="0003231B" w:rsidRDefault="0003231B" w:rsidP="51B38498">
            <w:pPr>
              <w:spacing w:before="120" w:after="120"/>
              <w:rPr>
                <w:b/>
              </w:rPr>
            </w:pPr>
          </w:p>
          <w:p w14:paraId="34F2D4FA" w14:textId="4B108B7B" w:rsidR="00651FE6" w:rsidRPr="0003231B" w:rsidRDefault="00651FE6" w:rsidP="51B38498">
            <w:pPr>
              <w:spacing w:before="120" w:after="120"/>
              <w:jc w:val="center"/>
              <w:rPr>
                <w:b/>
                <w:sz w:val="24"/>
              </w:rPr>
            </w:pPr>
          </w:p>
          <w:p w14:paraId="535E55C1" w14:textId="77777777" w:rsidR="00960A13" w:rsidRPr="0003231B" w:rsidRDefault="00960A13" w:rsidP="0003231B">
            <w:pPr>
              <w:spacing w:before="120" w:after="120"/>
              <w:jc w:val="center"/>
              <w:rPr>
                <w:b/>
                <w:sz w:val="24"/>
              </w:rPr>
            </w:pPr>
            <w:r w:rsidRPr="0003231B">
              <w:rPr>
                <w:b/>
                <w:sz w:val="24"/>
              </w:rPr>
              <w:t>CASE STUDY: Progressive Condition</w:t>
            </w:r>
          </w:p>
          <w:p w14:paraId="650CB5B6" w14:textId="77777777" w:rsidR="00960A13" w:rsidRPr="00BB0DFC" w:rsidRDefault="00960A13" w:rsidP="0003231B">
            <w:pPr>
              <w:spacing w:before="120" w:after="120"/>
              <w:rPr>
                <w:szCs w:val="22"/>
              </w:rPr>
            </w:pPr>
          </w:p>
          <w:p w14:paraId="33A3F6D6" w14:textId="77777777" w:rsidR="00960A13" w:rsidRPr="00BB0DFC" w:rsidRDefault="00960A13" w:rsidP="0003231B">
            <w:pPr>
              <w:spacing w:before="120" w:after="120"/>
              <w:rPr>
                <w:szCs w:val="22"/>
              </w:rPr>
            </w:pPr>
            <w:r w:rsidRPr="00BB0DFC">
              <w:rPr>
                <w:szCs w:val="22"/>
              </w:rPr>
              <w:t>Margaret is 68 and was assessed at home to increase Support at Home services as she is not managing with her current allocation. The assessor reviews her medical history and finds that she suffered a stroke 5 years ago which left her with left sided weakness. Recently she has found it much harder to manage at home, she cannot get up and down the stairs by herself and her family report she is unsteady when walking around her home. She lives with her son and daughter-in-law but does not like being reliant on them for daily tasks. As Stroke is one of the identified AT-HM progressive conditions, the assessor selects it in the health condition section of the assessment. The assessor thinks that Margaret may benefit from a range of assistive technology and home modifications to support her current needs and as her condition declines. She will require assessment and prescription from a suitably qualified health professional to determine her AT and HM needs.</w:t>
            </w:r>
          </w:p>
          <w:p w14:paraId="344142EA" w14:textId="77777777" w:rsidR="00960A13" w:rsidRPr="00BB0DFC" w:rsidRDefault="00960A13" w:rsidP="0003231B">
            <w:pPr>
              <w:spacing w:before="120" w:after="120"/>
              <w:rPr>
                <w:szCs w:val="22"/>
              </w:rPr>
            </w:pPr>
          </w:p>
          <w:p w14:paraId="46B0D650" w14:textId="57B8DF31" w:rsidR="00960A13" w:rsidRPr="00BB0DFC" w:rsidRDefault="00960A13" w:rsidP="0003231B">
            <w:pPr>
              <w:spacing w:before="120" w:after="120"/>
              <w:rPr>
                <w:szCs w:val="22"/>
                <w:lang w:val="en-AU"/>
              </w:rPr>
            </w:pPr>
            <w:r w:rsidRPr="00BB0DFC">
              <w:rPr>
                <w:szCs w:val="22"/>
              </w:rPr>
              <w:t>The assessor fills out the AT-HM tier guide which indicates a AT high tier</w:t>
            </w:r>
            <w:r w:rsidR="0071401E">
              <w:rPr>
                <w:szCs w:val="22"/>
              </w:rPr>
              <w:t xml:space="preserve"> (AT Tier 3)</w:t>
            </w:r>
            <w:r w:rsidRPr="00BB0DFC">
              <w:rPr>
                <w:szCs w:val="22"/>
              </w:rPr>
              <w:t xml:space="preserve"> and a </w:t>
            </w:r>
            <w:r w:rsidR="0071401E">
              <w:rPr>
                <w:szCs w:val="22"/>
              </w:rPr>
              <w:t xml:space="preserve">HM </w:t>
            </w:r>
            <w:r w:rsidR="00C01C7F">
              <w:rPr>
                <w:szCs w:val="22"/>
              </w:rPr>
              <w:t xml:space="preserve">medium </w:t>
            </w:r>
            <w:r w:rsidR="0071401E">
              <w:rPr>
                <w:szCs w:val="22"/>
              </w:rPr>
              <w:t xml:space="preserve">tier </w:t>
            </w:r>
            <w:r w:rsidR="00C01C7F">
              <w:rPr>
                <w:szCs w:val="22"/>
              </w:rPr>
              <w:t>(HM Tier 2</w:t>
            </w:r>
            <w:r w:rsidRPr="00BB0DFC" w:rsidDel="001067C9">
              <w:rPr>
                <w:szCs w:val="22"/>
              </w:rPr>
              <w:t>)</w:t>
            </w:r>
            <w:r w:rsidRPr="00BB0DFC">
              <w:rPr>
                <w:szCs w:val="22"/>
              </w:rPr>
              <w:t xml:space="preserve">, this aligns with the complex needs identified at assessment. The assessor recommends a SaH on-going classification and allocates </w:t>
            </w:r>
            <w:r w:rsidR="00696D2C">
              <w:rPr>
                <w:szCs w:val="22"/>
              </w:rPr>
              <w:t>AT</w:t>
            </w:r>
            <w:r w:rsidRPr="00BB0DFC">
              <w:rPr>
                <w:szCs w:val="22"/>
              </w:rPr>
              <w:t xml:space="preserve"> high tier and </w:t>
            </w:r>
            <w:r w:rsidRPr="00BB0DFC" w:rsidDel="0020390A">
              <w:rPr>
                <w:szCs w:val="22"/>
              </w:rPr>
              <w:t xml:space="preserve">HM </w:t>
            </w:r>
            <w:r w:rsidRPr="00BB0DFC">
              <w:rPr>
                <w:szCs w:val="22"/>
              </w:rPr>
              <w:t>medium tier in the support plan. Margaret will have access to her AT funding allocation for 24 months and this can be further extended to 48 months if needed, as she has an identified progressive condition. </w:t>
            </w:r>
            <w:r w:rsidRPr="00BB0DFC">
              <w:rPr>
                <w:szCs w:val="22"/>
                <w:lang w:val="en-AU"/>
              </w:rPr>
              <w:t> </w:t>
            </w:r>
          </w:p>
          <w:p w14:paraId="091A8399" w14:textId="77777777" w:rsidR="00960A13" w:rsidRPr="00BB0DFC" w:rsidRDefault="00960A13" w:rsidP="0003231B">
            <w:pPr>
              <w:spacing w:before="120" w:after="120"/>
              <w:rPr>
                <w:szCs w:val="22"/>
              </w:rPr>
            </w:pPr>
          </w:p>
          <w:p w14:paraId="59373176" w14:textId="656B684D" w:rsidR="00960A13" w:rsidRPr="00BB0DFC" w:rsidRDefault="00960A13" w:rsidP="0003231B">
            <w:pPr>
              <w:spacing w:before="120" w:after="120"/>
              <w:rPr>
                <w:szCs w:val="22"/>
                <w:lang w:val="en-AU"/>
              </w:rPr>
            </w:pPr>
            <w:r w:rsidRPr="00BB0DFC">
              <w:rPr>
                <w:szCs w:val="22"/>
                <w:lang w:val="en-AU"/>
              </w:rPr>
              <w:t xml:space="preserve">The assessor uploads the AT-HM tier guide to the </w:t>
            </w:r>
            <w:r w:rsidR="0060352D" w:rsidRPr="00BB0DFC">
              <w:rPr>
                <w:szCs w:val="22"/>
                <w:lang w:val="en-AU"/>
              </w:rPr>
              <w:t>assessor portal</w:t>
            </w:r>
            <w:r w:rsidRPr="00BB0DFC">
              <w:rPr>
                <w:szCs w:val="22"/>
                <w:lang w:val="en-AU"/>
              </w:rPr>
              <w:t xml:space="preserve"> under ‘other’ naming the document ‘AT-HM tier guide</w:t>
            </w:r>
            <w:r w:rsidR="00C5559F" w:rsidRPr="00BB0DFC">
              <w:rPr>
                <w:szCs w:val="22"/>
                <w:lang w:val="en-AU"/>
              </w:rPr>
              <w:t>.’</w:t>
            </w:r>
            <w:r w:rsidRPr="00BB0DFC">
              <w:rPr>
                <w:szCs w:val="22"/>
                <w:lang w:val="en-AU"/>
              </w:rPr>
              <w:t xml:space="preserve"> This is considered by the delegate as supporting evidence of AT-HM tier recommendation.</w:t>
            </w:r>
          </w:p>
          <w:p w14:paraId="35717481" w14:textId="77777777" w:rsidR="00960A13" w:rsidRPr="00BB0DFC" w:rsidRDefault="00960A13" w:rsidP="0003231B">
            <w:pPr>
              <w:spacing w:before="120" w:after="120"/>
              <w:rPr>
                <w:szCs w:val="22"/>
              </w:rPr>
            </w:pPr>
          </w:p>
          <w:p w14:paraId="75E1D273" w14:textId="4E8AA91A" w:rsidR="00960A13" w:rsidRPr="00BB0DFC" w:rsidRDefault="00960A13" w:rsidP="0003231B">
            <w:pPr>
              <w:spacing w:before="120" w:after="120"/>
              <w:rPr>
                <w:szCs w:val="22"/>
                <w:lang w:val="en-AU"/>
              </w:rPr>
            </w:pPr>
            <w:r w:rsidRPr="00BB0DFC">
              <w:rPr>
                <w:szCs w:val="22"/>
                <w:lang w:val="en-AU"/>
              </w:rPr>
              <w:t xml:space="preserve">Margaret’s AT-HM tier recommendation is sent to the assessment delegate for approval. If approved by the assessor delegate Margaret will receive a Notice of Decision letter informing her of her new SaH ongoing classification and AT-HM funding. She has been recommended AT </w:t>
            </w:r>
            <w:r w:rsidR="00E77140">
              <w:rPr>
                <w:szCs w:val="22"/>
                <w:lang w:val="en-AU"/>
              </w:rPr>
              <w:t xml:space="preserve">high tier </w:t>
            </w:r>
            <w:r w:rsidRPr="00BB0DFC">
              <w:rPr>
                <w:szCs w:val="22"/>
                <w:lang w:val="en-AU"/>
              </w:rPr>
              <w:t xml:space="preserve">and HM medium </w:t>
            </w:r>
            <w:r w:rsidR="00E77140">
              <w:rPr>
                <w:szCs w:val="22"/>
                <w:lang w:val="en-AU"/>
              </w:rPr>
              <w:t>tier</w:t>
            </w:r>
            <w:r w:rsidRPr="00BB0DFC">
              <w:rPr>
                <w:szCs w:val="22"/>
                <w:lang w:val="en-AU"/>
              </w:rPr>
              <w:t xml:space="preserve"> funding approval and once funding has been assigned</w:t>
            </w:r>
            <w:r w:rsidR="00F84315">
              <w:rPr>
                <w:szCs w:val="22"/>
                <w:lang w:val="en-AU"/>
              </w:rPr>
              <w:t xml:space="preserve"> and the Funding Assignment Notice sent</w:t>
            </w:r>
            <w:r w:rsidRPr="00BB0DFC">
              <w:rPr>
                <w:szCs w:val="22"/>
                <w:lang w:val="en-AU"/>
              </w:rPr>
              <w:t xml:space="preserve">, she can then find a provider to help source the prescriber, assistive technology and home modifications she needs. </w:t>
            </w:r>
          </w:p>
          <w:p w14:paraId="629EAA17" w14:textId="77777777" w:rsidR="00651FE6" w:rsidRPr="00BB0DFC" w:rsidRDefault="00651FE6" w:rsidP="0003231B">
            <w:pPr>
              <w:spacing w:before="120" w:after="120"/>
              <w:rPr>
                <w:szCs w:val="22"/>
                <w:lang w:val="en-AU"/>
              </w:rPr>
            </w:pPr>
          </w:p>
          <w:p w14:paraId="4E5F8248" w14:textId="77777777" w:rsidR="00F83062" w:rsidRDefault="00F83062" w:rsidP="0003231B">
            <w:pPr>
              <w:spacing w:before="120" w:after="120"/>
              <w:rPr>
                <w:szCs w:val="22"/>
                <w:lang w:val="en-AU"/>
              </w:rPr>
            </w:pPr>
          </w:p>
          <w:p w14:paraId="56F378E8" w14:textId="77777777" w:rsidR="00F83062" w:rsidRDefault="00F83062" w:rsidP="0003231B">
            <w:pPr>
              <w:spacing w:before="120" w:after="120"/>
              <w:rPr>
                <w:szCs w:val="22"/>
                <w:lang w:val="en-AU"/>
              </w:rPr>
            </w:pPr>
          </w:p>
          <w:p w14:paraId="6A9EA18C" w14:textId="77777777" w:rsidR="00F83062" w:rsidRPr="00BB0DFC" w:rsidRDefault="00F83062" w:rsidP="0003231B">
            <w:pPr>
              <w:spacing w:before="120" w:after="120"/>
              <w:rPr>
                <w:szCs w:val="22"/>
                <w:lang w:val="en-AU"/>
              </w:rPr>
            </w:pPr>
          </w:p>
          <w:p w14:paraId="5C8F3D45" w14:textId="34A63252" w:rsidR="00960A13" w:rsidRPr="00BB0DFC" w:rsidRDefault="00960A13" w:rsidP="0003231B">
            <w:pPr>
              <w:spacing w:before="120" w:after="120"/>
              <w:rPr>
                <w:szCs w:val="22"/>
                <w:lang w:val="en-AU"/>
              </w:rPr>
            </w:pPr>
          </w:p>
        </w:tc>
      </w:tr>
    </w:tbl>
    <w:p w14:paraId="3F04DB86" w14:textId="77777777" w:rsidR="004F0E82" w:rsidRDefault="004F0E82" w:rsidP="00A677C9">
      <w:pPr>
        <w:spacing w:before="240" w:after="240" w:line="240" w:lineRule="auto"/>
        <w:rPr>
          <w:b/>
          <w:bCs/>
          <w:color w:val="358189"/>
          <w:sz w:val="32"/>
          <w:szCs w:val="32"/>
          <w:lang w:val="en-US"/>
        </w:rPr>
      </w:pPr>
      <w:r>
        <w:br w:type="page"/>
      </w:r>
    </w:p>
    <w:p w14:paraId="580D1379" w14:textId="6E551ACF" w:rsidR="00960A13" w:rsidRPr="009E1361" w:rsidRDefault="00960A13" w:rsidP="00C56CEC">
      <w:pPr>
        <w:pStyle w:val="H3"/>
      </w:pPr>
      <w:r w:rsidRPr="009E1361">
        <w:t>Recommending</w:t>
      </w:r>
      <w:r w:rsidRPr="009E1361" w:rsidDel="705306F2">
        <w:t xml:space="preserve"> </w:t>
      </w:r>
      <w:r w:rsidRPr="009E1361">
        <w:t xml:space="preserve">AT-HM tiers in the </w:t>
      </w:r>
      <w:r w:rsidR="0060352D">
        <w:t>assessor portal</w:t>
      </w:r>
    </w:p>
    <w:p w14:paraId="08B0DF34" w14:textId="28914304" w:rsidR="00960A13" w:rsidRPr="009E1361" w:rsidRDefault="00960A13" w:rsidP="00A677C9">
      <w:pPr>
        <w:spacing w:before="240" w:after="240" w:line="240" w:lineRule="auto"/>
      </w:pPr>
      <w:r w:rsidRPr="009E1361">
        <w:t xml:space="preserve">The option to recommend an AT and HM funding tier will be available for those who have recommended ongoing Support at Home classification. The Restorative Care pathway and End-of-Life Pathway will display the AT and HM funding tier options that apply to that pathway. </w:t>
      </w:r>
    </w:p>
    <w:p w14:paraId="046F83FE" w14:textId="77777777" w:rsidR="00960A13" w:rsidRPr="009E1361" w:rsidRDefault="00960A13" w:rsidP="00A677C9">
      <w:pPr>
        <w:pStyle w:val="H5"/>
        <w:spacing w:before="240" w:after="240" w:line="240" w:lineRule="auto"/>
      </w:pPr>
      <w:r w:rsidRPr="009E1361">
        <w:t>Assistive technology</w:t>
      </w:r>
    </w:p>
    <w:p w14:paraId="12A5FFDB" w14:textId="77777777" w:rsidR="00960A13" w:rsidRPr="009E1361" w:rsidRDefault="00960A13" w:rsidP="00DF3F6B">
      <w:pPr>
        <w:pStyle w:val="ListParagraph"/>
        <w:numPr>
          <w:ilvl w:val="0"/>
          <w:numId w:val="159"/>
        </w:numPr>
        <w:spacing w:before="240" w:after="240" w:line="240" w:lineRule="auto"/>
      </w:pPr>
      <w:r w:rsidRPr="009E1361">
        <w:rPr>
          <w:b/>
          <w:bCs/>
        </w:rPr>
        <w:t>Short-term</w:t>
      </w:r>
      <w:r w:rsidRPr="009E1361">
        <w:t xml:space="preserve"> </w:t>
      </w:r>
      <w:r w:rsidRPr="009E1361">
        <w:rPr>
          <w:b/>
          <w:bCs/>
        </w:rPr>
        <w:t>classification</w:t>
      </w:r>
      <w:r w:rsidRPr="009E1361">
        <w:t xml:space="preserve"> should be selected if AT is recommended for all AT needs other than assistance dogs. </w:t>
      </w:r>
    </w:p>
    <w:p w14:paraId="05552989" w14:textId="77777777" w:rsidR="00960A13" w:rsidRPr="009E1361" w:rsidRDefault="00960A13" w:rsidP="00DF3F6B">
      <w:pPr>
        <w:pStyle w:val="ListParagraph"/>
        <w:numPr>
          <w:ilvl w:val="0"/>
          <w:numId w:val="159"/>
        </w:numPr>
        <w:spacing w:before="240" w:after="240" w:line="240" w:lineRule="auto"/>
      </w:pPr>
      <w:r w:rsidRPr="009E1361">
        <w:rPr>
          <w:b/>
          <w:bCs/>
        </w:rPr>
        <w:t>Ongoing</w:t>
      </w:r>
      <w:r w:rsidRPr="009E1361">
        <w:t xml:space="preserve"> </w:t>
      </w:r>
      <w:r w:rsidRPr="009E1361">
        <w:rPr>
          <w:b/>
          <w:bCs/>
        </w:rPr>
        <w:t>classification</w:t>
      </w:r>
      <w:r w:rsidRPr="009E1361">
        <w:t xml:space="preserve"> should be selected if AT is recommended for assistance dogs. </w:t>
      </w:r>
    </w:p>
    <w:p w14:paraId="257F4FD5" w14:textId="77777777" w:rsidR="00960A13" w:rsidRPr="009E1361" w:rsidRDefault="00960A13" w:rsidP="00A677C9">
      <w:pPr>
        <w:pStyle w:val="H5"/>
        <w:spacing w:before="240" w:after="240" w:line="240" w:lineRule="auto"/>
        <w:rPr>
          <w:color w:val="auto"/>
        </w:rPr>
      </w:pPr>
      <w:r w:rsidRPr="009E1361">
        <w:t>Assistance dogs </w:t>
      </w:r>
    </w:p>
    <w:p w14:paraId="2026706D"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 xml:space="preserve">If a participant is not eligible or is unable to access the </w:t>
      </w:r>
      <w:hyperlink r:id="rId170">
        <w:r w:rsidRPr="009E1361">
          <w:rPr>
            <w:rFonts w:eastAsiaTheme="majorEastAsia"/>
          </w:rPr>
          <w:t>Physical Assistance Dogs Program</w:t>
        </w:r>
      </w:hyperlink>
      <w:r w:rsidRPr="009E1361">
        <w:rPr>
          <w:rFonts w:eastAsiaTheme="majorEastAsia"/>
        </w:rPr>
        <w:t>, costs associated with essential assistance dog maintenance may be included under the AT-HM scheme where the services directly relate to the upkeep of the dog. </w:t>
      </w:r>
    </w:p>
    <w:p w14:paraId="7DB3DB76"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 xml:space="preserve">A dog must meet the definition of an assistance dog used by </w:t>
      </w:r>
      <w:hyperlink r:id="rId171" w:anchor=":~:text=An%20assistance%20dog%20is%20a,are%20individually%20trained%20in%20obedience">
        <w:r w:rsidRPr="009E1361">
          <w:rPr>
            <w:rFonts w:eastAsiaTheme="majorEastAsia"/>
          </w:rPr>
          <w:t>Health Direct</w:t>
        </w:r>
      </w:hyperlink>
      <w:r w:rsidRPr="009E1361">
        <w:rPr>
          <w:rFonts w:eastAsiaTheme="majorEastAsia"/>
        </w:rPr>
        <w:t xml:space="preserve"> and be required to enable participation in activities of domestic life.   </w:t>
      </w:r>
    </w:p>
    <w:p w14:paraId="77F74436"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Funding for assistance dogs is capped at $2,000 per annum for ongoing maintenance of the assistance dogs e.g., paying veterinary bills, animal vaccinations, deworming and flea treatments, essential grooming and dog food.   </w:t>
      </w:r>
    </w:p>
    <w:p w14:paraId="6400BFAE"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Participants requiring assistance dogs will be identified and approved for funding through their aged care assessment. Funding for assistance dogs is a specific need, with separate funding for this purpose. If the participant no longer requires this specific funding, the provider must notify Services Australia through the Services Australia Aged Care Provider Portal.  </w:t>
      </w:r>
    </w:p>
    <w:p w14:paraId="0BC65DFD" w14:textId="77777777" w:rsidR="00960A13" w:rsidRPr="009E1361" w:rsidRDefault="00960A13" w:rsidP="00A677C9">
      <w:pPr>
        <w:pStyle w:val="paragraph"/>
        <w:spacing w:before="240" w:beforeAutospacing="0" w:after="240" w:afterAutospacing="0"/>
        <w:rPr>
          <w:rFonts w:eastAsiaTheme="majorEastAsia"/>
        </w:rPr>
      </w:pPr>
      <w:r w:rsidRPr="009E1361">
        <w:rPr>
          <w:rFonts w:eastAsiaTheme="majorEastAsia"/>
        </w:rPr>
        <w:t>If an older person has an assistance dog, the assessor will need to identify this in the free text box under ‘Sensory concerns’ in the Physical, Personal Health and Frailty domain of the IAT.</w:t>
      </w:r>
    </w:p>
    <w:p w14:paraId="54107C57" w14:textId="77777777" w:rsidR="00960A13" w:rsidRPr="009E1361" w:rsidRDefault="00960A13" w:rsidP="00A677C9">
      <w:pPr>
        <w:pStyle w:val="H5"/>
        <w:spacing w:before="240" w:after="240" w:line="240" w:lineRule="auto"/>
      </w:pPr>
      <w:r w:rsidRPr="009E1361">
        <w:t>Home modifications</w:t>
      </w:r>
    </w:p>
    <w:p w14:paraId="177EEFBF" w14:textId="77777777" w:rsidR="00960A13" w:rsidRPr="009E1361" w:rsidRDefault="00960A13" w:rsidP="00A677C9">
      <w:pPr>
        <w:spacing w:before="240" w:after="240" w:line="240" w:lineRule="auto"/>
      </w:pPr>
      <w:r w:rsidRPr="009E1361">
        <w:t xml:space="preserve">By clicking the ‘Recommend a Home Modification’ button you will navigate to the Add Home Modification recommendation’ page.  On this page you must select an HM tier. </w:t>
      </w:r>
    </w:p>
    <w:p w14:paraId="7BC03991" w14:textId="77777777" w:rsidR="00960A13" w:rsidRPr="009E1361" w:rsidRDefault="00960A13" w:rsidP="00A677C9">
      <w:pPr>
        <w:spacing w:before="240" w:after="240" w:line="240" w:lineRule="auto"/>
      </w:pPr>
      <w:r w:rsidRPr="009E1361">
        <w:t xml:space="preserve">If the recommended classification is Support at Home Restorative Care Pathway, then only Medium and Low Tier will be available. </w:t>
      </w:r>
    </w:p>
    <w:p w14:paraId="186D5EF2" w14:textId="77777777" w:rsidR="00960A13" w:rsidRPr="009E1361" w:rsidRDefault="00960A13" w:rsidP="00A677C9">
      <w:pPr>
        <w:spacing w:before="240" w:after="240" w:line="240" w:lineRule="auto"/>
      </w:pPr>
      <w:r w:rsidRPr="009E1361">
        <w:t xml:space="preserve">If there are concerns and goals on the older person’s support plan, the option to link goals will be available. </w:t>
      </w:r>
    </w:p>
    <w:p w14:paraId="36E039B7" w14:textId="77777777" w:rsidR="00960A13" w:rsidRPr="009E1361" w:rsidRDefault="00960A13" w:rsidP="00A677C9">
      <w:pPr>
        <w:spacing w:before="240" w:after="240" w:line="240" w:lineRule="auto"/>
      </w:pPr>
      <w:r w:rsidRPr="009E1361">
        <w:t xml:space="preserve">Service type and services will be pre-selected and read-only. </w:t>
      </w:r>
    </w:p>
    <w:p w14:paraId="5312E61D" w14:textId="488B9091" w:rsidR="00960A13" w:rsidRPr="009E1361" w:rsidRDefault="00960A13" w:rsidP="00C56CEC">
      <w:pPr>
        <w:pStyle w:val="H3"/>
        <w:rPr>
          <w:color w:val="1E1444"/>
        </w:rPr>
      </w:pPr>
      <w:r w:rsidRPr="009E1361">
        <w:t xml:space="preserve">AT-HM </w:t>
      </w:r>
      <w:r w:rsidR="004C683D">
        <w:t>S</w:t>
      </w:r>
      <w:r w:rsidRPr="009E1361">
        <w:t xml:space="preserve">cheme </w:t>
      </w:r>
      <w:r w:rsidR="00EB229F">
        <w:t>P</w:t>
      </w:r>
      <w:r w:rsidRPr="009E1361">
        <w:t xml:space="preserve">riority </w:t>
      </w:r>
      <w:r w:rsidR="00EB229F">
        <w:t>S</w:t>
      </w:r>
      <w:r w:rsidRPr="009E1361">
        <w:t>ystem</w:t>
      </w:r>
    </w:p>
    <w:p w14:paraId="1712CF10" w14:textId="45F22909" w:rsidR="00960A13" w:rsidRPr="009E1361" w:rsidRDefault="00960A13" w:rsidP="00A677C9">
      <w:pPr>
        <w:spacing w:before="240" w:after="240" w:line="240" w:lineRule="auto"/>
        <w:rPr>
          <w:lang w:val="en-AU"/>
        </w:rPr>
      </w:pPr>
      <w:r w:rsidRPr="009E1361">
        <w:rPr>
          <w:lang w:val="en-AU"/>
        </w:rPr>
        <w:t xml:space="preserve">The AT-HM </w:t>
      </w:r>
      <w:r w:rsidR="00951ED4">
        <w:rPr>
          <w:lang w:val="en-AU"/>
        </w:rPr>
        <w:t>s</w:t>
      </w:r>
      <w:r w:rsidR="00951ED4" w:rsidRPr="009E1361">
        <w:rPr>
          <w:lang w:val="en-AU"/>
        </w:rPr>
        <w:t xml:space="preserve">cheme </w:t>
      </w:r>
      <w:r w:rsidRPr="009E1361">
        <w:rPr>
          <w:lang w:val="en-AU"/>
        </w:rPr>
        <w:t xml:space="preserve">has </w:t>
      </w:r>
      <w:r>
        <w:rPr>
          <w:lang w:val="en-AU"/>
        </w:rPr>
        <w:t xml:space="preserve">a </w:t>
      </w:r>
      <w:r w:rsidRPr="009E1361">
        <w:rPr>
          <w:lang w:val="en-AU"/>
        </w:rPr>
        <w:t xml:space="preserve">separate priority system to the Support at Home </w:t>
      </w:r>
      <w:r w:rsidR="00C860F9">
        <w:rPr>
          <w:lang w:val="en-AU"/>
        </w:rPr>
        <w:t>P</w:t>
      </w:r>
      <w:r w:rsidRPr="009E1361">
        <w:rPr>
          <w:lang w:val="en-AU"/>
        </w:rPr>
        <w:t xml:space="preserve">riority </w:t>
      </w:r>
      <w:r w:rsidR="00C860F9">
        <w:rPr>
          <w:lang w:val="en-AU"/>
        </w:rPr>
        <w:t>S</w:t>
      </w:r>
      <w:r w:rsidRPr="009E1361">
        <w:rPr>
          <w:lang w:val="en-AU"/>
        </w:rPr>
        <w:t>ystem. The AT-HM</w:t>
      </w:r>
      <w:r w:rsidRPr="009E1361" w:rsidDel="00951ED4">
        <w:rPr>
          <w:lang w:val="en-AU"/>
        </w:rPr>
        <w:t xml:space="preserve"> </w:t>
      </w:r>
      <w:r w:rsidR="00951ED4">
        <w:rPr>
          <w:lang w:val="en-AU"/>
        </w:rPr>
        <w:t>s</w:t>
      </w:r>
      <w:r w:rsidR="00951ED4" w:rsidRPr="009E1361">
        <w:rPr>
          <w:lang w:val="en-AU"/>
        </w:rPr>
        <w:t>cheme</w:t>
      </w:r>
      <w:r w:rsidRPr="009E1361">
        <w:rPr>
          <w:lang w:val="en-AU"/>
        </w:rPr>
        <w:t xml:space="preserve"> has an Assistive Technology Priority System and a Home Modifications Priority System that allocate AT-HM scheme funding. An older person assessed as eligible for AT and HM will enter the AT-HM Priority Systems in one of its four priority categories (immediate, high, medium or standard). The older person will not be able to access AT-HM under Support at Home until funding has been allocated. The amount of time they wait for services will depend on the priority category they are in. </w:t>
      </w:r>
    </w:p>
    <w:p w14:paraId="479E5B33" w14:textId="1CF75E9F" w:rsidR="00960A13" w:rsidRPr="009E1361" w:rsidRDefault="00960A13" w:rsidP="00A677C9">
      <w:pPr>
        <w:spacing w:before="240" w:after="240" w:line="240" w:lineRule="auto"/>
        <w:rPr>
          <w:highlight w:val="yellow"/>
        </w:rPr>
      </w:pPr>
      <w:r w:rsidRPr="009E1361">
        <w:rPr>
          <w:lang w:val="en-AU"/>
        </w:rPr>
        <w:t>The AT-HM Priority System</w:t>
      </w:r>
      <w:r w:rsidR="00B773EF">
        <w:rPr>
          <w:lang w:val="en-AU"/>
        </w:rPr>
        <w:t>s</w:t>
      </w:r>
      <w:r w:rsidRPr="009E1361">
        <w:rPr>
          <w:lang w:val="en-AU"/>
        </w:rPr>
        <w:t xml:space="preserve"> ensure the equitable allocation of funding based on standardised criteria determined using information collected by </w:t>
      </w:r>
      <w:r>
        <w:rPr>
          <w:lang w:val="en-AU"/>
        </w:rPr>
        <w:t xml:space="preserve">an </w:t>
      </w:r>
      <w:r w:rsidRPr="009E1361">
        <w:rPr>
          <w:lang w:val="en-AU"/>
        </w:rPr>
        <w:t xml:space="preserve">assessor through the </w:t>
      </w:r>
      <w:r>
        <w:rPr>
          <w:lang w:val="en-AU"/>
        </w:rPr>
        <w:t>IAT</w:t>
      </w:r>
      <w:r w:rsidRPr="009E1361">
        <w:rPr>
          <w:lang w:val="en-AU"/>
        </w:rPr>
        <w:t xml:space="preserve">. </w:t>
      </w:r>
      <w:r w:rsidRPr="00174B8A">
        <w:t xml:space="preserve">This is used to calculate the priority category which is generated by the system. The assessor is not required to choose the priority category. </w:t>
      </w:r>
    </w:p>
    <w:p w14:paraId="211D8AD2" w14:textId="176C00F9" w:rsidR="00960A13" w:rsidRPr="009E1361" w:rsidRDefault="00960A13" w:rsidP="00A677C9">
      <w:pPr>
        <w:spacing w:before="240" w:after="240" w:line="240" w:lineRule="auto"/>
        <w:rPr>
          <w:lang w:val="en-AU"/>
        </w:rPr>
      </w:pPr>
      <w:r w:rsidRPr="009E1361">
        <w:rPr>
          <w:lang w:val="en-AU"/>
        </w:rPr>
        <w:t>The following criteria are used</w:t>
      </w:r>
      <w:r>
        <w:rPr>
          <w:lang w:val="en-AU"/>
        </w:rPr>
        <w:t xml:space="preserve">. </w:t>
      </w:r>
      <w:r w:rsidR="00B85673">
        <w:rPr>
          <w:lang w:val="en-AU"/>
        </w:rPr>
        <w:t xml:space="preserve">If the </w:t>
      </w:r>
      <w:r>
        <w:rPr>
          <w:lang w:val="en-AU"/>
        </w:rPr>
        <w:t>individual/’s:</w:t>
      </w:r>
      <w:r w:rsidRPr="009E1361">
        <w:rPr>
          <w:lang w:val="en-AU"/>
        </w:rPr>
        <w:t xml:space="preserve"> </w:t>
      </w:r>
    </w:p>
    <w:p w14:paraId="05636539"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lives alone </w:t>
      </w:r>
    </w:p>
    <w:p w14:paraId="512EE165"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has an assessed severe mobility impairment </w:t>
      </w:r>
    </w:p>
    <w:p w14:paraId="0E89C78C"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is an Aboriginal or Torres Strait Islander person </w:t>
      </w:r>
    </w:p>
    <w:p w14:paraId="56B8EFE5"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 xml:space="preserve">current place of residence poses a severe risk to their health or safety </w:t>
      </w:r>
    </w:p>
    <w:p w14:paraId="0FD7FA36" w14:textId="77777777" w:rsidR="00960A13" w:rsidRPr="009E1361" w:rsidRDefault="00960A13" w:rsidP="00DF3F6B">
      <w:pPr>
        <w:pStyle w:val="ListParagraph"/>
        <w:numPr>
          <w:ilvl w:val="0"/>
          <w:numId w:val="197"/>
        </w:numPr>
        <w:spacing w:before="240" w:after="240" w:line="240" w:lineRule="auto"/>
        <w:rPr>
          <w:lang w:val="en-AU"/>
        </w:rPr>
      </w:pPr>
      <w:r w:rsidRPr="009E1361">
        <w:rPr>
          <w:lang w:val="en-AU"/>
        </w:rPr>
        <w:t>has waited more than 6 months from initial referral and resides in a rural or remote area categorised under MM5-7</w:t>
      </w:r>
    </w:p>
    <w:p w14:paraId="6BA6B12C" w14:textId="5762CF24" w:rsidR="00960A13" w:rsidRPr="009E1361" w:rsidRDefault="00960A13" w:rsidP="00A677C9">
      <w:pPr>
        <w:spacing w:before="240" w:after="240" w:line="240" w:lineRule="auto"/>
        <w:rPr>
          <w:lang w:val="en-AU"/>
        </w:rPr>
      </w:pPr>
      <w:r w:rsidRPr="009E1361">
        <w:rPr>
          <w:lang w:val="en-AU"/>
        </w:rPr>
        <w:t>Older people actively seeking AT-HM at the time of their approval will be automatically placed in the AT and HM Priority System and set as ‘seeking services</w:t>
      </w:r>
      <w:r w:rsidR="00C5559F" w:rsidRPr="009E1361">
        <w:rPr>
          <w:lang w:val="en-AU"/>
        </w:rPr>
        <w:t>.’</w:t>
      </w:r>
    </w:p>
    <w:p w14:paraId="74E7D0BA" w14:textId="50CB1395" w:rsidR="00960A13" w:rsidRDefault="00960A13" w:rsidP="00C325C6">
      <w:pPr>
        <w:pStyle w:val="Sub-headings"/>
      </w:pPr>
      <w:r w:rsidRPr="009D18A1">
        <w:t>Note</w:t>
      </w:r>
      <w:r w:rsidRPr="001D23DA">
        <w:t>:</w:t>
      </w:r>
      <w:r w:rsidRPr="000C09FD">
        <w:t xml:space="preserve"> Participants assigned to the Restorative Care Pathway or the End-of-Life Pathway who have an assessed need for AT and HM will be allocated AT-HM funding immediately </w:t>
      </w:r>
      <w:r w:rsidRPr="000C09FD">
        <w:rPr>
          <w:lang w:val="en-AU"/>
        </w:rPr>
        <w:t>once approved by the assessment delegate</w:t>
      </w:r>
      <w:r w:rsidRPr="000C09FD">
        <w:t xml:space="preserve">.  </w:t>
      </w:r>
      <w:r>
        <w:t xml:space="preserve">Note that the system will display an AT-HM priority of ‘High’ in this scenario, however the funds are allocated immediately. Further information will be available in the </w:t>
      </w:r>
      <w:hyperlink r:id="rId172" w:history="1">
        <w:r w:rsidRPr="5FE90F3C">
          <w:rPr>
            <w:rStyle w:val="Hyperlink"/>
          </w:rPr>
          <w:t>AT-HM scheme guidelines</w:t>
        </w:r>
      </w:hyperlink>
      <w:r>
        <w:t xml:space="preserve">. </w:t>
      </w:r>
    </w:p>
    <w:p w14:paraId="7C3F7790" w14:textId="3863262C" w:rsidR="00960A13" w:rsidRDefault="00960A13" w:rsidP="00C56CEC">
      <w:pPr>
        <w:pStyle w:val="H3"/>
      </w:pPr>
      <w:r w:rsidRPr="009E1361">
        <w:t>Interactions with other programs</w:t>
      </w:r>
    </w:p>
    <w:p w14:paraId="29DAC33A" w14:textId="6D2039C3" w:rsidR="00960A13" w:rsidRPr="009E1361" w:rsidRDefault="00960A13" w:rsidP="00A677C9">
      <w:pPr>
        <w:pStyle w:val="Caption"/>
        <w:spacing w:before="240" w:after="240"/>
      </w:pPr>
      <w:r>
        <w:t>Table 2</w:t>
      </w:r>
      <w:r w:rsidR="000C7B48">
        <w:t>8</w:t>
      </w:r>
      <w:r>
        <w:t xml:space="preserve">. AT-HM </w:t>
      </w:r>
      <w:r w:rsidR="00A63159">
        <w:t xml:space="preserve">scheme </w:t>
      </w:r>
      <w:r>
        <w:t xml:space="preserve">interactions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T-HM Scheme interactions with other programs"/>
      </w:tblPr>
      <w:tblGrid>
        <w:gridCol w:w="2122"/>
        <w:gridCol w:w="3447"/>
        <w:gridCol w:w="3447"/>
      </w:tblGrid>
      <w:tr w:rsidR="00960A13" w:rsidRPr="00BE6B4F" w14:paraId="24C171D1" w14:textId="77777777" w:rsidTr="00F83062">
        <w:trPr>
          <w:tblHeader/>
        </w:trPr>
        <w:tc>
          <w:tcPr>
            <w:tcW w:w="2122" w:type="dxa"/>
            <w:shd w:val="clear" w:color="auto" w:fill="002060"/>
          </w:tcPr>
          <w:p w14:paraId="488061E9" w14:textId="77777777" w:rsidR="00960A13" w:rsidRPr="00BE6B4F" w:rsidRDefault="00960A13" w:rsidP="00A677C9">
            <w:pPr>
              <w:pStyle w:val="H5"/>
              <w:spacing w:before="240" w:after="240"/>
              <w:rPr>
                <w:color w:val="FFFFFF" w:themeColor="background1"/>
              </w:rPr>
            </w:pPr>
            <w:r w:rsidRPr="00BE6B4F">
              <w:rPr>
                <w:color w:val="FFFFFF" w:themeColor="background1"/>
              </w:rPr>
              <w:t>Program</w:t>
            </w:r>
          </w:p>
        </w:tc>
        <w:tc>
          <w:tcPr>
            <w:tcW w:w="6894" w:type="dxa"/>
            <w:gridSpan w:val="2"/>
            <w:shd w:val="clear" w:color="auto" w:fill="002060"/>
          </w:tcPr>
          <w:p w14:paraId="0038F952" w14:textId="1B98B4C2" w:rsidR="00960A13" w:rsidRPr="00BE6B4F" w:rsidRDefault="00960A13" w:rsidP="00A677C9">
            <w:pPr>
              <w:spacing w:before="240" w:after="240"/>
              <w:rPr>
                <w:b/>
                <w:bCs/>
                <w:color w:val="FFFFFF" w:themeColor="background1"/>
              </w:rPr>
            </w:pPr>
            <w:r w:rsidRPr="00BE6B4F">
              <w:rPr>
                <w:b/>
                <w:bCs/>
                <w:color w:val="FFFFFF" w:themeColor="background1"/>
              </w:rPr>
              <w:t xml:space="preserve">Interaction with the </w:t>
            </w:r>
            <w:r>
              <w:rPr>
                <w:b/>
                <w:bCs/>
                <w:color w:val="FFFFFF" w:themeColor="background1"/>
              </w:rPr>
              <w:t xml:space="preserve">AT-HM </w:t>
            </w:r>
            <w:r w:rsidR="0095456D">
              <w:rPr>
                <w:b/>
                <w:bCs/>
                <w:color w:val="FFFFFF" w:themeColor="background1"/>
              </w:rPr>
              <w:t>scheme</w:t>
            </w:r>
          </w:p>
        </w:tc>
      </w:tr>
      <w:tr w:rsidR="00960A13" w:rsidRPr="00623375" w14:paraId="7BA39CE1" w14:textId="77777777">
        <w:tc>
          <w:tcPr>
            <w:tcW w:w="2122" w:type="dxa"/>
            <w:shd w:val="clear" w:color="auto" w:fill="002060"/>
          </w:tcPr>
          <w:p w14:paraId="2C382D27" w14:textId="77777777" w:rsidR="00960A13" w:rsidRPr="00623375" w:rsidRDefault="00960A13" w:rsidP="00A677C9">
            <w:pPr>
              <w:pStyle w:val="H5"/>
              <w:spacing w:before="240" w:after="240"/>
              <w:rPr>
                <w:b w:val="0"/>
                <w:bCs w:val="0"/>
                <w:color w:val="FFFFFF" w:themeColor="background1"/>
              </w:rPr>
            </w:pPr>
            <w:r w:rsidRPr="00623375">
              <w:rPr>
                <w:b w:val="0"/>
                <w:bCs w:val="0"/>
                <w:color w:val="FFFFFF" w:themeColor="background1"/>
              </w:rPr>
              <w:t>Support at Home ongoing</w:t>
            </w:r>
          </w:p>
        </w:tc>
        <w:tc>
          <w:tcPr>
            <w:tcW w:w="6894" w:type="dxa"/>
            <w:gridSpan w:val="2"/>
          </w:tcPr>
          <w:p w14:paraId="02290B50" w14:textId="0768570D" w:rsidR="00960A13" w:rsidRPr="00623375" w:rsidRDefault="00960A13" w:rsidP="00A677C9">
            <w:pPr>
              <w:spacing w:before="240" w:after="240"/>
              <w:rPr>
                <w:b/>
                <w:bCs/>
                <w:color w:val="FFFFFF" w:themeColor="background1"/>
              </w:rPr>
            </w:pPr>
            <w:r w:rsidRPr="00623375">
              <w:t xml:space="preserve">Can </w:t>
            </w:r>
            <w:r>
              <w:t xml:space="preserve">access </w:t>
            </w:r>
            <w:r w:rsidR="00F660D3">
              <w:t xml:space="preserve">funding through the </w:t>
            </w:r>
            <w:r>
              <w:t>AT-HM</w:t>
            </w:r>
            <w:r w:rsidRPr="00623375">
              <w:t xml:space="preserve"> </w:t>
            </w:r>
            <w:r w:rsidR="00F660D3">
              <w:t xml:space="preserve">scheme </w:t>
            </w:r>
            <w:r>
              <w:t>at the same</w:t>
            </w:r>
            <w:r w:rsidR="00F660D3">
              <w:t xml:space="preserve"> time</w:t>
            </w:r>
            <w:r>
              <w:t xml:space="preserve">. </w:t>
            </w:r>
          </w:p>
        </w:tc>
      </w:tr>
      <w:tr w:rsidR="00960A13" w:rsidRPr="009E1361" w14:paraId="30EC343A" w14:textId="77777777">
        <w:tc>
          <w:tcPr>
            <w:tcW w:w="2122" w:type="dxa"/>
            <w:shd w:val="clear" w:color="auto" w:fill="002060"/>
            <w:vAlign w:val="center"/>
          </w:tcPr>
          <w:p w14:paraId="4EC65302" w14:textId="77777777" w:rsidR="00960A13" w:rsidRPr="00810AB7" w:rsidRDefault="00960A13" w:rsidP="00A677C9">
            <w:pPr>
              <w:spacing w:before="240" w:after="240"/>
              <w:rPr>
                <w:color w:val="FFFFFF" w:themeColor="background1"/>
              </w:rPr>
            </w:pPr>
            <w:r w:rsidRPr="00810AB7">
              <w:rPr>
                <w:color w:val="FFFFFF" w:themeColor="background1"/>
              </w:rPr>
              <w:t>Restorative Care Pathway</w:t>
            </w:r>
          </w:p>
          <w:p w14:paraId="296B5A74" w14:textId="77777777" w:rsidR="00960A13" w:rsidRPr="00810AB7" w:rsidRDefault="00960A13" w:rsidP="00A677C9">
            <w:pPr>
              <w:pStyle w:val="H5"/>
              <w:spacing w:before="240" w:after="240"/>
              <w:rPr>
                <w:b w:val="0"/>
                <w:bCs w:val="0"/>
                <w:color w:val="FFFFFF" w:themeColor="background1"/>
              </w:rPr>
            </w:pPr>
          </w:p>
        </w:tc>
        <w:tc>
          <w:tcPr>
            <w:tcW w:w="6894" w:type="dxa"/>
            <w:gridSpan w:val="2"/>
            <w:vAlign w:val="center"/>
          </w:tcPr>
          <w:p w14:paraId="1679EF1B" w14:textId="77777777" w:rsidR="00960A13" w:rsidRPr="00117964" w:rsidRDefault="00960A13" w:rsidP="00A677C9">
            <w:pPr>
              <w:spacing w:before="240" w:after="240"/>
              <w:rPr>
                <w:b/>
              </w:rPr>
            </w:pPr>
            <w:r w:rsidRPr="00117964">
              <w:t>Older people accessing the Restorative Care Pathway can access: </w:t>
            </w:r>
          </w:p>
          <w:p w14:paraId="5ED6A5EA" w14:textId="77777777" w:rsidR="00960A13" w:rsidRPr="00117964" w:rsidRDefault="00960A13" w:rsidP="00DF3F6B">
            <w:pPr>
              <w:pStyle w:val="ListParagraph"/>
              <w:numPr>
                <w:ilvl w:val="0"/>
                <w:numId w:val="167"/>
              </w:numPr>
              <w:spacing w:before="240" w:after="240"/>
              <w:rPr>
                <w:b/>
                <w:bCs/>
              </w:rPr>
            </w:pPr>
            <w:r w:rsidRPr="00117964">
              <w:t>Assistive technology: low, medium and high tiers</w:t>
            </w:r>
          </w:p>
          <w:p w14:paraId="6BA7EA4E" w14:textId="77777777" w:rsidR="00960A13" w:rsidRPr="00117964" w:rsidRDefault="00960A13" w:rsidP="00DF3F6B">
            <w:pPr>
              <w:pStyle w:val="ListParagraph"/>
              <w:numPr>
                <w:ilvl w:val="0"/>
                <w:numId w:val="167"/>
              </w:numPr>
              <w:spacing w:before="240" w:after="240"/>
            </w:pPr>
            <w:r w:rsidRPr="00117964">
              <w:t>Home modifications: low and medium tiers</w:t>
            </w:r>
          </w:p>
          <w:p w14:paraId="23D4AC8C" w14:textId="77777777" w:rsidR="00960A13" w:rsidRPr="009E1361" w:rsidRDefault="00960A13" w:rsidP="00A677C9">
            <w:pPr>
              <w:spacing w:before="240" w:after="240"/>
            </w:pPr>
          </w:p>
        </w:tc>
      </w:tr>
      <w:tr w:rsidR="00960A13" w:rsidRPr="009E1361" w14:paraId="768B3829" w14:textId="77777777">
        <w:tc>
          <w:tcPr>
            <w:tcW w:w="2122" w:type="dxa"/>
            <w:shd w:val="clear" w:color="auto" w:fill="002060"/>
            <w:vAlign w:val="center"/>
          </w:tcPr>
          <w:p w14:paraId="709C65D7" w14:textId="77777777"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End of Life Pathway</w:t>
            </w:r>
          </w:p>
          <w:p w14:paraId="3AFBE1F7" w14:textId="77777777" w:rsidR="00960A13" w:rsidRPr="00810AB7" w:rsidRDefault="00960A13" w:rsidP="00A677C9">
            <w:pPr>
              <w:pStyle w:val="H5"/>
              <w:spacing w:before="240" w:after="240"/>
              <w:rPr>
                <w:b w:val="0"/>
                <w:bCs w:val="0"/>
                <w:color w:val="FFFFFF" w:themeColor="background1"/>
              </w:rPr>
            </w:pPr>
          </w:p>
        </w:tc>
        <w:tc>
          <w:tcPr>
            <w:tcW w:w="6894" w:type="dxa"/>
            <w:gridSpan w:val="2"/>
          </w:tcPr>
          <w:p w14:paraId="6C189A1E" w14:textId="77777777" w:rsidR="00960A13" w:rsidRPr="00117964" w:rsidRDefault="00960A13" w:rsidP="00A677C9">
            <w:pPr>
              <w:spacing w:before="240" w:after="240"/>
            </w:pPr>
            <w:r w:rsidRPr="00117964">
              <w:t>Older people accessing the End-of-Life Pathway can access: Assistive technology: low and medium tiers</w:t>
            </w:r>
          </w:p>
          <w:p w14:paraId="06DD657E" w14:textId="77777777" w:rsidR="00960A13" w:rsidRPr="009E1361" w:rsidRDefault="00960A13" w:rsidP="00A677C9">
            <w:pPr>
              <w:spacing w:before="240" w:after="240"/>
            </w:pPr>
          </w:p>
        </w:tc>
      </w:tr>
      <w:tr w:rsidR="00960A13" w:rsidRPr="009E1361" w14:paraId="70827478" w14:textId="77777777">
        <w:tc>
          <w:tcPr>
            <w:tcW w:w="2122" w:type="dxa"/>
            <w:shd w:val="clear" w:color="auto" w:fill="002060"/>
            <w:vAlign w:val="center"/>
          </w:tcPr>
          <w:p w14:paraId="55F66F3C" w14:textId="77777777"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Residential Respite</w:t>
            </w:r>
          </w:p>
        </w:tc>
        <w:tc>
          <w:tcPr>
            <w:tcW w:w="6894" w:type="dxa"/>
            <w:gridSpan w:val="2"/>
          </w:tcPr>
          <w:p w14:paraId="6A1631D4" w14:textId="77777777" w:rsidR="00960A13" w:rsidRPr="00467DE5" w:rsidRDefault="00960A13" w:rsidP="00A677C9">
            <w:pPr>
              <w:spacing w:before="240" w:after="240"/>
              <w:rPr>
                <w:rFonts w:eastAsia="Aptos"/>
              </w:rPr>
            </w:pPr>
            <w:r>
              <w:rPr>
                <w:rFonts w:eastAsia="Aptos"/>
              </w:rPr>
              <w:t xml:space="preserve">Can receive AT-HM in their home while in respite </w:t>
            </w:r>
          </w:p>
        </w:tc>
      </w:tr>
      <w:tr w:rsidR="00960A13" w:rsidRPr="009E1361" w14:paraId="7DEBA9C3" w14:textId="77777777">
        <w:tc>
          <w:tcPr>
            <w:tcW w:w="2122" w:type="dxa"/>
            <w:shd w:val="clear" w:color="auto" w:fill="002060"/>
            <w:vAlign w:val="center"/>
          </w:tcPr>
          <w:p w14:paraId="57BB135B" w14:textId="77777777"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Transition Care Program</w:t>
            </w:r>
          </w:p>
        </w:tc>
        <w:tc>
          <w:tcPr>
            <w:tcW w:w="6894" w:type="dxa"/>
            <w:gridSpan w:val="2"/>
          </w:tcPr>
          <w:p w14:paraId="3EE27C53" w14:textId="77777777" w:rsidR="00960A13" w:rsidRPr="006A2660" w:rsidRDefault="00960A13" w:rsidP="00A677C9">
            <w:pPr>
              <w:spacing w:before="240" w:after="240"/>
            </w:pPr>
            <w:r w:rsidRPr="006A2660">
              <w:t xml:space="preserve">TCP clients who have an on-going Support at Home classification will be eligible for the AT-HM scheme under Support at Home. </w:t>
            </w:r>
          </w:p>
          <w:p w14:paraId="11C85612" w14:textId="77777777" w:rsidR="00960A13" w:rsidRDefault="00960A13" w:rsidP="00A677C9">
            <w:pPr>
              <w:spacing w:before="240" w:after="240"/>
            </w:pPr>
          </w:p>
          <w:p w14:paraId="4D9AA2D1" w14:textId="77777777" w:rsidR="00960A13" w:rsidRPr="006A2660" w:rsidRDefault="00960A13" w:rsidP="00A677C9">
            <w:pPr>
              <w:spacing w:before="240" w:after="240"/>
            </w:pPr>
            <w:r w:rsidRPr="006A2660">
              <w:t xml:space="preserve">TCP clients who are </w:t>
            </w:r>
            <w:r w:rsidRPr="006A2660">
              <w:rPr>
                <w:i/>
              </w:rPr>
              <w:t>not</w:t>
            </w:r>
            <w:r w:rsidRPr="006A2660">
              <w:t xml:space="preserve"> currently on a Support at Home package will be able to access AT through TCP.  </w:t>
            </w:r>
          </w:p>
          <w:p w14:paraId="40650132" w14:textId="77777777" w:rsidR="00960A13" w:rsidRPr="00467DE5" w:rsidRDefault="00960A13" w:rsidP="00A677C9">
            <w:pPr>
              <w:spacing w:before="240" w:after="240"/>
              <w:rPr>
                <w:rFonts w:eastAsia="Aptos"/>
              </w:rPr>
            </w:pPr>
          </w:p>
        </w:tc>
      </w:tr>
      <w:tr w:rsidR="00960A13" w:rsidRPr="009E1361" w14:paraId="19F84A2B" w14:textId="77777777">
        <w:tc>
          <w:tcPr>
            <w:tcW w:w="2122" w:type="dxa"/>
            <w:shd w:val="clear" w:color="auto" w:fill="002060"/>
            <w:vAlign w:val="center"/>
          </w:tcPr>
          <w:p w14:paraId="54DC8C6F" w14:textId="04147373" w:rsidR="00960A13" w:rsidRPr="00810AB7" w:rsidRDefault="00960A13" w:rsidP="00A677C9">
            <w:pPr>
              <w:pStyle w:val="H5"/>
              <w:spacing w:before="240" w:after="240"/>
              <w:rPr>
                <w:b w:val="0"/>
                <w:bCs w:val="0"/>
                <w:color w:val="FFFFFF" w:themeColor="background1"/>
              </w:rPr>
            </w:pPr>
            <w:r w:rsidRPr="00810AB7">
              <w:rPr>
                <w:b w:val="0"/>
                <w:bCs w:val="0"/>
                <w:color w:val="FFFFFF" w:themeColor="background1"/>
              </w:rPr>
              <w:t>CHSP</w:t>
            </w:r>
          </w:p>
          <w:p w14:paraId="2C045C10" w14:textId="77777777" w:rsidR="00960A13" w:rsidRPr="00810AB7" w:rsidRDefault="00960A13" w:rsidP="00A677C9">
            <w:pPr>
              <w:pStyle w:val="H5"/>
              <w:spacing w:before="240" w:after="240"/>
              <w:rPr>
                <w:b w:val="0"/>
                <w:bCs w:val="0"/>
                <w:color w:val="FFFFFF" w:themeColor="background1"/>
              </w:rPr>
            </w:pPr>
          </w:p>
        </w:tc>
        <w:tc>
          <w:tcPr>
            <w:tcW w:w="6894" w:type="dxa"/>
            <w:gridSpan w:val="2"/>
            <w:vAlign w:val="center"/>
          </w:tcPr>
          <w:p w14:paraId="3E4C8E35" w14:textId="569B96E3" w:rsidR="00960A13" w:rsidRPr="009E1361" w:rsidRDefault="00951620" w:rsidP="00A677C9">
            <w:pPr>
              <w:spacing w:before="240" w:after="240"/>
            </w:pPr>
            <w:r>
              <w:t xml:space="preserve">Clients </w:t>
            </w:r>
            <w:r w:rsidR="00960A13" w:rsidRPr="00623375">
              <w:t xml:space="preserve">who are not eligible for Support at Home that require low level on-going services as well as </w:t>
            </w:r>
            <w:r>
              <w:t>equipment and products</w:t>
            </w:r>
            <w:r w:rsidR="00960A13" w:rsidRPr="00623375">
              <w:t xml:space="preserve"> and/or home </w:t>
            </w:r>
            <w:r>
              <w:t>adjustments</w:t>
            </w:r>
            <w:r w:rsidRPr="00623375">
              <w:t xml:space="preserve"> </w:t>
            </w:r>
            <w:r w:rsidR="00960A13" w:rsidRPr="00623375">
              <w:t>will receive a CHSP classification. These services will be delivered under a CHSP AT and/or HM classification.</w:t>
            </w:r>
          </w:p>
        </w:tc>
      </w:tr>
      <w:tr w:rsidR="00960A13" w:rsidRPr="009E1361" w14:paraId="5BAF7EDA" w14:textId="77777777">
        <w:tc>
          <w:tcPr>
            <w:tcW w:w="2122" w:type="dxa"/>
            <w:shd w:val="clear" w:color="auto" w:fill="002060"/>
            <w:vAlign w:val="center"/>
          </w:tcPr>
          <w:p w14:paraId="65420EF6" w14:textId="77777777" w:rsidR="00960A13" w:rsidRPr="00810AB7" w:rsidRDefault="00960A13" w:rsidP="00A677C9">
            <w:pPr>
              <w:spacing w:before="240" w:after="240"/>
              <w:rPr>
                <w:color w:val="FFFFFF" w:themeColor="background1"/>
              </w:rPr>
            </w:pPr>
            <w:r w:rsidRPr="00810AB7">
              <w:rPr>
                <w:color w:val="FFFFFF" w:themeColor="background1"/>
              </w:rPr>
              <w:t>Permanent Residential Care </w:t>
            </w:r>
          </w:p>
          <w:p w14:paraId="3244EE2D" w14:textId="77777777" w:rsidR="00960A13" w:rsidRPr="00810AB7" w:rsidRDefault="00960A13" w:rsidP="00A677C9">
            <w:pPr>
              <w:spacing w:before="240" w:after="240"/>
              <w:rPr>
                <w:color w:val="FFFFFF" w:themeColor="background1"/>
              </w:rPr>
            </w:pPr>
          </w:p>
        </w:tc>
        <w:tc>
          <w:tcPr>
            <w:tcW w:w="3447" w:type="dxa"/>
          </w:tcPr>
          <w:p w14:paraId="19720306" w14:textId="77777777" w:rsidR="00960A13" w:rsidRPr="00117964" w:rsidRDefault="00960A13" w:rsidP="00A677C9">
            <w:pPr>
              <w:pStyle w:val="H5"/>
              <w:spacing w:before="240" w:after="240"/>
              <w:rPr>
                <w:b w:val="0"/>
              </w:rPr>
            </w:pPr>
            <w:r w:rsidRPr="00117964">
              <w:rPr>
                <w:b w:val="0"/>
                <w:bCs w:val="0"/>
              </w:rPr>
              <w:t>Cannot access AT-HM</w:t>
            </w:r>
          </w:p>
        </w:tc>
        <w:tc>
          <w:tcPr>
            <w:tcW w:w="3447" w:type="dxa"/>
          </w:tcPr>
          <w:p w14:paraId="45EACC61" w14:textId="77777777" w:rsidR="00960A13" w:rsidRPr="009E1361" w:rsidRDefault="00960A13" w:rsidP="00A677C9">
            <w:pPr>
              <w:pStyle w:val="H5"/>
              <w:spacing w:before="240" w:after="240"/>
            </w:pPr>
          </w:p>
        </w:tc>
      </w:tr>
    </w:tbl>
    <w:p w14:paraId="76A25453" w14:textId="332985FB" w:rsidR="00960A13" w:rsidRDefault="00B75454" w:rsidP="00A677C9">
      <w:pPr>
        <w:pStyle w:val="H5"/>
        <w:spacing w:before="240" w:after="240" w:line="240" w:lineRule="auto"/>
      </w:pPr>
      <w:r w:rsidRPr="005E4E0E">
        <w:rPr>
          <w:bCs w:val="0"/>
          <w:noProof/>
        </w:rPr>
        <w:drawing>
          <wp:anchor distT="0" distB="0" distL="114300" distR="114300" simplePos="0" relativeHeight="251658267" behindDoc="0" locked="0" layoutInCell="1" allowOverlap="1" wp14:anchorId="3929707F" wp14:editId="6CB22DD3">
            <wp:simplePos x="0" y="0"/>
            <wp:positionH relativeFrom="margin">
              <wp:posOffset>-110359</wp:posOffset>
            </wp:positionH>
            <wp:positionV relativeFrom="paragraph">
              <wp:posOffset>212725</wp:posOffset>
            </wp:positionV>
            <wp:extent cx="457200" cy="502920"/>
            <wp:effectExtent l="0" t="0" r="0" b="0"/>
            <wp:wrapSquare wrapText="bothSides"/>
            <wp:docPr id="1681291633" name="Picture 168129163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4C89D9E8" w14:textId="7FEC96F0" w:rsidR="00960A13" w:rsidRPr="009E1361" w:rsidRDefault="00960A13" w:rsidP="00507F9D">
      <w:pPr>
        <w:pStyle w:val="h2"/>
      </w:pPr>
      <w:bookmarkStart w:id="491" w:name="_Toc198813685"/>
      <w:bookmarkStart w:id="492" w:name="_Toc204329568"/>
      <w:bookmarkStart w:id="493" w:name="_Toc209188999"/>
      <w:bookmarkStart w:id="494" w:name="_Toc224916659"/>
      <w:r w:rsidRPr="009E1361">
        <w:t>Commonwealth Home Support Program (CHSP</w:t>
      </w:r>
      <w:bookmarkEnd w:id="491"/>
      <w:r w:rsidRPr="009E1361">
        <w:t>)</w:t>
      </w:r>
      <w:bookmarkEnd w:id="492"/>
      <w:bookmarkEnd w:id="493"/>
      <w:bookmarkEnd w:id="494"/>
    </w:p>
    <w:p w14:paraId="25DA45B2" w14:textId="0D2F2541" w:rsidR="000279E2" w:rsidRDefault="00FA2DC2" w:rsidP="000279E2">
      <w:pPr>
        <w:autoSpaceDE w:val="0"/>
        <w:autoSpaceDN w:val="0"/>
        <w:adjustRightInd w:val="0"/>
        <w:spacing w:after="0" w:line="240" w:lineRule="auto"/>
      </w:pPr>
      <w:r>
        <w:t xml:space="preserve">The </w:t>
      </w:r>
      <w:r w:rsidR="000279E2" w:rsidRPr="009E1361">
        <w:t xml:space="preserve">CHSP is a grant funded program suitable for people who can live independently at home but </w:t>
      </w:r>
      <w:r w:rsidR="000279E2" w:rsidRPr="009E1361" w:rsidDel="005C0B6A">
        <w:t>need small amounts</w:t>
      </w:r>
      <w:r w:rsidR="000279E2" w:rsidRPr="009E1361">
        <w:t xml:space="preserve"> of </w:t>
      </w:r>
      <w:r w:rsidR="000279E2">
        <w:t xml:space="preserve">entry-level </w:t>
      </w:r>
      <w:r w:rsidR="000279E2" w:rsidRPr="009E1361">
        <w:t>support to do so.</w:t>
      </w:r>
      <w:r w:rsidR="000279E2">
        <w:t xml:space="preserve"> </w:t>
      </w:r>
      <w:r w:rsidR="000279E2" w:rsidRPr="000279E2">
        <w:t xml:space="preserve">CHSP is not designed for people with intensive or complex care needs. </w:t>
      </w:r>
      <w:r w:rsidR="000279E2" w:rsidRPr="009E1361">
        <w:t>People with higher needs are supported through other aged care programs such as the Support at Home program</w:t>
      </w:r>
      <w:r w:rsidR="000279E2" w:rsidRPr="009E1361" w:rsidDel="00261894">
        <w:t xml:space="preserve"> </w:t>
      </w:r>
      <w:r w:rsidR="000279E2" w:rsidRPr="009E1361">
        <w:t xml:space="preserve">or residential aged care. </w:t>
      </w:r>
    </w:p>
    <w:p w14:paraId="64720E0C" w14:textId="4DE40748" w:rsidR="006036E0" w:rsidRDefault="00FA2DC2" w:rsidP="00AC252D">
      <w:pPr>
        <w:spacing w:before="240" w:after="240" w:line="240" w:lineRule="auto"/>
      </w:pPr>
      <w:r>
        <w:t xml:space="preserve">The </w:t>
      </w:r>
      <w:r w:rsidR="000279E2">
        <w:t xml:space="preserve">CHSP </w:t>
      </w:r>
      <w:r w:rsidR="00460778">
        <w:t>operates</w:t>
      </w:r>
      <w:r w:rsidR="00C07DF6" w:rsidRPr="009E1361">
        <w:t xml:space="preserve"> under the </w:t>
      </w:r>
      <w:r w:rsidR="00C07DF6" w:rsidRPr="009E1361">
        <w:rPr>
          <w:i/>
        </w:rPr>
        <w:t>Aged Care Act 2024</w:t>
      </w:r>
      <w:r w:rsidR="00DA4DCB">
        <w:rPr>
          <w:i/>
        </w:rPr>
        <w:t xml:space="preserve"> </w:t>
      </w:r>
      <w:r w:rsidR="00DA4DCB" w:rsidRPr="00A21A18">
        <w:t>(the Act)</w:t>
      </w:r>
      <w:r w:rsidR="00BA5024">
        <w:rPr>
          <w:iCs/>
        </w:rPr>
        <w:t>.</w:t>
      </w:r>
      <w:r w:rsidR="00025716" w:rsidRPr="00A21A18">
        <w:t xml:space="preserve"> </w:t>
      </w:r>
      <w:r w:rsidR="00134491">
        <w:rPr>
          <w:iCs/>
        </w:rPr>
        <w:t>I</w:t>
      </w:r>
      <w:r w:rsidR="00C400CC" w:rsidRPr="00A21A18">
        <w:t xml:space="preserve">ndividuals </w:t>
      </w:r>
      <w:r w:rsidR="00134491">
        <w:rPr>
          <w:iCs/>
        </w:rPr>
        <w:t>seeking CHSP services</w:t>
      </w:r>
      <w:r w:rsidR="003C36F9">
        <w:rPr>
          <w:iCs/>
        </w:rPr>
        <w:t xml:space="preserve">, even if they are time-limited, </w:t>
      </w:r>
      <w:r w:rsidR="00025716" w:rsidRPr="001E3882">
        <w:t>must meet the eligibility criteria under section</w:t>
      </w:r>
      <w:r w:rsidR="00C400CC" w:rsidRPr="001E3882">
        <w:t xml:space="preserve"> </w:t>
      </w:r>
      <w:r w:rsidR="00025716" w:rsidRPr="001E3882">
        <w:t>58 of the Act to be assessed</w:t>
      </w:r>
      <w:r w:rsidR="00330665" w:rsidRPr="001E3882">
        <w:t xml:space="preserve"> for aged care services</w:t>
      </w:r>
      <w:r w:rsidR="003C36F9">
        <w:rPr>
          <w:iCs/>
        </w:rPr>
        <w:t xml:space="preserve"> and then </w:t>
      </w:r>
      <w:r w:rsidR="00006B76">
        <w:t xml:space="preserve">meet the eligibility requirements </w:t>
      </w:r>
      <w:r w:rsidR="00C400CC">
        <w:t xml:space="preserve">for </w:t>
      </w:r>
      <w:r w:rsidR="000279E2">
        <w:t>CHSP</w:t>
      </w:r>
      <w:r w:rsidR="00006B76">
        <w:t xml:space="preserve"> </w:t>
      </w:r>
      <w:r w:rsidR="0056101C">
        <w:t xml:space="preserve">as </w:t>
      </w:r>
      <w:r w:rsidR="008F041C">
        <w:t>specified in the Act and Aged Care Rules 2025.</w:t>
      </w:r>
      <w:r w:rsidR="00006B76">
        <w:t xml:space="preserve"> </w:t>
      </w:r>
      <w:r w:rsidR="00006B76" w:rsidRPr="009E1361">
        <w:t xml:space="preserve"> </w:t>
      </w:r>
    </w:p>
    <w:p w14:paraId="552396CA" w14:textId="77777777" w:rsidR="006036E0" w:rsidRDefault="006036E0" w:rsidP="00455BAF">
      <w:pPr>
        <w:autoSpaceDE w:val="0"/>
        <w:autoSpaceDN w:val="0"/>
        <w:adjustRightInd w:val="0"/>
        <w:spacing w:after="0" w:line="240" w:lineRule="auto"/>
      </w:pPr>
    </w:p>
    <w:p w14:paraId="32ABF0D6" w14:textId="631B2E72" w:rsidR="00C07DF6" w:rsidRDefault="00C07DF6" w:rsidP="00A677C9">
      <w:pPr>
        <w:spacing w:before="240" w:after="240" w:line="240" w:lineRule="auto"/>
      </w:pPr>
      <w:r>
        <w:t xml:space="preserve">CHSP will transition </w:t>
      </w:r>
      <w:r w:rsidR="0056101C">
        <w:t>to</w:t>
      </w:r>
      <w:r>
        <w:t xml:space="preserve"> Support at Home no earlier than</w:t>
      </w:r>
      <w:r w:rsidR="0002548C">
        <w:t xml:space="preserve"> 1 July</w:t>
      </w:r>
      <w:r>
        <w:t xml:space="preserve"> 2027.</w:t>
      </w:r>
    </w:p>
    <w:p w14:paraId="4F5F53A9" w14:textId="75738A44" w:rsidR="00960A13" w:rsidRPr="009E1361" w:rsidRDefault="00C07DF6" w:rsidP="00A677C9">
      <w:pPr>
        <w:spacing w:before="240" w:after="240" w:line="240" w:lineRule="auto"/>
      </w:pPr>
      <w:r>
        <w:t xml:space="preserve">The service </w:t>
      </w:r>
      <w:r w:rsidR="00CA5338">
        <w:t>catalogue</w:t>
      </w:r>
      <w:r w:rsidR="003D18BA">
        <w:t xml:space="preserve"> </w:t>
      </w:r>
      <w:r>
        <w:t xml:space="preserve">for CHSP </w:t>
      </w:r>
      <w:r w:rsidR="0056101C">
        <w:t>is</w:t>
      </w:r>
      <w:r w:rsidR="0001546E">
        <w:t xml:space="preserve"> aligned with the Support at Home list</w:t>
      </w:r>
      <w:r w:rsidR="007E18A4">
        <w:t>.</w:t>
      </w:r>
      <w:r>
        <w:t xml:space="preserve"> See the </w:t>
      </w:r>
      <w:r w:rsidR="00203ABF">
        <w:t xml:space="preserve">CHSP </w:t>
      </w:r>
      <w:r>
        <w:t>service catalogue for further information.</w:t>
      </w:r>
    </w:p>
    <w:tbl>
      <w:tblPr>
        <w:tblStyle w:val="TableGrid"/>
        <w:tblW w:w="0" w:type="auto"/>
        <w:tblLook w:val="04A0" w:firstRow="1" w:lastRow="0" w:firstColumn="1" w:lastColumn="0" w:noHBand="0" w:noVBand="1"/>
      </w:tblPr>
      <w:tblGrid>
        <w:gridCol w:w="988"/>
        <w:gridCol w:w="8028"/>
      </w:tblGrid>
      <w:tr w:rsidR="00960A13" w:rsidRPr="009E1361" w14:paraId="0C4C646D" w14:textId="77777777">
        <w:tc>
          <w:tcPr>
            <w:tcW w:w="988" w:type="dxa"/>
          </w:tcPr>
          <w:p w14:paraId="41F51124" w14:textId="77777777" w:rsidR="00960A13" w:rsidRPr="009E1361" w:rsidRDefault="00960A13" w:rsidP="00A677C9">
            <w:pPr>
              <w:spacing w:before="240" w:after="240"/>
            </w:pPr>
            <w:r w:rsidRPr="009E1361">
              <w:rPr>
                <w:noProof/>
              </w:rPr>
              <w:drawing>
                <wp:inline distT="0" distB="0" distL="0" distR="0" wp14:anchorId="4B22FB1A" wp14:editId="1808030B">
                  <wp:extent cx="383111" cy="381000"/>
                  <wp:effectExtent l="0" t="0" r="0" b="0"/>
                  <wp:docPr id="1327074461" name="Picture 132707446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03F47E87" w14:textId="77777777" w:rsidR="00960A13" w:rsidRDefault="00960A13" w:rsidP="00A677C9">
            <w:pPr>
              <w:spacing w:before="240" w:after="240"/>
            </w:pPr>
            <w:hyperlink r:id="rId173">
              <w:r w:rsidRPr="009E1361">
                <w:rPr>
                  <w:rStyle w:val="Hyperlink"/>
                </w:rPr>
                <w:t>CHSP service catalogue 2025-2027</w:t>
              </w:r>
            </w:hyperlink>
          </w:p>
          <w:p w14:paraId="67DFE6E5" w14:textId="2D08893F" w:rsidR="00960A13" w:rsidRDefault="00622071" w:rsidP="00A677C9">
            <w:pPr>
              <w:spacing w:before="240" w:after="240"/>
            </w:pPr>
            <w:hyperlink r:id="rId174" w:history="1">
              <w:r w:rsidRPr="00622071">
                <w:rPr>
                  <w:rStyle w:val="Hyperlink"/>
                </w:rPr>
                <w:t>Commonwealth Home Support Program (CHSP) 2025–27 Manual (from 1 November 2025) | Australian Government Department of Health, Disability and Ageing</w:t>
              </w:r>
            </w:hyperlink>
          </w:p>
          <w:p w14:paraId="719F6E03" w14:textId="675D60AE" w:rsidR="00BB3081" w:rsidRPr="009E1361" w:rsidRDefault="00BB3081" w:rsidP="00BB3081">
            <w:pPr>
              <w:spacing w:before="240" w:after="240"/>
            </w:pPr>
          </w:p>
        </w:tc>
      </w:tr>
    </w:tbl>
    <w:p w14:paraId="6DA9749B" w14:textId="532D93E2" w:rsidR="00960A13" w:rsidRPr="009E1361" w:rsidRDefault="00960A13" w:rsidP="00C56CEC">
      <w:pPr>
        <w:pStyle w:val="H3"/>
      </w:pPr>
      <w:bookmarkStart w:id="495" w:name="_Hlk169010002"/>
      <w:bookmarkStart w:id="496" w:name="_Toc191373553"/>
      <w:bookmarkStart w:id="497" w:name="_Toc192861497"/>
      <w:r w:rsidRPr="009E1361">
        <w:t xml:space="preserve">Care </w:t>
      </w:r>
      <w:r>
        <w:t>F</w:t>
      </w:r>
      <w:r w:rsidRPr="009E1361">
        <w:t>inder program and Elder Care Support program participants</w:t>
      </w:r>
    </w:p>
    <w:bookmarkEnd w:id="495"/>
    <w:p w14:paraId="18EB58AB" w14:textId="38475867" w:rsidR="00960A13" w:rsidRPr="009E1361" w:rsidRDefault="00960A13" w:rsidP="00A677C9">
      <w:pPr>
        <w:spacing w:before="240" w:after="240" w:line="240" w:lineRule="auto"/>
      </w:pPr>
      <w:r w:rsidRPr="009E1361">
        <w:t xml:space="preserve">Clients in the </w:t>
      </w:r>
      <w:r>
        <w:t>C</w:t>
      </w:r>
      <w:r w:rsidRPr="009E1361">
        <w:t xml:space="preserve">are </w:t>
      </w:r>
      <w:r>
        <w:t>F</w:t>
      </w:r>
      <w:r w:rsidRPr="009E1361">
        <w:t xml:space="preserve">inder program and Elder Care Support program may be eligible for CHSP services that help to avoid homelessness or reduce the impact of homelessness. To access these CHSP services, </w:t>
      </w:r>
      <w:r w:rsidR="002A69D8">
        <w:t xml:space="preserve">clients </w:t>
      </w:r>
      <w:r w:rsidR="003F50B1">
        <w:t>must</w:t>
      </w:r>
      <w:r w:rsidR="002A69D8">
        <w:t xml:space="preserve"> meet the eligibility </w:t>
      </w:r>
      <w:r w:rsidR="002A69D8" w:rsidDel="00BB3081">
        <w:t>requirements</w:t>
      </w:r>
      <w:r w:rsidR="002A69D8">
        <w:t xml:space="preserve"> under section 58 of the </w:t>
      </w:r>
      <w:r w:rsidR="002A69D8" w:rsidRPr="4E355910">
        <w:rPr>
          <w:i/>
          <w:iCs/>
        </w:rPr>
        <w:t>Aged Care Act 2024</w:t>
      </w:r>
      <w:r w:rsidR="003F50B1">
        <w:rPr>
          <w:i/>
          <w:iCs/>
        </w:rPr>
        <w:t xml:space="preserve"> </w:t>
      </w:r>
      <w:r w:rsidR="003F50B1">
        <w:t xml:space="preserve">and </w:t>
      </w:r>
      <w:r w:rsidR="003F50B1">
        <w:rPr>
          <w:iCs/>
        </w:rPr>
        <w:t xml:space="preserve">then </w:t>
      </w:r>
      <w:r w:rsidR="003F50B1">
        <w:t>meet the eligibility requirements for CHSP specified in the Act and Aged Care Rules 2025</w:t>
      </w:r>
      <w:r w:rsidR="002A69D8">
        <w:t>.</w:t>
      </w:r>
      <w:r w:rsidR="002A69D8" w:rsidRPr="009E1361">
        <w:t xml:space="preserve"> </w:t>
      </w:r>
    </w:p>
    <w:tbl>
      <w:tblPr>
        <w:tblStyle w:val="TableGrid"/>
        <w:tblW w:w="0" w:type="auto"/>
        <w:tblLook w:val="04A0" w:firstRow="1" w:lastRow="0" w:firstColumn="1" w:lastColumn="0" w:noHBand="0" w:noVBand="1"/>
      </w:tblPr>
      <w:tblGrid>
        <w:gridCol w:w="988"/>
        <w:gridCol w:w="8028"/>
      </w:tblGrid>
      <w:tr w:rsidR="00960A13" w:rsidRPr="009E1361" w14:paraId="03ADDE12" w14:textId="77777777">
        <w:tc>
          <w:tcPr>
            <w:tcW w:w="988" w:type="dxa"/>
          </w:tcPr>
          <w:p w14:paraId="17B5636D" w14:textId="172C7005" w:rsidR="00960A13" w:rsidRPr="009E1361" w:rsidRDefault="001E3882" w:rsidP="00A677C9">
            <w:pPr>
              <w:spacing w:before="240" w:after="240"/>
            </w:pPr>
            <w:r w:rsidRPr="009E1361">
              <w:rPr>
                <w:noProof/>
              </w:rPr>
              <w:drawing>
                <wp:inline distT="0" distB="0" distL="0" distR="0" wp14:anchorId="1ED24084" wp14:editId="0301D37C">
                  <wp:extent cx="383111" cy="381000"/>
                  <wp:effectExtent l="0" t="0" r="0" b="0"/>
                  <wp:docPr id="197344727" name="Picture 1973447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4B41521" w14:textId="4385999E" w:rsidR="00960A13" w:rsidRPr="00951C7A" w:rsidRDefault="00960A13" w:rsidP="00A677C9">
            <w:pPr>
              <w:spacing w:before="240" w:after="240"/>
              <w:rPr>
                <w:color w:val="2BB1BB"/>
              </w:rPr>
            </w:pPr>
            <w:hyperlink r:id="rId175">
              <w:r w:rsidRPr="00951C7A">
                <w:rPr>
                  <w:rStyle w:val="Hyperlink"/>
                </w:rPr>
                <w:t>Elder Care Support program</w:t>
              </w:r>
            </w:hyperlink>
          </w:p>
          <w:p w14:paraId="2B9B663C" w14:textId="2B7ECBA4" w:rsidR="00960A13" w:rsidRPr="009E1361" w:rsidRDefault="00960A13" w:rsidP="00A677C9">
            <w:pPr>
              <w:spacing w:before="240" w:after="240"/>
            </w:pPr>
            <w:hyperlink r:id="rId176" w:anchor="who-can-use-the-care-finder-service">
              <w:r w:rsidRPr="00951C7A">
                <w:rPr>
                  <w:rStyle w:val="Hyperlink"/>
                </w:rPr>
                <w:t>Care Finders program</w:t>
              </w:r>
            </w:hyperlink>
          </w:p>
        </w:tc>
      </w:tr>
    </w:tbl>
    <w:p w14:paraId="1DBC69E6" w14:textId="4DE4C253" w:rsidR="00960A13" w:rsidRPr="009E1361" w:rsidRDefault="00960A13" w:rsidP="00C56CEC">
      <w:pPr>
        <w:pStyle w:val="H3"/>
        <w:rPr>
          <w:i/>
        </w:rPr>
      </w:pPr>
      <w:r w:rsidRPr="009E1361">
        <w:t xml:space="preserve">Access to CHSP services </w:t>
      </w:r>
    </w:p>
    <w:p w14:paraId="59662F6A" w14:textId="502884F7" w:rsidR="0013012B" w:rsidRPr="0013012B" w:rsidRDefault="005244CB" w:rsidP="0013012B">
      <w:pPr>
        <w:pStyle w:val="ListParagraph"/>
        <w:numPr>
          <w:ilvl w:val="0"/>
          <w:numId w:val="183"/>
        </w:numPr>
        <w:spacing w:before="240" w:after="240" w:line="240" w:lineRule="auto"/>
        <w:rPr>
          <w:lang w:val="en-AU"/>
        </w:rPr>
      </w:pPr>
      <w:r>
        <w:t>A</w:t>
      </w:r>
      <w:r w:rsidR="001F0A77">
        <w:t xml:space="preserve">n older person </w:t>
      </w:r>
      <w:r w:rsidR="00960A13" w:rsidRPr="009E1361">
        <w:t xml:space="preserve">seeking CHSP services </w:t>
      </w:r>
      <w:r w:rsidR="00C375C1">
        <w:t>must be approved</w:t>
      </w:r>
      <w:r w:rsidR="003C1159">
        <w:t xml:space="preserve"> </w:t>
      </w:r>
      <w:r w:rsidR="00FE6B29">
        <w:t xml:space="preserve">through </w:t>
      </w:r>
      <w:r w:rsidR="00960A13" w:rsidRPr="009E1361">
        <w:t xml:space="preserve">an aged care needs assessment. </w:t>
      </w:r>
    </w:p>
    <w:p w14:paraId="2062178C" w14:textId="3C94FAD5" w:rsidR="00960A13" w:rsidRPr="009E1361" w:rsidRDefault="00960A13" w:rsidP="00DF3F6B">
      <w:pPr>
        <w:pStyle w:val="ListParagraph"/>
        <w:numPr>
          <w:ilvl w:val="0"/>
          <w:numId w:val="183"/>
        </w:numPr>
        <w:spacing w:before="240" w:after="240" w:line="240" w:lineRule="auto"/>
      </w:pPr>
      <w:r w:rsidRPr="009E1361">
        <w:t xml:space="preserve">Once the assessment has been finalised, based on the information entered into the IAT, the </w:t>
      </w:r>
      <w:r w:rsidR="00090F8D">
        <w:t xml:space="preserve">My Aged Care </w:t>
      </w:r>
      <w:r w:rsidR="0060352D">
        <w:t>a</w:t>
      </w:r>
      <w:r w:rsidRPr="009E1361">
        <w:t xml:space="preserve">ssessor </w:t>
      </w:r>
      <w:r w:rsidR="0060352D">
        <w:t>p</w:t>
      </w:r>
      <w:r w:rsidRPr="009E1361">
        <w:t>ortal or Aged Care Assessor App will indicate whether the client requires CHSP or Support at Home (SAH) services.</w:t>
      </w:r>
    </w:p>
    <w:p w14:paraId="6E2E0E6E" w14:textId="5D7C1708" w:rsidR="00960A13" w:rsidRPr="009E1361" w:rsidRDefault="00960A13" w:rsidP="00DF3F6B">
      <w:pPr>
        <w:pStyle w:val="ListParagraph"/>
        <w:numPr>
          <w:ilvl w:val="0"/>
          <w:numId w:val="183"/>
        </w:numPr>
        <w:spacing w:before="240" w:after="240" w:line="240" w:lineRule="auto"/>
      </w:pPr>
      <w:r w:rsidRPr="009E1361">
        <w:t xml:space="preserve">If </w:t>
      </w:r>
      <w:r w:rsidR="00C6206F" w:rsidRPr="009E1361">
        <w:t xml:space="preserve">the IAT </w:t>
      </w:r>
      <w:r w:rsidR="00C6206F">
        <w:t>Outcome</w:t>
      </w:r>
      <w:r w:rsidR="00C6206F" w:rsidRPr="009E1361">
        <w:t xml:space="preserve"> </w:t>
      </w:r>
      <w:r w:rsidR="007208B4">
        <w:t>is</w:t>
      </w:r>
      <w:r w:rsidRPr="009E1361">
        <w:t xml:space="preserve"> CHSP, the assessor will proceed to recommend a set of services</w:t>
      </w:r>
      <w:r w:rsidR="001D5447">
        <w:t xml:space="preserve">. </w:t>
      </w:r>
    </w:p>
    <w:p w14:paraId="4D35815B" w14:textId="562E2C34" w:rsidR="001E3E55" w:rsidRDefault="0038124C" w:rsidP="00DF3F6B">
      <w:pPr>
        <w:pStyle w:val="ListParagraph"/>
        <w:numPr>
          <w:ilvl w:val="0"/>
          <w:numId w:val="183"/>
        </w:numPr>
        <w:spacing w:before="240" w:after="240" w:line="240" w:lineRule="auto"/>
      </w:pPr>
      <w:r>
        <w:t>When</w:t>
      </w:r>
      <w:r w:rsidR="00960A13">
        <w:t xml:space="preserve"> </w:t>
      </w:r>
      <w:r w:rsidR="00C436C9">
        <w:t xml:space="preserve">assessors </w:t>
      </w:r>
      <w:r w:rsidR="00870FC9">
        <w:t>also</w:t>
      </w:r>
      <w:r w:rsidR="00C436C9">
        <w:t xml:space="preserve"> recommend</w:t>
      </w:r>
      <w:r w:rsidR="006618B4">
        <w:t xml:space="preserve"> </w:t>
      </w:r>
      <w:r w:rsidR="00B17AB1">
        <w:t>urgent</w:t>
      </w:r>
      <w:r w:rsidR="008946A8">
        <w:t xml:space="preserve"> </w:t>
      </w:r>
      <w:r w:rsidR="00960A13">
        <w:t>service</w:t>
      </w:r>
      <w:r w:rsidR="00C436C9">
        <w:t>s</w:t>
      </w:r>
      <w:r w:rsidR="00960A13">
        <w:t xml:space="preserve"> </w:t>
      </w:r>
      <w:r w:rsidR="009C1A75">
        <w:t>or periods of time-limited reablement under CHSP,</w:t>
      </w:r>
      <w:r w:rsidR="00100A80">
        <w:t xml:space="preserve"> </w:t>
      </w:r>
      <w:r w:rsidR="005D1FC2">
        <w:t xml:space="preserve">they are </w:t>
      </w:r>
      <w:r w:rsidR="00D06965">
        <w:t xml:space="preserve">requested </w:t>
      </w:r>
      <w:r w:rsidR="005D1FC2">
        <w:t xml:space="preserve">to record any additional information about the client’s situation </w:t>
      </w:r>
      <w:r w:rsidR="001A635A">
        <w:t>in the assessment summary, as</w:t>
      </w:r>
      <w:r w:rsidR="00960A13">
        <w:t xml:space="preserve"> comments entered in the My Aged Care assessor portal </w:t>
      </w:r>
      <w:r w:rsidR="001A635A">
        <w:t>will</w:t>
      </w:r>
      <w:r w:rsidR="00960A13">
        <w:t xml:space="preserve"> not appear on the Support Plan</w:t>
      </w:r>
      <w:r w:rsidR="009C1A75">
        <w:t>.</w:t>
      </w:r>
    </w:p>
    <w:p w14:paraId="77EC711E" w14:textId="29A1A86C" w:rsidR="00960A13" w:rsidRPr="009E1361" w:rsidRDefault="001A635A" w:rsidP="00AC252D">
      <w:pPr>
        <w:pStyle w:val="ListParagraph"/>
        <w:numPr>
          <w:ilvl w:val="1"/>
          <w:numId w:val="183"/>
        </w:numPr>
        <w:spacing w:before="240" w:after="240" w:line="240" w:lineRule="auto"/>
      </w:pPr>
      <w:r>
        <w:t>For example</w:t>
      </w:r>
      <w:r w:rsidR="00960A13">
        <w:t xml:space="preserve"> </w:t>
      </w:r>
      <w:r>
        <w:t>“</w:t>
      </w:r>
      <w:r w:rsidR="00960A13">
        <w:t>client needs time-limited transport services until 28 February 2026 to purchase groceries/attend medical appointments, as they are unable to drive while recovering from acute episode/surgery</w:t>
      </w:r>
      <w:r>
        <w:t>”</w:t>
      </w:r>
      <w:r w:rsidR="00960A13">
        <w:t xml:space="preserve">. </w:t>
      </w:r>
    </w:p>
    <w:p w14:paraId="44BC801D" w14:textId="0EE9A57C" w:rsidR="00960A13" w:rsidRPr="009E1361" w:rsidRDefault="00960A13" w:rsidP="00DF3F6B">
      <w:pPr>
        <w:pStyle w:val="ListParagraph"/>
        <w:numPr>
          <w:ilvl w:val="0"/>
          <w:numId w:val="183"/>
        </w:numPr>
        <w:spacing w:before="240" w:after="240" w:line="240" w:lineRule="auto"/>
      </w:pPr>
      <w:r w:rsidRPr="009E1361">
        <w:t>If the CHSP episode is ongoing, the recommendation should explain why ongoing services are needed for the client (e.g., ‘due to an ongoing health condition’). Ensure the explanation is justified, well-evidenced and consistent with the 2025 – 2027 CHSP Manual.</w:t>
      </w:r>
    </w:p>
    <w:p w14:paraId="72ABB4E2" w14:textId="00115827" w:rsidR="00161C67" w:rsidRPr="009E1361" w:rsidRDefault="004D1D7D" w:rsidP="0088174B">
      <w:pPr>
        <w:pStyle w:val="ListParagraph"/>
        <w:numPr>
          <w:ilvl w:val="0"/>
          <w:numId w:val="479"/>
        </w:numPr>
        <w:spacing w:before="240" w:after="240" w:line="240" w:lineRule="auto"/>
      </w:pPr>
      <w:r>
        <w:t xml:space="preserve">If </w:t>
      </w:r>
      <w:r w:rsidR="00AA7F62">
        <w:t xml:space="preserve">there is a </w:t>
      </w:r>
      <w:r w:rsidR="00DE76A8" w:rsidRPr="009E1361">
        <w:t xml:space="preserve">significant </w:t>
      </w:r>
      <w:r w:rsidR="00AA7F62">
        <w:t>change in the client’s needs</w:t>
      </w:r>
      <w:r w:rsidR="00A61D6C">
        <w:t xml:space="preserve">, </w:t>
      </w:r>
      <w:r w:rsidR="00B206BD">
        <w:t xml:space="preserve">they should </w:t>
      </w:r>
      <w:r w:rsidR="00D11FD6">
        <w:t xml:space="preserve">be </w:t>
      </w:r>
      <w:r w:rsidR="00014D3B">
        <w:t>re</w:t>
      </w:r>
      <w:r w:rsidR="00D11FD6">
        <w:t>assessed</w:t>
      </w:r>
      <w:r w:rsidR="00BA0E40">
        <w:t xml:space="preserve"> to determine </w:t>
      </w:r>
      <w:r w:rsidR="00AE46FD">
        <w:t xml:space="preserve">if they </w:t>
      </w:r>
      <w:r w:rsidR="000E3BF9">
        <w:t xml:space="preserve">should </w:t>
      </w:r>
      <w:r w:rsidR="00DE76A8" w:rsidRPr="009E1361">
        <w:t>continu</w:t>
      </w:r>
      <w:r w:rsidR="00AE46FD">
        <w:t xml:space="preserve">e accessing services </w:t>
      </w:r>
      <w:r w:rsidR="00DE76A8" w:rsidRPr="009E1361">
        <w:t xml:space="preserve">through CHSP or </w:t>
      </w:r>
      <w:r w:rsidR="00902FAA">
        <w:t>are</w:t>
      </w:r>
      <w:r w:rsidR="00DB7A2E" w:rsidDel="00902FAA">
        <w:t xml:space="preserve"> </w:t>
      </w:r>
      <w:r w:rsidR="00DB7A2E">
        <w:t xml:space="preserve">better suited </w:t>
      </w:r>
      <w:r w:rsidR="00CD6C02">
        <w:t xml:space="preserve">to </w:t>
      </w:r>
      <w:r w:rsidR="00DE76A8" w:rsidRPr="009E1361">
        <w:t>Support at Home.</w:t>
      </w:r>
    </w:p>
    <w:p w14:paraId="70DD8EB9" w14:textId="4DBE22A3" w:rsidR="008D405F" w:rsidRDefault="00211D86" w:rsidP="0088174B">
      <w:pPr>
        <w:pStyle w:val="ListParagraph"/>
        <w:numPr>
          <w:ilvl w:val="0"/>
          <w:numId w:val="479"/>
        </w:numPr>
        <w:spacing w:before="240" w:after="240" w:line="240" w:lineRule="auto"/>
      </w:pPr>
      <w:r w:rsidRPr="00211D86">
        <w:t>There are some existing CHSP clients who have never been assessed</w:t>
      </w:r>
      <w:r w:rsidR="005B6469">
        <w:t xml:space="preserve"> for services</w:t>
      </w:r>
      <w:r w:rsidRPr="00211D86">
        <w:t xml:space="preserve">. This includes clients who have been ‘grandfathered’ into the CHSP from previous programs. </w:t>
      </w:r>
      <w:r w:rsidR="00D3079D">
        <w:t>I</w:t>
      </w:r>
      <w:r w:rsidRPr="00211D86">
        <w:t>t is a requirement for all clients to be referred for an assessment, even if they are already accessing CHSP services.</w:t>
      </w:r>
      <w:r>
        <w:t xml:space="preserve"> These</w:t>
      </w:r>
      <w:r w:rsidR="00960A13" w:rsidRPr="009E1361">
        <w:t xml:space="preserve"> CHSP clients need to </w:t>
      </w:r>
      <w:r w:rsidR="006F5DBC">
        <w:t xml:space="preserve">be directed to </w:t>
      </w:r>
      <w:r w:rsidR="00960A13" w:rsidRPr="009E1361">
        <w:t xml:space="preserve">contact My Aged Care </w:t>
      </w:r>
      <w:r w:rsidR="006F5DBC">
        <w:t xml:space="preserve">or their provider </w:t>
      </w:r>
      <w:r w:rsidR="00960A13" w:rsidRPr="009E1361">
        <w:t>and be referred for an assessment to continue receiving services</w:t>
      </w:r>
      <w:r w:rsidR="000663F7">
        <w:t xml:space="preserve"> if eligible</w:t>
      </w:r>
      <w:r w:rsidR="00960A13" w:rsidRPr="009E1361">
        <w:t xml:space="preserve">. </w:t>
      </w:r>
    </w:p>
    <w:p w14:paraId="0CA5E023" w14:textId="3C0DADC8" w:rsidR="00161C67" w:rsidRDefault="008D405F" w:rsidP="0088174B">
      <w:pPr>
        <w:pStyle w:val="ListParagraph"/>
        <w:numPr>
          <w:ilvl w:val="0"/>
          <w:numId w:val="479"/>
        </w:numPr>
        <w:spacing w:before="240" w:after="240" w:line="240" w:lineRule="auto"/>
      </w:pPr>
      <w:r w:rsidRPr="008D405F">
        <w:t xml:space="preserve">Unassessed clients, including those who choose not to be assessed, need to move to full fee-for-service arrangements, if they wish to continue accessing aged care services. </w:t>
      </w:r>
      <w:r w:rsidR="00960A13" w:rsidRPr="009E1361">
        <w:t xml:space="preserve"> </w:t>
      </w:r>
    </w:p>
    <w:p w14:paraId="42427457" w14:textId="66D4B172" w:rsidR="000C51F9" w:rsidRDefault="00094769" w:rsidP="0088174B">
      <w:pPr>
        <w:pStyle w:val="ListParagraph"/>
        <w:numPr>
          <w:ilvl w:val="0"/>
          <w:numId w:val="479"/>
        </w:numPr>
        <w:spacing w:before="240" w:after="240" w:line="240" w:lineRule="auto"/>
      </w:pPr>
      <w:r>
        <w:t xml:space="preserve">If the client has pre-existing CHSP referrals in My Aged Care, and those services are approved in an assessment, the </w:t>
      </w:r>
      <w:r w:rsidRPr="0088174B">
        <w:rPr>
          <w:b/>
        </w:rPr>
        <w:t xml:space="preserve">referrals </w:t>
      </w:r>
      <w:r w:rsidR="00C15AC6" w:rsidRPr="0088174B">
        <w:rPr>
          <w:b/>
        </w:rPr>
        <w:t>must</w:t>
      </w:r>
      <w:r w:rsidRPr="0088174B">
        <w:rPr>
          <w:b/>
        </w:rPr>
        <w:t xml:space="preserve"> be reissued </w:t>
      </w:r>
      <w:r w:rsidR="00C15AC6" w:rsidRPr="0088174B">
        <w:rPr>
          <w:b/>
        </w:rPr>
        <w:t>by the assessor</w:t>
      </w:r>
      <w:r w:rsidRPr="0088174B">
        <w:rPr>
          <w:b/>
        </w:rPr>
        <w:t>.</w:t>
      </w:r>
    </w:p>
    <w:p w14:paraId="1F7B3146" w14:textId="3F7DFE40" w:rsidR="009B0152" w:rsidRDefault="000C51F9" w:rsidP="00B4136D">
      <w:pPr>
        <w:pStyle w:val="Boxwithcolouredkeyline"/>
        <w:shd w:val="clear" w:color="auto" w:fill="F2F2F2" w:themeFill="background1" w:themeFillShade="F2"/>
      </w:pPr>
      <w:r w:rsidRPr="00B4136D">
        <w:rPr>
          <w:b/>
        </w:rPr>
        <w:t>Note:</w:t>
      </w:r>
      <w:r>
        <w:t xml:space="preserve"> </w:t>
      </w:r>
      <w:r w:rsidR="000E53D6">
        <w:t>A</w:t>
      </w:r>
      <w:r w:rsidRPr="009E1361">
        <w:t xml:space="preserve">ssessors should not issue CHSP referral codes until </w:t>
      </w:r>
      <w:r w:rsidRPr="003927F9">
        <w:rPr>
          <w:i/>
        </w:rPr>
        <w:t>after</w:t>
      </w:r>
      <w:r w:rsidRPr="009E1361">
        <w:t xml:space="preserve"> the assessment delegate has approved the recommendation. This is because all CHSP services require assessment delegate approval.</w:t>
      </w:r>
    </w:p>
    <w:bookmarkEnd w:id="496"/>
    <w:bookmarkEnd w:id="497"/>
    <w:p w14:paraId="1A1AB9D0" w14:textId="7EEAC428" w:rsidR="1FA44779" w:rsidRDefault="1FA44779" w:rsidP="00A14157"/>
    <w:p w14:paraId="112FC76B" w14:textId="77777777" w:rsidR="00960A13" w:rsidRPr="009E1361" w:rsidRDefault="00960A13" w:rsidP="00C56CEC">
      <w:pPr>
        <w:pStyle w:val="H3"/>
      </w:pPr>
      <w:r w:rsidRPr="009E1361">
        <w:t xml:space="preserve">Hoarding &amp; </w:t>
      </w:r>
      <w:r>
        <w:t>s</w:t>
      </w:r>
      <w:r w:rsidRPr="009E1361">
        <w:t xml:space="preserve">qualor </w:t>
      </w:r>
      <w:r>
        <w:t>a</w:t>
      </w:r>
      <w:r w:rsidRPr="009E1361">
        <w:t>ssistance</w:t>
      </w:r>
    </w:p>
    <w:p w14:paraId="4471348E" w14:textId="547D708A" w:rsidR="00960A13" w:rsidRPr="009E1361" w:rsidRDefault="00161206" w:rsidP="00A14157">
      <w:pPr>
        <w:spacing w:before="240" w:after="240" w:line="240" w:lineRule="auto"/>
      </w:pPr>
      <w:r w:rsidRPr="00161206">
        <w:t>Hoarding and squalor assistance aims to support clients who are experiencing symptoms of hoarding disorder or are living in severe domestic squalor.</w:t>
      </w:r>
      <w:r>
        <w:t xml:space="preserve"> </w:t>
      </w:r>
      <w:r w:rsidRPr="00161206">
        <w:t xml:space="preserve">Under the CHSP it is intended these services are accessed by individuals on a low income, who are living with hoarding behaviour or in squalid conditions, and are at risk of homelessness. </w:t>
      </w:r>
      <w:r w:rsidR="00960A13" w:rsidRPr="009E1361">
        <w:t xml:space="preserve"> </w:t>
      </w:r>
    </w:p>
    <w:p w14:paraId="45FA01E7" w14:textId="5D04C679" w:rsidR="00960A13" w:rsidRPr="009E1361" w:rsidRDefault="00094AAF" w:rsidP="00A14157">
      <w:r>
        <w:rPr>
          <w:color w:val="000000"/>
        </w:rPr>
        <w:t>Note that</w:t>
      </w:r>
      <w:r w:rsidR="00570721">
        <w:rPr>
          <w:color w:val="000000"/>
        </w:rPr>
        <w:t xml:space="preserve"> </w:t>
      </w:r>
      <w:r w:rsidR="00D35AF5">
        <w:rPr>
          <w:color w:val="000000"/>
        </w:rPr>
        <w:t>people under 65 intend</w:t>
      </w:r>
      <w:r w:rsidR="00ED127D">
        <w:rPr>
          <w:color w:val="000000"/>
        </w:rPr>
        <w:t>ing</w:t>
      </w:r>
      <w:r w:rsidR="00D35AF5">
        <w:rPr>
          <w:color w:val="000000"/>
        </w:rPr>
        <w:t xml:space="preserve"> to access this service </w:t>
      </w:r>
      <w:r w:rsidR="00570721">
        <w:rPr>
          <w:color w:val="000000"/>
        </w:rPr>
        <w:t xml:space="preserve">must </w:t>
      </w:r>
      <w:r w:rsidR="00D35AF5">
        <w:rPr>
          <w:color w:val="000000"/>
        </w:rPr>
        <w:t xml:space="preserve">first </w:t>
      </w:r>
      <w:r w:rsidR="00570721">
        <w:rPr>
          <w:color w:val="000000"/>
        </w:rPr>
        <w:t xml:space="preserve">meet eligibility requirements under section 58 of the Act </w:t>
      </w:r>
      <w:r w:rsidR="003A40AB">
        <w:rPr>
          <w:color w:val="000000"/>
        </w:rPr>
        <w:t xml:space="preserve">and then be assessed for </w:t>
      </w:r>
      <w:r w:rsidR="00ED127D">
        <w:rPr>
          <w:color w:val="000000"/>
        </w:rPr>
        <w:t>ongoing home support.</w:t>
      </w:r>
    </w:p>
    <w:p w14:paraId="1973DDDA" w14:textId="0F3D886D" w:rsidR="00F83062" w:rsidRPr="00B4136D" w:rsidRDefault="00960A13" w:rsidP="00B4136D">
      <w:pPr>
        <w:pStyle w:val="Boxwithcolouredkeyline"/>
        <w:shd w:val="clear" w:color="auto" w:fill="F2F2F2" w:themeFill="background1" w:themeFillShade="F2"/>
        <w:rPr>
          <w:b/>
        </w:rPr>
      </w:pPr>
      <w:r w:rsidRPr="00B4136D">
        <w:rPr>
          <w:b/>
        </w:rPr>
        <w:t>Note:</w:t>
      </w:r>
    </w:p>
    <w:p w14:paraId="103AF103" w14:textId="19BF341A" w:rsidR="003927F9" w:rsidRDefault="008C1E8C" w:rsidP="00B4136D">
      <w:pPr>
        <w:pStyle w:val="Boxwithcolouredkeyline"/>
        <w:shd w:val="clear" w:color="auto" w:fill="F2F2F2" w:themeFill="background1" w:themeFillShade="F2"/>
      </w:pPr>
      <w:r>
        <w:t>New</w:t>
      </w:r>
      <w:r w:rsidR="00960A13" w:rsidRPr="006B2EF5">
        <w:t xml:space="preserve"> clients that are Aboriginal and Torres Strait Islander people who are 45-49 years old are no longer eligible to access </w:t>
      </w:r>
      <w:r w:rsidR="00960A13">
        <w:t>Ho</w:t>
      </w:r>
      <w:r w:rsidR="00BA29D4">
        <w:t>a</w:t>
      </w:r>
      <w:r w:rsidR="00960A13">
        <w:t>rding and Squalor assistance</w:t>
      </w:r>
      <w:r w:rsidR="00960A13" w:rsidRPr="006B2EF5">
        <w:t>.</w:t>
      </w:r>
    </w:p>
    <w:p w14:paraId="4B89D798" w14:textId="0A0A622E" w:rsidR="00960A13" w:rsidRPr="009E1361" w:rsidRDefault="00B5461F" w:rsidP="00A14157">
      <w:r w:rsidRPr="00A14157">
        <w:rPr>
          <w:color w:val="000000"/>
        </w:rPr>
        <w:t>Older people eligible for hoarding and squalor assistance keep their eligibility indefinitely and do not need reassessment, even after pausing services for years. They can also access other CHSP services aimed at reducing or preventing hoarding and squalor.</w:t>
      </w:r>
      <w:r>
        <w:rPr>
          <w:color w:val="000000"/>
        </w:rPr>
        <w:t xml:space="preserve"> </w:t>
      </w:r>
      <w:r w:rsidR="00960A13" w:rsidRPr="009E1361">
        <w:t> </w:t>
      </w:r>
    </w:p>
    <w:p w14:paraId="0220C534" w14:textId="58EE3994" w:rsidR="00960A13" w:rsidRPr="009E1361" w:rsidRDefault="00960A13" w:rsidP="00A677C9">
      <w:pPr>
        <w:spacing w:before="240" w:after="240" w:line="240" w:lineRule="auto"/>
      </w:pPr>
      <w:r w:rsidRPr="009E1361">
        <w:t xml:space="preserve">Assessment organisations </w:t>
      </w:r>
      <w:r w:rsidR="004A428B">
        <w:t>should</w:t>
      </w:r>
      <w:r w:rsidRPr="009E1361">
        <w:t xml:space="preserve"> work collaboratively with hoarding and squalor assistance service providers </w:t>
      </w:r>
      <w:r w:rsidR="00455168">
        <w:t>to ensure services match the p</w:t>
      </w:r>
      <w:r w:rsidR="00491ECE">
        <w:t xml:space="preserve">erson’s </w:t>
      </w:r>
      <w:r w:rsidRPr="009E1361">
        <w:t xml:space="preserve">particular circumstances. </w:t>
      </w:r>
      <w:r w:rsidR="006C7FB3">
        <w:t>S</w:t>
      </w:r>
      <w:r w:rsidRPr="009E1361">
        <w:t>ervices may include:</w:t>
      </w:r>
    </w:p>
    <w:p w14:paraId="3E3A0D58" w14:textId="77777777" w:rsidR="00960A13" w:rsidRPr="009E1361" w:rsidRDefault="00960A13" w:rsidP="007C2D29">
      <w:pPr>
        <w:numPr>
          <w:ilvl w:val="0"/>
          <w:numId w:val="184"/>
        </w:numPr>
        <w:spacing w:before="120" w:after="120" w:line="240" w:lineRule="auto"/>
        <w:ind w:left="714" w:hanging="357"/>
      </w:pPr>
      <w:r w:rsidRPr="009E1361">
        <w:t>one-off clean-ups </w:t>
      </w:r>
    </w:p>
    <w:p w14:paraId="541EBE50" w14:textId="5F2344D9" w:rsidR="00960A13" w:rsidRPr="009E1361" w:rsidRDefault="00960A13" w:rsidP="007C2D29">
      <w:pPr>
        <w:numPr>
          <w:ilvl w:val="0"/>
          <w:numId w:val="185"/>
        </w:numPr>
        <w:spacing w:before="120" w:after="120" w:line="240" w:lineRule="auto"/>
        <w:ind w:left="714" w:hanging="357"/>
      </w:pPr>
      <w:r w:rsidRPr="009E1361">
        <w:t>developing a client plan and reviewing care plans </w:t>
      </w:r>
    </w:p>
    <w:p w14:paraId="3A77EFA2" w14:textId="77777777" w:rsidR="00960A13" w:rsidRPr="009E1361" w:rsidRDefault="00960A13" w:rsidP="007C2D29">
      <w:pPr>
        <w:numPr>
          <w:ilvl w:val="0"/>
          <w:numId w:val="186"/>
        </w:numPr>
        <w:spacing w:before="120" w:after="120" w:line="240" w:lineRule="auto"/>
        <w:ind w:left="714" w:hanging="357"/>
      </w:pPr>
      <w:r w:rsidRPr="009E1361">
        <w:t>linking to specialist support services. </w:t>
      </w:r>
    </w:p>
    <w:p w14:paraId="4023F1E9" w14:textId="656E17A3" w:rsidR="00960A13" w:rsidRPr="009E1361" w:rsidRDefault="00964614" w:rsidP="00A677C9">
      <w:pPr>
        <w:spacing w:before="240" w:after="240" w:line="240" w:lineRule="auto"/>
      </w:pPr>
      <w:r>
        <w:t>A</w:t>
      </w:r>
      <w:r w:rsidR="00960A13" w:rsidRPr="009E1361">
        <w:t xml:space="preserve">ged care assessors </w:t>
      </w:r>
      <w:r w:rsidR="00F65ED4">
        <w:t xml:space="preserve">may also </w:t>
      </w:r>
      <w:r w:rsidR="00960A13" w:rsidRPr="009E1361">
        <w:t>refer suitable clients identified during the assessment process to care finders for further support. </w:t>
      </w:r>
    </w:p>
    <w:p w14:paraId="3E0456CE" w14:textId="6A6579E7" w:rsidR="00960A13" w:rsidRPr="009E1361" w:rsidRDefault="00960A13" w:rsidP="00A677C9">
      <w:pPr>
        <w:spacing w:before="240" w:after="240" w:line="240" w:lineRule="auto"/>
      </w:pPr>
      <w:r w:rsidRPr="009E1361">
        <w:t xml:space="preserve">Where there are significant changes in need or additional services needed, CHSP providers can request a </w:t>
      </w:r>
      <w:r w:rsidR="404CC3EF">
        <w:t>s</w:t>
      </w:r>
      <w:r>
        <w:t xml:space="preserve">upport </w:t>
      </w:r>
      <w:r w:rsidR="6A6E6299">
        <w:t>p</w:t>
      </w:r>
      <w:r>
        <w:t xml:space="preserve">lan </w:t>
      </w:r>
      <w:r w:rsidR="0C3070A8">
        <w:t>r</w:t>
      </w:r>
      <w:r w:rsidRPr="009E1361">
        <w:t xml:space="preserve">eview, which may lead to a </w:t>
      </w:r>
      <w:r w:rsidR="009B4B25">
        <w:t>re</w:t>
      </w:r>
      <w:r w:rsidRPr="009E1361">
        <w:t>assessment.</w:t>
      </w:r>
    </w:p>
    <w:p w14:paraId="4782EA89" w14:textId="27565BFD" w:rsidR="00960A13" w:rsidRPr="009E1361" w:rsidRDefault="00ED6B51" w:rsidP="00CC6081">
      <w:pPr>
        <w:pStyle w:val="H4"/>
      </w:pPr>
      <w:r>
        <w:t xml:space="preserve">Hoarding and squalor assistance </w:t>
      </w:r>
      <w:r w:rsidR="00DD7AC1">
        <w:t xml:space="preserve">does not include: </w:t>
      </w:r>
    </w:p>
    <w:p w14:paraId="046C7179" w14:textId="77777777" w:rsidR="00960A13" w:rsidRPr="009E1361" w:rsidRDefault="00960A13" w:rsidP="00DF3F6B">
      <w:pPr>
        <w:pStyle w:val="ListParagraph"/>
        <w:numPr>
          <w:ilvl w:val="0"/>
          <w:numId w:val="187"/>
        </w:numPr>
        <w:spacing w:before="240" w:after="240" w:line="240" w:lineRule="auto"/>
      </w:pPr>
      <w:r w:rsidRPr="009E1361">
        <w:t>Assessment (referrals) and advocacy services (financial, legal), unless targeted at avoiding or reducing the impact of hoarding and squalor situations.</w:t>
      </w:r>
    </w:p>
    <w:p w14:paraId="62BF7421" w14:textId="067B92CC" w:rsidR="00960A13" w:rsidRPr="009E1361" w:rsidRDefault="00960A13" w:rsidP="00DF3F6B">
      <w:pPr>
        <w:pStyle w:val="ListParagraph"/>
        <w:numPr>
          <w:ilvl w:val="0"/>
          <w:numId w:val="187"/>
        </w:numPr>
        <w:spacing w:before="240" w:after="240" w:line="240" w:lineRule="auto"/>
      </w:pPr>
      <w:r w:rsidRPr="009E1361">
        <w:t>Funding to purchase accommodation for clients.</w:t>
      </w:r>
    </w:p>
    <w:p w14:paraId="65D70328" w14:textId="64CA85DD" w:rsidR="00960A13" w:rsidRPr="009E1361" w:rsidRDefault="00960A13" w:rsidP="003E7BDF">
      <w:pPr>
        <w:spacing w:before="240" w:after="240" w:line="240" w:lineRule="auto"/>
      </w:pPr>
      <w:r w:rsidRPr="009E1361">
        <w:t xml:space="preserve">Hoarding and squalor clients </w:t>
      </w:r>
      <w:r w:rsidR="00BF205B">
        <w:t xml:space="preserve">do not pay </w:t>
      </w:r>
      <w:r w:rsidRPr="009E1361">
        <w:t>a client contribution towards their services.</w:t>
      </w:r>
    </w:p>
    <w:p w14:paraId="04A10853" w14:textId="1AA96E10" w:rsidR="00960A13" w:rsidRPr="009E1361" w:rsidRDefault="00960A13" w:rsidP="00C56CEC">
      <w:pPr>
        <w:pStyle w:val="H3"/>
        <w:rPr>
          <w:rFonts w:eastAsia="Times New Roman"/>
          <w:color w:val="0F4761"/>
          <w:sz w:val="18"/>
          <w:szCs w:val="18"/>
          <w:lang w:val="en-AU"/>
        </w:rPr>
      </w:pPr>
      <w:r w:rsidRPr="009E1361">
        <w:t>Understanding AT and HM under CHSP  </w:t>
      </w:r>
    </w:p>
    <w:p w14:paraId="30C9161F" w14:textId="477D2656" w:rsidR="00960A13" w:rsidRPr="009E1361" w:rsidRDefault="00A74215" w:rsidP="00A677C9">
      <w:pPr>
        <w:spacing w:before="240" w:after="240" w:line="240" w:lineRule="auto"/>
        <w:textAlignment w:val="baseline"/>
      </w:pPr>
      <w:r>
        <w:t>Equipment</w:t>
      </w:r>
      <w:r w:rsidR="00960A13" w:rsidRPr="009E1361">
        <w:t xml:space="preserve"> and </w:t>
      </w:r>
      <w:r>
        <w:t xml:space="preserve">products </w:t>
      </w:r>
      <w:r w:rsidR="00960A13" w:rsidRPr="009E1361">
        <w:t xml:space="preserve">and </w:t>
      </w:r>
      <w:r>
        <w:t>Home adjustment</w:t>
      </w:r>
      <w:r w:rsidR="00960A13" w:rsidRPr="009E1361">
        <w:t xml:space="preserve"> services </w:t>
      </w:r>
      <w:r>
        <w:t>are</w:t>
      </w:r>
      <w:r w:rsidR="00960A13" w:rsidRPr="009E1361">
        <w:t xml:space="preserve"> available to eligible people under the CHSP. </w:t>
      </w:r>
      <w:r w:rsidR="2AA99444">
        <w:t xml:space="preserve">There is no urgent service referral available for </w:t>
      </w:r>
      <w:r>
        <w:t xml:space="preserve">these </w:t>
      </w:r>
      <w:r w:rsidR="00564880">
        <w:t>services</w:t>
      </w:r>
      <w:r w:rsidR="2AA99444">
        <w:t xml:space="preserve"> through </w:t>
      </w:r>
      <w:r w:rsidR="00564880">
        <w:t xml:space="preserve">the </w:t>
      </w:r>
      <w:r w:rsidR="2AA99444">
        <w:t xml:space="preserve">CHSP. </w:t>
      </w:r>
      <w:r w:rsidR="006C4112">
        <w:t xml:space="preserve">Under the CHSP, </w:t>
      </w:r>
      <w:r w:rsidR="00564880">
        <w:t>Equipment</w:t>
      </w:r>
      <w:r w:rsidR="00451775">
        <w:t xml:space="preserve"> and products and Home adjustments</w:t>
      </w:r>
      <w:r w:rsidR="004C4B7E">
        <w:t xml:space="preserve"> are separate services and </w:t>
      </w:r>
      <w:r w:rsidR="00864893">
        <w:t xml:space="preserve">described in </w:t>
      </w:r>
      <w:r w:rsidR="00960A13" w:rsidRPr="009E1361">
        <w:t xml:space="preserve">the CHSP service catalogue </w:t>
      </w:r>
      <w:r w:rsidR="00864893">
        <w:t>as</w:t>
      </w:r>
      <w:r w:rsidR="00960A13" w:rsidRPr="009E1361">
        <w:t>: </w:t>
      </w:r>
    </w:p>
    <w:p w14:paraId="7AF5ED25" w14:textId="77777777" w:rsidR="00864893" w:rsidRPr="009E1361" w:rsidRDefault="00864893" w:rsidP="00864893">
      <w:pPr>
        <w:pStyle w:val="ListParagraph"/>
        <w:numPr>
          <w:ilvl w:val="0"/>
          <w:numId w:val="161"/>
        </w:numPr>
        <w:spacing w:before="240" w:after="240" w:line="240" w:lineRule="auto"/>
      </w:pPr>
      <w:r w:rsidRPr="009E1361">
        <w:t>Equipment and products: subsidised low-cost assistive technology and products up to $1,000 per year. </w:t>
      </w:r>
    </w:p>
    <w:p w14:paraId="517E0A02" w14:textId="77777777" w:rsidR="00637BEB" w:rsidRPr="009E1361" w:rsidRDefault="00637BEB" w:rsidP="003E37D3">
      <w:pPr>
        <w:pStyle w:val="ListParagraph"/>
        <w:spacing w:before="240" w:after="240" w:line="240" w:lineRule="auto"/>
      </w:pPr>
    </w:p>
    <w:p w14:paraId="2D625F0E" w14:textId="77777777" w:rsidR="00960A13" w:rsidRPr="009E1361" w:rsidRDefault="00960A13" w:rsidP="00DF3F6B">
      <w:pPr>
        <w:pStyle w:val="ListParagraph"/>
        <w:numPr>
          <w:ilvl w:val="0"/>
          <w:numId w:val="161"/>
        </w:numPr>
        <w:spacing w:before="240" w:after="240" w:line="240" w:lineRule="auto"/>
      </w:pPr>
      <w:r w:rsidRPr="009E1361">
        <w:t>Home adjustments: subsidised home modification services up to $15,000 per year. </w:t>
      </w:r>
    </w:p>
    <w:p w14:paraId="4A9F1A22" w14:textId="7CE2CBCF" w:rsidR="00960A13" w:rsidRPr="009E1361" w:rsidRDefault="00960A13" w:rsidP="00A677C9">
      <w:pPr>
        <w:spacing w:before="240" w:after="240" w:line="240" w:lineRule="auto"/>
        <w:textAlignment w:val="baseline"/>
      </w:pPr>
      <w:r w:rsidRPr="009E1361">
        <w:t xml:space="preserve">To access these services </w:t>
      </w:r>
      <w:r w:rsidR="00E917FC">
        <w:t xml:space="preserve">through the CHSP, </w:t>
      </w:r>
      <w:r w:rsidRPr="009E1361">
        <w:t>eligible people will be approved for: </w:t>
      </w:r>
    </w:p>
    <w:p w14:paraId="54BA5BCC" w14:textId="77777777" w:rsidR="00960A13" w:rsidRPr="009E1361" w:rsidRDefault="00960A13" w:rsidP="00DF3F6B">
      <w:pPr>
        <w:pStyle w:val="ListParagraph"/>
        <w:numPr>
          <w:ilvl w:val="0"/>
          <w:numId w:val="161"/>
        </w:numPr>
        <w:spacing w:before="240" w:after="240" w:line="240" w:lineRule="auto"/>
      </w:pPr>
      <w:r w:rsidRPr="009E1361">
        <w:t>the Home Support Service group with a classification level CHSP class, and </w:t>
      </w:r>
    </w:p>
    <w:p w14:paraId="0C608BF6" w14:textId="08E109D6" w:rsidR="00960A13" w:rsidRPr="009E1361" w:rsidRDefault="00960A13" w:rsidP="00DF3F6B">
      <w:pPr>
        <w:pStyle w:val="ListParagraph"/>
        <w:numPr>
          <w:ilvl w:val="0"/>
          <w:numId w:val="161"/>
        </w:numPr>
        <w:spacing w:before="240" w:after="240" w:line="240" w:lineRule="auto"/>
      </w:pPr>
      <w:r w:rsidRPr="009E1361">
        <w:t>the Assistive technology service group with a classification level of AT CHSP or </w:t>
      </w:r>
    </w:p>
    <w:p w14:paraId="0B1761DA" w14:textId="2911E2EF" w:rsidR="00960A13" w:rsidRPr="009E1361" w:rsidRDefault="00960A13" w:rsidP="007A20CA">
      <w:pPr>
        <w:pStyle w:val="ListParagraph"/>
        <w:numPr>
          <w:ilvl w:val="0"/>
          <w:numId w:val="161"/>
        </w:numPr>
        <w:spacing w:before="240" w:after="240" w:line="240" w:lineRule="auto"/>
      </w:pPr>
      <w:r w:rsidRPr="009E1361">
        <w:t>the Home adjustment service group with a classification level of HM CHSP. </w:t>
      </w:r>
    </w:p>
    <w:p w14:paraId="0045FD7C" w14:textId="77777777" w:rsidR="002327C2" w:rsidRPr="0003231B" w:rsidRDefault="00960A13" w:rsidP="00D9682B">
      <w:pPr>
        <w:pStyle w:val="Boxwithcolouredkeyline"/>
        <w:shd w:val="clear" w:color="auto" w:fill="F2F2F2" w:themeFill="background1" w:themeFillShade="F2"/>
        <w:rPr>
          <w:bCs/>
        </w:rPr>
      </w:pPr>
      <w:r w:rsidRPr="00005E87">
        <w:t>Note</w:t>
      </w:r>
      <w:r w:rsidR="002327C2">
        <w:rPr>
          <w:bCs/>
        </w:rPr>
        <w:t>:</w:t>
      </w:r>
    </w:p>
    <w:p w14:paraId="0D0F6CDA" w14:textId="18432FCF" w:rsidR="00960A13" w:rsidRPr="009E1361" w:rsidRDefault="003B0006" w:rsidP="00D9682B">
      <w:pPr>
        <w:pStyle w:val="Boxwithcolouredkeyline"/>
        <w:shd w:val="clear" w:color="auto" w:fill="F2F2F2" w:themeFill="background1" w:themeFillShade="F2"/>
      </w:pPr>
      <w:r>
        <w:t xml:space="preserve">AT and HM services under CHSP </w:t>
      </w:r>
      <w:r w:rsidR="00794B02">
        <w:t xml:space="preserve">do not get allocated a </w:t>
      </w:r>
      <w:r w:rsidR="00960A13" w:rsidRPr="00950290">
        <w:t xml:space="preserve">funding tier </w:t>
      </w:r>
      <w:r w:rsidR="00630E3E">
        <w:t>like there is</w:t>
      </w:r>
      <w:r w:rsidR="00441211">
        <w:t xml:space="preserve"> </w:t>
      </w:r>
      <w:r w:rsidR="00E06ED1">
        <w:t xml:space="preserve">under </w:t>
      </w:r>
      <w:r w:rsidR="00960A13" w:rsidRPr="00950290">
        <w:t>the Support at Home AT-HM scheme.</w:t>
      </w:r>
      <w:r w:rsidR="00960A13" w:rsidRPr="009E1361">
        <w:t> </w:t>
      </w:r>
    </w:p>
    <w:p w14:paraId="23CF8FBC" w14:textId="0EFB2987" w:rsidR="00960A13" w:rsidRPr="009E1361" w:rsidRDefault="00960A13" w:rsidP="00A677C9">
      <w:pPr>
        <w:spacing w:before="240" w:after="240" w:line="240" w:lineRule="auto"/>
        <w:textAlignment w:val="baseline"/>
      </w:pPr>
      <w:r w:rsidRPr="009E1361">
        <w:t xml:space="preserve">The Notice of Decision template (described in detail </w:t>
      </w:r>
      <w:r w:rsidR="00D9682B">
        <w:t xml:space="preserve">in a </w:t>
      </w:r>
      <w:r w:rsidRPr="009E1361">
        <w:t>later</w:t>
      </w:r>
      <w:r w:rsidR="00D9682B">
        <w:t xml:space="preserve"> chapter</w:t>
      </w:r>
      <w:r w:rsidRPr="009E1361">
        <w:t>) will prompt you to ensure the correct approvals are included</w:t>
      </w:r>
      <w:r w:rsidR="000D532F">
        <w:t xml:space="preserve"> for </w:t>
      </w:r>
      <w:r w:rsidR="00433C29">
        <w:t>AT CHSP and HM CHSP</w:t>
      </w:r>
      <w:r w:rsidRPr="009E1361">
        <w:t>. </w:t>
      </w:r>
    </w:p>
    <w:p w14:paraId="67D4D51D" w14:textId="77777777" w:rsidR="00960A13" w:rsidRPr="009E1361" w:rsidRDefault="00960A13" w:rsidP="00A677C9">
      <w:pPr>
        <w:spacing w:before="240" w:after="240" w:line="240" w:lineRule="auto"/>
        <w:textAlignment w:val="baseline"/>
      </w:pPr>
      <w:r w:rsidRPr="009E1361">
        <w:t>Equipment and products </w:t>
      </w:r>
    </w:p>
    <w:p w14:paraId="6B00B7C9" w14:textId="77777777" w:rsidR="00960A13" w:rsidRPr="009E1361" w:rsidRDefault="00960A13" w:rsidP="00DF3F6B">
      <w:pPr>
        <w:numPr>
          <w:ilvl w:val="0"/>
          <w:numId w:val="181"/>
        </w:numPr>
        <w:spacing w:before="120" w:after="120" w:line="240" w:lineRule="auto"/>
        <w:ind w:left="714" w:hanging="357"/>
        <w:textAlignment w:val="baseline"/>
      </w:pPr>
      <w:r w:rsidRPr="009E1361">
        <w:t>Self-care products </w:t>
      </w:r>
    </w:p>
    <w:p w14:paraId="15979CB3" w14:textId="77777777" w:rsidR="00960A13" w:rsidRPr="009E1361" w:rsidRDefault="00960A13" w:rsidP="00DF3F6B">
      <w:pPr>
        <w:numPr>
          <w:ilvl w:val="0"/>
          <w:numId w:val="181"/>
        </w:numPr>
        <w:spacing w:before="120" w:after="120" w:line="240" w:lineRule="auto"/>
        <w:ind w:left="714" w:hanging="357"/>
        <w:textAlignment w:val="baseline"/>
      </w:pPr>
      <w:r w:rsidRPr="009E1361">
        <w:t>Mobility products </w:t>
      </w:r>
    </w:p>
    <w:p w14:paraId="74632A1C" w14:textId="77777777" w:rsidR="00960A13" w:rsidRPr="009E1361" w:rsidRDefault="00960A13" w:rsidP="00DF3F6B">
      <w:pPr>
        <w:numPr>
          <w:ilvl w:val="0"/>
          <w:numId w:val="181"/>
        </w:numPr>
        <w:spacing w:before="120" w:after="120" w:line="240" w:lineRule="auto"/>
        <w:ind w:left="714" w:hanging="357"/>
        <w:textAlignment w:val="baseline"/>
      </w:pPr>
      <w:r w:rsidRPr="009E1361">
        <w:t>Domestic life products </w:t>
      </w:r>
    </w:p>
    <w:p w14:paraId="1B535F06" w14:textId="77777777" w:rsidR="00960A13" w:rsidRPr="009E1361" w:rsidRDefault="00960A13" w:rsidP="00DF3F6B">
      <w:pPr>
        <w:numPr>
          <w:ilvl w:val="0"/>
          <w:numId w:val="181"/>
        </w:numPr>
        <w:spacing w:before="120" w:after="120" w:line="240" w:lineRule="auto"/>
        <w:ind w:left="714" w:hanging="357"/>
        <w:textAlignment w:val="baseline"/>
      </w:pPr>
      <w:r w:rsidRPr="009E1361">
        <w:t>Communication and information management products </w:t>
      </w:r>
    </w:p>
    <w:p w14:paraId="68711D8D" w14:textId="77777777" w:rsidR="00960A13" w:rsidRPr="009E1361" w:rsidRDefault="00960A13" w:rsidP="00DF3F6B">
      <w:pPr>
        <w:numPr>
          <w:ilvl w:val="0"/>
          <w:numId w:val="181"/>
        </w:numPr>
        <w:spacing w:before="120" w:after="120" w:line="240" w:lineRule="auto"/>
        <w:ind w:left="714" w:hanging="357"/>
        <w:textAlignment w:val="baseline"/>
      </w:pPr>
      <w:r w:rsidRPr="009E1361">
        <w:t>Managing body functions </w:t>
      </w:r>
    </w:p>
    <w:p w14:paraId="2D710B78" w14:textId="797D9861" w:rsidR="00960A13" w:rsidRPr="009E1361" w:rsidRDefault="00960A13" w:rsidP="00A677C9">
      <w:pPr>
        <w:spacing w:before="240" w:after="240" w:line="240" w:lineRule="auto"/>
        <w:textAlignment w:val="baseline"/>
      </w:pPr>
      <w:r w:rsidRPr="009E1361">
        <w:t> Home adjustments </w:t>
      </w:r>
    </w:p>
    <w:p w14:paraId="64D1CD50" w14:textId="77777777" w:rsidR="00960A13" w:rsidRPr="009E1361" w:rsidRDefault="00960A13" w:rsidP="00DF3F6B">
      <w:pPr>
        <w:pStyle w:val="ListParagraph"/>
        <w:numPr>
          <w:ilvl w:val="0"/>
          <w:numId w:val="182"/>
        </w:numPr>
        <w:spacing w:before="240" w:after="240" w:line="240" w:lineRule="auto"/>
        <w:textAlignment w:val="baseline"/>
      </w:pPr>
      <w:r w:rsidRPr="009E1361">
        <w:t>Home modifications </w:t>
      </w:r>
    </w:p>
    <w:p w14:paraId="5DFD728E" w14:textId="22F66EF8" w:rsidR="008912C3" w:rsidRDefault="00960A13" w:rsidP="00C56CEC">
      <w:pPr>
        <w:pStyle w:val="H3"/>
      </w:pPr>
      <w:r w:rsidRPr="009E1361">
        <w:t> </w:t>
      </w:r>
      <w:bookmarkStart w:id="498" w:name="_Ref212738069"/>
      <w:r w:rsidR="008912C3" w:rsidRPr="009E1361">
        <w:t xml:space="preserve">Interactions </w:t>
      </w:r>
      <w:r w:rsidR="008912C3">
        <w:t>between CHSP and</w:t>
      </w:r>
      <w:r w:rsidR="008912C3" w:rsidRPr="009E1361">
        <w:t xml:space="preserve"> other programs</w:t>
      </w:r>
      <w:bookmarkEnd w:id="498"/>
    </w:p>
    <w:p w14:paraId="7EF8700C" w14:textId="6B810E1C" w:rsidR="003C158E" w:rsidRDefault="003C158E" w:rsidP="00A677C9">
      <w:pPr>
        <w:spacing w:before="240" w:after="240" w:line="240" w:lineRule="auto"/>
      </w:pPr>
      <w:r w:rsidRPr="00DF62EC">
        <w:t xml:space="preserve">There are limited circumstances where a person can access CHSP services </w:t>
      </w:r>
      <w:r>
        <w:t xml:space="preserve">in addition to </w:t>
      </w:r>
      <w:r w:rsidRPr="009E1361">
        <w:t>other government funded services</w:t>
      </w:r>
      <w:r>
        <w:t xml:space="preserve">, detailed in tables 29 and </w:t>
      </w:r>
      <w:r w:rsidR="00674CAD">
        <w:t>30</w:t>
      </w:r>
      <w:r>
        <w:t xml:space="preserve"> below</w:t>
      </w:r>
      <w:r w:rsidRPr="009E1361">
        <w:t xml:space="preserve">. </w:t>
      </w:r>
    </w:p>
    <w:p w14:paraId="1BEF693C" w14:textId="20E81190" w:rsidR="003C158E" w:rsidRDefault="003C158E" w:rsidP="00A677C9">
      <w:pPr>
        <w:spacing w:before="240" w:after="240" w:line="240" w:lineRule="auto"/>
      </w:pPr>
      <w:r>
        <w:t xml:space="preserve">Services should not be duplicative. </w:t>
      </w:r>
      <w:r w:rsidR="00960A13" w:rsidRPr="009E1361">
        <w:t xml:space="preserve">For example, if a client has access to domestic assistance from the Veterans’ Home Care Program, they cannot access </w:t>
      </w:r>
      <w:r w:rsidR="00BF0D2E">
        <w:t>d</w:t>
      </w:r>
      <w:r w:rsidR="00960A13" w:rsidRPr="009E1361">
        <w:t>omestic assistance through the CHSP at the same time.</w:t>
      </w:r>
      <w:r w:rsidRPr="009E1361">
        <w:t xml:space="preserve"> </w:t>
      </w:r>
    </w:p>
    <w:p w14:paraId="37CBA5C5" w14:textId="0787029B" w:rsidR="00EB4569" w:rsidRDefault="635881D0" w:rsidP="652B20F0">
      <w:pPr>
        <w:spacing w:before="240" w:after="240" w:line="240" w:lineRule="auto"/>
        <w:rPr>
          <w:rFonts w:eastAsia="Arial"/>
          <w:szCs w:val="22"/>
        </w:rPr>
      </w:pPr>
      <w:r w:rsidRPr="652B20F0">
        <w:rPr>
          <w:rFonts w:eastAsia="Arial"/>
          <w:szCs w:val="22"/>
        </w:rPr>
        <w:t>New entrants to the aged care system are not able to take up any AT or HM services though CHSP, while awaiting funding under Support at Home, for the AT-HM scheme.</w:t>
      </w:r>
    </w:p>
    <w:p w14:paraId="05ADEE85" w14:textId="1AE6BEAA" w:rsidR="00EB4569" w:rsidRDefault="00EB4569" w:rsidP="00323A64">
      <w:pPr>
        <w:spacing w:before="240" w:after="240" w:line="240" w:lineRule="auto"/>
        <w:rPr>
          <w:lang w:val="en-AU"/>
        </w:rPr>
      </w:pPr>
      <w:r>
        <w:rPr>
          <w:lang w:val="en-AU"/>
        </w:rPr>
        <w:t xml:space="preserve">Current </w:t>
      </w:r>
      <w:r w:rsidRPr="00EB4569">
        <w:rPr>
          <w:lang w:val="en-AU"/>
        </w:rPr>
        <w:t xml:space="preserve">CHSP participants can continue to access CHSP services </w:t>
      </w:r>
      <w:r w:rsidR="20E3A8D4" w:rsidRPr="652B20F0">
        <w:rPr>
          <w:lang w:val="en-AU"/>
        </w:rPr>
        <w:t>they are already approved for</w:t>
      </w:r>
      <w:r w:rsidRPr="652B20F0">
        <w:rPr>
          <w:lang w:val="en-AU"/>
        </w:rPr>
        <w:t xml:space="preserve"> </w:t>
      </w:r>
      <w:r w:rsidRPr="00EB4569">
        <w:rPr>
          <w:lang w:val="en-AU"/>
        </w:rPr>
        <w:t xml:space="preserve">including </w:t>
      </w:r>
      <w:r w:rsidR="2745903F" w:rsidRPr="652B20F0">
        <w:rPr>
          <w:lang w:val="en-AU"/>
        </w:rPr>
        <w:t>CHSP AT-HM</w:t>
      </w:r>
      <w:r w:rsidRPr="652B20F0">
        <w:rPr>
          <w:lang w:val="en-AU"/>
        </w:rPr>
        <w:t xml:space="preserve"> </w:t>
      </w:r>
      <w:r w:rsidR="70557822" w:rsidRPr="652B20F0">
        <w:rPr>
          <w:lang w:val="en-AU"/>
        </w:rPr>
        <w:t>(</w:t>
      </w:r>
      <w:r w:rsidRPr="00EB4569">
        <w:rPr>
          <w:lang w:val="en-AU"/>
        </w:rPr>
        <w:t xml:space="preserve">equipment and products and home adjustments) while awaiting </w:t>
      </w:r>
      <w:r w:rsidR="7847A2C1" w:rsidRPr="652B20F0">
        <w:rPr>
          <w:lang w:val="en-AU"/>
        </w:rPr>
        <w:t xml:space="preserve">for </w:t>
      </w:r>
      <w:r w:rsidRPr="00EB4569">
        <w:rPr>
          <w:lang w:val="en-AU"/>
        </w:rPr>
        <w:t xml:space="preserve">funding </w:t>
      </w:r>
      <w:r w:rsidR="7847A2C1" w:rsidRPr="652B20F0">
        <w:rPr>
          <w:lang w:val="en-AU"/>
        </w:rPr>
        <w:t xml:space="preserve">to be approved </w:t>
      </w:r>
      <w:r w:rsidRPr="00EB4569">
        <w:rPr>
          <w:lang w:val="en-AU"/>
        </w:rPr>
        <w:t xml:space="preserve">under </w:t>
      </w:r>
      <w:r w:rsidR="13496E90" w:rsidRPr="652B20F0">
        <w:rPr>
          <w:lang w:val="en-AU"/>
        </w:rPr>
        <w:t xml:space="preserve">the </w:t>
      </w:r>
      <w:r w:rsidRPr="00EB4569">
        <w:rPr>
          <w:lang w:val="en-AU"/>
        </w:rPr>
        <w:t>Support at Home</w:t>
      </w:r>
      <w:r w:rsidR="0075798C">
        <w:rPr>
          <w:lang w:val="en-AU"/>
        </w:rPr>
        <w:t xml:space="preserve"> </w:t>
      </w:r>
      <w:r w:rsidRPr="652B20F0">
        <w:rPr>
          <w:lang w:val="en-AU"/>
        </w:rPr>
        <w:t xml:space="preserve">AT-HM </w:t>
      </w:r>
      <w:r w:rsidR="6B0DB729" w:rsidRPr="652B20F0">
        <w:rPr>
          <w:lang w:val="en-AU"/>
        </w:rPr>
        <w:t>scheme</w:t>
      </w:r>
      <w:r w:rsidRPr="00EB4569">
        <w:rPr>
          <w:lang w:val="en-AU"/>
        </w:rPr>
        <w:t xml:space="preserve">. Once </w:t>
      </w:r>
      <w:r w:rsidR="7295CDE8" w:rsidRPr="652B20F0">
        <w:rPr>
          <w:lang w:val="en-AU"/>
        </w:rPr>
        <w:t>AT-HM</w:t>
      </w:r>
      <w:r w:rsidRPr="652B20F0">
        <w:rPr>
          <w:lang w:val="en-AU"/>
        </w:rPr>
        <w:t xml:space="preserve"> </w:t>
      </w:r>
      <w:r w:rsidR="1A60493A" w:rsidRPr="652B20F0">
        <w:rPr>
          <w:lang w:val="en-AU"/>
        </w:rPr>
        <w:t xml:space="preserve">Support at Home </w:t>
      </w:r>
      <w:r w:rsidRPr="00EB4569">
        <w:rPr>
          <w:lang w:val="en-AU"/>
        </w:rPr>
        <w:t>funding is approved</w:t>
      </w:r>
      <w:r w:rsidR="1A60493A" w:rsidRPr="652B20F0">
        <w:rPr>
          <w:lang w:val="en-AU"/>
        </w:rPr>
        <w:t xml:space="preserve"> and funding has been accepted and allocated</w:t>
      </w:r>
      <w:r w:rsidRPr="652B20F0">
        <w:rPr>
          <w:lang w:val="en-AU"/>
        </w:rPr>
        <w:t xml:space="preserve">, </w:t>
      </w:r>
      <w:r w:rsidR="411994A0" w:rsidRPr="652B20F0">
        <w:rPr>
          <w:lang w:val="en-AU"/>
        </w:rPr>
        <w:t>participants</w:t>
      </w:r>
      <w:r w:rsidRPr="652B20F0">
        <w:rPr>
          <w:lang w:val="en-AU"/>
        </w:rPr>
        <w:t xml:space="preserve"> </w:t>
      </w:r>
      <w:r w:rsidRPr="00EB4569">
        <w:rPr>
          <w:lang w:val="en-AU"/>
        </w:rPr>
        <w:t>will no longer be able to access these services under CHSP.</w:t>
      </w:r>
    </w:p>
    <w:p w14:paraId="31CFFDFD" w14:textId="2038A753" w:rsidR="24C0E0DD" w:rsidRDefault="24C0E0DD" w:rsidP="02182358">
      <w:pPr>
        <w:spacing w:before="240" w:after="240" w:line="240" w:lineRule="auto"/>
      </w:pPr>
      <w:r w:rsidRPr="02182358">
        <w:rPr>
          <w:rFonts w:eastAsia="Arial"/>
          <w:szCs w:val="22"/>
          <w:lang w:val="en-AU"/>
        </w:rPr>
        <w:t>Older people may choose to seek services for SaH ongoing whilst not seeking services for AT-HM and vice versa. Seeking services for AT and HM are also separate from each other. This means, if approved for both AT and HM, the older person may seek services for AT whilst not seeking services for HM and vice versa. Older people can request to be set as ‘seeking services’ or ‘not seeking services’ at any point. This can be done by contacting My Aged Care, or by using the My Aged Care Online Account</w:t>
      </w:r>
      <w:r w:rsidR="00C5559F" w:rsidRPr="02182358">
        <w:rPr>
          <w:rFonts w:eastAsia="Arial"/>
          <w:szCs w:val="22"/>
          <w:lang w:val="en-AU"/>
        </w:rPr>
        <w:t xml:space="preserve">. </w:t>
      </w:r>
    </w:p>
    <w:p w14:paraId="4D5CD11A" w14:textId="3B0F46D5" w:rsidR="001936FD" w:rsidRPr="007317EF" w:rsidRDefault="001936FD" w:rsidP="00A677C9">
      <w:pPr>
        <w:pStyle w:val="Caption"/>
        <w:spacing w:before="240" w:after="240"/>
      </w:pPr>
      <w:r>
        <w:t>Table 2</w:t>
      </w:r>
      <w:r w:rsidR="000C7B48">
        <w:t>9</w:t>
      </w:r>
      <w:r>
        <w:t xml:space="preserve">. Guide to approval for concurrent access to CHSP services with </w:t>
      </w:r>
      <w:r w:rsidR="00AE1BD5">
        <w:t>other government funded services</w:t>
      </w:r>
    </w:p>
    <w:tbl>
      <w:tblPr>
        <w:tblW w:w="9015" w:type="dxa"/>
        <w:tblLayout w:type="fixed"/>
        <w:tblLook w:val="04A0" w:firstRow="1" w:lastRow="0" w:firstColumn="1" w:lastColumn="0" w:noHBand="0" w:noVBand="1"/>
        <w:tblCaption w:val="Guide to approval for concurrent access to CHSP services with other government funded services"/>
      </w:tblPr>
      <w:tblGrid>
        <w:gridCol w:w="2770"/>
        <w:gridCol w:w="6245"/>
      </w:tblGrid>
      <w:tr w:rsidR="001936FD" w:rsidRPr="009E1361" w14:paraId="64332812" w14:textId="77777777">
        <w:trPr>
          <w:trHeight w:val="300"/>
          <w:tblHeader/>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7CCEC049" w14:textId="13D9F0D1" w:rsidR="001936FD" w:rsidRPr="006E4B76" w:rsidRDefault="001936FD" w:rsidP="00A677C9">
            <w:pPr>
              <w:spacing w:before="240" w:after="240" w:line="240" w:lineRule="auto"/>
              <w:rPr>
                <w:rFonts w:eastAsia="Arial"/>
                <w:b/>
                <w:szCs w:val="22"/>
              </w:rPr>
            </w:pPr>
            <w:r>
              <w:rPr>
                <w:rFonts w:eastAsia="Arial"/>
                <w:b/>
                <w:szCs w:val="22"/>
              </w:rPr>
              <w:t>Program</w:t>
            </w:r>
          </w:p>
        </w:tc>
        <w:tc>
          <w:tcPr>
            <w:tcW w:w="6245"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22B3BBAA" w14:textId="77777777" w:rsidR="001936FD" w:rsidRPr="006E4B76" w:rsidRDefault="001936FD" w:rsidP="00A677C9">
            <w:pPr>
              <w:spacing w:before="240" w:after="240" w:line="240" w:lineRule="auto"/>
              <w:rPr>
                <w:rFonts w:eastAsia="Arial"/>
                <w:b/>
                <w:szCs w:val="22"/>
              </w:rPr>
            </w:pPr>
            <w:r w:rsidRPr="006E4B76">
              <w:rPr>
                <w:rFonts w:eastAsia="Arial"/>
                <w:b/>
                <w:szCs w:val="22"/>
              </w:rPr>
              <w:t>Can participant access CHSP services?</w:t>
            </w:r>
          </w:p>
        </w:tc>
      </w:tr>
      <w:tr w:rsidR="001936FD" w:rsidRPr="009E1361" w14:paraId="6DBC2282" w14:textId="77777777" w:rsidTr="00337D1F">
        <w:trPr>
          <w:trHeight w:val="87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1995270A" w14:textId="2AF8303C" w:rsidR="001936FD" w:rsidRPr="00DF13B1" w:rsidRDefault="001936FD" w:rsidP="00A677C9">
            <w:pPr>
              <w:spacing w:before="240" w:after="240" w:line="240" w:lineRule="auto"/>
              <w:rPr>
                <w:rFonts w:eastAsia="Arial"/>
                <w:b/>
                <w:bCs/>
                <w:szCs w:val="22"/>
              </w:rPr>
            </w:pPr>
            <w:r w:rsidRPr="009F587B">
              <w:rPr>
                <w:b/>
                <w:bCs/>
                <w:color w:val="FFFFFF" w:themeColor="background1"/>
              </w:rPr>
              <w:t>Support at Home participants (including Restorative Care Pathway and End-of-Life Pathway)</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0A075EB6" w14:textId="648A218F" w:rsidR="001936FD" w:rsidRDefault="001936FD" w:rsidP="00A677C9">
            <w:pPr>
              <w:spacing w:before="240" w:after="240" w:line="240" w:lineRule="auto"/>
              <w:rPr>
                <w:rFonts w:eastAsia="Arial"/>
                <w:szCs w:val="22"/>
              </w:rPr>
            </w:pPr>
            <w:r w:rsidRPr="00DF13B1">
              <w:rPr>
                <w:rFonts w:eastAsia="Arial"/>
                <w:szCs w:val="22"/>
              </w:rPr>
              <w:t>There are f</w:t>
            </w:r>
            <w:r w:rsidR="00EE3917">
              <w:rPr>
                <w:rFonts w:eastAsia="Arial"/>
                <w:szCs w:val="22"/>
              </w:rPr>
              <w:t>ive</w:t>
            </w:r>
            <w:r w:rsidRPr="00DF13B1">
              <w:rPr>
                <w:rFonts w:eastAsia="Arial"/>
                <w:szCs w:val="22"/>
              </w:rPr>
              <w:t xml:space="preserve"> circumstances where a Support at Home participant can access additional services through the CHSP. </w:t>
            </w:r>
          </w:p>
          <w:p w14:paraId="57C928CF" w14:textId="77777777" w:rsidR="001936FD" w:rsidRPr="00DF13B1" w:rsidRDefault="001936FD" w:rsidP="00A677C9">
            <w:pPr>
              <w:spacing w:before="240" w:after="240" w:line="240" w:lineRule="auto"/>
              <w:rPr>
                <w:rFonts w:eastAsia="Arial"/>
                <w:szCs w:val="22"/>
              </w:rPr>
            </w:pPr>
            <w:r w:rsidRPr="00DF13B1">
              <w:rPr>
                <w:rFonts w:eastAsia="Arial"/>
                <w:szCs w:val="22"/>
              </w:rPr>
              <w:t>These are:</w:t>
            </w:r>
          </w:p>
          <w:p w14:paraId="4AF92C56" w14:textId="35D00585" w:rsidR="00306FA3" w:rsidRPr="001B76E8" w:rsidRDefault="001936FD" w:rsidP="00427F73">
            <w:pPr>
              <w:spacing w:before="240" w:after="0" w:line="240" w:lineRule="auto"/>
              <w:rPr>
                <w:rFonts w:eastAsia="Arial"/>
                <w:szCs w:val="22"/>
              </w:rPr>
            </w:pPr>
            <w:r w:rsidRPr="001B76E8">
              <w:rPr>
                <w:rFonts w:eastAsia="Arial"/>
                <w:szCs w:val="22"/>
              </w:rPr>
              <w:t>1. Pre-existing CHSP social support group</w:t>
            </w:r>
            <w:r w:rsidRPr="001B76E8">
              <w:rPr>
                <w:rFonts w:eastAsia="Arial"/>
                <w:szCs w:val="22"/>
              </w:rPr>
              <w:br/>
              <w:t>2. Hoarding and Squalor</w:t>
            </w:r>
            <w:r w:rsidRPr="001B76E8">
              <w:rPr>
                <w:rFonts w:eastAsia="Arial"/>
                <w:szCs w:val="22"/>
              </w:rPr>
              <w:br/>
              <w:t>3. Cottage respite, Community and centre-based respite and Flexible respite</w:t>
            </w:r>
            <w:r w:rsidRPr="001B76E8">
              <w:rPr>
                <w:rFonts w:eastAsia="Arial"/>
                <w:szCs w:val="22"/>
              </w:rPr>
              <w:br/>
              <w:t>4. Emergency Access</w:t>
            </w:r>
          </w:p>
          <w:p w14:paraId="0FF756FC" w14:textId="04EDBEC6" w:rsidR="00306FA3" w:rsidRDefault="00290E83" w:rsidP="00F776E2">
            <w:pPr>
              <w:pStyle w:val="ListParagraph"/>
              <w:numPr>
                <w:ilvl w:val="0"/>
                <w:numId w:val="511"/>
              </w:numPr>
              <w:spacing w:after="240" w:line="240" w:lineRule="auto"/>
              <w:ind w:left="277" w:hanging="284"/>
              <w:rPr>
                <w:rFonts w:eastAsia="Arial"/>
                <w:szCs w:val="22"/>
              </w:rPr>
            </w:pPr>
            <w:r w:rsidRPr="00290E83">
              <w:rPr>
                <w:rFonts w:eastAsia="Arial"/>
                <w:szCs w:val="22"/>
              </w:rPr>
              <w:t xml:space="preserve">Specialised support (Vision advisory services) </w:t>
            </w:r>
            <w:r w:rsidRPr="00290E83">
              <w:rPr>
                <w:rFonts w:eastAsia="Arial"/>
                <w:szCs w:val="22"/>
              </w:rPr>
              <w:tab/>
            </w:r>
          </w:p>
          <w:p w14:paraId="454E73C5" w14:textId="0473DB1D" w:rsidR="001936FD" w:rsidRPr="006E4B76" w:rsidRDefault="001936FD" w:rsidP="00A677C9">
            <w:pPr>
              <w:spacing w:before="240" w:after="240" w:line="240" w:lineRule="auto"/>
              <w:rPr>
                <w:rFonts w:eastAsia="Arial"/>
                <w:szCs w:val="22"/>
              </w:rPr>
            </w:pPr>
          </w:p>
        </w:tc>
      </w:tr>
      <w:tr w:rsidR="001936FD" w:rsidRPr="009E1361" w14:paraId="7542EC8E"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6584BC2D" w14:textId="2D61E3B2" w:rsidR="001936FD" w:rsidRPr="006E4B76" w:rsidRDefault="001936FD" w:rsidP="00A677C9">
            <w:pPr>
              <w:spacing w:before="240" w:after="240" w:line="240" w:lineRule="auto"/>
              <w:rPr>
                <w:rFonts w:eastAsia="Arial"/>
                <w:b/>
              </w:rPr>
            </w:pPr>
            <w:r w:rsidRPr="7FF32E0B">
              <w:rPr>
                <w:rFonts w:eastAsia="Arial"/>
                <w:b/>
              </w:rPr>
              <w:t>Waiting for a Support at Home place allocation</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580032CF" w14:textId="77777777" w:rsidR="00187B92" w:rsidRDefault="001936FD" w:rsidP="00A677C9">
            <w:pPr>
              <w:spacing w:before="240" w:after="240" w:line="240" w:lineRule="auto"/>
              <w:rPr>
                <w:rFonts w:eastAsia="Arial"/>
                <w:szCs w:val="22"/>
              </w:rPr>
            </w:pPr>
            <w:r w:rsidRPr="006E4B76">
              <w:rPr>
                <w:rFonts w:eastAsia="Arial"/>
                <w:szCs w:val="22"/>
              </w:rPr>
              <w:t>The participant can access interim CHSP services</w:t>
            </w:r>
            <w:r w:rsidR="00A4692C">
              <w:rPr>
                <w:rFonts w:eastAsia="Arial"/>
                <w:szCs w:val="22"/>
              </w:rPr>
              <w:t>.</w:t>
            </w:r>
            <w:r w:rsidR="003B57C4">
              <w:rPr>
                <w:rFonts w:eastAsia="Arial"/>
                <w:szCs w:val="22"/>
              </w:rPr>
              <w:t xml:space="preserve"> </w:t>
            </w:r>
          </w:p>
          <w:p w14:paraId="5518B0D4" w14:textId="02D9153F" w:rsidR="001936FD" w:rsidRDefault="001936FD" w:rsidP="00A677C9">
            <w:pPr>
              <w:spacing w:before="240" w:after="240" w:line="240" w:lineRule="auto"/>
              <w:rPr>
                <w:rFonts w:eastAsia="Arial"/>
                <w:szCs w:val="22"/>
              </w:rPr>
            </w:pPr>
            <w:r w:rsidRPr="006E4B76">
              <w:rPr>
                <w:rFonts w:eastAsia="Arial"/>
                <w:szCs w:val="22"/>
              </w:rPr>
              <w:t xml:space="preserve">Interim CHSP services are available for a participant who has been assessed as needing a higher Support at Home classification but </w:t>
            </w:r>
            <w:r w:rsidR="00EC0C80">
              <w:rPr>
                <w:rFonts w:eastAsia="Arial"/>
                <w:szCs w:val="22"/>
              </w:rPr>
              <w:t>is</w:t>
            </w:r>
            <w:r w:rsidRPr="006E4B76">
              <w:rPr>
                <w:rFonts w:eastAsia="Arial"/>
                <w:szCs w:val="22"/>
              </w:rPr>
              <w:t xml:space="preserve"> waiting for their increased budget. </w:t>
            </w:r>
          </w:p>
          <w:p w14:paraId="4700CAA4" w14:textId="1BFE2489" w:rsidR="00D11C0D" w:rsidRPr="006E4B76" w:rsidRDefault="00D11C0D" w:rsidP="00A677C9">
            <w:pPr>
              <w:spacing w:before="240" w:after="240" w:line="240" w:lineRule="auto"/>
              <w:rPr>
                <w:rFonts w:eastAsia="Arial"/>
                <w:szCs w:val="22"/>
              </w:rPr>
            </w:pPr>
            <w:r>
              <w:rPr>
                <w:rFonts w:eastAsia="Arial"/>
                <w:szCs w:val="22"/>
              </w:rPr>
              <w:t xml:space="preserve">This does not include CHSP AT or HM. Participants who are waiting for a SaH allocation must be referred for the AT-HM scheme </w:t>
            </w:r>
            <w:r w:rsidR="00037587" w:rsidRPr="00427F73">
              <w:rPr>
                <w:rFonts w:eastAsia="Arial"/>
                <w:b/>
                <w:szCs w:val="22"/>
              </w:rPr>
              <w:t>not</w:t>
            </w:r>
            <w:r w:rsidRPr="00427F73">
              <w:rPr>
                <w:rFonts w:eastAsia="Arial"/>
                <w:b/>
                <w:szCs w:val="22"/>
              </w:rPr>
              <w:t xml:space="preserve"> </w:t>
            </w:r>
            <w:r>
              <w:rPr>
                <w:rFonts w:eastAsia="Arial"/>
                <w:szCs w:val="22"/>
              </w:rPr>
              <w:t>CHSP AT or HM.</w:t>
            </w:r>
            <w:r w:rsidRPr="006E4B76">
              <w:rPr>
                <w:rFonts w:eastAsia="Arial"/>
                <w:szCs w:val="22"/>
              </w:rPr>
              <w:t xml:space="preserve"> </w:t>
            </w:r>
          </w:p>
          <w:p w14:paraId="2F449633" w14:textId="5BD1E0AF" w:rsidR="001936FD" w:rsidRPr="00E13DB1" w:rsidRDefault="001936FD" w:rsidP="00A677C9">
            <w:pPr>
              <w:spacing w:before="240" w:after="240" w:line="240" w:lineRule="auto"/>
              <w:rPr>
                <w:rFonts w:eastAsia="Arial"/>
                <w:szCs w:val="22"/>
              </w:rPr>
            </w:pPr>
            <w:r w:rsidRPr="00E13DB1">
              <w:rPr>
                <w:rFonts w:eastAsia="Arial"/>
                <w:szCs w:val="22"/>
              </w:rPr>
              <w:t xml:space="preserve">If a Support at Home participant declines to take up the </w:t>
            </w:r>
            <w:r w:rsidR="00012A79" w:rsidRPr="00E13DB1">
              <w:rPr>
                <w:rFonts w:eastAsia="Arial"/>
                <w:szCs w:val="22"/>
              </w:rPr>
              <w:t>classification</w:t>
            </w:r>
            <w:r w:rsidRPr="00E13DB1">
              <w:rPr>
                <w:rFonts w:eastAsia="Arial"/>
                <w:szCs w:val="22"/>
              </w:rPr>
              <w:t xml:space="preserve">, they can continue to access entry level CHSP services as a CHSP client. </w:t>
            </w:r>
            <w:r w:rsidRPr="00E533F6">
              <w:rPr>
                <w:rFonts w:eastAsia="Arial"/>
                <w:szCs w:val="22"/>
              </w:rPr>
              <w:t xml:space="preserve">They will not access CHSP services to the level of the Support at Home </w:t>
            </w:r>
            <w:r w:rsidR="00012A79" w:rsidRPr="00E533F6">
              <w:rPr>
                <w:rFonts w:eastAsia="Arial"/>
                <w:szCs w:val="22"/>
              </w:rPr>
              <w:t>classification</w:t>
            </w:r>
            <w:r w:rsidRPr="00E533F6">
              <w:rPr>
                <w:rFonts w:eastAsia="Arial"/>
                <w:szCs w:val="22"/>
              </w:rPr>
              <w:t xml:space="preserve"> they were approved for.</w:t>
            </w:r>
          </w:p>
        </w:tc>
      </w:tr>
      <w:tr w:rsidR="001936FD" w:rsidRPr="009E1361" w14:paraId="7F1B832F" w14:textId="77777777" w:rsidTr="00337D1F">
        <w:trPr>
          <w:trHeight w:val="68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5A9BCAF8" w14:textId="03A1D14C" w:rsidR="001936FD" w:rsidRPr="006E4B76" w:rsidRDefault="001936FD" w:rsidP="00A677C9">
            <w:pPr>
              <w:spacing w:before="240" w:after="240" w:line="240" w:lineRule="auto"/>
              <w:rPr>
                <w:rFonts w:eastAsia="Arial"/>
                <w:b/>
                <w:szCs w:val="22"/>
              </w:rPr>
            </w:pPr>
            <w:r w:rsidRPr="00DF13B1">
              <w:rPr>
                <w:rFonts w:eastAsia="Arial"/>
                <w:b/>
                <w:szCs w:val="22"/>
              </w:rPr>
              <w:t>Residential Aged Care</w:t>
            </w:r>
            <w:r w:rsidR="00604E8F">
              <w:rPr>
                <w:rFonts w:eastAsia="Arial"/>
                <w:b/>
                <w:szCs w:val="22"/>
              </w:rPr>
              <w:t xml:space="preserve"> </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374C245B" w14:textId="6B3314E6" w:rsidR="001936FD" w:rsidRPr="006E4B76" w:rsidRDefault="001936FD" w:rsidP="00A677C9">
            <w:pPr>
              <w:spacing w:before="240" w:after="240" w:line="240" w:lineRule="auto"/>
              <w:rPr>
                <w:rFonts w:eastAsia="Arial"/>
                <w:szCs w:val="22"/>
              </w:rPr>
            </w:pPr>
            <w:r>
              <w:rPr>
                <w:rFonts w:eastAsia="Arial"/>
                <w:szCs w:val="22"/>
              </w:rPr>
              <w:t>Individuals in Residential Aged Care cannot access Government-funded CHSP services.</w:t>
            </w:r>
            <w:r w:rsidR="00500D66">
              <w:rPr>
                <w:rFonts w:eastAsia="Arial"/>
                <w:szCs w:val="22"/>
              </w:rPr>
              <w:t xml:space="preserve"> </w:t>
            </w:r>
          </w:p>
        </w:tc>
      </w:tr>
      <w:tr w:rsidR="001936FD" w:rsidRPr="009E1361" w14:paraId="34F24ADC"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5D8490E4" w14:textId="77777777" w:rsidR="001936FD" w:rsidRPr="006E4B76" w:rsidRDefault="001936FD" w:rsidP="00A677C9">
            <w:pPr>
              <w:spacing w:before="240" w:after="240" w:line="240" w:lineRule="auto"/>
              <w:rPr>
                <w:rFonts w:eastAsia="Arial"/>
                <w:b/>
                <w:szCs w:val="22"/>
              </w:rPr>
            </w:pPr>
            <w:r w:rsidRPr="00DF13B1">
              <w:rPr>
                <w:rFonts w:eastAsia="Arial"/>
                <w:b/>
                <w:szCs w:val="22"/>
              </w:rPr>
              <w:t>Disability Support for Older Australians</w:t>
            </w:r>
            <w:r>
              <w:rPr>
                <w:rFonts w:eastAsia="Arial"/>
                <w:b/>
                <w:szCs w:val="22"/>
              </w:rPr>
              <w:t xml:space="preserve">, </w:t>
            </w:r>
            <w:r w:rsidRPr="00DF13B1">
              <w:rPr>
                <w:rFonts w:eastAsia="Arial"/>
                <w:b/>
                <w:szCs w:val="22"/>
              </w:rPr>
              <w:t>National Disability Insurance Scheme (NDIS)</w:t>
            </w:r>
            <w:r>
              <w:rPr>
                <w:rFonts w:eastAsia="Arial"/>
                <w:b/>
                <w:szCs w:val="22"/>
              </w:rPr>
              <w:t xml:space="preserve">, </w:t>
            </w:r>
            <w:r w:rsidRPr="00DF13B1">
              <w:rPr>
                <w:rFonts w:eastAsia="Arial"/>
                <w:b/>
                <w:szCs w:val="22"/>
              </w:rPr>
              <w:t>NATSIFAC Program</w:t>
            </w:r>
            <w:r>
              <w:rPr>
                <w:rFonts w:eastAsia="Arial"/>
                <w:b/>
                <w:szCs w:val="22"/>
              </w:rPr>
              <w:t xml:space="preserve">, Transitional Care Program (TCP) and </w:t>
            </w:r>
            <w:r w:rsidRPr="00DF13B1">
              <w:rPr>
                <w:rFonts w:eastAsia="Arial"/>
                <w:b/>
                <w:szCs w:val="22"/>
              </w:rPr>
              <w:t>Veterans’ Home Care Program</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41B76D8B" w14:textId="341D4242" w:rsidR="001936FD" w:rsidRPr="006E4B76" w:rsidRDefault="001936FD" w:rsidP="00A677C9">
            <w:pPr>
              <w:spacing w:before="240" w:after="240" w:line="240" w:lineRule="auto"/>
              <w:rPr>
                <w:rFonts w:eastAsia="Arial"/>
                <w:szCs w:val="22"/>
              </w:rPr>
            </w:pPr>
            <w:r w:rsidRPr="009F587B">
              <w:rPr>
                <w:rFonts w:eastAsia="Arial"/>
                <w:szCs w:val="22"/>
              </w:rPr>
              <w:t xml:space="preserve">Can access CHSP services, </w:t>
            </w:r>
            <w:r w:rsidR="00CC62A3">
              <w:rPr>
                <w:rFonts w:eastAsia="Arial"/>
                <w:szCs w:val="22"/>
              </w:rPr>
              <w:t xml:space="preserve">as long as they have a referral </w:t>
            </w:r>
            <w:r w:rsidR="00913991">
              <w:rPr>
                <w:rFonts w:eastAsia="Arial"/>
                <w:szCs w:val="22"/>
              </w:rPr>
              <w:t xml:space="preserve">for </w:t>
            </w:r>
            <w:r w:rsidR="004D1F9A">
              <w:rPr>
                <w:rFonts w:eastAsia="Arial"/>
                <w:szCs w:val="22"/>
              </w:rPr>
              <w:t xml:space="preserve">each of </w:t>
            </w:r>
            <w:r w:rsidR="00913991">
              <w:rPr>
                <w:rFonts w:eastAsia="Arial"/>
                <w:szCs w:val="22"/>
              </w:rPr>
              <w:t xml:space="preserve">the service/s </w:t>
            </w:r>
            <w:r w:rsidR="00CC62A3" w:rsidRPr="00D55490">
              <w:rPr>
                <w:rFonts w:eastAsia="Arial"/>
                <w:b/>
                <w:szCs w:val="22"/>
              </w:rPr>
              <w:t>and</w:t>
            </w:r>
            <w:r w:rsidRPr="00D55490">
              <w:rPr>
                <w:rFonts w:eastAsia="Arial"/>
                <w:b/>
                <w:szCs w:val="22"/>
              </w:rPr>
              <w:t xml:space="preserve"> there </w:t>
            </w:r>
            <w:r w:rsidR="00CC62A3" w:rsidRPr="00D55490">
              <w:rPr>
                <w:rFonts w:eastAsia="Arial"/>
                <w:b/>
                <w:szCs w:val="22"/>
              </w:rPr>
              <w:t>is no</w:t>
            </w:r>
            <w:r w:rsidRPr="00D55490">
              <w:rPr>
                <w:rFonts w:eastAsia="Arial"/>
                <w:b/>
                <w:szCs w:val="22"/>
              </w:rPr>
              <w:t xml:space="preserve"> duplication of services</w:t>
            </w:r>
            <w:r w:rsidR="00CC62A3">
              <w:rPr>
                <w:rFonts w:eastAsia="Arial"/>
                <w:szCs w:val="22"/>
              </w:rPr>
              <w:t>.</w:t>
            </w:r>
          </w:p>
        </w:tc>
      </w:tr>
    </w:tbl>
    <w:p w14:paraId="79B40341" w14:textId="77777777" w:rsidR="00FE43C5" w:rsidRDefault="00FE43C5">
      <w:pPr>
        <w:rPr>
          <w:b/>
          <w:iCs/>
          <w:color w:val="44546A" w:themeColor="text2"/>
          <w:sz w:val="21"/>
          <w:szCs w:val="18"/>
        </w:rPr>
      </w:pPr>
      <w:r>
        <w:br w:type="page"/>
      </w:r>
    </w:p>
    <w:p w14:paraId="158889D0" w14:textId="32688CDC" w:rsidR="001936FD" w:rsidRPr="006E4B76" w:rsidRDefault="001936FD" w:rsidP="00A677C9">
      <w:pPr>
        <w:pStyle w:val="Caption"/>
        <w:spacing w:before="240" w:after="240"/>
        <w:rPr>
          <w:rFonts w:eastAsia="Arial"/>
          <w:szCs w:val="22"/>
        </w:rPr>
      </w:pPr>
      <w:r>
        <w:t xml:space="preserve">Table </w:t>
      </w:r>
      <w:r w:rsidR="000C7B48">
        <w:t>30</w:t>
      </w:r>
      <w:r>
        <w:t>. Circumstances when a Support at Home participant can access CHSP services</w:t>
      </w:r>
    </w:p>
    <w:tbl>
      <w:tblPr>
        <w:tblW w:w="9015" w:type="dxa"/>
        <w:tblLayout w:type="fixed"/>
        <w:tblLook w:val="04A0" w:firstRow="1" w:lastRow="0" w:firstColumn="1" w:lastColumn="0" w:noHBand="0" w:noVBand="1"/>
        <w:tblCaption w:val="Circumstances when a Support at Home participant can access CHSP"/>
      </w:tblPr>
      <w:tblGrid>
        <w:gridCol w:w="2770"/>
        <w:gridCol w:w="6245"/>
      </w:tblGrid>
      <w:tr w:rsidR="001936FD" w:rsidRPr="009E1361" w14:paraId="503590CB" w14:textId="77777777" w:rsidTr="000A6746">
        <w:trPr>
          <w:trHeight w:val="139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21BB054" w14:textId="77777777" w:rsidR="001936FD" w:rsidRPr="006E4B76" w:rsidRDefault="001936FD" w:rsidP="00A677C9">
            <w:pPr>
              <w:spacing w:before="240" w:after="240" w:line="240" w:lineRule="auto"/>
              <w:rPr>
                <w:rFonts w:eastAsia="Arial"/>
                <w:b/>
                <w:szCs w:val="22"/>
              </w:rPr>
            </w:pPr>
            <w:r w:rsidRPr="006E4B76">
              <w:rPr>
                <w:rFonts w:eastAsia="Arial"/>
                <w:b/>
                <w:szCs w:val="22"/>
              </w:rPr>
              <w:t>1. Pre-existing CHSP social support group</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6B485018" w14:textId="77777777" w:rsidR="001936FD" w:rsidRPr="006E4B76" w:rsidRDefault="001936FD" w:rsidP="00A677C9">
            <w:pPr>
              <w:spacing w:before="240" w:after="240" w:line="240" w:lineRule="auto"/>
              <w:rPr>
                <w:rFonts w:eastAsia="Arial"/>
                <w:szCs w:val="22"/>
              </w:rPr>
            </w:pPr>
            <w:r w:rsidRPr="006E4B76">
              <w:rPr>
                <w:rFonts w:eastAsia="Arial"/>
                <w:szCs w:val="22"/>
              </w:rPr>
              <w:t>Support at Home participants who have transitioned from the CHSP may continue to access their pre-existing CHSP social support group through the social support and community engagement service</w:t>
            </w:r>
            <w:r w:rsidRPr="006E4B76">
              <w:rPr>
                <w:rFonts w:eastAsia="Arial"/>
                <w:b/>
                <w:szCs w:val="22"/>
              </w:rPr>
              <w:t xml:space="preserve"> </w:t>
            </w:r>
            <w:r w:rsidRPr="006E4B76">
              <w:rPr>
                <w:rFonts w:eastAsia="Arial"/>
                <w:szCs w:val="22"/>
              </w:rPr>
              <w:t xml:space="preserve">on an ongoing basis to allow the continuity of social relationships. </w:t>
            </w:r>
            <w:r w:rsidRPr="00D27ECF">
              <w:rPr>
                <w:rFonts w:eastAsia="Arial"/>
                <w:szCs w:val="22"/>
              </w:rPr>
              <w:t>This only applies to participants attending a pre-existing CHSP social support group service.</w:t>
            </w:r>
            <w:r w:rsidRPr="006E4B76">
              <w:rPr>
                <w:rFonts w:eastAsia="Arial"/>
                <w:szCs w:val="22"/>
              </w:rPr>
              <w:t xml:space="preserve"> </w:t>
            </w:r>
          </w:p>
        </w:tc>
      </w:tr>
      <w:tr w:rsidR="001936FD" w:rsidRPr="009E1361" w14:paraId="139796C2" w14:textId="77777777" w:rsidTr="00922943">
        <w:trPr>
          <w:trHeight w:val="1918"/>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200A120" w14:textId="77777777" w:rsidR="001936FD" w:rsidRPr="006E4B76" w:rsidRDefault="001936FD" w:rsidP="00A677C9">
            <w:pPr>
              <w:spacing w:before="240" w:after="240" w:line="240" w:lineRule="auto"/>
              <w:rPr>
                <w:rFonts w:eastAsia="Arial"/>
                <w:b/>
                <w:szCs w:val="22"/>
              </w:rPr>
            </w:pPr>
            <w:r w:rsidRPr="006E4B76">
              <w:rPr>
                <w:rFonts w:eastAsia="Arial"/>
                <w:b/>
                <w:szCs w:val="22"/>
              </w:rPr>
              <w:t>2. Hoarding and Squalor</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65FF70CF" w14:textId="5FE8A55F" w:rsidR="001936FD" w:rsidRPr="006E4B76" w:rsidRDefault="1FC35B64" w:rsidP="00A677C9">
            <w:pPr>
              <w:spacing w:before="240" w:after="240" w:line="240" w:lineRule="auto"/>
            </w:pPr>
            <w:r w:rsidRPr="736F5178">
              <w:rPr>
                <w:rFonts w:eastAsia="Arial"/>
              </w:rPr>
              <w:t xml:space="preserve">Support at Home participants who are living with hoarding behaviour or in a squalid environment who are at risk of homelessness or unable to receive the aged care supports they need, can access </w:t>
            </w:r>
            <w:r w:rsidR="006943BB" w:rsidRPr="003802AF">
              <w:rPr>
                <w:rFonts w:eastAsia="Arial"/>
              </w:rPr>
              <w:t>time-limited</w:t>
            </w:r>
            <w:r w:rsidRPr="736F5178">
              <w:rPr>
                <w:rFonts w:eastAsia="Arial"/>
              </w:rPr>
              <w:t xml:space="preserve"> </w:t>
            </w:r>
            <w:r w:rsidRPr="003802AF">
              <w:rPr>
                <w:rFonts w:eastAsia="Arial"/>
              </w:rPr>
              <w:t>Hoarding and Squalor services through the CHSP</w:t>
            </w:r>
            <w:r w:rsidRPr="736F5178">
              <w:rPr>
                <w:rFonts w:eastAsia="Arial"/>
              </w:rPr>
              <w:t xml:space="preserve"> (in addition to their Support at Home funding) via reassessment.</w:t>
            </w:r>
          </w:p>
        </w:tc>
      </w:tr>
      <w:tr w:rsidR="001936FD" w:rsidRPr="009E1361" w14:paraId="31A7A4A1"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97F56FC" w14:textId="77777777" w:rsidR="001936FD" w:rsidRPr="009F587B" w:rsidRDefault="001936FD" w:rsidP="00A677C9">
            <w:pPr>
              <w:spacing w:before="240" w:after="240" w:line="240" w:lineRule="auto"/>
              <w:rPr>
                <w:rFonts w:eastAsiaTheme="minorHAnsi"/>
                <w:b/>
                <w:bCs/>
                <w:szCs w:val="22"/>
                <w:lang w:val="en-AU"/>
              </w:rPr>
            </w:pPr>
            <w:r w:rsidRPr="009F587B">
              <w:rPr>
                <w:b/>
                <w:bCs/>
                <w:szCs w:val="22"/>
              </w:rPr>
              <w:t xml:space="preserve">3. </w:t>
            </w:r>
            <w:bookmarkStart w:id="499" w:name="_Hlk210747347"/>
            <w:r w:rsidRPr="009F587B">
              <w:rPr>
                <w:b/>
                <w:bCs/>
                <w:szCs w:val="22"/>
              </w:rPr>
              <w:t>Community and centre-based respite, Flexible respite and Cottage respite</w:t>
            </w:r>
            <w:bookmarkEnd w:id="499"/>
          </w:p>
          <w:p w14:paraId="6538D876" w14:textId="614CEC9D" w:rsidR="001936FD" w:rsidRPr="006E4B76" w:rsidRDefault="001936FD" w:rsidP="00A677C9">
            <w:pPr>
              <w:spacing w:before="240" w:after="240" w:line="240" w:lineRule="auto"/>
              <w:rPr>
                <w:rFonts w:eastAsia="Arial"/>
                <w:b/>
                <w:szCs w:val="22"/>
              </w:rPr>
            </w:pP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1A93C2DF" w14:textId="7FC0C479" w:rsidR="001936FD" w:rsidRPr="006E4B76" w:rsidRDefault="001936FD" w:rsidP="00A677C9">
            <w:pPr>
              <w:spacing w:before="240" w:after="240" w:line="240" w:lineRule="auto"/>
              <w:rPr>
                <w:rFonts w:eastAsia="Arial"/>
                <w:szCs w:val="22"/>
              </w:rPr>
            </w:pPr>
            <w:r>
              <w:t xml:space="preserve">Support at Home participants may access additional planned </w:t>
            </w:r>
            <w:r w:rsidRPr="003802AF">
              <w:t>respite services</w:t>
            </w:r>
            <w:r>
              <w:t xml:space="preserve"> through the </w:t>
            </w:r>
            <w:bookmarkStart w:id="500" w:name="_Hlk210747325"/>
            <w:r>
              <w:t xml:space="preserve">Home or community general </w:t>
            </w:r>
            <w:bookmarkEnd w:id="500"/>
            <w:r>
              <w:t>respite service or Community cottage respite</w:t>
            </w:r>
            <w:r w:rsidR="46ABA1BA">
              <w:t>.</w:t>
            </w:r>
          </w:p>
        </w:tc>
      </w:tr>
      <w:tr w:rsidR="001936FD" w:rsidRPr="009E1361" w14:paraId="5EE69EE3"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07637023" w14:textId="77777777" w:rsidR="001936FD" w:rsidRPr="006E4B76" w:rsidRDefault="001936FD" w:rsidP="00A677C9">
            <w:pPr>
              <w:spacing w:before="240" w:after="240" w:line="240" w:lineRule="auto"/>
              <w:rPr>
                <w:rFonts w:eastAsia="Arial"/>
                <w:b/>
                <w:szCs w:val="22"/>
              </w:rPr>
            </w:pPr>
            <w:r w:rsidRPr="006E4B76">
              <w:rPr>
                <w:rFonts w:eastAsia="Arial"/>
                <w:b/>
                <w:szCs w:val="22"/>
              </w:rPr>
              <w:t>4. Emergency access</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0CD1924F" w14:textId="5BC455BB" w:rsidR="001936FD" w:rsidRPr="009E1361" w:rsidRDefault="51E54BB2" w:rsidP="00A677C9">
            <w:pPr>
              <w:spacing w:before="240" w:after="240" w:line="240" w:lineRule="auto"/>
              <w:rPr>
                <w:rFonts w:eastAsia="Arial"/>
              </w:rPr>
            </w:pPr>
            <w:r w:rsidRPr="1A0452E4">
              <w:rPr>
                <w:rFonts w:eastAsia="Arial"/>
              </w:rPr>
              <w:t>In emergency situations, where a Support at Home participant has an</w:t>
            </w:r>
            <w:r w:rsidRPr="00CC67C3">
              <w:rPr>
                <w:rFonts w:eastAsia="Arial"/>
                <w:b/>
              </w:rPr>
              <w:t xml:space="preserve"> </w:t>
            </w:r>
            <w:r w:rsidRPr="003802AF">
              <w:rPr>
                <w:rFonts w:eastAsia="Arial"/>
              </w:rPr>
              <w:t>urgent and immediate health or safety need</w:t>
            </w:r>
            <w:r w:rsidRPr="1A0452E4">
              <w:rPr>
                <w:rFonts w:eastAsia="Arial"/>
              </w:rPr>
              <w:t xml:space="preserve">, and their individualised budget has been fully allocated or they are waiting for their budget allocation, some additional </w:t>
            </w:r>
            <w:r w:rsidR="00C75B03" w:rsidRPr="003802AF">
              <w:rPr>
                <w:rFonts w:eastAsia="Arial"/>
              </w:rPr>
              <w:t>time-limited</w:t>
            </w:r>
            <w:r w:rsidRPr="1EE5F6C5">
              <w:rPr>
                <w:rFonts w:eastAsia="Arial"/>
              </w:rPr>
              <w:t xml:space="preserve"> </w:t>
            </w:r>
            <w:r w:rsidRPr="1A0452E4">
              <w:rPr>
                <w:rFonts w:eastAsia="Arial"/>
              </w:rPr>
              <w:t>CHSP services can be accessed on a short-term basis. These instances must be time limited, monitored and reviewed.</w:t>
            </w:r>
          </w:p>
        </w:tc>
      </w:tr>
      <w:tr w:rsidR="00E85D13" w:rsidRPr="009E1361" w14:paraId="69196ECA"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4AF43C33" w14:textId="0CAC9A17" w:rsidR="00E85D13" w:rsidRPr="00D11C0D" w:rsidRDefault="00E85D13" w:rsidP="00A677C9">
            <w:pPr>
              <w:spacing w:before="240" w:after="240" w:line="240" w:lineRule="auto"/>
              <w:rPr>
                <w:rFonts w:eastAsia="Arial"/>
                <w:b/>
              </w:rPr>
            </w:pPr>
            <w:r w:rsidRPr="5C823E68">
              <w:rPr>
                <w:rFonts w:eastAsia="Arial"/>
                <w:b/>
              </w:rPr>
              <w:t xml:space="preserve">5. Specialised support </w:t>
            </w:r>
            <w:r w:rsidR="4D10DEA4" w:rsidRPr="5C823E68">
              <w:rPr>
                <w:rFonts w:eastAsia="Arial"/>
                <w:b/>
                <w:bCs/>
              </w:rPr>
              <w:t>services</w:t>
            </w:r>
            <w:r w:rsidR="5B1D1F77" w:rsidRPr="5C823E68">
              <w:rPr>
                <w:rFonts w:eastAsia="Arial"/>
                <w:b/>
                <w:bCs/>
              </w:rPr>
              <w:t xml:space="preserve"> </w:t>
            </w:r>
            <w:r w:rsidRPr="5C823E68">
              <w:rPr>
                <w:rFonts w:eastAsia="Arial"/>
                <w:b/>
              </w:rPr>
              <w:t>(Vision advisory services)</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16B64248" w14:textId="45C626C2" w:rsidR="00E85D13" w:rsidRPr="006E4B76" w:rsidRDefault="00E85D13" w:rsidP="00E85D13">
            <w:pPr>
              <w:spacing w:before="240" w:after="240" w:line="240" w:lineRule="auto"/>
            </w:pPr>
            <w:r w:rsidRPr="00E85D13">
              <w:t xml:space="preserve">Support at Home participants may access </w:t>
            </w:r>
            <w:r w:rsidRPr="003802AF">
              <w:t>Vision advisory services under Specialised support services</w:t>
            </w:r>
            <w:r w:rsidRPr="00E85D13">
              <w:t xml:space="preserve"> on an ongoing basis</w:t>
            </w:r>
            <w:r w:rsidR="00A90CFD">
              <w:t xml:space="preserve"> to receive the aged care supports they need</w:t>
            </w:r>
            <w:r w:rsidRPr="00E85D13">
              <w:t>.</w:t>
            </w:r>
          </w:p>
        </w:tc>
      </w:tr>
    </w:tbl>
    <w:p w14:paraId="001E4FA9" w14:textId="77DB402B" w:rsidR="00960A13" w:rsidRPr="001945CA" w:rsidRDefault="00960A13" w:rsidP="00C56CEC">
      <w:pPr>
        <w:pStyle w:val="H3"/>
      </w:pPr>
      <w:r w:rsidRPr="001945CA">
        <w:t>Recording the decision for CHSP service recommendations in the Notice of Decision</w:t>
      </w:r>
    </w:p>
    <w:p w14:paraId="0363AFD2" w14:textId="731F2450" w:rsidR="00960A13" w:rsidRPr="00981FB0" w:rsidRDefault="00960A13" w:rsidP="00A677C9">
      <w:pPr>
        <w:spacing w:before="240" w:after="240" w:line="240" w:lineRule="auto"/>
      </w:pPr>
      <w:r w:rsidRPr="00981FB0">
        <w:t xml:space="preserve">Assessment </w:t>
      </w:r>
      <w:r w:rsidR="00D103BF">
        <w:t>d</w:t>
      </w:r>
      <w:r w:rsidR="009E0C0C" w:rsidRPr="00981FB0">
        <w:t xml:space="preserve">elegates </w:t>
      </w:r>
      <w:r w:rsidRPr="00981FB0">
        <w:t>should review any CHSP service recommendations listed. If they disagree with any of them, they should contact the assessor to discuss and amend the list if required.</w:t>
      </w:r>
    </w:p>
    <w:p w14:paraId="225CCDD4" w14:textId="524A958C" w:rsidR="00960A13" w:rsidRPr="00981FB0" w:rsidRDefault="00C145C7" w:rsidP="00A677C9">
      <w:pPr>
        <w:spacing w:before="240" w:after="240" w:line="240" w:lineRule="auto"/>
      </w:pPr>
      <w:r>
        <w:t>Currently</w:t>
      </w:r>
      <w:r w:rsidR="00960A13" w:rsidRPr="00981FB0">
        <w:t xml:space="preserve">, </w:t>
      </w:r>
      <w:r w:rsidR="00D103BF">
        <w:t>a</w:t>
      </w:r>
      <w:r w:rsidR="009E0C0C">
        <w:t xml:space="preserve">ssessment </w:t>
      </w:r>
      <w:r w:rsidR="00D103BF">
        <w:t>d</w:t>
      </w:r>
      <w:r w:rsidR="00960A13" w:rsidRPr="00981FB0">
        <w:t xml:space="preserve">elegates are not able to record their agreement or disagreement alongside each CHSP service recommendation in the </w:t>
      </w:r>
      <w:r w:rsidR="0060352D">
        <w:t>assessor portal</w:t>
      </w:r>
      <w:r w:rsidR="00960A13" w:rsidRPr="00981FB0">
        <w:t xml:space="preserve">. Their decision to agree with the recommended CHSP services must be recorded in the Notice of Decision. </w:t>
      </w:r>
    </w:p>
    <w:p w14:paraId="5D50FCE1" w14:textId="0891EB88" w:rsidR="00960A13" w:rsidRPr="009E1361" w:rsidRDefault="00960A13" w:rsidP="00C56CEC">
      <w:pPr>
        <w:pStyle w:val="H3"/>
      </w:pPr>
      <w:r w:rsidRPr="41A8B1C1">
        <w:t>Recording CHSP class</w:t>
      </w:r>
      <w:r w:rsidR="009E0C0C">
        <w:t>ification</w:t>
      </w:r>
      <w:r w:rsidRPr="41A8B1C1">
        <w:t xml:space="preserve"> and S</w:t>
      </w:r>
      <w:r w:rsidR="009E0C0C">
        <w:t xml:space="preserve">upport </w:t>
      </w:r>
      <w:r w:rsidRPr="41A8B1C1">
        <w:t>a</w:t>
      </w:r>
      <w:r w:rsidR="009E0C0C">
        <w:t xml:space="preserve">t </w:t>
      </w:r>
      <w:r w:rsidRPr="41A8B1C1">
        <w:t>H</w:t>
      </w:r>
      <w:r w:rsidR="009E0C0C">
        <w:t>ome</w:t>
      </w:r>
      <w:r w:rsidRPr="41A8B1C1">
        <w:t xml:space="preserve"> class</w:t>
      </w:r>
      <w:r w:rsidR="009E0C0C">
        <w:t>ification</w:t>
      </w:r>
      <w:r w:rsidRPr="41A8B1C1">
        <w:t xml:space="preserve"> 1 to 8 approvals in the Notice of Decision</w:t>
      </w:r>
    </w:p>
    <w:p w14:paraId="07022CCB" w14:textId="51E04117" w:rsidR="00960A13" w:rsidRPr="009E1361" w:rsidRDefault="00960A13" w:rsidP="00A677C9">
      <w:pPr>
        <w:spacing w:before="240" w:after="240" w:line="240" w:lineRule="auto"/>
        <w:rPr>
          <w:rFonts w:eastAsia="Arial"/>
          <w:szCs w:val="22"/>
        </w:rPr>
      </w:pPr>
      <w:r w:rsidRPr="009E1361">
        <w:rPr>
          <w:rFonts w:eastAsia="Arial"/>
          <w:szCs w:val="22"/>
        </w:rPr>
        <w:t>For CHSP Ongoing – there is one classification in the system. However, when an individual is approved to access CHSP services alongside S</w:t>
      </w:r>
      <w:r w:rsidR="009E0C0C">
        <w:rPr>
          <w:rFonts w:eastAsia="Arial"/>
          <w:szCs w:val="22"/>
        </w:rPr>
        <w:t xml:space="preserve">upport </w:t>
      </w:r>
      <w:r w:rsidRPr="009E1361">
        <w:rPr>
          <w:rFonts w:eastAsia="Arial"/>
          <w:szCs w:val="22"/>
        </w:rPr>
        <w:t>a</w:t>
      </w:r>
      <w:r w:rsidR="009E0C0C">
        <w:rPr>
          <w:rFonts w:eastAsia="Arial"/>
          <w:szCs w:val="22"/>
        </w:rPr>
        <w:t xml:space="preserve">t </w:t>
      </w:r>
      <w:r w:rsidR="001945CA" w:rsidRPr="009E1361">
        <w:rPr>
          <w:rFonts w:eastAsia="Arial"/>
          <w:szCs w:val="22"/>
        </w:rPr>
        <w:t>H</w:t>
      </w:r>
      <w:r w:rsidR="001945CA">
        <w:rPr>
          <w:rFonts w:eastAsia="Arial"/>
          <w:szCs w:val="22"/>
        </w:rPr>
        <w:t>ome</w:t>
      </w:r>
      <w:r w:rsidR="001945CA" w:rsidRPr="009E1361">
        <w:rPr>
          <w:rFonts w:eastAsia="Arial"/>
          <w:szCs w:val="22"/>
        </w:rPr>
        <w:t xml:space="preserve"> 1</w:t>
      </w:r>
      <w:r w:rsidRPr="009E1361">
        <w:rPr>
          <w:rFonts w:eastAsia="Arial"/>
          <w:szCs w:val="22"/>
        </w:rPr>
        <w:t xml:space="preserve"> to 8 classification, the older person will </w:t>
      </w:r>
      <w:r w:rsidRPr="00D55490">
        <w:rPr>
          <w:rFonts w:eastAsia="Arial"/>
          <w:b/>
          <w:i/>
          <w:szCs w:val="22"/>
        </w:rPr>
        <w:t>only</w:t>
      </w:r>
      <w:r w:rsidRPr="009E1361">
        <w:rPr>
          <w:rFonts w:eastAsia="Arial"/>
          <w:szCs w:val="22"/>
        </w:rPr>
        <w:t xml:space="preserve"> be approved for the Support at Home </w:t>
      </w:r>
      <w:r w:rsidR="009E0C0C">
        <w:rPr>
          <w:rFonts w:eastAsia="Arial"/>
          <w:szCs w:val="22"/>
        </w:rPr>
        <w:t>c</w:t>
      </w:r>
      <w:r w:rsidR="009E0C0C" w:rsidRPr="009E1361">
        <w:rPr>
          <w:rFonts w:eastAsia="Arial"/>
          <w:szCs w:val="22"/>
        </w:rPr>
        <w:t>lassification</w:t>
      </w:r>
      <w:r w:rsidRPr="009E1361">
        <w:rPr>
          <w:rFonts w:eastAsia="Arial"/>
          <w:szCs w:val="22"/>
        </w:rPr>
        <w:t xml:space="preserve">. </w:t>
      </w:r>
    </w:p>
    <w:p w14:paraId="797D0E2E" w14:textId="720FA48A" w:rsidR="00960A13" w:rsidRPr="009E1361" w:rsidRDefault="00960A13" w:rsidP="00A677C9">
      <w:pPr>
        <w:spacing w:before="240" w:after="240" w:line="240" w:lineRule="auto"/>
        <w:rPr>
          <w:rFonts w:eastAsia="Arial"/>
        </w:rPr>
      </w:pPr>
      <w:r w:rsidRPr="72FE64A7">
        <w:rPr>
          <w:rFonts w:eastAsia="Arial"/>
        </w:rPr>
        <w:t xml:space="preserve">However, </w:t>
      </w:r>
      <w:r w:rsidRPr="00D55490">
        <w:rPr>
          <w:rFonts w:eastAsia="Arial"/>
          <w:b/>
        </w:rPr>
        <w:t>the CHSP section will still display in the Notice of Decision.</w:t>
      </w:r>
      <w:r w:rsidRPr="72FE64A7">
        <w:rPr>
          <w:rFonts w:eastAsia="Arial"/>
        </w:rPr>
        <w:t xml:space="preserve"> If S</w:t>
      </w:r>
      <w:r w:rsidR="009E0C0C" w:rsidRPr="72FE64A7">
        <w:rPr>
          <w:rFonts w:eastAsia="Arial"/>
        </w:rPr>
        <w:t xml:space="preserve">upport </w:t>
      </w:r>
      <w:r w:rsidRPr="72FE64A7">
        <w:rPr>
          <w:rFonts w:eastAsia="Arial"/>
        </w:rPr>
        <w:t>a</w:t>
      </w:r>
      <w:r w:rsidR="009E0C0C" w:rsidRPr="72FE64A7">
        <w:rPr>
          <w:rFonts w:eastAsia="Arial"/>
        </w:rPr>
        <w:t xml:space="preserve">t </w:t>
      </w:r>
      <w:r w:rsidRPr="72FE64A7">
        <w:rPr>
          <w:rFonts w:eastAsia="Arial"/>
        </w:rPr>
        <w:t>H</w:t>
      </w:r>
      <w:r w:rsidR="009E0C0C" w:rsidRPr="72FE64A7">
        <w:rPr>
          <w:rFonts w:eastAsia="Arial"/>
        </w:rPr>
        <w:t>ome</w:t>
      </w:r>
      <w:r w:rsidRPr="72FE64A7">
        <w:rPr>
          <w:rFonts w:eastAsia="Arial"/>
        </w:rPr>
        <w:t xml:space="preserve"> 1 to 8 classification is approved, </w:t>
      </w:r>
      <w:r w:rsidR="00934573">
        <w:rPr>
          <w:rFonts w:eastAsia="Arial"/>
        </w:rPr>
        <w:t>a</w:t>
      </w:r>
      <w:r w:rsidRPr="72FE64A7">
        <w:rPr>
          <w:rFonts w:eastAsia="Arial"/>
        </w:rPr>
        <w:t xml:space="preserve">ssessment </w:t>
      </w:r>
      <w:r w:rsidR="00934573">
        <w:rPr>
          <w:rFonts w:eastAsia="Arial"/>
        </w:rPr>
        <w:t>d</w:t>
      </w:r>
      <w:r w:rsidRPr="72FE64A7">
        <w:rPr>
          <w:rFonts w:eastAsia="Arial"/>
        </w:rPr>
        <w:t>elegates will need to manually remove the CHSP classification level approval in the Notice of Decision.</w:t>
      </w:r>
    </w:p>
    <w:p w14:paraId="4D9601E2" w14:textId="77777777" w:rsidR="00960A13" w:rsidRPr="009E1361" w:rsidRDefault="00960A13" w:rsidP="00A677C9">
      <w:pPr>
        <w:spacing w:before="240" w:after="240" w:line="240" w:lineRule="auto"/>
        <w:rPr>
          <w:rFonts w:eastAsia="Arial"/>
          <w:szCs w:val="22"/>
        </w:rPr>
      </w:pPr>
      <w:r w:rsidRPr="009E1361">
        <w:rPr>
          <w:rFonts w:eastAsia="Arial"/>
          <w:szCs w:val="22"/>
        </w:rPr>
        <w:t>Replacement text and instructions are provided to inform the client what CHSP services they have been approved for and how to access their referral codes</w:t>
      </w:r>
      <w:r>
        <w:rPr>
          <w:rFonts w:eastAsia="Arial"/>
          <w:szCs w:val="22"/>
        </w:rPr>
        <w:t>, which are contained in the client’s Support Plan</w:t>
      </w:r>
      <w:r w:rsidRPr="009E1361">
        <w:rPr>
          <w:rFonts w:eastAsia="Arial"/>
          <w:szCs w:val="22"/>
        </w:rPr>
        <w:t xml:space="preserve">. </w:t>
      </w:r>
    </w:p>
    <w:p w14:paraId="0ED308A8" w14:textId="7F81B31A" w:rsidR="00960A13" w:rsidRPr="009E1361" w:rsidRDefault="00960A13" w:rsidP="00A677C9">
      <w:pPr>
        <w:spacing w:before="240" w:after="240" w:line="240" w:lineRule="auto"/>
        <w:rPr>
          <w:rFonts w:eastAsia="Arial"/>
          <w:sz w:val="28"/>
          <w:szCs w:val="28"/>
        </w:rPr>
      </w:pPr>
      <w:r w:rsidRPr="009E1361">
        <w:rPr>
          <w:rFonts w:eastAsia="Arial"/>
          <w:szCs w:val="22"/>
        </w:rPr>
        <w:t xml:space="preserve">Detailed </w:t>
      </w:r>
      <w:r w:rsidRPr="00EA0087">
        <w:rPr>
          <w:rFonts w:eastAsia="Arial"/>
        </w:rPr>
        <w:t>instructions</w:t>
      </w:r>
      <w:r w:rsidRPr="009E1361">
        <w:rPr>
          <w:rFonts w:eastAsia="Arial"/>
          <w:szCs w:val="22"/>
        </w:rPr>
        <w:t xml:space="preserve"> are provided in the Notice of Decision to help </w:t>
      </w:r>
      <w:r w:rsidR="00016143">
        <w:rPr>
          <w:rFonts w:eastAsia="Arial"/>
          <w:szCs w:val="22"/>
        </w:rPr>
        <w:t>a</w:t>
      </w:r>
      <w:r>
        <w:rPr>
          <w:rFonts w:eastAsia="Arial"/>
          <w:szCs w:val="22"/>
        </w:rPr>
        <w:t xml:space="preserve">ssessment </w:t>
      </w:r>
      <w:r w:rsidR="00016143">
        <w:rPr>
          <w:rFonts w:eastAsia="Arial"/>
          <w:szCs w:val="22"/>
        </w:rPr>
        <w:t>d</w:t>
      </w:r>
      <w:r>
        <w:rPr>
          <w:rFonts w:eastAsia="Arial"/>
          <w:szCs w:val="22"/>
        </w:rPr>
        <w:t>elegates</w:t>
      </w:r>
      <w:r w:rsidRPr="009E1361">
        <w:rPr>
          <w:rFonts w:eastAsia="Arial"/>
          <w:szCs w:val="22"/>
        </w:rPr>
        <w:t xml:space="preserve"> complete the required steps accurately</w:t>
      </w:r>
      <w:r w:rsidRPr="009E1361">
        <w:rPr>
          <w:rFonts w:eastAsia="Arial"/>
          <w:sz w:val="28"/>
          <w:szCs w:val="28"/>
        </w:rPr>
        <w:t>.</w:t>
      </w:r>
    </w:p>
    <w:p w14:paraId="50FFC86E" w14:textId="52973464" w:rsidR="00960A13" w:rsidRPr="007317EF" w:rsidRDefault="00960A13" w:rsidP="00A677C9">
      <w:pPr>
        <w:spacing w:before="240" w:after="240" w:line="240" w:lineRule="auto"/>
        <w:rPr>
          <w:rFonts w:eastAsia="Arial"/>
          <w:szCs w:val="22"/>
        </w:rPr>
      </w:pPr>
      <w:r w:rsidRPr="007317EF">
        <w:rPr>
          <w:rFonts w:eastAsia="Arial"/>
          <w:szCs w:val="22"/>
        </w:rPr>
        <w:t>However, if an older person is approved for one of the S</w:t>
      </w:r>
      <w:r w:rsidR="009E0C0C">
        <w:rPr>
          <w:rFonts w:eastAsia="Arial"/>
          <w:szCs w:val="22"/>
        </w:rPr>
        <w:t xml:space="preserve">upport </w:t>
      </w:r>
      <w:r w:rsidRPr="007317EF">
        <w:rPr>
          <w:rFonts w:eastAsia="Arial"/>
          <w:szCs w:val="22"/>
        </w:rPr>
        <w:t>a</w:t>
      </w:r>
      <w:r w:rsidR="009E0C0C">
        <w:rPr>
          <w:rFonts w:eastAsia="Arial"/>
          <w:szCs w:val="22"/>
        </w:rPr>
        <w:t xml:space="preserve">t </w:t>
      </w:r>
      <w:r w:rsidRPr="007317EF">
        <w:rPr>
          <w:rFonts w:eastAsia="Arial"/>
          <w:szCs w:val="22"/>
        </w:rPr>
        <w:t>H</w:t>
      </w:r>
      <w:r w:rsidR="009E0C0C">
        <w:rPr>
          <w:rFonts w:eastAsia="Arial"/>
          <w:szCs w:val="22"/>
        </w:rPr>
        <w:t>ome</w:t>
      </w:r>
      <w:r w:rsidRPr="007317EF">
        <w:rPr>
          <w:rFonts w:eastAsia="Arial"/>
          <w:szCs w:val="22"/>
        </w:rPr>
        <w:t xml:space="preserve"> classification levels, and has not previously been approved for funded aged care services in the home support service group, they can be referred to access their approved services through a CHSP provider while they wait for the S</w:t>
      </w:r>
      <w:r w:rsidR="009E0C0C">
        <w:rPr>
          <w:rFonts w:eastAsia="Arial"/>
          <w:szCs w:val="22"/>
        </w:rPr>
        <w:t xml:space="preserve">upport </w:t>
      </w:r>
      <w:r w:rsidRPr="007317EF">
        <w:rPr>
          <w:rFonts w:eastAsia="Arial"/>
          <w:szCs w:val="22"/>
        </w:rPr>
        <w:t>a</w:t>
      </w:r>
      <w:r w:rsidR="009E0C0C">
        <w:rPr>
          <w:rFonts w:eastAsia="Arial"/>
          <w:szCs w:val="22"/>
        </w:rPr>
        <w:t xml:space="preserve">t </w:t>
      </w:r>
      <w:r w:rsidRPr="007317EF">
        <w:rPr>
          <w:rFonts w:eastAsia="Arial"/>
          <w:szCs w:val="22"/>
        </w:rPr>
        <w:t>H</w:t>
      </w:r>
      <w:r w:rsidR="009E0C0C">
        <w:rPr>
          <w:rFonts w:eastAsia="Arial"/>
          <w:szCs w:val="22"/>
        </w:rPr>
        <w:t>ome</w:t>
      </w:r>
      <w:r w:rsidRPr="007317EF">
        <w:rPr>
          <w:rFonts w:eastAsia="Arial"/>
          <w:szCs w:val="22"/>
        </w:rPr>
        <w:t xml:space="preserve"> place to be allocated, </w:t>
      </w:r>
      <w:r w:rsidRPr="007317EF">
        <w:rPr>
          <w:rFonts w:eastAsia="Arial"/>
          <w:b/>
          <w:szCs w:val="22"/>
        </w:rPr>
        <w:t>without</w:t>
      </w:r>
      <w:r w:rsidRPr="007317EF">
        <w:rPr>
          <w:rFonts w:eastAsia="Arial"/>
          <w:szCs w:val="22"/>
        </w:rPr>
        <w:t xml:space="preserve"> having an assigned CHSP classification level (CHSP class).  </w:t>
      </w:r>
    </w:p>
    <w:p w14:paraId="7FB91506" w14:textId="6EA35635" w:rsidR="00960A13" w:rsidRDefault="003C5C2B" w:rsidP="00A677C9">
      <w:pPr>
        <w:spacing w:before="240" w:after="240" w:line="240" w:lineRule="auto"/>
        <w:rPr>
          <w:rFonts w:eastAsia="Arial"/>
        </w:rPr>
      </w:pPr>
      <w:r w:rsidRPr="2F37A47C">
        <w:rPr>
          <w:rFonts w:eastAsia="Arial"/>
        </w:rPr>
        <w:t>See</w:t>
      </w:r>
      <w:r w:rsidR="004F60FD" w:rsidDel="00DD0361">
        <w:rPr>
          <w:rFonts w:eastAsia="Arial"/>
        </w:rPr>
        <w:t xml:space="preserve"> </w:t>
      </w:r>
      <w:r w:rsidR="004F60FD">
        <w:rPr>
          <w:rFonts w:eastAsia="Arial"/>
        </w:rPr>
        <w:fldChar w:fldCharType="begin"/>
      </w:r>
      <w:r w:rsidR="004F60FD">
        <w:rPr>
          <w:rFonts w:eastAsia="Arial"/>
        </w:rPr>
        <w:instrText xml:space="preserve"> REF _Ref212738069 \w \h </w:instrText>
      </w:r>
      <w:r w:rsidR="004F60FD">
        <w:rPr>
          <w:rFonts w:eastAsia="Arial"/>
        </w:rPr>
      </w:r>
      <w:r w:rsidR="004F60FD">
        <w:rPr>
          <w:rFonts w:eastAsia="Arial"/>
        </w:rPr>
        <w:fldChar w:fldCharType="separate"/>
      </w:r>
      <w:r w:rsidR="00F97942">
        <w:rPr>
          <w:rFonts w:eastAsia="Arial"/>
        </w:rPr>
        <w:t>6.5.5</w:t>
      </w:r>
      <w:r w:rsidR="004F60FD">
        <w:rPr>
          <w:rFonts w:eastAsia="Arial"/>
        </w:rPr>
        <w:fldChar w:fldCharType="end"/>
      </w:r>
      <w:r w:rsidR="004F60FD">
        <w:rPr>
          <w:rFonts w:eastAsia="Arial"/>
        </w:rPr>
        <w:t xml:space="preserve"> </w:t>
      </w:r>
      <w:r w:rsidR="00455D0F">
        <w:rPr>
          <w:rFonts w:eastAsia="Arial"/>
        </w:rPr>
        <w:t>section</w:t>
      </w:r>
      <w:r w:rsidR="00554B5D">
        <w:rPr>
          <w:rFonts w:eastAsia="Arial"/>
        </w:rPr>
        <w:t xml:space="preserve"> </w:t>
      </w:r>
      <w:r w:rsidRPr="2F37A47C">
        <w:rPr>
          <w:rFonts w:eastAsia="Arial"/>
        </w:rPr>
        <w:t>for further details about when an individual with a SaH classification can be approved to access CHSP services.</w:t>
      </w:r>
    </w:p>
    <w:p w14:paraId="6A4547BA" w14:textId="77777777" w:rsidR="00960A13" w:rsidRPr="009E1361" w:rsidRDefault="00960A13" w:rsidP="00C56CEC">
      <w:pPr>
        <w:pStyle w:val="H3"/>
      </w:pPr>
      <w:bookmarkStart w:id="501" w:name="_Toc198813686"/>
      <w:bookmarkStart w:id="502" w:name="_Toc204329569"/>
      <w:r w:rsidRPr="009E1361">
        <w:t>Time-limited definition</w:t>
      </w:r>
    </w:p>
    <w:p w14:paraId="7EDD8C46" w14:textId="77777777" w:rsidR="00960A13" w:rsidRPr="003E1933" w:rsidRDefault="00960A13" w:rsidP="00A677C9">
      <w:pPr>
        <w:spacing w:before="240" w:after="240" w:line="240" w:lineRule="auto"/>
      </w:pPr>
      <w:r w:rsidRPr="009E1361">
        <w:rPr>
          <w:rFonts w:eastAsia="Times New Roman"/>
        </w:rPr>
        <w:t>What short term or time limited means depends on the specific circumstances and needs of each individual client. As a guide, up to 2 months would be considered short-term services.</w:t>
      </w:r>
      <w:r w:rsidRPr="002312A2">
        <w:t xml:space="preserve"> </w:t>
      </w:r>
    </w:p>
    <w:p w14:paraId="145B543D" w14:textId="0EFD74BD" w:rsidR="00960A13" w:rsidRDefault="00960A13" w:rsidP="00C56CEC">
      <w:pPr>
        <w:pStyle w:val="H3"/>
      </w:pPr>
      <w:r>
        <w:t xml:space="preserve">Wellness and </w:t>
      </w:r>
      <w:r w:rsidR="007763A7">
        <w:t>r</w:t>
      </w:r>
      <w:r>
        <w:t>eablement under CHSP</w:t>
      </w:r>
    </w:p>
    <w:p w14:paraId="0EBB76EA" w14:textId="77777777" w:rsidR="00960A13" w:rsidRDefault="00960A13" w:rsidP="00A677C9">
      <w:pPr>
        <w:spacing w:before="240" w:after="240" w:line="240" w:lineRule="auto"/>
      </w:pPr>
      <w:r w:rsidRPr="003E1933">
        <w:t>Reablement approaches</w:t>
      </w:r>
      <w:r>
        <w:t xml:space="preserve"> under CHSP</w:t>
      </w:r>
      <w:r w:rsidRPr="003E1933">
        <w:t xml:space="preserve"> involve</w:t>
      </w:r>
      <w:r>
        <w:t xml:space="preserve"> recommending</w:t>
      </w:r>
      <w:r w:rsidRPr="003E1933">
        <w:t xml:space="preserve"> time-limited services </w:t>
      </w:r>
      <w:r>
        <w:t>for a period of up to 12 weeks</w:t>
      </w:r>
      <w:r w:rsidRPr="003E1933">
        <w:t xml:space="preserve">. Time-limited support aims to address a specific barrier to independence and to support the older person getting back to doing things for themselves. This involves a targeted timeframe, developed with the older person, to achieve their goals. </w:t>
      </w:r>
    </w:p>
    <w:p w14:paraId="48CD9ED0" w14:textId="78614759" w:rsidR="00960A13" w:rsidRPr="003E1933" w:rsidRDefault="00960A13" w:rsidP="00A677C9">
      <w:pPr>
        <w:spacing w:before="240" w:after="240" w:line="240" w:lineRule="auto"/>
      </w:pPr>
      <w:r>
        <w:rPr>
          <w:rFonts w:eastAsia="Times New Roman"/>
          <w:lang w:val="en-AU"/>
        </w:rPr>
        <w:t>All</w:t>
      </w:r>
      <w:r w:rsidRPr="00342C61">
        <w:rPr>
          <w:rFonts w:eastAsia="Times New Roman"/>
          <w:lang w:val="en-AU"/>
        </w:rPr>
        <w:t xml:space="preserve"> providers </w:t>
      </w:r>
      <w:r>
        <w:rPr>
          <w:rFonts w:eastAsia="Times New Roman"/>
          <w:lang w:val="en-AU"/>
        </w:rPr>
        <w:t xml:space="preserve">are able to </w:t>
      </w:r>
      <w:r w:rsidRPr="00342C61">
        <w:rPr>
          <w:rFonts w:eastAsia="Times New Roman"/>
          <w:lang w:val="en-AU"/>
        </w:rPr>
        <w:t>deliver this</w:t>
      </w:r>
      <w:r>
        <w:rPr>
          <w:rFonts w:eastAsia="Times New Roman"/>
          <w:lang w:val="en-AU"/>
        </w:rPr>
        <w:t xml:space="preserve"> service</w:t>
      </w:r>
      <w:r w:rsidRPr="00342C61">
        <w:rPr>
          <w:rFonts w:eastAsia="Times New Roman"/>
          <w:lang w:val="en-AU"/>
        </w:rPr>
        <w:t xml:space="preserve"> under every </w:t>
      </w:r>
      <w:r>
        <w:rPr>
          <w:rFonts w:eastAsia="Times New Roman"/>
          <w:lang w:val="en-AU"/>
        </w:rPr>
        <w:t xml:space="preserve">CHSP </w:t>
      </w:r>
      <w:r w:rsidRPr="00342C61">
        <w:rPr>
          <w:rFonts w:eastAsia="Times New Roman"/>
          <w:lang w:val="en-AU"/>
        </w:rPr>
        <w:t>service type. (i.e. assessors can refer for short</w:t>
      </w:r>
      <w:r w:rsidR="00A04BCC">
        <w:rPr>
          <w:rFonts w:eastAsia="Times New Roman"/>
          <w:lang w:val="en-AU"/>
        </w:rPr>
        <w:t>-</w:t>
      </w:r>
      <w:r w:rsidRPr="00342C61">
        <w:rPr>
          <w:rFonts w:eastAsia="Times New Roman"/>
          <w:lang w:val="en-AU"/>
        </w:rPr>
        <w:t xml:space="preserve">term reablement to any CHSP provider). </w:t>
      </w:r>
    </w:p>
    <w:p w14:paraId="1352670F" w14:textId="28375B8D" w:rsidR="00960A13" w:rsidRPr="009E1361" w:rsidRDefault="00960A13" w:rsidP="00A677C9">
      <w:pPr>
        <w:spacing w:before="240" w:after="240" w:line="240" w:lineRule="auto"/>
        <w:rPr>
          <w:rFonts w:eastAsia="Times New Roman"/>
        </w:rPr>
      </w:pPr>
      <w:r>
        <w:rPr>
          <w:rFonts w:eastAsia="Times New Roman"/>
        </w:rPr>
        <w:t xml:space="preserve">For further guidance taking a wellness and reablement approach through CHSP, see ‘Delivering Time Limited Reablement’ section in Chapter </w:t>
      </w:r>
      <w:r w:rsidR="000819FC">
        <w:rPr>
          <w:rFonts w:eastAsia="Times New Roman"/>
        </w:rPr>
        <w:fldChar w:fldCharType="begin"/>
      </w:r>
      <w:r w:rsidR="000819FC">
        <w:rPr>
          <w:rFonts w:eastAsia="Times New Roman"/>
        </w:rPr>
        <w:instrText xml:space="preserve"> REF _Ref212735941 \w \h </w:instrText>
      </w:r>
      <w:r w:rsidR="000819FC">
        <w:rPr>
          <w:rFonts w:eastAsia="Times New Roman"/>
        </w:rPr>
      </w:r>
      <w:r w:rsidR="000819FC">
        <w:rPr>
          <w:rFonts w:eastAsia="Times New Roman"/>
        </w:rPr>
        <w:fldChar w:fldCharType="separate"/>
      </w:r>
      <w:r w:rsidR="00F97942">
        <w:rPr>
          <w:rFonts w:eastAsia="Times New Roman"/>
        </w:rPr>
        <w:t>5</w:t>
      </w:r>
      <w:r w:rsidR="000819FC">
        <w:rPr>
          <w:rFonts w:eastAsia="Times New Roman"/>
        </w:rPr>
        <w:fldChar w:fldCharType="end"/>
      </w:r>
      <w:r>
        <w:rPr>
          <w:rFonts w:eastAsia="Times New Roman"/>
        </w:rPr>
        <w:t xml:space="preserve"> of this Manual. </w:t>
      </w:r>
      <w:r w:rsidRPr="009E1361">
        <w:rPr>
          <w:rFonts w:eastAsia="Times New Roman"/>
        </w:rPr>
        <w:t xml:space="preserve"> </w:t>
      </w:r>
    </w:p>
    <w:tbl>
      <w:tblPr>
        <w:tblStyle w:val="TableGrid"/>
        <w:tblW w:w="0" w:type="auto"/>
        <w:tblLook w:val="04A0" w:firstRow="1" w:lastRow="0" w:firstColumn="1" w:lastColumn="0" w:noHBand="0" w:noVBand="1"/>
      </w:tblPr>
      <w:tblGrid>
        <w:gridCol w:w="846"/>
        <w:gridCol w:w="6866"/>
      </w:tblGrid>
      <w:tr w:rsidR="00960A13" w14:paraId="0FCA9851" w14:textId="77777777">
        <w:trPr>
          <w:trHeight w:val="1440"/>
        </w:trPr>
        <w:tc>
          <w:tcPr>
            <w:tcW w:w="846" w:type="dxa"/>
          </w:tcPr>
          <w:p w14:paraId="5B486797" w14:textId="77777777" w:rsidR="00960A13" w:rsidRPr="0051333F" w:rsidRDefault="00960A13" w:rsidP="00A677C9">
            <w:pPr>
              <w:tabs>
                <w:tab w:val="left" w:pos="709"/>
              </w:tabs>
              <w:spacing w:before="240" w:after="240"/>
              <w:rPr>
                <w:lang w:eastAsia="ko-KR"/>
              </w:rPr>
            </w:pPr>
            <w:r w:rsidRPr="0028657F">
              <w:rPr>
                <w:noProof/>
              </w:rPr>
              <w:drawing>
                <wp:anchor distT="0" distB="0" distL="114300" distR="114300" simplePos="0" relativeHeight="251658252" behindDoc="0" locked="0" layoutInCell="1" allowOverlap="1" wp14:anchorId="643BB331" wp14:editId="4187D9A8">
                  <wp:simplePos x="0" y="0"/>
                  <wp:positionH relativeFrom="margin">
                    <wp:posOffset>-68522</wp:posOffset>
                  </wp:positionH>
                  <wp:positionV relativeFrom="paragraph">
                    <wp:posOffset>255270</wp:posOffset>
                  </wp:positionV>
                  <wp:extent cx="342900" cy="340995"/>
                  <wp:effectExtent l="0" t="0" r="0" b="1905"/>
                  <wp:wrapSquare wrapText="bothSides"/>
                  <wp:docPr id="19317281" name="Picture 1931728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354CA0DA" w14:textId="77777777" w:rsidR="00960A13" w:rsidRPr="003E1933" w:rsidRDefault="00960A13" w:rsidP="00A677C9">
            <w:pPr>
              <w:spacing w:before="240" w:after="240"/>
              <w:rPr>
                <w:b/>
                <w:szCs w:val="22"/>
              </w:rPr>
            </w:pPr>
            <w:r w:rsidRPr="003E1933">
              <w:rPr>
                <w:b/>
                <w:szCs w:val="22"/>
              </w:rPr>
              <w:t>Department of Health</w:t>
            </w:r>
            <w:r>
              <w:rPr>
                <w:b/>
                <w:szCs w:val="22"/>
              </w:rPr>
              <w:t>, Disability</w:t>
            </w:r>
            <w:r w:rsidRPr="003E1933">
              <w:rPr>
                <w:b/>
                <w:szCs w:val="22"/>
              </w:rPr>
              <w:t xml:space="preserve"> and </w:t>
            </w:r>
            <w:r w:rsidRPr="017FF414">
              <w:rPr>
                <w:b/>
                <w:szCs w:val="22"/>
              </w:rPr>
              <w:t>Ageing</w:t>
            </w:r>
            <w:r w:rsidRPr="003E1933">
              <w:rPr>
                <w:b/>
                <w:szCs w:val="22"/>
              </w:rPr>
              <w:t xml:space="preserve"> website: </w:t>
            </w:r>
          </w:p>
          <w:p w14:paraId="57C3A363" w14:textId="77777777" w:rsidR="00960A13" w:rsidRPr="004E0453" w:rsidRDefault="00960A13" w:rsidP="00DF3F6B">
            <w:pPr>
              <w:pStyle w:val="ListParagraph"/>
              <w:numPr>
                <w:ilvl w:val="0"/>
                <w:numId w:val="209"/>
              </w:numPr>
              <w:spacing w:before="240" w:after="240"/>
              <w:rPr>
                <w:color w:val="2BB1BB"/>
                <w:szCs w:val="22"/>
                <w:u w:val="single"/>
              </w:rPr>
            </w:pPr>
            <w:hyperlink r:id="rId177">
              <w:r w:rsidRPr="004E0453">
                <w:rPr>
                  <w:color w:val="2BB1BB"/>
                  <w:szCs w:val="22"/>
                  <w:u w:val="single"/>
                </w:rPr>
                <w:t>Commonwealth Home Support Program (CHSP) 2025-27 Manual | Australian Government Department of Health, Disability and Ageing</w:t>
              </w:r>
            </w:hyperlink>
          </w:p>
          <w:p w14:paraId="075FDECA" w14:textId="77777777" w:rsidR="00960A13" w:rsidRPr="004E0453" w:rsidRDefault="00960A13" w:rsidP="00DF3F6B">
            <w:pPr>
              <w:pStyle w:val="ListParagraph"/>
              <w:numPr>
                <w:ilvl w:val="0"/>
                <w:numId w:val="209"/>
              </w:numPr>
              <w:spacing w:before="240" w:after="240"/>
              <w:rPr>
                <w:color w:val="2BB1BB"/>
                <w:szCs w:val="22"/>
                <w:u w:val="single"/>
              </w:rPr>
            </w:pPr>
            <w:hyperlink r:id="rId178">
              <w:r w:rsidRPr="017FF414">
                <w:rPr>
                  <w:rStyle w:val="Hyperlink"/>
                </w:rPr>
                <w:t>Wellness and reablement resources</w:t>
              </w:r>
            </w:hyperlink>
          </w:p>
          <w:p w14:paraId="03F2AC5A" w14:textId="77777777" w:rsidR="00960A13" w:rsidRPr="004E0453" w:rsidRDefault="00960A13" w:rsidP="00DF3F6B">
            <w:pPr>
              <w:pStyle w:val="ListParagraph"/>
              <w:numPr>
                <w:ilvl w:val="0"/>
                <w:numId w:val="209"/>
              </w:numPr>
              <w:spacing w:before="240" w:after="240"/>
              <w:rPr>
                <w:color w:val="2BB1BB"/>
                <w:szCs w:val="22"/>
                <w:u w:val="single"/>
              </w:rPr>
            </w:pPr>
            <w:hyperlink r:id="rId179">
              <w:r w:rsidRPr="7AD2C21E">
                <w:rPr>
                  <w:rStyle w:val="Hyperlink"/>
                </w:rPr>
                <w:t>Living Well at Home – CHSP Good Practice Guide</w:t>
              </w:r>
            </w:hyperlink>
          </w:p>
        </w:tc>
      </w:tr>
    </w:tbl>
    <w:p w14:paraId="7CE2AFAF" w14:textId="77777777" w:rsidR="00960A13" w:rsidRPr="009E1361" w:rsidRDefault="00960A13" w:rsidP="00507F9D">
      <w:pPr>
        <w:pStyle w:val="h2"/>
      </w:pPr>
      <w:bookmarkStart w:id="503" w:name="_Toc209189000"/>
      <w:bookmarkStart w:id="504" w:name="_Toc224916660"/>
      <w:r w:rsidRPr="009E1361">
        <w:t>National Aboriginal and Torres Strait Islander Flexible Aged Care Program (NATSIFACP)</w:t>
      </w:r>
      <w:bookmarkEnd w:id="501"/>
      <w:bookmarkEnd w:id="502"/>
      <w:bookmarkEnd w:id="503"/>
      <w:bookmarkEnd w:id="504"/>
      <w:r w:rsidRPr="009E1361">
        <w:t xml:space="preserve"> </w:t>
      </w:r>
    </w:p>
    <w:p w14:paraId="1F7AC044" w14:textId="4965B816" w:rsidR="00960A13" w:rsidRPr="009E1361" w:rsidRDefault="00960A13" w:rsidP="00A677C9">
      <w:pPr>
        <w:spacing w:before="240" w:after="240" w:line="240" w:lineRule="auto"/>
      </w:pPr>
      <w:r w:rsidRPr="009E1361">
        <w:t>The NATSIFACP funds service providers to provide flexible, culturally safe aged care to older Aboriginal and Torres Strait Islander people close to their home and/or community.</w:t>
      </w:r>
    </w:p>
    <w:p w14:paraId="432EB590" w14:textId="77777777" w:rsidR="00960A13" w:rsidRPr="009E1361" w:rsidRDefault="00960A13" w:rsidP="00A677C9">
      <w:pPr>
        <w:spacing w:before="240" w:after="240" w:line="240" w:lineRule="auto"/>
      </w:pPr>
      <w:r w:rsidRPr="009E1361">
        <w:t>Service providers deliver a mix of residential and home care services in accordance with the needs of the community which are located mainly in rural and remote areas.</w:t>
      </w:r>
    </w:p>
    <w:p w14:paraId="71F82C60" w14:textId="01C9AA8C" w:rsidR="00960A13" w:rsidRPr="009E1361" w:rsidRDefault="00960A13" w:rsidP="00A677C9">
      <w:pPr>
        <w:spacing w:before="240" w:after="240" w:line="240" w:lineRule="auto"/>
      </w:pPr>
      <w:r w:rsidRPr="009E1361">
        <w:t xml:space="preserve">The NATSIFACP is administered under the </w:t>
      </w:r>
      <w:r w:rsidR="00917F06" w:rsidRPr="009E1361">
        <w:rPr>
          <w:i/>
        </w:rPr>
        <w:t xml:space="preserve">Aged Care Act </w:t>
      </w:r>
      <w:r w:rsidR="00917F06">
        <w:rPr>
          <w:i/>
        </w:rPr>
        <w:t>202</w:t>
      </w:r>
      <w:r w:rsidR="009E4524">
        <w:rPr>
          <w:i/>
        </w:rPr>
        <w:t>4</w:t>
      </w:r>
      <w:r w:rsidR="00917F06">
        <w:rPr>
          <w:i/>
        </w:rPr>
        <w:t xml:space="preserve"> </w:t>
      </w:r>
      <w:r w:rsidRPr="009E1361">
        <w:t>as a specialist aged care program.</w:t>
      </w:r>
    </w:p>
    <w:p w14:paraId="58CB61A0" w14:textId="77777777" w:rsidR="00960A13" w:rsidRPr="009E1361" w:rsidRDefault="00960A13" w:rsidP="00A677C9">
      <w:pPr>
        <w:spacing w:before="240" w:after="240" w:line="240" w:lineRule="auto"/>
      </w:pPr>
      <w:r w:rsidRPr="009E1361">
        <w:t xml:space="preserve">The services provided through NATSIFACP must reflect the service list prescribed by the </w:t>
      </w:r>
      <w:r w:rsidRPr="009E1361">
        <w:rPr>
          <w:i/>
        </w:rPr>
        <w:t>Aged Care Rules 2025</w:t>
      </w:r>
      <w:r w:rsidRPr="009E1361">
        <w:t xml:space="preserve">. </w:t>
      </w:r>
    </w:p>
    <w:p w14:paraId="0D6D0F9E" w14:textId="77777777" w:rsidR="00960A13" w:rsidRPr="009E1361" w:rsidRDefault="00960A13" w:rsidP="00C56CEC">
      <w:pPr>
        <w:pStyle w:val="H3"/>
      </w:pPr>
      <w:r w:rsidRPr="009E1361">
        <w:t>Assessing for NATSIFACP</w:t>
      </w:r>
    </w:p>
    <w:p w14:paraId="2BFCE7BB" w14:textId="6D041CED" w:rsidR="00960A13" w:rsidRPr="009E1361" w:rsidRDefault="0027688E" w:rsidP="00A677C9">
      <w:pPr>
        <w:spacing w:before="240" w:after="240" w:line="240" w:lineRule="auto"/>
      </w:pPr>
      <w:r>
        <w:t>A</w:t>
      </w:r>
      <w:r w:rsidR="00960A13" w:rsidRPr="009E1361">
        <w:t>nyone seeking NATSIFACP aged care services require</w:t>
      </w:r>
      <w:r>
        <w:t>s</w:t>
      </w:r>
      <w:r w:rsidR="00960A13" w:rsidRPr="009E1361">
        <w:t xml:space="preserve"> an aged care needs assessment under the </w:t>
      </w:r>
      <w:r w:rsidR="00960A13" w:rsidRPr="009E1361">
        <w:rPr>
          <w:i/>
        </w:rPr>
        <w:t>Aged Care Act 2024</w:t>
      </w:r>
      <w:r w:rsidR="00960A13" w:rsidRPr="009E1361">
        <w:t>.</w:t>
      </w:r>
      <w:r w:rsidR="00960A13" w:rsidRPr="005778F0">
        <w:rPr>
          <w:rFonts w:ascii="Times New Roman" w:eastAsia="Times New Roman" w:hAnsi="Times New Roman" w:cs="Times New Roman"/>
          <w:color w:val="000000"/>
          <w:sz w:val="27"/>
          <w:szCs w:val="27"/>
          <w:lang w:val="en-AU"/>
        </w:rPr>
        <w:t xml:space="preserve"> </w:t>
      </w:r>
      <w:r w:rsidR="00960A13" w:rsidRPr="009E1361">
        <w:t xml:space="preserve">NATSIFACP providers can also make this application on the older person’s behalf, either by phone or online. This may include supporting the older person by self-referring the assessment to known assessment organisations in the area, including Aboriginal and Torres Strait Islander assessment organisations </w:t>
      </w:r>
      <w:r w:rsidR="00946805">
        <w:t>where one is available</w:t>
      </w:r>
      <w:r w:rsidR="00960A13" w:rsidRPr="009E1361">
        <w:t>.</w:t>
      </w:r>
    </w:p>
    <w:p w14:paraId="2052C7C7" w14:textId="57BF0E26" w:rsidR="00960A13" w:rsidRPr="005778F0" w:rsidRDefault="00960A13" w:rsidP="00A677C9">
      <w:pPr>
        <w:spacing w:before="240" w:after="240" w:line="240" w:lineRule="auto"/>
        <w:rPr>
          <w:lang w:val="en-AU"/>
        </w:rPr>
      </w:pPr>
      <w:r w:rsidRPr="005778F0">
        <w:rPr>
          <w:lang w:val="en-AU"/>
        </w:rPr>
        <w:t>Under the NATSIFAC</w:t>
      </w:r>
      <w:r w:rsidR="005E4BA7">
        <w:rPr>
          <w:lang w:val="en-AU"/>
        </w:rPr>
        <w:t>P</w:t>
      </w:r>
      <w:r w:rsidRPr="005778F0">
        <w:rPr>
          <w:lang w:val="en-AU"/>
        </w:rPr>
        <w:t>, providers deliver a mix of residential, home and community care services in accordance with the individual’s assessed care needs, and the needs of the community. Services may be provided on a permanent (ongoing) or short term (non-ongoing) basis, as well as to support emergency needs.</w:t>
      </w:r>
      <w:r>
        <w:rPr>
          <w:lang w:val="en-AU"/>
        </w:rPr>
        <w:t xml:space="preserve"> </w:t>
      </w:r>
      <w:r w:rsidRPr="005778F0">
        <w:rPr>
          <w:lang w:val="en-AU"/>
        </w:rPr>
        <w:t>To support this flexible service delivery model, the NATSIFAC Program is block funded. This means individuals accessing care under the program do not have allocated budgets.</w:t>
      </w:r>
      <w:r>
        <w:rPr>
          <w:lang w:val="en-AU"/>
        </w:rPr>
        <w:t xml:space="preserve"> </w:t>
      </w:r>
      <w:r w:rsidRPr="005778F0">
        <w:rPr>
          <w:lang w:val="en-AU"/>
        </w:rPr>
        <w:t>Arrangements for care recipient contributions are also variable and take into account the capacity of individuals to contribute toward the cost of the services delivered to them.</w:t>
      </w:r>
    </w:p>
    <w:p w14:paraId="22C6E4C7" w14:textId="5D7E2F2B" w:rsidR="00960A13" w:rsidRPr="009E1361" w:rsidRDefault="00960A13" w:rsidP="00A677C9">
      <w:pPr>
        <w:spacing w:before="240" w:after="240" w:line="240" w:lineRule="auto"/>
      </w:pPr>
      <w:r w:rsidRPr="009E1361">
        <w:t xml:space="preserve">Older people already receiving NATSIFACP services in the 12-months before 1 November 2025 will be deemed across to the </w:t>
      </w:r>
      <w:r w:rsidR="00DE5C1F" w:rsidRPr="008149E9">
        <w:rPr>
          <w:i/>
        </w:rPr>
        <w:t xml:space="preserve">Aged Care </w:t>
      </w:r>
      <w:r w:rsidR="007836DF" w:rsidRPr="008149E9">
        <w:rPr>
          <w:i/>
        </w:rPr>
        <w:t>Act</w:t>
      </w:r>
      <w:r w:rsidR="00DE5C1F" w:rsidRPr="008149E9">
        <w:rPr>
          <w:i/>
        </w:rPr>
        <w:t xml:space="preserve"> 2024</w:t>
      </w:r>
      <w:r w:rsidR="00DE5C1F">
        <w:rPr>
          <w:i/>
          <w:iCs/>
        </w:rPr>
        <w:t xml:space="preserve"> (the Act)</w:t>
      </w:r>
      <w:r w:rsidRPr="009E1361">
        <w:t xml:space="preserve"> and will not have to </w:t>
      </w:r>
      <w:r w:rsidR="00DE5C1F">
        <w:t>have</w:t>
      </w:r>
      <w:r w:rsidR="00DE5C1F" w:rsidRPr="009E1361">
        <w:t xml:space="preserve"> </w:t>
      </w:r>
      <w:r w:rsidRPr="009E1361">
        <w:t xml:space="preserve">an aged care </w:t>
      </w:r>
      <w:r w:rsidR="005E4BA7">
        <w:t>needs</w:t>
      </w:r>
      <w:r w:rsidRPr="009E1361">
        <w:t xml:space="preserve"> assessment if they wish to continue receiving NATSIFACP services after the </w:t>
      </w:r>
      <w:r w:rsidR="007836DF">
        <w:t>Act</w:t>
      </w:r>
      <w:r w:rsidRPr="009E1361">
        <w:t xml:space="preserve"> starts.</w:t>
      </w:r>
      <w:r>
        <w:t xml:space="preserve">   </w:t>
      </w:r>
    </w:p>
    <w:p w14:paraId="434364B5" w14:textId="359DF54A" w:rsidR="00960A13" w:rsidRPr="009E1361" w:rsidRDefault="00960A13" w:rsidP="00A677C9">
      <w:pPr>
        <w:spacing w:before="240" w:after="240" w:line="240" w:lineRule="auto"/>
      </w:pPr>
      <w:r w:rsidRPr="009E1361">
        <w:t>In all cases, assessor</w:t>
      </w:r>
      <w:r>
        <w:t>s</w:t>
      </w:r>
      <w:r w:rsidRPr="009E1361">
        <w:t xml:space="preserve"> should work with NATSIFACP organisations already providing care to inform their aged care assessments. By working together, assessors and providers can avoid older Aboriginal and Torres Strait Islander people having to tell their story multiple times and ensure culturally safe assessments are conducted. This includes using information the NATSIFACP provider has gathered to help inform the assessment.</w:t>
      </w:r>
    </w:p>
    <w:tbl>
      <w:tblPr>
        <w:tblStyle w:val="TableGrid"/>
        <w:tblW w:w="0" w:type="auto"/>
        <w:tblLook w:val="04A0" w:firstRow="1" w:lastRow="0" w:firstColumn="1" w:lastColumn="0" w:noHBand="0" w:noVBand="1"/>
      </w:tblPr>
      <w:tblGrid>
        <w:gridCol w:w="846"/>
        <w:gridCol w:w="8085"/>
      </w:tblGrid>
      <w:tr w:rsidR="00DD3B48" w14:paraId="1DA8D6C9" w14:textId="77777777" w:rsidTr="008149E9">
        <w:trPr>
          <w:trHeight w:val="1440"/>
        </w:trPr>
        <w:tc>
          <w:tcPr>
            <w:tcW w:w="846" w:type="dxa"/>
          </w:tcPr>
          <w:p w14:paraId="304AA3FD" w14:textId="77777777" w:rsidR="00DD3B48" w:rsidRPr="0051333F" w:rsidRDefault="00DD3B48">
            <w:pPr>
              <w:tabs>
                <w:tab w:val="left" w:pos="709"/>
              </w:tabs>
              <w:spacing w:before="240" w:after="240"/>
              <w:rPr>
                <w:lang w:eastAsia="ko-KR"/>
              </w:rPr>
            </w:pPr>
            <w:r w:rsidRPr="0028657F">
              <w:rPr>
                <w:noProof/>
              </w:rPr>
              <w:drawing>
                <wp:anchor distT="0" distB="0" distL="114300" distR="114300" simplePos="0" relativeHeight="251658272" behindDoc="0" locked="0" layoutInCell="1" allowOverlap="1" wp14:anchorId="7144967D" wp14:editId="6F4E1F76">
                  <wp:simplePos x="0" y="0"/>
                  <wp:positionH relativeFrom="margin">
                    <wp:posOffset>-68522</wp:posOffset>
                  </wp:positionH>
                  <wp:positionV relativeFrom="paragraph">
                    <wp:posOffset>255270</wp:posOffset>
                  </wp:positionV>
                  <wp:extent cx="342900" cy="340995"/>
                  <wp:effectExtent l="0" t="0" r="0" b="1905"/>
                  <wp:wrapSquare wrapText="bothSides"/>
                  <wp:docPr id="1355356612" name="Picture 13553566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8085" w:type="dxa"/>
          </w:tcPr>
          <w:p w14:paraId="71099850" w14:textId="77777777" w:rsidR="00DD3B48" w:rsidRPr="009E1361" w:rsidRDefault="00DD3B48" w:rsidP="00DD3B48">
            <w:pPr>
              <w:spacing w:before="240" w:after="240"/>
            </w:pPr>
            <w:r w:rsidRPr="0084448F">
              <w:t xml:space="preserve">More information is available on the department’s website at </w:t>
            </w:r>
            <w:hyperlink r:id="rId180" w:history="1">
              <w:r w:rsidRPr="004E0AA8">
                <w:rPr>
                  <w:rStyle w:val="Hyperlink"/>
                </w:rPr>
                <w:t>National Aboriginal and Torres Strait Islander Flexible Aged Care Program.</w:t>
              </w:r>
            </w:hyperlink>
          </w:p>
          <w:p w14:paraId="116D0015" w14:textId="008E601B" w:rsidR="00DD3B48" w:rsidRPr="004E0453" w:rsidRDefault="00DD3B48" w:rsidP="00940488">
            <w:pPr>
              <w:pStyle w:val="ListParagraph"/>
              <w:spacing w:before="240" w:after="240"/>
              <w:ind w:left="818"/>
              <w:rPr>
                <w:color w:val="2BB1BB"/>
                <w:szCs w:val="22"/>
                <w:u w:val="single"/>
              </w:rPr>
            </w:pPr>
          </w:p>
        </w:tc>
      </w:tr>
    </w:tbl>
    <w:p w14:paraId="161FDD97" w14:textId="77777777" w:rsidR="00960A13" w:rsidRPr="009E1361" w:rsidRDefault="00960A13" w:rsidP="00C56CEC">
      <w:pPr>
        <w:pStyle w:val="H3"/>
      </w:pPr>
      <w:r w:rsidRPr="009E1361">
        <w:t xml:space="preserve">Recommending NATSIFACP pathway </w:t>
      </w:r>
    </w:p>
    <w:p w14:paraId="5F84A20D" w14:textId="77777777" w:rsidR="00960A13" w:rsidRDefault="00960A13" w:rsidP="00A677C9">
      <w:pPr>
        <w:spacing w:before="240" w:after="240" w:line="240" w:lineRule="auto"/>
      </w:pPr>
      <w:r w:rsidRPr="009E1361">
        <w:rPr>
          <w:noProof/>
        </w:rPr>
        <w:drawing>
          <wp:inline distT="0" distB="0" distL="0" distR="0" wp14:anchorId="44F58FAC" wp14:editId="3E110DD5">
            <wp:extent cx="5724525" cy="1314450"/>
            <wp:effectExtent l="0" t="0" r="0" b="0"/>
            <wp:docPr id="1377819713" name="Picture 13778197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9713" name="Picture 1377819713" descr="A screenshot of a computer&#10;&#10;AI-generated content may be incorrec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724525" cy="1314450"/>
                    </a:xfrm>
                    <a:prstGeom prst="rect">
                      <a:avLst/>
                    </a:prstGeom>
                  </pic:spPr>
                </pic:pic>
              </a:graphicData>
            </a:graphic>
          </wp:inline>
        </w:drawing>
      </w:r>
    </w:p>
    <w:p w14:paraId="77F66A5F" w14:textId="7EE8D823" w:rsidR="00E72553" w:rsidRPr="00E72553" w:rsidRDefault="00E72553" w:rsidP="00E72553">
      <w:pPr>
        <w:pStyle w:val="Caption"/>
        <w:rPr>
          <w:b w:val="0"/>
          <w:bCs/>
          <w:i/>
          <w:iCs w:val="0"/>
        </w:rPr>
      </w:pPr>
      <w:r w:rsidRPr="00E72553">
        <w:rPr>
          <w:b w:val="0"/>
          <w:bCs/>
          <w:i/>
          <w:iCs w:val="0"/>
        </w:rPr>
        <w:t xml:space="preserve">Figure </w:t>
      </w:r>
      <w:r w:rsidR="006A1ABE">
        <w:rPr>
          <w:b w:val="0"/>
          <w:bCs/>
          <w:i/>
          <w:iCs w:val="0"/>
        </w:rPr>
        <w:t>5</w:t>
      </w:r>
      <w:r w:rsidRPr="00E72553">
        <w:rPr>
          <w:b w:val="0"/>
          <w:bCs/>
          <w:i/>
          <w:iCs w:val="0"/>
        </w:rPr>
        <w:t xml:space="preserve"> – recommending NATSIFACP pathway in the assessor portal </w:t>
      </w:r>
    </w:p>
    <w:p w14:paraId="7E49AF66" w14:textId="577ED53A" w:rsidR="00960A13" w:rsidRDefault="00960A13" w:rsidP="00A677C9">
      <w:pPr>
        <w:spacing w:before="240" w:after="240" w:line="240" w:lineRule="auto"/>
      </w:pPr>
      <w:r w:rsidRPr="30FB5A54">
        <w:t>The option to add NATSIFACP services as a service recommendation in an older person’s Support Plan are available via the ‘Add a service recommendation button’ on the ‘Support plan and services page</w:t>
      </w:r>
      <w:r w:rsidR="0037083B" w:rsidRPr="30FB5A54">
        <w:t>’.</w:t>
      </w:r>
    </w:p>
    <w:p w14:paraId="58753DB6" w14:textId="40FDD26C" w:rsidR="003F3EF9" w:rsidRPr="00855780" w:rsidRDefault="003F3EF9" w:rsidP="00A677C9">
      <w:pPr>
        <w:spacing w:before="240" w:after="240" w:line="240" w:lineRule="auto"/>
        <w:rPr>
          <w:lang w:val="en-AU"/>
        </w:rPr>
      </w:pPr>
      <w:r w:rsidRPr="00855780">
        <w:rPr>
          <w:lang w:val="en-AU"/>
        </w:rPr>
        <w:t xml:space="preserve">When adding a service recommendation for NATSIFACP, a </w:t>
      </w:r>
      <w:r w:rsidR="00303625" w:rsidRPr="00303625">
        <w:rPr>
          <w:lang w:val="en-AU"/>
        </w:rPr>
        <w:t>drop-down</w:t>
      </w:r>
      <w:r w:rsidRPr="00855780">
        <w:rPr>
          <w:lang w:val="en-AU"/>
        </w:rPr>
        <w:t xml:space="preserve"> box will require the assessor to select a priority. From 1 November</w:t>
      </w:r>
      <w:r w:rsidR="00006622">
        <w:rPr>
          <w:lang w:val="en-AU"/>
        </w:rPr>
        <w:t xml:space="preserve"> 2025</w:t>
      </w:r>
      <w:r w:rsidR="0047267C">
        <w:rPr>
          <w:lang w:val="en-AU"/>
        </w:rPr>
        <w:t>,</w:t>
      </w:r>
      <w:r w:rsidRPr="005942E6">
        <w:rPr>
          <w:lang w:val="en-AU"/>
        </w:rPr>
        <w:t xml:space="preserve"> there is no priority system in place to receive services through NATSIFACP and the priority value in the service recommendation tab will not impact the timeliness of receiving these services. For consistency, assessors are required to set the priority </w:t>
      </w:r>
      <w:r w:rsidR="0096423E">
        <w:rPr>
          <w:lang w:val="en-AU"/>
        </w:rPr>
        <w:t xml:space="preserve">value for the NATSIFACP service recommendation </w:t>
      </w:r>
      <w:r w:rsidRPr="005942E6">
        <w:rPr>
          <w:lang w:val="en-AU"/>
        </w:rPr>
        <w:t>to low</w:t>
      </w:r>
      <w:r w:rsidR="00C5559F" w:rsidRPr="005942E6">
        <w:rPr>
          <w:lang w:val="en-AU"/>
        </w:rPr>
        <w:t xml:space="preserve">. </w:t>
      </w:r>
    </w:p>
    <w:p w14:paraId="6BDAE4B9" w14:textId="77777777" w:rsidR="00960A13" w:rsidRPr="009E1361" w:rsidRDefault="00960A13" w:rsidP="00A677C9">
      <w:pPr>
        <w:spacing w:before="240" w:after="240" w:line="240" w:lineRule="auto"/>
      </w:pPr>
      <w:r w:rsidRPr="009E1361">
        <w:t xml:space="preserve">It is best practice for a NATISFACP service recommendation to be fully recorded in the assessment notes to ensure that information in the support plan is accurate and complete. </w:t>
      </w:r>
    </w:p>
    <w:p w14:paraId="47857309" w14:textId="77777777" w:rsidR="00960A13" w:rsidRPr="009E1361" w:rsidRDefault="00960A13" w:rsidP="00A677C9">
      <w:pPr>
        <w:spacing w:before="240" w:after="240" w:line="240" w:lineRule="auto"/>
      </w:pPr>
      <w:r w:rsidRPr="009E1361">
        <w:t>In the Notes section, assessors should include the following information:</w:t>
      </w:r>
    </w:p>
    <w:p w14:paraId="659AF469" w14:textId="77777777" w:rsidR="00960A13" w:rsidRPr="009E1361" w:rsidRDefault="00960A13" w:rsidP="00DF3F6B">
      <w:pPr>
        <w:pStyle w:val="ListParagraph"/>
        <w:numPr>
          <w:ilvl w:val="0"/>
          <w:numId w:val="164"/>
        </w:numPr>
        <w:spacing w:before="240" w:after="240" w:line="240" w:lineRule="auto"/>
      </w:pPr>
      <w:r w:rsidRPr="009E1361">
        <w:t>If the older person would benefit from accessing services through a NATISFACP provider in their local area</w:t>
      </w:r>
    </w:p>
    <w:p w14:paraId="049F5FAD" w14:textId="77777777" w:rsidR="00960A13" w:rsidRPr="009E1361" w:rsidRDefault="00960A13" w:rsidP="00DF3F6B">
      <w:pPr>
        <w:pStyle w:val="ListParagraph"/>
        <w:numPr>
          <w:ilvl w:val="0"/>
          <w:numId w:val="164"/>
        </w:numPr>
        <w:spacing w:before="240" w:after="240" w:line="240" w:lineRule="auto"/>
      </w:pPr>
      <w:r w:rsidRPr="009E1361">
        <w:t>If the person would like to access services through a NATISFACP provider in their local area</w:t>
      </w:r>
    </w:p>
    <w:p w14:paraId="7126292A" w14:textId="77777777" w:rsidR="00960A13" w:rsidRPr="009E1361" w:rsidRDefault="00960A13" w:rsidP="00C56CEC">
      <w:pPr>
        <w:pStyle w:val="H3"/>
      </w:pPr>
      <w:r w:rsidRPr="009E1361">
        <w:t>Interactions with other programs</w:t>
      </w:r>
    </w:p>
    <w:p w14:paraId="60062EBC" w14:textId="77777777" w:rsidR="00960A13" w:rsidRPr="009E1361" w:rsidRDefault="00960A13" w:rsidP="00A677C9">
      <w:pPr>
        <w:spacing w:before="240" w:after="240" w:line="240" w:lineRule="auto"/>
      </w:pPr>
      <w:r w:rsidRPr="009E1361">
        <w:t xml:space="preserve">All service groups and types can be delivered under NATSIFACP. </w:t>
      </w:r>
    </w:p>
    <w:p w14:paraId="683BD383" w14:textId="0EC44DBD" w:rsidR="00960A13" w:rsidRDefault="00960A13" w:rsidP="00A677C9">
      <w:pPr>
        <w:spacing w:before="240" w:after="240" w:line="240" w:lineRule="auto"/>
      </w:pPr>
      <w:r w:rsidRPr="009E1361">
        <w:rPr>
          <w:rFonts w:eastAsia="Arial"/>
        </w:rPr>
        <w:t>In general, home care services must not be provided to individuals who are receiving other government-subsidised services that are similar. However, individuals may access both the NATSIFAC Program and Support at Home at the same time, provided the services accessed under the programs are different. For example, a participant could access gardening through Support at Home and personal care via</w:t>
      </w:r>
      <w:r w:rsidRPr="009E1361">
        <w:rPr>
          <w:rFonts w:eastAsia="Arial"/>
          <w:color w:val="333333"/>
        </w:rPr>
        <w:t xml:space="preserve"> the NATSIFAC Program</w:t>
      </w:r>
      <w:r w:rsidRPr="009E1361">
        <w:rPr>
          <w:rFonts w:eastAsia="Arial"/>
        </w:rPr>
        <w:t xml:space="preserve"> </w:t>
      </w:r>
      <w:r w:rsidRPr="009E1361">
        <w:t xml:space="preserve">They may require a </w:t>
      </w:r>
      <w:r w:rsidR="009B4B25">
        <w:t>re</w:t>
      </w:r>
      <w:r w:rsidRPr="009E1361">
        <w:t xml:space="preserve">assessment to change providers, this will depend on whether they only have a NATSIFACP default classification level, the service types they require and the range of programs available at their new location. </w:t>
      </w:r>
    </w:p>
    <w:tbl>
      <w:tblPr>
        <w:tblStyle w:val="TableGrid"/>
        <w:tblW w:w="9098" w:type="dxa"/>
        <w:tblLook w:val="04A0" w:firstRow="1" w:lastRow="0" w:firstColumn="1" w:lastColumn="0" w:noHBand="0" w:noVBand="1"/>
      </w:tblPr>
      <w:tblGrid>
        <w:gridCol w:w="993"/>
        <w:gridCol w:w="8105"/>
      </w:tblGrid>
      <w:tr w:rsidR="00960A13" w14:paraId="38BCAF5C" w14:textId="77777777">
        <w:trPr>
          <w:trHeight w:val="300"/>
        </w:trPr>
        <w:tc>
          <w:tcPr>
            <w:tcW w:w="993" w:type="dxa"/>
            <w:vAlign w:val="center"/>
          </w:tcPr>
          <w:p w14:paraId="398F293E" w14:textId="354E4B97" w:rsidR="00960A13" w:rsidRPr="003E1933" w:rsidRDefault="00F54A8E" w:rsidP="00A677C9">
            <w:pPr>
              <w:spacing w:before="240" w:after="240"/>
              <w:rPr>
                <w:rFonts w:eastAsia="MS Mincho"/>
              </w:rPr>
            </w:pPr>
            <w:bookmarkStart w:id="505" w:name="_Toc198813687"/>
            <w:bookmarkStart w:id="506" w:name="_Toc204329570"/>
            <w:r>
              <w:rPr>
                <w:noProof/>
              </w:rPr>
              <w:drawing>
                <wp:inline distT="0" distB="0" distL="0" distR="0" wp14:anchorId="59AED4EF" wp14:editId="232BAB80">
                  <wp:extent cx="447675" cy="445208"/>
                  <wp:effectExtent l="0" t="0" r="0" b="0"/>
                  <wp:docPr id="1933034986" name="Picture 193303498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vAlign w:val="center"/>
          </w:tcPr>
          <w:p w14:paraId="7D802948" w14:textId="00C6B416" w:rsidR="00960A13" w:rsidRPr="0098473F" w:rsidRDefault="00960A13" w:rsidP="00A677C9">
            <w:pPr>
              <w:spacing w:before="240" w:after="240"/>
            </w:pPr>
            <w:r>
              <w:rPr>
                <w:rFonts w:eastAsia="Arial"/>
              </w:rPr>
              <w:t>For further information, please refer to the</w:t>
            </w:r>
            <w:r w:rsidR="002E434B">
              <w:rPr>
                <w:rFonts w:eastAsia="Arial"/>
              </w:rPr>
              <w:t xml:space="preserve"> </w:t>
            </w:r>
            <w:hyperlink r:id="rId182" w:history="1">
              <w:r w:rsidR="002E434B">
                <w:rPr>
                  <w:rStyle w:val="Hyperlink"/>
                  <w:rFonts w:eastAsia="Arial"/>
                </w:rPr>
                <w:t>NATSIFACP Manual</w:t>
              </w:r>
            </w:hyperlink>
            <w:r w:rsidR="006A1253">
              <w:t>.</w:t>
            </w:r>
          </w:p>
        </w:tc>
      </w:tr>
    </w:tbl>
    <w:p w14:paraId="39A02E2B" w14:textId="77777777" w:rsidR="00960A13" w:rsidRPr="009E1361" w:rsidRDefault="00960A13" w:rsidP="00507F9D">
      <w:pPr>
        <w:pStyle w:val="h2"/>
      </w:pPr>
      <w:bookmarkStart w:id="507" w:name="_Toc209189001"/>
      <w:bookmarkStart w:id="508" w:name="_Toc224916661"/>
      <w:r w:rsidRPr="009E1361">
        <w:t>Multi-Purpose Service Program (MPSP)</w:t>
      </w:r>
      <w:bookmarkEnd w:id="505"/>
      <w:bookmarkEnd w:id="506"/>
      <w:bookmarkEnd w:id="507"/>
      <w:bookmarkEnd w:id="508"/>
    </w:p>
    <w:p w14:paraId="511807FA" w14:textId="77777777" w:rsidR="00960A13" w:rsidRPr="009E1361" w:rsidRDefault="00960A13" w:rsidP="00A677C9">
      <w:pPr>
        <w:spacing w:before="240" w:after="240" w:line="240" w:lineRule="auto"/>
      </w:pPr>
      <w:r w:rsidRPr="009E1361">
        <w:t>The MPSP provides integrated health and aged care services for older people living in small rural towns and remote areas that cannot support stand-alone aged care and health services.</w:t>
      </w:r>
    </w:p>
    <w:p w14:paraId="21F6F24A" w14:textId="77777777" w:rsidR="00960A13" w:rsidRPr="009E1361" w:rsidRDefault="00960A13" w:rsidP="00A677C9">
      <w:pPr>
        <w:spacing w:before="240" w:after="240" w:line="240" w:lineRule="auto"/>
      </w:pPr>
      <w:r w:rsidRPr="009E1361">
        <w:t xml:space="preserve">The MPSP is managed under the </w:t>
      </w:r>
      <w:r w:rsidRPr="009E1361">
        <w:rPr>
          <w:i/>
        </w:rPr>
        <w:t>Aged Care Act 2024</w:t>
      </w:r>
      <w:r w:rsidRPr="009E1361">
        <w:t xml:space="preserve"> as a type of specialist aged care program.</w:t>
      </w:r>
    </w:p>
    <w:p w14:paraId="19B9CD03" w14:textId="77777777" w:rsidR="00960A13" w:rsidRPr="009E1361" w:rsidRDefault="00960A13" w:rsidP="00A677C9">
      <w:pPr>
        <w:spacing w:before="240" w:after="240" w:line="240" w:lineRule="auto"/>
      </w:pPr>
      <w:r w:rsidRPr="009E1361">
        <w:t>The following aged care services can be delivered under the MPSP:</w:t>
      </w:r>
    </w:p>
    <w:p w14:paraId="07FAB48D" w14:textId="77777777" w:rsidR="00960A13" w:rsidRPr="009E1361" w:rsidRDefault="00960A13" w:rsidP="00DF3F6B">
      <w:pPr>
        <w:pStyle w:val="ListParagraph"/>
        <w:numPr>
          <w:ilvl w:val="0"/>
          <w:numId w:val="157"/>
        </w:numPr>
        <w:spacing w:before="240" w:after="240" w:line="240" w:lineRule="auto"/>
      </w:pPr>
      <w:r w:rsidRPr="009E1361">
        <w:t>Permanent residential care services</w:t>
      </w:r>
    </w:p>
    <w:p w14:paraId="37ED2B23" w14:textId="77777777" w:rsidR="00960A13" w:rsidRPr="009E1361" w:rsidRDefault="00960A13" w:rsidP="00DF3F6B">
      <w:pPr>
        <w:pStyle w:val="ListParagraph"/>
        <w:numPr>
          <w:ilvl w:val="0"/>
          <w:numId w:val="157"/>
        </w:numPr>
        <w:spacing w:before="240" w:after="240" w:line="240" w:lineRule="auto"/>
      </w:pPr>
      <w:r w:rsidRPr="009E1361">
        <w:t>Residential respite</w:t>
      </w:r>
    </w:p>
    <w:p w14:paraId="209CB41C" w14:textId="2A8C49CE" w:rsidR="00960A13" w:rsidRPr="009E1361" w:rsidRDefault="00960A13" w:rsidP="00DF3F6B">
      <w:pPr>
        <w:pStyle w:val="ListParagraph"/>
        <w:numPr>
          <w:ilvl w:val="0"/>
          <w:numId w:val="157"/>
        </w:numPr>
        <w:spacing w:before="240" w:after="240" w:line="240" w:lineRule="auto"/>
      </w:pPr>
      <w:r w:rsidRPr="009E1361">
        <w:t>Home or community services</w:t>
      </w:r>
    </w:p>
    <w:p w14:paraId="36B65A35" w14:textId="77777777" w:rsidR="00960A13" w:rsidRPr="009E1361" w:rsidRDefault="00960A13" w:rsidP="00A677C9">
      <w:pPr>
        <w:pStyle w:val="ListParagraph"/>
        <w:spacing w:before="240" w:after="240" w:line="240" w:lineRule="auto"/>
      </w:pPr>
    </w:p>
    <w:p w14:paraId="0CAF7A66" w14:textId="77777777" w:rsidR="00960A13" w:rsidRPr="009E1361" w:rsidRDefault="00960A13" w:rsidP="00C56CEC">
      <w:pPr>
        <w:pStyle w:val="H3"/>
      </w:pPr>
      <w:r w:rsidRPr="009E1361">
        <w:t>Assessing for MPS</w:t>
      </w:r>
      <w:r w:rsidRPr="009E1361" w:rsidDel="00F71FE3">
        <w:t>P</w:t>
      </w:r>
    </w:p>
    <w:p w14:paraId="42F7580C" w14:textId="77777777" w:rsidR="00960A13" w:rsidRPr="009E1361" w:rsidRDefault="00960A13" w:rsidP="00A677C9">
      <w:pPr>
        <w:spacing w:before="240" w:after="240" w:line="240" w:lineRule="auto"/>
      </w:pPr>
      <w:r w:rsidRPr="009E1361">
        <w:t>Any person seeking to access services under the MPS</w:t>
      </w:r>
      <w:r w:rsidRPr="009E1361" w:rsidDel="00F71FE3">
        <w:t>P</w:t>
      </w:r>
      <w:r w:rsidRPr="009E1361">
        <w:t xml:space="preserve"> must make an application for funded aged care services. This must be in the approved form.</w:t>
      </w:r>
    </w:p>
    <w:p w14:paraId="25F998A8" w14:textId="0C1269B1" w:rsidR="00960A13" w:rsidRPr="009E1361" w:rsidRDefault="00960A13" w:rsidP="00C56CEC">
      <w:pPr>
        <w:pStyle w:val="H3"/>
      </w:pPr>
      <w:r w:rsidRPr="009E1361">
        <w:t xml:space="preserve">Recommending MPSP pathway in the </w:t>
      </w:r>
      <w:r w:rsidR="0060352D">
        <w:t>assessor portal</w:t>
      </w:r>
      <w:r w:rsidRPr="009E1361">
        <w:t xml:space="preserve"> </w:t>
      </w:r>
    </w:p>
    <w:p w14:paraId="736225C4" w14:textId="77777777" w:rsidR="00960A13" w:rsidRPr="009E1361" w:rsidRDefault="00960A13" w:rsidP="00A677C9">
      <w:pPr>
        <w:spacing w:before="240" w:after="240" w:line="240" w:lineRule="auto"/>
        <w:rPr>
          <w:lang w:val="en-US"/>
        </w:rPr>
      </w:pPr>
      <w:r w:rsidRPr="009E1361">
        <w:rPr>
          <w:noProof/>
        </w:rPr>
        <w:drawing>
          <wp:inline distT="0" distB="0" distL="0" distR="0" wp14:anchorId="21304603" wp14:editId="2A5C9D73">
            <wp:extent cx="5724524" cy="1314450"/>
            <wp:effectExtent l="0" t="0" r="0" b="0"/>
            <wp:docPr id="65637877" name="Picture 6563787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7877" name="Picture 65637877" descr="A screenshot of a computer&#10;&#10;AI-generated content may be incorrect."/>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724524" cy="1314450"/>
                    </a:xfrm>
                    <a:prstGeom prst="rect">
                      <a:avLst/>
                    </a:prstGeom>
                  </pic:spPr>
                </pic:pic>
              </a:graphicData>
            </a:graphic>
          </wp:inline>
        </w:drawing>
      </w:r>
    </w:p>
    <w:p w14:paraId="76F5D377" w14:textId="31AF0FEC" w:rsidR="00E72553" w:rsidRPr="00E72553" w:rsidRDefault="00E72553" w:rsidP="00E72553">
      <w:pPr>
        <w:pStyle w:val="Caption"/>
        <w:rPr>
          <w:b w:val="0"/>
          <w:bCs/>
          <w:i/>
          <w:iCs w:val="0"/>
          <w:lang w:val="en-AU"/>
        </w:rPr>
      </w:pPr>
      <w:r>
        <w:rPr>
          <w:b w:val="0"/>
          <w:bCs/>
          <w:i/>
          <w:iCs w:val="0"/>
          <w:lang w:val="en-AU"/>
        </w:rPr>
        <w:t xml:space="preserve">Figure </w:t>
      </w:r>
      <w:r w:rsidR="006A1ABE">
        <w:rPr>
          <w:b w:val="0"/>
          <w:bCs/>
          <w:i/>
          <w:iCs w:val="0"/>
          <w:lang w:val="en-AU"/>
        </w:rPr>
        <w:t xml:space="preserve">6 </w:t>
      </w:r>
      <w:r>
        <w:rPr>
          <w:b w:val="0"/>
          <w:bCs/>
          <w:i/>
          <w:iCs w:val="0"/>
          <w:lang w:val="en-AU"/>
        </w:rPr>
        <w:t xml:space="preserve">– Recommending MPSP pathway in the assessor portal </w:t>
      </w:r>
    </w:p>
    <w:p w14:paraId="4308B746" w14:textId="5C5793BF" w:rsidR="00303625" w:rsidRPr="00B1264E" w:rsidRDefault="00303625" w:rsidP="00A677C9">
      <w:pPr>
        <w:spacing w:before="240" w:after="240" w:line="240" w:lineRule="auto"/>
        <w:rPr>
          <w:lang w:val="en-AU"/>
        </w:rPr>
      </w:pPr>
      <w:r w:rsidRPr="00F77E8E">
        <w:rPr>
          <w:lang w:val="en-AU"/>
        </w:rPr>
        <w:t>When adding a service recommendation for MPSP, a drop</w:t>
      </w:r>
      <w:r>
        <w:rPr>
          <w:lang w:val="en-AU"/>
        </w:rPr>
        <w:t>-</w:t>
      </w:r>
      <w:r w:rsidRPr="00F77E8E">
        <w:rPr>
          <w:lang w:val="en-AU"/>
        </w:rPr>
        <w:t xml:space="preserve">down box will require the assessor to select a priority. </w:t>
      </w:r>
      <w:r w:rsidR="00A32902">
        <w:rPr>
          <w:lang w:val="en-AU"/>
        </w:rPr>
        <w:t>T</w:t>
      </w:r>
      <w:r w:rsidRPr="00F77E8E">
        <w:rPr>
          <w:lang w:val="en-AU"/>
        </w:rPr>
        <w:t xml:space="preserve">here is no priority system in place to receive services through and MPSP and the priority value in the service recommendation tab will not impact the timeliness of receiving these services. </w:t>
      </w:r>
      <w:r w:rsidRPr="003A66D0">
        <w:rPr>
          <w:lang w:val="en-AU"/>
        </w:rPr>
        <w:t xml:space="preserve">For consistency, assessors are required to set the priority </w:t>
      </w:r>
      <w:r w:rsidR="00584DA5">
        <w:rPr>
          <w:lang w:val="en-AU"/>
        </w:rPr>
        <w:t xml:space="preserve">value for the MPSP service recommendation </w:t>
      </w:r>
      <w:r w:rsidR="00584DA5" w:rsidRPr="003A66D0">
        <w:rPr>
          <w:lang w:val="en-AU"/>
        </w:rPr>
        <w:t>to low</w:t>
      </w:r>
      <w:r w:rsidR="00F16714" w:rsidRPr="003A66D0">
        <w:rPr>
          <w:lang w:val="en-AU"/>
        </w:rPr>
        <w:t xml:space="preserve">. </w:t>
      </w:r>
    </w:p>
    <w:p w14:paraId="6B9EFBAA" w14:textId="77777777" w:rsidR="00960A13" w:rsidRPr="009E1361" w:rsidRDefault="00960A13" w:rsidP="00A677C9">
      <w:pPr>
        <w:spacing w:before="240" w:after="240" w:line="240" w:lineRule="auto"/>
      </w:pPr>
      <w:r w:rsidRPr="009E1361">
        <w:t xml:space="preserve">It is best practice for all MPSP service recommendations to be fully recorded in the assessment notes to ensure that information in the support plan is accurate and complete. </w:t>
      </w:r>
    </w:p>
    <w:p w14:paraId="4D2999E6" w14:textId="77777777" w:rsidR="00960A13" w:rsidRPr="009E1361" w:rsidRDefault="00960A13" w:rsidP="00A677C9">
      <w:pPr>
        <w:spacing w:before="240" w:after="240" w:line="240" w:lineRule="auto"/>
      </w:pPr>
      <w:r w:rsidRPr="009E1361">
        <w:t>In the Notes section, assessors should include the following information:</w:t>
      </w:r>
    </w:p>
    <w:p w14:paraId="5001F12F" w14:textId="77777777" w:rsidR="00960A13" w:rsidRPr="009E1361" w:rsidRDefault="00960A13" w:rsidP="00DF3F6B">
      <w:pPr>
        <w:pStyle w:val="ListParagraph"/>
        <w:numPr>
          <w:ilvl w:val="0"/>
          <w:numId w:val="164"/>
        </w:numPr>
        <w:spacing w:before="240" w:after="240" w:line="240" w:lineRule="auto"/>
      </w:pPr>
      <w:r w:rsidRPr="009E1361">
        <w:t>If the older person would benefit from accessing services through a MPSP provider in their local area</w:t>
      </w:r>
    </w:p>
    <w:p w14:paraId="758E6FBD" w14:textId="77777777" w:rsidR="00960A13" w:rsidRPr="009E1361" w:rsidRDefault="00960A13" w:rsidP="00DF3F6B">
      <w:pPr>
        <w:pStyle w:val="ListParagraph"/>
        <w:numPr>
          <w:ilvl w:val="0"/>
          <w:numId w:val="164"/>
        </w:numPr>
        <w:spacing w:before="240" w:after="240" w:line="240" w:lineRule="auto"/>
      </w:pPr>
      <w:r w:rsidRPr="009E1361">
        <w:t>If the person would like to access services through a MPSP provider in their local area</w:t>
      </w:r>
    </w:p>
    <w:p w14:paraId="7461936D" w14:textId="77777777" w:rsidR="00960A13" w:rsidRPr="009E1361" w:rsidRDefault="00960A13" w:rsidP="00C56CEC">
      <w:pPr>
        <w:pStyle w:val="H3"/>
      </w:pPr>
      <w:r w:rsidRPr="009E1361">
        <w:t>Interactions with other programs</w:t>
      </w:r>
    </w:p>
    <w:p w14:paraId="5E61C0D8" w14:textId="68EB5AF9" w:rsidR="00960A13" w:rsidRPr="009E1361" w:rsidRDefault="00960A13" w:rsidP="00A677C9">
      <w:pPr>
        <w:spacing w:before="240" w:after="240" w:line="240" w:lineRule="auto"/>
        <w:rPr>
          <w:lang w:val="en-US"/>
        </w:rPr>
      </w:pPr>
      <w:r w:rsidRPr="009E1361">
        <w:rPr>
          <w:lang w:val="en-US"/>
        </w:rPr>
        <w:t>An older person cannot usually access services in the home and community and in a residential care home at the same time.</w:t>
      </w:r>
    </w:p>
    <w:p w14:paraId="67300F3C" w14:textId="77777777" w:rsidR="00960A13" w:rsidRPr="009E1361" w:rsidRDefault="00960A13" w:rsidP="00A677C9">
      <w:pPr>
        <w:spacing w:before="240" w:after="240" w:line="240" w:lineRule="auto"/>
        <w:rPr>
          <w:lang w:val="en-US"/>
        </w:rPr>
      </w:pPr>
      <w:r w:rsidRPr="009E1361">
        <w:rPr>
          <w:lang w:val="en-US"/>
        </w:rPr>
        <w:t xml:space="preserve">A person approved for home support, assistive technology and home modification service groups may concurrently access some services through an MPSP, and other services through a mainstream registered provider (e.g. a provider who delivers services under the Support at Home program). For example, the person could access gardening and meal delivery services through Support at Home, while accessing nursing care through the MPSP. However, they cannot access the same type of service on the same day from a specialist aged care program provider and another service provider. </w:t>
      </w:r>
    </w:p>
    <w:p w14:paraId="39C558CC" w14:textId="77777777" w:rsidR="00960A13" w:rsidRPr="009E1361" w:rsidRDefault="00960A13" w:rsidP="00A677C9">
      <w:pPr>
        <w:spacing w:before="240" w:after="240" w:line="240" w:lineRule="auto"/>
      </w:pPr>
      <w:r w:rsidRPr="009E1361">
        <w:t xml:space="preserve">Where the needs assessor discussed the person seeking access to services through their local MPS, the decision and plan should also include a specific referral code that a provider delivering services under the MPSP can use. </w:t>
      </w:r>
    </w:p>
    <w:tbl>
      <w:tblPr>
        <w:tblStyle w:val="TableGrid"/>
        <w:tblW w:w="0" w:type="auto"/>
        <w:tblLook w:val="04A0" w:firstRow="1" w:lastRow="0" w:firstColumn="1" w:lastColumn="0" w:noHBand="0" w:noVBand="1"/>
      </w:tblPr>
      <w:tblGrid>
        <w:gridCol w:w="988"/>
        <w:gridCol w:w="8028"/>
      </w:tblGrid>
      <w:tr w:rsidR="00960A13" w:rsidRPr="009E1361" w14:paraId="31073F1C" w14:textId="77777777">
        <w:tc>
          <w:tcPr>
            <w:tcW w:w="988" w:type="dxa"/>
          </w:tcPr>
          <w:p w14:paraId="62EC6871" w14:textId="77777777" w:rsidR="00960A13" w:rsidRPr="009E1361" w:rsidRDefault="00960A13" w:rsidP="00A677C9">
            <w:pPr>
              <w:spacing w:before="240" w:after="240"/>
            </w:pPr>
            <w:r w:rsidRPr="009E1361">
              <w:rPr>
                <w:noProof/>
              </w:rPr>
              <w:drawing>
                <wp:inline distT="0" distB="0" distL="0" distR="0" wp14:anchorId="50EB5BC9" wp14:editId="702D0456">
                  <wp:extent cx="383111" cy="381000"/>
                  <wp:effectExtent l="0" t="0" r="0" b="0"/>
                  <wp:docPr id="203304193" name="Picture 20330419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26FAB31" w14:textId="280DE298" w:rsidR="00960A13" w:rsidRPr="009E1361" w:rsidRDefault="00960A13" w:rsidP="00A677C9">
            <w:pPr>
              <w:spacing w:before="240" w:after="240"/>
            </w:pPr>
            <w:hyperlink r:id="rId184" w:history="1">
              <w:r w:rsidRPr="009E1361">
                <w:rPr>
                  <w:rStyle w:val="Hyperlink"/>
                </w:rPr>
                <w:t>About the Multi-Purpose Service Program | Australian Government Department of Health, Disability and Ageing</w:t>
              </w:r>
            </w:hyperlink>
          </w:p>
        </w:tc>
      </w:tr>
    </w:tbl>
    <w:p w14:paraId="4D1B2739" w14:textId="77777777" w:rsidR="00960A13" w:rsidRPr="00BE1ED7" w:rsidRDefault="00960A13" w:rsidP="00C56CEC">
      <w:pPr>
        <w:pStyle w:val="H3"/>
      </w:pPr>
      <w:bookmarkStart w:id="509" w:name="_Toc198813688"/>
      <w:bookmarkStart w:id="510" w:name="_Toc204329571"/>
      <w:r w:rsidRPr="00BE1ED7">
        <w:t>Referrals to NATSIFACP and MPSP providers </w:t>
      </w:r>
    </w:p>
    <w:p w14:paraId="25BC9F6F" w14:textId="77E29E6C" w:rsidR="00960A13" w:rsidRPr="00BE1ED7" w:rsidRDefault="00902B18" w:rsidP="00A677C9">
      <w:pPr>
        <w:spacing w:before="240" w:after="240" w:line="240" w:lineRule="auto"/>
        <w:rPr>
          <w:lang w:val="en-AU"/>
        </w:rPr>
      </w:pPr>
      <w:r>
        <w:rPr>
          <w:lang w:val="en-AU"/>
        </w:rPr>
        <w:t>I</w:t>
      </w:r>
      <w:r w:rsidR="00960A13" w:rsidRPr="00BE1ED7">
        <w:rPr>
          <w:lang w:val="en-AU"/>
        </w:rPr>
        <w:t>f a person is recommended for one or more services groups (e.g. Home Support, Assistive Technology, Home Modifications or Residential Care) and they intend to access the services under MPSP or NATSIFACP, the assessor should provide a MPSP or NATSIFACP service recommendation for the person as appropriate</w:t>
      </w:r>
      <w:r w:rsidR="00464F8C" w:rsidRPr="00BE1ED7">
        <w:rPr>
          <w:lang w:val="en-AU"/>
        </w:rPr>
        <w:t xml:space="preserve">. </w:t>
      </w:r>
    </w:p>
    <w:p w14:paraId="503D241D" w14:textId="231244B5" w:rsidR="00960A13" w:rsidRPr="00BE1ED7" w:rsidRDefault="00960A13" w:rsidP="00A677C9">
      <w:pPr>
        <w:spacing w:before="240" w:after="240" w:line="240" w:lineRule="auto"/>
        <w:rPr>
          <w:lang w:val="en-AU"/>
        </w:rPr>
      </w:pPr>
      <w:r w:rsidRPr="00BE1ED7">
        <w:rPr>
          <w:lang w:val="en-AU"/>
        </w:rPr>
        <w:t xml:space="preserve">This is in addition to providing service recommendations for one or more service groups which the assessor considers they meet the </w:t>
      </w:r>
      <w:r w:rsidR="00197E6D">
        <w:rPr>
          <w:lang w:val="en-AU"/>
        </w:rPr>
        <w:t>criteria</w:t>
      </w:r>
      <w:r w:rsidR="00197E6D" w:rsidRPr="00BE1ED7">
        <w:rPr>
          <w:lang w:val="en-AU"/>
        </w:rPr>
        <w:t xml:space="preserve"> </w:t>
      </w:r>
      <w:r w:rsidRPr="00BE1ED7">
        <w:rPr>
          <w:lang w:val="en-AU"/>
        </w:rPr>
        <w:t>for (e.g. Home Support, Assistive Technology, Home Modifications or Residential Care)</w:t>
      </w:r>
      <w:r w:rsidR="00464F8C" w:rsidRPr="00BE1ED7">
        <w:rPr>
          <w:lang w:val="en-AU"/>
        </w:rPr>
        <w:t xml:space="preserve">. </w:t>
      </w:r>
    </w:p>
    <w:p w14:paraId="549F4E9E" w14:textId="0C8B894F" w:rsidR="00960A13" w:rsidRPr="00BE1ED7" w:rsidRDefault="00960A13" w:rsidP="00A677C9">
      <w:pPr>
        <w:spacing w:before="240" w:after="240" w:line="240" w:lineRule="auto"/>
        <w:rPr>
          <w:lang w:val="en-AU"/>
        </w:rPr>
      </w:pPr>
      <w:r w:rsidRPr="00BE1ED7">
        <w:rPr>
          <w:lang w:val="en-AU"/>
        </w:rPr>
        <w:t xml:space="preserve">This will ensure the person will have a lawful access approval under the </w:t>
      </w:r>
      <w:r w:rsidR="005C2E3E" w:rsidRPr="008149E9">
        <w:rPr>
          <w:i/>
          <w:lang w:val="en-AU"/>
        </w:rPr>
        <w:t xml:space="preserve">Aged Care </w:t>
      </w:r>
      <w:r w:rsidRPr="008149E9">
        <w:rPr>
          <w:i/>
          <w:lang w:val="en-AU"/>
        </w:rPr>
        <w:t>Act</w:t>
      </w:r>
      <w:r w:rsidR="005C2E3E" w:rsidRPr="008149E9">
        <w:rPr>
          <w:i/>
          <w:lang w:val="en-AU"/>
        </w:rPr>
        <w:t xml:space="preserve"> 202</w:t>
      </w:r>
      <w:r w:rsidR="00A11765">
        <w:rPr>
          <w:i/>
          <w:iCs/>
          <w:lang w:val="en-AU"/>
        </w:rPr>
        <w:t>4</w:t>
      </w:r>
      <w:r w:rsidRPr="00BE1ED7">
        <w:rPr>
          <w:lang w:val="en-AU"/>
        </w:rPr>
        <w:t>, but also that they can be referred to a specialist provider in their local area where they are approved to access services. It will also ensure that additional information about the relevant specialist aged care program is included in their decision letter. </w:t>
      </w:r>
    </w:p>
    <w:p w14:paraId="7E97D451" w14:textId="5C28F22C" w:rsidR="00960A13" w:rsidRPr="00BE1ED7" w:rsidRDefault="00960A13" w:rsidP="00A677C9">
      <w:pPr>
        <w:spacing w:before="240" w:after="240" w:line="240" w:lineRule="auto"/>
        <w:rPr>
          <w:lang w:val="en-AU"/>
        </w:rPr>
      </w:pPr>
      <w:r>
        <w:rPr>
          <w:lang w:val="en-AU"/>
        </w:rPr>
        <w:t xml:space="preserve">Assessment </w:t>
      </w:r>
      <w:r w:rsidR="001E57D1">
        <w:rPr>
          <w:lang w:val="en-AU"/>
        </w:rPr>
        <w:t>delegates</w:t>
      </w:r>
      <w:r w:rsidR="001E57D1" w:rsidRPr="00BE1ED7">
        <w:rPr>
          <w:lang w:val="en-AU"/>
        </w:rPr>
        <w:t xml:space="preserve"> </w:t>
      </w:r>
      <w:r w:rsidR="005C2E3E">
        <w:rPr>
          <w:lang w:val="en-AU"/>
        </w:rPr>
        <w:t>are</w:t>
      </w:r>
      <w:r w:rsidRPr="00BE1ED7">
        <w:rPr>
          <w:lang w:val="en-AU"/>
        </w:rPr>
        <w:t xml:space="preserve"> responsible for approving service recommendations. </w:t>
      </w:r>
    </w:p>
    <w:p w14:paraId="21B92E39" w14:textId="18EBD868" w:rsidR="00960A13" w:rsidRPr="00BE1ED7" w:rsidRDefault="00960A13" w:rsidP="00C325C6">
      <w:pPr>
        <w:pStyle w:val="Sub-headings"/>
      </w:pPr>
      <w:r w:rsidRPr="00BE1ED7">
        <w:t>Important </w:t>
      </w:r>
    </w:p>
    <w:p w14:paraId="582F11DA" w14:textId="77777777" w:rsidR="00960A13" w:rsidRPr="00262289" w:rsidRDefault="00960A13" w:rsidP="00C325C6">
      <w:pPr>
        <w:pStyle w:val="Sub-headings"/>
      </w:pPr>
      <w:r w:rsidRPr="00262289">
        <w:t>It is not sufficient to only make a service recommendation for MPSP or NATSIFACP, as an individual cannot access services under these programs without an access approval from a delegate for one or more service groups. </w:t>
      </w:r>
    </w:p>
    <w:p w14:paraId="20CCCD89" w14:textId="51A43F55" w:rsidR="00960A13" w:rsidRPr="00262289" w:rsidRDefault="00A6682A" w:rsidP="00C325C6">
      <w:pPr>
        <w:pStyle w:val="Sub-headings"/>
      </w:pPr>
      <w:r w:rsidRPr="00262289">
        <w:t>I</w:t>
      </w:r>
      <w:r w:rsidR="00960A13" w:rsidRPr="00262289">
        <w:t>f the client has been approved for home support with an ongoing Support at Home (SaH) classification or for the AT-HM scheme, but intends to initially access services through their local MPSP or NATSIFACP provider, the assessor should set the ‘Seeking Services’ field to ‘No’ for one</w:t>
      </w:r>
      <w:r w:rsidR="60146DEB" w:rsidRPr="00262289">
        <w:t xml:space="preserve"> or </w:t>
      </w:r>
      <w:r w:rsidR="00960A13" w:rsidRPr="00262289">
        <w:t>all of these recommendations as needed. This must be confirmed with the individual before selecting the field.  This will prevent the individual from being added to the prioritisation queue(s) for these services and being offered a place which they do not intend to accept at that time. You should not do this if you expect the older person will need to concurrently access services from both the MPSP/NATSIFACP and SaH program and/or the AT-HM scheme. </w:t>
      </w:r>
    </w:p>
    <w:p w14:paraId="6BF5C57A" w14:textId="4A792C8A" w:rsidR="00960A13" w:rsidRPr="00BE1ED7" w:rsidRDefault="00960A13" w:rsidP="00A677C9">
      <w:pPr>
        <w:spacing w:before="240" w:after="240" w:line="240" w:lineRule="auto"/>
        <w:rPr>
          <w:lang w:val="en-AU"/>
        </w:rPr>
      </w:pPr>
      <w:r w:rsidRPr="00BE1ED7">
        <w:rPr>
          <w:lang w:val="en-AU"/>
        </w:rPr>
        <w:t xml:space="preserve">If the client has only been approved for Home Support with a CHSP class, then </w:t>
      </w:r>
      <w:r w:rsidR="0074493C">
        <w:rPr>
          <w:lang w:val="en-AU"/>
        </w:rPr>
        <w:t>an assess</w:t>
      </w:r>
      <w:r w:rsidR="00494923">
        <w:rPr>
          <w:lang w:val="en-AU"/>
        </w:rPr>
        <w:t xml:space="preserve">ment </w:t>
      </w:r>
      <w:r w:rsidR="003D32E3">
        <w:rPr>
          <w:lang w:val="en-AU"/>
        </w:rPr>
        <w:t xml:space="preserve">delegate </w:t>
      </w:r>
      <w:r w:rsidR="003D32E3" w:rsidRPr="00BE1ED7">
        <w:rPr>
          <w:lang w:val="en-AU"/>
        </w:rPr>
        <w:t>will</w:t>
      </w:r>
      <w:r w:rsidRPr="00BE1ED7">
        <w:rPr>
          <w:lang w:val="en-AU"/>
        </w:rPr>
        <w:t xml:space="preserve"> need to ensure that: </w:t>
      </w:r>
    </w:p>
    <w:p w14:paraId="4EA5C8D0" w14:textId="77777777" w:rsidR="00960A13" w:rsidRPr="00BE1ED7" w:rsidRDefault="00960A13" w:rsidP="00DF3F6B">
      <w:pPr>
        <w:pStyle w:val="ListParagraph"/>
        <w:numPr>
          <w:ilvl w:val="0"/>
          <w:numId w:val="210"/>
        </w:numPr>
        <w:spacing w:before="240" w:after="240" w:line="240" w:lineRule="auto"/>
        <w:rPr>
          <w:lang w:val="en-AU"/>
        </w:rPr>
      </w:pPr>
      <w:r w:rsidRPr="00BE1ED7">
        <w:rPr>
          <w:lang w:val="en-AU"/>
        </w:rPr>
        <w:t>the MPSP or NATSIFACP service recommendation is recorded in the Notes section (as well as being a service recommendation in the support plan) </w:t>
      </w:r>
    </w:p>
    <w:p w14:paraId="4915B831" w14:textId="77777777" w:rsidR="00960A13" w:rsidRPr="00BE1ED7" w:rsidRDefault="00960A13" w:rsidP="00DF3F6B">
      <w:pPr>
        <w:pStyle w:val="ListParagraph"/>
        <w:numPr>
          <w:ilvl w:val="0"/>
          <w:numId w:val="210"/>
        </w:numPr>
        <w:spacing w:before="240" w:after="240" w:line="240" w:lineRule="auto"/>
        <w:rPr>
          <w:lang w:val="en-AU"/>
        </w:rPr>
      </w:pPr>
      <w:r w:rsidRPr="00BE1ED7">
        <w:rPr>
          <w:lang w:val="en-AU"/>
        </w:rPr>
        <w:t>the support plan and Notice of Decision include the required MPSP and/or NATSIFACP text. </w:t>
      </w:r>
    </w:p>
    <w:p w14:paraId="61480777" w14:textId="7AF130A0" w:rsidR="00960A13" w:rsidRPr="00F041AA" w:rsidRDefault="00960A13" w:rsidP="00507F9D">
      <w:pPr>
        <w:pStyle w:val="h2"/>
      </w:pPr>
      <w:bookmarkStart w:id="511" w:name="_Toc209189002"/>
      <w:bookmarkStart w:id="512" w:name="_Toc224916662"/>
      <w:r w:rsidRPr="009E1361">
        <w:t>Transition Care Program (TCP)</w:t>
      </w:r>
      <w:bookmarkEnd w:id="509"/>
      <w:bookmarkEnd w:id="510"/>
      <w:bookmarkEnd w:id="511"/>
      <w:bookmarkEnd w:id="512"/>
    </w:p>
    <w:p w14:paraId="23534E01" w14:textId="4D3ABBD3" w:rsidR="00960A13" w:rsidRDefault="00960A13" w:rsidP="00A677C9">
      <w:pPr>
        <w:spacing w:before="240" w:after="240" w:line="240" w:lineRule="auto"/>
        <w:textAlignment w:val="baseline"/>
        <w:rPr>
          <w:rFonts w:eastAsia="Times New Roman"/>
          <w:lang w:val="en-AU"/>
        </w:rPr>
      </w:pPr>
      <w:r w:rsidRPr="009E1361">
        <w:rPr>
          <w:rFonts w:eastAsia="Times New Roman"/>
          <w:lang w:val="en-AU"/>
        </w:rPr>
        <w:t xml:space="preserve">Transition care is </w:t>
      </w:r>
      <w:r>
        <w:rPr>
          <w:rFonts w:eastAsia="Times New Roman"/>
          <w:lang w:val="en-AU"/>
        </w:rPr>
        <w:t>a</w:t>
      </w:r>
      <w:r w:rsidRPr="009E1361">
        <w:rPr>
          <w:rFonts w:eastAsia="Times New Roman"/>
          <w:lang w:val="en-AU"/>
        </w:rPr>
        <w:t xml:space="preserve">vailable </w:t>
      </w:r>
      <w:r>
        <w:rPr>
          <w:rFonts w:eastAsia="Times New Roman"/>
          <w:lang w:val="en-AU"/>
        </w:rPr>
        <w:t xml:space="preserve">to older people </w:t>
      </w:r>
      <w:r w:rsidRPr="009E1361">
        <w:rPr>
          <w:rFonts w:eastAsia="Times New Roman"/>
          <w:lang w:val="en-AU"/>
        </w:rPr>
        <w:t>following a</w:t>
      </w:r>
      <w:r>
        <w:rPr>
          <w:rFonts w:eastAsia="Times New Roman"/>
          <w:lang w:val="en-AU"/>
        </w:rPr>
        <w:t>dmission to</w:t>
      </w:r>
      <w:r w:rsidRPr="009E1361">
        <w:rPr>
          <w:rFonts w:eastAsia="Times New Roman"/>
          <w:lang w:val="en-AU"/>
        </w:rPr>
        <w:t xml:space="preserve"> hospital</w:t>
      </w:r>
      <w:r>
        <w:rPr>
          <w:rFonts w:eastAsia="Times New Roman"/>
          <w:lang w:val="en-AU"/>
        </w:rPr>
        <w:t xml:space="preserve">. The program is </w:t>
      </w:r>
      <w:r w:rsidRPr="009E1361">
        <w:rPr>
          <w:rFonts w:eastAsia="Times New Roman"/>
          <w:lang w:val="en-AU"/>
        </w:rPr>
        <w:t>delivered under the service groups home support, assistive technology, and residential care</w:t>
      </w:r>
      <w:r w:rsidRPr="009E1361">
        <w:rPr>
          <w:rFonts w:eastAsia="Times New Roman"/>
          <w:b/>
          <w:lang w:val="en-AU"/>
        </w:rPr>
        <w:t>. </w:t>
      </w:r>
      <w:r w:rsidRPr="009E1361">
        <w:rPr>
          <w:rFonts w:eastAsia="Times New Roman"/>
          <w:lang w:val="en-AU"/>
        </w:rPr>
        <w:t>Transition Care is designed to support individuals in the period immediately after discharge from hospital. It aims to facilitate recovery, improve functional capacity, and provide time and support in a non-hospital environment while long-term care arrangements are being considered. </w:t>
      </w:r>
    </w:p>
    <w:p w14:paraId="46A475EC" w14:textId="6745405C" w:rsidR="00960A13" w:rsidRPr="009E1361" w:rsidRDefault="00960A13" w:rsidP="00A677C9">
      <w:pPr>
        <w:spacing w:before="240" w:after="240" w:line="240" w:lineRule="auto"/>
      </w:pPr>
      <w:r w:rsidRPr="009E1361">
        <w:t>Services include:</w:t>
      </w:r>
    </w:p>
    <w:p w14:paraId="2E4CC3E4" w14:textId="77777777" w:rsidR="00960A13" w:rsidRPr="009E1361" w:rsidRDefault="00960A13" w:rsidP="00DF3F6B">
      <w:pPr>
        <w:pStyle w:val="ListParagraph"/>
        <w:numPr>
          <w:ilvl w:val="0"/>
          <w:numId w:val="143"/>
        </w:numPr>
        <w:spacing w:before="240" w:after="240" w:line="240" w:lineRule="auto"/>
      </w:pPr>
      <w:r w:rsidRPr="009E1361">
        <w:t>social work</w:t>
      </w:r>
    </w:p>
    <w:p w14:paraId="5203BD8C" w14:textId="15EF47D1" w:rsidR="00960A13" w:rsidRPr="009E1361" w:rsidRDefault="00960A13" w:rsidP="00DF3F6B">
      <w:pPr>
        <w:pStyle w:val="ListParagraph"/>
        <w:numPr>
          <w:ilvl w:val="0"/>
          <w:numId w:val="143"/>
        </w:numPr>
        <w:spacing w:before="240" w:after="240" w:line="240" w:lineRule="auto"/>
      </w:pPr>
      <w:r w:rsidRPr="009E1361">
        <w:t>nursing support</w:t>
      </w:r>
    </w:p>
    <w:p w14:paraId="748B74C7" w14:textId="77777777" w:rsidR="00960A13" w:rsidRPr="009E1361" w:rsidRDefault="00960A13" w:rsidP="00DF3F6B">
      <w:pPr>
        <w:pStyle w:val="ListParagraph"/>
        <w:numPr>
          <w:ilvl w:val="0"/>
          <w:numId w:val="143"/>
        </w:numPr>
        <w:spacing w:before="240" w:after="240" w:line="240" w:lineRule="auto"/>
      </w:pPr>
      <w:r w:rsidRPr="009E1361">
        <w:t>personal care</w:t>
      </w:r>
    </w:p>
    <w:p w14:paraId="250BFD17" w14:textId="77777777" w:rsidR="00960A13" w:rsidRPr="009E1361" w:rsidRDefault="00960A13" w:rsidP="00DF3F6B">
      <w:pPr>
        <w:pStyle w:val="ListParagraph"/>
        <w:numPr>
          <w:ilvl w:val="0"/>
          <w:numId w:val="143"/>
        </w:numPr>
        <w:spacing w:before="240" w:after="240" w:line="240" w:lineRule="auto"/>
      </w:pPr>
      <w:r w:rsidRPr="009E1361">
        <w:t>allied health care</w:t>
      </w:r>
    </w:p>
    <w:p w14:paraId="57F92C80" w14:textId="4F15F989" w:rsidR="00960A13" w:rsidRPr="009E1361" w:rsidRDefault="00960A13" w:rsidP="00DF3F6B">
      <w:pPr>
        <w:pStyle w:val="ListParagraph"/>
        <w:numPr>
          <w:ilvl w:val="0"/>
          <w:numId w:val="143"/>
        </w:numPr>
        <w:spacing w:before="240" w:after="240" w:line="240" w:lineRule="auto"/>
      </w:pPr>
      <w:r>
        <w:t>e</w:t>
      </w:r>
      <w:r w:rsidRPr="009E1361">
        <w:t>quipment and products to assist with mobility.</w:t>
      </w:r>
    </w:p>
    <w:p w14:paraId="0D2D1FD7" w14:textId="5AF2C18D" w:rsidR="00960A13" w:rsidRPr="009E1361" w:rsidRDefault="00960A13" w:rsidP="00A677C9">
      <w:pPr>
        <w:spacing w:before="240" w:after="240" w:line="240" w:lineRule="auto"/>
      </w:pPr>
      <w:r>
        <w:t>Transition c</w:t>
      </w:r>
      <w:r w:rsidRPr="009E1361">
        <w:t xml:space="preserve">are can take place in a person’s home, a community setting or a residential aged care setting. Older people accessing Support at Home can also access TCP services if they are assessed as eligible to receive transition care and there is no duplication in service provision. </w:t>
      </w:r>
    </w:p>
    <w:p w14:paraId="172B3FD1" w14:textId="719C38AB" w:rsidR="00960A13" w:rsidRPr="007E6F47" w:rsidRDefault="00960A13" w:rsidP="00C56CEC">
      <w:pPr>
        <w:pStyle w:val="H3"/>
      </w:pPr>
      <w:r w:rsidRPr="007E6F47">
        <w:t xml:space="preserve">Access to </w:t>
      </w:r>
      <w:r w:rsidR="00976CCB">
        <w:t>t</w:t>
      </w:r>
      <w:r w:rsidRPr="007E6F47">
        <w:t xml:space="preserve">ransition </w:t>
      </w:r>
      <w:r w:rsidR="00976CCB">
        <w:t>c</w:t>
      </w:r>
      <w:r w:rsidRPr="007E6F47">
        <w:t>are</w:t>
      </w:r>
    </w:p>
    <w:p w14:paraId="713BFE0E" w14:textId="227853D6" w:rsidR="00960A13" w:rsidRPr="007E6F47" w:rsidRDefault="00960A13" w:rsidP="00A677C9">
      <w:pPr>
        <w:spacing w:before="240" w:after="240" w:line="240" w:lineRule="auto"/>
      </w:pPr>
      <w:r w:rsidRPr="007E6F47">
        <w:t>Transition care is </w:t>
      </w:r>
      <w:r w:rsidRPr="00FB5BCB">
        <w:t>time-limited</w:t>
      </w:r>
      <w:r w:rsidRPr="00433B18">
        <w:rPr>
          <w:bCs/>
        </w:rPr>
        <w:t>,</w:t>
      </w:r>
      <w:r w:rsidRPr="007E6F47">
        <w:t xml:space="preserve"> with individuals allocated a </w:t>
      </w:r>
      <w:r w:rsidRPr="00FB5BCB">
        <w:t>funded period of 12 weeks</w:t>
      </w:r>
      <w:r w:rsidRPr="007E6F47">
        <w:t> to access services under the program. However, if the individual's recovery requires additional time, the service provider can apply for an extension.</w:t>
      </w:r>
    </w:p>
    <w:p w14:paraId="258E43B7" w14:textId="4D95DE90" w:rsidR="00960A13" w:rsidRPr="007E6F47" w:rsidRDefault="00960A13" w:rsidP="00A677C9">
      <w:pPr>
        <w:spacing w:before="240" w:after="240" w:line="240" w:lineRule="auto"/>
      </w:pPr>
      <w:r w:rsidRPr="007E6F47">
        <w:t xml:space="preserve">The Transition Care Program is defined under the </w:t>
      </w:r>
      <w:r w:rsidR="001651D7" w:rsidRPr="00FB5BCB">
        <w:rPr>
          <w:i/>
        </w:rPr>
        <w:t xml:space="preserve">Aged Care </w:t>
      </w:r>
      <w:r w:rsidRPr="00FB5BCB">
        <w:rPr>
          <w:i/>
        </w:rPr>
        <w:t xml:space="preserve">Act </w:t>
      </w:r>
      <w:r w:rsidR="001651D7" w:rsidRPr="00FB5BCB">
        <w:rPr>
          <w:i/>
        </w:rPr>
        <w:t>202</w:t>
      </w:r>
      <w:r w:rsidR="00CC2E76">
        <w:t>4</w:t>
      </w:r>
      <w:r w:rsidR="00707194">
        <w:t xml:space="preserve"> </w:t>
      </w:r>
      <w:r w:rsidRPr="007E6F47">
        <w:t xml:space="preserve">as a </w:t>
      </w:r>
      <w:r w:rsidRPr="00FB5BCB">
        <w:t>specialist aged care program</w:t>
      </w:r>
      <w:r w:rsidRPr="007E6F47">
        <w:t xml:space="preserve">. The number of places available for this care type is determined by the </w:t>
      </w:r>
      <w:r w:rsidR="006B5AC3">
        <w:t xml:space="preserve">Federal </w:t>
      </w:r>
      <w:r w:rsidRPr="007E6F47">
        <w:t>Minister</w:t>
      </w:r>
      <w:r w:rsidR="006B5AC3">
        <w:t xml:space="preserve"> for Health</w:t>
      </w:r>
      <w:r w:rsidRPr="007E6F47">
        <w:t xml:space="preserve">, </w:t>
      </w:r>
      <w:r w:rsidR="001D0566">
        <w:t>Disability and Ageing</w:t>
      </w:r>
      <w:r w:rsidRPr="007E6F47">
        <w:t>, based on state and territory needs. Only </w:t>
      </w:r>
      <w:r w:rsidRPr="00FB5BCB">
        <w:t>registered providers</w:t>
      </w:r>
      <w:r w:rsidRPr="007E6F47">
        <w:t> are permitted to deliver hospital transition care using these allocated places.</w:t>
      </w:r>
    </w:p>
    <w:p w14:paraId="5DC89B38" w14:textId="0677BAFA" w:rsidR="00960A13" w:rsidRPr="007E6F47" w:rsidRDefault="00960A13" w:rsidP="00A677C9">
      <w:pPr>
        <w:spacing w:before="240" w:after="240" w:line="240" w:lineRule="auto"/>
      </w:pPr>
      <w:r w:rsidRPr="007E6F47">
        <w:t>Importantly, to be eligible for the program, the individual must be:</w:t>
      </w:r>
    </w:p>
    <w:p w14:paraId="73F7A814" w14:textId="05E63525" w:rsidR="00960A13" w:rsidRPr="007E6F47" w:rsidRDefault="00960A13" w:rsidP="00DF3F6B">
      <w:pPr>
        <w:pStyle w:val="ListParagraph"/>
        <w:numPr>
          <w:ilvl w:val="0"/>
          <w:numId w:val="194"/>
        </w:numPr>
        <w:spacing w:before="240" w:after="240" w:line="240" w:lineRule="auto"/>
      </w:pPr>
      <w:r w:rsidRPr="00FB5BCB">
        <w:t>medically stable at the time of assessment</w:t>
      </w:r>
      <w:r w:rsidRPr="007E6F47">
        <w:t>; and</w:t>
      </w:r>
    </w:p>
    <w:p w14:paraId="7EF80751" w14:textId="0FC9F243" w:rsidR="00960A13" w:rsidRPr="007E6F47" w:rsidRDefault="00960A13" w:rsidP="00DF3F6B">
      <w:pPr>
        <w:pStyle w:val="ListParagraph"/>
        <w:numPr>
          <w:ilvl w:val="0"/>
          <w:numId w:val="194"/>
        </w:numPr>
        <w:spacing w:before="240" w:after="240" w:line="240" w:lineRule="auto"/>
      </w:pPr>
      <w:r w:rsidRPr="007E6F47">
        <w:t xml:space="preserve">is in the </w:t>
      </w:r>
      <w:r w:rsidRPr="00FB5BCB">
        <w:t>concluding stage of a hospital episode</w:t>
      </w:r>
      <w:r w:rsidRPr="007E6F47">
        <w:t>; and</w:t>
      </w:r>
    </w:p>
    <w:p w14:paraId="0C3D989A" w14:textId="77777777" w:rsidR="00960A13" w:rsidRPr="00417711" w:rsidRDefault="00960A13" w:rsidP="00DF3F6B">
      <w:pPr>
        <w:pStyle w:val="ListParagraph"/>
        <w:numPr>
          <w:ilvl w:val="0"/>
          <w:numId w:val="194"/>
        </w:numPr>
        <w:spacing w:before="240" w:after="240" w:line="240" w:lineRule="auto"/>
      </w:pPr>
      <w:r w:rsidRPr="007E6F47">
        <w:t xml:space="preserve">has the </w:t>
      </w:r>
      <w:r w:rsidRPr="00FB5BCB">
        <w:t xml:space="preserve">potential to benefit </w:t>
      </w:r>
      <w:r w:rsidRPr="000B5822">
        <w:rPr>
          <w:bCs/>
        </w:rPr>
        <w:t>from</w:t>
      </w:r>
      <w:r w:rsidRPr="007E6F47">
        <w:t xml:space="preserve"> accessing services delivered through the relevant </w:t>
      </w:r>
      <w:r w:rsidRPr="00417711">
        <w:t>service group under the TCP; and</w:t>
      </w:r>
    </w:p>
    <w:p w14:paraId="32140E42" w14:textId="29D916B0" w:rsidR="00960A13" w:rsidRPr="00417711" w:rsidRDefault="00960A13" w:rsidP="00DF3F6B">
      <w:pPr>
        <w:pStyle w:val="ListParagraph"/>
        <w:numPr>
          <w:ilvl w:val="0"/>
          <w:numId w:val="194"/>
        </w:numPr>
        <w:spacing w:before="240" w:after="240" w:line="240" w:lineRule="auto"/>
      </w:pPr>
      <w:r w:rsidRPr="00417711">
        <w:t xml:space="preserve">at the time the assessment was carried out, </w:t>
      </w:r>
      <w:r w:rsidRPr="00FB5BCB">
        <w:t>an admitted hospital patient</w:t>
      </w:r>
      <w:r w:rsidRPr="00417711">
        <w:t xml:space="preserve">. </w:t>
      </w:r>
      <w:r>
        <w:t xml:space="preserve">This includes people receiving hospital-in-the-home.  </w:t>
      </w:r>
    </w:p>
    <w:p w14:paraId="4673CA4D" w14:textId="77777777" w:rsidR="00960A13" w:rsidRPr="00417711" w:rsidRDefault="00960A13" w:rsidP="00A677C9">
      <w:pPr>
        <w:spacing w:before="240" w:after="240" w:line="240" w:lineRule="auto"/>
      </w:pPr>
      <w:r w:rsidRPr="00417711">
        <w:t>Once an individual is approved for hospital transition care, it is usual practice for hospital discharge staff to </w:t>
      </w:r>
      <w:r w:rsidRPr="00FB5BCB">
        <w:t>refer them directly to their local Transition Care provider</w:t>
      </w:r>
      <w:r w:rsidRPr="000B5822">
        <w:rPr>
          <w:bCs/>
        </w:rPr>
        <w:t>, following delegated approval.</w:t>
      </w:r>
    </w:p>
    <w:p w14:paraId="6324BB05" w14:textId="0687BE43" w:rsidR="00960A13" w:rsidRPr="00417711" w:rsidRDefault="00960A13" w:rsidP="00C56CEC">
      <w:pPr>
        <w:pStyle w:val="H3"/>
      </w:pPr>
      <w:r w:rsidRPr="00417711">
        <w:t xml:space="preserve">Recommending </w:t>
      </w:r>
      <w:r w:rsidR="00976CCB">
        <w:t>t</w:t>
      </w:r>
      <w:r w:rsidRPr="00417711">
        <w:t xml:space="preserve">ransition </w:t>
      </w:r>
      <w:r w:rsidR="00976CCB">
        <w:t>c</w:t>
      </w:r>
      <w:r w:rsidRPr="00417711">
        <w:t>are</w:t>
      </w:r>
    </w:p>
    <w:p w14:paraId="1327A0DC" w14:textId="5768955A" w:rsidR="00960A13" w:rsidRPr="009E1361" w:rsidRDefault="00960A13" w:rsidP="00A677C9">
      <w:pPr>
        <w:spacing w:before="240" w:after="240" w:line="240" w:lineRule="auto"/>
        <w:rPr>
          <w:rFonts w:eastAsia="Aptos"/>
          <w:lang w:val="en-AU"/>
        </w:rPr>
      </w:pPr>
      <w:bookmarkStart w:id="513" w:name="_Toc198813689"/>
      <w:r w:rsidRPr="1D73B482">
        <w:rPr>
          <w:rFonts w:eastAsia="Aptos"/>
          <w:lang w:val="en-AU"/>
        </w:rPr>
        <w:t xml:space="preserve">When recommending Transition Care in the support plan, </w:t>
      </w:r>
      <w:r>
        <w:rPr>
          <w:rFonts w:eastAsia="Aptos"/>
          <w:lang w:val="en-AU"/>
        </w:rPr>
        <w:t>assessors</w:t>
      </w:r>
      <w:r w:rsidRPr="009E1361">
        <w:rPr>
          <w:rFonts w:eastAsia="Aptos"/>
          <w:lang w:val="en-AU"/>
        </w:rPr>
        <w:t xml:space="preserve"> will add the </w:t>
      </w:r>
      <w:r>
        <w:rPr>
          <w:rFonts w:eastAsia="Aptos"/>
          <w:lang w:val="en-AU"/>
        </w:rPr>
        <w:t>c</w:t>
      </w:r>
      <w:r w:rsidRPr="009E1361">
        <w:rPr>
          <w:rFonts w:eastAsia="Aptos"/>
          <w:lang w:val="en-AU"/>
        </w:rPr>
        <w:t xml:space="preserve">are </w:t>
      </w:r>
      <w:r>
        <w:rPr>
          <w:rFonts w:eastAsia="Aptos"/>
          <w:lang w:val="en-AU"/>
        </w:rPr>
        <w:t>t</w:t>
      </w:r>
      <w:r w:rsidRPr="009E1361">
        <w:rPr>
          <w:rFonts w:eastAsia="Aptos"/>
          <w:lang w:val="en-AU"/>
        </w:rPr>
        <w:t xml:space="preserve">ype Transition Care – After Hospital Care. When approved by the </w:t>
      </w:r>
      <w:r>
        <w:rPr>
          <w:rFonts w:eastAsia="Aptos"/>
          <w:lang w:val="en-AU"/>
        </w:rPr>
        <w:t xml:space="preserve">assessment </w:t>
      </w:r>
      <w:r w:rsidRPr="009E1361">
        <w:rPr>
          <w:rFonts w:eastAsia="Aptos"/>
          <w:lang w:val="en-AU"/>
        </w:rPr>
        <w:t>delegate</w:t>
      </w:r>
      <w:r w:rsidRPr="1D73B482">
        <w:rPr>
          <w:rFonts w:eastAsia="Aptos"/>
          <w:lang w:val="en-AU"/>
        </w:rPr>
        <w:t xml:space="preserve">, </w:t>
      </w:r>
      <w:r w:rsidRPr="009E1361">
        <w:rPr>
          <w:rFonts w:eastAsia="Aptos"/>
          <w:lang w:val="en-AU"/>
        </w:rPr>
        <w:t>the client will be approved for the following Service Groups:</w:t>
      </w:r>
    </w:p>
    <w:p w14:paraId="7252DCEE" w14:textId="77777777" w:rsidR="00960A13" w:rsidRPr="009E1361" w:rsidRDefault="00960A13" w:rsidP="00DF3F6B">
      <w:pPr>
        <w:pStyle w:val="ListParagraph"/>
        <w:numPr>
          <w:ilvl w:val="0"/>
          <w:numId w:val="177"/>
        </w:numPr>
        <w:spacing w:before="240" w:after="240" w:line="240" w:lineRule="auto"/>
        <w:rPr>
          <w:rFonts w:eastAsia="Aptos"/>
          <w:lang w:val="en-AU"/>
        </w:rPr>
      </w:pPr>
      <w:r w:rsidRPr="009E1361">
        <w:rPr>
          <w:rFonts w:eastAsia="Aptos"/>
          <w:lang w:val="en-AU"/>
        </w:rPr>
        <w:t xml:space="preserve">Home </w:t>
      </w:r>
      <w:r w:rsidR="003D32E3" w:rsidRPr="009E1361">
        <w:rPr>
          <w:rFonts w:eastAsia="Aptos"/>
          <w:lang w:val="en-AU"/>
        </w:rPr>
        <w:t>Support</w:t>
      </w:r>
      <w:r w:rsidR="003D32E3">
        <w:rPr>
          <w:rFonts w:eastAsia="Aptos"/>
          <w:lang w:val="en-AU"/>
        </w:rPr>
        <w:t>;</w:t>
      </w:r>
    </w:p>
    <w:p w14:paraId="6FF27B76" w14:textId="77777777" w:rsidR="00960A13" w:rsidRPr="009E1361" w:rsidRDefault="00960A13" w:rsidP="00DF3F6B">
      <w:pPr>
        <w:pStyle w:val="ListParagraph"/>
        <w:numPr>
          <w:ilvl w:val="0"/>
          <w:numId w:val="177"/>
        </w:numPr>
        <w:spacing w:before="240" w:after="240" w:line="240" w:lineRule="auto"/>
        <w:rPr>
          <w:rFonts w:eastAsia="Aptos"/>
          <w:lang w:val="en-AU"/>
        </w:rPr>
      </w:pPr>
      <w:r w:rsidRPr="009E1361">
        <w:rPr>
          <w:rFonts w:eastAsia="Aptos"/>
          <w:lang w:val="en-AU"/>
        </w:rPr>
        <w:t>Assistive Technology; and</w:t>
      </w:r>
    </w:p>
    <w:p w14:paraId="44775860" w14:textId="77777777" w:rsidR="00960A13" w:rsidRPr="009E1361" w:rsidRDefault="00960A13" w:rsidP="00DF3F6B">
      <w:pPr>
        <w:pStyle w:val="ListParagraph"/>
        <w:numPr>
          <w:ilvl w:val="0"/>
          <w:numId w:val="177"/>
        </w:numPr>
        <w:spacing w:before="240" w:after="240" w:line="240" w:lineRule="auto"/>
        <w:rPr>
          <w:rFonts w:eastAsia="Aptos"/>
          <w:lang w:val="en-AU"/>
        </w:rPr>
      </w:pPr>
      <w:r w:rsidRPr="009E1361">
        <w:rPr>
          <w:rFonts w:eastAsia="Aptos"/>
          <w:lang w:val="en-AU"/>
        </w:rPr>
        <w:t>Residential Care</w:t>
      </w:r>
      <w:r>
        <w:rPr>
          <w:rFonts w:eastAsia="Aptos"/>
          <w:lang w:val="en-AU"/>
        </w:rPr>
        <w:t>.</w:t>
      </w:r>
    </w:p>
    <w:p w14:paraId="048A2331" w14:textId="47D5C493"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 xml:space="preserve">The client will </w:t>
      </w:r>
      <w:r>
        <w:rPr>
          <w:rFonts w:eastAsia="Times New Roman"/>
          <w:lang w:val="en-AU"/>
        </w:rPr>
        <w:t xml:space="preserve">then </w:t>
      </w:r>
      <w:r w:rsidRPr="009E1361">
        <w:rPr>
          <w:rFonts w:eastAsia="Times New Roman"/>
          <w:lang w:val="en-AU"/>
        </w:rPr>
        <w:t xml:space="preserve">have access to </w:t>
      </w:r>
      <w:r>
        <w:rPr>
          <w:rFonts w:eastAsia="Times New Roman"/>
          <w:lang w:val="en-AU"/>
        </w:rPr>
        <w:t xml:space="preserve">all of </w:t>
      </w:r>
      <w:r w:rsidRPr="009E1361">
        <w:rPr>
          <w:rFonts w:eastAsia="Times New Roman"/>
          <w:lang w:val="en-AU"/>
        </w:rPr>
        <w:t xml:space="preserve">the required </w:t>
      </w:r>
      <w:r>
        <w:rPr>
          <w:rFonts w:eastAsia="Times New Roman"/>
          <w:lang w:val="en-AU"/>
        </w:rPr>
        <w:t xml:space="preserve">Transition Care </w:t>
      </w:r>
      <w:r w:rsidRPr="1D73B482">
        <w:rPr>
          <w:rFonts w:eastAsia="Times New Roman"/>
          <w:lang w:val="en-AU"/>
        </w:rPr>
        <w:t>service t</w:t>
      </w:r>
      <w:r w:rsidRPr="009E1361">
        <w:rPr>
          <w:rFonts w:eastAsia="Times New Roman"/>
          <w:lang w:val="en-AU"/>
        </w:rPr>
        <w:t xml:space="preserve">ypes under each </w:t>
      </w:r>
      <w:r w:rsidRPr="1D73B482">
        <w:rPr>
          <w:rFonts w:eastAsia="Times New Roman"/>
          <w:lang w:val="en-AU"/>
        </w:rPr>
        <w:t>service g</w:t>
      </w:r>
      <w:r w:rsidRPr="009E1361">
        <w:rPr>
          <w:rFonts w:eastAsia="Times New Roman"/>
          <w:lang w:val="en-AU"/>
        </w:rPr>
        <w:t>roup</w:t>
      </w:r>
      <w:r>
        <w:rPr>
          <w:rFonts w:eastAsia="Times New Roman"/>
          <w:lang w:val="en-AU"/>
        </w:rPr>
        <w:t>,</w:t>
      </w:r>
      <w:r w:rsidRPr="009E1361">
        <w:rPr>
          <w:rFonts w:eastAsia="Times New Roman"/>
          <w:lang w:val="en-AU"/>
        </w:rPr>
        <w:t xml:space="preserve"> to allow them to receive transition care across different care settings including their home/in the community and Residential Care or a mixture of both. The Assessor and </w:t>
      </w:r>
      <w:r w:rsidR="007359A0">
        <w:rPr>
          <w:rFonts w:eastAsia="Times New Roman"/>
          <w:lang w:val="en-AU"/>
        </w:rPr>
        <w:t>Assessment D</w:t>
      </w:r>
      <w:r w:rsidRPr="009E1361">
        <w:rPr>
          <w:rFonts w:eastAsia="Times New Roman"/>
          <w:lang w:val="en-AU"/>
        </w:rPr>
        <w:t xml:space="preserve">elegate are not required to action any additional tasks such as </w:t>
      </w:r>
      <w:r w:rsidRPr="1D73B482">
        <w:rPr>
          <w:rFonts w:eastAsia="Times New Roman"/>
          <w:lang w:val="en-AU"/>
        </w:rPr>
        <w:t xml:space="preserve">selecting </w:t>
      </w:r>
      <w:r w:rsidRPr="009E1361">
        <w:rPr>
          <w:rFonts w:eastAsia="Times New Roman"/>
          <w:lang w:val="en-AU"/>
        </w:rPr>
        <w:t xml:space="preserve">service types within the system </w:t>
      </w:r>
      <w:r w:rsidRPr="1D73B482">
        <w:rPr>
          <w:rFonts w:eastAsia="Times New Roman"/>
          <w:lang w:val="en-AU"/>
        </w:rPr>
        <w:t xml:space="preserve">in order </w:t>
      </w:r>
      <w:r w:rsidRPr="009E1361">
        <w:rPr>
          <w:rFonts w:eastAsia="Times New Roman"/>
          <w:lang w:val="en-AU"/>
        </w:rPr>
        <w:t xml:space="preserve">for the client to be approved for all of the </w:t>
      </w:r>
      <w:r w:rsidRPr="1D73B482">
        <w:rPr>
          <w:rFonts w:eastAsia="Times New Roman"/>
          <w:lang w:val="en-AU"/>
        </w:rPr>
        <w:t xml:space="preserve">service groups </w:t>
      </w:r>
      <w:r w:rsidRPr="009E1361">
        <w:rPr>
          <w:rFonts w:eastAsia="Times New Roman"/>
          <w:lang w:val="en-AU"/>
        </w:rPr>
        <w:t xml:space="preserve">above. These </w:t>
      </w:r>
      <w:r w:rsidRPr="1D73B482">
        <w:rPr>
          <w:rFonts w:eastAsia="Times New Roman"/>
          <w:lang w:val="en-AU"/>
        </w:rPr>
        <w:t xml:space="preserve">service group </w:t>
      </w:r>
      <w:r w:rsidRPr="009E1361">
        <w:rPr>
          <w:rFonts w:eastAsia="Times New Roman"/>
          <w:lang w:val="en-AU"/>
        </w:rPr>
        <w:t>approvals will appear in the Notice of Decision Letter.</w:t>
      </w:r>
    </w:p>
    <w:p w14:paraId="136DB98E" w14:textId="1A5DAB4B" w:rsidR="00960A13" w:rsidRPr="003C2EAE" w:rsidRDefault="00960A13" w:rsidP="00A677C9">
      <w:pPr>
        <w:spacing w:before="240" w:after="240" w:line="240" w:lineRule="auto"/>
        <w:textAlignment w:val="baseline"/>
        <w:rPr>
          <w:rFonts w:eastAsia="Times New Roman"/>
          <w:lang w:val="en-AU"/>
        </w:rPr>
      </w:pPr>
      <w:r>
        <w:rPr>
          <w:rFonts w:eastAsia="Times New Roman"/>
          <w:lang w:val="en-AU"/>
        </w:rPr>
        <w:t xml:space="preserve">Approving all three </w:t>
      </w:r>
      <w:r w:rsidRPr="1D73B482">
        <w:rPr>
          <w:rFonts w:eastAsia="Times New Roman"/>
          <w:lang w:val="en-AU"/>
        </w:rPr>
        <w:t>service g</w:t>
      </w:r>
      <w:r>
        <w:rPr>
          <w:rFonts w:eastAsia="Times New Roman"/>
          <w:lang w:val="en-AU"/>
        </w:rPr>
        <w:t xml:space="preserve">roups will allow TCP to provide all of the following Service Types to </w:t>
      </w:r>
      <w:r w:rsidRPr="003C2EAE">
        <w:rPr>
          <w:rFonts w:eastAsia="Times New Roman"/>
          <w:lang w:val="en-AU"/>
        </w:rPr>
        <w:t xml:space="preserve">TCP clients </w:t>
      </w:r>
      <w:r>
        <w:rPr>
          <w:rFonts w:eastAsia="Times New Roman"/>
          <w:lang w:val="en-AU"/>
        </w:rPr>
        <w:t>when needed</w:t>
      </w:r>
      <w:r w:rsidRPr="003C2EAE">
        <w:rPr>
          <w:rFonts w:eastAsia="Times New Roman"/>
          <w:lang w:val="en-AU"/>
        </w:rPr>
        <w:t>:</w:t>
      </w:r>
    </w:p>
    <w:p w14:paraId="73743E25" w14:textId="29573FF0" w:rsidR="00960A13" w:rsidRDefault="00960A13" w:rsidP="00DF3F6B">
      <w:pPr>
        <w:pStyle w:val="ListParagraph"/>
        <w:numPr>
          <w:ilvl w:val="0"/>
          <w:numId w:val="207"/>
        </w:numPr>
        <w:spacing w:before="240" w:after="240" w:line="240" w:lineRule="auto"/>
        <w:rPr>
          <w:rFonts w:eastAsia="Times New Roman"/>
          <w:lang w:val="en-AU"/>
        </w:rPr>
      </w:pPr>
      <w:r w:rsidRPr="78A5314B">
        <w:rPr>
          <w:rFonts w:eastAsia="Times New Roman"/>
          <w:lang w:val="en-AU"/>
        </w:rPr>
        <w:t xml:space="preserve">Section 8-15 </w:t>
      </w:r>
      <w:r w:rsidRPr="2AF7D9DD">
        <w:rPr>
          <w:rFonts w:eastAsia="Times New Roman"/>
          <w:lang w:val="en-AU"/>
        </w:rPr>
        <w:t xml:space="preserve">– Allied health and </w:t>
      </w:r>
      <w:r w:rsidRPr="0E465A3F">
        <w:rPr>
          <w:rFonts w:eastAsia="Times New Roman"/>
          <w:lang w:val="en-AU"/>
        </w:rPr>
        <w:t>therapy</w:t>
      </w:r>
    </w:p>
    <w:p w14:paraId="4D810F2C" w14:textId="148B4F3B" w:rsidR="00960A13" w:rsidRPr="003C2EAE" w:rsidRDefault="00960A13" w:rsidP="00DF3F6B">
      <w:pPr>
        <w:pStyle w:val="ListParagraph"/>
        <w:numPr>
          <w:ilvl w:val="0"/>
          <w:numId w:val="207"/>
        </w:numPr>
        <w:spacing w:before="240" w:after="240" w:line="240" w:lineRule="auto"/>
        <w:textAlignment w:val="baseline"/>
        <w:rPr>
          <w:rFonts w:eastAsia="Times New Roman"/>
          <w:lang w:val="en-AU"/>
        </w:rPr>
      </w:pPr>
      <w:r w:rsidRPr="003C2EAE">
        <w:rPr>
          <w:szCs w:val="20"/>
        </w:rPr>
        <w:t>Section 8-20 – Assistance with transition care</w:t>
      </w:r>
    </w:p>
    <w:p w14:paraId="6B2FDD07" w14:textId="2764BE9D" w:rsidR="00960A13" w:rsidRPr="003C2EAE" w:rsidRDefault="00960A13" w:rsidP="00DF3F6B">
      <w:pPr>
        <w:pStyle w:val="ListParagraph"/>
        <w:numPr>
          <w:ilvl w:val="0"/>
          <w:numId w:val="206"/>
        </w:numPr>
        <w:spacing w:before="240" w:after="240" w:line="240" w:lineRule="auto"/>
        <w:rPr>
          <w:szCs w:val="20"/>
        </w:rPr>
      </w:pPr>
      <w:r w:rsidRPr="003C2EAE">
        <w:rPr>
          <w:szCs w:val="20"/>
        </w:rPr>
        <w:t>Section 8-35 – Domestic assistance</w:t>
      </w:r>
    </w:p>
    <w:p w14:paraId="263F51C7" w14:textId="0396A409" w:rsidR="00960A13" w:rsidRPr="003C2EAE" w:rsidRDefault="00960A13" w:rsidP="00DF3F6B">
      <w:pPr>
        <w:pStyle w:val="ListParagraph"/>
        <w:numPr>
          <w:ilvl w:val="0"/>
          <w:numId w:val="206"/>
        </w:numPr>
        <w:spacing w:before="240" w:after="240" w:line="240" w:lineRule="auto"/>
        <w:rPr>
          <w:szCs w:val="20"/>
        </w:rPr>
      </w:pPr>
      <w:r w:rsidRPr="003C2EAE">
        <w:rPr>
          <w:szCs w:val="20"/>
        </w:rPr>
        <w:t>Section 8-45 – Home maintenance and repairs</w:t>
      </w:r>
    </w:p>
    <w:p w14:paraId="6630F910" w14:textId="1F544612" w:rsidR="00960A13" w:rsidRPr="003C2EAE" w:rsidRDefault="00960A13" w:rsidP="00DF3F6B">
      <w:pPr>
        <w:pStyle w:val="ListParagraph"/>
        <w:numPr>
          <w:ilvl w:val="0"/>
          <w:numId w:val="206"/>
        </w:numPr>
        <w:spacing w:before="240" w:after="240" w:line="240" w:lineRule="auto"/>
        <w:rPr>
          <w:szCs w:val="20"/>
        </w:rPr>
      </w:pPr>
      <w:r w:rsidRPr="003C2EAE">
        <w:rPr>
          <w:szCs w:val="20"/>
        </w:rPr>
        <w:t>Section 8-55</w:t>
      </w:r>
      <w:r w:rsidR="00980DC3">
        <w:rPr>
          <w:szCs w:val="20"/>
        </w:rPr>
        <w:t xml:space="preserve"> </w:t>
      </w:r>
      <w:r w:rsidRPr="003C2EAE">
        <w:rPr>
          <w:szCs w:val="20"/>
        </w:rPr>
        <w:t>– Meals</w:t>
      </w:r>
    </w:p>
    <w:p w14:paraId="7FCFB65F" w14:textId="77777777" w:rsidR="00960A13" w:rsidRPr="003C2EAE" w:rsidRDefault="00960A13" w:rsidP="00DF3F6B">
      <w:pPr>
        <w:pStyle w:val="ListParagraph"/>
        <w:numPr>
          <w:ilvl w:val="0"/>
          <w:numId w:val="206"/>
        </w:numPr>
        <w:spacing w:before="240" w:after="240" w:line="240" w:lineRule="auto"/>
        <w:rPr>
          <w:szCs w:val="20"/>
        </w:rPr>
      </w:pPr>
      <w:r w:rsidRPr="003C2EAE">
        <w:rPr>
          <w:szCs w:val="20"/>
        </w:rPr>
        <w:t>Section 8-60 – Nursing care</w:t>
      </w:r>
    </w:p>
    <w:p w14:paraId="5E94595D" w14:textId="6094495F" w:rsidR="00960A13" w:rsidRPr="003C2EAE" w:rsidRDefault="00960A13" w:rsidP="00DF3F6B">
      <w:pPr>
        <w:pStyle w:val="ListParagraph"/>
        <w:numPr>
          <w:ilvl w:val="0"/>
          <w:numId w:val="206"/>
        </w:numPr>
        <w:spacing w:before="240" w:after="240" w:line="240" w:lineRule="auto"/>
        <w:rPr>
          <w:szCs w:val="20"/>
        </w:rPr>
      </w:pPr>
      <w:r w:rsidRPr="003C2EAE">
        <w:rPr>
          <w:szCs w:val="20"/>
        </w:rPr>
        <w:t>Section 8-65 – Nutrition</w:t>
      </w:r>
    </w:p>
    <w:p w14:paraId="7C35328D" w14:textId="77777777" w:rsidR="00960A13" w:rsidRPr="00345DCB" w:rsidRDefault="00960A13" w:rsidP="00DF3F6B">
      <w:pPr>
        <w:pStyle w:val="ListParagraph"/>
        <w:numPr>
          <w:ilvl w:val="0"/>
          <w:numId w:val="206"/>
        </w:numPr>
        <w:spacing w:before="240" w:after="240" w:line="240" w:lineRule="auto"/>
        <w:textAlignment w:val="baseline"/>
        <w:rPr>
          <w:rFonts w:eastAsia="Times New Roman"/>
          <w:lang w:val="en-AU"/>
        </w:rPr>
      </w:pPr>
      <w:r w:rsidRPr="003C2EAE">
        <w:rPr>
          <w:szCs w:val="20"/>
        </w:rPr>
        <w:t>Section 8-70 – Personal care</w:t>
      </w:r>
    </w:p>
    <w:p w14:paraId="1FE14F66" w14:textId="77777777" w:rsidR="00960A13" w:rsidRPr="00345DCB" w:rsidRDefault="00960A13" w:rsidP="00DF3F6B">
      <w:pPr>
        <w:pStyle w:val="ListParagraph"/>
        <w:numPr>
          <w:ilvl w:val="0"/>
          <w:numId w:val="206"/>
        </w:numPr>
        <w:spacing w:before="240" w:after="240" w:line="240" w:lineRule="auto"/>
        <w:textAlignment w:val="baseline"/>
        <w:rPr>
          <w:rFonts w:eastAsia="Times New Roman"/>
          <w:lang w:val="en-AU"/>
        </w:rPr>
      </w:pPr>
      <w:r w:rsidRPr="00345DCB">
        <w:rPr>
          <w:szCs w:val="20"/>
        </w:rPr>
        <w:t>Section 8-110 – Equipment and products</w:t>
      </w:r>
    </w:p>
    <w:p w14:paraId="21AFBF6B" w14:textId="496BF454"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8-140 - Residential accommodation</w:t>
      </w:r>
    </w:p>
    <w:p w14:paraId="6E4F2AA9"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8-145 - Residential everyday living</w:t>
      </w:r>
    </w:p>
    <w:p w14:paraId="6E247779"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8-150 - Residential non-clinical care</w:t>
      </w:r>
    </w:p>
    <w:p w14:paraId="08085452" w14:textId="77777777" w:rsidR="00960A13" w:rsidRPr="00273FDA" w:rsidRDefault="00960A13" w:rsidP="00DF3F6B">
      <w:pPr>
        <w:pStyle w:val="ListParagraph"/>
        <w:numPr>
          <w:ilvl w:val="0"/>
          <w:numId w:val="206"/>
        </w:numPr>
        <w:spacing w:before="240" w:after="240" w:line="240" w:lineRule="auto"/>
        <w:textAlignment w:val="baseline"/>
        <w:rPr>
          <w:rFonts w:eastAsia="Times New Roman"/>
          <w:lang w:val="en-AU"/>
        </w:rPr>
      </w:pPr>
      <w:r w:rsidRPr="00273FDA">
        <w:rPr>
          <w:rFonts w:eastAsia="Times New Roman"/>
          <w:lang w:val="en-AU"/>
        </w:rPr>
        <w:t>Section 8-155 - Residential clinical care</w:t>
      </w:r>
      <w:r>
        <w:rPr>
          <w:rFonts w:eastAsia="Times New Roman"/>
          <w:lang w:val="en-AU"/>
        </w:rPr>
        <w:t>.</w:t>
      </w:r>
      <w:r w:rsidRPr="00273FDA">
        <w:rPr>
          <w:rFonts w:eastAsia="Times New Roman"/>
          <w:lang w:val="en-AU"/>
        </w:rPr>
        <w:t xml:space="preserve"> </w:t>
      </w:r>
    </w:p>
    <w:p w14:paraId="2503875E" w14:textId="5A01B801" w:rsidR="00960A13" w:rsidRDefault="00960A13" w:rsidP="00A677C9">
      <w:pPr>
        <w:spacing w:before="240" w:after="240" w:line="240" w:lineRule="auto"/>
        <w:textAlignment w:val="baseline"/>
        <w:rPr>
          <w:rFonts w:eastAsia="Times New Roman"/>
          <w:lang w:val="en-AU"/>
        </w:rPr>
      </w:pPr>
      <w:r>
        <w:rPr>
          <w:rFonts w:eastAsia="Times New Roman"/>
          <w:lang w:val="en-AU"/>
        </w:rPr>
        <w:t xml:space="preserve">These </w:t>
      </w:r>
      <w:r w:rsidRPr="1D73B482">
        <w:rPr>
          <w:rFonts w:eastAsia="Times New Roman"/>
          <w:lang w:val="en-AU"/>
        </w:rPr>
        <w:t>service t</w:t>
      </w:r>
      <w:r>
        <w:rPr>
          <w:rFonts w:eastAsia="Times New Roman"/>
          <w:lang w:val="en-AU"/>
        </w:rPr>
        <w:t xml:space="preserve">ypes are all funded </w:t>
      </w:r>
      <w:r w:rsidRPr="007B5570">
        <w:rPr>
          <w:rFonts w:eastAsia="Times New Roman"/>
          <w:lang w:val="en-AU"/>
        </w:rPr>
        <w:t xml:space="preserve">through the </w:t>
      </w:r>
      <w:r>
        <w:rPr>
          <w:rFonts w:eastAsia="Times New Roman"/>
          <w:lang w:val="en-AU"/>
        </w:rPr>
        <w:t>T</w:t>
      </w:r>
      <w:r w:rsidRPr="007B5570">
        <w:rPr>
          <w:rFonts w:eastAsia="Times New Roman"/>
          <w:lang w:val="en-AU"/>
        </w:rPr>
        <w:t xml:space="preserve">ransition </w:t>
      </w:r>
      <w:r>
        <w:rPr>
          <w:rFonts w:eastAsia="Times New Roman"/>
          <w:lang w:val="en-AU"/>
        </w:rPr>
        <w:t>C</w:t>
      </w:r>
      <w:r w:rsidRPr="007B5570">
        <w:rPr>
          <w:rFonts w:eastAsia="Times New Roman"/>
          <w:lang w:val="en-AU"/>
        </w:rPr>
        <w:t>are daily subsidy rate (paid to providers)</w:t>
      </w:r>
      <w:r>
        <w:rPr>
          <w:rFonts w:eastAsia="Times New Roman"/>
          <w:lang w:val="en-AU"/>
        </w:rPr>
        <w:t xml:space="preserve">. </w:t>
      </w:r>
      <w:r w:rsidRPr="005B7F1C">
        <w:rPr>
          <w:rFonts w:eastAsia="Times New Roman"/>
          <w:lang w:val="en-AU"/>
        </w:rPr>
        <w:t>There is no need to apply for separate funding</w:t>
      </w:r>
      <w:r>
        <w:rPr>
          <w:rFonts w:eastAsia="Times New Roman"/>
          <w:lang w:val="en-AU"/>
        </w:rPr>
        <w:t xml:space="preserve"> through Support at Home or Residential Care.</w:t>
      </w:r>
    </w:p>
    <w:p w14:paraId="136CE6D6" w14:textId="1B27D900" w:rsidR="00960A13" w:rsidRDefault="00960A13" w:rsidP="00A677C9">
      <w:pPr>
        <w:spacing w:before="240" w:after="240" w:line="240" w:lineRule="auto"/>
        <w:textAlignment w:val="baseline"/>
        <w:rPr>
          <w:rFonts w:eastAsia="Times New Roman"/>
          <w:lang w:val="en-AU"/>
        </w:rPr>
      </w:pPr>
      <w:r>
        <w:rPr>
          <w:rFonts w:eastAsia="Times New Roman"/>
          <w:lang w:val="en-AU"/>
        </w:rPr>
        <w:t>Under Assistive Technology, t</w:t>
      </w:r>
      <w:r w:rsidRPr="007B5570">
        <w:rPr>
          <w:rFonts w:eastAsia="Times New Roman"/>
          <w:lang w:val="en-AU"/>
        </w:rPr>
        <w:t>he</w:t>
      </w:r>
      <w:r w:rsidRPr="009E1361">
        <w:rPr>
          <w:rFonts w:eastAsia="Times New Roman"/>
          <w:lang w:val="en-AU"/>
        </w:rPr>
        <w:t xml:space="preserve"> provision of</w:t>
      </w:r>
      <w:r w:rsidRPr="00417711">
        <w:rPr>
          <w:rFonts w:eastAsia="Times New Roman"/>
          <w:lang w:val="en-AU"/>
        </w:rPr>
        <w:t xml:space="preserve"> loaned</w:t>
      </w:r>
      <w:r w:rsidRPr="009E1361">
        <w:rPr>
          <w:rFonts w:eastAsia="Times New Roman"/>
          <w:lang w:val="en-AU"/>
        </w:rPr>
        <w:t xml:space="preserve"> equipment and products to assist clients with mobility will continue to be offered by providers, funding for this will continue to be covered through the transition care daily subsidy rate (paid to providers). </w:t>
      </w:r>
      <w:r w:rsidRPr="00417711">
        <w:rPr>
          <w:rFonts w:eastAsia="Times New Roman"/>
          <w:lang w:val="en-AU"/>
        </w:rPr>
        <w:t xml:space="preserve">There is no need to apply for separate funding under the Assistive Technology Service Group. </w:t>
      </w:r>
    </w:p>
    <w:p w14:paraId="5F7821EE" w14:textId="7C839715" w:rsidR="00960A13" w:rsidRPr="00417711" w:rsidRDefault="00960A13" w:rsidP="00A677C9">
      <w:pPr>
        <w:spacing w:before="240" w:after="240" w:line="240" w:lineRule="auto"/>
        <w:textAlignment w:val="baseline"/>
        <w:rPr>
          <w:rFonts w:eastAsia="Times New Roman"/>
          <w:lang w:val="en-AU"/>
        </w:rPr>
      </w:pPr>
      <w:r w:rsidRPr="00417711">
        <w:rPr>
          <w:rFonts w:eastAsia="Times New Roman"/>
          <w:lang w:val="en-AU"/>
        </w:rPr>
        <w:t>However, the provision and management of equipment under TCP is determined at the discretion of each state and territory. Jurisdictions may choose to provide equipment on either a permanent or loaned basis, depending on their local policies and operational arrangements.</w:t>
      </w:r>
    </w:p>
    <w:p w14:paraId="30B480E5" w14:textId="04817B90" w:rsidR="002668C8" w:rsidRPr="00934235" w:rsidRDefault="002668C8" w:rsidP="002668C8">
      <w:pPr>
        <w:spacing w:before="240" w:after="240" w:line="240" w:lineRule="auto"/>
        <w:textAlignment w:val="baseline"/>
      </w:pPr>
      <w:r w:rsidRPr="00441859">
        <w:rPr>
          <w:rFonts w:eastAsia="Times New Roman"/>
        </w:rPr>
        <w:t xml:space="preserve">When the older person is approved as eligible for transition care at the time of the initial assessment, they </w:t>
      </w:r>
      <w:r>
        <w:rPr>
          <w:rFonts w:eastAsia="Times New Roman"/>
        </w:rPr>
        <w:t>may</w:t>
      </w:r>
      <w:r w:rsidRPr="00441859">
        <w:rPr>
          <w:rFonts w:eastAsia="Times New Roman"/>
        </w:rPr>
        <w:t xml:space="preserve"> need a </w:t>
      </w:r>
      <w:r w:rsidR="009C2B45">
        <w:rPr>
          <w:rFonts w:eastAsia="Times New Roman"/>
        </w:rPr>
        <w:t xml:space="preserve">support plan review or </w:t>
      </w:r>
      <w:r w:rsidRPr="00441859">
        <w:rPr>
          <w:rFonts w:eastAsia="Times New Roman"/>
        </w:rPr>
        <w:t>reassessment before the completion of their transition care episode, to establish their long-term care requirements. Where this is necessary, the assessor should review any changes to the person’s care needs and ensure that the long</w:t>
      </w:r>
      <w:r w:rsidRPr="11A3A687">
        <w:rPr>
          <w:rFonts w:eastAsia="Times New Roman"/>
        </w:rPr>
        <w:t>-</w:t>
      </w:r>
      <w:r w:rsidRPr="00441859">
        <w:rPr>
          <w:rFonts w:eastAsia="Times New Roman"/>
        </w:rPr>
        <w:t>term care recommendations reflect the revised level of need and the person’s preferences.</w:t>
      </w:r>
      <w:r>
        <w:rPr>
          <w:rFonts w:eastAsia="Times New Roman"/>
        </w:rPr>
        <w:t xml:space="preserve"> For older Aboriginal and Torres Strait Islander people, where applicable, an ECS worker may work with the client, the client’s family and assessor to assist with identifying the best care arrangements.</w:t>
      </w:r>
    </w:p>
    <w:p w14:paraId="7466B3FC" w14:textId="766E0745" w:rsidR="00960A13" w:rsidRPr="00417711" w:rsidRDefault="00A753B9" w:rsidP="00C56CEC">
      <w:pPr>
        <w:pStyle w:val="H3"/>
        <w:rPr>
          <w:color w:val="0F4761"/>
        </w:rPr>
      </w:pPr>
      <w:bookmarkStart w:id="514" w:name="_Toc205444694"/>
      <w:bookmarkStart w:id="515" w:name="_Toc408512042"/>
      <w:r w:rsidRPr="005E4E0E">
        <w:rPr>
          <w:bCs w:val="0"/>
          <w:noProof/>
        </w:rPr>
        <w:drawing>
          <wp:anchor distT="0" distB="0" distL="114300" distR="114300" simplePos="0" relativeHeight="251658302" behindDoc="0" locked="0" layoutInCell="1" allowOverlap="1" wp14:anchorId="51D1E1C4" wp14:editId="1BCE9452">
            <wp:simplePos x="0" y="0"/>
            <wp:positionH relativeFrom="margin">
              <wp:posOffset>57150</wp:posOffset>
            </wp:positionH>
            <wp:positionV relativeFrom="paragraph">
              <wp:posOffset>8255</wp:posOffset>
            </wp:positionV>
            <wp:extent cx="457200" cy="502920"/>
            <wp:effectExtent l="0" t="0" r="0" b="0"/>
            <wp:wrapSquare wrapText="bothSides"/>
            <wp:docPr id="492835061" name="Picture 492835061"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960A13" w:rsidRPr="41A8B1C1">
        <w:t>Accessing S</w:t>
      </w:r>
      <w:r w:rsidR="00ED6C7C">
        <w:t xml:space="preserve">upport </w:t>
      </w:r>
      <w:r w:rsidR="00960A13" w:rsidRPr="41A8B1C1">
        <w:t>a</w:t>
      </w:r>
      <w:r w:rsidR="00ED6C7C">
        <w:t xml:space="preserve">t </w:t>
      </w:r>
      <w:r w:rsidR="00960A13" w:rsidRPr="41A8B1C1">
        <w:t>H</w:t>
      </w:r>
      <w:r w:rsidR="00ED6C7C">
        <w:t>ome</w:t>
      </w:r>
      <w:r w:rsidR="00F40A02">
        <w:t xml:space="preserve"> or </w:t>
      </w:r>
      <w:r w:rsidR="00960A13" w:rsidRPr="41A8B1C1">
        <w:t xml:space="preserve">CHSP and </w:t>
      </w:r>
      <w:r w:rsidR="00976CCB">
        <w:t>t</w:t>
      </w:r>
      <w:r w:rsidR="00960A13" w:rsidRPr="41A8B1C1">
        <w:t xml:space="preserve">ransition </w:t>
      </w:r>
      <w:r w:rsidR="00976CCB">
        <w:t>c</w:t>
      </w:r>
      <w:r w:rsidR="00960A13" w:rsidRPr="41A8B1C1">
        <w:t>are</w:t>
      </w:r>
      <w:bookmarkEnd w:id="514"/>
      <w:bookmarkEnd w:id="515"/>
      <w:r w:rsidR="00960A13" w:rsidRPr="41A8B1C1">
        <w:t xml:space="preserve"> </w:t>
      </w:r>
      <w:r w:rsidR="00F40A02">
        <w:t>Program</w:t>
      </w:r>
      <w:r w:rsidR="00960A13" w:rsidRPr="41A8B1C1">
        <w:t xml:space="preserve"> </w:t>
      </w:r>
    </w:p>
    <w:p w14:paraId="36FA9F03" w14:textId="26DD8965" w:rsidR="00FA68D8" w:rsidRDefault="00366906" w:rsidP="00A677C9">
      <w:pPr>
        <w:spacing w:before="240" w:after="240" w:line="240" w:lineRule="auto"/>
        <w:rPr>
          <w:rFonts w:eastAsia="Aptos"/>
        </w:rPr>
      </w:pPr>
      <w:r w:rsidRPr="00D57F25">
        <w:rPr>
          <w:rFonts w:eastAsia="Aptos"/>
        </w:rPr>
        <w:t xml:space="preserve">An older person can be recommended and approved for CHSP or Support at Home services at the same time as TCP, provided the IAT outcome generates an ongoing home support outcome. For example, Support at Home services can only be recommended if the IAT Outcome generates a SaH 1-8 classification level.  The assessor must accept the IAT outcome in line with 81-10 of the Rules. </w:t>
      </w:r>
    </w:p>
    <w:p w14:paraId="0635C218" w14:textId="115E668A" w:rsidR="00A753B9" w:rsidRPr="00A753B9" w:rsidRDefault="00A753B9" w:rsidP="00A677C9">
      <w:pPr>
        <w:spacing w:before="240" w:after="240" w:line="240" w:lineRule="auto"/>
        <w:rPr>
          <w:rFonts w:eastAsia="Aptos"/>
          <w:lang w:val="en-AU"/>
        </w:rPr>
      </w:pPr>
      <w:r w:rsidRPr="00D55490">
        <w:rPr>
          <w:rFonts w:eastAsia="Aptos"/>
          <w:lang w:val="en-AU"/>
        </w:rPr>
        <w:t>Assessors should consider whether a hospital setting is the most appropriate setting to assess a patient for ongoing home support. They may determine the older person would be better assessed in their home. Alternatively</w:t>
      </w:r>
      <w:r>
        <w:rPr>
          <w:rFonts w:eastAsia="Aptos"/>
          <w:lang w:val="en-AU"/>
        </w:rPr>
        <w:t>,</w:t>
      </w:r>
      <w:r w:rsidRPr="00D55490">
        <w:rPr>
          <w:rFonts w:eastAsia="Aptos"/>
          <w:lang w:val="en-AU"/>
        </w:rPr>
        <w:t xml:space="preserve"> they may seek information about the older person’s home environment from the older person’s care and support team to make as accurate an assessment as possible of their ongoing aged care needs.</w:t>
      </w:r>
      <w:r w:rsidRPr="00D55490" w:rsidDel="00934235">
        <w:rPr>
          <w:rFonts w:eastAsia="Aptos"/>
          <w:lang w:val="en-AU"/>
        </w:rPr>
        <w:t xml:space="preserve"> </w:t>
      </w:r>
      <w:r w:rsidRPr="00D55490">
        <w:rPr>
          <w:rFonts w:eastAsia="Aptos"/>
          <w:lang w:val="en-AU"/>
        </w:rPr>
        <w:t xml:space="preserve">See </w:t>
      </w:r>
      <w:r>
        <w:rPr>
          <w:rFonts w:eastAsia="Aptos"/>
          <w:lang w:val="en-AU"/>
        </w:rPr>
        <w:t>Chapter</w:t>
      </w:r>
      <w:r w:rsidRPr="00D55490">
        <w:rPr>
          <w:rFonts w:eastAsia="Aptos"/>
          <w:lang w:val="en-AU"/>
        </w:rPr>
        <w:t xml:space="preserve"> 5 for further information on undertaking assessments in a hospital setting.</w:t>
      </w:r>
    </w:p>
    <w:p w14:paraId="5FEF6B21" w14:textId="3B2C2C17" w:rsidR="00F16687" w:rsidRPr="00AA2D02" w:rsidRDefault="00383778" w:rsidP="00A677C9">
      <w:pPr>
        <w:spacing w:before="240" w:after="240" w:line="240" w:lineRule="auto"/>
        <w:rPr>
          <w:rFonts w:eastAsia="Aptos"/>
          <w:lang w:val="en-AU"/>
        </w:rPr>
      </w:pPr>
      <w:r>
        <w:rPr>
          <w:rFonts w:eastAsia="Aptos"/>
          <w:lang w:val="en-AU"/>
        </w:rPr>
        <w:t>I</w:t>
      </w:r>
      <w:r w:rsidR="00F16687" w:rsidRPr="00E73746">
        <w:rPr>
          <w:rFonts w:eastAsia="Aptos"/>
          <w:lang w:val="en-AU"/>
        </w:rPr>
        <w:t>f it is not appropriate to recommend ongoing home support services</w:t>
      </w:r>
      <w:r w:rsidR="00160AA5">
        <w:rPr>
          <w:rFonts w:eastAsia="Aptos"/>
          <w:lang w:val="en-AU"/>
        </w:rPr>
        <w:t xml:space="preserve"> </w:t>
      </w:r>
      <w:r w:rsidR="00160AA5" w:rsidRPr="00E73746">
        <w:rPr>
          <w:rFonts w:eastAsia="Aptos"/>
          <w:lang w:val="en-AU"/>
        </w:rPr>
        <w:t>at the same time as TCP</w:t>
      </w:r>
      <w:r w:rsidR="00F16687" w:rsidRPr="00E73746">
        <w:rPr>
          <w:rFonts w:eastAsia="Aptos"/>
          <w:lang w:val="en-AU"/>
        </w:rPr>
        <w:t xml:space="preserve"> </w:t>
      </w:r>
      <w:r>
        <w:rPr>
          <w:rFonts w:eastAsia="Aptos"/>
          <w:lang w:val="en-AU"/>
        </w:rPr>
        <w:t xml:space="preserve">for people new to the aged care system, </w:t>
      </w:r>
      <w:r w:rsidR="00F16687" w:rsidRPr="00E73746">
        <w:rPr>
          <w:rFonts w:eastAsia="Aptos"/>
          <w:lang w:val="en-AU"/>
        </w:rPr>
        <w:t xml:space="preserve">the IAT outcome can be overridden to ‘ineligible for CHSP/SaH’ and </w:t>
      </w:r>
      <w:r w:rsidR="00F16687">
        <w:rPr>
          <w:rFonts w:eastAsia="Aptos"/>
          <w:lang w:val="en-AU"/>
        </w:rPr>
        <w:t xml:space="preserve">then the transition care option can be chosen under ‘Add a Care type for Delegate Decision’ button. </w:t>
      </w:r>
      <w:r w:rsidR="00F16687" w:rsidRPr="00BD38D9">
        <w:rPr>
          <w:rFonts w:eastAsia="Aptos"/>
          <w:lang w:val="en-AU"/>
        </w:rPr>
        <w:t>The system will still allow CHSP services to be recommended concurrently with TCP if required.</w:t>
      </w:r>
      <w:r w:rsidR="00F16687">
        <w:rPr>
          <w:rFonts w:eastAsia="Aptos"/>
          <w:lang w:val="en-AU"/>
        </w:rPr>
        <w:t xml:space="preserve"> </w:t>
      </w:r>
      <w:r w:rsidR="00110F99">
        <w:rPr>
          <w:rFonts w:eastAsia="Aptos"/>
          <w:lang w:val="en-AU"/>
        </w:rPr>
        <w:t xml:space="preserve">The client may need </w:t>
      </w:r>
      <w:r w:rsidR="003C2D02">
        <w:rPr>
          <w:rFonts w:eastAsia="Aptos"/>
          <w:lang w:val="en-AU"/>
        </w:rPr>
        <w:t>a support plan review or</w:t>
      </w:r>
      <w:r w:rsidR="00110F99">
        <w:rPr>
          <w:rFonts w:eastAsia="Aptos"/>
          <w:lang w:val="en-AU"/>
        </w:rPr>
        <w:t xml:space="preserve"> reassess</w:t>
      </w:r>
      <w:r w:rsidR="003C2D02">
        <w:rPr>
          <w:rFonts w:eastAsia="Aptos"/>
          <w:lang w:val="en-AU"/>
        </w:rPr>
        <w:t>ment</w:t>
      </w:r>
      <w:r w:rsidR="00110F99">
        <w:rPr>
          <w:rFonts w:eastAsia="Aptos"/>
          <w:lang w:val="en-AU"/>
        </w:rPr>
        <w:t xml:space="preserve"> at the end of their transition care period </w:t>
      </w:r>
      <w:r w:rsidR="00110F99" w:rsidRPr="00441859">
        <w:rPr>
          <w:rFonts w:eastAsia="Times New Roman"/>
        </w:rPr>
        <w:t>to establish their long-term care requirements.</w:t>
      </w:r>
    </w:p>
    <w:p w14:paraId="41E0872A" w14:textId="77777777" w:rsidR="00850125" w:rsidRPr="00E73746" w:rsidRDefault="00850125" w:rsidP="00850125">
      <w:pPr>
        <w:spacing w:before="240" w:after="240" w:line="240" w:lineRule="auto"/>
        <w:rPr>
          <w:lang w:val="en-AU"/>
        </w:rPr>
      </w:pPr>
      <w:r w:rsidRPr="00E73746">
        <w:rPr>
          <w:lang w:val="en-AU"/>
        </w:rPr>
        <w:t xml:space="preserve">For </w:t>
      </w:r>
      <w:r>
        <w:rPr>
          <w:lang w:val="en-AU"/>
        </w:rPr>
        <w:t xml:space="preserve">transitioned </w:t>
      </w:r>
      <w:r w:rsidRPr="00E73746">
        <w:rPr>
          <w:lang w:val="en-AU"/>
        </w:rPr>
        <w:t>HCP</w:t>
      </w:r>
      <w:r>
        <w:rPr>
          <w:lang w:val="en-AU"/>
        </w:rPr>
        <w:t xml:space="preserve">, </w:t>
      </w:r>
      <w:r w:rsidRPr="00E73746">
        <w:rPr>
          <w:lang w:val="en-AU"/>
        </w:rPr>
        <w:t>SaH clients</w:t>
      </w:r>
      <w:r>
        <w:rPr>
          <w:lang w:val="en-AU"/>
        </w:rPr>
        <w:t xml:space="preserve"> and CHSP clients who are assessed for TCP</w:t>
      </w:r>
      <w:r w:rsidRPr="00E73746">
        <w:rPr>
          <w:lang w:val="en-AU"/>
        </w:rPr>
        <w:t xml:space="preserve">, the IAT outcome will need to be accepted, and TCP </w:t>
      </w:r>
      <w:r>
        <w:rPr>
          <w:lang w:val="en-AU"/>
        </w:rPr>
        <w:t>added as a care type</w:t>
      </w:r>
      <w:r w:rsidRPr="00E73746">
        <w:rPr>
          <w:lang w:val="en-AU"/>
        </w:rPr>
        <w:t xml:space="preserve">. </w:t>
      </w:r>
    </w:p>
    <w:p w14:paraId="2313CF66" w14:textId="1B7AC558" w:rsidR="00960A13" w:rsidRDefault="004901E6" w:rsidP="00A677C9">
      <w:pPr>
        <w:spacing w:before="240" w:after="240" w:line="240" w:lineRule="auto"/>
        <w:rPr>
          <w:rFonts w:eastAsia="Aptos"/>
        </w:rPr>
      </w:pPr>
      <w:r>
        <w:rPr>
          <w:lang w:val="en-AU"/>
        </w:rPr>
        <w:t>T</w:t>
      </w:r>
      <w:r w:rsidR="00BA0AAD">
        <w:rPr>
          <w:lang w:val="en-AU"/>
        </w:rPr>
        <w:t xml:space="preserve">ransitioned </w:t>
      </w:r>
      <w:r w:rsidR="00BA0AAD" w:rsidRPr="00E73746">
        <w:rPr>
          <w:lang w:val="en-AU"/>
        </w:rPr>
        <w:t>HCP</w:t>
      </w:r>
      <w:r w:rsidR="00BA0AAD">
        <w:rPr>
          <w:lang w:val="en-AU"/>
        </w:rPr>
        <w:t xml:space="preserve">, </w:t>
      </w:r>
      <w:r w:rsidR="00BA0AAD" w:rsidRPr="00E73746">
        <w:rPr>
          <w:lang w:val="en-AU"/>
        </w:rPr>
        <w:t xml:space="preserve">SaH </w:t>
      </w:r>
      <w:r w:rsidR="00BA0AAD">
        <w:rPr>
          <w:lang w:val="en-AU"/>
        </w:rPr>
        <w:t>and CHSP clients</w:t>
      </w:r>
      <w:r w:rsidR="00045878">
        <w:rPr>
          <w:rFonts w:eastAsia="Aptos"/>
        </w:rPr>
        <w:t xml:space="preserve">, </w:t>
      </w:r>
      <w:r>
        <w:rPr>
          <w:rFonts w:eastAsia="Aptos"/>
        </w:rPr>
        <w:t xml:space="preserve">can continue to access </w:t>
      </w:r>
      <w:r w:rsidR="00960A13" w:rsidRPr="00417711">
        <w:rPr>
          <w:rFonts w:eastAsia="Aptos"/>
        </w:rPr>
        <w:t>Support at Home and CHSP services while accessing TCP, as long as the services are not duplicative. For example, an older person may elect to continue receiving gardening services under Support at Home in order to maintain a safe home environment, while they receive other services under TCP. It is the responsibility of the participant to notify their Support at Home or CHSP provider of their intention to enter transition care. It is expected that the participant’s Support at Home or CHSP provider and the relevant transition care provider will discuss and coordinate care provision to ensure the participant’s needs are met.</w:t>
      </w:r>
    </w:p>
    <w:p w14:paraId="7EC1B44A" w14:textId="3FC90C18" w:rsidR="00F16687" w:rsidRPr="00417711" w:rsidRDefault="00F16687" w:rsidP="00A677C9">
      <w:pPr>
        <w:spacing w:before="240" w:after="240" w:line="240" w:lineRule="auto"/>
        <w:rPr>
          <w:rFonts w:eastAsia="Aptos"/>
        </w:rPr>
      </w:pPr>
    </w:p>
    <w:p w14:paraId="4A08317A" w14:textId="13480BC8" w:rsidR="007C68AA" w:rsidRDefault="007C68AA" w:rsidP="007C68AA">
      <w:pPr>
        <w:pStyle w:val="H3"/>
        <w:numPr>
          <w:ilvl w:val="0"/>
          <w:numId w:val="0"/>
        </w:numPr>
        <w:ind w:left="1224"/>
      </w:pPr>
      <w:bookmarkStart w:id="516" w:name="_Toc198008594"/>
      <w:bookmarkStart w:id="517" w:name="_Toc198787197"/>
      <w:bookmarkStart w:id="518" w:name="_Toc1702848649"/>
      <w:bookmarkStart w:id="519" w:name="_Toc199344584"/>
      <w:r>
        <w:t>Accessing residential care/residential respite and transition care</w:t>
      </w:r>
    </w:p>
    <w:p w14:paraId="375F02B7" w14:textId="77777777" w:rsidR="00960A13" w:rsidRPr="00417711" w:rsidRDefault="00960A13" w:rsidP="00A677C9">
      <w:pPr>
        <w:spacing w:before="240" w:after="240" w:line="240" w:lineRule="auto"/>
      </w:pPr>
      <w:r w:rsidRPr="00417711">
        <w:t xml:space="preserve">A person in </w:t>
      </w:r>
      <w:r w:rsidRPr="00FB5BCB">
        <w:t>permanent</w:t>
      </w:r>
      <w:r w:rsidRPr="00A208F8">
        <w:rPr>
          <w:bCs/>
        </w:rPr>
        <w:t xml:space="preserve"> </w:t>
      </w:r>
      <w:r w:rsidRPr="00FB5BCB">
        <w:t>residential care</w:t>
      </w:r>
      <w:r w:rsidRPr="00417711">
        <w:t xml:space="preserve"> who is receiving Transition Care must take Hospital Transition Leave for the duration of their TCP episode. In addition, they are not eligible to receive services under the </w:t>
      </w:r>
      <w:r w:rsidRPr="00FB5BCB">
        <w:t>Restorative Care Pathway</w:t>
      </w:r>
      <w:r w:rsidRPr="00417711">
        <w:rPr>
          <w:b/>
        </w:rPr>
        <w:t xml:space="preserve"> </w:t>
      </w:r>
      <w:r w:rsidRPr="00417711">
        <w:t>under</w:t>
      </w:r>
      <w:r w:rsidRPr="00417711">
        <w:rPr>
          <w:b/>
        </w:rPr>
        <w:t xml:space="preserve"> </w:t>
      </w:r>
      <w:r w:rsidRPr="00FB5BCB">
        <w:t>Support at Home</w:t>
      </w:r>
      <w:r w:rsidRPr="00417711">
        <w:t xml:space="preserve">. </w:t>
      </w:r>
    </w:p>
    <w:p w14:paraId="52F807D0" w14:textId="535AA459" w:rsidR="00960A13" w:rsidRPr="00417711" w:rsidRDefault="00960A13" w:rsidP="00A677C9">
      <w:pPr>
        <w:spacing w:before="240" w:after="240" w:line="240" w:lineRule="auto"/>
        <w:rPr>
          <w:b/>
        </w:rPr>
      </w:pPr>
      <w:r w:rsidRPr="00417711">
        <w:t>An individual receiving Transition Care is unable to access </w:t>
      </w:r>
      <w:r w:rsidRPr="00262289">
        <w:t>residential respite care</w:t>
      </w:r>
      <w:r w:rsidRPr="00417711">
        <w:t xml:space="preserve"> while Transition Care is in effect. </w:t>
      </w:r>
    </w:p>
    <w:p w14:paraId="10508E88" w14:textId="0EDBEA55" w:rsidR="00960A13" w:rsidRPr="00417711" w:rsidRDefault="00960A13" w:rsidP="00C56CEC">
      <w:pPr>
        <w:pStyle w:val="H3"/>
      </w:pPr>
      <w:bookmarkStart w:id="520" w:name="_Toc205372121"/>
      <w:bookmarkStart w:id="521" w:name="_Toc991219576"/>
      <w:r w:rsidRPr="00417711">
        <w:t xml:space="preserve">Duration of </w:t>
      </w:r>
      <w:r w:rsidR="00EC0A32">
        <w:t>t</w:t>
      </w:r>
      <w:r w:rsidRPr="00417711">
        <w:t xml:space="preserve">ransition </w:t>
      </w:r>
      <w:r w:rsidR="00EC0A32">
        <w:t>c</w:t>
      </w:r>
      <w:r w:rsidRPr="00417711">
        <w:t>are</w:t>
      </w:r>
      <w:bookmarkEnd w:id="516"/>
      <w:bookmarkEnd w:id="517"/>
      <w:bookmarkEnd w:id="518"/>
      <w:bookmarkEnd w:id="519"/>
      <w:bookmarkEnd w:id="520"/>
      <w:bookmarkEnd w:id="521"/>
    </w:p>
    <w:p w14:paraId="7D78B452" w14:textId="77777777" w:rsidR="00960A13" w:rsidRPr="00417711" w:rsidRDefault="00960A13" w:rsidP="00A677C9">
      <w:pPr>
        <w:spacing w:before="240" w:after="240" w:line="240" w:lineRule="auto"/>
      </w:pPr>
      <w:r w:rsidRPr="00417711">
        <w:t>The standard period for a transition care episode is </w:t>
      </w:r>
      <w:r w:rsidRPr="00FB5BCB">
        <w:t>12 weeks (84 days)</w:t>
      </w:r>
      <w:r w:rsidRPr="00417711">
        <w:t xml:space="preserve">.​ </w:t>
      </w:r>
    </w:p>
    <w:p w14:paraId="1AAAA17B" w14:textId="1F88EC22" w:rsidR="00960A13" w:rsidRPr="00417711" w:rsidRDefault="00960A13" w:rsidP="00A677C9">
      <w:pPr>
        <w:spacing w:before="240" w:after="240" w:line="240" w:lineRule="auto"/>
      </w:pPr>
      <w:r w:rsidRPr="00417711">
        <w:t>This period may be extended by 6 weeks so the total transition care episode is </w:t>
      </w:r>
      <w:r w:rsidRPr="00FB5BCB">
        <w:t>18 weeks (126 days)</w:t>
      </w:r>
      <w:r w:rsidRPr="00417711">
        <w:t xml:space="preserve"> if the </w:t>
      </w:r>
      <w:r w:rsidR="77EB5EB4">
        <w:t>provider</w:t>
      </w:r>
      <w:r w:rsidRPr="00417711">
        <w:t xml:space="preserve"> makes an application </w:t>
      </w:r>
      <w:r w:rsidR="3938B9D1">
        <w:t>on behalf of the individual</w:t>
      </w:r>
      <w:r>
        <w:t xml:space="preserve"> </w:t>
      </w:r>
      <w:r w:rsidRPr="00417711">
        <w:t>in accordance with the requirements of the Rules and is determined to require access to the services for the additional period.​</w:t>
      </w:r>
    </w:p>
    <w:p w14:paraId="1F01B08C" w14:textId="069B5228" w:rsidR="00960A13" w:rsidRPr="009E1361" w:rsidRDefault="00960A13" w:rsidP="00A677C9">
      <w:pPr>
        <w:pStyle w:val="Heading4"/>
        <w:spacing w:before="240" w:after="240" w:line="240" w:lineRule="auto"/>
        <w:rPr>
          <w:rFonts w:ascii="Arial" w:hAnsi="Arial" w:cs="Arial"/>
          <w:b/>
          <w:color w:val="1E1444"/>
          <w:sz w:val="28"/>
          <w:szCs w:val="28"/>
          <w:lang w:val="en-AU"/>
        </w:rPr>
      </w:pPr>
      <w:r w:rsidRPr="009E1361">
        <w:rPr>
          <w:rFonts w:ascii="Arial" w:hAnsi="Arial" w:cs="Arial"/>
          <w:b/>
          <w:i w:val="0"/>
          <w:color w:val="44546A" w:themeColor="text2"/>
        </w:rPr>
        <w:t xml:space="preserve">Lapsing of </w:t>
      </w:r>
      <w:r w:rsidR="00EC0A32">
        <w:rPr>
          <w:rFonts w:ascii="Arial" w:hAnsi="Arial" w:cs="Arial"/>
          <w:b/>
          <w:i w:val="0"/>
          <w:color w:val="44546A" w:themeColor="text2"/>
        </w:rPr>
        <w:t>t</w:t>
      </w:r>
      <w:r w:rsidRPr="009E1361">
        <w:rPr>
          <w:rFonts w:ascii="Arial" w:hAnsi="Arial" w:cs="Arial"/>
          <w:b/>
          <w:i w:val="0"/>
          <w:color w:val="44546A" w:themeColor="text2"/>
        </w:rPr>
        <w:t xml:space="preserve">ransition </w:t>
      </w:r>
      <w:r w:rsidR="00EC0A32">
        <w:rPr>
          <w:rFonts w:ascii="Arial" w:hAnsi="Arial" w:cs="Arial"/>
          <w:b/>
          <w:i w:val="0"/>
          <w:color w:val="44546A" w:themeColor="text2"/>
        </w:rPr>
        <w:t>c</w:t>
      </w:r>
      <w:r w:rsidRPr="009E1361">
        <w:rPr>
          <w:rFonts w:ascii="Arial" w:hAnsi="Arial" w:cs="Arial"/>
          <w:b/>
          <w:i w:val="0"/>
          <w:color w:val="44546A" w:themeColor="text2"/>
        </w:rPr>
        <w:t xml:space="preserve">are </w:t>
      </w:r>
      <w:r w:rsidR="00EC0A32">
        <w:rPr>
          <w:rFonts w:ascii="Arial" w:hAnsi="Arial" w:cs="Arial"/>
          <w:b/>
          <w:i w:val="0"/>
          <w:color w:val="44546A" w:themeColor="text2"/>
        </w:rPr>
        <w:t>a</w:t>
      </w:r>
      <w:r w:rsidRPr="009E1361">
        <w:rPr>
          <w:rFonts w:ascii="Arial" w:hAnsi="Arial" w:cs="Arial"/>
          <w:b/>
          <w:i w:val="0"/>
          <w:color w:val="44546A" w:themeColor="text2"/>
        </w:rPr>
        <w:t>pproval </w:t>
      </w:r>
    </w:p>
    <w:p w14:paraId="1EDE9B91" w14:textId="77777777" w:rsidR="00960A13" w:rsidRPr="009E1361" w:rsidRDefault="00960A13" w:rsidP="00A677C9">
      <w:pPr>
        <w:spacing w:before="240" w:after="240" w:line="240" w:lineRule="auto"/>
        <w:textAlignment w:val="baseline"/>
        <w:rPr>
          <w:rFonts w:eastAsia="Times New Roman"/>
          <w:sz w:val="20"/>
          <w:szCs w:val="20"/>
          <w:lang w:val="en-AU"/>
        </w:rPr>
      </w:pPr>
      <w:r w:rsidRPr="009E1361">
        <w:rPr>
          <w:rFonts w:eastAsia="Times New Roman"/>
          <w:lang w:val="en-AU"/>
        </w:rPr>
        <w:t>A transition care approval will lapse under the following circumstances: </w:t>
      </w:r>
    </w:p>
    <w:p w14:paraId="5D02BFB3" w14:textId="77777777" w:rsidR="00960A13" w:rsidRPr="009E1361" w:rsidRDefault="00960A13" w:rsidP="00DF3F6B">
      <w:pPr>
        <w:numPr>
          <w:ilvl w:val="0"/>
          <w:numId w:val="178"/>
        </w:numPr>
        <w:spacing w:before="240" w:after="240" w:line="240" w:lineRule="auto"/>
        <w:textAlignment w:val="baseline"/>
        <w:rPr>
          <w:rFonts w:eastAsia="Times New Roman"/>
          <w:lang w:val="en-AU"/>
        </w:rPr>
      </w:pPr>
      <w:r w:rsidRPr="009E1361">
        <w:rPr>
          <w:rFonts w:eastAsia="Times New Roman"/>
          <w:b/>
          <w:lang w:val="en-AU"/>
        </w:rPr>
        <w:t>Delayed Entry into Care:</w:t>
      </w:r>
      <w:r w:rsidRPr="009E1361">
        <w:rPr>
          <w:rFonts w:eastAsia="Times New Roman"/>
          <w:lang w:val="en-AU"/>
        </w:rPr>
        <w:t> If the individual does not commence transition care within four weeks (28 days) following the approval date, the approval will lapse.​ </w:t>
      </w:r>
    </w:p>
    <w:p w14:paraId="4D810E71" w14:textId="77777777" w:rsidR="00960A13" w:rsidRPr="009E1361" w:rsidRDefault="00960A13" w:rsidP="00DF3F6B">
      <w:pPr>
        <w:numPr>
          <w:ilvl w:val="0"/>
          <w:numId w:val="178"/>
        </w:numPr>
        <w:spacing w:before="240" w:after="240" w:line="240" w:lineRule="auto"/>
        <w:textAlignment w:val="baseline"/>
        <w:rPr>
          <w:rFonts w:eastAsia="Times New Roman"/>
          <w:lang w:val="en-AU"/>
        </w:rPr>
      </w:pPr>
      <w:r w:rsidRPr="009E1361">
        <w:rPr>
          <w:rFonts w:eastAsia="Times New Roman"/>
          <w:b/>
          <w:lang w:val="en-AU"/>
        </w:rPr>
        <w:t>Re-entry After Hospitalisation:</w:t>
      </w:r>
      <w:r w:rsidRPr="009E1361">
        <w:rPr>
          <w:rFonts w:eastAsia="Times New Roman"/>
          <w:lang w:val="en-AU"/>
        </w:rPr>
        <w:t> If an individual completes a transition care episode and, after a subsequent hospital stay, seeks to begin a new transition care episode beyond the initial four-week entry period, a new approval is required. </w:t>
      </w:r>
    </w:p>
    <w:p w14:paraId="76490C41" w14:textId="77777777" w:rsidR="00960A13" w:rsidRPr="009E1361" w:rsidRDefault="00960A13" w:rsidP="00A677C9">
      <w:pPr>
        <w:pStyle w:val="Heading4"/>
        <w:spacing w:before="240" w:after="240" w:line="240" w:lineRule="auto"/>
        <w:rPr>
          <w:rFonts w:ascii="Arial" w:hAnsi="Arial" w:cs="Arial"/>
          <w:b/>
          <w:color w:val="1E1444"/>
          <w:sz w:val="28"/>
          <w:szCs w:val="28"/>
          <w:lang w:val="en-AU"/>
        </w:rPr>
      </w:pPr>
      <w:r w:rsidRPr="009E1361">
        <w:rPr>
          <w:rFonts w:ascii="Arial" w:hAnsi="Arial" w:cs="Arial"/>
          <w:b/>
          <w:i w:val="0"/>
          <w:color w:val="44546A" w:themeColor="text2"/>
        </w:rPr>
        <w:t>Breaks in care </w:t>
      </w:r>
    </w:p>
    <w:p w14:paraId="6B68073B" w14:textId="77777777"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Individuals in the Transition Care Program (TCP) may take breaks in their care, known as break days, for up to seven days in total during a single episode of transition care. These leave days do not need to be consecutive and may be used for a range of reasons, such as brief hospital readmission or personal/social circumstances. </w:t>
      </w:r>
    </w:p>
    <w:p w14:paraId="095B6A09" w14:textId="77777777"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If the individual exceeds the seven-day leave limit, their TCP approval will automatically expire. In such cases, the individual must be reassessed, and the older person must receive a new approval before they can recommence transition care. </w:t>
      </w:r>
    </w:p>
    <w:p w14:paraId="73168FE8" w14:textId="77777777" w:rsidR="00960A13" w:rsidRPr="009E1361" w:rsidRDefault="00960A13" w:rsidP="00C56CEC">
      <w:pPr>
        <w:pStyle w:val="H3"/>
      </w:pPr>
      <w:r w:rsidRPr="0045681E">
        <w:t>Tr</w:t>
      </w:r>
      <w:r w:rsidRPr="009E1361">
        <w:rPr>
          <w:iCs/>
        </w:rPr>
        <w:t>ansition</w:t>
      </w:r>
      <w:r w:rsidRPr="009E1361">
        <w:t xml:space="preserve"> care extensions </w:t>
      </w:r>
    </w:p>
    <w:p w14:paraId="439BAE44" w14:textId="77777777"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If an individual is still making functional gains and would benefit from additional time in Transition Care, the Transition Care provider can request an extension of up to 42 days, with the potential for a further 42-day extension if clinically appropriate. </w:t>
      </w:r>
    </w:p>
    <w:p w14:paraId="373D48AF" w14:textId="6A47C569"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To initiate the process, the Transition Care provider must submit an extension request via the My Aged Care Service and Support Portal to the assessment organisation. This request must be submitted before and approved by the 84th day of the care episode. The request should include the reason for the extension, the duration requested, and any supporting information relevant to the individual’s ongoing care needs</w:t>
      </w:r>
      <w:r w:rsidR="00464F8C" w:rsidRPr="009E1361">
        <w:rPr>
          <w:rFonts w:eastAsia="Times New Roman"/>
          <w:lang w:val="en-AU"/>
        </w:rPr>
        <w:t>.</w:t>
      </w:r>
      <w:r w:rsidR="00464F8C" w:rsidRPr="77E56AD9">
        <w:rPr>
          <w:rFonts w:eastAsia="Times New Roman"/>
          <w:lang w:val="en-AU"/>
        </w:rPr>
        <w:t xml:space="preserve"> </w:t>
      </w:r>
      <w:r w:rsidR="0076E08A">
        <w:t>Note there is no right of review if an extension request is declined​.</w:t>
      </w:r>
    </w:p>
    <w:p w14:paraId="1780848C" w14:textId="69C03A2B"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 xml:space="preserve">The assessment organisation will receive and action the request through the My Aged Care </w:t>
      </w:r>
      <w:r w:rsidR="00E118B1">
        <w:rPr>
          <w:rFonts w:eastAsia="Times New Roman"/>
          <w:lang w:val="en-AU"/>
        </w:rPr>
        <w:t>A</w:t>
      </w:r>
      <w:r w:rsidRPr="009E1361">
        <w:rPr>
          <w:rFonts w:eastAsia="Times New Roman"/>
          <w:lang w:val="en-AU"/>
        </w:rPr>
        <w:t>ssessor</w:t>
      </w:r>
      <w:r w:rsidR="00E118B1">
        <w:rPr>
          <w:rFonts w:eastAsia="Times New Roman"/>
          <w:lang w:val="en-AU"/>
        </w:rPr>
        <w:t xml:space="preserve"> P</w:t>
      </w:r>
      <w:r w:rsidRPr="009E1361">
        <w:rPr>
          <w:rFonts w:eastAsia="Times New Roman"/>
          <w:lang w:val="en-AU"/>
        </w:rPr>
        <w:t>ortal. The Assessment Delegate will be responsible for reviewing and making a decision on the request. </w:t>
      </w:r>
    </w:p>
    <w:p w14:paraId="4B90605B" w14:textId="27A2B202" w:rsidR="00960A13" w:rsidRPr="009E1361" w:rsidRDefault="00960A13" w:rsidP="00A677C9">
      <w:pPr>
        <w:spacing w:before="240" w:after="240" w:line="240" w:lineRule="auto"/>
        <w:textAlignment w:val="baseline"/>
        <w:rPr>
          <w:rFonts w:eastAsia="Times New Roman"/>
          <w:lang w:val="en-AU"/>
        </w:rPr>
      </w:pPr>
      <w:r w:rsidRPr="009E1361">
        <w:rPr>
          <w:rFonts w:eastAsia="Times New Roman"/>
          <w:lang w:val="en-AU"/>
        </w:rPr>
        <w:t xml:space="preserve">When recording a decision to approve an individual for Transition Care, a drop-down box will require the assessor to select a priority. </w:t>
      </w:r>
      <w:r w:rsidR="00690E0B">
        <w:rPr>
          <w:rFonts w:eastAsia="Times New Roman"/>
          <w:lang w:val="en-AU"/>
        </w:rPr>
        <w:t>T</w:t>
      </w:r>
      <w:r w:rsidRPr="009E1361">
        <w:rPr>
          <w:rFonts w:eastAsia="Times New Roman"/>
          <w:lang w:val="en-AU"/>
        </w:rPr>
        <w:t xml:space="preserve">here is no priority system in place to receive services through Transition </w:t>
      </w:r>
      <w:r w:rsidR="0037083B">
        <w:rPr>
          <w:rFonts w:eastAsia="Times New Roman"/>
          <w:lang w:val="en-AU"/>
        </w:rPr>
        <w:t>C</w:t>
      </w:r>
      <w:r w:rsidR="0037083B" w:rsidRPr="009E1361">
        <w:rPr>
          <w:rFonts w:eastAsia="Times New Roman"/>
          <w:lang w:val="en-AU"/>
        </w:rPr>
        <w:t>are,</w:t>
      </w:r>
      <w:r w:rsidR="007555CD" w:rsidRPr="009E1361">
        <w:rPr>
          <w:rFonts w:eastAsia="Times New Roman"/>
          <w:lang w:val="en-AU"/>
        </w:rPr>
        <w:t xml:space="preserve"> </w:t>
      </w:r>
      <w:r w:rsidRPr="009E1361">
        <w:rPr>
          <w:rFonts w:eastAsia="Times New Roman"/>
          <w:lang w:val="en-AU"/>
        </w:rPr>
        <w:t>and the priority value will not impact the timeliness of receiving these services. For consistency, assessors are required to set the priority to ‘high’ for all assessments</w:t>
      </w:r>
      <w:r w:rsidR="00464F8C" w:rsidRPr="009E1361">
        <w:rPr>
          <w:rFonts w:eastAsia="Times New Roman"/>
          <w:lang w:val="en-AU"/>
        </w:rPr>
        <w:t xml:space="preserve">. </w:t>
      </w:r>
    </w:p>
    <w:tbl>
      <w:tblPr>
        <w:tblStyle w:val="TableGrid"/>
        <w:tblW w:w="0" w:type="auto"/>
        <w:tblLook w:val="04A0" w:firstRow="1" w:lastRow="0" w:firstColumn="1" w:lastColumn="0" w:noHBand="0" w:noVBand="1"/>
      </w:tblPr>
      <w:tblGrid>
        <w:gridCol w:w="988"/>
        <w:gridCol w:w="8028"/>
      </w:tblGrid>
      <w:tr w:rsidR="00960A13" w:rsidRPr="009E1361" w14:paraId="75E8DA1E" w14:textId="77777777">
        <w:tc>
          <w:tcPr>
            <w:tcW w:w="988" w:type="dxa"/>
          </w:tcPr>
          <w:p w14:paraId="06D14DC0" w14:textId="77777777" w:rsidR="00960A13" w:rsidRPr="009E1361" w:rsidRDefault="00960A13" w:rsidP="00A677C9">
            <w:pPr>
              <w:spacing w:before="240" w:after="240"/>
            </w:pPr>
            <w:r w:rsidRPr="009E1361">
              <w:rPr>
                <w:noProof/>
              </w:rPr>
              <w:drawing>
                <wp:inline distT="0" distB="0" distL="0" distR="0" wp14:anchorId="0A0C3AAD" wp14:editId="1233B3D3">
                  <wp:extent cx="383111" cy="381000"/>
                  <wp:effectExtent l="0" t="0" r="0" b="0"/>
                  <wp:docPr id="157107727" name="Picture 1571077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6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6A07D04" w14:textId="2A681722" w:rsidR="00960A13" w:rsidRPr="009E1361" w:rsidRDefault="008E1086" w:rsidP="00A677C9">
            <w:pPr>
              <w:spacing w:before="240" w:after="240"/>
            </w:pPr>
            <w:hyperlink r:id="rId185" w:history="1">
              <w:r w:rsidRPr="008E1086">
                <w:rPr>
                  <w:rStyle w:val="Hyperlink"/>
                  <w:rFonts w:eastAsia="Times New Roman"/>
                </w:rPr>
                <w:t>Transition Care Program Guidelines – November 2025 | Australian Government Department of Health, Disability and Ageing</w:t>
              </w:r>
            </w:hyperlink>
          </w:p>
        </w:tc>
      </w:tr>
    </w:tbl>
    <w:p w14:paraId="2947E402" w14:textId="77777777" w:rsidR="00960A13" w:rsidRPr="009E1361" w:rsidRDefault="00960A13" w:rsidP="00507F9D">
      <w:pPr>
        <w:pStyle w:val="h2"/>
      </w:pPr>
      <w:bookmarkStart w:id="522" w:name="_Toc209189004"/>
      <w:bookmarkStart w:id="523" w:name="_Toc224916663"/>
      <w:bookmarkStart w:id="524" w:name="_Toc204329572"/>
      <w:r w:rsidRPr="009E1361">
        <w:t>Residential care</w:t>
      </w:r>
      <w:bookmarkEnd w:id="513"/>
      <w:bookmarkEnd w:id="522"/>
      <w:bookmarkEnd w:id="523"/>
      <w:r w:rsidRPr="009E1361">
        <w:t xml:space="preserve"> </w:t>
      </w:r>
      <w:bookmarkEnd w:id="524"/>
    </w:p>
    <w:p w14:paraId="4602EB0E" w14:textId="5B2A0D52" w:rsidR="00960A13" w:rsidRPr="009E1361" w:rsidRDefault="00960A13" w:rsidP="00A677C9">
      <w:pPr>
        <w:spacing w:before="240" w:after="240" w:line="240" w:lineRule="auto"/>
      </w:pPr>
      <w:r w:rsidRPr="009E1361">
        <w:t>Residential aged care is a care type that can be recommended to an older person. There are two types of residential care: ongoing (permanent) and short-term (</w:t>
      </w:r>
      <w:r w:rsidR="4CEF810D">
        <w:t>r</w:t>
      </w:r>
      <w:r>
        <w:t>espite</w:t>
      </w:r>
      <w:r w:rsidRPr="009E1361">
        <w:t>).</w:t>
      </w:r>
    </w:p>
    <w:p w14:paraId="7900649E" w14:textId="77777777" w:rsidR="00960A13" w:rsidRPr="009E1361" w:rsidRDefault="00960A13" w:rsidP="00A677C9">
      <w:pPr>
        <w:spacing w:before="240" w:after="240" w:line="240" w:lineRule="auto"/>
        <w:rPr>
          <w:lang w:val="en-US"/>
        </w:rPr>
      </w:pPr>
      <w:r w:rsidRPr="009E1361">
        <w:rPr>
          <w:lang w:val="en-US"/>
        </w:rPr>
        <w:t xml:space="preserve">An ongoing residential care approval does not compel an older person to enter residential care, it simply enables a person to commence residential care services if and when they choose to do so, without the need for further assessment. </w:t>
      </w:r>
    </w:p>
    <w:p w14:paraId="1F20F28B" w14:textId="743D6C01" w:rsidR="00960A13" w:rsidRPr="009E1361" w:rsidRDefault="00960A13" w:rsidP="00A677C9">
      <w:pPr>
        <w:spacing w:before="240" w:after="240" w:line="240" w:lineRule="auto"/>
        <w:rPr>
          <w:lang w:val="en-US"/>
        </w:rPr>
      </w:pPr>
      <w:r w:rsidRPr="009E1361">
        <w:rPr>
          <w:lang w:val="en-US"/>
        </w:rPr>
        <w:t>Matters relating to residential care must be decided with the consent of the older person, and if they do not have capacity, their appointed decision maker (whether or not that person is a registered supporter).</w:t>
      </w:r>
      <w:r w:rsidR="001070C0" w:rsidRPr="001070C0">
        <w:t xml:space="preserve"> </w:t>
      </w:r>
      <w:r w:rsidR="001070C0">
        <w:t xml:space="preserve">Appointed decision makers must have authority to make any decisions relative to residential care, and that authority must be active. </w:t>
      </w:r>
    </w:p>
    <w:p w14:paraId="4E057CC3" w14:textId="77777777" w:rsidR="00960A13" w:rsidRPr="009E1361" w:rsidRDefault="00960A13" w:rsidP="00A677C9">
      <w:pPr>
        <w:spacing w:before="240" w:after="240" w:line="240" w:lineRule="auto"/>
        <w:rPr>
          <w:rFonts w:eastAsia="MS Mincho"/>
        </w:rPr>
      </w:pPr>
      <w:r w:rsidRPr="009E1361">
        <w:rPr>
          <w:lang w:val="en-US"/>
        </w:rPr>
        <w:t>Where possible, older people should be supported to live in their community for as long as possible. An assessment may, however, identify residential care as a suitable option for an older person who is no longer able to be adequately cared for by carers or family, and is incapable of living in their community without support.</w:t>
      </w:r>
      <w:r w:rsidRPr="009E1361">
        <w:rPr>
          <w:rFonts w:eastAsia="MS Mincho"/>
        </w:rPr>
        <w:t xml:space="preserve"> </w:t>
      </w:r>
    </w:p>
    <w:p w14:paraId="43901C82" w14:textId="58F826FD" w:rsidR="00960A13" w:rsidRPr="009E1361" w:rsidRDefault="00960A13" w:rsidP="00A677C9">
      <w:pPr>
        <w:spacing w:before="240" w:after="240" w:line="240" w:lineRule="auto"/>
        <w:rPr>
          <w:rFonts w:eastAsia="MS Mincho"/>
        </w:rPr>
      </w:pPr>
      <w:r w:rsidRPr="009E1361">
        <w:rPr>
          <w:rFonts w:eastAsia="MS Mincho"/>
        </w:rPr>
        <w:t xml:space="preserve">Application and approval for residential care means the person meets the eligibility criteria and the care type is appropriate for their care needs. </w:t>
      </w:r>
      <w:r w:rsidR="0080184C">
        <w:rPr>
          <w:rFonts w:eastAsia="MS Mincho"/>
        </w:rPr>
        <w:t xml:space="preserve">To be approved for residential care a delegate must be satisfied that </w:t>
      </w:r>
      <w:r w:rsidR="00505BDC">
        <w:rPr>
          <w:rFonts w:eastAsia="MS Mincho"/>
        </w:rPr>
        <w:t xml:space="preserve">section 68 of the Act applies to </w:t>
      </w:r>
      <w:r w:rsidR="0080184C">
        <w:rPr>
          <w:rFonts w:eastAsia="MS Mincho"/>
        </w:rPr>
        <w:t xml:space="preserve">an older person </w:t>
      </w:r>
      <w:r w:rsidR="00421887">
        <w:rPr>
          <w:rFonts w:eastAsia="MS Mincho"/>
        </w:rPr>
        <w:t xml:space="preserve">(except for older </w:t>
      </w:r>
      <w:r w:rsidR="00761D79">
        <w:rPr>
          <w:rFonts w:eastAsia="MS Mincho"/>
        </w:rPr>
        <w:t>Aboriginal and Torres Strait Islander people</w:t>
      </w:r>
      <w:r w:rsidR="00526D24">
        <w:rPr>
          <w:rFonts w:eastAsia="MS Mincho"/>
        </w:rPr>
        <w:t xml:space="preserve"> </w:t>
      </w:r>
      <w:r w:rsidR="00FC7867">
        <w:rPr>
          <w:rFonts w:eastAsia="MS Mincho"/>
        </w:rPr>
        <w:t>who</w:t>
      </w:r>
      <w:r w:rsidR="00526D24">
        <w:rPr>
          <w:rFonts w:eastAsia="MS Mincho"/>
        </w:rPr>
        <w:t xml:space="preserve"> access services </w:t>
      </w:r>
      <w:r w:rsidR="00FC7867">
        <w:rPr>
          <w:rFonts w:eastAsia="MS Mincho"/>
        </w:rPr>
        <w:t>on a different constitution basis</w:t>
      </w:r>
      <w:r w:rsidR="0037083B">
        <w:rPr>
          <w:rFonts w:eastAsia="MS Mincho"/>
        </w:rPr>
        <w:t>).</w:t>
      </w:r>
      <w:r w:rsidR="00505BDC">
        <w:rPr>
          <w:rFonts w:eastAsia="MS Mincho"/>
        </w:rPr>
        <w:t xml:space="preserve"> The </w:t>
      </w:r>
      <w:r w:rsidR="00C96ABD">
        <w:rPr>
          <w:rFonts w:eastAsia="MS Mincho"/>
        </w:rPr>
        <w:t>older non-Aboriginal and Torres Strait Islander</w:t>
      </w:r>
      <w:r w:rsidR="00505BDC">
        <w:rPr>
          <w:rFonts w:eastAsia="MS Mincho"/>
        </w:rPr>
        <w:t xml:space="preserve"> person must </w:t>
      </w:r>
      <w:r w:rsidR="00367BA3">
        <w:rPr>
          <w:rFonts w:eastAsia="MS Mincho"/>
        </w:rPr>
        <w:t>require aged care services</w:t>
      </w:r>
      <w:r w:rsidR="00B624EF">
        <w:rPr>
          <w:rFonts w:eastAsia="MS Mincho"/>
        </w:rPr>
        <w:t xml:space="preserve"> due to their sickness </w:t>
      </w:r>
      <w:r w:rsidR="00525D5F">
        <w:rPr>
          <w:rFonts w:eastAsia="MS Mincho"/>
        </w:rPr>
        <w:t xml:space="preserve">as defined under the </w:t>
      </w:r>
      <w:r w:rsidR="0037083B">
        <w:rPr>
          <w:rFonts w:eastAsia="MS Mincho"/>
        </w:rPr>
        <w:t>Act.</w:t>
      </w:r>
      <w:r w:rsidR="00505BDC">
        <w:rPr>
          <w:rFonts w:eastAsia="MS Mincho"/>
        </w:rPr>
        <w:t xml:space="preserve"> For further information </w:t>
      </w:r>
      <w:r w:rsidR="00803E66">
        <w:rPr>
          <w:rFonts w:eastAsia="MS Mincho"/>
        </w:rPr>
        <w:t>on the Act’s definition of sickness and approvals under section</w:t>
      </w:r>
      <w:r w:rsidR="003B45AF">
        <w:rPr>
          <w:rFonts w:eastAsia="MS Mincho"/>
        </w:rPr>
        <w:t>s 67 and</w:t>
      </w:r>
      <w:r w:rsidR="00803E66">
        <w:rPr>
          <w:rFonts w:eastAsia="MS Mincho"/>
        </w:rPr>
        <w:t xml:space="preserve"> 68, refer to section </w:t>
      </w:r>
      <w:r w:rsidR="00803E66">
        <w:rPr>
          <w:rFonts w:eastAsia="MS Mincho"/>
        </w:rPr>
        <w:fldChar w:fldCharType="begin"/>
      </w:r>
      <w:r w:rsidR="00803E66">
        <w:rPr>
          <w:rFonts w:eastAsia="MS Mincho"/>
        </w:rPr>
        <w:instrText xml:space="preserve"> REF _Ref212738703 \w \h </w:instrText>
      </w:r>
      <w:r w:rsidR="00803E66">
        <w:rPr>
          <w:rFonts w:eastAsia="MS Mincho"/>
        </w:rPr>
      </w:r>
      <w:r w:rsidR="00803E66">
        <w:rPr>
          <w:rFonts w:eastAsia="MS Mincho"/>
        </w:rPr>
        <w:fldChar w:fldCharType="separate"/>
      </w:r>
      <w:r w:rsidR="00F97942">
        <w:rPr>
          <w:rFonts w:eastAsia="MS Mincho"/>
        </w:rPr>
        <w:t>7.6.4</w:t>
      </w:r>
      <w:r w:rsidR="00803E66">
        <w:rPr>
          <w:rFonts w:eastAsia="MS Mincho"/>
        </w:rPr>
        <w:fldChar w:fldCharType="end"/>
      </w:r>
      <w:r w:rsidR="00803E66">
        <w:rPr>
          <w:rFonts w:eastAsia="MS Mincho"/>
        </w:rPr>
        <w:t xml:space="preserve"> of Chapter </w:t>
      </w:r>
      <w:r w:rsidR="00803E66">
        <w:rPr>
          <w:rFonts w:eastAsia="MS Mincho"/>
        </w:rPr>
        <w:fldChar w:fldCharType="begin"/>
      </w:r>
      <w:r w:rsidR="00803E66">
        <w:rPr>
          <w:rFonts w:eastAsia="MS Mincho"/>
        </w:rPr>
        <w:instrText xml:space="preserve"> REF _Ref212738728 \w \h </w:instrText>
      </w:r>
      <w:r w:rsidR="00803E66">
        <w:rPr>
          <w:rFonts w:eastAsia="MS Mincho"/>
        </w:rPr>
      </w:r>
      <w:r w:rsidR="00803E66">
        <w:rPr>
          <w:rFonts w:eastAsia="MS Mincho"/>
        </w:rPr>
        <w:fldChar w:fldCharType="separate"/>
      </w:r>
      <w:r w:rsidR="00F97942">
        <w:rPr>
          <w:rFonts w:eastAsia="MS Mincho"/>
        </w:rPr>
        <w:t>7</w:t>
      </w:r>
      <w:r w:rsidR="00803E66">
        <w:rPr>
          <w:rFonts w:eastAsia="MS Mincho"/>
        </w:rPr>
        <w:fldChar w:fldCharType="end"/>
      </w:r>
      <w:r w:rsidR="00803E66">
        <w:rPr>
          <w:rFonts w:eastAsia="MS Mincho"/>
        </w:rPr>
        <w:t xml:space="preserve">. </w:t>
      </w:r>
    </w:p>
    <w:p w14:paraId="0AA26EA3" w14:textId="77777777" w:rsidR="00960A13" w:rsidRPr="009E1361" w:rsidRDefault="00960A13" w:rsidP="00A677C9">
      <w:pPr>
        <w:spacing w:before="240" w:after="240" w:line="240" w:lineRule="auto"/>
      </w:pPr>
      <w:r w:rsidRPr="009E1361">
        <w:t xml:space="preserve">On 1 October 2022, the Australian National Aged Care Classification (AN-ACC) residential care funding model replaced the Aged Care Funding Instrument. </w:t>
      </w:r>
    </w:p>
    <w:p w14:paraId="147B1AAA" w14:textId="01ECAFD6" w:rsidR="00960A13" w:rsidRPr="009E1361" w:rsidRDefault="00960A13" w:rsidP="00A677C9">
      <w:pPr>
        <w:spacing w:before="240" w:after="240" w:line="240" w:lineRule="auto"/>
      </w:pPr>
      <w:r w:rsidRPr="009E1361">
        <w:t>Following an older person’s admission to residential care</w:t>
      </w:r>
      <w:r w:rsidR="00C73832">
        <w:t>,</w:t>
      </w:r>
      <w:r w:rsidRPr="009E1361">
        <w:t xml:space="preserve"> a residential aged care funding assessor (</w:t>
      </w:r>
      <w:r w:rsidR="00C73832">
        <w:t xml:space="preserve">RAC </w:t>
      </w:r>
      <w:r w:rsidRPr="009E1361">
        <w:t xml:space="preserve">funding assessor) will conduct an </w:t>
      </w:r>
      <w:r w:rsidR="00AA6DC0">
        <w:t>assessment</w:t>
      </w:r>
      <w:r w:rsidR="00AA6DC0" w:rsidRPr="009E1361">
        <w:t xml:space="preserve"> </w:t>
      </w:r>
      <w:r w:rsidRPr="009E1361">
        <w:t>using the AN-ACC assessment tool</w:t>
      </w:r>
      <w:r w:rsidR="00C73832">
        <w:t xml:space="preserve">. The assessment information is uploaded and is used to determine the resident’s classification. </w:t>
      </w:r>
      <w:r w:rsidRPr="009E1361">
        <w:t xml:space="preserve"> </w:t>
      </w:r>
    </w:p>
    <w:p w14:paraId="51BAAF1E" w14:textId="77777777" w:rsidR="00960A13" w:rsidRPr="009E1361" w:rsidRDefault="00960A13" w:rsidP="00A677C9">
      <w:pPr>
        <w:keepNext/>
        <w:spacing w:before="240" w:after="240" w:line="240" w:lineRule="auto"/>
        <w:ind w:left="357" w:hanging="357"/>
        <w:rPr>
          <w:rFonts w:eastAsia="MS Mincho"/>
        </w:rPr>
      </w:pPr>
      <w:r w:rsidRPr="009E1361">
        <w:rPr>
          <w:rFonts w:eastAsia="MS Mincho"/>
        </w:rPr>
        <w:t>A person who is eligible for residential care may require daily assistance with:</w:t>
      </w:r>
    </w:p>
    <w:p w14:paraId="01DCF70E" w14:textId="77777777" w:rsidR="00960A13" w:rsidRPr="009E1361" w:rsidRDefault="00960A13" w:rsidP="00DF3F6B">
      <w:pPr>
        <w:pStyle w:val="ListParagraph"/>
        <w:numPr>
          <w:ilvl w:val="0"/>
          <w:numId w:val="180"/>
        </w:numPr>
        <w:spacing w:before="240" w:after="240" w:line="240" w:lineRule="auto"/>
        <w:ind w:left="567" w:hanging="284"/>
      </w:pPr>
      <w:r w:rsidRPr="009E1361">
        <w:t>meals (including special diets)</w:t>
      </w:r>
    </w:p>
    <w:p w14:paraId="14FE8FCF" w14:textId="77777777" w:rsidR="00960A13" w:rsidRPr="009E1361" w:rsidRDefault="00960A13" w:rsidP="00DF3F6B">
      <w:pPr>
        <w:pStyle w:val="ListParagraph"/>
        <w:numPr>
          <w:ilvl w:val="0"/>
          <w:numId w:val="180"/>
        </w:numPr>
        <w:spacing w:before="240" w:after="240" w:line="240" w:lineRule="auto"/>
        <w:ind w:left="567" w:hanging="284"/>
      </w:pPr>
      <w:r w:rsidRPr="009E1361">
        <w:t>bathing, showering, dressing and personal hygiene</w:t>
      </w:r>
    </w:p>
    <w:p w14:paraId="04DFA2C4" w14:textId="77777777" w:rsidR="00960A13" w:rsidRPr="009E1361" w:rsidRDefault="00960A13" w:rsidP="00DF3F6B">
      <w:pPr>
        <w:pStyle w:val="ListParagraph"/>
        <w:numPr>
          <w:ilvl w:val="0"/>
          <w:numId w:val="180"/>
        </w:numPr>
        <w:spacing w:before="240" w:after="240" w:line="240" w:lineRule="auto"/>
        <w:ind w:left="567" w:hanging="284"/>
      </w:pPr>
      <w:r w:rsidRPr="009E1361">
        <w:t>toileting and continence management</w:t>
      </w:r>
    </w:p>
    <w:p w14:paraId="1273E3EA" w14:textId="77777777" w:rsidR="00960A13" w:rsidRPr="009E1361" w:rsidRDefault="00960A13" w:rsidP="00DF3F6B">
      <w:pPr>
        <w:pStyle w:val="ListParagraph"/>
        <w:numPr>
          <w:ilvl w:val="0"/>
          <w:numId w:val="180"/>
        </w:numPr>
        <w:spacing w:before="240" w:after="240" w:line="240" w:lineRule="auto"/>
        <w:ind w:left="567" w:hanging="284"/>
      </w:pPr>
      <w:r w:rsidRPr="009E1361">
        <w:t>general nursing care (e.g. wound management)</w:t>
      </w:r>
    </w:p>
    <w:p w14:paraId="02FB5005" w14:textId="77777777" w:rsidR="00960A13" w:rsidRPr="009E1361" w:rsidRDefault="00960A13" w:rsidP="00DF3F6B">
      <w:pPr>
        <w:pStyle w:val="ListParagraph"/>
        <w:numPr>
          <w:ilvl w:val="0"/>
          <w:numId w:val="180"/>
        </w:numPr>
        <w:spacing w:before="240" w:after="240" w:line="240" w:lineRule="auto"/>
        <w:ind w:left="567" w:hanging="284"/>
      </w:pPr>
      <w:r w:rsidRPr="009E1361">
        <w:t>organising and taking medication</w:t>
      </w:r>
    </w:p>
    <w:p w14:paraId="7E397248" w14:textId="77777777" w:rsidR="00960A13" w:rsidRPr="009E1361" w:rsidRDefault="00960A13" w:rsidP="00DF3F6B">
      <w:pPr>
        <w:pStyle w:val="ListParagraph"/>
        <w:numPr>
          <w:ilvl w:val="0"/>
          <w:numId w:val="180"/>
        </w:numPr>
        <w:spacing w:before="240" w:after="240" w:line="240" w:lineRule="auto"/>
        <w:ind w:left="567" w:hanging="284"/>
      </w:pPr>
      <w:r w:rsidRPr="009E1361">
        <w:t>communication (including fitting sensory or communication aids)</w:t>
      </w:r>
    </w:p>
    <w:p w14:paraId="7CE22346" w14:textId="77777777" w:rsidR="00960A13" w:rsidRPr="009E1361" w:rsidRDefault="00960A13" w:rsidP="00DF3F6B">
      <w:pPr>
        <w:pStyle w:val="ListParagraph"/>
        <w:numPr>
          <w:ilvl w:val="0"/>
          <w:numId w:val="180"/>
        </w:numPr>
        <w:spacing w:before="240" w:after="240" w:line="240" w:lineRule="auto"/>
        <w:ind w:left="567" w:hanging="284"/>
      </w:pPr>
      <w:r w:rsidRPr="009E1361">
        <w:t>transfers and mobility</w:t>
      </w:r>
    </w:p>
    <w:p w14:paraId="0A703396" w14:textId="77777777" w:rsidR="00960A13" w:rsidRPr="009E1361" w:rsidRDefault="00960A13" w:rsidP="00DF3F6B">
      <w:pPr>
        <w:pStyle w:val="ListParagraph"/>
        <w:numPr>
          <w:ilvl w:val="0"/>
          <w:numId w:val="180"/>
        </w:numPr>
        <w:spacing w:before="240" w:after="240" w:line="240" w:lineRule="auto"/>
        <w:ind w:left="567" w:hanging="284"/>
      </w:pPr>
      <w:r w:rsidRPr="009E1361">
        <w:t>assessment and referral for appropriate support; and/or</w:t>
      </w:r>
    </w:p>
    <w:p w14:paraId="0D77BE6A" w14:textId="77777777" w:rsidR="00960A13" w:rsidRPr="009E1361" w:rsidRDefault="00960A13" w:rsidP="00DF3F6B">
      <w:pPr>
        <w:pStyle w:val="ListParagraph"/>
        <w:numPr>
          <w:ilvl w:val="0"/>
          <w:numId w:val="180"/>
        </w:numPr>
        <w:spacing w:before="240" w:after="240" w:line="240" w:lineRule="auto"/>
        <w:ind w:left="567" w:hanging="284"/>
      </w:pPr>
      <w:r w:rsidRPr="009E1361">
        <w:t>emotional support</w:t>
      </w:r>
    </w:p>
    <w:p w14:paraId="45D08F78" w14:textId="3571B66A" w:rsidR="00960A13" w:rsidRPr="009E1361" w:rsidRDefault="00960A13" w:rsidP="00A677C9">
      <w:pPr>
        <w:spacing w:before="240" w:after="240" w:line="240" w:lineRule="auto"/>
        <w:rPr>
          <w:lang w:val="en-US"/>
        </w:rPr>
      </w:pPr>
      <w:bookmarkStart w:id="525" w:name="_Toc198008577"/>
      <w:bookmarkStart w:id="526" w:name="_Toc198787183"/>
      <w:bookmarkStart w:id="527" w:name="_Toc1563280314"/>
      <w:bookmarkStart w:id="528" w:name="_Toc199344570"/>
      <w:bookmarkStart w:id="529" w:name="_Toc205372107"/>
      <w:bookmarkStart w:id="530" w:name="_Toc1355946124"/>
      <w:r w:rsidRPr="009E1361">
        <w:rPr>
          <w:lang w:val="en-US"/>
        </w:rPr>
        <w:t xml:space="preserve">If an older person’s concerns and goals </w:t>
      </w:r>
      <w:r w:rsidR="00D87300" w:rsidRPr="009E1361">
        <w:rPr>
          <w:lang w:val="en-US"/>
        </w:rPr>
        <w:t>identify</w:t>
      </w:r>
      <w:r w:rsidRPr="009E1361">
        <w:rPr>
          <w:lang w:val="en-US"/>
        </w:rPr>
        <w:t xml:space="preserve"> the need for residential care, ongoing and short-term residential care can be added to a person’s support plan through the ‘add care type’ button on the </w:t>
      </w:r>
      <w:r w:rsidRPr="009E1361">
        <w:rPr>
          <w:i/>
          <w:lang w:val="en-US"/>
        </w:rPr>
        <w:t>Goals &amp; recommendations</w:t>
      </w:r>
      <w:r w:rsidRPr="009E1361">
        <w:rPr>
          <w:lang w:val="en-US"/>
        </w:rPr>
        <w:t xml:space="preserve"> tab. </w:t>
      </w:r>
    </w:p>
    <w:p w14:paraId="6D1CD9D0" w14:textId="77777777" w:rsidR="00960A13" w:rsidRPr="009E1361" w:rsidRDefault="00960A13" w:rsidP="00A677C9">
      <w:pPr>
        <w:spacing w:before="240" w:after="240" w:line="240" w:lineRule="auto"/>
        <w:rPr>
          <w:lang w:val="en-US"/>
        </w:rPr>
      </w:pPr>
      <w:r w:rsidRPr="009E1361">
        <w:rPr>
          <w:lang w:val="en-US"/>
        </w:rPr>
        <w:t>An assessor will need to consider the person’s:</w:t>
      </w:r>
    </w:p>
    <w:p w14:paraId="06DCFDFF"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physical needs – how much support does the person need for daily living activities (i.e. preparing meals, eating, showering, dressing etc.) their level of mobility and whether they need assistance to walk, sit and stand</w:t>
      </w:r>
    </w:p>
    <w:p w14:paraId="6708D5CF"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health needs - does the person have chronic health issues that require nursing intervention or regular clinical/medical procedures</w:t>
      </w:r>
    </w:p>
    <w:p w14:paraId="58FF4C8D" w14:textId="26C3C8AB" w:rsidR="00960A13" w:rsidRPr="009E1361" w:rsidRDefault="00960A13" w:rsidP="00DF3F6B">
      <w:pPr>
        <w:pStyle w:val="ListParagraph"/>
        <w:numPr>
          <w:ilvl w:val="0"/>
          <w:numId w:val="165"/>
        </w:numPr>
        <w:spacing w:before="240" w:after="240" w:line="240" w:lineRule="auto"/>
        <w:rPr>
          <w:lang w:val="en-US"/>
        </w:rPr>
      </w:pPr>
      <w:r w:rsidRPr="009E1361">
        <w:rPr>
          <w:lang w:val="en-US"/>
        </w:rPr>
        <w:t>cognitive needs – does the person have issues with memory, orientation, or thinking abilities, is there a diagnosis of dementia</w:t>
      </w:r>
      <w:r w:rsidR="00C73832">
        <w:rPr>
          <w:lang w:val="en-US"/>
        </w:rPr>
        <w:t>, such as</w:t>
      </w:r>
      <w:r w:rsidRPr="009E1361">
        <w:rPr>
          <w:lang w:val="en-US"/>
        </w:rPr>
        <w:t xml:space="preserve"> Alzheimer’s disease</w:t>
      </w:r>
    </w:p>
    <w:p w14:paraId="55289BB5"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psychological and wellbeing needs – do they have any symptoms of depression, anxiety or other mental health challenges, or isolation. Is there a strong social support network for the person</w:t>
      </w:r>
    </w:p>
    <w:p w14:paraId="11EA4A78"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current living arrangements – what is their living situation and is their living environment safe, do they have family and friends for informal support</w:t>
      </w:r>
    </w:p>
    <w:p w14:paraId="64379DA8" w14:textId="77777777" w:rsidR="00960A13" w:rsidRPr="009E1361" w:rsidRDefault="00960A13" w:rsidP="00DF3F6B">
      <w:pPr>
        <w:pStyle w:val="ListParagraph"/>
        <w:numPr>
          <w:ilvl w:val="0"/>
          <w:numId w:val="165"/>
        </w:numPr>
        <w:spacing w:before="240" w:after="240" w:line="240" w:lineRule="auto"/>
        <w:rPr>
          <w:lang w:val="en-US"/>
        </w:rPr>
      </w:pPr>
      <w:r w:rsidRPr="009E1361">
        <w:rPr>
          <w:lang w:val="en-US"/>
        </w:rPr>
        <w:t>carer impacts – does the carer need a break and would respite support the person’s wishes to stay in their own home longer</w:t>
      </w:r>
    </w:p>
    <w:p w14:paraId="44A81B7C" w14:textId="77777777" w:rsidR="00960A13" w:rsidRPr="009E1361" w:rsidRDefault="00960A13" w:rsidP="00A677C9">
      <w:pPr>
        <w:spacing w:before="240" w:after="240" w:line="240" w:lineRule="auto"/>
        <w:rPr>
          <w:lang w:val="en-US"/>
        </w:rPr>
      </w:pPr>
      <w:r w:rsidRPr="009E1361">
        <w:rPr>
          <w:lang w:val="en-US"/>
        </w:rPr>
        <w:t>There may be a combination of any of the above needs or factors, or a single need that results in the assessor determining that an individual is incapable of living in a home or community setting without support (</w:t>
      </w:r>
      <w:r w:rsidRPr="009E1361">
        <w:rPr>
          <w:i/>
          <w:lang w:val="en-US"/>
        </w:rPr>
        <w:t>Aged Care Rules 2025</w:t>
      </w:r>
      <w:r w:rsidRPr="009E1361">
        <w:rPr>
          <w:lang w:val="en-US"/>
        </w:rPr>
        <w:t xml:space="preserve"> Section 65-20 eligibility requirement – service group residential care) and has a continuing need for funded aged care services, including nursing services (</w:t>
      </w:r>
      <w:r w:rsidRPr="009E1361">
        <w:rPr>
          <w:i/>
          <w:lang w:val="en-US"/>
        </w:rPr>
        <w:t>Aged Care Act 2024</w:t>
      </w:r>
      <w:r w:rsidRPr="009E1361">
        <w:rPr>
          <w:lang w:val="en-US"/>
        </w:rPr>
        <w:t xml:space="preserve">, Division 3, Section 68). </w:t>
      </w:r>
    </w:p>
    <w:bookmarkEnd w:id="525"/>
    <w:bookmarkEnd w:id="526"/>
    <w:bookmarkEnd w:id="527"/>
    <w:bookmarkEnd w:id="528"/>
    <w:bookmarkEnd w:id="529"/>
    <w:bookmarkEnd w:id="530"/>
    <w:p w14:paraId="00333BA4" w14:textId="77777777" w:rsidR="00960A13" w:rsidRPr="009E1361" w:rsidRDefault="00960A13" w:rsidP="00C56CEC">
      <w:pPr>
        <w:pStyle w:val="H3"/>
      </w:pPr>
      <w:r w:rsidRPr="009E1361">
        <w:t>Recommending residential care</w:t>
      </w:r>
    </w:p>
    <w:p w14:paraId="4883C304" w14:textId="77777777" w:rsidR="00960A13" w:rsidRPr="009E1361" w:rsidRDefault="00960A13" w:rsidP="00A677C9">
      <w:pPr>
        <w:spacing w:before="240" w:after="240" w:line="240" w:lineRule="auto"/>
        <w:rPr>
          <w:lang w:val="en-US"/>
        </w:rPr>
      </w:pPr>
      <w:r w:rsidRPr="009E1361">
        <w:rPr>
          <w:lang w:val="en-US"/>
        </w:rPr>
        <w:t xml:space="preserve">If an assessor recommends that a client only receive ongoing residential care and/or short-term residential care, there are two pathways to consider when recommending these services: </w:t>
      </w:r>
    </w:p>
    <w:p w14:paraId="01DD5264" w14:textId="0C9FD333" w:rsidR="00960A13" w:rsidRPr="009E1361" w:rsidRDefault="00960A13" w:rsidP="00DF3F6B">
      <w:pPr>
        <w:pStyle w:val="ListParagraph"/>
        <w:numPr>
          <w:ilvl w:val="0"/>
          <w:numId w:val="179"/>
        </w:numPr>
        <w:spacing w:before="240" w:after="240" w:line="240" w:lineRule="auto"/>
        <w:rPr>
          <w:lang w:val="en-US"/>
        </w:rPr>
      </w:pPr>
      <w:r w:rsidRPr="009E1361">
        <w:rPr>
          <w:lang w:val="en-US"/>
        </w:rPr>
        <w:t>An assessor can choose to override the IAT outcome to ‘ineligible for CHSP</w:t>
      </w:r>
      <w:r w:rsidR="00CE01C1">
        <w:rPr>
          <w:lang w:val="en-US"/>
        </w:rPr>
        <w:t>/SAH’</w:t>
      </w:r>
      <w:r w:rsidRPr="009E1361">
        <w:rPr>
          <w:lang w:val="en-US"/>
        </w:rPr>
        <w:t xml:space="preserve"> and then choose Residential Permanent and/or Residential Respite options under the ‘Add a Care type for Delegate Decision’ button </w:t>
      </w:r>
    </w:p>
    <w:p w14:paraId="22AE7157" w14:textId="2E083CB5" w:rsidR="00960A13" w:rsidRPr="009E1361" w:rsidRDefault="00960A13" w:rsidP="00DF3F6B">
      <w:pPr>
        <w:pStyle w:val="ListParagraph"/>
        <w:numPr>
          <w:ilvl w:val="0"/>
          <w:numId w:val="179"/>
        </w:numPr>
        <w:spacing w:before="240" w:after="240" w:line="240" w:lineRule="auto"/>
        <w:rPr>
          <w:lang w:val="en-US"/>
        </w:rPr>
      </w:pPr>
      <w:r w:rsidRPr="009E1361">
        <w:rPr>
          <w:lang w:val="en-US"/>
        </w:rPr>
        <w:t>An assessor can accept a ‘</w:t>
      </w:r>
      <w:r w:rsidR="00CE01C1">
        <w:rPr>
          <w:lang w:val="en-US"/>
        </w:rPr>
        <w:t>SaH</w:t>
      </w:r>
      <w:r w:rsidRPr="009E1361">
        <w:rPr>
          <w:lang w:val="en-US"/>
        </w:rPr>
        <w:t xml:space="preserve"> Classification’ or ‘CHSP’ IAT outcome, then choose Residential Permanent and/or Residential Respite from the ‘Add a care type for delegate decision’ button. The assessor must then ensure that the S</w:t>
      </w:r>
      <w:r w:rsidR="0045300A">
        <w:rPr>
          <w:lang w:val="en-US"/>
        </w:rPr>
        <w:t xml:space="preserve">upport </w:t>
      </w:r>
      <w:r w:rsidRPr="009E1361">
        <w:rPr>
          <w:lang w:val="en-US"/>
        </w:rPr>
        <w:t>a</w:t>
      </w:r>
      <w:r w:rsidR="0045300A">
        <w:rPr>
          <w:lang w:val="en-US"/>
        </w:rPr>
        <w:t xml:space="preserve">t </w:t>
      </w:r>
      <w:r w:rsidRPr="009E1361">
        <w:rPr>
          <w:lang w:val="en-US"/>
        </w:rPr>
        <w:t>H</w:t>
      </w:r>
      <w:r w:rsidR="0045300A">
        <w:rPr>
          <w:lang w:val="en-US"/>
        </w:rPr>
        <w:t>ome</w:t>
      </w:r>
      <w:r w:rsidRPr="009E1361">
        <w:rPr>
          <w:lang w:val="en-US"/>
        </w:rPr>
        <w:t xml:space="preserve"> classification is switched to ‘not seeking services’ and kept as a latent class. This provides the client with flexibility in case they want to return home in the future and access home support services. </w:t>
      </w:r>
    </w:p>
    <w:p w14:paraId="193ED420" w14:textId="77777777" w:rsidR="00960A13" w:rsidRPr="009E1361" w:rsidRDefault="00960A13" w:rsidP="00C56CEC">
      <w:pPr>
        <w:pStyle w:val="H3"/>
      </w:pPr>
      <w:r w:rsidRPr="009E1361">
        <w:t>Priority for ongoing residential care</w:t>
      </w:r>
    </w:p>
    <w:p w14:paraId="1A5C9EFA" w14:textId="77777777" w:rsidR="00960A13" w:rsidRPr="007E6F47" w:rsidRDefault="00960A13" w:rsidP="00A677C9">
      <w:pPr>
        <w:spacing w:before="240" w:after="240" w:line="240" w:lineRule="auto"/>
      </w:pPr>
      <w:r w:rsidRPr="007E6F47">
        <w:rPr>
          <w:lang w:val="en-US"/>
        </w:rPr>
        <w:t xml:space="preserve">To meet the requirements of the </w:t>
      </w:r>
      <w:r w:rsidRPr="007E6F47">
        <w:rPr>
          <w:i/>
          <w:lang w:val="en-US"/>
        </w:rPr>
        <w:t>Aged Care Act 2024</w:t>
      </w:r>
      <w:r w:rsidRPr="007E6F47">
        <w:rPr>
          <w:lang w:val="en-US"/>
        </w:rPr>
        <w:t xml:space="preserve">, an older person being approved for permanent residential care will be assigned a priority category (1, 2 or 3). Although important, </w:t>
      </w:r>
      <w:r w:rsidRPr="007E6F47">
        <w:t>the priority category will not impact when a person can access residential care services or services under a specialist aged care program.</w:t>
      </w:r>
    </w:p>
    <w:p w14:paraId="65F98D9D" w14:textId="7C9DA229" w:rsidR="00960A13" w:rsidRPr="007E6F47" w:rsidRDefault="00960A13" w:rsidP="00A677C9">
      <w:pPr>
        <w:pStyle w:val="Caption"/>
        <w:spacing w:before="240" w:after="240"/>
      </w:pPr>
      <w:r w:rsidRPr="007E6F47">
        <w:t xml:space="preserve">Table </w:t>
      </w:r>
      <w:r w:rsidR="00801F76">
        <w:t>3</w:t>
      </w:r>
      <w:r w:rsidR="000C7B48">
        <w:t>1</w:t>
      </w:r>
      <w:r>
        <w:t>.</w:t>
      </w:r>
      <w:r w:rsidRPr="007E6F47">
        <w:t xml:space="preserve"> </w:t>
      </w:r>
      <w:r>
        <w:t>D</w:t>
      </w:r>
      <w:r w:rsidRPr="007E6F47">
        <w:t xml:space="preserve">escription of priority categories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Description of priority categories"/>
      </w:tblPr>
      <w:tblGrid>
        <w:gridCol w:w="1696"/>
        <w:gridCol w:w="7320"/>
      </w:tblGrid>
      <w:tr w:rsidR="00960A13" w:rsidRPr="009E1361" w14:paraId="0DD40F2A" w14:textId="77777777" w:rsidTr="00B1264E">
        <w:tc>
          <w:tcPr>
            <w:tcW w:w="1696" w:type="dxa"/>
            <w:shd w:val="clear" w:color="auto" w:fill="002060"/>
          </w:tcPr>
          <w:p w14:paraId="31BAA69D" w14:textId="27AB4D1C" w:rsidR="00960A13" w:rsidRPr="007E6F47" w:rsidRDefault="00960A13" w:rsidP="0003231B">
            <w:pPr>
              <w:spacing w:before="120" w:after="120"/>
              <w:rPr>
                <w:b/>
                <w:lang w:val="en-US"/>
              </w:rPr>
            </w:pPr>
            <w:r w:rsidRPr="007E6F47">
              <w:rPr>
                <w:b/>
                <w:lang w:val="en-US"/>
              </w:rPr>
              <w:t xml:space="preserve">Category </w:t>
            </w:r>
          </w:p>
        </w:tc>
        <w:tc>
          <w:tcPr>
            <w:tcW w:w="7320" w:type="dxa"/>
            <w:shd w:val="clear" w:color="auto" w:fill="002060"/>
          </w:tcPr>
          <w:p w14:paraId="6096A20F" w14:textId="5F5DE665" w:rsidR="00960A13" w:rsidRPr="007E6F47" w:rsidRDefault="00960A13" w:rsidP="0003231B">
            <w:pPr>
              <w:spacing w:before="120" w:after="120"/>
              <w:rPr>
                <w:b/>
                <w:lang w:val="en-US"/>
              </w:rPr>
            </w:pPr>
            <w:r w:rsidRPr="007E6F47">
              <w:rPr>
                <w:b/>
                <w:lang w:val="en-US"/>
              </w:rPr>
              <w:t>Description</w:t>
            </w:r>
          </w:p>
        </w:tc>
      </w:tr>
      <w:tr w:rsidR="00960A13" w:rsidRPr="009E1361" w14:paraId="72CE03CC" w14:textId="77777777">
        <w:tc>
          <w:tcPr>
            <w:tcW w:w="1696" w:type="dxa"/>
          </w:tcPr>
          <w:p w14:paraId="1B567F73" w14:textId="77777777" w:rsidR="00960A13" w:rsidRPr="007E6F47" w:rsidRDefault="00960A13" w:rsidP="0003231B">
            <w:pPr>
              <w:spacing w:before="120" w:after="120"/>
              <w:rPr>
                <w:lang w:val="en-US"/>
              </w:rPr>
            </w:pPr>
            <w:r w:rsidRPr="007E6F47">
              <w:rPr>
                <w:lang w:val="en-US"/>
              </w:rPr>
              <w:t>1</w:t>
            </w:r>
          </w:p>
        </w:tc>
        <w:tc>
          <w:tcPr>
            <w:tcW w:w="7320" w:type="dxa"/>
          </w:tcPr>
          <w:p w14:paraId="6064134D" w14:textId="77777777" w:rsidR="00960A13" w:rsidRPr="007E6F47" w:rsidRDefault="00960A13" w:rsidP="0003231B">
            <w:pPr>
              <w:spacing w:before="120" w:after="120"/>
            </w:pPr>
            <w:r w:rsidRPr="007E6F47">
              <w:t>The person:</w:t>
            </w:r>
          </w:p>
          <w:p w14:paraId="7A455779" w14:textId="6D97553D" w:rsidR="00960A13" w:rsidRPr="007E6F47" w:rsidRDefault="00960A13" w:rsidP="00DF3F6B">
            <w:pPr>
              <w:pStyle w:val="ListParagraph"/>
              <w:numPr>
                <w:ilvl w:val="0"/>
                <w:numId w:val="195"/>
              </w:numPr>
              <w:spacing w:before="120" w:after="120"/>
              <w:ind w:left="315" w:hanging="284"/>
            </w:pPr>
            <w:r w:rsidRPr="007E6F47">
              <w:t>has a </w:t>
            </w:r>
            <w:r w:rsidRPr="00FB5BCB">
              <w:t xml:space="preserve">high urgency </w:t>
            </w:r>
            <w:r w:rsidR="009D5008" w:rsidRPr="00FB5BCB">
              <w:t>rating</w:t>
            </w:r>
            <w:r w:rsidR="009D5008" w:rsidRPr="007E6F47">
              <w:t>;</w:t>
            </w:r>
            <w:r w:rsidRPr="007E6F47">
              <w:t xml:space="preserve"> or</w:t>
            </w:r>
          </w:p>
          <w:p w14:paraId="5139A961" w14:textId="77777777" w:rsidR="00960A13" w:rsidRPr="007E6F47" w:rsidRDefault="00960A13" w:rsidP="00DF3F6B">
            <w:pPr>
              <w:pStyle w:val="ListParagraph"/>
              <w:numPr>
                <w:ilvl w:val="0"/>
                <w:numId w:val="195"/>
              </w:numPr>
              <w:spacing w:before="120" w:after="120"/>
              <w:ind w:left="315" w:hanging="284"/>
            </w:pPr>
            <w:r w:rsidRPr="007E6F47">
              <w:t>resides in a rural or remote area classified as </w:t>
            </w:r>
            <w:r w:rsidRPr="00FB5BCB">
              <w:t>MM 5, MM 6 or MMM 7</w:t>
            </w:r>
            <w:r w:rsidRPr="007E6F47">
              <w:t>; or</w:t>
            </w:r>
          </w:p>
          <w:p w14:paraId="2C23C1C9" w14:textId="77777777" w:rsidR="00960A13" w:rsidRPr="007E6F47" w:rsidRDefault="00960A13" w:rsidP="00DF3F6B">
            <w:pPr>
              <w:pStyle w:val="ListParagraph"/>
              <w:numPr>
                <w:ilvl w:val="0"/>
                <w:numId w:val="195"/>
              </w:numPr>
              <w:spacing w:before="120" w:after="120"/>
              <w:ind w:left="315" w:hanging="284"/>
            </w:pPr>
            <w:r w:rsidRPr="007E6F47">
              <w:t>is </w:t>
            </w:r>
            <w:r w:rsidRPr="00FB5BCB">
              <w:t>Aboriginal or Torres Strait Islander, homeless</w:t>
            </w:r>
            <w:r w:rsidRPr="007E6F47">
              <w:t>, or is entering residential care due to </w:t>
            </w:r>
            <w:r w:rsidRPr="00FB5BCB">
              <w:t>emergency circumstances</w:t>
            </w:r>
            <w:r w:rsidRPr="007E6F47">
              <w:t>.</w:t>
            </w:r>
          </w:p>
        </w:tc>
      </w:tr>
      <w:tr w:rsidR="00960A13" w:rsidRPr="009E1361" w14:paraId="3FBB5545" w14:textId="77777777">
        <w:tc>
          <w:tcPr>
            <w:tcW w:w="1696" w:type="dxa"/>
          </w:tcPr>
          <w:p w14:paraId="6474A9C2" w14:textId="77777777" w:rsidR="00960A13" w:rsidRPr="007E6F47" w:rsidRDefault="00960A13" w:rsidP="0003231B">
            <w:pPr>
              <w:spacing w:before="120" w:after="120"/>
              <w:rPr>
                <w:lang w:val="en-US"/>
              </w:rPr>
            </w:pPr>
            <w:r w:rsidRPr="007E6F47">
              <w:rPr>
                <w:lang w:val="en-US"/>
              </w:rPr>
              <w:t>2</w:t>
            </w:r>
          </w:p>
        </w:tc>
        <w:tc>
          <w:tcPr>
            <w:tcW w:w="7320" w:type="dxa"/>
          </w:tcPr>
          <w:p w14:paraId="6AA17308" w14:textId="77777777" w:rsidR="00960A13" w:rsidRPr="007E6F47" w:rsidRDefault="00960A13" w:rsidP="0003231B">
            <w:pPr>
              <w:spacing w:before="120" w:after="120"/>
            </w:pPr>
            <w:r w:rsidRPr="007E6F47">
              <w:t>The person does </w:t>
            </w:r>
            <w:r w:rsidRPr="00FB5BCB">
              <w:t>not </w:t>
            </w:r>
            <w:r w:rsidRPr="007E6F47">
              <w:t>meet the criteria for Priority Category 1 and has a </w:t>
            </w:r>
            <w:r w:rsidRPr="00FB5BCB">
              <w:t>medium urgency rating</w:t>
            </w:r>
            <w:r w:rsidRPr="007E6F47">
              <w:t>.</w:t>
            </w:r>
          </w:p>
          <w:p w14:paraId="4EC6E7E7" w14:textId="77777777" w:rsidR="00960A13" w:rsidRPr="007E6F47" w:rsidRDefault="00960A13" w:rsidP="0003231B">
            <w:pPr>
              <w:spacing w:before="120" w:after="120"/>
            </w:pPr>
          </w:p>
        </w:tc>
      </w:tr>
      <w:tr w:rsidR="00960A13" w:rsidRPr="009E1361" w14:paraId="263B54E5" w14:textId="77777777">
        <w:trPr>
          <w:trHeight w:val="185"/>
        </w:trPr>
        <w:tc>
          <w:tcPr>
            <w:tcW w:w="1696" w:type="dxa"/>
          </w:tcPr>
          <w:p w14:paraId="10C3156E" w14:textId="77777777" w:rsidR="00960A13" w:rsidRPr="007E6F47" w:rsidRDefault="00960A13" w:rsidP="0003231B">
            <w:pPr>
              <w:spacing w:before="120" w:after="120"/>
              <w:rPr>
                <w:lang w:val="en-US"/>
              </w:rPr>
            </w:pPr>
            <w:r w:rsidRPr="007E6F47">
              <w:rPr>
                <w:lang w:val="en-US"/>
              </w:rPr>
              <w:t>3</w:t>
            </w:r>
          </w:p>
        </w:tc>
        <w:tc>
          <w:tcPr>
            <w:tcW w:w="7320" w:type="dxa"/>
          </w:tcPr>
          <w:p w14:paraId="2719DCE0" w14:textId="77777777" w:rsidR="00960A13" w:rsidRPr="007E6F47" w:rsidRDefault="00960A13" w:rsidP="0003231B">
            <w:pPr>
              <w:spacing w:before="120" w:after="120"/>
            </w:pPr>
            <w:r w:rsidRPr="007E6F47">
              <w:t>The person does not meet the criteria for Priority Category 1 and has a </w:t>
            </w:r>
            <w:r w:rsidRPr="00FB5BCB">
              <w:t>low urgency rating</w:t>
            </w:r>
            <w:r w:rsidRPr="007E6F47">
              <w:t>.</w:t>
            </w:r>
          </w:p>
        </w:tc>
      </w:tr>
    </w:tbl>
    <w:p w14:paraId="7451CF72" w14:textId="1D0183DF" w:rsidR="00960A13" w:rsidRPr="007E6F47" w:rsidRDefault="00960A13" w:rsidP="00A677C9">
      <w:pPr>
        <w:spacing w:before="240" w:after="240" w:line="240" w:lineRule="auto"/>
      </w:pPr>
      <w:r w:rsidRPr="007E6F47">
        <w:t>The </w:t>
      </w:r>
      <w:r w:rsidRPr="00FB5BCB">
        <w:t xml:space="preserve">priority category is automatically generated by the </w:t>
      </w:r>
      <w:r w:rsidR="0060352D" w:rsidRPr="00FB5BCB">
        <w:t>assessor portal</w:t>
      </w:r>
      <w:r w:rsidRPr="007E6F47">
        <w:t xml:space="preserve"> based on the individual's circumstances, urgency rating and in accordance with the criteria specified by the </w:t>
      </w:r>
      <w:r w:rsidR="00471541">
        <w:t xml:space="preserve">Aged Care </w:t>
      </w:r>
      <w:r w:rsidRPr="007E6F47">
        <w:t>Rules</w:t>
      </w:r>
      <w:r w:rsidR="00471541">
        <w:t xml:space="preserve"> 2025</w:t>
      </w:r>
      <w:r w:rsidRPr="007E6F47">
        <w:t xml:space="preserve">. </w:t>
      </w:r>
    </w:p>
    <w:p w14:paraId="01903165" w14:textId="77777777" w:rsidR="00960A13" w:rsidRPr="007E6F47" w:rsidRDefault="00960A13" w:rsidP="00A677C9">
      <w:pPr>
        <w:spacing w:before="240" w:after="240" w:line="240" w:lineRule="auto"/>
        <w:rPr>
          <w:lang w:val="en-US"/>
        </w:rPr>
      </w:pPr>
      <w:r w:rsidRPr="007E6F47">
        <w:t>Assessment Delegates will need to verify that the urgency rating assigned to the individual accurately reflects their needs and are supported by the evidence provided.</w:t>
      </w:r>
    </w:p>
    <w:p w14:paraId="13C38F3D" w14:textId="77777777" w:rsidR="00960A13" w:rsidRPr="009E1361" w:rsidRDefault="00960A13" w:rsidP="00C56CEC">
      <w:pPr>
        <w:pStyle w:val="H3"/>
      </w:pPr>
      <w:r w:rsidRPr="009E1361">
        <w:t>Urgency rating for residential care</w:t>
      </w:r>
    </w:p>
    <w:p w14:paraId="505ADCB2" w14:textId="77777777" w:rsidR="00960A13" w:rsidRPr="007E6F47" w:rsidRDefault="00960A13" w:rsidP="00A677C9">
      <w:pPr>
        <w:spacing w:before="240" w:after="240" w:line="240" w:lineRule="auto"/>
      </w:pPr>
      <w:r w:rsidRPr="007E6F47">
        <w:rPr>
          <w:lang w:val="en-US"/>
        </w:rPr>
        <w:t xml:space="preserve">A person’s urgency rating is different to their need for residential care. While it is expected that all people with a recommendation for residential care have been assessed as having high-level care needs, their level of urgency indicates the extent to which a person may be at immediate risk, including to personal health and safety, if they are not admitted to residential care within a timely manner. </w:t>
      </w:r>
    </w:p>
    <w:p w14:paraId="48D16D38" w14:textId="77777777" w:rsidR="00960A13" w:rsidRPr="007E6F47" w:rsidRDefault="00960A13" w:rsidP="00A677C9">
      <w:pPr>
        <w:spacing w:before="240" w:after="240" w:line="240" w:lineRule="auto"/>
        <w:rPr>
          <w:lang w:val="en-US"/>
        </w:rPr>
      </w:pPr>
      <w:r w:rsidRPr="007E6F47">
        <w:rPr>
          <w:lang w:val="en-US"/>
        </w:rPr>
        <w:t>This rating will not undermine the older person’s ability to choose to remain in their home but will provide a guide for providers of residential care homes and others (such as Care Finders) to prioritise people who may be most at risk.</w:t>
      </w:r>
    </w:p>
    <w:p w14:paraId="2557E9B1" w14:textId="65BEACF1" w:rsidR="00960A13" w:rsidRPr="007E6F47" w:rsidRDefault="00960A13" w:rsidP="00A677C9">
      <w:pPr>
        <w:spacing w:before="240" w:after="240" w:line="240" w:lineRule="auto"/>
        <w:rPr>
          <w:lang w:val="en-US"/>
        </w:rPr>
      </w:pPr>
      <w:r w:rsidRPr="007E6F47">
        <w:t xml:space="preserve">When selecting ‘Residential Permanent’ under the ‘Add a care type for Delegate decision’ in the </w:t>
      </w:r>
      <w:r w:rsidR="00F36609">
        <w:t xml:space="preserve">My Aged Care </w:t>
      </w:r>
      <w:r w:rsidR="0060352D">
        <w:t>a</w:t>
      </w:r>
      <w:r w:rsidRPr="007E6F47">
        <w:t xml:space="preserve">ssessor </w:t>
      </w:r>
      <w:r w:rsidR="0060352D">
        <w:t>p</w:t>
      </w:r>
      <w:r w:rsidRPr="007E6F47">
        <w:t xml:space="preserve">ortal, </w:t>
      </w:r>
      <w:r w:rsidRPr="007E6F47">
        <w:rPr>
          <w:lang w:val="en-US"/>
        </w:rPr>
        <w:t xml:space="preserve">assessors will be required to give a response to ‘What is the urgency of this care type’. This question is a mandatory question with a rating to be selected from high, medium or low. </w:t>
      </w:r>
    </w:p>
    <w:p w14:paraId="38ACF7CE" w14:textId="77777777" w:rsidR="00960A13" w:rsidRPr="007E6F47" w:rsidRDefault="00960A13" w:rsidP="00A677C9">
      <w:pPr>
        <w:spacing w:before="240" w:after="240" w:line="240" w:lineRule="auto"/>
        <w:rPr>
          <w:rFonts w:eastAsia="Arial"/>
        </w:rPr>
      </w:pPr>
      <w:r w:rsidRPr="007E6F47">
        <w:t>The Rules specify when an urgency rating of low, medium or high will apply to an individual in relation the classification type ongoing for residential care.</w:t>
      </w:r>
      <w:r w:rsidRPr="007E6F47">
        <w:rPr>
          <w:rFonts w:eastAsia="Arial"/>
        </w:rPr>
        <w:t xml:space="preserve"> </w:t>
      </w:r>
      <w:r w:rsidRPr="007E6F47">
        <w:rPr>
          <w:lang w:val="en-US"/>
        </w:rPr>
        <w:t>The table below summarises the criteria for each urgency rating.</w:t>
      </w:r>
    </w:p>
    <w:p w14:paraId="5EAB5EC5" w14:textId="77777777" w:rsidR="00960A13" w:rsidRPr="009E1361" w:rsidRDefault="00960A13" w:rsidP="00A677C9">
      <w:pPr>
        <w:spacing w:before="240" w:after="240" w:line="240" w:lineRule="auto"/>
        <w:rPr>
          <w:lang w:val="en-US"/>
        </w:rPr>
      </w:pPr>
      <w:r w:rsidRPr="009E1361">
        <w:rPr>
          <w:lang w:val="en-US"/>
        </w:rPr>
        <w:t xml:space="preserve">Provide a rating (low, medium or high) which balances objective consideration of needs with the subjective perspective of the older person. The older person’s perspective may be conveyed by their registered supporter. Include a brief note in the </w:t>
      </w:r>
      <w:r w:rsidRPr="009E1361">
        <w:rPr>
          <w:i/>
          <w:lang w:val="en-US"/>
        </w:rPr>
        <w:t>reason or comments</w:t>
      </w:r>
      <w:r w:rsidRPr="009E1361">
        <w:rPr>
          <w:lang w:val="en-US"/>
        </w:rPr>
        <w:t xml:space="preserve"> section explaining key reasons for the rating, which may include:</w:t>
      </w:r>
    </w:p>
    <w:p w14:paraId="6F5F8999" w14:textId="16AA4C8E" w:rsidR="00960A13" w:rsidRPr="009E1361" w:rsidRDefault="00960A13" w:rsidP="00DF3F6B">
      <w:pPr>
        <w:pStyle w:val="ListParagraph"/>
        <w:numPr>
          <w:ilvl w:val="0"/>
          <w:numId w:val="160"/>
        </w:numPr>
        <w:spacing w:before="240" w:after="240" w:line="240" w:lineRule="auto"/>
        <w:rPr>
          <w:lang w:val="en-US"/>
        </w:rPr>
      </w:pPr>
      <w:r w:rsidRPr="009E1361">
        <w:rPr>
          <w:lang w:val="en-US"/>
        </w:rPr>
        <w:t>Key individual, care related or contextual needs and how these relate to any safety/wellbeing risks</w:t>
      </w:r>
    </w:p>
    <w:p w14:paraId="3F2EB136"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Whether the older person/ has expressed an urgent need to enter care</w:t>
      </w:r>
    </w:p>
    <w:p w14:paraId="7D513D8E"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Perspective on estimated timeframe the older person needs to enter care</w:t>
      </w:r>
    </w:p>
    <w:p w14:paraId="30B361BB" w14:textId="77777777" w:rsidR="00960A13" w:rsidRPr="009E1361" w:rsidRDefault="00960A13" w:rsidP="00A677C9">
      <w:pPr>
        <w:spacing w:before="240" w:after="240" w:line="240" w:lineRule="auto"/>
        <w:rPr>
          <w:lang w:val="en-US"/>
        </w:rPr>
      </w:pPr>
      <w:r w:rsidRPr="009E1361">
        <w:rPr>
          <w:lang w:val="en-US"/>
        </w:rPr>
        <w:t>Relevant factors to consider in determining urgency may include:</w:t>
      </w:r>
    </w:p>
    <w:p w14:paraId="6CB90132"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Current care settings (including if the person is transitioning into residential aged care from hospital or residential respite care)</w:t>
      </w:r>
    </w:p>
    <w:p w14:paraId="106FD932"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Significant and visible decline in the level of function, cognition and/or ability to perform activities of daily living in the home with available support</w:t>
      </w:r>
    </w:p>
    <w:p w14:paraId="2DEC1AB9"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Health conditions and ability to manage these in the home with available support</w:t>
      </w:r>
    </w:p>
    <w:p w14:paraId="55C9F097"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 xml:space="preserve">Severe incontinence that cannot be managed within the current care settings </w:t>
      </w:r>
    </w:p>
    <w:p w14:paraId="3F1FB256" w14:textId="77777777" w:rsidR="00960A13" w:rsidRPr="009E1361" w:rsidRDefault="00960A13" w:rsidP="00DF3F6B">
      <w:pPr>
        <w:pStyle w:val="ListParagraph"/>
        <w:numPr>
          <w:ilvl w:val="0"/>
          <w:numId w:val="160"/>
        </w:numPr>
        <w:spacing w:before="240" w:after="240" w:line="240" w:lineRule="auto"/>
        <w:rPr>
          <w:lang w:val="en-US"/>
        </w:rPr>
      </w:pPr>
      <w:r w:rsidRPr="009E1361">
        <w:rPr>
          <w:lang w:val="en-US"/>
        </w:rPr>
        <w:t>High risk to personal safety (e.g. hazardous home environment, high risk of falls, wandering, or elder abuse)</w:t>
      </w:r>
    </w:p>
    <w:p w14:paraId="3E097325" w14:textId="2CB0D0F5" w:rsidR="00960A13" w:rsidRPr="009E1361" w:rsidRDefault="00960A13" w:rsidP="00DF3F6B">
      <w:pPr>
        <w:pStyle w:val="ListParagraph"/>
        <w:numPr>
          <w:ilvl w:val="0"/>
          <w:numId w:val="160"/>
        </w:numPr>
        <w:spacing w:before="240" w:after="240" w:line="240" w:lineRule="auto"/>
        <w:rPr>
          <w:lang w:val="en-US"/>
        </w:rPr>
      </w:pPr>
      <w:r w:rsidRPr="009E1361">
        <w:rPr>
          <w:lang w:val="en-US"/>
        </w:rPr>
        <w:t xml:space="preserve">Complex factors, including but not limited </w:t>
      </w:r>
      <w:r w:rsidR="0037083B" w:rsidRPr="009E1361">
        <w:rPr>
          <w:lang w:val="en-US"/>
        </w:rPr>
        <w:t>to</w:t>
      </w:r>
      <w:r w:rsidRPr="009E1361">
        <w:rPr>
          <w:lang w:val="en-US"/>
        </w:rPr>
        <w:t xml:space="preserve"> homelessness or risk of homelessness; drug and alcohol abuse; mental health issues; or severe social isolation</w:t>
      </w:r>
    </w:p>
    <w:p w14:paraId="0B932D7C" w14:textId="7142F288" w:rsidR="00960A13" w:rsidRPr="009E1361" w:rsidRDefault="00960A13" w:rsidP="00DF3F6B">
      <w:pPr>
        <w:pStyle w:val="ListParagraph"/>
        <w:numPr>
          <w:ilvl w:val="0"/>
          <w:numId w:val="160"/>
        </w:numPr>
        <w:spacing w:before="240" w:after="240" w:line="240" w:lineRule="auto"/>
        <w:rPr>
          <w:lang w:val="en-US"/>
        </w:rPr>
      </w:pPr>
      <w:r w:rsidRPr="009E1361">
        <w:rPr>
          <w:lang w:val="en-US"/>
        </w:rPr>
        <w:t>Lack of available and sustainable formal, informal support (including any impacts on carers)</w:t>
      </w:r>
    </w:p>
    <w:p w14:paraId="284495C3" w14:textId="063AFE32" w:rsidR="00960A13" w:rsidRPr="009E1361" w:rsidRDefault="00960A13" w:rsidP="00A677C9">
      <w:pPr>
        <w:spacing w:before="240" w:after="240" w:line="240" w:lineRule="auto"/>
        <w:rPr>
          <w:lang w:val="en-US"/>
        </w:rPr>
      </w:pPr>
      <w:r w:rsidRPr="009E1361">
        <w:t xml:space="preserve">Where the older person has a registered supporter, who is not an appointed decision maker, that registered supporter can be involved in any discussions </w:t>
      </w:r>
      <w:r w:rsidR="00521BB8">
        <w:t xml:space="preserve">in line with the will and preferences </w:t>
      </w:r>
      <w:r w:rsidRPr="009E1361">
        <w:t>of the older person. Registered supporters</w:t>
      </w:r>
      <w:r w:rsidRPr="009E1361" w:rsidDel="00356DB4">
        <w:t xml:space="preserve"> </w:t>
      </w:r>
      <w:r w:rsidRPr="009E1361">
        <w:t>help older people to make and communicate their own decisions about aged care. This includes supporting the older person to make aged care decisions and communicating information for the older person.</w:t>
      </w:r>
      <w:r w:rsidR="00282F7B">
        <w:t xml:space="preserve"> Family members, carers, care finders and Elder Care Support staff may also assist the older person</w:t>
      </w:r>
      <w:r w:rsidR="0053165A">
        <w:t xml:space="preserve"> in making their own decisions about aged care.</w:t>
      </w:r>
    </w:p>
    <w:p w14:paraId="6A3217A7" w14:textId="77777777" w:rsidR="00960A13" w:rsidRDefault="00960A13" w:rsidP="00A677C9">
      <w:pPr>
        <w:spacing w:before="240" w:after="240" w:line="240" w:lineRule="auto"/>
        <w:rPr>
          <w:lang w:val="en-US"/>
        </w:rPr>
      </w:pPr>
      <w:r w:rsidRPr="009E1361">
        <w:rPr>
          <w:lang w:val="en-US"/>
        </w:rPr>
        <w:t xml:space="preserve">The following can be used as a guide to what urgency may look like within each category. Examples are provided for demonstrative purposes only and each case will need to be judged independently based on diverse individual factors.  </w:t>
      </w:r>
    </w:p>
    <w:p w14:paraId="1EC25C41" w14:textId="5BB6984C" w:rsidR="00960A13" w:rsidRPr="009E1361" w:rsidRDefault="00960A13" w:rsidP="00A677C9">
      <w:pPr>
        <w:pStyle w:val="Caption"/>
        <w:spacing w:before="240" w:after="240"/>
        <w:rPr>
          <w:lang w:val="en-US"/>
        </w:rPr>
      </w:pPr>
      <w:r>
        <w:rPr>
          <w:lang w:val="en-US"/>
        </w:rPr>
        <w:t>Table 3</w:t>
      </w:r>
      <w:r w:rsidR="000C7B48">
        <w:rPr>
          <w:lang w:val="en-US"/>
        </w:rPr>
        <w:t>2</w:t>
      </w:r>
      <w:r>
        <w:rPr>
          <w:lang w:val="en-US"/>
        </w:rPr>
        <w:t xml:space="preserve">. Guide to urgency ratings for residential care </w:t>
      </w:r>
    </w:p>
    <w:tbl>
      <w:tblPr>
        <w:tblStyle w:val="TableGrid"/>
        <w:tblW w:w="0" w:type="auto"/>
        <w:tblBorders>
          <w:bottom w:val="single" w:sz="4" w:space="0" w:color="auto"/>
          <w:insideH w:val="single" w:sz="4" w:space="0" w:color="auto"/>
        </w:tblBorders>
        <w:tblLook w:val="04A0" w:firstRow="1" w:lastRow="0" w:firstColumn="1" w:lastColumn="0" w:noHBand="0" w:noVBand="1"/>
        <w:tblCaption w:val="Guide to urgency ratings for residential care"/>
      </w:tblPr>
      <w:tblGrid>
        <w:gridCol w:w="2263"/>
        <w:gridCol w:w="6753"/>
      </w:tblGrid>
      <w:tr w:rsidR="00960A13" w:rsidRPr="009E1361" w14:paraId="73E0DDBF" w14:textId="77777777">
        <w:trPr>
          <w:trHeight w:val="300"/>
          <w:tblHeader/>
        </w:trPr>
        <w:tc>
          <w:tcPr>
            <w:tcW w:w="2263" w:type="dxa"/>
            <w:shd w:val="clear" w:color="auto" w:fill="002060"/>
          </w:tcPr>
          <w:p w14:paraId="2159E363" w14:textId="6D5E69F9" w:rsidR="00960A13" w:rsidRPr="009E1361" w:rsidRDefault="00960A13" w:rsidP="00A677C9">
            <w:pPr>
              <w:spacing w:before="240" w:after="240"/>
              <w:rPr>
                <w:b/>
                <w:color w:val="FFFFFF" w:themeColor="background1"/>
                <w:lang w:val="en-US"/>
              </w:rPr>
            </w:pPr>
            <w:r w:rsidRPr="009E1361">
              <w:rPr>
                <w:b/>
                <w:color w:val="FFFFFF" w:themeColor="background1"/>
                <w:lang w:val="en-US"/>
              </w:rPr>
              <w:t xml:space="preserve">Level of </w:t>
            </w:r>
            <w:r w:rsidR="00F71861">
              <w:rPr>
                <w:b/>
                <w:color w:val="FFFFFF" w:themeColor="background1"/>
                <w:lang w:val="en-US"/>
              </w:rPr>
              <w:t>u</w:t>
            </w:r>
            <w:r w:rsidRPr="009E1361">
              <w:rPr>
                <w:b/>
                <w:color w:val="FFFFFF" w:themeColor="background1"/>
                <w:lang w:val="en-US"/>
              </w:rPr>
              <w:t>rgency</w:t>
            </w:r>
          </w:p>
        </w:tc>
        <w:tc>
          <w:tcPr>
            <w:tcW w:w="6753" w:type="dxa"/>
            <w:shd w:val="clear" w:color="auto" w:fill="002060"/>
          </w:tcPr>
          <w:p w14:paraId="1075022B"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t>Description</w:t>
            </w:r>
          </w:p>
        </w:tc>
      </w:tr>
      <w:tr w:rsidR="00960A13" w:rsidRPr="009E1361" w14:paraId="6BDF44FA" w14:textId="77777777">
        <w:trPr>
          <w:trHeight w:val="300"/>
        </w:trPr>
        <w:tc>
          <w:tcPr>
            <w:tcW w:w="2263" w:type="dxa"/>
            <w:shd w:val="clear" w:color="auto" w:fill="002060"/>
          </w:tcPr>
          <w:p w14:paraId="14A7D616"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t>High urgency</w:t>
            </w:r>
          </w:p>
        </w:tc>
        <w:tc>
          <w:tcPr>
            <w:tcW w:w="6753" w:type="dxa"/>
          </w:tcPr>
          <w:p w14:paraId="05CCBA7A" w14:textId="77777777" w:rsidR="00960A13" w:rsidRPr="00D5047A" w:rsidRDefault="00960A13" w:rsidP="00A677C9">
            <w:pPr>
              <w:spacing w:before="240" w:after="240"/>
              <w:rPr>
                <w:b/>
              </w:rPr>
            </w:pPr>
            <w:r w:rsidRPr="00D5047A">
              <w:rPr>
                <w:b/>
              </w:rPr>
              <w:t xml:space="preserve">This rating applies if: </w:t>
            </w:r>
          </w:p>
          <w:p w14:paraId="1A1A7B71" w14:textId="77777777" w:rsidR="00960A13" w:rsidRPr="00D5047A" w:rsidRDefault="00960A13" w:rsidP="00DF3F6B">
            <w:pPr>
              <w:pStyle w:val="ListParagraph"/>
              <w:numPr>
                <w:ilvl w:val="0"/>
                <w:numId w:val="195"/>
              </w:numPr>
              <w:spacing w:before="240" w:after="240"/>
            </w:pPr>
            <w:r w:rsidRPr="00D5047A">
              <w:t xml:space="preserve">The individual has a need for immediate access to ongoing funded aged care services delivered in an approved residential care home which, if not met, may place the individual’s safety, health or wellbeing at risk.  </w:t>
            </w:r>
          </w:p>
          <w:p w14:paraId="04FE5C78" w14:textId="77777777" w:rsidR="00960A13" w:rsidRPr="00D5047A" w:rsidRDefault="00960A13" w:rsidP="00A677C9">
            <w:pPr>
              <w:spacing w:before="240" w:after="240"/>
              <w:rPr>
                <w:b/>
              </w:rPr>
            </w:pPr>
          </w:p>
          <w:p w14:paraId="2D2E26D6" w14:textId="77777777" w:rsidR="00960A13" w:rsidRPr="00D5047A" w:rsidRDefault="00960A13" w:rsidP="00A677C9">
            <w:pPr>
              <w:spacing w:before="240" w:after="240"/>
            </w:pPr>
            <w:r w:rsidRPr="00D5047A">
              <w:rPr>
                <w:b/>
              </w:rPr>
              <w:t>Indicators</w:t>
            </w:r>
            <w:r w:rsidRPr="00D5047A">
              <w:t>: Recent falls, hospital admission, unsafe to return home, severe decline.</w:t>
            </w:r>
          </w:p>
          <w:p w14:paraId="5E949EE8" w14:textId="77777777" w:rsidR="00960A13" w:rsidRPr="00D5047A" w:rsidRDefault="00960A13" w:rsidP="00A677C9">
            <w:pPr>
              <w:spacing w:before="240" w:after="240"/>
            </w:pPr>
            <w:r w:rsidRPr="00D5047A">
              <w:rPr>
                <w:b/>
              </w:rPr>
              <w:t>Example</w:t>
            </w:r>
            <w:r w:rsidRPr="00D5047A">
              <w:t>: A client in hospital post-fall who lives alone and whose needs exceed Home Care supports.</w:t>
            </w:r>
          </w:p>
          <w:p w14:paraId="06A108D8" w14:textId="77777777" w:rsidR="00960A13" w:rsidRPr="009E1361" w:rsidRDefault="00960A13" w:rsidP="00A677C9">
            <w:pPr>
              <w:spacing w:before="240" w:after="240"/>
              <w:rPr>
                <w:lang w:val="en-US"/>
              </w:rPr>
            </w:pPr>
          </w:p>
          <w:p w14:paraId="6ADD02C9" w14:textId="77777777" w:rsidR="00960A13" w:rsidRPr="009E1361" w:rsidRDefault="00960A13" w:rsidP="00A677C9">
            <w:pPr>
              <w:spacing w:before="240" w:after="240"/>
              <w:rPr>
                <w:lang w:val="en-US"/>
              </w:rPr>
            </w:pPr>
            <w:r w:rsidRPr="009E1361">
              <w:rPr>
                <w:lang w:val="en-US"/>
              </w:rPr>
              <w:t>Example:</w:t>
            </w:r>
          </w:p>
          <w:p w14:paraId="3BC0BB53" w14:textId="77777777" w:rsidR="00960A13" w:rsidRPr="009E1361" w:rsidRDefault="00960A13" w:rsidP="00A677C9">
            <w:pPr>
              <w:spacing w:before="240" w:after="240"/>
              <w:rPr>
                <w:lang w:val="en-US"/>
              </w:rPr>
            </w:pPr>
            <w:r w:rsidRPr="009E1361">
              <w:rPr>
                <w:lang w:val="en-US"/>
              </w:rPr>
              <w:t>John has an ongoing Support at Home classification 8. He recently had a fall and is currently in hospital. John feels like he is unable to return home, and the hospital requests an urgent aged care assessment. The outcomes of John’s assessment reveal several risk factors. His health and function are declining, and he has experienced several incidences of falls in recent months leading to hospital admissions. He lives alone, feels socially isolated and needs substantially more hours of care than is possible through the formal support he can receive through Support at Home. The Assessment Delegate approves John for ongoing residential aged care services, with a high urgency rating.</w:t>
            </w:r>
            <w:r w:rsidRPr="009E1361">
              <w:rPr>
                <w:rFonts w:eastAsia="Times New Roman"/>
              </w:rPr>
              <w:t xml:space="preserve">   </w:t>
            </w:r>
          </w:p>
        </w:tc>
      </w:tr>
      <w:tr w:rsidR="00960A13" w:rsidRPr="009E1361" w14:paraId="213E2EF8" w14:textId="77777777">
        <w:trPr>
          <w:trHeight w:val="300"/>
        </w:trPr>
        <w:tc>
          <w:tcPr>
            <w:tcW w:w="2263" w:type="dxa"/>
            <w:shd w:val="clear" w:color="auto" w:fill="002060"/>
          </w:tcPr>
          <w:p w14:paraId="6F662540"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t>Medium urgency</w:t>
            </w:r>
          </w:p>
        </w:tc>
        <w:tc>
          <w:tcPr>
            <w:tcW w:w="6753" w:type="dxa"/>
          </w:tcPr>
          <w:p w14:paraId="3CB000F6" w14:textId="77777777" w:rsidR="00960A13" w:rsidRPr="00D5047A" w:rsidRDefault="00960A13" w:rsidP="00A677C9">
            <w:pPr>
              <w:spacing w:before="240" w:after="240"/>
              <w:rPr>
                <w:b/>
              </w:rPr>
            </w:pPr>
            <w:r w:rsidRPr="00D5047A">
              <w:rPr>
                <w:b/>
              </w:rPr>
              <w:t>This rating applies if:</w:t>
            </w:r>
          </w:p>
          <w:p w14:paraId="4721A8D2" w14:textId="77777777" w:rsidR="00960A13" w:rsidRPr="00D5047A" w:rsidRDefault="00960A13" w:rsidP="00DF3F6B">
            <w:pPr>
              <w:pStyle w:val="ListParagraph"/>
              <w:numPr>
                <w:ilvl w:val="0"/>
                <w:numId w:val="196"/>
              </w:numPr>
              <w:spacing w:before="240" w:after="240"/>
            </w:pPr>
            <w:r w:rsidRPr="00D5047A">
              <w:t>The circumstances for a high urgency rating do not apply to the individual; and</w:t>
            </w:r>
          </w:p>
          <w:p w14:paraId="715656C1" w14:textId="77777777" w:rsidR="00960A13" w:rsidRPr="00D5047A" w:rsidRDefault="00960A13" w:rsidP="00DF3F6B">
            <w:pPr>
              <w:pStyle w:val="ListParagraph"/>
              <w:numPr>
                <w:ilvl w:val="0"/>
                <w:numId w:val="196"/>
              </w:numPr>
              <w:spacing w:before="240" w:after="240"/>
            </w:pPr>
            <w:r w:rsidRPr="00D5047A">
              <w:t>When considering the individual’s circumstances and preferences, the individual is expected to seek access to permanent residential care within the next 6 months.</w:t>
            </w:r>
          </w:p>
          <w:p w14:paraId="184B1B7C" w14:textId="77777777" w:rsidR="00960A13" w:rsidRPr="009E1361" w:rsidRDefault="00960A13" w:rsidP="00A677C9">
            <w:pPr>
              <w:spacing w:before="240" w:after="240"/>
              <w:rPr>
                <w:lang w:val="en-US"/>
              </w:rPr>
            </w:pPr>
          </w:p>
          <w:p w14:paraId="146A10C8" w14:textId="77777777" w:rsidR="00960A13" w:rsidRPr="009E1361" w:rsidRDefault="00960A13" w:rsidP="00A677C9">
            <w:pPr>
              <w:spacing w:before="240" w:after="240"/>
              <w:rPr>
                <w:lang w:val="en-US"/>
              </w:rPr>
            </w:pPr>
            <w:r w:rsidRPr="009E1361">
              <w:rPr>
                <w:lang w:val="en-US"/>
              </w:rPr>
              <w:t>Example:</w:t>
            </w:r>
          </w:p>
          <w:p w14:paraId="44128CFE" w14:textId="0B185FDD" w:rsidR="00960A13" w:rsidRPr="009E1361" w:rsidRDefault="00960A13" w:rsidP="00A677C9">
            <w:pPr>
              <w:spacing w:before="240" w:after="240"/>
              <w:rPr>
                <w:lang w:val="en-US"/>
              </w:rPr>
            </w:pPr>
            <w:r w:rsidRPr="009E1361">
              <w:rPr>
                <w:lang w:val="en-US"/>
              </w:rPr>
              <w:t xml:space="preserve">Mei has been receiving CHSP services for a few years and recently requested a support plan review to have her needs and services reviewed. As her needs have increased, and she has some complex factors, including declining cognition and moderate incontinence, a </w:t>
            </w:r>
            <w:r w:rsidR="009B4B25">
              <w:rPr>
                <w:lang w:val="en-US"/>
              </w:rPr>
              <w:t>re</w:t>
            </w:r>
            <w:r w:rsidRPr="009E1361">
              <w:rPr>
                <w:lang w:val="en-US"/>
              </w:rPr>
              <w:t>assessment was arranged by the assessor. Mei’s daughter, Tao, is her primary carer and is becoming overwhelmed. She’s concerned about how much longer Mei will be able to remain living at home by herself, should her cognition and incontinence deteriorate. Mei speaks to her GP and requests a reassessment. The assessor has a conversation with Mei and Tao about the option of ongoing residential care, and they agree that Mei will likely move into an aged care home within the next three to six months. Mei is approved for ongoing Support at Home as well as ongoing residential aged care services, with a medium urgency rating.</w:t>
            </w:r>
          </w:p>
          <w:p w14:paraId="16B7B8EE" w14:textId="77777777" w:rsidR="00960A13" w:rsidRPr="009E1361" w:rsidRDefault="00960A13" w:rsidP="00A677C9">
            <w:pPr>
              <w:spacing w:before="240" w:after="240"/>
              <w:rPr>
                <w:lang w:val="en-US"/>
              </w:rPr>
            </w:pPr>
          </w:p>
        </w:tc>
      </w:tr>
      <w:tr w:rsidR="00960A13" w:rsidRPr="009E1361" w14:paraId="4A5DB52A" w14:textId="77777777">
        <w:trPr>
          <w:trHeight w:val="300"/>
        </w:trPr>
        <w:tc>
          <w:tcPr>
            <w:tcW w:w="2263" w:type="dxa"/>
            <w:shd w:val="clear" w:color="auto" w:fill="002060"/>
          </w:tcPr>
          <w:p w14:paraId="699CB5E2" w14:textId="77777777" w:rsidR="00960A13" w:rsidRPr="009E1361" w:rsidRDefault="00960A13" w:rsidP="00A677C9">
            <w:pPr>
              <w:spacing w:before="240" w:after="240"/>
              <w:rPr>
                <w:b/>
                <w:color w:val="FFFFFF" w:themeColor="background1"/>
                <w:lang w:val="en-US"/>
              </w:rPr>
            </w:pPr>
            <w:r w:rsidRPr="009E1361">
              <w:rPr>
                <w:b/>
                <w:color w:val="FFFFFF" w:themeColor="background1"/>
                <w:lang w:val="en-US"/>
              </w:rPr>
              <w:t xml:space="preserve">Low urgency </w:t>
            </w:r>
          </w:p>
        </w:tc>
        <w:tc>
          <w:tcPr>
            <w:tcW w:w="6753" w:type="dxa"/>
          </w:tcPr>
          <w:p w14:paraId="3BFA9E7B" w14:textId="77777777" w:rsidR="00960A13" w:rsidRPr="00D5047A" w:rsidRDefault="00960A13" w:rsidP="00A677C9">
            <w:pPr>
              <w:spacing w:before="240" w:after="240"/>
            </w:pPr>
            <w:r w:rsidRPr="00D5047A">
              <w:rPr>
                <w:b/>
              </w:rPr>
              <w:t>This rating applies if</w:t>
            </w:r>
            <w:r w:rsidRPr="00D5047A">
              <w:t xml:space="preserve">: </w:t>
            </w:r>
          </w:p>
          <w:p w14:paraId="189EA66F" w14:textId="77777777" w:rsidR="00960A13" w:rsidRPr="00D5047A" w:rsidRDefault="00960A13" w:rsidP="00DF3F6B">
            <w:pPr>
              <w:pStyle w:val="ListParagraph"/>
              <w:numPr>
                <w:ilvl w:val="0"/>
                <w:numId w:val="196"/>
              </w:numPr>
              <w:spacing w:before="240" w:after="240"/>
            </w:pPr>
            <w:r w:rsidRPr="00D5047A">
              <w:t xml:space="preserve">The circumstances for a high or medium urgency rating do not apply to the individual.  </w:t>
            </w:r>
          </w:p>
          <w:p w14:paraId="1963AA52" w14:textId="2CB210F2" w:rsidR="00960A13" w:rsidRPr="009E1361" w:rsidRDefault="00960A13" w:rsidP="00A677C9">
            <w:pPr>
              <w:spacing w:before="240" w:after="240"/>
              <w:rPr>
                <w:lang w:val="en-US"/>
              </w:rPr>
            </w:pPr>
          </w:p>
          <w:p w14:paraId="7376BDF4" w14:textId="4B5FC51C" w:rsidR="009B1933" w:rsidRPr="009E1361" w:rsidRDefault="00960A13" w:rsidP="00A677C9">
            <w:pPr>
              <w:spacing w:before="240" w:after="240"/>
              <w:rPr>
                <w:lang w:val="en-US"/>
              </w:rPr>
            </w:pPr>
            <w:r w:rsidRPr="009E1361">
              <w:rPr>
                <w:lang w:val="en-US"/>
              </w:rPr>
              <w:t>Example</w:t>
            </w:r>
            <w:r w:rsidR="009B1933">
              <w:rPr>
                <w:lang w:val="en-US"/>
              </w:rPr>
              <w:t>:</w:t>
            </w:r>
          </w:p>
          <w:p w14:paraId="05DF7E53" w14:textId="2051F9EF" w:rsidR="00960A13" w:rsidRPr="009E1361" w:rsidRDefault="00960A13" w:rsidP="00A677C9">
            <w:pPr>
              <w:spacing w:before="240" w:after="240"/>
              <w:rPr>
                <w:lang w:val="en-US"/>
              </w:rPr>
            </w:pPr>
            <w:r w:rsidRPr="009E1361">
              <w:rPr>
                <w:lang w:val="en-US"/>
              </w:rPr>
              <w:t xml:space="preserve">Maria has been receiving CHSP services in her home. She can still complete many basic and daily living tasks without help but has had a few minor falls recently and is becoming less mobile around the house. Through a </w:t>
            </w:r>
            <w:r w:rsidR="009B4B25">
              <w:rPr>
                <w:lang w:val="en-US"/>
              </w:rPr>
              <w:t>re</w:t>
            </w:r>
            <w:r w:rsidRPr="009E1361">
              <w:rPr>
                <w:lang w:val="en-US"/>
              </w:rPr>
              <w:t>assessment</w:t>
            </w:r>
            <w:r w:rsidR="00C5220E">
              <w:rPr>
                <w:lang w:val="en-US"/>
              </w:rPr>
              <w:t>,</w:t>
            </w:r>
            <w:r w:rsidRPr="009E1361">
              <w:rPr>
                <w:lang w:val="en-US"/>
              </w:rPr>
              <w:t xml:space="preserve"> an ongoing Support at Home classification is approved to meet her current needs. She’s feeling very lonely as many of her friends in the community have already moved into </w:t>
            </w:r>
            <w:r w:rsidR="00C718E9">
              <w:rPr>
                <w:lang w:val="en-US"/>
              </w:rPr>
              <w:t>aged care facilities</w:t>
            </w:r>
            <w:r w:rsidRPr="009E1361">
              <w:rPr>
                <w:lang w:val="en-US"/>
              </w:rPr>
              <w:t>, and her children live interstate. She is worried that she might have another fall and need to move into an aged care home. Maria’s son agrees to move in with her to provide informal care for 6 months, but she knows that she’ll probably need to move into residential aged care once he leaves. Maria is approved for</w:t>
            </w:r>
            <w:r w:rsidRPr="009E1361" w:rsidDel="004521FB">
              <w:rPr>
                <w:lang w:val="en-US"/>
              </w:rPr>
              <w:t xml:space="preserve"> </w:t>
            </w:r>
            <w:r w:rsidRPr="009E1361">
              <w:rPr>
                <w:lang w:val="en-US"/>
              </w:rPr>
              <w:t>ongoing residential aged care, with a low urgency rating.</w:t>
            </w:r>
          </w:p>
          <w:p w14:paraId="69FDD83E" w14:textId="77777777" w:rsidR="00960A13" w:rsidRPr="009E1361" w:rsidRDefault="00960A13" w:rsidP="00A677C9">
            <w:pPr>
              <w:spacing w:before="240" w:after="240"/>
              <w:rPr>
                <w:lang w:val="en-US"/>
              </w:rPr>
            </w:pPr>
          </w:p>
        </w:tc>
      </w:tr>
    </w:tbl>
    <w:p w14:paraId="6532E4B3" w14:textId="30BEC6AC" w:rsidR="00960A13" w:rsidRPr="009E1361" w:rsidRDefault="00960A13" w:rsidP="00CC6081">
      <w:pPr>
        <w:pStyle w:val="H4"/>
      </w:pPr>
      <w:r w:rsidRPr="00F35CEA">
        <w:t xml:space="preserve">Clients residing in rural and remote areas </w:t>
      </w:r>
    </w:p>
    <w:p w14:paraId="6C7CA488" w14:textId="77777777" w:rsidR="00960A13" w:rsidRPr="009E1361" w:rsidRDefault="00960A13" w:rsidP="00A677C9">
      <w:pPr>
        <w:spacing w:before="240" w:after="240" w:line="240" w:lineRule="auto"/>
      </w:pPr>
      <w:r w:rsidRPr="009E1361">
        <w:t>IT System enhancements have been built to map a client’s residential address to their relevant Modified Monash Model (</w:t>
      </w:r>
      <w:r>
        <w:t>M</w:t>
      </w:r>
      <w:r w:rsidRPr="009E1361">
        <w:t xml:space="preserve">MM) 2023 region which is needed to determine their priority. This will be completed automatically for every client approved for residential aged care. </w:t>
      </w:r>
    </w:p>
    <w:p w14:paraId="04C0D8C4" w14:textId="77777777" w:rsidR="00960A13" w:rsidRPr="009E1361" w:rsidRDefault="00960A13" w:rsidP="00A677C9">
      <w:pPr>
        <w:spacing w:before="240" w:after="240" w:line="240" w:lineRule="auto"/>
      </w:pPr>
      <w:r w:rsidRPr="009E1361">
        <w:t>If the client is being assessed in a temporary location, the address where the client is generally located should be used. If the older person is being assessed in a city whilst staying with family, this will greatly skew the urgency rating.</w:t>
      </w:r>
    </w:p>
    <w:p w14:paraId="75488548" w14:textId="77777777" w:rsidR="00960A13" w:rsidRPr="009E1361" w:rsidRDefault="00960A13" w:rsidP="00A677C9">
      <w:pPr>
        <w:spacing w:before="240" w:after="240" w:line="240" w:lineRule="auto"/>
      </w:pPr>
      <w:r w:rsidRPr="009E1361">
        <w:t xml:space="preserve">When an older person registers with My Aged Care, they will be prompted to enter in relevant contact details including their home address. If a home address has not been inputted or is incorrect, an assessor may input or update a clients address at the time of assessment. This is a mandatory field as part of My Aged Care registration/assessment. If you update the individual’s address, you will need to click on the ‘validate this address’ button to populate the MM classification. </w:t>
      </w:r>
    </w:p>
    <w:p w14:paraId="7A2E1031" w14:textId="77777777" w:rsidR="00960A13" w:rsidRPr="009E1361" w:rsidRDefault="00960A13" w:rsidP="00A677C9">
      <w:pPr>
        <w:spacing w:before="240" w:after="240" w:line="240" w:lineRule="auto"/>
      </w:pPr>
      <w:r w:rsidRPr="009E1361">
        <w:t xml:space="preserve">A yellow text box may appear when residential care is added or edited as a care type in the </w:t>
      </w:r>
      <w:r w:rsidRPr="009E1361">
        <w:rPr>
          <w:i/>
        </w:rPr>
        <w:t xml:space="preserve">‘goals and recommendations’ </w:t>
      </w:r>
      <w:r w:rsidRPr="009E1361">
        <w:t>section of the support plan and the MM classification has not been mapped to the individual’s record. The yellow box will seek to update the clients address in their record or manually select the appropriate Modified Monash (MM) area.</w:t>
      </w:r>
    </w:p>
    <w:tbl>
      <w:tblPr>
        <w:tblStyle w:val="TableGrid"/>
        <w:tblW w:w="0" w:type="auto"/>
        <w:tblLook w:val="04A0" w:firstRow="1" w:lastRow="0" w:firstColumn="1" w:lastColumn="0" w:noHBand="0" w:noVBand="1"/>
      </w:tblPr>
      <w:tblGrid>
        <w:gridCol w:w="1129"/>
        <w:gridCol w:w="7887"/>
      </w:tblGrid>
      <w:tr w:rsidR="00960A13" w:rsidRPr="009E1361" w14:paraId="0C6CA9D7" w14:textId="77777777">
        <w:tc>
          <w:tcPr>
            <w:tcW w:w="1129" w:type="dxa"/>
          </w:tcPr>
          <w:p w14:paraId="54301D83" w14:textId="77777777" w:rsidR="00960A13" w:rsidRPr="009E1361" w:rsidRDefault="00960A13" w:rsidP="00A677C9">
            <w:pPr>
              <w:spacing w:before="240" w:after="240"/>
            </w:pPr>
            <w:r w:rsidRPr="009E1361">
              <w:rPr>
                <w:noProof/>
              </w:rPr>
              <w:drawing>
                <wp:inline distT="0" distB="0" distL="0" distR="0" wp14:anchorId="6486693C" wp14:editId="13801CDC">
                  <wp:extent cx="447675" cy="445208"/>
                  <wp:effectExtent l="0" t="0" r="0" b="0"/>
                  <wp:docPr id="1950018322" name="Picture 195001832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5662" name="Picture 1260805662"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54E91237" w14:textId="0D3C3104" w:rsidR="00960A13" w:rsidRPr="009E1361" w:rsidRDefault="00892CAB" w:rsidP="00A677C9">
            <w:pPr>
              <w:spacing w:before="240" w:after="240"/>
            </w:pPr>
            <w:hyperlink r:id="rId186">
              <w:r>
                <w:rPr>
                  <w:rStyle w:val="Hyperlink"/>
                </w:rPr>
                <w:t>Modified Monash Model | Australian Government Department of Health, Disability and Ageing</w:t>
              </w:r>
            </w:hyperlink>
          </w:p>
        </w:tc>
      </w:tr>
    </w:tbl>
    <w:p w14:paraId="37B3E70F" w14:textId="261F16E7" w:rsidR="00960A13" w:rsidRPr="009E1361" w:rsidRDefault="00960A13" w:rsidP="00C56CEC">
      <w:pPr>
        <w:pStyle w:val="H3"/>
      </w:pPr>
      <w:r w:rsidRPr="009E1361">
        <w:t xml:space="preserve">Place </w:t>
      </w:r>
      <w:r w:rsidR="00F71861">
        <w:t>a</w:t>
      </w:r>
      <w:r w:rsidRPr="009E1361">
        <w:t>llocation</w:t>
      </w:r>
    </w:p>
    <w:p w14:paraId="0BB3FA67" w14:textId="60D7EFC9" w:rsidR="00960A13" w:rsidRPr="009E1361" w:rsidRDefault="00E554EF" w:rsidP="00A677C9">
      <w:pPr>
        <w:spacing w:before="240" w:after="240" w:line="240" w:lineRule="auto"/>
      </w:pPr>
      <w:r>
        <w:t>T</w:t>
      </w:r>
      <w:r w:rsidR="00960A13" w:rsidRPr="009E1361">
        <w:t>he residential care system allocate</w:t>
      </w:r>
      <w:r>
        <w:t>s</w:t>
      </w:r>
      <w:r w:rsidR="00960A13" w:rsidRPr="009E1361">
        <w:t xml:space="preserve"> residential care places (</w:t>
      </w:r>
      <w:r w:rsidR="00960A13" w:rsidRPr="009E1361">
        <w:rPr>
          <w:lang w:val="en-US"/>
        </w:rPr>
        <w:t>permanent or respite</w:t>
      </w:r>
      <w:r w:rsidR="00960A13" w:rsidRPr="009E1361">
        <w:t>) directly to older people. This is the ‘Places to People’ reform.</w:t>
      </w:r>
    </w:p>
    <w:p w14:paraId="1299EDA1" w14:textId="77777777" w:rsidR="00960A13" w:rsidRPr="009E1361" w:rsidRDefault="00960A13" w:rsidP="00A677C9">
      <w:pPr>
        <w:spacing w:before="240" w:after="240" w:line="240" w:lineRule="auto"/>
      </w:pPr>
      <w:r w:rsidRPr="009E1361">
        <w:t>Places will be assigned directly to older people who can then access government-funded residential care services. This will give them more choice and control over what provider delivers their services.</w:t>
      </w:r>
    </w:p>
    <w:p w14:paraId="363DF369" w14:textId="77777777" w:rsidR="00960A13" w:rsidRPr="009E1361" w:rsidRDefault="00960A13" w:rsidP="00A677C9">
      <w:pPr>
        <w:spacing w:before="240" w:after="240" w:line="240" w:lineRule="auto"/>
      </w:pPr>
      <w:r w:rsidRPr="009E1361">
        <w:t>Mainstream residential care providers will no longer need an allocation of places to deliver government-funded aged care services.</w:t>
      </w:r>
    </w:p>
    <w:p w14:paraId="01AFC649" w14:textId="77777777" w:rsidR="00960A13" w:rsidRPr="009E1361" w:rsidRDefault="00960A13" w:rsidP="00A677C9">
      <w:pPr>
        <w:spacing w:before="240" w:after="240" w:line="240" w:lineRule="auto"/>
      </w:pPr>
      <w:r w:rsidRPr="009E1361">
        <w:t>Providers that deliver residential aged care through a specialist program (such as MPSP or TCP) will still get allocated places, for further information see resource below.</w:t>
      </w:r>
    </w:p>
    <w:tbl>
      <w:tblPr>
        <w:tblStyle w:val="TableGrid"/>
        <w:tblW w:w="0" w:type="auto"/>
        <w:tblLook w:val="04A0" w:firstRow="1" w:lastRow="0" w:firstColumn="1" w:lastColumn="0" w:noHBand="0" w:noVBand="1"/>
      </w:tblPr>
      <w:tblGrid>
        <w:gridCol w:w="1129"/>
        <w:gridCol w:w="7887"/>
      </w:tblGrid>
      <w:tr w:rsidR="00960A13" w:rsidRPr="009E1361" w14:paraId="2B64ABED" w14:textId="77777777">
        <w:tc>
          <w:tcPr>
            <w:tcW w:w="1129" w:type="dxa"/>
          </w:tcPr>
          <w:p w14:paraId="4F568867" w14:textId="77777777" w:rsidR="00960A13" w:rsidRPr="009E1361" w:rsidRDefault="00960A13" w:rsidP="00A677C9">
            <w:pPr>
              <w:spacing w:before="240" w:after="240"/>
            </w:pPr>
            <w:r w:rsidRPr="009E1361">
              <w:rPr>
                <w:noProof/>
              </w:rPr>
              <w:drawing>
                <wp:inline distT="0" distB="0" distL="0" distR="0" wp14:anchorId="34DFD347" wp14:editId="09B91CD8">
                  <wp:extent cx="447675" cy="445208"/>
                  <wp:effectExtent l="0" t="0" r="0" b="0"/>
                  <wp:docPr id="1237936748" name="Picture 12379367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5662" name="Picture 1260805662"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4FA29616" w14:textId="4E6B9239" w:rsidR="00960A13" w:rsidRPr="009E1361" w:rsidRDefault="00892CAB" w:rsidP="00A677C9">
            <w:pPr>
              <w:spacing w:before="240" w:after="240"/>
            </w:pPr>
            <w:hyperlink r:id="rId187">
              <w:r>
                <w:rPr>
                  <w:rStyle w:val="Hyperlink"/>
                </w:rPr>
                <w:t>Places to people – Embedding choice in residential aged care | Australian Government Department of Health, Disability and Ageing</w:t>
              </w:r>
            </w:hyperlink>
          </w:p>
        </w:tc>
      </w:tr>
    </w:tbl>
    <w:p w14:paraId="50246615" w14:textId="77777777" w:rsidR="00960A13" w:rsidRPr="009E1361" w:rsidRDefault="00960A13" w:rsidP="00A677C9">
      <w:pPr>
        <w:spacing w:before="240" w:after="240" w:line="240" w:lineRule="auto"/>
        <w:rPr>
          <w:lang w:val="en-US"/>
        </w:rPr>
      </w:pPr>
      <w:r w:rsidRPr="009E1361">
        <w:rPr>
          <w:lang w:val="en-US"/>
        </w:rPr>
        <w:t xml:space="preserve">If a person has been approved for residential care, (permanent or respite), they will be allocated a place immediately. They will be advised on this in the Notice of Decision letter. </w:t>
      </w:r>
    </w:p>
    <w:p w14:paraId="1F6D1C4E" w14:textId="7FDD4C67" w:rsidR="00960A13" w:rsidRPr="009E1361" w:rsidRDefault="00E051C7" w:rsidP="00A677C9">
      <w:pPr>
        <w:spacing w:before="240" w:after="240" w:line="240" w:lineRule="auto"/>
        <w:rPr>
          <w:lang w:val="en-US"/>
        </w:rPr>
      </w:pPr>
      <w:r w:rsidRPr="005E4E0E">
        <w:rPr>
          <w:bCs/>
          <w:noProof/>
        </w:rPr>
        <w:drawing>
          <wp:anchor distT="0" distB="0" distL="114300" distR="114300" simplePos="0" relativeHeight="251658284" behindDoc="0" locked="0" layoutInCell="1" allowOverlap="1" wp14:anchorId="7D159119" wp14:editId="67C90E9E">
            <wp:simplePos x="0" y="0"/>
            <wp:positionH relativeFrom="margin">
              <wp:align>left</wp:align>
            </wp:positionH>
            <wp:positionV relativeFrom="paragraph">
              <wp:posOffset>508540</wp:posOffset>
            </wp:positionV>
            <wp:extent cx="457200" cy="502920"/>
            <wp:effectExtent l="0" t="0" r="0" b="0"/>
            <wp:wrapSquare wrapText="bothSides"/>
            <wp:docPr id="407615623" name="Picture 40761562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960A13" w:rsidRPr="009E1361">
        <w:rPr>
          <w:lang w:val="en-US"/>
        </w:rPr>
        <w:t>There will be no delays to allocate the place. Once the person has their place it stays on their My Aged Care account and will not be withdrawn. There are no time limits for when people need to enter into care.</w:t>
      </w:r>
    </w:p>
    <w:p w14:paraId="0CDD52B4" w14:textId="319CEA0E" w:rsidR="40026FF8" w:rsidRDefault="38A2E0AF" w:rsidP="00C56CEC">
      <w:pPr>
        <w:pStyle w:val="H3"/>
      </w:pPr>
      <w:r>
        <w:t>Exiting residential care</w:t>
      </w:r>
    </w:p>
    <w:p w14:paraId="1405E7DB" w14:textId="07840E11" w:rsidR="08D6BD9B" w:rsidRDefault="08D6BD9B" w:rsidP="66BAB544">
      <w:r>
        <w:t>If an individual has an existing transitioned Home Care Package or Support at Home approval and chooses to exit residential care, they can rejoin the Support at Home Priority System queue by:</w:t>
      </w:r>
    </w:p>
    <w:p w14:paraId="6694398C" w14:textId="478A635F" w:rsidR="08D6BD9B" w:rsidRDefault="08D6BD9B" w:rsidP="00AA2D02">
      <w:pPr>
        <w:pStyle w:val="ListParagraph"/>
        <w:numPr>
          <w:ilvl w:val="0"/>
          <w:numId w:val="585"/>
        </w:numPr>
      </w:pPr>
      <w:r>
        <w:t>being formally exited by their residential care provider in the Services Australia system</w:t>
      </w:r>
    </w:p>
    <w:p w14:paraId="7939BF42" w14:textId="2180440B" w:rsidR="08D6BD9B" w:rsidRDefault="08D6BD9B" w:rsidP="00AA2D02">
      <w:pPr>
        <w:pStyle w:val="ListParagraph"/>
        <w:numPr>
          <w:ilvl w:val="0"/>
          <w:numId w:val="585"/>
        </w:numPr>
      </w:pPr>
      <w:r>
        <w:t>calling My Aged Care and requesting to opt back in, once formally exited.</w:t>
      </w:r>
    </w:p>
    <w:p w14:paraId="673DBEE6" w14:textId="54486231" w:rsidR="08D6BD9B" w:rsidRDefault="08D6BD9B" w:rsidP="66BAB544">
      <w:r>
        <w:t>When an older person with an existing transitioned Home Care Package or Support at Home approval contacts My Aged Care and requests to opt back in to the Priority System, their queue status will be re-activated and place determined by their previous approval date and priority.</w:t>
      </w:r>
    </w:p>
    <w:p w14:paraId="01C1F879" w14:textId="3DB9340F" w:rsidR="08D6BD9B" w:rsidRDefault="08D6BD9B" w:rsidP="66BAB544">
      <w:r>
        <w:t xml:space="preserve">Depending on the date of their previous approval under HCP/SaH, they will be assigned funding when it is available. While waiting for assignment of Support at Home funding, individuals may have other care options available. </w:t>
      </w:r>
    </w:p>
    <w:p w14:paraId="0C6F9C5F" w14:textId="7C536B79" w:rsidR="08D6BD9B" w:rsidRDefault="08D6BD9B" w:rsidP="66BAB544">
      <w:r>
        <w:t xml:space="preserve">They could consider accessing aged care services through the Commonwealth Home Support Program (CHSP), state or privately funded services. </w:t>
      </w:r>
    </w:p>
    <w:p w14:paraId="56B6E1B3" w14:textId="396ED474" w:rsidR="08D6BD9B" w:rsidRDefault="08D6BD9B" w:rsidP="66BAB544">
      <w:r>
        <w:t>If an individual has approvals for residential respite care, this service may also be accessed, noting it is a temporary arrangement.</w:t>
      </w:r>
    </w:p>
    <w:p w14:paraId="6C960D1F" w14:textId="0308F721" w:rsidR="08D6BD9B" w:rsidRDefault="08D6BD9B" w:rsidP="66BAB544">
      <w:r>
        <w:t xml:space="preserve">If an individual is interested in understanding if CHSP or residential respite is an option in the interim, they can call My Aged Care for support with accessing approvals and arranging services. </w:t>
      </w:r>
    </w:p>
    <w:p w14:paraId="6CBB078B" w14:textId="38C155C5" w:rsidR="66BAB544" w:rsidRDefault="66BAB544" w:rsidP="66BAB544"/>
    <w:p w14:paraId="1ED746A2" w14:textId="657100D9" w:rsidR="08D6BD9B" w:rsidRDefault="08D6BD9B" w:rsidP="66BAB544">
      <w:r>
        <w:t>Additionally, all Australians are eligible to access the primary care health system through hospitals, GPs and allied health practitioners. All Australians, regardless of age can and should access these services as needed.</w:t>
      </w:r>
    </w:p>
    <w:p w14:paraId="6E3494B8" w14:textId="15890808" w:rsidR="14E031C6" w:rsidRDefault="14E031C6" w:rsidP="14E031C6"/>
    <w:p w14:paraId="37E3ACA9" w14:textId="31450AA7" w:rsidR="00960A13" w:rsidRPr="009E1361" w:rsidRDefault="00960A13" w:rsidP="00507F9D">
      <w:pPr>
        <w:pStyle w:val="h2"/>
      </w:pPr>
      <w:bookmarkStart w:id="531" w:name="_Toc209189005"/>
      <w:bookmarkStart w:id="532" w:name="_Toc224916664"/>
      <w:r w:rsidRPr="009E1361">
        <w:t xml:space="preserve">Residential </w:t>
      </w:r>
      <w:r w:rsidR="00F71861">
        <w:t>r</w:t>
      </w:r>
      <w:r w:rsidRPr="009E1361">
        <w:t xml:space="preserve">espite </w:t>
      </w:r>
      <w:r w:rsidR="00F71861">
        <w:t>c</w:t>
      </w:r>
      <w:r w:rsidRPr="009E1361">
        <w:t>are</w:t>
      </w:r>
      <w:bookmarkEnd w:id="531"/>
      <w:bookmarkEnd w:id="532"/>
    </w:p>
    <w:p w14:paraId="34639E72" w14:textId="77777777" w:rsidR="00960A13" w:rsidRPr="009E1361" w:rsidRDefault="00960A13" w:rsidP="00A677C9">
      <w:pPr>
        <w:spacing w:before="240" w:after="240" w:line="240" w:lineRule="auto"/>
        <w:rPr>
          <w:lang w:val="en-US"/>
        </w:rPr>
      </w:pPr>
      <w:r w:rsidRPr="009E1361">
        <w:rPr>
          <w:lang w:val="en-US"/>
        </w:rPr>
        <w:t>Short-term (respite) care is provided as an alternative care arrangement with the primary purpose of giving a carer or an individual in need of care a short-term break from their usual care arrangement. Residential respite is not intended as an alternative to restorative care.</w:t>
      </w:r>
    </w:p>
    <w:p w14:paraId="6CC24717" w14:textId="77777777" w:rsidR="00960A13" w:rsidRDefault="00960A13" w:rsidP="00A677C9">
      <w:pPr>
        <w:spacing w:before="240" w:after="240" w:line="240" w:lineRule="auto"/>
        <w:rPr>
          <w:lang w:val="en-US"/>
        </w:rPr>
      </w:pPr>
      <w:r w:rsidRPr="009E1361">
        <w:rPr>
          <w:lang w:val="en-US"/>
        </w:rPr>
        <w:t>Older people will continue to be able to access emergency respite care through the alternative entry pathway, even if they have not been assessed and approved for short-term residential care.</w:t>
      </w:r>
    </w:p>
    <w:p w14:paraId="742E28BA" w14:textId="7498C2E2" w:rsidR="00960A13" w:rsidRPr="009E1361" w:rsidRDefault="00960A13" w:rsidP="00C56CEC">
      <w:pPr>
        <w:pStyle w:val="H3"/>
      </w:pPr>
      <w:r>
        <w:t xml:space="preserve">Recommending </w:t>
      </w:r>
      <w:r w:rsidR="00F71861">
        <w:t>r</w:t>
      </w:r>
      <w:r>
        <w:t xml:space="preserve">esidential </w:t>
      </w:r>
      <w:r w:rsidR="00F71861">
        <w:t>r</w:t>
      </w:r>
      <w:r>
        <w:t xml:space="preserve">espite </w:t>
      </w:r>
      <w:r w:rsidR="00F71861">
        <w:t>c</w:t>
      </w:r>
      <w:r>
        <w:t>are</w:t>
      </w:r>
    </w:p>
    <w:p w14:paraId="29DD4CA6" w14:textId="77777777" w:rsidR="00960A13" w:rsidRPr="007E6F47" w:rsidRDefault="00960A13" w:rsidP="00A677C9">
      <w:pPr>
        <w:spacing w:before="240" w:after="240" w:line="240" w:lineRule="auto"/>
      </w:pPr>
      <w:bookmarkStart w:id="533" w:name="_Toc198008584"/>
      <w:r w:rsidRPr="007E6F47">
        <w:t>When recommending an individual for residential respite care, assessors should complete the De Morton Mobility Index – modified (DEMMI-modified) assessment. This tool assesses the individual's mobility and determines their eligibility for one of three respite funding classes: Respite class 1, Respite class 2, Respite class 3, based on the level of mobility observed.</w:t>
      </w:r>
    </w:p>
    <w:p w14:paraId="29D2577E" w14:textId="72AD9923" w:rsidR="00960A13" w:rsidRPr="0022306B" w:rsidRDefault="00960A13" w:rsidP="00A677C9">
      <w:pPr>
        <w:spacing w:before="240" w:after="240" w:line="240" w:lineRule="auto"/>
      </w:pPr>
      <w:r w:rsidRPr="007E6F47">
        <w:t xml:space="preserve">The DEMMI-modified assessment is available within </w:t>
      </w:r>
      <w:r w:rsidR="000A7EFB" w:rsidRPr="007E6F47">
        <w:t>the IAT</w:t>
      </w:r>
      <w:r w:rsidRPr="007E6F47">
        <w:t>, and can only be used as part of a comprehensive assessment, as it must be completed by a clinically trained assessor.</w:t>
      </w:r>
      <w:r w:rsidRPr="0022306B">
        <w:t xml:space="preserve"> A non-clinical assessor cannot complete the DEMMI-modified even with clinical attendance. </w:t>
      </w:r>
    </w:p>
    <w:p w14:paraId="057358CA" w14:textId="32DF5634" w:rsidR="00960A13" w:rsidRPr="0022306B" w:rsidRDefault="00960A13" w:rsidP="00A677C9">
      <w:pPr>
        <w:spacing w:before="240" w:after="240" w:line="240" w:lineRule="auto"/>
      </w:pPr>
      <w:r w:rsidRPr="0022306B">
        <w:t>The question, ‘</w:t>
      </w:r>
      <w:r w:rsidRPr="007E6F47">
        <w:rPr>
          <w:rStyle w:val="Emphasis"/>
          <w:b w:val="0"/>
        </w:rPr>
        <w:t>Are you likely to recommend residential respite care</w:t>
      </w:r>
      <w:r w:rsidRPr="0022306B">
        <w:t xml:space="preserve">’ in the IAT is only available in comprehensive assessments. Assessors who are completing a home support assessment and likely to recommend residential respite must convert the assessment to a comprehensive assessment. </w:t>
      </w:r>
    </w:p>
    <w:p w14:paraId="66A0A661" w14:textId="7039EB2A" w:rsidR="00D3217E" w:rsidRDefault="00960A13" w:rsidP="00A677C9">
      <w:pPr>
        <w:spacing w:before="240" w:after="240" w:line="240" w:lineRule="auto"/>
      </w:pPr>
      <w:r w:rsidRPr="007E6F47">
        <w:t>If the DEMMI-modified assessment cannot be completed at the time of assessment, the individual will be temporarily assigned a </w:t>
      </w:r>
      <w:r w:rsidRPr="00FB5BCB">
        <w:t>default funding class (Class 0)</w:t>
      </w:r>
      <w:r w:rsidRPr="00896AC6">
        <w:rPr>
          <w:bCs/>
        </w:rPr>
        <w:t>. This classification remains in place until a formal </w:t>
      </w:r>
      <w:r w:rsidR="00C73832" w:rsidRPr="00FB5BCB">
        <w:t>RAC funding</w:t>
      </w:r>
      <w:r w:rsidRPr="00FB5BCB">
        <w:t xml:space="preserve"> assessment</w:t>
      </w:r>
      <w:r w:rsidRPr="007E6F47">
        <w:t xml:space="preserve"> is carried out within the residential aged care </w:t>
      </w:r>
      <w:r w:rsidR="000A7EFB" w:rsidRPr="007E6F47">
        <w:t xml:space="preserve">home, </w:t>
      </w:r>
      <w:r w:rsidR="000A7EFB">
        <w:t>by</w:t>
      </w:r>
      <w:r w:rsidR="00081D6F">
        <w:t xml:space="preserve"> a RAC funding assessor, </w:t>
      </w:r>
      <w:r w:rsidRPr="007E6F47">
        <w:t>at which point the appropriate funding class can be determined based on the individual’s assessed mobility.</w:t>
      </w:r>
      <w:r w:rsidR="009A1B8F">
        <w:t xml:space="preserve"> </w:t>
      </w:r>
    </w:p>
    <w:p w14:paraId="14482C94" w14:textId="1DEA0EEF" w:rsidR="00322B39" w:rsidRDefault="00AD64AC" w:rsidP="00C325C6">
      <w:pPr>
        <w:pStyle w:val="Sub-headings"/>
      </w:pPr>
      <w:r w:rsidRPr="00005E87">
        <w:t>Note</w:t>
      </w:r>
      <w:r>
        <w:t xml:space="preserve">: </w:t>
      </w:r>
    </w:p>
    <w:p w14:paraId="3B94FF52" w14:textId="7A12BB20" w:rsidR="00AD64AC" w:rsidRDefault="00AD64AC" w:rsidP="00C325C6">
      <w:pPr>
        <w:pStyle w:val="Sub-headings"/>
      </w:pPr>
      <w:r>
        <w:t>A</w:t>
      </w:r>
      <w:r w:rsidRPr="00D3217E">
        <w:t>pprovals for short-term residential care will not be prioritised. When you view the care type recommendation for Residential Respite Care, you will see the ‘Urgency’ field has been automatically set to ‘High’ and cannot be edited.</w:t>
      </w:r>
    </w:p>
    <w:p w14:paraId="15AF95A7" w14:textId="77777777" w:rsidR="00960A13" w:rsidRPr="007E6F47" w:rsidRDefault="00960A13" w:rsidP="00C56CEC">
      <w:pPr>
        <w:pStyle w:val="H3"/>
      </w:pPr>
      <w:bookmarkStart w:id="534" w:name="_Toc198008589"/>
      <w:bookmarkStart w:id="535" w:name="_Toc198787191"/>
      <w:bookmarkStart w:id="536" w:name="_Toc1559177051"/>
      <w:bookmarkStart w:id="537" w:name="_Toc199344578"/>
      <w:bookmarkStart w:id="538" w:name="_Toc205372115"/>
      <w:bookmarkStart w:id="539" w:name="_Toc344543759"/>
      <w:r w:rsidRPr="007E6F47">
        <w:t>Extensions for residential respite</w:t>
      </w:r>
      <w:bookmarkEnd w:id="534"/>
      <w:bookmarkEnd w:id="535"/>
      <w:bookmarkEnd w:id="536"/>
      <w:bookmarkEnd w:id="537"/>
      <w:bookmarkEnd w:id="538"/>
      <w:bookmarkEnd w:id="539"/>
    </w:p>
    <w:p w14:paraId="0C0CE483" w14:textId="2298CDAB" w:rsidR="00960A13" w:rsidRPr="007E6F47" w:rsidRDefault="00960A13" w:rsidP="00A677C9">
      <w:pPr>
        <w:spacing w:before="240" w:after="240" w:line="240" w:lineRule="auto"/>
      </w:pPr>
      <w:r w:rsidRPr="007E6F47">
        <w:t>Assessment</w:t>
      </w:r>
      <w:r w:rsidDel="005D1C1B">
        <w:t xml:space="preserve"> </w:t>
      </w:r>
      <w:r w:rsidR="005D1C1B">
        <w:t>d</w:t>
      </w:r>
      <w:r w:rsidR="005D1C1B" w:rsidRPr="007E6F47">
        <w:t>elegate</w:t>
      </w:r>
      <w:r w:rsidR="005D1C1B">
        <w:t xml:space="preserve">s </w:t>
      </w:r>
      <w:r w:rsidRPr="007E6F47">
        <w:t>may receive requests for a</w:t>
      </w:r>
      <w:r w:rsidRPr="007E6F47">
        <w:rPr>
          <w:b/>
        </w:rPr>
        <w:t> </w:t>
      </w:r>
      <w:r w:rsidRPr="00FB5BCB">
        <w:t>21-day extension</w:t>
      </w:r>
      <w:r w:rsidRPr="00785F2B">
        <w:rPr>
          <w:bCs/>
        </w:rPr>
        <w:t> to</w:t>
      </w:r>
      <w:r w:rsidRPr="007E6F47">
        <w:t xml:space="preserve"> residential respite care —for example, when a carer is unwell or temporarily unable to resume their care responsibilities. There is no limit to the number of extensions that may be granted beyond the standard 63 days of respite care per financial year​.</w:t>
      </w:r>
    </w:p>
    <w:p w14:paraId="65A73BF2" w14:textId="68C543BF" w:rsidR="00960A13" w:rsidRPr="007E6F47" w:rsidRDefault="00960A13" w:rsidP="00A677C9">
      <w:pPr>
        <w:spacing w:before="240" w:after="240" w:line="240" w:lineRule="auto"/>
      </w:pPr>
      <w:r w:rsidRPr="007E6F47">
        <w:t xml:space="preserve">Typically, the residential aged care provider submits the extension request via the My Aged Care Service and Support Portal, and </w:t>
      </w:r>
      <w:r>
        <w:t>the</w:t>
      </w:r>
      <w:r w:rsidRPr="007E6F47">
        <w:t xml:space="preserve"> assessment organisation receives it through the Assessor Portal for </w:t>
      </w:r>
      <w:r>
        <w:t>the assessment delegate’s</w:t>
      </w:r>
      <w:r w:rsidRPr="007E6F47">
        <w:t xml:space="preserve"> action​.</w:t>
      </w:r>
    </w:p>
    <w:p w14:paraId="5BB3A242" w14:textId="3FB2C3CC" w:rsidR="00960A13" w:rsidRPr="007E6F47" w:rsidRDefault="005D1C1B" w:rsidP="00A677C9">
      <w:pPr>
        <w:spacing w:before="240" w:after="240" w:line="240" w:lineRule="auto"/>
      </w:pPr>
      <w:r>
        <w:t>An assessment delegate’s</w:t>
      </w:r>
      <w:r w:rsidRPr="007E6F47">
        <w:t xml:space="preserve"> </w:t>
      </w:r>
      <w:r w:rsidR="00960A13" w:rsidRPr="007E6F47">
        <w:t xml:space="preserve">responsibility is to review the request and either approve or decline it. Once a decision is made, </w:t>
      </w:r>
      <w:r w:rsidR="00960A13">
        <w:t>they</w:t>
      </w:r>
      <w:r w:rsidR="00960A13" w:rsidRPr="007E6F47">
        <w:t xml:space="preserve"> must communicate the outcome to the provider. </w:t>
      </w:r>
    </w:p>
    <w:p w14:paraId="156494AC" w14:textId="2619B0E7" w:rsidR="00960A13" w:rsidRPr="007E6F47" w:rsidRDefault="00960A13" w:rsidP="00A677C9">
      <w:pPr>
        <w:spacing w:before="240" w:after="240" w:line="240" w:lineRule="auto"/>
      </w:pPr>
      <w:r>
        <w:t xml:space="preserve">The </w:t>
      </w:r>
      <w:r w:rsidR="00440187">
        <w:t>assessment</w:t>
      </w:r>
      <w:r w:rsidRPr="007E6F47" w:rsidDel="00440187">
        <w:t xml:space="preserve"> </w:t>
      </w:r>
      <w:r w:rsidR="00440187">
        <w:t>delegate</w:t>
      </w:r>
      <w:r w:rsidR="00440187" w:rsidRPr="007E6F47">
        <w:t xml:space="preserve"> </w:t>
      </w:r>
      <w:r w:rsidRPr="007E6F47">
        <w:t>will need to be satisfied that an increase in the number of respite days was necessary due to any of the following:</w:t>
      </w:r>
    </w:p>
    <w:p w14:paraId="4EA84407" w14:textId="77777777" w:rsidR="00960A13" w:rsidRPr="007E6F47" w:rsidRDefault="00960A13" w:rsidP="00A677C9">
      <w:pPr>
        <w:spacing w:before="240" w:after="240" w:line="240" w:lineRule="auto"/>
        <w:ind w:firstLine="720"/>
      </w:pPr>
      <w:r w:rsidRPr="007E6F47">
        <w:t>(a) carer stress</w:t>
      </w:r>
    </w:p>
    <w:p w14:paraId="2846AD91" w14:textId="77777777" w:rsidR="00960A13" w:rsidRPr="007E6F47" w:rsidRDefault="00960A13" w:rsidP="00A677C9">
      <w:pPr>
        <w:spacing w:before="240" w:after="240" w:line="240" w:lineRule="auto"/>
        <w:ind w:firstLine="720"/>
      </w:pPr>
      <w:r w:rsidRPr="007E6F47">
        <w:t>(b) severity of the individual’s condition</w:t>
      </w:r>
    </w:p>
    <w:p w14:paraId="3A7D522B" w14:textId="77777777" w:rsidR="00960A13" w:rsidRPr="007E6F47" w:rsidRDefault="00960A13" w:rsidP="00A677C9">
      <w:pPr>
        <w:spacing w:before="240" w:after="240" w:line="240" w:lineRule="auto"/>
        <w:ind w:firstLine="720"/>
      </w:pPr>
      <w:r w:rsidRPr="007E6F47">
        <w:t>(c) absence of the individual’s carer</w:t>
      </w:r>
    </w:p>
    <w:p w14:paraId="74C601D3" w14:textId="77777777" w:rsidR="00960A13" w:rsidRPr="007E6F47" w:rsidRDefault="00960A13" w:rsidP="00A677C9">
      <w:pPr>
        <w:spacing w:before="240" w:after="240" w:line="240" w:lineRule="auto"/>
        <w:ind w:left="720"/>
      </w:pPr>
      <w:r w:rsidRPr="007E6F47">
        <w:t>(d) any other relevant matter (for example, where a provider delivers an episode of respite care in good faith but subsequently finds out the care recipient’s allocation of respite days had already been exhausted).</w:t>
      </w:r>
    </w:p>
    <w:p w14:paraId="1203D37C" w14:textId="6F953C0F" w:rsidR="005960D3" w:rsidRPr="0003231B" w:rsidRDefault="00960A13" w:rsidP="00C325C6">
      <w:pPr>
        <w:pStyle w:val="Sub-headings"/>
      </w:pPr>
      <w:r w:rsidRPr="00005E87">
        <w:t>Note</w:t>
      </w:r>
      <w:r w:rsidR="00A85704">
        <w:t>:</w:t>
      </w:r>
    </w:p>
    <w:p w14:paraId="6B41036C" w14:textId="21219908" w:rsidR="00960A13" w:rsidRPr="009660DD" w:rsidRDefault="005960D3" w:rsidP="00C325C6">
      <w:pPr>
        <w:pStyle w:val="Sub-headings"/>
      </w:pPr>
      <w:r>
        <w:rPr>
          <w:bCs w:val="0"/>
        </w:rPr>
        <w:t>T</w:t>
      </w:r>
      <w:r w:rsidR="00960A13" w:rsidRPr="007E6F47">
        <w:t>here is no right of review if an extension request is declined​.</w:t>
      </w:r>
    </w:p>
    <w:p w14:paraId="5B7FD777" w14:textId="77777777" w:rsidR="0074664D" w:rsidRDefault="0074664D" w:rsidP="00A677C9">
      <w:pPr>
        <w:spacing w:before="240" w:after="240" w:line="240" w:lineRule="auto"/>
      </w:pPr>
    </w:p>
    <w:p w14:paraId="382D252B" w14:textId="77777777" w:rsidR="00960A13" w:rsidRPr="007E6F47" w:rsidRDefault="00960A13" w:rsidP="00A677C9">
      <w:pPr>
        <w:spacing w:before="240" w:after="240" w:line="240" w:lineRule="auto"/>
        <w:rPr>
          <w:rFonts w:eastAsiaTheme="minorHAnsi"/>
          <w:szCs w:val="22"/>
        </w:rPr>
      </w:pPr>
      <w:r w:rsidRPr="007E6F47">
        <w:t xml:space="preserve">Once decided, </w:t>
      </w:r>
      <w:r>
        <w:t>the assessment delegate</w:t>
      </w:r>
      <w:r w:rsidRPr="007E6F47">
        <w:t xml:space="preserve"> must give written notice to the registered provider of your decision whether to extend within 28 days after the application was made. </w:t>
      </w:r>
      <w:r w:rsidRPr="007E6F47">
        <w:rPr>
          <w:rFonts w:eastAsiaTheme="minorHAnsi"/>
          <w:szCs w:val="22"/>
        </w:rPr>
        <w:t>T</w:t>
      </w:r>
      <w:r w:rsidRPr="007E6F47">
        <w:t>his written notice</w:t>
      </w:r>
      <w:r w:rsidRPr="007E6F47">
        <w:rPr>
          <w:rFonts w:eastAsiaTheme="minorHAnsi"/>
          <w:szCs w:val="22"/>
        </w:rPr>
        <w:t xml:space="preserve"> must include the day the decision takes effect, which may be before the day the decision is made.</w:t>
      </w:r>
    </w:p>
    <w:p w14:paraId="36F7C1DB" w14:textId="32154330" w:rsidR="00960A13" w:rsidRPr="007E6F47" w:rsidRDefault="00960A13" w:rsidP="00A677C9">
      <w:pPr>
        <w:spacing w:before="240" w:after="240" w:line="240" w:lineRule="auto"/>
      </w:pPr>
      <w:r w:rsidRPr="007E6F47">
        <w:t>Extensions are granted </w:t>
      </w:r>
      <w:r w:rsidRPr="00FB5BCB">
        <w:t>only at the previously approved level of care</w:t>
      </w:r>
      <w:r w:rsidRPr="00785F2B">
        <w:rPr>
          <w:bCs/>
        </w:rPr>
        <w:t>.</w:t>
      </w:r>
      <w:r w:rsidRPr="007E6F47">
        <w:t xml:space="preserve"> If a higher level is needed, a reassessment and new approval by </w:t>
      </w:r>
      <w:r>
        <w:t>a</w:t>
      </w:r>
      <w:r w:rsidRPr="007E6F47">
        <w:t xml:space="preserve"> Clinical Assessment Delegate is required before the extension can be granted​</w:t>
      </w:r>
    </w:p>
    <w:p w14:paraId="59D4C33A" w14:textId="77777777" w:rsidR="00960A13" w:rsidRPr="007E6F47" w:rsidRDefault="00960A13" w:rsidP="00A677C9">
      <w:pPr>
        <w:spacing w:before="240" w:after="240" w:line="240" w:lineRule="auto"/>
      </w:pPr>
      <w:r w:rsidRPr="007E6F47">
        <w:t>Where multiple extensions are being requested in one financial year, the assessor should review the Support Plan in consultation with the client, family and provider, to confirm the appropriateness of the residential respite care with the possibility of considering other care options. This will include whether there is an appropriate Support Plan in place to safely support the person to return home following the residential respite care episode (see section: Residential Care).</w:t>
      </w:r>
    </w:p>
    <w:tbl>
      <w:tblPr>
        <w:tblStyle w:val="TableGrid"/>
        <w:tblW w:w="9026" w:type="dxa"/>
        <w:tblInd w:w="-5" w:type="dxa"/>
        <w:tblLook w:val="04A0" w:firstRow="1" w:lastRow="0" w:firstColumn="1" w:lastColumn="0" w:noHBand="0" w:noVBand="1"/>
      </w:tblPr>
      <w:tblGrid>
        <w:gridCol w:w="9026"/>
      </w:tblGrid>
      <w:tr w:rsidR="00960A13" w:rsidRPr="009E1361" w14:paraId="3EF8A881" w14:textId="77777777">
        <w:tc>
          <w:tcPr>
            <w:tcW w:w="9026" w:type="dxa"/>
          </w:tcPr>
          <w:p w14:paraId="52526BA6" w14:textId="6A6B33A8" w:rsidR="00960A13" w:rsidRPr="00784289" w:rsidRDefault="00960A13" w:rsidP="00A677C9">
            <w:pPr>
              <w:spacing w:before="240" w:after="240"/>
            </w:pPr>
            <w:r w:rsidRPr="009E1361">
              <w:rPr>
                <w:noProof/>
              </w:rPr>
              <w:drawing>
                <wp:inline distT="0" distB="0" distL="0" distR="0" wp14:anchorId="1D9439FA" wp14:editId="5A80E570">
                  <wp:extent cx="383111" cy="381000"/>
                  <wp:effectExtent l="0" t="0" r="0" b="0"/>
                  <wp:docPr id="275039975" name="Picture 27503997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r w:rsidRPr="0019771E">
              <w:rPr>
                <w:b/>
                <w:bCs/>
              </w:rPr>
              <w:t xml:space="preserve"> For more information on managing residential respite </w:t>
            </w:r>
            <w:r w:rsidRPr="00784289">
              <w:rPr>
                <w:b/>
                <w:bCs/>
              </w:rPr>
              <w:t xml:space="preserve">extensions, refer to </w:t>
            </w:r>
            <w:hyperlink r:id="rId188">
              <w:r w:rsidR="00892CAB">
                <w:rPr>
                  <w:rStyle w:val="Hyperlink"/>
                </w:rPr>
                <w:t>Managing residential respite care | Australian Government Department of Health, Disability and Ageing</w:t>
              </w:r>
            </w:hyperlink>
          </w:p>
        </w:tc>
      </w:tr>
    </w:tbl>
    <w:p w14:paraId="64653799" w14:textId="3782A6AD" w:rsidR="00960A13" w:rsidRPr="009E1361" w:rsidRDefault="00960A13" w:rsidP="00507F9D">
      <w:pPr>
        <w:pStyle w:val="h2"/>
      </w:pPr>
      <w:bookmarkStart w:id="540" w:name="_Toc204329573"/>
      <w:bookmarkStart w:id="541" w:name="_Toc209189006"/>
      <w:bookmarkStart w:id="542" w:name="_Toc224916665"/>
      <w:bookmarkStart w:id="543" w:name="_Toc198813690"/>
      <w:bookmarkEnd w:id="533"/>
      <w:r w:rsidRPr="009E1361">
        <w:t xml:space="preserve">Other </w:t>
      </w:r>
      <w:r w:rsidR="00D8579D">
        <w:t>p</w:t>
      </w:r>
      <w:r w:rsidRPr="009E1361">
        <w:t xml:space="preserve">rograms and </w:t>
      </w:r>
      <w:r w:rsidR="00D8579D">
        <w:t>s</w:t>
      </w:r>
      <w:r w:rsidRPr="009E1361">
        <w:t>upports</w:t>
      </w:r>
      <w:bookmarkEnd w:id="540"/>
      <w:bookmarkEnd w:id="541"/>
      <w:bookmarkEnd w:id="542"/>
    </w:p>
    <w:p w14:paraId="1A12E783" w14:textId="77777777" w:rsidR="00960A13" w:rsidRPr="009E1361" w:rsidRDefault="00960A13" w:rsidP="00C56CEC">
      <w:pPr>
        <w:pStyle w:val="H3"/>
      </w:pPr>
      <w:bookmarkStart w:id="544" w:name="_Ref128155966"/>
      <w:bookmarkStart w:id="545" w:name="_Ref128157437"/>
      <w:bookmarkStart w:id="546" w:name="_Toc159226953"/>
      <w:bookmarkStart w:id="547" w:name="_Toc184402370"/>
      <w:bookmarkStart w:id="548" w:name="_Ref506980859"/>
      <w:bookmarkStart w:id="549" w:name="_Toc496022848"/>
      <w:r w:rsidRPr="009E1361">
        <w:t>Dementia specific programs and supports</w:t>
      </w:r>
      <w:bookmarkEnd w:id="544"/>
      <w:bookmarkEnd w:id="545"/>
      <w:bookmarkEnd w:id="546"/>
      <w:bookmarkEnd w:id="547"/>
      <w:r w:rsidRPr="009E1361">
        <w:t xml:space="preserve"> </w:t>
      </w:r>
    </w:p>
    <w:p w14:paraId="0CD3AF8D" w14:textId="1D227613" w:rsidR="00960A13" w:rsidRPr="009E1361" w:rsidRDefault="00960A13" w:rsidP="00A677C9">
      <w:pPr>
        <w:spacing w:before="240" w:after="240" w:line="240" w:lineRule="auto"/>
        <w:rPr>
          <w:rFonts w:eastAsia="MS PGothic"/>
        </w:rPr>
      </w:pPr>
      <w:r w:rsidRPr="009E1361">
        <w:rPr>
          <w:rFonts w:eastAsia="MS PGothic"/>
        </w:rPr>
        <w:t xml:space="preserve">Counselling, education, information, and other support for people living with dementia or experiencing cognitive decline, and their care partners, families, and representatives is available </w:t>
      </w:r>
      <w:r w:rsidR="000A77E1">
        <w:rPr>
          <w:rFonts w:eastAsia="MS PGothic"/>
        </w:rPr>
        <w:t>through the National Dementia Support Program (NDSP)</w:t>
      </w:r>
      <w:r w:rsidR="00580F8B">
        <w:rPr>
          <w:rFonts w:eastAsia="MS PGothic"/>
        </w:rPr>
        <w:t xml:space="preserve">. </w:t>
      </w:r>
      <w:r w:rsidR="00335786">
        <w:rPr>
          <w:rFonts w:eastAsia="MS PGothic"/>
        </w:rPr>
        <w:t>They</w:t>
      </w:r>
      <w:r w:rsidR="003A0D75">
        <w:rPr>
          <w:rFonts w:eastAsia="MS PGothic"/>
        </w:rPr>
        <w:t xml:space="preserve"> can be contacted </w:t>
      </w:r>
      <w:r w:rsidR="003A0D75" w:rsidRPr="009E1361">
        <w:rPr>
          <w:rFonts w:eastAsia="MS PGothic"/>
        </w:rPr>
        <w:t>24 hours a day, 7 days a week</w:t>
      </w:r>
      <w:r w:rsidR="003A0D75">
        <w:rPr>
          <w:rFonts w:eastAsia="MS PGothic"/>
        </w:rPr>
        <w:t xml:space="preserve"> via</w:t>
      </w:r>
      <w:r w:rsidRPr="009E1361">
        <w:rPr>
          <w:rFonts w:eastAsia="MS PGothic"/>
        </w:rPr>
        <w:t xml:space="preserve"> the National Dementia Helpline on </w:t>
      </w:r>
      <w:r w:rsidRPr="00430579">
        <w:rPr>
          <w:rFonts w:eastAsia="MS PGothic"/>
          <w:b/>
        </w:rPr>
        <w:t>1800 100 500</w:t>
      </w:r>
      <w:r w:rsidRPr="009E1361">
        <w:rPr>
          <w:rFonts w:eastAsia="MS PGothic"/>
          <w:b/>
        </w:rPr>
        <w:t xml:space="preserve"> </w:t>
      </w:r>
      <w:r w:rsidRPr="009E1361">
        <w:rPr>
          <w:rFonts w:eastAsia="MS PGothic"/>
          <w:bCs/>
        </w:rPr>
        <w:t xml:space="preserve">or </w:t>
      </w:r>
      <w:r w:rsidR="003A0D75">
        <w:rPr>
          <w:rFonts w:eastAsia="MS PGothic"/>
          <w:bCs/>
        </w:rPr>
        <w:t xml:space="preserve">by </w:t>
      </w:r>
      <w:r w:rsidRPr="009E1361">
        <w:rPr>
          <w:rFonts w:eastAsia="MS PGothic"/>
          <w:bCs/>
        </w:rPr>
        <w:t xml:space="preserve">visiting the </w:t>
      </w:r>
      <w:hyperlink r:id="rId189">
        <w:r w:rsidRPr="009E1361">
          <w:rPr>
            <w:rStyle w:val="Hyperlink"/>
            <w:rFonts w:eastAsia="MS PGothic"/>
          </w:rPr>
          <w:t>Dementia Australia</w:t>
        </w:r>
      </w:hyperlink>
      <w:r w:rsidRPr="009E1361">
        <w:rPr>
          <w:rFonts w:eastAsia="MS PGothic"/>
          <w:bCs/>
        </w:rPr>
        <w:t xml:space="preserve"> website</w:t>
      </w:r>
      <w:r w:rsidRPr="009E1361">
        <w:rPr>
          <w:rFonts w:eastAsia="MS PGothic"/>
        </w:rPr>
        <w:t xml:space="preserve">. </w:t>
      </w:r>
    </w:p>
    <w:p w14:paraId="30027C15" w14:textId="704D6EF3" w:rsidR="00960A13" w:rsidRPr="009E1361" w:rsidRDefault="00960A13" w:rsidP="005960D3">
      <w:pPr>
        <w:spacing w:before="240" w:after="240" w:line="240" w:lineRule="auto"/>
        <w:rPr>
          <w:rFonts w:eastAsia="MS PGothic"/>
        </w:rPr>
      </w:pPr>
      <w:r>
        <w:rPr>
          <w:rFonts w:eastAsia="MS PGothic"/>
        </w:rPr>
        <w:t xml:space="preserve">Chapter </w:t>
      </w:r>
      <w:r w:rsidR="000819FC">
        <w:rPr>
          <w:rFonts w:eastAsia="MS PGothic"/>
        </w:rPr>
        <w:fldChar w:fldCharType="begin"/>
      </w:r>
      <w:r w:rsidR="000819FC">
        <w:rPr>
          <w:rFonts w:eastAsia="MS PGothic"/>
        </w:rPr>
        <w:instrText xml:space="preserve"> REF _Ref212735971 \w \h </w:instrText>
      </w:r>
      <w:r w:rsidR="000819FC">
        <w:rPr>
          <w:rFonts w:eastAsia="MS PGothic"/>
        </w:rPr>
      </w:r>
      <w:r w:rsidR="000819FC">
        <w:rPr>
          <w:rFonts w:eastAsia="MS PGothic"/>
        </w:rPr>
        <w:fldChar w:fldCharType="separate"/>
      </w:r>
      <w:r w:rsidR="00F97942">
        <w:rPr>
          <w:rFonts w:eastAsia="MS PGothic"/>
        </w:rPr>
        <w:t>12</w:t>
      </w:r>
      <w:r w:rsidR="000819FC">
        <w:rPr>
          <w:rFonts w:eastAsia="MS PGothic"/>
        </w:rPr>
        <w:fldChar w:fldCharType="end"/>
      </w:r>
      <w:r w:rsidRPr="009E1361">
        <w:rPr>
          <w:rFonts w:eastAsia="MS PGothic"/>
        </w:rPr>
        <w:t xml:space="preserve"> outlines a system to refer carers of </w:t>
      </w:r>
      <w:r w:rsidR="00516348">
        <w:rPr>
          <w:rFonts w:eastAsia="MS PGothic"/>
        </w:rPr>
        <w:t>older people</w:t>
      </w:r>
      <w:r w:rsidRPr="009E1361">
        <w:rPr>
          <w:rFonts w:eastAsia="MS PGothic"/>
        </w:rPr>
        <w:t xml:space="preserve"> </w:t>
      </w:r>
      <w:r w:rsidR="001D0BE8">
        <w:rPr>
          <w:rFonts w:eastAsia="MS PGothic"/>
        </w:rPr>
        <w:t xml:space="preserve">living </w:t>
      </w:r>
      <w:r w:rsidRPr="009E1361">
        <w:rPr>
          <w:rFonts w:eastAsia="MS PGothic"/>
        </w:rPr>
        <w:t xml:space="preserve">with dementia or experiencing cognitive decline to the National Dementia Helpline, with their consent. A trained professional from Dementia Australia </w:t>
      </w:r>
      <w:r>
        <w:rPr>
          <w:rFonts w:eastAsia="MS PGothic"/>
        </w:rPr>
        <w:t>will</w:t>
      </w:r>
      <w:r w:rsidRPr="009E1361">
        <w:rPr>
          <w:rFonts w:eastAsia="MS PGothic"/>
        </w:rPr>
        <w:t xml:space="preserve"> call the older person and speak to them about dementia-specific services and supports that might assist to help improve or maintain their quality of life. </w:t>
      </w:r>
    </w:p>
    <w:p w14:paraId="39F19B0D" w14:textId="57B86C1E" w:rsidR="005960D3" w:rsidRPr="0003231B" w:rsidRDefault="00960A13" w:rsidP="00C325C6">
      <w:pPr>
        <w:pStyle w:val="Sub-headings"/>
      </w:pPr>
      <w:r w:rsidRPr="00005E87">
        <w:t>Note</w:t>
      </w:r>
      <w:r w:rsidR="00A85704">
        <w:t>:</w:t>
      </w:r>
    </w:p>
    <w:p w14:paraId="6A5EEC85" w14:textId="528B7B63" w:rsidR="00960A13" w:rsidRPr="009E1361" w:rsidRDefault="005960D3" w:rsidP="00C325C6">
      <w:pPr>
        <w:pStyle w:val="Sub-headings"/>
      </w:pPr>
      <w:r>
        <w:t>A</w:t>
      </w:r>
      <w:r w:rsidR="00960A13" w:rsidRPr="009E1361">
        <w:t xml:space="preserve"> person does not need </w:t>
      </w:r>
      <w:r w:rsidR="00CC6C6E">
        <w:t xml:space="preserve">to have </w:t>
      </w:r>
      <w:r w:rsidR="00960A13" w:rsidRPr="009E1361">
        <w:t xml:space="preserve">a </w:t>
      </w:r>
      <w:r w:rsidR="00CC6C6E">
        <w:t>formal</w:t>
      </w:r>
      <w:r w:rsidR="00857CBE">
        <w:t xml:space="preserve"> dementia </w:t>
      </w:r>
      <w:r w:rsidR="00960A13" w:rsidRPr="009E1361">
        <w:t>diagnosis to be referred to Dementia Australia for support.</w:t>
      </w:r>
    </w:p>
    <w:p w14:paraId="49FC6D97" w14:textId="77777777" w:rsidR="002F3121" w:rsidRDefault="002F3121" w:rsidP="005942E6"/>
    <w:p w14:paraId="56A4A1AD" w14:textId="77777777" w:rsidR="00960A13" w:rsidRPr="009E1361" w:rsidRDefault="00960A13" w:rsidP="00C56CEC">
      <w:pPr>
        <w:pStyle w:val="H3"/>
      </w:pPr>
      <w:r w:rsidRPr="009E1361">
        <w:t xml:space="preserve">Dementia Carer Respite and Wellbeing Program </w:t>
      </w:r>
    </w:p>
    <w:p w14:paraId="04DB5141" w14:textId="34840683" w:rsidR="00960A13" w:rsidRPr="009E1361" w:rsidRDefault="00960A13" w:rsidP="00A677C9">
      <w:pPr>
        <w:spacing w:before="240" w:after="240" w:line="240" w:lineRule="auto"/>
        <w:rPr>
          <w:lang w:eastAsia="en-US"/>
        </w:rPr>
      </w:pPr>
      <w:r w:rsidRPr="009E1361">
        <w:rPr>
          <w:lang w:eastAsia="en-US"/>
        </w:rPr>
        <w:t xml:space="preserve">The Dementia Carer Respite and Wellbeing Program (also known as the Staying at Home program) delivers models of </w:t>
      </w:r>
      <w:r w:rsidRPr="009E1361">
        <w:rPr>
          <w:rFonts w:eastAsiaTheme="minorEastAsia"/>
          <w:color w:val="000000" w:themeColor="text1"/>
        </w:rPr>
        <w:t>respite care</w:t>
      </w:r>
      <w:r w:rsidRPr="009E1361">
        <w:rPr>
          <w:lang w:eastAsia="en-US"/>
        </w:rPr>
        <w:t xml:space="preserve"> through a shared </w:t>
      </w:r>
      <w:r w:rsidRPr="009E1361">
        <w:rPr>
          <w:rFonts w:eastAsia="MS PGothic"/>
        </w:rPr>
        <w:t>respite</w:t>
      </w:r>
      <w:r w:rsidRPr="009E1361">
        <w:rPr>
          <w:lang w:eastAsia="en-US"/>
        </w:rPr>
        <w:t xml:space="preserve"> experience, attended by both the person living with dementia and their care partner. </w:t>
      </w:r>
    </w:p>
    <w:p w14:paraId="6CC8D133" w14:textId="5650821D" w:rsidR="00960A13" w:rsidRPr="009E1361" w:rsidRDefault="00960A13" w:rsidP="00A677C9">
      <w:pPr>
        <w:spacing w:before="240" w:after="240" w:line="240" w:lineRule="auto"/>
        <w:rPr>
          <w:lang w:eastAsia="en-US"/>
        </w:rPr>
      </w:pPr>
      <w:r w:rsidRPr="009E1361">
        <w:t>The program expands on existing supports to:</w:t>
      </w:r>
    </w:p>
    <w:p w14:paraId="6F0E8045" w14:textId="4E61EDD6" w:rsidR="00960A13" w:rsidRPr="009E1361" w:rsidRDefault="00960A13" w:rsidP="00DF3F6B">
      <w:pPr>
        <w:pStyle w:val="ListParagraph"/>
        <w:numPr>
          <w:ilvl w:val="0"/>
          <w:numId w:val="175"/>
        </w:numPr>
        <w:spacing w:before="240" w:after="240" w:line="240" w:lineRule="auto"/>
      </w:pPr>
      <w:r w:rsidRPr="009E1361">
        <w:t xml:space="preserve">maintain or improve quality of life for care partners and people living with dementia </w:t>
      </w:r>
    </w:p>
    <w:p w14:paraId="4D5066FD" w14:textId="2FD17D24" w:rsidR="00960A13" w:rsidRPr="009E1361" w:rsidRDefault="00960A13" w:rsidP="00DF3F6B">
      <w:pPr>
        <w:pStyle w:val="ListParagraph"/>
        <w:numPr>
          <w:ilvl w:val="0"/>
          <w:numId w:val="175"/>
        </w:numPr>
        <w:spacing w:before="240" w:after="240" w:line="240" w:lineRule="auto"/>
      </w:pPr>
      <w:r w:rsidRPr="009E1361">
        <w:t xml:space="preserve">increase </w:t>
      </w:r>
      <w:r w:rsidRPr="009E1361" w:rsidDel="00631AB1">
        <w:t>care</w:t>
      </w:r>
      <w:r w:rsidRPr="009E1361">
        <w:t xml:space="preserve"> partner knowledge, skills and capability to care for a person living with dementia at home improve the experience and quality of respite care for care partners and people living with dementia</w:t>
      </w:r>
    </w:p>
    <w:p w14:paraId="208BE0AA" w14:textId="12BAA06D" w:rsidR="00960A13" w:rsidRPr="009E1361" w:rsidRDefault="00960A13" w:rsidP="00DF3F6B">
      <w:pPr>
        <w:pStyle w:val="ListParagraph"/>
        <w:numPr>
          <w:ilvl w:val="0"/>
          <w:numId w:val="175"/>
        </w:numPr>
        <w:spacing w:before="240" w:after="240" w:line="240" w:lineRule="auto"/>
      </w:pPr>
      <w:r w:rsidRPr="009E1361">
        <w:t>support people living with dementia to stay at home for longer</w:t>
      </w:r>
    </w:p>
    <w:p w14:paraId="31368AB0" w14:textId="76BAB76B" w:rsidR="00960A13" w:rsidRPr="009E1361" w:rsidRDefault="00960A13" w:rsidP="00DF3F6B">
      <w:pPr>
        <w:pStyle w:val="ListParagraph"/>
        <w:numPr>
          <w:ilvl w:val="0"/>
          <w:numId w:val="175"/>
        </w:numPr>
        <w:spacing w:before="240" w:after="240" w:line="240" w:lineRule="auto"/>
      </w:pPr>
      <w:r w:rsidRPr="009E1361">
        <w:t xml:space="preserve">provide peer support connections for </w:t>
      </w:r>
      <w:r w:rsidRPr="009E1361" w:rsidDel="00E20020">
        <w:t>care</w:t>
      </w:r>
      <w:r w:rsidRPr="009E1361">
        <w:t xml:space="preserve"> partners and people living with dementia </w:t>
      </w:r>
    </w:p>
    <w:p w14:paraId="14734CDE" w14:textId="73515E82" w:rsidR="00960A13" w:rsidRPr="009E1361" w:rsidRDefault="00960A13" w:rsidP="00A677C9">
      <w:pPr>
        <w:spacing w:before="240" w:after="240" w:line="240" w:lineRule="auto"/>
        <w:rPr>
          <w:rFonts w:eastAsia="MS PGothic"/>
          <w:b/>
        </w:rPr>
      </w:pPr>
      <w:r w:rsidRPr="009E1361" w:rsidDel="002B10F3">
        <w:rPr>
          <w:rFonts w:eastAsiaTheme="minorEastAsia"/>
          <w:color w:val="313131"/>
        </w:rPr>
        <w:t>C</w:t>
      </w:r>
      <w:r w:rsidRPr="009E1361" w:rsidDel="0091487D">
        <w:rPr>
          <w:rFonts w:eastAsiaTheme="minorEastAsia"/>
          <w:color w:val="313131"/>
        </w:rPr>
        <w:t>are</w:t>
      </w:r>
      <w:r w:rsidRPr="009E1361">
        <w:rPr>
          <w:rFonts w:eastAsiaTheme="minorEastAsia"/>
          <w:color w:val="313131"/>
        </w:rPr>
        <w:t xml:space="preserve"> providers (supported by Dementia Support Australia) deliver the Staying at </w:t>
      </w:r>
      <w:r w:rsidRPr="009E1361">
        <w:rPr>
          <w:rFonts w:eastAsia="MS PGothic"/>
        </w:rPr>
        <w:t>Home program</w:t>
      </w:r>
      <w:r w:rsidRPr="009E1361">
        <w:rPr>
          <w:rFonts w:eastAsiaTheme="minorEastAsia"/>
          <w:color w:val="313131"/>
        </w:rPr>
        <w:t xml:space="preserve">. </w:t>
      </w:r>
      <w:r w:rsidRPr="009E1361">
        <w:rPr>
          <w:rFonts w:eastAsia="MS PGothic"/>
          <w:lang w:val="en-US"/>
        </w:rPr>
        <w:t xml:space="preserve">Informal carers can register their interest on the Dementia Support Australia website or by contacting </w:t>
      </w:r>
      <w:r w:rsidRPr="009E1361">
        <w:rPr>
          <w:rFonts w:eastAsia="MS PGothic"/>
        </w:rPr>
        <w:t xml:space="preserve">the 24-hour DSA helpline on </w:t>
      </w:r>
      <w:r w:rsidRPr="009E1361">
        <w:rPr>
          <w:rFonts w:eastAsia="MS PGothic"/>
          <w:b/>
          <w:bCs/>
        </w:rPr>
        <w:t xml:space="preserve">1800 699 799. </w:t>
      </w:r>
    </w:p>
    <w:p w14:paraId="2658ACB4" w14:textId="24D7D60F" w:rsidR="00960A13" w:rsidRPr="009E1361" w:rsidRDefault="00960A13" w:rsidP="00A677C9">
      <w:pPr>
        <w:spacing w:before="240" w:after="240" w:line="240" w:lineRule="auto"/>
        <w:rPr>
          <w:rFonts w:eastAsiaTheme="minorEastAsia"/>
          <w:color w:val="313131"/>
        </w:rPr>
      </w:pPr>
      <w:r w:rsidRPr="009E1361">
        <w:rPr>
          <w:rFonts w:eastAsia="MS PGothic"/>
        </w:rPr>
        <w:t>There</w:t>
      </w:r>
      <w:r w:rsidR="00C85766">
        <w:rPr>
          <w:rFonts w:eastAsia="MS PGothic"/>
        </w:rPr>
        <w:t xml:space="preserve"> </w:t>
      </w:r>
      <w:r w:rsidRPr="009E1361">
        <w:rPr>
          <w:rFonts w:eastAsia="MS PGothic"/>
        </w:rPr>
        <w:t xml:space="preserve">are also a </w:t>
      </w:r>
      <w:r w:rsidR="00961AC9">
        <w:rPr>
          <w:rFonts w:eastAsia="MS PGothic"/>
        </w:rPr>
        <w:t xml:space="preserve">small </w:t>
      </w:r>
      <w:r w:rsidRPr="009E1361">
        <w:rPr>
          <w:rFonts w:eastAsia="MS PGothic"/>
        </w:rPr>
        <w:t xml:space="preserve">number of dementia specific innovative respite </w:t>
      </w:r>
      <w:r w:rsidR="00DE20A1">
        <w:rPr>
          <w:rFonts w:eastAsia="MS PGothic"/>
        </w:rPr>
        <w:t xml:space="preserve">care </w:t>
      </w:r>
      <w:r w:rsidRPr="009E1361">
        <w:rPr>
          <w:rFonts w:eastAsia="MS PGothic"/>
        </w:rPr>
        <w:t xml:space="preserve">programs being trialled across Australia. </w:t>
      </w:r>
    </w:p>
    <w:p w14:paraId="32E636E1" w14:textId="77777777" w:rsidR="00960A13" w:rsidRPr="00610D7E" w:rsidRDefault="00960A13" w:rsidP="00C56CEC">
      <w:pPr>
        <w:pStyle w:val="H3"/>
      </w:pPr>
      <w:r w:rsidRPr="00610D7E">
        <w:t>Dementia behaviour supports</w:t>
      </w:r>
    </w:p>
    <w:p w14:paraId="078F99DB" w14:textId="506AB34E" w:rsidR="00FF355F" w:rsidRPr="00AA2D02" w:rsidRDefault="00625243" w:rsidP="00A677C9">
      <w:pPr>
        <w:spacing w:before="240" w:after="240" w:line="240" w:lineRule="auto"/>
        <w:rPr>
          <w:rFonts w:eastAsia="MS PGothic"/>
        </w:rPr>
      </w:pPr>
      <w:r w:rsidRPr="00AA2D02">
        <w:rPr>
          <w:rFonts w:eastAsia="MS PGothic"/>
        </w:rPr>
        <w:t xml:space="preserve">The </w:t>
      </w:r>
      <w:r w:rsidR="00D67771">
        <w:rPr>
          <w:rFonts w:eastAsia="MS PGothic"/>
        </w:rPr>
        <w:t xml:space="preserve">Australian Government funds </w:t>
      </w:r>
      <w:r w:rsidR="00860166">
        <w:rPr>
          <w:rFonts w:eastAsia="MS PGothic"/>
        </w:rPr>
        <w:t>national dementia behaviour support programs</w:t>
      </w:r>
      <w:r w:rsidR="00F03335">
        <w:rPr>
          <w:rFonts w:eastAsia="MS PGothic"/>
        </w:rPr>
        <w:t xml:space="preserve"> through </w:t>
      </w:r>
      <w:hyperlink r:id="rId190" w:history="1">
        <w:r w:rsidR="00F87F67" w:rsidRPr="000D4D30">
          <w:rPr>
            <w:rStyle w:val="Hyperlink"/>
            <w:rFonts w:eastAsia="MS PGothic"/>
          </w:rPr>
          <w:t>Dementia</w:t>
        </w:r>
        <w:bookmarkStart w:id="550" w:name="_Hlt219896362"/>
        <w:r w:rsidR="00F87F67" w:rsidRPr="000D4D30">
          <w:rPr>
            <w:rStyle w:val="Hyperlink"/>
            <w:rFonts w:eastAsia="MS PGothic"/>
          </w:rPr>
          <w:t xml:space="preserve"> </w:t>
        </w:r>
        <w:bookmarkEnd w:id="550"/>
        <w:r w:rsidR="00F87F67" w:rsidRPr="000D4D30">
          <w:rPr>
            <w:rStyle w:val="Hyperlink"/>
            <w:rFonts w:eastAsia="MS PGothic"/>
          </w:rPr>
          <w:t>Support Australia</w:t>
        </w:r>
      </w:hyperlink>
      <w:r w:rsidR="00F87F67">
        <w:rPr>
          <w:rFonts w:eastAsia="MS PGothic"/>
        </w:rPr>
        <w:t xml:space="preserve"> (DSA) </w:t>
      </w:r>
      <w:r w:rsidR="00BF6FFC">
        <w:rPr>
          <w:rFonts w:eastAsia="MS PGothic"/>
        </w:rPr>
        <w:t>to support carers and service providers,</w:t>
      </w:r>
      <w:r w:rsidR="00191404">
        <w:rPr>
          <w:rFonts w:eastAsia="MS PGothic"/>
        </w:rPr>
        <w:t xml:space="preserve"> </w:t>
      </w:r>
      <w:r w:rsidR="004E6A84">
        <w:rPr>
          <w:rFonts w:eastAsia="MS PGothic"/>
        </w:rPr>
        <w:t>which</w:t>
      </w:r>
      <w:r w:rsidR="00191404">
        <w:rPr>
          <w:rFonts w:eastAsia="MS PGothic"/>
        </w:rPr>
        <w:t xml:space="preserve"> can be acc</w:t>
      </w:r>
      <w:r w:rsidR="00886BA7">
        <w:rPr>
          <w:rFonts w:eastAsia="MS PGothic"/>
        </w:rPr>
        <w:t xml:space="preserve">essed </w:t>
      </w:r>
      <w:r w:rsidR="00151505">
        <w:rPr>
          <w:rFonts w:eastAsia="MS PGothic"/>
        </w:rPr>
        <w:t xml:space="preserve">by </w:t>
      </w:r>
      <w:r w:rsidR="00151505" w:rsidRPr="009E1361">
        <w:rPr>
          <w:rFonts w:eastAsia="MS PGothic"/>
        </w:rPr>
        <w:t>contact</w:t>
      </w:r>
      <w:r w:rsidR="00151505">
        <w:rPr>
          <w:rFonts w:eastAsia="MS PGothic"/>
        </w:rPr>
        <w:t>ing</w:t>
      </w:r>
      <w:r w:rsidR="00151505" w:rsidRPr="009E1361">
        <w:rPr>
          <w:rFonts w:eastAsia="MS PGothic"/>
        </w:rPr>
        <w:t xml:space="preserve"> the 24-hour DSA helpline on </w:t>
      </w:r>
      <w:r w:rsidR="00151505" w:rsidRPr="009E1361">
        <w:rPr>
          <w:rFonts w:eastAsia="MS PGothic"/>
          <w:b/>
          <w:bCs/>
        </w:rPr>
        <w:t>1800 699 799</w:t>
      </w:r>
      <w:r w:rsidR="00151505" w:rsidRPr="009E1361">
        <w:rPr>
          <w:rFonts w:eastAsia="MS PGothic"/>
        </w:rPr>
        <w:t>.</w:t>
      </w:r>
    </w:p>
    <w:p w14:paraId="44D42623" w14:textId="09E289F9" w:rsidR="00960A13" w:rsidRPr="009E1361" w:rsidRDefault="00960A13" w:rsidP="00A677C9">
      <w:pPr>
        <w:spacing w:before="240" w:after="240" w:line="240" w:lineRule="auto"/>
        <w:rPr>
          <w:rFonts w:eastAsia="MS PGothic"/>
        </w:rPr>
      </w:pPr>
      <w:r w:rsidRPr="009E1361">
        <w:rPr>
          <w:rFonts w:eastAsia="MS PGothic"/>
          <w:b/>
          <w:bCs/>
        </w:rPr>
        <w:t>Dementia Behaviour Management Advisory Service (DBMAS)</w:t>
      </w:r>
      <w:r w:rsidRPr="009E1361">
        <w:rPr>
          <w:rFonts w:eastAsia="MS PGothic"/>
        </w:rPr>
        <w:t>, delivered by DSA,</w:t>
      </w:r>
      <w:r w:rsidRPr="009E1361" w:rsidDel="00DB0E38">
        <w:rPr>
          <w:rFonts w:eastAsia="MS PGothic"/>
        </w:rPr>
        <w:t xml:space="preserve"> </w:t>
      </w:r>
      <w:r w:rsidRPr="009E1361">
        <w:rPr>
          <w:rFonts w:eastAsia="MS PGothic"/>
        </w:rPr>
        <w:t xml:space="preserve">provides free </w:t>
      </w:r>
      <w:r w:rsidR="00A9538F">
        <w:rPr>
          <w:rFonts w:eastAsia="MS PGothic"/>
        </w:rPr>
        <w:t>personalised</w:t>
      </w:r>
      <w:r w:rsidRPr="009E1361">
        <w:rPr>
          <w:rFonts w:eastAsia="MS PGothic"/>
        </w:rPr>
        <w:t xml:space="preserve"> support and advice to service providers and individuals caring for people with dementia in any location or setting in Australia. It provides support when the behavioural and psychological symptoms of dementia (BPSD) start to impact a person's quality of care. </w:t>
      </w:r>
    </w:p>
    <w:p w14:paraId="19C7E2BC" w14:textId="5242275A" w:rsidR="00960A13" w:rsidRPr="009E1361" w:rsidRDefault="00960A13" w:rsidP="00A677C9">
      <w:pPr>
        <w:spacing w:before="240" w:after="240" w:line="240" w:lineRule="auto"/>
        <w:rPr>
          <w:rFonts w:eastAsia="MS PGothic"/>
        </w:rPr>
      </w:pPr>
      <w:r w:rsidRPr="009E1361">
        <w:rPr>
          <w:rFonts w:eastAsia="MS PGothic"/>
          <w:b/>
          <w:bCs/>
        </w:rPr>
        <w:t>Severe Behaviour Response Teams (SBRT)</w:t>
      </w:r>
      <w:r w:rsidRPr="009E1361">
        <w:rPr>
          <w:rFonts w:eastAsia="MS PGothic"/>
        </w:rPr>
        <w:t>, also delivered by DSA,</w:t>
      </w:r>
      <w:r w:rsidRPr="009E1361">
        <w:rPr>
          <w:rFonts w:eastAsia="MS PGothic"/>
          <w:b/>
          <w:bCs/>
        </w:rPr>
        <w:t xml:space="preserve"> </w:t>
      </w:r>
      <w:r w:rsidRPr="009E1361">
        <w:rPr>
          <w:rFonts w:eastAsia="Arial"/>
        </w:rPr>
        <w:t xml:space="preserve">is a mobile service that responds onsite within 48 hours. It offers free support and advice </w:t>
      </w:r>
      <w:r w:rsidR="008C5E1B">
        <w:rPr>
          <w:rFonts w:eastAsia="Arial"/>
        </w:rPr>
        <w:t>to approved aged care providers</w:t>
      </w:r>
      <w:r w:rsidRPr="009E1361">
        <w:rPr>
          <w:rFonts w:eastAsia="Arial"/>
        </w:rPr>
        <w:t xml:space="preserve"> where there is heightened </w:t>
      </w:r>
      <w:r w:rsidR="005C1BB2">
        <w:rPr>
          <w:rFonts w:eastAsia="Arial"/>
        </w:rPr>
        <w:t>severity of BPSD or</w:t>
      </w:r>
      <w:r w:rsidRPr="009E1361">
        <w:rPr>
          <w:rFonts w:eastAsia="Arial"/>
        </w:rPr>
        <w:t xml:space="preserve"> risk to the person living with dementia, or their care network. SBRT will partner with the person living with dementia and their care network to understand the causes that led to changes in behaviour</w:t>
      </w:r>
      <w:r w:rsidR="00971633">
        <w:rPr>
          <w:rFonts w:eastAsia="Arial"/>
        </w:rPr>
        <w:t xml:space="preserve"> and support their needs</w:t>
      </w:r>
      <w:r w:rsidRPr="009E1361">
        <w:rPr>
          <w:rFonts w:eastAsia="Arial"/>
        </w:rPr>
        <w:t xml:space="preserve">. </w:t>
      </w:r>
    </w:p>
    <w:p w14:paraId="27356451" w14:textId="104FBAFD" w:rsidR="00587E82" w:rsidRPr="009E1361" w:rsidRDefault="00587E82" w:rsidP="00587E82">
      <w:pPr>
        <w:spacing w:before="240" w:after="240" w:line="240" w:lineRule="auto"/>
      </w:pPr>
      <w:r w:rsidRPr="009E1361">
        <w:t xml:space="preserve">The </w:t>
      </w:r>
      <w:r w:rsidRPr="009E1361">
        <w:rPr>
          <w:b/>
          <w:bCs/>
        </w:rPr>
        <w:t>Specialist Dementia Care Program (SDCP)</w:t>
      </w:r>
      <w:r w:rsidRPr="009E1361">
        <w:t xml:space="preserve"> supports people with very severe BPSD whose support needs cannot be met in a residential aged care </w:t>
      </w:r>
      <w:r w:rsidR="00F521C1">
        <w:t>home</w:t>
      </w:r>
      <w:r w:rsidRPr="009E1361">
        <w:t xml:space="preserve">. Care is provided in </w:t>
      </w:r>
      <w:r w:rsidR="00162589">
        <w:t xml:space="preserve">a </w:t>
      </w:r>
      <w:r w:rsidRPr="009E1361">
        <w:t xml:space="preserve">small </w:t>
      </w:r>
      <w:r w:rsidR="00162589">
        <w:t>unit</w:t>
      </w:r>
      <w:r w:rsidRPr="009E1361">
        <w:t xml:space="preserve"> in a cottage-like dementia friendly environment</w:t>
      </w:r>
      <w:r w:rsidRPr="00610D7E">
        <w:rPr>
          <w:rFonts w:cstheme="minorBidi"/>
          <w:lang w:eastAsia="en-US"/>
        </w:rPr>
        <w:t xml:space="preserve">. </w:t>
      </w:r>
      <w:r w:rsidRPr="009E1361">
        <w:t xml:space="preserve">The program enables specialised care in circumstances where the person has very severe </w:t>
      </w:r>
      <w:r w:rsidR="003C1DF3">
        <w:t>BPSD</w:t>
      </w:r>
      <w:r w:rsidRPr="009E1361">
        <w:t xml:space="preserve"> complicated by physical aggression or other behaviours that the person’s residential </w:t>
      </w:r>
      <w:r w:rsidR="003A22CC">
        <w:t xml:space="preserve">aged </w:t>
      </w:r>
      <w:r w:rsidRPr="009E1361">
        <w:t xml:space="preserve">care </w:t>
      </w:r>
      <w:r w:rsidR="00523B7D">
        <w:t>home</w:t>
      </w:r>
      <w:r w:rsidRPr="009E1361">
        <w:t xml:space="preserve"> or carer partners cannot manage, even with help from other services.</w:t>
      </w:r>
    </w:p>
    <w:p w14:paraId="465647D3" w14:textId="72E2D894" w:rsidR="00587E82" w:rsidRPr="00610D7E" w:rsidRDefault="00587E82" w:rsidP="00587E82">
      <w:pPr>
        <w:spacing w:before="240" w:after="240" w:line="240" w:lineRule="auto"/>
        <w:rPr>
          <w:rFonts w:cstheme="minorBidi"/>
          <w:lang w:eastAsia="en-US"/>
        </w:rPr>
      </w:pPr>
      <w:r w:rsidRPr="00610D7E">
        <w:rPr>
          <w:rFonts w:cstheme="minorBidi"/>
          <w:lang w:eastAsia="en-US"/>
        </w:rPr>
        <w:t xml:space="preserve">The program provides transitional care aimed at stabilising behaviours over approximately a 12 month period to </w:t>
      </w:r>
      <w:r w:rsidR="00742FDD">
        <w:rPr>
          <w:rFonts w:cstheme="minorBidi"/>
          <w:lang w:eastAsia="en-US"/>
        </w:rPr>
        <w:t xml:space="preserve">enable the resident </w:t>
      </w:r>
      <w:r w:rsidR="00072EF0">
        <w:rPr>
          <w:rFonts w:cstheme="minorBidi"/>
          <w:lang w:eastAsia="en-US"/>
        </w:rPr>
        <w:t xml:space="preserve">to transition </w:t>
      </w:r>
      <w:r w:rsidRPr="00610D7E">
        <w:rPr>
          <w:rFonts w:cstheme="minorBidi"/>
          <w:lang w:eastAsia="en-US"/>
        </w:rPr>
        <w:t xml:space="preserve">to </w:t>
      </w:r>
      <w:r>
        <w:rPr>
          <w:rFonts w:cstheme="minorBidi"/>
          <w:lang w:eastAsia="en-US"/>
        </w:rPr>
        <w:t>a</w:t>
      </w:r>
      <w:r w:rsidRPr="00610D7E">
        <w:rPr>
          <w:rFonts w:cstheme="minorBidi"/>
          <w:lang w:eastAsia="en-US"/>
        </w:rPr>
        <w:t xml:space="preserve"> </w:t>
      </w:r>
      <w:r w:rsidRPr="00A65AC6">
        <w:rPr>
          <w:rFonts w:cstheme="minorBidi"/>
          <w:lang w:eastAsia="en-US"/>
        </w:rPr>
        <w:t>less intensive care setting when they no longer need SDCP care</w:t>
      </w:r>
      <w:r>
        <w:rPr>
          <w:rFonts w:cstheme="minorBidi"/>
          <w:lang w:eastAsia="en-US"/>
        </w:rPr>
        <w:t>.</w:t>
      </w:r>
    </w:p>
    <w:p w14:paraId="1562AC8A" w14:textId="57F08751" w:rsidR="00587E82" w:rsidRPr="009E1361" w:rsidRDefault="00587E82" w:rsidP="00587E82">
      <w:pPr>
        <w:spacing w:before="240" w:after="240" w:line="240" w:lineRule="auto"/>
        <w:rPr>
          <w:rFonts w:eastAsia="MS PGothic"/>
        </w:rPr>
      </w:pPr>
      <w:r w:rsidRPr="009E1361">
        <w:t xml:space="preserve">Referral and eligibility for the program is undertaken by Dementia Support Australia (DSA) through the Needs Based Assessment </w:t>
      </w:r>
      <w:r w:rsidR="00743020">
        <w:t>service.</w:t>
      </w:r>
    </w:p>
    <w:p w14:paraId="24520DDB" w14:textId="08EEFB2C" w:rsidR="00960A13" w:rsidRPr="009E1361" w:rsidRDefault="00960A13" w:rsidP="00A677C9">
      <w:pPr>
        <w:spacing w:before="240" w:after="240" w:line="240" w:lineRule="auto"/>
        <w:rPr>
          <w:rFonts w:eastAsia="Arial"/>
        </w:rPr>
      </w:pPr>
      <w:r w:rsidRPr="009E1361">
        <w:rPr>
          <w:rFonts w:eastAsia="Arial"/>
        </w:rPr>
        <w:t xml:space="preserve">The </w:t>
      </w:r>
      <w:r w:rsidRPr="009E1361">
        <w:rPr>
          <w:rFonts w:eastAsia="Arial"/>
          <w:b/>
          <w:bCs/>
        </w:rPr>
        <w:t>Hospital to Aged Care Dementia Support Program</w:t>
      </w:r>
      <w:r w:rsidRPr="009E1361">
        <w:rPr>
          <w:rFonts w:eastAsia="Arial"/>
        </w:rPr>
        <w:t xml:space="preserve"> helps older people living with dementia transition from hospital into residential aged care or home with aged care support. The program supports hospital and aged care staff, the older person and their family or carers: </w:t>
      </w:r>
    </w:p>
    <w:p w14:paraId="7AEA4FF0" w14:textId="77777777" w:rsidR="00960A13" w:rsidRPr="009E1361" w:rsidRDefault="00960A13" w:rsidP="00DF3F6B">
      <w:pPr>
        <w:numPr>
          <w:ilvl w:val="0"/>
          <w:numId w:val="174"/>
        </w:numPr>
        <w:spacing w:before="240" w:after="240" w:line="240" w:lineRule="auto"/>
        <w:rPr>
          <w:rFonts w:eastAsia="Arial"/>
        </w:rPr>
      </w:pPr>
      <w:r w:rsidRPr="009E1361">
        <w:rPr>
          <w:rFonts w:eastAsia="Arial"/>
        </w:rPr>
        <w:t>during their hospital stay </w:t>
      </w:r>
    </w:p>
    <w:p w14:paraId="0A09B209" w14:textId="77777777" w:rsidR="00960A13" w:rsidRPr="009E1361" w:rsidRDefault="00960A13" w:rsidP="00DF3F6B">
      <w:pPr>
        <w:numPr>
          <w:ilvl w:val="0"/>
          <w:numId w:val="174"/>
        </w:numPr>
        <w:spacing w:before="240" w:after="240" w:line="240" w:lineRule="auto"/>
        <w:rPr>
          <w:rFonts w:eastAsia="Arial"/>
        </w:rPr>
      </w:pPr>
      <w:r w:rsidRPr="009E1361">
        <w:rPr>
          <w:rFonts w:eastAsia="Arial"/>
        </w:rPr>
        <w:t>when transitioning out of hospital </w:t>
      </w:r>
    </w:p>
    <w:p w14:paraId="30FFC2E3" w14:textId="77777777" w:rsidR="00960A13" w:rsidRPr="009E1361" w:rsidRDefault="00960A13" w:rsidP="00DF3F6B">
      <w:pPr>
        <w:numPr>
          <w:ilvl w:val="0"/>
          <w:numId w:val="174"/>
        </w:numPr>
        <w:spacing w:before="240" w:after="240" w:line="240" w:lineRule="auto"/>
        <w:rPr>
          <w:rFonts w:eastAsia="Arial"/>
        </w:rPr>
      </w:pPr>
      <w:r w:rsidRPr="009E1361">
        <w:rPr>
          <w:rFonts w:eastAsia="Arial"/>
        </w:rPr>
        <w:t>following hospital discharge into an aged care supported environment for up to 3 months</w:t>
      </w:r>
    </w:p>
    <w:p w14:paraId="5EE43A1B" w14:textId="77777777" w:rsidR="00960A13" w:rsidRPr="009E1361" w:rsidRDefault="00960A13" w:rsidP="00A677C9">
      <w:pPr>
        <w:spacing w:before="240" w:after="240" w:line="240" w:lineRule="auto"/>
        <w:rPr>
          <w:rFonts w:eastAsia="Arial"/>
        </w:rPr>
      </w:pPr>
      <w:r w:rsidRPr="009E1361">
        <w:rPr>
          <w:rFonts w:eastAsia="Arial"/>
        </w:rPr>
        <w:t xml:space="preserve">DSA are delivering the program in 11 locations with a presence in all states and territories and referrals are accepted from hospital staff in participating hospital sites. </w:t>
      </w:r>
    </w:p>
    <w:p w14:paraId="74960E20" w14:textId="77777777" w:rsidR="00960A13" w:rsidRPr="009E1361" w:rsidRDefault="00960A13" w:rsidP="00A677C9">
      <w:pPr>
        <w:spacing w:before="240" w:after="240" w:line="240" w:lineRule="auto"/>
        <w:rPr>
          <w:rFonts w:eastAsia="Arial"/>
        </w:rPr>
      </w:pPr>
      <w:r w:rsidRPr="009E1361">
        <w:rPr>
          <w:rFonts w:eastAsia="Arial"/>
        </w:rPr>
        <w:t xml:space="preserve">A HACDSP program framework has been developed and provides high level program overview, scope, and administrative arrangements and is available by emailing </w:t>
      </w:r>
      <w:hyperlink r:id="rId191">
        <w:r w:rsidRPr="009E1361">
          <w:rPr>
            <w:rStyle w:val="Hyperlink"/>
            <w:rFonts w:eastAsia="Arial"/>
          </w:rPr>
          <w:t>HACDSP@health.gov.au</w:t>
        </w:r>
      </w:hyperlink>
      <w:r w:rsidRPr="009E1361">
        <w:rPr>
          <w:rFonts w:eastAsia="Arial"/>
        </w:rPr>
        <w:t xml:space="preserve"> </w:t>
      </w:r>
    </w:p>
    <w:p w14:paraId="3BA8C62E" w14:textId="3506076B" w:rsidR="00960A13" w:rsidRPr="009E1361" w:rsidRDefault="00960A13" w:rsidP="00A677C9">
      <w:pPr>
        <w:spacing w:before="240" w:after="240" w:line="240" w:lineRule="auto"/>
        <w:rPr>
          <w:rFonts w:eastAsia="Arial"/>
        </w:rPr>
      </w:pPr>
      <w:r w:rsidRPr="009E1361">
        <w:rPr>
          <w:rFonts w:eastAsia="Arial"/>
        </w:rPr>
        <w:t>Information about the program</w:t>
      </w:r>
      <w:r w:rsidR="00661B15">
        <w:rPr>
          <w:rFonts w:eastAsia="Arial"/>
        </w:rPr>
        <w:t xml:space="preserve">, </w:t>
      </w:r>
      <w:r w:rsidRPr="009E1361">
        <w:rPr>
          <w:rFonts w:eastAsia="Arial"/>
        </w:rPr>
        <w:t xml:space="preserve">eligibility </w:t>
      </w:r>
      <w:r w:rsidR="00661B15">
        <w:rPr>
          <w:rFonts w:eastAsia="Arial"/>
        </w:rPr>
        <w:t xml:space="preserve">and </w:t>
      </w:r>
      <w:r w:rsidR="001F3E66">
        <w:rPr>
          <w:rFonts w:eastAsia="Arial"/>
        </w:rPr>
        <w:t xml:space="preserve">how to refer </w:t>
      </w:r>
      <w:r w:rsidRPr="009E1361">
        <w:rPr>
          <w:rFonts w:eastAsia="Arial"/>
        </w:rPr>
        <w:t xml:space="preserve">can be found on DSA’s website </w:t>
      </w:r>
      <w:hyperlink r:id="rId192">
        <w:r w:rsidRPr="009E1361">
          <w:rPr>
            <w:rStyle w:val="Hyperlink"/>
            <w:rFonts w:eastAsia="Arial"/>
          </w:rPr>
          <w:t>Hospital to Aged Care</w:t>
        </w:r>
        <w:bookmarkStart w:id="551" w:name="_Hlt220059786"/>
        <w:r w:rsidRPr="009E1361">
          <w:rPr>
            <w:rStyle w:val="Hyperlink"/>
            <w:rFonts w:eastAsia="Arial"/>
          </w:rPr>
          <w:t xml:space="preserve"> </w:t>
        </w:r>
        <w:bookmarkEnd w:id="551"/>
        <w:r w:rsidRPr="009E1361">
          <w:rPr>
            <w:rStyle w:val="Hyperlink"/>
            <w:rFonts w:eastAsia="Arial"/>
          </w:rPr>
          <w:t xml:space="preserve">Dementia Support Program (HACDSP)  </w:t>
        </w:r>
      </w:hyperlink>
    </w:p>
    <w:p w14:paraId="227FF489" w14:textId="16FE5811" w:rsidR="00960A13" w:rsidRPr="009E1361" w:rsidRDefault="00960A13" w:rsidP="00A677C9">
      <w:pPr>
        <w:spacing w:before="240" w:after="240" w:line="240" w:lineRule="auto"/>
        <w:rPr>
          <w:rFonts w:eastAsia="MS PGothic"/>
        </w:rPr>
      </w:pPr>
      <w:r w:rsidRPr="009E1361">
        <w:t xml:space="preserve">. </w:t>
      </w:r>
    </w:p>
    <w:tbl>
      <w:tblPr>
        <w:tblStyle w:val="TableGrid"/>
        <w:tblW w:w="0" w:type="auto"/>
        <w:tblLook w:val="04A0" w:firstRow="1" w:lastRow="0" w:firstColumn="1" w:lastColumn="0" w:noHBand="0" w:noVBand="1"/>
      </w:tblPr>
      <w:tblGrid>
        <w:gridCol w:w="846"/>
        <w:gridCol w:w="8170"/>
      </w:tblGrid>
      <w:tr w:rsidR="00960A13" w:rsidRPr="009E1361" w14:paraId="09F92EEF" w14:textId="77777777">
        <w:tc>
          <w:tcPr>
            <w:tcW w:w="846" w:type="dxa"/>
          </w:tcPr>
          <w:p w14:paraId="21D4E2C5"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1DEEEDAE" wp14:editId="7220E694">
                  <wp:extent cx="383111" cy="381000"/>
                  <wp:effectExtent l="0" t="0" r="0" b="0"/>
                  <wp:docPr id="1130245942" name="Picture 113024594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7F0C5F7A" w14:textId="77777777" w:rsidR="00960A13" w:rsidRPr="009E1361" w:rsidRDefault="00960A13" w:rsidP="00A677C9">
            <w:pPr>
              <w:spacing w:before="240" w:after="240"/>
            </w:pPr>
            <w:hyperlink r:id="rId193">
              <w:r w:rsidRPr="009E1361">
                <w:rPr>
                  <w:rStyle w:val="Hyperlink"/>
                  <w:u w:val="none"/>
                </w:rPr>
                <w:t>Dementia Support Australia</w:t>
              </w:r>
            </w:hyperlink>
          </w:p>
          <w:p w14:paraId="411E712B" w14:textId="77777777" w:rsidR="00F70E42" w:rsidRPr="009E1361" w:rsidRDefault="00F70E42" w:rsidP="00A677C9">
            <w:pPr>
              <w:spacing w:before="240" w:after="240"/>
            </w:pPr>
            <w:hyperlink r:id="rId194">
              <w:r w:rsidRPr="009E1361">
                <w:rPr>
                  <w:rStyle w:val="Hyperlink"/>
                  <w:u w:val="none"/>
                </w:rPr>
                <w:t>Staying at Home</w:t>
              </w:r>
            </w:hyperlink>
            <w:r w:rsidRPr="009E1361">
              <w:t xml:space="preserve"> </w:t>
            </w:r>
          </w:p>
          <w:p w14:paraId="667476E1" w14:textId="12881B65" w:rsidR="00CD604F" w:rsidRPr="009A1B8F" w:rsidRDefault="00CD604F" w:rsidP="00A677C9">
            <w:pPr>
              <w:spacing w:before="240" w:after="240"/>
              <w:rPr>
                <w:lang w:val="en-AU"/>
              </w:rPr>
            </w:pPr>
            <w:hyperlink r:id="rId195" w:history="1">
              <w:r w:rsidRPr="00957357">
                <w:rPr>
                  <w:rStyle w:val="Hyperlink"/>
                  <w:lang w:val="en-AU"/>
                </w:rPr>
                <w:t>Assessing for Eligibility for the Specialist Dementia Care Program (SDCP)</w:t>
              </w:r>
            </w:hyperlink>
          </w:p>
          <w:p w14:paraId="0BD8747A" w14:textId="77777777" w:rsidR="00960A13" w:rsidRPr="009E1361" w:rsidRDefault="00960A13" w:rsidP="00A677C9">
            <w:pPr>
              <w:spacing w:before="240" w:after="240"/>
            </w:pPr>
            <w:hyperlink r:id="rId196">
              <w:r w:rsidRPr="009E1361">
                <w:rPr>
                  <w:rStyle w:val="Hyperlink"/>
                  <w:u w:val="none"/>
                </w:rPr>
                <w:t>Specialist Dementia Care Program information booklet</w:t>
              </w:r>
            </w:hyperlink>
          </w:p>
        </w:tc>
      </w:tr>
    </w:tbl>
    <w:p w14:paraId="4FABADF6" w14:textId="77777777" w:rsidR="00960A13" w:rsidRPr="009E1361" w:rsidRDefault="00960A13" w:rsidP="00C56CEC">
      <w:pPr>
        <w:pStyle w:val="H3"/>
      </w:pPr>
      <w:bookmarkStart w:id="552" w:name="_Ref128155973"/>
      <w:bookmarkStart w:id="553" w:name="_Toc159226954"/>
      <w:bookmarkStart w:id="554" w:name="_Toc184402371"/>
      <w:r w:rsidRPr="009E1361">
        <w:t>Department of Veterans’ Affairs (DVA)</w:t>
      </w:r>
      <w:bookmarkEnd w:id="548"/>
      <w:bookmarkEnd w:id="552"/>
      <w:bookmarkEnd w:id="553"/>
      <w:bookmarkEnd w:id="554"/>
    </w:p>
    <w:p w14:paraId="083D838C" w14:textId="2B24D07D" w:rsidR="00960A13" w:rsidRPr="007A7062" w:rsidRDefault="00960A13" w:rsidP="00A677C9">
      <w:pPr>
        <w:spacing w:before="240" w:after="240" w:line="240" w:lineRule="auto"/>
        <w:rPr>
          <w:rFonts w:eastAsia="Calibri" w:cs="Calibri"/>
          <w:color w:val="000000" w:themeColor="text1"/>
        </w:rPr>
      </w:pPr>
      <w:r w:rsidRPr="009E1361">
        <w:t>Veterans have</w:t>
      </w:r>
      <w:r w:rsidRPr="007A7062">
        <w:rPr>
          <w:rFonts w:eastAsia="Calibri" w:cs="Calibri"/>
          <w:color w:val="000000" w:themeColor="text1"/>
        </w:rPr>
        <w:t xml:space="preserve"> the same right of access to community and aged care programs as any other member of the community. The </w:t>
      </w:r>
      <w:r w:rsidR="001B5700" w:rsidRPr="00BA731A">
        <w:rPr>
          <w:rFonts w:eastAsia="Calibri" w:cs="Calibri"/>
          <w:i/>
          <w:color w:val="000000" w:themeColor="text1"/>
        </w:rPr>
        <w:t xml:space="preserve">Aged Care </w:t>
      </w:r>
      <w:r w:rsidRPr="00BA731A">
        <w:rPr>
          <w:rFonts w:eastAsia="Calibri" w:cs="Calibri"/>
          <w:i/>
          <w:color w:val="000000" w:themeColor="text1"/>
        </w:rPr>
        <w:t>Act</w:t>
      </w:r>
      <w:r w:rsidR="001B5700" w:rsidRPr="00BA731A">
        <w:rPr>
          <w:rFonts w:eastAsia="Calibri" w:cs="Calibri"/>
          <w:i/>
          <w:color w:val="000000" w:themeColor="text1"/>
        </w:rPr>
        <w:t xml:space="preserve"> 2024</w:t>
      </w:r>
      <w:r w:rsidRPr="007A7062">
        <w:rPr>
          <w:rFonts w:eastAsia="Calibri" w:cs="Calibri"/>
          <w:i/>
          <w:color w:val="000000" w:themeColor="text1"/>
        </w:rPr>
        <w:t xml:space="preserve"> </w:t>
      </w:r>
      <w:r w:rsidRPr="007A7062">
        <w:rPr>
          <w:rFonts w:eastAsia="Calibri" w:cs="Calibri"/>
          <w:color w:val="000000" w:themeColor="text1"/>
        </w:rPr>
        <w:t>lists veterans under the Statement of Principles (section 25). Veterans should not be discriminated against or refused care when accessing services from other community and aged care programs on an assumption that DVA will provide for all their care needs. DVA provides some entry-level care services but does not provide higher-level care services.</w:t>
      </w:r>
    </w:p>
    <w:p w14:paraId="3AEC48C8" w14:textId="77777777" w:rsidR="00960A13" w:rsidRPr="009E1361" w:rsidRDefault="00960A13" w:rsidP="00BA731A">
      <w:pPr>
        <w:pStyle w:val="H4"/>
      </w:pPr>
      <w:r w:rsidRPr="009E1361">
        <w:t xml:space="preserve">Veterans’ Home </w:t>
      </w:r>
      <w:r w:rsidRPr="00D17B52">
        <w:t>Care</w:t>
      </w:r>
      <w:r w:rsidRPr="009E1361">
        <w:t xml:space="preserve"> (VHC) Program</w:t>
      </w:r>
    </w:p>
    <w:p w14:paraId="15B0FFF8" w14:textId="77777777" w:rsidR="00960A13" w:rsidRPr="009E1361" w:rsidRDefault="00960A13" w:rsidP="00A677C9">
      <w:pPr>
        <w:spacing w:before="240" w:after="240" w:line="240" w:lineRule="auto"/>
      </w:pPr>
      <w:r w:rsidRPr="009E1361">
        <w:t xml:space="preserve">Veterans' Home Care (VHC) is a DVA program designed to assist veterans and war widows/widowers who need a small amount of practical help to continue living independently in their own home. Services include domestic assistance, personal care, respite care, and safety-related home and garden maintenance. VHC is not designed to meet complex or high-level care needs. </w:t>
      </w:r>
    </w:p>
    <w:p w14:paraId="4258825E" w14:textId="6115DA2E" w:rsidR="00960A13" w:rsidRPr="009E1361" w:rsidRDefault="00960A13" w:rsidP="00BA731A">
      <w:pPr>
        <w:pStyle w:val="H4"/>
      </w:pPr>
      <w:r w:rsidRPr="009E1361">
        <w:t xml:space="preserve">Community </w:t>
      </w:r>
      <w:r w:rsidR="00AA495B">
        <w:t>n</w:t>
      </w:r>
      <w:r w:rsidRPr="009E1361">
        <w:t>ursing (CN)</w:t>
      </w:r>
    </w:p>
    <w:p w14:paraId="588E2F9B" w14:textId="77777777" w:rsidR="00960A13" w:rsidRPr="009E1361" w:rsidRDefault="00960A13" w:rsidP="00A677C9">
      <w:pPr>
        <w:spacing w:before="240" w:after="240" w:line="240" w:lineRule="auto"/>
      </w:pPr>
      <w:r w:rsidRPr="009E1361">
        <w:t>CN provides clinical nursing and/or personal care services to eligible members of the veteran community in their own home. CN services can assist with medication, wound care, hygiene and dressing. CN services can help to restore or maintain health and independence at home and assist to avoid early admittance to hospital or residential care. Veterans requiring high-level care require prior approval by DVA.</w:t>
      </w:r>
    </w:p>
    <w:p w14:paraId="61C536E1" w14:textId="77777777" w:rsidR="00960A13" w:rsidRPr="009E1361" w:rsidRDefault="00960A13" w:rsidP="00A677C9">
      <w:pPr>
        <w:spacing w:before="240" w:after="240" w:line="240" w:lineRule="auto"/>
      </w:pPr>
      <w:r w:rsidRPr="009E1361">
        <w:t xml:space="preserve">CN services are provided by a mix of personnel including registered and enrolled nurses and nursing support staff, who work within the framework of their relevant national standards. </w:t>
      </w:r>
    </w:p>
    <w:p w14:paraId="65D75351" w14:textId="77777777" w:rsidR="00960A13" w:rsidRPr="009E1361" w:rsidRDefault="00960A13" w:rsidP="00BA731A">
      <w:pPr>
        <w:pStyle w:val="H4"/>
      </w:pPr>
      <w:r w:rsidRPr="009E1361">
        <w:t>Duplication of services</w:t>
      </w:r>
    </w:p>
    <w:p w14:paraId="10A434C1" w14:textId="77777777" w:rsidR="00960A13" w:rsidRPr="009E1361" w:rsidRDefault="00960A13" w:rsidP="00A677C9">
      <w:pPr>
        <w:spacing w:before="240" w:after="240" w:line="240" w:lineRule="auto"/>
      </w:pPr>
      <w:r w:rsidRPr="009E1361">
        <w:t xml:space="preserve">As long as there is no duplication of services between the programs, Veterans may access DVA’s VHC and CN services at the same time as accessing </w:t>
      </w:r>
      <w:r w:rsidRPr="009E1361">
        <w:rPr>
          <w:b/>
        </w:rPr>
        <w:t>different services</w:t>
      </w:r>
      <w:r w:rsidRPr="009E1361">
        <w:t xml:space="preserve"> from:</w:t>
      </w:r>
    </w:p>
    <w:p w14:paraId="068879ED" w14:textId="77777777" w:rsidR="00960A13" w:rsidRPr="009E1361" w:rsidRDefault="00960A13" w:rsidP="00DF3F6B">
      <w:pPr>
        <w:pStyle w:val="ListParagraph"/>
        <w:numPr>
          <w:ilvl w:val="0"/>
          <w:numId w:val="171"/>
        </w:numPr>
        <w:spacing w:before="240" w:after="240" w:line="240" w:lineRule="auto"/>
        <w:ind w:left="567" w:hanging="284"/>
      </w:pPr>
      <w:r w:rsidRPr="009E1361">
        <w:t xml:space="preserve">Ongoing Support at Home </w:t>
      </w:r>
    </w:p>
    <w:p w14:paraId="3CBA3A36" w14:textId="77777777" w:rsidR="00960A13" w:rsidRPr="009E1361" w:rsidRDefault="00960A13" w:rsidP="00DF3F6B">
      <w:pPr>
        <w:pStyle w:val="ListParagraph"/>
        <w:numPr>
          <w:ilvl w:val="0"/>
          <w:numId w:val="171"/>
        </w:numPr>
        <w:spacing w:before="240" w:after="240" w:line="240" w:lineRule="auto"/>
        <w:ind w:left="567" w:hanging="284"/>
      </w:pPr>
      <w:r w:rsidRPr="009E1361">
        <w:t>CHSP</w:t>
      </w:r>
    </w:p>
    <w:p w14:paraId="4F57FD89" w14:textId="77777777" w:rsidR="00960A13" w:rsidRPr="009E1361" w:rsidRDefault="00960A13" w:rsidP="00DF3F6B">
      <w:pPr>
        <w:pStyle w:val="ListParagraph"/>
        <w:numPr>
          <w:ilvl w:val="0"/>
          <w:numId w:val="171"/>
        </w:numPr>
        <w:spacing w:before="240" w:after="240" w:line="240" w:lineRule="auto"/>
        <w:ind w:left="567" w:hanging="284"/>
      </w:pPr>
      <w:r w:rsidRPr="009E1361">
        <w:t>TCP</w:t>
      </w:r>
    </w:p>
    <w:p w14:paraId="7DA65B64" w14:textId="77777777" w:rsidR="00960A13" w:rsidRPr="009E1361" w:rsidRDefault="00960A13" w:rsidP="00A677C9">
      <w:pPr>
        <w:spacing w:before="240" w:after="240" w:line="240" w:lineRule="auto"/>
      </w:pPr>
      <w:r w:rsidRPr="009E1361">
        <w:t xml:space="preserve">For ongoing Support at Home, this access can occur regardless of the level of the package. </w:t>
      </w:r>
    </w:p>
    <w:p w14:paraId="720CF75F" w14:textId="77777777" w:rsidR="00960A13" w:rsidRPr="009E1361" w:rsidRDefault="00960A13" w:rsidP="00A677C9">
      <w:pPr>
        <w:spacing w:before="240" w:after="240" w:line="240" w:lineRule="auto"/>
      </w:pPr>
      <w:r w:rsidRPr="009E1361">
        <w:t>CHSP offers services that are not available through the VHC Program or other DVA arrangements, such as a wide range of social support, food services, community transport and centre-based day respite.</w:t>
      </w:r>
    </w:p>
    <w:p w14:paraId="767AF503" w14:textId="73AF7062" w:rsidR="00960A13" w:rsidRPr="009E1361" w:rsidRDefault="00960A13" w:rsidP="00355E35">
      <w:pPr>
        <w:pStyle w:val="H4"/>
      </w:pPr>
      <w:r>
        <w:t xml:space="preserve">Assistance with </w:t>
      </w:r>
      <w:r w:rsidR="00AA495B">
        <w:t>f</w:t>
      </w:r>
      <w:r>
        <w:t>ees</w:t>
      </w:r>
    </w:p>
    <w:p w14:paraId="66167DE2" w14:textId="77777777" w:rsidR="00960A13" w:rsidRPr="0033248C" w:rsidRDefault="00960A13" w:rsidP="00A677C9">
      <w:pPr>
        <w:spacing w:before="240" w:after="240" w:line="240" w:lineRule="auto"/>
        <w:rPr>
          <w:b/>
          <w:bCs/>
          <w:szCs w:val="22"/>
        </w:rPr>
      </w:pPr>
      <w:r w:rsidRPr="0033248C">
        <w:rPr>
          <w:szCs w:val="22"/>
        </w:rPr>
        <w:t xml:space="preserve">DVA may </w:t>
      </w:r>
      <w:r>
        <w:rPr>
          <w:szCs w:val="22"/>
        </w:rPr>
        <w:t>assist with</w:t>
      </w:r>
      <w:r w:rsidRPr="0033248C">
        <w:rPr>
          <w:szCs w:val="22"/>
        </w:rPr>
        <w:t xml:space="preserve"> the cost of fees for government funded aged care services for veterans, depending on the type of aged care and the eligibility of the veteran. We recommend the older person contact DVA on 1800 838 372 to check if they are eligible for assistance</w:t>
      </w:r>
      <w:r>
        <w:rPr>
          <w:szCs w:val="22"/>
        </w:rPr>
        <w:t>. If</w:t>
      </w:r>
      <w:r w:rsidRPr="00811306">
        <w:rPr>
          <w:szCs w:val="22"/>
        </w:rPr>
        <w:t xml:space="preserve"> the person is a Prisoner of War or Victoria Cross recipient that served with the Australian Defence Force, DVA may provide additional fee assistance.</w:t>
      </w:r>
    </w:p>
    <w:tbl>
      <w:tblPr>
        <w:tblStyle w:val="TableGrid"/>
        <w:tblW w:w="0" w:type="auto"/>
        <w:tblLook w:val="04A0" w:firstRow="1" w:lastRow="0" w:firstColumn="1" w:lastColumn="0" w:noHBand="0" w:noVBand="1"/>
      </w:tblPr>
      <w:tblGrid>
        <w:gridCol w:w="846"/>
        <w:gridCol w:w="8170"/>
      </w:tblGrid>
      <w:tr w:rsidR="00960A13" w:rsidRPr="009E1361" w14:paraId="56626312" w14:textId="77777777">
        <w:tc>
          <w:tcPr>
            <w:tcW w:w="846" w:type="dxa"/>
            <w:vAlign w:val="bottom"/>
          </w:tcPr>
          <w:p w14:paraId="07E82271"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733AA8B5" wp14:editId="2C672C27">
                  <wp:extent cx="383111" cy="381000"/>
                  <wp:effectExtent l="0" t="0" r="0" b="0"/>
                  <wp:docPr id="959787767" name="Picture 95978776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F7E0CA2" w14:textId="77777777" w:rsidR="00960A13" w:rsidRPr="009E1361" w:rsidRDefault="00960A13" w:rsidP="00DF3F6B">
            <w:pPr>
              <w:pStyle w:val="ListParagraph"/>
              <w:numPr>
                <w:ilvl w:val="0"/>
                <w:numId w:val="196"/>
              </w:numPr>
              <w:spacing w:before="240" w:after="240"/>
              <w:rPr>
                <w:b/>
                <w:bCs/>
              </w:rPr>
            </w:pPr>
            <w:hyperlink r:id="rId197">
              <w:r w:rsidRPr="00E17432">
                <w:rPr>
                  <w:rStyle w:val="Hyperlink"/>
                </w:rPr>
                <w:t>Department of Veterans’ Affairs</w:t>
              </w:r>
            </w:hyperlink>
            <w:r w:rsidRPr="00617C93">
              <w:rPr>
                <w:b/>
                <w:bCs/>
              </w:rPr>
              <w:t xml:space="preserve"> </w:t>
            </w:r>
          </w:p>
          <w:p w14:paraId="51B79CE9" w14:textId="77777777" w:rsidR="00960A13" w:rsidRPr="00E17432" w:rsidRDefault="00960A13" w:rsidP="00DF3F6B">
            <w:pPr>
              <w:pStyle w:val="ListParagraph"/>
              <w:numPr>
                <w:ilvl w:val="0"/>
                <w:numId w:val="196"/>
              </w:numPr>
              <w:spacing w:before="240" w:after="240"/>
              <w:rPr>
                <w:rStyle w:val="Hyperlink"/>
              </w:rPr>
            </w:pPr>
            <w:hyperlink r:id="rId198" w:history="1">
              <w:r w:rsidRPr="00E17432">
                <w:rPr>
                  <w:rStyle w:val="Hyperlink"/>
                </w:rPr>
                <w:t>Care at home and aged care services</w:t>
              </w:r>
            </w:hyperlink>
          </w:p>
          <w:p w14:paraId="0C0B6C71" w14:textId="77777777" w:rsidR="00960A13" w:rsidRPr="00E17432" w:rsidRDefault="00960A13" w:rsidP="00DF3F6B">
            <w:pPr>
              <w:pStyle w:val="ListParagraph"/>
              <w:numPr>
                <w:ilvl w:val="0"/>
                <w:numId w:val="196"/>
              </w:numPr>
              <w:spacing w:before="240" w:after="240"/>
              <w:rPr>
                <w:rStyle w:val="Hyperlink"/>
              </w:rPr>
            </w:pPr>
            <w:hyperlink r:id="rId199">
              <w:r w:rsidRPr="009E1361">
                <w:rPr>
                  <w:rStyle w:val="Hyperlink"/>
                </w:rPr>
                <w:t>Community nursing</w:t>
              </w:r>
            </w:hyperlink>
            <w:r w:rsidRPr="00E17432">
              <w:rPr>
                <w:rStyle w:val="Hyperlink"/>
              </w:rPr>
              <w:t xml:space="preserve"> </w:t>
            </w:r>
          </w:p>
          <w:p w14:paraId="2D4BDDB4" w14:textId="13C81C62" w:rsidR="00960A13" w:rsidRPr="009E1361" w:rsidRDefault="00960A13" w:rsidP="00DF3F6B">
            <w:pPr>
              <w:pStyle w:val="ListParagraph"/>
              <w:numPr>
                <w:ilvl w:val="0"/>
                <w:numId w:val="196"/>
              </w:numPr>
              <w:spacing w:before="240" w:after="240"/>
            </w:pPr>
            <w:hyperlink r:id="rId200">
              <w:r w:rsidRPr="009E1361">
                <w:rPr>
                  <w:rStyle w:val="Hyperlink"/>
                </w:rPr>
                <w:t>Community Nursing Services and Providers</w:t>
              </w:r>
            </w:hyperlink>
            <w:r w:rsidRPr="009E1361">
              <w:t xml:space="preserve"> </w:t>
            </w:r>
          </w:p>
          <w:p w14:paraId="52851423" w14:textId="77777777" w:rsidR="00960A13" w:rsidRPr="009E1361" w:rsidRDefault="00960A13" w:rsidP="00A677C9">
            <w:pPr>
              <w:pStyle w:val="ListParagraph"/>
              <w:spacing w:before="240" w:after="240"/>
            </w:pPr>
          </w:p>
        </w:tc>
      </w:tr>
    </w:tbl>
    <w:p w14:paraId="15440ADB" w14:textId="42D47C1A" w:rsidR="00960A13" w:rsidRPr="009E1361" w:rsidRDefault="00960A13" w:rsidP="00C56CEC">
      <w:pPr>
        <w:pStyle w:val="H3"/>
      </w:pPr>
      <w:r w:rsidRPr="009E1361">
        <w:t xml:space="preserve">NDIS </w:t>
      </w:r>
      <w:r w:rsidR="00AA495B">
        <w:t>p</w:t>
      </w:r>
      <w:r w:rsidRPr="009E1361">
        <w:t>articipants</w:t>
      </w:r>
    </w:p>
    <w:p w14:paraId="6E613C03" w14:textId="77777777" w:rsidR="00960A13" w:rsidRPr="00121FB5"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 xml:space="preserve">For NDIS participants who have turned 65 requesting access to CHSP, assessors must ensure a person is not referred for services they are already receiving through the NDIS and/or other Commonwealth, state, territory or local government programs. </w:t>
      </w:r>
    </w:p>
    <w:p w14:paraId="234831BB" w14:textId="718B60B9" w:rsidR="00960A13" w:rsidRPr="00121FB5"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 xml:space="preserve">An </w:t>
      </w:r>
      <w:r w:rsidR="00466BD4">
        <w:rPr>
          <w:rFonts w:eastAsia="Calibri" w:cs="Calibri"/>
          <w:color w:val="000000" w:themeColor="text1"/>
        </w:rPr>
        <w:t>a</w:t>
      </w:r>
      <w:r w:rsidR="00466BD4" w:rsidRPr="00121FB5">
        <w:rPr>
          <w:rFonts w:eastAsia="Calibri" w:cs="Calibri"/>
          <w:color w:val="000000" w:themeColor="text1"/>
        </w:rPr>
        <w:t>ssessment</w:t>
      </w:r>
      <w:r w:rsidRPr="00121FB5" w:rsidDel="00466BD4">
        <w:rPr>
          <w:rFonts w:eastAsia="Calibri" w:cs="Calibri"/>
          <w:color w:val="000000" w:themeColor="text1"/>
        </w:rPr>
        <w:t xml:space="preserve"> </w:t>
      </w:r>
      <w:r w:rsidR="00466BD4">
        <w:rPr>
          <w:rFonts w:eastAsia="Calibri" w:cs="Calibri"/>
          <w:color w:val="000000" w:themeColor="text1"/>
        </w:rPr>
        <w:t>d</w:t>
      </w:r>
      <w:r w:rsidR="00466BD4" w:rsidRPr="00121FB5">
        <w:rPr>
          <w:rFonts w:eastAsia="Calibri" w:cs="Calibri"/>
          <w:color w:val="000000" w:themeColor="text1"/>
        </w:rPr>
        <w:t xml:space="preserve">elegate </w:t>
      </w:r>
      <w:r w:rsidRPr="00121FB5">
        <w:rPr>
          <w:rFonts w:eastAsia="Calibri" w:cs="Calibri"/>
          <w:color w:val="000000" w:themeColor="text1"/>
        </w:rPr>
        <w:t xml:space="preserve">should be aware of and advise NDIS participants that under the </w:t>
      </w:r>
      <w:r w:rsidRPr="00121FB5">
        <w:rPr>
          <w:rFonts w:eastAsia="Calibri" w:cs="Calibri"/>
          <w:i/>
          <w:color w:val="000000" w:themeColor="text1"/>
        </w:rPr>
        <w:t>NDIS Act 2013</w:t>
      </w:r>
      <w:r w:rsidRPr="00121FB5">
        <w:rPr>
          <w:rFonts w:eastAsia="Calibri" w:cs="Calibri"/>
          <w:color w:val="000000" w:themeColor="text1"/>
        </w:rPr>
        <w:t xml:space="preserve"> (NDIS Act) an under 65 NDIS participant can remain in the NDIS if they are an aged care recipient who subsequently turns 65. However, a NDIS participant whose first permanent entry to residential care or home care (but not residential respite care) is after the age of 65, ceases to be a NDIS participant. (NDIS Act section 29 (1)(b)). </w:t>
      </w:r>
    </w:p>
    <w:p w14:paraId="23A8A97A" w14:textId="436CA948" w:rsidR="00960A13" w:rsidRPr="009E1361" w:rsidRDefault="00960A13" w:rsidP="00C56CEC">
      <w:pPr>
        <w:pStyle w:val="H3"/>
      </w:pPr>
      <w:bookmarkStart w:id="555" w:name="_Ref128324991"/>
      <w:bookmarkStart w:id="556" w:name="_Toc159226956"/>
      <w:bookmarkStart w:id="557" w:name="_Toc184402373"/>
      <w:bookmarkStart w:id="558" w:name="_Ref506980950"/>
      <w:bookmarkStart w:id="559" w:name="_Toc496022849"/>
      <w:bookmarkStart w:id="560" w:name="_Ref48660091"/>
      <w:bookmarkEnd w:id="549"/>
      <w:r w:rsidRPr="009E1361">
        <w:t>Disability Support for Older Australians (DSOA) and aged care</w:t>
      </w:r>
      <w:bookmarkEnd w:id="555"/>
      <w:bookmarkEnd w:id="556"/>
      <w:bookmarkEnd w:id="557"/>
    </w:p>
    <w:p w14:paraId="187A7F4B" w14:textId="481434F2" w:rsidR="00960A13" w:rsidRPr="00121FB5"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 xml:space="preserve">The Disability Support for Older Australians (DSOA) Program commenced on 1 July 2021. It is a closed program with no new </w:t>
      </w:r>
      <w:r w:rsidR="008749C0">
        <w:rPr>
          <w:rFonts w:eastAsia="Calibri" w:cs="Calibri"/>
          <w:color w:val="000000" w:themeColor="text1"/>
        </w:rPr>
        <w:t>participants</w:t>
      </w:r>
      <w:r w:rsidRPr="00121FB5">
        <w:rPr>
          <w:rFonts w:eastAsia="Calibri" w:cs="Calibri"/>
          <w:color w:val="000000" w:themeColor="text1"/>
        </w:rPr>
        <w:t xml:space="preserve"> and provides funding for a range of services including Assistance in Supported Independent Living, Assistance with Self-Care Activities, Specialist/Behavioural Intervention Support, Therapy, and Case Management. </w:t>
      </w:r>
    </w:p>
    <w:p w14:paraId="2E722F26"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 xml:space="preserve">DSOA supports older Australians with a disability who </w:t>
      </w:r>
      <w:r>
        <w:rPr>
          <w:rFonts w:eastAsia="Calibri"/>
          <w:color w:val="000000" w:themeColor="text1"/>
        </w:rPr>
        <w:t>cannot be supported by the in-home aged care system</w:t>
      </w:r>
      <w:r w:rsidRPr="009E1361">
        <w:rPr>
          <w:rFonts w:eastAsia="Calibri"/>
          <w:color w:val="000000" w:themeColor="text1"/>
        </w:rPr>
        <w:t xml:space="preserve"> and were </w:t>
      </w:r>
      <w:r>
        <w:rPr>
          <w:rFonts w:eastAsia="Calibri"/>
          <w:color w:val="000000" w:themeColor="text1"/>
        </w:rPr>
        <w:t>not eligible</w:t>
      </w:r>
      <w:r w:rsidRPr="009E1361">
        <w:rPr>
          <w:rFonts w:eastAsia="Calibri"/>
          <w:color w:val="000000" w:themeColor="text1"/>
        </w:rPr>
        <w:t xml:space="preserve"> for the NDIS </w:t>
      </w:r>
      <w:r>
        <w:rPr>
          <w:rFonts w:eastAsia="Calibri"/>
          <w:color w:val="000000" w:themeColor="text1"/>
        </w:rPr>
        <w:t>when</w:t>
      </w:r>
      <w:r w:rsidRPr="009E1361">
        <w:rPr>
          <w:rFonts w:eastAsia="Calibri"/>
          <w:color w:val="000000" w:themeColor="text1"/>
        </w:rPr>
        <w:t xml:space="preserve"> it was rolled out</w:t>
      </w:r>
      <w:r>
        <w:rPr>
          <w:rFonts w:eastAsia="Calibri"/>
          <w:color w:val="000000" w:themeColor="text1"/>
        </w:rPr>
        <w:t xml:space="preserve"> in their region. </w:t>
      </w:r>
    </w:p>
    <w:p w14:paraId="6D87828B"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Assessments for aged care services can impact a person’s eligibility for funding under DSOA, and assessors should ensure a person has provided informed consent before proceeding to undertake an assessment.</w:t>
      </w:r>
    </w:p>
    <w:p w14:paraId="02A8021D" w14:textId="77777777" w:rsidR="00960A13" w:rsidRPr="009E1361" w:rsidRDefault="00960A13" w:rsidP="00A677C9">
      <w:pPr>
        <w:spacing w:before="240" w:after="240" w:line="240" w:lineRule="auto"/>
        <w:rPr>
          <w:rFonts w:eastAsia="Calibri"/>
          <w:color w:val="000000" w:themeColor="text1"/>
        </w:rPr>
      </w:pPr>
      <w:r w:rsidRPr="33DDDAF4">
        <w:rPr>
          <w:rFonts w:eastAsia="Calibri"/>
          <w:color w:val="000000" w:themeColor="text1"/>
        </w:rPr>
        <w:t xml:space="preserve">The following services under CHSP will not affect DSOA funding: </w:t>
      </w:r>
    </w:p>
    <w:p w14:paraId="0265D081"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 xml:space="preserve">Hoarding and </w:t>
      </w:r>
      <w:r>
        <w:rPr>
          <w:rFonts w:eastAsia="Calibri"/>
          <w:color w:val="000000" w:themeColor="text1"/>
        </w:rPr>
        <w:t>s</w:t>
      </w:r>
      <w:r w:rsidRPr="009E1361">
        <w:rPr>
          <w:rFonts w:eastAsia="Calibri"/>
          <w:color w:val="000000" w:themeColor="text1"/>
        </w:rPr>
        <w:t xml:space="preserve">qualor </w:t>
      </w:r>
      <w:r>
        <w:rPr>
          <w:rFonts w:eastAsia="Calibri"/>
          <w:color w:val="000000" w:themeColor="text1"/>
        </w:rPr>
        <w:t>assistance</w:t>
      </w:r>
      <w:r w:rsidRPr="009E1361">
        <w:rPr>
          <w:rFonts w:eastAsia="Calibri"/>
          <w:color w:val="000000" w:themeColor="text1"/>
        </w:rPr>
        <w:t xml:space="preserve"> </w:t>
      </w:r>
    </w:p>
    <w:p w14:paraId="16FCA0A9"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Pr>
          <w:rFonts w:eastAsia="Calibri"/>
          <w:color w:val="000000" w:themeColor="text1"/>
        </w:rPr>
        <w:t>Social support and community engagement</w:t>
      </w:r>
      <w:r w:rsidRPr="009E1361">
        <w:rPr>
          <w:rFonts w:eastAsia="Calibri"/>
          <w:color w:val="000000" w:themeColor="text1"/>
        </w:rPr>
        <w:t xml:space="preserve"> (Social Supports Group and Individual)</w:t>
      </w:r>
    </w:p>
    <w:p w14:paraId="74AC3BEB"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Equipment and products</w:t>
      </w:r>
    </w:p>
    <w:p w14:paraId="0E83985C"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Home adjustments</w:t>
      </w:r>
    </w:p>
    <w:p w14:paraId="6978B7BE"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Pr>
          <w:rFonts w:eastAsia="Calibri"/>
          <w:color w:val="000000" w:themeColor="text1"/>
        </w:rPr>
        <w:t>Domestic assistance (General h</w:t>
      </w:r>
      <w:r w:rsidRPr="009E1361">
        <w:rPr>
          <w:rFonts w:eastAsia="Calibri"/>
          <w:color w:val="000000" w:themeColor="text1"/>
        </w:rPr>
        <w:t xml:space="preserve">ouse </w:t>
      </w:r>
      <w:r>
        <w:rPr>
          <w:rFonts w:eastAsia="Calibri"/>
          <w:color w:val="000000" w:themeColor="text1"/>
        </w:rPr>
        <w:t>c</w:t>
      </w:r>
      <w:r w:rsidRPr="009E1361">
        <w:rPr>
          <w:rFonts w:eastAsia="Calibri"/>
          <w:color w:val="000000" w:themeColor="text1"/>
        </w:rPr>
        <w:t xml:space="preserve">leaning and </w:t>
      </w:r>
      <w:r>
        <w:rPr>
          <w:rFonts w:eastAsia="Calibri"/>
          <w:color w:val="000000" w:themeColor="text1"/>
        </w:rPr>
        <w:t>o</w:t>
      </w:r>
      <w:r w:rsidRPr="009E1361">
        <w:rPr>
          <w:rFonts w:eastAsia="Calibri"/>
          <w:color w:val="000000" w:themeColor="text1"/>
        </w:rPr>
        <w:t xml:space="preserve">ther </w:t>
      </w:r>
      <w:r>
        <w:rPr>
          <w:rFonts w:eastAsia="Calibri"/>
          <w:color w:val="000000" w:themeColor="text1"/>
        </w:rPr>
        <w:t>approved h</w:t>
      </w:r>
      <w:r w:rsidRPr="009E1361">
        <w:rPr>
          <w:rFonts w:eastAsia="Calibri"/>
          <w:color w:val="000000" w:themeColor="text1"/>
        </w:rPr>
        <w:t xml:space="preserve">ousehold </w:t>
      </w:r>
      <w:r>
        <w:rPr>
          <w:rFonts w:eastAsia="Calibri"/>
          <w:color w:val="000000" w:themeColor="text1"/>
        </w:rPr>
        <w:t>a</w:t>
      </w:r>
      <w:r w:rsidRPr="009E1361">
        <w:rPr>
          <w:rFonts w:eastAsia="Calibri"/>
          <w:color w:val="000000" w:themeColor="text1"/>
        </w:rPr>
        <w:t>ctivities)</w:t>
      </w:r>
    </w:p>
    <w:p w14:paraId="572DE850"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Pr>
          <w:rFonts w:eastAsia="Calibri"/>
          <w:color w:val="000000" w:themeColor="text1"/>
        </w:rPr>
        <w:t>Home</w:t>
      </w:r>
      <w:r w:rsidRPr="009E1361">
        <w:rPr>
          <w:rFonts w:eastAsia="Calibri"/>
          <w:color w:val="000000" w:themeColor="text1"/>
        </w:rPr>
        <w:t xml:space="preserve"> </w:t>
      </w:r>
      <w:r>
        <w:rPr>
          <w:rFonts w:eastAsia="Calibri"/>
          <w:color w:val="000000" w:themeColor="text1"/>
        </w:rPr>
        <w:t>m</w:t>
      </w:r>
      <w:r w:rsidRPr="009E1361">
        <w:rPr>
          <w:rFonts w:eastAsia="Calibri"/>
          <w:color w:val="000000" w:themeColor="text1"/>
        </w:rPr>
        <w:t xml:space="preserve">aintenance </w:t>
      </w:r>
      <w:r>
        <w:rPr>
          <w:rFonts w:eastAsia="Calibri"/>
          <w:color w:val="000000" w:themeColor="text1"/>
        </w:rPr>
        <w:t xml:space="preserve">and repairs </w:t>
      </w:r>
      <w:r w:rsidRPr="009E1361">
        <w:rPr>
          <w:rFonts w:eastAsia="Calibri"/>
          <w:color w:val="000000" w:themeColor="text1"/>
        </w:rPr>
        <w:t>(Home and Garden Maintenance)</w:t>
      </w:r>
    </w:p>
    <w:p w14:paraId="17361B4F"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Meals</w:t>
      </w:r>
    </w:p>
    <w:p w14:paraId="11C25BCD"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Transport</w:t>
      </w:r>
    </w:p>
    <w:p w14:paraId="6848807E" w14:textId="77777777" w:rsidR="00960A13" w:rsidRPr="009E1361" w:rsidRDefault="00960A13" w:rsidP="00DF3F6B">
      <w:pPr>
        <w:pStyle w:val="ListParagraph"/>
        <w:numPr>
          <w:ilvl w:val="0"/>
          <w:numId w:val="173"/>
        </w:numPr>
        <w:spacing w:before="240" w:after="240" w:line="240" w:lineRule="auto"/>
        <w:rPr>
          <w:rFonts w:eastAsia="Calibri"/>
          <w:color w:val="000000" w:themeColor="text1"/>
        </w:rPr>
      </w:pPr>
      <w:r w:rsidRPr="009E1361">
        <w:rPr>
          <w:rFonts w:eastAsia="Calibri"/>
          <w:color w:val="000000" w:themeColor="text1"/>
        </w:rPr>
        <w:t xml:space="preserve">Specialised </w:t>
      </w:r>
      <w:r>
        <w:rPr>
          <w:rFonts w:eastAsia="Calibri"/>
          <w:color w:val="000000" w:themeColor="text1"/>
        </w:rPr>
        <w:t>s</w:t>
      </w:r>
      <w:r w:rsidRPr="009E1361">
        <w:rPr>
          <w:rFonts w:eastAsia="Calibri"/>
          <w:color w:val="000000" w:themeColor="text1"/>
        </w:rPr>
        <w:t xml:space="preserve">upport </w:t>
      </w:r>
      <w:r>
        <w:rPr>
          <w:rFonts w:eastAsia="Calibri"/>
          <w:color w:val="000000" w:themeColor="text1"/>
        </w:rPr>
        <w:t>s</w:t>
      </w:r>
      <w:r w:rsidRPr="009E1361">
        <w:rPr>
          <w:rFonts w:eastAsia="Calibri"/>
          <w:color w:val="000000" w:themeColor="text1"/>
        </w:rPr>
        <w:t>ervices</w:t>
      </w:r>
    </w:p>
    <w:p w14:paraId="40764461" w14:textId="77777777" w:rsidR="00960A13" w:rsidRPr="009E1361" w:rsidRDefault="00960A13" w:rsidP="00A677C9">
      <w:pPr>
        <w:spacing w:before="240" w:after="240" w:line="240" w:lineRule="auto"/>
        <w:rPr>
          <w:rFonts w:eastAsia="Calibri"/>
          <w:color w:val="000000" w:themeColor="text1"/>
        </w:rPr>
      </w:pPr>
      <w:r w:rsidRPr="33DDDAF4">
        <w:rPr>
          <w:rFonts w:eastAsia="Calibri"/>
          <w:color w:val="000000" w:themeColor="text1"/>
        </w:rPr>
        <w:t>Specialist aged care services also do not affect DSOA funding (i.e. TCP).</w:t>
      </w:r>
    </w:p>
    <w:p w14:paraId="142A1894"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All other assessment outcomes will affect DSOA funding, and will do so in the following ways:</w:t>
      </w:r>
    </w:p>
    <w:p w14:paraId="2DFDA95A" w14:textId="575EF040" w:rsidR="00960A13" w:rsidRDefault="00960A13" w:rsidP="00DF3F6B">
      <w:pPr>
        <w:pStyle w:val="ListParagraph"/>
        <w:numPr>
          <w:ilvl w:val="0"/>
          <w:numId w:val="196"/>
        </w:numPr>
        <w:spacing w:before="240" w:after="240" w:line="240" w:lineRule="auto"/>
        <w:rPr>
          <w:rFonts w:eastAsia="Calibri"/>
          <w:color w:val="000000" w:themeColor="text1"/>
        </w:rPr>
      </w:pPr>
      <w:r w:rsidRPr="000A7988">
        <w:rPr>
          <w:rFonts w:eastAsia="Calibri"/>
          <w:color w:val="000000" w:themeColor="text1"/>
        </w:rPr>
        <w:t>An assessment for permanent Residential Aged Care will result in DSOA funding being capped at current levels. This also applies to CHSP service referrals not listed above.</w:t>
      </w:r>
      <w:r w:rsidR="00023348">
        <w:rPr>
          <w:rFonts w:eastAsia="Calibri"/>
          <w:color w:val="000000" w:themeColor="text1"/>
        </w:rPr>
        <w:t xml:space="preserve"> </w:t>
      </w:r>
      <w:r w:rsidRPr="00B61020">
        <w:rPr>
          <w:rFonts w:eastAsia="Calibri"/>
          <w:color w:val="000000" w:themeColor="text1"/>
        </w:rPr>
        <w:t>If a DSOA client is assessed as eligible for Support at Home and commences services, they will be required to exit the DSOA Program from the date aged care services commenced. These dates will be verified through My Aged Care.</w:t>
      </w:r>
    </w:p>
    <w:p w14:paraId="7756B563" w14:textId="2AE41D44" w:rsidR="00960A13" w:rsidRPr="00B61020" w:rsidRDefault="00960A13" w:rsidP="00DF3F6B">
      <w:pPr>
        <w:pStyle w:val="ListParagraph"/>
        <w:numPr>
          <w:ilvl w:val="0"/>
          <w:numId w:val="196"/>
        </w:numPr>
        <w:spacing w:before="240" w:after="240" w:line="240" w:lineRule="auto"/>
        <w:rPr>
          <w:rFonts w:eastAsia="Calibri"/>
          <w:color w:val="000000" w:themeColor="text1"/>
        </w:rPr>
      </w:pPr>
      <w:r w:rsidRPr="00B61020">
        <w:rPr>
          <w:rFonts w:eastAsia="Calibri"/>
          <w:color w:val="000000" w:themeColor="text1"/>
          <w:lang w:val="en-AU"/>
        </w:rPr>
        <w:t>If a client commenced their Home Care Package prior to 1 July 2021</w:t>
      </w:r>
      <w:r w:rsidR="002B240B">
        <w:rPr>
          <w:rFonts w:eastAsia="Calibri"/>
          <w:color w:val="000000" w:themeColor="text1"/>
          <w:lang w:val="en-AU"/>
        </w:rPr>
        <w:t xml:space="preserve"> and are a transitioned HCP care recipient under SaH</w:t>
      </w:r>
      <w:r w:rsidRPr="00B61020">
        <w:rPr>
          <w:rFonts w:eastAsia="Calibri"/>
          <w:color w:val="000000" w:themeColor="text1"/>
          <w:lang w:val="en-AU"/>
        </w:rPr>
        <w:t>, they can continue in the DSOA Program. However, their DSOA funding will remain capped.</w:t>
      </w:r>
    </w:p>
    <w:p w14:paraId="5479930C" w14:textId="31B7C866" w:rsidR="00960A13" w:rsidRPr="00B61020" w:rsidRDefault="00960A13" w:rsidP="00DF3F6B">
      <w:pPr>
        <w:pStyle w:val="ListParagraph"/>
        <w:numPr>
          <w:ilvl w:val="0"/>
          <w:numId w:val="196"/>
        </w:numPr>
        <w:spacing w:before="240" w:after="240" w:line="240" w:lineRule="auto"/>
        <w:rPr>
          <w:rFonts w:eastAsia="Calibri"/>
          <w:color w:val="000000" w:themeColor="text1"/>
        </w:rPr>
      </w:pPr>
      <w:r w:rsidRPr="00B61020">
        <w:rPr>
          <w:rFonts w:eastAsia="Calibri"/>
          <w:color w:val="000000" w:themeColor="text1"/>
          <w:lang w:val="en-AU"/>
        </w:rPr>
        <w:t xml:space="preserve">If a client commenced CHSP services that are available through the DSOA program, they will be required to exit the DSOA Program from the date the aged care services commenced. These dates will be verified through My Aged Care. However, if a client commenced CHSP services, </w:t>
      </w:r>
      <w:r w:rsidR="00911FA4" w:rsidRPr="00B61020">
        <w:rPr>
          <w:rFonts w:eastAsia="Calibri"/>
          <w:color w:val="000000" w:themeColor="text1"/>
          <w:lang w:val="en-AU"/>
        </w:rPr>
        <w:t>which</w:t>
      </w:r>
      <w:r w:rsidRPr="00B61020">
        <w:rPr>
          <w:rFonts w:eastAsia="Calibri"/>
          <w:color w:val="000000" w:themeColor="text1"/>
          <w:lang w:val="en-AU"/>
        </w:rPr>
        <w:t xml:space="preserve"> are not available via the DSOA program, </w:t>
      </w:r>
      <w:r w:rsidRPr="00B61020">
        <w:rPr>
          <w:rFonts w:eastAsia="Calibri"/>
          <w:b/>
          <w:bCs/>
          <w:color w:val="000000" w:themeColor="text1"/>
          <w:lang w:val="en-AU"/>
        </w:rPr>
        <w:t>prior to 30 June 2021</w:t>
      </w:r>
      <w:r w:rsidRPr="00B61020">
        <w:rPr>
          <w:rFonts w:eastAsia="Calibri"/>
          <w:color w:val="000000" w:themeColor="text1"/>
          <w:lang w:val="en-AU"/>
        </w:rPr>
        <w:t>, the client can continue to access these services as a grandfathered support without any impact to their DSOA funding.</w:t>
      </w:r>
    </w:p>
    <w:p w14:paraId="570B0568" w14:textId="77777777" w:rsidR="00960A13" w:rsidRPr="009E1361" w:rsidRDefault="00960A13" w:rsidP="00A677C9">
      <w:pPr>
        <w:spacing w:before="240" w:after="240" w:line="240" w:lineRule="auto"/>
        <w:rPr>
          <w:rFonts w:eastAsia="Calibri"/>
          <w:color w:val="000000" w:themeColor="text1"/>
        </w:rPr>
      </w:pPr>
      <w:r w:rsidRPr="009E1361">
        <w:rPr>
          <w:rFonts w:eastAsia="Calibri"/>
          <w:color w:val="000000" w:themeColor="text1"/>
        </w:rPr>
        <w:t>If an assessor receives a referral for a DSOA older person they should:</w:t>
      </w:r>
    </w:p>
    <w:p w14:paraId="5CDB3CA6" w14:textId="77777777"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establish if the older person has advised their DSOA service coordinator (provider) that they are seeking a referral for an aged care assessment;</w:t>
      </w:r>
    </w:p>
    <w:p w14:paraId="61B28C49" w14:textId="77777777"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establish if the older person discussed with their DSOA service coordinator their options to increase supports under the DSOA Program prior to an aged care assessment;</w:t>
      </w:r>
    </w:p>
    <w:p w14:paraId="19BCC083" w14:textId="77777777"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establish if the DSOA service coordinator has initiated a Change of Needs application and reviewed the DSOA older person’s Individual Support Package prior to consideration of an aged care assessment; and</w:t>
      </w:r>
    </w:p>
    <w:p w14:paraId="79321BF5" w14:textId="22DAECFC" w:rsidR="00960A13" w:rsidRPr="009E1361" w:rsidRDefault="00960A13" w:rsidP="00DF3F6B">
      <w:pPr>
        <w:pStyle w:val="ListParagraph"/>
        <w:numPr>
          <w:ilvl w:val="0"/>
          <w:numId w:val="172"/>
        </w:numPr>
        <w:spacing w:before="240" w:after="240" w:line="240" w:lineRule="auto"/>
        <w:ind w:left="567" w:hanging="283"/>
        <w:rPr>
          <w:rFonts w:eastAsia="Calibri"/>
          <w:color w:val="000000" w:themeColor="text1"/>
        </w:rPr>
      </w:pPr>
      <w:r w:rsidRPr="009E1361">
        <w:rPr>
          <w:rFonts w:eastAsia="Calibri"/>
          <w:color w:val="000000" w:themeColor="text1"/>
        </w:rPr>
        <w:t xml:space="preserve">establish that the DSOA </w:t>
      </w:r>
      <w:r w:rsidR="00516348">
        <w:rPr>
          <w:rFonts w:eastAsia="Calibri"/>
          <w:color w:val="000000" w:themeColor="text1"/>
        </w:rPr>
        <w:t>older people</w:t>
      </w:r>
      <w:r w:rsidRPr="009E1361">
        <w:rPr>
          <w:rFonts w:eastAsia="Calibri"/>
          <w:color w:val="000000" w:themeColor="text1"/>
        </w:rPr>
        <w:t xml:space="preserve"> understands the impacts on their DSOA funding should they proceed to assessment.</w:t>
      </w:r>
    </w:p>
    <w:p w14:paraId="126772F4" w14:textId="77777777" w:rsidR="00960A13" w:rsidRDefault="00960A13" w:rsidP="00A677C9">
      <w:pPr>
        <w:spacing w:before="240" w:after="240" w:line="240" w:lineRule="auto"/>
        <w:rPr>
          <w:rFonts w:eastAsia="Calibri" w:cs="Calibri"/>
          <w:color w:val="000000" w:themeColor="text1"/>
        </w:rPr>
      </w:pPr>
      <w:r w:rsidRPr="00121FB5">
        <w:rPr>
          <w:rFonts w:eastAsia="Calibri" w:cs="Calibri"/>
          <w:color w:val="000000" w:themeColor="text1"/>
        </w:rPr>
        <w:t>Aged care assessors should keep these policy settings in mind when making recommendations for aged care supports for a DSOA older person. That is, in making a recommendation, the aged care assessor needs to consider whether aged care services can appropriately support the older person were they to exit the DSOA Program.</w:t>
      </w:r>
    </w:p>
    <w:p w14:paraId="25B1B250" w14:textId="582020A7" w:rsidR="00960A13" w:rsidRPr="009E1361" w:rsidRDefault="00960A13" w:rsidP="00A677C9">
      <w:pPr>
        <w:spacing w:before="240" w:after="240" w:line="240" w:lineRule="auto"/>
        <w:rPr>
          <w:b/>
          <w:szCs w:val="22"/>
        </w:rPr>
      </w:pPr>
      <w:r w:rsidRPr="009E1361">
        <w:rPr>
          <w:noProof/>
        </w:rPr>
        <w:drawing>
          <wp:anchor distT="0" distB="0" distL="114300" distR="114300" simplePos="0" relativeHeight="251658251" behindDoc="0" locked="0" layoutInCell="1" allowOverlap="1" wp14:anchorId="0D15AC83" wp14:editId="6310463C">
            <wp:simplePos x="0" y="0"/>
            <wp:positionH relativeFrom="column">
              <wp:posOffset>0</wp:posOffset>
            </wp:positionH>
            <wp:positionV relativeFrom="paragraph">
              <wp:posOffset>47684</wp:posOffset>
            </wp:positionV>
            <wp:extent cx="447675" cy="445208"/>
            <wp:effectExtent l="0" t="0" r="0" b="0"/>
            <wp:wrapSquare wrapText="bothSides"/>
            <wp:docPr id="108039635" name="Picture 10803963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color w:val="000000" w:themeColor="text1"/>
        </w:rPr>
        <w:t xml:space="preserve"> </w:t>
      </w:r>
      <w:r w:rsidRPr="009E1361">
        <w:rPr>
          <w:b/>
          <w:szCs w:val="22"/>
        </w:rPr>
        <w:t>Department</w:t>
      </w:r>
      <w:r w:rsidRPr="009E1361" w:rsidDel="00861417">
        <w:rPr>
          <w:b/>
          <w:szCs w:val="22"/>
        </w:rPr>
        <w:t xml:space="preserve"> of Health</w:t>
      </w:r>
      <w:r w:rsidR="00892CAB">
        <w:rPr>
          <w:b/>
          <w:szCs w:val="22"/>
        </w:rPr>
        <w:t xml:space="preserve">, Disability and Ageing </w:t>
      </w:r>
      <w:r w:rsidRPr="009E1361">
        <w:rPr>
          <w:b/>
          <w:szCs w:val="22"/>
        </w:rPr>
        <w:t>website:</w:t>
      </w:r>
    </w:p>
    <w:p w14:paraId="2D127F54" w14:textId="77777777" w:rsidR="00960A13" w:rsidRPr="009E1361" w:rsidRDefault="00960A13" w:rsidP="00A677C9">
      <w:pPr>
        <w:spacing w:before="240" w:after="240" w:line="240" w:lineRule="auto"/>
        <w:rPr>
          <w:szCs w:val="22"/>
        </w:rPr>
      </w:pPr>
      <w:hyperlink r:id="rId201">
        <w:r w:rsidRPr="009E1361">
          <w:rPr>
            <w:rStyle w:val="Hyperlink"/>
            <w:szCs w:val="22"/>
          </w:rPr>
          <w:t>Disability Support for Older Australians Program (DSOA) manual</w:t>
        </w:r>
      </w:hyperlink>
      <w:r w:rsidRPr="009E1361">
        <w:rPr>
          <w:szCs w:val="22"/>
        </w:rPr>
        <w:t xml:space="preserve"> </w:t>
      </w:r>
    </w:p>
    <w:p w14:paraId="39AB924E" w14:textId="77777777" w:rsidR="00960A13" w:rsidRPr="00121FB5" w:rsidRDefault="00960A13" w:rsidP="00355E35">
      <w:pPr>
        <w:spacing w:before="240" w:after="240" w:line="240" w:lineRule="auto"/>
        <w:ind w:left="720"/>
        <w:rPr>
          <w:rFonts w:eastAsia="Calibri" w:cs="Calibri"/>
          <w:color w:val="000000" w:themeColor="text1"/>
        </w:rPr>
      </w:pPr>
      <w:hyperlink r:id="rId202">
        <w:r w:rsidRPr="009E1361">
          <w:rPr>
            <w:rStyle w:val="Hyperlink"/>
            <w:szCs w:val="22"/>
          </w:rPr>
          <w:t>About the Disability Support for Older Australians Program</w:t>
        </w:r>
      </w:hyperlink>
    </w:p>
    <w:p w14:paraId="06189D8B" w14:textId="7B454868" w:rsidR="00960A13" w:rsidRPr="009E1361" w:rsidRDefault="00960A13" w:rsidP="00C56CEC">
      <w:pPr>
        <w:pStyle w:val="H3"/>
      </w:pPr>
      <w:bookmarkStart w:id="561" w:name="_Ref58333758"/>
      <w:bookmarkStart w:id="562" w:name="_Toc159226957"/>
      <w:bookmarkStart w:id="563" w:name="_Toc184402374"/>
      <w:r w:rsidRPr="009E1361">
        <w:t xml:space="preserve">Carer </w:t>
      </w:r>
      <w:r w:rsidR="00AA495B">
        <w:t>s</w:t>
      </w:r>
      <w:r w:rsidRPr="009E1361">
        <w:t>upport</w:t>
      </w:r>
      <w:bookmarkEnd w:id="558"/>
      <w:bookmarkEnd w:id="559"/>
      <w:bookmarkEnd w:id="560"/>
      <w:bookmarkEnd w:id="561"/>
      <w:bookmarkEnd w:id="562"/>
      <w:bookmarkEnd w:id="563"/>
    </w:p>
    <w:p w14:paraId="7960A3DA" w14:textId="68C45E09" w:rsidR="00960A13" w:rsidRPr="009E1361" w:rsidRDefault="00960A13" w:rsidP="00A677C9">
      <w:pPr>
        <w:spacing w:before="240" w:after="240" w:line="240" w:lineRule="auto"/>
      </w:pPr>
      <w:r w:rsidRPr="009E1361">
        <w:t xml:space="preserve">Assessors should inform carers there is support and services specifically for them to access. This support is available through </w:t>
      </w:r>
      <w:r w:rsidRPr="009E1361">
        <w:rPr>
          <w:b/>
        </w:rPr>
        <w:t xml:space="preserve">Carer </w:t>
      </w:r>
      <w:r w:rsidR="00911FA4" w:rsidRPr="009E1361">
        <w:rPr>
          <w:b/>
        </w:rPr>
        <w:t>Gateway</w:t>
      </w:r>
      <w:r w:rsidR="00911FA4" w:rsidRPr="009E1361">
        <w:t xml:space="preserve"> and</w:t>
      </w:r>
      <w:r w:rsidR="00961ADE">
        <w:t xml:space="preserve"> </w:t>
      </w:r>
      <w:r w:rsidRPr="009E1361">
        <w:t xml:space="preserve">the National Dementia Helpline (for care partners of people with dementia or experiencing cognitive decline), </w:t>
      </w:r>
      <w:r w:rsidR="00961ADE">
        <w:t xml:space="preserve">both </w:t>
      </w:r>
      <w:r w:rsidRPr="009E1361">
        <w:t>funded by the department</w:t>
      </w:r>
      <w:r>
        <w:t>.</w:t>
      </w:r>
      <w:r w:rsidRPr="009E1361">
        <w:t xml:space="preserve"> </w:t>
      </w:r>
    </w:p>
    <w:p w14:paraId="0B7AD18B" w14:textId="77777777" w:rsidR="00960A13" w:rsidRPr="009E1361" w:rsidRDefault="00960A13" w:rsidP="00A677C9">
      <w:pPr>
        <w:spacing w:before="240" w:after="240" w:line="240" w:lineRule="auto"/>
        <w:rPr>
          <w:rFonts w:eastAsia="Arial"/>
        </w:rPr>
      </w:pPr>
      <w:r w:rsidRPr="009E1361">
        <w:rPr>
          <w:rFonts w:eastAsia="Arial"/>
        </w:rPr>
        <w:t>Carer Gateway provides early-intervention and preventative supports and services to carers to help improve their well-</w:t>
      </w:r>
      <w:r w:rsidRPr="009E1361">
        <w:t>being</w:t>
      </w:r>
      <w:r w:rsidRPr="009E1361">
        <w:rPr>
          <w:rFonts w:eastAsia="Arial"/>
        </w:rPr>
        <w:t xml:space="preserve"> and long-term outcomes.</w:t>
      </w:r>
    </w:p>
    <w:p w14:paraId="01C571FB" w14:textId="77777777" w:rsidR="00960A13" w:rsidRPr="009E1361" w:rsidRDefault="00960A13" w:rsidP="00A677C9">
      <w:pPr>
        <w:spacing w:before="240" w:after="240" w:line="240" w:lineRule="auto"/>
        <w:rPr>
          <w:rFonts w:eastAsia="Arial"/>
        </w:rPr>
      </w:pPr>
      <w:r w:rsidRPr="009E1361">
        <w:rPr>
          <w:rFonts w:eastAsia="Arial"/>
        </w:rPr>
        <w:t>Carer Gateway is for all carers, no matter their age or the condition of the person they are caring for.</w:t>
      </w:r>
    </w:p>
    <w:p w14:paraId="0EB24B4E" w14:textId="77777777" w:rsidR="00960A13" w:rsidRPr="009E1361" w:rsidRDefault="00960A13" w:rsidP="00A677C9">
      <w:pPr>
        <w:spacing w:before="240" w:after="240" w:line="240" w:lineRule="auto"/>
        <w:rPr>
          <w:rFonts w:eastAsia="Arial"/>
        </w:rPr>
      </w:pPr>
      <w:r w:rsidRPr="009E1361">
        <w:rPr>
          <w:rFonts w:eastAsia="Arial"/>
        </w:rPr>
        <w:t>Carer Gateway consists of a website (</w:t>
      </w:r>
      <w:hyperlink r:id="rId203">
        <w:r w:rsidRPr="009E1361">
          <w:rPr>
            <w:rStyle w:val="Hyperlink"/>
            <w:rFonts w:eastAsia="Arial"/>
          </w:rPr>
          <w:t>www.carergateway.gov.au</w:t>
        </w:r>
      </w:hyperlink>
      <w:r w:rsidRPr="009E1361">
        <w:rPr>
          <w:rFonts w:eastAsia="Arial"/>
        </w:rPr>
        <w:t>) and a national network of Carer Gateway service providers (CGSPs) (located in each state and territory).</w:t>
      </w:r>
    </w:p>
    <w:p w14:paraId="68FFADC0" w14:textId="77777777" w:rsidR="00960A13" w:rsidRPr="009E1361" w:rsidRDefault="00960A13" w:rsidP="00A677C9">
      <w:pPr>
        <w:spacing w:before="240" w:after="240" w:line="240" w:lineRule="auto"/>
        <w:rPr>
          <w:rFonts w:eastAsia="Arial"/>
        </w:rPr>
      </w:pPr>
      <w:r w:rsidRPr="009E1361">
        <w:rPr>
          <w:rFonts w:eastAsia="Arial"/>
        </w:rPr>
        <w:t xml:space="preserve">CGSPs support carers with access to in person and digitally based supports and services including support </w:t>
      </w:r>
      <w:r w:rsidRPr="009E1361">
        <w:t>planning</w:t>
      </w:r>
      <w:r w:rsidRPr="009E1361">
        <w:rPr>
          <w:rFonts w:eastAsia="Arial"/>
        </w:rPr>
        <w:t>, counselling, peer support, coaching, tailored support packages (including access to planned respite), emergency respite, and information and practical advice:</w:t>
      </w:r>
    </w:p>
    <w:p w14:paraId="33B99B5B" w14:textId="77777777" w:rsidR="00960A13" w:rsidRPr="007E6F47" w:rsidRDefault="00960A13" w:rsidP="00DF3F6B">
      <w:pPr>
        <w:pStyle w:val="ListParagraph"/>
        <w:numPr>
          <w:ilvl w:val="0"/>
          <w:numId w:val="196"/>
        </w:numPr>
        <w:spacing w:before="240" w:after="240" w:line="240" w:lineRule="auto"/>
        <w:rPr>
          <w:szCs w:val="22"/>
        </w:rPr>
      </w:pPr>
      <w:r w:rsidRPr="007E6F47">
        <w:rPr>
          <w:szCs w:val="22"/>
        </w:rPr>
        <w:t xml:space="preserve">Support Planning – assess the carer’s needs and work with the carer to develop an agreed individual support plan. </w:t>
      </w:r>
    </w:p>
    <w:p w14:paraId="7289CE84" w14:textId="6A0B07E6" w:rsidR="00960A13" w:rsidRPr="007E6F47" w:rsidRDefault="00960A13" w:rsidP="00DF3F6B">
      <w:pPr>
        <w:pStyle w:val="ListParagraph"/>
        <w:numPr>
          <w:ilvl w:val="0"/>
          <w:numId w:val="196"/>
        </w:numPr>
        <w:spacing w:before="240" w:after="240" w:line="240" w:lineRule="auto"/>
      </w:pPr>
      <w:r w:rsidRPr="41A8B1C1">
        <w:rPr>
          <w:lang w:val="en-AU"/>
        </w:rPr>
        <w:t>Counselling - professional counsellors for carers who are experiencing difficulties with anxiety, stress, depression and low mood as a result of their caring role</w:t>
      </w:r>
      <w:r w:rsidR="00464F8C" w:rsidRPr="41A8B1C1">
        <w:rPr>
          <w:lang w:val="en-AU"/>
        </w:rPr>
        <w:t xml:space="preserve">. </w:t>
      </w:r>
    </w:p>
    <w:p w14:paraId="2BC4A3B4" w14:textId="77777777" w:rsidR="00960A13" w:rsidRPr="007E6F47" w:rsidRDefault="00960A13" w:rsidP="00DF3F6B">
      <w:pPr>
        <w:pStyle w:val="ListParagraph"/>
        <w:numPr>
          <w:ilvl w:val="0"/>
          <w:numId w:val="196"/>
        </w:numPr>
        <w:spacing w:before="240" w:after="240" w:line="240" w:lineRule="auto"/>
        <w:rPr>
          <w:szCs w:val="22"/>
        </w:rPr>
      </w:pPr>
      <w:r w:rsidRPr="007E6F47">
        <w:rPr>
          <w:szCs w:val="22"/>
        </w:rPr>
        <w:t>Peer Support – a service for carers to connect with people in similar caring circumstances and learning from their peers through the sharing of lived experiences.</w:t>
      </w:r>
    </w:p>
    <w:p w14:paraId="31C8ECB6" w14:textId="77777777" w:rsidR="00960A13" w:rsidRPr="007E6F47" w:rsidRDefault="00960A13" w:rsidP="00DF3F6B">
      <w:pPr>
        <w:pStyle w:val="ListParagraph"/>
        <w:numPr>
          <w:ilvl w:val="0"/>
          <w:numId w:val="196"/>
        </w:numPr>
        <w:spacing w:before="240" w:after="240" w:line="240" w:lineRule="auto"/>
        <w:rPr>
          <w:szCs w:val="22"/>
        </w:rPr>
      </w:pPr>
      <w:r w:rsidRPr="007E6F47">
        <w:rPr>
          <w:szCs w:val="22"/>
        </w:rPr>
        <w:t xml:space="preserve">Coaching – carers work one to one with a coach, taking time to think about their own wellbeing and steps towards personal life goals. </w:t>
      </w:r>
    </w:p>
    <w:p w14:paraId="042DBE10" w14:textId="77777777" w:rsidR="00960A13" w:rsidRPr="007E6F47" w:rsidRDefault="00960A13" w:rsidP="00DF3F6B">
      <w:pPr>
        <w:pStyle w:val="ListParagraph"/>
        <w:numPr>
          <w:ilvl w:val="0"/>
          <w:numId w:val="196"/>
        </w:numPr>
        <w:spacing w:before="240" w:after="240" w:line="240" w:lineRule="auto"/>
      </w:pPr>
      <w:r w:rsidRPr="41A8B1C1">
        <w:rPr>
          <w:lang w:val="en-AU"/>
        </w:rPr>
        <w:t>Tailored Support Packages – offers a range of practical supports to support carers access education and/or employment or assist carers in their caring role (e.g., access to planned respite, assistance with transport).</w:t>
      </w:r>
    </w:p>
    <w:p w14:paraId="69E12B46" w14:textId="77777777" w:rsidR="00960A13" w:rsidRPr="007E6F47" w:rsidRDefault="00960A13" w:rsidP="00DF3F6B">
      <w:pPr>
        <w:pStyle w:val="ListParagraph"/>
        <w:numPr>
          <w:ilvl w:val="0"/>
          <w:numId w:val="196"/>
        </w:numPr>
        <w:spacing w:before="240" w:after="240" w:line="240" w:lineRule="auto"/>
      </w:pPr>
      <w:r w:rsidRPr="41A8B1C1">
        <w:rPr>
          <w:lang w:val="en-AU"/>
        </w:rPr>
        <w:t>Emergency Respite - help with accessing emergency respite support when a carer can no longer maintain the caring role due to illness for example.</w:t>
      </w:r>
    </w:p>
    <w:p w14:paraId="7E4616DC"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rPr>
        <w:t xml:space="preserve">CGSPs also assist with navigating relevant, local services available to carers, including My Aged Care, National Disability Insurance Scheme, Dementia Australia and referrals to other state/territory government funded carer support services. </w:t>
      </w:r>
    </w:p>
    <w:p w14:paraId="61E7EE7B" w14:textId="77777777" w:rsidR="00960A13" w:rsidRPr="009E1361" w:rsidRDefault="00960A13" w:rsidP="00A677C9">
      <w:pPr>
        <w:spacing w:before="240" w:after="240" w:line="240" w:lineRule="auto"/>
        <w:rPr>
          <w:rFonts w:eastAsia="Arial"/>
          <w:color w:val="000000" w:themeColor="text1"/>
        </w:rPr>
      </w:pPr>
      <w:r w:rsidRPr="009E1361">
        <w:rPr>
          <w:rFonts w:eastAsia="Arial"/>
          <w:color w:val="000000" w:themeColor="text1"/>
        </w:rPr>
        <w:t xml:space="preserve">CGSP staff talk with carers about the registration and support planning process, and then work with them to provide access to supports and services based on their individual needs and caring circumstances. The intent of the support planning is for carers to have the most appropriate supports in place to help maintain their wellbeing, which in turn helps maintain their capacity to continue their caring role and also to participate in their communities.  </w:t>
      </w:r>
    </w:p>
    <w:p w14:paraId="19B4C891" w14:textId="58611FC2" w:rsidR="00960A13" w:rsidRPr="009E1361" w:rsidRDefault="00960A13" w:rsidP="00A677C9">
      <w:pPr>
        <w:spacing w:before="240" w:after="240" w:line="240" w:lineRule="auto"/>
        <w:rPr>
          <w:rFonts w:eastAsia="Arial"/>
        </w:rPr>
      </w:pPr>
      <w:r w:rsidRPr="009E1361">
        <w:rPr>
          <w:rFonts w:eastAsia="Arial"/>
        </w:rPr>
        <w:t xml:space="preserve">Assessors should collect carer information in the </w:t>
      </w:r>
      <w:r w:rsidR="00E963D2">
        <w:rPr>
          <w:rFonts w:eastAsia="Arial"/>
        </w:rPr>
        <w:t xml:space="preserve">My Aged Care </w:t>
      </w:r>
      <w:r w:rsidRPr="009E1361">
        <w:rPr>
          <w:rFonts w:eastAsia="Arial"/>
        </w:rPr>
        <w:t xml:space="preserve">Assessor Portal or Aged Care Assessor App and register the older person and their carer’s </w:t>
      </w:r>
      <w:r w:rsidRPr="009E1361" w:rsidDel="00F87F82">
        <w:rPr>
          <w:rFonts w:eastAsia="Arial"/>
        </w:rPr>
        <w:t>consent</w:t>
      </w:r>
      <w:r w:rsidRPr="009E1361">
        <w:rPr>
          <w:rFonts w:eastAsia="Arial"/>
        </w:rPr>
        <w:t xml:space="preserve"> to request a call back from Carer Gateway and/or the National Dementia Helpline. The carer’s local CGSP and/or the National Dementia Helpline will then contact them to assist with accessing supports to help them in their caring role. </w:t>
      </w:r>
    </w:p>
    <w:p w14:paraId="477F1B06" w14:textId="77777777" w:rsidR="00960A13" w:rsidRPr="009E1361" w:rsidRDefault="00960A13" w:rsidP="00A677C9">
      <w:pPr>
        <w:spacing w:before="240" w:after="240" w:line="240" w:lineRule="auto"/>
        <w:rPr>
          <w:rFonts w:eastAsia="Arial"/>
        </w:rPr>
      </w:pPr>
      <w:r w:rsidRPr="009E1361">
        <w:rPr>
          <w:rFonts w:eastAsia="Arial"/>
        </w:rPr>
        <w:t xml:space="preserve">Alternatively, assessors may inform carers they can contact their local CGSP by calling 1800 422 737 (selecting Option 1), Monday to Friday, between 8am and 5pm, or by visiting the Carer Gateway </w:t>
      </w:r>
      <w:hyperlink r:id="rId204">
        <w:r w:rsidRPr="009E1361">
          <w:rPr>
            <w:rStyle w:val="Hyperlink"/>
            <w:rFonts w:eastAsia="Arial"/>
          </w:rPr>
          <w:t>website</w:t>
        </w:r>
      </w:hyperlink>
      <w:r w:rsidRPr="009E1361">
        <w:rPr>
          <w:rFonts w:eastAsia="Arial"/>
          <w:color w:val="0563C1"/>
          <w:u w:val="single"/>
        </w:rPr>
        <w:t xml:space="preserve"> (</w:t>
      </w:r>
      <w:hyperlink r:id="rId205">
        <w:r w:rsidRPr="009E1361">
          <w:rPr>
            <w:rStyle w:val="Hyperlink"/>
            <w:rFonts w:eastAsia="Arial"/>
          </w:rPr>
          <w:t>www.carergateway.gov.au</w:t>
        </w:r>
      </w:hyperlink>
      <w:r w:rsidRPr="009E1361">
        <w:rPr>
          <w:rFonts w:eastAsia="Arial"/>
          <w:color w:val="0563C1"/>
          <w:u w:val="single"/>
        </w:rPr>
        <w:t xml:space="preserve">) </w:t>
      </w:r>
      <w:r w:rsidRPr="009E1361">
        <w:rPr>
          <w:rFonts w:eastAsia="Arial"/>
        </w:rPr>
        <w:t>and completing the online ‘Request for Call Back’ form.</w:t>
      </w:r>
    </w:p>
    <w:p w14:paraId="723C7F6E" w14:textId="77777777" w:rsidR="00960A13" w:rsidRPr="009E1361" w:rsidDel="00FA13EF" w:rsidRDefault="00960A13" w:rsidP="00A677C9">
      <w:pPr>
        <w:spacing w:before="240" w:after="240" w:line="240" w:lineRule="auto"/>
        <w:rPr>
          <w:rFonts w:eastAsia="Arial"/>
        </w:rPr>
      </w:pPr>
      <w:r w:rsidRPr="009E1361" w:rsidDel="00484ECF">
        <w:rPr>
          <w:rFonts w:eastAsia="Arial"/>
        </w:rPr>
        <w:t xml:space="preserve">The Carer Gateway </w:t>
      </w:r>
      <w:hyperlink r:id="rId206">
        <w:r w:rsidRPr="009E1361">
          <w:rPr>
            <w:rStyle w:val="Hyperlink"/>
            <w:rFonts w:eastAsia="Arial"/>
          </w:rPr>
          <w:t>website</w:t>
        </w:r>
      </w:hyperlink>
      <w:r w:rsidRPr="009E1361">
        <w:rPr>
          <w:rFonts w:eastAsia="Arial"/>
        </w:rPr>
        <w:t xml:space="preserve"> also provides carers with</w:t>
      </w:r>
      <w:r w:rsidRPr="009E1361">
        <w:rPr>
          <w:rFonts w:eastAsia="Arial"/>
          <w:u w:val="single"/>
        </w:rPr>
        <w:t xml:space="preserve"> </w:t>
      </w:r>
      <w:r w:rsidRPr="009E1361">
        <w:rPr>
          <w:rFonts w:eastAsia="Arial"/>
        </w:rPr>
        <w:t xml:space="preserve">practical advice, information and resources to help them in their caring role, as well as access to: </w:t>
      </w:r>
    </w:p>
    <w:p w14:paraId="15F19F64" w14:textId="77777777" w:rsidR="00960A13" w:rsidRPr="009E1361" w:rsidRDefault="00960A13" w:rsidP="00E97CCF">
      <w:pPr>
        <w:pStyle w:val="ListParagraph"/>
        <w:numPr>
          <w:ilvl w:val="0"/>
          <w:numId w:val="588"/>
        </w:numPr>
        <w:spacing w:before="240" w:after="240" w:line="240" w:lineRule="auto"/>
        <w:ind w:left="709"/>
        <w:rPr>
          <w:rFonts w:eastAsia="Arial"/>
        </w:rPr>
      </w:pPr>
      <w:r w:rsidRPr="009E1361">
        <w:rPr>
          <w:rFonts w:eastAsia="Arial"/>
        </w:rPr>
        <w:t>a national carer phone counselling service to help them manage daily challenges, reduce stress and strain, and plan for the future;</w:t>
      </w:r>
    </w:p>
    <w:p w14:paraId="717C7FB0" w14:textId="77777777" w:rsidR="00960A13" w:rsidRPr="009E1361" w:rsidRDefault="00960A13" w:rsidP="00DF3F6B">
      <w:pPr>
        <w:pStyle w:val="ListParagraph"/>
        <w:numPr>
          <w:ilvl w:val="0"/>
          <w:numId w:val="170"/>
        </w:numPr>
        <w:spacing w:before="240" w:after="240" w:line="240" w:lineRule="auto"/>
        <w:rPr>
          <w:rFonts w:eastAsia="Arial"/>
        </w:rPr>
      </w:pPr>
      <w:r w:rsidRPr="009E1361">
        <w:rPr>
          <w:rFonts w:eastAsia="Arial"/>
        </w:rPr>
        <w:t>an online peer support forum, connecting carers with other carers for knowledge and experience sharing, emotional support and mentoring;</w:t>
      </w:r>
    </w:p>
    <w:p w14:paraId="503B8443" w14:textId="77777777" w:rsidR="00960A13" w:rsidRPr="009E1361" w:rsidRDefault="00960A13" w:rsidP="00DF3F6B">
      <w:pPr>
        <w:pStyle w:val="ListParagraph"/>
        <w:numPr>
          <w:ilvl w:val="0"/>
          <w:numId w:val="170"/>
        </w:numPr>
        <w:spacing w:before="240" w:after="240" w:line="240" w:lineRule="auto"/>
        <w:rPr>
          <w:rFonts w:eastAsia="Arial"/>
        </w:rPr>
      </w:pPr>
      <w:r w:rsidRPr="009E1361">
        <w:rPr>
          <w:rFonts w:eastAsia="Arial"/>
        </w:rPr>
        <w:t xml:space="preserve">online self-guided coaching resources with simple techniques and strategies for goal-setting and future planning; and sources to increase skills and knowledge of carers relating to specific caring situations, to build confidence and improve wellbeing. </w:t>
      </w:r>
    </w:p>
    <w:p w14:paraId="164DEBF6" w14:textId="0A2CD4D7" w:rsidR="00960A13" w:rsidRPr="009E1361" w:rsidRDefault="00960A13" w:rsidP="00A677C9">
      <w:pPr>
        <w:spacing w:before="240" w:after="240" w:line="240" w:lineRule="auto"/>
      </w:pPr>
      <w:r w:rsidRPr="009E1361">
        <w:t xml:space="preserve">Assessors should also </w:t>
      </w:r>
      <w:r w:rsidRPr="009E1361">
        <w:rPr>
          <w:b/>
        </w:rPr>
        <w:t>note</w:t>
      </w:r>
      <w:r w:rsidRPr="009E1361">
        <w:t xml:space="preserve">, that CGSPs currently </w:t>
      </w:r>
      <w:r w:rsidRPr="009E1361">
        <w:rPr>
          <w:b/>
        </w:rPr>
        <w:t xml:space="preserve">do not </w:t>
      </w:r>
      <w:r w:rsidRPr="009E1361">
        <w:t xml:space="preserve">have the capability to receive referrals to book flexible, centre-based, cottage or residential respite for carers of My Aged Care </w:t>
      </w:r>
      <w:r w:rsidR="00516348">
        <w:t>older people</w:t>
      </w:r>
      <w:r w:rsidRPr="009E1361">
        <w:t>.</w:t>
      </w:r>
    </w:p>
    <w:p w14:paraId="46620C3E" w14:textId="77777777" w:rsidR="00960A13" w:rsidRPr="009E1361" w:rsidRDefault="00960A13" w:rsidP="00A677C9">
      <w:pPr>
        <w:spacing w:before="240" w:after="240" w:line="240" w:lineRule="auto"/>
      </w:pPr>
      <w:r w:rsidRPr="009E1361">
        <w:t xml:space="preserve">Assessors should also be aware that under the Carer Gateway model, assistance for young carers to continue with or commence study through the Young Carer Bursary Program is available. Further information on the Young Carer Bursary Program and the application process is available at </w:t>
      </w:r>
      <w:hyperlink r:id="rId207">
        <w:r w:rsidRPr="009E1361">
          <w:rPr>
            <w:rStyle w:val="Hyperlink"/>
          </w:rPr>
          <w:t>www.youngcarersnetwork.com.au/young-carer-bursary</w:t>
        </w:r>
      </w:hyperlink>
      <w:r w:rsidRPr="009E1361">
        <w:t xml:space="preserve">. </w:t>
      </w:r>
    </w:p>
    <w:p w14:paraId="3A7C7220" w14:textId="77777777" w:rsidR="00960A13" w:rsidRPr="009E1361" w:rsidRDefault="00960A13" w:rsidP="00A677C9">
      <w:pPr>
        <w:spacing w:before="240" w:after="240" w:line="240" w:lineRule="auto"/>
      </w:pPr>
      <w:r w:rsidRPr="009E1361">
        <w:t xml:space="preserve">Dementia Australia’s support for carers, family members, and representatives of people with dementia or experiencing cognitive decline includes providing in person, phone-based, or online dementia-specific counselling, peer support, and education. </w:t>
      </w:r>
    </w:p>
    <w:p w14:paraId="53331A07" w14:textId="77777777" w:rsidR="00960A13" w:rsidRPr="009E1361" w:rsidRDefault="00960A13" w:rsidP="00A677C9">
      <w:pPr>
        <w:spacing w:before="240" w:after="240" w:line="240" w:lineRule="auto"/>
      </w:pPr>
      <w:r w:rsidRPr="009E1361">
        <w:t>Dementia Australia’s carer supports can help people better understand the nature and impact of dementia, develop strategies to manage stress and mixed emotions, plan for the future, and manage grief.</w:t>
      </w:r>
    </w:p>
    <w:tbl>
      <w:tblPr>
        <w:tblStyle w:val="TableGrid"/>
        <w:tblW w:w="0" w:type="auto"/>
        <w:tblLook w:val="04A0" w:firstRow="1" w:lastRow="0" w:firstColumn="1" w:lastColumn="0" w:noHBand="0" w:noVBand="1"/>
      </w:tblPr>
      <w:tblGrid>
        <w:gridCol w:w="846"/>
        <w:gridCol w:w="8170"/>
      </w:tblGrid>
      <w:tr w:rsidR="00960A13" w:rsidRPr="009E1361" w14:paraId="029B236C" w14:textId="77777777">
        <w:tc>
          <w:tcPr>
            <w:tcW w:w="846" w:type="dxa"/>
          </w:tcPr>
          <w:p w14:paraId="6A7A67AA"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5D4F60A1" wp14:editId="493AED95">
                  <wp:extent cx="383111" cy="381000"/>
                  <wp:effectExtent l="0" t="0" r="0" b="0"/>
                  <wp:docPr id="1512616363" name="Picture 151261636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1403261" w14:textId="63918467" w:rsidR="00892CAB" w:rsidRDefault="00960A13" w:rsidP="00A677C9">
            <w:pPr>
              <w:spacing w:before="240" w:after="240"/>
            </w:pPr>
            <w:hyperlink r:id="rId208">
              <w:r w:rsidRPr="009E1361">
                <w:rPr>
                  <w:rStyle w:val="Hyperlink"/>
                </w:rPr>
                <w:t>Carer Gateway</w:t>
              </w:r>
            </w:hyperlink>
            <w:r w:rsidRPr="009E1361">
              <w:t xml:space="preserve"> website</w:t>
            </w:r>
          </w:p>
          <w:p w14:paraId="74E7DEE3" w14:textId="6091462C" w:rsidR="00960A13" w:rsidRPr="009E1361" w:rsidRDefault="00960A13" w:rsidP="00A677C9">
            <w:pPr>
              <w:spacing w:before="240" w:after="240"/>
            </w:pPr>
            <w:r w:rsidRPr="009E1361">
              <w:t>Carer Gateway service provider free call</w:t>
            </w:r>
            <w:r w:rsidR="00892CAB">
              <w:t>:</w:t>
            </w:r>
            <w:r w:rsidRPr="009E1361">
              <w:t>1800 422 737</w:t>
            </w:r>
          </w:p>
          <w:p w14:paraId="7E5EAD83" w14:textId="403DEF42" w:rsidR="00960A13" w:rsidRPr="00355E35" w:rsidRDefault="00960A13" w:rsidP="00A677C9">
            <w:pPr>
              <w:spacing w:before="240" w:after="240"/>
              <w:rPr>
                <w:b/>
              </w:rPr>
            </w:pPr>
            <w:r w:rsidRPr="00355E35">
              <w:rPr>
                <w:b/>
              </w:rPr>
              <w:t>Department</w:t>
            </w:r>
            <w:r w:rsidRPr="00355E35" w:rsidDel="00DB3D09">
              <w:rPr>
                <w:b/>
              </w:rPr>
              <w:t xml:space="preserve"> of Health</w:t>
            </w:r>
            <w:r w:rsidR="00892CAB" w:rsidRPr="00355E35">
              <w:rPr>
                <w:b/>
              </w:rPr>
              <w:t xml:space="preserve">, Disability and Ageing </w:t>
            </w:r>
            <w:r w:rsidRPr="00355E35">
              <w:rPr>
                <w:b/>
              </w:rPr>
              <w:t xml:space="preserve">website: </w:t>
            </w:r>
          </w:p>
          <w:p w14:paraId="11336EF5" w14:textId="4E130D15" w:rsidR="00960A13" w:rsidRPr="009E1361" w:rsidRDefault="00960A13" w:rsidP="00A677C9">
            <w:pPr>
              <w:spacing w:before="240" w:after="240"/>
            </w:pPr>
            <w:hyperlink r:id="rId209">
              <w:r w:rsidRPr="009E1361">
                <w:rPr>
                  <w:rStyle w:val="Hyperlink"/>
                </w:rPr>
                <w:t xml:space="preserve">My Aged Care – </w:t>
              </w:r>
              <w:r w:rsidR="0060352D">
                <w:rPr>
                  <w:rStyle w:val="Hyperlink"/>
                </w:rPr>
                <w:t xml:space="preserve">Assessor </w:t>
              </w:r>
              <w:r w:rsidR="00E118B1">
                <w:rPr>
                  <w:rStyle w:val="Hyperlink"/>
                </w:rPr>
                <w:t>P</w:t>
              </w:r>
              <w:r w:rsidR="0060352D">
                <w:rPr>
                  <w:rStyle w:val="Hyperlink"/>
                </w:rPr>
                <w:t>ortal</w:t>
              </w:r>
              <w:r w:rsidRPr="009E1361">
                <w:rPr>
                  <w:rStyle w:val="Hyperlink"/>
                </w:rPr>
                <w:t xml:space="preserve"> User Guide 2 – Registering support people and adding relationships</w:t>
              </w:r>
            </w:hyperlink>
          </w:p>
          <w:p w14:paraId="7D3463EC" w14:textId="77777777" w:rsidR="00960A13" w:rsidRPr="009E1361" w:rsidRDefault="00960A13" w:rsidP="00A677C9">
            <w:pPr>
              <w:spacing w:before="240" w:after="240"/>
            </w:pPr>
            <w:hyperlink r:id="rId210">
              <w:r w:rsidRPr="009E1361">
                <w:rPr>
                  <w:rStyle w:val="Hyperlink"/>
                </w:rPr>
                <w:t>Young Carers Network</w:t>
              </w:r>
            </w:hyperlink>
            <w:r w:rsidRPr="009E1361">
              <w:t xml:space="preserve"> website</w:t>
            </w:r>
          </w:p>
          <w:p w14:paraId="63E20C23" w14:textId="44F16DE6" w:rsidR="00E717C3" w:rsidRPr="00A8335B" w:rsidRDefault="00E717C3" w:rsidP="00A677C9">
            <w:pPr>
              <w:spacing w:before="240" w:after="240"/>
              <w:rPr>
                <w:b/>
                <w:szCs w:val="22"/>
              </w:rPr>
            </w:pPr>
            <w:hyperlink r:id="rId211" w:history="1">
              <w:r w:rsidRPr="00A8335B">
                <w:rPr>
                  <w:rStyle w:val="Hyperlink"/>
                  <w:szCs w:val="22"/>
                </w:rPr>
                <w:t>D</w:t>
              </w:r>
              <w:r w:rsidRPr="00A8335B">
                <w:rPr>
                  <w:rStyle w:val="Hyperlink"/>
                </w:rPr>
                <w:t>ementia</w:t>
              </w:r>
              <w:r w:rsidRPr="00A8335B">
                <w:rPr>
                  <w:rStyle w:val="Hyperlink"/>
                  <w:szCs w:val="22"/>
                </w:rPr>
                <w:t xml:space="preserve"> Australia</w:t>
              </w:r>
            </w:hyperlink>
            <w:r w:rsidRPr="003E1933">
              <w:rPr>
                <w:b/>
                <w:szCs w:val="22"/>
              </w:rPr>
              <w:t xml:space="preserve"> </w:t>
            </w:r>
            <w:r w:rsidRPr="00A8335B">
              <w:rPr>
                <w:szCs w:val="22"/>
              </w:rPr>
              <w:t>website.</w:t>
            </w:r>
          </w:p>
          <w:p w14:paraId="202A5965" w14:textId="77777777" w:rsidR="00960A13" w:rsidRDefault="00960A13" w:rsidP="00A677C9">
            <w:pPr>
              <w:spacing w:before="240" w:after="240"/>
            </w:pPr>
            <w:r w:rsidRPr="009E1361">
              <w:t>National Dementia Helpline: 1800 100 500 - 24 hours a day, 7 days a week</w:t>
            </w:r>
          </w:p>
          <w:p w14:paraId="5DEA5A68" w14:textId="77777777" w:rsidR="00960A13" w:rsidRPr="009E1361" w:rsidRDefault="00960A13" w:rsidP="00A677C9">
            <w:pPr>
              <w:spacing w:before="240" w:after="240"/>
            </w:pPr>
          </w:p>
        </w:tc>
      </w:tr>
    </w:tbl>
    <w:p w14:paraId="14AA9F55" w14:textId="77777777" w:rsidR="00960A13" w:rsidRPr="009E1361" w:rsidRDefault="00960A13" w:rsidP="00C56CEC">
      <w:pPr>
        <w:pStyle w:val="H3"/>
      </w:pPr>
      <w:r w:rsidRPr="009E1361">
        <w:t>Aged Care Volunteers Visitors Scheme (ACVVS)</w:t>
      </w:r>
    </w:p>
    <w:p w14:paraId="70AF4317" w14:textId="06074159" w:rsidR="00960A13" w:rsidRPr="009E1361" w:rsidRDefault="00960A13" w:rsidP="00A677C9">
      <w:pPr>
        <w:spacing w:before="240" w:after="240" w:line="240" w:lineRule="auto"/>
        <w:rPr>
          <w:lang w:val="en-AU"/>
        </w:rPr>
      </w:pPr>
      <w:r w:rsidRPr="009E1361">
        <w:rPr>
          <w:lang w:val="en-AU"/>
        </w:rPr>
        <w:t xml:space="preserve">The Aged Care Volunteer Visitors Scheme (ACVVS) provides friendship and companionship to older people who are feeling lonely or socially isolated by matching them with a volunteer visitor. The ACVVS is a free program for eligible aged care recipients. Visits are available to anyone receiving Australian government-subsidised residential aged care or the Support at Home services. This includes care recipients approved or on the Support at Home Priority System and excludes those with a Commonwealth Home Support Program (CHSP). </w:t>
      </w:r>
    </w:p>
    <w:p w14:paraId="0EADB794" w14:textId="77777777" w:rsidR="00960A13" w:rsidRPr="009E1361" w:rsidRDefault="00960A13" w:rsidP="00A677C9">
      <w:pPr>
        <w:spacing w:before="240" w:after="240" w:line="240" w:lineRule="auto"/>
        <w:rPr>
          <w:lang w:val="en-AU"/>
        </w:rPr>
      </w:pPr>
      <w:r w:rsidRPr="009E1361">
        <w:rPr>
          <w:lang w:val="en-AU"/>
        </w:rPr>
        <w:t xml:space="preserve">The program requires the volunteer to make 20 ACVVS visits per year. These occur for approximately an hour a fortnight. </w:t>
      </w:r>
    </w:p>
    <w:p w14:paraId="396863BC" w14:textId="77777777" w:rsidR="00960A13" w:rsidRPr="009E1361" w:rsidRDefault="00960A13" w:rsidP="00A677C9">
      <w:pPr>
        <w:spacing w:before="240" w:after="240" w:line="240" w:lineRule="auto"/>
        <w:rPr>
          <w:lang w:val="en-AU"/>
        </w:rPr>
      </w:pPr>
      <w:r w:rsidRPr="009E1361">
        <w:rPr>
          <w:lang w:val="en-AU"/>
        </w:rPr>
        <w:t>Anyone can refer an eligible older person to the ACVVS, including Aged Care Assessors, aged care service providers, health professionals, family members and friends. Older people can also refer themselves.</w:t>
      </w:r>
    </w:p>
    <w:p w14:paraId="74C6FB43" w14:textId="77777777" w:rsidR="00960A13" w:rsidRPr="009E1361" w:rsidRDefault="00960A13" w:rsidP="00A677C9">
      <w:pPr>
        <w:spacing w:before="240" w:after="240" w:line="240" w:lineRule="auto"/>
        <w:rPr>
          <w:lang w:val="en-AU"/>
        </w:rPr>
      </w:pPr>
      <w:r w:rsidRPr="009E1361">
        <w:rPr>
          <w:lang w:val="en-AU"/>
        </w:rPr>
        <w:t xml:space="preserve"> You can request a volunteer for an older person via the </w:t>
      </w:r>
      <w:hyperlink r:id="rId212">
        <w:r w:rsidRPr="009E1361">
          <w:rPr>
            <w:rStyle w:val="Hyperlink"/>
            <w:lang w:val="en-AU"/>
          </w:rPr>
          <w:t>ACVVS website</w:t>
        </w:r>
      </w:hyperlink>
      <w:r w:rsidRPr="009E1361">
        <w:rPr>
          <w:lang w:val="en-AU"/>
        </w:rPr>
        <w:t>.  </w:t>
      </w:r>
    </w:p>
    <w:tbl>
      <w:tblPr>
        <w:tblStyle w:val="TableGrid"/>
        <w:tblW w:w="0" w:type="auto"/>
        <w:tblLook w:val="04A0" w:firstRow="1" w:lastRow="0" w:firstColumn="1" w:lastColumn="0" w:noHBand="0" w:noVBand="1"/>
      </w:tblPr>
      <w:tblGrid>
        <w:gridCol w:w="846"/>
        <w:gridCol w:w="8170"/>
      </w:tblGrid>
      <w:tr w:rsidR="00960A13" w:rsidRPr="009E1361" w14:paraId="093B9017" w14:textId="77777777">
        <w:tc>
          <w:tcPr>
            <w:tcW w:w="846" w:type="dxa"/>
          </w:tcPr>
          <w:p w14:paraId="10A21CA0"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74B958F3" wp14:editId="05964ABB">
                  <wp:extent cx="383111" cy="381000"/>
                  <wp:effectExtent l="0" t="0" r="0" b="0"/>
                  <wp:docPr id="558321248" name="Picture 5583212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3630CD2A" w14:textId="77777777" w:rsidR="00960A13" w:rsidRPr="009E1361" w:rsidRDefault="00960A13" w:rsidP="00A677C9">
            <w:pPr>
              <w:spacing w:before="240" w:after="240"/>
            </w:pPr>
            <w:hyperlink r:id="rId213">
              <w:r w:rsidRPr="009E1361">
                <w:rPr>
                  <w:rStyle w:val="Hyperlink"/>
                </w:rPr>
                <w:t>Aged Care Volunteer Visitors Scheme (ACVVS) | Australian Government Department of Health, Disability and Aged Care</w:t>
              </w:r>
            </w:hyperlink>
            <w:r w:rsidRPr="009E1361">
              <w:t> </w:t>
            </w:r>
          </w:p>
        </w:tc>
      </w:tr>
    </w:tbl>
    <w:p w14:paraId="4D136EF0" w14:textId="5BC433B2" w:rsidR="00960A13" w:rsidRPr="009E1361" w:rsidRDefault="00D85F41" w:rsidP="00C56CEC">
      <w:pPr>
        <w:pStyle w:val="H3"/>
      </w:pPr>
      <w:bookmarkStart w:id="564" w:name="_Toc159226959"/>
      <w:bookmarkStart w:id="565" w:name="_Toc184402376"/>
      <w:r>
        <w:t>I</w:t>
      </w:r>
      <w:r w:rsidR="00960A13" w:rsidRPr="009E1361">
        <w:t xml:space="preserve">nterpreting </w:t>
      </w:r>
      <w:r w:rsidR="004C16AF">
        <w:t xml:space="preserve">and translation </w:t>
      </w:r>
      <w:r w:rsidR="00E23C82">
        <w:t>s</w:t>
      </w:r>
      <w:r w:rsidR="00960A13" w:rsidRPr="009E1361">
        <w:t>ervice</w:t>
      </w:r>
      <w:r w:rsidR="00E23C82">
        <w:t>s</w:t>
      </w:r>
      <w:r w:rsidR="00960A13" w:rsidRPr="009E1361">
        <w:t xml:space="preserve"> for people from culturally and linguistically diverse backgrounds</w:t>
      </w:r>
      <w:bookmarkEnd w:id="564"/>
      <w:bookmarkEnd w:id="565"/>
    </w:p>
    <w:p w14:paraId="7D93C9F2" w14:textId="77777777" w:rsidR="00960A13" w:rsidRPr="009E1361" w:rsidRDefault="00960A13" w:rsidP="00A677C9">
      <w:pPr>
        <w:spacing w:before="240" w:after="240" w:line="240" w:lineRule="auto"/>
      </w:pPr>
      <w:r w:rsidRPr="009E1361">
        <w:t>Every older person has a right to communicate in their preferred language or method of communication, with access to interpreters and communication aids as required.</w:t>
      </w:r>
    </w:p>
    <w:p w14:paraId="1CF5AE85" w14:textId="3B23369F" w:rsidR="00960A13" w:rsidRPr="009E1361" w:rsidRDefault="00960A13" w:rsidP="00A677C9">
      <w:pPr>
        <w:spacing w:before="240" w:after="240" w:line="240" w:lineRule="auto"/>
        <w:rPr>
          <w:rFonts w:eastAsia="Century Gothic"/>
          <w:sz w:val="20"/>
          <w:szCs w:val="20"/>
        </w:rPr>
      </w:pPr>
      <w:r>
        <w:t>If an older person requires an interpreter</w:t>
      </w:r>
      <w:r w:rsidR="00342ADD">
        <w:t xml:space="preserve"> or translation services</w:t>
      </w:r>
      <w:r>
        <w:t xml:space="preserve">, </w:t>
      </w:r>
      <w:r w:rsidR="00BC3417">
        <w:t xml:space="preserve">it is the responsibility of the assessment organisation to </w:t>
      </w:r>
      <w:r w:rsidR="005349C7">
        <w:t>access these</w:t>
      </w:r>
      <w:r w:rsidR="00342ADD">
        <w:t xml:space="preserve"> services </w:t>
      </w:r>
      <w:r w:rsidR="005349C7">
        <w:t xml:space="preserve">as </w:t>
      </w:r>
      <w:r w:rsidR="002C04D3">
        <w:t>needed</w:t>
      </w:r>
      <w:r w:rsidR="005349C7">
        <w:t xml:space="preserve"> to support </w:t>
      </w:r>
      <w:r w:rsidR="006D6A56">
        <w:t>the</w:t>
      </w:r>
      <w:r w:rsidR="005349C7">
        <w:t xml:space="preserve"> older person</w:t>
      </w:r>
      <w:r w:rsidR="002C04D3">
        <w:t xml:space="preserve"> through the assessment process</w:t>
      </w:r>
      <w:r w:rsidR="005349C7">
        <w:t>.</w:t>
      </w:r>
    </w:p>
    <w:p w14:paraId="1834D5B2" w14:textId="77777777" w:rsidR="00960A13" w:rsidRPr="009E1361" w:rsidRDefault="00960A13" w:rsidP="00CC6081">
      <w:pPr>
        <w:pStyle w:val="H4"/>
      </w:pPr>
      <w:bookmarkStart w:id="566" w:name="_Toc159226960"/>
      <w:bookmarkStart w:id="567" w:name="_Toc184402377"/>
      <w:r w:rsidRPr="009E1361">
        <w:t>Sign language interpreting services</w:t>
      </w:r>
      <w:bookmarkEnd w:id="566"/>
      <w:bookmarkEnd w:id="567"/>
    </w:p>
    <w:p w14:paraId="3DF6DC0A" w14:textId="2683EA0D" w:rsidR="00960A13" w:rsidRPr="009E1361" w:rsidRDefault="00960A13" w:rsidP="00A677C9">
      <w:pPr>
        <w:spacing w:before="240" w:after="240" w:line="240" w:lineRule="auto"/>
      </w:pPr>
      <w:r w:rsidRPr="009E1361">
        <w:t xml:space="preserve">Older Australians who are deaf, deafblind or hard of hearing, who are seeking to access or are in receipt of Commonwealth funded aged care services can access </w:t>
      </w:r>
      <w:r w:rsidRPr="009E1361">
        <w:rPr>
          <w:b/>
        </w:rPr>
        <w:t>free</w:t>
      </w:r>
      <w:r w:rsidRPr="009E1361">
        <w:t xml:space="preserve"> sign language interpreting and captioning services. Sign language services can be provided face-to-face or by Video Remote, and live captioning services are available to support </w:t>
      </w:r>
      <w:r w:rsidR="00516348">
        <w:t>older people</w:t>
      </w:r>
      <w:r w:rsidRPr="009E1361">
        <w:t xml:space="preserve"> to better engage and fully participate in their aged care journey and activities of daily living. </w:t>
      </w:r>
    </w:p>
    <w:p w14:paraId="42644552" w14:textId="77777777" w:rsidR="00960A13" w:rsidRPr="009E1361" w:rsidRDefault="00960A13" w:rsidP="00A677C9">
      <w:pPr>
        <w:spacing w:before="240" w:after="240" w:line="240" w:lineRule="auto"/>
        <w:rPr>
          <w:i/>
        </w:rPr>
      </w:pPr>
      <w:r w:rsidRPr="009E1361">
        <w:t xml:space="preserve">Information on how service providers can access interpreting services is available online at </w:t>
      </w:r>
      <w:hyperlink r:id="rId214" w:anchor="relay">
        <w:r w:rsidRPr="009E1361">
          <w:rPr>
            <w:rStyle w:val="Hyperlink"/>
          </w:rPr>
          <w:t>My Aged Care</w:t>
        </w:r>
      </w:hyperlink>
      <w:r w:rsidRPr="009E1361">
        <w:t xml:space="preserve"> (or by calling 1800 200 422) or </w:t>
      </w:r>
      <w:hyperlink r:id="rId215">
        <w:r w:rsidRPr="009E1361">
          <w:rPr>
            <w:rStyle w:val="Hyperlink"/>
          </w:rPr>
          <w:t>Deaf Connect</w:t>
        </w:r>
      </w:hyperlink>
      <w:r w:rsidRPr="009E1361">
        <w:t xml:space="preserve"> (or by calling 1300 773 803)</w:t>
      </w:r>
      <w:r w:rsidRPr="009E1361">
        <w:rPr>
          <w:i/>
          <w:iCs/>
        </w:rPr>
        <w:t>.</w:t>
      </w:r>
    </w:p>
    <w:p w14:paraId="1BC444E4" w14:textId="77777777" w:rsidR="00960A13" w:rsidRPr="009E1361" w:rsidRDefault="00960A13" w:rsidP="00A677C9">
      <w:pPr>
        <w:spacing w:before="240" w:after="240" w:line="240" w:lineRule="auto"/>
      </w:pPr>
      <w:r w:rsidRPr="009E1361">
        <w:t xml:space="preserve">If an older person enquires about sign language interpreting for daily activities, not aged care related, please refer them to </w:t>
      </w:r>
      <w:hyperlink r:id="rId216">
        <w:r w:rsidRPr="009E1361">
          <w:rPr>
            <w:rStyle w:val="Hyperlink"/>
          </w:rPr>
          <w:t>Deaf Connect</w:t>
        </w:r>
      </w:hyperlink>
      <w:r w:rsidRPr="009E1361">
        <w:t xml:space="preserve"> where they can also receive free services.</w:t>
      </w:r>
    </w:p>
    <w:p w14:paraId="53939A18" w14:textId="77777777" w:rsidR="00960A13" w:rsidRPr="009E1361" w:rsidRDefault="00960A13" w:rsidP="00A677C9">
      <w:pPr>
        <w:spacing w:before="240" w:after="240" w:line="240" w:lineRule="auto"/>
      </w:pPr>
      <w:r w:rsidRPr="009E1361">
        <w:t>Sign language services are available in Auslan, American Sign Language, International Sign Language, and Signed English for Deaf or people who are hard of hearing, and tactile signing and hand over hand for people who are deafblind.</w:t>
      </w:r>
    </w:p>
    <w:p w14:paraId="608B7E8E" w14:textId="77777777" w:rsidR="00960A13" w:rsidRPr="009E1361" w:rsidRDefault="00960A13" w:rsidP="00C56CEC">
      <w:pPr>
        <w:pStyle w:val="H3"/>
      </w:pPr>
      <w:bookmarkStart w:id="568" w:name="_Ref128155866"/>
      <w:bookmarkStart w:id="569" w:name="_Toc159226961"/>
      <w:bookmarkStart w:id="570" w:name="_Toc184402378"/>
      <w:r w:rsidRPr="009E1361">
        <w:t>Interpreting services</w:t>
      </w:r>
      <w:bookmarkEnd w:id="568"/>
      <w:bookmarkEnd w:id="569"/>
      <w:bookmarkEnd w:id="570"/>
      <w:r w:rsidRPr="009E1361">
        <w:t xml:space="preserve"> for Aboriginal and Torres Strait Islander people</w:t>
      </w:r>
    </w:p>
    <w:p w14:paraId="628306BE" w14:textId="6A2DB4E9" w:rsidR="00960A13" w:rsidRPr="009E1361" w:rsidRDefault="00960A13" w:rsidP="00A677C9">
      <w:pPr>
        <w:spacing w:before="240" w:after="240" w:line="240" w:lineRule="auto"/>
        <w:rPr>
          <w:rFonts w:eastAsia="Century Gothic"/>
          <w:sz w:val="20"/>
          <w:szCs w:val="20"/>
        </w:rPr>
      </w:pPr>
      <w:r w:rsidRPr="009E1361">
        <w:t xml:space="preserve">It is important for </w:t>
      </w:r>
      <w:r w:rsidR="00CC4BDB">
        <w:t>older Aboriginal and Torres Strait Islander people</w:t>
      </w:r>
      <w:r w:rsidRPr="009E1361">
        <w:t xml:space="preserve"> accessing or thinking of accessing Australian Government-funded aged care services to be able to communicate in an Aboriginal and Torres Strait Islander language if that is their preference. </w:t>
      </w:r>
    </w:p>
    <w:p w14:paraId="57A69C36" w14:textId="36303F1A" w:rsidR="00960A13" w:rsidRPr="009E1361" w:rsidRDefault="00960A13" w:rsidP="00A677C9">
      <w:pPr>
        <w:spacing w:before="240" w:after="240" w:line="240" w:lineRule="auto"/>
      </w:pPr>
      <w:r w:rsidRPr="009E1361">
        <w:t xml:space="preserve">To access Interpreter Connect, </w:t>
      </w:r>
      <w:r w:rsidR="00A35C1E">
        <w:t>an</w:t>
      </w:r>
      <w:r w:rsidR="00A35C1E" w:rsidRPr="009E1361">
        <w:t xml:space="preserve"> </w:t>
      </w:r>
      <w:r w:rsidRPr="009E1361">
        <w:t xml:space="preserve">Aboriginal and Torres Strait Islander </w:t>
      </w:r>
      <w:r w:rsidR="00A35C1E">
        <w:t>person</w:t>
      </w:r>
      <w:r w:rsidR="00A35C1E" w:rsidRPr="009E1361">
        <w:t xml:space="preserve"> </w:t>
      </w:r>
      <w:r w:rsidRPr="009E1361">
        <w:t>should call My Aged Care on 1800 200 422 and ask for an interpreter from the following list of languages. Through the interpreter, My Aged Care will answer the person’s aged care questions and then, if asked to, will assist them with accessing services. Languages available include:</w:t>
      </w:r>
    </w:p>
    <w:tbl>
      <w:tblPr>
        <w:tblStyle w:val="TableGrid"/>
        <w:tblW w:w="0" w:type="auto"/>
        <w:tblLook w:val="04A0" w:firstRow="1" w:lastRow="0" w:firstColumn="1" w:lastColumn="0" w:noHBand="0" w:noVBand="1"/>
      </w:tblPr>
      <w:tblGrid>
        <w:gridCol w:w="4508"/>
        <w:gridCol w:w="4508"/>
      </w:tblGrid>
      <w:tr w:rsidR="00960A13" w:rsidRPr="009E1361" w14:paraId="1708DA75" w14:textId="77777777">
        <w:tc>
          <w:tcPr>
            <w:tcW w:w="4508" w:type="dxa"/>
          </w:tcPr>
          <w:p w14:paraId="2DC3A0C1" w14:textId="77777777" w:rsidR="00960A13" w:rsidRPr="009E1361" w:rsidRDefault="00960A13" w:rsidP="00DF3F6B">
            <w:pPr>
              <w:pStyle w:val="ListParagraph"/>
              <w:numPr>
                <w:ilvl w:val="0"/>
                <w:numId w:val="176"/>
              </w:numPr>
              <w:spacing w:before="240" w:after="240"/>
            </w:pPr>
            <w:r w:rsidRPr="009E1361">
              <w:t>Alyawarre</w:t>
            </w:r>
          </w:p>
          <w:p w14:paraId="44FADD7C" w14:textId="77777777" w:rsidR="00960A13" w:rsidRPr="009E1361" w:rsidRDefault="00960A13" w:rsidP="00DF3F6B">
            <w:pPr>
              <w:pStyle w:val="ListParagraph"/>
              <w:numPr>
                <w:ilvl w:val="0"/>
                <w:numId w:val="176"/>
              </w:numPr>
              <w:spacing w:before="240" w:after="240"/>
            </w:pPr>
            <w:r w:rsidRPr="009E1361">
              <w:t>Anmatyerre</w:t>
            </w:r>
          </w:p>
          <w:p w14:paraId="670FC1ED" w14:textId="77777777" w:rsidR="00960A13" w:rsidRPr="009E1361" w:rsidRDefault="00960A13" w:rsidP="00DF3F6B">
            <w:pPr>
              <w:pStyle w:val="ListParagraph"/>
              <w:numPr>
                <w:ilvl w:val="0"/>
                <w:numId w:val="176"/>
              </w:numPr>
              <w:spacing w:before="240" w:after="240"/>
            </w:pPr>
            <w:r w:rsidRPr="009E1361">
              <w:t xml:space="preserve">Arrernte (Eastern and Central) </w:t>
            </w:r>
          </w:p>
          <w:p w14:paraId="628F7FCE" w14:textId="77777777" w:rsidR="00960A13" w:rsidRPr="009E1361" w:rsidRDefault="00960A13" w:rsidP="00DF3F6B">
            <w:pPr>
              <w:pStyle w:val="ListParagraph"/>
              <w:numPr>
                <w:ilvl w:val="0"/>
                <w:numId w:val="176"/>
              </w:numPr>
              <w:spacing w:before="240" w:after="240"/>
            </w:pPr>
            <w:r w:rsidRPr="009E1361">
              <w:t>Arrernte (Western)</w:t>
            </w:r>
          </w:p>
          <w:p w14:paraId="3626F274" w14:textId="77777777" w:rsidR="00960A13" w:rsidRPr="009E1361" w:rsidRDefault="00960A13" w:rsidP="00DF3F6B">
            <w:pPr>
              <w:pStyle w:val="ListParagraph"/>
              <w:numPr>
                <w:ilvl w:val="0"/>
                <w:numId w:val="176"/>
              </w:numPr>
              <w:spacing w:before="240" w:after="240"/>
            </w:pPr>
            <w:r w:rsidRPr="009E1361">
              <w:t>Djambarrpuyngu</w:t>
            </w:r>
          </w:p>
          <w:p w14:paraId="0F302635" w14:textId="77777777" w:rsidR="00960A13" w:rsidRPr="009E1361" w:rsidRDefault="00960A13" w:rsidP="00DF3F6B">
            <w:pPr>
              <w:pStyle w:val="ListParagraph"/>
              <w:numPr>
                <w:ilvl w:val="0"/>
                <w:numId w:val="176"/>
              </w:numPr>
              <w:spacing w:before="240" w:after="240"/>
            </w:pPr>
            <w:r w:rsidRPr="009E1361">
              <w:t>Gumatj</w:t>
            </w:r>
          </w:p>
          <w:p w14:paraId="45367F78" w14:textId="77777777" w:rsidR="00960A13" w:rsidRPr="009E1361" w:rsidRDefault="00960A13" w:rsidP="00DF3F6B">
            <w:pPr>
              <w:pStyle w:val="ListParagraph"/>
              <w:numPr>
                <w:ilvl w:val="0"/>
                <w:numId w:val="176"/>
              </w:numPr>
              <w:spacing w:before="240" w:after="240"/>
            </w:pPr>
            <w:r w:rsidRPr="009E1361">
              <w:t>Kriol (Top End)</w:t>
            </w:r>
          </w:p>
          <w:p w14:paraId="56C4EB9E" w14:textId="77777777" w:rsidR="00960A13" w:rsidRPr="009E1361" w:rsidRDefault="00960A13" w:rsidP="00DF3F6B">
            <w:pPr>
              <w:pStyle w:val="ListParagraph"/>
              <w:numPr>
                <w:ilvl w:val="0"/>
                <w:numId w:val="176"/>
              </w:numPr>
              <w:spacing w:before="240" w:after="240"/>
            </w:pPr>
            <w:r w:rsidRPr="009E1361">
              <w:t>Murrinh Patha</w:t>
            </w:r>
          </w:p>
          <w:p w14:paraId="3EADD3B9" w14:textId="685D3027" w:rsidR="00960A13" w:rsidRPr="009E1361" w:rsidRDefault="00960A13" w:rsidP="00DF3F6B">
            <w:pPr>
              <w:pStyle w:val="ListParagraph"/>
              <w:numPr>
                <w:ilvl w:val="0"/>
                <w:numId w:val="176"/>
              </w:numPr>
              <w:spacing w:before="240" w:after="240"/>
            </w:pPr>
            <w:r w:rsidRPr="009E1361">
              <w:t>Ngaanyatjarra</w:t>
            </w:r>
          </w:p>
        </w:tc>
        <w:tc>
          <w:tcPr>
            <w:tcW w:w="4508" w:type="dxa"/>
          </w:tcPr>
          <w:p w14:paraId="2DA03B19" w14:textId="77777777" w:rsidR="00960A13" w:rsidRPr="009E1361" w:rsidRDefault="00960A13" w:rsidP="00DF3F6B">
            <w:pPr>
              <w:pStyle w:val="ListParagraph"/>
              <w:numPr>
                <w:ilvl w:val="0"/>
                <w:numId w:val="176"/>
              </w:numPr>
              <w:spacing w:before="240" w:after="240"/>
            </w:pPr>
            <w:r w:rsidRPr="009E1361">
              <w:t>Ngaatjatjarra</w:t>
            </w:r>
          </w:p>
          <w:p w14:paraId="7707EE38" w14:textId="77777777" w:rsidR="00960A13" w:rsidRPr="009E1361" w:rsidRDefault="00960A13" w:rsidP="00DF3F6B">
            <w:pPr>
              <w:pStyle w:val="ListParagraph"/>
              <w:numPr>
                <w:ilvl w:val="0"/>
                <w:numId w:val="176"/>
              </w:numPr>
              <w:spacing w:before="240" w:after="240"/>
            </w:pPr>
            <w:r w:rsidRPr="009E1361">
              <w:t>Pintupi-Luritja</w:t>
            </w:r>
          </w:p>
          <w:p w14:paraId="064AC6C5" w14:textId="77777777" w:rsidR="00960A13" w:rsidRPr="009E1361" w:rsidRDefault="00960A13" w:rsidP="00DF3F6B">
            <w:pPr>
              <w:pStyle w:val="ListParagraph"/>
              <w:numPr>
                <w:ilvl w:val="0"/>
                <w:numId w:val="176"/>
              </w:numPr>
              <w:spacing w:before="240" w:after="240"/>
            </w:pPr>
            <w:r w:rsidRPr="009E1361">
              <w:t>Pitjantjatjara</w:t>
            </w:r>
          </w:p>
          <w:p w14:paraId="7DB820BF" w14:textId="77777777" w:rsidR="00960A13" w:rsidRPr="009E1361" w:rsidRDefault="00960A13" w:rsidP="00DF3F6B">
            <w:pPr>
              <w:pStyle w:val="ListParagraph"/>
              <w:numPr>
                <w:ilvl w:val="0"/>
                <w:numId w:val="176"/>
              </w:numPr>
              <w:spacing w:before="240" w:after="240"/>
            </w:pPr>
            <w:r w:rsidRPr="009E1361">
              <w:t>Torres Strait Creole/Yumpla Tok</w:t>
            </w:r>
          </w:p>
          <w:p w14:paraId="1BCD2D89" w14:textId="77777777" w:rsidR="00960A13" w:rsidRPr="009E1361" w:rsidRDefault="00960A13" w:rsidP="00DF3F6B">
            <w:pPr>
              <w:pStyle w:val="ListParagraph"/>
              <w:numPr>
                <w:ilvl w:val="0"/>
                <w:numId w:val="176"/>
              </w:numPr>
              <w:spacing w:before="240" w:after="240"/>
            </w:pPr>
            <w:r w:rsidRPr="009E1361">
              <w:t>Warlpiri</w:t>
            </w:r>
          </w:p>
          <w:p w14:paraId="295894D9" w14:textId="77777777" w:rsidR="00960A13" w:rsidRPr="009E1361" w:rsidRDefault="00960A13" w:rsidP="00DF3F6B">
            <w:pPr>
              <w:pStyle w:val="ListParagraph"/>
              <w:numPr>
                <w:ilvl w:val="0"/>
                <w:numId w:val="176"/>
              </w:numPr>
              <w:spacing w:before="240" w:after="240"/>
            </w:pPr>
            <w:r w:rsidRPr="009E1361">
              <w:t>Yankunytjatjara</w:t>
            </w:r>
          </w:p>
          <w:p w14:paraId="46530586" w14:textId="77777777" w:rsidR="00960A13" w:rsidRPr="009E1361" w:rsidRDefault="00960A13" w:rsidP="00DF3F6B">
            <w:pPr>
              <w:pStyle w:val="ListParagraph"/>
              <w:numPr>
                <w:ilvl w:val="0"/>
                <w:numId w:val="176"/>
              </w:numPr>
              <w:spacing w:before="240" w:after="240"/>
            </w:pPr>
            <w:r w:rsidRPr="009E1361">
              <w:t>Yolngu Matha</w:t>
            </w:r>
          </w:p>
          <w:p w14:paraId="7A07C476" w14:textId="77777777" w:rsidR="00960A13" w:rsidRPr="009E1361" w:rsidRDefault="00960A13" w:rsidP="00A677C9">
            <w:pPr>
              <w:spacing w:before="240" w:after="240"/>
            </w:pPr>
          </w:p>
        </w:tc>
      </w:tr>
    </w:tbl>
    <w:p w14:paraId="49B16A15" w14:textId="282D73A6" w:rsidR="00960A13" w:rsidRPr="009E1361" w:rsidRDefault="00960A13" w:rsidP="00A677C9">
      <w:pPr>
        <w:spacing w:before="240" w:after="240" w:line="240" w:lineRule="auto"/>
      </w:pPr>
      <w:r w:rsidRPr="009E1361">
        <w:t xml:space="preserve">If an interpreter from the above list is not available at the time of the call, an appropriate time that suits the Aboriginal and Torres Strait Islander </w:t>
      </w:r>
      <w:r w:rsidR="004D1FD7">
        <w:t>person</w:t>
      </w:r>
      <w:r w:rsidR="004D1FD7" w:rsidRPr="009E1361">
        <w:t xml:space="preserve"> </w:t>
      </w:r>
      <w:r w:rsidRPr="009E1361">
        <w:t>will be arranged. </w:t>
      </w:r>
      <w:r w:rsidRPr="009E1361">
        <w:rPr>
          <w:lang w:val="en"/>
        </w:rPr>
        <w:t xml:space="preserve">This service aims </w:t>
      </w:r>
      <w:r w:rsidRPr="009E1361" w:rsidDel="00CE3B83">
        <w:rPr>
          <w:lang w:val="en"/>
        </w:rPr>
        <w:t xml:space="preserve">to </w:t>
      </w:r>
      <w:r w:rsidRPr="009E1361">
        <w:t xml:space="preserve">make it easier for older Aboriginal and Torres Strait Islander people, their families and carers to access information on ageing and aged care, to have their needs assessed and to be supported to find the most appropriate services. </w:t>
      </w:r>
    </w:p>
    <w:p w14:paraId="3F4DB3A2" w14:textId="77777777" w:rsidR="00960A13" w:rsidRPr="009E1361" w:rsidRDefault="00960A13" w:rsidP="00C56CEC">
      <w:pPr>
        <w:pStyle w:val="H3"/>
      </w:pPr>
      <w:r w:rsidRPr="009E1361">
        <w:t>Elder Care Support</w:t>
      </w:r>
    </w:p>
    <w:p w14:paraId="22F12EF6" w14:textId="2920AE8F" w:rsidR="00960A13" w:rsidRPr="009E1361" w:rsidRDefault="00960A13" w:rsidP="00A677C9">
      <w:pPr>
        <w:spacing w:before="240" w:after="240" w:line="240" w:lineRule="auto"/>
      </w:pPr>
      <w:r w:rsidRPr="009E1361">
        <w:rPr>
          <w:rFonts w:eastAsia="Aptos"/>
        </w:rPr>
        <w:t>T</w:t>
      </w:r>
      <w:r w:rsidRPr="009E1361">
        <w:t xml:space="preserve">he Elder Care Support Program was established to recruit and train a trusted workforce to support older Aboriginal and Torres Strait Islander people and their families throughout their aged care journey. This support contributes to </w:t>
      </w:r>
      <w:r w:rsidR="00530710">
        <w:t>older people</w:t>
      </w:r>
      <w:r w:rsidR="00530710" w:rsidRPr="009E1361">
        <w:t xml:space="preserve"> </w:t>
      </w:r>
      <w:r w:rsidRPr="009E1361">
        <w:t xml:space="preserve">achieving a better, safer experience when accessing aged care services and having the information to make decisions on the care they need and receive. </w:t>
      </w:r>
    </w:p>
    <w:p w14:paraId="19A3566E" w14:textId="77777777" w:rsidR="00960A13" w:rsidRPr="009E1361" w:rsidRDefault="00960A13" w:rsidP="00A677C9">
      <w:pPr>
        <w:spacing w:before="240" w:after="240" w:line="240" w:lineRule="auto"/>
      </w:pPr>
      <w:r w:rsidRPr="009E1361">
        <w:t>The Elder Care Support program provides services that include: </w:t>
      </w:r>
    </w:p>
    <w:p w14:paraId="2A37833E" w14:textId="77777777" w:rsidR="00960A13" w:rsidRPr="009E1361" w:rsidRDefault="00960A13" w:rsidP="00DF3F6B">
      <w:pPr>
        <w:pStyle w:val="ListParagraph"/>
        <w:numPr>
          <w:ilvl w:val="0"/>
          <w:numId w:val="151"/>
        </w:numPr>
        <w:spacing w:before="240" w:after="240" w:line="240" w:lineRule="auto"/>
      </w:pPr>
      <w:r w:rsidRPr="009E1361">
        <w:t>supporting older Aboriginal and Torres Strait Islander people to understand aged care services, navigate the assessment process and help with choosing a provider </w:t>
      </w:r>
    </w:p>
    <w:p w14:paraId="2EB2ADBA" w14:textId="77777777" w:rsidR="00960A13" w:rsidRPr="009E1361" w:rsidRDefault="00960A13" w:rsidP="00DF3F6B">
      <w:pPr>
        <w:pStyle w:val="ListParagraph"/>
        <w:numPr>
          <w:ilvl w:val="0"/>
          <w:numId w:val="151"/>
        </w:numPr>
        <w:spacing w:before="240" w:after="240" w:line="240" w:lineRule="auto"/>
      </w:pPr>
      <w:r w:rsidRPr="009E1361">
        <w:t>supporting families, friends and carers to understand how to access aged care services </w:t>
      </w:r>
    </w:p>
    <w:p w14:paraId="17BF87FF" w14:textId="77777777" w:rsidR="00960A13" w:rsidRPr="009E1361" w:rsidRDefault="00960A13" w:rsidP="00DF3F6B">
      <w:pPr>
        <w:pStyle w:val="ListParagraph"/>
        <w:numPr>
          <w:ilvl w:val="0"/>
          <w:numId w:val="151"/>
        </w:numPr>
        <w:spacing w:before="240" w:after="240" w:line="240" w:lineRule="auto"/>
      </w:pPr>
      <w:r w:rsidRPr="009E1361">
        <w:t>advocating for older Aboriginal and Torres Strait Islander people by working with assessors and providers to meet their needs </w:t>
      </w:r>
    </w:p>
    <w:p w14:paraId="29D109CB" w14:textId="77777777" w:rsidR="00960A13" w:rsidRPr="009E1361" w:rsidRDefault="00960A13" w:rsidP="00DF3F6B">
      <w:pPr>
        <w:pStyle w:val="ListParagraph"/>
        <w:numPr>
          <w:ilvl w:val="0"/>
          <w:numId w:val="151"/>
        </w:numPr>
        <w:spacing w:before="240" w:after="240" w:line="240" w:lineRule="auto"/>
      </w:pPr>
      <w:r w:rsidRPr="009E1361">
        <w:t>supporting older Aboriginal and Torres Strait Islander people while they receive aged care services </w:t>
      </w:r>
    </w:p>
    <w:p w14:paraId="53718783" w14:textId="77777777" w:rsidR="00960A13" w:rsidRPr="009E1361" w:rsidRDefault="00960A13" w:rsidP="00DF3F6B">
      <w:pPr>
        <w:pStyle w:val="ListParagraph"/>
        <w:numPr>
          <w:ilvl w:val="0"/>
          <w:numId w:val="151"/>
        </w:numPr>
        <w:spacing w:before="240" w:after="240" w:line="240" w:lineRule="auto"/>
      </w:pPr>
      <w:r w:rsidRPr="009E1361">
        <w:t>assisting with other types of health needs, such as disability supports.</w:t>
      </w:r>
    </w:p>
    <w:p w14:paraId="45689377" w14:textId="77777777" w:rsidR="00960A13" w:rsidRPr="009E1361" w:rsidRDefault="00960A13" w:rsidP="00A677C9">
      <w:pPr>
        <w:spacing w:before="240" w:after="240" w:line="240" w:lineRule="auto"/>
      </w:pPr>
      <w:r w:rsidRPr="009E1361">
        <w:t xml:space="preserve">The </w:t>
      </w:r>
      <w:hyperlink r:id="rId217">
        <w:r w:rsidRPr="009E1361">
          <w:rPr>
            <w:rStyle w:val="Hyperlink"/>
          </w:rPr>
          <w:t>National Aboriginal Community Controlled Health Organisation (NACCHO)</w:t>
        </w:r>
      </w:hyperlink>
      <w:r w:rsidRPr="009E1361">
        <w:t xml:space="preserve"> Aged Care Programs team can provide further information about the program at </w:t>
      </w:r>
      <w:hyperlink r:id="rId218">
        <w:r w:rsidRPr="009E1361">
          <w:rPr>
            <w:rStyle w:val="Hyperlink"/>
          </w:rPr>
          <w:t>agedcare@naccho.org.au</w:t>
        </w:r>
      </w:hyperlink>
      <w:r w:rsidRPr="009E1361">
        <w:t>.</w:t>
      </w:r>
    </w:p>
    <w:tbl>
      <w:tblPr>
        <w:tblStyle w:val="TableGrid"/>
        <w:tblW w:w="0" w:type="auto"/>
        <w:tblLook w:val="04A0" w:firstRow="1" w:lastRow="0" w:firstColumn="1" w:lastColumn="0" w:noHBand="0" w:noVBand="1"/>
      </w:tblPr>
      <w:tblGrid>
        <w:gridCol w:w="846"/>
        <w:gridCol w:w="8170"/>
      </w:tblGrid>
      <w:tr w:rsidR="00960A13" w:rsidRPr="009E1361" w14:paraId="0CC64F09" w14:textId="77777777">
        <w:tc>
          <w:tcPr>
            <w:tcW w:w="846" w:type="dxa"/>
            <w:vAlign w:val="center"/>
          </w:tcPr>
          <w:p w14:paraId="57EE2521"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71BDA380" wp14:editId="13364EDA">
                  <wp:extent cx="383111" cy="381000"/>
                  <wp:effectExtent l="0" t="0" r="0" b="0"/>
                  <wp:docPr id="2016669095" name="Picture 201666909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vAlign w:val="center"/>
          </w:tcPr>
          <w:p w14:paraId="66134837" w14:textId="77777777" w:rsidR="00960A13" w:rsidRPr="009E1361" w:rsidRDefault="00960A13" w:rsidP="00A677C9">
            <w:pPr>
              <w:spacing w:before="240" w:after="240"/>
            </w:pPr>
            <w:hyperlink r:id="rId219">
              <w:r w:rsidRPr="009E1361">
                <w:rPr>
                  <w:rStyle w:val="Hyperlink"/>
                </w:rPr>
                <w:t>Elder Care Support</w:t>
              </w:r>
            </w:hyperlink>
          </w:p>
        </w:tc>
      </w:tr>
    </w:tbl>
    <w:p w14:paraId="641EAA8F" w14:textId="58255023" w:rsidR="00960A13" w:rsidRPr="009E1361" w:rsidRDefault="00960A13" w:rsidP="00C56CEC">
      <w:pPr>
        <w:pStyle w:val="H3"/>
      </w:pPr>
      <w:r w:rsidRPr="009E1361">
        <w:t>Care Finder</w:t>
      </w:r>
      <w:r w:rsidR="00F44F52">
        <w:t xml:space="preserve"> Program</w:t>
      </w:r>
    </w:p>
    <w:p w14:paraId="078223DE" w14:textId="77777777" w:rsidR="00960A13" w:rsidRPr="009E1361" w:rsidRDefault="00960A13" w:rsidP="00A677C9">
      <w:pPr>
        <w:spacing w:before="240" w:after="240" w:line="240" w:lineRule="auto"/>
      </w:pPr>
      <w:r w:rsidRPr="009E1361">
        <w:t>The care finder program offers tailored, intensive support to people who have one or more reasons for requiring assistance to interact with My Aged Care and access aged care services and other relevant community supports.</w:t>
      </w:r>
    </w:p>
    <w:p w14:paraId="26A6AF0D" w14:textId="77777777" w:rsidR="00960A13" w:rsidRPr="009E1361" w:rsidRDefault="00960A13" w:rsidP="00A677C9">
      <w:pPr>
        <w:spacing w:before="240" w:after="240" w:line="240" w:lineRule="auto"/>
      </w:pPr>
      <w:r w:rsidRPr="009E1361">
        <w:t>Care finders help vulnerable older people understand and access aged care and connect with other relevant supports in their community. This includes people who are, or are not yet, receiving aged care services or other relevant supports.</w:t>
      </w:r>
    </w:p>
    <w:p w14:paraId="6396506D" w14:textId="77777777" w:rsidR="00960A13" w:rsidRPr="009E1361" w:rsidRDefault="00960A13" w:rsidP="00A677C9">
      <w:pPr>
        <w:spacing w:before="240" w:after="240" w:line="240" w:lineRule="auto"/>
      </w:pPr>
      <w:r w:rsidRPr="009E1361">
        <w:t>Care finders support people who don’t have family, friends, a carer or any other person they are comfortable receiving help from and who is willing and able to help them access aged care services and supports.</w:t>
      </w:r>
      <w:r w:rsidRPr="009E1361">
        <w:rPr>
          <w:sz w:val="18"/>
          <w:szCs w:val="18"/>
        </w:rPr>
        <w:t xml:space="preserve"> </w:t>
      </w:r>
      <w:r w:rsidRPr="009E1361">
        <w:t>Care finders conduct outreach and then register the older person through the My Aged Care contact centre.</w:t>
      </w:r>
    </w:p>
    <w:p w14:paraId="1898431C" w14:textId="77777777" w:rsidR="00960A13" w:rsidRPr="009E1361" w:rsidRDefault="00960A13" w:rsidP="00A677C9">
      <w:pPr>
        <w:spacing w:before="240" w:after="240" w:line="240" w:lineRule="auto"/>
        <w:rPr>
          <w:color w:val="313131"/>
          <w:shd w:val="clear" w:color="auto" w:fill="FFFFFF"/>
        </w:rPr>
      </w:pPr>
      <w:r w:rsidRPr="009E1361">
        <w:t>Primary Health Networks (PHNs) are responsible for commissioning and managing care finder services, leveraging their commissioning expertise and in-depth understanding of local community needs.</w:t>
      </w:r>
    </w:p>
    <w:p w14:paraId="24535706" w14:textId="77777777" w:rsidR="00960A13" w:rsidRPr="009E1361" w:rsidRDefault="00960A13" w:rsidP="00A677C9">
      <w:pPr>
        <w:spacing w:before="240" w:after="240" w:line="240" w:lineRule="auto"/>
        <w:rPr>
          <w:shd w:val="clear" w:color="auto" w:fill="FFFFFF"/>
        </w:rPr>
      </w:pPr>
      <w:r w:rsidRPr="009E1361">
        <w:rPr>
          <w:shd w:val="clear" w:color="auto" w:fill="FFFFFF"/>
        </w:rPr>
        <w:t xml:space="preserve">Contact information for care finder services in each region is on the My Aged Care website at </w:t>
      </w:r>
      <w:hyperlink r:id="rId220" w:history="1">
        <w:r w:rsidRPr="009E1361">
          <w:rPr>
            <w:rStyle w:val="Hyperlink"/>
            <w:shd w:val="clear" w:color="auto" w:fill="FFFFFF"/>
          </w:rPr>
          <w:t>Help from a care finder</w:t>
        </w:r>
      </w:hyperlink>
      <w:r w:rsidRPr="009E1361">
        <w:rPr>
          <w:shd w:val="clear" w:color="auto" w:fill="FFFFFF"/>
        </w:rPr>
        <w:t xml:space="preserve">. </w:t>
      </w:r>
    </w:p>
    <w:tbl>
      <w:tblPr>
        <w:tblStyle w:val="TableGrid"/>
        <w:tblW w:w="0" w:type="auto"/>
        <w:tblLook w:val="04A0" w:firstRow="1" w:lastRow="0" w:firstColumn="1" w:lastColumn="0" w:noHBand="0" w:noVBand="1"/>
      </w:tblPr>
      <w:tblGrid>
        <w:gridCol w:w="846"/>
        <w:gridCol w:w="8170"/>
      </w:tblGrid>
      <w:tr w:rsidR="00960A13" w:rsidRPr="009E1361" w14:paraId="60EF6237" w14:textId="77777777">
        <w:tc>
          <w:tcPr>
            <w:tcW w:w="846" w:type="dxa"/>
            <w:vAlign w:val="center"/>
          </w:tcPr>
          <w:p w14:paraId="2C3E5075" w14:textId="77777777" w:rsidR="00960A13" w:rsidRPr="009E1361" w:rsidRDefault="00960A13" w:rsidP="00A677C9">
            <w:pPr>
              <w:pStyle w:val="NormalText"/>
              <w:spacing w:before="240" w:after="240" w:line="240" w:lineRule="auto"/>
              <w:rPr>
                <w:rFonts w:eastAsiaTheme="majorEastAsia" w:cs="Arial"/>
                <w:b/>
                <w:color w:val="1E1444"/>
                <w:shd w:val="clear" w:color="auto" w:fill="auto"/>
                <w:lang w:val="en-GB" w:eastAsia="en-AU"/>
              </w:rPr>
            </w:pPr>
            <w:r w:rsidRPr="009E1361">
              <w:rPr>
                <w:rFonts w:cs="Arial"/>
                <w:noProof/>
              </w:rPr>
              <w:drawing>
                <wp:inline distT="0" distB="0" distL="0" distR="0" wp14:anchorId="257BC3A9" wp14:editId="180DE24B">
                  <wp:extent cx="383111" cy="381000"/>
                  <wp:effectExtent l="0" t="0" r="0" b="0"/>
                  <wp:docPr id="150681001" name="Picture 15068100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2021" name="Picture 1694442021" descr="A black and white logo&#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vAlign w:val="center"/>
          </w:tcPr>
          <w:p w14:paraId="6DA152B9" w14:textId="77777777" w:rsidR="00960A13" w:rsidRPr="009E1361" w:rsidRDefault="00960A13" w:rsidP="00A677C9">
            <w:pPr>
              <w:spacing w:before="240" w:after="240"/>
              <w:rPr>
                <w:bCs/>
              </w:rPr>
            </w:pPr>
            <w:hyperlink r:id="rId221" w:history="1">
              <w:r w:rsidRPr="009E1361">
                <w:rPr>
                  <w:rStyle w:val="Hyperlink"/>
                  <w:bCs/>
                  <w:shd w:val="clear" w:color="auto" w:fill="FFFFFF"/>
                </w:rPr>
                <w:t>Care finder program</w:t>
              </w:r>
            </w:hyperlink>
          </w:p>
        </w:tc>
      </w:tr>
      <w:bookmarkEnd w:id="543"/>
    </w:tbl>
    <w:p w14:paraId="689FD322" w14:textId="77777777" w:rsidR="00E7550F" w:rsidRDefault="00E7550F" w:rsidP="00960A13">
      <w:pPr>
        <w:sectPr w:rsidR="00E7550F" w:rsidSect="00370263">
          <w:headerReference w:type="even" r:id="rId222"/>
          <w:headerReference w:type="default" r:id="rId223"/>
          <w:footerReference w:type="even" r:id="rId224"/>
          <w:footerReference w:type="default" r:id="rId225"/>
          <w:headerReference w:type="first" r:id="rId226"/>
          <w:footerReference w:type="first" r:id="rId227"/>
          <w:pgSz w:w="11906" w:h="16838"/>
          <w:pgMar w:top="1440" w:right="1440" w:bottom="1440" w:left="1440" w:header="708" w:footer="708" w:gutter="0"/>
          <w:cols w:space="708"/>
          <w:docGrid w:linePitch="360"/>
        </w:sectPr>
      </w:pPr>
    </w:p>
    <w:p w14:paraId="5A97BE1B" w14:textId="77777777" w:rsidR="00960A13" w:rsidRPr="009E1361" w:rsidRDefault="00960A13" w:rsidP="00960A13"/>
    <w:p w14:paraId="2A85ECC6" w14:textId="5158FDE4" w:rsidR="005D728C" w:rsidRPr="00F65BF2" w:rsidRDefault="005D728C" w:rsidP="004B6DFD">
      <w:pPr>
        <w:pStyle w:val="H1"/>
      </w:pPr>
      <w:bookmarkStart w:id="571" w:name="_Toc198813691"/>
      <w:bookmarkStart w:id="572" w:name="_Toc204329576"/>
      <w:bookmarkStart w:id="573" w:name="_Toc209189007"/>
      <w:bookmarkStart w:id="574" w:name="_Ref212733238"/>
      <w:bookmarkStart w:id="575" w:name="_Ref212734971"/>
      <w:bookmarkStart w:id="576" w:name="_Ref212734996"/>
      <w:bookmarkStart w:id="577" w:name="_Ref212735019"/>
      <w:bookmarkStart w:id="578" w:name="_Ref212735138"/>
      <w:bookmarkStart w:id="579" w:name="_Ref212735789"/>
      <w:bookmarkStart w:id="580" w:name="_Ref212738728"/>
      <w:bookmarkStart w:id="581" w:name="_Ref212739254"/>
      <w:bookmarkStart w:id="582" w:name="_Toc224916666"/>
      <w:bookmarkStart w:id="583" w:name="Ch6_AssessmentOutcome"/>
      <w:r w:rsidRPr="00F65BF2">
        <w:t xml:space="preserve">Chapter 7: </w:t>
      </w:r>
      <w:bookmarkEnd w:id="571"/>
      <w:bookmarkEnd w:id="572"/>
      <w:r w:rsidRPr="00F65BF2">
        <w:t>Delegations and approvals under the Act</w:t>
      </w:r>
      <w:bookmarkEnd w:id="573"/>
      <w:bookmarkEnd w:id="574"/>
      <w:bookmarkEnd w:id="575"/>
      <w:bookmarkEnd w:id="576"/>
      <w:bookmarkEnd w:id="577"/>
      <w:bookmarkEnd w:id="578"/>
      <w:bookmarkEnd w:id="579"/>
      <w:bookmarkEnd w:id="580"/>
      <w:bookmarkEnd w:id="581"/>
      <w:bookmarkEnd w:id="582"/>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blLook w:val="04A0" w:firstRow="1" w:lastRow="0" w:firstColumn="1" w:lastColumn="0" w:noHBand="0" w:noVBand="1"/>
      </w:tblPr>
      <w:tblGrid>
        <w:gridCol w:w="8992"/>
      </w:tblGrid>
      <w:tr w:rsidR="005D728C" w:rsidRPr="008D5728" w14:paraId="70FA2D8A" w14:textId="77777777" w:rsidTr="00097F05">
        <w:trPr>
          <w:trHeight w:val="2571"/>
        </w:trPr>
        <w:tc>
          <w:tcPr>
            <w:tcW w:w="8992" w:type="dxa"/>
            <w:shd w:val="clear" w:color="auto" w:fill="F2F2F2"/>
          </w:tcPr>
          <w:p w14:paraId="6ED935A1" w14:textId="77777777" w:rsidR="005D728C" w:rsidRPr="00380A8B" w:rsidRDefault="005D728C" w:rsidP="00380A8B">
            <w:pPr>
              <w:rPr>
                <w:b/>
                <w:color w:val="358189"/>
                <w:sz w:val="36"/>
                <w:szCs w:val="36"/>
              </w:rPr>
            </w:pPr>
            <w:bookmarkStart w:id="584" w:name="_Toc198813692"/>
            <w:bookmarkStart w:id="585" w:name="_Toc204329577"/>
            <w:bookmarkStart w:id="586" w:name="_Toc209189008"/>
            <w:bookmarkEnd w:id="583"/>
            <w:r w:rsidRPr="00380A8B">
              <w:rPr>
                <w:b/>
                <w:color w:val="358189"/>
                <w:sz w:val="36"/>
                <w:szCs w:val="36"/>
              </w:rPr>
              <w:t xml:space="preserve">What </w:t>
            </w:r>
            <w:r w:rsidRPr="00760601">
              <w:rPr>
                <w:b/>
                <w:color w:val="358189"/>
                <w:sz w:val="36"/>
                <w:szCs w:val="36"/>
              </w:rPr>
              <w:t>you’ll</w:t>
            </w:r>
            <w:r w:rsidRPr="00380A8B">
              <w:rPr>
                <w:b/>
                <w:color w:val="358189"/>
                <w:sz w:val="36"/>
                <w:szCs w:val="36"/>
              </w:rPr>
              <w:t xml:space="preserve"> find in this chapter</w:t>
            </w:r>
            <w:bookmarkEnd w:id="584"/>
            <w:bookmarkEnd w:id="585"/>
            <w:bookmarkEnd w:id="586"/>
            <w:r w:rsidRPr="00380A8B">
              <w:rPr>
                <w:b/>
                <w:color w:val="358189"/>
                <w:sz w:val="36"/>
                <w:szCs w:val="36"/>
              </w:rPr>
              <w:t xml:space="preserve"> </w:t>
            </w:r>
          </w:p>
          <w:p w14:paraId="1DEB4931" w14:textId="77777777" w:rsidR="005D728C" w:rsidRPr="008D5728" w:rsidRDefault="005D728C" w:rsidP="00622CFF">
            <w:pPr>
              <w:spacing w:before="240" w:after="240"/>
              <w:rPr>
                <w:rFonts w:eastAsia="Yu Gothic Light"/>
              </w:rPr>
            </w:pPr>
            <w:r w:rsidRPr="008D5728">
              <w:rPr>
                <w:rFonts w:eastAsia="Yu Gothic Light"/>
              </w:rPr>
              <w:t>This chapter includes information about:</w:t>
            </w:r>
          </w:p>
          <w:p w14:paraId="16E1AB9A" w14:textId="283FBA54" w:rsidR="005D728C" w:rsidRPr="008D5728" w:rsidRDefault="005D728C" w:rsidP="00622CFF">
            <w:pPr>
              <w:numPr>
                <w:ilvl w:val="0"/>
                <w:numId w:val="35"/>
              </w:numPr>
              <w:spacing w:before="240" w:after="240"/>
              <w:contextualSpacing/>
              <w:rPr>
                <w:rFonts w:eastAsia="Yu Gothic Light"/>
              </w:rPr>
            </w:pPr>
            <w:r>
              <w:rPr>
                <w:rFonts w:eastAsia="Yu Gothic Light"/>
              </w:rPr>
              <w:t>t</w:t>
            </w:r>
            <w:r w:rsidRPr="008D5728">
              <w:rPr>
                <w:rFonts w:eastAsia="Yu Gothic Light"/>
              </w:rPr>
              <w:t xml:space="preserve">he powers under the </w:t>
            </w:r>
            <w:r w:rsidRPr="008D5728">
              <w:rPr>
                <w:rFonts w:eastAsia="Yu Gothic Light"/>
                <w:i/>
              </w:rPr>
              <w:t>Aged Care Act 2024</w:t>
            </w:r>
            <w:r w:rsidRPr="008D5728">
              <w:rPr>
                <w:rFonts w:eastAsia="Yu Gothic Light"/>
                <w:iCs/>
              </w:rPr>
              <w:t xml:space="preserve"> that are delegated </w:t>
            </w:r>
            <w:r w:rsidRPr="008D5728">
              <w:rPr>
                <w:rFonts w:eastAsia="Yu Gothic Light"/>
              </w:rPr>
              <w:t xml:space="preserve">to </w:t>
            </w:r>
            <w:r w:rsidR="00262983">
              <w:rPr>
                <w:rFonts w:eastAsia="Yu Gothic Light"/>
              </w:rPr>
              <w:t>t</w:t>
            </w:r>
            <w:r w:rsidRPr="008D5728">
              <w:rPr>
                <w:rFonts w:eastAsia="Yu Gothic Light"/>
              </w:rPr>
              <w:t xml:space="preserve">riage </w:t>
            </w:r>
            <w:r w:rsidR="00262983">
              <w:rPr>
                <w:rFonts w:eastAsia="Yu Gothic Light"/>
              </w:rPr>
              <w:t>d</w:t>
            </w:r>
            <w:r w:rsidRPr="008D5728">
              <w:rPr>
                <w:rFonts w:eastAsia="Yu Gothic Light"/>
              </w:rPr>
              <w:t xml:space="preserve">elegates and </w:t>
            </w:r>
            <w:r w:rsidR="00262983">
              <w:rPr>
                <w:rFonts w:eastAsia="Yu Gothic Light"/>
              </w:rPr>
              <w:t>c</w:t>
            </w:r>
            <w:r w:rsidRPr="008D5728">
              <w:rPr>
                <w:rFonts w:eastAsia="Yu Gothic Light"/>
              </w:rPr>
              <w:t xml:space="preserve">linical and </w:t>
            </w:r>
            <w:r w:rsidR="00262983">
              <w:rPr>
                <w:rFonts w:eastAsia="Yu Gothic Light"/>
              </w:rPr>
              <w:t>n</w:t>
            </w:r>
            <w:r w:rsidRPr="008D5728">
              <w:rPr>
                <w:rFonts w:eastAsia="Yu Gothic Light"/>
              </w:rPr>
              <w:t xml:space="preserve">on-Clinical </w:t>
            </w:r>
            <w:r w:rsidR="00262983">
              <w:rPr>
                <w:rFonts w:eastAsia="Yu Gothic Light"/>
              </w:rPr>
              <w:t>a</w:t>
            </w:r>
            <w:r w:rsidRPr="008D5728">
              <w:rPr>
                <w:rFonts w:eastAsia="Yu Gothic Light"/>
              </w:rPr>
              <w:t xml:space="preserve">ssessment </w:t>
            </w:r>
            <w:r w:rsidR="00262983">
              <w:rPr>
                <w:rFonts w:eastAsia="Yu Gothic Light"/>
              </w:rPr>
              <w:t>d</w:t>
            </w:r>
            <w:r w:rsidRPr="008D5728">
              <w:rPr>
                <w:rFonts w:eastAsia="Yu Gothic Light"/>
              </w:rPr>
              <w:t xml:space="preserve">elegates. </w:t>
            </w:r>
          </w:p>
          <w:p w14:paraId="6A80F9C0" w14:textId="77777777" w:rsidR="005D728C" w:rsidRPr="008D5728" w:rsidRDefault="005D728C" w:rsidP="00622CFF">
            <w:pPr>
              <w:numPr>
                <w:ilvl w:val="0"/>
                <w:numId w:val="35"/>
              </w:numPr>
              <w:spacing w:before="240" w:after="240"/>
              <w:contextualSpacing/>
              <w:rPr>
                <w:rFonts w:eastAsia="Yu Gothic Light"/>
              </w:rPr>
            </w:pPr>
            <w:r w:rsidRPr="008D5728">
              <w:rPr>
                <w:rFonts w:eastAsia="Yu Gothic Light"/>
              </w:rPr>
              <w:t xml:space="preserve">how approvals work under the </w:t>
            </w:r>
            <w:r w:rsidRPr="008D5728">
              <w:rPr>
                <w:rFonts w:eastAsia="Yu Gothic Light"/>
                <w:i/>
                <w:iCs/>
              </w:rPr>
              <w:t xml:space="preserve">Aged Care Act </w:t>
            </w:r>
            <w:r w:rsidRPr="008D5728">
              <w:rPr>
                <w:rFonts w:eastAsia="Yu Gothic Light"/>
              </w:rPr>
              <w:t>2024, and the decisions that delegates make.</w:t>
            </w:r>
          </w:p>
        </w:tc>
      </w:tr>
    </w:tbl>
    <w:p w14:paraId="41E1CDF1" w14:textId="6F1EBECC" w:rsidR="005D728C" w:rsidRPr="009A1B8F" w:rsidRDefault="005D728C" w:rsidP="00507F9D">
      <w:pPr>
        <w:pStyle w:val="h2"/>
        <w:rPr>
          <w:i/>
        </w:rPr>
      </w:pPr>
      <w:bookmarkStart w:id="587" w:name="_Toc204329578"/>
      <w:bookmarkStart w:id="588" w:name="_Toc209189009"/>
      <w:bookmarkStart w:id="589" w:name="_Toc224916667"/>
      <w:bookmarkStart w:id="590" w:name="_Toc198813693"/>
      <w:r w:rsidRPr="008D5728">
        <w:t xml:space="preserve">Delegation of powers and functions under the </w:t>
      </w:r>
      <w:bookmarkEnd w:id="587"/>
      <w:r w:rsidR="00B7749C" w:rsidRPr="009A1B8F">
        <w:rPr>
          <w:i/>
        </w:rPr>
        <w:t xml:space="preserve">Aged Care </w:t>
      </w:r>
      <w:r w:rsidRPr="009A1B8F">
        <w:rPr>
          <w:i/>
        </w:rPr>
        <w:t>Act</w:t>
      </w:r>
      <w:r w:rsidR="00B7749C" w:rsidRPr="009A1B8F">
        <w:rPr>
          <w:i/>
        </w:rPr>
        <w:t xml:space="preserve"> 2024</w:t>
      </w:r>
      <w:bookmarkEnd w:id="588"/>
      <w:bookmarkEnd w:id="589"/>
    </w:p>
    <w:p w14:paraId="0EA66EE5" w14:textId="76BE7E87" w:rsidR="005D728C" w:rsidRPr="008D5728" w:rsidRDefault="005D728C" w:rsidP="00622CFF">
      <w:pPr>
        <w:spacing w:before="240" w:after="240" w:line="240" w:lineRule="auto"/>
        <w:rPr>
          <w:rFonts w:eastAsia="Yu Gothic Light"/>
        </w:rPr>
      </w:pPr>
      <w:r w:rsidRPr="008D5728">
        <w:rPr>
          <w:rFonts w:eastAsia="Yu Gothic Light"/>
        </w:rPr>
        <w:t xml:space="preserve">Under section 339 of the </w:t>
      </w:r>
      <w:r w:rsidRPr="008D5728">
        <w:rPr>
          <w:rFonts w:eastAsia="Yu Gothic Light"/>
          <w:i/>
        </w:rPr>
        <w:t>Aged Care Act 2024</w:t>
      </w:r>
      <w:r w:rsidR="007A25D7">
        <w:rPr>
          <w:rFonts w:eastAsia="Yu Gothic Light"/>
          <w:i/>
        </w:rPr>
        <w:t xml:space="preserve"> </w:t>
      </w:r>
      <w:r w:rsidR="007A25D7" w:rsidRPr="00674659">
        <w:rPr>
          <w:rFonts w:eastAsia="Yu Gothic Light"/>
        </w:rPr>
        <w:t>(the Act)</w:t>
      </w:r>
      <w:r w:rsidRPr="00C73874">
        <w:rPr>
          <w:rFonts w:eastAsia="Yu Gothic Light"/>
          <w:iCs/>
        </w:rPr>
        <w:t xml:space="preserve">, </w:t>
      </w:r>
      <w:r w:rsidRPr="008D5728">
        <w:rPr>
          <w:rFonts w:eastAsia="Yu Gothic Light"/>
        </w:rPr>
        <w:t xml:space="preserve">the System Governor plays a key role in the governance of the aged care system responsible for facilitating equitable access to funded aged care services. Section 7 of the </w:t>
      </w:r>
      <w:r w:rsidRPr="008D5728">
        <w:rPr>
          <w:rFonts w:eastAsia="Yu Gothic Light"/>
          <w:iCs/>
        </w:rPr>
        <w:t>Act</w:t>
      </w:r>
      <w:r w:rsidRPr="008D5728">
        <w:rPr>
          <w:rFonts w:eastAsia="Yu Gothic Light"/>
        </w:rPr>
        <w:t xml:space="preserve"> specifies the position of the System Governor is occupied by the Secretary of the Department</w:t>
      </w:r>
      <w:r w:rsidR="00E45B13">
        <w:rPr>
          <w:rFonts w:eastAsia="Yu Gothic Light"/>
        </w:rPr>
        <w:t xml:space="preserve"> of Health, Disability and Ageing</w:t>
      </w:r>
      <w:r w:rsidRPr="008D5728">
        <w:rPr>
          <w:rFonts w:eastAsia="Yu Gothic Light"/>
        </w:rPr>
        <w:t xml:space="preserve">. </w:t>
      </w:r>
    </w:p>
    <w:p w14:paraId="21F90097" w14:textId="77777777" w:rsidR="005D728C" w:rsidRPr="008D5728" w:rsidRDefault="005D728C" w:rsidP="00622CFF">
      <w:pPr>
        <w:spacing w:before="240" w:after="240" w:line="240" w:lineRule="auto"/>
        <w:rPr>
          <w:rFonts w:eastAsia="Yu Gothic Light"/>
        </w:rPr>
      </w:pPr>
      <w:r w:rsidRPr="008D5728">
        <w:rPr>
          <w:rFonts w:eastAsia="Yu Gothic Light"/>
        </w:rPr>
        <w:t xml:space="preserve">The System Governor has the power under section 567 of the Act to delegate their functions and powers to others who may exercise them on their behalf. The Instrument of Delegation outlines the specific functions, powers and responsibilities of the System Governor which are delegated to certain positions within assessment organisations. Staff who occupy these positions are considered delegates and will continue to be nominated through the on/off delegate form. </w:t>
      </w:r>
    </w:p>
    <w:p w14:paraId="68985993" w14:textId="77777777" w:rsidR="005D728C" w:rsidRPr="008D5728" w:rsidRDefault="005D728C" w:rsidP="00622CFF">
      <w:pPr>
        <w:spacing w:before="240" w:after="240" w:line="240" w:lineRule="auto"/>
        <w:rPr>
          <w:rFonts w:eastAsia="Yu Gothic Light"/>
        </w:rPr>
      </w:pPr>
      <w:r w:rsidRPr="008D5728">
        <w:rPr>
          <w:rFonts w:eastAsia="Yu Gothic Light"/>
        </w:rPr>
        <w:t>Delegations are tied to the position, not to the individual. This means that the powers and functions stay with the role, and any qualified person who has been approved to hold the position can exercise these powers. The Instrument of Delegation outlines which positions within each assessment organisation can hold these responsibilities.</w:t>
      </w:r>
    </w:p>
    <w:p w14:paraId="37B14980" w14:textId="1A062D00" w:rsidR="005D728C" w:rsidRPr="008D5728" w:rsidRDefault="005D728C" w:rsidP="00622CFF">
      <w:pPr>
        <w:spacing w:before="240" w:after="240" w:line="240" w:lineRule="auto"/>
        <w:rPr>
          <w:rFonts w:eastAsia="Yu Gothic Light"/>
        </w:rPr>
      </w:pPr>
      <w:r w:rsidRPr="008D5728">
        <w:rPr>
          <w:rFonts w:eastAsia="Yu Gothic Light"/>
        </w:rPr>
        <w:t>These delegations operate within the Single Assessment System and delegates must comply with Commonwealth guidelines, and any directions issued by the Secretary. This ensures that the delegation framework remains in line with current policies and standards.</w:t>
      </w:r>
    </w:p>
    <w:p w14:paraId="275D78F6" w14:textId="77777777" w:rsidR="005D728C" w:rsidRPr="00CF57A2" w:rsidRDefault="005D728C" w:rsidP="00507F9D">
      <w:pPr>
        <w:pStyle w:val="h2"/>
        <w:rPr>
          <w:rFonts w:eastAsia="Yu Gothic Light"/>
        </w:rPr>
      </w:pPr>
      <w:bookmarkStart w:id="591" w:name="_Toc209189010"/>
      <w:bookmarkStart w:id="592" w:name="_Toc224916668"/>
      <w:r w:rsidRPr="00CF57A2">
        <w:t>Delegate responsibility</w:t>
      </w:r>
      <w:bookmarkEnd w:id="591"/>
      <w:bookmarkEnd w:id="592"/>
    </w:p>
    <w:p w14:paraId="47F63774" w14:textId="77777777" w:rsidR="005D728C" w:rsidRPr="008D5728" w:rsidRDefault="005D728C" w:rsidP="00622CFF">
      <w:pPr>
        <w:spacing w:before="240" w:after="240" w:line="240" w:lineRule="auto"/>
        <w:rPr>
          <w:rFonts w:eastAsia="Yu Gothic Light"/>
        </w:rPr>
      </w:pPr>
      <w:r w:rsidRPr="008D5728">
        <w:rPr>
          <w:rFonts w:eastAsia="Yu Gothic Light"/>
        </w:rPr>
        <w:t>The role of the delegate is that of a primary decision-maker within a structured legal system. This means delegate decisions must be based on</w:t>
      </w:r>
      <w:r w:rsidRPr="008D5728">
        <w:rPr>
          <w:rFonts w:eastAsia="Yu Gothic Light" w:hint="eastAsia"/>
        </w:rPr>
        <w:t> </w:t>
      </w:r>
      <w:r w:rsidRPr="008D5728">
        <w:rPr>
          <w:rFonts w:eastAsia="Yu Gothic Light"/>
        </w:rPr>
        <w:t xml:space="preserve">the </w:t>
      </w:r>
      <w:r w:rsidRPr="00674659">
        <w:rPr>
          <w:rFonts w:eastAsia="Yu Gothic Light"/>
        </w:rPr>
        <w:t>legal requirements, facts, evidence, and clear reasoning</w:t>
      </w:r>
      <w:r w:rsidRPr="00C00206">
        <w:rPr>
          <w:rFonts w:eastAsia="Yu Gothic Light"/>
          <w:bCs/>
        </w:rPr>
        <w:t xml:space="preserve">. </w:t>
      </w:r>
      <w:r w:rsidRPr="008D5728">
        <w:rPr>
          <w:rFonts w:eastAsia="Yu Gothic Light"/>
        </w:rPr>
        <w:t>Understanding the legal framework and decision-making requirements is essential to making sound, defensible judgments.</w:t>
      </w:r>
    </w:p>
    <w:p w14:paraId="4BBA3EEC" w14:textId="77777777" w:rsidR="005D728C" w:rsidRPr="008D5728" w:rsidRDefault="005D728C" w:rsidP="00622CFF">
      <w:pPr>
        <w:spacing w:before="240" w:after="240" w:line="240" w:lineRule="auto"/>
        <w:rPr>
          <w:rFonts w:eastAsia="Yu Gothic Light"/>
        </w:rPr>
      </w:pPr>
      <w:r w:rsidRPr="008D5728">
        <w:rPr>
          <w:rFonts w:eastAsia="Yu Gothic Light"/>
        </w:rPr>
        <w:t>The Single Assessment System relies on delegates to fulfil their role efficiently and effectively. Delegate decisions ensure that due process is followed and that eligible clients receive the care and support they need.</w:t>
      </w:r>
    </w:p>
    <w:p w14:paraId="430CBF26" w14:textId="7AD9665B" w:rsidR="005D728C" w:rsidRPr="008D5728" w:rsidRDefault="005D728C" w:rsidP="00622CFF">
      <w:pPr>
        <w:spacing w:before="240" w:after="240" w:line="240" w:lineRule="auto"/>
        <w:rPr>
          <w:rFonts w:eastAsia="Yu Gothic Light"/>
        </w:rPr>
      </w:pPr>
      <w:r w:rsidRPr="008D5728">
        <w:rPr>
          <w:rFonts w:eastAsia="Yu Gothic Light"/>
        </w:rPr>
        <w:t xml:space="preserve">Decisions made by </w:t>
      </w:r>
      <w:r w:rsidR="008647B5">
        <w:rPr>
          <w:rFonts w:eastAsia="Yu Gothic Light"/>
        </w:rPr>
        <w:t>a</w:t>
      </w:r>
      <w:r w:rsidR="008647B5" w:rsidRPr="008D5728">
        <w:rPr>
          <w:rFonts w:eastAsia="Yu Gothic Light"/>
        </w:rPr>
        <w:t xml:space="preserve">ssessment </w:t>
      </w:r>
      <w:r w:rsidR="008647B5">
        <w:rPr>
          <w:rFonts w:eastAsia="Yu Gothic Light"/>
        </w:rPr>
        <w:t>d</w:t>
      </w:r>
      <w:r w:rsidR="008647B5" w:rsidRPr="008D5728">
        <w:rPr>
          <w:rFonts w:eastAsia="Yu Gothic Light"/>
        </w:rPr>
        <w:t xml:space="preserve">elegates </w:t>
      </w:r>
      <w:r w:rsidRPr="008D5728">
        <w:rPr>
          <w:rFonts w:eastAsia="Yu Gothic Light"/>
        </w:rPr>
        <w:t>may be subject to</w:t>
      </w:r>
      <w:r w:rsidRPr="008D5728">
        <w:rPr>
          <w:rFonts w:eastAsia="Yu Gothic Light" w:hint="eastAsia"/>
        </w:rPr>
        <w:t> </w:t>
      </w:r>
      <w:r w:rsidRPr="00674659">
        <w:rPr>
          <w:rFonts w:eastAsia="Yu Gothic Light"/>
        </w:rPr>
        <w:t>review</w:t>
      </w:r>
      <w:r w:rsidRPr="00C00206">
        <w:rPr>
          <w:rFonts w:eastAsia="Yu Gothic Light" w:hint="eastAsia"/>
          <w:bCs/>
        </w:rPr>
        <w:t> </w:t>
      </w:r>
      <w:r w:rsidRPr="008D5728">
        <w:rPr>
          <w:rFonts w:eastAsia="Yu Gothic Light"/>
        </w:rPr>
        <w:t>in various contexts. This could include reconsideration requests or formal reviews by bodies such as the</w:t>
      </w:r>
      <w:r w:rsidRPr="008D5728">
        <w:rPr>
          <w:rFonts w:eastAsia="Yu Gothic Light" w:hint="eastAsia"/>
        </w:rPr>
        <w:t> </w:t>
      </w:r>
      <w:r w:rsidRPr="00674659">
        <w:rPr>
          <w:rFonts w:eastAsia="Yu Gothic Light"/>
        </w:rPr>
        <w:t>Administrative Review Tribunal (ART)</w:t>
      </w:r>
      <w:r w:rsidRPr="00C00206">
        <w:rPr>
          <w:rFonts w:eastAsia="Yu Gothic Light"/>
          <w:bCs/>
        </w:rPr>
        <w:t>.</w:t>
      </w:r>
    </w:p>
    <w:p w14:paraId="5B0DDF5B" w14:textId="77777777" w:rsidR="005D728C" w:rsidRPr="008D5728" w:rsidRDefault="005D728C" w:rsidP="00622CFF">
      <w:pPr>
        <w:spacing w:before="240" w:after="240" w:line="240" w:lineRule="auto"/>
        <w:rPr>
          <w:rFonts w:eastAsia="Yu Gothic Light"/>
        </w:rPr>
      </w:pPr>
      <w:r w:rsidRPr="008D5728">
        <w:rPr>
          <w:rFonts w:eastAsia="Yu Gothic Light"/>
        </w:rPr>
        <w:t>As a result, it is important that delegates maintain accurate, complete records and clear justifications for every decision they make.</w:t>
      </w:r>
    </w:p>
    <w:p w14:paraId="3E3E9BFF" w14:textId="79F919F6" w:rsidR="005D728C" w:rsidRPr="008D5728" w:rsidRDefault="00C00206" w:rsidP="00622CFF">
      <w:pPr>
        <w:spacing w:before="240" w:after="240" w:line="240" w:lineRule="auto"/>
        <w:rPr>
          <w:rFonts w:eastAsia="Yu Gothic Light"/>
        </w:rPr>
      </w:pPr>
      <w:r>
        <w:rPr>
          <w:rFonts w:eastAsia="Yu Gothic Light"/>
        </w:rPr>
        <w:t>There are</w:t>
      </w:r>
      <w:r w:rsidR="005D728C" w:rsidRPr="008D5728">
        <w:rPr>
          <w:rFonts w:eastAsia="Yu Gothic Light"/>
        </w:rPr>
        <w:t xml:space="preserve"> three delegate positions which sit within assessment organisations: </w:t>
      </w:r>
    </w:p>
    <w:p w14:paraId="02F35BBC" w14:textId="01389B63" w:rsidR="005D728C" w:rsidRPr="008D5728" w:rsidRDefault="005D728C" w:rsidP="00DF3F6B">
      <w:pPr>
        <w:numPr>
          <w:ilvl w:val="0"/>
          <w:numId w:val="211"/>
        </w:numPr>
        <w:spacing w:before="240" w:after="240" w:line="240" w:lineRule="auto"/>
        <w:contextualSpacing/>
        <w:rPr>
          <w:rFonts w:eastAsia="Yu Gothic Light"/>
        </w:rPr>
      </w:pPr>
      <w:r w:rsidRPr="008D5728">
        <w:rPr>
          <w:rFonts w:eastAsia="Yu Gothic Light"/>
        </w:rPr>
        <w:t xml:space="preserve">Triage </w:t>
      </w:r>
      <w:r w:rsidR="008647B5">
        <w:rPr>
          <w:rFonts w:eastAsia="Yu Gothic Light"/>
        </w:rPr>
        <w:t>d</w:t>
      </w:r>
      <w:r w:rsidR="008647B5" w:rsidRPr="008D5728">
        <w:rPr>
          <w:rFonts w:eastAsia="Yu Gothic Light"/>
        </w:rPr>
        <w:t>elegates</w:t>
      </w:r>
    </w:p>
    <w:p w14:paraId="4D12E375" w14:textId="6DE54946" w:rsidR="005D728C" w:rsidRPr="008D5728" w:rsidRDefault="005D728C" w:rsidP="00DF3F6B">
      <w:pPr>
        <w:numPr>
          <w:ilvl w:val="0"/>
          <w:numId w:val="211"/>
        </w:numPr>
        <w:spacing w:before="240" w:after="240" w:line="240" w:lineRule="auto"/>
        <w:contextualSpacing/>
        <w:rPr>
          <w:rFonts w:eastAsia="Yu Gothic Light"/>
        </w:rPr>
      </w:pPr>
      <w:r w:rsidRPr="008D5728">
        <w:rPr>
          <w:rFonts w:eastAsia="Yu Gothic Light"/>
        </w:rPr>
        <w:t xml:space="preserve">Clinical </w:t>
      </w:r>
      <w:r w:rsidR="008647B5">
        <w:rPr>
          <w:rFonts w:eastAsia="Yu Gothic Light"/>
        </w:rPr>
        <w:t>a</w:t>
      </w:r>
      <w:r w:rsidR="008647B5" w:rsidRPr="008D5728">
        <w:rPr>
          <w:rFonts w:eastAsia="Yu Gothic Light"/>
        </w:rPr>
        <w:t xml:space="preserve">ssessment </w:t>
      </w:r>
      <w:r w:rsidR="008647B5">
        <w:rPr>
          <w:rFonts w:eastAsia="Yu Gothic Light"/>
        </w:rPr>
        <w:t>d</w:t>
      </w:r>
      <w:r w:rsidR="008647B5" w:rsidRPr="008D5728">
        <w:rPr>
          <w:rFonts w:eastAsia="Yu Gothic Light"/>
        </w:rPr>
        <w:t>elegates</w:t>
      </w:r>
    </w:p>
    <w:p w14:paraId="68ACE721" w14:textId="76605002" w:rsidR="005D728C" w:rsidRDefault="005D728C" w:rsidP="00DF3F6B">
      <w:pPr>
        <w:numPr>
          <w:ilvl w:val="0"/>
          <w:numId w:val="211"/>
        </w:numPr>
        <w:spacing w:before="240" w:after="240" w:line="240" w:lineRule="auto"/>
        <w:contextualSpacing/>
        <w:rPr>
          <w:rFonts w:eastAsia="Yu Gothic Light"/>
        </w:rPr>
      </w:pPr>
      <w:r w:rsidRPr="008D5728">
        <w:rPr>
          <w:rFonts w:eastAsia="Yu Gothic Light"/>
        </w:rPr>
        <w:t xml:space="preserve">Non-clinical </w:t>
      </w:r>
      <w:r w:rsidR="008647B5">
        <w:rPr>
          <w:rFonts w:eastAsia="Yu Gothic Light"/>
        </w:rPr>
        <w:t>a</w:t>
      </w:r>
      <w:r w:rsidR="008647B5" w:rsidRPr="008D5728">
        <w:rPr>
          <w:rFonts w:eastAsia="Yu Gothic Light"/>
        </w:rPr>
        <w:t xml:space="preserve">ssessment </w:t>
      </w:r>
      <w:r w:rsidR="008647B5">
        <w:rPr>
          <w:rFonts w:eastAsia="Yu Gothic Light"/>
        </w:rPr>
        <w:t>d</w:t>
      </w:r>
      <w:r w:rsidR="008647B5" w:rsidRPr="008D5728">
        <w:rPr>
          <w:rFonts w:eastAsia="Yu Gothic Light"/>
        </w:rPr>
        <w:t>elegates</w:t>
      </w:r>
    </w:p>
    <w:p w14:paraId="4C2BD5D9" w14:textId="77777777" w:rsidR="005D728C" w:rsidRPr="008D5728" w:rsidRDefault="005D728C" w:rsidP="00622CFF">
      <w:pPr>
        <w:spacing w:before="240" w:after="240" w:line="240" w:lineRule="auto"/>
        <w:ind w:left="720"/>
        <w:contextualSpacing/>
        <w:rPr>
          <w:rFonts w:eastAsia="Yu Gothic Light"/>
        </w:rPr>
      </w:pPr>
    </w:p>
    <w:p w14:paraId="48B7BF25" w14:textId="77777777" w:rsidR="005D728C" w:rsidRDefault="005D728C" w:rsidP="00622CFF">
      <w:pPr>
        <w:spacing w:before="240" w:after="240" w:line="240" w:lineRule="auto"/>
        <w:rPr>
          <w:rFonts w:eastAsia="Yu Gothic Light"/>
        </w:rPr>
      </w:pPr>
      <w:r w:rsidRPr="008D5728">
        <w:rPr>
          <w:rFonts w:eastAsia="Yu Gothic Light"/>
        </w:rPr>
        <w:t xml:space="preserve">Under the </w:t>
      </w:r>
      <w:r w:rsidRPr="008D5728">
        <w:rPr>
          <w:rFonts w:eastAsia="Yu Gothic Light"/>
          <w:i/>
        </w:rPr>
        <w:t>Aged Care Act 2024</w:t>
      </w:r>
      <w:r w:rsidRPr="008D5728">
        <w:rPr>
          <w:rFonts w:eastAsia="Yu Gothic Light"/>
        </w:rPr>
        <w:t xml:space="preserve">, these delegate positions will be involved in certain assessment related activities outlined in the table below.  </w:t>
      </w:r>
    </w:p>
    <w:p w14:paraId="4C2CDC10" w14:textId="4738CFCD" w:rsidR="005D728C" w:rsidRPr="008D5728" w:rsidRDefault="005D728C" w:rsidP="00622CFF">
      <w:pPr>
        <w:pStyle w:val="Caption"/>
        <w:spacing w:before="240" w:after="240"/>
        <w:rPr>
          <w:rFonts w:eastAsia="Yu Gothic Light"/>
        </w:rPr>
      </w:pPr>
      <w:r>
        <w:rPr>
          <w:rFonts w:eastAsia="Yu Gothic Light"/>
        </w:rPr>
        <w:t>Table 3</w:t>
      </w:r>
      <w:r w:rsidR="000C7B48">
        <w:rPr>
          <w:rFonts w:eastAsia="Yu Gothic Light"/>
        </w:rPr>
        <w:t>3</w:t>
      </w:r>
      <w:r>
        <w:rPr>
          <w:rFonts w:eastAsia="Yu Gothic Light"/>
        </w:rPr>
        <w:t xml:space="preserve">. Assessment related activities of delegate positions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ssessment related activities of delegate positions"/>
      </w:tblPr>
      <w:tblGrid>
        <w:gridCol w:w="2972"/>
        <w:gridCol w:w="6044"/>
      </w:tblGrid>
      <w:tr w:rsidR="005D728C" w:rsidRPr="008D5728" w14:paraId="29901A9D" w14:textId="77777777">
        <w:trPr>
          <w:trHeight w:val="300"/>
          <w:tblHeader/>
        </w:trPr>
        <w:tc>
          <w:tcPr>
            <w:tcW w:w="2972" w:type="dxa"/>
            <w:shd w:val="clear" w:color="auto" w:fill="153A6E"/>
          </w:tcPr>
          <w:p w14:paraId="700321AF" w14:textId="068FEEE1" w:rsidR="005D728C" w:rsidRPr="008D5728" w:rsidRDefault="005D728C" w:rsidP="00622CFF">
            <w:pPr>
              <w:spacing w:before="240" w:after="240"/>
              <w:rPr>
                <w:rFonts w:eastAsia="Yu Gothic Light"/>
                <w:b/>
              </w:rPr>
            </w:pPr>
            <w:r w:rsidRPr="008D5728">
              <w:rPr>
                <w:rFonts w:eastAsia="Yu Gothic Light"/>
                <w:b/>
              </w:rPr>
              <w:t xml:space="preserve">Delegate </w:t>
            </w:r>
            <w:r w:rsidR="00585218">
              <w:rPr>
                <w:rFonts w:eastAsia="Yu Gothic Light"/>
                <w:b/>
              </w:rPr>
              <w:t>p</w:t>
            </w:r>
            <w:r w:rsidRPr="008D5728">
              <w:rPr>
                <w:rFonts w:eastAsia="Yu Gothic Light"/>
                <w:b/>
              </w:rPr>
              <w:t>osition</w:t>
            </w:r>
          </w:p>
        </w:tc>
        <w:tc>
          <w:tcPr>
            <w:tcW w:w="6044" w:type="dxa"/>
            <w:shd w:val="clear" w:color="auto" w:fill="153A6E"/>
          </w:tcPr>
          <w:p w14:paraId="4330288A" w14:textId="79DE9994" w:rsidR="005D728C" w:rsidRPr="008D5728" w:rsidRDefault="005D728C" w:rsidP="00622CFF">
            <w:pPr>
              <w:spacing w:before="240" w:after="240"/>
              <w:rPr>
                <w:rFonts w:eastAsia="Yu Gothic Light"/>
                <w:b/>
              </w:rPr>
            </w:pPr>
            <w:r w:rsidRPr="008D5728">
              <w:rPr>
                <w:rFonts w:eastAsia="Yu Gothic Light"/>
                <w:b/>
              </w:rPr>
              <w:t>Delegate</w:t>
            </w:r>
            <w:r w:rsidRPr="008D5728" w:rsidDel="00D94B6E">
              <w:rPr>
                <w:rFonts w:eastAsia="Yu Gothic Light"/>
                <w:b/>
              </w:rPr>
              <w:t xml:space="preserve"> </w:t>
            </w:r>
            <w:r w:rsidR="00585218">
              <w:rPr>
                <w:rFonts w:eastAsia="Yu Gothic Light"/>
                <w:b/>
              </w:rPr>
              <w:t>a</w:t>
            </w:r>
            <w:r w:rsidRPr="008D5728">
              <w:rPr>
                <w:rFonts w:eastAsia="Yu Gothic Light"/>
                <w:b/>
              </w:rPr>
              <w:t xml:space="preserve">ctivity </w:t>
            </w:r>
          </w:p>
        </w:tc>
      </w:tr>
      <w:tr w:rsidR="005D728C" w:rsidRPr="008D5728" w14:paraId="45BE7D7F" w14:textId="77777777">
        <w:trPr>
          <w:trHeight w:val="300"/>
        </w:trPr>
        <w:tc>
          <w:tcPr>
            <w:tcW w:w="2972" w:type="dxa"/>
          </w:tcPr>
          <w:p w14:paraId="1859C2C4" w14:textId="77777777" w:rsidR="005D728C" w:rsidRPr="008D5728" w:rsidRDefault="005D728C" w:rsidP="00622CFF">
            <w:pPr>
              <w:spacing w:before="240" w:after="240"/>
              <w:rPr>
                <w:rFonts w:eastAsia="Yu Gothic Light"/>
              </w:rPr>
            </w:pPr>
            <w:r w:rsidRPr="008D5728">
              <w:rPr>
                <w:rFonts w:eastAsia="Yu Gothic Light"/>
              </w:rPr>
              <w:t>Triage Delegates</w:t>
            </w:r>
          </w:p>
        </w:tc>
        <w:tc>
          <w:tcPr>
            <w:tcW w:w="6044" w:type="dxa"/>
          </w:tcPr>
          <w:p w14:paraId="4691A8DA" w14:textId="77777777" w:rsidR="005D728C" w:rsidRPr="008D5728" w:rsidRDefault="005D728C" w:rsidP="00DF3F6B">
            <w:pPr>
              <w:numPr>
                <w:ilvl w:val="0"/>
                <w:numId w:val="212"/>
              </w:numPr>
              <w:spacing w:before="240" w:after="240"/>
              <w:contextualSpacing/>
              <w:rPr>
                <w:rFonts w:eastAsia="Yu Gothic Light"/>
              </w:rPr>
            </w:pPr>
            <w:r w:rsidRPr="008D5728">
              <w:rPr>
                <w:rFonts w:eastAsia="Yu Gothic Light"/>
              </w:rPr>
              <w:t xml:space="preserve">Consider and determine an older person’s eligibility for an aged care needs assessment or reassessment </w:t>
            </w:r>
          </w:p>
          <w:p w14:paraId="0635FE62" w14:textId="77777777" w:rsidR="005D728C" w:rsidRPr="008D5728" w:rsidRDefault="005D728C" w:rsidP="00DF3F6B">
            <w:pPr>
              <w:numPr>
                <w:ilvl w:val="0"/>
                <w:numId w:val="212"/>
              </w:numPr>
              <w:spacing w:before="240" w:after="240"/>
              <w:contextualSpacing/>
              <w:rPr>
                <w:rFonts w:eastAsia="Yu Gothic Light"/>
              </w:rPr>
            </w:pPr>
            <w:r w:rsidRPr="008D5728">
              <w:rPr>
                <w:rFonts w:eastAsia="Yu Gothic Light"/>
              </w:rPr>
              <w:t xml:space="preserve">Determine whether an older person requires a reassessment </w:t>
            </w:r>
          </w:p>
          <w:p w14:paraId="606CB73D" w14:textId="77777777" w:rsidR="005D728C" w:rsidRPr="008D5728" w:rsidRDefault="005D728C" w:rsidP="00DF3F6B">
            <w:pPr>
              <w:numPr>
                <w:ilvl w:val="0"/>
                <w:numId w:val="212"/>
              </w:numPr>
              <w:spacing w:before="240" w:after="240"/>
              <w:contextualSpacing/>
              <w:rPr>
                <w:rFonts w:eastAsia="Yu Gothic Light"/>
              </w:rPr>
            </w:pPr>
            <w:r w:rsidRPr="008D5728">
              <w:rPr>
                <w:rFonts w:eastAsia="Yu Gothic Light"/>
              </w:rPr>
              <w:t>Notify an older person of decisions and their right to review</w:t>
            </w:r>
          </w:p>
        </w:tc>
      </w:tr>
      <w:tr w:rsidR="005D728C" w:rsidRPr="008D5728" w14:paraId="7399F983" w14:textId="77777777">
        <w:trPr>
          <w:trHeight w:val="300"/>
        </w:trPr>
        <w:tc>
          <w:tcPr>
            <w:tcW w:w="2972" w:type="dxa"/>
          </w:tcPr>
          <w:p w14:paraId="37E13EEA" w14:textId="77777777" w:rsidR="005D728C" w:rsidRPr="008D5728" w:rsidRDefault="005D728C" w:rsidP="00622CFF">
            <w:pPr>
              <w:spacing w:before="240" w:after="240"/>
              <w:rPr>
                <w:rFonts w:eastAsia="Yu Gothic Light"/>
              </w:rPr>
            </w:pPr>
            <w:r w:rsidRPr="008D5728">
              <w:rPr>
                <w:rFonts w:eastAsia="Yu Gothic Light"/>
              </w:rPr>
              <w:t xml:space="preserve">Non-clinical Assessment Delegate </w:t>
            </w:r>
          </w:p>
        </w:tc>
        <w:tc>
          <w:tcPr>
            <w:tcW w:w="6044" w:type="dxa"/>
          </w:tcPr>
          <w:p w14:paraId="57375F50"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Approve an older person’s eligibility to access aged care services under the Commonwealth Home Support Program  </w:t>
            </w:r>
          </w:p>
          <w:p w14:paraId="025064C5"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Limit or vary an older person’s approval for funded aged care services </w:t>
            </w:r>
          </w:p>
          <w:p w14:paraId="613691D6"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Notify an older person of decisions and their right to review</w:t>
            </w:r>
          </w:p>
          <w:p w14:paraId="0585A866" w14:textId="11384F2B"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Consider and approve any appropriate changes to an older person’s access approval for services under the Commonwealth Home Support Program as a result of a </w:t>
            </w:r>
            <w:r w:rsidR="25927645" w:rsidRPr="769AFF85">
              <w:rPr>
                <w:rFonts w:eastAsia="Yu Gothic Light"/>
              </w:rPr>
              <w:t>s</w:t>
            </w:r>
            <w:r w:rsidRPr="769AFF85">
              <w:rPr>
                <w:rFonts w:eastAsia="Yu Gothic Light"/>
              </w:rPr>
              <w:t xml:space="preserve">upport </w:t>
            </w:r>
            <w:r w:rsidR="02204F00" w:rsidRPr="769AFF85">
              <w:rPr>
                <w:rFonts w:eastAsia="Yu Gothic Light"/>
              </w:rPr>
              <w:t>p</w:t>
            </w:r>
            <w:r w:rsidRPr="769AFF85">
              <w:rPr>
                <w:rFonts w:eastAsia="Yu Gothic Light"/>
              </w:rPr>
              <w:t xml:space="preserve">lan </w:t>
            </w:r>
            <w:r w:rsidR="70119CC2" w:rsidRPr="769AFF85">
              <w:rPr>
                <w:rFonts w:eastAsia="Yu Gothic Light"/>
              </w:rPr>
              <w:t>r</w:t>
            </w:r>
            <w:r w:rsidRPr="008D5728">
              <w:rPr>
                <w:rFonts w:eastAsia="Yu Gothic Light"/>
              </w:rPr>
              <w:t xml:space="preserve">eview  </w:t>
            </w:r>
          </w:p>
        </w:tc>
      </w:tr>
      <w:tr w:rsidR="005D728C" w:rsidRPr="008D5728" w14:paraId="67256CBC" w14:textId="77777777">
        <w:trPr>
          <w:trHeight w:val="300"/>
        </w:trPr>
        <w:tc>
          <w:tcPr>
            <w:tcW w:w="2972" w:type="dxa"/>
          </w:tcPr>
          <w:p w14:paraId="75061A16" w14:textId="77777777" w:rsidR="005D728C" w:rsidRPr="008D5728" w:rsidRDefault="005D728C" w:rsidP="00622CFF">
            <w:pPr>
              <w:spacing w:before="240" w:after="240"/>
              <w:rPr>
                <w:rFonts w:eastAsia="Yu Gothic Light"/>
              </w:rPr>
            </w:pPr>
            <w:r w:rsidRPr="008D5728">
              <w:rPr>
                <w:rFonts w:eastAsia="Yu Gothic Light"/>
              </w:rPr>
              <w:t>Clinical Assessment Delegate</w:t>
            </w:r>
          </w:p>
        </w:tc>
        <w:tc>
          <w:tcPr>
            <w:tcW w:w="6044" w:type="dxa"/>
          </w:tcPr>
          <w:p w14:paraId="0623B5CE"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Approve an older person’s eligibility to access funded aged care services </w:t>
            </w:r>
          </w:p>
          <w:p w14:paraId="23026466"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Limit or varying an older person’s approval for funded aged care services </w:t>
            </w:r>
          </w:p>
          <w:p w14:paraId="2DD25840"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Approve extensions for transition care and residential respite care services </w:t>
            </w:r>
          </w:p>
          <w:p w14:paraId="799055C1"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Notify an older person of decisions and their right to review</w:t>
            </w:r>
          </w:p>
          <w:p w14:paraId="3136CA65"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Consider and approve any appropriate changes to an older person’s access approval for services as a result of a support plan review </w:t>
            </w:r>
          </w:p>
          <w:p w14:paraId="1DFF5325" w14:textId="77777777" w:rsidR="005D728C" w:rsidRPr="008D5728" w:rsidRDefault="005D728C" w:rsidP="00DF3F6B">
            <w:pPr>
              <w:numPr>
                <w:ilvl w:val="0"/>
                <w:numId w:val="213"/>
              </w:numPr>
              <w:spacing w:before="240" w:after="240"/>
              <w:contextualSpacing/>
              <w:rPr>
                <w:rFonts w:eastAsia="Yu Gothic Light"/>
              </w:rPr>
            </w:pPr>
            <w:r w:rsidRPr="008D5728">
              <w:rPr>
                <w:rFonts w:eastAsia="Yu Gothic Light"/>
              </w:rPr>
              <w:t xml:space="preserve">Consider and determine the outcome of a classification reassessment </w:t>
            </w:r>
          </w:p>
        </w:tc>
      </w:tr>
    </w:tbl>
    <w:p w14:paraId="21C94E47" w14:textId="77777777" w:rsidR="005D728C" w:rsidRPr="008D5728" w:rsidRDefault="005D728C" w:rsidP="00622CFF">
      <w:pPr>
        <w:spacing w:before="240" w:after="240" w:line="240" w:lineRule="auto"/>
        <w:rPr>
          <w:rFonts w:eastAsia="Yu Gothic Light"/>
        </w:rPr>
      </w:pPr>
    </w:p>
    <w:tbl>
      <w:tblPr>
        <w:tblW w:w="0" w:type="auto"/>
        <w:tblLook w:val="04A0" w:firstRow="1" w:lastRow="0" w:firstColumn="1" w:lastColumn="0" w:noHBand="0" w:noVBand="1"/>
      </w:tblPr>
      <w:tblGrid>
        <w:gridCol w:w="921"/>
        <w:gridCol w:w="8105"/>
      </w:tblGrid>
      <w:tr w:rsidR="005D728C" w:rsidRPr="008D5728" w14:paraId="77EA9F21" w14:textId="77777777">
        <w:trPr>
          <w:trHeight w:val="677"/>
        </w:trPr>
        <w:tc>
          <w:tcPr>
            <w:tcW w:w="921" w:type="dxa"/>
          </w:tcPr>
          <w:p w14:paraId="42CCB570" w14:textId="77777777" w:rsidR="005D728C" w:rsidRPr="008D5728" w:rsidRDefault="005D728C" w:rsidP="00622CFF">
            <w:pPr>
              <w:spacing w:before="240" w:after="240" w:line="240" w:lineRule="auto"/>
              <w:rPr>
                <w:rFonts w:eastAsia="Yu Gothic Light"/>
              </w:rPr>
            </w:pPr>
            <w:r w:rsidRPr="008D5728">
              <w:rPr>
                <w:rFonts w:eastAsia="Yu Gothic Light"/>
                <w:noProof/>
              </w:rPr>
              <w:drawing>
                <wp:inline distT="0" distB="0" distL="0" distR="0" wp14:anchorId="6EFA85BC" wp14:editId="1BE9824C">
                  <wp:extent cx="447675" cy="445208"/>
                  <wp:effectExtent l="0" t="0" r="0" b="0"/>
                  <wp:docPr id="195464043" name="Picture 19546404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425953A4" w14:textId="0FB0B2A1" w:rsidR="005D728C" w:rsidRPr="008D5728" w:rsidRDefault="005D728C" w:rsidP="00622CFF">
            <w:pPr>
              <w:spacing w:before="240" w:after="240" w:line="240" w:lineRule="auto"/>
              <w:rPr>
                <w:rFonts w:eastAsia="Yu Gothic Light"/>
              </w:rPr>
            </w:pPr>
            <w:r w:rsidRPr="008D5728">
              <w:rPr>
                <w:rFonts w:eastAsia="Yu Gothic Light"/>
              </w:rPr>
              <w:t xml:space="preserve">For information about how to assign individuals to delegate positions, see Chapter </w:t>
            </w:r>
            <w:r w:rsidR="00633747">
              <w:rPr>
                <w:rFonts w:eastAsia="Yu Gothic Light"/>
              </w:rPr>
              <w:fldChar w:fldCharType="begin"/>
            </w:r>
            <w:r w:rsidR="00633747">
              <w:rPr>
                <w:rFonts w:eastAsia="Yu Gothic Light"/>
              </w:rPr>
              <w:instrText xml:space="preserve"> REF _Ref212736025 \w \h </w:instrText>
            </w:r>
            <w:r w:rsidR="00633747">
              <w:rPr>
                <w:rFonts w:eastAsia="Yu Gothic Light"/>
              </w:rPr>
            </w:r>
            <w:r w:rsidR="00633747">
              <w:rPr>
                <w:rFonts w:eastAsia="Yu Gothic Light"/>
              </w:rPr>
              <w:fldChar w:fldCharType="separate"/>
            </w:r>
            <w:r w:rsidR="00F97942">
              <w:rPr>
                <w:rFonts w:eastAsia="Yu Gothic Light"/>
              </w:rPr>
              <w:t>13</w:t>
            </w:r>
            <w:r w:rsidR="00633747">
              <w:rPr>
                <w:rFonts w:eastAsia="Yu Gothic Light"/>
              </w:rPr>
              <w:fldChar w:fldCharType="end"/>
            </w:r>
          </w:p>
        </w:tc>
      </w:tr>
    </w:tbl>
    <w:p w14:paraId="7EE7AC0C" w14:textId="36941841" w:rsidR="005D728C" w:rsidRPr="00F96D37" w:rsidRDefault="005D728C" w:rsidP="00507F9D">
      <w:pPr>
        <w:pStyle w:val="h2"/>
        <w:rPr>
          <w:rFonts w:eastAsia="Yu Gothic Light"/>
        </w:rPr>
      </w:pPr>
      <w:bookmarkStart w:id="593" w:name="_Toc209189011"/>
      <w:bookmarkStart w:id="594" w:name="_Toc224916669"/>
      <w:bookmarkStart w:id="595" w:name="_Toc204329579"/>
      <w:r w:rsidRPr="00F96D37">
        <w:t xml:space="preserve">Triage </w:t>
      </w:r>
      <w:bookmarkEnd w:id="593"/>
      <w:r w:rsidR="008647B5">
        <w:t>d</w:t>
      </w:r>
      <w:r w:rsidR="008647B5" w:rsidRPr="00F96D37">
        <w:t>elegates</w:t>
      </w:r>
      <w:bookmarkEnd w:id="594"/>
    </w:p>
    <w:p w14:paraId="18C03A54" w14:textId="1D1B2B18" w:rsidR="005D728C" w:rsidRPr="008D5728" w:rsidRDefault="005D728C" w:rsidP="00622CFF">
      <w:pPr>
        <w:spacing w:before="240" w:after="240" w:line="240" w:lineRule="auto"/>
        <w:rPr>
          <w:rFonts w:eastAsia="Yu Gothic Light"/>
        </w:rPr>
      </w:pPr>
      <w:r w:rsidRPr="008D5728">
        <w:rPr>
          <w:rFonts w:eastAsia="Yu Gothic Light"/>
        </w:rPr>
        <w:t xml:space="preserve"> Triage </w:t>
      </w:r>
      <w:r w:rsidR="00AF42C4">
        <w:rPr>
          <w:rFonts w:eastAsia="Yu Gothic Light"/>
        </w:rPr>
        <w:t>d</w:t>
      </w:r>
      <w:r w:rsidRPr="008D5728">
        <w:rPr>
          <w:rFonts w:eastAsia="Yu Gothic Light"/>
        </w:rPr>
        <w:t xml:space="preserve">elegates are delegated under the </w:t>
      </w:r>
      <w:r w:rsidR="00C00206" w:rsidRPr="00674659">
        <w:rPr>
          <w:rFonts w:eastAsia="Yu Gothic Light"/>
          <w:i/>
        </w:rPr>
        <w:t xml:space="preserve">Aged Care </w:t>
      </w:r>
      <w:r w:rsidRPr="00674659">
        <w:rPr>
          <w:rFonts w:eastAsia="Yu Gothic Light"/>
          <w:i/>
        </w:rPr>
        <w:t xml:space="preserve">Act </w:t>
      </w:r>
      <w:r w:rsidR="00C00206" w:rsidRPr="00674659">
        <w:rPr>
          <w:rFonts w:eastAsia="Yu Gothic Light"/>
          <w:i/>
        </w:rPr>
        <w:t>202</w:t>
      </w:r>
      <w:r w:rsidR="0020603C" w:rsidRPr="00674659">
        <w:rPr>
          <w:rFonts w:eastAsia="Yu Gothic Light"/>
          <w:i/>
        </w:rPr>
        <w:t>4</w:t>
      </w:r>
      <w:r w:rsidR="0020603C">
        <w:rPr>
          <w:rFonts w:eastAsia="Yu Gothic Light"/>
        </w:rPr>
        <w:t xml:space="preserve"> (the Act)</w:t>
      </w:r>
      <w:r w:rsidRPr="008D5728">
        <w:rPr>
          <w:rFonts w:eastAsia="Yu Gothic Light"/>
        </w:rPr>
        <w:t xml:space="preserve"> to</w:t>
      </w:r>
      <w:r w:rsidR="00896B3F">
        <w:rPr>
          <w:rFonts w:eastAsia="Yu Gothic Light"/>
        </w:rPr>
        <w:t xml:space="preserve"> decide</w:t>
      </w:r>
      <w:r w:rsidRPr="008D5728">
        <w:rPr>
          <w:rFonts w:eastAsia="Yu Gothic Light"/>
        </w:rPr>
        <w:t>:</w:t>
      </w:r>
    </w:p>
    <w:p w14:paraId="218A66A2" w14:textId="0117BB99" w:rsidR="005D728C" w:rsidRPr="008D5728" w:rsidRDefault="005D728C" w:rsidP="00DF3F6B">
      <w:pPr>
        <w:numPr>
          <w:ilvl w:val="0"/>
          <w:numId w:val="247"/>
        </w:numPr>
        <w:spacing w:before="240" w:after="240" w:line="240" w:lineRule="auto"/>
        <w:contextualSpacing/>
        <w:rPr>
          <w:rFonts w:eastAsia="Yu Gothic Light"/>
        </w:rPr>
      </w:pPr>
      <w:r w:rsidRPr="008D5728">
        <w:rPr>
          <w:rFonts w:eastAsia="Yu Gothic Light"/>
        </w:rPr>
        <w:t xml:space="preserve">under Section 58 of the Act, whether an older person is eligible for a needs assessment for government funded aged care services. </w:t>
      </w:r>
    </w:p>
    <w:p w14:paraId="55901E94" w14:textId="06848F9D" w:rsidR="005D728C" w:rsidRPr="008D5728" w:rsidRDefault="005D728C" w:rsidP="00DF3F6B">
      <w:pPr>
        <w:numPr>
          <w:ilvl w:val="0"/>
          <w:numId w:val="247"/>
        </w:numPr>
        <w:spacing w:before="240" w:after="240" w:line="240" w:lineRule="auto"/>
        <w:contextualSpacing/>
        <w:rPr>
          <w:rFonts w:eastAsia="Yu Gothic Light"/>
        </w:rPr>
      </w:pPr>
      <w:r w:rsidRPr="008D5728">
        <w:rPr>
          <w:rFonts w:eastAsia="Yu Gothic Light"/>
        </w:rPr>
        <w:t xml:space="preserve">under section 64 of the Act, whether an older person has undergone a significant change of circumstances or other change in their circumstances and requires a </w:t>
      </w:r>
      <w:r w:rsidR="009B4B25">
        <w:rPr>
          <w:rFonts w:eastAsia="Yu Gothic Light"/>
        </w:rPr>
        <w:t>re</w:t>
      </w:r>
      <w:r w:rsidRPr="008D5728">
        <w:rPr>
          <w:rFonts w:eastAsia="Yu Gothic Light"/>
        </w:rPr>
        <w:t>assessment of their needs.</w:t>
      </w:r>
    </w:p>
    <w:p w14:paraId="541BD8CF" w14:textId="77777777" w:rsidR="00AF42C4" w:rsidRDefault="00AF42C4" w:rsidP="00622CFF">
      <w:pPr>
        <w:spacing w:before="240" w:after="240" w:line="240" w:lineRule="auto"/>
        <w:rPr>
          <w:rFonts w:eastAsia="Yu Gothic Light"/>
        </w:rPr>
      </w:pPr>
    </w:p>
    <w:p w14:paraId="14F209C8" w14:textId="77777777" w:rsidR="005D728C" w:rsidRPr="008D5728" w:rsidRDefault="005D728C" w:rsidP="00622CFF">
      <w:pPr>
        <w:spacing w:before="240" w:after="240" w:line="240" w:lineRule="auto"/>
        <w:rPr>
          <w:rFonts w:eastAsia="Yu Gothic Light"/>
        </w:rPr>
      </w:pPr>
      <w:r w:rsidRPr="008D5728">
        <w:rPr>
          <w:rFonts w:eastAsia="Yu Gothic Light"/>
        </w:rPr>
        <w:t>To find someone eligible for a needs assessment, a triage delegate must be satisfied the older person meets the age eligibility requirement and has declared they have an aged care need.</w:t>
      </w:r>
    </w:p>
    <w:p w14:paraId="246DF45B" w14:textId="0280191B" w:rsidR="005D728C" w:rsidRPr="008D5728" w:rsidRDefault="005D728C" w:rsidP="00622CFF">
      <w:pPr>
        <w:spacing w:before="240" w:after="240" w:line="240" w:lineRule="auto"/>
        <w:rPr>
          <w:rFonts w:eastAsia="Yu Gothic Light"/>
        </w:rPr>
      </w:pPr>
      <w:r w:rsidRPr="008D5728">
        <w:rPr>
          <w:rFonts w:eastAsia="Yu Gothic Light"/>
        </w:rPr>
        <w:t xml:space="preserve">See Chapter </w:t>
      </w:r>
      <w:r w:rsidR="00633747">
        <w:rPr>
          <w:rFonts w:eastAsia="Yu Gothic Light"/>
        </w:rPr>
        <w:fldChar w:fldCharType="begin"/>
      </w:r>
      <w:r w:rsidR="00633747">
        <w:rPr>
          <w:rFonts w:eastAsia="Yu Gothic Light"/>
        </w:rPr>
        <w:instrText xml:space="preserve"> REF _Ref212736043 \w \h </w:instrText>
      </w:r>
      <w:r w:rsidR="00633747">
        <w:rPr>
          <w:rFonts w:eastAsia="Yu Gothic Light"/>
        </w:rPr>
      </w:r>
      <w:r w:rsidR="00633747">
        <w:rPr>
          <w:rFonts w:eastAsia="Yu Gothic Light"/>
        </w:rPr>
        <w:fldChar w:fldCharType="separate"/>
      </w:r>
      <w:r w:rsidR="00F97942">
        <w:rPr>
          <w:rFonts w:eastAsia="Yu Gothic Light"/>
        </w:rPr>
        <w:t>5</w:t>
      </w:r>
      <w:r w:rsidR="00633747">
        <w:rPr>
          <w:rFonts w:eastAsia="Yu Gothic Light"/>
        </w:rPr>
        <w:fldChar w:fldCharType="end"/>
      </w:r>
      <w:r w:rsidR="003A7C71">
        <w:rPr>
          <w:rFonts w:eastAsia="Yu Gothic Light"/>
        </w:rPr>
        <w:t xml:space="preserve"> </w:t>
      </w:r>
      <w:r w:rsidRPr="008D5728">
        <w:rPr>
          <w:rFonts w:eastAsia="Yu Gothic Light"/>
        </w:rPr>
        <w:t xml:space="preserve">for information about the function of the </w:t>
      </w:r>
      <w:r w:rsidR="00AF42C4">
        <w:rPr>
          <w:rFonts w:eastAsia="Yu Gothic Light"/>
        </w:rPr>
        <w:t>t</w:t>
      </w:r>
      <w:r w:rsidRPr="008D5728">
        <w:rPr>
          <w:rFonts w:eastAsia="Yu Gothic Light"/>
        </w:rPr>
        <w:t xml:space="preserve">riage </w:t>
      </w:r>
      <w:r w:rsidR="00AF42C4">
        <w:rPr>
          <w:rFonts w:eastAsia="Yu Gothic Light"/>
        </w:rPr>
        <w:t>d</w:t>
      </w:r>
      <w:r w:rsidRPr="008D5728">
        <w:rPr>
          <w:rFonts w:eastAsia="Yu Gothic Light"/>
        </w:rPr>
        <w:t xml:space="preserve">elegate and conducting triage. </w:t>
      </w:r>
    </w:p>
    <w:p w14:paraId="29441177" w14:textId="7B05DAEE" w:rsidR="005D728C" w:rsidRPr="00F96D37" w:rsidRDefault="005D728C" w:rsidP="00507F9D">
      <w:pPr>
        <w:pStyle w:val="h2"/>
        <w:rPr>
          <w:rFonts w:eastAsia="Yu Gothic Light"/>
        </w:rPr>
      </w:pPr>
      <w:bookmarkStart w:id="596" w:name="_Toc209189012"/>
      <w:bookmarkStart w:id="597" w:name="_Toc224916670"/>
      <w:r w:rsidRPr="00F96D37">
        <w:t xml:space="preserve">Assessment </w:t>
      </w:r>
      <w:bookmarkEnd w:id="596"/>
      <w:r w:rsidR="00690DCE">
        <w:t>d</w:t>
      </w:r>
      <w:r w:rsidRPr="00F96D37">
        <w:t>elegates</w:t>
      </w:r>
      <w:bookmarkEnd w:id="597"/>
    </w:p>
    <w:p w14:paraId="335EC3DE" w14:textId="6EB3070E" w:rsidR="005D728C" w:rsidRPr="008D5728" w:rsidRDefault="005D728C" w:rsidP="00C56CEC">
      <w:pPr>
        <w:pStyle w:val="H3"/>
        <w:rPr>
          <w:rFonts w:eastAsia="Yu Gothic"/>
        </w:rPr>
      </w:pPr>
      <w:r w:rsidRPr="008D5728">
        <w:t xml:space="preserve">Non-clinical </w:t>
      </w:r>
      <w:r w:rsidR="00690DCE">
        <w:t>a</w:t>
      </w:r>
      <w:r w:rsidRPr="008D5728">
        <w:t xml:space="preserve">ssessment </w:t>
      </w:r>
      <w:r w:rsidR="00690DCE">
        <w:t>d</w:t>
      </w:r>
      <w:r w:rsidRPr="008D5728">
        <w:t>elegates</w:t>
      </w:r>
      <w:r w:rsidRPr="008D5728">
        <w:rPr>
          <w:rFonts w:eastAsia="Yu Gothic"/>
        </w:rPr>
        <w:t xml:space="preserve"> </w:t>
      </w:r>
    </w:p>
    <w:p w14:paraId="6574BC4F" w14:textId="681C4619" w:rsidR="00084FEA" w:rsidRPr="000202B9" w:rsidRDefault="005D728C" w:rsidP="00622CFF">
      <w:pPr>
        <w:spacing w:before="240" w:after="240" w:line="240" w:lineRule="auto"/>
        <w:rPr>
          <w:rFonts w:eastAsia="Yu Gothic Light"/>
        </w:rPr>
      </w:pPr>
      <w:r w:rsidRPr="008D5728">
        <w:rPr>
          <w:rFonts w:eastAsia="Yu Gothic Light"/>
        </w:rPr>
        <w:t xml:space="preserve">Non-clinical Assessment Delegates are delegated the authority under the Act to approve entry-level services </w:t>
      </w:r>
      <w:r w:rsidR="00BA5BB3">
        <w:rPr>
          <w:rFonts w:eastAsia="Yu Gothic Light"/>
        </w:rPr>
        <w:t xml:space="preserve">arising from a home support assessment. </w:t>
      </w:r>
    </w:p>
    <w:p w14:paraId="558CF9FB" w14:textId="3622BF19" w:rsidR="005D728C" w:rsidRPr="008D5728" w:rsidRDefault="005D728C" w:rsidP="00622CFF">
      <w:pPr>
        <w:spacing w:before="240" w:after="240" w:line="240" w:lineRule="auto"/>
        <w:rPr>
          <w:rFonts w:eastAsia="Yu Gothic Light"/>
        </w:rPr>
      </w:pPr>
      <w:r w:rsidRPr="008D5728">
        <w:rPr>
          <w:rFonts w:eastAsia="Yu Gothic Light"/>
        </w:rPr>
        <w:t>This means</w:t>
      </w:r>
      <w:r w:rsidRPr="008D5728" w:rsidDel="00C61251">
        <w:rPr>
          <w:rFonts w:eastAsia="Yu Gothic Light"/>
        </w:rPr>
        <w:t xml:space="preserve"> </w:t>
      </w:r>
      <w:r w:rsidRPr="008D5728">
        <w:rPr>
          <w:rFonts w:eastAsia="Yu Gothic Light"/>
        </w:rPr>
        <w:t xml:space="preserve">they are restricted to approving </w:t>
      </w:r>
      <w:r w:rsidR="00267AED">
        <w:rPr>
          <w:rFonts w:eastAsia="Yu Gothic Light"/>
        </w:rPr>
        <w:t xml:space="preserve">access to </w:t>
      </w:r>
      <w:r w:rsidRPr="008D5728">
        <w:rPr>
          <w:rFonts w:eastAsia="Yu Gothic Light"/>
        </w:rPr>
        <w:t>the following:</w:t>
      </w:r>
    </w:p>
    <w:p w14:paraId="13C22D74" w14:textId="77777777" w:rsidR="004A03B9" w:rsidRPr="004A03B9" w:rsidRDefault="004A03B9" w:rsidP="00DF3F6B">
      <w:pPr>
        <w:numPr>
          <w:ilvl w:val="0"/>
          <w:numId w:val="248"/>
        </w:numPr>
        <w:spacing w:before="240" w:after="240" w:line="240" w:lineRule="auto"/>
        <w:textAlignment w:val="baseline"/>
        <w:rPr>
          <w:rFonts w:eastAsia="Times New Roman"/>
          <w:szCs w:val="22"/>
          <w:lang w:val="en-AU"/>
        </w:rPr>
      </w:pPr>
      <w:r w:rsidRPr="004A03B9">
        <w:rPr>
          <w:rFonts w:eastAsia="Times New Roman"/>
          <w:szCs w:val="22"/>
        </w:rPr>
        <w:t>the Commonwealth Home Support Program (CHSP)</w:t>
      </w:r>
      <w:r w:rsidRPr="004A03B9">
        <w:rPr>
          <w:rFonts w:eastAsia="Times New Roman"/>
          <w:szCs w:val="22"/>
          <w:lang w:val="en-AU"/>
        </w:rPr>
        <w:t> </w:t>
      </w:r>
    </w:p>
    <w:p w14:paraId="1B5668A0" w14:textId="03BCD7EF" w:rsidR="004A03B9" w:rsidRPr="004A03B9" w:rsidRDefault="00267AED" w:rsidP="00DF3F6B">
      <w:pPr>
        <w:numPr>
          <w:ilvl w:val="0"/>
          <w:numId w:val="248"/>
        </w:numPr>
        <w:spacing w:before="240" w:after="240" w:line="240" w:lineRule="auto"/>
        <w:textAlignment w:val="baseline"/>
        <w:rPr>
          <w:rFonts w:eastAsia="Times New Roman"/>
          <w:szCs w:val="22"/>
          <w:lang w:val="en-AU"/>
        </w:rPr>
      </w:pPr>
      <w:r>
        <w:rPr>
          <w:rFonts w:eastAsia="Times New Roman"/>
          <w:szCs w:val="22"/>
        </w:rPr>
        <w:t>a</w:t>
      </w:r>
      <w:r w:rsidR="004A03B9" w:rsidRPr="004A03B9">
        <w:rPr>
          <w:rFonts w:eastAsia="Times New Roman"/>
          <w:szCs w:val="22"/>
        </w:rPr>
        <w:t xml:space="preserve">ssistive technology (AT) and/or home modifications (HM) under CHSP </w:t>
      </w:r>
      <w:r w:rsidR="004A03B9" w:rsidRPr="004A03B9">
        <w:rPr>
          <w:rFonts w:eastAsia="Times New Roman"/>
          <w:szCs w:val="22"/>
          <w:lang w:val="en-AU"/>
        </w:rPr>
        <w:t> </w:t>
      </w:r>
      <w:r w:rsidR="004A03B9" w:rsidRPr="004A03B9">
        <w:rPr>
          <w:rFonts w:eastAsia="Times New Roman"/>
          <w:szCs w:val="22"/>
          <w:lang w:val="en-AU"/>
        </w:rPr>
        <w:br/>
      </w:r>
      <w:r w:rsidR="004A03B9" w:rsidRPr="004A03B9">
        <w:rPr>
          <w:rFonts w:eastAsia="Times New Roman"/>
          <w:szCs w:val="22"/>
        </w:rPr>
        <w:t>(</w:t>
      </w:r>
      <w:r w:rsidR="004A03B9" w:rsidRPr="004A03B9">
        <w:rPr>
          <w:rFonts w:eastAsia="Times New Roman"/>
          <w:i/>
          <w:iCs/>
          <w:szCs w:val="22"/>
        </w:rPr>
        <w:t>not</w:t>
      </w:r>
      <w:r w:rsidR="004A03B9" w:rsidRPr="004A03B9">
        <w:rPr>
          <w:rFonts w:eastAsia="Times New Roman"/>
          <w:szCs w:val="22"/>
        </w:rPr>
        <w:t xml:space="preserve"> under the AT-HM </w:t>
      </w:r>
      <w:r w:rsidR="00CD728A">
        <w:rPr>
          <w:rFonts w:eastAsia="Times New Roman"/>
          <w:szCs w:val="22"/>
        </w:rPr>
        <w:t>s</w:t>
      </w:r>
      <w:r w:rsidR="00CD728A" w:rsidRPr="004A03B9">
        <w:rPr>
          <w:rFonts w:eastAsia="Times New Roman"/>
          <w:szCs w:val="22"/>
        </w:rPr>
        <w:t>cheme</w:t>
      </w:r>
      <w:r w:rsidR="004A03B9" w:rsidRPr="004A03B9">
        <w:rPr>
          <w:rFonts w:eastAsia="Times New Roman"/>
          <w:szCs w:val="22"/>
        </w:rPr>
        <w:t>).</w:t>
      </w:r>
      <w:r w:rsidR="004A03B9" w:rsidRPr="004A03B9">
        <w:rPr>
          <w:rFonts w:eastAsia="Times New Roman"/>
          <w:szCs w:val="22"/>
          <w:lang w:val="en-AU"/>
        </w:rPr>
        <w:t> </w:t>
      </w:r>
    </w:p>
    <w:p w14:paraId="63007EE3" w14:textId="77777777" w:rsidR="005D728C" w:rsidRPr="008D5728" w:rsidRDefault="005D728C" w:rsidP="00622CFF">
      <w:pPr>
        <w:spacing w:before="240" w:after="240" w:line="240" w:lineRule="auto"/>
        <w:ind w:left="720"/>
        <w:contextualSpacing/>
        <w:rPr>
          <w:rFonts w:eastAsia="Yu Gothic Light"/>
        </w:rPr>
      </w:pPr>
    </w:p>
    <w:p w14:paraId="2510B41E" w14:textId="2A72755B" w:rsidR="005D728C" w:rsidRPr="008D5728" w:rsidRDefault="008C2EE3" w:rsidP="00622CFF">
      <w:pPr>
        <w:spacing w:before="240" w:after="240" w:line="240" w:lineRule="auto"/>
        <w:rPr>
          <w:rFonts w:eastAsia="Yu Gothic Light"/>
        </w:rPr>
      </w:pPr>
      <w:r w:rsidRPr="009A1B8F">
        <w:rPr>
          <w:szCs w:val="22"/>
        </w:rPr>
        <w:t>If any</w:t>
      </w:r>
      <w:r w:rsidRPr="009A1B8F" w:rsidDel="00BC0568">
        <w:rPr>
          <w:szCs w:val="22"/>
        </w:rPr>
        <w:t xml:space="preserve"> </w:t>
      </w:r>
      <w:r w:rsidRPr="009A1B8F">
        <w:rPr>
          <w:szCs w:val="22"/>
        </w:rPr>
        <w:t xml:space="preserve">approvals other than </w:t>
      </w:r>
      <w:r>
        <w:rPr>
          <w:szCs w:val="22"/>
        </w:rPr>
        <w:t xml:space="preserve">those listed </w:t>
      </w:r>
      <w:r w:rsidRPr="009A1B8F">
        <w:rPr>
          <w:szCs w:val="22"/>
        </w:rPr>
        <w:t>above are required, the assessor must convert the assessment to a comprehensive assessment. Once an assessment is c</w:t>
      </w:r>
      <w:r w:rsidRPr="008D5728">
        <w:rPr>
          <w:rFonts w:eastAsia="Yu Gothic Light"/>
        </w:rPr>
        <w:t>onverted to a comprehensive assessment, the approval will flow to a Clinical Assessment Delegate.</w:t>
      </w:r>
      <w:r>
        <w:rPr>
          <w:rFonts w:eastAsia="Yu Gothic Light"/>
        </w:rPr>
        <w:t xml:space="preserve"> </w:t>
      </w:r>
      <w:r w:rsidR="005D728C" w:rsidRPr="008D5728">
        <w:rPr>
          <w:rFonts w:eastAsia="Yu Gothic Light"/>
        </w:rPr>
        <w:t>Clinical Assess</w:t>
      </w:r>
      <w:r w:rsidR="005D728C" w:rsidRPr="009A1B8F">
        <w:rPr>
          <w:szCs w:val="22"/>
        </w:rPr>
        <w:t>ment Delegate approval is required for all other approvals as outlined in detail in the next section.</w:t>
      </w:r>
      <w:r w:rsidR="005D728C" w:rsidRPr="542ABAB7">
        <w:rPr>
          <w:szCs w:val="22"/>
        </w:rPr>
        <w:t xml:space="preserve"> </w:t>
      </w:r>
    </w:p>
    <w:p w14:paraId="0CDA9AB9" w14:textId="180F52E2" w:rsidR="005D728C" w:rsidRPr="008D5728" w:rsidRDefault="001F5DD6" w:rsidP="00622CFF">
      <w:pPr>
        <w:spacing w:before="240" w:after="240" w:line="240" w:lineRule="auto"/>
        <w:rPr>
          <w:rFonts w:eastAsia="Yu Gothic Light"/>
        </w:rPr>
      </w:pPr>
      <w:r>
        <w:rPr>
          <w:rFonts w:eastAsia="Yu Gothic Light"/>
        </w:rPr>
        <w:t>A</w:t>
      </w:r>
      <w:r w:rsidR="005D728C" w:rsidRPr="008D5728">
        <w:rPr>
          <w:rFonts w:eastAsia="Yu Gothic Light"/>
        </w:rPr>
        <w:t xml:space="preserve">ll needs assessors will have delegation under the </w:t>
      </w:r>
      <w:r w:rsidR="00B42893">
        <w:rPr>
          <w:rFonts w:eastAsia="Yu Gothic Light"/>
        </w:rPr>
        <w:t xml:space="preserve">Aged Care </w:t>
      </w:r>
      <w:r w:rsidR="005D728C" w:rsidRPr="008D5728">
        <w:rPr>
          <w:rFonts w:eastAsia="Yu Gothic Light"/>
        </w:rPr>
        <w:t xml:space="preserve">Act </w:t>
      </w:r>
      <w:r w:rsidR="00B42893">
        <w:rPr>
          <w:rFonts w:eastAsia="Yu Gothic Light"/>
        </w:rPr>
        <w:t>2024 (the Act)</w:t>
      </w:r>
      <w:r w:rsidR="005D728C" w:rsidRPr="008D5728">
        <w:rPr>
          <w:rFonts w:eastAsia="Yu Gothic Light"/>
        </w:rPr>
        <w:t xml:space="preserve"> to approve entry-level services. Assessment </w:t>
      </w:r>
      <w:r w:rsidR="00174BEE">
        <w:rPr>
          <w:rFonts w:eastAsia="Yu Gothic Light"/>
        </w:rPr>
        <w:t>o</w:t>
      </w:r>
      <w:r w:rsidR="00174BEE" w:rsidRPr="008D5728">
        <w:rPr>
          <w:rFonts w:eastAsia="Yu Gothic Light"/>
        </w:rPr>
        <w:t xml:space="preserve">rganisations </w:t>
      </w:r>
      <w:r w:rsidR="005D728C" w:rsidRPr="008D5728">
        <w:rPr>
          <w:rFonts w:eastAsia="Yu Gothic Light"/>
        </w:rPr>
        <w:t xml:space="preserve">can determine whether to permit all needs assessors to perform this function. </w:t>
      </w:r>
    </w:p>
    <w:p w14:paraId="396E6B0C" w14:textId="2C10844B" w:rsidR="005D728C" w:rsidRPr="008D5728" w:rsidRDefault="005D728C" w:rsidP="00622CFF">
      <w:pPr>
        <w:spacing w:before="240" w:after="240" w:line="240" w:lineRule="auto"/>
        <w:rPr>
          <w:rFonts w:eastAsia="Yu Gothic Light"/>
        </w:rPr>
      </w:pPr>
      <w:r w:rsidRPr="008D5728">
        <w:rPr>
          <w:rFonts w:eastAsia="Yu Gothic Light"/>
        </w:rPr>
        <w:t xml:space="preserve">When approving the recommendations from an </w:t>
      </w:r>
      <w:r w:rsidRPr="008D5728" w:rsidDel="00E05465">
        <w:rPr>
          <w:rFonts w:eastAsia="Yu Gothic Light"/>
        </w:rPr>
        <w:t>assessment</w:t>
      </w:r>
      <w:r w:rsidRPr="008D5728">
        <w:rPr>
          <w:rFonts w:eastAsia="Yu Gothic Light"/>
        </w:rPr>
        <w:t xml:space="preserve"> they have undertaken, needs assessors</w:t>
      </w:r>
      <w:r w:rsidR="00432EF6">
        <w:rPr>
          <w:rFonts w:eastAsia="Yu Gothic Light"/>
        </w:rPr>
        <w:t>,</w:t>
      </w:r>
      <w:r w:rsidR="00E26EE0">
        <w:rPr>
          <w:rFonts w:eastAsia="Yu Gothic Light"/>
        </w:rPr>
        <w:t xml:space="preserve"> </w:t>
      </w:r>
      <w:r w:rsidRPr="008D5728">
        <w:rPr>
          <w:rFonts w:eastAsia="Yu Gothic Light"/>
        </w:rPr>
        <w:t xml:space="preserve">acting in their capacity as a </w:t>
      </w:r>
      <w:r w:rsidR="00E4637C">
        <w:rPr>
          <w:rFonts w:eastAsia="Yu Gothic Light"/>
        </w:rPr>
        <w:t>n</w:t>
      </w:r>
      <w:r w:rsidRPr="008D5728">
        <w:rPr>
          <w:rFonts w:eastAsia="Yu Gothic Light"/>
        </w:rPr>
        <w:t xml:space="preserve">on-clinical </w:t>
      </w:r>
      <w:r w:rsidR="00E4637C">
        <w:rPr>
          <w:rFonts w:eastAsia="Yu Gothic Light"/>
        </w:rPr>
        <w:t>a</w:t>
      </w:r>
      <w:r w:rsidRPr="008D5728">
        <w:rPr>
          <w:rFonts w:eastAsia="Yu Gothic Light"/>
        </w:rPr>
        <w:t xml:space="preserve">ssessment </w:t>
      </w:r>
      <w:r w:rsidR="00E4637C">
        <w:rPr>
          <w:rFonts w:eastAsia="Yu Gothic Light"/>
        </w:rPr>
        <w:t>d</w:t>
      </w:r>
      <w:r w:rsidRPr="008D5728">
        <w:rPr>
          <w:rFonts w:eastAsia="Yu Gothic Light"/>
        </w:rPr>
        <w:t xml:space="preserve">elegate should exercise due care to ensure the assessment is complete, evidence based, free from errors, </w:t>
      </w:r>
      <w:r w:rsidRPr="008D5728" w:rsidDel="001F207D">
        <w:rPr>
          <w:rFonts w:eastAsia="Yu Gothic Light"/>
        </w:rPr>
        <w:t>contradictions</w:t>
      </w:r>
      <w:r w:rsidRPr="008D5728">
        <w:rPr>
          <w:rFonts w:eastAsia="Yu Gothic Light"/>
        </w:rPr>
        <w:t xml:space="preserve">, or omissions. </w:t>
      </w:r>
    </w:p>
    <w:p w14:paraId="5C0D7BE8" w14:textId="2FB40A94" w:rsidR="005D728C" w:rsidRPr="008D5728" w:rsidRDefault="005D728C" w:rsidP="00C56CEC">
      <w:pPr>
        <w:pStyle w:val="H3"/>
        <w:rPr>
          <w:rFonts w:eastAsia="Aptos"/>
        </w:rPr>
      </w:pPr>
      <w:r w:rsidRPr="008D5728">
        <w:t xml:space="preserve">Clinical </w:t>
      </w:r>
      <w:r w:rsidR="00690DCE">
        <w:t>a</w:t>
      </w:r>
      <w:r w:rsidRPr="008D5728">
        <w:t xml:space="preserve">ssessment </w:t>
      </w:r>
      <w:r w:rsidR="00690DCE">
        <w:t>d</w:t>
      </w:r>
      <w:r w:rsidRPr="008D5728">
        <w:t>elegates</w:t>
      </w:r>
    </w:p>
    <w:p w14:paraId="3CDD9C07" w14:textId="7C4FB763" w:rsidR="00263BCE" w:rsidRDefault="005D728C" w:rsidP="00622CFF">
      <w:pPr>
        <w:spacing w:before="240" w:after="240" w:line="240" w:lineRule="auto"/>
        <w:rPr>
          <w:rFonts w:eastAsia="Yu Gothic Light"/>
        </w:rPr>
      </w:pPr>
      <w:r w:rsidRPr="008D5728">
        <w:rPr>
          <w:rFonts w:eastAsia="Yu Gothic Light"/>
        </w:rPr>
        <w:t xml:space="preserve">Clinical </w:t>
      </w:r>
      <w:r w:rsidR="00690DCE">
        <w:rPr>
          <w:rFonts w:eastAsia="Yu Gothic Light"/>
        </w:rPr>
        <w:t>a</w:t>
      </w:r>
      <w:r w:rsidRPr="008D5728">
        <w:rPr>
          <w:rFonts w:eastAsia="Yu Gothic Light"/>
        </w:rPr>
        <w:t xml:space="preserve">ssessment </w:t>
      </w:r>
      <w:r w:rsidR="00690DCE">
        <w:rPr>
          <w:rFonts w:eastAsia="Yu Gothic Light"/>
        </w:rPr>
        <w:t>d</w:t>
      </w:r>
      <w:r w:rsidRPr="008D5728">
        <w:rPr>
          <w:rFonts w:eastAsia="Yu Gothic Light"/>
        </w:rPr>
        <w:t>elegates are delegated the authority under the Act to approve an older person for all service groups, classification types and classification levels.</w:t>
      </w:r>
    </w:p>
    <w:p w14:paraId="654A5B0E" w14:textId="77B03E71" w:rsidR="00263BCE" w:rsidRPr="008D5728" w:rsidRDefault="007C156F" w:rsidP="00C325C6">
      <w:pPr>
        <w:pStyle w:val="Sub-headings"/>
        <w:rPr>
          <w:rFonts w:eastAsia="Yu Gothic Light"/>
        </w:rPr>
      </w:pPr>
      <w:r w:rsidRPr="00005E87">
        <w:t>Note</w:t>
      </w:r>
      <w:r>
        <w:rPr>
          <w:rFonts w:eastAsia="Yu Gothic Light"/>
        </w:rPr>
        <w:t xml:space="preserve">: </w:t>
      </w:r>
      <w:r w:rsidR="00263BCE">
        <w:rPr>
          <w:rFonts w:eastAsia="Yu Gothic Light"/>
        </w:rPr>
        <w:t xml:space="preserve">Clinical Assessment Delegates can </w:t>
      </w:r>
      <w:r w:rsidR="00286AEE">
        <w:rPr>
          <w:rFonts w:eastAsia="Yu Gothic Light"/>
        </w:rPr>
        <w:t xml:space="preserve">approve entry-level home support services (as non-clinical </w:t>
      </w:r>
      <w:r w:rsidR="00AF42C4">
        <w:rPr>
          <w:rFonts w:eastAsia="Yu Gothic Light"/>
        </w:rPr>
        <w:t>a</w:t>
      </w:r>
      <w:r w:rsidR="00286AEE">
        <w:rPr>
          <w:rFonts w:eastAsia="Yu Gothic Light"/>
        </w:rPr>
        <w:t xml:space="preserve">ssessment </w:t>
      </w:r>
      <w:r w:rsidR="00AF42C4">
        <w:rPr>
          <w:rFonts w:eastAsia="Yu Gothic Light"/>
        </w:rPr>
        <w:t>d</w:t>
      </w:r>
      <w:r w:rsidR="00286AEE">
        <w:rPr>
          <w:rFonts w:eastAsia="Yu Gothic Light"/>
        </w:rPr>
        <w:t xml:space="preserve">elegates do) if assessment organisations have chosen to allocate home support assessments to </w:t>
      </w:r>
      <w:r w:rsidR="00AF42C4">
        <w:rPr>
          <w:rFonts w:eastAsia="Yu Gothic Light"/>
        </w:rPr>
        <w:t>c</w:t>
      </w:r>
      <w:r w:rsidR="00286AEE">
        <w:rPr>
          <w:rFonts w:eastAsia="Yu Gothic Light"/>
        </w:rPr>
        <w:t xml:space="preserve">linical </w:t>
      </w:r>
      <w:r w:rsidR="00AF42C4">
        <w:rPr>
          <w:rFonts w:eastAsia="Yu Gothic Light"/>
        </w:rPr>
        <w:t>a</w:t>
      </w:r>
      <w:r w:rsidR="00286AEE">
        <w:rPr>
          <w:rFonts w:eastAsia="Yu Gothic Light"/>
        </w:rPr>
        <w:t xml:space="preserve">ssessment </w:t>
      </w:r>
      <w:r w:rsidR="00AF42C4">
        <w:rPr>
          <w:rFonts w:eastAsia="Yu Gothic Light"/>
        </w:rPr>
        <w:t>d</w:t>
      </w:r>
      <w:r w:rsidR="00286AEE">
        <w:rPr>
          <w:rFonts w:eastAsia="Yu Gothic Light"/>
        </w:rPr>
        <w:t xml:space="preserve">elegates. </w:t>
      </w:r>
    </w:p>
    <w:p w14:paraId="7C0F1532" w14:textId="3CF10EDB" w:rsidR="005D728C" w:rsidRPr="008D5728" w:rsidRDefault="005D728C" w:rsidP="00507F9D">
      <w:pPr>
        <w:pStyle w:val="h2"/>
      </w:pPr>
      <w:bookmarkStart w:id="598" w:name="_Toc209189013"/>
      <w:bookmarkStart w:id="599" w:name="_Toc224916671"/>
      <w:bookmarkEnd w:id="590"/>
      <w:bookmarkEnd w:id="595"/>
      <w:r w:rsidRPr="008D5728">
        <w:t xml:space="preserve">Overview of approvals under the </w:t>
      </w:r>
      <w:r w:rsidR="009E08FD">
        <w:t xml:space="preserve">Aged Care </w:t>
      </w:r>
      <w:r w:rsidRPr="008D5728">
        <w:t>Act</w:t>
      </w:r>
      <w:bookmarkEnd w:id="598"/>
      <w:r w:rsidR="00E72B55">
        <w:t xml:space="preserve"> 2024</w:t>
      </w:r>
      <w:bookmarkEnd w:id="599"/>
    </w:p>
    <w:p w14:paraId="05538933" w14:textId="27BDC95C" w:rsidR="005D728C" w:rsidRPr="008D5728" w:rsidRDefault="005D728C" w:rsidP="00622CFF">
      <w:pPr>
        <w:spacing w:before="240" w:after="240" w:line="240" w:lineRule="auto"/>
        <w:rPr>
          <w:rFonts w:eastAsia="Yu Gothic Light"/>
        </w:rPr>
      </w:pPr>
      <w:r w:rsidRPr="008D5728">
        <w:rPr>
          <w:rFonts w:eastAsia="Yu Gothic Light"/>
        </w:rPr>
        <w:t>The</w:t>
      </w:r>
      <w:r w:rsidR="00690DCE">
        <w:rPr>
          <w:rFonts w:eastAsia="Yu Gothic Light"/>
        </w:rPr>
        <w:t xml:space="preserve"> Aged Care</w:t>
      </w:r>
      <w:r w:rsidRPr="008D5728">
        <w:rPr>
          <w:rFonts w:eastAsia="Yu Gothic Light"/>
        </w:rPr>
        <w:t xml:space="preserve"> Act</w:t>
      </w:r>
      <w:r w:rsidR="00690DCE">
        <w:rPr>
          <w:rFonts w:eastAsia="Yu Gothic Light"/>
        </w:rPr>
        <w:t xml:space="preserve"> 2024 (the Act)</w:t>
      </w:r>
      <w:r w:rsidRPr="008D5728">
        <w:rPr>
          <w:rFonts w:eastAsia="Yu Gothic Light"/>
        </w:rPr>
        <w:t xml:space="preserve"> </w:t>
      </w:r>
      <w:r w:rsidRPr="00674659">
        <w:rPr>
          <w:rFonts w:eastAsia="Yu Gothic Light"/>
        </w:rPr>
        <w:t>standardises the approval approach</w:t>
      </w:r>
      <w:r w:rsidRPr="00092BE1">
        <w:rPr>
          <w:rFonts w:eastAsia="Yu Gothic Light"/>
          <w:bCs/>
        </w:rPr>
        <w:t xml:space="preserve"> for funded aged care services, with </w:t>
      </w:r>
      <w:r w:rsidRPr="00674659">
        <w:rPr>
          <w:rFonts w:eastAsia="Yu Gothic Light"/>
        </w:rPr>
        <w:t>all approvals given under the Act</w:t>
      </w:r>
      <w:r w:rsidRPr="00092BE1">
        <w:rPr>
          <w:rFonts w:eastAsia="Yu Gothic Light"/>
          <w:bCs/>
        </w:rPr>
        <w:t xml:space="preserve">, using </w:t>
      </w:r>
      <w:r w:rsidRPr="00674659">
        <w:rPr>
          <w:rFonts w:eastAsia="Yu Gothic Light"/>
        </w:rPr>
        <w:t>one service list</w:t>
      </w:r>
      <w:r w:rsidRPr="00092BE1">
        <w:rPr>
          <w:rFonts w:eastAsia="Yu Gothic Light"/>
          <w:bCs/>
        </w:rPr>
        <w:t xml:space="preserve"> which is divided into four </w:t>
      </w:r>
      <w:r w:rsidRPr="00674659">
        <w:rPr>
          <w:rFonts w:eastAsia="Yu Gothic Light"/>
        </w:rPr>
        <w:t>Service Groups</w:t>
      </w:r>
      <w:r w:rsidRPr="00092BE1">
        <w:rPr>
          <w:rFonts w:eastAsia="Yu Gothic Light"/>
          <w:bCs/>
        </w:rPr>
        <w:t xml:space="preserve">. </w:t>
      </w:r>
      <w:r w:rsidRPr="008D5728">
        <w:rPr>
          <w:rFonts w:eastAsia="Yu Gothic Light"/>
        </w:rPr>
        <w:t>This makes it more straightforward to give an older person a tailored package of care that meets their needs.</w:t>
      </w:r>
    </w:p>
    <w:p w14:paraId="70C320BF" w14:textId="09288A92" w:rsidR="005D728C" w:rsidRPr="008D5728" w:rsidRDefault="005D728C" w:rsidP="00622CFF">
      <w:pPr>
        <w:spacing w:before="240" w:after="240" w:line="240" w:lineRule="auto"/>
        <w:rPr>
          <w:rFonts w:eastAsia="Yu Gothic Light"/>
        </w:rPr>
      </w:pPr>
      <w:r w:rsidRPr="008D5728">
        <w:rPr>
          <w:rFonts w:eastAsia="Yu Gothic Light"/>
        </w:rPr>
        <w:t xml:space="preserve">To be eligible for </w:t>
      </w:r>
      <w:r w:rsidRPr="00674659">
        <w:rPr>
          <w:rFonts w:eastAsia="Yu Gothic Light"/>
        </w:rPr>
        <w:t xml:space="preserve">any </w:t>
      </w:r>
      <w:r w:rsidRPr="007F50A9">
        <w:rPr>
          <w:rFonts w:eastAsia="Yu Gothic Light"/>
          <w:bCs/>
        </w:rPr>
        <w:t>funded aged care service an individual must first meet the criteria for an aged care needs assessment (as specified in</w:t>
      </w:r>
      <w:r w:rsidRPr="007F50A9">
        <w:rPr>
          <w:rFonts w:eastAsia="Yu Gothic Light" w:hint="eastAsia"/>
          <w:bCs/>
        </w:rPr>
        <w:t> </w:t>
      </w:r>
      <w:r w:rsidRPr="00674659">
        <w:rPr>
          <w:rFonts w:eastAsia="Yu Gothic Light"/>
        </w:rPr>
        <w:t>Section 58</w:t>
      </w:r>
      <w:r w:rsidRPr="007F50A9">
        <w:rPr>
          <w:rFonts w:eastAsia="Yu Gothic Light" w:hint="eastAsia"/>
          <w:bCs/>
        </w:rPr>
        <w:t> </w:t>
      </w:r>
      <w:r w:rsidRPr="007F50A9">
        <w:rPr>
          <w:rFonts w:eastAsia="Yu Gothic Light"/>
          <w:bCs/>
        </w:rPr>
        <w:t>of the Act). Eligibility is now determined by a</w:t>
      </w:r>
      <w:r w:rsidRPr="007F50A9">
        <w:rPr>
          <w:rFonts w:eastAsia="Yu Gothic Light" w:hint="eastAsia"/>
          <w:bCs/>
        </w:rPr>
        <w:t> </w:t>
      </w:r>
      <w:r w:rsidR="00F6145F">
        <w:rPr>
          <w:rFonts w:eastAsia="Yu Gothic Light"/>
        </w:rPr>
        <w:t>t</w:t>
      </w:r>
      <w:r w:rsidRPr="00674659">
        <w:rPr>
          <w:rFonts w:eastAsia="Yu Gothic Light"/>
        </w:rPr>
        <w:t xml:space="preserve">riage </w:t>
      </w:r>
      <w:r w:rsidR="00F6145F">
        <w:rPr>
          <w:rFonts w:eastAsia="Yu Gothic Light"/>
        </w:rPr>
        <w:t>d</w:t>
      </w:r>
      <w:r w:rsidRPr="00674659">
        <w:rPr>
          <w:rFonts w:eastAsia="Yu Gothic Light"/>
        </w:rPr>
        <w:t>elegate</w:t>
      </w:r>
      <w:r w:rsidRPr="007F50A9">
        <w:rPr>
          <w:rFonts w:eastAsia="Yu Gothic Light"/>
          <w:bCs/>
        </w:rPr>
        <w:t>, who</w:t>
      </w:r>
      <w:r w:rsidRPr="008D5728">
        <w:rPr>
          <w:rFonts w:eastAsia="Yu Gothic Light"/>
        </w:rPr>
        <w:t xml:space="preserve"> holds relevant decision-making powers delegated </w:t>
      </w:r>
      <w:r w:rsidR="00215562">
        <w:rPr>
          <w:rFonts w:eastAsia="Yu Gothic Light"/>
        </w:rPr>
        <w:t>by</w:t>
      </w:r>
      <w:r w:rsidR="00215562" w:rsidRPr="008D5728">
        <w:rPr>
          <w:rFonts w:eastAsia="Yu Gothic Light"/>
        </w:rPr>
        <w:t xml:space="preserve"> </w:t>
      </w:r>
      <w:r w:rsidRPr="008D5728">
        <w:rPr>
          <w:rFonts w:eastAsia="Yu Gothic Light"/>
        </w:rPr>
        <w:t>the System Governor.</w:t>
      </w:r>
    </w:p>
    <w:p w14:paraId="08CC3A93" w14:textId="2A7CAC0A" w:rsidR="005D728C" w:rsidRPr="008D5728" w:rsidRDefault="005D728C" w:rsidP="00622CFF">
      <w:pPr>
        <w:spacing w:before="240" w:after="240" w:line="240" w:lineRule="auto"/>
        <w:rPr>
          <w:rFonts w:eastAsia="Yu Gothic Light"/>
        </w:rPr>
      </w:pPr>
      <w:r w:rsidRPr="008D5728">
        <w:rPr>
          <w:rFonts w:eastAsia="Yu Gothic Light"/>
        </w:rPr>
        <w:t>Once determined as eligible, an</w:t>
      </w:r>
      <w:r w:rsidRPr="008D5728">
        <w:rPr>
          <w:rFonts w:eastAsia="Yu Gothic Light" w:hint="eastAsia"/>
        </w:rPr>
        <w:t> </w:t>
      </w:r>
      <w:r w:rsidRPr="00674659">
        <w:rPr>
          <w:rFonts w:eastAsia="Yu Gothic Light"/>
        </w:rPr>
        <w:t>aged care needs assessment</w:t>
      </w:r>
      <w:r w:rsidRPr="008D5728">
        <w:rPr>
          <w:rFonts w:eastAsia="Yu Gothic Light" w:hint="eastAsia"/>
        </w:rPr>
        <w:t> </w:t>
      </w:r>
      <w:r w:rsidRPr="008D5728">
        <w:rPr>
          <w:rFonts w:eastAsia="Yu Gothic Light"/>
        </w:rPr>
        <w:t xml:space="preserve">is conducted to determine whether the older </w:t>
      </w:r>
      <w:r w:rsidRPr="008D5728" w:rsidDel="0062183E">
        <w:rPr>
          <w:rFonts w:eastAsia="Yu Gothic Light"/>
        </w:rPr>
        <w:t xml:space="preserve">person </w:t>
      </w:r>
      <w:r w:rsidRPr="008D5728">
        <w:rPr>
          <w:rFonts w:eastAsia="Yu Gothic Light"/>
        </w:rPr>
        <w:t xml:space="preserve">requires funded aged care services. Based on this assessment, the assessor recommends funded aged care services they consider the individual needs to meet their care needs as well as any services, service types and service groups they consider the individual should be approved for under section 65 of the Act. It should be noted that under the same provision, older Aboriginal and Torres Strait Islander </w:t>
      </w:r>
      <w:r w:rsidRPr="0EDD0DA1">
        <w:rPr>
          <w:rFonts w:eastAsia="Yu Gothic Light"/>
        </w:rPr>
        <w:t>person</w:t>
      </w:r>
      <w:r w:rsidR="62CD70A3" w:rsidRPr="0EDD0DA1">
        <w:rPr>
          <w:rFonts w:eastAsia="Yu Gothic Light"/>
        </w:rPr>
        <w:t>s</w:t>
      </w:r>
      <w:r w:rsidRPr="008D5728">
        <w:rPr>
          <w:rFonts w:eastAsia="Yu Gothic Light"/>
        </w:rPr>
        <w:t xml:space="preserve"> only need an approval at the service group </w:t>
      </w:r>
      <w:r w:rsidR="00A27472">
        <w:rPr>
          <w:rFonts w:eastAsia="Yu Gothic Light"/>
        </w:rPr>
        <w:t>level</w:t>
      </w:r>
      <w:r w:rsidRPr="008D5728">
        <w:rPr>
          <w:rFonts w:eastAsia="Yu Gothic Light"/>
        </w:rPr>
        <w:t xml:space="preserve"> to receive aged care services. These recommendations are documented in a</w:t>
      </w:r>
      <w:r w:rsidRPr="008D5728">
        <w:rPr>
          <w:rFonts w:eastAsia="Yu Gothic Light" w:hint="eastAsia"/>
        </w:rPr>
        <w:t> </w:t>
      </w:r>
      <w:r w:rsidRPr="00674659">
        <w:rPr>
          <w:rFonts w:eastAsia="Yu Gothic Light"/>
        </w:rPr>
        <w:t>support plan</w:t>
      </w:r>
      <w:r w:rsidRPr="008D5728">
        <w:rPr>
          <w:rFonts w:eastAsia="Yu Gothic Light"/>
        </w:rPr>
        <w:t xml:space="preserve">, which is issued to </w:t>
      </w:r>
      <w:r w:rsidR="002B1C27">
        <w:rPr>
          <w:rFonts w:eastAsia="Yu Gothic Light"/>
        </w:rPr>
        <w:t>an assessment delegate</w:t>
      </w:r>
      <w:r w:rsidR="002B1C27" w:rsidRPr="008D5728">
        <w:rPr>
          <w:rFonts w:eastAsia="Yu Gothic Light"/>
        </w:rPr>
        <w:t xml:space="preserve"> </w:t>
      </w:r>
      <w:r w:rsidRPr="008D5728">
        <w:rPr>
          <w:rFonts w:eastAsia="Yu Gothic Light"/>
        </w:rPr>
        <w:t>for consideration shortly after the assessment has been completed.</w:t>
      </w:r>
    </w:p>
    <w:p w14:paraId="1DEFBE32" w14:textId="77777777" w:rsidR="005D728C" w:rsidRPr="008D5728" w:rsidRDefault="005D728C" w:rsidP="00622CFF">
      <w:pPr>
        <w:spacing w:before="240" w:after="240" w:line="240" w:lineRule="auto"/>
        <w:rPr>
          <w:rFonts w:eastAsia="Yu Gothic Light"/>
        </w:rPr>
      </w:pPr>
      <w:r w:rsidRPr="008D5728">
        <w:rPr>
          <w:rFonts w:eastAsia="Yu Gothic Light"/>
        </w:rPr>
        <w:t xml:space="preserve">For an older person to start using funded aged care services, they need to be approved for the following under the Act: </w:t>
      </w:r>
    </w:p>
    <w:p w14:paraId="11603EC3" w14:textId="5DFC5E85"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Service </w:t>
      </w:r>
      <w:r w:rsidR="0055395C">
        <w:rPr>
          <w:rFonts w:eastAsia="Yu Gothic Light"/>
          <w:b/>
        </w:rPr>
        <w:t>g</w:t>
      </w:r>
      <w:r w:rsidRPr="008D5728">
        <w:rPr>
          <w:rFonts w:eastAsia="Yu Gothic Light"/>
          <w:b/>
        </w:rPr>
        <w:t xml:space="preserve">roups, </w:t>
      </w:r>
      <w:r w:rsidRPr="008D5728">
        <w:rPr>
          <w:rFonts w:eastAsia="Yu Gothic Light"/>
        </w:rPr>
        <w:t>which specify the setting and nature of care an individual can access</w:t>
      </w:r>
    </w:p>
    <w:p w14:paraId="345473F7" w14:textId="2873AAC8"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Classification </w:t>
      </w:r>
      <w:r w:rsidR="0055395C">
        <w:rPr>
          <w:rFonts w:eastAsia="Yu Gothic Light"/>
          <w:b/>
        </w:rPr>
        <w:t>t</w:t>
      </w:r>
      <w:r w:rsidRPr="008D5728">
        <w:rPr>
          <w:rFonts w:eastAsia="Yu Gothic Light"/>
          <w:b/>
        </w:rPr>
        <w:t>ypes,</w:t>
      </w:r>
      <w:r w:rsidRPr="008D5728">
        <w:rPr>
          <w:rFonts w:eastAsia="Yu Gothic Light"/>
        </w:rPr>
        <w:t xml:space="preserve"> which specify the different time periods that services are delivered for under the service group.</w:t>
      </w:r>
    </w:p>
    <w:p w14:paraId="26F19C41" w14:textId="17E21A0C"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Service </w:t>
      </w:r>
      <w:r w:rsidR="0055395C">
        <w:rPr>
          <w:rFonts w:eastAsia="Yu Gothic Light"/>
          <w:b/>
        </w:rPr>
        <w:t>t</w:t>
      </w:r>
      <w:r w:rsidRPr="008D5728">
        <w:rPr>
          <w:rFonts w:eastAsia="Yu Gothic Light"/>
          <w:b/>
        </w:rPr>
        <w:t xml:space="preserve">ypes </w:t>
      </w:r>
      <w:r w:rsidRPr="008D5728">
        <w:rPr>
          <w:rFonts w:eastAsia="Yu Gothic Light"/>
        </w:rPr>
        <w:t xml:space="preserve">and </w:t>
      </w:r>
      <w:r w:rsidR="0055395C">
        <w:rPr>
          <w:rFonts w:eastAsia="Yu Gothic Light"/>
          <w:b/>
        </w:rPr>
        <w:t>s</w:t>
      </w:r>
      <w:r w:rsidRPr="008D5728">
        <w:rPr>
          <w:rFonts w:eastAsia="Yu Gothic Light"/>
          <w:b/>
        </w:rPr>
        <w:t xml:space="preserve">ervices </w:t>
      </w:r>
      <w:r w:rsidRPr="008D5728">
        <w:rPr>
          <w:rFonts w:eastAsia="Yu Gothic Light"/>
        </w:rPr>
        <w:t xml:space="preserve">(for some older people, in some circumstances) </w:t>
      </w:r>
      <w:r w:rsidRPr="008D5728">
        <w:rPr>
          <w:rFonts w:eastAsia="Yu Gothic Light" w:hint="eastAsia"/>
        </w:rPr>
        <w:t>–</w:t>
      </w:r>
      <w:r w:rsidRPr="008D5728">
        <w:rPr>
          <w:rFonts w:eastAsia="Yu Gothic Light"/>
        </w:rPr>
        <w:t xml:space="preserve"> </w:t>
      </w:r>
      <w:r w:rsidRPr="008D5728">
        <w:rPr>
          <w:rFonts w:eastAsia="Aptos"/>
        </w:rPr>
        <w:t xml:space="preserve">Service types are groups of different services. The services under these types are set out under the Aged Care Service list. Different service types sit under each service group. Older Aboriginal and Torres Strait Islander people only need an approval at the service group level </w:t>
      </w:r>
      <w:r w:rsidRPr="008D5728">
        <w:rPr>
          <w:rFonts w:eastAsia="Aptos" w:hint="eastAsia"/>
        </w:rPr>
        <w:t>–</w:t>
      </w:r>
      <w:r w:rsidRPr="008D5728">
        <w:rPr>
          <w:rFonts w:eastAsia="Aptos"/>
        </w:rPr>
        <w:t xml:space="preserve"> they are automatically approved for all service types and services in that group.</w:t>
      </w:r>
    </w:p>
    <w:p w14:paraId="1E043512" w14:textId="023BEB84"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Aptos"/>
          <w:b/>
        </w:rPr>
        <w:t xml:space="preserve">Classification </w:t>
      </w:r>
      <w:r w:rsidR="0055395C">
        <w:rPr>
          <w:rFonts w:eastAsia="Aptos"/>
          <w:b/>
        </w:rPr>
        <w:t>l</w:t>
      </w:r>
      <w:r w:rsidRPr="008D5728">
        <w:rPr>
          <w:rFonts w:eastAsia="Aptos"/>
          <w:b/>
        </w:rPr>
        <w:t>evels,</w:t>
      </w:r>
      <w:r w:rsidRPr="008D5728">
        <w:rPr>
          <w:rFonts w:eastAsia="Aptos"/>
        </w:rPr>
        <w:t xml:space="preserve"> which determine the amount of funding available to deliver funded aged care services to the individual. The individual receives a classification level for the classification type for the service group they have been approved to access. </w:t>
      </w:r>
      <w:r w:rsidRPr="008D5728">
        <w:rPr>
          <w:rFonts w:eastAsia="Yu Gothic Light"/>
        </w:rPr>
        <w:t xml:space="preserve"> The classification levels are specified in the Rules (see Division 3 Part 3 of Chapter 2 of the Rules).</w:t>
      </w:r>
    </w:p>
    <w:p w14:paraId="2274A3A5" w14:textId="5E91FFF0" w:rsidR="005D728C" w:rsidRPr="008D5728" w:rsidRDefault="005D728C" w:rsidP="00DF3F6B">
      <w:pPr>
        <w:numPr>
          <w:ilvl w:val="0"/>
          <w:numId w:val="263"/>
        </w:numPr>
        <w:spacing w:before="240" w:after="240" w:line="240" w:lineRule="auto"/>
        <w:ind w:left="851" w:hanging="425"/>
        <w:contextualSpacing/>
        <w:rPr>
          <w:rFonts w:eastAsia="Yu Gothic Light"/>
        </w:rPr>
      </w:pPr>
      <w:r w:rsidRPr="008D5728">
        <w:rPr>
          <w:rFonts w:eastAsia="Yu Gothic Light"/>
          <w:b/>
        </w:rPr>
        <w:t xml:space="preserve">Priority </w:t>
      </w:r>
      <w:r w:rsidR="0055395C">
        <w:rPr>
          <w:rFonts w:eastAsia="Yu Gothic Light"/>
          <w:b/>
        </w:rPr>
        <w:t>c</w:t>
      </w:r>
      <w:r w:rsidRPr="008D5728">
        <w:rPr>
          <w:rFonts w:eastAsia="Yu Gothic Light"/>
          <w:b/>
        </w:rPr>
        <w:t xml:space="preserve">ategories </w:t>
      </w:r>
      <w:r w:rsidRPr="008D5728">
        <w:rPr>
          <w:rFonts w:eastAsia="Yu Gothic Light" w:hint="eastAsia"/>
          <w:b/>
        </w:rPr>
        <w:t>–</w:t>
      </w:r>
      <w:r w:rsidRPr="008D5728">
        <w:rPr>
          <w:rFonts w:eastAsia="Yu Gothic Light"/>
          <w:b/>
        </w:rPr>
        <w:t xml:space="preserve"> </w:t>
      </w:r>
      <w:r w:rsidRPr="008D5728">
        <w:rPr>
          <w:rFonts w:eastAsia="Yu Gothic Light"/>
        </w:rPr>
        <w:t>determines priority for a classification type for a service group.</w:t>
      </w:r>
    </w:p>
    <w:p w14:paraId="6FB6BBF1" w14:textId="77777777" w:rsidR="005D728C" w:rsidRPr="008D5728" w:rsidRDefault="005D728C" w:rsidP="00622CFF">
      <w:pPr>
        <w:spacing w:before="240" w:after="240" w:line="240" w:lineRule="auto"/>
        <w:rPr>
          <w:rFonts w:eastAsia="Yu Gothic Light"/>
          <w:i/>
        </w:rPr>
      </w:pPr>
    </w:p>
    <w:p w14:paraId="48FD695C" w14:textId="41DDE938" w:rsidR="005D728C" w:rsidRPr="008D5728" w:rsidRDefault="005D728C" w:rsidP="00C325C6">
      <w:pPr>
        <w:pStyle w:val="Sub-headings"/>
        <w:rPr>
          <w:rFonts w:eastAsia="Yu Gothic Light"/>
        </w:rPr>
      </w:pPr>
      <w:r w:rsidRPr="00441859">
        <w:t>Note</w:t>
      </w:r>
      <w:r w:rsidR="00AC01E8">
        <w:rPr>
          <w:rFonts w:eastAsia="Yu Gothic Light"/>
        </w:rPr>
        <w:t>:</w:t>
      </w:r>
      <w:r w:rsidRPr="008D5728">
        <w:rPr>
          <w:rFonts w:eastAsia="Yu Gothic Light"/>
        </w:rPr>
        <w:t xml:space="preserve"> individuals must be approved under the </w:t>
      </w:r>
      <w:r w:rsidRPr="008D5728">
        <w:rPr>
          <w:rFonts w:eastAsia="Yu Gothic Light"/>
          <w:i/>
        </w:rPr>
        <w:t>Aged Care Act 2024</w:t>
      </w:r>
      <w:r w:rsidRPr="008D5728">
        <w:rPr>
          <w:i/>
        </w:rPr>
        <w:t xml:space="preserve"> </w:t>
      </w:r>
      <w:r w:rsidRPr="008D5728">
        <w:rPr>
          <w:rFonts w:eastAsia="Yu Gothic Light"/>
        </w:rPr>
        <w:t xml:space="preserve">to access any </w:t>
      </w:r>
      <w:r w:rsidRPr="008D5728">
        <w:t xml:space="preserve">funded aged care </w:t>
      </w:r>
      <w:r w:rsidRPr="008D5728">
        <w:rPr>
          <w:rFonts w:eastAsia="Yu Gothic Light"/>
        </w:rPr>
        <w:t>services</w:t>
      </w:r>
      <w:r w:rsidRPr="008D5728">
        <w:rPr>
          <w:rFonts w:eastAsia="Yu Gothic Light"/>
          <w:i/>
        </w:rPr>
        <w:t>,</w:t>
      </w:r>
      <w:r w:rsidRPr="008D5728">
        <w:rPr>
          <w:rFonts w:eastAsia="Yu Gothic Light"/>
        </w:rPr>
        <w:t xml:space="preserve"> including if they are delivered through CHSP, MPSP and NATISFACP. This is a significant change as individuals could previously access services through these programs without approval under the </w:t>
      </w:r>
      <w:r w:rsidRPr="008D5728">
        <w:rPr>
          <w:rFonts w:eastAsia="Yu Gothic Light"/>
          <w:i/>
        </w:rPr>
        <w:t>Aged Care Act 1997</w:t>
      </w:r>
      <w:r w:rsidRPr="008D5728">
        <w:rPr>
          <w:rFonts w:eastAsia="Yu Gothic Light"/>
        </w:rPr>
        <w:t>.</w:t>
      </w:r>
    </w:p>
    <w:p w14:paraId="2358D0B0" w14:textId="1EE7826B" w:rsidR="005D728C" w:rsidRPr="008D5728" w:rsidRDefault="005D728C" w:rsidP="00507F9D">
      <w:pPr>
        <w:pStyle w:val="h2"/>
      </w:pPr>
      <w:bookmarkStart w:id="600" w:name="_Toc209189014"/>
      <w:bookmarkStart w:id="601" w:name="_Toc224916672"/>
      <w:r w:rsidRPr="008D5728">
        <w:t xml:space="preserve">Delegate decisions under the </w:t>
      </w:r>
      <w:r w:rsidR="00AF7C38">
        <w:t xml:space="preserve">Aged Care </w:t>
      </w:r>
      <w:r w:rsidRPr="008D5728">
        <w:t>Act</w:t>
      </w:r>
      <w:bookmarkEnd w:id="600"/>
      <w:r w:rsidR="00E72B55">
        <w:t xml:space="preserve"> 2024</w:t>
      </w:r>
      <w:bookmarkEnd w:id="601"/>
    </w:p>
    <w:p w14:paraId="214AB732" w14:textId="1456FB37" w:rsidR="005D728C" w:rsidRPr="008D5728" w:rsidRDefault="005D728C" w:rsidP="00622CFF">
      <w:pPr>
        <w:spacing w:before="240" w:after="240" w:line="240" w:lineRule="auto"/>
        <w:rPr>
          <w:rFonts w:eastAsia="Yu Gothic Light"/>
        </w:rPr>
      </w:pPr>
      <w:r w:rsidRPr="008D5728">
        <w:rPr>
          <w:rFonts w:eastAsia="Yu Gothic Light"/>
        </w:rPr>
        <w:t xml:space="preserve">Although assessors provide recommendations and supporting evidence via the assessment report (support plan), the final approval decision </w:t>
      </w:r>
      <w:r w:rsidR="00911FA4" w:rsidRPr="008D5728">
        <w:rPr>
          <w:rFonts w:eastAsia="Yu Gothic Light"/>
        </w:rPr>
        <w:t>rests with</w:t>
      </w:r>
      <w:r w:rsidRPr="008D5728">
        <w:rPr>
          <w:rFonts w:eastAsia="Yu Gothic Light"/>
        </w:rPr>
        <w:t xml:space="preserve"> the </w:t>
      </w:r>
      <w:r w:rsidR="00867B41">
        <w:rPr>
          <w:rFonts w:eastAsia="Yu Gothic Light"/>
        </w:rPr>
        <w:t>a</w:t>
      </w:r>
      <w:r w:rsidR="00867B41" w:rsidRPr="008D5728">
        <w:rPr>
          <w:rFonts w:eastAsia="Yu Gothic Light"/>
        </w:rPr>
        <w:t xml:space="preserve">ssessment </w:t>
      </w:r>
      <w:r w:rsidR="00867B41">
        <w:rPr>
          <w:rFonts w:eastAsia="Yu Gothic Light"/>
        </w:rPr>
        <w:t>d</w:t>
      </w:r>
      <w:r w:rsidR="00867B41" w:rsidRPr="008D5728">
        <w:rPr>
          <w:rFonts w:eastAsia="Yu Gothic Light"/>
        </w:rPr>
        <w:t>elegate</w:t>
      </w:r>
      <w:r w:rsidR="008E6FD7">
        <w:rPr>
          <w:rFonts w:eastAsia="Yu Gothic Light"/>
        </w:rPr>
        <w:t>, except an ongoing home support classification</w:t>
      </w:r>
      <w:r w:rsidR="00310E59">
        <w:rPr>
          <w:rFonts w:eastAsia="Yu Gothic Light"/>
        </w:rPr>
        <w:t xml:space="preserve"> level and assigning a priority level for Support at Home</w:t>
      </w:r>
      <w:r w:rsidR="00240BEF">
        <w:rPr>
          <w:rFonts w:eastAsia="Yu Gothic Light"/>
        </w:rPr>
        <w:t xml:space="preserve"> which </w:t>
      </w:r>
      <w:r w:rsidR="00D92E13">
        <w:rPr>
          <w:rFonts w:eastAsia="Yu Gothic Light"/>
        </w:rPr>
        <w:t>are automated decisions</w:t>
      </w:r>
      <w:r w:rsidRPr="008D5728" w:rsidDel="008E6FD7">
        <w:rPr>
          <w:rFonts w:eastAsia="Yu Gothic Light"/>
        </w:rPr>
        <w:t>.</w:t>
      </w:r>
    </w:p>
    <w:p w14:paraId="4A62C90A" w14:textId="51AB6082" w:rsidR="005D728C" w:rsidRPr="008D5728" w:rsidRDefault="005D728C" w:rsidP="00622CFF">
      <w:pPr>
        <w:spacing w:before="240" w:after="240" w:line="240" w:lineRule="auto"/>
        <w:rPr>
          <w:rFonts w:eastAsia="Yu Gothic Light"/>
        </w:rPr>
      </w:pPr>
      <w:r w:rsidRPr="008D5728">
        <w:rPr>
          <w:rFonts w:eastAsia="Yu Gothic Light"/>
        </w:rPr>
        <w:t xml:space="preserve">While </w:t>
      </w:r>
      <w:r w:rsidR="00867B41">
        <w:rPr>
          <w:rFonts w:eastAsia="Yu Gothic Light"/>
        </w:rPr>
        <w:t>a</w:t>
      </w:r>
      <w:r w:rsidR="00867B41" w:rsidRPr="008D5728">
        <w:rPr>
          <w:rFonts w:eastAsia="Yu Gothic Light"/>
        </w:rPr>
        <w:t>ssessment</w:t>
      </w:r>
      <w:r w:rsidRPr="008D5728" w:rsidDel="00867B41">
        <w:rPr>
          <w:rFonts w:eastAsia="Yu Gothic Light"/>
        </w:rPr>
        <w:t xml:space="preserve"> </w:t>
      </w:r>
      <w:r w:rsidR="00867B41">
        <w:rPr>
          <w:rFonts w:eastAsia="Yu Gothic Light"/>
        </w:rPr>
        <w:t>d</w:t>
      </w:r>
      <w:r w:rsidR="00867B41" w:rsidRPr="008D5728">
        <w:rPr>
          <w:rFonts w:eastAsia="Yu Gothic Light"/>
        </w:rPr>
        <w:t xml:space="preserve">elegates </w:t>
      </w:r>
      <w:r w:rsidRPr="008D5728">
        <w:rPr>
          <w:rFonts w:eastAsia="Yu Gothic Light"/>
        </w:rPr>
        <w:t xml:space="preserve">exercise the powers of the aged care System Governor, they remain personally accountable for the decisions they make under the </w:t>
      </w:r>
      <w:r w:rsidR="00AF7C38" w:rsidRPr="00674659">
        <w:rPr>
          <w:rFonts w:eastAsia="Yu Gothic Light"/>
          <w:i/>
        </w:rPr>
        <w:t xml:space="preserve">Aged Care </w:t>
      </w:r>
      <w:r w:rsidRPr="00674659">
        <w:rPr>
          <w:rFonts w:eastAsia="Yu Gothic Light"/>
          <w:i/>
        </w:rPr>
        <w:t>Act</w:t>
      </w:r>
      <w:r w:rsidR="00AF7C38" w:rsidRPr="00674659">
        <w:rPr>
          <w:rFonts w:eastAsia="Yu Gothic Light"/>
          <w:i/>
        </w:rPr>
        <w:t xml:space="preserve"> 2024</w:t>
      </w:r>
      <w:r w:rsidR="00AF7C38">
        <w:rPr>
          <w:rFonts w:eastAsia="Yu Gothic Light"/>
        </w:rPr>
        <w:t xml:space="preserve"> (the Act)</w:t>
      </w:r>
      <w:r w:rsidRPr="008D5728">
        <w:rPr>
          <w:rFonts w:eastAsia="Yu Gothic Light"/>
        </w:rPr>
        <w:t>. This underscores the significant responsibility of the Assessment Delegate role.</w:t>
      </w:r>
    </w:p>
    <w:p w14:paraId="4AC7503C" w14:textId="149AE48D" w:rsidR="005D728C" w:rsidRPr="008D5728" w:rsidRDefault="005D728C" w:rsidP="00622CFF">
      <w:pPr>
        <w:spacing w:before="240" w:after="240" w:line="240" w:lineRule="auto"/>
        <w:rPr>
          <w:rFonts w:eastAsia="Yu Gothic Light"/>
        </w:rPr>
      </w:pPr>
      <w:r w:rsidRPr="008D5728">
        <w:rPr>
          <w:rFonts w:eastAsia="Yu Gothic Light"/>
        </w:rPr>
        <w:t xml:space="preserve">Once an aged care needs assessment is finalised, the </w:t>
      </w:r>
      <w:r w:rsidR="004D09EC">
        <w:rPr>
          <w:rFonts w:eastAsia="Yu Gothic Light"/>
        </w:rPr>
        <w:t>a</w:t>
      </w:r>
      <w:r w:rsidRPr="008D5728">
        <w:rPr>
          <w:rFonts w:eastAsia="Yu Gothic Light"/>
        </w:rPr>
        <w:t xml:space="preserve">ssessment </w:t>
      </w:r>
      <w:r w:rsidR="004D09EC">
        <w:rPr>
          <w:rFonts w:eastAsia="Yu Gothic Light"/>
        </w:rPr>
        <w:t>d</w:t>
      </w:r>
      <w:r w:rsidRPr="008D5728">
        <w:rPr>
          <w:rFonts w:eastAsia="Yu Gothic Light"/>
        </w:rPr>
        <w:t xml:space="preserve">elegate must ensure that all eligibility requirements are met before approving any service group, service type, or specific funded aged care service. This means that the older person’s situation must comply with the conditions outlined in sections 65-68 of the </w:t>
      </w:r>
      <w:r w:rsidR="009E08FD" w:rsidRPr="00674659">
        <w:rPr>
          <w:rFonts w:eastAsia="Yu Gothic Light"/>
        </w:rPr>
        <w:t>Act</w:t>
      </w:r>
      <w:r w:rsidRPr="008D5728">
        <w:rPr>
          <w:rFonts w:eastAsia="Yu Gothic Light"/>
        </w:rPr>
        <w:t xml:space="preserve"> and any additional eligibility criteria set by the relevant rules must be satisfied. If these requirements are not met, the </w:t>
      </w:r>
      <w:r w:rsidR="00801A70">
        <w:rPr>
          <w:rFonts w:eastAsia="Yu Gothic Light"/>
        </w:rPr>
        <w:t>a</w:t>
      </w:r>
      <w:r w:rsidRPr="008D5728">
        <w:rPr>
          <w:rFonts w:eastAsia="Yu Gothic Light"/>
        </w:rPr>
        <w:t xml:space="preserve">ssessment </w:t>
      </w:r>
      <w:r w:rsidR="00801A70">
        <w:rPr>
          <w:rFonts w:eastAsia="Yu Gothic Light"/>
        </w:rPr>
        <w:t>d</w:t>
      </w:r>
      <w:r w:rsidRPr="008D5728">
        <w:rPr>
          <w:rFonts w:eastAsia="Yu Gothic Light"/>
        </w:rPr>
        <w:t>elegate cannot approve the provision of aged care services. </w:t>
      </w:r>
    </w:p>
    <w:p w14:paraId="5B5DF233" w14:textId="77777777" w:rsidR="005D728C" w:rsidRPr="008D5728" w:rsidRDefault="005D728C" w:rsidP="00C56CEC">
      <w:pPr>
        <w:pStyle w:val="H3"/>
      </w:pPr>
      <w:bookmarkStart w:id="602" w:name="_Toc198787132"/>
      <w:bookmarkStart w:id="603" w:name="_Toc2065233794"/>
      <w:bookmarkStart w:id="604" w:name="_Toc199344499"/>
      <w:bookmarkStart w:id="605" w:name="_Toc205372029"/>
      <w:bookmarkStart w:id="606" w:name="_Toc207713934"/>
      <w:r w:rsidRPr="003C32B8">
        <w:t>Deciding</w:t>
      </w:r>
      <w:r w:rsidRPr="008D5728">
        <w:t xml:space="preserve"> if the older person requires aged care services</w:t>
      </w:r>
      <w:bookmarkEnd w:id="602"/>
      <w:bookmarkEnd w:id="603"/>
      <w:bookmarkEnd w:id="604"/>
      <w:bookmarkEnd w:id="605"/>
      <w:bookmarkEnd w:id="606"/>
    </w:p>
    <w:p w14:paraId="3E2177A7" w14:textId="28CC5D11" w:rsidR="005D728C" w:rsidRPr="008D5728" w:rsidRDefault="005D728C" w:rsidP="00622CFF">
      <w:pPr>
        <w:spacing w:before="240" w:after="240" w:line="240" w:lineRule="auto"/>
        <w:rPr>
          <w:rFonts w:eastAsia="Yu Gothic Light"/>
        </w:rPr>
      </w:pPr>
      <w:r w:rsidRPr="008D5728">
        <w:rPr>
          <w:rFonts w:eastAsia="Yu Gothic Light"/>
        </w:rPr>
        <w:t xml:space="preserve">Assessment </w:t>
      </w:r>
      <w:r w:rsidR="00867B41">
        <w:rPr>
          <w:rFonts w:eastAsia="Yu Gothic Light"/>
        </w:rPr>
        <w:t>d</w:t>
      </w:r>
      <w:r w:rsidRPr="008D5728">
        <w:rPr>
          <w:rFonts w:eastAsia="Yu Gothic Light"/>
        </w:rPr>
        <w:t xml:space="preserve">elegates must first determine whether the individual requires access to funded aged care services, and which service groups, and in some cases service types and services they require. This requirement is set out in section 65(2) of the </w:t>
      </w:r>
      <w:r w:rsidR="002803B9">
        <w:rPr>
          <w:rFonts w:eastAsia="Yu Gothic Light"/>
        </w:rPr>
        <w:t>Act</w:t>
      </w:r>
      <w:r w:rsidRPr="008D5728">
        <w:rPr>
          <w:rFonts w:eastAsia="Yu Gothic Light"/>
        </w:rPr>
        <w:t>.</w:t>
      </w:r>
    </w:p>
    <w:p w14:paraId="24F81571" w14:textId="77777777" w:rsidR="005D728C" w:rsidRPr="008D5728" w:rsidRDefault="005D728C" w:rsidP="00622CFF">
      <w:pPr>
        <w:spacing w:before="240" w:after="240" w:line="240" w:lineRule="auto"/>
        <w:rPr>
          <w:rFonts w:eastAsia="Yu Gothic Light"/>
        </w:rPr>
      </w:pPr>
      <w:r w:rsidRPr="008D5728">
        <w:rPr>
          <w:rFonts w:eastAsia="Yu Gothic Light"/>
        </w:rPr>
        <w:t>This decision is made based on:</w:t>
      </w:r>
    </w:p>
    <w:p w14:paraId="5C5B465F" w14:textId="77777777" w:rsidR="005D728C" w:rsidRPr="008D5728" w:rsidRDefault="005D728C" w:rsidP="00DF3F6B">
      <w:pPr>
        <w:numPr>
          <w:ilvl w:val="0"/>
          <w:numId w:val="217"/>
        </w:numPr>
        <w:spacing w:before="240" w:after="240" w:line="240" w:lineRule="auto"/>
        <w:rPr>
          <w:rFonts w:eastAsia="Yu Gothic Light"/>
        </w:rPr>
      </w:pPr>
      <w:r w:rsidRPr="008D5728">
        <w:rPr>
          <w:rFonts w:eastAsia="Yu Gothic Light"/>
        </w:rPr>
        <w:t xml:space="preserve">An assessment report (referred to in practice as the support plan), </w:t>
      </w:r>
    </w:p>
    <w:p w14:paraId="34A79ECD" w14:textId="77777777" w:rsidR="005D728C" w:rsidRPr="008D5728" w:rsidRDefault="005D728C" w:rsidP="00DF3F6B">
      <w:pPr>
        <w:numPr>
          <w:ilvl w:val="0"/>
          <w:numId w:val="217"/>
        </w:numPr>
        <w:spacing w:before="240" w:after="240" w:line="240" w:lineRule="auto"/>
        <w:rPr>
          <w:rFonts w:eastAsia="Yu Gothic Light"/>
        </w:rPr>
      </w:pPr>
      <w:r w:rsidRPr="008D5728">
        <w:rPr>
          <w:rFonts w:eastAsia="Yu Gothic Light"/>
        </w:rPr>
        <w:t>In the case of reassessments in accordance with 64(1)(c)(ii) of the Act, any relevant information relating to the individual provided.</w:t>
      </w:r>
    </w:p>
    <w:p w14:paraId="1D83F4B8" w14:textId="3DAD2727" w:rsidR="005D728C" w:rsidRPr="008D5728" w:rsidRDefault="005D728C" w:rsidP="00622CFF">
      <w:pPr>
        <w:spacing w:before="240" w:after="240" w:line="240" w:lineRule="auto"/>
        <w:rPr>
          <w:rFonts w:eastAsia="Yu Gothic Light"/>
        </w:rPr>
      </w:pPr>
      <w:r w:rsidRPr="008D5728">
        <w:rPr>
          <w:rFonts w:eastAsia="Yu Gothic Light"/>
        </w:rPr>
        <w:t xml:space="preserve">The table below summarises the sections of the Act that relate to eligibility for access to services. These sections of the Act, and how they apply to </w:t>
      </w:r>
      <w:r w:rsidR="0090683A">
        <w:rPr>
          <w:rFonts w:eastAsia="Yu Gothic Light"/>
        </w:rPr>
        <w:t xml:space="preserve">an </w:t>
      </w:r>
      <w:r w:rsidR="00EE4261">
        <w:rPr>
          <w:rFonts w:eastAsia="Yu Gothic Light"/>
        </w:rPr>
        <w:t>a</w:t>
      </w:r>
      <w:r w:rsidR="0090683A">
        <w:rPr>
          <w:rFonts w:eastAsia="Yu Gothic Light"/>
        </w:rPr>
        <w:t xml:space="preserve">ssessment </w:t>
      </w:r>
      <w:r w:rsidR="00EE4261">
        <w:rPr>
          <w:rFonts w:eastAsia="Yu Gothic Light"/>
        </w:rPr>
        <w:t>d</w:t>
      </w:r>
      <w:r w:rsidR="0090683A">
        <w:rPr>
          <w:rFonts w:eastAsia="Yu Gothic Light"/>
        </w:rPr>
        <w:t>elegate’s</w:t>
      </w:r>
      <w:r w:rsidR="0090683A" w:rsidRPr="008D5728">
        <w:rPr>
          <w:rFonts w:eastAsia="Yu Gothic Light"/>
        </w:rPr>
        <w:t xml:space="preserve"> </w:t>
      </w:r>
      <w:r w:rsidRPr="008D5728">
        <w:rPr>
          <w:rFonts w:eastAsia="Yu Gothic Light"/>
        </w:rPr>
        <w:t>decision-making, are explained in detail in the following sections.</w:t>
      </w:r>
    </w:p>
    <w:p w14:paraId="6A4FECF1" w14:textId="3C519EE7" w:rsidR="005D728C" w:rsidRPr="008D5728" w:rsidRDefault="005D728C" w:rsidP="00622CFF">
      <w:pPr>
        <w:pStyle w:val="Caption"/>
        <w:spacing w:before="240" w:after="240"/>
        <w:rPr>
          <w:rFonts w:eastAsia="Yu Gothic Light"/>
          <w:bCs/>
          <w:lang w:val="en-AU"/>
        </w:rPr>
      </w:pPr>
      <w:r w:rsidRPr="008D5728">
        <w:rPr>
          <w:rFonts w:eastAsia="Yu Gothic Light"/>
          <w:bCs/>
          <w:lang w:val="en-AU"/>
        </w:rPr>
        <w:t xml:space="preserve">Table </w:t>
      </w:r>
      <w:r>
        <w:rPr>
          <w:rFonts w:eastAsia="Yu Gothic Light"/>
          <w:bCs/>
          <w:lang w:val="en-AU"/>
        </w:rPr>
        <w:t>3</w:t>
      </w:r>
      <w:r w:rsidR="000C7B48">
        <w:rPr>
          <w:rFonts w:eastAsia="Yu Gothic Light"/>
          <w:bCs/>
          <w:lang w:val="en-AU"/>
        </w:rPr>
        <w:t>4</w:t>
      </w:r>
      <w:r w:rsidRPr="008D5728">
        <w:rPr>
          <w:rFonts w:eastAsia="Yu Gothic Light"/>
          <w:bCs/>
          <w:lang w:val="en-AU"/>
        </w:rPr>
        <w:t xml:space="preserve">: </w:t>
      </w:r>
      <w:r w:rsidRPr="008D5728">
        <w:rPr>
          <w:rFonts w:eastAsia="Yu Gothic Light"/>
          <w:lang w:val="en-AU"/>
        </w:rPr>
        <w:t>Approval to access funded aged care services under section 65 </w:t>
      </w:r>
    </w:p>
    <w:tbl>
      <w:tblPr>
        <w:tblW w:w="955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Approval to access funded aged care services under section 65 "/>
        <w:tblDescription w:val="Summary of sections of the Aged Care Act 2024 that relate to eligibility for access to services"/>
      </w:tblPr>
      <w:tblGrid>
        <w:gridCol w:w="795"/>
        <w:gridCol w:w="2278"/>
        <w:gridCol w:w="1981"/>
        <w:gridCol w:w="1818"/>
        <w:gridCol w:w="2679"/>
        <w:gridCol w:w="6"/>
      </w:tblGrid>
      <w:tr w:rsidR="005D728C" w:rsidRPr="008D5728" w14:paraId="49F25871" w14:textId="77777777">
        <w:trPr>
          <w:trHeight w:val="300"/>
          <w:tblHeader/>
        </w:trPr>
        <w:tc>
          <w:tcPr>
            <w:tcW w:w="654" w:type="dxa"/>
            <w:shd w:val="clear" w:color="auto" w:fill="002060"/>
            <w:hideMark/>
          </w:tcPr>
          <w:p w14:paraId="1741B8F0" w14:textId="77777777"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Section of the Act</w:t>
            </w:r>
            <w:r w:rsidRPr="008D5728">
              <w:rPr>
                <w:rFonts w:eastAsia="Yu Gothic Light"/>
                <w:color w:val="FFFFFF"/>
                <w:szCs w:val="22"/>
                <w:lang w:val="en-AU"/>
              </w:rPr>
              <w:t> </w:t>
            </w:r>
          </w:p>
        </w:tc>
        <w:tc>
          <w:tcPr>
            <w:tcW w:w="2323" w:type="dxa"/>
            <w:shd w:val="clear" w:color="auto" w:fill="002060"/>
            <w:hideMark/>
          </w:tcPr>
          <w:p w14:paraId="4F608B6E" w14:textId="05E5FBA1"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 xml:space="preserve"> </w:t>
            </w:r>
            <w:r w:rsidR="0055395C">
              <w:rPr>
                <w:rFonts w:eastAsia="Yu Gothic Light"/>
                <w:b/>
                <w:color w:val="FFFFFF"/>
                <w:szCs w:val="22"/>
                <w:lang w:val="en-AU"/>
              </w:rPr>
              <w:t>c</w:t>
            </w:r>
            <w:r w:rsidRPr="008D5728">
              <w:rPr>
                <w:rFonts w:eastAsia="Yu Gothic Light"/>
                <w:b/>
                <w:color w:val="FFFFFF"/>
                <w:szCs w:val="22"/>
                <w:lang w:val="en-AU"/>
              </w:rPr>
              <w:t>riteria</w:t>
            </w:r>
            <w:r w:rsidRPr="008D5728">
              <w:rPr>
                <w:rFonts w:eastAsia="Yu Gothic Light"/>
                <w:color w:val="FFFFFF"/>
                <w:szCs w:val="22"/>
                <w:lang w:val="en-AU"/>
              </w:rPr>
              <w:t> </w:t>
            </w:r>
          </w:p>
        </w:tc>
        <w:tc>
          <w:tcPr>
            <w:tcW w:w="1990" w:type="dxa"/>
            <w:shd w:val="clear" w:color="auto" w:fill="002060"/>
            <w:hideMark/>
          </w:tcPr>
          <w:p w14:paraId="45D1D64C" w14:textId="06F91402" w:rsidR="005D728C" w:rsidRPr="008D5728" w:rsidRDefault="005D728C" w:rsidP="00622CFF">
            <w:pPr>
              <w:spacing w:before="240" w:after="240" w:line="240" w:lineRule="auto"/>
              <w:ind w:firstLine="7"/>
              <w:rPr>
                <w:rFonts w:eastAsia="Yu Gothic Light"/>
                <w:color w:val="FFFFFF"/>
                <w:szCs w:val="22"/>
                <w:lang w:val="en-AU"/>
              </w:rPr>
            </w:pPr>
            <w:r w:rsidRPr="008D5728">
              <w:rPr>
                <w:rFonts w:eastAsia="Yu Gothic Light"/>
                <w:b/>
                <w:color w:val="FFFFFF"/>
                <w:szCs w:val="22"/>
                <w:lang w:val="en-AU"/>
              </w:rPr>
              <w:t xml:space="preserve">Available </w:t>
            </w:r>
            <w:r w:rsidR="0055395C">
              <w:rPr>
                <w:rFonts w:eastAsia="Yu Gothic Light"/>
                <w:b/>
                <w:color w:val="FFFFFF"/>
                <w:szCs w:val="22"/>
                <w:lang w:val="en-AU"/>
              </w:rPr>
              <w:t>s</w:t>
            </w:r>
            <w:r w:rsidRPr="008D5728">
              <w:rPr>
                <w:rFonts w:eastAsia="Yu Gothic Light"/>
                <w:b/>
                <w:color w:val="FFFFFF"/>
                <w:szCs w:val="22"/>
                <w:lang w:val="en-AU"/>
              </w:rPr>
              <w:t xml:space="preserve">ervice </w:t>
            </w:r>
            <w:r w:rsidR="0055395C">
              <w:rPr>
                <w:rFonts w:eastAsia="Yu Gothic Light"/>
                <w:b/>
                <w:color w:val="FFFFFF"/>
                <w:szCs w:val="22"/>
                <w:lang w:val="en-AU"/>
              </w:rPr>
              <w:t>g</w:t>
            </w:r>
            <w:r w:rsidRPr="008D5728">
              <w:rPr>
                <w:rFonts w:eastAsia="Yu Gothic Light"/>
                <w:b/>
                <w:color w:val="FFFFFF"/>
                <w:szCs w:val="22"/>
                <w:lang w:val="en-AU"/>
              </w:rPr>
              <w:t>roup/s</w:t>
            </w:r>
            <w:r w:rsidRPr="008D5728">
              <w:rPr>
                <w:rFonts w:eastAsia="Yu Gothic Light"/>
                <w:color w:val="FFFFFF"/>
                <w:szCs w:val="22"/>
                <w:lang w:val="en-AU"/>
              </w:rPr>
              <w:t> </w:t>
            </w:r>
          </w:p>
        </w:tc>
        <w:tc>
          <w:tcPr>
            <w:tcW w:w="1837" w:type="dxa"/>
            <w:shd w:val="clear" w:color="auto" w:fill="002060"/>
            <w:hideMark/>
          </w:tcPr>
          <w:p w14:paraId="1E170B8F" w14:textId="77777777"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Available classification type/s</w:t>
            </w:r>
            <w:r w:rsidRPr="008D5728">
              <w:rPr>
                <w:rFonts w:eastAsia="Yu Gothic Light"/>
                <w:color w:val="FFFFFF"/>
                <w:szCs w:val="22"/>
                <w:lang w:val="en-AU"/>
              </w:rPr>
              <w:t> </w:t>
            </w:r>
          </w:p>
        </w:tc>
        <w:tc>
          <w:tcPr>
            <w:tcW w:w="2724" w:type="dxa"/>
            <w:shd w:val="clear" w:color="auto" w:fill="002060"/>
            <w:hideMark/>
          </w:tcPr>
          <w:p w14:paraId="752340A4" w14:textId="77777777" w:rsidR="005D728C" w:rsidRPr="008D5728" w:rsidRDefault="005D728C" w:rsidP="00622CFF">
            <w:pPr>
              <w:spacing w:before="240" w:after="240" w:line="240" w:lineRule="auto"/>
              <w:rPr>
                <w:rFonts w:eastAsia="Yu Gothic Light"/>
                <w:color w:val="FFFFFF"/>
                <w:szCs w:val="22"/>
                <w:lang w:val="en-AU"/>
              </w:rPr>
            </w:pPr>
            <w:r w:rsidRPr="008D5728">
              <w:rPr>
                <w:rFonts w:eastAsia="Yu Gothic Light"/>
                <w:b/>
                <w:color w:val="FFFFFF"/>
                <w:szCs w:val="22"/>
                <w:lang w:val="en-AU"/>
              </w:rPr>
              <w:t>Relevant program/s</w:t>
            </w:r>
            <w:r w:rsidRPr="008D5728">
              <w:rPr>
                <w:rFonts w:eastAsia="Yu Gothic Light"/>
                <w:color w:val="FFFFFF"/>
                <w:szCs w:val="22"/>
                <w:lang w:val="en-AU"/>
              </w:rPr>
              <w:t> </w:t>
            </w:r>
          </w:p>
        </w:tc>
        <w:tc>
          <w:tcPr>
            <w:tcW w:w="0" w:type="auto"/>
            <w:shd w:val="clear" w:color="auto" w:fill="3F4A75"/>
            <w:vAlign w:val="center"/>
            <w:hideMark/>
          </w:tcPr>
          <w:p w14:paraId="6473CFA8" w14:textId="77777777" w:rsidR="005D728C" w:rsidRPr="008D5728" w:rsidRDefault="005D728C" w:rsidP="00622CFF">
            <w:pPr>
              <w:spacing w:before="240" w:after="240" w:line="240" w:lineRule="auto"/>
              <w:rPr>
                <w:rFonts w:eastAsia="Yu Gothic Light"/>
                <w:color w:val="FFFFFF"/>
                <w:szCs w:val="22"/>
                <w:lang w:val="en-AU"/>
              </w:rPr>
            </w:pPr>
          </w:p>
        </w:tc>
      </w:tr>
      <w:tr w:rsidR="005D728C" w:rsidRPr="008D5728" w14:paraId="2745AC78" w14:textId="77777777">
        <w:trPr>
          <w:trHeight w:val="300"/>
        </w:trPr>
        <w:tc>
          <w:tcPr>
            <w:tcW w:w="654" w:type="dxa"/>
            <w:hideMark/>
          </w:tcPr>
          <w:p w14:paraId="7137BCEA"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66 </w:t>
            </w:r>
          </w:p>
        </w:tc>
        <w:tc>
          <w:tcPr>
            <w:tcW w:w="2323" w:type="dxa"/>
            <w:hideMark/>
          </w:tcPr>
          <w:p w14:paraId="0257635C"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Individual must be an Aboriginal or Torres Strait Islander person </w:t>
            </w:r>
          </w:p>
          <w:p w14:paraId="1818652F"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lang w:val="en-AU"/>
              </w:rPr>
              <w:t xml:space="preserve">The individual must meet </w:t>
            </w:r>
            <w:r w:rsidRPr="008D5728">
              <w:rPr>
                <w:rFonts w:eastAsia="Yu Gothic Light"/>
              </w:rPr>
              <w:t xml:space="preserve">any eligibility requirements prescribed by the rules for the relevant service group. </w:t>
            </w:r>
          </w:p>
        </w:tc>
        <w:tc>
          <w:tcPr>
            <w:tcW w:w="1990" w:type="dxa"/>
            <w:hideMark/>
          </w:tcPr>
          <w:p w14:paraId="7AEE6F3F" w14:textId="77777777" w:rsidR="005D728C" w:rsidRPr="008D5728" w:rsidRDefault="005D728C" w:rsidP="00622CFF">
            <w:pPr>
              <w:numPr>
                <w:ilvl w:val="0"/>
                <w:numId w:val="11"/>
              </w:numPr>
              <w:spacing w:before="240" w:after="240" w:line="240" w:lineRule="auto"/>
              <w:ind w:left="360" w:hanging="276"/>
              <w:rPr>
                <w:rFonts w:eastAsia="Yu Gothic Light"/>
                <w:szCs w:val="22"/>
                <w:lang w:val="en-AU"/>
              </w:rPr>
            </w:pPr>
            <w:r w:rsidRPr="008D5728">
              <w:rPr>
                <w:rFonts w:eastAsia="Yu Gothic Light"/>
                <w:szCs w:val="22"/>
                <w:lang w:val="en-AU"/>
              </w:rPr>
              <w:t>Residential Care </w:t>
            </w:r>
          </w:p>
          <w:p w14:paraId="282EC66A" w14:textId="77777777" w:rsidR="005D728C" w:rsidRPr="008D5728" w:rsidRDefault="005D728C" w:rsidP="00622CFF">
            <w:pPr>
              <w:numPr>
                <w:ilvl w:val="0"/>
                <w:numId w:val="12"/>
              </w:numPr>
              <w:spacing w:before="240" w:after="240" w:line="240" w:lineRule="auto"/>
              <w:ind w:left="360" w:hanging="276"/>
              <w:rPr>
                <w:rFonts w:eastAsia="Yu Gothic Light"/>
                <w:szCs w:val="22"/>
                <w:lang w:val="en-AU"/>
              </w:rPr>
            </w:pPr>
            <w:r w:rsidRPr="008D5728">
              <w:rPr>
                <w:rFonts w:eastAsia="Yu Gothic Light"/>
                <w:szCs w:val="22"/>
                <w:lang w:val="en-AU"/>
              </w:rPr>
              <w:t>Home Support </w:t>
            </w:r>
          </w:p>
          <w:p w14:paraId="257E942C" w14:textId="77777777" w:rsidR="005D728C" w:rsidRPr="008D5728" w:rsidRDefault="005D728C" w:rsidP="00622CFF">
            <w:pPr>
              <w:numPr>
                <w:ilvl w:val="0"/>
                <w:numId w:val="13"/>
              </w:numPr>
              <w:spacing w:before="240" w:after="240" w:line="240" w:lineRule="auto"/>
              <w:ind w:left="360" w:hanging="276"/>
              <w:rPr>
                <w:rFonts w:eastAsia="Yu Gothic Light"/>
                <w:szCs w:val="22"/>
                <w:lang w:val="en-AU"/>
              </w:rPr>
            </w:pPr>
            <w:r w:rsidRPr="008D5728">
              <w:rPr>
                <w:rFonts w:eastAsia="Yu Gothic Light"/>
                <w:szCs w:val="22"/>
                <w:lang w:val="en-AU"/>
              </w:rPr>
              <w:t>Assistive Technology </w:t>
            </w:r>
          </w:p>
          <w:p w14:paraId="0407104A" w14:textId="77777777" w:rsidR="005D728C" w:rsidRPr="008D5728" w:rsidRDefault="005D728C" w:rsidP="00622CFF">
            <w:pPr>
              <w:numPr>
                <w:ilvl w:val="0"/>
                <w:numId w:val="14"/>
              </w:numPr>
              <w:spacing w:before="240" w:after="240" w:line="240" w:lineRule="auto"/>
              <w:ind w:left="360" w:hanging="276"/>
              <w:rPr>
                <w:rFonts w:eastAsia="Yu Gothic Light"/>
                <w:szCs w:val="22"/>
                <w:lang w:val="en-AU"/>
              </w:rPr>
            </w:pPr>
            <w:r w:rsidRPr="008D5728">
              <w:rPr>
                <w:rFonts w:eastAsia="Yu Gothic Light"/>
                <w:szCs w:val="22"/>
                <w:lang w:val="en-AU"/>
              </w:rPr>
              <w:t>Home Modifications  </w:t>
            </w:r>
          </w:p>
        </w:tc>
        <w:tc>
          <w:tcPr>
            <w:tcW w:w="1837" w:type="dxa"/>
            <w:hideMark/>
          </w:tcPr>
          <w:p w14:paraId="1E08921E"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classification types </w:t>
            </w:r>
          </w:p>
        </w:tc>
        <w:tc>
          <w:tcPr>
            <w:tcW w:w="2724" w:type="dxa"/>
            <w:hideMark/>
          </w:tcPr>
          <w:p w14:paraId="49DA5B52" w14:textId="0CDB445F"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programs</w:t>
            </w:r>
            <w:r w:rsidR="008C5324">
              <w:rPr>
                <w:rFonts w:eastAsia="Yu Gothic Light"/>
                <w:szCs w:val="22"/>
                <w:lang w:val="en-AU"/>
              </w:rPr>
              <w:t>.</w:t>
            </w:r>
            <w:r w:rsidRPr="008D5728">
              <w:rPr>
                <w:rFonts w:eastAsia="Yu Gothic Light"/>
                <w:szCs w:val="22"/>
                <w:lang w:val="en-AU"/>
              </w:rPr>
              <w:t> </w:t>
            </w:r>
          </w:p>
          <w:p w14:paraId="58EE2B22"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w:t>
            </w:r>
          </w:p>
          <w:p w14:paraId="43F9A918"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w:t>
            </w:r>
          </w:p>
        </w:tc>
        <w:tc>
          <w:tcPr>
            <w:tcW w:w="0" w:type="auto"/>
            <w:vAlign w:val="center"/>
            <w:hideMark/>
          </w:tcPr>
          <w:p w14:paraId="5BD8CD37" w14:textId="77777777" w:rsidR="005D728C" w:rsidRPr="008D5728" w:rsidRDefault="005D728C" w:rsidP="00622CFF">
            <w:pPr>
              <w:spacing w:before="240" w:after="240" w:line="240" w:lineRule="auto"/>
              <w:rPr>
                <w:rFonts w:eastAsia="Yu Gothic Light"/>
                <w:szCs w:val="22"/>
                <w:lang w:val="en-AU"/>
              </w:rPr>
            </w:pPr>
          </w:p>
        </w:tc>
      </w:tr>
      <w:tr w:rsidR="005D728C" w:rsidRPr="008D5728" w14:paraId="63189487" w14:textId="77777777">
        <w:trPr>
          <w:trHeight w:val="300"/>
        </w:trPr>
        <w:tc>
          <w:tcPr>
            <w:tcW w:w="654" w:type="dxa"/>
            <w:hideMark/>
          </w:tcPr>
          <w:p w14:paraId="36F64A3E"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67 </w:t>
            </w:r>
          </w:p>
        </w:tc>
        <w:tc>
          <w:tcPr>
            <w:tcW w:w="2323" w:type="dxa"/>
            <w:hideMark/>
          </w:tcPr>
          <w:p w14:paraId="218AED6A"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xml:space="preserve">Individual must have an impairment; </w:t>
            </w:r>
            <w:r w:rsidRPr="008D5728">
              <w:rPr>
                <w:rFonts w:eastAsia="Yu Gothic Light"/>
                <w:b/>
                <w:szCs w:val="22"/>
                <w:lang w:val="en-AU"/>
              </w:rPr>
              <w:t>and</w:t>
            </w:r>
            <w:r w:rsidRPr="008D5728">
              <w:rPr>
                <w:rFonts w:eastAsia="Yu Gothic Light"/>
                <w:szCs w:val="22"/>
                <w:lang w:val="en-AU"/>
              </w:rPr>
              <w:t> </w:t>
            </w:r>
          </w:p>
          <w:p w14:paraId="6E7A774D"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 xml:space="preserve">There must be a specific reason why the individual requires access to the service type/s or services. </w:t>
            </w:r>
          </w:p>
          <w:p w14:paraId="46F0FD34" w14:textId="344B3AA2" w:rsidR="005D728C" w:rsidRPr="008D5728" w:rsidRDefault="005D728C" w:rsidP="00622CFF">
            <w:pPr>
              <w:spacing w:before="240" w:after="240" w:line="240" w:lineRule="auto"/>
              <w:rPr>
                <w:rFonts w:eastAsia="Yu Gothic Light"/>
                <w:szCs w:val="22"/>
                <w:lang w:val="en-AU"/>
              </w:rPr>
            </w:pPr>
            <w:r w:rsidRPr="008D5728">
              <w:rPr>
                <w:rFonts w:eastAsia="Yu Gothic Light"/>
                <w:lang w:val="en-AU"/>
              </w:rPr>
              <w:t xml:space="preserve">The individual must meet </w:t>
            </w:r>
            <w:r w:rsidRPr="008D5728">
              <w:rPr>
                <w:rFonts w:eastAsia="Yu Gothic Light"/>
              </w:rPr>
              <w:t>any eligibility requirements prescribed by the rules for the relevant service group.</w:t>
            </w:r>
          </w:p>
        </w:tc>
        <w:tc>
          <w:tcPr>
            <w:tcW w:w="1990" w:type="dxa"/>
            <w:hideMark/>
          </w:tcPr>
          <w:p w14:paraId="262E8DA8" w14:textId="77777777" w:rsidR="005D728C" w:rsidRPr="008D5728" w:rsidRDefault="005D728C" w:rsidP="00622CFF">
            <w:pPr>
              <w:numPr>
                <w:ilvl w:val="0"/>
                <w:numId w:val="15"/>
              </w:numPr>
              <w:spacing w:before="240" w:after="240" w:line="240" w:lineRule="auto"/>
              <w:ind w:left="360" w:hanging="276"/>
              <w:rPr>
                <w:rFonts w:eastAsia="Yu Gothic Light"/>
                <w:szCs w:val="22"/>
                <w:lang w:val="en-AU"/>
              </w:rPr>
            </w:pPr>
            <w:r w:rsidRPr="008D5728">
              <w:rPr>
                <w:rFonts w:eastAsia="Yu Gothic Light"/>
                <w:szCs w:val="22"/>
                <w:lang w:val="en-AU"/>
              </w:rPr>
              <w:t>Home Support </w:t>
            </w:r>
          </w:p>
          <w:p w14:paraId="62FD30BC" w14:textId="77777777" w:rsidR="005D728C" w:rsidRPr="008D5728" w:rsidRDefault="005D728C" w:rsidP="00622CFF">
            <w:pPr>
              <w:numPr>
                <w:ilvl w:val="0"/>
                <w:numId w:val="16"/>
              </w:numPr>
              <w:spacing w:before="240" w:after="240" w:line="240" w:lineRule="auto"/>
              <w:ind w:left="360" w:hanging="276"/>
              <w:rPr>
                <w:rFonts w:eastAsia="Yu Gothic Light"/>
                <w:szCs w:val="22"/>
                <w:lang w:val="en-AU"/>
              </w:rPr>
            </w:pPr>
            <w:r w:rsidRPr="008D5728">
              <w:rPr>
                <w:rFonts w:eastAsia="Yu Gothic Light"/>
                <w:szCs w:val="22"/>
                <w:lang w:val="en-AU"/>
              </w:rPr>
              <w:t>Assistive Technology </w:t>
            </w:r>
          </w:p>
          <w:p w14:paraId="264379CF" w14:textId="77777777" w:rsidR="005D728C" w:rsidRPr="008D5728" w:rsidRDefault="005D728C" w:rsidP="00622CFF">
            <w:pPr>
              <w:numPr>
                <w:ilvl w:val="0"/>
                <w:numId w:val="17"/>
              </w:numPr>
              <w:spacing w:before="240" w:after="240" w:line="240" w:lineRule="auto"/>
              <w:ind w:left="360" w:hanging="276"/>
              <w:rPr>
                <w:rFonts w:eastAsia="Yu Gothic Light"/>
                <w:szCs w:val="22"/>
                <w:lang w:val="en-AU"/>
              </w:rPr>
            </w:pPr>
            <w:r w:rsidRPr="008D5728">
              <w:rPr>
                <w:rFonts w:eastAsia="Yu Gothic Light"/>
                <w:szCs w:val="22"/>
                <w:lang w:val="en-AU"/>
              </w:rPr>
              <w:t>Home modifications </w:t>
            </w:r>
          </w:p>
        </w:tc>
        <w:tc>
          <w:tcPr>
            <w:tcW w:w="1837" w:type="dxa"/>
            <w:hideMark/>
          </w:tcPr>
          <w:p w14:paraId="05A4C80E"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classification types </w:t>
            </w:r>
          </w:p>
        </w:tc>
        <w:tc>
          <w:tcPr>
            <w:tcW w:w="2724" w:type="dxa"/>
            <w:hideMark/>
          </w:tcPr>
          <w:p w14:paraId="1D9B6A00" w14:textId="77777777" w:rsidR="005D728C" w:rsidRPr="008D5728" w:rsidRDefault="005D728C" w:rsidP="00622CFF">
            <w:pPr>
              <w:numPr>
                <w:ilvl w:val="0"/>
                <w:numId w:val="18"/>
              </w:numPr>
              <w:spacing w:before="240" w:after="240" w:line="240" w:lineRule="auto"/>
              <w:ind w:left="360"/>
              <w:rPr>
                <w:rFonts w:eastAsia="Yu Gothic Light"/>
                <w:szCs w:val="22"/>
                <w:lang w:val="en-AU"/>
              </w:rPr>
            </w:pPr>
            <w:r w:rsidRPr="008D5728">
              <w:rPr>
                <w:rFonts w:eastAsia="Yu Gothic Light"/>
                <w:szCs w:val="22"/>
                <w:lang w:val="en-AU"/>
              </w:rPr>
              <w:t>Support at Home </w:t>
            </w:r>
          </w:p>
          <w:p w14:paraId="6E3E3C37" w14:textId="77777777" w:rsidR="005D728C" w:rsidRPr="008D5728" w:rsidRDefault="005D728C" w:rsidP="00622CFF">
            <w:pPr>
              <w:numPr>
                <w:ilvl w:val="0"/>
                <w:numId w:val="19"/>
              </w:numPr>
              <w:spacing w:before="240" w:after="240" w:line="240" w:lineRule="auto"/>
              <w:ind w:left="360"/>
              <w:rPr>
                <w:rFonts w:eastAsia="Yu Gothic Light"/>
                <w:szCs w:val="22"/>
                <w:lang w:val="en-AU"/>
              </w:rPr>
            </w:pPr>
            <w:r w:rsidRPr="008D5728">
              <w:rPr>
                <w:rFonts w:eastAsia="Yu Gothic Light"/>
                <w:szCs w:val="22"/>
                <w:lang w:val="en-AU"/>
              </w:rPr>
              <w:t>CHSP </w:t>
            </w:r>
          </w:p>
          <w:p w14:paraId="64990F5A" w14:textId="77777777" w:rsidR="005D728C" w:rsidRPr="008D5728" w:rsidRDefault="005D728C" w:rsidP="00622CFF">
            <w:pPr>
              <w:numPr>
                <w:ilvl w:val="0"/>
                <w:numId w:val="20"/>
              </w:numPr>
              <w:spacing w:before="240" w:after="240" w:line="240" w:lineRule="auto"/>
              <w:ind w:left="360"/>
              <w:rPr>
                <w:rFonts w:eastAsia="Yu Gothic Light"/>
                <w:szCs w:val="22"/>
                <w:lang w:val="en-AU"/>
              </w:rPr>
            </w:pPr>
            <w:r w:rsidRPr="008D5728">
              <w:rPr>
                <w:rFonts w:eastAsia="Yu Gothic Light"/>
                <w:szCs w:val="22"/>
                <w:lang w:val="en-AU"/>
              </w:rPr>
              <w:t>TCP </w:t>
            </w:r>
          </w:p>
          <w:p w14:paraId="5EEED5D2" w14:textId="77777777" w:rsidR="005D728C" w:rsidRPr="008D5728" w:rsidRDefault="005D728C" w:rsidP="00622CFF">
            <w:pPr>
              <w:numPr>
                <w:ilvl w:val="0"/>
                <w:numId w:val="21"/>
              </w:numPr>
              <w:spacing w:before="240" w:after="240" w:line="240" w:lineRule="auto"/>
              <w:ind w:left="360"/>
              <w:rPr>
                <w:rFonts w:eastAsia="Yu Gothic Light"/>
                <w:szCs w:val="22"/>
                <w:lang w:val="en-AU"/>
              </w:rPr>
            </w:pPr>
            <w:r w:rsidRPr="008D5728">
              <w:rPr>
                <w:rFonts w:eastAsia="Yu Gothic Light"/>
                <w:szCs w:val="22"/>
                <w:lang w:val="en-AU"/>
              </w:rPr>
              <w:t>MPSP </w:t>
            </w:r>
          </w:p>
          <w:p w14:paraId="0B8DC93C" w14:textId="77777777" w:rsidR="005D728C" w:rsidRPr="008D5728" w:rsidRDefault="005D728C" w:rsidP="00622CFF">
            <w:pPr>
              <w:numPr>
                <w:ilvl w:val="0"/>
                <w:numId w:val="22"/>
              </w:numPr>
              <w:spacing w:before="240" w:after="240" w:line="240" w:lineRule="auto"/>
              <w:ind w:left="360"/>
              <w:rPr>
                <w:rFonts w:eastAsia="Yu Gothic Light"/>
                <w:szCs w:val="22"/>
                <w:lang w:val="en-AU"/>
              </w:rPr>
            </w:pPr>
            <w:r w:rsidRPr="008D5728">
              <w:rPr>
                <w:rFonts w:eastAsia="Yu Gothic Light"/>
                <w:szCs w:val="22"/>
                <w:lang w:val="en-AU"/>
              </w:rPr>
              <w:t>NATSIFACP </w:t>
            </w:r>
          </w:p>
        </w:tc>
        <w:tc>
          <w:tcPr>
            <w:tcW w:w="0" w:type="auto"/>
            <w:vAlign w:val="center"/>
            <w:hideMark/>
          </w:tcPr>
          <w:p w14:paraId="596DC482" w14:textId="77777777" w:rsidR="005D728C" w:rsidRPr="008D5728" w:rsidRDefault="005D728C" w:rsidP="00622CFF">
            <w:pPr>
              <w:spacing w:before="240" w:after="240" w:line="240" w:lineRule="auto"/>
              <w:rPr>
                <w:rFonts w:eastAsia="Yu Gothic Light"/>
                <w:szCs w:val="22"/>
                <w:lang w:val="en-AU"/>
              </w:rPr>
            </w:pPr>
          </w:p>
        </w:tc>
      </w:tr>
      <w:tr w:rsidR="005D728C" w:rsidRPr="008D5728" w14:paraId="3356D7ED" w14:textId="77777777">
        <w:trPr>
          <w:trHeight w:val="300"/>
        </w:trPr>
        <w:tc>
          <w:tcPr>
            <w:tcW w:w="654" w:type="dxa"/>
            <w:hideMark/>
          </w:tcPr>
          <w:p w14:paraId="4106EF10"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68 </w:t>
            </w:r>
          </w:p>
        </w:tc>
        <w:tc>
          <w:tcPr>
            <w:tcW w:w="2323" w:type="dxa"/>
            <w:hideMark/>
          </w:tcPr>
          <w:p w14:paraId="420E017E" w14:textId="77777777" w:rsidR="005D728C" w:rsidRPr="008D5728" w:rsidRDefault="005D728C" w:rsidP="00622CFF">
            <w:pPr>
              <w:spacing w:before="240" w:after="240" w:line="240" w:lineRule="auto"/>
              <w:rPr>
                <w:rFonts w:eastAsia="Yu Gothic Light"/>
              </w:rPr>
            </w:pPr>
            <w:r w:rsidRPr="008D5728">
              <w:rPr>
                <w:rFonts w:eastAsia="Yu Gothic Light"/>
              </w:rPr>
              <w:t>Individual must have a continuing need for residential care because they are ‘sick’</w:t>
            </w:r>
          </w:p>
          <w:p w14:paraId="1F42C409"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individual must meet </w:t>
            </w:r>
            <w:r w:rsidRPr="008D5728">
              <w:rPr>
                <w:rFonts w:eastAsia="Yu Gothic Light"/>
              </w:rPr>
              <w:t>the eligibility requirements prescribed by the rules for the service group residential care.</w:t>
            </w:r>
          </w:p>
        </w:tc>
        <w:tc>
          <w:tcPr>
            <w:tcW w:w="1990" w:type="dxa"/>
            <w:hideMark/>
          </w:tcPr>
          <w:p w14:paraId="5F67526D" w14:textId="77777777" w:rsidR="005D728C" w:rsidRPr="008D5728" w:rsidRDefault="005D728C" w:rsidP="00622CFF">
            <w:pPr>
              <w:numPr>
                <w:ilvl w:val="0"/>
                <w:numId w:val="23"/>
              </w:numPr>
              <w:spacing w:before="240" w:after="240" w:line="240" w:lineRule="auto"/>
              <w:ind w:hanging="276"/>
              <w:rPr>
                <w:rFonts w:eastAsia="Yu Gothic Light"/>
                <w:szCs w:val="22"/>
                <w:lang w:val="en-AU"/>
              </w:rPr>
            </w:pPr>
            <w:r w:rsidRPr="008D5728">
              <w:rPr>
                <w:rFonts w:eastAsia="Yu Gothic Light"/>
                <w:szCs w:val="22"/>
                <w:lang w:val="en-AU"/>
              </w:rPr>
              <w:t>Residential Care </w:t>
            </w:r>
          </w:p>
        </w:tc>
        <w:tc>
          <w:tcPr>
            <w:tcW w:w="1837" w:type="dxa"/>
            <w:hideMark/>
          </w:tcPr>
          <w:p w14:paraId="19D2128A" w14:textId="77777777" w:rsidR="005D728C" w:rsidRPr="008D5728" w:rsidRDefault="005D728C" w:rsidP="00622CFF">
            <w:pPr>
              <w:spacing w:before="240" w:after="240" w:line="240" w:lineRule="auto"/>
              <w:rPr>
                <w:rFonts w:eastAsia="Yu Gothic Light"/>
                <w:szCs w:val="22"/>
                <w:lang w:val="en-AU"/>
              </w:rPr>
            </w:pPr>
            <w:r w:rsidRPr="008D5728">
              <w:rPr>
                <w:rFonts w:eastAsia="Yu Gothic Light"/>
                <w:szCs w:val="22"/>
                <w:lang w:val="en-AU"/>
              </w:rPr>
              <w:t>All classification types </w:t>
            </w:r>
          </w:p>
        </w:tc>
        <w:tc>
          <w:tcPr>
            <w:tcW w:w="2724" w:type="dxa"/>
            <w:hideMark/>
          </w:tcPr>
          <w:p w14:paraId="2B1E0409" w14:textId="77777777" w:rsidR="005D728C" w:rsidRPr="008D5728" w:rsidRDefault="005D728C" w:rsidP="00622CFF">
            <w:pPr>
              <w:numPr>
                <w:ilvl w:val="0"/>
                <w:numId w:val="24"/>
              </w:numPr>
              <w:spacing w:before="240" w:after="240" w:line="240" w:lineRule="auto"/>
              <w:ind w:left="360"/>
              <w:rPr>
                <w:rFonts w:eastAsia="Yu Gothic Light"/>
                <w:szCs w:val="22"/>
                <w:lang w:val="en-AU"/>
              </w:rPr>
            </w:pPr>
            <w:r w:rsidRPr="008D5728">
              <w:rPr>
                <w:rFonts w:eastAsia="Yu Gothic Light"/>
                <w:szCs w:val="22"/>
                <w:lang w:val="en-AU"/>
              </w:rPr>
              <w:t>Residential care (ongoing or short-term) </w:t>
            </w:r>
          </w:p>
          <w:p w14:paraId="398DA72F" w14:textId="55A11562" w:rsidR="005D728C" w:rsidRPr="008D5728" w:rsidRDefault="005D728C" w:rsidP="00622CFF">
            <w:pPr>
              <w:numPr>
                <w:ilvl w:val="0"/>
                <w:numId w:val="25"/>
              </w:numPr>
              <w:spacing w:before="240" w:after="240" w:line="240" w:lineRule="auto"/>
              <w:ind w:left="360"/>
              <w:rPr>
                <w:rFonts w:eastAsia="Yu Gothic Light"/>
                <w:szCs w:val="22"/>
                <w:lang w:val="en-AU"/>
              </w:rPr>
            </w:pPr>
            <w:r w:rsidRPr="008D5728">
              <w:rPr>
                <w:rFonts w:eastAsia="Yu Gothic Light"/>
                <w:szCs w:val="22"/>
                <w:lang w:val="en-AU"/>
              </w:rPr>
              <w:t>TCP </w:t>
            </w:r>
          </w:p>
          <w:p w14:paraId="0A538EB8" w14:textId="77777777" w:rsidR="005D728C" w:rsidRPr="008D5728" w:rsidRDefault="005D728C" w:rsidP="00622CFF">
            <w:pPr>
              <w:numPr>
                <w:ilvl w:val="0"/>
                <w:numId w:val="26"/>
              </w:numPr>
              <w:spacing w:before="240" w:after="240" w:line="240" w:lineRule="auto"/>
              <w:ind w:left="360"/>
              <w:rPr>
                <w:rFonts w:eastAsia="Yu Gothic Light"/>
                <w:szCs w:val="22"/>
                <w:lang w:val="en-AU"/>
              </w:rPr>
            </w:pPr>
            <w:r w:rsidRPr="008D5728">
              <w:rPr>
                <w:rFonts w:eastAsia="Yu Gothic Light"/>
                <w:szCs w:val="22"/>
                <w:lang w:val="en-AU"/>
              </w:rPr>
              <w:t>MPSP </w:t>
            </w:r>
          </w:p>
          <w:p w14:paraId="4296D7C0" w14:textId="77777777" w:rsidR="005D728C" w:rsidRPr="008D5728" w:rsidRDefault="005D728C" w:rsidP="00622CFF">
            <w:pPr>
              <w:numPr>
                <w:ilvl w:val="0"/>
                <w:numId w:val="27"/>
              </w:numPr>
              <w:spacing w:before="240" w:after="240" w:line="240" w:lineRule="auto"/>
              <w:ind w:left="360"/>
              <w:rPr>
                <w:rFonts w:eastAsia="Yu Gothic Light"/>
                <w:szCs w:val="22"/>
                <w:lang w:val="en-AU"/>
              </w:rPr>
            </w:pPr>
            <w:r w:rsidRPr="008D5728">
              <w:rPr>
                <w:rFonts w:eastAsia="Yu Gothic Light"/>
                <w:szCs w:val="22"/>
                <w:lang w:val="en-AU"/>
              </w:rPr>
              <w:t>NATSIFACP </w:t>
            </w:r>
          </w:p>
        </w:tc>
        <w:tc>
          <w:tcPr>
            <w:tcW w:w="0" w:type="auto"/>
            <w:vAlign w:val="center"/>
            <w:hideMark/>
          </w:tcPr>
          <w:p w14:paraId="2FDFAF5A" w14:textId="77777777" w:rsidR="005D728C" w:rsidRPr="008D5728" w:rsidRDefault="005D728C" w:rsidP="00622CFF">
            <w:pPr>
              <w:spacing w:before="240" w:after="240" w:line="240" w:lineRule="auto"/>
              <w:rPr>
                <w:rFonts w:eastAsia="Yu Gothic Light"/>
                <w:szCs w:val="22"/>
                <w:lang w:val="en-AU"/>
              </w:rPr>
            </w:pPr>
          </w:p>
        </w:tc>
      </w:tr>
    </w:tbl>
    <w:p w14:paraId="2C9F89C9" w14:textId="77777777" w:rsidR="002B6E5A" w:rsidRDefault="002B6E5A" w:rsidP="006962F6">
      <w:pPr>
        <w:pStyle w:val="NormalText"/>
      </w:pPr>
      <w:bookmarkStart w:id="607" w:name="_Toc525248863"/>
      <w:bookmarkStart w:id="608" w:name="_Toc199344500"/>
      <w:bookmarkStart w:id="609" w:name="_Toc199402631"/>
    </w:p>
    <w:p w14:paraId="4F104B7E" w14:textId="5F36E444" w:rsidR="006962F6" w:rsidRPr="002B6E5A" w:rsidRDefault="002B6E5A" w:rsidP="002B6E5A">
      <w:pPr>
        <w:rPr>
          <w:rFonts w:eastAsia="Times New Roman" w:cstheme="minorBidi"/>
          <w:color w:val="000000" w:themeColor="text1"/>
          <w:szCs w:val="20"/>
          <w:shd w:val="clear" w:color="auto" w:fill="FFFFFF"/>
          <w:lang w:val="en-AU" w:eastAsia="en-GB"/>
        </w:rPr>
      </w:pPr>
      <w:r>
        <w:br w:type="page"/>
      </w:r>
    </w:p>
    <w:p w14:paraId="4936706C" w14:textId="146DC58D" w:rsidR="006962F6" w:rsidRDefault="00CA4D55" w:rsidP="006962F6">
      <w:pPr>
        <w:pStyle w:val="NormalText"/>
      </w:pPr>
      <w:r>
        <w:t xml:space="preserve">Figure </w:t>
      </w:r>
      <w:r w:rsidR="006A1ABE">
        <w:t>7</w:t>
      </w:r>
      <w:r>
        <w:t xml:space="preserve"> below provides a visual summary of the three pathways to </w:t>
      </w:r>
      <w:r w:rsidR="00183BEF">
        <w:t>access approval (sections 66, 67 and 68).</w:t>
      </w:r>
    </w:p>
    <w:p w14:paraId="20EE81F5" w14:textId="7F396134" w:rsidR="00183BEF" w:rsidRDefault="008039EC" w:rsidP="006962F6">
      <w:pPr>
        <w:pStyle w:val="NormalText"/>
      </w:pPr>
      <w:r>
        <w:rPr>
          <w:noProof/>
          <w14:ligatures w14:val="standardContextual"/>
        </w:rPr>
        <w:drawing>
          <wp:inline distT="0" distB="0" distL="0" distR="0" wp14:anchorId="5752F210" wp14:editId="5700F46E">
            <wp:extent cx="5731510" cy="2846705"/>
            <wp:effectExtent l="0" t="0" r="2540" b="0"/>
            <wp:docPr id="1627679096" name="Picture 1" descr="Visual summary of three pathways to access approval under sections 66, 67 and 68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9096" name="Picture 1" descr="Visual summary of three pathways to access approval under sections 66, 67 and 68 under the Aged Care Act 2024"/>
                    <pic:cNvPicPr/>
                  </pic:nvPicPr>
                  <pic:blipFill>
                    <a:blip r:embed="rId228"/>
                    <a:stretch>
                      <a:fillRect/>
                    </a:stretch>
                  </pic:blipFill>
                  <pic:spPr>
                    <a:xfrm>
                      <a:off x="0" y="0"/>
                      <a:ext cx="5731510" cy="2846705"/>
                    </a:xfrm>
                    <a:prstGeom prst="rect">
                      <a:avLst/>
                    </a:prstGeom>
                  </pic:spPr>
                </pic:pic>
              </a:graphicData>
            </a:graphic>
          </wp:inline>
        </w:drawing>
      </w:r>
    </w:p>
    <w:p w14:paraId="3F91AF2A" w14:textId="0F81080D" w:rsidR="00183BEF" w:rsidRPr="00FC646F" w:rsidRDefault="00183BEF" w:rsidP="00183BEF">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7</w:t>
      </w:r>
      <w:r>
        <w:rPr>
          <w:b w:val="0"/>
          <w:bCs/>
          <w:i/>
          <w:iCs w:val="0"/>
          <w:sz w:val="18"/>
          <w:szCs w:val="14"/>
        </w:rPr>
        <w:t xml:space="preserve"> – Overview of pathways to approval for service access under the Act</w:t>
      </w:r>
    </w:p>
    <w:p w14:paraId="3985C6AD" w14:textId="77777777" w:rsidR="00183BEF" w:rsidRDefault="00183BEF" w:rsidP="00674659">
      <w:pPr>
        <w:pStyle w:val="NormalText"/>
      </w:pPr>
    </w:p>
    <w:p w14:paraId="25A67CD6" w14:textId="53F2FEFA" w:rsidR="005D728C" w:rsidRPr="008D5728" w:rsidRDefault="005D728C" w:rsidP="00C56CEC">
      <w:pPr>
        <w:pStyle w:val="H3"/>
      </w:pPr>
      <w:r w:rsidRPr="008D5728">
        <w:t>Section 66 – Aboriginal or Torres Strait Islander pe</w:t>
      </w:r>
      <w:r w:rsidR="000E290F">
        <w:t>rsons</w:t>
      </w:r>
      <w:bookmarkEnd w:id="607"/>
      <w:bookmarkEnd w:id="608"/>
      <w:bookmarkEnd w:id="609"/>
      <w:r w:rsidRPr="008D5728">
        <w:t> </w:t>
      </w:r>
    </w:p>
    <w:p w14:paraId="7F0FDA22" w14:textId="349342C5"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Section 66 provides a special pathway for Aboriginal or Torres Strait Islander </w:t>
      </w:r>
      <w:r w:rsidR="00DD3941">
        <w:rPr>
          <w:rFonts w:eastAsia="Yu Gothic Light"/>
          <w:lang w:val="en-AU"/>
        </w:rPr>
        <w:t xml:space="preserve">people </w:t>
      </w:r>
      <w:r w:rsidRPr="008D5728">
        <w:rPr>
          <w:rFonts w:eastAsia="Yu Gothic Light"/>
          <w:lang w:val="en-AU"/>
        </w:rPr>
        <w:t>to be approved under section 65(1) to access funded aged care services. This pathway is unique for Aboriginal and Torres Strait Islander</w:t>
      </w:r>
      <w:r w:rsidR="00AD3395">
        <w:rPr>
          <w:rFonts w:eastAsia="Yu Gothic Light"/>
          <w:lang w:val="en-AU"/>
        </w:rPr>
        <w:t xml:space="preserve"> people</w:t>
      </w:r>
      <w:r w:rsidRPr="008D5728">
        <w:rPr>
          <w:rFonts w:eastAsia="Yu Gothic Light"/>
          <w:lang w:val="en-AU"/>
        </w:rPr>
        <w:t xml:space="preserve"> because it relies on a different power in the Constitution to the other eligibility for approval provisions. </w:t>
      </w:r>
    </w:p>
    <w:p w14:paraId="1E3033A1" w14:textId="020F8EA2"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Under section 66, an older Aboriginal </w:t>
      </w:r>
      <w:r w:rsidR="00564299">
        <w:rPr>
          <w:rFonts w:eastAsia="Yu Gothic Light"/>
          <w:lang w:val="en-AU"/>
        </w:rPr>
        <w:t>or</w:t>
      </w:r>
      <w:r w:rsidR="00564299" w:rsidRPr="008D5728">
        <w:rPr>
          <w:rFonts w:eastAsia="Yu Gothic Light"/>
          <w:lang w:val="en-AU"/>
        </w:rPr>
        <w:t xml:space="preserve"> </w:t>
      </w:r>
      <w:r w:rsidRPr="008D5728">
        <w:rPr>
          <w:rFonts w:eastAsia="Yu Gothic Light"/>
          <w:lang w:val="en-AU"/>
        </w:rPr>
        <w:t xml:space="preserve">Torres Strait Islander </w:t>
      </w:r>
      <w:r w:rsidR="00564299">
        <w:rPr>
          <w:rFonts w:eastAsia="Yu Gothic Light"/>
          <w:lang w:val="en-AU"/>
        </w:rPr>
        <w:t>person</w:t>
      </w:r>
      <w:r w:rsidRPr="008D5728">
        <w:rPr>
          <w:rFonts w:eastAsia="Yu Gothic Light"/>
          <w:lang w:val="en-AU"/>
        </w:rPr>
        <w:t xml:space="preserve"> can be approved under section 65(1) for </w:t>
      </w:r>
      <w:r w:rsidRPr="00674659">
        <w:rPr>
          <w:rFonts w:eastAsia="Yu Gothic Light"/>
          <w:lang w:val="en-AU"/>
        </w:rPr>
        <w:t>any service group</w:t>
      </w:r>
      <w:r w:rsidRPr="00A91BA7">
        <w:rPr>
          <w:rFonts w:eastAsia="Yu Gothic Light"/>
          <w:bCs/>
          <w:lang w:val="en-AU"/>
        </w:rPr>
        <w:t xml:space="preserve">, which includes </w:t>
      </w:r>
      <w:r w:rsidRPr="00674659">
        <w:rPr>
          <w:rFonts w:eastAsia="Yu Gothic Light"/>
          <w:lang w:val="en-AU"/>
        </w:rPr>
        <w:t>all of the service types and services in the group</w:t>
      </w:r>
      <w:r w:rsidRPr="00A91BA7">
        <w:rPr>
          <w:rFonts w:eastAsia="Yu Gothic Light"/>
          <w:bCs/>
          <w:lang w:val="en-AU"/>
        </w:rPr>
        <w:t>.</w:t>
      </w:r>
      <w:r w:rsidRPr="008D5728">
        <w:rPr>
          <w:rFonts w:eastAsia="Yu Gothic Light"/>
          <w:lang w:val="en-AU"/>
        </w:rPr>
        <w:t> </w:t>
      </w:r>
    </w:p>
    <w:p w14:paraId="5271AB95" w14:textId="03A6A7AD" w:rsidR="001F3023" w:rsidRDefault="001F3023" w:rsidP="001F3023">
      <w:pPr>
        <w:spacing w:before="240" w:after="240" w:line="240" w:lineRule="auto"/>
        <w:rPr>
          <w:rFonts w:eastAsia="Yu Gothic Light"/>
          <w:lang w:val="en-AU"/>
        </w:rPr>
      </w:pPr>
      <w:r>
        <w:rPr>
          <w:rFonts w:eastAsia="Yu Gothic Light"/>
          <w:lang w:val="en-AU"/>
        </w:rPr>
        <w:t xml:space="preserve">Figure </w:t>
      </w:r>
      <w:r w:rsidR="006A1ABE">
        <w:rPr>
          <w:rFonts w:eastAsia="Yu Gothic Light"/>
          <w:lang w:val="en-AU"/>
        </w:rPr>
        <w:t>8</w:t>
      </w:r>
      <w:r>
        <w:rPr>
          <w:rFonts w:eastAsia="Yu Gothic Light"/>
          <w:lang w:val="en-AU"/>
        </w:rPr>
        <w:t xml:space="preserve"> below gives an overview of the section 66 pathway to access approval</w:t>
      </w:r>
      <w:r w:rsidR="00636F83">
        <w:rPr>
          <w:rFonts w:eastAsia="Yu Gothic Light"/>
          <w:lang w:val="en-AU"/>
        </w:rPr>
        <w:t xml:space="preserve"> for older people who are Aboriginal or Torres Strait Islander</w:t>
      </w:r>
      <w:r>
        <w:rPr>
          <w:rFonts w:eastAsia="Yu Gothic Light"/>
          <w:lang w:val="en-AU"/>
        </w:rPr>
        <w:t>.</w:t>
      </w:r>
    </w:p>
    <w:p w14:paraId="6DD05D60" w14:textId="46EE22E1" w:rsidR="001F3023" w:rsidRDefault="00090554" w:rsidP="001F3023">
      <w:pPr>
        <w:spacing w:before="240" w:after="240" w:line="240" w:lineRule="auto"/>
        <w:rPr>
          <w:rFonts w:eastAsia="Yu Gothic Light"/>
          <w:lang w:val="en-AU"/>
        </w:rPr>
      </w:pPr>
      <w:r>
        <w:rPr>
          <w:noProof/>
          <w14:ligatures w14:val="standardContextual"/>
        </w:rPr>
        <w:drawing>
          <wp:inline distT="0" distB="0" distL="0" distR="0" wp14:anchorId="0FCA23CB" wp14:editId="4696F5D2">
            <wp:extent cx="5731510" cy="2718794"/>
            <wp:effectExtent l="0" t="0" r="2540" b="5715"/>
            <wp:docPr id="1097233497" name="Picture 1" descr="Overview of the section 66 pathway to access approval for older people who are Aboriginal and/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33497" name="Picture 1" descr="Overview of the section 66 pathway to access approval for older people who are Aboriginal and/or Torres Strait Islander"/>
                    <pic:cNvPicPr/>
                  </pic:nvPicPr>
                  <pic:blipFill rotWithShape="1">
                    <a:blip r:embed="rId229"/>
                    <a:srcRect t="428"/>
                    <a:stretch>
                      <a:fillRect/>
                    </a:stretch>
                  </pic:blipFill>
                  <pic:spPr bwMode="auto">
                    <a:xfrm>
                      <a:off x="0" y="0"/>
                      <a:ext cx="5731510" cy="2718794"/>
                    </a:xfrm>
                    <a:prstGeom prst="rect">
                      <a:avLst/>
                    </a:prstGeom>
                    <a:ln>
                      <a:noFill/>
                    </a:ln>
                    <a:extLst>
                      <a:ext uri="{53640926-AAD7-44D8-BBD7-CCE9431645EC}">
                        <a14:shadowObscured xmlns:a14="http://schemas.microsoft.com/office/drawing/2010/main"/>
                      </a:ext>
                    </a:extLst>
                  </pic:spPr>
                </pic:pic>
              </a:graphicData>
            </a:graphic>
          </wp:inline>
        </w:drawing>
      </w:r>
    </w:p>
    <w:p w14:paraId="6D9B1B71" w14:textId="3555D1B2" w:rsidR="001F3023" w:rsidRPr="00FC646F" w:rsidRDefault="001F3023" w:rsidP="001F3023">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8</w:t>
      </w:r>
      <w:r>
        <w:rPr>
          <w:b w:val="0"/>
          <w:bCs/>
          <w:i/>
          <w:iCs w:val="0"/>
          <w:sz w:val="18"/>
          <w:szCs w:val="14"/>
        </w:rPr>
        <w:t xml:space="preserve"> – Overview of section 6</w:t>
      </w:r>
      <w:r w:rsidR="00147BC3">
        <w:rPr>
          <w:b w:val="0"/>
          <w:bCs/>
          <w:i/>
          <w:iCs w:val="0"/>
          <w:sz w:val="18"/>
          <w:szCs w:val="14"/>
        </w:rPr>
        <w:t>6</w:t>
      </w:r>
      <w:r>
        <w:rPr>
          <w:b w:val="0"/>
          <w:bCs/>
          <w:i/>
          <w:iCs w:val="0"/>
          <w:sz w:val="18"/>
          <w:szCs w:val="14"/>
        </w:rPr>
        <w:t xml:space="preserve"> pathway to approval for service access</w:t>
      </w:r>
    </w:p>
    <w:p w14:paraId="739FE292" w14:textId="77777777" w:rsidR="001F3023" w:rsidRPr="008D5728" w:rsidRDefault="001F3023" w:rsidP="00622CFF">
      <w:pPr>
        <w:spacing w:before="240" w:after="240" w:line="240" w:lineRule="auto"/>
        <w:rPr>
          <w:rFonts w:eastAsia="Yu Gothic Light"/>
          <w:lang w:val="en-AU"/>
        </w:rPr>
      </w:pPr>
    </w:p>
    <w:p w14:paraId="3A3962E8" w14:textId="4EC6B2A2" w:rsidR="005D728C" w:rsidRPr="008D5728" w:rsidRDefault="005D728C" w:rsidP="00CC6081">
      <w:pPr>
        <w:pStyle w:val="H4"/>
      </w:pPr>
      <w:r w:rsidRPr="008D5728">
        <w:t>Additional eligibility requirements</w:t>
      </w:r>
    </w:p>
    <w:p w14:paraId="469439B2" w14:textId="04D2C71C"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While an older Aboriginal or Torres Strait Islander </w:t>
      </w:r>
      <w:r w:rsidR="00AE3B4F">
        <w:rPr>
          <w:rFonts w:eastAsia="Yu Gothic Light"/>
          <w:lang w:val="en-AU"/>
        </w:rPr>
        <w:t xml:space="preserve">person </w:t>
      </w:r>
      <w:r w:rsidRPr="008D5728">
        <w:rPr>
          <w:rFonts w:eastAsia="Yu Gothic Light"/>
          <w:lang w:val="en-AU"/>
        </w:rPr>
        <w:t xml:space="preserve">can be approved at the service group level for any service group, delegates will still need to take into account the additional eligibility requirements in the </w:t>
      </w:r>
      <w:r w:rsidR="00902AC4" w:rsidRPr="00E475AF">
        <w:rPr>
          <w:rFonts w:eastAsia="Yu Gothic Light"/>
          <w:i/>
          <w:iCs/>
          <w:lang w:val="en-AU"/>
        </w:rPr>
        <w:t>Aged Care</w:t>
      </w:r>
      <w:r w:rsidRPr="00E475AF">
        <w:rPr>
          <w:rFonts w:eastAsia="Yu Gothic Light"/>
          <w:i/>
          <w:iCs/>
          <w:lang w:val="en-AU"/>
        </w:rPr>
        <w:t xml:space="preserve"> Rules</w:t>
      </w:r>
      <w:r w:rsidR="00902AC4" w:rsidRPr="00E475AF">
        <w:rPr>
          <w:rFonts w:eastAsia="Yu Gothic Light"/>
          <w:i/>
          <w:iCs/>
          <w:lang w:val="en-AU"/>
        </w:rPr>
        <w:t xml:space="preserve"> 2025</w:t>
      </w:r>
      <w:r w:rsidRPr="008D5728">
        <w:rPr>
          <w:rFonts w:eastAsia="Yu Gothic Light"/>
          <w:lang w:val="en-AU"/>
        </w:rPr>
        <w:t> </w:t>
      </w:r>
      <w:r w:rsidR="00902AC4">
        <w:rPr>
          <w:rFonts w:eastAsia="Yu Gothic Light"/>
          <w:lang w:val="en-AU"/>
        </w:rPr>
        <w:t xml:space="preserve"> (the Rules)</w:t>
      </w:r>
      <w:r w:rsidR="00E232AA">
        <w:rPr>
          <w:rFonts w:eastAsia="Yu Gothic Light"/>
          <w:lang w:val="en-AU"/>
        </w:rPr>
        <w:t xml:space="preserve"> </w:t>
      </w:r>
      <w:r w:rsidRPr="008D5728">
        <w:rPr>
          <w:rFonts w:eastAsia="Yu Gothic Light"/>
          <w:lang w:val="en-AU"/>
        </w:rPr>
        <w:t xml:space="preserve">for the service group (or groups) the person is actually approved for (section 65-10 to section 65-20 of </w:t>
      </w:r>
      <w:r w:rsidR="00902AC4">
        <w:rPr>
          <w:rFonts w:eastAsia="Yu Gothic Light"/>
          <w:lang w:val="en-AU"/>
        </w:rPr>
        <w:t>the Rules</w:t>
      </w:r>
      <w:r w:rsidRPr="008D5728">
        <w:rPr>
          <w:rFonts w:eastAsia="Yu Gothic Light"/>
          <w:lang w:val="en-AU"/>
        </w:rPr>
        <w:t xml:space="preserve">). This is required because of section 65(3) of the </w:t>
      </w:r>
      <w:r w:rsidR="00902AC4">
        <w:rPr>
          <w:rFonts w:eastAsia="Yu Gothic Light"/>
          <w:lang w:val="en-AU"/>
        </w:rPr>
        <w:t>Aged Care</w:t>
      </w:r>
      <w:r w:rsidRPr="008D5728">
        <w:rPr>
          <w:rFonts w:eastAsia="Yu Gothic Light"/>
          <w:lang w:val="en-AU"/>
        </w:rPr>
        <w:t xml:space="preserve"> Act</w:t>
      </w:r>
      <w:r w:rsidR="00902AC4">
        <w:rPr>
          <w:rFonts w:eastAsia="Yu Gothic Light"/>
          <w:lang w:val="en-AU"/>
        </w:rPr>
        <w:t xml:space="preserve"> 202</w:t>
      </w:r>
      <w:r w:rsidR="006939EB">
        <w:rPr>
          <w:rFonts w:eastAsia="Yu Gothic Light"/>
          <w:lang w:val="en-AU"/>
        </w:rPr>
        <w:t>4</w:t>
      </w:r>
      <w:r w:rsidR="00464F8C" w:rsidRPr="008D5728">
        <w:rPr>
          <w:rFonts w:eastAsia="Yu Gothic Light"/>
          <w:lang w:val="en-AU"/>
        </w:rPr>
        <w:t xml:space="preserve">. </w:t>
      </w:r>
    </w:p>
    <w:p w14:paraId="3F762C38"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additional requirements for each service group are set out below.</w:t>
      </w:r>
    </w:p>
    <w:p w14:paraId="338B2FEB" w14:textId="65F984BF" w:rsidR="005D728C" w:rsidRPr="008D5728" w:rsidRDefault="005D728C" w:rsidP="00622CFF">
      <w:pPr>
        <w:spacing w:before="240" w:after="240" w:line="240" w:lineRule="auto"/>
        <w:rPr>
          <w:rFonts w:eastAsia="Yu Gothic Light"/>
          <w:b/>
          <w:bCs/>
          <w:color w:val="1E1444"/>
        </w:rPr>
      </w:pPr>
      <w:r w:rsidRPr="008D5728" w:rsidDel="00E820EE">
        <w:rPr>
          <w:rFonts w:eastAsia="Yu Gothic Light"/>
          <w:b/>
          <w:bCs/>
          <w:color w:val="1E1444"/>
        </w:rPr>
        <w:t xml:space="preserve">Additional </w:t>
      </w:r>
      <w:r w:rsidRPr="008D5728">
        <w:rPr>
          <w:rFonts w:eastAsia="Yu Gothic Light"/>
          <w:b/>
          <w:bCs/>
          <w:color w:val="1E1444"/>
        </w:rPr>
        <w:t>eligibility</w:t>
      </w:r>
      <w:r w:rsidRPr="008D5728">
        <w:rPr>
          <w:rFonts w:eastAsia="Yu Gothic Light"/>
          <w:b/>
          <w:bCs/>
        </w:rPr>
        <w:t xml:space="preserve"> </w:t>
      </w:r>
      <w:r w:rsidRPr="008D5728">
        <w:rPr>
          <w:rFonts w:eastAsia="Yu Gothic Light"/>
          <w:b/>
          <w:bCs/>
          <w:color w:val="1E1444"/>
        </w:rPr>
        <w:t>requirements for home support</w:t>
      </w:r>
    </w:p>
    <w:p w14:paraId="7DBA2076" w14:textId="1C356DA4"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system will calculate the score necessary to determine whether an older person has met the additional eligibility requirements for the home support service group listed below. This calculation is made by drawing on the responses from within the </w:t>
      </w:r>
      <w:r w:rsidR="001271F5">
        <w:rPr>
          <w:rFonts w:eastAsia="Yu Gothic Light"/>
          <w:lang w:val="en-AU"/>
        </w:rPr>
        <w:t>Integrated Assessment Tool (</w:t>
      </w:r>
      <w:r w:rsidRPr="008D5728">
        <w:rPr>
          <w:rFonts w:eastAsia="Yu Gothic Light"/>
          <w:lang w:val="en-AU"/>
        </w:rPr>
        <w:t>IAT</w:t>
      </w:r>
      <w:r w:rsidR="001271F5">
        <w:rPr>
          <w:rFonts w:eastAsia="Yu Gothic Light"/>
          <w:lang w:val="en-AU"/>
        </w:rPr>
        <w:t>)</w:t>
      </w:r>
      <w:r w:rsidRPr="008D5728">
        <w:rPr>
          <w:rFonts w:eastAsia="Yu Gothic Light"/>
          <w:lang w:val="en-AU"/>
        </w:rPr>
        <w:t xml:space="preserve">. The role of an </w:t>
      </w:r>
      <w:r w:rsidR="009D2805">
        <w:rPr>
          <w:rFonts w:eastAsia="Yu Gothic Light"/>
          <w:lang w:val="en-AU"/>
        </w:rPr>
        <w:t>a</w:t>
      </w:r>
      <w:r w:rsidRPr="008D5728">
        <w:rPr>
          <w:rFonts w:eastAsia="Yu Gothic Light"/>
          <w:lang w:val="en-AU"/>
        </w:rPr>
        <w:t xml:space="preserve">ssessment </w:t>
      </w:r>
      <w:r w:rsidR="009D2805">
        <w:rPr>
          <w:rFonts w:eastAsia="Yu Gothic Light"/>
          <w:lang w:val="en-AU"/>
        </w:rPr>
        <w:t>d</w:t>
      </w:r>
      <w:r w:rsidRPr="008D5728">
        <w:rPr>
          <w:rFonts w:eastAsia="Yu Gothic Light"/>
          <w:lang w:val="en-AU"/>
        </w:rPr>
        <w:t>elegate is to ensure information is accurately recorded in the IAT and to have consideration for the legislative eligibility criteria even though the score is calculated by the system.</w:t>
      </w:r>
    </w:p>
    <w:p w14:paraId="72B47684" w14:textId="4F580195" w:rsidR="005D728C" w:rsidRDefault="005D728C" w:rsidP="00622CFF">
      <w:pPr>
        <w:spacing w:before="240" w:after="240" w:line="240" w:lineRule="auto"/>
        <w:rPr>
          <w:rFonts w:eastAsia="Yu Gothic Light"/>
          <w:lang w:val="en-AU"/>
        </w:rPr>
      </w:pPr>
      <w:r w:rsidRPr="008D5728">
        <w:rPr>
          <w:rFonts w:eastAsia="Yu Gothic Light"/>
          <w:lang w:val="en-AU"/>
        </w:rPr>
        <w:t>The additional requirements for the home support service group are</w:t>
      </w:r>
      <w:r w:rsidR="009A7911">
        <w:rPr>
          <w:rFonts w:eastAsia="Yu Gothic Light"/>
          <w:lang w:val="en-AU"/>
        </w:rPr>
        <w:t xml:space="preserve"> that </w:t>
      </w:r>
      <w:r w:rsidRPr="008D5728">
        <w:rPr>
          <w:rFonts w:eastAsia="Yu Gothic Light"/>
          <w:lang w:val="en-AU"/>
        </w:rPr>
        <w:t>the person meets any of the ‘score’ requirements for the particular questions in the IAT</w:t>
      </w:r>
      <w:r w:rsidR="009A7911">
        <w:rPr>
          <w:rFonts w:eastAsia="Yu Gothic Light"/>
          <w:lang w:val="en-AU"/>
        </w:rPr>
        <w:t xml:space="preserve">. These are outlined in the table below. </w:t>
      </w:r>
    </w:p>
    <w:p w14:paraId="10338857" w14:textId="0618154D" w:rsidR="005D728C" w:rsidRPr="008D5728" w:rsidRDefault="005D728C" w:rsidP="00622CFF">
      <w:pPr>
        <w:pStyle w:val="Caption"/>
        <w:spacing w:before="240" w:after="240"/>
        <w:rPr>
          <w:rFonts w:eastAsia="Yu Gothic Light"/>
          <w:lang w:val="en-AU"/>
        </w:rPr>
      </w:pPr>
      <w:r>
        <w:rPr>
          <w:rFonts w:eastAsia="Yu Gothic Light"/>
          <w:lang w:val="en-AU"/>
        </w:rPr>
        <w:t>Table 3</w:t>
      </w:r>
      <w:r w:rsidR="000C7B48">
        <w:rPr>
          <w:rFonts w:eastAsia="Yu Gothic Light"/>
          <w:lang w:val="en-AU"/>
        </w:rPr>
        <w:t>5</w:t>
      </w:r>
      <w:r>
        <w:rPr>
          <w:rFonts w:eastAsia="Yu Gothic Light"/>
          <w:lang w:val="en-AU"/>
        </w:rPr>
        <w:t xml:space="preserve">. Additional eligibility requirements for the home support service group under section 66 </w:t>
      </w:r>
    </w:p>
    <w:tbl>
      <w:tblPr>
        <w:tblStyle w:val="TableGrid"/>
        <w:tblW w:w="0" w:type="auto"/>
        <w:tblLook w:val="04A0" w:firstRow="1" w:lastRow="0" w:firstColumn="1" w:lastColumn="0" w:noHBand="0" w:noVBand="1"/>
        <w:tblCaption w:val="Additional eligibility requirements for the home support service group under section 66 of the Act"/>
      </w:tblPr>
      <w:tblGrid>
        <w:gridCol w:w="4508"/>
        <w:gridCol w:w="4508"/>
      </w:tblGrid>
      <w:tr w:rsidR="005D728C" w:rsidRPr="008D5728" w14:paraId="7CFEA18F" w14:textId="77777777">
        <w:tc>
          <w:tcPr>
            <w:tcW w:w="4508" w:type="dxa"/>
            <w:shd w:val="clear" w:color="auto" w:fill="002060"/>
          </w:tcPr>
          <w:p w14:paraId="240228AE" w14:textId="77777777" w:rsidR="005D728C" w:rsidRPr="008D5728" w:rsidRDefault="005D728C" w:rsidP="00622CFF">
            <w:pPr>
              <w:spacing w:before="240" w:after="240"/>
              <w:rPr>
                <w:rFonts w:eastAsia="Yu Gothic Light"/>
              </w:rPr>
            </w:pPr>
            <w:r w:rsidRPr="008D5728">
              <w:rPr>
                <w:rFonts w:eastAsia="Yu Gothic Light"/>
              </w:rPr>
              <w:t xml:space="preserve">A person has a total score of less than 20 for the questions in the IAT with the following headings: </w:t>
            </w:r>
          </w:p>
        </w:tc>
        <w:tc>
          <w:tcPr>
            <w:tcW w:w="4508" w:type="dxa"/>
          </w:tcPr>
          <w:p w14:paraId="01DF6219"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Climb stairs</w:t>
            </w:r>
          </w:p>
          <w:p w14:paraId="71C3061C"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Eating </w:t>
            </w:r>
          </w:p>
          <w:p w14:paraId="61CE66BE"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Dressing</w:t>
            </w:r>
          </w:p>
          <w:p w14:paraId="464880A2"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Take a bath or shower</w:t>
            </w:r>
          </w:p>
          <w:p w14:paraId="667B991F"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Grooming </w:t>
            </w:r>
          </w:p>
          <w:p w14:paraId="2EAE2509"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Transfers </w:t>
            </w:r>
          </w:p>
          <w:p w14:paraId="69CF9DE3"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Toilet use </w:t>
            </w:r>
          </w:p>
          <w:p w14:paraId="5CE90294"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Toileting – bladder</w:t>
            </w:r>
          </w:p>
          <w:p w14:paraId="7214BDEE"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Toileting – bowels </w:t>
            </w:r>
          </w:p>
          <w:p w14:paraId="20C74F52" w14:textId="77777777" w:rsidR="005D728C" w:rsidRPr="008D5728" w:rsidRDefault="005D728C" w:rsidP="00DF3F6B">
            <w:pPr>
              <w:numPr>
                <w:ilvl w:val="0"/>
                <w:numId w:val="236"/>
              </w:numPr>
              <w:spacing w:before="240" w:after="240"/>
              <w:contextualSpacing/>
              <w:rPr>
                <w:rFonts w:eastAsia="Yu Gothic Light"/>
              </w:rPr>
            </w:pPr>
            <w:r w:rsidRPr="008D5728">
              <w:rPr>
                <w:rFonts w:eastAsia="Yu Gothic Light"/>
              </w:rPr>
              <w:t xml:space="preserve">Walk </w:t>
            </w:r>
          </w:p>
          <w:p w14:paraId="193ABA02" w14:textId="756919E0" w:rsidR="005D728C" w:rsidRPr="008D5728" w:rsidRDefault="005D728C" w:rsidP="00121861">
            <w:pPr>
              <w:spacing w:before="240" w:after="240"/>
              <w:ind w:left="1080"/>
              <w:contextualSpacing/>
              <w:rPr>
                <w:rFonts w:eastAsia="Yu Gothic Light"/>
              </w:rPr>
            </w:pPr>
          </w:p>
        </w:tc>
      </w:tr>
      <w:tr w:rsidR="005D728C" w:rsidRPr="008D5728" w14:paraId="52D4875D" w14:textId="77777777">
        <w:tc>
          <w:tcPr>
            <w:tcW w:w="9016" w:type="dxa"/>
            <w:gridSpan w:val="2"/>
            <w:shd w:val="clear" w:color="auto" w:fill="002060"/>
          </w:tcPr>
          <w:p w14:paraId="4F88EC0D"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5BB70524" w14:textId="77777777">
        <w:tc>
          <w:tcPr>
            <w:tcW w:w="4508" w:type="dxa"/>
            <w:shd w:val="clear" w:color="auto" w:fill="002060"/>
          </w:tcPr>
          <w:p w14:paraId="3E59D00E" w14:textId="77777777" w:rsidR="005D728C" w:rsidRPr="008D5728" w:rsidRDefault="005D728C" w:rsidP="00622CFF">
            <w:pPr>
              <w:spacing w:before="240" w:after="240"/>
              <w:rPr>
                <w:rFonts w:eastAsia="Yu Gothic Light"/>
              </w:rPr>
            </w:pPr>
            <w:r w:rsidRPr="008D5728">
              <w:rPr>
                <w:rFonts w:eastAsia="Yu Gothic Light"/>
              </w:rPr>
              <w:t xml:space="preserve">The person has a total score of less than 14 for the questions in the IAT with the following headings: </w:t>
            </w:r>
          </w:p>
        </w:tc>
        <w:tc>
          <w:tcPr>
            <w:tcW w:w="4508" w:type="dxa"/>
          </w:tcPr>
          <w:p w14:paraId="168F77B0"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Get to places out of walking distance</w:t>
            </w:r>
          </w:p>
          <w:p w14:paraId="18EF632C"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Undertake housework (heavy/moderate) </w:t>
            </w:r>
          </w:p>
          <w:p w14:paraId="32BC465C"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Go shopping (assuming transportation) </w:t>
            </w:r>
          </w:p>
          <w:p w14:paraId="7BE3F3D0"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Prepare meals </w:t>
            </w:r>
          </w:p>
          <w:p w14:paraId="730D5BD5"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Take medicine </w:t>
            </w:r>
          </w:p>
          <w:p w14:paraId="62890286"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Handle money </w:t>
            </w:r>
          </w:p>
          <w:p w14:paraId="3D32AA2B" w14:textId="77777777" w:rsidR="005D728C" w:rsidRPr="008D5728" w:rsidRDefault="005D728C" w:rsidP="00DF3F6B">
            <w:pPr>
              <w:numPr>
                <w:ilvl w:val="0"/>
                <w:numId w:val="237"/>
              </w:numPr>
              <w:spacing w:before="240" w:after="240"/>
              <w:contextualSpacing/>
              <w:rPr>
                <w:rFonts w:eastAsia="Yu Gothic Light"/>
              </w:rPr>
            </w:pPr>
            <w:r w:rsidRPr="008D5728">
              <w:rPr>
                <w:rFonts w:eastAsia="Yu Gothic Light"/>
              </w:rPr>
              <w:t xml:space="preserve">Use the telephone </w:t>
            </w:r>
          </w:p>
        </w:tc>
      </w:tr>
      <w:tr w:rsidR="005D728C" w:rsidRPr="008D5728" w14:paraId="060052AA" w14:textId="77777777">
        <w:tc>
          <w:tcPr>
            <w:tcW w:w="9016" w:type="dxa"/>
            <w:gridSpan w:val="2"/>
            <w:shd w:val="clear" w:color="auto" w:fill="002060"/>
          </w:tcPr>
          <w:p w14:paraId="174D27E6"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03F1E7A1" w14:textId="77777777">
        <w:tc>
          <w:tcPr>
            <w:tcW w:w="4508" w:type="dxa"/>
            <w:shd w:val="clear" w:color="auto" w:fill="002060"/>
          </w:tcPr>
          <w:p w14:paraId="556FE866" w14:textId="77777777" w:rsidR="005D728C" w:rsidRPr="008D5728" w:rsidRDefault="005D728C" w:rsidP="00622CFF">
            <w:pPr>
              <w:spacing w:before="240" w:after="240"/>
              <w:rPr>
                <w:rFonts w:eastAsia="Yu Gothic Light"/>
              </w:rPr>
            </w:pPr>
            <w:r w:rsidRPr="008D5728">
              <w:rPr>
                <w:rFonts w:eastAsia="Yu Gothic Light"/>
              </w:rPr>
              <w:t xml:space="preserve">The person has a score greater than zero for the questions in the sections of the IAT headed:  </w:t>
            </w:r>
          </w:p>
        </w:tc>
        <w:tc>
          <w:tcPr>
            <w:tcW w:w="4508" w:type="dxa"/>
          </w:tcPr>
          <w:p w14:paraId="41336413" w14:textId="77777777" w:rsidR="005D728C" w:rsidRPr="008D5728" w:rsidRDefault="005D728C" w:rsidP="00DF3F6B">
            <w:pPr>
              <w:numPr>
                <w:ilvl w:val="0"/>
                <w:numId w:val="238"/>
              </w:numPr>
              <w:spacing w:before="240" w:after="240"/>
              <w:contextualSpacing/>
              <w:rPr>
                <w:rFonts w:eastAsia="Yu Gothic Light"/>
              </w:rPr>
            </w:pPr>
            <w:r w:rsidRPr="008D5728">
              <w:rPr>
                <w:rFonts w:eastAsia="Yu Gothic Light"/>
              </w:rPr>
              <w:t xml:space="preserve">Cognition </w:t>
            </w:r>
          </w:p>
          <w:p w14:paraId="6B9310A1" w14:textId="77777777" w:rsidR="005D728C" w:rsidRPr="008D5728" w:rsidRDefault="005D728C" w:rsidP="00DF3F6B">
            <w:pPr>
              <w:numPr>
                <w:ilvl w:val="0"/>
                <w:numId w:val="238"/>
              </w:numPr>
              <w:spacing w:before="240" w:after="240"/>
              <w:contextualSpacing/>
              <w:rPr>
                <w:rFonts w:eastAsia="Yu Gothic Light"/>
              </w:rPr>
            </w:pPr>
            <w:r w:rsidRPr="008D5728">
              <w:rPr>
                <w:rFonts w:eastAsia="Yu Gothic Light"/>
              </w:rPr>
              <w:t xml:space="preserve">Medical and Medications </w:t>
            </w:r>
          </w:p>
        </w:tc>
      </w:tr>
      <w:tr w:rsidR="005D728C" w:rsidRPr="008D5728" w14:paraId="7749E7D1" w14:textId="77777777">
        <w:tc>
          <w:tcPr>
            <w:tcW w:w="9016" w:type="dxa"/>
            <w:gridSpan w:val="2"/>
            <w:shd w:val="clear" w:color="auto" w:fill="002060"/>
          </w:tcPr>
          <w:p w14:paraId="724FB7C5"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6BE38794" w14:textId="77777777">
        <w:tc>
          <w:tcPr>
            <w:tcW w:w="4508" w:type="dxa"/>
            <w:shd w:val="clear" w:color="auto" w:fill="002060"/>
          </w:tcPr>
          <w:p w14:paraId="694F2274" w14:textId="77777777" w:rsidR="005D728C" w:rsidRPr="008D5728" w:rsidRDefault="005D728C" w:rsidP="00622CFF">
            <w:pPr>
              <w:spacing w:before="240" w:after="240"/>
              <w:rPr>
                <w:rFonts w:eastAsia="Yu Gothic Light"/>
              </w:rPr>
            </w:pPr>
            <w:r w:rsidRPr="008D5728">
              <w:rPr>
                <w:rFonts w:eastAsia="Yu Gothic Light"/>
              </w:rPr>
              <w:t xml:space="preserve">The individual has a score greater than zero for questions in the section of the IAT headed: </w:t>
            </w:r>
          </w:p>
        </w:tc>
        <w:tc>
          <w:tcPr>
            <w:tcW w:w="4508" w:type="dxa"/>
          </w:tcPr>
          <w:p w14:paraId="1BE99AC7" w14:textId="77777777" w:rsidR="005D728C" w:rsidRPr="008D5728" w:rsidRDefault="005D728C" w:rsidP="00DF3F6B">
            <w:pPr>
              <w:numPr>
                <w:ilvl w:val="0"/>
                <w:numId w:val="239"/>
              </w:numPr>
              <w:spacing w:before="240" w:after="240"/>
              <w:contextualSpacing/>
              <w:rPr>
                <w:rFonts w:eastAsia="Yu Gothic Light"/>
              </w:rPr>
            </w:pPr>
            <w:r w:rsidRPr="008D5728">
              <w:rPr>
                <w:rFonts w:eastAsia="Yu Gothic Light"/>
              </w:rPr>
              <w:t xml:space="preserve">Psychological </w:t>
            </w:r>
          </w:p>
        </w:tc>
      </w:tr>
      <w:tr w:rsidR="005D728C" w:rsidRPr="008D5728" w14:paraId="13DE4E8F" w14:textId="77777777">
        <w:tc>
          <w:tcPr>
            <w:tcW w:w="9016" w:type="dxa"/>
            <w:gridSpan w:val="2"/>
            <w:shd w:val="clear" w:color="auto" w:fill="002060"/>
          </w:tcPr>
          <w:p w14:paraId="12D516F4" w14:textId="77777777" w:rsidR="005D728C" w:rsidRPr="008D5728" w:rsidRDefault="005D728C" w:rsidP="00622CFF">
            <w:pPr>
              <w:spacing w:before="240" w:after="240"/>
              <w:jc w:val="center"/>
              <w:rPr>
                <w:rFonts w:eastAsia="Yu Gothic Light"/>
              </w:rPr>
            </w:pPr>
            <w:r w:rsidRPr="008D5728">
              <w:rPr>
                <w:rFonts w:eastAsia="Yu Gothic Light"/>
              </w:rPr>
              <w:t>OR</w:t>
            </w:r>
          </w:p>
        </w:tc>
      </w:tr>
      <w:tr w:rsidR="005D728C" w:rsidRPr="008D5728" w14:paraId="6761F7D8" w14:textId="77777777">
        <w:tc>
          <w:tcPr>
            <w:tcW w:w="4508" w:type="dxa"/>
            <w:shd w:val="clear" w:color="auto" w:fill="002060"/>
          </w:tcPr>
          <w:p w14:paraId="5278751A" w14:textId="77777777" w:rsidR="005D728C" w:rsidRPr="008D5728" w:rsidRDefault="005D728C" w:rsidP="00622CFF">
            <w:pPr>
              <w:spacing w:before="240" w:after="240"/>
              <w:rPr>
                <w:rFonts w:eastAsia="Yu Gothic Light"/>
              </w:rPr>
            </w:pPr>
            <w:r w:rsidRPr="008D5728">
              <w:rPr>
                <w:rFonts w:eastAsia="Yu Gothic Light"/>
              </w:rPr>
              <w:t xml:space="preserve">The individual has a score greater than zero for the questions in the section of the IAT headed:  </w:t>
            </w:r>
          </w:p>
        </w:tc>
        <w:tc>
          <w:tcPr>
            <w:tcW w:w="4508" w:type="dxa"/>
          </w:tcPr>
          <w:p w14:paraId="72314647" w14:textId="77777777" w:rsidR="005D728C" w:rsidRPr="008D5728" w:rsidRDefault="005D728C" w:rsidP="00DF3F6B">
            <w:pPr>
              <w:numPr>
                <w:ilvl w:val="0"/>
                <w:numId w:val="239"/>
              </w:numPr>
              <w:spacing w:before="240" w:after="240"/>
              <w:contextualSpacing/>
              <w:rPr>
                <w:rFonts w:eastAsia="Yu Gothic Light"/>
              </w:rPr>
            </w:pPr>
            <w:r w:rsidRPr="008D5728">
              <w:rPr>
                <w:rFonts w:eastAsia="Yu Gothic Light"/>
              </w:rPr>
              <w:t>Physical, Personal Health or Frailty</w:t>
            </w:r>
          </w:p>
        </w:tc>
      </w:tr>
    </w:tbl>
    <w:p w14:paraId="346E0298"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w:t>
      </w:r>
    </w:p>
    <w:p w14:paraId="7B6654FC" w14:textId="77777777" w:rsidR="005D728C" w:rsidRPr="008D5728" w:rsidRDefault="005D728C" w:rsidP="00622CFF">
      <w:pPr>
        <w:spacing w:before="240" w:after="240" w:line="240" w:lineRule="auto"/>
        <w:rPr>
          <w:rFonts w:eastAsia="Yu Gothic Light"/>
          <w:b/>
          <w:bCs/>
          <w:color w:val="1E1444"/>
        </w:rPr>
      </w:pPr>
      <w:r w:rsidRPr="008D5728">
        <w:rPr>
          <w:rFonts w:eastAsia="Yu Gothic Light"/>
          <w:b/>
          <w:bCs/>
          <w:color w:val="1E1444"/>
        </w:rPr>
        <w:t>Additional eligibility requirements for assistive technology and home modifications </w:t>
      </w:r>
    </w:p>
    <w:p w14:paraId="1FD74A99" w14:textId="77777777" w:rsidR="005D728C" w:rsidRPr="008D5728" w:rsidRDefault="005D728C" w:rsidP="00DF3F6B">
      <w:pPr>
        <w:numPr>
          <w:ilvl w:val="0"/>
          <w:numId w:val="218"/>
        </w:numPr>
        <w:spacing w:before="240" w:after="240" w:line="240" w:lineRule="auto"/>
        <w:rPr>
          <w:rFonts w:eastAsia="Yu Gothic Light"/>
          <w:lang w:val="en-AU"/>
        </w:rPr>
      </w:pPr>
      <w:r w:rsidRPr="008D5728">
        <w:rPr>
          <w:rFonts w:eastAsia="Yu Gothic Light"/>
          <w:lang w:val="en-AU"/>
        </w:rPr>
        <w:t>the individual is also approved for the home support service group. </w:t>
      </w:r>
    </w:p>
    <w:p w14:paraId="21559D96" w14:textId="77777777" w:rsidR="005D728C" w:rsidRPr="008D5728" w:rsidRDefault="005D728C" w:rsidP="00622CFF">
      <w:pPr>
        <w:spacing w:before="240" w:after="240" w:line="240" w:lineRule="auto"/>
        <w:rPr>
          <w:rFonts w:eastAsia="Yu Gothic Light"/>
          <w:b/>
          <w:bCs/>
          <w:color w:val="1E1444"/>
        </w:rPr>
      </w:pPr>
      <w:r w:rsidRPr="008D5728">
        <w:rPr>
          <w:rFonts w:eastAsia="Yu Gothic Light"/>
          <w:b/>
          <w:bCs/>
          <w:color w:val="1E1444"/>
        </w:rPr>
        <w:t>Additional eligibility requirements for residential care</w:t>
      </w:r>
    </w:p>
    <w:p w14:paraId="6C8B3A56" w14:textId="77777777" w:rsidR="005D728C" w:rsidRPr="008D5728" w:rsidRDefault="005D728C" w:rsidP="00DF3F6B">
      <w:pPr>
        <w:numPr>
          <w:ilvl w:val="0"/>
          <w:numId w:val="219"/>
        </w:numPr>
        <w:spacing w:before="240" w:after="240" w:line="240" w:lineRule="auto"/>
        <w:rPr>
          <w:rFonts w:eastAsia="Yu Gothic Light"/>
          <w:lang w:val="en-AU"/>
        </w:rPr>
      </w:pPr>
      <w:r w:rsidRPr="008D5728">
        <w:rPr>
          <w:rFonts w:eastAsia="Yu Gothic Light"/>
          <w:lang w:val="en-AU"/>
        </w:rPr>
        <w:t>the individual is incapable of living in home or community setting without support. </w:t>
      </w:r>
    </w:p>
    <w:p w14:paraId="3449F3F2" w14:textId="1EE9F2D4" w:rsidR="005D728C" w:rsidRPr="008D5728" w:rsidRDefault="005D728C" w:rsidP="00C56CEC">
      <w:pPr>
        <w:pStyle w:val="H3"/>
      </w:pPr>
      <w:bookmarkStart w:id="610" w:name="_Toc2118177032"/>
      <w:bookmarkStart w:id="611" w:name="_Toc199344501"/>
      <w:bookmarkStart w:id="612" w:name="_Toc199402632"/>
      <w:bookmarkStart w:id="613" w:name="_Ref212739235"/>
      <w:r w:rsidRPr="008D5728">
        <w:t xml:space="preserve">Section 67 – a person who has </w:t>
      </w:r>
      <w:bookmarkEnd w:id="610"/>
      <w:bookmarkEnd w:id="611"/>
      <w:bookmarkEnd w:id="612"/>
      <w:r w:rsidRPr="008D5728">
        <w:t>an impairment</w:t>
      </w:r>
      <w:r w:rsidR="000E290F">
        <w:t xml:space="preserve"> or sickness</w:t>
      </w:r>
      <w:bookmarkEnd w:id="613"/>
    </w:p>
    <w:p w14:paraId="14206AC0" w14:textId="34D49C0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Section 67 is the pathway for </w:t>
      </w:r>
      <w:r w:rsidR="00FF650F">
        <w:rPr>
          <w:rFonts w:eastAsia="Yu Gothic Light"/>
          <w:lang w:val="en-AU"/>
        </w:rPr>
        <w:t>non-</w:t>
      </w:r>
      <w:r w:rsidRPr="008D5728">
        <w:rPr>
          <w:rFonts w:eastAsia="Yu Gothic Light"/>
          <w:lang w:val="en-AU"/>
        </w:rPr>
        <w:t xml:space="preserve"> Aboriginal or Torres Strait Islander</w:t>
      </w:r>
      <w:r w:rsidR="00FF650F">
        <w:rPr>
          <w:rFonts w:eastAsia="Yu Gothic Light"/>
          <w:lang w:val="en-AU"/>
        </w:rPr>
        <w:t xml:space="preserve"> people</w:t>
      </w:r>
      <w:r w:rsidRPr="008D5728">
        <w:rPr>
          <w:rFonts w:eastAsia="Yu Gothic Light"/>
          <w:lang w:val="en-AU"/>
        </w:rPr>
        <w:t xml:space="preserve"> to be approved under section 65(1) for the following service groups: </w:t>
      </w:r>
    </w:p>
    <w:p w14:paraId="3AAC0771" w14:textId="77777777" w:rsidR="005D728C" w:rsidRPr="008D5728" w:rsidRDefault="005D728C" w:rsidP="00DF3F6B">
      <w:pPr>
        <w:numPr>
          <w:ilvl w:val="0"/>
          <w:numId w:val="220"/>
        </w:numPr>
        <w:spacing w:before="240" w:after="240" w:line="240" w:lineRule="auto"/>
        <w:rPr>
          <w:rFonts w:eastAsia="Yu Gothic Light"/>
          <w:bCs/>
          <w:lang w:val="en-AU"/>
        </w:rPr>
      </w:pPr>
      <w:r w:rsidRPr="008D5728">
        <w:rPr>
          <w:rFonts w:eastAsia="Yu Gothic Light"/>
          <w:lang w:val="en-AU"/>
        </w:rPr>
        <w:t>home support</w:t>
      </w:r>
      <w:r w:rsidRPr="008D5728">
        <w:rPr>
          <w:rFonts w:eastAsia="Yu Gothic Light"/>
          <w:bCs/>
          <w:lang w:val="en-AU"/>
        </w:rPr>
        <w:t> </w:t>
      </w:r>
    </w:p>
    <w:p w14:paraId="74A63CA9" w14:textId="77777777" w:rsidR="005D728C" w:rsidRPr="008D5728" w:rsidRDefault="005D728C" w:rsidP="00DF3F6B">
      <w:pPr>
        <w:numPr>
          <w:ilvl w:val="0"/>
          <w:numId w:val="221"/>
        </w:numPr>
        <w:spacing w:before="240" w:after="240" w:line="240" w:lineRule="auto"/>
        <w:rPr>
          <w:rFonts w:eastAsia="Yu Gothic Light"/>
          <w:bCs/>
          <w:lang w:val="en-AU"/>
        </w:rPr>
      </w:pPr>
      <w:r w:rsidRPr="008D5728">
        <w:rPr>
          <w:rFonts w:eastAsia="Yu Gothic Light"/>
          <w:lang w:val="en-AU"/>
        </w:rPr>
        <w:t>assistive technology</w:t>
      </w:r>
      <w:r w:rsidRPr="008D5728">
        <w:rPr>
          <w:rFonts w:eastAsia="Yu Gothic Light"/>
          <w:bCs/>
          <w:lang w:val="en-AU"/>
        </w:rPr>
        <w:t> </w:t>
      </w:r>
    </w:p>
    <w:p w14:paraId="28720B98" w14:textId="77777777" w:rsidR="005D728C" w:rsidRPr="008D5728" w:rsidRDefault="005D728C" w:rsidP="00DF3F6B">
      <w:pPr>
        <w:numPr>
          <w:ilvl w:val="0"/>
          <w:numId w:val="222"/>
        </w:numPr>
        <w:spacing w:before="240" w:after="240" w:line="240" w:lineRule="auto"/>
        <w:rPr>
          <w:rFonts w:eastAsia="Yu Gothic Light"/>
          <w:bCs/>
          <w:lang w:val="en-AU"/>
        </w:rPr>
      </w:pPr>
      <w:r w:rsidRPr="008D5728">
        <w:rPr>
          <w:rFonts w:eastAsia="Yu Gothic Light"/>
          <w:lang w:val="en-AU"/>
        </w:rPr>
        <w:t>home modifications.</w:t>
      </w:r>
      <w:r w:rsidRPr="008D5728">
        <w:rPr>
          <w:rFonts w:eastAsia="Yu Gothic Light"/>
          <w:bCs/>
          <w:lang w:val="en-AU"/>
        </w:rPr>
        <w:t> </w:t>
      </w:r>
    </w:p>
    <w:p w14:paraId="3A3384C9"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There are special requirements for approving a person where section 67 applies to them, because of the legal basis in the Constitution that supports the approvals. </w:t>
      </w:r>
    </w:p>
    <w:p w14:paraId="2F7EA411" w14:textId="57D1D766" w:rsidR="006C2FF9" w:rsidRDefault="005D728C" w:rsidP="00622CFF">
      <w:pPr>
        <w:spacing w:before="240" w:after="240" w:line="240" w:lineRule="auto"/>
        <w:rPr>
          <w:rFonts w:eastAsia="Yu Gothic Light"/>
          <w:lang w:val="en-AU"/>
        </w:rPr>
      </w:pPr>
      <w:r w:rsidRPr="008D5728">
        <w:rPr>
          <w:rFonts w:eastAsia="Yu Gothic Light"/>
          <w:lang w:val="en-AU"/>
        </w:rPr>
        <w:t xml:space="preserve">When approving a person for service types or particular government-funded aged care services because section 67 applies to them, it is not possible to approve them at the service group level. Assessment Delegates will need to select and decide the particular </w:t>
      </w:r>
      <w:r w:rsidRPr="00121861">
        <w:rPr>
          <w:rFonts w:eastAsia="Yu Gothic Light"/>
          <w:lang w:val="en-AU"/>
        </w:rPr>
        <w:t xml:space="preserve">service type/s </w:t>
      </w:r>
      <w:r w:rsidRPr="00F72AEC">
        <w:rPr>
          <w:rFonts w:eastAsia="Yu Gothic Light"/>
          <w:bCs/>
          <w:lang w:val="en-AU"/>
        </w:rPr>
        <w:t xml:space="preserve">the older person requires, or for particular service types the </w:t>
      </w:r>
      <w:r w:rsidRPr="00121861">
        <w:rPr>
          <w:rFonts w:eastAsia="Yu Gothic Light"/>
          <w:lang w:val="en-AU"/>
        </w:rPr>
        <w:t>individual service/s</w:t>
      </w:r>
      <w:r w:rsidRPr="008D5728">
        <w:rPr>
          <w:rFonts w:eastAsia="Yu Gothic Light"/>
          <w:b/>
          <w:lang w:val="en-AU"/>
        </w:rPr>
        <w:t xml:space="preserve"> </w:t>
      </w:r>
      <w:r w:rsidRPr="008D5728">
        <w:rPr>
          <w:rFonts w:eastAsia="Yu Gothic Light"/>
          <w:lang w:val="en-AU"/>
        </w:rPr>
        <w:t xml:space="preserve">(further information below). This is a necessary legal requirement because of the constitutional powers that support the provision of these types of services under the </w:t>
      </w:r>
      <w:r w:rsidR="00F72AEC" w:rsidRPr="00121861">
        <w:rPr>
          <w:rFonts w:eastAsia="Yu Gothic Light"/>
          <w:i/>
          <w:lang w:val="en-AU"/>
        </w:rPr>
        <w:t xml:space="preserve">Aged Care </w:t>
      </w:r>
      <w:r w:rsidRPr="00121861">
        <w:rPr>
          <w:rFonts w:eastAsia="Yu Gothic Light"/>
          <w:i/>
          <w:lang w:val="en-AU"/>
        </w:rPr>
        <w:t>Act</w:t>
      </w:r>
      <w:r w:rsidR="00F72AEC" w:rsidRPr="00121861">
        <w:rPr>
          <w:rFonts w:eastAsia="Yu Gothic Light"/>
          <w:i/>
          <w:lang w:val="en-AU"/>
        </w:rPr>
        <w:t xml:space="preserve"> 2024</w:t>
      </w:r>
      <w:r w:rsidR="00D01E44">
        <w:rPr>
          <w:rFonts w:eastAsia="Yu Gothic Light"/>
          <w:i/>
          <w:iCs/>
          <w:lang w:val="en-AU"/>
        </w:rPr>
        <w:t xml:space="preserve"> (the Act)</w:t>
      </w:r>
      <w:r w:rsidRPr="008D5728">
        <w:rPr>
          <w:rFonts w:eastAsia="Yu Gothic Light"/>
          <w:lang w:val="en-AU"/>
        </w:rPr>
        <w:t>.</w:t>
      </w:r>
      <w:r w:rsidR="00757415">
        <w:rPr>
          <w:rFonts w:eastAsia="Yu Gothic Light"/>
          <w:lang w:val="en-AU"/>
        </w:rPr>
        <w:t xml:space="preserve"> </w:t>
      </w:r>
    </w:p>
    <w:p w14:paraId="23822688" w14:textId="7DB833F1" w:rsidR="004705B3" w:rsidRDefault="00757415" w:rsidP="00622CFF">
      <w:pPr>
        <w:spacing w:before="240" w:after="240" w:line="240" w:lineRule="auto"/>
        <w:rPr>
          <w:rFonts w:eastAsia="Yu Gothic Light"/>
          <w:lang w:val="en-AU"/>
        </w:rPr>
      </w:pPr>
      <w:r>
        <w:rPr>
          <w:rFonts w:eastAsia="Yu Gothic Light"/>
          <w:lang w:val="en-AU"/>
        </w:rPr>
        <w:t xml:space="preserve">Figure </w:t>
      </w:r>
      <w:r w:rsidR="006A1ABE">
        <w:rPr>
          <w:rFonts w:eastAsia="Yu Gothic Light"/>
          <w:lang w:val="en-AU"/>
        </w:rPr>
        <w:t>9</w:t>
      </w:r>
      <w:r>
        <w:rPr>
          <w:rFonts w:eastAsia="Yu Gothic Light"/>
          <w:lang w:val="en-AU"/>
        </w:rPr>
        <w:t xml:space="preserve"> below </w:t>
      </w:r>
      <w:r w:rsidR="006C2FF9">
        <w:rPr>
          <w:rFonts w:eastAsia="Yu Gothic Light"/>
          <w:lang w:val="en-AU"/>
        </w:rPr>
        <w:t>gives an overview of the section 67 pathway</w:t>
      </w:r>
      <w:r w:rsidR="00A26D7F">
        <w:rPr>
          <w:rFonts w:eastAsia="Yu Gothic Light"/>
          <w:lang w:val="en-AU"/>
        </w:rPr>
        <w:t xml:space="preserve"> to access approval</w:t>
      </w:r>
      <w:r w:rsidR="006C2FF9">
        <w:rPr>
          <w:rFonts w:eastAsia="Yu Gothic Light"/>
          <w:lang w:val="en-AU"/>
        </w:rPr>
        <w:t>.</w:t>
      </w:r>
    </w:p>
    <w:p w14:paraId="45B623B7" w14:textId="1CD7CB5B" w:rsidR="00C05ACE" w:rsidRDefault="004D248A" w:rsidP="00622CFF">
      <w:pPr>
        <w:spacing w:before="240" w:after="240" w:line="240" w:lineRule="auto"/>
        <w:rPr>
          <w:rFonts w:eastAsia="Yu Gothic Light"/>
          <w:lang w:val="en-AU"/>
        </w:rPr>
      </w:pPr>
      <w:r>
        <w:rPr>
          <w:noProof/>
          <w14:ligatures w14:val="standardContextual"/>
        </w:rPr>
        <w:drawing>
          <wp:inline distT="0" distB="0" distL="0" distR="0" wp14:anchorId="1DA12D4A" wp14:editId="1AAD42BB">
            <wp:extent cx="5731510" cy="2238375"/>
            <wp:effectExtent l="0" t="0" r="2540" b="9525"/>
            <wp:docPr id="822461012" name="Picture 1" descr="Overview of section 67 pathway to access approval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61012" name="Picture 1" descr="Overview of section 67 pathway to access approval under the Aged Care Act 2024"/>
                    <pic:cNvPicPr/>
                  </pic:nvPicPr>
                  <pic:blipFill>
                    <a:blip r:embed="rId230"/>
                    <a:stretch>
                      <a:fillRect/>
                    </a:stretch>
                  </pic:blipFill>
                  <pic:spPr>
                    <a:xfrm>
                      <a:off x="0" y="0"/>
                      <a:ext cx="5731510" cy="2238375"/>
                    </a:xfrm>
                    <a:prstGeom prst="rect">
                      <a:avLst/>
                    </a:prstGeom>
                  </pic:spPr>
                </pic:pic>
              </a:graphicData>
            </a:graphic>
          </wp:inline>
        </w:drawing>
      </w:r>
    </w:p>
    <w:p w14:paraId="4C4705B3" w14:textId="05F838E7" w:rsidR="00C22B3C" w:rsidRPr="00121861" w:rsidRDefault="00C22B3C" w:rsidP="00121861">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9</w:t>
      </w:r>
      <w:r>
        <w:rPr>
          <w:b w:val="0"/>
          <w:bCs/>
          <w:i/>
          <w:iCs w:val="0"/>
          <w:sz w:val="18"/>
          <w:szCs w:val="14"/>
        </w:rPr>
        <w:t xml:space="preserve"> – </w:t>
      </w:r>
      <w:r w:rsidR="006C2FF9">
        <w:rPr>
          <w:b w:val="0"/>
          <w:bCs/>
          <w:i/>
          <w:iCs w:val="0"/>
          <w:sz w:val="18"/>
          <w:szCs w:val="14"/>
        </w:rPr>
        <w:t>Overview</w:t>
      </w:r>
      <w:r w:rsidR="00A75D0A">
        <w:rPr>
          <w:b w:val="0"/>
          <w:bCs/>
          <w:i/>
          <w:iCs w:val="0"/>
          <w:sz w:val="18"/>
          <w:szCs w:val="14"/>
        </w:rPr>
        <w:t xml:space="preserve"> of </w:t>
      </w:r>
      <w:r w:rsidR="006C2FF9">
        <w:rPr>
          <w:b w:val="0"/>
          <w:bCs/>
          <w:i/>
          <w:iCs w:val="0"/>
          <w:sz w:val="18"/>
          <w:szCs w:val="14"/>
        </w:rPr>
        <w:t>s</w:t>
      </w:r>
      <w:r w:rsidR="00A75D0A">
        <w:rPr>
          <w:b w:val="0"/>
          <w:bCs/>
          <w:i/>
          <w:iCs w:val="0"/>
          <w:sz w:val="18"/>
          <w:szCs w:val="14"/>
        </w:rPr>
        <w:t xml:space="preserve">ection 67 pathway to </w:t>
      </w:r>
      <w:r w:rsidR="00757415">
        <w:rPr>
          <w:b w:val="0"/>
          <w:bCs/>
          <w:i/>
          <w:iCs w:val="0"/>
          <w:sz w:val="18"/>
          <w:szCs w:val="14"/>
        </w:rPr>
        <w:t xml:space="preserve">approval for service </w:t>
      </w:r>
      <w:r w:rsidR="00A75D0A">
        <w:rPr>
          <w:b w:val="0"/>
          <w:bCs/>
          <w:i/>
          <w:iCs w:val="0"/>
          <w:sz w:val="18"/>
          <w:szCs w:val="14"/>
        </w:rPr>
        <w:t>access</w:t>
      </w:r>
    </w:p>
    <w:p w14:paraId="0F9ABB74" w14:textId="77777777" w:rsidR="005D728C" w:rsidRPr="008D5728" w:rsidRDefault="005D728C" w:rsidP="00CC6081">
      <w:pPr>
        <w:pStyle w:val="H4"/>
      </w:pPr>
      <w:r w:rsidRPr="008D5728">
        <w:t xml:space="preserve">Deciding if the person should be approved </w:t>
      </w:r>
    </w:p>
    <w:p w14:paraId="3E160A16" w14:textId="3D024054"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deciding if an older person should be approved for the Home Support, Assistive Technology or Home Modifications service group/s under section 65 of the Act where section 67 applies to them, </w:t>
      </w:r>
      <w:r w:rsidR="00227D52">
        <w:rPr>
          <w:rFonts w:eastAsia="Yu Gothic Light"/>
          <w:lang w:val="en-AU"/>
        </w:rPr>
        <w:t>a</w:t>
      </w:r>
      <w:r w:rsidRPr="008D5728">
        <w:rPr>
          <w:rFonts w:eastAsia="Yu Gothic Light"/>
          <w:lang w:val="en-AU"/>
        </w:rPr>
        <w:t xml:space="preserve">ssessment </w:t>
      </w:r>
      <w:r w:rsidR="00227D52">
        <w:rPr>
          <w:rFonts w:eastAsia="Yu Gothic Light"/>
          <w:lang w:val="en-AU"/>
        </w:rPr>
        <w:t>d</w:t>
      </w:r>
      <w:r w:rsidRPr="008D5728">
        <w:rPr>
          <w:rFonts w:eastAsia="Yu Gothic Light"/>
          <w:lang w:val="en-AU"/>
        </w:rPr>
        <w:t>elegates will need to take the following steps:  </w:t>
      </w:r>
    </w:p>
    <w:p w14:paraId="6E8DC9A1" w14:textId="644B1546" w:rsidR="005D728C" w:rsidRPr="008D5728" w:rsidRDefault="005D728C" w:rsidP="00DF3F6B">
      <w:pPr>
        <w:numPr>
          <w:ilvl w:val="0"/>
          <w:numId w:val="223"/>
        </w:numPr>
        <w:spacing w:before="240" w:after="240" w:line="240" w:lineRule="auto"/>
        <w:rPr>
          <w:rFonts w:eastAsia="Yu Gothic Light"/>
          <w:lang w:val="en-AU"/>
        </w:rPr>
      </w:pPr>
      <w:r w:rsidRPr="008D5728">
        <w:rPr>
          <w:rFonts w:eastAsia="Yu Gothic Light"/>
          <w:lang w:val="en-AU"/>
        </w:rPr>
        <w:t xml:space="preserve">Assessment </w:t>
      </w:r>
      <w:r w:rsidR="00227D52">
        <w:rPr>
          <w:rFonts w:eastAsia="Yu Gothic Light"/>
          <w:lang w:val="en-AU"/>
        </w:rPr>
        <w:t>d</w:t>
      </w:r>
      <w:r w:rsidRPr="008D5728">
        <w:rPr>
          <w:rFonts w:eastAsia="Yu Gothic Light"/>
          <w:lang w:val="en-AU"/>
        </w:rPr>
        <w:t>elegates must be satisfied that the older person has a disability or an “impairment” </w:t>
      </w:r>
    </w:p>
    <w:p w14:paraId="507D04F2" w14:textId="77777777" w:rsidR="005D728C" w:rsidRPr="008D5728" w:rsidRDefault="005D728C" w:rsidP="00DF3F6B">
      <w:pPr>
        <w:numPr>
          <w:ilvl w:val="0"/>
          <w:numId w:val="224"/>
        </w:numPr>
        <w:tabs>
          <w:tab w:val="num" w:pos="1080"/>
        </w:tabs>
        <w:spacing w:before="240" w:after="240" w:line="240" w:lineRule="auto"/>
        <w:ind w:left="1080"/>
        <w:rPr>
          <w:rFonts w:eastAsia="Yu Gothic Light"/>
          <w:lang w:val="en-AU"/>
        </w:rPr>
      </w:pPr>
      <w:r w:rsidRPr="008D5728">
        <w:rPr>
          <w:rFonts w:eastAsia="Yu Gothic Light"/>
          <w:lang w:val="en-AU"/>
        </w:rPr>
        <w:t>the impairment must be long-term and be a physical, mental, sensory or intellectual impairment, and </w:t>
      </w:r>
    </w:p>
    <w:p w14:paraId="6733A1A3" w14:textId="77777777" w:rsidR="005D728C" w:rsidRPr="008D5728" w:rsidRDefault="005D728C" w:rsidP="00DF3F6B">
      <w:pPr>
        <w:numPr>
          <w:ilvl w:val="0"/>
          <w:numId w:val="225"/>
        </w:numPr>
        <w:tabs>
          <w:tab w:val="num" w:pos="1080"/>
        </w:tabs>
        <w:spacing w:before="240" w:after="240" w:line="240" w:lineRule="auto"/>
        <w:ind w:left="1080"/>
        <w:rPr>
          <w:rFonts w:eastAsia="Yu Gothic Light"/>
          <w:lang w:val="en-AU"/>
        </w:rPr>
      </w:pPr>
      <w:r w:rsidRPr="008D5728">
        <w:rPr>
          <w:rFonts w:eastAsia="Yu Gothic Light"/>
          <w:lang w:val="en-AU"/>
        </w:rPr>
        <w:t>because of its interaction with various barriers, the impairment may hinder the person’s participation in society on an equal basis with others. </w:t>
      </w:r>
    </w:p>
    <w:p w14:paraId="42CCCF5E" w14:textId="77777777" w:rsidR="005D728C" w:rsidRPr="008D5728" w:rsidRDefault="005D728C" w:rsidP="00DF3F6B">
      <w:pPr>
        <w:numPr>
          <w:ilvl w:val="0"/>
          <w:numId w:val="226"/>
        </w:numPr>
        <w:spacing w:before="240" w:after="240" w:line="240" w:lineRule="auto"/>
        <w:rPr>
          <w:rFonts w:eastAsia="Yu Gothic Light"/>
          <w:lang w:val="en-AU"/>
        </w:rPr>
      </w:pPr>
      <w:r w:rsidRPr="008D5728">
        <w:rPr>
          <w:rFonts w:eastAsia="Yu Gothic Light"/>
          <w:lang w:val="en-AU"/>
        </w:rPr>
        <w:t>Decide which service types the older person requires access to. </w:t>
      </w:r>
    </w:p>
    <w:p w14:paraId="463C2B3B" w14:textId="11CFDB7B" w:rsidR="005D728C" w:rsidRPr="008D5728" w:rsidRDefault="005D728C" w:rsidP="00DF3F6B">
      <w:pPr>
        <w:numPr>
          <w:ilvl w:val="0"/>
          <w:numId w:val="227"/>
        </w:numPr>
        <w:tabs>
          <w:tab w:val="num" w:pos="720"/>
        </w:tabs>
        <w:spacing w:before="240" w:after="240" w:line="240" w:lineRule="auto"/>
        <w:rPr>
          <w:rFonts w:eastAsia="Yu Gothic Light"/>
          <w:lang w:val="en-AU"/>
        </w:rPr>
      </w:pPr>
      <w:r w:rsidRPr="008D5728">
        <w:rPr>
          <w:rFonts w:eastAsia="Yu Gothic Light"/>
          <w:lang w:val="en-AU"/>
        </w:rPr>
        <w:t xml:space="preserve">For the service types ‘Allied health and therapy’ and ‘Therapeutic services for independent living’ an </w:t>
      </w:r>
      <w:r w:rsidR="00227D52">
        <w:rPr>
          <w:rFonts w:eastAsia="Yu Gothic Light"/>
          <w:lang w:val="en-AU"/>
        </w:rPr>
        <w:t>a</w:t>
      </w:r>
      <w:r w:rsidRPr="008D5728">
        <w:rPr>
          <w:rFonts w:eastAsia="Yu Gothic Light"/>
          <w:lang w:val="en-AU"/>
        </w:rPr>
        <w:t xml:space="preserve">ssessment </w:t>
      </w:r>
      <w:r w:rsidR="00227D52">
        <w:rPr>
          <w:rFonts w:eastAsia="Yu Gothic Light"/>
          <w:lang w:val="en-AU"/>
        </w:rPr>
        <w:t>d</w:t>
      </w:r>
      <w:r w:rsidRPr="008D5728">
        <w:rPr>
          <w:rFonts w:eastAsia="Yu Gothic Light"/>
          <w:lang w:val="en-AU"/>
        </w:rPr>
        <w:t>elegate must also decide which individual services in those service types they require access to. </w:t>
      </w:r>
    </w:p>
    <w:p w14:paraId="20F3D8D6" w14:textId="3FEF4C94" w:rsidR="005D728C" w:rsidRPr="008D5728" w:rsidRDefault="005D728C" w:rsidP="00DF3F6B">
      <w:pPr>
        <w:numPr>
          <w:ilvl w:val="0"/>
          <w:numId w:val="228"/>
        </w:numPr>
        <w:spacing w:before="240" w:after="240" w:line="240" w:lineRule="auto"/>
        <w:rPr>
          <w:rFonts w:eastAsia="Yu Gothic Light"/>
          <w:lang w:val="en-AU"/>
        </w:rPr>
      </w:pPr>
      <w:r w:rsidRPr="008D5728">
        <w:rPr>
          <w:rFonts w:eastAsia="Yu Gothic Light"/>
          <w:lang w:val="en-AU"/>
        </w:rPr>
        <w:t xml:space="preserve">Assessment </w:t>
      </w:r>
      <w:r w:rsidR="00227D52">
        <w:rPr>
          <w:rFonts w:eastAsia="Yu Gothic Light"/>
          <w:lang w:val="en-AU"/>
        </w:rPr>
        <w:t>d</w:t>
      </w:r>
      <w:r w:rsidRPr="008D5728">
        <w:rPr>
          <w:rFonts w:eastAsia="Yu Gothic Light"/>
          <w:lang w:val="en-AU"/>
        </w:rPr>
        <w:t>elegates must then be satisfied that there is a specific reason why the person requires access to the service types (or the particular funded aged care services – see step 2a.). These reasons are set out in section 67(1)(b) of the Act and explained further below. </w:t>
      </w:r>
    </w:p>
    <w:p w14:paraId="4EE54E7E" w14:textId="2E725D41" w:rsidR="005D728C" w:rsidRPr="008D5728" w:rsidRDefault="005D728C" w:rsidP="00DF3F6B">
      <w:pPr>
        <w:numPr>
          <w:ilvl w:val="0"/>
          <w:numId w:val="229"/>
        </w:numPr>
        <w:spacing w:before="240" w:after="240" w:line="240" w:lineRule="auto"/>
        <w:rPr>
          <w:rFonts w:eastAsia="Yu Gothic Light"/>
          <w:lang w:val="en-AU"/>
        </w:rPr>
      </w:pPr>
      <w:r w:rsidRPr="008D5728">
        <w:rPr>
          <w:rFonts w:eastAsia="Yu Gothic Light"/>
          <w:lang w:val="en-AU"/>
        </w:rPr>
        <w:t xml:space="preserve">Assessment </w:t>
      </w:r>
      <w:r w:rsidR="00227D52">
        <w:rPr>
          <w:rFonts w:eastAsia="Yu Gothic Light"/>
          <w:lang w:val="en-AU"/>
        </w:rPr>
        <w:t>d</w:t>
      </w:r>
      <w:r w:rsidRPr="008D5728">
        <w:rPr>
          <w:rFonts w:eastAsia="Yu Gothic Light"/>
          <w:lang w:val="en-AU"/>
        </w:rPr>
        <w:t>elegates must also be satisfied that the person meets the additional eligibility criteria in the Rules. These criteria are outlined below. </w:t>
      </w:r>
    </w:p>
    <w:p w14:paraId="4E0108D8" w14:textId="77777777" w:rsidR="005D728C" w:rsidRPr="008D5728" w:rsidRDefault="005D728C" w:rsidP="00CC6081">
      <w:pPr>
        <w:pStyle w:val="H4"/>
      </w:pPr>
      <w:r w:rsidRPr="008D5728">
        <w:t>Impairment </w:t>
      </w:r>
    </w:p>
    <w:p w14:paraId="18BD34D7" w14:textId="0F12C07F"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Information about the person’s “impairment” will already be reflected in the information collected using the </w:t>
      </w:r>
      <w:r w:rsidR="009163B1">
        <w:rPr>
          <w:rFonts w:eastAsia="Yu Gothic Light"/>
          <w:lang w:val="en-AU"/>
        </w:rPr>
        <w:t>Integrated Assessment Tool (</w:t>
      </w:r>
      <w:r w:rsidRPr="008D5728">
        <w:rPr>
          <w:rFonts w:eastAsia="Yu Gothic Light"/>
          <w:lang w:val="en-AU"/>
        </w:rPr>
        <w:t>IAT</w:t>
      </w:r>
      <w:r w:rsidR="009163B1">
        <w:rPr>
          <w:rFonts w:eastAsia="Yu Gothic Light"/>
          <w:lang w:val="en-AU"/>
        </w:rPr>
        <w:t>)</w:t>
      </w:r>
      <w:r w:rsidRPr="008D5728">
        <w:rPr>
          <w:rFonts w:eastAsia="Yu Gothic Light"/>
          <w:lang w:val="en-AU"/>
        </w:rPr>
        <w:t xml:space="preserve"> and any other relevant information gathered during the assessment, such as information from the person’s GP or other health records. For the purposes of recording the approval decision,</w:t>
      </w:r>
      <w:r w:rsidRPr="008D5728" w:rsidDel="00E823B1">
        <w:rPr>
          <w:rFonts w:eastAsia="Yu Gothic Light"/>
          <w:lang w:val="en-AU"/>
        </w:rPr>
        <w:t xml:space="preserve"> </w:t>
      </w:r>
      <w:r w:rsidRPr="008D5728">
        <w:rPr>
          <w:rFonts w:eastAsia="Yu Gothic Light"/>
          <w:lang w:val="en-AU"/>
        </w:rPr>
        <w:t xml:space="preserve">an </w:t>
      </w:r>
      <w:r w:rsidR="00227D52">
        <w:rPr>
          <w:rFonts w:eastAsia="Yu Gothic Light"/>
          <w:lang w:val="en-AU"/>
        </w:rPr>
        <w:t>a</w:t>
      </w:r>
      <w:r w:rsidRPr="008D5728">
        <w:rPr>
          <w:rFonts w:eastAsia="Yu Gothic Light"/>
          <w:lang w:val="en-AU"/>
        </w:rPr>
        <w:t xml:space="preserve">ssessment </w:t>
      </w:r>
      <w:r w:rsidR="00227D52">
        <w:rPr>
          <w:rFonts w:eastAsia="Yu Gothic Light"/>
          <w:lang w:val="en-AU"/>
        </w:rPr>
        <w:t>d</w:t>
      </w:r>
      <w:r w:rsidRPr="008D5728">
        <w:rPr>
          <w:rFonts w:eastAsia="Yu Gothic Light"/>
          <w:lang w:val="en-AU"/>
        </w:rPr>
        <w:t>elegate will need to be satisfied the information provided identifies the long-term impairment (or impairments) that the older person has. This should be evident from the assessment information</w:t>
      </w:r>
      <w:r w:rsidR="00464F8C" w:rsidRPr="008D5728">
        <w:rPr>
          <w:rFonts w:eastAsia="Yu Gothic Light"/>
          <w:lang w:val="en-AU"/>
        </w:rPr>
        <w:t xml:space="preserve">. </w:t>
      </w:r>
    </w:p>
    <w:p w14:paraId="2DA0E4F0" w14:textId="77777777" w:rsidR="005D728C" w:rsidRDefault="005D728C" w:rsidP="00622CFF">
      <w:pPr>
        <w:spacing w:before="240" w:after="240" w:line="240" w:lineRule="auto"/>
        <w:rPr>
          <w:rFonts w:eastAsia="Yu Gothic Light"/>
          <w:lang w:val="en-AU"/>
        </w:rPr>
      </w:pPr>
      <w:r w:rsidRPr="008D5728">
        <w:rPr>
          <w:rFonts w:eastAsia="Yu Gothic Light"/>
          <w:lang w:val="en-AU"/>
        </w:rPr>
        <w:t>It should also be evident from the assessment/IAT/Support Plan information the barriers the person faces to their independence because of their impairment and how this impacts their ability to participate and be included in the community. </w:t>
      </w:r>
    </w:p>
    <w:p w14:paraId="107B93F2"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
          <w:bCs/>
        </w:rPr>
        <w:t>EXAMPLE 1 </w:t>
      </w:r>
    </w:p>
    <w:p w14:paraId="6FE76CB3"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Cs/>
        </w:rPr>
        <w:t>The older person may be physically impaired because of a musculoskeletal disorder or be vision impaired, which was identified through their assessment and recorded in the IAT, or evidenced in a record or report for the person provided by a GP or other health professional. This may impact, among other things, their functional ability and be recorded under the Function section of the IAT. </w:t>
      </w:r>
    </w:p>
    <w:p w14:paraId="1C41FB4D"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
          <w:bCs/>
        </w:rPr>
        <w:t>EXAMPLE 2  </w:t>
      </w:r>
    </w:p>
    <w:p w14:paraId="2A527E95" w14:textId="77777777" w:rsidR="005D728C" w:rsidRPr="008D5728" w:rsidRDefault="005D728C"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8D5728">
        <w:rPr>
          <w:rFonts w:eastAsia="Yu Gothic Light"/>
          <w:bCs/>
        </w:rPr>
        <w:t>The older person may have a diagnosis of a pre-existing condition, such as arthritis or another physical or neurological condition, such as dementia or Motor neurone disease, as identified through their assessment in the IAT. This may be recorded as a health condition under the Medical and medications section.  </w:t>
      </w:r>
    </w:p>
    <w:p w14:paraId="39CEEA27" w14:textId="681B7B28" w:rsidR="005D728C" w:rsidRDefault="005D728C" w:rsidP="51B38498">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rPr>
      </w:pPr>
      <w:r w:rsidRPr="008D5728">
        <w:rPr>
          <w:rFonts w:eastAsia="Yu Gothic Light"/>
          <w:bCs/>
        </w:rPr>
        <w:t>For both above examples, the older person’s condition may impact their ability to participate in the community, as they would require support to enable them to continue living at home and maintain their independence. </w:t>
      </w:r>
    </w:p>
    <w:p w14:paraId="2178EC87" w14:textId="08823F49" w:rsidR="0003231B" w:rsidRPr="008D5728" w:rsidRDefault="0003231B" w:rsidP="51B38498">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b/>
        </w:rPr>
      </w:pPr>
    </w:p>
    <w:p w14:paraId="51F9B3B5" w14:textId="65B46FF6" w:rsidR="005D728C" w:rsidRPr="008D5728" w:rsidRDefault="005D728C" w:rsidP="00CC6081">
      <w:pPr>
        <w:pStyle w:val="H4"/>
      </w:pPr>
      <w:r w:rsidRPr="008D5728">
        <w:t>Special requirements for ‘Allied health and therapy’ and ‘Therapeutic services for independent living’ </w:t>
      </w:r>
    </w:p>
    <w:p w14:paraId="737002EA" w14:textId="280D2EE2" w:rsidR="005D728C" w:rsidRPr="008D5728" w:rsidRDefault="005D728C" w:rsidP="00622CFF">
      <w:pPr>
        <w:spacing w:before="240" w:after="240" w:line="240" w:lineRule="auto"/>
        <w:rPr>
          <w:rFonts w:eastAsia="Yu Gothic Light"/>
          <w:lang w:val="en-AU"/>
        </w:rPr>
      </w:pPr>
      <w:r w:rsidRPr="008D5728">
        <w:rPr>
          <w:rFonts w:eastAsia="Yu Gothic Light"/>
          <w:lang w:val="en-AU"/>
        </w:rPr>
        <w:t>When approving an older person for the service types ‘</w:t>
      </w:r>
      <w:r w:rsidRPr="00121861">
        <w:rPr>
          <w:rFonts w:eastAsia="Yu Gothic Light"/>
          <w:lang w:val="en-AU"/>
        </w:rPr>
        <w:t>Allied health and therapy</w:t>
      </w:r>
      <w:r w:rsidRPr="008D5728">
        <w:rPr>
          <w:rFonts w:eastAsia="Yu Gothic Light"/>
          <w:lang w:val="en-AU"/>
        </w:rPr>
        <w:t>’ and ‘</w:t>
      </w:r>
      <w:r w:rsidRPr="00121861">
        <w:rPr>
          <w:rFonts w:eastAsia="Yu Gothic Light"/>
          <w:lang w:val="en-AU"/>
        </w:rPr>
        <w:t>Therapeutic services for independent living</w:t>
      </w:r>
      <w:r w:rsidR="00F16714" w:rsidRPr="00121861">
        <w:rPr>
          <w:rFonts w:eastAsia="Yu Gothic Light"/>
          <w:lang w:val="en-AU"/>
        </w:rPr>
        <w:t>,’</w:t>
      </w:r>
      <w:r w:rsidRPr="008D5728">
        <w:rPr>
          <w:rFonts w:eastAsia="Yu Gothic Light"/>
          <w:lang w:val="en-AU"/>
        </w:rPr>
        <w:t xml:space="preserve"> </w:t>
      </w:r>
      <w:r w:rsidR="00227D52">
        <w:rPr>
          <w:rFonts w:eastAsia="Yu Gothic Light"/>
          <w:lang w:val="en-AU"/>
        </w:rPr>
        <w:t>a</w:t>
      </w:r>
      <w:r w:rsidRPr="008D5728">
        <w:rPr>
          <w:rFonts w:eastAsia="Yu Gothic Light"/>
          <w:lang w:val="en-AU"/>
        </w:rPr>
        <w:t xml:space="preserve">ssessment </w:t>
      </w:r>
      <w:r w:rsidR="00227D52">
        <w:rPr>
          <w:rFonts w:eastAsia="Yu Gothic Light"/>
          <w:lang w:val="en-AU"/>
        </w:rPr>
        <w:t>d</w:t>
      </w:r>
      <w:r w:rsidRPr="008D5728">
        <w:rPr>
          <w:rFonts w:eastAsia="Yu Gothic Light"/>
          <w:lang w:val="en-AU"/>
        </w:rPr>
        <w:t>elegates will need to consider which individual service (or services) in the service type the person requires access to because of their needs</w:t>
      </w:r>
      <w:r w:rsidR="00F16714" w:rsidRPr="008D5728">
        <w:rPr>
          <w:rFonts w:eastAsia="Yu Gothic Light"/>
          <w:lang w:val="en-AU"/>
        </w:rPr>
        <w:t xml:space="preserve">. </w:t>
      </w:r>
    </w:p>
    <w:p w14:paraId="2B2CB4E2" w14:textId="2029093A"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This is because each funded aged care service that is considered an allied health, therapy or other therapeutic service is directed at a different physical, functional or cognitive issue – it’s not possible to determine that a person with disabilities requires access to allied health or therapeutic services </w:t>
      </w:r>
      <w:r w:rsidRPr="008D5728">
        <w:rPr>
          <w:rFonts w:eastAsia="Yu Gothic Light"/>
          <w:i/>
          <w:lang w:val="en-AU"/>
        </w:rPr>
        <w:t>generally</w:t>
      </w:r>
      <w:r w:rsidRPr="008D5728">
        <w:rPr>
          <w:rFonts w:eastAsia="Yu Gothic Light"/>
          <w:lang w:val="en-AU"/>
        </w:rPr>
        <w:t xml:space="preserve"> without considering if each particular service is required. This is an essential requirement because of the changes to the legal basis supporting the </w:t>
      </w:r>
      <w:r w:rsidR="00176D8E">
        <w:rPr>
          <w:rFonts w:eastAsia="Yu Gothic Light"/>
          <w:lang w:val="en-AU"/>
        </w:rPr>
        <w:t xml:space="preserve">Aged Care </w:t>
      </w:r>
      <w:r w:rsidRPr="008D5728">
        <w:rPr>
          <w:rFonts w:eastAsia="Yu Gothic Light"/>
          <w:lang w:val="en-AU"/>
        </w:rPr>
        <w:t>Act</w:t>
      </w:r>
      <w:r w:rsidR="00176D8E">
        <w:rPr>
          <w:rFonts w:eastAsia="Yu Gothic Light"/>
          <w:lang w:val="en-AU"/>
        </w:rPr>
        <w:t xml:space="preserve"> 2024 (the Act)</w:t>
      </w:r>
      <w:r w:rsidRPr="008D5728">
        <w:rPr>
          <w:rFonts w:eastAsia="Yu Gothic Light"/>
          <w:lang w:val="en-AU"/>
        </w:rPr>
        <w:t>. </w:t>
      </w:r>
    </w:p>
    <w:p w14:paraId="6D240EE7" w14:textId="77777777" w:rsidR="005D728C" w:rsidRPr="008D5728" w:rsidRDefault="005D728C" w:rsidP="00CC6081">
      <w:pPr>
        <w:pStyle w:val="H4"/>
      </w:pPr>
      <w:r w:rsidRPr="008D5728">
        <w:t>Specific reason/s why access is needed under Section 67</w:t>
      </w:r>
    </w:p>
    <w:p w14:paraId="1B5C94BA"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w:t>
      </w:r>
      <w:r w:rsidRPr="008D5728" w:rsidDel="008903D2">
        <w:rPr>
          <w:rFonts w:eastAsia="Yu Gothic Light"/>
          <w:lang w:val="en-AU"/>
        </w:rPr>
        <w:t xml:space="preserve"> </w:t>
      </w:r>
      <w:r w:rsidRPr="008D5728">
        <w:rPr>
          <w:rFonts w:eastAsia="Yu Gothic Light"/>
          <w:lang w:val="en-AU"/>
        </w:rPr>
        <w:t xml:space="preserve">Act requires Assessment Delegates to consider reasons why an older person needs access to the service types or particular services. Assessment Delegates must turn their minds to these reasons when deciding on the service types/services. </w:t>
      </w:r>
    </w:p>
    <w:p w14:paraId="49C2711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reasons are that the service type (or service(s) within the service types of </w:t>
      </w:r>
      <w:r w:rsidRPr="008D5728">
        <w:rPr>
          <w:rFonts w:eastAsia="Yu Gothic Light"/>
          <w:i/>
          <w:iCs/>
          <w:lang w:val="en-AU"/>
        </w:rPr>
        <w:t>Allied health and therapy</w:t>
      </w:r>
      <w:r w:rsidRPr="008D5728">
        <w:rPr>
          <w:rFonts w:eastAsia="Yu Gothic Light"/>
          <w:lang w:val="en-AU"/>
        </w:rPr>
        <w:t xml:space="preserve"> and </w:t>
      </w:r>
      <w:r w:rsidRPr="008D5728">
        <w:rPr>
          <w:rFonts w:eastAsia="Yu Gothic Light"/>
          <w:i/>
          <w:iCs/>
          <w:lang w:val="en-AU"/>
        </w:rPr>
        <w:t>Therapeutic services for independent living</w:t>
      </w:r>
      <w:r w:rsidRPr="008D5728">
        <w:rPr>
          <w:rFonts w:eastAsia="Yu Gothic Light"/>
          <w:lang w:val="en-AU"/>
        </w:rPr>
        <w:t>):</w:t>
      </w:r>
    </w:p>
    <w:p w14:paraId="437A8C07"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an in-home, residential or community support service that is necessary to support the person to live and be included in the community and prevent them from being isolated or segregated from their community</w:t>
      </w:r>
    </w:p>
    <w:p w14:paraId="4F5AB33F"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will facilitate personal mobility of the person in a way that the individual chooses</w:t>
      </w:r>
    </w:p>
    <w:p w14:paraId="659B5565"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involves a mobility device or equipment, or assistive technology, that will facilitate personal mobility</w:t>
      </w:r>
    </w:p>
    <w:p w14:paraId="1327F7E9"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 health service that the person needs because of their impairment or because of the impairment and the interaction with various barriers</w:t>
      </w:r>
    </w:p>
    <w:p w14:paraId="7F5E4E8D"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 habilitation or rehabilitation service</w:t>
      </w:r>
    </w:p>
    <w:p w14:paraId="5FF87E2B"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is a service that will assist the person to access any of the services they need because of any of the reasons above</w:t>
      </w:r>
    </w:p>
    <w:p w14:paraId="5B0D16B4"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will minimise the prospects of the person, or prevent the person from, acquiring a further impairment</w:t>
      </w:r>
    </w:p>
    <w:p w14:paraId="202CE47D" w14:textId="77777777" w:rsidR="005D728C" w:rsidRPr="008D5728" w:rsidRDefault="005D728C" w:rsidP="00DF3F6B">
      <w:pPr>
        <w:numPr>
          <w:ilvl w:val="0"/>
          <w:numId w:val="234"/>
        </w:numPr>
        <w:spacing w:before="240" w:after="240" w:line="240" w:lineRule="auto"/>
        <w:rPr>
          <w:rFonts w:eastAsia="Yu Gothic Light"/>
          <w:lang w:val="en-AU"/>
        </w:rPr>
      </w:pPr>
      <w:r w:rsidRPr="008D5728">
        <w:rPr>
          <w:rFonts w:eastAsia="Yu Gothic Light"/>
          <w:lang w:val="en-AU"/>
        </w:rPr>
        <w:t xml:space="preserve">is </w:t>
      </w:r>
      <w:r w:rsidRPr="008D5728">
        <w:rPr>
          <w:rFonts w:eastAsia="Yu Gothic Light"/>
        </w:rPr>
        <w:t>a medical service required by the person because of sickness.</w:t>
      </w:r>
    </w:p>
    <w:p w14:paraId="754654DE" w14:textId="2FCF65A7" w:rsidR="00AE69FB" w:rsidRDefault="005D728C" w:rsidP="00622CFF">
      <w:pPr>
        <w:spacing w:before="240" w:after="240" w:line="240" w:lineRule="auto"/>
        <w:rPr>
          <w:rFonts w:eastAsia="Yu Gothic Light"/>
          <w:lang w:val="en-AU"/>
        </w:rPr>
      </w:pPr>
      <w:r w:rsidRPr="008D5728">
        <w:rPr>
          <w:rFonts w:eastAsia="Yu Gothic Light"/>
          <w:lang w:val="en-AU"/>
        </w:rPr>
        <w:t>For ease of understanding, these have been re-framed as needs of the older person in the table below (this is how they appear in the Notice of Decision).</w:t>
      </w:r>
    </w:p>
    <w:p w14:paraId="2E26D4A9" w14:textId="0FA5C7D9" w:rsidR="005D728C" w:rsidRDefault="00AE69FB" w:rsidP="00AE69FB">
      <w:pPr>
        <w:rPr>
          <w:rFonts w:eastAsia="Yu Gothic Light"/>
          <w:lang w:val="en-AU"/>
        </w:rPr>
      </w:pPr>
      <w:r>
        <w:rPr>
          <w:rFonts w:eastAsia="Yu Gothic Light"/>
          <w:lang w:val="en-AU"/>
        </w:rPr>
        <w:br w:type="page"/>
      </w:r>
    </w:p>
    <w:p w14:paraId="2632B11A" w14:textId="45FC639D" w:rsidR="005D728C" w:rsidRPr="008D5728" w:rsidRDefault="005D728C" w:rsidP="00622CFF">
      <w:pPr>
        <w:pStyle w:val="Caption"/>
        <w:spacing w:before="240" w:after="240"/>
        <w:rPr>
          <w:rFonts w:eastAsia="Yu Gothic Light"/>
          <w:lang w:val="en-AU"/>
        </w:rPr>
      </w:pPr>
      <w:r>
        <w:rPr>
          <w:rFonts w:eastAsia="Yu Gothic Light"/>
          <w:lang w:val="en-AU"/>
        </w:rPr>
        <w:t>Table 3</w:t>
      </w:r>
      <w:r w:rsidR="000C7B48">
        <w:rPr>
          <w:rFonts w:eastAsia="Yu Gothic Light"/>
          <w:lang w:val="en-AU"/>
        </w:rPr>
        <w:t>6</w:t>
      </w:r>
      <w:r>
        <w:rPr>
          <w:rFonts w:eastAsia="Yu Gothic Light"/>
          <w:lang w:val="en-AU"/>
        </w:rPr>
        <w:t>. Reframed reasons for access under section 67</w:t>
      </w:r>
    </w:p>
    <w:tbl>
      <w:tblPr>
        <w:tblStyle w:val="TableGrid"/>
        <w:tblW w:w="9351" w:type="dxa"/>
        <w:jc w:val="center"/>
        <w:tblCellMar>
          <w:top w:w="57" w:type="dxa"/>
          <w:bottom w:w="57" w:type="dxa"/>
        </w:tblCellMar>
        <w:tblLook w:val="04A0" w:firstRow="1" w:lastRow="0" w:firstColumn="1" w:lastColumn="0" w:noHBand="0" w:noVBand="1"/>
        <w:tblCaption w:val="Reframed reasons for access to funded services under section 67 of the Act"/>
      </w:tblPr>
      <w:tblGrid>
        <w:gridCol w:w="9351"/>
      </w:tblGrid>
      <w:tr w:rsidR="005D728C" w:rsidRPr="008D5728" w14:paraId="6177D270" w14:textId="77777777" w:rsidTr="0098479D">
        <w:trPr>
          <w:jc w:val="center"/>
        </w:trPr>
        <w:tc>
          <w:tcPr>
            <w:tcW w:w="9351" w:type="dxa"/>
            <w:shd w:val="clear" w:color="auto" w:fill="002060"/>
          </w:tcPr>
          <w:p w14:paraId="01C0EE04" w14:textId="462BBFBC" w:rsidR="005D728C" w:rsidRPr="008D5728" w:rsidRDefault="004965D8" w:rsidP="005960D3">
            <w:pPr>
              <w:spacing w:before="120" w:after="120"/>
              <w:rPr>
                <w:rFonts w:eastAsia="Yu Gothic Light"/>
                <w:b/>
                <w:bCs/>
              </w:rPr>
            </w:pPr>
            <w:r>
              <w:rPr>
                <w:rFonts w:eastAsia="Yu Gothic Light"/>
                <w:b/>
                <w:bCs/>
              </w:rPr>
              <w:t xml:space="preserve">It has also been determined that you require access </w:t>
            </w:r>
            <w:r w:rsidR="00590815">
              <w:rPr>
                <w:rFonts w:eastAsia="Yu Gothic Light"/>
                <w:b/>
                <w:bCs/>
              </w:rPr>
              <w:t xml:space="preserve">to the stated </w:t>
            </w:r>
            <w:r w:rsidR="005D728C" w:rsidRPr="008D5728">
              <w:rPr>
                <w:rFonts w:eastAsia="Yu Gothic Light"/>
                <w:b/>
                <w:bCs/>
              </w:rPr>
              <w:t>service types and</w:t>
            </w:r>
            <w:r w:rsidR="00590815">
              <w:rPr>
                <w:rFonts w:eastAsia="Yu Gothic Light"/>
                <w:b/>
                <w:bCs/>
              </w:rPr>
              <w:t>/or</w:t>
            </w:r>
            <w:r w:rsidR="005D728C" w:rsidRPr="008D5728">
              <w:rPr>
                <w:rFonts w:eastAsia="Yu Gothic Light"/>
                <w:b/>
                <w:bCs/>
              </w:rPr>
              <w:t xml:space="preserve"> services because you …</w:t>
            </w:r>
          </w:p>
        </w:tc>
      </w:tr>
      <w:tr w:rsidR="005D728C" w:rsidRPr="008D5728" w14:paraId="0848061D" w14:textId="77777777" w:rsidTr="0098479D">
        <w:trPr>
          <w:jc w:val="center"/>
        </w:trPr>
        <w:tc>
          <w:tcPr>
            <w:tcW w:w="9351" w:type="dxa"/>
          </w:tcPr>
          <w:p w14:paraId="4CD0FB5D" w14:textId="77777777" w:rsidR="005D728C" w:rsidRPr="008D5728" w:rsidRDefault="005D728C" w:rsidP="005960D3">
            <w:pPr>
              <w:spacing w:before="120" w:after="120"/>
              <w:rPr>
                <w:rFonts w:eastAsia="Yu Gothic Light"/>
              </w:rPr>
            </w:pPr>
            <w:r w:rsidRPr="008D5728">
              <w:rPr>
                <w:rFonts w:eastAsia="Yu Gothic Light"/>
              </w:rPr>
              <w:t>require support to live and be included in the community and prevent you from being isolated or segregated from their community [</w:t>
            </w:r>
            <w:r w:rsidRPr="00121861">
              <w:rPr>
                <w:rFonts w:eastAsia="Yu Gothic Light"/>
              </w:rPr>
              <w:t>doesn’t</w:t>
            </w:r>
            <w:r w:rsidRPr="008D5728">
              <w:rPr>
                <w:rFonts w:eastAsia="Yu Gothic Light"/>
              </w:rPr>
              <w:t xml:space="preserve"> apply to the Nursing service type]</w:t>
            </w:r>
          </w:p>
        </w:tc>
      </w:tr>
      <w:tr w:rsidR="009A1B8F" w:rsidRPr="008D5728" w14:paraId="63CEDA48" w14:textId="77777777" w:rsidTr="0098479D">
        <w:trPr>
          <w:jc w:val="center"/>
        </w:trPr>
        <w:tc>
          <w:tcPr>
            <w:tcW w:w="9351" w:type="dxa"/>
          </w:tcPr>
          <w:p w14:paraId="40BB12D9" w14:textId="5901D166" w:rsidR="009A1B8F" w:rsidRPr="008D5728" w:rsidRDefault="009A1B8F" w:rsidP="005960D3">
            <w:pPr>
              <w:spacing w:before="120" w:after="120"/>
              <w:rPr>
                <w:rFonts w:eastAsia="Yu Gothic Light"/>
              </w:rPr>
            </w:pPr>
            <w:r w:rsidRPr="008D5728">
              <w:rPr>
                <w:rFonts w:eastAsia="Yu Gothic Light"/>
              </w:rPr>
              <w:t>require support with your personal mobility</w:t>
            </w:r>
          </w:p>
        </w:tc>
      </w:tr>
      <w:tr w:rsidR="005D728C" w:rsidRPr="008D5728" w14:paraId="2A964B8C" w14:textId="77777777" w:rsidTr="0098479D">
        <w:trPr>
          <w:jc w:val="center"/>
        </w:trPr>
        <w:tc>
          <w:tcPr>
            <w:tcW w:w="9351" w:type="dxa"/>
          </w:tcPr>
          <w:p w14:paraId="6739AC5D" w14:textId="77777777" w:rsidR="005D728C" w:rsidRPr="008D5728" w:rsidRDefault="005D728C" w:rsidP="005960D3">
            <w:pPr>
              <w:spacing w:before="120" w:after="120"/>
              <w:rPr>
                <w:rFonts w:eastAsia="Yu Gothic Light"/>
              </w:rPr>
            </w:pPr>
            <w:r w:rsidRPr="008D5728">
              <w:rPr>
                <w:rFonts w:eastAsia="Yu Gothic Light"/>
              </w:rPr>
              <w:t>would benefit from services to minimise the chances of you, or prevent you from, acquiring a further impairment</w:t>
            </w:r>
          </w:p>
        </w:tc>
      </w:tr>
      <w:tr w:rsidR="005D728C" w:rsidRPr="008D5728" w14:paraId="515304DC" w14:textId="77777777" w:rsidTr="0098479D">
        <w:trPr>
          <w:jc w:val="center"/>
        </w:trPr>
        <w:tc>
          <w:tcPr>
            <w:tcW w:w="9351" w:type="dxa"/>
          </w:tcPr>
          <w:p w14:paraId="62DCF294" w14:textId="77777777" w:rsidR="005D728C" w:rsidRPr="008D5728" w:rsidRDefault="005D728C" w:rsidP="005960D3">
            <w:pPr>
              <w:spacing w:before="120" w:after="120"/>
              <w:rPr>
                <w:rFonts w:eastAsia="Yu Gothic Light"/>
              </w:rPr>
            </w:pPr>
            <w:r w:rsidRPr="008D5728">
              <w:rPr>
                <w:rFonts w:eastAsia="Yu Gothic Light"/>
              </w:rPr>
              <w:t>require support with rehabilitation or to gain a new skill or function (also known as habilitation)</w:t>
            </w:r>
          </w:p>
        </w:tc>
      </w:tr>
      <w:tr w:rsidR="005D728C" w:rsidRPr="008D5728" w14:paraId="6AA8FC79" w14:textId="77777777" w:rsidTr="0098479D">
        <w:trPr>
          <w:jc w:val="center"/>
        </w:trPr>
        <w:tc>
          <w:tcPr>
            <w:tcW w:w="9351" w:type="dxa"/>
          </w:tcPr>
          <w:p w14:paraId="78EE57BE" w14:textId="77777777" w:rsidR="005D728C" w:rsidRPr="008D5728" w:rsidRDefault="005D728C" w:rsidP="005960D3">
            <w:pPr>
              <w:spacing w:before="120" w:after="120"/>
              <w:rPr>
                <w:rFonts w:eastAsia="Yu Gothic Light"/>
              </w:rPr>
            </w:pPr>
            <w:r w:rsidRPr="008D5728">
              <w:rPr>
                <w:rFonts w:eastAsia="Yu Gothic Light"/>
              </w:rPr>
              <w:t>require health services because of your impairment or because of the impairment and its interaction with various barriers</w:t>
            </w:r>
          </w:p>
        </w:tc>
      </w:tr>
      <w:tr w:rsidR="005D728C" w:rsidRPr="008D5728" w14:paraId="149EE0D1" w14:textId="77777777" w:rsidTr="0098479D">
        <w:trPr>
          <w:jc w:val="center"/>
        </w:trPr>
        <w:tc>
          <w:tcPr>
            <w:tcW w:w="9351" w:type="dxa"/>
          </w:tcPr>
          <w:p w14:paraId="6FEA8FE3" w14:textId="77777777" w:rsidR="005D728C" w:rsidRPr="008D5728" w:rsidRDefault="005D728C" w:rsidP="005960D3">
            <w:pPr>
              <w:spacing w:before="120" w:after="120"/>
              <w:rPr>
                <w:rFonts w:eastAsia="Yu Gothic Light"/>
              </w:rPr>
            </w:pPr>
            <w:r w:rsidRPr="008D5728">
              <w:rPr>
                <w:rFonts w:eastAsia="Yu Gothic Light"/>
              </w:rPr>
              <w:t xml:space="preserve">need support to access any of the services you have been approved for </w:t>
            </w:r>
          </w:p>
        </w:tc>
      </w:tr>
    </w:tbl>
    <w:p w14:paraId="2134D83A" w14:textId="1ECCC4CB"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making a decision, </w:t>
      </w:r>
      <w:r w:rsidR="00037E3B">
        <w:rPr>
          <w:rFonts w:eastAsia="Yu Gothic Light"/>
          <w:lang w:val="en-AU"/>
        </w:rPr>
        <w:t>a</w:t>
      </w:r>
      <w:r w:rsidRPr="008D5728">
        <w:rPr>
          <w:rFonts w:eastAsia="Yu Gothic Light"/>
          <w:lang w:val="en-AU"/>
        </w:rPr>
        <w:t xml:space="preserve">ssessment </w:t>
      </w:r>
      <w:r w:rsidR="00037E3B">
        <w:rPr>
          <w:rFonts w:eastAsia="Yu Gothic Light"/>
          <w:lang w:val="en-AU"/>
        </w:rPr>
        <w:t>d</w:t>
      </w:r>
      <w:r w:rsidRPr="008D5728">
        <w:rPr>
          <w:rFonts w:eastAsia="Yu Gothic Light"/>
          <w:lang w:val="en-AU"/>
        </w:rPr>
        <w:t xml:space="preserve">elegates must consider the older person’s circumstances overall and what service types and services they need, and for what reason. This should already be evident from the information recorded in the </w:t>
      </w:r>
      <w:r w:rsidR="00243D17">
        <w:rPr>
          <w:rFonts w:eastAsia="Yu Gothic Light"/>
          <w:lang w:val="en-AU"/>
        </w:rPr>
        <w:t>Integrated Assessment Tool (</w:t>
      </w:r>
      <w:r w:rsidRPr="008D5728">
        <w:rPr>
          <w:rFonts w:eastAsia="Yu Gothic Light"/>
          <w:lang w:val="en-AU"/>
        </w:rPr>
        <w:t>IAT</w:t>
      </w:r>
      <w:r w:rsidR="00243D17">
        <w:rPr>
          <w:rFonts w:eastAsia="Yu Gothic Light"/>
          <w:lang w:val="en-AU"/>
        </w:rPr>
        <w:t>)</w:t>
      </w:r>
      <w:r w:rsidRPr="008D5728">
        <w:rPr>
          <w:rFonts w:eastAsia="Yu Gothic Light"/>
          <w:lang w:val="en-AU"/>
        </w:rPr>
        <w:t xml:space="preserve"> or the </w:t>
      </w:r>
      <w:r w:rsidR="00111E8F">
        <w:rPr>
          <w:rFonts w:eastAsia="Yu Gothic Light"/>
          <w:lang w:val="en-AU"/>
        </w:rPr>
        <w:t>s</w:t>
      </w:r>
      <w:r w:rsidRPr="008D5728">
        <w:rPr>
          <w:rFonts w:eastAsia="Yu Gothic Light"/>
          <w:lang w:val="en-AU"/>
        </w:rPr>
        <w:t xml:space="preserve">upport </w:t>
      </w:r>
      <w:r w:rsidR="00111E8F">
        <w:rPr>
          <w:rFonts w:eastAsia="Yu Gothic Light"/>
          <w:lang w:val="en-AU"/>
        </w:rPr>
        <w:t>p</w:t>
      </w:r>
      <w:r w:rsidRPr="008D5728">
        <w:rPr>
          <w:rFonts w:eastAsia="Yu Gothic Light"/>
          <w:lang w:val="en-AU"/>
        </w:rPr>
        <w:t>lan, which detail what the person’s needs are, and why the person needs support and what help they need.</w:t>
      </w:r>
    </w:p>
    <w:p w14:paraId="0357EFE2" w14:textId="3649C4B5" w:rsidR="005D728C" w:rsidRPr="008D5728" w:rsidRDefault="00FE1C6D" w:rsidP="00622CFF">
      <w:pPr>
        <w:spacing w:before="240" w:after="240" w:line="240" w:lineRule="auto"/>
        <w:rPr>
          <w:rFonts w:eastAsia="Yu Gothic Light"/>
          <w:lang w:val="en-AU"/>
        </w:rPr>
      </w:pPr>
      <w:r>
        <w:rPr>
          <w:rFonts w:eastAsia="Yu Gothic Light"/>
          <w:lang w:val="en-AU"/>
        </w:rPr>
        <w:t>P</w:t>
      </w:r>
      <w:r w:rsidR="005D728C" w:rsidRPr="008D5728">
        <w:rPr>
          <w:rFonts w:eastAsia="Yu Gothic Light"/>
          <w:lang w:val="en-AU"/>
        </w:rPr>
        <w:t xml:space="preserve">otential applicable reasons </w:t>
      </w:r>
      <w:r>
        <w:rPr>
          <w:rFonts w:eastAsia="Yu Gothic Light"/>
          <w:lang w:val="en-AU"/>
        </w:rPr>
        <w:t xml:space="preserve">for </w:t>
      </w:r>
      <w:r w:rsidR="00AF3EF3">
        <w:rPr>
          <w:rFonts w:eastAsia="Yu Gothic Light"/>
          <w:lang w:val="en-AU"/>
        </w:rPr>
        <w:t>service types/services</w:t>
      </w:r>
      <w:r w:rsidR="001A5CFD">
        <w:rPr>
          <w:rFonts w:eastAsia="Yu Gothic Light"/>
          <w:lang w:val="en-AU"/>
        </w:rPr>
        <w:t xml:space="preserve"> </w:t>
      </w:r>
      <w:r w:rsidR="005D728C" w:rsidRPr="008D5728">
        <w:rPr>
          <w:rFonts w:eastAsia="Yu Gothic Light"/>
          <w:lang w:val="en-AU"/>
        </w:rPr>
        <w:t xml:space="preserve">are set out in </w:t>
      </w:r>
      <w:r w:rsidR="005D728C">
        <w:rPr>
          <w:rFonts w:eastAsia="Yu Gothic Light"/>
          <w:lang w:val="en-AU"/>
        </w:rPr>
        <w:t xml:space="preserve">the </w:t>
      </w:r>
      <w:r w:rsidRPr="00907315">
        <w:rPr>
          <w:rFonts w:eastAsia="Yu Gothic Light"/>
          <w:lang w:val="en-AU"/>
        </w:rPr>
        <w:t>t</w:t>
      </w:r>
      <w:r w:rsidR="005D728C" w:rsidRPr="00907315">
        <w:rPr>
          <w:rFonts w:eastAsia="Yu Gothic Light"/>
          <w:lang w:val="en-AU"/>
        </w:rPr>
        <w:t xml:space="preserve">able </w:t>
      </w:r>
      <w:r w:rsidRPr="00907315">
        <w:rPr>
          <w:rFonts w:eastAsia="Yu Gothic Light"/>
          <w:lang w:val="en-AU"/>
        </w:rPr>
        <w:t>below</w:t>
      </w:r>
      <w:r w:rsidR="005D728C" w:rsidRPr="008D5728">
        <w:rPr>
          <w:rFonts w:eastAsia="Yu Gothic Light"/>
          <w:lang w:val="en-AU"/>
        </w:rPr>
        <w:t xml:space="preserve">. </w:t>
      </w:r>
    </w:p>
    <w:p w14:paraId="5A64BE32" w14:textId="054A4281" w:rsidR="005D728C" w:rsidRPr="008D5728" w:rsidRDefault="00EC17EA" w:rsidP="00622CFF">
      <w:pPr>
        <w:pStyle w:val="Caption"/>
        <w:spacing w:before="240" w:after="240"/>
        <w:rPr>
          <w:rFonts w:eastAsia="Yu Gothic Light"/>
        </w:rPr>
      </w:pPr>
      <w:r w:rsidRPr="005E4E0E">
        <w:rPr>
          <w:bCs/>
          <w:noProof/>
        </w:rPr>
        <w:drawing>
          <wp:anchor distT="0" distB="0" distL="114300" distR="114300" simplePos="0" relativeHeight="251658285" behindDoc="0" locked="0" layoutInCell="1" allowOverlap="1" wp14:anchorId="43FF6712" wp14:editId="3150302B">
            <wp:simplePos x="0" y="0"/>
            <wp:positionH relativeFrom="margin">
              <wp:align>left</wp:align>
            </wp:positionH>
            <wp:positionV relativeFrom="paragraph">
              <wp:posOffset>9795</wp:posOffset>
            </wp:positionV>
            <wp:extent cx="457200" cy="502920"/>
            <wp:effectExtent l="0" t="0" r="0" b="0"/>
            <wp:wrapSquare wrapText="bothSides"/>
            <wp:docPr id="547293155" name="Picture 547293155"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5D728C">
        <w:rPr>
          <w:rFonts w:eastAsia="Yu Gothic Light"/>
        </w:rPr>
        <w:t>Table 3</w:t>
      </w:r>
      <w:r w:rsidR="000C7B48">
        <w:rPr>
          <w:rFonts w:eastAsia="Yu Gothic Light"/>
        </w:rPr>
        <w:t>7</w:t>
      </w:r>
      <w:r w:rsidR="005D728C">
        <w:rPr>
          <w:rFonts w:eastAsia="Yu Gothic Light"/>
        </w:rPr>
        <w:t>. Service types/services and potential applicable reasons under section 67</w:t>
      </w:r>
    </w:p>
    <w:p w14:paraId="21E057CC" w14:textId="77777777" w:rsidR="003025EE" w:rsidRPr="00E475AF" w:rsidRDefault="003025EE" w:rsidP="00E475AF"/>
    <w:tbl>
      <w:tblPr>
        <w:tblStyle w:val="TableGrid"/>
        <w:tblW w:w="7660" w:type="dxa"/>
        <w:tblInd w:w="-5" w:type="dxa"/>
        <w:tblBorders>
          <w:bottom w:val="single" w:sz="4" w:space="0" w:color="auto"/>
          <w:insideH w:val="single" w:sz="4" w:space="0" w:color="auto"/>
        </w:tblBorders>
        <w:tblLayout w:type="fixed"/>
        <w:tblCellMar>
          <w:top w:w="57" w:type="dxa"/>
          <w:bottom w:w="57" w:type="dxa"/>
        </w:tblCellMar>
        <w:tblLook w:val="04A0" w:firstRow="1" w:lastRow="0" w:firstColumn="1" w:lastColumn="0" w:noHBand="0" w:noVBand="1"/>
        <w:tblCaption w:val="Service types, services and potential applicable reasons under section 67 of the Act"/>
      </w:tblPr>
      <w:tblGrid>
        <w:gridCol w:w="3124"/>
        <w:gridCol w:w="4536"/>
      </w:tblGrid>
      <w:tr w:rsidR="00383772" w:rsidRPr="008D5728" w14:paraId="3B67CB71" w14:textId="77777777" w:rsidTr="00E87641">
        <w:trPr>
          <w:tblHeader/>
        </w:trPr>
        <w:tc>
          <w:tcPr>
            <w:tcW w:w="3124" w:type="dxa"/>
            <w:shd w:val="clear" w:color="auto" w:fill="002060"/>
          </w:tcPr>
          <w:p w14:paraId="65E16079" w14:textId="77777777" w:rsidR="005D728C" w:rsidRPr="008D5728" w:rsidRDefault="005D728C" w:rsidP="005960D3">
            <w:pPr>
              <w:spacing w:before="120" w:after="120"/>
              <w:rPr>
                <w:rFonts w:eastAsia="Yu Gothic Light"/>
                <w:b/>
                <w:color w:val="FFFFFF"/>
              </w:rPr>
            </w:pPr>
            <w:r w:rsidRPr="008D5728">
              <w:rPr>
                <w:rFonts w:eastAsia="Yu Gothic Light"/>
                <w:b/>
                <w:color w:val="FFFFFF"/>
              </w:rPr>
              <w:t>Reason</w:t>
            </w:r>
          </w:p>
        </w:tc>
        <w:tc>
          <w:tcPr>
            <w:tcW w:w="4536" w:type="dxa"/>
            <w:shd w:val="clear" w:color="auto" w:fill="002060"/>
          </w:tcPr>
          <w:p w14:paraId="123EF9C5" w14:textId="0B08D5D4" w:rsidR="005D728C" w:rsidRPr="008D5728" w:rsidRDefault="005762DA" w:rsidP="005960D3">
            <w:pPr>
              <w:spacing w:before="120" w:after="120"/>
              <w:rPr>
                <w:rFonts w:eastAsia="Yu Gothic Light"/>
                <w:b/>
                <w:color w:val="FFFFFF"/>
              </w:rPr>
            </w:pPr>
            <w:r>
              <w:rPr>
                <w:rFonts w:eastAsia="Yu Gothic Light"/>
                <w:b/>
                <w:color w:val="FFFFFF"/>
              </w:rPr>
              <w:t xml:space="preserve">Reason </w:t>
            </w:r>
            <w:r w:rsidRPr="00E475AF">
              <w:rPr>
                <w:rFonts w:eastAsia="Yu Gothic Light"/>
                <w:b/>
                <w:color w:val="FFFFFF"/>
                <w:u w:val="single"/>
              </w:rPr>
              <w:t>may</w:t>
            </w:r>
            <w:r>
              <w:rPr>
                <w:rFonts w:eastAsia="Yu Gothic Light"/>
                <w:b/>
                <w:color w:val="FFFFFF"/>
              </w:rPr>
              <w:t xml:space="preserve"> apply when approv</w:t>
            </w:r>
            <w:r w:rsidR="008B3D87">
              <w:rPr>
                <w:rFonts w:eastAsia="Yu Gothic Light"/>
                <w:b/>
                <w:color w:val="FFFFFF"/>
              </w:rPr>
              <w:t>ing the older person</w:t>
            </w:r>
            <w:r>
              <w:rPr>
                <w:rFonts w:eastAsia="Yu Gothic Light"/>
                <w:b/>
                <w:color w:val="FFFFFF"/>
              </w:rPr>
              <w:t xml:space="preserve"> for…</w:t>
            </w:r>
          </w:p>
        </w:tc>
      </w:tr>
      <w:tr w:rsidR="00DC0074" w:rsidRPr="008D5728" w14:paraId="186927F8" w14:textId="77777777" w:rsidTr="00E87641">
        <w:tc>
          <w:tcPr>
            <w:tcW w:w="3124" w:type="dxa"/>
          </w:tcPr>
          <w:p w14:paraId="17F47CF4" w14:textId="77777777" w:rsidR="005D728C" w:rsidRPr="008D5728" w:rsidRDefault="005D728C" w:rsidP="005960D3">
            <w:pPr>
              <w:spacing w:before="120" w:after="120"/>
              <w:rPr>
                <w:rFonts w:eastAsia="Yu Gothic Light"/>
              </w:rPr>
            </w:pPr>
            <w:r w:rsidRPr="008D5728">
              <w:rPr>
                <w:rFonts w:eastAsia="Yu Gothic Light"/>
                <w:b/>
                <w:bCs/>
              </w:rPr>
              <w:t>1.</w:t>
            </w:r>
            <w:r w:rsidRPr="008D5728">
              <w:rPr>
                <w:rFonts w:eastAsia="Yu Gothic Light"/>
              </w:rPr>
              <w:t xml:space="preserve"> Requires support to live and be included in the community and prevent from being isolated or segregated from their community</w:t>
            </w:r>
          </w:p>
        </w:tc>
        <w:tc>
          <w:tcPr>
            <w:tcW w:w="4536" w:type="dxa"/>
          </w:tcPr>
          <w:p w14:paraId="159D4006" w14:textId="76FCDAB6" w:rsidR="00E87641" w:rsidRPr="00E475AF" w:rsidRDefault="005762DA" w:rsidP="00E475AF">
            <w:pPr>
              <w:numPr>
                <w:ilvl w:val="0"/>
                <w:numId w:val="235"/>
              </w:numPr>
              <w:spacing w:before="120" w:after="120"/>
              <w:ind w:left="318" w:hanging="283"/>
              <w:rPr>
                <w:rFonts w:eastAsia="Yu Gothic Light"/>
              </w:rPr>
            </w:pPr>
            <w:r>
              <w:rPr>
                <w:rFonts w:eastAsia="Yu Gothic Light"/>
              </w:rPr>
              <w:t>a</w:t>
            </w:r>
            <w:r w:rsidR="00C126D7" w:rsidRPr="00E475AF">
              <w:rPr>
                <w:rFonts w:eastAsia="Yu Gothic Light"/>
              </w:rPr>
              <w:t>ny service type</w:t>
            </w:r>
            <w:r w:rsidR="001E16A1">
              <w:rPr>
                <w:rFonts w:eastAsia="Yu Gothic Light"/>
              </w:rPr>
              <w:t xml:space="preserve"> </w:t>
            </w:r>
            <w:r w:rsidR="00234CA4" w:rsidRPr="00E475AF">
              <w:rPr>
                <w:rFonts w:eastAsia="Yu Gothic Light"/>
                <w:b/>
                <w:bCs/>
              </w:rPr>
              <w:t>except</w:t>
            </w:r>
            <w:r w:rsidR="00234CA4" w:rsidRPr="005C381D">
              <w:rPr>
                <w:rFonts w:eastAsia="Yu Gothic Light"/>
              </w:rPr>
              <w:t xml:space="preserve"> ‘Nursing care’</w:t>
            </w:r>
            <w:r w:rsidR="001E16A1">
              <w:rPr>
                <w:rFonts w:eastAsia="Yu Gothic Light"/>
              </w:rPr>
              <w:t xml:space="preserve"> from the service group ‘home support</w:t>
            </w:r>
            <w:r w:rsidR="00243031">
              <w:rPr>
                <w:rFonts w:eastAsia="Yu Gothic Light"/>
              </w:rPr>
              <w:t>’</w:t>
            </w:r>
            <w:r w:rsidR="001E16A1">
              <w:rPr>
                <w:rFonts w:eastAsia="Yu Gothic Light"/>
              </w:rPr>
              <w:t xml:space="preserve"> </w:t>
            </w:r>
            <w:r w:rsidR="00F15A42">
              <w:rPr>
                <w:rFonts w:eastAsia="Yu Gothic Light"/>
              </w:rPr>
              <w:t>(including services accessed through TCP)</w:t>
            </w:r>
          </w:p>
          <w:p w14:paraId="196A5A62" w14:textId="53CE6717" w:rsidR="005D728C" w:rsidRPr="008D5728" w:rsidRDefault="00957C3D" w:rsidP="00E475AF">
            <w:pPr>
              <w:numPr>
                <w:ilvl w:val="0"/>
                <w:numId w:val="235"/>
              </w:numPr>
              <w:spacing w:before="120" w:after="120"/>
              <w:ind w:left="318" w:hanging="283"/>
              <w:rPr>
                <w:rFonts w:eastAsia="Yu Gothic Light"/>
              </w:rPr>
            </w:pPr>
            <w:r>
              <w:rPr>
                <w:rFonts w:eastAsia="Yu Gothic Light"/>
              </w:rPr>
              <w:t xml:space="preserve">‘Equipment and products’ or ‘Home adjustments’ under </w:t>
            </w:r>
            <w:r w:rsidR="00D4132D">
              <w:rPr>
                <w:rFonts w:eastAsia="Yu Gothic Light"/>
              </w:rPr>
              <w:t>the AT-HM Scheme</w:t>
            </w:r>
            <w:r w:rsidR="00D81B8D">
              <w:rPr>
                <w:rFonts w:eastAsia="Yu Gothic Light"/>
              </w:rPr>
              <w:t xml:space="preserve">, </w:t>
            </w:r>
            <w:r>
              <w:rPr>
                <w:rFonts w:eastAsia="Yu Gothic Light"/>
              </w:rPr>
              <w:t>CHSP</w:t>
            </w:r>
            <w:r w:rsidR="00B17F5A">
              <w:rPr>
                <w:rFonts w:eastAsia="Yu Gothic Light"/>
              </w:rPr>
              <w:t xml:space="preserve"> or TCP</w:t>
            </w:r>
          </w:p>
        </w:tc>
      </w:tr>
      <w:tr w:rsidR="00DC0074" w:rsidRPr="008D5728" w14:paraId="23A571AC" w14:textId="77777777" w:rsidTr="00E87641">
        <w:tc>
          <w:tcPr>
            <w:tcW w:w="3124" w:type="dxa"/>
          </w:tcPr>
          <w:p w14:paraId="152F0ABF" w14:textId="77777777" w:rsidR="005D728C" w:rsidRPr="008D5728" w:rsidRDefault="005D728C" w:rsidP="005960D3">
            <w:pPr>
              <w:spacing w:before="120" w:after="120"/>
              <w:rPr>
                <w:rFonts w:eastAsia="Yu Gothic Light"/>
              </w:rPr>
            </w:pPr>
            <w:r w:rsidRPr="008D5728">
              <w:rPr>
                <w:rFonts w:eastAsia="Yu Gothic Light"/>
                <w:b/>
                <w:bCs/>
              </w:rPr>
              <w:t>2.</w:t>
            </w:r>
            <w:r w:rsidRPr="008D5728">
              <w:rPr>
                <w:rFonts w:eastAsia="Yu Gothic Light"/>
              </w:rPr>
              <w:t xml:space="preserve"> Requires support with personal mobility or requires a mobility aid/device/assistive technology</w:t>
            </w:r>
          </w:p>
        </w:tc>
        <w:tc>
          <w:tcPr>
            <w:tcW w:w="4536" w:type="dxa"/>
          </w:tcPr>
          <w:p w14:paraId="0608BC9A" w14:textId="076AEEAF" w:rsidR="00E87641" w:rsidRDefault="00AA3373" w:rsidP="00E475AF">
            <w:pPr>
              <w:numPr>
                <w:ilvl w:val="0"/>
                <w:numId w:val="235"/>
              </w:numPr>
              <w:spacing w:before="120" w:after="120"/>
              <w:ind w:left="318" w:hanging="283"/>
              <w:rPr>
                <w:rFonts w:eastAsia="Yu Gothic Light"/>
              </w:rPr>
            </w:pPr>
            <w:r>
              <w:rPr>
                <w:rFonts w:eastAsia="Yu Gothic Light"/>
              </w:rPr>
              <w:t xml:space="preserve">the </w:t>
            </w:r>
            <w:r w:rsidR="00E942AD">
              <w:rPr>
                <w:rFonts w:eastAsia="Yu Gothic Light"/>
              </w:rPr>
              <w:t xml:space="preserve">service type ‘Transport’ </w:t>
            </w:r>
            <w:r w:rsidR="00B02F77">
              <w:rPr>
                <w:rFonts w:eastAsia="Yu Gothic Light"/>
              </w:rPr>
              <w:t>from</w:t>
            </w:r>
            <w:r w:rsidR="00E942AD">
              <w:rPr>
                <w:rFonts w:eastAsia="Yu Gothic Light"/>
              </w:rPr>
              <w:t xml:space="preserve"> the service group ‘home support’</w:t>
            </w:r>
            <w:r w:rsidR="00141EE5">
              <w:rPr>
                <w:rFonts w:eastAsia="Yu Gothic Light"/>
              </w:rPr>
              <w:t xml:space="preserve"> (included in any approval for TCP)</w:t>
            </w:r>
          </w:p>
          <w:p w14:paraId="48BBF6F6" w14:textId="2562F30E" w:rsidR="005D728C" w:rsidRPr="008D5728" w:rsidRDefault="00627E3E" w:rsidP="00E475AF">
            <w:pPr>
              <w:numPr>
                <w:ilvl w:val="0"/>
                <w:numId w:val="235"/>
              </w:numPr>
              <w:spacing w:before="120" w:after="120"/>
              <w:ind w:left="318" w:hanging="283"/>
              <w:rPr>
                <w:rFonts w:eastAsia="Yu Gothic Light"/>
              </w:rPr>
            </w:pPr>
            <w:r>
              <w:rPr>
                <w:rFonts w:eastAsia="Yu Gothic Light"/>
              </w:rPr>
              <w:t>‘Equipment and products’ or ‘Home adjustments’ under the AT-HM Scheme or CHSP</w:t>
            </w:r>
          </w:p>
        </w:tc>
      </w:tr>
      <w:tr w:rsidR="00DC0074" w:rsidRPr="008D5728" w14:paraId="193EA0A9" w14:textId="77777777" w:rsidTr="00E87641">
        <w:tc>
          <w:tcPr>
            <w:tcW w:w="3124" w:type="dxa"/>
          </w:tcPr>
          <w:p w14:paraId="1D069054" w14:textId="77777777" w:rsidR="005D728C" w:rsidRPr="008D5728" w:rsidRDefault="005D728C" w:rsidP="005960D3">
            <w:pPr>
              <w:spacing w:before="120" w:after="120"/>
              <w:rPr>
                <w:rFonts w:eastAsia="Yu Gothic Light"/>
              </w:rPr>
            </w:pPr>
            <w:r w:rsidRPr="008D5728">
              <w:rPr>
                <w:rFonts w:eastAsia="Yu Gothic Light"/>
                <w:b/>
                <w:bCs/>
              </w:rPr>
              <w:t>3.</w:t>
            </w:r>
            <w:r w:rsidRPr="008D5728">
              <w:rPr>
                <w:rFonts w:eastAsia="Yu Gothic Light"/>
              </w:rPr>
              <w:t xml:space="preserve"> Would benefit from services to minimise the prospects of them, or prevent them from, acquiring a further impairment</w:t>
            </w:r>
          </w:p>
        </w:tc>
        <w:tc>
          <w:tcPr>
            <w:tcW w:w="4536" w:type="dxa"/>
          </w:tcPr>
          <w:p w14:paraId="679CBDFC" w14:textId="1B480F79" w:rsidR="00E87641" w:rsidRDefault="00415A9A" w:rsidP="00E475AF">
            <w:pPr>
              <w:numPr>
                <w:ilvl w:val="0"/>
                <w:numId w:val="235"/>
              </w:numPr>
              <w:spacing w:before="120" w:after="120"/>
              <w:ind w:left="318" w:hanging="283"/>
              <w:rPr>
                <w:rFonts w:eastAsia="Yu Gothic Light"/>
              </w:rPr>
            </w:pPr>
            <w:r>
              <w:rPr>
                <w:rFonts w:eastAsia="Yu Gothic Light"/>
              </w:rPr>
              <w:t>the service type ‘Assistance with transition care’</w:t>
            </w:r>
            <w:r w:rsidR="004F1CBC">
              <w:rPr>
                <w:rFonts w:eastAsia="Yu Gothic Light"/>
              </w:rPr>
              <w:t xml:space="preserve"> (part of any approval for TCP</w:t>
            </w:r>
            <w:r>
              <w:rPr>
                <w:rFonts w:eastAsia="Yu Gothic Light"/>
              </w:rPr>
              <w:t>)</w:t>
            </w:r>
          </w:p>
          <w:p w14:paraId="1FDBACE0" w14:textId="55FF6B68" w:rsidR="005D728C" w:rsidRPr="008D5728" w:rsidRDefault="00D74DB6" w:rsidP="00E475AF">
            <w:pPr>
              <w:numPr>
                <w:ilvl w:val="0"/>
                <w:numId w:val="235"/>
              </w:numPr>
              <w:spacing w:before="120" w:after="120"/>
              <w:ind w:left="318" w:hanging="283"/>
              <w:rPr>
                <w:rFonts w:eastAsia="Yu Gothic Light"/>
              </w:rPr>
            </w:pPr>
            <w:r>
              <w:rPr>
                <w:rFonts w:eastAsia="Yu Gothic Light"/>
              </w:rPr>
              <w:t xml:space="preserve">‘Equipment and products’ or ‘Home adjustments’ under </w:t>
            </w:r>
            <w:r w:rsidR="00C3365D">
              <w:rPr>
                <w:rFonts w:eastAsia="Yu Gothic Light"/>
              </w:rPr>
              <w:t xml:space="preserve">the AT-HM Scheme or </w:t>
            </w:r>
            <w:r>
              <w:rPr>
                <w:rFonts w:eastAsia="Yu Gothic Light"/>
              </w:rPr>
              <w:t>CHSP</w:t>
            </w:r>
          </w:p>
        </w:tc>
      </w:tr>
      <w:tr w:rsidR="00DC0074" w:rsidRPr="008D5728" w14:paraId="168E9D81" w14:textId="77777777" w:rsidTr="00E87641">
        <w:tc>
          <w:tcPr>
            <w:tcW w:w="3124" w:type="dxa"/>
          </w:tcPr>
          <w:p w14:paraId="12A63A0E" w14:textId="77777777" w:rsidR="005D728C" w:rsidRPr="008D5728" w:rsidRDefault="005D728C" w:rsidP="005960D3">
            <w:pPr>
              <w:spacing w:before="120" w:after="120"/>
              <w:rPr>
                <w:rFonts w:eastAsia="Yu Gothic Light"/>
              </w:rPr>
            </w:pPr>
            <w:r w:rsidRPr="008D5728">
              <w:rPr>
                <w:rFonts w:eastAsia="Yu Gothic Light"/>
                <w:b/>
                <w:bCs/>
              </w:rPr>
              <w:t>4.</w:t>
            </w:r>
            <w:r w:rsidRPr="008D5728">
              <w:rPr>
                <w:rFonts w:eastAsia="Yu Gothic Light"/>
              </w:rPr>
              <w:t xml:space="preserve"> Needs support to access any of the services they have been approved for</w:t>
            </w:r>
          </w:p>
        </w:tc>
        <w:tc>
          <w:tcPr>
            <w:tcW w:w="4536" w:type="dxa"/>
          </w:tcPr>
          <w:p w14:paraId="171C2BA5" w14:textId="31223B73" w:rsidR="00C57B9B" w:rsidRDefault="00C57B9B" w:rsidP="00DF3F6B">
            <w:pPr>
              <w:numPr>
                <w:ilvl w:val="0"/>
                <w:numId w:val="235"/>
              </w:numPr>
              <w:spacing w:before="120" w:after="120"/>
              <w:ind w:left="318" w:hanging="283"/>
              <w:rPr>
                <w:rFonts w:eastAsia="Yu Gothic Light"/>
              </w:rPr>
            </w:pPr>
            <w:r>
              <w:rPr>
                <w:rFonts w:eastAsia="Yu Gothic Light"/>
              </w:rPr>
              <w:t xml:space="preserve">‘Equipment and products’ under </w:t>
            </w:r>
            <w:r w:rsidR="004F1CBC">
              <w:rPr>
                <w:rFonts w:eastAsia="Yu Gothic Light"/>
              </w:rPr>
              <w:t>t</w:t>
            </w:r>
            <w:r w:rsidR="00C3365D">
              <w:rPr>
                <w:rFonts w:eastAsia="Yu Gothic Light"/>
              </w:rPr>
              <w:t xml:space="preserve">he AT-HM Scheme or </w:t>
            </w:r>
            <w:r>
              <w:rPr>
                <w:rFonts w:eastAsia="Yu Gothic Light"/>
              </w:rPr>
              <w:t>CHSP</w:t>
            </w:r>
          </w:p>
          <w:p w14:paraId="0175972A" w14:textId="3BAAEF6C" w:rsidR="00C3365D" w:rsidRDefault="00C3365D" w:rsidP="00DF3F6B">
            <w:pPr>
              <w:numPr>
                <w:ilvl w:val="0"/>
                <w:numId w:val="235"/>
              </w:numPr>
              <w:spacing w:before="120" w:after="120"/>
              <w:ind w:left="318" w:hanging="283"/>
              <w:rPr>
                <w:rFonts w:eastAsia="Yu Gothic Light"/>
              </w:rPr>
            </w:pPr>
            <w:r>
              <w:rPr>
                <w:rFonts w:eastAsia="Yu Gothic Light"/>
              </w:rPr>
              <w:t xml:space="preserve">The service type ‘Restorative care management’ under the service group ‘home support’ (e.g. </w:t>
            </w:r>
            <w:r w:rsidRPr="008D5728">
              <w:rPr>
                <w:rFonts w:eastAsia="Yu Gothic Light"/>
              </w:rPr>
              <w:t xml:space="preserve">Restorative </w:t>
            </w:r>
            <w:r>
              <w:rPr>
                <w:rFonts w:eastAsia="Yu Gothic Light"/>
              </w:rPr>
              <w:t>C</w:t>
            </w:r>
            <w:r w:rsidRPr="008D5728">
              <w:rPr>
                <w:rFonts w:eastAsia="Yu Gothic Light"/>
              </w:rPr>
              <w:t xml:space="preserve">are </w:t>
            </w:r>
            <w:r>
              <w:rPr>
                <w:rFonts w:eastAsia="Yu Gothic Light"/>
              </w:rPr>
              <w:t>Pathway)</w:t>
            </w:r>
          </w:p>
          <w:p w14:paraId="21457BE5" w14:textId="77777777" w:rsidR="003107C0" w:rsidRDefault="003107C0" w:rsidP="003107C0">
            <w:pPr>
              <w:numPr>
                <w:ilvl w:val="0"/>
                <w:numId w:val="235"/>
              </w:numPr>
              <w:spacing w:before="120" w:after="120"/>
              <w:ind w:left="318" w:hanging="283"/>
              <w:rPr>
                <w:rFonts w:eastAsia="Yu Gothic Light"/>
              </w:rPr>
            </w:pPr>
            <w:r>
              <w:rPr>
                <w:rFonts w:eastAsia="Yu Gothic Light"/>
              </w:rPr>
              <w:t>the service type ‘Assistance with transition care’ (part of any approval for TCP)</w:t>
            </w:r>
          </w:p>
          <w:p w14:paraId="46C698F9" w14:textId="2DFB09A1" w:rsidR="005D728C" w:rsidRPr="008D5728" w:rsidRDefault="005D728C" w:rsidP="00E475AF">
            <w:pPr>
              <w:spacing w:before="120" w:after="120"/>
              <w:rPr>
                <w:rFonts w:eastAsia="Yu Gothic Light"/>
              </w:rPr>
            </w:pPr>
          </w:p>
        </w:tc>
      </w:tr>
      <w:tr w:rsidR="00DC0074" w:rsidRPr="008D5728" w14:paraId="24721FCE" w14:textId="77777777" w:rsidTr="00E87641">
        <w:tc>
          <w:tcPr>
            <w:tcW w:w="3124" w:type="dxa"/>
          </w:tcPr>
          <w:p w14:paraId="783D2B90" w14:textId="77777777" w:rsidR="005D728C" w:rsidRPr="008D5728" w:rsidRDefault="005D728C" w:rsidP="005960D3">
            <w:pPr>
              <w:spacing w:before="120" w:after="120"/>
              <w:rPr>
                <w:rFonts w:eastAsia="Yu Gothic Light"/>
              </w:rPr>
            </w:pPr>
            <w:r w:rsidRPr="008D5728">
              <w:rPr>
                <w:rFonts w:eastAsia="Yu Gothic Light"/>
                <w:b/>
                <w:bCs/>
              </w:rPr>
              <w:t>5.</w:t>
            </w:r>
            <w:r w:rsidRPr="008D5728">
              <w:rPr>
                <w:rFonts w:eastAsia="Yu Gothic Light"/>
              </w:rPr>
              <w:t xml:space="preserve"> Requires health services because of their impairment or because of the impairment and its interaction with various barriers</w:t>
            </w:r>
          </w:p>
        </w:tc>
        <w:tc>
          <w:tcPr>
            <w:tcW w:w="4536" w:type="dxa"/>
          </w:tcPr>
          <w:p w14:paraId="7EB7B75B" w14:textId="451CEB6B" w:rsidR="00103B1A" w:rsidRDefault="00103B1A" w:rsidP="00DF3F6B">
            <w:pPr>
              <w:numPr>
                <w:ilvl w:val="0"/>
                <w:numId w:val="235"/>
              </w:numPr>
              <w:spacing w:before="120" w:after="120"/>
              <w:ind w:left="318" w:hanging="283"/>
              <w:rPr>
                <w:rFonts w:eastAsia="Yu Gothic Light"/>
              </w:rPr>
            </w:pPr>
            <w:r>
              <w:rPr>
                <w:rFonts w:eastAsia="Yu Gothic Light"/>
              </w:rPr>
              <w:t>The</w:t>
            </w:r>
            <w:r w:rsidR="00211D08">
              <w:rPr>
                <w:rFonts w:eastAsia="Yu Gothic Light"/>
              </w:rPr>
              <w:t xml:space="preserve"> service </w:t>
            </w:r>
            <w:r>
              <w:rPr>
                <w:rFonts w:eastAsia="Yu Gothic Light"/>
              </w:rPr>
              <w:t>type</w:t>
            </w:r>
            <w:r w:rsidR="00211D08">
              <w:rPr>
                <w:rFonts w:eastAsia="Yu Gothic Light"/>
              </w:rPr>
              <w:t xml:space="preserve"> </w:t>
            </w:r>
            <w:r w:rsidR="006308BB">
              <w:rPr>
                <w:rFonts w:eastAsia="Yu Gothic Light"/>
              </w:rPr>
              <w:t>‘Allied health and therapy’</w:t>
            </w:r>
            <w:r w:rsidR="006B6969" w:rsidRPr="008D5728">
              <w:rPr>
                <w:rFonts w:eastAsia="Yu Gothic Light"/>
                <w:vertAlign w:val="superscript"/>
              </w:rPr>
              <w:footnoteReference w:id="5"/>
            </w:r>
          </w:p>
          <w:p w14:paraId="076BCE6D" w14:textId="77777777" w:rsidR="00103B1A" w:rsidRDefault="00103B1A" w:rsidP="00DF3F6B">
            <w:pPr>
              <w:numPr>
                <w:ilvl w:val="0"/>
                <w:numId w:val="235"/>
              </w:numPr>
              <w:spacing w:before="120" w:after="120"/>
              <w:ind w:left="318" w:hanging="283"/>
              <w:rPr>
                <w:rFonts w:eastAsia="Yu Gothic Light"/>
              </w:rPr>
            </w:pPr>
            <w:r>
              <w:rPr>
                <w:rFonts w:eastAsia="Yu Gothic Light"/>
              </w:rPr>
              <w:t>The service type</w:t>
            </w:r>
            <w:r w:rsidR="00891E17">
              <w:rPr>
                <w:rFonts w:eastAsia="Yu Gothic Light"/>
              </w:rPr>
              <w:t xml:space="preserve"> ‘Nursing care’</w:t>
            </w:r>
          </w:p>
          <w:p w14:paraId="38381158" w14:textId="12AADD83" w:rsidR="006B6969" w:rsidRPr="008D5728" w:rsidRDefault="00103B1A">
            <w:pPr>
              <w:numPr>
                <w:ilvl w:val="0"/>
                <w:numId w:val="235"/>
              </w:numPr>
              <w:spacing w:before="120" w:after="120"/>
              <w:ind w:left="318" w:hanging="283"/>
              <w:rPr>
                <w:rFonts w:eastAsia="Yu Gothic Light"/>
              </w:rPr>
            </w:pPr>
            <w:r>
              <w:rPr>
                <w:rFonts w:eastAsia="Yu Gothic Light"/>
              </w:rPr>
              <w:t>The service type</w:t>
            </w:r>
            <w:r w:rsidR="00172450">
              <w:rPr>
                <w:rFonts w:eastAsia="Yu Gothic Light"/>
              </w:rPr>
              <w:t xml:space="preserve"> ‘Therapeutic services for independent </w:t>
            </w:r>
            <w:r w:rsidR="00172450" w:rsidRPr="006B6969">
              <w:rPr>
                <w:rFonts w:eastAsia="Yu Gothic Light"/>
              </w:rPr>
              <w:t>living’</w:t>
            </w:r>
            <w:r w:rsidR="0017689D" w:rsidRPr="008D5728">
              <w:rPr>
                <w:rFonts w:eastAsia="Yu Gothic Light"/>
                <w:vertAlign w:val="superscript"/>
              </w:rPr>
              <w:footnoteReference w:id="6"/>
            </w:r>
          </w:p>
          <w:p w14:paraId="45F53144" w14:textId="438F8DDC" w:rsidR="005D728C" w:rsidRPr="008D5728" w:rsidRDefault="00522CE6" w:rsidP="00E475AF">
            <w:pPr>
              <w:spacing w:before="120" w:after="120"/>
              <w:ind w:left="35"/>
              <w:rPr>
                <w:rFonts w:eastAsia="Yu Gothic Light"/>
              </w:rPr>
            </w:pPr>
            <w:r>
              <w:rPr>
                <w:rFonts w:eastAsia="Yu Gothic Light"/>
                <w:i/>
                <w:iCs/>
              </w:rPr>
              <w:t>Note that all of the above may be accessed through TCP</w:t>
            </w:r>
          </w:p>
        </w:tc>
      </w:tr>
      <w:tr w:rsidR="00DC0074" w:rsidRPr="008D5728" w14:paraId="46ED06F8" w14:textId="77777777" w:rsidTr="00E87641">
        <w:tc>
          <w:tcPr>
            <w:tcW w:w="3124" w:type="dxa"/>
          </w:tcPr>
          <w:p w14:paraId="493ADDA1" w14:textId="77777777" w:rsidR="005D728C" w:rsidRPr="008D5728" w:rsidRDefault="005D728C" w:rsidP="005960D3">
            <w:pPr>
              <w:spacing w:before="120" w:after="120"/>
              <w:rPr>
                <w:rFonts w:eastAsia="Yu Gothic Light"/>
              </w:rPr>
            </w:pPr>
            <w:r w:rsidRPr="008D5728">
              <w:rPr>
                <w:rFonts w:eastAsia="Yu Gothic Light"/>
                <w:b/>
                <w:bCs/>
              </w:rPr>
              <w:t>6.</w:t>
            </w:r>
            <w:r w:rsidRPr="008D5728">
              <w:rPr>
                <w:rFonts w:eastAsia="Yu Gothic Light"/>
              </w:rPr>
              <w:t xml:space="preserve"> Requires support with rehabilitation or to gain a new skill or function (habilitation)</w:t>
            </w:r>
          </w:p>
        </w:tc>
        <w:tc>
          <w:tcPr>
            <w:tcW w:w="4536" w:type="dxa"/>
          </w:tcPr>
          <w:p w14:paraId="72554160" w14:textId="665D0386" w:rsidR="005D728C" w:rsidRPr="008D5728" w:rsidRDefault="00141EE5" w:rsidP="00E475AF">
            <w:pPr>
              <w:numPr>
                <w:ilvl w:val="0"/>
                <w:numId w:val="235"/>
              </w:numPr>
              <w:spacing w:before="120" w:after="120"/>
              <w:ind w:left="318" w:hanging="283"/>
              <w:rPr>
                <w:rFonts w:eastAsia="Yu Gothic Light"/>
              </w:rPr>
            </w:pPr>
            <w:r>
              <w:rPr>
                <w:rFonts w:eastAsia="Yu Gothic Light"/>
              </w:rPr>
              <w:t>the service type ‘Assistance with transition care’ (part of any approval for TCP)</w:t>
            </w:r>
          </w:p>
        </w:tc>
      </w:tr>
    </w:tbl>
    <w:p w14:paraId="10722E35"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Once an Assessment Delegate has considered which service types are needed and why, they need to record the reasons for their decision in the Notice of Decision</w:t>
      </w:r>
      <w:r w:rsidRPr="008D5728">
        <w:rPr>
          <w:rFonts w:eastAsia="Yu Gothic Light"/>
          <w:bCs/>
          <w:lang w:val="en-AU"/>
        </w:rPr>
        <w:t>.</w:t>
      </w:r>
      <w:r w:rsidRPr="008D5728">
        <w:rPr>
          <w:rFonts w:eastAsia="Yu Gothic Light"/>
          <w:lang w:val="en-AU"/>
        </w:rPr>
        <w:t xml:space="preserve"> Assessment Delegates will be required to delete the reasons which they consider do not apply from the list of reasons above.</w:t>
      </w:r>
    </w:p>
    <w:p w14:paraId="07635770" w14:textId="77777777" w:rsidR="005D728C" w:rsidRPr="008D5728" w:rsidRDefault="005D728C" w:rsidP="00622CFF">
      <w:pPr>
        <w:spacing w:before="240" w:after="240" w:line="240" w:lineRule="auto"/>
        <w:rPr>
          <w:rFonts w:eastAsia="Yu Gothic Light"/>
          <w:b/>
        </w:rPr>
      </w:pPr>
      <w:r w:rsidRPr="008D5728">
        <w:rPr>
          <w:rFonts w:eastAsia="Yu Gothic Light"/>
          <w:b/>
        </w:rPr>
        <w:t>Health services - examples</w:t>
      </w:r>
    </w:p>
    <w:p w14:paraId="091E0F4D" w14:textId="77777777" w:rsidR="005D728C" w:rsidRPr="008356C5" w:rsidRDefault="005D728C" w:rsidP="00622CFF">
      <w:pPr>
        <w:spacing w:before="240" w:after="240" w:line="240" w:lineRule="auto"/>
      </w:pPr>
      <w:r w:rsidRPr="008D5728">
        <w:rPr>
          <w:rFonts w:eastAsia="Yu Gothic Light"/>
        </w:rPr>
        <w:t xml:space="preserve">An example of a health service is physiotherapy or other services delivered by a registered health professional. </w:t>
      </w:r>
    </w:p>
    <w:p w14:paraId="613DA582" w14:textId="77777777" w:rsidR="005D728C" w:rsidRPr="008356C5" w:rsidRDefault="005D728C" w:rsidP="00622CFF">
      <w:pPr>
        <w:spacing w:before="240" w:after="240" w:line="240" w:lineRule="auto"/>
      </w:pPr>
      <w:r w:rsidRPr="008D5728">
        <w:rPr>
          <w:rFonts w:eastAsia="Yu Gothic Light"/>
        </w:rPr>
        <w:t>An example of approving access to a service because it is a ‘health service’ required ‘because of the individual’s impairment’ could be approving them for the service ‘Physiotherapy’ in the ‘Allied health and therapy service type’. This is because the physiotherapy is required to support them with managing their diagnosis of Motor Neuron disease.</w:t>
      </w:r>
    </w:p>
    <w:p w14:paraId="3B2D9A21" w14:textId="77777777" w:rsidR="005D728C" w:rsidRPr="008D5728" w:rsidRDefault="005D728C" w:rsidP="00622CFF">
      <w:pPr>
        <w:spacing w:before="240" w:after="240" w:line="240" w:lineRule="auto"/>
        <w:rPr>
          <w:rFonts w:eastAsia="Yu Gothic Light"/>
          <w:b/>
        </w:rPr>
      </w:pPr>
      <w:r w:rsidRPr="008D5728">
        <w:rPr>
          <w:rFonts w:eastAsia="Yu Gothic Light"/>
          <w:b/>
        </w:rPr>
        <w:t>Habilitation and rehabilitation services - examples</w:t>
      </w:r>
    </w:p>
    <w:p w14:paraId="5F7EC83E" w14:textId="77777777" w:rsidR="005D728C" w:rsidRPr="008356C5" w:rsidRDefault="005D728C" w:rsidP="00622CFF">
      <w:pPr>
        <w:spacing w:before="240" w:after="240" w:line="240" w:lineRule="auto"/>
      </w:pPr>
      <w:r w:rsidRPr="008D5728">
        <w:rPr>
          <w:rFonts w:eastAsia="Yu Gothic Light"/>
        </w:rPr>
        <w:t>Allied health services such as occupational therapy or physiotherapy are examples of habilitiation or rehabilitation services.</w:t>
      </w:r>
    </w:p>
    <w:p w14:paraId="1DD4CDB7" w14:textId="77777777" w:rsidR="005D728C" w:rsidRPr="008356C5" w:rsidRDefault="005D728C" w:rsidP="00622CFF">
      <w:pPr>
        <w:spacing w:before="240" w:after="240" w:line="240" w:lineRule="auto"/>
      </w:pPr>
      <w:r w:rsidRPr="008D5728">
        <w:rPr>
          <w:rFonts w:eastAsia="Yu Gothic Light"/>
        </w:rPr>
        <w:t>An example of approving access to a service because it is a ‘habilitation or rehabilitation service’ could be approving them for ‘Acupuncture’ in the ‘Therapeutic services for independent living’ service type, to support them in rehabilitation following a stroke.</w:t>
      </w:r>
    </w:p>
    <w:p w14:paraId="07E49B22" w14:textId="7954FA1A" w:rsidR="005D728C" w:rsidRPr="008D5728" w:rsidRDefault="005D728C" w:rsidP="00CC6081">
      <w:pPr>
        <w:pStyle w:val="H4"/>
      </w:pPr>
      <w:r w:rsidRPr="008D5728">
        <w:t>Additional eligibility requirements</w:t>
      </w:r>
    </w:p>
    <w:p w14:paraId="68201CEC" w14:textId="34F989A6"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approving a person under section 65(1) because section 67 applies to them, Assessment Delegates will also need to turn their mind to the additional eligibility requirements in the </w:t>
      </w:r>
      <w:r w:rsidR="00A76871">
        <w:rPr>
          <w:rFonts w:eastAsia="Yu Gothic Light"/>
          <w:lang w:val="en-AU"/>
        </w:rPr>
        <w:t xml:space="preserve">Aged Care </w:t>
      </w:r>
      <w:r w:rsidRPr="008D5728">
        <w:rPr>
          <w:rFonts w:eastAsia="Yu Gothic Light"/>
          <w:lang w:val="en-AU"/>
        </w:rPr>
        <w:t>Rules</w:t>
      </w:r>
      <w:r w:rsidR="00A76871">
        <w:rPr>
          <w:rFonts w:eastAsia="Yu Gothic Light"/>
          <w:lang w:val="en-AU"/>
        </w:rPr>
        <w:t xml:space="preserve"> 2025</w:t>
      </w:r>
      <w:r w:rsidRPr="008D5728">
        <w:rPr>
          <w:rFonts w:eastAsia="Yu Gothic Light"/>
          <w:lang w:val="en-AU"/>
        </w:rPr>
        <w:t xml:space="preserve"> for the service groups the person is actually approved for. This is required because of section 65(3) of the </w:t>
      </w:r>
      <w:r w:rsidR="00A76871" w:rsidRPr="00BE1072">
        <w:rPr>
          <w:rFonts w:eastAsia="Yu Gothic Light"/>
          <w:i/>
          <w:lang w:val="en-AU"/>
        </w:rPr>
        <w:t xml:space="preserve">Aged Care </w:t>
      </w:r>
      <w:r w:rsidRPr="00BE1072">
        <w:rPr>
          <w:rFonts w:eastAsia="Yu Gothic Light"/>
          <w:i/>
          <w:lang w:val="en-AU"/>
        </w:rPr>
        <w:t>Act</w:t>
      </w:r>
      <w:r w:rsidR="00A76871" w:rsidRPr="00BE1072">
        <w:rPr>
          <w:rFonts w:eastAsia="Yu Gothic Light"/>
          <w:i/>
          <w:lang w:val="en-AU"/>
        </w:rPr>
        <w:t xml:space="preserve"> 2024</w:t>
      </w:r>
      <w:r w:rsidRPr="008D5728">
        <w:rPr>
          <w:rFonts w:eastAsia="Yu Gothic Light"/>
          <w:lang w:val="en-AU"/>
        </w:rPr>
        <w:t xml:space="preserve">. </w:t>
      </w:r>
    </w:p>
    <w:p w14:paraId="33028511"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additional requirements for each service group are set out below.</w:t>
      </w:r>
    </w:p>
    <w:p w14:paraId="02B7B645" w14:textId="77777777" w:rsidR="005D728C" w:rsidRPr="008D5728" w:rsidRDefault="005D728C" w:rsidP="00622CFF">
      <w:pPr>
        <w:spacing w:before="240" w:after="240" w:line="240" w:lineRule="auto"/>
        <w:rPr>
          <w:rFonts w:eastAsia="Yu Gothic Light"/>
          <w:b/>
          <w:bCs/>
          <w:color w:val="1E1444"/>
        </w:rPr>
      </w:pPr>
      <w:r w:rsidRPr="008D5728">
        <w:rPr>
          <w:rFonts w:eastAsia="Yu Gothic Light"/>
          <w:b/>
          <w:bCs/>
          <w:color w:val="1E1444"/>
        </w:rPr>
        <w:t>Additional requirements for home support</w:t>
      </w:r>
    </w:p>
    <w:p w14:paraId="5CD8276B" w14:textId="7B083E9D"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The system will do the work in calculating the score necessary to determine whether an older person has met the additional eligibility requirements for the home support service group listed below. This calculation is made by drawing on the responses from within the </w:t>
      </w:r>
      <w:r w:rsidR="009C3745">
        <w:rPr>
          <w:rFonts w:eastAsia="Yu Gothic Light"/>
          <w:lang w:val="en-AU"/>
        </w:rPr>
        <w:t>Integrated Assessment Tool (</w:t>
      </w:r>
      <w:r w:rsidRPr="008D5728">
        <w:rPr>
          <w:rFonts w:eastAsia="Yu Gothic Light"/>
          <w:lang w:val="en-AU"/>
        </w:rPr>
        <w:t>IAT</w:t>
      </w:r>
      <w:r w:rsidR="009C3745">
        <w:rPr>
          <w:rFonts w:eastAsia="Yu Gothic Light"/>
          <w:lang w:val="en-AU"/>
        </w:rPr>
        <w:t>)</w:t>
      </w:r>
      <w:r w:rsidRPr="008D5728">
        <w:rPr>
          <w:rFonts w:eastAsia="Yu Gothic Light"/>
          <w:lang w:val="en-AU"/>
        </w:rPr>
        <w:t xml:space="preserve">. </w:t>
      </w:r>
      <w:r w:rsidR="001235A4">
        <w:rPr>
          <w:rFonts w:eastAsia="Yu Gothic Light"/>
          <w:lang w:val="en-AU"/>
        </w:rPr>
        <w:t>The</w:t>
      </w:r>
      <w:r w:rsidRPr="008D5728">
        <w:rPr>
          <w:rFonts w:eastAsia="Yu Gothic Light"/>
          <w:lang w:val="en-AU"/>
        </w:rPr>
        <w:t xml:space="preserve"> Assessment Delegate is to ensure information is accurately recorded in the IAT and that you have consideration for legislative eligibility criteria even though the score is calculated by the system.</w:t>
      </w:r>
    </w:p>
    <w:p w14:paraId="520FE3A7" w14:textId="67112E0E" w:rsidR="005D728C" w:rsidRDefault="005D728C" w:rsidP="00622CFF">
      <w:pPr>
        <w:spacing w:before="240" w:after="240" w:line="240" w:lineRule="auto"/>
        <w:rPr>
          <w:rFonts w:eastAsia="Yu Gothic Light"/>
          <w:lang w:val="en-AU"/>
        </w:rPr>
      </w:pPr>
      <w:r w:rsidRPr="008D5728">
        <w:rPr>
          <w:rFonts w:eastAsia="Yu Gothic Light"/>
          <w:lang w:val="en-AU"/>
        </w:rPr>
        <w:t>The additional requirements for the home support service group are</w:t>
      </w:r>
      <w:r w:rsidR="009A7911">
        <w:rPr>
          <w:rFonts w:eastAsia="Yu Gothic Light"/>
          <w:lang w:val="en-AU"/>
        </w:rPr>
        <w:t xml:space="preserve"> that </w:t>
      </w:r>
      <w:r w:rsidRPr="008D5728">
        <w:rPr>
          <w:rFonts w:eastAsia="Yu Gothic Light"/>
          <w:lang w:val="en-AU"/>
        </w:rPr>
        <w:t xml:space="preserve">the person meets any of the ‘score’ requirements for the particular questions in the IAT, </w:t>
      </w:r>
      <w:r w:rsidR="009A7911">
        <w:rPr>
          <w:rFonts w:eastAsia="Yu Gothic Light"/>
          <w:lang w:val="en-AU"/>
        </w:rPr>
        <w:t>outlined in the table below.</w:t>
      </w:r>
      <w:r w:rsidRPr="008D5728">
        <w:rPr>
          <w:rFonts w:eastAsia="Yu Gothic Light"/>
          <w:lang w:val="en-AU"/>
        </w:rPr>
        <w:t> </w:t>
      </w:r>
    </w:p>
    <w:p w14:paraId="469D63A5" w14:textId="2ACB1034" w:rsidR="005D728C" w:rsidRPr="008D5728" w:rsidRDefault="005D728C" w:rsidP="00622CFF">
      <w:pPr>
        <w:pStyle w:val="Caption"/>
        <w:spacing w:before="240" w:after="240"/>
        <w:rPr>
          <w:rFonts w:eastAsia="Yu Gothic Light"/>
          <w:lang w:val="en-AU"/>
        </w:rPr>
      </w:pPr>
      <w:r>
        <w:rPr>
          <w:rFonts w:eastAsia="Yu Gothic Light"/>
          <w:lang w:val="en-AU"/>
        </w:rPr>
        <w:t>Table 3</w:t>
      </w:r>
      <w:r w:rsidR="000C7B48">
        <w:rPr>
          <w:rFonts w:eastAsia="Yu Gothic Light"/>
          <w:lang w:val="en-AU"/>
        </w:rPr>
        <w:t>8</w:t>
      </w:r>
      <w:r>
        <w:rPr>
          <w:rFonts w:eastAsia="Yu Gothic Light"/>
          <w:lang w:val="en-AU"/>
        </w:rPr>
        <w:t>. Additional eligibility requirements for the home support service group under the Rules</w:t>
      </w:r>
    </w:p>
    <w:tbl>
      <w:tblPr>
        <w:tblStyle w:val="TableGrid"/>
        <w:tblW w:w="0" w:type="auto"/>
        <w:tblLook w:val="04A0" w:firstRow="1" w:lastRow="0" w:firstColumn="1" w:lastColumn="0" w:noHBand="0" w:noVBand="1"/>
        <w:tblCaption w:val="Additional eligibility requirements for the home support service group under the Aged Care Rules"/>
      </w:tblPr>
      <w:tblGrid>
        <w:gridCol w:w="4508"/>
        <w:gridCol w:w="4508"/>
      </w:tblGrid>
      <w:tr w:rsidR="005D728C" w:rsidRPr="008D5728" w14:paraId="7C8B065F" w14:textId="77777777">
        <w:tc>
          <w:tcPr>
            <w:tcW w:w="4508" w:type="dxa"/>
            <w:shd w:val="clear" w:color="auto" w:fill="002060"/>
          </w:tcPr>
          <w:p w14:paraId="1F0492F3" w14:textId="77777777" w:rsidR="005D728C" w:rsidRPr="008D5728" w:rsidRDefault="005D728C" w:rsidP="00622CFF">
            <w:pPr>
              <w:spacing w:before="240" w:after="240"/>
            </w:pPr>
            <w:r w:rsidRPr="008D5728">
              <w:t xml:space="preserve">A person has a total score of less than 20 for the questions in the IAT with the following headings: </w:t>
            </w:r>
          </w:p>
        </w:tc>
        <w:tc>
          <w:tcPr>
            <w:tcW w:w="4508" w:type="dxa"/>
          </w:tcPr>
          <w:p w14:paraId="0D863E3C" w14:textId="77777777" w:rsidR="005D728C" w:rsidRPr="008D5728" w:rsidRDefault="005D728C" w:rsidP="00DF3F6B">
            <w:pPr>
              <w:numPr>
                <w:ilvl w:val="0"/>
                <w:numId w:val="236"/>
              </w:numPr>
              <w:spacing w:before="240" w:after="240"/>
              <w:contextualSpacing/>
            </w:pPr>
            <w:r w:rsidRPr="008D5728">
              <w:t>Climb stairs</w:t>
            </w:r>
          </w:p>
          <w:p w14:paraId="720E41FC" w14:textId="77777777" w:rsidR="005D728C" w:rsidRPr="008D5728" w:rsidRDefault="005D728C" w:rsidP="00DF3F6B">
            <w:pPr>
              <w:numPr>
                <w:ilvl w:val="0"/>
                <w:numId w:val="236"/>
              </w:numPr>
              <w:spacing w:before="240" w:after="240"/>
              <w:contextualSpacing/>
            </w:pPr>
            <w:r w:rsidRPr="008D5728">
              <w:t xml:space="preserve">Eating </w:t>
            </w:r>
          </w:p>
          <w:p w14:paraId="2806579C" w14:textId="77777777" w:rsidR="005D728C" w:rsidRPr="008D5728" w:rsidRDefault="005D728C" w:rsidP="00DF3F6B">
            <w:pPr>
              <w:numPr>
                <w:ilvl w:val="0"/>
                <w:numId w:val="236"/>
              </w:numPr>
              <w:spacing w:before="240" w:after="240"/>
              <w:contextualSpacing/>
            </w:pPr>
            <w:r w:rsidRPr="008D5728">
              <w:t>Dressing</w:t>
            </w:r>
          </w:p>
          <w:p w14:paraId="165BC747" w14:textId="77777777" w:rsidR="005D728C" w:rsidRPr="008D5728" w:rsidRDefault="005D728C" w:rsidP="00DF3F6B">
            <w:pPr>
              <w:numPr>
                <w:ilvl w:val="0"/>
                <w:numId w:val="236"/>
              </w:numPr>
              <w:spacing w:before="240" w:after="240"/>
              <w:contextualSpacing/>
            </w:pPr>
            <w:r w:rsidRPr="008D5728">
              <w:t>Take a bath or shower</w:t>
            </w:r>
          </w:p>
          <w:p w14:paraId="59F8ACD5" w14:textId="77777777" w:rsidR="005D728C" w:rsidRPr="008D5728" w:rsidRDefault="005D728C" w:rsidP="00DF3F6B">
            <w:pPr>
              <w:numPr>
                <w:ilvl w:val="0"/>
                <w:numId w:val="236"/>
              </w:numPr>
              <w:spacing w:before="240" w:after="240"/>
              <w:contextualSpacing/>
            </w:pPr>
            <w:r w:rsidRPr="008D5728">
              <w:t xml:space="preserve">Grooming </w:t>
            </w:r>
          </w:p>
          <w:p w14:paraId="340B5081" w14:textId="77777777" w:rsidR="005D728C" w:rsidRPr="008D5728" w:rsidRDefault="005D728C" w:rsidP="00DF3F6B">
            <w:pPr>
              <w:numPr>
                <w:ilvl w:val="0"/>
                <w:numId w:val="236"/>
              </w:numPr>
              <w:spacing w:before="240" w:after="240"/>
              <w:contextualSpacing/>
            </w:pPr>
            <w:r w:rsidRPr="008D5728">
              <w:t xml:space="preserve">Transfers </w:t>
            </w:r>
          </w:p>
          <w:p w14:paraId="311C38A2" w14:textId="77777777" w:rsidR="005D728C" w:rsidRPr="008D5728" w:rsidRDefault="005D728C" w:rsidP="00DF3F6B">
            <w:pPr>
              <w:numPr>
                <w:ilvl w:val="0"/>
                <w:numId w:val="236"/>
              </w:numPr>
              <w:spacing w:before="240" w:after="240"/>
              <w:contextualSpacing/>
            </w:pPr>
            <w:r w:rsidRPr="008D5728">
              <w:t xml:space="preserve">Toilet use </w:t>
            </w:r>
          </w:p>
          <w:p w14:paraId="22B57B8A" w14:textId="77777777" w:rsidR="005D728C" w:rsidRPr="008D5728" w:rsidRDefault="005D728C" w:rsidP="00DF3F6B">
            <w:pPr>
              <w:numPr>
                <w:ilvl w:val="0"/>
                <w:numId w:val="236"/>
              </w:numPr>
              <w:spacing w:before="240" w:after="240"/>
              <w:contextualSpacing/>
            </w:pPr>
            <w:r w:rsidRPr="008D5728">
              <w:t>Toileting – bladder</w:t>
            </w:r>
          </w:p>
          <w:p w14:paraId="27512B0F" w14:textId="77777777" w:rsidR="005D728C" w:rsidRPr="008D5728" w:rsidRDefault="005D728C" w:rsidP="00DF3F6B">
            <w:pPr>
              <w:numPr>
                <w:ilvl w:val="0"/>
                <w:numId w:val="236"/>
              </w:numPr>
              <w:spacing w:before="240" w:after="240"/>
              <w:contextualSpacing/>
            </w:pPr>
            <w:r w:rsidRPr="008D5728">
              <w:t xml:space="preserve">Toileting – bowels </w:t>
            </w:r>
          </w:p>
          <w:p w14:paraId="6FEDB4B0" w14:textId="77777777" w:rsidR="005D728C" w:rsidRPr="008D5728" w:rsidRDefault="005D728C" w:rsidP="00DF3F6B">
            <w:pPr>
              <w:numPr>
                <w:ilvl w:val="0"/>
                <w:numId w:val="236"/>
              </w:numPr>
              <w:spacing w:before="240" w:after="240"/>
              <w:contextualSpacing/>
            </w:pPr>
            <w:r w:rsidRPr="008D5728">
              <w:t xml:space="preserve">Walk </w:t>
            </w:r>
          </w:p>
          <w:p w14:paraId="0D39C6C4" w14:textId="35754677" w:rsidR="005D728C" w:rsidRPr="008D5728" w:rsidRDefault="005D728C" w:rsidP="00BE1072">
            <w:pPr>
              <w:spacing w:before="240" w:after="240"/>
              <w:ind w:left="1080"/>
              <w:contextualSpacing/>
            </w:pPr>
          </w:p>
        </w:tc>
      </w:tr>
      <w:tr w:rsidR="005D728C" w:rsidRPr="008D5728" w14:paraId="6331FB54" w14:textId="77777777">
        <w:tc>
          <w:tcPr>
            <w:tcW w:w="9016" w:type="dxa"/>
            <w:gridSpan w:val="2"/>
            <w:shd w:val="clear" w:color="auto" w:fill="002060"/>
          </w:tcPr>
          <w:p w14:paraId="7C805B0D" w14:textId="77777777" w:rsidR="005D728C" w:rsidRPr="008D5728" w:rsidRDefault="005D728C" w:rsidP="00622CFF">
            <w:pPr>
              <w:spacing w:before="240" w:after="240"/>
              <w:jc w:val="center"/>
            </w:pPr>
            <w:r w:rsidRPr="008D5728">
              <w:t>OR</w:t>
            </w:r>
          </w:p>
        </w:tc>
      </w:tr>
      <w:tr w:rsidR="005D728C" w:rsidRPr="008D5728" w14:paraId="5F6B995C" w14:textId="77777777">
        <w:tc>
          <w:tcPr>
            <w:tcW w:w="4508" w:type="dxa"/>
            <w:shd w:val="clear" w:color="auto" w:fill="002060"/>
          </w:tcPr>
          <w:p w14:paraId="0F83BE3A" w14:textId="77777777" w:rsidR="005D728C" w:rsidRPr="008D5728" w:rsidRDefault="005D728C" w:rsidP="00622CFF">
            <w:pPr>
              <w:spacing w:before="240" w:after="240"/>
            </w:pPr>
            <w:r w:rsidRPr="008D5728">
              <w:t xml:space="preserve">The person has a total score of less than 14 for the questions in the IAT with the following headings: </w:t>
            </w:r>
          </w:p>
        </w:tc>
        <w:tc>
          <w:tcPr>
            <w:tcW w:w="4508" w:type="dxa"/>
          </w:tcPr>
          <w:p w14:paraId="4C258273" w14:textId="77777777" w:rsidR="005D728C" w:rsidRPr="008D5728" w:rsidRDefault="005D728C" w:rsidP="00DF3F6B">
            <w:pPr>
              <w:numPr>
                <w:ilvl w:val="0"/>
                <w:numId w:val="237"/>
              </w:numPr>
              <w:spacing w:before="240" w:after="240"/>
              <w:contextualSpacing/>
            </w:pPr>
            <w:r w:rsidRPr="008D5728">
              <w:t>Get to places out of walking distance</w:t>
            </w:r>
          </w:p>
          <w:p w14:paraId="560A4546" w14:textId="77777777" w:rsidR="005D728C" w:rsidRPr="008D5728" w:rsidRDefault="005D728C" w:rsidP="00DF3F6B">
            <w:pPr>
              <w:numPr>
                <w:ilvl w:val="0"/>
                <w:numId w:val="237"/>
              </w:numPr>
              <w:spacing w:before="240" w:after="240"/>
              <w:contextualSpacing/>
            </w:pPr>
            <w:r w:rsidRPr="008D5728">
              <w:t xml:space="preserve">Undertake housework (heavy/moderate) </w:t>
            </w:r>
          </w:p>
          <w:p w14:paraId="631083EA" w14:textId="77777777" w:rsidR="005D728C" w:rsidRPr="008D5728" w:rsidRDefault="005D728C" w:rsidP="00DF3F6B">
            <w:pPr>
              <w:numPr>
                <w:ilvl w:val="0"/>
                <w:numId w:val="237"/>
              </w:numPr>
              <w:spacing w:before="240" w:after="240"/>
              <w:contextualSpacing/>
            </w:pPr>
            <w:r w:rsidRPr="008D5728">
              <w:t xml:space="preserve">Go shopping (assuming transportation) </w:t>
            </w:r>
          </w:p>
          <w:p w14:paraId="0BA1A105" w14:textId="77777777" w:rsidR="005D728C" w:rsidRPr="008D5728" w:rsidRDefault="005D728C" w:rsidP="00DF3F6B">
            <w:pPr>
              <w:numPr>
                <w:ilvl w:val="0"/>
                <w:numId w:val="237"/>
              </w:numPr>
              <w:spacing w:before="240" w:after="240"/>
              <w:contextualSpacing/>
            </w:pPr>
            <w:r w:rsidRPr="008D5728">
              <w:t xml:space="preserve">Prepare meals </w:t>
            </w:r>
          </w:p>
          <w:p w14:paraId="52AAFDB4" w14:textId="77777777" w:rsidR="005D728C" w:rsidRPr="008D5728" w:rsidRDefault="005D728C" w:rsidP="00DF3F6B">
            <w:pPr>
              <w:numPr>
                <w:ilvl w:val="0"/>
                <w:numId w:val="237"/>
              </w:numPr>
              <w:spacing w:before="240" w:after="240"/>
              <w:contextualSpacing/>
            </w:pPr>
            <w:r w:rsidRPr="008D5728">
              <w:t xml:space="preserve">Take medicine </w:t>
            </w:r>
          </w:p>
          <w:p w14:paraId="04D3C7C6" w14:textId="77777777" w:rsidR="005D728C" w:rsidRPr="008D5728" w:rsidRDefault="005D728C" w:rsidP="00DF3F6B">
            <w:pPr>
              <w:numPr>
                <w:ilvl w:val="0"/>
                <w:numId w:val="237"/>
              </w:numPr>
              <w:spacing w:before="240" w:after="240"/>
              <w:contextualSpacing/>
            </w:pPr>
            <w:r w:rsidRPr="008D5728">
              <w:t xml:space="preserve">Handle money </w:t>
            </w:r>
          </w:p>
          <w:p w14:paraId="4BA3A130" w14:textId="77777777" w:rsidR="005D728C" w:rsidRPr="008D5728" w:rsidRDefault="005D728C" w:rsidP="00DF3F6B">
            <w:pPr>
              <w:numPr>
                <w:ilvl w:val="0"/>
                <w:numId w:val="237"/>
              </w:numPr>
              <w:spacing w:before="240" w:after="240"/>
              <w:contextualSpacing/>
            </w:pPr>
            <w:r w:rsidRPr="008D5728">
              <w:t xml:space="preserve">Use the telephone </w:t>
            </w:r>
          </w:p>
        </w:tc>
      </w:tr>
      <w:tr w:rsidR="005D728C" w:rsidRPr="008D5728" w14:paraId="6B8E46B0" w14:textId="77777777">
        <w:tc>
          <w:tcPr>
            <w:tcW w:w="9016" w:type="dxa"/>
            <w:gridSpan w:val="2"/>
            <w:shd w:val="clear" w:color="auto" w:fill="002060"/>
          </w:tcPr>
          <w:p w14:paraId="3DE73FFB" w14:textId="77777777" w:rsidR="005D728C" w:rsidRPr="008D5728" w:rsidRDefault="005D728C" w:rsidP="00622CFF">
            <w:pPr>
              <w:spacing w:before="240" w:after="240"/>
              <w:jc w:val="center"/>
            </w:pPr>
            <w:r w:rsidRPr="008D5728">
              <w:t>OR</w:t>
            </w:r>
          </w:p>
        </w:tc>
      </w:tr>
      <w:tr w:rsidR="005D728C" w:rsidRPr="008D5728" w14:paraId="5B6B2A65" w14:textId="77777777">
        <w:tc>
          <w:tcPr>
            <w:tcW w:w="4508" w:type="dxa"/>
            <w:shd w:val="clear" w:color="auto" w:fill="002060"/>
          </w:tcPr>
          <w:p w14:paraId="4C3ACB38" w14:textId="77777777" w:rsidR="005D728C" w:rsidRPr="008D5728" w:rsidRDefault="005D728C" w:rsidP="00622CFF">
            <w:pPr>
              <w:spacing w:before="240" w:after="240"/>
            </w:pPr>
            <w:r w:rsidRPr="008D5728">
              <w:t xml:space="preserve">The person has a score greater than zero for the questions in the sections of the IAT headed:  </w:t>
            </w:r>
          </w:p>
        </w:tc>
        <w:tc>
          <w:tcPr>
            <w:tcW w:w="4508" w:type="dxa"/>
          </w:tcPr>
          <w:p w14:paraId="0692F1CC" w14:textId="77777777" w:rsidR="005D728C" w:rsidRPr="008D5728" w:rsidRDefault="005D728C" w:rsidP="00DF3F6B">
            <w:pPr>
              <w:numPr>
                <w:ilvl w:val="0"/>
                <w:numId w:val="238"/>
              </w:numPr>
              <w:spacing w:before="240" w:after="240"/>
              <w:contextualSpacing/>
            </w:pPr>
            <w:r w:rsidRPr="008D5728">
              <w:t xml:space="preserve">Cognition </w:t>
            </w:r>
          </w:p>
          <w:p w14:paraId="4E52D967" w14:textId="77777777" w:rsidR="005D728C" w:rsidRPr="008D5728" w:rsidRDefault="005D728C" w:rsidP="00DF3F6B">
            <w:pPr>
              <w:numPr>
                <w:ilvl w:val="0"/>
                <w:numId w:val="238"/>
              </w:numPr>
              <w:spacing w:before="240" w:after="240"/>
              <w:contextualSpacing/>
            </w:pPr>
            <w:r w:rsidRPr="008D5728">
              <w:t xml:space="preserve">Medical and Medications </w:t>
            </w:r>
          </w:p>
        </w:tc>
      </w:tr>
      <w:tr w:rsidR="005D728C" w:rsidRPr="008D5728" w14:paraId="58130AFB" w14:textId="77777777">
        <w:tc>
          <w:tcPr>
            <w:tcW w:w="9016" w:type="dxa"/>
            <w:gridSpan w:val="2"/>
            <w:shd w:val="clear" w:color="auto" w:fill="002060"/>
          </w:tcPr>
          <w:p w14:paraId="394646B3" w14:textId="77777777" w:rsidR="005D728C" w:rsidRPr="008D5728" w:rsidRDefault="005D728C" w:rsidP="00622CFF">
            <w:pPr>
              <w:spacing w:before="240" w:after="240"/>
              <w:jc w:val="center"/>
            </w:pPr>
            <w:r w:rsidRPr="008D5728">
              <w:t>OR</w:t>
            </w:r>
          </w:p>
        </w:tc>
      </w:tr>
      <w:tr w:rsidR="005D728C" w:rsidRPr="008D5728" w14:paraId="4D51C706" w14:textId="77777777">
        <w:tc>
          <w:tcPr>
            <w:tcW w:w="4508" w:type="dxa"/>
            <w:shd w:val="clear" w:color="auto" w:fill="002060"/>
          </w:tcPr>
          <w:p w14:paraId="6D9923BC" w14:textId="77777777" w:rsidR="005D728C" w:rsidRPr="008D5728" w:rsidRDefault="005D728C" w:rsidP="00622CFF">
            <w:pPr>
              <w:spacing w:before="240" w:after="240"/>
            </w:pPr>
            <w:r w:rsidRPr="008D5728">
              <w:t xml:space="preserve">The individual has a score greater than zero for questions in the section of the IAT headed: </w:t>
            </w:r>
          </w:p>
        </w:tc>
        <w:tc>
          <w:tcPr>
            <w:tcW w:w="4508" w:type="dxa"/>
          </w:tcPr>
          <w:p w14:paraId="26FCDA5C" w14:textId="77777777" w:rsidR="005D728C" w:rsidRPr="008D5728" w:rsidRDefault="005D728C" w:rsidP="00DF3F6B">
            <w:pPr>
              <w:numPr>
                <w:ilvl w:val="0"/>
                <w:numId w:val="239"/>
              </w:numPr>
              <w:spacing w:before="240" w:after="240"/>
              <w:contextualSpacing/>
            </w:pPr>
            <w:r w:rsidRPr="008D5728">
              <w:t xml:space="preserve">Psychological </w:t>
            </w:r>
          </w:p>
        </w:tc>
      </w:tr>
      <w:tr w:rsidR="005D728C" w:rsidRPr="008D5728" w14:paraId="0941DE42" w14:textId="77777777">
        <w:tc>
          <w:tcPr>
            <w:tcW w:w="9016" w:type="dxa"/>
            <w:gridSpan w:val="2"/>
            <w:shd w:val="clear" w:color="auto" w:fill="002060"/>
          </w:tcPr>
          <w:p w14:paraId="554D1595" w14:textId="77777777" w:rsidR="005D728C" w:rsidRPr="008D5728" w:rsidRDefault="005D728C" w:rsidP="00622CFF">
            <w:pPr>
              <w:spacing w:before="240" w:after="240"/>
              <w:jc w:val="center"/>
            </w:pPr>
            <w:r w:rsidRPr="008D5728">
              <w:t>OR</w:t>
            </w:r>
          </w:p>
        </w:tc>
      </w:tr>
      <w:tr w:rsidR="005D728C" w:rsidRPr="008D5728" w14:paraId="455FEFCF" w14:textId="77777777">
        <w:tc>
          <w:tcPr>
            <w:tcW w:w="4508" w:type="dxa"/>
            <w:shd w:val="clear" w:color="auto" w:fill="002060"/>
          </w:tcPr>
          <w:p w14:paraId="3EF83762" w14:textId="77777777" w:rsidR="005D728C" w:rsidRPr="008D5728" w:rsidRDefault="005D728C" w:rsidP="00622CFF">
            <w:pPr>
              <w:spacing w:before="240" w:after="240"/>
            </w:pPr>
            <w:r w:rsidRPr="008D5728">
              <w:t xml:space="preserve">The individual has a score greater than zero for the questions in the section of the IAT headed:  </w:t>
            </w:r>
          </w:p>
        </w:tc>
        <w:tc>
          <w:tcPr>
            <w:tcW w:w="4508" w:type="dxa"/>
          </w:tcPr>
          <w:p w14:paraId="53718749" w14:textId="77777777" w:rsidR="005D728C" w:rsidRPr="008D5728" w:rsidRDefault="005D728C" w:rsidP="00DF3F6B">
            <w:pPr>
              <w:numPr>
                <w:ilvl w:val="0"/>
                <w:numId w:val="239"/>
              </w:numPr>
              <w:spacing w:before="240" w:after="240"/>
              <w:contextualSpacing/>
            </w:pPr>
            <w:r w:rsidRPr="008D5728">
              <w:t>Physical, Personal Health or Frailty</w:t>
            </w:r>
          </w:p>
        </w:tc>
      </w:tr>
    </w:tbl>
    <w:p w14:paraId="19540184" w14:textId="77777777" w:rsidR="005D728C" w:rsidRPr="008D5728" w:rsidRDefault="005D728C" w:rsidP="00622CFF">
      <w:pPr>
        <w:spacing w:before="240" w:after="240" w:line="240" w:lineRule="auto"/>
        <w:rPr>
          <w:rFonts w:eastAsia="Yu Gothic Light"/>
          <w:b/>
          <w:highlight w:val="yellow"/>
        </w:rPr>
      </w:pPr>
      <w:r w:rsidRPr="008D5728">
        <w:rPr>
          <w:rFonts w:eastAsia="Yu Gothic Light"/>
          <w:b/>
          <w:lang w:val="en-AU"/>
        </w:rPr>
        <w:t>Additional requirements for assistive technology and home modifications: </w:t>
      </w:r>
    </w:p>
    <w:p w14:paraId="46CADDF9" w14:textId="77777777" w:rsidR="005D728C" w:rsidRDefault="005D728C" w:rsidP="00DF3F6B">
      <w:pPr>
        <w:numPr>
          <w:ilvl w:val="0"/>
          <w:numId w:val="239"/>
        </w:numPr>
        <w:spacing w:before="240" w:after="240" w:line="240" w:lineRule="auto"/>
        <w:contextualSpacing/>
        <w:rPr>
          <w:rFonts w:eastAsia="Yu Gothic Light"/>
          <w:lang w:val="en-AU"/>
        </w:rPr>
      </w:pPr>
      <w:r w:rsidRPr="008D5728">
        <w:rPr>
          <w:rFonts w:eastAsia="Yu Gothic Light"/>
          <w:lang w:val="en-AU"/>
        </w:rPr>
        <w:t>the individual is also approved for the home support service group. </w:t>
      </w:r>
    </w:p>
    <w:p w14:paraId="2D4E4D27" w14:textId="2A423DDA" w:rsidR="005D728C" w:rsidRPr="008D5728" w:rsidRDefault="005D728C" w:rsidP="00C56CEC">
      <w:pPr>
        <w:pStyle w:val="H3"/>
      </w:pPr>
      <w:bookmarkStart w:id="614" w:name="_Toc402687366"/>
      <w:bookmarkStart w:id="615" w:name="_Toc199344502"/>
      <w:bookmarkStart w:id="616" w:name="_Toc199402633"/>
      <w:bookmarkStart w:id="617" w:name="_Ref212738703"/>
      <w:r w:rsidRPr="008D5728">
        <w:t xml:space="preserve">Section 68 – </w:t>
      </w:r>
      <w:bookmarkEnd w:id="614"/>
      <w:bookmarkEnd w:id="615"/>
      <w:bookmarkEnd w:id="616"/>
      <w:r w:rsidR="001235A4">
        <w:t>‘individuals with a sickness’</w:t>
      </w:r>
      <w:bookmarkEnd w:id="617"/>
    </w:p>
    <w:p w14:paraId="2FF294D4" w14:textId="30D7A863"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Section 68 is the pathway for </w:t>
      </w:r>
      <w:r w:rsidR="00125375">
        <w:rPr>
          <w:rFonts w:eastAsia="Yu Gothic Light"/>
          <w:lang w:val="en-AU"/>
        </w:rPr>
        <w:t>non</w:t>
      </w:r>
      <w:r w:rsidRPr="008D5728">
        <w:rPr>
          <w:rFonts w:eastAsia="Yu Gothic Light"/>
          <w:lang w:val="en-AU"/>
        </w:rPr>
        <w:t xml:space="preserve"> Aboriginal or Torres Strait Islander</w:t>
      </w:r>
      <w:r w:rsidR="00125375">
        <w:rPr>
          <w:rFonts w:eastAsia="Yu Gothic Light"/>
          <w:lang w:val="en-AU"/>
        </w:rPr>
        <w:t xml:space="preserve"> people</w:t>
      </w:r>
      <w:r w:rsidRPr="008D5728">
        <w:rPr>
          <w:rFonts w:eastAsia="Yu Gothic Light"/>
          <w:lang w:val="en-AU"/>
        </w:rPr>
        <w:t xml:space="preserve"> to be approved under section 65(1) for funded aged care services in residential care. </w:t>
      </w:r>
    </w:p>
    <w:p w14:paraId="084463AF" w14:textId="648FEDF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This covers the </w:t>
      </w:r>
      <w:r w:rsidRPr="00BE1072">
        <w:rPr>
          <w:rFonts w:eastAsia="Yu Gothic Light"/>
          <w:lang w:val="en-AU"/>
        </w:rPr>
        <w:t xml:space="preserve">residential care service group </w:t>
      </w:r>
      <w:r w:rsidRPr="008D5728">
        <w:rPr>
          <w:rFonts w:eastAsia="Yu Gothic Light"/>
          <w:lang w:val="en-AU"/>
        </w:rPr>
        <w:t xml:space="preserve">which includes both </w:t>
      </w:r>
      <w:r w:rsidRPr="00BE1072">
        <w:rPr>
          <w:rFonts w:eastAsia="Yu Gothic Light"/>
          <w:lang w:val="en-AU"/>
        </w:rPr>
        <w:t>permanent</w:t>
      </w:r>
      <w:r w:rsidRPr="008D5728">
        <w:rPr>
          <w:rFonts w:eastAsia="Yu Gothic Light"/>
          <w:lang w:val="en-AU"/>
        </w:rPr>
        <w:t xml:space="preserve"> (ongoing) and </w:t>
      </w:r>
      <w:r w:rsidRPr="00BE1072">
        <w:rPr>
          <w:rFonts w:eastAsia="Yu Gothic Light"/>
          <w:lang w:val="en-AU"/>
        </w:rPr>
        <w:t xml:space="preserve">respite </w:t>
      </w:r>
      <w:r w:rsidRPr="008D5728">
        <w:rPr>
          <w:rFonts w:eastAsia="Yu Gothic Light"/>
          <w:lang w:val="en-AU"/>
        </w:rPr>
        <w:t>(short-term) residential care. It also covers older people who will access funded aged care services through the residential care service group under the Transition Care Program (TCP). </w:t>
      </w:r>
    </w:p>
    <w:p w14:paraId="42B0DBC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Approving a person for the residential care service group because section 68 applies to them will automatically approve them for all </w:t>
      </w:r>
      <w:r w:rsidRPr="00BE1072">
        <w:rPr>
          <w:rFonts w:eastAsia="Yu Gothic Light"/>
          <w:lang w:val="en-AU"/>
        </w:rPr>
        <w:t>residential care service types</w:t>
      </w:r>
      <w:r w:rsidRPr="008D5728">
        <w:rPr>
          <w:rFonts w:eastAsia="Yu Gothic Light"/>
          <w:lang w:val="en-AU"/>
        </w:rPr>
        <w:t>, including the services under those types. </w:t>
      </w:r>
    </w:p>
    <w:p w14:paraId="7534602F" w14:textId="2D7331F9" w:rsidR="00E607CB" w:rsidRDefault="00E607CB" w:rsidP="00E607CB">
      <w:pPr>
        <w:spacing w:before="240" w:after="240" w:line="240" w:lineRule="auto"/>
        <w:rPr>
          <w:rFonts w:eastAsia="Yu Gothic Light"/>
          <w:lang w:val="en-AU"/>
        </w:rPr>
      </w:pPr>
      <w:r>
        <w:rPr>
          <w:rFonts w:eastAsia="Yu Gothic Light"/>
          <w:lang w:val="en-AU"/>
        </w:rPr>
        <w:t xml:space="preserve">Figure </w:t>
      </w:r>
      <w:r w:rsidR="006A1ABE">
        <w:rPr>
          <w:rFonts w:eastAsia="Yu Gothic Light"/>
          <w:lang w:val="en-AU"/>
        </w:rPr>
        <w:t>10</w:t>
      </w:r>
      <w:r>
        <w:rPr>
          <w:rFonts w:eastAsia="Yu Gothic Light"/>
          <w:lang w:val="en-AU"/>
        </w:rPr>
        <w:t xml:space="preserve"> below gives an overview of the section 68 pathway to approval to access the residential care service group.</w:t>
      </w:r>
    </w:p>
    <w:p w14:paraId="755AD805" w14:textId="421ECF3C" w:rsidR="00E607CB" w:rsidRDefault="00196B2D" w:rsidP="00E607CB">
      <w:pPr>
        <w:spacing w:before="240" w:after="240" w:line="240" w:lineRule="auto"/>
        <w:rPr>
          <w:rFonts w:eastAsia="Yu Gothic Light"/>
          <w:lang w:val="en-AU"/>
        </w:rPr>
      </w:pPr>
      <w:r>
        <w:rPr>
          <w:noProof/>
          <w14:ligatures w14:val="standardContextual"/>
        </w:rPr>
        <w:drawing>
          <wp:inline distT="0" distB="0" distL="0" distR="0" wp14:anchorId="33011B0C" wp14:editId="26BD0B32">
            <wp:extent cx="5731510" cy="1349375"/>
            <wp:effectExtent l="0" t="0" r="2540" b="3175"/>
            <wp:docPr id="1853561986" name="Picture 1" descr="Overview of section 68 pathway to approval to access the residential care service group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1986" name="Picture 1" descr="Overview of section 68 pathway to approval to access the residential care service group under the Aged Care Act 2024"/>
                    <pic:cNvPicPr/>
                  </pic:nvPicPr>
                  <pic:blipFill>
                    <a:blip r:embed="rId231"/>
                    <a:stretch>
                      <a:fillRect/>
                    </a:stretch>
                  </pic:blipFill>
                  <pic:spPr>
                    <a:xfrm>
                      <a:off x="0" y="0"/>
                      <a:ext cx="5731510" cy="1349375"/>
                    </a:xfrm>
                    <a:prstGeom prst="rect">
                      <a:avLst/>
                    </a:prstGeom>
                  </pic:spPr>
                </pic:pic>
              </a:graphicData>
            </a:graphic>
          </wp:inline>
        </w:drawing>
      </w:r>
    </w:p>
    <w:p w14:paraId="391E2CC8" w14:textId="0C2D36F1" w:rsidR="00E607CB" w:rsidRPr="00FC646F" w:rsidRDefault="00E607CB" w:rsidP="00E607CB">
      <w:pPr>
        <w:pStyle w:val="Caption"/>
        <w:spacing w:before="240" w:after="240"/>
        <w:rPr>
          <w:i/>
          <w:sz w:val="18"/>
          <w:szCs w:val="14"/>
        </w:rPr>
      </w:pPr>
      <w:r w:rsidRPr="001F73BA">
        <w:rPr>
          <w:b w:val="0"/>
          <w:bCs/>
          <w:i/>
          <w:iCs w:val="0"/>
          <w:sz w:val="18"/>
          <w:szCs w:val="14"/>
        </w:rPr>
        <w:t xml:space="preserve">Figure </w:t>
      </w:r>
      <w:r w:rsidR="006A1ABE">
        <w:rPr>
          <w:b w:val="0"/>
          <w:bCs/>
          <w:i/>
          <w:iCs w:val="0"/>
          <w:sz w:val="18"/>
          <w:szCs w:val="14"/>
        </w:rPr>
        <w:t>10</w:t>
      </w:r>
      <w:r>
        <w:rPr>
          <w:b w:val="0"/>
          <w:bCs/>
          <w:i/>
          <w:iCs w:val="0"/>
          <w:sz w:val="18"/>
          <w:szCs w:val="14"/>
        </w:rPr>
        <w:t xml:space="preserve">– Overview of section 68 pathway to access approval </w:t>
      </w:r>
      <w:r w:rsidR="00C92442">
        <w:rPr>
          <w:b w:val="0"/>
          <w:bCs/>
          <w:i/>
          <w:iCs w:val="0"/>
          <w:sz w:val="18"/>
          <w:szCs w:val="14"/>
        </w:rPr>
        <w:t>for residential care</w:t>
      </w:r>
    </w:p>
    <w:p w14:paraId="6EB58D61" w14:textId="77777777" w:rsidR="00E607CB" w:rsidRPr="008D5728" w:rsidRDefault="00E607CB" w:rsidP="00622CFF">
      <w:pPr>
        <w:spacing w:before="240" w:after="240" w:line="240" w:lineRule="auto"/>
        <w:rPr>
          <w:rFonts w:eastAsia="Yu Gothic Light"/>
          <w:lang w:val="en-AU"/>
        </w:rPr>
      </w:pPr>
    </w:p>
    <w:p w14:paraId="15ED66A0" w14:textId="77777777" w:rsidR="005D728C" w:rsidRPr="008D5728" w:rsidRDefault="005D728C" w:rsidP="00CC6081">
      <w:pPr>
        <w:pStyle w:val="H4"/>
      </w:pPr>
      <w:r w:rsidRPr="008D5728">
        <w:t>Deciding if the person should be approved </w:t>
      </w:r>
    </w:p>
    <w:p w14:paraId="4F86B41B"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When approving an older person for the residential care service group, Assessment Delegates will need to be satisfied that: </w:t>
      </w:r>
    </w:p>
    <w:p w14:paraId="7DB8618C" w14:textId="5B7A4C40" w:rsidR="005D728C" w:rsidRPr="008D5728" w:rsidRDefault="005D728C" w:rsidP="00DF3F6B">
      <w:pPr>
        <w:numPr>
          <w:ilvl w:val="0"/>
          <w:numId w:val="230"/>
        </w:numPr>
        <w:spacing w:before="240" w:after="240" w:line="240" w:lineRule="auto"/>
        <w:rPr>
          <w:rFonts w:eastAsia="Yu Gothic Light"/>
          <w:lang w:val="en-AU"/>
        </w:rPr>
      </w:pPr>
      <w:r w:rsidRPr="008D5728">
        <w:rPr>
          <w:rFonts w:eastAsia="Yu Gothic Light"/>
          <w:lang w:val="en-AU"/>
        </w:rPr>
        <w:t xml:space="preserve">the </w:t>
      </w:r>
      <w:r w:rsidRPr="00BE1072">
        <w:rPr>
          <w:rFonts w:eastAsia="Yu Gothic Light"/>
          <w:lang w:val="en-AU"/>
        </w:rPr>
        <w:t>person is “sick</w:t>
      </w:r>
      <w:r w:rsidR="00F16714" w:rsidRPr="00BE1072">
        <w:rPr>
          <w:rFonts w:eastAsia="Yu Gothic Light"/>
          <w:lang w:val="en-AU"/>
        </w:rPr>
        <w:t>,”</w:t>
      </w:r>
      <w:r w:rsidRPr="008D5728">
        <w:rPr>
          <w:rFonts w:eastAsia="Yu Gothic Light"/>
          <w:lang w:val="en-AU"/>
        </w:rPr>
        <w:t xml:space="preserve"> and </w:t>
      </w:r>
    </w:p>
    <w:p w14:paraId="25832DB9" w14:textId="2D6A4516" w:rsidR="005D728C" w:rsidRPr="008D5728" w:rsidRDefault="005D728C" w:rsidP="00DF3F6B">
      <w:pPr>
        <w:numPr>
          <w:ilvl w:val="0"/>
          <w:numId w:val="231"/>
        </w:numPr>
        <w:spacing w:before="240" w:after="240" w:line="240" w:lineRule="auto"/>
        <w:rPr>
          <w:rFonts w:eastAsia="Yu Gothic Light"/>
          <w:lang w:val="en-AU"/>
        </w:rPr>
      </w:pPr>
      <w:r w:rsidRPr="008D5728">
        <w:rPr>
          <w:rFonts w:eastAsia="Yu Gothic Light"/>
          <w:lang w:val="en-AU"/>
        </w:rPr>
        <w:t>Because of their “sickness</w:t>
      </w:r>
      <w:r w:rsidR="00F16714" w:rsidRPr="008D5728">
        <w:rPr>
          <w:rFonts w:eastAsia="Yu Gothic Light"/>
          <w:lang w:val="en-AU"/>
        </w:rPr>
        <w:t>,”</w:t>
      </w:r>
      <w:r w:rsidRPr="008D5728">
        <w:rPr>
          <w:rFonts w:eastAsia="Yu Gothic Light"/>
          <w:lang w:val="en-AU"/>
        </w:rPr>
        <w:t xml:space="preserve"> they have a </w:t>
      </w:r>
      <w:r w:rsidRPr="00BE1072">
        <w:rPr>
          <w:rFonts w:eastAsia="Yu Gothic Light"/>
          <w:lang w:val="en-AU"/>
        </w:rPr>
        <w:t>continuing need for residential care services, including nursing services</w:t>
      </w:r>
      <w:r w:rsidRPr="008D5728">
        <w:rPr>
          <w:rFonts w:eastAsia="Yu Gothic Light"/>
          <w:lang w:val="en-AU"/>
        </w:rPr>
        <w:t>. </w:t>
      </w:r>
    </w:p>
    <w:p w14:paraId="347DE168" w14:textId="77777777" w:rsidR="005D728C" w:rsidRPr="008D5728" w:rsidRDefault="005D728C" w:rsidP="00DF3F6B">
      <w:pPr>
        <w:numPr>
          <w:ilvl w:val="0"/>
          <w:numId w:val="232"/>
        </w:numPr>
        <w:spacing w:before="240" w:after="240" w:line="240" w:lineRule="auto"/>
        <w:rPr>
          <w:rFonts w:eastAsia="Yu Gothic Light"/>
          <w:lang w:val="en-AU"/>
        </w:rPr>
      </w:pPr>
      <w:r w:rsidRPr="008D5728">
        <w:rPr>
          <w:rFonts w:eastAsia="Yu Gothic Light"/>
          <w:lang w:val="en-AU"/>
        </w:rPr>
        <w:t xml:space="preserve">The person </w:t>
      </w:r>
      <w:r w:rsidRPr="00BE1072">
        <w:rPr>
          <w:rFonts w:eastAsia="Yu Gothic Light"/>
          <w:lang w:val="en-AU"/>
        </w:rPr>
        <w:t>meets the additional eligibility criteria</w:t>
      </w:r>
      <w:r w:rsidRPr="008D5728">
        <w:rPr>
          <w:rFonts w:eastAsia="Yu Gothic Light"/>
          <w:lang w:val="en-AU"/>
        </w:rPr>
        <w:t xml:space="preserve"> in the Rules. These criteria are outlined below. </w:t>
      </w:r>
    </w:p>
    <w:p w14:paraId="5C3D2C65" w14:textId="77777777" w:rsidR="005D728C" w:rsidRPr="008D5728" w:rsidRDefault="005D728C" w:rsidP="00CC6081">
      <w:pPr>
        <w:pStyle w:val="H4"/>
      </w:pPr>
      <w:r w:rsidRPr="008D5728">
        <w:t>Sickness </w:t>
      </w:r>
    </w:p>
    <w:p w14:paraId="31DD01D3" w14:textId="0B435CBC"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“Sickness” for the purposes of the </w:t>
      </w:r>
      <w:r w:rsidR="00B540F1" w:rsidRPr="00BE1072">
        <w:rPr>
          <w:rFonts w:eastAsia="Yu Gothic Light"/>
          <w:i/>
          <w:lang w:val="en-AU"/>
        </w:rPr>
        <w:t xml:space="preserve">Aged Care </w:t>
      </w:r>
      <w:r w:rsidRPr="00BE1072">
        <w:rPr>
          <w:rFonts w:eastAsia="Yu Gothic Light"/>
          <w:i/>
          <w:lang w:val="en-AU"/>
        </w:rPr>
        <w:t>Act</w:t>
      </w:r>
      <w:r w:rsidR="00B540F1" w:rsidRPr="00BE1072">
        <w:rPr>
          <w:rFonts w:eastAsia="Yu Gothic Light"/>
          <w:i/>
          <w:lang w:val="en-AU"/>
        </w:rPr>
        <w:t xml:space="preserve"> 2024</w:t>
      </w:r>
      <w:r w:rsidR="00B540F1">
        <w:rPr>
          <w:rFonts w:eastAsia="Yu Gothic Light"/>
          <w:lang w:val="en-AU"/>
        </w:rPr>
        <w:t xml:space="preserve"> (the Act)</w:t>
      </w:r>
      <w:r w:rsidRPr="008D5728">
        <w:rPr>
          <w:rFonts w:eastAsia="Yu Gothic Light"/>
          <w:lang w:val="en-AU"/>
        </w:rPr>
        <w:t xml:space="preserve"> means an infirmity, illness, disease, incapacity or impairment. Sickness can be a strictly physical illness, such as a heart condition but will also encompass mental health conditions like depression or anxiety, or neurological disorders, such as dementia or Alzheimer’s</w:t>
      </w:r>
      <w:r w:rsidR="00F16714" w:rsidRPr="008D5728">
        <w:rPr>
          <w:rFonts w:eastAsia="Yu Gothic Light"/>
          <w:lang w:val="en-AU"/>
        </w:rPr>
        <w:t xml:space="preserve">. </w:t>
      </w:r>
    </w:p>
    <w:p w14:paraId="069BBB0C" w14:textId="29ACE8CA"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Information about the person and their “sickness” will already be reflected in the information collected using the </w:t>
      </w:r>
      <w:r w:rsidR="0045484E">
        <w:rPr>
          <w:rFonts w:eastAsia="Yu Gothic Light"/>
          <w:lang w:val="en-AU"/>
        </w:rPr>
        <w:t xml:space="preserve">Integrated Assessment Tool </w:t>
      </w:r>
      <w:r w:rsidRPr="008D5728">
        <w:rPr>
          <w:rFonts w:eastAsia="Yu Gothic Light"/>
          <w:lang w:val="en-AU"/>
        </w:rPr>
        <w:t xml:space="preserve">and any other relevant information gathered during the assessment, such as information from the person’s GP or other health records. For the purposes of recording the approval decision Assessment Delegates will need </w:t>
      </w:r>
      <w:r w:rsidR="004B516D">
        <w:rPr>
          <w:rFonts w:eastAsia="Yu Gothic Light"/>
          <w:lang w:val="en-AU"/>
        </w:rPr>
        <w:t xml:space="preserve">to </w:t>
      </w:r>
      <w:r w:rsidRPr="008D5728">
        <w:rPr>
          <w:rFonts w:eastAsia="Yu Gothic Light"/>
          <w:lang w:val="en-AU"/>
        </w:rPr>
        <w:t xml:space="preserve">be satisfied the information provided </w:t>
      </w:r>
      <w:r w:rsidRPr="00BE1072">
        <w:rPr>
          <w:rFonts w:eastAsia="Yu Gothic Light"/>
          <w:lang w:val="en-AU"/>
        </w:rPr>
        <w:t xml:space="preserve">identifies that the older person is “sick” </w:t>
      </w:r>
      <w:r w:rsidRPr="008D5728">
        <w:rPr>
          <w:rFonts w:eastAsia="Yu Gothic Light"/>
          <w:lang w:val="en-AU"/>
        </w:rPr>
        <w:t xml:space="preserve">and </w:t>
      </w:r>
      <w:r w:rsidRPr="00441859">
        <w:rPr>
          <w:rFonts w:eastAsia="Yu Gothic Light"/>
          <w:lang w:val="en-AU"/>
        </w:rPr>
        <w:t>because of that</w:t>
      </w:r>
      <w:r w:rsidRPr="008D5728">
        <w:rPr>
          <w:rFonts w:eastAsia="Yu Gothic Light"/>
          <w:lang w:val="en-AU"/>
        </w:rPr>
        <w:t xml:space="preserve"> they have a </w:t>
      </w:r>
      <w:r w:rsidRPr="00441859">
        <w:rPr>
          <w:rFonts w:eastAsia="Yu Gothic Light"/>
          <w:lang w:val="en-AU"/>
        </w:rPr>
        <w:t>continuing need for residential care, including nursing services</w:t>
      </w:r>
      <w:r w:rsidRPr="008D5728">
        <w:rPr>
          <w:rFonts w:eastAsia="Yu Gothic Light"/>
          <w:lang w:val="en-AU"/>
        </w:rPr>
        <w:t>. This is a necessary legal requirement because of the constitutional powers that support the provision of residential care under the Act. </w:t>
      </w:r>
    </w:p>
    <w:p w14:paraId="1F63621A" w14:textId="65922100" w:rsidR="005D728C" w:rsidRPr="008D5728" w:rsidRDefault="005D728C" w:rsidP="00622CFF">
      <w:pPr>
        <w:spacing w:before="240" w:after="240" w:line="240" w:lineRule="auto"/>
        <w:rPr>
          <w:rFonts w:eastAsia="Yu Gothic Light"/>
          <w:lang w:val="en-AU"/>
        </w:rPr>
      </w:pPr>
      <w:r w:rsidRPr="008D5728">
        <w:rPr>
          <w:rFonts w:eastAsia="Yu Gothic Light"/>
          <w:lang w:val="en-AU"/>
        </w:rPr>
        <w:t>The requirement that the person is sick and has a “continuing need” for residential care “including nursing services” applies in the same way to respite care (short-term) and Transition Care (hospital transition) as it does to permanent (ongoing) residential care. While the person will only be approved to access care for a limited period of time if they are approved for respite or Transition Care, Assessment Delegates will still need to be satisfied they at the time of the assessment that they have a continuing need for residential care including nursing services</w:t>
      </w:r>
      <w:r w:rsidR="002550BB">
        <w:rPr>
          <w:rFonts w:eastAsia="Yu Gothic Light"/>
          <w:lang w:val="en-AU"/>
        </w:rPr>
        <w:t xml:space="preserve"> due to their sickness</w:t>
      </w:r>
      <w:r w:rsidRPr="008D5728">
        <w:rPr>
          <w:rFonts w:eastAsia="Yu Gothic Light"/>
          <w:lang w:val="en-AU"/>
        </w:rPr>
        <w:t>. </w:t>
      </w:r>
    </w:p>
    <w:p w14:paraId="42B72F66" w14:textId="138017EF" w:rsidR="005D728C" w:rsidRPr="008D5728" w:rsidRDefault="005D728C" w:rsidP="00CC6081">
      <w:pPr>
        <w:pStyle w:val="H4"/>
      </w:pPr>
      <w:r w:rsidRPr="008D5728">
        <w:t>Additional eligibility requirements </w:t>
      </w:r>
    </w:p>
    <w:p w14:paraId="08A23F7D"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approving a person for the residential care service group because section 68 applies to them, Assessment Delegates will also need to turn their mind to the additional eligibility requirement in the Rules. This is required because of section 65(3) of the Act. </w:t>
      </w:r>
    </w:p>
    <w:p w14:paraId="536A534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additional requirement is: </w:t>
      </w:r>
    </w:p>
    <w:p w14:paraId="310AE0AE" w14:textId="77777777" w:rsidR="005D728C" w:rsidRPr="008D5728" w:rsidRDefault="005D728C" w:rsidP="00DF3F6B">
      <w:pPr>
        <w:numPr>
          <w:ilvl w:val="0"/>
          <w:numId w:val="233"/>
        </w:numPr>
        <w:spacing w:before="240" w:after="240" w:line="240" w:lineRule="auto"/>
        <w:rPr>
          <w:rFonts w:eastAsia="Yu Gothic Light"/>
          <w:lang w:val="en-AU"/>
        </w:rPr>
      </w:pPr>
      <w:r w:rsidRPr="008D5728">
        <w:rPr>
          <w:rFonts w:eastAsia="Yu Gothic Light"/>
          <w:lang w:val="en-AU"/>
        </w:rPr>
        <w:t>the person is incapable of living in a home or community setting without support. </w:t>
      </w:r>
    </w:p>
    <w:p w14:paraId="095A4B08" w14:textId="77777777" w:rsidR="005D728C" w:rsidRPr="008D5728" w:rsidRDefault="005D728C" w:rsidP="00507F9D">
      <w:pPr>
        <w:pStyle w:val="h2"/>
      </w:pPr>
      <w:bookmarkStart w:id="618" w:name="_Toc198787133"/>
      <w:bookmarkStart w:id="619" w:name="_Toc1342975295"/>
      <w:bookmarkStart w:id="620" w:name="_Toc199344503"/>
      <w:bookmarkStart w:id="621" w:name="_Toc205372033"/>
      <w:bookmarkStart w:id="622" w:name="_Toc207713938"/>
      <w:bookmarkStart w:id="623" w:name="_Toc209189015"/>
      <w:bookmarkStart w:id="624" w:name="_Toc224916673"/>
      <w:r w:rsidRPr="008D5728">
        <w:t>Approvals for service groups, classification types and classification levels</w:t>
      </w:r>
      <w:bookmarkEnd w:id="618"/>
      <w:bookmarkEnd w:id="619"/>
      <w:bookmarkEnd w:id="620"/>
      <w:bookmarkEnd w:id="621"/>
      <w:bookmarkEnd w:id="622"/>
      <w:bookmarkEnd w:id="623"/>
      <w:bookmarkEnd w:id="624"/>
    </w:p>
    <w:p w14:paraId="67FD20E2" w14:textId="276BED2A" w:rsidR="005D728C" w:rsidRPr="00BF1A2E" w:rsidRDefault="005D728C" w:rsidP="00622CFF">
      <w:pPr>
        <w:spacing w:before="240" w:after="240" w:line="240" w:lineRule="auto"/>
        <w:rPr>
          <w:rFonts w:eastAsia="Yu Gothic Light"/>
        </w:rPr>
      </w:pPr>
      <w:r w:rsidRPr="008D5728">
        <w:rPr>
          <w:rFonts w:eastAsia="Yu Gothic Light"/>
        </w:rPr>
        <w:t xml:space="preserve">The foundational building blocks of approvals under the </w:t>
      </w:r>
      <w:r w:rsidR="0022307B" w:rsidRPr="0045484E">
        <w:rPr>
          <w:rFonts w:eastAsia="Yu Gothic Light"/>
          <w:i/>
        </w:rPr>
        <w:t>Aged Care Act 2024</w:t>
      </w:r>
      <w:r w:rsidR="0022307B">
        <w:rPr>
          <w:rFonts w:eastAsia="Yu Gothic Light"/>
          <w:i/>
        </w:rPr>
        <w:t xml:space="preserve"> (</w:t>
      </w:r>
      <w:r w:rsidR="0022307B" w:rsidRPr="00BF1A2E">
        <w:rPr>
          <w:rFonts w:eastAsia="Yu Gothic Light"/>
        </w:rPr>
        <w:t>the</w:t>
      </w:r>
      <w:r w:rsidR="0022307B">
        <w:rPr>
          <w:rFonts w:eastAsia="Yu Gothic Light"/>
          <w:i/>
        </w:rPr>
        <w:t xml:space="preserve"> </w:t>
      </w:r>
      <w:r w:rsidRPr="0045484E">
        <w:rPr>
          <w:rFonts w:eastAsia="Yu Gothic Light"/>
        </w:rPr>
        <w:t>Act</w:t>
      </w:r>
      <w:r w:rsidR="0022307B">
        <w:rPr>
          <w:rFonts w:eastAsia="Yu Gothic Light"/>
        </w:rPr>
        <w:t>)</w:t>
      </w:r>
      <w:r w:rsidRPr="008D5728">
        <w:rPr>
          <w:rFonts w:eastAsia="Yu Gothic Light"/>
        </w:rPr>
        <w:t xml:space="preserve"> are </w:t>
      </w:r>
      <w:r w:rsidRPr="00BE1072">
        <w:rPr>
          <w:rFonts w:eastAsia="Yu Gothic Light"/>
        </w:rPr>
        <w:t xml:space="preserve">service groups, classification types </w:t>
      </w:r>
      <w:r w:rsidRPr="008D5728">
        <w:rPr>
          <w:rFonts w:eastAsia="Yu Gothic Light"/>
        </w:rPr>
        <w:t xml:space="preserve">and </w:t>
      </w:r>
      <w:r w:rsidRPr="00BF1A2E">
        <w:rPr>
          <w:rFonts w:eastAsia="Yu Gothic Light"/>
        </w:rPr>
        <w:t>classification levels.</w:t>
      </w:r>
    </w:p>
    <w:p w14:paraId="74E37A08" w14:textId="77777777" w:rsidR="005D728C" w:rsidRPr="008D5728" w:rsidRDefault="005D728C" w:rsidP="00622CFF">
      <w:pPr>
        <w:numPr>
          <w:ilvl w:val="0"/>
          <w:numId w:val="29"/>
        </w:numPr>
        <w:spacing w:before="240" w:after="240" w:line="240" w:lineRule="auto"/>
        <w:contextualSpacing/>
        <w:rPr>
          <w:rFonts w:eastAsia="Yu Gothic Light"/>
        </w:rPr>
      </w:pPr>
      <w:r w:rsidRPr="00BF1A2E">
        <w:rPr>
          <w:rFonts w:eastAsia="Yu Gothic Light"/>
        </w:rPr>
        <w:t>Service groups</w:t>
      </w:r>
      <w:r w:rsidRPr="008D5728">
        <w:rPr>
          <w:rFonts w:eastAsia="Yu Gothic Light"/>
        </w:rPr>
        <w:t xml:space="preserve"> specify the setting and nature of care an individual can access. There are four service groups: </w:t>
      </w:r>
      <w:r w:rsidRPr="00BF1A2E">
        <w:rPr>
          <w:rFonts w:eastAsia="Yu Gothic Light"/>
        </w:rPr>
        <w:t>home support</w:t>
      </w:r>
      <w:r w:rsidRPr="008D5728">
        <w:rPr>
          <w:rFonts w:eastAsia="Yu Gothic Light"/>
        </w:rPr>
        <w:t xml:space="preserve">, </w:t>
      </w:r>
      <w:r w:rsidRPr="007B580E">
        <w:rPr>
          <w:rFonts w:eastAsia="Yu Gothic Light"/>
        </w:rPr>
        <w:t>assistive technology</w:t>
      </w:r>
      <w:r w:rsidRPr="008D5728">
        <w:rPr>
          <w:rFonts w:eastAsia="Yu Gothic Light"/>
        </w:rPr>
        <w:t xml:space="preserve">, </w:t>
      </w:r>
      <w:r w:rsidRPr="007B580E">
        <w:rPr>
          <w:rFonts w:eastAsia="Yu Gothic Light"/>
        </w:rPr>
        <w:t>home modifications</w:t>
      </w:r>
      <w:r w:rsidRPr="008D5728">
        <w:rPr>
          <w:rFonts w:eastAsia="Yu Gothic Light"/>
        </w:rPr>
        <w:t xml:space="preserve"> and </w:t>
      </w:r>
      <w:r w:rsidRPr="00BF1A2E">
        <w:rPr>
          <w:rFonts w:eastAsia="Yu Gothic Light"/>
        </w:rPr>
        <w:t>residential care</w:t>
      </w:r>
      <w:r w:rsidRPr="008D5728">
        <w:rPr>
          <w:rFonts w:eastAsia="Yu Gothic Light"/>
        </w:rPr>
        <w:t>.</w:t>
      </w:r>
    </w:p>
    <w:p w14:paraId="55CD6F61" w14:textId="77777777" w:rsidR="005D728C" w:rsidRPr="008D5728" w:rsidRDefault="005D728C" w:rsidP="00622CFF">
      <w:pPr>
        <w:numPr>
          <w:ilvl w:val="0"/>
          <w:numId w:val="29"/>
        </w:numPr>
        <w:spacing w:before="240" w:after="240" w:line="240" w:lineRule="auto"/>
        <w:contextualSpacing/>
        <w:rPr>
          <w:rFonts w:eastAsia="Yu Gothic Light"/>
        </w:rPr>
      </w:pPr>
      <w:r w:rsidRPr="00BE1072">
        <w:rPr>
          <w:rFonts w:eastAsia="Yu Gothic Light"/>
        </w:rPr>
        <w:t>Classification types</w:t>
      </w:r>
      <w:r w:rsidRPr="008D5728">
        <w:rPr>
          <w:rFonts w:eastAsia="Yu Gothic Light"/>
        </w:rPr>
        <w:t xml:space="preserve"> differentiate the time period that services are delivered for under the service group. There are three classification types: </w:t>
      </w:r>
      <w:r w:rsidRPr="00BE1072">
        <w:rPr>
          <w:rFonts w:eastAsia="Yu Gothic Light"/>
        </w:rPr>
        <w:t>ongoing</w:t>
      </w:r>
      <w:r w:rsidRPr="008D5728">
        <w:rPr>
          <w:rFonts w:eastAsia="Yu Gothic Light"/>
        </w:rPr>
        <w:t xml:space="preserve">, </w:t>
      </w:r>
      <w:r w:rsidRPr="007B580E">
        <w:rPr>
          <w:rFonts w:eastAsia="Yu Gothic Light"/>
        </w:rPr>
        <w:t>short-term</w:t>
      </w:r>
      <w:r w:rsidRPr="008D5728">
        <w:rPr>
          <w:rFonts w:eastAsia="Yu Gothic Light"/>
        </w:rPr>
        <w:t xml:space="preserve"> and </w:t>
      </w:r>
      <w:r w:rsidRPr="00BE1072">
        <w:rPr>
          <w:rFonts w:eastAsia="Yu Gothic Light"/>
        </w:rPr>
        <w:t>hospital transition</w:t>
      </w:r>
      <w:r w:rsidRPr="008D5728">
        <w:rPr>
          <w:rFonts w:eastAsia="Yu Gothic Light"/>
        </w:rPr>
        <w:t>. Each classification type has a different purpose in meeting the needs of an individual and so are funded and timed accordingly.</w:t>
      </w:r>
    </w:p>
    <w:p w14:paraId="4536BA6C" w14:textId="77777777" w:rsidR="005D728C" w:rsidRPr="008D5728" w:rsidRDefault="005D728C" w:rsidP="00622CFF">
      <w:pPr>
        <w:numPr>
          <w:ilvl w:val="0"/>
          <w:numId w:val="29"/>
        </w:numPr>
        <w:spacing w:before="240" w:after="240" w:line="240" w:lineRule="auto"/>
        <w:contextualSpacing/>
        <w:rPr>
          <w:rFonts w:eastAsia="Yu Gothic Light"/>
        </w:rPr>
      </w:pPr>
      <w:r w:rsidRPr="00BF1A2E">
        <w:rPr>
          <w:rFonts w:eastAsia="Yu Gothic Light"/>
        </w:rPr>
        <w:t xml:space="preserve">Classification levels </w:t>
      </w:r>
      <w:r w:rsidRPr="008D5728">
        <w:rPr>
          <w:rFonts w:eastAsia="Yu Gothic Light"/>
        </w:rPr>
        <w:t xml:space="preserve">determine the amount of funding available to deliver the aged care services that an individual has been approved to access under a service group. </w:t>
      </w:r>
    </w:p>
    <w:p w14:paraId="465FBCDD" w14:textId="77777777" w:rsidR="00253DD1" w:rsidRDefault="00253DD1" w:rsidP="00622CFF">
      <w:pPr>
        <w:spacing w:before="240" w:after="240" w:line="240" w:lineRule="auto"/>
        <w:rPr>
          <w:rFonts w:eastAsia="Yu Gothic Light"/>
        </w:rPr>
      </w:pPr>
    </w:p>
    <w:p w14:paraId="5F9AA76F" w14:textId="3416F4F6" w:rsidR="005D728C" w:rsidRPr="008D5728" w:rsidRDefault="005D728C" w:rsidP="00622CFF">
      <w:pPr>
        <w:spacing w:before="240" w:after="240" w:line="240" w:lineRule="auto"/>
        <w:rPr>
          <w:rFonts w:eastAsia="Yu Gothic Light"/>
        </w:rPr>
      </w:pPr>
      <w:r w:rsidRPr="008D5728">
        <w:rPr>
          <w:rFonts w:eastAsia="Yu Gothic Light"/>
        </w:rPr>
        <w:t xml:space="preserve">Under </w:t>
      </w:r>
      <w:r w:rsidR="0041323E" w:rsidRPr="008D5728">
        <w:rPr>
          <w:rFonts w:eastAsia="Yu Gothic Light"/>
        </w:rPr>
        <w:t>the</w:t>
      </w:r>
      <w:r w:rsidR="0041323E">
        <w:rPr>
          <w:rFonts w:eastAsia="Yu Gothic Light"/>
        </w:rPr>
        <w:t xml:space="preserve"> </w:t>
      </w:r>
      <w:r w:rsidR="00446486">
        <w:rPr>
          <w:rFonts w:eastAsia="Yu Gothic Light"/>
        </w:rPr>
        <w:t>Act</w:t>
      </w:r>
      <w:r w:rsidR="00446486" w:rsidRPr="008D5728">
        <w:rPr>
          <w:rFonts w:eastAsia="Yu Gothic Light"/>
        </w:rPr>
        <w:t>,</w:t>
      </w:r>
      <w:r w:rsidRPr="008D5728">
        <w:rPr>
          <w:rFonts w:eastAsia="Yu Gothic Light"/>
          <w:i/>
        </w:rPr>
        <w:t xml:space="preserve"> </w:t>
      </w:r>
      <w:r w:rsidRPr="008D5728">
        <w:rPr>
          <w:rFonts w:eastAsia="Yu Gothic Light"/>
        </w:rPr>
        <w:t xml:space="preserve">approvals for </w:t>
      </w:r>
      <w:r w:rsidRPr="00BE1072">
        <w:rPr>
          <w:rFonts w:eastAsia="Yu Gothic Light"/>
        </w:rPr>
        <w:t>a</w:t>
      </w:r>
      <w:r w:rsidRPr="008D5728">
        <w:rPr>
          <w:rFonts w:eastAsia="Yu Gothic Light"/>
        </w:rPr>
        <w:t xml:space="preserve"> </w:t>
      </w:r>
      <w:r w:rsidRPr="00BF1A2E">
        <w:rPr>
          <w:rFonts w:eastAsia="Yu Gothic Light"/>
        </w:rPr>
        <w:t>service group</w:t>
      </w:r>
      <w:r w:rsidRPr="008D5728">
        <w:rPr>
          <w:rFonts w:eastAsia="Yu Gothic Light"/>
        </w:rPr>
        <w:t xml:space="preserve">, </w:t>
      </w:r>
      <w:r w:rsidRPr="00BF1A2E">
        <w:rPr>
          <w:rFonts w:eastAsia="Yu Gothic Light"/>
        </w:rPr>
        <w:t>a</w:t>
      </w:r>
      <w:r w:rsidRPr="008D5728">
        <w:rPr>
          <w:rFonts w:eastAsia="Yu Gothic Light"/>
        </w:rPr>
        <w:t xml:space="preserve"> </w:t>
      </w:r>
      <w:r w:rsidRPr="00BE1072">
        <w:rPr>
          <w:rFonts w:eastAsia="Yu Gothic Light"/>
        </w:rPr>
        <w:t xml:space="preserve">classification type </w:t>
      </w:r>
      <w:r w:rsidRPr="008D5728">
        <w:rPr>
          <w:rFonts w:eastAsia="Yu Gothic Light"/>
        </w:rPr>
        <w:t>and</w:t>
      </w:r>
      <w:r w:rsidRPr="007B580E">
        <w:rPr>
          <w:rFonts w:eastAsia="Yu Gothic Light"/>
        </w:rPr>
        <w:t xml:space="preserve"> a</w:t>
      </w:r>
      <w:r w:rsidRPr="008D5728">
        <w:rPr>
          <w:rFonts w:eastAsia="Yu Gothic Light"/>
        </w:rPr>
        <w:t xml:space="preserve"> </w:t>
      </w:r>
      <w:r w:rsidRPr="00BE1072">
        <w:rPr>
          <w:rFonts w:eastAsia="Yu Gothic Light"/>
        </w:rPr>
        <w:t xml:space="preserve">classification level </w:t>
      </w:r>
      <w:r w:rsidRPr="008D5728">
        <w:rPr>
          <w:rFonts w:eastAsia="Yu Gothic Light"/>
        </w:rPr>
        <w:t xml:space="preserve">combine to create something that is comparable to an approval for a program under the </w:t>
      </w:r>
      <w:r w:rsidRPr="008D5728">
        <w:rPr>
          <w:rFonts w:eastAsia="Yu Gothic Light"/>
          <w:i/>
        </w:rPr>
        <w:t>Aged Care Act 1997</w:t>
      </w:r>
      <w:r w:rsidRPr="008D5728">
        <w:rPr>
          <w:rFonts w:eastAsia="Yu Gothic Light"/>
        </w:rPr>
        <w:t>.</w:t>
      </w:r>
    </w:p>
    <w:p w14:paraId="4225A496" w14:textId="77777777" w:rsidR="001572D4" w:rsidRDefault="005D728C" w:rsidP="0041323E">
      <w:pPr>
        <w:spacing w:before="240" w:after="240" w:line="240" w:lineRule="auto"/>
        <w:rPr>
          <w:rFonts w:eastAsia="Yu Gothic Light"/>
        </w:rPr>
      </w:pPr>
      <w:r w:rsidRPr="008D5728">
        <w:rPr>
          <w:rFonts w:eastAsia="Yu Gothic Light"/>
        </w:rPr>
        <w:t xml:space="preserve">The table below compares some examples before and after the introduction </w:t>
      </w:r>
      <w:r w:rsidRPr="0041323E">
        <w:rPr>
          <w:rFonts w:eastAsia="Yu Gothic Light"/>
        </w:rPr>
        <w:t xml:space="preserve">of </w:t>
      </w:r>
      <w:r w:rsidR="00F453D6" w:rsidRPr="0041323E">
        <w:rPr>
          <w:rFonts w:eastAsia="Yu Gothic Light"/>
        </w:rPr>
        <w:t>the</w:t>
      </w:r>
      <w:r w:rsidRPr="00BE1072">
        <w:rPr>
          <w:rFonts w:eastAsia="Yu Gothic Light"/>
        </w:rPr>
        <w:t xml:space="preserve"> </w:t>
      </w:r>
      <w:r w:rsidR="0041323E" w:rsidRPr="00BE1072">
        <w:rPr>
          <w:rFonts w:eastAsia="Yu Gothic Light"/>
        </w:rPr>
        <w:t>Act.</w:t>
      </w:r>
    </w:p>
    <w:p w14:paraId="636B2C1B" w14:textId="77777777" w:rsidR="001572D4" w:rsidRDefault="001572D4">
      <w:pPr>
        <w:rPr>
          <w:b/>
          <w:iCs/>
          <w:color w:val="44546A" w:themeColor="text2"/>
          <w:sz w:val="21"/>
          <w:szCs w:val="18"/>
        </w:rPr>
      </w:pPr>
      <w:r>
        <w:br w:type="page"/>
      </w:r>
    </w:p>
    <w:p w14:paraId="304495C1" w14:textId="73885AE6" w:rsidR="005D728C" w:rsidRPr="0041323E" w:rsidRDefault="001572D4" w:rsidP="001572D4">
      <w:pPr>
        <w:pStyle w:val="Caption"/>
        <w:rPr>
          <w:rFonts w:eastAsia="Yu Gothic Light"/>
          <w:i/>
        </w:rPr>
      </w:pPr>
      <w:r>
        <w:t>T</w:t>
      </w:r>
      <w:r w:rsidR="005D728C">
        <w:t>able</w:t>
      </w:r>
      <w:r w:rsidR="005D728C">
        <w:rPr>
          <w:rFonts w:eastAsia="Yu Gothic Light"/>
        </w:rPr>
        <w:t xml:space="preserve"> 3</w:t>
      </w:r>
      <w:r w:rsidR="000C7B48">
        <w:rPr>
          <w:rFonts w:eastAsia="Yu Gothic Light"/>
        </w:rPr>
        <w:t>9</w:t>
      </w:r>
      <w:r w:rsidR="005D728C">
        <w:rPr>
          <w:rFonts w:eastAsia="Yu Gothic Light"/>
        </w:rPr>
        <w:t xml:space="preserve">. Comparison of approvals under the Aged Care Act 1997 and Act Care Act 2024 </w:t>
      </w:r>
    </w:p>
    <w:tbl>
      <w:tblPr>
        <w:tblStyle w:val="TableGrid"/>
        <w:tblW w:w="0" w:type="auto"/>
        <w:tblBorders>
          <w:bottom w:val="single" w:sz="4" w:space="0" w:color="auto"/>
          <w:insideH w:val="single" w:sz="4" w:space="0" w:color="auto"/>
        </w:tblBorders>
        <w:tblLook w:val="04A0" w:firstRow="1" w:lastRow="0" w:firstColumn="1" w:lastColumn="0" w:noHBand="0" w:noVBand="1"/>
        <w:tblCaption w:val="Comparison of approvals under the Aged Care Act 1997 and the Aged Care Act 2024"/>
      </w:tblPr>
      <w:tblGrid>
        <w:gridCol w:w="4106"/>
        <w:gridCol w:w="4820"/>
      </w:tblGrid>
      <w:tr w:rsidR="005D728C" w:rsidRPr="008D5728" w14:paraId="4D329928" w14:textId="77777777">
        <w:tc>
          <w:tcPr>
            <w:tcW w:w="4106" w:type="dxa"/>
            <w:shd w:val="clear" w:color="auto" w:fill="002060"/>
          </w:tcPr>
          <w:p w14:paraId="5231CC6D" w14:textId="77777777" w:rsidR="005D728C" w:rsidRPr="008D5728" w:rsidRDefault="005D728C" w:rsidP="0003231B">
            <w:pPr>
              <w:keepNext/>
              <w:spacing w:before="120" w:after="120"/>
              <w:rPr>
                <w:rFonts w:eastAsia="Yu Gothic Light"/>
                <w:b/>
                <w:i/>
                <w:color w:val="FFFFFF"/>
              </w:rPr>
            </w:pPr>
            <w:r w:rsidRPr="008D5728">
              <w:rPr>
                <w:rFonts w:eastAsia="Yu Gothic Light"/>
                <w:b/>
                <w:color w:val="FFFFFF"/>
                <w:u w:val="single"/>
              </w:rPr>
              <w:t>Before</w:t>
            </w:r>
            <w:r w:rsidRPr="008D5728">
              <w:rPr>
                <w:rFonts w:eastAsia="Yu Gothic Light"/>
                <w:b/>
                <w:color w:val="FFFFFF"/>
              </w:rPr>
              <w:t xml:space="preserve"> the introduction of the </w:t>
            </w:r>
            <w:r w:rsidRPr="008D5728">
              <w:rPr>
                <w:rFonts w:eastAsia="Yu Gothic Light"/>
                <w:b/>
                <w:i/>
                <w:color w:val="FFFFFF"/>
              </w:rPr>
              <w:t>Aged Care Act 2024</w:t>
            </w:r>
          </w:p>
        </w:tc>
        <w:tc>
          <w:tcPr>
            <w:tcW w:w="4820" w:type="dxa"/>
            <w:shd w:val="clear" w:color="auto" w:fill="002060"/>
          </w:tcPr>
          <w:p w14:paraId="5B7C5E18" w14:textId="77777777" w:rsidR="005D728C" w:rsidRPr="008D5728" w:rsidRDefault="005D728C" w:rsidP="0003231B">
            <w:pPr>
              <w:keepNext/>
              <w:spacing w:before="120" w:after="120"/>
              <w:rPr>
                <w:rFonts w:eastAsia="Yu Gothic Light"/>
                <w:b/>
                <w:color w:val="FFFFFF"/>
              </w:rPr>
            </w:pPr>
            <w:r w:rsidRPr="008D5728">
              <w:rPr>
                <w:rFonts w:eastAsia="Yu Gothic Light"/>
                <w:b/>
                <w:color w:val="FFFFFF"/>
              </w:rPr>
              <w:t xml:space="preserve">After the introduction of the </w:t>
            </w:r>
            <w:r w:rsidRPr="008D5728">
              <w:rPr>
                <w:rFonts w:eastAsia="Yu Gothic Light"/>
                <w:b/>
                <w:i/>
                <w:color w:val="FFFFFF"/>
              </w:rPr>
              <w:t>Aged Care Act 2024</w:t>
            </w:r>
            <w:r w:rsidRPr="008D5728">
              <w:rPr>
                <w:rFonts w:eastAsia="Yu Gothic Light"/>
                <w:b/>
                <w:color w:val="FFFFFF"/>
              </w:rPr>
              <w:t>, the older person is approved for</w:t>
            </w:r>
            <w:r w:rsidRPr="008D5728">
              <w:rPr>
                <w:rFonts w:eastAsia="Yu Gothic Light" w:hint="eastAsia"/>
                <w:b/>
                <w:color w:val="FFFFFF"/>
              </w:rPr>
              <w:t>…</w:t>
            </w:r>
          </w:p>
        </w:tc>
      </w:tr>
      <w:tr w:rsidR="005D728C" w:rsidRPr="008D5728" w14:paraId="40A04CB8" w14:textId="77777777">
        <w:tc>
          <w:tcPr>
            <w:tcW w:w="4106" w:type="dxa"/>
          </w:tcPr>
          <w:p w14:paraId="292A7697" w14:textId="77777777" w:rsidR="005D728C" w:rsidRPr="008D5728" w:rsidRDefault="005D728C" w:rsidP="0003231B">
            <w:pPr>
              <w:keepNext/>
              <w:spacing w:before="120" w:after="120"/>
              <w:rPr>
                <w:rFonts w:eastAsia="Yu Gothic Light"/>
              </w:rPr>
            </w:pPr>
            <w:r w:rsidRPr="008D5728">
              <w:rPr>
                <w:rFonts w:eastAsia="Yu Gothic Light"/>
              </w:rPr>
              <w:t>Home Care Package Level (1-4)</w:t>
            </w:r>
          </w:p>
        </w:tc>
        <w:tc>
          <w:tcPr>
            <w:tcW w:w="4820" w:type="dxa"/>
          </w:tcPr>
          <w:p w14:paraId="5D143746"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Home support</w:t>
            </w:r>
          </w:p>
          <w:p w14:paraId="6B997003"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Ongoing</w:t>
            </w:r>
          </w:p>
          <w:p w14:paraId="786B1F65" w14:textId="77777777" w:rsidR="005D728C" w:rsidRPr="008D5728" w:rsidRDefault="005D728C" w:rsidP="0003231B">
            <w:pPr>
              <w:keepNext/>
              <w:spacing w:before="120" w:after="120"/>
              <w:rPr>
                <w:rFonts w:eastAsia="Yu Gothic Light"/>
              </w:rPr>
            </w:pPr>
            <w:r w:rsidRPr="008D5728">
              <w:rPr>
                <w:rFonts w:eastAsia="Yu Gothic Light"/>
                <w:b/>
              </w:rPr>
              <w:t>Classification level:</w:t>
            </w:r>
            <w:r w:rsidRPr="008D5728">
              <w:rPr>
                <w:rFonts w:eastAsia="Yu Gothic Light"/>
              </w:rPr>
              <w:t xml:space="preserve"> SAH (Support at Home) Class (1-8)</w:t>
            </w:r>
          </w:p>
        </w:tc>
      </w:tr>
      <w:tr w:rsidR="005D728C" w:rsidRPr="008D5728" w14:paraId="63BD7CD0" w14:textId="77777777">
        <w:tc>
          <w:tcPr>
            <w:tcW w:w="4106" w:type="dxa"/>
          </w:tcPr>
          <w:p w14:paraId="60ABFF64" w14:textId="77777777" w:rsidR="005D728C" w:rsidRPr="008D5728" w:rsidRDefault="005D728C" w:rsidP="0003231B">
            <w:pPr>
              <w:keepNext/>
              <w:spacing w:before="120" w:after="120"/>
              <w:rPr>
                <w:rFonts w:eastAsia="Yu Gothic Light"/>
              </w:rPr>
            </w:pPr>
            <w:r w:rsidRPr="008D5728">
              <w:rPr>
                <w:rFonts w:eastAsia="Yu Gothic Light"/>
              </w:rPr>
              <w:t>Commonwealth Home Support Package (CHSP)</w:t>
            </w:r>
          </w:p>
        </w:tc>
        <w:tc>
          <w:tcPr>
            <w:tcW w:w="4820" w:type="dxa"/>
          </w:tcPr>
          <w:p w14:paraId="41718348"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Home support</w:t>
            </w:r>
          </w:p>
          <w:p w14:paraId="3AC646D6"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Ongoing</w:t>
            </w:r>
          </w:p>
          <w:p w14:paraId="639845E0" w14:textId="77777777" w:rsidR="005D728C" w:rsidRPr="008D5728" w:rsidRDefault="005D728C" w:rsidP="0003231B">
            <w:pPr>
              <w:keepNext/>
              <w:spacing w:before="120" w:after="120"/>
              <w:rPr>
                <w:rFonts w:eastAsia="Yu Gothic Light"/>
              </w:rPr>
            </w:pPr>
            <w:r w:rsidRPr="008D5728">
              <w:rPr>
                <w:rFonts w:eastAsia="Yu Gothic Light"/>
                <w:b/>
              </w:rPr>
              <w:t>Classification level:</w:t>
            </w:r>
            <w:r w:rsidRPr="008D5728">
              <w:rPr>
                <w:rFonts w:eastAsia="Yu Gothic Light"/>
              </w:rPr>
              <w:t xml:space="preserve"> CHSP Class</w:t>
            </w:r>
          </w:p>
        </w:tc>
      </w:tr>
      <w:tr w:rsidR="005D728C" w:rsidRPr="008D5728" w14:paraId="70DAD910" w14:textId="77777777">
        <w:tc>
          <w:tcPr>
            <w:tcW w:w="4106" w:type="dxa"/>
          </w:tcPr>
          <w:p w14:paraId="776A1A9D" w14:textId="77777777" w:rsidR="005D728C" w:rsidRPr="008D5728" w:rsidRDefault="005D728C" w:rsidP="0003231B">
            <w:pPr>
              <w:keepNext/>
              <w:spacing w:before="120" w:after="120"/>
              <w:rPr>
                <w:rFonts w:eastAsia="Yu Gothic Light"/>
              </w:rPr>
            </w:pPr>
            <w:r w:rsidRPr="008D5728">
              <w:rPr>
                <w:rFonts w:eastAsia="Yu Gothic Light"/>
              </w:rPr>
              <w:t>Residential respite care</w:t>
            </w:r>
          </w:p>
        </w:tc>
        <w:tc>
          <w:tcPr>
            <w:tcW w:w="4820" w:type="dxa"/>
          </w:tcPr>
          <w:p w14:paraId="3C8BFE2F"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Residential care</w:t>
            </w:r>
          </w:p>
          <w:p w14:paraId="61A3225F"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Short-term</w:t>
            </w:r>
          </w:p>
          <w:p w14:paraId="4A6A736C" w14:textId="77777777" w:rsidR="005D728C" w:rsidRPr="008D5728" w:rsidRDefault="005D728C" w:rsidP="0003231B">
            <w:pPr>
              <w:keepNext/>
              <w:spacing w:before="120" w:after="120"/>
              <w:rPr>
                <w:rFonts w:eastAsia="Yu Gothic Light"/>
                <w:b/>
              </w:rPr>
            </w:pPr>
            <w:r w:rsidRPr="008D5728">
              <w:rPr>
                <w:rFonts w:eastAsia="Yu Gothic Light"/>
                <w:b/>
              </w:rPr>
              <w:t>Classification level:</w:t>
            </w:r>
            <w:r w:rsidRPr="008D5728">
              <w:rPr>
                <w:rFonts w:eastAsia="Yu Gothic Light"/>
              </w:rPr>
              <w:t xml:space="preserve"> Respite Class (1-3)</w:t>
            </w:r>
          </w:p>
        </w:tc>
      </w:tr>
      <w:tr w:rsidR="005D728C" w:rsidRPr="008D5728" w14:paraId="3F2E87D9" w14:textId="77777777">
        <w:tc>
          <w:tcPr>
            <w:tcW w:w="4106" w:type="dxa"/>
          </w:tcPr>
          <w:p w14:paraId="16C62B0F" w14:textId="77777777" w:rsidR="005D728C" w:rsidRPr="008D5728" w:rsidRDefault="005D728C" w:rsidP="0003231B">
            <w:pPr>
              <w:keepNext/>
              <w:spacing w:before="120" w:after="120"/>
              <w:rPr>
                <w:rFonts w:eastAsia="Yu Gothic Light"/>
              </w:rPr>
            </w:pPr>
            <w:r w:rsidRPr="008D5728">
              <w:rPr>
                <w:rFonts w:eastAsia="Yu Gothic Light"/>
              </w:rPr>
              <w:t>Short-term Restorative Care Programme</w:t>
            </w:r>
          </w:p>
        </w:tc>
        <w:tc>
          <w:tcPr>
            <w:tcW w:w="4820" w:type="dxa"/>
          </w:tcPr>
          <w:p w14:paraId="4B6E95D2" w14:textId="77777777" w:rsidR="005D728C" w:rsidRPr="008D5728" w:rsidRDefault="005D728C" w:rsidP="0003231B">
            <w:pPr>
              <w:keepNext/>
              <w:spacing w:before="120" w:after="120"/>
              <w:rPr>
                <w:rFonts w:eastAsia="Yu Gothic Light"/>
              </w:rPr>
            </w:pPr>
            <w:r w:rsidRPr="008D5728">
              <w:rPr>
                <w:rFonts w:eastAsia="Yu Gothic Light"/>
                <w:b/>
              </w:rPr>
              <w:t>Service group:</w:t>
            </w:r>
            <w:r w:rsidRPr="008D5728">
              <w:rPr>
                <w:rFonts w:eastAsia="Yu Gothic Light"/>
              </w:rPr>
              <w:t xml:space="preserve"> Home support</w:t>
            </w:r>
          </w:p>
          <w:p w14:paraId="6C767C0B" w14:textId="77777777" w:rsidR="005D728C" w:rsidRPr="008D5728" w:rsidRDefault="005D728C" w:rsidP="0003231B">
            <w:pPr>
              <w:keepNext/>
              <w:spacing w:before="120" w:after="120"/>
              <w:rPr>
                <w:rFonts w:eastAsia="Yu Gothic Light"/>
              </w:rPr>
            </w:pPr>
            <w:r w:rsidRPr="008D5728">
              <w:rPr>
                <w:rFonts w:eastAsia="Yu Gothic Light"/>
                <w:b/>
              </w:rPr>
              <w:t>Classification type:</w:t>
            </w:r>
            <w:r w:rsidRPr="008D5728">
              <w:rPr>
                <w:rFonts w:eastAsia="Yu Gothic Light"/>
              </w:rPr>
              <w:t xml:space="preserve"> Short-term</w:t>
            </w:r>
          </w:p>
          <w:p w14:paraId="18819B46" w14:textId="77777777" w:rsidR="005D728C" w:rsidRPr="008D5728" w:rsidRDefault="005D728C" w:rsidP="0003231B">
            <w:pPr>
              <w:keepNext/>
              <w:spacing w:before="120" w:after="120"/>
              <w:rPr>
                <w:rFonts w:eastAsia="Yu Gothic Light"/>
                <w:b/>
              </w:rPr>
            </w:pPr>
            <w:r w:rsidRPr="008D5728">
              <w:rPr>
                <w:rFonts w:eastAsia="Yu Gothic Light"/>
                <w:b/>
              </w:rPr>
              <w:t>Classification level:</w:t>
            </w:r>
            <w:r w:rsidRPr="008D5728">
              <w:rPr>
                <w:rFonts w:eastAsia="Yu Gothic Light"/>
              </w:rPr>
              <w:t xml:space="preserve"> SAH Restorative Care Pathway</w:t>
            </w:r>
          </w:p>
        </w:tc>
      </w:tr>
    </w:tbl>
    <w:p w14:paraId="65051A70" w14:textId="77777777" w:rsidR="005D728C" w:rsidRPr="008D5728" w:rsidRDefault="005D728C" w:rsidP="00622CFF">
      <w:pPr>
        <w:spacing w:before="240" w:after="240" w:line="240" w:lineRule="auto"/>
        <w:rPr>
          <w:rFonts w:eastAsia="Yu Gothic Light"/>
        </w:rPr>
      </w:pPr>
      <w:r w:rsidRPr="008D5728">
        <w:rPr>
          <w:rFonts w:eastAsia="Yu Gothic Light"/>
        </w:rPr>
        <w:t xml:space="preserve">The following sections show the possible combinations of classification type and classification level a person can be approved for under each service group. </w:t>
      </w:r>
    </w:p>
    <w:p w14:paraId="0FD430B4" w14:textId="77777777" w:rsidR="005D728C" w:rsidRPr="008D5728" w:rsidRDefault="005D728C" w:rsidP="00622CFF">
      <w:pPr>
        <w:spacing w:before="240" w:after="240" w:line="240" w:lineRule="auto"/>
        <w:rPr>
          <w:rFonts w:ascii="Aptos Display" w:eastAsia="Yu Gothic Light" w:hAnsi="Aptos Display" w:cs="Times New Roman"/>
          <w:b/>
          <w:color w:val="2E74B5"/>
          <w:sz w:val="32"/>
          <w:szCs w:val="32"/>
        </w:rPr>
      </w:pPr>
      <w:r w:rsidRPr="008D5728">
        <w:rPr>
          <w:rFonts w:eastAsia="Yu Gothic Light"/>
        </w:rPr>
        <w:t>Decisions for service group and classification type are made under section 65(2) of the Act. Decisions for classification level are made under section 78 of the Act.</w:t>
      </w:r>
    </w:p>
    <w:p w14:paraId="5A5D2016" w14:textId="77777777" w:rsidR="005D728C" w:rsidRDefault="005D728C" w:rsidP="00C56CEC">
      <w:pPr>
        <w:pStyle w:val="H3"/>
      </w:pPr>
      <w:r w:rsidRPr="008D5728">
        <w:t>Service group: Home support</w:t>
      </w:r>
    </w:p>
    <w:p w14:paraId="41A4DCC2" w14:textId="02FB84A9" w:rsidR="005D728C" w:rsidRPr="008D5728" w:rsidRDefault="005D728C" w:rsidP="00622CFF">
      <w:pPr>
        <w:pStyle w:val="Caption"/>
        <w:spacing w:before="240" w:after="240"/>
        <w:rPr>
          <w:rFonts w:eastAsia="Yu Gothic Light"/>
        </w:rPr>
      </w:pPr>
      <w:r>
        <w:rPr>
          <w:rFonts w:eastAsia="Yu Gothic Light"/>
        </w:rPr>
        <w:t xml:space="preserve">Table </w:t>
      </w:r>
      <w:r w:rsidR="000C7B48">
        <w:rPr>
          <w:rFonts w:eastAsia="Yu Gothic Light"/>
        </w:rPr>
        <w:t>40</w:t>
      </w:r>
      <w:r>
        <w:rPr>
          <w:rFonts w:eastAsia="Yu Gothic Light"/>
        </w:rPr>
        <w:t xml:space="preserve">. Possible combinations of classification type and classification level under the service group of home support </w:t>
      </w:r>
    </w:p>
    <w:tbl>
      <w:tblPr>
        <w:tblW w:w="9006" w:type="dxa"/>
        <w:tblBorders>
          <w:bottom w:val="single" w:sz="4" w:space="0" w:color="auto"/>
          <w:insideH w:val="single" w:sz="4" w:space="0" w:color="auto"/>
        </w:tblBorders>
        <w:tblCellMar>
          <w:left w:w="0" w:type="dxa"/>
          <w:right w:w="0" w:type="dxa"/>
        </w:tblCellMar>
        <w:tblLook w:val="0420" w:firstRow="1" w:lastRow="0" w:firstColumn="0" w:lastColumn="0" w:noHBand="0" w:noVBand="1"/>
        <w:tblCaption w:val="Possible combinations of classification type and classification level under the service group home support"/>
      </w:tblPr>
      <w:tblGrid>
        <w:gridCol w:w="1837"/>
        <w:gridCol w:w="2229"/>
        <w:gridCol w:w="4940"/>
      </w:tblGrid>
      <w:tr w:rsidR="005D728C" w:rsidRPr="008D5728" w14:paraId="0CD6D361" w14:textId="77777777">
        <w:trPr>
          <w:trHeight w:val="269"/>
        </w:trPr>
        <w:tc>
          <w:tcPr>
            <w:tcW w:w="1837" w:type="dxa"/>
            <w:shd w:val="clear" w:color="auto" w:fill="002060"/>
          </w:tcPr>
          <w:p w14:paraId="6CB5E67A" w14:textId="77777777" w:rsidR="005D728C" w:rsidRPr="008D5728" w:rsidRDefault="005D728C" w:rsidP="00622CFF">
            <w:pPr>
              <w:spacing w:before="240" w:after="240" w:line="240" w:lineRule="auto"/>
              <w:rPr>
                <w:rFonts w:eastAsia="Yu Gothic Light"/>
                <w:b/>
                <w:color w:val="FFFFFF"/>
              </w:rPr>
            </w:pPr>
            <w:r w:rsidRPr="008D5728">
              <w:rPr>
                <w:rFonts w:eastAsia="Yu Gothic Light"/>
                <w:b/>
              </w:rPr>
              <w:t>Service group</w:t>
            </w:r>
          </w:p>
        </w:tc>
        <w:tc>
          <w:tcPr>
            <w:tcW w:w="2229" w:type="dxa"/>
            <w:shd w:val="clear" w:color="auto" w:fill="002060"/>
            <w:tcMar>
              <w:top w:w="72" w:type="dxa"/>
              <w:left w:w="144" w:type="dxa"/>
              <w:bottom w:w="72" w:type="dxa"/>
              <w:right w:w="144" w:type="dxa"/>
            </w:tcMar>
            <w:hideMark/>
          </w:tcPr>
          <w:p w14:paraId="1957B4A8" w14:textId="77777777" w:rsidR="005D728C" w:rsidRPr="008D5728" w:rsidRDefault="005D728C" w:rsidP="00622CFF">
            <w:pPr>
              <w:spacing w:before="240" w:after="240" w:line="240" w:lineRule="auto"/>
              <w:rPr>
                <w:rFonts w:eastAsia="Yu Gothic Light"/>
                <w:b/>
                <w:color w:val="FFFFFF"/>
              </w:rPr>
            </w:pPr>
            <w:r w:rsidRPr="008D5728">
              <w:rPr>
                <w:rFonts w:eastAsia="Yu Gothic Light"/>
                <w:b/>
              </w:rPr>
              <w:t>Classification type</w:t>
            </w:r>
          </w:p>
        </w:tc>
        <w:tc>
          <w:tcPr>
            <w:tcW w:w="4940" w:type="dxa"/>
            <w:shd w:val="clear" w:color="auto" w:fill="002060"/>
            <w:tcMar>
              <w:top w:w="72" w:type="dxa"/>
              <w:left w:w="144" w:type="dxa"/>
              <w:bottom w:w="72" w:type="dxa"/>
              <w:right w:w="144" w:type="dxa"/>
            </w:tcMar>
            <w:hideMark/>
          </w:tcPr>
          <w:p w14:paraId="54BA5EE1" w14:textId="77777777" w:rsidR="005D728C" w:rsidRPr="008D5728" w:rsidRDefault="005D728C" w:rsidP="00622CFF">
            <w:pPr>
              <w:spacing w:before="240" w:after="240" w:line="240" w:lineRule="auto"/>
              <w:rPr>
                <w:rFonts w:eastAsia="Yu Gothic Light"/>
                <w:b/>
                <w:color w:val="FFFFFF"/>
              </w:rPr>
            </w:pPr>
            <w:r w:rsidRPr="008D5728">
              <w:rPr>
                <w:rFonts w:eastAsia="Yu Gothic Light"/>
                <w:b/>
              </w:rPr>
              <w:t>Classification level</w:t>
            </w:r>
            <w:r w:rsidRPr="008D5728">
              <w:rPr>
                <w:rFonts w:eastAsia="Yu Gothic Light"/>
                <w:b/>
              </w:rPr>
              <w:br/>
            </w:r>
          </w:p>
        </w:tc>
      </w:tr>
      <w:tr w:rsidR="005D728C" w:rsidRPr="008D5728" w14:paraId="3714D86D" w14:textId="77777777">
        <w:trPr>
          <w:trHeight w:val="584"/>
        </w:trPr>
        <w:tc>
          <w:tcPr>
            <w:tcW w:w="1837" w:type="dxa"/>
          </w:tcPr>
          <w:p w14:paraId="2877EA76"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Home Support</w:t>
            </w:r>
          </w:p>
        </w:tc>
        <w:tc>
          <w:tcPr>
            <w:tcW w:w="2229" w:type="dxa"/>
            <w:tcMar>
              <w:top w:w="72" w:type="dxa"/>
              <w:left w:w="144" w:type="dxa"/>
              <w:bottom w:w="72" w:type="dxa"/>
              <w:right w:w="144" w:type="dxa"/>
            </w:tcMar>
            <w:hideMark/>
          </w:tcPr>
          <w:p w14:paraId="1B6A6984"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Ongoing</w:t>
            </w:r>
          </w:p>
        </w:tc>
        <w:tc>
          <w:tcPr>
            <w:tcW w:w="4940" w:type="dxa"/>
            <w:tcMar>
              <w:top w:w="72" w:type="dxa"/>
              <w:left w:w="144" w:type="dxa"/>
              <w:bottom w:w="72" w:type="dxa"/>
              <w:right w:w="144" w:type="dxa"/>
            </w:tcMar>
            <w:hideMark/>
          </w:tcPr>
          <w:p w14:paraId="5C5EACB7" w14:textId="77777777" w:rsidR="005D728C" w:rsidRPr="008D5728" w:rsidRDefault="005D728C" w:rsidP="005960D3">
            <w:pPr>
              <w:spacing w:before="120" w:after="120" w:line="240" w:lineRule="auto"/>
              <w:rPr>
                <w:rFonts w:eastAsia="Yu Gothic Light"/>
                <w:b/>
                <w:color w:val="FFFFFF"/>
              </w:rPr>
            </w:pPr>
            <w:r w:rsidRPr="008D5728">
              <w:rPr>
                <w:rFonts w:eastAsia="Yu Gothic Light"/>
              </w:rPr>
              <w:t>CHSP class</w:t>
            </w:r>
            <w:r w:rsidRPr="008D5728">
              <w:rPr>
                <w:rFonts w:eastAsia="Yu Gothic Light"/>
              </w:rPr>
              <w:br/>
              <w:t>Support at Home (SAH) class 1 to 8</w:t>
            </w:r>
          </w:p>
        </w:tc>
      </w:tr>
      <w:tr w:rsidR="005D728C" w:rsidRPr="008D5728" w14:paraId="6DDB2C77" w14:textId="77777777">
        <w:trPr>
          <w:trHeight w:val="584"/>
        </w:trPr>
        <w:tc>
          <w:tcPr>
            <w:tcW w:w="1837" w:type="dxa"/>
          </w:tcPr>
          <w:p w14:paraId="35BF8F50" w14:textId="77777777" w:rsidR="005D728C" w:rsidRPr="008D5728" w:rsidRDefault="005D728C" w:rsidP="005960D3">
            <w:pPr>
              <w:spacing w:before="120" w:after="120" w:line="240" w:lineRule="auto"/>
              <w:rPr>
                <w:rFonts w:eastAsia="Yu Gothic Light"/>
                <w:b/>
                <w:color w:val="FFFFFF"/>
              </w:rPr>
            </w:pPr>
          </w:p>
        </w:tc>
        <w:tc>
          <w:tcPr>
            <w:tcW w:w="2229" w:type="dxa"/>
            <w:tcMar>
              <w:top w:w="72" w:type="dxa"/>
              <w:left w:w="144" w:type="dxa"/>
              <w:bottom w:w="72" w:type="dxa"/>
              <w:right w:w="144" w:type="dxa"/>
            </w:tcMar>
            <w:hideMark/>
          </w:tcPr>
          <w:p w14:paraId="10E9AF01"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Short-term</w:t>
            </w:r>
          </w:p>
        </w:tc>
        <w:tc>
          <w:tcPr>
            <w:tcW w:w="4940" w:type="dxa"/>
            <w:tcMar>
              <w:top w:w="72" w:type="dxa"/>
              <w:left w:w="144" w:type="dxa"/>
              <w:bottom w:w="72" w:type="dxa"/>
              <w:right w:w="144" w:type="dxa"/>
            </w:tcMar>
            <w:hideMark/>
          </w:tcPr>
          <w:p w14:paraId="6FEB8304" w14:textId="77777777" w:rsidR="005D728C" w:rsidRPr="008D5728" w:rsidRDefault="005D728C" w:rsidP="005960D3">
            <w:pPr>
              <w:spacing w:before="120" w:after="120" w:line="240" w:lineRule="auto"/>
              <w:rPr>
                <w:rFonts w:eastAsia="Yu Gothic Light"/>
              </w:rPr>
            </w:pPr>
            <w:r w:rsidRPr="008D5728">
              <w:rPr>
                <w:rFonts w:eastAsia="Yu Gothic Light"/>
              </w:rPr>
              <w:t>SAH restorative care pathway</w:t>
            </w:r>
          </w:p>
          <w:p w14:paraId="390E1F7F" w14:textId="77777777" w:rsidR="005D728C" w:rsidRPr="008D5728" w:rsidRDefault="005D728C" w:rsidP="005960D3">
            <w:pPr>
              <w:spacing w:before="120" w:after="120" w:line="240" w:lineRule="auto"/>
              <w:rPr>
                <w:rFonts w:eastAsia="Yu Gothic Light"/>
                <w:b/>
                <w:color w:val="FFFFFF"/>
              </w:rPr>
            </w:pPr>
            <w:r w:rsidRPr="008D5728">
              <w:rPr>
                <w:rFonts w:eastAsia="Yu Gothic Light"/>
              </w:rPr>
              <w:t>SAH end-of-life pathway</w:t>
            </w:r>
          </w:p>
        </w:tc>
      </w:tr>
      <w:tr w:rsidR="005D728C" w:rsidRPr="008D5728" w14:paraId="7BBF09A0" w14:textId="77777777">
        <w:trPr>
          <w:trHeight w:val="794"/>
        </w:trPr>
        <w:tc>
          <w:tcPr>
            <w:tcW w:w="1837" w:type="dxa"/>
          </w:tcPr>
          <w:p w14:paraId="0C45CF90" w14:textId="77777777" w:rsidR="005D728C" w:rsidRPr="008D5728" w:rsidRDefault="005D728C" w:rsidP="005960D3">
            <w:pPr>
              <w:spacing w:before="120" w:after="120" w:line="240" w:lineRule="auto"/>
              <w:rPr>
                <w:rFonts w:eastAsia="Yu Gothic Light"/>
                <w:b/>
                <w:color w:val="FFFFFF"/>
              </w:rPr>
            </w:pPr>
          </w:p>
        </w:tc>
        <w:tc>
          <w:tcPr>
            <w:tcW w:w="2229" w:type="dxa"/>
            <w:tcMar>
              <w:top w:w="72" w:type="dxa"/>
              <w:left w:w="144" w:type="dxa"/>
              <w:bottom w:w="72" w:type="dxa"/>
              <w:right w:w="144" w:type="dxa"/>
            </w:tcMar>
            <w:hideMark/>
          </w:tcPr>
          <w:p w14:paraId="6D388460" w14:textId="77777777" w:rsidR="005D728C" w:rsidRPr="008D5728" w:rsidRDefault="005D728C" w:rsidP="005960D3">
            <w:pPr>
              <w:spacing w:before="120" w:after="120" w:line="240" w:lineRule="auto"/>
              <w:rPr>
                <w:rFonts w:eastAsia="Yu Gothic Light"/>
                <w:b/>
                <w:color w:val="FFFFFF"/>
              </w:rPr>
            </w:pPr>
            <w:r w:rsidRPr="008D5728">
              <w:rPr>
                <w:rFonts w:eastAsia="Yu Gothic Light"/>
                <w:b/>
              </w:rPr>
              <w:t>Hospital transition</w:t>
            </w:r>
          </w:p>
        </w:tc>
        <w:tc>
          <w:tcPr>
            <w:tcW w:w="4940" w:type="dxa"/>
            <w:tcMar>
              <w:top w:w="72" w:type="dxa"/>
              <w:left w:w="144" w:type="dxa"/>
              <w:bottom w:w="72" w:type="dxa"/>
              <w:right w:w="144" w:type="dxa"/>
            </w:tcMar>
            <w:hideMark/>
          </w:tcPr>
          <w:p w14:paraId="2C3B5881" w14:textId="77777777" w:rsidR="005D728C" w:rsidRPr="008D5728" w:rsidRDefault="005D728C" w:rsidP="005960D3">
            <w:pPr>
              <w:spacing w:before="120" w:after="120" w:line="240" w:lineRule="auto"/>
              <w:rPr>
                <w:rFonts w:eastAsia="Yu Gothic Light"/>
                <w:b/>
                <w:color w:val="FFFFFF"/>
              </w:rPr>
            </w:pPr>
            <w:r w:rsidRPr="008D5728">
              <w:rPr>
                <w:rFonts w:eastAsia="Yu Gothic Light"/>
              </w:rPr>
              <w:t>Home Support Hospital Transition class (HS HT class)</w:t>
            </w:r>
          </w:p>
        </w:tc>
      </w:tr>
    </w:tbl>
    <w:p w14:paraId="601056C6" w14:textId="77777777" w:rsidR="005D728C" w:rsidRDefault="005D728C" w:rsidP="00C56CEC">
      <w:pPr>
        <w:pStyle w:val="H3"/>
      </w:pPr>
      <w:r w:rsidRPr="008D5728">
        <w:t>Service group: Assistive technology</w:t>
      </w:r>
    </w:p>
    <w:p w14:paraId="6DDDCE42" w14:textId="023AC0B9" w:rsidR="005D728C" w:rsidRPr="008D5728" w:rsidRDefault="005D728C" w:rsidP="005960D3">
      <w:pPr>
        <w:pStyle w:val="Caption"/>
        <w:spacing w:before="120" w:after="120"/>
        <w:rPr>
          <w:rFonts w:eastAsia="Yu Gothic Light"/>
        </w:rPr>
      </w:pPr>
      <w:r>
        <w:rPr>
          <w:rFonts w:eastAsia="Yu Gothic Light"/>
        </w:rPr>
        <w:t xml:space="preserve">Table </w:t>
      </w:r>
      <w:r w:rsidR="00854D2E">
        <w:rPr>
          <w:rFonts w:eastAsia="Yu Gothic Light"/>
        </w:rPr>
        <w:t>4</w:t>
      </w:r>
      <w:r w:rsidR="000C7B48">
        <w:rPr>
          <w:rFonts w:eastAsia="Yu Gothic Light"/>
        </w:rPr>
        <w:t>1</w:t>
      </w:r>
      <w:r>
        <w:rPr>
          <w:rFonts w:eastAsia="Yu Gothic Light"/>
        </w:rPr>
        <w:t>. Possible combinations of classification type and classification level under the service group of assistive technology</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assistive technology"/>
      </w:tblPr>
      <w:tblGrid>
        <w:gridCol w:w="1837"/>
        <w:gridCol w:w="2229"/>
        <w:gridCol w:w="4940"/>
      </w:tblGrid>
      <w:tr w:rsidR="005D728C" w:rsidRPr="008D5728" w14:paraId="5BCAE0D7" w14:textId="77777777" w:rsidTr="00BF1A2E">
        <w:trPr>
          <w:trHeight w:val="20"/>
        </w:trPr>
        <w:tc>
          <w:tcPr>
            <w:tcW w:w="1837" w:type="dxa"/>
            <w:tcBorders>
              <w:top w:val="single" w:sz="8" w:space="0" w:color="FFFFFF"/>
              <w:left w:val="single" w:sz="8" w:space="0" w:color="FFFFFF"/>
              <w:bottom w:val="single" w:sz="24" w:space="0" w:color="FFFFFF"/>
              <w:right w:val="single" w:sz="8" w:space="0" w:color="FFFFFF"/>
            </w:tcBorders>
            <w:shd w:val="clear" w:color="auto" w:fill="002060"/>
          </w:tcPr>
          <w:p w14:paraId="713E9C21"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Service group</w:t>
            </w:r>
          </w:p>
        </w:tc>
        <w:tc>
          <w:tcPr>
            <w:tcW w:w="222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09F89C65"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type</w:t>
            </w:r>
          </w:p>
        </w:tc>
        <w:tc>
          <w:tcPr>
            <w:tcW w:w="4940"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219492A7"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level</w:t>
            </w:r>
            <w:r w:rsidRPr="008D5728">
              <w:rPr>
                <w:rFonts w:eastAsia="Yu Gothic Light"/>
                <w:b/>
                <w:color w:val="FFFFFF"/>
              </w:rPr>
              <w:br/>
            </w:r>
          </w:p>
        </w:tc>
      </w:tr>
      <w:tr w:rsidR="005D728C" w:rsidRPr="008D5728" w14:paraId="1F8B8A3C" w14:textId="77777777" w:rsidTr="00BF1A2E">
        <w:trPr>
          <w:trHeight w:val="335"/>
        </w:trPr>
        <w:tc>
          <w:tcPr>
            <w:tcW w:w="1837"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11207F96" w14:textId="77777777" w:rsidR="005D728C" w:rsidRPr="008D5728" w:rsidRDefault="005D728C" w:rsidP="005960D3">
            <w:pPr>
              <w:spacing w:before="120" w:after="120" w:line="240" w:lineRule="auto"/>
              <w:rPr>
                <w:rFonts w:eastAsia="Yu Gothic Light"/>
                <w:b/>
              </w:rPr>
            </w:pPr>
            <w:r w:rsidRPr="008D5728">
              <w:rPr>
                <w:rFonts w:eastAsia="Yu Gothic Light"/>
                <w:b/>
              </w:rPr>
              <w:t>Assistive technology</w:t>
            </w:r>
          </w:p>
        </w:tc>
        <w:tc>
          <w:tcPr>
            <w:tcW w:w="2229"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26CB4B0D" w14:textId="77777777" w:rsidR="005D728C" w:rsidRPr="008D5728" w:rsidRDefault="005D728C" w:rsidP="005960D3">
            <w:pPr>
              <w:spacing w:before="120" w:after="120" w:line="240" w:lineRule="auto"/>
              <w:rPr>
                <w:rFonts w:eastAsia="Yu Gothic Light"/>
                <w:b/>
              </w:rPr>
            </w:pPr>
            <w:r w:rsidRPr="008D5728">
              <w:rPr>
                <w:rFonts w:eastAsia="Yu Gothic Light"/>
                <w:b/>
              </w:rPr>
              <w:t>Ongoing</w:t>
            </w:r>
          </w:p>
        </w:tc>
        <w:tc>
          <w:tcPr>
            <w:tcW w:w="4940"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600AF5FB" w14:textId="77777777" w:rsidR="005D728C" w:rsidRPr="008D5728" w:rsidRDefault="005D728C" w:rsidP="005960D3">
            <w:pPr>
              <w:spacing w:before="120" w:after="120" w:line="240" w:lineRule="auto"/>
              <w:rPr>
                <w:rFonts w:eastAsia="Yu Gothic Light"/>
              </w:rPr>
            </w:pPr>
            <w:r w:rsidRPr="008D5728">
              <w:rPr>
                <w:rFonts w:eastAsia="Yu Gothic Light"/>
              </w:rPr>
              <w:t>assistance dogs</w:t>
            </w:r>
          </w:p>
        </w:tc>
      </w:tr>
      <w:tr w:rsidR="005D728C" w:rsidRPr="008D5728" w14:paraId="334C0437" w14:textId="77777777" w:rsidTr="00BF1A2E">
        <w:trPr>
          <w:trHeight w:val="584"/>
        </w:trPr>
        <w:tc>
          <w:tcPr>
            <w:tcW w:w="1837"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4742D06D" w14:textId="77777777" w:rsidR="005D728C" w:rsidRPr="008D5728" w:rsidRDefault="005D728C" w:rsidP="005960D3">
            <w:pPr>
              <w:spacing w:before="120" w:after="120" w:line="240" w:lineRule="auto"/>
              <w:rPr>
                <w:rFonts w:eastAsia="Yu Gothic Light"/>
                <w:b/>
              </w:rPr>
            </w:pPr>
          </w:p>
        </w:tc>
        <w:tc>
          <w:tcPr>
            <w:tcW w:w="2229"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6942BB04" w14:textId="77777777" w:rsidR="005D728C" w:rsidRPr="008D5728" w:rsidRDefault="005D728C" w:rsidP="005960D3">
            <w:pPr>
              <w:spacing w:before="120" w:after="120" w:line="240" w:lineRule="auto"/>
              <w:rPr>
                <w:rFonts w:eastAsia="Yu Gothic Light"/>
                <w:b/>
              </w:rPr>
            </w:pPr>
            <w:r w:rsidRPr="008D5728">
              <w:rPr>
                <w:rFonts w:eastAsia="Yu Gothic Light"/>
                <w:b/>
              </w:rPr>
              <w:t>Short-term</w:t>
            </w:r>
          </w:p>
        </w:tc>
        <w:tc>
          <w:tcPr>
            <w:tcW w:w="4940"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00D64FD" w14:textId="77777777" w:rsidR="005D728C" w:rsidRPr="008D5728" w:rsidRDefault="005D728C" w:rsidP="005960D3">
            <w:pPr>
              <w:spacing w:before="120" w:after="120" w:line="240" w:lineRule="auto"/>
              <w:rPr>
                <w:rFonts w:eastAsia="Yu Gothic Light"/>
              </w:rPr>
            </w:pPr>
            <w:r w:rsidRPr="008D5728">
              <w:rPr>
                <w:rFonts w:eastAsia="Yu Gothic Light"/>
              </w:rPr>
              <w:t>AT CHSP</w:t>
            </w:r>
          </w:p>
          <w:p w14:paraId="5CE82443" w14:textId="77777777" w:rsidR="005D728C" w:rsidRPr="008D5728" w:rsidRDefault="005D728C" w:rsidP="005960D3">
            <w:pPr>
              <w:spacing w:before="120" w:after="120" w:line="240" w:lineRule="auto"/>
              <w:rPr>
                <w:rFonts w:eastAsia="Yu Gothic Light"/>
              </w:rPr>
            </w:pPr>
            <w:r w:rsidRPr="008D5728">
              <w:rPr>
                <w:rFonts w:eastAsia="Yu Gothic Light"/>
              </w:rPr>
              <w:t>AT low</w:t>
            </w:r>
          </w:p>
          <w:p w14:paraId="50C3FCD3" w14:textId="77777777" w:rsidR="005D728C" w:rsidRPr="008D5728" w:rsidRDefault="005D728C" w:rsidP="005960D3">
            <w:pPr>
              <w:spacing w:before="120" w:after="120" w:line="240" w:lineRule="auto"/>
              <w:rPr>
                <w:rFonts w:eastAsia="Yu Gothic Light"/>
              </w:rPr>
            </w:pPr>
            <w:r w:rsidRPr="008D5728">
              <w:rPr>
                <w:rFonts w:eastAsia="Yu Gothic Light"/>
              </w:rPr>
              <w:t>AT medium</w:t>
            </w:r>
          </w:p>
          <w:p w14:paraId="09C7065E" w14:textId="77777777" w:rsidR="005D728C" w:rsidRPr="008D5728" w:rsidRDefault="005D728C" w:rsidP="005960D3">
            <w:pPr>
              <w:spacing w:before="120" w:after="120" w:line="240" w:lineRule="auto"/>
              <w:rPr>
                <w:rFonts w:eastAsia="Yu Gothic Light"/>
              </w:rPr>
            </w:pPr>
            <w:r w:rsidRPr="008D5728">
              <w:rPr>
                <w:rFonts w:eastAsia="Yu Gothic Light"/>
              </w:rPr>
              <w:t>AT high</w:t>
            </w:r>
          </w:p>
        </w:tc>
      </w:tr>
      <w:tr w:rsidR="005D728C" w:rsidRPr="008D5728" w14:paraId="2F882E51" w14:textId="77777777" w:rsidTr="00BF1A2E">
        <w:trPr>
          <w:trHeight w:val="584"/>
        </w:trPr>
        <w:tc>
          <w:tcPr>
            <w:tcW w:w="1837" w:type="dxa"/>
            <w:tcBorders>
              <w:top w:val="single" w:sz="8" w:space="0" w:color="FFFFFF"/>
              <w:left w:val="single" w:sz="8" w:space="0" w:color="FFFFFF"/>
              <w:bottom w:val="single" w:sz="8" w:space="0" w:color="FFFFFF"/>
            </w:tcBorders>
            <w:shd w:val="clear" w:color="auto" w:fill="FFFFFF" w:themeFill="background1"/>
          </w:tcPr>
          <w:p w14:paraId="064A7113" w14:textId="77777777" w:rsidR="005D728C" w:rsidRPr="008D5728" w:rsidRDefault="005D728C" w:rsidP="005960D3">
            <w:pPr>
              <w:spacing w:before="120" w:after="120" w:line="240" w:lineRule="auto"/>
              <w:rPr>
                <w:rFonts w:eastAsia="Yu Gothic Light"/>
                <w:b/>
              </w:rPr>
            </w:pPr>
          </w:p>
        </w:tc>
        <w:tc>
          <w:tcPr>
            <w:tcW w:w="2229" w:type="dxa"/>
            <w:tcBorders>
              <w:top w:val="single" w:sz="4" w:space="0" w:color="auto"/>
            </w:tcBorders>
            <w:shd w:val="clear" w:color="auto" w:fill="FFFFFF" w:themeFill="background1"/>
            <w:tcMar>
              <w:top w:w="72" w:type="dxa"/>
              <w:left w:w="144" w:type="dxa"/>
              <w:bottom w:w="72" w:type="dxa"/>
              <w:right w:w="144" w:type="dxa"/>
            </w:tcMar>
            <w:hideMark/>
          </w:tcPr>
          <w:p w14:paraId="70E09721" w14:textId="77777777" w:rsidR="005D728C" w:rsidRPr="008D5728" w:rsidRDefault="005D728C" w:rsidP="005960D3">
            <w:pPr>
              <w:spacing w:before="120" w:after="120" w:line="240" w:lineRule="auto"/>
              <w:rPr>
                <w:rFonts w:eastAsia="Yu Gothic Light"/>
                <w:b/>
              </w:rPr>
            </w:pPr>
            <w:r w:rsidRPr="008D5728">
              <w:rPr>
                <w:rFonts w:eastAsia="Yu Gothic Light"/>
                <w:b/>
              </w:rPr>
              <w:t>Hospital transition</w:t>
            </w:r>
          </w:p>
        </w:tc>
        <w:tc>
          <w:tcPr>
            <w:tcW w:w="4940" w:type="dxa"/>
            <w:tcBorders>
              <w:top w:val="single" w:sz="4" w:space="0" w:color="auto"/>
              <w:left w:val="nil"/>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312B3C9" w14:textId="24568880" w:rsidR="005D728C" w:rsidRPr="008D5728" w:rsidRDefault="005D728C" w:rsidP="005960D3">
            <w:pPr>
              <w:spacing w:before="120" w:after="120" w:line="240" w:lineRule="auto"/>
              <w:rPr>
                <w:rFonts w:eastAsia="Yu Gothic Light"/>
              </w:rPr>
            </w:pPr>
            <w:r w:rsidRPr="008D5728">
              <w:rPr>
                <w:rFonts w:eastAsia="Yu Gothic Light"/>
              </w:rPr>
              <w:t>AT HT class</w:t>
            </w:r>
          </w:p>
        </w:tc>
      </w:tr>
    </w:tbl>
    <w:p w14:paraId="16659C7D" w14:textId="77777777" w:rsidR="005D728C" w:rsidRPr="008D5728" w:rsidRDefault="005D728C" w:rsidP="005960D3">
      <w:pPr>
        <w:spacing w:before="120" w:after="120" w:line="240" w:lineRule="auto"/>
        <w:rPr>
          <w:rFonts w:eastAsia="Yu Gothic Light"/>
        </w:rPr>
      </w:pPr>
      <w:r w:rsidRPr="008D5728">
        <w:rPr>
          <w:rFonts w:eastAsia="Yu Gothic Light"/>
        </w:rPr>
        <w:t xml:space="preserve">Note that classification levels are also referred to as </w:t>
      </w:r>
      <w:r w:rsidRPr="008D5728">
        <w:rPr>
          <w:rFonts w:eastAsia="Yu Gothic Light" w:hint="eastAsia"/>
        </w:rPr>
        <w:t>‘</w:t>
      </w:r>
      <w:r w:rsidRPr="008D5728">
        <w:rPr>
          <w:rFonts w:eastAsia="Yu Gothic Light"/>
        </w:rPr>
        <w:t>funding tiers</w:t>
      </w:r>
      <w:r w:rsidRPr="008D5728">
        <w:rPr>
          <w:rFonts w:eastAsia="Yu Gothic Light" w:hint="eastAsia"/>
        </w:rPr>
        <w:t>’</w:t>
      </w:r>
      <w:r w:rsidRPr="008D5728">
        <w:rPr>
          <w:rFonts w:eastAsia="Yu Gothic Light"/>
        </w:rPr>
        <w:t xml:space="preserve"> in the Support at Home program.</w:t>
      </w:r>
    </w:p>
    <w:p w14:paraId="533130B0" w14:textId="77777777" w:rsidR="005D728C" w:rsidRDefault="005D728C" w:rsidP="00C56CEC">
      <w:pPr>
        <w:pStyle w:val="H3"/>
      </w:pPr>
      <w:r w:rsidRPr="008D5728">
        <w:t>Service group: Home modifications</w:t>
      </w:r>
    </w:p>
    <w:p w14:paraId="2125C281" w14:textId="56F31BF1" w:rsidR="005D728C" w:rsidRPr="008D5728" w:rsidRDefault="005D728C" w:rsidP="005960D3">
      <w:pPr>
        <w:pStyle w:val="Caption"/>
        <w:spacing w:before="120" w:after="120"/>
        <w:rPr>
          <w:rFonts w:eastAsia="Yu Gothic Light"/>
        </w:rPr>
      </w:pPr>
      <w:r>
        <w:rPr>
          <w:rFonts w:eastAsia="Yu Gothic Light"/>
        </w:rPr>
        <w:t>Table 4</w:t>
      </w:r>
      <w:r w:rsidR="000C7B48">
        <w:rPr>
          <w:rFonts w:eastAsia="Yu Gothic Light"/>
        </w:rPr>
        <w:t>2</w:t>
      </w:r>
      <w:r>
        <w:rPr>
          <w:rFonts w:eastAsia="Yu Gothic Light"/>
        </w:rPr>
        <w:t xml:space="preserve">. Possible combinations of classification type and classification level under the service group of home modifications </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home modifications "/>
      </w:tblPr>
      <w:tblGrid>
        <w:gridCol w:w="2359"/>
        <w:gridCol w:w="2701"/>
        <w:gridCol w:w="3946"/>
      </w:tblGrid>
      <w:tr w:rsidR="005D728C" w:rsidRPr="008D5728" w14:paraId="27189AEF" w14:textId="77777777" w:rsidTr="00BF1A2E">
        <w:trPr>
          <w:trHeight w:val="20"/>
        </w:trPr>
        <w:tc>
          <w:tcPr>
            <w:tcW w:w="2359" w:type="dxa"/>
            <w:tcBorders>
              <w:top w:val="single" w:sz="8" w:space="0" w:color="FFFFFF"/>
              <w:left w:val="single" w:sz="8" w:space="0" w:color="FFFFFF"/>
              <w:bottom w:val="single" w:sz="24" w:space="0" w:color="FFFFFF"/>
              <w:right w:val="single" w:sz="8" w:space="0" w:color="FFFFFF"/>
            </w:tcBorders>
            <w:shd w:val="clear" w:color="auto" w:fill="002060"/>
          </w:tcPr>
          <w:p w14:paraId="40A39E4A"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Service group</w:t>
            </w:r>
          </w:p>
        </w:tc>
        <w:tc>
          <w:tcPr>
            <w:tcW w:w="2701"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5FFC450A"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type</w:t>
            </w:r>
          </w:p>
        </w:tc>
        <w:tc>
          <w:tcPr>
            <w:tcW w:w="3946"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6BF16766" w14:textId="77777777" w:rsidR="005D728C" w:rsidRPr="008D5728" w:rsidRDefault="005D728C" w:rsidP="005960D3">
            <w:pPr>
              <w:spacing w:before="120" w:after="120" w:line="240" w:lineRule="auto"/>
              <w:rPr>
                <w:rFonts w:eastAsia="Yu Gothic Light"/>
                <w:b/>
                <w:color w:val="FFFFFF"/>
              </w:rPr>
            </w:pPr>
            <w:r w:rsidRPr="008D5728">
              <w:rPr>
                <w:rFonts w:eastAsia="Yu Gothic Light"/>
                <w:b/>
                <w:color w:val="FFFFFF"/>
              </w:rPr>
              <w:t>Classification level</w:t>
            </w:r>
            <w:r w:rsidRPr="008D5728">
              <w:rPr>
                <w:rFonts w:eastAsia="Yu Gothic Light"/>
                <w:b/>
                <w:color w:val="FFFFFF"/>
              </w:rPr>
              <w:br/>
            </w:r>
          </w:p>
        </w:tc>
      </w:tr>
      <w:tr w:rsidR="005D728C" w:rsidRPr="008D5728" w14:paraId="4546152B" w14:textId="77777777" w:rsidTr="00BF1A2E">
        <w:trPr>
          <w:trHeight w:val="584"/>
        </w:trPr>
        <w:tc>
          <w:tcPr>
            <w:tcW w:w="2359" w:type="dxa"/>
            <w:tcBorders>
              <w:top w:val="single" w:sz="8" w:space="0" w:color="FFFFFF"/>
              <w:left w:val="single" w:sz="8" w:space="0" w:color="FFFFFF"/>
              <w:bottom w:val="single" w:sz="8" w:space="0" w:color="FFFFFF"/>
            </w:tcBorders>
            <w:shd w:val="clear" w:color="auto" w:fill="FFFFFF" w:themeFill="background1"/>
          </w:tcPr>
          <w:p w14:paraId="75FC856F" w14:textId="77777777" w:rsidR="005D728C" w:rsidRPr="008D5728" w:rsidRDefault="005D728C" w:rsidP="005960D3">
            <w:pPr>
              <w:spacing w:before="120" w:after="120" w:line="240" w:lineRule="auto"/>
              <w:rPr>
                <w:rFonts w:eastAsia="Yu Gothic Light"/>
                <w:b/>
              </w:rPr>
            </w:pPr>
            <w:r w:rsidRPr="008D5728">
              <w:rPr>
                <w:rFonts w:eastAsia="Yu Gothic Light"/>
                <w:b/>
              </w:rPr>
              <w:t>Home modifications</w:t>
            </w:r>
          </w:p>
        </w:tc>
        <w:tc>
          <w:tcPr>
            <w:tcW w:w="2701" w:type="dxa"/>
            <w:shd w:val="clear" w:color="auto" w:fill="FFFFFF" w:themeFill="background1"/>
            <w:tcMar>
              <w:top w:w="72" w:type="dxa"/>
              <w:left w:w="144" w:type="dxa"/>
              <w:bottom w:w="72" w:type="dxa"/>
              <w:right w:w="144" w:type="dxa"/>
            </w:tcMar>
            <w:hideMark/>
          </w:tcPr>
          <w:p w14:paraId="7397DF85" w14:textId="77777777" w:rsidR="005D728C" w:rsidRPr="008D5728" w:rsidRDefault="005D728C" w:rsidP="005960D3">
            <w:pPr>
              <w:spacing w:before="120" w:after="120" w:line="240" w:lineRule="auto"/>
              <w:rPr>
                <w:rFonts w:eastAsia="Yu Gothic Light"/>
                <w:b/>
              </w:rPr>
            </w:pPr>
            <w:r w:rsidRPr="008D5728">
              <w:rPr>
                <w:rFonts w:eastAsia="Yu Gothic Light"/>
                <w:b/>
              </w:rPr>
              <w:t>Short-term</w:t>
            </w:r>
          </w:p>
        </w:tc>
        <w:tc>
          <w:tcPr>
            <w:tcW w:w="3946" w:type="dxa"/>
            <w:tcBorders>
              <w:left w:val="nil"/>
            </w:tcBorders>
            <w:shd w:val="clear" w:color="auto" w:fill="FFFFFF" w:themeFill="background1"/>
            <w:tcMar>
              <w:top w:w="72" w:type="dxa"/>
              <w:left w:w="144" w:type="dxa"/>
              <w:bottom w:w="72" w:type="dxa"/>
              <w:right w:w="144" w:type="dxa"/>
            </w:tcMar>
            <w:hideMark/>
          </w:tcPr>
          <w:p w14:paraId="2466D63F" w14:textId="77777777" w:rsidR="005D728C" w:rsidRPr="008D5728" w:rsidRDefault="005D728C" w:rsidP="005960D3">
            <w:pPr>
              <w:spacing w:before="120" w:after="120" w:line="240" w:lineRule="auto"/>
              <w:rPr>
                <w:rFonts w:eastAsia="Yu Gothic Light"/>
              </w:rPr>
            </w:pPr>
            <w:r w:rsidRPr="008D5728">
              <w:rPr>
                <w:rFonts w:eastAsia="Yu Gothic Light"/>
              </w:rPr>
              <w:t>HM CHSP</w:t>
            </w:r>
          </w:p>
          <w:p w14:paraId="1835FC24" w14:textId="77777777" w:rsidR="005D728C" w:rsidRPr="008D5728" w:rsidRDefault="005D728C" w:rsidP="005960D3">
            <w:pPr>
              <w:spacing w:before="120" w:after="120" w:line="240" w:lineRule="auto"/>
              <w:rPr>
                <w:rFonts w:eastAsia="Yu Gothic Light"/>
              </w:rPr>
            </w:pPr>
            <w:r w:rsidRPr="008D5728">
              <w:rPr>
                <w:rFonts w:eastAsia="Yu Gothic Light"/>
              </w:rPr>
              <w:t>HM low</w:t>
            </w:r>
          </w:p>
          <w:p w14:paraId="6A16AEF7" w14:textId="77777777" w:rsidR="005D728C" w:rsidRPr="008D5728" w:rsidRDefault="005D728C" w:rsidP="005960D3">
            <w:pPr>
              <w:spacing w:before="120" w:after="120" w:line="240" w:lineRule="auto"/>
              <w:rPr>
                <w:rFonts w:eastAsia="Yu Gothic Light"/>
              </w:rPr>
            </w:pPr>
            <w:r w:rsidRPr="008D5728">
              <w:rPr>
                <w:rFonts w:eastAsia="Yu Gothic Light"/>
              </w:rPr>
              <w:t>HM medium</w:t>
            </w:r>
          </w:p>
          <w:p w14:paraId="03433B49" w14:textId="77777777" w:rsidR="005D728C" w:rsidRPr="008D5728" w:rsidRDefault="005D728C" w:rsidP="005960D3">
            <w:pPr>
              <w:spacing w:before="120" w:after="120" w:line="240" w:lineRule="auto"/>
              <w:rPr>
                <w:rFonts w:eastAsia="Yu Gothic Light"/>
              </w:rPr>
            </w:pPr>
            <w:r w:rsidRPr="008D5728">
              <w:rPr>
                <w:rFonts w:eastAsia="Yu Gothic Light"/>
              </w:rPr>
              <w:t>HM high</w:t>
            </w:r>
          </w:p>
        </w:tc>
      </w:tr>
    </w:tbl>
    <w:p w14:paraId="2CA6EE90" w14:textId="77777777" w:rsidR="005D728C" w:rsidRPr="008D5728" w:rsidRDefault="005D728C" w:rsidP="005960D3">
      <w:pPr>
        <w:spacing w:before="120" w:after="120" w:line="240" w:lineRule="auto"/>
        <w:rPr>
          <w:rFonts w:eastAsia="Yu Gothic Light"/>
        </w:rPr>
      </w:pPr>
      <w:r w:rsidRPr="008D5728">
        <w:rPr>
          <w:rFonts w:eastAsia="Yu Gothic Light"/>
        </w:rPr>
        <w:t xml:space="preserve">Note that classification levels are also referred to as </w:t>
      </w:r>
      <w:r w:rsidRPr="008D5728">
        <w:rPr>
          <w:rFonts w:eastAsia="Yu Gothic Light" w:hint="eastAsia"/>
        </w:rPr>
        <w:t>‘</w:t>
      </w:r>
      <w:r w:rsidRPr="008D5728">
        <w:rPr>
          <w:rFonts w:eastAsia="Yu Gothic Light"/>
        </w:rPr>
        <w:t>funding tiers</w:t>
      </w:r>
      <w:r w:rsidRPr="008D5728">
        <w:rPr>
          <w:rFonts w:eastAsia="Yu Gothic Light" w:hint="eastAsia"/>
        </w:rPr>
        <w:t>’</w:t>
      </w:r>
      <w:r w:rsidRPr="008D5728">
        <w:rPr>
          <w:rFonts w:eastAsia="Yu Gothic Light"/>
        </w:rPr>
        <w:t xml:space="preserve"> in the Support at Home program.</w:t>
      </w:r>
    </w:p>
    <w:p w14:paraId="1B1ACFEC" w14:textId="77777777" w:rsidR="005D728C" w:rsidRDefault="005D728C" w:rsidP="00C56CEC">
      <w:pPr>
        <w:pStyle w:val="H3"/>
      </w:pPr>
      <w:r w:rsidRPr="008D5728">
        <w:t>Service group: Residential care</w:t>
      </w:r>
    </w:p>
    <w:p w14:paraId="6EA760C1" w14:textId="24142AE0" w:rsidR="005D728C" w:rsidRPr="008D5728" w:rsidRDefault="005D728C" w:rsidP="0003231B">
      <w:pPr>
        <w:pStyle w:val="Caption"/>
        <w:keepNext/>
        <w:spacing w:before="120" w:after="120"/>
        <w:rPr>
          <w:rFonts w:eastAsia="Yu Gothic Light"/>
          <w:color w:val="358189"/>
          <w:sz w:val="28"/>
          <w:szCs w:val="28"/>
        </w:rPr>
      </w:pPr>
      <w:r>
        <w:rPr>
          <w:rFonts w:eastAsia="Yu Gothic Light"/>
        </w:rPr>
        <w:t>Table 4</w:t>
      </w:r>
      <w:r w:rsidR="000C7B48">
        <w:rPr>
          <w:rFonts w:eastAsia="Yu Gothic Light"/>
        </w:rPr>
        <w:t>3</w:t>
      </w:r>
      <w:r>
        <w:rPr>
          <w:rFonts w:eastAsia="Yu Gothic Light"/>
        </w:rPr>
        <w:t>. Possible combinations of classification type and classification level under the service group of residential care</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of residential care"/>
      </w:tblPr>
      <w:tblGrid>
        <w:gridCol w:w="2359"/>
        <w:gridCol w:w="2701"/>
        <w:gridCol w:w="3946"/>
      </w:tblGrid>
      <w:tr w:rsidR="005D728C" w:rsidRPr="008D5728" w14:paraId="40BBAA43" w14:textId="77777777" w:rsidTr="00BF1A2E">
        <w:trPr>
          <w:trHeight w:val="247"/>
          <w:tblHeader/>
        </w:trPr>
        <w:tc>
          <w:tcPr>
            <w:tcW w:w="2359" w:type="dxa"/>
            <w:tcBorders>
              <w:top w:val="single" w:sz="8" w:space="0" w:color="FFFFFF"/>
              <w:left w:val="single" w:sz="8" w:space="0" w:color="FFFFFF"/>
              <w:bottom w:val="single" w:sz="24" w:space="0" w:color="FFFFFF"/>
              <w:right w:val="single" w:sz="8" w:space="0" w:color="FFFFFF"/>
            </w:tcBorders>
            <w:shd w:val="clear" w:color="auto" w:fill="002060"/>
          </w:tcPr>
          <w:p w14:paraId="2637CC05" w14:textId="77777777" w:rsidR="005D728C" w:rsidRPr="008D5728" w:rsidRDefault="005D728C" w:rsidP="0003231B">
            <w:pPr>
              <w:keepNext/>
              <w:spacing w:before="120" w:after="120" w:line="240" w:lineRule="auto"/>
              <w:rPr>
                <w:rFonts w:eastAsia="Yu Gothic Light"/>
                <w:b/>
                <w:color w:val="FFFFFF"/>
              </w:rPr>
            </w:pPr>
            <w:r w:rsidRPr="008D5728">
              <w:rPr>
                <w:rFonts w:eastAsia="Yu Gothic Light"/>
                <w:b/>
                <w:color w:val="FFFFFF"/>
              </w:rPr>
              <w:t>Service group</w:t>
            </w:r>
          </w:p>
        </w:tc>
        <w:tc>
          <w:tcPr>
            <w:tcW w:w="2701"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459A91B1" w14:textId="77777777" w:rsidR="005D728C" w:rsidRPr="008D5728" w:rsidRDefault="005D728C" w:rsidP="0003231B">
            <w:pPr>
              <w:keepNext/>
              <w:spacing w:before="120" w:after="120" w:line="240" w:lineRule="auto"/>
              <w:rPr>
                <w:rFonts w:eastAsia="Yu Gothic Light"/>
                <w:b/>
                <w:color w:val="FFFFFF"/>
              </w:rPr>
            </w:pPr>
            <w:r w:rsidRPr="008D5728">
              <w:rPr>
                <w:rFonts w:eastAsia="Yu Gothic Light"/>
                <w:b/>
                <w:color w:val="FFFFFF"/>
              </w:rPr>
              <w:t>Classification type</w:t>
            </w:r>
          </w:p>
        </w:tc>
        <w:tc>
          <w:tcPr>
            <w:tcW w:w="394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55D3FDC7" w14:textId="77777777" w:rsidR="005D728C" w:rsidRPr="008D5728" w:rsidRDefault="005D728C" w:rsidP="0003231B">
            <w:pPr>
              <w:keepNext/>
              <w:spacing w:before="120" w:after="120" w:line="240" w:lineRule="auto"/>
              <w:rPr>
                <w:rFonts w:eastAsia="Yu Gothic Light"/>
                <w:b/>
                <w:color w:val="FFFFFF"/>
              </w:rPr>
            </w:pPr>
            <w:r w:rsidRPr="008D5728">
              <w:rPr>
                <w:rFonts w:eastAsia="Yu Gothic Light"/>
                <w:b/>
                <w:color w:val="FFFFFF"/>
              </w:rPr>
              <w:t>Classification level</w:t>
            </w:r>
            <w:r w:rsidRPr="008D5728">
              <w:rPr>
                <w:rFonts w:eastAsia="Yu Gothic Light"/>
                <w:b/>
                <w:color w:val="FFFFFF"/>
              </w:rPr>
              <w:br/>
            </w:r>
          </w:p>
        </w:tc>
      </w:tr>
      <w:tr w:rsidR="005D728C" w:rsidRPr="008D5728" w14:paraId="24E9DB63" w14:textId="77777777" w:rsidTr="00BF1A2E">
        <w:trPr>
          <w:trHeight w:val="584"/>
        </w:trPr>
        <w:tc>
          <w:tcPr>
            <w:tcW w:w="2359" w:type="dxa"/>
            <w:tcBorders>
              <w:top w:val="single" w:sz="8" w:space="0" w:color="FFFFFF"/>
              <w:left w:val="single" w:sz="8" w:space="0" w:color="FFFFFF"/>
              <w:bottom w:val="single" w:sz="8" w:space="0" w:color="FFFFFF"/>
            </w:tcBorders>
            <w:shd w:val="clear" w:color="auto" w:fill="FFFFFF" w:themeFill="background1"/>
          </w:tcPr>
          <w:p w14:paraId="7A7FA68D" w14:textId="77777777" w:rsidR="005D728C" w:rsidRPr="008D5728" w:rsidRDefault="005D728C" w:rsidP="0003231B">
            <w:pPr>
              <w:keepNext/>
              <w:spacing w:before="120" w:after="120" w:line="240" w:lineRule="auto"/>
              <w:rPr>
                <w:rFonts w:eastAsia="Yu Gothic Light"/>
                <w:b/>
              </w:rPr>
            </w:pPr>
            <w:r w:rsidRPr="008D5728">
              <w:rPr>
                <w:rFonts w:eastAsia="Yu Gothic Light"/>
                <w:b/>
              </w:rPr>
              <w:t>Residential Care</w:t>
            </w:r>
          </w:p>
        </w:tc>
        <w:tc>
          <w:tcPr>
            <w:tcW w:w="2701" w:type="dxa"/>
            <w:tcBorders>
              <w:bottom w:val="single" w:sz="4" w:space="0" w:color="auto"/>
            </w:tcBorders>
            <w:shd w:val="clear" w:color="auto" w:fill="FFFFFF" w:themeFill="background1"/>
            <w:tcMar>
              <w:top w:w="72" w:type="dxa"/>
              <w:left w:w="144" w:type="dxa"/>
              <w:bottom w:w="72" w:type="dxa"/>
              <w:right w:w="144" w:type="dxa"/>
            </w:tcMar>
            <w:hideMark/>
          </w:tcPr>
          <w:p w14:paraId="0E2563BD" w14:textId="77777777" w:rsidR="005D728C" w:rsidRPr="008D5728" w:rsidRDefault="005D728C" w:rsidP="0003231B">
            <w:pPr>
              <w:keepNext/>
              <w:spacing w:before="120" w:after="120" w:line="240" w:lineRule="auto"/>
              <w:rPr>
                <w:rFonts w:eastAsia="Yu Gothic Light"/>
                <w:b/>
              </w:rPr>
            </w:pPr>
            <w:r w:rsidRPr="008D5728">
              <w:rPr>
                <w:rFonts w:eastAsia="Yu Gothic Light"/>
                <w:b/>
              </w:rPr>
              <w:t>Ongoing</w:t>
            </w:r>
          </w:p>
        </w:tc>
        <w:tc>
          <w:tcPr>
            <w:tcW w:w="3946" w:type="dxa"/>
            <w:tcBorders>
              <w:top w:val="single" w:sz="24" w:space="0" w:color="FFFFFF"/>
              <w:left w:val="nil"/>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B700E85" w14:textId="77777777" w:rsidR="005D728C" w:rsidRPr="008D5728" w:rsidRDefault="005D728C" w:rsidP="0003231B">
            <w:pPr>
              <w:keepNext/>
              <w:spacing w:before="120" w:after="120" w:line="240" w:lineRule="auto"/>
              <w:rPr>
                <w:rFonts w:eastAsia="Yu Gothic Light"/>
              </w:rPr>
            </w:pPr>
            <w:r w:rsidRPr="008D5728">
              <w:rPr>
                <w:rFonts w:eastAsia="Yu Gothic Light"/>
              </w:rPr>
              <w:t>Class 0</w:t>
            </w:r>
            <w:r w:rsidRPr="008D5728">
              <w:rPr>
                <w:rFonts w:eastAsia="Yu Gothic Light"/>
              </w:rPr>
              <w:br/>
              <w:t>Class 1 to Class 13</w:t>
            </w:r>
          </w:p>
        </w:tc>
      </w:tr>
      <w:tr w:rsidR="005D728C" w:rsidRPr="008D5728" w14:paraId="796C547F" w14:textId="77777777" w:rsidTr="00BF1A2E">
        <w:trPr>
          <w:trHeight w:val="584"/>
        </w:trPr>
        <w:tc>
          <w:tcPr>
            <w:tcW w:w="2359"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3A921AFD" w14:textId="77777777" w:rsidR="005D728C" w:rsidRPr="008D5728" w:rsidRDefault="005D728C" w:rsidP="0003231B">
            <w:pPr>
              <w:keepNext/>
              <w:spacing w:before="120" w:after="120" w:line="240" w:lineRule="auto"/>
              <w:rPr>
                <w:rFonts w:eastAsia="Yu Gothic Light"/>
                <w:b/>
              </w:rPr>
            </w:pPr>
          </w:p>
        </w:tc>
        <w:tc>
          <w:tcPr>
            <w:tcW w:w="270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12223454" w14:textId="77777777" w:rsidR="005D728C" w:rsidRPr="008D5728" w:rsidRDefault="005D728C" w:rsidP="0003231B">
            <w:pPr>
              <w:keepNext/>
              <w:spacing w:before="120" w:after="120" w:line="240" w:lineRule="auto"/>
              <w:rPr>
                <w:rFonts w:eastAsia="Yu Gothic Light"/>
                <w:b/>
              </w:rPr>
            </w:pPr>
            <w:r w:rsidRPr="008D5728">
              <w:rPr>
                <w:rFonts w:eastAsia="Yu Gothic Light"/>
                <w:b/>
              </w:rPr>
              <w:t>Short-term</w:t>
            </w:r>
          </w:p>
        </w:tc>
        <w:tc>
          <w:tcPr>
            <w:tcW w:w="3946"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53E3AE1" w14:textId="77777777" w:rsidR="005D728C" w:rsidRPr="008D5728" w:rsidRDefault="005D728C" w:rsidP="0003231B">
            <w:pPr>
              <w:keepNext/>
              <w:spacing w:before="120" w:after="120" w:line="240" w:lineRule="auto"/>
              <w:rPr>
                <w:rFonts w:eastAsia="Yu Gothic Light"/>
              </w:rPr>
            </w:pPr>
            <w:r w:rsidRPr="008D5728">
              <w:rPr>
                <w:rFonts w:eastAsia="Yu Gothic Light"/>
              </w:rPr>
              <w:t>Class 0</w:t>
            </w:r>
          </w:p>
          <w:p w14:paraId="7F65A4B3" w14:textId="77777777" w:rsidR="005D728C" w:rsidRPr="008D5728" w:rsidRDefault="005D728C" w:rsidP="0003231B">
            <w:pPr>
              <w:keepNext/>
              <w:spacing w:before="120" w:after="120" w:line="240" w:lineRule="auto"/>
              <w:rPr>
                <w:rFonts w:eastAsia="Yu Gothic Light"/>
              </w:rPr>
            </w:pPr>
            <w:r w:rsidRPr="008D5728">
              <w:rPr>
                <w:rFonts w:eastAsia="Yu Gothic Light"/>
              </w:rPr>
              <w:t>Respite class 1 to Respite class 3</w:t>
            </w:r>
          </w:p>
        </w:tc>
      </w:tr>
      <w:tr w:rsidR="005D728C" w:rsidRPr="008D5728" w14:paraId="64BDBAB5" w14:textId="77777777" w:rsidTr="00BF1A2E">
        <w:trPr>
          <w:trHeight w:val="584"/>
        </w:trPr>
        <w:tc>
          <w:tcPr>
            <w:tcW w:w="2359"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4BF27483" w14:textId="77777777" w:rsidR="005D728C" w:rsidRPr="008D5728" w:rsidRDefault="005D728C" w:rsidP="0003231B">
            <w:pPr>
              <w:keepNext/>
              <w:spacing w:before="120" w:after="120" w:line="240" w:lineRule="auto"/>
              <w:rPr>
                <w:rFonts w:eastAsia="Yu Gothic Light"/>
                <w:b/>
              </w:rPr>
            </w:pPr>
          </w:p>
        </w:tc>
        <w:tc>
          <w:tcPr>
            <w:tcW w:w="2701"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F6CA07B" w14:textId="77777777" w:rsidR="005D728C" w:rsidRPr="008D5728" w:rsidRDefault="005D728C" w:rsidP="0003231B">
            <w:pPr>
              <w:keepNext/>
              <w:spacing w:before="120" w:after="120" w:line="240" w:lineRule="auto"/>
              <w:rPr>
                <w:rFonts w:eastAsia="Yu Gothic Light"/>
                <w:b/>
              </w:rPr>
            </w:pPr>
            <w:r w:rsidRPr="008D5728">
              <w:rPr>
                <w:rFonts w:eastAsia="Yu Gothic Light"/>
                <w:b/>
              </w:rPr>
              <w:t>Hospital transition</w:t>
            </w:r>
          </w:p>
        </w:tc>
        <w:tc>
          <w:tcPr>
            <w:tcW w:w="3946"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5554ED2" w14:textId="26A50691" w:rsidR="005D728C" w:rsidRPr="008D5728" w:rsidRDefault="005D728C" w:rsidP="0003231B">
            <w:pPr>
              <w:keepNext/>
              <w:spacing w:before="120" w:after="120" w:line="240" w:lineRule="auto"/>
              <w:rPr>
                <w:rFonts w:eastAsia="Yu Gothic Light"/>
              </w:rPr>
            </w:pPr>
            <w:r w:rsidRPr="008D5728">
              <w:rPr>
                <w:rFonts w:eastAsia="Yu Gothic Light"/>
              </w:rPr>
              <w:t>RC HT class</w:t>
            </w:r>
          </w:p>
        </w:tc>
      </w:tr>
    </w:tbl>
    <w:p w14:paraId="5DB0ABA9" w14:textId="77777777" w:rsidR="005D728C" w:rsidRPr="008D5728" w:rsidRDefault="005D728C" w:rsidP="0003231B">
      <w:pPr>
        <w:keepNext/>
        <w:spacing w:before="240" w:after="240" w:line="240" w:lineRule="auto"/>
        <w:rPr>
          <w:rFonts w:eastAsia="Yu Gothic Light"/>
        </w:rPr>
      </w:pPr>
      <w:r w:rsidRPr="008D5728">
        <w:rPr>
          <w:rFonts w:eastAsia="Yu Gothic Light"/>
        </w:rPr>
        <w:t xml:space="preserve">Note that </w:t>
      </w:r>
      <w:r w:rsidRPr="008D5728">
        <w:rPr>
          <w:rFonts w:eastAsia="Yu Gothic Light" w:hint="eastAsia"/>
        </w:rPr>
        <w:t>‘</w:t>
      </w:r>
      <w:r w:rsidRPr="008D5728">
        <w:rPr>
          <w:rFonts w:eastAsia="Yu Gothic Light"/>
        </w:rPr>
        <w:t>Class 0</w:t>
      </w:r>
      <w:r w:rsidRPr="008D5728">
        <w:rPr>
          <w:rFonts w:eastAsia="Yu Gothic Light" w:hint="eastAsia"/>
        </w:rPr>
        <w:t>’</w:t>
      </w:r>
      <w:r w:rsidRPr="008D5728">
        <w:rPr>
          <w:rFonts w:eastAsia="Yu Gothic Light"/>
        </w:rPr>
        <w:t xml:space="preserve"> is a default classification applied before the client has been assessed for their classification level.</w:t>
      </w:r>
    </w:p>
    <w:p w14:paraId="5DB6608A" w14:textId="77777777" w:rsidR="005D728C" w:rsidRPr="008D5728" w:rsidRDefault="005D728C" w:rsidP="00507F9D">
      <w:pPr>
        <w:pStyle w:val="h2"/>
      </w:pPr>
      <w:bookmarkStart w:id="625" w:name="_Toc199418562"/>
      <w:bookmarkStart w:id="626" w:name="_Toc199420955"/>
      <w:bookmarkStart w:id="627" w:name="_Toc209189016"/>
      <w:bookmarkStart w:id="628" w:name="_Toc224916674"/>
      <w:r w:rsidRPr="008D5728">
        <w:t>Approvals for service types and services</w:t>
      </w:r>
      <w:bookmarkEnd w:id="625"/>
      <w:bookmarkEnd w:id="626"/>
      <w:bookmarkEnd w:id="627"/>
      <w:bookmarkEnd w:id="628"/>
    </w:p>
    <w:p w14:paraId="38A2686C" w14:textId="0312A440" w:rsidR="005D728C" w:rsidRPr="008D5728" w:rsidRDefault="005D728C" w:rsidP="00622CFF">
      <w:pPr>
        <w:spacing w:before="240" w:after="240" w:line="240" w:lineRule="auto"/>
        <w:rPr>
          <w:rFonts w:eastAsia="Yu Gothic Light"/>
          <w:lang w:val="en-AU"/>
        </w:rPr>
      </w:pPr>
      <w:r w:rsidRPr="008D5728">
        <w:rPr>
          <w:rFonts w:eastAsia="Yu Gothic Light"/>
          <w:lang w:val="en-AU"/>
        </w:rPr>
        <w:t>The Aged Care Service List is defined in the </w:t>
      </w:r>
      <w:r w:rsidR="00561982" w:rsidRPr="008D5728">
        <w:rPr>
          <w:rFonts w:eastAsia="Yu Gothic Light"/>
          <w:color w:val="2BB1BB"/>
          <w:u w:val="single"/>
          <w:lang w:val="en-AU"/>
        </w:rPr>
        <w:t>Aged Care Rules 2025</w:t>
      </w:r>
      <w:r w:rsidRPr="008D5728">
        <w:rPr>
          <w:rFonts w:eastAsia="Yu Gothic Light"/>
          <w:lang w:val="en-AU"/>
        </w:rPr>
        <w:t xml:space="preserve">. It lists the four service groups, and the service types and services within them. </w:t>
      </w:r>
    </w:p>
    <w:p w14:paraId="7D45767F" w14:textId="77777777" w:rsidR="005960D3" w:rsidRDefault="005D728C" w:rsidP="005960D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rPr>
      </w:pPr>
      <w:r w:rsidRPr="008D5728">
        <w:rPr>
          <w:rFonts w:eastAsia="Yu Gothic Light"/>
          <w:b/>
          <w:bCs/>
        </w:rPr>
        <w:t>Important</w:t>
      </w:r>
      <w:r w:rsidR="008356C5">
        <w:rPr>
          <w:rFonts w:eastAsia="Yu Gothic Light"/>
          <w:b/>
          <w:bCs/>
        </w:rPr>
        <w:t>:</w:t>
      </w:r>
      <w:r w:rsidRPr="008D5728">
        <w:rPr>
          <w:rFonts w:eastAsia="Yu Gothic Light"/>
        </w:rPr>
        <w:t xml:space="preserve"> </w:t>
      </w:r>
    </w:p>
    <w:p w14:paraId="498CCC5A" w14:textId="58FA3C22" w:rsidR="005D728C" w:rsidRPr="008D5728" w:rsidRDefault="00684236" w:rsidP="005960D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b/>
          <w:bCs/>
        </w:rPr>
      </w:pPr>
      <w:r>
        <w:rPr>
          <w:rFonts w:eastAsia="Yu Gothic Light"/>
          <w:bCs/>
        </w:rPr>
        <w:t>For</w:t>
      </w:r>
      <w:r w:rsidR="005D728C" w:rsidRPr="008D5728">
        <w:rPr>
          <w:rFonts w:eastAsia="Yu Gothic Light"/>
          <w:bCs/>
        </w:rPr>
        <w:t xml:space="preserve"> an Aboriginal or Torres Strait Islander person, an Assessment Delegate only needs to approve them for one or more service groups. They are automatically approved for all the service types and services in any service group they are approved for.</w:t>
      </w:r>
    </w:p>
    <w:p w14:paraId="39887FB9"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If the older person is </w:t>
      </w:r>
      <w:r w:rsidRPr="008D5728">
        <w:rPr>
          <w:rFonts w:eastAsia="Yu Gothic Light"/>
          <w:u w:val="single"/>
          <w:lang w:val="en-AU"/>
        </w:rPr>
        <w:t>not</w:t>
      </w:r>
      <w:r w:rsidRPr="008D5728">
        <w:rPr>
          <w:rFonts w:eastAsia="Yu Gothic Light"/>
          <w:lang w:val="en-AU"/>
        </w:rPr>
        <w:t xml:space="preserve"> an Aboriginal or Torres Strait Islander person, and an Assessment Delegate is approving the Home Support, Assistive Technology or Home Modifications service groups, they must decide:</w:t>
      </w:r>
    </w:p>
    <w:p w14:paraId="4498ACAE" w14:textId="61DCD9BA" w:rsidR="005D728C" w:rsidRPr="008D5728" w:rsidRDefault="005D728C" w:rsidP="00DF3F6B">
      <w:pPr>
        <w:numPr>
          <w:ilvl w:val="0"/>
          <w:numId w:val="240"/>
        </w:numPr>
        <w:spacing w:before="240" w:after="240" w:line="240" w:lineRule="auto"/>
        <w:rPr>
          <w:rFonts w:eastAsia="Yu Gothic Light"/>
          <w:lang w:val="en-AU"/>
        </w:rPr>
      </w:pPr>
      <w:r w:rsidRPr="008D5728">
        <w:rPr>
          <w:rFonts w:eastAsia="Yu Gothic Light"/>
          <w:lang w:val="en-AU"/>
        </w:rPr>
        <w:t xml:space="preserve">which </w:t>
      </w:r>
      <w:r w:rsidRPr="008D5728">
        <w:rPr>
          <w:rFonts w:eastAsia="Yu Gothic Light"/>
          <w:b/>
          <w:bCs/>
          <w:lang w:val="en-AU"/>
        </w:rPr>
        <w:t>service types</w:t>
      </w:r>
      <w:r w:rsidRPr="008D5728">
        <w:rPr>
          <w:rFonts w:eastAsia="Yu Gothic Light"/>
          <w:lang w:val="en-AU"/>
        </w:rPr>
        <w:t xml:space="preserve"> to approve within each service group</w:t>
      </w:r>
    </w:p>
    <w:p w14:paraId="30256C33" w14:textId="1D1A50AC" w:rsidR="005D728C" w:rsidRPr="008D5728" w:rsidRDefault="005D728C" w:rsidP="00DF3F6B">
      <w:pPr>
        <w:numPr>
          <w:ilvl w:val="0"/>
          <w:numId w:val="240"/>
        </w:numPr>
        <w:spacing w:before="240" w:after="240" w:line="240" w:lineRule="auto"/>
        <w:rPr>
          <w:rFonts w:eastAsia="Yu Gothic Light"/>
          <w:lang w:val="en-AU"/>
        </w:rPr>
      </w:pPr>
      <w:r w:rsidRPr="008D5728">
        <w:rPr>
          <w:rFonts w:eastAsia="Yu Gothic Light"/>
          <w:lang w:val="en-AU"/>
        </w:rPr>
        <w:t xml:space="preserve">which </w:t>
      </w:r>
      <w:r w:rsidRPr="008D5728">
        <w:rPr>
          <w:rFonts w:eastAsia="Yu Gothic Light"/>
          <w:b/>
          <w:bCs/>
          <w:lang w:val="en-AU"/>
        </w:rPr>
        <w:t xml:space="preserve">services </w:t>
      </w:r>
      <w:r w:rsidRPr="008D5728">
        <w:rPr>
          <w:rFonts w:eastAsia="Yu Gothic Light"/>
          <w:lang w:val="en-AU"/>
        </w:rPr>
        <w:t xml:space="preserve">to approve, but </w:t>
      </w:r>
      <w:r w:rsidRPr="008D5728">
        <w:rPr>
          <w:rFonts w:eastAsia="Yu Gothic Light"/>
          <w:b/>
          <w:bCs/>
          <w:lang w:val="en-AU"/>
        </w:rPr>
        <w:t>only if they are being approved for the following ‘prescribed’ service types</w:t>
      </w:r>
      <w:r w:rsidRPr="008D5728">
        <w:rPr>
          <w:rFonts w:eastAsia="Yu Gothic Light"/>
          <w:lang w:val="en-AU"/>
        </w:rPr>
        <w:t xml:space="preserve">: </w:t>
      </w:r>
      <w:r w:rsidRPr="008D5728">
        <w:rPr>
          <w:rFonts w:eastAsia="Yu Gothic Light"/>
          <w:i/>
          <w:iCs/>
          <w:lang w:val="en-AU"/>
        </w:rPr>
        <w:t>Allied health and Therapy</w:t>
      </w:r>
      <w:r w:rsidRPr="008D5728">
        <w:rPr>
          <w:rFonts w:eastAsia="Yu Gothic Light"/>
          <w:lang w:val="en-AU"/>
        </w:rPr>
        <w:t xml:space="preserve"> and </w:t>
      </w:r>
      <w:r w:rsidRPr="008D5728">
        <w:rPr>
          <w:rFonts w:eastAsia="Yu Gothic Light"/>
          <w:i/>
          <w:iCs/>
          <w:lang w:val="en-AU"/>
        </w:rPr>
        <w:t>Therapeutic Services for Independent Living.</w:t>
      </w:r>
    </w:p>
    <w:p w14:paraId="5A046F09" w14:textId="2EA04FAE" w:rsidR="005960D3" w:rsidRPr="00441859" w:rsidRDefault="005D728C" w:rsidP="00C325C6">
      <w:pPr>
        <w:pStyle w:val="Sub-headings"/>
      </w:pPr>
      <w:r w:rsidRPr="00441859">
        <w:t>Note</w:t>
      </w:r>
      <w:r w:rsidR="008356C5" w:rsidRPr="00441859">
        <w:t>:</w:t>
      </w:r>
    </w:p>
    <w:p w14:paraId="26B4A3F7" w14:textId="77E5B26A" w:rsidR="005D728C" w:rsidRPr="00AC01E8" w:rsidRDefault="005960D3" w:rsidP="00C325C6">
      <w:pPr>
        <w:pStyle w:val="Sub-headings"/>
      </w:pPr>
      <w:r w:rsidRPr="00441859">
        <w:t>I</w:t>
      </w:r>
      <w:r w:rsidR="005D728C" w:rsidRPr="00441859">
        <w:t>f an Assessment</w:t>
      </w:r>
      <w:r w:rsidR="005D728C" w:rsidRPr="008D5728">
        <w:rPr>
          <w:rFonts w:eastAsia="Yu Gothic Light"/>
        </w:rPr>
        <w:t xml:space="preserve"> Delegate is approving an older person for any service type other than the ‘prescribed’ service types (</w:t>
      </w:r>
      <w:r w:rsidR="005D728C" w:rsidRPr="00441859">
        <w:t>Allied health and Therapy</w:t>
      </w:r>
      <w:r w:rsidR="005D728C" w:rsidRPr="008D5728">
        <w:rPr>
          <w:rFonts w:eastAsia="Yu Gothic Light"/>
        </w:rPr>
        <w:t xml:space="preserve"> and </w:t>
      </w:r>
      <w:r w:rsidR="005D728C" w:rsidRPr="00441859">
        <w:t>Therapeutic Services for Independent Living)</w:t>
      </w:r>
      <w:r w:rsidR="005D728C" w:rsidRPr="008D5728">
        <w:rPr>
          <w:rFonts w:eastAsia="Yu Gothic Light"/>
        </w:rPr>
        <w:t>, they are also approved for all services in that service type.</w:t>
      </w:r>
    </w:p>
    <w:p w14:paraId="7B03007C" w14:textId="0F2C5FBA"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Any older person approved for the residential care service group is automatically approved for </w:t>
      </w:r>
      <w:r w:rsidRPr="008D5728">
        <w:rPr>
          <w:rFonts w:eastAsia="Yu Gothic Light"/>
          <w:b/>
          <w:bCs/>
          <w:lang w:val="en-AU"/>
        </w:rPr>
        <w:t>all service types and services in that service group.</w:t>
      </w:r>
    </w:p>
    <w:p w14:paraId="3D36995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Section 65(2) of the Act has more information about these requirements.</w:t>
      </w:r>
    </w:p>
    <w:p w14:paraId="72A6A2F5" w14:textId="77777777" w:rsidR="005D728C" w:rsidRPr="008D5728" w:rsidRDefault="005D728C" w:rsidP="00507F9D">
      <w:pPr>
        <w:pStyle w:val="h2"/>
      </w:pPr>
      <w:bookmarkStart w:id="629" w:name="_Toc209189017"/>
      <w:bookmarkStart w:id="630" w:name="_Toc224916675"/>
      <w:r w:rsidRPr="008D5728">
        <w:t>Approvals for priority categories</w:t>
      </w:r>
      <w:bookmarkEnd w:id="629"/>
      <w:bookmarkEnd w:id="630"/>
    </w:p>
    <w:p w14:paraId="7DC67BD9" w14:textId="3ADDEBFD" w:rsidR="005D728C" w:rsidRPr="008D5728" w:rsidRDefault="005D728C" w:rsidP="00622CFF">
      <w:pPr>
        <w:spacing w:before="240" w:after="240" w:line="240" w:lineRule="auto"/>
        <w:rPr>
          <w:rFonts w:eastAsia="Yu Gothic Light"/>
        </w:rPr>
      </w:pPr>
      <w:r w:rsidRPr="008D5728">
        <w:rPr>
          <w:rFonts w:eastAsia="Yu Gothic Light"/>
        </w:rPr>
        <w:t xml:space="preserve">Priority categories are assigned to individuals (under section 86 of the </w:t>
      </w:r>
      <w:r w:rsidR="007174BC">
        <w:rPr>
          <w:rFonts w:eastAsia="Yu Gothic Light"/>
        </w:rPr>
        <w:t xml:space="preserve">Aged Care </w:t>
      </w:r>
      <w:r w:rsidRPr="008D5728">
        <w:rPr>
          <w:rFonts w:eastAsia="Yu Gothic Light"/>
        </w:rPr>
        <w:t>Act</w:t>
      </w:r>
      <w:r w:rsidR="007174BC">
        <w:rPr>
          <w:rFonts w:eastAsia="Yu Gothic Light"/>
        </w:rPr>
        <w:t xml:space="preserve"> 2024 (the Act)</w:t>
      </w:r>
      <w:r w:rsidRPr="008D5728">
        <w:rPr>
          <w:rFonts w:eastAsia="Yu Gothic Light"/>
        </w:rPr>
        <w:t xml:space="preserve">) to determine when certain services are allocated under section 92 of the Act. These categories are based on the assessed urgency of need, complexity of care requirements and potential risks associated with delayed support. </w:t>
      </w:r>
    </w:p>
    <w:p w14:paraId="428A34EF" w14:textId="360D6AAE" w:rsidR="005D728C" w:rsidRPr="008D5728" w:rsidRDefault="005D728C" w:rsidP="00622CFF">
      <w:pPr>
        <w:spacing w:before="240" w:after="240" w:line="240" w:lineRule="auto"/>
        <w:rPr>
          <w:rFonts w:eastAsia="Yu Gothic Light"/>
        </w:rPr>
      </w:pPr>
      <w:r w:rsidRPr="00BF1A2E">
        <w:rPr>
          <w:rFonts w:eastAsia="Yu Gothic Light"/>
        </w:rPr>
        <w:t>The Assessment Delegate does not make decisions on priority category under the Act.</w:t>
      </w:r>
      <w:r w:rsidRPr="008D5728">
        <w:rPr>
          <w:rFonts w:eastAsia="Yu Gothic Light"/>
          <w:b/>
          <w:bCs/>
        </w:rPr>
        <w:t xml:space="preserve"> </w:t>
      </w:r>
      <w:r w:rsidRPr="008D5728">
        <w:rPr>
          <w:rFonts w:eastAsia="Yu Gothic Light"/>
        </w:rPr>
        <w:t>Priority categories are assigned by the system (</w:t>
      </w:r>
      <w:r w:rsidR="0060352D">
        <w:rPr>
          <w:rFonts w:eastAsia="Yu Gothic Light"/>
        </w:rPr>
        <w:t>assessor portal</w:t>
      </w:r>
      <w:r w:rsidRPr="008D5728">
        <w:rPr>
          <w:rFonts w:eastAsia="Yu Gothic Light"/>
        </w:rPr>
        <w:t xml:space="preserve">). However, Assessment Delegates are responsible for ensuring the correct information is used to calculate any priority </w:t>
      </w:r>
      <w:r w:rsidR="00854D2E" w:rsidRPr="008D5728">
        <w:rPr>
          <w:rFonts w:eastAsia="Yu Gothic Light"/>
        </w:rPr>
        <w:t>category and</w:t>
      </w:r>
      <w:r w:rsidRPr="008D5728">
        <w:rPr>
          <w:rFonts w:eastAsia="Yu Gothic Light"/>
        </w:rPr>
        <w:t xml:space="preserve"> communicating any priority category decision to the older person. </w:t>
      </w:r>
    </w:p>
    <w:p w14:paraId="4B1D8D77" w14:textId="77777777" w:rsidR="005D728C" w:rsidRPr="008D5728" w:rsidRDefault="005D728C" w:rsidP="00622CFF">
      <w:pPr>
        <w:spacing w:before="240" w:after="240" w:line="240" w:lineRule="auto"/>
        <w:rPr>
          <w:rFonts w:eastAsia="Yu Gothic Light"/>
        </w:rPr>
      </w:pPr>
      <w:r w:rsidRPr="008D5728">
        <w:rPr>
          <w:rFonts w:eastAsia="Yu Gothic Light"/>
        </w:rPr>
        <w:t>Under Section 86 of the Act, the Assessment Delegate is required to assign a priority category for an individual for the following service groups and classification types:</w:t>
      </w:r>
    </w:p>
    <w:p w14:paraId="47C8E380" w14:textId="77777777"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Home support – ongoing (excluding CHSP class)</w:t>
      </w:r>
    </w:p>
    <w:p w14:paraId="00CC741B" w14:textId="77777777"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Assistive technology – ongoing and short-term</w:t>
      </w:r>
    </w:p>
    <w:p w14:paraId="3E8ED1AD" w14:textId="0E1D52DD"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Home modifications –</w:t>
      </w:r>
      <w:r w:rsidR="00B35E9E">
        <w:rPr>
          <w:rFonts w:eastAsia="Yu Gothic Light"/>
        </w:rPr>
        <w:t xml:space="preserve"> </w:t>
      </w:r>
      <w:r w:rsidRPr="008D5728">
        <w:rPr>
          <w:rFonts w:eastAsia="Yu Gothic Light"/>
        </w:rPr>
        <w:t>short-term</w:t>
      </w:r>
    </w:p>
    <w:p w14:paraId="080EB796" w14:textId="77777777" w:rsidR="005D728C" w:rsidRPr="008D5728" w:rsidRDefault="005D728C" w:rsidP="00DF3F6B">
      <w:pPr>
        <w:numPr>
          <w:ilvl w:val="0"/>
          <w:numId w:val="214"/>
        </w:numPr>
        <w:spacing w:before="240" w:after="240" w:line="240" w:lineRule="auto"/>
        <w:contextualSpacing/>
        <w:rPr>
          <w:rFonts w:eastAsia="Yu Gothic Light"/>
        </w:rPr>
      </w:pPr>
      <w:r w:rsidRPr="008D5728">
        <w:rPr>
          <w:rFonts w:eastAsia="Yu Gothic Light"/>
        </w:rPr>
        <w:t xml:space="preserve">Residential care – ongoing </w:t>
      </w:r>
    </w:p>
    <w:p w14:paraId="007B2B3F" w14:textId="77777777" w:rsidR="00972484" w:rsidRDefault="00972484" w:rsidP="00622CFF">
      <w:pPr>
        <w:spacing w:before="240" w:after="240" w:line="240" w:lineRule="auto"/>
        <w:rPr>
          <w:rFonts w:eastAsia="Yu Gothic Light"/>
          <w:bCs/>
          <w:lang w:val="en-AU"/>
        </w:rPr>
      </w:pPr>
    </w:p>
    <w:p w14:paraId="37A5BD59" w14:textId="793BA6CE" w:rsidR="005D728C" w:rsidRPr="008D5728" w:rsidRDefault="005D728C" w:rsidP="00622CFF">
      <w:pPr>
        <w:spacing w:before="240" w:after="240" w:line="240" w:lineRule="auto"/>
        <w:rPr>
          <w:rFonts w:eastAsia="Yu Gothic Light"/>
          <w:bCs/>
          <w:lang w:val="en-AU"/>
        </w:rPr>
      </w:pPr>
      <w:r w:rsidRPr="008D5728">
        <w:rPr>
          <w:rFonts w:eastAsia="Yu Gothic Light"/>
          <w:bCs/>
          <w:lang w:val="en-AU"/>
        </w:rPr>
        <w:t>In practice, this looks like the following: </w:t>
      </w:r>
    </w:p>
    <w:p w14:paraId="6C5DE096" w14:textId="306C691B" w:rsidR="005D728C" w:rsidRPr="008D5728" w:rsidRDefault="005D728C" w:rsidP="00DF3F6B">
      <w:pPr>
        <w:numPr>
          <w:ilvl w:val="0"/>
          <w:numId w:val="241"/>
        </w:numPr>
        <w:spacing w:before="240" w:after="240" w:line="240" w:lineRule="auto"/>
        <w:rPr>
          <w:rFonts w:eastAsia="Yu Gothic Light"/>
          <w:bCs/>
          <w:lang w:val="en-AU"/>
        </w:rPr>
      </w:pPr>
      <w:r w:rsidRPr="008D5728">
        <w:rPr>
          <w:rFonts w:eastAsia="Yu Gothic Light"/>
          <w:bCs/>
          <w:lang w:val="en-AU"/>
        </w:rPr>
        <w:t>The aged care needs assessment is carried out</w:t>
      </w:r>
      <w:r w:rsidR="00372878" w:rsidRPr="008D5728">
        <w:rPr>
          <w:rFonts w:eastAsia="Yu Gothic Light"/>
          <w:bCs/>
          <w:lang w:val="en-AU"/>
        </w:rPr>
        <w:t xml:space="preserve">. </w:t>
      </w:r>
    </w:p>
    <w:p w14:paraId="687DD1DA" w14:textId="77777777" w:rsidR="005D728C" w:rsidRPr="008D5728" w:rsidRDefault="005D728C" w:rsidP="00DF3F6B">
      <w:pPr>
        <w:numPr>
          <w:ilvl w:val="0"/>
          <w:numId w:val="242"/>
        </w:numPr>
        <w:spacing w:before="240" w:after="240" w:line="240" w:lineRule="auto"/>
        <w:rPr>
          <w:rFonts w:eastAsia="Yu Gothic Light"/>
          <w:bCs/>
          <w:lang w:val="en-AU"/>
        </w:rPr>
      </w:pPr>
      <w:r w:rsidRPr="008D5728">
        <w:rPr>
          <w:rFonts w:eastAsia="Yu Gothic Light"/>
          <w:bCs/>
          <w:lang w:val="en-AU"/>
        </w:rPr>
        <w:t>A priority category is calculated and assigned by the system (</w:t>
      </w:r>
      <w:r w:rsidRPr="008D5728">
        <w:rPr>
          <w:rFonts w:eastAsia="Yu Gothic Light"/>
          <w:b/>
          <w:bCs/>
          <w:lang w:val="en-AU"/>
        </w:rPr>
        <w:t>not</w:t>
      </w:r>
      <w:r w:rsidRPr="008D5728">
        <w:rPr>
          <w:rFonts w:eastAsia="Yu Gothic Light"/>
          <w:bCs/>
          <w:lang w:val="en-AU"/>
        </w:rPr>
        <w:t xml:space="preserve"> the assessor) at the end of an assessment. In some cases, there is only one applicable priority category. </w:t>
      </w:r>
    </w:p>
    <w:p w14:paraId="3DE87FAC" w14:textId="594306A9" w:rsidR="005D728C" w:rsidRPr="008D5728" w:rsidRDefault="005D728C" w:rsidP="00DF3F6B">
      <w:pPr>
        <w:numPr>
          <w:ilvl w:val="0"/>
          <w:numId w:val="243"/>
        </w:numPr>
        <w:spacing w:before="240" w:after="240" w:line="240" w:lineRule="auto"/>
        <w:rPr>
          <w:rFonts w:eastAsia="Yu Gothic Light"/>
          <w:bCs/>
          <w:lang w:val="en-AU"/>
        </w:rPr>
      </w:pPr>
      <w:r w:rsidRPr="008D5728">
        <w:rPr>
          <w:rFonts w:eastAsia="Yu Gothic Light"/>
          <w:bCs/>
          <w:lang w:val="en-AU"/>
        </w:rPr>
        <w:t xml:space="preserve">The </w:t>
      </w:r>
      <w:r w:rsidR="006314AC">
        <w:rPr>
          <w:rFonts w:eastAsia="Yu Gothic Light"/>
          <w:bCs/>
          <w:lang w:val="en-AU"/>
        </w:rPr>
        <w:t>a</w:t>
      </w:r>
      <w:r w:rsidR="006314AC" w:rsidRPr="008D5728">
        <w:rPr>
          <w:rFonts w:eastAsia="Yu Gothic Light"/>
          <w:bCs/>
          <w:lang w:val="en-AU"/>
        </w:rPr>
        <w:t xml:space="preserve">ssessment </w:t>
      </w:r>
      <w:r w:rsidR="006314AC">
        <w:rPr>
          <w:rFonts w:eastAsia="Yu Gothic Light"/>
          <w:bCs/>
          <w:lang w:val="en-AU"/>
        </w:rPr>
        <w:t>d</w:t>
      </w:r>
      <w:r w:rsidRPr="008D5728">
        <w:rPr>
          <w:rFonts w:eastAsia="Yu Gothic Light"/>
          <w:bCs/>
          <w:lang w:val="en-AU"/>
        </w:rPr>
        <w:t>elegate confirms the information that has been used to calculate the priority category.</w:t>
      </w:r>
    </w:p>
    <w:p w14:paraId="1B76BD68" w14:textId="77777777" w:rsidR="005D728C" w:rsidRPr="008D5728" w:rsidRDefault="005D728C" w:rsidP="00DF3F6B">
      <w:pPr>
        <w:numPr>
          <w:ilvl w:val="0"/>
          <w:numId w:val="244"/>
        </w:numPr>
        <w:spacing w:before="240" w:after="240" w:line="240" w:lineRule="auto"/>
        <w:rPr>
          <w:rFonts w:eastAsia="Yu Gothic Light"/>
          <w:bCs/>
          <w:lang w:val="en-AU"/>
        </w:rPr>
      </w:pPr>
      <w:r w:rsidRPr="008D5728">
        <w:rPr>
          <w:rFonts w:eastAsia="Yu Gothic Light"/>
          <w:bCs/>
          <w:lang w:val="en-AU"/>
        </w:rPr>
        <w:t xml:space="preserve">The priority category is pre-populated into the Notice of Decision (the assessment outcome letter). </w:t>
      </w:r>
    </w:p>
    <w:p w14:paraId="354D030B" w14:textId="36A98AD3" w:rsidR="005D728C" w:rsidRPr="008D5728" w:rsidRDefault="005D728C" w:rsidP="00622CFF">
      <w:pPr>
        <w:spacing w:before="240" w:after="240" w:line="240" w:lineRule="auto"/>
        <w:rPr>
          <w:rFonts w:eastAsia="Yu Gothic Light"/>
          <w:bCs/>
          <w:lang w:val="en-AU"/>
        </w:rPr>
      </w:pPr>
      <w:r w:rsidRPr="008D5728">
        <w:rPr>
          <w:rFonts w:eastAsia="Yu Gothic Light"/>
          <w:bCs/>
          <w:lang w:val="en-AU"/>
        </w:rPr>
        <w:t xml:space="preserve">Approvals for Transition Care, End-of-Life </w:t>
      </w:r>
      <w:r w:rsidR="00B35E9E">
        <w:rPr>
          <w:rFonts w:eastAsia="Yu Gothic Light"/>
          <w:bCs/>
          <w:lang w:val="en-AU"/>
        </w:rPr>
        <w:t>P</w:t>
      </w:r>
      <w:r w:rsidRPr="008D5728">
        <w:rPr>
          <w:rFonts w:eastAsia="Yu Gothic Light"/>
          <w:bCs/>
          <w:lang w:val="en-AU"/>
        </w:rPr>
        <w:t xml:space="preserve">athway, Restorative Care </w:t>
      </w:r>
      <w:r w:rsidR="00B35E9E">
        <w:rPr>
          <w:rFonts w:eastAsia="Yu Gothic Light"/>
          <w:bCs/>
          <w:lang w:val="en-AU"/>
        </w:rPr>
        <w:t>P</w:t>
      </w:r>
      <w:r w:rsidRPr="008D5728">
        <w:rPr>
          <w:rFonts w:eastAsia="Yu Gothic Light"/>
          <w:bCs/>
          <w:lang w:val="en-AU"/>
        </w:rPr>
        <w:t>athway, short-term residential care (respite care</w:t>
      </w:r>
      <w:r w:rsidR="00372878" w:rsidRPr="008D5728">
        <w:rPr>
          <w:rFonts w:eastAsia="Yu Gothic Light"/>
          <w:bCs/>
          <w:lang w:val="en-AU"/>
        </w:rPr>
        <w:t>),</w:t>
      </w:r>
      <w:r w:rsidRPr="008D5728">
        <w:rPr>
          <w:rFonts w:eastAsia="Yu Gothic Light"/>
          <w:bCs/>
          <w:lang w:val="en-AU"/>
        </w:rPr>
        <w:t xml:space="preserve"> and CHSP class do not require a priority category. The Notice of Decision template marks the priority category for these as ‘N/A</w:t>
      </w:r>
      <w:r w:rsidR="00372878" w:rsidRPr="008D5728">
        <w:rPr>
          <w:rFonts w:eastAsia="Yu Gothic Light"/>
          <w:bCs/>
          <w:lang w:val="en-AU"/>
        </w:rPr>
        <w:t>,’</w:t>
      </w:r>
      <w:r w:rsidRPr="008D5728">
        <w:rPr>
          <w:rFonts w:eastAsia="Yu Gothic Light"/>
          <w:bCs/>
          <w:lang w:val="en-AU"/>
        </w:rPr>
        <w:t xml:space="preserve"> you should leave these fields unchanged. </w:t>
      </w:r>
    </w:p>
    <w:p w14:paraId="27836313" w14:textId="56F1B561" w:rsidR="00950464" w:rsidRDefault="005D728C" w:rsidP="005960D3">
      <w:pPr>
        <w:spacing w:before="240" w:after="240" w:line="240" w:lineRule="auto"/>
        <w:rPr>
          <w:rFonts w:eastAsia="Yu Gothic Light"/>
          <w:lang w:val="en-AU"/>
        </w:rPr>
      </w:pPr>
      <w:r w:rsidRPr="008D5728">
        <w:rPr>
          <w:rFonts w:eastAsia="Yu Gothic Light"/>
          <w:bCs/>
          <w:lang w:val="en-AU"/>
        </w:rPr>
        <w:t xml:space="preserve">The below table summarises the service groups, classification types, classification </w:t>
      </w:r>
      <w:r w:rsidR="00B23AB0" w:rsidRPr="008D5728">
        <w:rPr>
          <w:rFonts w:eastAsia="Yu Gothic Light"/>
          <w:bCs/>
          <w:lang w:val="en-AU"/>
        </w:rPr>
        <w:t>levels,</w:t>
      </w:r>
      <w:r w:rsidRPr="008D5728">
        <w:rPr>
          <w:rFonts w:eastAsia="Yu Gothic Light"/>
          <w:bCs/>
          <w:lang w:val="en-AU"/>
        </w:rPr>
        <w:t xml:space="preserve"> and priority categories covered in this section. </w:t>
      </w:r>
    </w:p>
    <w:p w14:paraId="04F42435" w14:textId="36E3D878" w:rsidR="005D728C" w:rsidRPr="008D5728" w:rsidRDefault="005D728C" w:rsidP="00622CFF">
      <w:pPr>
        <w:pStyle w:val="Caption"/>
        <w:spacing w:before="240" w:after="240"/>
        <w:rPr>
          <w:rFonts w:eastAsia="Yu Gothic Light"/>
          <w:lang w:val="en-AU"/>
        </w:rPr>
      </w:pPr>
      <w:r>
        <w:rPr>
          <w:rFonts w:eastAsia="Yu Gothic Light"/>
          <w:lang w:val="en-AU"/>
        </w:rPr>
        <w:t>Table 4</w:t>
      </w:r>
      <w:r w:rsidR="00854D2E">
        <w:rPr>
          <w:rFonts w:eastAsia="Yu Gothic Light"/>
          <w:lang w:val="en-AU"/>
        </w:rPr>
        <w:t>3</w:t>
      </w:r>
      <w:r>
        <w:rPr>
          <w:rFonts w:eastAsia="Yu Gothic Light"/>
          <w:lang w:val="en-AU"/>
        </w:rPr>
        <w:t>. Priority categories for service groups, classification types and classification levels</w:t>
      </w:r>
    </w:p>
    <w:tbl>
      <w:tblPr>
        <w:tblW w:w="9010"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Priority categories for service groups, classificiation types and classification levels"/>
      </w:tblPr>
      <w:tblGrid>
        <w:gridCol w:w="1770"/>
        <w:gridCol w:w="1650"/>
        <w:gridCol w:w="2838"/>
        <w:gridCol w:w="2752"/>
      </w:tblGrid>
      <w:tr w:rsidR="005D728C" w:rsidRPr="008D5728" w14:paraId="58BF7969" w14:textId="77777777">
        <w:trPr>
          <w:trHeight w:val="570"/>
          <w:tblHeader/>
        </w:trPr>
        <w:tc>
          <w:tcPr>
            <w:tcW w:w="1770" w:type="dxa"/>
            <w:shd w:val="clear" w:color="auto" w:fill="002060"/>
            <w:hideMark/>
          </w:tcPr>
          <w:p w14:paraId="251DB450" w14:textId="77777777"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Service group</w:t>
            </w:r>
            <w:r w:rsidRPr="008D5728">
              <w:rPr>
                <w:rFonts w:eastAsia="Times New Roman"/>
                <w:color w:val="FFFFFF"/>
                <w:szCs w:val="22"/>
                <w:lang w:val="en-AU"/>
              </w:rPr>
              <w:t> </w:t>
            </w:r>
          </w:p>
        </w:tc>
        <w:tc>
          <w:tcPr>
            <w:tcW w:w="1650" w:type="dxa"/>
            <w:shd w:val="clear" w:color="auto" w:fill="002060"/>
            <w:hideMark/>
          </w:tcPr>
          <w:p w14:paraId="7F9B173B" w14:textId="77777777"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Classification type</w:t>
            </w:r>
            <w:r w:rsidRPr="008D5728">
              <w:rPr>
                <w:rFonts w:eastAsia="Times New Roman"/>
                <w:color w:val="FFFFFF"/>
                <w:szCs w:val="22"/>
                <w:lang w:val="en-AU"/>
              </w:rPr>
              <w:t> </w:t>
            </w:r>
          </w:p>
        </w:tc>
        <w:tc>
          <w:tcPr>
            <w:tcW w:w="2838" w:type="dxa"/>
            <w:shd w:val="clear" w:color="auto" w:fill="002060"/>
            <w:hideMark/>
          </w:tcPr>
          <w:p w14:paraId="7BD73F25" w14:textId="77777777"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Classification level</w:t>
            </w:r>
            <w:r w:rsidRPr="008D5728">
              <w:rPr>
                <w:rFonts w:eastAsia="Times New Roman"/>
                <w:color w:val="FFFFFF"/>
                <w:szCs w:val="22"/>
                <w:lang w:val="en-AU"/>
              </w:rPr>
              <w:t> </w:t>
            </w:r>
            <w:r w:rsidRPr="008D5728">
              <w:rPr>
                <w:rFonts w:eastAsia="Times New Roman"/>
                <w:color w:val="FFFFFF"/>
                <w:szCs w:val="22"/>
                <w:lang w:val="en-AU"/>
              </w:rPr>
              <w:br/>
            </w:r>
            <w:r w:rsidRPr="008D5728">
              <w:rPr>
                <w:rFonts w:eastAsia="Times New Roman"/>
                <w:i/>
                <w:color w:val="FFFFFF"/>
                <w:szCs w:val="22"/>
                <w:lang w:val="en-AU"/>
              </w:rPr>
              <w:t xml:space="preserve">Referred to as </w:t>
            </w:r>
            <w:r w:rsidRPr="008D5728">
              <w:rPr>
                <w:rFonts w:eastAsia="Times New Roman"/>
                <w:color w:val="FFFFFF"/>
                <w:szCs w:val="22"/>
                <w:lang w:val="en-AU"/>
              </w:rPr>
              <w:t> </w:t>
            </w:r>
            <w:r w:rsidRPr="008D5728">
              <w:rPr>
                <w:rFonts w:eastAsia="Times New Roman"/>
                <w:color w:val="FFFFFF"/>
                <w:szCs w:val="22"/>
                <w:lang w:val="en-AU"/>
              </w:rPr>
              <w:br/>
            </w:r>
            <w:r w:rsidRPr="008D5728">
              <w:rPr>
                <w:rFonts w:eastAsia="Times New Roman"/>
                <w:i/>
                <w:color w:val="FFFFFF"/>
                <w:szCs w:val="22"/>
                <w:lang w:val="en-AU"/>
              </w:rPr>
              <w:t xml:space="preserve">‘funding tiers’ </w:t>
            </w:r>
            <w:r w:rsidRPr="008D5728">
              <w:rPr>
                <w:rFonts w:eastAsia="Times New Roman"/>
                <w:color w:val="FFFFFF"/>
                <w:szCs w:val="22"/>
                <w:lang w:val="en-AU"/>
              </w:rPr>
              <w:t> </w:t>
            </w:r>
            <w:r w:rsidRPr="008D5728">
              <w:rPr>
                <w:rFonts w:eastAsia="Times New Roman"/>
                <w:color w:val="FFFFFF"/>
                <w:szCs w:val="22"/>
                <w:lang w:val="en-AU"/>
              </w:rPr>
              <w:br/>
            </w:r>
            <w:r w:rsidRPr="008D5728">
              <w:rPr>
                <w:rFonts w:eastAsia="Times New Roman"/>
                <w:i/>
                <w:color w:val="FFFFFF"/>
                <w:szCs w:val="22"/>
                <w:lang w:val="en-AU"/>
              </w:rPr>
              <w:t>for AT and HM</w:t>
            </w:r>
            <w:r w:rsidRPr="008D5728">
              <w:rPr>
                <w:rFonts w:eastAsia="Times New Roman"/>
                <w:color w:val="FFFFFF"/>
                <w:szCs w:val="22"/>
                <w:lang w:val="en-AU"/>
              </w:rPr>
              <w:t> </w:t>
            </w:r>
          </w:p>
        </w:tc>
        <w:tc>
          <w:tcPr>
            <w:tcW w:w="2752" w:type="dxa"/>
            <w:shd w:val="clear" w:color="auto" w:fill="002060"/>
            <w:hideMark/>
          </w:tcPr>
          <w:p w14:paraId="0B9E7371" w14:textId="37738BB8" w:rsidR="005D728C" w:rsidRPr="008D5728" w:rsidRDefault="005D728C" w:rsidP="005960D3">
            <w:pPr>
              <w:spacing w:before="120" w:after="120" w:line="240" w:lineRule="auto"/>
              <w:textAlignment w:val="baseline"/>
              <w:rPr>
                <w:rFonts w:eastAsia="Times New Roman"/>
                <w:color w:val="FFFFFF"/>
                <w:szCs w:val="22"/>
                <w:lang w:val="en-AU"/>
              </w:rPr>
            </w:pPr>
            <w:r w:rsidRPr="008D5728">
              <w:rPr>
                <w:rFonts w:eastAsia="Times New Roman"/>
                <w:b/>
                <w:color w:val="FFFFFF"/>
                <w:szCs w:val="22"/>
                <w:lang w:val="en-AU"/>
              </w:rPr>
              <w:t>Priority category</w:t>
            </w:r>
            <w:r w:rsidRPr="008D5728">
              <w:rPr>
                <w:rFonts w:eastAsia="Times New Roman"/>
                <w:color w:val="FFFFFF"/>
                <w:szCs w:val="22"/>
                <w:lang w:val="en-AU"/>
              </w:rPr>
              <w:t> </w:t>
            </w:r>
          </w:p>
        </w:tc>
      </w:tr>
      <w:tr w:rsidR="005D728C" w:rsidRPr="008D5728" w14:paraId="0D813327" w14:textId="77777777">
        <w:trPr>
          <w:trHeight w:val="570"/>
        </w:trPr>
        <w:tc>
          <w:tcPr>
            <w:tcW w:w="1770" w:type="dxa"/>
            <w:vMerge w:val="restart"/>
            <w:hideMark/>
          </w:tcPr>
          <w:p w14:paraId="44A1964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Home support</w:t>
            </w:r>
            <w:r w:rsidRPr="008D5728">
              <w:rPr>
                <w:rFonts w:eastAsia="Times New Roman"/>
                <w:szCs w:val="22"/>
                <w:lang w:val="en-AU"/>
              </w:rPr>
              <w:t> </w:t>
            </w:r>
          </w:p>
        </w:tc>
        <w:tc>
          <w:tcPr>
            <w:tcW w:w="1650" w:type="dxa"/>
            <w:hideMark/>
          </w:tcPr>
          <w:p w14:paraId="060FC3B2"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25D32E3A" w14:textId="675ECA11"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SAH class 1 SAH class 8 </w:t>
            </w:r>
          </w:p>
        </w:tc>
        <w:tc>
          <w:tcPr>
            <w:tcW w:w="2752" w:type="dxa"/>
            <w:hideMark/>
          </w:tcPr>
          <w:p w14:paraId="31A12124"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Urgent, High, Medium, Standard </w:t>
            </w:r>
          </w:p>
        </w:tc>
      </w:tr>
      <w:tr w:rsidR="005D728C" w:rsidRPr="008D5728" w14:paraId="13FE6DAA" w14:textId="77777777">
        <w:trPr>
          <w:trHeight w:val="570"/>
        </w:trPr>
        <w:tc>
          <w:tcPr>
            <w:tcW w:w="0" w:type="auto"/>
            <w:vMerge/>
            <w:vAlign w:val="center"/>
            <w:hideMark/>
          </w:tcPr>
          <w:p w14:paraId="3094272D"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3EAFB22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7553577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CHSP class </w:t>
            </w:r>
          </w:p>
        </w:tc>
        <w:tc>
          <w:tcPr>
            <w:tcW w:w="2752" w:type="dxa"/>
            <w:hideMark/>
          </w:tcPr>
          <w:p w14:paraId="194F5862"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47285382" w14:textId="77777777">
        <w:trPr>
          <w:trHeight w:val="570"/>
        </w:trPr>
        <w:tc>
          <w:tcPr>
            <w:tcW w:w="0" w:type="auto"/>
            <w:vMerge/>
            <w:vAlign w:val="center"/>
            <w:hideMark/>
          </w:tcPr>
          <w:p w14:paraId="22C1BFDE"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7DEA6875"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tc>
        <w:tc>
          <w:tcPr>
            <w:tcW w:w="2838" w:type="dxa"/>
            <w:hideMark/>
          </w:tcPr>
          <w:p w14:paraId="24B6554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SAH restorative care pathway </w:t>
            </w:r>
          </w:p>
          <w:p w14:paraId="01F2598A"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SAH end-of-life pathway </w:t>
            </w:r>
          </w:p>
        </w:tc>
        <w:tc>
          <w:tcPr>
            <w:tcW w:w="2752" w:type="dxa"/>
            <w:hideMark/>
          </w:tcPr>
          <w:p w14:paraId="4961C75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704B19FC" w14:textId="77777777">
        <w:trPr>
          <w:trHeight w:val="570"/>
        </w:trPr>
        <w:tc>
          <w:tcPr>
            <w:tcW w:w="0" w:type="auto"/>
            <w:vMerge/>
            <w:vAlign w:val="center"/>
            <w:hideMark/>
          </w:tcPr>
          <w:p w14:paraId="71186DFA"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51400229"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Hospital transition </w:t>
            </w:r>
          </w:p>
        </w:tc>
        <w:tc>
          <w:tcPr>
            <w:tcW w:w="2838" w:type="dxa"/>
            <w:hideMark/>
          </w:tcPr>
          <w:p w14:paraId="1F9FBFE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HS HT class </w:t>
            </w:r>
          </w:p>
        </w:tc>
        <w:tc>
          <w:tcPr>
            <w:tcW w:w="2752" w:type="dxa"/>
            <w:hideMark/>
          </w:tcPr>
          <w:p w14:paraId="4E92C98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5BED3172" w14:textId="77777777">
        <w:trPr>
          <w:trHeight w:val="570"/>
        </w:trPr>
        <w:tc>
          <w:tcPr>
            <w:tcW w:w="1770" w:type="dxa"/>
            <w:vMerge w:val="restart"/>
            <w:hideMark/>
          </w:tcPr>
          <w:p w14:paraId="0C30CAB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Assistive technology</w:t>
            </w:r>
            <w:r w:rsidRPr="008D5728">
              <w:rPr>
                <w:rFonts w:eastAsia="Times New Roman"/>
                <w:szCs w:val="22"/>
                <w:lang w:val="en-AU"/>
              </w:rPr>
              <w:t> </w:t>
            </w:r>
          </w:p>
        </w:tc>
        <w:tc>
          <w:tcPr>
            <w:tcW w:w="1650" w:type="dxa"/>
            <w:hideMark/>
          </w:tcPr>
          <w:p w14:paraId="46DE879B"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6205221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assistance dogs </w:t>
            </w:r>
          </w:p>
        </w:tc>
        <w:tc>
          <w:tcPr>
            <w:tcW w:w="2752" w:type="dxa"/>
            <w:hideMark/>
          </w:tcPr>
          <w:p w14:paraId="79F8E16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High, Medium, Standard </w:t>
            </w:r>
          </w:p>
        </w:tc>
      </w:tr>
      <w:tr w:rsidR="005D728C" w:rsidRPr="008D5728" w14:paraId="0EB0B2AA" w14:textId="77777777">
        <w:trPr>
          <w:trHeight w:val="570"/>
        </w:trPr>
        <w:tc>
          <w:tcPr>
            <w:tcW w:w="0" w:type="auto"/>
            <w:vMerge/>
            <w:vAlign w:val="center"/>
            <w:hideMark/>
          </w:tcPr>
          <w:p w14:paraId="358EBF40" w14:textId="77777777" w:rsidR="005D728C" w:rsidRPr="008D5728" w:rsidRDefault="005D728C" w:rsidP="005960D3">
            <w:pPr>
              <w:spacing w:before="120" w:after="120" w:line="240" w:lineRule="auto"/>
              <w:rPr>
                <w:rFonts w:eastAsia="Times New Roman"/>
                <w:szCs w:val="22"/>
                <w:lang w:val="en-AU"/>
              </w:rPr>
            </w:pPr>
          </w:p>
        </w:tc>
        <w:tc>
          <w:tcPr>
            <w:tcW w:w="1650" w:type="dxa"/>
            <w:vMerge w:val="restart"/>
            <w:hideMark/>
          </w:tcPr>
          <w:p w14:paraId="404BD61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tc>
        <w:tc>
          <w:tcPr>
            <w:tcW w:w="2838" w:type="dxa"/>
            <w:hideMark/>
          </w:tcPr>
          <w:p w14:paraId="3861E489"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low </w:t>
            </w:r>
          </w:p>
          <w:p w14:paraId="1E8938F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medium </w:t>
            </w:r>
          </w:p>
          <w:p w14:paraId="09E86D71" w14:textId="5F2D4063"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high </w:t>
            </w:r>
          </w:p>
        </w:tc>
        <w:tc>
          <w:tcPr>
            <w:tcW w:w="2752" w:type="dxa"/>
            <w:hideMark/>
          </w:tcPr>
          <w:p w14:paraId="34BB40C6"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High, Medium, Standard </w:t>
            </w:r>
          </w:p>
        </w:tc>
      </w:tr>
      <w:tr w:rsidR="005D728C" w:rsidRPr="008D5728" w14:paraId="1B4BF31D" w14:textId="77777777">
        <w:trPr>
          <w:trHeight w:val="570"/>
        </w:trPr>
        <w:tc>
          <w:tcPr>
            <w:tcW w:w="0" w:type="auto"/>
            <w:vMerge/>
            <w:vAlign w:val="center"/>
            <w:hideMark/>
          </w:tcPr>
          <w:p w14:paraId="2BC2E938" w14:textId="77777777" w:rsidR="005D728C" w:rsidRPr="008D5728" w:rsidRDefault="005D728C" w:rsidP="005960D3">
            <w:pPr>
              <w:spacing w:before="120" w:after="120" w:line="240" w:lineRule="auto"/>
              <w:rPr>
                <w:rFonts w:eastAsia="Times New Roman"/>
                <w:szCs w:val="22"/>
                <w:lang w:val="en-AU"/>
              </w:rPr>
            </w:pPr>
          </w:p>
        </w:tc>
        <w:tc>
          <w:tcPr>
            <w:tcW w:w="0" w:type="auto"/>
            <w:vMerge/>
            <w:vAlign w:val="center"/>
            <w:hideMark/>
          </w:tcPr>
          <w:p w14:paraId="6F79CB6E" w14:textId="77777777" w:rsidR="005D728C" w:rsidRPr="008D5728" w:rsidRDefault="005D728C" w:rsidP="005960D3">
            <w:pPr>
              <w:spacing w:before="120" w:after="120" w:line="240" w:lineRule="auto"/>
              <w:rPr>
                <w:rFonts w:eastAsia="Times New Roman"/>
                <w:szCs w:val="22"/>
                <w:lang w:val="en-AU"/>
              </w:rPr>
            </w:pPr>
          </w:p>
        </w:tc>
        <w:tc>
          <w:tcPr>
            <w:tcW w:w="2838" w:type="dxa"/>
            <w:hideMark/>
          </w:tcPr>
          <w:p w14:paraId="2E7E1CB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CHSP </w:t>
            </w:r>
          </w:p>
        </w:tc>
        <w:tc>
          <w:tcPr>
            <w:tcW w:w="2752" w:type="dxa"/>
            <w:hideMark/>
          </w:tcPr>
          <w:p w14:paraId="37218083"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w:t>
            </w:r>
          </w:p>
        </w:tc>
      </w:tr>
      <w:tr w:rsidR="005D728C" w:rsidRPr="008D5728" w14:paraId="5DC57F39" w14:textId="77777777">
        <w:trPr>
          <w:trHeight w:val="570"/>
        </w:trPr>
        <w:tc>
          <w:tcPr>
            <w:tcW w:w="0" w:type="auto"/>
            <w:vMerge/>
            <w:vAlign w:val="center"/>
            <w:hideMark/>
          </w:tcPr>
          <w:p w14:paraId="4BBA6AFD"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49A7426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Hospital transition </w:t>
            </w:r>
          </w:p>
        </w:tc>
        <w:tc>
          <w:tcPr>
            <w:tcW w:w="2838" w:type="dxa"/>
            <w:hideMark/>
          </w:tcPr>
          <w:p w14:paraId="30AA4E3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AT HT class </w:t>
            </w:r>
          </w:p>
        </w:tc>
        <w:tc>
          <w:tcPr>
            <w:tcW w:w="2752" w:type="dxa"/>
            <w:hideMark/>
          </w:tcPr>
          <w:p w14:paraId="1088738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w:t>
            </w:r>
          </w:p>
        </w:tc>
      </w:tr>
      <w:tr w:rsidR="005D728C" w:rsidRPr="008D5728" w14:paraId="621C2EC7" w14:textId="77777777">
        <w:trPr>
          <w:trHeight w:val="570"/>
        </w:trPr>
        <w:tc>
          <w:tcPr>
            <w:tcW w:w="1770" w:type="dxa"/>
            <w:vMerge w:val="restart"/>
            <w:hideMark/>
          </w:tcPr>
          <w:p w14:paraId="7CAEA4D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Home modifications</w:t>
            </w:r>
            <w:r w:rsidRPr="008D5728">
              <w:rPr>
                <w:rFonts w:eastAsia="Times New Roman"/>
                <w:szCs w:val="22"/>
                <w:lang w:val="en-AU"/>
              </w:rPr>
              <w:t> </w:t>
            </w:r>
          </w:p>
          <w:p w14:paraId="52F6C4F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1650" w:type="dxa"/>
            <w:vMerge w:val="restart"/>
            <w:hideMark/>
          </w:tcPr>
          <w:p w14:paraId="5FEF111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p w14:paraId="7170A07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2838" w:type="dxa"/>
            <w:hideMark/>
          </w:tcPr>
          <w:p w14:paraId="08C9A72B"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low </w:t>
            </w:r>
          </w:p>
          <w:p w14:paraId="3B1EC250"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medium </w:t>
            </w:r>
          </w:p>
          <w:p w14:paraId="2611388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high </w:t>
            </w:r>
          </w:p>
        </w:tc>
        <w:tc>
          <w:tcPr>
            <w:tcW w:w="2752" w:type="dxa"/>
            <w:hideMark/>
          </w:tcPr>
          <w:p w14:paraId="7DB3499E"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High, Medium, Standard </w:t>
            </w:r>
          </w:p>
        </w:tc>
      </w:tr>
      <w:tr w:rsidR="005D728C" w:rsidRPr="008D5728" w14:paraId="1B6FDBB5" w14:textId="77777777">
        <w:trPr>
          <w:trHeight w:val="570"/>
        </w:trPr>
        <w:tc>
          <w:tcPr>
            <w:tcW w:w="0" w:type="auto"/>
            <w:vMerge/>
            <w:vAlign w:val="center"/>
            <w:hideMark/>
          </w:tcPr>
          <w:p w14:paraId="6E3B7636" w14:textId="77777777" w:rsidR="005D728C" w:rsidRPr="008D5728" w:rsidRDefault="005D728C" w:rsidP="005960D3">
            <w:pPr>
              <w:spacing w:before="120" w:after="120" w:line="240" w:lineRule="auto"/>
              <w:rPr>
                <w:rFonts w:eastAsia="Times New Roman"/>
                <w:szCs w:val="22"/>
                <w:lang w:val="en-AU"/>
              </w:rPr>
            </w:pPr>
          </w:p>
        </w:tc>
        <w:tc>
          <w:tcPr>
            <w:tcW w:w="0" w:type="auto"/>
            <w:vMerge/>
            <w:vAlign w:val="center"/>
            <w:hideMark/>
          </w:tcPr>
          <w:p w14:paraId="7A32E15C" w14:textId="77777777" w:rsidR="005D728C" w:rsidRPr="008D5728" w:rsidRDefault="005D728C" w:rsidP="005960D3">
            <w:pPr>
              <w:spacing w:before="120" w:after="120" w:line="240" w:lineRule="auto"/>
              <w:rPr>
                <w:rFonts w:eastAsia="Times New Roman"/>
                <w:szCs w:val="22"/>
                <w:lang w:val="en-AU"/>
              </w:rPr>
            </w:pPr>
          </w:p>
        </w:tc>
        <w:tc>
          <w:tcPr>
            <w:tcW w:w="2838" w:type="dxa"/>
            <w:hideMark/>
          </w:tcPr>
          <w:p w14:paraId="0CFC8E6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HM CHSP </w:t>
            </w:r>
          </w:p>
          <w:p w14:paraId="4FF06C6C"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w:t>
            </w:r>
          </w:p>
        </w:tc>
        <w:tc>
          <w:tcPr>
            <w:tcW w:w="2752" w:type="dxa"/>
            <w:hideMark/>
          </w:tcPr>
          <w:p w14:paraId="557C44FF"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Immediate </w:t>
            </w:r>
          </w:p>
        </w:tc>
      </w:tr>
      <w:tr w:rsidR="005D728C" w:rsidRPr="008D5728" w14:paraId="08DF76F3" w14:textId="77777777">
        <w:trPr>
          <w:trHeight w:val="570"/>
        </w:trPr>
        <w:tc>
          <w:tcPr>
            <w:tcW w:w="1770" w:type="dxa"/>
            <w:vMerge w:val="restart"/>
            <w:hideMark/>
          </w:tcPr>
          <w:p w14:paraId="2D4C65E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b/>
                <w:szCs w:val="22"/>
                <w:lang w:val="en-AU"/>
              </w:rPr>
              <w:t>Residential care</w:t>
            </w:r>
            <w:r w:rsidRPr="008D5728">
              <w:rPr>
                <w:rFonts w:eastAsia="Times New Roman"/>
                <w:szCs w:val="22"/>
                <w:lang w:val="en-AU"/>
              </w:rPr>
              <w:t> </w:t>
            </w:r>
          </w:p>
        </w:tc>
        <w:tc>
          <w:tcPr>
            <w:tcW w:w="1650" w:type="dxa"/>
            <w:hideMark/>
          </w:tcPr>
          <w:p w14:paraId="66EE1CC4"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Ongoing </w:t>
            </w:r>
          </w:p>
        </w:tc>
        <w:tc>
          <w:tcPr>
            <w:tcW w:w="2838" w:type="dxa"/>
            <w:hideMark/>
          </w:tcPr>
          <w:p w14:paraId="57D280D7"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Class 0 (pre AN-ACC assessment) </w:t>
            </w:r>
            <w:r w:rsidRPr="008D5728">
              <w:rPr>
                <w:rFonts w:eastAsia="Times New Roman"/>
                <w:szCs w:val="22"/>
                <w:lang w:val="en-AU"/>
              </w:rPr>
              <w:br/>
              <w:t>Class 1 to Class 13 </w:t>
            </w:r>
          </w:p>
        </w:tc>
        <w:tc>
          <w:tcPr>
            <w:tcW w:w="2752" w:type="dxa"/>
            <w:hideMark/>
          </w:tcPr>
          <w:p w14:paraId="41A598B0"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Priority One, Priority Two, Priority Three </w:t>
            </w:r>
          </w:p>
        </w:tc>
      </w:tr>
      <w:tr w:rsidR="005D728C" w:rsidRPr="008D5728" w14:paraId="79AA3FBD" w14:textId="77777777">
        <w:trPr>
          <w:trHeight w:val="1395"/>
        </w:trPr>
        <w:tc>
          <w:tcPr>
            <w:tcW w:w="0" w:type="auto"/>
            <w:vMerge/>
            <w:vAlign w:val="center"/>
            <w:hideMark/>
          </w:tcPr>
          <w:p w14:paraId="7FE3080A"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43B85793"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Short-term </w:t>
            </w:r>
          </w:p>
        </w:tc>
        <w:tc>
          <w:tcPr>
            <w:tcW w:w="2838" w:type="dxa"/>
            <w:hideMark/>
          </w:tcPr>
          <w:p w14:paraId="12048AA1"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Class 0 (pre AN-ACC assessment) </w:t>
            </w:r>
          </w:p>
          <w:p w14:paraId="53470F5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Respite class 1 to Respite class 3 </w:t>
            </w:r>
          </w:p>
        </w:tc>
        <w:tc>
          <w:tcPr>
            <w:tcW w:w="2752" w:type="dxa"/>
            <w:hideMark/>
          </w:tcPr>
          <w:p w14:paraId="68254A8F"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N/A  </w:t>
            </w:r>
          </w:p>
        </w:tc>
      </w:tr>
      <w:tr w:rsidR="005D728C" w:rsidRPr="008D5728" w14:paraId="0837E0CE" w14:textId="77777777">
        <w:trPr>
          <w:trHeight w:val="570"/>
        </w:trPr>
        <w:tc>
          <w:tcPr>
            <w:tcW w:w="0" w:type="auto"/>
            <w:vMerge/>
            <w:vAlign w:val="center"/>
            <w:hideMark/>
          </w:tcPr>
          <w:p w14:paraId="135C362A" w14:textId="77777777" w:rsidR="005D728C" w:rsidRPr="008D5728" w:rsidRDefault="005D728C" w:rsidP="005960D3">
            <w:pPr>
              <w:spacing w:before="120" w:after="120" w:line="240" w:lineRule="auto"/>
              <w:rPr>
                <w:rFonts w:eastAsia="Times New Roman"/>
                <w:szCs w:val="22"/>
                <w:lang w:val="en-AU"/>
              </w:rPr>
            </w:pPr>
          </w:p>
        </w:tc>
        <w:tc>
          <w:tcPr>
            <w:tcW w:w="1650" w:type="dxa"/>
            <w:hideMark/>
          </w:tcPr>
          <w:p w14:paraId="5396B084"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Hospital transition </w:t>
            </w:r>
          </w:p>
        </w:tc>
        <w:tc>
          <w:tcPr>
            <w:tcW w:w="2838" w:type="dxa"/>
            <w:hideMark/>
          </w:tcPr>
          <w:p w14:paraId="56FE87D3"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RC HT class </w:t>
            </w:r>
          </w:p>
        </w:tc>
        <w:tc>
          <w:tcPr>
            <w:tcW w:w="2752" w:type="dxa"/>
            <w:hideMark/>
          </w:tcPr>
          <w:p w14:paraId="7DAD9B9D" w14:textId="77777777" w:rsidR="005D728C" w:rsidRPr="008D5728" w:rsidRDefault="005D728C" w:rsidP="005960D3">
            <w:pPr>
              <w:spacing w:before="120" w:after="120" w:line="240" w:lineRule="auto"/>
              <w:textAlignment w:val="baseline"/>
              <w:rPr>
                <w:rFonts w:eastAsia="Times New Roman"/>
                <w:szCs w:val="22"/>
                <w:lang w:val="en-AU"/>
              </w:rPr>
            </w:pPr>
            <w:r w:rsidRPr="008D5728">
              <w:rPr>
                <w:rFonts w:eastAsia="Times New Roman"/>
                <w:szCs w:val="22"/>
                <w:lang w:val="en-AU"/>
              </w:rPr>
              <w:t>  N/A</w:t>
            </w:r>
          </w:p>
        </w:tc>
      </w:tr>
    </w:tbl>
    <w:p w14:paraId="08FBCB49" w14:textId="77777777" w:rsidR="00E66AF1" w:rsidRDefault="00E66AF1" w:rsidP="00E66AF1"/>
    <w:p w14:paraId="48221E5A" w14:textId="77777777" w:rsidR="005D728C" w:rsidRPr="00EF1D6F" w:rsidRDefault="005D728C" w:rsidP="00C56CEC">
      <w:pPr>
        <w:pStyle w:val="H3"/>
      </w:pPr>
      <w:r w:rsidRPr="00EF1D6F" w:rsidDel="005D65F8">
        <w:t xml:space="preserve">Home </w:t>
      </w:r>
      <w:r w:rsidRPr="00EF1D6F">
        <w:t>support – ongoing</w:t>
      </w:r>
    </w:p>
    <w:p w14:paraId="5FF33F61" w14:textId="53447DDD" w:rsidR="005D728C" w:rsidRPr="008D5728" w:rsidRDefault="005D728C" w:rsidP="00622CFF">
      <w:pPr>
        <w:spacing w:before="240" w:after="240" w:line="240" w:lineRule="auto"/>
        <w:rPr>
          <w:rFonts w:eastAsia="Yu Gothic Light"/>
        </w:rPr>
      </w:pPr>
      <w:r w:rsidRPr="008D5728">
        <w:rPr>
          <w:rFonts w:eastAsia="Yu Gothic Light"/>
        </w:rPr>
        <w:t>The priority category for ongoing Support at Home is</w:t>
      </w:r>
      <w:r w:rsidR="00A25090">
        <w:rPr>
          <w:rFonts w:eastAsia="Yu Gothic Light"/>
        </w:rPr>
        <w:t xml:space="preserve"> assigned by the system and</w:t>
      </w:r>
      <w:r w:rsidRPr="008D5728">
        <w:rPr>
          <w:rFonts w:eastAsia="Yu Gothic Light"/>
        </w:rPr>
        <w:t xml:space="preserve"> calculated based on six different criteria captured in the </w:t>
      </w:r>
      <w:r w:rsidR="007174BC">
        <w:rPr>
          <w:rFonts w:eastAsia="Yu Gothic Light"/>
        </w:rPr>
        <w:t>Integrated Assessment Tool (</w:t>
      </w:r>
      <w:r w:rsidRPr="008D5728">
        <w:rPr>
          <w:rFonts w:eastAsia="Yu Gothic Light"/>
        </w:rPr>
        <w:t>IAT</w:t>
      </w:r>
      <w:r w:rsidR="007174BC">
        <w:rPr>
          <w:rFonts w:eastAsia="Yu Gothic Light"/>
        </w:rPr>
        <w:t>)</w:t>
      </w:r>
      <w:r w:rsidRPr="008D5728">
        <w:rPr>
          <w:rFonts w:eastAsia="Yu Gothic Light"/>
        </w:rPr>
        <w:t xml:space="preserve"> or on the client’s record. These are whether the person: </w:t>
      </w:r>
    </w:p>
    <w:p w14:paraId="11D36088"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lives alone </w:t>
      </w:r>
    </w:p>
    <w:p w14:paraId="752AF148"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identifies as Aboriginal or Torres Strait Islander </w:t>
      </w:r>
    </w:p>
    <w:p w14:paraId="0B7759FC"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has an assessed cognitive impairment</w:t>
      </w:r>
    </w:p>
    <w:p w14:paraId="7CC3D1B7"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is experiencing homelessness or is at risk of homelessness </w:t>
      </w:r>
    </w:p>
    <w:p w14:paraId="7F514A05"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requires urgent service provision  </w:t>
      </w:r>
    </w:p>
    <w:p w14:paraId="6C919B6C" w14:textId="77777777" w:rsidR="005D728C" w:rsidRPr="008D5728" w:rsidRDefault="005D728C" w:rsidP="00DF3F6B">
      <w:pPr>
        <w:numPr>
          <w:ilvl w:val="0"/>
          <w:numId w:val="215"/>
        </w:numPr>
        <w:spacing w:before="240" w:after="240" w:line="240" w:lineRule="auto"/>
        <w:contextualSpacing/>
        <w:rPr>
          <w:rFonts w:eastAsia="Yu Gothic Light"/>
        </w:rPr>
      </w:pPr>
      <w:r w:rsidRPr="008D5728">
        <w:rPr>
          <w:rFonts w:eastAsia="Yu Gothic Light"/>
        </w:rPr>
        <w:t>has waited more than six months from the initial assessment referral and lives in a regional or remote area. </w:t>
      </w:r>
    </w:p>
    <w:p w14:paraId="2B53ED5E" w14:textId="77777777" w:rsidR="005D728C" w:rsidRPr="00EF1D6F" w:rsidRDefault="005D728C" w:rsidP="00C56CEC">
      <w:pPr>
        <w:pStyle w:val="H3"/>
      </w:pPr>
      <w:r w:rsidRPr="00EF1D6F">
        <w:t>AT-HM scheme</w:t>
      </w:r>
    </w:p>
    <w:p w14:paraId="4DC6059D" w14:textId="14F18857" w:rsidR="005D728C" w:rsidRPr="008D5728" w:rsidRDefault="005D728C" w:rsidP="00622CFF">
      <w:pPr>
        <w:spacing w:before="240" w:after="240" w:line="240" w:lineRule="auto"/>
        <w:rPr>
          <w:rFonts w:eastAsia="Yu Gothic Light"/>
        </w:rPr>
      </w:pPr>
      <w:r w:rsidRPr="008D5728">
        <w:rPr>
          <w:rFonts w:eastAsia="Yu Gothic Light"/>
        </w:rPr>
        <w:t xml:space="preserve">The Priority categories for AT-HM is calculated based on 5 different criteria captured in the </w:t>
      </w:r>
      <w:r w:rsidR="00370E88">
        <w:rPr>
          <w:rFonts w:eastAsia="Yu Gothic Light"/>
        </w:rPr>
        <w:t xml:space="preserve">Integrated Assessment Tool </w:t>
      </w:r>
      <w:r w:rsidR="00FF0DC9">
        <w:rPr>
          <w:rFonts w:eastAsia="Yu Gothic Light"/>
        </w:rPr>
        <w:t>(</w:t>
      </w:r>
      <w:r w:rsidRPr="008D5728">
        <w:rPr>
          <w:rFonts w:eastAsia="Yu Gothic Light"/>
        </w:rPr>
        <w:t>IAT</w:t>
      </w:r>
      <w:r w:rsidR="00FF0DC9">
        <w:rPr>
          <w:rFonts w:eastAsia="Yu Gothic Light"/>
        </w:rPr>
        <w:t>)</w:t>
      </w:r>
      <w:r w:rsidRPr="008D5728">
        <w:rPr>
          <w:rFonts w:eastAsia="Yu Gothic Light"/>
        </w:rPr>
        <w:t xml:space="preserve"> or on the client record. These are whether the person: </w:t>
      </w:r>
    </w:p>
    <w:p w14:paraId="40D24967"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lives alone </w:t>
      </w:r>
    </w:p>
    <w:p w14:paraId="5E56C770"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has an assessed severe mobility impairment </w:t>
      </w:r>
    </w:p>
    <w:p w14:paraId="422DF76B"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Identifies as Aboriginal or Torres Strait Islander person </w:t>
      </w:r>
    </w:p>
    <w:p w14:paraId="787994A4"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 xml:space="preserve">current place of residence poses a severe risk to their health or safety  </w:t>
      </w:r>
    </w:p>
    <w:p w14:paraId="6B48506F" w14:textId="77777777" w:rsidR="005D728C" w:rsidRPr="008D5728" w:rsidRDefault="005D728C" w:rsidP="00DF3F6B">
      <w:pPr>
        <w:numPr>
          <w:ilvl w:val="0"/>
          <w:numId w:val="435"/>
        </w:numPr>
        <w:spacing w:before="240" w:after="240" w:line="240" w:lineRule="auto"/>
        <w:contextualSpacing/>
        <w:rPr>
          <w:rFonts w:eastAsia="Yu Gothic Light"/>
        </w:rPr>
      </w:pPr>
      <w:r w:rsidRPr="008D5728">
        <w:rPr>
          <w:rFonts w:eastAsia="Yu Gothic Light"/>
        </w:rPr>
        <w:t>Individual has waited more than 6 months from initial referral and resides in a rural or remote area categorised under MM5-7.</w:t>
      </w:r>
    </w:p>
    <w:p w14:paraId="5042B214" w14:textId="77777777" w:rsidR="005D728C" w:rsidRPr="008D5728" w:rsidRDefault="005D728C" w:rsidP="00622CFF">
      <w:pPr>
        <w:spacing w:before="240" w:after="240" w:line="240" w:lineRule="auto"/>
        <w:ind w:left="1080"/>
        <w:contextualSpacing/>
        <w:rPr>
          <w:rFonts w:eastAsia="Yu Gothic Light"/>
        </w:rPr>
      </w:pPr>
    </w:p>
    <w:p w14:paraId="29B67791" w14:textId="27A44B6E" w:rsidR="005D728C" w:rsidRPr="008D5728" w:rsidRDefault="005D728C" w:rsidP="00622CFF">
      <w:pPr>
        <w:spacing w:before="240" w:after="240" w:line="240" w:lineRule="auto"/>
        <w:rPr>
          <w:rFonts w:eastAsia="Yu Gothic Light"/>
        </w:rPr>
      </w:pPr>
      <w:r w:rsidRPr="008D5728">
        <w:rPr>
          <w:rFonts w:eastAsia="Yu Gothic Light"/>
        </w:rPr>
        <w:t xml:space="preserve">Further information </w:t>
      </w:r>
      <w:r w:rsidR="00BD1AF9">
        <w:rPr>
          <w:rFonts w:eastAsia="Yu Gothic Light"/>
        </w:rPr>
        <w:t>is</w:t>
      </w:r>
      <w:r w:rsidRPr="008D5728">
        <w:rPr>
          <w:rFonts w:eastAsia="Yu Gothic Light"/>
        </w:rPr>
        <w:t xml:space="preserve"> available in the </w:t>
      </w:r>
      <w:hyperlink r:id="rId232" w:history="1">
        <w:r w:rsidRPr="00BD1AF9">
          <w:rPr>
            <w:rStyle w:val="Hyperlink"/>
            <w:rFonts w:eastAsia="Yu Gothic Light"/>
          </w:rPr>
          <w:t>AT-HM scheme guidelines</w:t>
        </w:r>
      </w:hyperlink>
      <w:r w:rsidRPr="008D5728">
        <w:rPr>
          <w:rFonts w:eastAsia="Yu Gothic Light"/>
        </w:rPr>
        <w:t xml:space="preserve">. </w:t>
      </w:r>
    </w:p>
    <w:p w14:paraId="5815C865" w14:textId="77777777" w:rsidR="005D728C" w:rsidRPr="008D5728" w:rsidRDefault="005D728C" w:rsidP="00622CFF">
      <w:pPr>
        <w:spacing w:before="240" w:after="240" w:line="240" w:lineRule="auto"/>
        <w:rPr>
          <w:rFonts w:eastAsia="Yu Gothic Light"/>
        </w:rPr>
      </w:pPr>
      <w:r w:rsidRPr="008D5728">
        <w:rPr>
          <w:rFonts w:eastAsia="Yu Gothic Light"/>
        </w:rPr>
        <w:t>The priority category for all ongoing CHSP services will be ‘Not applicable’.</w:t>
      </w:r>
    </w:p>
    <w:p w14:paraId="56B5B8E9" w14:textId="5121A651" w:rsidR="005D728C" w:rsidRPr="00EF1D6F" w:rsidRDefault="005D728C" w:rsidP="00C56CEC">
      <w:pPr>
        <w:pStyle w:val="H3"/>
      </w:pPr>
      <w:r w:rsidRPr="00EF1D6F">
        <w:t xml:space="preserve">Residential </w:t>
      </w:r>
      <w:r w:rsidR="00C205A0">
        <w:t>c</w:t>
      </w:r>
      <w:r w:rsidRPr="00EF1D6F">
        <w:t>are</w:t>
      </w:r>
    </w:p>
    <w:p w14:paraId="1483A3E8" w14:textId="77777777" w:rsidR="005D728C" w:rsidRPr="008D5728" w:rsidRDefault="005D728C" w:rsidP="00622CFF">
      <w:pPr>
        <w:spacing w:before="240" w:after="240" w:line="240" w:lineRule="auto"/>
        <w:rPr>
          <w:rFonts w:eastAsia="Yu Gothic Light"/>
        </w:rPr>
      </w:pPr>
      <w:r w:rsidRPr="008D5728">
        <w:rPr>
          <w:rFonts w:eastAsia="Yu Gothic Light"/>
        </w:rPr>
        <w:t xml:space="preserve">The priority category for Residential Care is calculated based on 5 different criteria captured in the IAT or on the client’s record. The criteria is the older person/’s:  </w:t>
      </w:r>
    </w:p>
    <w:p w14:paraId="1933A5EB"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identifies as Aboriginal or Torres Strait Islander </w:t>
      </w:r>
    </w:p>
    <w:p w14:paraId="6D70E968"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is experiencing homelessness</w:t>
      </w:r>
    </w:p>
    <w:p w14:paraId="1FB72E19"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resides in a rural or remote area (MM 5 to 7)</w:t>
      </w:r>
    </w:p>
    <w:p w14:paraId="51703D89"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has entered residential care through emergency circumstances</w:t>
      </w:r>
    </w:p>
    <w:p w14:paraId="59F5A369" w14:textId="77777777" w:rsidR="005D728C" w:rsidRPr="008D5728" w:rsidRDefault="005D728C" w:rsidP="00DF3F6B">
      <w:pPr>
        <w:numPr>
          <w:ilvl w:val="0"/>
          <w:numId w:val="216"/>
        </w:numPr>
        <w:spacing w:before="240" w:after="240" w:line="240" w:lineRule="auto"/>
        <w:contextualSpacing/>
        <w:rPr>
          <w:rFonts w:eastAsia="Yu Gothic Light"/>
        </w:rPr>
      </w:pPr>
      <w:r w:rsidRPr="008D5728">
        <w:rPr>
          <w:rFonts w:eastAsia="Yu Gothic Light"/>
        </w:rPr>
        <w:t>Urgency rating for residential care</w:t>
      </w:r>
    </w:p>
    <w:p w14:paraId="3F8AC98A" w14:textId="77777777" w:rsidR="005D728C" w:rsidRPr="008D5728" w:rsidRDefault="005D728C" w:rsidP="00622CFF">
      <w:pPr>
        <w:spacing w:before="240" w:after="240" w:line="240" w:lineRule="auto"/>
        <w:ind w:left="1080"/>
        <w:contextualSpacing/>
        <w:rPr>
          <w:rFonts w:eastAsia="Yu Gothic Light"/>
        </w:rPr>
      </w:pPr>
    </w:p>
    <w:p w14:paraId="4A62772B" w14:textId="77777777" w:rsidR="005D728C" w:rsidRPr="008D5728" w:rsidRDefault="005D728C" w:rsidP="00507F9D">
      <w:pPr>
        <w:pStyle w:val="h2"/>
      </w:pPr>
      <w:bookmarkStart w:id="631" w:name="_Toc209189018"/>
      <w:bookmarkStart w:id="632" w:name="_Toc224916676"/>
      <w:r w:rsidRPr="008D5728">
        <w:t>Period of effect of approvals</w:t>
      </w:r>
      <w:bookmarkEnd w:id="631"/>
      <w:bookmarkEnd w:id="632"/>
      <w:r w:rsidRPr="008D5728">
        <w:t xml:space="preserve"> </w:t>
      </w:r>
    </w:p>
    <w:p w14:paraId="3E8283C3" w14:textId="15184F68" w:rsidR="005D728C" w:rsidRPr="008D5728" w:rsidRDefault="005D728C" w:rsidP="00622CFF">
      <w:pPr>
        <w:spacing w:before="240" w:after="240" w:line="240" w:lineRule="auto"/>
        <w:rPr>
          <w:rFonts w:eastAsia="Yu Gothic Light"/>
        </w:rPr>
      </w:pPr>
      <w:r w:rsidRPr="008D5728">
        <w:rPr>
          <w:rFonts w:eastAsia="Yu Gothic Light"/>
        </w:rPr>
        <w:t xml:space="preserve">Each access approval, classification level, and priority category has a </w:t>
      </w:r>
      <w:r w:rsidRPr="00BF1A2E">
        <w:rPr>
          <w:rFonts w:eastAsia="Yu Gothic Light"/>
        </w:rPr>
        <w:t>period of effect</w:t>
      </w:r>
      <w:r w:rsidRPr="008D5728">
        <w:rPr>
          <w:rFonts w:eastAsia="Yu Gothic Light"/>
          <w:b/>
          <w:bCs/>
        </w:rPr>
        <w:t xml:space="preserve"> </w:t>
      </w:r>
      <w:r w:rsidRPr="008D5728">
        <w:rPr>
          <w:rFonts w:eastAsia="Yu Gothic Light"/>
        </w:rPr>
        <w:t xml:space="preserve">that is prescribed under the </w:t>
      </w:r>
      <w:r w:rsidR="00FF0DC9">
        <w:rPr>
          <w:rFonts w:eastAsia="Yu Gothic Light"/>
          <w:lang w:val="en-AU"/>
        </w:rPr>
        <w:t xml:space="preserve">Aged Care </w:t>
      </w:r>
      <w:r w:rsidR="00FF0DC9" w:rsidRPr="008D5728">
        <w:rPr>
          <w:rFonts w:eastAsia="Yu Gothic Light"/>
          <w:lang w:val="en-AU"/>
        </w:rPr>
        <w:t>Act</w:t>
      </w:r>
      <w:r w:rsidR="00FF0DC9">
        <w:rPr>
          <w:rFonts w:eastAsia="Yu Gothic Light"/>
          <w:lang w:val="en-AU"/>
        </w:rPr>
        <w:t xml:space="preserve"> 2024 (the Act</w:t>
      </w:r>
      <w:r w:rsidR="002C539C">
        <w:rPr>
          <w:rFonts w:eastAsia="Yu Gothic Light"/>
          <w:lang w:val="en-AU"/>
        </w:rPr>
        <w:t>)</w:t>
      </w:r>
      <w:r w:rsidR="002C539C" w:rsidRPr="008D5728">
        <w:rPr>
          <w:rFonts w:eastAsia="Yu Gothic Light"/>
          <w:i/>
          <w:lang w:val="en-AU"/>
        </w:rPr>
        <w:t>.</w:t>
      </w:r>
      <w:r w:rsidRPr="008D5728">
        <w:rPr>
          <w:rFonts w:eastAsia="Yu Gothic Light"/>
        </w:rPr>
        <w:t xml:space="preserve"> This means that access approvals remain in effect for the period of time specified by the Act, unless the approval is revoked or a reassessment occurs resulting in a new approval.</w:t>
      </w:r>
    </w:p>
    <w:p w14:paraId="3005B332" w14:textId="77777777" w:rsidR="005D728C" w:rsidRPr="008D5728" w:rsidRDefault="005D728C" w:rsidP="00622CFF">
      <w:pPr>
        <w:spacing w:before="240" w:after="240" w:line="240" w:lineRule="auto"/>
        <w:rPr>
          <w:rFonts w:eastAsia="Yu Gothic Light"/>
        </w:rPr>
      </w:pPr>
      <w:r w:rsidRPr="008D5728">
        <w:rPr>
          <w:rFonts w:eastAsia="Yu Gothic Light"/>
        </w:rPr>
        <w:t xml:space="preserve">In addition to the other legislative requirements, for an older person to receive funded aged care services they need </w:t>
      </w:r>
      <w:r w:rsidRPr="00BF1A2E">
        <w:rPr>
          <w:rFonts w:eastAsia="Yu Gothic Light"/>
        </w:rPr>
        <w:t>both</w:t>
      </w:r>
      <w:r w:rsidRPr="008D5728">
        <w:rPr>
          <w:rFonts w:eastAsia="Yu Gothic Light"/>
        </w:rPr>
        <w:t xml:space="preserve">: </w:t>
      </w:r>
    </w:p>
    <w:p w14:paraId="65B85975" w14:textId="77777777" w:rsidR="005D728C" w:rsidRPr="008D5728" w:rsidRDefault="005D728C" w:rsidP="00DF3F6B">
      <w:pPr>
        <w:numPr>
          <w:ilvl w:val="0"/>
          <w:numId w:val="239"/>
        </w:numPr>
        <w:spacing w:before="240" w:after="240" w:line="240" w:lineRule="auto"/>
        <w:contextualSpacing/>
        <w:rPr>
          <w:rFonts w:eastAsia="Yu Gothic Light"/>
        </w:rPr>
      </w:pPr>
      <w:r w:rsidRPr="008D5728">
        <w:rPr>
          <w:rFonts w:eastAsia="Yu Gothic Light"/>
        </w:rPr>
        <w:t xml:space="preserve">An </w:t>
      </w:r>
      <w:r w:rsidRPr="00BF1A2E">
        <w:rPr>
          <w:rFonts w:eastAsia="Yu Gothic Light"/>
        </w:rPr>
        <w:t>access approval</w:t>
      </w:r>
      <w:r w:rsidRPr="008D5728">
        <w:rPr>
          <w:rFonts w:eastAsia="Yu Gothic Light"/>
          <w:b/>
          <w:bCs/>
        </w:rPr>
        <w:t xml:space="preserve"> </w:t>
      </w:r>
      <w:r w:rsidRPr="008D5728">
        <w:rPr>
          <w:rFonts w:eastAsia="Yu Gothic Light"/>
        </w:rPr>
        <w:t xml:space="preserve">that is in effect (or ‘active’) </w:t>
      </w:r>
      <w:r w:rsidRPr="00BF1A2E">
        <w:rPr>
          <w:rFonts w:eastAsia="Yu Gothic Light"/>
        </w:rPr>
        <w:t>and</w:t>
      </w:r>
    </w:p>
    <w:p w14:paraId="6C4CC49A" w14:textId="77777777" w:rsidR="005D728C" w:rsidRPr="008D5728" w:rsidRDefault="005D728C" w:rsidP="00DF3F6B">
      <w:pPr>
        <w:numPr>
          <w:ilvl w:val="0"/>
          <w:numId w:val="239"/>
        </w:numPr>
        <w:spacing w:before="240" w:after="240" w:line="240" w:lineRule="auto"/>
        <w:contextualSpacing/>
        <w:rPr>
          <w:rFonts w:eastAsia="Yu Gothic Light"/>
        </w:rPr>
      </w:pPr>
      <w:r w:rsidRPr="008D5728">
        <w:rPr>
          <w:rFonts w:eastAsia="Yu Gothic Light"/>
        </w:rPr>
        <w:t xml:space="preserve">A </w:t>
      </w:r>
      <w:r w:rsidRPr="00BF1A2E">
        <w:rPr>
          <w:rFonts w:eastAsia="Yu Gothic Light"/>
        </w:rPr>
        <w:t>classification level</w:t>
      </w:r>
      <w:r w:rsidRPr="008D5728">
        <w:rPr>
          <w:rFonts w:eastAsia="Yu Gothic Light"/>
          <w:b/>
          <w:bCs/>
        </w:rPr>
        <w:t xml:space="preserve"> </w:t>
      </w:r>
      <w:r w:rsidRPr="008D5728">
        <w:rPr>
          <w:rFonts w:eastAsia="Yu Gothic Light"/>
        </w:rPr>
        <w:t xml:space="preserve">that is in effect </w:t>
      </w:r>
    </w:p>
    <w:p w14:paraId="581F45C0" w14:textId="031D9A3F" w:rsidR="005D728C" w:rsidRPr="008D5728" w:rsidRDefault="005D728C" w:rsidP="00622CFF">
      <w:pPr>
        <w:spacing w:before="240" w:after="240" w:line="240" w:lineRule="auto"/>
        <w:rPr>
          <w:rFonts w:eastAsia="Yu Gothic Light"/>
        </w:rPr>
      </w:pPr>
      <w:r w:rsidRPr="008D5728">
        <w:rPr>
          <w:rFonts w:eastAsia="Yu Gothic Light"/>
        </w:rPr>
        <w:t>Periods of effect for an approval decision made by Assessment Delegates are detailed in section</w:t>
      </w:r>
      <w:r w:rsidR="00A86F2A">
        <w:rPr>
          <w:rFonts w:eastAsia="Yu Gothic Light"/>
        </w:rPr>
        <w:t>s</w:t>
      </w:r>
      <w:r w:rsidRPr="008D5728">
        <w:rPr>
          <w:rFonts w:eastAsia="Yu Gothic Light"/>
        </w:rPr>
        <w:t xml:space="preserve"> 71, 80 and 89 of the Act. </w:t>
      </w:r>
    </w:p>
    <w:p w14:paraId="42C3AFB1" w14:textId="77777777" w:rsidR="005D728C" w:rsidRPr="008D5728" w:rsidRDefault="005D728C" w:rsidP="00C56CEC">
      <w:pPr>
        <w:pStyle w:val="H3"/>
      </w:pPr>
      <w:r w:rsidRPr="008D5728">
        <w:t xml:space="preserve">Period of effect of access approvals </w:t>
      </w:r>
    </w:p>
    <w:p w14:paraId="6837E414" w14:textId="4E8B7AFC"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When an individual is </w:t>
      </w:r>
      <w:r w:rsidRPr="05DD305A">
        <w:rPr>
          <w:rFonts w:eastAsia="Yu Gothic Light"/>
          <w:lang w:val="en-AU"/>
        </w:rPr>
        <w:t>approved for</w:t>
      </w:r>
      <w:r w:rsidRPr="008D5728">
        <w:rPr>
          <w:rFonts w:eastAsia="Yu Gothic Light"/>
          <w:lang w:val="en-AU"/>
        </w:rPr>
        <w:t xml:space="preserve"> access to funded aged care services 65(2) of the </w:t>
      </w:r>
      <w:r w:rsidR="00370E88">
        <w:rPr>
          <w:rFonts w:eastAsia="Yu Gothic Light"/>
          <w:lang w:val="en-AU"/>
        </w:rPr>
        <w:t xml:space="preserve">Aged Care </w:t>
      </w:r>
      <w:r w:rsidRPr="008D5728">
        <w:rPr>
          <w:rFonts w:eastAsia="Yu Gothic Light"/>
          <w:lang w:val="en-AU"/>
        </w:rPr>
        <w:t>Act</w:t>
      </w:r>
      <w:r w:rsidR="00370E88">
        <w:rPr>
          <w:rFonts w:eastAsia="Yu Gothic Light"/>
          <w:lang w:val="en-AU"/>
        </w:rPr>
        <w:t xml:space="preserve"> 2024 (the Act)</w:t>
      </w:r>
      <w:r w:rsidRPr="008D5728">
        <w:rPr>
          <w:rFonts w:eastAsia="Yu Gothic Light"/>
          <w:i/>
          <w:lang w:val="en-AU"/>
        </w:rPr>
        <w:t>,</w:t>
      </w:r>
      <w:r w:rsidRPr="05DD305A">
        <w:rPr>
          <w:rFonts w:eastAsia="Yu Gothic Light"/>
          <w:lang w:val="en-AU"/>
        </w:rPr>
        <w:t> the</w:t>
      </w:r>
      <w:r w:rsidRPr="008D5728">
        <w:rPr>
          <w:rFonts w:eastAsia="Yu Gothic Light"/>
          <w:lang w:val="en-AU"/>
        </w:rPr>
        <w:t xml:space="preserve"> approval takes effect from the access approval date of effect specified in the Notice of Decision (as outlined in Section 70). The approval stays in effect unless it is revoked under the Act or replaced by a new decision. </w:t>
      </w:r>
    </w:p>
    <w:p w14:paraId="7ED6E41D" w14:textId="77777777" w:rsidR="005D728C" w:rsidRPr="008D5728" w:rsidRDefault="005D728C" w:rsidP="00C56CEC">
      <w:pPr>
        <w:pStyle w:val="H3"/>
        <w:rPr>
          <w:sz w:val="28"/>
          <w:szCs w:val="28"/>
        </w:rPr>
      </w:pPr>
      <w:r w:rsidRPr="008D5728">
        <w:t xml:space="preserve">Period of effect of classification levels </w:t>
      </w:r>
    </w:p>
    <w:p w14:paraId="14FA228D" w14:textId="57C21661"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Classification levels are in effect for the period </w:t>
      </w:r>
      <w:r w:rsidRPr="00BF1A2E">
        <w:rPr>
          <w:rFonts w:eastAsia="Yu Gothic Light"/>
          <w:lang w:val="en-AU"/>
        </w:rPr>
        <w:t>specified</w:t>
      </w:r>
      <w:r w:rsidRPr="008D5728">
        <w:rPr>
          <w:rFonts w:eastAsia="Yu Gothic Light"/>
          <w:b/>
          <w:bCs/>
          <w:lang w:val="en-AU"/>
        </w:rPr>
        <w:t xml:space="preserve"> </w:t>
      </w:r>
      <w:r w:rsidRPr="008D5728">
        <w:rPr>
          <w:rFonts w:eastAsia="Yu Gothic Light"/>
          <w:lang w:val="en-AU"/>
        </w:rPr>
        <w:t xml:space="preserve">in the </w:t>
      </w:r>
      <w:r w:rsidR="00370E88">
        <w:rPr>
          <w:rFonts w:eastAsia="Yu Gothic Light"/>
          <w:lang w:val="en-AU"/>
        </w:rPr>
        <w:t>Aged Care</w:t>
      </w:r>
      <w:r w:rsidRPr="008D5728">
        <w:rPr>
          <w:rFonts w:eastAsia="Yu Gothic Light"/>
          <w:lang w:val="en-AU"/>
        </w:rPr>
        <w:t xml:space="preserve"> Rules</w:t>
      </w:r>
      <w:r w:rsidR="00370E88">
        <w:rPr>
          <w:rFonts w:eastAsia="Yu Gothic Light"/>
          <w:lang w:val="en-AU"/>
        </w:rPr>
        <w:t xml:space="preserve"> 2025</w:t>
      </w:r>
      <w:r w:rsidR="008279F3">
        <w:rPr>
          <w:rFonts w:eastAsia="Yu Gothic Light"/>
          <w:lang w:val="en-AU"/>
        </w:rPr>
        <w:t xml:space="preserve"> (the Rules)</w:t>
      </w:r>
      <w:r w:rsidRPr="008D5728">
        <w:rPr>
          <w:rFonts w:eastAsia="Yu Gothic Light"/>
          <w:lang w:val="en-AU"/>
        </w:rPr>
        <w:t>. Once the specified period has elapsed, the classification level will cease to be in effect. A classification may also cease to be in effect once another classification level comes in effect</w:t>
      </w:r>
      <w:r w:rsidR="00B23AB0" w:rsidRPr="008D5728">
        <w:rPr>
          <w:rFonts w:eastAsia="Yu Gothic Light"/>
          <w:lang w:val="en-AU"/>
        </w:rPr>
        <w:t xml:space="preserve">. </w:t>
      </w:r>
    </w:p>
    <w:p w14:paraId="5B0C31FE"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Written notice must be provided to an individual in accordance with section 79 of the Act which specifies the day when each classification level comes into effect. For individuals approved for the service groups home support, assistive technology or home modifications this notice is usually included in the Notice of Decision provided under section 70 of the Act. </w:t>
      </w:r>
    </w:p>
    <w:p w14:paraId="7DE6D501"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 xml:space="preserve">Some classification levels, such as </w:t>
      </w:r>
      <w:r w:rsidRPr="008D5728">
        <w:rPr>
          <w:rFonts w:eastAsia="Yu Gothic Light"/>
          <w:i/>
          <w:iCs/>
          <w:lang w:val="en-AU"/>
        </w:rPr>
        <w:t>CHSP class</w:t>
      </w:r>
      <w:r w:rsidRPr="008D5728">
        <w:rPr>
          <w:rFonts w:eastAsia="Yu Gothic Light"/>
          <w:lang w:val="en-AU"/>
        </w:rPr>
        <w:t>, come into effect on the access approval date of effect. Others, such as the residential care classification levels, do not come into effect until the service provider notifies Services Australia that service has commenced. </w:t>
      </w:r>
    </w:p>
    <w:p w14:paraId="1B86919C"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The Rules also prescribe that, for some classification levels, the maximum period of effect may be extended. The criteria and requirements for granting such extensions are prescribed within the rules under the Act. </w:t>
      </w:r>
    </w:p>
    <w:p w14:paraId="148CC619" w14:textId="77777777" w:rsidR="005D728C" w:rsidRPr="008D5728" w:rsidRDefault="005D728C" w:rsidP="00C56CEC">
      <w:pPr>
        <w:pStyle w:val="H3"/>
      </w:pPr>
      <w:r w:rsidRPr="008D5728">
        <w:t xml:space="preserve">Period of effect of priority categories </w:t>
      </w:r>
    </w:p>
    <w:p w14:paraId="779857F0" w14:textId="0700EFE9" w:rsidR="005D728C" w:rsidRPr="008D5728" w:rsidRDefault="00C20BF4" w:rsidP="00622CFF">
      <w:pPr>
        <w:spacing w:before="240" w:after="240" w:line="240" w:lineRule="auto"/>
        <w:rPr>
          <w:rFonts w:eastAsia="Yu Gothic Light"/>
          <w:lang w:val="en-AU"/>
        </w:rPr>
      </w:pPr>
      <w:r>
        <w:rPr>
          <w:rFonts w:eastAsia="Yu Gothic Light"/>
          <w:lang w:val="en-AU"/>
        </w:rPr>
        <w:t>A</w:t>
      </w:r>
      <w:r w:rsidR="005D728C" w:rsidRPr="008D5728">
        <w:rPr>
          <w:rFonts w:eastAsia="Yu Gothic Light"/>
          <w:lang w:val="en-AU"/>
        </w:rPr>
        <w:t xml:space="preserve"> priority category for a classification type for a service group</w:t>
      </w:r>
      <w:r w:rsidR="005D728C" w:rsidRPr="008D5728">
        <w:rPr>
          <w:rFonts w:eastAsia="Yu Gothic Light"/>
          <w:u w:val="single"/>
          <w:lang w:val="en-AU"/>
        </w:rPr>
        <w:t xml:space="preserve"> determines</w:t>
      </w:r>
      <w:r w:rsidR="005D728C" w:rsidRPr="008D5728">
        <w:rPr>
          <w:rFonts w:eastAsia="Yu Gothic Light"/>
          <w:lang w:val="en-AU"/>
        </w:rPr>
        <w:t xml:space="preserve"> the level of priority for accessing those services. </w:t>
      </w:r>
    </w:p>
    <w:p w14:paraId="2A728E7F" w14:textId="77777777" w:rsidR="005D728C" w:rsidRPr="008D5728" w:rsidRDefault="005D728C" w:rsidP="00622CFF">
      <w:pPr>
        <w:spacing w:before="240" w:after="240" w:line="240" w:lineRule="auto"/>
        <w:rPr>
          <w:rFonts w:eastAsia="Yu Gothic Light"/>
          <w:lang w:val="en-AU"/>
        </w:rPr>
      </w:pPr>
      <w:r w:rsidRPr="008D5728">
        <w:rPr>
          <w:rFonts w:eastAsia="Yu Gothic Light"/>
          <w:lang w:val="en-AU"/>
        </w:rPr>
        <w:t>An individual’s priority category for a classification type for a service group takes effect immediately from when the prioritisation decision is made and remains in effect until either: </w:t>
      </w:r>
    </w:p>
    <w:p w14:paraId="07D15ECE" w14:textId="77777777" w:rsidR="005D728C" w:rsidRPr="008D5728" w:rsidRDefault="005D728C" w:rsidP="00DF3F6B">
      <w:pPr>
        <w:numPr>
          <w:ilvl w:val="0"/>
          <w:numId w:val="245"/>
        </w:numPr>
        <w:spacing w:before="240" w:after="240" w:line="240" w:lineRule="auto"/>
        <w:rPr>
          <w:rFonts w:eastAsia="Yu Gothic Light"/>
          <w:lang w:val="en-AU"/>
        </w:rPr>
      </w:pPr>
      <w:r w:rsidRPr="008D5728">
        <w:rPr>
          <w:rFonts w:eastAsia="Yu Gothic Light"/>
          <w:lang w:val="en-AU"/>
        </w:rPr>
        <w:t>The individual is allocated a place for that classification type and service group (under section 92), or </w:t>
      </w:r>
    </w:p>
    <w:p w14:paraId="062EAEF3" w14:textId="77777777" w:rsidR="005D728C" w:rsidRPr="008D5728" w:rsidRDefault="005D728C" w:rsidP="00DF3F6B">
      <w:pPr>
        <w:numPr>
          <w:ilvl w:val="0"/>
          <w:numId w:val="246"/>
        </w:numPr>
        <w:spacing w:before="240" w:after="240" w:line="240" w:lineRule="auto"/>
        <w:rPr>
          <w:rFonts w:eastAsia="Yu Gothic Light"/>
          <w:lang w:val="en-AU"/>
        </w:rPr>
      </w:pPr>
      <w:r w:rsidRPr="008D5728">
        <w:rPr>
          <w:rFonts w:eastAsia="Yu Gothic Light"/>
          <w:lang w:val="en-AU"/>
        </w:rPr>
        <w:t>A new priority category decision is made for that classification type for that service group following a reassessment of the individual (as per subsection 86(1) and paragraph 61(1)(b)). </w:t>
      </w:r>
    </w:p>
    <w:p w14:paraId="47FA56E6" w14:textId="77777777" w:rsidR="005D728C" w:rsidRPr="008D5728" w:rsidRDefault="005D728C" w:rsidP="00507F9D">
      <w:pPr>
        <w:pStyle w:val="h2"/>
      </w:pPr>
      <w:bookmarkStart w:id="633" w:name="_Toc209189019"/>
      <w:bookmarkStart w:id="634" w:name="_Toc224916677"/>
      <w:r w:rsidRPr="008D5728">
        <w:t>Reassessment of a classification level</w:t>
      </w:r>
      <w:bookmarkEnd w:id="633"/>
      <w:bookmarkEnd w:id="634"/>
      <w:r w:rsidRPr="008D5728">
        <w:t> </w:t>
      </w:r>
    </w:p>
    <w:p w14:paraId="69E49F5A" w14:textId="77777777" w:rsidR="005D728C" w:rsidRDefault="005D728C" w:rsidP="00622CFF">
      <w:pPr>
        <w:spacing w:before="240" w:after="240" w:line="240" w:lineRule="auto"/>
        <w:rPr>
          <w:rFonts w:eastAsia="Yu Gothic Light"/>
        </w:rPr>
      </w:pPr>
      <w:r w:rsidRPr="008D5728">
        <w:rPr>
          <w:rFonts w:eastAsia="Yu Gothic Light"/>
        </w:rPr>
        <w:t xml:space="preserve">Depending on the classification type for service group, an individual or a registered provider acting on behalf of the individual may have the right to </w:t>
      </w:r>
      <w:r w:rsidRPr="00BF1A2E">
        <w:rPr>
          <w:rFonts w:eastAsia="Yu Gothic Light"/>
        </w:rPr>
        <w:t>apply for a reassessment</w:t>
      </w:r>
      <w:r w:rsidRPr="00FF0DC9">
        <w:rPr>
          <w:rFonts w:eastAsia="Yu Gothic Light"/>
          <w:bCs/>
        </w:rPr>
        <w:t xml:space="preserve"> </w:t>
      </w:r>
      <w:r w:rsidRPr="00BF1A2E">
        <w:rPr>
          <w:rFonts w:eastAsia="Yu Gothic Light"/>
        </w:rPr>
        <w:t>of a classification level</w:t>
      </w:r>
      <w:r w:rsidRPr="008D5728">
        <w:rPr>
          <w:rFonts w:eastAsia="Yu Gothic Light"/>
        </w:rPr>
        <w:t xml:space="preserve"> under section 82. Section 82 of the Act outlines who may apply for a classification assessment for each classification type for a service group and when an application may be made. This is outlined in the table below.</w:t>
      </w:r>
    </w:p>
    <w:p w14:paraId="2268ABC4" w14:textId="580859AD" w:rsidR="005D728C" w:rsidRPr="008D5728" w:rsidRDefault="005D728C" w:rsidP="00622CFF">
      <w:pPr>
        <w:pStyle w:val="Caption"/>
        <w:spacing w:before="240" w:after="240"/>
        <w:rPr>
          <w:rFonts w:eastAsia="Yu Gothic Light"/>
        </w:rPr>
      </w:pPr>
      <w:r>
        <w:rPr>
          <w:rFonts w:eastAsia="Yu Gothic Light"/>
        </w:rPr>
        <w:t>Table 4</w:t>
      </w:r>
      <w:r w:rsidR="00626DC0">
        <w:rPr>
          <w:rFonts w:eastAsia="Yu Gothic Light"/>
        </w:rPr>
        <w:t>4</w:t>
      </w:r>
      <w:r>
        <w:rPr>
          <w:rFonts w:eastAsia="Yu Gothic Light"/>
        </w:rPr>
        <w:t xml:space="preserve">. Circumstances when a classification reassessment can be sought </w:t>
      </w:r>
    </w:p>
    <w:tbl>
      <w:tblPr>
        <w:tblStyle w:val="GridTable5Dark-Accent11"/>
        <w:tblW w:w="0" w:type="auto"/>
        <w:tblBorders>
          <w:bottom w:val="single" w:sz="4" w:space="0" w:color="auto"/>
          <w:insideH w:val="single" w:sz="4" w:space="0" w:color="auto"/>
        </w:tblBorders>
        <w:tblLayout w:type="fixed"/>
        <w:tblLook w:val="04A0" w:firstRow="1" w:lastRow="0" w:firstColumn="1" w:lastColumn="0" w:noHBand="0" w:noVBand="1"/>
        <w:tblCaption w:val="Circumstances when a classification reassessment can be sought"/>
      </w:tblPr>
      <w:tblGrid>
        <w:gridCol w:w="1701"/>
        <w:gridCol w:w="1333"/>
        <w:gridCol w:w="6035"/>
      </w:tblGrid>
      <w:tr w:rsidR="00DF37FA" w:rsidRPr="008D5728" w14:paraId="59FF2A8F"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002060"/>
            <w:tcMar>
              <w:left w:w="108" w:type="dxa"/>
              <w:right w:w="108" w:type="dxa"/>
            </w:tcMar>
          </w:tcPr>
          <w:p w14:paraId="24924BC2" w14:textId="77777777" w:rsidR="005D728C" w:rsidRPr="008D5728" w:rsidRDefault="005D728C" w:rsidP="005960D3">
            <w:pPr>
              <w:spacing w:before="120" w:after="120"/>
              <w:jc w:val="center"/>
              <w:rPr>
                <w:rFonts w:eastAsia="Yu Gothic Light"/>
              </w:rPr>
            </w:pPr>
            <w:r w:rsidRPr="008D5728">
              <w:rPr>
                <w:rFonts w:eastAsia="Yu Gothic Light"/>
              </w:rPr>
              <w:t>Classification type for a service group</w:t>
            </w:r>
          </w:p>
        </w:tc>
        <w:tc>
          <w:tcPr>
            <w:tcW w:w="1333" w:type="dxa"/>
            <w:shd w:val="clear" w:color="auto" w:fill="002060"/>
            <w:tcMar>
              <w:left w:w="108" w:type="dxa"/>
              <w:right w:w="108" w:type="dxa"/>
            </w:tcMar>
          </w:tcPr>
          <w:p w14:paraId="1B7104E1" w14:textId="77777777" w:rsidR="005D728C" w:rsidRPr="008D5728" w:rsidRDefault="005D728C" w:rsidP="005960D3">
            <w:pPr>
              <w:spacing w:before="120" w:after="120"/>
              <w:jc w:val="center"/>
              <w:cnfStyle w:val="100000000000" w:firstRow="1"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Who can apply for a classification reassessment</w:t>
            </w:r>
          </w:p>
        </w:tc>
        <w:tc>
          <w:tcPr>
            <w:tcW w:w="6035" w:type="dxa"/>
            <w:shd w:val="clear" w:color="auto" w:fill="002060"/>
            <w:tcMar>
              <w:left w:w="108" w:type="dxa"/>
              <w:right w:w="108" w:type="dxa"/>
            </w:tcMar>
          </w:tcPr>
          <w:p w14:paraId="59D4F671" w14:textId="77777777" w:rsidR="005D728C" w:rsidRPr="008D5728" w:rsidRDefault="005D728C" w:rsidP="005960D3">
            <w:pPr>
              <w:spacing w:before="120" w:after="120"/>
              <w:jc w:val="center"/>
              <w:cnfStyle w:val="100000000000" w:firstRow="1"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When can a classification reassessment be sought</w:t>
            </w:r>
          </w:p>
        </w:tc>
      </w:tr>
      <w:tr w:rsidR="00DF37FA" w:rsidRPr="008D5728" w14:paraId="5F101834"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2D10A42A" w14:textId="77777777" w:rsidR="005D728C" w:rsidRPr="008D5728" w:rsidRDefault="005D728C" w:rsidP="005960D3">
            <w:pPr>
              <w:spacing w:before="120" w:after="120"/>
              <w:rPr>
                <w:rFonts w:eastAsia="Yu Gothic Light"/>
              </w:rPr>
            </w:pPr>
            <w:r w:rsidRPr="008D5728">
              <w:rPr>
                <w:rFonts w:eastAsia="Yu Gothic Light"/>
              </w:rPr>
              <w:t>Ongoing or short</w:t>
            </w:r>
            <w:r w:rsidRPr="008D5728">
              <w:rPr>
                <w:rFonts w:ascii="Cambria Math" w:eastAsia="Cambria Math" w:hAnsi="Cambria Math" w:cs="Cambria Math"/>
              </w:rPr>
              <w:t>‑</w:t>
            </w:r>
            <w:r w:rsidRPr="008D5728">
              <w:rPr>
                <w:rFonts w:eastAsia="Yu Gothic Light"/>
              </w:rPr>
              <w:t>term for home support, assistive technology or home modifications</w:t>
            </w:r>
          </w:p>
        </w:tc>
        <w:tc>
          <w:tcPr>
            <w:tcW w:w="0" w:type="dxa"/>
            <w:tcMar>
              <w:left w:w="108" w:type="dxa"/>
              <w:right w:w="108" w:type="dxa"/>
            </w:tcMar>
          </w:tcPr>
          <w:p w14:paraId="7276AE87"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individual </w:t>
            </w:r>
          </w:p>
        </w:tc>
        <w:tc>
          <w:tcPr>
            <w:tcW w:w="0" w:type="dxa"/>
            <w:tcMar>
              <w:left w:w="108" w:type="dxa"/>
              <w:right w:w="108" w:type="dxa"/>
            </w:tcMar>
          </w:tcPr>
          <w:p w14:paraId="4E1277FD"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w:t>
            </w:r>
          </w:p>
          <w:p w14:paraId="359203FF"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classification type is in effect for the individual; </w:t>
            </w:r>
            <w:r w:rsidRPr="008D5728">
              <w:rPr>
                <w:rFonts w:eastAsia="Yu Gothic Light"/>
                <w:color w:val="000000"/>
                <w:u w:val="single"/>
              </w:rPr>
              <w:t>and</w:t>
            </w:r>
          </w:p>
          <w:p w14:paraId="3DB0145F"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individual considers a different classification level in the classification type for the service group should be approved; </w:t>
            </w:r>
            <w:r w:rsidRPr="008D5728">
              <w:rPr>
                <w:rFonts w:eastAsia="Yu Gothic Light"/>
                <w:color w:val="000000"/>
                <w:u w:val="single"/>
              </w:rPr>
              <w:t>and</w:t>
            </w:r>
          </w:p>
          <w:p w14:paraId="270A45F9"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funded aged care services are </w:t>
            </w:r>
            <w:r w:rsidRPr="008D5728">
              <w:rPr>
                <w:rFonts w:eastAsia="Yu Gothic Light"/>
                <w:color w:val="000000"/>
                <w:u w:val="single"/>
              </w:rPr>
              <w:t xml:space="preserve">not </w:t>
            </w:r>
            <w:r w:rsidRPr="008D5728">
              <w:rPr>
                <w:rFonts w:eastAsia="Yu Gothic Light"/>
                <w:color w:val="000000"/>
              </w:rPr>
              <w:t xml:space="preserve">being delivered under a specialist aged care program; </w:t>
            </w:r>
            <w:r w:rsidRPr="008D5728">
              <w:rPr>
                <w:rFonts w:eastAsia="Yu Gothic Light"/>
                <w:color w:val="000000"/>
                <w:u w:val="single"/>
              </w:rPr>
              <w:t>and</w:t>
            </w:r>
          </w:p>
          <w:p w14:paraId="502B238B" w14:textId="77777777" w:rsidR="005D728C" w:rsidRPr="008D5728" w:rsidRDefault="005D728C" w:rsidP="00DF3F6B">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you consider the circumstances (if any) prescribed by the rules apply.</w:t>
            </w:r>
          </w:p>
          <w:p w14:paraId="21FF6D48"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tc>
      </w:tr>
      <w:tr w:rsidR="00DF37FA" w:rsidRPr="008D5728" w14:paraId="5BA526E5"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077D73D0" w14:textId="77777777" w:rsidR="005D728C" w:rsidRPr="008D5728" w:rsidRDefault="005D728C" w:rsidP="005960D3">
            <w:pPr>
              <w:spacing w:before="120" w:after="120"/>
              <w:rPr>
                <w:rFonts w:eastAsia="Yu Gothic Light"/>
              </w:rPr>
            </w:pPr>
            <w:r w:rsidRPr="008D5728">
              <w:rPr>
                <w:rFonts w:eastAsia="Yu Gothic Light"/>
              </w:rPr>
              <w:t>Ongoing for residential care</w:t>
            </w:r>
          </w:p>
        </w:tc>
        <w:tc>
          <w:tcPr>
            <w:tcW w:w="0" w:type="dxa"/>
            <w:tcMar>
              <w:left w:w="108" w:type="dxa"/>
              <w:right w:w="108" w:type="dxa"/>
            </w:tcMar>
          </w:tcPr>
          <w:p w14:paraId="72D09BC5"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individual </w:t>
            </w:r>
          </w:p>
          <w:p w14:paraId="47F4D106"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1603A1C8"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A registered provider on behalf of the individual </w:t>
            </w:r>
          </w:p>
        </w:tc>
        <w:tc>
          <w:tcPr>
            <w:tcW w:w="0" w:type="dxa"/>
            <w:tcMar>
              <w:left w:w="108" w:type="dxa"/>
              <w:right w:w="108" w:type="dxa"/>
            </w:tcMar>
          </w:tcPr>
          <w:p w14:paraId="24623DE4"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w:t>
            </w:r>
          </w:p>
          <w:p w14:paraId="67ED0B33"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registered provider is delivering ongoing funded aged care services to the individual through the service group in an approved residential care home; </w:t>
            </w:r>
            <w:r w:rsidRPr="008D5728">
              <w:rPr>
                <w:rFonts w:eastAsia="Yu Gothic Light"/>
                <w:color w:val="000000"/>
                <w:u w:val="single"/>
              </w:rPr>
              <w:t>and</w:t>
            </w:r>
          </w:p>
          <w:p w14:paraId="0BD38649"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applicant considers a different classification level in the classification type for the service group should be approved for the individual; </w:t>
            </w:r>
            <w:r w:rsidRPr="008D5728">
              <w:rPr>
                <w:rFonts w:eastAsia="Yu Gothic Light"/>
                <w:color w:val="000000"/>
                <w:u w:val="single"/>
              </w:rPr>
              <w:t>and</w:t>
            </w:r>
          </w:p>
          <w:p w14:paraId="4CD3616E"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funded aged care services are </w:t>
            </w:r>
            <w:r w:rsidRPr="008D5728">
              <w:rPr>
                <w:rFonts w:eastAsia="Yu Gothic Light"/>
                <w:color w:val="000000"/>
                <w:u w:val="single"/>
              </w:rPr>
              <w:t>not</w:t>
            </w:r>
            <w:r w:rsidRPr="008D5728">
              <w:rPr>
                <w:rFonts w:eastAsia="Yu Gothic Light"/>
                <w:color w:val="000000"/>
              </w:rPr>
              <w:t xml:space="preserve"> being delivered under a specialist aged care program; </w:t>
            </w:r>
            <w:r w:rsidRPr="008D5728">
              <w:rPr>
                <w:rFonts w:eastAsia="Yu Gothic Light"/>
                <w:color w:val="000000"/>
                <w:u w:val="single"/>
              </w:rPr>
              <w:t>and</w:t>
            </w:r>
          </w:p>
          <w:p w14:paraId="644D9AAA" w14:textId="77777777" w:rsidR="005D728C" w:rsidRPr="008D5728" w:rsidRDefault="005D728C" w:rsidP="00DF3F6B">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either of the following apply:</w:t>
            </w:r>
          </w:p>
          <w:p w14:paraId="10336692" w14:textId="77777777" w:rsidR="005D728C" w:rsidRPr="008D5728" w:rsidRDefault="005D728C" w:rsidP="00DF3F6B">
            <w:pPr>
              <w:numPr>
                <w:ilvl w:val="0"/>
                <w:numId w:val="254"/>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 the rules prescribe a time period</w:t>
            </w:r>
            <w:r w:rsidRPr="008D5728">
              <w:rPr>
                <w:rFonts w:eastAsia="Yu Gothic Light" w:hint="eastAsia"/>
                <w:color w:val="000000"/>
              </w:rPr>
              <w:t>—</w:t>
            </w:r>
            <w:r w:rsidRPr="008D5728">
              <w:rPr>
                <w:rFonts w:eastAsia="Yu Gothic Light"/>
                <w:color w:val="000000"/>
              </w:rPr>
              <w:t>not more than the number of applications prescribed by the rules have been made for the individual under subsection 82(2) of the Act in that time period;</w:t>
            </w:r>
          </w:p>
          <w:p w14:paraId="1EF2975A" w14:textId="77777777" w:rsidR="005D728C" w:rsidRPr="008D5728" w:rsidRDefault="005D728C" w:rsidP="00DF3F6B">
            <w:pPr>
              <w:numPr>
                <w:ilvl w:val="0"/>
                <w:numId w:val="254"/>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 you consider the circumstances (if any) prescribed by the rules apply.</w:t>
            </w:r>
          </w:p>
        </w:tc>
      </w:tr>
      <w:tr w:rsidR="00DF37FA" w:rsidRPr="008D5728" w14:paraId="3DA7A3CE"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69D1F8CE" w14:textId="77777777" w:rsidR="005D728C" w:rsidRPr="008D5728" w:rsidRDefault="005D728C" w:rsidP="005960D3">
            <w:pPr>
              <w:tabs>
                <w:tab w:val="left" w:pos="0"/>
                <w:tab w:val="left" w:pos="0"/>
                <w:tab w:val="left" w:pos="1837"/>
              </w:tabs>
              <w:spacing w:before="120" w:after="120"/>
              <w:rPr>
                <w:rFonts w:eastAsia="Yu Gothic Light"/>
              </w:rPr>
            </w:pPr>
            <w:r w:rsidRPr="008D5728">
              <w:rPr>
                <w:rFonts w:eastAsia="Yu Gothic Light"/>
              </w:rPr>
              <w:t>Short-term for residential care</w:t>
            </w:r>
          </w:p>
        </w:tc>
        <w:tc>
          <w:tcPr>
            <w:tcW w:w="0" w:type="dxa"/>
            <w:tcMar>
              <w:left w:w="108" w:type="dxa"/>
              <w:right w:w="108" w:type="dxa"/>
            </w:tcMar>
          </w:tcPr>
          <w:p w14:paraId="3742D9F8"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individual </w:t>
            </w:r>
          </w:p>
          <w:p w14:paraId="1AB0BE7C"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09886827"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The registered provider on behalf of the individual </w:t>
            </w:r>
          </w:p>
        </w:tc>
        <w:tc>
          <w:tcPr>
            <w:tcW w:w="0" w:type="dxa"/>
            <w:tcMar>
              <w:left w:w="108" w:type="dxa"/>
              <w:right w:w="108" w:type="dxa"/>
            </w:tcMar>
          </w:tcPr>
          <w:p w14:paraId="5110501F"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w:t>
            </w:r>
          </w:p>
          <w:p w14:paraId="79DE98B0"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6B949990" w14:textId="77777777" w:rsidR="005D728C" w:rsidRPr="008D5728" w:rsidRDefault="005D728C" w:rsidP="00DF3F6B">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the applicant considers a different classification level in the classification type for the service group should be approved for the individual; </w:t>
            </w:r>
            <w:r w:rsidRPr="008D5728">
              <w:rPr>
                <w:rFonts w:eastAsia="Yu Gothic Light"/>
                <w:color w:val="000000"/>
                <w:u w:val="single"/>
              </w:rPr>
              <w:t>and</w:t>
            </w:r>
          </w:p>
          <w:p w14:paraId="3ED40C71" w14:textId="77777777" w:rsidR="005D728C" w:rsidRPr="008D5728" w:rsidRDefault="005D728C" w:rsidP="00DF3F6B">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 an access approval is in effect for the individual for the classification type for the service group; </w:t>
            </w:r>
            <w:r w:rsidRPr="008D5728">
              <w:rPr>
                <w:rFonts w:eastAsia="Yu Gothic Light"/>
                <w:color w:val="000000"/>
                <w:u w:val="single"/>
              </w:rPr>
              <w:t>and</w:t>
            </w:r>
          </w:p>
          <w:p w14:paraId="67EE30E0" w14:textId="77777777" w:rsidR="005D728C" w:rsidRPr="008D5728" w:rsidRDefault="005D728C" w:rsidP="00DF3F6B">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 the application is made by the registered provider:</w:t>
            </w:r>
          </w:p>
          <w:p w14:paraId="37D5FBCF" w14:textId="77777777" w:rsidR="005D728C" w:rsidRPr="008D5728" w:rsidRDefault="005D728C" w:rsidP="00DF3F6B">
            <w:pPr>
              <w:numPr>
                <w:ilvl w:val="0"/>
                <w:numId w:val="252"/>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the registered provider is delivering short</w:t>
            </w:r>
            <w:r w:rsidRPr="008D5728">
              <w:rPr>
                <w:rFonts w:ascii="Cambria Math" w:eastAsia="Yu Gothic Light" w:hAnsi="Cambria Math" w:cs="Cambria Math"/>
                <w:color w:val="000000"/>
              </w:rPr>
              <w:t>‑</w:t>
            </w:r>
            <w:r w:rsidRPr="008D5728">
              <w:rPr>
                <w:rFonts w:eastAsia="Yu Gothic Light"/>
                <w:color w:val="000000"/>
              </w:rPr>
              <w:t>term funded aged care services through the residential care service group to the individual in an approved residential care home; and</w:t>
            </w:r>
          </w:p>
          <w:p w14:paraId="272A0666" w14:textId="77777777" w:rsidR="005D728C" w:rsidRPr="008D5728" w:rsidRDefault="005D728C" w:rsidP="00DF3F6B">
            <w:pPr>
              <w:numPr>
                <w:ilvl w:val="0"/>
                <w:numId w:val="252"/>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8D5728">
              <w:rPr>
                <w:rFonts w:eastAsia="Yu Gothic Light"/>
                <w:color w:val="000000"/>
              </w:rPr>
              <w:t xml:space="preserve">those funded aged care services are </w:t>
            </w:r>
            <w:r w:rsidRPr="008D5728">
              <w:rPr>
                <w:rFonts w:eastAsia="Yu Gothic Light"/>
                <w:color w:val="000000"/>
                <w:u w:val="single"/>
              </w:rPr>
              <w:t>not</w:t>
            </w:r>
            <w:r w:rsidRPr="008D5728">
              <w:rPr>
                <w:rFonts w:eastAsia="Yu Gothic Light"/>
                <w:color w:val="000000"/>
              </w:rPr>
              <w:t xml:space="preserve"> being delivered under a specialist aged care program; </w:t>
            </w:r>
            <w:r w:rsidRPr="008D5728">
              <w:rPr>
                <w:rFonts w:eastAsia="Yu Gothic Light"/>
                <w:color w:val="000000"/>
                <w:u w:val="single"/>
              </w:rPr>
              <w:t xml:space="preserve">and </w:t>
            </w:r>
          </w:p>
          <w:p w14:paraId="12443480" w14:textId="77777777" w:rsidR="005D728C" w:rsidRPr="008D5728" w:rsidRDefault="005D728C" w:rsidP="00DF3F6B">
            <w:pPr>
              <w:numPr>
                <w:ilvl w:val="0"/>
                <w:numId w:val="251"/>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either of the following apply:</w:t>
            </w:r>
          </w:p>
          <w:p w14:paraId="5D9EC3E0" w14:textId="77777777" w:rsidR="005D728C" w:rsidRPr="008D5728" w:rsidRDefault="005D728C" w:rsidP="00DF3F6B">
            <w:pPr>
              <w:numPr>
                <w:ilvl w:val="0"/>
                <w:numId w:val="250"/>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if the rules prescribe a time period</w:t>
            </w:r>
            <w:r w:rsidRPr="008D5728">
              <w:rPr>
                <w:rFonts w:eastAsia="Yu Gothic Light" w:hint="eastAsia"/>
                <w:color w:val="000000"/>
              </w:rPr>
              <w:t>—</w:t>
            </w:r>
            <w:r w:rsidRPr="008D5728">
              <w:rPr>
                <w:rFonts w:eastAsia="Yu Gothic Light"/>
                <w:color w:val="000000"/>
              </w:rPr>
              <w:t>not more than the number of applications prescribed by the rules have been made for the individual under subsection 82(3) of the Act in that time period;</w:t>
            </w:r>
          </w:p>
          <w:p w14:paraId="2ECD5D1D" w14:textId="77777777" w:rsidR="005D728C" w:rsidRPr="008D5728" w:rsidRDefault="005D728C" w:rsidP="00DF3F6B">
            <w:pPr>
              <w:numPr>
                <w:ilvl w:val="0"/>
                <w:numId w:val="250"/>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You consider the circumstances (if any) prescribed by the rules apply.</w:t>
            </w:r>
          </w:p>
          <w:p w14:paraId="1779FB3A"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tc>
      </w:tr>
      <w:tr w:rsidR="00DF37FA" w:rsidRPr="008D5728" w14:paraId="7F577999"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6343F777" w14:textId="77777777" w:rsidR="005D728C" w:rsidRPr="008D5728" w:rsidRDefault="005D728C" w:rsidP="005960D3">
            <w:pPr>
              <w:spacing w:before="120" w:after="120"/>
              <w:rPr>
                <w:rFonts w:eastAsia="Yu Gothic Light"/>
              </w:rPr>
            </w:pPr>
            <w:r w:rsidRPr="008D5728">
              <w:rPr>
                <w:rFonts w:eastAsia="Yu Gothic Light"/>
              </w:rPr>
              <w:t>Hospital transition (for any service group)</w:t>
            </w:r>
          </w:p>
        </w:tc>
        <w:tc>
          <w:tcPr>
            <w:tcW w:w="0" w:type="dxa"/>
            <w:tcMar>
              <w:left w:w="108" w:type="dxa"/>
              <w:right w:w="108" w:type="dxa"/>
            </w:tcMar>
          </w:tcPr>
          <w:p w14:paraId="41798412"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 xml:space="preserve">A registered provider on behalf of an individual </w:t>
            </w:r>
          </w:p>
        </w:tc>
        <w:tc>
          <w:tcPr>
            <w:tcW w:w="0" w:type="dxa"/>
            <w:tcMar>
              <w:left w:w="108" w:type="dxa"/>
              <w:right w:w="108" w:type="dxa"/>
            </w:tcMar>
          </w:tcPr>
          <w:p w14:paraId="6DCC7955"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All of the following apply:</w:t>
            </w:r>
          </w:p>
          <w:p w14:paraId="5857A711"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p w14:paraId="35B11450" w14:textId="77777777" w:rsidR="005D728C" w:rsidRPr="008D5728" w:rsidRDefault="005D728C" w:rsidP="00DF3F6B">
            <w:pPr>
              <w:numPr>
                <w:ilvl w:val="0"/>
                <w:numId w:val="249"/>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the registered provider is delivering hospital transition funded aged care services to the individual through the service group; and</w:t>
            </w:r>
          </w:p>
          <w:p w14:paraId="6565126F" w14:textId="77777777" w:rsidR="005D728C" w:rsidRPr="008D5728" w:rsidRDefault="005D728C" w:rsidP="00DF3F6B">
            <w:pPr>
              <w:numPr>
                <w:ilvl w:val="0"/>
                <w:numId w:val="249"/>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8D5728">
              <w:rPr>
                <w:rFonts w:eastAsia="Yu Gothic Light"/>
                <w:color w:val="000000"/>
              </w:rPr>
              <w:t>the registered provider or the individual considers that an extension of the period of effect for the classification level that is in effect for the individual for the classification type for the service group should be approved for the individual.</w:t>
            </w:r>
          </w:p>
          <w:p w14:paraId="71811033" w14:textId="77777777" w:rsidR="005D728C" w:rsidRPr="008D5728" w:rsidRDefault="005D728C"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8D5728">
              <w:rPr>
                <w:rFonts w:eastAsia="Yu Gothic Light"/>
              </w:rPr>
              <w:t xml:space="preserve"> </w:t>
            </w:r>
          </w:p>
        </w:tc>
      </w:tr>
    </w:tbl>
    <w:p w14:paraId="211325AB" w14:textId="4D744DEE" w:rsidR="005D728C" w:rsidRPr="008D5728" w:rsidRDefault="005D728C" w:rsidP="00622CFF">
      <w:pPr>
        <w:spacing w:before="240" w:after="240" w:line="240" w:lineRule="auto"/>
        <w:rPr>
          <w:rFonts w:eastAsia="Yu Gothic Light"/>
        </w:rPr>
      </w:pPr>
      <w:r w:rsidRPr="008D5728">
        <w:rPr>
          <w:rFonts w:eastAsia="Yu Gothic Light"/>
        </w:rPr>
        <w:t>When a reassessment is needed (for all classifications ex</w:t>
      </w:r>
      <w:r w:rsidR="006939B2">
        <w:rPr>
          <w:rFonts w:eastAsia="Yu Gothic Light"/>
        </w:rPr>
        <w:t>c</w:t>
      </w:r>
      <w:r w:rsidRPr="008D5728">
        <w:rPr>
          <w:rFonts w:eastAsia="Yu Gothic Light"/>
        </w:rPr>
        <w:t>e</w:t>
      </w:r>
      <w:r w:rsidR="006939B2">
        <w:rPr>
          <w:rFonts w:eastAsia="Yu Gothic Light"/>
        </w:rPr>
        <w:t>p</w:t>
      </w:r>
      <w:r w:rsidRPr="008D5728">
        <w:rPr>
          <w:rFonts w:eastAsia="Yu Gothic Light"/>
        </w:rPr>
        <w:t xml:space="preserve">t those for the residential care service group), </w:t>
      </w:r>
      <w:r w:rsidR="004727B0">
        <w:rPr>
          <w:rFonts w:eastAsia="Yu Gothic Light"/>
        </w:rPr>
        <w:t>t</w:t>
      </w:r>
      <w:r w:rsidR="004727B0" w:rsidRPr="00BF1A2E">
        <w:rPr>
          <w:rFonts w:eastAsia="Yu Gothic Light"/>
        </w:rPr>
        <w:t>riage</w:t>
      </w:r>
      <w:r w:rsidRPr="008D5728" w:rsidDel="004727B0">
        <w:rPr>
          <w:rFonts w:eastAsia="Yu Gothic Light"/>
        </w:rPr>
        <w:t xml:space="preserve"> </w:t>
      </w:r>
      <w:r w:rsidR="004727B0">
        <w:rPr>
          <w:rFonts w:eastAsia="Yu Gothic Light"/>
        </w:rPr>
        <w:t>d</w:t>
      </w:r>
      <w:r w:rsidR="004727B0" w:rsidRPr="00BF1A2E">
        <w:rPr>
          <w:rFonts w:eastAsia="Yu Gothic Light"/>
        </w:rPr>
        <w:t>elegates</w:t>
      </w:r>
      <w:r w:rsidR="004727B0" w:rsidRPr="008D5728">
        <w:rPr>
          <w:rFonts w:eastAsia="Yu Gothic Light"/>
        </w:rPr>
        <w:t xml:space="preserve"> </w:t>
      </w:r>
      <w:r w:rsidRPr="008D5728">
        <w:rPr>
          <w:rFonts w:eastAsia="Yu Gothic Light"/>
        </w:rPr>
        <w:t>will review the application, considering the individual</w:t>
      </w:r>
      <w:r w:rsidRPr="008D5728">
        <w:rPr>
          <w:rFonts w:eastAsia="Yu Gothic Light" w:hint="eastAsia"/>
        </w:rPr>
        <w:t>’</w:t>
      </w:r>
      <w:r w:rsidRPr="008D5728">
        <w:rPr>
          <w:rFonts w:eastAsia="Yu Gothic Light"/>
        </w:rPr>
        <w:t>s current care needs and whether they still meet the requirements for a classification reassessment.</w:t>
      </w:r>
    </w:p>
    <w:p w14:paraId="7698D84D" w14:textId="40864830" w:rsidR="005D728C" w:rsidRPr="008D5728" w:rsidRDefault="005D728C" w:rsidP="00622CFF">
      <w:pPr>
        <w:spacing w:before="240" w:after="240" w:line="240" w:lineRule="auto"/>
        <w:rPr>
          <w:rFonts w:eastAsia="Yu Gothic Light"/>
          <w:b/>
        </w:rPr>
      </w:pPr>
      <w:r w:rsidRPr="008D5728">
        <w:rPr>
          <w:rFonts w:eastAsia="Yu Gothic Light"/>
        </w:rPr>
        <w:t xml:space="preserve">If the application meets the necessary criteria, a reassessment will be carried out, and a new recommendation will be prepared and presented to the </w:t>
      </w:r>
      <w:r w:rsidR="00F209DE">
        <w:rPr>
          <w:rFonts w:eastAsia="Yu Gothic Light"/>
        </w:rPr>
        <w:t>a</w:t>
      </w:r>
      <w:r w:rsidR="00F209DE" w:rsidRPr="00BF1A2E">
        <w:rPr>
          <w:rFonts w:eastAsia="Yu Gothic Light"/>
        </w:rPr>
        <w:t xml:space="preserve">ssessment </w:t>
      </w:r>
      <w:r w:rsidR="00F209DE">
        <w:rPr>
          <w:rFonts w:eastAsia="Yu Gothic Light"/>
        </w:rPr>
        <w:t>d</w:t>
      </w:r>
      <w:r w:rsidR="00F209DE" w:rsidRPr="00BF1A2E">
        <w:rPr>
          <w:rFonts w:eastAsia="Yu Gothic Light"/>
        </w:rPr>
        <w:t>elegate</w:t>
      </w:r>
      <w:r w:rsidRPr="00FF0DC9">
        <w:rPr>
          <w:rFonts w:eastAsia="Yu Gothic Light"/>
          <w:bCs/>
        </w:rPr>
        <w:t>.</w:t>
      </w:r>
      <w:r w:rsidRPr="008D5728">
        <w:rPr>
          <w:rFonts w:eastAsia="Yu Gothic Light"/>
        </w:rPr>
        <w:t xml:space="preserve"> </w:t>
      </w:r>
      <w:r w:rsidR="0044640F">
        <w:rPr>
          <w:rFonts w:eastAsia="Yu Gothic Light"/>
        </w:rPr>
        <w:t>A</w:t>
      </w:r>
      <w:r w:rsidR="0044640F" w:rsidRPr="008D5728">
        <w:rPr>
          <w:rFonts w:eastAsia="Yu Gothic Light"/>
        </w:rPr>
        <w:t>ssessment</w:t>
      </w:r>
      <w:r w:rsidRPr="008D5728" w:rsidDel="0044640F">
        <w:rPr>
          <w:rFonts w:eastAsia="Yu Gothic Light"/>
        </w:rPr>
        <w:t xml:space="preserve"> </w:t>
      </w:r>
      <w:r w:rsidR="0044640F">
        <w:rPr>
          <w:rFonts w:eastAsia="Yu Gothic Light"/>
        </w:rPr>
        <w:t>d</w:t>
      </w:r>
      <w:r w:rsidR="0044640F" w:rsidRPr="008D5728">
        <w:rPr>
          <w:rFonts w:eastAsia="Yu Gothic Light"/>
        </w:rPr>
        <w:t>elegates</w:t>
      </w:r>
      <w:r w:rsidRPr="008D5728">
        <w:rPr>
          <w:rFonts w:eastAsia="Yu Gothic Light"/>
        </w:rPr>
        <w:t xml:space="preserve"> are responsible for deciding whether to approve a different classification level for the classification type for a service group or</w:t>
      </w:r>
      <w:r w:rsidRPr="008D5728" w:rsidDel="009239D1">
        <w:rPr>
          <w:rFonts w:eastAsia="Yu Gothic Light"/>
        </w:rPr>
        <w:t xml:space="preserve"> </w:t>
      </w:r>
      <w:r w:rsidRPr="008D5728">
        <w:rPr>
          <w:rFonts w:eastAsia="Yu Gothic Light"/>
        </w:rPr>
        <w:t xml:space="preserve">an extension of the classification level (if relevant) under section 78 of the </w:t>
      </w:r>
      <w:r w:rsidR="00FF0DC9">
        <w:rPr>
          <w:rFonts w:eastAsia="Yu Gothic Light"/>
          <w:lang w:val="en-AU"/>
        </w:rPr>
        <w:t xml:space="preserve">Aged Care </w:t>
      </w:r>
      <w:r w:rsidR="00FF0DC9" w:rsidRPr="008D5728">
        <w:rPr>
          <w:rFonts w:eastAsia="Yu Gothic Light"/>
          <w:lang w:val="en-AU"/>
        </w:rPr>
        <w:t>Act</w:t>
      </w:r>
      <w:r w:rsidR="00FF0DC9">
        <w:rPr>
          <w:rFonts w:eastAsia="Yu Gothic Light"/>
          <w:lang w:val="en-AU"/>
        </w:rPr>
        <w:t xml:space="preserve"> 2024 (the Act)</w:t>
      </w:r>
      <w:r w:rsidRPr="008D5728">
        <w:rPr>
          <w:rFonts w:eastAsia="Yu Gothic Light"/>
        </w:rPr>
        <w:t xml:space="preserve">. All new decisions must be documented in a new </w:t>
      </w:r>
      <w:r w:rsidRPr="00BF1A2E">
        <w:rPr>
          <w:rFonts w:eastAsia="Yu Gothic Light"/>
        </w:rPr>
        <w:t>Notice of Decision</w:t>
      </w:r>
      <w:r w:rsidRPr="008D5728">
        <w:rPr>
          <w:rFonts w:eastAsia="Yu Gothic Light"/>
          <w:b/>
        </w:rPr>
        <w:t xml:space="preserve"> </w:t>
      </w:r>
      <w:r w:rsidRPr="008D5728">
        <w:rPr>
          <w:rFonts w:eastAsia="Yu Gothic Light"/>
        </w:rPr>
        <w:t>letter which must be made in accordance with the requirements of section 79 of the Act</w:t>
      </w:r>
      <w:r w:rsidRPr="008D5728">
        <w:rPr>
          <w:rFonts w:eastAsia="Yu Gothic Light"/>
          <w:b/>
        </w:rPr>
        <w:t>.</w:t>
      </w:r>
    </w:p>
    <w:p w14:paraId="60AEF13D" w14:textId="05FA07AF" w:rsidR="005D728C" w:rsidRPr="008D5728" w:rsidRDefault="005D728C" w:rsidP="00622CFF">
      <w:pPr>
        <w:spacing w:before="240" w:after="240" w:line="240" w:lineRule="auto"/>
        <w:rPr>
          <w:rFonts w:eastAsia="Yu Gothic Light"/>
        </w:rPr>
      </w:pPr>
      <w:r w:rsidRPr="008D5728">
        <w:rPr>
          <w:rFonts w:eastAsia="Yu Gothic Light"/>
        </w:rPr>
        <w:t xml:space="preserve">Note that a classification reassessment for ongoing residential care is commonly known as an AN-ACC reclassification and is the responsibility of </w:t>
      </w:r>
      <w:r w:rsidR="00FF0DC9">
        <w:rPr>
          <w:rFonts w:eastAsia="Yu Gothic Light"/>
        </w:rPr>
        <w:t xml:space="preserve">Residential </w:t>
      </w:r>
      <w:r w:rsidR="00DE78B1">
        <w:rPr>
          <w:rFonts w:eastAsia="Yu Gothic Light"/>
        </w:rPr>
        <w:t>A</w:t>
      </w:r>
      <w:r w:rsidR="00FF0DC9">
        <w:rPr>
          <w:rFonts w:eastAsia="Yu Gothic Light"/>
        </w:rPr>
        <w:t xml:space="preserve">ged </w:t>
      </w:r>
      <w:r w:rsidR="00DE78B1">
        <w:rPr>
          <w:rFonts w:eastAsia="Yu Gothic Light"/>
        </w:rPr>
        <w:t>C</w:t>
      </w:r>
      <w:r w:rsidR="00FF0DC9">
        <w:rPr>
          <w:rFonts w:eastAsia="Yu Gothic Light"/>
        </w:rPr>
        <w:t>are</w:t>
      </w:r>
      <w:r w:rsidR="00DE78B1">
        <w:rPr>
          <w:rFonts w:eastAsia="Yu Gothic Light"/>
        </w:rPr>
        <w:t xml:space="preserve"> funding </w:t>
      </w:r>
      <w:r w:rsidRPr="008D5728">
        <w:rPr>
          <w:rFonts w:eastAsia="Yu Gothic Light"/>
        </w:rPr>
        <w:t>assessors.</w:t>
      </w:r>
    </w:p>
    <w:p w14:paraId="3269A753" w14:textId="54DAF30C" w:rsidR="005D728C" w:rsidRPr="008D5728" w:rsidRDefault="005D728C" w:rsidP="00507F9D">
      <w:pPr>
        <w:pStyle w:val="h2"/>
      </w:pPr>
      <w:bookmarkStart w:id="635" w:name="_Toc1022004093"/>
      <w:bookmarkStart w:id="636" w:name="_Toc199344514"/>
      <w:bookmarkStart w:id="637" w:name="_Toc205372044"/>
      <w:bookmarkStart w:id="638" w:name="_Toc207713949"/>
      <w:bookmarkStart w:id="639" w:name="_Toc209189020"/>
      <w:bookmarkStart w:id="640" w:name="_Toc224916678"/>
      <w:r w:rsidRPr="008D5728">
        <w:t xml:space="preserve">Summary of </w:t>
      </w:r>
      <w:r w:rsidR="00EF5AE3">
        <w:t>a</w:t>
      </w:r>
      <w:r w:rsidR="00EF5AE3" w:rsidRPr="008D5728">
        <w:t xml:space="preserve">ssessment </w:t>
      </w:r>
      <w:r w:rsidR="00EF5AE3">
        <w:t>d</w:t>
      </w:r>
      <w:r w:rsidR="00EF5AE3" w:rsidRPr="008D5728">
        <w:t xml:space="preserve">elegate </w:t>
      </w:r>
      <w:r w:rsidRPr="008D5728">
        <w:t>responsibilities under the Act</w:t>
      </w:r>
      <w:bookmarkEnd w:id="635"/>
      <w:bookmarkEnd w:id="636"/>
      <w:bookmarkEnd w:id="637"/>
      <w:bookmarkEnd w:id="638"/>
      <w:bookmarkEnd w:id="639"/>
      <w:bookmarkEnd w:id="640"/>
    </w:p>
    <w:p w14:paraId="1A44DFCA" w14:textId="4FBEFF70" w:rsidR="005D728C" w:rsidRDefault="005D728C" w:rsidP="00622CFF">
      <w:pPr>
        <w:spacing w:before="240" w:after="240" w:line="240" w:lineRule="auto"/>
        <w:rPr>
          <w:rFonts w:eastAsia="Yu Gothic Light"/>
        </w:rPr>
      </w:pPr>
      <w:r w:rsidRPr="008D5728">
        <w:rPr>
          <w:rFonts w:eastAsia="Yu Gothic Light"/>
        </w:rPr>
        <w:t xml:space="preserve">The table below summarises all of the decisions that </w:t>
      </w:r>
      <w:r w:rsidR="00EF5AE3">
        <w:rPr>
          <w:rFonts w:eastAsia="Yu Gothic Light"/>
        </w:rPr>
        <w:t>a</w:t>
      </w:r>
      <w:r w:rsidR="00EF5AE3" w:rsidRPr="008D5728">
        <w:rPr>
          <w:rFonts w:eastAsia="Yu Gothic Light"/>
        </w:rPr>
        <w:t xml:space="preserve">ssessment </w:t>
      </w:r>
      <w:r w:rsidR="00EF5AE3">
        <w:rPr>
          <w:rFonts w:eastAsia="Yu Gothic Light"/>
        </w:rPr>
        <w:t>d</w:t>
      </w:r>
      <w:r w:rsidR="00EF5AE3" w:rsidRPr="008D5728">
        <w:rPr>
          <w:rFonts w:eastAsia="Yu Gothic Light"/>
        </w:rPr>
        <w:t>elegates</w:t>
      </w:r>
      <w:r w:rsidRPr="008D5728">
        <w:rPr>
          <w:rFonts w:eastAsia="Yu Gothic Light"/>
        </w:rPr>
        <w:t xml:space="preserve"> are empowered to make or actions they are empowered to take under the </w:t>
      </w:r>
      <w:r w:rsidR="002C539C" w:rsidRPr="008D5728" w:rsidDel="00A25B31">
        <w:rPr>
          <w:rFonts w:eastAsia="Yu Gothic Light"/>
          <w:lang w:val="en-AU"/>
        </w:rPr>
        <w:t>Act</w:t>
      </w:r>
      <w:r w:rsidR="002C539C" w:rsidRPr="008D5728">
        <w:rPr>
          <w:rFonts w:eastAsia="Yu Gothic Light"/>
          <w:i/>
          <w:lang w:val="en-AU"/>
        </w:rPr>
        <w:t>,</w:t>
      </w:r>
      <w:r w:rsidRPr="008D5728" w:rsidDel="00EF5AE3">
        <w:rPr>
          <w:rFonts w:eastAsia="Yu Gothic Light"/>
        </w:rPr>
        <w:t xml:space="preserve"> </w:t>
      </w:r>
      <w:r w:rsidR="00EF5AE3">
        <w:rPr>
          <w:rFonts w:eastAsia="Yu Gothic Light"/>
        </w:rPr>
        <w:t>a</w:t>
      </w:r>
      <w:r w:rsidR="00EF5AE3" w:rsidRPr="008D5728">
        <w:rPr>
          <w:rFonts w:eastAsia="Yu Gothic Light"/>
        </w:rPr>
        <w:t>ssessment</w:t>
      </w:r>
      <w:r w:rsidRPr="008D5728" w:rsidDel="00A25B31">
        <w:rPr>
          <w:rFonts w:eastAsia="Yu Gothic Light"/>
        </w:rPr>
        <w:t xml:space="preserve"> </w:t>
      </w:r>
      <w:r w:rsidR="00A25B31">
        <w:rPr>
          <w:rFonts w:eastAsia="Yu Gothic Light"/>
        </w:rPr>
        <w:t>d</w:t>
      </w:r>
      <w:r w:rsidR="00A25B31" w:rsidRPr="008D5728">
        <w:rPr>
          <w:rFonts w:eastAsia="Yu Gothic Light"/>
        </w:rPr>
        <w:t xml:space="preserve">elegate </w:t>
      </w:r>
      <w:r w:rsidRPr="008D5728">
        <w:rPr>
          <w:rFonts w:eastAsia="Yu Gothic Light"/>
        </w:rPr>
        <w:t>responsibilities include notifying the older person (and their registered supporter/s, if applicable) of the outcome of their assessment; this is explained in detail in the following chapter.</w:t>
      </w:r>
    </w:p>
    <w:p w14:paraId="5F4A0A8B" w14:textId="249B7028" w:rsidR="005D728C" w:rsidRPr="008D5728" w:rsidRDefault="005D728C" w:rsidP="00622CFF">
      <w:pPr>
        <w:pStyle w:val="Caption"/>
        <w:spacing w:before="240" w:after="240"/>
        <w:rPr>
          <w:rFonts w:eastAsia="Yu Gothic Light"/>
        </w:rPr>
      </w:pPr>
      <w:r>
        <w:rPr>
          <w:rFonts w:eastAsia="Yu Gothic Light"/>
        </w:rPr>
        <w:t>Table 4</w:t>
      </w:r>
      <w:r w:rsidR="004E0DC5">
        <w:rPr>
          <w:rFonts w:eastAsia="Yu Gothic Light"/>
        </w:rPr>
        <w:t>5</w:t>
      </w:r>
      <w:r>
        <w:rPr>
          <w:rFonts w:eastAsia="Yu Gothic Light"/>
        </w:rPr>
        <w:t>. Summary of decisions and actions Assessment Delegates are empowered to undertake</w:t>
      </w:r>
    </w:p>
    <w:tbl>
      <w:tblPr>
        <w:tblStyle w:val="TableGrid"/>
        <w:tblW w:w="9070" w:type="dxa"/>
        <w:tblLayout w:type="fixed"/>
        <w:tblLook w:val="04A0" w:firstRow="1" w:lastRow="0" w:firstColumn="1" w:lastColumn="0" w:noHBand="0" w:noVBand="1"/>
        <w:tblCaption w:val="Summary of decisions and actions Assessment Delegates are empowered to undertake"/>
      </w:tblPr>
      <w:tblGrid>
        <w:gridCol w:w="1694"/>
        <w:gridCol w:w="1131"/>
        <w:gridCol w:w="6245"/>
      </w:tblGrid>
      <w:tr w:rsidR="005D728C" w:rsidRPr="008D5728" w14:paraId="4CB555A1" w14:textId="77777777">
        <w:trPr>
          <w:trHeight w:val="300"/>
          <w:tblHeader/>
        </w:trPr>
        <w:tc>
          <w:tcPr>
            <w:tcW w:w="169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36835F3F" w14:textId="77777777" w:rsidR="005D728C" w:rsidRPr="008D5728" w:rsidRDefault="005D728C" w:rsidP="00622CFF">
            <w:pPr>
              <w:spacing w:before="240" w:after="240"/>
              <w:rPr>
                <w:rFonts w:eastAsia="Arial"/>
                <w:b/>
                <w:szCs w:val="22"/>
              </w:rPr>
            </w:pPr>
            <w:r w:rsidRPr="008D5728">
              <w:rPr>
                <w:rFonts w:eastAsia="Arial"/>
                <w:b/>
                <w:szCs w:val="22"/>
              </w:rPr>
              <w:t xml:space="preserve">Decision Type </w:t>
            </w:r>
          </w:p>
        </w:tc>
        <w:tc>
          <w:tcPr>
            <w:tcW w:w="113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68E9CB2D" w14:textId="77777777" w:rsidR="005D728C" w:rsidRPr="008D5728" w:rsidRDefault="005D728C" w:rsidP="00622CFF">
            <w:pPr>
              <w:spacing w:before="240" w:after="240"/>
              <w:rPr>
                <w:rFonts w:eastAsia="Arial"/>
                <w:b/>
                <w:szCs w:val="22"/>
              </w:rPr>
            </w:pPr>
            <w:r w:rsidRPr="008D5728">
              <w:rPr>
                <w:rFonts w:eastAsia="Arial"/>
                <w:b/>
                <w:szCs w:val="22"/>
              </w:rPr>
              <w:t xml:space="preserve">Section </w:t>
            </w:r>
          </w:p>
        </w:tc>
        <w:tc>
          <w:tcPr>
            <w:tcW w:w="6245"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6C246EA3" w14:textId="77777777" w:rsidR="005D728C" w:rsidRPr="008D5728" w:rsidRDefault="005D728C" w:rsidP="00622CFF">
            <w:pPr>
              <w:spacing w:before="240" w:after="240"/>
              <w:rPr>
                <w:rFonts w:eastAsia="Arial"/>
                <w:b/>
                <w:szCs w:val="22"/>
              </w:rPr>
            </w:pPr>
            <w:r w:rsidRPr="008D5728">
              <w:rPr>
                <w:rFonts w:eastAsia="Arial"/>
                <w:b/>
                <w:szCs w:val="22"/>
              </w:rPr>
              <w:t>Decision/Action</w:t>
            </w:r>
          </w:p>
        </w:tc>
      </w:tr>
      <w:tr w:rsidR="005D728C" w:rsidRPr="008D5728" w14:paraId="25FC0A70" w14:textId="77777777">
        <w:trPr>
          <w:trHeight w:val="300"/>
        </w:trPr>
        <w:tc>
          <w:tcPr>
            <w:tcW w:w="1694" w:type="dxa"/>
            <w:vMerge w:val="restart"/>
            <w:tcBorders>
              <w:top w:val="single" w:sz="8" w:space="0" w:color="auto"/>
              <w:left w:val="single" w:sz="8" w:space="0" w:color="auto"/>
              <w:right w:val="single" w:sz="8" w:space="0" w:color="auto"/>
            </w:tcBorders>
            <w:shd w:val="clear" w:color="auto" w:fill="002060"/>
            <w:tcMar>
              <w:left w:w="108" w:type="dxa"/>
              <w:right w:w="108" w:type="dxa"/>
            </w:tcMar>
          </w:tcPr>
          <w:p w14:paraId="63A2E969" w14:textId="77777777" w:rsidR="005D728C" w:rsidRPr="00647EF2" w:rsidRDefault="005D728C" w:rsidP="00622CFF">
            <w:pPr>
              <w:spacing w:before="240" w:after="240"/>
              <w:rPr>
                <w:rFonts w:eastAsia="Arial"/>
                <w:color w:val="FFFFFF" w:themeColor="background1"/>
                <w:szCs w:val="22"/>
              </w:rPr>
            </w:pPr>
            <w:r w:rsidRPr="00647EF2">
              <w:rPr>
                <w:rFonts w:eastAsia="Arial"/>
                <w:color w:val="FFFFFF" w:themeColor="background1"/>
                <w:szCs w:val="22"/>
              </w:rPr>
              <w:t xml:space="preserve">Access Approval Decisions </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BE15EDF"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65(1) </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0018946" w14:textId="78D8F2EE" w:rsidR="005D728C" w:rsidRPr="008D5728" w:rsidRDefault="005D728C" w:rsidP="00622CFF">
            <w:pPr>
              <w:spacing w:before="240" w:after="240"/>
              <w:rPr>
                <w:rFonts w:eastAsia="Arial"/>
                <w:color w:val="000000"/>
                <w:szCs w:val="22"/>
              </w:rPr>
            </w:pPr>
            <w:r w:rsidRPr="008D5728">
              <w:rPr>
                <w:rFonts w:eastAsia="Arial"/>
                <w:color w:val="000000"/>
                <w:szCs w:val="22"/>
              </w:rPr>
              <w:t xml:space="preserve">An </w:t>
            </w:r>
            <w:r w:rsidR="00EF5AE3">
              <w:rPr>
                <w:rFonts w:eastAsia="Arial"/>
                <w:color w:val="000000"/>
                <w:szCs w:val="22"/>
              </w:rPr>
              <w:t>a</w:t>
            </w:r>
            <w:r w:rsidR="00EF5AE3" w:rsidRPr="008D5728">
              <w:rPr>
                <w:rFonts w:eastAsia="Arial"/>
                <w:color w:val="000000"/>
                <w:szCs w:val="22"/>
              </w:rPr>
              <w:t>ssessment</w:t>
            </w:r>
            <w:r w:rsidRPr="008D5728" w:rsidDel="00EF5AE3">
              <w:rPr>
                <w:rFonts w:eastAsia="Arial"/>
                <w:color w:val="000000"/>
                <w:szCs w:val="22"/>
              </w:rPr>
              <w:t xml:space="preserve"> </w:t>
            </w:r>
            <w:r w:rsidR="00EF5AE3">
              <w:rPr>
                <w:rFonts w:eastAsia="Arial"/>
                <w:color w:val="000000"/>
                <w:szCs w:val="22"/>
              </w:rPr>
              <w:t>d</w:t>
            </w:r>
            <w:r w:rsidR="00EF5AE3" w:rsidRPr="008D5728">
              <w:rPr>
                <w:rFonts w:eastAsia="Arial"/>
                <w:color w:val="000000"/>
                <w:szCs w:val="22"/>
              </w:rPr>
              <w:t>elegate</w:t>
            </w:r>
            <w:r w:rsidRPr="008D5728">
              <w:rPr>
                <w:rFonts w:eastAsia="Arial"/>
                <w:color w:val="000000"/>
                <w:szCs w:val="22"/>
              </w:rPr>
              <w:t xml:space="preserve"> receives and considers an individual’s support plan, deciding whether to approve access to funded services </w:t>
            </w:r>
          </w:p>
        </w:tc>
      </w:tr>
      <w:tr w:rsidR="005D728C" w:rsidRPr="008D5728" w14:paraId="76F84D37" w14:textId="77777777">
        <w:trPr>
          <w:trHeight w:val="300"/>
        </w:trPr>
        <w:tc>
          <w:tcPr>
            <w:tcW w:w="1694" w:type="dxa"/>
            <w:vMerge/>
            <w:shd w:val="clear" w:color="auto" w:fill="002060"/>
            <w:vAlign w:val="center"/>
          </w:tcPr>
          <w:p w14:paraId="51293384"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34AA3E13" w14:textId="77777777" w:rsidR="005D728C" w:rsidRPr="008D5728" w:rsidRDefault="005D728C" w:rsidP="00622CFF">
            <w:pPr>
              <w:spacing w:before="240" w:after="240"/>
              <w:rPr>
                <w:rFonts w:eastAsia="Arial"/>
                <w:color w:val="000000"/>
                <w:szCs w:val="22"/>
              </w:rPr>
            </w:pPr>
            <w:r w:rsidRPr="008D5728">
              <w:rPr>
                <w:rFonts w:eastAsia="Arial"/>
                <w:color w:val="000000"/>
                <w:szCs w:val="22"/>
              </w:rPr>
              <w:t>65(2)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21C20B2" w14:textId="236E229D" w:rsidR="005D728C" w:rsidRPr="008D5728" w:rsidRDefault="005D728C" w:rsidP="00622CFF">
            <w:pPr>
              <w:spacing w:before="240" w:after="240"/>
              <w:rPr>
                <w:rFonts w:eastAsia="Arial"/>
                <w:color w:val="000000"/>
                <w:szCs w:val="22"/>
              </w:rPr>
            </w:pPr>
            <w:r w:rsidRPr="008D5728">
              <w:rPr>
                <w:rFonts w:eastAsia="Arial"/>
                <w:color w:val="000000"/>
                <w:szCs w:val="22"/>
              </w:rPr>
              <w:t xml:space="preserve">An </w:t>
            </w:r>
            <w:r w:rsidR="00A25B31">
              <w:rPr>
                <w:rFonts w:eastAsia="Arial"/>
                <w:color w:val="000000"/>
                <w:szCs w:val="22"/>
              </w:rPr>
              <w:t>a</w:t>
            </w:r>
            <w:r w:rsidR="00A25B31" w:rsidRPr="008D5728">
              <w:rPr>
                <w:rFonts w:eastAsia="Arial"/>
                <w:color w:val="000000"/>
                <w:szCs w:val="22"/>
              </w:rPr>
              <w:t>ssessment</w:t>
            </w:r>
            <w:r w:rsidRPr="008D5728" w:rsidDel="00A25B31">
              <w:rPr>
                <w:rFonts w:eastAsia="Arial"/>
                <w:color w:val="000000"/>
                <w:szCs w:val="22"/>
              </w:rPr>
              <w:t xml:space="preserve"> </w:t>
            </w:r>
            <w:r w:rsidR="00A25B31">
              <w:rPr>
                <w:rFonts w:eastAsia="Arial"/>
                <w:color w:val="000000"/>
                <w:szCs w:val="22"/>
              </w:rPr>
              <w:t>d</w:t>
            </w:r>
            <w:r w:rsidR="00A25B31" w:rsidRPr="008D5728">
              <w:rPr>
                <w:rFonts w:eastAsia="Arial"/>
                <w:color w:val="000000"/>
                <w:szCs w:val="22"/>
              </w:rPr>
              <w:t xml:space="preserve">elegate </w:t>
            </w:r>
            <w:r w:rsidRPr="008D5728">
              <w:rPr>
                <w:rFonts w:eastAsia="Arial"/>
                <w:color w:val="000000"/>
                <w:szCs w:val="22"/>
              </w:rPr>
              <w:t xml:space="preserve">must decide whether to approve one or more service groups and the classification types for the service groups </w:t>
            </w:r>
          </w:p>
          <w:p w14:paraId="19589928" w14:textId="104387B9" w:rsidR="005D728C" w:rsidRPr="008D5728" w:rsidRDefault="005D728C" w:rsidP="00622CFF">
            <w:pPr>
              <w:spacing w:before="240" w:after="240"/>
              <w:rPr>
                <w:rFonts w:eastAsia="Arial"/>
                <w:color w:val="000000"/>
                <w:szCs w:val="22"/>
              </w:rPr>
            </w:pPr>
            <w:r w:rsidRPr="008D5728">
              <w:rPr>
                <w:rFonts w:eastAsia="Arial"/>
                <w:color w:val="000000"/>
                <w:szCs w:val="22"/>
              </w:rPr>
              <w:t xml:space="preserve">In making this decision, the </w:t>
            </w:r>
            <w:r w:rsidR="00A25B31">
              <w:rPr>
                <w:rFonts w:eastAsia="Arial"/>
                <w:color w:val="000000"/>
                <w:szCs w:val="22"/>
              </w:rPr>
              <w:t>a</w:t>
            </w:r>
            <w:r w:rsidR="00A25B31" w:rsidRPr="008D5728">
              <w:rPr>
                <w:rFonts w:eastAsia="Arial"/>
                <w:color w:val="000000"/>
                <w:szCs w:val="22"/>
              </w:rPr>
              <w:t xml:space="preserve">ssessment </w:t>
            </w:r>
            <w:r w:rsidR="00A25B31">
              <w:rPr>
                <w:rFonts w:eastAsia="Arial"/>
                <w:color w:val="000000"/>
                <w:szCs w:val="22"/>
              </w:rPr>
              <w:t>d</w:t>
            </w:r>
            <w:r w:rsidR="00A25B31" w:rsidRPr="008D5728">
              <w:rPr>
                <w:rFonts w:eastAsia="Arial"/>
                <w:color w:val="000000"/>
                <w:szCs w:val="22"/>
              </w:rPr>
              <w:t xml:space="preserve">elegate </w:t>
            </w:r>
            <w:r w:rsidRPr="008D5728">
              <w:rPr>
                <w:rFonts w:eastAsia="Arial"/>
                <w:color w:val="000000"/>
                <w:szCs w:val="22"/>
              </w:rPr>
              <w:t>must be satisfied that all the criteria prescribed in s 65(3) is met.</w:t>
            </w:r>
          </w:p>
        </w:tc>
      </w:tr>
      <w:tr w:rsidR="005D728C" w:rsidRPr="008D5728" w14:paraId="4482804A" w14:textId="77777777">
        <w:trPr>
          <w:trHeight w:val="300"/>
        </w:trPr>
        <w:tc>
          <w:tcPr>
            <w:tcW w:w="1694" w:type="dxa"/>
            <w:vMerge/>
            <w:shd w:val="clear" w:color="auto" w:fill="002060"/>
            <w:vAlign w:val="center"/>
          </w:tcPr>
          <w:p w14:paraId="2EB722B1"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2BAAB28" w14:textId="77777777" w:rsidR="005D728C" w:rsidRPr="008D5728" w:rsidRDefault="005D728C" w:rsidP="00622CFF">
            <w:pPr>
              <w:spacing w:before="240" w:after="240"/>
              <w:rPr>
                <w:rFonts w:eastAsia="Arial"/>
                <w:color w:val="000000"/>
                <w:szCs w:val="22"/>
              </w:rPr>
            </w:pPr>
            <w:r w:rsidRPr="008D5728">
              <w:rPr>
                <w:rFonts w:eastAsia="Arial"/>
                <w:color w:val="000000"/>
                <w:szCs w:val="22"/>
              </w:rPr>
              <w:t>65(2)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E44E29E" w14:textId="656B61A8" w:rsidR="005D728C" w:rsidRPr="008D5728" w:rsidRDefault="005D728C" w:rsidP="00622CFF">
            <w:pPr>
              <w:spacing w:before="240" w:after="240"/>
              <w:rPr>
                <w:rFonts w:eastAsia="Arial"/>
                <w:color w:val="000000"/>
                <w:szCs w:val="22"/>
              </w:rPr>
            </w:pPr>
            <w:r w:rsidRPr="008D5728">
              <w:rPr>
                <w:rFonts w:eastAsia="Arial"/>
                <w:color w:val="000000"/>
                <w:szCs w:val="22"/>
              </w:rPr>
              <w:t>If the service group is home support, assistive technology or home modifications and the individual is not an Aboriginal and Torres Strait Islander person</w:t>
            </w:r>
            <w:r w:rsidR="00EC1264">
              <w:rPr>
                <w:rFonts w:eastAsia="Arial"/>
                <w:color w:val="000000"/>
                <w:szCs w:val="22"/>
              </w:rPr>
              <w:t>, a</w:t>
            </w:r>
            <w:r w:rsidRPr="008D5728">
              <w:rPr>
                <w:rFonts w:eastAsia="Arial"/>
                <w:color w:val="000000"/>
                <w:szCs w:val="22"/>
              </w:rPr>
              <w:t xml:space="preserve">n </w:t>
            </w:r>
            <w:r w:rsidR="00EF5AE3">
              <w:rPr>
                <w:rFonts w:eastAsia="Arial"/>
                <w:color w:val="000000"/>
                <w:szCs w:val="22"/>
              </w:rPr>
              <w:t>a</w:t>
            </w:r>
            <w:r w:rsidR="00EF5AE3" w:rsidRPr="008D5728">
              <w:rPr>
                <w:rFonts w:eastAsia="Arial"/>
                <w:color w:val="000000"/>
                <w:szCs w:val="22"/>
              </w:rPr>
              <w:t xml:space="preserve">ssessment </w:t>
            </w:r>
            <w:r w:rsidR="00EF5AE3">
              <w:rPr>
                <w:rFonts w:eastAsia="Arial"/>
                <w:color w:val="000000"/>
                <w:szCs w:val="22"/>
              </w:rPr>
              <w:t>d</w:t>
            </w:r>
            <w:r w:rsidR="00EF5AE3" w:rsidRPr="008D5728">
              <w:rPr>
                <w:rFonts w:eastAsia="Arial"/>
                <w:color w:val="000000"/>
                <w:szCs w:val="22"/>
              </w:rPr>
              <w:t xml:space="preserve">elegate </w:t>
            </w:r>
            <w:r w:rsidRPr="008D5728">
              <w:rPr>
                <w:rFonts w:eastAsia="Arial"/>
                <w:color w:val="000000"/>
                <w:szCs w:val="22"/>
              </w:rPr>
              <w:t xml:space="preserve">must decide: </w:t>
            </w:r>
          </w:p>
          <w:p w14:paraId="03B68D03" w14:textId="77777777" w:rsidR="005D728C" w:rsidRPr="008D5728" w:rsidRDefault="005D728C" w:rsidP="00DF3F6B">
            <w:pPr>
              <w:numPr>
                <w:ilvl w:val="0"/>
                <w:numId w:val="259"/>
              </w:numPr>
              <w:spacing w:before="240" w:after="240"/>
              <w:contextualSpacing/>
              <w:rPr>
                <w:rFonts w:eastAsia="Arial"/>
                <w:color w:val="000000"/>
                <w:szCs w:val="22"/>
              </w:rPr>
            </w:pPr>
            <w:r w:rsidRPr="008D5728">
              <w:rPr>
                <w:rFonts w:eastAsia="Arial"/>
                <w:color w:val="000000"/>
                <w:szCs w:val="22"/>
              </w:rPr>
              <w:t xml:space="preserve">Whether to approve one or more service types in that group </w:t>
            </w:r>
          </w:p>
          <w:p w14:paraId="0D4C55C1" w14:textId="77777777" w:rsidR="005D728C" w:rsidRPr="008D5728" w:rsidRDefault="005D728C" w:rsidP="00DF3F6B">
            <w:pPr>
              <w:numPr>
                <w:ilvl w:val="0"/>
                <w:numId w:val="259"/>
              </w:numPr>
              <w:spacing w:before="240" w:after="240"/>
              <w:contextualSpacing/>
              <w:rPr>
                <w:rFonts w:eastAsia="Arial"/>
                <w:color w:val="000000"/>
                <w:szCs w:val="22"/>
              </w:rPr>
            </w:pPr>
            <w:r w:rsidRPr="008D5728">
              <w:rPr>
                <w:rFonts w:eastAsia="Arial"/>
                <w:color w:val="000000"/>
                <w:szCs w:val="22"/>
              </w:rPr>
              <w:t xml:space="preserve">If the service type is allied health therapy or therapeutic services for independent living whether to approve one or more funded services in that type </w:t>
            </w:r>
          </w:p>
        </w:tc>
      </w:tr>
      <w:tr w:rsidR="005D728C" w:rsidRPr="008D5728" w14:paraId="0C9A5ED8" w14:textId="77777777">
        <w:trPr>
          <w:trHeight w:val="300"/>
        </w:trPr>
        <w:tc>
          <w:tcPr>
            <w:tcW w:w="1694" w:type="dxa"/>
            <w:vMerge/>
            <w:shd w:val="clear" w:color="auto" w:fill="002060"/>
            <w:vAlign w:val="center"/>
          </w:tcPr>
          <w:p w14:paraId="5D80730B"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3CA56DF" w14:textId="77777777" w:rsidR="005D728C" w:rsidRPr="008D5728" w:rsidRDefault="005D728C" w:rsidP="00622CFF">
            <w:pPr>
              <w:spacing w:before="240" w:after="240"/>
              <w:rPr>
                <w:rFonts w:eastAsia="Arial"/>
                <w:color w:val="000000"/>
                <w:szCs w:val="22"/>
              </w:rPr>
            </w:pPr>
            <w:r w:rsidRPr="008D5728">
              <w:rPr>
                <w:rFonts w:eastAsia="Arial"/>
                <w:color w:val="000000"/>
                <w:szCs w:val="22"/>
              </w:rPr>
              <w:t>65(4)</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247375BE" w14:textId="689E26E9" w:rsidR="005D728C" w:rsidRPr="008D5728" w:rsidRDefault="005D728C" w:rsidP="00622CFF">
            <w:pPr>
              <w:spacing w:before="240" w:after="240"/>
              <w:rPr>
                <w:rFonts w:eastAsia="Arial"/>
                <w:color w:val="000000"/>
                <w:szCs w:val="22"/>
              </w:rPr>
            </w:pPr>
            <w:r w:rsidRPr="008D5728">
              <w:rPr>
                <w:rFonts w:eastAsia="Arial"/>
                <w:color w:val="000000"/>
                <w:szCs w:val="22"/>
              </w:rPr>
              <w:t xml:space="preserve">In exceptional circumstances an </w:t>
            </w:r>
            <w:r w:rsidR="00EF5AE3">
              <w:rPr>
                <w:rFonts w:eastAsia="Arial"/>
                <w:color w:val="000000"/>
                <w:szCs w:val="22"/>
              </w:rPr>
              <w:t>a</w:t>
            </w:r>
            <w:r w:rsidR="00EF5AE3" w:rsidRPr="008D5728">
              <w:rPr>
                <w:rFonts w:eastAsia="Arial"/>
                <w:color w:val="000000"/>
                <w:szCs w:val="22"/>
              </w:rPr>
              <w:t xml:space="preserve">ssessment </w:t>
            </w:r>
            <w:r w:rsidR="00EF5AE3">
              <w:rPr>
                <w:rFonts w:eastAsia="Arial"/>
                <w:color w:val="000000"/>
                <w:szCs w:val="22"/>
              </w:rPr>
              <w:t>d</w:t>
            </w:r>
            <w:r w:rsidR="00EF5AE3" w:rsidRPr="008D5728">
              <w:rPr>
                <w:rFonts w:eastAsia="Arial"/>
                <w:color w:val="000000"/>
                <w:szCs w:val="22"/>
              </w:rPr>
              <w:t xml:space="preserve">elegate </w:t>
            </w:r>
            <w:r w:rsidRPr="008D5728">
              <w:rPr>
                <w:rFonts w:eastAsia="Arial"/>
                <w:color w:val="000000"/>
                <w:szCs w:val="22"/>
              </w:rPr>
              <w:t xml:space="preserve">can approve access for an individual who has not undergone an assessment if: </w:t>
            </w:r>
          </w:p>
          <w:p w14:paraId="7C78AD7F" w14:textId="1F3AB0C9" w:rsidR="005D728C" w:rsidRPr="008D5728" w:rsidRDefault="005D728C" w:rsidP="00DF3F6B">
            <w:pPr>
              <w:numPr>
                <w:ilvl w:val="0"/>
                <w:numId w:val="258"/>
              </w:numPr>
              <w:spacing w:before="240" w:after="240"/>
              <w:contextualSpacing/>
              <w:rPr>
                <w:rFonts w:eastAsia="Arial"/>
                <w:color w:val="000000"/>
                <w:szCs w:val="22"/>
              </w:rPr>
            </w:pPr>
            <w:r w:rsidRPr="008D5728">
              <w:rPr>
                <w:rFonts w:eastAsia="Arial"/>
                <w:color w:val="000000"/>
                <w:szCs w:val="22"/>
              </w:rPr>
              <w:t xml:space="preserve">The </w:t>
            </w:r>
            <w:r w:rsidR="00EF5AE3">
              <w:rPr>
                <w:rFonts w:eastAsia="Arial"/>
                <w:color w:val="000000"/>
                <w:szCs w:val="22"/>
              </w:rPr>
              <w:t>a</w:t>
            </w:r>
            <w:r w:rsidR="00EF5AE3" w:rsidRPr="008D5728">
              <w:rPr>
                <w:rFonts w:eastAsia="Arial"/>
                <w:color w:val="000000"/>
                <w:szCs w:val="22"/>
              </w:rPr>
              <w:t xml:space="preserve">ssessment </w:t>
            </w:r>
            <w:r w:rsidR="00EF5AE3">
              <w:rPr>
                <w:rFonts w:eastAsia="Arial"/>
                <w:color w:val="000000"/>
                <w:szCs w:val="22"/>
              </w:rPr>
              <w:t>d</w:t>
            </w:r>
            <w:r w:rsidR="00EF5AE3" w:rsidRPr="008D5728">
              <w:rPr>
                <w:rFonts w:eastAsia="Arial"/>
                <w:color w:val="000000"/>
                <w:szCs w:val="22"/>
              </w:rPr>
              <w:t xml:space="preserve">elegate </w:t>
            </w:r>
            <w:r w:rsidRPr="008D5728">
              <w:rPr>
                <w:rFonts w:eastAsia="Arial"/>
                <w:color w:val="000000"/>
                <w:szCs w:val="22"/>
              </w:rPr>
              <w:t xml:space="preserve">is satisfied exceptional circumstances apply </w:t>
            </w:r>
          </w:p>
          <w:p w14:paraId="3CA4D92C" w14:textId="77777777" w:rsidR="005D728C" w:rsidRPr="008D5728" w:rsidRDefault="005D728C" w:rsidP="00DF3F6B">
            <w:pPr>
              <w:numPr>
                <w:ilvl w:val="0"/>
                <w:numId w:val="258"/>
              </w:numPr>
              <w:spacing w:before="240" w:after="240"/>
              <w:contextualSpacing/>
              <w:rPr>
                <w:rFonts w:eastAsia="Arial"/>
                <w:color w:val="000000"/>
                <w:szCs w:val="22"/>
              </w:rPr>
            </w:pPr>
            <w:r w:rsidRPr="008D5728">
              <w:rPr>
                <w:rFonts w:eastAsia="Arial"/>
                <w:color w:val="000000"/>
                <w:szCs w:val="22"/>
              </w:rPr>
              <w:t xml:space="preserve">An individual or registered provider makes an application on behalf of the individual in an approved form </w:t>
            </w:r>
          </w:p>
          <w:p w14:paraId="1B2C4687" w14:textId="77777777" w:rsidR="005D728C" w:rsidRPr="008D5728" w:rsidRDefault="005D728C" w:rsidP="00DF3F6B">
            <w:pPr>
              <w:numPr>
                <w:ilvl w:val="0"/>
                <w:numId w:val="258"/>
              </w:numPr>
              <w:spacing w:before="240" w:after="240"/>
              <w:contextualSpacing/>
              <w:rPr>
                <w:rFonts w:eastAsia="Arial"/>
                <w:color w:val="000000"/>
                <w:szCs w:val="22"/>
              </w:rPr>
            </w:pPr>
            <w:r w:rsidRPr="008D5728">
              <w:rPr>
                <w:rFonts w:eastAsia="Arial"/>
                <w:color w:val="000000"/>
                <w:szCs w:val="22"/>
              </w:rPr>
              <w:t xml:space="preserve">Any circumstances prescribed by the rules do not apply. </w:t>
            </w:r>
          </w:p>
        </w:tc>
      </w:tr>
      <w:tr w:rsidR="005D728C" w:rsidRPr="008D5728" w14:paraId="4FFD623C" w14:textId="77777777">
        <w:trPr>
          <w:trHeight w:val="300"/>
        </w:trPr>
        <w:tc>
          <w:tcPr>
            <w:tcW w:w="1694" w:type="dxa"/>
            <w:vMerge/>
            <w:shd w:val="clear" w:color="auto" w:fill="002060"/>
            <w:vAlign w:val="center"/>
          </w:tcPr>
          <w:p w14:paraId="193547FB"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C1734E9" w14:textId="77777777" w:rsidR="005D728C" w:rsidRPr="008D5728" w:rsidRDefault="005D728C" w:rsidP="00622CFF">
            <w:pPr>
              <w:spacing w:before="240" w:after="240"/>
              <w:rPr>
                <w:rFonts w:eastAsia="Arial"/>
                <w:color w:val="000000"/>
                <w:szCs w:val="22"/>
              </w:rPr>
            </w:pPr>
            <w:r w:rsidRPr="008D5728">
              <w:rPr>
                <w:rFonts w:eastAsia="Arial"/>
                <w:color w:val="000000"/>
                <w:szCs w:val="22"/>
              </w:rPr>
              <w:t>70</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E2D6EB9" w14:textId="5B2E3947" w:rsidR="005D728C" w:rsidRPr="008D5728" w:rsidRDefault="005D728C" w:rsidP="00622CFF">
            <w:pPr>
              <w:spacing w:before="240" w:after="240"/>
              <w:rPr>
                <w:rFonts w:eastAsia="Arial"/>
                <w:color w:val="000000"/>
                <w:szCs w:val="22"/>
              </w:rPr>
            </w:pPr>
            <w:r w:rsidRPr="008D5728">
              <w:rPr>
                <w:rFonts w:eastAsia="Arial"/>
                <w:color w:val="000000"/>
                <w:szCs w:val="22"/>
              </w:rPr>
              <w:t>The System Governor must give written notice of a decision under subsection 65(1) or (2) to the individual within 14 days after the decision is made</w:t>
            </w:r>
          </w:p>
        </w:tc>
      </w:tr>
      <w:tr w:rsidR="005D728C" w:rsidRPr="008D5728" w14:paraId="755319B1" w14:textId="77777777">
        <w:trPr>
          <w:trHeight w:val="300"/>
        </w:trPr>
        <w:tc>
          <w:tcPr>
            <w:tcW w:w="1694" w:type="dxa"/>
            <w:vMerge/>
            <w:shd w:val="clear" w:color="auto" w:fill="002060"/>
            <w:vAlign w:val="center"/>
          </w:tcPr>
          <w:p w14:paraId="46AE6606"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2B8CBFEF" w14:textId="77777777" w:rsidR="005D728C" w:rsidRPr="008D5728" w:rsidRDefault="005D728C" w:rsidP="00622CFF">
            <w:pPr>
              <w:spacing w:before="240" w:after="240"/>
              <w:rPr>
                <w:rFonts w:eastAsia="Arial"/>
                <w:color w:val="000000"/>
                <w:szCs w:val="22"/>
              </w:rPr>
            </w:pPr>
            <w:r w:rsidRPr="008D5728">
              <w:rPr>
                <w:rFonts w:eastAsia="Arial"/>
                <w:color w:val="000000"/>
                <w:szCs w:val="22"/>
              </w:rPr>
              <w:t>71(2)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51ABFFCD" w14:textId="17385E80" w:rsidR="005D728C" w:rsidRPr="008D5728" w:rsidRDefault="005D728C" w:rsidP="00622CFF">
            <w:pPr>
              <w:spacing w:before="240" w:after="240"/>
              <w:rPr>
                <w:rFonts w:eastAsia="Arial"/>
                <w:color w:val="000000"/>
                <w:szCs w:val="22"/>
              </w:rPr>
            </w:pPr>
            <w:r w:rsidRPr="008D5728">
              <w:rPr>
                <w:rFonts w:eastAsia="Arial"/>
                <w:color w:val="000000"/>
                <w:szCs w:val="22"/>
              </w:rPr>
              <w:t xml:space="preserve">The access approval date (which is specified in the notice of decision) may be a date earlier than the access approval/notice is given. This can occur if you (as the </w:t>
            </w:r>
            <w:r w:rsidR="00EF5AE3">
              <w:rPr>
                <w:rFonts w:eastAsia="Arial"/>
                <w:color w:val="000000"/>
                <w:szCs w:val="22"/>
              </w:rPr>
              <w:t>a</w:t>
            </w:r>
            <w:r w:rsidR="00EF5AE3" w:rsidRPr="008D5728">
              <w:rPr>
                <w:rFonts w:eastAsia="Arial"/>
                <w:color w:val="000000"/>
                <w:szCs w:val="22"/>
              </w:rPr>
              <w:t xml:space="preserve">ssessment </w:t>
            </w:r>
            <w:r w:rsidR="00EF5AE3">
              <w:rPr>
                <w:rFonts w:eastAsia="Arial"/>
                <w:color w:val="000000"/>
                <w:szCs w:val="22"/>
              </w:rPr>
              <w:t>d</w:t>
            </w:r>
            <w:r w:rsidR="00EF5AE3" w:rsidRPr="008D5728">
              <w:rPr>
                <w:rFonts w:eastAsia="Arial"/>
                <w:color w:val="000000"/>
                <w:szCs w:val="22"/>
              </w:rPr>
              <w:t>elegate</w:t>
            </w:r>
            <w:r w:rsidRPr="008D5728">
              <w:rPr>
                <w:rFonts w:eastAsia="Arial"/>
                <w:color w:val="000000"/>
                <w:szCs w:val="22"/>
              </w:rPr>
              <w:t xml:space="preserve">), are satisfied: </w:t>
            </w:r>
          </w:p>
          <w:p w14:paraId="4E813C5B"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An individual needed urgent access to funded services and there was a significant risk of harm if services were not provided before an approval was given </w:t>
            </w:r>
          </w:p>
          <w:p w14:paraId="4EF54394" w14:textId="11A3EEEE"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The individual is </w:t>
            </w:r>
            <w:r w:rsidR="002942F9">
              <w:rPr>
                <w:rFonts w:eastAsia="Arial"/>
                <w:color w:val="000000"/>
                <w:szCs w:val="22"/>
              </w:rPr>
              <w:t xml:space="preserve">an </w:t>
            </w:r>
            <w:r w:rsidRPr="008D5728">
              <w:rPr>
                <w:rFonts w:eastAsia="Arial"/>
                <w:color w:val="000000"/>
                <w:szCs w:val="22"/>
              </w:rPr>
              <w:t xml:space="preserve">Aboriginal or Tores Strait Islander </w:t>
            </w:r>
            <w:r w:rsidR="002942F9">
              <w:rPr>
                <w:rFonts w:eastAsia="Arial"/>
                <w:color w:val="000000"/>
                <w:szCs w:val="22"/>
              </w:rPr>
              <w:t xml:space="preserve">person </w:t>
            </w:r>
            <w:r w:rsidRPr="008D5728">
              <w:rPr>
                <w:rFonts w:eastAsia="Arial"/>
                <w:color w:val="000000"/>
                <w:szCs w:val="22"/>
              </w:rPr>
              <w:t xml:space="preserve">and at the time they were seeking services there was a lack of available assessors to undertake a culturally safe assessment </w:t>
            </w:r>
          </w:p>
          <w:p w14:paraId="322E5A69"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An individual commenced receiving services through a specialist program before an approval was given and at the time an individual was seeking services there was a delay in the availability of a needs assessor </w:t>
            </w:r>
          </w:p>
          <w:p w14:paraId="374F3939" w14:textId="77777777" w:rsidR="005D728C" w:rsidRPr="008D5728" w:rsidRDefault="005D728C" w:rsidP="00DF3F6B">
            <w:pPr>
              <w:numPr>
                <w:ilvl w:val="0"/>
                <w:numId w:val="257"/>
              </w:numPr>
              <w:spacing w:before="240" w:after="240"/>
              <w:contextualSpacing/>
              <w:rPr>
                <w:rFonts w:eastAsia="Arial"/>
                <w:color w:val="000000"/>
                <w:szCs w:val="22"/>
              </w:rPr>
            </w:pPr>
            <w:r w:rsidRPr="008D5728">
              <w:rPr>
                <w:rFonts w:eastAsia="Arial"/>
                <w:color w:val="000000"/>
                <w:szCs w:val="22"/>
              </w:rPr>
              <w:t xml:space="preserve">And all other criteria in s71(2) are met. </w:t>
            </w:r>
          </w:p>
        </w:tc>
      </w:tr>
      <w:tr w:rsidR="005D728C" w:rsidRPr="008D5728" w14:paraId="45132375" w14:textId="77777777">
        <w:trPr>
          <w:trHeight w:val="300"/>
        </w:trPr>
        <w:tc>
          <w:tcPr>
            <w:tcW w:w="1694" w:type="dxa"/>
            <w:vMerge/>
            <w:shd w:val="clear" w:color="auto" w:fill="002060"/>
            <w:vAlign w:val="center"/>
          </w:tcPr>
          <w:p w14:paraId="100DA147" w14:textId="77777777" w:rsidR="005D728C" w:rsidRPr="00647EF2" w:rsidRDefault="005D728C"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5F0CB93" w14:textId="77777777" w:rsidR="005D728C" w:rsidRPr="008D5728" w:rsidRDefault="005D728C" w:rsidP="00622CFF">
            <w:pPr>
              <w:spacing w:before="240" w:after="240"/>
              <w:rPr>
                <w:rFonts w:eastAsia="Arial"/>
                <w:color w:val="000000"/>
                <w:szCs w:val="22"/>
              </w:rPr>
            </w:pPr>
            <w:r w:rsidRPr="008D5728">
              <w:rPr>
                <w:rFonts w:eastAsia="Arial"/>
                <w:color w:val="000000"/>
                <w:szCs w:val="22"/>
              </w:rPr>
              <w:t>71(6)</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31BEBBBE" w14:textId="24BDF817" w:rsidR="005D728C" w:rsidRPr="008D5728" w:rsidRDefault="005D728C" w:rsidP="00622CFF">
            <w:pPr>
              <w:spacing w:before="240" w:after="240"/>
              <w:rPr>
                <w:rFonts w:eastAsia="Arial"/>
                <w:color w:val="000000"/>
                <w:szCs w:val="22"/>
              </w:rPr>
            </w:pPr>
            <w:r w:rsidRPr="008D5728">
              <w:rPr>
                <w:rFonts w:eastAsia="Arial"/>
                <w:color w:val="000000"/>
                <w:szCs w:val="22"/>
              </w:rPr>
              <w:t xml:space="preserve">If an application has been submitted to extend the available period to apply for an access approval under the alternative entry provisions, the </w:t>
            </w:r>
            <w:r w:rsidR="00EF5AE3">
              <w:rPr>
                <w:rFonts w:eastAsia="Arial"/>
                <w:color w:val="000000"/>
                <w:szCs w:val="22"/>
              </w:rPr>
              <w:t>a</w:t>
            </w:r>
            <w:r w:rsidR="00EF5AE3" w:rsidRPr="008D5728">
              <w:rPr>
                <w:rFonts w:eastAsia="Arial"/>
                <w:color w:val="000000"/>
                <w:szCs w:val="22"/>
              </w:rPr>
              <w:t>ssessment</w:t>
            </w:r>
            <w:r w:rsidRPr="008D5728" w:rsidDel="00EF5AE3">
              <w:rPr>
                <w:rFonts w:eastAsia="Arial"/>
                <w:color w:val="000000"/>
                <w:szCs w:val="22"/>
              </w:rPr>
              <w:t xml:space="preserve"> </w:t>
            </w:r>
            <w:r w:rsidR="00EF5AE3">
              <w:rPr>
                <w:rFonts w:eastAsia="Arial"/>
                <w:color w:val="000000"/>
                <w:szCs w:val="22"/>
              </w:rPr>
              <w:t>d</w:t>
            </w:r>
            <w:r w:rsidR="00EF5AE3" w:rsidRPr="008D5728">
              <w:rPr>
                <w:rFonts w:eastAsia="Arial"/>
                <w:color w:val="000000"/>
                <w:szCs w:val="22"/>
              </w:rPr>
              <w:t>elegates</w:t>
            </w:r>
            <w:r w:rsidRPr="008D5728">
              <w:rPr>
                <w:rFonts w:eastAsia="Arial"/>
                <w:color w:val="000000"/>
                <w:szCs w:val="22"/>
              </w:rPr>
              <w:t xml:space="preserve"> must decide to: </w:t>
            </w:r>
          </w:p>
          <w:p w14:paraId="7D352CE1" w14:textId="77777777" w:rsidR="005D728C" w:rsidRPr="008D5728" w:rsidRDefault="005D728C" w:rsidP="00DF3F6B">
            <w:pPr>
              <w:numPr>
                <w:ilvl w:val="0"/>
                <w:numId w:val="260"/>
              </w:numPr>
              <w:spacing w:before="240" w:after="240"/>
              <w:contextualSpacing/>
              <w:rPr>
                <w:rFonts w:eastAsia="Arial"/>
                <w:color w:val="000000"/>
                <w:szCs w:val="22"/>
              </w:rPr>
            </w:pPr>
            <w:r w:rsidRPr="008D5728">
              <w:rPr>
                <w:rFonts w:eastAsia="Arial"/>
                <w:color w:val="000000"/>
                <w:szCs w:val="22"/>
              </w:rPr>
              <w:t>Determine a longer period for the individual, or</w:t>
            </w:r>
          </w:p>
          <w:p w14:paraId="4E249B28" w14:textId="0B7C3AE3" w:rsidR="005D728C" w:rsidRPr="008D5728" w:rsidRDefault="005D728C" w:rsidP="00DF3F6B">
            <w:pPr>
              <w:numPr>
                <w:ilvl w:val="0"/>
                <w:numId w:val="260"/>
              </w:numPr>
              <w:spacing w:before="240" w:after="240"/>
              <w:contextualSpacing/>
              <w:rPr>
                <w:rFonts w:eastAsia="Arial"/>
                <w:color w:val="000000"/>
                <w:szCs w:val="22"/>
              </w:rPr>
            </w:pPr>
            <w:r w:rsidRPr="008D5728">
              <w:rPr>
                <w:rFonts w:eastAsia="Arial"/>
                <w:color w:val="000000"/>
                <w:szCs w:val="22"/>
              </w:rPr>
              <w:t xml:space="preserve">Reject the application </w:t>
            </w:r>
          </w:p>
          <w:p w14:paraId="4B0D11A1" w14:textId="77777777" w:rsidR="005960D3" w:rsidRPr="005960D3" w:rsidRDefault="005960D3" w:rsidP="005960D3">
            <w:pPr>
              <w:spacing w:before="240" w:after="240"/>
              <w:ind w:left="720"/>
              <w:contextualSpacing/>
              <w:rPr>
                <w:rFonts w:eastAsia="Arial"/>
                <w:color w:val="000000"/>
                <w:szCs w:val="22"/>
              </w:rPr>
            </w:pPr>
          </w:p>
          <w:p w14:paraId="6D6133F5"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Written notice of this decision must be provided. </w:t>
            </w:r>
          </w:p>
        </w:tc>
      </w:tr>
      <w:tr w:rsidR="005D728C" w:rsidRPr="008D5728" w14:paraId="647DB4B7" w14:textId="77777777">
        <w:trPr>
          <w:trHeight w:val="300"/>
        </w:trPr>
        <w:tc>
          <w:tcPr>
            <w:tcW w:w="1694" w:type="dxa"/>
            <w:vMerge w:val="restart"/>
            <w:tcBorders>
              <w:top w:val="nil"/>
              <w:left w:val="single" w:sz="8" w:space="0" w:color="auto"/>
              <w:right w:val="single" w:sz="8" w:space="0" w:color="auto"/>
            </w:tcBorders>
            <w:shd w:val="clear" w:color="auto" w:fill="002060"/>
            <w:tcMar>
              <w:left w:w="108" w:type="dxa"/>
              <w:right w:w="108" w:type="dxa"/>
            </w:tcMar>
          </w:tcPr>
          <w:p w14:paraId="0A441740" w14:textId="77777777" w:rsidR="005D728C" w:rsidRPr="00647EF2" w:rsidRDefault="005D728C" w:rsidP="00622CFF">
            <w:pPr>
              <w:spacing w:before="240" w:after="240"/>
              <w:rPr>
                <w:rFonts w:eastAsia="Arial"/>
                <w:color w:val="FFFFFF" w:themeColor="background1"/>
                <w:szCs w:val="22"/>
              </w:rPr>
            </w:pPr>
            <w:r w:rsidRPr="00647EF2">
              <w:rPr>
                <w:rFonts w:eastAsia="Arial"/>
                <w:color w:val="FFFFFF" w:themeColor="background1"/>
                <w:szCs w:val="22"/>
              </w:rPr>
              <w:t xml:space="preserve">Classification Decision </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13C9A42" w14:textId="77777777" w:rsidR="005D728C" w:rsidRPr="008D5728" w:rsidRDefault="005D728C" w:rsidP="00622CFF">
            <w:pPr>
              <w:spacing w:before="240" w:after="240"/>
              <w:rPr>
                <w:rFonts w:eastAsia="Arial"/>
                <w:color w:val="000000"/>
                <w:szCs w:val="22"/>
              </w:rPr>
            </w:pPr>
            <w:r w:rsidRPr="008D5728">
              <w:rPr>
                <w:rFonts w:eastAsia="Arial"/>
                <w:color w:val="000000"/>
                <w:szCs w:val="22"/>
              </w:rPr>
              <w:t>78(1)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7DC98827" w14:textId="40175829" w:rsidR="00A25B31" w:rsidRDefault="005D728C" w:rsidP="00622CFF">
            <w:pPr>
              <w:spacing w:before="240" w:after="240"/>
              <w:rPr>
                <w:rFonts w:eastAsia="Arial"/>
                <w:color w:val="000000"/>
                <w:szCs w:val="22"/>
              </w:rPr>
            </w:pPr>
            <w:r w:rsidRPr="008D5728">
              <w:rPr>
                <w:rFonts w:eastAsia="Arial"/>
                <w:color w:val="000000"/>
                <w:szCs w:val="22"/>
              </w:rPr>
              <w:t xml:space="preserve">An </w:t>
            </w:r>
            <w:r w:rsidR="00EF5AE3">
              <w:rPr>
                <w:rFonts w:eastAsia="Arial"/>
                <w:color w:val="000000"/>
                <w:szCs w:val="22"/>
              </w:rPr>
              <w:t>a</w:t>
            </w:r>
            <w:r w:rsidR="00EF5AE3" w:rsidRPr="008D5728">
              <w:rPr>
                <w:rFonts w:eastAsia="Arial"/>
                <w:color w:val="000000"/>
                <w:szCs w:val="22"/>
              </w:rPr>
              <w:t>ssessment</w:t>
            </w:r>
            <w:r w:rsidRPr="008D5728" w:rsidDel="00EF5AE3">
              <w:rPr>
                <w:rFonts w:eastAsia="Arial"/>
                <w:color w:val="000000"/>
                <w:szCs w:val="22"/>
              </w:rPr>
              <w:t xml:space="preserve"> </w:t>
            </w:r>
            <w:r w:rsidR="00EF5AE3">
              <w:rPr>
                <w:rFonts w:eastAsia="Arial"/>
                <w:color w:val="000000"/>
                <w:szCs w:val="22"/>
              </w:rPr>
              <w:t>d</w:t>
            </w:r>
            <w:r w:rsidR="00EF5AE3" w:rsidRPr="008D5728">
              <w:rPr>
                <w:rFonts w:eastAsia="Arial"/>
                <w:color w:val="000000"/>
                <w:szCs w:val="22"/>
              </w:rPr>
              <w:t>elegate</w:t>
            </w:r>
            <w:r w:rsidRPr="008D5728">
              <w:rPr>
                <w:rFonts w:eastAsia="Arial"/>
                <w:color w:val="000000"/>
                <w:szCs w:val="22"/>
              </w:rPr>
              <w:t xml:space="preserve"> must approve a classification level for the classification type and service group they have approved for the individual</w:t>
            </w:r>
            <w:r w:rsidR="00A25B31">
              <w:rPr>
                <w:rFonts w:eastAsia="Arial"/>
                <w:color w:val="000000"/>
                <w:szCs w:val="22"/>
              </w:rPr>
              <w:t>.</w:t>
            </w:r>
          </w:p>
          <w:p w14:paraId="3CF6D608" w14:textId="4C0484A3" w:rsidR="005D728C" w:rsidRPr="008D5728" w:rsidRDefault="003756C6" w:rsidP="00622CFF">
            <w:pPr>
              <w:spacing w:before="240" w:after="240"/>
              <w:rPr>
                <w:rFonts w:eastAsia="Arial"/>
                <w:color w:val="000000"/>
                <w:szCs w:val="22"/>
              </w:rPr>
            </w:pPr>
            <w:r>
              <w:rPr>
                <w:rFonts w:eastAsia="Arial"/>
                <w:color w:val="000000"/>
                <w:szCs w:val="22"/>
              </w:rPr>
              <w:t>The</w:t>
            </w:r>
            <w:r w:rsidR="00DD3CBF">
              <w:rPr>
                <w:rFonts w:eastAsia="Arial"/>
                <w:color w:val="000000"/>
                <w:szCs w:val="22"/>
              </w:rPr>
              <w:t xml:space="preserve"> classification level decision for ongoing home support (i.e., CHSP or Support at Home 1-8) </w:t>
            </w:r>
            <w:r>
              <w:rPr>
                <w:rFonts w:eastAsia="Arial"/>
                <w:color w:val="000000"/>
                <w:szCs w:val="22"/>
              </w:rPr>
              <w:t xml:space="preserve">is an automated decision and is determined by the IAT Classification Algorithm. </w:t>
            </w:r>
          </w:p>
        </w:tc>
      </w:tr>
      <w:tr w:rsidR="005D728C" w:rsidRPr="008D5728" w14:paraId="3C79DFBA" w14:textId="77777777">
        <w:trPr>
          <w:trHeight w:val="300"/>
        </w:trPr>
        <w:tc>
          <w:tcPr>
            <w:tcW w:w="1694" w:type="dxa"/>
            <w:vMerge/>
            <w:shd w:val="clear" w:color="auto" w:fill="002060"/>
            <w:tcMar>
              <w:left w:w="108" w:type="dxa"/>
              <w:right w:w="108" w:type="dxa"/>
            </w:tcMar>
          </w:tcPr>
          <w:p w14:paraId="458AB915"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5EB23FB"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80 </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4A42574C" w14:textId="2AB2A7ED" w:rsidR="005D728C" w:rsidRPr="008D5728" w:rsidRDefault="005D728C" w:rsidP="00622CFF">
            <w:pPr>
              <w:spacing w:before="240" w:after="240"/>
              <w:rPr>
                <w:rFonts w:eastAsia="Arial"/>
                <w:color w:val="000000"/>
                <w:szCs w:val="22"/>
              </w:rPr>
            </w:pPr>
            <w:r w:rsidRPr="008D5728">
              <w:rPr>
                <w:rFonts w:eastAsia="Arial"/>
                <w:color w:val="000000"/>
                <w:szCs w:val="22"/>
              </w:rPr>
              <w:t>Section 80 requires a period of effect to be set for a classification level that has been established under section 78. The Rules allow for a registered provider to apply for an extension to the maximum period of effect. The</w:t>
            </w:r>
            <w:r w:rsidRPr="008D5728" w:rsidDel="005002F2">
              <w:rPr>
                <w:rFonts w:eastAsia="Arial"/>
                <w:color w:val="000000"/>
                <w:szCs w:val="22"/>
              </w:rPr>
              <w:t xml:space="preserve"> </w:t>
            </w:r>
            <w:r w:rsidR="005002F2">
              <w:rPr>
                <w:rFonts w:eastAsia="Arial"/>
                <w:color w:val="000000"/>
                <w:szCs w:val="22"/>
              </w:rPr>
              <w:t>a</w:t>
            </w:r>
            <w:r w:rsidR="005002F2" w:rsidRPr="008D5728">
              <w:rPr>
                <w:rFonts w:eastAsia="Arial"/>
                <w:color w:val="000000"/>
                <w:szCs w:val="22"/>
              </w:rPr>
              <w:t>ssessment</w:t>
            </w:r>
            <w:r w:rsidRPr="008D5728">
              <w:rPr>
                <w:rFonts w:eastAsia="Arial"/>
                <w:color w:val="000000"/>
                <w:szCs w:val="22"/>
              </w:rPr>
              <w:t xml:space="preserve"> </w:t>
            </w:r>
            <w:r w:rsidR="005002F2">
              <w:rPr>
                <w:rFonts w:eastAsia="Arial"/>
                <w:color w:val="000000"/>
                <w:szCs w:val="22"/>
              </w:rPr>
              <w:t>d</w:t>
            </w:r>
            <w:r w:rsidR="005002F2" w:rsidRPr="008D5728">
              <w:rPr>
                <w:rFonts w:eastAsia="Arial"/>
                <w:color w:val="000000"/>
                <w:szCs w:val="22"/>
              </w:rPr>
              <w:t xml:space="preserve">elegate </w:t>
            </w:r>
            <w:r w:rsidRPr="008D5728">
              <w:rPr>
                <w:rFonts w:eastAsia="Arial"/>
                <w:color w:val="000000"/>
                <w:szCs w:val="22"/>
              </w:rPr>
              <w:t xml:space="preserve">must consider the application and decide if a longer period should apply.  </w:t>
            </w:r>
          </w:p>
          <w:p w14:paraId="6E1BD513" w14:textId="77777777" w:rsidR="005D728C" w:rsidRPr="008D5728" w:rsidRDefault="005D728C" w:rsidP="00622CFF">
            <w:pPr>
              <w:spacing w:before="240" w:after="240"/>
              <w:rPr>
                <w:rFonts w:eastAsia="Arial"/>
                <w:color w:val="000000"/>
                <w:szCs w:val="22"/>
              </w:rPr>
            </w:pPr>
            <w:r w:rsidRPr="008D5728">
              <w:rPr>
                <w:rFonts w:eastAsia="Arial"/>
                <w:color w:val="000000"/>
                <w:szCs w:val="22"/>
              </w:rPr>
              <w:t xml:space="preserve">Extensions can be sought in some circumstances for the following service groups, classification types and classification levels: </w:t>
            </w:r>
          </w:p>
          <w:p w14:paraId="3CCA2B45" w14:textId="77777777" w:rsidR="005D728C" w:rsidRPr="008D5728" w:rsidRDefault="005D728C" w:rsidP="00DF3F6B">
            <w:pPr>
              <w:numPr>
                <w:ilvl w:val="0"/>
                <w:numId w:val="261"/>
              </w:numPr>
              <w:spacing w:before="240" w:after="240"/>
              <w:contextualSpacing/>
              <w:rPr>
                <w:rFonts w:eastAsia="Arial"/>
                <w:color w:val="000000"/>
                <w:szCs w:val="22"/>
              </w:rPr>
            </w:pPr>
            <w:r w:rsidRPr="008D5728">
              <w:rPr>
                <w:rFonts w:eastAsia="Arial"/>
                <w:color w:val="000000"/>
                <w:szCs w:val="22"/>
              </w:rPr>
              <w:t>Home support, assistive technology or residential care – hospital transition</w:t>
            </w:r>
          </w:p>
          <w:p w14:paraId="32EAC92A" w14:textId="77777777" w:rsidR="005D728C" w:rsidRPr="008D5728" w:rsidRDefault="005D728C" w:rsidP="00DF3F6B">
            <w:pPr>
              <w:numPr>
                <w:ilvl w:val="0"/>
                <w:numId w:val="261"/>
              </w:numPr>
              <w:spacing w:before="240" w:after="240"/>
              <w:contextualSpacing/>
              <w:rPr>
                <w:rFonts w:eastAsia="Arial"/>
                <w:color w:val="000000"/>
                <w:szCs w:val="22"/>
              </w:rPr>
            </w:pPr>
            <w:r w:rsidRPr="008D5728">
              <w:rPr>
                <w:rFonts w:eastAsia="Arial"/>
                <w:color w:val="000000"/>
                <w:szCs w:val="22"/>
              </w:rPr>
              <w:t>Home modifications</w:t>
            </w:r>
          </w:p>
          <w:p w14:paraId="74341497" w14:textId="77777777" w:rsidR="005D728C" w:rsidRPr="008D5728" w:rsidRDefault="005D728C" w:rsidP="00622CFF">
            <w:pPr>
              <w:spacing w:before="240" w:after="240"/>
              <w:ind w:left="1080"/>
              <w:contextualSpacing/>
              <w:rPr>
                <w:rFonts w:eastAsia="Arial"/>
                <w:color w:val="000000"/>
                <w:szCs w:val="22"/>
              </w:rPr>
            </w:pPr>
          </w:p>
          <w:p w14:paraId="0D06D7E0" w14:textId="7B4BC2FC" w:rsidR="005D728C" w:rsidRPr="008D5728" w:rsidRDefault="005D728C" w:rsidP="00622CFF">
            <w:pPr>
              <w:spacing w:before="240" w:after="240"/>
              <w:rPr>
                <w:rFonts w:eastAsia="Arial"/>
                <w:color w:val="000000"/>
                <w:szCs w:val="22"/>
              </w:rPr>
            </w:pPr>
            <w:r w:rsidRPr="008D5728">
              <w:rPr>
                <w:rFonts w:eastAsia="Arial"/>
                <w:color w:val="000000"/>
                <w:szCs w:val="22"/>
              </w:rPr>
              <w:t xml:space="preserve">The Rules also allow a registered provider to apply for an increase in the number of days for the classification level for the service group residential care, classification type short-term. An </w:t>
            </w:r>
            <w:r w:rsidR="005002F2">
              <w:rPr>
                <w:rFonts w:eastAsia="Arial"/>
                <w:color w:val="000000"/>
                <w:szCs w:val="22"/>
              </w:rPr>
              <w:t>a</w:t>
            </w:r>
            <w:r w:rsidR="005002F2" w:rsidRPr="008D5728">
              <w:rPr>
                <w:rFonts w:eastAsia="Arial"/>
                <w:color w:val="000000"/>
                <w:szCs w:val="22"/>
              </w:rPr>
              <w:t>ssessment</w:t>
            </w:r>
            <w:r w:rsidRPr="008D5728" w:rsidDel="005002F2">
              <w:rPr>
                <w:rFonts w:eastAsia="Arial"/>
                <w:color w:val="000000"/>
                <w:szCs w:val="22"/>
              </w:rPr>
              <w:t xml:space="preserve"> </w:t>
            </w:r>
            <w:r w:rsidR="005002F2">
              <w:rPr>
                <w:rFonts w:eastAsia="Arial"/>
                <w:color w:val="000000"/>
                <w:szCs w:val="22"/>
              </w:rPr>
              <w:t>d</w:t>
            </w:r>
            <w:r w:rsidR="005002F2" w:rsidRPr="008D5728">
              <w:rPr>
                <w:rFonts w:eastAsia="Arial"/>
                <w:color w:val="000000"/>
                <w:szCs w:val="22"/>
              </w:rPr>
              <w:t>elegate</w:t>
            </w:r>
            <w:r w:rsidRPr="008D5728">
              <w:rPr>
                <w:rFonts w:eastAsia="Arial"/>
                <w:color w:val="000000"/>
                <w:szCs w:val="22"/>
              </w:rPr>
              <w:t xml:space="preserve"> must consider the application and decide whether to approve an additional 21 days for the classification level because you are satisfied it is necessary because of any of the following: </w:t>
            </w:r>
          </w:p>
          <w:p w14:paraId="5A9458F5"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Carer stress </w:t>
            </w:r>
          </w:p>
          <w:p w14:paraId="08258BC5"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Severity of the older person’s condition </w:t>
            </w:r>
          </w:p>
          <w:p w14:paraId="236FB319"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Absence of the older person’s carer </w:t>
            </w:r>
          </w:p>
          <w:p w14:paraId="0F369835" w14:textId="77777777" w:rsidR="005D728C" w:rsidRPr="008D5728" w:rsidRDefault="005D728C" w:rsidP="00DF3F6B">
            <w:pPr>
              <w:numPr>
                <w:ilvl w:val="0"/>
                <w:numId w:val="262"/>
              </w:numPr>
              <w:spacing w:before="240" w:after="240"/>
              <w:contextualSpacing/>
              <w:rPr>
                <w:rFonts w:eastAsia="Arial"/>
                <w:color w:val="000000"/>
                <w:szCs w:val="22"/>
              </w:rPr>
            </w:pPr>
            <w:r w:rsidRPr="008D5728">
              <w:rPr>
                <w:rFonts w:eastAsia="Arial"/>
                <w:color w:val="000000"/>
                <w:szCs w:val="22"/>
              </w:rPr>
              <w:t xml:space="preserve">Any other relevant matter </w:t>
            </w:r>
          </w:p>
        </w:tc>
      </w:tr>
      <w:tr w:rsidR="005D728C" w:rsidRPr="008D5728" w14:paraId="0DA26721" w14:textId="77777777">
        <w:trPr>
          <w:trHeight w:val="300"/>
        </w:trPr>
        <w:tc>
          <w:tcPr>
            <w:tcW w:w="1694" w:type="dxa"/>
            <w:vMerge w:val="restart"/>
            <w:shd w:val="clear" w:color="auto" w:fill="002060"/>
            <w:tcMar>
              <w:left w:w="108" w:type="dxa"/>
              <w:right w:w="108" w:type="dxa"/>
            </w:tcMar>
          </w:tcPr>
          <w:p w14:paraId="2A88BE6F" w14:textId="77777777" w:rsidR="005D728C" w:rsidRPr="008D5728" w:rsidRDefault="005D728C" w:rsidP="00622CFF">
            <w:pPr>
              <w:spacing w:before="240" w:after="240"/>
              <w:rPr>
                <w:rFonts w:eastAsia="Arial"/>
                <w:color w:val="000000"/>
                <w:szCs w:val="22"/>
              </w:rPr>
            </w:pPr>
            <w:r w:rsidRPr="008D5728">
              <w:rPr>
                <w:rFonts w:eastAsia="Arial"/>
                <w:szCs w:val="22"/>
              </w:rPr>
              <w:t>Registration and cancellation of a supporter</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5AFE7653" w14:textId="77777777" w:rsidR="005D728C" w:rsidRPr="008D5728" w:rsidRDefault="005D728C" w:rsidP="00622CFF">
            <w:pPr>
              <w:spacing w:before="240" w:after="240"/>
              <w:rPr>
                <w:rFonts w:eastAsia="Arial"/>
                <w:color w:val="000000"/>
                <w:szCs w:val="22"/>
              </w:rPr>
            </w:pPr>
            <w:r w:rsidRPr="008D5728">
              <w:rPr>
                <w:rFonts w:eastAsia="Arial"/>
                <w:szCs w:val="22"/>
              </w:rPr>
              <w:t>37(1)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6F0E2B5C" w14:textId="5A0A378F" w:rsidR="005D728C" w:rsidRPr="008D5728" w:rsidRDefault="005D728C" w:rsidP="00622CFF">
            <w:pPr>
              <w:spacing w:before="240" w:after="240"/>
              <w:rPr>
                <w:rFonts w:eastAsia="Arial"/>
                <w:color w:val="000000"/>
                <w:szCs w:val="22"/>
              </w:rPr>
            </w:pPr>
            <w:r w:rsidRPr="008D5728">
              <w:rPr>
                <w:rFonts w:eastAsia="Arial"/>
                <w:szCs w:val="22"/>
              </w:rPr>
              <w:t xml:space="preserve">A decision to register a person as a supporter </w:t>
            </w:r>
            <w:r w:rsidR="00DA5B59">
              <w:rPr>
                <w:rFonts w:eastAsia="Arial"/>
                <w:szCs w:val="22"/>
              </w:rPr>
              <w:t>of</w:t>
            </w:r>
            <w:r w:rsidRPr="008D5728">
              <w:rPr>
                <w:rFonts w:eastAsia="Arial"/>
                <w:szCs w:val="22"/>
              </w:rPr>
              <w:t xml:space="preserve"> an older person seeking or receiving aged care services. For Assessment Delegates, this responsibility does not include the registration of a person as a supporter without the consent of the older person, nor where the prospective supporter has declared a conflict or there is anything else to suggest they may not be able to comply with the supporter duties</w:t>
            </w:r>
            <w:r w:rsidR="009E33D0">
              <w:rPr>
                <w:rFonts w:eastAsia="Arial"/>
                <w:szCs w:val="22"/>
              </w:rPr>
              <w:t xml:space="preserve"> (e.g., the prospective supporter </w:t>
            </w:r>
            <w:r w:rsidR="00277C79">
              <w:rPr>
                <w:rFonts w:eastAsia="Arial"/>
                <w:szCs w:val="22"/>
              </w:rPr>
              <w:t xml:space="preserve">is currently suspended or </w:t>
            </w:r>
            <w:r w:rsidR="009E33D0">
              <w:rPr>
                <w:rFonts w:eastAsia="Arial"/>
                <w:szCs w:val="22"/>
              </w:rPr>
              <w:t>had a previous supporter relationship cancelled)</w:t>
            </w:r>
            <w:r w:rsidR="009E33D0" w:rsidRPr="008D5728">
              <w:rPr>
                <w:rFonts w:eastAsia="Arial"/>
                <w:szCs w:val="22"/>
              </w:rPr>
              <w:t>.</w:t>
            </w:r>
            <w:r w:rsidRPr="008D5728">
              <w:rPr>
                <w:rFonts w:eastAsia="Arial"/>
                <w:szCs w:val="22"/>
              </w:rPr>
              <w:t xml:space="preserve"> In these circumstances, the</w:t>
            </w:r>
            <w:r w:rsidRPr="008D5728" w:rsidDel="007F5E62">
              <w:rPr>
                <w:rFonts w:eastAsia="Arial"/>
                <w:szCs w:val="22"/>
              </w:rPr>
              <w:t xml:space="preserve"> </w:t>
            </w:r>
            <w:r w:rsidRPr="008D5728">
              <w:rPr>
                <w:rFonts w:eastAsia="Arial"/>
                <w:szCs w:val="22"/>
              </w:rPr>
              <w:t xml:space="preserve">Assessment Delegate should progress the request to register the supporter relationship to the </w:t>
            </w:r>
            <w:r w:rsidR="00277C79">
              <w:rPr>
                <w:rFonts w:eastAsia="Arial"/>
                <w:szCs w:val="22"/>
              </w:rPr>
              <w:t xml:space="preserve">departmental </w:t>
            </w:r>
            <w:r w:rsidR="009E33D0">
              <w:rPr>
                <w:rFonts w:eastAsia="Arial"/>
                <w:szCs w:val="22"/>
              </w:rPr>
              <w:t>delegate</w:t>
            </w:r>
            <w:r w:rsidR="009E33D0" w:rsidRPr="008D5728">
              <w:rPr>
                <w:rFonts w:eastAsia="Arial"/>
                <w:szCs w:val="22"/>
              </w:rPr>
              <w:t xml:space="preserve"> </w:t>
            </w:r>
            <w:r w:rsidRPr="008D5728">
              <w:rPr>
                <w:rFonts w:eastAsia="Arial"/>
                <w:szCs w:val="22"/>
              </w:rPr>
              <w:t>team responsible for supporters.</w:t>
            </w:r>
          </w:p>
        </w:tc>
      </w:tr>
      <w:tr w:rsidR="005D728C" w:rsidRPr="008D5728" w14:paraId="7CBF9624" w14:textId="77777777">
        <w:trPr>
          <w:trHeight w:val="300"/>
        </w:trPr>
        <w:tc>
          <w:tcPr>
            <w:tcW w:w="1694" w:type="dxa"/>
            <w:vMerge/>
            <w:shd w:val="clear" w:color="auto" w:fill="002060"/>
            <w:tcMar>
              <w:left w:w="108" w:type="dxa"/>
              <w:right w:w="108" w:type="dxa"/>
            </w:tcMar>
          </w:tcPr>
          <w:p w14:paraId="2A5B1676"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03796C8F" w14:textId="77777777" w:rsidR="005D728C" w:rsidRPr="008D5728" w:rsidRDefault="005D728C" w:rsidP="00622CFF">
            <w:pPr>
              <w:spacing w:before="240" w:after="240"/>
              <w:rPr>
                <w:rFonts w:eastAsia="Arial"/>
                <w:color w:val="000000"/>
                <w:szCs w:val="22"/>
              </w:rPr>
            </w:pPr>
            <w:r w:rsidRPr="008D5728">
              <w:rPr>
                <w:rFonts w:eastAsia="Arial"/>
                <w:szCs w:val="22"/>
              </w:rPr>
              <w:t>37(7)</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64466C8F" w14:textId="77777777" w:rsidR="005D728C" w:rsidRPr="008D5728" w:rsidRDefault="005D728C" w:rsidP="00622CFF">
            <w:pPr>
              <w:spacing w:before="240" w:after="240"/>
              <w:rPr>
                <w:rFonts w:eastAsia="Arial"/>
                <w:color w:val="000000"/>
                <w:szCs w:val="22"/>
              </w:rPr>
            </w:pPr>
            <w:r w:rsidRPr="008D5728">
              <w:rPr>
                <w:rFonts w:eastAsia="Arial"/>
                <w:szCs w:val="22"/>
              </w:rPr>
              <w:t xml:space="preserve">The System Governor may make a registration under section 37(1), in the circumstances described, verbally or in writing. </w:t>
            </w:r>
          </w:p>
        </w:tc>
      </w:tr>
      <w:tr w:rsidR="005D728C" w:rsidRPr="008D5728" w14:paraId="1B29B40F" w14:textId="77777777">
        <w:trPr>
          <w:trHeight w:val="300"/>
        </w:trPr>
        <w:tc>
          <w:tcPr>
            <w:tcW w:w="1694" w:type="dxa"/>
            <w:vMerge/>
            <w:shd w:val="clear" w:color="auto" w:fill="002060"/>
            <w:tcMar>
              <w:left w:w="108" w:type="dxa"/>
              <w:right w:w="108" w:type="dxa"/>
            </w:tcMar>
          </w:tcPr>
          <w:p w14:paraId="5CEFEE5E"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7B987FC2" w14:textId="77777777" w:rsidR="005D728C" w:rsidRPr="008D5728" w:rsidRDefault="005D728C" w:rsidP="00622CFF">
            <w:pPr>
              <w:spacing w:before="240" w:after="240"/>
              <w:rPr>
                <w:rFonts w:eastAsia="Arial"/>
                <w:color w:val="000000"/>
                <w:szCs w:val="22"/>
              </w:rPr>
            </w:pPr>
            <w:r w:rsidRPr="008D5728">
              <w:rPr>
                <w:rFonts w:eastAsia="Arial"/>
                <w:szCs w:val="22"/>
              </w:rPr>
              <w:t>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246A4019" w14:textId="688DCDF5" w:rsidR="005D728C" w:rsidRPr="008D5728" w:rsidRDefault="005D728C" w:rsidP="00622CFF">
            <w:pPr>
              <w:spacing w:before="240" w:after="240"/>
              <w:rPr>
                <w:rFonts w:eastAsia="Arial"/>
                <w:color w:val="000000"/>
                <w:szCs w:val="22"/>
              </w:rPr>
            </w:pPr>
            <w:r w:rsidRPr="008D5728">
              <w:rPr>
                <w:rFonts w:eastAsia="Arial"/>
                <w:szCs w:val="22"/>
              </w:rPr>
              <w:t xml:space="preserve">Cancellation of a supporter’s registration upon request of the registered supporter. </w:t>
            </w:r>
            <w:r w:rsidR="00A40B9B">
              <w:rPr>
                <w:rFonts w:eastAsia="Arial"/>
                <w:szCs w:val="22"/>
              </w:rPr>
              <w:t>This applies to supporter, supporter lite and supporter guardian relationships.</w:t>
            </w:r>
          </w:p>
        </w:tc>
      </w:tr>
      <w:tr w:rsidR="005D728C" w:rsidRPr="008D5728" w14:paraId="1A2771D4" w14:textId="77777777">
        <w:trPr>
          <w:trHeight w:val="300"/>
        </w:trPr>
        <w:tc>
          <w:tcPr>
            <w:tcW w:w="1694" w:type="dxa"/>
            <w:vMerge/>
            <w:shd w:val="clear" w:color="auto" w:fill="002060"/>
            <w:tcMar>
              <w:left w:w="108" w:type="dxa"/>
              <w:right w:w="108" w:type="dxa"/>
            </w:tcMar>
          </w:tcPr>
          <w:p w14:paraId="29ED6709"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39697F8" w14:textId="77777777" w:rsidR="005D728C" w:rsidRPr="008D5728" w:rsidRDefault="005D728C" w:rsidP="00622CFF">
            <w:pPr>
              <w:spacing w:before="240" w:after="240"/>
              <w:rPr>
                <w:rFonts w:eastAsia="Arial"/>
                <w:color w:val="000000"/>
                <w:szCs w:val="22"/>
              </w:rPr>
            </w:pPr>
            <w:r w:rsidRPr="008D5728">
              <w:rPr>
                <w:rFonts w:eastAsia="Arial"/>
                <w:szCs w:val="22"/>
              </w:rPr>
              <w:t>53(1)(a)</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350B474" w14:textId="328B06A5" w:rsidR="005D728C" w:rsidRPr="008D5728" w:rsidRDefault="005D728C" w:rsidP="00622CFF">
            <w:pPr>
              <w:spacing w:before="240" w:after="240"/>
              <w:rPr>
                <w:rFonts w:eastAsia="Arial"/>
                <w:color w:val="000000"/>
                <w:szCs w:val="22"/>
              </w:rPr>
            </w:pPr>
            <w:r w:rsidRPr="008D5728">
              <w:rPr>
                <w:rFonts w:eastAsia="Arial"/>
                <w:szCs w:val="22"/>
              </w:rPr>
              <w:t>Cancellation of a supporter’s registration upon request of the older person, where the registered supporter is not also an active, appointed decision maker for the older person (that is, a person captured by section 28(2))</w:t>
            </w:r>
            <w:r w:rsidR="00B357DC">
              <w:rPr>
                <w:rFonts w:eastAsia="Arial"/>
                <w:szCs w:val="22"/>
              </w:rPr>
              <w:t xml:space="preserve"> – meaning it is </w:t>
            </w:r>
            <w:r w:rsidR="00B357DC" w:rsidRPr="004468CA">
              <w:rPr>
                <w:rFonts w:eastAsia="Arial"/>
                <w:b/>
                <w:bCs/>
                <w:szCs w:val="22"/>
              </w:rPr>
              <w:t>not</w:t>
            </w:r>
            <w:r w:rsidR="00B357DC">
              <w:rPr>
                <w:rFonts w:eastAsia="Arial"/>
                <w:szCs w:val="22"/>
              </w:rPr>
              <w:t xml:space="preserve"> a supporter guardian relationship</w:t>
            </w:r>
            <w:r w:rsidR="00B357DC" w:rsidRPr="008D5728">
              <w:rPr>
                <w:rFonts w:eastAsia="Arial"/>
                <w:szCs w:val="22"/>
              </w:rPr>
              <w:t>).</w:t>
            </w:r>
            <w:r w:rsidRPr="008D5728">
              <w:rPr>
                <w:rFonts w:eastAsia="Arial"/>
                <w:szCs w:val="22"/>
              </w:rPr>
              <w:t xml:space="preserve"> </w:t>
            </w:r>
          </w:p>
        </w:tc>
      </w:tr>
      <w:tr w:rsidR="005D728C" w:rsidRPr="008D5728" w14:paraId="7DE88C2F" w14:textId="77777777">
        <w:trPr>
          <w:trHeight w:val="300"/>
        </w:trPr>
        <w:tc>
          <w:tcPr>
            <w:tcW w:w="1694" w:type="dxa"/>
            <w:vMerge/>
            <w:shd w:val="clear" w:color="auto" w:fill="002060"/>
            <w:tcMar>
              <w:left w:w="108" w:type="dxa"/>
              <w:right w:w="108" w:type="dxa"/>
            </w:tcMar>
          </w:tcPr>
          <w:p w14:paraId="76468184" w14:textId="77777777" w:rsidR="005D728C" w:rsidRPr="008D5728" w:rsidRDefault="005D728C"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09E3AB4E" w14:textId="77777777" w:rsidR="005D728C" w:rsidRPr="008D5728" w:rsidRDefault="005D728C" w:rsidP="00622CFF">
            <w:pPr>
              <w:spacing w:before="240" w:after="240"/>
              <w:rPr>
                <w:rFonts w:eastAsia="Arial"/>
                <w:color w:val="000000"/>
                <w:szCs w:val="22"/>
              </w:rPr>
            </w:pPr>
            <w:r w:rsidRPr="008D5728">
              <w:rPr>
                <w:rFonts w:eastAsia="Arial"/>
                <w:szCs w:val="22"/>
              </w:rPr>
              <w:t>54</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7E2F76AB" w14:textId="77777777" w:rsidR="005D728C" w:rsidRPr="008D5728" w:rsidRDefault="005D728C" w:rsidP="00622CFF">
            <w:pPr>
              <w:spacing w:before="240" w:after="240"/>
              <w:rPr>
                <w:rFonts w:eastAsia="Arial"/>
                <w:color w:val="000000"/>
                <w:szCs w:val="22"/>
              </w:rPr>
            </w:pPr>
            <w:r w:rsidRPr="008D5728">
              <w:rPr>
                <w:rFonts w:eastAsia="Arial"/>
                <w:szCs w:val="22"/>
              </w:rPr>
              <w:t>The System Governor must give written notice of a decision to cancel a supporter’s registration under sections 52 or 53(1)(a) to the person whose registration has been cancelled and the older person. The notice must be given as soon as practical after the registration is cancelled and include the reasons for the decision.</w:t>
            </w:r>
          </w:p>
        </w:tc>
      </w:tr>
    </w:tbl>
    <w:p w14:paraId="682BD3B9" w14:textId="77777777" w:rsidR="003B0176" w:rsidRDefault="003B0176" w:rsidP="00622CFF">
      <w:pPr>
        <w:spacing w:before="240" w:after="240" w:line="240" w:lineRule="auto"/>
        <w:rPr>
          <w:rFonts w:eastAsia="Yu Gothic Light"/>
          <w:color w:val="3F4A75"/>
          <w:sz w:val="44"/>
          <w:szCs w:val="36"/>
        </w:rPr>
      </w:pPr>
    </w:p>
    <w:p w14:paraId="437C8B75" w14:textId="5FCEC125" w:rsidR="003B0176" w:rsidRPr="00544EA2" w:rsidRDefault="003E0445" w:rsidP="004B6DFD">
      <w:pPr>
        <w:pStyle w:val="H1"/>
      </w:pPr>
      <w:r>
        <w:br w:type="page"/>
      </w:r>
      <w:bookmarkStart w:id="641" w:name="_Toc209189021"/>
      <w:bookmarkStart w:id="642" w:name="_Ref212733349"/>
      <w:bookmarkStart w:id="643" w:name="_Ref212736309"/>
      <w:bookmarkStart w:id="644" w:name="_Ref212736334"/>
      <w:bookmarkStart w:id="645" w:name="_Toc224916679"/>
      <w:r w:rsidR="003B0176" w:rsidRPr="00544EA2">
        <w:t>Chapter 8: Delegate decisions in practice</w:t>
      </w:r>
      <w:bookmarkEnd w:id="641"/>
      <w:bookmarkEnd w:id="642"/>
      <w:bookmarkEnd w:id="643"/>
      <w:bookmarkEnd w:id="644"/>
      <w:bookmarkEnd w:id="645"/>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shd w:val="clear" w:color="auto" w:fill="EAEDF1"/>
        <w:tblLook w:val="04A0" w:firstRow="1" w:lastRow="0" w:firstColumn="1" w:lastColumn="0" w:noHBand="0" w:noVBand="1"/>
      </w:tblPr>
      <w:tblGrid>
        <w:gridCol w:w="9016"/>
      </w:tblGrid>
      <w:tr w:rsidR="003B0176" w:rsidRPr="00544EA2" w14:paraId="44DA899E" w14:textId="77777777" w:rsidTr="00097F05">
        <w:tc>
          <w:tcPr>
            <w:tcW w:w="9016" w:type="dxa"/>
            <w:tcBorders>
              <w:top w:val="single" w:sz="4" w:space="0" w:color="auto"/>
              <w:left w:val="single" w:sz="4" w:space="0" w:color="auto"/>
              <w:bottom w:val="single" w:sz="4" w:space="0" w:color="auto"/>
              <w:right w:val="single" w:sz="4" w:space="0" w:color="auto"/>
            </w:tcBorders>
            <w:shd w:val="clear" w:color="auto" w:fill="F2F2F2"/>
          </w:tcPr>
          <w:p w14:paraId="1BFED0C9" w14:textId="0AA1EBD3" w:rsidR="003B0176" w:rsidRPr="00760601" w:rsidRDefault="003B0176" w:rsidP="00760601">
            <w:pPr>
              <w:rPr>
                <w:b/>
                <w:bCs/>
                <w:color w:val="358189"/>
                <w:sz w:val="36"/>
                <w:szCs w:val="36"/>
              </w:rPr>
            </w:pPr>
            <w:bookmarkStart w:id="646" w:name="_Toc209189022"/>
            <w:bookmarkStart w:id="647" w:name="_Toc205372055"/>
            <w:bookmarkStart w:id="648" w:name="_Toc207713960"/>
            <w:r w:rsidRPr="00760601">
              <w:rPr>
                <w:b/>
                <w:bCs/>
                <w:color w:val="358189"/>
                <w:sz w:val="36"/>
                <w:szCs w:val="36"/>
              </w:rPr>
              <w:t>What you’ll find in this chapter</w:t>
            </w:r>
            <w:bookmarkEnd w:id="646"/>
            <w:r w:rsidR="007A6395">
              <w:rPr>
                <w:b/>
                <w:bCs/>
                <w:color w:val="358189"/>
                <w:sz w:val="36"/>
                <w:szCs w:val="36"/>
              </w:rPr>
              <w:t xml:space="preserve">: </w:t>
            </w:r>
          </w:p>
          <w:p w14:paraId="199C7B39" w14:textId="0E6421A2" w:rsidR="003B0176" w:rsidRPr="00544EA2" w:rsidRDefault="003B0176" w:rsidP="00622CFF">
            <w:pPr>
              <w:spacing w:before="240" w:after="240"/>
              <w:rPr>
                <w:rFonts w:eastAsia="Yu Gothic Light"/>
              </w:rPr>
            </w:pPr>
            <w:r w:rsidRPr="00544EA2">
              <w:rPr>
                <w:rFonts w:eastAsia="Yu Gothic Light"/>
              </w:rPr>
              <w:t xml:space="preserve">This chapter includes guidance for </w:t>
            </w:r>
            <w:r w:rsidR="005002F2">
              <w:rPr>
                <w:rFonts w:eastAsia="Yu Gothic Light"/>
              </w:rPr>
              <w:t>a</w:t>
            </w:r>
            <w:r w:rsidR="005002F2" w:rsidRPr="00544EA2">
              <w:rPr>
                <w:rFonts w:eastAsia="Yu Gothic Light"/>
              </w:rPr>
              <w:t xml:space="preserve">ssessment </w:t>
            </w:r>
            <w:r w:rsidR="005002F2">
              <w:rPr>
                <w:rFonts w:eastAsia="Yu Gothic Light"/>
              </w:rPr>
              <w:t>d</w:t>
            </w:r>
            <w:r w:rsidR="005002F2" w:rsidRPr="00544EA2">
              <w:rPr>
                <w:rFonts w:eastAsia="Yu Gothic Light"/>
              </w:rPr>
              <w:t xml:space="preserve">elegates </w:t>
            </w:r>
            <w:r w:rsidRPr="00544EA2">
              <w:rPr>
                <w:rFonts w:eastAsia="Yu Gothic Light"/>
              </w:rPr>
              <w:t>covering:</w:t>
            </w:r>
          </w:p>
          <w:p w14:paraId="04DB2583" w14:textId="77777777" w:rsidR="003B0176" w:rsidRPr="00544EA2" w:rsidRDefault="003B0176" w:rsidP="00622CFF">
            <w:pPr>
              <w:numPr>
                <w:ilvl w:val="0"/>
                <w:numId w:val="35"/>
              </w:numPr>
              <w:spacing w:before="240" w:after="240"/>
              <w:contextualSpacing/>
              <w:rPr>
                <w:rFonts w:eastAsia="Yu Gothic Light"/>
              </w:rPr>
            </w:pPr>
            <w:r w:rsidRPr="00544EA2">
              <w:rPr>
                <w:rFonts w:eastAsia="Yu Gothic Light"/>
              </w:rPr>
              <w:t>how to make sound, evidence-based decisions</w:t>
            </w:r>
          </w:p>
          <w:p w14:paraId="663AC2FE" w14:textId="77777777" w:rsidR="003B0176" w:rsidRPr="00544EA2" w:rsidRDefault="003B0176" w:rsidP="00622CFF">
            <w:pPr>
              <w:numPr>
                <w:ilvl w:val="0"/>
                <w:numId w:val="35"/>
              </w:numPr>
              <w:spacing w:before="240" w:after="240"/>
              <w:contextualSpacing/>
              <w:rPr>
                <w:rFonts w:eastAsia="Yu Gothic Light"/>
              </w:rPr>
            </w:pPr>
            <w:r w:rsidRPr="00544EA2">
              <w:rPr>
                <w:rFonts w:eastAsia="Yu Gothic Light"/>
              </w:rPr>
              <w:t>step-by-step processes for approving aged care services across the service groups</w:t>
            </w:r>
          </w:p>
          <w:p w14:paraId="77577126" w14:textId="77777777" w:rsidR="003B0176" w:rsidRPr="00544EA2" w:rsidRDefault="003B0176" w:rsidP="00622CFF">
            <w:pPr>
              <w:numPr>
                <w:ilvl w:val="0"/>
                <w:numId w:val="35"/>
              </w:numPr>
              <w:spacing w:before="240" w:after="240"/>
              <w:contextualSpacing/>
              <w:rPr>
                <w:rFonts w:eastAsia="Yu Gothic Light"/>
              </w:rPr>
            </w:pPr>
            <w:r w:rsidRPr="00544EA2">
              <w:rPr>
                <w:rFonts w:eastAsia="Yu Gothic Light"/>
              </w:rPr>
              <w:t>other approvals (including giving approvals after a service has commenced and approving a service without an assessment).</w:t>
            </w:r>
          </w:p>
          <w:p w14:paraId="709CA7B4" w14:textId="77777777" w:rsidR="003B0176" w:rsidRPr="00544EA2" w:rsidRDefault="003B0176" w:rsidP="00622CFF">
            <w:pPr>
              <w:spacing w:before="240" w:after="240"/>
              <w:rPr>
                <w:rFonts w:eastAsia="Yu Gothic Light"/>
              </w:rPr>
            </w:pPr>
          </w:p>
        </w:tc>
      </w:tr>
    </w:tbl>
    <w:p w14:paraId="0EDE5B87" w14:textId="77777777" w:rsidR="009824CD" w:rsidRPr="00544EA2" w:rsidRDefault="009824CD" w:rsidP="00622CFF">
      <w:pPr>
        <w:spacing w:before="240" w:after="240" w:line="240" w:lineRule="auto"/>
        <w:rPr>
          <w:rFonts w:eastAsia="Yu Gothic Light"/>
        </w:rPr>
      </w:pPr>
    </w:p>
    <w:p w14:paraId="0369F774" w14:textId="77777777" w:rsidR="003B0176" w:rsidRPr="00544EA2" w:rsidRDefault="003B0176" w:rsidP="00507F9D">
      <w:pPr>
        <w:pStyle w:val="h2"/>
        <w:rPr>
          <w:rFonts w:ascii="Aptos Display" w:hAnsi="Aptos Display"/>
          <w:color w:val="0F4761"/>
          <w:sz w:val="32"/>
        </w:rPr>
      </w:pPr>
      <w:bookmarkStart w:id="649" w:name="_Toc209189023"/>
      <w:bookmarkStart w:id="650" w:name="_Toc224916680"/>
      <w:r w:rsidRPr="00544EA2">
        <w:t>Decision-making fundamentals</w:t>
      </w:r>
      <w:bookmarkEnd w:id="647"/>
      <w:bookmarkEnd w:id="648"/>
      <w:bookmarkEnd w:id="649"/>
      <w:bookmarkEnd w:id="650"/>
      <w:r w:rsidRPr="00544EA2">
        <w:t xml:space="preserve"> </w:t>
      </w:r>
    </w:p>
    <w:p w14:paraId="1346D377" w14:textId="77777777" w:rsidR="003B0176" w:rsidRPr="00544EA2" w:rsidRDefault="003B0176" w:rsidP="00622CFF">
      <w:pPr>
        <w:spacing w:before="240" w:after="240" w:line="240" w:lineRule="auto"/>
        <w:rPr>
          <w:rFonts w:eastAsia="Aptos"/>
        </w:rPr>
      </w:pPr>
      <w:r w:rsidRPr="00544EA2">
        <w:rPr>
          <w:rFonts w:eastAsia="Aptos"/>
        </w:rPr>
        <w:t xml:space="preserve">Effective decision-making requires sound judgment, evidence-based reasoning, and a commitment to fairness and accountability. </w:t>
      </w:r>
    </w:p>
    <w:p w14:paraId="1F2B4A29" w14:textId="77777777" w:rsidR="003B0176" w:rsidRPr="00544EA2" w:rsidRDefault="003B0176" w:rsidP="00C56CEC">
      <w:pPr>
        <w:pStyle w:val="H3"/>
      </w:pPr>
      <w:bookmarkStart w:id="651" w:name="_Toc198787154"/>
      <w:bookmarkStart w:id="652" w:name="_Toc1550800580"/>
      <w:bookmarkStart w:id="653" w:name="_Toc199344526"/>
      <w:bookmarkStart w:id="654" w:name="_Toc205372056"/>
      <w:bookmarkStart w:id="655" w:name="_Toc207713961"/>
      <w:r w:rsidRPr="00544EA2">
        <w:t>Essentials of good decision-making</w:t>
      </w:r>
      <w:bookmarkEnd w:id="651"/>
      <w:bookmarkEnd w:id="652"/>
      <w:bookmarkEnd w:id="653"/>
      <w:bookmarkEnd w:id="654"/>
      <w:bookmarkEnd w:id="655"/>
    </w:p>
    <w:p w14:paraId="5AC8B6C6" w14:textId="77777777" w:rsidR="003B0176" w:rsidRPr="00544EA2" w:rsidRDefault="003B0176" w:rsidP="00622CFF">
      <w:pPr>
        <w:spacing w:before="240" w:after="240" w:line="240" w:lineRule="auto"/>
        <w:rPr>
          <w:rFonts w:eastAsia="Aptos"/>
        </w:rPr>
      </w:pPr>
      <w:r w:rsidRPr="00544EA2">
        <w:rPr>
          <w:rFonts w:eastAsia="Aptos"/>
        </w:rPr>
        <w:t>Delegates</w:t>
      </w:r>
      <w:r w:rsidRPr="00544EA2" w:rsidDel="002D42B9">
        <w:rPr>
          <w:rFonts w:eastAsia="Aptos"/>
        </w:rPr>
        <w:t xml:space="preserve"> </w:t>
      </w:r>
      <w:r w:rsidRPr="00544EA2">
        <w:rPr>
          <w:rFonts w:eastAsia="Aptos"/>
        </w:rPr>
        <w:t>need to exercise independent judgment when determining whether an individual is eligible to be approved for funded aged care services. Delegate decisions must be based on all relevant information obtained through the assessment process. Delegates are considered to possess the necessary skills and expertise to fulfil this delegated role with honesty, integrity and accuracy.</w:t>
      </w:r>
    </w:p>
    <w:p w14:paraId="6118A664" w14:textId="77777777" w:rsidR="003B0176" w:rsidRPr="00544EA2" w:rsidRDefault="003B0176" w:rsidP="00622CFF">
      <w:pPr>
        <w:spacing w:before="240" w:after="240" w:line="240" w:lineRule="auto"/>
        <w:rPr>
          <w:rFonts w:eastAsia="Aptos"/>
        </w:rPr>
      </w:pPr>
      <w:r w:rsidRPr="00544EA2">
        <w:rPr>
          <w:rFonts w:eastAsia="Aptos"/>
        </w:rPr>
        <w:t>To minimise the risk of errors and ensure consistency in decision-making, Delegates should adhere to the following key principles:</w:t>
      </w:r>
      <w:r w:rsidRPr="00544EA2">
        <w:rPr>
          <w:rFonts w:eastAsia="Aptos" w:hint="eastAsia"/>
          <w:b/>
        </w:rPr>
        <w:t> </w:t>
      </w:r>
    </w:p>
    <w:p w14:paraId="09B429B7" w14:textId="77777777"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Identify all material facts:</w:t>
      </w:r>
      <w:r w:rsidRPr="00544EA2">
        <w:rPr>
          <w:rFonts w:eastAsia="Aptos" w:hint="eastAsia"/>
        </w:rPr>
        <w:t> </w:t>
      </w:r>
      <w:r w:rsidRPr="00544EA2">
        <w:rPr>
          <w:rFonts w:eastAsia="Aptos"/>
        </w:rPr>
        <w:t>Delegates must establish all material facts that are essential to the decision. Only facts supported by reliable evidence should be taken into account.</w:t>
      </w:r>
    </w:p>
    <w:p w14:paraId="5FB10DB9" w14:textId="77777777"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Base decisions on evidence:</w:t>
      </w:r>
      <w:r w:rsidRPr="00544EA2">
        <w:rPr>
          <w:rFonts w:eastAsia="Aptos" w:hint="eastAsia"/>
        </w:rPr>
        <w:t> </w:t>
      </w:r>
      <w:r w:rsidRPr="00544EA2">
        <w:rPr>
          <w:rFonts w:eastAsia="Aptos"/>
        </w:rPr>
        <w:t>Avoid making decisions based on unsubstantiated facts. Every finding must be backed by relevant and logical evidence that clearly supports the conclusions.</w:t>
      </w:r>
    </w:p>
    <w:p w14:paraId="26684D8C" w14:textId="669FE117"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 xml:space="preserve">Ensure </w:t>
      </w:r>
      <w:r w:rsidR="005F3785">
        <w:rPr>
          <w:rFonts w:eastAsia="Aptos"/>
          <w:b/>
        </w:rPr>
        <w:t>r</w:t>
      </w:r>
      <w:r w:rsidRPr="00544EA2">
        <w:rPr>
          <w:rFonts w:eastAsia="Aptos"/>
          <w:b/>
        </w:rPr>
        <w:t xml:space="preserve">easonable </w:t>
      </w:r>
      <w:r w:rsidR="005F3785">
        <w:rPr>
          <w:rFonts w:eastAsia="Aptos"/>
          <w:b/>
        </w:rPr>
        <w:t>j</w:t>
      </w:r>
      <w:r w:rsidRPr="00544EA2">
        <w:rPr>
          <w:rFonts w:eastAsia="Aptos"/>
          <w:b/>
        </w:rPr>
        <w:t>udgement:</w:t>
      </w:r>
      <w:r w:rsidRPr="00544EA2">
        <w:rPr>
          <w:rFonts w:eastAsia="Aptos" w:hint="eastAsia"/>
        </w:rPr>
        <w:t> </w:t>
      </w:r>
      <w:r w:rsidRPr="00544EA2">
        <w:rPr>
          <w:rFonts w:eastAsia="Aptos"/>
        </w:rPr>
        <w:t xml:space="preserve"> Delegate decisions must be reasonable and not </w:t>
      </w:r>
      <w:r w:rsidR="00FD3046">
        <w:rPr>
          <w:rFonts w:eastAsia="Aptos"/>
        </w:rPr>
        <w:t xml:space="preserve">be </w:t>
      </w:r>
      <w:r w:rsidRPr="00544EA2">
        <w:rPr>
          <w:rFonts w:eastAsia="Aptos"/>
        </w:rPr>
        <w:t>based on findings that are manifestly unreasonable. This means that the conclusions should be rational, defensible, and clearly justifiable.</w:t>
      </w:r>
    </w:p>
    <w:p w14:paraId="0A73B773" w14:textId="0F4B18E6" w:rsidR="003B0176" w:rsidRPr="00544EA2" w:rsidRDefault="003B0176" w:rsidP="00DF3F6B">
      <w:pPr>
        <w:numPr>
          <w:ilvl w:val="0"/>
          <w:numId w:val="274"/>
        </w:numPr>
        <w:spacing w:before="240" w:after="240" w:line="240" w:lineRule="auto"/>
        <w:contextualSpacing/>
        <w:rPr>
          <w:rFonts w:eastAsia="Aptos"/>
        </w:rPr>
      </w:pPr>
      <w:r w:rsidRPr="00544EA2">
        <w:rPr>
          <w:rFonts w:eastAsia="Aptos"/>
          <w:b/>
        </w:rPr>
        <w:t xml:space="preserve">Observe </w:t>
      </w:r>
      <w:r w:rsidR="005F3785">
        <w:rPr>
          <w:rFonts w:eastAsia="Aptos"/>
          <w:b/>
        </w:rPr>
        <w:t>n</w:t>
      </w:r>
      <w:r w:rsidRPr="00544EA2">
        <w:rPr>
          <w:rFonts w:eastAsia="Aptos"/>
          <w:b/>
        </w:rPr>
        <w:t xml:space="preserve">atural </w:t>
      </w:r>
      <w:r w:rsidR="005F3785">
        <w:rPr>
          <w:rFonts w:eastAsia="Aptos"/>
          <w:b/>
        </w:rPr>
        <w:t>j</w:t>
      </w:r>
      <w:r w:rsidRPr="00544EA2">
        <w:rPr>
          <w:rFonts w:eastAsia="Aptos"/>
          <w:b/>
        </w:rPr>
        <w:t>ustice:</w:t>
      </w:r>
      <w:r w:rsidRPr="00544EA2">
        <w:rPr>
          <w:rFonts w:eastAsia="Aptos" w:hint="eastAsia"/>
        </w:rPr>
        <w:t> </w:t>
      </w:r>
      <w:r w:rsidRPr="00544EA2">
        <w:rPr>
          <w:rFonts w:eastAsia="Aptos"/>
        </w:rPr>
        <w:t>Delegates must respect the principles of natural justice throughout the decision-making process. In essence, this means ensuring that individuals are given a fair opportunity to explain their circumstances before a decision is made.</w:t>
      </w:r>
    </w:p>
    <w:p w14:paraId="1451641D" w14:textId="7F342B05" w:rsidR="003B0176" w:rsidRPr="00544EA2" w:rsidRDefault="003B0176" w:rsidP="00DF3F6B">
      <w:pPr>
        <w:numPr>
          <w:ilvl w:val="0"/>
          <w:numId w:val="274"/>
        </w:numPr>
        <w:spacing w:before="240" w:after="240" w:line="240" w:lineRule="auto"/>
        <w:contextualSpacing/>
        <w:rPr>
          <w:rFonts w:ascii="Aptos" w:eastAsia="Aptos" w:hAnsi="Aptos"/>
        </w:rPr>
      </w:pPr>
      <w:r w:rsidRPr="00544EA2">
        <w:rPr>
          <w:rFonts w:eastAsia="Aptos"/>
          <w:b/>
        </w:rPr>
        <w:t xml:space="preserve">Comply with </w:t>
      </w:r>
      <w:r w:rsidR="005F3785">
        <w:rPr>
          <w:rFonts w:eastAsia="Aptos"/>
          <w:b/>
        </w:rPr>
        <w:t>l</w:t>
      </w:r>
      <w:r w:rsidRPr="00544EA2">
        <w:rPr>
          <w:rFonts w:eastAsia="Aptos"/>
          <w:b/>
        </w:rPr>
        <w:t xml:space="preserve">egal </w:t>
      </w:r>
      <w:r w:rsidR="005F3785">
        <w:rPr>
          <w:rFonts w:eastAsia="Aptos"/>
          <w:b/>
        </w:rPr>
        <w:t>r</w:t>
      </w:r>
      <w:r w:rsidRPr="00544EA2">
        <w:rPr>
          <w:rFonts w:eastAsia="Aptos"/>
          <w:b/>
        </w:rPr>
        <w:t>equirements:</w:t>
      </w:r>
      <w:r w:rsidRPr="00544EA2">
        <w:rPr>
          <w:rFonts w:eastAsia="Aptos" w:hint="eastAsia"/>
        </w:rPr>
        <w:t> </w:t>
      </w:r>
      <w:r w:rsidRPr="00544EA2">
        <w:rPr>
          <w:rFonts w:eastAsia="Aptos"/>
        </w:rPr>
        <w:t>Delegates must comply with any statutory obligations, including understanding the important new eligibility criteria for approvals and the requirement to provide a written statement of reasons</w:t>
      </w:r>
      <w:r w:rsidRPr="00544EA2">
        <w:rPr>
          <w:rFonts w:ascii="Aptos" w:eastAsia="Aptos" w:hAnsi="Aptos"/>
        </w:rPr>
        <w:t xml:space="preserve"> </w:t>
      </w:r>
      <w:r w:rsidRPr="003A3B43">
        <w:rPr>
          <w:rFonts w:eastAsia="Aptos"/>
        </w:rPr>
        <w:t>when necessary.</w:t>
      </w:r>
    </w:p>
    <w:p w14:paraId="4DCE8630" w14:textId="15B75E93" w:rsidR="0003231B" w:rsidRPr="00544EA2" w:rsidRDefault="0003231B" w:rsidP="0003231B">
      <w:pPr>
        <w:spacing w:before="240" w:after="240" w:line="240" w:lineRule="auto"/>
        <w:ind w:left="720"/>
        <w:contextualSpacing/>
        <w:rPr>
          <w:rFonts w:ascii="Aptos" w:eastAsia="Aptos" w:hAnsi="Aptos"/>
        </w:rPr>
      </w:pPr>
    </w:p>
    <w:p w14:paraId="117A5BE5" w14:textId="77777777" w:rsidR="003B0176" w:rsidRPr="00544EA2" w:rsidRDefault="003B0176" w:rsidP="00C56CEC">
      <w:pPr>
        <w:pStyle w:val="H3"/>
        <w:rPr>
          <w:sz w:val="28"/>
          <w:szCs w:val="28"/>
        </w:rPr>
      </w:pPr>
      <w:bookmarkStart w:id="656" w:name="_Toc197616757"/>
      <w:bookmarkStart w:id="657" w:name="_Toc198787155"/>
      <w:bookmarkStart w:id="658" w:name="_Toc2043829873"/>
      <w:bookmarkStart w:id="659" w:name="_Toc199344527"/>
      <w:bookmarkStart w:id="660" w:name="_Toc205372057"/>
      <w:bookmarkStart w:id="661" w:name="_Toc207713962"/>
      <w:r w:rsidRPr="00544EA2">
        <w:t>Best practice guides for decision-making</w:t>
      </w:r>
      <w:bookmarkEnd w:id="656"/>
      <w:bookmarkEnd w:id="657"/>
      <w:bookmarkEnd w:id="658"/>
      <w:bookmarkEnd w:id="659"/>
      <w:bookmarkEnd w:id="660"/>
      <w:bookmarkEnd w:id="661"/>
    </w:p>
    <w:p w14:paraId="1E240BE1" w14:textId="3B37674D" w:rsidR="003B0176" w:rsidRPr="00544EA2" w:rsidRDefault="003B0176" w:rsidP="00622CFF">
      <w:pPr>
        <w:spacing w:before="240" w:after="240" w:line="240" w:lineRule="auto"/>
        <w:rPr>
          <w:rFonts w:eastAsia="Aptos"/>
        </w:rPr>
      </w:pPr>
      <w:r w:rsidRPr="00544EA2">
        <w:rPr>
          <w:rFonts w:eastAsia="Aptos"/>
        </w:rPr>
        <w:t>To support</w:t>
      </w:r>
      <w:r w:rsidRPr="00544EA2" w:rsidDel="00B954B4">
        <w:rPr>
          <w:rFonts w:eastAsia="Aptos"/>
        </w:rPr>
        <w:t xml:space="preserve"> </w:t>
      </w:r>
      <w:r w:rsidR="00B954B4">
        <w:rPr>
          <w:rFonts w:eastAsia="Aptos"/>
        </w:rPr>
        <w:t>d</w:t>
      </w:r>
      <w:r w:rsidR="00B954B4" w:rsidRPr="00544EA2">
        <w:rPr>
          <w:rFonts w:eastAsia="Aptos"/>
        </w:rPr>
        <w:t xml:space="preserve">elegates </w:t>
      </w:r>
      <w:r w:rsidRPr="00544EA2">
        <w:rPr>
          <w:rFonts w:eastAsia="Aptos"/>
        </w:rPr>
        <w:t>in this role, the</w:t>
      </w:r>
      <w:r w:rsidRPr="00544EA2">
        <w:rPr>
          <w:rFonts w:eastAsia="Aptos" w:hint="eastAsia"/>
        </w:rPr>
        <w:t> </w:t>
      </w:r>
      <w:r w:rsidRPr="003A3B43">
        <w:rPr>
          <w:rFonts w:eastAsia="Aptos"/>
          <w:bCs/>
        </w:rPr>
        <w:t>Administrative Review Council (ARC)</w:t>
      </w:r>
      <w:r w:rsidRPr="00544EA2">
        <w:rPr>
          <w:rFonts w:eastAsia="Aptos" w:hint="eastAsia"/>
        </w:rPr>
        <w:t> </w:t>
      </w:r>
      <w:r w:rsidRPr="00544EA2">
        <w:rPr>
          <w:rFonts w:eastAsia="Aptos"/>
        </w:rPr>
        <w:t>has developed a series of</w:t>
      </w:r>
      <w:r w:rsidRPr="00544EA2">
        <w:rPr>
          <w:rFonts w:eastAsia="Aptos" w:hint="eastAsia"/>
        </w:rPr>
        <w:t> </w:t>
      </w:r>
      <w:r w:rsidRPr="003A3B43">
        <w:rPr>
          <w:rFonts w:eastAsia="Aptos"/>
          <w:bCs/>
        </w:rPr>
        <w:t>Best Practice Guides</w:t>
      </w:r>
      <w:r w:rsidRPr="00AD6067">
        <w:rPr>
          <w:rFonts w:eastAsia="Aptos"/>
          <w:bCs/>
        </w:rPr>
        <w:t>.</w:t>
      </w:r>
      <w:r w:rsidRPr="00544EA2">
        <w:rPr>
          <w:rFonts w:eastAsia="Aptos"/>
        </w:rPr>
        <w:t xml:space="preserve"> These guides serve as both a training resource and a reference tool for primary decision-makers in Commonwealth agencies, including Delegates. They cover key aspects of decision-making and provide practical guidance to help you make sound, evidence-based decisions.</w:t>
      </w:r>
    </w:p>
    <w:p w14:paraId="2FD360F2" w14:textId="77777777" w:rsidR="00787C7B" w:rsidRDefault="003B0176" w:rsidP="00622CFF">
      <w:pPr>
        <w:spacing w:before="240" w:after="240" w:line="240" w:lineRule="auto"/>
        <w:rPr>
          <w:rFonts w:eastAsia="Aptos"/>
        </w:rPr>
      </w:pPr>
      <w:r w:rsidRPr="00544EA2">
        <w:rPr>
          <w:rFonts w:eastAsia="Aptos"/>
        </w:rPr>
        <w:t xml:space="preserve">You can refer to the five ARC Best Practice Guides on the Attorney-General's Department website. </w:t>
      </w:r>
    </w:p>
    <w:tbl>
      <w:tblPr>
        <w:tblW w:w="0" w:type="auto"/>
        <w:tblLook w:val="04A0" w:firstRow="1" w:lastRow="0" w:firstColumn="1" w:lastColumn="0" w:noHBand="0" w:noVBand="1"/>
      </w:tblPr>
      <w:tblGrid>
        <w:gridCol w:w="921"/>
        <w:gridCol w:w="8105"/>
      </w:tblGrid>
      <w:tr w:rsidR="007B6668" w:rsidRPr="008D5728" w14:paraId="23541BA0" w14:textId="77777777">
        <w:trPr>
          <w:trHeight w:val="677"/>
        </w:trPr>
        <w:tc>
          <w:tcPr>
            <w:tcW w:w="921" w:type="dxa"/>
          </w:tcPr>
          <w:p w14:paraId="4CD59505" w14:textId="77777777" w:rsidR="007B6668" w:rsidRPr="008D5728" w:rsidRDefault="007B6668">
            <w:pPr>
              <w:spacing w:before="240" w:after="240" w:line="240" w:lineRule="auto"/>
              <w:rPr>
                <w:rFonts w:eastAsia="Yu Gothic Light"/>
              </w:rPr>
            </w:pPr>
            <w:r w:rsidRPr="008D5728">
              <w:rPr>
                <w:rFonts w:eastAsia="Yu Gothic Light"/>
                <w:noProof/>
              </w:rPr>
              <w:drawing>
                <wp:inline distT="0" distB="0" distL="0" distR="0" wp14:anchorId="6CB48EF5" wp14:editId="65DD31EE">
                  <wp:extent cx="447675" cy="445208"/>
                  <wp:effectExtent l="0" t="0" r="0" b="0"/>
                  <wp:docPr id="1632818657" name="Picture 163281865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8C2C6DF" w14:textId="7C00269B" w:rsidR="007B6668" w:rsidRPr="008D5728" w:rsidRDefault="006D681E">
            <w:pPr>
              <w:spacing w:before="240" w:after="240" w:line="240" w:lineRule="auto"/>
              <w:rPr>
                <w:rFonts w:eastAsia="Yu Gothic Light"/>
              </w:rPr>
            </w:pPr>
            <w:r w:rsidRPr="00544EA2">
              <w:rPr>
                <w:rFonts w:eastAsia="Aptos"/>
              </w:rPr>
              <w:t xml:space="preserve">ARC Best Practice Guides </w:t>
            </w:r>
            <w:r>
              <w:rPr>
                <w:rFonts w:eastAsia="Aptos"/>
              </w:rPr>
              <w:t xml:space="preserve">: </w:t>
            </w:r>
            <w:hyperlink r:id="rId233" w:history="1">
              <w:r w:rsidR="007B6668" w:rsidRPr="00544EA2">
                <w:rPr>
                  <w:rFonts w:eastAsia="Aptos"/>
                  <w:color w:val="467886"/>
                  <w:u w:val="single"/>
                </w:rPr>
                <w:t>Administrative Review Council publications | Attorney-General's Department</w:t>
              </w:r>
            </w:hyperlink>
          </w:p>
        </w:tc>
      </w:tr>
    </w:tbl>
    <w:p w14:paraId="2819F26C" w14:textId="70518815" w:rsidR="005960D3" w:rsidRPr="0003231B" w:rsidRDefault="003B0176" w:rsidP="00C325C6">
      <w:pPr>
        <w:pStyle w:val="Sub-headings"/>
      </w:pPr>
      <w:r w:rsidRPr="00005E87">
        <w:t>Note</w:t>
      </w:r>
      <w:r>
        <w:t>:</w:t>
      </w:r>
    </w:p>
    <w:p w14:paraId="59A73881" w14:textId="2CD610C1" w:rsidR="003B0176" w:rsidRPr="006D1034" w:rsidRDefault="003B0176" w:rsidP="00C325C6">
      <w:pPr>
        <w:pStyle w:val="Sub-headings"/>
      </w:pPr>
      <w:r w:rsidRPr="006D1034">
        <w:t>The Administrative Review Council (ARC) published the Best Practice Guides prior to 2015. While they continue to be regarded as sound policy, it is important to note that they have</w:t>
      </w:r>
      <w:r w:rsidRPr="006D1034">
        <w:rPr>
          <w:rFonts w:hint="eastAsia"/>
        </w:rPr>
        <w:t> </w:t>
      </w:r>
      <w:r w:rsidRPr="006D1034">
        <w:t>not been updated</w:t>
      </w:r>
      <w:r w:rsidRPr="006D1034">
        <w:rPr>
          <w:rFonts w:hint="eastAsia"/>
        </w:rPr>
        <w:t> </w:t>
      </w:r>
      <w:r w:rsidRPr="006D1034">
        <w:t>to reflect any changes in case law or relevant legislation since their publication.</w:t>
      </w:r>
    </w:p>
    <w:p w14:paraId="1E823DFB" w14:textId="77777777" w:rsidR="004F597A" w:rsidRDefault="004F597A" w:rsidP="00441037">
      <w:bookmarkStart w:id="662" w:name="_Toc198787156"/>
      <w:bookmarkStart w:id="663" w:name="_Toc379818902"/>
      <w:bookmarkStart w:id="664" w:name="_Toc199344528"/>
      <w:bookmarkStart w:id="665" w:name="_Toc205372058"/>
      <w:bookmarkStart w:id="666" w:name="_Toc207713963"/>
      <w:bookmarkStart w:id="667" w:name="_Toc209189024"/>
    </w:p>
    <w:p w14:paraId="7F2FA0D9" w14:textId="77777777" w:rsidR="003B0176" w:rsidRPr="00544EA2" w:rsidRDefault="003B0176" w:rsidP="00507F9D">
      <w:pPr>
        <w:pStyle w:val="h2"/>
      </w:pPr>
      <w:bookmarkStart w:id="668" w:name="_Toc224916681"/>
      <w:r w:rsidRPr="00544EA2">
        <w:t>Quality assurance</w:t>
      </w:r>
      <w:bookmarkEnd w:id="662"/>
      <w:bookmarkEnd w:id="663"/>
      <w:bookmarkEnd w:id="664"/>
      <w:bookmarkEnd w:id="665"/>
      <w:bookmarkEnd w:id="666"/>
      <w:bookmarkEnd w:id="667"/>
      <w:bookmarkEnd w:id="668"/>
    </w:p>
    <w:p w14:paraId="613AABED" w14:textId="60876D81" w:rsidR="003B0176" w:rsidRPr="00544EA2" w:rsidRDefault="003B0176" w:rsidP="00622CFF">
      <w:pPr>
        <w:spacing w:before="240" w:after="240" w:line="240" w:lineRule="auto"/>
        <w:rPr>
          <w:rFonts w:eastAsia="Aptos"/>
        </w:rPr>
      </w:pPr>
      <w:r w:rsidRPr="00544EA2">
        <w:rPr>
          <w:rFonts w:eastAsia="Aptos"/>
        </w:rPr>
        <w:t>Delegates play a crucial</w:t>
      </w:r>
      <w:r w:rsidRPr="00544EA2">
        <w:rPr>
          <w:rFonts w:eastAsia="Aptos" w:hint="eastAsia"/>
        </w:rPr>
        <w:t> </w:t>
      </w:r>
      <w:r w:rsidRPr="006D1034">
        <w:rPr>
          <w:rFonts w:eastAsia="Aptos"/>
          <w:bCs/>
        </w:rPr>
        <w:t>quality assurance</w:t>
      </w:r>
      <w:r w:rsidRPr="00544EA2">
        <w:rPr>
          <w:rFonts w:eastAsia="Aptos" w:hint="eastAsia"/>
        </w:rPr>
        <w:t> </w:t>
      </w:r>
      <w:r w:rsidRPr="00544EA2">
        <w:rPr>
          <w:rFonts w:eastAsia="Aptos"/>
        </w:rPr>
        <w:t>role within the aged care needs assessment system. It is the</w:t>
      </w:r>
      <w:r w:rsidRPr="00544EA2" w:rsidDel="00CA5921">
        <w:rPr>
          <w:rFonts w:eastAsia="Aptos"/>
        </w:rPr>
        <w:t xml:space="preserve"> </w:t>
      </w:r>
      <w:r w:rsidR="00CA5921">
        <w:rPr>
          <w:rFonts w:eastAsia="Aptos"/>
        </w:rPr>
        <w:t>d</w:t>
      </w:r>
      <w:r w:rsidR="00CA5921" w:rsidRPr="00544EA2">
        <w:rPr>
          <w:rFonts w:eastAsia="Aptos"/>
        </w:rPr>
        <w:t xml:space="preserve">elegate’s </w:t>
      </w:r>
      <w:r w:rsidRPr="00544EA2">
        <w:rPr>
          <w:rFonts w:eastAsia="Aptos"/>
        </w:rPr>
        <w:t>responsibility to ensure that due process is followed. Delegates are responsible for ensuring that</w:t>
      </w:r>
      <w:r w:rsidRPr="00544EA2" w:rsidDel="00C96C57">
        <w:rPr>
          <w:rFonts w:eastAsia="Aptos"/>
        </w:rPr>
        <w:t xml:space="preserve"> </w:t>
      </w:r>
      <w:r w:rsidRPr="00544EA2">
        <w:rPr>
          <w:rFonts w:eastAsia="Aptos"/>
        </w:rPr>
        <w:t>the person being assessed genuinely requires government-funded aged care services. Additionally,</w:t>
      </w:r>
      <w:r w:rsidRPr="00544EA2" w:rsidDel="00541385">
        <w:rPr>
          <w:rFonts w:eastAsia="Aptos"/>
        </w:rPr>
        <w:t xml:space="preserve"> </w:t>
      </w:r>
      <w:r w:rsidR="00541385">
        <w:rPr>
          <w:rFonts w:eastAsia="Aptos"/>
        </w:rPr>
        <w:t>d</w:t>
      </w:r>
      <w:r w:rsidR="00541385" w:rsidRPr="00544EA2">
        <w:rPr>
          <w:rFonts w:eastAsia="Aptos"/>
        </w:rPr>
        <w:t xml:space="preserve">elegates </w:t>
      </w:r>
      <w:r w:rsidRPr="00544EA2">
        <w:rPr>
          <w:rFonts w:eastAsia="Aptos"/>
        </w:rPr>
        <w:t>must ensure that any missing information or gaps in the required evidence have been identified, followed up, and clarified with the assessor. This is essential to support accurate, well-informed delegate decisions and uphold the integrity of the assessment process.</w:t>
      </w:r>
    </w:p>
    <w:p w14:paraId="22E2901F" w14:textId="67EFB6D2" w:rsidR="003B0176" w:rsidRPr="00544EA2" w:rsidRDefault="003B0176" w:rsidP="00622CFF">
      <w:pPr>
        <w:spacing w:before="240" w:after="240" w:line="240" w:lineRule="auto"/>
        <w:rPr>
          <w:rFonts w:eastAsia="Aptos"/>
        </w:rPr>
      </w:pPr>
      <w:r w:rsidRPr="00544EA2">
        <w:rPr>
          <w:rFonts w:eastAsia="Aptos"/>
        </w:rPr>
        <w:t xml:space="preserve">It is essential that </w:t>
      </w:r>
      <w:r w:rsidR="00541385">
        <w:rPr>
          <w:rFonts w:eastAsia="Aptos"/>
        </w:rPr>
        <w:t>a</w:t>
      </w:r>
      <w:r w:rsidR="00541385" w:rsidRPr="00544EA2">
        <w:rPr>
          <w:rFonts w:eastAsia="Aptos"/>
        </w:rPr>
        <w:t xml:space="preserve">ssessment </w:t>
      </w:r>
      <w:r w:rsidR="00541385">
        <w:rPr>
          <w:rFonts w:eastAsia="Aptos"/>
        </w:rPr>
        <w:t>d</w:t>
      </w:r>
      <w:r w:rsidR="00541385" w:rsidRPr="00544EA2">
        <w:rPr>
          <w:rFonts w:eastAsia="Aptos"/>
        </w:rPr>
        <w:t xml:space="preserve">elegates </w:t>
      </w:r>
      <w:r w:rsidRPr="00544EA2">
        <w:rPr>
          <w:rFonts w:eastAsia="Aptos"/>
        </w:rPr>
        <w:t xml:space="preserve">maintain accuracy and consistency in their practice. Assessment </w:t>
      </w:r>
      <w:r w:rsidR="00541385">
        <w:rPr>
          <w:rFonts w:eastAsia="Aptos"/>
        </w:rPr>
        <w:t>d</w:t>
      </w:r>
      <w:r w:rsidR="00541385" w:rsidRPr="00544EA2">
        <w:rPr>
          <w:rFonts w:eastAsia="Aptos"/>
        </w:rPr>
        <w:t xml:space="preserve">elegates </w:t>
      </w:r>
      <w:r w:rsidRPr="00544EA2">
        <w:rPr>
          <w:rFonts w:eastAsia="Aptos"/>
        </w:rPr>
        <w:t>can do this by:</w:t>
      </w:r>
    </w:p>
    <w:p w14:paraId="68BFB3C0" w14:textId="43D40ABB" w:rsidR="003B0176" w:rsidRPr="00544EA2" w:rsidRDefault="003B0176" w:rsidP="00DF3F6B">
      <w:pPr>
        <w:numPr>
          <w:ilvl w:val="0"/>
          <w:numId w:val="277"/>
        </w:numPr>
        <w:spacing w:before="240" w:after="240" w:line="240" w:lineRule="auto"/>
        <w:contextualSpacing/>
        <w:rPr>
          <w:rFonts w:eastAsia="Aptos"/>
          <w:b/>
        </w:rPr>
      </w:pPr>
      <w:r w:rsidRPr="00544EA2">
        <w:rPr>
          <w:rFonts w:eastAsia="Aptos"/>
        </w:rPr>
        <w:t xml:space="preserve">Regularly consulting </w:t>
      </w:r>
      <w:r w:rsidR="00541385">
        <w:rPr>
          <w:rFonts w:eastAsia="Aptos"/>
        </w:rPr>
        <w:t>this</w:t>
      </w:r>
      <w:r w:rsidRPr="00494FE5">
        <w:rPr>
          <w:rFonts w:eastAsia="Aptos"/>
          <w:bCs/>
        </w:rPr>
        <w:t xml:space="preserve"> Manual</w:t>
      </w:r>
    </w:p>
    <w:p w14:paraId="1D5FB953" w14:textId="5463E188" w:rsidR="003B0176" w:rsidRPr="00544EA2" w:rsidRDefault="003B0176" w:rsidP="00DF3F6B">
      <w:pPr>
        <w:numPr>
          <w:ilvl w:val="0"/>
          <w:numId w:val="277"/>
        </w:numPr>
        <w:spacing w:before="240" w:after="240" w:line="240" w:lineRule="auto"/>
        <w:contextualSpacing/>
        <w:rPr>
          <w:rFonts w:eastAsia="Aptos"/>
        </w:rPr>
      </w:pPr>
      <w:r w:rsidRPr="00544EA2">
        <w:rPr>
          <w:rFonts w:eastAsia="Aptos"/>
        </w:rPr>
        <w:t xml:space="preserve">Adhering to the </w:t>
      </w:r>
      <w:r w:rsidR="00AC407B">
        <w:rPr>
          <w:rFonts w:eastAsia="Aptos"/>
        </w:rPr>
        <w:t xml:space="preserve">Aged Care Assessment </w:t>
      </w:r>
      <w:r w:rsidRPr="00544EA2">
        <w:rPr>
          <w:rFonts w:eastAsia="Aptos"/>
        </w:rPr>
        <w:t>Quality Framework to ensure continuous monitoring and enhancement of assessment practices in alignment with the Framework’s goals.</w:t>
      </w:r>
    </w:p>
    <w:p w14:paraId="7C556031" w14:textId="14CF0656" w:rsidR="003B0176" w:rsidRPr="00544EA2" w:rsidRDefault="003B0176" w:rsidP="00DF3F6B">
      <w:pPr>
        <w:numPr>
          <w:ilvl w:val="0"/>
          <w:numId w:val="277"/>
        </w:numPr>
        <w:spacing w:before="240" w:after="240" w:line="240" w:lineRule="auto"/>
        <w:contextualSpacing/>
        <w:rPr>
          <w:rFonts w:eastAsia="Aptos"/>
        </w:rPr>
      </w:pPr>
      <w:r w:rsidRPr="00544EA2">
        <w:rPr>
          <w:rFonts w:eastAsia="Aptos"/>
        </w:rPr>
        <w:t>Seek guidance in situations that are complex or uncommon</w:t>
      </w:r>
      <w:r w:rsidR="00DD4535">
        <w:rPr>
          <w:rFonts w:eastAsia="Aptos"/>
        </w:rPr>
        <w:t xml:space="preserve"> </w:t>
      </w:r>
      <w:r w:rsidR="003A3B43">
        <w:rPr>
          <w:rFonts w:eastAsia="Aptos"/>
        </w:rPr>
        <w:t>e.g.</w:t>
      </w:r>
      <w:r w:rsidR="00604BD0">
        <w:rPr>
          <w:rFonts w:eastAsia="Aptos"/>
        </w:rPr>
        <w:t xml:space="preserve"> </w:t>
      </w:r>
      <w:r w:rsidR="00DD4535">
        <w:rPr>
          <w:rFonts w:eastAsia="Aptos"/>
        </w:rPr>
        <w:t xml:space="preserve">from </w:t>
      </w:r>
      <w:r w:rsidR="00D8411F">
        <w:rPr>
          <w:rFonts w:eastAsia="Aptos"/>
        </w:rPr>
        <w:t xml:space="preserve">a </w:t>
      </w:r>
      <w:r w:rsidR="00DD4535">
        <w:rPr>
          <w:rFonts w:eastAsia="Aptos"/>
        </w:rPr>
        <w:t>Team Leader, Manager</w:t>
      </w:r>
      <w:r w:rsidR="00604BD0">
        <w:rPr>
          <w:rFonts w:eastAsia="Aptos"/>
        </w:rPr>
        <w:t xml:space="preserve">, </w:t>
      </w:r>
      <w:r w:rsidRPr="00544EA2">
        <w:rPr>
          <w:rFonts w:eastAsia="Aptos"/>
        </w:rPr>
        <w:t xml:space="preserve">Workplace Trainer, or another </w:t>
      </w:r>
      <w:r w:rsidR="000B746B">
        <w:rPr>
          <w:rFonts w:eastAsia="Aptos"/>
        </w:rPr>
        <w:t>a</w:t>
      </w:r>
      <w:r w:rsidR="000B746B" w:rsidRPr="00544EA2">
        <w:rPr>
          <w:rFonts w:eastAsia="Aptos"/>
        </w:rPr>
        <w:t xml:space="preserve">ssessment </w:t>
      </w:r>
      <w:r w:rsidR="000B746B">
        <w:rPr>
          <w:rFonts w:eastAsia="Aptos"/>
        </w:rPr>
        <w:t>d</w:t>
      </w:r>
      <w:r w:rsidR="000B746B" w:rsidRPr="00544EA2">
        <w:rPr>
          <w:rFonts w:eastAsia="Aptos"/>
        </w:rPr>
        <w:t xml:space="preserve">elegate </w:t>
      </w:r>
      <w:r w:rsidR="00D8411F">
        <w:rPr>
          <w:rFonts w:eastAsia="Aptos"/>
        </w:rPr>
        <w:t xml:space="preserve">who </w:t>
      </w:r>
      <w:r w:rsidRPr="00544EA2">
        <w:rPr>
          <w:rFonts w:eastAsia="Aptos"/>
        </w:rPr>
        <w:t>can provide appropriate support and clarification.</w:t>
      </w:r>
      <w:r w:rsidRPr="00544EA2" w:rsidDel="00185461">
        <w:rPr>
          <w:rFonts w:eastAsia="Aptos"/>
          <w:b/>
        </w:rPr>
        <w:t xml:space="preserve"> </w:t>
      </w:r>
    </w:p>
    <w:p w14:paraId="72583D18" w14:textId="7F0570BD" w:rsidR="003B0176" w:rsidRDefault="003B0176" w:rsidP="00DF3F6B">
      <w:pPr>
        <w:numPr>
          <w:ilvl w:val="0"/>
          <w:numId w:val="277"/>
        </w:numPr>
        <w:spacing w:before="240" w:after="240" w:line="240" w:lineRule="auto"/>
        <w:contextualSpacing/>
        <w:rPr>
          <w:rFonts w:eastAsia="Aptos"/>
        </w:rPr>
      </w:pPr>
      <w:r w:rsidRPr="00544EA2">
        <w:rPr>
          <w:rFonts w:eastAsia="Aptos"/>
        </w:rPr>
        <w:t xml:space="preserve">Understanding and adhering to the </w:t>
      </w:r>
      <w:r w:rsidRPr="00494FE5">
        <w:rPr>
          <w:rFonts w:eastAsia="Aptos"/>
          <w:bCs/>
        </w:rPr>
        <w:t>legal requirements</w:t>
      </w:r>
      <w:r w:rsidRPr="00544EA2">
        <w:rPr>
          <w:rFonts w:eastAsia="Aptos"/>
        </w:rPr>
        <w:t xml:space="preserve"> set out in the </w:t>
      </w:r>
      <w:r w:rsidR="00D8411F" w:rsidRPr="003A3B43">
        <w:rPr>
          <w:rFonts w:eastAsia="Aptos"/>
          <w:i/>
          <w:iCs/>
        </w:rPr>
        <w:t xml:space="preserve">Aged Care </w:t>
      </w:r>
      <w:r w:rsidRPr="003A3B43">
        <w:rPr>
          <w:rFonts w:eastAsia="Aptos"/>
          <w:i/>
          <w:iCs/>
        </w:rPr>
        <w:t>Act</w:t>
      </w:r>
      <w:r w:rsidR="00D8411F" w:rsidRPr="003A3B43">
        <w:rPr>
          <w:rFonts w:eastAsia="Aptos"/>
          <w:i/>
          <w:iCs/>
        </w:rPr>
        <w:t xml:space="preserve"> 2024</w:t>
      </w:r>
      <w:r w:rsidR="00B21726">
        <w:rPr>
          <w:rFonts w:eastAsia="Aptos"/>
          <w:i/>
          <w:iCs/>
        </w:rPr>
        <w:t>)</w:t>
      </w:r>
      <w:r w:rsidRPr="00544EA2">
        <w:rPr>
          <w:rFonts w:eastAsia="Aptos"/>
        </w:rPr>
        <w:t xml:space="preserve">. </w:t>
      </w:r>
      <w:r w:rsidRPr="00544EA2">
        <w:rPr>
          <w:rFonts w:eastAsia="Aptos" w:hint="eastAsia"/>
        </w:rPr>
        <w:t> </w:t>
      </w:r>
      <w:bookmarkStart w:id="669" w:name="_Toc198787157"/>
      <w:bookmarkStart w:id="670" w:name="_Toc612751019"/>
      <w:bookmarkStart w:id="671" w:name="_Toc199344529"/>
      <w:bookmarkStart w:id="672" w:name="_Toc205372059"/>
      <w:bookmarkStart w:id="673" w:name="_Toc207713964"/>
    </w:p>
    <w:p w14:paraId="3E2CC751" w14:textId="77777777" w:rsidR="003B0176" w:rsidRDefault="003B0176" w:rsidP="00622CFF">
      <w:pPr>
        <w:spacing w:before="240" w:after="240" w:line="240" w:lineRule="auto"/>
        <w:contextualSpacing/>
        <w:rPr>
          <w:rFonts w:eastAsia="Aptos"/>
        </w:rPr>
      </w:pPr>
    </w:p>
    <w:p w14:paraId="56E7432B" w14:textId="77777777" w:rsidR="003B0176" w:rsidRPr="00482B9F" w:rsidRDefault="003B0176" w:rsidP="00C56CEC">
      <w:pPr>
        <w:pStyle w:val="H3"/>
        <w:rPr>
          <w:rFonts w:eastAsia="Aptos"/>
        </w:rPr>
      </w:pPr>
      <w:r w:rsidRPr="00482B9F">
        <w:t>Validating the assessment process and evidence</w:t>
      </w:r>
      <w:bookmarkEnd w:id="669"/>
      <w:bookmarkEnd w:id="670"/>
      <w:bookmarkEnd w:id="671"/>
      <w:bookmarkEnd w:id="672"/>
      <w:bookmarkEnd w:id="673"/>
      <w:r w:rsidRPr="00482B9F">
        <w:t xml:space="preserve"> </w:t>
      </w:r>
    </w:p>
    <w:p w14:paraId="0108B32C" w14:textId="1B4CD700" w:rsidR="003B0176" w:rsidRPr="00544EA2" w:rsidRDefault="003B0176" w:rsidP="00622CFF">
      <w:pPr>
        <w:spacing w:before="240" w:after="240" w:line="240" w:lineRule="auto"/>
        <w:rPr>
          <w:rFonts w:eastAsia="Aptos"/>
        </w:rPr>
      </w:pPr>
      <w:r w:rsidRPr="00544EA2">
        <w:rPr>
          <w:rFonts w:eastAsia="Aptos"/>
        </w:rPr>
        <w:t xml:space="preserve">To ensure evidence-based reasoning, and a commitment to fairness and accountability, it is essential that throughout the delegate decision making process </w:t>
      </w:r>
      <w:r w:rsidR="000B746B">
        <w:rPr>
          <w:rFonts w:eastAsia="Aptos"/>
        </w:rPr>
        <w:t>a</w:t>
      </w:r>
      <w:r w:rsidR="000B746B" w:rsidRPr="00544EA2">
        <w:rPr>
          <w:rFonts w:eastAsia="Aptos"/>
        </w:rPr>
        <w:t xml:space="preserve">ssessment </w:t>
      </w:r>
      <w:r w:rsidR="000B746B">
        <w:rPr>
          <w:rFonts w:eastAsia="Aptos"/>
        </w:rPr>
        <w:t>d</w:t>
      </w:r>
      <w:r w:rsidR="000B746B" w:rsidRPr="00544EA2">
        <w:rPr>
          <w:rFonts w:eastAsia="Aptos"/>
        </w:rPr>
        <w:t>elegates</w:t>
      </w:r>
      <w:r w:rsidRPr="00544EA2">
        <w:rPr>
          <w:rFonts w:eastAsia="Aptos"/>
        </w:rPr>
        <w:t>:</w:t>
      </w:r>
    </w:p>
    <w:p w14:paraId="45CE5DB3" w14:textId="77777777" w:rsidR="003B0176" w:rsidRPr="00544EA2" w:rsidRDefault="003B0176" w:rsidP="00DF3F6B">
      <w:pPr>
        <w:numPr>
          <w:ilvl w:val="0"/>
          <w:numId w:val="280"/>
        </w:numPr>
        <w:spacing w:before="240" w:after="240" w:line="240" w:lineRule="auto"/>
        <w:contextualSpacing/>
        <w:rPr>
          <w:rFonts w:eastAsia="Aptos"/>
          <w:b/>
        </w:rPr>
      </w:pPr>
      <w:r w:rsidRPr="00544EA2">
        <w:rPr>
          <w:rFonts w:eastAsia="Aptos"/>
        </w:rPr>
        <w:t>Validate the assessment process</w:t>
      </w:r>
    </w:p>
    <w:p w14:paraId="18ED7725" w14:textId="77777777" w:rsidR="003B0176" w:rsidRPr="00544EA2" w:rsidRDefault="003B0176" w:rsidP="00DF3F6B">
      <w:pPr>
        <w:numPr>
          <w:ilvl w:val="0"/>
          <w:numId w:val="280"/>
        </w:numPr>
        <w:spacing w:before="240" w:after="240" w:line="240" w:lineRule="auto"/>
        <w:contextualSpacing/>
        <w:rPr>
          <w:rFonts w:eastAsia="Aptos"/>
          <w:b/>
        </w:rPr>
      </w:pPr>
      <w:r w:rsidRPr="00544EA2">
        <w:rPr>
          <w:rFonts w:eastAsia="Aptos"/>
        </w:rPr>
        <w:t xml:space="preserve">Review the assessment evidence </w:t>
      </w:r>
    </w:p>
    <w:p w14:paraId="45492D54" w14:textId="77777777" w:rsidR="00E22684" w:rsidRDefault="00E22684" w:rsidP="00622CFF">
      <w:pPr>
        <w:spacing w:before="240" w:after="240" w:line="240" w:lineRule="auto"/>
        <w:rPr>
          <w:rFonts w:eastAsia="Aptos"/>
          <w:b/>
        </w:rPr>
      </w:pPr>
    </w:p>
    <w:p w14:paraId="69008095" w14:textId="11BE403B" w:rsidR="003B0176" w:rsidRPr="00544EA2" w:rsidRDefault="003B0176" w:rsidP="00C325C6">
      <w:pPr>
        <w:pStyle w:val="Sub-headings"/>
      </w:pPr>
      <w:r w:rsidRPr="00005E87">
        <w:t>Note</w:t>
      </w:r>
      <w:r w:rsidRPr="1D7BB005">
        <w:t>:</w:t>
      </w:r>
      <w:r w:rsidRPr="00544EA2">
        <w:t xml:space="preserve"> It is important that </w:t>
      </w:r>
      <w:r w:rsidR="000B746B">
        <w:t>a</w:t>
      </w:r>
      <w:r w:rsidR="000B746B" w:rsidRPr="00544EA2">
        <w:t>ssessment</w:t>
      </w:r>
      <w:r w:rsidRPr="00544EA2" w:rsidDel="000B746B">
        <w:t xml:space="preserve"> </w:t>
      </w:r>
      <w:r w:rsidR="000B746B">
        <w:t>d</w:t>
      </w:r>
      <w:r w:rsidR="000B746B" w:rsidRPr="00544EA2">
        <w:t xml:space="preserve">elegates </w:t>
      </w:r>
      <w:r w:rsidRPr="00544EA2">
        <w:t xml:space="preserve">check that an individual’s eligibility for an aged care needs assessment is thoroughly documented and supported by evidence.  The </w:t>
      </w:r>
      <w:r w:rsidRPr="004B18AC">
        <w:t xml:space="preserve">Corrections </w:t>
      </w:r>
      <w:r w:rsidRPr="00544EA2">
        <w:t xml:space="preserve">and </w:t>
      </w:r>
      <w:r w:rsidRPr="004B18AC">
        <w:t>Reconsiderations</w:t>
      </w:r>
      <w:r w:rsidRPr="00544EA2">
        <w:t xml:space="preserve"> sections in Chapter </w:t>
      </w:r>
      <w:r w:rsidR="0040621B">
        <w:fldChar w:fldCharType="begin"/>
      </w:r>
      <w:r w:rsidR="0040621B">
        <w:instrText xml:space="preserve"> REF _Ref212736079 \w \h </w:instrText>
      </w:r>
      <w:r w:rsidR="0040621B">
        <w:fldChar w:fldCharType="separate"/>
      </w:r>
      <w:r w:rsidR="00F97942">
        <w:t>11</w:t>
      </w:r>
      <w:r w:rsidR="0040621B">
        <w:fldChar w:fldCharType="end"/>
      </w:r>
      <w:r w:rsidRPr="00544EA2">
        <w:t xml:space="preserve"> provide information on what </w:t>
      </w:r>
      <w:r w:rsidR="00A04FEB">
        <w:t>assessment delegates</w:t>
      </w:r>
      <w:r w:rsidR="00A04FEB" w:rsidRPr="1D7BB005">
        <w:t xml:space="preserve"> </w:t>
      </w:r>
      <w:r w:rsidRPr="00544EA2">
        <w:t xml:space="preserve">should do if you have concerns about their eligibility for an aged care needs assessment. </w:t>
      </w:r>
    </w:p>
    <w:p w14:paraId="5351D288" w14:textId="77777777" w:rsidR="003B0176" w:rsidRPr="00544EA2" w:rsidRDefault="003B0176" w:rsidP="00C56CEC">
      <w:pPr>
        <w:pStyle w:val="H3"/>
      </w:pPr>
      <w:bookmarkStart w:id="674" w:name="_Toc198787158"/>
      <w:bookmarkStart w:id="675" w:name="_Toc655187190"/>
      <w:bookmarkStart w:id="676" w:name="_Toc199344530"/>
      <w:bookmarkStart w:id="677" w:name="_Toc205372060"/>
      <w:bookmarkStart w:id="678" w:name="_Toc207713965"/>
      <w:r w:rsidRPr="00544EA2">
        <w:t>Validating the assessment process</w:t>
      </w:r>
      <w:bookmarkEnd w:id="674"/>
      <w:bookmarkEnd w:id="675"/>
      <w:bookmarkEnd w:id="676"/>
      <w:bookmarkEnd w:id="677"/>
      <w:bookmarkEnd w:id="678"/>
    </w:p>
    <w:p w14:paraId="050695A9" w14:textId="5748EECF" w:rsidR="003B0176" w:rsidRPr="00544EA2" w:rsidRDefault="003B0176" w:rsidP="00622CFF">
      <w:pPr>
        <w:spacing w:before="240" w:after="240" w:line="240" w:lineRule="auto"/>
        <w:rPr>
          <w:rFonts w:eastAsia="Aptos"/>
        </w:rPr>
      </w:pPr>
      <w:r w:rsidRPr="00544EA2" w:rsidDel="00C3742B">
        <w:rPr>
          <w:rFonts w:eastAsia="Aptos"/>
        </w:rPr>
        <w:t xml:space="preserve">Assessment </w:t>
      </w:r>
      <w:r w:rsidR="00A04FEB">
        <w:rPr>
          <w:rFonts w:eastAsia="Aptos"/>
        </w:rPr>
        <w:t>d</w:t>
      </w:r>
      <w:r w:rsidR="00A04FEB" w:rsidRPr="00544EA2">
        <w:rPr>
          <w:rFonts w:eastAsia="Aptos"/>
        </w:rPr>
        <w:t xml:space="preserve">elegates </w:t>
      </w:r>
      <w:r w:rsidRPr="00544EA2">
        <w:rPr>
          <w:rFonts w:eastAsia="Aptos"/>
        </w:rPr>
        <w:t xml:space="preserve">must ensure that the correct assessment processes have been followed by the assessor. </w:t>
      </w:r>
      <w:r w:rsidRPr="003A3B43">
        <w:rPr>
          <w:rFonts w:eastAsia="Aptos"/>
        </w:rPr>
        <w:t xml:space="preserve">Section 62 of the </w:t>
      </w:r>
      <w:r w:rsidR="001819FA">
        <w:rPr>
          <w:rFonts w:eastAsia="Aptos"/>
        </w:rPr>
        <w:t xml:space="preserve">Aged Care 2024 (the </w:t>
      </w:r>
      <w:r w:rsidRPr="003A3B43">
        <w:rPr>
          <w:rFonts w:eastAsia="Aptos"/>
          <w:bCs/>
        </w:rPr>
        <w:t>Act</w:t>
      </w:r>
      <w:r w:rsidR="001819FA">
        <w:rPr>
          <w:rFonts w:eastAsia="Aptos"/>
          <w:bCs/>
        </w:rPr>
        <w:t>)</w:t>
      </w:r>
      <w:r>
        <w:rPr>
          <w:rFonts w:eastAsia="Aptos"/>
          <w:bCs/>
        </w:rPr>
        <w:t xml:space="preserve"> </w:t>
      </w:r>
      <w:r w:rsidRPr="00544EA2">
        <w:rPr>
          <w:rFonts w:eastAsia="Aptos"/>
          <w:i/>
        </w:rPr>
        <w:t>Undertaking aged care needs assessments</w:t>
      </w:r>
      <w:r w:rsidRPr="00544EA2">
        <w:rPr>
          <w:rFonts w:eastAsia="Aptos"/>
          <w:b/>
        </w:rPr>
        <w:t xml:space="preserve">, </w:t>
      </w:r>
      <w:r w:rsidRPr="00544EA2">
        <w:rPr>
          <w:rFonts w:eastAsia="Aptos"/>
        </w:rPr>
        <w:t>sets out how an aged care needs assessment must be completed and the key components it must include.</w:t>
      </w:r>
    </w:p>
    <w:p w14:paraId="68A8173C" w14:textId="6E32A0CF" w:rsidR="003B0176" w:rsidRPr="00544EA2" w:rsidRDefault="003B0176" w:rsidP="00622CFF">
      <w:pPr>
        <w:spacing w:before="240" w:after="240" w:line="240" w:lineRule="auto"/>
        <w:rPr>
          <w:rFonts w:eastAsia="Aptos"/>
        </w:rPr>
      </w:pPr>
      <w:r w:rsidRPr="00544EA2">
        <w:rPr>
          <w:rFonts w:eastAsia="Aptos"/>
        </w:rPr>
        <w:t xml:space="preserve">In line with the Act, </w:t>
      </w:r>
      <w:r w:rsidR="00A04FEB">
        <w:rPr>
          <w:rFonts w:eastAsia="Aptos"/>
        </w:rPr>
        <w:t>a</w:t>
      </w:r>
      <w:r w:rsidR="00A04FEB" w:rsidRPr="00544EA2">
        <w:rPr>
          <w:rFonts w:eastAsia="Aptos"/>
        </w:rPr>
        <w:t xml:space="preserve">ssessment </w:t>
      </w:r>
      <w:r w:rsidR="00A04FEB">
        <w:rPr>
          <w:rFonts w:eastAsia="Aptos"/>
        </w:rPr>
        <w:t>d</w:t>
      </w:r>
      <w:r w:rsidR="00A04FEB" w:rsidRPr="00544EA2">
        <w:rPr>
          <w:rFonts w:eastAsia="Aptos"/>
        </w:rPr>
        <w:t xml:space="preserve">elegates </w:t>
      </w:r>
      <w:r w:rsidRPr="00544EA2">
        <w:rPr>
          <w:rFonts w:eastAsia="Aptos"/>
        </w:rPr>
        <w:t>must confirm the assessment:</w:t>
      </w:r>
    </w:p>
    <w:p w14:paraId="13904466"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Was completed by an approved aged care assessor.</w:t>
      </w:r>
    </w:p>
    <w:p w14:paraId="209CAA3D" w14:textId="20A29558"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 xml:space="preserve">Was completed using the </w:t>
      </w:r>
      <w:r w:rsidR="00882920">
        <w:rPr>
          <w:rFonts w:eastAsia="Aptos"/>
        </w:rPr>
        <w:t xml:space="preserve">Integrated Assessment Tool </w:t>
      </w:r>
    </w:p>
    <w:p w14:paraId="353BADF1"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Used the appropriate assessment tools.</w:t>
      </w:r>
    </w:p>
    <w:p w14:paraId="4D8CD0D7" w14:textId="764C9E22"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 xml:space="preserve">Has appropriately evidenced and aligned recommended funded aged care services with the </w:t>
      </w:r>
      <w:r w:rsidR="00516348">
        <w:rPr>
          <w:rFonts w:eastAsia="Aptos"/>
        </w:rPr>
        <w:t>older pe</w:t>
      </w:r>
      <w:r w:rsidR="002E228E">
        <w:rPr>
          <w:rFonts w:eastAsia="Aptos"/>
        </w:rPr>
        <w:t>rson’s</w:t>
      </w:r>
      <w:r w:rsidRPr="00544EA2">
        <w:rPr>
          <w:rFonts w:eastAsia="Aptos"/>
        </w:rPr>
        <w:t xml:space="preserve"> immediate care needs.</w:t>
      </w:r>
    </w:p>
    <w:p w14:paraId="2E349D3A"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Includes a discussion with the older person about:</w:t>
      </w:r>
    </w:p>
    <w:p w14:paraId="33807ABC"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 xml:space="preserve">What the assessment has identified in terms of funded aged care services. </w:t>
      </w:r>
    </w:p>
    <w:p w14:paraId="62F14EC5"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How recommended aged care services may assist the older person to maintain their independence.</w:t>
      </w:r>
    </w:p>
    <w:p w14:paraId="5E67B88D" w14:textId="745B885E"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 xml:space="preserve">The </w:t>
      </w:r>
      <w:r w:rsidR="00516348">
        <w:rPr>
          <w:rFonts w:eastAsia="Aptos"/>
        </w:rPr>
        <w:t>older pe</w:t>
      </w:r>
      <w:r w:rsidR="004D7E24">
        <w:rPr>
          <w:rFonts w:eastAsia="Aptos"/>
        </w:rPr>
        <w:t>rson’s</w:t>
      </w:r>
      <w:r w:rsidRPr="00544EA2">
        <w:rPr>
          <w:rFonts w:eastAsia="Aptos"/>
        </w:rPr>
        <w:t xml:space="preserve"> strengths and motivations in setting individualised goals.</w:t>
      </w:r>
    </w:p>
    <w:p w14:paraId="4C1FE305"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The next steps in their application for funded aged care services.</w:t>
      </w:r>
    </w:p>
    <w:p w14:paraId="7E5522EF" w14:textId="77777777" w:rsidR="003B0176" w:rsidRPr="00544EA2" w:rsidRDefault="003B0176" w:rsidP="00DF3F6B">
      <w:pPr>
        <w:numPr>
          <w:ilvl w:val="1"/>
          <w:numId w:val="278"/>
        </w:numPr>
        <w:spacing w:before="240" w:after="240" w:line="240" w:lineRule="auto"/>
        <w:contextualSpacing/>
        <w:rPr>
          <w:rFonts w:eastAsia="Aptos"/>
        </w:rPr>
      </w:pPr>
      <w:r w:rsidRPr="00544EA2">
        <w:rPr>
          <w:rFonts w:eastAsia="Aptos"/>
        </w:rPr>
        <w:t xml:space="preserve">Advising the older person how they will be informed of the outcome of their application, including the expected timeframe for receiving a notice of decision, and the support available to help them make appropriate linkages to services as required. </w:t>
      </w:r>
    </w:p>
    <w:p w14:paraId="232A2F26" w14:textId="77777777" w:rsidR="003B0176" w:rsidRPr="00544EA2" w:rsidRDefault="003B0176" w:rsidP="00DF3F6B">
      <w:pPr>
        <w:numPr>
          <w:ilvl w:val="0"/>
          <w:numId w:val="278"/>
        </w:numPr>
        <w:spacing w:before="240" w:after="240" w:line="240" w:lineRule="auto"/>
        <w:contextualSpacing/>
        <w:rPr>
          <w:rFonts w:eastAsia="Aptos"/>
        </w:rPr>
      </w:pPr>
      <w:r w:rsidRPr="00544EA2">
        <w:rPr>
          <w:rFonts w:eastAsia="Aptos"/>
        </w:rPr>
        <w:t>Involves the registered support persons, if this was required and requested by the individual.</w:t>
      </w:r>
    </w:p>
    <w:p w14:paraId="245F9641" w14:textId="77777777" w:rsidR="003B0176" w:rsidRDefault="003B0176" w:rsidP="00622CFF">
      <w:pPr>
        <w:spacing w:before="240" w:after="240" w:line="240" w:lineRule="auto"/>
        <w:rPr>
          <w:rFonts w:eastAsia="Aptos"/>
        </w:rPr>
      </w:pPr>
    </w:p>
    <w:p w14:paraId="0214001A" w14:textId="6F7736E7" w:rsidR="004E0DC5" w:rsidRDefault="003B0176" w:rsidP="00622CFF">
      <w:pPr>
        <w:spacing w:before="240" w:after="240" w:line="240" w:lineRule="auto"/>
        <w:rPr>
          <w:rFonts w:eastAsia="Aptos"/>
        </w:rPr>
      </w:pPr>
      <w:r w:rsidRPr="00544EA2">
        <w:rPr>
          <w:rFonts w:eastAsia="Aptos"/>
        </w:rPr>
        <w:t>Assessment</w:t>
      </w:r>
      <w:r w:rsidRPr="00544EA2" w:rsidDel="00921039">
        <w:rPr>
          <w:rFonts w:eastAsia="Aptos"/>
        </w:rPr>
        <w:t xml:space="preserve"> </w:t>
      </w:r>
      <w:r w:rsidR="00921039">
        <w:rPr>
          <w:rFonts w:eastAsia="Aptos"/>
        </w:rPr>
        <w:t>d</w:t>
      </w:r>
      <w:r w:rsidR="00921039" w:rsidRPr="00544EA2">
        <w:rPr>
          <w:rFonts w:eastAsia="Aptos"/>
        </w:rPr>
        <w:t xml:space="preserve">elegates </w:t>
      </w:r>
      <w:r w:rsidRPr="00544EA2">
        <w:rPr>
          <w:rFonts w:eastAsia="Aptos"/>
        </w:rPr>
        <w:t xml:space="preserve">can find further detail and guidance regarding best practice for the above steps in Chapter </w:t>
      </w:r>
      <w:r w:rsidR="0040621B">
        <w:rPr>
          <w:rFonts w:eastAsia="Aptos"/>
        </w:rPr>
        <w:fldChar w:fldCharType="begin"/>
      </w:r>
      <w:r w:rsidR="0040621B">
        <w:rPr>
          <w:rFonts w:eastAsia="Aptos"/>
        </w:rPr>
        <w:instrText xml:space="preserve"> REF _Ref212736098 \w \h </w:instrText>
      </w:r>
      <w:r w:rsidR="0040621B">
        <w:rPr>
          <w:rFonts w:eastAsia="Aptos"/>
        </w:rPr>
      </w:r>
      <w:r w:rsidR="0040621B">
        <w:rPr>
          <w:rFonts w:eastAsia="Aptos"/>
        </w:rPr>
        <w:fldChar w:fldCharType="separate"/>
      </w:r>
      <w:r w:rsidR="00F97942">
        <w:rPr>
          <w:rFonts w:eastAsia="Aptos"/>
        </w:rPr>
        <w:t>5</w:t>
      </w:r>
      <w:r w:rsidR="0040621B">
        <w:rPr>
          <w:rFonts w:eastAsia="Aptos"/>
        </w:rPr>
        <w:fldChar w:fldCharType="end"/>
      </w:r>
      <w:r w:rsidRPr="00544EA2">
        <w:rPr>
          <w:rFonts w:eastAsia="Aptos"/>
        </w:rPr>
        <w:t xml:space="preserve"> </w:t>
      </w:r>
      <w:r w:rsidRPr="00D55E52">
        <w:rPr>
          <w:rFonts w:eastAsia="Aptos"/>
          <w:i/>
        </w:rPr>
        <w:t>Assessment Activities</w:t>
      </w:r>
      <w:r w:rsidRPr="00544EA2">
        <w:rPr>
          <w:rFonts w:eastAsia="Aptos"/>
        </w:rPr>
        <w:t xml:space="preserve"> and Chapter </w:t>
      </w:r>
      <w:r w:rsidR="0040621B">
        <w:rPr>
          <w:rFonts w:eastAsia="Aptos"/>
        </w:rPr>
        <w:fldChar w:fldCharType="begin"/>
      </w:r>
      <w:r w:rsidR="0040621B">
        <w:rPr>
          <w:rFonts w:eastAsia="Aptos"/>
        </w:rPr>
        <w:instrText xml:space="preserve"> REF _Ref212736115 \w \h </w:instrText>
      </w:r>
      <w:r w:rsidR="0040621B">
        <w:rPr>
          <w:rFonts w:eastAsia="Aptos"/>
        </w:rPr>
      </w:r>
      <w:r w:rsidR="0040621B">
        <w:rPr>
          <w:rFonts w:eastAsia="Aptos"/>
        </w:rPr>
        <w:fldChar w:fldCharType="separate"/>
      </w:r>
      <w:r w:rsidR="00F97942">
        <w:rPr>
          <w:rFonts w:eastAsia="Aptos"/>
        </w:rPr>
        <w:t>6</w:t>
      </w:r>
      <w:r w:rsidR="0040621B">
        <w:rPr>
          <w:rFonts w:eastAsia="Aptos"/>
        </w:rPr>
        <w:fldChar w:fldCharType="end"/>
      </w:r>
      <w:r w:rsidRPr="00544EA2">
        <w:rPr>
          <w:rFonts w:eastAsia="Aptos"/>
        </w:rPr>
        <w:t xml:space="preserve"> </w:t>
      </w:r>
      <w:r w:rsidRPr="00CC2847">
        <w:rPr>
          <w:rFonts w:eastAsia="Aptos"/>
          <w:i/>
        </w:rPr>
        <w:t>Aged Care Programs</w:t>
      </w:r>
      <w:r w:rsidRPr="00544EA2">
        <w:rPr>
          <w:rFonts w:eastAsia="Aptos"/>
        </w:rPr>
        <w:t xml:space="preserve"> of this </w:t>
      </w:r>
      <w:r w:rsidR="00EF496A">
        <w:rPr>
          <w:rFonts w:eastAsia="Aptos"/>
        </w:rPr>
        <w:t>m</w:t>
      </w:r>
      <w:r w:rsidRPr="00544EA2">
        <w:rPr>
          <w:rFonts w:eastAsia="Aptos"/>
        </w:rPr>
        <w:t xml:space="preserve">anual. </w:t>
      </w:r>
    </w:p>
    <w:p w14:paraId="4C45BB9D" w14:textId="04BB030A" w:rsidR="003B0176" w:rsidRPr="00544EA2" w:rsidRDefault="004E0DC5" w:rsidP="004E0DC5">
      <w:pPr>
        <w:rPr>
          <w:rFonts w:eastAsia="Aptos"/>
        </w:rPr>
      </w:pPr>
      <w:r>
        <w:rPr>
          <w:rFonts w:eastAsia="Aptos"/>
        </w:rPr>
        <w:br w:type="page"/>
      </w:r>
    </w:p>
    <w:p w14:paraId="346EAAB2" w14:textId="03AEA878" w:rsidR="005960D3" w:rsidRPr="0003231B" w:rsidRDefault="003B0176" w:rsidP="00C325C6">
      <w:pPr>
        <w:pStyle w:val="Sub-headings"/>
      </w:pPr>
      <w:r w:rsidRPr="00797EE0">
        <w:t>Note</w:t>
      </w:r>
      <w:r>
        <w:t>:</w:t>
      </w:r>
    </w:p>
    <w:p w14:paraId="545499AB" w14:textId="386C791A" w:rsidR="003B0176" w:rsidRPr="00494FE5" w:rsidRDefault="003B0176" w:rsidP="00C325C6">
      <w:pPr>
        <w:pStyle w:val="Sub-headings"/>
      </w:pPr>
      <w:r w:rsidRPr="00494FE5">
        <w:t>Supporting independence, autonomy, empowerment and freedom of choice.</w:t>
      </w:r>
    </w:p>
    <w:p w14:paraId="4C98261D" w14:textId="27125B5E" w:rsidR="003B0176" w:rsidRPr="00494FE5" w:rsidRDefault="003B0176" w:rsidP="00C325C6">
      <w:pPr>
        <w:pStyle w:val="Sub-headings"/>
      </w:pPr>
      <w:r w:rsidRPr="00494FE5">
        <w:t xml:space="preserve">During the assessment, the assessor must </w:t>
      </w:r>
      <w:r w:rsidR="004E0DC5">
        <w:t xml:space="preserve">ensure </w:t>
      </w:r>
      <w:r w:rsidR="004E0DC5" w:rsidRPr="00494FE5">
        <w:t>the</w:t>
      </w:r>
      <w:r w:rsidRPr="00494FE5">
        <w:t xml:space="preserve"> individual </w:t>
      </w:r>
      <w:r w:rsidR="00941788">
        <w:t xml:space="preserve">they are assessing is </w:t>
      </w:r>
      <w:r w:rsidRPr="00494FE5">
        <w:t>aware of</w:t>
      </w:r>
      <w:r w:rsidR="00941788">
        <w:t xml:space="preserve"> their rights under </w:t>
      </w:r>
      <w:r w:rsidR="00A65B5E" w:rsidRPr="00494FE5">
        <w:t>Section 23 Statement of Rights</w:t>
      </w:r>
      <w:r w:rsidR="00742F82">
        <w:t xml:space="preserve"> of the Aged Care Act 2024</w:t>
      </w:r>
      <w:r w:rsidR="00A65B5E">
        <w:t xml:space="preserve"> </w:t>
      </w:r>
      <w:r w:rsidR="004E0DC5">
        <w:t>and</w:t>
      </w:r>
      <w:r w:rsidR="004E0DC5" w:rsidRPr="00494FE5">
        <w:t xml:space="preserve"> support</w:t>
      </w:r>
      <w:r w:rsidRPr="00494FE5">
        <w:t xml:space="preserve"> them to understand and empower them to exercise the</w:t>
      </w:r>
      <w:r w:rsidR="00A65B5E">
        <w:t>se</w:t>
      </w:r>
      <w:r w:rsidRPr="00494FE5">
        <w:t xml:space="preserve"> right</w:t>
      </w:r>
      <w:r w:rsidR="004E0DC5">
        <w:t>s</w:t>
      </w:r>
      <w:r w:rsidRPr="00494FE5">
        <w:t xml:space="preserve">. </w:t>
      </w:r>
    </w:p>
    <w:p w14:paraId="14ECD4BB" w14:textId="77777777" w:rsidR="005E55AE" w:rsidRDefault="005E55AE" w:rsidP="00622CFF">
      <w:pPr>
        <w:spacing w:before="240" w:after="240" w:line="240" w:lineRule="auto"/>
      </w:pPr>
      <w:bookmarkStart w:id="679" w:name="_Toc198787159"/>
      <w:bookmarkStart w:id="680" w:name="_Toc231544437"/>
      <w:bookmarkStart w:id="681" w:name="_Toc199344531"/>
      <w:bookmarkStart w:id="682" w:name="_Toc205372061"/>
      <w:bookmarkStart w:id="683" w:name="_Toc207713966"/>
    </w:p>
    <w:p w14:paraId="03FB1416" w14:textId="77777777" w:rsidR="003B0176" w:rsidRPr="00544EA2" w:rsidRDefault="003B0176" w:rsidP="00C56CEC">
      <w:pPr>
        <w:pStyle w:val="H3"/>
      </w:pPr>
      <w:r w:rsidRPr="00544EA2">
        <w:t>Review the assessment evidence</w:t>
      </w:r>
      <w:bookmarkEnd w:id="679"/>
      <w:bookmarkEnd w:id="680"/>
      <w:bookmarkEnd w:id="681"/>
      <w:bookmarkEnd w:id="682"/>
      <w:bookmarkEnd w:id="683"/>
      <w:r w:rsidRPr="00544EA2">
        <w:t xml:space="preserve"> </w:t>
      </w:r>
    </w:p>
    <w:p w14:paraId="523E3289" w14:textId="11522AD4" w:rsidR="003B0176" w:rsidRPr="00544EA2" w:rsidRDefault="003B0176" w:rsidP="00622CFF">
      <w:pPr>
        <w:spacing w:before="240" w:after="240" w:line="240" w:lineRule="auto"/>
        <w:rPr>
          <w:rFonts w:eastAsia="Aptos"/>
        </w:rPr>
      </w:pPr>
      <w:r w:rsidRPr="00544EA2">
        <w:rPr>
          <w:rFonts w:eastAsia="Aptos"/>
        </w:rPr>
        <w:t>Assessment</w:t>
      </w:r>
      <w:r w:rsidRPr="00544EA2" w:rsidDel="00CD0CC5">
        <w:rPr>
          <w:rFonts w:eastAsia="Aptos"/>
        </w:rPr>
        <w:t xml:space="preserve"> </w:t>
      </w:r>
      <w:r w:rsidR="00CD0CC5">
        <w:rPr>
          <w:rFonts w:eastAsia="Aptos"/>
        </w:rPr>
        <w:t>d</w:t>
      </w:r>
      <w:r w:rsidR="00CD0CC5" w:rsidRPr="00544EA2">
        <w:rPr>
          <w:rFonts w:eastAsia="Aptos"/>
        </w:rPr>
        <w:t xml:space="preserve">elegates </w:t>
      </w:r>
      <w:r w:rsidRPr="00544EA2">
        <w:rPr>
          <w:rFonts w:eastAsia="Aptos"/>
        </w:rPr>
        <w:t>must ensure that all assessment information and documentation submitted by the assessor is</w:t>
      </w:r>
      <w:r w:rsidRPr="00544EA2">
        <w:rPr>
          <w:rFonts w:eastAsia="Aptos" w:hint="eastAsia"/>
        </w:rPr>
        <w:t> </w:t>
      </w:r>
      <w:r w:rsidRPr="00544EA2">
        <w:rPr>
          <w:rFonts w:eastAsia="Aptos"/>
        </w:rPr>
        <w:t>accurate, relevant, and of high quality.</w:t>
      </w:r>
    </w:p>
    <w:p w14:paraId="34E5A2CE" w14:textId="45188179" w:rsidR="003B0176" w:rsidRPr="00544EA2" w:rsidRDefault="003B0176" w:rsidP="00622CFF">
      <w:pPr>
        <w:spacing w:before="240" w:after="240" w:line="240" w:lineRule="auto"/>
        <w:rPr>
          <w:rFonts w:eastAsia="Aptos"/>
        </w:rPr>
      </w:pPr>
      <w:r w:rsidRPr="00544EA2">
        <w:rPr>
          <w:rFonts w:eastAsia="Aptos"/>
        </w:rPr>
        <w:t xml:space="preserve">Assessment </w:t>
      </w:r>
      <w:r w:rsidR="00CD0CC5">
        <w:rPr>
          <w:rFonts w:eastAsia="Aptos"/>
        </w:rPr>
        <w:t>d</w:t>
      </w:r>
      <w:r w:rsidR="00CD0CC5" w:rsidRPr="00544EA2">
        <w:rPr>
          <w:rFonts w:eastAsia="Aptos"/>
        </w:rPr>
        <w:t xml:space="preserve">elegates </w:t>
      </w:r>
      <w:r w:rsidRPr="00544EA2">
        <w:rPr>
          <w:rFonts w:eastAsia="Aptos"/>
        </w:rPr>
        <w:t>must carefully examine the documentation to confirm:</w:t>
      </w:r>
    </w:p>
    <w:p w14:paraId="68A37F1E" w14:textId="77777777" w:rsidR="003B0176" w:rsidRPr="00544EA2" w:rsidRDefault="003B0176" w:rsidP="00DF3F6B">
      <w:pPr>
        <w:numPr>
          <w:ilvl w:val="0"/>
          <w:numId w:val="279"/>
        </w:numPr>
        <w:spacing w:before="240" w:after="240" w:line="240" w:lineRule="auto"/>
        <w:contextualSpacing/>
        <w:rPr>
          <w:rFonts w:eastAsia="Aptos"/>
        </w:rPr>
      </w:pPr>
      <w:r w:rsidRPr="00544EA2">
        <w:rPr>
          <w:rFonts w:eastAsia="Aptos"/>
        </w:rPr>
        <w:t>It provides a thorough and clear record of the entire assessment process.</w:t>
      </w:r>
    </w:p>
    <w:p w14:paraId="63508A46" w14:textId="51A4C666" w:rsidR="003B0176" w:rsidRPr="00544EA2" w:rsidRDefault="003B0176" w:rsidP="00DF3F6B">
      <w:pPr>
        <w:numPr>
          <w:ilvl w:val="0"/>
          <w:numId w:val="279"/>
        </w:numPr>
        <w:spacing w:before="240" w:after="240" w:line="240" w:lineRule="auto"/>
        <w:contextualSpacing/>
        <w:rPr>
          <w:rFonts w:eastAsia="Aptos"/>
        </w:rPr>
      </w:pPr>
      <w:r w:rsidRPr="00544EA2">
        <w:rPr>
          <w:rFonts w:eastAsia="Aptos"/>
        </w:rPr>
        <w:t>It demonstrates the assessor</w:t>
      </w:r>
      <w:r w:rsidR="00D54B50">
        <w:rPr>
          <w:rFonts w:eastAsia="Aptos"/>
        </w:rPr>
        <w:t>’</w:t>
      </w:r>
      <w:r w:rsidRPr="00544EA2">
        <w:rPr>
          <w:rFonts w:eastAsia="Aptos"/>
        </w:rPr>
        <w:t>s reasoning.</w:t>
      </w:r>
    </w:p>
    <w:p w14:paraId="23D57A3F" w14:textId="77777777" w:rsidR="003B0176" w:rsidRPr="00544EA2" w:rsidRDefault="003B0176" w:rsidP="00DF3F6B">
      <w:pPr>
        <w:numPr>
          <w:ilvl w:val="0"/>
          <w:numId w:val="279"/>
        </w:numPr>
        <w:spacing w:before="240" w:after="240" w:line="240" w:lineRule="auto"/>
        <w:contextualSpacing/>
        <w:rPr>
          <w:rFonts w:eastAsia="Aptos"/>
        </w:rPr>
      </w:pPr>
      <w:r w:rsidRPr="00544EA2">
        <w:rPr>
          <w:rFonts w:eastAsia="Aptos"/>
        </w:rPr>
        <w:t>The evidence presented adequately supports their recommendations for aged care services.</w:t>
      </w:r>
    </w:p>
    <w:p w14:paraId="4FBF7C0E" w14:textId="77777777" w:rsidR="003B0176" w:rsidRPr="00544EA2" w:rsidRDefault="003B0176" w:rsidP="00622CFF">
      <w:pPr>
        <w:spacing w:before="240" w:after="240" w:line="240" w:lineRule="auto"/>
        <w:rPr>
          <w:rFonts w:eastAsia="Aptos"/>
        </w:rPr>
      </w:pPr>
    </w:p>
    <w:p w14:paraId="52983C6A" w14:textId="43FF209C" w:rsidR="00C33F48" w:rsidRPr="00C33F48" w:rsidRDefault="00C33F48" w:rsidP="00C33F48">
      <w:pPr>
        <w:spacing w:before="240" w:after="240" w:line="240" w:lineRule="auto"/>
        <w:rPr>
          <w:rFonts w:eastAsia="Aptos"/>
          <w:lang w:val="en-AU"/>
        </w:rPr>
      </w:pPr>
      <w:r w:rsidRPr="00C33F48">
        <w:rPr>
          <w:rFonts w:eastAsia="Aptos"/>
          <w:lang w:val="en-AU"/>
        </w:rPr>
        <w:t xml:space="preserve">Assessment </w:t>
      </w:r>
      <w:r w:rsidR="00973A73">
        <w:rPr>
          <w:rFonts w:eastAsia="Aptos"/>
          <w:lang w:val="en-AU"/>
        </w:rPr>
        <w:t>d</w:t>
      </w:r>
      <w:r w:rsidR="00973A73" w:rsidRPr="00C33F48">
        <w:rPr>
          <w:rFonts w:eastAsia="Aptos"/>
          <w:lang w:val="en-AU"/>
        </w:rPr>
        <w:t xml:space="preserve">elegates </w:t>
      </w:r>
      <w:r w:rsidRPr="00C33F48">
        <w:rPr>
          <w:rFonts w:eastAsia="Aptos"/>
          <w:lang w:val="en-AU"/>
        </w:rPr>
        <w:t xml:space="preserve">may return the </w:t>
      </w:r>
      <w:r w:rsidR="00973A73">
        <w:rPr>
          <w:rFonts w:eastAsia="Aptos"/>
          <w:lang w:val="en-AU"/>
        </w:rPr>
        <w:t>s</w:t>
      </w:r>
      <w:r w:rsidRPr="00C33F48">
        <w:rPr>
          <w:rFonts w:eastAsia="Aptos"/>
          <w:lang w:val="en-AU"/>
        </w:rPr>
        <w:t xml:space="preserve">upport </w:t>
      </w:r>
      <w:r w:rsidR="00973A73">
        <w:rPr>
          <w:rFonts w:eastAsia="Aptos"/>
          <w:lang w:val="en-AU"/>
        </w:rPr>
        <w:t>p</w:t>
      </w:r>
      <w:r w:rsidRPr="00C33F48">
        <w:rPr>
          <w:rFonts w:eastAsia="Aptos"/>
          <w:lang w:val="en-AU"/>
        </w:rPr>
        <w:t xml:space="preserve">lan to the assessor if it lacks sufficient detail, contains errors, or includes inconsistencies. When doing so, </w:t>
      </w:r>
      <w:r w:rsidR="005B181F">
        <w:rPr>
          <w:rFonts w:eastAsia="Aptos"/>
          <w:lang w:val="en-AU"/>
        </w:rPr>
        <w:t>d</w:t>
      </w:r>
      <w:r w:rsidR="005B181F" w:rsidRPr="00C33F48">
        <w:rPr>
          <w:rFonts w:eastAsia="Aptos"/>
          <w:lang w:val="en-AU"/>
        </w:rPr>
        <w:t xml:space="preserve">elegates </w:t>
      </w:r>
      <w:r w:rsidRPr="00C33F48">
        <w:rPr>
          <w:rFonts w:eastAsia="Aptos"/>
          <w:lang w:val="en-AU"/>
        </w:rPr>
        <w:t>must clearly outline the required amendments and ensure that appropriate quality assurance checks are completed.</w:t>
      </w:r>
    </w:p>
    <w:p w14:paraId="446CCAF9" w14:textId="558EC81E" w:rsidR="00C33F48" w:rsidRPr="00DB5EA1" w:rsidRDefault="00C33F48" w:rsidP="00C325C6">
      <w:pPr>
        <w:pStyle w:val="Sub-headings"/>
      </w:pPr>
      <w:r w:rsidRPr="00005E87">
        <w:t>Note</w:t>
      </w:r>
      <w:r w:rsidR="00797EE0">
        <w:t>:</w:t>
      </w:r>
      <w:r w:rsidRPr="00C33F48">
        <w:t xml:space="preserve"> </w:t>
      </w:r>
      <w:r w:rsidRPr="00DD70C7">
        <w:t xml:space="preserve">once the 'Finalise IAT' button is selected, the IAT becomes locked and cannot be edited by either the assessor or the </w:t>
      </w:r>
      <w:r w:rsidR="000333D2">
        <w:t>d</w:t>
      </w:r>
      <w:r w:rsidRPr="00DD70C7">
        <w:t>elegate.</w:t>
      </w:r>
    </w:p>
    <w:p w14:paraId="2AD59496" w14:textId="5CA9D1F0" w:rsidR="003B0176" w:rsidRPr="00544EA2" w:rsidRDefault="003B0176" w:rsidP="00622CFF">
      <w:pPr>
        <w:spacing w:before="240" w:after="240" w:line="240" w:lineRule="auto"/>
        <w:rPr>
          <w:rFonts w:eastAsia="Aptos"/>
        </w:rPr>
      </w:pPr>
      <w:r w:rsidRPr="00544EA2">
        <w:rPr>
          <w:rFonts w:eastAsia="Aptos"/>
        </w:rPr>
        <w:t>Once the revised documentation is resubmitted, Assessment Delegates must conduct a final review to check that it meets the required quality standards before granting final approval. To support continuous improvement, Assessment Delegates should provide assessors with constructive feedback that promotes best practices and helps them understand and meet documentation expectations.</w:t>
      </w:r>
    </w:p>
    <w:p w14:paraId="5EB202D4" w14:textId="77777777" w:rsidR="003B0176" w:rsidRPr="00544EA2" w:rsidRDefault="003B0176" w:rsidP="00C56CEC">
      <w:pPr>
        <w:pStyle w:val="H3"/>
        <w:rPr>
          <w:color w:val="0F4761"/>
        </w:rPr>
      </w:pPr>
      <w:bookmarkStart w:id="684" w:name="_Toc198787160"/>
      <w:bookmarkStart w:id="685" w:name="_Toc1252615336"/>
      <w:bookmarkStart w:id="686" w:name="_Toc199344532"/>
      <w:bookmarkStart w:id="687" w:name="_Toc205372062"/>
      <w:bookmarkStart w:id="688" w:name="_Toc207713967"/>
      <w:r w:rsidRPr="00544EA2">
        <w:t>Assessment information and evidence</w:t>
      </w:r>
      <w:bookmarkEnd w:id="684"/>
      <w:bookmarkEnd w:id="685"/>
      <w:bookmarkEnd w:id="686"/>
      <w:bookmarkEnd w:id="687"/>
      <w:bookmarkEnd w:id="688"/>
    </w:p>
    <w:p w14:paraId="6E23594D" w14:textId="77777777" w:rsidR="003B0176" w:rsidRPr="00544EA2" w:rsidRDefault="003B0176" w:rsidP="00622CFF">
      <w:pPr>
        <w:spacing w:before="240" w:after="240" w:line="240" w:lineRule="auto"/>
        <w:rPr>
          <w:rFonts w:eastAsia="Aptos"/>
        </w:rPr>
      </w:pPr>
      <w:r w:rsidRPr="00544EA2">
        <w:rPr>
          <w:rFonts w:eastAsia="Aptos"/>
        </w:rPr>
        <w:t>Assessment information and evidence should include all relevant documentation that supports the</w:t>
      </w:r>
      <w:r w:rsidRPr="00544EA2">
        <w:rPr>
          <w:rFonts w:eastAsia="Aptos" w:hint="eastAsia"/>
        </w:rPr>
        <w:t> </w:t>
      </w:r>
      <w:r w:rsidRPr="00E26B9F">
        <w:rPr>
          <w:rFonts w:eastAsia="Aptos"/>
        </w:rPr>
        <w:t>recommendations and decisions</w:t>
      </w:r>
      <w:r w:rsidRPr="00544EA2">
        <w:rPr>
          <w:rFonts w:eastAsia="Aptos" w:hint="eastAsia"/>
        </w:rPr>
        <w:t> </w:t>
      </w:r>
      <w:r w:rsidRPr="00544EA2">
        <w:rPr>
          <w:rFonts w:eastAsia="Aptos"/>
        </w:rPr>
        <w:t>made throughout the assessment process. The assessment documentation must include:</w:t>
      </w:r>
    </w:p>
    <w:p w14:paraId="5D25DA74" w14:textId="77777777" w:rsidR="003B0176" w:rsidRPr="00544EA2" w:rsidRDefault="003B0176" w:rsidP="00DF3F6B">
      <w:pPr>
        <w:numPr>
          <w:ilvl w:val="0"/>
          <w:numId w:val="275"/>
        </w:numPr>
        <w:spacing w:before="240" w:after="240" w:line="240" w:lineRule="auto"/>
        <w:rPr>
          <w:rFonts w:eastAsia="Aptos"/>
        </w:rPr>
      </w:pPr>
      <w:r w:rsidRPr="00544EA2">
        <w:rPr>
          <w:rFonts w:eastAsia="Aptos"/>
        </w:rPr>
        <w:t>Consent</w:t>
      </w:r>
    </w:p>
    <w:p w14:paraId="103A7B2C" w14:textId="3858C6C4" w:rsidR="003B0176" w:rsidRPr="00544EA2" w:rsidRDefault="003B0176" w:rsidP="00DF3F6B">
      <w:pPr>
        <w:numPr>
          <w:ilvl w:val="0"/>
          <w:numId w:val="275"/>
        </w:numPr>
        <w:spacing w:before="240" w:after="240" w:line="240" w:lineRule="auto"/>
        <w:rPr>
          <w:rFonts w:eastAsia="Aptos"/>
        </w:rPr>
      </w:pPr>
      <w:r w:rsidRPr="00544EA2">
        <w:rPr>
          <w:rFonts w:eastAsia="Aptos"/>
        </w:rPr>
        <w:t>I</w:t>
      </w:r>
      <w:r w:rsidR="008109AC">
        <w:rPr>
          <w:rFonts w:eastAsia="Aptos"/>
        </w:rPr>
        <w:t xml:space="preserve">ntegrated </w:t>
      </w:r>
      <w:r w:rsidR="008109AC" w:rsidRPr="00544EA2">
        <w:rPr>
          <w:rFonts w:eastAsia="Aptos"/>
        </w:rPr>
        <w:t>A</w:t>
      </w:r>
      <w:r w:rsidR="008109AC">
        <w:rPr>
          <w:rFonts w:eastAsia="Aptos"/>
        </w:rPr>
        <w:t xml:space="preserve">ssessment </w:t>
      </w:r>
      <w:r w:rsidRPr="00544EA2">
        <w:rPr>
          <w:rFonts w:eastAsia="Aptos"/>
        </w:rPr>
        <w:t>T</w:t>
      </w:r>
      <w:r w:rsidR="008109AC">
        <w:rPr>
          <w:rFonts w:eastAsia="Aptos"/>
        </w:rPr>
        <w:t xml:space="preserve">ool </w:t>
      </w:r>
      <w:r w:rsidRPr="00544EA2">
        <w:rPr>
          <w:rFonts w:eastAsia="Aptos"/>
        </w:rPr>
        <w:t xml:space="preserve">and Validated Assessment Tools </w:t>
      </w:r>
    </w:p>
    <w:p w14:paraId="2E93F118" w14:textId="7373B91C" w:rsidR="003B0176" w:rsidRPr="00544EA2" w:rsidRDefault="0030426C" w:rsidP="00DF3F6B">
      <w:pPr>
        <w:numPr>
          <w:ilvl w:val="0"/>
          <w:numId w:val="275"/>
        </w:numPr>
        <w:spacing w:before="240" w:after="240" w:line="240" w:lineRule="auto"/>
        <w:rPr>
          <w:rFonts w:eastAsia="Aptos"/>
        </w:rPr>
      </w:pPr>
      <w:r>
        <w:rPr>
          <w:rFonts w:eastAsia="Aptos"/>
        </w:rPr>
        <w:t xml:space="preserve">Emergency Residential Care - </w:t>
      </w:r>
      <w:r w:rsidR="003B0176" w:rsidRPr="00544EA2">
        <w:rPr>
          <w:rFonts w:eastAsia="Aptos"/>
        </w:rPr>
        <w:t xml:space="preserve">Application for Care Form </w:t>
      </w:r>
      <w:r>
        <w:rPr>
          <w:rFonts w:eastAsia="Aptos"/>
        </w:rPr>
        <w:t>(where applicable)</w:t>
      </w:r>
    </w:p>
    <w:p w14:paraId="7C9502B4" w14:textId="77777777" w:rsidR="003B0176" w:rsidRPr="00544EA2" w:rsidRDefault="003B0176" w:rsidP="00DF3F6B">
      <w:pPr>
        <w:numPr>
          <w:ilvl w:val="0"/>
          <w:numId w:val="275"/>
        </w:numPr>
        <w:spacing w:before="240" w:after="240" w:line="240" w:lineRule="auto"/>
        <w:rPr>
          <w:rFonts w:eastAsia="Aptos"/>
        </w:rPr>
      </w:pPr>
      <w:r w:rsidRPr="00544EA2">
        <w:rPr>
          <w:rFonts w:eastAsia="Aptos"/>
        </w:rPr>
        <w:t>Additional Evidence</w:t>
      </w:r>
    </w:p>
    <w:p w14:paraId="7B959D30" w14:textId="43FBAB15" w:rsidR="003B0176" w:rsidRPr="00544EA2" w:rsidRDefault="285E6815" w:rsidP="00DF3F6B">
      <w:pPr>
        <w:numPr>
          <w:ilvl w:val="0"/>
          <w:numId w:val="275"/>
        </w:numPr>
        <w:spacing w:before="240" w:after="240" w:line="240" w:lineRule="auto"/>
        <w:rPr>
          <w:rFonts w:eastAsia="Aptos"/>
        </w:rPr>
      </w:pPr>
      <w:r w:rsidRPr="6EB1EB84">
        <w:rPr>
          <w:rFonts w:eastAsia="Aptos"/>
        </w:rPr>
        <w:t>S</w:t>
      </w:r>
      <w:r w:rsidR="003B0176" w:rsidRPr="00544EA2">
        <w:rPr>
          <w:rFonts w:eastAsia="Aptos"/>
        </w:rPr>
        <w:t>upport plan and Recommendations</w:t>
      </w:r>
    </w:p>
    <w:p w14:paraId="0E2019FD" w14:textId="4E0B72F2" w:rsidR="003B0176" w:rsidRPr="00544EA2" w:rsidRDefault="003B0176" w:rsidP="00DF3F6B">
      <w:pPr>
        <w:numPr>
          <w:ilvl w:val="0"/>
          <w:numId w:val="275"/>
        </w:numPr>
        <w:spacing w:before="240" w:after="240" w:line="240" w:lineRule="auto"/>
        <w:rPr>
          <w:rFonts w:eastAsia="Aptos"/>
        </w:rPr>
      </w:pPr>
      <w:r w:rsidRPr="00544EA2">
        <w:rPr>
          <w:rFonts w:eastAsia="Aptos"/>
        </w:rPr>
        <w:t>Referral Information</w:t>
      </w:r>
    </w:p>
    <w:p w14:paraId="0091B0D1" w14:textId="77777777" w:rsidR="003B0176" w:rsidRPr="00544EA2" w:rsidRDefault="003B0176" w:rsidP="00622CFF">
      <w:pPr>
        <w:spacing w:before="240" w:after="240" w:line="240" w:lineRule="auto"/>
        <w:rPr>
          <w:rFonts w:eastAsia="Aptos"/>
        </w:rPr>
      </w:pPr>
      <w:r w:rsidRPr="00544EA2">
        <w:rPr>
          <w:rFonts w:eastAsia="Aptos"/>
        </w:rPr>
        <w:t xml:space="preserve">Assessment Delegates must ensure that the assessment information contains comprehensive information to support the justification of the assessor’s recommendation for funded aged care approvals. The following sections provide further detail on the requirements and how to ensure the evidence is </w:t>
      </w:r>
      <w:r w:rsidRPr="00544EA2" w:rsidDel="00C861DB">
        <w:rPr>
          <w:rFonts w:eastAsia="Aptos"/>
        </w:rPr>
        <w:t>sufficient</w:t>
      </w:r>
      <w:r w:rsidRPr="00544EA2">
        <w:rPr>
          <w:rFonts w:eastAsia="Aptos"/>
        </w:rPr>
        <w:t>.</w:t>
      </w:r>
    </w:p>
    <w:p w14:paraId="7038F45A" w14:textId="77777777" w:rsidR="003B0176" w:rsidRPr="00544EA2" w:rsidRDefault="003B0176" w:rsidP="00CC6081">
      <w:pPr>
        <w:pStyle w:val="H4"/>
        <w:rPr>
          <w:color w:val="0F4761"/>
        </w:rPr>
      </w:pPr>
      <w:bookmarkStart w:id="689" w:name="_Toc1506993917"/>
      <w:bookmarkStart w:id="690" w:name="_Toc199344533"/>
      <w:bookmarkStart w:id="691" w:name="_Toc205372063"/>
      <w:bookmarkStart w:id="692" w:name="_Toc207713968"/>
      <w:r w:rsidRPr="00544EA2">
        <w:t>Support plans</w:t>
      </w:r>
      <w:bookmarkEnd w:id="689"/>
      <w:bookmarkEnd w:id="690"/>
      <w:bookmarkEnd w:id="691"/>
      <w:bookmarkEnd w:id="692"/>
    </w:p>
    <w:p w14:paraId="540303E7" w14:textId="33037EFF" w:rsidR="003B0176" w:rsidRPr="00544EA2" w:rsidRDefault="003B0176" w:rsidP="00622CFF">
      <w:pPr>
        <w:spacing w:before="240" w:after="240" w:line="240" w:lineRule="auto"/>
        <w:rPr>
          <w:rFonts w:eastAsia="Aptos"/>
        </w:rPr>
      </w:pPr>
      <w:r w:rsidRPr="00544EA2">
        <w:rPr>
          <w:rFonts w:eastAsia="Aptos"/>
        </w:rPr>
        <w:t>Under the</w:t>
      </w:r>
      <w:r w:rsidRPr="00544EA2">
        <w:rPr>
          <w:rFonts w:eastAsia="Aptos" w:hint="eastAsia"/>
        </w:rPr>
        <w:t> </w:t>
      </w:r>
      <w:r w:rsidR="00E22684">
        <w:rPr>
          <w:rFonts w:eastAsia="Yu Gothic Light"/>
          <w:lang w:val="en-AU"/>
        </w:rPr>
        <w:t xml:space="preserve">Aged Care </w:t>
      </w:r>
      <w:r w:rsidR="00E22684" w:rsidRPr="008D5728">
        <w:rPr>
          <w:rFonts w:eastAsia="Yu Gothic Light"/>
          <w:lang w:val="en-AU"/>
        </w:rPr>
        <w:t>Act</w:t>
      </w:r>
      <w:r w:rsidR="00E22684">
        <w:rPr>
          <w:rFonts w:eastAsia="Yu Gothic Light"/>
          <w:lang w:val="en-AU"/>
        </w:rPr>
        <w:t xml:space="preserve"> 2024 (the Act</w:t>
      </w:r>
      <w:r w:rsidR="00797EE0">
        <w:rPr>
          <w:rFonts w:eastAsia="Yu Gothic Light"/>
          <w:lang w:val="en-AU"/>
        </w:rPr>
        <w:t>)</w:t>
      </w:r>
      <w:r w:rsidR="00797EE0" w:rsidRPr="008D5728">
        <w:rPr>
          <w:rFonts w:eastAsia="Yu Gothic Light"/>
          <w:i/>
          <w:lang w:val="en-AU"/>
        </w:rPr>
        <w:t>,</w:t>
      </w:r>
      <w:r w:rsidRPr="00544EA2">
        <w:rPr>
          <w:rFonts w:eastAsia="Aptos"/>
        </w:rPr>
        <w:t xml:space="preserve"> two key types of reports are required when assessing an individual's eligibility and needs for aged care services: the</w:t>
      </w:r>
      <w:r w:rsidRPr="00544EA2">
        <w:rPr>
          <w:rFonts w:eastAsia="Aptos" w:hint="eastAsia"/>
        </w:rPr>
        <w:t> </w:t>
      </w:r>
      <w:r w:rsidRPr="00544EA2">
        <w:rPr>
          <w:rFonts w:eastAsia="Aptos"/>
        </w:rPr>
        <w:t>Assessment Report</w:t>
      </w:r>
      <w:r w:rsidRPr="00544EA2">
        <w:rPr>
          <w:rFonts w:eastAsia="Aptos" w:hint="eastAsia"/>
        </w:rPr>
        <w:t> </w:t>
      </w:r>
      <w:r w:rsidRPr="00544EA2">
        <w:rPr>
          <w:rFonts w:eastAsia="Aptos"/>
        </w:rPr>
        <w:t>(as per</w:t>
      </w:r>
      <w:r w:rsidRPr="00544EA2">
        <w:rPr>
          <w:rFonts w:eastAsia="Aptos" w:hint="eastAsia"/>
        </w:rPr>
        <w:t> </w:t>
      </w:r>
      <w:r w:rsidRPr="00544EA2">
        <w:rPr>
          <w:rFonts w:eastAsia="Aptos"/>
        </w:rPr>
        <w:t>Section 63) and the</w:t>
      </w:r>
      <w:r w:rsidRPr="00544EA2">
        <w:rPr>
          <w:rFonts w:eastAsia="Aptos" w:hint="eastAsia"/>
        </w:rPr>
        <w:t> </w:t>
      </w:r>
      <w:r w:rsidRPr="00544EA2">
        <w:rPr>
          <w:rFonts w:eastAsia="Aptos"/>
        </w:rPr>
        <w:t>Classification Report</w:t>
      </w:r>
      <w:r w:rsidRPr="00544EA2">
        <w:rPr>
          <w:rFonts w:eastAsia="Aptos" w:hint="eastAsia"/>
        </w:rPr>
        <w:t> </w:t>
      </w:r>
      <w:r w:rsidRPr="00544EA2">
        <w:rPr>
          <w:rFonts w:eastAsia="Aptos"/>
        </w:rPr>
        <w:t>(as per</w:t>
      </w:r>
      <w:r w:rsidRPr="00544EA2">
        <w:rPr>
          <w:rFonts w:eastAsia="Aptos" w:hint="eastAsia"/>
        </w:rPr>
        <w:t> </w:t>
      </w:r>
      <w:r w:rsidRPr="00544EA2">
        <w:rPr>
          <w:rFonts w:eastAsia="Aptos"/>
        </w:rPr>
        <w:t>Section 77).</w:t>
      </w:r>
    </w:p>
    <w:p w14:paraId="12B986D1" w14:textId="1D5C12C8" w:rsidR="003B0176" w:rsidRPr="00544EA2" w:rsidRDefault="003B0176" w:rsidP="00622CFF">
      <w:pPr>
        <w:spacing w:before="240" w:after="240" w:line="240" w:lineRule="auto"/>
        <w:rPr>
          <w:rFonts w:eastAsia="Aptos"/>
        </w:rPr>
      </w:pPr>
      <w:r w:rsidRPr="00544EA2">
        <w:rPr>
          <w:rFonts w:eastAsia="Aptos"/>
        </w:rPr>
        <w:t xml:space="preserve">In practice, these reports </w:t>
      </w:r>
      <w:r w:rsidR="00A57315">
        <w:rPr>
          <w:rFonts w:eastAsia="Aptos"/>
        </w:rPr>
        <w:t>comprise the support plan and the finalised Integrated Assessment</w:t>
      </w:r>
      <w:r w:rsidR="00EF56FC">
        <w:rPr>
          <w:rFonts w:eastAsia="Aptos"/>
        </w:rPr>
        <w:t xml:space="preserve"> Tool</w:t>
      </w:r>
      <w:r w:rsidR="001566D8">
        <w:rPr>
          <w:rFonts w:eastAsia="Aptos"/>
        </w:rPr>
        <w:t xml:space="preserve"> (IAT)</w:t>
      </w:r>
      <w:r w:rsidR="00A57315">
        <w:rPr>
          <w:rFonts w:eastAsia="Aptos"/>
        </w:rPr>
        <w:t xml:space="preserve"> respectively</w:t>
      </w:r>
      <w:r w:rsidRPr="00544EA2">
        <w:rPr>
          <w:rFonts w:eastAsia="Aptos"/>
        </w:rPr>
        <w:t>.</w:t>
      </w:r>
    </w:p>
    <w:p w14:paraId="7275C7DB" w14:textId="06C341C2" w:rsidR="003B0176" w:rsidRPr="00544EA2" w:rsidRDefault="003B0176" w:rsidP="00622CFF">
      <w:pPr>
        <w:spacing w:before="240" w:after="240" w:line="240" w:lineRule="auto"/>
        <w:rPr>
          <w:rFonts w:eastAsia="Aptos"/>
        </w:rPr>
      </w:pPr>
      <w:r w:rsidRPr="00544EA2">
        <w:rPr>
          <w:rFonts w:eastAsia="Aptos"/>
        </w:rPr>
        <w:t>The support plan and its associated areas of concern, goals, and recommendations are among the most important pieces of needs assessment documentation available to the Assessment Delegate. The support plan helps determine whether to approve an individual for access to aged care services and must contain all relevant information from the older person</w:t>
      </w:r>
      <w:r w:rsidR="004D7E24">
        <w:rPr>
          <w:rFonts w:eastAsia="Aptos"/>
        </w:rPr>
        <w:t>’</w:t>
      </w:r>
      <w:r w:rsidRPr="00544EA2">
        <w:rPr>
          <w:rFonts w:eastAsia="Aptos"/>
        </w:rPr>
        <w:t>s aged care needs assessment.</w:t>
      </w:r>
    </w:p>
    <w:p w14:paraId="2B8104C9" w14:textId="5EDEBC48" w:rsidR="003B0176" w:rsidRPr="00544EA2" w:rsidRDefault="003B0176" w:rsidP="00622CFF">
      <w:pPr>
        <w:spacing w:before="240" w:after="240" w:line="240" w:lineRule="auto"/>
        <w:rPr>
          <w:rFonts w:eastAsia="Aptos"/>
        </w:rPr>
      </w:pPr>
      <w:r w:rsidRPr="00544EA2">
        <w:rPr>
          <w:rFonts w:eastAsia="Aptos"/>
        </w:rPr>
        <w:t>It is essential that the</w:t>
      </w:r>
      <w:r w:rsidRPr="00544EA2">
        <w:rPr>
          <w:rFonts w:eastAsia="Aptos" w:hint="eastAsia"/>
        </w:rPr>
        <w:t> </w:t>
      </w:r>
      <w:r w:rsidRPr="00544EA2">
        <w:rPr>
          <w:rFonts w:eastAsia="Aptos"/>
        </w:rPr>
        <w:t>assessment summary</w:t>
      </w:r>
      <w:r w:rsidRPr="00544EA2">
        <w:rPr>
          <w:rFonts w:eastAsia="Aptos" w:hint="eastAsia"/>
        </w:rPr>
        <w:t> </w:t>
      </w:r>
      <w:r w:rsidRPr="00544EA2">
        <w:rPr>
          <w:rFonts w:eastAsia="Aptos"/>
        </w:rPr>
        <w:t>is written clearly and succinctly, following the</w:t>
      </w:r>
      <w:r w:rsidRPr="00544EA2">
        <w:rPr>
          <w:rFonts w:eastAsia="Aptos" w:hint="eastAsia"/>
        </w:rPr>
        <w:t> </w:t>
      </w:r>
      <w:r w:rsidRPr="00544EA2">
        <w:rPr>
          <w:rFonts w:eastAsia="Aptos"/>
        </w:rPr>
        <w:t>ISBAR format</w:t>
      </w:r>
      <w:r w:rsidRPr="00544EA2">
        <w:rPr>
          <w:rFonts w:eastAsia="Aptos" w:hint="eastAsia"/>
        </w:rPr>
        <w:t>—</w:t>
      </w:r>
      <w:r w:rsidRPr="00544EA2">
        <w:rPr>
          <w:rFonts w:eastAsia="Aptos"/>
        </w:rPr>
        <w:t>Introduction, Situation, Background, Assessment, and Recommendation</w:t>
      </w:r>
      <w:r w:rsidR="0044763F">
        <w:rPr>
          <w:rFonts w:eastAsia="Aptos"/>
        </w:rPr>
        <w:t xml:space="preserve"> in Chapter </w:t>
      </w:r>
      <w:r w:rsidR="0040621B">
        <w:rPr>
          <w:rFonts w:eastAsia="Aptos"/>
        </w:rPr>
        <w:fldChar w:fldCharType="begin"/>
      </w:r>
      <w:r w:rsidR="0040621B">
        <w:rPr>
          <w:rFonts w:eastAsia="Aptos"/>
        </w:rPr>
        <w:instrText xml:space="preserve"> REF _Ref212736166 \w \h </w:instrText>
      </w:r>
      <w:r w:rsidR="0040621B">
        <w:rPr>
          <w:rFonts w:eastAsia="Aptos"/>
        </w:rPr>
      </w:r>
      <w:r w:rsidR="0040621B">
        <w:rPr>
          <w:rFonts w:eastAsia="Aptos"/>
        </w:rPr>
        <w:fldChar w:fldCharType="separate"/>
      </w:r>
      <w:r w:rsidR="00F97942">
        <w:rPr>
          <w:rFonts w:eastAsia="Aptos"/>
        </w:rPr>
        <w:t>5</w:t>
      </w:r>
      <w:r w:rsidR="0040621B">
        <w:rPr>
          <w:rFonts w:eastAsia="Aptos"/>
        </w:rPr>
        <w:fldChar w:fldCharType="end"/>
      </w:r>
      <w:r w:rsidRPr="00544EA2">
        <w:rPr>
          <w:rFonts w:eastAsia="Aptos"/>
        </w:rPr>
        <w:t xml:space="preserve">. </w:t>
      </w:r>
    </w:p>
    <w:p w14:paraId="0FA15FF9" w14:textId="77777777" w:rsidR="003B0176" w:rsidRPr="00544EA2" w:rsidRDefault="003B0176" w:rsidP="00622CFF">
      <w:pPr>
        <w:spacing w:before="240" w:after="240" w:line="240" w:lineRule="auto"/>
        <w:rPr>
          <w:rFonts w:eastAsia="Aptos"/>
        </w:rPr>
      </w:pPr>
      <w:r w:rsidRPr="00544EA2">
        <w:rPr>
          <w:rFonts w:eastAsia="Aptos"/>
        </w:rPr>
        <w:t>Particular emphasis should be placed on the</w:t>
      </w:r>
      <w:r w:rsidRPr="00544EA2">
        <w:rPr>
          <w:rFonts w:eastAsia="Aptos" w:hint="eastAsia"/>
        </w:rPr>
        <w:t> </w:t>
      </w:r>
      <w:r w:rsidRPr="00544EA2">
        <w:rPr>
          <w:rFonts w:eastAsia="Aptos"/>
        </w:rPr>
        <w:t>Assessment</w:t>
      </w:r>
      <w:r w:rsidRPr="00544EA2">
        <w:rPr>
          <w:rFonts w:eastAsia="Aptos" w:hint="eastAsia"/>
        </w:rPr>
        <w:t> </w:t>
      </w:r>
      <w:r w:rsidRPr="00544EA2">
        <w:rPr>
          <w:rFonts w:eastAsia="Aptos"/>
        </w:rPr>
        <w:t>section, as it typically forms the most substantial part of the summary. This section should comprehensively detail the findings of the assessment, providing a clear and accurate reflection of the individual’s needs and circumstances.</w:t>
      </w:r>
    </w:p>
    <w:p w14:paraId="3CEB9BD7" w14:textId="37B49186" w:rsidR="003B0176" w:rsidRPr="00544EA2" w:rsidRDefault="003B0176" w:rsidP="00622CFF">
      <w:pPr>
        <w:spacing w:before="240" w:after="240" w:line="240" w:lineRule="auto"/>
        <w:rPr>
          <w:rFonts w:eastAsia="Aptos"/>
        </w:rPr>
      </w:pPr>
      <w:r w:rsidRPr="00544EA2">
        <w:rPr>
          <w:rFonts w:eastAsia="Aptos"/>
        </w:rPr>
        <w:t>The support plan must be consistent with the information collected using the IAT and any other relevant information gathered during the assessment, such as GP health summaries. The assessment summary should clearly inform the goals, recommendations, and any areas of concern outlined in the support plan. These elements should reflect what the person is concerned about, what they hope to achieve or change, and how funded aged care services can support them in addressing their needs and aspirations.</w:t>
      </w:r>
      <w:r w:rsidR="000A7D15">
        <w:rPr>
          <w:rFonts w:eastAsia="Aptos"/>
        </w:rPr>
        <w:t xml:space="preserve"> </w:t>
      </w:r>
      <w:r w:rsidR="00E406B2">
        <w:rPr>
          <w:rFonts w:eastAsia="Aptos"/>
        </w:rPr>
        <w:t>Any cultural considerations or preferences</w:t>
      </w:r>
      <w:r w:rsidR="003C170F">
        <w:rPr>
          <w:rFonts w:eastAsia="Aptos"/>
        </w:rPr>
        <w:t xml:space="preserve"> expressed by the older person</w:t>
      </w:r>
      <w:r w:rsidR="00975EB1">
        <w:rPr>
          <w:rFonts w:eastAsia="Aptos"/>
        </w:rPr>
        <w:t xml:space="preserve"> during the assessment or </w:t>
      </w:r>
      <w:r w:rsidR="00F3083D">
        <w:rPr>
          <w:rFonts w:eastAsia="Aptos"/>
        </w:rPr>
        <w:t xml:space="preserve">identified through the </w:t>
      </w:r>
      <w:r w:rsidR="00975EB1">
        <w:rPr>
          <w:rFonts w:eastAsia="Aptos"/>
        </w:rPr>
        <w:t>information gathering process</w:t>
      </w:r>
      <w:r w:rsidR="00E406B2">
        <w:rPr>
          <w:rFonts w:eastAsia="Aptos"/>
        </w:rPr>
        <w:t xml:space="preserve"> should also be captured within the support plan</w:t>
      </w:r>
      <w:r w:rsidR="009A1D6F">
        <w:rPr>
          <w:rFonts w:eastAsia="Aptos"/>
        </w:rPr>
        <w:t xml:space="preserve"> to ensure culturally appropriate services are delivered</w:t>
      </w:r>
      <w:r w:rsidR="00E406B2">
        <w:rPr>
          <w:rFonts w:eastAsia="Aptos"/>
        </w:rPr>
        <w:t xml:space="preserve">. </w:t>
      </w:r>
      <w:r w:rsidR="00504B2C">
        <w:rPr>
          <w:rFonts w:eastAsia="Aptos"/>
        </w:rPr>
        <w:t>E</w:t>
      </w:r>
      <w:r w:rsidR="00F23211">
        <w:rPr>
          <w:rFonts w:eastAsia="Aptos"/>
        </w:rPr>
        <w:t>.</w:t>
      </w:r>
      <w:r w:rsidR="00504B2C">
        <w:rPr>
          <w:rFonts w:eastAsia="Aptos"/>
        </w:rPr>
        <w:t xml:space="preserve">g. Whether </w:t>
      </w:r>
      <w:r w:rsidR="00602E08">
        <w:rPr>
          <w:rFonts w:eastAsia="Aptos"/>
        </w:rPr>
        <w:t xml:space="preserve">older </w:t>
      </w:r>
      <w:r w:rsidR="00A227FA">
        <w:rPr>
          <w:rFonts w:eastAsia="Aptos"/>
        </w:rPr>
        <w:t xml:space="preserve">Aboriginal and Torres Strait Islander people </w:t>
      </w:r>
      <w:r w:rsidR="00E27A97">
        <w:rPr>
          <w:rFonts w:eastAsia="Aptos"/>
        </w:rPr>
        <w:t xml:space="preserve">would like to receive services from </w:t>
      </w:r>
      <w:r w:rsidR="00C24676">
        <w:rPr>
          <w:rFonts w:eastAsia="Aptos"/>
        </w:rPr>
        <w:t xml:space="preserve">First Nations providers. </w:t>
      </w:r>
    </w:p>
    <w:p w14:paraId="35C64C6A" w14:textId="77777777" w:rsidR="003B0176" w:rsidRPr="00544EA2" w:rsidRDefault="003B0176" w:rsidP="00622CFF">
      <w:pPr>
        <w:spacing w:before="240" w:after="240" w:line="240" w:lineRule="auto"/>
        <w:rPr>
          <w:rFonts w:eastAsia="Aptos"/>
        </w:rPr>
      </w:pPr>
      <w:r w:rsidRPr="00544EA2">
        <w:rPr>
          <w:rFonts w:eastAsia="Aptos"/>
        </w:rPr>
        <w:t>It is crucial that support plan recommendations are not just presented as a list of needs without context or explanation. Instead, the document should include clear elaborations on how each identified need was assessed and how this assessment informs the recommended care interventions or services.</w:t>
      </w:r>
    </w:p>
    <w:p w14:paraId="136E5906" w14:textId="04ED90FB" w:rsidR="003B0176" w:rsidRPr="00544EA2" w:rsidRDefault="003B0176" w:rsidP="00622CFF">
      <w:pPr>
        <w:spacing w:before="240" w:after="240" w:line="240" w:lineRule="auto"/>
        <w:rPr>
          <w:rFonts w:eastAsia="Aptos"/>
        </w:rPr>
      </w:pPr>
      <w:r w:rsidRPr="00544EA2">
        <w:rPr>
          <w:rFonts w:eastAsia="Aptos"/>
        </w:rPr>
        <w:t xml:space="preserve">When reviewing a support plan, </w:t>
      </w:r>
      <w:r w:rsidR="00417AE3">
        <w:rPr>
          <w:rFonts w:eastAsia="Aptos"/>
        </w:rPr>
        <w:t>a</w:t>
      </w:r>
      <w:r w:rsidR="00417AE3" w:rsidRPr="00544EA2">
        <w:rPr>
          <w:rFonts w:eastAsia="Aptos"/>
        </w:rPr>
        <w:t xml:space="preserve">ssessment </w:t>
      </w:r>
      <w:r w:rsidR="00417AE3">
        <w:rPr>
          <w:rFonts w:eastAsia="Aptos"/>
        </w:rPr>
        <w:t>d</w:t>
      </w:r>
      <w:r w:rsidR="00417AE3" w:rsidRPr="00544EA2">
        <w:rPr>
          <w:rFonts w:eastAsia="Aptos"/>
        </w:rPr>
        <w:t xml:space="preserve">elegates </w:t>
      </w:r>
      <w:r w:rsidRPr="00544EA2">
        <w:rPr>
          <w:rFonts w:eastAsia="Aptos"/>
        </w:rPr>
        <w:t>should consider the following questions to ensure the documentation is thorough and meaningful:</w:t>
      </w:r>
    </w:p>
    <w:p w14:paraId="0B59FED8"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Why is the person having a needs assessment?</w:t>
      </w:r>
      <w:r w:rsidRPr="00544EA2">
        <w:rPr>
          <w:rFonts w:eastAsia="Aptos" w:hint="eastAsia"/>
        </w:rPr>
        <w:t> </w:t>
      </w:r>
      <w:r w:rsidRPr="00544EA2">
        <w:rPr>
          <w:rFonts w:eastAsia="Aptos"/>
        </w:rPr>
        <w:t xml:space="preserve">- The support plan should clearly articulate the purpose of the assessment. Look for background information that explains the circumstances leading to the referral and the rationale for undertaking the assessment. </w:t>
      </w:r>
    </w:p>
    <w:p w14:paraId="169258C6" w14:textId="4C804DDD"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are the older person's identified needs?</w:t>
      </w:r>
      <w:r w:rsidRPr="00544EA2">
        <w:rPr>
          <w:rFonts w:eastAsia="Aptos" w:hint="eastAsia"/>
        </w:rPr>
        <w:t> </w:t>
      </w:r>
      <w:r w:rsidRPr="00544EA2">
        <w:rPr>
          <w:rFonts w:eastAsia="Aptos"/>
        </w:rPr>
        <w:t>- Confirm that the support plan provides a comprehensive and evidence-based description of the older person’s needs. This should encompass physical, medical, psychological and social domains as identified through the IAT and other validated assessment tools.</w:t>
      </w:r>
    </w:p>
    <w:p w14:paraId="07644F2B"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types of support are required, and why?</w:t>
      </w:r>
      <w:r w:rsidRPr="00544EA2">
        <w:rPr>
          <w:rFonts w:eastAsia="Aptos" w:hint="eastAsia"/>
        </w:rPr>
        <w:t> </w:t>
      </w:r>
      <w:r w:rsidRPr="00544EA2">
        <w:rPr>
          <w:rFonts w:eastAsia="Aptos"/>
        </w:rPr>
        <w:t>- Ensure the support plan outlines the specific supports recommended along with a clear justification for each. These should be directly linked to the older person’s assessed needs and supported by relevant evidence.</w:t>
      </w:r>
    </w:p>
    <w:p w14:paraId="2E3DD0AE"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barriers are limiting the older person’s independence?</w:t>
      </w:r>
      <w:r w:rsidRPr="00544EA2">
        <w:rPr>
          <w:rFonts w:eastAsia="Aptos" w:hint="eastAsia"/>
        </w:rPr>
        <w:t> </w:t>
      </w:r>
      <w:r w:rsidRPr="00544EA2">
        <w:rPr>
          <w:rFonts w:eastAsia="Aptos" w:hint="eastAsia"/>
        </w:rPr>
        <w:t>–</w:t>
      </w:r>
      <w:r w:rsidRPr="00544EA2">
        <w:rPr>
          <w:rFonts w:eastAsia="Aptos"/>
        </w:rPr>
        <w:t xml:space="preserve"> Assess whether the support plan identifies any factors, such as cognitive impairment, physical limitations, or safety risks; that prevent the older person from performing tasks independently. These barriers must be clearly connected to the recommended supports and services. </w:t>
      </w:r>
    </w:p>
    <w:p w14:paraId="147B758F"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are the older person's concerns and priorities?</w:t>
      </w:r>
      <w:r w:rsidRPr="00544EA2">
        <w:rPr>
          <w:rFonts w:eastAsia="Aptos" w:hint="eastAsia"/>
        </w:rPr>
        <w:t> </w:t>
      </w:r>
      <w:r w:rsidRPr="00544EA2">
        <w:rPr>
          <w:rFonts w:eastAsia="Aptos"/>
        </w:rPr>
        <w:t>- Ensure the support plan accurately reflects the older person’s concerns, perspectives and priorities. These may relate to safety, daily living, mobility, or social participation and should be acknowledged and addressed appropriately.</w:t>
      </w:r>
    </w:p>
    <w:p w14:paraId="5F59BA53" w14:textId="77777777"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What goals does the older person wish to achieve with support?</w:t>
      </w:r>
      <w:r w:rsidRPr="00544EA2">
        <w:rPr>
          <w:rFonts w:eastAsia="Aptos" w:hint="eastAsia"/>
        </w:rPr>
        <w:t> </w:t>
      </w:r>
      <w:r w:rsidRPr="00544EA2">
        <w:rPr>
          <w:rFonts w:eastAsia="Aptos" w:hint="eastAsia"/>
        </w:rPr>
        <w:t>–</w:t>
      </w:r>
      <w:r w:rsidRPr="00544EA2">
        <w:rPr>
          <w:rFonts w:eastAsia="Aptos"/>
        </w:rPr>
        <w:t xml:space="preserve"> Verify that the support plan includes the older person’s goals and desired outcomes. Ensure recommended supports align with these goals and demonstrate respect for the older person’s autonomy, preferences and aspirations.</w:t>
      </w:r>
    </w:p>
    <w:p w14:paraId="104DF805" w14:textId="36C2B50B" w:rsidR="003B0176" w:rsidRPr="00544EA2" w:rsidRDefault="003B0176" w:rsidP="00DF3F6B">
      <w:pPr>
        <w:numPr>
          <w:ilvl w:val="0"/>
          <w:numId w:val="276"/>
        </w:numPr>
        <w:spacing w:before="240" w:after="240" w:line="240" w:lineRule="auto"/>
        <w:contextualSpacing/>
        <w:rPr>
          <w:rFonts w:eastAsia="Aptos"/>
        </w:rPr>
      </w:pPr>
      <w:r w:rsidRPr="00544EA2">
        <w:rPr>
          <w:rFonts w:eastAsia="Aptos"/>
          <w:b/>
        </w:rPr>
        <w:t>Are the recommended supports appropriate and proportionate?</w:t>
      </w:r>
      <w:r w:rsidRPr="00544EA2">
        <w:rPr>
          <w:rFonts w:eastAsia="Aptos" w:hint="eastAsia"/>
        </w:rPr>
        <w:t> </w:t>
      </w:r>
      <w:r w:rsidRPr="00544EA2">
        <w:rPr>
          <w:rFonts w:eastAsia="Aptos"/>
        </w:rPr>
        <w:t>- Evaluate whether the recommended services are reasonable, tailored to the older person’s current circumstances</w:t>
      </w:r>
      <w:r w:rsidR="00CC3FE5">
        <w:rPr>
          <w:rFonts w:eastAsia="Aptos"/>
        </w:rPr>
        <w:t xml:space="preserve"> </w:t>
      </w:r>
      <w:r w:rsidRPr="00544EA2">
        <w:rPr>
          <w:rFonts w:eastAsia="Aptos"/>
        </w:rPr>
        <w:t>and likely to achieve the intended outcome.</w:t>
      </w:r>
    </w:p>
    <w:p w14:paraId="1A308094" w14:textId="77777777" w:rsidR="003B0176" w:rsidRPr="00544EA2" w:rsidRDefault="003B0176" w:rsidP="00622CFF">
      <w:pPr>
        <w:spacing w:before="240" w:after="240" w:line="240" w:lineRule="auto"/>
        <w:ind w:left="720"/>
        <w:contextualSpacing/>
        <w:rPr>
          <w:rFonts w:eastAsia="Aptos"/>
        </w:rPr>
      </w:pPr>
    </w:p>
    <w:p w14:paraId="51C18069" w14:textId="7510AF41" w:rsidR="003B0176" w:rsidRPr="00544EA2" w:rsidRDefault="003B0176" w:rsidP="00622CFF">
      <w:pPr>
        <w:spacing w:before="240" w:after="240" w:line="240" w:lineRule="auto"/>
        <w:rPr>
          <w:rFonts w:eastAsia="Aptos"/>
        </w:rPr>
      </w:pPr>
      <w:r w:rsidRPr="00544EA2">
        <w:rPr>
          <w:rFonts w:eastAsia="Aptos"/>
        </w:rPr>
        <w:t xml:space="preserve">Once finalised, the support plan is sent to the older person, and their registered supporter/s </w:t>
      </w:r>
      <w:r w:rsidR="00A806F2">
        <w:rPr>
          <w:rFonts w:eastAsia="Aptos"/>
        </w:rPr>
        <w:t>and/or appointed decision makers</w:t>
      </w:r>
      <w:r w:rsidRPr="00544EA2">
        <w:rPr>
          <w:rFonts w:eastAsia="Aptos"/>
        </w:rPr>
        <w:t xml:space="preserve"> as applicable, as a record of the assessment, accompanied by a Notice of Decision letter. Registered providers also use the support plan to inform the individual's care plan, therefore accuracy and clarity essential.</w:t>
      </w:r>
    </w:p>
    <w:p w14:paraId="07682366" w14:textId="77777777" w:rsidR="003B0176" w:rsidRPr="00544EA2" w:rsidRDefault="003B0176" w:rsidP="00CC6081">
      <w:pPr>
        <w:pStyle w:val="H4"/>
        <w:rPr>
          <w:color w:val="0F4761"/>
        </w:rPr>
      </w:pPr>
      <w:bookmarkStart w:id="693" w:name="_Toc327040788"/>
      <w:bookmarkStart w:id="694" w:name="_Toc199344534"/>
      <w:bookmarkStart w:id="695" w:name="_Toc205372064"/>
      <w:bookmarkStart w:id="696" w:name="_Toc207713969"/>
      <w:r w:rsidRPr="00544EA2">
        <w:t>Referral information</w:t>
      </w:r>
      <w:bookmarkEnd w:id="693"/>
      <w:bookmarkEnd w:id="694"/>
      <w:bookmarkEnd w:id="695"/>
      <w:bookmarkEnd w:id="696"/>
    </w:p>
    <w:p w14:paraId="4122BF12" w14:textId="6A2D1181" w:rsidR="003B0176" w:rsidRPr="00544EA2" w:rsidRDefault="003B0176" w:rsidP="00622CFF">
      <w:pPr>
        <w:spacing w:before="240" w:after="240" w:line="240" w:lineRule="auto"/>
        <w:rPr>
          <w:rFonts w:eastAsia="Aptos"/>
        </w:rPr>
      </w:pPr>
      <w:r w:rsidRPr="00544EA2">
        <w:rPr>
          <w:rFonts w:eastAsia="Aptos"/>
        </w:rPr>
        <w:t>The support plan will contain referral codes for services that have been approved and listed in the Notice of Decision letter</w:t>
      </w:r>
      <w:r w:rsidR="00717030">
        <w:rPr>
          <w:rFonts w:eastAsia="Aptos"/>
        </w:rPr>
        <w:t xml:space="preserve">, </w:t>
      </w:r>
      <w:r w:rsidR="00307E7A">
        <w:rPr>
          <w:rFonts w:eastAsia="Aptos"/>
        </w:rPr>
        <w:t xml:space="preserve">except </w:t>
      </w:r>
      <w:r w:rsidR="0030130F">
        <w:rPr>
          <w:rFonts w:eastAsia="Aptos"/>
        </w:rPr>
        <w:t>where</w:t>
      </w:r>
      <w:r w:rsidR="00307E7A">
        <w:rPr>
          <w:rFonts w:eastAsia="Aptos"/>
        </w:rPr>
        <w:t xml:space="preserve"> the referral code has not </w:t>
      </w:r>
      <w:r w:rsidR="008E1F21">
        <w:rPr>
          <w:rFonts w:eastAsia="Aptos"/>
        </w:rPr>
        <w:t xml:space="preserve">yet been </w:t>
      </w:r>
      <w:r w:rsidR="00D52024">
        <w:rPr>
          <w:rFonts w:eastAsia="Aptos"/>
        </w:rPr>
        <w:t>issued</w:t>
      </w:r>
      <w:r w:rsidR="0030130F">
        <w:rPr>
          <w:rFonts w:eastAsia="Aptos"/>
        </w:rPr>
        <w:t>.</w:t>
      </w:r>
      <w:r w:rsidR="0030130F">
        <w:rPr>
          <w:rStyle w:val="FootnoteReference"/>
          <w:rFonts w:eastAsia="Aptos"/>
        </w:rPr>
        <w:footnoteReference w:id="7"/>
      </w:r>
      <w:r w:rsidR="002A5872">
        <w:rPr>
          <w:rFonts w:eastAsia="Aptos"/>
        </w:rPr>
        <w:t xml:space="preserve"> or used to action a referral</w:t>
      </w:r>
      <w:r w:rsidR="005A085C">
        <w:rPr>
          <w:rFonts w:eastAsia="Aptos"/>
        </w:rPr>
        <w:t>.</w:t>
      </w:r>
      <w:r w:rsidRPr="00544EA2">
        <w:rPr>
          <w:rFonts w:eastAsia="Aptos"/>
        </w:rPr>
        <w:t xml:space="preserve"> Referral information is a vital component of the older person’s record and typically consists of documents and notes gathered from various sources during the initial screening, triage, and assessment process.</w:t>
      </w:r>
    </w:p>
    <w:p w14:paraId="6D08E629" w14:textId="64FEB784" w:rsidR="003B0176" w:rsidRPr="00544EA2" w:rsidRDefault="003B0176" w:rsidP="00622CFF">
      <w:pPr>
        <w:spacing w:before="240" w:after="240" w:line="240" w:lineRule="auto"/>
        <w:rPr>
          <w:rFonts w:eastAsia="Aptos"/>
        </w:rPr>
      </w:pPr>
      <w:r w:rsidRPr="00544EA2">
        <w:rPr>
          <w:rFonts w:eastAsia="Aptos"/>
        </w:rPr>
        <w:t xml:space="preserve">In most cases, referral information will be attached to the older person’s record or documented as ‘client notes’ within the My Aged Care </w:t>
      </w:r>
      <w:r w:rsidR="0060352D">
        <w:rPr>
          <w:rFonts w:eastAsia="Aptos"/>
        </w:rPr>
        <w:t>assessor portal</w:t>
      </w:r>
      <w:r w:rsidRPr="00544EA2">
        <w:rPr>
          <w:rFonts w:eastAsia="Aptos"/>
        </w:rPr>
        <w:t>.</w:t>
      </w:r>
    </w:p>
    <w:p w14:paraId="09729DD2" w14:textId="5E0580A4" w:rsidR="003B0176" w:rsidRPr="00544EA2" w:rsidRDefault="003B0176" w:rsidP="00622CFF">
      <w:pPr>
        <w:spacing w:before="240" w:after="240" w:line="240" w:lineRule="auto"/>
        <w:rPr>
          <w:rFonts w:eastAsia="Aptos"/>
        </w:rPr>
      </w:pPr>
      <w:r w:rsidRPr="00544EA2">
        <w:rPr>
          <w:rFonts w:eastAsia="Aptos"/>
        </w:rPr>
        <w:t xml:space="preserve">It is essential to use referral information when making </w:t>
      </w:r>
      <w:r w:rsidR="00EF54AE">
        <w:rPr>
          <w:rFonts w:eastAsia="Aptos"/>
        </w:rPr>
        <w:t>a</w:t>
      </w:r>
      <w:r w:rsidR="00EF54AE" w:rsidRPr="00544EA2">
        <w:rPr>
          <w:rFonts w:eastAsia="Aptos"/>
        </w:rPr>
        <w:t xml:space="preserve"> </w:t>
      </w:r>
      <w:r w:rsidRPr="00544EA2">
        <w:rPr>
          <w:rFonts w:eastAsia="Aptos"/>
        </w:rPr>
        <w:t>decision, as it provides important context and justification for any recommendations made.</w:t>
      </w:r>
    </w:p>
    <w:p w14:paraId="0D1D3C90" w14:textId="023BE02F" w:rsidR="003B0176" w:rsidRPr="00544EA2" w:rsidRDefault="003B0176" w:rsidP="00CC6081">
      <w:pPr>
        <w:pStyle w:val="H4"/>
      </w:pPr>
      <w:bookmarkStart w:id="697" w:name="_Toc1249074296"/>
      <w:bookmarkStart w:id="698" w:name="_Toc199344535"/>
      <w:bookmarkStart w:id="699" w:name="_Toc205372065"/>
      <w:bookmarkStart w:id="700" w:name="_Toc207713970"/>
      <w:r w:rsidRPr="00544EA2">
        <w:t xml:space="preserve">Record of </w:t>
      </w:r>
      <w:r w:rsidR="00F92A77">
        <w:t>c</w:t>
      </w:r>
      <w:r w:rsidRPr="00544EA2">
        <w:t>onsent</w:t>
      </w:r>
      <w:bookmarkEnd w:id="697"/>
      <w:bookmarkEnd w:id="698"/>
      <w:bookmarkEnd w:id="699"/>
      <w:bookmarkEnd w:id="700"/>
    </w:p>
    <w:p w14:paraId="35A9076D" w14:textId="77777777" w:rsidR="003B0176" w:rsidRPr="00544EA2" w:rsidRDefault="003B0176" w:rsidP="00622CFF">
      <w:pPr>
        <w:spacing w:before="240" w:after="240" w:line="240" w:lineRule="auto"/>
        <w:rPr>
          <w:rFonts w:eastAsia="Aptos"/>
        </w:rPr>
      </w:pPr>
      <w:r w:rsidRPr="00544EA2">
        <w:rPr>
          <w:rFonts w:eastAsia="Aptos"/>
        </w:rPr>
        <w:t>Assessment Delegates must ensure that consent has been properly recorded in the system before making any approval decisions.</w:t>
      </w:r>
    </w:p>
    <w:p w14:paraId="308EB365" w14:textId="77777777" w:rsidR="003B0176" w:rsidRPr="00544EA2" w:rsidRDefault="003B0176" w:rsidP="00622CFF">
      <w:pPr>
        <w:spacing w:before="240" w:after="240" w:line="240" w:lineRule="auto"/>
        <w:rPr>
          <w:rFonts w:eastAsia="Aptos"/>
        </w:rPr>
      </w:pPr>
      <w:r w:rsidRPr="00544EA2">
        <w:rPr>
          <w:rFonts w:eastAsia="Aptos"/>
        </w:rPr>
        <w:t>Consent is a mandatory part of the assessment process and must reflect that the older person—or their appointed decision-maker—has agreed to the assessment and referral to services. This protects older person’s rights and ensures decisions are made in accordance with legislative and procedural requirements.</w:t>
      </w:r>
    </w:p>
    <w:p w14:paraId="6D84F883" w14:textId="5815123B" w:rsidR="003B0176" w:rsidRPr="00544EA2" w:rsidRDefault="003B0176" w:rsidP="00CC6081">
      <w:pPr>
        <w:pStyle w:val="H4"/>
        <w:rPr>
          <w:color w:val="0F4761"/>
        </w:rPr>
      </w:pPr>
      <w:bookmarkStart w:id="701" w:name="_Toc199344536"/>
      <w:bookmarkStart w:id="702" w:name="_Toc205372066"/>
      <w:bookmarkStart w:id="703" w:name="_Toc207713971"/>
      <w:r w:rsidRPr="00544EA2">
        <w:t>Application for Care form</w:t>
      </w:r>
      <w:bookmarkEnd w:id="701"/>
      <w:bookmarkEnd w:id="702"/>
      <w:bookmarkEnd w:id="703"/>
    </w:p>
    <w:p w14:paraId="213EBD17" w14:textId="3B3F1A15" w:rsidR="003B0176" w:rsidRPr="00544EA2" w:rsidRDefault="00976515" w:rsidP="00622CFF">
      <w:pPr>
        <w:spacing w:before="240" w:after="240" w:line="240" w:lineRule="auto"/>
        <w:rPr>
          <w:rFonts w:eastAsia="Aptos"/>
        </w:rPr>
      </w:pPr>
      <w:r>
        <w:rPr>
          <w:rFonts w:eastAsia="Aptos"/>
        </w:rPr>
        <w:t>O</w:t>
      </w:r>
      <w:r w:rsidR="003B0176" w:rsidRPr="00544EA2">
        <w:rPr>
          <w:rFonts w:eastAsia="Aptos"/>
        </w:rPr>
        <w:t xml:space="preserve">lder people seeking access to funded aged care services will not be required to complete an Application for Care </w:t>
      </w:r>
      <w:r w:rsidR="00FF54BC">
        <w:rPr>
          <w:rFonts w:eastAsia="Aptos"/>
        </w:rPr>
        <w:t>F</w:t>
      </w:r>
      <w:r w:rsidR="003B0176" w:rsidRPr="00544EA2">
        <w:rPr>
          <w:rFonts w:eastAsia="Aptos"/>
        </w:rPr>
        <w:t xml:space="preserve">orm. The act of applying for access to services will </w:t>
      </w:r>
      <w:r w:rsidR="004543A1">
        <w:rPr>
          <w:rFonts w:eastAsia="Aptos"/>
        </w:rPr>
        <w:t xml:space="preserve">commence </w:t>
      </w:r>
      <w:r w:rsidR="003B0176" w:rsidRPr="00544EA2">
        <w:rPr>
          <w:rFonts w:eastAsia="Aptos"/>
        </w:rPr>
        <w:t>through one of the existing registration pathways (</w:t>
      </w:r>
      <w:r w:rsidR="004543A1">
        <w:rPr>
          <w:rFonts w:eastAsia="Aptos"/>
        </w:rPr>
        <w:t>i.</w:t>
      </w:r>
      <w:r w:rsidR="003B0176" w:rsidRPr="00544EA2" w:rsidDel="004543A1">
        <w:rPr>
          <w:rFonts w:eastAsia="Aptos"/>
        </w:rPr>
        <w:t>e.</w:t>
      </w:r>
      <w:r w:rsidR="003B0176" w:rsidRPr="00544EA2">
        <w:rPr>
          <w:rFonts w:eastAsia="Aptos"/>
        </w:rPr>
        <w:t xml:space="preserve"> the</w:t>
      </w:r>
      <w:r w:rsidR="004543A1">
        <w:rPr>
          <w:rFonts w:eastAsia="Aptos"/>
        </w:rPr>
        <w:t xml:space="preserve"> My Aged Care</w:t>
      </w:r>
      <w:r w:rsidR="003B0176" w:rsidRPr="00544EA2">
        <w:rPr>
          <w:rFonts w:eastAsia="Aptos"/>
        </w:rPr>
        <w:t xml:space="preserve"> </w:t>
      </w:r>
      <w:r w:rsidR="004543A1">
        <w:rPr>
          <w:rFonts w:eastAsia="Aptos"/>
        </w:rPr>
        <w:t>c</w:t>
      </w:r>
      <w:r w:rsidR="003B0176" w:rsidRPr="00544EA2">
        <w:rPr>
          <w:rFonts w:eastAsia="Aptos"/>
        </w:rPr>
        <w:t xml:space="preserve">ontact </w:t>
      </w:r>
      <w:r w:rsidR="004543A1">
        <w:rPr>
          <w:rFonts w:eastAsia="Aptos"/>
        </w:rPr>
        <w:t>c</w:t>
      </w:r>
      <w:r w:rsidR="003B0176" w:rsidRPr="00544EA2">
        <w:rPr>
          <w:rFonts w:eastAsia="Aptos"/>
        </w:rPr>
        <w:t xml:space="preserve">entre). </w:t>
      </w:r>
    </w:p>
    <w:p w14:paraId="7EE8ECCD" w14:textId="5055490C" w:rsidR="003B0176" w:rsidRPr="00544EA2" w:rsidRDefault="003B0176" w:rsidP="00622CFF">
      <w:pPr>
        <w:spacing w:before="240" w:after="240" w:line="240" w:lineRule="auto"/>
        <w:rPr>
          <w:rFonts w:eastAsia="Aptos"/>
        </w:rPr>
      </w:pPr>
      <w:r w:rsidRPr="00544EA2">
        <w:rPr>
          <w:rFonts w:eastAsia="Aptos"/>
        </w:rPr>
        <w:t xml:space="preserve">However, older people seeking access to </w:t>
      </w:r>
      <w:r w:rsidR="002A3720">
        <w:rPr>
          <w:rFonts w:eastAsia="Aptos"/>
        </w:rPr>
        <w:t xml:space="preserve">residential care and </w:t>
      </w:r>
      <w:r w:rsidRPr="00544EA2">
        <w:rPr>
          <w:rFonts w:eastAsia="Aptos"/>
        </w:rPr>
        <w:t xml:space="preserve">emergency respite care will be required to complete an </w:t>
      </w:r>
      <w:hyperlink r:id="rId234" w:history="1">
        <w:r w:rsidR="00AC7A2A">
          <w:rPr>
            <w:rStyle w:val="Hyperlink"/>
            <w:rFonts w:eastAsia="Aptos"/>
            <w:i/>
            <w:iCs/>
          </w:rPr>
          <w:t xml:space="preserve">Emergency Residential Care - </w:t>
        </w:r>
        <w:r w:rsidRPr="002F3121">
          <w:rPr>
            <w:rStyle w:val="Hyperlink"/>
            <w:rFonts w:eastAsia="Aptos"/>
            <w:i/>
            <w:iCs/>
          </w:rPr>
          <w:t>Application for Care Form</w:t>
        </w:r>
      </w:hyperlink>
      <w:r w:rsidRPr="00544EA2">
        <w:rPr>
          <w:rFonts w:eastAsia="Aptos"/>
        </w:rPr>
        <w:t xml:space="preserve">. This form </w:t>
      </w:r>
      <w:r w:rsidR="00AF2E11">
        <w:rPr>
          <w:rFonts w:eastAsia="Aptos"/>
        </w:rPr>
        <w:t>is used by providers and</w:t>
      </w:r>
      <w:r w:rsidRPr="00544EA2">
        <w:rPr>
          <w:rFonts w:eastAsia="Aptos"/>
        </w:rPr>
        <w:t xml:space="preserve"> must be completed and uploaded to the older person’s My Aged Care Record, to confirm when they commenced receiving services. </w:t>
      </w:r>
    </w:p>
    <w:p w14:paraId="48D15F52" w14:textId="366CE9A8" w:rsidR="003B0176" w:rsidRPr="00544EA2" w:rsidRDefault="003B0176" w:rsidP="00622CFF">
      <w:pPr>
        <w:spacing w:before="240" w:after="240" w:line="240" w:lineRule="auto"/>
        <w:rPr>
          <w:rFonts w:eastAsia="Aptos"/>
        </w:rPr>
      </w:pPr>
      <w:r w:rsidRPr="00544EA2">
        <w:rPr>
          <w:rFonts w:eastAsia="Aptos"/>
        </w:rPr>
        <w:t xml:space="preserve">Triage </w:t>
      </w:r>
      <w:r w:rsidR="00C77F4B">
        <w:rPr>
          <w:rFonts w:eastAsia="Aptos"/>
        </w:rPr>
        <w:t>D</w:t>
      </w:r>
      <w:r w:rsidR="00C77F4B" w:rsidRPr="00544EA2">
        <w:rPr>
          <w:rFonts w:eastAsia="Aptos"/>
        </w:rPr>
        <w:t xml:space="preserve">elegates </w:t>
      </w:r>
      <w:r w:rsidRPr="00544EA2">
        <w:rPr>
          <w:rFonts w:eastAsia="Aptos"/>
        </w:rPr>
        <w:t xml:space="preserve">must review the form for completeness and be satisfied that the requirements under s58 are met. The Assessment Delegate is responsible for reviewing and approving the application form. </w:t>
      </w:r>
    </w:p>
    <w:p w14:paraId="2342A788" w14:textId="77777777" w:rsidR="003B0176" w:rsidRPr="00544EA2" w:rsidRDefault="003B0176" w:rsidP="00622CFF">
      <w:pPr>
        <w:spacing w:before="240" w:after="240" w:line="240" w:lineRule="auto"/>
        <w:rPr>
          <w:rFonts w:eastAsia="Aptos"/>
          <w:i/>
        </w:rPr>
      </w:pPr>
      <w:r w:rsidRPr="00544EA2">
        <w:rPr>
          <w:rFonts w:eastAsia="Aptos"/>
        </w:rPr>
        <w:t xml:space="preserve">See the section titled </w:t>
      </w:r>
      <w:r w:rsidRPr="00544EA2">
        <w:rPr>
          <w:rFonts w:eastAsia="Aptos"/>
          <w:i/>
        </w:rPr>
        <w:t>Further guidance Application process for people who have received aged care services but not yet applied for an assessment under My Aged Care</w:t>
      </w:r>
      <w:r w:rsidRPr="00544EA2">
        <w:rPr>
          <w:rFonts w:eastAsia="Aptos"/>
        </w:rPr>
        <w:t xml:space="preserve"> at the end of this chapter for more information</w:t>
      </w:r>
      <w:r w:rsidRPr="00544EA2">
        <w:rPr>
          <w:rFonts w:eastAsia="Aptos"/>
          <w:i/>
          <w:iCs/>
        </w:rPr>
        <w:t>.</w:t>
      </w:r>
    </w:p>
    <w:p w14:paraId="5C9A34F8" w14:textId="273D6194" w:rsidR="003B0176" w:rsidRPr="00544EA2" w:rsidRDefault="004E4D49" w:rsidP="00CC6081">
      <w:pPr>
        <w:pStyle w:val="H4"/>
        <w:rPr>
          <w:color w:val="0F4761"/>
        </w:rPr>
      </w:pPr>
      <w:bookmarkStart w:id="704" w:name="_Toc1118874775"/>
      <w:bookmarkStart w:id="705" w:name="_Toc199344537"/>
      <w:bookmarkStart w:id="706" w:name="_Toc205372067"/>
      <w:bookmarkStart w:id="707" w:name="_Toc207713972"/>
      <w:r>
        <w:t>Integrated Assessment Tool (</w:t>
      </w:r>
      <w:r w:rsidR="003B0176" w:rsidRPr="00544EA2">
        <w:t>IAT</w:t>
      </w:r>
      <w:r>
        <w:t>)</w:t>
      </w:r>
      <w:r w:rsidR="003B0176" w:rsidRPr="00544EA2">
        <w:t xml:space="preserve"> and Validated Assessment Tools</w:t>
      </w:r>
      <w:bookmarkEnd w:id="704"/>
      <w:bookmarkEnd w:id="705"/>
      <w:bookmarkEnd w:id="706"/>
      <w:bookmarkEnd w:id="707"/>
      <w:r w:rsidR="00B161FE">
        <w:t xml:space="preserve"> (VaTs)</w:t>
      </w:r>
    </w:p>
    <w:p w14:paraId="22EF072E" w14:textId="40F66E10" w:rsidR="003B0176" w:rsidRPr="00544EA2" w:rsidRDefault="003B0176" w:rsidP="00622CFF">
      <w:pPr>
        <w:spacing w:before="240" w:after="240" w:line="240" w:lineRule="auto"/>
        <w:rPr>
          <w:rFonts w:eastAsia="Aptos"/>
        </w:rPr>
      </w:pPr>
      <w:r w:rsidRPr="00544EA2">
        <w:rPr>
          <w:rFonts w:eastAsia="Aptos"/>
        </w:rPr>
        <w:t>The</w:t>
      </w:r>
      <w:r w:rsidRPr="00544EA2">
        <w:rPr>
          <w:rFonts w:eastAsia="Aptos" w:hint="eastAsia"/>
        </w:rPr>
        <w:t> </w:t>
      </w:r>
      <w:r w:rsidRPr="00494FE5">
        <w:rPr>
          <w:rFonts w:eastAsia="Aptos"/>
          <w:bCs/>
        </w:rPr>
        <w:t>IAT</w:t>
      </w:r>
      <w:r w:rsidRPr="00494FE5">
        <w:rPr>
          <w:rFonts w:eastAsia="Aptos" w:hint="eastAsia"/>
          <w:bCs/>
        </w:rPr>
        <w:t> </w:t>
      </w:r>
      <w:r w:rsidRPr="00494FE5">
        <w:rPr>
          <w:rFonts w:eastAsia="Aptos"/>
          <w:bCs/>
        </w:rPr>
        <w:t>and</w:t>
      </w:r>
      <w:r w:rsidRPr="00544EA2">
        <w:rPr>
          <w:rFonts w:eastAsia="Aptos"/>
        </w:rPr>
        <w:t xml:space="preserve"> its </w:t>
      </w:r>
      <w:r w:rsidR="00B161FE">
        <w:rPr>
          <w:rFonts w:eastAsia="Aptos"/>
        </w:rPr>
        <w:t>VATs</w:t>
      </w:r>
      <w:r w:rsidRPr="00544EA2">
        <w:rPr>
          <w:rFonts w:eastAsia="Aptos"/>
        </w:rPr>
        <w:t xml:space="preserve"> is the prescribed tool that assessors must use under s62-5 of the </w:t>
      </w:r>
      <w:r w:rsidR="006B0F4B">
        <w:rPr>
          <w:rFonts w:eastAsia="Aptos"/>
        </w:rPr>
        <w:t>Rules</w:t>
      </w:r>
      <w:r w:rsidRPr="00544EA2">
        <w:rPr>
          <w:rFonts w:eastAsia="Aptos"/>
        </w:rPr>
        <w:t>. The IAT is essential for capturing a comprehensive profile of an older person’s needs, ensuring accuracy and consistency in decision-making. The IAT consolidates key information about an older person’s needs across a number of domains, providing a holistic view of their health and circumstances. Additionally, embedded validated tools assess abilities and capacity, forming a solid evidence base for determining care needs.</w:t>
      </w:r>
    </w:p>
    <w:p w14:paraId="46F33791" w14:textId="70B8A24D" w:rsidR="003B0176" w:rsidRPr="00544EA2" w:rsidRDefault="003B0176" w:rsidP="00622CFF">
      <w:pPr>
        <w:spacing w:before="240" w:after="240" w:line="240" w:lineRule="auto"/>
        <w:rPr>
          <w:rFonts w:eastAsia="Aptos"/>
        </w:rPr>
      </w:pPr>
      <w:r w:rsidRPr="00544EA2">
        <w:rPr>
          <w:rFonts w:eastAsia="Aptos"/>
        </w:rPr>
        <w:t>Assessment</w:t>
      </w:r>
      <w:r w:rsidRPr="00544EA2" w:rsidDel="003E4256">
        <w:rPr>
          <w:rFonts w:eastAsia="Aptos"/>
        </w:rPr>
        <w:t xml:space="preserve"> </w:t>
      </w:r>
      <w:r w:rsidR="003E4256">
        <w:rPr>
          <w:rFonts w:eastAsia="Aptos"/>
        </w:rPr>
        <w:t>d</w:t>
      </w:r>
      <w:r w:rsidR="003E4256" w:rsidRPr="00544EA2">
        <w:rPr>
          <w:rFonts w:eastAsia="Aptos"/>
        </w:rPr>
        <w:t xml:space="preserve">elegates </w:t>
      </w:r>
      <w:r w:rsidRPr="00544EA2">
        <w:rPr>
          <w:rFonts w:eastAsia="Aptos"/>
        </w:rPr>
        <w:t>must evaluate the information captured in these tools to determine an older person’s eligibility for aged care services. This means cross-referencing the assessor’s recommendations with the data recorded in the IAT to ensure the decision aligns with the</w:t>
      </w:r>
      <w:r w:rsidRPr="00544EA2">
        <w:rPr>
          <w:rFonts w:eastAsia="Aptos" w:hint="eastAsia"/>
        </w:rPr>
        <w:t> </w:t>
      </w:r>
      <w:r w:rsidRPr="00B54971">
        <w:rPr>
          <w:rFonts w:eastAsia="Aptos"/>
          <w:bCs/>
        </w:rPr>
        <w:t>support plan</w:t>
      </w:r>
      <w:r w:rsidRPr="00544EA2">
        <w:rPr>
          <w:rFonts w:eastAsia="Aptos" w:hint="eastAsia"/>
        </w:rPr>
        <w:t> </w:t>
      </w:r>
      <w:r w:rsidRPr="00544EA2">
        <w:rPr>
          <w:rFonts w:eastAsia="Aptos"/>
        </w:rPr>
        <w:t>and matches the level and type of care identified during the assessment process.</w:t>
      </w:r>
    </w:p>
    <w:p w14:paraId="7BA796EE" w14:textId="15764595" w:rsidR="003B0176" w:rsidRPr="00544EA2" w:rsidRDefault="003B0176" w:rsidP="00622CFF">
      <w:pPr>
        <w:spacing w:before="240" w:after="240" w:line="240" w:lineRule="auto"/>
        <w:rPr>
          <w:rFonts w:eastAsia="Aptos"/>
        </w:rPr>
      </w:pPr>
      <w:r w:rsidRPr="00544EA2">
        <w:rPr>
          <w:rFonts w:eastAsia="Aptos"/>
        </w:rPr>
        <w:t xml:space="preserve">If assessors choose to use any additional </w:t>
      </w:r>
      <w:r w:rsidR="004E2C8C">
        <w:rPr>
          <w:rFonts w:eastAsia="Aptos"/>
        </w:rPr>
        <w:t>VATs</w:t>
      </w:r>
      <w:r w:rsidRPr="00544EA2">
        <w:rPr>
          <w:rFonts w:eastAsia="Aptos"/>
        </w:rPr>
        <w:t xml:space="preserve"> beyond the IAT, </w:t>
      </w:r>
      <w:r w:rsidR="003E4256">
        <w:rPr>
          <w:rFonts w:eastAsia="Aptos"/>
        </w:rPr>
        <w:t>a</w:t>
      </w:r>
      <w:r w:rsidR="003E4256" w:rsidRPr="00544EA2">
        <w:rPr>
          <w:rFonts w:eastAsia="Aptos"/>
        </w:rPr>
        <w:t xml:space="preserve">ssessment </w:t>
      </w:r>
      <w:r w:rsidR="003E4256">
        <w:rPr>
          <w:rFonts w:eastAsia="Aptos"/>
        </w:rPr>
        <w:t>d</w:t>
      </w:r>
      <w:r w:rsidR="003E4256" w:rsidRPr="00544EA2">
        <w:rPr>
          <w:rFonts w:eastAsia="Aptos"/>
        </w:rPr>
        <w:t xml:space="preserve">elegates </w:t>
      </w:r>
      <w:r w:rsidRPr="00544EA2">
        <w:rPr>
          <w:rFonts w:eastAsia="Aptos"/>
        </w:rPr>
        <w:t>must ensure they are uploaded as attachments to the ‘client record’.</w:t>
      </w:r>
      <w:r w:rsidRPr="00544EA2">
        <w:rPr>
          <w:rFonts w:eastAsia="Aptos" w:hint="eastAsia"/>
        </w:rPr>
        <w:t> </w:t>
      </w:r>
      <w:r w:rsidRPr="00544EA2">
        <w:rPr>
          <w:rFonts w:eastAsia="Aptos"/>
        </w:rPr>
        <w:t>This is essential for maintaining complete documentation.</w:t>
      </w:r>
    </w:p>
    <w:p w14:paraId="67561FD2" w14:textId="4C267D86" w:rsidR="003B0176" w:rsidRPr="00544EA2" w:rsidRDefault="003B0176" w:rsidP="00CC6081">
      <w:pPr>
        <w:pStyle w:val="H4"/>
        <w:rPr>
          <w:color w:val="0F4761"/>
        </w:rPr>
      </w:pPr>
      <w:bookmarkStart w:id="708" w:name="_Toc159579833"/>
      <w:bookmarkStart w:id="709" w:name="_Toc199344538"/>
      <w:bookmarkStart w:id="710" w:name="_Toc205372068"/>
      <w:bookmarkStart w:id="711" w:name="_Toc207713973"/>
      <w:r w:rsidRPr="00544EA2">
        <w:t>Additional evidence</w:t>
      </w:r>
      <w:bookmarkEnd w:id="708"/>
      <w:bookmarkEnd w:id="709"/>
      <w:bookmarkEnd w:id="710"/>
      <w:bookmarkEnd w:id="711"/>
    </w:p>
    <w:p w14:paraId="6E0FA2C3" w14:textId="2B4DE7A9" w:rsidR="003B0176" w:rsidRPr="00544EA2" w:rsidRDefault="003B0176" w:rsidP="00622CFF">
      <w:pPr>
        <w:spacing w:before="240" w:after="240" w:line="240" w:lineRule="auto"/>
        <w:rPr>
          <w:rFonts w:eastAsia="Aptos"/>
        </w:rPr>
      </w:pPr>
      <w:r w:rsidRPr="00544EA2">
        <w:rPr>
          <w:rFonts w:eastAsia="Aptos"/>
        </w:rPr>
        <w:t>Assessment evidence can come from a range of sources, including letters or emails</w:t>
      </w:r>
      <w:r w:rsidRPr="00544EA2">
        <w:rPr>
          <w:rFonts w:eastAsia="Aptos" w:hint="eastAsia"/>
          <w:b/>
        </w:rPr>
        <w:t> </w:t>
      </w:r>
      <w:r w:rsidRPr="00544EA2">
        <w:rPr>
          <w:rFonts w:eastAsia="Aptos"/>
        </w:rPr>
        <w:t xml:space="preserve">from health professionals such as geriatricians, GPs, or social workers. Additional useful documents might include written information from family or friends, GP medical summaries, completed AT-HM tier guide, hospital discharge summaries, and correspondence from current service providers, </w:t>
      </w:r>
      <w:r w:rsidR="007625BA">
        <w:rPr>
          <w:rFonts w:eastAsia="Aptos"/>
        </w:rPr>
        <w:t>C</w:t>
      </w:r>
      <w:r w:rsidRPr="00544EA2">
        <w:rPr>
          <w:rFonts w:eastAsia="Aptos"/>
        </w:rPr>
        <w:t xml:space="preserve">are </w:t>
      </w:r>
      <w:r w:rsidR="007625BA">
        <w:rPr>
          <w:rFonts w:eastAsia="Aptos"/>
        </w:rPr>
        <w:t>F</w:t>
      </w:r>
      <w:r w:rsidRPr="00544EA2">
        <w:rPr>
          <w:rFonts w:eastAsia="Aptos"/>
        </w:rPr>
        <w:t>inders, Elder Care Support workers, government or non-government agencies, or others involved in the older person’s care. These documents offer</w:t>
      </w:r>
      <w:r w:rsidRPr="00544EA2">
        <w:rPr>
          <w:rFonts w:eastAsia="Aptos" w:hint="eastAsia"/>
        </w:rPr>
        <w:t> </w:t>
      </w:r>
      <w:r w:rsidRPr="00B54971">
        <w:rPr>
          <w:rFonts w:eastAsia="Aptos"/>
          <w:bCs/>
        </w:rPr>
        <w:t>valuable insights</w:t>
      </w:r>
      <w:r w:rsidRPr="00544EA2">
        <w:rPr>
          <w:rFonts w:eastAsia="Aptos" w:hint="eastAsia"/>
        </w:rPr>
        <w:t> </w:t>
      </w:r>
      <w:r w:rsidRPr="00544EA2">
        <w:rPr>
          <w:rFonts w:eastAsia="Aptos"/>
        </w:rPr>
        <w:t>into the older person’s needs and may help identify the type and urgency of required care and support.</w:t>
      </w:r>
    </w:p>
    <w:p w14:paraId="68E40D1F" w14:textId="198D8923" w:rsidR="003B0176" w:rsidRPr="00544EA2" w:rsidRDefault="003B0176" w:rsidP="00622CFF">
      <w:pPr>
        <w:spacing w:before="240" w:after="240" w:line="240" w:lineRule="auto"/>
        <w:rPr>
          <w:rFonts w:eastAsia="Aptos"/>
        </w:rPr>
      </w:pPr>
      <w:r w:rsidRPr="00544EA2">
        <w:rPr>
          <w:rFonts w:eastAsia="Aptos"/>
        </w:rPr>
        <w:t>Assessment organisations may also hold regular delegation meetings to review assessed individuals and ensure a</w:t>
      </w:r>
      <w:r w:rsidRPr="00544EA2">
        <w:rPr>
          <w:rFonts w:eastAsia="Aptos" w:hint="eastAsia"/>
        </w:rPr>
        <w:t> </w:t>
      </w:r>
      <w:r w:rsidRPr="00B54971">
        <w:rPr>
          <w:rFonts w:eastAsia="Aptos"/>
          <w:bCs/>
        </w:rPr>
        <w:t>multidisciplinary approach</w:t>
      </w:r>
      <w:r w:rsidRPr="00544EA2">
        <w:rPr>
          <w:rFonts w:eastAsia="Aptos" w:hint="eastAsia"/>
        </w:rPr>
        <w:t> </w:t>
      </w:r>
      <w:r w:rsidRPr="00544EA2">
        <w:rPr>
          <w:rFonts w:eastAsia="Aptos"/>
        </w:rPr>
        <w:t>has been applied. These meetings help guide assessors in making well-informed recommendations before support plan submission and support</w:t>
      </w:r>
      <w:r w:rsidRPr="00544EA2" w:rsidDel="003125FB">
        <w:rPr>
          <w:rFonts w:eastAsia="Aptos"/>
        </w:rPr>
        <w:t xml:space="preserve"> </w:t>
      </w:r>
      <w:r w:rsidR="00631006">
        <w:rPr>
          <w:rFonts w:eastAsia="Aptos"/>
        </w:rPr>
        <w:t>a</w:t>
      </w:r>
      <w:r w:rsidR="00631006" w:rsidRPr="00544EA2">
        <w:rPr>
          <w:rFonts w:eastAsia="Aptos"/>
        </w:rPr>
        <w:t xml:space="preserve">ssessment </w:t>
      </w:r>
      <w:r w:rsidR="00631006">
        <w:rPr>
          <w:rFonts w:eastAsia="Aptos"/>
        </w:rPr>
        <w:t>d</w:t>
      </w:r>
      <w:r w:rsidR="00631006" w:rsidRPr="00544EA2">
        <w:rPr>
          <w:rFonts w:eastAsia="Aptos"/>
        </w:rPr>
        <w:t>elegates</w:t>
      </w:r>
      <w:r w:rsidRPr="00544EA2">
        <w:rPr>
          <w:rFonts w:eastAsia="Aptos"/>
        </w:rPr>
        <w:t>, in fully understanding an individual’s aged care needs, enabling accurate and informed decision-making.</w:t>
      </w:r>
    </w:p>
    <w:p w14:paraId="57CD65E2" w14:textId="57123965" w:rsidR="005960D3" w:rsidRPr="0003231B" w:rsidRDefault="003B0176" w:rsidP="00C325C6">
      <w:pPr>
        <w:pStyle w:val="Sub-headings"/>
      </w:pPr>
      <w:r w:rsidRPr="00CB2F4C">
        <w:t>Note</w:t>
      </w:r>
      <w:r>
        <w:t>:</w:t>
      </w:r>
    </w:p>
    <w:p w14:paraId="0FD848E3" w14:textId="7C8BC7AB" w:rsidR="003B0176" w:rsidRPr="00544EA2" w:rsidRDefault="003B0176" w:rsidP="00C325C6">
      <w:pPr>
        <w:pStyle w:val="Sub-headings"/>
        <w:rPr>
          <w:rFonts w:ascii="Aptos" w:hAnsi="Aptos"/>
        </w:rPr>
      </w:pPr>
      <w:r w:rsidRPr="005F78D0">
        <w:rPr>
          <w:bCs w:val="0"/>
        </w:rPr>
        <w:t>If Assessment Delegates have any concerns about the quality or completeness of the evidence</w:t>
      </w:r>
      <w:r w:rsidRPr="00544EA2">
        <w:t xml:space="preserve"> provided, it is important they discuss these with the assessor before proceeding with approvals. Assessment Delegates may also involve a manager or </w:t>
      </w:r>
      <w:r w:rsidR="0087140D">
        <w:t>t</w:t>
      </w:r>
      <w:r w:rsidRPr="00544EA2">
        <w:t xml:space="preserve">eam </w:t>
      </w:r>
      <w:r w:rsidR="0087140D">
        <w:t>l</w:t>
      </w:r>
      <w:r w:rsidRPr="00544EA2">
        <w:t>eader in this discussion, if necessary, to ensure that all aspects of the assessment are properly addressed.</w:t>
      </w:r>
    </w:p>
    <w:p w14:paraId="55E984AA" w14:textId="77777777" w:rsidR="00015F90" w:rsidRDefault="00015F90" w:rsidP="00622CFF">
      <w:pPr>
        <w:spacing w:before="240" w:after="240" w:line="240" w:lineRule="auto"/>
      </w:pPr>
    </w:p>
    <w:p w14:paraId="7770F225" w14:textId="15E3AF42" w:rsidR="003B0176" w:rsidRPr="00544EA2" w:rsidRDefault="003B0176" w:rsidP="00507F9D">
      <w:pPr>
        <w:pStyle w:val="h2"/>
      </w:pPr>
      <w:bookmarkStart w:id="712" w:name="_Toc209189025"/>
      <w:bookmarkStart w:id="713" w:name="_Toc224916682"/>
      <w:r w:rsidRPr="00544EA2">
        <w:t xml:space="preserve">Approving </w:t>
      </w:r>
      <w:r w:rsidR="00F92A77">
        <w:t>h</w:t>
      </w:r>
      <w:r w:rsidRPr="00544EA2">
        <w:t xml:space="preserve">ome </w:t>
      </w:r>
      <w:r w:rsidR="00F92A77">
        <w:t>s</w:t>
      </w:r>
      <w:r w:rsidRPr="00544EA2">
        <w:t>upport</w:t>
      </w:r>
      <w:bookmarkEnd w:id="712"/>
      <w:bookmarkEnd w:id="713"/>
    </w:p>
    <w:p w14:paraId="430672CC" w14:textId="77777777" w:rsidR="003B0176" w:rsidRPr="00544EA2" w:rsidRDefault="003B0176" w:rsidP="00C56CEC">
      <w:pPr>
        <w:pStyle w:val="H3"/>
      </w:pPr>
      <w:bookmarkStart w:id="714" w:name="_Toc198787165"/>
      <w:bookmarkStart w:id="715" w:name="_Toc2917926"/>
      <w:bookmarkStart w:id="716" w:name="_Toc199344543"/>
      <w:bookmarkStart w:id="717" w:name="_Toc205372073"/>
      <w:bookmarkStart w:id="718" w:name="_Toc207713978"/>
      <w:r w:rsidRPr="00544EA2">
        <w:t>Step 1. Decide if the older person is eligible for home support</w:t>
      </w:r>
      <w:bookmarkEnd w:id="714"/>
      <w:bookmarkEnd w:id="715"/>
      <w:bookmarkEnd w:id="716"/>
      <w:bookmarkEnd w:id="717"/>
      <w:bookmarkEnd w:id="718"/>
    </w:p>
    <w:p w14:paraId="50CC20C7" w14:textId="77777777" w:rsidR="00461569" w:rsidRDefault="00461569" w:rsidP="00461569">
      <w:pPr>
        <w:rPr>
          <w:rFonts w:eastAsia="Arial"/>
          <w:szCs w:val="22"/>
        </w:rPr>
      </w:pPr>
      <w:r w:rsidRPr="006F2341">
        <w:rPr>
          <w:rFonts w:eastAsia="Arial"/>
          <w:szCs w:val="22"/>
        </w:rPr>
        <w:t>Before approving a recommendation for the home support service group, the Assessment Delegate first needs to decide if an older person requires and is eligible to access this service group.</w:t>
      </w:r>
      <w:r>
        <w:rPr>
          <w:rFonts w:eastAsia="Arial"/>
          <w:szCs w:val="22"/>
        </w:rPr>
        <w:t xml:space="preserve"> </w:t>
      </w:r>
    </w:p>
    <w:p w14:paraId="42124397" w14:textId="6888BEA0" w:rsidR="00461569" w:rsidRDefault="00461569" w:rsidP="00461569">
      <w:pPr>
        <w:rPr>
          <w:rFonts w:eastAsia="Arial"/>
          <w:szCs w:val="22"/>
        </w:rPr>
      </w:pPr>
      <w:r>
        <w:rPr>
          <w:rFonts w:eastAsia="Arial"/>
          <w:szCs w:val="22"/>
        </w:rPr>
        <w:t xml:space="preserve">During the assessment, once the IAT is finalised, the IAT Outcome will generate a recommendation for the older person to receive ongoing home support through </w:t>
      </w:r>
      <w:r w:rsidR="001B61EF">
        <w:rPr>
          <w:rFonts w:eastAsia="Arial"/>
          <w:szCs w:val="22"/>
        </w:rPr>
        <w:t>the Commonwealth Home</w:t>
      </w:r>
      <w:r>
        <w:rPr>
          <w:rFonts w:eastAsia="Arial"/>
          <w:szCs w:val="22"/>
        </w:rPr>
        <w:t xml:space="preserve"> Support </w:t>
      </w:r>
      <w:r w:rsidR="001B61EF">
        <w:rPr>
          <w:rFonts w:eastAsia="Arial"/>
          <w:szCs w:val="22"/>
        </w:rPr>
        <w:t>Program (</w:t>
      </w:r>
      <w:r>
        <w:rPr>
          <w:rFonts w:eastAsia="Arial"/>
          <w:szCs w:val="22"/>
        </w:rPr>
        <w:t>CHSP</w:t>
      </w:r>
      <w:r w:rsidR="001B61EF">
        <w:rPr>
          <w:rFonts w:eastAsia="Arial"/>
          <w:szCs w:val="22"/>
        </w:rPr>
        <w:t>)</w:t>
      </w:r>
      <w:r>
        <w:rPr>
          <w:rFonts w:eastAsia="Arial"/>
          <w:szCs w:val="22"/>
        </w:rPr>
        <w:t xml:space="preserve"> or Support at Home</w:t>
      </w:r>
      <w:r w:rsidR="001B61EF">
        <w:rPr>
          <w:rFonts w:eastAsia="Arial"/>
          <w:szCs w:val="22"/>
        </w:rPr>
        <w:t xml:space="preserve"> (SaH)</w:t>
      </w:r>
      <w:r>
        <w:rPr>
          <w:rFonts w:eastAsia="Arial"/>
          <w:szCs w:val="22"/>
        </w:rPr>
        <w:t xml:space="preserve">. It may also recommend </w:t>
      </w:r>
      <w:r w:rsidR="00360789">
        <w:rPr>
          <w:rFonts w:eastAsia="Arial"/>
          <w:szCs w:val="22"/>
        </w:rPr>
        <w:t>‘</w:t>
      </w:r>
      <w:r>
        <w:rPr>
          <w:rFonts w:eastAsia="Arial"/>
          <w:szCs w:val="22"/>
        </w:rPr>
        <w:t>ineligib</w:t>
      </w:r>
      <w:r w:rsidR="00360789">
        <w:rPr>
          <w:rFonts w:eastAsia="Arial"/>
          <w:szCs w:val="22"/>
        </w:rPr>
        <w:t>le</w:t>
      </w:r>
      <w:r>
        <w:rPr>
          <w:rFonts w:eastAsia="Arial"/>
          <w:szCs w:val="22"/>
        </w:rPr>
        <w:t xml:space="preserve"> for </w:t>
      </w:r>
      <w:r w:rsidR="002D335E">
        <w:rPr>
          <w:rFonts w:eastAsia="Arial"/>
          <w:szCs w:val="22"/>
        </w:rPr>
        <w:t>CHSP</w:t>
      </w:r>
      <w:r w:rsidR="00360789">
        <w:rPr>
          <w:rFonts w:eastAsia="Arial"/>
          <w:szCs w:val="22"/>
        </w:rPr>
        <w:t>/</w:t>
      </w:r>
      <w:r w:rsidR="002D335E">
        <w:rPr>
          <w:rFonts w:eastAsia="Arial"/>
          <w:szCs w:val="22"/>
        </w:rPr>
        <w:t>SaH</w:t>
      </w:r>
      <w:r w:rsidR="00360789">
        <w:rPr>
          <w:rFonts w:eastAsia="Arial"/>
          <w:szCs w:val="22"/>
        </w:rPr>
        <w:t>’</w:t>
      </w:r>
      <w:r>
        <w:rPr>
          <w:rFonts w:eastAsia="Arial"/>
          <w:szCs w:val="22"/>
        </w:rPr>
        <w:t xml:space="preserve">. As such, the IAT Outcome will guide the Assessment Delegate to determine whether the older person is eligible for ongoing home support through CHSP or Support at Home. </w:t>
      </w:r>
    </w:p>
    <w:p w14:paraId="51B7D4C4" w14:textId="524BDA98" w:rsidR="00461569" w:rsidRPr="006C0283" w:rsidRDefault="00461569" w:rsidP="00C325C6">
      <w:pPr>
        <w:pStyle w:val="Sub-headings"/>
      </w:pPr>
      <w:r w:rsidRPr="00005E87">
        <w:t>Note</w:t>
      </w:r>
      <w:r w:rsidRPr="00E01AD4">
        <w:t>:</w:t>
      </w:r>
      <w:r>
        <w:t xml:space="preserve"> </w:t>
      </w:r>
      <w:r w:rsidRPr="008060E3">
        <w:t xml:space="preserve">An IAT Outcome of </w:t>
      </w:r>
      <w:r w:rsidR="00AE56D9">
        <w:t>‘ineligible for CHSP/</w:t>
      </w:r>
      <w:r w:rsidR="00CE5B6D">
        <w:t>SaH’</w:t>
      </w:r>
      <w:r w:rsidRPr="008060E3">
        <w:t xml:space="preserve"> means that the older person has not met the minimum threshold to receive ongoing home support through CHSP or Support at Home. </w:t>
      </w:r>
    </w:p>
    <w:p w14:paraId="5B6BE473" w14:textId="77777777" w:rsidR="003B0176" w:rsidRPr="00544EA2" w:rsidRDefault="003B0176" w:rsidP="00C56CEC">
      <w:pPr>
        <w:pStyle w:val="H3"/>
      </w:pPr>
      <w:r w:rsidRPr="00544EA2">
        <w:t xml:space="preserve">Step 2. </w:t>
      </w:r>
      <w:r w:rsidRPr="00544EA2" w:rsidDel="00B85AB8">
        <w:t xml:space="preserve">Decide </w:t>
      </w:r>
      <w:r w:rsidRPr="00544EA2">
        <w:t xml:space="preserve">the classification type and level </w:t>
      </w:r>
    </w:p>
    <w:p w14:paraId="4E36C301" w14:textId="77777777" w:rsidR="00DA5E7F" w:rsidRPr="005E1EBB" w:rsidRDefault="00DA5E7F" w:rsidP="00DA5E7F">
      <w:pPr>
        <w:spacing w:before="240" w:after="240" w:line="240" w:lineRule="auto"/>
        <w:rPr>
          <w:rFonts w:eastAsia="Arial"/>
          <w:szCs w:val="22"/>
        </w:rPr>
      </w:pPr>
      <w:r>
        <w:rPr>
          <w:rFonts w:eastAsia="Arial"/>
          <w:szCs w:val="22"/>
        </w:rPr>
        <w:t xml:space="preserve">The IAT Outcome includes a service group (care type), classification type (duration) and classification level (funding). </w:t>
      </w:r>
      <w:r w:rsidRPr="005E1EBB">
        <w:rPr>
          <w:rFonts w:eastAsia="Arial"/>
          <w:szCs w:val="22"/>
        </w:rPr>
        <w:t xml:space="preserve">For example, a person who has been assessed as needing access to ongoing </w:t>
      </w:r>
      <w:r>
        <w:rPr>
          <w:rFonts w:eastAsia="Arial"/>
          <w:szCs w:val="22"/>
        </w:rPr>
        <w:t>home support</w:t>
      </w:r>
      <w:r w:rsidRPr="005E1EBB">
        <w:rPr>
          <w:rFonts w:eastAsia="Arial"/>
          <w:szCs w:val="22"/>
        </w:rPr>
        <w:t xml:space="preserve"> services </w:t>
      </w:r>
      <w:r>
        <w:rPr>
          <w:rFonts w:eastAsia="Arial"/>
          <w:szCs w:val="22"/>
        </w:rPr>
        <w:t xml:space="preserve">under </w:t>
      </w:r>
      <w:r w:rsidRPr="005E1EBB">
        <w:rPr>
          <w:rFonts w:eastAsia="Arial"/>
          <w:szCs w:val="22"/>
        </w:rPr>
        <w:t>Support at Home</w:t>
      </w:r>
      <w:r>
        <w:rPr>
          <w:rFonts w:eastAsia="Arial"/>
          <w:szCs w:val="22"/>
        </w:rPr>
        <w:t>, the approval will be the following</w:t>
      </w:r>
      <w:r w:rsidRPr="005E1EBB">
        <w:rPr>
          <w:rFonts w:eastAsia="Arial"/>
          <w:szCs w:val="22"/>
        </w:rPr>
        <w:t>: </w:t>
      </w:r>
    </w:p>
    <w:p w14:paraId="25E3DDDF" w14:textId="77777777" w:rsidR="00DA5E7F" w:rsidRPr="005E1EBB" w:rsidRDefault="00DA5E7F" w:rsidP="00DF3F6B">
      <w:pPr>
        <w:numPr>
          <w:ilvl w:val="0"/>
          <w:numId w:val="267"/>
        </w:numPr>
        <w:spacing w:before="240" w:after="240" w:line="240" w:lineRule="auto"/>
        <w:rPr>
          <w:rFonts w:eastAsia="Arial"/>
          <w:szCs w:val="22"/>
        </w:rPr>
      </w:pPr>
      <w:r w:rsidRPr="005E1EBB">
        <w:rPr>
          <w:rFonts w:eastAsia="Arial"/>
          <w:b/>
          <w:bCs/>
          <w:szCs w:val="22"/>
        </w:rPr>
        <w:t>Service group:</w:t>
      </w:r>
      <w:r w:rsidRPr="005E1EBB">
        <w:rPr>
          <w:rFonts w:eastAsia="Arial"/>
          <w:szCs w:val="22"/>
        </w:rPr>
        <w:t xml:space="preserve"> Home support </w:t>
      </w:r>
    </w:p>
    <w:p w14:paraId="31C38C0E" w14:textId="77777777" w:rsidR="00DA5E7F" w:rsidRPr="005E1EBB" w:rsidRDefault="00DA5E7F" w:rsidP="00DF3F6B">
      <w:pPr>
        <w:numPr>
          <w:ilvl w:val="0"/>
          <w:numId w:val="268"/>
        </w:numPr>
        <w:spacing w:before="240" w:after="240" w:line="240" w:lineRule="auto"/>
        <w:rPr>
          <w:rFonts w:eastAsia="Arial"/>
          <w:szCs w:val="22"/>
        </w:rPr>
      </w:pPr>
      <w:r w:rsidRPr="005E1EBB">
        <w:rPr>
          <w:rFonts w:eastAsia="Arial"/>
          <w:b/>
          <w:bCs/>
          <w:szCs w:val="22"/>
        </w:rPr>
        <w:t>Classification type:</w:t>
      </w:r>
      <w:r w:rsidRPr="005E1EBB">
        <w:rPr>
          <w:rFonts w:eastAsia="Arial"/>
          <w:szCs w:val="22"/>
        </w:rPr>
        <w:t xml:space="preserve"> Ongoing </w:t>
      </w:r>
    </w:p>
    <w:p w14:paraId="35E0B8F9" w14:textId="77777777" w:rsidR="00DA5E7F" w:rsidRPr="005E1EBB" w:rsidRDefault="00DA5E7F" w:rsidP="00DF3F6B">
      <w:pPr>
        <w:numPr>
          <w:ilvl w:val="0"/>
          <w:numId w:val="269"/>
        </w:numPr>
        <w:spacing w:before="240" w:after="240" w:line="240" w:lineRule="auto"/>
        <w:rPr>
          <w:rFonts w:eastAsia="Arial"/>
          <w:szCs w:val="22"/>
        </w:rPr>
      </w:pPr>
      <w:r w:rsidRPr="005E1EBB">
        <w:rPr>
          <w:rFonts w:eastAsia="Arial"/>
          <w:b/>
          <w:bCs/>
          <w:szCs w:val="22"/>
        </w:rPr>
        <w:t>Classification level:</w:t>
      </w:r>
      <w:r w:rsidRPr="005E1EBB">
        <w:rPr>
          <w:rFonts w:eastAsia="Arial"/>
          <w:szCs w:val="22"/>
        </w:rPr>
        <w:t xml:space="preserve"> SAH class (1 to 8) </w:t>
      </w:r>
    </w:p>
    <w:p w14:paraId="0924F1AA" w14:textId="77777777" w:rsidR="00DA5E7F" w:rsidRPr="002F1830" w:rsidRDefault="00DA5E7F" w:rsidP="00DA5E7F">
      <w:pPr>
        <w:spacing w:before="240" w:after="240" w:line="240" w:lineRule="auto"/>
        <w:rPr>
          <w:rFonts w:eastAsia="Arial"/>
          <w:szCs w:val="22"/>
        </w:rPr>
      </w:pPr>
      <w:r>
        <w:rPr>
          <w:rFonts w:eastAsia="Arial"/>
          <w:szCs w:val="22"/>
        </w:rPr>
        <w:t>S</w:t>
      </w:r>
      <w:r w:rsidRPr="00893A51">
        <w:rPr>
          <w:rFonts w:eastAsia="Arial"/>
          <w:szCs w:val="22"/>
        </w:rPr>
        <w:t xml:space="preserve">ection 81-10 of the </w:t>
      </w:r>
      <w:r w:rsidRPr="00893A51">
        <w:rPr>
          <w:rFonts w:eastAsia="Arial"/>
          <w:i/>
          <w:iCs/>
          <w:szCs w:val="22"/>
        </w:rPr>
        <w:t>Aged Care Rules 2025</w:t>
      </w:r>
      <w:r w:rsidRPr="00893A51">
        <w:rPr>
          <w:rFonts w:eastAsia="Arial"/>
          <w:szCs w:val="22"/>
        </w:rPr>
        <w:t xml:space="preserve"> provides criteria that an older person must meet to be approved access for ongoing home support through CHSP </w:t>
      </w:r>
      <w:r>
        <w:rPr>
          <w:rFonts w:eastAsia="Arial"/>
          <w:szCs w:val="22"/>
        </w:rPr>
        <w:t>or</w:t>
      </w:r>
      <w:r w:rsidRPr="00893A51">
        <w:rPr>
          <w:rFonts w:eastAsia="Arial"/>
          <w:szCs w:val="22"/>
        </w:rPr>
        <w:t xml:space="preserve"> Support at Home. </w:t>
      </w:r>
      <w:r w:rsidRPr="76136942">
        <w:rPr>
          <w:rFonts w:eastAsia="Arial"/>
          <w:szCs w:val="22"/>
        </w:rPr>
        <w:t>These</w:t>
      </w:r>
      <w:r w:rsidRPr="00893A51">
        <w:rPr>
          <w:rFonts w:eastAsia="Arial"/>
          <w:szCs w:val="22"/>
        </w:rPr>
        <w:t xml:space="preserve"> criteria</w:t>
      </w:r>
      <w:r>
        <w:rPr>
          <w:rFonts w:eastAsia="Arial"/>
          <w:szCs w:val="22"/>
        </w:rPr>
        <w:t xml:space="preserve"> </w:t>
      </w:r>
      <w:r w:rsidRPr="76136942">
        <w:rPr>
          <w:rFonts w:eastAsia="Arial"/>
          <w:szCs w:val="22"/>
        </w:rPr>
        <w:t>are</w:t>
      </w:r>
      <w:r w:rsidRPr="00893A51">
        <w:rPr>
          <w:rFonts w:eastAsia="Arial"/>
          <w:szCs w:val="22"/>
        </w:rPr>
        <w:t xml:space="preserve"> based on a defined set of rules</w:t>
      </w:r>
      <w:r>
        <w:rPr>
          <w:rFonts w:eastAsia="Arial"/>
          <w:szCs w:val="22"/>
        </w:rPr>
        <w:t xml:space="preserve"> </w:t>
      </w:r>
      <w:r w:rsidRPr="00893A51">
        <w:rPr>
          <w:rFonts w:eastAsia="Arial"/>
          <w:szCs w:val="22"/>
        </w:rPr>
        <w:t xml:space="preserve">that </w:t>
      </w:r>
      <w:r>
        <w:rPr>
          <w:rFonts w:eastAsia="Arial"/>
          <w:szCs w:val="22"/>
        </w:rPr>
        <w:t>has</w:t>
      </w:r>
      <w:r w:rsidRPr="00893A51">
        <w:rPr>
          <w:rFonts w:eastAsia="Arial"/>
          <w:szCs w:val="22"/>
        </w:rPr>
        <w:t xml:space="preserve"> been built into the IAT to generate the IAT Outcome. This means that the IAT Outcome will determine</w:t>
      </w:r>
      <w:r>
        <w:rPr>
          <w:rFonts w:eastAsia="Arial"/>
          <w:szCs w:val="22"/>
        </w:rPr>
        <w:t xml:space="preserve"> </w:t>
      </w:r>
      <w:r w:rsidRPr="002F1830">
        <w:rPr>
          <w:rFonts w:eastAsia="Arial"/>
          <w:szCs w:val="22"/>
        </w:rPr>
        <w:t>whether the older person meets the criteria in section 81-10 of the Rules and</w:t>
      </w:r>
      <w:r>
        <w:rPr>
          <w:rFonts w:eastAsia="Arial"/>
          <w:szCs w:val="22"/>
        </w:rPr>
        <w:t xml:space="preserve"> </w:t>
      </w:r>
      <w:r w:rsidRPr="002F1830">
        <w:rPr>
          <w:rFonts w:eastAsia="Arial"/>
          <w:szCs w:val="22"/>
        </w:rPr>
        <w:t>the classification level</w:t>
      </w:r>
      <w:r>
        <w:rPr>
          <w:rFonts w:eastAsia="Arial"/>
          <w:szCs w:val="22"/>
        </w:rPr>
        <w:t xml:space="preserve"> (funding)</w:t>
      </w:r>
      <w:r w:rsidRPr="002F1830">
        <w:rPr>
          <w:rFonts w:eastAsia="Arial"/>
          <w:szCs w:val="22"/>
        </w:rPr>
        <w:t xml:space="preserve"> for ongoing home support.</w:t>
      </w:r>
    </w:p>
    <w:p w14:paraId="6957CBFD" w14:textId="153986BB" w:rsidR="00DA5E7F" w:rsidRDefault="00DA5E7F" w:rsidP="00DA5E7F">
      <w:pPr>
        <w:rPr>
          <w:rFonts w:eastAsia="Arial"/>
          <w:szCs w:val="22"/>
        </w:rPr>
      </w:pPr>
      <w:r w:rsidRPr="00893A51">
        <w:rPr>
          <w:rFonts w:eastAsia="Arial"/>
          <w:szCs w:val="22"/>
        </w:rPr>
        <w:t>Chapter 5 provides guidance to assessors to accept the IAT Outcome if they are intending to recommend ongoing home support services through CHSP or Support at Home. Before approving any recommended classification level, assessment delegates must ensure that the classification level recommended by the assessor is the same as the classification level generated by the IAT Outcome. The system-generated recommendation is labelled ‘IAT outcome’, and the assessor’s recommendation is labelled ‘Recommended classification’. If these two values are different, then the assessor has overridden the IAT outcome</w:t>
      </w:r>
      <w:r>
        <w:rPr>
          <w:rFonts w:eastAsia="Arial"/>
          <w:szCs w:val="22"/>
        </w:rPr>
        <w:t xml:space="preserve">. </w:t>
      </w:r>
    </w:p>
    <w:p w14:paraId="6839A2D1" w14:textId="210947EE" w:rsidR="00DA5E7F" w:rsidRDefault="00DA5E7F" w:rsidP="00DA5E7F">
      <w:pPr>
        <w:rPr>
          <w:rFonts w:eastAsia="Arial"/>
          <w:szCs w:val="22"/>
        </w:rPr>
      </w:pPr>
      <w:r>
        <w:rPr>
          <w:rFonts w:eastAsia="Arial"/>
          <w:szCs w:val="22"/>
        </w:rPr>
        <w:t>In instances where the assessor has overridden the IAT outcome to another ongoing home support classification (</w:t>
      </w:r>
      <w:r w:rsidR="00CB2F4C">
        <w:rPr>
          <w:rFonts w:eastAsia="Arial"/>
          <w:szCs w:val="22"/>
        </w:rPr>
        <w:t>e.g.</w:t>
      </w:r>
      <w:r>
        <w:rPr>
          <w:rFonts w:eastAsia="Arial"/>
          <w:szCs w:val="22"/>
        </w:rPr>
        <w:t xml:space="preserve"> SaH class 4 to SaH class 5</w:t>
      </w:r>
      <w:r w:rsidR="00D00CB1">
        <w:rPr>
          <w:rFonts w:eastAsia="Arial"/>
          <w:szCs w:val="22"/>
        </w:rPr>
        <w:t>, CHSP to SaH class 1</w:t>
      </w:r>
      <w:r w:rsidR="001B1253">
        <w:rPr>
          <w:rFonts w:eastAsia="Arial"/>
          <w:szCs w:val="22"/>
        </w:rPr>
        <w:t>, ‘ineligible for CHSP/SaH’ to CHSP</w:t>
      </w:r>
      <w:r>
        <w:rPr>
          <w:rFonts w:eastAsia="Arial"/>
          <w:szCs w:val="22"/>
        </w:rPr>
        <w:t xml:space="preserve">), the delegate must disagree with the assessor’s recommended classification level and edit it to the classification level recommended by the IAT Outcome. </w:t>
      </w:r>
    </w:p>
    <w:p w14:paraId="06281A13" w14:textId="77777777" w:rsidR="00DA5E7F" w:rsidRPr="00B96080" w:rsidRDefault="00DA5E7F" w:rsidP="00C325C6">
      <w:pPr>
        <w:pStyle w:val="Sub-headings"/>
      </w:pPr>
      <w:r w:rsidRPr="003B6E75">
        <w:t>Note</w:t>
      </w:r>
      <w:r>
        <w:t>:</w:t>
      </w:r>
    </w:p>
    <w:p w14:paraId="4B7CFED4" w14:textId="3B051D03" w:rsidR="00DA5E7F" w:rsidRPr="00DD70C7" w:rsidRDefault="00DA5E7F" w:rsidP="00C325C6">
      <w:pPr>
        <w:pStyle w:val="Sub-headings"/>
      </w:pPr>
      <w:r w:rsidRPr="008060E3">
        <w:t xml:space="preserve">It will be necessary for the assessor to override </w:t>
      </w:r>
      <w:r w:rsidR="00BF2CB1">
        <w:t>a CHSP/SaH classification</w:t>
      </w:r>
      <w:r w:rsidR="00983CF4">
        <w:t xml:space="preserve"> (or accept in the case of an ‘ineligible for</w:t>
      </w:r>
      <w:r w:rsidRPr="00DD70C7">
        <w:t xml:space="preserve"> </w:t>
      </w:r>
      <w:r w:rsidR="00A47E2F">
        <w:t>CHSP/SaH)</w:t>
      </w:r>
      <w:r w:rsidRPr="00DD70C7">
        <w:t xml:space="preserve"> </w:t>
      </w:r>
      <w:r w:rsidR="0064309E">
        <w:t xml:space="preserve">generated by </w:t>
      </w:r>
      <w:r w:rsidRPr="00DD70C7">
        <w:t xml:space="preserve">the </w:t>
      </w:r>
      <w:r w:rsidRPr="008060E3">
        <w:t xml:space="preserve">IAT Outcome to recommend the following pathways. </w:t>
      </w:r>
    </w:p>
    <w:p w14:paraId="1548E023" w14:textId="77777777" w:rsidR="00DA5E7F" w:rsidRPr="00DD70C7" w:rsidRDefault="00DA5E7F" w:rsidP="00C325C6">
      <w:pPr>
        <w:pStyle w:val="Sub-headings"/>
      </w:pPr>
      <w:r w:rsidRPr="008060E3">
        <w:t xml:space="preserve">-SaH Restorative Care Pathway, </w:t>
      </w:r>
    </w:p>
    <w:p w14:paraId="27CB5F61" w14:textId="77777777" w:rsidR="00DA5E7F" w:rsidRPr="00DD70C7" w:rsidRDefault="00DA5E7F" w:rsidP="00C325C6">
      <w:pPr>
        <w:pStyle w:val="Sub-headings"/>
      </w:pPr>
      <w:r w:rsidRPr="008060E3">
        <w:t>-SaH End of Life Pathway,</w:t>
      </w:r>
    </w:p>
    <w:p w14:paraId="4016DCB6" w14:textId="253C6459" w:rsidR="00DA5E7F" w:rsidRPr="00DD70C7" w:rsidRDefault="00DA5E7F" w:rsidP="00C325C6">
      <w:pPr>
        <w:pStyle w:val="Sub-headings"/>
      </w:pPr>
      <w:r w:rsidRPr="008060E3">
        <w:t>-Transition Care Program</w:t>
      </w:r>
      <w:r w:rsidR="00EA78F9">
        <w:t xml:space="preserve"> </w:t>
      </w:r>
      <w:r w:rsidR="00EA78F9" w:rsidRPr="008060E3">
        <w:t>without ongoing in-home services</w:t>
      </w:r>
      <w:r w:rsidRPr="008060E3">
        <w:t>,</w:t>
      </w:r>
    </w:p>
    <w:p w14:paraId="481E0F1A" w14:textId="77777777" w:rsidR="00DA5E7F" w:rsidRPr="00DD70C7" w:rsidRDefault="00DA5E7F" w:rsidP="00C325C6">
      <w:pPr>
        <w:pStyle w:val="Sub-headings"/>
      </w:pPr>
      <w:r w:rsidRPr="008060E3">
        <w:t>-Permanent Residential Care without ongoing in-home services,</w:t>
      </w:r>
    </w:p>
    <w:p w14:paraId="6E09B3E3" w14:textId="6139FD63" w:rsidR="003B0176" w:rsidRPr="00CB2F4C" w:rsidRDefault="00DA5E7F" w:rsidP="00C325C6">
      <w:pPr>
        <w:pStyle w:val="Sub-headings"/>
      </w:pPr>
      <w:r w:rsidRPr="008060E3">
        <w:t xml:space="preserve">-Residential Respite care without ongoing in-home services.  </w:t>
      </w:r>
    </w:p>
    <w:p w14:paraId="1225BC6E" w14:textId="7B809117" w:rsidR="003B0176" w:rsidRPr="00544EA2" w:rsidRDefault="003B0176" w:rsidP="00CC6081">
      <w:pPr>
        <w:pStyle w:val="H4"/>
      </w:pPr>
      <w:r w:rsidRPr="00544EA2">
        <w:t>Approving CHSP services alongside Support at Home classifications </w:t>
      </w:r>
    </w:p>
    <w:p w14:paraId="4DE76827" w14:textId="47739CAD" w:rsidR="00FE3817" w:rsidRPr="00544EA2" w:rsidRDefault="00FE3817" w:rsidP="00622CFF">
      <w:pPr>
        <w:spacing w:before="240" w:after="240" w:line="240" w:lineRule="auto"/>
        <w:rPr>
          <w:rFonts w:eastAsia="Yu Gothic Light"/>
          <w:szCs w:val="22"/>
        </w:rPr>
      </w:pPr>
      <w:r w:rsidRPr="00544EA2">
        <w:rPr>
          <w:rFonts w:eastAsia="Yu Gothic Light"/>
          <w:szCs w:val="22"/>
        </w:rPr>
        <w:t xml:space="preserve">Under the </w:t>
      </w:r>
      <w:r w:rsidR="00483FB2">
        <w:rPr>
          <w:rFonts w:eastAsia="Yu Gothic Light"/>
          <w:lang w:val="en-AU"/>
        </w:rPr>
        <w:t xml:space="preserve">Aged Care </w:t>
      </w:r>
      <w:r w:rsidR="00483FB2" w:rsidRPr="008D5728">
        <w:rPr>
          <w:rFonts w:eastAsia="Yu Gothic Light"/>
          <w:lang w:val="en-AU"/>
        </w:rPr>
        <w:t>Act</w:t>
      </w:r>
      <w:r w:rsidR="00483FB2">
        <w:rPr>
          <w:rFonts w:eastAsia="Yu Gothic Light"/>
          <w:lang w:val="en-AU"/>
        </w:rPr>
        <w:t xml:space="preserve"> 2024 (the Act)</w:t>
      </w:r>
      <w:r w:rsidR="00483FB2" w:rsidRPr="008D5728">
        <w:rPr>
          <w:rFonts w:eastAsia="Yu Gothic Light"/>
          <w:i/>
          <w:lang w:val="en-AU"/>
        </w:rPr>
        <w:t>,</w:t>
      </w:r>
      <w:r w:rsidRPr="00544EA2">
        <w:rPr>
          <w:rFonts w:eastAsia="Yu Gothic Light"/>
          <w:szCs w:val="22"/>
        </w:rPr>
        <w:t xml:space="preserve"> an older person </w:t>
      </w:r>
      <w:r>
        <w:rPr>
          <w:rFonts w:eastAsia="Yu Gothic Light"/>
          <w:szCs w:val="22"/>
        </w:rPr>
        <w:t>can</w:t>
      </w:r>
      <w:r w:rsidRPr="00544EA2">
        <w:rPr>
          <w:rFonts w:eastAsia="Yu Gothic Light"/>
          <w:szCs w:val="22"/>
        </w:rPr>
        <w:t xml:space="preserve">not be approved for the </w:t>
      </w:r>
      <w:r w:rsidR="004C5E70">
        <w:rPr>
          <w:rFonts w:eastAsia="Yu Gothic Light"/>
          <w:szCs w:val="22"/>
        </w:rPr>
        <w:t>Commonwealth Home Support Program (</w:t>
      </w:r>
      <w:r w:rsidRPr="00544EA2">
        <w:rPr>
          <w:rFonts w:eastAsia="Yu Gothic Light"/>
          <w:szCs w:val="22"/>
        </w:rPr>
        <w:t>CHSP</w:t>
      </w:r>
      <w:r w:rsidR="004C5E70">
        <w:rPr>
          <w:rFonts w:eastAsia="Yu Gothic Light"/>
          <w:szCs w:val="22"/>
        </w:rPr>
        <w:t>)</w:t>
      </w:r>
      <w:r w:rsidRPr="00544EA2">
        <w:rPr>
          <w:rFonts w:eastAsia="Yu Gothic Light"/>
          <w:szCs w:val="22"/>
        </w:rPr>
        <w:t xml:space="preserve"> class at the same time as any Support at Home (SaH) classification level (SaH class 1-8, SaH Restorative Care Pathway or SaH End-of-Life Pathway).</w:t>
      </w:r>
    </w:p>
    <w:p w14:paraId="07B91056" w14:textId="4AB4A5CA" w:rsidR="00985D45" w:rsidRPr="00985D45" w:rsidRDefault="00985D45" w:rsidP="00985D45">
      <w:pPr>
        <w:spacing w:before="240" w:after="240" w:line="240" w:lineRule="auto"/>
        <w:rPr>
          <w:rFonts w:eastAsia="Yu Gothic Light"/>
          <w:szCs w:val="22"/>
        </w:rPr>
      </w:pPr>
      <w:r>
        <w:rPr>
          <w:rFonts w:eastAsia="Yu Gothic Light"/>
          <w:szCs w:val="22"/>
        </w:rPr>
        <w:t>I</w:t>
      </w:r>
      <w:r w:rsidRPr="00985D45">
        <w:rPr>
          <w:rFonts w:eastAsia="Yu Gothic Light"/>
          <w:szCs w:val="22"/>
        </w:rPr>
        <w:t xml:space="preserve">n limited circumstances, SaH participants can access additional CHSP services </w:t>
      </w:r>
      <w:r w:rsidR="00DE4F4E">
        <w:rPr>
          <w:rFonts w:eastAsia="Yu Gothic Light"/>
          <w:szCs w:val="22"/>
        </w:rPr>
        <w:t>and assessors can issue referrals for CHSP services for</w:t>
      </w:r>
      <w:r w:rsidR="00DE4F4E" w:rsidRPr="006847F5">
        <w:rPr>
          <w:rFonts w:eastAsia="Yu Gothic Light"/>
          <w:szCs w:val="22"/>
        </w:rPr>
        <w:t xml:space="preserve"> individuals with a </w:t>
      </w:r>
      <w:r w:rsidR="00DE4F4E">
        <w:rPr>
          <w:rFonts w:eastAsia="Yu Gothic Light"/>
          <w:szCs w:val="22"/>
        </w:rPr>
        <w:t>SaH</w:t>
      </w:r>
      <w:r w:rsidR="00DE4F4E" w:rsidRPr="006847F5">
        <w:rPr>
          <w:rFonts w:eastAsia="Yu Gothic Light"/>
          <w:szCs w:val="22"/>
        </w:rPr>
        <w:t xml:space="preserve"> classification</w:t>
      </w:r>
      <w:r w:rsidR="00DE4F4E">
        <w:rPr>
          <w:rFonts w:eastAsia="Yu Gothic Light"/>
          <w:szCs w:val="22"/>
        </w:rPr>
        <w:t>.</w:t>
      </w:r>
    </w:p>
    <w:p w14:paraId="2B8B2D6D" w14:textId="2A0454A4" w:rsidR="003B0176" w:rsidRPr="00544EA2" w:rsidRDefault="00FE3817" w:rsidP="00622CFF">
      <w:pPr>
        <w:spacing w:before="240" w:after="240" w:line="240" w:lineRule="auto"/>
        <w:rPr>
          <w:rFonts w:eastAsia="Yu Gothic Light"/>
          <w:szCs w:val="22"/>
        </w:rPr>
      </w:pPr>
      <w:r>
        <w:rPr>
          <w:rFonts w:eastAsia="Arial"/>
          <w:szCs w:val="22"/>
        </w:rPr>
        <w:t>S</w:t>
      </w:r>
      <w:r w:rsidRPr="007317EF">
        <w:rPr>
          <w:rFonts w:eastAsia="Arial"/>
          <w:szCs w:val="22"/>
        </w:rPr>
        <w:t xml:space="preserve">ee tables </w:t>
      </w:r>
      <w:r>
        <w:rPr>
          <w:rFonts w:eastAsia="Arial"/>
          <w:szCs w:val="22"/>
        </w:rPr>
        <w:t>2</w:t>
      </w:r>
      <w:r w:rsidR="00220909">
        <w:rPr>
          <w:rFonts w:eastAsia="Arial"/>
          <w:szCs w:val="22"/>
        </w:rPr>
        <w:t>7</w:t>
      </w:r>
      <w:r>
        <w:rPr>
          <w:rFonts w:eastAsia="Arial"/>
          <w:szCs w:val="22"/>
        </w:rPr>
        <w:t xml:space="preserve"> and 2</w:t>
      </w:r>
      <w:r w:rsidR="00220909">
        <w:rPr>
          <w:rFonts w:eastAsia="Arial"/>
          <w:szCs w:val="22"/>
        </w:rPr>
        <w:t>8</w:t>
      </w:r>
      <w:r>
        <w:rPr>
          <w:rFonts w:eastAsia="Arial"/>
          <w:szCs w:val="22"/>
        </w:rPr>
        <w:t xml:space="preserve"> in Chapter </w:t>
      </w:r>
      <w:r w:rsidR="005535D5">
        <w:rPr>
          <w:rFonts w:eastAsia="Arial"/>
          <w:szCs w:val="22"/>
        </w:rPr>
        <w:fldChar w:fldCharType="begin"/>
      </w:r>
      <w:r w:rsidR="005535D5">
        <w:rPr>
          <w:rFonts w:eastAsia="Arial"/>
          <w:szCs w:val="22"/>
        </w:rPr>
        <w:instrText xml:space="preserve"> REF _Ref212736206 \w \h </w:instrText>
      </w:r>
      <w:r w:rsidR="005535D5">
        <w:rPr>
          <w:rFonts w:eastAsia="Arial"/>
          <w:szCs w:val="22"/>
        </w:rPr>
      </w:r>
      <w:r w:rsidR="005535D5">
        <w:rPr>
          <w:rFonts w:eastAsia="Arial"/>
          <w:szCs w:val="22"/>
        </w:rPr>
        <w:fldChar w:fldCharType="separate"/>
      </w:r>
      <w:r w:rsidR="00F97942">
        <w:rPr>
          <w:rFonts w:eastAsia="Arial"/>
          <w:szCs w:val="22"/>
        </w:rPr>
        <w:t>6</w:t>
      </w:r>
      <w:r w:rsidR="005535D5">
        <w:rPr>
          <w:rFonts w:eastAsia="Arial"/>
          <w:szCs w:val="22"/>
        </w:rPr>
        <w:fldChar w:fldCharType="end"/>
      </w:r>
      <w:r>
        <w:rPr>
          <w:rFonts w:eastAsia="Arial"/>
          <w:szCs w:val="22"/>
        </w:rPr>
        <w:t xml:space="preserve"> </w:t>
      </w:r>
      <w:r w:rsidRPr="007317EF">
        <w:rPr>
          <w:rFonts w:eastAsia="Arial"/>
          <w:szCs w:val="22"/>
        </w:rPr>
        <w:t>for further details about when an individual</w:t>
      </w:r>
      <w:r>
        <w:rPr>
          <w:rFonts w:eastAsia="Arial"/>
          <w:szCs w:val="22"/>
        </w:rPr>
        <w:t xml:space="preserve"> with a S</w:t>
      </w:r>
      <w:r w:rsidR="009D7F45">
        <w:rPr>
          <w:rFonts w:eastAsia="Arial"/>
          <w:szCs w:val="22"/>
        </w:rPr>
        <w:t>upport at Home</w:t>
      </w:r>
      <w:r>
        <w:rPr>
          <w:rFonts w:eastAsia="Arial"/>
          <w:szCs w:val="22"/>
        </w:rPr>
        <w:t xml:space="preserve"> classification</w:t>
      </w:r>
      <w:r w:rsidRPr="007317EF">
        <w:rPr>
          <w:rFonts w:eastAsia="Arial"/>
          <w:szCs w:val="22"/>
        </w:rPr>
        <w:t xml:space="preserve"> can be approved to access CHSP services.</w:t>
      </w:r>
    </w:p>
    <w:p w14:paraId="4BF4D096" w14:textId="15EA1E81" w:rsidR="003B0176" w:rsidRPr="00544EA2" w:rsidRDefault="003B0176" w:rsidP="00CC6081">
      <w:pPr>
        <w:pStyle w:val="H4"/>
      </w:pPr>
      <w:r w:rsidRPr="00544EA2">
        <w:t xml:space="preserve">Approving the </w:t>
      </w:r>
      <w:r w:rsidR="000C5422">
        <w:t>SaH</w:t>
      </w:r>
      <w:r w:rsidR="00277158">
        <w:t xml:space="preserve"> </w:t>
      </w:r>
      <w:r w:rsidRPr="00544EA2">
        <w:t>Restorative Care Pathway </w:t>
      </w:r>
    </w:p>
    <w:p w14:paraId="09F2DCD8" w14:textId="7E4DB005" w:rsidR="003B0176" w:rsidRPr="00C61676" w:rsidRDefault="003B0176" w:rsidP="00622CFF">
      <w:pPr>
        <w:spacing w:before="240" w:after="240" w:line="240" w:lineRule="auto"/>
        <w:rPr>
          <w:rFonts w:eastAsia="Yu Gothic Light"/>
        </w:rPr>
      </w:pPr>
      <w:r w:rsidRPr="2846309C">
        <w:rPr>
          <w:rFonts w:eastAsia="Yu Gothic Light"/>
        </w:rPr>
        <w:t xml:space="preserve">Each </w:t>
      </w:r>
      <w:r w:rsidR="00277158" w:rsidRPr="2846309C">
        <w:rPr>
          <w:rFonts w:eastAsia="Yu Gothic Light"/>
        </w:rPr>
        <w:t xml:space="preserve">financial </w:t>
      </w:r>
      <w:r w:rsidRPr="2846309C">
        <w:rPr>
          <w:rFonts w:eastAsia="Yu Gothic Light"/>
        </w:rPr>
        <w:t xml:space="preserve">year, 20,000 Restorative Care units of funding will be available nationally, distributed across four quarters at approximately 5,000 units per quarter. These units of funding are limited and must be carefully allocated to ensure the pathway remains sustainable and appropriately targeted to individuals with short-term restorative care needs. Assessors will be able to recommend Restorative Care Pathway </w:t>
      </w:r>
      <w:r w:rsidR="000C5422">
        <w:rPr>
          <w:rFonts w:eastAsia="Yu Gothic Light"/>
        </w:rPr>
        <w:t>(RCP)</w:t>
      </w:r>
      <w:r w:rsidRPr="2846309C">
        <w:rPr>
          <w:rFonts w:eastAsia="Yu Gothic Light"/>
        </w:rPr>
        <w:t xml:space="preserve"> regardless of the caps on units of funding. The </w:t>
      </w:r>
      <w:r w:rsidR="00440A88" w:rsidRPr="2846309C">
        <w:rPr>
          <w:rFonts w:eastAsia="Yu Gothic Light"/>
        </w:rPr>
        <w:t>Assessment</w:t>
      </w:r>
      <w:r w:rsidRPr="2846309C">
        <w:rPr>
          <w:rFonts w:eastAsia="Yu Gothic Light"/>
        </w:rPr>
        <w:t xml:space="preserve"> Delegate </w:t>
      </w:r>
      <w:r w:rsidR="6BA844CF" w:rsidRPr="2846309C">
        <w:rPr>
          <w:rFonts w:eastAsia="Yu Gothic Light"/>
        </w:rPr>
        <w:t>may</w:t>
      </w:r>
      <w:r w:rsidRPr="2846309C">
        <w:rPr>
          <w:rFonts w:eastAsia="Yu Gothic Light"/>
        </w:rPr>
        <w:t xml:space="preserve"> not approve this recommendation if </w:t>
      </w:r>
      <w:r w:rsidR="000C5422">
        <w:rPr>
          <w:rFonts w:eastAsia="Yu Gothic Light"/>
        </w:rPr>
        <w:t>RCP</w:t>
      </w:r>
      <w:r w:rsidR="005C3ABA" w:rsidRPr="2846309C">
        <w:rPr>
          <w:rFonts w:eastAsia="Yu Gothic Light"/>
        </w:rPr>
        <w:t xml:space="preserve"> </w:t>
      </w:r>
      <w:r w:rsidRPr="2846309C">
        <w:rPr>
          <w:rFonts w:eastAsia="Yu Gothic Light"/>
        </w:rPr>
        <w:t>units of funding have run out.  </w:t>
      </w:r>
    </w:p>
    <w:p w14:paraId="450EEF7C" w14:textId="1FDFC450" w:rsidR="003B0176" w:rsidRPr="00C61676" w:rsidRDefault="003B0176" w:rsidP="00622CFF">
      <w:pPr>
        <w:spacing w:before="240" w:after="240" w:line="240" w:lineRule="auto"/>
        <w:rPr>
          <w:rFonts w:eastAsia="Yu Gothic Light"/>
          <w:lang w:val="en-AU"/>
        </w:rPr>
      </w:pPr>
      <w:r w:rsidRPr="00C61676">
        <w:rPr>
          <w:rFonts w:eastAsia="Yu Gothic Light"/>
          <w:lang w:val="en-AU"/>
        </w:rPr>
        <w:t xml:space="preserve">For </w:t>
      </w:r>
      <w:r w:rsidR="000C5422">
        <w:rPr>
          <w:rFonts w:eastAsia="Yu Gothic Light"/>
          <w:lang w:val="en-AU"/>
        </w:rPr>
        <w:t>SaH</w:t>
      </w:r>
      <w:r w:rsidR="00277158">
        <w:rPr>
          <w:rFonts w:eastAsia="Yu Gothic Light"/>
          <w:lang w:val="en-AU"/>
        </w:rPr>
        <w:t xml:space="preserve"> </w:t>
      </w:r>
      <w:r w:rsidRPr="00C61676">
        <w:rPr>
          <w:rFonts w:eastAsia="Yu Gothic Light"/>
          <w:lang w:val="en-AU"/>
        </w:rPr>
        <w:t xml:space="preserve">participants receiving ongoing services at the time the </w:t>
      </w:r>
      <w:r w:rsidR="00377B64">
        <w:rPr>
          <w:rFonts w:eastAsia="Yu Gothic Light"/>
          <w:lang w:val="en-AU"/>
        </w:rPr>
        <w:t>RCP</w:t>
      </w:r>
      <w:r w:rsidRPr="00C61676">
        <w:rPr>
          <w:rFonts w:eastAsia="Yu Gothic Light"/>
          <w:lang w:val="en-AU"/>
        </w:rPr>
        <w:t xml:space="preserve"> is approved, the </w:t>
      </w:r>
      <w:r w:rsidR="00377B64">
        <w:rPr>
          <w:rFonts w:eastAsia="Yu Gothic Light"/>
          <w:lang w:val="en-AU"/>
        </w:rPr>
        <w:t>RCP</w:t>
      </w:r>
      <w:r w:rsidR="0059003E">
        <w:rPr>
          <w:rFonts w:eastAsia="Yu Gothic Light"/>
          <w:lang w:val="en-AU"/>
        </w:rPr>
        <w:t xml:space="preserve"> </w:t>
      </w:r>
      <w:r w:rsidRPr="00C61676">
        <w:rPr>
          <w:rFonts w:eastAsia="Yu Gothic Light"/>
          <w:lang w:val="en-AU"/>
        </w:rPr>
        <w:t xml:space="preserve">episode can be accessed concurrently with their ongoing services. This allows individuals to continue using their ongoing services while also receiving additional, clinically focused services through </w:t>
      </w:r>
      <w:r w:rsidR="00377B64">
        <w:rPr>
          <w:rFonts w:eastAsia="Yu Gothic Light"/>
          <w:lang w:val="en-AU"/>
        </w:rPr>
        <w:t>RCP</w:t>
      </w:r>
      <w:r w:rsidR="00B23AB0" w:rsidRPr="00C61676">
        <w:rPr>
          <w:rFonts w:eastAsia="Yu Gothic Light"/>
          <w:lang w:val="en-AU"/>
        </w:rPr>
        <w:t xml:space="preserve">. </w:t>
      </w:r>
    </w:p>
    <w:p w14:paraId="6906378B" w14:textId="6ABA0041"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However, it is important to ensure that services provided under </w:t>
      </w:r>
      <w:r w:rsidR="00377B64">
        <w:rPr>
          <w:rFonts w:eastAsia="Yu Gothic Light"/>
          <w:lang w:val="en-AU"/>
        </w:rPr>
        <w:t>RCP</w:t>
      </w:r>
      <w:r w:rsidR="0059003E">
        <w:rPr>
          <w:rFonts w:eastAsia="Yu Gothic Light"/>
          <w:lang w:val="en-AU"/>
        </w:rPr>
        <w:t xml:space="preserve"> </w:t>
      </w:r>
      <w:r w:rsidRPr="00544EA2">
        <w:rPr>
          <w:rFonts w:eastAsia="Yu Gothic Light"/>
          <w:lang w:val="en-AU"/>
        </w:rPr>
        <w:t>are complementary to ongoing services. The restorative care partner and ongoing care partner should ensure coordination of services to achieve this. </w:t>
      </w:r>
    </w:p>
    <w:p w14:paraId="2E8DC4FC" w14:textId="162F7CBF" w:rsidR="003B0176" w:rsidRPr="00C61676" w:rsidRDefault="003B0176" w:rsidP="00622CFF">
      <w:pPr>
        <w:spacing w:before="240" w:after="240" w:line="240" w:lineRule="auto"/>
        <w:rPr>
          <w:rFonts w:eastAsia="Yu Gothic Light"/>
          <w:lang w:val="en-AU"/>
        </w:rPr>
      </w:pPr>
      <w:r w:rsidRPr="00C61676">
        <w:rPr>
          <w:rFonts w:eastAsia="Yu Gothic Light"/>
          <w:lang w:val="en-AU"/>
        </w:rPr>
        <w:t xml:space="preserve">Services delivered through </w:t>
      </w:r>
      <w:r w:rsidR="00FD280D">
        <w:rPr>
          <w:rFonts w:eastAsia="Yu Gothic Light"/>
          <w:lang w:val="en-AU"/>
        </w:rPr>
        <w:t xml:space="preserve">RCP </w:t>
      </w:r>
      <w:r w:rsidRPr="00C61676">
        <w:rPr>
          <w:rFonts w:eastAsia="Yu Gothic Light"/>
          <w:lang w:val="en-AU"/>
        </w:rPr>
        <w:t>should focus on reablement and allied health and/or nursing interventions—aimed at improving function and independence, rather than duplicating routine or maintenance care. </w:t>
      </w:r>
    </w:p>
    <w:p w14:paraId="0FCACA32" w14:textId="7CB7C946"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For those already accessing ongoing care, assessors should carefully consider ongoing needs before recommending </w:t>
      </w:r>
      <w:r w:rsidR="00FD280D">
        <w:rPr>
          <w:rFonts w:eastAsia="Yu Gothic Light"/>
          <w:lang w:val="en-AU"/>
        </w:rPr>
        <w:t>RCP</w:t>
      </w:r>
      <w:r w:rsidRPr="00544EA2">
        <w:rPr>
          <w:rFonts w:eastAsia="Yu Gothic Light"/>
          <w:lang w:val="en-AU"/>
        </w:rPr>
        <w:t xml:space="preserve">. Assessors cannot recommend a new higher classification and the </w:t>
      </w:r>
      <w:r w:rsidR="00FD280D">
        <w:rPr>
          <w:rFonts w:eastAsia="Yu Gothic Light"/>
          <w:lang w:val="en-AU"/>
        </w:rPr>
        <w:t xml:space="preserve">RCP </w:t>
      </w:r>
      <w:r w:rsidRPr="00544EA2">
        <w:rPr>
          <w:rFonts w:eastAsia="Yu Gothic Light"/>
          <w:lang w:val="en-AU"/>
        </w:rPr>
        <w:t xml:space="preserve">at assessment. This will impact a new ongoing classification entry into the </w:t>
      </w:r>
      <w:r w:rsidR="00FD280D">
        <w:rPr>
          <w:rFonts w:eastAsia="Yu Gothic Light"/>
          <w:lang w:val="en-AU"/>
        </w:rPr>
        <w:t xml:space="preserve">SaH </w:t>
      </w:r>
      <w:r w:rsidRPr="00544EA2">
        <w:rPr>
          <w:rFonts w:eastAsia="Yu Gothic Light"/>
          <w:lang w:val="en-AU"/>
        </w:rPr>
        <w:t>Priority System</w:t>
      </w:r>
      <w:r w:rsidR="00B23AB0" w:rsidRPr="00544EA2">
        <w:rPr>
          <w:rFonts w:eastAsia="Yu Gothic Light"/>
          <w:lang w:val="en-AU"/>
        </w:rPr>
        <w:t xml:space="preserve">. </w:t>
      </w:r>
    </w:p>
    <w:p w14:paraId="71BBA10D" w14:textId="278A0770" w:rsidR="003B0176" w:rsidRPr="00C61676" w:rsidRDefault="003B0176" w:rsidP="00622CFF">
      <w:pPr>
        <w:spacing w:before="240" w:after="240" w:line="240" w:lineRule="auto"/>
        <w:rPr>
          <w:rFonts w:eastAsia="Yu Gothic Light"/>
          <w:lang w:val="en-AU"/>
        </w:rPr>
      </w:pPr>
      <w:r w:rsidRPr="00C61676">
        <w:rPr>
          <w:rFonts w:eastAsia="Yu Gothic Light"/>
          <w:lang w:val="en-AU"/>
        </w:rPr>
        <w:t xml:space="preserve">For new </w:t>
      </w:r>
      <w:r w:rsidR="00773B16">
        <w:rPr>
          <w:rFonts w:eastAsia="Yu Gothic Light"/>
          <w:lang w:val="en-AU"/>
        </w:rPr>
        <w:t>individuals</w:t>
      </w:r>
      <w:r w:rsidR="006F145D">
        <w:rPr>
          <w:rFonts w:eastAsia="Yu Gothic Light"/>
          <w:lang w:val="en-AU"/>
        </w:rPr>
        <w:t xml:space="preserve"> </w:t>
      </w:r>
      <w:r w:rsidRPr="00C61676">
        <w:rPr>
          <w:rFonts w:eastAsia="Yu Gothic Light"/>
          <w:lang w:val="en-AU"/>
        </w:rPr>
        <w:t xml:space="preserve">being assessed for </w:t>
      </w:r>
      <w:r w:rsidR="005042D5">
        <w:rPr>
          <w:rFonts w:eastAsia="Yu Gothic Light"/>
          <w:lang w:val="en-AU"/>
        </w:rPr>
        <w:t>SaH</w:t>
      </w:r>
      <w:r w:rsidRPr="00C61676">
        <w:rPr>
          <w:rFonts w:eastAsia="Yu Gothic Light"/>
          <w:lang w:val="en-AU"/>
        </w:rPr>
        <w:t xml:space="preserve"> and considered for </w:t>
      </w:r>
      <w:r w:rsidR="005042D5">
        <w:rPr>
          <w:rFonts w:eastAsia="Yu Gothic Light"/>
          <w:lang w:val="en-AU"/>
        </w:rPr>
        <w:t>RCP</w:t>
      </w:r>
      <w:r w:rsidRPr="00C61676">
        <w:rPr>
          <w:rFonts w:eastAsia="Yu Gothic Light"/>
          <w:lang w:val="en-AU"/>
        </w:rPr>
        <w:t xml:space="preserve">, eligibility for ongoing services will need to be determined at the end of the </w:t>
      </w:r>
      <w:r w:rsidR="005042D5">
        <w:rPr>
          <w:rFonts w:eastAsia="Yu Gothic Light"/>
          <w:lang w:val="en-AU"/>
        </w:rPr>
        <w:t xml:space="preserve">RCP </w:t>
      </w:r>
      <w:r w:rsidRPr="00C61676">
        <w:rPr>
          <w:rFonts w:eastAsia="Yu Gothic Light"/>
          <w:lang w:val="en-AU"/>
        </w:rPr>
        <w:t xml:space="preserve">episode. Individuals cannot be simultaneously approved for both </w:t>
      </w:r>
      <w:r w:rsidR="005042D5">
        <w:rPr>
          <w:rFonts w:eastAsia="Yu Gothic Light"/>
          <w:lang w:val="en-AU"/>
        </w:rPr>
        <w:t xml:space="preserve">RCP </w:t>
      </w:r>
      <w:r w:rsidRPr="00C61676">
        <w:rPr>
          <w:rFonts w:eastAsia="Yu Gothic Light"/>
          <w:lang w:val="en-AU"/>
        </w:rPr>
        <w:t xml:space="preserve">and an ongoing </w:t>
      </w:r>
      <w:r w:rsidR="005042D5">
        <w:rPr>
          <w:rFonts w:eastAsia="Yu Gothic Light"/>
          <w:lang w:val="en-AU"/>
        </w:rPr>
        <w:t>SaH</w:t>
      </w:r>
      <w:r w:rsidRPr="00C61676">
        <w:rPr>
          <w:rFonts w:eastAsia="Yu Gothic Light"/>
          <w:lang w:val="en-AU"/>
        </w:rPr>
        <w:t xml:space="preserve"> or CHSP classifications at the time of assessment. </w:t>
      </w:r>
    </w:p>
    <w:p w14:paraId="461E551A" w14:textId="754C13D3"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When selecting the </w:t>
      </w:r>
      <w:r w:rsidR="005042D5">
        <w:rPr>
          <w:rFonts w:eastAsia="Yu Gothic Light"/>
          <w:lang w:val="en-AU"/>
        </w:rPr>
        <w:t>RCP</w:t>
      </w:r>
      <w:r w:rsidRPr="00544EA2">
        <w:rPr>
          <w:rFonts w:eastAsia="Yu Gothic Light"/>
          <w:lang w:val="en-AU"/>
        </w:rPr>
        <w:t xml:space="preserve">, an assessor will not be able to select a new ongoing classification. </w:t>
      </w:r>
    </w:p>
    <w:p w14:paraId="48BA31F8" w14:textId="13440190"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For those accessing ongoing services, an assessor may select a new ongoing </w:t>
      </w:r>
      <w:r w:rsidR="005042D5">
        <w:rPr>
          <w:rFonts w:eastAsia="Yu Gothic Light"/>
          <w:lang w:val="en-AU"/>
        </w:rPr>
        <w:t>SaH</w:t>
      </w:r>
      <w:r w:rsidRPr="00544EA2">
        <w:rPr>
          <w:rFonts w:eastAsia="Yu Gothic Light"/>
          <w:lang w:val="en-AU"/>
        </w:rPr>
        <w:t xml:space="preserve"> classification OR </w:t>
      </w:r>
      <w:r w:rsidR="005042D5">
        <w:rPr>
          <w:rFonts w:eastAsia="Yu Gothic Light"/>
          <w:lang w:val="en-AU"/>
        </w:rPr>
        <w:t>RCP</w:t>
      </w:r>
      <w:r w:rsidRPr="00544EA2">
        <w:rPr>
          <w:rFonts w:eastAsia="Yu Gothic Light"/>
          <w:lang w:val="en-AU"/>
        </w:rPr>
        <w:t xml:space="preserve">. If </w:t>
      </w:r>
      <w:r w:rsidR="005042D5">
        <w:rPr>
          <w:rFonts w:eastAsia="Yu Gothic Light"/>
          <w:lang w:val="en-AU"/>
        </w:rPr>
        <w:t>RCP</w:t>
      </w:r>
      <w:r w:rsidRPr="00544EA2">
        <w:rPr>
          <w:rFonts w:eastAsia="Yu Gothic Light"/>
          <w:lang w:val="en-AU"/>
        </w:rPr>
        <w:t xml:space="preserve"> is selected, the person will automatically retain their current classification. </w:t>
      </w:r>
    </w:p>
    <w:p w14:paraId="2A1BD488" w14:textId="77777777" w:rsidR="003B0176" w:rsidRPr="00544EA2" w:rsidRDefault="003B0176" w:rsidP="00C325C6">
      <w:pPr>
        <w:pStyle w:val="Sub-headings"/>
      </w:pPr>
      <w:r w:rsidRPr="003B6E75">
        <w:t>Note</w:t>
      </w:r>
      <w:r w:rsidRPr="00544EA2">
        <w:t>:  </w:t>
      </w:r>
    </w:p>
    <w:p w14:paraId="30A990B5" w14:textId="7C12C43D" w:rsidR="002E7D17" w:rsidRPr="004215F8" w:rsidRDefault="002E7D17" w:rsidP="00C325C6">
      <w:pPr>
        <w:pStyle w:val="Sub-headings"/>
      </w:pPr>
      <w:r w:rsidRPr="002E7D17">
        <w:t xml:space="preserve">The IAT will allow a CHSP classification to be overridden to RCP during a comprehensive assessment. However, assessors </w:t>
      </w:r>
      <w:r w:rsidR="18BDEF11">
        <w:t>must</w:t>
      </w:r>
      <w:r>
        <w:t xml:space="preserve"> </w:t>
      </w:r>
      <w:r w:rsidRPr="002E7D17">
        <w:rPr>
          <w:rStyle w:val="Strong"/>
        </w:rPr>
        <w:t>not </w:t>
      </w:r>
      <w:r w:rsidRPr="002E7D17">
        <w:t xml:space="preserve">undertake this action </w:t>
      </w:r>
      <w:r w:rsidRPr="004215F8">
        <w:t xml:space="preserve">and delegates </w:t>
      </w:r>
      <w:r w:rsidR="7BE4BF2B">
        <w:t>must</w:t>
      </w:r>
      <w:r w:rsidRPr="004215F8">
        <w:t xml:space="preserve"> not approve assessments where this occurs</w:t>
      </w:r>
      <w:r w:rsidRPr="002E7D17">
        <w:t xml:space="preserve">. Where a CHSP classification outcome is generated, RCP cannot be recommended </w:t>
      </w:r>
      <w:r w:rsidRPr="004215F8">
        <w:t>for approval </w:t>
      </w:r>
      <w:r w:rsidRPr="002E7D17">
        <w:t xml:space="preserve">(in line with section 81-15 of the Aged Care Rules.) An ongoing SaH classification must be generated </w:t>
      </w:r>
      <w:r w:rsidR="00F32AE7">
        <w:t xml:space="preserve">by the IAT </w:t>
      </w:r>
      <w:r w:rsidRPr="002E7D17">
        <w:t xml:space="preserve">to override and recommend RCP </w:t>
      </w:r>
      <w:r w:rsidRPr="004215F8">
        <w:t>for approval</w:t>
      </w:r>
      <w:r w:rsidRPr="002E7D17">
        <w:t>. </w:t>
      </w:r>
    </w:p>
    <w:p w14:paraId="08B52C4B" w14:textId="36DE7FA0" w:rsidR="003B0176" w:rsidRPr="00544EA2" w:rsidRDefault="003B0176" w:rsidP="00C325C6">
      <w:pPr>
        <w:pStyle w:val="Sub-headings"/>
      </w:pPr>
      <w:r w:rsidRPr="00544EA2">
        <w:t xml:space="preserve">To recommend the </w:t>
      </w:r>
      <w:r w:rsidR="000D2D69">
        <w:rPr>
          <w:rFonts w:eastAsia="Yu Gothic Light"/>
          <w:lang w:val="en-AU"/>
        </w:rPr>
        <w:t xml:space="preserve">RCP </w:t>
      </w:r>
      <w:r w:rsidRPr="00544EA2">
        <w:t xml:space="preserve">classification, the individual must have received an initial ongoing SaH classification through the </w:t>
      </w:r>
      <w:r w:rsidR="00CB2F4C" w:rsidRPr="00544EA2">
        <w:t>IA</w:t>
      </w:r>
      <w:r w:rsidR="00CB2F4C">
        <w:t>T</w:t>
      </w:r>
      <w:r w:rsidR="00CB2F4C" w:rsidRPr="00544EA2">
        <w:t xml:space="preserve"> </w:t>
      </w:r>
      <w:r w:rsidR="00CB2F4C">
        <w:t>Outcome</w:t>
      </w:r>
      <w:r w:rsidRPr="00544EA2">
        <w:t xml:space="preserve">. This is then overridden by the assessor to recommend the </w:t>
      </w:r>
      <w:r w:rsidR="008D7A4C">
        <w:rPr>
          <w:rFonts w:eastAsia="Yu Gothic Light"/>
          <w:lang w:val="en-AU"/>
        </w:rPr>
        <w:t>RCP</w:t>
      </w:r>
      <w:r w:rsidRPr="00544EA2">
        <w:t>.  </w:t>
      </w:r>
    </w:p>
    <w:p w14:paraId="2970E648" w14:textId="5F60DF36" w:rsidR="003B0176" w:rsidRPr="00544EA2" w:rsidRDefault="003B0176" w:rsidP="00C325C6">
      <w:pPr>
        <w:pStyle w:val="Sub-headings"/>
      </w:pPr>
      <w:r w:rsidRPr="00544EA2">
        <w:t xml:space="preserve">Participants assigned to the </w:t>
      </w:r>
      <w:r w:rsidR="008D7A4C">
        <w:rPr>
          <w:rFonts w:eastAsia="Yu Gothic Light"/>
          <w:lang w:val="en-AU"/>
        </w:rPr>
        <w:t xml:space="preserve">RCP </w:t>
      </w:r>
      <w:r w:rsidRPr="00544EA2">
        <w:t>who have an assessed need for AT and or HM will be allocated AT-HM funding immediately. </w:t>
      </w:r>
    </w:p>
    <w:p w14:paraId="6B3F1200" w14:textId="11B8FE6F" w:rsidR="003B0176" w:rsidRPr="00544EA2" w:rsidRDefault="003B0176" w:rsidP="00C325C6">
      <w:pPr>
        <w:pStyle w:val="Sub-headings"/>
      </w:pPr>
      <w:r w:rsidRPr="00544EA2">
        <w:t>After a restorative care episode, a participant will undertake a reassessment to get an approval for an ongoing classification and be placed in the</w:t>
      </w:r>
      <w:r>
        <w:t xml:space="preserve"> </w:t>
      </w:r>
      <w:r w:rsidR="008D7A4C">
        <w:t>SaH</w:t>
      </w:r>
      <w:r w:rsidRPr="00544EA2">
        <w:t xml:space="preserve"> prioritisation system, if required.  </w:t>
      </w:r>
    </w:p>
    <w:p w14:paraId="7EEEC6F6" w14:textId="2B46BA49" w:rsidR="003B0176" w:rsidRPr="00544EA2" w:rsidRDefault="00CB2F4C" w:rsidP="00CB2F4C">
      <w:pPr>
        <w:rPr>
          <w:rFonts w:eastAsia="Yu Gothic Light"/>
          <w:lang w:val="en-AU"/>
        </w:rPr>
      </w:pPr>
      <w:r>
        <w:rPr>
          <w:rFonts w:eastAsia="Yu Gothic Light"/>
          <w:lang w:val="en-AU"/>
        </w:rPr>
        <w:br w:type="page"/>
      </w:r>
    </w:p>
    <w:p w14:paraId="765E86F1" w14:textId="1DED64AC" w:rsidR="003B0176" w:rsidRPr="00544EA2" w:rsidRDefault="003B0176" w:rsidP="00622CFF">
      <w:pPr>
        <w:pStyle w:val="H5"/>
        <w:spacing w:before="240" w:after="240" w:line="240" w:lineRule="auto"/>
        <w:rPr>
          <w:lang w:val="en-AU"/>
        </w:rPr>
      </w:pPr>
      <w:r w:rsidRPr="00544EA2">
        <w:t xml:space="preserve">Approving </w:t>
      </w:r>
      <w:r w:rsidR="00F92A77">
        <w:t>r</w:t>
      </w:r>
      <w:r w:rsidRPr="00544EA2">
        <w:t xml:space="preserve">estorative </w:t>
      </w:r>
      <w:r w:rsidR="00F92A77">
        <w:t>c</w:t>
      </w:r>
      <w:r w:rsidRPr="00544EA2">
        <w:t xml:space="preserve">are - </w:t>
      </w:r>
      <w:r w:rsidR="00F92A77">
        <w:t>g</w:t>
      </w:r>
      <w:r w:rsidRPr="00544EA2">
        <w:t xml:space="preserve">uidance for </w:t>
      </w:r>
      <w:r w:rsidR="00EB349B">
        <w:t>a</w:t>
      </w:r>
      <w:r w:rsidR="00EB349B" w:rsidRPr="00544EA2">
        <w:t xml:space="preserve">ssessment </w:t>
      </w:r>
      <w:r w:rsidR="00EB349B">
        <w:t>d</w:t>
      </w:r>
      <w:r w:rsidR="00EB349B" w:rsidRPr="00544EA2">
        <w:t>elegates</w:t>
      </w:r>
    </w:p>
    <w:p w14:paraId="05AACB84" w14:textId="0B7018A7" w:rsidR="00DA64C3" w:rsidRDefault="004A7D4A" w:rsidP="00622CFF">
      <w:pPr>
        <w:spacing w:before="240" w:after="240" w:line="240" w:lineRule="auto"/>
        <w:rPr>
          <w:rFonts w:eastAsia="Yu Gothic Light"/>
        </w:rPr>
      </w:pPr>
      <w:r>
        <w:rPr>
          <w:rFonts w:eastAsia="Yu Gothic Light"/>
        </w:rPr>
        <w:t>An</w:t>
      </w:r>
      <w:r w:rsidR="003B0176" w:rsidRPr="00544EA2">
        <w:rPr>
          <w:rFonts w:eastAsia="Yu Gothic Light"/>
        </w:rPr>
        <w:t xml:space="preserve"> </w:t>
      </w:r>
      <w:r w:rsidR="00D36C4D">
        <w:rPr>
          <w:rFonts w:eastAsia="Yu Gothic Light"/>
        </w:rPr>
        <w:t>a</w:t>
      </w:r>
      <w:r w:rsidR="00D36C4D" w:rsidRPr="00544EA2">
        <w:rPr>
          <w:rFonts w:eastAsia="Yu Gothic Light"/>
        </w:rPr>
        <w:t xml:space="preserve">ssessment </w:t>
      </w:r>
      <w:r w:rsidR="00D36C4D">
        <w:rPr>
          <w:rFonts w:eastAsia="Yu Gothic Light"/>
        </w:rPr>
        <w:t>d</w:t>
      </w:r>
      <w:r w:rsidR="00D36C4D" w:rsidRPr="00544EA2">
        <w:rPr>
          <w:rFonts w:eastAsia="Yu Gothic Light"/>
        </w:rPr>
        <w:t xml:space="preserve">elegate </w:t>
      </w:r>
      <w:r w:rsidR="003B0176" w:rsidRPr="00544EA2">
        <w:rPr>
          <w:rFonts w:eastAsia="Yu Gothic Light"/>
        </w:rPr>
        <w:t>is responsible for approving access to the Restorative Care Pathway</w:t>
      </w:r>
      <w:r w:rsidR="00041C9A">
        <w:rPr>
          <w:rFonts w:eastAsia="Yu Gothic Light"/>
        </w:rPr>
        <w:t xml:space="preserve"> (RCP)</w:t>
      </w:r>
      <w:r w:rsidR="003B0176" w:rsidRPr="00544EA2">
        <w:rPr>
          <w:rFonts w:eastAsia="Yu Gothic Light"/>
        </w:rPr>
        <w:t xml:space="preserve">. The </w:t>
      </w:r>
      <w:r w:rsidR="00D36C4D">
        <w:rPr>
          <w:rFonts w:eastAsia="Yu Gothic Light"/>
        </w:rPr>
        <w:t>a</w:t>
      </w:r>
      <w:r w:rsidR="00D36C4D" w:rsidRPr="00544EA2">
        <w:rPr>
          <w:rFonts w:eastAsia="Yu Gothic Light"/>
        </w:rPr>
        <w:t>ssessment</w:t>
      </w:r>
      <w:r w:rsidR="003B0176" w:rsidRPr="00544EA2" w:rsidDel="00D36C4D">
        <w:rPr>
          <w:rFonts w:eastAsia="Yu Gothic Light"/>
        </w:rPr>
        <w:t xml:space="preserve"> </w:t>
      </w:r>
      <w:r w:rsidR="00D36C4D">
        <w:rPr>
          <w:rFonts w:eastAsia="Yu Gothic Light"/>
        </w:rPr>
        <w:t>d</w:t>
      </w:r>
      <w:r w:rsidR="00D36C4D" w:rsidRPr="00544EA2">
        <w:rPr>
          <w:rFonts w:eastAsia="Yu Gothic Light"/>
        </w:rPr>
        <w:t>elegate</w:t>
      </w:r>
      <w:r w:rsidR="003B0176" w:rsidRPr="00544EA2">
        <w:rPr>
          <w:rFonts w:eastAsia="Yu Gothic Light"/>
        </w:rPr>
        <w:t xml:space="preserve"> can only approve someone for </w:t>
      </w:r>
      <w:r w:rsidR="00041C9A">
        <w:rPr>
          <w:rFonts w:eastAsia="Yu Gothic Light"/>
          <w:lang w:val="en-AU"/>
        </w:rPr>
        <w:t xml:space="preserve">RCP </w:t>
      </w:r>
      <w:r w:rsidR="003B0176" w:rsidRPr="00544EA2">
        <w:rPr>
          <w:rFonts w:eastAsia="Yu Gothic Light"/>
        </w:rPr>
        <w:t>if all eligibility criteria are met</w:t>
      </w:r>
      <w:r w:rsidR="000546AC">
        <w:rPr>
          <w:rFonts w:eastAsia="Yu Gothic Light"/>
        </w:rPr>
        <w:t xml:space="preserve">. </w:t>
      </w:r>
      <w:r w:rsidR="000772A0">
        <w:rPr>
          <w:rFonts w:eastAsia="Yu Gothic Light"/>
        </w:rPr>
        <w:t xml:space="preserve">They may consider if </w:t>
      </w:r>
      <w:r w:rsidR="003B0176" w:rsidRPr="00544EA2">
        <w:rPr>
          <w:rFonts w:eastAsia="Yu Gothic Light"/>
        </w:rPr>
        <w:t xml:space="preserve">places are available for allocation. The assessment must clearly show that the individual is likely to benefit from short-term, multidisciplinary allied health and/or nursing support aimed at improving their function and independence. </w:t>
      </w:r>
      <w:r w:rsidR="00DA64C3">
        <w:rPr>
          <w:rFonts w:eastAsia="Yu Gothic Light"/>
        </w:rPr>
        <w:t>An</w:t>
      </w:r>
      <w:r w:rsidR="00DA64C3" w:rsidDel="00D36C4D">
        <w:rPr>
          <w:rFonts w:eastAsia="Yu Gothic Light"/>
        </w:rPr>
        <w:t xml:space="preserve"> </w:t>
      </w:r>
      <w:r w:rsidR="00D36C4D">
        <w:rPr>
          <w:rFonts w:eastAsia="Yu Gothic Light"/>
        </w:rPr>
        <w:t>assessment</w:t>
      </w:r>
      <w:r w:rsidR="00DA64C3">
        <w:rPr>
          <w:rFonts w:eastAsia="Yu Gothic Light"/>
        </w:rPr>
        <w:t xml:space="preserve"> </w:t>
      </w:r>
      <w:r w:rsidR="00D36C4D">
        <w:rPr>
          <w:rFonts w:eastAsia="Yu Gothic Light"/>
        </w:rPr>
        <w:t xml:space="preserve">delegate </w:t>
      </w:r>
      <w:r w:rsidR="00DA64C3">
        <w:rPr>
          <w:rFonts w:eastAsia="Yu Gothic Light"/>
        </w:rPr>
        <w:t>must m</w:t>
      </w:r>
      <w:r w:rsidR="003B0176" w:rsidRPr="00544EA2">
        <w:rPr>
          <w:rFonts w:eastAsia="Yu Gothic Light"/>
        </w:rPr>
        <w:t xml:space="preserve">ake sure that </w:t>
      </w:r>
      <w:r w:rsidR="00DA64C3">
        <w:rPr>
          <w:rFonts w:eastAsia="Yu Gothic Light"/>
        </w:rPr>
        <w:t>their</w:t>
      </w:r>
      <w:r w:rsidR="003B0176" w:rsidRPr="00544EA2">
        <w:rPr>
          <w:rFonts w:eastAsia="Yu Gothic Light"/>
        </w:rPr>
        <w:t xml:space="preserve"> decision is backed by appropriate evidence. </w:t>
      </w:r>
    </w:p>
    <w:p w14:paraId="236BC815" w14:textId="48E1BE52" w:rsidR="003B0176" w:rsidRPr="00544EA2" w:rsidRDefault="00474F7C" w:rsidP="00C325C6">
      <w:pPr>
        <w:pStyle w:val="Sub-headings"/>
        <w:rPr>
          <w:lang w:val="en-AU"/>
        </w:rPr>
      </w:pPr>
      <w:r>
        <w:t>N</w:t>
      </w:r>
      <w:r w:rsidR="003B0176" w:rsidRPr="00005E87">
        <w:t>ote</w:t>
      </w:r>
      <w:r w:rsidR="00CB2F4C">
        <w:t>:</w:t>
      </w:r>
      <w:r w:rsidR="003B0176" w:rsidRPr="00544EA2">
        <w:t xml:space="preserve"> </w:t>
      </w:r>
      <w:r w:rsidR="00CB2F4C">
        <w:t>T</w:t>
      </w:r>
      <w:r w:rsidR="003B0176" w:rsidRPr="00544EA2">
        <w:t xml:space="preserve">o be approved for the </w:t>
      </w:r>
      <w:r w:rsidR="00DA64C3">
        <w:rPr>
          <w:lang w:val="en-AU"/>
        </w:rPr>
        <w:t>RCP</w:t>
      </w:r>
      <w:r w:rsidR="003B0176" w:rsidRPr="00544EA2">
        <w:t xml:space="preserve">, the person must not be residing in permanent residential care at the time of the assessment; the older person must be residing in the home or community setting. The older person should also not be in hospital. </w:t>
      </w:r>
      <w:r w:rsidR="003B0176" w:rsidRPr="00544EA2">
        <w:rPr>
          <w:lang w:val="en-AU"/>
        </w:rPr>
        <w:t> </w:t>
      </w:r>
    </w:p>
    <w:p w14:paraId="78E7A345" w14:textId="58AE616D" w:rsidR="003B0176" w:rsidRPr="00544EA2" w:rsidRDefault="003B0176" w:rsidP="00622CFF">
      <w:pPr>
        <w:spacing w:before="240" w:after="240" w:line="240" w:lineRule="auto"/>
        <w:rPr>
          <w:rFonts w:eastAsia="Yu Gothic Light"/>
          <w:lang w:val="en-AU"/>
        </w:rPr>
      </w:pPr>
      <w:r w:rsidRPr="00544EA2">
        <w:rPr>
          <w:rFonts w:eastAsia="Yu Gothic Light"/>
        </w:rPr>
        <w:t xml:space="preserve">The </w:t>
      </w:r>
      <w:r w:rsidR="00D36C4D">
        <w:rPr>
          <w:rFonts w:eastAsia="Yu Gothic Light"/>
        </w:rPr>
        <w:t>a</w:t>
      </w:r>
      <w:r w:rsidR="00D36C4D" w:rsidRPr="00544EA2">
        <w:rPr>
          <w:rFonts w:eastAsia="Yu Gothic Light"/>
        </w:rPr>
        <w:t xml:space="preserve">ssessment </w:t>
      </w:r>
      <w:r w:rsidR="00D36C4D">
        <w:rPr>
          <w:rFonts w:eastAsia="Yu Gothic Light"/>
        </w:rPr>
        <w:t>d</w:t>
      </w:r>
      <w:r w:rsidR="00D36C4D" w:rsidRPr="00544EA2">
        <w:rPr>
          <w:rFonts w:eastAsia="Yu Gothic Light"/>
        </w:rPr>
        <w:t xml:space="preserve">elegate </w:t>
      </w:r>
      <w:r w:rsidRPr="00544EA2">
        <w:rPr>
          <w:rFonts w:eastAsia="Yu Gothic Light"/>
        </w:rPr>
        <w:t>is also responsible for making sure all decisions follow pathway rules, including:</w:t>
      </w:r>
      <w:r w:rsidRPr="00544EA2">
        <w:rPr>
          <w:rFonts w:eastAsia="Yu Gothic Light"/>
          <w:lang w:val="en-AU"/>
        </w:rPr>
        <w:t> </w:t>
      </w:r>
    </w:p>
    <w:p w14:paraId="696F7F81" w14:textId="77777777" w:rsidR="003B0176" w:rsidRPr="00544EA2" w:rsidRDefault="003B0176" w:rsidP="00DF3F6B">
      <w:pPr>
        <w:numPr>
          <w:ilvl w:val="0"/>
          <w:numId w:val="203"/>
        </w:numPr>
        <w:spacing w:before="240" w:after="240" w:line="240" w:lineRule="auto"/>
        <w:rPr>
          <w:rFonts w:eastAsia="Yu Gothic Light"/>
          <w:lang w:val="en-AU"/>
        </w:rPr>
      </w:pPr>
      <w:r w:rsidRPr="00544EA2">
        <w:rPr>
          <w:rFonts w:eastAsia="Yu Gothic Light"/>
        </w:rPr>
        <w:t>The person has not already been approved for two units of funding for Restorative Care in the past 12 months</w:t>
      </w:r>
      <w:r w:rsidRPr="00544EA2">
        <w:rPr>
          <w:rFonts w:eastAsia="Yu Gothic Light"/>
          <w:lang w:val="en-AU"/>
        </w:rPr>
        <w:t> </w:t>
      </w:r>
    </w:p>
    <w:p w14:paraId="757B785D" w14:textId="77777777" w:rsidR="003B0176" w:rsidRPr="00544EA2" w:rsidRDefault="003B0176" w:rsidP="00DF3F6B">
      <w:pPr>
        <w:numPr>
          <w:ilvl w:val="0"/>
          <w:numId w:val="204"/>
        </w:numPr>
        <w:spacing w:before="240" w:after="240" w:line="240" w:lineRule="auto"/>
        <w:rPr>
          <w:rFonts w:eastAsia="Yu Gothic Light"/>
          <w:lang w:val="en-AU"/>
        </w:rPr>
      </w:pPr>
      <w:r w:rsidRPr="00544EA2">
        <w:rPr>
          <w:rFonts w:eastAsia="Yu Gothic Light"/>
        </w:rPr>
        <w:t>It has been 90 days from the maximum period of effect from a previous episode of Restorative Care. </w:t>
      </w:r>
      <w:r w:rsidRPr="00544EA2">
        <w:rPr>
          <w:rFonts w:eastAsia="Yu Gothic Light"/>
          <w:lang w:val="en-AU"/>
        </w:rPr>
        <w:t> </w:t>
      </w:r>
    </w:p>
    <w:p w14:paraId="1CC57555" w14:textId="28848D57" w:rsidR="003B0176" w:rsidRPr="00544EA2" w:rsidRDefault="003B0176" w:rsidP="00DF3F6B">
      <w:pPr>
        <w:numPr>
          <w:ilvl w:val="0"/>
          <w:numId w:val="205"/>
        </w:numPr>
        <w:spacing w:before="240" w:after="240" w:line="240" w:lineRule="auto"/>
        <w:rPr>
          <w:rFonts w:eastAsia="Yu Gothic Light"/>
          <w:lang w:val="en-AU"/>
        </w:rPr>
      </w:pPr>
      <w:r w:rsidRPr="00544EA2">
        <w:rPr>
          <w:rFonts w:eastAsia="Yu Gothic Light"/>
        </w:rPr>
        <w:t xml:space="preserve">For the relevant transition period, delegates should also confirm if a person has accessed </w:t>
      </w:r>
      <w:r w:rsidR="00F46157">
        <w:rPr>
          <w:rFonts w:eastAsia="Yu Gothic Light"/>
          <w:lang w:val="en-AU"/>
        </w:rPr>
        <w:t xml:space="preserve">RCP </w:t>
      </w:r>
      <w:r w:rsidRPr="00544EA2">
        <w:rPr>
          <w:rFonts w:eastAsia="Yu Gothic Light"/>
        </w:rPr>
        <w:t xml:space="preserve">through a </w:t>
      </w:r>
      <w:r w:rsidR="00F46157">
        <w:rPr>
          <w:rFonts w:eastAsia="Yu Gothic Light"/>
        </w:rPr>
        <w:t>Short-term Restorative Care (</w:t>
      </w:r>
      <w:r w:rsidRPr="00544EA2">
        <w:rPr>
          <w:rFonts w:eastAsia="Yu Gothic Light"/>
        </w:rPr>
        <w:t>STRC</w:t>
      </w:r>
      <w:r w:rsidR="00F46157">
        <w:rPr>
          <w:rFonts w:eastAsia="Yu Gothic Light"/>
        </w:rPr>
        <w:t>)</w:t>
      </w:r>
      <w:r w:rsidRPr="00544EA2">
        <w:rPr>
          <w:rFonts w:eastAsia="Yu Gothic Light"/>
        </w:rPr>
        <w:t xml:space="preserve"> approval to determine eligibility for further </w:t>
      </w:r>
      <w:r w:rsidR="009A71B8">
        <w:rPr>
          <w:rFonts w:eastAsia="Yu Gothic Light"/>
          <w:lang w:val="en-AU"/>
        </w:rPr>
        <w:t xml:space="preserve">RCP </w:t>
      </w:r>
      <w:r w:rsidRPr="00544EA2">
        <w:rPr>
          <w:rFonts w:eastAsia="Yu Gothic Light"/>
        </w:rPr>
        <w:t>funding units. </w:t>
      </w:r>
      <w:r w:rsidRPr="00544EA2">
        <w:rPr>
          <w:rFonts w:eastAsia="Yu Gothic Light"/>
          <w:lang w:val="en-AU"/>
        </w:rPr>
        <w:t> </w:t>
      </w:r>
    </w:p>
    <w:p w14:paraId="5E3306EF" w14:textId="1E4B5205"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If an additional unit of funding is requested through a </w:t>
      </w:r>
      <w:r w:rsidR="0D371AC5" w:rsidRPr="769AFF85">
        <w:rPr>
          <w:rFonts w:eastAsia="Yu Gothic Light"/>
          <w:lang w:val="en-AU"/>
        </w:rPr>
        <w:t>s</w:t>
      </w:r>
      <w:r w:rsidRPr="769AFF85">
        <w:rPr>
          <w:rFonts w:eastAsia="Yu Gothic Light"/>
          <w:lang w:val="en-AU"/>
        </w:rPr>
        <w:t xml:space="preserve">upport </w:t>
      </w:r>
      <w:r w:rsidR="362B8A0A" w:rsidRPr="769AFF85">
        <w:rPr>
          <w:rFonts w:eastAsia="Yu Gothic Light"/>
          <w:lang w:val="en-AU"/>
        </w:rPr>
        <w:t>p</w:t>
      </w:r>
      <w:r w:rsidRPr="769AFF85">
        <w:rPr>
          <w:rFonts w:eastAsia="Yu Gothic Light"/>
          <w:lang w:val="en-AU"/>
        </w:rPr>
        <w:t xml:space="preserve">lan </w:t>
      </w:r>
      <w:r w:rsidR="59D1543D" w:rsidRPr="769AFF85">
        <w:rPr>
          <w:rFonts w:eastAsia="Yu Gothic Light"/>
          <w:lang w:val="en-AU"/>
        </w:rPr>
        <w:t>r</w:t>
      </w:r>
      <w:r w:rsidRPr="00544EA2">
        <w:rPr>
          <w:rFonts w:eastAsia="Yu Gothic Light"/>
          <w:lang w:val="en-AU"/>
        </w:rPr>
        <w:t xml:space="preserve">eview (SPR), the </w:t>
      </w:r>
      <w:r w:rsidR="00D36C4D">
        <w:rPr>
          <w:rFonts w:eastAsia="Yu Gothic Light"/>
          <w:lang w:val="en-AU"/>
        </w:rPr>
        <w:t>assessment</w:t>
      </w:r>
      <w:r w:rsidRPr="00544EA2" w:rsidDel="00D36C4D">
        <w:rPr>
          <w:rFonts w:eastAsia="Yu Gothic Light"/>
          <w:lang w:val="en-AU"/>
        </w:rPr>
        <w:t xml:space="preserve"> </w:t>
      </w:r>
      <w:r w:rsidR="00D36C4D">
        <w:rPr>
          <w:rFonts w:eastAsia="Yu Gothic Light"/>
          <w:lang w:val="en-AU"/>
        </w:rPr>
        <w:t>d</w:t>
      </w:r>
      <w:r w:rsidR="00D36C4D" w:rsidRPr="00544EA2">
        <w:rPr>
          <w:rFonts w:eastAsia="Yu Gothic Light"/>
          <w:lang w:val="en-AU"/>
        </w:rPr>
        <w:t>elegate</w:t>
      </w:r>
      <w:r w:rsidRPr="00544EA2">
        <w:rPr>
          <w:rFonts w:eastAsia="Yu Gothic Light"/>
          <w:lang w:val="en-AU"/>
        </w:rPr>
        <w:t xml:space="preserve"> must ensure that the documentation clearly explains the reason, how it links to the person’s goals, and that evidence is provided to support your decision. </w:t>
      </w:r>
      <w:r w:rsidRPr="00544EA2">
        <w:rPr>
          <w:rFonts w:eastAsia="Yu Gothic Light"/>
        </w:rPr>
        <w:t>The</w:t>
      </w:r>
      <w:r w:rsidR="00AC581D">
        <w:rPr>
          <w:rFonts w:eastAsia="Yu Gothic Light"/>
        </w:rPr>
        <w:t xml:space="preserve"> </w:t>
      </w:r>
      <w:r w:rsidR="00D36C4D">
        <w:rPr>
          <w:rFonts w:eastAsia="Yu Gothic Light"/>
        </w:rPr>
        <w:t>assessment</w:t>
      </w:r>
      <w:r w:rsidRPr="00544EA2" w:rsidDel="00D36C4D">
        <w:rPr>
          <w:rFonts w:eastAsia="Yu Gothic Light"/>
        </w:rPr>
        <w:t xml:space="preserve"> </w:t>
      </w:r>
      <w:r w:rsidR="00D36C4D">
        <w:rPr>
          <w:rFonts w:eastAsia="Yu Gothic Light"/>
        </w:rPr>
        <w:t>d</w:t>
      </w:r>
      <w:r w:rsidR="00D36C4D" w:rsidRPr="00544EA2">
        <w:rPr>
          <w:rFonts w:eastAsia="Yu Gothic Light"/>
        </w:rPr>
        <w:t>elegate</w:t>
      </w:r>
      <w:r w:rsidR="00D36C4D">
        <w:rPr>
          <w:rFonts w:eastAsia="Yu Gothic Light"/>
        </w:rPr>
        <w:t>’</w:t>
      </w:r>
      <w:r w:rsidR="00D36C4D" w:rsidRPr="00544EA2">
        <w:rPr>
          <w:rFonts w:eastAsia="Yu Gothic Light"/>
        </w:rPr>
        <w:t>s</w:t>
      </w:r>
      <w:r w:rsidRPr="00544EA2">
        <w:rPr>
          <w:rFonts w:eastAsia="Yu Gothic Light"/>
        </w:rPr>
        <w:t xml:space="preserve"> role in reviewing and approving these cases is essential to making sure the </w:t>
      </w:r>
      <w:r w:rsidR="009A71B8">
        <w:rPr>
          <w:rFonts w:eastAsia="Yu Gothic Light"/>
          <w:lang w:val="en-AU"/>
        </w:rPr>
        <w:t xml:space="preserve">RCP </w:t>
      </w:r>
      <w:r w:rsidRPr="00544EA2">
        <w:rPr>
          <w:rFonts w:eastAsia="Yu Gothic Light"/>
        </w:rPr>
        <w:t xml:space="preserve">is used fairly, consistently, and in line with the pathway’s goals of early intervention and reablement. Availability of </w:t>
      </w:r>
      <w:r w:rsidR="009A71B8">
        <w:rPr>
          <w:rFonts w:eastAsia="Yu Gothic Light"/>
          <w:lang w:val="en-AU"/>
        </w:rPr>
        <w:t xml:space="preserve">RCP </w:t>
      </w:r>
      <w:r w:rsidRPr="00544EA2">
        <w:rPr>
          <w:rFonts w:eastAsia="Yu Gothic Light"/>
        </w:rPr>
        <w:t xml:space="preserve">units </w:t>
      </w:r>
      <w:r w:rsidR="3019FC5A" w:rsidRPr="5A3153C0">
        <w:rPr>
          <w:rFonts w:eastAsia="Yu Gothic Light"/>
        </w:rPr>
        <w:t xml:space="preserve">may </w:t>
      </w:r>
      <w:r w:rsidR="00874CBC">
        <w:rPr>
          <w:rFonts w:eastAsia="Yu Gothic Light"/>
        </w:rPr>
        <w:t>also be considered</w:t>
      </w:r>
      <w:r w:rsidRPr="00544EA2">
        <w:rPr>
          <w:rFonts w:eastAsia="Yu Gothic Light"/>
        </w:rPr>
        <w:t>. </w:t>
      </w:r>
      <w:r w:rsidRPr="00544EA2">
        <w:rPr>
          <w:rFonts w:eastAsia="Yu Gothic Light"/>
          <w:lang w:val="en-AU"/>
        </w:rPr>
        <w:t> </w:t>
      </w:r>
    </w:p>
    <w:p w14:paraId="669DDC7C" w14:textId="78B39869"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If the participant is accessing </w:t>
      </w:r>
      <w:r w:rsidR="009A71B8">
        <w:rPr>
          <w:rFonts w:eastAsia="Yu Gothic Light"/>
          <w:lang w:val="en-AU"/>
        </w:rPr>
        <w:t>two</w:t>
      </w:r>
      <w:r w:rsidR="009A71B8" w:rsidRPr="00544EA2">
        <w:rPr>
          <w:rFonts w:eastAsia="Yu Gothic Light"/>
          <w:lang w:val="en-AU"/>
        </w:rPr>
        <w:t xml:space="preserve"> </w:t>
      </w:r>
      <w:r w:rsidRPr="00544EA2">
        <w:rPr>
          <w:rFonts w:eastAsia="Yu Gothic Light"/>
          <w:lang w:val="en-AU"/>
        </w:rPr>
        <w:t xml:space="preserve">separate episodes of restorative </w:t>
      </w:r>
      <w:r w:rsidR="00CB2F4C" w:rsidRPr="00544EA2">
        <w:rPr>
          <w:rFonts w:eastAsia="Yu Gothic Light"/>
          <w:lang w:val="en-AU"/>
        </w:rPr>
        <w:t>care,</w:t>
      </w:r>
      <w:r w:rsidRPr="00544EA2">
        <w:rPr>
          <w:rFonts w:eastAsia="Yu Gothic Light"/>
          <w:lang w:val="en-AU"/>
        </w:rPr>
        <w:t xml:space="preserve"> they will need to wait at least 3 months from the end of the 16 weeks period associated with the original episode before being eligible to receive a second episode within the 12-month period. </w:t>
      </w:r>
    </w:p>
    <w:p w14:paraId="51205CD5" w14:textId="39FB843B" w:rsidR="003B0176" w:rsidRPr="00544EA2" w:rsidRDefault="002C539C" w:rsidP="00622CFF">
      <w:pPr>
        <w:spacing w:before="240" w:after="240" w:line="240" w:lineRule="auto"/>
        <w:rPr>
          <w:rFonts w:eastAsia="Yu Gothic Light"/>
          <w:lang w:val="en-AU"/>
        </w:rPr>
      </w:pPr>
      <w:r>
        <w:rPr>
          <w:rFonts w:eastAsia="Yu Gothic Light"/>
          <w:lang w:val="en-AU"/>
        </w:rPr>
        <w:t>An</w:t>
      </w:r>
      <w:r w:rsidR="00362151">
        <w:rPr>
          <w:rFonts w:eastAsia="Yu Gothic Light"/>
          <w:lang w:val="en-AU"/>
        </w:rPr>
        <w:t xml:space="preserve"> </w:t>
      </w:r>
      <w:r w:rsidR="00524DC0">
        <w:rPr>
          <w:rFonts w:eastAsia="Yu Gothic Light"/>
          <w:lang w:val="en-AU"/>
        </w:rPr>
        <w:t>RCP</w:t>
      </w:r>
      <w:r w:rsidR="00362151">
        <w:rPr>
          <w:rFonts w:eastAsia="Yu Gothic Light"/>
          <w:lang w:val="en-AU"/>
        </w:rPr>
        <w:t xml:space="preserve"> </w:t>
      </w:r>
      <w:r w:rsidR="003B0176" w:rsidRPr="00544EA2">
        <w:rPr>
          <w:rFonts w:eastAsia="Yu Gothic Light"/>
          <w:lang w:val="en-AU"/>
        </w:rPr>
        <w:t xml:space="preserve">recommendation </w:t>
      </w:r>
      <w:r w:rsidR="00362151">
        <w:rPr>
          <w:rFonts w:eastAsia="Yu Gothic Light"/>
          <w:lang w:val="en-AU"/>
        </w:rPr>
        <w:t xml:space="preserve">may </w:t>
      </w:r>
      <w:r w:rsidR="003B0176" w:rsidRPr="00544EA2">
        <w:rPr>
          <w:rFonts w:eastAsia="Yu Gothic Light"/>
          <w:lang w:val="en-AU"/>
        </w:rPr>
        <w:t xml:space="preserve">not be approved due to no </w:t>
      </w:r>
      <w:r w:rsidR="00524DC0">
        <w:rPr>
          <w:rFonts w:eastAsia="Yu Gothic Light"/>
          <w:lang w:val="en-AU"/>
        </w:rPr>
        <w:t xml:space="preserve">RCP </w:t>
      </w:r>
      <w:r w:rsidR="003B0176" w:rsidRPr="00544EA2">
        <w:rPr>
          <w:rFonts w:eastAsia="Yu Gothic Light"/>
          <w:lang w:val="en-AU"/>
        </w:rPr>
        <w:t>places being available for allocation</w:t>
      </w:r>
      <w:r w:rsidR="0F794942" w:rsidRPr="5A3153C0">
        <w:rPr>
          <w:rFonts w:eastAsia="Yu Gothic Light"/>
          <w:lang w:val="en-AU"/>
        </w:rPr>
        <w:t xml:space="preserve">. </w:t>
      </w:r>
      <w:r w:rsidR="15DAF43C" w:rsidRPr="5A3153C0">
        <w:rPr>
          <w:rFonts w:eastAsia="Yu Gothic Light"/>
          <w:lang w:val="en-AU"/>
        </w:rPr>
        <w:t xml:space="preserve">The </w:t>
      </w:r>
      <w:r w:rsidR="003B0176" w:rsidRPr="00544EA2">
        <w:rPr>
          <w:rFonts w:eastAsia="Yu Gothic Light"/>
          <w:lang w:val="en-AU"/>
        </w:rPr>
        <w:t xml:space="preserve">assessor </w:t>
      </w:r>
      <w:r w:rsidR="00362151">
        <w:rPr>
          <w:rFonts w:eastAsia="Yu Gothic Light"/>
          <w:lang w:val="en-AU"/>
        </w:rPr>
        <w:t xml:space="preserve">may </w:t>
      </w:r>
      <w:r w:rsidR="003B0176" w:rsidRPr="00544EA2">
        <w:rPr>
          <w:rFonts w:eastAsia="Yu Gothic Light"/>
          <w:lang w:val="en-AU"/>
        </w:rPr>
        <w:t>contact the older person to discuss alternative supports for recommendation</w:t>
      </w:r>
      <w:r w:rsidR="00F16714" w:rsidRPr="00544EA2">
        <w:rPr>
          <w:rFonts w:eastAsia="Yu Gothic Light"/>
          <w:lang w:val="en-AU"/>
        </w:rPr>
        <w:t xml:space="preserve">. </w:t>
      </w:r>
    </w:p>
    <w:p w14:paraId="44817D10" w14:textId="331DBC82" w:rsidR="005A5277" w:rsidRPr="00CB2F4C" w:rsidRDefault="003B0176" w:rsidP="00C325C6">
      <w:pPr>
        <w:pStyle w:val="Sub-headings"/>
        <w:rPr>
          <w:lang w:val="en-AU"/>
        </w:rPr>
      </w:pPr>
      <w:r w:rsidRPr="00005E87">
        <w:t>Note</w:t>
      </w:r>
      <w:r w:rsidRPr="00544EA2">
        <w:t xml:space="preserve">: Decisions made about </w:t>
      </w:r>
      <w:r w:rsidR="005A5277">
        <w:rPr>
          <w:lang w:val="en-AU"/>
        </w:rPr>
        <w:t xml:space="preserve">RCP </w:t>
      </w:r>
      <w:r w:rsidRPr="00544EA2">
        <w:t>through the IAT are made under s65 and s78 which are reviewable decisions</w:t>
      </w:r>
      <w:r w:rsidR="00223C71">
        <w:t xml:space="preserve"> under the Act</w:t>
      </w:r>
      <w:r w:rsidRPr="00544EA2">
        <w:t>. Decisions made about the additional unit of Restorative Care Pathway funding through an SPR are made under section 195-3 of the Rules and are not reviewable.</w:t>
      </w:r>
      <w:r w:rsidRPr="00544EA2">
        <w:rPr>
          <w:lang w:val="en-AU"/>
        </w:rPr>
        <w:t> </w:t>
      </w:r>
    </w:p>
    <w:p w14:paraId="5CD94143" w14:textId="0D1A4803" w:rsidR="003B0176" w:rsidRPr="00544EA2" w:rsidRDefault="003B0176" w:rsidP="00622CFF">
      <w:pPr>
        <w:spacing w:before="240" w:after="240" w:line="240" w:lineRule="auto"/>
        <w:rPr>
          <w:rFonts w:eastAsia="Yu Gothic Light"/>
          <w:b/>
          <w:bCs/>
          <w:color w:val="1E1444"/>
          <w:lang w:val="en-AU"/>
        </w:rPr>
      </w:pPr>
      <w:r w:rsidRPr="00544EA2">
        <w:rPr>
          <w:rFonts w:eastAsia="Yu Gothic Light"/>
          <w:b/>
          <w:bCs/>
          <w:color w:val="1E1444"/>
        </w:rPr>
        <w:t xml:space="preserve">Eligibility </w:t>
      </w:r>
      <w:r w:rsidR="00F92A77">
        <w:rPr>
          <w:rFonts w:eastAsia="Yu Gothic Light"/>
          <w:b/>
          <w:bCs/>
          <w:color w:val="1E1444"/>
        </w:rPr>
        <w:t>c</w:t>
      </w:r>
      <w:r w:rsidRPr="00544EA2">
        <w:rPr>
          <w:rFonts w:eastAsia="Yu Gothic Light"/>
          <w:b/>
          <w:bCs/>
          <w:color w:val="1E1444"/>
        </w:rPr>
        <w:t xml:space="preserve">onsiderations and </w:t>
      </w:r>
      <w:r w:rsidR="00F92A77">
        <w:rPr>
          <w:rFonts w:eastAsia="Yu Gothic Light"/>
          <w:b/>
          <w:bCs/>
          <w:color w:val="1E1444"/>
        </w:rPr>
        <w:t>e</w:t>
      </w:r>
      <w:r w:rsidRPr="00544EA2">
        <w:rPr>
          <w:rFonts w:eastAsia="Yu Gothic Light"/>
          <w:b/>
          <w:bCs/>
          <w:color w:val="1E1444"/>
        </w:rPr>
        <w:t>xclusions</w:t>
      </w:r>
      <w:r w:rsidRPr="00544EA2">
        <w:rPr>
          <w:rFonts w:eastAsia="Yu Gothic Light"/>
          <w:b/>
          <w:bCs/>
          <w:color w:val="1E1444"/>
          <w:lang w:val="en-AU"/>
        </w:rPr>
        <w:t> </w:t>
      </w:r>
    </w:p>
    <w:p w14:paraId="15A97F4F" w14:textId="35A6DA4A" w:rsidR="003B0176" w:rsidRPr="00544EA2" w:rsidRDefault="003B0176" w:rsidP="00622CFF">
      <w:pPr>
        <w:spacing w:before="240" w:after="240" w:line="240" w:lineRule="auto"/>
        <w:rPr>
          <w:rFonts w:eastAsia="Yu Gothic Light"/>
          <w:lang w:val="en-AU"/>
        </w:rPr>
      </w:pPr>
      <w:r w:rsidRPr="00544EA2">
        <w:rPr>
          <w:rFonts w:eastAsia="Yu Gothic Light"/>
        </w:rPr>
        <w:t>An individual </w:t>
      </w:r>
      <w:r w:rsidRPr="00544EA2">
        <w:rPr>
          <w:rFonts w:eastAsia="Yu Gothic Light"/>
          <w:b/>
          <w:bCs/>
        </w:rPr>
        <w:t>cannot</w:t>
      </w:r>
      <w:r w:rsidRPr="00544EA2">
        <w:rPr>
          <w:rFonts w:eastAsia="Yu Gothic Light"/>
        </w:rPr>
        <w:t xml:space="preserve"> access the Restorative Care Pathway </w:t>
      </w:r>
      <w:r w:rsidR="005A5277">
        <w:rPr>
          <w:rFonts w:eastAsia="Yu Gothic Light"/>
        </w:rPr>
        <w:t>(</w:t>
      </w:r>
      <w:r w:rsidR="005A5277">
        <w:rPr>
          <w:rFonts w:eastAsia="Yu Gothic Light"/>
          <w:lang w:val="en-AU"/>
        </w:rPr>
        <w:t>RCP)</w:t>
      </w:r>
      <w:r w:rsidRPr="00544EA2">
        <w:rPr>
          <w:rFonts w:eastAsia="Yu Gothic Light"/>
        </w:rPr>
        <w:t xml:space="preserve"> if they:</w:t>
      </w:r>
      <w:r w:rsidRPr="00544EA2">
        <w:rPr>
          <w:rFonts w:eastAsia="Yu Gothic Light"/>
          <w:lang w:val="en-AU"/>
        </w:rPr>
        <w:t> </w:t>
      </w:r>
    </w:p>
    <w:p w14:paraId="2285B69E" w14:textId="77777777" w:rsidR="003B0176" w:rsidRPr="00544EA2" w:rsidRDefault="003B0176" w:rsidP="00DF3F6B">
      <w:pPr>
        <w:numPr>
          <w:ilvl w:val="0"/>
          <w:numId w:val="270"/>
        </w:numPr>
        <w:spacing w:before="120" w:after="120" w:line="240" w:lineRule="auto"/>
        <w:ind w:left="714" w:hanging="357"/>
        <w:rPr>
          <w:rFonts w:eastAsia="Yu Gothic Light"/>
          <w:lang w:val="en-AU"/>
        </w:rPr>
      </w:pPr>
      <w:r w:rsidRPr="00544EA2">
        <w:rPr>
          <w:rFonts w:eastAsia="Yu Gothic Light"/>
        </w:rPr>
        <w:t>Are receiving, or are eligible to receive, the End-of-Life Pathway</w:t>
      </w:r>
      <w:r w:rsidRPr="00544EA2">
        <w:rPr>
          <w:rFonts w:eastAsia="Yu Gothic Light"/>
          <w:lang w:val="en-AU"/>
        </w:rPr>
        <w:t> </w:t>
      </w:r>
    </w:p>
    <w:p w14:paraId="7EBB98B9" w14:textId="55A372CA" w:rsidR="003B0176" w:rsidRPr="00544EA2" w:rsidRDefault="003B0176" w:rsidP="00DF3F6B">
      <w:pPr>
        <w:numPr>
          <w:ilvl w:val="0"/>
          <w:numId w:val="271"/>
        </w:numPr>
        <w:spacing w:before="120" w:after="120" w:line="240" w:lineRule="auto"/>
        <w:ind w:left="714" w:hanging="357"/>
        <w:rPr>
          <w:rFonts w:eastAsia="Yu Gothic Light"/>
          <w:lang w:val="en-AU"/>
        </w:rPr>
      </w:pPr>
      <w:r w:rsidRPr="00544EA2">
        <w:rPr>
          <w:rFonts w:eastAsia="Yu Gothic Light"/>
        </w:rPr>
        <w:t xml:space="preserve">Have been approved for two episodes or two separate units of Restorative Care funding within the past 12 </w:t>
      </w:r>
      <w:r w:rsidR="00CB2F4C" w:rsidRPr="00544EA2">
        <w:rPr>
          <w:rFonts w:eastAsia="Yu Gothic Light"/>
        </w:rPr>
        <w:t>months or</w:t>
      </w:r>
      <w:r w:rsidRPr="00544EA2">
        <w:rPr>
          <w:rFonts w:eastAsia="Yu Gothic Light"/>
        </w:rPr>
        <w:t xml:space="preserve"> have recently accessed Restorative Care (a 90 day gap is required from the end of the </w:t>
      </w:r>
      <w:r w:rsidR="00CB2F4C" w:rsidRPr="00544EA2">
        <w:rPr>
          <w:rFonts w:eastAsia="Yu Gothic Light"/>
        </w:rPr>
        <w:t>16-week</w:t>
      </w:r>
      <w:r w:rsidRPr="00544EA2">
        <w:rPr>
          <w:rFonts w:eastAsia="Yu Gothic Light"/>
        </w:rPr>
        <w:t xml:space="preserve"> period associated with the first episode of care).</w:t>
      </w:r>
      <w:r w:rsidRPr="00544EA2">
        <w:rPr>
          <w:rFonts w:eastAsia="Yu Gothic Light"/>
          <w:lang w:val="en-AU"/>
        </w:rPr>
        <w:t> </w:t>
      </w:r>
    </w:p>
    <w:p w14:paraId="7DDEDC6D" w14:textId="15407DF2" w:rsidR="003B0176" w:rsidRPr="00544EA2" w:rsidRDefault="003B0176" w:rsidP="00DF3F6B">
      <w:pPr>
        <w:numPr>
          <w:ilvl w:val="0"/>
          <w:numId w:val="272"/>
        </w:numPr>
        <w:spacing w:before="120" w:after="120" w:line="240" w:lineRule="auto"/>
        <w:ind w:left="714" w:hanging="357"/>
        <w:rPr>
          <w:rFonts w:eastAsia="Yu Gothic Light"/>
          <w:lang w:val="en-AU"/>
        </w:rPr>
      </w:pPr>
      <w:r w:rsidRPr="00544EA2">
        <w:rPr>
          <w:rFonts w:eastAsia="Yu Gothic Light"/>
        </w:rPr>
        <w:t xml:space="preserve">Are receiving, or are eligible to receive, services under the Transition Care Program </w:t>
      </w:r>
    </w:p>
    <w:p w14:paraId="69BB3F1A" w14:textId="77777777" w:rsidR="003B0176" w:rsidRPr="00544EA2" w:rsidRDefault="003B0176" w:rsidP="00DF3F6B">
      <w:pPr>
        <w:numPr>
          <w:ilvl w:val="0"/>
          <w:numId w:val="273"/>
        </w:numPr>
        <w:spacing w:before="120" w:after="120" w:line="240" w:lineRule="auto"/>
        <w:ind w:left="714" w:hanging="357"/>
        <w:rPr>
          <w:rFonts w:eastAsia="Yu Gothic Light"/>
          <w:lang w:val="en-AU"/>
        </w:rPr>
      </w:pPr>
      <w:r w:rsidRPr="00544EA2">
        <w:rPr>
          <w:rFonts w:eastAsia="Yu Gothic Light"/>
        </w:rPr>
        <w:t>Are in permanent residential aged care. </w:t>
      </w:r>
      <w:r w:rsidRPr="00544EA2">
        <w:rPr>
          <w:rFonts w:eastAsia="Yu Gothic Light"/>
          <w:lang w:val="en-AU"/>
        </w:rPr>
        <w:t> </w:t>
      </w:r>
    </w:p>
    <w:p w14:paraId="4F70ABE0" w14:textId="067B9C09" w:rsidR="003B0176" w:rsidRPr="00544EA2" w:rsidRDefault="003B0176" w:rsidP="00622CFF">
      <w:pPr>
        <w:spacing w:before="240" w:after="240" w:line="240" w:lineRule="auto"/>
        <w:rPr>
          <w:rFonts w:eastAsia="Yu Gothic Light"/>
          <w:lang w:val="en-AU"/>
        </w:rPr>
      </w:pPr>
      <w:r w:rsidRPr="00544EA2">
        <w:rPr>
          <w:rFonts w:eastAsia="Yu Gothic Light"/>
        </w:rPr>
        <w:t xml:space="preserve">Individuals who have been approved for the </w:t>
      </w:r>
      <w:r w:rsidR="00067F42">
        <w:rPr>
          <w:rFonts w:eastAsia="Yu Gothic Light"/>
          <w:lang w:val="en-AU"/>
        </w:rPr>
        <w:t xml:space="preserve">RCP </w:t>
      </w:r>
      <w:r w:rsidRPr="00544EA2">
        <w:rPr>
          <w:rFonts w:eastAsia="Yu Gothic Light"/>
        </w:rPr>
        <w:t>may access services through M</w:t>
      </w:r>
      <w:r w:rsidR="005A5277">
        <w:rPr>
          <w:rFonts w:eastAsia="Yu Gothic Light"/>
        </w:rPr>
        <w:t xml:space="preserve">ulti-Purpose Services </w:t>
      </w:r>
      <w:r w:rsidR="00CB2F4C">
        <w:rPr>
          <w:rFonts w:eastAsia="Yu Gothic Light"/>
        </w:rPr>
        <w:t xml:space="preserve">Program </w:t>
      </w:r>
      <w:r w:rsidR="00CB2F4C" w:rsidRPr="00544EA2">
        <w:rPr>
          <w:rFonts w:eastAsia="Yu Gothic Light"/>
        </w:rPr>
        <w:t>or</w:t>
      </w:r>
      <w:r w:rsidRPr="00544EA2">
        <w:rPr>
          <w:rFonts w:eastAsia="Yu Gothic Light"/>
        </w:rPr>
        <w:t xml:space="preserve"> N</w:t>
      </w:r>
      <w:r w:rsidR="005A5277">
        <w:rPr>
          <w:rFonts w:eastAsia="Yu Gothic Light"/>
        </w:rPr>
        <w:t xml:space="preserve">ational </w:t>
      </w:r>
      <w:r w:rsidRPr="00544EA2">
        <w:rPr>
          <w:rFonts w:eastAsia="Yu Gothic Light"/>
        </w:rPr>
        <w:t>A</w:t>
      </w:r>
      <w:r w:rsidR="005A5277">
        <w:rPr>
          <w:rFonts w:eastAsia="Yu Gothic Light"/>
        </w:rPr>
        <w:t xml:space="preserve">boriginal and </w:t>
      </w:r>
      <w:r w:rsidRPr="00544EA2">
        <w:rPr>
          <w:rFonts w:eastAsia="Yu Gothic Light"/>
        </w:rPr>
        <w:t>T</w:t>
      </w:r>
      <w:r w:rsidR="005A5277">
        <w:rPr>
          <w:rFonts w:eastAsia="Yu Gothic Light"/>
        </w:rPr>
        <w:t xml:space="preserve">orres </w:t>
      </w:r>
      <w:r w:rsidRPr="00544EA2">
        <w:rPr>
          <w:rFonts w:eastAsia="Yu Gothic Light"/>
        </w:rPr>
        <w:t>S</w:t>
      </w:r>
      <w:r w:rsidR="005A5277">
        <w:rPr>
          <w:rFonts w:eastAsia="Yu Gothic Light"/>
        </w:rPr>
        <w:t xml:space="preserve">trait </w:t>
      </w:r>
      <w:r w:rsidRPr="00544EA2">
        <w:rPr>
          <w:rFonts w:eastAsia="Yu Gothic Light"/>
        </w:rPr>
        <w:t>I</w:t>
      </w:r>
      <w:r w:rsidR="005A5277">
        <w:rPr>
          <w:rFonts w:eastAsia="Yu Gothic Light"/>
        </w:rPr>
        <w:t xml:space="preserve">slander </w:t>
      </w:r>
      <w:r w:rsidRPr="00544EA2">
        <w:rPr>
          <w:rFonts w:eastAsia="Yu Gothic Light"/>
        </w:rPr>
        <w:t>F</w:t>
      </w:r>
      <w:r w:rsidR="005A5277">
        <w:rPr>
          <w:rFonts w:eastAsia="Yu Gothic Light"/>
        </w:rPr>
        <w:t xml:space="preserve">lexible </w:t>
      </w:r>
      <w:r w:rsidRPr="00544EA2">
        <w:rPr>
          <w:rFonts w:eastAsia="Yu Gothic Light"/>
        </w:rPr>
        <w:t>A</w:t>
      </w:r>
      <w:r w:rsidR="005A5277">
        <w:rPr>
          <w:rFonts w:eastAsia="Yu Gothic Light"/>
        </w:rPr>
        <w:t xml:space="preserve">ged </w:t>
      </w:r>
      <w:r w:rsidRPr="00544EA2">
        <w:rPr>
          <w:rFonts w:eastAsia="Yu Gothic Light"/>
        </w:rPr>
        <w:t>C</w:t>
      </w:r>
      <w:r w:rsidR="005A5277">
        <w:rPr>
          <w:rFonts w:eastAsia="Yu Gothic Light"/>
        </w:rPr>
        <w:t xml:space="preserve">are </w:t>
      </w:r>
      <w:r w:rsidRPr="00544EA2">
        <w:rPr>
          <w:rFonts w:eastAsia="Yu Gothic Light"/>
        </w:rPr>
        <w:t>P</w:t>
      </w:r>
      <w:r w:rsidR="005A5277">
        <w:rPr>
          <w:rFonts w:eastAsia="Yu Gothic Light"/>
        </w:rPr>
        <w:t>rogram</w:t>
      </w:r>
      <w:r w:rsidRPr="00544EA2">
        <w:rPr>
          <w:rFonts w:eastAsia="Yu Gothic Light"/>
        </w:rPr>
        <w:t>, if eligible for those programs and in-line with program rules. </w:t>
      </w:r>
      <w:r w:rsidRPr="00544EA2">
        <w:rPr>
          <w:rFonts w:eastAsia="Yu Gothic Light"/>
          <w:lang w:val="en-AU"/>
        </w:rPr>
        <w:t> </w:t>
      </w:r>
    </w:p>
    <w:p w14:paraId="307E8BA4" w14:textId="573F62E6" w:rsidR="003B0176" w:rsidRPr="00544EA2" w:rsidRDefault="003B0176" w:rsidP="00622CFF">
      <w:pPr>
        <w:spacing w:before="240" w:after="240" w:line="240" w:lineRule="auto"/>
        <w:rPr>
          <w:rFonts w:eastAsia="Yu Gothic Light"/>
          <w:lang w:val="en-AU"/>
        </w:rPr>
      </w:pPr>
      <w:r w:rsidRPr="00544EA2">
        <w:rPr>
          <w:rFonts w:eastAsia="Yu Gothic Light"/>
        </w:rPr>
        <w:t>Assessment</w:t>
      </w:r>
      <w:r w:rsidRPr="00544EA2" w:rsidDel="00D36C4D">
        <w:rPr>
          <w:rFonts w:eastAsia="Yu Gothic Light"/>
        </w:rPr>
        <w:t xml:space="preserve"> </w:t>
      </w:r>
      <w:r w:rsidR="00D36C4D">
        <w:rPr>
          <w:rFonts w:eastAsia="Yu Gothic Light"/>
        </w:rPr>
        <w:t>d</w:t>
      </w:r>
      <w:r w:rsidR="00D36C4D" w:rsidRPr="00544EA2">
        <w:rPr>
          <w:rFonts w:eastAsia="Yu Gothic Light"/>
        </w:rPr>
        <w:t>elegates</w:t>
      </w:r>
      <w:r w:rsidRPr="00544EA2">
        <w:rPr>
          <w:rFonts w:eastAsia="Yu Gothic Light"/>
        </w:rPr>
        <w:t xml:space="preserve"> should be aware when a client who has an ongoing S</w:t>
      </w:r>
      <w:r w:rsidR="00FB5C17">
        <w:rPr>
          <w:rFonts w:eastAsia="Yu Gothic Light"/>
        </w:rPr>
        <w:t xml:space="preserve">upport </w:t>
      </w:r>
      <w:r w:rsidR="00CB2F4C" w:rsidRPr="00544EA2">
        <w:rPr>
          <w:rFonts w:eastAsia="Yu Gothic Light"/>
        </w:rPr>
        <w:t>at</w:t>
      </w:r>
      <w:r w:rsidR="00FB5C17">
        <w:rPr>
          <w:rFonts w:eastAsia="Yu Gothic Light"/>
        </w:rPr>
        <w:t xml:space="preserve"> </w:t>
      </w:r>
      <w:r w:rsidRPr="00544EA2">
        <w:rPr>
          <w:rFonts w:eastAsia="Yu Gothic Light"/>
        </w:rPr>
        <w:t>H</w:t>
      </w:r>
      <w:r w:rsidR="00FB5C17">
        <w:rPr>
          <w:rFonts w:eastAsia="Yu Gothic Light"/>
        </w:rPr>
        <w:t>ome</w:t>
      </w:r>
      <w:r w:rsidRPr="00544EA2">
        <w:rPr>
          <w:rFonts w:eastAsia="Yu Gothic Light"/>
        </w:rPr>
        <w:t xml:space="preserve"> </w:t>
      </w:r>
      <w:r w:rsidR="005A5277">
        <w:rPr>
          <w:rFonts w:eastAsia="Yu Gothic Light"/>
        </w:rPr>
        <w:t>(SaH)</w:t>
      </w:r>
      <w:r w:rsidRPr="00544EA2">
        <w:rPr>
          <w:rFonts w:eastAsia="Yu Gothic Light"/>
        </w:rPr>
        <w:t xml:space="preserve"> classification and is reassessed for the </w:t>
      </w:r>
      <w:r w:rsidR="005A5277">
        <w:rPr>
          <w:rFonts w:eastAsia="Yu Gothic Light"/>
          <w:lang w:val="en-AU"/>
        </w:rPr>
        <w:t xml:space="preserve">RCP </w:t>
      </w:r>
      <w:r w:rsidRPr="00544EA2">
        <w:rPr>
          <w:rFonts w:eastAsia="Yu Gothic Light"/>
        </w:rPr>
        <w:t xml:space="preserve">there is </w:t>
      </w:r>
      <w:r w:rsidRPr="00173168">
        <w:rPr>
          <w:rFonts w:eastAsia="Yu Gothic Light"/>
        </w:rPr>
        <w:t xml:space="preserve">no impact on the person’s current ongoing SAH classification or position in the </w:t>
      </w:r>
      <w:r w:rsidR="005A5277">
        <w:rPr>
          <w:rFonts w:eastAsia="Yu Gothic Light"/>
        </w:rPr>
        <w:t xml:space="preserve">SaH </w:t>
      </w:r>
      <w:r w:rsidR="00FB5C17">
        <w:rPr>
          <w:rFonts w:eastAsia="Yu Gothic Light"/>
        </w:rPr>
        <w:t>System</w:t>
      </w:r>
      <w:r w:rsidRPr="00173168">
        <w:rPr>
          <w:rFonts w:eastAsia="Yu Gothic Light"/>
        </w:rPr>
        <w:t xml:space="preserve">. </w:t>
      </w:r>
      <w:r w:rsidRPr="00544EA2">
        <w:rPr>
          <w:rFonts w:eastAsia="Yu Gothic Light"/>
        </w:rPr>
        <w:t xml:space="preserve">A new ongoing </w:t>
      </w:r>
      <w:r w:rsidR="005A5277">
        <w:rPr>
          <w:rFonts w:eastAsia="Yu Gothic Light"/>
        </w:rPr>
        <w:t>SaH</w:t>
      </w:r>
      <w:r w:rsidRPr="00544EA2">
        <w:rPr>
          <w:rFonts w:eastAsia="Yu Gothic Light"/>
        </w:rPr>
        <w:t xml:space="preserve"> classification and </w:t>
      </w:r>
      <w:r w:rsidR="005A5277">
        <w:rPr>
          <w:rFonts w:eastAsia="Yu Gothic Light"/>
          <w:lang w:val="en-AU"/>
        </w:rPr>
        <w:t xml:space="preserve">RCP </w:t>
      </w:r>
      <w:r w:rsidRPr="00544EA2">
        <w:rPr>
          <w:rFonts w:eastAsia="Yu Gothic Light"/>
        </w:rPr>
        <w:t xml:space="preserve">are unable to be recommended at the same time. Assessors and Assessment Delegates should consider a person’s current ongoing needs before recommending </w:t>
      </w:r>
      <w:r w:rsidR="00B542E5">
        <w:rPr>
          <w:rFonts w:eastAsia="Yu Gothic Light"/>
        </w:rPr>
        <w:t>the</w:t>
      </w:r>
      <w:r w:rsidRPr="00544EA2">
        <w:rPr>
          <w:rFonts w:eastAsia="Yu Gothic Light"/>
        </w:rPr>
        <w:t xml:space="preserve"> </w:t>
      </w:r>
      <w:r w:rsidR="005A5277">
        <w:rPr>
          <w:rFonts w:eastAsia="Yu Gothic Light"/>
          <w:lang w:val="en-AU"/>
        </w:rPr>
        <w:t xml:space="preserve">RCP </w:t>
      </w:r>
      <w:r w:rsidR="00B542E5">
        <w:rPr>
          <w:rFonts w:eastAsia="Yu Gothic Light"/>
        </w:rPr>
        <w:t>episode</w:t>
      </w:r>
      <w:r w:rsidRPr="00544EA2">
        <w:rPr>
          <w:rFonts w:eastAsia="Yu Gothic Light"/>
        </w:rPr>
        <w:t>. If an older person needs a new ongoing </w:t>
      </w:r>
      <w:r w:rsidR="00CB2F4C" w:rsidRPr="00544EA2">
        <w:rPr>
          <w:rFonts w:eastAsia="Yu Gothic Light"/>
        </w:rPr>
        <w:t>classification,</w:t>
      </w:r>
      <w:r w:rsidRPr="00544EA2">
        <w:rPr>
          <w:rFonts w:eastAsia="Yu Gothic Light"/>
        </w:rPr>
        <w:t xml:space="preserve"> they will need to be reassessed following the </w:t>
      </w:r>
      <w:r w:rsidR="005A5277">
        <w:rPr>
          <w:rFonts w:eastAsia="Yu Gothic Light"/>
          <w:lang w:val="en-AU"/>
        </w:rPr>
        <w:t>RCP</w:t>
      </w:r>
      <w:r w:rsidR="00B542E5">
        <w:rPr>
          <w:rFonts w:eastAsia="Yu Gothic Light"/>
        </w:rPr>
        <w:t xml:space="preserve"> episode</w:t>
      </w:r>
      <w:r w:rsidRPr="00544EA2">
        <w:rPr>
          <w:rFonts w:eastAsia="Yu Gothic Light"/>
        </w:rPr>
        <w:t>. </w:t>
      </w:r>
      <w:r w:rsidRPr="00544EA2">
        <w:rPr>
          <w:rFonts w:eastAsia="Yu Gothic Light"/>
          <w:lang w:val="en-AU"/>
        </w:rPr>
        <w:t> </w:t>
      </w:r>
    </w:p>
    <w:p w14:paraId="01BFCF33" w14:textId="025C4E66" w:rsidR="003B0176" w:rsidRPr="00544EA2" w:rsidRDefault="003B0176" w:rsidP="00622CFF">
      <w:pPr>
        <w:spacing w:before="240" w:after="240" w:line="240" w:lineRule="auto"/>
        <w:rPr>
          <w:rFonts w:eastAsia="Yu Gothic Light"/>
          <w:b/>
          <w:bCs/>
          <w:color w:val="1E1444"/>
          <w:lang w:val="en-AU"/>
        </w:rPr>
      </w:pPr>
      <w:r w:rsidRPr="00544EA2">
        <w:rPr>
          <w:rFonts w:eastAsia="Yu Gothic Light"/>
          <w:b/>
          <w:bCs/>
          <w:color w:val="1E1444"/>
        </w:rPr>
        <w:t>Manual oversight of</w:t>
      </w:r>
      <w:r w:rsidR="00B779F0">
        <w:rPr>
          <w:rFonts w:eastAsia="Yu Gothic Light"/>
          <w:b/>
          <w:bCs/>
          <w:color w:val="1E1444"/>
        </w:rPr>
        <w:t xml:space="preserve"> restorative care</w:t>
      </w:r>
      <w:r w:rsidRPr="00544EA2">
        <w:rPr>
          <w:rFonts w:eastAsia="Yu Gothic Light"/>
          <w:b/>
          <w:bCs/>
          <w:color w:val="1E1444"/>
        </w:rPr>
        <w:t xml:space="preserve"> places</w:t>
      </w:r>
      <w:r w:rsidRPr="00544EA2">
        <w:rPr>
          <w:rFonts w:eastAsia="Yu Gothic Light"/>
          <w:b/>
          <w:bCs/>
          <w:color w:val="1E1444"/>
          <w:lang w:val="en-AU"/>
        </w:rPr>
        <w:t> </w:t>
      </w:r>
    </w:p>
    <w:p w14:paraId="367C88FB" w14:textId="702265C2" w:rsidR="003B0176" w:rsidRPr="00544EA2" w:rsidRDefault="00491CC5" w:rsidP="00622CFF">
      <w:pPr>
        <w:spacing w:before="240" w:after="240" w:line="240" w:lineRule="auto"/>
        <w:rPr>
          <w:rFonts w:eastAsia="Yu Gothic Light"/>
          <w:lang w:val="en-AU"/>
        </w:rPr>
      </w:pPr>
      <w:r>
        <w:rPr>
          <w:rFonts w:eastAsia="Yu Gothic Light"/>
          <w:lang w:val="en-AU"/>
        </w:rPr>
        <w:t xml:space="preserve">RCP </w:t>
      </w:r>
      <w:r w:rsidR="003B0176" w:rsidRPr="00544EA2">
        <w:rPr>
          <w:rFonts w:eastAsia="Yu Gothic Light"/>
        </w:rPr>
        <w:t xml:space="preserve">places are capped at 20,000 units per </w:t>
      </w:r>
      <w:r w:rsidR="00BD5C44">
        <w:rPr>
          <w:rFonts w:eastAsia="Yu Gothic Light"/>
        </w:rPr>
        <w:t>year</w:t>
      </w:r>
      <w:r w:rsidR="003B0176" w:rsidRPr="00544EA2">
        <w:rPr>
          <w:rFonts w:eastAsia="Yu Gothic Light"/>
        </w:rPr>
        <w:t xml:space="preserve">, managed as around 5,000 units per quarter. From 1 November 2025, system-based visibility of Restorative Care units will not be available. As a result, there will be no in-system prompts or controls to prevent the approval of </w:t>
      </w:r>
      <w:r w:rsidR="00E340F7">
        <w:rPr>
          <w:rFonts w:eastAsia="Yu Gothic Light"/>
          <w:lang w:val="en-AU"/>
        </w:rPr>
        <w:t xml:space="preserve">RCP </w:t>
      </w:r>
      <w:r w:rsidR="003B0176" w:rsidRPr="00544EA2">
        <w:rPr>
          <w:rFonts w:eastAsia="Yu Gothic Light"/>
        </w:rPr>
        <w:t xml:space="preserve">funding units beyond the quarterly caps. Twice-weekly reports of approvals made will be generated, allowing the Department to monitor </w:t>
      </w:r>
      <w:r>
        <w:rPr>
          <w:rFonts w:eastAsia="Yu Gothic Light"/>
          <w:lang w:val="en-AU"/>
        </w:rPr>
        <w:t xml:space="preserve">RCP </w:t>
      </w:r>
      <w:r w:rsidR="003B0176" w:rsidRPr="00544EA2">
        <w:rPr>
          <w:rFonts w:eastAsia="Yu Gothic Light"/>
        </w:rPr>
        <w:t>approvals and communicate with assessment organisations when approvals approach or exceed the assigned caps. </w:t>
      </w:r>
      <w:r w:rsidR="003B0176" w:rsidRPr="00544EA2">
        <w:rPr>
          <w:rFonts w:eastAsia="Yu Gothic Light"/>
          <w:lang w:val="en-AU"/>
        </w:rPr>
        <w:t> </w:t>
      </w:r>
    </w:p>
    <w:p w14:paraId="629FDA87" w14:textId="7E0A9171" w:rsidR="003B0176" w:rsidRPr="00544EA2" w:rsidRDefault="003B0176" w:rsidP="00622CFF">
      <w:pPr>
        <w:spacing w:before="240" w:after="240" w:line="240" w:lineRule="auto"/>
        <w:rPr>
          <w:rFonts w:eastAsia="Yu Gothic Light"/>
          <w:lang w:val="en-AU"/>
        </w:rPr>
      </w:pPr>
      <w:r w:rsidRPr="00544EA2">
        <w:rPr>
          <w:rFonts w:eastAsia="Yu Gothic Light"/>
        </w:rPr>
        <w:t xml:space="preserve">In addition to </w:t>
      </w:r>
      <w:r w:rsidR="00491CC5">
        <w:rPr>
          <w:rFonts w:eastAsia="Yu Gothic Light"/>
          <w:lang w:val="en-AU"/>
        </w:rPr>
        <w:t>RCP</w:t>
      </w:r>
      <w:r>
        <w:rPr>
          <w:rFonts w:eastAsia="Yu Gothic Light"/>
          <w:lang w:val="en-AU"/>
        </w:rPr>
        <w:t xml:space="preserve"> </w:t>
      </w:r>
      <w:r w:rsidRPr="00544EA2">
        <w:rPr>
          <w:rFonts w:eastAsia="Yu Gothic Light"/>
        </w:rPr>
        <w:t>approvals confirmed after 1 November 2025, those with an active S</w:t>
      </w:r>
      <w:r w:rsidR="0084326A">
        <w:rPr>
          <w:rFonts w:eastAsia="Yu Gothic Light"/>
        </w:rPr>
        <w:t>hort-</w:t>
      </w:r>
      <w:r w:rsidRPr="00544EA2">
        <w:rPr>
          <w:rFonts w:eastAsia="Yu Gothic Light"/>
        </w:rPr>
        <w:t>T</w:t>
      </w:r>
      <w:r w:rsidR="0084326A">
        <w:rPr>
          <w:rFonts w:eastAsia="Yu Gothic Light"/>
        </w:rPr>
        <w:t xml:space="preserve">erm </w:t>
      </w:r>
      <w:r w:rsidRPr="00544EA2">
        <w:rPr>
          <w:rFonts w:eastAsia="Yu Gothic Light"/>
        </w:rPr>
        <w:t>R</w:t>
      </w:r>
      <w:r w:rsidR="0084326A">
        <w:rPr>
          <w:rFonts w:eastAsia="Yu Gothic Light"/>
        </w:rPr>
        <w:t xml:space="preserve">estorative </w:t>
      </w:r>
      <w:r w:rsidRPr="00544EA2">
        <w:rPr>
          <w:rFonts w:eastAsia="Yu Gothic Light"/>
        </w:rPr>
        <w:t>C</w:t>
      </w:r>
      <w:r w:rsidR="0084326A">
        <w:rPr>
          <w:rFonts w:eastAsia="Yu Gothic Light"/>
        </w:rPr>
        <w:t>are (</w:t>
      </w:r>
      <w:r w:rsidRPr="00544EA2">
        <w:rPr>
          <w:rFonts w:eastAsia="Yu Gothic Light"/>
        </w:rPr>
        <w:t>STRC</w:t>
      </w:r>
      <w:r w:rsidR="0084326A">
        <w:rPr>
          <w:rFonts w:eastAsia="Yu Gothic Light"/>
        </w:rPr>
        <w:t>)</w:t>
      </w:r>
      <w:r w:rsidRPr="00544EA2">
        <w:rPr>
          <w:rFonts w:eastAsia="Yu Gothic Light"/>
        </w:rPr>
        <w:t xml:space="preserve"> approval (who did not start STRC before 1 November 2025), will have their approvals transferred into an approval for </w:t>
      </w:r>
      <w:r w:rsidR="00067F42">
        <w:rPr>
          <w:rFonts w:eastAsia="Yu Gothic Light"/>
          <w:lang w:val="en-AU"/>
        </w:rPr>
        <w:t>RCP</w:t>
      </w:r>
      <w:r w:rsidRPr="00544EA2">
        <w:rPr>
          <w:rFonts w:eastAsia="Yu Gothic Light"/>
        </w:rPr>
        <w:t>. </w:t>
      </w:r>
      <w:r w:rsidRPr="00544EA2">
        <w:rPr>
          <w:rFonts w:eastAsia="Yu Gothic Light"/>
          <w:lang w:val="en-AU"/>
        </w:rPr>
        <w:t> </w:t>
      </w:r>
    </w:p>
    <w:p w14:paraId="298F599E" w14:textId="767A9176" w:rsidR="003B0176" w:rsidRPr="00544EA2" w:rsidRDefault="003B0176" w:rsidP="00DC6357">
      <w:pPr>
        <w:rPr>
          <w:lang w:val="en-AU"/>
        </w:rPr>
      </w:pPr>
      <w:r w:rsidRPr="00544EA2">
        <w:t xml:space="preserve">Note for this cohort using their STRC approval to access the </w:t>
      </w:r>
      <w:r w:rsidR="00BC0808">
        <w:rPr>
          <w:lang w:val="en-AU"/>
        </w:rPr>
        <w:t>RCP</w:t>
      </w:r>
      <w:r w:rsidRPr="00544EA2">
        <w:t>:</w:t>
      </w:r>
      <w:r w:rsidRPr="00544EA2">
        <w:rPr>
          <w:lang w:val="en-AU"/>
        </w:rPr>
        <w:t> </w:t>
      </w:r>
    </w:p>
    <w:p w14:paraId="7B6DBD70" w14:textId="335B889A" w:rsidR="003B0176" w:rsidRPr="00544EA2" w:rsidRDefault="002D72C7" w:rsidP="00DC6357">
      <w:pPr>
        <w:rPr>
          <w:lang w:val="en-AU"/>
        </w:rPr>
      </w:pPr>
      <w:r>
        <w:t>they</w:t>
      </w:r>
      <w:r w:rsidR="003B0176" w:rsidRPr="00544EA2">
        <w:t xml:space="preserve"> will also be accessing the </w:t>
      </w:r>
      <w:r w:rsidR="00BC0808">
        <w:rPr>
          <w:lang w:val="en-AU"/>
        </w:rPr>
        <w:t xml:space="preserve">RCP </w:t>
      </w:r>
      <w:r w:rsidR="003B0176" w:rsidRPr="00544EA2">
        <w:t>units of funding for the first six months from 1 November 2025.</w:t>
      </w:r>
      <w:r w:rsidR="003B0176" w:rsidRPr="00544EA2">
        <w:rPr>
          <w:lang w:val="en-AU"/>
        </w:rPr>
        <w:t>  </w:t>
      </w:r>
    </w:p>
    <w:p w14:paraId="522680C8" w14:textId="608CD035" w:rsidR="003B0176" w:rsidRPr="00544EA2" w:rsidRDefault="003B0176" w:rsidP="00D90607">
      <w:pPr>
        <w:rPr>
          <w:rFonts w:eastAsia="Yu Gothic Light"/>
          <w:lang w:val="en-AU"/>
        </w:rPr>
      </w:pPr>
      <w:r w:rsidRPr="00544EA2">
        <w:rPr>
          <w:lang w:val="en-AU"/>
        </w:rPr>
        <w:t xml:space="preserve">A second unit of funding to use within a single </w:t>
      </w:r>
      <w:r w:rsidR="00BC0808">
        <w:rPr>
          <w:lang w:val="en-AU"/>
        </w:rPr>
        <w:t xml:space="preserve">RCP </w:t>
      </w:r>
      <w:r w:rsidRPr="00544EA2">
        <w:rPr>
          <w:lang w:val="en-AU"/>
        </w:rPr>
        <w:t xml:space="preserve">episode can be requested via a </w:t>
      </w:r>
      <w:r w:rsidR="1932BB07" w:rsidRPr="1EE48264">
        <w:rPr>
          <w:lang w:val="en-AU"/>
        </w:rPr>
        <w:t>s</w:t>
      </w:r>
      <w:r w:rsidRPr="1EE48264">
        <w:rPr>
          <w:lang w:val="en-AU"/>
        </w:rPr>
        <w:t xml:space="preserve">upport </w:t>
      </w:r>
      <w:r w:rsidR="038A04B8" w:rsidRPr="1EE48264">
        <w:rPr>
          <w:lang w:val="en-AU"/>
        </w:rPr>
        <w:t>p</w:t>
      </w:r>
      <w:r w:rsidRPr="1EE48264">
        <w:rPr>
          <w:lang w:val="en-AU"/>
        </w:rPr>
        <w:t xml:space="preserve">lan </w:t>
      </w:r>
      <w:r w:rsidR="70ECAA0F" w:rsidRPr="1EE48264">
        <w:rPr>
          <w:lang w:val="en-AU"/>
        </w:rPr>
        <w:t>r</w:t>
      </w:r>
      <w:r w:rsidRPr="00544EA2">
        <w:rPr>
          <w:lang w:val="en-AU"/>
        </w:rPr>
        <w:t xml:space="preserve">eview </w:t>
      </w:r>
      <w:r w:rsidR="00230F92">
        <w:rPr>
          <w:lang w:val="en-AU"/>
        </w:rPr>
        <w:t>(SPR)</w:t>
      </w:r>
      <w:r w:rsidRPr="00544EA2">
        <w:rPr>
          <w:lang w:val="en-AU"/>
        </w:rPr>
        <w:t xml:space="preserve"> request</w:t>
      </w:r>
      <w:r w:rsidR="000A3777">
        <w:rPr>
          <w:lang w:val="en-AU"/>
        </w:rPr>
        <w:t xml:space="preserve"> noting the assessor will need to </w:t>
      </w:r>
      <w:r w:rsidRPr="00544EA2">
        <w:rPr>
          <w:rFonts w:eastAsia="Yu Gothic Light"/>
          <w:lang w:val="en-AU"/>
        </w:rPr>
        <w:t>self-refer this for reassessment to grant access to a second unit of funding</w:t>
      </w:r>
      <w:r w:rsidR="000A3777">
        <w:rPr>
          <w:rFonts w:eastAsia="Yu Gothic Light"/>
          <w:lang w:val="en-AU"/>
        </w:rPr>
        <w:t xml:space="preserve"> (see Chapter </w:t>
      </w:r>
      <w:r w:rsidR="005535D5">
        <w:rPr>
          <w:rFonts w:eastAsia="Yu Gothic Light"/>
          <w:lang w:val="en-AU"/>
        </w:rPr>
        <w:fldChar w:fldCharType="begin"/>
      </w:r>
      <w:r w:rsidR="005535D5">
        <w:rPr>
          <w:rFonts w:eastAsia="Yu Gothic Light"/>
          <w:lang w:val="en-AU"/>
        </w:rPr>
        <w:instrText xml:space="preserve"> REF _Ref212736230 \w \h </w:instrText>
      </w:r>
      <w:r w:rsidR="005535D5">
        <w:rPr>
          <w:rFonts w:eastAsia="Yu Gothic Light"/>
          <w:lang w:val="en-AU"/>
        </w:rPr>
      </w:r>
      <w:r w:rsidR="005535D5">
        <w:rPr>
          <w:rFonts w:eastAsia="Yu Gothic Light"/>
          <w:lang w:val="en-AU"/>
        </w:rPr>
        <w:fldChar w:fldCharType="separate"/>
      </w:r>
      <w:r w:rsidR="00F97942">
        <w:rPr>
          <w:rFonts w:eastAsia="Yu Gothic Light"/>
          <w:lang w:val="en-AU"/>
        </w:rPr>
        <w:t>6</w:t>
      </w:r>
      <w:r w:rsidR="005535D5">
        <w:rPr>
          <w:rFonts w:eastAsia="Yu Gothic Light"/>
          <w:lang w:val="en-AU"/>
        </w:rPr>
        <w:fldChar w:fldCharType="end"/>
      </w:r>
      <w:r w:rsidR="000A3777">
        <w:rPr>
          <w:rFonts w:eastAsia="Yu Gothic Light"/>
          <w:lang w:val="en-AU"/>
        </w:rPr>
        <w:t>)</w:t>
      </w:r>
      <w:r w:rsidR="003D642B" w:rsidRPr="00544EA2">
        <w:rPr>
          <w:rFonts w:eastAsia="Yu Gothic Light"/>
          <w:lang w:val="en-AU"/>
        </w:rPr>
        <w:t xml:space="preserve">. </w:t>
      </w:r>
    </w:p>
    <w:p w14:paraId="70807216" w14:textId="3D7AB569" w:rsidR="003B0176" w:rsidRPr="00544EA2" w:rsidRDefault="003B0176" w:rsidP="00622CFF">
      <w:pPr>
        <w:spacing w:before="240" w:after="240" w:line="240" w:lineRule="auto"/>
        <w:rPr>
          <w:rFonts w:eastAsia="Yu Gothic Light"/>
          <w:lang w:val="en-AU"/>
        </w:rPr>
      </w:pPr>
      <w:r w:rsidRPr="000F1527">
        <w:rPr>
          <w:rFonts w:eastAsia="Yu Gothic Light"/>
          <w:lang w:val="en-AU"/>
        </w:rPr>
        <w:t>The decision to approve a second unit will be informed by</w:t>
      </w:r>
      <w:r w:rsidR="2BD7BD59" w:rsidRPr="5A3153C0">
        <w:rPr>
          <w:rFonts w:eastAsia="Yu Gothic Light"/>
          <w:lang w:val="en-AU"/>
        </w:rPr>
        <w:t xml:space="preserve"> evidence submitted by the provider with the SPR request. Availability of the </w:t>
      </w:r>
      <w:r w:rsidR="00A50DF2">
        <w:rPr>
          <w:rFonts w:eastAsia="Yu Gothic Light"/>
          <w:lang w:val="en-AU"/>
        </w:rPr>
        <w:t xml:space="preserve">RCP </w:t>
      </w:r>
      <w:r w:rsidR="2BD7BD59" w:rsidRPr="5A3153C0">
        <w:rPr>
          <w:rFonts w:eastAsia="Yu Gothic Light"/>
          <w:lang w:val="en-AU"/>
        </w:rPr>
        <w:t>funding units may also be considered.</w:t>
      </w:r>
      <w:r w:rsidR="38E809F3" w:rsidRPr="5A3153C0">
        <w:rPr>
          <w:rFonts w:eastAsia="Yu Gothic Light"/>
          <w:lang w:val="en-AU"/>
        </w:rPr>
        <w:t> </w:t>
      </w:r>
      <w:r w:rsidRPr="00544EA2">
        <w:rPr>
          <w:rFonts w:eastAsia="Yu Gothic Light"/>
        </w:rPr>
        <w:t xml:space="preserve">When a request for a second unit of </w:t>
      </w:r>
      <w:r w:rsidR="00A50DF2">
        <w:rPr>
          <w:rFonts w:eastAsia="Yu Gothic Light"/>
          <w:lang w:val="en-AU"/>
        </w:rPr>
        <w:t xml:space="preserve">RCP </w:t>
      </w:r>
      <w:r w:rsidR="00C736C6">
        <w:rPr>
          <w:rFonts w:eastAsia="Yu Gothic Light"/>
          <w:lang w:val="en-AU"/>
        </w:rPr>
        <w:t xml:space="preserve">is </w:t>
      </w:r>
      <w:r w:rsidRPr="00544EA2">
        <w:rPr>
          <w:rFonts w:eastAsia="Yu Gothic Light"/>
        </w:rPr>
        <w:t xml:space="preserve">received assessors should confirm if there is approval for STRC and </w:t>
      </w:r>
      <w:r w:rsidR="00A50DF2">
        <w:rPr>
          <w:rFonts w:eastAsia="Yu Gothic Light"/>
          <w:lang w:val="en-AU"/>
        </w:rPr>
        <w:t xml:space="preserve">RCP </w:t>
      </w:r>
      <w:r w:rsidRPr="00544EA2">
        <w:rPr>
          <w:rFonts w:eastAsia="Yu Gothic Light"/>
        </w:rPr>
        <w:t>on the client’s record. If there is approval for both, the assessor will need to confirm with the client if the</w:t>
      </w:r>
      <w:r w:rsidR="007B09F4">
        <w:rPr>
          <w:rFonts w:eastAsia="Yu Gothic Light"/>
        </w:rPr>
        <w:t>y</w:t>
      </w:r>
      <w:r w:rsidRPr="00544EA2">
        <w:rPr>
          <w:rFonts w:eastAsia="Yu Gothic Light"/>
        </w:rPr>
        <w:t xml:space="preserve"> entered care under the </w:t>
      </w:r>
      <w:r w:rsidR="003C5031">
        <w:rPr>
          <w:rFonts w:eastAsia="Yu Gothic Light"/>
          <w:lang w:val="en-AU"/>
        </w:rPr>
        <w:t xml:space="preserve">RCP </w:t>
      </w:r>
      <w:r w:rsidRPr="00544EA2">
        <w:rPr>
          <w:rFonts w:eastAsia="Yu Gothic Light"/>
        </w:rPr>
        <w:t xml:space="preserve">after 1 November 2025 using the STRC approval. If this is the case, then the assessor must not approve a third unit of </w:t>
      </w:r>
      <w:r w:rsidR="003C5031">
        <w:rPr>
          <w:rFonts w:eastAsia="Yu Gothic Light"/>
          <w:lang w:val="en-AU"/>
        </w:rPr>
        <w:t xml:space="preserve">RCP </w:t>
      </w:r>
      <w:r w:rsidRPr="00544EA2">
        <w:rPr>
          <w:rFonts w:eastAsia="Yu Gothic Light"/>
        </w:rPr>
        <w:t>funding.</w:t>
      </w:r>
      <w:r w:rsidRPr="00544EA2">
        <w:rPr>
          <w:rFonts w:eastAsia="Yu Gothic Light"/>
          <w:lang w:val="en-AU"/>
        </w:rPr>
        <w:t> </w:t>
      </w:r>
    </w:p>
    <w:p w14:paraId="0AA5B4ED" w14:textId="326ABCF8"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If the participant is eligible to access an additional restorative care </w:t>
      </w:r>
      <w:r w:rsidR="00DB6DC9">
        <w:rPr>
          <w:rFonts w:eastAsia="Yu Gothic Light"/>
          <w:lang w:val="en-AU"/>
        </w:rPr>
        <w:t>pathway</w:t>
      </w:r>
      <w:r w:rsidRPr="00544EA2">
        <w:rPr>
          <w:rFonts w:eastAsia="Yu Gothic Light"/>
          <w:lang w:val="en-AU"/>
        </w:rPr>
        <w:t xml:space="preserve"> they must wait at least 12 months before accessing another episode. </w:t>
      </w:r>
    </w:p>
    <w:p w14:paraId="5658B438" w14:textId="4EAEBD6E" w:rsidR="004A7D8F" w:rsidRPr="00E64AC3" w:rsidRDefault="00F871C5" w:rsidP="00B52F8F">
      <w:pPr>
        <w:spacing w:before="240" w:after="240" w:line="240" w:lineRule="auto"/>
      </w:pPr>
      <w:r>
        <w:t>Assessment</w:t>
      </w:r>
      <w:r w:rsidR="00B52F8F" w:rsidDel="005B3CCC">
        <w:t xml:space="preserve"> </w:t>
      </w:r>
      <w:r w:rsidR="005B3CCC">
        <w:t xml:space="preserve">delegates </w:t>
      </w:r>
      <w:r w:rsidR="00B52F8F">
        <w:t xml:space="preserve">will need to remain acutely aware of any communication from the department regarding RCP caps to ensure </w:t>
      </w:r>
      <w:r w:rsidR="00887900">
        <w:t>they</w:t>
      </w:r>
      <w:r w:rsidR="00B52F8F">
        <w:t xml:space="preserve"> are making informed decisions. These communications will be the </w:t>
      </w:r>
      <w:r w:rsidR="00B52F8F" w:rsidRPr="4884AEE8">
        <w:rPr>
          <w:b/>
          <w:bCs/>
        </w:rPr>
        <w:t>primary tool</w:t>
      </w:r>
      <w:r w:rsidR="00B52F8F">
        <w:t> for identifying when RCP units are nearing exhaustion. Being responsive to these insights is essential for maintaining compliance with pathway limits and avoiding over-allocation.</w:t>
      </w:r>
    </w:p>
    <w:p w14:paraId="310596A0" w14:textId="6C10FFD5" w:rsidR="003B0176" w:rsidRPr="00544EA2" w:rsidRDefault="003B0176" w:rsidP="00622CFF">
      <w:pPr>
        <w:spacing w:before="240" w:after="240" w:line="240" w:lineRule="auto"/>
        <w:rPr>
          <w:rFonts w:eastAsia="Yu Gothic Light"/>
          <w:b/>
          <w:bCs/>
          <w:color w:val="1E1444"/>
        </w:rPr>
      </w:pPr>
      <w:r w:rsidRPr="00544EA2">
        <w:rPr>
          <w:rFonts w:eastAsia="Yu Gothic Light"/>
          <w:b/>
          <w:bCs/>
          <w:color w:val="1E1444"/>
        </w:rPr>
        <w:t xml:space="preserve">Restorative </w:t>
      </w:r>
      <w:r w:rsidR="008D4F3D">
        <w:rPr>
          <w:rFonts w:eastAsia="Yu Gothic Light"/>
          <w:b/>
          <w:bCs/>
          <w:color w:val="1E1444"/>
        </w:rPr>
        <w:t>c</w:t>
      </w:r>
      <w:r w:rsidRPr="00544EA2">
        <w:rPr>
          <w:rFonts w:eastAsia="Yu Gothic Light"/>
          <w:b/>
          <w:bCs/>
          <w:color w:val="1E1444"/>
        </w:rPr>
        <w:t xml:space="preserve">are </w:t>
      </w:r>
      <w:r w:rsidR="008D4F3D">
        <w:rPr>
          <w:rFonts w:eastAsia="Yu Gothic Light"/>
          <w:b/>
          <w:bCs/>
          <w:color w:val="1E1444"/>
        </w:rPr>
        <w:t>f</w:t>
      </w:r>
      <w:r w:rsidRPr="00544EA2">
        <w:rPr>
          <w:rFonts w:eastAsia="Yu Gothic Light"/>
          <w:b/>
          <w:bCs/>
          <w:color w:val="1E1444"/>
        </w:rPr>
        <w:t>unding</w:t>
      </w:r>
    </w:p>
    <w:p w14:paraId="3E703651" w14:textId="6444D00A" w:rsidR="003B0176" w:rsidRPr="00544EA2" w:rsidRDefault="003B0176" w:rsidP="00622CFF">
      <w:pPr>
        <w:spacing w:before="240" w:after="240" w:line="240" w:lineRule="auto"/>
        <w:rPr>
          <w:rFonts w:eastAsia="Yu Gothic Light"/>
        </w:rPr>
      </w:pPr>
      <w:r w:rsidRPr="00544EA2">
        <w:rPr>
          <w:rFonts w:eastAsia="Yu Gothic Light"/>
        </w:rPr>
        <w:t xml:space="preserve">The Restorative Care Pathway </w:t>
      </w:r>
      <w:r w:rsidR="00BC3854">
        <w:rPr>
          <w:rFonts w:eastAsia="Yu Gothic Light"/>
        </w:rPr>
        <w:t>(</w:t>
      </w:r>
      <w:r w:rsidR="00BC3854">
        <w:rPr>
          <w:rFonts w:eastAsia="Yu Gothic Light"/>
          <w:lang w:val="en-AU"/>
        </w:rPr>
        <w:t>RCP)</w:t>
      </w:r>
      <w:r w:rsidRPr="00544EA2">
        <w:rPr>
          <w:rFonts w:eastAsia="Yu Gothic Light"/>
        </w:rPr>
        <w:t xml:space="preserve"> provides around $6,000 of funding (one unit), for up to 16 weeks. The total amount of funding a participant uses and length of time to complete an episode can differ. Restorative care partners will consider this when developing the goal plan.</w:t>
      </w:r>
    </w:p>
    <w:p w14:paraId="71E0921F" w14:textId="728579E7" w:rsidR="003B0176" w:rsidRPr="00544EA2" w:rsidRDefault="003B0176" w:rsidP="00622CFF">
      <w:pPr>
        <w:spacing w:before="240" w:after="240" w:line="240" w:lineRule="auto"/>
        <w:rPr>
          <w:rFonts w:eastAsia="Yu Gothic Light"/>
        </w:rPr>
      </w:pPr>
      <w:r w:rsidRPr="00544EA2">
        <w:rPr>
          <w:rFonts w:eastAsia="Yu Gothic Light"/>
        </w:rPr>
        <w:t xml:space="preserve">At times, participants with higher needs may require additional funding over and above the $6,000 allocated per episode. If the participant requires additional funding within a single 16-week episode, the provider can submit a request for a </w:t>
      </w:r>
      <w:r w:rsidR="7245138B" w:rsidRPr="1EE48264">
        <w:rPr>
          <w:rFonts w:eastAsia="Yu Gothic Light"/>
        </w:rPr>
        <w:t>s</w:t>
      </w:r>
      <w:r w:rsidRPr="1EE48264">
        <w:rPr>
          <w:rFonts w:eastAsia="Yu Gothic Light"/>
        </w:rPr>
        <w:t xml:space="preserve">upport </w:t>
      </w:r>
      <w:r w:rsidR="37DF5E5B" w:rsidRPr="1EE48264">
        <w:rPr>
          <w:rFonts w:eastAsia="Yu Gothic Light"/>
        </w:rPr>
        <w:t>p</w:t>
      </w:r>
      <w:r w:rsidRPr="1EE48264">
        <w:rPr>
          <w:rFonts w:eastAsia="Yu Gothic Light"/>
        </w:rPr>
        <w:t xml:space="preserve">lan </w:t>
      </w:r>
      <w:r w:rsidR="645105CB" w:rsidRPr="1EE48264">
        <w:rPr>
          <w:rFonts w:eastAsia="Yu Gothic Light"/>
        </w:rPr>
        <w:t>r</w:t>
      </w:r>
      <w:r w:rsidRPr="1EE48264">
        <w:rPr>
          <w:rFonts w:eastAsia="Yu Gothic Light"/>
        </w:rPr>
        <w:t>eview.</w:t>
      </w:r>
      <w:r w:rsidRPr="00544EA2">
        <w:rPr>
          <w:rFonts w:eastAsia="Yu Gothic Light"/>
        </w:rPr>
        <w:t xml:space="preserve"> If certain circumstances are met, approval can be given for the additional $6,000 in funds to support the episode.</w:t>
      </w:r>
    </w:p>
    <w:p w14:paraId="4F52A127" w14:textId="77777777" w:rsidR="003B0176" w:rsidRPr="00544EA2" w:rsidRDefault="003B0176" w:rsidP="00622CFF">
      <w:pPr>
        <w:spacing w:before="240" w:after="240" w:line="240" w:lineRule="auto"/>
        <w:rPr>
          <w:rFonts w:eastAsia="Yu Gothic Light"/>
        </w:rPr>
      </w:pPr>
      <w:r w:rsidRPr="00544EA2">
        <w:rPr>
          <w:rFonts w:eastAsia="Yu Gothic Light"/>
        </w:rPr>
        <w:t>If approved, a participant can access an additional unit of funding (up to $6,000), to provide a combined total of up to $12,000 (two units), for a single episode of restorative care. If additional funding is approved, a participant will not be eligible for a further episode of restorative care within a 12-month period as they have accessed the maximum 2 units of funding within the first episode.</w:t>
      </w:r>
    </w:p>
    <w:p w14:paraId="2FFD329B" w14:textId="77777777" w:rsidR="003B0176" w:rsidRPr="00544EA2" w:rsidRDefault="003B0176" w:rsidP="00622CFF">
      <w:pPr>
        <w:spacing w:before="240" w:after="240" w:line="240" w:lineRule="auto"/>
        <w:rPr>
          <w:rFonts w:eastAsia="Yu Gothic Light"/>
          <w:b/>
        </w:rPr>
      </w:pPr>
      <w:r w:rsidRPr="00544EA2">
        <w:rPr>
          <w:rFonts w:eastAsia="Yu Gothic Light"/>
          <w:b/>
        </w:rPr>
        <w:t xml:space="preserve">Important: </w:t>
      </w:r>
    </w:p>
    <w:p w14:paraId="1F8B2B31" w14:textId="63EE2C1F" w:rsidR="003B0176" w:rsidRPr="00544EA2" w:rsidRDefault="003B0176" w:rsidP="00DF3F6B">
      <w:pPr>
        <w:numPr>
          <w:ilvl w:val="0"/>
          <w:numId w:val="168"/>
        </w:numPr>
        <w:spacing w:before="240" w:after="240" w:line="240" w:lineRule="auto"/>
        <w:contextualSpacing/>
        <w:rPr>
          <w:rFonts w:eastAsia="Yu Gothic Light"/>
        </w:rPr>
      </w:pPr>
      <w:r w:rsidRPr="00544EA2">
        <w:rPr>
          <w:rFonts w:eastAsia="Yu Gothic Light"/>
        </w:rPr>
        <w:t xml:space="preserve">The decision to approve additional concurrent funding to the </w:t>
      </w:r>
      <w:r w:rsidR="00BC3854">
        <w:rPr>
          <w:rFonts w:eastAsia="Yu Gothic Light"/>
          <w:lang w:val="en-AU"/>
        </w:rPr>
        <w:t xml:space="preserve">RCP </w:t>
      </w:r>
      <w:r w:rsidRPr="00544EA2">
        <w:rPr>
          <w:rFonts w:eastAsia="Yu Gothic Light"/>
        </w:rPr>
        <w:t xml:space="preserve">episode is made under subsection 195-3 of the </w:t>
      </w:r>
      <w:r w:rsidR="00BC3854" w:rsidRPr="002A2241">
        <w:rPr>
          <w:rFonts w:eastAsia="Yu Gothic Light"/>
          <w:i/>
          <w:iCs/>
        </w:rPr>
        <w:t xml:space="preserve">Aged Care </w:t>
      </w:r>
      <w:r w:rsidRPr="002A2241">
        <w:rPr>
          <w:rFonts w:eastAsia="Yu Gothic Light"/>
          <w:i/>
          <w:iCs/>
        </w:rPr>
        <w:t>Rules</w:t>
      </w:r>
      <w:r w:rsidR="00BC3854" w:rsidRPr="002A2241">
        <w:rPr>
          <w:rFonts w:eastAsia="Yu Gothic Light"/>
          <w:i/>
          <w:iCs/>
        </w:rPr>
        <w:t xml:space="preserve"> 2025</w:t>
      </w:r>
      <w:r w:rsidR="00BC3854">
        <w:rPr>
          <w:rFonts w:eastAsia="Yu Gothic Light"/>
          <w:i/>
          <w:iCs/>
        </w:rPr>
        <w:t xml:space="preserve"> (the Rules)</w:t>
      </w:r>
      <w:r w:rsidRPr="00544EA2">
        <w:rPr>
          <w:rFonts w:eastAsia="Yu Gothic Light"/>
        </w:rPr>
        <w:t xml:space="preserve">. It is a non-reviewable decision. The criteria in the Rules includes that required evidence must be given by the participant’s provider and there must be units of funding available for approval. </w:t>
      </w:r>
    </w:p>
    <w:p w14:paraId="3904CA32" w14:textId="304B68F2" w:rsidR="003B0176" w:rsidRPr="00544EA2" w:rsidRDefault="003B0176" w:rsidP="00DF3F6B">
      <w:pPr>
        <w:numPr>
          <w:ilvl w:val="0"/>
          <w:numId w:val="168"/>
        </w:numPr>
        <w:spacing w:before="240" w:after="240" w:line="240" w:lineRule="auto"/>
        <w:contextualSpacing/>
        <w:rPr>
          <w:rFonts w:eastAsia="Yu Gothic Light"/>
        </w:rPr>
      </w:pPr>
      <w:r w:rsidRPr="00544EA2">
        <w:rPr>
          <w:rFonts w:eastAsia="Yu Gothic Light"/>
        </w:rPr>
        <w:t>The assessment delegate must send a letter to the older person (and their registered supporter/s</w:t>
      </w:r>
      <w:r w:rsidR="00F23750">
        <w:rPr>
          <w:rFonts w:eastAsia="Yu Gothic Light"/>
        </w:rPr>
        <w:t xml:space="preserve"> and/or appointed decision maker/s</w:t>
      </w:r>
      <w:r w:rsidRPr="00544EA2">
        <w:rPr>
          <w:rFonts w:eastAsia="Yu Gothic Light"/>
        </w:rPr>
        <w:t xml:space="preserve">, if applicable) notifying them of the outcome of the application for the additional funding. </w:t>
      </w:r>
    </w:p>
    <w:p w14:paraId="07CDC060" w14:textId="77777777" w:rsidR="003B0176" w:rsidRPr="00544EA2" w:rsidRDefault="003B0176" w:rsidP="00CC6081">
      <w:pPr>
        <w:pStyle w:val="H4"/>
      </w:pPr>
      <w:r w:rsidRPr="00544EA2">
        <w:t>Approving the End-of-Life Pathway </w:t>
      </w:r>
    </w:p>
    <w:p w14:paraId="7B59DF0A" w14:textId="77777777"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The End-of-Life (EoL) Pathway is one of the short-term home support classifications under the Support at Home program. It </w:t>
      </w:r>
      <w:r w:rsidRPr="00C73A00">
        <w:rPr>
          <w:rFonts w:eastAsia="Yu Gothic Light"/>
          <w:lang w:val="en-AU"/>
        </w:rPr>
        <w:t>provides 12 weeks of funded support at around $25,000 for older people who are medically assessed to have three months or less to live</w:t>
      </w:r>
      <w:r w:rsidRPr="00544EA2">
        <w:rPr>
          <w:rFonts w:eastAsia="Yu Gothic Light"/>
          <w:b/>
          <w:lang w:val="en-AU"/>
        </w:rPr>
        <w:t xml:space="preserve"> </w:t>
      </w:r>
      <w:r w:rsidRPr="00544EA2">
        <w:rPr>
          <w:rFonts w:eastAsia="Yu Gothic Light"/>
          <w:lang w:val="en-AU"/>
        </w:rPr>
        <w:t>and have an Australian-modified Karnofsky Performance Status score of 40 or less</w:t>
      </w:r>
      <w:r w:rsidRPr="00544EA2" w:rsidDel="004C36AF">
        <w:rPr>
          <w:rFonts w:eastAsia="Yu Gothic Light"/>
          <w:lang w:val="en-AU"/>
        </w:rPr>
        <w:t>.</w:t>
      </w:r>
      <w:r w:rsidRPr="00544EA2">
        <w:rPr>
          <w:rFonts w:eastAsia="Yu Gothic Light"/>
          <w:lang w:val="en-AU"/>
        </w:rPr>
        <w:t xml:space="preserve"> The pathway is designed to enable people to remain at home with appropriate care during their final stage of life. </w:t>
      </w:r>
    </w:p>
    <w:p w14:paraId="41CE7D5E" w14:textId="3B69440A" w:rsidR="003B0176" w:rsidRPr="00544EA2" w:rsidRDefault="003B0176" w:rsidP="00622CFF">
      <w:pPr>
        <w:pStyle w:val="H5"/>
        <w:spacing w:before="240" w:after="240" w:line="240" w:lineRule="auto"/>
        <w:rPr>
          <w:b w:val="0"/>
          <w:bCs w:val="0"/>
        </w:rPr>
      </w:pPr>
      <w:r w:rsidRPr="00544EA2">
        <w:t>End-of-Life Pathway form </w:t>
      </w:r>
    </w:p>
    <w:p w14:paraId="29AC4702" w14:textId="77777777" w:rsidR="003B0176" w:rsidRPr="00544EA2" w:rsidRDefault="003B0176" w:rsidP="00622CFF">
      <w:pPr>
        <w:spacing w:before="240" w:after="240" w:line="240" w:lineRule="auto"/>
        <w:rPr>
          <w:rFonts w:eastAsia="Yu Gothic Light"/>
          <w:lang w:val="en-AU"/>
        </w:rPr>
      </w:pPr>
      <w:r w:rsidRPr="00544EA2">
        <w:rPr>
          <w:rFonts w:eastAsia="Yu Gothic Light"/>
          <w:lang w:val="en-AU"/>
        </w:rPr>
        <w:t>The </w:t>
      </w:r>
      <w:r w:rsidRPr="002A2241">
        <w:rPr>
          <w:rFonts w:eastAsia="Yu Gothic Light"/>
          <w:lang w:val="en-AU"/>
        </w:rPr>
        <w:t>End-of-Life Pathway form</w:t>
      </w:r>
      <w:r w:rsidRPr="00544EA2">
        <w:rPr>
          <w:rFonts w:eastAsia="Yu Gothic Light"/>
          <w:lang w:val="en-AU"/>
        </w:rPr>
        <w:t xml:space="preserve"> is used to document the required medical evidence for accessing the End-of-Life Pathway under the </w:t>
      </w:r>
      <w:r w:rsidRPr="002A2241">
        <w:rPr>
          <w:rFonts w:eastAsia="Yu Gothic Light"/>
          <w:lang w:val="en-AU"/>
        </w:rPr>
        <w:t>Support at Home program</w:t>
      </w:r>
      <w:r w:rsidRPr="00544EA2">
        <w:rPr>
          <w:rFonts w:eastAsia="Yu Gothic Light"/>
          <w:lang w:val="en-AU"/>
        </w:rPr>
        <w:t>. An individual seeking access to the End-of-Life Pathway must complete all relevant sections and present this form to a medical practitioner or nurse practitioner for completion. The completed form should then be submitted as part of the assessment process—either before or during triage, or assessment—and reviewed to confirm eligibility for the End-of-Life Pathway. </w:t>
      </w:r>
    </w:p>
    <w:p w14:paraId="512CD29F" w14:textId="2A449949" w:rsidR="003B0176" w:rsidRPr="00AA6C5B" w:rsidRDefault="00D36C4D" w:rsidP="00622CFF">
      <w:pPr>
        <w:spacing w:before="240" w:after="240" w:line="240" w:lineRule="auto"/>
        <w:rPr>
          <w:rFonts w:eastAsia="Yu Gothic Light"/>
          <w:lang w:val="en-AU"/>
        </w:rPr>
      </w:pPr>
      <w:r w:rsidRPr="00AA6C5B">
        <w:rPr>
          <w:rFonts w:eastAsia="Yu Gothic Light"/>
          <w:lang w:val="en-AU"/>
        </w:rPr>
        <w:t>The </w:t>
      </w:r>
      <w:r>
        <w:rPr>
          <w:rFonts w:eastAsia="Yu Gothic Light"/>
          <w:lang w:val="en-AU"/>
        </w:rPr>
        <w:t>a</w:t>
      </w:r>
      <w:r w:rsidRPr="00337759">
        <w:rPr>
          <w:rFonts w:eastAsia="Yu Gothic Light"/>
          <w:lang w:val="en-AU"/>
        </w:rPr>
        <w:t>ssessment</w:t>
      </w:r>
      <w:r w:rsidR="003B0176" w:rsidRPr="00544EA2" w:rsidDel="00D36C4D">
        <w:rPr>
          <w:rFonts w:eastAsia="Yu Gothic Light"/>
          <w:lang w:val="en-AU"/>
        </w:rPr>
        <w:t xml:space="preserve"> </w:t>
      </w:r>
      <w:r>
        <w:rPr>
          <w:rFonts w:eastAsia="Yu Gothic Light"/>
          <w:lang w:val="en-AU"/>
        </w:rPr>
        <w:t>d</w:t>
      </w:r>
      <w:r w:rsidRPr="00337759">
        <w:rPr>
          <w:rFonts w:eastAsia="Yu Gothic Light"/>
          <w:lang w:val="en-AU"/>
        </w:rPr>
        <w:t>elegate</w:t>
      </w:r>
      <w:r w:rsidR="003B0176" w:rsidRPr="00544EA2">
        <w:rPr>
          <w:rFonts w:eastAsia="Yu Gothic Light"/>
          <w:lang w:val="en-AU"/>
        </w:rPr>
        <w:t xml:space="preserve"> is responsible for verifying the completion of this form in the older person’s record when the End-of-Life Pathway has been flagged in </w:t>
      </w:r>
      <w:r w:rsidR="003B0176" w:rsidRPr="00AA6C5B">
        <w:rPr>
          <w:rFonts w:eastAsia="Yu Gothic Light"/>
          <w:lang w:val="en-AU"/>
        </w:rPr>
        <w:t>the </w:t>
      </w:r>
      <w:r w:rsidR="003B0176" w:rsidRPr="00337759">
        <w:rPr>
          <w:rFonts w:eastAsia="Yu Gothic Light"/>
          <w:lang w:val="en-AU"/>
        </w:rPr>
        <w:t xml:space="preserve">My Aged Care </w:t>
      </w:r>
      <w:r w:rsidR="0060352D" w:rsidRPr="00337759">
        <w:rPr>
          <w:rFonts w:eastAsia="Yu Gothic Light"/>
          <w:lang w:val="en-AU"/>
        </w:rPr>
        <w:t>assessor portal</w:t>
      </w:r>
      <w:r w:rsidR="003B0176" w:rsidRPr="00AA6C5B">
        <w:rPr>
          <w:rFonts w:eastAsia="Yu Gothic Light"/>
          <w:lang w:val="en-AU"/>
        </w:rPr>
        <w:t>. </w:t>
      </w:r>
    </w:p>
    <w:p w14:paraId="3F98EEC2" w14:textId="77777777" w:rsidR="003B0176" w:rsidRPr="00AA6C5B" w:rsidRDefault="003B0176" w:rsidP="00622CFF">
      <w:pPr>
        <w:spacing w:before="240" w:after="240" w:line="240" w:lineRule="auto"/>
        <w:rPr>
          <w:rFonts w:eastAsia="Yu Gothic Light"/>
          <w:lang w:val="en-AU"/>
        </w:rPr>
      </w:pPr>
      <w:r w:rsidRPr="00E340A7">
        <w:rPr>
          <w:rFonts w:eastAsia="Yu Gothic Light"/>
          <w:lang w:val="en-AU"/>
        </w:rPr>
        <w:t>Reviewing the form will involve:</w:t>
      </w:r>
      <w:r w:rsidRPr="00AA6C5B">
        <w:rPr>
          <w:rFonts w:eastAsia="Yu Gothic Light"/>
          <w:lang w:val="en-AU"/>
        </w:rPr>
        <w:t> </w:t>
      </w:r>
    </w:p>
    <w:p w14:paraId="690C6FE0" w14:textId="77777777" w:rsidR="003B0176" w:rsidRPr="00544EA2" w:rsidRDefault="003B0176" w:rsidP="00DF3F6B">
      <w:pPr>
        <w:numPr>
          <w:ilvl w:val="0"/>
          <w:numId w:val="265"/>
        </w:numPr>
        <w:spacing w:before="240" w:after="240" w:line="240" w:lineRule="auto"/>
        <w:rPr>
          <w:rFonts w:eastAsia="Yu Gothic Light"/>
          <w:lang w:val="en-AU"/>
        </w:rPr>
      </w:pPr>
      <w:r w:rsidRPr="00544EA2">
        <w:rPr>
          <w:rFonts w:eastAsia="Yu Gothic Light"/>
          <w:lang w:val="en-AU"/>
        </w:rPr>
        <w:t xml:space="preserve">Checking </w:t>
      </w:r>
      <w:r w:rsidRPr="00AA6C5B">
        <w:rPr>
          <w:rFonts w:eastAsia="Yu Gothic Light"/>
          <w:lang w:val="en-AU"/>
        </w:rPr>
        <w:t>the</w:t>
      </w:r>
      <w:r w:rsidRPr="00E340A7">
        <w:rPr>
          <w:rFonts w:eastAsia="Yu Gothic Light"/>
          <w:lang w:val="en-AU"/>
        </w:rPr>
        <w:t> individual’s details</w:t>
      </w:r>
      <w:r w:rsidRPr="00AA6C5B">
        <w:rPr>
          <w:rFonts w:eastAsia="Yu Gothic Light"/>
          <w:lang w:val="en-AU"/>
        </w:rPr>
        <w:t> to</w:t>
      </w:r>
      <w:r w:rsidRPr="00544EA2">
        <w:rPr>
          <w:rFonts w:eastAsia="Yu Gothic Light"/>
          <w:lang w:val="en-AU"/>
        </w:rPr>
        <w:t xml:space="preserve"> ensure they match the record in the portal. </w:t>
      </w:r>
    </w:p>
    <w:p w14:paraId="1D2CD7B1" w14:textId="77777777" w:rsidR="003B0176" w:rsidRPr="00544EA2" w:rsidRDefault="003B0176" w:rsidP="00DF3F6B">
      <w:pPr>
        <w:numPr>
          <w:ilvl w:val="0"/>
          <w:numId w:val="266"/>
        </w:numPr>
        <w:spacing w:before="240" w:after="240" w:line="240" w:lineRule="auto"/>
        <w:rPr>
          <w:rFonts w:eastAsia="Yu Gothic Light"/>
          <w:lang w:val="en-AU"/>
        </w:rPr>
      </w:pPr>
      <w:r w:rsidRPr="00544EA2">
        <w:rPr>
          <w:rFonts w:eastAsia="Yu Gothic Light"/>
          <w:lang w:val="en-AU"/>
        </w:rPr>
        <w:t xml:space="preserve">Verifying the completion of all areas of </w:t>
      </w:r>
      <w:r w:rsidRPr="00AA6C5B">
        <w:rPr>
          <w:rFonts w:eastAsia="Yu Gothic Light"/>
          <w:lang w:val="en-AU"/>
        </w:rPr>
        <w:t>the</w:t>
      </w:r>
      <w:r w:rsidRPr="00E340A7">
        <w:rPr>
          <w:rFonts w:eastAsia="Yu Gothic Light"/>
          <w:lang w:val="en-AU"/>
        </w:rPr>
        <w:t> Medical Assessment</w:t>
      </w:r>
      <w:r w:rsidRPr="00AA6C5B">
        <w:rPr>
          <w:rFonts w:eastAsia="Yu Gothic Light"/>
          <w:lang w:val="en-AU"/>
        </w:rPr>
        <w:t> section</w:t>
      </w:r>
      <w:r w:rsidRPr="00544EA2">
        <w:rPr>
          <w:rFonts w:eastAsia="Yu Gothic Light"/>
          <w:lang w:val="en-AU"/>
        </w:rPr>
        <w:t xml:space="preserve"> to confirm  </w:t>
      </w:r>
    </w:p>
    <w:p w14:paraId="5C5B69AE" w14:textId="7692A401" w:rsidR="003B0176" w:rsidRPr="00544EA2" w:rsidRDefault="003B0176" w:rsidP="00DF3F6B">
      <w:pPr>
        <w:numPr>
          <w:ilvl w:val="0"/>
          <w:numId w:val="471"/>
        </w:numPr>
        <w:spacing w:before="240" w:after="240" w:line="240" w:lineRule="auto"/>
        <w:rPr>
          <w:rFonts w:eastAsia="Yu Gothic Light"/>
          <w:lang w:val="en-AU"/>
        </w:rPr>
      </w:pPr>
      <w:r w:rsidRPr="00544EA2">
        <w:rPr>
          <w:rFonts w:eastAsia="Yu Gothic Light"/>
          <w:lang w:val="en-AU"/>
        </w:rPr>
        <w:t>The individual has a prognosis of a life expectancy of three months or less,  </w:t>
      </w:r>
      <w:r w:rsidRPr="00E340A7">
        <w:rPr>
          <w:rFonts w:eastAsia="Yu Gothic Light"/>
          <w:bCs/>
          <w:lang w:val="en-AU"/>
        </w:rPr>
        <w:t>and</w:t>
      </w:r>
      <w:r w:rsidRPr="00544EA2">
        <w:rPr>
          <w:rFonts w:eastAsia="Yu Gothic Light"/>
          <w:b/>
          <w:lang w:val="en-AU"/>
        </w:rPr>
        <w:t> </w:t>
      </w:r>
      <w:r w:rsidRPr="00544EA2">
        <w:rPr>
          <w:rFonts w:eastAsia="Yu Gothic Light"/>
          <w:lang w:val="en-AU"/>
        </w:rPr>
        <w:t> </w:t>
      </w:r>
    </w:p>
    <w:p w14:paraId="39F223E2" w14:textId="72AAAB94" w:rsidR="003B0176" w:rsidRPr="00544EA2" w:rsidRDefault="003B0176" w:rsidP="00DF3F6B">
      <w:pPr>
        <w:numPr>
          <w:ilvl w:val="0"/>
          <w:numId w:val="471"/>
        </w:numPr>
        <w:spacing w:before="240" w:after="240" w:line="240" w:lineRule="auto"/>
        <w:rPr>
          <w:rFonts w:eastAsia="Yu Gothic Light"/>
          <w:lang w:val="en-AU"/>
        </w:rPr>
      </w:pPr>
      <w:r w:rsidRPr="00544EA2">
        <w:rPr>
          <w:rFonts w:eastAsia="Yu Gothic Light"/>
          <w:lang w:val="en-AU"/>
        </w:rPr>
        <w:t>An Australian-modified Karnofsky Performance Status (AKPS) score of 40 or less. </w:t>
      </w:r>
    </w:p>
    <w:p w14:paraId="19576F9E" w14:textId="77777777" w:rsidR="003B0176" w:rsidRPr="00544EA2" w:rsidRDefault="003B0176" w:rsidP="00DF3F6B">
      <w:pPr>
        <w:numPr>
          <w:ilvl w:val="0"/>
          <w:numId w:val="471"/>
        </w:numPr>
        <w:spacing w:before="240" w:after="240" w:line="240" w:lineRule="auto"/>
        <w:rPr>
          <w:rFonts w:eastAsia="Yu Gothic Light"/>
          <w:lang w:val="en-AU"/>
        </w:rPr>
      </w:pPr>
      <w:r w:rsidRPr="00E340A7">
        <w:rPr>
          <w:rFonts w:eastAsia="Yu Gothic Light"/>
          <w:bCs/>
          <w:lang w:val="en-AU"/>
        </w:rPr>
        <w:t>Medical practitioner or nurse practitioner</w:t>
      </w:r>
      <w:r w:rsidRPr="008808A8">
        <w:rPr>
          <w:rFonts w:eastAsia="Yu Gothic Light"/>
          <w:bCs/>
          <w:lang w:val="en-AU"/>
        </w:rPr>
        <w:t> has</w:t>
      </w:r>
      <w:r w:rsidRPr="00544EA2">
        <w:rPr>
          <w:rFonts w:eastAsia="Yu Gothic Light"/>
          <w:lang w:val="en-AU"/>
        </w:rPr>
        <w:t xml:space="preserve"> completed and signed the form. </w:t>
      </w:r>
    </w:p>
    <w:p w14:paraId="4A61C40F" w14:textId="77777777" w:rsidR="003B0176" w:rsidRPr="00544EA2" w:rsidRDefault="003B0176" w:rsidP="00622CFF">
      <w:pPr>
        <w:spacing w:before="240" w:after="240" w:line="240" w:lineRule="auto"/>
        <w:rPr>
          <w:rFonts w:eastAsia="Yu Gothic Light"/>
        </w:rPr>
      </w:pPr>
      <w:r w:rsidRPr="00544EA2">
        <w:rPr>
          <w:rFonts w:eastAsia="Yu Gothic Light"/>
        </w:rPr>
        <w:t xml:space="preserve">An individual will </w:t>
      </w:r>
      <w:r w:rsidRPr="00544EA2">
        <w:rPr>
          <w:rFonts w:eastAsia="Yu Gothic Light"/>
          <w:b/>
          <w:bCs/>
        </w:rPr>
        <w:t>not</w:t>
      </w:r>
      <w:r w:rsidRPr="00544EA2">
        <w:rPr>
          <w:rFonts w:eastAsia="Yu Gothic Light"/>
        </w:rPr>
        <w:t xml:space="preserve"> be eligible for approval for the End-of-Life Pathway if the required criteria outlined in the medical assessment section are not met. </w:t>
      </w:r>
    </w:p>
    <w:p w14:paraId="23AB4E1D" w14:textId="77777777" w:rsidR="003B0176" w:rsidRPr="00544EA2" w:rsidRDefault="003B0176" w:rsidP="00C56CEC">
      <w:pPr>
        <w:pStyle w:val="H3"/>
      </w:pPr>
      <w:r w:rsidRPr="00544EA2">
        <w:t>Step 3. Decide the service types and services</w:t>
      </w:r>
    </w:p>
    <w:p w14:paraId="7DE08021" w14:textId="325388F4" w:rsidR="003B0176" w:rsidRPr="00544EA2" w:rsidRDefault="00EB20DD" w:rsidP="00CC6081">
      <w:pPr>
        <w:pStyle w:val="H4"/>
      </w:pPr>
      <w:bookmarkStart w:id="719" w:name="_Toc1059306426"/>
      <w:bookmarkStart w:id="720" w:name="_Toc199344549"/>
      <w:bookmarkStart w:id="721" w:name="_Toc205372084"/>
      <w:bookmarkStart w:id="722" w:name="_Toc207713989"/>
      <w:bookmarkStart w:id="723" w:name="_Toc198787171"/>
      <w:r>
        <w:t xml:space="preserve">Older person is </w:t>
      </w:r>
      <w:r w:rsidR="008F182F">
        <w:t>Ab</w:t>
      </w:r>
      <w:r w:rsidR="003B0176" w:rsidRPr="00544EA2">
        <w:t>original and Torres Strait Islander</w:t>
      </w:r>
      <w:bookmarkEnd w:id="719"/>
      <w:bookmarkEnd w:id="720"/>
      <w:bookmarkEnd w:id="721"/>
      <w:bookmarkEnd w:id="722"/>
    </w:p>
    <w:p w14:paraId="28A06AC6" w14:textId="652F80B3" w:rsidR="003B0176" w:rsidRPr="00544EA2" w:rsidRDefault="003B0176" w:rsidP="00622CFF">
      <w:pPr>
        <w:spacing w:before="240" w:after="240" w:line="240" w:lineRule="auto"/>
        <w:rPr>
          <w:rFonts w:eastAsia="Yu Gothic Light"/>
        </w:rPr>
      </w:pPr>
      <w:r w:rsidRPr="00E340A7">
        <w:rPr>
          <w:rFonts w:eastAsia="Yu Gothic Light"/>
          <w:bCs/>
        </w:rPr>
        <w:t>If the older person is an Aboriginal or Torres Strait Islander person</w:t>
      </w:r>
      <w:r w:rsidRPr="00F62A46">
        <w:rPr>
          <w:rFonts w:eastAsia="Yu Gothic Light"/>
          <w:bCs/>
        </w:rPr>
        <w:t>,</w:t>
      </w:r>
      <w:r w:rsidRPr="00544EA2">
        <w:rPr>
          <w:rFonts w:eastAsia="Yu Gothic Light"/>
        </w:rPr>
        <w:t xml:space="preserve"> the </w:t>
      </w:r>
      <w:r w:rsidR="00F62A46" w:rsidRPr="00E41C78">
        <w:rPr>
          <w:rFonts w:eastAsia="Yu Gothic Light"/>
          <w:i/>
          <w:iCs/>
        </w:rPr>
        <w:t xml:space="preserve">Aged Care </w:t>
      </w:r>
      <w:r w:rsidRPr="00E41C78">
        <w:rPr>
          <w:rFonts w:eastAsia="Yu Gothic Light"/>
          <w:i/>
          <w:iCs/>
        </w:rPr>
        <w:t>Act</w:t>
      </w:r>
      <w:r w:rsidR="00F62A46" w:rsidRPr="00E41C78">
        <w:rPr>
          <w:rFonts w:eastAsia="Yu Gothic Light"/>
          <w:i/>
          <w:iCs/>
        </w:rPr>
        <w:t xml:space="preserve"> 2024</w:t>
      </w:r>
      <w:r w:rsidR="009931E4">
        <w:rPr>
          <w:rFonts w:eastAsia="Yu Gothic Light"/>
        </w:rPr>
        <w:t xml:space="preserve"> (the Act)</w:t>
      </w:r>
      <w:r w:rsidRPr="00544EA2">
        <w:rPr>
          <w:rFonts w:eastAsia="Yu Gothic Light"/>
        </w:rPr>
        <w:t xml:space="preserve"> provides that </w:t>
      </w:r>
      <w:r w:rsidR="009931E4">
        <w:rPr>
          <w:rFonts w:eastAsia="Yu Gothic Light"/>
        </w:rPr>
        <w:t>they</w:t>
      </w:r>
      <w:r w:rsidR="009931E4" w:rsidRPr="00544EA2">
        <w:rPr>
          <w:rFonts w:eastAsia="Yu Gothic Light"/>
        </w:rPr>
        <w:t xml:space="preserve"> </w:t>
      </w:r>
      <w:r w:rsidRPr="00544EA2">
        <w:rPr>
          <w:rFonts w:eastAsia="Yu Gothic Light"/>
        </w:rPr>
        <w:t xml:space="preserve">only need to </w:t>
      </w:r>
      <w:r w:rsidR="009931E4">
        <w:rPr>
          <w:rFonts w:eastAsia="Yu Gothic Light"/>
        </w:rPr>
        <w:t xml:space="preserve">be </w:t>
      </w:r>
      <w:r w:rsidRPr="00544EA2">
        <w:rPr>
          <w:rFonts w:eastAsia="Yu Gothic Light"/>
        </w:rPr>
        <w:t>approve</w:t>
      </w:r>
      <w:r w:rsidR="009931E4">
        <w:rPr>
          <w:rFonts w:eastAsia="Yu Gothic Light"/>
        </w:rPr>
        <w:t>d</w:t>
      </w:r>
      <w:r w:rsidRPr="00544EA2">
        <w:rPr>
          <w:rFonts w:eastAsia="Yu Gothic Light"/>
        </w:rPr>
        <w:t xml:space="preserve"> for one or more service groups. That is, under the Act they are automatically approved for all the service types and services in any service group they are approved for. </w:t>
      </w:r>
      <w:r w:rsidR="000C0859" w:rsidRPr="00544EA2">
        <w:rPr>
          <w:rFonts w:eastAsia="Yu Gothic Light"/>
        </w:rPr>
        <w:t>However,</w:t>
      </w:r>
      <w:r w:rsidRPr="00544EA2">
        <w:rPr>
          <w:rFonts w:eastAsia="Yu Gothic Light"/>
        </w:rPr>
        <w:t xml:space="preserve"> </w:t>
      </w:r>
      <w:r w:rsidR="00E63E1E">
        <w:rPr>
          <w:rFonts w:eastAsia="Yu Gothic Light"/>
        </w:rPr>
        <w:t>an Assessment Delegate</w:t>
      </w:r>
      <w:r w:rsidR="00E63E1E" w:rsidRPr="00544EA2">
        <w:rPr>
          <w:rFonts w:eastAsia="Yu Gothic Light"/>
        </w:rPr>
        <w:t xml:space="preserve"> </w:t>
      </w:r>
      <w:r w:rsidRPr="00544EA2">
        <w:rPr>
          <w:rFonts w:eastAsia="Yu Gothic Light"/>
        </w:rPr>
        <w:t>will still need to make sure that all the service types and services they are approved for are selected in the system (more guidance on this follows below</w:t>
      </w:r>
      <w:r w:rsidR="00E63E1E">
        <w:rPr>
          <w:rFonts w:eastAsia="Yu Gothic Light"/>
        </w:rPr>
        <w:t>)</w:t>
      </w:r>
      <w:r w:rsidRPr="00544EA2">
        <w:rPr>
          <w:rFonts w:eastAsia="Yu Gothic Light"/>
        </w:rPr>
        <w:t>.</w:t>
      </w:r>
    </w:p>
    <w:p w14:paraId="2D2D0047" w14:textId="77777777" w:rsidR="003B0176" w:rsidRPr="00544EA2" w:rsidRDefault="003B0176" w:rsidP="00CC6081">
      <w:pPr>
        <w:pStyle w:val="H4"/>
      </w:pPr>
      <w:bookmarkStart w:id="724" w:name="_Toc1132258255"/>
      <w:bookmarkStart w:id="725" w:name="_Toc199344550"/>
      <w:bookmarkStart w:id="726" w:name="_Toc205372085"/>
      <w:bookmarkStart w:id="727" w:name="_Toc207713990"/>
      <w:r w:rsidRPr="00544EA2">
        <w:t>Older person is neither Aboriginal nor Torres Strait Islander</w:t>
      </w:r>
      <w:bookmarkEnd w:id="724"/>
      <w:bookmarkEnd w:id="725"/>
      <w:bookmarkEnd w:id="726"/>
      <w:bookmarkEnd w:id="727"/>
    </w:p>
    <w:p w14:paraId="32706F2C" w14:textId="1224EBBC" w:rsidR="003B0176" w:rsidRPr="00544EA2" w:rsidRDefault="003B0176" w:rsidP="00622CFF">
      <w:pPr>
        <w:spacing w:before="240" w:after="240" w:line="240" w:lineRule="auto"/>
        <w:rPr>
          <w:rFonts w:eastAsia="Yu Gothic Light"/>
        </w:rPr>
      </w:pPr>
      <w:r w:rsidRPr="00E340A7">
        <w:rPr>
          <w:rFonts w:eastAsia="Yu Gothic Light"/>
          <w:bCs/>
        </w:rPr>
        <w:t xml:space="preserve">If the older person is </w:t>
      </w:r>
      <w:r w:rsidRPr="00E340A7">
        <w:rPr>
          <w:rFonts w:eastAsia="Yu Gothic Light"/>
          <w:bCs/>
          <w:u w:val="single"/>
        </w:rPr>
        <w:t>not</w:t>
      </w:r>
      <w:r w:rsidRPr="00E340A7">
        <w:rPr>
          <w:rFonts w:eastAsia="Yu Gothic Light"/>
          <w:bCs/>
        </w:rPr>
        <w:t xml:space="preserve"> an Aboriginal or Torres Strait Islander person</w:t>
      </w:r>
      <w:r w:rsidRPr="00E63E1E">
        <w:rPr>
          <w:rFonts w:eastAsia="Yu Gothic Light"/>
          <w:bCs/>
        </w:rPr>
        <w:t>,</w:t>
      </w:r>
      <w:r w:rsidRPr="00544EA2">
        <w:rPr>
          <w:rFonts w:eastAsia="Yu Gothic Light"/>
        </w:rPr>
        <w:t xml:space="preserve"> and </w:t>
      </w:r>
      <w:r w:rsidR="00E63E1E">
        <w:rPr>
          <w:rFonts w:eastAsia="Yu Gothic Light"/>
        </w:rPr>
        <w:t xml:space="preserve">an Assessment Delegate is </w:t>
      </w:r>
      <w:r w:rsidRPr="00544EA2">
        <w:rPr>
          <w:rFonts w:eastAsia="Yu Gothic Light"/>
        </w:rPr>
        <w:t xml:space="preserve">approving the </w:t>
      </w:r>
      <w:r w:rsidRPr="00E340A7">
        <w:rPr>
          <w:rFonts w:eastAsia="Yu Gothic Light"/>
          <w:bCs/>
        </w:rPr>
        <w:t>Home Support</w:t>
      </w:r>
      <w:r w:rsidRPr="00FD5652">
        <w:rPr>
          <w:rFonts w:eastAsia="Yu Gothic Light"/>
          <w:bCs/>
        </w:rPr>
        <w:t xml:space="preserve">, </w:t>
      </w:r>
      <w:r w:rsidRPr="00E340A7">
        <w:rPr>
          <w:rFonts w:eastAsia="Yu Gothic Light"/>
          <w:bCs/>
        </w:rPr>
        <w:t>Assistive Technology</w:t>
      </w:r>
      <w:r w:rsidRPr="00FD5652">
        <w:rPr>
          <w:rFonts w:eastAsia="Yu Gothic Light"/>
          <w:bCs/>
        </w:rPr>
        <w:t xml:space="preserve"> or </w:t>
      </w:r>
      <w:r w:rsidRPr="00E340A7">
        <w:rPr>
          <w:rFonts w:eastAsia="Yu Gothic Light"/>
          <w:bCs/>
        </w:rPr>
        <w:t xml:space="preserve">Home Modifications </w:t>
      </w:r>
      <w:r w:rsidRPr="00544EA2">
        <w:rPr>
          <w:rFonts w:eastAsia="Yu Gothic Light"/>
        </w:rPr>
        <w:t xml:space="preserve">service groups, </w:t>
      </w:r>
      <w:r w:rsidR="00CE1CDB">
        <w:rPr>
          <w:rFonts w:eastAsia="Yu Gothic Light"/>
        </w:rPr>
        <w:t>they</w:t>
      </w:r>
      <w:r w:rsidR="00CE1CDB" w:rsidRPr="00544EA2">
        <w:rPr>
          <w:rFonts w:eastAsia="Yu Gothic Light"/>
        </w:rPr>
        <w:t xml:space="preserve"> </w:t>
      </w:r>
      <w:r w:rsidRPr="00544EA2">
        <w:rPr>
          <w:rFonts w:eastAsia="Yu Gothic Light"/>
        </w:rPr>
        <w:t>must decide:</w:t>
      </w:r>
    </w:p>
    <w:p w14:paraId="1E65BA7C" w14:textId="77777777" w:rsidR="003B0176" w:rsidRPr="00544EA2" w:rsidRDefault="003B0176" w:rsidP="00DF3F6B">
      <w:pPr>
        <w:numPr>
          <w:ilvl w:val="0"/>
          <w:numId w:val="240"/>
        </w:numPr>
        <w:spacing w:before="240" w:after="240" w:line="240" w:lineRule="auto"/>
        <w:contextualSpacing/>
        <w:rPr>
          <w:rFonts w:eastAsia="Yu Gothic Light"/>
        </w:rPr>
      </w:pPr>
      <w:r w:rsidRPr="00CE1CDB">
        <w:rPr>
          <w:rFonts w:eastAsia="Yu Gothic Light"/>
        </w:rPr>
        <w:t xml:space="preserve">which </w:t>
      </w:r>
      <w:r w:rsidRPr="00E340A7">
        <w:rPr>
          <w:rFonts w:eastAsia="Yu Gothic Light"/>
        </w:rPr>
        <w:t>service types</w:t>
      </w:r>
      <w:r w:rsidRPr="00544EA2">
        <w:rPr>
          <w:rFonts w:eastAsia="Yu Gothic Light"/>
        </w:rPr>
        <w:t xml:space="preserve"> to approve them for within each service group</w:t>
      </w:r>
    </w:p>
    <w:p w14:paraId="3FAFF62C" w14:textId="623C8535" w:rsidR="003B0176" w:rsidRPr="00544EA2" w:rsidRDefault="003B0176" w:rsidP="00DF3F6B">
      <w:pPr>
        <w:numPr>
          <w:ilvl w:val="0"/>
          <w:numId w:val="240"/>
        </w:numPr>
        <w:spacing w:before="240" w:after="240" w:line="240" w:lineRule="auto"/>
        <w:contextualSpacing/>
        <w:rPr>
          <w:rFonts w:eastAsia="Yu Gothic Light"/>
        </w:rPr>
      </w:pPr>
      <w:r w:rsidRPr="00544EA2">
        <w:rPr>
          <w:rFonts w:eastAsia="Yu Gothic Light"/>
        </w:rPr>
        <w:t xml:space="preserve">which </w:t>
      </w:r>
      <w:r w:rsidRPr="00E340A7">
        <w:rPr>
          <w:rFonts w:eastAsia="Yu Gothic Light"/>
          <w:bCs/>
        </w:rPr>
        <w:t>services</w:t>
      </w:r>
      <w:r w:rsidRPr="00CE1CDB">
        <w:rPr>
          <w:rFonts w:eastAsia="Yu Gothic Light"/>
          <w:bCs/>
        </w:rPr>
        <w:t xml:space="preserve"> </w:t>
      </w:r>
      <w:r w:rsidRPr="00544EA2">
        <w:rPr>
          <w:rFonts w:eastAsia="Yu Gothic Light"/>
        </w:rPr>
        <w:t>to approve them for, but</w:t>
      </w:r>
      <w:r w:rsidRPr="00544EA2">
        <w:rPr>
          <w:rFonts w:eastAsia="Yu Gothic Light"/>
          <w:b/>
        </w:rPr>
        <w:t xml:space="preserve"> </w:t>
      </w:r>
      <w:r w:rsidRPr="00E340A7">
        <w:rPr>
          <w:rFonts w:eastAsia="Yu Gothic Light"/>
          <w:bCs/>
        </w:rPr>
        <w:t xml:space="preserve">only if </w:t>
      </w:r>
      <w:r w:rsidR="00CE1CDB">
        <w:rPr>
          <w:rFonts w:eastAsia="Yu Gothic Light"/>
          <w:bCs/>
        </w:rPr>
        <w:t>the Assessment Delegate is</w:t>
      </w:r>
      <w:r w:rsidR="00CE1CDB" w:rsidRPr="00E340A7">
        <w:rPr>
          <w:rFonts w:eastAsia="Yu Gothic Light"/>
          <w:bCs/>
        </w:rPr>
        <w:t xml:space="preserve"> </w:t>
      </w:r>
      <w:r w:rsidRPr="00E340A7">
        <w:rPr>
          <w:rFonts w:eastAsia="Yu Gothic Light"/>
          <w:bCs/>
        </w:rPr>
        <w:t>approving the following</w:t>
      </w:r>
      <w:r w:rsidRPr="00544EA2">
        <w:rPr>
          <w:rFonts w:eastAsia="Yu Gothic Light"/>
          <w:b/>
        </w:rPr>
        <w:t xml:space="preserve"> </w:t>
      </w:r>
      <w:r w:rsidRPr="00544EA2">
        <w:rPr>
          <w:rFonts w:eastAsia="Yu Gothic Light" w:hint="eastAsia"/>
          <w:b/>
        </w:rPr>
        <w:t>‘</w:t>
      </w:r>
      <w:r w:rsidRPr="00E340A7">
        <w:rPr>
          <w:rFonts w:eastAsia="Yu Gothic Light"/>
          <w:bCs/>
        </w:rPr>
        <w:t>prescribed</w:t>
      </w:r>
      <w:r w:rsidRPr="00E340A7">
        <w:rPr>
          <w:rFonts w:eastAsia="Yu Gothic Light" w:hint="eastAsia"/>
          <w:bCs/>
        </w:rPr>
        <w:t>’</w:t>
      </w:r>
      <w:r w:rsidRPr="00E340A7">
        <w:rPr>
          <w:rFonts w:eastAsia="Yu Gothic Light"/>
          <w:bCs/>
        </w:rPr>
        <w:t xml:space="preserve"> service types</w:t>
      </w:r>
      <w:r w:rsidRPr="00CE1CDB">
        <w:rPr>
          <w:rFonts w:eastAsia="Yu Gothic Light"/>
          <w:bCs/>
        </w:rPr>
        <w:t>:</w:t>
      </w:r>
      <w:r w:rsidRPr="00544EA2">
        <w:rPr>
          <w:rFonts w:eastAsia="Yu Gothic Light"/>
        </w:rPr>
        <w:t xml:space="preserve"> </w:t>
      </w:r>
      <w:r w:rsidRPr="00544EA2">
        <w:rPr>
          <w:rFonts w:eastAsia="Yu Gothic Light"/>
          <w:i/>
        </w:rPr>
        <w:t>Allied health and Therapy</w:t>
      </w:r>
      <w:r w:rsidRPr="00544EA2">
        <w:rPr>
          <w:rFonts w:eastAsia="Yu Gothic Light"/>
        </w:rPr>
        <w:t xml:space="preserve"> and </w:t>
      </w:r>
      <w:r w:rsidRPr="00544EA2">
        <w:rPr>
          <w:rFonts w:eastAsia="Yu Gothic Light"/>
          <w:i/>
        </w:rPr>
        <w:t>Therapeutic Services for Independent Living.</w:t>
      </w:r>
    </w:p>
    <w:p w14:paraId="5B3E0B04" w14:textId="77777777" w:rsidR="00B779F0" w:rsidRDefault="00B779F0" w:rsidP="00622CFF">
      <w:pPr>
        <w:spacing w:before="240" w:after="240" w:line="240" w:lineRule="auto"/>
        <w:rPr>
          <w:rFonts w:eastAsia="Yu Gothic Light"/>
        </w:rPr>
      </w:pPr>
    </w:p>
    <w:p w14:paraId="5C83C8A1" w14:textId="16BCC51F" w:rsidR="003B0176" w:rsidRPr="00544EA2" w:rsidRDefault="003B0176" w:rsidP="00622CFF">
      <w:pPr>
        <w:spacing w:before="240" w:after="240" w:line="240" w:lineRule="auto"/>
        <w:rPr>
          <w:rFonts w:eastAsia="Yu Gothic Light"/>
        </w:rPr>
      </w:pPr>
      <w:r w:rsidRPr="00544EA2">
        <w:rPr>
          <w:rFonts w:eastAsia="Yu Gothic Light"/>
        </w:rPr>
        <w:t xml:space="preserve">For any service type </w:t>
      </w:r>
      <w:r w:rsidRPr="00E340A7">
        <w:rPr>
          <w:rFonts w:eastAsia="Yu Gothic Light"/>
          <w:bCs/>
        </w:rPr>
        <w:t>other than</w:t>
      </w:r>
      <w:r w:rsidRPr="00544EA2">
        <w:rPr>
          <w:rFonts w:eastAsia="Yu Gothic Light"/>
        </w:rPr>
        <w:t xml:space="preserve"> </w:t>
      </w:r>
      <w:r w:rsidRPr="00544EA2">
        <w:rPr>
          <w:rFonts w:eastAsia="Yu Gothic Light"/>
          <w:i/>
        </w:rPr>
        <w:t>Allied health and Therapy</w:t>
      </w:r>
      <w:r w:rsidRPr="00544EA2">
        <w:rPr>
          <w:rFonts w:eastAsia="Yu Gothic Light"/>
        </w:rPr>
        <w:t xml:space="preserve"> and </w:t>
      </w:r>
      <w:r w:rsidRPr="00544EA2">
        <w:rPr>
          <w:rFonts w:eastAsia="Yu Gothic Light"/>
          <w:i/>
        </w:rPr>
        <w:t>Therapeutic Services for Independent Living</w:t>
      </w:r>
      <w:r w:rsidRPr="00544EA2">
        <w:rPr>
          <w:rFonts w:eastAsia="Yu Gothic Light"/>
        </w:rPr>
        <w:t xml:space="preserve"> (the </w:t>
      </w:r>
      <w:r w:rsidRPr="00544EA2">
        <w:rPr>
          <w:rFonts w:eastAsia="Yu Gothic Light" w:hint="eastAsia"/>
        </w:rPr>
        <w:t>‘</w:t>
      </w:r>
      <w:r w:rsidRPr="00544EA2">
        <w:rPr>
          <w:rFonts w:eastAsia="Yu Gothic Light"/>
        </w:rPr>
        <w:t>non-prescribed</w:t>
      </w:r>
      <w:r w:rsidRPr="00544EA2">
        <w:rPr>
          <w:rFonts w:eastAsia="Yu Gothic Light" w:hint="eastAsia"/>
        </w:rPr>
        <w:t>’</w:t>
      </w:r>
      <w:r w:rsidRPr="00544EA2">
        <w:rPr>
          <w:rFonts w:eastAsia="Yu Gothic Light"/>
        </w:rPr>
        <w:t xml:space="preserve"> service types), if </w:t>
      </w:r>
      <w:r w:rsidR="00CE1CDB">
        <w:rPr>
          <w:rFonts w:eastAsia="Yu Gothic Light"/>
        </w:rPr>
        <w:t>an Assessment Delegate</w:t>
      </w:r>
      <w:r w:rsidR="00CE1CDB" w:rsidRPr="00544EA2">
        <w:rPr>
          <w:rFonts w:eastAsia="Yu Gothic Light"/>
        </w:rPr>
        <w:t xml:space="preserve"> </w:t>
      </w:r>
      <w:r w:rsidRPr="00544EA2">
        <w:rPr>
          <w:rFonts w:eastAsia="Yu Gothic Light"/>
        </w:rPr>
        <w:t>think</w:t>
      </w:r>
      <w:r w:rsidR="00CE1CDB">
        <w:rPr>
          <w:rFonts w:eastAsia="Yu Gothic Light"/>
        </w:rPr>
        <w:t>s</w:t>
      </w:r>
      <w:r w:rsidRPr="00544EA2">
        <w:rPr>
          <w:rFonts w:eastAsia="Yu Gothic Light"/>
        </w:rPr>
        <w:t xml:space="preserve"> the older person needs any service in the service type, then </w:t>
      </w:r>
      <w:r w:rsidR="00CE1CDB">
        <w:rPr>
          <w:rFonts w:eastAsia="Yu Gothic Light"/>
        </w:rPr>
        <w:t>they</w:t>
      </w:r>
      <w:r w:rsidR="00CE1CDB" w:rsidRPr="00544EA2">
        <w:rPr>
          <w:rFonts w:eastAsia="Yu Gothic Light"/>
        </w:rPr>
        <w:t xml:space="preserve"> </w:t>
      </w:r>
      <w:r w:rsidRPr="00544EA2">
        <w:rPr>
          <w:rFonts w:eastAsia="Yu Gothic Light"/>
        </w:rPr>
        <w:t xml:space="preserve">need to make sure that </w:t>
      </w:r>
      <w:r w:rsidRPr="00E340A7">
        <w:rPr>
          <w:rFonts w:eastAsia="Yu Gothic Light"/>
          <w:bCs/>
        </w:rPr>
        <w:t>all services</w:t>
      </w:r>
      <w:r w:rsidRPr="00544EA2">
        <w:rPr>
          <w:rFonts w:eastAsia="Yu Gothic Light"/>
        </w:rPr>
        <w:t xml:space="preserve"> in the service type are selected.</w:t>
      </w:r>
    </w:p>
    <w:p w14:paraId="46B4AFBD" w14:textId="77777777" w:rsidR="003B0176" w:rsidRPr="00544EA2" w:rsidRDefault="003B0176" w:rsidP="00CC6081">
      <w:pPr>
        <w:pStyle w:val="H4"/>
      </w:pPr>
      <w:bookmarkStart w:id="728" w:name="_Toc1075657379"/>
      <w:bookmarkStart w:id="729" w:name="_Toc199344551"/>
      <w:bookmarkStart w:id="730" w:name="_Toc205372086"/>
      <w:bookmarkStart w:id="731" w:name="_Toc207713991"/>
      <w:r w:rsidRPr="00544EA2">
        <w:t>Check to make sure the required services are selected</w:t>
      </w:r>
      <w:bookmarkEnd w:id="728"/>
      <w:bookmarkEnd w:id="729"/>
      <w:bookmarkEnd w:id="730"/>
      <w:bookmarkEnd w:id="731"/>
    </w:p>
    <w:p w14:paraId="1CC6CB0A" w14:textId="77777777" w:rsidR="003B0176" w:rsidRPr="00544EA2" w:rsidRDefault="003B0176" w:rsidP="00622CFF">
      <w:pPr>
        <w:spacing w:before="240" w:after="240" w:line="240" w:lineRule="auto"/>
        <w:rPr>
          <w:rFonts w:eastAsia="Yu Gothic Light"/>
        </w:rPr>
      </w:pPr>
      <w:r w:rsidRPr="00544EA2">
        <w:rPr>
          <w:rFonts w:eastAsia="Yu Gothic Light"/>
        </w:rPr>
        <w:t xml:space="preserve">The system currently allows services to be de-selected in the non-prescribed service types, which leaves open the possibility that services the person is actually entitled to are left out. </w:t>
      </w:r>
    </w:p>
    <w:p w14:paraId="11680F42" w14:textId="71E73C88" w:rsidR="003B0176" w:rsidRPr="00544EA2" w:rsidRDefault="006D1EFA" w:rsidP="00622CFF">
      <w:pPr>
        <w:spacing w:before="240" w:after="240" w:line="240" w:lineRule="auto"/>
        <w:rPr>
          <w:rFonts w:eastAsia="Yu Gothic Light"/>
        </w:rPr>
      </w:pPr>
      <w:r w:rsidRPr="00E340A7">
        <w:rPr>
          <w:rFonts w:eastAsia="Yu Gothic Light"/>
          <w:bCs/>
        </w:rPr>
        <w:t xml:space="preserve">Assessment </w:t>
      </w:r>
      <w:r w:rsidR="00D36C4D">
        <w:rPr>
          <w:rFonts w:eastAsia="Yu Gothic Light"/>
          <w:bCs/>
        </w:rPr>
        <w:t>d</w:t>
      </w:r>
      <w:r w:rsidR="00D36C4D" w:rsidRPr="00E340A7">
        <w:rPr>
          <w:rFonts w:eastAsia="Yu Gothic Light"/>
          <w:bCs/>
        </w:rPr>
        <w:t xml:space="preserve">elegates </w:t>
      </w:r>
      <w:r w:rsidR="003B0176" w:rsidRPr="00E340A7">
        <w:rPr>
          <w:rFonts w:eastAsia="Yu Gothic Light"/>
          <w:bCs/>
        </w:rPr>
        <w:t>need to carefully check to make sure that the all the required services have been selected.</w:t>
      </w:r>
      <w:r w:rsidR="003B0176" w:rsidRPr="00544EA2">
        <w:rPr>
          <w:rFonts w:eastAsia="Yu Gothic Light"/>
          <w:b/>
        </w:rPr>
        <w:t xml:space="preserve"> </w:t>
      </w:r>
      <w:r w:rsidR="003B0176" w:rsidRPr="00544EA2">
        <w:rPr>
          <w:rFonts w:eastAsia="Yu Gothic Light"/>
        </w:rPr>
        <w:t>This is particularly important for any approvals given under CHSP, as the services under the service type are not pre-selected in the system.</w:t>
      </w:r>
    </w:p>
    <w:p w14:paraId="601E1B89" w14:textId="3992382E" w:rsidR="003B0176" w:rsidRPr="00544EA2" w:rsidRDefault="003B0176" w:rsidP="00CC6081">
      <w:pPr>
        <w:pStyle w:val="H4"/>
      </w:pPr>
      <w:bookmarkStart w:id="732" w:name="_Toc2029822367"/>
      <w:bookmarkStart w:id="733" w:name="_Toc199344552"/>
      <w:bookmarkStart w:id="734" w:name="_Toc205372087"/>
      <w:bookmarkStart w:id="735" w:name="_Toc207713992"/>
      <w:r w:rsidRPr="00544EA2">
        <w:t>Recording the decision for S</w:t>
      </w:r>
      <w:r w:rsidR="00CB5449">
        <w:t xml:space="preserve">upport at </w:t>
      </w:r>
      <w:r w:rsidRPr="00544EA2">
        <w:t>H</w:t>
      </w:r>
      <w:r w:rsidR="00CB5449">
        <w:t>ome</w:t>
      </w:r>
      <w:r w:rsidRPr="00544EA2">
        <w:t xml:space="preserve"> </w:t>
      </w:r>
      <w:r w:rsidR="00F4504E">
        <w:t>c</w:t>
      </w:r>
      <w:r w:rsidRPr="00544EA2">
        <w:t>lasses (ongoing and short-term)</w:t>
      </w:r>
      <w:bookmarkEnd w:id="723"/>
      <w:bookmarkEnd w:id="732"/>
      <w:bookmarkEnd w:id="733"/>
      <w:bookmarkEnd w:id="734"/>
      <w:bookmarkEnd w:id="735"/>
    </w:p>
    <w:p w14:paraId="7E133853" w14:textId="77777777" w:rsidR="003B0176" w:rsidRPr="00544EA2" w:rsidRDefault="003B0176" w:rsidP="00622CFF">
      <w:pPr>
        <w:spacing w:before="240" w:after="240" w:line="240" w:lineRule="auto"/>
        <w:rPr>
          <w:rFonts w:eastAsia="Yu Gothic Light"/>
        </w:rPr>
      </w:pPr>
      <w:r w:rsidRPr="00544EA2">
        <w:rPr>
          <w:rFonts w:eastAsia="Yu Gothic Light"/>
        </w:rPr>
        <w:t xml:space="preserve">This process applies if the approved classification level (labelled </w:t>
      </w:r>
      <w:r w:rsidRPr="00544EA2">
        <w:rPr>
          <w:rFonts w:eastAsia="Yu Gothic Light" w:hint="eastAsia"/>
        </w:rPr>
        <w:t>‘</w:t>
      </w:r>
      <w:r w:rsidRPr="00544EA2">
        <w:rPr>
          <w:rFonts w:eastAsia="Yu Gothic Light"/>
        </w:rPr>
        <w:t>classification</w:t>
      </w:r>
      <w:r w:rsidRPr="00544EA2">
        <w:rPr>
          <w:rFonts w:eastAsia="Yu Gothic Light" w:hint="eastAsia"/>
        </w:rPr>
        <w:t>’</w:t>
      </w:r>
      <w:r w:rsidRPr="00544EA2">
        <w:rPr>
          <w:rFonts w:eastAsia="Yu Gothic Light"/>
        </w:rPr>
        <w:t xml:space="preserve"> in the system) is any of the following:</w:t>
      </w:r>
    </w:p>
    <w:p w14:paraId="4264B506" w14:textId="77777777" w:rsidR="003B0176" w:rsidRPr="009A1B8F" w:rsidRDefault="003B0176" w:rsidP="00DF3F6B">
      <w:pPr>
        <w:numPr>
          <w:ilvl w:val="0"/>
          <w:numId w:val="191"/>
        </w:numPr>
        <w:spacing w:before="240" w:after="240" w:line="240" w:lineRule="auto"/>
        <w:contextualSpacing/>
        <w:rPr>
          <w:rFonts w:eastAsia="Yu Gothic Light"/>
          <w:iCs/>
        </w:rPr>
      </w:pPr>
      <w:r w:rsidRPr="009A1B8F">
        <w:rPr>
          <w:rFonts w:eastAsia="Yu Gothic Light"/>
          <w:iCs/>
        </w:rPr>
        <w:t>SAH class 1 to 8</w:t>
      </w:r>
    </w:p>
    <w:p w14:paraId="2C817E2C" w14:textId="77777777" w:rsidR="003B0176" w:rsidRPr="009A1B8F" w:rsidRDefault="003B0176" w:rsidP="00DF3F6B">
      <w:pPr>
        <w:numPr>
          <w:ilvl w:val="0"/>
          <w:numId w:val="191"/>
        </w:numPr>
        <w:spacing w:before="240" w:after="240" w:line="240" w:lineRule="auto"/>
        <w:contextualSpacing/>
        <w:rPr>
          <w:rFonts w:eastAsia="Yu Gothic Light"/>
          <w:iCs/>
        </w:rPr>
      </w:pPr>
      <w:r w:rsidRPr="009A1B8F">
        <w:rPr>
          <w:rFonts w:eastAsia="Yu Gothic Light"/>
          <w:iCs/>
        </w:rPr>
        <w:t>SAH Restorative Care Pathway</w:t>
      </w:r>
    </w:p>
    <w:p w14:paraId="7ED23366" w14:textId="5083C001" w:rsidR="003B0176" w:rsidRPr="00237D4C" w:rsidRDefault="003B0176" w:rsidP="00DF3F6B">
      <w:pPr>
        <w:numPr>
          <w:ilvl w:val="0"/>
          <w:numId w:val="191"/>
        </w:numPr>
        <w:spacing w:before="240" w:after="240" w:line="240" w:lineRule="auto"/>
        <w:contextualSpacing/>
        <w:rPr>
          <w:rFonts w:eastAsia="Yu Gothic Light"/>
          <w:iCs/>
        </w:rPr>
      </w:pPr>
      <w:r w:rsidRPr="009A1B8F">
        <w:rPr>
          <w:rFonts w:eastAsia="Yu Gothic Light"/>
          <w:iCs/>
        </w:rPr>
        <w:t>SAH End-of-Life Pathway</w:t>
      </w:r>
      <w:r w:rsidRPr="00237D4C">
        <w:rPr>
          <w:rFonts w:eastAsia="Yu Gothic Light"/>
          <w:iCs/>
        </w:rPr>
        <w:t>.</w:t>
      </w:r>
    </w:p>
    <w:p w14:paraId="622CD585" w14:textId="77777777" w:rsidR="008F182F" w:rsidRPr="00FE282A" w:rsidRDefault="008F182F" w:rsidP="00C325C6">
      <w:pPr>
        <w:pStyle w:val="Sub-headings"/>
      </w:pPr>
      <w:r w:rsidRPr="003B6E75">
        <w:t>Note</w:t>
      </w:r>
      <w:r w:rsidRPr="00FE282A">
        <w:t>:</w:t>
      </w:r>
    </w:p>
    <w:p w14:paraId="6D0839A3" w14:textId="77777777" w:rsidR="008F182F" w:rsidRPr="004C0BC6" w:rsidRDefault="008F182F" w:rsidP="00C325C6">
      <w:pPr>
        <w:pStyle w:val="Sub-headings"/>
      </w:pPr>
      <w:r w:rsidRPr="004C0BC6">
        <w:t xml:space="preserve">The Support at Home AT-HM scheme is referred to as a </w:t>
      </w:r>
      <w:r w:rsidRPr="004C0BC6">
        <w:rPr>
          <w:rFonts w:hint="eastAsia"/>
        </w:rPr>
        <w:t>‘</w:t>
      </w:r>
      <w:r w:rsidRPr="004C0BC6">
        <w:t>short-term pathway</w:t>
      </w:r>
      <w:r w:rsidRPr="004C0BC6">
        <w:rPr>
          <w:rFonts w:hint="eastAsia"/>
        </w:rPr>
        <w:t>’</w:t>
      </w:r>
      <w:r w:rsidRPr="004C0BC6">
        <w:t>. Under the Act, the AT-HM scheme is enabled through the Assistive Technology and Home Modifications service groups. AT-HM can be added to an older person</w:t>
      </w:r>
      <w:r w:rsidRPr="004C0BC6">
        <w:rPr>
          <w:rFonts w:hint="eastAsia"/>
        </w:rPr>
        <w:t>’</w:t>
      </w:r>
      <w:r w:rsidRPr="004C0BC6">
        <w:t>s support plan, if there is an assessed need, after adding one of the ongoing or short-term Support at Home classifications above.</w:t>
      </w:r>
    </w:p>
    <w:p w14:paraId="25BDF824" w14:textId="77777777" w:rsidR="000D0303" w:rsidRPr="00313880" w:rsidRDefault="000D0303" w:rsidP="00622CFF">
      <w:pPr>
        <w:spacing w:before="240" w:after="240" w:line="240" w:lineRule="auto"/>
        <w:rPr>
          <w:rFonts w:eastAsia="Yu Gothic Light"/>
          <w:iCs/>
        </w:rPr>
      </w:pPr>
    </w:p>
    <w:p w14:paraId="774BC111" w14:textId="7CC23928" w:rsidR="003B0176" w:rsidRPr="00544EA2" w:rsidRDefault="00EB20DD" w:rsidP="00CC6081">
      <w:pPr>
        <w:pStyle w:val="H4"/>
      </w:pPr>
      <w:bookmarkStart w:id="736" w:name="_Toc198787172"/>
      <w:bookmarkStart w:id="737" w:name="_Toc380951114"/>
      <w:bookmarkStart w:id="738" w:name="_Toc199344553"/>
      <w:bookmarkStart w:id="739" w:name="_Toc205372088"/>
      <w:bookmarkStart w:id="740" w:name="_Toc207713993"/>
      <w:r>
        <w:t>Review</w:t>
      </w:r>
      <w:r w:rsidR="003B0176" w:rsidRPr="00544EA2">
        <w:t xml:space="preserve"> CHSP </w:t>
      </w:r>
      <w:bookmarkEnd w:id="736"/>
      <w:bookmarkEnd w:id="737"/>
      <w:bookmarkEnd w:id="738"/>
      <w:r w:rsidR="003B0176" w:rsidRPr="00544EA2">
        <w:t>service recommendations</w:t>
      </w:r>
      <w:bookmarkEnd w:id="739"/>
      <w:bookmarkEnd w:id="740"/>
    </w:p>
    <w:p w14:paraId="303A8EA1" w14:textId="0AB429D9" w:rsidR="003B0176" w:rsidRPr="00544EA2" w:rsidRDefault="005825A6" w:rsidP="00622CFF">
      <w:pPr>
        <w:spacing w:before="240" w:after="240" w:line="240" w:lineRule="auto"/>
        <w:rPr>
          <w:rFonts w:eastAsia="Yu Gothic Light"/>
        </w:rPr>
      </w:pPr>
      <w:r>
        <w:rPr>
          <w:rFonts w:eastAsia="Yu Gothic Light"/>
        </w:rPr>
        <w:t xml:space="preserve">Assessment </w:t>
      </w:r>
      <w:r w:rsidR="00D36C4D">
        <w:rPr>
          <w:rFonts w:eastAsia="Yu Gothic Light"/>
        </w:rPr>
        <w:t>delegates</w:t>
      </w:r>
      <w:r w:rsidR="00D36C4D" w:rsidRPr="00544EA2">
        <w:rPr>
          <w:rFonts w:eastAsia="Yu Gothic Light"/>
        </w:rPr>
        <w:t xml:space="preserve"> </w:t>
      </w:r>
      <w:r w:rsidR="003B0176" w:rsidRPr="00544EA2">
        <w:rPr>
          <w:rFonts w:eastAsia="Yu Gothic Light"/>
        </w:rPr>
        <w:t xml:space="preserve">should review any CHSP service recommendations listed. If </w:t>
      </w:r>
      <w:r>
        <w:rPr>
          <w:rFonts w:eastAsia="Yu Gothic Light"/>
        </w:rPr>
        <w:t>they</w:t>
      </w:r>
      <w:r w:rsidRPr="00544EA2">
        <w:rPr>
          <w:rFonts w:eastAsia="Yu Gothic Light"/>
        </w:rPr>
        <w:t xml:space="preserve"> </w:t>
      </w:r>
      <w:r w:rsidR="003B0176" w:rsidRPr="00544EA2">
        <w:rPr>
          <w:rFonts w:eastAsia="Yu Gothic Light"/>
        </w:rPr>
        <w:t xml:space="preserve">disagree with any of them, </w:t>
      </w:r>
      <w:r>
        <w:rPr>
          <w:rFonts w:eastAsia="Yu Gothic Light"/>
        </w:rPr>
        <w:t>they</w:t>
      </w:r>
      <w:r w:rsidRPr="00544EA2">
        <w:rPr>
          <w:rFonts w:eastAsia="Yu Gothic Light"/>
        </w:rPr>
        <w:t xml:space="preserve"> </w:t>
      </w:r>
      <w:r w:rsidR="003B0176" w:rsidRPr="00544EA2">
        <w:rPr>
          <w:rFonts w:eastAsia="Yu Gothic Light"/>
        </w:rPr>
        <w:t>should contact the assessor to discuss and amend the list if required.</w:t>
      </w:r>
    </w:p>
    <w:p w14:paraId="7F233BCE" w14:textId="71DA3D86" w:rsidR="003B0176" w:rsidRPr="00544EA2" w:rsidRDefault="003B0176" w:rsidP="00643B92">
      <w:pPr>
        <w:pStyle w:val="H4"/>
      </w:pPr>
      <w:r w:rsidRPr="00544EA2">
        <w:t xml:space="preserve">At the moment, </w:t>
      </w:r>
      <w:r w:rsidR="00D36C4D">
        <w:t>assessment</w:t>
      </w:r>
      <w:r w:rsidR="00952F7A" w:rsidDel="00D36C4D">
        <w:t xml:space="preserve"> </w:t>
      </w:r>
      <w:r w:rsidR="00D36C4D">
        <w:t>delegates</w:t>
      </w:r>
      <w:r w:rsidR="00952F7A" w:rsidRPr="00544EA2">
        <w:t xml:space="preserve"> </w:t>
      </w:r>
      <w:r w:rsidRPr="00544EA2">
        <w:t xml:space="preserve">are not able to record </w:t>
      </w:r>
      <w:r w:rsidR="00952F7A">
        <w:t>their</w:t>
      </w:r>
      <w:r w:rsidR="00952F7A" w:rsidRPr="00544EA2">
        <w:t xml:space="preserve"> </w:t>
      </w:r>
      <w:r w:rsidRPr="00544EA2">
        <w:t xml:space="preserve">agreement or disagreement alongside each CHSP service recommendation in the </w:t>
      </w:r>
      <w:r w:rsidR="0060352D">
        <w:t>assessor portal</w:t>
      </w:r>
      <w:r w:rsidRPr="00544EA2">
        <w:t xml:space="preserve">. </w:t>
      </w:r>
      <w:r w:rsidR="00952F7A">
        <w:t xml:space="preserve">An </w:t>
      </w:r>
      <w:r w:rsidR="00D36C4D">
        <w:t>assessment delegate’s</w:t>
      </w:r>
      <w:r w:rsidR="00952F7A" w:rsidRPr="00544EA2">
        <w:t xml:space="preserve"> </w:t>
      </w:r>
      <w:r w:rsidRPr="00544EA2">
        <w:t>decision to agree with the recommended CHSP services must be recorded in the Notice of Decision. Step 4. Confirm the priority category</w:t>
      </w:r>
    </w:p>
    <w:p w14:paraId="05BA4DE4" w14:textId="77777777" w:rsidR="003B0176" w:rsidRPr="00544EA2" w:rsidRDefault="003B0176" w:rsidP="00622CFF">
      <w:pPr>
        <w:spacing w:before="240" w:after="240" w:line="240" w:lineRule="auto"/>
        <w:rPr>
          <w:rFonts w:eastAsia="Yu Gothic Light"/>
        </w:rPr>
      </w:pPr>
      <w:r w:rsidRPr="00544EA2">
        <w:rPr>
          <w:rFonts w:eastAsia="Yu Gothic Light"/>
        </w:rPr>
        <w:t>Access to the ongoing Support at Home classifications (SAH classification 1 to 8) will be prioritised using information collected during the assessment process and on the client</w:t>
      </w:r>
      <w:r w:rsidRPr="00544EA2">
        <w:rPr>
          <w:rFonts w:eastAsia="Yu Gothic Light" w:hint="eastAsia"/>
        </w:rPr>
        <w:t>’</w:t>
      </w:r>
      <w:r w:rsidRPr="00544EA2">
        <w:rPr>
          <w:rFonts w:eastAsia="Yu Gothic Light"/>
        </w:rPr>
        <w:t>s record, through the Support at Home Priority System.</w:t>
      </w:r>
    </w:p>
    <w:p w14:paraId="574AE7A3" w14:textId="77777777" w:rsidR="003B0176" w:rsidRPr="00544EA2" w:rsidRDefault="003B0176" w:rsidP="00622CFF">
      <w:pPr>
        <w:spacing w:before="240" w:after="240" w:line="240" w:lineRule="auto"/>
        <w:rPr>
          <w:rFonts w:eastAsia="Yu Gothic Light"/>
        </w:rPr>
      </w:pPr>
      <w:r w:rsidRPr="00544EA2">
        <w:rPr>
          <w:rFonts w:eastAsia="Yu Gothic Light"/>
        </w:rPr>
        <w:t>An older person</w:t>
      </w:r>
      <w:r w:rsidRPr="00544EA2">
        <w:rPr>
          <w:rFonts w:eastAsia="Yu Gothic Light" w:hint="eastAsia"/>
        </w:rPr>
        <w:t>’</w:t>
      </w:r>
      <w:r w:rsidRPr="00544EA2">
        <w:rPr>
          <w:rFonts w:eastAsia="Yu Gothic Light"/>
        </w:rPr>
        <w:t>s priority category will be automatically determined by the system during their</w:t>
      </w:r>
      <w:r w:rsidRPr="00544EA2">
        <w:rPr>
          <w:rFonts w:eastAsia="Yu Gothic Light" w:hint="eastAsia"/>
        </w:rPr>
        <w:t> </w:t>
      </w:r>
      <w:r w:rsidRPr="00C73A00">
        <w:rPr>
          <w:rFonts w:eastAsia="Yu Gothic Light"/>
          <w:bCs/>
        </w:rPr>
        <w:t>aged care needs assessment</w:t>
      </w:r>
      <w:r w:rsidRPr="00C73A00">
        <w:rPr>
          <w:rFonts w:eastAsia="Yu Gothic Light" w:hint="eastAsia"/>
          <w:bCs/>
        </w:rPr>
        <w:t> </w:t>
      </w:r>
      <w:r w:rsidRPr="00544EA2">
        <w:rPr>
          <w:rFonts w:eastAsia="Yu Gothic Light"/>
        </w:rPr>
        <w:t xml:space="preserve">based on six different criteria and assigned one of four levels. The six criteria have </w:t>
      </w:r>
      <w:r w:rsidRPr="00544EA2">
        <w:rPr>
          <w:rFonts w:eastAsia="Yu Gothic Light" w:hint="eastAsia"/>
        </w:rPr>
        <w:t>‘</w:t>
      </w:r>
      <w:r w:rsidRPr="00544EA2">
        <w:rPr>
          <w:rFonts w:eastAsia="Yu Gothic Light"/>
        </w:rPr>
        <w:t>points</w:t>
      </w:r>
      <w:r w:rsidRPr="00544EA2">
        <w:rPr>
          <w:rFonts w:eastAsia="Yu Gothic Light" w:hint="eastAsia"/>
        </w:rPr>
        <w:t>’</w:t>
      </w:r>
      <w:r w:rsidRPr="00544EA2">
        <w:rPr>
          <w:rFonts w:eastAsia="Yu Gothic Light"/>
        </w:rPr>
        <w:t xml:space="preserve"> allocated to them, and how many points an individual has determines their eligibility for the priority category. </w:t>
      </w:r>
    </w:p>
    <w:p w14:paraId="6FA540D0" w14:textId="28DD9F8B" w:rsidR="003B0176" w:rsidRPr="00544EA2" w:rsidRDefault="003B0176" w:rsidP="00622CFF">
      <w:pPr>
        <w:spacing w:before="240" w:after="240" w:line="240" w:lineRule="auto"/>
        <w:rPr>
          <w:rFonts w:eastAsia="Yu Gothic Light"/>
        </w:rPr>
      </w:pPr>
      <w:r w:rsidRPr="00544EA2">
        <w:rPr>
          <w:rFonts w:eastAsia="Yu Gothic Light"/>
        </w:rPr>
        <w:t xml:space="preserve">The AT-HM scheme has its own priority </w:t>
      </w:r>
      <w:r w:rsidR="00C92086">
        <w:rPr>
          <w:rFonts w:eastAsia="Yu Gothic Light"/>
        </w:rPr>
        <w:t>s</w:t>
      </w:r>
      <w:r w:rsidRPr="00544EA2">
        <w:rPr>
          <w:rFonts w:eastAsia="Yu Gothic Light"/>
        </w:rPr>
        <w:t>ystem</w:t>
      </w:r>
      <w:r w:rsidR="00C92086">
        <w:rPr>
          <w:rFonts w:eastAsia="Yu Gothic Light"/>
        </w:rPr>
        <w:t>s</w:t>
      </w:r>
      <w:r w:rsidRPr="00544EA2">
        <w:rPr>
          <w:rFonts w:eastAsia="Yu Gothic Light"/>
        </w:rPr>
        <w:t xml:space="preserve"> and this is described further under the section </w:t>
      </w:r>
      <w:r w:rsidRPr="00544EA2">
        <w:rPr>
          <w:rFonts w:eastAsia="Yu Gothic Light"/>
          <w:i/>
        </w:rPr>
        <w:t>Approving AT and HM under Support at Home</w:t>
      </w:r>
      <w:r w:rsidRPr="00544EA2">
        <w:rPr>
          <w:rFonts w:eastAsia="Yu Gothic Light"/>
        </w:rPr>
        <w:t xml:space="preserve">, below. </w:t>
      </w:r>
    </w:p>
    <w:p w14:paraId="31B45B48" w14:textId="406FBB4F" w:rsidR="003B0176" w:rsidRDefault="003B0176" w:rsidP="00622CFF">
      <w:pPr>
        <w:spacing w:before="240" w:after="240" w:line="240" w:lineRule="auto"/>
        <w:rPr>
          <w:rFonts w:eastAsia="Arial"/>
        </w:rPr>
      </w:pPr>
      <w:r w:rsidRPr="00544EA2">
        <w:rPr>
          <w:rFonts w:eastAsia="Arial"/>
        </w:rPr>
        <w:t>The six criteria captured in the IAT or on the client</w:t>
      </w:r>
      <w:r w:rsidR="005B0459">
        <w:rPr>
          <w:rFonts w:eastAsia="Arial"/>
        </w:rPr>
        <w:t>’</w:t>
      </w:r>
      <w:r w:rsidRPr="00544EA2">
        <w:rPr>
          <w:rFonts w:eastAsia="Arial"/>
        </w:rPr>
        <w:t xml:space="preserve">s record that calculate the </w:t>
      </w:r>
      <w:r w:rsidR="008E1F34">
        <w:rPr>
          <w:rFonts w:eastAsia="Arial"/>
        </w:rPr>
        <w:t xml:space="preserve">Support at Home </w:t>
      </w:r>
      <w:r w:rsidRPr="00544EA2">
        <w:rPr>
          <w:rFonts w:eastAsia="Arial"/>
        </w:rPr>
        <w:t>priority category relate to whether the person:</w:t>
      </w:r>
    </w:p>
    <w:p w14:paraId="06C8BDB1"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lives alone (1 point)</w:t>
      </w:r>
    </w:p>
    <w:p w14:paraId="5E21F3DC"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identifies as Aboriginal or Torres Strait Islander (1 point)</w:t>
      </w:r>
    </w:p>
    <w:p w14:paraId="5795207A"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has an assessed cognitive impairment (1 point)</w:t>
      </w:r>
    </w:p>
    <w:p w14:paraId="0F0BD532"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is experiencing homelessness or is at risk of homelessness (1 point)</w:t>
      </w:r>
    </w:p>
    <w:p w14:paraId="53FE8FB7" w14:textId="77777777" w:rsidR="003B0176" w:rsidRPr="00544EA2" w:rsidRDefault="003B0176" w:rsidP="00DF3F6B">
      <w:pPr>
        <w:numPr>
          <w:ilvl w:val="0"/>
          <w:numId w:val="281"/>
        </w:numPr>
        <w:spacing w:before="240" w:after="240" w:line="240" w:lineRule="auto"/>
        <w:contextualSpacing/>
        <w:rPr>
          <w:rFonts w:eastAsia="Arial"/>
        </w:rPr>
      </w:pPr>
      <w:r w:rsidRPr="00544EA2">
        <w:rPr>
          <w:rFonts w:eastAsia="Arial"/>
        </w:rPr>
        <w:t>requires urgent ongoing service provision (2 point)</w:t>
      </w:r>
    </w:p>
    <w:p w14:paraId="67DC544B" w14:textId="77777777" w:rsidR="003B0176" w:rsidRPr="00CF4346" w:rsidRDefault="003B0176" w:rsidP="00DF3F6B">
      <w:pPr>
        <w:numPr>
          <w:ilvl w:val="0"/>
          <w:numId w:val="281"/>
        </w:numPr>
        <w:spacing w:before="240" w:after="240" w:line="240" w:lineRule="auto"/>
        <w:contextualSpacing/>
        <w:rPr>
          <w:rFonts w:eastAsia="Yu Gothic Light"/>
        </w:rPr>
      </w:pPr>
      <w:r w:rsidRPr="00544EA2">
        <w:rPr>
          <w:rFonts w:eastAsia="Arial"/>
        </w:rPr>
        <w:t>has waited more than six months from the day they applied to access services, or applied for reassessment and lives in a rural or remote area (in a Modified Monash Model category 5, 6 or 7 area) (1 point)</w:t>
      </w:r>
    </w:p>
    <w:p w14:paraId="0A9AA1E8" w14:textId="77777777" w:rsidR="003B0176" w:rsidRPr="00544EA2" w:rsidRDefault="003B0176" w:rsidP="00622CFF">
      <w:pPr>
        <w:spacing w:before="240" w:after="240" w:line="240" w:lineRule="auto"/>
        <w:ind w:left="720"/>
        <w:contextualSpacing/>
        <w:rPr>
          <w:rFonts w:eastAsia="Yu Gothic Light"/>
        </w:rPr>
      </w:pPr>
    </w:p>
    <w:p w14:paraId="694200E5" w14:textId="571F7295" w:rsidR="003B0176" w:rsidRPr="00544EA2" w:rsidRDefault="003B0176" w:rsidP="00622CFF">
      <w:pPr>
        <w:spacing w:before="240" w:after="240" w:line="240" w:lineRule="auto"/>
        <w:rPr>
          <w:rFonts w:eastAsia="Yu Gothic Light"/>
        </w:rPr>
      </w:pPr>
      <w:r w:rsidRPr="00544EA2">
        <w:rPr>
          <w:rFonts w:eastAsia="Yu Gothic Light"/>
        </w:rPr>
        <w:t>Although the system calculates priority automatically, Assessment Delegate</w:t>
      </w:r>
      <w:r w:rsidR="00C73A00">
        <w:rPr>
          <w:rFonts w:eastAsia="Yu Gothic Light"/>
        </w:rPr>
        <w:t xml:space="preserve">s </w:t>
      </w:r>
      <w:r w:rsidRPr="00C73A00">
        <w:rPr>
          <w:rFonts w:eastAsia="Yu Gothic Light"/>
          <w:bCs/>
        </w:rPr>
        <w:t>should check the responses to the six fields above</w:t>
      </w:r>
      <w:r w:rsidRPr="00544EA2">
        <w:rPr>
          <w:rFonts w:eastAsia="Yu Gothic Light"/>
        </w:rPr>
        <w:t xml:space="preserve"> to make sure that the correct priority category is applied.</w:t>
      </w:r>
    </w:p>
    <w:p w14:paraId="391E44D7" w14:textId="740A1956" w:rsidR="001D793F" w:rsidRPr="001D793F" w:rsidRDefault="005F78D0" w:rsidP="00C325C6">
      <w:pPr>
        <w:pStyle w:val="Sub-headings"/>
      </w:pPr>
      <w:r w:rsidRPr="00F37F02">
        <w:t>Note</w:t>
      </w:r>
      <w:r>
        <w:t>:</w:t>
      </w:r>
    </w:p>
    <w:p w14:paraId="64679775" w14:textId="17DC65EB" w:rsidR="00617EA2" w:rsidRDefault="00C73A00" w:rsidP="00C325C6">
      <w:pPr>
        <w:pStyle w:val="Sub-headings"/>
        <w:rPr>
          <w:rFonts w:eastAsia="Yu Gothic Light"/>
        </w:rPr>
      </w:pPr>
      <w:r w:rsidRPr="00C73A00">
        <w:t>Assessment</w:t>
      </w:r>
      <w:r w:rsidR="003B0176" w:rsidRPr="00C73A00" w:rsidDel="005B3CCC">
        <w:t xml:space="preserve"> </w:t>
      </w:r>
      <w:r w:rsidR="005B3CCC">
        <w:t>d</w:t>
      </w:r>
      <w:r w:rsidR="005B3CCC" w:rsidRPr="00C73A00">
        <w:t xml:space="preserve">elegates </w:t>
      </w:r>
      <w:r w:rsidR="003B0176" w:rsidRPr="00C73A00">
        <w:t xml:space="preserve">will not know the priority category until after </w:t>
      </w:r>
      <w:r w:rsidRPr="00C73A00">
        <w:t>they</w:t>
      </w:r>
      <w:r w:rsidR="003B0176" w:rsidRPr="00C73A00">
        <w:t xml:space="preserve"> click the </w:t>
      </w:r>
      <w:r w:rsidR="003B0176" w:rsidRPr="00C73A00">
        <w:rPr>
          <w:rFonts w:hint="eastAsia"/>
        </w:rPr>
        <w:t>‘</w:t>
      </w:r>
      <w:r w:rsidR="003B0176" w:rsidRPr="00C73A00">
        <w:t>Save and Delegate</w:t>
      </w:r>
      <w:r w:rsidR="003B0176" w:rsidRPr="00C73A00">
        <w:rPr>
          <w:rFonts w:hint="eastAsia"/>
        </w:rPr>
        <w:t>’</w:t>
      </w:r>
      <w:r w:rsidR="003B0176" w:rsidRPr="00C73A00">
        <w:t xml:space="preserve"> button in the portal.</w:t>
      </w:r>
    </w:p>
    <w:p w14:paraId="5B9DF57B" w14:textId="77777777" w:rsidR="003B0176" w:rsidRPr="00544EA2" w:rsidRDefault="003B0176" w:rsidP="00622CFF">
      <w:pPr>
        <w:spacing w:before="240" w:after="240" w:line="240" w:lineRule="auto"/>
        <w:rPr>
          <w:rFonts w:eastAsia="Yu Gothic Light"/>
        </w:rPr>
      </w:pPr>
      <w:r w:rsidRPr="00544EA2">
        <w:rPr>
          <w:rFonts w:eastAsia="Yu Gothic Light"/>
        </w:rPr>
        <w:t>The four priority categories are as follows:</w:t>
      </w:r>
    </w:p>
    <w:p w14:paraId="55DF543D" w14:textId="1BB8F6D3" w:rsidR="003B0176" w:rsidRPr="00544EA2" w:rsidRDefault="003B0176" w:rsidP="00622CFF">
      <w:pPr>
        <w:pStyle w:val="Caption"/>
        <w:spacing w:before="240" w:after="240"/>
        <w:rPr>
          <w:rFonts w:eastAsia="Yu Gothic Light"/>
        </w:rPr>
      </w:pPr>
      <w:r>
        <w:rPr>
          <w:rFonts w:eastAsia="Yu Gothic Light"/>
        </w:rPr>
        <w:t>Table 4</w:t>
      </w:r>
      <w:r w:rsidR="002C56D1">
        <w:rPr>
          <w:rFonts w:eastAsia="Yu Gothic Light"/>
        </w:rPr>
        <w:t>6</w:t>
      </w:r>
      <w:r>
        <w:rPr>
          <w:rFonts w:eastAsia="Yu Gothic Light"/>
        </w:rPr>
        <w:t xml:space="preserve">. Priority categories for ongoing Support at Home classifications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ity categories for ongoing Support at Home classifications"/>
      </w:tblPr>
      <w:tblGrid>
        <w:gridCol w:w="1413"/>
        <w:gridCol w:w="7603"/>
      </w:tblGrid>
      <w:tr w:rsidR="003B0176" w:rsidRPr="00544EA2" w14:paraId="49CC8CDD" w14:textId="77777777" w:rsidTr="00E340A7">
        <w:tc>
          <w:tcPr>
            <w:tcW w:w="1413" w:type="dxa"/>
            <w:shd w:val="clear" w:color="auto" w:fill="002060"/>
          </w:tcPr>
          <w:p w14:paraId="73AF78DB" w14:textId="77777777" w:rsidR="003B0176" w:rsidRPr="00544EA2" w:rsidRDefault="003B0176" w:rsidP="005960D3">
            <w:pPr>
              <w:spacing w:before="120" w:after="120"/>
              <w:rPr>
                <w:rFonts w:eastAsia="Arial"/>
              </w:rPr>
            </w:pPr>
            <w:r w:rsidRPr="00544EA2">
              <w:rPr>
                <w:rFonts w:eastAsia="Arial"/>
                <w:b/>
              </w:rPr>
              <w:t xml:space="preserve">Urgent </w:t>
            </w:r>
          </w:p>
          <w:p w14:paraId="2DBC5B73" w14:textId="77777777" w:rsidR="003B0176" w:rsidRPr="00544EA2" w:rsidRDefault="003B0176" w:rsidP="005960D3">
            <w:pPr>
              <w:spacing w:before="120" w:after="120"/>
              <w:rPr>
                <w:rFonts w:eastAsia="Yu Gothic Light"/>
              </w:rPr>
            </w:pPr>
          </w:p>
        </w:tc>
        <w:tc>
          <w:tcPr>
            <w:tcW w:w="7603" w:type="dxa"/>
          </w:tcPr>
          <w:p w14:paraId="2E0D2837" w14:textId="77777777" w:rsidR="003B0176" w:rsidRPr="00544EA2" w:rsidRDefault="003B0176" w:rsidP="005960D3">
            <w:pPr>
              <w:spacing w:before="120" w:after="120"/>
              <w:rPr>
                <w:rFonts w:eastAsia="Yu Gothic Light"/>
              </w:rPr>
            </w:pPr>
            <w:r w:rsidRPr="00544EA2">
              <w:rPr>
                <w:rFonts w:eastAsia="Arial"/>
              </w:rPr>
              <w:t xml:space="preserve">The older person has five or more points. </w:t>
            </w:r>
          </w:p>
        </w:tc>
      </w:tr>
      <w:tr w:rsidR="003B0176" w:rsidRPr="00544EA2" w14:paraId="3AFB6ECA" w14:textId="77777777" w:rsidTr="00E340A7">
        <w:tc>
          <w:tcPr>
            <w:tcW w:w="1413" w:type="dxa"/>
            <w:shd w:val="clear" w:color="auto" w:fill="002060"/>
          </w:tcPr>
          <w:p w14:paraId="4744CDAE" w14:textId="77777777" w:rsidR="003B0176" w:rsidRPr="00544EA2" w:rsidRDefault="003B0176" w:rsidP="005960D3">
            <w:pPr>
              <w:spacing w:before="120" w:after="120"/>
              <w:rPr>
                <w:rFonts w:eastAsia="Arial"/>
                <w:b/>
              </w:rPr>
            </w:pPr>
            <w:r w:rsidRPr="00544EA2">
              <w:rPr>
                <w:rFonts w:eastAsia="Arial"/>
                <w:b/>
              </w:rPr>
              <w:t>High</w:t>
            </w:r>
          </w:p>
        </w:tc>
        <w:tc>
          <w:tcPr>
            <w:tcW w:w="7603" w:type="dxa"/>
          </w:tcPr>
          <w:p w14:paraId="35936C6B" w14:textId="77777777" w:rsidR="003B0176" w:rsidRPr="00544EA2" w:rsidRDefault="003B0176" w:rsidP="005960D3">
            <w:pPr>
              <w:spacing w:before="120" w:after="120"/>
              <w:rPr>
                <w:rFonts w:eastAsia="Arial"/>
              </w:rPr>
            </w:pPr>
            <w:r w:rsidRPr="00544EA2">
              <w:rPr>
                <w:rFonts w:eastAsia="Arial"/>
              </w:rPr>
              <w:t>The older person has four points.</w:t>
            </w:r>
          </w:p>
          <w:p w14:paraId="73B32766" w14:textId="77777777" w:rsidR="003B0176" w:rsidRPr="00544EA2" w:rsidRDefault="003B0176" w:rsidP="005960D3">
            <w:pPr>
              <w:spacing w:before="120" w:after="120"/>
              <w:rPr>
                <w:rFonts w:eastAsia="Arial"/>
              </w:rPr>
            </w:pPr>
          </w:p>
        </w:tc>
      </w:tr>
      <w:tr w:rsidR="003B0176" w:rsidRPr="00544EA2" w14:paraId="6F5FFD0C" w14:textId="77777777" w:rsidTr="00E340A7">
        <w:tc>
          <w:tcPr>
            <w:tcW w:w="1413" w:type="dxa"/>
            <w:shd w:val="clear" w:color="auto" w:fill="002060"/>
          </w:tcPr>
          <w:p w14:paraId="5AD6033D" w14:textId="77777777" w:rsidR="003B0176" w:rsidRPr="00544EA2" w:rsidRDefault="003B0176" w:rsidP="005960D3">
            <w:pPr>
              <w:spacing w:before="120" w:after="120"/>
              <w:rPr>
                <w:rFonts w:eastAsia="Arial"/>
                <w:b/>
              </w:rPr>
            </w:pPr>
            <w:r w:rsidRPr="00544EA2">
              <w:rPr>
                <w:rFonts w:eastAsia="Arial"/>
                <w:b/>
              </w:rPr>
              <w:t>Medium</w:t>
            </w:r>
          </w:p>
        </w:tc>
        <w:tc>
          <w:tcPr>
            <w:tcW w:w="7603" w:type="dxa"/>
          </w:tcPr>
          <w:p w14:paraId="5F471C6A" w14:textId="77777777" w:rsidR="003B0176" w:rsidRPr="00544EA2" w:rsidRDefault="003B0176" w:rsidP="005960D3">
            <w:pPr>
              <w:spacing w:before="120" w:after="120"/>
              <w:rPr>
                <w:rFonts w:eastAsia="Arial"/>
              </w:rPr>
            </w:pPr>
            <w:r w:rsidRPr="00544EA2">
              <w:rPr>
                <w:rFonts w:eastAsia="Arial"/>
              </w:rPr>
              <w:t xml:space="preserve">The older person has two or three points. </w:t>
            </w:r>
          </w:p>
          <w:p w14:paraId="461A05DE" w14:textId="77777777" w:rsidR="003B0176" w:rsidRPr="00544EA2" w:rsidRDefault="003B0176" w:rsidP="005960D3">
            <w:pPr>
              <w:spacing w:before="120" w:after="120"/>
              <w:rPr>
                <w:rFonts w:eastAsia="Arial"/>
              </w:rPr>
            </w:pPr>
          </w:p>
        </w:tc>
      </w:tr>
      <w:tr w:rsidR="003B0176" w:rsidRPr="00544EA2" w14:paraId="2B20CE6E" w14:textId="77777777" w:rsidTr="00E340A7">
        <w:tc>
          <w:tcPr>
            <w:tcW w:w="1413" w:type="dxa"/>
            <w:shd w:val="clear" w:color="auto" w:fill="002060"/>
          </w:tcPr>
          <w:p w14:paraId="507BA8AC" w14:textId="77777777" w:rsidR="003B0176" w:rsidRPr="00544EA2" w:rsidRDefault="003B0176" w:rsidP="005960D3">
            <w:pPr>
              <w:spacing w:before="120" w:after="120"/>
              <w:rPr>
                <w:rFonts w:eastAsia="Arial"/>
                <w:b/>
              </w:rPr>
            </w:pPr>
            <w:r w:rsidRPr="00544EA2">
              <w:rPr>
                <w:rFonts w:eastAsia="Arial"/>
                <w:b/>
              </w:rPr>
              <w:t>Standard</w:t>
            </w:r>
          </w:p>
        </w:tc>
        <w:tc>
          <w:tcPr>
            <w:tcW w:w="7603" w:type="dxa"/>
          </w:tcPr>
          <w:p w14:paraId="3302BD4E" w14:textId="77777777" w:rsidR="003B0176" w:rsidRPr="00544EA2" w:rsidRDefault="003B0176" w:rsidP="005960D3">
            <w:pPr>
              <w:spacing w:before="120" w:after="120"/>
              <w:rPr>
                <w:rFonts w:eastAsia="Arial"/>
              </w:rPr>
            </w:pPr>
            <w:r w:rsidRPr="00544EA2">
              <w:rPr>
                <w:rFonts w:eastAsia="Arial"/>
              </w:rPr>
              <w:t xml:space="preserve">The older person has one or no points. </w:t>
            </w:r>
          </w:p>
          <w:p w14:paraId="0B25259E" w14:textId="77777777" w:rsidR="003B0176" w:rsidRPr="00544EA2" w:rsidRDefault="003B0176" w:rsidP="005960D3">
            <w:pPr>
              <w:spacing w:before="120" w:after="120"/>
              <w:rPr>
                <w:rFonts w:eastAsia="Arial"/>
              </w:rPr>
            </w:pPr>
          </w:p>
        </w:tc>
      </w:tr>
    </w:tbl>
    <w:p w14:paraId="1304AEC8" w14:textId="4E02ED55" w:rsidR="003B0176" w:rsidRPr="00544EA2" w:rsidRDefault="003B0176" w:rsidP="00622CFF">
      <w:pPr>
        <w:spacing w:before="240" w:after="240" w:line="240" w:lineRule="auto"/>
        <w:rPr>
          <w:rFonts w:eastAsia="Yu Gothic Light"/>
        </w:rPr>
      </w:pPr>
      <w:r w:rsidRPr="00544EA2">
        <w:rPr>
          <w:rFonts w:eastAsia="Yu Gothic Light"/>
        </w:rPr>
        <w:t xml:space="preserve">The Priority Category will be displayed under </w:t>
      </w:r>
      <w:r w:rsidRPr="00544EA2">
        <w:rPr>
          <w:rFonts w:eastAsia="Yu Gothic Light" w:hint="eastAsia"/>
        </w:rPr>
        <w:t>‘</w:t>
      </w:r>
      <w:r w:rsidRPr="00544EA2">
        <w:rPr>
          <w:rFonts w:eastAsia="Yu Gothic Light"/>
        </w:rPr>
        <w:t>Approvals for a Client</w:t>
      </w:r>
      <w:r w:rsidRPr="00544EA2">
        <w:rPr>
          <w:rFonts w:eastAsia="Yu Gothic Light" w:hint="eastAsia"/>
        </w:rPr>
        <w:t>’</w:t>
      </w:r>
      <w:r w:rsidRPr="00544EA2">
        <w:rPr>
          <w:rFonts w:eastAsia="Yu Gothic Light"/>
        </w:rPr>
        <w:t xml:space="preserve"> in the </w:t>
      </w:r>
      <w:r w:rsidR="0060352D">
        <w:rPr>
          <w:rFonts w:eastAsia="Yu Gothic Light"/>
        </w:rPr>
        <w:t xml:space="preserve">Assessor </w:t>
      </w:r>
      <w:r w:rsidR="00E118B1">
        <w:rPr>
          <w:rFonts w:eastAsia="Yu Gothic Light"/>
        </w:rPr>
        <w:t>P</w:t>
      </w:r>
      <w:r w:rsidR="0060352D">
        <w:rPr>
          <w:rFonts w:eastAsia="Yu Gothic Light"/>
        </w:rPr>
        <w:t>ortal</w:t>
      </w:r>
      <w:r w:rsidRPr="00544EA2">
        <w:rPr>
          <w:rFonts w:eastAsia="Yu Gothic Light"/>
        </w:rPr>
        <w:t>.</w:t>
      </w:r>
    </w:p>
    <w:p w14:paraId="35B1EBA6" w14:textId="77777777" w:rsidR="003B0176" w:rsidRPr="00544EA2" w:rsidRDefault="003B0176" w:rsidP="00622CFF">
      <w:pPr>
        <w:spacing w:before="240" w:after="240" w:line="240" w:lineRule="auto"/>
        <w:rPr>
          <w:rFonts w:eastAsia="Yu Gothic Light"/>
        </w:rPr>
      </w:pPr>
      <w:r w:rsidRPr="00544EA2">
        <w:rPr>
          <w:rFonts w:eastAsia="Yu Gothic Light"/>
        </w:rPr>
        <w:t>If an assessor makes changes to the following fields in an older person</w:t>
      </w:r>
      <w:r w:rsidRPr="00544EA2">
        <w:rPr>
          <w:rFonts w:eastAsia="Yu Gothic Light" w:hint="eastAsia"/>
        </w:rPr>
        <w:t>’</w:t>
      </w:r>
      <w:r w:rsidRPr="00544EA2">
        <w:rPr>
          <w:rFonts w:eastAsia="Yu Gothic Light"/>
        </w:rPr>
        <w:t>s client profile after the priority category has been calculated and the person has been placed in the queue, the system will automatically recalculate the priority category and queue position:</w:t>
      </w:r>
      <w:r w:rsidRPr="00544EA2">
        <w:rPr>
          <w:rFonts w:eastAsia="Yu Gothic Light" w:hint="eastAsia"/>
        </w:rPr>
        <w:t> </w:t>
      </w:r>
    </w:p>
    <w:p w14:paraId="05AA139A" w14:textId="77777777"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Accommodation type</w:t>
      </w:r>
    </w:p>
    <w:p w14:paraId="68BEBBAE" w14:textId="77777777"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No fixed address</w:t>
      </w:r>
    </w:p>
    <w:p w14:paraId="78330003" w14:textId="77777777"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Lives With</w:t>
      </w:r>
    </w:p>
    <w:p w14:paraId="57947251" w14:textId="54DFF285" w:rsidR="003B0176" w:rsidRPr="00544EA2" w:rsidRDefault="003B0176" w:rsidP="00DF3F6B">
      <w:pPr>
        <w:numPr>
          <w:ilvl w:val="0"/>
          <w:numId w:val="162"/>
        </w:numPr>
        <w:spacing w:before="240" w:after="240" w:line="240" w:lineRule="auto"/>
        <w:contextualSpacing/>
        <w:rPr>
          <w:rFonts w:eastAsia="Yu Gothic Light"/>
        </w:rPr>
      </w:pPr>
      <w:r w:rsidRPr="00544EA2">
        <w:rPr>
          <w:rFonts w:eastAsia="Yu Gothic Light"/>
        </w:rPr>
        <w:t>Aboriginal and Torres Strait Islander Status</w:t>
      </w:r>
    </w:p>
    <w:p w14:paraId="74F277BF" w14:textId="5D25AF64" w:rsidR="003B0176" w:rsidRPr="00544EA2" w:rsidRDefault="003B0176" w:rsidP="00C56CEC">
      <w:pPr>
        <w:pStyle w:val="H3"/>
      </w:pPr>
      <w:r w:rsidRPr="00544EA2">
        <w:t>Step 5. Confirm service seeking status (ongoing S</w:t>
      </w:r>
      <w:r w:rsidR="001E29E2">
        <w:t>upport at Home</w:t>
      </w:r>
      <w:r w:rsidRPr="00544EA2">
        <w:t xml:space="preserve"> </w:t>
      </w:r>
      <w:r w:rsidR="00956245" w:rsidRPr="00544EA2">
        <w:t>class</w:t>
      </w:r>
      <w:r w:rsidR="00956245">
        <w:t>ifications</w:t>
      </w:r>
      <w:r w:rsidR="00956245" w:rsidRPr="00544EA2">
        <w:t xml:space="preserve"> </w:t>
      </w:r>
      <w:r w:rsidRPr="00544EA2">
        <w:t>only)</w:t>
      </w:r>
    </w:p>
    <w:p w14:paraId="14E8D0ED" w14:textId="20B9AEE0" w:rsidR="003B0176" w:rsidRPr="00617EA2" w:rsidRDefault="003B0176" w:rsidP="00622CFF">
      <w:pPr>
        <w:spacing w:before="240" w:after="240" w:line="240" w:lineRule="auto"/>
        <w:rPr>
          <w:rFonts w:eastAsia="Aptos"/>
          <w:bCs/>
        </w:rPr>
      </w:pPr>
      <w:r w:rsidRPr="00544EA2">
        <w:rPr>
          <w:rFonts w:eastAsia="Aptos"/>
        </w:rPr>
        <w:t xml:space="preserve">As part of the assessment process, assessors </w:t>
      </w:r>
      <w:r w:rsidR="008B7717">
        <w:rPr>
          <w:rFonts w:eastAsia="Aptos"/>
        </w:rPr>
        <w:t xml:space="preserve">are expected to </w:t>
      </w:r>
      <w:r w:rsidRPr="00544EA2">
        <w:rPr>
          <w:rFonts w:eastAsia="Aptos"/>
        </w:rPr>
        <w:t xml:space="preserve">have a clear conversation with the individual about whether they are seeking to receive services </w:t>
      </w:r>
      <w:r w:rsidRPr="00617EA2">
        <w:rPr>
          <w:rFonts w:eastAsia="Aptos"/>
          <w:bCs/>
        </w:rPr>
        <w:t>through the Support at Home program. This helps ensure the individual's current needs are met and supports fair and timely access to services for others. When individuals who are</w:t>
      </w:r>
      <w:r w:rsidRPr="00617EA2">
        <w:rPr>
          <w:rFonts w:eastAsia="Aptos" w:hint="eastAsia"/>
          <w:bCs/>
        </w:rPr>
        <w:t> </w:t>
      </w:r>
      <w:r w:rsidRPr="00617EA2">
        <w:rPr>
          <w:rFonts w:eastAsia="Aptos"/>
          <w:bCs/>
        </w:rPr>
        <w:t>not actively seeking services</w:t>
      </w:r>
      <w:r w:rsidRPr="00617EA2">
        <w:rPr>
          <w:rFonts w:eastAsia="Aptos" w:hint="eastAsia"/>
          <w:bCs/>
        </w:rPr>
        <w:t> </w:t>
      </w:r>
      <w:r w:rsidRPr="00617EA2">
        <w:rPr>
          <w:rFonts w:eastAsia="Aptos"/>
          <w:bCs/>
        </w:rPr>
        <w:t xml:space="preserve">through the Support at Home program remain on the Support at Home Priority System, it can cause delays for those who are ready and actively seeking services. </w:t>
      </w:r>
    </w:p>
    <w:p w14:paraId="42A3D55C" w14:textId="77777777" w:rsidR="003B0176" w:rsidRPr="00544EA2" w:rsidRDefault="003B0176" w:rsidP="00622CFF">
      <w:pPr>
        <w:spacing w:before="240" w:after="240" w:line="240" w:lineRule="auto"/>
        <w:rPr>
          <w:rFonts w:eastAsia="Yu Gothic Light"/>
        </w:rPr>
      </w:pPr>
      <w:r w:rsidRPr="00544EA2">
        <w:rPr>
          <w:rFonts w:eastAsia="Yu Gothic Light"/>
        </w:rPr>
        <w:t xml:space="preserve">Before referring the client for services, the assessor should confirm with the client if they wish to seek home support from the Support at Home program and record their preference in the support plan: </w:t>
      </w:r>
    </w:p>
    <w:p w14:paraId="223D0C48" w14:textId="77777777" w:rsidR="003B0176" w:rsidRPr="00544EA2" w:rsidRDefault="003B0176" w:rsidP="00DF3F6B">
      <w:pPr>
        <w:numPr>
          <w:ilvl w:val="0"/>
          <w:numId w:val="141"/>
        </w:numPr>
        <w:spacing w:before="240" w:after="240" w:line="240" w:lineRule="auto"/>
        <w:contextualSpacing/>
        <w:rPr>
          <w:rFonts w:eastAsia="Yu Gothic Light"/>
        </w:rPr>
      </w:pPr>
      <w:r w:rsidRPr="00E340A7">
        <w:rPr>
          <w:rFonts w:eastAsia="Yu Gothic Light"/>
        </w:rPr>
        <w:t>For clients seeking to access their ongoing home support through the Support at Home program</w:t>
      </w:r>
      <w:r w:rsidRPr="00544EA2">
        <w:rPr>
          <w:rFonts w:eastAsia="Yu Gothic Light"/>
        </w:rPr>
        <w:t xml:space="preserve">, the assessor should set the service seeking preference for the ongoing SaH classification to </w:t>
      </w:r>
      <w:r w:rsidRPr="00544EA2">
        <w:rPr>
          <w:rFonts w:eastAsia="Yu Gothic Light" w:hint="eastAsia"/>
        </w:rPr>
        <w:t>‘</w:t>
      </w:r>
      <w:r w:rsidRPr="00544EA2">
        <w:rPr>
          <w:rFonts w:eastAsia="Yu Gothic Light"/>
        </w:rPr>
        <w:t>seeking services</w:t>
      </w:r>
      <w:r w:rsidRPr="00544EA2">
        <w:rPr>
          <w:rFonts w:eastAsia="Yu Gothic Light" w:hint="eastAsia"/>
        </w:rPr>
        <w:t>’</w:t>
      </w:r>
    </w:p>
    <w:p w14:paraId="1B0CE22D" w14:textId="6B45871D" w:rsidR="003B0176" w:rsidRPr="00544EA2" w:rsidRDefault="003B0176" w:rsidP="00DF3F6B">
      <w:pPr>
        <w:numPr>
          <w:ilvl w:val="0"/>
          <w:numId w:val="141"/>
        </w:numPr>
        <w:spacing w:before="240" w:after="240" w:line="240" w:lineRule="auto"/>
        <w:contextualSpacing/>
        <w:rPr>
          <w:rFonts w:eastAsia="Yu Gothic Light"/>
        </w:rPr>
      </w:pPr>
      <w:r w:rsidRPr="009F165C">
        <w:rPr>
          <w:rFonts w:eastAsia="Yu Gothic Light"/>
        </w:rPr>
        <w:t xml:space="preserve">For clients </w:t>
      </w:r>
      <w:r w:rsidRPr="009F165C">
        <w:rPr>
          <w:rFonts w:eastAsia="Yu Gothic Light"/>
          <w:u w:val="single"/>
        </w:rPr>
        <w:t>not</w:t>
      </w:r>
      <w:r w:rsidRPr="009F165C">
        <w:rPr>
          <w:rFonts w:eastAsia="Yu Gothic Light"/>
        </w:rPr>
        <w:t xml:space="preserve"> seeking to access their ongoing home support services through the Support at Home program</w:t>
      </w:r>
      <w:r w:rsidRPr="00544EA2">
        <w:rPr>
          <w:rFonts w:eastAsia="Yu Gothic Light"/>
        </w:rPr>
        <w:t xml:space="preserve">, the assessor should set the service seeking preference for their ongoing SaH classification </w:t>
      </w:r>
      <w:r w:rsidRPr="00544EA2">
        <w:rPr>
          <w:rFonts w:eastAsia="Yu Gothic Light" w:hint="eastAsia"/>
        </w:rPr>
        <w:t>‘</w:t>
      </w:r>
      <w:r w:rsidRPr="00544EA2">
        <w:rPr>
          <w:rFonts w:eastAsia="Yu Gothic Light"/>
        </w:rPr>
        <w:t>not seeking services</w:t>
      </w:r>
      <w:r w:rsidRPr="00544EA2">
        <w:rPr>
          <w:rFonts w:eastAsia="Yu Gothic Light" w:hint="eastAsia"/>
        </w:rPr>
        <w:t>’</w:t>
      </w:r>
      <w:r w:rsidRPr="00544EA2">
        <w:rPr>
          <w:rFonts w:eastAsia="Yu Gothic Light"/>
        </w:rPr>
        <w:t xml:space="preserve">. The assessor should do this for clients who choose to access services through NATSIFACP or MPSP and so do not require services from a Support at Home provider. This option makes sure the client does not enter the Support at Home Priority </w:t>
      </w:r>
      <w:r w:rsidR="002C56D1" w:rsidRPr="00544EA2">
        <w:rPr>
          <w:rFonts w:eastAsia="Yu Gothic Light"/>
        </w:rPr>
        <w:t>System and</w:t>
      </w:r>
      <w:r w:rsidRPr="00544EA2">
        <w:rPr>
          <w:rFonts w:eastAsia="Yu Gothic Light"/>
        </w:rPr>
        <w:t xml:space="preserve"> so is not allocated funding under the AT-HM scheme.</w:t>
      </w:r>
    </w:p>
    <w:p w14:paraId="25CA71D0" w14:textId="77777777" w:rsidR="00F27005" w:rsidRDefault="00F27005" w:rsidP="00622CFF">
      <w:pPr>
        <w:spacing w:before="240" w:after="240" w:line="240" w:lineRule="auto"/>
        <w:rPr>
          <w:rFonts w:eastAsia="Yu Gothic Light"/>
        </w:rPr>
      </w:pPr>
    </w:p>
    <w:p w14:paraId="584D9EC7" w14:textId="6674B180" w:rsidR="003B0176" w:rsidRPr="00544EA2" w:rsidRDefault="003B0176" w:rsidP="00622CFF">
      <w:pPr>
        <w:spacing w:before="240" w:after="240" w:line="240" w:lineRule="auto"/>
        <w:rPr>
          <w:rFonts w:eastAsia="Yu Gothic Light"/>
        </w:rPr>
      </w:pPr>
      <w:r w:rsidRPr="00544EA2">
        <w:rPr>
          <w:rFonts w:eastAsia="Yu Gothic Light"/>
        </w:rPr>
        <w:t>If the older person later wants to use their ongoing SaH classification through the Support at Home program, they can change their preference and enter the Support at Home Priority System. Their wait time will be counted from their original access approval date of effect. That is, it will be as if they had stayed in the queue from their first approval. They can change their preference by:</w:t>
      </w:r>
    </w:p>
    <w:p w14:paraId="34D12E9B"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rPr>
        <w:t>contacting My Aged Care</w:t>
      </w:r>
    </w:p>
    <w:p w14:paraId="57F5C2E1" w14:textId="77777777" w:rsidR="003B0176" w:rsidRDefault="003B0176" w:rsidP="00DF3F6B">
      <w:pPr>
        <w:numPr>
          <w:ilvl w:val="0"/>
          <w:numId w:val="141"/>
        </w:numPr>
        <w:spacing w:before="240" w:after="240" w:line="240" w:lineRule="auto"/>
        <w:contextualSpacing/>
        <w:rPr>
          <w:rFonts w:eastAsia="Yu Gothic Light"/>
        </w:rPr>
      </w:pPr>
      <w:r w:rsidRPr="00544EA2">
        <w:rPr>
          <w:rFonts w:eastAsia="Yu Gothic Light"/>
        </w:rPr>
        <w:t xml:space="preserve">using the </w:t>
      </w:r>
      <w:hyperlink r:id="rId235">
        <w:r w:rsidRPr="00544EA2">
          <w:rPr>
            <w:rFonts w:eastAsia="Arial"/>
            <w:color w:val="2BB1BB"/>
            <w:u w:val="single"/>
          </w:rPr>
          <w:t>My Aged Care Online Account</w:t>
        </w:r>
      </w:hyperlink>
      <w:r w:rsidRPr="00544EA2">
        <w:rPr>
          <w:rFonts w:eastAsia="Yu Gothic Light"/>
        </w:rPr>
        <w:t xml:space="preserve">. </w:t>
      </w:r>
    </w:p>
    <w:p w14:paraId="0A421206" w14:textId="77777777" w:rsidR="003B0176" w:rsidRPr="00544EA2" w:rsidRDefault="003B0176" w:rsidP="00622CFF">
      <w:pPr>
        <w:spacing w:before="240" w:after="240" w:line="240" w:lineRule="auto"/>
        <w:ind w:left="720"/>
        <w:contextualSpacing/>
        <w:rPr>
          <w:rFonts w:eastAsia="Yu Gothic Light"/>
        </w:rPr>
      </w:pPr>
    </w:p>
    <w:p w14:paraId="23BA3351" w14:textId="30D7B2E8" w:rsidR="003B0176" w:rsidRPr="00483C68" w:rsidRDefault="003B0176" w:rsidP="00622CFF">
      <w:pPr>
        <w:pStyle w:val="NoSpacing"/>
        <w:spacing w:before="240" w:after="240" w:line="240" w:lineRule="auto"/>
      </w:pPr>
      <w:r w:rsidRPr="20863C94">
        <w:rPr>
          <w:rFonts w:ascii="Arial" w:hAnsi="Arial" w:cs="Arial"/>
          <w:sz w:val="22"/>
          <w:szCs w:val="22"/>
          <w:lang w:val="en-GB"/>
        </w:rPr>
        <w:t>Assessment Delegate</w:t>
      </w:r>
      <w:r w:rsidR="00617EA2" w:rsidRPr="20863C94">
        <w:rPr>
          <w:rFonts w:ascii="Arial" w:hAnsi="Arial" w:cs="Arial"/>
          <w:sz w:val="22"/>
          <w:szCs w:val="22"/>
          <w:lang w:val="en-GB"/>
        </w:rPr>
        <w:t xml:space="preserve">s </w:t>
      </w:r>
      <w:r w:rsidRPr="20863C94">
        <w:rPr>
          <w:rFonts w:ascii="Arial" w:hAnsi="Arial" w:cs="Arial"/>
          <w:sz w:val="22"/>
          <w:szCs w:val="22"/>
          <w:lang w:val="en-GB"/>
        </w:rPr>
        <w:t>are responsible for confirming that the client's preference</w:t>
      </w:r>
      <w:r w:rsidRPr="20863C94">
        <w:rPr>
          <w:rFonts w:ascii="Arial" w:hAnsi="Arial" w:cs="Arial" w:hint="eastAsia"/>
          <w:sz w:val="22"/>
          <w:szCs w:val="22"/>
          <w:lang w:val="en-GB"/>
        </w:rPr>
        <w:t>—</w:t>
      </w:r>
      <w:r w:rsidRPr="20863C94">
        <w:rPr>
          <w:rFonts w:ascii="Arial" w:hAnsi="Arial" w:cs="Arial"/>
          <w:sz w:val="22"/>
          <w:szCs w:val="22"/>
          <w:lang w:val="en-GB"/>
        </w:rPr>
        <w:t>whether to seek or not seek services through the Support at Home program</w:t>
      </w:r>
      <w:r w:rsidRPr="20863C94">
        <w:rPr>
          <w:rFonts w:ascii="Arial" w:hAnsi="Arial" w:cs="Arial" w:hint="eastAsia"/>
          <w:sz w:val="22"/>
          <w:szCs w:val="22"/>
          <w:lang w:val="en-GB"/>
        </w:rPr>
        <w:t>—</w:t>
      </w:r>
      <w:r w:rsidRPr="20863C94">
        <w:rPr>
          <w:rFonts w:ascii="Arial" w:hAnsi="Arial" w:cs="Arial"/>
          <w:sz w:val="22"/>
          <w:szCs w:val="22"/>
          <w:lang w:val="en-GB"/>
        </w:rPr>
        <w:t>has been</w:t>
      </w:r>
      <w:r w:rsidRPr="20863C94">
        <w:rPr>
          <w:rFonts w:ascii="Arial" w:hAnsi="Arial" w:cs="Arial" w:hint="eastAsia"/>
          <w:sz w:val="22"/>
          <w:szCs w:val="22"/>
          <w:lang w:val="en-GB"/>
        </w:rPr>
        <w:t> </w:t>
      </w:r>
      <w:r w:rsidRPr="009F165C">
        <w:rPr>
          <w:rFonts w:ascii="Arial" w:hAnsi="Arial" w:cs="Arial"/>
          <w:sz w:val="22"/>
          <w:szCs w:val="22"/>
          <w:lang w:val="en-GB"/>
        </w:rPr>
        <w:t>accurately recorded</w:t>
      </w:r>
      <w:r w:rsidRPr="20863C94">
        <w:rPr>
          <w:rFonts w:ascii="Arial" w:hAnsi="Arial" w:cs="Arial" w:hint="eastAsia"/>
          <w:sz w:val="22"/>
          <w:szCs w:val="22"/>
          <w:lang w:val="en-GB"/>
        </w:rPr>
        <w:t> </w:t>
      </w:r>
      <w:r w:rsidRPr="20863C94">
        <w:rPr>
          <w:rFonts w:ascii="Arial" w:hAnsi="Arial" w:cs="Arial"/>
          <w:sz w:val="22"/>
          <w:szCs w:val="22"/>
          <w:lang w:val="en-GB"/>
        </w:rPr>
        <w:t>in the support plan and that it aligns with their assessed needs.</w:t>
      </w:r>
    </w:p>
    <w:p w14:paraId="394F7AAD" w14:textId="300EF962" w:rsidR="003B0176" w:rsidRPr="00544EA2" w:rsidRDefault="003B0176" w:rsidP="00507F9D">
      <w:pPr>
        <w:pStyle w:val="h2"/>
      </w:pPr>
      <w:bookmarkStart w:id="741" w:name="_Toc209189026"/>
      <w:bookmarkStart w:id="742" w:name="_Toc224916683"/>
      <w:r w:rsidRPr="00544EA2">
        <w:t xml:space="preserve">Approving </w:t>
      </w:r>
      <w:r w:rsidR="002C56D1" w:rsidRPr="00544EA2">
        <w:t>A</w:t>
      </w:r>
      <w:r w:rsidR="002C56D1">
        <w:t>ssistive</w:t>
      </w:r>
      <w:r w:rsidR="00AD125A">
        <w:t xml:space="preserve"> </w:t>
      </w:r>
      <w:r w:rsidRPr="00544EA2">
        <w:t>T</w:t>
      </w:r>
      <w:r w:rsidR="00AD125A">
        <w:t>echnology</w:t>
      </w:r>
      <w:r w:rsidRPr="00544EA2">
        <w:t xml:space="preserve"> and H</w:t>
      </w:r>
      <w:r w:rsidR="00AD125A">
        <w:t xml:space="preserve">ome </w:t>
      </w:r>
      <w:r w:rsidR="002C56D1" w:rsidRPr="00544EA2">
        <w:t>M</w:t>
      </w:r>
      <w:r w:rsidR="002C56D1">
        <w:t>odifications</w:t>
      </w:r>
      <w:r w:rsidRPr="00544EA2">
        <w:t xml:space="preserve"> under Support at Home</w:t>
      </w:r>
      <w:bookmarkEnd w:id="741"/>
      <w:bookmarkEnd w:id="742"/>
      <w:r w:rsidRPr="00544EA2">
        <w:t> </w:t>
      </w:r>
    </w:p>
    <w:p w14:paraId="392206EE" w14:textId="05BFA516" w:rsidR="003B0176" w:rsidRPr="00544EA2" w:rsidRDefault="003B0176" w:rsidP="00622CFF">
      <w:pPr>
        <w:spacing w:before="240" w:after="240" w:line="240" w:lineRule="auto"/>
        <w:rPr>
          <w:rFonts w:eastAsia="Yu Gothic Light"/>
        </w:rPr>
      </w:pPr>
      <w:r w:rsidRPr="00544EA2">
        <w:rPr>
          <w:rFonts w:eastAsia="Yu Gothic Light"/>
        </w:rPr>
        <w:t>This section relates to approving A</w:t>
      </w:r>
      <w:r w:rsidR="00AD125A">
        <w:rPr>
          <w:rFonts w:eastAsia="Yu Gothic Light"/>
        </w:rPr>
        <w:t xml:space="preserve">ssistive </w:t>
      </w:r>
      <w:r w:rsidRPr="00544EA2">
        <w:rPr>
          <w:rFonts w:eastAsia="Yu Gothic Light"/>
        </w:rPr>
        <w:t>T</w:t>
      </w:r>
      <w:r w:rsidR="00AD125A">
        <w:rPr>
          <w:rFonts w:eastAsia="Yu Gothic Light"/>
        </w:rPr>
        <w:t>echnology (</w:t>
      </w:r>
      <w:r w:rsidRPr="00544EA2">
        <w:rPr>
          <w:rFonts w:eastAsia="Yu Gothic Light"/>
        </w:rPr>
        <w:t>AT</w:t>
      </w:r>
      <w:r w:rsidR="00AD125A">
        <w:rPr>
          <w:rFonts w:eastAsia="Yu Gothic Light"/>
        </w:rPr>
        <w:t>)</w:t>
      </w:r>
      <w:r w:rsidRPr="00544EA2">
        <w:rPr>
          <w:rFonts w:eastAsia="Yu Gothic Light"/>
        </w:rPr>
        <w:t xml:space="preserve"> or H</w:t>
      </w:r>
      <w:r w:rsidR="00AD125A">
        <w:rPr>
          <w:rFonts w:eastAsia="Yu Gothic Light"/>
        </w:rPr>
        <w:t xml:space="preserve">ome </w:t>
      </w:r>
      <w:r w:rsidRPr="00544EA2">
        <w:rPr>
          <w:rFonts w:eastAsia="Yu Gothic Light"/>
        </w:rPr>
        <w:t>M</w:t>
      </w:r>
      <w:r w:rsidR="00AD125A">
        <w:rPr>
          <w:rFonts w:eastAsia="Yu Gothic Light"/>
        </w:rPr>
        <w:t>odifications (</w:t>
      </w:r>
      <w:r w:rsidRPr="00544EA2">
        <w:rPr>
          <w:rFonts w:eastAsia="Yu Gothic Light"/>
        </w:rPr>
        <w:t>HM</w:t>
      </w:r>
      <w:r w:rsidR="00AD125A">
        <w:rPr>
          <w:rFonts w:eastAsia="Yu Gothic Light"/>
        </w:rPr>
        <w:t>)</w:t>
      </w:r>
      <w:r w:rsidRPr="00544EA2">
        <w:rPr>
          <w:rFonts w:eastAsia="Yu Gothic Light"/>
        </w:rPr>
        <w:t xml:space="preserve"> under the AT-HM scheme</w:t>
      </w:r>
      <w:r w:rsidR="003E1284">
        <w:rPr>
          <w:rFonts w:eastAsia="Yu Gothic Light"/>
        </w:rPr>
        <w:t>.</w:t>
      </w:r>
      <w:r w:rsidRPr="00544EA2">
        <w:rPr>
          <w:rFonts w:eastAsia="Yu Gothic Light"/>
        </w:rPr>
        <w:t xml:space="preserve"> </w:t>
      </w:r>
      <w:r w:rsidR="003E1284">
        <w:rPr>
          <w:rFonts w:eastAsia="Yu Gothic Light"/>
        </w:rPr>
        <w:t>The AT-HM scheme i</w:t>
      </w:r>
      <w:r w:rsidRPr="00544EA2">
        <w:rPr>
          <w:rFonts w:eastAsia="Yu Gothic Light"/>
        </w:rPr>
        <w:t xml:space="preserve">s one of the short-term pathways of the Support at Home </w:t>
      </w:r>
      <w:r w:rsidR="00806356">
        <w:rPr>
          <w:rFonts w:eastAsia="Yu Gothic Light"/>
        </w:rPr>
        <w:t>(SaH)</w:t>
      </w:r>
      <w:r w:rsidRPr="00544EA2">
        <w:rPr>
          <w:rFonts w:eastAsia="Yu Gothic Light"/>
        </w:rPr>
        <w:t xml:space="preserve"> program. To be approved for the AT-HM scheme, the older person must also be approved for home support with a SAH classification level. A later section will show how to approve AT-HM when the classification level of the older person is </w:t>
      </w:r>
      <w:r w:rsidRPr="00544EA2">
        <w:rPr>
          <w:rFonts w:eastAsia="Yu Gothic Light"/>
          <w:i/>
        </w:rPr>
        <w:t>CHSP class</w:t>
      </w:r>
      <w:r w:rsidRPr="00544EA2">
        <w:rPr>
          <w:rFonts w:eastAsia="Yu Gothic Light"/>
        </w:rPr>
        <w:t>.</w:t>
      </w:r>
    </w:p>
    <w:p w14:paraId="6970A842" w14:textId="77777777" w:rsidR="003B0176" w:rsidRPr="00544EA2" w:rsidRDefault="003B0176" w:rsidP="00C56CEC">
      <w:pPr>
        <w:pStyle w:val="H3"/>
      </w:pPr>
      <w:bookmarkStart w:id="743" w:name="_Toc198787176"/>
      <w:bookmarkStart w:id="744" w:name="_Toc1318243315"/>
      <w:bookmarkStart w:id="745" w:name="_Toc199344557"/>
      <w:bookmarkStart w:id="746" w:name="_Toc205372094"/>
      <w:bookmarkStart w:id="747" w:name="_Toc207713997"/>
      <w:r w:rsidRPr="00544EA2">
        <w:t>Step 1. Decide if the older person is eligible for AT or HM</w:t>
      </w:r>
      <w:bookmarkEnd w:id="743"/>
      <w:bookmarkEnd w:id="744"/>
      <w:bookmarkEnd w:id="745"/>
      <w:bookmarkEnd w:id="746"/>
      <w:bookmarkEnd w:id="747"/>
    </w:p>
    <w:p w14:paraId="21F3D6FA" w14:textId="242CF3FE"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AT or HM, </w:t>
      </w:r>
      <w:r w:rsidR="00806356">
        <w:rPr>
          <w:rFonts w:eastAsia="Yu Gothic Light"/>
        </w:rPr>
        <w:t>an Assessment Delegate</w:t>
      </w:r>
      <w:r w:rsidR="00806356" w:rsidRPr="00544EA2">
        <w:rPr>
          <w:rFonts w:eastAsia="Yu Gothic Light"/>
        </w:rPr>
        <w:t xml:space="preserve"> </w:t>
      </w:r>
      <w:r w:rsidRPr="00544EA2">
        <w:rPr>
          <w:rFonts w:eastAsia="Yu Gothic Light"/>
        </w:rPr>
        <w:t>first need</w:t>
      </w:r>
      <w:r w:rsidR="00806356">
        <w:rPr>
          <w:rFonts w:eastAsia="Yu Gothic Light"/>
        </w:rPr>
        <w:t>s</w:t>
      </w:r>
      <w:r w:rsidRPr="00544EA2">
        <w:rPr>
          <w:rFonts w:eastAsia="Yu Gothic Light"/>
        </w:rPr>
        <w:t xml:space="preserve"> to decide if an older person requires and is eligible to access one or both of these service groups. </w:t>
      </w:r>
    </w:p>
    <w:p w14:paraId="228AF6FC" w14:textId="38EAF837" w:rsidR="003B0176" w:rsidRPr="00544EA2" w:rsidRDefault="003B0176" w:rsidP="00622CFF">
      <w:pPr>
        <w:spacing w:before="240" w:after="240" w:line="240" w:lineRule="auto"/>
        <w:rPr>
          <w:rFonts w:eastAsia="Arial"/>
          <w:color w:val="000000"/>
        </w:rPr>
      </w:pPr>
      <w:r w:rsidRPr="00544EA2">
        <w:rPr>
          <w:rFonts w:eastAsia="Arial"/>
          <w:color w:val="000000"/>
        </w:rPr>
        <w:t xml:space="preserve">Existing questions in the IAT will help to identify and determine an older person’s need for AT or HM. For example, the purpose of the function section is to understand a </w:t>
      </w:r>
      <w:r w:rsidR="003523CC" w:rsidRPr="00544EA2">
        <w:rPr>
          <w:rFonts w:eastAsia="Arial"/>
          <w:color w:val="000000"/>
        </w:rPr>
        <w:t>client’s</w:t>
      </w:r>
      <w:r w:rsidRPr="00544EA2">
        <w:rPr>
          <w:rFonts w:eastAsia="Arial"/>
          <w:color w:val="000000"/>
        </w:rPr>
        <w:t xml:space="preserve"> functional ability, their ability to complete activities of daily living, and if the client requires further assistance with these.</w:t>
      </w:r>
      <w:r w:rsidR="00D10B80">
        <w:rPr>
          <w:rFonts w:eastAsia="Arial"/>
          <w:color w:val="000000"/>
        </w:rPr>
        <w:t xml:space="preserve"> </w:t>
      </w:r>
    </w:p>
    <w:p w14:paraId="4831E3EF" w14:textId="6B99172F" w:rsidR="003B0176" w:rsidRPr="00544EA2" w:rsidRDefault="003B0176" w:rsidP="00622CFF">
      <w:pPr>
        <w:spacing w:before="240" w:after="240" w:line="240" w:lineRule="auto"/>
        <w:rPr>
          <w:rFonts w:eastAsia="Arial"/>
          <w:color w:val="000000"/>
        </w:rPr>
      </w:pPr>
      <w:r w:rsidRPr="00544EA2">
        <w:rPr>
          <w:rFonts w:eastAsia="Arial"/>
          <w:color w:val="000000"/>
        </w:rPr>
        <w:t xml:space="preserve">As part of </w:t>
      </w:r>
      <w:r w:rsidR="0097489F">
        <w:rPr>
          <w:rFonts w:eastAsia="Arial"/>
          <w:color w:val="000000"/>
        </w:rPr>
        <w:t>an Assessment Delegate’s</w:t>
      </w:r>
      <w:r w:rsidR="0097489F" w:rsidRPr="00544EA2">
        <w:rPr>
          <w:rFonts w:eastAsia="Arial"/>
          <w:color w:val="000000"/>
        </w:rPr>
        <w:t xml:space="preserve"> </w:t>
      </w:r>
      <w:r w:rsidRPr="00544EA2">
        <w:rPr>
          <w:rFonts w:eastAsia="Arial"/>
          <w:color w:val="000000"/>
        </w:rPr>
        <w:t xml:space="preserve">decision-making, </w:t>
      </w:r>
      <w:r w:rsidR="0097489F">
        <w:rPr>
          <w:rFonts w:eastAsia="Arial"/>
          <w:color w:val="000000"/>
        </w:rPr>
        <w:t xml:space="preserve">they must </w:t>
      </w:r>
      <w:r w:rsidRPr="00544EA2">
        <w:rPr>
          <w:rFonts w:eastAsia="Arial"/>
          <w:color w:val="000000"/>
        </w:rPr>
        <w:t xml:space="preserve">consider whether the older person: </w:t>
      </w:r>
    </w:p>
    <w:p w14:paraId="3D021F1E" w14:textId="6ACCF5AC" w:rsidR="003B0176" w:rsidRPr="00544EA2" w:rsidRDefault="003B0176" w:rsidP="00DF3F6B">
      <w:pPr>
        <w:numPr>
          <w:ilvl w:val="0"/>
          <w:numId w:val="283"/>
        </w:numPr>
        <w:spacing w:before="240" w:after="240" w:line="240" w:lineRule="auto"/>
        <w:contextualSpacing/>
        <w:rPr>
          <w:rFonts w:eastAsia="Arial"/>
          <w:color w:val="000000"/>
        </w:rPr>
      </w:pPr>
      <w:r w:rsidRPr="00544EA2">
        <w:rPr>
          <w:rFonts w:eastAsia="Arial"/>
          <w:color w:val="000000"/>
        </w:rPr>
        <w:t>has needs and goals that could be met through using assistive technology or home modifications</w:t>
      </w:r>
      <w:r w:rsidR="004C023F">
        <w:rPr>
          <w:rFonts w:eastAsia="Arial"/>
          <w:color w:val="000000"/>
        </w:rPr>
        <w:t>, or both</w:t>
      </w:r>
    </w:p>
    <w:p w14:paraId="1C451A52" w14:textId="0BBEB8B4" w:rsidR="00BA549B" w:rsidRDefault="003B0176" w:rsidP="00DF3F6B">
      <w:pPr>
        <w:numPr>
          <w:ilvl w:val="0"/>
          <w:numId w:val="283"/>
        </w:numPr>
        <w:spacing w:before="240" w:after="240" w:line="240" w:lineRule="auto"/>
        <w:contextualSpacing/>
        <w:rPr>
          <w:rFonts w:eastAsia="Arial"/>
          <w:color w:val="000000"/>
        </w:rPr>
      </w:pPr>
      <w:r w:rsidRPr="08875326">
        <w:rPr>
          <w:rFonts w:eastAsia="Arial"/>
          <w:color w:val="000000" w:themeColor="text1"/>
        </w:rPr>
        <w:t xml:space="preserve">can have those needs met through the assistive technology or home modifications service groups, and therefore the </w:t>
      </w:r>
      <w:r w:rsidR="002E0D7F">
        <w:rPr>
          <w:rFonts w:eastAsia="Arial"/>
          <w:color w:val="000000" w:themeColor="text1"/>
        </w:rPr>
        <w:t>products, equipment and home modifications</w:t>
      </w:r>
      <w:r w:rsidR="002E0D7F" w:rsidRPr="08875326">
        <w:rPr>
          <w:rFonts w:eastAsia="Arial"/>
          <w:color w:val="000000" w:themeColor="text1"/>
        </w:rPr>
        <w:t xml:space="preserve"> </w:t>
      </w:r>
      <w:r w:rsidRPr="08875326">
        <w:rPr>
          <w:rFonts w:eastAsia="Arial"/>
          <w:color w:val="000000" w:themeColor="text1"/>
        </w:rPr>
        <w:t xml:space="preserve">on the AT-HM </w:t>
      </w:r>
      <w:r w:rsidR="002E0D7F">
        <w:rPr>
          <w:rFonts w:eastAsia="Arial"/>
          <w:color w:val="000000" w:themeColor="text1"/>
        </w:rPr>
        <w:t>l</w:t>
      </w:r>
      <w:r w:rsidR="002E0D7F" w:rsidRPr="08875326">
        <w:rPr>
          <w:rFonts w:eastAsia="Arial"/>
          <w:color w:val="000000" w:themeColor="text1"/>
        </w:rPr>
        <w:t>ist</w:t>
      </w:r>
      <w:r w:rsidRPr="08875326">
        <w:rPr>
          <w:rFonts w:eastAsia="Arial"/>
          <w:color w:val="000000" w:themeColor="text1"/>
        </w:rPr>
        <w:t>.</w:t>
      </w:r>
    </w:p>
    <w:p w14:paraId="19D76D12" w14:textId="77777777" w:rsidR="003B0176" w:rsidRPr="00544EA2" w:rsidRDefault="003B0176" w:rsidP="00622CFF">
      <w:pPr>
        <w:spacing w:before="240" w:after="240" w:line="240" w:lineRule="auto"/>
        <w:ind w:left="720"/>
        <w:contextualSpacing/>
        <w:rPr>
          <w:rFonts w:eastAsia="Arial"/>
          <w:color w:val="000000"/>
        </w:rPr>
      </w:pPr>
    </w:p>
    <w:p w14:paraId="78800D06" w14:textId="77777777" w:rsidR="003B0176" w:rsidRPr="00544EA2" w:rsidRDefault="003B0176" w:rsidP="00C56CEC">
      <w:pPr>
        <w:pStyle w:val="H3"/>
      </w:pPr>
      <w:bookmarkStart w:id="748" w:name="_Toc205372095"/>
      <w:bookmarkStart w:id="749" w:name="_Toc207713998"/>
      <w:r w:rsidRPr="00544EA2">
        <w:t>Step 2. Approve the classification type and level (funding tier)</w:t>
      </w:r>
      <w:bookmarkEnd w:id="748"/>
      <w:bookmarkEnd w:id="749"/>
    </w:p>
    <w:p w14:paraId="638095F0" w14:textId="59395CF3" w:rsidR="003B0176" w:rsidRPr="00544EA2" w:rsidRDefault="003B0176" w:rsidP="00622CFF">
      <w:pPr>
        <w:spacing w:before="240" w:after="240" w:line="240" w:lineRule="auto"/>
        <w:rPr>
          <w:rFonts w:eastAsia="Yu Gothic Light"/>
          <w:color w:val="000000"/>
        </w:rPr>
      </w:pPr>
      <w:r w:rsidRPr="00544EA2">
        <w:rPr>
          <w:rFonts w:eastAsia="Yu Gothic Light"/>
        </w:rPr>
        <w:t xml:space="preserve">Assessment </w:t>
      </w:r>
      <w:r w:rsidR="002C56D1" w:rsidRPr="00544EA2">
        <w:rPr>
          <w:rFonts w:eastAsia="Yu Gothic Light"/>
        </w:rPr>
        <w:t>Delegate</w:t>
      </w:r>
      <w:r w:rsidR="002C56D1">
        <w:rPr>
          <w:rFonts w:eastAsia="Yu Gothic Light"/>
        </w:rPr>
        <w:t xml:space="preserve">s </w:t>
      </w:r>
      <w:r w:rsidR="002C56D1" w:rsidRPr="00544EA2">
        <w:rPr>
          <w:rFonts w:eastAsia="Yu Gothic Light"/>
        </w:rPr>
        <w:t>are</w:t>
      </w:r>
      <w:r w:rsidRPr="00544EA2">
        <w:rPr>
          <w:rFonts w:eastAsia="Yu Gothic Light"/>
        </w:rPr>
        <w:t xml:space="preserve"> responsible for</w:t>
      </w:r>
      <w:r w:rsidRPr="00544EA2">
        <w:rPr>
          <w:rFonts w:eastAsia="Yu Gothic Light" w:hint="eastAsia"/>
        </w:rPr>
        <w:t> </w:t>
      </w:r>
      <w:r w:rsidRPr="00EC73DE">
        <w:rPr>
          <w:rFonts w:eastAsia="Yu Gothic Light"/>
        </w:rPr>
        <w:t>approving the classification type</w:t>
      </w:r>
      <w:r w:rsidRPr="00544EA2">
        <w:rPr>
          <w:rFonts w:eastAsia="Yu Gothic Light"/>
          <w:b/>
        </w:rPr>
        <w:t xml:space="preserve"> </w:t>
      </w:r>
      <w:r w:rsidRPr="00544EA2">
        <w:rPr>
          <w:rFonts w:eastAsia="Yu Gothic Light"/>
        </w:rPr>
        <w:t xml:space="preserve">(ongoing or </w:t>
      </w:r>
      <w:r w:rsidRPr="00544EA2">
        <w:rPr>
          <w:rFonts w:eastAsia="Yu Gothic Light"/>
          <w:color w:val="000000"/>
        </w:rPr>
        <w:t xml:space="preserve">short-term) and </w:t>
      </w:r>
      <w:r w:rsidRPr="006C2366">
        <w:rPr>
          <w:rFonts w:eastAsia="Yu Gothic Light"/>
          <w:color w:val="000000"/>
        </w:rPr>
        <w:t>funding tier</w:t>
      </w:r>
      <w:r w:rsidRPr="00544EA2">
        <w:rPr>
          <w:rFonts w:eastAsia="Yu Gothic Light"/>
          <w:color w:val="000000"/>
        </w:rPr>
        <w:t xml:space="preserve"> for AT and HM recommended by the assessor. Once approved, funding must be used </w:t>
      </w:r>
      <w:r w:rsidRPr="006C2366">
        <w:rPr>
          <w:rFonts w:eastAsia="Yu Gothic Light"/>
          <w:color w:val="000000"/>
        </w:rPr>
        <w:t>within the 12-month period</w:t>
      </w:r>
      <w:r w:rsidRPr="00544EA2">
        <w:rPr>
          <w:rFonts w:eastAsia="Yu Gothic Light"/>
          <w:b/>
          <w:color w:val="000000"/>
        </w:rPr>
        <w:t xml:space="preserve"> </w:t>
      </w:r>
      <w:r w:rsidRPr="003523CC">
        <w:rPr>
          <w:rFonts w:eastAsia="Yu Gothic Light"/>
          <w:color w:val="000000"/>
        </w:rPr>
        <w:t>(</w:t>
      </w:r>
      <w:r w:rsidRPr="00544EA2">
        <w:rPr>
          <w:rFonts w:eastAsia="Yu Gothic Light"/>
          <w:color w:val="000000"/>
        </w:rPr>
        <w:t>in most instances).</w:t>
      </w:r>
      <w:r w:rsidRPr="00544EA2">
        <w:rPr>
          <w:rFonts w:eastAsia="Yu Gothic Light" w:hint="eastAsia"/>
          <w:color w:val="000000"/>
        </w:rPr>
        <w:t>  </w:t>
      </w:r>
    </w:p>
    <w:p w14:paraId="570514A4" w14:textId="2D606E63" w:rsidR="003B0176" w:rsidRPr="00544EA2" w:rsidRDefault="003B0176" w:rsidP="00622CFF">
      <w:pPr>
        <w:spacing w:before="240" w:after="240" w:line="240" w:lineRule="auto"/>
        <w:rPr>
          <w:rFonts w:eastAsia="Yu Gothic Light"/>
          <w:color w:val="000000"/>
        </w:rPr>
      </w:pPr>
      <w:r w:rsidRPr="00544EA2">
        <w:rPr>
          <w:rFonts w:eastAsia="Yu Gothic Light"/>
          <w:color w:val="000000"/>
        </w:rPr>
        <w:t xml:space="preserve">A ‘funding tier’ for AT-HM has been implemented as a ‘classification level’ under the </w:t>
      </w:r>
      <w:r w:rsidR="0036371C">
        <w:rPr>
          <w:rFonts w:eastAsia="Yu Gothic Light"/>
          <w:color w:val="000000"/>
        </w:rPr>
        <w:t xml:space="preserve">Aged Care </w:t>
      </w:r>
      <w:r w:rsidRPr="00544EA2">
        <w:rPr>
          <w:rFonts w:eastAsia="Yu Gothic Light"/>
          <w:color w:val="000000"/>
        </w:rPr>
        <w:t>Act</w:t>
      </w:r>
      <w:r w:rsidR="0036371C">
        <w:rPr>
          <w:rFonts w:eastAsia="Yu Gothic Light"/>
          <w:color w:val="000000"/>
        </w:rPr>
        <w:t xml:space="preserve"> 2024 (the Act)</w:t>
      </w:r>
      <w:r w:rsidRPr="00544EA2">
        <w:rPr>
          <w:rFonts w:eastAsia="Yu Gothic Light"/>
          <w:color w:val="000000"/>
        </w:rPr>
        <w:t>. These funding tiers determine the</w:t>
      </w:r>
      <w:r w:rsidRPr="00544EA2">
        <w:rPr>
          <w:rFonts w:eastAsia="Yu Gothic Light" w:hint="eastAsia"/>
          <w:b/>
          <w:color w:val="000000"/>
        </w:rPr>
        <w:t> </w:t>
      </w:r>
      <w:r w:rsidRPr="00547728">
        <w:rPr>
          <w:rFonts w:eastAsia="Yu Gothic Light"/>
          <w:color w:val="000000"/>
        </w:rPr>
        <w:t>maximum budget</w:t>
      </w:r>
      <w:r w:rsidRPr="00544EA2">
        <w:rPr>
          <w:rFonts w:eastAsia="Yu Gothic Light" w:hint="eastAsia"/>
          <w:color w:val="000000"/>
        </w:rPr>
        <w:t> </w:t>
      </w:r>
      <w:r w:rsidRPr="00544EA2">
        <w:rPr>
          <w:rFonts w:eastAsia="Yu Gothic Light"/>
          <w:color w:val="000000"/>
        </w:rPr>
        <w:t>(except for AT high tier where there is no maximum budget) available and are</w:t>
      </w:r>
      <w:r w:rsidRPr="00544EA2">
        <w:rPr>
          <w:rFonts w:eastAsia="Yu Gothic Light" w:hint="eastAsia"/>
          <w:color w:val="000000"/>
        </w:rPr>
        <w:t> </w:t>
      </w:r>
      <w:r w:rsidRPr="00547728">
        <w:rPr>
          <w:rFonts w:eastAsia="Yu Gothic Light"/>
          <w:color w:val="000000"/>
        </w:rPr>
        <w:t>valid for 12 months</w:t>
      </w:r>
      <w:r w:rsidRPr="00544EA2">
        <w:rPr>
          <w:rFonts w:eastAsia="Yu Gothic Light"/>
          <w:b/>
          <w:color w:val="000000"/>
        </w:rPr>
        <w:t xml:space="preserve"> </w:t>
      </w:r>
      <w:r w:rsidRPr="00544EA2">
        <w:rPr>
          <w:rFonts w:eastAsia="Yu Gothic Light"/>
          <w:bCs/>
          <w:color w:val="000000"/>
        </w:rPr>
        <w:t>(</w:t>
      </w:r>
      <w:r w:rsidRPr="00544EA2">
        <w:rPr>
          <w:rFonts w:eastAsia="Yu Gothic Light"/>
          <w:color w:val="000000"/>
        </w:rPr>
        <w:t>in most instances</w:t>
      </w:r>
      <w:r w:rsidRPr="00544EA2">
        <w:rPr>
          <w:rFonts w:eastAsia="Yu Gothic Light"/>
          <w:bCs/>
          <w:color w:val="000000"/>
        </w:rPr>
        <w:t>)</w:t>
      </w:r>
      <w:r w:rsidRPr="00544EA2">
        <w:rPr>
          <w:rFonts w:eastAsia="Yu Gothic Light" w:hint="eastAsia"/>
          <w:color w:val="000000"/>
        </w:rPr>
        <w:t> </w:t>
      </w:r>
      <w:r w:rsidRPr="00544EA2">
        <w:rPr>
          <w:rFonts w:eastAsia="Yu Gothic Light"/>
          <w:color w:val="000000"/>
        </w:rPr>
        <w:t>from the date the individual started care with their provider (as notified by the provider in the start notification for the person).</w:t>
      </w:r>
      <w:r w:rsidRPr="00544EA2">
        <w:rPr>
          <w:rFonts w:eastAsia="Yu Gothic Light" w:hint="eastAsia"/>
          <w:color w:val="000000"/>
        </w:rPr>
        <w:t> </w:t>
      </w:r>
    </w:p>
    <w:p w14:paraId="78F5CC77" w14:textId="77777777" w:rsidR="003B0176" w:rsidRPr="00544EA2" w:rsidRDefault="003B0176" w:rsidP="00622CFF">
      <w:pPr>
        <w:spacing w:before="240" w:after="240" w:line="240" w:lineRule="auto"/>
        <w:rPr>
          <w:rFonts w:eastAsia="Yu Gothic Light"/>
          <w:color w:val="000000"/>
        </w:rPr>
      </w:pPr>
      <w:r w:rsidRPr="00544EA2">
        <w:rPr>
          <w:rFonts w:eastAsia="Yu Gothic Light"/>
          <w:color w:val="000000"/>
        </w:rPr>
        <w:t>Individuals can access AT ongoing (assistance dogs) and short-term and HM tiers concurrently if needed and may be required to contribute financially depending on the category of support.  </w:t>
      </w:r>
    </w:p>
    <w:p w14:paraId="08B1D8DC" w14:textId="77777777" w:rsidR="003B0176" w:rsidRPr="00544EA2" w:rsidRDefault="003B0176" w:rsidP="00622CFF">
      <w:pPr>
        <w:spacing w:before="240" w:after="240" w:line="240" w:lineRule="auto"/>
        <w:rPr>
          <w:rFonts w:eastAsia="Yu Gothic Light"/>
          <w:color w:val="000000"/>
        </w:rPr>
      </w:pPr>
      <w:r w:rsidRPr="00544EA2">
        <w:rPr>
          <w:rFonts w:eastAsia="Yu Gothic Light"/>
          <w:color w:val="000000"/>
        </w:rPr>
        <w:t>The cost of prescription and wrap-around services—such as delivery, setup, training, and follow-up—are also drawn from the AT-HM funding tier. Providers may charge:</w:t>
      </w:r>
    </w:p>
    <w:p w14:paraId="29D92B7E" w14:textId="30CED104" w:rsidR="003B0176" w:rsidRPr="00544EA2" w:rsidRDefault="003B0176" w:rsidP="00DF3F6B">
      <w:pPr>
        <w:numPr>
          <w:ilvl w:val="0"/>
          <w:numId w:val="296"/>
        </w:numPr>
        <w:spacing w:before="240" w:after="240" w:line="240" w:lineRule="auto"/>
        <w:contextualSpacing/>
        <w:rPr>
          <w:rFonts w:eastAsia="Yu Gothic Light"/>
          <w:color w:val="000000"/>
        </w:rPr>
      </w:pPr>
      <w:r w:rsidRPr="00544EA2">
        <w:rPr>
          <w:rFonts w:eastAsia="Yu Gothic Light"/>
          <w:color w:val="000000"/>
        </w:rPr>
        <w:t>up to 10</w:t>
      </w:r>
      <w:r w:rsidRPr="003523CC">
        <w:rPr>
          <w:rFonts w:eastAsia="Yu Gothic Light"/>
        </w:rPr>
        <w:t>%</w:t>
      </w:r>
      <w:r w:rsidRPr="003523CC">
        <w:rPr>
          <w:rFonts w:eastAsia="Arial"/>
          <w:lang w:val="en-AU"/>
        </w:rPr>
        <w:t xml:space="preserve"> of the cost of the item or item bundle or up to $500 (whichever is lower)</w:t>
      </w:r>
      <w:r w:rsidRPr="003523CC">
        <w:rPr>
          <w:rFonts w:eastAsia="Yu Gothic Light"/>
        </w:rPr>
        <w:t xml:space="preserve"> on </w:t>
      </w:r>
      <w:r w:rsidRPr="00544EA2">
        <w:rPr>
          <w:rFonts w:eastAsia="Yu Gothic Light"/>
          <w:color w:val="000000"/>
        </w:rPr>
        <w:t>administrati</w:t>
      </w:r>
      <w:r w:rsidRPr="00544EA2">
        <w:rPr>
          <w:rFonts w:eastAsia="Yu Gothic Light"/>
        </w:rPr>
        <w:t>on costs for AT.</w:t>
      </w:r>
    </w:p>
    <w:p w14:paraId="0B6643C3" w14:textId="77777777" w:rsidR="003B0176" w:rsidRPr="00544EA2" w:rsidRDefault="003B0176" w:rsidP="00DF3F6B">
      <w:pPr>
        <w:numPr>
          <w:ilvl w:val="0"/>
          <w:numId w:val="296"/>
        </w:numPr>
        <w:spacing w:before="240" w:after="240" w:line="240" w:lineRule="auto"/>
        <w:contextualSpacing/>
        <w:rPr>
          <w:rFonts w:eastAsia="Yu Gothic Light"/>
          <w:color w:val="000000"/>
          <w:szCs w:val="22"/>
        </w:rPr>
      </w:pPr>
      <w:r w:rsidRPr="00544EA2">
        <w:rPr>
          <w:rFonts w:eastAsia="Yu Gothic Light"/>
          <w:szCs w:val="22"/>
        </w:rPr>
        <w:t xml:space="preserve">up to 15% </w:t>
      </w:r>
      <w:r w:rsidRPr="00544EA2">
        <w:rPr>
          <w:rFonts w:eastAsia="Arial"/>
          <w:szCs w:val="22"/>
        </w:rPr>
        <w:t>of the total quoted cost of a participant’s home modification or up to $1,500 (whichever is lower) on c</w:t>
      </w:r>
      <w:r w:rsidRPr="00544EA2">
        <w:rPr>
          <w:rFonts w:eastAsia="Yu Gothic Light"/>
          <w:szCs w:val="22"/>
        </w:rPr>
        <w:t>oordination costs for HM.</w:t>
      </w:r>
    </w:p>
    <w:p w14:paraId="113FCD0A" w14:textId="77777777" w:rsidR="00610246" w:rsidRDefault="00610246" w:rsidP="00622CFF">
      <w:pPr>
        <w:spacing w:before="240" w:after="240" w:line="240" w:lineRule="auto"/>
        <w:rPr>
          <w:rFonts w:eastAsia="Yu Gothic Light"/>
        </w:rPr>
      </w:pPr>
    </w:p>
    <w:p w14:paraId="11F32DB1" w14:textId="0FE7DC93" w:rsidR="00B33924" w:rsidRPr="00544EA2" w:rsidRDefault="00B33924" w:rsidP="00B33924">
      <w:pPr>
        <w:spacing w:before="240" w:after="240" w:line="240" w:lineRule="auto"/>
        <w:rPr>
          <w:rFonts w:eastAsia="Yu Gothic Light"/>
        </w:rPr>
      </w:pPr>
      <w:r w:rsidRPr="00544EA2">
        <w:rPr>
          <w:rFonts w:eastAsia="Yu Gothic Light"/>
        </w:rPr>
        <w:t xml:space="preserve">The AT-HM funding tier must align with the individual's assessed needs and be documented in their support plan. </w:t>
      </w:r>
      <w:r>
        <w:rPr>
          <w:rFonts w:eastAsia="Yu Gothic Light"/>
        </w:rPr>
        <w:t>A</w:t>
      </w:r>
      <w:r w:rsidRPr="00544EA2">
        <w:rPr>
          <w:rFonts w:eastAsia="Yu Gothic Light"/>
        </w:rPr>
        <w:t>n Assessment Delegate</w:t>
      </w:r>
      <w:r>
        <w:rPr>
          <w:rFonts w:eastAsia="Yu Gothic Light"/>
        </w:rPr>
        <w:t xml:space="preserve">’s </w:t>
      </w:r>
      <w:r w:rsidRPr="00544EA2">
        <w:rPr>
          <w:rFonts w:eastAsia="Yu Gothic Light"/>
        </w:rPr>
        <w:t>approval ensures appropriate fund</w:t>
      </w:r>
      <w:r w:rsidR="0053658F">
        <w:rPr>
          <w:rFonts w:eastAsia="Yu Gothic Light"/>
        </w:rPr>
        <w:t>ing</w:t>
      </w:r>
      <w:r w:rsidRPr="00544EA2">
        <w:rPr>
          <w:rFonts w:eastAsia="Yu Gothic Light"/>
        </w:rPr>
        <w:t xml:space="preserve"> allocation, program compliance, and timely access to essential supports.</w:t>
      </w:r>
      <w:r w:rsidRPr="00544EA2">
        <w:rPr>
          <w:rFonts w:eastAsia="Yu Gothic Light" w:hint="eastAsia"/>
        </w:rPr>
        <w:t>  </w:t>
      </w:r>
    </w:p>
    <w:p w14:paraId="6D425226" w14:textId="6F020D34" w:rsidR="003B0176" w:rsidRPr="00544EA2" w:rsidRDefault="00610246" w:rsidP="00622CFF">
      <w:pPr>
        <w:spacing w:before="240" w:after="240" w:line="240" w:lineRule="auto"/>
        <w:rPr>
          <w:rFonts w:eastAsia="Yu Gothic Light"/>
          <w:color w:val="000000"/>
        </w:rPr>
      </w:pPr>
      <w:r>
        <w:rPr>
          <w:rFonts w:eastAsia="Yu Gothic Light"/>
        </w:rPr>
        <w:t xml:space="preserve">Assessment Delegates </w:t>
      </w:r>
      <w:r w:rsidR="003B0176" w:rsidRPr="00544EA2">
        <w:rPr>
          <w:rFonts w:eastAsia="Yu Gothic Light"/>
        </w:rPr>
        <w:t xml:space="preserve">must consider the costs of prescription and wrapround services when </w:t>
      </w:r>
      <w:r w:rsidR="00B33924">
        <w:rPr>
          <w:rFonts w:eastAsia="Yu Gothic Light"/>
        </w:rPr>
        <w:t>approving</w:t>
      </w:r>
      <w:r w:rsidR="00B33924" w:rsidRPr="00544EA2">
        <w:rPr>
          <w:rFonts w:eastAsia="Yu Gothic Light"/>
        </w:rPr>
        <w:t xml:space="preserve"> </w:t>
      </w:r>
      <w:r w:rsidR="003B0176" w:rsidRPr="00544EA2">
        <w:rPr>
          <w:rFonts w:eastAsia="Yu Gothic Light"/>
        </w:rPr>
        <w:t>a funding tier.</w:t>
      </w:r>
      <w:r w:rsidR="003B0176" w:rsidRPr="00544EA2">
        <w:rPr>
          <w:rFonts w:eastAsia="Yu Gothic Light" w:hint="eastAsia"/>
        </w:rPr>
        <w:t> </w:t>
      </w:r>
    </w:p>
    <w:p w14:paraId="2456727E" w14:textId="77777777" w:rsidR="003B0176" w:rsidRPr="00544EA2" w:rsidRDefault="003B0176" w:rsidP="00622CFF">
      <w:pPr>
        <w:spacing w:before="240" w:after="240" w:line="240" w:lineRule="auto"/>
        <w:rPr>
          <w:rFonts w:eastAsia="Yu Gothic Light"/>
        </w:rPr>
      </w:pPr>
      <w:r w:rsidRPr="00544EA2">
        <w:rPr>
          <w:rFonts w:eastAsia="Yu Gothic Light"/>
        </w:rPr>
        <w:t>An individual is </w:t>
      </w:r>
      <w:r w:rsidRPr="002F3282">
        <w:rPr>
          <w:rFonts w:eastAsia="Yu Gothic Light"/>
        </w:rPr>
        <w:t>not eligible</w:t>
      </w:r>
      <w:r w:rsidRPr="00544EA2">
        <w:rPr>
          <w:rFonts w:eastAsia="Yu Gothic Light"/>
        </w:rPr>
        <w:t> for the AT-HM scheme if they are currently receiving permanent residential aged care.</w:t>
      </w:r>
      <w:r w:rsidRPr="00544EA2">
        <w:rPr>
          <w:rFonts w:eastAsia="Yu Gothic Light" w:hint="eastAsia"/>
        </w:rPr>
        <w:t> </w:t>
      </w:r>
    </w:p>
    <w:p w14:paraId="11D8DC55" w14:textId="77777777" w:rsidR="003B0176" w:rsidRPr="00544EA2" w:rsidRDefault="003B0176" w:rsidP="00CC6081">
      <w:pPr>
        <w:pStyle w:val="H4"/>
      </w:pPr>
      <w:bookmarkStart w:id="750" w:name="_Toc205372096"/>
      <w:bookmarkStart w:id="751" w:name="_Toc207713999"/>
      <w:r w:rsidRPr="00544EA2">
        <w:t>AT-HM scheme funding tiers</w:t>
      </w:r>
      <w:bookmarkEnd w:id="750"/>
      <w:bookmarkEnd w:id="751"/>
    </w:p>
    <w:p w14:paraId="47896DE3" w14:textId="77777777" w:rsidR="003B0176" w:rsidRDefault="003B0176" w:rsidP="00622CFF">
      <w:pPr>
        <w:spacing w:before="240" w:after="240" w:line="240" w:lineRule="auto"/>
        <w:rPr>
          <w:rFonts w:eastAsia="Yu Gothic Light"/>
        </w:rPr>
      </w:pPr>
      <w:r w:rsidRPr="00544EA2">
        <w:rPr>
          <w:rFonts w:eastAsia="Yu Gothic Light"/>
        </w:rPr>
        <w:t>If AT or HM are approved, individuals will be assigned a funding tier for AT, HM, or both - based on their assessed needs.</w:t>
      </w:r>
      <w:r w:rsidRPr="00544EA2">
        <w:rPr>
          <w:rFonts w:eastAsia="Yu Gothic Light" w:hint="eastAsia"/>
        </w:rPr>
        <w:t>  </w:t>
      </w:r>
    </w:p>
    <w:p w14:paraId="193CAB5C" w14:textId="5179287B" w:rsidR="00803B36" w:rsidRPr="00544EA2" w:rsidRDefault="00803B36" w:rsidP="00803B36">
      <w:pPr>
        <w:rPr>
          <w:rFonts w:eastAsia="Yu Gothic Light"/>
        </w:rPr>
      </w:pPr>
      <w:r>
        <w:rPr>
          <w:rFonts w:eastAsia="Yu Gothic Light"/>
        </w:rPr>
        <w:br w:type="page"/>
      </w:r>
    </w:p>
    <w:p w14:paraId="7E498277" w14:textId="57887A9F" w:rsidR="003B0176" w:rsidRPr="00544EA2" w:rsidRDefault="003B0176" w:rsidP="00622CFF">
      <w:pPr>
        <w:pStyle w:val="Caption"/>
        <w:spacing w:before="240" w:after="240"/>
        <w:rPr>
          <w:rFonts w:eastAsia="Yu Gothic Light"/>
        </w:rPr>
      </w:pPr>
      <w:r>
        <w:rPr>
          <w:rFonts w:eastAsia="Yu Gothic Light"/>
        </w:rPr>
        <w:t>Table 4</w:t>
      </w:r>
      <w:r w:rsidR="002C56D1">
        <w:rPr>
          <w:rFonts w:eastAsia="Yu Gothic Light"/>
        </w:rPr>
        <w:t>7</w:t>
      </w:r>
      <w:r>
        <w:rPr>
          <w:rFonts w:eastAsia="Yu Gothic Light"/>
        </w:rPr>
        <w:t xml:space="preserve">. </w:t>
      </w:r>
      <w:r w:rsidRPr="00544EA2">
        <w:rPr>
          <w:rFonts w:eastAsia="Yu Gothic Light"/>
        </w:rPr>
        <w:t>Funding tiers for both AT and HM: Low, Medium and High</w:t>
      </w:r>
      <w:r w:rsidRPr="00544EA2">
        <w:rPr>
          <w:rFonts w:eastAsia="Yu Gothic Light" w:hint="eastAsi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unding tiers for both AT and HM: Low, Medium and High "/>
      </w:tblPr>
      <w:tblGrid>
        <w:gridCol w:w="3000"/>
        <w:gridCol w:w="3000"/>
        <w:gridCol w:w="3000"/>
      </w:tblGrid>
      <w:tr w:rsidR="003B0176" w:rsidRPr="00544EA2" w14:paraId="73F2DB65" w14:textId="77777777">
        <w:trPr>
          <w:trHeight w:val="300"/>
        </w:trPr>
        <w:tc>
          <w:tcPr>
            <w:tcW w:w="3000" w:type="dxa"/>
            <w:tcBorders>
              <w:top w:val="single" w:sz="6" w:space="0" w:color="auto"/>
              <w:left w:val="nil"/>
              <w:bottom w:val="single" w:sz="6" w:space="0" w:color="44546A"/>
              <w:right w:val="nil"/>
            </w:tcBorders>
            <w:shd w:val="clear" w:color="auto" w:fill="002060"/>
            <w:hideMark/>
          </w:tcPr>
          <w:p w14:paraId="651F09BC" w14:textId="77777777" w:rsidR="003B0176" w:rsidRPr="00544EA2" w:rsidRDefault="003B0176" w:rsidP="00315498">
            <w:pPr>
              <w:spacing w:before="120" w:after="120" w:line="240" w:lineRule="auto"/>
              <w:rPr>
                <w:rFonts w:eastAsia="Yu Gothic Light"/>
              </w:rPr>
            </w:pPr>
            <w:r w:rsidRPr="00544EA2">
              <w:rPr>
                <w:rFonts w:eastAsia="Yu Gothic Light"/>
                <w:b/>
              </w:rPr>
              <w:t>Funding tier</w:t>
            </w:r>
            <w:r w:rsidRPr="00544EA2">
              <w:rPr>
                <w:rFonts w:eastAsia="Yu Gothic Light" w:hint="eastAsia"/>
              </w:rPr>
              <w:t> </w:t>
            </w:r>
          </w:p>
        </w:tc>
        <w:tc>
          <w:tcPr>
            <w:tcW w:w="3000" w:type="dxa"/>
            <w:tcBorders>
              <w:top w:val="single" w:sz="6" w:space="0" w:color="auto"/>
              <w:left w:val="nil"/>
              <w:bottom w:val="single" w:sz="6" w:space="0" w:color="44546A"/>
              <w:right w:val="nil"/>
            </w:tcBorders>
            <w:shd w:val="clear" w:color="auto" w:fill="002060"/>
            <w:hideMark/>
          </w:tcPr>
          <w:p w14:paraId="72C570E6" w14:textId="77777777" w:rsidR="003B0176" w:rsidRPr="00544EA2" w:rsidRDefault="003B0176" w:rsidP="00315498">
            <w:pPr>
              <w:spacing w:before="120" w:after="120" w:line="240" w:lineRule="auto"/>
              <w:rPr>
                <w:rFonts w:eastAsia="Yu Gothic Light"/>
              </w:rPr>
            </w:pPr>
            <w:r w:rsidRPr="00544EA2">
              <w:rPr>
                <w:rFonts w:eastAsia="Yu Gothic Light"/>
                <w:b/>
              </w:rPr>
              <w:t>Funding allocation cap</w:t>
            </w:r>
            <w:r w:rsidRPr="00544EA2">
              <w:rPr>
                <w:rFonts w:eastAsia="Yu Gothic Light" w:hint="eastAsia"/>
              </w:rPr>
              <w:t> </w:t>
            </w:r>
          </w:p>
        </w:tc>
        <w:tc>
          <w:tcPr>
            <w:tcW w:w="3000" w:type="dxa"/>
            <w:tcBorders>
              <w:top w:val="single" w:sz="6" w:space="0" w:color="auto"/>
              <w:left w:val="nil"/>
              <w:bottom w:val="single" w:sz="6" w:space="0" w:color="44546A"/>
              <w:right w:val="nil"/>
            </w:tcBorders>
            <w:shd w:val="clear" w:color="auto" w:fill="002060"/>
            <w:hideMark/>
          </w:tcPr>
          <w:p w14:paraId="1B890E36" w14:textId="77777777" w:rsidR="003B0176" w:rsidRPr="00544EA2" w:rsidRDefault="003B0176" w:rsidP="00315498">
            <w:pPr>
              <w:spacing w:before="120" w:after="120" w:line="240" w:lineRule="auto"/>
              <w:rPr>
                <w:rFonts w:eastAsia="Yu Gothic Light"/>
              </w:rPr>
            </w:pPr>
            <w:r w:rsidRPr="00544EA2">
              <w:rPr>
                <w:rFonts w:eastAsia="Yu Gothic Light"/>
                <w:b/>
              </w:rPr>
              <w:t>Funding period</w:t>
            </w:r>
            <w:r w:rsidRPr="00544EA2">
              <w:rPr>
                <w:rFonts w:eastAsia="Yu Gothic Light" w:hint="eastAsia"/>
              </w:rPr>
              <w:t> </w:t>
            </w:r>
          </w:p>
        </w:tc>
      </w:tr>
      <w:tr w:rsidR="003B0176" w:rsidRPr="00544EA2" w14:paraId="5BB6912D"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46D7B138" w14:textId="77777777" w:rsidR="003B0176" w:rsidRPr="00544EA2" w:rsidRDefault="003B0176" w:rsidP="00315498">
            <w:pPr>
              <w:spacing w:before="120" w:after="120" w:line="240" w:lineRule="auto"/>
              <w:rPr>
                <w:rFonts w:eastAsia="Yu Gothic Light"/>
              </w:rPr>
            </w:pPr>
            <w:r w:rsidRPr="00544EA2">
              <w:rPr>
                <w:rFonts w:eastAsia="Yu Gothic Light"/>
                <w:b/>
              </w:rPr>
              <w:t>Assistive technology</w:t>
            </w:r>
            <w:r w:rsidRPr="00544EA2">
              <w:rPr>
                <w:rFonts w:eastAsia="Yu Gothic Light" w:hint="eastAsia"/>
              </w:rPr>
              <w:t> </w:t>
            </w:r>
          </w:p>
        </w:tc>
      </w:tr>
      <w:tr w:rsidR="003B0176" w:rsidRPr="00544EA2" w14:paraId="69FF2696"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05EC5167" w14:textId="77777777" w:rsidR="003B0176" w:rsidRPr="00544EA2" w:rsidRDefault="003B0176" w:rsidP="00315498">
            <w:pPr>
              <w:spacing w:before="120" w:after="120" w:line="240" w:lineRule="auto"/>
              <w:rPr>
                <w:rFonts w:eastAsia="Yu Gothic Light"/>
              </w:rPr>
            </w:pPr>
            <w:r w:rsidRPr="00544EA2">
              <w:rPr>
                <w:rFonts w:eastAsia="Yu Gothic Light"/>
              </w:rPr>
              <w:t>Low</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55FB9F07" w14:textId="77777777" w:rsidR="003B0176" w:rsidRPr="00544EA2" w:rsidRDefault="003B0176" w:rsidP="00315498">
            <w:pPr>
              <w:spacing w:before="120" w:after="120" w:line="240" w:lineRule="auto"/>
              <w:rPr>
                <w:rFonts w:eastAsia="Yu Gothic Light"/>
              </w:rPr>
            </w:pPr>
            <w:r w:rsidRPr="00544EA2">
              <w:rPr>
                <w:rFonts w:eastAsia="Yu Gothic Light"/>
              </w:rPr>
              <w:t>$500</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3110BBBE"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52A9A4AE"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C783C07" w14:textId="77777777" w:rsidR="003B0176" w:rsidRPr="00544EA2" w:rsidRDefault="003B0176" w:rsidP="00315498">
            <w:pPr>
              <w:spacing w:before="120" w:after="120" w:line="240" w:lineRule="auto"/>
              <w:rPr>
                <w:rFonts w:eastAsia="Yu Gothic Light"/>
              </w:rPr>
            </w:pPr>
            <w:r w:rsidRPr="00544EA2">
              <w:rPr>
                <w:rFonts w:eastAsia="Yu Gothic Light"/>
              </w:rPr>
              <w:t>Medium</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2BA3DC32" w14:textId="77777777" w:rsidR="003B0176" w:rsidRPr="00544EA2" w:rsidRDefault="003B0176" w:rsidP="00315498">
            <w:pPr>
              <w:spacing w:before="120" w:after="120" w:line="240" w:lineRule="auto"/>
              <w:rPr>
                <w:rFonts w:eastAsia="Yu Gothic Light"/>
              </w:rPr>
            </w:pPr>
            <w:r w:rsidRPr="00544EA2">
              <w:rPr>
                <w:rFonts w:eastAsia="Yu Gothic Light"/>
              </w:rPr>
              <w:t>$2,000</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843232F"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444A2CE9"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511F828C" w14:textId="77777777" w:rsidR="003B0176" w:rsidRPr="00544EA2" w:rsidRDefault="003B0176" w:rsidP="00315498">
            <w:pPr>
              <w:spacing w:before="120" w:after="120" w:line="240" w:lineRule="auto"/>
              <w:rPr>
                <w:rFonts w:eastAsia="Yu Gothic Light"/>
              </w:rPr>
            </w:pPr>
            <w:r w:rsidRPr="00544EA2">
              <w:rPr>
                <w:rFonts w:eastAsia="Yu Gothic Light"/>
              </w:rPr>
              <w:t>High</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0E01ECF" w14:textId="7D13B59E" w:rsidR="003B0176" w:rsidRPr="00544EA2" w:rsidRDefault="003B0176" w:rsidP="00315498">
            <w:pPr>
              <w:spacing w:before="120" w:after="120" w:line="240" w:lineRule="auto"/>
              <w:rPr>
                <w:rFonts w:eastAsia="Yu Gothic Light"/>
              </w:rPr>
            </w:pPr>
            <w:r w:rsidRPr="00544EA2">
              <w:rPr>
                <w:rFonts w:eastAsia="Yu Gothic Light"/>
              </w:rPr>
              <w:t>$15,000</w:t>
            </w:r>
            <w:r w:rsidRPr="00544EA2">
              <w:rPr>
                <w:rFonts w:eastAsia="Yu Gothic Light"/>
                <w:vertAlign w:val="superscript"/>
              </w:rPr>
              <w:t>1</w:t>
            </w:r>
            <w:r w:rsidRPr="00544EA2">
              <w:rPr>
                <w:rFonts w:eastAsia="Yu Gothic Light" w:hint="eastAsia"/>
                <w:vertAlign w:val="superscript"/>
              </w:rPr>
              <w:t> </w:t>
            </w:r>
            <w:r w:rsidRPr="00544EA2">
              <w:rPr>
                <w:rFonts w:eastAsia="Yu Gothic Light"/>
              </w:rPr>
              <w:t>(nominal)</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710ABEE4"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461F342B"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6CA9B8B0" w14:textId="77777777" w:rsidR="003B0176" w:rsidRPr="00544EA2" w:rsidRDefault="003B0176" w:rsidP="00315498">
            <w:pPr>
              <w:spacing w:before="120" w:after="120" w:line="240" w:lineRule="auto"/>
              <w:rPr>
                <w:rFonts w:eastAsia="Yu Gothic Light"/>
              </w:rPr>
            </w:pPr>
            <w:r w:rsidRPr="00544EA2">
              <w:rPr>
                <w:rFonts w:eastAsia="Yu Gothic Light"/>
                <w:vertAlign w:val="superscript"/>
              </w:rPr>
              <w:t>1</w:t>
            </w:r>
            <w:r w:rsidRPr="00544EA2">
              <w:rPr>
                <w:rFonts w:eastAsia="Yu Gothic Light"/>
              </w:rPr>
              <w:t xml:space="preserve"> Participants can access more than $15,000 with a prescribed need.</w:t>
            </w:r>
            <w:r w:rsidRPr="00544EA2">
              <w:rPr>
                <w:rFonts w:eastAsia="Yu Gothic Light" w:hint="eastAsia"/>
              </w:rPr>
              <w:t> </w:t>
            </w:r>
          </w:p>
        </w:tc>
      </w:tr>
      <w:tr w:rsidR="003B0176" w:rsidRPr="00544EA2" w14:paraId="331808AD" w14:textId="77777777" w:rsidTr="00315498">
        <w:trPr>
          <w:trHeight w:val="300"/>
        </w:trPr>
        <w:tc>
          <w:tcPr>
            <w:tcW w:w="9000" w:type="dxa"/>
            <w:gridSpan w:val="3"/>
            <w:tcBorders>
              <w:top w:val="single" w:sz="6" w:space="0" w:color="44546A"/>
              <w:left w:val="single" w:sz="6" w:space="0" w:color="44546A"/>
              <w:bottom w:val="single" w:sz="6" w:space="0" w:color="44546A"/>
              <w:right w:val="single" w:sz="6" w:space="0" w:color="44546A"/>
            </w:tcBorders>
            <w:shd w:val="clear" w:color="auto" w:fill="002060"/>
            <w:hideMark/>
          </w:tcPr>
          <w:p w14:paraId="362135C1" w14:textId="77777777" w:rsidR="003B0176" w:rsidRPr="00544EA2" w:rsidRDefault="003B0176" w:rsidP="00315498">
            <w:pPr>
              <w:spacing w:before="120" w:after="120" w:line="240" w:lineRule="auto"/>
              <w:rPr>
                <w:rFonts w:eastAsia="Yu Gothic Light"/>
              </w:rPr>
            </w:pPr>
            <w:r w:rsidRPr="00544EA2">
              <w:rPr>
                <w:rFonts w:eastAsia="Yu Gothic Light"/>
                <w:b/>
              </w:rPr>
              <w:t>Home modifications</w:t>
            </w:r>
            <w:r w:rsidRPr="00544EA2">
              <w:rPr>
                <w:rFonts w:eastAsia="Yu Gothic Light" w:hint="eastAsia"/>
              </w:rPr>
              <w:t> </w:t>
            </w:r>
          </w:p>
        </w:tc>
      </w:tr>
      <w:tr w:rsidR="003B0176" w:rsidRPr="00544EA2" w14:paraId="52B18163"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3C11AD57" w14:textId="77777777" w:rsidR="003B0176" w:rsidRPr="00544EA2" w:rsidRDefault="003B0176" w:rsidP="00315498">
            <w:pPr>
              <w:spacing w:before="120" w:after="120" w:line="240" w:lineRule="auto"/>
              <w:rPr>
                <w:rFonts w:eastAsia="Yu Gothic Light"/>
              </w:rPr>
            </w:pPr>
            <w:r w:rsidRPr="00544EA2">
              <w:rPr>
                <w:rFonts w:eastAsia="Yu Gothic Light"/>
              </w:rPr>
              <w:t>Low</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0D33A9F1" w14:textId="77777777" w:rsidR="003B0176" w:rsidRPr="00544EA2" w:rsidRDefault="003B0176" w:rsidP="00315498">
            <w:pPr>
              <w:spacing w:before="120" w:after="120" w:line="240" w:lineRule="auto"/>
              <w:rPr>
                <w:rFonts w:eastAsia="Yu Gothic Light"/>
              </w:rPr>
            </w:pPr>
            <w:r w:rsidRPr="00544EA2">
              <w:rPr>
                <w:rFonts w:eastAsia="Yu Gothic Light"/>
              </w:rPr>
              <w:t>$500</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120B3308"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7D31A939"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EBD97BD" w14:textId="77777777" w:rsidR="003B0176" w:rsidRPr="00544EA2" w:rsidRDefault="003B0176" w:rsidP="00315498">
            <w:pPr>
              <w:spacing w:before="120" w:after="120" w:line="240" w:lineRule="auto"/>
              <w:rPr>
                <w:rFonts w:eastAsia="Yu Gothic Light"/>
              </w:rPr>
            </w:pPr>
            <w:r w:rsidRPr="00544EA2">
              <w:rPr>
                <w:rFonts w:eastAsia="Yu Gothic Light"/>
              </w:rPr>
              <w:t>Medium</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A7339A0" w14:textId="77777777" w:rsidR="003B0176" w:rsidRPr="00544EA2" w:rsidRDefault="003B0176" w:rsidP="00315498">
            <w:pPr>
              <w:spacing w:before="120" w:after="120" w:line="240" w:lineRule="auto"/>
              <w:rPr>
                <w:rFonts w:eastAsia="Yu Gothic Light"/>
              </w:rPr>
            </w:pPr>
            <w:r w:rsidRPr="00544EA2">
              <w:rPr>
                <w:rFonts w:eastAsia="Yu Gothic Light"/>
              </w:rPr>
              <w:t>$2,000</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417694A7"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hint="eastAsia"/>
              </w:rPr>
              <w:t> </w:t>
            </w:r>
          </w:p>
        </w:tc>
      </w:tr>
      <w:tr w:rsidR="003B0176" w:rsidRPr="00544EA2" w14:paraId="602A34D6"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535F8BF" w14:textId="77777777" w:rsidR="003B0176" w:rsidRPr="00544EA2" w:rsidRDefault="003B0176" w:rsidP="00315498">
            <w:pPr>
              <w:spacing w:before="120" w:after="120" w:line="240" w:lineRule="auto"/>
              <w:rPr>
                <w:rFonts w:eastAsia="Yu Gothic Light"/>
              </w:rPr>
            </w:pPr>
            <w:r w:rsidRPr="00544EA2">
              <w:rPr>
                <w:rFonts w:eastAsia="Yu Gothic Light"/>
              </w:rPr>
              <w:t>High</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3294C022" w14:textId="77777777" w:rsidR="003B0176" w:rsidRPr="00544EA2" w:rsidRDefault="003B0176" w:rsidP="00315498">
            <w:pPr>
              <w:spacing w:before="120" w:after="120" w:line="240" w:lineRule="auto"/>
              <w:rPr>
                <w:rFonts w:eastAsia="Yu Gothic Light"/>
              </w:rPr>
            </w:pPr>
            <w:r w:rsidRPr="00544EA2">
              <w:rPr>
                <w:rFonts w:eastAsia="Yu Gothic Light"/>
              </w:rPr>
              <w:t>$15,000</w:t>
            </w:r>
            <w:r w:rsidRPr="00544EA2">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0F9B9EDD" w14:textId="77777777" w:rsidR="003B0176" w:rsidRPr="00544EA2" w:rsidRDefault="003B0176" w:rsidP="00315498">
            <w:pPr>
              <w:spacing w:before="120" w:after="120" w:line="240" w:lineRule="auto"/>
              <w:rPr>
                <w:rFonts w:eastAsia="Yu Gothic Light"/>
              </w:rPr>
            </w:pPr>
            <w:r w:rsidRPr="00544EA2">
              <w:rPr>
                <w:rFonts w:eastAsia="Yu Gothic Light"/>
              </w:rPr>
              <w:t>12 months</w:t>
            </w:r>
            <w:r w:rsidRPr="00544EA2">
              <w:rPr>
                <w:rFonts w:eastAsia="Yu Gothic Light"/>
                <w:vertAlign w:val="superscript"/>
              </w:rPr>
              <w:t>2</w:t>
            </w:r>
            <w:r w:rsidRPr="00544EA2">
              <w:rPr>
                <w:rFonts w:eastAsia="Yu Gothic Light" w:hint="eastAsia"/>
              </w:rPr>
              <w:t> </w:t>
            </w:r>
          </w:p>
        </w:tc>
      </w:tr>
      <w:tr w:rsidR="003B0176" w:rsidRPr="00544EA2" w14:paraId="1EE82A3F"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4E39EA8E" w14:textId="77777777" w:rsidR="003B0176" w:rsidRPr="00544EA2" w:rsidRDefault="003B0176" w:rsidP="00315498">
            <w:pPr>
              <w:spacing w:before="120" w:after="120" w:line="240" w:lineRule="auto"/>
              <w:rPr>
                <w:rFonts w:eastAsia="Yu Gothic Light"/>
              </w:rPr>
            </w:pPr>
            <w:r w:rsidRPr="00544EA2">
              <w:rPr>
                <w:rFonts w:eastAsia="Yu Gothic Light"/>
                <w:vertAlign w:val="superscript"/>
              </w:rPr>
              <w:t xml:space="preserve">2 </w:t>
            </w:r>
            <w:r w:rsidRPr="00544EA2">
              <w:rPr>
                <w:rFonts w:eastAsia="Yu Gothic Light"/>
              </w:rPr>
              <w:t>Funding may be extended for an additional 12 months to complete complex home modifications (24 months in total) if evidence is provided to Services Australia</w:t>
            </w:r>
            <w:r w:rsidRPr="00544EA2">
              <w:rPr>
                <w:rFonts w:eastAsia="Yu Gothic Light" w:hint="eastAsia"/>
              </w:rPr>
              <w:t> </w:t>
            </w:r>
          </w:p>
        </w:tc>
      </w:tr>
      <w:tr w:rsidR="003B0176" w:rsidRPr="00544EA2" w14:paraId="3E9A7A82" w14:textId="77777777" w:rsidTr="00315498">
        <w:trPr>
          <w:trHeight w:val="300"/>
        </w:trPr>
        <w:tc>
          <w:tcPr>
            <w:tcW w:w="9000" w:type="dxa"/>
            <w:gridSpan w:val="3"/>
            <w:tcBorders>
              <w:top w:val="single" w:sz="6" w:space="0" w:color="44546A"/>
              <w:left w:val="single" w:sz="6" w:space="0" w:color="44546A"/>
              <w:bottom w:val="single" w:sz="6" w:space="0" w:color="44546A"/>
              <w:right w:val="single" w:sz="6" w:space="0" w:color="44546A"/>
            </w:tcBorders>
            <w:shd w:val="clear" w:color="auto" w:fill="002060"/>
            <w:hideMark/>
          </w:tcPr>
          <w:p w14:paraId="4BA97280" w14:textId="77777777" w:rsidR="003B0176" w:rsidRPr="00544EA2" w:rsidRDefault="003B0176" w:rsidP="00315498">
            <w:pPr>
              <w:spacing w:before="120" w:after="120" w:line="240" w:lineRule="auto"/>
              <w:rPr>
                <w:rFonts w:eastAsia="Yu Gothic Light"/>
              </w:rPr>
            </w:pPr>
            <w:r w:rsidRPr="00544EA2">
              <w:rPr>
                <w:rFonts w:eastAsia="Yu Gothic Light"/>
                <w:b/>
              </w:rPr>
              <w:t>Other funding</w:t>
            </w:r>
            <w:r w:rsidRPr="00544EA2">
              <w:rPr>
                <w:rFonts w:eastAsia="Yu Gothic Light" w:hint="eastAsia"/>
              </w:rPr>
              <w:t> </w:t>
            </w:r>
          </w:p>
        </w:tc>
      </w:tr>
      <w:tr w:rsidR="003B0176" w:rsidRPr="00544EA2" w14:paraId="51485C05"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475A972E" w14:textId="77777777" w:rsidR="003B0176" w:rsidRPr="00544EA2" w:rsidRDefault="003B0176" w:rsidP="00315498">
            <w:pPr>
              <w:spacing w:before="120" w:after="120" w:line="240" w:lineRule="auto"/>
              <w:rPr>
                <w:rFonts w:eastAsia="Yu Gothic Light"/>
              </w:rPr>
            </w:pPr>
            <w:r w:rsidRPr="00544EA2">
              <w:rPr>
                <w:rFonts w:eastAsia="Yu Gothic Light"/>
              </w:rPr>
              <w:t>Assistance dog maintenance</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7966A443" w14:textId="77777777" w:rsidR="003B0176" w:rsidRPr="00544EA2" w:rsidRDefault="003B0176" w:rsidP="00315498">
            <w:pPr>
              <w:spacing w:before="120" w:after="120" w:line="240" w:lineRule="auto"/>
              <w:rPr>
                <w:rFonts w:eastAsia="Yu Gothic Light"/>
              </w:rPr>
            </w:pPr>
            <w:r w:rsidRPr="00544EA2">
              <w:rPr>
                <w:rFonts w:eastAsia="Yu Gothic Light"/>
              </w:rPr>
              <w:t>$2,000 per year</w:t>
            </w:r>
            <w:r w:rsidRPr="00544EA2">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71B89566" w14:textId="77777777" w:rsidR="003B0176" w:rsidRPr="00544EA2" w:rsidRDefault="003B0176" w:rsidP="00315498">
            <w:pPr>
              <w:spacing w:before="120" w:after="120" w:line="240" w:lineRule="auto"/>
              <w:rPr>
                <w:rFonts w:eastAsia="Yu Gothic Light"/>
              </w:rPr>
            </w:pPr>
            <w:r w:rsidRPr="00544EA2">
              <w:rPr>
                <w:rFonts w:eastAsia="Yu Gothic Light"/>
              </w:rPr>
              <w:t>Ongoing</w:t>
            </w:r>
            <w:r w:rsidRPr="00544EA2">
              <w:rPr>
                <w:rFonts w:eastAsia="Yu Gothic Light"/>
                <w:vertAlign w:val="superscript"/>
              </w:rPr>
              <w:t>3</w:t>
            </w:r>
            <w:r w:rsidRPr="00544EA2">
              <w:rPr>
                <w:rFonts w:eastAsia="Yu Gothic Light" w:hint="eastAsia"/>
              </w:rPr>
              <w:t> </w:t>
            </w:r>
          </w:p>
        </w:tc>
      </w:tr>
      <w:tr w:rsidR="003B0176" w:rsidRPr="00544EA2" w14:paraId="5720FD56"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5FFF104B" w14:textId="77777777" w:rsidR="003B0176" w:rsidRPr="00544EA2" w:rsidRDefault="003B0176" w:rsidP="00315498">
            <w:pPr>
              <w:spacing w:before="120" w:after="120" w:line="240" w:lineRule="auto"/>
              <w:rPr>
                <w:rFonts w:eastAsia="Yu Gothic Light"/>
              </w:rPr>
            </w:pPr>
            <w:r w:rsidRPr="00544EA2">
              <w:rPr>
                <w:rFonts w:eastAsia="Yu Gothic Light"/>
                <w:vertAlign w:val="superscript"/>
              </w:rPr>
              <w:t>3</w:t>
            </w:r>
            <w:r w:rsidRPr="00544EA2">
              <w:rPr>
                <w:rFonts w:eastAsia="Yu Gothic Light"/>
              </w:rPr>
              <w:t xml:space="preserve"> Funding for assistance dog maintenance will be automatically allocated every 12 months; however, the funding cannot accrue or rollover.</w:t>
            </w:r>
            <w:r w:rsidRPr="00544EA2">
              <w:rPr>
                <w:rFonts w:eastAsia="Yu Gothic Light" w:hint="eastAsia"/>
              </w:rPr>
              <w:t> </w:t>
            </w:r>
          </w:p>
        </w:tc>
      </w:tr>
    </w:tbl>
    <w:p w14:paraId="79AFAFFB" w14:textId="5C9A41BF" w:rsidR="00733FAC" w:rsidRDefault="003B0176" w:rsidP="00622CFF">
      <w:pPr>
        <w:spacing w:before="240" w:after="240" w:line="240" w:lineRule="auto"/>
        <w:rPr>
          <w:rFonts w:eastAsia="Yu Gothic Light"/>
        </w:rPr>
      </w:pPr>
      <w:r w:rsidRPr="00544EA2">
        <w:rPr>
          <w:rFonts w:eastAsia="Yu Gothic Light"/>
        </w:rPr>
        <w:t>An AT-HM tier guide has been developed to assist assessors to make a funding tier recommendation for assistive technology and/or home modifications based on the older person</w:t>
      </w:r>
      <w:r w:rsidRPr="00544EA2">
        <w:rPr>
          <w:rFonts w:eastAsia="Yu Gothic Light" w:hint="eastAsia"/>
        </w:rPr>
        <w:t>’</w:t>
      </w:r>
      <w:r w:rsidRPr="00544EA2">
        <w:rPr>
          <w:rFonts w:eastAsia="Yu Gothic Light"/>
        </w:rPr>
        <w:t xml:space="preserve">s assessed need in the IAT. This includes considering their current functional ability and home environment. The guidance has been designed to consolidate the main elements of the IAT relevant to AT-HM to support assessors in choosing a funding tier. The guide will suggest a </w:t>
      </w:r>
      <w:r w:rsidR="001264EE">
        <w:rPr>
          <w:rFonts w:eastAsia="Yu Gothic Light"/>
        </w:rPr>
        <w:t>funding</w:t>
      </w:r>
      <w:r w:rsidR="001264EE" w:rsidRPr="00544EA2">
        <w:rPr>
          <w:rFonts w:eastAsia="Yu Gothic Light"/>
        </w:rPr>
        <w:t xml:space="preserve"> </w:t>
      </w:r>
      <w:r w:rsidRPr="00544EA2">
        <w:rPr>
          <w:rFonts w:eastAsia="Yu Gothic Light"/>
        </w:rPr>
        <w:t>tier which should sit where the majority of tier indicators have been selected. Assessors should ensure their recommendations align with the participant</w:t>
      </w:r>
      <w:r w:rsidRPr="00544EA2">
        <w:rPr>
          <w:rFonts w:eastAsia="Yu Gothic Light" w:hint="eastAsia"/>
        </w:rPr>
        <w:t>’</w:t>
      </w:r>
      <w:r w:rsidRPr="00544EA2">
        <w:rPr>
          <w:rFonts w:eastAsia="Yu Gothic Light"/>
        </w:rPr>
        <w:t xml:space="preserve">s goals, safety, independence, and overall ability to remain living at home. They may choose to select an alternate tier if funding does not align with assessed need. Assessors can upload the document as an attachment to allow </w:t>
      </w:r>
      <w:r w:rsidR="003754F0">
        <w:rPr>
          <w:rFonts w:eastAsia="Yu Gothic Light"/>
        </w:rPr>
        <w:t>Assessment D</w:t>
      </w:r>
      <w:r w:rsidRPr="00544EA2">
        <w:rPr>
          <w:rFonts w:eastAsia="Yu Gothic Light"/>
        </w:rPr>
        <w:t>elegate</w:t>
      </w:r>
      <w:r w:rsidR="00FE01B2">
        <w:rPr>
          <w:rFonts w:eastAsia="Yu Gothic Light"/>
        </w:rPr>
        <w:t>s</w:t>
      </w:r>
      <w:r w:rsidRPr="00544EA2">
        <w:rPr>
          <w:rFonts w:eastAsia="Yu Gothic Light"/>
        </w:rPr>
        <w:t xml:space="preserve"> to review as supporting evidence for any funding tier recommendations made. </w:t>
      </w:r>
    </w:p>
    <w:p w14:paraId="4DECBDD9" w14:textId="00E74D48" w:rsidR="005A4D83" w:rsidRDefault="005A4D83" w:rsidP="00622CFF">
      <w:pPr>
        <w:spacing w:before="240" w:after="240" w:line="240" w:lineRule="auto"/>
        <w:rPr>
          <w:rFonts w:eastAsia="Yu Gothic Light"/>
        </w:rPr>
      </w:pPr>
      <w:r>
        <w:rPr>
          <w:rFonts w:eastAsia="Arial"/>
          <w:color w:val="000000"/>
        </w:rPr>
        <w:t>The assess</w:t>
      </w:r>
      <w:r w:rsidR="00FE67FD">
        <w:rPr>
          <w:rFonts w:eastAsia="Arial"/>
          <w:color w:val="000000"/>
        </w:rPr>
        <w:t>ment</w:t>
      </w:r>
      <w:r>
        <w:rPr>
          <w:rFonts w:eastAsia="Arial"/>
          <w:color w:val="000000"/>
        </w:rPr>
        <w:t xml:space="preserve"> delegate </w:t>
      </w:r>
      <w:r w:rsidR="004E4331">
        <w:rPr>
          <w:rFonts w:eastAsia="Arial"/>
          <w:color w:val="000000"/>
        </w:rPr>
        <w:t>may also use</w:t>
      </w:r>
      <w:r>
        <w:rPr>
          <w:rFonts w:eastAsia="Arial"/>
          <w:color w:val="000000"/>
        </w:rPr>
        <w:t xml:space="preserve"> </w:t>
      </w:r>
      <w:r w:rsidR="00B12868">
        <w:rPr>
          <w:rFonts w:eastAsia="Arial"/>
          <w:color w:val="000000"/>
        </w:rPr>
        <w:t>the completed</w:t>
      </w:r>
      <w:r>
        <w:rPr>
          <w:rFonts w:eastAsia="Arial"/>
          <w:color w:val="000000"/>
        </w:rPr>
        <w:t xml:space="preserve"> AT-HM tier guide</w:t>
      </w:r>
      <w:r w:rsidR="00B12868">
        <w:rPr>
          <w:rFonts w:eastAsia="Arial"/>
          <w:color w:val="000000"/>
        </w:rPr>
        <w:t>,</w:t>
      </w:r>
      <w:r>
        <w:rPr>
          <w:rFonts w:eastAsia="Arial"/>
          <w:color w:val="000000"/>
        </w:rPr>
        <w:t xml:space="preserve"> </w:t>
      </w:r>
      <w:r w:rsidR="00B12868">
        <w:rPr>
          <w:rFonts w:eastAsia="Arial"/>
          <w:color w:val="000000"/>
        </w:rPr>
        <w:t xml:space="preserve">uploaded </w:t>
      </w:r>
      <w:r>
        <w:rPr>
          <w:rFonts w:eastAsia="Arial"/>
          <w:color w:val="000000"/>
        </w:rPr>
        <w:t>by the assessor</w:t>
      </w:r>
      <w:r w:rsidR="00B12868">
        <w:rPr>
          <w:rFonts w:eastAsia="Arial"/>
          <w:color w:val="000000"/>
        </w:rPr>
        <w:t>,</w:t>
      </w:r>
      <w:r>
        <w:rPr>
          <w:rFonts w:eastAsia="Arial"/>
          <w:color w:val="000000"/>
        </w:rPr>
        <w:t xml:space="preserve"> to </w:t>
      </w:r>
      <w:r w:rsidR="00A50740">
        <w:rPr>
          <w:rFonts w:eastAsia="Arial"/>
          <w:color w:val="000000"/>
        </w:rPr>
        <w:t>review</w:t>
      </w:r>
      <w:r>
        <w:rPr>
          <w:rFonts w:eastAsia="Arial"/>
          <w:color w:val="000000"/>
        </w:rPr>
        <w:t xml:space="preserve"> evidence </w:t>
      </w:r>
      <w:r w:rsidR="00A50740">
        <w:rPr>
          <w:rFonts w:eastAsia="Arial"/>
          <w:color w:val="000000"/>
        </w:rPr>
        <w:t>related to</w:t>
      </w:r>
      <w:r>
        <w:rPr>
          <w:rFonts w:eastAsia="Arial"/>
          <w:color w:val="000000"/>
        </w:rPr>
        <w:t xml:space="preserve"> the decision making </w:t>
      </w:r>
      <w:r w:rsidR="00B12868">
        <w:rPr>
          <w:rFonts w:eastAsia="Arial"/>
          <w:color w:val="000000"/>
        </w:rPr>
        <w:t xml:space="preserve">process </w:t>
      </w:r>
      <w:r>
        <w:rPr>
          <w:rFonts w:eastAsia="Arial"/>
          <w:color w:val="000000"/>
        </w:rPr>
        <w:t xml:space="preserve">on </w:t>
      </w:r>
      <w:r w:rsidR="00A50740">
        <w:rPr>
          <w:rFonts w:eastAsia="Arial"/>
          <w:color w:val="000000"/>
        </w:rPr>
        <w:t>allocation of</w:t>
      </w:r>
      <w:r w:rsidR="00A22BC5">
        <w:rPr>
          <w:rFonts w:eastAsia="Arial"/>
          <w:color w:val="000000"/>
        </w:rPr>
        <w:t xml:space="preserve"> a particular</w:t>
      </w:r>
      <w:r>
        <w:rPr>
          <w:rFonts w:eastAsia="Arial"/>
          <w:color w:val="000000"/>
        </w:rPr>
        <w:t xml:space="preserve"> AT or HM funding tier.</w:t>
      </w:r>
    </w:p>
    <w:tbl>
      <w:tblPr>
        <w:tblW w:w="0" w:type="auto"/>
        <w:tblLook w:val="04A0" w:firstRow="1" w:lastRow="0" w:firstColumn="1" w:lastColumn="0" w:noHBand="0" w:noVBand="1"/>
      </w:tblPr>
      <w:tblGrid>
        <w:gridCol w:w="921"/>
        <w:gridCol w:w="8105"/>
      </w:tblGrid>
      <w:tr w:rsidR="00733FAC" w:rsidRPr="008D5728" w14:paraId="44950712" w14:textId="77777777">
        <w:trPr>
          <w:trHeight w:val="677"/>
        </w:trPr>
        <w:tc>
          <w:tcPr>
            <w:tcW w:w="921" w:type="dxa"/>
          </w:tcPr>
          <w:p w14:paraId="65A5C600" w14:textId="77777777" w:rsidR="00733FAC" w:rsidRPr="008D5728" w:rsidRDefault="00733FAC">
            <w:pPr>
              <w:spacing w:before="240" w:after="240" w:line="240" w:lineRule="auto"/>
              <w:rPr>
                <w:rFonts w:eastAsia="Yu Gothic Light"/>
              </w:rPr>
            </w:pPr>
            <w:r w:rsidRPr="008D5728">
              <w:rPr>
                <w:rFonts w:eastAsia="Yu Gothic Light"/>
                <w:noProof/>
              </w:rPr>
              <w:drawing>
                <wp:inline distT="0" distB="0" distL="0" distR="0" wp14:anchorId="243D0818" wp14:editId="546C504B">
                  <wp:extent cx="447675" cy="445208"/>
                  <wp:effectExtent l="0" t="0" r="0" b="0"/>
                  <wp:docPr id="781714139" name="Picture 78171413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23A9CFC9" w14:textId="28EAE4BC" w:rsidR="00733FAC" w:rsidRPr="008D5728" w:rsidRDefault="00733FAC">
            <w:pPr>
              <w:spacing w:before="240" w:after="240" w:line="240" w:lineRule="auto"/>
              <w:rPr>
                <w:rFonts w:eastAsia="Yu Gothic Light"/>
              </w:rPr>
            </w:pPr>
            <w:r>
              <w:rPr>
                <w:rFonts w:eastAsia="Yu Gothic Light"/>
              </w:rPr>
              <w:t>S</w:t>
            </w:r>
            <w:r w:rsidRPr="00544EA2">
              <w:rPr>
                <w:rFonts w:eastAsia="Yu Gothic Light"/>
              </w:rPr>
              <w:t xml:space="preserve">ee </w:t>
            </w:r>
            <w:r>
              <w:rPr>
                <w:rFonts w:eastAsia="Yu Gothic Light"/>
              </w:rPr>
              <w:t xml:space="preserve">Appendix </w:t>
            </w:r>
            <w:r w:rsidR="009461B3">
              <w:rPr>
                <w:rFonts w:eastAsia="Yu Gothic Light"/>
              </w:rPr>
              <w:t>G</w:t>
            </w:r>
            <w:r w:rsidRPr="00544EA2">
              <w:rPr>
                <w:rFonts w:eastAsia="Yu Gothic Light"/>
              </w:rPr>
              <w:t xml:space="preserve"> for further information regarding the AT-HM </w:t>
            </w:r>
            <w:r w:rsidR="004A27D1">
              <w:rPr>
                <w:rFonts w:eastAsia="Yu Gothic Light"/>
              </w:rPr>
              <w:t>Terms and Chapte</w:t>
            </w:r>
            <w:r w:rsidR="00691D33">
              <w:rPr>
                <w:rFonts w:eastAsia="Yu Gothic Light"/>
              </w:rPr>
              <w:t>r</w:t>
            </w:r>
            <w:r w:rsidR="004A27D1">
              <w:rPr>
                <w:rFonts w:eastAsia="Yu Gothic Light"/>
              </w:rPr>
              <w:t xml:space="preserve"> 6 for AT-HM case studies</w:t>
            </w:r>
          </w:p>
        </w:tc>
      </w:tr>
    </w:tbl>
    <w:p w14:paraId="506014AC" w14:textId="0A3D809C" w:rsidR="003B0176" w:rsidRPr="00544EA2" w:rsidRDefault="003B0176" w:rsidP="00622CFF">
      <w:pPr>
        <w:spacing w:before="240" w:after="240" w:line="240" w:lineRule="auto"/>
        <w:rPr>
          <w:rFonts w:eastAsia="Yu Gothic Light"/>
        </w:rPr>
      </w:pPr>
    </w:p>
    <w:p w14:paraId="1105FB41" w14:textId="77777777" w:rsidR="003B0176" w:rsidRPr="00544EA2" w:rsidRDefault="003B0176" w:rsidP="00CC6081">
      <w:pPr>
        <w:pStyle w:val="H4"/>
      </w:pPr>
      <w:bookmarkStart w:id="752" w:name="_Toc205372097"/>
      <w:bookmarkStart w:id="753" w:name="_Toc207714000"/>
      <w:r w:rsidRPr="00544EA2">
        <w:t>AT-HM list</w:t>
      </w:r>
      <w:bookmarkEnd w:id="752"/>
      <w:bookmarkEnd w:id="753"/>
    </w:p>
    <w:p w14:paraId="2D84AE40" w14:textId="0682A456" w:rsidR="003B0176" w:rsidRPr="001264EE" w:rsidRDefault="003B0176" w:rsidP="00622CFF">
      <w:pPr>
        <w:spacing w:before="240" w:after="240" w:line="240" w:lineRule="auto"/>
        <w:rPr>
          <w:rFonts w:eastAsia="Yu Gothic Light"/>
        </w:rPr>
      </w:pPr>
      <w:bookmarkStart w:id="754" w:name="_Toc205372098"/>
      <w:r w:rsidRPr="00544EA2">
        <w:rPr>
          <w:rFonts w:eastAsia="Yu Gothic"/>
        </w:rPr>
        <w:t>T</w:t>
      </w:r>
      <w:bookmarkEnd w:id="754"/>
      <w:r w:rsidRPr="00544EA2">
        <w:rPr>
          <w:rFonts w:eastAsia="Yu Gothic"/>
        </w:rPr>
        <w:t xml:space="preserve">he AT-HM list sets out the equipment, products and home modifications that are available for Support at Home participants under the AT-HM </w:t>
      </w:r>
      <w:r w:rsidRPr="001264EE">
        <w:rPr>
          <w:rFonts w:eastAsia="Yu Gothic"/>
        </w:rPr>
        <w:t xml:space="preserve">scheme. </w:t>
      </w:r>
      <w:r w:rsidRPr="003523CC">
        <w:rPr>
          <w:rFonts w:eastAsia="Yu Gothic"/>
        </w:rPr>
        <w:t>The AT-HM list sits under the main Aged Care Service list, which lists all other services and service types</w:t>
      </w:r>
      <w:r w:rsidR="00AC7287">
        <w:rPr>
          <w:rFonts w:eastAsia="Yu Gothic"/>
        </w:rPr>
        <w:t>.</w:t>
      </w:r>
    </w:p>
    <w:p w14:paraId="561DAB95" w14:textId="77777777" w:rsidR="003B0176" w:rsidRPr="00544EA2" w:rsidRDefault="003B0176" w:rsidP="00622CFF">
      <w:pPr>
        <w:spacing w:before="240" w:after="240" w:line="240" w:lineRule="auto"/>
        <w:rPr>
          <w:rFonts w:eastAsia="Yu Gothic Light"/>
        </w:rPr>
      </w:pPr>
      <w:r w:rsidRPr="00544EA2">
        <w:rPr>
          <w:rFonts w:eastAsia="Yu Gothic"/>
        </w:rPr>
        <w:t>The list was constructed using the internationally agreed instruments and Australian-adopted AS/NZS ISO Assistive Product- classification and terminology standard (2023) and informed by subject matter experts.</w:t>
      </w:r>
    </w:p>
    <w:p w14:paraId="4B4C6744" w14:textId="5E1EC7C1" w:rsidR="003B0176" w:rsidRPr="003523CC" w:rsidRDefault="003B0176" w:rsidP="00622CFF">
      <w:pPr>
        <w:spacing w:before="240" w:after="240" w:line="240" w:lineRule="auto"/>
        <w:rPr>
          <w:rFonts w:eastAsia="Yu Gothic"/>
        </w:rPr>
      </w:pPr>
      <w:r w:rsidRPr="001264EE">
        <w:rPr>
          <w:rFonts w:eastAsia="Yu Gothic"/>
        </w:rPr>
        <w:t xml:space="preserve">Participants may use their AT-HM scheme funding on items listed under </w:t>
      </w:r>
      <w:r w:rsidRPr="0017698D">
        <w:rPr>
          <w:rFonts w:eastAsia="Yu Gothic"/>
        </w:rPr>
        <w:t>‘</w:t>
      </w:r>
      <w:r w:rsidRPr="001264EE">
        <w:rPr>
          <w:rFonts w:eastAsia="Yu Gothic"/>
        </w:rPr>
        <w:t>Inclusions</w:t>
      </w:r>
      <w:r w:rsidRPr="0017698D">
        <w:rPr>
          <w:rFonts w:eastAsia="Yu Gothic"/>
        </w:rPr>
        <w:t>’</w:t>
      </w:r>
      <w:r w:rsidRPr="001264EE">
        <w:rPr>
          <w:rFonts w:eastAsia="Yu Gothic"/>
        </w:rPr>
        <w:t xml:space="preserve"> where an assessed need is documented in their support plan. Conditional inclusions are subject to additional criteria.</w:t>
      </w:r>
    </w:p>
    <w:p w14:paraId="4D228A5F" w14:textId="77777777" w:rsidR="003B0176" w:rsidRPr="00544EA2" w:rsidRDefault="003B0176" w:rsidP="00622CFF">
      <w:pPr>
        <w:spacing w:before="240" w:after="240" w:line="240" w:lineRule="auto"/>
        <w:rPr>
          <w:rFonts w:eastAsia="Aptos"/>
        </w:rPr>
      </w:pPr>
      <w:r w:rsidRPr="001264EE">
        <w:rPr>
          <w:rFonts w:eastAsia="Yu Gothic"/>
        </w:rPr>
        <w:t>Home modification items</w:t>
      </w:r>
      <w:r w:rsidRPr="00544EA2">
        <w:rPr>
          <w:rFonts w:eastAsia="Yu Gothic"/>
        </w:rPr>
        <w:t xml:space="preserve"> are included on the AT-HM list. Services associated with the sourcing, supply and provision of the home modification products on the AT-HM list, such as installation, fitting, council approval and planning, will also be funded through the AT-HM scheme. </w:t>
      </w:r>
    </w:p>
    <w:p w14:paraId="41234337" w14:textId="77777777" w:rsidR="003B0176" w:rsidRPr="00544EA2" w:rsidRDefault="003B0176" w:rsidP="00622CFF">
      <w:pPr>
        <w:spacing w:before="240" w:after="240" w:line="240" w:lineRule="auto"/>
        <w:rPr>
          <w:rFonts w:eastAsia="Yu Gothic"/>
          <w:b/>
        </w:rPr>
      </w:pPr>
      <w:r w:rsidRPr="00544EA2">
        <w:rPr>
          <w:rFonts w:eastAsia="Yu Gothic"/>
          <w:b/>
        </w:rPr>
        <w:t xml:space="preserve">The AT-HM list includes the following categories: </w:t>
      </w:r>
    </w:p>
    <w:p w14:paraId="00D6739E"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managing body functions </w:t>
      </w:r>
      <w:r w:rsidRPr="00544EA2">
        <w:rPr>
          <w:rFonts w:eastAsia="Yu Gothic" w:hint="eastAsia"/>
        </w:rPr>
        <w:t>–</w:t>
      </w:r>
      <w:r w:rsidRPr="00544EA2">
        <w:rPr>
          <w:rFonts w:eastAsia="Yu Gothic"/>
        </w:rPr>
        <w:t xml:space="preserve"> including pressure cushions, anti-oedema stockings and memory support products</w:t>
      </w:r>
    </w:p>
    <w:p w14:paraId="3E1E37AF"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self-care products </w:t>
      </w:r>
      <w:r w:rsidRPr="00544EA2">
        <w:rPr>
          <w:rFonts w:eastAsia="Yu Gothic" w:hint="eastAsia"/>
        </w:rPr>
        <w:t>–</w:t>
      </w:r>
      <w:r w:rsidRPr="00544EA2">
        <w:rPr>
          <w:rFonts w:eastAsia="Yu Gothic"/>
        </w:rPr>
        <w:t xml:space="preserve"> including adaptive clothing or shoes and assistive products for toileting, bathing and showering</w:t>
      </w:r>
    </w:p>
    <w:p w14:paraId="284B12C3"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mobility products </w:t>
      </w:r>
      <w:r w:rsidRPr="00544EA2">
        <w:rPr>
          <w:rFonts w:eastAsia="Yu Gothic" w:hint="eastAsia"/>
        </w:rPr>
        <w:t>–</w:t>
      </w:r>
      <w:r w:rsidRPr="00544EA2">
        <w:rPr>
          <w:rFonts w:eastAsia="Yu Gothic"/>
        </w:rPr>
        <w:t xml:space="preserve"> including walking frames, wheelchairs and lifting devices </w:t>
      </w:r>
    </w:p>
    <w:p w14:paraId="631B8E24"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domestic life products </w:t>
      </w:r>
      <w:r w:rsidRPr="00544EA2">
        <w:rPr>
          <w:rFonts w:eastAsia="Yu Gothic" w:hint="eastAsia"/>
        </w:rPr>
        <w:t>–</w:t>
      </w:r>
      <w:r w:rsidRPr="00544EA2">
        <w:rPr>
          <w:rFonts w:eastAsia="Yu Gothic"/>
        </w:rPr>
        <w:t xml:space="preserve"> including assistive products for food preparation, eating, drinking and house cleaning</w:t>
      </w:r>
    </w:p>
    <w:p w14:paraId="3328E9F9"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communication and information management products </w:t>
      </w:r>
      <w:r w:rsidRPr="00544EA2">
        <w:rPr>
          <w:rFonts w:eastAsia="Yu Gothic" w:hint="eastAsia"/>
        </w:rPr>
        <w:t>–</w:t>
      </w:r>
      <w:r w:rsidRPr="00544EA2">
        <w:rPr>
          <w:rFonts w:eastAsia="Yu Gothic"/>
        </w:rPr>
        <w:t xml:space="preserve"> aids that assist with reading and writing, as well as alternative and augmentative communication (AAC) devices</w:t>
      </w:r>
    </w:p>
    <w:p w14:paraId="43A4C8B4" w14:textId="77777777" w:rsidR="003B0176" w:rsidRPr="00CF4346" w:rsidRDefault="003B0176" w:rsidP="00DF3F6B">
      <w:pPr>
        <w:numPr>
          <w:ilvl w:val="0"/>
          <w:numId w:val="141"/>
        </w:numPr>
        <w:spacing w:before="240" w:after="240" w:line="240" w:lineRule="auto"/>
        <w:contextualSpacing/>
        <w:rPr>
          <w:rFonts w:eastAsia="Yu Gothic Light"/>
        </w:rPr>
      </w:pPr>
      <w:r w:rsidRPr="00544EA2">
        <w:rPr>
          <w:rFonts w:eastAsia="Yu Gothic"/>
        </w:rPr>
        <w:t xml:space="preserve">home modifications - including accessible showers, grabrails, fixed ramps and safety barriers. </w:t>
      </w:r>
    </w:p>
    <w:p w14:paraId="23B473AA" w14:textId="77777777" w:rsidR="003B0176" w:rsidRPr="00544EA2" w:rsidRDefault="003B0176" w:rsidP="00622CFF">
      <w:pPr>
        <w:spacing w:before="240" w:after="240" w:line="240" w:lineRule="auto"/>
        <w:ind w:left="720"/>
        <w:contextualSpacing/>
        <w:rPr>
          <w:rFonts w:eastAsia="Yu Gothic Light"/>
        </w:rPr>
      </w:pPr>
    </w:p>
    <w:tbl>
      <w:tblPr>
        <w:tblW w:w="0" w:type="auto"/>
        <w:tblLook w:val="04A0" w:firstRow="1" w:lastRow="0" w:firstColumn="1" w:lastColumn="0" w:noHBand="0" w:noVBand="1"/>
      </w:tblPr>
      <w:tblGrid>
        <w:gridCol w:w="921"/>
        <w:gridCol w:w="8105"/>
      </w:tblGrid>
      <w:tr w:rsidR="00260719" w:rsidRPr="008D5728" w14:paraId="7A4E8E8F" w14:textId="77777777">
        <w:trPr>
          <w:trHeight w:val="677"/>
        </w:trPr>
        <w:tc>
          <w:tcPr>
            <w:tcW w:w="921" w:type="dxa"/>
          </w:tcPr>
          <w:p w14:paraId="2E0A6FB1" w14:textId="77777777" w:rsidR="00260719" w:rsidRPr="008D5728" w:rsidRDefault="00260719">
            <w:pPr>
              <w:spacing w:before="240" w:after="240" w:line="240" w:lineRule="auto"/>
              <w:rPr>
                <w:rFonts w:eastAsia="Yu Gothic Light"/>
              </w:rPr>
            </w:pPr>
            <w:r w:rsidRPr="008D5728">
              <w:rPr>
                <w:rFonts w:eastAsia="Yu Gothic Light"/>
                <w:noProof/>
              </w:rPr>
              <w:drawing>
                <wp:inline distT="0" distB="0" distL="0" distR="0" wp14:anchorId="32C0025B" wp14:editId="0B272106">
                  <wp:extent cx="447675" cy="445208"/>
                  <wp:effectExtent l="0" t="0" r="0" b="0"/>
                  <wp:docPr id="406273798" name="Picture 40627379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18509210" w14:textId="1A7646F4" w:rsidR="00260719" w:rsidRDefault="00260719">
            <w:pPr>
              <w:spacing w:before="240" w:after="240" w:line="240" w:lineRule="auto"/>
              <w:rPr>
                <w:rFonts w:eastAsia="Yu Gothic"/>
              </w:rPr>
            </w:pPr>
            <w:hyperlink r:id="rId236" w:history="1">
              <w:r w:rsidRPr="00681C5B">
                <w:rPr>
                  <w:rStyle w:val="Hyperlink"/>
                  <w:rFonts w:eastAsia="Yu Gothic"/>
                </w:rPr>
                <w:t>The AT-HM list</w:t>
              </w:r>
            </w:hyperlink>
          </w:p>
          <w:p w14:paraId="616BA966" w14:textId="48914657" w:rsidR="00260719" w:rsidRPr="008D5728" w:rsidRDefault="00260719">
            <w:pPr>
              <w:spacing w:before="240" w:after="240" w:line="240" w:lineRule="auto"/>
              <w:rPr>
                <w:rFonts w:eastAsia="Yu Gothic Light"/>
              </w:rPr>
            </w:pPr>
            <w:hyperlink r:id="rId237" w:history="1">
              <w:r w:rsidRPr="00813D10">
                <w:rPr>
                  <w:rStyle w:val="Hyperlink"/>
                  <w:rFonts w:eastAsia="Yu Gothic Light"/>
                </w:rPr>
                <w:t>The AT-HM scheme guidelines</w:t>
              </w:r>
            </w:hyperlink>
          </w:p>
        </w:tc>
      </w:tr>
    </w:tbl>
    <w:p w14:paraId="117F1747" w14:textId="77777777" w:rsidR="003B0176" w:rsidRPr="00544EA2" w:rsidRDefault="003B0176" w:rsidP="00C56CEC">
      <w:pPr>
        <w:pStyle w:val="H3"/>
      </w:pPr>
      <w:bookmarkStart w:id="755" w:name="_Toc205372099"/>
      <w:bookmarkStart w:id="756" w:name="_Toc207714001"/>
      <w:r w:rsidRPr="00544EA2">
        <w:t>Step 3. Confirm the priority category</w:t>
      </w:r>
      <w:bookmarkEnd w:id="755"/>
      <w:bookmarkEnd w:id="756"/>
    </w:p>
    <w:p w14:paraId="53ACAE99" w14:textId="7698A6A6" w:rsidR="003B0176" w:rsidRPr="00544EA2" w:rsidRDefault="003B0176" w:rsidP="00622CFF">
      <w:pPr>
        <w:spacing w:before="240" w:after="240" w:line="240" w:lineRule="auto"/>
        <w:rPr>
          <w:rFonts w:eastAsia="Yu Gothic"/>
        </w:rPr>
      </w:pPr>
      <w:r w:rsidRPr="00544EA2">
        <w:rPr>
          <w:rFonts w:eastAsia="Yu Gothic"/>
        </w:rPr>
        <w:t xml:space="preserve">The AT-HM scheme has separate priority systems to the Support at Home </w:t>
      </w:r>
      <w:r w:rsidR="00D922B6">
        <w:rPr>
          <w:rFonts w:eastAsia="Yu Gothic"/>
        </w:rPr>
        <w:t>P</w:t>
      </w:r>
      <w:r w:rsidR="00D922B6" w:rsidRPr="00544EA2">
        <w:rPr>
          <w:rFonts w:eastAsia="Yu Gothic"/>
        </w:rPr>
        <w:t xml:space="preserve">riority </w:t>
      </w:r>
      <w:r w:rsidR="00D922B6">
        <w:rPr>
          <w:rFonts w:eastAsia="Yu Gothic"/>
        </w:rPr>
        <w:t>S</w:t>
      </w:r>
      <w:r w:rsidRPr="00544EA2">
        <w:rPr>
          <w:rFonts w:eastAsia="Yu Gothic"/>
        </w:rPr>
        <w:t>ystem, as the funding is separate. The AT-HM scheme has an Assistive Technology Priority System and a Home Modifications Priority System that allocate AT and</w:t>
      </w:r>
      <w:r w:rsidR="001C500F">
        <w:rPr>
          <w:rFonts w:eastAsia="Yu Gothic"/>
        </w:rPr>
        <w:t>/</w:t>
      </w:r>
      <w:r w:rsidRPr="00544EA2">
        <w:rPr>
          <w:rFonts w:eastAsia="Yu Gothic"/>
        </w:rPr>
        <w:t xml:space="preserve">or HM funding. An older person assessed as eligible for AT and/or HM will enter the AT-HM Priority Systems in one of its four priority categories (immediate, high, medium, standard). The older person will not be able to access AT-HM under Support at Home until funding has been allocated. The amount of time they wait for services will depend on the priority category they are in. </w:t>
      </w:r>
    </w:p>
    <w:p w14:paraId="22B2F914" w14:textId="77777777" w:rsidR="003B0176" w:rsidRPr="00544EA2" w:rsidRDefault="003B0176" w:rsidP="00622CFF">
      <w:pPr>
        <w:spacing w:before="240" w:after="240" w:line="240" w:lineRule="auto"/>
        <w:rPr>
          <w:rFonts w:eastAsia="Yu Gothic"/>
        </w:rPr>
      </w:pPr>
      <w:r w:rsidRPr="00544EA2">
        <w:rPr>
          <w:rFonts w:eastAsia="Yu Gothic"/>
        </w:rPr>
        <w:t xml:space="preserve">The AT-HM Priority Systems ensure the equitable allocation of funding based on standardised criteria determined using information collected by the aged care assessor through the IAT. </w:t>
      </w:r>
    </w:p>
    <w:p w14:paraId="470A3168" w14:textId="76A89CFE" w:rsidR="003B0176" w:rsidRPr="00544EA2" w:rsidRDefault="003B0176" w:rsidP="00622CFF">
      <w:pPr>
        <w:spacing w:before="240" w:after="240" w:line="240" w:lineRule="auto"/>
        <w:rPr>
          <w:rFonts w:eastAsia="Yu Gothic"/>
        </w:rPr>
      </w:pPr>
      <w:r w:rsidRPr="00544EA2">
        <w:rPr>
          <w:rFonts w:eastAsia="Arial"/>
        </w:rPr>
        <w:t>The criteria captured in the IAT or on the client</w:t>
      </w:r>
      <w:r w:rsidR="00CD47AE">
        <w:rPr>
          <w:rFonts w:eastAsia="Arial"/>
        </w:rPr>
        <w:t>’</w:t>
      </w:r>
      <w:r w:rsidRPr="00544EA2">
        <w:rPr>
          <w:rFonts w:eastAsia="Arial"/>
        </w:rPr>
        <w:t>s record that calculate the priority category are</w:t>
      </w:r>
      <w:r w:rsidRPr="00544EA2">
        <w:rPr>
          <w:rFonts w:eastAsia="Yu Gothic"/>
        </w:rPr>
        <w:t xml:space="preserve">: </w:t>
      </w:r>
    </w:p>
    <w:p w14:paraId="6D164503" w14:textId="77777777"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 lives alone </w:t>
      </w:r>
    </w:p>
    <w:p w14:paraId="0A6262F4" w14:textId="77777777"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 has an assessed severe mobility impairment </w:t>
      </w:r>
    </w:p>
    <w:p w14:paraId="7B7ADC9D" w14:textId="77777777"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 is an Aboriginal or Torres Strait Islander person </w:t>
      </w:r>
    </w:p>
    <w:p w14:paraId="336E7928" w14:textId="1F2F282E" w:rsidR="003B0176" w:rsidRPr="00544EA2"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 xml:space="preserve">Individual's current place of residence poses a severe risk to their health or safety  </w:t>
      </w:r>
    </w:p>
    <w:p w14:paraId="1BC35E0E" w14:textId="7E24145B" w:rsidR="0018531B" w:rsidRPr="0018531B" w:rsidRDefault="003B0176" w:rsidP="00DF3F6B">
      <w:pPr>
        <w:numPr>
          <w:ilvl w:val="1"/>
          <w:numId w:val="282"/>
        </w:numPr>
        <w:spacing w:before="240" w:after="240" w:line="240" w:lineRule="auto"/>
        <w:ind w:left="567" w:hanging="425"/>
        <w:contextualSpacing/>
        <w:rPr>
          <w:rFonts w:eastAsia="Yu Gothic"/>
        </w:rPr>
      </w:pPr>
      <w:r w:rsidRPr="00544EA2">
        <w:rPr>
          <w:rFonts w:eastAsia="Yu Gothic"/>
        </w:rPr>
        <w:t>Individual has waited more than 6 months from initial referral and resides in a rural or remote area categorised under MM</w:t>
      </w:r>
      <w:r w:rsidR="009D5DCA">
        <w:rPr>
          <w:rFonts w:eastAsia="Yu Gothic"/>
        </w:rPr>
        <w:t>M</w:t>
      </w:r>
      <w:r w:rsidRPr="00544EA2">
        <w:rPr>
          <w:rFonts w:eastAsia="Yu Gothic"/>
        </w:rPr>
        <w:t>5-7.</w:t>
      </w:r>
    </w:p>
    <w:p w14:paraId="17B8757A" w14:textId="77777777" w:rsidR="00315498" w:rsidRPr="00315498" w:rsidRDefault="00315498" w:rsidP="00315498">
      <w:pPr>
        <w:spacing w:before="240" w:after="240" w:line="240" w:lineRule="auto"/>
        <w:ind w:left="567"/>
        <w:contextualSpacing/>
        <w:rPr>
          <w:rFonts w:eastAsia="Yu Gothic"/>
        </w:rPr>
      </w:pPr>
    </w:p>
    <w:p w14:paraId="75E47DDE" w14:textId="5D9D9173" w:rsidR="003B0176" w:rsidRPr="00544EA2" w:rsidRDefault="003B0176" w:rsidP="00622CFF">
      <w:pPr>
        <w:spacing w:before="240" w:after="240" w:line="240" w:lineRule="auto"/>
        <w:contextualSpacing/>
        <w:rPr>
          <w:rFonts w:eastAsia="Yu Gothic Light"/>
        </w:rPr>
      </w:pPr>
      <w:r w:rsidRPr="00544EA2">
        <w:rPr>
          <w:rFonts w:eastAsia="Yu Gothic"/>
        </w:rPr>
        <w:t xml:space="preserve">Individuals who are being approved for the Restorative Care or the End-of-Life pathways under Support at Home will have immediate access to any AT-HM funding allocated. Note that the system will display an AT-HM priority of ‘High’ in this scenario, but the funds are allocated immediately. Further information </w:t>
      </w:r>
      <w:r w:rsidR="00A60195">
        <w:rPr>
          <w:rFonts w:eastAsia="Yu Gothic"/>
        </w:rPr>
        <w:t>is</w:t>
      </w:r>
      <w:r w:rsidRPr="00544EA2">
        <w:rPr>
          <w:rFonts w:eastAsia="Yu Gothic"/>
        </w:rPr>
        <w:t xml:space="preserve"> available in the AT-HM scheme guidelines. </w:t>
      </w:r>
    </w:p>
    <w:p w14:paraId="59BDB797" w14:textId="77777777" w:rsidR="003B0176" w:rsidRPr="00544EA2" w:rsidRDefault="003B0176" w:rsidP="00622CFF">
      <w:pPr>
        <w:spacing w:before="240" w:after="240" w:line="240" w:lineRule="auto"/>
        <w:contextualSpacing/>
        <w:rPr>
          <w:rFonts w:eastAsia="Yu Gothic"/>
        </w:rPr>
      </w:pPr>
    </w:p>
    <w:p w14:paraId="5E390521" w14:textId="77777777" w:rsidR="003B0176" w:rsidRPr="00544EA2" w:rsidRDefault="003B0176" w:rsidP="00622CFF">
      <w:pPr>
        <w:spacing w:before="240" w:after="240" w:line="240" w:lineRule="auto"/>
        <w:contextualSpacing/>
        <w:rPr>
          <w:rFonts w:eastAsia="Yu Gothic Light"/>
        </w:rPr>
      </w:pPr>
      <w:r w:rsidRPr="00544EA2">
        <w:rPr>
          <w:rFonts w:eastAsia="Yu Gothic Light"/>
        </w:rPr>
        <w:t xml:space="preserve">Although the system calculates priority automatically, the Assessment Delegate </w:t>
      </w:r>
      <w:r w:rsidRPr="00AF2F61">
        <w:rPr>
          <w:rFonts w:eastAsia="Yu Gothic Light"/>
        </w:rPr>
        <w:t>should check the responses to the five fields above</w:t>
      </w:r>
      <w:r w:rsidRPr="00544EA2">
        <w:rPr>
          <w:rFonts w:eastAsia="Yu Gothic Light"/>
        </w:rPr>
        <w:t xml:space="preserve"> to make sure that the correct priority category is applied.</w:t>
      </w:r>
    </w:p>
    <w:p w14:paraId="58AB99EF" w14:textId="77777777" w:rsidR="00E419BB" w:rsidRDefault="00E419BB" w:rsidP="00622CFF">
      <w:pPr>
        <w:spacing w:before="240" w:after="240" w:line="240" w:lineRule="auto"/>
        <w:rPr>
          <w:rFonts w:eastAsia="Yu Gothic Light"/>
          <w:color w:val="000000"/>
        </w:rPr>
      </w:pPr>
    </w:p>
    <w:p w14:paraId="6469151B" w14:textId="49FFE431" w:rsidR="003B0176" w:rsidRPr="00544EA2" w:rsidRDefault="003B0176" w:rsidP="00622CFF">
      <w:pPr>
        <w:spacing w:before="240" w:after="240" w:line="240" w:lineRule="auto"/>
        <w:rPr>
          <w:rFonts w:eastAsia="Yu Gothic"/>
        </w:rPr>
      </w:pPr>
      <w:r w:rsidRPr="00544EA2">
        <w:rPr>
          <w:rFonts w:eastAsia="Yu Gothic Light"/>
          <w:color w:val="000000"/>
        </w:rPr>
        <w:t xml:space="preserve">Note the priority category </w:t>
      </w:r>
      <w:r w:rsidR="00E419BB">
        <w:rPr>
          <w:rFonts w:eastAsia="Yu Gothic Light"/>
          <w:color w:val="000000"/>
        </w:rPr>
        <w:t>will not be displayed</w:t>
      </w:r>
      <w:r w:rsidRPr="00544EA2">
        <w:rPr>
          <w:rFonts w:eastAsia="Yu Gothic Light"/>
          <w:color w:val="000000"/>
        </w:rPr>
        <w:t xml:space="preserve"> until </w:t>
      </w:r>
      <w:r w:rsidRPr="00544EA2">
        <w:rPr>
          <w:rFonts w:eastAsia="Yu Gothic Light"/>
          <w:b/>
          <w:color w:val="000000"/>
        </w:rPr>
        <w:t>after</w:t>
      </w:r>
      <w:r w:rsidRPr="00544EA2">
        <w:rPr>
          <w:rFonts w:eastAsia="Yu Gothic Light"/>
          <w:color w:val="000000"/>
        </w:rPr>
        <w:t xml:space="preserve"> you click the ‘Save and Delegate’ button in the portal.</w:t>
      </w:r>
      <w:r w:rsidR="00E419BB">
        <w:rPr>
          <w:rFonts w:eastAsia="Yu Gothic Light"/>
        </w:rPr>
        <w:t xml:space="preserve"> </w:t>
      </w:r>
      <w:r w:rsidRPr="00544EA2">
        <w:rPr>
          <w:rFonts w:eastAsia="Yu Gothic Light"/>
        </w:rPr>
        <w:t xml:space="preserve">The Priority Category will be displayed under </w:t>
      </w:r>
      <w:r w:rsidRPr="00544EA2">
        <w:rPr>
          <w:rFonts w:eastAsia="Yu Gothic Light" w:hint="eastAsia"/>
        </w:rPr>
        <w:t>‘</w:t>
      </w:r>
      <w:r w:rsidRPr="00544EA2">
        <w:rPr>
          <w:rFonts w:eastAsia="Yu Gothic Light"/>
        </w:rPr>
        <w:t>Approvals for a Client</w:t>
      </w:r>
      <w:r w:rsidRPr="00544EA2">
        <w:rPr>
          <w:rFonts w:eastAsia="Yu Gothic Light" w:hint="eastAsia"/>
        </w:rPr>
        <w:t>’</w:t>
      </w:r>
      <w:r w:rsidRPr="00544EA2">
        <w:rPr>
          <w:rFonts w:eastAsia="Yu Gothic Light"/>
        </w:rPr>
        <w:t xml:space="preserve"> in the </w:t>
      </w:r>
      <w:r w:rsidR="00D21724">
        <w:rPr>
          <w:rFonts w:eastAsia="Yu Gothic Light"/>
        </w:rPr>
        <w:t xml:space="preserve">My Aged Care </w:t>
      </w:r>
      <w:r w:rsidR="0060352D">
        <w:rPr>
          <w:rFonts w:eastAsia="Yu Gothic Light"/>
        </w:rPr>
        <w:t xml:space="preserve">Assessor </w:t>
      </w:r>
      <w:r w:rsidR="00E118B1">
        <w:rPr>
          <w:rFonts w:eastAsia="Yu Gothic Light"/>
        </w:rPr>
        <w:t>P</w:t>
      </w:r>
      <w:r w:rsidR="0060352D">
        <w:rPr>
          <w:rFonts w:eastAsia="Yu Gothic Light"/>
        </w:rPr>
        <w:t>ortal</w:t>
      </w:r>
      <w:r w:rsidRPr="00544EA2">
        <w:rPr>
          <w:rFonts w:eastAsia="Yu Gothic Light"/>
        </w:rPr>
        <w:t xml:space="preserve">. </w:t>
      </w:r>
    </w:p>
    <w:p w14:paraId="2E5BA1D9" w14:textId="77777777" w:rsidR="003B0176" w:rsidRPr="00544EA2" w:rsidRDefault="003B0176" w:rsidP="00C56CEC">
      <w:pPr>
        <w:pStyle w:val="H3"/>
      </w:pPr>
      <w:bookmarkStart w:id="757" w:name="_Toc207714002"/>
      <w:r w:rsidRPr="00544EA2">
        <w:t>Step 4. Confirm service seeking status (AT-HM)</w:t>
      </w:r>
    </w:p>
    <w:bookmarkEnd w:id="757"/>
    <w:p w14:paraId="7706FC31" w14:textId="185C92F1" w:rsidR="006F2022" w:rsidRPr="00544EA2" w:rsidRDefault="00A128BB" w:rsidP="00AF2F61">
      <w:pPr>
        <w:spacing w:after="0" w:line="240" w:lineRule="auto"/>
        <w:rPr>
          <w:rFonts w:eastAsia="Yu Gothic Light"/>
        </w:rPr>
      </w:pPr>
      <w:r w:rsidRPr="00544EA2">
        <w:rPr>
          <w:rFonts w:eastAsia="Yu Gothic Light"/>
          <w:b/>
        </w:rPr>
        <w:t>Assessment Delegate</w:t>
      </w:r>
      <w:r>
        <w:rPr>
          <w:rFonts w:eastAsia="Yu Gothic Light"/>
          <w:b/>
        </w:rPr>
        <w:t>s</w:t>
      </w:r>
      <w:r w:rsidR="006F2022" w:rsidRPr="00544EA2">
        <w:rPr>
          <w:rFonts w:eastAsia="Yu Gothic Light"/>
        </w:rPr>
        <w:t xml:space="preserve"> are responsible for confirming that the individual's preference</w:t>
      </w:r>
      <w:r w:rsidR="006F2022" w:rsidRPr="00544EA2">
        <w:rPr>
          <w:rFonts w:eastAsia="Yu Gothic Light" w:hint="eastAsia"/>
        </w:rPr>
        <w:t>—</w:t>
      </w:r>
      <w:r w:rsidR="006F2022" w:rsidRPr="00544EA2">
        <w:rPr>
          <w:rFonts w:eastAsia="Yu Gothic Light"/>
        </w:rPr>
        <w:t>whether to seek or not seek AT-HM funding through the Support at Home program</w:t>
      </w:r>
      <w:r w:rsidR="006F2022" w:rsidRPr="00544EA2">
        <w:rPr>
          <w:rFonts w:eastAsia="Yu Gothic Light" w:hint="eastAsia"/>
        </w:rPr>
        <w:t>—</w:t>
      </w:r>
      <w:r w:rsidR="006F2022" w:rsidRPr="00544EA2">
        <w:rPr>
          <w:rFonts w:eastAsia="Yu Gothic Light"/>
        </w:rPr>
        <w:t>has been</w:t>
      </w:r>
      <w:r w:rsidR="006F2022" w:rsidRPr="00544EA2">
        <w:rPr>
          <w:rFonts w:eastAsia="Yu Gothic Light" w:hint="eastAsia"/>
        </w:rPr>
        <w:t> </w:t>
      </w:r>
      <w:r w:rsidR="006F2022" w:rsidRPr="00355B3E">
        <w:rPr>
          <w:rFonts w:eastAsia="Yu Gothic Light"/>
          <w:bCs/>
        </w:rPr>
        <w:t>accurately recorded</w:t>
      </w:r>
      <w:r w:rsidR="006F2022" w:rsidRPr="00544EA2">
        <w:rPr>
          <w:rFonts w:eastAsia="Yu Gothic Light" w:hint="eastAsia"/>
        </w:rPr>
        <w:t> </w:t>
      </w:r>
      <w:r w:rsidR="006F2022" w:rsidRPr="00544EA2">
        <w:rPr>
          <w:rFonts w:eastAsia="Yu Gothic Light"/>
        </w:rPr>
        <w:t>in the support plan and that it aligns with their assessed needs.</w:t>
      </w:r>
    </w:p>
    <w:p w14:paraId="0C5CD109" w14:textId="67F83616" w:rsidR="003B0176" w:rsidRPr="00544EA2" w:rsidRDefault="00310685" w:rsidP="00622CFF">
      <w:pPr>
        <w:spacing w:before="240" w:after="240" w:line="240" w:lineRule="auto"/>
        <w:rPr>
          <w:rFonts w:eastAsia="Yu Gothic Light"/>
        </w:rPr>
      </w:pPr>
      <w:r>
        <w:rPr>
          <w:rFonts w:eastAsia="Yu Gothic Light"/>
        </w:rPr>
        <w:t>A</w:t>
      </w:r>
      <w:r w:rsidR="003B0176" w:rsidRPr="00544EA2">
        <w:rPr>
          <w:rFonts w:eastAsia="Yu Gothic Light"/>
        </w:rPr>
        <w:t>ssessor</w:t>
      </w:r>
      <w:r>
        <w:rPr>
          <w:rFonts w:eastAsia="Yu Gothic Light"/>
        </w:rPr>
        <w:t xml:space="preserve">s are </w:t>
      </w:r>
      <w:r w:rsidR="00A128BB">
        <w:rPr>
          <w:rFonts w:eastAsia="Yu Gothic Light"/>
        </w:rPr>
        <w:t>expected</w:t>
      </w:r>
      <w:r>
        <w:rPr>
          <w:rFonts w:eastAsia="Yu Gothic Light"/>
        </w:rPr>
        <w:t xml:space="preserve"> to confirm </w:t>
      </w:r>
      <w:r w:rsidR="00226A9C">
        <w:rPr>
          <w:rFonts w:eastAsia="Yu Gothic Light"/>
        </w:rPr>
        <w:t>with</w:t>
      </w:r>
      <w:r w:rsidR="003B0176" w:rsidRPr="00544EA2">
        <w:rPr>
          <w:rFonts w:eastAsia="Yu Gothic Light"/>
        </w:rPr>
        <w:t xml:space="preserve"> the client if they wish to seek AT-HM funding from the Support at Home program and record their preference in the support plan</w:t>
      </w:r>
      <w:r w:rsidR="006F2022">
        <w:rPr>
          <w:rFonts w:eastAsia="Yu Gothic Light"/>
        </w:rPr>
        <w:t xml:space="preserve">. </w:t>
      </w:r>
      <w:r w:rsidR="003B0176" w:rsidRPr="00544EA2">
        <w:rPr>
          <w:rFonts w:eastAsia="Yu Gothic Light"/>
        </w:rPr>
        <w:t xml:space="preserve"> </w:t>
      </w:r>
    </w:p>
    <w:p w14:paraId="5FCBF985" w14:textId="4550EF3D" w:rsidR="003B0176" w:rsidRPr="00483C68" w:rsidRDefault="003B0176" w:rsidP="00622CFF">
      <w:pPr>
        <w:pStyle w:val="NoSpacing"/>
        <w:spacing w:before="240" w:after="240" w:line="240" w:lineRule="auto"/>
        <w:ind w:left="360"/>
        <w:rPr>
          <w:szCs w:val="22"/>
        </w:rPr>
      </w:pPr>
      <w:r w:rsidRPr="003523CC">
        <w:rPr>
          <w:rFonts w:ascii="Arial" w:hAnsi="Arial" w:cs="Arial"/>
          <w:b/>
          <w:sz w:val="22"/>
          <w:szCs w:val="22"/>
          <w:lang w:val="en-GB"/>
        </w:rPr>
        <w:t>For clients seeking AT and/or HM services through the Support at Home program</w:t>
      </w:r>
      <w:r w:rsidRPr="003523CC">
        <w:rPr>
          <w:rFonts w:ascii="Arial" w:hAnsi="Arial" w:cs="Arial"/>
          <w:sz w:val="22"/>
          <w:szCs w:val="22"/>
          <w:lang w:val="en-GB"/>
        </w:rPr>
        <w:t xml:space="preserve">, the assessor should set the AT and/or HM service seeking preference to </w:t>
      </w:r>
      <w:r w:rsidRPr="003523CC">
        <w:rPr>
          <w:rFonts w:ascii="Arial" w:hAnsi="Arial" w:cs="Arial" w:hint="eastAsia"/>
          <w:sz w:val="22"/>
          <w:szCs w:val="22"/>
          <w:lang w:val="en-GB"/>
        </w:rPr>
        <w:t>‘</w:t>
      </w:r>
      <w:r w:rsidRPr="003523CC">
        <w:rPr>
          <w:rFonts w:ascii="Arial" w:hAnsi="Arial" w:cs="Arial"/>
          <w:sz w:val="22"/>
          <w:szCs w:val="22"/>
          <w:lang w:val="en-GB"/>
        </w:rPr>
        <w:t>seeking services’. This ensures that the older person is placed on the AT and/or HM Priority System(s).</w:t>
      </w:r>
    </w:p>
    <w:p w14:paraId="2F304673" w14:textId="440C73CB"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b/>
        </w:rPr>
        <w:t xml:space="preserve">For clients </w:t>
      </w:r>
      <w:r w:rsidRPr="00544EA2">
        <w:rPr>
          <w:rFonts w:eastAsia="Yu Gothic Light"/>
          <w:b/>
          <w:u w:val="single"/>
        </w:rPr>
        <w:t>not</w:t>
      </w:r>
      <w:r w:rsidRPr="00544EA2">
        <w:rPr>
          <w:rFonts w:eastAsia="Yu Gothic Light"/>
          <w:b/>
        </w:rPr>
        <w:t xml:space="preserve"> seeking AT and/or HM services through the Support at Home program</w:t>
      </w:r>
      <w:r w:rsidRPr="00544EA2">
        <w:rPr>
          <w:rFonts w:eastAsia="Yu Gothic Light"/>
        </w:rPr>
        <w:t xml:space="preserve">, the assessor should set the AT and/or HM service seeking preference to ‘not seeking services’. This option makes sure the client </w:t>
      </w:r>
      <w:r w:rsidRPr="00544EA2">
        <w:rPr>
          <w:rFonts w:eastAsia="Yu Gothic Light"/>
          <w:b/>
          <w:bCs/>
        </w:rPr>
        <w:t>does not</w:t>
      </w:r>
      <w:r w:rsidRPr="00544EA2">
        <w:rPr>
          <w:rFonts w:eastAsia="Yu Gothic Light"/>
        </w:rPr>
        <w:t xml:space="preserve"> enter the AT or HM </w:t>
      </w:r>
      <w:r w:rsidR="00D5449B">
        <w:rPr>
          <w:rFonts w:eastAsia="Yu Gothic Light"/>
        </w:rPr>
        <w:t xml:space="preserve">Support at Home Priority </w:t>
      </w:r>
      <w:r w:rsidR="00A128BB">
        <w:rPr>
          <w:rFonts w:eastAsia="Yu Gothic Light"/>
        </w:rPr>
        <w:t>System</w:t>
      </w:r>
      <w:r w:rsidR="00A128BB" w:rsidRPr="00544EA2">
        <w:rPr>
          <w:rFonts w:eastAsia="Yu Gothic Light"/>
        </w:rPr>
        <w:t>s</w:t>
      </w:r>
      <w:r w:rsidR="001C3C5C">
        <w:rPr>
          <w:rFonts w:eastAsia="Yu Gothic Light"/>
        </w:rPr>
        <w:t>,</w:t>
      </w:r>
      <w:r w:rsidR="00A128BB" w:rsidRPr="00544EA2">
        <w:rPr>
          <w:rFonts w:eastAsia="Yu Gothic Light"/>
        </w:rPr>
        <w:t xml:space="preserve"> and</w:t>
      </w:r>
      <w:r w:rsidRPr="00544EA2">
        <w:rPr>
          <w:rFonts w:eastAsia="Yu Gothic Light"/>
        </w:rPr>
        <w:t xml:space="preserve"> so is not allocated funding under the AT-HM scheme. Relevant circumstances include when:</w:t>
      </w:r>
    </w:p>
    <w:p w14:paraId="6A0B692A" w14:textId="387962F9" w:rsidR="003B0176" w:rsidRPr="00544EA2" w:rsidRDefault="003B0176" w:rsidP="00DF3F6B">
      <w:pPr>
        <w:numPr>
          <w:ilvl w:val="1"/>
          <w:numId w:val="141"/>
        </w:numPr>
        <w:spacing w:before="240" w:after="240" w:line="240" w:lineRule="auto"/>
        <w:contextualSpacing/>
        <w:rPr>
          <w:rFonts w:eastAsia="Yu Gothic Light"/>
        </w:rPr>
      </w:pPr>
      <w:r w:rsidRPr="00544EA2">
        <w:rPr>
          <w:rFonts w:eastAsia="Yu Gothic Light"/>
        </w:rPr>
        <w:t>the client has chosen to access services through NATSIFACP or MPSP and so they do not require services from a S</w:t>
      </w:r>
      <w:r w:rsidR="00950125">
        <w:rPr>
          <w:rFonts w:eastAsia="Yu Gothic Light"/>
        </w:rPr>
        <w:t xml:space="preserve">upport at </w:t>
      </w:r>
      <w:r w:rsidRPr="00544EA2">
        <w:rPr>
          <w:rFonts w:eastAsia="Yu Gothic Light"/>
        </w:rPr>
        <w:t>H</w:t>
      </w:r>
      <w:r w:rsidR="00950125">
        <w:rPr>
          <w:rFonts w:eastAsia="Yu Gothic Light"/>
        </w:rPr>
        <w:t>ome</w:t>
      </w:r>
      <w:r w:rsidRPr="00544EA2">
        <w:rPr>
          <w:rFonts w:eastAsia="Yu Gothic Light"/>
        </w:rPr>
        <w:t xml:space="preserve"> provider (or funding from the S</w:t>
      </w:r>
      <w:r w:rsidR="00950125">
        <w:rPr>
          <w:rFonts w:eastAsia="Yu Gothic Light"/>
        </w:rPr>
        <w:t xml:space="preserve">upport at </w:t>
      </w:r>
      <w:r w:rsidRPr="00544EA2">
        <w:rPr>
          <w:rFonts w:eastAsia="Yu Gothic Light"/>
        </w:rPr>
        <w:t>H</w:t>
      </w:r>
      <w:r w:rsidR="00950125">
        <w:rPr>
          <w:rFonts w:eastAsia="Yu Gothic Light"/>
        </w:rPr>
        <w:t>ome</w:t>
      </w:r>
      <w:r w:rsidRPr="00544EA2">
        <w:rPr>
          <w:rFonts w:eastAsia="Yu Gothic Light"/>
        </w:rPr>
        <w:t xml:space="preserve"> program)</w:t>
      </w:r>
    </w:p>
    <w:p w14:paraId="52CE63B9" w14:textId="77777777" w:rsidR="003B0176" w:rsidRPr="00544EA2" w:rsidRDefault="003B0176" w:rsidP="00DF3F6B">
      <w:pPr>
        <w:numPr>
          <w:ilvl w:val="1"/>
          <w:numId w:val="141"/>
        </w:numPr>
        <w:spacing w:before="240" w:after="240" w:line="240" w:lineRule="auto"/>
        <w:contextualSpacing/>
        <w:rPr>
          <w:rFonts w:eastAsia="Yu Gothic Light"/>
        </w:rPr>
      </w:pPr>
      <w:r w:rsidRPr="00544EA2">
        <w:rPr>
          <w:rFonts w:eastAsia="Yu Gothic Light"/>
        </w:rPr>
        <w:t>the client does not want to access AT and/or HM services at this time.</w:t>
      </w:r>
    </w:p>
    <w:p w14:paraId="7BCB699C" w14:textId="77777777" w:rsidR="006F2022" w:rsidRDefault="006F2022" w:rsidP="00622CFF">
      <w:pPr>
        <w:spacing w:before="240" w:after="240" w:line="240" w:lineRule="auto"/>
        <w:rPr>
          <w:rFonts w:eastAsia="Yu Gothic Light"/>
        </w:rPr>
      </w:pPr>
    </w:p>
    <w:p w14:paraId="52D48686" w14:textId="0C92EE44" w:rsidR="003B0176" w:rsidRPr="00544EA2" w:rsidRDefault="003B0176" w:rsidP="00622CFF">
      <w:pPr>
        <w:spacing w:before="240" w:after="240" w:line="240" w:lineRule="auto"/>
        <w:rPr>
          <w:rFonts w:eastAsia="Yu Gothic Light"/>
        </w:rPr>
      </w:pPr>
      <w:r w:rsidRPr="00544EA2">
        <w:rPr>
          <w:rFonts w:eastAsia="Yu Gothic Light"/>
        </w:rPr>
        <w:t xml:space="preserve">There are separate AT and HM </w:t>
      </w:r>
      <w:r w:rsidR="00D5449B">
        <w:rPr>
          <w:rFonts w:eastAsia="Yu Gothic Light"/>
        </w:rPr>
        <w:t>Support at Home Priority System</w:t>
      </w:r>
      <w:r w:rsidRPr="00544EA2">
        <w:rPr>
          <w:rFonts w:eastAsia="Yu Gothic Light"/>
        </w:rPr>
        <w:t xml:space="preserve">s with independent ‘service seeking’ statuses for each. This means that if the older person is approved for both AT and HM, they may seek services through the Support at Home program for one, both or neither. </w:t>
      </w:r>
    </w:p>
    <w:p w14:paraId="3E39A61C" w14:textId="77777777" w:rsidR="003B0176" w:rsidRPr="00544EA2" w:rsidRDefault="003B0176" w:rsidP="00622CFF">
      <w:pPr>
        <w:spacing w:before="240" w:after="240" w:line="240" w:lineRule="auto"/>
        <w:rPr>
          <w:rFonts w:eastAsia="Yu Gothic Light"/>
        </w:rPr>
      </w:pPr>
      <w:r w:rsidRPr="00544EA2">
        <w:rPr>
          <w:rFonts w:eastAsia="Yu Gothic Light"/>
        </w:rPr>
        <w:t xml:space="preserve">If the older person later wants to access their AT or HM services through the Support at Home program, they can change their preference and enter the AT or HM Priority Systems. The older person will need to be a Support at Home participant (for ongoing home support) to do this. Their wait time will be counted from their original access approval date of effect. That is, it will be as if they had stayed in the queue from their first approval. </w:t>
      </w:r>
    </w:p>
    <w:p w14:paraId="44A65B6F" w14:textId="77777777" w:rsidR="003B0176" w:rsidRPr="00544EA2" w:rsidRDefault="003B0176" w:rsidP="00622CFF">
      <w:pPr>
        <w:spacing w:before="240" w:after="240" w:line="240" w:lineRule="auto"/>
        <w:rPr>
          <w:rFonts w:eastAsia="Yu Gothic Light"/>
        </w:rPr>
      </w:pPr>
      <w:r w:rsidRPr="00544EA2">
        <w:rPr>
          <w:rFonts w:eastAsia="Yu Gothic Light"/>
        </w:rPr>
        <w:t>An older person can change their service seeking preference by:</w:t>
      </w:r>
    </w:p>
    <w:p w14:paraId="3D0E944E" w14:textId="77777777"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rPr>
        <w:t>contacting My Aged Care</w:t>
      </w:r>
    </w:p>
    <w:p w14:paraId="735C4C26" w14:textId="6BBF9F0A" w:rsidR="003B0176" w:rsidRPr="00544EA2" w:rsidRDefault="003B0176" w:rsidP="00DF3F6B">
      <w:pPr>
        <w:numPr>
          <w:ilvl w:val="0"/>
          <w:numId w:val="141"/>
        </w:numPr>
        <w:spacing w:before="240" w:after="240" w:line="240" w:lineRule="auto"/>
        <w:contextualSpacing/>
        <w:rPr>
          <w:rFonts w:eastAsia="Yu Gothic Light"/>
        </w:rPr>
      </w:pPr>
      <w:r w:rsidRPr="00544EA2">
        <w:rPr>
          <w:rFonts w:eastAsia="Yu Gothic Light"/>
        </w:rPr>
        <w:t xml:space="preserve">using the </w:t>
      </w:r>
      <w:hyperlink r:id="rId238">
        <w:r w:rsidRPr="00544EA2">
          <w:rPr>
            <w:rFonts w:eastAsia="Arial"/>
            <w:color w:val="2BB1BB"/>
            <w:u w:val="single"/>
          </w:rPr>
          <w:t>My Aged Care Online Account</w:t>
        </w:r>
      </w:hyperlink>
    </w:p>
    <w:p w14:paraId="558B00C8" w14:textId="77777777" w:rsidR="00AA3BF1" w:rsidRDefault="00AA3BF1" w:rsidP="00AA3BF1">
      <w:pPr>
        <w:spacing w:before="240" w:after="240" w:line="240" w:lineRule="auto"/>
        <w:contextualSpacing/>
      </w:pPr>
    </w:p>
    <w:p w14:paraId="1B6EB5BB" w14:textId="77777777" w:rsidR="00AA3BF1" w:rsidRDefault="00AA3BF1" w:rsidP="00AA3BF1">
      <w:pPr>
        <w:spacing w:before="240" w:after="240" w:line="240" w:lineRule="auto"/>
        <w:contextualSpacing/>
      </w:pPr>
    </w:p>
    <w:p w14:paraId="6009EFE8" w14:textId="77777777" w:rsidR="008F5774" w:rsidRPr="001D793F" w:rsidRDefault="008F5774" w:rsidP="00C325C6">
      <w:pPr>
        <w:pStyle w:val="Sub-headings"/>
      </w:pPr>
      <w:r w:rsidRPr="00F37F02">
        <w:t>Note</w:t>
      </w:r>
      <w:r w:rsidRPr="001D793F">
        <w:t>:</w:t>
      </w:r>
      <w:r>
        <w:t xml:space="preserve"> </w:t>
      </w:r>
    </w:p>
    <w:p w14:paraId="6A5EFBC2" w14:textId="784575EA" w:rsidR="00AA3BF1" w:rsidRPr="00544EA2" w:rsidRDefault="008F5774" w:rsidP="00C325C6">
      <w:pPr>
        <w:pStyle w:val="Sub-headings"/>
      </w:pPr>
      <w:r w:rsidRPr="00544EA2">
        <w:t xml:space="preserve">Participants assigned to the Restorative Care Pathway or the End-of-Life Pathway who have an assessed need for AT and HM will be allocated AT-HM funding immediately.  </w:t>
      </w:r>
    </w:p>
    <w:p w14:paraId="17707DB3" w14:textId="77777777" w:rsidR="006A075D" w:rsidRPr="00544EA2" w:rsidRDefault="006A075D" w:rsidP="006A075D">
      <w:pPr>
        <w:spacing w:before="240" w:after="240" w:line="240" w:lineRule="auto"/>
        <w:ind w:left="720"/>
        <w:contextualSpacing/>
        <w:rPr>
          <w:rFonts w:eastAsia="Yu Gothic Light"/>
        </w:rPr>
      </w:pPr>
    </w:p>
    <w:p w14:paraId="661B54DF" w14:textId="63C35054" w:rsidR="003B0176" w:rsidRPr="00544EA2" w:rsidRDefault="003B0176" w:rsidP="00507F9D">
      <w:pPr>
        <w:pStyle w:val="h2"/>
      </w:pPr>
      <w:bookmarkStart w:id="758" w:name="_Toc209189027"/>
      <w:bookmarkStart w:id="759" w:name="_Toc224916684"/>
      <w:r w:rsidRPr="00544EA2">
        <w:t>Approving AT and HM under CHSP</w:t>
      </w:r>
      <w:bookmarkEnd w:id="758"/>
      <w:bookmarkEnd w:id="759"/>
      <w:r w:rsidRPr="00544EA2">
        <w:t> </w:t>
      </w:r>
    </w:p>
    <w:p w14:paraId="4193EF5D" w14:textId="28688A2D"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This section relates to approving AT or HM for an older person who are also </w:t>
      </w:r>
      <w:r w:rsidR="00C00DBA" w:rsidRPr="00544EA2">
        <w:rPr>
          <w:rFonts w:eastAsia="Yu Gothic Light"/>
          <w:lang w:val="en-AU"/>
        </w:rPr>
        <w:t>approv</w:t>
      </w:r>
      <w:r w:rsidR="00C00DBA">
        <w:rPr>
          <w:rFonts w:eastAsia="Yu Gothic Light"/>
          <w:lang w:val="en-AU"/>
        </w:rPr>
        <w:t>ed</w:t>
      </w:r>
      <w:r w:rsidR="00C00DBA" w:rsidRPr="00544EA2">
        <w:rPr>
          <w:rFonts w:eastAsia="Yu Gothic Light"/>
          <w:lang w:val="en-AU"/>
        </w:rPr>
        <w:t xml:space="preserve"> </w:t>
      </w:r>
      <w:r w:rsidRPr="00544EA2">
        <w:rPr>
          <w:rFonts w:eastAsia="Yu Gothic Light"/>
          <w:lang w:val="en-AU"/>
        </w:rPr>
        <w:t>for ongoing home support with a classification level of CHSP class. </w:t>
      </w:r>
    </w:p>
    <w:p w14:paraId="6352A264" w14:textId="77777777" w:rsidR="003B0176" w:rsidRPr="00544EA2" w:rsidRDefault="003B0176" w:rsidP="00C56CEC">
      <w:pPr>
        <w:pStyle w:val="H3"/>
      </w:pPr>
      <w:r w:rsidRPr="00544EA2">
        <w:t>Understanding AT and HM under CHSP  </w:t>
      </w:r>
    </w:p>
    <w:p w14:paraId="742CCDD6" w14:textId="5B274BE9" w:rsidR="003B0176" w:rsidRPr="00544EA2" w:rsidRDefault="003B0176" w:rsidP="00622CFF">
      <w:pPr>
        <w:spacing w:before="240" w:after="240" w:line="240" w:lineRule="auto"/>
        <w:rPr>
          <w:rFonts w:eastAsia="Yu Gothic Light"/>
          <w:lang w:val="en-AU"/>
        </w:rPr>
      </w:pPr>
      <w:r w:rsidRPr="00544EA2">
        <w:rPr>
          <w:rFonts w:eastAsia="Yu Gothic Light"/>
        </w:rPr>
        <w:t xml:space="preserve">Under the </w:t>
      </w:r>
      <w:r w:rsidR="00A52DA2">
        <w:rPr>
          <w:rFonts w:eastAsia="Yu Gothic Light"/>
        </w:rPr>
        <w:t xml:space="preserve">Aged Care </w:t>
      </w:r>
      <w:r w:rsidRPr="00544EA2">
        <w:rPr>
          <w:rFonts w:eastAsia="Yu Gothic Light"/>
        </w:rPr>
        <w:t>Act</w:t>
      </w:r>
      <w:r w:rsidR="00A52DA2">
        <w:rPr>
          <w:rFonts w:eastAsia="Yu Gothic Light"/>
        </w:rPr>
        <w:t xml:space="preserve"> 2024 (the Act)</w:t>
      </w:r>
      <w:r w:rsidRPr="00544EA2">
        <w:rPr>
          <w:rFonts w:eastAsia="Yu Gothic Light"/>
        </w:rPr>
        <w:t>, AT and HM services will continue to be available to older people under the CHSP. The relevant service types will be:</w:t>
      </w:r>
      <w:r w:rsidRPr="00544EA2">
        <w:rPr>
          <w:rFonts w:eastAsia="Yu Gothic Light"/>
          <w:lang w:val="en-AU"/>
        </w:rPr>
        <w:t> </w:t>
      </w:r>
    </w:p>
    <w:p w14:paraId="75E18014" w14:textId="77777777" w:rsidR="003B0176" w:rsidRPr="00544EA2" w:rsidRDefault="003B0176" w:rsidP="00DF3F6B">
      <w:pPr>
        <w:numPr>
          <w:ilvl w:val="0"/>
          <w:numId w:val="284"/>
        </w:numPr>
        <w:spacing w:before="240" w:after="240" w:line="240" w:lineRule="auto"/>
        <w:rPr>
          <w:rFonts w:eastAsia="Yu Gothic Light"/>
          <w:lang w:val="en-AU"/>
        </w:rPr>
      </w:pPr>
      <w:r w:rsidRPr="00544EA2">
        <w:rPr>
          <w:rFonts w:eastAsia="Yu Gothic Light"/>
          <w:b/>
          <w:bCs/>
        </w:rPr>
        <w:t>Home adjustments</w:t>
      </w:r>
      <w:r w:rsidRPr="00544EA2">
        <w:rPr>
          <w:rFonts w:eastAsia="Yu Gothic Light"/>
        </w:rPr>
        <w:t>: subsidised home modification services will continue to be available through the CHSP. CHSP home modification funding will be aligned to Support at Home and will increase the subsidy from $10,000 to $15,000 per annum.</w:t>
      </w:r>
      <w:r w:rsidRPr="00544EA2">
        <w:rPr>
          <w:rFonts w:eastAsia="Yu Gothic Light"/>
          <w:lang w:val="en-AU"/>
        </w:rPr>
        <w:t> </w:t>
      </w:r>
    </w:p>
    <w:p w14:paraId="66FB6A7C" w14:textId="77777777" w:rsidR="003B0176" w:rsidRPr="00544EA2" w:rsidRDefault="003B0176" w:rsidP="00DF3F6B">
      <w:pPr>
        <w:numPr>
          <w:ilvl w:val="0"/>
          <w:numId w:val="285"/>
        </w:numPr>
        <w:spacing w:before="240" w:after="240" w:line="240" w:lineRule="auto"/>
        <w:rPr>
          <w:rFonts w:eastAsia="Yu Gothic Light"/>
          <w:lang w:val="en-AU"/>
        </w:rPr>
      </w:pPr>
      <w:r w:rsidRPr="00544EA2">
        <w:rPr>
          <w:rFonts w:eastAsia="Yu Gothic Light"/>
          <w:b/>
          <w:bCs/>
        </w:rPr>
        <w:t>Equipment and products (replacing GEAT):</w:t>
      </w:r>
      <w:r w:rsidRPr="00544EA2">
        <w:rPr>
          <w:rFonts w:eastAsia="Yu Gothic Light"/>
        </w:rPr>
        <w:t xml:space="preserve"> low-cost equipment and products will continue to be available through the CHSP, with support of up to $1,000 per year in total and not per item.</w:t>
      </w:r>
      <w:r w:rsidRPr="00544EA2">
        <w:rPr>
          <w:rFonts w:eastAsia="Yu Gothic Light"/>
          <w:lang w:val="en-AU"/>
        </w:rPr>
        <w:t> </w:t>
      </w:r>
    </w:p>
    <w:p w14:paraId="5631148D" w14:textId="77777777" w:rsidR="003B0176" w:rsidRPr="00544EA2" w:rsidRDefault="003B0176" w:rsidP="00622CFF">
      <w:pPr>
        <w:spacing w:before="240" w:after="240" w:line="240" w:lineRule="auto"/>
        <w:rPr>
          <w:rFonts w:eastAsia="Yu Gothic Light"/>
          <w:lang w:val="en-AU"/>
        </w:rPr>
      </w:pPr>
      <w:r w:rsidRPr="00544EA2">
        <w:rPr>
          <w:rFonts w:eastAsia="Yu Gothic Light"/>
        </w:rPr>
        <w:t>Under the Act, eligible people will be approved for:</w:t>
      </w:r>
      <w:r w:rsidRPr="00544EA2">
        <w:rPr>
          <w:rFonts w:eastAsia="Yu Gothic Light"/>
          <w:lang w:val="en-AU"/>
        </w:rPr>
        <w:t> </w:t>
      </w:r>
    </w:p>
    <w:p w14:paraId="33EE4894" w14:textId="77777777" w:rsidR="003B0176" w:rsidRPr="00544EA2" w:rsidRDefault="003B0176" w:rsidP="00DF3F6B">
      <w:pPr>
        <w:numPr>
          <w:ilvl w:val="0"/>
          <w:numId w:val="286"/>
        </w:numPr>
        <w:spacing w:before="240" w:after="240" w:line="240" w:lineRule="auto"/>
        <w:rPr>
          <w:rFonts w:eastAsia="Yu Gothic Light"/>
          <w:lang w:val="en-AU"/>
        </w:rPr>
      </w:pPr>
      <w:r w:rsidRPr="00544EA2">
        <w:rPr>
          <w:rFonts w:eastAsia="Yu Gothic Light"/>
        </w:rPr>
        <w:t xml:space="preserve">the </w:t>
      </w:r>
      <w:r w:rsidRPr="00D76111">
        <w:rPr>
          <w:rFonts w:eastAsia="Yu Gothic Light"/>
        </w:rPr>
        <w:t>home support</w:t>
      </w:r>
      <w:r w:rsidRPr="00544EA2">
        <w:rPr>
          <w:rFonts w:eastAsia="Yu Gothic Light"/>
        </w:rPr>
        <w:t xml:space="preserve"> service group with a classification level </w:t>
      </w:r>
      <w:r w:rsidRPr="00D76111">
        <w:rPr>
          <w:rFonts w:eastAsia="Yu Gothic Light"/>
        </w:rPr>
        <w:t>CHSP class</w:t>
      </w:r>
      <w:r w:rsidRPr="00544EA2">
        <w:rPr>
          <w:rFonts w:eastAsia="Yu Gothic Light"/>
        </w:rPr>
        <w:t>, and</w:t>
      </w:r>
      <w:r w:rsidRPr="00544EA2">
        <w:rPr>
          <w:rFonts w:eastAsia="Yu Gothic Light"/>
          <w:lang w:val="en-AU"/>
        </w:rPr>
        <w:t> </w:t>
      </w:r>
    </w:p>
    <w:p w14:paraId="57632A0F" w14:textId="77777777" w:rsidR="003B0176" w:rsidRPr="00544EA2" w:rsidRDefault="003B0176" w:rsidP="00DF3F6B">
      <w:pPr>
        <w:numPr>
          <w:ilvl w:val="0"/>
          <w:numId w:val="287"/>
        </w:numPr>
        <w:spacing w:before="240" w:after="240" w:line="240" w:lineRule="auto"/>
        <w:rPr>
          <w:rFonts w:eastAsia="Yu Gothic Light"/>
          <w:lang w:val="en-AU"/>
        </w:rPr>
      </w:pPr>
      <w:r w:rsidRPr="00544EA2">
        <w:rPr>
          <w:rFonts w:eastAsia="Yu Gothic Light"/>
        </w:rPr>
        <w:t xml:space="preserve">the </w:t>
      </w:r>
      <w:r w:rsidRPr="00930096">
        <w:rPr>
          <w:rFonts w:eastAsia="Yu Gothic Light"/>
        </w:rPr>
        <w:t>assistive technology</w:t>
      </w:r>
      <w:r w:rsidRPr="00544EA2">
        <w:rPr>
          <w:rFonts w:eastAsia="Yu Gothic Light"/>
        </w:rPr>
        <w:t xml:space="preserve"> service group with a classification level of </w:t>
      </w:r>
      <w:r w:rsidRPr="00930096">
        <w:rPr>
          <w:rFonts w:eastAsia="Yu Gothic Light"/>
        </w:rPr>
        <w:t>AT CHSP</w:t>
      </w:r>
      <w:r w:rsidRPr="00544EA2">
        <w:rPr>
          <w:rFonts w:eastAsia="Yu Gothic Light"/>
        </w:rPr>
        <w:t xml:space="preserve"> or</w:t>
      </w:r>
      <w:r w:rsidRPr="00544EA2">
        <w:rPr>
          <w:rFonts w:eastAsia="Yu Gothic Light"/>
          <w:lang w:val="en-AU"/>
        </w:rPr>
        <w:t> </w:t>
      </w:r>
    </w:p>
    <w:p w14:paraId="1251688E" w14:textId="77777777" w:rsidR="003B0176" w:rsidRPr="00544EA2" w:rsidRDefault="003B0176" w:rsidP="00DF3F6B">
      <w:pPr>
        <w:numPr>
          <w:ilvl w:val="0"/>
          <w:numId w:val="288"/>
        </w:numPr>
        <w:spacing w:before="240" w:after="240" w:line="240" w:lineRule="auto"/>
        <w:rPr>
          <w:rFonts w:eastAsia="Yu Gothic Light"/>
          <w:lang w:val="en-AU"/>
        </w:rPr>
      </w:pPr>
      <w:r w:rsidRPr="00544EA2">
        <w:rPr>
          <w:rFonts w:eastAsia="Yu Gothic Light"/>
        </w:rPr>
        <w:t xml:space="preserve">the </w:t>
      </w:r>
      <w:r w:rsidRPr="00930096">
        <w:rPr>
          <w:rFonts w:eastAsia="Yu Gothic Light"/>
        </w:rPr>
        <w:t>home modifications</w:t>
      </w:r>
      <w:r w:rsidRPr="00544EA2">
        <w:rPr>
          <w:rFonts w:eastAsia="Yu Gothic Light"/>
        </w:rPr>
        <w:t xml:space="preserve"> service group with a classification level of </w:t>
      </w:r>
      <w:r w:rsidRPr="00930096">
        <w:rPr>
          <w:rFonts w:eastAsia="Yu Gothic Light"/>
        </w:rPr>
        <w:t>HM CHSP</w:t>
      </w:r>
      <w:r w:rsidRPr="00544EA2">
        <w:rPr>
          <w:rFonts w:eastAsia="Yu Gothic Light"/>
        </w:rPr>
        <w:t>.</w:t>
      </w:r>
      <w:r w:rsidRPr="00544EA2">
        <w:rPr>
          <w:rFonts w:eastAsia="Yu Gothic Light"/>
          <w:lang w:val="en-AU"/>
        </w:rPr>
        <w:t> </w:t>
      </w:r>
    </w:p>
    <w:p w14:paraId="5824C0AA" w14:textId="77777777" w:rsidR="003B0176" w:rsidRPr="00544EA2" w:rsidRDefault="003B0176" w:rsidP="00622CFF">
      <w:pPr>
        <w:spacing w:before="240" w:after="240" w:line="240" w:lineRule="auto"/>
        <w:rPr>
          <w:rFonts w:eastAsia="Yu Gothic Light"/>
          <w:lang w:val="en-AU"/>
        </w:rPr>
      </w:pPr>
      <w:r w:rsidRPr="00930096">
        <w:rPr>
          <w:rFonts w:eastAsia="Yu Gothic Light"/>
        </w:rPr>
        <w:t>There is only one funding level for AT or HM under CHSP</w:t>
      </w:r>
      <w:r w:rsidRPr="00544EA2">
        <w:rPr>
          <w:rFonts w:eastAsia="Yu Gothic Light"/>
        </w:rPr>
        <w:t xml:space="preserve"> – there are not multiple funding tiers as there are under the Support at Home AT-HM scheme.</w:t>
      </w:r>
      <w:r w:rsidRPr="00544EA2">
        <w:rPr>
          <w:rFonts w:eastAsia="Yu Gothic Light"/>
          <w:lang w:val="en-AU"/>
        </w:rPr>
        <w:t> </w:t>
      </w:r>
    </w:p>
    <w:p w14:paraId="150012A0" w14:textId="77777777" w:rsidR="003B0176" w:rsidRPr="00544EA2" w:rsidRDefault="003B0176" w:rsidP="00622CFF">
      <w:pPr>
        <w:spacing w:before="240" w:after="240" w:line="240" w:lineRule="auto"/>
        <w:rPr>
          <w:rFonts w:eastAsia="Yu Gothic Light"/>
          <w:lang w:val="en-AU"/>
        </w:rPr>
      </w:pPr>
      <w:r w:rsidRPr="00544EA2">
        <w:rPr>
          <w:rFonts w:eastAsia="Yu Gothic Light"/>
        </w:rPr>
        <w:t>The Notice of Decision template (described in detail later) will prompt you to ensure the correct approvals are included.</w:t>
      </w:r>
    </w:p>
    <w:p w14:paraId="3ED747EF" w14:textId="77777777" w:rsidR="003B0176" w:rsidRPr="00544EA2" w:rsidRDefault="003B0176" w:rsidP="00C56CEC">
      <w:pPr>
        <w:pStyle w:val="H3"/>
      </w:pPr>
      <w:r w:rsidRPr="00544EA2">
        <w:t>Step 1. Decide if the older person requires AT or HM under CHSP  </w:t>
      </w:r>
    </w:p>
    <w:p w14:paraId="63EF846C" w14:textId="4D899F83" w:rsidR="003B0176" w:rsidRPr="00544EA2" w:rsidRDefault="003B0176" w:rsidP="00622CFF">
      <w:pPr>
        <w:spacing w:before="240" w:after="240" w:line="240" w:lineRule="auto"/>
        <w:rPr>
          <w:rFonts w:eastAsia="Yu Gothic Light"/>
          <w:lang w:val="en-AU"/>
        </w:rPr>
      </w:pPr>
      <w:r w:rsidRPr="00544EA2">
        <w:rPr>
          <w:rFonts w:eastAsia="Yu Gothic Light"/>
          <w:lang w:val="en-AU"/>
        </w:rPr>
        <w:t xml:space="preserve">Before approving a recommendation for AT or HM, </w:t>
      </w:r>
      <w:r w:rsidR="005018E5">
        <w:rPr>
          <w:rFonts w:eastAsia="Yu Gothic Light"/>
          <w:lang w:val="en-AU"/>
        </w:rPr>
        <w:t>Assessment Delegates</w:t>
      </w:r>
      <w:r w:rsidR="005018E5" w:rsidRPr="00544EA2">
        <w:rPr>
          <w:rFonts w:eastAsia="Yu Gothic Light"/>
          <w:lang w:val="en-AU"/>
        </w:rPr>
        <w:t xml:space="preserve"> </w:t>
      </w:r>
      <w:r w:rsidRPr="00544EA2">
        <w:rPr>
          <w:rFonts w:eastAsia="Yu Gothic Light"/>
          <w:lang w:val="en-AU"/>
        </w:rPr>
        <w:t xml:space="preserve">first need to decide if an older person requires and is eligible to access one or both of these service groups. </w:t>
      </w:r>
    </w:p>
    <w:p w14:paraId="76B812F3" w14:textId="77777777" w:rsidR="003B0176" w:rsidRPr="00544EA2" w:rsidRDefault="003B0176" w:rsidP="00622CFF">
      <w:pPr>
        <w:spacing w:before="240" w:after="240" w:line="240" w:lineRule="auto"/>
        <w:rPr>
          <w:rFonts w:eastAsia="Yu Gothic Light"/>
          <w:lang w:val="en-AU"/>
        </w:rPr>
      </w:pPr>
      <w:r w:rsidRPr="00544EA2">
        <w:rPr>
          <w:rFonts w:eastAsia="Yu Gothic Light"/>
        </w:rPr>
        <w:t>Existing questions in the function section of the IAT will help to identify and determine an older person’s need for assistive technology or home modifications. The purpose of the function section is to understand a client’s functional ability, their ability to complete activities of daily living, and if the client requires further assistance with these.</w:t>
      </w:r>
      <w:r w:rsidRPr="00544EA2">
        <w:rPr>
          <w:rFonts w:eastAsia="Yu Gothic Light"/>
          <w:lang w:val="en-AU"/>
        </w:rPr>
        <w:t> </w:t>
      </w:r>
    </w:p>
    <w:p w14:paraId="0EBBEDD0" w14:textId="70EE6C34" w:rsidR="003B0176" w:rsidRPr="00544EA2" w:rsidRDefault="003B0176" w:rsidP="00622CFF">
      <w:pPr>
        <w:spacing w:before="240" w:after="240" w:line="240" w:lineRule="auto"/>
        <w:rPr>
          <w:rFonts w:eastAsia="Yu Gothic Light"/>
          <w:lang w:val="en-AU"/>
        </w:rPr>
      </w:pPr>
      <w:r w:rsidRPr="00544EA2">
        <w:rPr>
          <w:rFonts w:eastAsia="Yu Gothic Light"/>
        </w:rPr>
        <w:t xml:space="preserve">When reviewing the assessment and IAT, </w:t>
      </w:r>
      <w:r w:rsidR="001D6A65">
        <w:rPr>
          <w:rFonts w:eastAsia="Yu Gothic Light"/>
        </w:rPr>
        <w:t xml:space="preserve">Assessment Delegates will need to </w:t>
      </w:r>
      <w:r w:rsidRPr="00544EA2">
        <w:rPr>
          <w:rFonts w:eastAsia="Yu Gothic Light"/>
        </w:rPr>
        <w:t>consider whether the older person’s: </w:t>
      </w:r>
      <w:r w:rsidRPr="00544EA2">
        <w:rPr>
          <w:rFonts w:eastAsia="Yu Gothic Light"/>
          <w:lang w:val="en-AU"/>
        </w:rPr>
        <w:t> </w:t>
      </w:r>
    </w:p>
    <w:p w14:paraId="5A9F1004" w14:textId="77777777" w:rsidR="003B0176" w:rsidRPr="00544EA2" w:rsidRDefault="003B0176" w:rsidP="00DF3F6B">
      <w:pPr>
        <w:numPr>
          <w:ilvl w:val="0"/>
          <w:numId w:val="289"/>
        </w:numPr>
        <w:spacing w:before="240" w:after="240" w:line="240" w:lineRule="auto"/>
        <w:rPr>
          <w:rFonts w:eastAsia="Yu Gothic Light"/>
          <w:lang w:val="en-AU"/>
        </w:rPr>
      </w:pPr>
      <w:r w:rsidRPr="00544EA2">
        <w:rPr>
          <w:rFonts w:eastAsia="Yu Gothic Light"/>
        </w:rPr>
        <w:t>needs and goals that could be met through using assistive technology or home modifications</w:t>
      </w:r>
      <w:r w:rsidRPr="00544EA2">
        <w:rPr>
          <w:rFonts w:eastAsia="Yu Gothic Light"/>
          <w:lang w:val="en-AU"/>
        </w:rPr>
        <w:t> </w:t>
      </w:r>
    </w:p>
    <w:p w14:paraId="23363FEC" w14:textId="77777777" w:rsidR="003B0176" w:rsidRPr="00544EA2" w:rsidRDefault="003B0176" w:rsidP="00DF3F6B">
      <w:pPr>
        <w:numPr>
          <w:ilvl w:val="0"/>
          <w:numId w:val="290"/>
        </w:numPr>
        <w:spacing w:before="240" w:after="240" w:line="240" w:lineRule="auto"/>
        <w:rPr>
          <w:rFonts w:eastAsia="Yu Gothic Light"/>
          <w:lang w:val="en-AU"/>
        </w:rPr>
      </w:pPr>
      <w:r w:rsidRPr="00544EA2">
        <w:rPr>
          <w:rFonts w:eastAsia="Yu Gothic Light"/>
        </w:rPr>
        <w:t>can have those needs met through the services under Assistive Technology and Home Modifications </w:t>
      </w:r>
      <w:r w:rsidRPr="00544EA2">
        <w:rPr>
          <w:rFonts w:eastAsia="Yu Gothic Light"/>
          <w:lang w:val="en-AU"/>
        </w:rPr>
        <w:t> </w:t>
      </w:r>
    </w:p>
    <w:p w14:paraId="733F0BBC" w14:textId="77777777" w:rsidR="003B0176" w:rsidRPr="00544EA2" w:rsidRDefault="003B0176" w:rsidP="00C56CEC">
      <w:pPr>
        <w:pStyle w:val="H3"/>
      </w:pPr>
      <w:r w:rsidRPr="00544EA2">
        <w:t>Step 2. Review service recommendations for AT or HM under CHSP  </w:t>
      </w:r>
    </w:p>
    <w:p w14:paraId="54B224AE" w14:textId="6577CE04" w:rsidR="003B0176" w:rsidRPr="00544EA2" w:rsidRDefault="003B0176" w:rsidP="00622CFF">
      <w:pPr>
        <w:spacing w:before="240" w:after="240" w:line="240" w:lineRule="auto"/>
        <w:rPr>
          <w:rFonts w:eastAsia="Yu Gothic Light"/>
          <w:lang w:val="en-AU"/>
        </w:rPr>
      </w:pPr>
      <w:r w:rsidRPr="00930096">
        <w:rPr>
          <w:rFonts w:eastAsia="Yu Gothic Light"/>
          <w:lang w:val="en-AU"/>
        </w:rPr>
        <w:t>Service recommendations</w:t>
      </w:r>
      <w:r w:rsidRPr="00544EA2">
        <w:rPr>
          <w:rFonts w:eastAsia="Yu Gothic Light"/>
          <w:b/>
          <w:bCs/>
          <w:lang w:val="en-AU"/>
        </w:rPr>
        <w:t xml:space="preserve"> </w:t>
      </w:r>
      <w:r w:rsidRPr="00544EA2">
        <w:rPr>
          <w:rFonts w:eastAsia="Yu Gothic Light"/>
          <w:lang w:val="en-AU"/>
        </w:rPr>
        <w:t xml:space="preserve">represent referrals that can be made through the </w:t>
      </w:r>
      <w:r w:rsidR="0060352D">
        <w:rPr>
          <w:rFonts w:eastAsia="Yu Gothic Light"/>
          <w:lang w:val="en-AU"/>
        </w:rPr>
        <w:t xml:space="preserve">Assessor </w:t>
      </w:r>
      <w:r w:rsidR="00E118B1">
        <w:rPr>
          <w:rFonts w:eastAsia="Yu Gothic Light"/>
          <w:lang w:val="en-AU"/>
        </w:rPr>
        <w:t>P</w:t>
      </w:r>
      <w:r w:rsidR="0060352D">
        <w:rPr>
          <w:rFonts w:eastAsia="Yu Gothic Light"/>
          <w:lang w:val="en-AU"/>
        </w:rPr>
        <w:t>ortal</w:t>
      </w:r>
      <w:r w:rsidRPr="00544EA2">
        <w:rPr>
          <w:rFonts w:eastAsia="Yu Gothic Light"/>
          <w:lang w:val="en-AU"/>
        </w:rPr>
        <w:t xml:space="preserve"> to Commonwealth-subsidised aged care services. </w:t>
      </w:r>
    </w:p>
    <w:p w14:paraId="51360AF1" w14:textId="77777777" w:rsidR="003B0176" w:rsidRPr="00544EA2" w:rsidRDefault="003B0176" w:rsidP="00622CFF">
      <w:pPr>
        <w:spacing w:before="240" w:after="240" w:line="240" w:lineRule="auto"/>
        <w:rPr>
          <w:rFonts w:eastAsia="Yu Gothic Light"/>
          <w:lang w:val="en-AU"/>
        </w:rPr>
      </w:pPr>
      <w:r w:rsidRPr="00544EA2">
        <w:rPr>
          <w:rFonts w:eastAsia="Yu Gothic Light"/>
          <w:lang w:val="en-AU"/>
        </w:rPr>
        <w:t>Review the service recommendation details for CHSP Assistive Technology and CHSP Home Modifications including: </w:t>
      </w:r>
    </w:p>
    <w:p w14:paraId="214E9053" w14:textId="77777777" w:rsidR="003B0176" w:rsidRPr="00544EA2" w:rsidRDefault="003B0176" w:rsidP="00DF3F6B">
      <w:pPr>
        <w:numPr>
          <w:ilvl w:val="0"/>
          <w:numId w:val="291"/>
        </w:numPr>
        <w:spacing w:before="240" w:after="240" w:line="240" w:lineRule="auto"/>
        <w:rPr>
          <w:rFonts w:eastAsia="Yu Gothic Light"/>
          <w:lang w:val="en-AU"/>
        </w:rPr>
      </w:pPr>
      <w:r w:rsidRPr="00544EA2">
        <w:rPr>
          <w:rFonts w:eastAsia="Yu Gothic Light"/>
          <w:lang w:val="en-AU"/>
        </w:rPr>
        <w:t>service type and service (sub-type) – if applicable </w:t>
      </w:r>
    </w:p>
    <w:p w14:paraId="5E0392A6" w14:textId="77777777" w:rsidR="003B0176" w:rsidRPr="00544EA2" w:rsidRDefault="003B0176" w:rsidP="00DF3F6B">
      <w:pPr>
        <w:numPr>
          <w:ilvl w:val="0"/>
          <w:numId w:val="292"/>
        </w:numPr>
        <w:spacing w:before="240" w:after="240" w:line="240" w:lineRule="auto"/>
        <w:rPr>
          <w:rFonts w:eastAsia="Yu Gothic Light"/>
          <w:lang w:val="en-AU"/>
        </w:rPr>
      </w:pPr>
      <w:r w:rsidRPr="00544EA2">
        <w:rPr>
          <w:rFonts w:eastAsia="Yu Gothic Light"/>
          <w:lang w:val="en-AU"/>
        </w:rPr>
        <w:t>start, end and review dates – if applicable </w:t>
      </w:r>
    </w:p>
    <w:p w14:paraId="4A1DC39E" w14:textId="77777777" w:rsidR="003B0176" w:rsidRPr="00544EA2" w:rsidRDefault="003B0176" w:rsidP="00DF3F6B">
      <w:pPr>
        <w:numPr>
          <w:ilvl w:val="0"/>
          <w:numId w:val="293"/>
        </w:numPr>
        <w:spacing w:before="240" w:after="240" w:line="240" w:lineRule="auto"/>
        <w:rPr>
          <w:rFonts w:eastAsia="Yu Gothic Light"/>
          <w:lang w:val="en-AU"/>
        </w:rPr>
      </w:pPr>
      <w:r w:rsidRPr="00544EA2">
        <w:rPr>
          <w:rFonts w:eastAsia="Yu Gothic Light"/>
          <w:lang w:val="en-AU"/>
        </w:rPr>
        <w:t>frequency, intensity </w:t>
      </w:r>
    </w:p>
    <w:p w14:paraId="72E67204" w14:textId="77777777" w:rsidR="003B0176" w:rsidRPr="00544EA2" w:rsidRDefault="003B0176" w:rsidP="00DF3F6B">
      <w:pPr>
        <w:numPr>
          <w:ilvl w:val="0"/>
          <w:numId w:val="294"/>
        </w:numPr>
        <w:spacing w:before="240" w:after="240" w:line="240" w:lineRule="auto"/>
        <w:rPr>
          <w:rFonts w:eastAsia="Yu Gothic Light"/>
          <w:lang w:val="en-AU"/>
        </w:rPr>
      </w:pPr>
      <w:r w:rsidRPr="00544EA2">
        <w:rPr>
          <w:rFonts w:eastAsia="Yu Gothic Light"/>
          <w:lang w:val="en-AU"/>
        </w:rPr>
        <w:t>priority </w:t>
      </w:r>
    </w:p>
    <w:p w14:paraId="0DB0F9B2" w14:textId="7E1E6FC1" w:rsidR="003B0176" w:rsidRPr="00544EA2" w:rsidRDefault="003B0176" w:rsidP="00DF3F6B">
      <w:pPr>
        <w:numPr>
          <w:ilvl w:val="0"/>
          <w:numId w:val="295"/>
        </w:numPr>
        <w:spacing w:before="240" w:after="240" w:line="240" w:lineRule="auto"/>
        <w:rPr>
          <w:rFonts w:eastAsia="Yu Gothic Light"/>
          <w:lang w:val="en-AU"/>
        </w:rPr>
      </w:pPr>
      <w:r w:rsidRPr="00544EA2">
        <w:rPr>
          <w:rFonts w:eastAsia="Yu Gothic Light"/>
          <w:lang w:val="en-AU"/>
        </w:rPr>
        <w:t>outcome</w:t>
      </w:r>
      <w:r w:rsidR="00B23AB0" w:rsidRPr="00544EA2">
        <w:rPr>
          <w:rFonts w:eastAsia="Yu Gothic Light"/>
          <w:lang w:val="en-AU"/>
        </w:rPr>
        <w:t xml:space="preserve">. </w:t>
      </w:r>
    </w:p>
    <w:p w14:paraId="5967C70D" w14:textId="078D65A4" w:rsidR="003B0176" w:rsidRPr="00544EA2" w:rsidRDefault="003B0176" w:rsidP="00507F9D">
      <w:pPr>
        <w:pStyle w:val="h2"/>
      </w:pPr>
      <w:bookmarkStart w:id="760" w:name="_Toc209189028"/>
      <w:bookmarkStart w:id="761" w:name="_Toc224916685"/>
      <w:r w:rsidRPr="00544EA2">
        <w:t xml:space="preserve">Approving </w:t>
      </w:r>
      <w:r w:rsidR="008F2262">
        <w:t>p</w:t>
      </w:r>
      <w:r w:rsidRPr="00544EA2">
        <w:t xml:space="preserve">ermanent </w:t>
      </w:r>
      <w:r w:rsidR="008F2262">
        <w:t>r</w:t>
      </w:r>
      <w:r w:rsidRPr="00544EA2">
        <w:t xml:space="preserve">esidential </w:t>
      </w:r>
      <w:r w:rsidR="008F2262">
        <w:t>c</w:t>
      </w:r>
      <w:r w:rsidRPr="00544EA2">
        <w:t>are</w:t>
      </w:r>
      <w:bookmarkEnd w:id="760"/>
      <w:bookmarkEnd w:id="761"/>
      <w:r w:rsidRPr="00544EA2">
        <w:t> </w:t>
      </w:r>
    </w:p>
    <w:p w14:paraId="7D4C300F" w14:textId="77777777" w:rsidR="003B0176" w:rsidRPr="00544EA2" w:rsidRDefault="003B0176" w:rsidP="00C56CEC">
      <w:pPr>
        <w:pStyle w:val="H3"/>
      </w:pPr>
      <w:bookmarkStart w:id="762" w:name="_Toc207714018"/>
      <w:r w:rsidRPr="00544EA2">
        <w:t>Step 1. Decide if the older person requires ongoing residential care</w:t>
      </w:r>
      <w:bookmarkEnd w:id="762"/>
    </w:p>
    <w:p w14:paraId="6EDCB6B1" w14:textId="7E032085" w:rsidR="003B0176" w:rsidRPr="00544EA2" w:rsidRDefault="00DC064C" w:rsidP="00622CFF">
      <w:pPr>
        <w:spacing w:before="240" w:after="240" w:line="240" w:lineRule="auto"/>
        <w:rPr>
          <w:rFonts w:eastAsia="Yu Gothic Light"/>
        </w:rPr>
      </w:pPr>
      <w:r>
        <w:rPr>
          <w:rFonts w:eastAsia="Yu Gothic Light"/>
        </w:rPr>
        <w:t>Permanent</w:t>
      </w:r>
      <w:r w:rsidR="003B0176" w:rsidRPr="00544EA2">
        <w:rPr>
          <w:rFonts w:eastAsia="Yu Gothic Light"/>
        </w:rPr>
        <w:t xml:space="preserve"> residential care is delivered through the service group </w:t>
      </w:r>
      <w:r w:rsidR="003B0176" w:rsidRPr="00262D30">
        <w:rPr>
          <w:rFonts w:eastAsia="Yu Gothic Light"/>
        </w:rPr>
        <w:t>residential care</w:t>
      </w:r>
      <w:r w:rsidR="003B0176" w:rsidRPr="00544EA2">
        <w:rPr>
          <w:rFonts w:eastAsia="Yu Gothic Light"/>
          <w:b/>
        </w:rPr>
        <w:t xml:space="preserve"> </w:t>
      </w:r>
      <w:r w:rsidR="003B0176" w:rsidRPr="00544EA2">
        <w:rPr>
          <w:rFonts w:eastAsia="Yu Gothic Light"/>
        </w:rPr>
        <w:t>and</w:t>
      </w:r>
      <w:r w:rsidR="003B0176" w:rsidRPr="00544EA2">
        <w:rPr>
          <w:rFonts w:eastAsia="Yu Gothic Light"/>
          <w:b/>
        </w:rPr>
        <w:t xml:space="preserve"> </w:t>
      </w:r>
      <w:r w:rsidR="003B0176" w:rsidRPr="00544EA2">
        <w:rPr>
          <w:rFonts w:eastAsia="Yu Gothic Light"/>
        </w:rPr>
        <w:t>an access approval for the</w:t>
      </w:r>
      <w:r w:rsidR="003B0176" w:rsidRPr="00544EA2">
        <w:rPr>
          <w:rFonts w:eastAsia="Yu Gothic Light" w:hint="eastAsia"/>
        </w:rPr>
        <w:t> </w:t>
      </w:r>
      <w:r w:rsidR="003B0176" w:rsidRPr="00262D30">
        <w:rPr>
          <w:rFonts w:eastAsia="Yu Gothic Light"/>
        </w:rPr>
        <w:t>ongoing</w:t>
      </w:r>
      <w:r w:rsidR="003B0176" w:rsidRPr="00544EA2">
        <w:rPr>
          <w:rFonts w:eastAsia="Yu Gothic Light" w:hint="eastAsia"/>
        </w:rPr>
        <w:t> </w:t>
      </w:r>
      <w:r w:rsidR="003B0176" w:rsidRPr="00544EA2">
        <w:rPr>
          <w:rFonts w:eastAsia="Yu Gothic Light"/>
        </w:rPr>
        <w:t>classification type. It is provided by registered providers in approved residential care homes.</w:t>
      </w:r>
    </w:p>
    <w:p w14:paraId="24599F43" w14:textId="1CEA8A76"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residential care, </w:t>
      </w:r>
      <w:r w:rsidR="00B4122C">
        <w:rPr>
          <w:rFonts w:eastAsia="Yu Gothic Light"/>
        </w:rPr>
        <w:t>Assessment Delegates</w:t>
      </w:r>
      <w:r w:rsidR="00B4122C" w:rsidRPr="00544EA2">
        <w:rPr>
          <w:rFonts w:eastAsia="Yu Gothic Light"/>
        </w:rPr>
        <w:t xml:space="preserve"> </w:t>
      </w:r>
      <w:r w:rsidRPr="00544EA2">
        <w:rPr>
          <w:rFonts w:eastAsia="Yu Gothic Light"/>
        </w:rPr>
        <w:t xml:space="preserve">first need to decide if an older person requires and is eligible to access this service group. </w:t>
      </w:r>
    </w:p>
    <w:p w14:paraId="1D3F83AA" w14:textId="7BCAD31F" w:rsidR="003B0176" w:rsidRPr="00544EA2" w:rsidRDefault="003B0176" w:rsidP="00622CFF">
      <w:pPr>
        <w:spacing w:before="240" w:after="240" w:line="240" w:lineRule="auto"/>
        <w:rPr>
          <w:rFonts w:eastAsia="Yu Gothic Light"/>
        </w:rPr>
      </w:pPr>
      <w:r w:rsidRPr="00544EA2">
        <w:rPr>
          <w:rFonts w:eastAsia="Yu Gothic Light"/>
        </w:rPr>
        <w:t xml:space="preserve">There is one key point </w:t>
      </w:r>
      <w:r w:rsidR="00617EA2">
        <w:rPr>
          <w:rFonts w:eastAsia="Yu Gothic Light"/>
        </w:rPr>
        <w:t xml:space="preserve">to </w:t>
      </w:r>
      <w:r w:rsidRPr="00544EA2">
        <w:rPr>
          <w:rFonts w:eastAsia="Yu Gothic Light"/>
        </w:rPr>
        <w:t xml:space="preserve">remember when deciding on access for </w:t>
      </w:r>
      <w:r w:rsidR="007F548D">
        <w:rPr>
          <w:rFonts w:eastAsia="Yu Gothic Light"/>
        </w:rPr>
        <w:t>non-</w:t>
      </w:r>
      <w:r w:rsidRPr="00544EA2">
        <w:rPr>
          <w:rFonts w:eastAsia="Yu Gothic Light"/>
        </w:rPr>
        <w:t>Aboriginal or Torres Strait Islander</w:t>
      </w:r>
      <w:r w:rsidR="00E76EA4">
        <w:rPr>
          <w:rFonts w:eastAsia="Yu Gothic Light"/>
        </w:rPr>
        <w:t xml:space="preserve"> people</w:t>
      </w:r>
      <w:r w:rsidRPr="00544EA2">
        <w:rPr>
          <w:rFonts w:eastAsia="Yu Gothic Light"/>
        </w:rPr>
        <w:t>.</w:t>
      </w:r>
      <w:r w:rsidRPr="00544EA2">
        <w:rPr>
          <w:rFonts w:eastAsia="Yu Gothic Light"/>
          <w:b/>
        </w:rPr>
        <w:t xml:space="preserve"> Section 68 </w:t>
      </w:r>
      <w:r w:rsidRPr="00544EA2">
        <w:rPr>
          <w:rFonts w:eastAsia="Yu Gothic Light"/>
        </w:rPr>
        <w:t xml:space="preserve">of the </w:t>
      </w:r>
      <w:r w:rsidR="00B4122C">
        <w:rPr>
          <w:rFonts w:eastAsia="Yu Gothic Light"/>
        </w:rPr>
        <w:t xml:space="preserve">Aged Care </w:t>
      </w:r>
      <w:r w:rsidRPr="00544EA2">
        <w:rPr>
          <w:rFonts w:eastAsia="Yu Gothic Light"/>
        </w:rPr>
        <w:t>Act</w:t>
      </w:r>
      <w:r w:rsidR="00B4122C">
        <w:rPr>
          <w:rFonts w:eastAsia="Yu Gothic Light"/>
        </w:rPr>
        <w:t xml:space="preserve"> 2024 (the Act)</w:t>
      </w:r>
      <w:r w:rsidRPr="00544EA2">
        <w:rPr>
          <w:rFonts w:eastAsia="Yu Gothic Light"/>
          <w:b/>
        </w:rPr>
        <w:t xml:space="preserve"> </w:t>
      </w:r>
      <w:r w:rsidRPr="00544EA2">
        <w:rPr>
          <w:rFonts w:eastAsia="Yu Gothic Light"/>
        </w:rPr>
        <w:t>requires these older people to have a continuing need for funded aged care services because of sickness in order to access the residential care service group. Assessment Delegate</w:t>
      </w:r>
      <w:r w:rsidR="00617EA2">
        <w:rPr>
          <w:rFonts w:eastAsia="Yu Gothic Light"/>
        </w:rPr>
        <w:t>s</w:t>
      </w:r>
      <w:r w:rsidRPr="00544EA2">
        <w:rPr>
          <w:rFonts w:eastAsia="Yu Gothic Light"/>
        </w:rPr>
        <w:t xml:space="preserve"> need to be satisfied, that the person</w:t>
      </w:r>
      <w:r w:rsidRPr="00544EA2">
        <w:rPr>
          <w:rFonts w:eastAsia="Yu Gothic Light" w:hint="eastAsia"/>
        </w:rPr>
        <w:t>’</w:t>
      </w:r>
      <w:r w:rsidRPr="00544EA2">
        <w:rPr>
          <w:rFonts w:eastAsia="Yu Gothic Light"/>
        </w:rPr>
        <w:t xml:space="preserve">s sickness at </w:t>
      </w:r>
      <w:r w:rsidRPr="00262D30">
        <w:rPr>
          <w:rFonts w:eastAsia="Yu Gothic Light"/>
        </w:rPr>
        <w:t>the time of assessment</w:t>
      </w:r>
      <w:r w:rsidRPr="00544EA2">
        <w:rPr>
          <w:rFonts w:eastAsia="Yu Gothic Light"/>
        </w:rPr>
        <w:t xml:space="preserve"> means that they have a continuing need for residential care.</w:t>
      </w:r>
    </w:p>
    <w:p w14:paraId="28AADEAF" w14:textId="77777777" w:rsidR="003B0176" w:rsidRPr="00544EA2" w:rsidRDefault="003B0176" w:rsidP="00C56CEC">
      <w:pPr>
        <w:pStyle w:val="H3"/>
      </w:pPr>
      <w:bookmarkStart w:id="763" w:name="_Toc198787184"/>
      <w:bookmarkStart w:id="764" w:name="_Toc1564589390"/>
      <w:bookmarkStart w:id="765" w:name="_Toc199344571"/>
      <w:bookmarkStart w:id="766" w:name="_Toc205372108"/>
      <w:bookmarkStart w:id="767" w:name="_Toc207714019"/>
      <w:r w:rsidRPr="00544EA2">
        <w:t>Step 2. Confirm the priority category</w:t>
      </w:r>
      <w:bookmarkEnd w:id="763"/>
      <w:bookmarkEnd w:id="764"/>
      <w:bookmarkEnd w:id="765"/>
      <w:bookmarkEnd w:id="766"/>
      <w:bookmarkEnd w:id="767"/>
    </w:p>
    <w:p w14:paraId="3E2DB5D1" w14:textId="28C2F502" w:rsidR="003B0176" w:rsidRPr="00544EA2" w:rsidRDefault="003B0176" w:rsidP="00622CFF">
      <w:pPr>
        <w:spacing w:before="240" w:after="240" w:line="240" w:lineRule="auto"/>
        <w:rPr>
          <w:rFonts w:eastAsia="Yu Gothic Light"/>
        </w:rPr>
      </w:pPr>
      <w:r w:rsidRPr="00544EA2">
        <w:rPr>
          <w:rFonts w:eastAsia="Yu Gothic Light"/>
        </w:rPr>
        <w:t xml:space="preserve">To meet the requirements of the </w:t>
      </w:r>
      <w:r w:rsidRPr="00441859">
        <w:rPr>
          <w:rFonts w:eastAsia="Yu Gothic Light"/>
        </w:rPr>
        <w:t>Act</w:t>
      </w:r>
      <w:r w:rsidRPr="00544EA2">
        <w:rPr>
          <w:rFonts w:eastAsia="Yu Gothic Light"/>
        </w:rPr>
        <w:t>, an older person being approved for permanent residential care will be assigned a priority category (1, 2 or 3). The priority category is not currently being used to prioritise access to residential care.</w:t>
      </w:r>
    </w:p>
    <w:p w14:paraId="7AA4EF62" w14:textId="29F3862B" w:rsidR="003B0176" w:rsidRPr="00544EA2" w:rsidRDefault="003B0176" w:rsidP="00622CFF">
      <w:pPr>
        <w:pStyle w:val="Caption"/>
        <w:spacing w:before="240" w:after="240"/>
        <w:rPr>
          <w:rFonts w:eastAsia="Yu Gothic Light"/>
        </w:rPr>
      </w:pPr>
      <w:r>
        <w:rPr>
          <w:rFonts w:eastAsia="Yu Gothic Light"/>
        </w:rPr>
        <w:t>Table 4</w:t>
      </w:r>
      <w:r w:rsidR="001C3C5C">
        <w:rPr>
          <w:rFonts w:eastAsia="Yu Gothic Light"/>
        </w:rPr>
        <w:t>8</w:t>
      </w:r>
      <w:r>
        <w:rPr>
          <w:rFonts w:eastAsia="Yu Gothic Light"/>
        </w:rPr>
        <w:t xml:space="preserve">. Priority categories for permanent residential care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ity categories for permanent residential care"/>
      </w:tblPr>
      <w:tblGrid>
        <w:gridCol w:w="1696"/>
        <w:gridCol w:w="7320"/>
      </w:tblGrid>
      <w:tr w:rsidR="003B0176" w:rsidRPr="00544EA2" w14:paraId="5D5CD265" w14:textId="77777777" w:rsidTr="00E2517D">
        <w:tc>
          <w:tcPr>
            <w:tcW w:w="1696" w:type="dxa"/>
            <w:shd w:val="clear" w:color="auto" w:fill="002060"/>
          </w:tcPr>
          <w:p w14:paraId="2480885A" w14:textId="77777777" w:rsidR="003B0176" w:rsidRPr="00544EA2" w:rsidRDefault="003B0176" w:rsidP="006A075D">
            <w:pPr>
              <w:spacing w:before="120" w:after="120"/>
              <w:rPr>
                <w:rFonts w:eastAsia="Yu Gothic Light"/>
                <w:b/>
              </w:rPr>
            </w:pPr>
            <w:r w:rsidRPr="00544EA2">
              <w:rPr>
                <w:rFonts w:eastAsia="Yu Gothic Light"/>
                <w:b/>
              </w:rPr>
              <w:t>Category #</w:t>
            </w:r>
          </w:p>
        </w:tc>
        <w:tc>
          <w:tcPr>
            <w:tcW w:w="7320" w:type="dxa"/>
            <w:shd w:val="clear" w:color="auto" w:fill="002060"/>
          </w:tcPr>
          <w:p w14:paraId="71FBA103" w14:textId="77777777" w:rsidR="003B0176" w:rsidRPr="00544EA2" w:rsidRDefault="003B0176" w:rsidP="006A075D">
            <w:pPr>
              <w:spacing w:before="120" w:after="120"/>
              <w:rPr>
                <w:rFonts w:eastAsia="Yu Gothic Light"/>
                <w:b/>
              </w:rPr>
            </w:pPr>
            <w:r w:rsidRPr="00544EA2">
              <w:rPr>
                <w:rFonts w:eastAsia="Yu Gothic Light"/>
                <w:b/>
              </w:rPr>
              <w:t>Description</w:t>
            </w:r>
          </w:p>
        </w:tc>
      </w:tr>
      <w:tr w:rsidR="003B0176" w:rsidRPr="00544EA2" w14:paraId="12C2F1F2" w14:textId="77777777" w:rsidTr="00E2517D">
        <w:tc>
          <w:tcPr>
            <w:tcW w:w="1696" w:type="dxa"/>
            <w:shd w:val="clear" w:color="auto" w:fill="002060"/>
          </w:tcPr>
          <w:p w14:paraId="4D005285" w14:textId="77777777" w:rsidR="003B0176" w:rsidRPr="00544EA2" w:rsidRDefault="003B0176" w:rsidP="006A075D">
            <w:pPr>
              <w:spacing w:before="120" w:after="120"/>
              <w:rPr>
                <w:rFonts w:eastAsia="Yu Gothic Light"/>
              </w:rPr>
            </w:pPr>
            <w:r w:rsidRPr="00544EA2">
              <w:rPr>
                <w:rFonts w:eastAsia="Yu Gothic Light"/>
              </w:rPr>
              <w:t>1</w:t>
            </w:r>
          </w:p>
        </w:tc>
        <w:tc>
          <w:tcPr>
            <w:tcW w:w="7320" w:type="dxa"/>
          </w:tcPr>
          <w:p w14:paraId="206A8C63" w14:textId="77777777" w:rsidR="003B0176" w:rsidRPr="00544EA2" w:rsidRDefault="003B0176" w:rsidP="006A075D">
            <w:pPr>
              <w:spacing w:before="120" w:after="120"/>
              <w:rPr>
                <w:rFonts w:eastAsia="Yu Gothic Light"/>
              </w:rPr>
            </w:pPr>
            <w:r w:rsidRPr="00544EA2">
              <w:rPr>
                <w:rFonts w:eastAsia="Yu Gothic Light"/>
              </w:rPr>
              <w:t>The person:</w:t>
            </w:r>
          </w:p>
          <w:p w14:paraId="3298842A" w14:textId="1BF6E911" w:rsidR="003B0176" w:rsidRPr="00544EA2" w:rsidRDefault="003B0176" w:rsidP="00DF3F6B">
            <w:pPr>
              <w:numPr>
                <w:ilvl w:val="0"/>
                <w:numId w:val="195"/>
              </w:numPr>
              <w:spacing w:before="120" w:after="120"/>
              <w:ind w:left="315" w:hanging="284"/>
              <w:contextualSpacing/>
              <w:rPr>
                <w:rFonts w:eastAsia="Yu Gothic Light"/>
              </w:rPr>
            </w:pPr>
            <w:r w:rsidRPr="00544EA2">
              <w:rPr>
                <w:rFonts w:eastAsia="Yu Gothic Light"/>
              </w:rPr>
              <w:t>has a</w:t>
            </w:r>
            <w:r w:rsidRPr="00544EA2">
              <w:rPr>
                <w:rFonts w:eastAsia="Yu Gothic Light" w:hint="eastAsia"/>
              </w:rPr>
              <w:t> </w:t>
            </w:r>
            <w:r w:rsidRPr="00E2517D">
              <w:rPr>
                <w:rFonts w:eastAsia="Yu Gothic Light"/>
              </w:rPr>
              <w:t>high urgency rating</w:t>
            </w:r>
            <w:r w:rsidRPr="00544EA2">
              <w:rPr>
                <w:rFonts w:eastAsia="Yu Gothic Light"/>
              </w:rPr>
              <w:t>; or</w:t>
            </w:r>
          </w:p>
          <w:p w14:paraId="2012FCB4" w14:textId="77777777" w:rsidR="003B0176" w:rsidRPr="00544EA2" w:rsidRDefault="003B0176" w:rsidP="00DF3F6B">
            <w:pPr>
              <w:numPr>
                <w:ilvl w:val="0"/>
                <w:numId w:val="195"/>
              </w:numPr>
              <w:spacing w:before="120" w:after="120"/>
              <w:ind w:left="315" w:hanging="284"/>
              <w:contextualSpacing/>
              <w:rPr>
                <w:rFonts w:eastAsia="Yu Gothic Light"/>
              </w:rPr>
            </w:pPr>
            <w:r w:rsidRPr="00544EA2">
              <w:rPr>
                <w:rFonts w:eastAsia="Yu Gothic Light"/>
              </w:rPr>
              <w:t>resides in a rural or remote area classified as</w:t>
            </w:r>
            <w:r w:rsidRPr="00544EA2">
              <w:rPr>
                <w:rFonts w:eastAsia="Yu Gothic Light" w:hint="eastAsia"/>
              </w:rPr>
              <w:t> </w:t>
            </w:r>
            <w:r w:rsidRPr="00E2517D">
              <w:rPr>
                <w:rFonts w:eastAsia="Yu Gothic Light"/>
              </w:rPr>
              <w:t>MM 5, MM 6 or MMM 7</w:t>
            </w:r>
            <w:r w:rsidRPr="00544EA2">
              <w:rPr>
                <w:rFonts w:eastAsia="Yu Gothic Light"/>
              </w:rPr>
              <w:t>; or</w:t>
            </w:r>
          </w:p>
          <w:p w14:paraId="137536C5" w14:textId="77777777" w:rsidR="003B0176" w:rsidRPr="00544EA2" w:rsidRDefault="003B0176" w:rsidP="00DF3F6B">
            <w:pPr>
              <w:numPr>
                <w:ilvl w:val="0"/>
                <w:numId w:val="195"/>
              </w:numPr>
              <w:spacing w:before="120" w:after="120"/>
              <w:ind w:left="315" w:hanging="284"/>
              <w:contextualSpacing/>
              <w:rPr>
                <w:rFonts w:eastAsia="Yu Gothic Light"/>
              </w:rPr>
            </w:pPr>
            <w:r w:rsidRPr="00544EA2">
              <w:rPr>
                <w:rFonts w:eastAsia="Yu Gothic Light"/>
              </w:rPr>
              <w:t>is</w:t>
            </w:r>
            <w:r w:rsidRPr="00544EA2">
              <w:rPr>
                <w:rFonts w:eastAsia="Yu Gothic Light" w:hint="eastAsia"/>
              </w:rPr>
              <w:t> </w:t>
            </w:r>
            <w:r w:rsidRPr="00E2517D">
              <w:rPr>
                <w:rFonts w:eastAsia="Yu Gothic Light"/>
              </w:rPr>
              <w:t>Aboriginal or Torres Strait Islander, homeless</w:t>
            </w:r>
            <w:r w:rsidRPr="00544EA2">
              <w:rPr>
                <w:rFonts w:eastAsia="Yu Gothic Light"/>
              </w:rPr>
              <w:t>, or is entering residential care due to</w:t>
            </w:r>
            <w:r w:rsidRPr="00544EA2">
              <w:rPr>
                <w:rFonts w:eastAsia="Yu Gothic Light" w:hint="eastAsia"/>
              </w:rPr>
              <w:t> </w:t>
            </w:r>
            <w:r w:rsidRPr="00E2517D">
              <w:rPr>
                <w:rFonts w:eastAsia="Yu Gothic Light"/>
              </w:rPr>
              <w:t>emergency circumstances</w:t>
            </w:r>
            <w:r w:rsidRPr="00544EA2">
              <w:rPr>
                <w:rFonts w:eastAsia="Yu Gothic Light"/>
              </w:rPr>
              <w:t>.</w:t>
            </w:r>
          </w:p>
        </w:tc>
      </w:tr>
      <w:tr w:rsidR="003B0176" w:rsidRPr="00544EA2" w14:paraId="10595127" w14:textId="77777777" w:rsidTr="00E2517D">
        <w:tc>
          <w:tcPr>
            <w:tcW w:w="1696" w:type="dxa"/>
            <w:shd w:val="clear" w:color="auto" w:fill="002060"/>
          </w:tcPr>
          <w:p w14:paraId="5BC8843D" w14:textId="77777777" w:rsidR="003B0176" w:rsidRPr="00544EA2" w:rsidRDefault="003B0176" w:rsidP="006A075D">
            <w:pPr>
              <w:spacing w:before="120" w:after="120"/>
              <w:rPr>
                <w:rFonts w:eastAsia="Yu Gothic Light"/>
              </w:rPr>
            </w:pPr>
            <w:r w:rsidRPr="00544EA2">
              <w:rPr>
                <w:rFonts w:eastAsia="Yu Gothic Light"/>
              </w:rPr>
              <w:t>2</w:t>
            </w:r>
          </w:p>
        </w:tc>
        <w:tc>
          <w:tcPr>
            <w:tcW w:w="7320" w:type="dxa"/>
          </w:tcPr>
          <w:p w14:paraId="36860242" w14:textId="77777777" w:rsidR="003B0176" w:rsidRPr="00544EA2" w:rsidRDefault="003B0176" w:rsidP="006A075D">
            <w:pPr>
              <w:spacing w:before="120" w:after="120"/>
              <w:rPr>
                <w:rFonts w:eastAsia="Yu Gothic Light"/>
              </w:rPr>
            </w:pPr>
            <w:r w:rsidRPr="00544EA2">
              <w:rPr>
                <w:rFonts w:eastAsia="Yu Gothic Light"/>
              </w:rPr>
              <w:t>The person does</w:t>
            </w:r>
            <w:r w:rsidRPr="00544EA2">
              <w:rPr>
                <w:rFonts w:eastAsia="Yu Gothic Light" w:hint="eastAsia"/>
              </w:rPr>
              <w:t> </w:t>
            </w:r>
            <w:r w:rsidRPr="00E2517D">
              <w:rPr>
                <w:rFonts w:eastAsia="Yu Gothic Light"/>
              </w:rPr>
              <w:t>not</w:t>
            </w:r>
            <w:r w:rsidRPr="00E2517D">
              <w:rPr>
                <w:rFonts w:eastAsia="Yu Gothic Light" w:hint="eastAsia"/>
              </w:rPr>
              <w:t> </w:t>
            </w:r>
            <w:r w:rsidRPr="00544EA2">
              <w:rPr>
                <w:rFonts w:eastAsia="Yu Gothic Light"/>
              </w:rPr>
              <w:t>meet the criteria for Priority Category 1 and has a</w:t>
            </w:r>
            <w:r w:rsidRPr="00544EA2">
              <w:rPr>
                <w:rFonts w:eastAsia="Yu Gothic Light" w:hint="eastAsia"/>
              </w:rPr>
              <w:t> </w:t>
            </w:r>
            <w:r w:rsidRPr="00E2517D">
              <w:rPr>
                <w:rFonts w:eastAsia="Yu Gothic Light"/>
              </w:rPr>
              <w:t>medium urgency rating</w:t>
            </w:r>
            <w:r w:rsidRPr="00544EA2">
              <w:rPr>
                <w:rFonts w:eastAsia="Yu Gothic Light"/>
              </w:rPr>
              <w:t>.</w:t>
            </w:r>
          </w:p>
          <w:p w14:paraId="4E117F9C" w14:textId="77777777" w:rsidR="003B0176" w:rsidRPr="00544EA2" w:rsidRDefault="003B0176" w:rsidP="006A075D">
            <w:pPr>
              <w:spacing w:before="120" w:after="120"/>
              <w:rPr>
                <w:rFonts w:eastAsia="Yu Gothic Light"/>
              </w:rPr>
            </w:pPr>
          </w:p>
        </w:tc>
      </w:tr>
      <w:tr w:rsidR="003B0176" w:rsidRPr="00544EA2" w14:paraId="0FC3B5B5" w14:textId="77777777" w:rsidTr="00E2517D">
        <w:trPr>
          <w:trHeight w:val="185"/>
        </w:trPr>
        <w:tc>
          <w:tcPr>
            <w:tcW w:w="1696" w:type="dxa"/>
            <w:shd w:val="clear" w:color="auto" w:fill="002060"/>
          </w:tcPr>
          <w:p w14:paraId="4D8AF19A" w14:textId="77777777" w:rsidR="003B0176" w:rsidRPr="00544EA2" w:rsidRDefault="003B0176" w:rsidP="006A075D">
            <w:pPr>
              <w:spacing w:before="120" w:after="120"/>
              <w:rPr>
                <w:rFonts w:eastAsia="Yu Gothic Light"/>
              </w:rPr>
            </w:pPr>
            <w:r w:rsidRPr="00544EA2">
              <w:rPr>
                <w:rFonts w:eastAsia="Yu Gothic Light"/>
              </w:rPr>
              <w:t>3</w:t>
            </w:r>
          </w:p>
        </w:tc>
        <w:tc>
          <w:tcPr>
            <w:tcW w:w="7320" w:type="dxa"/>
          </w:tcPr>
          <w:p w14:paraId="66636FC5" w14:textId="77777777" w:rsidR="003B0176" w:rsidRPr="00544EA2" w:rsidRDefault="003B0176" w:rsidP="006A075D">
            <w:pPr>
              <w:spacing w:before="120" w:after="120"/>
              <w:rPr>
                <w:rFonts w:eastAsia="Yu Gothic Light"/>
              </w:rPr>
            </w:pPr>
            <w:r w:rsidRPr="00544EA2">
              <w:rPr>
                <w:rFonts w:eastAsia="Yu Gothic Light"/>
              </w:rPr>
              <w:t>The person does not meet the criteria for Priority Category 1 and has a</w:t>
            </w:r>
            <w:r w:rsidRPr="00544EA2">
              <w:rPr>
                <w:rFonts w:eastAsia="Yu Gothic Light" w:hint="eastAsia"/>
              </w:rPr>
              <w:t> </w:t>
            </w:r>
            <w:r w:rsidRPr="00E2517D">
              <w:rPr>
                <w:rFonts w:eastAsia="Yu Gothic Light"/>
              </w:rPr>
              <w:t>low urgency rating</w:t>
            </w:r>
            <w:r w:rsidRPr="00544EA2">
              <w:rPr>
                <w:rFonts w:eastAsia="Yu Gothic Light"/>
              </w:rPr>
              <w:t>.</w:t>
            </w:r>
          </w:p>
        </w:tc>
      </w:tr>
    </w:tbl>
    <w:p w14:paraId="48E49BB8" w14:textId="03C18339" w:rsidR="003B0176" w:rsidRPr="00544EA2" w:rsidRDefault="003B0176" w:rsidP="00622CFF">
      <w:pPr>
        <w:spacing w:before="240" w:after="240" w:line="240" w:lineRule="auto"/>
        <w:rPr>
          <w:rFonts w:eastAsia="Yu Gothic Light"/>
        </w:rPr>
      </w:pPr>
      <w:bookmarkStart w:id="768" w:name="_Toc198787185"/>
      <w:bookmarkStart w:id="769" w:name="_Toc1057079819"/>
      <w:bookmarkStart w:id="770" w:name="_Toc199344572"/>
      <w:r w:rsidRPr="00544EA2">
        <w:rPr>
          <w:rFonts w:eastAsia="Yu Gothic Light"/>
        </w:rPr>
        <w:t>The</w:t>
      </w:r>
      <w:r w:rsidRPr="00544EA2">
        <w:rPr>
          <w:rFonts w:eastAsia="Yu Gothic Light" w:hint="eastAsia"/>
        </w:rPr>
        <w:t> </w:t>
      </w:r>
      <w:r w:rsidRPr="00E2517D">
        <w:rPr>
          <w:rFonts w:eastAsia="Yu Gothic Light"/>
        </w:rPr>
        <w:t xml:space="preserve">priority category is automatically generated by the </w:t>
      </w:r>
      <w:r w:rsidR="0060352D" w:rsidRPr="00E2517D">
        <w:rPr>
          <w:rFonts w:eastAsia="Yu Gothic Light"/>
        </w:rPr>
        <w:t>assessor portal</w:t>
      </w:r>
      <w:r w:rsidRPr="00544EA2">
        <w:rPr>
          <w:rFonts w:eastAsia="Yu Gothic Light"/>
        </w:rPr>
        <w:t xml:space="preserve"> based on the individual's circumstances, urgency rating and in accordance with the criteria specified by the </w:t>
      </w:r>
      <w:r w:rsidR="00FD4752">
        <w:rPr>
          <w:rFonts w:eastAsia="Yu Gothic Light"/>
        </w:rPr>
        <w:t xml:space="preserve">Aged Care </w:t>
      </w:r>
      <w:r w:rsidRPr="00544EA2">
        <w:rPr>
          <w:rFonts w:eastAsia="Yu Gothic Light"/>
        </w:rPr>
        <w:t>Rules</w:t>
      </w:r>
      <w:r w:rsidR="00FD4752">
        <w:rPr>
          <w:rFonts w:eastAsia="Yu Gothic Light"/>
        </w:rPr>
        <w:t xml:space="preserve"> 2025</w:t>
      </w:r>
      <w:r w:rsidR="00997361">
        <w:rPr>
          <w:rFonts w:eastAsia="Yu Gothic Light"/>
        </w:rPr>
        <w:t xml:space="preserve"> (the Rules)</w:t>
      </w:r>
      <w:r w:rsidRPr="00544EA2">
        <w:rPr>
          <w:rFonts w:eastAsia="Yu Gothic Light"/>
        </w:rPr>
        <w:t xml:space="preserve">. </w:t>
      </w:r>
    </w:p>
    <w:p w14:paraId="0536C08F" w14:textId="6A57FFB3" w:rsidR="003B0176" w:rsidRPr="00544EA2" w:rsidRDefault="003B0176" w:rsidP="00622CFF">
      <w:pPr>
        <w:spacing w:before="240" w:after="240" w:line="240" w:lineRule="auto"/>
        <w:rPr>
          <w:rFonts w:eastAsia="Yu Gothic Light"/>
        </w:rPr>
      </w:pPr>
      <w:r w:rsidRPr="00544EA2">
        <w:rPr>
          <w:rFonts w:eastAsia="Yu Gothic Light"/>
        </w:rPr>
        <w:t>Assessment Delegate</w:t>
      </w:r>
      <w:r w:rsidR="00617EA2">
        <w:rPr>
          <w:rFonts w:eastAsia="Yu Gothic Light"/>
        </w:rPr>
        <w:t>s</w:t>
      </w:r>
      <w:r w:rsidRPr="00E2517D">
        <w:rPr>
          <w:rFonts w:eastAsia="Yu Gothic Light"/>
        </w:rPr>
        <w:t xml:space="preserve"> need to verify that the urgency rating assigned to the individual accurately reflects their needs</w:t>
      </w:r>
      <w:r w:rsidRPr="00544EA2">
        <w:rPr>
          <w:rFonts w:eastAsia="Yu Gothic Light"/>
        </w:rPr>
        <w:t xml:space="preserve"> and are supported by the evidence provided.</w:t>
      </w:r>
    </w:p>
    <w:p w14:paraId="2085D1D8" w14:textId="77777777" w:rsidR="003B0176" w:rsidRPr="00544EA2" w:rsidRDefault="003B0176" w:rsidP="00C56CEC">
      <w:pPr>
        <w:pStyle w:val="H3"/>
        <w:rPr>
          <w:sz w:val="28"/>
        </w:rPr>
      </w:pPr>
      <w:bookmarkStart w:id="771" w:name="_Toc205372109"/>
      <w:bookmarkStart w:id="772" w:name="_Toc207714020"/>
      <w:r w:rsidRPr="00544EA2">
        <w:t>Urgency rating for residential care</w:t>
      </w:r>
      <w:bookmarkEnd w:id="768"/>
      <w:bookmarkEnd w:id="769"/>
      <w:bookmarkEnd w:id="770"/>
      <w:bookmarkEnd w:id="771"/>
      <w:bookmarkEnd w:id="772"/>
    </w:p>
    <w:p w14:paraId="6E7CFB32" w14:textId="76B99C31" w:rsidR="003B0176" w:rsidRPr="00544EA2" w:rsidRDefault="003B0176" w:rsidP="00622CFF">
      <w:pPr>
        <w:spacing w:before="240" w:after="240" w:line="240" w:lineRule="auto"/>
        <w:rPr>
          <w:rFonts w:eastAsia="Yu Gothic Light"/>
        </w:rPr>
      </w:pPr>
      <w:r w:rsidRPr="00544EA2">
        <w:rPr>
          <w:rFonts w:eastAsia="Yu Gothic Light"/>
        </w:rPr>
        <w:t>A person</w:t>
      </w:r>
      <w:r w:rsidRPr="00544EA2">
        <w:rPr>
          <w:rFonts w:eastAsia="Yu Gothic Light" w:hint="eastAsia"/>
        </w:rPr>
        <w:t>’</w:t>
      </w:r>
      <w:r w:rsidRPr="00544EA2">
        <w:rPr>
          <w:rFonts w:eastAsia="Yu Gothic Light"/>
        </w:rPr>
        <w:t xml:space="preserve">s urgency rating is different to their need for residential care. </w:t>
      </w:r>
    </w:p>
    <w:p w14:paraId="4BBDA08E" w14:textId="155A0B2B" w:rsidR="003B0176" w:rsidRPr="00544EA2" w:rsidRDefault="003B0176" w:rsidP="005C72A8">
      <w:pPr>
        <w:spacing w:after="0" w:line="240" w:lineRule="auto"/>
        <w:rPr>
          <w:rFonts w:eastAsia="Yu Gothic Light"/>
        </w:rPr>
      </w:pPr>
      <w:r w:rsidRPr="00544EA2">
        <w:rPr>
          <w:rFonts w:eastAsia="Yu Gothic Light"/>
        </w:rPr>
        <w:t xml:space="preserve">When selecting Residential </w:t>
      </w:r>
      <w:r w:rsidR="001C3C5C" w:rsidRPr="00544EA2">
        <w:rPr>
          <w:rFonts w:eastAsia="Yu Gothic Light"/>
        </w:rPr>
        <w:t>Permanent</w:t>
      </w:r>
      <w:r w:rsidR="001C3C5C">
        <w:rPr>
          <w:rFonts w:eastAsia="Yu Gothic Light"/>
        </w:rPr>
        <w:t xml:space="preserve"> </w:t>
      </w:r>
      <w:r w:rsidR="001C3C5C" w:rsidRPr="00544EA2">
        <w:rPr>
          <w:rFonts w:eastAsia="Yu Gothic Light"/>
        </w:rPr>
        <w:t>assessors</w:t>
      </w:r>
      <w:r w:rsidRPr="00544EA2">
        <w:rPr>
          <w:rFonts w:eastAsia="Yu Gothic Light"/>
        </w:rPr>
        <w:t xml:space="preserve"> will be required to give a response to </w:t>
      </w:r>
      <w:r w:rsidRPr="00544EA2">
        <w:rPr>
          <w:rFonts w:eastAsia="Yu Gothic Light" w:hint="eastAsia"/>
        </w:rPr>
        <w:t>‘</w:t>
      </w:r>
      <w:r w:rsidRPr="00544EA2">
        <w:rPr>
          <w:rFonts w:eastAsia="Yu Gothic Light"/>
        </w:rPr>
        <w:t>What is the urgency of this care type</w:t>
      </w:r>
      <w:r w:rsidRPr="00544EA2">
        <w:rPr>
          <w:rFonts w:eastAsia="Yu Gothic Light" w:hint="eastAsia"/>
        </w:rPr>
        <w:t>’</w:t>
      </w:r>
      <w:r w:rsidRPr="00544EA2">
        <w:rPr>
          <w:rFonts w:eastAsia="Yu Gothic Light"/>
        </w:rPr>
        <w:t xml:space="preserve">. This question is a mandatory question with a rating to be selected from high, medium or low. </w:t>
      </w:r>
    </w:p>
    <w:p w14:paraId="44C536EF" w14:textId="4F2C49DD" w:rsidR="003B0176" w:rsidRDefault="003B0176" w:rsidP="00622CFF">
      <w:pPr>
        <w:spacing w:before="240" w:after="240" w:line="240" w:lineRule="auto"/>
        <w:rPr>
          <w:rFonts w:eastAsia="Yu Gothic Light"/>
        </w:rPr>
      </w:pPr>
      <w:r w:rsidRPr="00544EA2">
        <w:rPr>
          <w:rFonts w:eastAsia="Yu Gothic Light"/>
        </w:rPr>
        <w:t>The Rules specify when an urgency rating of low, medium or high will apply to an individual in relation the classification type ongoing for residential care.</w:t>
      </w:r>
      <w:r w:rsidRPr="00544EA2">
        <w:rPr>
          <w:rFonts w:eastAsia="Arial"/>
        </w:rPr>
        <w:t xml:space="preserve"> </w:t>
      </w:r>
      <w:r w:rsidRPr="00544EA2">
        <w:rPr>
          <w:rFonts w:eastAsia="Yu Gothic Light"/>
        </w:rPr>
        <w:t>The table below summarises the criteria for each urgency rating.</w:t>
      </w:r>
    </w:p>
    <w:p w14:paraId="5CD95660" w14:textId="3A15931C" w:rsidR="003B0176" w:rsidRPr="00544EA2" w:rsidRDefault="003B0176" w:rsidP="00622CFF">
      <w:pPr>
        <w:pStyle w:val="Caption"/>
        <w:spacing w:before="240" w:after="240"/>
        <w:rPr>
          <w:rFonts w:eastAsia="Arial"/>
          <w:sz w:val="22"/>
        </w:rPr>
      </w:pPr>
      <w:r>
        <w:rPr>
          <w:rFonts w:eastAsia="Arial"/>
        </w:rPr>
        <w:t>Table 4</w:t>
      </w:r>
      <w:r w:rsidR="001C3C5C">
        <w:rPr>
          <w:rFonts w:eastAsia="Arial"/>
        </w:rPr>
        <w:t>9</w:t>
      </w:r>
      <w:r>
        <w:rPr>
          <w:rFonts w:eastAsia="Arial"/>
        </w:rPr>
        <w:t xml:space="preserve">. </w:t>
      </w:r>
      <w:r>
        <w:rPr>
          <w:rFonts w:eastAsia="Arial"/>
          <w:sz w:val="22"/>
        </w:rPr>
        <w:t xml:space="preserve">criteria for urgency ratings for residential care </w:t>
      </w:r>
    </w:p>
    <w:tbl>
      <w:tblPr>
        <w:tblStyle w:val="TableGrid"/>
        <w:tblW w:w="0" w:type="auto"/>
        <w:tblLook w:val="04A0" w:firstRow="1" w:lastRow="0" w:firstColumn="1" w:lastColumn="0" w:noHBand="0" w:noVBand="1"/>
        <w:tblCaption w:val="Criteria for urgency ratings for residential care"/>
      </w:tblPr>
      <w:tblGrid>
        <w:gridCol w:w="2547"/>
        <w:gridCol w:w="6469"/>
      </w:tblGrid>
      <w:tr w:rsidR="003B0176" w:rsidRPr="00544EA2" w14:paraId="1EDBCC07" w14:textId="77777777" w:rsidTr="005C4D4A">
        <w:trPr>
          <w:tblHeader/>
        </w:trPr>
        <w:tc>
          <w:tcPr>
            <w:tcW w:w="2547" w:type="dxa"/>
            <w:shd w:val="clear" w:color="auto" w:fill="002060"/>
          </w:tcPr>
          <w:p w14:paraId="18D37BC4" w14:textId="77777777" w:rsidR="003B0176" w:rsidRPr="00544EA2" w:rsidRDefault="003B0176" w:rsidP="00622CFF">
            <w:pPr>
              <w:spacing w:before="240" w:after="240"/>
              <w:rPr>
                <w:rFonts w:eastAsia="Yu Gothic Light"/>
                <w:b/>
              </w:rPr>
            </w:pPr>
            <w:r w:rsidRPr="00544EA2">
              <w:rPr>
                <w:rFonts w:eastAsia="Yu Gothic Light"/>
                <w:b/>
              </w:rPr>
              <w:t>Urgency rating</w:t>
            </w:r>
          </w:p>
        </w:tc>
        <w:tc>
          <w:tcPr>
            <w:tcW w:w="6469" w:type="dxa"/>
            <w:shd w:val="clear" w:color="auto" w:fill="002060"/>
          </w:tcPr>
          <w:p w14:paraId="043FCE59" w14:textId="77777777" w:rsidR="003B0176" w:rsidRPr="00544EA2" w:rsidRDefault="003B0176" w:rsidP="00622CFF">
            <w:pPr>
              <w:spacing w:before="240" w:after="240"/>
              <w:rPr>
                <w:rFonts w:eastAsia="Yu Gothic Light"/>
                <w:b/>
              </w:rPr>
            </w:pPr>
            <w:r w:rsidRPr="00544EA2">
              <w:rPr>
                <w:rFonts w:eastAsia="Yu Gothic Light"/>
                <w:b/>
              </w:rPr>
              <w:t>Description</w:t>
            </w:r>
          </w:p>
        </w:tc>
      </w:tr>
      <w:tr w:rsidR="003B0176" w:rsidRPr="00544EA2" w14:paraId="63B975E3" w14:textId="77777777">
        <w:tc>
          <w:tcPr>
            <w:tcW w:w="2547" w:type="dxa"/>
            <w:shd w:val="clear" w:color="auto" w:fill="002060"/>
          </w:tcPr>
          <w:p w14:paraId="712EFC03" w14:textId="77777777" w:rsidR="003B0176" w:rsidRPr="00544EA2" w:rsidRDefault="003B0176" w:rsidP="00622CFF">
            <w:pPr>
              <w:spacing w:before="240" w:after="240"/>
              <w:rPr>
                <w:rFonts w:eastAsia="Yu Gothic Light"/>
              </w:rPr>
            </w:pPr>
            <w:r w:rsidRPr="00544EA2">
              <w:rPr>
                <w:rFonts w:eastAsia="Yu Gothic Light"/>
              </w:rPr>
              <w:t>High urgency</w:t>
            </w:r>
          </w:p>
        </w:tc>
        <w:tc>
          <w:tcPr>
            <w:tcW w:w="6469" w:type="dxa"/>
          </w:tcPr>
          <w:p w14:paraId="3286E644" w14:textId="77777777" w:rsidR="003B0176" w:rsidRPr="00544EA2" w:rsidRDefault="003B0176" w:rsidP="00622CFF">
            <w:pPr>
              <w:spacing w:before="240" w:after="240"/>
              <w:rPr>
                <w:rFonts w:eastAsia="Yu Gothic Light"/>
                <w:b/>
              </w:rPr>
            </w:pPr>
            <w:r w:rsidRPr="00544EA2">
              <w:rPr>
                <w:rFonts w:eastAsia="Yu Gothic Light"/>
                <w:b/>
              </w:rPr>
              <w:t xml:space="preserve">This rating applies if: </w:t>
            </w:r>
          </w:p>
          <w:p w14:paraId="7C3C9D2F" w14:textId="77777777" w:rsidR="003B0176" w:rsidRPr="00544EA2" w:rsidRDefault="003B0176" w:rsidP="00DF3F6B">
            <w:pPr>
              <w:numPr>
                <w:ilvl w:val="0"/>
                <w:numId w:val="195"/>
              </w:numPr>
              <w:spacing w:before="240" w:after="240"/>
              <w:contextualSpacing/>
              <w:rPr>
                <w:rFonts w:eastAsia="Yu Gothic Light"/>
              </w:rPr>
            </w:pPr>
            <w:r w:rsidRPr="00544EA2">
              <w:rPr>
                <w:rFonts w:eastAsia="Yu Gothic Light"/>
              </w:rPr>
              <w:t>The individual has a need for immediate access to ongoing funded aged care services delivered in an approved residential care home which, if not met, may place the individual</w:t>
            </w:r>
            <w:r w:rsidRPr="00544EA2">
              <w:rPr>
                <w:rFonts w:eastAsia="Yu Gothic Light" w:hint="eastAsia"/>
              </w:rPr>
              <w:t>’</w:t>
            </w:r>
            <w:r w:rsidRPr="00544EA2">
              <w:rPr>
                <w:rFonts w:eastAsia="Yu Gothic Light"/>
              </w:rPr>
              <w:t xml:space="preserve">s safety, health or wellbeing at risk.  </w:t>
            </w:r>
          </w:p>
          <w:p w14:paraId="3C671626" w14:textId="77777777" w:rsidR="003B0176" w:rsidRPr="00544EA2" w:rsidRDefault="003B0176" w:rsidP="00622CFF">
            <w:pPr>
              <w:spacing w:before="240" w:after="240"/>
              <w:rPr>
                <w:rFonts w:eastAsia="Yu Gothic Light"/>
                <w:b/>
              </w:rPr>
            </w:pPr>
          </w:p>
          <w:p w14:paraId="59C9963B" w14:textId="77777777" w:rsidR="003B0176" w:rsidRPr="00544EA2" w:rsidRDefault="003B0176" w:rsidP="00622CFF">
            <w:pPr>
              <w:spacing w:before="240" w:after="240"/>
              <w:rPr>
                <w:rFonts w:eastAsia="Yu Gothic Light"/>
              </w:rPr>
            </w:pPr>
            <w:r w:rsidRPr="00544EA2">
              <w:rPr>
                <w:rFonts w:eastAsia="Yu Gothic Light"/>
                <w:b/>
              </w:rPr>
              <w:t>Indicators</w:t>
            </w:r>
            <w:r w:rsidRPr="00544EA2">
              <w:rPr>
                <w:rFonts w:eastAsia="Yu Gothic Light"/>
              </w:rPr>
              <w:t>: Recent falls, hospital admission, unsafe to return home, severe decline.</w:t>
            </w:r>
          </w:p>
          <w:p w14:paraId="6900EE0E" w14:textId="1F93671D" w:rsidR="003B0176" w:rsidRPr="00544EA2" w:rsidRDefault="003B0176" w:rsidP="00622CFF">
            <w:pPr>
              <w:spacing w:before="240" w:after="240"/>
              <w:rPr>
                <w:rFonts w:eastAsia="Yu Gothic Light"/>
              </w:rPr>
            </w:pPr>
            <w:r w:rsidRPr="00544EA2">
              <w:rPr>
                <w:rFonts w:eastAsia="Yu Gothic Light"/>
                <w:b/>
              </w:rPr>
              <w:t>Example</w:t>
            </w:r>
            <w:r w:rsidRPr="00544EA2">
              <w:rPr>
                <w:rFonts w:eastAsia="Yu Gothic Light"/>
              </w:rPr>
              <w:t>: A client in hospital post-fall who lives alone and whose needs exceed Home Care supports.</w:t>
            </w:r>
          </w:p>
        </w:tc>
      </w:tr>
      <w:tr w:rsidR="003B0176" w:rsidRPr="00544EA2" w14:paraId="797290EB" w14:textId="77777777">
        <w:tc>
          <w:tcPr>
            <w:tcW w:w="2547" w:type="dxa"/>
            <w:shd w:val="clear" w:color="auto" w:fill="002060"/>
          </w:tcPr>
          <w:p w14:paraId="5CEC6765" w14:textId="77777777" w:rsidR="003B0176" w:rsidRPr="00544EA2" w:rsidRDefault="003B0176" w:rsidP="00622CFF">
            <w:pPr>
              <w:spacing w:before="240" w:after="240"/>
              <w:rPr>
                <w:rFonts w:eastAsia="Yu Gothic Light"/>
              </w:rPr>
            </w:pPr>
            <w:r w:rsidRPr="00544EA2">
              <w:rPr>
                <w:rFonts w:eastAsia="Yu Gothic Light"/>
              </w:rPr>
              <w:t>Medium urgency</w:t>
            </w:r>
          </w:p>
        </w:tc>
        <w:tc>
          <w:tcPr>
            <w:tcW w:w="6469" w:type="dxa"/>
          </w:tcPr>
          <w:p w14:paraId="7447770A" w14:textId="77777777" w:rsidR="003B0176" w:rsidRPr="00544EA2" w:rsidRDefault="003B0176" w:rsidP="00622CFF">
            <w:pPr>
              <w:spacing w:before="240" w:after="240"/>
              <w:rPr>
                <w:rFonts w:eastAsia="Yu Gothic Light"/>
                <w:b/>
              </w:rPr>
            </w:pPr>
            <w:r w:rsidRPr="00544EA2">
              <w:rPr>
                <w:rFonts w:eastAsia="Yu Gothic Light"/>
                <w:b/>
              </w:rPr>
              <w:t>This rating applies if:</w:t>
            </w:r>
          </w:p>
          <w:p w14:paraId="74AEA34E" w14:textId="77777777" w:rsidR="003B0176" w:rsidRPr="00544EA2" w:rsidRDefault="003B0176" w:rsidP="00DF3F6B">
            <w:pPr>
              <w:numPr>
                <w:ilvl w:val="0"/>
                <w:numId w:val="196"/>
              </w:numPr>
              <w:spacing w:before="240" w:after="240"/>
              <w:contextualSpacing/>
              <w:rPr>
                <w:rFonts w:eastAsia="Yu Gothic Light"/>
              </w:rPr>
            </w:pPr>
            <w:r w:rsidRPr="00544EA2">
              <w:rPr>
                <w:rFonts w:eastAsia="Yu Gothic Light"/>
              </w:rPr>
              <w:t>The circumstances for a high urgency rating do not apply to the individual; and</w:t>
            </w:r>
          </w:p>
          <w:p w14:paraId="6ABBDE18" w14:textId="77777777" w:rsidR="003B0176" w:rsidRPr="00544EA2" w:rsidRDefault="003B0176" w:rsidP="00DF3F6B">
            <w:pPr>
              <w:numPr>
                <w:ilvl w:val="0"/>
                <w:numId w:val="196"/>
              </w:numPr>
              <w:spacing w:before="240" w:after="240"/>
              <w:contextualSpacing/>
              <w:rPr>
                <w:rFonts w:eastAsia="Yu Gothic Light"/>
              </w:rPr>
            </w:pPr>
            <w:r w:rsidRPr="00544EA2">
              <w:rPr>
                <w:rFonts w:eastAsia="Yu Gothic Light"/>
              </w:rPr>
              <w:t>When considering the individual</w:t>
            </w:r>
            <w:r w:rsidRPr="00544EA2">
              <w:rPr>
                <w:rFonts w:eastAsia="Yu Gothic Light" w:hint="eastAsia"/>
              </w:rPr>
              <w:t>’</w:t>
            </w:r>
            <w:r w:rsidRPr="00544EA2">
              <w:rPr>
                <w:rFonts w:eastAsia="Yu Gothic Light"/>
              </w:rPr>
              <w:t>s circumstances and preferences, the individual is expected to seek access to permanent residential care within the next 6 months.</w:t>
            </w:r>
          </w:p>
          <w:p w14:paraId="44443B2D" w14:textId="77777777" w:rsidR="003B0176" w:rsidRPr="00544EA2" w:rsidRDefault="003B0176" w:rsidP="00622CFF">
            <w:pPr>
              <w:spacing w:before="240" w:after="240"/>
              <w:rPr>
                <w:rFonts w:eastAsia="Yu Gothic Light"/>
                <w:b/>
              </w:rPr>
            </w:pPr>
          </w:p>
          <w:p w14:paraId="089EFBE0" w14:textId="77777777" w:rsidR="003B0176" w:rsidRPr="00544EA2" w:rsidRDefault="003B0176" w:rsidP="00622CFF">
            <w:pPr>
              <w:spacing w:before="240" w:after="240"/>
              <w:rPr>
                <w:rFonts w:eastAsia="Yu Gothic Light"/>
              </w:rPr>
            </w:pPr>
            <w:r w:rsidRPr="00544EA2">
              <w:rPr>
                <w:rFonts w:eastAsia="Yu Gothic Light"/>
                <w:b/>
              </w:rPr>
              <w:t>Indicators</w:t>
            </w:r>
            <w:r w:rsidRPr="00544EA2">
              <w:rPr>
                <w:rFonts w:eastAsia="Yu Gothic Light"/>
              </w:rPr>
              <w:t>: Declining function, rising carer stress, complex but not urgent risks.</w:t>
            </w:r>
          </w:p>
          <w:p w14:paraId="44472C12" w14:textId="42A39DBF" w:rsidR="003B0176" w:rsidRPr="00544EA2" w:rsidRDefault="003B0176" w:rsidP="00622CFF">
            <w:pPr>
              <w:spacing w:before="240" w:after="240"/>
              <w:rPr>
                <w:rFonts w:eastAsia="Yu Gothic Light"/>
              </w:rPr>
            </w:pPr>
            <w:r w:rsidRPr="00544EA2">
              <w:rPr>
                <w:rFonts w:eastAsia="Yu Gothic Light"/>
                <w:b/>
              </w:rPr>
              <w:t>Example</w:t>
            </w:r>
            <w:r w:rsidRPr="00544EA2">
              <w:rPr>
                <w:rFonts w:eastAsia="Yu Gothic Light"/>
              </w:rPr>
              <w:t>: A client with moderate incontinence and cognition issues whose carer is overwhelmed.</w:t>
            </w:r>
          </w:p>
        </w:tc>
      </w:tr>
      <w:tr w:rsidR="003B0176" w:rsidRPr="00544EA2" w14:paraId="6D7ABD2E" w14:textId="77777777">
        <w:tc>
          <w:tcPr>
            <w:tcW w:w="2547" w:type="dxa"/>
            <w:shd w:val="clear" w:color="auto" w:fill="002060"/>
          </w:tcPr>
          <w:p w14:paraId="3B2E742B" w14:textId="77777777" w:rsidR="003B0176" w:rsidRPr="00544EA2" w:rsidRDefault="003B0176" w:rsidP="00622CFF">
            <w:pPr>
              <w:spacing w:before="240" w:after="240"/>
              <w:rPr>
                <w:rFonts w:eastAsia="Yu Gothic Light"/>
              </w:rPr>
            </w:pPr>
            <w:r w:rsidRPr="00544EA2">
              <w:rPr>
                <w:rFonts w:eastAsia="Yu Gothic Light"/>
              </w:rPr>
              <w:t>Low urgency</w:t>
            </w:r>
          </w:p>
        </w:tc>
        <w:tc>
          <w:tcPr>
            <w:tcW w:w="6469" w:type="dxa"/>
          </w:tcPr>
          <w:p w14:paraId="002B6593" w14:textId="77777777" w:rsidR="003B0176" w:rsidRPr="00544EA2" w:rsidRDefault="003B0176" w:rsidP="00622CFF">
            <w:pPr>
              <w:spacing w:before="240" w:after="240"/>
              <w:rPr>
                <w:rFonts w:eastAsia="Yu Gothic Light"/>
              </w:rPr>
            </w:pPr>
            <w:r w:rsidRPr="00544EA2">
              <w:rPr>
                <w:rFonts w:eastAsia="Yu Gothic Light"/>
                <w:b/>
              </w:rPr>
              <w:t>This rating applies if</w:t>
            </w:r>
            <w:r w:rsidRPr="00544EA2">
              <w:rPr>
                <w:rFonts w:eastAsia="Yu Gothic Light"/>
              </w:rPr>
              <w:t xml:space="preserve">: </w:t>
            </w:r>
          </w:p>
          <w:p w14:paraId="1BE4649D" w14:textId="77777777" w:rsidR="003B0176" w:rsidRPr="00544EA2" w:rsidRDefault="003B0176" w:rsidP="00DF3F6B">
            <w:pPr>
              <w:numPr>
                <w:ilvl w:val="0"/>
                <w:numId w:val="196"/>
              </w:numPr>
              <w:spacing w:before="240" w:after="240"/>
              <w:contextualSpacing/>
              <w:rPr>
                <w:rFonts w:eastAsia="Yu Gothic Light"/>
              </w:rPr>
            </w:pPr>
            <w:r w:rsidRPr="00544EA2">
              <w:rPr>
                <w:rFonts w:eastAsia="Yu Gothic Light"/>
              </w:rPr>
              <w:t xml:space="preserve">The circumstances for a high or medium urgency rating do not apply to the individual.  </w:t>
            </w:r>
          </w:p>
          <w:p w14:paraId="23F494F5" w14:textId="77777777" w:rsidR="003B0176" w:rsidRPr="00544EA2" w:rsidRDefault="003B0176" w:rsidP="00622CFF">
            <w:pPr>
              <w:spacing w:before="240" w:after="240"/>
              <w:rPr>
                <w:rFonts w:eastAsia="Yu Gothic Light"/>
                <w:b/>
              </w:rPr>
            </w:pPr>
          </w:p>
          <w:p w14:paraId="79034C86" w14:textId="77777777" w:rsidR="003B0176" w:rsidRPr="00544EA2" w:rsidRDefault="003B0176" w:rsidP="00622CFF">
            <w:pPr>
              <w:spacing w:before="240" w:after="240"/>
              <w:rPr>
                <w:rFonts w:eastAsia="Yu Gothic Light"/>
              </w:rPr>
            </w:pPr>
            <w:r w:rsidRPr="00544EA2">
              <w:rPr>
                <w:rFonts w:eastAsia="Yu Gothic Light"/>
                <w:b/>
              </w:rPr>
              <w:t>Indicators</w:t>
            </w:r>
            <w:r w:rsidRPr="00544EA2">
              <w:rPr>
                <w:rFonts w:eastAsia="Yu Gothic Light"/>
              </w:rPr>
              <w:t>: Some decline, minor falls, current supports are working, client prefers to delay move.</w:t>
            </w:r>
          </w:p>
          <w:p w14:paraId="03B5B8AF" w14:textId="34BF2450" w:rsidR="003B0176" w:rsidRPr="00544EA2" w:rsidRDefault="003B0176" w:rsidP="00622CFF">
            <w:pPr>
              <w:spacing w:before="240" w:after="240"/>
              <w:rPr>
                <w:rFonts w:eastAsia="Yu Gothic Light"/>
              </w:rPr>
            </w:pPr>
            <w:r w:rsidRPr="00544EA2">
              <w:rPr>
                <w:rFonts w:eastAsia="Yu Gothic Light"/>
                <w:b/>
              </w:rPr>
              <w:t>Example</w:t>
            </w:r>
            <w:r w:rsidRPr="00544EA2">
              <w:rPr>
                <w:rFonts w:eastAsia="Yu Gothic Light"/>
              </w:rPr>
              <w:t>: A client managing at home with informal support but thinking about future needs.</w:t>
            </w:r>
          </w:p>
        </w:tc>
      </w:tr>
    </w:tbl>
    <w:p w14:paraId="79856EA2" w14:textId="7E36785F" w:rsidR="003B0176" w:rsidRPr="00544EA2" w:rsidRDefault="00DC27ED" w:rsidP="00C325C6">
      <w:pPr>
        <w:pStyle w:val="Sub-headings"/>
      </w:pPr>
      <w:r w:rsidRPr="00005E87">
        <w:t>Note</w:t>
      </w:r>
      <w:r w:rsidR="003B0176" w:rsidRPr="00544EA2">
        <w:t>: The</w:t>
      </w:r>
      <w:r w:rsidR="003B0176" w:rsidRPr="00544EA2">
        <w:rPr>
          <w:rFonts w:hint="eastAsia"/>
        </w:rPr>
        <w:t> </w:t>
      </w:r>
      <w:r w:rsidR="003B0176" w:rsidRPr="001F5A15">
        <w:t>urgency rating</w:t>
      </w:r>
      <w:r w:rsidR="003B0176" w:rsidRPr="00DC27ED">
        <w:rPr>
          <w:rFonts w:hint="eastAsia"/>
        </w:rPr>
        <w:t> </w:t>
      </w:r>
      <w:r w:rsidR="003B0176" w:rsidRPr="00DC27ED">
        <w:t>reflects</w:t>
      </w:r>
      <w:r w:rsidR="003B0176" w:rsidRPr="00DC27ED">
        <w:rPr>
          <w:rFonts w:hint="eastAsia"/>
        </w:rPr>
        <w:t> </w:t>
      </w:r>
      <w:r w:rsidR="003B0176" w:rsidRPr="001F5A15">
        <w:t>how soon</w:t>
      </w:r>
      <w:r w:rsidR="003B0176" w:rsidRPr="00544EA2">
        <w:rPr>
          <w:rFonts w:hint="eastAsia"/>
        </w:rPr>
        <w:t> </w:t>
      </w:r>
      <w:r w:rsidR="003B0176" w:rsidRPr="00544EA2">
        <w:t xml:space="preserve">an individual needs residential care to avoid significant risk to their health or safety. This is separate from whether they </w:t>
      </w:r>
      <w:r w:rsidR="003B0176" w:rsidRPr="00544EA2">
        <w:rPr>
          <w:i/>
        </w:rPr>
        <w:t>require residential care</w:t>
      </w:r>
      <w:r w:rsidR="003B0176" w:rsidRPr="00544EA2">
        <w:rPr>
          <w:rFonts w:hint="eastAsia"/>
        </w:rPr>
        <w:t> </w:t>
      </w:r>
      <w:r w:rsidR="003B0176" w:rsidRPr="00544EA2">
        <w:t>or have</w:t>
      </w:r>
      <w:r w:rsidR="003B0176" w:rsidRPr="00544EA2">
        <w:rPr>
          <w:rFonts w:hint="eastAsia"/>
        </w:rPr>
        <w:t> </w:t>
      </w:r>
      <w:r w:rsidR="003B0176" w:rsidRPr="00544EA2">
        <w:rPr>
          <w:i/>
        </w:rPr>
        <w:t>high-level care needs</w:t>
      </w:r>
      <w:r w:rsidR="003B0176" w:rsidRPr="00544EA2">
        <w:rPr>
          <w:rFonts w:hint="eastAsia"/>
        </w:rPr>
        <w:t>—</w:t>
      </w:r>
      <w:r w:rsidR="003B0176" w:rsidRPr="00544EA2">
        <w:t>it's about the</w:t>
      </w:r>
      <w:r w:rsidR="003B0176" w:rsidRPr="00544EA2">
        <w:rPr>
          <w:rFonts w:hint="eastAsia"/>
        </w:rPr>
        <w:t> </w:t>
      </w:r>
      <w:r w:rsidR="003B0176" w:rsidRPr="00544EA2">
        <w:rPr>
          <w:i/>
        </w:rPr>
        <w:t>timing</w:t>
      </w:r>
      <w:r w:rsidR="003B0176" w:rsidRPr="00544EA2">
        <w:rPr>
          <w:rFonts w:hint="eastAsia"/>
        </w:rPr>
        <w:t> </w:t>
      </w:r>
      <w:r w:rsidR="003B0176" w:rsidRPr="00544EA2">
        <w:t>of that need.</w:t>
      </w:r>
    </w:p>
    <w:p w14:paraId="4DD0B619" w14:textId="7CF0A41B" w:rsidR="003B0176" w:rsidRPr="0091198E" w:rsidRDefault="003B0176" w:rsidP="005C72A8">
      <w:pPr>
        <w:spacing w:before="240" w:after="240" w:line="240" w:lineRule="auto"/>
        <w:rPr>
          <w:rFonts w:eastAsia="Yu Gothic Light"/>
        </w:rPr>
      </w:pPr>
      <w:r w:rsidRPr="00544EA2">
        <w:rPr>
          <w:rFonts w:eastAsia="Yu Gothic Light"/>
        </w:rPr>
        <w:t xml:space="preserve">Assessors </w:t>
      </w:r>
      <w:r w:rsidR="00C72FB4">
        <w:rPr>
          <w:rFonts w:eastAsia="Yu Gothic Light"/>
        </w:rPr>
        <w:t>are expected to select</w:t>
      </w:r>
      <w:r w:rsidRPr="00544EA2">
        <w:rPr>
          <w:rFonts w:eastAsia="Yu Gothic Light"/>
        </w:rPr>
        <w:t xml:space="preserve"> the rating</w:t>
      </w:r>
      <w:r w:rsidRPr="00544EA2" w:rsidDel="00237440">
        <w:rPr>
          <w:rFonts w:eastAsia="Yu Gothic Light"/>
        </w:rPr>
        <w:t xml:space="preserve"> </w:t>
      </w:r>
      <w:r w:rsidRPr="00544EA2">
        <w:rPr>
          <w:rFonts w:eastAsia="Yu Gothic Light"/>
        </w:rPr>
        <w:t>which balances objective consideration of needs with the subjective perspective of the older person</w:t>
      </w:r>
      <w:r w:rsidR="000F0A89">
        <w:rPr>
          <w:rFonts w:eastAsia="Yu Gothic Light"/>
        </w:rPr>
        <w:t xml:space="preserve"> and/or appointed decision maker/s</w:t>
      </w:r>
      <w:r w:rsidRPr="00544EA2">
        <w:rPr>
          <w:rFonts w:eastAsia="Yu Gothic Light"/>
        </w:rPr>
        <w:t xml:space="preserve">. Assessors should include a brief note in the </w:t>
      </w:r>
      <w:r w:rsidRPr="00544EA2">
        <w:rPr>
          <w:rFonts w:eastAsia="Yu Gothic Light"/>
          <w:i/>
        </w:rPr>
        <w:t>reason or comments</w:t>
      </w:r>
      <w:r w:rsidRPr="00544EA2">
        <w:rPr>
          <w:rFonts w:eastAsia="Yu Gothic Light"/>
        </w:rPr>
        <w:t xml:space="preserve"> section explaining key reasons for the rating</w:t>
      </w:r>
      <w:r w:rsidR="00C72FB4">
        <w:rPr>
          <w:rFonts w:eastAsia="Yu Gothic Light"/>
        </w:rPr>
        <w:t xml:space="preserve">. See Chapter </w:t>
      </w:r>
      <w:r w:rsidR="005535D5">
        <w:rPr>
          <w:rFonts w:eastAsia="Yu Gothic Light"/>
        </w:rPr>
        <w:fldChar w:fldCharType="begin"/>
      </w:r>
      <w:r w:rsidR="005535D5">
        <w:rPr>
          <w:rFonts w:eastAsia="Yu Gothic Light"/>
        </w:rPr>
        <w:instrText xml:space="preserve"> REF _Ref212736248 \w \h </w:instrText>
      </w:r>
      <w:r w:rsidR="005535D5">
        <w:rPr>
          <w:rFonts w:eastAsia="Yu Gothic Light"/>
        </w:rPr>
      </w:r>
      <w:r w:rsidR="005535D5">
        <w:rPr>
          <w:rFonts w:eastAsia="Yu Gothic Light"/>
        </w:rPr>
        <w:fldChar w:fldCharType="separate"/>
      </w:r>
      <w:r w:rsidR="00F97942">
        <w:rPr>
          <w:rFonts w:eastAsia="Yu Gothic Light"/>
        </w:rPr>
        <w:t>6</w:t>
      </w:r>
      <w:r w:rsidR="005535D5">
        <w:rPr>
          <w:rFonts w:eastAsia="Yu Gothic Light"/>
        </w:rPr>
        <w:fldChar w:fldCharType="end"/>
      </w:r>
      <w:r w:rsidR="00C72FB4">
        <w:rPr>
          <w:rFonts w:eastAsia="Yu Gothic Light"/>
        </w:rPr>
        <w:t xml:space="preserve"> for more </w:t>
      </w:r>
      <w:r w:rsidR="00DA57FF">
        <w:rPr>
          <w:rFonts w:eastAsia="Yu Gothic Light"/>
        </w:rPr>
        <w:t xml:space="preserve">information. </w:t>
      </w:r>
    </w:p>
    <w:p w14:paraId="5AE6B7D2" w14:textId="77777777" w:rsidR="003B0176" w:rsidRPr="00544EA2" w:rsidRDefault="003B0176" w:rsidP="00622CFF">
      <w:pPr>
        <w:spacing w:before="240" w:after="240" w:line="240" w:lineRule="auto"/>
        <w:ind w:left="720"/>
        <w:contextualSpacing/>
        <w:rPr>
          <w:rFonts w:eastAsia="Yu Gothic Light"/>
        </w:rPr>
      </w:pPr>
    </w:p>
    <w:p w14:paraId="6026CBDA" w14:textId="15252C26" w:rsidR="003B0176" w:rsidRPr="00544EA2" w:rsidRDefault="003B0176" w:rsidP="00507F9D">
      <w:pPr>
        <w:pStyle w:val="h2"/>
      </w:pPr>
      <w:bookmarkStart w:id="773" w:name="_Toc209189029"/>
      <w:bookmarkStart w:id="774" w:name="_Toc224916686"/>
      <w:r w:rsidRPr="00544EA2">
        <w:t xml:space="preserve">Approving </w:t>
      </w:r>
      <w:r w:rsidR="008F2262">
        <w:t>r</w:t>
      </w:r>
      <w:r w:rsidRPr="00544EA2">
        <w:t xml:space="preserve">esidential </w:t>
      </w:r>
      <w:r w:rsidR="008F2262">
        <w:t>r</w:t>
      </w:r>
      <w:r w:rsidRPr="00544EA2">
        <w:t xml:space="preserve">espite </w:t>
      </w:r>
      <w:r w:rsidR="008F2262">
        <w:t>c</w:t>
      </w:r>
      <w:r w:rsidRPr="00544EA2">
        <w:t>are</w:t>
      </w:r>
      <w:bookmarkEnd w:id="773"/>
      <w:bookmarkEnd w:id="774"/>
    </w:p>
    <w:p w14:paraId="4B675EDC" w14:textId="77777777" w:rsidR="003B0176" w:rsidRPr="00544EA2" w:rsidRDefault="003B0176" w:rsidP="00C56CEC">
      <w:pPr>
        <w:pStyle w:val="H3"/>
      </w:pPr>
      <w:bookmarkStart w:id="775" w:name="_Toc198787188"/>
      <w:bookmarkStart w:id="776" w:name="_Toc84860350"/>
      <w:bookmarkStart w:id="777" w:name="_Toc199344575"/>
      <w:bookmarkStart w:id="778" w:name="_Toc205372112"/>
      <w:bookmarkStart w:id="779" w:name="_Toc207714023"/>
      <w:r w:rsidRPr="00544EA2">
        <w:t>Step 1. Decide if the older person requires short-term residential care</w:t>
      </w:r>
      <w:bookmarkEnd w:id="775"/>
      <w:bookmarkEnd w:id="776"/>
      <w:bookmarkEnd w:id="777"/>
      <w:bookmarkEnd w:id="778"/>
      <w:bookmarkEnd w:id="779"/>
    </w:p>
    <w:p w14:paraId="57AEF0A4" w14:textId="4EC81065" w:rsidR="003B0176" w:rsidRPr="00544EA2" w:rsidRDefault="003B0176" w:rsidP="00622CFF">
      <w:pPr>
        <w:spacing w:before="240" w:after="240" w:line="240" w:lineRule="auto"/>
        <w:rPr>
          <w:rFonts w:eastAsia="Yu Gothic Light"/>
        </w:rPr>
      </w:pPr>
      <w:r w:rsidRPr="00544EA2">
        <w:rPr>
          <w:rFonts w:eastAsia="Yu Gothic Light"/>
        </w:rPr>
        <w:t xml:space="preserve">Like permanent (ongoing) residential care, residential respite is delivered through the service group </w:t>
      </w:r>
      <w:r w:rsidRPr="00687E6F">
        <w:rPr>
          <w:rFonts w:eastAsia="Yu Gothic Light"/>
        </w:rPr>
        <w:t>residential care</w:t>
      </w:r>
      <w:r w:rsidRPr="00544EA2">
        <w:rPr>
          <w:rFonts w:eastAsia="Yu Gothic Light"/>
        </w:rPr>
        <w:t>. Access to residential respite requires an access approval for the</w:t>
      </w:r>
      <w:r w:rsidRPr="00544EA2">
        <w:rPr>
          <w:rFonts w:eastAsia="Yu Gothic Light" w:hint="eastAsia"/>
        </w:rPr>
        <w:t> </w:t>
      </w:r>
      <w:r w:rsidRPr="00687E6F">
        <w:rPr>
          <w:rFonts w:eastAsia="Yu Gothic Light"/>
        </w:rPr>
        <w:t>short-term</w:t>
      </w:r>
      <w:r w:rsidRPr="00544EA2">
        <w:rPr>
          <w:rFonts w:eastAsia="Yu Gothic Light" w:hint="eastAsia"/>
        </w:rPr>
        <w:t> </w:t>
      </w:r>
      <w:r w:rsidRPr="00544EA2">
        <w:rPr>
          <w:rFonts w:eastAsia="Yu Gothic Light"/>
        </w:rPr>
        <w:t xml:space="preserve">classification type. It is provided by registered providers in approved residential care homes. </w:t>
      </w:r>
    </w:p>
    <w:p w14:paraId="6D52B1CC" w14:textId="6C29C0E5"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residential care, </w:t>
      </w:r>
      <w:r w:rsidR="00A47968">
        <w:rPr>
          <w:rFonts w:eastAsia="Yu Gothic Light"/>
        </w:rPr>
        <w:t>assessment delegates</w:t>
      </w:r>
      <w:r w:rsidRPr="00544EA2">
        <w:rPr>
          <w:rFonts w:eastAsia="Yu Gothic Light"/>
        </w:rPr>
        <w:t xml:space="preserve"> first need to decide if an older person requires and is eligible to access this service group. </w:t>
      </w:r>
    </w:p>
    <w:p w14:paraId="187BC05E" w14:textId="76A92AEE" w:rsidR="003B0176" w:rsidRPr="00544EA2" w:rsidRDefault="003B0176" w:rsidP="00622CFF">
      <w:pPr>
        <w:spacing w:before="240" w:after="240" w:line="240" w:lineRule="auto"/>
        <w:rPr>
          <w:rFonts w:eastAsia="Yu Gothic Light"/>
        </w:rPr>
      </w:pPr>
      <w:r w:rsidRPr="00544EA2">
        <w:rPr>
          <w:rFonts w:eastAsia="Yu Gothic Light"/>
        </w:rPr>
        <w:t xml:space="preserve">There is one key point </w:t>
      </w:r>
      <w:r w:rsidR="00A47968">
        <w:rPr>
          <w:rFonts w:eastAsia="Yu Gothic Light"/>
        </w:rPr>
        <w:t>to</w:t>
      </w:r>
      <w:r w:rsidRPr="00544EA2">
        <w:rPr>
          <w:rFonts w:eastAsia="Yu Gothic Light"/>
        </w:rPr>
        <w:t xml:space="preserve"> remember when deciding on access for older </w:t>
      </w:r>
      <w:r w:rsidR="008C4566">
        <w:rPr>
          <w:rFonts w:eastAsia="Yu Gothic Light"/>
        </w:rPr>
        <w:t>non-</w:t>
      </w:r>
      <w:r w:rsidRPr="00544EA2">
        <w:rPr>
          <w:rFonts w:eastAsia="Yu Gothic Light"/>
        </w:rPr>
        <w:t>Aboriginal or Torres Strait Islander</w:t>
      </w:r>
      <w:r w:rsidR="001517E2">
        <w:rPr>
          <w:rFonts w:eastAsia="Yu Gothic Light"/>
        </w:rPr>
        <w:t xml:space="preserve"> people</w:t>
      </w:r>
      <w:r w:rsidRPr="00544EA2">
        <w:rPr>
          <w:rFonts w:eastAsia="Yu Gothic Light"/>
        </w:rPr>
        <w:t>.</w:t>
      </w:r>
      <w:r w:rsidRPr="00544EA2">
        <w:rPr>
          <w:rFonts w:eastAsia="Yu Gothic Light"/>
          <w:b/>
        </w:rPr>
        <w:t xml:space="preserve"> Section 68 </w:t>
      </w:r>
      <w:r w:rsidRPr="00544EA2">
        <w:rPr>
          <w:rFonts w:eastAsia="Yu Gothic Light"/>
        </w:rPr>
        <w:t xml:space="preserve">of the </w:t>
      </w:r>
      <w:r w:rsidR="00EE3CC2">
        <w:rPr>
          <w:rFonts w:eastAsia="Yu Gothic Light"/>
        </w:rPr>
        <w:t xml:space="preserve">Aged Care </w:t>
      </w:r>
      <w:r w:rsidRPr="00544EA2">
        <w:rPr>
          <w:rFonts w:eastAsia="Yu Gothic Light"/>
        </w:rPr>
        <w:t>Act</w:t>
      </w:r>
      <w:r w:rsidR="00EE3CC2">
        <w:rPr>
          <w:rFonts w:eastAsia="Yu Gothic Light"/>
        </w:rPr>
        <w:t xml:space="preserve"> 2024 (the Act)</w:t>
      </w:r>
      <w:r w:rsidRPr="00544EA2">
        <w:rPr>
          <w:rFonts w:eastAsia="Yu Gothic Light"/>
          <w:b/>
        </w:rPr>
        <w:t xml:space="preserve"> </w:t>
      </w:r>
      <w:r w:rsidRPr="00544EA2">
        <w:rPr>
          <w:rFonts w:eastAsia="Yu Gothic Light"/>
        </w:rPr>
        <w:t xml:space="preserve">requires these older people to have a continuing need for funded aged care services (including nursing) because of sickness in order to access the residential care service group. This requirement is </w:t>
      </w:r>
      <w:r w:rsidRPr="0035699B">
        <w:rPr>
          <w:rFonts w:eastAsia="Yu Gothic Light"/>
        </w:rPr>
        <w:t>also applicable to time-limited approvals</w:t>
      </w:r>
      <w:r w:rsidRPr="00544EA2">
        <w:rPr>
          <w:rFonts w:eastAsia="Yu Gothic Light"/>
        </w:rPr>
        <w:t xml:space="preserve"> including residential respite care. As an Assessment Delegate approving an individual for residential respite care </w:t>
      </w:r>
      <w:r w:rsidR="0017422B">
        <w:rPr>
          <w:rFonts w:eastAsia="Yu Gothic Light"/>
        </w:rPr>
        <w:t>assessment,</w:t>
      </w:r>
      <w:r w:rsidR="00A47968">
        <w:rPr>
          <w:rFonts w:eastAsia="Yu Gothic Light"/>
        </w:rPr>
        <w:t xml:space="preserve"> </w:t>
      </w:r>
      <w:r w:rsidR="00E5556F">
        <w:rPr>
          <w:rFonts w:eastAsia="Yu Gothic Light"/>
        </w:rPr>
        <w:t>they</w:t>
      </w:r>
      <w:r w:rsidR="00E5556F" w:rsidRPr="00544EA2">
        <w:rPr>
          <w:rFonts w:eastAsia="Yu Gothic Light"/>
        </w:rPr>
        <w:t xml:space="preserve"> </w:t>
      </w:r>
      <w:r w:rsidRPr="00544EA2">
        <w:rPr>
          <w:rFonts w:eastAsia="Yu Gothic Light"/>
        </w:rPr>
        <w:t xml:space="preserve">need to be satisfied that </w:t>
      </w:r>
      <w:r w:rsidR="001C2357">
        <w:rPr>
          <w:rFonts w:eastAsia="Yu Gothic Light"/>
        </w:rPr>
        <w:t>an older person’s</w:t>
      </w:r>
      <w:r w:rsidR="001C2357" w:rsidRPr="00544EA2">
        <w:rPr>
          <w:rFonts w:eastAsia="Yu Gothic Light"/>
        </w:rPr>
        <w:t xml:space="preserve"> </w:t>
      </w:r>
      <w:r w:rsidRPr="0035699B">
        <w:rPr>
          <w:rFonts w:eastAsia="Yu Gothic Light"/>
        </w:rPr>
        <w:t>sickness at the time of the assessment</w:t>
      </w:r>
      <w:r w:rsidRPr="00544EA2">
        <w:rPr>
          <w:rFonts w:eastAsia="Yu Gothic Light"/>
        </w:rPr>
        <w:t xml:space="preserve"> means they have a continuing need for residential care including nursing services for a limited period of time. </w:t>
      </w:r>
    </w:p>
    <w:p w14:paraId="5E8FA74B" w14:textId="77777777" w:rsidR="003B0176" w:rsidRPr="00544EA2" w:rsidRDefault="003B0176" w:rsidP="00622CFF">
      <w:pPr>
        <w:spacing w:before="240" w:after="240" w:line="240" w:lineRule="auto"/>
        <w:rPr>
          <w:rFonts w:eastAsia="Yu Gothic Light"/>
        </w:rPr>
      </w:pPr>
      <w:r w:rsidRPr="00544EA2">
        <w:rPr>
          <w:rFonts w:eastAsia="Yu Gothic Light"/>
        </w:rPr>
        <w:t>Residential respite care is provided on a</w:t>
      </w:r>
      <w:r w:rsidRPr="00544EA2">
        <w:rPr>
          <w:rFonts w:eastAsia="Yu Gothic Light" w:hint="eastAsia"/>
        </w:rPr>
        <w:t> </w:t>
      </w:r>
      <w:r w:rsidRPr="0035699B">
        <w:rPr>
          <w:rFonts w:eastAsia="Yu Gothic Light"/>
        </w:rPr>
        <w:t>temporary basis</w:t>
      </w:r>
      <w:r w:rsidRPr="00544EA2">
        <w:rPr>
          <w:rFonts w:eastAsia="Yu Gothic Light" w:hint="eastAsia"/>
        </w:rPr>
        <w:t> </w:t>
      </w:r>
      <w:r w:rsidRPr="00544EA2">
        <w:rPr>
          <w:rFonts w:eastAsia="Yu Gothic Light"/>
        </w:rPr>
        <w:t>within an approved residential care home. It is intended to give either the individual or their carer a short-term break from ongoing care responsibilities. Residential respite should only be recommended and accessed when there is a genuine short-term requirement for care. It is important to note that residential respite care is</w:t>
      </w:r>
      <w:r w:rsidRPr="00544EA2">
        <w:rPr>
          <w:rFonts w:eastAsia="Yu Gothic Light" w:hint="eastAsia"/>
        </w:rPr>
        <w:t> </w:t>
      </w:r>
      <w:r w:rsidRPr="0035699B">
        <w:rPr>
          <w:rFonts w:eastAsia="Yu Gothic Light"/>
        </w:rPr>
        <w:t>not</w:t>
      </w:r>
      <w:r w:rsidRPr="00544EA2">
        <w:rPr>
          <w:rFonts w:eastAsia="Yu Gothic Light" w:hint="eastAsia"/>
          <w:b/>
        </w:rPr>
        <w:t> </w:t>
      </w:r>
      <w:r w:rsidRPr="00544EA2">
        <w:rPr>
          <w:rFonts w:eastAsia="Yu Gothic Light"/>
        </w:rPr>
        <w:t>a substitute for aged care rehabilitation or restorative care services.</w:t>
      </w:r>
    </w:p>
    <w:p w14:paraId="4811DD95" w14:textId="14790B44" w:rsidR="003B0176" w:rsidRPr="00544EA2" w:rsidRDefault="003B0176" w:rsidP="00622CFF">
      <w:pPr>
        <w:spacing w:before="240" w:after="240" w:line="240" w:lineRule="auto"/>
        <w:rPr>
          <w:rFonts w:eastAsia="Yu Gothic Light"/>
        </w:rPr>
      </w:pPr>
      <w:r w:rsidRPr="00544EA2">
        <w:rPr>
          <w:rFonts w:eastAsia="Yu Gothic Light"/>
        </w:rPr>
        <w:t xml:space="preserve">Individuals approved for residential respite care are entitled to up to 63 days per financial year, with a possible 21-day extension under the </w:t>
      </w:r>
      <w:r w:rsidR="00F773D5">
        <w:rPr>
          <w:rFonts w:eastAsia="Yu Gothic Light"/>
        </w:rPr>
        <w:t xml:space="preserve">Aged Care </w:t>
      </w:r>
      <w:r w:rsidRPr="00544EA2">
        <w:rPr>
          <w:rFonts w:eastAsia="Yu Gothic Light"/>
        </w:rPr>
        <w:t>Rules</w:t>
      </w:r>
      <w:r w:rsidR="00F773D5">
        <w:rPr>
          <w:rFonts w:eastAsia="Yu Gothic Light"/>
        </w:rPr>
        <w:t xml:space="preserve"> 2025</w:t>
      </w:r>
      <w:r w:rsidRPr="00544EA2">
        <w:rPr>
          <w:rFonts w:eastAsia="Yu Gothic Light"/>
        </w:rPr>
        <w:t>. These respite days do not need to be taken all at once and can be used flexibly throughout the year. Note that these</w:t>
      </w:r>
      <w:r w:rsidRPr="00544EA2">
        <w:rPr>
          <w:rFonts w:eastAsia="Yu Gothic Light"/>
          <w:b/>
        </w:rPr>
        <w:t xml:space="preserve"> </w:t>
      </w:r>
      <w:r w:rsidRPr="00544EA2">
        <w:rPr>
          <w:rFonts w:eastAsia="Yu Gothic Light"/>
        </w:rPr>
        <w:t>timeframes do not apply where services are accessed under a specialist aged care program.</w:t>
      </w:r>
    </w:p>
    <w:p w14:paraId="706E8833" w14:textId="77777777" w:rsidR="003B0176" w:rsidRPr="00544EA2" w:rsidRDefault="003B0176" w:rsidP="00C56CEC">
      <w:pPr>
        <w:pStyle w:val="H3"/>
      </w:pPr>
      <w:bookmarkStart w:id="780" w:name="_Toc198787189"/>
      <w:bookmarkStart w:id="781" w:name="_Toc384529755"/>
      <w:bookmarkStart w:id="782" w:name="_Toc199344576"/>
      <w:bookmarkStart w:id="783" w:name="_Toc205372113"/>
      <w:bookmarkStart w:id="784" w:name="_Toc207714024"/>
      <w:r w:rsidRPr="00544EA2">
        <w:t>Step 2. Decide the classification level</w:t>
      </w:r>
      <w:bookmarkEnd w:id="780"/>
      <w:bookmarkEnd w:id="781"/>
      <w:bookmarkEnd w:id="782"/>
      <w:bookmarkEnd w:id="783"/>
      <w:bookmarkEnd w:id="784"/>
    </w:p>
    <w:p w14:paraId="5B6BFC05" w14:textId="5C608116" w:rsidR="003B0176" w:rsidRDefault="003B0176" w:rsidP="00622CFF">
      <w:pPr>
        <w:pStyle w:val="NoSpacing"/>
        <w:spacing w:before="240" w:after="240" w:line="240" w:lineRule="auto"/>
        <w:rPr>
          <w:szCs w:val="22"/>
        </w:rPr>
      </w:pPr>
      <w:r w:rsidRPr="003523CC">
        <w:rPr>
          <w:rFonts w:ascii="Arial" w:hAnsi="Arial" w:cs="Arial"/>
          <w:sz w:val="22"/>
          <w:szCs w:val="22"/>
          <w:lang w:val="en-GB"/>
        </w:rPr>
        <w:t>When recommending an individual for residential respite care, assessors should complete the</w:t>
      </w:r>
      <w:r w:rsidRPr="003523CC">
        <w:rPr>
          <w:rFonts w:ascii="Arial" w:hAnsi="Arial" w:cs="Arial" w:hint="eastAsia"/>
          <w:sz w:val="22"/>
          <w:szCs w:val="22"/>
          <w:lang w:val="en-GB"/>
        </w:rPr>
        <w:t> </w:t>
      </w:r>
      <w:r w:rsidRPr="0035699B">
        <w:rPr>
          <w:rFonts w:ascii="Arial" w:hAnsi="Arial" w:cs="Arial"/>
          <w:sz w:val="22"/>
          <w:szCs w:val="22"/>
          <w:lang w:val="en-GB"/>
        </w:rPr>
        <w:t xml:space="preserve">De Morton Mobility Index </w:t>
      </w:r>
      <w:r w:rsidRPr="0035699B">
        <w:rPr>
          <w:rFonts w:ascii="Arial" w:hAnsi="Arial" w:cs="Arial" w:hint="eastAsia"/>
          <w:sz w:val="22"/>
          <w:szCs w:val="22"/>
          <w:lang w:val="en-GB"/>
        </w:rPr>
        <w:t>–</w:t>
      </w:r>
      <w:r w:rsidRPr="0035699B">
        <w:rPr>
          <w:rFonts w:ascii="Arial" w:hAnsi="Arial" w:cs="Arial"/>
          <w:sz w:val="22"/>
          <w:szCs w:val="22"/>
          <w:lang w:val="en-GB"/>
        </w:rPr>
        <w:t xml:space="preserve"> modified (DEMMI-modified)</w:t>
      </w:r>
      <w:r w:rsidRPr="003523CC">
        <w:rPr>
          <w:rFonts w:ascii="Arial" w:hAnsi="Arial" w:cs="Arial" w:hint="eastAsia"/>
          <w:sz w:val="22"/>
          <w:szCs w:val="22"/>
          <w:lang w:val="en-GB"/>
        </w:rPr>
        <w:t> </w:t>
      </w:r>
      <w:r w:rsidRPr="003523CC">
        <w:rPr>
          <w:rFonts w:ascii="Arial" w:hAnsi="Arial" w:cs="Arial"/>
          <w:sz w:val="22"/>
          <w:szCs w:val="22"/>
          <w:lang w:val="en-GB"/>
        </w:rPr>
        <w:t>assessment. This tool assesses the individual's mobility and determines their eligibility for one of three respite funding classes:</w:t>
      </w:r>
      <w:r w:rsidRPr="003523CC">
        <w:rPr>
          <w:rFonts w:ascii="Arial" w:hAnsi="Arial" w:cs="Arial" w:hint="eastAsia"/>
          <w:sz w:val="22"/>
          <w:szCs w:val="22"/>
          <w:lang w:val="en-GB"/>
        </w:rPr>
        <w:t> </w:t>
      </w:r>
      <w:r w:rsidRPr="0035699B">
        <w:rPr>
          <w:rFonts w:ascii="Arial" w:hAnsi="Arial" w:cs="Arial"/>
          <w:sz w:val="22"/>
          <w:szCs w:val="22"/>
          <w:lang w:val="en-GB"/>
        </w:rPr>
        <w:t>Respite class 1</w:t>
      </w:r>
      <w:r w:rsidRPr="003523CC">
        <w:rPr>
          <w:rFonts w:ascii="Arial" w:hAnsi="Arial" w:cs="Arial"/>
          <w:sz w:val="22"/>
          <w:szCs w:val="22"/>
          <w:lang w:val="en-GB"/>
        </w:rPr>
        <w:t>,</w:t>
      </w:r>
      <w:r w:rsidRPr="003523CC">
        <w:rPr>
          <w:rFonts w:ascii="Arial" w:hAnsi="Arial" w:cs="Arial" w:hint="eastAsia"/>
          <w:sz w:val="22"/>
          <w:szCs w:val="22"/>
          <w:lang w:val="en-GB"/>
        </w:rPr>
        <w:t> </w:t>
      </w:r>
      <w:r w:rsidRPr="0035699B">
        <w:rPr>
          <w:rFonts w:ascii="Arial" w:hAnsi="Arial" w:cs="Arial"/>
          <w:sz w:val="22"/>
          <w:szCs w:val="22"/>
          <w:lang w:val="en-GB"/>
        </w:rPr>
        <w:t>Respite class 2</w:t>
      </w:r>
      <w:r w:rsidRPr="003523CC">
        <w:rPr>
          <w:rFonts w:ascii="Arial" w:hAnsi="Arial" w:cs="Arial"/>
          <w:sz w:val="22"/>
          <w:szCs w:val="22"/>
          <w:lang w:val="en-GB"/>
        </w:rPr>
        <w:t xml:space="preserve">, </w:t>
      </w:r>
      <w:r w:rsidRPr="0053236B">
        <w:rPr>
          <w:rFonts w:ascii="Arial" w:hAnsi="Arial" w:cs="Arial"/>
          <w:sz w:val="22"/>
          <w:szCs w:val="22"/>
          <w:lang w:val="en-GB"/>
        </w:rPr>
        <w:t>Respite class 3</w:t>
      </w:r>
      <w:r w:rsidRPr="003523CC">
        <w:rPr>
          <w:rFonts w:ascii="Arial" w:hAnsi="Arial" w:cs="Arial"/>
          <w:sz w:val="22"/>
          <w:szCs w:val="22"/>
          <w:lang w:val="en-GB"/>
        </w:rPr>
        <w:t>, based on the level of mobility observed.</w:t>
      </w:r>
    </w:p>
    <w:p w14:paraId="58B03072" w14:textId="5F0F5E0E" w:rsidR="003B0176" w:rsidRPr="00544EA2" w:rsidRDefault="003B0176" w:rsidP="00622CFF">
      <w:pPr>
        <w:spacing w:before="240" w:after="240" w:line="240" w:lineRule="auto"/>
        <w:rPr>
          <w:rFonts w:eastAsia="Yu Gothic Light"/>
        </w:rPr>
      </w:pPr>
      <w:r w:rsidRPr="00544EA2">
        <w:rPr>
          <w:rFonts w:eastAsia="Yu Gothic Light"/>
        </w:rPr>
        <w:t>The DEMMI-modified assessment is available within the</w:t>
      </w:r>
      <w:r w:rsidRPr="00544EA2">
        <w:rPr>
          <w:rFonts w:eastAsia="Yu Gothic Light"/>
          <w:b/>
        </w:rPr>
        <w:t xml:space="preserve"> </w:t>
      </w:r>
      <w:r w:rsidR="0017422B" w:rsidRPr="0053236B">
        <w:rPr>
          <w:rFonts w:eastAsia="Yu Gothic Light"/>
        </w:rPr>
        <w:t>IAT</w:t>
      </w:r>
      <w:r w:rsidR="0017422B">
        <w:rPr>
          <w:rFonts w:eastAsia="Yu Gothic Light"/>
        </w:rPr>
        <w:t>,</w:t>
      </w:r>
      <w:r w:rsidR="0017422B" w:rsidRPr="00544EA2">
        <w:rPr>
          <w:rFonts w:eastAsia="Yu Gothic Light"/>
        </w:rPr>
        <w:t xml:space="preserve"> but</w:t>
      </w:r>
      <w:r w:rsidRPr="00544EA2">
        <w:rPr>
          <w:rFonts w:eastAsia="Yu Gothic Light"/>
        </w:rPr>
        <w:t xml:space="preserve"> can only be used as part of a</w:t>
      </w:r>
      <w:r w:rsidRPr="00544EA2">
        <w:rPr>
          <w:rFonts w:eastAsia="Yu Gothic Light" w:hint="eastAsia"/>
        </w:rPr>
        <w:t> </w:t>
      </w:r>
      <w:r w:rsidR="006D66C1" w:rsidRPr="0053236B">
        <w:rPr>
          <w:rFonts w:eastAsia="Yu Gothic Light"/>
        </w:rPr>
        <w:t>C</w:t>
      </w:r>
      <w:r w:rsidRPr="0053236B">
        <w:rPr>
          <w:rFonts w:eastAsia="Yu Gothic Light"/>
        </w:rPr>
        <w:t xml:space="preserve">omprehensive </w:t>
      </w:r>
      <w:r w:rsidR="006D66C1" w:rsidRPr="0053236B">
        <w:rPr>
          <w:rFonts w:eastAsia="Yu Gothic Light"/>
        </w:rPr>
        <w:t>A</w:t>
      </w:r>
      <w:r w:rsidRPr="0053236B">
        <w:rPr>
          <w:rFonts w:eastAsia="Yu Gothic Light"/>
        </w:rPr>
        <w:t>ssessment</w:t>
      </w:r>
      <w:r w:rsidRPr="00544EA2">
        <w:rPr>
          <w:rFonts w:eastAsia="Yu Gothic Light"/>
        </w:rPr>
        <w:t>, as it must be completed by a clinically trained assessor</w:t>
      </w:r>
      <w:r w:rsidR="00197773">
        <w:rPr>
          <w:rFonts w:eastAsia="Yu Gothic Light"/>
        </w:rPr>
        <w:t xml:space="preserve"> that has completed the DEMMI-modified training</w:t>
      </w:r>
      <w:r w:rsidRPr="00544EA2">
        <w:rPr>
          <w:rFonts w:eastAsia="Yu Gothic Light"/>
        </w:rPr>
        <w:t>.</w:t>
      </w:r>
    </w:p>
    <w:p w14:paraId="7A3F5D14" w14:textId="61D9F97A" w:rsidR="003B0176" w:rsidRPr="00544EA2" w:rsidRDefault="00A47968" w:rsidP="00622CFF">
      <w:pPr>
        <w:spacing w:before="240" w:after="240" w:line="240" w:lineRule="auto"/>
        <w:rPr>
          <w:rFonts w:eastAsia="Yu Gothic Light"/>
        </w:rPr>
      </w:pPr>
      <w:r>
        <w:rPr>
          <w:rFonts w:eastAsia="Yu Gothic Light"/>
        </w:rPr>
        <w:t>I</w:t>
      </w:r>
      <w:r w:rsidR="003B0176" w:rsidRPr="00544EA2">
        <w:rPr>
          <w:rFonts w:eastAsia="Yu Gothic Light"/>
        </w:rPr>
        <w:t xml:space="preserve">t is </w:t>
      </w:r>
      <w:r>
        <w:rPr>
          <w:rFonts w:eastAsia="Yu Gothic Light"/>
        </w:rPr>
        <w:t xml:space="preserve">a </w:t>
      </w:r>
      <w:r w:rsidRPr="00544EA2">
        <w:rPr>
          <w:rFonts w:eastAsia="Yu Gothic Light"/>
        </w:rPr>
        <w:t>Clinical Assessment Delegate</w:t>
      </w:r>
      <w:r>
        <w:rPr>
          <w:rFonts w:eastAsia="Yu Gothic Light"/>
        </w:rPr>
        <w:t>’s</w:t>
      </w:r>
      <w:r w:rsidRPr="00544EA2">
        <w:rPr>
          <w:rFonts w:eastAsia="Yu Gothic Light"/>
        </w:rPr>
        <w:t xml:space="preserve"> </w:t>
      </w:r>
      <w:r w:rsidR="003B0176" w:rsidRPr="00544EA2">
        <w:rPr>
          <w:rFonts w:eastAsia="Yu Gothic Light"/>
        </w:rPr>
        <w:t>responsibility to ensure that the DEMMI-modified has been accurately completed.</w:t>
      </w:r>
    </w:p>
    <w:p w14:paraId="6BE2B609" w14:textId="5907DC5F" w:rsidR="003B0176" w:rsidRPr="00544EA2" w:rsidRDefault="003B0176" w:rsidP="00622CFF">
      <w:pPr>
        <w:spacing w:before="240" w:after="240" w:line="240" w:lineRule="auto"/>
        <w:rPr>
          <w:rFonts w:eastAsia="Yu Gothic Light"/>
        </w:rPr>
      </w:pPr>
      <w:r w:rsidRPr="00544EA2">
        <w:rPr>
          <w:rFonts w:eastAsia="Yu Gothic Light"/>
        </w:rPr>
        <w:t>If the DEMMI-modified assessment cannot be completed at the time of assessment, the individual will be temporarily assigned a</w:t>
      </w:r>
      <w:r w:rsidRPr="00544EA2">
        <w:rPr>
          <w:rFonts w:eastAsia="Yu Gothic Light" w:hint="eastAsia"/>
        </w:rPr>
        <w:t> </w:t>
      </w:r>
      <w:r w:rsidRPr="0053236B">
        <w:rPr>
          <w:rFonts w:eastAsia="Yu Gothic Light"/>
        </w:rPr>
        <w:t>default funding class (Class 0)</w:t>
      </w:r>
      <w:r w:rsidRPr="00544EA2">
        <w:rPr>
          <w:rFonts w:eastAsia="Yu Gothic Light"/>
        </w:rPr>
        <w:t>. This classification remains in place until a formal</w:t>
      </w:r>
      <w:r w:rsidRPr="00544EA2">
        <w:rPr>
          <w:rFonts w:eastAsia="Yu Gothic Light" w:hint="eastAsia"/>
        </w:rPr>
        <w:t> </w:t>
      </w:r>
      <w:r w:rsidR="00531FAF" w:rsidRPr="0053236B">
        <w:rPr>
          <w:rFonts w:eastAsia="Yu Gothic Light"/>
        </w:rPr>
        <w:t>R</w:t>
      </w:r>
      <w:r w:rsidR="009309A5" w:rsidRPr="0053236B">
        <w:rPr>
          <w:rFonts w:eastAsia="Yu Gothic Light"/>
        </w:rPr>
        <w:t xml:space="preserve">esidential </w:t>
      </w:r>
      <w:r w:rsidR="00531FAF" w:rsidRPr="0053236B">
        <w:rPr>
          <w:rFonts w:eastAsia="Yu Gothic Light"/>
        </w:rPr>
        <w:t>A</w:t>
      </w:r>
      <w:r w:rsidR="009309A5" w:rsidRPr="0053236B">
        <w:rPr>
          <w:rFonts w:eastAsia="Yu Gothic Light"/>
        </w:rPr>
        <w:t xml:space="preserve">ged </w:t>
      </w:r>
      <w:r w:rsidR="00531FAF" w:rsidRPr="0053236B">
        <w:rPr>
          <w:rFonts w:eastAsia="Yu Gothic Light"/>
        </w:rPr>
        <w:t>C</w:t>
      </w:r>
      <w:r w:rsidR="009309A5" w:rsidRPr="0053236B">
        <w:rPr>
          <w:rFonts w:eastAsia="Yu Gothic Light"/>
        </w:rPr>
        <w:t>are</w:t>
      </w:r>
      <w:r w:rsidR="00531FAF" w:rsidRPr="0053236B">
        <w:rPr>
          <w:rFonts w:eastAsia="Yu Gothic Light"/>
        </w:rPr>
        <w:t xml:space="preserve"> funding</w:t>
      </w:r>
      <w:r w:rsidRPr="0053236B">
        <w:rPr>
          <w:rFonts w:eastAsia="Yu Gothic Light"/>
        </w:rPr>
        <w:t xml:space="preserve"> assessment</w:t>
      </w:r>
      <w:r w:rsidRPr="00544EA2">
        <w:rPr>
          <w:rFonts w:eastAsia="Yu Gothic Light" w:hint="eastAsia"/>
        </w:rPr>
        <w:t> </w:t>
      </w:r>
      <w:r w:rsidRPr="00544EA2">
        <w:rPr>
          <w:rFonts w:eastAsia="Yu Gothic Light"/>
        </w:rPr>
        <w:t>is carried out within the residential aged care home, at which point the appropriate funding class can be determined based on the individual</w:t>
      </w:r>
      <w:r w:rsidRPr="00544EA2">
        <w:rPr>
          <w:rFonts w:eastAsia="Yu Gothic Light" w:hint="eastAsia"/>
        </w:rPr>
        <w:t>’</w:t>
      </w:r>
      <w:r w:rsidRPr="00544EA2">
        <w:rPr>
          <w:rFonts w:eastAsia="Yu Gothic Light"/>
        </w:rPr>
        <w:t>s assessed mobility.</w:t>
      </w:r>
    </w:p>
    <w:p w14:paraId="736E5527" w14:textId="77777777" w:rsidR="003B0176" w:rsidRPr="00544EA2" w:rsidRDefault="003B0176" w:rsidP="00C56CEC">
      <w:pPr>
        <w:pStyle w:val="H3"/>
      </w:pPr>
      <w:bookmarkStart w:id="785" w:name="_Toc207714026"/>
      <w:r w:rsidRPr="00544EA2">
        <w:t>Extensions for residential respite</w:t>
      </w:r>
      <w:bookmarkEnd w:id="785"/>
    </w:p>
    <w:p w14:paraId="6AC5A9EF" w14:textId="5AEACC4B" w:rsidR="003B0176" w:rsidRPr="00544EA2" w:rsidRDefault="003B0176" w:rsidP="00622CFF">
      <w:pPr>
        <w:spacing w:before="240" w:after="240" w:line="240" w:lineRule="auto"/>
        <w:rPr>
          <w:rFonts w:eastAsia="Yu Gothic Light"/>
        </w:rPr>
      </w:pPr>
      <w:r w:rsidRPr="00544EA2">
        <w:rPr>
          <w:rFonts w:eastAsia="Yu Gothic Light"/>
        </w:rPr>
        <w:t>Assessment Delegate</w:t>
      </w:r>
      <w:r w:rsidR="00A47968">
        <w:rPr>
          <w:rFonts w:eastAsia="Yu Gothic Light"/>
        </w:rPr>
        <w:t>s</w:t>
      </w:r>
      <w:r w:rsidRPr="00544EA2">
        <w:rPr>
          <w:rFonts w:eastAsia="Yu Gothic Light"/>
        </w:rPr>
        <w:t xml:space="preserve"> may receive requests for a</w:t>
      </w:r>
      <w:r w:rsidRPr="00544EA2">
        <w:rPr>
          <w:rFonts w:eastAsia="Yu Gothic Light" w:hint="eastAsia"/>
          <w:b/>
        </w:rPr>
        <w:t> </w:t>
      </w:r>
      <w:r w:rsidRPr="0053236B">
        <w:rPr>
          <w:rFonts w:eastAsia="Yu Gothic Light"/>
        </w:rPr>
        <w:t>21-day extension</w:t>
      </w:r>
      <w:r w:rsidRPr="00544EA2">
        <w:rPr>
          <w:rFonts w:eastAsia="Yu Gothic Light" w:hint="eastAsia"/>
        </w:rPr>
        <w:t> </w:t>
      </w:r>
      <w:r w:rsidRPr="00544EA2">
        <w:rPr>
          <w:rFonts w:eastAsia="Yu Gothic Light"/>
        </w:rPr>
        <w:t xml:space="preserve">to residential respite care </w:t>
      </w:r>
      <w:r w:rsidR="0076264B">
        <w:rPr>
          <w:rFonts w:eastAsia="Yu Gothic Light"/>
        </w:rPr>
        <w:t xml:space="preserve">– for </w:t>
      </w:r>
      <w:r w:rsidRPr="00544EA2">
        <w:rPr>
          <w:rFonts w:eastAsia="Yu Gothic Light"/>
        </w:rPr>
        <w:t>example, when a carer is unwell or temporarily unable to resume their care responsibilities. There is no limit to the number of extensions that may be granted beyond the standard 63 days of respite care per financial year​.</w:t>
      </w:r>
    </w:p>
    <w:p w14:paraId="3C151DE6" w14:textId="10D1DAA1" w:rsidR="003B0176" w:rsidRPr="00544EA2" w:rsidRDefault="003B0176" w:rsidP="00622CFF">
      <w:pPr>
        <w:spacing w:before="240" w:after="240" w:line="240" w:lineRule="auto"/>
        <w:rPr>
          <w:rFonts w:eastAsia="Yu Gothic Light"/>
        </w:rPr>
      </w:pPr>
      <w:r w:rsidRPr="00544EA2">
        <w:rPr>
          <w:rFonts w:eastAsia="Yu Gothic Light"/>
        </w:rPr>
        <w:t>Typically, the residential aged care provider submits the extension request via the</w:t>
      </w:r>
      <w:r w:rsidRPr="00544EA2">
        <w:rPr>
          <w:rFonts w:eastAsia="Yu Gothic Light" w:hint="eastAsia"/>
        </w:rPr>
        <w:t> </w:t>
      </w:r>
      <w:r w:rsidRPr="0053236B">
        <w:rPr>
          <w:rFonts w:eastAsia="Yu Gothic Light"/>
        </w:rPr>
        <w:t>My Aged Care Service and Support Portal</w:t>
      </w:r>
      <w:r w:rsidRPr="00544EA2">
        <w:rPr>
          <w:rFonts w:eastAsia="Yu Gothic Light"/>
        </w:rPr>
        <w:t xml:space="preserve">, and </w:t>
      </w:r>
      <w:r w:rsidR="005F23DB">
        <w:rPr>
          <w:rFonts w:eastAsia="Yu Gothic Light"/>
        </w:rPr>
        <w:t>an</w:t>
      </w:r>
      <w:r w:rsidRPr="00544EA2">
        <w:rPr>
          <w:rFonts w:eastAsia="Yu Gothic Light"/>
        </w:rPr>
        <w:t xml:space="preserve"> assessment organisation receives it through the</w:t>
      </w:r>
      <w:r w:rsidRPr="00544EA2">
        <w:rPr>
          <w:rFonts w:eastAsia="Yu Gothic Light" w:hint="eastAsia"/>
        </w:rPr>
        <w:t> </w:t>
      </w:r>
      <w:r w:rsidRPr="0053236B">
        <w:rPr>
          <w:rFonts w:eastAsia="Yu Gothic Light"/>
        </w:rPr>
        <w:t>Assessor Portal</w:t>
      </w:r>
      <w:r w:rsidRPr="00544EA2">
        <w:rPr>
          <w:rFonts w:eastAsia="Yu Gothic Light" w:hint="eastAsia"/>
        </w:rPr>
        <w:t> </w:t>
      </w:r>
      <w:r w:rsidRPr="00544EA2">
        <w:rPr>
          <w:rFonts w:eastAsia="Yu Gothic Light"/>
        </w:rPr>
        <w:t xml:space="preserve">for </w:t>
      </w:r>
      <w:r w:rsidR="005F23DB">
        <w:rPr>
          <w:rFonts w:eastAsia="Yu Gothic Light"/>
        </w:rPr>
        <w:t xml:space="preserve">an </w:t>
      </w:r>
      <w:r w:rsidR="009309A5">
        <w:rPr>
          <w:rFonts w:eastAsia="Yu Gothic Light"/>
        </w:rPr>
        <w:t>A</w:t>
      </w:r>
      <w:r w:rsidR="005F23DB">
        <w:rPr>
          <w:rFonts w:eastAsia="Yu Gothic Light"/>
        </w:rPr>
        <w:t xml:space="preserve">ssessment </w:t>
      </w:r>
      <w:r w:rsidR="009309A5">
        <w:rPr>
          <w:rFonts w:eastAsia="Yu Gothic Light"/>
        </w:rPr>
        <w:t>D</w:t>
      </w:r>
      <w:r w:rsidR="005F23DB">
        <w:rPr>
          <w:rFonts w:eastAsia="Yu Gothic Light"/>
        </w:rPr>
        <w:t>elegate’s</w:t>
      </w:r>
      <w:r w:rsidRPr="00544EA2">
        <w:rPr>
          <w:rFonts w:eastAsia="Yu Gothic Light"/>
        </w:rPr>
        <w:t xml:space="preserve"> action​.</w:t>
      </w:r>
    </w:p>
    <w:p w14:paraId="1128E5F0" w14:textId="222C0642" w:rsidR="003B0176" w:rsidRPr="00544EA2" w:rsidRDefault="005F23DB" w:rsidP="00622CFF">
      <w:pPr>
        <w:spacing w:before="240" w:after="240" w:line="240" w:lineRule="auto"/>
        <w:rPr>
          <w:rFonts w:eastAsia="Yu Gothic Light"/>
        </w:rPr>
      </w:pPr>
      <w:r>
        <w:rPr>
          <w:rFonts w:eastAsia="Yu Gothic Light"/>
        </w:rPr>
        <w:t>It is the</w:t>
      </w:r>
      <w:r w:rsidR="003B0176" w:rsidRPr="00544EA2">
        <w:rPr>
          <w:rFonts w:eastAsia="Yu Gothic Light"/>
        </w:rPr>
        <w:t xml:space="preserve"> responsibility </w:t>
      </w:r>
      <w:r>
        <w:rPr>
          <w:rFonts w:eastAsia="Yu Gothic Light"/>
        </w:rPr>
        <w:t>of the assessment delegate</w:t>
      </w:r>
      <w:r w:rsidR="003B0176" w:rsidRPr="00544EA2">
        <w:rPr>
          <w:rFonts w:eastAsia="Yu Gothic Light"/>
        </w:rPr>
        <w:t xml:space="preserve"> to review the request and either approve or decline it. Once a decision is made, </w:t>
      </w:r>
      <w:r>
        <w:rPr>
          <w:rFonts w:eastAsia="Yu Gothic Light"/>
        </w:rPr>
        <w:t xml:space="preserve">the </w:t>
      </w:r>
      <w:r w:rsidR="00FB79F9">
        <w:rPr>
          <w:rFonts w:eastAsia="Yu Gothic Light"/>
        </w:rPr>
        <w:t>A</w:t>
      </w:r>
      <w:r>
        <w:rPr>
          <w:rFonts w:eastAsia="Yu Gothic Light"/>
        </w:rPr>
        <w:t xml:space="preserve">ssessment </w:t>
      </w:r>
      <w:r w:rsidR="00FB79F9">
        <w:rPr>
          <w:rFonts w:eastAsia="Yu Gothic Light"/>
        </w:rPr>
        <w:t>D</w:t>
      </w:r>
      <w:r>
        <w:rPr>
          <w:rFonts w:eastAsia="Yu Gothic Light"/>
        </w:rPr>
        <w:t>elegate</w:t>
      </w:r>
      <w:r w:rsidR="003B0176" w:rsidRPr="00544EA2">
        <w:rPr>
          <w:rFonts w:eastAsia="Yu Gothic Light"/>
        </w:rPr>
        <w:t xml:space="preserve"> must communicate the outcome to the provider. </w:t>
      </w:r>
    </w:p>
    <w:p w14:paraId="6909D272" w14:textId="7F200EFB" w:rsidR="003B0176" w:rsidRPr="00544EA2" w:rsidRDefault="005F23DB" w:rsidP="00622CFF">
      <w:pPr>
        <w:spacing w:before="240" w:after="240" w:line="240" w:lineRule="auto"/>
        <w:rPr>
          <w:rFonts w:eastAsia="Yu Gothic Light"/>
        </w:rPr>
      </w:pPr>
      <w:r>
        <w:rPr>
          <w:rFonts w:eastAsia="Yu Gothic Light"/>
        </w:rPr>
        <w:t>An assessment delegate</w:t>
      </w:r>
      <w:r w:rsidR="003B0176" w:rsidRPr="00544EA2">
        <w:rPr>
          <w:rFonts w:eastAsia="Yu Gothic Light"/>
        </w:rPr>
        <w:t xml:space="preserve"> will need to be satisfied that an increase in the number of respite days was necessary due to any of the following:</w:t>
      </w:r>
    </w:p>
    <w:p w14:paraId="38DB4A56" w14:textId="77777777" w:rsidR="003B0176" w:rsidRPr="00544EA2" w:rsidRDefault="003B0176" w:rsidP="00622CFF">
      <w:pPr>
        <w:spacing w:before="240" w:after="240" w:line="240" w:lineRule="auto"/>
        <w:ind w:left="720"/>
        <w:rPr>
          <w:rFonts w:eastAsia="Yu Gothic Light"/>
        </w:rPr>
      </w:pPr>
      <w:r w:rsidRPr="00544EA2">
        <w:rPr>
          <w:rFonts w:eastAsia="Yu Gothic Light"/>
        </w:rPr>
        <w:t>(a) carer stress</w:t>
      </w:r>
    </w:p>
    <w:p w14:paraId="4FBFA6CC" w14:textId="77777777" w:rsidR="003B0176" w:rsidRPr="00544EA2" w:rsidRDefault="003B0176" w:rsidP="00622CFF">
      <w:pPr>
        <w:spacing w:before="240" w:after="240" w:line="240" w:lineRule="auto"/>
        <w:ind w:left="720"/>
        <w:rPr>
          <w:rFonts w:eastAsia="Yu Gothic Light"/>
        </w:rPr>
      </w:pPr>
      <w:r w:rsidRPr="00544EA2">
        <w:rPr>
          <w:rFonts w:eastAsia="Yu Gothic Light"/>
        </w:rPr>
        <w:t>(b) severity of the individual</w:t>
      </w:r>
      <w:r w:rsidRPr="00544EA2">
        <w:rPr>
          <w:rFonts w:eastAsia="Yu Gothic Light" w:hint="eastAsia"/>
        </w:rPr>
        <w:t>’</w:t>
      </w:r>
      <w:r w:rsidRPr="00544EA2">
        <w:rPr>
          <w:rFonts w:eastAsia="Yu Gothic Light"/>
        </w:rPr>
        <w:t>s condition</w:t>
      </w:r>
    </w:p>
    <w:p w14:paraId="066ECCFC" w14:textId="77777777" w:rsidR="003B0176" w:rsidRPr="00544EA2" w:rsidRDefault="003B0176" w:rsidP="00622CFF">
      <w:pPr>
        <w:spacing w:before="240" w:after="240" w:line="240" w:lineRule="auto"/>
        <w:ind w:left="720"/>
        <w:rPr>
          <w:rFonts w:eastAsia="Yu Gothic Light"/>
        </w:rPr>
      </w:pPr>
      <w:r w:rsidRPr="00544EA2">
        <w:rPr>
          <w:rFonts w:eastAsia="Yu Gothic Light"/>
        </w:rPr>
        <w:t>(c) absence of the individual</w:t>
      </w:r>
      <w:r w:rsidRPr="00544EA2">
        <w:rPr>
          <w:rFonts w:eastAsia="Yu Gothic Light" w:hint="eastAsia"/>
        </w:rPr>
        <w:t>’</w:t>
      </w:r>
      <w:r w:rsidRPr="00544EA2">
        <w:rPr>
          <w:rFonts w:eastAsia="Yu Gothic Light"/>
        </w:rPr>
        <w:t>s carer</w:t>
      </w:r>
    </w:p>
    <w:p w14:paraId="63BA9019" w14:textId="77777777" w:rsidR="003B0176" w:rsidRPr="00544EA2" w:rsidRDefault="003B0176" w:rsidP="00622CFF">
      <w:pPr>
        <w:spacing w:before="240" w:after="240" w:line="240" w:lineRule="auto"/>
        <w:ind w:left="720"/>
        <w:rPr>
          <w:rFonts w:eastAsia="Yu Gothic Light"/>
        </w:rPr>
      </w:pPr>
      <w:r w:rsidRPr="00544EA2">
        <w:rPr>
          <w:rFonts w:eastAsia="Yu Gothic Light"/>
        </w:rPr>
        <w:t>(d) any other relevant matter (for example, where a provider delivers an episode of respite care in good faith but subsequently finds out the care recipient</w:t>
      </w:r>
      <w:r w:rsidRPr="00544EA2">
        <w:rPr>
          <w:rFonts w:eastAsia="Yu Gothic Light" w:hint="eastAsia"/>
        </w:rPr>
        <w:t>’</w:t>
      </w:r>
      <w:r w:rsidRPr="00544EA2">
        <w:rPr>
          <w:rFonts w:eastAsia="Yu Gothic Light"/>
        </w:rPr>
        <w:t>s allocation of respite days had already been exhausted).</w:t>
      </w:r>
    </w:p>
    <w:p w14:paraId="073703E6" w14:textId="77777777" w:rsidR="003B0176" w:rsidRPr="00544EA2" w:rsidRDefault="003B0176" w:rsidP="00622CFF">
      <w:pPr>
        <w:spacing w:before="240" w:after="240" w:line="240" w:lineRule="auto"/>
        <w:rPr>
          <w:rFonts w:eastAsia="Yu Gothic Light"/>
        </w:rPr>
      </w:pPr>
      <w:r w:rsidRPr="00544EA2">
        <w:rPr>
          <w:rFonts w:eastAsia="Yu Gothic Light"/>
        </w:rPr>
        <w:t>Please note,</w:t>
      </w:r>
      <w:r w:rsidRPr="00544EA2">
        <w:rPr>
          <w:rFonts w:eastAsia="Yu Gothic Light" w:hint="eastAsia"/>
        </w:rPr>
        <w:t> </w:t>
      </w:r>
      <w:r w:rsidRPr="0053236B">
        <w:rPr>
          <w:rFonts w:eastAsia="Yu Gothic Light"/>
        </w:rPr>
        <w:t>there is no right of review if an extension request is declined</w:t>
      </w:r>
      <w:r w:rsidRPr="00544EA2">
        <w:rPr>
          <w:rFonts w:eastAsia="Yu Gothic Light"/>
        </w:rPr>
        <w:t>​.</w:t>
      </w:r>
    </w:p>
    <w:p w14:paraId="649D48D9" w14:textId="56EDA0DA" w:rsidR="003B0176" w:rsidRPr="00544EA2" w:rsidRDefault="003B0176" w:rsidP="00622CFF">
      <w:pPr>
        <w:spacing w:before="240" w:after="240" w:line="240" w:lineRule="auto"/>
        <w:rPr>
          <w:rFonts w:eastAsia="Yu Gothic Light"/>
        </w:rPr>
      </w:pPr>
      <w:r w:rsidRPr="00544EA2">
        <w:rPr>
          <w:rFonts w:eastAsia="Yu Gothic Light"/>
        </w:rPr>
        <w:t>Once decided, you must give written notice to the registered provider of your decision whether to extend within 28 days after the application was made. This written notice must include the day the decision takes effect, which may be before the day the decision is made.</w:t>
      </w:r>
    </w:p>
    <w:p w14:paraId="010092D0" w14:textId="77777777" w:rsidR="003B0176" w:rsidRPr="00544EA2" w:rsidRDefault="003B0176" w:rsidP="00622CFF">
      <w:pPr>
        <w:spacing w:before="240" w:after="240" w:line="240" w:lineRule="auto"/>
        <w:rPr>
          <w:rFonts w:eastAsia="Yu Gothic Light"/>
        </w:rPr>
      </w:pPr>
      <w:r w:rsidRPr="00544EA2">
        <w:rPr>
          <w:rFonts w:eastAsia="Yu Gothic Light"/>
        </w:rPr>
        <w:t>Extensions are granted</w:t>
      </w:r>
      <w:r w:rsidRPr="00544EA2">
        <w:rPr>
          <w:rFonts w:eastAsia="Yu Gothic Light" w:hint="eastAsia"/>
        </w:rPr>
        <w:t> </w:t>
      </w:r>
      <w:r w:rsidRPr="0053236B">
        <w:rPr>
          <w:rFonts w:eastAsia="Yu Gothic Light"/>
        </w:rPr>
        <w:t>only at the previously approved level of care</w:t>
      </w:r>
      <w:r w:rsidRPr="00544EA2">
        <w:rPr>
          <w:rFonts w:eastAsia="Yu Gothic Light"/>
        </w:rPr>
        <w:t>. If a higher level is needed, a reassessment and new approval by you (or another Clinical Assessment Delegate) is required before the extension can be granted​</w:t>
      </w:r>
    </w:p>
    <w:tbl>
      <w:tblPr>
        <w:tblW w:w="0" w:type="auto"/>
        <w:tblLook w:val="04A0" w:firstRow="1" w:lastRow="0" w:firstColumn="1" w:lastColumn="0" w:noHBand="0" w:noVBand="1"/>
      </w:tblPr>
      <w:tblGrid>
        <w:gridCol w:w="921"/>
        <w:gridCol w:w="8105"/>
      </w:tblGrid>
      <w:tr w:rsidR="0054696A" w:rsidRPr="008D5728" w14:paraId="4FEABB2A" w14:textId="77777777">
        <w:trPr>
          <w:trHeight w:val="677"/>
        </w:trPr>
        <w:tc>
          <w:tcPr>
            <w:tcW w:w="921" w:type="dxa"/>
          </w:tcPr>
          <w:p w14:paraId="7757A08E" w14:textId="77777777" w:rsidR="0054696A" w:rsidRPr="008D5728" w:rsidRDefault="0054696A" w:rsidP="00622CFF">
            <w:pPr>
              <w:spacing w:before="240" w:after="240" w:line="240" w:lineRule="auto"/>
              <w:rPr>
                <w:rFonts w:eastAsia="Yu Gothic Light"/>
              </w:rPr>
            </w:pPr>
            <w:r w:rsidRPr="008D5728">
              <w:rPr>
                <w:rFonts w:eastAsia="Yu Gothic Light"/>
                <w:noProof/>
              </w:rPr>
              <w:drawing>
                <wp:inline distT="0" distB="0" distL="0" distR="0" wp14:anchorId="7B1B1764" wp14:editId="595D4F10">
                  <wp:extent cx="447675" cy="445208"/>
                  <wp:effectExtent l="0" t="0" r="0" b="0"/>
                  <wp:docPr id="1558653688" name="Picture 155865368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7B75953" w14:textId="33E7E369" w:rsidR="0054696A" w:rsidRPr="008D5728" w:rsidRDefault="0054696A" w:rsidP="00622CFF">
            <w:pPr>
              <w:spacing w:before="240" w:after="240" w:line="240" w:lineRule="auto"/>
              <w:rPr>
                <w:rFonts w:eastAsia="Yu Gothic Light"/>
              </w:rPr>
            </w:pPr>
            <w:hyperlink r:id="rId239">
              <w:r w:rsidRPr="00544EA2" w:rsidDel="00892CAB">
                <w:rPr>
                  <w:rFonts w:eastAsia="Yu Gothic Light"/>
                  <w:color w:val="2BB1BB"/>
                  <w:u w:val="single"/>
                </w:rPr>
                <w:t>Managing residential respite care | Australian Government Department of Health</w:t>
              </w:r>
              <w:r w:rsidR="00892CAB">
                <w:rPr>
                  <w:rFonts w:eastAsia="Yu Gothic Light"/>
                  <w:color w:val="2BB1BB"/>
                  <w:u w:val="single"/>
                </w:rPr>
                <w:t>, Disability and Ageing</w:t>
              </w:r>
            </w:hyperlink>
          </w:p>
        </w:tc>
      </w:tr>
    </w:tbl>
    <w:p w14:paraId="6A75094F" w14:textId="35CB069B" w:rsidR="003B0176" w:rsidRPr="00544EA2" w:rsidRDefault="003B0176" w:rsidP="00507F9D">
      <w:pPr>
        <w:pStyle w:val="h2"/>
      </w:pPr>
      <w:bookmarkStart w:id="786" w:name="_Toc209189030"/>
      <w:bookmarkStart w:id="787" w:name="_Toc224916687"/>
      <w:r w:rsidRPr="00544EA2">
        <w:t xml:space="preserve">Approving </w:t>
      </w:r>
      <w:r w:rsidR="00C64658">
        <w:t>t</w:t>
      </w:r>
      <w:r w:rsidRPr="00544EA2">
        <w:t xml:space="preserve">ransition </w:t>
      </w:r>
      <w:r w:rsidR="00C64658">
        <w:t>c</w:t>
      </w:r>
      <w:r w:rsidRPr="00544EA2">
        <w:t>are</w:t>
      </w:r>
      <w:bookmarkEnd w:id="786"/>
      <w:bookmarkEnd w:id="787"/>
      <w:r w:rsidRPr="00544EA2">
        <w:t> </w:t>
      </w:r>
    </w:p>
    <w:p w14:paraId="26F2FB0C" w14:textId="77777777" w:rsidR="003B0176" w:rsidRPr="00544EA2" w:rsidRDefault="003B0176" w:rsidP="00C56CEC">
      <w:pPr>
        <w:pStyle w:val="H3"/>
      </w:pPr>
      <w:bookmarkStart w:id="788" w:name="_Toc198787193"/>
      <w:bookmarkStart w:id="789" w:name="_Toc2115837324"/>
      <w:bookmarkStart w:id="790" w:name="_Toc199344580"/>
      <w:bookmarkStart w:id="791" w:name="_Toc205372117"/>
      <w:bookmarkStart w:id="792" w:name="_Toc207714028"/>
      <w:bookmarkStart w:id="793" w:name="_Toc198008591"/>
      <w:r w:rsidRPr="00544EA2">
        <w:t>Step 1. Decide if the older person requires transition care</w:t>
      </w:r>
      <w:bookmarkEnd w:id="788"/>
      <w:bookmarkEnd w:id="789"/>
      <w:bookmarkEnd w:id="790"/>
      <w:bookmarkEnd w:id="791"/>
      <w:bookmarkEnd w:id="792"/>
    </w:p>
    <w:p w14:paraId="5295C756" w14:textId="77777777" w:rsidR="003B0176" w:rsidRPr="00544EA2" w:rsidRDefault="003B0176" w:rsidP="00622CFF">
      <w:pPr>
        <w:spacing w:before="240" w:after="240" w:line="240" w:lineRule="auto"/>
        <w:rPr>
          <w:rFonts w:eastAsia="Yu Gothic Light"/>
          <w:b/>
        </w:rPr>
      </w:pPr>
      <w:r w:rsidRPr="00544EA2">
        <w:rPr>
          <w:rFonts w:eastAsia="Yu Gothic Light"/>
        </w:rPr>
        <w:t>Available following a hospital admission, transition care is delivered under the service groups of home support, assistive technology and residential care</w:t>
      </w:r>
      <w:r w:rsidRPr="00544EA2">
        <w:rPr>
          <w:rFonts w:eastAsia="Yu Gothic Light"/>
          <w:b/>
        </w:rPr>
        <w:t xml:space="preserve">. </w:t>
      </w:r>
    </w:p>
    <w:bookmarkEnd w:id="793"/>
    <w:p w14:paraId="570D0F20" w14:textId="19DF4732" w:rsidR="003B0176" w:rsidRPr="00544EA2" w:rsidRDefault="008A27AE" w:rsidP="00622CFF">
      <w:pPr>
        <w:spacing w:before="240" w:after="240" w:line="240" w:lineRule="auto"/>
        <w:rPr>
          <w:rFonts w:eastAsia="Yu Gothic Light"/>
        </w:rPr>
      </w:pPr>
      <w:r>
        <w:rPr>
          <w:rFonts w:eastAsia="Yu Gothic Light"/>
        </w:rPr>
        <w:t xml:space="preserve">The </w:t>
      </w:r>
      <w:r w:rsidR="003B0176" w:rsidRPr="00544EA2">
        <w:rPr>
          <w:rFonts w:eastAsia="Yu Gothic Light"/>
        </w:rPr>
        <w:t xml:space="preserve">Transition Care </w:t>
      </w:r>
      <w:r w:rsidR="00576CA8">
        <w:rPr>
          <w:rFonts w:eastAsia="Yu Gothic Light"/>
        </w:rPr>
        <w:t>Program</w:t>
      </w:r>
      <w:r w:rsidR="00A61CC4">
        <w:rPr>
          <w:rFonts w:eastAsia="Yu Gothic Light"/>
        </w:rPr>
        <w:t xml:space="preserve"> (TCP)</w:t>
      </w:r>
      <w:r w:rsidR="00576CA8">
        <w:rPr>
          <w:rFonts w:eastAsia="Yu Gothic Light"/>
        </w:rPr>
        <w:t xml:space="preserve"> is</w:t>
      </w:r>
      <w:r w:rsidR="003B0176" w:rsidRPr="00544EA2">
        <w:rPr>
          <w:rFonts w:eastAsia="Yu Gothic Light"/>
        </w:rPr>
        <w:t xml:space="preserve"> designed to support individuals in the period immediately after discharge from hospital. It aims to facilitate recovery, improve functional capacity, and provide time and support in a non-hospital environment while long-term care arrangements are being considered. The ‘non-hospital environment’ may be a home or community setting, or a residential care home.</w:t>
      </w:r>
    </w:p>
    <w:p w14:paraId="2B0A1325" w14:textId="0FF1C4EE" w:rsidR="003B0176" w:rsidRPr="00544EA2" w:rsidRDefault="003B0176" w:rsidP="00CC6081">
      <w:pPr>
        <w:pStyle w:val="H4"/>
      </w:pPr>
      <w:bookmarkStart w:id="794" w:name="_Toc198787194"/>
      <w:bookmarkStart w:id="795" w:name="_Toc470799411"/>
      <w:bookmarkStart w:id="796" w:name="_Toc199344581"/>
      <w:bookmarkStart w:id="797" w:name="_Toc205372118"/>
      <w:bookmarkStart w:id="798" w:name="_Toc207714029"/>
      <w:r w:rsidRPr="00544EA2">
        <w:t xml:space="preserve">Transition care and the </w:t>
      </w:r>
      <w:r w:rsidR="00D6606F" w:rsidRPr="009A1B8F">
        <w:rPr>
          <w:i/>
        </w:rPr>
        <w:t xml:space="preserve">Aged Care </w:t>
      </w:r>
      <w:r w:rsidRPr="009A1B8F">
        <w:rPr>
          <w:i/>
        </w:rPr>
        <w:t>Act</w:t>
      </w:r>
      <w:bookmarkEnd w:id="794"/>
      <w:bookmarkEnd w:id="795"/>
      <w:bookmarkEnd w:id="796"/>
      <w:bookmarkEnd w:id="797"/>
      <w:bookmarkEnd w:id="798"/>
      <w:r w:rsidR="00D6606F" w:rsidRPr="009A1B8F">
        <w:rPr>
          <w:i/>
        </w:rPr>
        <w:t xml:space="preserve"> </w:t>
      </w:r>
      <w:r w:rsidR="00D6606F" w:rsidRPr="009A1B8F">
        <w:rPr>
          <w:i/>
          <w:iCs/>
        </w:rPr>
        <w:t>202</w:t>
      </w:r>
      <w:r w:rsidR="00C64658" w:rsidRPr="009A1B8F">
        <w:rPr>
          <w:i/>
          <w:iCs/>
        </w:rPr>
        <w:t>4</w:t>
      </w:r>
    </w:p>
    <w:p w14:paraId="3C8D4816" w14:textId="1CC69B7E" w:rsidR="003B0176" w:rsidRPr="00544EA2" w:rsidRDefault="003B0176" w:rsidP="00622CFF">
      <w:pPr>
        <w:spacing w:before="240" w:after="240" w:line="240" w:lineRule="auto"/>
        <w:rPr>
          <w:rFonts w:eastAsia="Yu Gothic Light"/>
        </w:rPr>
      </w:pPr>
      <w:r w:rsidRPr="00544EA2">
        <w:rPr>
          <w:rFonts w:eastAsia="Yu Gothic Light"/>
        </w:rPr>
        <w:t xml:space="preserve">Before approving a recommendation for transition care, </w:t>
      </w:r>
      <w:r w:rsidR="00A970EF">
        <w:rPr>
          <w:rFonts w:eastAsia="Yu Gothic Light"/>
        </w:rPr>
        <w:t>A</w:t>
      </w:r>
      <w:r w:rsidR="0054696A">
        <w:rPr>
          <w:rFonts w:eastAsia="Yu Gothic Light"/>
        </w:rPr>
        <w:t xml:space="preserve">ssessment </w:t>
      </w:r>
      <w:r w:rsidR="00A970EF">
        <w:rPr>
          <w:rFonts w:eastAsia="Yu Gothic Light"/>
        </w:rPr>
        <w:t>D</w:t>
      </w:r>
      <w:r w:rsidR="0054696A">
        <w:rPr>
          <w:rFonts w:eastAsia="Yu Gothic Light"/>
        </w:rPr>
        <w:t>elegates</w:t>
      </w:r>
      <w:r w:rsidRPr="00544EA2">
        <w:rPr>
          <w:rFonts w:eastAsia="Yu Gothic Light"/>
        </w:rPr>
        <w:t xml:space="preserve"> first need to decide if an older person requires and is eligible to access to one of the relevant service groups. </w:t>
      </w:r>
    </w:p>
    <w:p w14:paraId="13133F13" w14:textId="366891B5" w:rsidR="003B0176" w:rsidRPr="00544EA2" w:rsidRDefault="003B0176" w:rsidP="00622CFF">
      <w:pPr>
        <w:spacing w:before="240" w:after="240" w:line="240" w:lineRule="auto"/>
        <w:rPr>
          <w:rFonts w:eastAsia="Yu Gothic Light"/>
        </w:rPr>
      </w:pPr>
      <w:r w:rsidRPr="00544EA2">
        <w:rPr>
          <w:rFonts w:eastAsia="Yu Gothic Light"/>
        </w:rPr>
        <w:t xml:space="preserve">Please note </w:t>
      </w:r>
      <w:r w:rsidRPr="0053236B">
        <w:rPr>
          <w:rFonts w:eastAsia="Yu Gothic Light"/>
        </w:rPr>
        <w:t>section 68</w:t>
      </w:r>
      <w:r w:rsidRPr="00544EA2">
        <w:rPr>
          <w:rFonts w:eastAsia="Yu Gothic Light"/>
        </w:rPr>
        <w:t xml:space="preserve"> of the </w:t>
      </w:r>
      <w:r w:rsidR="00457053">
        <w:rPr>
          <w:rFonts w:eastAsia="Yu Gothic Light"/>
        </w:rPr>
        <w:t xml:space="preserve">Aged Care </w:t>
      </w:r>
      <w:r w:rsidRPr="00544EA2">
        <w:rPr>
          <w:rFonts w:eastAsia="Yu Gothic Light"/>
        </w:rPr>
        <w:t>Act</w:t>
      </w:r>
      <w:r w:rsidR="00457053">
        <w:rPr>
          <w:rFonts w:eastAsia="Yu Gothic Light"/>
        </w:rPr>
        <w:t xml:space="preserve"> 2024</w:t>
      </w:r>
      <w:r w:rsidR="00570D46">
        <w:rPr>
          <w:rFonts w:eastAsia="Yu Gothic Light"/>
        </w:rPr>
        <w:t xml:space="preserve"> (the Act)</w:t>
      </w:r>
      <w:r w:rsidRPr="00544EA2">
        <w:rPr>
          <w:rFonts w:eastAsia="Yu Gothic Light"/>
        </w:rPr>
        <w:t xml:space="preserve"> (relating to ‘people who are sick’) applies to approving </w:t>
      </w:r>
      <w:r w:rsidR="00EC361D">
        <w:rPr>
          <w:rFonts w:eastAsia="Yu Gothic Light"/>
        </w:rPr>
        <w:t>t</w:t>
      </w:r>
      <w:r w:rsidRPr="00544EA2">
        <w:rPr>
          <w:rFonts w:eastAsia="Yu Gothic Light"/>
        </w:rPr>
        <w:t xml:space="preserve">ransition </w:t>
      </w:r>
      <w:r w:rsidR="00EC361D">
        <w:rPr>
          <w:rFonts w:eastAsia="Yu Gothic Light"/>
        </w:rPr>
        <w:t>c</w:t>
      </w:r>
      <w:r w:rsidRPr="00544EA2">
        <w:rPr>
          <w:rFonts w:eastAsia="Yu Gothic Light"/>
        </w:rPr>
        <w:t xml:space="preserve">are in the same way it applies to approving residential respite care. </w:t>
      </w:r>
      <w:r w:rsidRPr="0053236B">
        <w:rPr>
          <w:rFonts w:eastAsia="Yu Gothic Light"/>
        </w:rPr>
        <w:t>Section 67</w:t>
      </w:r>
      <w:r w:rsidRPr="00544EA2">
        <w:rPr>
          <w:rFonts w:eastAsia="Yu Gothic Light"/>
        </w:rPr>
        <w:t xml:space="preserve"> of the Act (relating to people who have a disability) also applies to approving people for </w:t>
      </w:r>
      <w:r w:rsidR="00EC361D">
        <w:rPr>
          <w:rFonts w:eastAsia="Yu Gothic Light"/>
        </w:rPr>
        <w:t>t</w:t>
      </w:r>
      <w:r w:rsidRPr="00544EA2">
        <w:rPr>
          <w:rFonts w:eastAsia="Yu Gothic Light"/>
        </w:rPr>
        <w:t xml:space="preserve">ransition </w:t>
      </w:r>
      <w:r w:rsidR="00EC361D">
        <w:rPr>
          <w:rFonts w:eastAsia="Yu Gothic Light"/>
        </w:rPr>
        <w:t>c</w:t>
      </w:r>
      <w:r w:rsidRPr="00544EA2">
        <w:rPr>
          <w:rFonts w:eastAsia="Yu Gothic Light"/>
        </w:rPr>
        <w:t>are in the same way as it applies to approving people for home support (under the Support at Home program or CHSP) and assistive technology (under the AT-HM scheme or CHSP).</w:t>
      </w:r>
    </w:p>
    <w:p w14:paraId="64676F87" w14:textId="624F34A3" w:rsidR="003B0176" w:rsidRPr="00544EA2" w:rsidRDefault="003B0176" w:rsidP="00622CFF">
      <w:pPr>
        <w:spacing w:before="240" w:after="240" w:line="240" w:lineRule="auto"/>
        <w:rPr>
          <w:rFonts w:eastAsia="Yu Gothic Light"/>
        </w:rPr>
      </w:pPr>
      <w:r w:rsidRPr="00544EA2">
        <w:rPr>
          <w:rFonts w:eastAsia="Yu Gothic Light"/>
        </w:rPr>
        <w:t xml:space="preserve">To access hospital transition care, an individual must first undergo an aged care needs assessment following a hospital admission. If </w:t>
      </w:r>
      <w:r w:rsidR="0054696A">
        <w:rPr>
          <w:rFonts w:eastAsia="Yu Gothic Light"/>
        </w:rPr>
        <w:t>it is</w:t>
      </w:r>
      <w:r w:rsidRPr="00544EA2">
        <w:rPr>
          <w:rFonts w:eastAsia="Yu Gothic Light"/>
        </w:rPr>
        <w:t xml:space="preserve"> decide</w:t>
      </w:r>
      <w:r w:rsidR="0054696A">
        <w:rPr>
          <w:rFonts w:eastAsia="Yu Gothic Light"/>
        </w:rPr>
        <w:t>d</w:t>
      </w:r>
      <w:r w:rsidRPr="00544EA2">
        <w:rPr>
          <w:rFonts w:eastAsia="Yu Gothic Light"/>
        </w:rPr>
        <w:t xml:space="preserve"> they require and are eligible for hospital transition care, under the Act </w:t>
      </w:r>
      <w:r w:rsidR="00CD3922">
        <w:rPr>
          <w:rFonts w:eastAsia="Yu Gothic Light"/>
        </w:rPr>
        <w:t>A</w:t>
      </w:r>
      <w:r w:rsidR="0054696A">
        <w:rPr>
          <w:rFonts w:eastAsia="Yu Gothic Light"/>
        </w:rPr>
        <w:t xml:space="preserve">ssessment </w:t>
      </w:r>
      <w:r w:rsidR="00CD3922">
        <w:rPr>
          <w:rFonts w:eastAsia="Yu Gothic Light"/>
        </w:rPr>
        <w:t>Delegates</w:t>
      </w:r>
      <w:r w:rsidR="00CD3922" w:rsidRPr="00544EA2">
        <w:rPr>
          <w:rFonts w:eastAsia="Yu Gothic Light"/>
        </w:rPr>
        <w:t xml:space="preserve"> </w:t>
      </w:r>
      <w:r w:rsidRPr="00544EA2">
        <w:rPr>
          <w:rFonts w:eastAsia="Yu Gothic Light"/>
        </w:rPr>
        <w:t>must approve them for:</w:t>
      </w:r>
    </w:p>
    <w:p w14:paraId="6F2E6DA6" w14:textId="77777777" w:rsidR="003B0176" w:rsidRPr="00544EA2" w:rsidRDefault="003B0176" w:rsidP="00DF3F6B">
      <w:pPr>
        <w:numPr>
          <w:ilvl w:val="0"/>
          <w:numId w:val="160"/>
        </w:numPr>
        <w:spacing w:before="240" w:after="240" w:line="240" w:lineRule="auto"/>
        <w:contextualSpacing/>
        <w:rPr>
          <w:rFonts w:eastAsia="Yu Gothic Light"/>
        </w:rPr>
      </w:pPr>
      <w:r w:rsidRPr="00544EA2">
        <w:rPr>
          <w:rFonts w:eastAsia="Yu Gothic Light"/>
        </w:rPr>
        <w:t xml:space="preserve">the classification type </w:t>
      </w:r>
      <w:r w:rsidRPr="0053236B">
        <w:rPr>
          <w:rFonts w:eastAsia="Yu Gothic Light"/>
        </w:rPr>
        <w:t>hospital transition</w:t>
      </w:r>
      <w:r w:rsidRPr="00544EA2">
        <w:rPr>
          <w:rFonts w:eastAsia="Yu Gothic Light"/>
        </w:rPr>
        <w:t xml:space="preserve"> for </w:t>
      </w:r>
      <w:r w:rsidRPr="0053236B">
        <w:rPr>
          <w:rFonts w:eastAsia="Yu Gothic Light"/>
        </w:rPr>
        <w:t>all three</w:t>
      </w:r>
      <w:r w:rsidRPr="00544EA2">
        <w:rPr>
          <w:rFonts w:eastAsia="Yu Gothic Light"/>
        </w:rPr>
        <w:t xml:space="preserve"> of the following service groups: </w:t>
      </w:r>
      <w:r w:rsidRPr="0053236B">
        <w:rPr>
          <w:rFonts w:eastAsia="Yu Gothic Light"/>
        </w:rPr>
        <w:t>home support</w:t>
      </w:r>
      <w:r w:rsidRPr="00544EA2">
        <w:rPr>
          <w:rFonts w:eastAsia="Yu Gothic Light"/>
        </w:rPr>
        <w:t xml:space="preserve">, </w:t>
      </w:r>
      <w:r w:rsidRPr="0053236B">
        <w:rPr>
          <w:rFonts w:eastAsia="Yu Gothic Light"/>
        </w:rPr>
        <w:t>assistive technology</w:t>
      </w:r>
      <w:r w:rsidRPr="00544EA2">
        <w:rPr>
          <w:rFonts w:eastAsia="Yu Gothic Light"/>
        </w:rPr>
        <w:t xml:space="preserve"> and </w:t>
      </w:r>
      <w:r w:rsidRPr="0053236B">
        <w:rPr>
          <w:rFonts w:eastAsia="Yu Gothic Light"/>
        </w:rPr>
        <w:t>residential care</w:t>
      </w:r>
    </w:p>
    <w:p w14:paraId="633170D0" w14:textId="77777777" w:rsidR="003B0176" w:rsidRPr="00544EA2" w:rsidRDefault="003B0176" w:rsidP="00DF3F6B">
      <w:pPr>
        <w:numPr>
          <w:ilvl w:val="0"/>
          <w:numId w:val="160"/>
        </w:numPr>
        <w:spacing w:before="240" w:after="240" w:line="240" w:lineRule="auto"/>
        <w:contextualSpacing/>
        <w:rPr>
          <w:rFonts w:eastAsia="Yu Gothic Light"/>
        </w:rPr>
      </w:pPr>
      <w:r w:rsidRPr="00544EA2">
        <w:rPr>
          <w:rFonts w:eastAsia="Yu Gothic Light"/>
        </w:rPr>
        <w:t xml:space="preserve">the service type </w:t>
      </w:r>
      <w:r w:rsidRPr="0053236B">
        <w:rPr>
          <w:rFonts w:eastAsia="Yu Gothic Light"/>
        </w:rPr>
        <w:t>assistance with transition care</w:t>
      </w:r>
      <w:r w:rsidRPr="00544EA2">
        <w:rPr>
          <w:rFonts w:eastAsia="Yu Gothic Light"/>
        </w:rPr>
        <w:t xml:space="preserve"> under the home support service group</w:t>
      </w:r>
    </w:p>
    <w:p w14:paraId="7AC1D0F9" w14:textId="77777777" w:rsidR="003B0176" w:rsidRPr="00544EA2" w:rsidRDefault="003B0176" w:rsidP="00DF3F6B">
      <w:pPr>
        <w:numPr>
          <w:ilvl w:val="0"/>
          <w:numId w:val="160"/>
        </w:numPr>
        <w:spacing w:before="240" w:after="240" w:line="240" w:lineRule="auto"/>
        <w:contextualSpacing/>
        <w:rPr>
          <w:rFonts w:eastAsia="Yu Gothic Light"/>
        </w:rPr>
      </w:pPr>
      <w:r w:rsidRPr="0053236B">
        <w:rPr>
          <w:rFonts w:eastAsia="Yu Gothic Light"/>
        </w:rPr>
        <w:t>all service types that can be delivered through the Transition Care Program</w:t>
      </w:r>
      <w:r w:rsidRPr="00544EA2">
        <w:rPr>
          <w:rFonts w:eastAsia="Yu Gothic Light"/>
        </w:rPr>
        <w:t>, as specified in sections 50, 53 and 62 of the Aged Care Rules 2025</w:t>
      </w:r>
    </w:p>
    <w:p w14:paraId="1AEA3DA9" w14:textId="19620B32" w:rsidR="003B0176" w:rsidRPr="00544EA2" w:rsidRDefault="003B0176" w:rsidP="00DF3F6B">
      <w:pPr>
        <w:numPr>
          <w:ilvl w:val="0"/>
          <w:numId w:val="160"/>
        </w:numPr>
        <w:spacing w:before="240" w:after="240" w:line="240" w:lineRule="auto"/>
        <w:contextualSpacing/>
        <w:rPr>
          <w:rFonts w:eastAsia="Yu Gothic Light"/>
        </w:rPr>
      </w:pPr>
      <w:r w:rsidRPr="00544EA2">
        <w:rPr>
          <w:rFonts w:eastAsia="Yu Gothic Light"/>
        </w:rPr>
        <w:t xml:space="preserve">the corresponding </w:t>
      </w:r>
      <w:r w:rsidRPr="0053236B">
        <w:rPr>
          <w:rFonts w:eastAsia="Yu Gothic Light"/>
        </w:rPr>
        <w:t>classification level</w:t>
      </w:r>
      <w:r w:rsidRPr="00544EA2">
        <w:rPr>
          <w:rFonts w:eastAsia="Yu Gothic Light"/>
        </w:rPr>
        <w:t xml:space="preserve"> for each of the service groups approved: </w:t>
      </w:r>
      <w:r w:rsidRPr="00544EA2">
        <w:rPr>
          <w:rFonts w:eastAsia="Yu Gothic Light"/>
          <w:i/>
        </w:rPr>
        <w:t>HS HT class</w:t>
      </w:r>
      <w:r w:rsidRPr="00544EA2">
        <w:rPr>
          <w:rFonts w:eastAsia="Yu Gothic Light"/>
        </w:rPr>
        <w:t xml:space="preserve"> for home support, </w:t>
      </w:r>
      <w:r w:rsidRPr="00544EA2">
        <w:rPr>
          <w:rFonts w:eastAsia="Yu Gothic Light"/>
          <w:i/>
        </w:rPr>
        <w:t>AT HT class</w:t>
      </w:r>
      <w:r w:rsidRPr="00544EA2">
        <w:rPr>
          <w:rFonts w:eastAsia="Yu Gothic Light"/>
        </w:rPr>
        <w:t xml:space="preserve"> for assistive technology and RC HT class for residential care.</w:t>
      </w:r>
    </w:p>
    <w:p w14:paraId="5E06D1F3" w14:textId="77777777" w:rsidR="00F04B65" w:rsidRPr="00544EA2" w:rsidRDefault="00F04B65" w:rsidP="00F04B65">
      <w:pPr>
        <w:spacing w:before="240" w:after="240" w:line="240" w:lineRule="auto"/>
        <w:ind w:left="720"/>
        <w:contextualSpacing/>
        <w:rPr>
          <w:rFonts w:eastAsia="Yu Gothic Light"/>
        </w:rPr>
      </w:pPr>
    </w:p>
    <w:p w14:paraId="349B243B" w14:textId="5EACC990" w:rsidR="003B0176" w:rsidRPr="00544EA2" w:rsidRDefault="00CA5F80" w:rsidP="00622CFF">
      <w:pPr>
        <w:spacing w:before="240" w:after="240" w:line="240" w:lineRule="auto"/>
        <w:rPr>
          <w:rFonts w:eastAsia="Yu Gothic Light"/>
        </w:rPr>
      </w:pPr>
      <w:r>
        <w:rPr>
          <w:rFonts w:eastAsia="Yu Gothic Light"/>
        </w:rPr>
        <w:t xml:space="preserve">If the support </w:t>
      </w:r>
      <w:r w:rsidR="00F90086">
        <w:rPr>
          <w:rFonts w:eastAsia="Yu Gothic Light"/>
        </w:rPr>
        <w:t>plan includes a recommendation for TCP, t</w:t>
      </w:r>
      <w:r w:rsidR="00493DA3" w:rsidRPr="00544EA2">
        <w:rPr>
          <w:rFonts w:eastAsia="Yu Gothic Light"/>
        </w:rPr>
        <w:t>he Notice of Decision template</w:t>
      </w:r>
      <w:r w:rsidR="00F90086">
        <w:rPr>
          <w:rFonts w:eastAsia="Yu Gothic Light"/>
        </w:rPr>
        <w:t xml:space="preserve"> the </w:t>
      </w:r>
      <w:r w:rsidR="006D3345">
        <w:rPr>
          <w:rFonts w:eastAsia="Yu Gothic Light"/>
        </w:rPr>
        <w:t>a</w:t>
      </w:r>
      <w:r w:rsidR="00DE6F02">
        <w:rPr>
          <w:rFonts w:eastAsia="Yu Gothic Light"/>
        </w:rPr>
        <w:t xml:space="preserve">ssessment </w:t>
      </w:r>
      <w:r w:rsidR="006D3345">
        <w:rPr>
          <w:rFonts w:eastAsia="Yu Gothic Light"/>
        </w:rPr>
        <w:t>d</w:t>
      </w:r>
      <w:r w:rsidR="00F90086">
        <w:rPr>
          <w:rFonts w:eastAsia="Yu Gothic Light"/>
        </w:rPr>
        <w:t>elegate generates in the Assessor Portal will</w:t>
      </w:r>
      <w:r w:rsidR="00493DA3" w:rsidRPr="00544EA2">
        <w:rPr>
          <w:rFonts w:eastAsia="Yu Gothic Light"/>
        </w:rPr>
        <w:t xml:space="preserve"> include</w:t>
      </w:r>
      <w:r w:rsidR="0066008E">
        <w:rPr>
          <w:rFonts w:eastAsia="Yu Gothic Light"/>
        </w:rPr>
        <w:t xml:space="preserve"> </w:t>
      </w:r>
      <w:r>
        <w:rPr>
          <w:rFonts w:eastAsia="Yu Gothic Light"/>
        </w:rPr>
        <w:t xml:space="preserve">wording </w:t>
      </w:r>
      <w:r w:rsidR="00F90086">
        <w:rPr>
          <w:rFonts w:eastAsia="Yu Gothic Light"/>
        </w:rPr>
        <w:t xml:space="preserve">covering all the </w:t>
      </w:r>
      <w:r w:rsidR="0066008E">
        <w:rPr>
          <w:rFonts w:eastAsia="Yu Gothic Light"/>
        </w:rPr>
        <w:t>required approval</w:t>
      </w:r>
      <w:r>
        <w:rPr>
          <w:rFonts w:eastAsia="Yu Gothic Light"/>
        </w:rPr>
        <w:t>s</w:t>
      </w:r>
      <w:r w:rsidR="00F90086">
        <w:rPr>
          <w:rFonts w:eastAsia="Yu Gothic Light"/>
        </w:rPr>
        <w:t xml:space="preserve"> </w:t>
      </w:r>
      <w:r w:rsidR="00DE6F02">
        <w:rPr>
          <w:rFonts w:eastAsia="Yu Gothic Light"/>
        </w:rPr>
        <w:t xml:space="preserve">listed </w:t>
      </w:r>
      <w:r w:rsidR="00F90086">
        <w:rPr>
          <w:rFonts w:eastAsia="Yu Gothic Light"/>
        </w:rPr>
        <w:t>above</w:t>
      </w:r>
      <w:r w:rsidR="00493DA3" w:rsidRPr="00544EA2">
        <w:rPr>
          <w:rFonts w:eastAsia="Yu Gothic Light"/>
        </w:rPr>
        <w:t>.</w:t>
      </w:r>
      <w:r w:rsidR="00493DA3">
        <w:rPr>
          <w:rFonts w:eastAsia="Yu Gothic Light"/>
        </w:rPr>
        <w:t xml:space="preserve"> </w:t>
      </w:r>
      <w:r w:rsidR="003B0176" w:rsidRPr="00544EA2">
        <w:rPr>
          <w:rFonts w:eastAsia="Yu Gothic Light"/>
        </w:rPr>
        <w:t xml:space="preserve">The table below summarises the </w:t>
      </w:r>
      <w:r w:rsidR="009E37D3">
        <w:rPr>
          <w:rFonts w:eastAsia="Yu Gothic Light"/>
        </w:rPr>
        <w:t>service group, classification type and classification level approvals given whenev</w:t>
      </w:r>
      <w:r w:rsidR="0001602C">
        <w:rPr>
          <w:rFonts w:eastAsia="Yu Gothic Light"/>
        </w:rPr>
        <w:t xml:space="preserve">er an older person is approved </w:t>
      </w:r>
      <w:r w:rsidR="00EC361D">
        <w:rPr>
          <w:rFonts w:eastAsia="Yu Gothic Light"/>
        </w:rPr>
        <w:t>for transition care through TCP.</w:t>
      </w:r>
      <w:r w:rsidR="003B0176" w:rsidRPr="00544EA2">
        <w:rPr>
          <w:rFonts w:eastAsia="Yu Gothic Light"/>
        </w:rPr>
        <w:t xml:space="preserve"> </w:t>
      </w:r>
    </w:p>
    <w:p w14:paraId="3EC9C13A" w14:textId="02B48BB9" w:rsidR="003B0176" w:rsidRPr="00544EA2" w:rsidRDefault="003B0176" w:rsidP="00622CFF">
      <w:pPr>
        <w:pStyle w:val="Caption"/>
        <w:spacing w:before="240" w:after="240"/>
        <w:rPr>
          <w:rFonts w:eastAsia="Yu Gothic Light"/>
        </w:rPr>
      </w:pPr>
      <w:r>
        <w:rPr>
          <w:rFonts w:eastAsia="Yu Gothic Light"/>
        </w:rPr>
        <w:t xml:space="preserve">Table </w:t>
      </w:r>
      <w:r w:rsidR="0017422B">
        <w:rPr>
          <w:rFonts w:eastAsia="Yu Gothic Light"/>
        </w:rPr>
        <w:t>50</w:t>
      </w:r>
      <w:r>
        <w:rPr>
          <w:rFonts w:eastAsia="Yu Gothic Light"/>
        </w:rPr>
        <w:t xml:space="preserve">. Summary of approvals under the Act for hospital transition care </w:t>
      </w:r>
    </w:p>
    <w:tbl>
      <w:tblPr>
        <w:tblW w:w="7358" w:type="dxa"/>
        <w:tblCellMar>
          <w:left w:w="0" w:type="dxa"/>
          <w:right w:w="0" w:type="dxa"/>
        </w:tblCellMar>
        <w:tblLook w:val="0420" w:firstRow="1" w:lastRow="0" w:firstColumn="0" w:lastColumn="0" w:noHBand="0" w:noVBand="1"/>
        <w:tblCaption w:val="Summary of approvals under the Act for hospital transition care"/>
      </w:tblPr>
      <w:tblGrid>
        <w:gridCol w:w="2542"/>
        <w:gridCol w:w="2229"/>
        <w:gridCol w:w="2587"/>
      </w:tblGrid>
      <w:tr w:rsidR="003B0176" w:rsidRPr="00544EA2" w14:paraId="074018ED" w14:textId="77777777" w:rsidTr="0053236B">
        <w:trPr>
          <w:trHeight w:val="269"/>
        </w:trPr>
        <w:tc>
          <w:tcPr>
            <w:tcW w:w="2542" w:type="dxa"/>
            <w:tcBorders>
              <w:top w:val="single" w:sz="8" w:space="0" w:color="FFFFFF"/>
              <w:left w:val="single" w:sz="8" w:space="0" w:color="FFFFFF"/>
              <w:bottom w:val="single" w:sz="24" w:space="0" w:color="FFFFFF"/>
              <w:right w:val="single" w:sz="8" w:space="0" w:color="FFFFFF"/>
            </w:tcBorders>
            <w:shd w:val="clear" w:color="auto" w:fill="002060"/>
          </w:tcPr>
          <w:p w14:paraId="5D06A715" w14:textId="77777777" w:rsidR="003B0176" w:rsidRPr="00544EA2" w:rsidRDefault="003B0176" w:rsidP="00E76F5F">
            <w:pPr>
              <w:spacing w:before="120" w:after="120" w:line="240" w:lineRule="auto"/>
              <w:rPr>
                <w:rFonts w:eastAsia="Yu Gothic Light"/>
                <w:b/>
                <w:color w:val="FFFFFF"/>
              </w:rPr>
            </w:pPr>
            <w:r w:rsidRPr="00544EA2">
              <w:rPr>
                <w:rFonts w:eastAsia="Yu Gothic Light"/>
                <w:b/>
                <w:color w:val="FFFFFF"/>
              </w:rPr>
              <w:t>Service group</w:t>
            </w:r>
          </w:p>
        </w:tc>
        <w:tc>
          <w:tcPr>
            <w:tcW w:w="222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6344C8BD" w14:textId="77777777" w:rsidR="003B0176" w:rsidRPr="00544EA2" w:rsidRDefault="003B0176" w:rsidP="00E76F5F">
            <w:pPr>
              <w:spacing w:before="120" w:after="120" w:line="240" w:lineRule="auto"/>
              <w:rPr>
                <w:rFonts w:eastAsia="Yu Gothic Light"/>
                <w:b/>
                <w:color w:val="FFFFFF"/>
              </w:rPr>
            </w:pPr>
            <w:r w:rsidRPr="00544EA2">
              <w:rPr>
                <w:rFonts w:eastAsia="Yu Gothic Light"/>
                <w:b/>
                <w:color w:val="FFFFFF"/>
              </w:rPr>
              <w:t>Classification type</w:t>
            </w:r>
          </w:p>
        </w:tc>
        <w:tc>
          <w:tcPr>
            <w:tcW w:w="2587"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60D5DB04" w14:textId="77777777" w:rsidR="003B0176" w:rsidRPr="00544EA2" w:rsidRDefault="003B0176" w:rsidP="00E76F5F">
            <w:pPr>
              <w:spacing w:before="120" w:after="120" w:line="240" w:lineRule="auto"/>
              <w:rPr>
                <w:rFonts w:eastAsia="Yu Gothic Light"/>
                <w:b/>
                <w:color w:val="FFFFFF"/>
              </w:rPr>
            </w:pPr>
            <w:r w:rsidRPr="00544EA2">
              <w:rPr>
                <w:rFonts w:eastAsia="Yu Gothic Light"/>
                <w:b/>
                <w:color w:val="FFFFFF"/>
              </w:rPr>
              <w:t>Classification level</w:t>
            </w:r>
            <w:r w:rsidRPr="00544EA2">
              <w:rPr>
                <w:rFonts w:eastAsia="Yu Gothic Light"/>
                <w:b/>
                <w:color w:val="FFFFFF"/>
              </w:rPr>
              <w:br/>
            </w:r>
          </w:p>
        </w:tc>
      </w:tr>
      <w:tr w:rsidR="003B0176" w:rsidRPr="00544EA2" w14:paraId="15206C5E" w14:textId="77777777" w:rsidTr="0053236B">
        <w:trPr>
          <w:trHeight w:val="584"/>
        </w:trPr>
        <w:tc>
          <w:tcPr>
            <w:tcW w:w="2542" w:type="dxa"/>
            <w:tcBorders>
              <w:top w:val="single" w:sz="24" w:space="0" w:color="FFFFFF"/>
              <w:left w:val="single" w:sz="8" w:space="0" w:color="FFFFFF"/>
              <w:bottom w:val="single" w:sz="4" w:space="0" w:color="auto"/>
              <w:right w:val="single" w:sz="8" w:space="0" w:color="FFFFFF"/>
            </w:tcBorders>
            <w:shd w:val="clear" w:color="auto" w:fill="FFFFFF" w:themeFill="background1"/>
          </w:tcPr>
          <w:p w14:paraId="4108E1DD" w14:textId="77777777" w:rsidR="003B0176" w:rsidRPr="00544EA2" w:rsidRDefault="003B0176" w:rsidP="00E76F5F">
            <w:pPr>
              <w:spacing w:before="120" w:after="120" w:line="240" w:lineRule="auto"/>
              <w:rPr>
                <w:rFonts w:eastAsia="Yu Gothic Light"/>
                <w:b/>
              </w:rPr>
            </w:pPr>
            <w:r w:rsidRPr="00544EA2">
              <w:rPr>
                <w:rFonts w:eastAsia="Yu Gothic Light"/>
                <w:b/>
              </w:rPr>
              <w:t>Home Support</w:t>
            </w:r>
          </w:p>
        </w:tc>
        <w:tc>
          <w:tcPr>
            <w:tcW w:w="2229"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0CCDA3BF" w14:textId="77777777" w:rsidR="003B0176" w:rsidRPr="00544EA2" w:rsidRDefault="003B0176" w:rsidP="00E76F5F">
            <w:pPr>
              <w:spacing w:before="120" w:after="120" w:line="240" w:lineRule="auto"/>
              <w:rPr>
                <w:rFonts w:eastAsia="Yu Gothic Light"/>
                <w:b/>
              </w:rPr>
            </w:pPr>
            <w:r w:rsidRPr="00544EA2">
              <w:rPr>
                <w:rFonts w:eastAsia="Yu Gothic Light"/>
                <w:b/>
              </w:rPr>
              <w:t>Hospital transition</w:t>
            </w:r>
          </w:p>
        </w:tc>
        <w:tc>
          <w:tcPr>
            <w:tcW w:w="2587"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480F7C4D" w14:textId="77777777" w:rsidR="003B0176" w:rsidRPr="00544EA2" w:rsidRDefault="003B0176" w:rsidP="00E76F5F">
            <w:pPr>
              <w:spacing w:before="120" w:after="120" w:line="240" w:lineRule="auto"/>
              <w:rPr>
                <w:rFonts w:eastAsia="Yu Gothic Light"/>
              </w:rPr>
            </w:pPr>
            <w:r w:rsidRPr="00544EA2">
              <w:rPr>
                <w:rFonts w:eastAsia="Yu Gothic Light"/>
              </w:rPr>
              <w:t>HS HT class</w:t>
            </w:r>
          </w:p>
        </w:tc>
      </w:tr>
      <w:tr w:rsidR="003B0176" w:rsidRPr="00544EA2" w14:paraId="1DE5948A" w14:textId="77777777" w:rsidTr="0053236B">
        <w:trPr>
          <w:trHeight w:val="584"/>
        </w:trPr>
        <w:tc>
          <w:tcPr>
            <w:tcW w:w="2542"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17EA1630" w14:textId="77777777" w:rsidR="003B0176" w:rsidRPr="00544EA2" w:rsidRDefault="003B0176" w:rsidP="00E76F5F">
            <w:pPr>
              <w:spacing w:before="120" w:after="120" w:line="240" w:lineRule="auto"/>
              <w:rPr>
                <w:rFonts w:eastAsia="Yu Gothic Light"/>
                <w:b/>
              </w:rPr>
            </w:pPr>
            <w:r w:rsidRPr="00544EA2">
              <w:rPr>
                <w:rFonts w:eastAsia="Yu Gothic Light"/>
                <w:b/>
              </w:rPr>
              <w:t>Assistive technology</w:t>
            </w:r>
          </w:p>
        </w:tc>
        <w:tc>
          <w:tcPr>
            <w:tcW w:w="2229"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0A61E038" w14:textId="77777777" w:rsidR="003B0176" w:rsidRPr="00544EA2" w:rsidRDefault="003B0176" w:rsidP="00E76F5F">
            <w:pPr>
              <w:spacing w:before="120" w:after="120" w:line="240" w:lineRule="auto"/>
              <w:rPr>
                <w:rFonts w:eastAsia="Yu Gothic Light"/>
                <w:b/>
              </w:rPr>
            </w:pPr>
            <w:r w:rsidRPr="00544EA2">
              <w:rPr>
                <w:rFonts w:eastAsia="Yu Gothic Light"/>
                <w:b/>
              </w:rPr>
              <w:t>Hospital transition</w:t>
            </w:r>
          </w:p>
        </w:tc>
        <w:tc>
          <w:tcPr>
            <w:tcW w:w="2587"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67E38155" w14:textId="77777777" w:rsidR="003B0176" w:rsidRPr="00544EA2" w:rsidRDefault="003B0176" w:rsidP="00E76F5F">
            <w:pPr>
              <w:spacing w:before="120" w:after="120" w:line="240" w:lineRule="auto"/>
              <w:rPr>
                <w:rFonts w:eastAsia="Yu Gothic Light"/>
              </w:rPr>
            </w:pPr>
            <w:r w:rsidRPr="00544EA2">
              <w:rPr>
                <w:rFonts w:eastAsia="Yu Gothic Light"/>
              </w:rPr>
              <w:t>AT HT class</w:t>
            </w:r>
          </w:p>
        </w:tc>
      </w:tr>
      <w:tr w:rsidR="003B0176" w:rsidRPr="00544EA2" w14:paraId="44674B89" w14:textId="77777777" w:rsidTr="0053236B">
        <w:trPr>
          <w:trHeight w:val="475"/>
        </w:trPr>
        <w:tc>
          <w:tcPr>
            <w:tcW w:w="2542" w:type="dxa"/>
            <w:tcBorders>
              <w:top w:val="single" w:sz="4" w:space="0" w:color="auto"/>
              <w:left w:val="single" w:sz="8" w:space="0" w:color="FFFFFF"/>
              <w:right w:val="single" w:sz="8" w:space="0" w:color="FFFFFF"/>
            </w:tcBorders>
            <w:shd w:val="clear" w:color="auto" w:fill="FFFFFF" w:themeFill="background1"/>
          </w:tcPr>
          <w:p w14:paraId="0B8032E0" w14:textId="77777777" w:rsidR="003B0176" w:rsidRPr="00544EA2" w:rsidRDefault="003B0176" w:rsidP="00E76F5F">
            <w:pPr>
              <w:spacing w:before="120" w:after="120" w:line="240" w:lineRule="auto"/>
              <w:rPr>
                <w:rFonts w:eastAsia="Yu Gothic Light"/>
                <w:b/>
              </w:rPr>
            </w:pPr>
            <w:r w:rsidRPr="00544EA2">
              <w:rPr>
                <w:rFonts w:eastAsia="Yu Gothic Light"/>
                <w:b/>
              </w:rPr>
              <w:t>Residential Care</w:t>
            </w:r>
          </w:p>
        </w:tc>
        <w:tc>
          <w:tcPr>
            <w:tcW w:w="2229"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502C6C74" w14:textId="77777777" w:rsidR="003B0176" w:rsidRPr="00544EA2" w:rsidRDefault="003B0176" w:rsidP="00E76F5F">
            <w:pPr>
              <w:spacing w:before="120" w:after="120" w:line="240" w:lineRule="auto"/>
              <w:rPr>
                <w:rFonts w:eastAsia="Yu Gothic Light"/>
                <w:b/>
              </w:rPr>
            </w:pPr>
            <w:r w:rsidRPr="00544EA2">
              <w:rPr>
                <w:rFonts w:eastAsia="Yu Gothic Light"/>
                <w:b/>
              </w:rPr>
              <w:t>Hospital transition</w:t>
            </w:r>
          </w:p>
        </w:tc>
        <w:tc>
          <w:tcPr>
            <w:tcW w:w="2587"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53497701" w14:textId="77777777" w:rsidR="003B0176" w:rsidRPr="00544EA2" w:rsidRDefault="003B0176" w:rsidP="00E76F5F">
            <w:pPr>
              <w:spacing w:before="120" w:after="120" w:line="240" w:lineRule="auto"/>
              <w:rPr>
                <w:rFonts w:eastAsia="Yu Gothic Light"/>
              </w:rPr>
            </w:pPr>
            <w:r w:rsidRPr="00544EA2">
              <w:rPr>
                <w:rFonts w:eastAsia="Yu Gothic Light"/>
              </w:rPr>
              <w:t>RC HT class</w:t>
            </w:r>
          </w:p>
        </w:tc>
      </w:tr>
    </w:tbl>
    <w:p w14:paraId="18864705" w14:textId="77777777" w:rsidR="0017422B" w:rsidRDefault="0017422B" w:rsidP="0017422B">
      <w:bookmarkStart w:id="799" w:name="_Toc198008592"/>
      <w:bookmarkStart w:id="800" w:name="_Toc198787195"/>
      <w:bookmarkStart w:id="801" w:name="_Toc799868143"/>
      <w:bookmarkStart w:id="802" w:name="_Toc199344582"/>
      <w:bookmarkStart w:id="803" w:name="_Toc205372119"/>
      <w:bookmarkStart w:id="804" w:name="_Toc207714030"/>
    </w:p>
    <w:p w14:paraId="595998DE" w14:textId="557CB84F" w:rsidR="003B0176" w:rsidRPr="00544EA2" w:rsidRDefault="003B0176" w:rsidP="00CC6081">
      <w:pPr>
        <w:pStyle w:val="H4"/>
      </w:pPr>
      <w:r w:rsidRPr="00544EA2">
        <w:t xml:space="preserve">Access to </w:t>
      </w:r>
      <w:r w:rsidR="0014597A">
        <w:t>t</w:t>
      </w:r>
      <w:r w:rsidRPr="00544EA2">
        <w:t xml:space="preserve">ransition </w:t>
      </w:r>
      <w:r w:rsidR="0014597A">
        <w:t>c</w:t>
      </w:r>
      <w:r w:rsidRPr="00544EA2">
        <w:t>are</w:t>
      </w:r>
      <w:bookmarkEnd w:id="799"/>
      <w:bookmarkEnd w:id="800"/>
      <w:bookmarkEnd w:id="801"/>
      <w:bookmarkEnd w:id="802"/>
      <w:bookmarkEnd w:id="803"/>
      <w:bookmarkEnd w:id="804"/>
    </w:p>
    <w:p w14:paraId="5D4A4FD1" w14:textId="77777777" w:rsidR="003B0176" w:rsidRPr="00544EA2" w:rsidRDefault="003B0176" w:rsidP="00622CFF">
      <w:pPr>
        <w:spacing w:before="240" w:after="240" w:line="240" w:lineRule="auto"/>
        <w:rPr>
          <w:rFonts w:eastAsia="Yu Gothic Light"/>
        </w:rPr>
      </w:pPr>
      <w:r w:rsidRPr="00544EA2">
        <w:rPr>
          <w:rFonts w:eastAsia="Yu Gothic Light"/>
        </w:rPr>
        <w:t>Transition care is</w:t>
      </w:r>
      <w:r w:rsidRPr="00544EA2">
        <w:rPr>
          <w:rFonts w:eastAsia="Yu Gothic Light" w:hint="eastAsia"/>
        </w:rPr>
        <w:t> </w:t>
      </w:r>
      <w:r w:rsidRPr="0053236B">
        <w:rPr>
          <w:rFonts w:eastAsia="Yu Gothic Light"/>
        </w:rPr>
        <w:t>time-limited</w:t>
      </w:r>
      <w:r w:rsidRPr="00544EA2">
        <w:rPr>
          <w:rFonts w:eastAsia="Yu Gothic Light"/>
        </w:rPr>
        <w:t>, with individuals allocated a</w:t>
      </w:r>
      <w:r w:rsidRPr="00544EA2">
        <w:rPr>
          <w:rFonts w:eastAsia="Yu Gothic Light" w:hint="eastAsia"/>
        </w:rPr>
        <w:t> </w:t>
      </w:r>
      <w:r w:rsidRPr="0053236B">
        <w:rPr>
          <w:rFonts w:eastAsia="Yu Gothic Light"/>
        </w:rPr>
        <w:t>funded period of 12 weeks</w:t>
      </w:r>
      <w:r w:rsidRPr="00544EA2">
        <w:rPr>
          <w:rFonts w:eastAsia="Yu Gothic Light" w:hint="eastAsia"/>
        </w:rPr>
        <w:t> </w:t>
      </w:r>
      <w:r w:rsidRPr="00544EA2">
        <w:rPr>
          <w:rFonts w:eastAsia="Yu Gothic Light"/>
        </w:rPr>
        <w:t>to access services under the program. However, if the individual's recovery requires additional time, the service provider can apply for an extension.</w:t>
      </w:r>
    </w:p>
    <w:p w14:paraId="06E4F699" w14:textId="2CF3FBE9" w:rsidR="003B0176" w:rsidRPr="00544EA2" w:rsidRDefault="003B0176" w:rsidP="00622CFF">
      <w:pPr>
        <w:spacing w:before="240" w:after="240" w:line="240" w:lineRule="auto"/>
        <w:rPr>
          <w:rFonts w:eastAsia="Yu Gothic Light"/>
        </w:rPr>
      </w:pPr>
      <w:r w:rsidRPr="00544EA2">
        <w:rPr>
          <w:rFonts w:eastAsia="Yu Gothic Light"/>
        </w:rPr>
        <w:t xml:space="preserve">The Transition Care Program is defined under the </w:t>
      </w:r>
      <w:r w:rsidR="001D2EEE">
        <w:rPr>
          <w:rFonts w:eastAsia="Yu Gothic Light"/>
          <w:bCs/>
        </w:rPr>
        <w:t>Aged Care</w:t>
      </w:r>
      <w:r w:rsidRPr="00524DC9">
        <w:rPr>
          <w:rFonts w:eastAsia="Yu Gothic Light"/>
          <w:bCs/>
        </w:rPr>
        <w:t xml:space="preserve"> </w:t>
      </w:r>
      <w:r w:rsidRPr="00544EA2">
        <w:rPr>
          <w:rFonts w:eastAsia="Yu Gothic Light"/>
        </w:rPr>
        <w:t xml:space="preserve">Act </w:t>
      </w:r>
      <w:r w:rsidR="001D2EEE">
        <w:rPr>
          <w:rFonts w:eastAsia="Yu Gothic Light"/>
          <w:bCs/>
        </w:rPr>
        <w:t>2024</w:t>
      </w:r>
      <w:r w:rsidRPr="00524DC9">
        <w:rPr>
          <w:rFonts w:eastAsia="Yu Gothic Light"/>
          <w:bCs/>
        </w:rPr>
        <w:t xml:space="preserve"> </w:t>
      </w:r>
      <w:r w:rsidRPr="00544EA2">
        <w:rPr>
          <w:rFonts w:eastAsia="Yu Gothic Light"/>
        </w:rPr>
        <w:t xml:space="preserve">as a </w:t>
      </w:r>
      <w:r w:rsidRPr="0053236B">
        <w:rPr>
          <w:rFonts w:eastAsia="Yu Gothic Light"/>
        </w:rPr>
        <w:t>specialist aged care program</w:t>
      </w:r>
      <w:r w:rsidRPr="00544EA2">
        <w:rPr>
          <w:rFonts w:eastAsia="Yu Gothic Light"/>
        </w:rPr>
        <w:t>. The number of places available for this care type is determined by the Minister, based on state and territory needs. Only</w:t>
      </w:r>
      <w:r w:rsidRPr="00544EA2">
        <w:rPr>
          <w:rFonts w:eastAsia="Yu Gothic Light" w:hint="eastAsia"/>
        </w:rPr>
        <w:t> </w:t>
      </w:r>
      <w:r w:rsidRPr="0053236B">
        <w:rPr>
          <w:rFonts w:eastAsia="Yu Gothic Light"/>
        </w:rPr>
        <w:t>registered providers</w:t>
      </w:r>
      <w:r w:rsidRPr="00544EA2">
        <w:rPr>
          <w:rFonts w:eastAsia="Yu Gothic Light" w:hint="eastAsia"/>
        </w:rPr>
        <w:t> </w:t>
      </w:r>
      <w:r w:rsidRPr="00544EA2">
        <w:rPr>
          <w:rFonts w:eastAsia="Yu Gothic Light"/>
        </w:rPr>
        <w:t>are permitted to deliver hospital transition care using these allocated places.</w:t>
      </w:r>
    </w:p>
    <w:p w14:paraId="18D4EDC1" w14:textId="77777777" w:rsidR="003B0176" w:rsidRPr="00544EA2" w:rsidRDefault="003B0176" w:rsidP="00622CFF">
      <w:pPr>
        <w:spacing w:before="240" w:after="240" w:line="240" w:lineRule="auto"/>
        <w:rPr>
          <w:rFonts w:eastAsia="Yu Gothic Light"/>
        </w:rPr>
      </w:pPr>
      <w:r w:rsidRPr="00544EA2">
        <w:rPr>
          <w:rFonts w:eastAsia="Yu Gothic Light"/>
        </w:rPr>
        <w:t>Importantly, to be eligible for the program, the individual must be:</w:t>
      </w:r>
    </w:p>
    <w:p w14:paraId="3BB1B1FF" w14:textId="32DBE1DA" w:rsidR="003B0176" w:rsidRPr="00544EA2" w:rsidRDefault="003B0176" w:rsidP="00DF3F6B">
      <w:pPr>
        <w:numPr>
          <w:ilvl w:val="0"/>
          <w:numId w:val="194"/>
        </w:numPr>
        <w:spacing w:before="240" w:after="240" w:line="240" w:lineRule="auto"/>
        <w:contextualSpacing/>
        <w:rPr>
          <w:rFonts w:eastAsia="Yu Gothic Light"/>
        </w:rPr>
      </w:pPr>
      <w:r w:rsidRPr="0053236B">
        <w:rPr>
          <w:rFonts w:eastAsia="Yu Gothic Light"/>
        </w:rPr>
        <w:t>medically stable at the time of assessment</w:t>
      </w:r>
      <w:r w:rsidRPr="00544EA2">
        <w:rPr>
          <w:rFonts w:eastAsia="Yu Gothic Light"/>
        </w:rPr>
        <w:t>; and</w:t>
      </w:r>
    </w:p>
    <w:p w14:paraId="2B0655E9" w14:textId="77777777" w:rsidR="003B0176" w:rsidRPr="00544EA2" w:rsidRDefault="003B0176" w:rsidP="00DF3F6B">
      <w:pPr>
        <w:numPr>
          <w:ilvl w:val="0"/>
          <w:numId w:val="194"/>
        </w:numPr>
        <w:spacing w:before="240" w:after="240" w:line="240" w:lineRule="auto"/>
        <w:contextualSpacing/>
        <w:rPr>
          <w:rFonts w:eastAsia="Yu Gothic Light"/>
        </w:rPr>
      </w:pPr>
      <w:r w:rsidRPr="00544EA2">
        <w:rPr>
          <w:rFonts w:eastAsia="Yu Gothic Light"/>
        </w:rPr>
        <w:t xml:space="preserve">is in the </w:t>
      </w:r>
      <w:r w:rsidRPr="0053236B">
        <w:rPr>
          <w:rFonts w:eastAsia="Yu Gothic Light"/>
        </w:rPr>
        <w:t>concluding stage of a hospital episode</w:t>
      </w:r>
      <w:r w:rsidRPr="00544EA2">
        <w:rPr>
          <w:rFonts w:eastAsia="Yu Gothic Light"/>
        </w:rPr>
        <w:t>; and</w:t>
      </w:r>
    </w:p>
    <w:p w14:paraId="2D1A900E" w14:textId="77777777" w:rsidR="003B0176" w:rsidRPr="00544EA2" w:rsidRDefault="003B0176" w:rsidP="00DF3F6B">
      <w:pPr>
        <w:numPr>
          <w:ilvl w:val="0"/>
          <w:numId w:val="194"/>
        </w:numPr>
        <w:spacing w:before="240" w:after="240" w:line="240" w:lineRule="auto"/>
        <w:contextualSpacing/>
        <w:rPr>
          <w:rFonts w:eastAsia="Yu Gothic Light"/>
        </w:rPr>
      </w:pPr>
      <w:r w:rsidRPr="00544EA2">
        <w:rPr>
          <w:rFonts w:eastAsia="Yu Gothic Light"/>
        </w:rPr>
        <w:t xml:space="preserve">has the </w:t>
      </w:r>
      <w:r w:rsidRPr="0053236B">
        <w:rPr>
          <w:rFonts w:eastAsia="Yu Gothic Light"/>
        </w:rPr>
        <w:t xml:space="preserve">potential to benefit </w:t>
      </w:r>
      <w:r w:rsidRPr="00544EA2">
        <w:rPr>
          <w:rFonts w:eastAsia="Yu Gothic Light"/>
        </w:rPr>
        <w:t>from accessing services delivered through the relevant service group under the TCP; and</w:t>
      </w:r>
    </w:p>
    <w:p w14:paraId="6F153CB4" w14:textId="77777777" w:rsidR="003B0176" w:rsidRPr="00544EA2" w:rsidRDefault="003B0176" w:rsidP="00DF3F6B">
      <w:pPr>
        <w:numPr>
          <w:ilvl w:val="0"/>
          <w:numId w:val="194"/>
        </w:numPr>
        <w:spacing w:before="240" w:after="240" w:line="240" w:lineRule="auto"/>
        <w:contextualSpacing/>
        <w:rPr>
          <w:rFonts w:eastAsia="Yu Gothic Light"/>
        </w:rPr>
      </w:pPr>
      <w:r w:rsidRPr="00544EA2">
        <w:rPr>
          <w:rFonts w:eastAsia="Yu Gothic Light"/>
        </w:rPr>
        <w:t xml:space="preserve">at the time the assessment was carried out, </w:t>
      </w:r>
      <w:r w:rsidRPr="0053236B">
        <w:rPr>
          <w:rFonts w:eastAsia="Yu Gothic Light"/>
        </w:rPr>
        <w:t>a hospital inpatient</w:t>
      </w:r>
      <w:r w:rsidRPr="00544EA2">
        <w:rPr>
          <w:rFonts w:eastAsia="Yu Gothic Light"/>
        </w:rPr>
        <w:t xml:space="preserve">. </w:t>
      </w:r>
    </w:p>
    <w:p w14:paraId="5E58041E" w14:textId="77777777" w:rsidR="00F04B65" w:rsidRDefault="00F04B65" w:rsidP="00622CFF">
      <w:pPr>
        <w:spacing w:before="240" w:after="240" w:line="240" w:lineRule="auto"/>
        <w:rPr>
          <w:rFonts w:eastAsia="Yu Gothic Light"/>
        </w:rPr>
      </w:pPr>
    </w:p>
    <w:p w14:paraId="1CC6BA82" w14:textId="19E8190A" w:rsidR="003B0176" w:rsidRPr="00544EA2" w:rsidRDefault="003B0176" w:rsidP="00622CFF">
      <w:pPr>
        <w:spacing w:before="240" w:after="240" w:line="240" w:lineRule="auto"/>
        <w:rPr>
          <w:rFonts w:eastAsia="Yu Gothic Light"/>
        </w:rPr>
      </w:pPr>
      <w:r w:rsidRPr="00544EA2">
        <w:rPr>
          <w:rFonts w:eastAsia="Yu Gothic Light"/>
        </w:rPr>
        <w:t xml:space="preserve">It is </w:t>
      </w:r>
      <w:r w:rsidR="0054696A">
        <w:rPr>
          <w:rFonts w:eastAsia="Yu Gothic Light"/>
        </w:rPr>
        <w:t xml:space="preserve">an </w:t>
      </w:r>
      <w:r w:rsidR="00093A53">
        <w:rPr>
          <w:rFonts w:eastAsia="Yu Gothic Light"/>
        </w:rPr>
        <w:t>assessment delegate’s</w:t>
      </w:r>
      <w:r w:rsidR="00093A53" w:rsidRPr="00544EA2">
        <w:rPr>
          <w:rFonts w:eastAsia="Yu Gothic Light"/>
        </w:rPr>
        <w:t xml:space="preserve"> </w:t>
      </w:r>
      <w:r w:rsidRPr="00544EA2">
        <w:rPr>
          <w:rFonts w:eastAsia="Yu Gothic Light"/>
        </w:rPr>
        <w:t>responsibility to</w:t>
      </w:r>
      <w:r w:rsidRPr="00544EA2">
        <w:rPr>
          <w:rFonts w:eastAsia="Yu Gothic Light" w:hint="eastAsia"/>
        </w:rPr>
        <w:t> </w:t>
      </w:r>
      <w:r w:rsidRPr="0053236B">
        <w:rPr>
          <w:rFonts w:eastAsia="Yu Gothic Light"/>
        </w:rPr>
        <w:t>confirm medical stability</w:t>
      </w:r>
      <w:r w:rsidRPr="00544EA2">
        <w:rPr>
          <w:rFonts w:eastAsia="Yu Gothic Light" w:hint="eastAsia"/>
        </w:rPr>
        <w:t> </w:t>
      </w:r>
      <w:r w:rsidRPr="00544EA2">
        <w:rPr>
          <w:rFonts w:eastAsia="Yu Gothic Light"/>
        </w:rPr>
        <w:t>before approving access to the program.</w:t>
      </w:r>
    </w:p>
    <w:p w14:paraId="0EEDBD1C" w14:textId="77777777" w:rsidR="003B0176" w:rsidRPr="00544EA2" w:rsidRDefault="003B0176" w:rsidP="00622CFF">
      <w:pPr>
        <w:spacing w:before="240" w:after="240" w:line="240" w:lineRule="auto"/>
        <w:rPr>
          <w:rFonts w:eastAsia="Yu Gothic Light"/>
        </w:rPr>
      </w:pPr>
      <w:r w:rsidRPr="00544EA2">
        <w:rPr>
          <w:rFonts w:eastAsia="Yu Gothic Light"/>
        </w:rPr>
        <w:t>Once an individual is approved for hospital transition care, it is usual practice for hospital discharge staff to</w:t>
      </w:r>
      <w:r w:rsidRPr="00544EA2">
        <w:rPr>
          <w:rFonts w:eastAsia="Yu Gothic Light" w:hint="eastAsia"/>
        </w:rPr>
        <w:t> </w:t>
      </w:r>
      <w:r w:rsidRPr="0053236B">
        <w:rPr>
          <w:rFonts w:eastAsia="Yu Gothic Light"/>
        </w:rPr>
        <w:t>refer them directly to their local Transition Care provider</w:t>
      </w:r>
      <w:r w:rsidRPr="00544EA2">
        <w:rPr>
          <w:rFonts w:eastAsia="Yu Gothic Light"/>
        </w:rPr>
        <w:t>, following delegated approval.</w:t>
      </w:r>
    </w:p>
    <w:p w14:paraId="517C9145" w14:textId="61272A79" w:rsidR="003B0176" w:rsidRPr="00544EA2" w:rsidRDefault="003B0176" w:rsidP="00CC6081">
      <w:pPr>
        <w:pStyle w:val="H4"/>
      </w:pPr>
      <w:r w:rsidRPr="00544EA2">
        <w:t xml:space="preserve">Accessing </w:t>
      </w:r>
      <w:r w:rsidR="0014597A">
        <w:t>r</w:t>
      </w:r>
      <w:r w:rsidRPr="00544EA2">
        <w:t xml:space="preserve">esidential </w:t>
      </w:r>
      <w:r w:rsidR="0014597A">
        <w:t>c</w:t>
      </w:r>
      <w:r w:rsidRPr="00544EA2">
        <w:t>are/</w:t>
      </w:r>
      <w:r w:rsidR="0014597A">
        <w:t>r</w:t>
      </w:r>
      <w:r w:rsidRPr="00544EA2">
        <w:t xml:space="preserve">esidential </w:t>
      </w:r>
      <w:r w:rsidR="0014597A">
        <w:t>r</w:t>
      </w:r>
      <w:r w:rsidRPr="00544EA2">
        <w:t xml:space="preserve">espite and </w:t>
      </w:r>
      <w:r w:rsidR="0014597A">
        <w:t>t</w:t>
      </w:r>
      <w:r w:rsidRPr="00544EA2">
        <w:t xml:space="preserve">ransition </w:t>
      </w:r>
      <w:r w:rsidR="0014597A">
        <w:t>c</w:t>
      </w:r>
      <w:r w:rsidRPr="00544EA2">
        <w:t>are</w:t>
      </w:r>
    </w:p>
    <w:p w14:paraId="32DDE374" w14:textId="77777777" w:rsidR="003B0176" w:rsidRPr="00544EA2" w:rsidRDefault="003B0176" w:rsidP="00622CFF">
      <w:pPr>
        <w:spacing w:before="240" w:after="240" w:line="240" w:lineRule="auto"/>
        <w:rPr>
          <w:rFonts w:eastAsia="Yu Gothic Light"/>
        </w:rPr>
      </w:pPr>
      <w:r w:rsidRPr="00544EA2">
        <w:rPr>
          <w:rFonts w:eastAsia="Yu Gothic Light"/>
        </w:rPr>
        <w:t xml:space="preserve">A person in </w:t>
      </w:r>
      <w:r w:rsidRPr="0053236B">
        <w:rPr>
          <w:rFonts w:eastAsia="Yu Gothic Light"/>
        </w:rPr>
        <w:t>permanent</w:t>
      </w:r>
      <w:r w:rsidRPr="00544EA2">
        <w:rPr>
          <w:rFonts w:eastAsia="Yu Gothic Light"/>
        </w:rPr>
        <w:t xml:space="preserve"> </w:t>
      </w:r>
      <w:r w:rsidRPr="0053236B">
        <w:rPr>
          <w:rFonts w:eastAsia="Yu Gothic Light"/>
        </w:rPr>
        <w:t>residential care</w:t>
      </w:r>
      <w:r w:rsidRPr="00544EA2">
        <w:rPr>
          <w:rFonts w:eastAsia="Yu Gothic Light"/>
        </w:rPr>
        <w:t xml:space="preserve"> who is receiving Transition Care must take Hospital Transition Leave for the duration of their TCP episode. In addition, they are not eligible to receive services under the </w:t>
      </w:r>
      <w:r w:rsidRPr="0053236B">
        <w:rPr>
          <w:rFonts w:eastAsia="Yu Gothic Light"/>
        </w:rPr>
        <w:t xml:space="preserve">Restorative Care Pathway </w:t>
      </w:r>
      <w:r w:rsidRPr="00544EA2">
        <w:rPr>
          <w:rFonts w:eastAsia="Yu Gothic Light"/>
        </w:rPr>
        <w:t>under</w:t>
      </w:r>
      <w:r w:rsidRPr="0053236B">
        <w:rPr>
          <w:rFonts w:eastAsia="Yu Gothic Light"/>
        </w:rPr>
        <w:t xml:space="preserve"> Support at Home</w:t>
      </w:r>
      <w:r w:rsidRPr="00544EA2">
        <w:rPr>
          <w:rFonts w:eastAsia="Yu Gothic Light"/>
        </w:rPr>
        <w:t xml:space="preserve">. </w:t>
      </w:r>
    </w:p>
    <w:p w14:paraId="056B9563" w14:textId="38F938CA" w:rsidR="003B0176" w:rsidRPr="0053236B" w:rsidRDefault="003B0176" w:rsidP="00622CFF">
      <w:pPr>
        <w:spacing w:before="240" w:after="240" w:line="240" w:lineRule="auto"/>
        <w:rPr>
          <w:rFonts w:eastAsia="Yu Gothic Light"/>
        </w:rPr>
      </w:pPr>
      <w:r w:rsidRPr="00544EA2">
        <w:rPr>
          <w:rFonts w:eastAsia="Yu Gothic Light"/>
        </w:rPr>
        <w:t>An individual receiving Transition Care is unable to access </w:t>
      </w:r>
      <w:r w:rsidRPr="0053236B">
        <w:rPr>
          <w:rFonts w:eastAsia="Yu Gothic Light"/>
        </w:rPr>
        <w:t>residential respite care</w:t>
      </w:r>
      <w:r w:rsidRPr="00544EA2">
        <w:rPr>
          <w:rFonts w:eastAsia="Yu Gothic Light"/>
        </w:rPr>
        <w:t xml:space="preserve"> while Transition Care is in effect. </w:t>
      </w:r>
    </w:p>
    <w:p w14:paraId="0B4EABF1" w14:textId="77777777" w:rsidR="003B0176" w:rsidRPr="00544EA2" w:rsidRDefault="003B0176" w:rsidP="00CC6081">
      <w:pPr>
        <w:pStyle w:val="H4"/>
      </w:pPr>
      <w:bookmarkStart w:id="805" w:name="_Toc207714032"/>
      <w:r w:rsidRPr="00544EA2">
        <w:t>Duration of Transition Care</w:t>
      </w:r>
      <w:bookmarkEnd w:id="805"/>
    </w:p>
    <w:p w14:paraId="64270022" w14:textId="77777777" w:rsidR="003B0176" w:rsidRPr="00544EA2" w:rsidRDefault="003B0176" w:rsidP="00622CFF">
      <w:pPr>
        <w:spacing w:before="240" w:after="240" w:line="240" w:lineRule="auto"/>
        <w:rPr>
          <w:rFonts w:eastAsia="Yu Gothic Light"/>
        </w:rPr>
      </w:pPr>
      <w:r w:rsidRPr="00544EA2">
        <w:rPr>
          <w:rFonts w:eastAsia="Yu Gothic Light"/>
        </w:rPr>
        <w:t>The standard period for a transition care episode is</w:t>
      </w:r>
      <w:r w:rsidRPr="00544EA2">
        <w:rPr>
          <w:rFonts w:eastAsia="Yu Gothic Light" w:hint="eastAsia"/>
        </w:rPr>
        <w:t> </w:t>
      </w:r>
      <w:r w:rsidRPr="0053236B">
        <w:rPr>
          <w:rFonts w:eastAsia="Yu Gothic Light"/>
        </w:rPr>
        <w:t>12 weeks (84 days)</w:t>
      </w:r>
      <w:r w:rsidRPr="00544EA2">
        <w:rPr>
          <w:rFonts w:eastAsia="Yu Gothic Light"/>
        </w:rPr>
        <w:t xml:space="preserve">.​ </w:t>
      </w:r>
    </w:p>
    <w:p w14:paraId="473D1269" w14:textId="0C6E531D" w:rsidR="003B0176" w:rsidRPr="00544EA2" w:rsidRDefault="003B0176" w:rsidP="00622CFF">
      <w:pPr>
        <w:spacing w:before="240" w:after="240" w:line="240" w:lineRule="auto"/>
        <w:rPr>
          <w:rFonts w:eastAsia="Yu Gothic Light"/>
        </w:rPr>
      </w:pPr>
      <w:r w:rsidRPr="00544EA2">
        <w:rPr>
          <w:rFonts w:eastAsia="Yu Gothic Light"/>
        </w:rPr>
        <w:t xml:space="preserve">This period may be extended by 6 </w:t>
      </w:r>
      <w:r w:rsidR="0017422B" w:rsidRPr="00544EA2">
        <w:rPr>
          <w:rFonts w:eastAsia="Yu Gothic Light"/>
        </w:rPr>
        <w:t>weeks,</w:t>
      </w:r>
      <w:r w:rsidRPr="00544EA2">
        <w:rPr>
          <w:rFonts w:eastAsia="Yu Gothic Light"/>
        </w:rPr>
        <w:t xml:space="preserve"> so the total transition care episode is</w:t>
      </w:r>
      <w:r w:rsidRPr="00544EA2">
        <w:rPr>
          <w:rFonts w:eastAsia="Yu Gothic Light" w:hint="eastAsia"/>
        </w:rPr>
        <w:t> </w:t>
      </w:r>
      <w:r w:rsidRPr="0053236B">
        <w:rPr>
          <w:rFonts w:eastAsia="Yu Gothic Light"/>
        </w:rPr>
        <w:t>18</w:t>
      </w:r>
      <w:r w:rsidRPr="0053236B">
        <w:rPr>
          <w:rFonts w:eastAsia="Yu Gothic Light" w:hint="eastAsia"/>
        </w:rPr>
        <w:t> </w:t>
      </w:r>
      <w:r w:rsidRPr="0053236B">
        <w:rPr>
          <w:rFonts w:eastAsia="Yu Gothic Light"/>
        </w:rPr>
        <w:t>weeks (126 days)</w:t>
      </w:r>
      <w:r w:rsidRPr="00544EA2">
        <w:rPr>
          <w:rFonts w:eastAsia="Yu Gothic Light" w:hint="eastAsia"/>
        </w:rPr>
        <w:t> </w:t>
      </w:r>
      <w:r w:rsidRPr="00544EA2">
        <w:rPr>
          <w:rFonts w:eastAsia="Yu Gothic Light"/>
        </w:rPr>
        <w:t>if the individual makes an application in accordance with the requirements of the Rules and is determined to require access to the services for the additional period.​</w:t>
      </w:r>
    </w:p>
    <w:tbl>
      <w:tblPr>
        <w:tblW w:w="0" w:type="auto"/>
        <w:tblLook w:val="04A0" w:firstRow="1" w:lastRow="0" w:firstColumn="1" w:lastColumn="0" w:noHBand="0" w:noVBand="1"/>
      </w:tblPr>
      <w:tblGrid>
        <w:gridCol w:w="921"/>
        <w:gridCol w:w="8105"/>
      </w:tblGrid>
      <w:tr w:rsidR="003D60CA" w:rsidRPr="008D5728" w14:paraId="74E22995" w14:textId="77777777">
        <w:trPr>
          <w:trHeight w:val="677"/>
        </w:trPr>
        <w:tc>
          <w:tcPr>
            <w:tcW w:w="921" w:type="dxa"/>
          </w:tcPr>
          <w:p w14:paraId="69B75D7E" w14:textId="77777777" w:rsidR="003D60CA" w:rsidRPr="008D5728" w:rsidRDefault="003D60CA" w:rsidP="00622CFF">
            <w:pPr>
              <w:spacing w:before="240" w:after="240" w:line="240" w:lineRule="auto"/>
              <w:rPr>
                <w:rFonts w:eastAsia="Yu Gothic Light"/>
              </w:rPr>
            </w:pPr>
            <w:r w:rsidRPr="008D5728">
              <w:rPr>
                <w:rFonts w:eastAsia="Yu Gothic Light"/>
                <w:noProof/>
              </w:rPr>
              <w:drawing>
                <wp:inline distT="0" distB="0" distL="0" distR="0" wp14:anchorId="23624266" wp14:editId="0B9A13E8">
                  <wp:extent cx="447675" cy="445208"/>
                  <wp:effectExtent l="0" t="0" r="0" b="0"/>
                  <wp:docPr id="793570798" name="Picture 79357079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A8AAB80" w14:textId="2E717A3F" w:rsidR="003D60CA" w:rsidRPr="008D5728" w:rsidRDefault="008E1086" w:rsidP="00622CFF">
            <w:pPr>
              <w:spacing w:before="240" w:after="240" w:line="240" w:lineRule="auto"/>
              <w:rPr>
                <w:rFonts w:eastAsia="Yu Gothic Light"/>
              </w:rPr>
            </w:pPr>
            <w:hyperlink r:id="rId240">
              <w:r>
                <w:rPr>
                  <w:rFonts w:eastAsia="Yu Gothic Light"/>
                  <w:color w:val="2BB1BB"/>
                  <w:u w:val="single"/>
                </w:rPr>
                <w:t>Transition Care Program Guidelines | Australian Government Department of Health and Aged Care</w:t>
              </w:r>
              <w:r w:rsidR="005E42FB">
                <w:rPr>
                  <w:rFonts w:eastAsia="Yu Gothic Light"/>
                  <w:color w:val="2BB1BB"/>
                  <w:u w:val="single"/>
                </w:rPr>
                <w:t xml:space="preserve"> </w:t>
              </w:r>
              <w:r>
                <w:rPr>
                  <w:rFonts w:eastAsia="Yu Gothic Light"/>
                  <w:color w:val="2BB1BB"/>
                  <w:u w:val="single"/>
                </w:rPr>
                <w:t>Transition Care Program | Australian Government Department of Health, Disability and Ageing</w:t>
              </w:r>
            </w:hyperlink>
          </w:p>
        </w:tc>
      </w:tr>
    </w:tbl>
    <w:p w14:paraId="4C25F5BF" w14:textId="77777777" w:rsidR="003B0176" w:rsidRPr="00544EA2" w:rsidRDefault="003B0176" w:rsidP="00C56CEC">
      <w:pPr>
        <w:pStyle w:val="H3"/>
      </w:pPr>
      <w:bookmarkStart w:id="806" w:name="_Toc198787201"/>
      <w:bookmarkStart w:id="807" w:name="_Toc1891430739"/>
      <w:bookmarkStart w:id="808" w:name="_Toc199344588"/>
      <w:bookmarkStart w:id="809" w:name="_Toc205372122"/>
      <w:bookmarkStart w:id="810" w:name="_Toc207714033"/>
      <w:r w:rsidRPr="00544EA2">
        <w:t>Step 2. Record the decisions</w:t>
      </w:r>
      <w:bookmarkEnd w:id="806"/>
      <w:bookmarkEnd w:id="807"/>
      <w:bookmarkEnd w:id="808"/>
      <w:bookmarkEnd w:id="809"/>
      <w:bookmarkEnd w:id="810"/>
    </w:p>
    <w:p w14:paraId="6751805E" w14:textId="5DD32AFD" w:rsidR="003B0176" w:rsidRPr="00544EA2" w:rsidRDefault="003B0176" w:rsidP="00622CFF">
      <w:pPr>
        <w:spacing w:before="240" w:after="240" w:line="240" w:lineRule="auto"/>
        <w:rPr>
          <w:rFonts w:eastAsia="Yu Gothic Light"/>
        </w:rPr>
      </w:pPr>
      <w:r w:rsidRPr="00544EA2">
        <w:rPr>
          <w:rFonts w:eastAsia="Yu Gothic"/>
        </w:rPr>
        <w:t xml:space="preserve">When recording a decision to approve an individual for transition care, </w:t>
      </w:r>
      <w:r w:rsidR="0038643D">
        <w:rPr>
          <w:rFonts w:eastAsia="Yu Gothic Light"/>
        </w:rPr>
        <w:t>A</w:t>
      </w:r>
      <w:r w:rsidR="0054696A">
        <w:rPr>
          <w:rFonts w:eastAsia="Yu Gothic Light"/>
        </w:rPr>
        <w:t xml:space="preserve">ssessment </w:t>
      </w:r>
      <w:r w:rsidR="0038643D">
        <w:rPr>
          <w:rFonts w:eastAsia="Yu Gothic Light"/>
        </w:rPr>
        <w:t>D</w:t>
      </w:r>
      <w:r w:rsidR="0054696A">
        <w:rPr>
          <w:rFonts w:eastAsia="Yu Gothic Light"/>
        </w:rPr>
        <w:t>elegates</w:t>
      </w:r>
      <w:r w:rsidR="0054696A" w:rsidRPr="00544EA2">
        <w:rPr>
          <w:rFonts w:eastAsia="Yu Gothic Light"/>
        </w:rPr>
        <w:t xml:space="preserve"> </w:t>
      </w:r>
      <w:r w:rsidRPr="00544EA2">
        <w:rPr>
          <w:rFonts w:eastAsia="Yu Gothic"/>
        </w:rPr>
        <w:t xml:space="preserve">will be required to confirm a priority level for the care type. For </w:t>
      </w:r>
      <w:r w:rsidRPr="0053236B">
        <w:rPr>
          <w:rFonts w:eastAsia="Yu Gothic"/>
        </w:rPr>
        <w:t>transition care</w:t>
      </w:r>
      <w:r w:rsidRPr="00544EA2">
        <w:rPr>
          <w:rFonts w:eastAsia="Yu Gothic"/>
        </w:rPr>
        <w:t xml:space="preserve"> approvals, </w:t>
      </w:r>
      <w:r w:rsidR="0054696A">
        <w:rPr>
          <w:rFonts w:eastAsia="Yu Gothic Light"/>
        </w:rPr>
        <w:t>assessment delegates</w:t>
      </w:r>
      <w:r w:rsidR="0054696A" w:rsidRPr="00544EA2">
        <w:rPr>
          <w:rFonts w:eastAsia="Yu Gothic Light"/>
        </w:rPr>
        <w:t xml:space="preserve"> </w:t>
      </w:r>
      <w:r w:rsidRPr="00544EA2">
        <w:rPr>
          <w:rFonts w:eastAsia="Yu Gothic"/>
        </w:rPr>
        <w:t xml:space="preserve">must ensure a </w:t>
      </w:r>
      <w:r w:rsidRPr="0053236B">
        <w:rPr>
          <w:rFonts w:eastAsia="Yu Gothic"/>
        </w:rPr>
        <w:t xml:space="preserve">priority level of </w:t>
      </w:r>
      <w:r w:rsidRPr="0053236B">
        <w:rPr>
          <w:rFonts w:eastAsia="Yu Gothic" w:hint="eastAsia"/>
        </w:rPr>
        <w:t>‘</w:t>
      </w:r>
      <w:r w:rsidRPr="0053236B">
        <w:rPr>
          <w:rFonts w:eastAsia="Yu Gothic"/>
        </w:rPr>
        <w:t>high</w:t>
      </w:r>
      <w:r w:rsidRPr="0053236B">
        <w:rPr>
          <w:rFonts w:eastAsia="Yu Gothic" w:hint="eastAsia"/>
        </w:rPr>
        <w:t>’</w:t>
      </w:r>
      <w:r w:rsidRPr="00544EA2">
        <w:rPr>
          <w:rFonts w:eastAsia="Yu Gothic"/>
        </w:rPr>
        <w:t xml:space="preserve"> is assigned to all approvals. </w:t>
      </w:r>
    </w:p>
    <w:p w14:paraId="3CB68A23" w14:textId="77777777" w:rsidR="003B0176" w:rsidRPr="00544EA2" w:rsidRDefault="003B0176" w:rsidP="00507F9D">
      <w:pPr>
        <w:pStyle w:val="h2"/>
      </w:pPr>
      <w:bookmarkStart w:id="811" w:name="_Toc209189031"/>
      <w:bookmarkStart w:id="812" w:name="_Toc224916688"/>
      <w:bookmarkStart w:id="813" w:name="_Toc198787205"/>
      <w:bookmarkStart w:id="814" w:name="_Toc115012714"/>
      <w:bookmarkStart w:id="815" w:name="_Toc199344592"/>
      <w:bookmarkStart w:id="816" w:name="_Toc205372126"/>
      <w:bookmarkStart w:id="817" w:name="_Toc207714038"/>
      <w:r w:rsidRPr="00544EA2">
        <w:t>Other approvals and considerations</w:t>
      </w:r>
      <w:bookmarkEnd w:id="811"/>
      <w:bookmarkEnd w:id="812"/>
    </w:p>
    <w:p w14:paraId="41DE4173" w14:textId="1F3944A0" w:rsidR="003B0176" w:rsidRPr="00544EA2" w:rsidRDefault="003B0176" w:rsidP="00C56CEC">
      <w:pPr>
        <w:pStyle w:val="H3"/>
      </w:pPr>
      <w:r w:rsidRPr="00544EA2">
        <w:t xml:space="preserve">Alternative entry </w:t>
      </w:r>
      <w:r w:rsidRPr="00544EA2">
        <w:rPr>
          <w:rFonts w:hint="eastAsia"/>
        </w:rPr>
        <w:t>–</w:t>
      </w:r>
      <w:r w:rsidRPr="00544EA2">
        <w:t xml:space="preserve"> giving approval after service commencement</w:t>
      </w:r>
      <w:bookmarkEnd w:id="813"/>
      <w:bookmarkEnd w:id="814"/>
      <w:bookmarkEnd w:id="815"/>
      <w:bookmarkEnd w:id="816"/>
      <w:bookmarkEnd w:id="817"/>
    </w:p>
    <w:p w14:paraId="35CB6A4F" w14:textId="137082D8" w:rsidR="003B0176" w:rsidRPr="00544EA2" w:rsidRDefault="003B0176" w:rsidP="00622CFF">
      <w:pPr>
        <w:spacing w:before="240" w:after="240" w:line="240" w:lineRule="auto"/>
        <w:rPr>
          <w:rFonts w:eastAsia="Aptos"/>
        </w:rPr>
      </w:pPr>
      <w:r w:rsidRPr="00544EA2">
        <w:rPr>
          <w:rFonts w:eastAsia="Aptos"/>
        </w:rPr>
        <w:t>Care, including urgent care, can be approved when assessment wasn’t possible prior to accessing those services.</w:t>
      </w:r>
      <w:r w:rsidR="009656FA">
        <w:rPr>
          <w:rFonts w:eastAsia="Aptos"/>
        </w:rPr>
        <w:t xml:space="preserve"> </w:t>
      </w:r>
      <w:r w:rsidRPr="00544EA2">
        <w:rPr>
          <w:rFonts w:eastAsia="Aptos"/>
        </w:rPr>
        <w:t xml:space="preserve">Section 71 outlines that an individual can be approved for services even if an assessment was unable to be conducted prior to accessing those services if the individual applies within the specified period under the </w:t>
      </w:r>
      <w:r w:rsidR="00E1508E">
        <w:rPr>
          <w:rFonts w:eastAsia="Aptos"/>
        </w:rPr>
        <w:t xml:space="preserve">Aged Care </w:t>
      </w:r>
      <w:r w:rsidRPr="00544EA2">
        <w:rPr>
          <w:rFonts w:eastAsia="Aptos"/>
        </w:rPr>
        <w:t>Act</w:t>
      </w:r>
      <w:r w:rsidR="00E1508E">
        <w:rPr>
          <w:rFonts w:eastAsia="Aptos"/>
        </w:rPr>
        <w:t xml:space="preserve"> 2024</w:t>
      </w:r>
      <w:r w:rsidR="008522C2">
        <w:rPr>
          <w:rFonts w:eastAsia="Aptos"/>
        </w:rPr>
        <w:t xml:space="preserve"> (the Act)</w:t>
      </w:r>
      <w:r w:rsidRPr="00544EA2">
        <w:rPr>
          <w:rFonts w:eastAsia="Aptos"/>
        </w:rPr>
        <w:t xml:space="preserve"> and the System Governor is satisfied that certain circumstances applied to the individual.</w:t>
      </w:r>
      <w:r w:rsidR="009656FA">
        <w:rPr>
          <w:rFonts w:eastAsia="Aptos"/>
        </w:rPr>
        <w:t xml:space="preserve"> Further information around this is detailed in Chapter </w:t>
      </w:r>
      <w:r w:rsidR="00E03619">
        <w:rPr>
          <w:rFonts w:eastAsia="Aptos"/>
        </w:rPr>
        <w:fldChar w:fldCharType="begin"/>
      </w:r>
      <w:r w:rsidR="00E03619">
        <w:rPr>
          <w:rFonts w:eastAsia="Aptos"/>
        </w:rPr>
        <w:instrText xml:space="preserve"> REF _Ref212736281 \w \h </w:instrText>
      </w:r>
      <w:r w:rsidR="00E03619">
        <w:rPr>
          <w:rFonts w:eastAsia="Aptos"/>
        </w:rPr>
      </w:r>
      <w:r w:rsidR="00E03619">
        <w:rPr>
          <w:rFonts w:eastAsia="Aptos"/>
        </w:rPr>
        <w:fldChar w:fldCharType="separate"/>
      </w:r>
      <w:r w:rsidR="00F97942">
        <w:rPr>
          <w:rFonts w:eastAsia="Aptos"/>
        </w:rPr>
        <w:t>3</w:t>
      </w:r>
      <w:r w:rsidR="00E03619">
        <w:rPr>
          <w:rFonts w:eastAsia="Aptos"/>
        </w:rPr>
        <w:fldChar w:fldCharType="end"/>
      </w:r>
      <w:r w:rsidR="009656FA">
        <w:rPr>
          <w:rFonts w:eastAsia="Aptos"/>
        </w:rPr>
        <w:t>.</w:t>
      </w:r>
    </w:p>
    <w:p w14:paraId="53DEF1FB" w14:textId="6EEF285B" w:rsidR="003B0176" w:rsidRPr="00544EA2" w:rsidRDefault="003B0176" w:rsidP="00622CFF">
      <w:pPr>
        <w:spacing w:before="240" w:after="240" w:line="240" w:lineRule="auto"/>
        <w:rPr>
          <w:rFonts w:eastAsia="Aptos"/>
        </w:rPr>
      </w:pPr>
      <w:r w:rsidRPr="00544EA2">
        <w:rPr>
          <w:rFonts w:eastAsia="Aptos"/>
        </w:rPr>
        <w:t xml:space="preserve">If an </w:t>
      </w:r>
      <w:r w:rsidR="00532584">
        <w:rPr>
          <w:rFonts w:eastAsia="Aptos"/>
        </w:rPr>
        <w:t>a</w:t>
      </w:r>
      <w:r w:rsidR="00532584" w:rsidRPr="00544EA2">
        <w:rPr>
          <w:rFonts w:eastAsia="Aptos"/>
        </w:rPr>
        <w:t>ssessment</w:t>
      </w:r>
      <w:r w:rsidRPr="00544EA2" w:rsidDel="00532584">
        <w:rPr>
          <w:rFonts w:eastAsia="Aptos"/>
        </w:rPr>
        <w:t xml:space="preserve"> </w:t>
      </w:r>
      <w:r w:rsidR="00532584">
        <w:rPr>
          <w:rFonts w:eastAsia="Aptos"/>
        </w:rPr>
        <w:t>d</w:t>
      </w:r>
      <w:r w:rsidR="00532584" w:rsidRPr="00544EA2">
        <w:rPr>
          <w:rFonts w:eastAsia="Aptos"/>
        </w:rPr>
        <w:t xml:space="preserve">elegate </w:t>
      </w:r>
      <w:r w:rsidRPr="00544EA2">
        <w:rPr>
          <w:rFonts w:eastAsia="Aptos"/>
        </w:rPr>
        <w:t xml:space="preserve">is satisfied one of the alternative entry circumstances applies to an individual and that the other requirements under section 71 have been met, the </w:t>
      </w:r>
      <w:r w:rsidR="00ED73B7" w:rsidRPr="003523CC">
        <w:rPr>
          <w:rFonts w:eastAsia="Aptos"/>
          <w:iCs/>
        </w:rPr>
        <w:t>Act</w:t>
      </w:r>
      <w:r w:rsidRPr="00544EA2">
        <w:rPr>
          <w:rFonts w:eastAsia="Aptos"/>
          <w:i/>
        </w:rPr>
        <w:t xml:space="preserve"> </w:t>
      </w:r>
      <w:r w:rsidRPr="00544EA2">
        <w:rPr>
          <w:rFonts w:eastAsia="Aptos"/>
        </w:rPr>
        <w:t>allows the date of effect of approval to be set to the date care began. The Notice of Decision (approval letter) template includes wording to cover this scenario</w:t>
      </w:r>
      <w:r w:rsidR="00356086">
        <w:rPr>
          <w:rFonts w:eastAsia="Aptos"/>
        </w:rPr>
        <w:t>, to ensure that providers</w:t>
      </w:r>
      <w:r w:rsidR="00F61613">
        <w:rPr>
          <w:rFonts w:eastAsia="Aptos"/>
        </w:rPr>
        <w:t xml:space="preserve"> are paid from the beginning of service delivery</w:t>
      </w:r>
      <w:r w:rsidRPr="00544EA2">
        <w:rPr>
          <w:rFonts w:eastAsia="Aptos"/>
        </w:rPr>
        <w:t>. Delegates prompted by the system to enter a ‘Delegation date’ for their approval should always enter the actual day the</w:t>
      </w:r>
      <w:r w:rsidR="00646711">
        <w:rPr>
          <w:rFonts w:eastAsia="Aptos"/>
        </w:rPr>
        <w:t>y</w:t>
      </w:r>
      <w:r w:rsidRPr="00544EA2">
        <w:rPr>
          <w:rFonts w:eastAsia="Aptos"/>
        </w:rPr>
        <w:t xml:space="preserve"> mak</w:t>
      </w:r>
      <w:r w:rsidR="00646711">
        <w:rPr>
          <w:rFonts w:eastAsia="Aptos"/>
        </w:rPr>
        <w:t>e</w:t>
      </w:r>
      <w:r w:rsidRPr="00544EA2">
        <w:rPr>
          <w:rFonts w:eastAsia="Aptos"/>
        </w:rPr>
        <w:t xml:space="preserve"> the decision</w:t>
      </w:r>
      <w:r w:rsidR="00646711">
        <w:rPr>
          <w:rFonts w:eastAsia="Aptos"/>
        </w:rPr>
        <w:t xml:space="preserve">, not the day when </w:t>
      </w:r>
      <w:r w:rsidR="00F61613">
        <w:rPr>
          <w:rFonts w:eastAsia="Aptos"/>
        </w:rPr>
        <w:t>care began</w:t>
      </w:r>
      <w:r w:rsidRPr="00544EA2">
        <w:rPr>
          <w:rFonts w:eastAsia="Aptos"/>
        </w:rPr>
        <w:t>.</w:t>
      </w:r>
    </w:p>
    <w:p w14:paraId="2AF5FD21" w14:textId="19ECF746" w:rsidR="003B0176" w:rsidRPr="00544EA2" w:rsidRDefault="003B0176" w:rsidP="00622CFF">
      <w:pPr>
        <w:spacing w:before="240" w:after="240" w:line="240" w:lineRule="auto"/>
        <w:rPr>
          <w:rFonts w:eastAsia="Aptos"/>
        </w:rPr>
      </w:pPr>
      <w:r w:rsidRPr="00544EA2">
        <w:rPr>
          <w:rFonts w:eastAsia="Aptos"/>
        </w:rPr>
        <w:t>In most cases, individuals who have accessed a service prior to an assessment would have accessed this service through the My Aged Care contact centre urgent services pathway. Other circumstances may be emergency respite care and services provided by N</w:t>
      </w:r>
      <w:r w:rsidR="002620C1">
        <w:rPr>
          <w:rFonts w:eastAsia="Aptos"/>
        </w:rPr>
        <w:t xml:space="preserve">ational </w:t>
      </w:r>
      <w:r w:rsidRPr="00544EA2">
        <w:rPr>
          <w:rFonts w:eastAsia="Aptos"/>
        </w:rPr>
        <w:t>A</w:t>
      </w:r>
      <w:r w:rsidR="002620C1">
        <w:rPr>
          <w:rFonts w:eastAsia="Aptos"/>
        </w:rPr>
        <w:t>boriginal</w:t>
      </w:r>
      <w:r w:rsidRPr="00544EA2">
        <w:rPr>
          <w:rFonts w:eastAsia="Aptos"/>
        </w:rPr>
        <w:t xml:space="preserve"> and T</w:t>
      </w:r>
      <w:r w:rsidR="002620C1">
        <w:rPr>
          <w:rFonts w:eastAsia="Aptos"/>
        </w:rPr>
        <w:t xml:space="preserve">orres </w:t>
      </w:r>
      <w:r w:rsidRPr="00544EA2">
        <w:rPr>
          <w:rFonts w:eastAsia="Aptos"/>
        </w:rPr>
        <w:t>S</w:t>
      </w:r>
      <w:r w:rsidR="002620C1">
        <w:rPr>
          <w:rFonts w:eastAsia="Aptos"/>
        </w:rPr>
        <w:t xml:space="preserve">trait </w:t>
      </w:r>
      <w:r w:rsidRPr="00544EA2">
        <w:rPr>
          <w:rFonts w:eastAsia="Aptos"/>
        </w:rPr>
        <w:t>I</w:t>
      </w:r>
      <w:r w:rsidR="002620C1">
        <w:rPr>
          <w:rFonts w:eastAsia="Aptos"/>
        </w:rPr>
        <w:t xml:space="preserve">slander </w:t>
      </w:r>
      <w:r w:rsidRPr="00544EA2">
        <w:rPr>
          <w:rFonts w:eastAsia="Aptos"/>
        </w:rPr>
        <w:t>F</w:t>
      </w:r>
      <w:r w:rsidR="0056184B">
        <w:rPr>
          <w:rFonts w:eastAsia="Aptos"/>
        </w:rPr>
        <w:t xml:space="preserve">lexible </w:t>
      </w:r>
      <w:r w:rsidRPr="00544EA2">
        <w:rPr>
          <w:rFonts w:eastAsia="Aptos"/>
        </w:rPr>
        <w:t>A</w:t>
      </w:r>
      <w:r w:rsidR="0056184B">
        <w:rPr>
          <w:rFonts w:eastAsia="Aptos"/>
        </w:rPr>
        <w:t xml:space="preserve">ged </w:t>
      </w:r>
      <w:r w:rsidRPr="00544EA2">
        <w:rPr>
          <w:rFonts w:eastAsia="Aptos"/>
        </w:rPr>
        <w:t>C</w:t>
      </w:r>
      <w:r w:rsidR="0056184B">
        <w:rPr>
          <w:rFonts w:eastAsia="Aptos"/>
        </w:rPr>
        <w:t xml:space="preserve">are </w:t>
      </w:r>
      <w:r w:rsidRPr="00544EA2">
        <w:rPr>
          <w:rFonts w:eastAsia="Aptos"/>
        </w:rPr>
        <w:t>P</w:t>
      </w:r>
      <w:r w:rsidR="0056184B">
        <w:rPr>
          <w:rFonts w:eastAsia="Aptos"/>
        </w:rPr>
        <w:t>rogram (NATSIFAC)</w:t>
      </w:r>
      <w:r w:rsidRPr="00544EA2">
        <w:rPr>
          <w:rFonts w:eastAsia="Aptos"/>
        </w:rPr>
        <w:t xml:space="preserve"> and </w:t>
      </w:r>
      <w:r w:rsidR="0017422B">
        <w:rPr>
          <w:rFonts w:eastAsia="Aptos"/>
        </w:rPr>
        <w:t>Multi-Purpose</w:t>
      </w:r>
      <w:r w:rsidR="0056184B">
        <w:rPr>
          <w:rFonts w:eastAsia="Aptos"/>
        </w:rPr>
        <w:t xml:space="preserve"> Services Program (</w:t>
      </w:r>
      <w:r w:rsidRPr="00544EA2">
        <w:rPr>
          <w:rFonts w:eastAsia="Aptos"/>
        </w:rPr>
        <w:t>MPSP</w:t>
      </w:r>
      <w:r w:rsidR="0056184B">
        <w:rPr>
          <w:rFonts w:eastAsia="Aptos"/>
        </w:rPr>
        <w:t>)</w:t>
      </w:r>
      <w:r w:rsidRPr="00544EA2">
        <w:rPr>
          <w:rFonts w:eastAsia="Aptos"/>
        </w:rPr>
        <w:t>.</w:t>
      </w:r>
    </w:p>
    <w:p w14:paraId="7EEDCCF3" w14:textId="7A5B96EC" w:rsidR="00F6617D" w:rsidRDefault="003B0176" w:rsidP="006A6454">
      <w:pPr>
        <w:spacing w:before="240" w:after="240" w:line="240" w:lineRule="auto"/>
      </w:pPr>
      <w:r w:rsidRPr="00544EA2">
        <w:rPr>
          <w:rFonts w:eastAsia="Aptos"/>
        </w:rPr>
        <w:t xml:space="preserve">Services delivered before </w:t>
      </w:r>
      <w:r w:rsidR="0056184B">
        <w:rPr>
          <w:rFonts w:eastAsia="Aptos"/>
        </w:rPr>
        <w:t xml:space="preserve">an </w:t>
      </w:r>
      <w:r w:rsidRPr="00544EA2">
        <w:rPr>
          <w:rFonts w:eastAsia="Aptos"/>
        </w:rPr>
        <w:t xml:space="preserve">assessment may not always </w:t>
      </w:r>
      <w:r w:rsidRPr="00544EA2">
        <w:rPr>
          <w:rFonts w:eastAsia="Aptos"/>
          <w:bCs/>
        </w:rPr>
        <w:t>be visible in the Notice of Decision (approval letter). Assessment</w:t>
      </w:r>
      <w:r w:rsidRPr="00544EA2" w:rsidDel="000461E8">
        <w:rPr>
          <w:rFonts w:eastAsia="Aptos"/>
          <w:bCs/>
        </w:rPr>
        <w:t xml:space="preserve"> </w:t>
      </w:r>
      <w:r w:rsidR="000461E8">
        <w:rPr>
          <w:rFonts w:eastAsia="Aptos"/>
          <w:bCs/>
        </w:rPr>
        <w:t>d</w:t>
      </w:r>
      <w:r w:rsidR="000461E8" w:rsidRPr="00544EA2">
        <w:rPr>
          <w:rFonts w:eastAsia="Aptos"/>
          <w:bCs/>
        </w:rPr>
        <w:t xml:space="preserve">elegates </w:t>
      </w:r>
      <w:r w:rsidRPr="00544EA2">
        <w:rPr>
          <w:rFonts w:eastAsia="Aptos"/>
          <w:bCs/>
        </w:rPr>
        <w:t xml:space="preserve">should always check the Support Plan in the Assessor Portal to view these </w:t>
      </w:r>
      <w:r w:rsidR="006D6C22" w:rsidRPr="00544EA2">
        <w:rPr>
          <w:rFonts w:eastAsia="Aptos"/>
          <w:bCs/>
        </w:rPr>
        <w:t>services and</w:t>
      </w:r>
      <w:r w:rsidRPr="00544EA2">
        <w:rPr>
          <w:rFonts w:eastAsia="Aptos"/>
          <w:bCs/>
        </w:rPr>
        <w:t xml:space="preserve"> be sure that they consider whether or not to approve these services. </w:t>
      </w:r>
      <w:bookmarkStart w:id="818" w:name="_Toc198008601"/>
      <w:bookmarkStart w:id="819" w:name="_Toc198787206"/>
      <w:bookmarkStart w:id="820" w:name="_Toc1904631569"/>
      <w:bookmarkStart w:id="821" w:name="_Toc199344593"/>
      <w:bookmarkStart w:id="822" w:name="_Toc205372127"/>
      <w:bookmarkStart w:id="823" w:name="_Toc207714039"/>
    </w:p>
    <w:p w14:paraId="49A52D10" w14:textId="1DBB3F62" w:rsidR="003B0176" w:rsidRPr="00544EA2" w:rsidRDefault="003B0176" w:rsidP="00CC6081">
      <w:pPr>
        <w:pStyle w:val="H4"/>
      </w:pPr>
      <w:r w:rsidRPr="00544EA2">
        <w:t>Application process</w:t>
      </w:r>
      <w:bookmarkEnd w:id="818"/>
      <w:bookmarkEnd w:id="819"/>
      <w:bookmarkEnd w:id="820"/>
      <w:bookmarkEnd w:id="821"/>
      <w:bookmarkEnd w:id="822"/>
      <w:r w:rsidRPr="00544EA2">
        <w:t xml:space="preserve"> for people who have received aged care services </w:t>
      </w:r>
      <w:r w:rsidR="005D666A">
        <w:t xml:space="preserve">and have not </w:t>
      </w:r>
      <w:r w:rsidRPr="00544EA2">
        <w:t>yet applied for an assessment under My Aged Care</w:t>
      </w:r>
      <w:bookmarkEnd w:id="823"/>
    </w:p>
    <w:p w14:paraId="0B660B2C" w14:textId="77777777" w:rsidR="003B0176" w:rsidRPr="00544EA2" w:rsidRDefault="003B0176" w:rsidP="00622CFF">
      <w:pPr>
        <w:pStyle w:val="H5"/>
        <w:spacing w:before="240" w:after="240" w:line="240" w:lineRule="auto"/>
        <w:rPr>
          <w:rFonts w:eastAsia="Yu Gothic"/>
          <w:b w:val="0"/>
          <w:bCs w:val="0"/>
          <w:szCs w:val="22"/>
        </w:rPr>
      </w:pPr>
      <w:bookmarkStart w:id="824" w:name="_Toc207714040"/>
      <w:r w:rsidRPr="00544EA2">
        <w:t>NATSIFCAP and MPSP</w:t>
      </w:r>
      <w:bookmarkEnd w:id="824"/>
    </w:p>
    <w:p w14:paraId="64C73E9F"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Alternative entry pathways are available for individuals who commenced accessing specialist aged care services such as NATSIFACP and MPSP before an approval was given and at the time they were seeking access to services there was a significant delay in the availability of an approved needs assessor to conduct an assessment. </w:t>
      </w:r>
    </w:p>
    <w:p w14:paraId="4ABA36F9" w14:textId="77777777" w:rsidR="003B0176" w:rsidRPr="00544EA2" w:rsidRDefault="003B0176" w:rsidP="00622CFF">
      <w:pPr>
        <w:spacing w:before="240" w:after="240" w:line="240" w:lineRule="auto"/>
        <w:rPr>
          <w:rFonts w:eastAsia="Aptos"/>
          <w:color w:val="000000"/>
        </w:rPr>
      </w:pPr>
      <w:r w:rsidRPr="55FCDEB4">
        <w:rPr>
          <w:rFonts w:eastAsia="Aptos"/>
          <w:color w:val="000000" w:themeColor="text1"/>
        </w:rPr>
        <w:t xml:space="preserve">An application can be lodged for access to Commonwealth subsidised services under the Act's alternative entry provisions via any of the available application pathways (e.g. Contact Centre, online referral or self-referral through an Assessment Organisation). The service provider may help the client with completing/submitting the application. Unless an extension is granted by the System Governor, applications must be lodged within </w:t>
      </w:r>
      <w:r w:rsidRPr="0053236B">
        <w:rPr>
          <w:rFonts w:eastAsia="Aptos"/>
          <w:color w:val="000000" w:themeColor="text1"/>
        </w:rPr>
        <w:t>30 days</w:t>
      </w:r>
      <w:r w:rsidRPr="0053236B">
        <w:rPr>
          <w:rFonts w:eastAsia="Aptos" w:hint="eastAsia"/>
          <w:color w:val="000000" w:themeColor="text1"/>
        </w:rPr>
        <w:t> </w:t>
      </w:r>
      <w:r w:rsidRPr="0053236B">
        <w:rPr>
          <w:rFonts w:eastAsia="Aptos"/>
          <w:color w:val="000000" w:themeColor="text1"/>
        </w:rPr>
        <w:t>after the first day</w:t>
      </w:r>
      <w:r w:rsidRPr="55FCDEB4">
        <w:rPr>
          <w:rFonts w:eastAsia="Aptos"/>
          <w:b/>
          <w:color w:val="000000" w:themeColor="text1"/>
        </w:rPr>
        <w:t xml:space="preserve"> </w:t>
      </w:r>
      <w:r w:rsidRPr="55FCDEB4">
        <w:rPr>
          <w:rFonts w:eastAsia="Aptos"/>
          <w:color w:val="000000" w:themeColor="text1"/>
        </w:rPr>
        <w:t>of care commencing. The application should include the date the individual began receiving care, ensuring appropriate alternate access dates are approved.</w:t>
      </w:r>
      <w:r w:rsidRPr="55FCDEB4">
        <w:rPr>
          <w:rFonts w:eastAsia="Aptos" w:hint="eastAsia"/>
          <w:color w:val="000000" w:themeColor="text1"/>
        </w:rPr>
        <w:t> </w:t>
      </w:r>
    </w:p>
    <w:p w14:paraId="64DBC6CC" w14:textId="1018405C" w:rsidR="003B0176" w:rsidRPr="00544EA2" w:rsidRDefault="6F972192" w:rsidP="00E76F5F">
      <w:pPr>
        <w:pStyle w:val="H5"/>
        <w:tabs>
          <w:tab w:val="left" w:pos="993"/>
        </w:tabs>
        <w:spacing w:before="240" w:after="240" w:line="240" w:lineRule="auto"/>
        <w:rPr>
          <w:b w:val="0"/>
          <w:bCs w:val="0"/>
        </w:rPr>
      </w:pPr>
      <w:r w:rsidRPr="16F29505">
        <w:rPr>
          <w:rFonts w:eastAsia="Aptos"/>
          <w:b w:val="0"/>
          <w:color w:val="000000" w:themeColor="text1"/>
        </w:rPr>
        <w:t> </w:t>
      </w:r>
      <w:bookmarkStart w:id="825" w:name="_Toc207714041"/>
      <w:r w:rsidR="003B0176" w:rsidRPr="00544EA2">
        <w:t>Residential care or residential respite care</w:t>
      </w:r>
      <w:bookmarkEnd w:id="825"/>
    </w:p>
    <w:p w14:paraId="5E665FDE" w14:textId="2AF52B47" w:rsidR="003B0176" w:rsidRPr="00544EA2" w:rsidRDefault="003B0176" w:rsidP="00622CFF">
      <w:pPr>
        <w:spacing w:before="240" w:after="240" w:line="240" w:lineRule="auto"/>
        <w:rPr>
          <w:rFonts w:eastAsia="Aptos"/>
          <w:color w:val="000000"/>
        </w:rPr>
      </w:pPr>
      <w:r w:rsidRPr="00544EA2">
        <w:rPr>
          <w:rFonts w:eastAsia="Aptos"/>
          <w:color w:val="000000"/>
        </w:rPr>
        <w:t xml:space="preserve">Alternative entry pathways are available for individuals who require urgent residential care or residential respite care. To be eligible, at the time they accessed this care, there must have been a significant risk of harm to the individual if those services were not delivered before approval to access funded aged care services was given. </w:t>
      </w:r>
    </w:p>
    <w:p w14:paraId="1878A6BC" w14:textId="2950C6FF" w:rsidR="003B0176" w:rsidRPr="00544EA2" w:rsidRDefault="003B0176" w:rsidP="00622CFF">
      <w:pPr>
        <w:spacing w:before="240" w:after="240" w:line="240" w:lineRule="auto"/>
        <w:rPr>
          <w:rFonts w:eastAsia="Aptos"/>
          <w:color w:val="000000"/>
        </w:rPr>
      </w:pPr>
      <w:r w:rsidRPr="00544EA2">
        <w:rPr>
          <w:rFonts w:eastAsia="Aptos"/>
          <w:color w:val="000000"/>
        </w:rPr>
        <w:t>An application can be lodged for access to residential care or residential respite care under the Act</w:t>
      </w:r>
      <w:r w:rsidR="0055165B">
        <w:rPr>
          <w:rFonts w:eastAsia="Aptos"/>
          <w:color w:val="000000"/>
        </w:rPr>
        <w:t>’</w:t>
      </w:r>
      <w:r w:rsidRPr="00544EA2">
        <w:rPr>
          <w:rFonts w:eastAsia="Aptos"/>
          <w:color w:val="000000"/>
        </w:rPr>
        <w:t xml:space="preserve">s alternative entry provisions via any of the available application pathways (e.g. Contact Centre, online referral or self-referral through an Assessment Organisation) or by submitting the </w:t>
      </w:r>
      <w:r w:rsidR="00414A41">
        <w:rPr>
          <w:rFonts w:eastAsia="Aptos"/>
          <w:i/>
          <w:color w:val="000000"/>
        </w:rPr>
        <w:t xml:space="preserve">Emergency Residential Care - </w:t>
      </w:r>
      <w:r w:rsidRPr="00544EA2">
        <w:rPr>
          <w:rFonts w:eastAsia="Aptos"/>
          <w:i/>
          <w:color w:val="000000"/>
        </w:rPr>
        <w:t xml:space="preserve">Application for Care </w:t>
      </w:r>
      <w:r w:rsidRPr="00544EA2">
        <w:rPr>
          <w:rFonts w:eastAsia="Aptos"/>
          <w:color w:val="000000"/>
        </w:rPr>
        <w:t xml:space="preserve">form (see below). The service provider may help the client with completing/submitting the application. Unless an extension is granted by the System Governor, applications must be lodged within </w:t>
      </w:r>
      <w:r w:rsidRPr="0053236B">
        <w:rPr>
          <w:rFonts w:eastAsia="Aptos"/>
          <w:color w:val="000000"/>
        </w:rPr>
        <w:t>5 days</w:t>
      </w:r>
      <w:r w:rsidRPr="00544EA2">
        <w:rPr>
          <w:rFonts w:eastAsia="Aptos"/>
          <w:color w:val="000000"/>
        </w:rPr>
        <w:t xml:space="preserve"> </w:t>
      </w:r>
      <w:r w:rsidRPr="0053236B">
        <w:rPr>
          <w:rFonts w:eastAsia="Aptos"/>
          <w:color w:val="000000"/>
        </w:rPr>
        <w:t>after the first day</w:t>
      </w:r>
      <w:r w:rsidRPr="00544EA2">
        <w:rPr>
          <w:rFonts w:eastAsia="Aptos"/>
          <w:color w:val="000000"/>
        </w:rPr>
        <w:t xml:space="preserve"> of care commencing. The application should include the date the individual began receiving care, ensuring appropriate alternate access dates are approved.</w:t>
      </w:r>
    </w:p>
    <w:p w14:paraId="67A14107" w14:textId="1AEEE3F4" w:rsidR="003B0176" w:rsidRPr="00544EA2" w:rsidRDefault="003B0176" w:rsidP="00622CFF">
      <w:pPr>
        <w:spacing w:before="240" w:after="240" w:line="240" w:lineRule="auto"/>
        <w:rPr>
          <w:rFonts w:eastAsia="Aptos"/>
          <w:b/>
          <w:color w:val="000000"/>
        </w:rPr>
      </w:pPr>
      <w:r w:rsidRPr="00544EA2">
        <w:rPr>
          <w:rFonts w:eastAsia="Aptos"/>
          <w:color w:val="000000"/>
        </w:rPr>
        <w:t xml:space="preserve">If completing the </w:t>
      </w:r>
      <w:r w:rsidR="007C1317">
        <w:rPr>
          <w:rFonts w:eastAsia="Aptos"/>
          <w:i/>
          <w:color w:val="000000"/>
        </w:rPr>
        <w:t xml:space="preserve">Emergency Residential Care - </w:t>
      </w:r>
      <w:r w:rsidRPr="00544EA2">
        <w:rPr>
          <w:rFonts w:eastAsia="Aptos"/>
          <w:i/>
          <w:color w:val="000000"/>
        </w:rPr>
        <w:t xml:space="preserve">Application for Care </w:t>
      </w:r>
      <w:r w:rsidRPr="00544EA2">
        <w:rPr>
          <w:rFonts w:eastAsia="Aptos"/>
          <w:color w:val="000000"/>
        </w:rPr>
        <w:t>form, the form</w:t>
      </w:r>
      <w:r w:rsidRPr="00544EA2">
        <w:rPr>
          <w:rFonts w:eastAsia="Aptos"/>
          <w:b/>
          <w:color w:val="000000"/>
        </w:rPr>
        <w:t xml:space="preserve"> </w:t>
      </w:r>
      <w:r w:rsidRPr="00F46048">
        <w:rPr>
          <w:rFonts w:eastAsia="Aptos"/>
          <w:bCs/>
          <w:color w:val="000000"/>
        </w:rPr>
        <w:t>must:</w:t>
      </w:r>
    </w:p>
    <w:p w14:paraId="3048955E" w14:textId="36A02B5A" w:rsidR="003B0176" w:rsidRPr="007E31AE" w:rsidRDefault="003B0176" w:rsidP="00DF3F6B">
      <w:pPr>
        <w:numPr>
          <w:ilvl w:val="0"/>
          <w:numId w:val="53"/>
        </w:numPr>
        <w:spacing w:before="240" w:after="240" w:line="240" w:lineRule="auto"/>
        <w:contextualSpacing/>
        <w:rPr>
          <w:rFonts w:eastAsia="Aptos"/>
          <w:bCs/>
          <w:color w:val="000000"/>
        </w:rPr>
      </w:pPr>
      <w:r w:rsidRPr="00544EA2">
        <w:rPr>
          <w:rFonts w:eastAsia="Aptos"/>
          <w:color w:val="000000"/>
        </w:rPr>
        <w:t xml:space="preserve">have both the </w:t>
      </w:r>
      <w:r w:rsidR="00C32808" w:rsidRPr="00F46048">
        <w:rPr>
          <w:rFonts w:eastAsia="Aptos"/>
          <w:bCs/>
          <w:color w:val="000000"/>
        </w:rPr>
        <w:t>Emergency a</w:t>
      </w:r>
      <w:r w:rsidRPr="00F46048">
        <w:rPr>
          <w:rFonts w:eastAsia="Aptos"/>
          <w:bCs/>
          <w:color w:val="000000"/>
        </w:rPr>
        <w:t xml:space="preserve">pplication section </w:t>
      </w:r>
      <w:r w:rsidRPr="007E31AE">
        <w:rPr>
          <w:rFonts w:eastAsia="Aptos"/>
          <w:bCs/>
          <w:color w:val="000000"/>
        </w:rPr>
        <w:t xml:space="preserve">and the </w:t>
      </w:r>
      <w:r w:rsidR="008A2FC0" w:rsidRPr="00F46048">
        <w:rPr>
          <w:rFonts w:eastAsia="Aptos"/>
          <w:bCs/>
          <w:color w:val="000000"/>
        </w:rPr>
        <w:t xml:space="preserve">provider details </w:t>
      </w:r>
      <w:r w:rsidRPr="00F46048">
        <w:rPr>
          <w:rFonts w:eastAsia="Aptos"/>
          <w:bCs/>
          <w:color w:val="000000"/>
        </w:rPr>
        <w:t xml:space="preserve">section </w:t>
      </w:r>
      <w:r w:rsidRPr="007E31AE">
        <w:rPr>
          <w:rFonts w:eastAsia="Aptos"/>
          <w:bCs/>
          <w:color w:val="000000"/>
        </w:rPr>
        <w:t>of the form completed; and</w:t>
      </w:r>
    </w:p>
    <w:p w14:paraId="6B96F93C" w14:textId="39ABFE87" w:rsidR="003B0176" w:rsidRDefault="003B0176" w:rsidP="00DF3F6B">
      <w:pPr>
        <w:numPr>
          <w:ilvl w:val="0"/>
          <w:numId w:val="53"/>
        </w:numPr>
        <w:spacing w:before="240" w:after="240" w:line="240" w:lineRule="auto"/>
        <w:contextualSpacing/>
        <w:rPr>
          <w:rFonts w:eastAsia="Aptos"/>
          <w:color w:val="000000"/>
        </w:rPr>
      </w:pPr>
      <w:r w:rsidRPr="007E31AE">
        <w:rPr>
          <w:rFonts w:eastAsia="Aptos"/>
          <w:bCs/>
          <w:color w:val="000000"/>
        </w:rPr>
        <w:t xml:space="preserve">The provider may submit the form, including supporting information for referral to their local assessment organisation, </w:t>
      </w:r>
      <w:r w:rsidRPr="00F46048">
        <w:rPr>
          <w:rFonts w:eastAsia="Aptos"/>
          <w:bCs/>
          <w:color w:val="000000"/>
        </w:rPr>
        <w:t xml:space="preserve">within </w:t>
      </w:r>
      <w:r w:rsidR="00D925AA" w:rsidRPr="00F46048">
        <w:rPr>
          <w:rFonts w:eastAsia="Aptos"/>
          <w:bCs/>
          <w:color w:val="000000"/>
        </w:rPr>
        <w:t xml:space="preserve">5 </w:t>
      </w:r>
      <w:r w:rsidRPr="00F46048">
        <w:rPr>
          <w:rFonts w:eastAsia="Aptos"/>
          <w:bCs/>
          <w:color w:val="000000"/>
        </w:rPr>
        <w:t>days</w:t>
      </w:r>
      <w:r w:rsidRPr="007E31AE">
        <w:rPr>
          <w:rFonts w:eastAsia="Aptos"/>
          <w:bCs/>
          <w:color w:val="000000"/>
        </w:rPr>
        <w:t xml:space="preserve"> after the day</w:t>
      </w:r>
      <w:r w:rsidRPr="00544EA2">
        <w:rPr>
          <w:rFonts w:eastAsia="Aptos"/>
          <w:color w:val="000000"/>
        </w:rPr>
        <w:t xml:space="preserve"> care commenced unless an extension has been granted by the System Governor (on application).</w:t>
      </w:r>
    </w:p>
    <w:p w14:paraId="19E45495" w14:textId="77777777" w:rsidR="003B0176" w:rsidRPr="00544EA2" w:rsidRDefault="003B0176" w:rsidP="00622CFF">
      <w:pPr>
        <w:spacing w:before="240" w:after="240" w:line="240" w:lineRule="auto"/>
        <w:ind w:left="720"/>
        <w:contextualSpacing/>
        <w:rPr>
          <w:rFonts w:eastAsia="Aptos"/>
          <w:color w:val="000000"/>
        </w:rPr>
      </w:pPr>
    </w:p>
    <w:p w14:paraId="678D8D40" w14:textId="16504AED" w:rsidR="003B0176" w:rsidRPr="00544EA2" w:rsidRDefault="003B0176" w:rsidP="00622CFF">
      <w:pPr>
        <w:spacing w:before="240" w:after="240" w:line="240" w:lineRule="auto"/>
        <w:rPr>
          <w:rFonts w:eastAsia="Aptos"/>
          <w:color w:val="FF0000"/>
        </w:rPr>
      </w:pPr>
      <w:r w:rsidRPr="00544EA2">
        <w:rPr>
          <w:rFonts w:eastAsia="Aptos"/>
          <w:color w:val="000000"/>
        </w:rPr>
        <w:t xml:space="preserve">If an older person and/or their active, </w:t>
      </w:r>
      <w:r w:rsidRPr="00544EA2">
        <w:rPr>
          <w:rFonts w:eastAsia="Aptos"/>
        </w:rPr>
        <w:t xml:space="preserve">active, appointed decision maker authorised under </w:t>
      </w:r>
      <w:r w:rsidR="00D925AA">
        <w:rPr>
          <w:rFonts w:eastAsia="Aptos"/>
        </w:rPr>
        <w:t xml:space="preserve">section </w:t>
      </w:r>
      <w:r w:rsidRPr="00544EA2">
        <w:rPr>
          <w:rFonts w:eastAsia="Aptos"/>
        </w:rPr>
        <w:t>28(2) of the Act is unavailable</w:t>
      </w:r>
      <w:r w:rsidRPr="00544EA2">
        <w:rPr>
          <w:rFonts w:eastAsia="Aptos"/>
          <w:color w:val="000000"/>
        </w:rPr>
        <w:t xml:space="preserve">, the registered provider may sign the form. </w:t>
      </w:r>
    </w:p>
    <w:p w14:paraId="3C70C823" w14:textId="77777777" w:rsidR="003B0176" w:rsidRPr="00544EA2" w:rsidRDefault="003B0176" w:rsidP="00622CFF">
      <w:pPr>
        <w:spacing w:before="240" w:after="240" w:line="240" w:lineRule="auto"/>
        <w:rPr>
          <w:rFonts w:eastAsia="Aptos"/>
          <w:color w:val="000000"/>
        </w:rPr>
      </w:pPr>
      <w:r w:rsidRPr="00544EA2">
        <w:rPr>
          <w:rFonts w:eastAsia="Aptos"/>
          <w:color w:val="000000"/>
        </w:rPr>
        <w:t>In urgent cases, the person is already receiving care, but this does not mean they are permanently entering aged care or will remain at the current facility.</w:t>
      </w:r>
    </w:p>
    <w:p w14:paraId="4DBAB22B" w14:textId="529FEB69" w:rsidR="003B0176" w:rsidRPr="00544EA2" w:rsidRDefault="003B0176" w:rsidP="00622CFF">
      <w:pPr>
        <w:spacing w:before="240" w:after="240" w:line="240" w:lineRule="auto"/>
        <w:rPr>
          <w:rFonts w:eastAsia="Aptos"/>
          <w:color w:val="000000"/>
        </w:rPr>
      </w:pPr>
      <w:r w:rsidRPr="00544EA2">
        <w:rPr>
          <w:rFonts w:eastAsia="Aptos"/>
          <w:color w:val="000000"/>
        </w:rPr>
        <w:t xml:space="preserve">If a provider prefers the </w:t>
      </w:r>
      <w:r w:rsidR="00516348">
        <w:rPr>
          <w:rFonts w:eastAsia="Aptos"/>
          <w:color w:val="000000"/>
        </w:rPr>
        <w:t>older pe</w:t>
      </w:r>
      <w:r w:rsidR="00AC790E">
        <w:rPr>
          <w:rFonts w:eastAsia="Aptos"/>
          <w:color w:val="000000"/>
        </w:rPr>
        <w:t xml:space="preserve">rson’s </w:t>
      </w:r>
      <w:r w:rsidRPr="00544EA2">
        <w:rPr>
          <w:rFonts w:eastAsia="Aptos"/>
          <w:color w:val="000000"/>
        </w:rPr>
        <w:t xml:space="preserve">appointed decision maker to sign the form, they may apply for an extension. Under </w:t>
      </w:r>
      <w:r w:rsidRPr="00F46048">
        <w:rPr>
          <w:rFonts w:eastAsia="Aptos"/>
          <w:bCs/>
          <w:color w:val="000000"/>
        </w:rPr>
        <w:t>section 71</w:t>
      </w:r>
      <w:r w:rsidRPr="00544EA2">
        <w:rPr>
          <w:rFonts w:eastAsia="Aptos"/>
          <w:color w:val="000000"/>
        </w:rPr>
        <w:t xml:space="preserve"> of the Act, an extension must be requested if the application cannot be submitted within the required timeframe.</w:t>
      </w:r>
    </w:p>
    <w:p w14:paraId="0E51F217" w14:textId="1705A9C3" w:rsidR="003B0176" w:rsidRPr="00544EA2" w:rsidRDefault="003B0176" w:rsidP="00CC6081">
      <w:pPr>
        <w:pStyle w:val="H4"/>
        <w:rPr>
          <w:rFonts w:ascii="Aptos" w:eastAsia="Aptos" w:hAnsi="Aptos"/>
          <w:color w:val="000000"/>
        </w:rPr>
      </w:pPr>
      <w:bookmarkStart w:id="826" w:name="_Toc205372128"/>
      <w:bookmarkStart w:id="827" w:name="_Toc207714042"/>
      <w:r w:rsidRPr="00544EA2">
        <w:t>Intake and assessment process</w:t>
      </w:r>
      <w:bookmarkEnd w:id="826"/>
      <w:r w:rsidRPr="00544EA2">
        <w:t xml:space="preserve"> for an </w:t>
      </w:r>
      <w:r w:rsidR="007C1515">
        <w:t xml:space="preserve">Emergency Residential Care – </w:t>
      </w:r>
      <w:r w:rsidRPr="00FB0C0C">
        <w:t>Application for Care</w:t>
      </w:r>
      <w:bookmarkEnd w:id="827"/>
    </w:p>
    <w:p w14:paraId="78C1275B" w14:textId="03C4ABC2" w:rsidR="003B0176" w:rsidRPr="00544EA2" w:rsidRDefault="003B0176" w:rsidP="00622CFF">
      <w:pPr>
        <w:spacing w:before="240" w:after="240" w:line="240" w:lineRule="auto"/>
        <w:rPr>
          <w:rFonts w:eastAsia="Aptos"/>
          <w:color w:val="000000"/>
        </w:rPr>
      </w:pPr>
      <w:r w:rsidRPr="00544EA2">
        <w:rPr>
          <w:rFonts w:eastAsia="Aptos"/>
          <w:color w:val="000000"/>
        </w:rPr>
        <w:t>When the form is received, the assessment organisation must:</w:t>
      </w:r>
    </w:p>
    <w:p w14:paraId="250FC772" w14:textId="6770AB64"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Ensure the </w:t>
      </w:r>
      <w:r w:rsidR="007C1515" w:rsidRPr="0053236B">
        <w:rPr>
          <w:rFonts w:eastAsia="Aptos"/>
          <w:iCs/>
          <w:color w:val="000000"/>
        </w:rPr>
        <w:t>form</w:t>
      </w:r>
      <w:r w:rsidR="007C1515">
        <w:rPr>
          <w:rFonts w:eastAsia="Aptos"/>
          <w:i/>
          <w:color w:val="000000"/>
        </w:rPr>
        <w:t xml:space="preserve"> </w:t>
      </w:r>
      <w:r w:rsidRPr="00544EA2">
        <w:rPr>
          <w:rFonts w:eastAsia="Aptos"/>
          <w:color w:val="000000"/>
        </w:rPr>
        <w:t>is signed by the older person, or their active, appointed decision mak</w:t>
      </w:r>
      <w:r w:rsidRPr="00544EA2">
        <w:rPr>
          <w:rFonts w:eastAsia="Aptos"/>
        </w:rPr>
        <w:t xml:space="preserve">er, </w:t>
      </w:r>
      <w:r w:rsidRPr="00544EA2">
        <w:rPr>
          <w:rFonts w:eastAsia="Aptos"/>
          <w:color w:val="000000"/>
        </w:rPr>
        <w:t xml:space="preserve">and confirm the </w:t>
      </w:r>
      <w:r w:rsidRPr="00544EA2">
        <w:rPr>
          <w:rFonts w:eastAsia="Aptos"/>
          <w:i/>
          <w:color w:val="000000"/>
        </w:rPr>
        <w:t>emergency case</w:t>
      </w:r>
      <w:r w:rsidRPr="00544EA2">
        <w:rPr>
          <w:rFonts w:eastAsia="Aptos"/>
          <w:color w:val="000000"/>
        </w:rPr>
        <w:t xml:space="preserve"> section is completed correctly by the registered provider.</w:t>
      </w:r>
    </w:p>
    <w:p w14:paraId="69631DC7" w14:textId="77777777"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Confirm the date the form was received. If it was submitted </w:t>
      </w:r>
      <w:r w:rsidRPr="00F46048">
        <w:rPr>
          <w:rFonts w:eastAsia="Aptos"/>
          <w:bCs/>
          <w:color w:val="000000"/>
        </w:rPr>
        <w:t>after 5 calendar days</w:t>
      </w:r>
      <w:r w:rsidRPr="00544EA2">
        <w:rPr>
          <w:rFonts w:eastAsia="Aptos"/>
          <w:color w:val="000000"/>
        </w:rPr>
        <w:t xml:space="preserve"> from the care start date, assessment can only proceed if the provider has been granted an extension by the System Governor, following an application for extension.</w:t>
      </w:r>
    </w:p>
    <w:p w14:paraId="1A7A526E" w14:textId="222C0BC9"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Register and self-refer the older person in the My Aged Care </w:t>
      </w:r>
      <w:r w:rsidR="00002CD3">
        <w:rPr>
          <w:rFonts w:eastAsia="Aptos"/>
          <w:color w:val="000000"/>
        </w:rPr>
        <w:t>A</w:t>
      </w:r>
      <w:r w:rsidRPr="00544EA2">
        <w:rPr>
          <w:rFonts w:eastAsia="Aptos"/>
          <w:color w:val="000000"/>
        </w:rPr>
        <w:t xml:space="preserve">ssessor </w:t>
      </w:r>
      <w:r w:rsidR="00002CD3">
        <w:rPr>
          <w:rFonts w:eastAsia="Aptos"/>
          <w:color w:val="000000"/>
        </w:rPr>
        <w:t>P</w:t>
      </w:r>
      <w:r w:rsidRPr="00544EA2">
        <w:rPr>
          <w:rFonts w:eastAsia="Aptos"/>
          <w:color w:val="000000"/>
        </w:rPr>
        <w:t>ortal (if required and self-referral criteria are met).</w:t>
      </w:r>
    </w:p>
    <w:p w14:paraId="61B91875" w14:textId="64DE2849"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Assign intake priority. Although the person is already in care, the </w:t>
      </w:r>
      <w:r w:rsidR="008F6BAF">
        <w:rPr>
          <w:rFonts w:eastAsia="Aptos"/>
          <w:bCs/>
          <w:color w:val="000000"/>
        </w:rPr>
        <w:t>t</w:t>
      </w:r>
      <w:r w:rsidR="008F6BAF" w:rsidRPr="00F46048">
        <w:rPr>
          <w:rFonts w:eastAsia="Aptos"/>
          <w:bCs/>
          <w:color w:val="000000"/>
        </w:rPr>
        <w:t>riage</w:t>
      </w:r>
      <w:r w:rsidRPr="00544EA2" w:rsidDel="008F6BAF">
        <w:rPr>
          <w:rFonts w:eastAsia="Aptos"/>
          <w:color w:val="000000"/>
        </w:rPr>
        <w:t xml:space="preserve"> </w:t>
      </w:r>
      <w:r w:rsidR="008F6BAF">
        <w:rPr>
          <w:rFonts w:eastAsia="Aptos"/>
          <w:bCs/>
          <w:color w:val="000000"/>
        </w:rPr>
        <w:t>d</w:t>
      </w:r>
      <w:r w:rsidR="008F6BAF" w:rsidRPr="00F46048">
        <w:rPr>
          <w:rFonts w:eastAsia="Aptos"/>
          <w:bCs/>
          <w:color w:val="000000"/>
        </w:rPr>
        <w:t>elegate</w:t>
      </w:r>
      <w:r w:rsidR="008F6BAF" w:rsidRPr="00544EA2">
        <w:rPr>
          <w:rFonts w:eastAsia="Aptos"/>
          <w:color w:val="000000"/>
        </w:rPr>
        <w:t xml:space="preserve"> </w:t>
      </w:r>
      <w:r w:rsidRPr="00544EA2">
        <w:rPr>
          <w:rFonts w:eastAsia="Aptos"/>
          <w:color w:val="000000"/>
        </w:rPr>
        <w:t xml:space="preserve">must consider the urgency of the </w:t>
      </w:r>
      <w:r w:rsidR="001B680F" w:rsidRPr="00544EA2">
        <w:rPr>
          <w:rFonts w:eastAsia="Aptos"/>
          <w:color w:val="000000"/>
        </w:rPr>
        <w:t>individual’s</w:t>
      </w:r>
      <w:r w:rsidRPr="00544EA2">
        <w:rPr>
          <w:rFonts w:eastAsia="Aptos"/>
          <w:color w:val="000000"/>
        </w:rPr>
        <w:t xml:space="preserve"> circumstances. If the person</w:t>
      </w:r>
      <w:r w:rsidR="008F6BAF">
        <w:rPr>
          <w:rFonts w:eastAsia="Aptos"/>
          <w:color w:val="000000"/>
        </w:rPr>
        <w:t>’</w:t>
      </w:r>
      <w:r w:rsidRPr="00544EA2">
        <w:rPr>
          <w:rFonts w:eastAsia="Aptos"/>
          <w:color w:val="000000"/>
        </w:rPr>
        <w:t>s condition is rapidly deteriorating, the assessment should be scheduled as soon as possible.</w:t>
      </w:r>
    </w:p>
    <w:p w14:paraId="14EC19D2" w14:textId="13864351" w:rsidR="003B0176" w:rsidRPr="00544EA2"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Upload the verified form to the older person</w:t>
      </w:r>
      <w:r w:rsidR="001B680F">
        <w:rPr>
          <w:rFonts w:eastAsia="Aptos"/>
          <w:color w:val="000000"/>
        </w:rPr>
        <w:t>’</w:t>
      </w:r>
      <w:r w:rsidRPr="00544EA2">
        <w:rPr>
          <w:rFonts w:eastAsia="Aptos"/>
          <w:color w:val="000000"/>
        </w:rPr>
        <w:t>s record.</w:t>
      </w:r>
    </w:p>
    <w:p w14:paraId="40A7548C" w14:textId="3592C9D2" w:rsidR="003B0176" w:rsidRDefault="003B0176" w:rsidP="00DF3F6B">
      <w:pPr>
        <w:numPr>
          <w:ilvl w:val="0"/>
          <w:numId w:val="54"/>
        </w:numPr>
        <w:spacing w:before="240" w:after="240" w:line="240" w:lineRule="auto"/>
        <w:contextualSpacing/>
        <w:rPr>
          <w:rFonts w:eastAsia="Aptos"/>
          <w:color w:val="000000"/>
        </w:rPr>
      </w:pPr>
      <w:r w:rsidRPr="00544EA2">
        <w:rPr>
          <w:rFonts w:eastAsia="Aptos"/>
          <w:color w:val="000000"/>
        </w:rPr>
        <w:t xml:space="preserve">Schedule a </w:t>
      </w:r>
      <w:r w:rsidRPr="00FB0C0C">
        <w:rPr>
          <w:rFonts w:eastAsia="Aptos"/>
          <w:bCs/>
          <w:color w:val="000000"/>
        </w:rPr>
        <w:t>comprehensive assessment</w:t>
      </w:r>
      <w:r w:rsidRPr="00544EA2">
        <w:rPr>
          <w:rFonts w:eastAsia="Aptos"/>
          <w:color w:val="000000"/>
        </w:rPr>
        <w:t xml:space="preserve"> with an assessor. Where possible, this should be face-to-face and collect information to:</w:t>
      </w:r>
      <w:r w:rsidRPr="00544EA2">
        <w:rPr>
          <w:rFonts w:eastAsia="Yu Gothic Light"/>
        </w:rPr>
        <w:br/>
      </w:r>
      <w:r w:rsidRPr="00544EA2">
        <w:rPr>
          <w:rFonts w:eastAsia="Aptos"/>
          <w:color w:val="000000"/>
        </w:rPr>
        <w:t xml:space="preserve">  - Determine the older person's required level of care; and</w:t>
      </w:r>
      <w:r w:rsidRPr="00544EA2">
        <w:rPr>
          <w:rFonts w:eastAsia="Yu Gothic Light"/>
        </w:rPr>
        <w:br/>
      </w:r>
      <w:r w:rsidRPr="00544EA2">
        <w:rPr>
          <w:rFonts w:eastAsia="Aptos"/>
          <w:color w:val="000000"/>
        </w:rPr>
        <w:t xml:space="preserve">  - Confirm that urgent circumstances existed at entry and that prior approval was not practicable.</w:t>
      </w:r>
    </w:p>
    <w:p w14:paraId="61ACCD15" w14:textId="738E5FF3" w:rsidR="008A19E0" w:rsidRDefault="004009A5" w:rsidP="00DF3F6B">
      <w:pPr>
        <w:numPr>
          <w:ilvl w:val="0"/>
          <w:numId w:val="54"/>
        </w:numPr>
        <w:spacing w:before="240" w:after="240" w:line="240" w:lineRule="auto"/>
        <w:contextualSpacing/>
        <w:rPr>
          <w:rFonts w:eastAsia="Aptos"/>
          <w:color w:val="000000"/>
        </w:rPr>
      </w:pPr>
      <w:r w:rsidRPr="20863C94">
        <w:rPr>
          <w:rFonts w:eastAsia="Aptos"/>
          <w:color w:val="000000" w:themeColor="text1"/>
        </w:rPr>
        <w:t>Record the Emergency Care start date</w:t>
      </w:r>
      <w:r w:rsidR="00BC71A7">
        <w:rPr>
          <w:rFonts w:eastAsia="Aptos"/>
          <w:color w:val="000000" w:themeColor="text1"/>
        </w:rPr>
        <w:t xml:space="preserve"> (for residential care or residential respite)</w:t>
      </w:r>
      <w:r w:rsidR="00245D0F" w:rsidRPr="20863C94">
        <w:rPr>
          <w:rFonts w:eastAsia="Aptos"/>
          <w:color w:val="000000" w:themeColor="text1"/>
        </w:rPr>
        <w:t xml:space="preserve"> before sending to the </w:t>
      </w:r>
      <w:r w:rsidR="008F6BAF">
        <w:rPr>
          <w:rFonts w:eastAsia="Aptos"/>
          <w:color w:val="000000" w:themeColor="text1"/>
        </w:rPr>
        <w:t>a</w:t>
      </w:r>
      <w:r w:rsidR="008F6BAF" w:rsidRPr="20863C94">
        <w:rPr>
          <w:rFonts w:eastAsia="Aptos"/>
          <w:color w:val="000000" w:themeColor="text1"/>
        </w:rPr>
        <w:t xml:space="preserve">ssessment </w:t>
      </w:r>
      <w:r w:rsidR="008F6BAF">
        <w:rPr>
          <w:rFonts w:eastAsia="Aptos"/>
          <w:color w:val="000000" w:themeColor="text1"/>
        </w:rPr>
        <w:t>d</w:t>
      </w:r>
      <w:r w:rsidR="008F6BAF" w:rsidRPr="20863C94">
        <w:rPr>
          <w:rFonts w:eastAsia="Aptos"/>
          <w:color w:val="000000" w:themeColor="text1"/>
        </w:rPr>
        <w:t>elegate</w:t>
      </w:r>
      <w:r w:rsidR="00245D0F" w:rsidRPr="20863C94">
        <w:rPr>
          <w:rFonts w:eastAsia="Aptos"/>
          <w:color w:val="000000" w:themeColor="text1"/>
        </w:rPr>
        <w:t>.</w:t>
      </w:r>
    </w:p>
    <w:p w14:paraId="6E634EBB" w14:textId="2188595D" w:rsidR="003B0176" w:rsidRPr="008A19E0" w:rsidRDefault="003B0176" w:rsidP="00DF3F6B">
      <w:pPr>
        <w:numPr>
          <w:ilvl w:val="0"/>
          <w:numId w:val="54"/>
        </w:numPr>
        <w:spacing w:before="240" w:after="240" w:line="240" w:lineRule="auto"/>
        <w:contextualSpacing/>
        <w:rPr>
          <w:rFonts w:eastAsia="Aptos"/>
          <w:color w:val="000000"/>
        </w:rPr>
      </w:pPr>
      <w:r w:rsidRPr="008A19E0">
        <w:rPr>
          <w:rFonts w:eastAsia="Aptos"/>
        </w:rPr>
        <w:t>The assessor must collect as much information as possible about the urgent situation from the older person, their registered supporters (if available, and in line with the older person</w:t>
      </w:r>
      <w:r w:rsidR="0073296A" w:rsidRPr="008A19E0">
        <w:rPr>
          <w:rFonts w:eastAsia="Aptos"/>
        </w:rPr>
        <w:t>’</w:t>
      </w:r>
      <w:r w:rsidRPr="008A19E0">
        <w:rPr>
          <w:rFonts w:eastAsia="Aptos"/>
        </w:rPr>
        <w:t>s</w:t>
      </w:r>
      <w:r w:rsidR="0073296A" w:rsidRPr="008A19E0">
        <w:rPr>
          <w:rFonts w:eastAsia="Aptos"/>
        </w:rPr>
        <w:t xml:space="preserve"> will and preferences</w:t>
      </w:r>
      <w:r w:rsidRPr="008A19E0">
        <w:rPr>
          <w:rFonts w:eastAsia="Aptos"/>
        </w:rPr>
        <w:t>), their active, appointed decision maker/s (as relevant), the registered provider, and any other professionals involved at the time of entry.</w:t>
      </w:r>
    </w:p>
    <w:p w14:paraId="72D04DE6" w14:textId="1956B39C" w:rsidR="003B0176" w:rsidRPr="00544EA2" w:rsidRDefault="003B0176" w:rsidP="00CC6081">
      <w:pPr>
        <w:pStyle w:val="H4"/>
        <w:rPr>
          <w:rFonts w:ascii="Aptos" w:eastAsia="Aptos" w:hAnsi="Aptos"/>
          <w:color w:val="000000"/>
        </w:rPr>
      </w:pPr>
      <w:bookmarkStart w:id="828" w:name="_Toc198008603"/>
      <w:bookmarkStart w:id="829" w:name="_Toc198787208"/>
      <w:bookmarkStart w:id="830" w:name="_Toc1519672150"/>
      <w:bookmarkStart w:id="831" w:name="_Toc199344595"/>
      <w:bookmarkStart w:id="832" w:name="_Toc205372129"/>
      <w:bookmarkStart w:id="833" w:name="_Toc207714043"/>
      <w:r w:rsidRPr="00544EA2">
        <w:t>Making a decision about alternative entry</w:t>
      </w:r>
      <w:bookmarkEnd w:id="828"/>
      <w:bookmarkEnd w:id="829"/>
      <w:bookmarkEnd w:id="830"/>
      <w:bookmarkEnd w:id="831"/>
      <w:bookmarkEnd w:id="832"/>
      <w:bookmarkEnd w:id="833"/>
    </w:p>
    <w:p w14:paraId="3C495509" w14:textId="0807687A" w:rsidR="003B0176" w:rsidRPr="00544EA2" w:rsidRDefault="003B0176" w:rsidP="00622CFF">
      <w:pPr>
        <w:spacing w:before="240" w:after="240" w:line="240" w:lineRule="auto"/>
        <w:rPr>
          <w:rFonts w:eastAsia="Aptos"/>
        </w:rPr>
      </w:pPr>
      <w:r w:rsidRPr="00544EA2">
        <w:rPr>
          <w:rFonts w:eastAsia="Aptos"/>
          <w:color w:val="000000"/>
        </w:rPr>
        <w:t>Assessment</w:t>
      </w:r>
      <w:r w:rsidRPr="00544EA2" w:rsidDel="008F6BAF">
        <w:rPr>
          <w:rFonts w:eastAsia="Aptos"/>
          <w:color w:val="000000"/>
        </w:rPr>
        <w:t xml:space="preserve"> </w:t>
      </w:r>
      <w:r w:rsidR="008F6BAF">
        <w:rPr>
          <w:rFonts w:eastAsia="Aptos"/>
          <w:color w:val="000000"/>
        </w:rPr>
        <w:t>d</w:t>
      </w:r>
      <w:r w:rsidR="008F6BAF" w:rsidRPr="00544EA2">
        <w:rPr>
          <w:rFonts w:eastAsia="Aptos"/>
          <w:color w:val="000000"/>
        </w:rPr>
        <w:t>elegate</w:t>
      </w:r>
      <w:r w:rsidR="008F6BAF">
        <w:rPr>
          <w:rFonts w:eastAsia="Aptos"/>
          <w:color w:val="000000"/>
        </w:rPr>
        <w:t>s</w:t>
      </w:r>
      <w:r w:rsidR="008F6BAF" w:rsidRPr="00544EA2">
        <w:rPr>
          <w:rFonts w:eastAsia="Aptos"/>
          <w:color w:val="000000"/>
        </w:rPr>
        <w:t xml:space="preserve"> </w:t>
      </w:r>
      <w:r w:rsidRPr="00544EA2">
        <w:rPr>
          <w:rFonts w:eastAsia="Aptos"/>
          <w:color w:val="000000"/>
        </w:rPr>
        <w:t xml:space="preserve">are responsible for determining whether an older person who commenced care before applying for approval can be </w:t>
      </w:r>
      <w:r w:rsidRPr="00544EA2">
        <w:rPr>
          <w:rFonts w:eastAsia="Aptos"/>
        </w:rPr>
        <w:t xml:space="preserve">approved under alternative entry. To do this, </w:t>
      </w:r>
      <w:r w:rsidR="0054696A">
        <w:rPr>
          <w:rFonts w:eastAsia="Aptos"/>
        </w:rPr>
        <w:t>they</w:t>
      </w:r>
      <w:r w:rsidRPr="00544EA2">
        <w:rPr>
          <w:rFonts w:eastAsia="Aptos"/>
        </w:rPr>
        <w:t xml:space="preserve"> must ensure that the application process meets all relevant requirements described in this content, including, that the older person is eligible for the type of care being provided, and that the care was urgently needed at the time it began. </w:t>
      </w:r>
      <w:r w:rsidR="00AB3AB8">
        <w:rPr>
          <w:rFonts w:eastAsia="Yu Gothic Light"/>
        </w:rPr>
        <w:t>Assessment delegates</w:t>
      </w:r>
      <w:r w:rsidR="00AB3AB8" w:rsidRPr="00544EA2">
        <w:rPr>
          <w:rFonts w:eastAsia="Aptos"/>
        </w:rPr>
        <w:t xml:space="preserve"> </w:t>
      </w:r>
      <w:r w:rsidRPr="00544EA2">
        <w:rPr>
          <w:rFonts w:eastAsia="Aptos"/>
        </w:rPr>
        <w:t xml:space="preserve">must also be satisfied that it was not practicable to obtain approval before the care commenced (see circumstances described above). </w:t>
      </w:r>
      <w:r w:rsidR="00AB3AB8">
        <w:rPr>
          <w:rFonts w:eastAsia="Aptos"/>
        </w:rPr>
        <w:t>The</w:t>
      </w:r>
      <w:r w:rsidRPr="00544EA2">
        <w:rPr>
          <w:rFonts w:eastAsia="Aptos"/>
        </w:rPr>
        <w:t xml:space="preserve"> decision must be based primarily on the care needs of the older person at the time they entered care.</w:t>
      </w:r>
    </w:p>
    <w:p w14:paraId="64500412" w14:textId="00FA3DD0" w:rsidR="003B0176" w:rsidRPr="00544EA2" w:rsidRDefault="003B0176" w:rsidP="00622CFF">
      <w:pPr>
        <w:spacing w:before="240" w:after="240" w:line="240" w:lineRule="auto"/>
        <w:rPr>
          <w:rFonts w:eastAsia="Aptos"/>
          <w:color w:val="000000"/>
        </w:rPr>
      </w:pPr>
      <w:r w:rsidRPr="00544EA2">
        <w:rPr>
          <w:rFonts w:eastAsia="Aptos"/>
        </w:rPr>
        <w:t xml:space="preserve">If care </w:t>
      </w:r>
      <w:r w:rsidR="00BD3E88">
        <w:rPr>
          <w:rFonts w:eastAsia="Aptos"/>
        </w:rPr>
        <w:t xml:space="preserve">is approved </w:t>
      </w:r>
      <w:r w:rsidRPr="00544EA2">
        <w:rPr>
          <w:rFonts w:eastAsia="Aptos"/>
        </w:rPr>
        <w:t xml:space="preserve">under urgent circumstances, </w:t>
      </w:r>
      <w:r w:rsidR="00BD3E88">
        <w:rPr>
          <w:rFonts w:eastAsia="Aptos"/>
        </w:rPr>
        <w:t>an</w:t>
      </w:r>
      <w:r w:rsidRPr="00544EA2">
        <w:rPr>
          <w:rFonts w:eastAsia="Aptos"/>
        </w:rPr>
        <w:t xml:space="preserve"> assessor will need </w:t>
      </w:r>
      <w:r w:rsidRPr="00544EA2">
        <w:rPr>
          <w:rFonts w:eastAsia="Aptos"/>
          <w:color w:val="000000"/>
        </w:rPr>
        <w:t xml:space="preserve">to update the My Aged Care assessor portal. This includes checking the </w:t>
      </w:r>
      <w:r w:rsidRPr="00544EA2">
        <w:rPr>
          <w:rFonts w:eastAsia="Aptos"/>
          <w:i/>
          <w:color w:val="000000"/>
        </w:rPr>
        <w:t>Emergency Care</w:t>
      </w:r>
      <w:r w:rsidRPr="00544EA2">
        <w:rPr>
          <w:rFonts w:eastAsia="Aptos"/>
          <w:color w:val="000000"/>
        </w:rPr>
        <w:t xml:space="preserve"> flag and recording the date the older person entered care. Doing so ensures the registered provider receives the appropriate Commonwealth subsidy from the correct start date. </w:t>
      </w:r>
      <w:r w:rsidR="00BD3E88">
        <w:rPr>
          <w:rFonts w:eastAsia="Aptos"/>
          <w:color w:val="000000"/>
        </w:rPr>
        <w:t>An</w:t>
      </w:r>
      <w:r w:rsidRPr="00544EA2">
        <w:rPr>
          <w:rFonts w:eastAsia="Aptos"/>
          <w:color w:val="000000"/>
        </w:rPr>
        <w:t xml:space="preserve"> assessor will also send the referral to the provider via the portal, allowing them to access the older person's record and view all relevant approval details.</w:t>
      </w:r>
    </w:p>
    <w:p w14:paraId="6CB92384" w14:textId="6B470177" w:rsidR="003B0176" w:rsidRPr="00544EA2" w:rsidRDefault="00BD3E88" w:rsidP="00622CFF">
      <w:pPr>
        <w:spacing w:before="240" w:after="240" w:line="240" w:lineRule="auto"/>
        <w:rPr>
          <w:rFonts w:eastAsia="Aptos"/>
          <w:color w:val="000000"/>
        </w:rPr>
      </w:pPr>
      <w:r>
        <w:rPr>
          <w:rFonts w:eastAsia="Yu Gothic Light"/>
        </w:rPr>
        <w:t>Assessment delegates</w:t>
      </w:r>
      <w:r w:rsidRPr="00544EA2">
        <w:rPr>
          <w:rFonts w:eastAsia="Yu Gothic Light"/>
        </w:rPr>
        <w:t xml:space="preserve"> </w:t>
      </w:r>
      <w:r w:rsidR="003B0176" w:rsidRPr="00544EA2">
        <w:rPr>
          <w:rFonts w:eastAsia="Aptos"/>
          <w:color w:val="000000"/>
        </w:rPr>
        <w:t>should also be aware that this process applies in cases where the assessment has been completed but the older person passes away before a decision</w:t>
      </w:r>
      <w:r w:rsidR="00434DF6">
        <w:rPr>
          <w:rFonts w:eastAsia="Aptos"/>
          <w:color w:val="000000"/>
        </w:rPr>
        <w:t xml:space="preserve"> is made</w:t>
      </w:r>
      <w:r w:rsidR="003B0176" w:rsidRPr="00544EA2">
        <w:rPr>
          <w:rFonts w:eastAsia="Aptos"/>
          <w:color w:val="000000"/>
        </w:rPr>
        <w:t>.</w:t>
      </w:r>
    </w:p>
    <w:p w14:paraId="15947E42" w14:textId="2F565A8F" w:rsidR="003B0176" w:rsidRPr="00544EA2" w:rsidRDefault="003B0176" w:rsidP="00622CFF">
      <w:pPr>
        <w:spacing w:before="240" w:after="240" w:line="240" w:lineRule="auto"/>
        <w:rPr>
          <w:rFonts w:eastAsia="Aptos"/>
          <w:color w:val="000000"/>
        </w:rPr>
      </w:pPr>
      <w:r w:rsidRPr="00544EA2">
        <w:rPr>
          <w:rFonts w:eastAsia="Aptos"/>
          <w:color w:val="000000"/>
        </w:rPr>
        <w:t xml:space="preserve">Not all circumstances qualify as urgent. Situations such as a bed becoming available in a residential aged care facility, or a transfer from an acute care setting to another care environment, do not meet the criteria for urgent admission. If </w:t>
      </w:r>
      <w:r w:rsidR="00F53EF6">
        <w:rPr>
          <w:rFonts w:eastAsia="Aptos"/>
          <w:color w:val="000000"/>
        </w:rPr>
        <w:t xml:space="preserve">an </w:t>
      </w:r>
      <w:r w:rsidR="00F53EF6">
        <w:rPr>
          <w:rFonts w:eastAsia="Yu Gothic Light"/>
        </w:rPr>
        <w:t>assessment delegate</w:t>
      </w:r>
      <w:r w:rsidRPr="00544EA2">
        <w:rPr>
          <w:rFonts w:eastAsia="Aptos"/>
          <w:color w:val="000000"/>
        </w:rPr>
        <w:t xml:space="preserve"> determine</w:t>
      </w:r>
      <w:r w:rsidR="00F53EF6">
        <w:rPr>
          <w:rFonts w:eastAsia="Aptos"/>
          <w:color w:val="000000"/>
        </w:rPr>
        <w:t>s</w:t>
      </w:r>
      <w:r w:rsidRPr="00544EA2">
        <w:rPr>
          <w:rFonts w:eastAsia="Aptos"/>
          <w:color w:val="000000"/>
        </w:rPr>
        <w:t xml:space="preserve"> that the older person did not urgently require care at the time of entry, but they are otherwise eligible, </w:t>
      </w:r>
      <w:r w:rsidR="00F53EF6">
        <w:rPr>
          <w:rFonts w:eastAsia="Aptos"/>
          <w:color w:val="000000"/>
        </w:rPr>
        <w:t>the application can</w:t>
      </w:r>
      <w:r w:rsidRPr="00544EA2">
        <w:rPr>
          <w:rFonts w:eastAsia="Aptos"/>
          <w:color w:val="000000"/>
        </w:rPr>
        <w:t xml:space="preserve"> still </w:t>
      </w:r>
      <w:r w:rsidR="00F53EF6">
        <w:rPr>
          <w:rFonts w:eastAsia="Aptos"/>
          <w:color w:val="000000"/>
        </w:rPr>
        <w:t xml:space="preserve">be </w:t>
      </w:r>
      <w:r w:rsidRPr="00544EA2">
        <w:rPr>
          <w:rFonts w:eastAsia="Aptos"/>
          <w:color w:val="000000"/>
        </w:rPr>
        <w:t>approve</w:t>
      </w:r>
      <w:r w:rsidR="00EA4A72">
        <w:rPr>
          <w:rFonts w:eastAsia="Aptos"/>
          <w:color w:val="000000"/>
        </w:rPr>
        <w:t>d,</w:t>
      </w:r>
      <w:r w:rsidRPr="00544EA2">
        <w:rPr>
          <w:rFonts w:eastAsia="Aptos"/>
          <w:color w:val="000000"/>
        </w:rPr>
        <w:t xml:space="preserve"> </w:t>
      </w:r>
      <w:r w:rsidR="00F53EF6">
        <w:rPr>
          <w:rFonts w:eastAsia="Aptos"/>
          <w:color w:val="000000"/>
        </w:rPr>
        <w:t>however</w:t>
      </w:r>
      <w:r w:rsidRPr="00544EA2">
        <w:rPr>
          <w:rFonts w:eastAsia="Aptos"/>
          <w:color w:val="000000"/>
        </w:rPr>
        <w:t xml:space="preserve"> the date of effect will be the date you make the decision.</w:t>
      </w:r>
    </w:p>
    <w:p w14:paraId="7CBC74D4" w14:textId="76DAEDC4" w:rsidR="003B0176" w:rsidRDefault="007E65C6" w:rsidP="00622CFF">
      <w:pPr>
        <w:spacing w:before="240" w:after="240" w:line="240" w:lineRule="auto"/>
        <w:rPr>
          <w:rFonts w:eastAsia="Aptos"/>
          <w:i/>
        </w:rPr>
      </w:pPr>
      <w:r>
        <w:rPr>
          <w:rFonts w:eastAsia="Aptos"/>
        </w:rPr>
        <w:t>The</w:t>
      </w:r>
      <w:r w:rsidR="003B0176" w:rsidRPr="00544EA2">
        <w:rPr>
          <w:rFonts w:eastAsia="Aptos"/>
        </w:rPr>
        <w:t xml:space="preserve"> decision about whether to approve alternative entry dates for an older person is a </w:t>
      </w:r>
      <w:r w:rsidR="003B0176" w:rsidRPr="00544EA2">
        <w:rPr>
          <w:rFonts w:eastAsia="Aptos"/>
          <w:b/>
        </w:rPr>
        <w:t>reviewable decision</w:t>
      </w:r>
      <w:r w:rsidR="003B0176" w:rsidRPr="00544EA2">
        <w:rPr>
          <w:rFonts w:eastAsia="Aptos"/>
        </w:rPr>
        <w:t xml:space="preserve"> under section 557 of the </w:t>
      </w:r>
      <w:r w:rsidR="003B0176" w:rsidRPr="00544EA2">
        <w:rPr>
          <w:rFonts w:eastAsia="Aptos"/>
          <w:i/>
        </w:rPr>
        <w:t>Aged Care Act 2024.</w:t>
      </w:r>
    </w:p>
    <w:p w14:paraId="6EB8898B" w14:textId="717B2CC6" w:rsidR="00E63830" w:rsidRPr="00F46048" w:rsidRDefault="00E63830" w:rsidP="00622CFF">
      <w:pPr>
        <w:spacing w:before="240" w:after="240" w:line="240" w:lineRule="auto"/>
        <w:rPr>
          <w:rFonts w:eastAsia="Aptos"/>
        </w:rPr>
      </w:pPr>
      <w:r>
        <w:rPr>
          <w:rFonts w:eastAsia="Aptos"/>
          <w:bCs/>
        </w:rPr>
        <w:t xml:space="preserve">Assessment delegates are required to record their justification for approving under alternative entry so that there is clear evidence of a person meeting one of the requirements under section 71.  </w:t>
      </w:r>
    </w:p>
    <w:p w14:paraId="64DAD476" w14:textId="77777777" w:rsidR="003B0176" w:rsidRPr="00544EA2" w:rsidRDefault="003B0176" w:rsidP="00CC6081">
      <w:pPr>
        <w:pStyle w:val="H4"/>
        <w:rPr>
          <w:rFonts w:ascii="Aptos" w:eastAsia="Aptos" w:hAnsi="Aptos"/>
          <w:i/>
          <w:color w:val="000000"/>
        </w:rPr>
      </w:pPr>
      <w:bookmarkStart w:id="834" w:name="_Toc198008604"/>
      <w:bookmarkStart w:id="835" w:name="_Toc198787209"/>
      <w:bookmarkStart w:id="836" w:name="_Toc1020817185"/>
      <w:bookmarkStart w:id="837" w:name="_Toc199344596"/>
      <w:bookmarkStart w:id="838" w:name="_Toc205372130"/>
      <w:bookmarkStart w:id="839" w:name="_Toc207714044"/>
      <w:r w:rsidRPr="00544EA2">
        <w:t>Extensions</w:t>
      </w:r>
      <w:bookmarkEnd w:id="834"/>
      <w:bookmarkEnd w:id="835"/>
      <w:bookmarkEnd w:id="836"/>
      <w:bookmarkEnd w:id="837"/>
      <w:bookmarkEnd w:id="838"/>
      <w:bookmarkEnd w:id="839"/>
    </w:p>
    <w:p w14:paraId="3A159EFD" w14:textId="6703EB00" w:rsidR="003B0176" w:rsidRPr="00544EA2" w:rsidRDefault="003B0176" w:rsidP="00622CFF">
      <w:pPr>
        <w:spacing w:before="240" w:after="240" w:line="240" w:lineRule="auto"/>
        <w:rPr>
          <w:rFonts w:eastAsia="Aptos"/>
          <w:color w:val="000000"/>
        </w:rPr>
      </w:pPr>
      <w:r w:rsidRPr="00544EA2">
        <w:rPr>
          <w:rFonts w:eastAsia="Aptos"/>
          <w:color w:val="000000"/>
        </w:rPr>
        <w:t xml:space="preserve">While it is best practice for providers to submit the </w:t>
      </w:r>
      <w:r w:rsidR="003F49DA" w:rsidRPr="00225A2E">
        <w:rPr>
          <w:rFonts w:eastAsia="Aptos"/>
          <w:i/>
          <w:iCs/>
          <w:color w:val="000000"/>
        </w:rPr>
        <w:t xml:space="preserve">Emergency Residential Care - </w:t>
      </w:r>
      <w:r w:rsidRPr="00225A2E">
        <w:rPr>
          <w:rFonts w:eastAsia="Aptos"/>
          <w:i/>
          <w:color w:val="000000"/>
        </w:rPr>
        <w:t>Application for Care</w:t>
      </w:r>
      <w:r w:rsidRPr="00544EA2">
        <w:rPr>
          <w:rFonts w:eastAsia="Aptos"/>
          <w:color w:val="000000"/>
        </w:rPr>
        <w:t xml:space="preserve"> form</w:t>
      </w:r>
      <w:r w:rsidRPr="00544EA2">
        <w:rPr>
          <w:rFonts w:eastAsia="Aptos" w:hint="eastAsia"/>
          <w:color w:val="000000"/>
        </w:rPr>
        <w:t>—</w:t>
      </w:r>
      <w:r w:rsidRPr="00544EA2">
        <w:rPr>
          <w:rFonts w:eastAsia="Aptos"/>
          <w:color w:val="000000"/>
        </w:rPr>
        <w:t>complete with the emergency case section</w:t>
      </w:r>
      <w:r w:rsidRPr="00544EA2">
        <w:rPr>
          <w:rFonts w:eastAsia="Aptos" w:hint="eastAsia"/>
          <w:color w:val="000000"/>
        </w:rPr>
        <w:t>—</w:t>
      </w:r>
      <w:r w:rsidRPr="00544EA2">
        <w:rPr>
          <w:rFonts w:eastAsia="Aptos"/>
          <w:color w:val="000000"/>
        </w:rPr>
        <w:t xml:space="preserve">within the required timeframes of the older person entering care, the Aged Care Act 2024 allows an application for an </w:t>
      </w:r>
      <w:r w:rsidRPr="00F46048">
        <w:rPr>
          <w:rFonts w:eastAsia="Aptos"/>
          <w:bCs/>
          <w:color w:val="000000"/>
        </w:rPr>
        <w:t>extension of time</w:t>
      </w:r>
      <w:r w:rsidRPr="00544EA2">
        <w:rPr>
          <w:rFonts w:eastAsia="Aptos"/>
          <w:color w:val="000000"/>
        </w:rPr>
        <w:t xml:space="preserve"> under </w:t>
      </w:r>
      <w:r w:rsidRPr="00F46048">
        <w:rPr>
          <w:rFonts w:eastAsia="Aptos"/>
          <w:bCs/>
          <w:color w:val="000000"/>
        </w:rPr>
        <w:t>section 71</w:t>
      </w:r>
      <w:r w:rsidRPr="00544EA2">
        <w:rPr>
          <w:rFonts w:eastAsia="Aptos"/>
          <w:color w:val="000000"/>
        </w:rPr>
        <w:t xml:space="preserve"> if this is not possible.</w:t>
      </w:r>
    </w:p>
    <w:p w14:paraId="6A812DDE"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If the form is not signed and submitted within the required five-day timeframe, it is considered incomplete. In this case, the registered provider must first apply to the System Governor for an extension The delegation for granting extensions for those seeking access to funded aged care services through alternative entry will sit outside Assessment Organisations.  </w:t>
      </w:r>
    </w:p>
    <w:p w14:paraId="78C9954E"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In considering an extension the System Governor will either decide to: </w:t>
      </w:r>
    </w:p>
    <w:p w14:paraId="6871D49C" w14:textId="77777777" w:rsidR="003B0176" w:rsidRPr="00544EA2" w:rsidRDefault="003B0176" w:rsidP="00DF3F6B">
      <w:pPr>
        <w:numPr>
          <w:ilvl w:val="0"/>
          <w:numId w:val="264"/>
        </w:numPr>
        <w:spacing w:before="240" w:after="240" w:line="240" w:lineRule="auto"/>
        <w:contextualSpacing/>
        <w:rPr>
          <w:rFonts w:eastAsia="Aptos"/>
          <w:color w:val="000000"/>
        </w:rPr>
      </w:pPr>
      <w:r w:rsidRPr="00544EA2">
        <w:rPr>
          <w:rFonts w:eastAsia="Aptos"/>
          <w:color w:val="000000"/>
        </w:rPr>
        <w:t xml:space="preserve">Approve the application and determine a longer period for the individual, or </w:t>
      </w:r>
    </w:p>
    <w:p w14:paraId="71F64780" w14:textId="77777777" w:rsidR="003B0176" w:rsidRDefault="003B0176" w:rsidP="00DF3F6B">
      <w:pPr>
        <w:numPr>
          <w:ilvl w:val="0"/>
          <w:numId w:val="264"/>
        </w:numPr>
        <w:spacing w:before="240" w:after="240" w:line="240" w:lineRule="auto"/>
        <w:contextualSpacing/>
        <w:rPr>
          <w:rFonts w:eastAsia="Aptos"/>
          <w:color w:val="000000"/>
        </w:rPr>
      </w:pPr>
      <w:r w:rsidRPr="00544EA2">
        <w:rPr>
          <w:rFonts w:eastAsia="Aptos"/>
          <w:color w:val="000000"/>
        </w:rPr>
        <w:t xml:space="preserve">Reject the application </w:t>
      </w:r>
    </w:p>
    <w:p w14:paraId="1021E9BF" w14:textId="77777777" w:rsidR="003B0176" w:rsidRPr="00544EA2" w:rsidRDefault="003B0176" w:rsidP="00622CFF">
      <w:pPr>
        <w:spacing w:before="240" w:after="240" w:line="240" w:lineRule="auto"/>
        <w:ind w:left="720"/>
        <w:contextualSpacing/>
        <w:rPr>
          <w:rFonts w:eastAsia="Aptos"/>
          <w:color w:val="000000"/>
        </w:rPr>
      </w:pPr>
    </w:p>
    <w:p w14:paraId="0010FBC3" w14:textId="77777777" w:rsidR="003B0176" w:rsidRPr="00544EA2" w:rsidRDefault="003B0176" w:rsidP="00622CFF">
      <w:pPr>
        <w:spacing w:before="240" w:after="240" w:line="240" w:lineRule="auto"/>
        <w:rPr>
          <w:rFonts w:eastAsia="Aptos"/>
          <w:color w:val="000000"/>
        </w:rPr>
      </w:pPr>
      <w:r w:rsidRPr="00544EA2">
        <w:rPr>
          <w:rFonts w:eastAsia="Aptos"/>
          <w:color w:val="000000"/>
        </w:rPr>
        <w:t xml:space="preserve">As soon as practicable after a decision has been made, the System Governor must provide notice of their decision. Included in the notice will be the reasons for the decision and how to apply for a reconsideration of the decision. </w:t>
      </w:r>
    </w:p>
    <w:p w14:paraId="2697243C" w14:textId="2D0A30C5" w:rsidR="003B0176" w:rsidRPr="00544EA2" w:rsidRDefault="003B0176" w:rsidP="00622CFF">
      <w:pPr>
        <w:spacing w:before="240" w:after="240" w:line="240" w:lineRule="auto"/>
        <w:rPr>
          <w:rFonts w:eastAsia="Aptos"/>
          <w:color w:val="000000"/>
        </w:rPr>
      </w:pPr>
      <w:r w:rsidRPr="00544EA2">
        <w:rPr>
          <w:rFonts w:eastAsia="Aptos"/>
          <w:color w:val="000000"/>
        </w:rPr>
        <w:t xml:space="preserve">Where the older person has not made their application in the required timeframe, an extension may be granted by the </w:t>
      </w:r>
      <w:r w:rsidR="008A19E0">
        <w:rPr>
          <w:rFonts w:eastAsia="Aptos"/>
          <w:color w:val="000000"/>
        </w:rPr>
        <w:t>d</w:t>
      </w:r>
      <w:r w:rsidRPr="00544EA2">
        <w:rPr>
          <w:rFonts w:eastAsia="Aptos"/>
          <w:color w:val="000000"/>
        </w:rPr>
        <w:t xml:space="preserve">epartment. In these instances, please email a request for an extension to </w:t>
      </w:r>
      <w:hyperlink r:id="rId241" w:history="1">
        <w:r w:rsidR="00F73D36" w:rsidRPr="00F73D36">
          <w:rPr>
            <w:rStyle w:val="Hyperlink"/>
            <w:rFonts w:eastAsia="Yu Gothic Light"/>
          </w:rPr>
          <w:t>AssessorSupport@health.gov.au</w:t>
        </w:r>
      </w:hyperlink>
      <w:r w:rsidRPr="00F73D36">
        <w:rPr>
          <w:rFonts w:eastAsia="Aptos"/>
          <w:color w:val="000000"/>
        </w:rPr>
        <w:t>.</w:t>
      </w:r>
      <w:r w:rsidRPr="00544EA2">
        <w:rPr>
          <w:rFonts w:eastAsia="Aptos"/>
          <w:color w:val="000000"/>
        </w:rPr>
        <w:t xml:space="preserve"> Please include a brief explanation on the reason for the extension.</w:t>
      </w:r>
    </w:p>
    <w:p w14:paraId="47B1DA15" w14:textId="100EC76E" w:rsidR="003B0176" w:rsidRPr="00544EA2" w:rsidRDefault="003B0176" w:rsidP="00810EA0">
      <w:pPr>
        <w:spacing w:before="240" w:after="240" w:line="240" w:lineRule="auto"/>
        <w:rPr>
          <w:rFonts w:eastAsia="Yu Gothic Light"/>
        </w:rPr>
      </w:pPr>
      <w:r w:rsidRPr="00544EA2">
        <w:rPr>
          <w:rFonts w:eastAsia="Aptos"/>
          <w:color w:val="000000"/>
        </w:rPr>
        <w:t xml:space="preserve">If </w:t>
      </w:r>
      <w:r w:rsidR="00162312">
        <w:rPr>
          <w:rFonts w:eastAsia="Aptos"/>
          <w:color w:val="000000"/>
        </w:rPr>
        <w:t>an</w:t>
      </w:r>
      <w:r w:rsidRPr="00544EA2">
        <w:rPr>
          <w:rFonts w:eastAsia="Aptos"/>
          <w:color w:val="000000"/>
        </w:rPr>
        <w:t xml:space="preserve"> assessor believes the older person urgently needed care but the approval is already recorded in My Aged Care with a later date, they must initiate the </w:t>
      </w:r>
      <w:r w:rsidRPr="00544EA2">
        <w:rPr>
          <w:rFonts w:eastAsia="Aptos"/>
          <w:b/>
          <w:color w:val="000000"/>
        </w:rPr>
        <w:t>corrections process</w:t>
      </w:r>
      <w:r w:rsidRPr="00544EA2">
        <w:rPr>
          <w:rFonts w:eastAsia="Aptos"/>
          <w:color w:val="000000"/>
        </w:rPr>
        <w:t xml:space="preserve"> to backdate the approval. If the required backdating exceeds </w:t>
      </w:r>
      <w:r w:rsidRPr="00544EA2">
        <w:rPr>
          <w:rFonts w:eastAsia="Aptos"/>
          <w:b/>
          <w:color w:val="000000"/>
        </w:rPr>
        <w:t>42 days</w:t>
      </w:r>
      <w:r w:rsidRPr="00544EA2">
        <w:rPr>
          <w:rFonts w:eastAsia="Aptos"/>
          <w:color w:val="000000"/>
        </w:rPr>
        <w:t xml:space="preserve">, a correction cannot be </w:t>
      </w:r>
      <w:r w:rsidR="00855E99" w:rsidRPr="00544EA2">
        <w:rPr>
          <w:rFonts w:eastAsia="Aptos"/>
          <w:color w:val="000000"/>
        </w:rPr>
        <w:t>made,</w:t>
      </w:r>
      <w:r w:rsidRPr="00544EA2">
        <w:rPr>
          <w:rFonts w:eastAsia="Aptos"/>
          <w:color w:val="000000"/>
        </w:rPr>
        <w:t xml:space="preserve"> and a reassessment is required.</w:t>
      </w:r>
    </w:p>
    <w:p w14:paraId="1B35BB0E" w14:textId="5F292ECF" w:rsidR="004B7965" w:rsidRPr="004B7965" w:rsidRDefault="004B7965" w:rsidP="00C56CEC">
      <w:pPr>
        <w:pStyle w:val="H3"/>
      </w:pPr>
      <w:bookmarkStart w:id="840" w:name="_Toc198787211"/>
      <w:bookmarkStart w:id="841" w:name="_Toc1487221465"/>
      <w:bookmarkStart w:id="842" w:name="_Toc199344599"/>
      <w:bookmarkStart w:id="843" w:name="_Toc205372131"/>
      <w:bookmarkStart w:id="844" w:name="_Toc207714045"/>
      <w:bookmarkStart w:id="845" w:name="_Toc198813694"/>
      <w:bookmarkStart w:id="846" w:name="_Toc204329581"/>
      <w:r w:rsidRPr="004B7965">
        <w:t>Exceptional circumstances – approving a service without an assessment</w:t>
      </w:r>
      <w:bookmarkEnd w:id="840"/>
      <w:bookmarkEnd w:id="841"/>
      <w:bookmarkEnd w:id="842"/>
      <w:bookmarkEnd w:id="843"/>
      <w:bookmarkEnd w:id="844"/>
    </w:p>
    <w:p w14:paraId="68BE97F2" w14:textId="719C98FA" w:rsidR="00370840" w:rsidRPr="009C4600" w:rsidRDefault="00370840" w:rsidP="00370840">
      <w:pPr>
        <w:tabs>
          <w:tab w:val="left" w:pos="709"/>
        </w:tabs>
        <w:spacing w:before="240" w:after="240" w:line="240" w:lineRule="auto"/>
      </w:pPr>
      <w:r w:rsidRPr="00F856F7">
        <w:t xml:space="preserve">In some circumstances, </w:t>
      </w:r>
      <w:r>
        <w:t xml:space="preserve">under section 65(4) of the </w:t>
      </w:r>
      <w:r w:rsidRPr="00FF6A17">
        <w:rPr>
          <w:i/>
          <w:iCs/>
        </w:rPr>
        <w:t>Aged Care Act 2024</w:t>
      </w:r>
      <w:r>
        <w:t xml:space="preserve"> </w:t>
      </w:r>
      <w:r w:rsidRPr="00F856F7">
        <w:t xml:space="preserve">a client may be </w:t>
      </w:r>
      <w:r>
        <w:t xml:space="preserve">approved to access aged care services without undergoing an aged care needs </w:t>
      </w:r>
      <w:r w:rsidRPr="00F856F7">
        <w:t xml:space="preserve">assessment </w:t>
      </w:r>
      <w:r w:rsidRPr="009730FD">
        <w:rPr>
          <w:lang w:val="en-US"/>
        </w:rPr>
        <w:t>owing</w:t>
      </w:r>
      <w:r w:rsidRPr="00F856F7">
        <w:t xml:space="preserve"> to exceptional circumstances. This </w:t>
      </w:r>
      <w:r>
        <w:t xml:space="preserve">will typically </w:t>
      </w:r>
      <w:r w:rsidRPr="00F856F7">
        <w:t xml:space="preserve">occur </w:t>
      </w:r>
      <w:r>
        <w:t xml:space="preserve">where a person is </w:t>
      </w:r>
      <w:r w:rsidRPr="00F856F7">
        <w:t>access</w:t>
      </w:r>
      <w:r>
        <w:t>ing</w:t>
      </w:r>
      <w:r w:rsidRPr="00F856F7">
        <w:t xml:space="preserve"> funded aged care services through the alternative entry pathway but pass away prior to receiving an assessment. </w:t>
      </w:r>
    </w:p>
    <w:p w14:paraId="4D4E9A38" w14:textId="6685361C" w:rsidR="004B7965" w:rsidRPr="004B7965" w:rsidRDefault="004B7965" w:rsidP="004B7965">
      <w:pPr>
        <w:spacing w:before="240" w:after="240" w:line="240" w:lineRule="auto"/>
      </w:pPr>
      <w:r w:rsidRPr="004B7965">
        <w:t xml:space="preserve">In a case where the older person has passed away, assessors should follow the </w:t>
      </w:r>
      <w:r w:rsidRPr="004B7965">
        <w:rPr>
          <w:i/>
          <w:iCs/>
        </w:rPr>
        <w:t>Client Deceased Before Assessment</w:t>
      </w:r>
      <w:r w:rsidRPr="004B7965">
        <w:t xml:space="preserve"> process available through the My Aged Care assessor portal. This ensures the approval is properly recorded in the system and automatically submitted to </w:t>
      </w:r>
      <w:r w:rsidRPr="004B7965">
        <w:rPr>
          <w:b/>
          <w:bCs/>
        </w:rPr>
        <w:t>Services Australia</w:t>
      </w:r>
      <w:r w:rsidRPr="004B7965">
        <w:t>.</w:t>
      </w:r>
    </w:p>
    <w:p w14:paraId="5B7F3547" w14:textId="77777777" w:rsidR="004B7965" w:rsidRPr="004B7965" w:rsidRDefault="004B7965" w:rsidP="004B7965">
      <w:pPr>
        <w:spacing w:before="240" w:after="240" w:line="240" w:lineRule="auto"/>
        <w:rPr>
          <w:lang w:val="en-US"/>
        </w:rPr>
      </w:pPr>
      <w:r w:rsidRPr="004B7965">
        <w:t>If there are complications preventing the use of the online process, an assessor should consult their Team Leader for advice.</w:t>
      </w:r>
      <w:r w:rsidR="00234277">
        <w:t xml:space="preserve"> </w:t>
      </w:r>
      <w:r w:rsidRPr="004B7965">
        <w:rPr>
          <w:lang w:val="en-US"/>
        </w:rPr>
        <w:t>Do not cancel the assessment in My Aged Care using the reason ‘client deceased’. This action changes the older person’s status to ‘deceased’ and locks the record as read-only, preventing an assessment delegate from recording an assessment decision.</w:t>
      </w:r>
    </w:p>
    <w:p w14:paraId="72D815E6" w14:textId="4C89243F" w:rsidR="004B7965" w:rsidRPr="004B7965" w:rsidRDefault="004B7965" w:rsidP="004B7965">
      <w:pPr>
        <w:spacing w:before="240" w:after="240" w:line="240" w:lineRule="auto"/>
      </w:pPr>
      <w:r w:rsidRPr="004B7965">
        <w:t>If the record has already been locked, the assessor must contact the My Aged Care Service Provider and Assessor Helpline (1800 836 799) to temporarily reactivate the record so the assessment outcome can be recorded. Once the decision is entered, the status must then be changed back to ‘deceased’ to reflect the older person’s passing.</w:t>
      </w:r>
    </w:p>
    <w:p w14:paraId="66CD037A" w14:textId="77777777" w:rsidR="00370840" w:rsidRPr="00FF6A17" w:rsidRDefault="00370840" w:rsidP="00370840">
      <w:pPr>
        <w:tabs>
          <w:tab w:val="left" w:pos="709"/>
        </w:tabs>
        <w:spacing w:before="240" w:after="240" w:line="240" w:lineRule="auto"/>
        <w:rPr>
          <w:b/>
          <w:bCs/>
          <w:lang w:val="en-US"/>
        </w:rPr>
      </w:pPr>
      <w:r>
        <w:rPr>
          <w:b/>
          <w:bCs/>
          <w:lang w:val="en-US"/>
        </w:rPr>
        <w:t xml:space="preserve">Client is receiving services but is refusing an assessment </w:t>
      </w:r>
    </w:p>
    <w:p w14:paraId="64D8F67D" w14:textId="2098EE5A" w:rsidR="00370840" w:rsidRDefault="00370840" w:rsidP="00370840">
      <w:pPr>
        <w:autoSpaceDE w:val="0"/>
        <w:autoSpaceDN w:val="0"/>
        <w:adjustRightInd w:val="0"/>
        <w:spacing w:before="240" w:after="240" w:line="240" w:lineRule="auto"/>
      </w:pPr>
      <w:r>
        <w:t xml:space="preserve">If the Triage delegate or assessor consider there are valid reasons for the person refusing to have an assessment, assessment organisations are to contact the department in the first instance at </w:t>
      </w:r>
      <w:hyperlink r:id="rId242" w:history="1">
        <w:r w:rsidRPr="004261CB">
          <w:rPr>
            <w:rStyle w:val="Hyperlink"/>
          </w:rPr>
          <w:t>MyAgedCareAssessment@health.gov.au</w:t>
        </w:r>
      </w:hyperlink>
      <w:r>
        <w:t xml:space="preserve"> for assistance. In some cases, the department may exercise delegation to approve services under the exceptional circumstances provision.</w:t>
      </w:r>
    </w:p>
    <w:p w14:paraId="5CCC2A72" w14:textId="77777777" w:rsidR="00F73D36" w:rsidRDefault="00F73D36" w:rsidP="00622CFF">
      <w:pPr>
        <w:spacing w:before="240" w:after="240" w:line="240" w:lineRule="auto"/>
        <w:rPr>
          <w:b/>
          <w:color w:val="002060"/>
          <w:sz w:val="44"/>
          <w:szCs w:val="36"/>
          <w:lang w:val="en-US"/>
        </w:rPr>
      </w:pPr>
      <w:r>
        <w:br w:type="page"/>
      </w:r>
    </w:p>
    <w:p w14:paraId="63D55C0C" w14:textId="732565B8" w:rsidR="00AB61D3" w:rsidRDefault="00AB61D3" w:rsidP="004B6DFD">
      <w:pPr>
        <w:pStyle w:val="H1"/>
      </w:pPr>
      <w:bookmarkStart w:id="847" w:name="_Toc209189032"/>
      <w:bookmarkStart w:id="848" w:name="_Ref212735269"/>
      <w:bookmarkStart w:id="849" w:name="_Ref212735327"/>
      <w:bookmarkStart w:id="850" w:name="_Ref212735328"/>
      <w:bookmarkStart w:id="851" w:name="_Toc224916689"/>
      <w:r w:rsidRPr="007B5599">
        <w:t xml:space="preserve">Chapter </w:t>
      </w:r>
      <w:r>
        <w:t>9</w:t>
      </w:r>
      <w:r w:rsidRPr="007B5599">
        <w:t xml:space="preserve">: </w:t>
      </w:r>
      <w:r>
        <w:t xml:space="preserve">Finalising the </w:t>
      </w:r>
      <w:r w:rsidR="00673F2B">
        <w:t>a</w:t>
      </w:r>
      <w:r>
        <w:t xml:space="preserve">ssessment and </w:t>
      </w:r>
      <w:r w:rsidR="000B6970">
        <w:t>s</w:t>
      </w:r>
      <w:r>
        <w:t xml:space="preserve">ervice </w:t>
      </w:r>
      <w:r w:rsidR="000B6970">
        <w:t>r</w:t>
      </w:r>
      <w:r>
        <w:t>eferral</w:t>
      </w:r>
      <w:bookmarkEnd w:id="847"/>
      <w:bookmarkEnd w:id="848"/>
      <w:bookmarkEnd w:id="849"/>
      <w:bookmarkEnd w:id="850"/>
      <w:bookmarkEnd w:id="851"/>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EAEDF1" w:themeFill="text2" w:themeFillTint="1A"/>
        <w:tblLook w:val="04A0" w:firstRow="1" w:lastRow="0" w:firstColumn="1" w:lastColumn="0" w:noHBand="0" w:noVBand="1"/>
      </w:tblPr>
      <w:tblGrid>
        <w:gridCol w:w="9016"/>
      </w:tblGrid>
      <w:tr w:rsidR="00AB61D3" w:rsidRPr="0033336B" w14:paraId="59A7A7A1" w14:textId="77777777" w:rsidTr="00097F05">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91B6B" w14:textId="77777777" w:rsidR="00AB61D3" w:rsidRPr="001070FD" w:rsidRDefault="00AB61D3" w:rsidP="00C557CC">
            <w:bookmarkStart w:id="852" w:name="_Toc209189033"/>
            <w:r w:rsidRPr="00380A8B">
              <w:rPr>
                <w:b/>
                <w:color w:val="358189"/>
                <w:sz w:val="36"/>
                <w:szCs w:val="36"/>
              </w:rPr>
              <w:t>What you’ll find in this chapter</w:t>
            </w:r>
            <w:bookmarkEnd w:id="852"/>
            <w:r w:rsidRPr="00380A8B">
              <w:rPr>
                <w:b/>
                <w:color w:val="358189"/>
                <w:sz w:val="36"/>
                <w:szCs w:val="36"/>
              </w:rPr>
              <w:t xml:space="preserve"> </w:t>
            </w:r>
          </w:p>
          <w:p w14:paraId="28DD904B" w14:textId="77777777" w:rsidR="00AB61D3" w:rsidRPr="001070FD" w:rsidRDefault="00AB61D3" w:rsidP="00622CFF">
            <w:pPr>
              <w:spacing w:before="240" w:after="240"/>
            </w:pPr>
            <w:r w:rsidRPr="001070FD">
              <w:t>This chapter includes guidance about:</w:t>
            </w:r>
          </w:p>
          <w:p w14:paraId="1E35F78A" w14:textId="77777777" w:rsidR="00AB61D3" w:rsidRPr="001070FD" w:rsidRDefault="00AB61D3" w:rsidP="00622CFF">
            <w:pPr>
              <w:pStyle w:val="ListParagraph"/>
              <w:numPr>
                <w:ilvl w:val="0"/>
                <w:numId w:val="35"/>
              </w:numPr>
              <w:spacing w:before="240" w:after="240"/>
            </w:pPr>
            <w:r w:rsidRPr="001070FD">
              <w:t>finalising the assessment</w:t>
            </w:r>
          </w:p>
          <w:p w14:paraId="176629B9" w14:textId="77777777" w:rsidR="00AB61D3" w:rsidRDefault="00AB61D3" w:rsidP="00622CFF">
            <w:pPr>
              <w:pStyle w:val="ListParagraph"/>
              <w:numPr>
                <w:ilvl w:val="0"/>
                <w:numId w:val="35"/>
              </w:numPr>
              <w:spacing w:before="240" w:after="240"/>
            </w:pPr>
            <w:r>
              <w:t xml:space="preserve">recording and </w:t>
            </w:r>
            <w:r w:rsidRPr="001070FD">
              <w:t>communicating the assessment outcome</w:t>
            </w:r>
          </w:p>
          <w:p w14:paraId="455B67B6" w14:textId="77777777" w:rsidR="00AB61D3" w:rsidRPr="001070FD" w:rsidRDefault="00AB61D3" w:rsidP="00622CFF">
            <w:pPr>
              <w:pStyle w:val="ListParagraph"/>
              <w:numPr>
                <w:ilvl w:val="0"/>
                <w:numId w:val="35"/>
              </w:numPr>
              <w:spacing w:before="240" w:after="240"/>
            </w:pPr>
            <w:r w:rsidRPr="001070FD">
              <w:t>referring the older person for services, and supporting them to access services</w:t>
            </w:r>
          </w:p>
          <w:p w14:paraId="5EA69239" w14:textId="77777777" w:rsidR="00AB61D3" w:rsidRPr="001070FD" w:rsidRDefault="00AB61D3" w:rsidP="00622CFF">
            <w:pPr>
              <w:pStyle w:val="ListParagraph"/>
              <w:numPr>
                <w:ilvl w:val="0"/>
                <w:numId w:val="35"/>
              </w:numPr>
              <w:spacing w:before="240" w:after="240"/>
            </w:pPr>
            <w:r w:rsidRPr="001070FD">
              <w:t>the single provider model for Support at Home (which includes a single referral code for all services/pathways)</w:t>
            </w:r>
          </w:p>
          <w:p w14:paraId="37447E22" w14:textId="77777777" w:rsidR="00AB61D3" w:rsidRPr="001070FD" w:rsidRDefault="00AB61D3" w:rsidP="00622CFF">
            <w:pPr>
              <w:pStyle w:val="ListParagraph"/>
              <w:numPr>
                <w:ilvl w:val="0"/>
                <w:numId w:val="35"/>
              </w:numPr>
              <w:spacing w:before="240" w:after="240"/>
            </w:pPr>
            <w:r w:rsidRPr="001070FD">
              <w:t>completing the Notice of Decision (approval/non-approval letter).</w:t>
            </w:r>
          </w:p>
        </w:tc>
      </w:tr>
    </w:tbl>
    <w:bookmarkEnd w:id="845"/>
    <w:bookmarkEnd w:id="846"/>
    <w:p w14:paraId="6617A1A1" w14:textId="109C59E7" w:rsidR="00552C81" w:rsidRPr="008D5728" w:rsidRDefault="00552C81" w:rsidP="00622CFF">
      <w:pPr>
        <w:spacing w:before="240" w:after="240" w:line="240" w:lineRule="auto"/>
        <w:rPr>
          <w:rFonts w:eastAsia="Yu Gothic Light"/>
        </w:rPr>
      </w:pPr>
      <w:r>
        <w:rPr>
          <w:rFonts w:eastAsia="Yu Gothic Light"/>
        </w:rPr>
        <w:t xml:space="preserve"> </w:t>
      </w:r>
    </w:p>
    <w:p w14:paraId="0FD6BE0F" w14:textId="77777777" w:rsidR="00AB61D3" w:rsidRDefault="00AB61D3" w:rsidP="00507F9D">
      <w:pPr>
        <w:pStyle w:val="h2"/>
      </w:pPr>
      <w:bookmarkStart w:id="853" w:name="_Toc209189034"/>
      <w:bookmarkStart w:id="854" w:name="_Toc224916690"/>
      <w:r>
        <w:t>Overview of assessment finalisation</w:t>
      </w:r>
      <w:bookmarkEnd w:id="853"/>
      <w:bookmarkEnd w:id="854"/>
    </w:p>
    <w:p w14:paraId="3C45EE83" w14:textId="77777777" w:rsidR="00AB61D3" w:rsidRPr="003E1933" w:rsidRDefault="00AB61D3" w:rsidP="00622CFF">
      <w:pPr>
        <w:spacing w:before="240" w:after="240" w:line="240" w:lineRule="auto"/>
      </w:pPr>
      <w:r>
        <w:t>An</w:t>
      </w:r>
      <w:r w:rsidRPr="003E1933">
        <w:t xml:space="preserve"> </w:t>
      </w:r>
      <w:r w:rsidRPr="00A57430">
        <w:t>assessment</w:t>
      </w:r>
      <w:r w:rsidRPr="003E1933">
        <w:t xml:space="preserve"> is finalised when:</w:t>
      </w:r>
    </w:p>
    <w:p w14:paraId="61DBDFBE" w14:textId="3F9707F8" w:rsidR="00AB61D3" w:rsidRDefault="00AB61D3" w:rsidP="00DF3F6B">
      <w:pPr>
        <w:pStyle w:val="ListParagraph"/>
        <w:numPr>
          <w:ilvl w:val="0"/>
          <w:numId w:val="297"/>
        </w:numPr>
        <w:spacing w:after="0" w:line="240" w:lineRule="auto"/>
        <w:ind w:left="567" w:hanging="283"/>
        <w:contextualSpacing w:val="0"/>
      </w:pPr>
      <w:r w:rsidRPr="003E1933">
        <w:t xml:space="preserve">the </w:t>
      </w:r>
      <w:r w:rsidR="002578DB">
        <w:t>a</w:t>
      </w:r>
      <w:r w:rsidR="002578DB" w:rsidRPr="003E1933">
        <w:t xml:space="preserve">ssessment </w:t>
      </w:r>
      <w:r w:rsidRPr="003E1933">
        <w:t xml:space="preserve">and </w:t>
      </w:r>
      <w:r w:rsidR="00093A53">
        <w:t>s</w:t>
      </w:r>
      <w:r w:rsidR="00093A53" w:rsidRPr="003E1933">
        <w:t xml:space="preserve">upport </w:t>
      </w:r>
      <w:r w:rsidR="00093A53">
        <w:t>p</w:t>
      </w:r>
      <w:r w:rsidR="00093A53" w:rsidRPr="003E1933">
        <w:t xml:space="preserve">lan </w:t>
      </w:r>
      <w:r w:rsidR="003A3419">
        <w:t>are</w:t>
      </w:r>
      <w:r w:rsidR="003A3419" w:rsidRPr="003E1933">
        <w:t xml:space="preserve"> </w:t>
      </w:r>
      <w:r w:rsidRPr="003E1933">
        <w:t xml:space="preserve">completed; </w:t>
      </w:r>
      <w:r w:rsidRPr="00C557CC">
        <w:t>and</w:t>
      </w:r>
    </w:p>
    <w:p w14:paraId="4B237927" w14:textId="77777777" w:rsidR="00AB61D3" w:rsidRPr="005424EB" w:rsidRDefault="00AB61D3" w:rsidP="00DF3F6B">
      <w:pPr>
        <w:pStyle w:val="ListParagraph"/>
        <w:numPr>
          <w:ilvl w:val="0"/>
          <w:numId w:val="297"/>
        </w:numPr>
        <w:spacing w:after="0" w:line="240" w:lineRule="auto"/>
        <w:ind w:left="568" w:hanging="284"/>
        <w:contextualSpacing w:val="0"/>
      </w:pPr>
      <w:r>
        <w:t>all required decisions have been made and recorded by the Assessment Delegate</w:t>
      </w:r>
      <w:r w:rsidRPr="003E1933">
        <w:t xml:space="preserve">; </w:t>
      </w:r>
      <w:r w:rsidRPr="00C557CC">
        <w:t>and</w:t>
      </w:r>
    </w:p>
    <w:p w14:paraId="2AEBB40C" w14:textId="7969C826" w:rsidR="00AB61D3" w:rsidRPr="003E1933" w:rsidRDefault="00AB61D3" w:rsidP="00DF3F6B">
      <w:pPr>
        <w:pStyle w:val="ListParagraph"/>
        <w:numPr>
          <w:ilvl w:val="0"/>
          <w:numId w:val="297"/>
        </w:numPr>
        <w:spacing w:after="0" w:line="240" w:lineRule="auto"/>
        <w:ind w:left="567" w:hanging="283"/>
        <w:contextualSpacing w:val="0"/>
      </w:pPr>
      <w:r w:rsidRPr="003E1933">
        <w:t>when effective referral</w:t>
      </w:r>
      <w:r>
        <w:t>s</w:t>
      </w:r>
      <w:r w:rsidRPr="003E1933">
        <w:t xml:space="preserve"> ha</w:t>
      </w:r>
      <w:r>
        <w:t>ve</w:t>
      </w:r>
      <w:r w:rsidRPr="003E1933">
        <w:t xml:space="preserve"> been made </w:t>
      </w:r>
      <w:r w:rsidRPr="00C557CC">
        <w:t>or</w:t>
      </w:r>
      <w:r w:rsidRPr="003E1933">
        <w:t xml:space="preserve"> the older person has </w:t>
      </w:r>
      <w:r>
        <w:t>decided</w:t>
      </w:r>
      <w:r w:rsidRPr="003E1933">
        <w:t xml:space="preserve"> not to proceed with </w:t>
      </w:r>
      <w:r>
        <w:t xml:space="preserve">accessing </w:t>
      </w:r>
      <w:r w:rsidRPr="003E1933">
        <w:t>aged care services</w:t>
      </w:r>
      <w:r w:rsidR="001C603B">
        <w:t>,</w:t>
      </w:r>
      <w:r>
        <w:t xml:space="preserve"> </w:t>
      </w:r>
      <w:r w:rsidRPr="00C557CC">
        <w:t>and</w:t>
      </w:r>
    </w:p>
    <w:p w14:paraId="2F66F2E6" w14:textId="344E7061" w:rsidR="00AB61D3" w:rsidRPr="003E1933" w:rsidRDefault="00AB61D3" w:rsidP="00DF3F6B">
      <w:pPr>
        <w:pStyle w:val="ListParagraph"/>
        <w:numPr>
          <w:ilvl w:val="0"/>
          <w:numId w:val="297"/>
        </w:numPr>
        <w:spacing w:after="0" w:line="240" w:lineRule="auto"/>
        <w:ind w:left="567" w:hanging="283"/>
        <w:contextualSpacing w:val="0"/>
      </w:pPr>
      <w:r>
        <w:t>the older person (and their registered supporter/s</w:t>
      </w:r>
      <w:r w:rsidR="00CF1B08">
        <w:t xml:space="preserve"> and/or appointed decision maker/s</w:t>
      </w:r>
      <w:r>
        <w:t>, if applicable) has been notified of the assessment outcome.</w:t>
      </w:r>
    </w:p>
    <w:p w14:paraId="1B81206C" w14:textId="77777777" w:rsidR="00AB61D3" w:rsidRPr="003E1933" w:rsidRDefault="00AB61D3" w:rsidP="00622CFF">
      <w:pPr>
        <w:spacing w:before="240" w:after="240" w:line="240" w:lineRule="auto"/>
      </w:pPr>
      <w:r w:rsidRPr="003E1933">
        <w:t>An effective referral is where:</w:t>
      </w:r>
    </w:p>
    <w:p w14:paraId="43C591EC" w14:textId="77777777" w:rsidR="00AB61D3" w:rsidRPr="003E1933" w:rsidRDefault="00AB61D3" w:rsidP="00DF3F6B">
      <w:pPr>
        <w:pStyle w:val="ListParagraph"/>
        <w:numPr>
          <w:ilvl w:val="0"/>
          <w:numId w:val="298"/>
        </w:numPr>
        <w:spacing w:after="0" w:line="240" w:lineRule="auto"/>
        <w:ind w:left="568" w:hanging="284"/>
        <w:contextualSpacing w:val="0"/>
      </w:pPr>
      <w:r w:rsidRPr="003E1933">
        <w:t xml:space="preserve">a referral is accepted by a service provider who can deliver a service response consistent with the </w:t>
      </w:r>
      <w:r>
        <w:t xml:space="preserve">relevant </w:t>
      </w:r>
      <w:r w:rsidRPr="003E1933">
        <w:t>service recommendations on the older person’s Support Plan</w:t>
      </w:r>
      <w:r>
        <w:t xml:space="preserve">, </w:t>
      </w:r>
      <w:r w:rsidRPr="00214192">
        <w:rPr>
          <w:b/>
          <w:bCs/>
        </w:rPr>
        <w:t>or</w:t>
      </w:r>
      <w:r w:rsidRPr="003E1933">
        <w:t xml:space="preserve"> </w:t>
      </w:r>
    </w:p>
    <w:p w14:paraId="0D7BD78A" w14:textId="77777777" w:rsidR="00AB61D3" w:rsidRPr="003E1933" w:rsidRDefault="00AB61D3" w:rsidP="00DF3F6B">
      <w:pPr>
        <w:pStyle w:val="ListParagraph"/>
        <w:numPr>
          <w:ilvl w:val="0"/>
          <w:numId w:val="298"/>
        </w:numPr>
        <w:spacing w:after="0" w:line="240" w:lineRule="auto"/>
        <w:ind w:left="568" w:hanging="284"/>
        <w:contextualSpacing w:val="0"/>
      </w:pPr>
      <w:r w:rsidRPr="003E1933">
        <w:t>the older person has accepted responsibility for managing their own referral</w:t>
      </w:r>
      <w:r>
        <w:t>(s)</w:t>
      </w:r>
      <w:r w:rsidRPr="003E1933">
        <w:t xml:space="preserve"> through a referral code</w:t>
      </w:r>
      <w:r>
        <w:t xml:space="preserve">, </w:t>
      </w:r>
      <w:r w:rsidRPr="005D498B">
        <w:rPr>
          <w:b/>
          <w:bCs/>
        </w:rPr>
        <w:t>or</w:t>
      </w:r>
    </w:p>
    <w:p w14:paraId="63088393" w14:textId="77777777" w:rsidR="00AB61D3" w:rsidRPr="003E1933" w:rsidRDefault="00AB61D3" w:rsidP="00DF3F6B">
      <w:pPr>
        <w:pStyle w:val="ListParagraph"/>
        <w:numPr>
          <w:ilvl w:val="0"/>
          <w:numId w:val="298"/>
        </w:numPr>
        <w:spacing w:after="0" w:line="240" w:lineRule="auto"/>
        <w:ind w:left="568" w:hanging="284"/>
        <w:contextualSpacing w:val="0"/>
      </w:pPr>
      <w:r w:rsidRPr="003E1933">
        <w:t xml:space="preserve">the outcome of the assessment is that no further action is required by the assessor; </w:t>
      </w:r>
      <w:r w:rsidRPr="00E6413A">
        <w:rPr>
          <w:b/>
        </w:rPr>
        <w:t>or</w:t>
      </w:r>
    </w:p>
    <w:p w14:paraId="58AC9251" w14:textId="77777777" w:rsidR="00AB61D3" w:rsidRPr="003E1933" w:rsidRDefault="00AB61D3" w:rsidP="00DF3F6B">
      <w:pPr>
        <w:pStyle w:val="ListParagraph"/>
        <w:numPr>
          <w:ilvl w:val="0"/>
          <w:numId w:val="298"/>
        </w:numPr>
        <w:spacing w:after="0" w:line="240" w:lineRule="auto"/>
        <w:ind w:left="568" w:hanging="284"/>
        <w:contextualSpacing w:val="0"/>
      </w:pPr>
      <w:r w:rsidRPr="003E1933">
        <w:t xml:space="preserve">the assessor has made all available and reasonable efforts to connect the older person with a service provider appropriate to their assessed care needs. </w:t>
      </w:r>
    </w:p>
    <w:p w14:paraId="58CAE79D" w14:textId="7E9A42E8" w:rsidR="00C67A4B" w:rsidRDefault="008F42ED" w:rsidP="00622CFF">
      <w:pPr>
        <w:spacing w:before="240" w:after="240" w:line="240" w:lineRule="auto"/>
        <w:rPr>
          <w:lang w:eastAsia="ko-KR"/>
        </w:rPr>
      </w:pPr>
      <w:r>
        <w:rPr>
          <w:lang w:eastAsia="ko-KR"/>
        </w:rPr>
        <w:t>For older Aboriginal and Torres Strait Islander people, FNAO assessors may facilitate the client’s entry into aged care or refer the client to an Elder Care Support worker to assist the client to connect with services</w:t>
      </w:r>
      <w:r w:rsidR="00C567E5">
        <w:rPr>
          <w:lang w:eastAsia="ko-KR"/>
        </w:rPr>
        <w:t xml:space="preserve"> after </w:t>
      </w:r>
      <w:r w:rsidR="00F01383">
        <w:rPr>
          <w:lang w:eastAsia="ko-KR"/>
        </w:rPr>
        <w:t>the assessment is finalised</w:t>
      </w:r>
      <w:r>
        <w:rPr>
          <w:lang w:eastAsia="ko-KR"/>
        </w:rPr>
        <w:t>.</w:t>
      </w:r>
    </w:p>
    <w:p w14:paraId="6F760730" w14:textId="491CDE6F" w:rsidR="00AB61D3" w:rsidRPr="003E1933" w:rsidRDefault="00AB61D3" w:rsidP="00622CFF">
      <w:pPr>
        <w:spacing w:before="240" w:after="240" w:line="240" w:lineRule="auto"/>
        <w:rPr>
          <w:lang w:eastAsia="ko-KR"/>
        </w:rPr>
      </w:pPr>
      <w:r w:rsidRPr="003E1933">
        <w:rPr>
          <w:lang w:eastAsia="ko-KR"/>
        </w:rPr>
        <w:t>When</w:t>
      </w:r>
      <w:r>
        <w:rPr>
          <w:lang w:eastAsia="ko-KR"/>
        </w:rPr>
        <w:t xml:space="preserve"> the </w:t>
      </w:r>
      <w:r w:rsidRPr="003E1933">
        <w:rPr>
          <w:lang w:eastAsia="ko-KR"/>
        </w:rPr>
        <w:t xml:space="preserve">Support Plan is finalised </w:t>
      </w:r>
      <w:r>
        <w:rPr>
          <w:lang w:eastAsia="ko-KR"/>
        </w:rPr>
        <w:t>and</w:t>
      </w:r>
      <w:r w:rsidRPr="003E1933">
        <w:rPr>
          <w:lang w:eastAsia="ko-KR"/>
        </w:rPr>
        <w:t xml:space="preserve"> effective referral</w:t>
      </w:r>
      <w:r>
        <w:rPr>
          <w:lang w:eastAsia="ko-KR"/>
        </w:rPr>
        <w:t xml:space="preserve"> has been made</w:t>
      </w:r>
      <w:r w:rsidRPr="003E1933">
        <w:rPr>
          <w:lang w:eastAsia="ko-KR"/>
        </w:rPr>
        <w:t>, the assessor should inform the older person to contact their provider</w:t>
      </w:r>
      <w:r w:rsidR="00B91B38">
        <w:rPr>
          <w:lang w:eastAsia="ko-KR"/>
        </w:rPr>
        <w:t>, ECS worker</w:t>
      </w:r>
      <w:r w:rsidRPr="003E1933">
        <w:rPr>
          <w:lang w:eastAsia="ko-KR"/>
        </w:rPr>
        <w:t xml:space="preserve"> or the </w:t>
      </w:r>
      <w:r w:rsidR="005A2BBE">
        <w:rPr>
          <w:lang w:eastAsia="ko-KR"/>
        </w:rPr>
        <w:t>My Aged Care</w:t>
      </w:r>
      <w:r w:rsidRPr="003E1933">
        <w:rPr>
          <w:lang w:eastAsia="ko-KR"/>
        </w:rPr>
        <w:t xml:space="preserve"> contact centre if </w:t>
      </w:r>
      <w:r>
        <w:rPr>
          <w:lang w:eastAsia="ko-KR"/>
        </w:rPr>
        <w:t>there is a future</w:t>
      </w:r>
      <w:r w:rsidRPr="003E1933">
        <w:rPr>
          <w:lang w:eastAsia="ko-KR"/>
        </w:rPr>
        <w:t xml:space="preserve"> change in needs, goals, or preference</w:t>
      </w:r>
      <w:r>
        <w:rPr>
          <w:lang w:eastAsia="ko-KR"/>
        </w:rPr>
        <w:t>s</w:t>
      </w:r>
      <w:r w:rsidRPr="003E1933">
        <w:rPr>
          <w:lang w:eastAsia="ko-KR"/>
        </w:rPr>
        <w:t xml:space="preserve">. If within their remit, the </w:t>
      </w:r>
      <w:r w:rsidR="00B5152E">
        <w:rPr>
          <w:lang w:eastAsia="ko-KR"/>
        </w:rPr>
        <w:t xml:space="preserve">My Aged Care </w:t>
      </w:r>
      <w:r w:rsidRPr="003E1933">
        <w:rPr>
          <w:lang w:eastAsia="ko-KR"/>
        </w:rPr>
        <w:t xml:space="preserve">contact centre will assist the older person with their enquiry. This could include re-issuing a referral code or if a referral is rejected, sending a referral to another provider. The contact centre or the provider can send a </w:t>
      </w:r>
      <w:r w:rsidR="5BE686DB" w:rsidRPr="5876B6FA">
        <w:rPr>
          <w:lang w:eastAsia="ko-KR"/>
        </w:rPr>
        <w:t>s</w:t>
      </w:r>
      <w:r w:rsidRPr="5876B6FA">
        <w:rPr>
          <w:lang w:eastAsia="ko-KR"/>
        </w:rPr>
        <w:t xml:space="preserve">upport </w:t>
      </w:r>
      <w:r w:rsidR="7CD64B72" w:rsidRPr="5876B6FA">
        <w:rPr>
          <w:lang w:eastAsia="ko-KR"/>
        </w:rPr>
        <w:t>p</w:t>
      </w:r>
      <w:r w:rsidRPr="5876B6FA">
        <w:rPr>
          <w:lang w:eastAsia="ko-KR"/>
        </w:rPr>
        <w:t xml:space="preserve">lan </w:t>
      </w:r>
      <w:r w:rsidR="521C5666" w:rsidRPr="5876B6FA">
        <w:rPr>
          <w:lang w:eastAsia="ko-KR"/>
        </w:rPr>
        <w:t>r</w:t>
      </w:r>
      <w:r>
        <w:rPr>
          <w:lang w:eastAsia="ko-KR"/>
        </w:rPr>
        <w:t>eview</w:t>
      </w:r>
      <w:r w:rsidRPr="003E1933">
        <w:rPr>
          <w:lang w:eastAsia="ko-KR"/>
        </w:rPr>
        <w:t xml:space="preserve"> request to the assessment organisation if it is an appropriate request.</w:t>
      </w:r>
    </w:p>
    <w:p w14:paraId="4E530B73" w14:textId="63F3FD16" w:rsidR="00AB61D3" w:rsidRPr="003E1933" w:rsidRDefault="00AB61D3" w:rsidP="00622CFF">
      <w:pPr>
        <w:spacing w:before="240" w:after="240" w:line="240" w:lineRule="auto"/>
        <w:rPr>
          <w:lang w:eastAsia="ko-KR"/>
        </w:rPr>
      </w:pPr>
      <w:r w:rsidRPr="003E1933">
        <w:rPr>
          <w:lang w:eastAsia="ko-KR"/>
        </w:rPr>
        <w:t xml:space="preserve">Where appropriate, </w:t>
      </w:r>
      <w:r w:rsidR="00105502">
        <w:rPr>
          <w:lang w:eastAsia="ko-KR"/>
        </w:rPr>
        <w:t>a</w:t>
      </w:r>
      <w:r w:rsidRPr="003E1933">
        <w:rPr>
          <w:lang w:eastAsia="ko-KR"/>
        </w:rPr>
        <w:t xml:space="preserve">ssessors are encouraged to follow up vulnerable or at-risk </w:t>
      </w:r>
      <w:r w:rsidR="00516348">
        <w:rPr>
          <w:lang w:eastAsia="ko-KR"/>
        </w:rPr>
        <w:t>older people</w:t>
      </w:r>
      <w:r w:rsidRPr="003E1933">
        <w:rPr>
          <w:lang w:eastAsia="ko-KR"/>
        </w:rPr>
        <w:t xml:space="preserve"> post-assessment who:</w:t>
      </w:r>
    </w:p>
    <w:p w14:paraId="62EB0F98" w14:textId="5DA0191B" w:rsidR="00AB61D3" w:rsidRPr="00095F58" w:rsidRDefault="00AB61D3" w:rsidP="00DF3F6B">
      <w:pPr>
        <w:pStyle w:val="ListParagraph"/>
        <w:numPr>
          <w:ilvl w:val="0"/>
          <w:numId w:val="298"/>
        </w:numPr>
        <w:spacing w:before="240" w:after="240" w:line="240" w:lineRule="auto"/>
        <w:ind w:left="568" w:hanging="284"/>
        <w:contextualSpacing w:val="0"/>
      </w:pPr>
      <w:r w:rsidRPr="003E1933">
        <w:t>have referrals that have been rejected/not actioned</w:t>
      </w:r>
      <w:r>
        <w:t xml:space="preserve"> - t</w:t>
      </w:r>
      <w:r w:rsidRPr="003E1933">
        <w:t>his may include the monitoring of referrals to services or negotiating with service providers for the provision of alternative services if necessary</w:t>
      </w:r>
      <w:r w:rsidR="00DD140E">
        <w:t>,</w:t>
      </w:r>
    </w:p>
    <w:p w14:paraId="6EC22BBC" w14:textId="2D324AE6" w:rsidR="00AB61D3" w:rsidRPr="003E1933" w:rsidRDefault="00AB61D3" w:rsidP="00DF3F6B">
      <w:pPr>
        <w:pStyle w:val="ListParagraph"/>
        <w:numPr>
          <w:ilvl w:val="0"/>
          <w:numId w:val="298"/>
        </w:numPr>
        <w:spacing w:before="240" w:after="240" w:line="240" w:lineRule="auto"/>
        <w:ind w:left="568" w:hanging="284"/>
        <w:contextualSpacing w:val="0"/>
      </w:pPr>
      <w:r w:rsidRPr="003E1933">
        <w:t xml:space="preserve">are working on short-term </w:t>
      </w:r>
      <w:r>
        <w:t>reablement</w:t>
      </w:r>
      <w:r w:rsidRPr="003E1933">
        <w:t xml:space="preserve"> goal(s) – in line with the length of time stipulated in the Support Plan</w:t>
      </w:r>
      <w:r w:rsidR="00DD140E">
        <w:t>,</w:t>
      </w:r>
      <w:r w:rsidRPr="003E1933">
        <w:t xml:space="preserve"> and/or</w:t>
      </w:r>
    </w:p>
    <w:p w14:paraId="2A14AC41" w14:textId="79BC5CB0" w:rsidR="00AB61D3" w:rsidRPr="003E1933" w:rsidRDefault="00AB61D3" w:rsidP="00DF3F6B">
      <w:pPr>
        <w:pStyle w:val="ListParagraph"/>
        <w:numPr>
          <w:ilvl w:val="0"/>
          <w:numId w:val="298"/>
        </w:numPr>
        <w:spacing w:before="240" w:after="240" w:line="240" w:lineRule="auto"/>
        <w:ind w:left="568" w:hanging="284"/>
        <w:contextualSpacing w:val="0"/>
      </w:pPr>
      <w:r w:rsidRPr="003E1933">
        <w:t xml:space="preserve">are vulnerable </w:t>
      </w:r>
      <w:r w:rsidR="00516348">
        <w:t>older people</w:t>
      </w:r>
      <w:r w:rsidRPr="003E1933">
        <w:t>, as determined by complexity indicators</w:t>
      </w:r>
      <w:r w:rsidRPr="003E1933">
        <w:rPr>
          <w:rFonts w:hint="eastAsia"/>
        </w:rPr>
        <w:t xml:space="preserve"> or need for linking support</w:t>
      </w:r>
      <w:r w:rsidRPr="003E1933">
        <w:t xml:space="preserve"> and required short-term linking assistance purpose of implementing the Support Plan.</w:t>
      </w:r>
    </w:p>
    <w:p w14:paraId="6E3917B5" w14:textId="77777777" w:rsidR="00AB61D3" w:rsidRPr="00F9591F" w:rsidRDefault="00AB61D3" w:rsidP="00622CFF">
      <w:pPr>
        <w:spacing w:before="240" w:after="240" w:line="240" w:lineRule="auto"/>
        <w:rPr>
          <w:lang w:val="en-US"/>
        </w:rPr>
      </w:pPr>
      <w:r>
        <w:t>After finalising</w:t>
      </w:r>
      <w:r w:rsidRPr="003E1933">
        <w:t xml:space="preserve"> the assessment, where the department becomes aware that an older person is having difficulty with accessing services, an assessment organisation may be required to follow</w:t>
      </w:r>
      <w:r>
        <w:t xml:space="preserve"> </w:t>
      </w:r>
      <w:r w:rsidRPr="003E1933">
        <w:t>up with the older person or service provider and provide advice on any follow-up action/s taken.</w:t>
      </w:r>
    </w:p>
    <w:p w14:paraId="1F4F647B" w14:textId="77777777" w:rsidR="00AB61D3" w:rsidRDefault="00AB61D3" w:rsidP="00507F9D">
      <w:pPr>
        <w:pStyle w:val="h2"/>
      </w:pPr>
      <w:bookmarkStart w:id="855" w:name="_Toc1695529465"/>
      <w:bookmarkStart w:id="856" w:name="_Toc199344598"/>
      <w:bookmarkStart w:id="857" w:name="_Toc205372134"/>
      <w:bookmarkStart w:id="858" w:name="_Toc207714048"/>
      <w:bookmarkStart w:id="859" w:name="_Toc209189035"/>
      <w:bookmarkStart w:id="860" w:name="_Toc224916691"/>
      <w:r>
        <w:t xml:space="preserve">Setting the access approval date of </w:t>
      </w:r>
      <w:r w:rsidR="00836447">
        <w:t>effect (‘</w:t>
      </w:r>
      <w:r>
        <w:t>delegation date’)</w:t>
      </w:r>
      <w:bookmarkEnd w:id="855"/>
      <w:bookmarkEnd w:id="856"/>
      <w:bookmarkEnd w:id="857"/>
      <w:bookmarkEnd w:id="858"/>
      <w:bookmarkEnd w:id="859"/>
      <w:bookmarkEnd w:id="860"/>
    </w:p>
    <w:p w14:paraId="43CE818C" w14:textId="7D7026F4" w:rsidR="00AB61D3" w:rsidRDefault="00AB61D3" w:rsidP="00622CFF">
      <w:pPr>
        <w:spacing w:before="240" w:after="240" w:line="240" w:lineRule="auto"/>
      </w:pPr>
      <w:r>
        <w:t>For a</w:t>
      </w:r>
      <w:r w:rsidR="00F13503">
        <w:t>n</w:t>
      </w:r>
      <w:r>
        <w:t xml:space="preserve"> older person’s application, the access approval date of effect that Assessment Delegates decide </w:t>
      </w:r>
      <w:r w:rsidRPr="003A7C88">
        <w:t>applies to all of the following decisions</w:t>
      </w:r>
      <w:r>
        <w:rPr>
          <w:b/>
          <w:bCs/>
        </w:rPr>
        <w:t xml:space="preserve"> </w:t>
      </w:r>
      <w:r>
        <w:t xml:space="preserve">under section 65 of the </w:t>
      </w:r>
      <w:r w:rsidR="001E6D04">
        <w:t xml:space="preserve">Aged Care Act 2024 (the </w:t>
      </w:r>
      <w:r>
        <w:t>Act</w:t>
      </w:r>
      <w:r w:rsidR="001E6D04">
        <w:t>)</w:t>
      </w:r>
      <w:r>
        <w:t>:</w:t>
      </w:r>
    </w:p>
    <w:p w14:paraId="644CC0E8" w14:textId="77777777" w:rsidR="00AB61D3" w:rsidRDefault="00AB61D3" w:rsidP="00DF3F6B">
      <w:pPr>
        <w:pStyle w:val="ListParagraph"/>
        <w:numPr>
          <w:ilvl w:val="0"/>
          <w:numId w:val="264"/>
        </w:numPr>
        <w:spacing w:before="240" w:after="240" w:line="240" w:lineRule="auto"/>
      </w:pPr>
      <w:r>
        <w:t>the service groups, and the classification types for those service groups</w:t>
      </w:r>
    </w:p>
    <w:p w14:paraId="6F917772" w14:textId="77777777" w:rsidR="00AB61D3" w:rsidRDefault="00AB61D3" w:rsidP="00DF3F6B">
      <w:pPr>
        <w:pStyle w:val="ListParagraph"/>
        <w:numPr>
          <w:ilvl w:val="0"/>
          <w:numId w:val="264"/>
        </w:numPr>
        <w:spacing w:before="240" w:after="240" w:line="240" w:lineRule="auto"/>
      </w:pPr>
      <w:r>
        <w:t>the service types (and services if applicable).</w:t>
      </w:r>
    </w:p>
    <w:p w14:paraId="3AA03139" w14:textId="3E9D3752" w:rsidR="00AB61D3" w:rsidRPr="000739C2" w:rsidRDefault="00AB61D3" w:rsidP="00622CFF">
      <w:pPr>
        <w:spacing w:before="240" w:after="240" w:line="240" w:lineRule="auto"/>
      </w:pPr>
      <w:r>
        <w:t xml:space="preserve">Unless the older person is being approved for CHSP only via a Home Support Assessment, Assessment Delegates record this date in the Assessor Portal after giving responses to all of </w:t>
      </w:r>
      <w:r w:rsidRPr="003A7C88">
        <w:rPr>
          <w:bCs/>
          <w:lang w:val="en-AU"/>
        </w:rPr>
        <w:t>the care recommendations. In the ‘Save decision and delegate’ popup, the Delegate should</w:t>
      </w:r>
      <w:r w:rsidRPr="003A7C88">
        <w:rPr>
          <w:bCs/>
        </w:rPr>
        <w:t xml:space="preserve"> enter the day that they are making the decision (that</w:t>
      </w:r>
      <w:r>
        <w:rPr>
          <w:b/>
          <w:bCs/>
        </w:rPr>
        <w:t xml:space="preserve"> </w:t>
      </w:r>
      <w:r>
        <w:t>is, that day’s date) and click ‘Save decision</w:t>
      </w:r>
      <w:r w:rsidR="00B23AB0">
        <w:t>.’</w:t>
      </w:r>
      <w:r>
        <w:t xml:space="preserve"> Note that even if the older person has received services before assessment (using the alternative entry provisions under Section 71 of the Act), the </w:t>
      </w:r>
      <w:r w:rsidR="00325EA1">
        <w:t xml:space="preserve">Assessment </w:t>
      </w:r>
      <w:r>
        <w:t xml:space="preserve">Delegate should still enter the date the decision is made - </w:t>
      </w:r>
      <w:r w:rsidRPr="003A7C88">
        <w:t>not an earlier date.</w:t>
      </w:r>
    </w:p>
    <w:p w14:paraId="4134A281" w14:textId="52595CFC" w:rsidR="00C67281" w:rsidRDefault="00AB61D3" w:rsidP="00622CFF">
      <w:pPr>
        <w:spacing w:before="240" w:after="240" w:line="240" w:lineRule="auto"/>
      </w:pPr>
      <w:r>
        <w:t xml:space="preserve">There is wording in the Notice of Decision (approval letter) relating to alternative entry scenarios and the access approval date of effect. </w:t>
      </w:r>
    </w:p>
    <w:p w14:paraId="2E8D2542" w14:textId="0B3E6968" w:rsidR="00AB61D3" w:rsidRDefault="002F2F14" w:rsidP="00622CFF">
      <w:pPr>
        <w:spacing w:before="240" w:after="240" w:line="240" w:lineRule="auto"/>
      </w:pPr>
      <w:r>
        <w:t>For emergency</w:t>
      </w:r>
      <w:r w:rsidR="00C67281">
        <w:t xml:space="preserve"> </w:t>
      </w:r>
      <w:r w:rsidR="004E4693">
        <w:t xml:space="preserve">residential care </w:t>
      </w:r>
      <w:r w:rsidR="00C67281">
        <w:t xml:space="preserve">or </w:t>
      </w:r>
      <w:r w:rsidR="004E4693">
        <w:t xml:space="preserve">residential </w:t>
      </w:r>
      <w:r w:rsidR="00C83A00">
        <w:t>respite,</w:t>
      </w:r>
      <w:r w:rsidR="004E4693">
        <w:t xml:space="preserve"> the assessor </w:t>
      </w:r>
      <w:r>
        <w:t>is required to</w:t>
      </w:r>
      <w:r w:rsidR="004E4693">
        <w:t xml:space="preserve"> record the </w:t>
      </w:r>
      <w:r w:rsidR="00454671">
        <w:t xml:space="preserve">date care began through the </w:t>
      </w:r>
      <w:r w:rsidR="004E4693">
        <w:t xml:space="preserve">“Emergency Care Start Date” </w:t>
      </w:r>
      <w:r>
        <w:t xml:space="preserve">flag </w:t>
      </w:r>
      <w:r w:rsidR="004E4693">
        <w:t xml:space="preserve">in the </w:t>
      </w:r>
      <w:r w:rsidR="004059BB">
        <w:t>Integrated Assessment Tool</w:t>
      </w:r>
      <w:r w:rsidR="00454671">
        <w:t xml:space="preserve">. This date will allow the service provider to claim for the days </w:t>
      </w:r>
      <w:r w:rsidR="00B53F14">
        <w:t>prior to</w:t>
      </w:r>
      <w:r w:rsidR="00454671">
        <w:t xml:space="preserve"> the delegation </w:t>
      </w:r>
      <w:r w:rsidR="00B53F14">
        <w:t xml:space="preserve">start </w:t>
      </w:r>
      <w:r w:rsidR="00454671">
        <w:t xml:space="preserve">date. </w:t>
      </w:r>
      <w:r w:rsidR="00C67281">
        <w:t xml:space="preserve">The Assessment Delegate should check this to ensure that the correct date is recorded in this field before proceeding with </w:t>
      </w:r>
      <w:r>
        <w:t xml:space="preserve">their </w:t>
      </w:r>
      <w:r w:rsidR="000E0E5D">
        <w:t>decision</w:t>
      </w:r>
      <w:r w:rsidR="00C67281">
        <w:t>.</w:t>
      </w:r>
    </w:p>
    <w:p w14:paraId="77DB2EBD" w14:textId="77777777" w:rsidR="00AB61D3" w:rsidRDefault="00AB61D3" w:rsidP="00507F9D">
      <w:pPr>
        <w:pStyle w:val="h2"/>
      </w:pPr>
      <w:bookmarkStart w:id="861" w:name="_Toc209189036"/>
      <w:bookmarkStart w:id="862" w:name="_Toc224916692"/>
      <w:r>
        <w:t>Recording and communicating the assessment outcome</w:t>
      </w:r>
      <w:bookmarkEnd w:id="861"/>
      <w:bookmarkEnd w:id="862"/>
    </w:p>
    <w:p w14:paraId="1E681695" w14:textId="7AA4E0E5" w:rsidR="00AA60CD" w:rsidRPr="00BA0AD5" w:rsidRDefault="0626DE6C" w:rsidP="3FD93375">
      <w:pPr>
        <w:spacing w:before="240" w:after="240" w:line="240" w:lineRule="auto"/>
        <w:rPr>
          <w:lang w:eastAsia="ko-KR"/>
        </w:rPr>
      </w:pPr>
      <w:r w:rsidRPr="3FD93375">
        <w:rPr>
          <w:rFonts w:eastAsia="Arial"/>
          <w:szCs w:val="22"/>
          <w:lang w:val="en-US"/>
        </w:rPr>
        <w:t>A critical record of the assessment outcome is the Notice of Decision (NoD). Note that the NoD is referred to as the ‘assessment outcome letter’ in materials and website content for older people, and is labelled as the ‘approval/non-approval letter’ in the assessor portal.</w:t>
      </w:r>
    </w:p>
    <w:p w14:paraId="291971E6" w14:textId="01EA8EB3" w:rsidR="00AB61D3" w:rsidRPr="00BA0AD5" w:rsidRDefault="00AB61D3" w:rsidP="3FD93375">
      <w:pPr>
        <w:spacing w:before="240" w:after="240"/>
        <w:rPr>
          <w:rFonts w:eastAsia="Arial"/>
          <w:szCs w:val="22"/>
          <w:lang w:val="en-US"/>
        </w:rPr>
      </w:pPr>
      <w:r w:rsidRPr="3FD93375">
        <w:rPr>
          <w:rFonts w:eastAsia="Arial"/>
          <w:szCs w:val="22"/>
          <w:lang w:val="en-US"/>
        </w:rPr>
        <w:t>The older person (and registered supporter/s</w:t>
      </w:r>
      <w:r w:rsidR="003E2B01" w:rsidRPr="3FD93375">
        <w:rPr>
          <w:rFonts w:eastAsia="Arial"/>
          <w:szCs w:val="22"/>
          <w:lang w:val="en-US"/>
        </w:rPr>
        <w:t xml:space="preserve"> and/or appointed decision maker/s</w:t>
      </w:r>
      <w:r w:rsidRPr="3FD93375">
        <w:rPr>
          <w:rFonts w:eastAsia="Arial"/>
          <w:szCs w:val="22"/>
          <w:lang w:val="en-US"/>
        </w:rPr>
        <w:t>, if applicable) should be sent</w:t>
      </w:r>
      <w:r w:rsidR="00FC7CFD" w:rsidRPr="3FD93375">
        <w:rPr>
          <w:rFonts w:eastAsia="Arial"/>
          <w:szCs w:val="22"/>
          <w:lang w:val="en-US"/>
        </w:rPr>
        <w:t xml:space="preserve"> the following documents in hard copy via post</w:t>
      </w:r>
      <w:r w:rsidRPr="3FD93375">
        <w:rPr>
          <w:rFonts w:eastAsia="Arial"/>
          <w:szCs w:val="22"/>
          <w:lang w:val="en-US"/>
        </w:rPr>
        <w:t>:</w:t>
      </w:r>
    </w:p>
    <w:p w14:paraId="41105E02" w14:textId="1BD9D5AA" w:rsidR="00AA60CD" w:rsidRPr="00BA0AD5" w:rsidRDefault="0626DE6C" w:rsidP="3FD93375">
      <w:pPr>
        <w:pStyle w:val="ListParagraph"/>
        <w:numPr>
          <w:ilvl w:val="0"/>
          <w:numId w:val="426"/>
        </w:numPr>
        <w:spacing w:after="0"/>
        <w:rPr>
          <w:rFonts w:eastAsia="Arial"/>
          <w:szCs w:val="22"/>
        </w:rPr>
      </w:pPr>
      <w:r w:rsidRPr="3FD93375">
        <w:rPr>
          <w:rFonts w:eastAsia="Arial"/>
          <w:szCs w:val="22"/>
        </w:rPr>
        <w:t>the NoD</w:t>
      </w:r>
    </w:p>
    <w:p w14:paraId="374382C1" w14:textId="07E196BB" w:rsidR="00AA60CD" w:rsidRPr="00BA0AD5" w:rsidRDefault="0626DE6C" w:rsidP="3FD93375">
      <w:pPr>
        <w:pStyle w:val="ListParagraph"/>
        <w:numPr>
          <w:ilvl w:val="0"/>
          <w:numId w:val="426"/>
        </w:numPr>
        <w:spacing w:after="0"/>
        <w:rPr>
          <w:rFonts w:eastAsia="Arial"/>
          <w:szCs w:val="22"/>
        </w:rPr>
      </w:pPr>
      <w:r w:rsidRPr="3FD93375">
        <w:rPr>
          <w:rFonts w:eastAsia="Arial"/>
          <w:szCs w:val="22"/>
        </w:rPr>
        <w:t>the finalised Support Plan</w:t>
      </w:r>
    </w:p>
    <w:p w14:paraId="6D3FF172" w14:textId="7EF1FDD7" w:rsidR="00AA60CD" w:rsidRPr="00BA0AD5" w:rsidRDefault="0626DE6C" w:rsidP="3FD93375">
      <w:pPr>
        <w:pStyle w:val="ListParagraph"/>
        <w:numPr>
          <w:ilvl w:val="0"/>
          <w:numId w:val="426"/>
        </w:numPr>
        <w:spacing w:after="0"/>
        <w:rPr>
          <w:rFonts w:eastAsia="Arial"/>
          <w:szCs w:val="22"/>
        </w:rPr>
      </w:pPr>
      <w:r w:rsidRPr="3FD93375">
        <w:rPr>
          <w:rFonts w:eastAsia="Arial"/>
          <w:szCs w:val="22"/>
        </w:rPr>
        <w:t>the referral code letter (at a minimum for older people who have been approved for CHSP services)</w:t>
      </w:r>
    </w:p>
    <w:p w14:paraId="4AC922ED" w14:textId="7076B2CD" w:rsidR="00AA60CD" w:rsidRPr="00BA0AD5" w:rsidRDefault="0626DE6C" w:rsidP="3FD93375">
      <w:pPr>
        <w:pStyle w:val="ListParagraph"/>
        <w:numPr>
          <w:ilvl w:val="0"/>
          <w:numId w:val="426"/>
        </w:numPr>
        <w:spacing w:after="0"/>
        <w:rPr>
          <w:rFonts w:eastAsia="Arial"/>
          <w:szCs w:val="22"/>
        </w:rPr>
      </w:pPr>
      <w:r w:rsidRPr="3FD93375">
        <w:rPr>
          <w:rFonts w:eastAsia="Arial"/>
          <w:szCs w:val="22"/>
        </w:rPr>
        <w:t>any relevant aged care consumer information not provided at the time of the assessment</w:t>
      </w:r>
    </w:p>
    <w:p w14:paraId="57DF6304" w14:textId="74EDFF0C" w:rsidR="00AA60CD" w:rsidRPr="00BA0AD5" w:rsidRDefault="0626DE6C" w:rsidP="3FD93375">
      <w:pPr>
        <w:pStyle w:val="ListParagraph"/>
        <w:numPr>
          <w:ilvl w:val="0"/>
          <w:numId w:val="426"/>
        </w:numPr>
        <w:spacing w:after="0"/>
        <w:rPr>
          <w:rFonts w:eastAsia="Arial"/>
          <w:szCs w:val="22"/>
        </w:rPr>
      </w:pPr>
      <w:r w:rsidRPr="3FD93375">
        <w:rPr>
          <w:rFonts w:eastAsia="Arial"/>
          <w:szCs w:val="22"/>
        </w:rPr>
        <w:t>the older person satisfaction survey of the organisation’s performance requirements</w:t>
      </w:r>
    </w:p>
    <w:p w14:paraId="6780F14D" w14:textId="5D858628" w:rsidR="00AB61D3" w:rsidRPr="00BA0AD5" w:rsidRDefault="00AB61D3" w:rsidP="3FD93375">
      <w:pPr>
        <w:pStyle w:val="ListParagraph"/>
        <w:numPr>
          <w:ilvl w:val="0"/>
          <w:numId w:val="426"/>
        </w:numPr>
        <w:spacing w:after="0"/>
        <w:rPr>
          <w:rFonts w:eastAsia="Arial"/>
          <w:szCs w:val="22"/>
        </w:rPr>
      </w:pPr>
      <w:r w:rsidRPr="3FD93375">
        <w:rPr>
          <w:rFonts w:eastAsia="Arial"/>
          <w:szCs w:val="22"/>
        </w:rPr>
        <w:t>other associated notification documents.</w:t>
      </w:r>
    </w:p>
    <w:p w14:paraId="3426C7BE" w14:textId="0380259C" w:rsidR="00AB61D3" w:rsidRPr="00BA0AD5" w:rsidRDefault="00AB61D3" w:rsidP="3FD93375">
      <w:pPr>
        <w:spacing w:before="240" w:after="240"/>
        <w:rPr>
          <w:rFonts w:eastAsia="Arial"/>
          <w:szCs w:val="22"/>
        </w:rPr>
      </w:pPr>
      <w:r w:rsidRPr="3FD93375">
        <w:rPr>
          <w:rFonts w:eastAsia="Arial"/>
          <w:szCs w:val="22"/>
        </w:rPr>
        <w:t>The assessor must:</w:t>
      </w:r>
    </w:p>
    <w:p w14:paraId="46AB0332" w14:textId="4EE0446B" w:rsidR="00FC7CFD" w:rsidRPr="00BA0AD5" w:rsidRDefault="00FC7CFD" w:rsidP="3FD93375">
      <w:pPr>
        <w:pStyle w:val="ListParagraph"/>
        <w:numPr>
          <w:ilvl w:val="0"/>
          <w:numId w:val="426"/>
        </w:numPr>
        <w:spacing w:after="0"/>
        <w:rPr>
          <w:rFonts w:eastAsia="Arial"/>
          <w:szCs w:val="22"/>
        </w:rPr>
      </w:pPr>
      <w:r w:rsidRPr="3FD93375">
        <w:rPr>
          <w:rFonts w:eastAsia="Arial"/>
          <w:szCs w:val="22"/>
        </w:rPr>
        <w:t xml:space="preserve">call the </w:t>
      </w:r>
      <w:r w:rsidR="0626DE6C" w:rsidRPr="3FD93375">
        <w:rPr>
          <w:rFonts w:eastAsia="Arial"/>
          <w:szCs w:val="22"/>
        </w:rPr>
        <w:t xml:space="preserve">older person </w:t>
      </w:r>
      <w:r w:rsidRPr="3FD93375">
        <w:rPr>
          <w:rFonts w:eastAsia="Arial"/>
          <w:szCs w:val="22"/>
        </w:rPr>
        <w:t xml:space="preserve">once the </w:t>
      </w:r>
      <w:r w:rsidR="0626DE6C" w:rsidRPr="3FD93375">
        <w:rPr>
          <w:rFonts w:eastAsia="Arial"/>
          <w:szCs w:val="22"/>
        </w:rPr>
        <w:t>NoD</w:t>
      </w:r>
      <w:r w:rsidRPr="3FD93375">
        <w:rPr>
          <w:rFonts w:eastAsia="Arial"/>
          <w:szCs w:val="22"/>
        </w:rPr>
        <w:t xml:space="preserve"> is finalised to notify them that their assessment has been completed</w:t>
      </w:r>
      <w:r w:rsidR="0626DE6C" w:rsidRPr="3FD93375">
        <w:rPr>
          <w:rFonts w:eastAsia="Arial"/>
          <w:szCs w:val="22"/>
        </w:rPr>
        <w:t xml:space="preserve"> (where </w:t>
      </w:r>
      <w:r w:rsidR="001805AF" w:rsidRPr="3FD93375">
        <w:rPr>
          <w:rFonts w:eastAsia="Arial"/>
          <w:szCs w:val="22"/>
        </w:rPr>
        <w:t>needed</w:t>
      </w:r>
      <w:r w:rsidR="00776428" w:rsidRPr="3FD93375">
        <w:rPr>
          <w:rFonts w:eastAsia="Arial"/>
          <w:szCs w:val="22"/>
        </w:rPr>
        <w:t xml:space="preserve">, </w:t>
      </w:r>
      <w:r w:rsidR="008E597E" w:rsidRPr="3FD93375">
        <w:rPr>
          <w:rFonts w:eastAsia="Arial"/>
          <w:szCs w:val="22"/>
        </w:rPr>
        <w:t>FNAO assessors may</w:t>
      </w:r>
      <w:r w:rsidR="009050D0" w:rsidRPr="3FD93375">
        <w:rPr>
          <w:rFonts w:eastAsia="Arial"/>
          <w:szCs w:val="22"/>
        </w:rPr>
        <w:t xml:space="preserve"> </w:t>
      </w:r>
      <w:r w:rsidR="0626DE6C" w:rsidRPr="3FD93375">
        <w:rPr>
          <w:rFonts w:eastAsia="Arial"/>
          <w:szCs w:val="22"/>
        </w:rPr>
        <w:t xml:space="preserve">also </w:t>
      </w:r>
      <w:r w:rsidR="000B230D" w:rsidRPr="3FD93375">
        <w:rPr>
          <w:rFonts w:eastAsia="Arial"/>
          <w:szCs w:val="22"/>
        </w:rPr>
        <w:t>explain the letter to the older Aboriginal and Torres Strait Islander client</w:t>
      </w:r>
      <w:r w:rsidR="0626DE6C" w:rsidRPr="3FD93375">
        <w:rPr>
          <w:rFonts w:eastAsia="Arial"/>
          <w:szCs w:val="22"/>
        </w:rPr>
        <w:t>)</w:t>
      </w:r>
      <w:r w:rsidR="000B230D" w:rsidRPr="3FD93375">
        <w:rPr>
          <w:rFonts w:eastAsia="Arial"/>
          <w:szCs w:val="22"/>
        </w:rPr>
        <w:t xml:space="preserve"> </w:t>
      </w:r>
    </w:p>
    <w:p w14:paraId="66E50EFA" w14:textId="0567F9B6" w:rsidR="00AB61D3" w:rsidRPr="00BA0AD5" w:rsidRDefault="00AB61D3" w:rsidP="3FD93375">
      <w:pPr>
        <w:pStyle w:val="ListParagraph"/>
        <w:numPr>
          <w:ilvl w:val="0"/>
          <w:numId w:val="426"/>
        </w:numPr>
        <w:spacing w:after="0"/>
        <w:rPr>
          <w:rFonts w:eastAsia="Arial"/>
          <w:szCs w:val="22"/>
        </w:rPr>
      </w:pPr>
      <w:r w:rsidRPr="3FD93375">
        <w:rPr>
          <w:rFonts w:eastAsia="Arial"/>
          <w:szCs w:val="22"/>
        </w:rPr>
        <w:t xml:space="preserve">advise the older person that their Support Plan and </w:t>
      </w:r>
      <w:r w:rsidR="0626DE6C" w:rsidRPr="3FD93375">
        <w:rPr>
          <w:rFonts w:eastAsia="Arial"/>
          <w:szCs w:val="22"/>
        </w:rPr>
        <w:t>NoD can be accessed via their My Aged Care Online Account (under ‘documents’ and ‘plans’ for the Support Plan) and their My Health Record (if the older person has consented)</w:t>
      </w:r>
    </w:p>
    <w:p w14:paraId="68F26774" w14:textId="242AB665" w:rsidR="00AA60CD" w:rsidRPr="00BA0AD5" w:rsidRDefault="0626DE6C" w:rsidP="3FD93375">
      <w:pPr>
        <w:pStyle w:val="ListParagraph"/>
        <w:numPr>
          <w:ilvl w:val="0"/>
          <w:numId w:val="426"/>
        </w:numPr>
        <w:spacing w:after="0"/>
        <w:rPr>
          <w:rFonts w:eastAsia="Arial"/>
          <w:szCs w:val="22"/>
        </w:rPr>
      </w:pPr>
      <w:r w:rsidRPr="3FD93375">
        <w:rPr>
          <w:rFonts w:eastAsia="Arial"/>
          <w:szCs w:val="22"/>
        </w:rPr>
        <w:t>advise the client that if they have provided consent, their registered supporter/s are able to access these documents (via their own separate login information) to the client portal</w:t>
      </w:r>
    </w:p>
    <w:p w14:paraId="46F9FADB" w14:textId="1F9643BD" w:rsidR="00AB61D3" w:rsidRPr="00BA0AD5" w:rsidRDefault="00AB61D3" w:rsidP="3FD93375">
      <w:pPr>
        <w:pStyle w:val="ListParagraph"/>
        <w:numPr>
          <w:ilvl w:val="0"/>
          <w:numId w:val="426"/>
        </w:numPr>
        <w:spacing w:after="0"/>
        <w:rPr>
          <w:rFonts w:eastAsia="Arial"/>
          <w:szCs w:val="22"/>
        </w:rPr>
      </w:pPr>
      <w:r w:rsidRPr="3FD93375">
        <w:rPr>
          <w:rFonts w:eastAsia="Arial"/>
          <w:szCs w:val="22"/>
        </w:rPr>
        <w:t>advise the initial referral source of the assessment outcome and referral outcome - if requested by the referrer and with the consent of the older person.</w:t>
      </w:r>
    </w:p>
    <w:p w14:paraId="6560C898" w14:textId="53DF99EA" w:rsidR="00AA60CD" w:rsidRPr="00BA0AD5" w:rsidRDefault="00AA60CD" w:rsidP="3FD93375">
      <w:pPr>
        <w:spacing w:before="240" w:after="240"/>
        <w:rPr>
          <w:rFonts w:eastAsia="Arial"/>
          <w:szCs w:val="22"/>
          <w:lang w:val="en-US"/>
        </w:rPr>
      </w:pPr>
      <w:r w:rsidRPr="3FD93375">
        <w:rPr>
          <w:rFonts w:eastAsia="Arial"/>
          <w:szCs w:val="22"/>
          <w:lang w:val="en-US"/>
        </w:rPr>
        <w:t>While it is considered good practice to offer an older person a hard copy of their Support Plan and relevant information, where this is not feasible for an assessment organisation, the minimum requirement is that the older person, and where relevant, registered supporter:</w:t>
      </w:r>
    </w:p>
    <w:p w14:paraId="6CFBDD85" w14:textId="1B6ED8A7" w:rsidR="00AA60CD" w:rsidRPr="00BA0AD5" w:rsidRDefault="00AA60CD" w:rsidP="3FD93375">
      <w:pPr>
        <w:pStyle w:val="ListParagraph"/>
        <w:numPr>
          <w:ilvl w:val="0"/>
          <w:numId w:val="426"/>
        </w:numPr>
        <w:spacing w:after="0"/>
        <w:rPr>
          <w:rFonts w:eastAsia="Arial"/>
          <w:szCs w:val="22"/>
        </w:rPr>
      </w:pPr>
      <w:r w:rsidRPr="3FD93375">
        <w:rPr>
          <w:rFonts w:eastAsia="Arial"/>
          <w:szCs w:val="22"/>
        </w:rPr>
        <w:t>is clear on what is in their finalised Support Plan and are agreeable to this and which Associate People it will be shared with</w:t>
      </w:r>
      <w:r w:rsidR="0011472F" w:rsidRPr="3FD93375">
        <w:rPr>
          <w:rFonts w:eastAsia="Arial"/>
          <w:szCs w:val="22"/>
        </w:rPr>
        <w:t>,</w:t>
      </w:r>
    </w:p>
    <w:p w14:paraId="233E09FE" w14:textId="1EAEA92E" w:rsidR="00AA60CD" w:rsidRPr="00BA0AD5" w:rsidRDefault="00AA60CD" w:rsidP="3FD93375">
      <w:pPr>
        <w:pStyle w:val="ListParagraph"/>
        <w:numPr>
          <w:ilvl w:val="0"/>
          <w:numId w:val="426"/>
        </w:numPr>
        <w:spacing w:after="0"/>
        <w:rPr>
          <w:rFonts w:eastAsia="Arial"/>
          <w:szCs w:val="22"/>
        </w:rPr>
      </w:pPr>
      <w:r w:rsidRPr="3FD93375">
        <w:rPr>
          <w:rFonts w:eastAsia="Arial"/>
          <w:szCs w:val="22"/>
        </w:rPr>
        <w:t xml:space="preserve">agrees to be provided a soft copy of the finalised Support Plan and if appropriate the referral code letter (noting that </w:t>
      </w:r>
      <w:r w:rsidR="00516348" w:rsidRPr="3FD93375">
        <w:rPr>
          <w:rFonts w:eastAsia="Arial" w:hint="eastAsia"/>
          <w:szCs w:val="22"/>
        </w:rPr>
        <w:t>older people</w:t>
      </w:r>
      <w:r w:rsidRPr="3FD93375">
        <w:rPr>
          <w:rFonts w:eastAsia="Arial"/>
          <w:szCs w:val="22"/>
        </w:rPr>
        <w:t xml:space="preserve"> will receive a letter once they have been assigned a package)</w:t>
      </w:r>
      <w:r w:rsidR="006222E8" w:rsidRPr="3FD93375">
        <w:rPr>
          <w:rFonts w:eastAsia="Arial"/>
          <w:szCs w:val="22"/>
        </w:rPr>
        <w:t>,</w:t>
      </w:r>
      <w:r w:rsidRPr="3FD93375">
        <w:rPr>
          <w:rFonts w:eastAsia="Arial"/>
          <w:szCs w:val="22"/>
        </w:rPr>
        <w:t xml:space="preserve"> and/or </w:t>
      </w:r>
    </w:p>
    <w:p w14:paraId="7D1F605D" w14:textId="795E9493" w:rsidR="00AA60CD" w:rsidRPr="00BA0AD5" w:rsidRDefault="00AA60CD" w:rsidP="3FD93375">
      <w:pPr>
        <w:pStyle w:val="ListParagraph"/>
        <w:numPr>
          <w:ilvl w:val="0"/>
          <w:numId w:val="426"/>
        </w:numPr>
        <w:spacing w:after="0"/>
        <w:rPr>
          <w:rFonts w:eastAsia="Arial"/>
          <w:szCs w:val="22"/>
        </w:rPr>
      </w:pPr>
      <w:r w:rsidRPr="3FD93375">
        <w:rPr>
          <w:rFonts w:eastAsia="Arial"/>
          <w:szCs w:val="22"/>
        </w:rPr>
        <w:t>is aware of how to obtain a copy of the Support Plan and relevant information via their My Aged Care Online Account.</w:t>
      </w:r>
    </w:p>
    <w:p w14:paraId="2179E185" w14:textId="096EB073" w:rsidR="00AB61D3" w:rsidRPr="006F0D56" w:rsidRDefault="00AB61D3" w:rsidP="00C56CEC">
      <w:pPr>
        <w:pStyle w:val="H3"/>
      </w:pPr>
      <w:r w:rsidRPr="006F0D56">
        <w:t xml:space="preserve">Notice of </w:t>
      </w:r>
      <w:r w:rsidR="009A3CDF">
        <w:t>D</w:t>
      </w:r>
      <w:r w:rsidRPr="006F0D56">
        <w:t xml:space="preserve">ecision </w:t>
      </w:r>
      <w:r>
        <w:t>of assessment outcome</w:t>
      </w:r>
      <w:r w:rsidRPr="006F0D56">
        <w:t xml:space="preserve"> </w:t>
      </w:r>
    </w:p>
    <w:p w14:paraId="26469CFE" w14:textId="68D722E1" w:rsidR="00AB61D3" w:rsidRDefault="00E63830" w:rsidP="0020619A">
      <w:pPr>
        <w:spacing w:before="240" w:after="0" w:line="240" w:lineRule="auto"/>
        <w:rPr>
          <w:rFonts w:eastAsia="Arial"/>
          <w:szCs w:val="22"/>
          <w:lang w:val="en-AU"/>
        </w:rPr>
      </w:pPr>
      <w:r>
        <w:rPr>
          <w:rFonts w:eastAsia="Yu Gothic Light"/>
          <w:noProof/>
        </w:rPr>
        <w:drawing>
          <wp:inline distT="0" distB="0" distL="0" distR="0" wp14:anchorId="2BE4FAB0" wp14:editId="0A71EC16">
            <wp:extent cx="457200" cy="506095"/>
            <wp:effectExtent l="0" t="0" r="0" b="8255"/>
            <wp:docPr id="834709520" name="Picture 834709520"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18AFC4F1" w:rsidRPr="3FD93375">
        <w:rPr>
          <w:rFonts w:eastAsia="Arial"/>
          <w:szCs w:val="22"/>
          <w:lang w:val="en-AU"/>
        </w:rPr>
        <w:t xml:space="preserve">Assessment Delegates are required under the </w:t>
      </w:r>
      <w:r w:rsidR="0095745C">
        <w:rPr>
          <w:rFonts w:eastAsia="Arial"/>
          <w:szCs w:val="22"/>
          <w:lang w:val="en-AU"/>
        </w:rPr>
        <w:t xml:space="preserve">Aged Care </w:t>
      </w:r>
      <w:r w:rsidR="18AFC4F1" w:rsidRPr="3FD93375">
        <w:rPr>
          <w:rFonts w:eastAsia="Arial"/>
          <w:szCs w:val="22"/>
          <w:lang w:val="en-AU"/>
        </w:rPr>
        <w:t>Act</w:t>
      </w:r>
      <w:r w:rsidR="0095745C">
        <w:rPr>
          <w:rFonts w:eastAsia="Arial"/>
          <w:szCs w:val="22"/>
          <w:lang w:val="en-AU"/>
        </w:rPr>
        <w:t xml:space="preserve"> 2024 (the Act)</w:t>
      </w:r>
      <w:r w:rsidR="18AFC4F1" w:rsidRPr="3FD93375">
        <w:rPr>
          <w:rFonts w:eastAsia="Arial"/>
          <w:szCs w:val="22"/>
          <w:lang w:val="en-AU"/>
        </w:rPr>
        <w:t xml:space="preserve"> to issue a Notice of Decision (NoD) to the individual within 14 days of making a decision under subsection 65(1) or (2).</w:t>
      </w:r>
    </w:p>
    <w:p w14:paraId="39A22A2C" w14:textId="09EFF0A7" w:rsidR="00AB61D3" w:rsidRDefault="18AFC4F1" w:rsidP="0020619A">
      <w:pPr>
        <w:spacing w:before="240" w:after="0" w:line="240" w:lineRule="auto"/>
        <w:rPr>
          <w:rFonts w:eastAsia="Arial"/>
          <w:szCs w:val="22"/>
          <w:lang w:val="en-AU"/>
        </w:rPr>
      </w:pPr>
      <w:r w:rsidRPr="3FD93375">
        <w:rPr>
          <w:rFonts w:eastAsia="Arial"/>
          <w:szCs w:val="22"/>
          <w:lang w:val="en-AU"/>
        </w:rPr>
        <w:t xml:space="preserve">This supports the Act’s rights‑based approach by promoting </w:t>
      </w:r>
      <w:r w:rsidRPr="0020619A">
        <w:rPr>
          <w:rFonts w:eastAsia="Arial"/>
          <w:szCs w:val="22"/>
          <w:lang w:val="en-AU"/>
        </w:rPr>
        <w:t xml:space="preserve">transparency, accountability, </w:t>
      </w:r>
      <w:r w:rsidRPr="009614AC">
        <w:rPr>
          <w:rFonts w:eastAsia="Arial"/>
          <w:szCs w:val="22"/>
          <w:lang w:val="en-AU"/>
        </w:rPr>
        <w:t xml:space="preserve">and </w:t>
      </w:r>
      <w:r w:rsidRPr="0020619A">
        <w:rPr>
          <w:rFonts w:eastAsia="Arial"/>
          <w:szCs w:val="22"/>
          <w:lang w:val="en-AU"/>
        </w:rPr>
        <w:t>informed decision‑making,</w:t>
      </w:r>
      <w:r w:rsidRPr="3FD93375">
        <w:rPr>
          <w:rFonts w:eastAsia="Arial"/>
          <w:szCs w:val="22"/>
          <w:lang w:val="en-AU"/>
        </w:rPr>
        <w:t xml:space="preserve"> and by ensuring individuals understand decisions that affect their care and access to aged care services.</w:t>
      </w:r>
    </w:p>
    <w:p w14:paraId="417D0D59" w14:textId="5C76956D" w:rsidR="00AB61D3" w:rsidRDefault="18AFC4F1" w:rsidP="0020619A">
      <w:pPr>
        <w:spacing w:before="240" w:line="240" w:lineRule="auto"/>
        <w:rPr>
          <w:rFonts w:eastAsia="Arial"/>
          <w:szCs w:val="22"/>
          <w:lang w:val="en-US"/>
        </w:rPr>
      </w:pPr>
      <w:r w:rsidRPr="3FD93375">
        <w:rPr>
          <w:rFonts w:eastAsia="Arial"/>
          <w:szCs w:val="22"/>
          <w:lang w:val="en-US"/>
        </w:rPr>
        <w:t>The NoD must clearly communicate:</w:t>
      </w:r>
    </w:p>
    <w:p w14:paraId="3738A37E" w14:textId="2803704A" w:rsidR="00AB61D3" w:rsidRDefault="18AFC4F1" w:rsidP="0020619A">
      <w:pPr>
        <w:pStyle w:val="ListParagraph"/>
        <w:numPr>
          <w:ilvl w:val="0"/>
          <w:numId w:val="573"/>
        </w:numPr>
        <w:spacing w:after="0" w:line="240" w:lineRule="auto"/>
        <w:rPr>
          <w:rFonts w:eastAsia="Arial"/>
          <w:szCs w:val="22"/>
          <w:lang w:val="en-AU"/>
        </w:rPr>
      </w:pPr>
      <w:r w:rsidRPr="3FD93375">
        <w:rPr>
          <w:rFonts w:eastAsia="Arial"/>
          <w:szCs w:val="22"/>
          <w:lang w:val="en-AU"/>
        </w:rPr>
        <w:t>the assessment outcome, including decisions to approve or not to approve access to services,</w:t>
      </w:r>
    </w:p>
    <w:p w14:paraId="42068DA3" w14:textId="1D77CEEA" w:rsidR="00AB61D3" w:rsidRDefault="18AFC4F1" w:rsidP="0020619A">
      <w:pPr>
        <w:pStyle w:val="ListParagraph"/>
        <w:numPr>
          <w:ilvl w:val="0"/>
          <w:numId w:val="573"/>
        </w:numPr>
        <w:spacing w:after="0" w:line="240" w:lineRule="auto"/>
        <w:rPr>
          <w:rFonts w:eastAsia="Arial"/>
          <w:szCs w:val="22"/>
          <w:lang w:val="en-AU"/>
        </w:rPr>
      </w:pPr>
      <w:r w:rsidRPr="3FD93375">
        <w:rPr>
          <w:rFonts w:eastAsia="Arial"/>
          <w:szCs w:val="22"/>
          <w:lang w:val="en-AU"/>
        </w:rPr>
        <w:t>the reasons for these decisions, and</w:t>
      </w:r>
    </w:p>
    <w:p w14:paraId="499E4935" w14:textId="3F027CBD" w:rsidR="00AB61D3" w:rsidRDefault="18AFC4F1" w:rsidP="0020619A">
      <w:pPr>
        <w:pStyle w:val="ListParagraph"/>
        <w:numPr>
          <w:ilvl w:val="0"/>
          <w:numId w:val="573"/>
        </w:numPr>
        <w:spacing w:after="0" w:line="240" w:lineRule="auto"/>
        <w:rPr>
          <w:rFonts w:eastAsia="Arial"/>
          <w:b/>
          <w:bCs/>
          <w:szCs w:val="22"/>
        </w:rPr>
      </w:pPr>
      <w:r w:rsidRPr="3FD93375">
        <w:rPr>
          <w:rFonts w:eastAsia="Arial"/>
          <w:szCs w:val="22"/>
          <w:lang w:val="en-AU"/>
        </w:rPr>
        <w:t>how the individual may apply for</w:t>
      </w:r>
      <w:r w:rsidR="00456E93">
        <w:rPr>
          <w:rFonts w:eastAsia="Arial"/>
          <w:szCs w:val="22"/>
          <w:lang w:val="en-AU"/>
        </w:rPr>
        <w:t xml:space="preserve"> a review </w:t>
      </w:r>
      <w:r w:rsidRPr="3FD93375" w:rsidDel="00456E93">
        <w:rPr>
          <w:rFonts w:eastAsia="Arial"/>
          <w:szCs w:val="22"/>
          <w:lang w:val="en-AU"/>
        </w:rPr>
        <w:t xml:space="preserve"> </w:t>
      </w:r>
      <w:r w:rsidRPr="3FD93375">
        <w:rPr>
          <w:rFonts w:eastAsia="Arial"/>
          <w:szCs w:val="22"/>
          <w:lang w:val="en-AU"/>
        </w:rPr>
        <w:t>of the decision</w:t>
      </w:r>
      <w:r w:rsidR="00456E93">
        <w:rPr>
          <w:rFonts w:eastAsia="Arial"/>
          <w:szCs w:val="22"/>
          <w:lang w:val="en-AU"/>
        </w:rPr>
        <w:t>(s)</w:t>
      </w:r>
      <w:r w:rsidRPr="3FD93375">
        <w:rPr>
          <w:rFonts w:eastAsia="Arial"/>
          <w:szCs w:val="22"/>
          <w:lang w:val="en-AU"/>
        </w:rPr>
        <w:t>.</w:t>
      </w:r>
    </w:p>
    <w:p w14:paraId="46D5CC2D" w14:textId="621E952C" w:rsidR="00AB61D3" w:rsidRDefault="00AB61D3" w:rsidP="3FD93375">
      <w:pPr>
        <w:spacing w:after="0" w:line="240" w:lineRule="auto"/>
        <w:rPr>
          <w:rFonts w:eastAsia="Arial"/>
          <w:b/>
          <w:bCs/>
          <w:szCs w:val="22"/>
        </w:rPr>
      </w:pPr>
    </w:p>
    <w:p w14:paraId="45CF85A2" w14:textId="55A7F93E" w:rsidR="00AB61D3" w:rsidRDefault="18AFC4F1" w:rsidP="0020619A">
      <w:pPr>
        <w:spacing w:after="0" w:line="240" w:lineRule="auto"/>
        <w:rPr>
          <w:rFonts w:eastAsia="Arial"/>
          <w:b/>
          <w:bCs/>
          <w:szCs w:val="22"/>
        </w:rPr>
      </w:pPr>
      <w:r w:rsidRPr="3FD93375">
        <w:rPr>
          <w:rFonts w:eastAsia="Arial"/>
          <w:b/>
          <w:bCs/>
          <w:szCs w:val="22"/>
        </w:rPr>
        <w:t>NoD requirements under the Act</w:t>
      </w:r>
    </w:p>
    <w:p w14:paraId="105FAF09" w14:textId="27A81B03" w:rsidR="00AB61D3" w:rsidRDefault="18AFC4F1" w:rsidP="0020619A">
      <w:pPr>
        <w:spacing w:before="240" w:after="240" w:line="240" w:lineRule="auto"/>
        <w:rPr>
          <w:rFonts w:eastAsia="Arial"/>
          <w:szCs w:val="22"/>
          <w:lang w:val="en-AU"/>
        </w:rPr>
      </w:pPr>
      <w:r w:rsidRPr="3FD93375">
        <w:rPr>
          <w:rFonts w:eastAsia="Arial"/>
          <w:szCs w:val="22"/>
          <w:lang w:val="en-AU"/>
        </w:rPr>
        <w:t xml:space="preserve">For </w:t>
      </w:r>
      <w:r w:rsidR="00042609">
        <w:rPr>
          <w:rFonts w:eastAsia="Arial"/>
          <w:szCs w:val="22"/>
          <w:lang w:val="en-AU"/>
        </w:rPr>
        <w:t>a</w:t>
      </w:r>
      <w:r w:rsidRPr="3FD93375">
        <w:rPr>
          <w:rFonts w:eastAsia="Arial"/>
          <w:szCs w:val="22"/>
          <w:lang w:val="en-AU"/>
        </w:rPr>
        <w:t xml:space="preserve">ssessment </w:t>
      </w:r>
      <w:r w:rsidR="00042609">
        <w:rPr>
          <w:rFonts w:eastAsia="Arial"/>
          <w:szCs w:val="22"/>
          <w:lang w:val="en-AU"/>
        </w:rPr>
        <w:t>d</w:t>
      </w:r>
      <w:r w:rsidRPr="3FD93375">
        <w:rPr>
          <w:rFonts w:eastAsia="Arial"/>
          <w:szCs w:val="22"/>
          <w:lang w:val="en-AU"/>
        </w:rPr>
        <w:t xml:space="preserve">elegates to meet their obligations under the Act, they </w:t>
      </w:r>
      <w:r w:rsidRPr="3FD93375">
        <w:rPr>
          <w:rFonts w:eastAsia="Arial"/>
          <w:szCs w:val="22"/>
          <w:u w:val="single"/>
          <w:lang w:val="en-AU"/>
        </w:rPr>
        <w:t>must</w:t>
      </w:r>
      <w:r w:rsidRPr="3FD93375">
        <w:rPr>
          <w:rFonts w:eastAsia="Arial"/>
          <w:szCs w:val="22"/>
          <w:lang w:val="en-AU"/>
        </w:rPr>
        <w:t xml:space="preserve"> ensure that the notice sent to the individual satisfies the requirements of the Act. Assessment </w:t>
      </w:r>
      <w:r w:rsidR="00042609">
        <w:rPr>
          <w:rFonts w:eastAsia="Arial"/>
          <w:szCs w:val="22"/>
          <w:lang w:val="en-AU"/>
        </w:rPr>
        <w:t>d</w:t>
      </w:r>
      <w:r w:rsidRPr="3FD93375">
        <w:rPr>
          <w:rFonts w:eastAsia="Arial"/>
          <w:szCs w:val="22"/>
          <w:lang w:val="en-AU"/>
        </w:rPr>
        <w:t xml:space="preserve">elegates can generate NoD templates in the Assessor Portal with </w:t>
      </w:r>
      <w:r w:rsidR="0095745C">
        <w:rPr>
          <w:rFonts w:eastAsia="Arial"/>
          <w:szCs w:val="22"/>
          <w:lang w:val="en-AU"/>
        </w:rPr>
        <w:t>most</w:t>
      </w:r>
      <w:r w:rsidRPr="3FD93375">
        <w:rPr>
          <w:rFonts w:eastAsia="Arial"/>
          <w:szCs w:val="22"/>
          <w:lang w:val="en-AU"/>
        </w:rPr>
        <w:t xml:space="preserve"> of the critical information pre-populated and </w:t>
      </w:r>
      <w:r w:rsidR="001C3540">
        <w:rPr>
          <w:rFonts w:eastAsia="Arial"/>
          <w:szCs w:val="22"/>
          <w:lang w:val="en-AU"/>
        </w:rPr>
        <w:t xml:space="preserve">which also </w:t>
      </w:r>
      <w:r w:rsidRPr="3FD93375">
        <w:rPr>
          <w:rFonts w:eastAsia="Arial"/>
          <w:szCs w:val="22"/>
          <w:lang w:val="en-AU"/>
        </w:rPr>
        <w:t>includ</w:t>
      </w:r>
      <w:r w:rsidR="0095745C">
        <w:rPr>
          <w:rFonts w:eastAsia="Arial"/>
          <w:szCs w:val="22"/>
          <w:lang w:val="en-AU"/>
        </w:rPr>
        <w:t>es</w:t>
      </w:r>
      <w:r w:rsidRPr="3FD93375">
        <w:rPr>
          <w:rFonts w:eastAsia="Arial"/>
          <w:szCs w:val="22"/>
          <w:lang w:val="en-AU"/>
        </w:rPr>
        <w:t xml:space="preserve"> guidance on how to complete a legally compliant letter. The NoDs must satisfy the requirements in the following sections of the Act: </w:t>
      </w:r>
    </w:p>
    <w:p w14:paraId="27E640D4" w14:textId="2995E8B6" w:rsidR="00AB61D3" w:rsidRDefault="18AFC4F1" w:rsidP="0020619A">
      <w:pPr>
        <w:pStyle w:val="ListParagraph"/>
        <w:numPr>
          <w:ilvl w:val="0"/>
          <w:numId w:val="572"/>
        </w:numPr>
        <w:spacing w:after="0" w:line="240" w:lineRule="auto"/>
        <w:rPr>
          <w:rFonts w:eastAsia="Arial"/>
          <w:szCs w:val="22"/>
          <w:lang w:val="en-US"/>
        </w:rPr>
      </w:pPr>
      <w:r w:rsidRPr="3FD93375">
        <w:rPr>
          <w:rFonts w:eastAsia="Arial"/>
          <w:b/>
          <w:bCs/>
          <w:szCs w:val="22"/>
          <w:lang w:val="en-AU"/>
        </w:rPr>
        <w:t>Section 70:</w:t>
      </w:r>
      <w:r w:rsidRPr="3FD93375">
        <w:rPr>
          <w:rFonts w:eastAsia="Arial"/>
          <w:szCs w:val="22"/>
          <w:lang w:val="en-AU"/>
        </w:rPr>
        <w:t xml:space="preserve"> notify the individual about the decision regarding their access approval, including information on the approved service group(s), and the classification type(s) for the service group(s), any service types, and funded aged care services, and the date the access approval takes effect. The reasoning behind the decision and how the older person can apply for </w:t>
      </w:r>
      <w:r w:rsidR="008F3B46">
        <w:rPr>
          <w:rFonts w:eastAsia="Arial"/>
          <w:szCs w:val="22"/>
          <w:lang w:val="en-AU"/>
        </w:rPr>
        <w:t>a review of decision</w:t>
      </w:r>
      <w:r w:rsidRPr="3FD93375">
        <w:rPr>
          <w:rFonts w:eastAsia="Arial"/>
          <w:szCs w:val="22"/>
          <w:lang w:val="en-AU"/>
        </w:rPr>
        <w:t xml:space="preserve">, if necessary, must also be clearly explained. </w:t>
      </w:r>
      <w:r w:rsidRPr="3FD93375">
        <w:rPr>
          <w:rFonts w:eastAsia="Arial"/>
          <w:szCs w:val="22"/>
          <w:lang w:val="en-US"/>
        </w:rPr>
        <w:t>The Reasons for Decision</w:t>
      </w:r>
      <w:r w:rsidRPr="3FD93375">
        <w:rPr>
          <w:rFonts w:eastAsia="Arial"/>
          <w:b/>
          <w:bCs/>
          <w:szCs w:val="22"/>
          <w:lang w:val="en-US"/>
        </w:rPr>
        <w:t xml:space="preserve"> </w:t>
      </w:r>
      <w:r w:rsidRPr="3FD93375">
        <w:rPr>
          <w:rFonts w:eastAsia="Arial"/>
          <w:szCs w:val="22"/>
          <w:lang w:val="en-US"/>
        </w:rPr>
        <w:t>section in the NoD gives more information on what must be considered and included in the reasons.</w:t>
      </w:r>
    </w:p>
    <w:p w14:paraId="705DE6F5" w14:textId="15698AAA" w:rsidR="00AB61D3" w:rsidRDefault="18AFC4F1" w:rsidP="0020619A">
      <w:pPr>
        <w:pStyle w:val="ListParagraph"/>
        <w:numPr>
          <w:ilvl w:val="0"/>
          <w:numId w:val="572"/>
        </w:numPr>
        <w:spacing w:after="0" w:line="240" w:lineRule="auto"/>
        <w:rPr>
          <w:rFonts w:eastAsia="Arial"/>
          <w:szCs w:val="22"/>
          <w:lang w:val="en-AU"/>
        </w:rPr>
      </w:pPr>
      <w:r w:rsidRPr="3FD93375">
        <w:rPr>
          <w:rFonts w:eastAsia="Arial"/>
          <w:b/>
          <w:bCs/>
          <w:szCs w:val="22"/>
          <w:lang w:val="en-AU"/>
        </w:rPr>
        <w:t>Section 79</w:t>
      </w:r>
      <w:r w:rsidRPr="3FD93375">
        <w:rPr>
          <w:rFonts w:eastAsia="Arial"/>
          <w:szCs w:val="22"/>
          <w:lang w:val="en-AU"/>
        </w:rPr>
        <w:t xml:space="preserve">: inform the individual about the classification decision, including the classification level(s) for the approved service group(s), and when the classification level(s) did or will come into effect, and how they can apply for reconsideration if necessary. </w:t>
      </w:r>
    </w:p>
    <w:p w14:paraId="643C25E4" w14:textId="170C4313" w:rsidR="00AB61D3" w:rsidRDefault="18AFC4F1" w:rsidP="0020619A">
      <w:pPr>
        <w:pStyle w:val="ListParagraph"/>
        <w:numPr>
          <w:ilvl w:val="0"/>
          <w:numId w:val="571"/>
        </w:numPr>
        <w:spacing w:after="0" w:line="240" w:lineRule="auto"/>
        <w:rPr>
          <w:rFonts w:eastAsia="Arial"/>
          <w:lang w:val="en-AU"/>
        </w:rPr>
      </w:pPr>
      <w:r w:rsidRPr="3146C5F1">
        <w:rPr>
          <w:rFonts w:eastAsia="Arial"/>
          <w:b/>
          <w:bCs/>
          <w:lang w:val="en-AU"/>
        </w:rPr>
        <w:t>Section 88:</w:t>
      </w:r>
      <w:r w:rsidRPr="3146C5F1">
        <w:rPr>
          <w:rFonts w:eastAsia="Arial"/>
          <w:lang w:val="en-AU"/>
        </w:rPr>
        <w:t xml:space="preserve"> If necessary, notify the individual about any priority category assigned to a classification type for a service group, clearly explaining the reasoning behind the decision and how they can apply for reconsideration if necessary. This is necessary in the scenarios listed in </w:t>
      </w:r>
      <w:r w:rsidRPr="0020619A">
        <w:rPr>
          <w:rFonts w:eastAsia="Arial"/>
          <w:lang w:val="en-AU"/>
        </w:rPr>
        <w:t>the table</w:t>
      </w:r>
      <w:r w:rsidRPr="3146C5F1">
        <w:rPr>
          <w:rFonts w:eastAsia="Arial"/>
          <w:lang w:val="en-AU"/>
        </w:rPr>
        <w:t xml:space="preserve"> below.</w:t>
      </w:r>
    </w:p>
    <w:p w14:paraId="20102B3A" w14:textId="62386A6D" w:rsidR="3146C5F1" w:rsidRDefault="3146C5F1" w:rsidP="0020619A">
      <w:pPr>
        <w:pStyle w:val="ListParagraph"/>
        <w:spacing w:after="0" w:line="240" w:lineRule="auto"/>
        <w:rPr>
          <w:rFonts w:eastAsia="Arial"/>
          <w:lang w:val="en-AU"/>
        </w:rPr>
      </w:pPr>
    </w:p>
    <w:tbl>
      <w:tblPr>
        <w:tblStyle w:val="TableGrid"/>
        <w:tblW w:w="0" w:type="auto"/>
        <w:tblInd w:w="840" w:type="dxa"/>
        <w:tblLook w:val="04A0" w:firstRow="1" w:lastRow="0" w:firstColumn="1" w:lastColumn="0" w:noHBand="0" w:noVBand="1"/>
      </w:tblPr>
      <w:tblGrid>
        <w:gridCol w:w="3018"/>
        <w:gridCol w:w="5148"/>
      </w:tblGrid>
      <w:tr w:rsidR="3FD93375" w14:paraId="69CADE42"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236AFE17" w14:textId="1160F791" w:rsidR="3FD93375" w:rsidRDefault="3FD93375">
            <w:pPr>
              <w:rPr>
                <w:rFonts w:eastAsia="Arial"/>
                <w:b/>
                <w:bCs/>
                <w:szCs w:val="22"/>
              </w:rPr>
            </w:pPr>
            <w:r w:rsidRPr="3FD93375">
              <w:rPr>
                <w:rFonts w:eastAsia="Arial"/>
                <w:b/>
                <w:bCs/>
                <w:szCs w:val="22"/>
              </w:rPr>
              <w:t>Service group</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12C294B8" w14:textId="2F764A8D" w:rsidR="3FD93375" w:rsidRDefault="3FD93375">
            <w:pPr>
              <w:rPr>
                <w:rFonts w:eastAsia="Arial"/>
                <w:b/>
                <w:bCs/>
                <w:szCs w:val="22"/>
              </w:rPr>
            </w:pPr>
            <w:r w:rsidRPr="3FD93375">
              <w:rPr>
                <w:rFonts w:eastAsia="Arial"/>
                <w:b/>
                <w:bCs/>
                <w:szCs w:val="22"/>
              </w:rPr>
              <w:t>Classification type</w:t>
            </w:r>
          </w:p>
        </w:tc>
      </w:tr>
      <w:tr w:rsidR="3FD93375" w14:paraId="56EDC0E8"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01B46FB8" w14:textId="3856DD9C" w:rsidR="3FD93375" w:rsidRDefault="3FD93375">
            <w:pPr>
              <w:rPr>
                <w:rFonts w:eastAsia="Arial"/>
                <w:szCs w:val="22"/>
              </w:rPr>
            </w:pPr>
            <w:r w:rsidRPr="3FD93375">
              <w:rPr>
                <w:rFonts w:eastAsia="Arial"/>
                <w:szCs w:val="22"/>
              </w:rPr>
              <w:t>Home support</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15801493" w14:textId="2EEFA1D3" w:rsidR="3FD93375" w:rsidRDefault="3FD93375">
            <w:pPr>
              <w:rPr>
                <w:rFonts w:eastAsia="Arial"/>
                <w:szCs w:val="22"/>
              </w:rPr>
            </w:pPr>
            <w:r w:rsidRPr="3FD93375">
              <w:rPr>
                <w:rFonts w:eastAsia="Arial"/>
                <w:szCs w:val="22"/>
              </w:rPr>
              <w:t xml:space="preserve">Ongoing </w:t>
            </w:r>
            <w:r>
              <w:br/>
            </w:r>
            <w:r w:rsidRPr="3FD93375">
              <w:rPr>
                <w:rFonts w:eastAsia="Arial"/>
                <w:szCs w:val="22"/>
              </w:rPr>
              <w:t>(except when the classification level is ‘CHSP class’)</w:t>
            </w:r>
          </w:p>
        </w:tc>
      </w:tr>
      <w:tr w:rsidR="3FD93375" w14:paraId="597EB367"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14835D50" w14:textId="5DA8C2DD" w:rsidR="3FD93375" w:rsidRDefault="3FD93375">
            <w:pPr>
              <w:rPr>
                <w:rFonts w:eastAsia="Arial"/>
                <w:szCs w:val="22"/>
              </w:rPr>
            </w:pPr>
            <w:r w:rsidRPr="3FD93375">
              <w:rPr>
                <w:rFonts w:eastAsia="Arial"/>
                <w:szCs w:val="22"/>
              </w:rPr>
              <w:t>Assistive technology</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39E6E396" w14:textId="59E5183B" w:rsidR="3FD93375" w:rsidRDefault="3FD93375">
            <w:pPr>
              <w:rPr>
                <w:rFonts w:eastAsia="Arial"/>
                <w:szCs w:val="22"/>
              </w:rPr>
            </w:pPr>
            <w:r w:rsidRPr="3FD93375">
              <w:rPr>
                <w:rFonts w:eastAsia="Arial"/>
                <w:szCs w:val="22"/>
              </w:rPr>
              <w:t>Ongoing</w:t>
            </w:r>
          </w:p>
          <w:p w14:paraId="743FDD47" w14:textId="6CB4266B" w:rsidR="3FD93375" w:rsidRDefault="3FD93375">
            <w:pPr>
              <w:rPr>
                <w:rFonts w:eastAsia="Arial"/>
                <w:szCs w:val="22"/>
              </w:rPr>
            </w:pPr>
            <w:r w:rsidRPr="3FD93375">
              <w:rPr>
                <w:rFonts w:eastAsia="Arial"/>
                <w:szCs w:val="22"/>
              </w:rPr>
              <w:t>Short-term</w:t>
            </w:r>
          </w:p>
        </w:tc>
      </w:tr>
      <w:tr w:rsidR="3FD93375" w14:paraId="7A82E070"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38C90149" w14:textId="04F942FE" w:rsidR="3FD93375" w:rsidRDefault="3FD93375">
            <w:pPr>
              <w:rPr>
                <w:rFonts w:eastAsia="Arial"/>
                <w:szCs w:val="22"/>
              </w:rPr>
            </w:pPr>
            <w:r w:rsidRPr="3FD93375">
              <w:rPr>
                <w:rFonts w:eastAsia="Arial"/>
                <w:szCs w:val="22"/>
              </w:rPr>
              <w:t>Home modifications</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23867A7C" w14:textId="076146AE" w:rsidR="3FD93375" w:rsidRDefault="3FD93375">
            <w:pPr>
              <w:rPr>
                <w:rFonts w:eastAsia="Arial"/>
                <w:szCs w:val="22"/>
              </w:rPr>
            </w:pPr>
            <w:r w:rsidRPr="3FD93375">
              <w:rPr>
                <w:rFonts w:eastAsia="Arial"/>
                <w:szCs w:val="22"/>
              </w:rPr>
              <w:t>Short-term</w:t>
            </w:r>
          </w:p>
        </w:tc>
      </w:tr>
      <w:tr w:rsidR="3FD93375" w14:paraId="4C1D3042"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63AB8E2E" w14:textId="1313FD32" w:rsidR="3FD93375" w:rsidRDefault="3FD93375">
            <w:pPr>
              <w:rPr>
                <w:rFonts w:eastAsia="Arial"/>
                <w:szCs w:val="22"/>
              </w:rPr>
            </w:pPr>
            <w:r w:rsidRPr="3FD93375">
              <w:rPr>
                <w:rFonts w:eastAsia="Arial"/>
                <w:szCs w:val="22"/>
              </w:rPr>
              <w:t>Residential care</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139998B1" w14:textId="3F82D14C" w:rsidR="3FD93375" w:rsidRDefault="3FD93375">
            <w:pPr>
              <w:rPr>
                <w:rFonts w:eastAsia="Arial"/>
                <w:szCs w:val="22"/>
              </w:rPr>
            </w:pPr>
            <w:r w:rsidRPr="3FD93375">
              <w:rPr>
                <w:rFonts w:eastAsia="Arial"/>
                <w:szCs w:val="22"/>
              </w:rPr>
              <w:t>Ongoing</w:t>
            </w:r>
          </w:p>
        </w:tc>
      </w:tr>
    </w:tbl>
    <w:p w14:paraId="0F0F16F9" w14:textId="272B19BE" w:rsidR="3146C5F1" w:rsidRDefault="3146C5F1" w:rsidP="00820EE5">
      <w:pPr>
        <w:pStyle w:val="ListParagraph"/>
        <w:spacing w:after="0" w:line="240" w:lineRule="auto"/>
        <w:rPr>
          <w:rFonts w:eastAsia="Arial"/>
          <w:b/>
          <w:bCs/>
        </w:rPr>
      </w:pPr>
    </w:p>
    <w:p w14:paraId="14796E26" w14:textId="52246273" w:rsidR="00AB61D3" w:rsidRDefault="18AFC4F1" w:rsidP="00820EE5">
      <w:pPr>
        <w:pStyle w:val="ListParagraph"/>
        <w:numPr>
          <w:ilvl w:val="0"/>
          <w:numId w:val="570"/>
        </w:numPr>
        <w:spacing w:after="0" w:line="240" w:lineRule="auto"/>
        <w:rPr>
          <w:rFonts w:eastAsia="Arial"/>
          <w:b/>
          <w:bCs/>
          <w:szCs w:val="22"/>
        </w:rPr>
      </w:pPr>
      <w:r w:rsidRPr="3FD93375">
        <w:rPr>
          <w:rFonts w:eastAsia="Arial"/>
          <w:b/>
          <w:bCs/>
          <w:szCs w:val="22"/>
          <w:lang w:val="en-AU"/>
        </w:rPr>
        <w:t>Section 92(4):</w:t>
      </w:r>
      <w:r w:rsidRPr="3FD93375">
        <w:rPr>
          <w:rFonts w:eastAsia="Arial"/>
          <w:szCs w:val="22"/>
          <w:lang w:val="en-AU"/>
        </w:rPr>
        <w:t xml:space="preserve"> If necessary, inform the individual of any place they have been allocated, and the day the allocation of the place takes effect. </w:t>
      </w:r>
    </w:p>
    <w:p w14:paraId="13D60AB4" w14:textId="2B92A642" w:rsidR="00AB61D3" w:rsidRDefault="00AB61D3" w:rsidP="3FD93375">
      <w:pPr>
        <w:spacing w:after="0" w:line="240" w:lineRule="auto"/>
        <w:rPr>
          <w:rFonts w:eastAsia="Arial"/>
          <w:b/>
          <w:bCs/>
          <w:szCs w:val="22"/>
        </w:rPr>
      </w:pPr>
    </w:p>
    <w:p w14:paraId="77C9CAA6" w14:textId="7895FF44" w:rsidR="00AB61D3" w:rsidRDefault="18AFC4F1" w:rsidP="00820EE5">
      <w:pPr>
        <w:spacing w:after="0" w:line="240" w:lineRule="auto"/>
        <w:rPr>
          <w:rFonts w:eastAsia="Arial"/>
          <w:b/>
          <w:bCs/>
          <w:szCs w:val="22"/>
        </w:rPr>
      </w:pPr>
      <w:r w:rsidRPr="3FD93375">
        <w:rPr>
          <w:rFonts w:eastAsia="Arial"/>
          <w:b/>
          <w:bCs/>
          <w:szCs w:val="22"/>
        </w:rPr>
        <w:t>When is a NoD required?</w:t>
      </w:r>
    </w:p>
    <w:p w14:paraId="6CB8BBEE" w14:textId="32A4E4D1" w:rsidR="00AB61D3" w:rsidRDefault="18AFC4F1" w:rsidP="00820EE5">
      <w:pPr>
        <w:spacing w:before="240" w:line="240" w:lineRule="auto"/>
        <w:rPr>
          <w:rFonts w:eastAsia="Arial"/>
          <w:szCs w:val="22"/>
          <w:lang w:val="en-US"/>
        </w:rPr>
      </w:pPr>
      <w:r w:rsidRPr="3FD93375">
        <w:rPr>
          <w:rFonts w:eastAsia="Arial"/>
          <w:szCs w:val="22"/>
          <w:lang w:val="en-AU"/>
        </w:rPr>
        <w:t>A NoD must be issued following a</w:t>
      </w:r>
      <w:r w:rsidR="00D26FAA">
        <w:rPr>
          <w:rFonts w:eastAsia="Arial"/>
          <w:szCs w:val="22"/>
          <w:lang w:val="en-AU"/>
        </w:rPr>
        <w:t xml:space="preserve">n initial </w:t>
      </w:r>
      <w:r w:rsidRPr="00820EE5">
        <w:rPr>
          <w:rFonts w:eastAsia="Arial"/>
          <w:szCs w:val="22"/>
          <w:lang w:val="en-AU"/>
        </w:rPr>
        <w:t xml:space="preserve">assessment, reassessment, </w:t>
      </w:r>
      <w:r w:rsidRPr="00030EEE">
        <w:rPr>
          <w:rFonts w:eastAsia="Arial"/>
          <w:szCs w:val="22"/>
          <w:lang w:val="en-AU"/>
        </w:rPr>
        <w:t>and (in most cases) a</w:t>
      </w:r>
      <w:r w:rsidRPr="00820EE5">
        <w:rPr>
          <w:rFonts w:eastAsia="Arial"/>
          <w:szCs w:val="22"/>
          <w:lang w:val="en-AU"/>
        </w:rPr>
        <w:t xml:space="preserve"> support plan review (SPR).</w:t>
      </w:r>
      <w:r w:rsidRPr="3FD93375">
        <w:rPr>
          <w:rFonts w:eastAsia="Arial"/>
          <w:b/>
          <w:bCs/>
          <w:szCs w:val="22"/>
          <w:lang w:val="en-AU"/>
        </w:rPr>
        <w:t xml:space="preserve"> </w:t>
      </w:r>
      <w:r w:rsidRPr="3FD93375">
        <w:rPr>
          <w:rFonts w:eastAsia="Arial"/>
          <w:szCs w:val="22"/>
          <w:lang w:val="en-US"/>
        </w:rPr>
        <w:t xml:space="preserve">A NoD is required after all SPRs, </w:t>
      </w:r>
      <w:r w:rsidRPr="00820EE5">
        <w:rPr>
          <w:rFonts w:eastAsia="Arial"/>
          <w:szCs w:val="22"/>
          <w:lang w:val="en-US"/>
        </w:rPr>
        <w:t>except</w:t>
      </w:r>
      <w:r w:rsidRPr="3FD93375">
        <w:rPr>
          <w:rFonts w:eastAsia="Arial"/>
          <w:szCs w:val="22"/>
          <w:lang w:val="en-US"/>
        </w:rPr>
        <w:t xml:space="preserve"> when the SPR:</w:t>
      </w:r>
    </w:p>
    <w:p w14:paraId="5B4E3482" w14:textId="7C2856FE" w:rsidR="00AB61D3" w:rsidRDefault="18AFC4F1" w:rsidP="00820EE5">
      <w:pPr>
        <w:pStyle w:val="ListParagraph"/>
        <w:numPr>
          <w:ilvl w:val="0"/>
          <w:numId w:val="569"/>
        </w:numPr>
        <w:spacing w:after="0" w:line="276" w:lineRule="auto"/>
        <w:ind w:left="1080"/>
        <w:rPr>
          <w:rFonts w:eastAsia="Arial"/>
          <w:szCs w:val="22"/>
          <w:lang w:val="en-US"/>
        </w:rPr>
      </w:pPr>
      <w:r w:rsidRPr="3FD93375">
        <w:rPr>
          <w:rFonts w:eastAsia="Arial"/>
          <w:szCs w:val="22"/>
          <w:lang w:val="en-US"/>
        </w:rPr>
        <w:t>leads to a referral for a full reassessment, or</w:t>
      </w:r>
    </w:p>
    <w:p w14:paraId="0EF85AD0" w14:textId="6770BCEF" w:rsidR="00AB61D3" w:rsidRDefault="18AFC4F1" w:rsidP="00820EE5">
      <w:pPr>
        <w:pStyle w:val="ListParagraph"/>
        <w:numPr>
          <w:ilvl w:val="0"/>
          <w:numId w:val="569"/>
        </w:numPr>
        <w:spacing w:after="0" w:line="276" w:lineRule="auto"/>
        <w:ind w:left="1080"/>
        <w:rPr>
          <w:rFonts w:eastAsia="Arial"/>
          <w:szCs w:val="22"/>
          <w:lang w:val="en-US"/>
        </w:rPr>
      </w:pPr>
      <w:r w:rsidRPr="3FD93375">
        <w:rPr>
          <w:rFonts w:eastAsia="Arial"/>
          <w:szCs w:val="22"/>
          <w:lang w:val="en-US"/>
        </w:rPr>
        <w:t>only approves a second concurrent unit of funding for the Restorative Care Pathway</w:t>
      </w:r>
      <w:r w:rsidR="00CE6C73">
        <w:rPr>
          <w:rStyle w:val="FootnoteReference"/>
          <w:rFonts w:eastAsia="Arial"/>
          <w:szCs w:val="22"/>
          <w:lang w:val="en-US"/>
        </w:rPr>
        <w:footnoteReference w:id="8"/>
      </w:r>
      <w:r w:rsidRPr="3FD93375">
        <w:rPr>
          <w:rFonts w:eastAsia="Arial"/>
          <w:szCs w:val="22"/>
          <w:lang w:val="en-US"/>
        </w:rPr>
        <w:t xml:space="preserve">, or </w:t>
      </w:r>
    </w:p>
    <w:p w14:paraId="3E4B9373" w14:textId="2C9B493C" w:rsidR="00AB61D3" w:rsidRDefault="18AFC4F1" w:rsidP="00820EE5">
      <w:pPr>
        <w:pStyle w:val="ListParagraph"/>
        <w:numPr>
          <w:ilvl w:val="0"/>
          <w:numId w:val="569"/>
        </w:numPr>
        <w:spacing w:after="0" w:line="276" w:lineRule="auto"/>
        <w:ind w:left="1080"/>
        <w:rPr>
          <w:rFonts w:eastAsia="Arial"/>
          <w:szCs w:val="22"/>
          <w:lang w:val="en-US"/>
        </w:rPr>
      </w:pPr>
      <w:r w:rsidRPr="3FD93375">
        <w:rPr>
          <w:rFonts w:eastAsia="Arial"/>
          <w:szCs w:val="22"/>
          <w:lang w:val="en-US"/>
        </w:rPr>
        <w:t>transitions the person back to a previously approved ongoing Support at Home classification after an End-of-Life Pathway finishes, or</w:t>
      </w:r>
    </w:p>
    <w:p w14:paraId="1A2FD3FD" w14:textId="080CDBDB" w:rsidR="00AB61D3" w:rsidRDefault="18AFC4F1" w:rsidP="00820EE5">
      <w:pPr>
        <w:pStyle w:val="ListParagraph"/>
        <w:numPr>
          <w:ilvl w:val="0"/>
          <w:numId w:val="569"/>
        </w:numPr>
        <w:spacing w:after="0" w:line="276" w:lineRule="auto"/>
        <w:ind w:left="1080"/>
        <w:rPr>
          <w:rFonts w:eastAsia="Arial"/>
          <w:b/>
        </w:rPr>
      </w:pPr>
      <w:r w:rsidRPr="5D77092C">
        <w:rPr>
          <w:rFonts w:eastAsia="Arial"/>
        </w:rPr>
        <w:t>is adding a service that is within a service type</w:t>
      </w:r>
      <w:r w:rsidR="001338C9">
        <w:rPr>
          <w:rStyle w:val="FootnoteReference"/>
          <w:rFonts w:eastAsia="Arial"/>
          <w:szCs w:val="22"/>
        </w:rPr>
        <w:footnoteReference w:id="9"/>
      </w:r>
      <w:r w:rsidRPr="5D77092C">
        <w:rPr>
          <w:rFonts w:eastAsia="Arial"/>
        </w:rPr>
        <w:t xml:space="preserve"> that has already been approved </w:t>
      </w:r>
      <w:r w:rsidRPr="5D77092C">
        <w:rPr>
          <w:rFonts w:eastAsia="Arial"/>
          <w:i/>
        </w:rPr>
        <w:t xml:space="preserve">from the perspective of the </w:t>
      </w:r>
      <w:r w:rsidRPr="5D77092C">
        <w:rPr>
          <w:rFonts w:eastAsia="Arial"/>
          <w:i/>
          <w:iCs/>
        </w:rPr>
        <w:t>Ac</w:t>
      </w:r>
      <w:r w:rsidR="71648EC2" w:rsidRPr="5D77092C">
        <w:rPr>
          <w:rFonts w:eastAsia="Arial"/>
          <w:i/>
          <w:iCs/>
        </w:rPr>
        <w:t>t</w:t>
      </w:r>
      <w:r w:rsidR="001338C9">
        <w:rPr>
          <w:rStyle w:val="FootnoteReference"/>
          <w:rFonts w:eastAsia="Arial"/>
          <w:i/>
          <w:iCs/>
          <w:szCs w:val="22"/>
        </w:rPr>
        <w:footnoteReference w:id="10"/>
      </w:r>
      <w:r w:rsidR="42376B7C" w:rsidRPr="5D77092C">
        <w:rPr>
          <w:rFonts w:eastAsia="Arial"/>
        </w:rPr>
        <w:t xml:space="preserve"> </w:t>
      </w:r>
      <w:r w:rsidRPr="5D77092C">
        <w:rPr>
          <w:rFonts w:eastAsia="Arial"/>
        </w:rPr>
        <w:t>unless the service is within one of the prescribed service types (‘Allied health and therapy’ or ‘Therapeutic services for independent living’).</w:t>
      </w:r>
    </w:p>
    <w:p w14:paraId="5DA19910" w14:textId="78524D76" w:rsidR="00AB61D3" w:rsidRDefault="00AB61D3" w:rsidP="3FD93375">
      <w:pPr>
        <w:spacing w:after="0" w:line="276" w:lineRule="auto"/>
        <w:rPr>
          <w:rFonts w:eastAsia="Arial"/>
          <w:b/>
          <w:bCs/>
          <w:szCs w:val="22"/>
        </w:rPr>
      </w:pPr>
    </w:p>
    <w:p w14:paraId="69E54B54" w14:textId="72867D17" w:rsidR="00AB61D3" w:rsidRDefault="18AFC4F1" w:rsidP="00820EE5">
      <w:pPr>
        <w:spacing w:after="0" w:line="276" w:lineRule="auto"/>
        <w:rPr>
          <w:rFonts w:eastAsia="Arial"/>
          <w:b/>
          <w:bCs/>
          <w:szCs w:val="22"/>
        </w:rPr>
      </w:pPr>
      <w:r w:rsidRPr="3FD93375">
        <w:rPr>
          <w:rFonts w:eastAsia="Arial"/>
          <w:b/>
          <w:bCs/>
          <w:szCs w:val="22"/>
        </w:rPr>
        <w:t>Triage, alternative entry provisions and the NoD</w:t>
      </w:r>
    </w:p>
    <w:p w14:paraId="5AB9F27B" w14:textId="775DC8AC" w:rsidR="00AB61D3" w:rsidRDefault="18AFC4F1" w:rsidP="00820EE5">
      <w:pPr>
        <w:spacing w:before="240" w:after="240" w:line="240" w:lineRule="auto"/>
        <w:rPr>
          <w:rFonts w:eastAsia="Arial"/>
          <w:szCs w:val="22"/>
          <w:lang w:val="en-AU"/>
        </w:rPr>
      </w:pPr>
      <w:r w:rsidRPr="3FD93375">
        <w:rPr>
          <w:rFonts w:eastAsia="Arial"/>
          <w:szCs w:val="22"/>
          <w:lang w:val="en-AU"/>
        </w:rPr>
        <w:t xml:space="preserve">If the older person does not meet eligibility requirements to receive an aged care needs assessment under Section 58 of the Act (i.e., at triage), the </w:t>
      </w:r>
      <w:r w:rsidR="00D5792D">
        <w:rPr>
          <w:rFonts w:eastAsia="Arial"/>
          <w:szCs w:val="22"/>
          <w:lang w:val="en-AU"/>
        </w:rPr>
        <w:t>t</w:t>
      </w:r>
      <w:r w:rsidRPr="3FD93375">
        <w:rPr>
          <w:rFonts w:eastAsia="Arial"/>
          <w:szCs w:val="22"/>
          <w:lang w:val="en-AU"/>
        </w:rPr>
        <w:t xml:space="preserve">riage </w:t>
      </w:r>
      <w:r w:rsidR="00D5792D">
        <w:rPr>
          <w:rFonts w:eastAsia="Arial"/>
          <w:szCs w:val="22"/>
          <w:lang w:val="en-AU"/>
        </w:rPr>
        <w:t>d</w:t>
      </w:r>
      <w:r w:rsidRPr="3FD93375">
        <w:rPr>
          <w:rFonts w:eastAsia="Arial"/>
          <w:szCs w:val="22"/>
          <w:lang w:val="en-AU"/>
        </w:rPr>
        <w:t xml:space="preserve">elegate should prepare a </w:t>
      </w:r>
      <w:r w:rsidRPr="3FD93375">
        <w:rPr>
          <w:rFonts w:eastAsia="Arial"/>
          <w:b/>
          <w:bCs/>
          <w:szCs w:val="22"/>
          <w:lang w:val="en-AU"/>
        </w:rPr>
        <w:t>Notice of Decision – Not eligible for assessment</w:t>
      </w:r>
      <w:r w:rsidRPr="3FD93375">
        <w:rPr>
          <w:rFonts w:eastAsia="Arial"/>
          <w:szCs w:val="22"/>
          <w:lang w:val="en-AU"/>
        </w:rPr>
        <w:t xml:space="preserve"> letter and complete </w:t>
      </w:r>
      <w:r w:rsidR="00D5792D">
        <w:rPr>
          <w:rFonts w:eastAsia="Arial"/>
          <w:szCs w:val="22"/>
          <w:lang w:val="en-AU"/>
        </w:rPr>
        <w:t xml:space="preserve">it </w:t>
      </w:r>
      <w:r w:rsidRPr="3FD93375">
        <w:rPr>
          <w:rFonts w:eastAsia="Arial"/>
          <w:szCs w:val="22"/>
          <w:lang w:val="en-AU"/>
        </w:rPr>
        <w:t>in line with the instructions within the letter.</w:t>
      </w:r>
    </w:p>
    <w:p w14:paraId="2F105BA1" w14:textId="3B043EA9" w:rsidR="00AB61D3" w:rsidRDefault="18AFC4F1" w:rsidP="00820EE5">
      <w:pPr>
        <w:spacing w:before="240" w:after="240" w:line="240" w:lineRule="auto"/>
        <w:rPr>
          <w:rFonts w:eastAsia="Arial"/>
          <w:szCs w:val="22"/>
          <w:lang w:val="en-US"/>
        </w:rPr>
      </w:pPr>
      <w:r w:rsidRPr="3FD93375">
        <w:rPr>
          <w:rFonts w:eastAsia="Arial"/>
          <w:szCs w:val="22"/>
          <w:lang w:val="en-US"/>
        </w:rPr>
        <w:t xml:space="preserve">If a </w:t>
      </w:r>
      <w:r w:rsidR="00D5792D">
        <w:rPr>
          <w:rFonts w:eastAsia="Arial"/>
          <w:szCs w:val="22"/>
          <w:lang w:val="en-US"/>
        </w:rPr>
        <w:t>t</w:t>
      </w:r>
      <w:r w:rsidRPr="3FD93375">
        <w:rPr>
          <w:rFonts w:eastAsia="Arial"/>
          <w:szCs w:val="22"/>
          <w:lang w:val="en-US"/>
        </w:rPr>
        <w:t xml:space="preserve">riage </w:t>
      </w:r>
      <w:r w:rsidR="00D5792D">
        <w:rPr>
          <w:rFonts w:eastAsia="Arial"/>
          <w:szCs w:val="22"/>
          <w:lang w:val="en-US"/>
        </w:rPr>
        <w:t>d</w:t>
      </w:r>
      <w:r w:rsidRPr="3FD93375">
        <w:rPr>
          <w:rFonts w:eastAsia="Arial"/>
          <w:szCs w:val="22"/>
          <w:lang w:val="en-US"/>
        </w:rPr>
        <w:t>elegate makes a referral for urgent services through the alternative entry provisions under Section 71 of the Act</w:t>
      </w:r>
      <w:r w:rsidRPr="00665DC1">
        <w:rPr>
          <w:rFonts w:eastAsia="Arial"/>
          <w:szCs w:val="22"/>
          <w:lang w:val="en-US"/>
        </w:rPr>
        <w:t xml:space="preserve"> (refer to section 3.2 of this manual)</w:t>
      </w:r>
      <w:r w:rsidRPr="3FD93375">
        <w:rPr>
          <w:rFonts w:eastAsia="Arial"/>
          <w:szCs w:val="22"/>
          <w:lang w:val="en-US"/>
        </w:rPr>
        <w:t xml:space="preserve">, they do not need to generate a NoD at that point in the process. Once the assessment is complete, the </w:t>
      </w:r>
      <w:r w:rsidR="002C33B4">
        <w:rPr>
          <w:rFonts w:eastAsia="Arial"/>
          <w:szCs w:val="22"/>
          <w:lang w:val="en-US"/>
        </w:rPr>
        <w:t>a</w:t>
      </w:r>
      <w:r w:rsidRPr="3FD93375">
        <w:rPr>
          <w:rFonts w:eastAsia="Arial"/>
          <w:szCs w:val="22"/>
          <w:lang w:val="en-US"/>
        </w:rPr>
        <w:t xml:space="preserve">ssessment </w:t>
      </w:r>
      <w:r w:rsidR="002C33B4">
        <w:rPr>
          <w:rFonts w:eastAsia="Arial"/>
          <w:szCs w:val="22"/>
          <w:lang w:val="en-US"/>
        </w:rPr>
        <w:t>d</w:t>
      </w:r>
      <w:r w:rsidRPr="3FD93375">
        <w:rPr>
          <w:rFonts w:eastAsia="Arial"/>
          <w:szCs w:val="22"/>
          <w:lang w:val="en-US"/>
        </w:rPr>
        <w:t xml:space="preserve">elegate will generate the NoD covering approvals for these services. </w:t>
      </w:r>
    </w:p>
    <w:p w14:paraId="574596B8" w14:textId="21D686A8" w:rsidR="00AB61D3" w:rsidRDefault="18AFC4F1" w:rsidP="00820EE5">
      <w:pPr>
        <w:spacing w:before="240" w:after="240" w:line="240" w:lineRule="auto"/>
        <w:rPr>
          <w:rFonts w:eastAsia="Arial"/>
          <w:szCs w:val="22"/>
          <w:lang w:val="en-US"/>
        </w:rPr>
      </w:pPr>
      <w:r w:rsidRPr="3FD93375">
        <w:rPr>
          <w:rFonts w:eastAsia="Arial"/>
          <w:szCs w:val="22"/>
          <w:lang w:val="en-US"/>
        </w:rPr>
        <w:t xml:space="preserve">If the older person does not meet the eligibility </w:t>
      </w:r>
      <w:r w:rsidRPr="007F3C20">
        <w:rPr>
          <w:rFonts w:eastAsia="Arial"/>
          <w:szCs w:val="22"/>
          <w:lang w:val="en-AU"/>
        </w:rPr>
        <w:t>requirements</w:t>
      </w:r>
      <w:r w:rsidRPr="3FD93375">
        <w:rPr>
          <w:rFonts w:eastAsia="Arial"/>
          <w:szCs w:val="22"/>
          <w:lang w:val="en-US"/>
        </w:rPr>
        <w:t xml:space="preserve"> under Section 65 of the Act, they are not eligible to receive the service provided through an alternative entry pathway under section 71 of the Act. The </w:t>
      </w:r>
      <w:r w:rsidR="002C33B4">
        <w:rPr>
          <w:rFonts w:eastAsia="Arial"/>
          <w:szCs w:val="22"/>
          <w:lang w:val="en-US"/>
        </w:rPr>
        <w:t>a</w:t>
      </w:r>
      <w:r w:rsidRPr="3FD93375">
        <w:rPr>
          <w:rFonts w:eastAsia="Arial"/>
          <w:szCs w:val="22"/>
          <w:lang w:val="en-US"/>
        </w:rPr>
        <w:t xml:space="preserve">ssessment </w:t>
      </w:r>
      <w:r w:rsidR="002C33B4">
        <w:rPr>
          <w:rFonts w:eastAsia="Arial"/>
          <w:szCs w:val="22"/>
          <w:lang w:val="en-US"/>
        </w:rPr>
        <w:t>d</w:t>
      </w:r>
      <w:r w:rsidRPr="3FD93375">
        <w:rPr>
          <w:rFonts w:eastAsia="Arial"/>
          <w:szCs w:val="22"/>
          <w:lang w:val="en-US"/>
        </w:rPr>
        <w:t xml:space="preserve">elegate must apply the Act’s eligibility criteria when making their decision and, if required, not approve the service at the time of assessment. </w:t>
      </w:r>
    </w:p>
    <w:p w14:paraId="73DB9F40" w14:textId="55A2F23E" w:rsidR="00AB61D3" w:rsidRDefault="00AB61D3" w:rsidP="00820EE5">
      <w:pPr>
        <w:spacing w:after="0" w:line="240" w:lineRule="auto"/>
      </w:pPr>
    </w:p>
    <w:p w14:paraId="4C1EAFA2" w14:textId="0A581988" w:rsidR="00AB61D3" w:rsidRDefault="00AB61D3" w:rsidP="00820EE5">
      <w:pPr>
        <w:spacing w:after="0" w:line="278" w:lineRule="auto"/>
        <w:rPr>
          <w:rFonts w:eastAsia="Arial"/>
          <w:sz w:val="20"/>
          <w:szCs w:val="20"/>
        </w:rPr>
      </w:pPr>
    </w:p>
    <w:p w14:paraId="5A81F98A" w14:textId="2FB19290" w:rsidR="00AB61D3" w:rsidRDefault="00AB61D3" w:rsidP="003E3F49">
      <w:pPr>
        <w:spacing w:after="0" w:line="240" w:lineRule="auto"/>
      </w:pPr>
    </w:p>
    <w:p w14:paraId="32241534" w14:textId="47519CA2" w:rsidR="00AB61D3" w:rsidRPr="0069204E" w:rsidRDefault="00AB61D3" w:rsidP="00C56CEC">
      <w:pPr>
        <w:pStyle w:val="H3"/>
      </w:pPr>
      <w:r w:rsidRPr="0069204E">
        <w:t xml:space="preserve"> </w:t>
      </w:r>
      <w:r w:rsidR="53965884" w:rsidRPr="3FD93375">
        <w:t>Notice of Decision templates</w:t>
      </w:r>
    </w:p>
    <w:p w14:paraId="2CCDAE0B" w14:textId="17D23FE3" w:rsidR="57F5CCDC" w:rsidRDefault="00E63830" w:rsidP="3FD93375">
      <w:pPr>
        <w:spacing w:before="240" w:after="240"/>
        <w:rPr>
          <w:rFonts w:eastAsia="Arial"/>
          <w:szCs w:val="22"/>
          <w:lang w:val="en-AU"/>
        </w:rPr>
      </w:pPr>
      <w:r w:rsidRPr="00E63830">
        <w:rPr>
          <w:rFonts w:eastAsia="Yu Gothic Light"/>
          <w:noProof/>
        </w:rPr>
        <w:t xml:space="preserve"> </w:t>
      </w:r>
      <w:r>
        <w:rPr>
          <w:rFonts w:eastAsia="Yu Gothic Light"/>
          <w:noProof/>
        </w:rPr>
        <w:drawing>
          <wp:inline distT="0" distB="0" distL="0" distR="0" wp14:anchorId="584344A4" wp14:editId="27AD29C6">
            <wp:extent cx="457200" cy="506095"/>
            <wp:effectExtent l="0" t="0" r="0" b="8255"/>
            <wp:docPr id="1530504189" name="Picture 153050418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11E65C1A" w:rsidRPr="3FD93375">
        <w:rPr>
          <w:rFonts w:eastAsia="Arial"/>
          <w:szCs w:val="22"/>
          <w:lang w:val="en-AU"/>
        </w:rPr>
        <w:t xml:space="preserve"> NoD templates can be generated in the My Aged Care Assessor Portal after </w:t>
      </w:r>
      <w:r w:rsidR="00C83648">
        <w:rPr>
          <w:rFonts w:eastAsia="Arial"/>
          <w:szCs w:val="22"/>
          <w:lang w:val="en-AU"/>
        </w:rPr>
        <w:t>a</w:t>
      </w:r>
      <w:r w:rsidR="11E65C1A" w:rsidRPr="3FD93375">
        <w:rPr>
          <w:rFonts w:eastAsia="Arial"/>
          <w:szCs w:val="22"/>
          <w:lang w:val="en-AU"/>
        </w:rPr>
        <w:t xml:space="preserve">ssessment </w:t>
      </w:r>
      <w:r w:rsidR="00C83648">
        <w:rPr>
          <w:rFonts w:eastAsia="Arial"/>
          <w:szCs w:val="22"/>
          <w:lang w:val="en-AU"/>
        </w:rPr>
        <w:t>d</w:t>
      </w:r>
      <w:r w:rsidR="11E65C1A" w:rsidRPr="3FD93375">
        <w:rPr>
          <w:rFonts w:eastAsia="Arial"/>
          <w:szCs w:val="22"/>
          <w:lang w:val="en-AU"/>
        </w:rPr>
        <w:t>elegate decisions have been made and recorded. Much of the critical information is pre-populated and the templates include detailed guidance on how to complete a legally compliant letter.</w:t>
      </w:r>
    </w:p>
    <w:p w14:paraId="7D880F04" w14:textId="2107EFDD" w:rsidR="11E65C1A" w:rsidRDefault="11E65C1A" w:rsidP="003E3F49">
      <w:pPr>
        <w:spacing w:before="240" w:after="240"/>
        <w:rPr>
          <w:rFonts w:eastAsia="Arial"/>
          <w:szCs w:val="22"/>
          <w:lang w:val="en-AU"/>
        </w:rPr>
      </w:pPr>
      <w:r w:rsidRPr="3FD93375">
        <w:rPr>
          <w:rFonts w:eastAsia="Arial"/>
          <w:szCs w:val="22"/>
          <w:lang w:val="en-AU"/>
        </w:rPr>
        <w:t>There are two NoD templates:</w:t>
      </w:r>
    </w:p>
    <w:p w14:paraId="2C9ABBAE" w14:textId="7D6A0B39" w:rsidR="11E65C1A" w:rsidRDefault="11E65C1A" w:rsidP="003E3F49">
      <w:pPr>
        <w:pStyle w:val="ListParagraph"/>
        <w:numPr>
          <w:ilvl w:val="0"/>
          <w:numId w:val="567"/>
        </w:numPr>
        <w:spacing w:after="0"/>
        <w:rPr>
          <w:rFonts w:eastAsia="Arial"/>
          <w:szCs w:val="22"/>
          <w:lang w:val="en-AU"/>
        </w:rPr>
      </w:pPr>
      <w:r w:rsidRPr="3FD93375">
        <w:rPr>
          <w:rFonts w:eastAsia="Arial"/>
          <w:b/>
          <w:bCs/>
          <w:szCs w:val="22"/>
          <w:lang w:val="en-AU"/>
        </w:rPr>
        <w:t>Approval letter</w:t>
      </w:r>
      <w:r w:rsidRPr="3FD93375">
        <w:rPr>
          <w:rFonts w:eastAsia="Arial"/>
          <w:szCs w:val="22"/>
          <w:lang w:val="en-AU"/>
        </w:rPr>
        <w:t>:</w:t>
      </w:r>
    </w:p>
    <w:p w14:paraId="0C3A194D" w14:textId="20BAD45D" w:rsidR="11E65C1A" w:rsidRDefault="11E65C1A" w:rsidP="003E3F49">
      <w:pPr>
        <w:pStyle w:val="ListParagraph"/>
        <w:numPr>
          <w:ilvl w:val="1"/>
          <w:numId w:val="566"/>
        </w:numPr>
        <w:spacing w:after="0"/>
        <w:rPr>
          <w:rFonts w:eastAsia="Arial"/>
          <w:szCs w:val="22"/>
        </w:rPr>
      </w:pPr>
      <w:r w:rsidRPr="3FD93375">
        <w:rPr>
          <w:rFonts w:eastAsia="Arial"/>
          <w:szCs w:val="22"/>
        </w:rPr>
        <w:t>Used when the Assessment Delegate is approving access to any services – even if some of the services recommended have not been approved.</w:t>
      </w:r>
    </w:p>
    <w:p w14:paraId="0C9D6946" w14:textId="62EA0698" w:rsidR="11E65C1A" w:rsidRDefault="11E65C1A" w:rsidP="003E3F49">
      <w:pPr>
        <w:pStyle w:val="ListParagraph"/>
        <w:numPr>
          <w:ilvl w:val="0"/>
          <w:numId w:val="565"/>
        </w:numPr>
        <w:spacing w:after="0"/>
        <w:rPr>
          <w:rFonts w:eastAsia="Arial"/>
          <w:szCs w:val="22"/>
          <w:lang w:val="en-AU"/>
        </w:rPr>
      </w:pPr>
      <w:r w:rsidRPr="3FD93375">
        <w:rPr>
          <w:rFonts w:eastAsia="Arial"/>
          <w:b/>
          <w:bCs/>
          <w:szCs w:val="22"/>
          <w:lang w:val="en-AU"/>
        </w:rPr>
        <w:t>Non-approval letter</w:t>
      </w:r>
      <w:r w:rsidRPr="3FD93375">
        <w:rPr>
          <w:rFonts w:eastAsia="Arial"/>
          <w:szCs w:val="22"/>
          <w:lang w:val="en-AU"/>
        </w:rPr>
        <w:t xml:space="preserve">: </w:t>
      </w:r>
    </w:p>
    <w:p w14:paraId="4D5B193B" w14:textId="2EB72D54" w:rsidR="11E65C1A" w:rsidRDefault="11E65C1A" w:rsidP="003E3F49">
      <w:pPr>
        <w:pStyle w:val="ListParagraph"/>
        <w:numPr>
          <w:ilvl w:val="1"/>
          <w:numId w:val="566"/>
        </w:numPr>
        <w:spacing w:after="0"/>
        <w:rPr>
          <w:rFonts w:eastAsia="Arial"/>
          <w:szCs w:val="22"/>
        </w:rPr>
      </w:pPr>
      <w:r w:rsidRPr="3FD93375">
        <w:rPr>
          <w:rFonts w:eastAsia="Arial"/>
          <w:szCs w:val="22"/>
        </w:rPr>
        <w:t xml:space="preserve">Used after initial assessment, when the assessment delegate is not approving the older person for access to </w:t>
      </w:r>
      <w:r w:rsidRPr="3FD93375">
        <w:rPr>
          <w:rFonts w:eastAsia="Arial"/>
          <w:i/>
          <w:iCs/>
          <w:szCs w:val="22"/>
        </w:rPr>
        <w:t>any services at all.</w:t>
      </w:r>
      <w:r w:rsidRPr="3FD93375">
        <w:rPr>
          <w:rFonts w:eastAsia="Arial"/>
          <w:szCs w:val="22"/>
        </w:rPr>
        <w:t xml:space="preserve"> </w:t>
      </w:r>
    </w:p>
    <w:p w14:paraId="49DBB66E" w14:textId="2C45CB46" w:rsidR="11E65C1A" w:rsidRDefault="11E65C1A" w:rsidP="003E3F49">
      <w:pPr>
        <w:pStyle w:val="ListParagraph"/>
        <w:numPr>
          <w:ilvl w:val="1"/>
          <w:numId w:val="566"/>
        </w:numPr>
        <w:spacing w:after="0"/>
        <w:rPr>
          <w:rFonts w:eastAsia="Arial"/>
          <w:i/>
          <w:iCs/>
          <w:szCs w:val="22"/>
        </w:rPr>
      </w:pPr>
      <w:r w:rsidRPr="3FD93375">
        <w:rPr>
          <w:rFonts w:eastAsia="Arial"/>
          <w:szCs w:val="22"/>
        </w:rPr>
        <w:t xml:space="preserve">After Reassessment or SPR when the assessment delegate is not approving the older person to access </w:t>
      </w:r>
      <w:r w:rsidRPr="3FD93375">
        <w:rPr>
          <w:rFonts w:eastAsia="Arial"/>
          <w:i/>
          <w:iCs/>
          <w:szCs w:val="22"/>
        </w:rPr>
        <w:t>any additional services.</w:t>
      </w:r>
    </w:p>
    <w:p w14:paraId="0A21D501" w14:textId="1F13F235" w:rsidR="11E65C1A" w:rsidRDefault="11E65C1A" w:rsidP="00754510">
      <w:pPr>
        <w:spacing w:before="240" w:after="240"/>
        <w:rPr>
          <w:rFonts w:eastAsia="Arial"/>
          <w:szCs w:val="22"/>
          <w:lang w:val="en-US"/>
        </w:rPr>
      </w:pPr>
      <w:r w:rsidRPr="3FD93375">
        <w:rPr>
          <w:rFonts w:eastAsia="Arial"/>
          <w:szCs w:val="22"/>
          <w:lang w:val="en-US"/>
        </w:rPr>
        <w:t>If a reassessment does not add any new approvals and existing approvals remain unchanged, the system will prompt the delegate to generate a non-approval letter only. This does not affect the client’s current approvals. The non-approval letter simply confirms that no additional services were approved during the reassessment or SPR.</w:t>
      </w:r>
    </w:p>
    <w:p w14:paraId="6BAED17B" w14:textId="2BE4B123" w:rsidR="11E65C1A" w:rsidRDefault="11E65C1A" w:rsidP="00754510">
      <w:pPr>
        <w:spacing w:before="240" w:after="0"/>
        <w:rPr>
          <w:rFonts w:eastAsia="Arial"/>
          <w:b/>
          <w:bCs/>
          <w:szCs w:val="22"/>
        </w:rPr>
      </w:pPr>
      <w:r w:rsidRPr="3FD93375">
        <w:rPr>
          <w:rFonts w:eastAsia="Arial"/>
          <w:b/>
          <w:bCs/>
          <w:szCs w:val="22"/>
        </w:rPr>
        <w:t>System generated NoD letters for CHSP only approvals</w:t>
      </w:r>
    </w:p>
    <w:p w14:paraId="69F05793" w14:textId="33688F61" w:rsidR="11E65C1A" w:rsidRDefault="11E65C1A" w:rsidP="00754510">
      <w:pPr>
        <w:spacing w:before="240" w:after="240"/>
        <w:rPr>
          <w:rFonts w:eastAsia="Arial"/>
          <w:szCs w:val="22"/>
          <w:lang w:val="en-US"/>
        </w:rPr>
      </w:pPr>
      <w:r w:rsidRPr="3FD93375">
        <w:rPr>
          <w:rFonts w:eastAsia="Arial"/>
          <w:szCs w:val="22"/>
          <w:lang w:val="en-US"/>
        </w:rPr>
        <w:t xml:space="preserve">As part of the phased digital delivery process, both clinical and </w:t>
      </w:r>
      <w:r w:rsidR="00741AC1">
        <w:rPr>
          <w:rFonts w:eastAsia="Arial"/>
          <w:szCs w:val="22"/>
          <w:lang w:val="en-US"/>
        </w:rPr>
        <w:t>n</w:t>
      </w:r>
      <w:r w:rsidRPr="3FD93375">
        <w:rPr>
          <w:rFonts w:eastAsia="Arial"/>
          <w:szCs w:val="22"/>
          <w:lang w:val="en-US"/>
        </w:rPr>
        <w:t xml:space="preserve">on-clinical </w:t>
      </w:r>
      <w:r w:rsidR="00741AC1">
        <w:rPr>
          <w:rFonts w:eastAsia="Arial"/>
          <w:szCs w:val="22"/>
          <w:lang w:val="en-US"/>
        </w:rPr>
        <w:t>a</w:t>
      </w:r>
      <w:r w:rsidRPr="3FD93375">
        <w:rPr>
          <w:rFonts w:eastAsia="Arial"/>
          <w:szCs w:val="22"/>
          <w:lang w:val="en-US"/>
        </w:rPr>
        <w:t xml:space="preserve">ssessment </w:t>
      </w:r>
      <w:r w:rsidR="00741AC1">
        <w:rPr>
          <w:rFonts w:eastAsia="Arial"/>
          <w:szCs w:val="22"/>
          <w:lang w:val="en-US"/>
        </w:rPr>
        <w:t>d</w:t>
      </w:r>
      <w:r w:rsidRPr="3FD93375">
        <w:rPr>
          <w:rFonts w:eastAsia="Arial"/>
          <w:szCs w:val="22"/>
          <w:lang w:val="en-US"/>
        </w:rPr>
        <w:t xml:space="preserve">elegates were previously required to produce the NoD ‘off-line’ (without system automation) for CHSP only approvals. </w:t>
      </w:r>
    </w:p>
    <w:p w14:paraId="225FC400" w14:textId="41145898" w:rsidR="11E65C1A" w:rsidRDefault="11E65C1A" w:rsidP="00754510">
      <w:pPr>
        <w:spacing w:before="240" w:after="240"/>
        <w:rPr>
          <w:rFonts w:eastAsia="Arial"/>
          <w:szCs w:val="22"/>
          <w:lang w:val="en-US"/>
        </w:rPr>
      </w:pPr>
      <w:r w:rsidRPr="3FD93375">
        <w:rPr>
          <w:rFonts w:eastAsia="Arial"/>
          <w:szCs w:val="22"/>
          <w:lang w:val="en-US"/>
        </w:rPr>
        <w:t>Assessors can</w:t>
      </w:r>
      <w:r w:rsidR="00527943">
        <w:rPr>
          <w:rFonts w:eastAsia="Arial"/>
          <w:szCs w:val="22"/>
          <w:lang w:val="en-US"/>
        </w:rPr>
        <w:t xml:space="preserve"> now</w:t>
      </w:r>
      <w:r w:rsidRPr="3FD93375">
        <w:rPr>
          <w:rFonts w:eastAsia="Arial"/>
          <w:szCs w:val="22"/>
          <w:lang w:val="en-US"/>
        </w:rPr>
        <w:t xml:space="preserve"> generate or upload NoD letters directly in the My Aged Care assessor portal and the Aged Care Assessor App after completing a Support Plan with an Integrated Assessment Tool (IAT) outcome of CHSP or Ineligible for CHSP/SaH. Three buttons appear:</w:t>
      </w:r>
    </w:p>
    <w:p w14:paraId="13FCE0E2" w14:textId="682A247C" w:rsidR="11E65C1A" w:rsidRDefault="11E65C1A" w:rsidP="00D04237">
      <w:pPr>
        <w:pStyle w:val="ListParagraph"/>
        <w:numPr>
          <w:ilvl w:val="0"/>
          <w:numId w:val="563"/>
        </w:numPr>
        <w:spacing w:after="0"/>
        <w:rPr>
          <w:rFonts w:eastAsia="Arial"/>
          <w:szCs w:val="22"/>
        </w:rPr>
      </w:pPr>
      <w:r w:rsidRPr="3FD93375">
        <w:rPr>
          <w:rFonts w:eastAsia="Arial"/>
          <w:szCs w:val="22"/>
        </w:rPr>
        <w:t xml:space="preserve">Generate Approval Letter – use this if the client is being approved to access CHSP services. </w:t>
      </w:r>
    </w:p>
    <w:p w14:paraId="152F62AE" w14:textId="429731D2" w:rsidR="11E65C1A" w:rsidRDefault="11E65C1A" w:rsidP="00D04237">
      <w:pPr>
        <w:pStyle w:val="ListParagraph"/>
        <w:numPr>
          <w:ilvl w:val="0"/>
          <w:numId w:val="563"/>
        </w:numPr>
        <w:spacing w:after="0"/>
        <w:rPr>
          <w:rFonts w:eastAsia="Arial"/>
          <w:szCs w:val="22"/>
        </w:rPr>
      </w:pPr>
      <w:r w:rsidRPr="3FD93375">
        <w:rPr>
          <w:rFonts w:eastAsia="Arial"/>
          <w:szCs w:val="22"/>
        </w:rPr>
        <w:t>Generate Non</w:t>
      </w:r>
      <w:r w:rsidRPr="3FD93375">
        <w:rPr>
          <w:rFonts w:ascii="Cambria Math" w:eastAsia="Cambria Math" w:hAnsi="Cambria Math" w:cs="Cambria Math"/>
          <w:szCs w:val="22"/>
        </w:rPr>
        <w:t>‑</w:t>
      </w:r>
      <w:r w:rsidRPr="3FD93375">
        <w:rPr>
          <w:rFonts w:eastAsia="Arial"/>
          <w:szCs w:val="22"/>
        </w:rPr>
        <w:t>Approval Letter – use this if the IAT outcome displays ‘Not eligible for CHSP/SaH’ as the client is ineligible for ongoing home support services and/or the client is not being approved for any services.</w:t>
      </w:r>
    </w:p>
    <w:p w14:paraId="7D2DA14A" w14:textId="76290A39" w:rsidR="11E65C1A" w:rsidRDefault="11E65C1A" w:rsidP="00D04237">
      <w:pPr>
        <w:pStyle w:val="ListParagraph"/>
        <w:numPr>
          <w:ilvl w:val="0"/>
          <w:numId w:val="563"/>
        </w:numPr>
        <w:spacing w:after="0"/>
        <w:rPr>
          <w:rFonts w:eastAsia="Arial"/>
          <w:szCs w:val="22"/>
        </w:rPr>
      </w:pPr>
      <w:r w:rsidRPr="3FD93375">
        <w:rPr>
          <w:rFonts w:eastAsia="Arial"/>
          <w:szCs w:val="22"/>
        </w:rPr>
        <w:t>Upload Approval/Non</w:t>
      </w:r>
      <w:r w:rsidRPr="3FD93375">
        <w:rPr>
          <w:rFonts w:ascii="Cambria Math" w:eastAsia="Cambria Math" w:hAnsi="Cambria Math" w:cs="Cambria Math"/>
          <w:szCs w:val="22"/>
        </w:rPr>
        <w:t>‑</w:t>
      </w:r>
      <w:r w:rsidRPr="3FD93375">
        <w:rPr>
          <w:rFonts w:eastAsia="Arial"/>
          <w:szCs w:val="22"/>
        </w:rPr>
        <w:t>Approval Letter - use this after you have generated and edited the relevant letter so that it is saved to the client’s record.</w:t>
      </w:r>
    </w:p>
    <w:p w14:paraId="083D0FD3" w14:textId="7E8DE106" w:rsidR="11E65C1A" w:rsidRDefault="11E65C1A" w:rsidP="00D04237">
      <w:pPr>
        <w:spacing w:before="240" w:after="240"/>
        <w:rPr>
          <w:rFonts w:eastAsia="Arial"/>
          <w:szCs w:val="22"/>
          <w:lang w:val="en-US"/>
        </w:rPr>
      </w:pPr>
      <w:r w:rsidRPr="3FD93375">
        <w:rPr>
          <w:rFonts w:eastAsia="Arial"/>
          <w:szCs w:val="22"/>
          <w:lang w:val="en-US"/>
        </w:rPr>
        <w:t>The system auto</w:t>
      </w:r>
      <w:r w:rsidRPr="3FD93375">
        <w:rPr>
          <w:rFonts w:ascii="Cambria Math" w:eastAsia="Cambria Math" w:hAnsi="Cambria Math" w:cs="Cambria Math"/>
          <w:szCs w:val="22"/>
          <w:lang w:val="en-US"/>
        </w:rPr>
        <w:t>‑</w:t>
      </w:r>
      <w:r w:rsidRPr="3FD93375">
        <w:rPr>
          <w:rFonts w:eastAsia="Arial"/>
          <w:szCs w:val="22"/>
          <w:lang w:val="en-US"/>
        </w:rPr>
        <w:t xml:space="preserve">populates client and delegate details and shows placeholders if anything is missing. Reasons for decisions are now selected within the NoD template, and the </w:t>
      </w:r>
      <w:r w:rsidR="00B76F71">
        <w:rPr>
          <w:rFonts w:eastAsia="Arial"/>
          <w:szCs w:val="22"/>
          <w:lang w:val="en-US"/>
        </w:rPr>
        <w:t>c</w:t>
      </w:r>
      <w:r w:rsidRPr="3FD93375">
        <w:rPr>
          <w:rFonts w:eastAsia="Arial"/>
          <w:szCs w:val="22"/>
          <w:lang w:val="en-US"/>
        </w:rPr>
        <w:t xml:space="preserve">linical </w:t>
      </w:r>
      <w:r w:rsidR="00B76F71">
        <w:rPr>
          <w:rFonts w:eastAsia="Arial"/>
          <w:szCs w:val="22"/>
          <w:lang w:val="en-US"/>
        </w:rPr>
        <w:t>a</w:t>
      </w:r>
      <w:r w:rsidRPr="3FD93375">
        <w:rPr>
          <w:rFonts w:eastAsia="Arial"/>
          <w:szCs w:val="22"/>
          <w:lang w:val="en-US"/>
        </w:rPr>
        <w:t xml:space="preserve">ssessment </w:t>
      </w:r>
      <w:r w:rsidR="00B76F71">
        <w:rPr>
          <w:rFonts w:eastAsia="Arial"/>
          <w:szCs w:val="22"/>
          <w:lang w:val="en-US"/>
        </w:rPr>
        <w:t>d</w:t>
      </w:r>
      <w:r w:rsidRPr="3FD93375">
        <w:rPr>
          <w:rFonts w:eastAsia="Arial"/>
          <w:szCs w:val="22"/>
          <w:lang w:val="en-US"/>
        </w:rPr>
        <w:t>elegate pop</w:t>
      </w:r>
      <w:r w:rsidRPr="3FD93375">
        <w:rPr>
          <w:rFonts w:ascii="Cambria Math" w:eastAsia="Cambria Math" w:hAnsi="Cambria Math" w:cs="Cambria Math"/>
          <w:szCs w:val="22"/>
          <w:lang w:val="en-US"/>
        </w:rPr>
        <w:t>‑</w:t>
      </w:r>
      <w:r w:rsidRPr="3FD93375">
        <w:rPr>
          <w:rFonts w:eastAsia="Arial"/>
          <w:szCs w:val="22"/>
          <w:lang w:val="en-US"/>
        </w:rPr>
        <w:t>up has been simplified so it only asks to confirm generation. Assessors and assessment delegates must update these letters in line with the instructions provided in the templates.</w:t>
      </w:r>
      <w:r>
        <w:br/>
      </w:r>
      <w:r w:rsidRPr="3FD93375">
        <w:rPr>
          <w:rFonts w:eastAsia="Arial"/>
          <w:szCs w:val="22"/>
          <w:lang w:val="en-US"/>
        </w:rPr>
        <w:t xml:space="preserve"> </w:t>
      </w:r>
      <w:r>
        <w:br/>
      </w:r>
      <w:r w:rsidRPr="3FD93375">
        <w:rPr>
          <w:rFonts w:eastAsia="Arial"/>
          <w:szCs w:val="22"/>
          <w:lang w:val="en-US"/>
        </w:rPr>
        <w:t xml:space="preserve">Ensure the NoD letter is generated before finalising the </w:t>
      </w:r>
      <w:r w:rsidR="004C4242">
        <w:rPr>
          <w:rFonts w:eastAsia="Arial"/>
          <w:szCs w:val="22"/>
          <w:lang w:val="en-US"/>
        </w:rPr>
        <w:t>s</w:t>
      </w:r>
      <w:r w:rsidRPr="3FD93375">
        <w:rPr>
          <w:rFonts w:eastAsia="Arial"/>
          <w:szCs w:val="22"/>
          <w:lang w:val="en-US"/>
        </w:rPr>
        <w:t xml:space="preserve">upport </w:t>
      </w:r>
      <w:r w:rsidR="004C4242">
        <w:rPr>
          <w:rFonts w:eastAsia="Arial"/>
          <w:szCs w:val="22"/>
          <w:lang w:val="en-US"/>
        </w:rPr>
        <w:t>p</w:t>
      </w:r>
      <w:r w:rsidRPr="3FD93375">
        <w:rPr>
          <w:rFonts w:eastAsia="Arial"/>
          <w:szCs w:val="22"/>
          <w:lang w:val="en-US"/>
        </w:rPr>
        <w:t>lan. This enables an assessment delegate to complete and sign the NoD prior to referral codes being issued to the older person or service providers.</w:t>
      </w:r>
    </w:p>
    <w:p w14:paraId="700B72A6" w14:textId="2B87DD4D" w:rsidR="11E65C1A" w:rsidRDefault="11E65C1A" w:rsidP="0032745F">
      <w:pPr>
        <w:spacing w:before="240" w:after="0"/>
        <w:rPr>
          <w:rFonts w:eastAsia="Arial"/>
          <w:b/>
          <w:bCs/>
          <w:szCs w:val="22"/>
        </w:rPr>
      </w:pPr>
      <w:r w:rsidRPr="3FD93375">
        <w:rPr>
          <w:rFonts w:eastAsia="Arial"/>
          <w:b/>
          <w:bCs/>
          <w:szCs w:val="22"/>
        </w:rPr>
        <w:t xml:space="preserve">Support Plan Reviews (SPRs) with an outcome of CHSP-only or ineligible for CHSP/SaH </w:t>
      </w:r>
    </w:p>
    <w:p w14:paraId="04CBE888" w14:textId="619459E9" w:rsidR="11E65C1A" w:rsidRDefault="11E65C1A" w:rsidP="0032745F">
      <w:pPr>
        <w:spacing w:before="240" w:after="240"/>
        <w:rPr>
          <w:rFonts w:eastAsia="Arial"/>
          <w:szCs w:val="22"/>
          <w:lang w:val="en-US"/>
        </w:rPr>
      </w:pPr>
      <w:r w:rsidRPr="3FD93375">
        <w:rPr>
          <w:rFonts w:eastAsia="Arial"/>
          <w:szCs w:val="22"/>
          <w:lang w:val="en-US"/>
        </w:rPr>
        <w:t xml:space="preserve">SPRs with an outcome of CHSP-only or ineligible for CHSP/SaH have a slightly different process for generating the NoD Approval or Non-Approval letter than the assessment or reassessment process outlined above. </w:t>
      </w:r>
      <w:r w:rsidR="008927A2">
        <w:rPr>
          <w:rFonts w:eastAsia="Arial"/>
          <w:szCs w:val="22"/>
          <w:lang w:val="en-US"/>
        </w:rPr>
        <w:t>F</w:t>
      </w:r>
      <w:r w:rsidRPr="3FD93375">
        <w:rPr>
          <w:rFonts w:eastAsia="Arial"/>
          <w:szCs w:val="22"/>
          <w:lang w:val="en-US"/>
        </w:rPr>
        <w:t>ollowing an SPR there are no options to generate the NoD in system until after the SPR has been finalised.</w:t>
      </w:r>
    </w:p>
    <w:p w14:paraId="22B59A9A" w14:textId="75963BB5" w:rsidR="11E65C1A" w:rsidRDefault="11E65C1A" w:rsidP="0032745F">
      <w:pPr>
        <w:spacing w:after="0" w:line="360" w:lineRule="auto"/>
        <w:rPr>
          <w:rFonts w:eastAsia="Arial"/>
          <w:szCs w:val="22"/>
          <w:lang w:val="en-US"/>
        </w:rPr>
      </w:pPr>
      <w:r w:rsidRPr="3FD93375">
        <w:rPr>
          <w:rFonts w:eastAsia="Arial"/>
          <w:szCs w:val="22"/>
          <w:lang w:val="en-US"/>
        </w:rPr>
        <w:t xml:space="preserve">Please refer to the resources below </w:t>
      </w:r>
      <w:r w:rsidR="00E92BAA">
        <w:rPr>
          <w:rFonts w:eastAsia="Arial"/>
          <w:szCs w:val="22"/>
          <w:lang w:val="en-US"/>
        </w:rPr>
        <w:t>which</w:t>
      </w:r>
      <w:r w:rsidR="00A92E35">
        <w:rPr>
          <w:rFonts w:eastAsia="Arial"/>
          <w:szCs w:val="22"/>
          <w:lang w:val="en-US"/>
        </w:rPr>
        <w:t xml:space="preserve"> can be found on the Assess</w:t>
      </w:r>
      <w:r w:rsidR="00A044A1">
        <w:rPr>
          <w:rFonts w:eastAsia="Arial"/>
          <w:szCs w:val="22"/>
          <w:lang w:val="en-US"/>
        </w:rPr>
        <w:t xml:space="preserve">ment </w:t>
      </w:r>
      <w:r w:rsidR="00A92E35">
        <w:rPr>
          <w:rFonts w:eastAsia="Arial"/>
          <w:szCs w:val="22"/>
          <w:lang w:val="en-US"/>
        </w:rPr>
        <w:t>Hub</w:t>
      </w:r>
      <w:r w:rsidR="00A044A1">
        <w:rPr>
          <w:rFonts w:eastAsia="Arial"/>
          <w:szCs w:val="22"/>
          <w:lang w:val="en-US"/>
        </w:rPr>
        <w:t xml:space="preserve"> SharePoint page</w:t>
      </w:r>
      <w:r w:rsidRPr="3FD93375">
        <w:rPr>
          <w:rFonts w:eastAsia="Arial"/>
          <w:szCs w:val="22"/>
          <w:lang w:val="en-US"/>
        </w:rPr>
        <w:t>:</w:t>
      </w:r>
    </w:p>
    <w:p w14:paraId="7E3507B5" w14:textId="10C04FDA" w:rsidR="11E65C1A" w:rsidRDefault="11E65C1A" w:rsidP="0032745F">
      <w:pPr>
        <w:pStyle w:val="ListParagraph"/>
        <w:numPr>
          <w:ilvl w:val="0"/>
          <w:numId w:val="562"/>
        </w:numPr>
        <w:spacing w:after="0" w:line="257" w:lineRule="auto"/>
        <w:rPr>
          <w:rFonts w:eastAsia="Arial"/>
          <w:color w:val="2BB1BB"/>
          <w:szCs w:val="22"/>
          <w:u w:val="single"/>
        </w:rPr>
      </w:pPr>
      <w:r w:rsidRPr="00E92BAA">
        <w:rPr>
          <w:rFonts w:eastAsia="Arial"/>
          <w:szCs w:val="22"/>
        </w:rPr>
        <w:t>Manual Delegate Approval for CHSP - Standard Operating Procedure</w:t>
      </w:r>
    </w:p>
    <w:p w14:paraId="239A6963" w14:textId="2A4F86AE" w:rsidR="11E65C1A" w:rsidRDefault="11E65C1A" w:rsidP="0032745F">
      <w:pPr>
        <w:pStyle w:val="ListParagraph"/>
        <w:numPr>
          <w:ilvl w:val="0"/>
          <w:numId w:val="562"/>
        </w:numPr>
        <w:spacing w:after="0" w:line="257" w:lineRule="auto"/>
        <w:rPr>
          <w:rFonts w:eastAsia="Arial"/>
          <w:color w:val="2BB1BB"/>
          <w:szCs w:val="22"/>
          <w:u w:val="single"/>
        </w:rPr>
      </w:pPr>
      <w:r w:rsidRPr="00E92BAA">
        <w:rPr>
          <w:rFonts w:eastAsia="Arial"/>
          <w:szCs w:val="22"/>
        </w:rPr>
        <w:t>Your guide to changes to letters from 23 February 2026 - Video Slides</w:t>
      </w:r>
    </w:p>
    <w:p w14:paraId="2FDF7135" w14:textId="37BC020C" w:rsidR="11E65C1A" w:rsidRDefault="11E65C1A" w:rsidP="004F7FEF">
      <w:pPr>
        <w:spacing w:line="360" w:lineRule="auto"/>
        <w:ind w:left="720"/>
        <w:rPr>
          <w:rFonts w:eastAsia="Arial"/>
          <w:szCs w:val="22"/>
        </w:rPr>
      </w:pPr>
      <w:r w:rsidRPr="3FD93375">
        <w:rPr>
          <w:rFonts w:eastAsia="Arial"/>
          <w:szCs w:val="22"/>
        </w:rPr>
        <w:t xml:space="preserve"> </w:t>
      </w:r>
    </w:p>
    <w:p w14:paraId="64D61ADA" w14:textId="02F11E4A" w:rsidR="11E65C1A" w:rsidRPr="00400BD3" w:rsidRDefault="11E65C1A" w:rsidP="004F7FEF">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b/>
          <w:color w:val="000000" w:themeColor="text1"/>
          <w:szCs w:val="22"/>
          <w:lang w:val="en-US"/>
        </w:rPr>
      </w:pPr>
      <w:r w:rsidRPr="00400BD3">
        <w:rPr>
          <w:rFonts w:eastAsia="Arial"/>
          <w:b/>
          <w:color w:val="000000" w:themeColor="text1"/>
          <w:szCs w:val="22"/>
          <w:lang w:val="en-US"/>
        </w:rPr>
        <w:t>IMPORTANT</w:t>
      </w:r>
    </w:p>
    <w:p w14:paraId="6216C495" w14:textId="68F1C98B" w:rsidR="11E65C1A" w:rsidRDefault="11E65C1A" w:rsidP="004F7FEF">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Despite this difference in process flow, it is essential that referral codes are not provided to the client before the NoD is generated. If referral codes are issued to the older person and/or providers before a NoD is finalised—and a NoD is subsequently not issued—this may invalidate the assessment outcome. The NoD is the formal legal instrument that records the System Governor’s decision for a client to receive a funded aged care service, and it must always be generated before any referral codes are released.</w:t>
      </w:r>
    </w:p>
    <w:p w14:paraId="7A1F38B0" w14:textId="4E997060" w:rsidR="6C3BA5C0" w:rsidRDefault="6C3BA5C0" w:rsidP="00C56CEC">
      <w:pPr>
        <w:pStyle w:val="H3"/>
        <w:rPr>
          <w:rFonts w:eastAsia="Arial"/>
        </w:rPr>
      </w:pPr>
      <w:r w:rsidRPr="004F7FEF">
        <w:t>Completing an NoD</w:t>
      </w:r>
    </w:p>
    <w:p w14:paraId="73454B73" w14:textId="6FDFD027" w:rsidR="6C3BA5C0" w:rsidRDefault="00217030" w:rsidP="004F7FEF">
      <w:pPr>
        <w:spacing w:line="257" w:lineRule="auto"/>
        <w:rPr>
          <w:rFonts w:eastAsia="Arial"/>
          <w:szCs w:val="22"/>
          <w:lang w:val="en-US"/>
        </w:rPr>
      </w:pPr>
      <w:r>
        <w:rPr>
          <w:rFonts w:eastAsia="Yu Gothic Light"/>
          <w:noProof/>
        </w:rPr>
        <w:drawing>
          <wp:inline distT="0" distB="0" distL="0" distR="0" wp14:anchorId="1CB7DB20" wp14:editId="545E0BA1">
            <wp:extent cx="457200" cy="506095"/>
            <wp:effectExtent l="0" t="0" r="0" b="8255"/>
            <wp:docPr id="1985807209" name="Picture 1985807209"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6C3BA5C0" w:rsidRPr="3FD93375">
        <w:rPr>
          <w:rFonts w:eastAsia="Arial"/>
          <w:szCs w:val="22"/>
          <w:lang w:val="en-US"/>
        </w:rPr>
        <w:t xml:space="preserve">To ensure the NoD is tailored to the individual and includes all required legal information, </w:t>
      </w:r>
      <w:r w:rsidR="002761A1">
        <w:rPr>
          <w:rFonts w:eastAsia="Arial"/>
          <w:szCs w:val="22"/>
          <w:lang w:val="en-US"/>
        </w:rPr>
        <w:t>a</w:t>
      </w:r>
      <w:r w:rsidR="6C3BA5C0" w:rsidRPr="00387BB2">
        <w:rPr>
          <w:rFonts w:eastAsia="Arial"/>
          <w:szCs w:val="22"/>
          <w:lang w:val="en-US"/>
        </w:rPr>
        <w:t xml:space="preserve">ssessment </w:t>
      </w:r>
      <w:r w:rsidR="002761A1">
        <w:rPr>
          <w:rFonts w:eastAsia="Arial"/>
          <w:szCs w:val="22"/>
          <w:lang w:val="en-US"/>
        </w:rPr>
        <w:t>d</w:t>
      </w:r>
      <w:r w:rsidR="6C3BA5C0" w:rsidRPr="00E576A9">
        <w:rPr>
          <w:rFonts w:eastAsia="Arial"/>
          <w:szCs w:val="22"/>
          <w:lang w:val="en-US"/>
        </w:rPr>
        <w:t>elegates must</w:t>
      </w:r>
      <w:r w:rsidR="6C3BA5C0" w:rsidRPr="002761A1">
        <w:rPr>
          <w:rFonts w:eastAsia="Arial"/>
          <w:szCs w:val="22"/>
          <w:lang w:val="en-US"/>
        </w:rPr>
        <w:t>:</w:t>
      </w:r>
    </w:p>
    <w:p w14:paraId="64E42F69" w14:textId="70C7B105" w:rsidR="6C3BA5C0" w:rsidRDefault="6C3BA5C0" w:rsidP="004F7FEF">
      <w:pPr>
        <w:pStyle w:val="ListParagraph"/>
        <w:numPr>
          <w:ilvl w:val="0"/>
          <w:numId w:val="559"/>
        </w:numPr>
        <w:spacing w:after="0" w:line="257" w:lineRule="auto"/>
        <w:rPr>
          <w:rFonts w:eastAsia="Arial"/>
          <w:szCs w:val="22"/>
          <w:lang w:val="en-US"/>
        </w:rPr>
      </w:pPr>
      <w:r w:rsidRPr="3FD93375">
        <w:rPr>
          <w:rFonts w:eastAsia="Arial"/>
          <w:szCs w:val="22"/>
          <w:lang w:val="en-US"/>
        </w:rPr>
        <w:t>generate the letter from the My Aged Care Assessor Portal</w:t>
      </w:r>
    </w:p>
    <w:p w14:paraId="455945EC" w14:textId="40D6DF7A" w:rsidR="6C3BA5C0" w:rsidRDefault="6C3BA5C0" w:rsidP="004F7FEF">
      <w:pPr>
        <w:pStyle w:val="ListParagraph"/>
        <w:numPr>
          <w:ilvl w:val="0"/>
          <w:numId w:val="559"/>
        </w:numPr>
        <w:spacing w:after="0" w:line="257" w:lineRule="auto"/>
        <w:rPr>
          <w:rFonts w:eastAsia="Arial"/>
          <w:szCs w:val="22"/>
          <w:lang w:val="en-US"/>
        </w:rPr>
      </w:pPr>
      <w:r w:rsidRPr="3FD93375">
        <w:rPr>
          <w:rFonts w:eastAsia="Arial"/>
          <w:szCs w:val="22"/>
          <w:lang w:val="en-US"/>
        </w:rPr>
        <w:t xml:space="preserve">save the letter locally and make the necessary edits following the guidance text in the </w:t>
      </w:r>
      <w:r w:rsidR="00173B2F">
        <w:rPr>
          <w:rFonts w:eastAsia="Arial"/>
          <w:szCs w:val="22"/>
          <w:lang w:val="en-US"/>
        </w:rPr>
        <w:t>template</w:t>
      </w:r>
      <w:r w:rsidRPr="3FD93375">
        <w:rPr>
          <w:rFonts w:eastAsia="Arial"/>
          <w:szCs w:val="22"/>
          <w:lang w:val="en-US"/>
        </w:rPr>
        <w:t xml:space="preserve"> </w:t>
      </w:r>
    </w:p>
    <w:p w14:paraId="202A7825" w14:textId="71A8DC9B" w:rsidR="6C3BA5C0" w:rsidRDefault="6C3BA5C0" w:rsidP="004F7FEF">
      <w:pPr>
        <w:pStyle w:val="ListParagraph"/>
        <w:numPr>
          <w:ilvl w:val="0"/>
          <w:numId w:val="559"/>
        </w:numPr>
        <w:spacing w:after="0" w:line="257" w:lineRule="auto"/>
        <w:rPr>
          <w:rFonts w:eastAsia="Arial"/>
          <w:szCs w:val="22"/>
          <w:lang w:val="en-US"/>
        </w:rPr>
      </w:pPr>
      <w:r w:rsidRPr="3FD93375">
        <w:rPr>
          <w:rFonts w:eastAsia="Arial"/>
          <w:szCs w:val="22"/>
          <w:lang w:val="en-US"/>
        </w:rPr>
        <w:t>clearly set out the reasons for their decisions (see following sections for further guidance)</w:t>
      </w:r>
    </w:p>
    <w:p w14:paraId="46972732" w14:textId="13BB4CCD" w:rsidR="6C3BA5C0" w:rsidRDefault="6C3BA5C0" w:rsidP="004F7FEF">
      <w:pPr>
        <w:pStyle w:val="ListParagraph"/>
        <w:numPr>
          <w:ilvl w:val="0"/>
          <w:numId w:val="559"/>
        </w:numPr>
        <w:spacing w:after="0" w:line="257" w:lineRule="auto"/>
        <w:rPr>
          <w:rFonts w:eastAsia="Arial"/>
          <w:szCs w:val="22"/>
          <w:lang w:val="en-US"/>
        </w:rPr>
      </w:pPr>
      <w:r w:rsidRPr="3FD93375">
        <w:rPr>
          <w:rFonts w:eastAsia="Arial"/>
          <w:szCs w:val="22"/>
          <w:lang w:val="en-US"/>
        </w:rPr>
        <w:t>include the Commonwealth Coat of Arms and the My Aged Care logo</w:t>
      </w:r>
    </w:p>
    <w:p w14:paraId="6265FC1E" w14:textId="588A5143" w:rsidR="6C3BA5C0" w:rsidRDefault="6C3BA5C0" w:rsidP="004F7FEF">
      <w:pPr>
        <w:pStyle w:val="ListParagraph"/>
        <w:numPr>
          <w:ilvl w:val="0"/>
          <w:numId w:val="559"/>
        </w:numPr>
        <w:spacing w:after="0" w:line="257" w:lineRule="auto"/>
        <w:rPr>
          <w:rFonts w:eastAsia="Arial"/>
          <w:szCs w:val="22"/>
          <w:lang w:val="en-AU"/>
        </w:rPr>
      </w:pPr>
      <w:r w:rsidRPr="3FD93375">
        <w:rPr>
          <w:rFonts w:eastAsia="Arial"/>
          <w:b/>
          <w:bCs/>
          <w:szCs w:val="22"/>
          <w:lang w:val="en-US"/>
        </w:rPr>
        <w:t>not</w:t>
      </w:r>
      <w:r w:rsidRPr="3FD93375">
        <w:rPr>
          <w:rFonts w:eastAsia="Arial"/>
          <w:szCs w:val="22"/>
          <w:lang w:val="en-US"/>
        </w:rPr>
        <w:t xml:space="preserve"> include any co</w:t>
      </w:r>
      <w:r w:rsidRPr="3FD93375">
        <w:rPr>
          <w:rFonts w:ascii="Cambria Math" w:eastAsia="Arial" w:hAnsi="Cambria Math" w:cs="Cambria Math"/>
          <w:szCs w:val="22"/>
          <w:lang w:val="en-US"/>
        </w:rPr>
        <w:t>‑</w:t>
      </w:r>
      <w:r w:rsidRPr="3FD93375">
        <w:rPr>
          <w:rFonts w:eastAsia="Arial"/>
          <w:szCs w:val="22"/>
          <w:lang w:val="en-US"/>
        </w:rPr>
        <w:t xml:space="preserve">branding – </w:t>
      </w:r>
      <w:r w:rsidRPr="3FD93375">
        <w:rPr>
          <w:rFonts w:eastAsia="Arial"/>
          <w:szCs w:val="22"/>
          <w:lang w:val="en-AU"/>
        </w:rPr>
        <w:t>logos of individual assessment organisations must not be included, as specified in the contractual agreements between the Department and individual assessment organisations.</w:t>
      </w:r>
    </w:p>
    <w:p w14:paraId="2A5A5C85" w14:textId="2E65DE5E" w:rsidR="6C3BA5C0" w:rsidRDefault="6C3BA5C0" w:rsidP="004F7FEF">
      <w:pPr>
        <w:spacing w:before="240" w:after="240"/>
        <w:rPr>
          <w:rFonts w:eastAsia="Arial"/>
          <w:szCs w:val="22"/>
          <w:lang w:val="en-AU"/>
        </w:rPr>
      </w:pPr>
      <w:r w:rsidRPr="3FD93375">
        <w:rPr>
          <w:rFonts w:eastAsia="Arial"/>
          <w:szCs w:val="22"/>
          <w:lang w:val="en-AU"/>
        </w:rPr>
        <w:t xml:space="preserve">To ensure the NoDs remain legally compliant, </w:t>
      </w:r>
      <w:r w:rsidR="00EE6B76">
        <w:rPr>
          <w:rFonts w:eastAsia="Arial"/>
          <w:szCs w:val="22"/>
          <w:lang w:val="en-AU"/>
        </w:rPr>
        <w:t>a</w:t>
      </w:r>
      <w:r w:rsidRPr="3FD93375">
        <w:rPr>
          <w:rFonts w:eastAsia="Arial"/>
          <w:szCs w:val="22"/>
          <w:lang w:val="en-AU"/>
        </w:rPr>
        <w:t xml:space="preserve">ssessment </w:t>
      </w:r>
      <w:r w:rsidR="00EE6B76">
        <w:rPr>
          <w:rFonts w:eastAsia="Arial"/>
          <w:szCs w:val="22"/>
          <w:lang w:val="en-AU"/>
        </w:rPr>
        <w:t>d</w:t>
      </w:r>
      <w:r w:rsidRPr="3FD93375">
        <w:rPr>
          <w:rFonts w:eastAsia="Arial"/>
          <w:szCs w:val="22"/>
          <w:lang w:val="en-AU"/>
        </w:rPr>
        <w:t>elegates must follow the guidance provided in the Notice of Decision templates and associated departmental guidance materials.</w:t>
      </w:r>
    </w:p>
    <w:p w14:paraId="2907E363" w14:textId="71E3A3D0" w:rsidR="6C3BA5C0" w:rsidRDefault="6C3BA5C0" w:rsidP="00684E7A">
      <w:pPr>
        <w:spacing w:before="240" w:after="240"/>
        <w:rPr>
          <w:rFonts w:eastAsia="Arial"/>
          <w:szCs w:val="22"/>
          <w:lang w:val="en-AU"/>
        </w:rPr>
      </w:pPr>
      <w:r w:rsidRPr="3FD93375">
        <w:rPr>
          <w:rFonts w:eastAsia="Arial"/>
          <w:szCs w:val="22"/>
          <w:lang w:val="en-AU"/>
        </w:rPr>
        <w:t xml:space="preserve">Assessment </w:t>
      </w:r>
      <w:r w:rsidR="00EE6B76">
        <w:rPr>
          <w:rFonts w:eastAsia="Arial"/>
          <w:szCs w:val="22"/>
          <w:lang w:val="en-AU"/>
        </w:rPr>
        <w:t>d</w:t>
      </w:r>
      <w:r w:rsidRPr="3FD93375">
        <w:rPr>
          <w:rFonts w:eastAsia="Arial"/>
          <w:szCs w:val="22"/>
          <w:lang w:val="en-AU"/>
        </w:rPr>
        <w:t>elegates may only remove or amend text where explicitly directed by the department.</w:t>
      </w:r>
    </w:p>
    <w:p w14:paraId="5FDE7EBA" w14:textId="77777777" w:rsidR="00801681" w:rsidRDefault="6C3BA5C0" w:rsidP="00801681">
      <w:pPr>
        <w:spacing w:before="240" w:after="240"/>
        <w:rPr>
          <w:rFonts w:eastAsia="Arial"/>
          <w:szCs w:val="22"/>
          <w:lang w:val="en-AU"/>
        </w:rPr>
      </w:pPr>
      <w:r w:rsidRPr="3FD93375">
        <w:rPr>
          <w:rFonts w:eastAsia="Arial"/>
          <w:szCs w:val="22"/>
          <w:lang w:val="en-AU"/>
        </w:rPr>
        <w:t xml:space="preserve">Detailed instructions for applying manual </w:t>
      </w:r>
      <w:r w:rsidR="00F224C2">
        <w:rPr>
          <w:rFonts w:eastAsia="Arial"/>
          <w:szCs w:val="22"/>
          <w:lang w:val="en-AU"/>
        </w:rPr>
        <w:t>language</w:t>
      </w:r>
      <w:r w:rsidRPr="3FD93375" w:rsidDel="00F224C2">
        <w:rPr>
          <w:rFonts w:eastAsia="Arial"/>
          <w:szCs w:val="22"/>
          <w:lang w:val="en-AU"/>
        </w:rPr>
        <w:t xml:space="preserve"> </w:t>
      </w:r>
      <w:r w:rsidR="00F224C2">
        <w:rPr>
          <w:rFonts w:eastAsia="Arial"/>
          <w:szCs w:val="22"/>
          <w:lang w:val="en-AU"/>
        </w:rPr>
        <w:t>changes</w:t>
      </w:r>
      <w:r w:rsidRPr="3FD93375">
        <w:rPr>
          <w:rFonts w:eastAsia="Arial"/>
          <w:szCs w:val="22"/>
          <w:lang w:val="en-AU"/>
        </w:rPr>
        <w:t xml:space="preserve"> are provided in the NoD Language Change Instructions included in email C206 — </w:t>
      </w:r>
      <w:r w:rsidRPr="3FD93375">
        <w:rPr>
          <w:rFonts w:eastAsia="Arial"/>
          <w:b/>
          <w:bCs/>
          <w:szCs w:val="22"/>
          <w:lang w:val="en-AU"/>
        </w:rPr>
        <w:t>Notice of Decision: Reminders and guidance update (including language changes)</w:t>
      </w:r>
      <w:r w:rsidRPr="3FD93375">
        <w:rPr>
          <w:rFonts w:eastAsia="Arial"/>
          <w:szCs w:val="22"/>
          <w:lang w:val="en-AU"/>
        </w:rPr>
        <w:t>, issued on 9 December 2025. These documents are also available on the Assessment Hub SharePoint page:</w:t>
      </w:r>
    </w:p>
    <w:p w14:paraId="32DA001B" w14:textId="77777777" w:rsidR="00801681" w:rsidRPr="00801681" w:rsidRDefault="6C3BA5C0" w:rsidP="00801681">
      <w:pPr>
        <w:pStyle w:val="ListParagraph"/>
        <w:numPr>
          <w:ilvl w:val="0"/>
          <w:numId w:val="593"/>
        </w:numPr>
        <w:spacing w:before="240" w:after="240"/>
        <w:rPr>
          <w:rFonts w:eastAsia="Arial"/>
          <w:szCs w:val="22"/>
          <w:lang w:val="en-AU"/>
        </w:rPr>
      </w:pPr>
      <w:r w:rsidRPr="00801681">
        <w:rPr>
          <w:rFonts w:eastAsia="Arial"/>
          <w:szCs w:val="22"/>
        </w:rPr>
        <w:t>Notices of Decision Guidance Update</w:t>
      </w:r>
    </w:p>
    <w:p w14:paraId="57DAFBFD" w14:textId="0DDEAE86" w:rsidR="6C3BA5C0" w:rsidRPr="00801681" w:rsidRDefault="6C3BA5C0" w:rsidP="00801681">
      <w:pPr>
        <w:pStyle w:val="ListParagraph"/>
        <w:numPr>
          <w:ilvl w:val="0"/>
          <w:numId w:val="593"/>
        </w:numPr>
        <w:spacing w:before="240" w:after="240"/>
        <w:rPr>
          <w:rFonts w:eastAsia="Arial"/>
          <w:szCs w:val="22"/>
          <w:lang w:val="en-AU"/>
        </w:rPr>
      </w:pPr>
      <w:r w:rsidRPr="00801681">
        <w:rPr>
          <w:rFonts w:eastAsia="Arial"/>
          <w:szCs w:val="22"/>
        </w:rPr>
        <w:t>Notices of Decision Language Change Instructions</w:t>
      </w:r>
    </w:p>
    <w:p w14:paraId="3D0443CB" w14:textId="5234327F" w:rsidR="6C3BA5C0" w:rsidRDefault="6C3BA5C0" w:rsidP="00684E7A">
      <w:pPr>
        <w:spacing w:before="240" w:after="240"/>
        <w:rPr>
          <w:rFonts w:eastAsia="Arial"/>
          <w:szCs w:val="22"/>
          <w:lang w:val="en-AU"/>
        </w:rPr>
      </w:pPr>
      <w:r w:rsidRPr="3FD93375">
        <w:rPr>
          <w:rFonts w:eastAsia="Arial"/>
          <w:szCs w:val="22"/>
          <w:lang w:val="en-AU"/>
        </w:rPr>
        <w:t xml:space="preserve">The previous offline CHSP NoD templates incorporated some of this updated wording; however, the new system generated NoD letters for CHSP only do not currently reflect these changes. Assessment </w:t>
      </w:r>
      <w:r w:rsidR="002E1022">
        <w:rPr>
          <w:rFonts w:eastAsia="Arial"/>
          <w:szCs w:val="22"/>
          <w:lang w:val="en-AU"/>
        </w:rPr>
        <w:t>d</w:t>
      </w:r>
      <w:r w:rsidRPr="3FD93375">
        <w:rPr>
          <w:rFonts w:eastAsia="Arial"/>
          <w:szCs w:val="22"/>
          <w:lang w:val="en-AU"/>
        </w:rPr>
        <w:t>elegates should therefore apply the approved wording manually across all NoD templates until system updates are released.</w:t>
      </w:r>
    </w:p>
    <w:p w14:paraId="28C17A0F" w14:textId="0410EA32" w:rsidR="6C3BA5C0" w:rsidRDefault="6C3BA5C0" w:rsidP="00684E7A">
      <w:pPr>
        <w:spacing w:before="240" w:after="240"/>
        <w:rPr>
          <w:rFonts w:eastAsia="Arial"/>
          <w:szCs w:val="22"/>
          <w:lang w:val="en-AU"/>
        </w:rPr>
      </w:pPr>
      <w:r w:rsidRPr="3FD93375">
        <w:rPr>
          <w:rFonts w:eastAsia="Arial"/>
          <w:szCs w:val="22"/>
          <w:lang w:val="en-AU"/>
        </w:rPr>
        <w:t>Delegates must use only the approved wording provided in departmental instructions to ensure NoDs remain legally compliant. All other text must remain unchanged.</w:t>
      </w:r>
    </w:p>
    <w:p w14:paraId="0828B1FC" w14:textId="01C76819" w:rsidR="458B4B6A" w:rsidRDefault="458B4B6A" w:rsidP="00C56CEC">
      <w:pPr>
        <w:pStyle w:val="H3"/>
        <w:rPr>
          <w:rFonts w:eastAsia="Arial"/>
        </w:rPr>
      </w:pPr>
      <w:r w:rsidRPr="00684E7A">
        <w:t>Reasons for decisions</w:t>
      </w:r>
    </w:p>
    <w:p w14:paraId="58D36F81" w14:textId="2CE9FFB6" w:rsidR="458B4B6A" w:rsidRDefault="00E63830" w:rsidP="00684E7A">
      <w:pPr>
        <w:spacing w:before="240" w:after="240"/>
        <w:rPr>
          <w:rFonts w:eastAsia="Arial"/>
          <w:szCs w:val="22"/>
        </w:rPr>
      </w:pPr>
      <w:r>
        <w:rPr>
          <w:rFonts w:eastAsia="Yu Gothic Light"/>
          <w:noProof/>
        </w:rPr>
        <w:drawing>
          <wp:inline distT="0" distB="0" distL="0" distR="0" wp14:anchorId="291BA217" wp14:editId="24260B99">
            <wp:extent cx="457200" cy="506095"/>
            <wp:effectExtent l="0" t="0" r="0" b="8255"/>
            <wp:docPr id="2038289977" name="Picture 203828997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458B4B6A" w:rsidRPr="3FD93375">
        <w:rPr>
          <w:rFonts w:eastAsia="Arial"/>
          <w:szCs w:val="22"/>
        </w:rPr>
        <w:t xml:space="preserve">Assessment </w:t>
      </w:r>
      <w:r w:rsidR="003C5DCE">
        <w:rPr>
          <w:rFonts w:eastAsia="Arial"/>
          <w:szCs w:val="22"/>
        </w:rPr>
        <w:t>d</w:t>
      </w:r>
      <w:r w:rsidR="458B4B6A" w:rsidRPr="3FD93375">
        <w:rPr>
          <w:rFonts w:eastAsia="Arial"/>
          <w:szCs w:val="22"/>
        </w:rPr>
        <w:t xml:space="preserve">elegates must consider and record reasons for approval and non-approval decisions relating to service groups, service types or services. Assessment </w:t>
      </w:r>
      <w:r w:rsidR="003C5DCE">
        <w:rPr>
          <w:rFonts w:eastAsia="Arial"/>
          <w:szCs w:val="22"/>
        </w:rPr>
        <w:t>d</w:t>
      </w:r>
      <w:r w:rsidR="458B4B6A" w:rsidRPr="3FD93375">
        <w:rPr>
          <w:rFonts w:eastAsia="Arial"/>
          <w:szCs w:val="22"/>
        </w:rPr>
        <w:t>elegates must turn their mind to these reasons when making approval decisions and then record them in the NoD.</w:t>
      </w:r>
    </w:p>
    <w:p w14:paraId="5E6ACE3D" w14:textId="4BFC1A09" w:rsidR="458B4B6A" w:rsidRDefault="458B4B6A" w:rsidP="00684E7A">
      <w:pPr>
        <w:spacing w:before="240" w:after="240"/>
        <w:rPr>
          <w:rFonts w:eastAsia="Arial"/>
          <w:szCs w:val="22"/>
        </w:rPr>
      </w:pPr>
      <w:r w:rsidRPr="3FD93375">
        <w:rPr>
          <w:rFonts w:eastAsia="Arial"/>
          <w:szCs w:val="22"/>
        </w:rPr>
        <w:t>Delegate decision reasons must:</w:t>
      </w:r>
    </w:p>
    <w:p w14:paraId="5DBA35C5" w14:textId="1123810E" w:rsidR="458B4B6A" w:rsidRDefault="458B4B6A" w:rsidP="00684E7A">
      <w:pPr>
        <w:pStyle w:val="ListParagraph"/>
        <w:numPr>
          <w:ilvl w:val="0"/>
          <w:numId w:val="555"/>
        </w:numPr>
        <w:spacing w:after="0"/>
        <w:rPr>
          <w:rFonts w:eastAsia="Arial"/>
          <w:szCs w:val="22"/>
        </w:rPr>
      </w:pPr>
      <w:r w:rsidRPr="3FD93375">
        <w:rPr>
          <w:rFonts w:eastAsia="Arial"/>
          <w:szCs w:val="22"/>
        </w:rPr>
        <w:t xml:space="preserve">demonstrate how the individual meets or does not meet the criteria for approval under the relevant sections 65–68 of the Aged Care Act 2024 (the Act), </w:t>
      </w:r>
    </w:p>
    <w:p w14:paraId="47617002" w14:textId="674BA8B0" w:rsidR="458B4B6A" w:rsidRDefault="458B4B6A" w:rsidP="00684E7A">
      <w:pPr>
        <w:pStyle w:val="ListParagraph"/>
        <w:numPr>
          <w:ilvl w:val="0"/>
          <w:numId w:val="555"/>
        </w:numPr>
        <w:spacing w:after="0"/>
        <w:rPr>
          <w:rFonts w:eastAsia="Arial"/>
          <w:szCs w:val="22"/>
        </w:rPr>
      </w:pPr>
      <w:r w:rsidRPr="3FD93375">
        <w:rPr>
          <w:rFonts w:eastAsia="Arial"/>
          <w:szCs w:val="22"/>
        </w:rPr>
        <w:t>be tailored to the person’s specific circumstances, drawing on the information provided in the IAT</w:t>
      </w:r>
      <w:r w:rsidR="001C5706">
        <w:rPr>
          <w:rFonts w:eastAsia="Arial"/>
          <w:szCs w:val="22"/>
        </w:rPr>
        <w:t xml:space="preserve">, </w:t>
      </w:r>
      <w:r w:rsidRPr="3FD93375">
        <w:rPr>
          <w:rFonts w:eastAsia="Arial"/>
          <w:szCs w:val="22"/>
        </w:rPr>
        <w:t>support plan</w:t>
      </w:r>
      <w:r w:rsidR="000D77D9">
        <w:rPr>
          <w:rFonts w:eastAsia="Arial"/>
          <w:szCs w:val="22"/>
        </w:rPr>
        <w:t xml:space="preserve"> and assessment report</w:t>
      </w:r>
      <w:r w:rsidRPr="3FD93375">
        <w:rPr>
          <w:rFonts w:eastAsia="Arial"/>
          <w:szCs w:val="22"/>
        </w:rPr>
        <w:t>,</w:t>
      </w:r>
    </w:p>
    <w:p w14:paraId="6F683811" w14:textId="74D41D95" w:rsidR="458B4B6A" w:rsidRDefault="458B4B6A" w:rsidP="00684E7A">
      <w:pPr>
        <w:pStyle w:val="ListParagraph"/>
        <w:numPr>
          <w:ilvl w:val="0"/>
          <w:numId w:val="555"/>
        </w:numPr>
        <w:spacing w:after="0"/>
        <w:rPr>
          <w:rFonts w:eastAsia="Arial"/>
          <w:szCs w:val="22"/>
        </w:rPr>
      </w:pPr>
      <w:r w:rsidRPr="3FD93375">
        <w:rPr>
          <w:rFonts w:eastAsia="Arial"/>
          <w:szCs w:val="22"/>
        </w:rPr>
        <w:t>clearly explain (for approvals) how the individual satisfies the relevant eligibility criteria under the Act and the rules, with reference to their unique situation.</w:t>
      </w:r>
    </w:p>
    <w:p w14:paraId="5237400B" w14:textId="3BD6B6C1" w:rsidR="458B4B6A" w:rsidRDefault="458B4B6A" w:rsidP="001F3915">
      <w:pPr>
        <w:numPr>
          <w:ilvl w:val="0"/>
          <w:numId w:val="11"/>
        </w:numPr>
        <w:rPr>
          <w:rFonts w:eastAsia="Arial"/>
          <w:szCs w:val="22"/>
          <w:lang w:val="en-US"/>
        </w:rPr>
      </w:pPr>
      <w:r w:rsidRPr="3FD93375">
        <w:rPr>
          <w:rFonts w:eastAsia="Arial"/>
          <w:szCs w:val="22"/>
        </w:rPr>
        <w:t xml:space="preserve">The NoD templates provide detailed guidance on how to record reasons that fulfil these requirements. </w:t>
      </w:r>
      <w:r w:rsidRPr="3FD93375">
        <w:rPr>
          <w:rFonts w:eastAsia="Arial"/>
          <w:szCs w:val="22"/>
          <w:lang w:val="en-US"/>
        </w:rPr>
        <w:t xml:space="preserve">Chapter 8 provides a comprehensive explanation of the eligibility requirements set out under sections 65-68 of the Act and the relevant rules.  </w:t>
      </w:r>
    </w:p>
    <w:p w14:paraId="5CA9A887" w14:textId="5D0B05A3" w:rsidR="458B4B6A" w:rsidRDefault="458B4B6A" w:rsidP="001F3915">
      <w:pPr>
        <w:spacing w:before="240" w:after="0"/>
        <w:rPr>
          <w:rFonts w:eastAsia="Arial"/>
          <w:b/>
          <w:bCs/>
          <w:szCs w:val="22"/>
        </w:rPr>
      </w:pPr>
      <w:r w:rsidRPr="3FD93375">
        <w:rPr>
          <w:rFonts w:eastAsia="Arial"/>
          <w:b/>
          <w:bCs/>
          <w:szCs w:val="22"/>
        </w:rPr>
        <w:t>Reasons for decisions: approvals</w:t>
      </w:r>
    </w:p>
    <w:p w14:paraId="3AA922BA" w14:textId="1949F89D" w:rsidR="458B4B6A" w:rsidRDefault="458B4B6A" w:rsidP="001F3915">
      <w:pPr>
        <w:spacing w:before="240" w:after="240"/>
        <w:rPr>
          <w:rFonts w:eastAsia="Arial"/>
          <w:szCs w:val="22"/>
        </w:rPr>
      </w:pPr>
      <w:r w:rsidRPr="3FD93375">
        <w:rPr>
          <w:rFonts w:eastAsia="Arial"/>
          <w:szCs w:val="22"/>
        </w:rPr>
        <w:t xml:space="preserve">When making a decision, </w:t>
      </w:r>
      <w:r w:rsidR="00AA7F55">
        <w:rPr>
          <w:rFonts w:eastAsia="Arial"/>
          <w:szCs w:val="22"/>
        </w:rPr>
        <w:t>a</w:t>
      </w:r>
      <w:r w:rsidRPr="3FD93375">
        <w:rPr>
          <w:rFonts w:eastAsia="Arial"/>
          <w:szCs w:val="22"/>
        </w:rPr>
        <w:t xml:space="preserve">ssessment </w:t>
      </w:r>
      <w:r w:rsidR="00AA7F55">
        <w:rPr>
          <w:rFonts w:eastAsia="Arial"/>
          <w:szCs w:val="22"/>
        </w:rPr>
        <w:t>d</w:t>
      </w:r>
      <w:r w:rsidRPr="3FD93375">
        <w:rPr>
          <w:rFonts w:eastAsia="Arial"/>
          <w:szCs w:val="22"/>
        </w:rPr>
        <w:t>elegates must consider the older person’s circumstances overall, what service types and services they need, and for what reason. This should already be evident from the information recorded in the IAT</w:t>
      </w:r>
      <w:r w:rsidR="00AA7F55">
        <w:rPr>
          <w:rFonts w:eastAsia="Arial"/>
          <w:szCs w:val="22"/>
        </w:rPr>
        <w:t>,</w:t>
      </w:r>
      <w:r w:rsidR="00572DAF">
        <w:rPr>
          <w:rFonts w:eastAsia="Arial"/>
          <w:szCs w:val="22"/>
        </w:rPr>
        <w:t xml:space="preserve"> and the</w:t>
      </w:r>
      <w:r w:rsidR="00217030">
        <w:rPr>
          <w:rFonts w:eastAsia="Arial"/>
          <w:szCs w:val="22"/>
        </w:rPr>
        <w:t xml:space="preserve"> </w:t>
      </w:r>
      <w:r w:rsidR="00572DAF">
        <w:rPr>
          <w:rFonts w:eastAsia="Arial"/>
          <w:szCs w:val="22"/>
        </w:rPr>
        <w:t>s</w:t>
      </w:r>
      <w:r w:rsidRPr="3FD93375">
        <w:rPr>
          <w:rFonts w:eastAsia="Arial"/>
          <w:szCs w:val="22"/>
        </w:rPr>
        <w:t xml:space="preserve">upport </w:t>
      </w:r>
      <w:r w:rsidR="00572DAF">
        <w:rPr>
          <w:rFonts w:eastAsia="Arial"/>
          <w:szCs w:val="22"/>
        </w:rPr>
        <w:t>p</w:t>
      </w:r>
      <w:r w:rsidRPr="3FD93375">
        <w:rPr>
          <w:rFonts w:eastAsia="Arial"/>
          <w:szCs w:val="22"/>
        </w:rPr>
        <w:t>lan, which detail what the person’s needs are, and why the person needs support and what help they need.</w:t>
      </w:r>
    </w:p>
    <w:p w14:paraId="4B9B0D6A" w14:textId="687F0639" w:rsidR="458B4B6A" w:rsidRDefault="458B4B6A" w:rsidP="001F3915">
      <w:pPr>
        <w:spacing w:before="240" w:after="240"/>
        <w:rPr>
          <w:rFonts w:eastAsia="Arial"/>
          <w:szCs w:val="22"/>
          <w:lang w:val="en-US"/>
        </w:rPr>
      </w:pPr>
      <w:r w:rsidRPr="3FD93375">
        <w:rPr>
          <w:rFonts w:eastAsia="Arial"/>
          <w:szCs w:val="22"/>
          <w:lang w:val="en-US"/>
        </w:rPr>
        <w:t>Reasons for approval decisions are recorded in the version of the NoD known as the ‘approval letter’.</w:t>
      </w:r>
    </w:p>
    <w:p w14:paraId="02A001D6" w14:textId="747D5291" w:rsidR="458B4B6A" w:rsidRDefault="458B4B6A" w:rsidP="001F3915">
      <w:pPr>
        <w:spacing w:before="240" w:after="240"/>
        <w:rPr>
          <w:rFonts w:eastAsia="Arial"/>
          <w:szCs w:val="22"/>
        </w:rPr>
      </w:pPr>
      <w:r w:rsidRPr="3FD93375">
        <w:rPr>
          <w:rFonts w:eastAsia="Arial"/>
          <w:szCs w:val="22"/>
        </w:rPr>
        <w:t>There are three reasons sections to choose from based on which section of the Aged Care Act 2024 (the Act) applies, the individual’s circumstances and their approvals as follows</w:t>
      </w:r>
      <w:r w:rsidR="00985922">
        <w:rPr>
          <w:rStyle w:val="FootnoteReference"/>
          <w:rFonts w:eastAsia="Arial"/>
          <w:szCs w:val="22"/>
        </w:rPr>
        <w:footnoteReference w:id="11"/>
      </w:r>
      <w:r w:rsidRPr="3FD93375">
        <w:rPr>
          <w:rFonts w:eastAsia="Arial"/>
          <w:szCs w:val="22"/>
        </w:rPr>
        <w:t>:</w:t>
      </w:r>
    </w:p>
    <w:p w14:paraId="0CD24901" w14:textId="457D2D09" w:rsidR="458B4B6A" w:rsidRDefault="458B4B6A" w:rsidP="001F3915">
      <w:pPr>
        <w:spacing w:before="240" w:after="240"/>
        <w:rPr>
          <w:rFonts w:eastAsia="Arial"/>
          <w:b/>
          <w:bCs/>
          <w:color w:val="0E2841"/>
          <w:sz w:val="21"/>
          <w:szCs w:val="21"/>
        </w:rPr>
      </w:pPr>
      <w:r w:rsidRPr="3FD93375">
        <w:rPr>
          <w:rFonts w:eastAsia="Arial"/>
          <w:b/>
          <w:bCs/>
          <w:color w:val="0E2841"/>
          <w:sz w:val="21"/>
          <w:szCs w:val="21"/>
        </w:rPr>
        <w:t xml:space="preserve">Table 51. Summary of approval reasons sections of the Act and applicable circumstances of individuals </w:t>
      </w:r>
    </w:p>
    <w:tbl>
      <w:tblPr>
        <w:tblW w:w="0" w:type="auto"/>
        <w:tblLook w:val="0420" w:firstRow="1" w:lastRow="0" w:firstColumn="0" w:lastColumn="0" w:noHBand="0" w:noVBand="1"/>
      </w:tblPr>
      <w:tblGrid>
        <w:gridCol w:w="1821"/>
        <w:gridCol w:w="2995"/>
        <w:gridCol w:w="4190"/>
      </w:tblGrid>
      <w:tr w:rsidR="3FD93375" w14:paraId="35CDF6BC" w14:textId="77777777" w:rsidTr="005F05C9">
        <w:trPr>
          <w:trHeight w:val="240"/>
        </w:trPr>
        <w:tc>
          <w:tcPr>
            <w:tcW w:w="18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060"/>
          </w:tcPr>
          <w:p w14:paraId="514F8B17" w14:textId="4B0CA2D9" w:rsidR="3FD93375" w:rsidRDefault="3FD93375" w:rsidP="001F3915">
            <w:pPr>
              <w:spacing w:before="240" w:after="240"/>
              <w:rPr>
                <w:rFonts w:eastAsia="Arial"/>
                <w:b/>
                <w:bCs/>
                <w:color w:val="FFFFFF" w:themeColor="background1"/>
                <w:szCs w:val="22"/>
                <w:lang w:val="en-US"/>
              </w:rPr>
            </w:pPr>
            <w:r w:rsidRPr="3FD93375">
              <w:rPr>
                <w:rFonts w:eastAsia="Arial"/>
                <w:b/>
                <w:bCs/>
                <w:color w:val="FFFFFF" w:themeColor="background1"/>
                <w:szCs w:val="22"/>
                <w:lang w:val="en-US"/>
              </w:rPr>
              <w:t>Section of the Act</w:t>
            </w:r>
          </w:p>
        </w:tc>
        <w:tc>
          <w:tcPr>
            <w:tcW w:w="301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060"/>
            <w:tcMar>
              <w:top w:w="72" w:type="dxa"/>
              <w:left w:w="144" w:type="dxa"/>
              <w:bottom w:w="72" w:type="dxa"/>
              <w:right w:w="144" w:type="dxa"/>
            </w:tcMar>
          </w:tcPr>
          <w:p w14:paraId="3DE87B00" w14:textId="59AEAAD9" w:rsidR="3FD93375" w:rsidRDefault="3FD93375" w:rsidP="001F3915">
            <w:pPr>
              <w:spacing w:before="240" w:after="240"/>
              <w:rPr>
                <w:rFonts w:eastAsia="Arial"/>
                <w:b/>
                <w:bCs/>
                <w:color w:val="FFFFFF" w:themeColor="background1"/>
                <w:szCs w:val="22"/>
                <w:lang w:val="en-US"/>
              </w:rPr>
            </w:pPr>
            <w:r w:rsidRPr="3FD93375">
              <w:rPr>
                <w:rFonts w:eastAsia="Arial"/>
                <w:b/>
                <w:bCs/>
                <w:color w:val="FFFFFF" w:themeColor="background1"/>
                <w:szCs w:val="22"/>
                <w:lang w:val="en-US"/>
              </w:rPr>
              <w:t>Approval reasons section</w:t>
            </w:r>
          </w:p>
        </w:tc>
        <w:tc>
          <w:tcPr>
            <w:tcW w:w="421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060"/>
            <w:tcMar>
              <w:top w:w="72" w:type="dxa"/>
              <w:left w:w="144" w:type="dxa"/>
              <w:bottom w:w="72" w:type="dxa"/>
              <w:right w:w="144" w:type="dxa"/>
            </w:tcMar>
          </w:tcPr>
          <w:p w14:paraId="53EBD317" w14:textId="28DD5120" w:rsidR="3FD93375" w:rsidRDefault="3FD93375" w:rsidP="001F3915">
            <w:pPr>
              <w:spacing w:before="240" w:after="240"/>
              <w:rPr>
                <w:rFonts w:eastAsia="Arial"/>
                <w:b/>
                <w:bCs/>
                <w:color w:val="FFFFFF" w:themeColor="background1"/>
                <w:szCs w:val="22"/>
                <w:lang w:val="en-US"/>
              </w:rPr>
            </w:pPr>
            <w:r w:rsidRPr="3FD93375">
              <w:rPr>
                <w:rFonts w:eastAsia="Arial"/>
                <w:b/>
                <w:bCs/>
                <w:color w:val="FFFFFF" w:themeColor="background1"/>
                <w:szCs w:val="22"/>
                <w:lang w:val="en-US"/>
              </w:rPr>
              <w:t>Applies when:</w:t>
            </w:r>
            <w:r>
              <w:br/>
            </w:r>
            <w:r w:rsidRPr="3FD93375">
              <w:rPr>
                <w:rFonts w:eastAsia="Arial"/>
                <w:b/>
                <w:bCs/>
                <w:color w:val="FFFFFF" w:themeColor="background1"/>
                <w:szCs w:val="22"/>
                <w:lang w:val="en-US"/>
              </w:rPr>
              <w:t xml:space="preserve"> </w:t>
            </w:r>
            <w:r>
              <w:br/>
            </w:r>
          </w:p>
        </w:tc>
      </w:tr>
      <w:tr w:rsidR="3FD93375" w14:paraId="7080DD00" w14:textId="77777777" w:rsidTr="005F05C9">
        <w:trPr>
          <w:trHeight w:val="585"/>
        </w:trPr>
        <w:tc>
          <w:tcPr>
            <w:tcW w:w="1830" w:type="dxa"/>
            <w:tcBorders>
              <w:top w:val="single" w:sz="24" w:space="0" w:color="FFFFFF" w:themeColor="background1"/>
              <w:left w:val="single" w:sz="8" w:space="0" w:color="FFFFFF" w:themeColor="background1"/>
              <w:bottom w:val="single" w:sz="8" w:space="0" w:color="auto"/>
              <w:right w:val="single" w:sz="8" w:space="0" w:color="FFFFFF" w:themeColor="background1"/>
            </w:tcBorders>
            <w:shd w:val="clear" w:color="auto" w:fill="FFFFFF" w:themeFill="background1"/>
          </w:tcPr>
          <w:p w14:paraId="2DD3BC26" w14:textId="15D38057" w:rsidR="3FD93375" w:rsidRDefault="3FD93375" w:rsidP="001F3915">
            <w:pPr>
              <w:spacing w:before="240" w:after="240"/>
              <w:rPr>
                <w:rFonts w:eastAsia="Arial"/>
                <w:color w:val="000000" w:themeColor="text1"/>
                <w:szCs w:val="22"/>
                <w:lang w:val="en-US"/>
              </w:rPr>
            </w:pPr>
            <w:r w:rsidRPr="3FD93375">
              <w:rPr>
                <w:rFonts w:eastAsia="Arial"/>
                <w:color w:val="000000" w:themeColor="text1"/>
                <w:szCs w:val="22"/>
                <w:lang w:val="en-US"/>
              </w:rPr>
              <w:t xml:space="preserve">Section 66 </w:t>
            </w:r>
          </w:p>
        </w:tc>
        <w:tc>
          <w:tcPr>
            <w:tcW w:w="3015" w:type="dxa"/>
            <w:tcBorders>
              <w:top w:val="single" w:sz="24" w:space="0" w:color="FFFFFF" w:themeColor="background1"/>
              <w:left w:val="single" w:sz="8" w:space="0" w:color="FFFFFF" w:themeColor="background1"/>
              <w:bottom w:val="single" w:sz="8" w:space="0" w:color="auto"/>
              <w:right w:val="single" w:sz="8" w:space="0" w:color="FFFFFF" w:themeColor="background1"/>
            </w:tcBorders>
            <w:shd w:val="clear" w:color="auto" w:fill="FFFFFF" w:themeFill="background1"/>
            <w:tcMar>
              <w:top w:w="72" w:type="dxa"/>
              <w:left w:w="144" w:type="dxa"/>
              <w:bottom w:w="72" w:type="dxa"/>
              <w:right w:w="144" w:type="dxa"/>
            </w:tcMar>
          </w:tcPr>
          <w:p w14:paraId="6AC9EBD9" w14:textId="2232EF0C" w:rsidR="3FD93375" w:rsidRDefault="3FD93375" w:rsidP="001F3915">
            <w:pPr>
              <w:spacing w:before="240" w:after="240"/>
              <w:rPr>
                <w:rFonts w:eastAsia="Arial"/>
                <w:i/>
                <w:iCs/>
                <w:color w:val="000000" w:themeColor="text1"/>
                <w:szCs w:val="22"/>
                <w:lang w:val="en-US"/>
              </w:rPr>
            </w:pPr>
            <w:r w:rsidRPr="3FD93375">
              <w:rPr>
                <w:rFonts w:eastAsia="Arial"/>
                <w:color w:val="000000" w:themeColor="text1"/>
                <w:szCs w:val="22"/>
                <w:lang w:val="en-US"/>
              </w:rPr>
              <w:t>Section A</w:t>
            </w:r>
            <w:r>
              <w:br/>
            </w:r>
            <w:r w:rsidRPr="3FD93375">
              <w:rPr>
                <w:rFonts w:eastAsia="Arial"/>
                <w:color w:val="000000" w:themeColor="text1"/>
                <w:szCs w:val="22"/>
                <w:lang w:val="en-US"/>
              </w:rPr>
              <w:t xml:space="preserve"> </w:t>
            </w:r>
            <w:r w:rsidRPr="3FD93375">
              <w:rPr>
                <w:rFonts w:eastAsia="Arial"/>
                <w:i/>
                <w:iCs/>
                <w:color w:val="000000" w:themeColor="text1"/>
                <w:szCs w:val="22"/>
                <w:lang w:val="en-US"/>
              </w:rPr>
              <w:t>(Section B and C not required if this is chosen)</w:t>
            </w:r>
          </w:p>
        </w:tc>
        <w:tc>
          <w:tcPr>
            <w:tcW w:w="4215" w:type="dxa"/>
            <w:tcBorders>
              <w:top w:val="single" w:sz="24" w:space="0" w:color="FFFFFF" w:themeColor="background1"/>
              <w:left w:val="single" w:sz="8" w:space="0" w:color="FFFFFF" w:themeColor="background1"/>
              <w:bottom w:val="single" w:sz="8" w:space="0" w:color="auto"/>
              <w:right w:val="single" w:sz="8" w:space="0" w:color="FFFFFF" w:themeColor="background1"/>
            </w:tcBorders>
            <w:shd w:val="clear" w:color="auto" w:fill="FFFFFF" w:themeFill="background1"/>
            <w:tcMar>
              <w:top w:w="72" w:type="dxa"/>
              <w:left w:w="144" w:type="dxa"/>
              <w:bottom w:w="72" w:type="dxa"/>
              <w:right w:w="144" w:type="dxa"/>
            </w:tcMar>
          </w:tcPr>
          <w:p w14:paraId="4B2D4E5F" w14:textId="50C8E3BF" w:rsidR="3FD93375" w:rsidRDefault="3FD93375" w:rsidP="001F3915">
            <w:pPr>
              <w:pStyle w:val="ListParagraph"/>
              <w:numPr>
                <w:ilvl w:val="0"/>
                <w:numId w:val="554"/>
              </w:numPr>
              <w:spacing w:after="0"/>
              <w:ind w:left="313" w:hanging="284"/>
              <w:rPr>
                <w:rFonts w:eastAsia="Arial"/>
                <w:color w:val="000000" w:themeColor="text1"/>
                <w:szCs w:val="22"/>
              </w:rPr>
            </w:pPr>
            <w:r w:rsidRPr="3FD93375">
              <w:rPr>
                <w:rFonts w:eastAsia="Arial"/>
                <w:color w:val="000000" w:themeColor="text1"/>
                <w:szCs w:val="22"/>
              </w:rPr>
              <w:t>the older person is Aboriginal or Torres Strait Islander</w:t>
            </w:r>
          </w:p>
        </w:tc>
      </w:tr>
      <w:tr w:rsidR="3FD93375" w14:paraId="1A9E4EC0" w14:textId="77777777" w:rsidTr="005F05C9">
        <w:trPr>
          <w:trHeight w:val="585"/>
        </w:trPr>
        <w:tc>
          <w:tcPr>
            <w:tcW w:w="183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Pr>
          <w:p w14:paraId="2218D675" w14:textId="261BC0C1" w:rsidR="3FD93375" w:rsidRDefault="3FD93375" w:rsidP="001F3915">
            <w:pPr>
              <w:spacing w:before="240" w:after="240"/>
              <w:rPr>
                <w:rFonts w:eastAsia="Arial"/>
                <w:color w:val="000000" w:themeColor="text1"/>
                <w:szCs w:val="22"/>
                <w:lang w:val="en-US"/>
              </w:rPr>
            </w:pPr>
            <w:r w:rsidRPr="3FD93375">
              <w:rPr>
                <w:rFonts w:eastAsia="Arial"/>
                <w:color w:val="000000" w:themeColor="text1"/>
                <w:szCs w:val="22"/>
                <w:lang w:val="en-US"/>
              </w:rPr>
              <w:t>Section 67</w:t>
            </w:r>
          </w:p>
        </w:tc>
        <w:tc>
          <w:tcPr>
            <w:tcW w:w="3015" w:type="dxa"/>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Mar>
              <w:top w:w="72" w:type="dxa"/>
              <w:left w:w="144" w:type="dxa"/>
              <w:bottom w:w="72" w:type="dxa"/>
              <w:right w:w="144" w:type="dxa"/>
            </w:tcMar>
          </w:tcPr>
          <w:p w14:paraId="0256A2D9" w14:textId="6A82B24B" w:rsidR="3FD93375" w:rsidRDefault="3FD93375" w:rsidP="001F3915">
            <w:pPr>
              <w:spacing w:before="240" w:after="240"/>
              <w:rPr>
                <w:rFonts w:eastAsia="Arial"/>
                <w:i/>
                <w:iCs/>
                <w:color w:val="000000" w:themeColor="text1"/>
                <w:szCs w:val="22"/>
                <w:lang w:val="en-US"/>
              </w:rPr>
            </w:pPr>
            <w:r w:rsidRPr="3FD93375">
              <w:rPr>
                <w:rFonts w:eastAsia="Arial"/>
                <w:color w:val="000000" w:themeColor="text1"/>
                <w:szCs w:val="22"/>
                <w:lang w:val="en-US"/>
              </w:rPr>
              <w:t xml:space="preserve">Section B </w:t>
            </w:r>
            <w:r>
              <w:br/>
            </w:r>
            <w:r w:rsidRPr="3FD93375">
              <w:rPr>
                <w:rFonts w:eastAsia="Arial"/>
                <w:i/>
                <w:iCs/>
                <w:color w:val="000000" w:themeColor="text1"/>
                <w:szCs w:val="22"/>
                <w:lang w:val="en-US"/>
              </w:rPr>
              <w:t>(most complex to complete – more info below)</w:t>
            </w:r>
          </w:p>
        </w:tc>
        <w:tc>
          <w:tcPr>
            <w:tcW w:w="4215" w:type="dxa"/>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Mar>
              <w:top w:w="72" w:type="dxa"/>
              <w:left w:w="144" w:type="dxa"/>
              <w:bottom w:w="72" w:type="dxa"/>
              <w:right w:w="144" w:type="dxa"/>
            </w:tcMar>
          </w:tcPr>
          <w:p w14:paraId="3191846D" w14:textId="4D4833F4" w:rsidR="3FD93375" w:rsidRDefault="3FD93375" w:rsidP="001F3915">
            <w:pPr>
              <w:pStyle w:val="ListParagraph"/>
              <w:numPr>
                <w:ilvl w:val="0"/>
                <w:numId w:val="554"/>
              </w:numPr>
              <w:spacing w:after="0"/>
              <w:ind w:left="313" w:hanging="284"/>
              <w:rPr>
                <w:rFonts w:eastAsia="Arial"/>
                <w:b/>
                <w:bCs/>
                <w:color w:val="000000" w:themeColor="text1"/>
                <w:szCs w:val="22"/>
              </w:rPr>
            </w:pPr>
            <w:r w:rsidRPr="3FD93375">
              <w:rPr>
                <w:rFonts w:eastAsia="Arial"/>
                <w:color w:val="000000" w:themeColor="text1"/>
                <w:szCs w:val="22"/>
              </w:rPr>
              <w:t xml:space="preserve">the older person is </w:t>
            </w:r>
            <w:r w:rsidRPr="3FD93375">
              <w:rPr>
                <w:rFonts w:eastAsia="Arial"/>
                <w:b/>
                <w:bCs/>
                <w:color w:val="000000" w:themeColor="text1"/>
                <w:szCs w:val="22"/>
              </w:rPr>
              <w:t>not</w:t>
            </w:r>
            <w:r w:rsidRPr="3FD93375">
              <w:rPr>
                <w:rFonts w:eastAsia="Arial"/>
                <w:color w:val="000000" w:themeColor="text1"/>
                <w:szCs w:val="22"/>
              </w:rPr>
              <w:t xml:space="preserve"> Aboriginal or Torres Strait Islander, </w:t>
            </w:r>
            <w:r w:rsidRPr="3FD93375">
              <w:rPr>
                <w:rFonts w:eastAsia="Arial"/>
                <w:b/>
                <w:bCs/>
                <w:color w:val="000000" w:themeColor="text1"/>
                <w:szCs w:val="22"/>
              </w:rPr>
              <w:t>and</w:t>
            </w:r>
          </w:p>
          <w:p w14:paraId="0B8D4B46" w14:textId="2604B372" w:rsidR="3FD93375" w:rsidRDefault="3FD93375" w:rsidP="001F3915">
            <w:pPr>
              <w:pStyle w:val="ListParagraph"/>
              <w:numPr>
                <w:ilvl w:val="0"/>
                <w:numId w:val="554"/>
              </w:numPr>
              <w:spacing w:after="0"/>
              <w:ind w:left="313" w:hanging="284"/>
              <w:rPr>
                <w:rFonts w:eastAsia="Arial"/>
                <w:color w:val="000000" w:themeColor="text1"/>
                <w:szCs w:val="22"/>
              </w:rPr>
            </w:pPr>
            <w:r w:rsidRPr="3FD93375">
              <w:rPr>
                <w:rFonts w:eastAsia="Arial"/>
                <w:color w:val="000000" w:themeColor="text1"/>
                <w:szCs w:val="22"/>
              </w:rPr>
              <w:t xml:space="preserve">the older person has been approved for the </w:t>
            </w:r>
            <w:r w:rsidRPr="3FD93375">
              <w:rPr>
                <w:rFonts w:eastAsia="Arial"/>
                <w:b/>
                <w:bCs/>
                <w:color w:val="000000" w:themeColor="text1"/>
                <w:szCs w:val="22"/>
              </w:rPr>
              <w:t>home support</w:t>
            </w:r>
            <w:r w:rsidRPr="3FD93375">
              <w:rPr>
                <w:rFonts w:eastAsia="Arial"/>
                <w:color w:val="000000" w:themeColor="text1"/>
                <w:szCs w:val="22"/>
              </w:rPr>
              <w:t xml:space="preserve">, </w:t>
            </w:r>
            <w:r w:rsidRPr="3FD93375">
              <w:rPr>
                <w:rFonts w:eastAsia="Arial"/>
                <w:b/>
                <w:bCs/>
                <w:color w:val="000000" w:themeColor="text1"/>
                <w:szCs w:val="22"/>
              </w:rPr>
              <w:t>assistive technology</w:t>
            </w:r>
            <w:r w:rsidRPr="3FD93375">
              <w:rPr>
                <w:rFonts w:eastAsia="Arial"/>
                <w:color w:val="000000" w:themeColor="text1"/>
                <w:szCs w:val="22"/>
              </w:rPr>
              <w:t xml:space="preserve"> or </w:t>
            </w:r>
            <w:r w:rsidRPr="3FD93375">
              <w:rPr>
                <w:rFonts w:eastAsia="Arial"/>
                <w:b/>
                <w:bCs/>
                <w:color w:val="000000" w:themeColor="text1"/>
                <w:szCs w:val="22"/>
              </w:rPr>
              <w:t>home modifications</w:t>
            </w:r>
            <w:r w:rsidRPr="3FD93375">
              <w:rPr>
                <w:rFonts w:eastAsia="Arial"/>
                <w:color w:val="000000" w:themeColor="text1"/>
                <w:szCs w:val="22"/>
              </w:rPr>
              <w:t xml:space="preserve"> service groups</w:t>
            </w:r>
          </w:p>
        </w:tc>
      </w:tr>
      <w:tr w:rsidR="3FD93375" w14:paraId="1305D452" w14:textId="77777777" w:rsidTr="005F05C9">
        <w:trPr>
          <w:trHeight w:val="585"/>
        </w:trPr>
        <w:tc>
          <w:tcPr>
            <w:tcW w:w="1830"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14:paraId="669AAE2C" w14:textId="313BCFA3" w:rsidR="3FD93375" w:rsidRDefault="3FD93375" w:rsidP="001F3915">
            <w:pPr>
              <w:spacing w:before="240" w:after="240"/>
              <w:rPr>
                <w:rFonts w:eastAsia="Arial"/>
                <w:color w:val="000000" w:themeColor="text1"/>
                <w:szCs w:val="22"/>
                <w:lang w:val="en-US"/>
              </w:rPr>
            </w:pPr>
            <w:r w:rsidRPr="3FD93375">
              <w:rPr>
                <w:rFonts w:eastAsia="Arial"/>
                <w:color w:val="000000" w:themeColor="text1"/>
                <w:szCs w:val="22"/>
                <w:lang w:val="en-US"/>
              </w:rPr>
              <w:t>Section 68</w:t>
            </w:r>
          </w:p>
        </w:tc>
        <w:tc>
          <w:tcPr>
            <w:tcW w:w="3015"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tcPr>
          <w:p w14:paraId="5FE2E9FE" w14:textId="7A1AB9AA" w:rsidR="3FD93375" w:rsidRDefault="3FD93375" w:rsidP="001F3915">
            <w:pPr>
              <w:spacing w:before="240" w:after="240"/>
              <w:rPr>
                <w:rFonts w:eastAsia="Arial"/>
                <w:color w:val="000000" w:themeColor="text1"/>
                <w:szCs w:val="22"/>
                <w:lang w:val="en-US"/>
              </w:rPr>
            </w:pPr>
            <w:r w:rsidRPr="3FD93375">
              <w:rPr>
                <w:rFonts w:eastAsia="Arial"/>
                <w:color w:val="000000" w:themeColor="text1"/>
                <w:szCs w:val="22"/>
                <w:lang w:val="en-US"/>
              </w:rPr>
              <w:t>Section C</w:t>
            </w:r>
          </w:p>
        </w:tc>
        <w:tc>
          <w:tcPr>
            <w:tcW w:w="4215"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tcPr>
          <w:p w14:paraId="57384B2C" w14:textId="53C26C11" w:rsidR="3FD93375" w:rsidRDefault="3FD93375" w:rsidP="001F3915">
            <w:pPr>
              <w:pStyle w:val="ListParagraph"/>
              <w:numPr>
                <w:ilvl w:val="0"/>
                <w:numId w:val="554"/>
              </w:numPr>
              <w:spacing w:after="0"/>
              <w:ind w:left="313" w:hanging="284"/>
              <w:rPr>
                <w:rFonts w:eastAsia="Arial"/>
                <w:b/>
                <w:bCs/>
                <w:color w:val="000000" w:themeColor="text1"/>
                <w:szCs w:val="22"/>
              </w:rPr>
            </w:pPr>
            <w:r w:rsidRPr="3FD93375">
              <w:rPr>
                <w:rFonts w:eastAsia="Arial"/>
                <w:color w:val="000000" w:themeColor="text1"/>
                <w:szCs w:val="22"/>
              </w:rPr>
              <w:t xml:space="preserve">the older person is </w:t>
            </w:r>
            <w:r w:rsidRPr="3FD93375">
              <w:rPr>
                <w:rFonts w:eastAsia="Arial"/>
                <w:b/>
                <w:bCs/>
                <w:color w:val="000000" w:themeColor="text1"/>
                <w:szCs w:val="22"/>
              </w:rPr>
              <w:t>not</w:t>
            </w:r>
            <w:r w:rsidRPr="3FD93375">
              <w:rPr>
                <w:rFonts w:eastAsia="Arial"/>
                <w:color w:val="000000" w:themeColor="text1"/>
                <w:szCs w:val="22"/>
              </w:rPr>
              <w:t xml:space="preserve"> Aboriginal or Torres Strait Islander, </w:t>
            </w:r>
            <w:r w:rsidRPr="3FD93375">
              <w:rPr>
                <w:rFonts w:eastAsia="Arial"/>
                <w:b/>
                <w:bCs/>
                <w:color w:val="000000" w:themeColor="text1"/>
                <w:szCs w:val="22"/>
              </w:rPr>
              <w:t>and</w:t>
            </w:r>
          </w:p>
          <w:p w14:paraId="034A67D7" w14:textId="76E929D6" w:rsidR="3FD93375" w:rsidRDefault="3FD93375" w:rsidP="001F3915">
            <w:pPr>
              <w:pStyle w:val="ListParagraph"/>
              <w:numPr>
                <w:ilvl w:val="0"/>
                <w:numId w:val="554"/>
              </w:numPr>
              <w:spacing w:after="0"/>
              <w:ind w:left="313" w:hanging="284"/>
              <w:rPr>
                <w:rFonts w:eastAsia="Arial"/>
                <w:color w:val="000000" w:themeColor="text1"/>
                <w:szCs w:val="22"/>
              </w:rPr>
            </w:pPr>
            <w:r w:rsidRPr="3FD93375">
              <w:rPr>
                <w:rFonts w:eastAsia="Arial"/>
                <w:color w:val="000000" w:themeColor="text1"/>
                <w:szCs w:val="22"/>
              </w:rPr>
              <w:t xml:space="preserve">the older person has been approved for the </w:t>
            </w:r>
            <w:r w:rsidRPr="3FD93375">
              <w:rPr>
                <w:rFonts w:eastAsia="Arial"/>
                <w:b/>
                <w:bCs/>
                <w:color w:val="000000" w:themeColor="text1"/>
                <w:szCs w:val="22"/>
              </w:rPr>
              <w:t>residential care</w:t>
            </w:r>
            <w:r w:rsidRPr="3FD93375">
              <w:rPr>
                <w:rFonts w:eastAsia="Arial"/>
                <w:color w:val="000000" w:themeColor="text1"/>
                <w:szCs w:val="22"/>
              </w:rPr>
              <w:t xml:space="preserve"> service group.</w:t>
            </w:r>
          </w:p>
        </w:tc>
      </w:tr>
    </w:tbl>
    <w:p w14:paraId="434C09BF" w14:textId="6B651C7A" w:rsidR="458B4B6A" w:rsidRDefault="458B4B6A" w:rsidP="00DA62E1">
      <w:pPr>
        <w:spacing w:before="240" w:after="240"/>
        <w:rPr>
          <w:rFonts w:eastAsia="Arial"/>
          <w:szCs w:val="22"/>
        </w:rPr>
      </w:pPr>
      <w:r w:rsidRPr="3FD93375">
        <w:rPr>
          <w:rFonts w:eastAsia="Arial"/>
          <w:szCs w:val="22"/>
          <w:lang w:val="en-US"/>
        </w:rPr>
        <w:t xml:space="preserve">Section B is the most complex for the </w:t>
      </w:r>
      <w:r w:rsidR="00AA7F55">
        <w:rPr>
          <w:rFonts w:eastAsia="Arial"/>
          <w:szCs w:val="22"/>
          <w:lang w:val="en-US"/>
        </w:rPr>
        <w:t>a</w:t>
      </w:r>
      <w:r w:rsidRPr="3FD93375">
        <w:rPr>
          <w:rFonts w:eastAsia="Arial"/>
          <w:szCs w:val="22"/>
          <w:lang w:val="en-US"/>
        </w:rPr>
        <w:t xml:space="preserve">ssessment </w:t>
      </w:r>
      <w:r w:rsidR="00AA7F55">
        <w:rPr>
          <w:rFonts w:eastAsia="Arial"/>
          <w:szCs w:val="22"/>
          <w:lang w:val="en-US"/>
        </w:rPr>
        <w:t>d</w:t>
      </w:r>
      <w:r w:rsidRPr="3FD93375">
        <w:rPr>
          <w:rFonts w:eastAsia="Arial"/>
          <w:szCs w:val="22"/>
          <w:lang w:val="en-US"/>
        </w:rPr>
        <w:t xml:space="preserve">elegate to complete. It includes a list of pre-defined reasons </w:t>
      </w:r>
      <w:r w:rsidRPr="3FD93375">
        <w:rPr>
          <w:rFonts w:eastAsia="Arial"/>
          <w:szCs w:val="22"/>
        </w:rPr>
        <w:t xml:space="preserve">why an older person may need access to service types/services in the home support, assistive technology or home modifications service groups. </w:t>
      </w:r>
      <w:r w:rsidR="0044290C">
        <w:rPr>
          <w:rFonts w:eastAsia="Arial"/>
          <w:szCs w:val="22"/>
        </w:rPr>
        <w:t>An</w:t>
      </w:r>
      <w:r w:rsidRPr="3FD93375">
        <w:rPr>
          <w:rFonts w:eastAsia="Arial"/>
          <w:szCs w:val="22"/>
        </w:rPr>
        <w:t xml:space="preserve"> </w:t>
      </w:r>
      <w:r w:rsidR="0044290C">
        <w:rPr>
          <w:rFonts w:eastAsia="Arial"/>
          <w:szCs w:val="22"/>
        </w:rPr>
        <w:t>a</w:t>
      </w:r>
      <w:r w:rsidRPr="3FD93375">
        <w:rPr>
          <w:rFonts w:eastAsia="Arial"/>
          <w:szCs w:val="22"/>
        </w:rPr>
        <w:t xml:space="preserve">ssessment </w:t>
      </w:r>
      <w:r w:rsidR="0044290C">
        <w:rPr>
          <w:rFonts w:eastAsia="Arial"/>
          <w:szCs w:val="22"/>
        </w:rPr>
        <w:t>d</w:t>
      </w:r>
      <w:r w:rsidRPr="3FD93375">
        <w:rPr>
          <w:rFonts w:eastAsia="Arial"/>
          <w:szCs w:val="22"/>
        </w:rPr>
        <w:t>elegate must choose the reasons that underpinned their decision to give access to these service types/services.</w:t>
      </w:r>
    </w:p>
    <w:p w14:paraId="2FA89301" w14:textId="190E4163" w:rsidR="458B4B6A" w:rsidRDefault="458B4B6A" w:rsidP="00DA62E1">
      <w:pPr>
        <w:spacing w:before="240" w:after="240"/>
        <w:rPr>
          <w:rFonts w:eastAsia="Arial"/>
          <w:szCs w:val="22"/>
        </w:rPr>
      </w:pPr>
      <w:r w:rsidRPr="3FD93375">
        <w:rPr>
          <w:rFonts w:eastAsia="Arial"/>
          <w:szCs w:val="22"/>
        </w:rPr>
        <w:t xml:space="preserve">For further guidance, see </w:t>
      </w:r>
      <w:r w:rsidRPr="3FD93375">
        <w:rPr>
          <w:rFonts w:eastAsia="Arial"/>
          <w:i/>
          <w:iCs/>
          <w:szCs w:val="22"/>
        </w:rPr>
        <w:t>Specific reason/s why access is needed under Section 67</w:t>
      </w:r>
      <w:r w:rsidRPr="3FD93375">
        <w:rPr>
          <w:rFonts w:eastAsia="Arial"/>
          <w:szCs w:val="22"/>
        </w:rPr>
        <w:t xml:space="preserve"> in Chapter 7, which includes a mapping of service types/services to potential applicable reasons.</w:t>
      </w:r>
    </w:p>
    <w:p w14:paraId="1928093A" w14:textId="021870C8" w:rsidR="458B4B6A" w:rsidRDefault="458B4B6A" w:rsidP="00DA62E1">
      <w:pPr>
        <w:spacing w:before="240" w:after="0"/>
        <w:rPr>
          <w:rFonts w:eastAsia="Arial"/>
          <w:b/>
          <w:bCs/>
          <w:szCs w:val="22"/>
        </w:rPr>
      </w:pPr>
      <w:r w:rsidRPr="3FD93375">
        <w:rPr>
          <w:rFonts w:eastAsia="Arial"/>
          <w:b/>
          <w:bCs/>
          <w:szCs w:val="22"/>
        </w:rPr>
        <w:t xml:space="preserve">Reasons for decisions: non-approval </w:t>
      </w:r>
    </w:p>
    <w:p w14:paraId="00E94DDD" w14:textId="2DDF20DC" w:rsidR="458B4B6A" w:rsidRDefault="458B4B6A" w:rsidP="00DA62E1">
      <w:pPr>
        <w:spacing w:before="240" w:after="240"/>
        <w:rPr>
          <w:rFonts w:eastAsia="Arial"/>
          <w:szCs w:val="22"/>
        </w:rPr>
      </w:pPr>
      <w:r w:rsidRPr="3FD93375">
        <w:rPr>
          <w:rFonts w:eastAsia="Arial"/>
          <w:szCs w:val="22"/>
        </w:rPr>
        <w:t xml:space="preserve">If one or more approvals were recommended by the assessor and/or requested by the older person but were </w:t>
      </w:r>
      <w:r w:rsidRPr="3FD93375">
        <w:rPr>
          <w:rFonts w:eastAsia="Arial"/>
          <w:b/>
          <w:bCs/>
          <w:szCs w:val="22"/>
        </w:rPr>
        <w:t>not</w:t>
      </w:r>
      <w:r w:rsidRPr="3FD93375">
        <w:rPr>
          <w:rFonts w:eastAsia="Arial"/>
          <w:szCs w:val="22"/>
        </w:rPr>
        <w:t xml:space="preserve"> approved, </w:t>
      </w:r>
      <w:r w:rsidR="0044290C">
        <w:rPr>
          <w:rFonts w:eastAsia="Arial"/>
          <w:szCs w:val="22"/>
        </w:rPr>
        <w:t>an</w:t>
      </w:r>
      <w:r w:rsidRPr="3FD93375">
        <w:rPr>
          <w:rFonts w:eastAsia="Arial"/>
          <w:szCs w:val="22"/>
        </w:rPr>
        <w:t xml:space="preserve"> </w:t>
      </w:r>
      <w:r w:rsidR="0044290C">
        <w:rPr>
          <w:rFonts w:eastAsia="Arial"/>
          <w:szCs w:val="22"/>
        </w:rPr>
        <w:t>a</w:t>
      </w:r>
      <w:r w:rsidRPr="3FD93375">
        <w:rPr>
          <w:rFonts w:eastAsia="Arial"/>
          <w:szCs w:val="22"/>
        </w:rPr>
        <w:t xml:space="preserve">ssessment </w:t>
      </w:r>
      <w:r w:rsidR="0044290C">
        <w:rPr>
          <w:rFonts w:eastAsia="Arial"/>
          <w:szCs w:val="22"/>
        </w:rPr>
        <w:t>d</w:t>
      </w:r>
      <w:r w:rsidRPr="3FD93375">
        <w:rPr>
          <w:rFonts w:eastAsia="Arial"/>
          <w:szCs w:val="22"/>
        </w:rPr>
        <w:t>elegate must provide reasons why they did not to approve access to the service group, service type or service. Relevant situations are summarised in the following table.</w:t>
      </w:r>
    </w:p>
    <w:p w14:paraId="32CB9C07" w14:textId="634E695F" w:rsidR="458B4B6A" w:rsidRDefault="458B4B6A" w:rsidP="00DA62E1">
      <w:pPr>
        <w:spacing w:before="240" w:after="240"/>
        <w:rPr>
          <w:rFonts w:eastAsia="Arial"/>
          <w:b/>
          <w:bCs/>
          <w:color w:val="0E2841"/>
          <w:sz w:val="21"/>
          <w:szCs w:val="21"/>
        </w:rPr>
      </w:pPr>
      <w:r w:rsidRPr="3FD93375">
        <w:rPr>
          <w:rFonts w:eastAsia="Arial"/>
          <w:b/>
          <w:bCs/>
          <w:color w:val="0E2841"/>
          <w:sz w:val="21"/>
          <w:szCs w:val="21"/>
        </w:rPr>
        <w:t>Table 52. Summary of situations relevant to non-approval of recommend and/or requested approvals</w:t>
      </w:r>
    </w:p>
    <w:tbl>
      <w:tblPr>
        <w:tblW w:w="0" w:type="auto"/>
        <w:tblLook w:val="0420" w:firstRow="1" w:lastRow="0" w:firstColumn="0" w:lastColumn="0" w:noHBand="0" w:noVBand="1"/>
      </w:tblPr>
      <w:tblGrid>
        <w:gridCol w:w="6375"/>
        <w:gridCol w:w="2550"/>
      </w:tblGrid>
      <w:tr w:rsidR="3FD93375" w14:paraId="759E7750" w14:textId="77777777" w:rsidTr="3FD93375">
        <w:trPr>
          <w:trHeight w:val="240"/>
        </w:trPr>
        <w:tc>
          <w:tcPr>
            <w:tcW w:w="6375" w:type="dxa"/>
            <w:shd w:val="clear" w:color="auto" w:fill="002060"/>
            <w:tcMar>
              <w:top w:w="72" w:type="dxa"/>
              <w:left w:w="144" w:type="dxa"/>
              <w:bottom w:w="72" w:type="dxa"/>
              <w:right w:w="144" w:type="dxa"/>
            </w:tcMar>
          </w:tcPr>
          <w:p w14:paraId="2C7E60B6" w14:textId="70AEB5B1" w:rsidR="3FD93375" w:rsidRDefault="3FD93375" w:rsidP="00DA62E1">
            <w:pPr>
              <w:spacing w:before="240" w:after="240"/>
              <w:rPr>
                <w:rFonts w:eastAsia="Arial"/>
                <w:b/>
                <w:bCs/>
                <w:color w:val="FFFFFF" w:themeColor="background1"/>
                <w:szCs w:val="22"/>
                <w:lang w:val="en-US"/>
              </w:rPr>
            </w:pPr>
            <w:r w:rsidRPr="3FD93375">
              <w:rPr>
                <w:rFonts w:eastAsia="Arial"/>
                <w:b/>
                <w:bCs/>
                <w:color w:val="FFFFFF" w:themeColor="background1"/>
                <w:szCs w:val="22"/>
                <w:lang w:val="en-US"/>
              </w:rPr>
              <w:t xml:space="preserve">Situation </w:t>
            </w:r>
          </w:p>
        </w:tc>
        <w:tc>
          <w:tcPr>
            <w:tcW w:w="2550" w:type="dxa"/>
            <w:shd w:val="clear" w:color="auto" w:fill="002060"/>
          </w:tcPr>
          <w:p w14:paraId="52CF2B0C" w14:textId="34BF8556" w:rsidR="3FD93375" w:rsidRDefault="3FD93375" w:rsidP="00DA62E1">
            <w:pPr>
              <w:spacing w:before="240" w:after="240"/>
              <w:rPr>
                <w:rFonts w:eastAsia="Arial"/>
                <w:b/>
                <w:bCs/>
                <w:color w:val="FFFFFF" w:themeColor="background1"/>
                <w:szCs w:val="22"/>
                <w:lang w:val="en-US"/>
              </w:rPr>
            </w:pPr>
            <w:r w:rsidRPr="3FD93375">
              <w:rPr>
                <w:rFonts w:eastAsia="Arial"/>
                <w:b/>
                <w:bCs/>
                <w:color w:val="FFFFFF" w:themeColor="background1"/>
                <w:szCs w:val="22"/>
                <w:lang w:val="en-US"/>
              </w:rPr>
              <w:t xml:space="preserve">Applicable Notice of Decision template </w:t>
            </w:r>
          </w:p>
        </w:tc>
      </w:tr>
      <w:tr w:rsidR="3FD93375" w14:paraId="07E327DE" w14:textId="77777777" w:rsidTr="3FD93375">
        <w:trPr>
          <w:trHeight w:val="1350"/>
        </w:trPr>
        <w:tc>
          <w:tcPr>
            <w:tcW w:w="6375" w:type="dxa"/>
            <w:tcBorders>
              <w:left w:val="nil"/>
              <w:bottom w:val="single" w:sz="8" w:space="0" w:color="auto"/>
              <w:right w:val="nil"/>
            </w:tcBorders>
            <w:shd w:val="clear" w:color="auto" w:fill="FFFFFF" w:themeFill="background1"/>
            <w:tcMar>
              <w:top w:w="72" w:type="dxa"/>
              <w:left w:w="144" w:type="dxa"/>
              <w:bottom w:w="72" w:type="dxa"/>
              <w:right w:w="144" w:type="dxa"/>
            </w:tcMar>
          </w:tcPr>
          <w:p w14:paraId="12140204" w14:textId="0F50B98B" w:rsidR="3FD93375" w:rsidRDefault="3FD93375" w:rsidP="00DA62E1">
            <w:pPr>
              <w:spacing w:before="240" w:after="240"/>
              <w:rPr>
                <w:rFonts w:eastAsia="Arial"/>
                <w:color w:val="000000" w:themeColor="text1"/>
                <w:szCs w:val="22"/>
              </w:rPr>
            </w:pPr>
            <w:r w:rsidRPr="3FD93375">
              <w:rPr>
                <w:rFonts w:eastAsia="Arial"/>
                <w:color w:val="000000" w:themeColor="text1"/>
                <w:szCs w:val="22"/>
              </w:rPr>
              <w:t>A</w:t>
            </w:r>
            <w:r w:rsidR="00635A4D">
              <w:rPr>
                <w:rFonts w:eastAsia="Arial"/>
                <w:color w:val="000000" w:themeColor="text1"/>
                <w:szCs w:val="22"/>
              </w:rPr>
              <w:t>n initial</w:t>
            </w:r>
            <w:r w:rsidRPr="3FD93375">
              <w:rPr>
                <w:rFonts w:eastAsia="Arial"/>
                <w:color w:val="000000" w:themeColor="text1"/>
                <w:szCs w:val="22"/>
              </w:rPr>
              <w:t xml:space="preserve"> assessment or reassessment/Support Plan Review where some of the services recommended or requested have not been approved (while others have been approved).</w:t>
            </w:r>
          </w:p>
        </w:tc>
        <w:tc>
          <w:tcPr>
            <w:tcW w:w="2550" w:type="dxa"/>
            <w:tcBorders>
              <w:left w:val="nil"/>
              <w:bottom w:val="single" w:sz="8" w:space="0" w:color="auto"/>
              <w:right w:val="nil"/>
            </w:tcBorders>
            <w:shd w:val="clear" w:color="auto" w:fill="FFFFFF" w:themeFill="background1"/>
          </w:tcPr>
          <w:p w14:paraId="2E5B30FB" w14:textId="15CC4305" w:rsidR="3FD93375" w:rsidRDefault="3FD93375" w:rsidP="00DA62E1">
            <w:pPr>
              <w:spacing w:before="240" w:after="240"/>
              <w:rPr>
                <w:rFonts w:eastAsia="Arial"/>
                <w:b/>
                <w:bCs/>
                <w:color w:val="000000" w:themeColor="text1"/>
                <w:szCs w:val="22"/>
              </w:rPr>
            </w:pPr>
            <w:r w:rsidRPr="3FD93375">
              <w:rPr>
                <w:rFonts w:eastAsia="Arial"/>
                <w:b/>
                <w:bCs/>
                <w:color w:val="000000" w:themeColor="text1"/>
                <w:szCs w:val="22"/>
              </w:rPr>
              <w:t>Approval Letter</w:t>
            </w:r>
          </w:p>
        </w:tc>
      </w:tr>
      <w:tr w:rsidR="3FD93375" w14:paraId="366CF5B8" w14:textId="77777777" w:rsidTr="3FD93375">
        <w:trPr>
          <w:trHeight w:val="585"/>
        </w:trPr>
        <w:tc>
          <w:tcPr>
            <w:tcW w:w="6375" w:type="dxa"/>
            <w:tcBorders>
              <w:top w:val="single" w:sz="8" w:space="0" w:color="auto"/>
              <w:left w:val="nil"/>
              <w:bottom w:val="nil"/>
              <w:right w:val="nil"/>
            </w:tcBorders>
            <w:shd w:val="clear" w:color="auto" w:fill="FFFFFF" w:themeFill="background1"/>
            <w:tcMar>
              <w:top w:w="72" w:type="dxa"/>
              <w:left w:w="144" w:type="dxa"/>
              <w:bottom w:w="72" w:type="dxa"/>
              <w:right w:w="144" w:type="dxa"/>
            </w:tcMar>
          </w:tcPr>
          <w:p w14:paraId="1C8EEED3" w14:textId="231B37AA" w:rsidR="3FD93375" w:rsidRDefault="3FD93375" w:rsidP="00DA62E1">
            <w:pPr>
              <w:spacing w:before="240" w:after="240"/>
              <w:rPr>
                <w:rFonts w:eastAsia="Arial"/>
                <w:color w:val="000000" w:themeColor="text1"/>
                <w:szCs w:val="22"/>
              </w:rPr>
            </w:pPr>
            <w:r w:rsidRPr="3FD93375">
              <w:rPr>
                <w:rFonts w:eastAsia="Arial"/>
                <w:color w:val="000000" w:themeColor="text1"/>
                <w:szCs w:val="22"/>
              </w:rPr>
              <w:t>A first assessment where the older person has been found ineligible to access to any services.</w:t>
            </w:r>
          </w:p>
          <w:p w14:paraId="0B359258" w14:textId="2082CBC6" w:rsidR="3FD93375" w:rsidRDefault="3FD93375" w:rsidP="00DA62E1">
            <w:pPr>
              <w:spacing w:before="240" w:after="240"/>
              <w:rPr>
                <w:rFonts w:eastAsia="Arial"/>
                <w:color w:val="000000" w:themeColor="text1"/>
                <w:szCs w:val="22"/>
              </w:rPr>
            </w:pPr>
            <w:r w:rsidRPr="3FD93375">
              <w:rPr>
                <w:rFonts w:eastAsia="Arial"/>
                <w:color w:val="000000" w:themeColor="text1"/>
                <w:szCs w:val="22"/>
              </w:rPr>
              <w:t xml:space="preserve">A reassessment/Support Plan Review where no </w:t>
            </w:r>
            <w:r w:rsidRPr="3FD93375">
              <w:rPr>
                <w:rFonts w:eastAsia="Arial"/>
                <w:b/>
                <w:bCs/>
                <w:color w:val="000000" w:themeColor="text1"/>
                <w:szCs w:val="22"/>
              </w:rPr>
              <w:t>additional</w:t>
            </w:r>
            <w:r w:rsidRPr="3FD93375">
              <w:rPr>
                <w:rFonts w:eastAsia="Arial"/>
                <w:color w:val="000000" w:themeColor="text1"/>
                <w:szCs w:val="22"/>
              </w:rPr>
              <w:t xml:space="preserve"> services have been approved.</w:t>
            </w:r>
          </w:p>
        </w:tc>
        <w:tc>
          <w:tcPr>
            <w:tcW w:w="2550" w:type="dxa"/>
            <w:tcBorders>
              <w:top w:val="single" w:sz="8" w:space="0" w:color="auto"/>
              <w:left w:val="nil"/>
              <w:bottom w:val="nil"/>
              <w:right w:val="nil"/>
            </w:tcBorders>
            <w:shd w:val="clear" w:color="auto" w:fill="FFFFFF" w:themeFill="background1"/>
          </w:tcPr>
          <w:p w14:paraId="75D211DE" w14:textId="5C48DBA2" w:rsidR="3FD93375" w:rsidRDefault="3FD93375" w:rsidP="00DA62E1">
            <w:pPr>
              <w:spacing w:before="240" w:after="240"/>
              <w:rPr>
                <w:rFonts w:eastAsia="Arial"/>
                <w:b/>
                <w:bCs/>
                <w:color w:val="000000" w:themeColor="text1"/>
                <w:szCs w:val="22"/>
              </w:rPr>
            </w:pPr>
            <w:r w:rsidRPr="3FD93375">
              <w:rPr>
                <w:rFonts w:eastAsia="Arial"/>
                <w:b/>
                <w:bCs/>
                <w:color w:val="000000" w:themeColor="text1"/>
                <w:szCs w:val="22"/>
              </w:rPr>
              <w:t>Non-Approval Letter</w:t>
            </w:r>
          </w:p>
        </w:tc>
      </w:tr>
    </w:tbl>
    <w:p w14:paraId="63A12470" w14:textId="68A3494E" w:rsidR="458B4B6A" w:rsidRDefault="458B4B6A" w:rsidP="00DA62E1">
      <w:pPr>
        <w:tabs>
          <w:tab w:val="left" w:pos="720"/>
        </w:tabs>
        <w:spacing w:before="240" w:after="240"/>
        <w:rPr>
          <w:rFonts w:eastAsia="Arial"/>
          <w:szCs w:val="22"/>
        </w:rPr>
      </w:pPr>
      <w:r w:rsidRPr="3FD93375">
        <w:rPr>
          <w:rFonts w:eastAsia="Arial"/>
          <w:szCs w:val="22"/>
        </w:rPr>
        <w:t xml:space="preserve">For non-approval reasons </w:t>
      </w:r>
      <w:r w:rsidR="0044290C">
        <w:rPr>
          <w:rFonts w:eastAsia="Arial"/>
          <w:szCs w:val="22"/>
        </w:rPr>
        <w:t>an</w:t>
      </w:r>
      <w:r w:rsidRPr="3FD93375">
        <w:rPr>
          <w:rFonts w:eastAsia="Arial"/>
          <w:szCs w:val="22"/>
        </w:rPr>
        <w:t xml:space="preserve"> </w:t>
      </w:r>
      <w:r w:rsidR="0044290C">
        <w:rPr>
          <w:rFonts w:eastAsia="Arial"/>
          <w:szCs w:val="22"/>
        </w:rPr>
        <w:t>a</w:t>
      </w:r>
      <w:r w:rsidRPr="3FD93375">
        <w:rPr>
          <w:rFonts w:eastAsia="Arial"/>
          <w:szCs w:val="22"/>
        </w:rPr>
        <w:t xml:space="preserve">ssessment </w:t>
      </w:r>
      <w:r w:rsidR="0044290C">
        <w:rPr>
          <w:rFonts w:eastAsia="Arial"/>
          <w:szCs w:val="22"/>
        </w:rPr>
        <w:t>d</w:t>
      </w:r>
      <w:r w:rsidRPr="3FD93375">
        <w:rPr>
          <w:rFonts w:eastAsia="Arial"/>
          <w:szCs w:val="22"/>
        </w:rPr>
        <w:t xml:space="preserve">elegate must: consider how the individual’s circumstances relate to all the relevant </w:t>
      </w:r>
      <w:r w:rsidR="00C46CB7" w:rsidRPr="3FD93375">
        <w:rPr>
          <w:rFonts w:eastAsia="Arial"/>
          <w:szCs w:val="22"/>
        </w:rPr>
        <w:t>eligibility</w:t>
      </w:r>
      <w:r w:rsidRPr="3FD93375">
        <w:rPr>
          <w:rFonts w:eastAsia="Arial"/>
          <w:szCs w:val="22"/>
        </w:rPr>
        <w:t xml:space="preserve"> criteria set out in the </w:t>
      </w:r>
      <w:r w:rsidRPr="3FD93375">
        <w:rPr>
          <w:rFonts w:eastAsia="Arial"/>
          <w:i/>
          <w:iCs/>
          <w:szCs w:val="22"/>
        </w:rPr>
        <w:t>Aged Care Act 2024</w:t>
      </w:r>
      <w:r w:rsidRPr="3FD93375">
        <w:rPr>
          <w:rFonts w:eastAsia="Arial"/>
          <w:szCs w:val="22"/>
        </w:rPr>
        <w:t xml:space="preserve"> and the </w:t>
      </w:r>
      <w:r w:rsidRPr="3FD93375">
        <w:rPr>
          <w:rFonts w:eastAsia="Arial"/>
          <w:i/>
          <w:iCs/>
          <w:szCs w:val="22"/>
        </w:rPr>
        <w:t>Aged Care Rules 2025</w:t>
      </w:r>
      <w:r w:rsidRPr="3FD93375">
        <w:rPr>
          <w:rFonts w:eastAsia="Arial"/>
          <w:szCs w:val="22"/>
        </w:rPr>
        <w:t xml:space="preserve"> for the particular service. </w:t>
      </w:r>
    </w:p>
    <w:p w14:paraId="7B064799" w14:textId="4E48F732" w:rsidR="458B4B6A" w:rsidRDefault="458B4B6A" w:rsidP="00DA62E1">
      <w:pPr>
        <w:tabs>
          <w:tab w:val="left" w:pos="720"/>
        </w:tabs>
        <w:spacing w:before="240" w:after="240"/>
        <w:rPr>
          <w:rFonts w:eastAsia="Arial"/>
          <w:szCs w:val="22"/>
        </w:rPr>
      </w:pPr>
      <w:r w:rsidRPr="3FD93375">
        <w:rPr>
          <w:rFonts w:eastAsia="Arial"/>
          <w:szCs w:val="22"/>
        </w:rPr>
        <w:t xml:space="preserve">For </w:t>
      </w:r>
      <w:r w:rsidR="00404FA9">
        <w:rPr>
          <w:rFonts w:eastAsia="Arial"/>
          <w:szCs w:val="22"/>
        </w:rPr>
        <w:t>an</w:t>
      </w:r>
      <w:r w:rsidRPr="3FD93375">
        <w:rPr>
          <w:rFonts w:eastAsia="Arial"/>
          <w:szCs w:val="22"/>
        </w:rPr>
        <w:t xml:space="preserve"> older person to be considered eligible for a particular service group, service type etc, </w:t>
      </w:r>
      <w:r w:rsidR="00404FA9">
        <w:rPr>
          <w:rFonts w:eastAsia="Arial"/>
          <w:szCs w:val="22"/>
        </w:rPr>
        <w:t>an</w:t>
      </w:r>
      <w:r w:rsidRPr="3FD93375">
        <w:rPr>
          <w:rFonts w:eastAsia="Arial"/>
          <w:szCs w:val="22"/>
        </w:rPr>
        <w:t xml:space="preserve"> </w:t>
      </w:r>
      <w:r w:rsidR="00404FA9">
        <w:rPr>
          <w:rFonts w:eastAsia="Arial"/>
          <w:szCs w:val="22"/>
        </w:rPr>
        <w:t>a</w:t>
      </w:r>
      <w:r w:rsidRPr="3FD93375">
        <w:rPr>
          <w:rFonts w:eastAsia="Arial"/>
          <w:szCs w:val="22"/>
        </w:rPr>
        <w:t xml:space="preserve">ssessment </w:t>
      </w:r>
      <w:r w:rsidR="00404FA9">
        <w:rPr>
          <w:rFonts w:eastAsia="Arial"/>
          <w:szCs w:val="22"/>
        </w:rPr>
        <w:t>d</w:t>
      </w:r>
      <w:r w:rsidRPr="3FD93375">
        <w:rPr>
          <w:rFonts w:eastAsia="Arial"/>
          <w:szCs w:val="22"/>
        </w:rPr>
        <w:t xml:space="preserve">elegate must be satisfied that </w:t>
      </w:r>
      <w:r w:rsidRPr="3FD93375">
        <w:rPr>
          <w:rFonts w:eastAsia="Arial"/>
          <w:b/>
          <w:bCs/>
          <w:szCs w:val="22"/>
        </w:rPr>
        <w:t>all</w:t>
      </w:r>
      <w:r w:rsidRPr="3FD93375">
        <w:rPr>
          <w:rFonts w:eastAsia="Arial"/>
          <w:szCs w:val="22"/>
        </w:rPr>
        <w:t xml:space="preserve"> of the relevant </w:t>
      </w:r>
      <w:r w:rsidR="00C46CB7" w:rsidRPr="3FD93375">
        <w:rPr>
          <w:rFonts w:eastAsia="Arial"/>
          <w:szCs w:val="22"/>
        </w:rPr>
        <w:t>eligibility</w:t>
      </w:r>
      <w:r w:rsidRPr="3FD93375">
        <w:rPr>
          <w:rFonts w:eastAsia="Arial"/>
          <w:szCs w:val="22"/>
        </w:rPr>
        <w:t xml:space="preserve"> criteria apply. If they do not meet all of the criteria – they cannot be approved. </w:t>
      </w:r>
    </w:p>
    <w:p w14:paraId="23E59F6A" w14:textId="56AA3F87" w:rsidR="458B4B6A" w:rsidRDefault="00F8386E" w:rsidP="00DA62E1">
      <w:pPr>
        <w:tabs>
          <w:tab w:val="left" w:pos="720"/>
        </w:tabs>
        <w:spacing w:before="240" w:after="240"/>
        <w:rPr>
          <w:rFonts w:eastAsia="Arial"/>
          <w:szCs w:val="22"/>
        </w:rPr>
      </w:pPr>
      <w:r>
        <w:rPr>
          <w:rFonts w:eastAsia="Arial"/>
          <w:szCs w:val="22"/>
        </w:rPr>
        <w:t>T</w:t>
      </w:r>
      <w:r w:rsidR="458B4B6A" w:rsidRPr="3FD93375">
        <w:rPr>
          <w:rFonts w:eastAsia="Arial"/>
          <w:szCs w:val="22"/>
        </w:rPr>
        <w:t xml:space="preserve">he free text sections in the NoD template </w:t>
      </w:r>
      <w:r>
        <w:rPr>
          <w:rFonts w:eastAsia="Arial"/>
          <w:szCs w:val="22"/>
        </w:rPr>
        <w:t xml:space="preserve">can be used </w:t>
      </w:r>
      <w:r w:rsidR="458B4B6A" w:rsidRPr="3FD93375">
        <w:rPr>
          <w:rFonts w:eastAsia="Arial"/>
          <w:szCs w:val="22"/>
        </w:rPr>
        <w:t xml:space="preserve">to provide a brief summary of the reasons why the older person does not meet the eligibility criteria. </w:t>
      </w:r>
    </w:p>
    <w:p w14:paraId="5DF3C266" w14:textId="61C5D287" w:rsidR="458B4B6A" w:rsidRDefault="00F8386E" w:rsidP="00217030">
      <w:pPr>
        <w:tabs>
          <w:tab w:val="left" w:pos="720"/>
        </w:tabs>
        <w:spacing w:before="240" w:after="0"/>
        <w:rPr>
          <w:rFonts w:eastAsia="Arial"/>
          <w:szCs w:val="22"/>
        </w:rPr>
      </w:pPr>
      <w:r>
        <w:rPr>
          <w:rFonts w:eastAsia="Arial"/>
          <w:szCs w:val="22"/>
        </w:rPr>
        <w:t>An</w:t>
      </w:r>
      <w:r w:rsidR="458B4B6A" w:rsidRPr="3FD93375">
        <w:rPr>
          <w:rFonts w:eastAsia="Arial"/>
          <w:szCs w:val="22"/>
        </w:rPr>
        <w:t xml:space="preserve"> </w:t>
      </w:r>
      <w:r>
        <w:rPr>
          <w:rFonts w:eastAsia="Arial"/>
          <w:szCs w:val="22"/>
        </w:rPr>
        <w:t>a</w:t>
      </w:r>
      <w:r w:rsidR="458B4B6A" w:rsidRPr="3FD93375">
        <w:rPr>
          <w:rFonts w:eastAsia="Arial"/>
          <w:szCs w:val="22"/>
        </w:rPr>
        <w:t xml:space="preserve">ssessment </w:t>
      </w:r>
      <w:r>
        <w:rPr>
          <w:rFonts w:eastAsia="Arial"/>
          <w:szCs w:val="22"/>
        </w:rPr>
        <w:t>d</w:t>
      </w:r>
      <w:r w:rsidR="458B4B6A" w:rsidRPr="3FD93375">
        <w:rPr>
          <w:rFonts w:eastAsia="Arial"/>
          <w:szCs w:val="22"/>
        </w:rPr>
        <w:t xml:space="preserve">elegate must refer to the individual’s unique circumstances and information in the assessment report (support plan). The </w:t>
      </w:r>
      <w:r w:rsidR="00572DAF">
        <w:rPr>
          <w:rFonts w:eastAsia="Arial"/>
          <w:szCs w:val="22"/>
        </w:rPr>
        <w:t>a</w:t>
      </w:r>
      <w:r w:rsidR="458B4B6A" w:rsidRPr="3FD93375">
        <w:rPr>
          <w:rFonts w:eastAsia="Arial"/>
          <w:szCs w:val="22"/>
        </w:rPr>
        <w:t xml:space="preserve">ssessment </w:t>
      </w:r>
      <w:r w:rsidR="00572DAF">
        <w:rPr>
          <w:rFonts w:eastAsia="Arial"/>
          <w:szCs w:val="22"/>
        </w:rPr>
        <w:t>d</w:t>
      </w:r>
      <w:r w:rsidR="458B4B6A" w:rsidRPr="3FD93375">
        <w:rPr>
          <w:rFonts w:eastAsia="Arial"/>
          <w:szCs w:val="22"/>
        </w:rPr>
        <w:t xml:space="preserve">elegate must include details of how the individual’s circumstances related to the eligibility criteria and therefore informed the decision not to approve. </w:t>
      </w:r>
      <w:r w:rsidR="458B4B6A">
        <w:br/>
      </w:r>
      <w:r w:rsidR="458B4B6A">
        <w:br/>
      </w:r>
      <w:r w:rsidR="458B4B6A" w:rsidRPr="3FD93375">
        <w:rPr>
          <w:rFonts w:eastAsia="Arial"/>
          <w:szCs w:val="22"/>
        </w:rPr>
        <w:t>The instructions in the NoD templates prompt the delegate when free text description is required. They also include example text to demonstrate the level of detail Assessment Delegates must provide when completing the free-text section for non-approval reasons.</w:t>
      </w:r>
      <w:r w:rsidR="458B4B6A">
        <w:br/>
      </w:r>
      <w:r w:rsidR="458B4B6A">
        <w:br/>
      </w:r>
      <w:r w:rsidR="458B4B6A" w:rsidRPr="3FD93375">
        <w:rPr>
          <w:rFonts w:eastAsia="Arial"/>
          <w:szCs w:val="22"/>
        </w:rPr>
        <w:t xml:space="preserve">The generated NoD account for the scenarios that are most likely to occur in practice. If the Assessment Delegate encounters a scenario that is not covered in the template, their Operational Manager can contact the department at </w:t>
      </w:r>
      <w:hyperlink r:id="rId243" w:history="1">
        <w:r w:rsidR="458B4B6A" w:rsidRPr="3FD93375">
          <w:rPr>
            <w:rStyle w:val="Hyperlink"/>
            <w:rFonts w:eastAsia="Arial"/>
            <w:szCs w:val="22"/>
          </w:rPr>
          <w:t>myagedcare.assessment@health.gov.au</w:t>
        </w:r>
      </w:hyperlink>
      <w:r w:rsidR="458B4B6A" w:rsidRPr="3FD93375">
        <w:rPr>
          <w:rFonts w:eastAsia="Arial"/>
          <w:szCs w:val="22"/>
        </w:rPr>
        <w:t xml:space="preserve"> for further guidance.</w:t>
      </w:r>
    </w:p>
    <w:p w14:paraId="50B23D16" w14:textId="5F64449F" w:rsidR="458B4B6A" w:rsidRDefault="458B4B6A" w:rsidP="008B5271">
      <w:pPr>
        <w:spacing w:before="240" w:after="0"/>
        <w:rPr>
          <w:rFonts w:eastAsia="Arial"/>
          <w:b/>
          <w:bCs/>
          <w:szCs w:val="22"/>
        </w:rPr>
      </w:pPr>
      <w:r w:rsidRPr="3FD93375">
        <w:rPr>
          <w:rFonts w:eastAsia="Arial"/>
          <w:b/>
          <w:bCs/>
          <w:szCs w:val="22"/>
        </w:rPr>
        <w:t>Reasons for decision – Transition Care Program</w:t>
      </w:r>
    </w:p>
    <w:p w14:paraId="3EBCD4E0" w14:textId="23ABC80F" w:rsidR="458B4B6A" w:rsidRDefault="458B4B6A" w:rsidP="008B5271">
      <w:pPr>
        <w:spacing w:after="0"/>
        <w:rPr>
          <w:rFonts w:eastAsia="Arial"/>
          <w:sz w:val="20"/>
          <w:szCs w:val="20"/>
          <w:lang w:val="en-US"/>
        </w:rPr>
      </w:pPr>
      <w:r w:rsidRPr="3FD93375">
        <w:rPr>
          <w:rFonts w:eastAsia="Arial"/>
          <w:sz w:val="20"/>
          <w:szCs w:val="20"/>
          <w:lang w:val="en-US"/>
        </w:rPr>
        <w:t xml:space="preserve"> </w:t>
      </w:r>
    </w:p>
    <w:p w14:paraId="0163A152" w14:textId="2626637F" w:rsidR="458B4B6A" w:rsidRDefault="00462A34" w:rsidP="008B5271">
      <w:pPr>
        <w:spacing w:after="0"/>
        <w:rPr>
          <w:rFonts w:eastAsia="Arial"/>
          <w:szCs w:val="22"/>
        </w:rPr>
      </w:pPr>
      <w:r>
        <w:rPr>
          <w:rFonts w:eastAsia="Arial"/>
          <w:szCs w:val="22"/>
          <w:lang w:val="en-US"/>
        </w:rPr>
        <w:t>A</w:t>
      </w:r>
      <w:r w:rsidR="458B4B6A" w:rsidRPr="3FD93375">
        <w:rPr>
          <w:rFonts w:eastAsia="Arial"/>
          <w:szCs w:val="22"/>
          <w:lang w:val="en-US"/>
        </w:rPr>
        <w:t xml:space="preserve">n approval for TCP </w:t>
      </w:r>
      <w:r w:rsidR="458B4B6A" w:rsidRPr="3FD93375">
        <w:rPr>
          <w:rFonts w:eastAsia="Arial"/>
          <w:szCs w:val="22"/>
        </w:rPr>
        <w:t>is an approval for three service groups under the Act: home support, assistive technology and residential care. An approval for TCP is always an approval for all three service groups, regardless of which TCP services are used.</w:t>
      </w:r>
    </w:p>
    <w:p w14:paraId="7F1F4617" w14:textId="05AA21BE" w:rsidR="458B4B6A" w:rsidRDefault="458B4B6A" w:rsidP="008B5271">
      <w:pPr>
        <w:spacing w:after="0"/>
        <w:rPr>
          <w:rFonts w:eastAsia="Arial"/>
          <w:szCs w:val="22"/>
        </w:rPr>
      </w:pPr>
      <w:r w:rsidRPr="3FD93375">
        <w:rPr>
          <w:rFonts w:eastAsia="Arial"/>
          <w:szCs w:val="22"/>
        </w:rPr>
        <w:t xml:space="preserve"> </w:t>
      </w:r>
    </w:p>
    <w:p w14:paraId="33A9EBE7" w14:textId="4C0964E5" w:rsidR="458B4B6A" w:rsidRDefault="458B4B6A" w:rsidP="008B5271">
      <w:pPr>
        <w:spacing w:after="0"/>
        <w:rPr>
          <w:rFonts w:eastAsia="Arial"/>
          <w:szCs w:val="22"/>
        </w:rPr>
      </w:pPr>
      <w:r w:rsidRPr="3FD93375">
        <w:rPr>
          <w:rFonts w:eastAsia="Arial"/>
          <w:szCs w:val="22"/>
        </w:rPr>
        <w:t xml:space="preserve">As such the NoD does not include a specific reasons section for decisions relating to TCP. To correctly reflect reasons for decision relating to TCP the </w:t>
      </w:r>
      <w:r w:rsidR="0086504F">
        <w:rPr>
          <w:rFonts w:eastAsia="Arial"/>
          <w:szCs w:val="22"/>
        </w:rPr>
        <w:t>a</w:t>
      </w:r>
      <w:r w:rsidRPr="3FD93375">
        <w:rPr>
          <w:rFonts w:eastAsia="Arial"/>
          <w:szCs w:val="22"/>
        </w:rPr>
        <w:t xml:space="preserve">ssessment </w:t>
      </w:r>
      <w:r w:rsidR="0086504F">
        <w:rPr>
          <w:rFonts w:eastAsia="Arial"/>
          <w:szCs w:val="22"/>
        </w:rPr>
        <w:t>d</w:t>
      </w:r>
      <w:r w:rsidRPr="3FD93375">
        <w:rPr>
          <w:rFonts w:eastAsia="Arial"/>
          <w:szCs w:val="22"/>
        </w:rPr>
        <w:t xml:space="preserve">elegate </w:t>
      </w:r>
      <w:r w:rsidR="008833F4" w:rsidRPr="3FD93375">
        <w:rPr>
          <w:rFonts w:eastAsia="Arial"/>
          <w:szCs w:val="22"/>
        </w:rPr>
        <w:t>must complete</w:t>
      </w:r>
      <w:r w:rsidRPr="3FD93375">
        <w:rPr>
          <w:rFonts w:eastAsia="Arial"/>
          <w:szCs w:val="22"/>
        </w:rPr>
        <w:t xml:space="preserve"> the following:</w:t>
      </w:r>
    </w:p>
    <w:p w14:paraId="0EB386A3" w14:textId="2311DA62" w:rsidR="458B4B6A" w:rsidRDefault="458B4B6A" w:rsidP="008B5271">
      <w:pPr>
        <w:spacing w:after="0"/>
        <w:rPr>
          <w:rFonts w:eastAsia="Arial"/>
          <w:szCs w:val="22"/>
        </w:rPr>
      </w:pPr>
      <w:r w:rsidRPr="3FD93375">
        <w:rPr>
          <w:rFonts w:eastAsia="Arial"/>
          <w:szCs w:val="22"/>
        </w:rPr>
        <w:t xml:space="preserve"> </w:t>
      </w:r>
    </w:p>
    <w:p w14:paraId="65246B6F" w14:textId="295A790B" w:rsidR="458B4B6A" w:rsidRDefault="458B4B6A" w:rsidP="008B5271">
      <w:pPr>
        <w:pStyle w:val="ListParagraph"/>
        <w:numPr>
          <w:ilvl w:val="0"/>
          <w:numId w:val="553"/>
        </w:numPr>
        <w:spacing w:after="0"/>
        <w:rPr>
          <w:rFonts w:eastAsia="Arial"/>
          <w:szCs w:val="22"/>
        </w:rPr>
      </w:pPr>
      <w:r w:rsidRPr="3FD93375">
        <w:rPr>
          <w:rFonts w:eastAsia="Arial"/>
          <w:szCs w:val="22"/>
        </w:rPr>
        <w:t>If the person is non-Aboriginal</w:t>
      </w:r>
      <w:r w:rsidR="0086504F">
        <w:rPr>
          <w:rFonts w:eastAsia="Arial"/>
          <w:szCs w:val="22"/>
        </w:rPr>
        <w:t xml:space="preserve"> and/or Torres Strait Islander</w:t>
      </w:r>
      <w:r w:rsidRPr="3FD93375">
        <w:rPr>
          <w:rFonts w:eastAsia="Arial"/>
          <w:szCs w:val="22"/>
        </w:rPr>
        <w:t xml:space="preserve">, complete </w:t>
      </w:r>
      <w:r w:rsidRPr="3FD93375">
        <w:rPr>
          <w:rFonts w:eastAsia="Arial"/>
          <w:b/>
          <w:bCs/>
          <w:szCs w:val="22"/>
        </w:rPr>
        <w:t xml:space="preserve">both </w:t>
      </w:r>
      <w:r w:rsidRPr="3FD93375">
        <w:rPr>
          <w:rFonts w:eastAsia="Arial"/>
          <w:szCs w:val="22"/>
        </w:rPr>
        <w:t>sections B and C for all TCP approvals.</w:t>
      </w:r>
    </w:p>
    <w:p w14:paraId="340A8F67" w14:textId="5124D585" w:rsidR="458B4B6A" w:rsidRDefault="458B4B6A" w:rsidP="008B5271">
      <w:pPr>
        <w:pStyle w:val="ListParagraph"/>
        <w:numPr>
          <w:ilvl w:val="0"/>
          <w:numId w:val="553"/>
        </w:numPr>
        <w:spacing w:after="0"/>
        <w:rPr>
          <w:rFonts w:eastAsia="Arial"/>
          <w:szCs w:val="22"/>
        </w:rPr>
      </w:pPr>
      <w:r w:rsidRPr="3FD93375">
        <w:rPr>
          <w:rFonts w:eastAsia="Arial"/>
          <w:szCs w:val="22"/>
        </w:rPr>
        <w:t>If the person is Aboriginal</w:t>
      </w:r>
      <w:r w:rsidR="0086504F">
        <w:rPr>
          <w:rFonts w:eastAsia="Arial"/>
          <w:szCs w:val="22"/>
        </w:rPr>
        <w:t xml:space="preserve"> and/or Torres Strait Islander</w:t>
      </w:r>
      <w:r w:rsidRPr="3FD93375">
        <w:rPr>
          <w:rFonts w:eastAsia="Arial"/>
          <w:szCs w:val="22"/>
        </w:rPr>
        <w:t>, make sure the home support, assistive technology and residential care sections are all included within Section A.</w:t>
      </w:r>
    </w:p>
    <w:p w14:paraId="7CE56AE6" w14:textId="3DDAEB53" w:rsidR="458B4B6A" w:rsidRDefault="458B4B6A" w:rsidP="008B5271">
      <w:pPr>
        <w:spacing w:after="0"/>
        <w:rPr>
          <w:rFonts w:eastAsia="Arial"/>
          <w:sz w:val="20"/>
          <w:szCs w:val="20"/>
        </w:rPr>
      </w:pPr>
      <w:r w:rsidRPr="3FD93375">
        <w:rPr>
          <w:rFonts w:eastAsia="Arial"/>
          <w:sz w:val="20"/>
          <w:szCs w:val="20"/>
        </w:rPr>
        <w:t xml:space="preserve"> </w:t>
      </w:r>
    </w:p>
    <w:p w14:paraId="73E66F31" w14:textId="226B4697" w:rsidR="458B4B6A" w:rsidRDefault="458B4B6A" w:rsidP="00217030">
      <w:pPr>
        <w:spacing w:after="0"/>
        <w:rPr>
          <w:rFonts w:eastAsia="Arial"/>
          <w:b/>
          <w:bCs/>
          <w:szCs w:val="22"/>
        </w:rPr>
      </w:pPr>
      <w:r w:rsidRPr="3FD93375">
        <w:rPr>
          <w:rFonts w:eastAsia="Arial"/>
          <w:b/>
          <w:bCs/>
          <w:szCs w:val="22"/>
        </w:rPr>
        <w:t>Uploading and sending the NoD</w:t>
      </w:r>
    </w:p>
    <w:p w14:paraId="4ED9D812" w14:textId="5E4C64ED" w:rsidR="458B4B6A" w:rsidRDefault="458B4B6A" w:rsidP="008B5271">
      <w:pPr>
        <w:spacing w:before="240" w:after="240"/>
        <w:rPr>
          <w:rFonts w:eastAsia="Arial"/>
          <w:szCs w:val="22"/>
        </w:rPr>
      </w:pPr>
      <w:r w:rsidRPr="3FD93375">
        <w:rPr>
          <w:rFonts w:eastAsia="Arial"/>
          <w:szCs w:val="22"/>
          <w:lang w:val="en-US"/>
        </w:rPr>
        <w:t xml:space="preserve">Once the NoD letter is finalised and signed, </w:t>
      </w:r>
      <w:r w:rsidR="0086504F">
        <w:rPr>
          <w:rFonts w:eastAsia="Arial"/>
          <w:szCs w:val="22"/>
          <w:lang w:val="en-US"/>
        </w:rPr>
        <w:t>a</w:t>
      </w:r>
      <w:r w:rsidRPr="3FD93375">
        <w:rPr>
          <w:rFonts w:eastAsia="Arial"/>
          <w:szCs w:val="22"/>
          <w:lang w:val="en-US"/>
        </w:rPr>
        <w:t xml:space="preserve">ssessment </w:t>
      </w:r>
      <w:r w:rsidR="0086504F">
        <w:rPr>
          <w:rFonts w:eastAsia="Arial"/>
          <w:szCs w:val="22"/>
          <w:lang w:val="en-US"/>
        </w:rPr>
        <w:t>d</w:t>
      </w:r>
      <w:r w:rsidRPr="3FD93375">
        <w:rPr>
          <w:rFonts w:eastAsia="Arial"/>
          <w:szCs w:val="22"/>
          <w:lang w:val="en-US"/>
        </w:rPr>
        <w:t xml:space="preserve">elegates must upload it to the assessor portal (all documents must be uploaded in PDF format) </w:t>
      </w:r>
      <w:r w:rsidRPr="3FD93375">
        <w:rPr>
          <w:rFonts w:eastAsia="Arial"/>
          <w:szCs w:val="22"/>
        </w:rPr>
        <w:t>for record-keeping purposes, and then post, email, or notify the individual the NoD is available via the MAC online portal (and their registered supporter/s</w:t>
      </w:r>
      <w:r w:rsidRPr="3FD93375">
        <w:rPr>
          <w:rFonts w:eastAsia="Arial"/>
          <w:b/>
          <w:bCs/>
          <w:szCs w:val="22"/>
        </w:rPr>
        <w:t xml:space="preserve"> </w:t>
      </w:r>
      <w:r w:rsidRPr="3FD93375">
        <w:rPr>
          <w:rFonts w:eastAsia="Arial"/>
          <w:szCs w:val="22"/>
          <w:lang w:val="en-US"/>
        </w:rPr>
        <w:t>and/or appointed decision maker/s</w:t>
      </w:r>
      <w:r w:rsidRPr="3FD93375">
        <w:rPr>
          <w:rFonts w:eastAsia="Arial"/>
          <w:szCs w:val="22"/>
        </w:rPr>
        <w:t xml:space="preserve">, if applicable) using their preferred communication method/s. </w:t>
      </w:r>
    </w:p>
    <w:p w14:paraId="3AAF7FF9" w14:textId="6CBD8995" w:rsidR="458B4B6A" w:rsidRDefault="458B4B6A" w:rsidP="008B527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00400BD3">
        <w:rPr>
          <w:rFonts w:eastAsia="Arial"/>
          <w:b/>
          <w:color w:val="000000" w:themeColor="text1"/>
          <w:szCs w:val="22"/>
          <w:lang w:val="en-US"/>
        </w:rPr>
        <w:t>Important</w:t>
      </w:r>
      <w:r w:rsidRPr="3FD93375">
        <w:rPr>
          <w:rFonts w:eastAsia="Arial"/>
          <w:color w:val="000000" w:themeColor="text1"/>
          <w:szCs w:val="22"/>
          <w:lang w:val="en-US"/>
        </w:rPr>
        <w:t>:</w:t>
      </w:r>
    </w:p>
    <w:p w14:paraId="41542D3A" w14:textId="7B535F1E" w:rsidR="458B4B6A" w:rsidRDefault="458B4B6A" w:rsidP="008B527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The Support Plan needs to be included as an attachment whenever the Notice of Decision is sent. The Support Plan lists any approved service types and services, so it is legally considered part of the Notice of Decision.</w:t>
      </w:r>
    </w:p>
    <w:p w14:paraId="40F26C15" w14:textId="2DA83143" w:rsidR="458B4B6A" w:rsidRDefault="458B4B6A" w:rsidP="008B527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The Referral Code letter also needs to be attached whenever approvals for CHSP services are given.</w:t>
      </w:r>
    </w:p>
    <w:p w14:paraId="10ACA686" w14:textId="6BFF208F" w:rsidR="458B4B6A" w:rsidRDefault="458B4B6A" w:rsidP="008B527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 xml:space="preserve">Providers can view the Notice of Decision and support plan via the My Aged Care Service and Support Portal. </w:t>
      </w:r>
    </w:p>
    <w:p w14:paraId="749D8ED6" w14:textId="6CFC0503" w:rsidR="458B4B6A" w:rsidRDefault="458B4B6A" w:rsidP="008B527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Older people can also view their Notice of Decision, Support Plan and Referral Code letter (for CHSP approvals) via their My Aged Care Online Account. An older person’s registered supporter/s (if any) may also be authorised to access this information.</w:t>
      </w:r>
    </w:p>
    <w:p w14:paraId="2ED7FF51" w14:textId="740CABE0" w:rsidR="458B4B6A" w:rsidRDefault="00282C7E" w:rsidP="00DB78A1">
      <w:pPr>
        <w:spacing w:before="240" w:after="240"/>
        <w:rPr>
          <w:rFonts w:eastAsia="Arial"/>
          <w:szCs w:val="22"/>
          <w:lang w:val="en-US"/>
        </w:rPr>
      </w:pPr>
      <w:r>
        <w:rPr>
          <w:rFonts w:eastAsia="Arial"/>
          <w:szCs w:val="22"/>
          <w:lang w:val="en-US"/>
        </w:rPr>
        <w:t>W</w:t>
      </w:r>
      <w:r w:rsidR="458B4B6A" w:rsidRPr="3FD93375">
        <w:rPr>
          <w:rFonts w:eastAsia="Arial"/>
          <w:szCs w:val="22"/>
          <w:lang w:val="en-US"/>
        </w:rPr>
        <w:t xml:space="preserve">here </w:t>
      </w:r>
      <w:r>
        <w:rPr>
          <w:rFonts w:eastAsia="Arial"/>
          <w:szCs w:val="22"/>
          <w:lang w:val="en-US"/>
        </w:rPr>
        <w:t>an</w:t>
      </w:r>
      <w:r w:rsidR="458B4B6A" w:rsidRPr="3FD93375">
        <w:rPr>
          <w:rFonts w:eastAsia="Arial"/>
          <w:szCs w:val="22"/>
          <w:lang w:val="en-US"/>
        </w:rPr>
        <w:t xml:space="preserve"> </w:t>
      </w:r>
      <w:r>
        <w:rPr>
          <w:rFonts w:eastAsia="Arial"/>
          <w:szCs w:val="22"/>
          <w:lang w:val="en-US"/>
        </w:rPr>
        <w:t>a</w:t>
      </w:r>
      <w:r w:rsidR="458B4B6A" w:rsidRPr="3FD93375">
        <w:rPr>
          <w:rFonts w:eastAsia="Arial"/>
          <w:szCs w:val="22"/>
          <w:lang w:val="en-US"/>
        </w:rPr>
        <w:t xml:space="preserve">ssessment </w:t>
      </w:r>
      <w:r>
        <w:rPr>
          <w:rFonts w:eastAsia="Arial"/>
          <w:szCs w:val="22"/>
          <w:lang w:val="en-US"/>
        </w:rPr>
        <w:t>d</w:t>
      </w:r>
      <w:r w:rsidR="458B4B6A" w:rsidRPr="3FD93375">
        <w:rPr>
          <w:rFonts w:eastAsia="Arial"/>
          <w:szCs w:val="22"/>
          <w:lang w:val="en-US"/>
        </w:rPr>
        <w:t>elegate determines that no funded aged care services are required, the delegate will also need to send a NoD to the older person to formally advise them of this outcome.</w:t>
      </w:r>
    </w:p>
    <w:p w14:paraId="3AD35737" w14:textId="5FC6A1D0" w:rsidR="458B4B6A" w:rsidRPr="00400BD3" w:rsidRDefault="458B4B6A" w:rsidP="00DB78A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b/>
          <w:color w:val="000000" w:themeColor="text1"/>
          <w:szCs w:val="22"/>
          <w:lang w:val="en-US"/>
        </w:rPr>
      </w:pPr>
      <w:r w:rsidRPr="00400BD3">
        <w:rPr>
          <w:rFonts w:eastAsia="Arial"/>
          <w:b/>
          <w:color w:val="000000" w:themeColor="text1"/>
          <w:szCs w:val="22"/>
          <w:lang w:val="en-US"/>
        </w:rPr>
        <w:t xml:space="preserve">Note: </w:t>
      </w:r>
    </w:p>
    <w:p w14:paraId="6346E7B4" w14:textId="19FAF18D" w:rsidR="458B4B6A" w:rsidRDefault="458B4B6A" w:rsidP="00DB78A1">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 xml:space="preserve">Older people who request/are recommended for the End-of-Life Pathway but are not approved </w:t>
      </w:r>
      <w:r w:rsidRPr="3FD93375">
        <w:rPr>
          <w:rFonts w:eastAsia="Arial"/>
          <w:i/>
          <w:iCs/>
          <w:color w:val="000000" w:themeColor="text1"/>
          <w:szCs w:val="22"/>
          <w:lang w:val="en-US"/>
        </w:rPr>
        <w:t>do not</w:t>
      </w:r>
      <w:r w:rsidRPr="3FD93375">
        <w:rPr>
          <w:rFonts w:eastAsia="Arial"/>
          <w:color w:val="000000" w:themeColor="text1"/>
          <w:szCs w:val="22"/>
          <w:lang w:val="en-US"/>
        </w:rPr>
        <w:t xml:space="preserve"> receive a ‘Non-approval letter’.</w:t>
      </w:r>
    </w:p>
    <w:p w14:paraId="69184FA1" w14:textId="0F6B5DC9" w:rsidR="458B4B6A" w:rsidRDefault="458B4B6A" w:rsidP="00DB78A1">
      <w:pPr>
        <w:spacing w:before="240" w:after="240"/>
        <w:rPr>
          <w:rFonts w:eastAsia="Arial"/>
          <w:szCs w:val="22"/>
        </w:rPr>
      </w:pPr>
      <w:r w:rsidRPr="3FD93375">
        <w:rPr>
          <w:rFonts w:eastAsia="Arial"/>
          <w:szCs w:val="22"/>
        </w:rPr>
        <w:t xml:space="preserve">The Act requires the NoD to be </w:t>
      </w:r>
      <w:r w:rsidRPr="00DB78A1">
        <w:rPr>
          <w:rFonts w:eastAsia="Arial"/>
          <w:szCs w:val="22"/>
        </w:rPr>
        <w:t>given to the individual within 14 days</w:t>
      </w:r>
      <w:r w:rsidRPr="3FD93375">
        <w:rPr>
          <w:rFonts w:eastAsia="Arial"/>
          <w:szCs w:val="22"/>
        </w:rPr>
        <w:t xml:space="preserve"> of the delegate’s decision.</w:t>
      </w:r>
    </w:p>
    <w:p w14:paraId="235E9180" w14:textId="4C02118B" w:rsidR="458B4B6A" w:rsidRDefault="458B4B6A" w:rsidP="00DB78A1">
      <w:pPr>
        <w:spacing w:before="240" w:after="240"/>
        <w:rPr>
          <w:rFonts w:eastAsia="Arial"/>
          <w:szCs w:val="22"/>
        </w:rPr>
      </w:pPr>
      <w:r w:rsidRPr="3FD93375">
        <w:rPr>
          <w:rFonts w:eastAsia="Arial"/>
          <w:szCs w:val="22"/>
        </w:rPr>
        <w:t xml:space="preserve">To mitigate potential issues in meeting the timeframe for giving the notice, </w:t>
      </w:r>
      <w:r w:rsidR="001300A0">
        <w:rPr>
          <w:rFonts w:eastAsia="Arial"/>
          <w:szCs w:val="22"/>
        </w:rPr>
        <w:t>a</w:t>
      </w:r>
      <w:r w:rsidRPr="3FD93375">
        <w:rPr>
          <w:rFonts w:eastAsia="Arial"/>
          <w:szCs w:val="22"/>
        </w:rPr>
        <w:t xml:space="preserve">ssessment </w:t>
      </w:r>
      <w:r w:rsidR="001300A0">
        <w:rPr>
          <w:rFonts w:eastAsia="Arial"/>
          <w:szCs w:val="22"/>
        </w:rPr>
        <w:t>d</w:t>
      </w:r>
      <w:r w:rsidRPr="3FD93375">
        <w:rPr>
          <w:rFonts w:eastAsia="Arial"/>
          <w:szCs w:val="22"/>
        </w:rPr>
        <w:t>elegates should:</w:t>
      </w:r>
    </w:p>
    <w:p w14:paraId="71D65E02" w14:textId="091858CD" w:rsidR="458B4B6A" w:rsidRDefault="458B4B6A" w:rsidP="00DB78A1">
      <w:pPr>
        <w:pStyle w:val="ListParagraph"/>
        <w:numPr>
          <w:ilvl w:val="0"/>
          <w:numId w:val="552"/>
        </w:numPr>
        <w:spacing w:after="0"/>
        <w:rPr>
          <w:rFonts w:eastAsia="Arial"/>
          <w:szCs w:val="22"/>
        </w:rPr>
      </w:pPr>
      <w:r w:rsidRPr="3FD93375">
        <w:rPr>
          <w:rFonts w:eastAsia="Arial"/>
          <w:szCs w:val="22"/>
        </w:rPr>
        <w:t xml:space="preserve">obtain agreement </w:t>
      </w:r>
      <w:r w:rsidR="008E6E84">
        <w:rPr>
          <w:rFonts w:eastAsia="Arial"/>
          <w:szCs w:val="22"/>
        </w:rPr>
        <w:t xml:space="preserve">of the older person </w:t>
      </w:r>
      <w:r w:rsidRPr="3FD93375">
        <w:rPr>
          <w:rFonts w:eastAsia="Arial"/>
          <w:szCs w:val="22"/>
        </w:rPr>
        <w:t xml:space="preserve">for </w:t>
      </w:r>
      <w:r w:rsidRPr="3FD93375">
        <w:rPr>
          <w:rFonts w:eastAsia="Arial"/>
          <w:b/>
          <w:bCs/>
          <w:szCs w:val="22"/>
        </w:rPr>
        <w:t>electronic delivery</w:t>
      </w:r>
      <w:r w:rsidRPr="3FD93375">
        <w:rPr>
          <w:rFonts w:eastAsia="Arial"/>
          <w:szCs w:val="22"/>
        </w:rPr>
        <w:t xml:space="preserve"> of notices (email or portal) where possible</w:t>
      </w:r>
    </w:p>
    <w:p w14:paraId="780073FA" w14:textId="42DCAE13" w:rsidR="458B4B6A" w:rsidRDefault="458B4B6A" w:rsidP="00DB78A1">
      <w:pPr>
        <w:pStyle w:val="ListParagraph"/>
        <w:numPr>
          <w:ilvl w:val="0"/>
          <w:numId w:val="552"/>
        </w:numPr>
        <w:spacing w:after="0"/>
        <w:rPr>
          <w:rFonts w:eastAsia="Arial"/>
          <w:b/>
          <w:bCs/>
          <w:szCs w:val="22"/>
        </w:rPr>
      </w:pPr>
      <w:r w:rsidRPr="3FD93375">
        <w:rPr>
          <w:rFonts w:eastAsia="Arial"/>
          <w:szCs w:val="22"/>
        </w:rPr>
        <w:t xml:space="preserve">upload the NoD promptly to the client’s </w:t>
      </w:r>
      <w:r w:rsidRPr="3FD93375">
        <w:rPr>
          <w:rFonts w:eastAsia="Arial"/>
          <w:b/>
          <w:bCs/>
          <w:szCs w:val="22"/>
        </w:rPr>
        <w:t>My Aged Care Online Account</w:t>
      </w:r>
    </w:p>
    <w:p w14:paraId="4E5B31CA" w14:textId="1D6D8941" w:rsidR="458B4B6A" w:rsidRDefault="458B4B6A" w:rsidP="00DB78A1">
      <w:pPr>
        <w:pStyle w:val="ListParagraph"/>
        <w:numPr>
          <w:ilvl w:val="0"/>
          <w:numId w:val="552"/>
        </w:numPr>
        <w:spacing w:after="0"/>
        <w:rPr>
          <w:rFonts w:eastAsia="Arial"/>
          <w:szCs w:val="22"/>
        </w:rPr>
      </w:pPr>
      <w:r w:rsidRPr="3FD93375">
        <w:rPr>
          <w:rFonts w:eastAsia="Arial"/>
          <w:szCs w:val="22"/>
        </w:rPr>
        <w:t>confirm client and supporter contact details before dispatch and send the notice as soon as possible to the designated postal or email address</w:t>
      </w:r>
    </w:p>
    <w:p w14:paraId="07A15DD7" w14:textId="747AFBE3" w:rsidR="458B4B6A" w:rsidRDefault="458B4B6A" w:rsidP="00DB78A1">
      <w:pPr>
        <w:spacing w:before="240" w:after="0"/>
        <w:rPr>
          <w:rFonts w:eastAsia="Arial"/>
          <w:szCs w:val="22"/>
        </w:rPr>
      </w:pPr>
      <w:r w:rsidRPr="3FD93375">
        <w:rPr>
          <w:rFonts w:eastAsia="Arial"/>
          <w:szCs w:val="22"/>
        </w:rPr>
        <w:t xml:space="preserve">When the notice is provided to the client via their My Aged Care Online Account the </w:t>
      </w:r>
      <w:r w:rsidR="008E6E84">
        <w:rPr>
          <w:rFonts w:eastAsia="Arial"/>
          <w:szCs w:val="22"/>
        </w:rPr>
        <w:t>a</w:t>
      </w:r>
      <w:r w:rsidRPr="3FD93375">
        <w:rPr>
          <w:rFonts w:eastAsia="Arial"/>
          <w:szCs w:val="22"/>
        </w:rPr>
        <w:t xml:space="preserve">ssessment </w:t>
      </w:r>
      <w:r w:rsidR="008E6E84">
        <w:rPr>
          <w:rFonts w:eastAsia="Arial"/>
          <w:szCs w:val="22"/>
        </w:rPr>
        <w:t>d</w:t>
      </w:r>
      <w:r w:rsidRPr="3FD93375">
        <w:rPr>
          <w:rFonts w:eastAsia="Arial"/>
          <w:szCs w:val="22"/>
        </w:rPr>
        <w:t xml:space="preserve">elegate must notify the client that the notice has been uploaded and can be retrieved. Delegates should use the notes tab on the client’s record to document that this notification has occurred and the date it happened. </w:t>
      </w:r>
    </w:p>
    <w:p w14:paraId="45F02420" w14:textId="56228EFF" w:rsidR="458B4B6A" w:rsidRDefault="458B4B6A" w:rsidP="00DB78A1">
      <w:pPr>
        <w:spacing w:before="240" w:after="0"/>
        <w:rPr>
          <w:rFonts w:eastAsia="Arial"/>
          <w:szCs w:val="22"/>
        </w:rPr>
      </w:pPr>
      <w:r w:rsidRPr="3FD93375">
        <w:rPr>
          <w:rFonts w:eastAsia="Arial"/>
          <w:szCs w:val="22"/>
        </w:rPr>
        <w:t>If</w:t>
      </w:r>
      <w:r w:rsidRPr="3FD93375" w:rsidDel="00547640">
        <w:rPr>
          <w:rFonts w:eastAsia="Arial"/>
          <w:szCs w:val="22"/>
        </w:rPr>
        <w:t xml:space="preserve"> </w:t>
      </w:r>
      <w:r w:rsidRPr="3FD93375">
        <w:rPr>
          <w:rFonts w:eastAsia="Arial"/>
          <w:szCs w:val="22"/>
        </w:rPr>
        <w:t xml:space="preserve">providing the notice </w:t>
      </w:r>
      <w:r w:rsidR="00547640" w:rsidRPr="3FD93375">
        <w:rPr>
          <w:rFonts w:eastAsia="Arial"/>
          <w:szCs w:val="22"/>
        </w:rPr>
        <w:t xml:space="preserve">electronically </w:t>
      </w:r>
      <w:r w:rsidRPr="3FD93375">
        <w:rPr>
          <w:rFonts w:eastAsia="Arial"/>
          <w:szCs w:val="22"/>
        </w:rPr>
        <w:t xml:space="preserve">to an address that has not been designated by the client, the notice is given when it is capable of being retrieved. Assessment </w:t>
      </w:r>
      <w:r w:rsidR="00547640">
        <w:rPr>
          <w:rFonts w:eastAsia="Arial"/>
          <w:szCs w:val="22"/>
        </w:rPr>
        <w:t>d</w:t>
      </w:r>
      <w:r w:rsidRPr="3FD93375">
        <w:rPr>
          <w:rFonts w:eastAsia="Arial"/>
          <w:szCs w:val="22"/>
        </w:rPr>
        <w:t xml:space="preserve">elegates should clearly communicate to a client which address the notice has been provided to so it can be retrieved within the 14-day period. </w:t>
      </w:r>
    </w:p>
    <w:p w14:paraId="7F47E0F1" w14:textId="6B92AF93" w:rsidR="458B4B6A" w:rsidRDefault="458B4B6A" w:rsidP="00DB78A1">
      <w:pPr>
        <w:spacing w:before="240" w:after="240"/>
        <w:rPr>
          <w:rFonts w:eastAsia="Arial"/>
          <w:szCs w:val="22"/>
          <w:lang w:val="en-US"/>
        </w:rPr>
      </w:pPr>
      <w:r w:rsidRPr="3FD93375">
        <w:rPr>
          <w:rFonts w:eastAsia="Arial"/>
          <w:b/>
          <w:bCs/>
          <w:szCs w:val="22"/>
          <w:lang w:val="en-US"/>
        </w:rPr>
        <w:t xml:space="preserve">Note: </w:t>
      </w:r>
      <w:r w:rsidRPr="3FD93375">
        <w:rPr>
          <w:rFonts w:eastAsia="Arial"/>
          <w:szCs w:val="22"/>
          <w:lang w:val="en-US"/>
        </w:rPr>
        <w:t xml:space="preserve">If a client is unable to readily access their emails or My Aged Care Online Account, the notice </w:t>
      </w:r>
      <w:r w:rsidRPr="3FD93375">
        <w:rPr>
          <w:rFonts w:eastAsia="Arial"/>
          <w:b/>
          <w:bCs/>
          <w:szCs w:val="22"/>
          <w:lang w:val="en-US"/>
        </w:rPr>
        <w:t>must be sent via pre-paid post</w:t>
      </w:r>
      <w:r w:rsidRPr="3FD93375">
        <w:rPr>
          <w:rFonts w:eastAsia="Arial"/>
          <w:szCs w:val="22"/>
          <w:lang w:val="en-US"/>
        </w:rPr>
        <w:t xml:space="preserve">. Assessment Delegates should confirm this with the client when obtaining their agreement for electronic delivery of the notice. </w:t>
      </w:r>
    </w:p>
    <w:p w14:paraId="591723B4" w14:textId="0AA7B8F3" w:rsidR="458B4B6A" w:rsidRDefault="458B4B6A" w:rsidP="00DB78A1">
      <w:pPr>
        <w:spacing w:before="240" w:after="240"/>
        <w:rPr>
          <w:rFonts w:eastAsia="Arial"/>
          <w:szCs w:val="22"/>
        </w:rPr>
      </w:pPr>
      <w:r w:rsidRPr="3FD93375">
        <w:rPr>
          <w:rFonts w:eastAsia="Arial"/>
          <w:szCs w:val="22"/>
        </w:rPr>
        <w:t xml:space="preserve">Postal delays are outside the control of assessment organisations. Where a notice is to be given by post, </w:t>
      </w:r>
      <w:r w:rsidRPr="3FD93375">
        <w:rPr>
          <w:rFonts w:eastAsia="Arial"/>
          <w:b/>
          <w:bCs/>
          <w:szCs w:val="22"/>
        </w:rPr>
        <w:t>Assessment Delegates must</w:t>
      </w:r>
      <w:r w:rsidRPr="3FD93375">
        <w:rPr>
          <w:rFonts w:eastAsia="Arial"/>
          <w:szCs w:val="22"/>
        </w:rPr>
        <w:t>:</w:t>
      </w:r>
    </w:p>
    <w:p w14:paraId="26BCB779" w14:textId="786A3452" w:rsidR="458B4B6A" w:rsidRDefault="458B4B6A" w:rsidP="00DB78A1">
      <w:pPr>
        <w:pStyle w:val="ListParagraph"/>
        <w:numPr>
          <w:ilvl w:val="0"/>
          <w:numId w:val="551"/>
        </w:numPr>
        <w:spacing w:after="0"/>
        <w:rPr>
          <w:rFonts w:eastAsia="Arial"/>
          <w:szCs w:val="22"/>
        </w:rPr>
      </w:pPr>
      <w:r w:rsidRPr="3FD93375">
        <w:rPr>
          <w:rFonts w:eastAsia="Arial"/>
          <w:szCs w:val="22"/>
        </w:rPr>
        <w:t xml:space="preserve">send the notice as soon as possible by </w:t>
      </w:r>
      <w:r w:rsidRPr="3FD93375">
        <w:rPr>
          <w:rFonts w:eastAsia="Arial"/>
          <w:b/>
          <w:bCs/>
          <w:szCs w:val="22"/>
        </w:rPr>
        <w:t>pre</w:t>
      </w:r>
      <w:r w:rsidRPr="3FD93375">
        <w:rPr>
          <w:rFonts w:ascii="Cambria Math" w:eastAsia="Arial" w:hAnsi="Cambria Math" w:cs="Cambria Math"/>
          <w:b/>
          <w:szCs w:val="22"/>
        </w:rPr>
        <w:t>‑</w:t>
      </w:r>
      <w:r w:rsidRPr="3FD93375">
        <w:rPr>
          <w:rFonts w:eastAsia="Arial"/>
          <w:b/>
          <w:bCs/>
          <w:szCs w:val="22"/>
        </w:rPr>
        <w:t>paid post</w:t>
      </w:r>
      <w:r w:rsidRPr="3FD93375">
        <w:rPr>
          <w:rFonts w:eastAsia="Arial"/>
          <w:szCs w:val="22"/>
        </w:rPr>
        <w:t xml:space="preserve">, properly addressed to the individual at their </w:t>
      </w:r>
      <w:r w:rsidRPr="3FD93375">
        <w:rPr>
          <w:rFonts w:eastAsia="Arial"/>
          <w:b/>
          <w:bCs/>
          <w:szCs w:val="22"/>
        </w:rPr>
        <w:t>last known postal address</w:t>
      </w:r>
      <w:r w:rsidRPr="3FD93375">
        <w:rPr>
          <w:rFonts w:eastAsia="Arial"/>
          <w:szCs w:val="22"/>
        </w:rPr>
        <w:t>, and</w:t>
      </w:r>
    </w:p>
    <w:p w14:paraId="07BF9079" w14:textId="2DEDDABB" w:rsidR="458B4B6A" w:rsidRDefault="458B4B6A" w:rsidP="00DB78A1">
      <w:pPr>
        <w:pStyle w:val="ListParagraph"/>
        <w:numPr>
          <w:ilvl w:val="0"/>
          <w:numId w:val="551"/>
        </w:numPr>
        <w:spacing w:after="0"/>
        <w:rPr>
          <w:rFonts w:eastAsia="Arial"/>
          <w:szCs w:val="22"/>
        </w:rPr>
      </w:pPr>
      <w:r w:rsidRPr="3FD93375">
        <w:rPr>
          <w:rFonts w:eastAsia="Arial"/>
          <w:b/>
          <w:bCs/>
          <w:szCs w:val="22"/>
        </w:rPr>
        <w:t>record the date</w:t>
      </w:r>
      <w:r w:rsidRPr="3FD93375">
        <w:rPr>
          <w:rFonts w:eastAsia="Arial"/>
          <w:szCs w:val="22"/>
        </w:rPr>
        <w:t xml:space="preserve"> on which the notice was sent.</w:t>
      </w:r>
    </w:p>
    <w:p w14:paraId="7124C455" w14:textId="4546DABC" w:rsidR="3FD93375" w:rsidRDefault="3FD93375" w:rsidP="3FD93375">
      <w:pPr>
        <w:spacing w:after="0"/>
      </w:pPr>
    </w:p>
    <w:p w14:paraId="32D3CA25" w14:textId="70EDA2D2" w:rsidR="1A04E588" w:rsidRDefault="1A04E588" w:rsidP="00C56CEC">
      <w:pPr>
        <w:pStyle w:val="H3"/>
        <w:rPr>
          <w:rFonts w:eastAsia="Arial"/>
        </w:rPr>
      </w:pPr>
      <w:r w:rsidRPr="00F25559">
        <w:t xml:space="preserve">Notice of outcome of application for second concurrent unit of restorative care funding </w:t>
      </w:r>
    </w:p>
    <w:p w14:paraId="30AA69BB" w14:textId="793A4580" w:rsidR="1A04E588" w:rsidRDefault="00E63830">
      <w:pPr>
        <w:rPr>
          <w:rFonts w:eastAsia="Arial"/>
          <w:szCs w:val="22"/>
          <w:lang w:val="en-US"/>
        </w:rPr>
      </w:pPr>
      <w:r>
        <w:rPr>
          <w:rFonts w:eastAsia="Yu Gothic Light"/>
          <w:noProof/>
        </w:rPr>
        <w:drawing>
          <wp:inline distT="0" distB="0" distL="0" distR="0" wp14:anchorId="52A627FD" wp14:editId="4B58E994">
            <wp:extent cx="457200" cy="506095"/>
            <wp:effectExtent l="0" t="0" r="0" b="8255"/>
            <wp:docPr id="1150400883" name="Picture 1150400883"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1A04E588" w:rsidRPr="00F25559">
        <w:rPr>
          <w:lang w:val="en-US"/>
        </w:rPr>
        <w:t xml:space="preserve">If a </w:t>
      </w:r>
      <w:r w:rsidR="00C17199">
        <w:rPr>
          <w:lang w:val="en-US"/>
        </w:rPr>
        <w:t>s</w:t>
      </w:r>
      <w:r w:rsidR="1A04E588" w:rsidRPr="00DB0CDB">
        <w:rPr>
          <w:lang w:val="en-US"/>
        </w:rPr>
        <w:t xml:space="preserve">upport </w:t>
      </w:r>
      <w:r w:rsidR="00C17199">
        <w:rPr>
          <w:lang w:val="en-US"/>
        </w:rPr>
        <w:t>p</w:t>
      </w:r>
      <w:r w:rsidR="1A04E588" w:rsidRPr="00DB0CDB">
        <w:rPr>
          <w:lang w:val="en-US"/>
        </w:rPr>
        <w:t xml:space="preserve">lan </w:t>
      </w:r>
      <w:r w:rsidR="00C17199">
        <w:rPr>
          <w:lang w:val="en-US"/>
        </w:rPr>
        <w:t>r</w:t>
      </w:r>
      <w:r w:rsidR="1A04E588" w:rsidRPr="00DB0CDB">
        <w:rPr>
          <w:lang w:val="en-US"/>
        </w:rPr>
        <w:t>eview is being conducted and a second concurrent unit of restorative care funding has been requested, a letter must be sent to the older person (and their registered supporter/s and/or appointed decision maker/s, if applicable) notifying them of the outcome of the application for the additional funding.</w:t>
      </w:r>
    </w:p>
    <w:p w14:paraId="598CEB87" w14:textId="07204C20" w:rsidR="1A04E588" w:rsidRDefault="1A04E588">
      <w:pPr>
        <w:rPr>
          <w:rFonts w:eastAsia="Arial"/>
          <w:szCs w:val="22"/>
          <w:lang w:val="en-US"/>
        </w:rPr>
      </w:pPr>
      <w:r w:rsidRPr="00F25559">
        <w:rPr>
          <w:lang w:val="en-US"/>
        </w:rPr>
        <w:t>The decision to approve additional funding to the Restorative Care Pathway episode is made under section 195-3 of the Aged Care Rules 2025.</w:t>
      </w:r>
    </w:p>
    <w:p w14:paraId="250C9223" w14:textId="7DAD8B82" w:rsidR="1A04E588" w:rsidRDefault="1A04E588">
      <w:pPr>
        <w:rPr>
          <w:rFonts w:eastAsia="Arial"/>
          <w:szCs w:val="22"/>
          <w:lang w:val="en-US"/>
        </w:rPr>
      </w:pPr>
      <w:r w:rsidRPr="00F25559">
        <w:rPr>
          <w:lang w:val="en-US"/>
        </w:rPr>
        <w:t>The appropriate template can be found under the ‘Forms’ tab in ‘Reports and Documents’ tile in the Assessor Portal. This is a different template to the Notice of Decision issued after an assessment. Do not use the Notice of Decision you would usually use to communicate assessment outcomes.</w:t>
      </w:r>
    </w:p>
    <w:p w14:paraId="7A5F3172" w14:textId="13C84B59" w:rsidR="1A04E588" w:rsidRDefault="1A04E588">
      <w:pPr>
        <w:rPr>
          <w:rFonts w:eastAsia="Arial"/>
          <w:szCs w:val="22"/>
          <w:lang w:val="en-US"/>
        </w:rPr>
      </w:pPr>
      <w:r w:rsidRPr="00F25559">
        <w:rPr>
          <w:lang w:val="en-US"/>
        </w:rPr>
        <w:t xml:space="preserve">Once finalised, the letter must be signed and uploaded to the assessor portal for record-keeping purposes, and then post or email it to the individual (and their registered supporter/s and/or appointed decision maker/s, if applicable) using their preferred communication method/s. </w:t>
      </w:r>
    </w:p>
    <w:p w14:paraId="2807403C" w14:textId="0210D9EF" w:rsidR="25768CAB" w:rsidRDefault="25768CAB" w:rsidP="00C56CEC">
      <w:pPr>
        <w:pStyle w:val="H3"/>
        <w:rPr>
          <w:rFonts w:eastAsia="Arial"/>
        </w:rPr>
      </w:pPr>
      <w:r w:rsidRPr="000617A6">
        <w:t>Registered supporters who are authorised to receive copies of letters</w:t>
      </w:r>
    </w:p>
    <w:p w14:paraId="3227019C" w14:textId="2C27E7FB" w:rsidR="25768CAB" w:rsidRDefault="25768CAB" w:rsidP="000617A6">
      <w:pPr>
        <w:spacing w:before="240" w:after="240"/>
        <w:rPr>
          <w:rFonts w:eastAsia="Arial"/>
          <w:szCs w:val="22"/>
          <w:lang w:val="en-US"/>
        </w:rPr>
      </w:pPr>
      <w:r w:rsidRPr="3FD93375">
        <w:rPr>
          <w:rFonts w:eastAsia="Arial"/>
          <w:szCs w:val="22"/>
          <w:lang w:val="en-US"/>
        </w:rPr>
        <w:t>If an older person has a registered supporter/s who is authorised to automatically receive certain information or documents about an older person, they must be given a copy of the information or document. Registered supporters can access these documents if they have arranged their own login to the client portal via My Aged Care. If an older person has</w:t>
      </w:r>
      <w:r w:rsidR="7EF32AAA" w:rsidRPr="3FD93375">
        <w:rPr>
          <w:rFonts w:eastAsia="Arial"/>
          <w:szCs w:val="22"/>
          <w:lang w:val="en-US"/>
        </w:rPr>
        <w:t xml:space="preserve"> </w:t>
      </w:r>
      <w:r w:rsidRPr="3FD93375">
        <w:rPr>
          <w:rFonts w:eastAsia="Arial"/>
          <w:szCs w:val="22"/>
          <w:lang w:val="en-US"/>
        </w:rPr>
        <w:t>multiple registered supporters who are all authorised to receive copies of an information or document, each registered supporter must receive a copy. This includes a Notice of Decision.</w:t>
      </w:r>
    </w:p>
    <w:p w14:paraId="1B89FF6D" w14:textId="7C7BF4B1" w:rsidR="25768CAB" w:rsidRDefault="25768CAB" w:rsidP="000617A6">
      <w:pPr>
        <w:spacing w:before="240" w:after="240"/>
        <w:rPr>
          <w:rFonts w:eastAsia="Arial"/>
          <w:szCs w:val="22"/>
          <w:lang w:val="en-US"/>
        </w:rPr>
      </w:pPr>
      <w:r w:rsidRPr="3FD93375">
        <w:rPr>
          <w:rFonts w:eastAsia="Arial"/>
          <w:szCs w:val="22"/>
          <w:lang w:val="en-US"/>
        </w:rPr>
        <w:t xml:space="preserve">Section 29 of the Aged Care Act 2024 (the Act) provides that any information or document that is required or authorised under, or for the purposes of, the Act to be given to an older person must also be given to their registered supporters if: </w:t>
      </w:r>
    </w:p>
    <w:p w14:paraId="3C90E980" w14:textId="3A9BC1A2" w:rsidR="25768CAB" w:rsidRDefault="25768CAB" w:rsidP="000617A6">
      <w:pPr>
        <w:pStyle w:val="ListParagraph"/>
        <w:numPr>
          <w:ilvl w:val="0"/>
          <w:numId w:val="549"/>
        </w:numPr>
        <w:spacing w:after="0"/>
        <w:rPr>
          <w:rFonts w:eastAsia="Arial"/>
          <w:szCs w:val="22"/>
        </w:rPr>
      </w:pPr>
      <w:r w:rsidRPr="3FD93375">
        <w:rPr>
          <w:rFonts w:eastAsia="Arial"/>
          <w:szCs w:val="22"/>
        </w:rPr>
        <w:t xml:space="preserve">the older person has consented to sharing this kind of information with their registered supporter, or  </w:t>
      </w:r>
    </w:p>
    <w:p w14:paraId="32B39263" w14:textId="6245EC48" w:rsidR="25768CAB" w:rsidRDefault="25768CAB" w:rsidP="000617A6">
      <w:pPr>
        <w:pStyle w:val="ListParagraph"/>
        <w:numPr>
          <w:ilvl w:val="0"/>
          <w:numId w:val="548"/>
        </w:numPr>
        <w:spacing w:after="0"/>
        <w:rPr>
          <w:rFonts w:eastAsia="Arial"/>
          <w:szCs w:val="22"/>
          <w:lang w:val="en-US"/>
        </w:rPr>
      </w:pPr>
      <w:r w:rsidRPr="3FD93375">
        <w:rPr>
          <w:rFonts w:eastAsia="Arial"/>
          <w:szCs w:val="22"/>
          <w:lang w:val="en-US"/>
        </w:rPr>
        <w:t>regardless of whether the older person has consented, the registered supporter is a person covered by subsection 28(2) of the Act. That is, they are a registered supporter who is also an active appointed decision-maker for the older person.</w:t>
      </w:r>
    </w:p>
    <w:p w14:paraId="2011832C" w14:textId="5957215C" w:rsidR="25768CAB" w:rsidRDefault="25768CAB" w:rsidP="000617A6">
      <w:pPr>
        <w:spacing w:before="240" w:after="240"/>
        <w:rPr>
          <w:rFonts w:eastAsia="Arial"/>
          <w:szCs w:val="22"/>
          <w:lang w:val="en-US"/>
        </w:rPr>
      </w:pPr>
      <w:r w:rsidRPr="3FD93375">
        <w:rPr>
          <w:rFonts w:eastAsia="Arial"/>
          <w:szCs w:val="22"/>
          <w:lang w:val="en-US"/>
        </w:rPr>
        <w:t xml:space="preserve">These registered supporters are called ‘supporters’ and ‘supporter guardians’ in the assessor portal and app. </w:t>
      </w:r>
    </w:p>
    <w:p w14:paraId="1BAF8FB4" w14:textId="43C216AE" w:rsidR="25768CAB" w:rsidRDefault="25768CAB" w:rsidP="000617A6">
      <w:pPr>
        <w:spacing w:after="0"/>
        <w:rPr>
          <w:rFonts w:eastAsia="Arial"/>
          <w:szCs w:val="22"/>
          <w:lang w:val="en-US"/>
        </w:rPr>
      </w:pPr>
      <w:r w:rsidRPr="3FD93375">
        <w:rPr>
          <w:rFonts w:eastAsia="Arial"/>
          <w:szCs w:val="22"/>
          <w:lang w:val="en-US"/>
        </w:rPr>
        <w:t>A registered supporter who is recorded as a ‘supporter lite’ cannot automatically be given information or documents about an older person. This is because the older person has not consented to that registered supporter receiving their information and documents under section 29 or the registered supporter is not a person covered by subsection 28(2) of the Act. That is, they are not a registered supporter who is also an active appointed decision-maker for the older person.</w:t>
      </w:r>
    </w:p>
    <w:p w14:paraId="239B79A5" w14:textId="66DDAC02" w:rsidR="25768CAB" w:rsidRDefault="25768CAB" w:rsidP="00966880">
      <w:pPr>
        <w:spacing w:before="240" w:after="240"/>
        <w:rPr>
          <w:rFonts w:eastAsia="Arial"/>
          <w:szCs w:val="22"/>
          <w:lang w:val="en-US"/>
        </w:rPr>
      </w:pPr>
      <w:r w:rsidRPr="3FD93375">
        <w:rPr>
          <w:rFonts w:eastAsia="Arial"/>
          <w:szCs w:val="22"/>
          <w:lang w:val="en-US"/>
        </w:rPr>
        <w:t>For example, assessors must not send a supporter lite a Notice of Decision. If a request has been made by a supporter lite to access a Notice of Decision letter, this should be escalated to the departmental team responsible for supporters.</w:t>
      </w:r>
    </w:p>
    <w:p w14:paraId="73B7A05D" w14:textId="63B5C613" w:rsidR="25768CAB" w:rsidRDefault="25768CAB" w:rsidP="00C56CEC">
      <w:pPr>
        <w:pStyle w:val="H3"/>
        <w:rPr>
          <w:rFonts w:eastAsia="Arial"/>
        </w:rPr>
      </w:pPr>
      <w:r w:rsidRPr="00966880">
        <w:t>Using electronic signatures</w:t>
      </w:r>
    </w:p>
    <w:p w14:paraId="0AAA573A" w14:textId="05C5C51F" w:rsidR="25768CAB" w:rsidRDefault="00387BB2" w:rsidP="00966880">
      <w:pPr>
        <w:spacing w:before="240" w:after="240"/>
        <w:rPr>
          <w:rFonts w:eastAsia="Arial"/>
          <w:szCs w:val="22"/>
          <w:lang w:val="en-US"/>
        </w:rPr>
      </w:pPr>
      <w:r>
        <w:rPr>
          <w:rFonts w:eastAsia="Yu Gothic Light"/>
          <w:noProof/>
        </w:rPr>
        <w:drawing>
          <wp:inline distT="0" distB="0" distL="0" distR="0" wp14:anchorId="0F27E5EB" wp14:editId="08AC2FEE">
            <wp:extent cx="457200" cy="506095"/>
            <wp:effectExtent l="0" t="0" r="0" b="8255"/>
            <wp:docPr id="799684282" name="Picture 799684282"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25768CAB" w:rsidRPr="3FD93375">
        <w:rPr>
          <w:rFonts w:eastAsia="Arial"/>
          <w:szCs w:val="22"/>
          <w:lang w:val="en-US"/>
        </w:rPr>
        <w:t>Under Section 10 of the Electronic Transactions Act 1999, electronic signatures can be used when a Commonwealth law requires a person’s signature. Assessment Delegates can use an electronic signature instead of a handwritten one.</w:t>
      </w:r>
    </w:p>
    <w:p w14:paraId="0BF2CD1E" w14:textId="55CF627D" w:rsidR="25768CAB" w:rsidRDefault="25768CAB" w:rsidP="00966880">
      <w:pPr>
        <w:spacing w:before="240" w:after="240"/>
        <w:rPr>
          <w:rFonts w:eastAsia="Arial"/>
          <w:szCs w:val="22"/>
          <w:lang w:val="en-US"/>
        </w:rPr>
      </w:pPr>
      <w:r w:rsidRPr="3FD93375">
        <w:rPr>
          <w:rFonts w:eastAsia="Arial"/>
          <w:szCs w:val="22"/>
          <w:lang w:val="en-US"/>
        </w:rPr>
        <w:t>However, before using an electronic signature, Assessment Delegates need to make sure that all legal requirements have been met under Section 10 of the Electronic Transactions Act 1999.</w:t>
      </w:r>
    </w:p>
    <w:p w14:paraId="64C4038D" w14:textId="348A70B6" w:rsidR="25768CAB" w:rsidRDefault="25768CAB" w:rsidP="00966880">
      <w:pPr>
        <w:spacing w:before="240" w:after="240"/>
        <w:rPr>
          <w:rFonts w:eastAsia="Arial"/>
          <w:szCs w:val="22"/>
          <w:lang w:val="en-US"/>
        </w:rPr>
      </w:pPr>
      <w:r w:rsidRPr="3FD93375">
        <w:rPr>
          <w:rFonts w:eastAsia="Arial"/>
          <w:szCs w:val="22"/>
          <w:lang w:val="en-US"/>
        </w:rPr>
        <w:t>To do this effectively, follow these practices:</w:t>
      </w:r>
    </w:p>
    <w:p w14:paraId="1E9DF1D7" w14:textId="28288CD3" w:rsidR="25768CAB" w:rsidRDefault="25768CAB" w:rsidP="00966880">
      <w:pPr>
        <w:pStyle w:val="ListParagraph"/>
        <w:numPr>
          <w:ilvl w:val="0"/>
          <w:numId w:val="546"/>
        </w:numPr>
        <w:spacing w:after="0"/>
        <w:rPr>
          <w:rFonts w:eastAsia="Arial"/>
          <w:szCs w:val="22"/>
          <w:lang w:val="en-US"/>
        </w:rPr>
      </w:pPr>
      <w:r w:rsidRPr="3FD93375">
        <w:rPr>
          <w:rFonts w:eastAsia="Arial"/>
          <w:b/>
          <w:bCs/>
          <w:szCs w:val="22"/>
          <w:lang w:val="en-US"/>
        </w:rPr>
        <w:t>Monitoring Use:</w:t>
      </w:r>
      <w:r w:rsidRPr="3FD93375">
        <w:rPr>
          <w:rFonts w:eastAsia="Arial"/>
          <w:szCs w:val="22"/>
          <w:lang w:val="en-US"/>
        </w:rPr>
        <w:t xml:space="preserve"> Set up procedures to track when their electronic signature is applied, so Assessment Delegates are always aware of its use.</w:t>
      </w:r>
    </w:p>
    <w:p w14:paraId="767ED35B" w14:textId="36AB62BF" w:rsidR="25768CAB" w:rsidRDefault="25768CAB" w:rsidP="00966880">
      <w:pPr>
        <w:pStyle w:val="ListParagraph"/>
        <w:numPr>
          <w:ilvl w:val="0"/>
          <w:numId w:val="546"/>
        </w:numPr>
        <w:spacing w:after="0"/>
        <w:rPr>
          <w:rFonts w:eastAsia="Arial"/>
          <w:szCs w:val="22"/>
          <w:lang w:val="en-US"/>
        </w:rPr>
      </w:pPr>
      <w:r w:rsidRPr="3FD93375">
        <w:rPr>
          <w:rFonts w:eastAsia="Arial"/>
          <w:b/>
          <w:bCs/>
          <w:szCs w:val="22"/>
          <w:lang w:val="en-US"/>
        </w:rPr>
        <w:t>Administrative Assistance:</w:t>
      </w:r>
      <w:r w:rsidRPr="3FD93375">
        <w:rPr>
          <w:rFonts w:eastAsia="Arial"/>
          <w:szCs w:val="22"/>
          <w:lang w:val="en-US"/>
        </w:rPr>
        <w:t xml:space="preserve"> Assessment Delegates can get help from administrative staff to attach their electronic signature, but they should remember that the final responsibility for the notification remains with the Assessment Delegate. Administrative staff do not have the authority to apply the signature on their own.</w:t>
      </w:r>
    </w:p>
    <w:p w14:paraId="64ECD9B5" w14:textId="2EE32FD8" w:rsidR="25768CAB" w:rsidRDefault="25768CAB" w:rsidP="004E76AA">
      <w:pPr>
        <w:spacing w:before="240" w:after="240"/>
        <w:rPr>
          <w:rFonts w:eastAsia="Arial"/>
          <w:szCs w:val="22"/>
          <w:lang w:val="en-US"/>
        </w:rPr>
      </w:pPr>
      <w:r w:rsidRPr="3FD93375">
        <w:rPr>
          <w:rFonts w:eastAsia="Arial"/>
          <w:szCs w:val="22"/>
          <w:lang w:val="en-US"/>
        </w:rPr>
        <w:t xml:space="preserve">Acceptable forms for an electronic signature include a typed name, personal mark, signature image, personal email, clicking an ‘I accept’ box, or using a digital signing platform, provided they clearly demonstrate the person’s identity and intention. Please see link below for </w:t>
      </w:r>
      <w:r w:rsidR="00FF4F6F" w:rsidRPr="3FD93375">
        <w:rPr>
          <w:rFonts w:eastAsia="Arial"/>
          <w:szCs w:val="22"/>
          <w:lang w:val="en-US"/>
        </w:rPr>
        <w:t>further advice</w:t>
      </w:r>
      <w:r w:rsidRPr="3FD93375">
        <w:rPr>
          <w:rFonts w:eastAsia="Arial"/>
          <w:szCs w:val="22"/>
          <w:lang w:val="en-US"/>
        </w:rPr>
        <w:t xml:space="preserve"> from the Attorney-General’s Department regarding types of electronic signatures that can be used.  </w:t>
      </w:r>
    </w:p>
    <w:p w14:paraId="27DDC7E7" w14:textId="7E078A4D" w:rsidR="25768CAB" w:rsidRDefault="25768CAB" w:rsidP="004E76AA">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Note:</w:t>
      </w:r>
    </w:p>
    <w:p w14:paraId="13F590F3" w14:textId="071A0AD9" w:rsidR="25768CAB" w:rsidRDefault="25768CAB" w:rsidP="004E76AA">
      <w:pPr>
        <w:pBdr>
          <w:top w:val="single" w:sz="8" w:space="1" w:color="000000"/>
          <w:left w:val="single" w:sz="8" w:space="4" w:color="000000"/>
          <w:bottom w:val="single" w:sz="8" w:space="1" w:color="000000"/>
          <w:right w:val="single" w:sz="8" w:space="4" w:color="000000"/>
        </w:pBdr>
        <w:shd w:val="clear" w:color="auto" w:fill="F2F2F2" w:themeFill="background1" w:themeFillShade="F2"/>
        <w:spacing w:before="240" w:after="240"/>
        <w:rPr>
          <w:rFonts w:eastAsia="Arial"/>
          <w:color w:val="000000" w:themeColor="text1"/>
          <w:szCs w:val="22"/>
          <w:lang w:val="en-US"/>
        </w:rPr>
      </w:pPr>
      <w:r w:rsidRPr="3FD93375">
        <w:rPr>
          <w:rFonts w:eastAsia="Arial"/>
          <w:color w:val="000000" w:themeColor="text1"/>
          <w:szCs w:val="22"/>
          <w:lang w:val="en-US"/>
        </w:rPr>
        <w:t xml:space="preserve">The signature block in the offline NoD template lists the Delegate Position Number or Staff Member ID option. We previously instructed non-clinical delegates who do not have a delegate ID to include their MAC staff ID in the signature block instead. This is no longer required. Non-clinical Assessment Delegates can simply complete the signature block with their name.  </w:t>
      </w:r>
    </w:p>
    <w:p w14:paraId="3B1BD2C8" w14:textId="333E79F7" w:rsidR="25768CAB" w:rsidRDefault="25768CAB" w:rsidP="004E76AA">
      <w:pPr>
        <w:spacing w:before="240" w:after="240"/>
        <w:ind w:left="360"/>
        <w:rPr>
          <w:rFonts w:eastAsia="Arial"/>
          <w:szCs w:val="22"/>
          <w:lang w:val="en-US"/>
        </w:rPr>
      </w:pPr>
      <w:r w:rsidRPr="3FD93375">
        <w:rPr>
          <w:rFonts w:eastAsia="Arial"/>
          <w:szCs w:val="22"/>
          <w:lang w:val="en-US"/>
        </w:rPr>
        <w:t xml:space="preserve"> </w:t>
      </w:r>
    </w:p>
    <w:tbl>
      <w:tblPr>
        <w:tblW w:w="0" w:type="auto"/>
        <w:tblLook w:val="04A0" w:firstRow="1" w:lastRow="0" w:firstColumn="1" w:lastColumn="0" w:noHBand="0" w:noVBand="1"/>
      </w:tblPr>
      <w:tblGrid>
        <w:gridCol w:w="921"/>
        <w:gridCol w:w="8100"/>
      </w:tblGrid>
      <w:tr w:rsidR="3FD93375" w14:paraId="6C6BFEE0" w14:textId="77777777" w:rsidTr="3FD93375">
        <w:trPr>
          <w:trHeight w:val="675"/>
        </w:trPr>
        <w:tc>
          <w:tcPr>
            <w:tcW w:w="915" w:type="dxa"/>
            <w:tcMar>
              <w:left w:w="108" w:type="dxa"/>
              <w:right w:w="108" w:type="dxa"/>
            </w:tcMar>
          </w:tcPr>
          <w:p w14:paraId="12B1F7A6" w14:textId="3CCA5B5F" w:rsidR="25768CAB" w:rsidRDefault="25768CAB" w:rsidP="004E76AA">
            <w:pPr>
              <w:spacing w:before="240" w:after="240"/>
            </w:pPr>
            <w:r>
              <w:rPr>
                <w:noProof/>
              </w:rPr>
              <w:drawing>
                <wp:inline distT="0" distB="0" distL="0" distR="0" wp14:anchorId="5DF7F951" wp14:editId="043A1A66">
                  <wp:extent cx="447675" cy="438150"/>
                  <wp:effectExtent l="0" t="0" r="0" b="0"/>
                  <wp:docPr id="951077484" name="drawing" title="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7484" name="Picture 951077484"/>
                          <pic:cNvPicPr/>
                        </pic:nvPicPr>
                        <pic:blipFill>
                          <a:blip r:embed="rId244">
                            <a:extLst>
                              <a:ext uri="{28A0092B-C50C-407E-A947-70E740481C1C}">
                                <a14:useLocalDpi xmlns:a14="http://schemas.microsoft.com/office/drawing/2010/main"/>
                              </a:ext>
                            </a:extLst>
                          </a:blip>
                          <a:stretch>
                            <a:fillRect/>
                          </a:stretch>
                        </pic:blipFill>
                        <pic:spPr>
                          <a:xfrm>
                            <a:off x="0" y="0"/>
                            <a:ext cx="447675" cy="438150"/>
                          </a:xfrm>
                          <a:prstGeom prst="rect">
                            <a:avLst/>
                          </a:prstGeom>
                        </pic:spPr>
                      </pic:pic>
                    </a:graphicData>
                  </a:graphic>
                </wp:inline>
              </w:drawing>
            </w:r>
          </w:p>
        </w:tc>
        <w:tc>
          <w:tcPr>
            <w:tcW w:w="8100" w:type="dxa"/>
            <w:tcMar>
              <w:left w:w="108" w:type="dxa"/>
              <w:right w:w="108" w:type="dxa"/>
            </w:tcMar>
          </w:tcPr>
          <w:p w14:paraId="23956975" w14:textId="2C6556F6" w:rsidR="3FD93375" w:rsidRDefault="3FD93375" w:rsidP="004E76AA">
            <w:pPr>
              <w:spacing w:before="240" w:after="0"/>
              <w:rPr>
                <w:rStyle w:val="Hyperlink"/>
                <w:rFonts w:eastAsia="Arial"/>
                <w:i/>
                <w:iCs/>
                <w:sz w:val="24"/>
                <w:lang w:val="en-AU"/>
              </w:rPr>
            </w:pPr>
            <w:hyperlink r:id="rId245" w:history="1">
              <w:r w:rsidRPr="3FD93375">
                <w:rPr>
                  <w:rStyle w:val="Hyperlink"/>
                  <w:rFonts w:eastAsia="Arial"/>
                  <w:i/>
                  <w:iCs/>
                  <w:sz w:val="24"/>
                  <w:lang w:val="en-AU"/>
                </w:rPr>
                <w:t>Electronic Transactions Act 1999</w:t>
              </w:r>
            </w:hyperlink>
          </w:p>
          <w:p w14:paraId="0D6C24C8" w14:textId="1FDA5220" w:rsidR="3FD93375" w:rsidRDefault="3FD93375" w:rsidP="004E76AA">
            <w:pPr>
              <w:spacing w:before="240" w:after="0"/>
              <w:rPr>
                <w:rStyle w:val="Hyperlink"/>
                <w:rFonts w:eastAsia="Arial"/>
                <w:i/>
                <w:iCs/>
                <w:sz w:val="24"/>
              </w:rPr>
            </w:pPr>
            <w:hyperlink r:id="rId246" w:history="1">
              <w:r w:rsidRPr="3FD93375">
                <w:rPr>
                  <w:rStyle w:val="Hyperlink"/>
                  <w:rFonts w:eastAsia="Arial"/>
                  <w:i/>
                  <w:iCs/>
                  <w:sz w:val="24"/>
                </w:rPr>
                <w:t>Attorney-General's Department - Types of electronic signatures that can be used</w:t>
              </w:r>
            </w:hyperlink>
          </w:p>
        </w:tc>
      </w:tr>
    </w:tbl>
    <w:p w14:paraId="1E36C7A1" w14:textId="36816E36" w:rsidR="3FD93375" w:rsidRDefault="3FD93375" w:rsidP="004E76AA">
      <w:pPr>
        <w:spacing w:line="278" w:lineRule="auto"/>
        <w:rPr>
          <w:rFonts w:eastAsia="Arial"/>
          <w:sz w:val="24"/>
          <w:lang w:val="en-US"/>
        </w:rPr>
      </w:pPr>
    </w:p>
    <w:p w14:paraId="63CD2C23" w14:textId="036C44E3" w:rsidR="00AB61D3" w:rsidRDefault="00AB61D3" w:rsidP="00507F9D">
      <w:pPr>
        <w:pStyle w:val="h2"/>
      </w:pPr>
      <w:bookmarkStart w:id="863" w:name="_Toc209189037"/>
      <w:bookmarkStart w:id="864" w:name="_Toc224916693"/>
      <w:r>
        <w:t xml:space="preserve">Referral and </w:t>
      </w:r>
      <w:r w:rsidR="00016531">
        <w:t>s</w:t>
      </w:r>
      <w:r>
        <w:t xml:space="preserve">upport for </w:t>
      </w:r>
      <w:r w:rsidR="00016531">
        <w:t>s</w:t>
      </w:r>
      <w:r>
        <w:t xml:space="preserve">ervice </w:t>
      </w:r>
      <w:r w:rsidR="00016531">
        <w:t>a</w:t>
      </w:r>
      <w:r>
        <w:t>ccess</w:t>
      </w:r>
      <w:bookmarkEnd w:id="863"/>
      <w:bookmarkEnd w:id="864"/>
    </w:p>
    <w:p w14:paraId="1A5D09AA" w14:textId="6771C01C" w:rsidR="00AB61D3" w:rsidRDefault="00AB61D3" w:rsidP="00C56CEC">
      <w:pPr>
        <w:pStyle w:val="H3"/>
      </w:pPr>
      <w:r>
        <w:t xml:space="preserve">Referral </w:t>
      </w:r>
      <w:r w:rsidR="00016531">
        <w:t>c</w:t>
      </w:r>
      <w:r>
        <w:t>odes</w:t>
      </w:r>
    </w:p>
    <w:p w14:paraId="7E486DA9" w14:textId="77777777" w:rsidR="00AB61D3" w:rsidRPr="00F0752F" w:rsidRDefault="00AB61D3" w:rsidP="00622CFF">
      <w:pPr>
        <w:spacing w:before="240" w:after="240" w:line="240" w:lineRule="auto"/>
        <w:rPr>
          <w:lang w:val="en-AU"/>
        </w:rPr>
      </w:pPr>
      <w:r w:rsidRPr="00F0752F">
        <w:rPr>
          <w:lang w:val="en-AU"/>
        </w:rPr>
        <w:t xml:space="preserve">A referral code is a unique reference number used to connect an older person with a provider, enabling them to begin receiving services. Referral codes will be generated at different stages and through different mechanisms depending on the program recommended during the aged care needs assessment. </w:t>
      </w:r>
    </w:p>
    <w:p w14:paraId="3BA3E15C" w14:textId="77777777" w:rsidR="00AB61D3" w:rsidRDefault="00AB61D3" w:rsidP="00C56CEC">
      <w:pPr>
        <w:pStyle w:val="H3"/>
      </w:pPr>
      <w:r>
        <w:t>When to share referral codes</w:t>
      </w:r>
    </w:p>
    <w:p w14:paraId="19094EBB" w14:textId="77777777" w:rsidR="00AB61D3" w:rsidRPr="005F4E9E" w:rsidRDefault="00AB61D3" w:rsidP="00622CFF">
      <w:pPr>
        <w:spacing w:before="240" w:after="240" w:line="240" w:lineRule="auto"/>
        <w:rPr>
          <w:lang w:val="en-US"/>
        </w:rPr>
      </w:pPr>
      <w:r>
        <w:rPr>
          <w:lang w:val="en-US"/>
        </w:rPr>
        <w:t xml:space="preserve">From 1 November 2025, all Australian government-funded aged care services fall under the </w:t>
      </w:r>
      <w:r w:rsidRPr="00534323">
        <w:rPr>
          <w:i/>
          <w:iCs/>
          <w:lang w:val="en-US"/>
        </w:rPr>
        <w:t>Aged Care Act 2024</w:t>
      </w:r>
      <w:r>
        <w:rPr>
          <w:lang w:val="en-US"/>
        </w:rPr>
        <w:t xml:space="preserve">. This includes CHSP services, which were not under the </w:t>
      </w:r>
      <w:r w:rsidRPr="00097330">
        <w:rPr>
          <w:i/>
          <w:iCs/>
          <w:lang w:val="en-US"/>
        </w:rPr>
        <w:t>Aged Care Act 1997</w:t>
      </w:r>
      <w:r>
        <w:rPr>
          <w:lang w:val="en-US"/>
        </w:rPr>
        <w:t xml:space="preserve">. This means that </w:t>
      </w:r>
      <w:r w:rsidRPr="005C7652">
        <w:rPr>
          <w:lang w:val="en-US"/>
        </w:rPr>
        <w:t>for all service approvals (including for CHSP),</w:t>
      </w:r>
      <w:r w:rsidRPr="008E6048">
        <w:rPr>
          <w:b/>
          <w:bCs/>
          <w:lang w:val="en-US"/>
        </w:rPr>
        <w:t xml:space="preserve"> </w:t>
      </w:r>
      <w:r w:rsidRPr="005F4E9E">
        <w:rPr>
          <w:lang w:val="en-US"/>
        </w:rPr>
        <w:t>referral codes cannot be issued to the older person or service providers until the Assessment Delegate has completed and signed a Notice of Decision.</w:t>
      </w:r>
    </w:p>
    <w:p w14:paraId="151E1A47" w14:textId="77777777" w:rsidR="00AB61D3" w:rsidRPr="004432A3" w:rsidRDefault="00AB61D3" w:rsidP="00622CFF">
      <w:pPr>
        <w:spacing w:before="240" w:after="240" w:line="240" w:lineRule="auto"/>
        <w:rPr>
          <w:lang w:val="en-US"/>
        </w:rPr>
      </w:pPr>
      <w:r w:rsidRPr="004432A3">
        <w:rPr>
          <w:lang w:val="en-US"/>
        </w:rPr>
        <w:t xml:space="preserve">This is an important change that assessment organisations must adhere to, to ensure compliance with the </w:t>
      </w:r>
      <w:r w:rsidRPr="004432A3">
        <w:rPr>
          <w:i/>
          <w:lang w:val="en-US"/>
        </w:rPr>
        <w:t>Aged Care Act 2024</w:t>
      </w:r>
      <w:r w:rsidRPr="004432A3">
        <w:rPr>
          <w:lang w:val="en-US"/>
        </w:rPr>
        <w:t>.</w:t>
      </w:r>
      <w:r>
        <w:rPr>
          <w:lang w:val="en-US"/>
        </w:rPr>
        <w:t xml:space="preserve"> </w:t>
      </w:r>
      <w:r w:rsidRPr="004432A3">
        <w:rPr>
          <w:lang w:val="en-US"/>
        </w:rPr>
        <w:t xml:space="preserve">If referral codes are </w:t>
      </w:r>
      <w:r>
        <w:rPr>
          <w:lang w:val="en-US"/>
        </w:rPr>
        <w:t>given to the older person and/or provider(s)</w:t>
      </w:r>
      <w:r w:rsidRPr="004432A3">
        <w:rPr>
          <w:lang w:val="en-US"/>
        </w:rPr>
        <w:t xml:space="preserve"> </w:t>
      </w:r>
      <w:r>
        <w:rPr>
          <w:lang w:val="en-US"/>
        </w:rPr>
        <w:t>and</w:t>
      </w:r>
      <w:r w:rsidRPr="004432A3">
        <w:rPr>
          <w:lang w:val="en-US"/>
        </w:rPr>
        <w:t xml:space="preserve"> a Notice of Decision is ultimately </w:t>
      </w:r>
      <w:r w:rsidRPr="00976A01">
        <w:rPr>
          <w:i/>
          <w:lang w:val="en-US"/>
        </w:rPr>
        <w:t>not</w:t>
      </w:r>
      <w:r w:rsidRPr="004432A3">
        <w:rPr>
          <w:lang w:val="en-US"/>
        </w:rPr>
        <w:t xml:space="preserve"> issued, this risks invalidating the assessment outcome. The Notice of Decision is the key legal mechanism that </w:t>
      </w:r>
      <w:r>
        <w:rPr>
          <w:lang w:val="en-US"/>
        </w:rPr>
        <w:t>records</w:t>
      </w:r>
      <w:r w:rsidRPr="004432A3">
        <w:rPr>
          <w:lang w:val="en-US"/>
        </w:rPr>
        <w:t xml:space="preserve"> a decision by the System Governor for the client to receive a funded aged care service.</w:t>
      </w:r>
    </w:p>
    <w:p w14:paraId="3EE2CE11" w14:textId="77777777" w:rsidR="00AB61D3" w:rsidRDefault="00AB61D3" w:rsidP="00622CFF">
      <w:pPr>
        <w:spacing w:before="240" w:after="240" w:line="240" w:lineRule="auto"/>
        <w:rPr>
          <w:lang w:val="en-US"/>
        </w:rPr>
      </w:pPr>
      <w:r w:rsidRPr="004432A3">
        <w:rPr>
          <w:lang w:val="en-US"/>
        </w:rPr>
        <w:t xml:space="preserve">The Notice of Decision does </w:t>
      </w:r>
      <w:r w:rsidRPr="004432A3">
        <w:rPr>
          <w:b/>
          <w:lang w:val="en-US"/>
        </w:rPr>
        <w:t xml:space="preserve">not </w:t>
      </w:r>
      <w:r w:rsidRPr="004432A3">
        <w:rPr>
          <w:lang w:val="en-US"/>
        </w:rPr>
        <w:t>include the referral code(s) for the recommended service(s).</w:t>
      </w:r>
      <w:r>
        <w:rPr>
          <w:lang w:val="en-US"/>
        </w:rPr>
        <w:t xml:space="preserve"> </w:t>
      </w:r>
      <w:r w:rsidRPr="00ED6C21">
        <w:t xml:space="preserve">Referral codes displayed in the Support Plan </w:t>
      </w:r>
      <w:r>
        <w:t>can be</w:t>
      </w:r>
      <w:r w:rsidRPr="00ED6C21">
        <w:t xml:space="preserve"> used to reach out to as many service providers as preferre</w:t>
      </w:r>
      <w:r>
        <w:t>d. The</w:t>
      </w:r>
      <w:r w:rsidDel="00ED6C21">
        <w:t xml:space="preserve"> Support Plan</w:t>
      </w:r>
      <w:r w:rsidDel="00ED6C21">
        <w:rPr>
          <w:lang w:val="en-US"/>
        </w:rPr>
        <w:t xml:space="preserve"> </w:t>
      </w:r>
      <w:r>
        <w:rPr>
          <w:lang w:val="en-US"/>
        </w:rPr>
        <w:t>must be sent as an attachment to the Notice of Decision.</w:t>
      </w:r>
      <w:r w:rsidRPr="004432A3">
        <w:rPr>
          <w:lang w:val="en-US"/>
        </w:rPr>
        <w:t xml:space="preserve"> </w:t>
      </w:r>
      <w:r>
        <w:rPr>
          <w:lang w:val="en-US"/>
        </w:rPr>
        <w:t>For CHSP service referrals, the referral code letter must also be sent as an attachment to the Notice of Decision.</w:t>
      </w:r>
    </w:p>
    <w:p w14:paraId="64B23AE1" w14:textId="1723C515" w:rsidR="00502714" w:rsidRDefault="00502714" w:rsidP="00C325C6">
      <w:pPr>
        <w:pStyle w:val="Sub-headings"/>
      </w:pPr>
      <w:r>
        <w:t xml:space="preserve">Note: </w:t>
      </w:r>
      <w:r>
        <w:br/>
      </w:r>
      <w:r w:rsidRPr="00502714">
        <w:t xml:space="preserve">Providers should not be asking older people to provide them with a copy of the Notice of Decision (NoD). </w:t>
      </w:r>
      <w:r w:rsidR="005D174A">
        <w:t>T</w:t>
      </w:r>
      <w:r w:rsidRPr="00502714">
        <w:t xml:space="preserve">eam </w:t>
      </w:r>
      <w:r w:rsidR="005D174A">
        <w:t>l</w:t>
      </w:r>
      <w:r w:rsidRPr="00502714">
        <w:t xml:space="preserve">eaders in service provider organisations are able to access the NoD </w:t>
      </w:r>
      <w:r w:rsidR="005D174A">
        <w:t xml:space="preserve">through the Provider Portal </w:t>
      </w:r>
      <w:r w:rsidRPr="00502714">
        <w:t>both before and after accepting the referral</w:t>
      </w:r>
    </w:p>
    <w:p w14:paraId="1E082577" w14:textId="77777777" w:rsidR="00AB61D3" w:rsidRPr="003E1933" w:rsidRDefault="00AB61D3" w:rsidP="00C56CEC">
      <w:pPr>
        <w:pStyle w:val="H3"/>
      </w:pPr>
      <w:r w:rsidRPr="003E1933">
        <w:t xml:space="preserve">Generating referrals/recommendations </w:t>
      </w:r>
    </w:p>
    <w:p w14:paraId="3991FE0E" w14:textId="77777777" w:rsidR="00AB61D3" w:rsidRPr="00D124C8" w:rsidRDefault="00AB61D3" w:rsidP="00622CFF">
      <w:pPr>
        <w:spacing w:before="240" w:after="240" w:line="240" w:lineRule="auto"/>
        <w:rPr>
          <w:szCs w:val="22"/>
        </w:rPr>
      </w:pPr>
      <w:r w:rsidRPr="00D124C8">
        <w:rPr>
          <w:szCs w:val="22"/>
        </w:rPr>
        <w:t>An assessor must ensure that older people are referred to service providers according to service availability and the older person’s needs and preferences.</w:t>
      </w:r>
      <w:r w:rsidRPr="00D124C8">
        <w:rPr>
          <w:i/>
          <w:szCs w:val="22"/>
        </w:rPr>
        <w:t xml:space="preserve"> </w:t>
      </w:r>
    </w:p>
    <w:p w14:paraId="30CC1EED" w14:textId="77777777" w:rsidR="00AB61D3" w:rsidRPr="00D124C8" w:rsidRDefault="00AB61D3" w:rsidP="00622CFF">
      <w:pPr>
        <w:spacing w:before="240" w:after="240" w:line="240" w:lineRule="auto"/>
        <w:rPr>
          <w:szCs w:val="22"/>
        </w:rPr>
      </w:pPr>
      <w:r w:rsidRPr="00D124C8">
        <w:rPr>
          <w:szCs w:val="22"/>
        </w:rPr>
        <w:t xml:space="preserve">Assessors may send referrals electronically to one or more </w:t>
      </w:r>
      <w:r>
        <w:rPr>
          <w:szCs w:val="22"/>
        </w:rPr>
        <w:t>government</w:t>
      </w:r>
      <w:r w:rsidRPr="00D124C8">
        <w:rPr>
          <w:szCs w:val="22"/>
        </w:rPr>
        <w:t xml:space="preserve">-funded service providers of the older person’s choice or provide the older person with a referral code for the older person to self-manage the referral. The client can also ask for the code to be broadcast to several local providers to find availability. </w:t>
      </w:r>
    </w:p>
    <w:p w14:paraId="21CB3AA6" w14:textId="77777777" w:rsidR="00AB61D3" w:rsidRPr="00D124C8" w:rsidRDefault="00AB61D3" w:rsidP="00622CFF">
      <w:pPr>
        <w:spacing w:before="240" w:after="240" w:line="240" w:lineRule="auto"/>
        <w:rPr>
          <w:szCs w:val="22"/>
        </w:rPr>
      </w:pPr>
      <w:r w:rsidRPr="00D124C8">
        <w:rPr>
          <w:szCs w:val="22"/>
        </w:rPr>
        <w:t>Prior to sending the referral, the assessor must ensure that the older person (or their appointed decision maker, regardless of whether they are a registered supporter):</w:t>
      </w:r>
    </w:p>
    <w:p w14:paraId="0C95AFE6" w14:textId="77777777" w:rsidR="00AB61D3" w:rsidRPr="00D124C8" w:rsidRDefault="00AB61D3" w:rsidP="00DF3F6B">
      <w:pPr>
        <w:pStyle w:val="ListParagraph"/>
        <w:numPr>
          <w:ilvl w:val="0"/>
          <w:numId w:val="311"/>
        </w:numPr>
        <w:spacing w:before="240" w:after="240" w:line="240" w:lineRule="auto"/>
        <w:rPr>
          <w:szCs w:val="22"/>
        </w:rPr>
      </w:pPr>
      <w:r w:rsidRPr="00D124C8">
        <w:rPr>
          <w:szCs w:val="22"/>
        </w:rPr>
        <w:t>consents to the My Aged Care referral method (broadcast, preference, or referral code)</w:t>
      </w:r>
    </w:p>
    <w:p w14:paraId="6589C9DE" w14:textId="05AAD553" w:rsidR="00AB61D3" w:rsidRDefault="00AB61D3" w:rsidP="00DF3F6B">
      <w:pPr>
        <w:pStyle w:val="ListParagraph"/>
        <w:numPr>
          <w:ilvl w:val="0"/>
          <w:numId w:val="311"/>
        </w:numPr>
        <w:spacing w:before="240" w:after="240" w:line="240" w:lineRule="auto"/>
        <w:rPr>
          <w:szCs w:val="22"/>
        </w:rPr>
      </w:pPr>
      <w:r w:rsidRPr="00D124C8">
        <w:rPr>
          <w:szCs w:val="22"/>
        </w:rPr>
        <w:t>consents to the department providing information from the older person’s My Aged Care online account to the provider for the purposes of the provider actioning the referral (including to provide the agreed service recommendation on the Support Plan</w:t>
      </w:r>
      <w:r w:rsidR="004A423D">
        <w:rPr>
          <w:szCs w:val="22"/>
        </w:rPr>
        <w:t>.</w:t>
      </w:r>
      <w:r w:rsidRPr="00D124C8">
        <w:rPr>
          <w:szCs w:val="22"/>
        </w:rPr>
        <w:t xml:space="preserve"> </w:t>
      </w:r>
    </w:p>
    <w:p w14:paraId="72123624" w14:textId="137D1AF7" w:rsidR="00AB61D3" w:rsidRPr="00502714" w:rsidRDefault="00AB61D3" w:rsidP="00502714">
      <w:pPr>
        <w:pStyle w:val="ListParagraph"/>
        <w:spacing w:before="240" w:after="240" w:line="240" w:lineRule="auto"/>
      </w:pPr>
    </w:p>
    <w:p w14:paraId="3FB403E1" w14:textId="75FD865A" w:rsidR="00AB61D3" w:rsidRDefault="00AB61D3" w:rsidP="00C56CEC">
      <w:pPr>
        <w:pStyle w:val="H3"/>
      </w:pPr>
      <w:r>
        <w:t xml:space="preserve">Support at Home </w:t>
      </w:r>
      <w:r w:rsidR="00572A45">
        <w:t>r</w:t>
      </w:r>
      <w:r>
        <w:t>eferrals</w:t>
      </w:r>
    </w:p>
    <w:p w14:paraId="7805B1DE" w14:textId="38019735" w:rsidR="00AB61D3" w:rsidRPr="00D124C8" w:rsidRDefault="00AB61D3" w:rsidP="00622CFF">
      <w:pPr>
        <w:spacing w:before="240" w:after="240" w:line="240" w:lineRule="auto"/>
        <w:rPr>
          <w:szCs w:val="22"/>
        </w:rPr>
      </w:pPr>
      <w:r w:rsidRPr="00D124C8">
        <w:rPr>
          <w:szCs w:val="22"/>
        </w:rPr>
        <w:t xml:space="preserve">A single provider will oversee and deliver all Support at Home services (including ongoing services, short-term services through the Restorative Care Pathway, End-of-Life Pathway and AT-HM scheme) for a participant. </w:t>
      </w:r>
    </w:p>
    <w:p w14:paraId="7D09552D" w14:textId="77777777" w:rsidR="009A5954" w:rsidRDefault="00AB61D3" w:rsidP="00622CFF">
      <w:pPr>
        <w:spacing w:before="240" w:after="240" w:line="240" w:lineRule="auto"/>
        <w:rPr>
          <w:szCs w:val="22"/>
        </w:rPr>
      </w:pPr>
      <w:r w:rsidRPr="00D124C8">
        <w:rPr>
          <w:szCs w:val="22"/>
        </w:rPr>
        <w:t xml:space="preserve">Under this model, registered providers will be required to hold registration that covers all services the participant will receive. </w:t>
      </w:r>
    </w:p>
    <w:p w14:paraId="0D857768" w14:textId="0211B996" w:rsidR="00AB61D3" w:rsidRPr="00D124C8" w:rsidRDefault="00AB61D3" w:rsidP="00C325C6">
      <w:pPr>
        <w:pStyle w:val="Sub-headings"/>
      </w:pPr>
      <w:r w:rsidRPr="00AE7B3F">
        <w:t>Note</w:t>
      </w:r>
      <w:r w:rsidRPr="1A14CDF1">
        <w:t xml:space="preserve"> some providers may not be able to deliver all services a participant needs. Providers can choose to engage a third-party (associated provider) to deliver services on their behalf, however the provider remains responsible for delivery of services and compliance with relevant obligations. </w:t>
      </w:r>
    </w:p>
    <w:p w14:paraId="544277AB" w14:textId="3946F817" w:rsidR="00AB61D3" w:rsidRPr="003E1933" w:rsidRDefault="00AB61D3" w:rsidP="00622CFF">
      <w:pPr>
        <w:spacing w:before="240" w:after="240" w:line="240" w:lineRule="auto"/>
        <w:rPr>
          <w:rFonts w:eastAsia="Calibri" w:cs="Calibri"/>
          <w:b/>
          <w:color w:val="899F32"/>
          <w:szCs w:val="22"/>
        </w:rPr>
      </w:pPr>
      <w:r w:rsidRPr="00D124C8">
        <w:rPr>
          <w:szCs w:val="22"/>
        </w:rPr>
        <w:t xml:space="preserve">If an older person prefers a particular service provider who does not have availability, the older person can elect to be referred to that service provider’s waitlist on the system (if a waitlist is available). </w:t>
      </w:r>
      <w:r w:rsidR="00516348">
        <w:rPr>
          <w:szCs w:val="22"/>
        </w:rPr>
        <w:t>Older people</w:t>
      </w:r>
      <w:r w:rsidRPr="00D124C8">
        <w:rPr>
          <w:szCs w:val="22"/>
        </w:rPr>
        <w:t xml:space="preserve"> can be on multiple waitlists at any one time.</w:t>
      </w:r>
    </w:p>
    <w:p w14:paraId="14F5BF61" w14:textId="77777777" w:rsidR="00AB61D3" w:rsidRPr="00D124C8" w:rsidRDefault="00AB61D3" w:rsidP="00622CFF">
      <w:pPr>
        <w:spacing w:before="240" w:after="240" w:line="240" w:lineRule="auto"/>
        <w:rPr>
          <w:szCs w:val="22"/>
        </w:rPr>
      </w:pPr>
      <w:r w:rsidRPr="00D124C8">
        <w:rPr>
          <w:szCs w:val="22"/>
        </w:rPr>
        <w:t xml:space="preserve">A participant can change Support at Home providers at any time. Once a participant has chosen their provider, the provider will receive a referral in the My Aged Care Service and Support Portal. </w:t>
      </w:r>
    </w:p>
    <w:p w14:paraId="32BBA110" w14:textId="77777777" w:rsidR="00AB61D3" w:rsidRPr="00D124C8" w:rsidRDefault="00AB61D3" w:rsidP="00622CFF">
      <w:pPr>
        <w:spacing w:before="240" w:after="240" w:line="240" w:lineRule="auto"/>
        <w:rPr>
          <w:szCs w:val="22"/>
        </w:rPr>
      </w:pPr>
      <w:r w:rsidRPr="00D124C8">
        <w:rPr>
          <w:szCs w:val="22"/>
        </w:rPr>
        <w:t xml:space="preserve">Where a service provider is not available to meet the needs of the older person and the older person does not want to be put on a waitlist, the assessor should have a further conversation with the older person to consider other alternative options for support. Other options may include: </w:t>
      </w:r>
    </w:p>
    <w:p w14:paraId="631EBED3" w14:textId="77777777" w:rsidR="00AB61D3" w:rsidRPr="00D124C8" w:rsidRDefault="00AB61D3" w:rsidP="00DF3F6B">
      <w:pPr>
        <w:pStyle w:val="ListParagraph"/>
        <w:numPr>
          <w:ilvl w:val="0"/>
          <w:numId w:val="312"/>
        </w:numPr>
        <w:spacing w:before="240" w:after="240" w:line="240" w:lineRule="auto"/>
        <w:rPr>
          <w:szCs w:val="22"/>
        </w:rPr>
      </w:pPr>
      <w:r w:rsidRPr="00D124C8">
        <w:rPr>
          <w:szCs w:val="22"/>
        </w:rPr>
        <w:t>a different service provider that could meet the need (on an interim or ongoing basis)</w:t>
      </w:r>
    </w:p>
    <w:p w14:paraId="2D8B8097" w14:textId="77777777" w:rsidR="00AB61D3" w:rsidRPr="00D124C8" w:rsidRDefault="00AB61D3" w:rsidP="00DF3F6B">
      <w:pPr>
        <w:pStyle w:val="ListParagraph"/>
        <w:numPr>
          <w:ilvl w:val="0"/>
          <w:numId w:val="312"/>
        </w:numPr>
        <w:spacing w:before="240" w:after="240" w:line="240" w:lineRule="auto"/>
        <w:rPr>
          <w:szCs w:val="22"/>
        </w:rPr>
      </w:pPr>
      <w:r w:rsidRPr="00D124C8">
        <w:rPr>
          <w:szCs w:val="22"/>
        </w:rPr>
        <w:t>non-Commonwealth-funded services; or</w:t>
      </w:r>
    </w:p>
    <w:p w14:paraId="5BD0F5D3" w14:textId="77777777" w:rsidR="00AB61D3" w:rsidRPr="00D124C8" w:rsidRDefault="00AB61D3" w:rsidP="00DF3F6B">
      <w:pPr>
        <w:pStyle w:val="ListParagraph"/>
        <w:numPr>
          <w:ilvl w:val="0"/>
          <w:numId w:val="312"/>
        </w:numPr>
        <w:spacing w:before="240" w:after="240" w:line="240" w:lineRule="auto"/>
        <w:rPr>
          <w:szCs w:val="22"/>
        </w:rPr>
      </w:pPr>
      <w:r w:rsidRPr="00D124C8">
        <w:rPr>
          <w:szCs w:val="22"/>
        </w:rPr>
        <w:t>the older person and/or their carer, registered supporter or other person who supports the older person being able to address their need.</w:t>
      </w:r>
    </w:p>
    <w:p w14:paraId="7A7378BD" w14:textId="194769AB" w:rsidR="00AB61D3" w:rsidRDefault="00AB61D3" w:rsidP="00622CFF">
      <w:pPr>
        <w:spacing w:before="240" w:after="240" w:line="240" w:lineRule="auto"/>
        <w:rPr>
          <w:szCs w:val="22"/>
        </w:rPr>
      </w:pPr>
      <w:r w:rsidRPr="00D124C8">
        <w:rPr>
          <w:szCs w:val="22"/>
        </w:rPr>
        <w:t xml:space="preserve">Where required, the assessor is to provide short-term assistance to the older person for the purpose of implementing the Support Plan. This may include monitoring referrals or discussing options with service providers for the provision of alternative services if necessary, or in cases of providing for vulnerable </w:t>
      </w:r>
      <w:r w:rsidR="00516348">
        <w:rPr>
          <w:szCs w:val="22"/>
        </w:rPr>
        <w:t>older people</w:t>
      </w:r>
      <w:r w:rsidRPr="00D124C8">
        <w:rPr>
          <w:szCs w:val="22"/>
        </w:rPr>
        <w:t xml:space="preserve">, linking support or care coordination. </w:t>
      </w:r>
    </w:p>
    <w:p w14:paraId="3AEBE9BD" w14:textId="756BA6FF" w:rsidR="00AB61D3" w:rsidRPr="00CE7E2D" w:rsidRDefault="00AB61D3" w:rsidP="00CC6081">
      <w:pPr>
        <w:pStyle w:val="H4"/>
        <w:rPr>
          <w:u w:val="single"/>
        </w:rPr>
      </w:pPr>
      <w:r>
        <w:t xml:space="preserve">Referrals for Restorative Care Pathway, </w:t>
      </w:r>
      <w:r w:rsidR="00B90788">
        <w:t>t</w:t>
      </w:r>
      <w:r w:rsidR="00F90BFE">
        <w:t xml:space="preserve">he </w:t>
      </w:r>
      <w:r>
        <w:t xml:space="preserve">AT-HM </w:t>
      </w:r>
      <w:r w:rsidR="00F90BFE">
        <w:t xml:space="preserve">scheme </w:t>
      </w:r>
      <w:r>
        <w:t>and End-of-Life Pathway</w:t>
      </w:r>
    </w:p>
    <w:p w14:paraId="0772D3E7" w14:textId="062C41B4" w:rsidR="00AB61D3" w:rsidRPr="00D124C8" w:rsidRDefault="00AB61D3" w:rsidP="00622CFF">
      <w:pPr>
        <w:spacing w:before="240" w:after="240" w:line="240" w:lineRule="auto"/>
        <w:rPr>
          <w:szCs w:val="22"/>
        </w:rPr>
      </w:pPr>
      <w:r w:rsidRPr="00D124C8">
        <w:rPr>
          <w:szCs w:val="22"/>
        </w:rPr>
        <w:t xml:space="preserve">If a participant receiving ongoing Support at Home services is referred to a short-term pathway (Restorative Care, </w:t>
      </w:r>
      <w:r w:rsidR="00F90BFE">
        <w:rPr>
          <w:szCs w:val="22"/>
        </w:rPr>
        <w:t xml:space="preserve">the </w:t>
      </w:r>
      <w:r w:rsidRPr="00D124C8">
        <w:rPr>
          <w:szCs w:val="22"/>
        </w:rPr>
        <w:t>AT-HM</w:t>
      </w:r>
      <w:r w:rsidR="00F90BFE">
        <w:rPr>
          <w:szCs w:val="22"/>
        </w:rPr>
        <w:t xml:space="preserve"> scheme</w:t>
      </w:r>
      <w:r w:rsidRPr="00D124C8">
        <w:rPr>
          <w:szCs w:val="22"/>
        </w:rPr>
        <w:t xml:space="preserve"> and End-of-Life), and their current registered provider does not deliver services under these pathways, the participant will be required to change providers to access their short-term pathway. </w:t>
      </w:r>
    </w:p>
    <w:p w14:paraId="5B37E908" w14:textId="77777777" w:rsidR="00AB61D3" w:rsidRPr="00D124C8" w:rsidRDefault="00AB61D3" w:rsidP="00622CFF">
      <w:pPr>
        <w:spacing w:before="240" w:after="240" w:line="240" w:lineRule="auto"/>
        <w:rPr>
          <w:szCs w:val="22"/>
        </w:rPr>
      </w:pPr>
      <w:r w:rsidRPr="00D124C8">
        <w:rPr>
          <w:szCs w:val="22"/>
        </w:rPr>
        <w:t>Assessors should ensure the individual is aware of this and confirm referral needs with the individual.</w:t>
      </w:r>
    </w:p>
    <w:p w14:paraId="0AF3C6E1" w14:textId="77777777" w:rsidR="00AB61D3" w:rsidRPr="00D124C8" w:rsidRDefault="00AB61D3" w:rsidP="00622CFF">
      <w:pPr>
        <w:spacing w:before="240" w:after="240" w:line="240" w:lineRule="auto"/>
        <w:rPr>
          <w:szCs w:val="22"/>
          <w:lang w:val="en-US"/>
        </w:rPr>
      </w:pPr>
      <w:r w:rsidRPr="00D124C8">
        <w:rPr>
          <w:noProof/>
          <w:szCs w:val="22"/>
        </w:rPr>
        <w:drawing>
          <wp:inline distT="0" distB="0" distL="0" distR="0" wp14:anchorId="33CDE9CE" wp14:editId="7D8F6204">
            <wp:extent cx="383111" cy="381000"/>
            <wp:effectExtent l="0" t="0" r="0" b="0"/>
            <wp:docPr id="1650887736" name="Picture 165088773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2085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r w:rsidRPr="00D124C8">
        <w:rPr>
          <w:szCs w:val="22"/>
          <w:lang w:val="en-US"/>
        </w:rPr>
        <w:t xml:space="preserve">For further information see the </w:t>
      </w:r>
      <w:hyperlink r:id="rId247">
        <w:r w:rsidRPr="00D124C8">
          <w:rPr>
            <w:rStyle w:val="Hyperlink"/>
            <w:szCs w:val="22"/>
            <w:lang w:val="en-US"/>
          </w:rPr>
          <w:t>Support at Home Program Manual</w:t>
        </w:r>
        <w:r w:rsidRPr="007D410F">
          <w:rPr>
            <w:rStyle w:val="Hyperlink"/>
            <w:color w:val="auto"/>
            <w:szCs w:val="22"/>
            <w:u w:val="none"/>
            <w:lang w:val="en-US"/>
          </w:rPr>
          <w:t>.</w:t>
        </w:r>
      </w:hyperlink>
    </w:p>
    <w:p w14:paraId="45215997" w14:textId="77777777" w:rsidR="00AB61D3" w:rsidRPr="00CE7E2D" w:rsidRDefault="00AB61D3" w:rsidP="00CC6081">
      <w:pPr>
        <w:pStyle w:val="H4"/>
        <w:rPr>
          <w:u w:val="single"/>
        </w:rPr>
      </w:pPr>
      <w:r w:rsidRPr="006D020A">
        <w:t xml:space="preserve">Support at Home </w:t>
      </w:r>
      <w:r w:rsidRPr="00C0094A">
        <w:t>referral codes</w:t>
      </w:r>
    </w:p>
    <w:p w14:paraId="2B76C402" w14:textId="112EBF2F" w:rsidR="00AB61D3" w:rsidRPr="003E1933" w:rsidRDefault="00AB61D3" w:rsidP="00622CFF">
      <w:pPr>
        <w:spacing w:before="240" w:after="240" w:line="240" w:lineRule="auto"/>
        <w:rPr>
          <w:szCs w:val="22"/>
        </w:rPr>
      </w:pPr>
      <w:r>
        <w:rPr>
          <w:szCs w:val="22"/>
          <w:lang w:val="en-AU"/>
        </w:rPr>
        <w:t>The same</w:t>
      </w:r>
      <w:r w:rsidRPr="00D124C8">
        <w:rPr>
          <w:szCs w:val="22"/>
          <w:lang w:val="en-AU"/>
        </w:rPr>
        <w:t xml:space="preserve"> referral code will be issued for </w:t>
      </w:r>
      <w:r>
        <w:rPr>
          <w:szCs w:val="22"/>
          <w:lang w:val="en-AU"/>
        </w:rPr>
        <w:t>every</w:t>
      </w:r>
      <w:r w:rsidRPr="00D124C8">
        <w:rPr>
          <w:szCs w:val="22"/>
          <w:lang w:val="en-AU"/>
        </w:rPr>
        <w:t xml:space="preserve"> Support at Home </w:t>
      </w:r>
      <w:r w:rsidR="00247E8A">
        <w:rPr>
          <w:szCs w:val="22"/>
          <w:lang w:val="en-AU"/>
        </w:rPr>
        <w:t>(SaH)</w:t>
      </w:r>
      <w:r w:rsidRPr="00D124C8">
        <w:rPr>
          <w:szCs w:val="22"/>
          <w:lang w:val="en-AU"/>
        </w:rPr>
        <w:t xml:space="preserve"> classification level</w:t>
      </w:r>
      <w:r>
        <w:rPr>
          <w:szCs w:val="22"/>
          <w:lang w:val="en-AU"/>
        </w:rPr>
        <w:t xml:space="preserve"> (this includes ongoing and short-term services)</w:t>
      </w:r>
      <w:r w:rsidRPr="00D124C8">
        <w:rPr>
          <w:szCs w:val="22"/>
          <w:lang w:val="en-AU"/>
        </w:rPr>
        <w:t xml:space="preserve">. This referral code will apply to all services approved under that classification level. </w:t>
      </w:r>
      <w:r w:rsidRPr="00D124C8">
        <w:rPr>
          <w:szCs w:val="22"/>
        </w:rPr>
        <w:t>The older person can present the referral code directly to their preferred provider or alternatively they can request assistance from the contact centre or the assessor for assistance in issuing a referral to a provider(s).</w:t>
      </w:r>
    </w:p>
    <w:p w14:paraId="064A4584" w14:textId="77777777" w:rsidR="00AB61D3" w:rsidRDefault="00AB61D3" w:rsidP="00622CFF">
      <w:pPr>
        <w:spacing w:before="240" w:after="240" w:line="240" w:lineRule="auto"/>
        <w:rPr>
          <w:lang w:val="en-AU"/>
        </w:rPr>
      </w:pPr>
      <w:r w:rsidRPr="0D361072">
        <w:rPr>
          <w:lang w:val="en-AU"/>
        </w:rPr>
        <w:t xml:space="preserve">Referral codes are not listed in the Notice of Decision letter. </w:t>
      </w:r>
      <w:r>
        <w:rPr>
          <w:lang w:val="en-AU"/>
        </w:rPr>
        <w:t>Referral codes are generated and listed in the support plan in circumstances where a referral code is needed.</w:t>
      </w:r>
    </w:p>
    <w:p w14:paraId="6A5982B0" w14:textId="12CC72E9" w:rsidR="00AB61D3" w:rsidRDefault="00AB61D3" w:rsidP="00622CFF">
      <w:pPr>
        <w:spacing w:before="240" w:after="240" w:line="240" w:lineRule="auto"/>
      </w:pPr>
      <w:r>
        <w:t xml:space="preserve">For an individual approved for an ongoing </w:t>
      </w:r>
      <w:r w:rsidR="00247E8A">
        <w:t>SaH</w:t>
      </w:r>
      <w:r>
        <w:t xml:space="preserve"> classification or AT-HM, the referral code is generated once the individual has been allocated a place (and therefore funding) through the Support at Home, Assistive Technology or Home Modifications Priority Systems.</w:t>
      </w:r>
      <w:r w:rsidR="00E77D9E">
        <w:t xml:space="preserve"> A separate Funding Assignment Notice with the corresponding referral code will be sent to the older person. </w:t>
      </w:r>
    </w:p>
    <w:p w14:paraId="06F77A73" w14:textId="1D20EF5F" w:rsidR="00AB61D3" w:rsidRDefault="00AB61D3" w:rsidP="00622CFF">
      <w:pPr>
        <w:spacing w:before="240" w:after="240" w:line="240" w:lineRule="auto"/>
        <w:rPr>
          <w:lang w:val="en-AU"/>
        </w:rPr>
      </w:pPr>
      <w:r>
        <w:rPr>
          <w:lang w:val="en-AU"/>
        </w:rPr>
        <w:t xml:space="preserve">In circumstances where a participant is already receiving services from a </w:t>
      </w:r>
      <w:r w:rsidR="008A04C9">
        <w:rPr>
          <w:lang w:val="en-AU"/>
        </w:rPr>
        <w:t>SaH</w:t>
      </w:r>
      <w:r>
        <w:rPr>
          <w:lang w:val="en-AU"/>
        </w:rPr>
        <w:t xml:space="preserve"> provider (for example, moving from the End-of-Life Pathway back to ongoing services), a referral code is not generated. In these circumstances a referral code is not required as the connection with a provider and access to the participant’s record is already established through the initial use of the referral code.</w:t>
      </w:r>
    </w:p>
    <w:p w14:paraId="5F213F74" w14:textId="77777777" w:rsidR="00AB61D3" w:rsidRDefault="00AB61D3" w:rsidP="00622CFF">
      <w:pPr>
        <w:spacing w:before="240" w:after="240" w:line="240" w:lineRule="auto"/>
      </w:pPr>
      <w:r w:rsidRPr="0D361072">
        <w:t xml:space="preserve">For </w:t>
      </w:r>
      <w:r>
        <w:t xml:space="preserve">new Support at Home participants </w:t>
      </w:r>
      <w:r w:rsidRPr="0D361072">
        <w:t>approved for the End-of-Life Pathway</w:t>
      </w:r>
      <w:r>
        <w:t xml:space="preserve"> </w:t>
      </w:r>
      <w:r w:rsidRPr="0D361072">
        <w:t>or Restorative Care Pathway:</w:t>
      </w:r>
    </w:p>
    <w:p w14:paraId="198C2F64" w14:textId="77777777" w:rsidR="00AB61D3" w:rsidRDefault="00AB61D3" w:rsidP="00DF3F6B">
      <w:pPr>
        <w:pStyle w:val="ListParagraph"/>
        <w:numPr>
          <w:ilvl w:val="0"/>
          <w:numId w:val="313"/>
        </w:numPr>
        <w:spacing w:before="240" w:after="240" w:line="240" w:lineRule="auto"/>
        <w:rPr>
          <w:lang w:val="en-AU"/>
        </w:rPr>
      </w:pPr>
      <w:r w:rsidRPr="0D361072">
        <w:rPr>
          <w:lang w:val="en-AU"/>
        </w:rPr>
        <w:t xml:space="preserve">if a service referral has been made, the provider will contact the participant </w:t>
      </w:r>
    </w:p>
    <w:p w14:paraId="3202D889" w14:textId="08E56950" w:rsidR="00AB61D3" w:rsidRPr="00816280" w:rsidRDefault="00AB61D3" w:rsidP="00DF3F6B">
      <w:pPr>
        <w:pStyle w:val="ListParagraph"/>
        <w:numPr>
          <w:ilvl w:val="0"/>
          <w:numId w:val="313"/>
        </w:numPr>
        <w:spacing w:before="240" w:after="240" w:line="240" w:lineRule="auto"/>
        <w:rPr>
          <w:lang w:val="en-AU"/>
        </w:rPr>
      </w:pPr>
      <w:r w:rsidRPr="0D361072">
        <w:rPr>
          <w:lang w:val="en-AU"/>
        </w:rPr>
        <w:t>if no service referral has been made, the referral code will be displayed in the support plan</w:t>
      </w:r>
      <w:r w:rsidR="00482F3E">
        <w:rPr>
          <w:lang w:val="en-AU"/>
        </w:rPr>
        <w:t>.</w:t>
      </w:r>
    </w:p>
    <w:p w14:paraId="3239C501" w14:textId="23525266" w:rsidR="00AB61D3" w:rsidRDefault="00AB61D3" w:rsidP="00622CFF">
      <w:pPr>
        <w:spacing w:before="240" w:after="240" w:line="240" w:lineRule="auto"/>
        <w:rPr>
          <w:lang w:val="en-AU"/>
        </w:rPr>
      </w:pPr>
      <w:r>
        <w:rPr>
          <w:lang w:val="en-AU"/>
        </w:rPr>
        <w:t>I</w:t>
      </w:r>
      <w:r w:rsidRPr="00816280">
        <w:rPr>
          <w:lang w:val="en-AU"/>
        </w:rPr>
        <w:t xml:space="preserve">f </w:t>
      </w:r>
      <w:r>
        <w:rPr>
          <w:lang w:val="en-AU"/>
        </w:rPr>
        <w:t>a</w:t>
      </w:r>
      <w:r w:rsidRPr="00816280">
        <w:rPr>
          <w:lang w:val="en-AU"/>
        </w:rPr>
        <w:t xml:space="preserve"> participant is already receiving services and want</w:t>
      </w:r>
      <w:r>
        <w:rPr>
          <w:lang w:val="en-AU"/>
        </w:rPr>
        <w:t>s</w:t>
      </w:r>
      <w:r w:rsidRPr="00816280">
        <w:rPr>
          <w:lang w:val="en-AU"/>
        </w:rPr>
        <w:t xml:space="preserve"> to change providers, they will need to contact the My Aged Care Contact Centre to reactivate their referral code</w:t>
      </w:r>
      <w:r>
        <w:rPr>
          <w:lang w:val="en-AU"/>
        </w:rPr>
        <w:t xml:space="preserve">, enabling it to be used as a way to connect with a new provider. Alternatively, if the participant indicates during their assessment that they want to change providers and have the assessor make the service referral, the referral code can be found in the </w:t>
      </w:r>
      <w:r w:rsidR="0060352D">
        <w:rPr>
          <w:lang w:val="en-AU"/>
        </w:rPr>
        <w:t>assessor portal</w:t>
      </w:r>
      <w:r>
        <w:rPr>
          <w:lang w:val="en-AU"/>
        </w:rPr>
        <w:t xml:space="preserve">. </w:t>
      </w:r>
    </w:p>
    <w:p w14:paraId="6D478AE8" w14:textId="475B8418" w:rsidR="00AB61D3" w:rsidRPr="00FB1F07" w:rsidRDefault="00AB61D3" w:rsidP="00C56CEC">
      <w:pPr>
        <w:pStyle w:val="H3"/>
      </w:pPr>
      <w:r w:rsidRPr="00FB1F07">
        <w:t xml:space="preserve">CHSP </w:t>
      </w:r>
      <w:r w:rsidR="00572A45">
        <w:t>r</w:t>
      </w:r>
      <w:r w:rsidRPr="00FB1F07">
        <w:t>eferral</w:t>
      </w:r>
      <w:r>
        <w:t>s</w:t>
      </w:r>
    </w:p>
    <w:p w14:paraId="6CA8D46C" w14:textId="74904C66" w:rsidR="00AB61D3" w:rsidRPr="00D124C8" w:rsidRDefault="001262A5" w:rsidP="00622CFF">
      <w:pPr>
        <w:spacing w:before="240" w:after="240" w:line="240" w:lineRule="auto"/>
        <w:rPr>
          <w:szCs w:val="22"/>
        </w:rPr>
      </w:pPr>
      <w:r>
        <w:rPr>
          <w:szCs w:val="22"/>
        </w:rPr>
        <w:t>A</w:t>
      </w:r>
      <w:r w:rsidR="00AB61D3" w:rsidRPr="00D124C8">
        <w:rPr>
          <w:szCs w:val="22"/>
        </w:rPr>
        <w:t xml:space="preserve">ssessors </w:t>
      </w:r>
      <w:r w:rsidR="00AB61D3" w:rsidRPr="00D124C8">
        <w:rPr>
          <w:szCs w:val="22"/>
          <w:u w:val="single"/>
        </w:rPr>
        <w:t>should not issue</w:t>
      </w:r>
      <w:r w:rsidR="00AB61D3" w:rsidRPr="00D124C8">
        <w:rPr>
          <w:szCs w:val="22"/>
        </w:rPr>
        <w:t xml:space="preserve"> CHSP referral codes until </w:t>
      </w:r>
      <w:r w:rsidR="00AB61D3" w:rsidRPr="00D124C8">
        <w:rPr>
          <w:i/>
          <w:szCs w:val="22"/>
        </w:rPr>
        <w:t>after</w:t>
      </w:r>
      <w:r w:rsidR="00AB61D3" w:rsidRPr="00D124C8">
        <w:rPr>
          <w:szCs w:val="22"/>
        </w:rPr>
        <w:t xml:space="preserve"> the assessment delegate has approved the recommendation. An exception to this is the alternative entry pathway. </w:t>
      </w:r>
    </w:p>
    <w:p w14:paraId="727F8B60" w14:textId="4A51E2FB" w:rsidR="00484F97" w:rsidRDefault="00AB61D3" w:rsidP="00622CFF">
      <w:pPr>
        <w:spacing w:before="240" w:after="240" w:line="240" w:lineRule="auto"/>
        <w:rPr>
          <w:szCs w:val="22"/>
        </w:rPr>
      </w:pPr>
      <w:r w:rsidRPr="00D124C8">
        <w:rPr>
          <w:szCs w:val="22"/>
        </w:rPr>
        <w:t>For CHSP services, a Support Plan may contain recommendations for multiple services</w:t>
      </w:r>
      <w:r w:rsidRPr="00D124C8">
        <w:rPr>
          <w:b/>
          <w:i/>
          <w:szCs w:val="22"/>
        </w:rPr>
        <w:t xml:space="preserve"> </w:t>
      </w:r>
      <w:r w:rsidRPr="00D124C8">
        <w:rPr>
          <w:szCs w:val="22"/>
        </w:rPr>
        <w:t>within the same service type</w:t>
      </w:r>
      <w:r w:rsidRPr="00D124C8">
        <w:rPr>
          <w:b/>
          <w:i/>
          <w:szCs w:val="22"/>
        </w:rPr>
        <w:t xml:space="preserve"> </w:t>
      </w:r>
      <w:r w:rsidRPr="00D124C8">
        <w:rPr>
          <w:szCs w:val="22"/>
        </w:rPr>
        <w:t>(e.g. Laundry</w:t>
      </w:r>
      <w:r>
        <w:rPr>
          <w:szCs w:val="22"/>
        </w:rPr>
        <w:t xml:space="preserve">, </w:t>
      </w:r>
      <w:r w:rsidRPr="00D124C8">
        <w:rPr>
          <w:szCs w:val="22"/>
        </w:rPr>
        <w:t xml:space="preserve">General House Cleaning </w:t>
      </w:r>
      <w:r>
        <w:rPr>
          <w:szCs w:val="22"/>
        </w:rPr>
        <w:t xml:space="preserve">and Shopping assistance </w:t>
      </w:r>
      <w:r w:rsidRPr="00D124C8">
        <w:rPr>
          <w:szCs w:val="22"/>
        </w:rPr>
        <w:t>services under the Domestic Assistance service type). The assessor will generate a separate referral code for each service</w:t>
      </w:r>
      <w:r w:rsidRPr="00D124C8">
        <w:rPr>
          <w:b/>
          <w:i/>
          <w:szCs w:val="22"/>
        </w:rPr>
        <w:t xml:space="preserve"> </w:t>
      </w:r>
      <w:r w:rsidRPr="00D124C8">
        <w:rPr>
          <w:szCs w:val="22"/>
        </w:rPr>
        <w:t>type</w:t>
      </w:r>
      <w:r w:rsidRPr="00D124C8">
        <w:rPr>
          <w:b/>
          <w:i/>
          <w:szCs w:val="22"/>
        </w:rPr>
        <w:t xml:space="preserve"> </w:t>
      </w:r>
      <w:r w:rsidRPr="00D124C8">
        <w:rPr>
          <w:szCs w:val="22"/>
        </w:rPr>
        <w:t>recommended.</w:t>
      </w:r>
      <w:r w:rsidRPr="00DA0E8A">
        <w:rPr>
          <w:szCs w:val="22"/>
        </w:rPr>
        <w:t xml:space="preserve"> </w:t>
      </w:r>
    </w:p>
    <w:p w14:paraId="4009E480" w14:textId="5DCC781E" w:rsidR="00287986" w:rsidRDefault="00AB61D3" w:rsidP="00622CFF">
      <w:pPr>
        <w:spacing w:before="240" w:after="240" w:line="240" w:lineRule="auto"/>
        <w:rPr>
          <w:szCs w:val="22"/>
        </w:rPr>
      </w:pPr>
      <w:r w:rsidRPr="00D124C8">
        <w:rPr>
          <w:szCs w:val="22"/>
        </w:rPr>
        <w:t xml:space="preserve">If a service aligns with the older person’s assessed needs and goals, assessors can issue more than one referral code for the same </w:t>
      </w:r>
      <w:r w:rsidR="00484F97">
        <w:rPr>
          <w:szCs w:val="22"/>
        </w:rPr>
        <w:t>service type</w:t>
      </w:r>
      <w:r w:rsidRPr="00D124C8">
        <w:rPr>
          <w:szCs w:val="22"/>
        </w:rPr>
        <w:t xml:space="preserve"> – allowing the person to access </w:t>
      </w:r>
      <w:r w:rsidR="00484F97">
        <w:rPr>
          <w:szCs w:val="22"/>
        </w:rPr>
        <w:t>two services (sub-types)</w:t>
      </w:r>
      <w:r w:rsidRPr="00D124C8">
        <w:rPr>
          <w:szCs w:val="22"/>
        </w:rPr>
        <w:t xml:space="preserve"> from two different providers, provided there is no duplication of service. </w:t>
      </w:r>
      <w:r w:rsidRPr="00D124C8" w:rsidDel="482E26C3">
        <w:rPr>
          <w:szCs w:val="22"/>
        </w:rPr>
        <w:t xml:space="preserve"> </w:t>
      </w:r>
    </w:p>
    <w:p w14:paraId="75D4A6F4" w14:textId="349D500E" w:rsidR="00287986" w:rsidRPr="002F3121" w:rsidRDefault="00AB61D3" w:rsidP="00DF3F6B">
      <w:pPr>
        <w:pStyle w:val="ListParagraph"/>
        <w:numPr>
          <w:ilvl w:val="0"/>
          <w:numId w:val="441"/>
        </w:numPr>
        <w:spacing w:before="240" w:after="240" w:line="240" w:lineRule="auto"/>
        <w:rPr>
          <w:szCs w:val="22"/>
        </w:rPr>
      </w:pPr>
      <w:r w:rsidRPr="002F3121">
        <w:rPr>
          <w:szCs w:val="22"/>
        </w:rPr>
        <w:t xml:space="preserve">For example, if an older person </w:t>
      </w:r>
      <w:r w:rsidR="00287986" w:rsidRPr="002F3121">
        <w:rPr>
          <w:szCs w:val="22"/>
        </w:rPr>
        <w:t>wishes to access services under the Social Support service type from two different providers (e.g. individual social support and group social support), the assessor should create two separate service recommendations using the ‘Add a service recommendation’ function. Each recommendation wi</w:t>
      </w:r>
      <w:r w:rsidR="00483C68" w:rsidRPr="002F3121">
        <w:rPr>
          <w:szCs w:val="22"/>
        </w:rPr>
        <w:t>l</w:t>
      </w:r>
      <w:r w:rsidR="00287986" w:rsidRPr="002F3121">
        <w:rPr>
          <w:szCs w:val="22"/>
        </w:rPr>
        <w:t xml:space="preserve">l generate a distinct referral code, ensuring that each provider receives a unique referral code </w:t>
      </w:r>
    </w:p>
    <w:p w14:paraId="7902A74B" w14:textId="59C76277" w:rsidR="00AB61D3" w:rsidRDefault="00287986" w:rsidP="00DF3F6B">
      <w:pPr>
        <w:pStyle w:val="ListParagraph"/>
        <w:numPr>
          <w:ilvl w:val="0"/>
          <w:numId w:val="441"/>
        </w:numPr>
        <w:spacing w:before="240" w:after="240" w:line="240" w:lineRule="auto"/>
        <w:rPr>
          <w:szCs w:val="22"/>
        </w:rPr>
      </w:pPr>
      <w:r w:rsidRPr="002F3121">
        <w:rPr>
          <w:szCs w:val="22"/>
        </w:rPr>
        <w:t xml:space="preserve">For Allied </w:t>
      </w:r>
      <w:r w:rsidR="00711DD8">
        <w:rPr>
          <w:szCs w:val="22"/>
        </w:rPr>
        <w:t>H</w:t>
      </w:r>
      <w:r w:rsidRPr="002F3121">
        <w:rPr>
          <w:szCs w:val="22"/>
        </w:rPr>
        <w:t xml:space="preserve">ealth and </w:t>
      </w:r>
      <w:r w:rsidR="00711DD8">
        <w:rPr>
          <w:szCs w:val="22"/>
        </w:rPr>
        <w:t>T</w:t>
      </w:r>
      <w:r w:rsidRPr="002F3121">
        <w:rPr>
          <w:szCs w:val="22"/>
        </w:rPr>
        <w:t xml:space="preserve">herapy </w:t>
      </w:r>
      <w:r w:rsidR="00184F6A" w:rsidRPr="002F3121">
        <w:rPr>
          <w:szCs w:val="22"/>
        </w:rPr>
        <w:t>and The</w:t>
      </w:r>
      <w:r w:rsidR="00483C68" w:rsidRPr="002F3121">
        <w:rPr>
          <w:szCs w:val="22"/>
        </w:rPr>
        <w:t>r</w:t>
      </w:r>
      <w:r w:rsidR="00184F6A" w:rsidRPr="002F3121">
        <w:rPr>
          <w:szCs w:val="22"/>
        </w:rPr>
        <w:t xml:space="preserve">apeutic </w:t>
      </w:r>
      <w:r w:rsidR="00711DD8">
        <w:rPr>
          <w:szCs w:val="22"/>
        </w:rPr>
        <w:t>S</w:t>
      </w:r>
      <w:r w:rsidR="00184F6A" w:rsidRPr="002F3121">
        <w:rPr>
          <w:szCs w:val="22"/>
        </w:rPr>
        <w:t>ervices for independent living service types, the assessor s</w:t>
      </w:r>
      <w:r w:rsidR="009D15DD" w:rsidRPr="002F3121">
        <w:rPr>
          <w:szCs w:val="22"/>
        </w:rPr>
        <w:t>h</w:t>
      </w:r>
      <w:r w:rsidR="00184F6A" w:rsidRPr="002F3121">
        <w:rPr>
          <w:szCs w:val="22"/>
        </w:rPr>
        <w:t xml:space="preserve">ould always generate a separate referral code for each service recommended (e.g. separate referral codes for Physiotherapy and Occupational Therapy) as outlined above. </w:t>
      </w:r>
    </w:p>
    <w:p w14:paraId="3639A555" w14:textId="42BD0727" w:rsidR="002E5FCD" w:rsidRPr="002E5FCD" w:rsidRDefault="002E5FCD" w:rsidP="002E5FCD">
      <w:pPr>
        <w:spacing w:before="240" w:after="240" w:line="240" w:lineRule="auto"/>
        <w:rPr>
          <w:b/>
          <w:bCs/>
          <w:szCs w:val="22"/>
        </w:rPr>
      </w:pPr>
      <w:r w:rsidRPr="002E5FCD">
        <w:rPr>
          <w:b/>
          <w:bCs/>
          <w:szCs w:val="22"/>
        </w:rPr>
        <w:t>Reissuing CHSP referrals</w:t>
      </w:r>
      <w:r w:rsidR="00947FA7">
        <w:rPr>
          <w:b/>
          <w:bCs/>
          <w:szCs w:val="22"/>
        </w:rPr>
        <w:t xml:space="preserve"> </w:t>
      </w:r>
      <w:r w:rsidR="007823E1">
        <w:rPr>
          <w:b/>
          <w:bCs/>
          <w:szCs w:val="22"/>
        </w:rPr>
        <w:t>– Grandfathered CHSP clients</w:t>
      </w:r>
    </w:p>
    <w:p w14:paraId="52AF381A" w14:textId="49724177" w:rsidR="0031723B" w:rsidRPr="007823E1" w:rsidRDefault="00A729D2" w:rsidP="007823E1">
      <w:pPr>
        <w:rPr>
          <w:color w:val="000000"/>
        </w:rPr>
      </w:pPr>
      <w:r w:rsidRPr="007823E1">
        <w:rPr>
          <w:color w:val="000000"/>
        </w:rPr>
        <w:t xml:space="preserve">Certain CHSP clients were </w:t>
      </w:r>
      <w:r w:rsidR="00F373D9">
        <w:rPr>
          <w:color w:val="000000"/>
        </w:rPr>
        <w:t>‘</w:t>
      </w:r>
      <w:r w:rsidRPr="007823E1">
        <w:rPr>
          <w:color w:val="000000"/>
        </w:rPr>
        <w:t>grandfathered</w:t>
      </w:r>
      <w:r w:rsidR="00F373D9">
        <w:rPr>
          <w:color w:val="000000"/>
        </w:rPr>
        <w:t xml:space="preserve">’ </w:t>
      </w:r>
      <w:r w:rsidRPr="007823E1">
        <w:rPr>
          <w:color w:val="000000"/>
        </w:rPr>
        <w:t xml:space="preserve">into the CHSP </w:t>
      </w:r>
      <w:r>
        <w:rPr>
          <w:color w:val="000000"/>
        </w:rPr>
        <w:t xml:space="preserve">with </w:t>
      </w:r>
      <w:r w:rsidR="00F373D9">
        <w:rPr>
          <w:color w:val="000000"/>
        </w:rPr>
        <w:t xml:space="preserve">service </w:t>
      </w:r>
      <w:r w:rsidRPr="007823E1">
        <w:rPr>
          <w:color w:val="000000"/>
        </w:rPr>
        <w:t>referrals but have not undergone an assessment through My Aged Care.</w:t>
      </w:r>
    </w:p>
    <w:p w14:paraId="77E01829" w14:textId="2C1D40DE" w:rsidR="002E5FCD" w:rsidRDefault="00AB49EB" w:rsidP="00D40C24">
      <w:pPr>
        <w:pStyle w:val="ListParagraph"/>
        <w:numPr>
          <w:ilvl w:val="0"/>
          <w:numId w:val="519"/>
        </w:numPr>
        <w:spacing w:before="240" w:after="240" w:line="240" w:lineRule="auto"/>
        <w:rPr>
          <w:szCs w:val="22"/>
        </w:rPr>
      </w:pPr>
      <w:r>
        <w:rPr>
          <w:szCs w:val="22"/>
        </w:rPr>
        <w:t xml:space="preserve">These </w:t>
      </w:r>
      <w:r w:rsidR="002E2890">
        <w:rPr>
          <w:szCs w:val="22"/>
        </w:rPr>
        <w:t xml:space="preserve">referrals </w:t>
      </w:r>
      <w:r w:rsidR="002E5FCD">
        <w:rPr>
          <w:szCs w:val="22"/>
        </w:rPr>
        <w:t xml:space="preserve">are not </w:t>
      </w:r>
      <w:r w:rsidR="00965981">
        <w:rPr>
          <w:szCs w:val="22"/>
        </w:rPr>
        <w:t xml:space="preserve">valid </w:t>
      </w:r>
      <w:r w:rsidR="002E2890">
        <w:rPr>
          <w:szCs w:val="22"/>
        </w:rPr>
        <w:t>under the Aged Care Act 2024</w:t>
      </w:r>
      <w:r w:rsidR="002E5FCD">
        <w:rPr>
          <w:szCs w:val="22"/>
        </w:rPr>
        <w:t>.</w:t>
      </w:r>
    </w:p>
    <w:p w14:paraId="26284E00" w14:textId="06594942" w:rsidR="00FE2AB6" w:rsidRDefault="00D84BE2" w:rsidP="00D40C24">
      <w:pPr>
        <w:pStyle w:val="ListParagraph"/>
        <w:numPr>
          <w:ilvl w:val="0"/>
          <w:numId w:val="519"/>
        </w:numPr>
        <w:spacing w:before="240" w:after="240" w:line="240" w:lineRule="auto"/>
        <w:rPr>
          <w:szCs w:val="22"/>
        </w:rPr>
      </w:pPr>
      <w:r>
        <w:rPr>
          <w:szCs w:val="22"/>
        </w:rPr>
        <w:t>These clients must undergo an aged care assessment to comply with the Act</w:t>
      </w:r>
      <w:r w:rsidR="0004236D">
        <w:rPr>
          <w:szCs w:val="22"/>
        </w:rPr>
        <w:t xml:space="preserve">. </w:t>
      </w:r>
    </w:p>
    <w:p w14:paraId="22F8C18A" w14:textId="219C68DA" w:rsidR="00191693" w:rsidRDefault="006B3E14" w:rsidP="007823E1">
      <w:pPr>
        <w:pStyle w:val="ListParagraph"/>
        <w:numPr>
          <w:ilvl w:val="0"/>
          <w:numId w:val="519"/>
        </w:numPr>
        <w:spacing w:before="240" w:after="240" w:line="240" w:lineRule="auto"/>
        <w:rPr>
          <w:szCs w:val="22"/>
        </w:rPr>
      </w:pPr>
      <w:r>
        <w:rPr>
          <w:szCs w:val="22"/>
        </w:rPr>
        <w:t>If found eligible, a</w:t>
      </w:r>
      <w:r w:rsidR="00D577F5">
        <w:rPr>
          <w:szCs w:val="22"/>
        </w:rPr>
        <w:t>ssessor</w:t>
      </w:r>
      <w:r w:rsidR="007528EF">
        <w:rPr>
          <w:szCs w:val="22"/>
        </w:rPr>
        <w:t>s</w:t>
      </w:r>
      <w:r w:rsidR="00D577F5">
        <w:rPr>
          <w:szCs w:val="22"/>
        </w:rPr>
        <w:t xml:space="preserve"> must generate new referrals </w:t>
      </w:r>
      <w:r w:rsidR="002C650E">
        <w:rPr>
          <w:szCs w:val="22"/>
        </w:rPr>
        <w:t xml:space="preserve">for any </w:t>
      </w:r>
      <w:r w:rsidR="00D577F5">
        <w:rPr>
          <w:szCs w:val="22"/>
        </w:rPr>
        <w:t xml:space="preserve">CHSP </w:t>
      </w:r>
      <w:r w:rsidR="002C650E">
        <w:rPr>
          <w:szCs w:val="22"/>
        </w:rPr>
        <w:t xml:space="preserve">services that are approved </w:t>
      </w:r>
      <w:r w:rsidR="00C33AC9">
        <w:rPr>
          <w:szCs w:val="22"/>
        </w:rPr>
        <w:t>following</w:t>
      </w:r>
      <w:r w:rsidR="002C650E">
        <w:rPr>
          <w:szCs w:val="22"/>
        </w:rPr>
        <w:t xml:space="preserve"> an assessment.</w:t>
      </w:r>
    </w:p>
    <w:p w14:paraId="2C990EC8" w14:textId="58A089DC" w:rsidR="00C33AC9" w:rsidRPr="00387BB2" w:rsidRDefault="002C650E" w:rsidP="00C2150F">
      <w:pPr>
        <w:pStyle w:val="ListParagraph"/>
        <w:tabs>
          <w:tab w:val="left" w:pos="709"/>
        </w:tabs>
        <w:spacing w:before="240" w:after="240" w:line="240" w:lineRule="auto"/>
        <w:rPr>
          <w:lang w:val="en-AU"/>
        </w:rPr>
      </w:pPr>
      <w:r w:rsidRPr="00191693" w:rsidDel="00191693">
        <w:rPr>
          <w:szCs w:val="22"/>
        </w:rPr>
        <w:t xml:space="preserve"> </w:t>
      </w:r>
    </w:p>
    <w:p w14:paraId="0743B85C" w14:textId="72AB5F13" w:rsidR="007823E1" w:rsidRPr="004D4E9C" w:rsidRDefault="007823E1" w:rsidP="004D4E9C">
      <w:pPr>
        <w:tabs>
          <w:tab w:val="left" w:pos="709"/>
        </w:tabs>
        <w:spacing w:before="240" w:after="240" w:line="240" w:lineRule="auto"/>
        <w:rPr>
          <w:b/>
          <w:bCs/>
          <w:szCs w:val="22"/>
        </w:rPr>
      </w:pPr>
      <w:r w:rsidRPr="004D4E9C">
        <w:rPr>
          <w:b/>
          <w:bCs/>
          <w:szCs w:val="22"/>
        </w:rPr>
        <w:t>Reissuing CHSP referrals – Urgent services</w:t>
      </w:r>
    </w:p>
    <w:p w14:paraId="5C2EBBC1" w14:textId="38408EFD" w:rsidR="00933545" w:rsidRPr="007823E1" w:rsidRDefault="00FC3039" w:rsidP="007823E1">
      <w:pPr>
        <w:rPr>
          <w:color w:val="000000"/>
        </w:rPr>
      </w:pPr>
      <w:r w:rsidRPr="007823E1">
        <w:rPr>
          <w:color w:val="000000"/>
        </w:rPr>
        <w:t>Clients who have accessed urgent services are required to undergo an assessment, and new referrals must be generated for any approved ongoing CHSP services.</w:t>
      </w:r>
    </w:p>
    <w:p w14:paraId="3C416ECD" w14:textId="52D25872" w:rsidR="00B90D8F" w:rsidRDefault="00182255" w:rsidP="00B90D8F">
      <w:pPr>
        <w:pStyle w:val="ListParagraph"/>
        <w:numPr>
          <w:ilvl w:val="0"/>
          <w:numId w:val="519"/>
        </w:numPr>
        <w:spacing w:before="240" w:after="240" w:line="240" w:lineRule="auto"/>
        <w:rPr>
          <w:szCs w:val="22"/>
        </w:rPr>
      </w:pPr>
      <w:r>
        <w:rPr>
          <w:szCs w:val="22"/>
        </w:rPr>
        <w:t>CHSP providers will continue to deliver urgent services until an assessment occurs.</w:t>
      </w:r>
    </w:p>
    <w:p w14:paraId="577F994B" w14:textId="60032E27" w:rsidR="00B90D8F" w:rsidRPr="00AD6A0F" w:rsidRDefault="001F0A6C" w:rsidP="00B90D8F">
      <w:pPr>
        <w:pStyle w:val="ListParagraph"/>
        <w:numPr>
          <w:ilvl w:val="0"/>
          <w:numId w:val="519"/>
        </w:numPr>
        <w:spacing w:before="240" w:after="240" w:line="240" w:lineRule="auto"/>
        <w:rPr>
          <w:szCs w:val="22"/>
        </w:rPr>
      </w:pPr>
      <w:r w:rsidRPr="00AD6A0F">
        <w:rPr>
          <w:color w:val="000000"/>
        </w:rPr>
        <w:t xml:space="preserve">When ongoing CHSP services are approved, the urgent service referral </w:t>
      </w:r>
      <w:r w:rsidR="00CD056C">
        <w:rPr>
          <w:color w:val="000000"/>
        </w:rPr>
        <w:t xml:space="preserve">should </w:t>
      </w:r>
      <w:r w:rsidRPr="00AD6A0F">
        <w:rPr>
          <w:color w:val="000000"/>
        </w:rPr>
        <w:t xml:space="preserve">end. </w:t>
      </w:r>
    </w:p>
    <w:p w14:paraId="56B32487" w14:textId="145F17D2" w:rsidR="002C67DD" w:rsidRPr="00B90D8F" w:rsidRDefault="001F0A6C" w:rsidP="00B90D8F">
      <w:pPr>
        <w:pStyle w:val="ListParagraph"/>
        <w:numPr>
          <w:ilvl w:val="0"/>
          <w:numId w:val="519"/>
        </w:numPr>
        <w:spacing w:before="240" w:after="240" w:line="240" w:lineRule="auto"/>
        <w:rPr>
          <w:szCs w:val="22"/>
        </w:rPr>
      </w:pPr>
      <w:r w:rsidRPr="00AD6A0F">
        <w:rPr>
          <w:color w:val="000000"/>
        </w:rPr>
        <w:t xml:space="preserve">New CHSP referrals are required for the provider to continue </w:t>
      </w:r>
      <w:r w:rsidR="00AD6A0F">
        <w:rPr>
          <w:color w:val="000000"/>
        </w:rPr>
        <w:t>delivering</w:t>
      </w:r>
      <w:r w:rsidRPr="00AD6A0F">
        <w:rPr>
          <w:color w:val="000000"/>
        </w:rPr>
        <w:t xml:space="preserve"> services.</w:t>
      </w:r>
    </w:p>
    <w:p w14:paraId="7376CECE" w14:textId="0BEDD92B" w:rsidR="00AB61D3" w:rsidRPr="00FB1F07" w:rsidRDefault="00AB61D3" w:rsidP="00C56CEC">
      <w:pPr>
        <w:pStyle w:val="H3"/>
      </w:pPr>
      <w:r w:rsidRPr="00FB1F07">
        <w:t xml:space="preserve">Residential </w:t>
      </w:r>
      <w:r w:rsidR="00572A45">
        <w:t>c</w:t>
      </w:r>
      <w:r w:rsidRPr="00FB1F07">
        <w:t xml:space="preserve">are </w:t>
      </w:r>
      <w:r w:rsidR="00572A45">
        <w:t>r</w:t>
      </w:r>
      <w:r w:rsidRPr="00FB1F07">
        <w:t>eferral</w:t>
      </w:r>
      <w:r>
        <w:t>s</w:t>
      </w:r>
    </w:p>
    <w:p w14:paraId="2FE8A874" w14:textId="16FDA1A5" w:rsidR="00AB61D3" w:rsidRPr="00D124C8" w:rsidRDefault="00AB61D3" w:rsidP="00622CFF">
      <w:pPr>
        <w:spacing w:before="240" w:after="240" w:line="240" w:lineRule="auto"/>
        <w:rPr>
          <w:szCs w:val="22"/>
        </w:rPr>
      </w:pPr>
      <w:r w:rsidRPr="00D124C8">
        <w:rPr>
          <w:szCs w:val="22"/>
        </w:rPr>
        <w:t>For residential (including through M</w:t>
      </w:r>
      <w:r w:rsidR="00711DD8">
        <w:rPr>
          <w:szCs w:val="22"/>
        </w:rPr>
        <w:t>ulti-</w:t>
      </w:r>
      <w:r w:rsidRPr="00D124C8">
        <w:rPr>
          <w:szCs w:val="22"/>
        </w:rPr>
        <w:t>P</w:t>
      </w:r>
      <w:r w:rsidR="00711DD8">
        <w:rPr>
          <w:szCs w:val="22"/>
        </w:rPr>
        <w:t xml:space="preserve">urpose </w:t>
      </w:r>
      <w:r w:rsidRPr="00D124C8">
        <w:rPr>
          <w:szCs w:val="22"/>
        </w:rPr>
        <w:t>S</w:t>
      </w:r>
      <w:r w:rsidR="00711DD8">
        <w:rPr>
          <w:szCs w:val="22"/>
        </w:rPr>
        <w:t xml:space="preserve">ervice </w:t>
      </w:r>
      <w:r w:rsidRPr="00D124C8">
        <w:rPr>
          <w:szCs w:val="22"/>
        </w:rPr>
        <w:t>P</w:t>
      </w:r>
      <w:r w:rsidR="00711DD8">
        <w:rPr>
          <w:szCs w:val="22"/>
        </w:rPr>
        <w:t>rogram</w:t>
      </w:r>
      <w:r w:rsidR="009F0383">
        <w:rPr>
          <w:szCs w:val="22"/>
        </w:rPr>
        <w:t xml:space="preserve"> (</w:t>
      </w:r>
      <w:r w:rsidRPr="00D124C8">
        <w:rPr>
          <w:szCs w:val="22"/>
        </w:rPr>
        <w:t>MPSP</w:t>
      </w:r>
      <w:r w:rsidR="009F0383">
        <w:rPr>
          <w:szCs w:val="22"/>
        </w:rPr>
        <w:t>)</w:t>
      </w:r>
      <w:r w:rsidRPr="00D124C8">
        <w:rPr>
          <w:szCs w:val="22"/>
        </w:rPr>
        <w:t>), the assessor can issue a referral code following the assessment and approval of services to enable the older person to take time to look for a suitable residential facility. Referral codes are contained within the client’s support plan.</w:t>
      </w:r>
    </w:p>
    <w:p w14:paraId="0B93281C" w14:textId="7243D395" w:rsidR="00AB61D3" w:rsidRPr="00D124C8" w:rsidRDefault="00AB61D3" w:rsidP="00622CFF">
      <w:pPr>
        <w:spacing w:before="240" w:after="240" w:line="240" w:lineRule="auto"/>
        <w:rPr>
          <w:rFonts w:eastAsia="Arial"/>
          <w:szCs w:val="22"/>
        </w:rPr>
      </w:pPr>
      <w:r w:rsidRPr="00D124C8">
        <w:rPr>
          <w:szCs w:val="22"/>
        </w:rPr>
        <w:t xml:space="preserve">When selecting a residential aged care service provider to issue a referral to, assessors can use </w:t>
      </w:r>
      <w:hyperlink r:id="rId248">
        <w:r w:rsidRPr="00D124C8">
          <w:rPr>
            <w:rStyle w:val="Hyperlink"/>
            <w:szCs w:val="22"/>
          </w:rPr>
          <w:t xml:space="preserve">Star Ratings </w:t>
        </w:r>
      </w:hyperlink>
      <w:r w:rsidRPr="00D124C8">
        <w:rPr>
          <w:szCs w:val="22"/>
        </w:rPr>
        <w:t xml:space="preserve">to help compare the quality of </w:t>
      </w:r>
      <w:r w:rsidR="00C718E9">
        <w:rPr>
          <w:szCs w:val="22"/>
        </w:rPr>
        <w:t>aged care facilities</w:t>
      </w:r>
      <w:r w:rsidRPr="00D124C8">
        <w:rPr>
          <w:szCs w:val="22"/>
        </w:rPr>
        <w:t xml:space="preserve"> (not applicable for MSPS and N</w:t>
      </w:r>
      <w:r w:rsidR="003A4A87">
        <w:rPr>
          <w:szCs w:val="22"/>
        </w:rPr>
        <w:t xml:space="preserve">ational </w:t>
      </w:r>
      <w:r w:rsidRPr="00D124C8">
        <w:rPr>
          <w:szCs w:val="22"/>
        </w:rPr>
        <w:t>A</w:t>
      </w:r>
      <w:r w:rsidR="003A4A87">
        <w:rPr>
          <w:szCs w:val="22"/>
        </w:rPr>
        <w:t xml:space="preserve">boriginal and </w:t>
      </w:r>
      <w:r w:rsidRPr="00D124C8">
        <w:rPr>
          <w:szCs w:val="22"/>
        </w:rPr>
        <w:t>T</w:t>
      </w:r>
      <w:r w:rsidR="003A4A87">
        <w:rPr>
          <w:szCs w:val="22"/>
        </w:rPr>
        <w:t xml:space="preserve">orres </w:t>
      </w:r>
      <w:r w:rsidRPr="00D124C8">
        <w:rPr>
          <w:szCs w:val="22"/>
        </w:rPr>
        <w:t>S</w:t>
      </w:r>
      <w:r w:rsidR="003A4A87">
        <w:rPr>
          <w:szCs w:val="22"/>
        </w:rPr>
        <w:t xml:space="preserve">trait </w:t>
      </w:r>
      <w:r w:rsidRPr="00D124C8">
        <w:rPr>
          <w:szCs w:val="22"/>
        </w:rPr>
        <w:t>I</w:t>
      </w:r>
      <w:r w:rsidR="003A4A87">
        <w:rPr>
          <w:szCs w:val="22"/>
        </w:rPr>
        <w:t xml:space="preserve">slander </w:t>
      </w:r>
      <w:r w:rsidRPr="00D124C8">
        <w:rPr>
          <w:szCs w:val="22"/>
        </w:rPr>
        <w:t>F</w:t>
      </w:r>
      <w:r w:rsidR="003A4A87">
        <w:rPr>
          <w:szCs w:val="22"/>
        </w:rPr>
        <w:t xml:space="preserve">lexible </w:t>
      </w:r>
      <w:r w:rsidRPr="00D124C8">
        <w:rPr>
          <w:szCs w:val="22"/>
        </w:rPr>
        <w:t>A</w:t>
      </w:r>
      <w:r w:rsidR="003A4A87">
        <w:rPr>
          <w:szCs w:val="22"/>
        </w:rPr>
        <w:t xml:space="preserve">ged </w:t>
      </w:r>
      <w:r w:rsidRPr="00D124C8">
        <w:rPr>
          <w:szCs w:val="22"/>
        </w:rPr>
        <w:t>C</w:t>
      </w:r>
      <w:r w:rsidR="003A4A87">
        <w:rPr>
          <w:szCs w:val="22"/>
        </w:rPr>
        <w:t xml:space="preserve">are </w:t>
      </w:r>
      <w:r w:rsidRPr="00D124C8">
        <w:rPr>
          <w:szCs w:val="22"/>
        </w:rPr>
        <w:t>P</w:t>
      </w:r>
      <w:r w:rsidR="003A4A87">
        <w:rPr>
          <w:szCs w:val="22"/>
        </w:rPr>
        <w:t>rogram</w:t>
      </w:r>
      <w:r w:rsidR="00065FFA">
        <w:rPr>
          <w:szCs w:val="22"/>
        </w:rPr>
        <w:t xml:space="preserve"> (NATSIFAC)</w:t>
      </w:r>
      <w:r w:rsidRPr="00D124C8">
        <w:rPr>
          <w:szCs w:val="22"/>
        </w:rPr>
        <w:t xml:space="preserve">). Star Ratings are available via the </w:t>
      </w:r>
      <w:r w:rsidR="005505D3" w:rsidRPr="00A4192D">
        <w:t>‘Find a provider’ tool</w:t>
      </w:r>
      <w:r w:rsidRPr="00D124C8">
        <w:rPr>
          <w:szCs w:val="22"/>
        </w:rPr>
        <w:t xml:space="preserve"> on the My Aged Care website. All </w:t>
      </w:r>
      <w:r w:rsidR="00C718E9">
        <w:rPr>
          <w:szCs w:val="22"/>
        </w:rPr>
        <w:t>aged care facilities</w:t>
      </w:r>
      <w:r w:rsidRPr="00D124C8">
        <w:rPr>
          <w:szCs w:val="22"/>
        </w:rPr>
        <w:t xml:space="preserve"> receive an overall Star Rating and ratings against Compliance, Residents’ Experience, Staffing and Quality Measures</w:t>
      </w:r>
      <w:r w:rsidRPr="00D124C8">
        <w:rPr>
          <w:rFonts w:eastAsia="MS PGothic"/>
          <w:szCs w:val="22"/>
        </w:rPr>
        <w:t>)</w:t>
      </w:r>
      <w:r w:rsidRPr="00D124C8">
        <w:rPr>
          <w:szCs w:val="22"/>
        </w:rPr>
        <w:t xml:space="preserve">. </w:t>
      </w:r>
    </w:p>
    <w:p w14:paraId="06985CA0" w14:textId="77777777" w:rsidR="00AB61D3" w:rsidRDefault="00AB61D3" w:rsidP="00622CFF">
      <w:pPr>
        <w:spacing w:before="240" w:after="240" w:line="240" w:lineRule="auto"/>
        <w:rPr>
          <w:rFonts w:eastAsia="Arial"/>
          <w:szCs w:val="22"/>
        </w:rPr>
      </w:pPr>
      <w:r w:rsidRPr="00D124C8">
        <w:rPr>
          <w:rFonts w:eastAsia="Arial"/>
          <w:szCs w:val="22"/>
        </w:rPr>
        <w:t>Assessors can share a client’s referral code with as many providers as the client chooses. A provider will use the referral code to view the client’s approved services and specific needs in the service and support portal. If the provider and client agree they will take a bed in the residential care home, a formal agreement will be exchanged between the parties, and the referral will be formally accepted in the My Aged Care portal. Once a provider accepts a referral and payments commence from Services Australia, all other open referrals will close.</w:t>
      </w:r>
    </w:p>
    <w:tbl>
      <w:tblPr>
        <w:tblStyle w:val="TableGrid"/>
        <w:tblW w:w="0" w:type="auto"/>
        <w:tblLook w:val="04A0" w:firstRow="1" w:lastRow="0" w:firstColumn="1" w:lastColumn="0" w:noHBand="0" w:noVBand="1"/>
      </w:tblPr>
      <w:tblGrid>
        <w:gridCol w:w="846"/>
        <w:gridCol w:w="8170"/>
      </w:tblGrid>
      <w:tr w:rsidR="005505D3" w14:paraId="665BB403" w14:textId="77777777" w:rsidTr="00E42183">
        <w:tc>
          <w:tcPr>
            <w:tcW w:w="846" w:type="dxa"/>
          </w:tcPr>
          <w:p w14:paraId="54E6C823" w14:textId="28E69300" w:rsidR="005505D3" w:rsidRDefault="005505D3" w:rsidP="00622CFF">
            <w:pPr>
              <w:spacing w:before="240" w:after="240"/>
              <w:rPr>
                <w:rFonts w:eastAsia="Arial"/>
                <w:szCs w:val="22"/>
              </w:rPr>
            </w:pPr>
            <w:r w:rsidRPr="00D124C8">
              <w:rPr>
                <w:noProof/>
                <w:szCs w:val="22"/>
              </w:rPr>
              <w:drawing>
                <wp:inline distT="0" distB="0" distL="0" distR="0" wp14:anchorId="30A23740" wp14:editId="5A2E5A54">
                  <wp:extent cx="383111" cy="381000"/>
                  <wp:effectExtent l="0" t="0" r="0" b="0"/>
                  <wp:docPr id="1899542394" name="Picture 189954239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2085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3498D622" w14:textId="1392D44E" w:rsidR="005505D3" w:rsidRDefault="007B616B" w:rsidP="00622CFF">
            <w:pPr>
              <w:spacing w:before="240" w:after="240"/>
              <w:rPr>
                <w:rFonts w:eastAsia="Arial"/>
                <w:szCs w:val="22"/>
              </w:rPr>
            </w:pPr>
            <w:hyperlink r:id="rId249">
              <w:r>
                <w:rPr>
                  <w:rStyle w:val="Hyperlink"/>
                  <w:szCs w:val="22"/>
                </w:rPr>
                <w:t>My Aged Care - ‘Find a provider’ tool</w:t>
              </w:r>
            </w:hyperlink>
          </w:p>
        </w:tc>
      </w:tr>
    </w:tbl>
    <w:p w14:paraId="028A9177" w14:textId="77777777" w:rsidR="005505D3" w:rsidRDefault="005505D3" w:rsidP="00622CFF">
      <w:pPr>
        <w:spacing w:before="240" w:after="240" w:line="240" w:lineRule="auto"/>
        <w:rPr>
          <w:rFonts w:eastAsia="Arial"/>
          <w:szCs w:val="22"/>
        </w:rPr>
      </w:pPr>
    </w:p>
    <w:p w14:paraId="370FD65A" w14:textId="4584C3FB" w:rsidR="00AB61D3" w:rsidRPr="00EB541C" w:rsidRDefault="00AB61D3" w:rsidP="00C56CEC">
      <w:pPr>
        <w:pStyle w:val="H3"/>
      </w:pPr>
      <w:r>
        <w:t>Generation of referral codes for different programs and pathways</w:t>
      </w:r>
    </w:p>
    <w:p w14:paraId="759EFF2D" w14:textId="77777777" w:rsidR="00AB61D3" w:rsidRDefault="00AB61D3" w:rsidP="00622CFF">
      <w:pPr>
        <w:spacing w:before="240" w:after="240" w:line="240" w:lineRule="auto"/>
        <w:rPr>
          <w:szCs w:val="22"/>
          <w:lang w:val="en-AU"/>
        </w:rPr>
      </w:pPr>
      <w:r>
        <w:rPr>
          <w:szCs w:val="22"/>
          <w:lang w:val="en-AU"/>
        </w:rPr>
        <w:t>The table below provides further details regarding referral codes across the different approval pathways and programs.</w:t>
      </w:r>
    </w:p>
    <w:p w14:paraId="6FB0624C" w14:textId="6F549A5B" w:rsidR="00AB61D3" w:rsidRPr="00D124C8" w:rsidRDefault="00AB61D3" w:rsidP="00622CFF">
      <w:pPr>
        <w:pStyle w:val="Caption"/>
        <w:spacing w:before="240" w:after="240"/>
        <w:rPr>
          <w:lang w:val="en-AU"/>
        </w:rPr>
      </w:pPr>
      <w:r>
        <w:rPr>
          <w:lang w:val="en-AU"/>
        </w:rPr>
        <w:t>Table 5</w:t>
      </w:r>
      <w:r w:rsidR="002F15A6">
        <w:rPr>
          <w:lang w:val="en-AU"/>
        </w:rPr>
        <w:t>3</w:t>
      </w:r>
      <w:r>
        <w:rPr>
          <w:lang w:val="en-AU"/>
        </w:rPr>
        <w:t xml:space="preserve">. Guide for generation of referral codes for aged care programs </w:t>
      </w:r>
    </w:p>
    <w:tbl>
      <w:tblPr>
        <w:tblW w:w="9029" w:type="dxa"/>
        <w:tblInd w:w="-8"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Caption w:val="Guide for generation of referral codes for aged care programs"/>
      </w:tblPr>
      <w:tblGrid>
        <w:gridCol w:w="2055"/>
        <w:gridCol w:w="2097"/>
        <w:gridCol w:w="4877"/>
      </w:tblGrid>
      <w:tr w:rsidR="006D5FB7" w:rsidRPr="00D124C8" w14:paraId="2A8ED199" w14:textId="77777777">
        <w:trPr>
          <w:trHeight w:val="300"/>
          <w:tblHeader/>
        </w:trPr>
        <w:tc>
          <w:tcPr>
            <w:tcW w:w="2055" w:type="dxa"/>
            <w:shd w:val="clear" w:color="auto" w:fill="002060"/>
            <w:vAlign w:val="center"/>
          </w:tcPr>
          <w:p w14:paraId="5CB7EEAD" w14:textId="3F8569A7" w:rsidR="00AB61D3" w:rsidRPr="00D124C8" w:rsidRDefault="00AB61D3" w:rsidP="00622CFF">
            <w:pPr>
              <w:spacing w:before="240" w:after="240" w:line="240" w:lineRule="auto"/>
              <w:rPr>
                <w:b/>
                <w:color w:val="FFFFFF" w:themeColor="background1"/>
                <w:szCs w:val="22"/>
                <w:lang w:val="en-AU"/>
              </w:rPr>
            </w:pPr>
            <w:r w:rsidRPr="00D124C8">
              <w:rPr>
                <w:b/>
                <w:color w:val="FFFFFF" w:themeColor="background1"/>
                <w:szCs w:val="22"/>
                <w:lang w:val="en-AU"/>
              </w:rPr>
              <w:t xml:space="preserve">Aged </w:t>
            </w:r>
            <w:r w:rsidR="00572A45">
              <w:rPr>
                <w:b/>
                <w:color w:val="FFFFFF" w:themeColor="background1"/>
                <w:szCs w:val="22"/>
                <w:lang w:val="en-AU"/>
              </w:rPr>
              <w:t>c</w:t>
            </w:r>
            <w:r w:rsidRPr="00D124C8">
              <w:rPr>
                <w:b/>
                <w:color w:val="FFFFFF" w:themeColor="background1"/>
                <w:szCs w:val="22"/>
                <w:lang w:val="en-AU"/>
              </w:rPr>
              <w:t xml:space="preserve">are </w:t>
            </w:r>
            <w:r w:rsidR="00572A45">
              <w:rPr>
                <w:b/>
                <w:color w:val="FFFFFF" w:themeColor="background1"/>
                <w:szCs w:val="22"/>
                <w:lang w:val="en-AU"/>
              </w:rPr>
              <w:t>p</w:t>
            </w:r>
            <w:r w:rsidRPr="00D124C8">
              <w:rPr>
                <w:b/>
                <w:color w:val="FFFFFF" w:themeColor="background1"/>
                <w:szCs w:val="22"/>
                <w:lang w:val="en-AU"/>
              </w:rPr>
              <w:t>rogram</w:t>
            </w:r>
          </w:p>
        </w:tc>
        <w:tc>
          <w:tcPr>
            <w:tcW w:w="2097" w:type="dxa"/>
            <w:shd w:val="clear" w:color="auto" w:fill="002060"/>
            <w:vAlign w:val="center"/>
            <w:hideMark/>
          </w:tcPr>
          <w:p w14:paraId="174C4070" w14:textId="77777777" w:rsidR="00AB61D3" w:rsidRPr="00D124C8" w:rsidRDefault="00AB61D3" w:rsidP="00622CFF">
            <w:pPr>
              <w:spacing w:before="240" w:after="240" w:line="240" w:lineRule="auto"/>
              <w:rPr>
                <w:color w:val="FFFFFF" w:themeColor="background1"/>
                <w:szCs w:val="22"/>
                <w:lang w:val="en-AU"/>
              </w:rPr>
            </w:pPr>
            <w:r w:rsidRPr="00D124C8">
              <w:rPr>
                <w:b/>
                <w:color w:val="FFFFFF" w:themeColor="background1"/>
                <w:szCs w:val="22"/>
                <w:lang w:val="en-AU"/>
              </w:rPr>
              <w:t>Pathways</w:t>
            </w:r>
          </w:p>
        </w:tc>
        <w:tc>
          <w:tcPr>
            <w:tcW w:w="4877" w:type="dxa"/>
            <w:shd w:val="clear" w:color="auto" w:fill="002060"/>
            <w:vAlign w:val="center"/>
            <w:hideMark/>
          </w:tcPr>
          <w:p w14:paraId="6350B724" w14:textId="7416FE3A" w:rsidR="00AB61D3" w:rsidRPr="00D124C8" w:rsidRDefault="00AB61D3" w:rsidP="00622CFF">
            <w:pPr>
              <w:spacing w:before="240" w:after="240" w:line="240" w:lineRule="auto"/>
              <w:rPr>
                <w:color w:val="FFFFFF" w:themeColor="background1"/>
                <w:szCs w:val="22"/>
                <w:lang w:val="en-AU"/>
              </w:rPr>
            </w:pPr>
            <w:r w:rsidRPr="00D124C8">
              <w:rPr>
                <w:b/>
                <w:color w:val="FFFFFF" w:themeColor="background1"/>
                <w:szCs w:val="22"/>
                <w:lang w:val="en-AU"/>
              </w:rPr>
              <w:t xml:space="preserve">Generation of a </w:t>
            </w:r>
            <w:r w:rsidR="00572A45">
              <w:rPr>
                <w:b/>
                <w:color w:val="FFFFFF" w:themeColor="background1"/>
                <w:szCs w:val="22"/>
                <w:lang w:val="en-AU"/>
              </w:rPr>
              <w:t>r</w:t>
            </w:r>
            <w:r w:rsidRPr="00D124C8">
              <w:rPr>
                <w:b/>
                <w:color w:val="FFFFFF" w:themeColor="background1"/>
                <w:szCs w:val="22"/>
                <w:lang w:val="en-AU"/>
              </w:rPr>
              <w:t xml:space="preserve">eferral </w:t>
            </w:r>
            <w:r w:rsidR="00572A45">
              <w:rPr>
                <w:b/>
                <w:color w:val="FFFFFF" w:themeColor="background1"/>
                <w:szCs w:val="22"/>
                <w:lang w:val="en-AU"/>
              </w:rPr>
              <w:t>c</w:t>
            </w:r>
            <w:r w:rsidRPr="00D124C8">
              <w:rPr>
                <w:b/>
                <w:color w:val="FFFFFF" w:themeColor="background1"/>
                <w:szCs w:val="22"/>
                <w:lang w:val="en-AU"/>
              </w:rPr>
              <w:t>ode </w:t>
            </w:r>
          </w:p>
        </w:tc>
      </w:tr>
      <w:tr w:rsidR="006D5FB7" w:rsidRPr="00D124C8" w14:paraId="138930E0" w14:textId="77777777">
        <w:trPr>
          <w:trHeight w:val="300"/>
        </w:trPr>
        <w:tc>
          <w:tcPr>
            <w:tcW w:w="2055" w:type="dxa"/>
            <w:shd w:val="clear" w:color="auto" w:fill="FFFFFF" w:themeFill="background1"/>
            <w:vAlign w:val="center"/>
          </w:tcPr>
          <w:p w14:paraId="440B952D" w14:textId="77777777" w:rsidR="00AB61D3" w:rsidRPr="00D124C8" w:rsidRDefault="00AB61D3" w:rsidP="00622CFF">
            <w:pPr>
              <w:spacing w:before="240" w:after="240" w:line="240" w:lineRule="auto"/>
              <w:rPr>
                <w:szCs w:val="22"/>
                <w:lang w:val="en-AU"/>
              </w:rPr>
            </w:pPr>
            <w:r w:rsidRPr="00D124C8">
              <w:rPr>
                <w:szCs w:val="22"/>
                <w:lang w:val="en-AU"/>
              </w:rPr>
              <w:t>Support at Home program</w:t>
            </w:r>
          </w:p>
        </w:tc>
        <w:tc>
          <w:tcPr>
            <w:tcW w:w="2097" w:type="dxa"/>
            <w:shd w:val="clear" w:color="auto" w:fill="FFFFFF" w:themeFill="background1"/>
            <w:vAlign w:val="center"/>
            <w:hideMark/>
          </w:tcPr>
          <w:p w14:paraId="0B66BAD7" w14:textId="77777777" w:rsidR="00AB61D3" w:rsidRPr="00D124C8" w:rsidRDefault="00AB61D3" w:rsidP="005747E4">
            <w:pPr>
              <w:spacing w:before="120" w:after="120" w:line="240" w:lineRule="auto"/>
              <w:rPr>
                <w:szCs w:val="22"/>
                <w:lang w:val="en-AU"/>
              </w:rPr>
            </w:pPr>
            <w:r w:rsidRPr="00D124C8">
              <w:rPr>
                <w:szCs w:val="22"/>
                <w:lang w:val="en-AU"/>
              </w:rPr>
              <w:t>SaH ongoing</w:t>
            </w:r>
          </w:p>
        </w:tc>
        <w:tc>
          <w:tcPr>
            <w:tcW w:w="4877" w:type="dxa"/>
            <w:shd w:val="clear" w:color="auto" w:fill="FFFFFF" w:themeFill="background1"/>
            <w:vAlign w:val="center"/>
            <w:hideMark/>
          </w:tcPr>
          <w:p w14:paraId="7F1A7543" w14:textId="77777777" w:rsidR="00AB61D3" w:rsidRDefault="00AB61D3" w:rsidP="005747E4">
            <w:pPr>
              <w:spacing w:before="120" w:after="120" w:line="240" w:lineRule="auto"/>
              <w:rPr>
                <w:lang w:val="en-AU"/>
              </w:rPr>
            </w:pPr>
            <w:r w:rsidRPr="0D361072">
              <w:rPr>
                <w:lang w:val="en-AU"/>
              </w:rPr>
              <w:t xml:space="preserve">Once the older person is allocated a place through the Support at Home Priority System, they will be sent a funding assignment letter containing their recommended services and the referral code for ongoing SaH services classifications 1 - 8. </w:t>
            </w:r>
          </w:p>
          <w:p w14:paraId="35117D28" w14:textId="09CB0A7F" w:rsidR="00AB61D3" w:rsidRPr="00D124C8" w:rsidRDefault="00AB61D3" w:rsidP="005747E4">
            <w:pPr>
              <w:spacing w:before="120" w:after="120" w:line="240" w:lineRule="auto"/>
              <w:rPr>
                <w:lang w:val="en-AU"/>
              </w:rPr>
            </w:pPr>
            <w:r>
              <w:t>If a participant is reassessed to a higher ongoing classification the upgrade notice letter will contain a referral code. However</w:t>
            </w:r>
            <w:r w:rsidR="000A1C06">
              <w:t>,</w:t>
            </w:r>
            <w:r>
              <w:t xml:space="preserve"> the participant does not need to take any action as the referral code will already be active with their provider. To change providers, they will need to contact the My Aged Care Contact Centre to reactivate their referral code which can then be used to connect with a new provider.</w:t>
            </w:r>
            <w:r>
              <w:br/>
            </w:r>
            <w:r>
              <w:br/>
            </w:r>
            <w:r w:rsidRPr="0D361072">
              <w:rPr>
                <w:lang w:val="en-AU"/>
              </w:rPr>
              <w:t xml:space="preserve">This follows the same pathway </w:t>
            </w:r>
            <w:r w:rsidR="004243B2">
              <w:rPr>
                <w:lang w:val="en-AU"/>
              </w:rPr>
              <w:t>previously</w:t>
            </w:r>
            <w:r w:rsidR="004243B2" w:rsidRPr="0D361072">
              <w:rPr>
                <w:lang w:val="en-AU"/>
              </w:rPr>
              <w:t xml:space="preserve"> </w:t>
            </w:r>
            <w:r w:rsidRPr="0D361072">
              <w:rPr>
                <w:lang w:val="en-AU"/>
              </w:rPr>
              <w:t>used in the Home Care Packages Program.</w:t>
            </w:r>
          </w:p>
          <w:p w14:paraId="7AFB3E12" w14:textId="77777777" w:rsidR="00AB61D3" w:rsidRPr="00D124C8" w:rsidRDefault="00AB61D3" w:rsidP="005747E4">
            <w:pPr>
              <w:spacing w:before="120" w:after="120" w:line="240" w:lineRule="auto"/>
              <w:rPr>
                <w:lang w:val="en-AU"/>
              </w:rPr>
            </w:pPr>
            <w:r>
              <w:rPr>
                <w:lang w:val="en-AU"/>
              </w:rPr>
              <w:t xml:space="preserve">Note: </w:t>
            </w:r>
            <w:r w:rsidRPr="00022E51">
              <w:rPr>
                <w:lang w:val="en-AU"/>
              </w:rPr>
              <w:t>If the older person has previous</w:t>
            </w:r>
            <w:r>
              <w:rPr>
                <w:lang w:val="en-AU"/>
              </w:rPr>
              <w:t>ly</w:t>
            </w:r>
            <w:r w:rsidRPr="00022E51">
              <w:rPr>
                <w:lang w:val="en-AU"/>
              </w:rPr>
              <w:t xml:space="preserve"> been approved for the End-of-Life Pathway, a referral code is </w:t>
            </w:r>
            <w:r w:rsidRPr="00022E51">
              <w:rPr>
                <w:u w:val="single"/>
                <w:lang w:val="en-AU"/>
              </w:rPr>
              <w:t>not</w:t>
            </w:r>
            <w:r w:rsidRPr="00022E51">
              <w:rPr>
                <w:lang w:val="en-AU"/>
              </w:rPr>
              <w:t xml:space="preserve"> generated</w:t>
            </w:r>
          </w:p>
        </w:tc>
      </w:tr>
      <w:tr w:rsidR="006D5FB7" w:rsidRPr="00D124C8" w14:paraId="5E905E79" w14:textId="77777777">
        <w:trPr>
          <w:trHeight w:val="300"/>
        </w:trPr>
        <w:tc>
          <w:tcPr>
            <w:tcW w:w="2055" w:type="dxa"/>
            <w:shd w:val="clear" w:color="auto" w:fill="FFFFFF" w:themeFill="background1"/>
            <w:vAlign w:val="center"/>
          </w:tcPr>
          <w:p w14:paraId="1124D06D" w14:textId="77777777" w:rsidR="00AB61D3" w:rsidRPr="00D124C8" w:rsidRDefault="00AB61D3" w:rsidP="00622CFF">
            <w:pPr>
              <w:spacing w:before="240" w:after="240" w:line="240" w:lineRule="auto"/>
              <w:rPr>
                <w:szCs w:val="22"/>
                <w:lang w:val="en-AU"/>
              </w:rPr>
            </w:pPr>
            <w:r w:rsidRPr="00D124C8">
              <w:rPr>
                <w:szCs w:val="22"/>
                <w:lang w:val="en-AU"/>
              </w:rPr>
              <w:t xml:space="preserve">Support at Home </w:t>
            </w:r>
          </w:p>
        </w:tc>
        <w:tc>
          <w:tcPr>
            <w:tcW w:w="2097" w:type="dxa"/>
            <w:shd w:val="clear" w:color="auto" w:fill="FFFFFF" w:themeFill="background1"/>
            <w:vAlign w:val="center"/>
            <w:hideMark/>
          </w:tcPr>
          <w:p w14:paraId="4C5CB146" w14:textId="77777777" w:rsidR="00AB61D3" w:rsidRPr="00D124C8" w:rsidRDefault="00AB61D3" w:rsidP="005747E4">
            <w:pPr>
              <w:spacing w:before="120" w:after="120" w:line="240" w:lineRule="auto"/>
              <w:rPr>
                <w:szCs w:val="22"/>
                <w:lang w:val="en-AU"/>
              </w:rPr>
            </w:pPr>
            <w:r w:rsidRPr="00D124C8">
              <w:rPr>
                <w:szCs w:val="22"/>
                <w:lang w:val="en-AU"/>
              </w:rPr>
              <w:t>End of Life Pathway (EoL)</w:t>
            </w:r>
          </w:p>
        </w:tc>
        <w:tc>
          <w:tcPr>
            <w:tcW w:w="4877" w:type="dxa"/>
            <w:shd w:val="clear" w:color="auto" w:fill="FFFFFF" w:themeFill="background1"/>
            <w:vAlign w:val="center"/>
            <w:hideMark/>
          </w:tcPr>
          <w:p w14:paraId="1B09B5CE" w14:textId="77777777" w:rsidR="00AB61D3" w:rsidRPr="00D124C8" w:rsidRDefault="00AB61D3" w:rsidP="005747E4">
            <w:pPr>
              <w:spacing w:before="120" w:after="120" w:line="240" w:lineRule="auto"/>
              <w:rPr>
                <w:lang w:val="en-AU"/>
              </w:rPr>
            </w:pPr>
            <w:r w:rsidRPr="0D361072">
              <w:rPr>
                <w:lang w:val="en-AU"/>
              </w:rPr>
              <w:t xml:space="preserve">Referral code is generated into the Support Plan attachment provided to clients </w:t>
            </w:r>
            <w:r w:rsidRPr="00EA702D">
              <w:rPr>
                <w:lang w:val="en-AU"/>
              </w:rPr>
              <w:t xml:space="preserve">(if </w:t>
            </w:r>
            <w:r w:rsidRPr="60962172">
              <w:rPr>
                <w:lang w:val="en-AU"/>
              </w:rPr>
              <w:t xml:space="preserve">no service referral has been made AND the </w:t>
            </w:r>
            <w:r w:rsidRPr="00EA702D">
              <w:rPr>
                <w:lang w:val="en-AU"/>
              </w:rPr>
              <w:t>older person has not been approved for an ongoing Support at Home classification previously)</w:t>
            </w:r>
            <w:r w:rsidRPr="0D361072">
              <w:rPr>
                <w:lang w:val="en-AU"/>
              </w:rPr>
              <w:t xml:space="preserve"> </w:t>
            </w:r>
          </w:p>
        </w:tc>
      </w:tr>
      <w:tr w:rsidR="006D5FB7" w:rsidRPr="00D124C8" w14:paraId="7A0CC720" w14:textId="77777777">
        <w:trPr>
          <w:trHeight w:val="300"/>
        </w:trPr>
        <w:tc>
          <w:tcPr>
            <w:tcW w:w="2055" w:type="dxa"/>
            <w:shd w:val="clear" w:color="auto" w:fill="FFFFFF" w:themeFill="background1"/>
            <w:vAlign w:val="center"/>
            <w:hideMark/>
          </w:tcPr>
          <w:p w14:paraId="63854277" w14:textId="77777777" w:rsidR="00AB61D3" w:rsidRPr="00D124C8" w:rsidRDefault="00AB61D3" w:rsidP="00622CFF">
            <w:pPr>
              <w:spacing w:before="240" w:after="240" w:line="240" w:lineRule="auto"/>
              <w:rPr>
                <w:szCs w:val="22"/>
              </w:rPr>
            </w:pPr>
            <w:r w:rsidRPr="00D124C8">
              <w:rPr>
                <w:szCs w:val="22"/>
              </w:rPr>
              <w:t>Support at Home</w:t>
            </w:r>
          </w:p>
        </w:tc>
        <w:tc>
          <w:tcPr>
            <w:tcW w:w="2097" w:type="dxa"/>
            <w:shd w:val="clear" w:color="auto" w:fill="FFFFFF" w:themeFill="background1"/>
            <w:vAlign w:val="center"/>
            <w:hideMark/>
          </w:tcPr>
          <w:p w14:paraId="0A53A866" w14:textId="77777777" w:rsidR="00AB61D3" w:rsidRPr="00D124C8" w:rsidRDefault="00AB61D3" w:rsidP="005747E4">
            <w:pPr>
              <w:spacing w:before="120" w:after="120" w:line="240" w:lineRule="auto"/>
              <w:rPr>
                <w:szCs w:val="22"/>
                <w:lang w:val="en-AU"/>
              </w:rPr>
            </w:pPr>
            <w:r w:rsidRPr="00D124C8">
              <w:rPr>
                <w:szCs w:val="22"/>
                <w:lang w:val="en-AU"/>
              </w:rPr>
              <w:t>Restorative Care Pathway (RCP)</w:t>
            </w:r>
          </w:p>
        </w:tc>
        <w:tc>
          <w:tcPr>
            <w:tcW w:w="4877" w:type="dxa"/>
            <w:shd w:val="clear" w:color="auto" w:fill="FFFFFF" w:themeFill="background1"/>
            <w:vAlign w:val="center"/>
            <w:hideMark/>
          </w:tcPr>
          <w:p w14:paraId="46700A60" w14:textId="6A557105" w:rsidR="00AB61D3" w:rsidRDefault="00AB61D3" w:rsidP="005747E4">
            <w:pPr>
              <w:spacing w:before="120" w:after="120" w:line="240" w:lineRule="auto"/>
              <w:rPr>
                <w:lang w:val="en-AU"/>
              </w:rPr>
            </w:pPr>
            <w:r w:rsidRPr="4473D5A8">
              <w:rPr>
                <w:lang w:val="en-AU"/>
              </w:rPr>
              <w:t>Referral code is generated into the Support Plan attachment provided to clients</w:t>
            </w:r>
            <w:r>
              <w:rPr>
                <w:lang w:val="en-AU"/>
              </w:rPr>
              <w:t xml:space="preserve"> (if </w:t>
            </w:r>
            <w:r w:rsidRPr="21A5CBB1">
              <w:rPr>
                <w:lang w:val="en-AU"/>
              </w:rPr>
              <w:t>no service referral has been made</w:t>
            </w:r>
            <w:r>
              <w:rPr>
                <w:lang w:val="en-AU"/>
              </w:rPr>
              <w:t xml:space="preserve"> and</w:t>
            </w:r>
            <w:r w:rsidRPr="21A5CBB1">
              <w:rPr>
                <w:lang w:val="en-AU"/>
              </w:rPr>
              <w:t xml:space="preserve"> </w:t>
            </w:r>
            <w:r w:rsidR="00D71B5E">
              <w:rPr>
                <w:lang w:val="en-AU"/>
              </w:rPr>
              <w:t xml:space="preserve">the </w:t>
            </w:r>
            <w:r w:rsidRPr="00F61E5B">
              <w:rPr>
                <w:lang w:val="en-AU"/>
              </w:rPr>
              <w:t>older person has not been approved for an ongoing Support at Home classification previously).</w:t>
            </w:r>
          </w:p>
          <w:p w14:paraId="534ADCFD" w14:textId="77777777" w:rsidR="00AB61D3" w:rsidRPr="00D124C8" w:rsidRDefault="00AB61D3" w:rsidP="005747E4">
            <w:pPr>
              <w:spacing w:before="120" w:after="120" w:line="240" w:lineRule="auto"/>
              <w:rPr>
                <w:lang w:val="en-AU"/>
              </w:rPr>
            </w:pPr>
            <w:r w:rsidRPr="00A4192D">
              <w:rPr>
                <w:b/>
                <w:lang w:val="en-AU"/>
              </w:rPr>
              <w:t>Note:</w:t>
            </w:r>
            <w:r w:rsidRPr="4C774F84">
              <w:rPr>
                <w:lang w:val="en-AU"/>
              </w:rPr>
              <w:t xml:space="preserve"> If the current provider does not provide Restorative Care the older person will need to change providers. To change providers</w:t>
            </w:r>
            <w:r w:rsidRPr="45B3B652">
              <w:rPr>
                <w:lang w:val="en-AU"/>
              </w:rPr>
              <w:t>,</w:t>
            </w:r>
            <w:r w:rsidRPr="4C774F84">
              <w:rPr>
                <w:lang w:val="en-AU"/>
              </w:rPr>
              <w:t xml:space="preserve"> they will need to contact the My Aged Care Contact Centre to reactivate their referral code which can then be used to connect with a new provider.</w:t>
            </w:r>
          </w:p>
        </w:tc>
      </w:tr>
      <w:tr w:rsidR="006D5FB7" w:rsidRPr="00D124C8" w14:paraId="2A6EE1DA" w14:textId="77777777" w:rsidTr="007640A3">
        <w:trPr>
          <w:trHeight w:val="300"/>
        </w:trPr>
        <w:tc>
          <w:tcPr>
            <w:tcW w:w="2055" w:type="dxa"/>
            <w:shd w:val="clear" w:color="auto" w:fill="FFFFFF" w:themeFill="background1"/>
            <w:vAlign w:val="center"/>
            <w:hideMark/>
          </w:tcPr>
          <w:p w14:paraId="57400212" w14:textId="77777777" w:rsidR="00AB61D3" w:rsidRPr="00D124C8" w:rsidRDefault="00AB61D3" w:rsidP="00622CFF">
            <w:pPr>
              <w:spacing w:before="240" w:after="240" w:line="240" w:lineRule="auto"/>
              <w:rPr>
                <w:szCs w:val="22"/>
              </w:rPr>
            </w:pPr>
            <w:r w:rsidRPr="00D124C8">
              <w:rPr>
                <w:szCs w:val="22"/>
              </w:rPr>
              <w:t>Support at Home</w:t>
            </w:r>
          </w:p>
        </w:tc>
        <w:tc>
          <w:tcPr>
            <w:tcW w:w="2097" w:type="dxa"/>
            <w:tcBorders>
              <w:bottom w:val="single" w:sz="4" w:space="0" w:color="auto"/>
            </w:tcBorders>
            <w:shd w:val="clear" w:color="auto" w:fill="FFFFFF" w:themeFill="background1"/>
            <w:vAlign w:val="center"/>
            <w:hideMark/>
          </w:tcPr>
          <w:p w14:paraId="4D9C58A9" w14:textId="6D2AA323" w:rsidR="00AB61D3" w:rsidRPr="00D124C8" w:rsidRDefault="00E72B84" w:rsidP="005747E4">
            <w:pPr>
              <w:spacing w:before="120" w:after="120" w:line="240" w:lineRule="auto"/>
              <w:rPr>
                <w:szCs w:val="22"/>
                <w:lang w:val="en-AU"/>
              </w:rPr>
            </w:pPr>
            <w:r>
              <w:rPr>
                <w:szCs w:val="22"/>
                <w:lang w:val="en-AU"/>
              </w:rPr>
              <w:t xml:space="preserve">Assistive Technology </w:t>
            </w:r>
            <w:r w:rsidR="00D30020">
              <w:rPr>
                <w:szCs w:val="22"/>
                <w:lang w:val="en-AU"/>
              </w:rPr>
              <w:t xml:space="preserve">and </w:t>
            </w:r>
            <w:r w:rsidR="00065E1C">
              <w:rPr>
                <w:szCs w:val="22"/>
                <w:lang w:val="en-AU"/>
              </w:rPr>
              <w:t>Home Modifications (</w:t>
            </w:r>
            <w:r w:rsidR="00AB61D3" w:rsidRPr="00D124C8">
              <w:rPr>
                <w:szCs w:val="22"/>
                <w:lang w:val="en-AU"/>
              </w:rPr>
              <w:t>AT-</w:t>
            </w:r>
            <w:r w:rsidR="003D1A1D" w:rsidRPr="00D124C8">
              <w:rPr>
                <w:szCs w:val="22"/>
                <w:lang w:val="en-AU"/>
              </w:rPr>
              <w:t>HM</w:t>
            </w:r>
            <w:r w:rsidR="003D1A1D">
              <w:rPr>
                <w:szCs w:val="22"/>
                <w:lang w:val="en-AU"/>
              </w:rPr>
              <w:t>)</w:t>
            </w:r>
            <w:r w:rsidR="003D1A1D" w:rsidRPr="00D124C8">
              <w:rPr>
                <w:szCs w:val="22"/>
                <w:lang w:val="en-AU"/>
              </w:rPr>
              <w:t xml:space="preserve"> scheme</w:t>
            </w:r>
          </w:p>
        </w:tc>
        <w:tc>
          <w:tcPr>
            <w:tcW w:w="4877" w:type="dxa"/>
            <w:tcBorders>
              <w:bottom w:val="single" w:sz="4" w:space="0" w:color="auto"/>
            </w:tcBorders>
            <w:shd w:val="clear" w:color="auto" w:fill="FFFFFF" w:themeFill="background1"/>
            <w:vAlign w:val="center"/>
            <w:hideMark/>
          </w:tcPr>
          <w:p w14:paraId="0202295C" w14:textId="64AF5278" w:rsidR="00AB61D3" w:rsidRDefault="00AB61D3" w:rsidP="005747E4">
            <w:pPr>
              <w:spacing w:before="120" w:after="120" w:line="240" w:lineRule="auto"/>
              <w:rPr>
                <w:lang w:val="en-AU"/>
              </w:rPr>
            </w:pPr>
            <w:r w:rsidRPr="700DACD0">
              <w:rPr>
                <w:lang w:val="en-AU"/>
              </w:rPr>
              <w:t>Once the older person is allocated a place through the Assistive Technology</w:t>
            </w:r>
            <w:r w:rsidRPr="700DACD0" w:rsidDel="004B4CF4">
              <w:rPr>
                <w:lang w:val="en-AU"/>
              </w:rPr>
              <w:t xml:space="preserve"> and/or </w:t>
            </w:r>
            <w:r w:rsidRPr="700DACD0">
              <w:rPr>
                <w:lang w:val="en-AU"/>
              </w:rPr>
              <w:t>Home Modifications priority system</w:t>
            </w:r>
            <w:r w:rsidR="00334366">
              <w:rPr>
                <w:lang w:val="en-AU"/>
              </w:rPr>
              <w:t>/s</w:t>
            </w:r>
            <w:r w:rsidRPr="700DACD0">
              <w:rPr>
                <w:lang w:val="en-AU"/>
              </w:rPr>
              <w:t>, they</w:t>
            </w:r>
            <w:r w:rsidRPr="700DACD0" w:rsidDel="004B4CF4">
              <w:rPr>
                <w:lang w:val="en-AU"/>
              </w:rPr>
              <w:t xml:space="preserve"> </w:t>
            </w:r>
            <w:r w:rsidRPr="700DACD0">
              <w:rPr>
                <w:lang w:val="en-AU"/>
              </w:rPr>
              <w:t xml:space="preserve">will be sent a funding assignment letter containing their recommended services and the referral code for their AT and/or HM classifications. </w:t>
            </w:r>
          </w:p>
          <w:p w14:paraId="516EFF53" w14:textId="77777777" w:rsidR="00CC1EE4" w:rsidRDefault="00AB61D3" w:rsidP="005747E4">
            <w:pPr>
              <w:spacing w:before="120" w:after="120" w:line="240" w:lineRule="auto"/>
              <w:rPr>
                <w:lang w:val="en-AU"/>
              </w:rPr>
            </w:pPr>
            <w:r w:rsidRPr="124EF1CB">
              <w:rPr>
                <w:lang w:val="en-AU"/>
              </w:rPr>
              <w:t>This is the same referral code used for SaH ongoing, EoL and RCP classifications. If the participant is already receiving services from a Support at Home provider,</w:t>
            </w:r>
            <w:r>
              <w:t xml:space="preserve"> they do not need to take any action as the referral code will already be active with their provider.</w:t>
            </w:r>
            <w:r>
              <w:br/>
            </w:r>
            <w:r w:rsidRPr="0F0571F0">
              <w:rPr>
                <w:lang w:val="en-AU"/>
              </w:rPr>
              <w:t>Note: For the below circumstances, where AT-HM funding is allocated immediately, the participant does not receive a funding assignment letter.</w:t>
            </w:r>
          </w:p>
          <w:p w14:paraId="27F9595C" w14:textId="30F8BCC8" w:rsidR="00AB61D3" w:rsidRDefault="00AB61D3" w:rsidP="005747E4">
            <w:pPr>
              <w:spacing w:before="120" w:after="120" w:line="240" w:lineRule="auto"/>
              <w:rPr>
                <w:lang w:val="en-AU"/>
              </w:rPr>
            </w:pPr>
            <w:r w:rsidRPr="6FAC1D07">
              <w:rPr>
                <w:lang w:val="en-AU"/>
              </w:rPr>
              <w:t>1. AT and HM short-term with RCP</w:t>
            </w:r>
          </w:p>
          <w:p w14:paraId="23E5D4F9" w14:textId="77777777" w:rsidR="00AB61D3" w:rsidRDefault="00AB61D3" w:rsidP="005747E4">
            <w:pPr>
              <w:spacing w:before="120" w:after="120" w:line="240" w:lineRule="auto"/>
              <w:rPr>
                <w:lang w:val="en-AU"/>
              </w:rPr>
            </w:pPr>
            <w:r w:rsidRPr="4F03ADBD">
              <w:rPr>
                <w:lang w:val="en-AU"/>
              </w:rPr>
              <w:t>2. AT short-term with EoL</w:t>
            </w:r>
          </w:p>
          <w:p w14:paraId="432827ED" w14:textId="77777777" w:rsidR="00AB61D3" w:rsidRPr="00D124C8" w:rsidRDefault="00AB61D3" w:rsidP="005747E4">
            <w:pPr>
              <w:spacing w:before="120" w:after="120" w:line="240" w:lineRule="auto"/>
              <w:rPr>
                <w:lang w:val="en-AU"/>
              </w:rPr>
            </w:pPr>
            <w:r w:rsidRPr="0F0571F0">
              <w:rPr>
                <w:lang w:val="en-AU"/>
              </w:rPr>
              <w:t xml:space="preserve">3. AT ongoing, AT and </w:t>
            </w:r>
            <w:r w:rsidRPr="0F0571F0" w:rsidDel="30D3816E">
              <w:rPr>
                <w:lang w:val="en-AU"/>
              </w:rPr>
              <w:t>H</w:t>
            </w:r>
            <w:r w:rsidRPr="0F0571F0">
              <w:rPr>
                <w:lang w:val="en-AU"/>
              </w:rPr>
              <w:t>M short-term for participants who have been previously assigned the EoL pathway.</w:t>
            </w:r>
          </w:p>
          <w:p w14:paraId="76909645" w14:textId="77777777" w:rsidR="00AB61D3" w:rsidRDefault="00AB61D3" w:rsidP="005747E4">
            <w:pPr>
              <w:spacing w:before="120" w:after="120" w:line="240" w:lineRule="auto"/>
              <w:rPr>
                <w:lang w:val="en-AU"/>
              </w:rPr>
            </w:pPr>
            <w:r w:rsidRPr="6491FDC7">
              <w:rPr>
                <w:lang w:val="en-AU"/>
              </w:rPr>
              <w:t xml:space="preserve">4. Approval for a higher AT or HM short-term tier through an SPR. </w:t>
            </w:r>
          </w:p>
          <w:p w14:paraId="23E1D9D7" w14:textId="77777777" w:rsidR="00AB61D3" w:rsidRPr="00D124C8" w:rsidRDefault="00AB61D3" w:rsidP="005747E4">
            <w:pPr>
              <w:spacing w:before="120" w:after="120" w:line="240" w:lineRule="auto"/>
            </w:pPr>
            <w:r w:rsidRPr="6491FDC7">
              <w:t xml:space="preserve">If the participant is not already receiving services from a Support at Home provider, the referral code is generated into the Support Plan attachment.  </w:t>
            </w:r>
          </w:p>
        </w:tc>
      </w:tr>
      <w:tr w:rsidR="006D5FB7" w:rsidRPr="00D124C8" w14:paraId="5BFD568D" w14:textId="77777777" w:rsidTr="007640A3">
        <w:trPr>
          <w:trHeight w:val="6410"/>
        </w:trPr>
        <w:tc>
          <w:tcPr>
            <w:tcW w:w="2055" w:type="dxa"/>
            <w:shd w:val="clear" w:color="auto" w:fill="FFFFFF" w:themeFill="background1"/>
            <w:vAlign w:val="center"/>
            <w:hideMark/>
          </w:tcPr>
          <w:p w14:paraId="7ADB2C60" w14:textId="77777777" w:rsidR="006804CD" w:rsidRPr="00D124C8" w:rsidRDefault="006804CD" w:rsidP="00622CFF">
            <w:pPr>
              <w:spacing w:before="240" w:after="240" w:line="240" w:lineRule="auto"/>
              <w:rPr>
                <w:szCs w:val="22"/>
                <w:lang w:val="en-AU"/>
              </w:rPr>
            </w:pPr>
          </w:p>
          <w:p w14:paraId="45426A51" w14:textId="77777777" w:rsidR="006804CD" w:rsidRDefault="006804CD" w:rsidP="00622CFF">
            <w:pPr>
              <w:spacing w:before="240" w:after="240" w:line="240" w:lineRule="auto"/>
              <w:rPr>
                <w:szCs w:val="22"/>
                <w:lang w:val="en-AU"/>
              </w:rPr>
            </w:pPr>
            <w:r w:rsidRPr="00D124C8">
              <w:rPr>
                <w:szCs w:val="22"/>
                <w:lang w:val="en-AU"/>
              </w:rPr>
              <w:t>Commonwealth Home Support Program (CHSP)</w:t>
            </w:r>
          </w:p>
          <w:p w14:paraId="1FF5809E" w14:textId="77777777" w:rsidR="006804CD" w:rsidRDefault="006804CD" w:rsidP="00622CFF">
            <w:pPr>
              <w:spacing w:before="240" w:after="240" w:line="240" w:lineRule="auto"/>
              <w:rPr>
                <w:szCs w:val="22"/>
                <w:lang w:val="en-AU"/>
              </w:rPr>
            </w:pPr>
          </w:p>
          <w:p w14:paraId="2E71F7B0" w14:textId="77777777" w:rsidR="006804CD" w:rsidRDefault="006804CD" w:rsidP="00622CFF">
            <w:pPr>
              <w:spacing w:before="240" w:after="240" w:line="240" w:lineRule="auto"/>
              <w:rPr>
                <w:szCs w:val="22"/>
                <w:lang w:val="en-AU"/>
              </w:rPr>
            </w:pPr>
          </w:p>
          <w:p w14:paraId="49BF9C7B" w14:textId="1AFA3489" w:rsidR="006804CD" w:rsidRPr="00D124C8" w:rsidRDefault="006804CD" w:rsidP="00622CFF">
            <w:pPr>
              <w:spacing w:before="240" w:after="240" w:line="240" w:lineRule="auto"/>
              <w:rPr>
                <w:szCs w:val="22"/>
                <w:lang w:val="en-AU"/>
              </w:rPr>
            </w:pPr>
            <w:r w:rsidRPr="00D124C8">
              <w:rPr>
                <w:szCs w:val="22"/>
                <w:lang w:val="en-AU"/>
              </w:rPr>
              <w:t>National Aboriginal and Torres Strait Islander Flexible Aged Care Program (NATSIFACP)</w:t>
            </w:r>
          </w:p>
          <w:p w14:paraId="56E2E90F" w14:textId="77777777" w:rsidR="006804CD" w:rsidRPr="00D124C8" w:rsidRDefault="006804CD" w:rsidP="00622CFF">
            <w:pPr>
              <w:spacing w:before="240" w:after="240" w:line="240" w:lineRule="auto"/>
              <w:rPr>
                <w:szCs w:val="22"/>
                <w:lang w:val="en-AU"/>
              </w:rPr>
            </w:pPr>
          </w:p>
          <w:p w14:paraId="2853E30D" w14:textId="5A13BE23" w:rsidR="006804CD" w:rsidRPr="00D124C8" w:rsidRDefault="006804CD" w:rsidP="00622CFF">
            <w:pPr>
              <w:spacing w:before="240" w:after="240" w:line="240" w:lineRule="auto"/>
              <w:rPr>
                <w:szCs w:val="22"/>
                <w:lang w:val="en-AU"/>
              </w:rPr>
            </w:pPr>
            <w:r w:rsidRPr="00D124C8">
              <w:rPr>
                <w:szCs w:val="22"/>
                <w:lang w:val="en-AU"/>
              </w:rPr>
              <w:t>Multi-Purpose Service Program (MPSP)</w:t>
            </w:r>
          </w:p>
        </w:tc>
        <w:tc>
          <w:tcPr>
            <w:tcW w:w="6974" w:type="dxa"/>
            <w:gridSpan w:val="2"/>
            <w:tcBorders>
              <w:top w:val="single" w:sz="4" w:space="0" w:color="auto"/>
              <w:bottom w:val="single" w:sz="4" w:space="0" w:color="auto"/>
            </w:tcBorders>
            <w:shd w:val="clear" w:color="auto" w:fill="FFFFFF" w:themeFill="background1"/>
            <w:vAlign w:val="center"/>
            <w:hideMark/>
          </w:tcPr>
          <w:p w14:paraId="353A1F4C" w14:textId="77777777" w:rsidR="006804CD" w:rsidRDefault="006804CD" w:rsidP="005747E4">
            <w:pPr>
              <w:spacing w:before="120" w:after="120" w:line="240" w:lineRule="auto"/>
              <w:rPr>
                <w:szCs w:val="22"/>
                <w:lang w:val="en-AU"/>
              </w:rPr>
            </w:pPr>
          </w:p>
          <w:p w14:paraId="11CF7B95" w14:textId="7BC8DE09" w:rsidR="006804CD" w:rsidRPr="00D124C8" w:rsidRDefault="006804CD" w:rsidP="005747E4">
            <w:pPr>
              <w:spacing w:before="120" w:after="120" w:line="240" w:lineRule="auto"/>
              <w:rPr>
                <w:lang w:val="en-AU"/>
              </w:rPr>
            </w:pPr>
            <w:r w:rsidRPr="34E1BCEC">
              <w:rPr>
                <w:lang w:val="en-AU"/>
              </w:rPr>
              <w:t xml:space="preserve">CHSP, NATSIFACP and MPSP services will require assessment, delegate approval, and a Notice of Decision (letter outlining their decision) to be issued. </w:t>
            </w:r>
          </w:p>
          <w:p w14:paraId="2CF2F4D1" w14:textId="776DCBC2" w:rsidR="00762A0D" w:rsidRDefault="006804CD" w:rsidP="005747E4">
            <w:pPr>
              <w:spacing w:before="120" w:after="120" w:line="240" w:lineRule="auto"/>
              <w:rPr>
                <w:lang w:val="en-AU"/>
              </w:rPr>
            </w:pPr>
            <w:r w:rsidRPr="34E1BCEC">
              <w:rPr>
                <w:lang w:val="en-AU"/>
              </w:rPr>
              <w:t xml:space="preserve">The Support plan attachment provided to clients will include the referral code(s) </w:t>
            </w:r>
            <w:r w:rsidRPr="34E1BCEC" w:rsidDel="008000C5">
              <w:rPr>
                <w:lang w:val="en-AU"/>
              </w:rPr>
              <w:t xml:space="preserve">for </w:t>
            </w:r>
            <w:r w:rsidRPr="34E1BCEC">
              <w:rPr>
                <w:lang w:val="en-AU"/>
              </w:rPr>
              <w:t>CHSP.</w:t>
            </w:r>
            <w:r w:rsidR="00762A0D" w:rsidRPr="34E1BCEC">
              <w:rPr>
                <w:lang w:val="en-AU"/>
              </w:rPr>
              <w:t xml:space="preserve"> MPSP and NATSIFAC </w:t>
            </w:r>
            <w:r w:rsidRPr="34E1BCEC">
              <w:rPr>
                <w:lang w:val="en-AU"/>
              </w:rPr>
              <w:t>(</w:t>
            </w:r>
            <w:r w:rsidRPr="00EA702D">
              <w:rPr>
                <w:lang w:val="en-AU"/>
              </w:rPr>
              <w:t xml:space="preserve">if </w:t>
            </w:r>
            <w:r w:rsidRPr="60962172">
              <w:rPr>
                <w:lang w:val="en-AU"/>
              </w:rPr>
              <w:t xml:space="preserve">no service referral has </w:t>
            </w:r>
            <w:r w:rsidR="00762A0D">
              <w:rPr>
                <w:lang w:val="en-AU"/>
              </w:rPr>
              <w:t xml:space="preserve">yet </w:t>
            </w:r>
            <w:r w:rsidRPr="60962172">
              <w:rPr>
                <w:lang w:val="en-AU"/>
              </w:rPr>
              <w:t>been made</w:t>
            </w:r>
            <w:r>
              <w:rPr>
                <w:lang w:val="en-AU"/>
              </w:rPr>
              <w:t xml:space="preserve">). </w:t>
            </w:r>
          </w:p>
          <w:p w14:paraId="7AEF47B7" w14:textId="3E4D0CDB" w:rsidR="00A565EC" w:rsidRDefault="00A565EC" w:rsidP="005747E4">
            <w:pPr>
              <w:spacing w:before="120" w:after="120" w:line="240" w:lineRule="auto"/>
              <w:rPr>
                <w:szCs w:val="22"/>
              </w:rPr>
            </w:pPr>
            <w:r w:rsidRPr="00D124C8">
              <w:rPr>
                <w:szCs w:val="22"/>
              </w:rPr>
              <w:t xml:space="preserve">For CHSP services, a Support Plan may contain recommendations for multiple services within the same service type (e.g. </w:t>
            </w:r>
            <w:r>
              <w:rPr>
                <w:szCs w:val="22"/>
              </w:rPr>
              <w:t>Laundry services, Shopping assistance and General house cleaning</w:t>
            </w:r>
            <w:r w:rsidRPr="00D124C8">
              <w:rPr>
                <w:szCs w:val="22"/>
              </w:rPr>
              <w:t xml:space="preserve"> under the CHSP </w:t>
            </w:r>
            <w:r>
              <w:rPr>
                <w:szCs w:val="22"/>
              </w:rPr>
              <w:t>Domestic Assistance</w:t>
            </w:r>
            <w:r w:rsidRPr="00D124C8">
              <w:rPr>
                <w:szCs w:val="22"/>
              </w:rPr>
              <w:t xml:space="preserve"> service type)</w:t>
            </w:r>
            <w:r>
              <w:rPr>
                <w:szCs w:val="22"/>
              </w:rPr>
              <w:t xml:space="preserve"> </w:t>
            </w:r>
          </w:p>
          <w:p w14:paraId="45067CBA" w14:textId="2DB29B1E" w:rsidR="00A565EC" w:rsidRPr="00D124C8" w:rsidRDefault="00A565EC" w:rsidP="005747E4">
            <w:pPr>
              <w:spacing w:before="120" w:after="120" w:line="240" w:lineRule="auto"/>
            </w:pPr>
            <w:r w:rsidRPr="00A4192D">
              <w:rPr>
                <w:b/>
              </w:rPr>
              <w:t>Note:</w:t>
            </w:r>
            <w:r>
              <w:t xml:space="preserve"> For Allied health and Therapeutic services for independent living Service types, referral codes should be generated and display at the service level in the Support Plan</w:t>
            </w:r>
            <w:r w:rsidR="00762A0D">
              <w:t>.</w:t>
            </w:r>
          </w:p>
          <w:p w14:paraId="4A1C372E" w14:textId="0CA0B733" w:rsidR="006804CD" w:rsidRDefault="00762A0D" w:rsidP="005747E4">
            <w:pPr>
              <w:spacing w:before="120" w:after="120" w:line="240" w:lineRule="auto"/>
            </w:pPr>
            <w:r>
              <w:t xml:space="preserve">For any CHSP </w:t>
            </w:r>
            <w:r w:rsidR="00123D55">
              <w:t>referrals</w:t>
            </w:r>
            <w:r>
              <w:t>, these</w:t>
            </w:r>
            <w:r w:rsidR="00123D55">
              <w:t xml:space="preserve"> codes</w:t>
            </w:r>
            <w:r>
              <w:t xml:space="preserve"> will also be contained in a separate Referral Code Letter which is sent to the older person for ease of access.</w:t>
            </w:r>
          </w:p>
          <w:p w14:paraId="0873C29B" w14:textId="5D25B1C9" w:rsidR="00123D55" w:rsidRPr="00D124C8" w:rsidRDefault="00123D55" w:rsidP="005747E4">
            <w:pPr>
              <w:spacing w:before="120" w:after="120" w:line="240" w:lineRule="auto"/>
              <w:rPr>
                <w:rFonts w:ascii="Aptos" w:eastAsia="Aptos" w:hAnsi="Aptos"/>
                <w:szCs w:val="22"/>
                <w:highlight w:val="green"/>
                <w:lang w:val="en-AU"/>
              </w:rPr>
            </w:pPr>
            <w:r w:rsidRPr="00A4192D">
              <w:rPr>
                <w:b/>
                <w:szCs w:val="22"/>
              </w:rPr>
              <w:t>Note:</w:t>
            </w:r>
            <w:r w:rsidRPr="00C26801">
              <w:rPr>
                <w:szCs w:val="22"/>
              </w:rPr>
              <w:t xml:space="preserve"> </w:t>
            </w:r>
            <w:r w:rsidR="00C26801" w:rsidRPr="00C26801">
              <w:rPr>
                <w:szCs w:val="22"/>
              </w:rPr>
              <w:t>if older person consents to electronic notifications, the Assessment Delegate can send these letters via email.</w:t>
            </w:r>
          </w:p>
        </w:tc>
      </w:tr>
      <w:tr w:rsidR="006D5FB7" w:rsidRPr="00D124C8" w14:paraId="1E2FF3C4" w14:textId="77777777" w:rsidTr="007640A3">
        <w:trPr>
          <w:trHeight w:val="300"/>
        </w:trPr>
        <w:tc>
          <w:tcPr>
            <w:tcW w:w="2055" w:type="dxa"/>
            <w:shd w:val="clear" w:color="auto" w:fill="FFFFFF" w:themeFill="background1"/>
            <w:vAlign w:val="center"/>
          </w:tcPr>
          <w:p w14:paraId="7BCD8A6F" w14:textId="77777777" w:rsidR="00AB61D3" w:rsidRPr="00D124C8" w:rsidRDefault="00AB61D3" w:rsidP="00622CFF">
            <w:pPr>
              <w:spacing w:before="240" w:after="240" w:line="240" w:lineRule="auto"/>
              <w:rPr>
                <w:szCs w:val="22"/>
                <w:lang w:val="en-AU"/>
              </w:rPr>
            </w:pPr>
          </w:p>
          <w:p w14:paraId="1744B2B2" w14:textId="77777777" w:rsidR="00AB61D3" w:rsidRPr="00D124C8" w:rsidRDefault="00AB61D3" w:rsidP="00622CFF">
            <w:pPr>
              <w:spacing w:before="240" w:after="240" w:line="240" w:lineRule="auto"/>
              <w:rPr>
                <w:szCs w:val="22"/>
                <w:lang w:val="en-AU"/>
              </w:rPr>
            </w:pPr>
            <w:r w:rsidRPr="00D124C8">
              <w:rPr>
                <w:szCs w:val="22"/>
                <w:lang w:val="en-AU"/>
              </w:rPr>
              <w:t>Transition Care Program (TCP)</w:t>
            </w:r>
          </w:p>
        </w:tc>
        <w:tc>
          <w:tcPr>
            <w:tcW w:w="6974" w:type="dxa"/>
            <w:gridSpan w:val="2"/>
            <w:tcBorders>
              <w:top w:val="single" w:sz="4" w:space="0" w:color="auto"/>
            </w:tcBorders>
            <w:shd w:val="clear" w:color="auto" w:fill="FFFFFF" w:themeFill="background1"/>
            <w:vAlign w:val="center"/>
            <w:hideMark/>
          </w:tcPr>
          <w:p w14:paraId="41881F92" w14:textId="423EFE1A" w:rsidR="00AB61D3" w:rsidRPr="00D124C8" w:rsidRDefault="00AB61D3" w:rsidP="005747E4">
            <w:pPr>
              <w:spacing w:before="120" w:after="120" w:line="240" w:lineRule="auto"/>
              <w:rPr>
                <w:szCs w:val="22"/>
                <w:lang w:val="en-AU"/>
              </w:rPr>
            </w:pPr>
            <w:r w:rsidRPr="00D124C8">
              <w:rPr>
                <w:szCs w:val="22"/>
              </w:rPr>
              <w:t xml:space="preserve">The hospital discharge staff will identify and liaise with a TCP provider to access these services using the referral code. </w:t>
            </w:r>
          </w:p>
        </w:tc>
      </w:tr>
      <w:tr w:rsidR="006D5FB7" w:rsidRPr="00D124C8" w14:paraId="5A768793" w14:textId="77777777">
        <w:trPr>
          <w:trHeight w:val="300"/>
        </w:trPr>
        <w:tc>
          <w:tcPr>
            <w:tcW w:w="2055" w:type="dxa"/>
            <w:shd w:val="clear" w:color="auto" w:fill="FFFFFF" w:themeFill="background1"/>
            <w:vAlign w:val="center"/>
          </w:tcPr>
          <w:p w14:paraId="30A763DF" w14:textId="77777777" w:rsidR="00AB61D3" w:rsidRPr="00D124C8" w:rsidRDefault="00AB61D3" w:rsidP="00622CFF">
            <w:pPr>
              <w:spacing w:before="240" w:after="240" w:line="240" w:lineRule="auto"/>
              <w:rPr>
                <w:rFonts w:eastAsia="Arial"/>
                <w:szCs w:val="22"/>
                <w:lang w:val="en-AU"/>
              </w:rPr>
            </w:pPr>
            <w:r w:rsidRPr="00D124C8">
              <w:rPr>
                <w:rFonts w:eastAsia="Arial"/>
                <w:szCs w:val="22"/>
                <w:lang w:val="en-AU"/>
              </w:rPr>
              <w:t>Residential Care</w:t>
            </w:r>
          </w:p>
        </w:tc>
        <w:tc>
          <w:tcPr>
            <w:tcW w:w="6974" w:type="dxa"/>
            <w:gridSpan w:val="2"/>
            <w:shd w:val="clear" w:color="auto" w:fill="FFFFFF" w:themeFill="background1"/>
            <w:vAlign w:val="center"/>
          </w:tcPr>
          <w:p w14:paraId="7AA9AD9E" w14:textId="5CA832AB" w:rsidR="00AB61D3" w:rsidRPr="00D124C8" w:rsidRDefault="00AB61D3" w:rsidP="005747E4">
            <w:pPr>
              <w:spacing w:before="120" w:after="120" w:line="240" w:lineRule="auto"/>
              <w:rPr>
                <w:rFonts w:eastAsia="Arial"/>
                <w:szCs w:val="22"/>
              </w:rPr>
            </w:pPr>
            <w:r w:rsidRPr="00D124C8">
              <w:rPr>
                <w:rFonts w:eastAsia="Arial"/>
                <w:szCs w:val="22"/>
              </w:rPr>
              <w:t>For residential</w:t>
            </w:r>
            <w:r w:rsidRPr="00D124C8">
              <w:rPr>
                <w:rFonts w:eastAsia="Arial"/>
                <w:szCs w:val="22"/>
                <w:u w:val="single"/>
              </w:rPr>
              <w:t xml:space="preserve"> (including through MPSP)</w:t>
            </w:r>
            <w:r w:rsidRPr="00D124C8">
              <w:rPr>
                <w:rFonts w:eastAsia="Arial"/>
                <w:szCs w:val="22"/>
              </w:rPr>
              <w:t>, the assessor can issue a referral code following the assessment and approval of services to enable the older person to take time to look for a sui</w:t>
            </w:r>
            <w:r w:rsidRPr="003D1A1D">
              <w:rPr>
                <w:rFonts w:eastAsia="Arial"/>
                <w:szCs w:val="22"/>
              </w:rPr>
              <w:t>table</w:t>
            </w:r>
            <w:r w:rsidRPr="00D124C8">
              <w:rPr>
                <w:rFonts w:eastAsia="Arial"/>
                <w:szCs w:val="22"/>
              </w:rPr>
              <w:t xml:space="preserve"> residential facility.  Referral codes for residential care will be contained within the Support Plan attachment.</w:t>
            </w:r>
          </w:p>
        </w:tc>
      </w:tr>
    </w:tbl>
    <w:p w14:paraId="07743F3F" w14:textId="77777777" w:rsidR="00AB61D3" w:rsidRPr="00EB541C" w:rsidRDefault="00AB61D3" w:rsidP="00C56CEC">
      <w:pPr>
        <w:pStyle w:val="H3"/>
      </w:pPr>
      <w:r>
        <w:t>Steps an a</w:t>
      </w:r>
      <w:r w:rsidRPr="00EB541C">
        <w:t xml:space="preserve">ssessor </w:t>
      </w:r>
      <w:r>
        <w:t>must take</w:t>
      </w:r>
    </w:p>
    <w:p w14:paraId="11AB1839" w14:textId="77777777" w:rsidR="00AB61D3" w:rsidRPr="00D124C8" w:rsidRDefault="00AB61D3" w:rsidP="00622CFF">
      <w:pPr>
        <w:spacing w:before="240" w:after="240" w:line="240" w:lineRule="auto"/>
        <w:rPr>
          <w:szCs w:val="22"/>
        </w:rPr>
      </w:pPr>
      <w:r w:rsidRPr="00D124C8">
        <w:rPr>
          <w:szCs w:val="22"/>
        </w:rPr>
        <w:t>An assessor must:</w:t>
      </w:r>
    </w:p>
    <w:p w14:paraId="1C70D3A7" w14:textId="77777777" w:rsidR="0019783C" w:rsidRDefault="00AB61D3" w:rsidP="00387BB2">
      <w:pPr>
        <w:pStyle w:val="ListParagraph"/>
        <w:numPr>
          <w:ilvl w:val="0"/>
          <w:numId w:val="60"/>
        </w:numPr>
        <w:spacing w:before="240" w:after="240" w:line="240" w:lineRule="auto"/>
        <w:ind w:left="851"/>
        <w:rPr>
          <w:szCs w:val="22"/>
          <w:lang w:eastAsia="ko-KR"/>
        </w:rPr>
      </w:pPr>
      <w:r w:rsidRPr="00D124C8">
        <w:rPr>
          <w:szCs w:val="22"/>
          <w:lang w:eastAsia="ko-KR"/>
        </w:rPr>
        <w:t>Check availability of service providers</w:t>
      </w:r>
      <w:r w:rsidRPr="00D124C8">
        <w:rPr>
          <w:rFonts w:hint="eastAsia"/>
          <w:szCs w:val="22"/>
          <w:lang w:eastAsia="ko-KR"/>
        </w:rPr>
        <w:t xml:space="preserve"> in the older person</w:t>
      </w:r>
      <w:r w:rsidRPr="00D124C8">
        <w:rPr>
          <w:szCs w:val="22"/>
          <w:lang w:eastAsia="ko-KR"/>
        </w:rPr>
        <w:t>’</w:t>
      </w:r>
      <w:r w:rsidRPr="00D124C8">
        <w:rPr>
          <w:rFonts w:hint="eastAsia"/>
          <w:szCs w:val="22"/>
          <w:lang w:eastAsia="ko-KR"/>
        </w:rPr>
        <w:t>s region.</w:t>
      </w:r>
      <w:r w:rsidRPr="00D124C8">
        <w:rPr>
          <w:szCs w:val="22"/>
          <w:lang w:eastAsia="ko-KR"/>
        </w:rPr>
        <w:t xml:space="preserve"> Commonwealth funded service provider contact details can be accessed in the My Aged Care Service Finder. Service providers will find the name of an older person's assessing outlet in the 'Plans' tab of the older person’s record.</w:t>
      </w:r>
    </w:p>
    <w:p w14:paraId="6BCD0F5B" w14:textId="4D8C5A4B" w:rsidR="00AB61D3" w:rsidRPr="00D124C8" w:rsidRDefault="00AB61D3" w:rsidP="0019783C">
      <w:pPr>
        <w:pStyle w:val="ListParagraph"/>
        <w:spacing w:before="240" w:after="240" w:line="240" w:lineRule="auto"/>
        <w:ind w:left="851"/>
        <w:rPr>
          <w:szCs w:val="22"/>
          <w:lang w:eastAsia="ko-KR"/>
        </w:rPr>
      </w:pPr>
      <w:r w:rsidRPr="00D124C8">
        <w:rPr>
          <w:szCs w:val="22"/>
          <w:lang w:eastAsia="ko-KR"/>
        </w:rPr>
        <w:t xml:space="preserve"> </w:t>
      </w:r>
    </w:p>
    <w:p w14:paraId="34D30F4B" w14:textId="61EC339D" w:rsidR="00AB61D3" w:rsidRPr="00D124C8" w:rsidRDefault="00AB61D3" w:rsidP="00387BB2">
      <w:pPr>
        <w:pStyle w:val="ListParagraph"/>
        <w:numPr>
          <w:ilvl w:val="0"/>
          <w:numId w:val="60"/>
        </w:numPr>
        <w:spacing w:before="240" w:after="240" w:line="240" w:lineRule="auto"/>
        <w:ind w:left="851"/>
        <w:contextualSpacing w:val="0"/>
        <w:rPr>
          <w:szCs w:val="22"/>
          <w:lang w:eastAsia="ko-KR"/>
        </w:rPr>
      </w:pPr>
      <w:r w:rsidRPr="00D124C8">
        <w:rPr>
          <w:szCs w:val="22"/>
          <w:lang w:eastAsia="ko-KR"/>
        </w:rPr>
        <w:t xml:space="preserve">If required (e.g. for vulnerable </w:t>
      </w:r>
      <w:r w:rsidR="00516348">
        <w:rPr>
          <w:szCs w:val="22"/>
          <w:lang w:eastAsia="ko-KR"/>
        </w:rPr>
        <w:t>older people</w:t>
      </w:r>
      <w:r w:rsidRPr="00D124C8">
        <w:rPr>
          <w:szCs w:val="22"/>
          <w:lang w:eastAsia="ko-KR"/>
        </w:rPr>
        <w:t>) contact providers on behalf of the older person when referring.</w:t>
      </w:r>
    </w:p>
    <w:p w14:paraId="1FFE8631" w14:textId="77777777" w:rsidR="00AB61D3" w:rsidRPr="00D124C8" w:rsidRDefault="00AB61D3" w:rsidP="00387BB2">
      <w:pPr>
        <w:pStyle w:val="ListParagraph"/>
        <w:numPr>
          <w:ilvl w:val="0"/>
          <w:numId w:val="60"/>
        </w:numPr>
        <w:spacing w:before="240" w:after="240" w:line="240" w:lineRule="auto"/>
        <w:ind w:left="851"/>
        <w:contextualSpacing w:val="0"/>
        <w:rPr>
          <w:szCs w:val="22"/>
          <w:lang w:eastAsia="ko-KR"/>
        </w:rPr>
      </w:pPr>
      <w:r w:rsidRPr="00D124C8">
        <w:rPr>
          <w:szCs w:val="22"/>
          <w:lang w:eastAsia="ko-KR"/>
        </w:rPr>
        <w:t xml:space="preserve">Add additional documentation in the ‘Notes’ to </w:t>
      </w:r>
      <w:r w:rsidRPr="00D124C8">
        <w:rPr>
          <w:rFonts w:hint="eastAsia"/>
          <w:szCs w:val="22"/>
          <w:lang w:eastAsia="ko-KR"/>
        </w:rPr>
        <w:t xml:space="preserve">ensure all pertinent </w:t>
      </w:r>
      <w:r w:rsidRPr="00D124C8">
        <w:rPr>
          <w:szCs w:val="22"/>
          <w:lang w:eastAsia="ko-KR"/>
        </w:rPr>
        <w:t>information is available to service providers.</w:t>
      </w:r>
    </w:p>
    <w:p w14:paraId="026EC665" w14:textId="77777777" w:rsidR="00AB61D3" w:rsidRPr="00D124C8" w:rsidRDefault="00AB61D3" w:rsidP="00387BB2">
      <w:pPr>
        <w:pStyle w:val="NormalText"/>
        <w:numPr>
          <w:ilvl w:val="0"/>
          <w:numId w:val="60"/>
        </w:numPr>
        <w:spacing w:before="240" w:after="240" w:line="240" w:lineRule="auto"/>
        <w:ind w:left="851"/>
        <w:rPr>
          <w:rFonts w:eastAsiaTheme="majorEastAsia"/>
          <w:szCs w:val="22"/>
        </w:rPr>
      </w:pPr>
      <w:r w:rsidRPr="00D124C8">
        <w:rPr>
          <w:rFonts w:eastAsiaTheme="majorEastAsia"/>
          <w:szCs w:val="22"/>
        </w:rPr>
        <w:t>Consider all referral options (through portal by broadcast, preference, direct referral, or issue referral code) and the service priority (excluding support at home).</w:t>
      </w:r>
    </w:p>
    <w:p w14:paraId="6EBDB3D5" w14:textId="77777777" w:rsidR="00AB61D3" w:rsidRPr="00D124C8" w:rsidRDefault="00AB61D3" w:rsidP="00387BB2">
      <w:pPr>
        <w:pStyle w:val="ListParagraph"/>
        <w:numPr>
          <w:ilvl w:val="0"/>
          <w:numId w:val="60"/>
        </w:numPr>
        <w:spacing w:before="240" w:after="240" w:line="240" w:lineRule="auto"/>
        <w:ind w:left="851"/>
        <w:contextualSpacing w:val="0"/>
        <w:rPr>
          <w:szCs w:val="22"/>
          <w:lang w:eastAsia="ko-KR"/>
        </w:rPr>
      </w:pPr>
      <w:r w:rsidRPr="00D124C8">
        <w:rPr>
          <w:szCs w:val="22"/>
          <w:lang w:eastAsia="ko-KR"/>
        </w:rPr>
        <w:t>Consider referrals/recommendations to services not listed in My Aged Care.</w:t>
      </w:r>
    </w:p>
    <w:p w14:paraId="7EA8D37C" w14:textId="77777777" w:rsidR="00AB61D3" w:rsidRPr="00D124C8" w:rsidRDefault="00AB61D3" w:rsidP="00387BB2">
      <w:pPr>
        <w:pStyle w:val="ListParagraph"/>
        <w:numPr>
          <w:ilvl w:val="0"/>
          <w:numId w:val="60"/>
        </w:numPr>
        <w:spacing w:before="240" w:after="240" w:line="240" w:lineRule="auto"/>
        <w:ind w:left="851"/>
        <w:contextualSpacing w:val="0"/>
        <w:rPr>
          <w:szCs w:val="22"/>
          <w:lang w:eastAsia="ko-KR"/>
        </w:rPr>
      </w:pPr>
      <w:r w:rsidRPr="00D124C8">
        <w:rPr>
          <w:szCs w:val="22"/>
          <w:lang w:eastAsia="ko-KR"/>
        </w:rPr>
        <w:t xml:space="preserve">Where service availability is limited, work with the older person to explore alternative options of support to meet their areas of concern and goals. </w:t>
      </w:r>
    </w:p>
    <w:p w14:paraId="2DC63C8D" w14:textId="1F3399BC" w:rsidR="00AB61D3" w:rsidRPr="00D124C8" w:rsidRDefault="00AB61D3" w:rsidP="00387BB2">
      <w:pPr>
        <w:pStyle w:val="ListParagraph"/>
        <w:numPr>
          <w:ilvl w:val="0"/>
          <w:numId w:val="60"/>
        </w:numPr>
        <w:spacing w:before="240" w:after="240" w:line="240" w:lineRule="auto"/>
        <w:ind w:left="851"/>
        <w:contextualSpacing w:val="0"/>
        <w:rPr>
          <w:szCs w:val="22"/>
          <w:lang w:eastAsia="ko-KR"/>
        </w:rPr>
      </w:pPr>
      <w:r w:rsidRPr="00D124C8">
        <w:rPr>
          <w:szCs w:val="22"/>
          <w:lang w:eastAsia="ko-KR"/>
        </w:rPr>
        <w:t xml:space="preserve">Discuss and record carer information and advise </w:t>
      </w:r>
      <w:r w:rsidR="00516348">
        <w:rPr>
          <w:szCs w:val="22"/>
          <w:lang w:eastAsia="ko-KR"/>
        </w:rPr>
        <w:t>older people</w:t>
      </w:r>
      <w:r w:rsidRPr="00D124C8">
        <w:rPr>
          <w:szCs w:val="22"/>
          <w:lang w:eastAsia="ko-KR"/>
        </w:rPr>
        <w:t xml:space="preserve"> and/or their carers of carer support options available including requesting a call back </w:t>
      </w:r>
      <w:r w:rsidR="00584594">
        <w:rPr>
          <w:szCs w:val="22"/>
          <w:lang w:eastAsia="ko-KR"/>
        </w:rPr>
        <w:t xml:space="preserve">for carers </w:t>
      </w:r>
      <w:r w:rsidRPr="00D124C8">
        <w:rPr>
          <w:szCs w:val="22"/>
          <w:lang w:eastAsia="ko-KR"/>
        </w:rPr>
        <w:t>from a local Carer Gateway service provider or the National Dementia Helpline.</w:t>
      </w:r>
    </w:p>
    <w:p w14:paraId="290DB47B" w14:textId="77777777" w:rsidR="00AB61D3" w:rsidRPr="00D124C8" w:rsidRDefault="00AB61D3" w:rsidP="00622CFF">
      <w:pPr>
        <w:spacing w:before="240" w:after="240" w:line="240" w:lineRule="auto"/>
        <w:rPr>
          <w:b/>
          <w:szCs w:val="22"/>
        </w:rPr>
      </w:pPr>
      <w:r w:rsidRPr="00D124C8">
        <w:rPr>
          <w:szCs w:val="22"/>
        </w:rPr>
        <w:t>Assessors must ensure they are aware of appropriate care options within and outside Commonwealth funded aged care, such as local supports, health,</w:t>
      </w:r>
      <w:r w:rsidRPr="00D124C8" w:rsidDel="00936F0D">
        <w:rPr>
          <w:szCs w:val="22"/>
        </w:rPr>
        <w:t xml:space="preserve"> </w:t>
      </w:r>
      <w:r w:rsidRPr="00D124C8">
        <w:rPr>
          <w:szCs w:val="22"/>
        </w:rPr>
        <w:t>community services and private services. To offer a broad range of strategies to assist the older person to achieve their goal, the assessor builds and maintains effective working relationships with service providers and extends connections with services and organisations in their local community, including those not listed in</w:t>
      </w:r>
      <w:r w:rsidRPr="00D124C8">
        <w:rPr>
          <w:b/>
          <w:szCs w:val="22"/>
        </w:rPr>
        <w:t xml:space="preserve"> </w:t>
      </w:r>
      <w:r w:rsidRPr="00937F91">
        <w:rPr>
          <w:szCs w:val="22"/>
        </w:rPr>
        <w:t>My Aged Care.</w:t>
      </w:r>
      <w:r w:rsidRPr="00D124C8">
        <w:rPr>
          <w:b/>
          <w:szCs w:val="22"/>
        </w:rPr>
        <w:t xml:space="preserve"> </w:t>
      </w:r>
    </w:p>
    <w:p w14:paraId="6EFFE6E0" w14:textId="77777777" w:rsidR="00AB61D3" w:rsidRPr="00BF4F16" w:rsidRDefault="00AB61D3" w:rsidP="00507F9D">
      <w:pPr>
        <w:pStyle w:val="h2"/>
      </w:pPr>
      <w:bookmarkStart w:id="865" w:name="_Toc209189038"/>
      <w:bookmarkStart w:id="866" w:name="_Toc224916694"/>
      <w:r w:rsidRPr="00BF4F16">
        <w:t>Corrections process</w:t>
      </w:r>
      <w:bookmarkEnd w:id="865"/>
      <w:bookmarkEnd w:id="866"/>
    </w:p>
    <w:p w14:paraId="6A4901FA" w14:textId="522747F0" w:rsidR="00AB61D3" w:rsidRPr="00BF4F16" w:rsidRDefault="00AB61D3" w:rsidP="00622CFF">
      <w:pPr>
        <w:spacing w:before="240" w:after="240" w:line="240" w:lineRule="auto"/>
        <w:rPr>
          <w:lang w:val="en-AU"/>
        </w:rPr>
      </w:pPr>
      <w:r w:rsidRPr="00BF4F16">
        <w:rPr>
          <w:lang w:val="en-AU"/>
        </w:rPr>
        <w:t xml:space="preserve">Assessment </w:t>
      </w:r>
      <w:r w:rsidR="00E77D9E">
        <w:rPr>
          <w:lang w:val="en-AU"/>
        </w:rPr>
        <w:t>d</w:t>
      </w:r>
      <w:r w:rsidR="00E77D9E" w:rsidRPr="00BF4F16">
        <w:rPr>
          <w:lang w:val="en-AU"/>
        </w:rPr>
        <w:t xml:space="preserve">elegates </w:t>
      </w:r>
      <w:r w:rsidRPr="00BF4F16">
        <w:rPr>
          <w:lang w:val="en-AU"/>
        </w:rPr>
        <w:t>are responsible for ensuring that all recorded decisions are accurate and complete. Diligent quality checks are essential to minimise the need for corrections and maintain accurate records. </w:t>
      </w:r>
    </w:p>
    <w:p w14:paraId="0DDDD586" w14:textId="77777777" w:rsidR="00AB61D3" w:rsidRPr="00BF4F16" w:rsidRDefault="00AB61D3" w:rsidP="00622CFF">
      <w:pPr>
        <w:spacing w:before="240" w:after="240" w:line="240" w:lineRule="auto"/>
        <w:rPr>
          <w:lang w:val="en-AU"/>
        </w:rPr>
      </w:pPr>
      <w:r w:rsidRPr="00BF4F16">
        <w:rPr>
          <w:lang w:val="en-AU"/>
        </w:rPr>
        <w:t>Despite thorough quality checks, errors may occasionally occur. If an assessment delegate identifies an administrative or typographical error after submitting a decision, it is essential to initiate the correction process promptly. </w:t>
      </w:r>
    </w:p>
    <w:p w14:paraId="12553945" w14:textId="77777777" w:rsidR="00AB61D3" w:rsidRPr="00BF4F16" w:rsidRDefault="00AB61D3" w:rsidP="00622CFF">
      <w:pPr>
        <w:spacing w:before="240" w:after="240" w:line="240" w:lineRule="auto"/>
        <w:rPr>
          <w:lang w:val="en-AU"/>
        </w:rPr>
      </w:pPr>
      <w:r w:rsidRPr="00BF4F16">
        <w:rPr>
          <w:lang w:val="en-AU"/>
        </w:rPr>
        <w:t xml:space="preserve">When an error is identified, assessment delegates must submit a correction request within 42 days of the original decision. The correction request will be forwarded to the department for consideration. </w:t>
      </w:r>
    </w:p>
    <w:tbl>
      <w:tblPr>
        <w:tblW w:w="0" w:type="auto"/>
        <w:tblLook w:val="04A0" w:firstRow="1" w:lastRow="0" w:firstColumn="1" w:lastColumn="0" w:noHBand="0" w:noVBand="1"/>
      </w:tblPr>
      <w:tblGrid>
        <w:gridCol w:w="921"/>
        <w:gridCol w:w="8105"/>
      </w:tblGrid>
      <w:tr w:rsidR="00AB61D3" w14:paraId="4B0DA4FA" w14:textId="77777777">
        <w:trPr>
          <w:trHeight w:val="677"/>
        </w:trPr>
        <w:tc>
          <w:tcPr>
            <w:tcW w:w="921" w:type="dxa"/>
          </w:tcPr>
          <w:p w14:paraId="6A82B965" w14:textId="77777777" w:rsidR="00AB61D3" w:rsidRPr="00BF4F16" w:rsidRDefault="00AB61D3" w:rsidP="00622CFF">
            <w:pPr>
              <w:spacing w:before="240" w:after="240" w:line="240" w:lineRule="auto"/>
            </w:pPr>
            <w:r w:rsidRPr="00BF4F16">
              <w:rPr>
                <w:noProof/>
              </w:rPr>
              <w:drawing>
                <wp:inline distT="0" distB="0" distL="0" distR="0" wp14:anchorId="655AF0EB" wp14:editId="6CD944A8">
                  <wp:extent cx="447675" cy="445208"/>
                  <wp:effectExtent l="0" t="0" r="0" b="0"/>
                  <wp:docPr id="1987728323" name="Picture 19877283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6888EB1" w14:textId="7CED6E81" w:rsidR="00AB61D3" w:rsidRDefault="00AB61D3" w:rsidP="00622CFF">
            <w:pPr>
              <w:spacing w:before="240" w:after="240" w:line="240" w:lineRule="auto"/>
            </w:pPr>
            <w:r w:rsidRPr="00BF4F16">
              <w:t xml:space="preserve">See Chapter </w:t>
            </w:r>
            <w:r w:rsidR="00E03619">
              <w:fldChar w:fldCharType="begin"/>
            </w:r>
            <w:r w:rsidR="00E03619">
              <w:instrText xml:space="preserve"> REF _Ref212736355 \w \h </w:instrText>
            </w:r>
            <w:r w:rsidR="00E03619">
              <w:fldChar w:fldCharType="separate"/>
            </w:r>
            <w:r w:rsidR="00F97942">
              <w:t>11</w:t>
            </w:r>
            <w:r w:rsidR="00E03619">
              <w:fldChar w:fldCharType="end"/>
            </w:r>
            <w:r w:rsidRPr="00BF4F16">
              <w:t xml:space="preserve"> for more information about the corrections process</w:t>
            </w:r>
          </w:p>
          <w:p w14:paraId="26BE7D08" w14:textId="77777777" w:rsidR="00F73D36" w:rsidRDefault="00F73D36" w:rsidP="00622CFF">
            <w:pPr>
              <w:spacing w:before="240" w:after="240" w:line="240" w:lineRule="auto"/>
            </w:pPr>
          </w:p>
          <w:p w14:paraId="340F53C6" w14:textId="5348B672" w:rsidR="00AB61D3" w:rsidRPr="00BF4F16" w:rsidRDefault="00AB61D3" w:rsidP="00622CFF">
            <w:pPr>
              <w:spacing w:before="240" w:after="240" w:line="240" w:lineRule="auto"/>
              <w:rPr>
                <w:lang w:val="en-US"/>
              </w:rPr>
            </w:pPr>
          </w:p>
        </w:tc>
      </w:tr>
    </w:tbl>
    <w:p w14:paraId="230E8E50" w14:textId="77777777" w:rsidR="005747E4" w:rsidRDefault="005747E4" w:rsidP="00441037"/>
    <w:p w14:paraId="2BDC4B20" w14:textId="77777777" w:rsidR="00AF069F" w:rsidRDefault="00AF069F">
      <w:pPr>
        <w:rPr>
          <w:b/>
          <w:color w:val="002060"/>
          <w:sz w:val="44"/>
          <w:szCs w:val="36"/>
          <w:lang w:val="en-US"/>
        </w:rPr>
      </w:pPr>
      <w:r>
        <w:br w:type="page"/>
      </w:r>
    </w:p>
    <w:p w14:paraId="279DBB69" w14:textId="4BD45828" w:rsidR="00F80D60" w:rsidRPr="00F570D9" w:rsidRDefault="00F80D60" w:rsidP="004B6DFD">
      <w:pPr>
        <w:pStyle w:val="H1"/>
      </w:pPr>
      <w:bookmarkStart w:id="867" w:name="_Toc198813697"/>
      <w:bookmarkStart w:id="868" w:name="_Toc204329594"/>
      <w:bookmarkStart w:id="869" w:name="_Toc209189039"/>
      <w:bookmarkStart w:id="870" w:name="_Ref212735115"/>
      <w:bookmarkStart w:id="871" w:name="_Ref212735357"/>
      <w:bookmarkStart w:id="872" w:name="_Ref212735908"/>
      <w:bookmarkStart w:id="873" w:name="_Toc224916695"/>
      <w:bookmarkStart w:id="874" w:name="Ch8_SPRandNewAssessment"/>
      <w:r w:rsidRPr="00F570D9">
        <w:t xml:space="preserve">Chapter </w:t>
      </w:r>
      <w:r>
        <w:t>10</w:t>
      </w:r>
      <w:r w:rsidRPr="00F570D9">
        <w:t xml:space="preserve">: Support </w:t>
      </w:r>
      <w:r w:rsidR="06688C97">
        <w:t>p</w:t>
      </w:r>
      <w:r>
        <w:t xml:space="preserve">lan </w:t>
      </w:r>
      <w:r w:rsidR="499B028C">
        <w:t>r</w:t>
      </w:r>
      <w:r w:rsidRPr="00F570D9">
        <w:t xml:space="preserve">eviews and </w:t>
      </w:r>
      <w:r>
        <w:t>reassessments</w:t>
      </w:r>
      <w:bookmarkEnd w:id="867"/>
      <w:bookmarkEnd w:id="868"/>
      <w:bookmarkEnd w:id="869"/>
      <w:bookmarkEnd w:id="870"/>
      <w:bookmarkEnd w:id="871"/>
      <w:bookmarkEnd w:id="872"/>
      <w:bookmarkEnd w:id="873"/>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F80D60" w14:paraId="357A9505" w14:textId="77777777" w:rsidTr="00A67725">
        <w:trPr>
          <w:trHeight w:val="1650"/>
        </w:trPr>
        <w:tc>
          <w:tcPr>
            <w:tcW w:w="9016" w:type="dxa"/>
            <w:shd w:val="clear" w:color="auto" w:fill="F2F2F2" w:themeFill="background1" w:themeFillShade="F2"/>
          </w:tcPr>
          <w:p w14:paraId="692B7F83" w14:textId="77777777" w:rsidR="00F80D60" w:rsidRPr="00275ACC" w:rsidRDefault="00F80D60" w:rsidP="009C529D">
            <w:bookmarkStart w:id="875" w:name="_Toc198813698"/>
            <w:bookmarkStart w:id="876" w:name="_Toc204329595"/>
            <w:bookmarkStart w:id="877" w:name="_Toc209189040"/>
            <w:bookmarkEnd w:id="874"/>
            <w:r w:rsidRPr="00380A8B">
              <w:rPr>
                <w:b/>
                <w:color w:val="358189"/>
                <w:sz w:val="36"/>
                <w:szCs w:val="36"/>
              </w:rPr>
              <w:t>What you’ll find in this chapter:</w:t>
            </w:r>
            <w:bookmarkEnd w:id="875"/>
            <w:bookmarkEnd w:id="876"/>
            <w:bookmarkEnd w:id="877"/>
          </w:p>
          <w:p w14:paraId="17BC7FAC" w14:textId="3E5DA143" w:rsidR="00F80D60" w:rsidRPr="005747E4" w:rsidRDefault="00F80D60" w:rsidP="00622CFF">
            <w:pPr>
              <w:spacing w:before="240" w:after="240"/>
            </w:pPr>
            <w:r w:rsidRPr="0046185C">
              <w:t xml:space="preserve">This chapter provides guidance around the circumstances for conducting a </w:t>
            </w:r>
            <w:r w:rsidR="699441A5">
              <w:t>s</w:t>
            </w:r>
            <w:r>
              <w:t xml:space="preserve">upport </w:t>
            </w:r>
            <w:r w:rsidR="60B2D09D">
              <w:t>p</w:t>
            </w:r>
            <w:r>
              <w:t xml:space="preserve">lan </w:t>
            </w:r>
            <w:r w:rsidR="2F094654">
              <w:t>r</w:t>
            </w:r>
            <w:r w:rsidRPr="0046185C">
              <w:t>eview</w:t>
            </w:r>
            <w:r>
              <w:t xml:space="preserve"> (SPR)</w:t>
            </w:r>
            <w:r w:rsidRPr="0046185C">
              <w:t xml:space="preserve"> or a </w:t>
            </w:r>
            <w:r>
              <w:t xml:space="preserve">reassessment for each aged care program. </w:t>
            </w:r>
          </w:p>
        </w:tc>
      </w:tr>
    </w:tbl>
    <w:p w14:paraId="195D8F9D" w14:textId="5815890C" w:rsidR="00F80D60" w:rsidRPr="005F796D" w:rsidRDefault="00F80D60" w:rsidP="00507F9D">
      <w:pPr>
        <w:pStyle w:val="h2"/>
      </w:pPr>
      <w:bookmarkStart w:id="878" w:name="_Toc198813699"/>
      <w:bookmarkStart w:id="879" w:name="_Toc204329596"/>
      <w:bookmarkStart w:id="880" w:name="_Toc209189041"/>
      <w:bookmarkStart w:id="881" w:name="_Toc224916696"/>
      <w:r w:rsidRPr="005F796D">
        <w:t xml:space="preserve">Reassessments under the </w:t>
      </w:r>
      <w:r w:rsidR="006B2C22" w:rsidRPr="00411FA8">
        <w:rPr>
          <w:i/>
        </w:rPr>
        <w:t xml:space="preserve">Aged Care </w:t>
      </w:r>
      <w:r w:rsidRPr="00411FA8">
        <w:rPr>
          <w:i/>
        </w:rPr>
        <w:t>Act</w:t>
      </w:r>
      <w:bookmarkEnd w:id="878"/>
      <w:bookmarkEnd w:id="879"/>
      <w:r w:rsidR="006B2C22" w:rsidRPr="00411FA8">
        <w:rPr>
          <w:i/>
        </w:rPr>
        <w:t xml:space="preserve"> 2024</w:t>
      </w:r>
      <w:bookmarkEnd w:id="880"/>
      <w:bookmarkEnd w:id="881"/>
    </w:p>
    <w:p w14:paraId="355B46EA" w14:textId="541EE5B8" w:rsidR="00F80D60" w:rsidRPr="005F796D" w:rsidRDefault="00F80D60" w:rsidP="00622CFF">
      <w:pPr>
        <w:spacing w:before="240" w:after="240" w:line="240" w:lineRule="auto"/>
      </w:pPr>
      <w:r w:rsidRPr="005F796D">
        <w:t xml:space="preserve">Section 64 of the </w:t>
      </w:r>
      <w:r w:rsidRPr="005F796D">
        <w:rPr>
          <w:i/>
        </w:rPr>
        <w:t>Aged Care Act 2024</w:t>
      </w:r>
      <w:r>
        <w:rPr>
          <w:i/>
        </w:rPr>
        <w:t xml:space="preserve"> </w:t>
      </w:r>
      <w:r w:rsidR="00F22623">
        <w:rPr>
          <w:i/>
        </w:rPr>
        <w:t>(the Act)</w:t>
      </w:r>
      <w:r w:rsidRPr="005F796D">
        <w:t xml:space="preserve"> provides for aged care needs reassessments. A reassessment may be required when an individual's circumstances have changed. </w:t>
      </w:r>
    </w:p>
    <w:p w14:paraId="09BC406D" w14:textId="3CAEC89B" w:rsidR="00F80D60" w:rsidRDefault="00F80D60" w:rsidP="00622CFF">
      <w:pPr>
        <w:spacing w:before="240" w:after="240" w:line="240" w:lineRule="auto"/>
      </w:pPr>
      <w:r w:rsidRPr="005F796D">
        <w:t xml:space="preserve">In the </w:t>
      </w:r>
      <w:r w:rsidR="00D2359D" w:rsidRPr="00441859">
        <w:rPr>
          <w:iCs/>
        </w:rPr>
        <w:t>Act</w:t>
      </w:r>
      <w:r w:rsidRPr="005F796D">
        <w:t xml:space="preserve"> the term ‘reassessment’ is used as an umbrella term to describe both SPRs and </w:t>
      </w:r>
      <w:r>
        <w:t>reassessment</w:t>
      </w:r>
      <w:r w:rsidRPr="005F796D">
        <w:t>s. An individual may request a reassessment if they believe their aged care needs have changed, or it may be identified through a scheduled SPR.</w:t>
      </w:r>
      <w:r>
        <w:t xml:space="preserve"> </w:t>
      </w:r>
    </w:p>
    <w:p w14:paraId="664713EC" w14:textId="77777777" w:rsidR="009E4675" w:rsidRPr="00B52D09" w:rsidRDefault="009E4675" w:rsidP="00C325C6">
      <w:pPr>
        <w:pStyle w:val="Sub-headings"/>
      </w:pPr>
      <w:r w:rsidRPr="00F37F02">
        <w:t>Note</w:t>
      </w:r>
      <w:r>
        <w:t>:</w:t>
      </w:r>
    </w:p>
    <w:p w14:paraId="7EDD7855" w14:textId="4FD42145" w:rsidR="009E4675" w:rsidRDefault="009E4675" w:rsidP="00C325C6">
      <w:pPr>
        <w:pStyle w:val="Sub-headings"/>
      </w:pPr>
      <w:r>
        <w:t>I</w:t>
      </w:r>
      <w:r w:rsidRPr="0028782E">
        <w:t xml:space="preserve">n this manual, the term ‘reassessment’ is used to describe an assessment that occurs after an older person has already been assessed at least once.  </w:t>
      </w:r>
    </w:p>
    <w:p w14:paraId="4CDD9844" w14:textId="4CEDFAD5" w:rsidR="00EE2146" w:rsidRPr="005F796D" w:rsidRDefault="00F80D60" w:rsidP="00EE2146">
      <w:pPr>
        <w:spacing w:before="240" w:after="240" w:line="240" w:lineRule="auto"/>
      </w:pPr>
      <w:r w:rsidRPr="005F796D">
        <w:t xml:space="preserve">SPRs </w:t>
      </w:r>
      <w:r w:rsidR="00C272E5">
        <w:t>are</w:t>
      </w:r>
      <w:r w:rsidRPr="005F796D">
        <w:t xml:space="preserve"> used as a mechanism to adjust an older person’s aged care services without needing to undertake a </w:t>
      </w:r>
      <w:r>
        <w:t>re</w:t>
      </w:r>
      <w:r w:rsidRPr="005F796D">
        <w:t xml:space="preserve">assessment. </w:t>
      </w:r>
      <w:r w:rsidR="00EE2146" w:rsidRPr="005F796D">
        <w:t xml:space="preserve">In some cases, the Assessment Delegate may approve access to services based on updated information through the SPR process. </w:t>
      </w:r>
    </w:p>
    <w:p w14:paraId="160038AB" w14:textId="60BC933F" w:rsidR="00F80D60" w:rsidRPr="005F796D" w:rsidRDefault="00F80D60" w:rsidP="00622CFF">
      <w:pPr>
        <w:spacing w:before="240" w:after="240" w:line="240" w:lineRule="auto"/>
      </w:pPr>
      <w:r>
        <w:t xml:space="preserve">A reassessment will be </w:t>
      </w:r>
      <w:r w:rsidR="003A0B34">
        <w:t xml:space="preserve">required </w:t>
      </w:r>
      <w:r>
        <w:t xml:space="preserve">when there are </w:t>
      </w:r>
      <w:r w:rsidRPr="253C7A60">
        <w:rPr>
          <w:i/>
          <w:iCs/>
        </w:rPr>
        <w:t>significant</w:t>
      </w:r>
      <w:r>
        <w:t xml:space="preserve"> changes to a client’s needs or circumstances.</w:t>
      </w:r>
    </w:p>
    <w:p w14:paraId="5FF15DBC" w14:textId="61F1954B" w:rsidR="00F80D60" w:rsidRPr="005F796D" w:rsidRDefault="00F80D60" w:rsidP="00622CFF">
      <w:pPr>
        <w:spacing w:before="240" w:after="240" w:line="240" w:lineRule="auto"/>
      </w:pPr>
      <w:r w:rsidRPr="005F796D">
        <w:t xml:space="preserve">Significant changes in care needs and circumstances </w:t>
      </w:r>
      <w:r w:rsidR="003C78AD" w:rsidRPr="005F796D">
        <w:t>requir</w:t>
      </w:r>
      <w:r w:rsidR="003C78AD">
        <w:t>e</w:t>
      </w:r>
      <w:r w:rsidR="003C78AD" w:rsidRPr="005F796D">
        <w:t xml:space="preserve"> </w:t>
      </w:r>
      <w:r w:rsidRPr="005F796D">
        <w:t xml:space="preserve">higher-level of care or different types of care (and/or changes to priority). </w:t>
      </w:r>
    </w:p>
    <w:p w14:paraId="49A5E491" w14:textId="77777777" w:rsidR="00F80D60" w:rsidRPr="005F796D" w:rsidRDefault="00F80D60" w:rsidP="00622CFF">
      <w:pPr>
        <w:spacing w:before="240" w:after="240" w:line="240" w:lineRule="auto"/>
      </w:pPr>
      <w:r w:rsidRPr="005F796D">
        <w:t xml:space="preserve">For example, an older person approved for ongoing Support at Home at the Classification 4 level who requires a higher classification level of package (e.g. Level 5) due to increased care needs or a change in priority for home care service must first undertake a </w:t>
      </w:r>
      <w:r>
        <w:t>re</w:t>
      </w:r>
      <w:r w:rsidRPr="005F796D">
        <w:t>assessment by an assessor and approved by an Assessment Delegate.</w:t>
      </w:r>
    </w:p>
    <w:p w14:paraId="7C3E5E65" w14:textId="77777777" w:rsidR="00F80D60" w:rsidRPr="005F796D" w:rsidRDefault="00F80D60" w:rsidP="00622CFF">
      <w:pPr>
        <w:spacing w:before="240" w:after="240" w:line="240" w:lineRule="auto"/>
      </w:pPr>
      <w:r w:rsidRPr="005F796D">
        <w:t xml:space="preserve">Significant change is referenced in section 64 of the </w:t>
      </w:r>
      <w:r w:rsidRPr="005F796D">
        <w:rPr>
          <w:i/>
          <w:iCs/>
        </w:rPr>
        <w:t>Aged Care Act 2024</w:t>
      </w:r>
      <w:r w:rsidRPr="005F796D">
        <w:t xml:space="preserve"> and defined in the </w:t>
      </w:r>
      <w:r w:rsidRPr="005F796D">
        <w:rPr>
          <w:i/>
          <w:iCs/>
        </w:rPr>
        <w:t>Aged Care Rules 2025</w:t>
      </w:r>
      <w:r w:rsidRPr="005F796D">
        <w:t>:</w:t>
      </w:r>
    </w:p>
    <w:p w14:paraId="7FB85315" w14:textId="77777777" w:rsidR="00F80D60" w:rsidRPr="005F796D" w:rsidRDefault="00F80D60" w:rsidP="00DF3F6B">
      <w:pPr>
        <w:pStyle w:val="ListParagraph"/>
        <w:numPr>
          <w:ilvl w:val="0"/>
          <w:numId w:val="56"/>
        </w:numPr>
        <w:spacing w:before="240" w:after="240" w:line="240" w:lineRule="auto"/>
      </w:pPr>
      <w:r w:rsidRPr="005F796D">
        <w:t xml:space="preserve">a carer for the individual has permanently ceased to provide some or all care to the individual; </w:t>
      </w:r>
    </w:p>
    <w:p w14:paraId="5D583959" w14:textId="77777777" w:rsidR="00F80D60" w:rsidRPr="005F796D" w:rsidRDefault="00F80D60" w:rsidP="00DF3F6B">
      <w:pPr>
        <w:pStyle w:val="ListParagraph"/>
        <w:numPr>
          <w:ilvl w:val="0"/>
          <w:numId w:val="56"/>
        </w:numPr>
        <w:spacing w:before="240" w:after="240" w:line="240" w:lineRule="auto"/>
      </w:pPr>
      <w:r w:rsidRPr="005F796D">
        <w:t>the individual has experienced an event, or a decline in their condition, that is likely to mean that they will require:</w:t>
      </w:r>
    </w:p>
    <w:p w14:paraId="1C9CFAC1" w14:textId="77777777" w:rsidR="00F80D60" w:rsidRPr="005F796D" w:rsidRDefault="00F80D60" w:rsidP="00DF3F6B">
      <w:pPr>
        <w:pStyle w:val="ListParagraph"/>
        <w:numPr>
          <w:ilvl w:val="1"/>
          <w:numId w:val="56"/>
        </w:numPr>
        <w:spacing w:before="240" w:after="240" w:line="240" w:lineRule="auto"/>
      </w:pPr>
      <w:r w:rsidRPr="005F796D">
        <w:t>more frequent access to a service they are already receiving, or</w:t>
      </w:r>
    </w:p>
    <w:p w14:paraId="4D4C7569" w14:textId="77777777" w:rsidR="00F80D60" w:rsidRPr="005F796D" w:rsidRDefault="00F80D60" w:rsidP="00DF3F6B">
      <w:pPr>
        <w:pStyle w:val="ListParagraph"/>
        <w:numPr>
          <w:ilvl w:val="1"/>
          <w:numId w:val="56"/>
        </w:numPr>
        <w:spacing w:before="240" w:after="240" w:line="240" w:lineRule="auto"/>
      </w:pPr>
      <w:r w:rsidRPr="005F796D">
        <w:t>access to a service they have been approved for but are not currently receiving, or</w:t>
      </w:r>
    </w:p>
    <w:p w14:paraId="094118EF" w14:textId="77777777" w:rsidR="00F80D60" w:rsidRPr="005F796D" w:rsidRDefault="00F80D60" w:rsidP="00DF3F6B">
      <w:pPr>
        <w:pStyle w:val="ListParagraph"/>
        <w:numPr>
          <w:ilvl w:val="1"/>
          <w:numId w:val="56"/>
        </w:numPr>
        <w:spacing w:before="240" w:after="240" w:line="240" w:lineRule="auto"/>
      </w:pPr>
      <w:r w:rsidRPr="005F796D">
        <w:t xml:space="preserve">access to new services not covered in the older person’s access approval.  </w:t>
      </w:r>
    </w:p>
    <w:p w14:paraId="21664FDC" w14:textId="47CE3A8F" w:rsidR="00F80D60" w:rsidRPr="005F796D" w:rsidRDefault="00B86078" w:rsidP="00622CFF">
      <w:pPr>
        <w:spacing w:before="240" w:after="240" w:line="240" w:lineRule="auto"/>
      </w:pPr>
      <w:r>
        <w:t>A</w:t>
      </w:r>
      <w:r w:rsidRPr="005F796D">
        <w:t xml:space="preserve"> </w:t>
      </w:r>
      <w:r>
        <w:t>t</w:t>
      </w:r>
      <w:r w:rsidR="00F80D60" w:rsidRPr="005F796D">
        <w:t xml:space="preserve">riage </w:t>
      </w:r>
      <w:r>
        <w:t>d</w:t>
      </w:r>
      <w:r w:rsidR="00F80D60" w:rsidRPr="005F796D">
        <w:t xml:space="preserve">elegate will determine whether an individual is eligible for a </w:t>
      </w:r>
      <w:r w:rsidR="00F80D60">
        <w:t>re</w:t>
      </w:r>
      <w:r w:rsidR="00F80D60" w:rsidRPr="005F796D">
        <w:t>assessment.  </w:t>
      </w:r>
    </w:p>
    <w:p w14:paraId="6D1265E3" w14:textId="15A1E33C" w:rsidR="00F80D60" w:rsidRPr="005F796D" w:rsidRDefault="00F80D60" w:rsidP="00622CFF">
      <w:pPr>
        <w:spacing w:before="240" w:after="240" w:line="240" w:lineRule="auto"/>
      </w:pPr>
      <w:r w:rsidRPr="005F796D">
        <w:t xml:space="preserve">All reassessment requests begin through the SPR workflow in the assessor </w:t>
      </w:r>
      <w:r w:rsidR="0060352D">
        <w:t>portal</w:t>
      </w:r>
      <w:r w:rsidRPr="005F796D">
        <w:t xml:space="preserve">. A </w:t>
      </w:r>
      <w:r>
        <w:t>reassessment</w:t>
      </w:r>
      <w:r w:rsidRPr="005F796D">
        <w:t xml:space="preserve"> will be requested if required.  </w:t>
      </w:r>
    </w:p>
    <w:p w14:paraId="75DBB3CA" w14:textId="77777777" w:rsidR="00F80D60" w:rsidRPr="005F796D" w:rsidRDefault="00F80D60" w:rsidP="00622CFF">
      <w:pPr>
        <w:spacing w:before="240" w:after="240" w:line="240" w:lineRule="auto"/>
      </w:pPr>
      <w:r w:rsidRPr="005F796D">
        <w:t xml:space="preserve">When a client undergoes a </w:t>
      </w:r>
      <w:r>
        <w:t>re</w:t>
      </w:r>
      <w:r w:rsidRPr="005F796D">
        <w:t>assessment, the system will prompt assessors to review and update the client’s urgency category, even if care needs have not changed.</w:t>
      </w:r>
    </w:p>
    <w:p w14:paraId="37AC9396" w14:textId="021201A0" w:rsidR="00406951" w:rsidRPr="005F796D" w:rsidRDefault="008F5660" w:rsidP="00622CFF">
      <w:pPr>
        <w:spacing w:before="240" w:after="240" w:line="240" w:lineRule="auto"/>
      </w:pPr>
      <w:r>
        <w:t>For more information, r</w:t>
      </w:r>
      <w:r w:rsidR="00F80D60" w:rsidRPr="005F796D">
        <w:t xml:space="preserve">efer </w:t>
      </w:r>
      <w:r w:rsidR="00F549FF" w:rsidRPr="005F796D">
        <w:t>t</w:t>
      </w:r>
      <w:r>
        <w:t>o</w:t>
      </w:r>
      <w:r w:rsidR="00F80D60" w:rsidRPr="005F796D">
        <w:t xml:space="preserve"> </w:t>
      </w:r>
      <w:r w:rsidR="00F549FF" w:rsidRPr="005F796D">
        <w:t>th</w:t>
      </w:r>
      <w:r w:rsidR="00F549FF">
        <w:t>e</w:t>
      </w:r>
      <w:r w:rsidR="00F549FF" w:rsidRPr="005F796D">
        <w:t xml:space="preserve"> </w:t>
      </w:r>
      <w:r w:rsidR="00F80D60" w:rsidRPr="005F796D">
        <w:t>user guide on how to conduct SPRs within the My Aged Care portal.</w:t>
      </w:r>
    </w:p>
    <w:p w14:paraId="748DB991" w14:textId="550607C0" w:rsidR="00F80D60" w:rsidRPr="00005438" w:rsidRDefault="00F80D60" w:rsidP="00C56CEC">
      <w:pPr>
        <w:pStyle w:val="H3"/>
      </w:pPr>
      <w:bookmarkStart w:id="882" w:name="_Toc198813700"/>
      <w:bookmarkStart w:id="883" w:name="_Toc204329597"/>
      <w:r w:rsidRPr="005F796D">
        <w:t xml:space="preserve">Support </w:t>
      </w:r>
      <w:r w:rsidR="6E00ACED">
        <w:t>p</w:t>
      </w:r>
      <w:r>
        <w:t xml:space="preserve">lan </w:t>
      </w:r>
      <w:r w:rsidR="2C67688F">
        <w:t>r</w:t>
      </w:r>
      <w:r w:rsidRPr="005F796D">
        <w:t>eviews (SPRs)</w:t>
      </w:r>
      <w:bookmarkEnd w:id="882"/>
      <w:bookmarkEnd w:id="883"/>
    </w:p>
    <w:p w14:paraId="7C14F605" w14:textId="4D131EA4" w:rsidR="00F80D60" w:rsidRDefault="00F80D60" w:rsidP="00622CFF">
      <w:pPr>
        <w:spacing w:before="240" w:after="240" w:line="240" w:lineRule="auto"/>
      </w:pPr>
      <w:r w:rsidRPr="005F796D">
        <w:t>The introduction of Support at Home expand</w:t>
      </w:r>
      <w:r>
        <w:t>s</w:t>
      </w:r>
      <w:r w:rsidRPr="005F796D">
        <w:t xml:space="preserve"> the</w:t>
      </w:r>
      <w:r>
        <w:t xml:space="preserve"> circumstances in which an SPR can be </w:t>
      </w:r>
      <w:r w:rsidR="00594B94">
        <w:t>undertaken</w:t>
      </w:r>
      <w:r>
        <w:t>.</w:t>
      </w:r>
    </w:p>
    <w:p w14:paraId="4B2F11E1" w14:textId="77777777" w:rsidR="00F80D60" w:rsidRDefault="00F80D60" w:rsidP="00622CFF">
      <w:pPr>
        <w:spacing w:before="240" w:after="240" w:line="240" w:lineRule="auto"/>
      </w:pPr>
      <w:r>
        <w:t xml:space="preserve">SPRs are most likely initiated by the older person’s provider (with the older person’s consent), who can submit a request through the My Aged Care service and support portal. </w:t>
      </w:r>
      <w:r w:rsidRPr="00880B95">
        <w:t>When requesting SPRs, providers must attach supporting documentation about the participant’s current care arrangements, such as their quarterly budget and/or care plan.</w:t>
      </w:r>
    </w:p>
    <w:p w14:paraId="67CDCC83" w14:textId="77777777" w:rsidR="00F80D60" w:rsidRPr="00880B95" w:rsidRDefault="00F80D60" w:rsidP="00622CFF">
      <w:pPr>
        <w:spacing w:before="240" w:after="240" w:line="240" w:lineRule="auto"/>
      </w:pPr>
      <w:r>
        <w:t>Alternatively, an older person</w:t>
      </w:r>
      <w:r w:rsidRPr="00880B95">
        <w:t xml:space="preserve"> or provider can ask for a SPR when: </w:t>
      </w:r>
    </w:p>
    <w:p w14:paraId="5D2BAD62" w14:textId="77777777" w:rsidR="00F80D60" w:rsidRPr="00880B95" w:rsidRDefault="00F80D60" w:rsidP="00DF3F6B">
      <w:pPr>
        <w:pStyle w:val="ListParagraph"/>
        <w:numPr>
          <w:ilvl w:val="0"/>
          <w:numId w:val="314"/>
        </w:numPr>
        <w:spacing w:before="240" w:after="240" w:line="240" w:lineRule="auto"/>
      </w:pPr>
      <w:r w:rsidRPr="00880B95">
        <w:t xml:space="preserve">the </w:t>
      </w:r>
      <w:r>
        <w:t>older person’s</w:t>
      </w:r>
      <w:r w:rsidRPr="00880B95">
        <w:t xml:space="preserve"> needs, goals or circumstances </w:t>
      </w:r>
      <w:r>
        <w:t xml:space="preserve">have </w:t>
      </w:r>
      <w:r w:rsidRPr="00880B95">
        <w:t>change</w:t>
      </w:r>
      <w:r>
        <w:t>d</w:t>
      </w:r>
      <w:r w:rsidRPr="00880B95">
        <w:t xml:space="preserve">, </w:t>
      </w:r>
    </w:p>
    <w:p w14:paraId="6FA762BD" w14:textId="77777777" w:rsidR="00F80D60" w:rsidRPr="00880B95" w:rsidRDefault="00F80D60" w:rsidP="00DF3F6B">
      <w:pPr>
        <w:pStyle w:val="ListParagraph"/>
        <w:numPr>
          <w:ilvl w:val="0"/>
          <w:numId w:val="314"/>
        </w:numPr>
        <w:spacing w:before="240" w:after="240" w:line="240" w:lineRule="auto"/>
      </w:pPr>
      <w:r>
        <w:t>they</w:t>
      </w:r>
      <w:r w:rsidRPr="00880B95">
        <w:t xml:space="preserve"> need additional services</w:t>
      </w:r>
      <w:r>
        <w:t xml:space="preserve"> that are not on their support plan</w:t>
      </w:r>
      <w:r w:rsidRPr="00880B95">
        <w:t xml:space="preserve">, or </w:t>
      </w:r>
    </w:p>
    <w:p w14:paraId="0383DA36" w14:textId="77777777" w:rsidR="00F80D60" w:rsidRPr="00880B95" w:rsidRDefault="00F80D60" w:rsidP="00DF3F6B">
      <w:pPr>
        <w:pStyle w:val="ListParagraph"/>
        <w:numPr>
          <w:ilvl w:val="0"/>
          <w:numId w:val="314"/>
        </w:numPr>
        <w:spacing w:before="240" w:after="240" w:line="240" w:lineRule="auto"/>
      </w:pPr>
      <w:r w:rsidRPr="00880B95">
        <w:t xml:space="preserve">a time limited service has ended. </w:t>
      </w:r>
    </w:p>
    <w:p w14:paraId="7456EC4E" w14:textId="2BBA0CC1" w:rsidR="00F80D60" w:rsidRPr="00880B95" w:rsidRDefault="00F80D60" w:rsidP="00622CFF">
      <w:pPr>
        <w:spacing w:before="240" w:after="240" w:line="240" w:lineRule="auto"/>
      </w:pPr>
      <w:r>
        <w:t xml:space="preserve">An older person </w:t>
      </w:r>
      <w:r w:rsidRPr="00880B95">
        <w:t>can request a SPR through My Aged Care</w:t>
      </w:r>
      <w:r w:rsidR="009623F1">
        <w:t>,</w:t>
      </w:r>
      <w:r w:rsidR="005342DC">
        <w:t xml:space="preserve"> </w:t>
      </w:r>
      <w:r w:rsidRPr="00880B95">
        <w:t>from a Services Australia Aged Care Specialist Officer</w:t>
      </w:r>
      <w:r w:rsidR="009623F1">
        <w:t xml:space="preserve"> or with assistance from a Care Finder or ECS worker</w:t>
      </w:r>
      <w:r w:rsidRPr="00880B95">
        <w:t xml:space="preserve">. A SPR may lead to: </w:t>
      </w:r>
    </w:p>
    <w:p w14:paraId="45B4705C" w14:textId="77777777" w:rsidR="00F80D60" w:rsidRPr="00880B95" w:rsidRDefault="00F80D60" w:rsidP="00DF3F6B">
      <w:pPr>
        <w:pStyle w:val="ListParagraph"/>
        <w:numPr>
          <w:ilvl w:val="0"/>
          <w:numId w:val="315"/>
        </w:numPr>
        <w:spacing w:before="240" w:after="240" w:line="240" w:lineRule="auto"/>
      </w:pPr>
      <w:r w:rsidRPr="00880B95">
        <w:t xml:space="preserve">no changes to the support plan </w:t>
      </w:r>
      <w:r>
        <w:t>as it meets the person’s needs</w:t>
      </w:r>
      <w:r w:rsidRPr="00880B95">
        <w:t xml:space="preserve"> </w:t>
      </w:r>
    </w:p>
    <w:p w14:paraId="3647555C" w14:textId="77777777" w:rsidR="00F80D60" w:rsidRPr="00880B95" w:rsidRDefault="00F80D60" w:rsidP="00DF3F6B">
      <w:pPr>
        <w:pStyle w:val="ListParagraph"/>
        <w:numPr>
          <w:ilvl w:val="0"/>
          <w:numId w:val="315"/>
        </w:numPr>
        <w:spacing w:before="240" w:after="240" w:line="240" w:lineRule="auto"/>
      </w:pPr>
      <w:r w:rsidRPr="00880B95">
        <w:t xml:space="preserve">updates to the support plan </w:t>
      </w:r>
      <w:r>
        <w:t>to address changed needs; or</w:t>
      </w:r>
    </w:p>
    <w:p w14:paraId="69A27F63" w14:textId="6D545505" w:rsidR="00F80D60" w:rsidRDefault="00F80D60" w:rsidP="00DF3F6B">
      <w:pPr>
        <w:pStyle w:val="ListParagraph"/>
        <w:numPr>
          <w:ilvl w:val="0"/>
          <w:numId w:val="315"/>
        </w:numPr>
        <w:spacing w:before="240" w:after="240" w:line="240" w:lineRule="auto"/>
      </w:pPr>
      <w:r w:rsidRPr="00880B95">
        <w:t xml:space="preserve">a </w:t>
      </w:r>
      <w:r>
        <w:t>reassessment due to significant changes</w:t>
      </w:r>
      <w:r w:rsidR="00927FA9">
        <w:t>.</w:t>
      </w:r>
      <w:r w:rsidRPr="00880B95">
        <w:t xml:space="preserve"> </w:t>
      </w:r>
    </w:p>
    <w:p w14:paraId="6654F4FD" w14:textId="65D2A50A" w:rsidR="004B38A6" w:rsidRPr="0065273D" w:rsidRDefault="004B38A6" w:rsidP="00622CFF">
      <w:pPr>
        <w:pStyle w:val="NormalWeb"/>
        <w:shd w:val="clear" w:color="auto" w:fill="FFFFFF" w:themeFill="background1"/>
        <w:spacing w:before="240" w:beforeAutospacing="0" w:after="240" w:afterAutospacing="0"/>
        <w:rPr>
          <w:rFonts w:ascii="Arial" w:hAnsi="Arial" w:cs="Arial"/>
        </w:rPr>
      </w:pPr>
      <w:r w:rsidRPr="0065273D">
        <w:rPr>
          <w:rFonts w:ascii="Arial" w:hAnsi="Arial" w:cs="Arial"/>
        </w:rPr>
        <w:t xml:space="preserve">Where </w:t>
      </w:r>
      <w:r w:rsidR="00AA2754" w:rsidRPr="0065273D">
        <w:rPr>
          <w:rFonts w:ascii="Arial" w:hAnsi="Arial" w:cs="Arial"/>
        </w:rPr>
        <w:t xml:space="preserve">someone has made a request on behalf of the individual receiving the aged care service, it is important that the assessor </w:t>
      </w:r>
      <w:r w:rsidR="00466B23" w:rsidRPr="0065273D">
        <w:rPr>
          <w:rFonts w:ascii="Arial" w:hAnsi="Arial" w:cs="Arial"/>
        </w:rPr>
        <w:t>confirm</w:t>
      </w:r>
      <w:r w:rsidR="00CD17AC">
        <w:rPr>
          <w:rFonts w:ascii="Arial" w:hAnsi="Arial" w:cs="Arial"/>
        </w:rPr>
        <w:t>s</w:t>
      </w:r>
      <w:r w:rsidR="00466B23" w:rsidRPr="0065273D">
        <w:rPr>
          <w:rFonts w:ascii="Arial" w:hAnsi="Arial" w:cs="Arial"/>
        </w:rPr>
        <w:t xml:space="preserve"> that the individual has consented to this </w:t>
      </w:r>
      <w:r w:rsidR="00752F84" w:rsidRPr="0065273D">
        <w:rPr>
          <w:rFonts w:ascii="Arial" w:hAnsi="Arial" w:cs="Arial"/>
        </w:rPr>
        <w:t>occurring when beginning the SPR.</w:t>
      </w:r>
    </w:p>
    <w:p w14:paraId="19FDF86C" w14:textId="0868F88A" w:rsidR="00F80D60" w:rsidRPr="003E1933" w:rsidRDefault="00F80D60" w:rsidP="00622CFF">
      <w:pPr>
        <w:pStyle w:val="NormalWeb"/>
        <w:shd w:val="clear" w:color="auto" w:fill="FFFFFF" w:themeFill="background1"/>
        <w:spacing w:before="240" w:beforeAutospacing="0" w:after="240" w:afterAutospacing="0"/>
        <w:rPr>
          <w:rFonts w:ascii="Arial" w:hAnsi="Arial" w:cs="Arial"/>
          <w:color w:val="000000"/>
        </w:rPr>
      </w:pPr>
      <w:r w:rsidRPr="0065273D">
        <w:rPr>
          <w:rFonts w:ascii="Arial" w:hAnsi="Arial" w:cs="Arial"/>
        </w:rPr>
        <w:t xml:space="preserve">Team leaders are responsible for </w:t>
      </w:r>
      <w:r w:rsidR="00761B00">
        <w:rPr>
          <w:rFonts w:ascii="Arial" w:hAnsi="Arial" w:cs="Arial"/>
        </w:rPr>
        <w:t>reviewing and prioritising SPRs</w:t>
      </w:r>
      <w:r w:rsidR="00F363A2">
        <w:rPr>
          <w:rFonts w:ascii="Arial" w:hAnsi="Arial" w:cs="Arial"/>
        </w:rPr>
        <w:t>,</w:t>
      </w:r>
      <w:r w:rsidR="00761B00">
        <w:rPr>
          <w:rFonts w:ascii="Arial" w:hAnsi="Arial" w:cs="Arial"/>
        </w:rPr>
        <w:t xml:space="preserve"> </w:t>
      </w:r>
      <w:r w:rsidRPr="0065273D">
        <w:rPr>
          <w:rFonts w:ascii="Arial" w:hAnsi="Arial" w:cs="Arial"/>
        </w:rPr>
        <w:t xml:space="preserve">accepting </w:t>
      </w:r>
      <w:r>
        <w:rPr>
          <w:rFonts w:ascii="Arial" w:hAnsi="Arial" w:cs="Arial"/>
          <w:color w:val="000000" w:themeColor="text1"/>
        </w:rPr>
        <w:t>an</w:t>
      </w:r>
      <w:r w:rsidRPr="2A76D034">
        <w:rPr>
          <w:rFonts w:ascii="Arial" w:hAnsi="Arial" w:cs="Arial"/>
          <w:color w:val="000000" w:themeColor="text1"/>
        </w:rPr>
        <w:t xml:space="preserve"> SPR and assigning it to an assessor. </w:t>
      </w:r>
      <w:r w:rsidR="00BA6205">
        <w:rPr>
          <w:rFonts w:ascii="Arial" w:hAnsi="Arial" w:cs="Arial"/>
          <w:color w:val="000000" w:themeColor="text1"/>
        </w:rPr>
        <w:t>Urgent SPRs should be prioritised</w:t>
      </w:r>
      <w:r w:rsidR="009209E1">
        <w:rPr>
          <w:rFonts w:ascii="Arial" w:hAnsi="Arial" w:cs="Arial"/>
          <w:color w:val="000000" w:themeColor="text1"/>
        </w:rPr>
        <w:t xml:space="preserve">, particularly those for clients requiring access to the End of Life pathway. </w:t>
      </w:r>
      <w:r w:rsidRPr="2A76D034">
        <w:rPr>
          <w:rFonts w:ascii="Arial" w:hAnsi="Arial" w:cs="Arial"/>
          <w:color w:val="000000" w:themeColor="text1"/>
        </w:rPr>
        <w:t xml:space="preserve">The assessor will review the information provided and determine whether the older person’s updated needs can be addressed through a SPR or if a </w:t>
      </w:r>
      <w:r w:rsidR="002A3819">
        <w:rPr>
          <w:rFonts w:ascii="Arial" w:hAnsi="Arial" w:cs="Arial"/>
          <w:color w:val="000000" w:themeColor="text1"/>
        </w:rPr>
        <w:t>re</w:t>
      </w:r>
      <w:r w:rsidRPr="2A76D034">
        <w:rPr>
          <w:rFonts w:ascii="Arial" w:hAnsi="Arial" w:cs="Arial"/>
          <w:color w:val="000000" w:themeColor="text1"/>
        </w:rPr>
        <w:t>assessment is required.</w:t>
      </w:r>
    </w:p>
    <w:p w14:paraId="3F2FF996" w14:textId="77777777" w:rsidR="00F80D60" w:rsidRPr="00C13FBF" w:rsidRDefault="00F80D60" w:rsidP="00622CFF">
      <w:pPr>
        <w:pStyle w:val="NormalWeb"/>
        <w:shd w:val="clear" w:color="auto" w:fill="FFFFFF" w:themeFill="background1"/>
        <w:spacing w:before="240" w:beforeAutospacing="0" w:after="240" w:afterAutospacing="0"/>
        <w:rPr>
          <w:rFonts w:ascii="Arial" w:hAnsi="Arial" w:cs="Arial"/>
          <w:color w:val="000000"/>
        </w:rPr>
      </w:pPr>
      <w:r w:rsidRPr="2A76D034">
        <w:rPr>
          <w:rFonts w:ascii="Arial" w:hAnsi="Arial" w:cs="Arial"/>
          <w:color w:val="000000" w:themeColor="text1"/>
        </w:rPr>
        <w:t xml:space="preserve">If the SPR is valid, any proposed changes to the Support Plan will require a decision by an Assessment Delegate. If a </w:t>
      </w:r>
      <w:r>
        <w:rPr>
          <w:rFonts w:ascii="Arial" w:hAnsi="Arial" w:cs="Arial"/>
          <w:color w:val="000000" w:themeColor="text1"/>
        </w:rPr>
        <w:t>reassessment</w:t>
      </w:r>
      <w:r w:rsidRPr="2A76D034">
        <w:rPr>
          <w:rFonts w:ascii="Arial" w:hAnsi="Arial" w:cs="Arial"/>
          <w:color w:val="000000" w:themeColor="text1"/>
        </w:rPr>
        <w:t xml:space="preserve"> is required, the referral will proceed through the standard triage and assessment process, with new recommendations subject to delegate approval.</w:t>
      </w:r>
    </w:p>
    <w:p w14:paraId="2E86CBBB" w14:textId="77777777" w:rsidR="00F80D60" w:rsidRDefault="00F80D60" w:rsidP="00622CFF">
      <w:pPr>
        <w:spacing w:before="240" w:after="240" w:line="240" w:lineRule="auto"/>
        <w:rPr>
          <w:lang w:val="en-US"/>
        </w:rPr>
      </w:pPr>
      <w:r>
        <w:rPr>
          <w:lang w:val="en-US"/>
        </w:rPr>
        <w:t xml:space="preserve">A key change which aims to reduce the need for SPRs is the flexibility of service recommendations in the IAT for any Support at Home classification. When an assessor accepts the Support at </w:t>
      </w:r>
      <w:r w:rsidRPr="009030D2">
        <w:rPr>
          <w:lang w:val="en-US"/>
        </w:rPr>
        <w:t xml:space="preserve">Home recommendation for a client, all services in the list will be pre-selected, with the exception of </w:t>
      </w:r>
      <w:r w:rsidRPr="009A64EB">
        <w:rPr>
          <w:i/>
          <w:lang w:val="en-US"/>
        </w:rPr>
        <w:t xml:space="preserve">Allied </w:t>
      </w:r>
      <w:r w:rsidRPr="48561F66">
        <w:rPr>
          <w:i/>
          <w:lang w:val="en-US"/>
        </w:rPr>
        <w:t>Health</w:t>
      </w:r>
      <w:r w:rsidRPr="009A64EB">
        <w:rPr>
          <w:i/>
          <w:lang w:val="en-US"/>
        </w:rPr>
        <w:t xml:space="preserve"> and Therapy</w:t>
      </w:r>
      <w:r w:rsidRPr="009A64EB">
        <w:rPr>
          <w:lang w:val="en-US"/>
        </w:rPr>
        <w:t xml:space="preserve"> and </w:t>
      </w:r>
      <w:r w:rsidRPr="009A64EB">
        <w:rPr>
          <w:i/>
          <w:lang w:val="en-US"/>
        </w:rPr>
        <w:t xml:space="preserve">Therapeutic Services for Independent Living </w:t>
      </w:r>
      <w:r w:rsidRPr="009A64EB">
        <w:rPr>
          <w:lang w:val="en-US"/>
        </w:rPr>
        <w:t>service types. This is due to the specific nature of these services and should only be recommended if an older person has a need for those services.</w:t>
      </w:r>
      <w:r>
        <w:rPr>
          <w:lang w:val="en-US"/>
        </w:rPr>
        <w:t xml:space="preserve"> </w:t>
      </w:r>
    </w:p>
    <w:p w14:paraId="04428F6B" w14:textId="27E76C9F" w:rsidR="00F80D60" w:rsidRPr="003E1933" w:rsidRDefault="00F80D60" w:rsidP="00C56CEC">
      <w:pPr>
        <w:pStyle w:val="H3"/>
        <w:rPr>
          <w:color w:val="279989"/>
        </w:rPr>
      </w:pPr>
      <w:r w:rsidRPr="003E1933">
        <w:t xml:space="preserve">Key </w:t>
      </w:r>
      <w:r w:rsidR="00930366">
        <w:t>p</w:t>
      </w:r>
      <w:r w:rsidRPr="003E1933">
        <w:t>rinciples</w:t>
      </w:r>
      <w:r>
        <w:t xml:space="preserve"> of a </w:t>
      </w:r>
      <w:r w:rsidR="351655D4">
        <w:t>s</w:t>
      </w:r>
      <w:r>
        <w:t xml:space="preserve">upport </w:t>
      </w:r>
      <w:r w:rsidR="3945F0D9">
        <w:t>p</w:t>
      </w:r>
      <w:r>
        <w:t xml:space="preserve">lan </w:t>
      </w:r>
      <w:r w:rsidR="1FCD3F7F">
        <w:t>r</w:t>
      </w:r>
      <w:r>
        <w:t xml:space="preserve">eview </w:t>
      </w:r>
    </w:p>
    <w:p w14:paraId="08849E1E" w14:textId="298F4D68" w:rsidR="00F80D60" w:rsidRPr="003E1933" w:rsidRDefault="00F80D60" w:rsidP="00622CFF">
      <w:pPr>
        <w:spacing w:before="240" w:after="240" w:line="240" w:lineRule="auto"/>
      </w:pPr>
      <w:r w:rsidRPr="003E1933">
        <w:t xml:space="preserve">An assessor may set a review date on the </w:t>
      </w:r>
      <w:r w:rsidR="00C477E1">
        <w:t>s</w:t>
      </w:r>
      <w:r w:rsidR="00C477E1" w:rsidRPr="003E1933">
        <w:t xml:space="preserve">upport </w:t>
      </w:r>
      <w:r w:rsidR="00C477E1">
        <w:t>p</w:t>
      </w:r>
      <w:r w:rsidR="00C477E1" w:rsidRPr="003E1933">
        <w:t xml:space="preserve">lan </w:t>
      </w:r>
      <w:r w:rsidRPr="003E1933">
        <w:t>at the time of the assessment or initiate the review on an ad-hoc basis. Unplanned/ad hoc reviews may be requested by the service provider or through the contact centre or ACSOs.</w:t>
      </w:r>
    </w:p>
    <w:p w14:paraId="62B298BF" w14:textId="06CEF73E" w:rsidR="00F80D60" w:rsidRPr="003E1933" w:rsidRDefault="00F80D60" w:rsidP="00DF3F6B">
      <w:pPr>
        <w:pStyle w:val="ListParagraph"/>
        <w:numPr>
          <w:ilvl w:val="0"/>
          <w:numId w:val="345"/>
        </w:numPr>
        <w:spacing w:before="240" w:after="240" w:line="240" w:lineRule="auto"/>
        <w:rPr>
          <w:lang w:eastAsia="ko-KR"/>
        </w:rPr>
      </w:pPr>
      <w:r w:rsidRPr="022743FD">
        <w:rPr>
          <w:lang w:eastAsia="ko-KR"/>
        </w:rPr>
        <w:t>The SPR may be completed over the phone with the older person</w:t>
      </w:r>
      <w:r>
        <w:rPr>
          <w:lang w:eastAsia="ko-KR"/>
        </w:rPr>
        <w:t>, their appointed decision maker,</w:t>
      </w:r>
      <w:r w:rsidRPr="022743FD">
        <w:rPr>
          <w:lang w:eastAsia="ko-KR"/>
        </w:rPr>
        <w:t xml:space="preserve"> or </w:t>
      </w:r>
      <w:r w:rsidR="00F45F31">
        <w:rPr>
          <w:lang w:eastAsia="ko-KR"/>
        </w:rPr>
        <w:t>in line with the older person’s will and preferences</w:t>
      </w:r>
      <w:r>
        <w:rPr>
          <w:lang w:eastAsia="ko-KR"/>
        </w:rPr>
        <w:t xml:space="preserve">, their registered </w:t>
      </w:r>
      <w:r w:rsidRPr="022743FD">
        <w:rPr>
          <w:lang w:eastAsia="ko-KR"/>
        </w:rPr>
        <w:t>supporter</w:t>
      </w:r>
      <w:r>
        <w:rPr>
          <w:lang w:eastAsia="ko-KR"/>
        </w:rPr>
        <w:t>.</w:t>
      </w:r>
    </w:p>
    <w:p w14:paraId="789ACBE6" w14:textId="77777777" w:rsidR="00F80D60" w:rsidRPr="003E1933" w:rsidRDefault="00F80D60" w:rsidP="00DF3F6B">
      <w:pPr>
        <w:pStyle w:val="ListParagraph"/>
        <w:numPr>
          <w:ilvl w:val="0"/>
          <w:numId w:val="345"/>
        </w:numPr>
        <w:spacing w:before="240" w:after="240" w:line="240" w:lineRule="auto"/>
        <w:rPr>
          <w:lang w:eastAsia="ko-KR"/>
        </w:rPr>
      </w:pPr>
      <w:r w:rsidRPr="16FBD08D">
        <w:rPr>
          <w:lang w:eastAsia="ko-KR"/>
        </w:rPr>
        <w:t xml:space="preserve">Assessors are best placed to make the decision as to whether an older person requires a </w:t>
      </w:r>
      <w:r>
        <w:rPr>
          <w:lang w:eastAsia="ko-KR"/>
        </w:rPr>
        <w:t>reassessment</w:t>
      </w:r>
      <w:r w:rsidRPr="003E1933">
        <w:rPr>
          <w:lang w:eastAsia="ko-KR"/>
        </w:rPr>
        <w:t xml:space="preserve"> following a review. This decision is supported by the information provided by the older person, the contact centre, service providers and health professionals. </w:t>
      </w:r>
    </w:p>
    <w:p w14:paraId="658D21B3" w14:textId="24C881B3" w:rsidR="00F80D60" w:rsidRPr="005F796D" w:rsidRDefault="00F80D60" w:rsidP="00DF3F6B">
      <w:pPr>
        <w:pStyle w:val="ListParagraph"/>
        <w:numPr>
          <w:ilvl w:val="0"/>
          <w:numId w:val="345"/>
        </w:numPr>
        <w:spacing w:before="240" w:after="240" w:line="240" w:lineRule="auto"/>
        <w:rPr>
          <w:lang w:eastAsia="ko-KR"/>
        </w:rPr>
      </w:pPr>
      <w:r w:rsidRPr="005F796D">
        <w:rPr>
          <w:lang w:eastAsia="ko-KR"/>
        </w:rPr>
        <w:t xml:space="preserve">All SPRs </w:t>
      </w:r>
      <w:r w:rsidR="00057EAC">
        <w:rPr>
          <w:lang w:eastAsia="ko-KR"/>
        </w:rPr>
        <w:t>are</w:t>
      </w:r>
      <w:r w:rsidRPr="005F796D">
        <w:rPr>
          <w:lang w:eastAsia="ko-KR"/>
        </w:rPr>
        <w:t xml:space="preserve"> required to go through a delegate for approval. </w:t>
      </w:r>
    </w:p>
    <w:p w14:paraId="7252C6A3" w14:textId="4EDF98F3" w:rsidR="00F80D60" w:rsidRPr="003E1933" w:rsidDel="00465E2B" w:rsidRDefault="00F80D60" w:rsidP="00DF3F6B">
      <w:pPr>
        <w:pStyle w:val="ListParagraph"/>
        <w:numPr>
          <w:ilvl w:val="0"/>
          <w:numId w:val="345"/>
        </w:numPr>
        <w:spacing w:before="240" w:after="240" w:line="240" w:lineRule="auto"/>
        <w:rPr>
          <w:lang w:eastAsia="ko-KR"/>
        </w:rPr>
      </w:pPr>
      <w:r w:rsidRPr="003E1933">
        <w:rPr>
          <w:lang w:eastAsia="ko-KR"/>
        </w:rPr>
        <w:t xml:space="preserve">The My Aged Care contact centre has </w:t>
      </w:r>
      <w:r w:rsidR="00E75880">
        <w:rPr>
          <w:lang w:eastAsia="ko-KR"/>
        </w:rPr>
        <w:t xml:space="preserve">the </w:t>
      </w:r>
      <w:r w:rsidRPr="003E1933">
        <w:rPr>
          <w:lang w:eastAsia="ko-KR"/>
        </w:rPr>
        <w:t>ability to issue a direct referral to the assessment organisation for an urgent comprehensive assessment for residential care, residential respite care or transition care.</w:t>
      </w:r>
    </w:p>
    <w:p w14:paraId="6C9B49A8" w14:textId="77777777" w:rsidR="00F80D60" w:rsidRPr="003E1933" w:rsidDel="00465E2B" w:rsidRDefault="00F80D60" w:rsidP="00DF3F6B">
      <w:pPr>
        <w:pStyle w:val="ListParagraph"/>
        <w:numPr>
          <w:ilvl w:val="0"/>
          <w:numId w:val="345"/>
        </w:numPr>
        <w:spacing w:before="240" w:after="240" w:line="240" w:lineRule="auto"/>
        <w:rPr>
          <w:lang w:eastAsia="ko-KR"/>
        </w:rPr>
      </w:pPr>
      <w:r>
        <w:rPr>
          <w:lang w:eastAsia="ko-KR"/>
        </w:rPr>
        <w:t>I</w:t>
      </w:r>
      <w:r w:rsidRPr="003E1933">
        <w:rPr>
          <w:lang w:eastAsia="ko-KR"/>
        </w:rPr>
        <w:t>f appropriate to the older person’s aged care needs, a non-clinical assessor can create an assessment referral after starting the SPR.</w:t>
      </w:r>
    </w:p>
    <w:p w14:paraId="1C65A858"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If an older person is admitted to hospital, it is best practice for an SPR to be conducted once the older person is discharged from hospital and there is a clear picture of the care needs and type and level of support that will be required.</w:t>
      </w:r>
    </w:p>
    <w:p w14:paraId="02F80A9E" w14:textId="4DB090C6" w:rsidR="00F80D60" w:rsidRPr="003E1933" w:rsidDel="00465E2B" w:rsidRDefault="00F80D60" w:rsidP="00DF3F6B">
      <w:pPr>
        <w:pStyle w:val="ListParagraph"/>
        <w:numPr>
          <w:ilvl w:val="0"/>
          <w:numId w:val="345"/>
        </w:numPr>
        <w:spacing w:before="240" w:after="240" w:line="240" w:lineRule="auto"/>
        <w:rPr>
          <w:lang w:eastAsia="ko-KR"/>
        </w:rPr>
      </w:pPr>
      <w:r w:rsidRPr="003E1933">
        <w:rPr>
          <w:lang w:eastAsia="ko-KR"/>
        </w:rPr>
        <w:t xml:space="preserve">If an urgent referral is required before discharge, the SPR can be conducted in the hospital setting. This may mean that the referral needs to be transferred to an assessment organisation that is contracted to conduct assessments in a hospital setting (limited to State and Territory Governments). Alternatively, the assessor may contact the state or territory assessment organisation to self-refer directly. </w:t>
      </w:r>
    </w:p>
    <w:p w14:paraId="690BA291" w14:textId="77777777" w:rsidR="00164AAC" w:rsidRDefault="00F80D60" w:rsidP="00DF3F6B">
      <w:pPr>
        <w:pStyle w:val="ListParagraph"/>
        <w:numPr>
          <w:ilvl w:val="0"/>
          <w:numId w:val="345"/>
        </w:numPr>
        <w:spacing w:before="240" w:after="240" w:line="240" w:lineRule="auto"/>
        <w:rPr>
          <w:lang w:eastAsia="ko-KR"/>
        </w:rPr>
      </w:pPr>
      <w:r w:rsidRPr="003E1933">
        <w:rPr>
          <w:lang w:eastAsia="ko-KR"/>
        </w:rPr>
        <w:t xml:space="preserve">Where there is a significant change in an older person’s needs or circumstances which affect the objectives or scope of the existing Support Plan, a </w:t>
      </w:r>
      <w:r>
        <w:rPr>
          <w:lang w:eastAsia="ko-KR"/>
        </w:rPr>
        <w:t>reassessment</w:t>
      </w:r>
      <w:r w:rsidRPr="003E1933">
        <w:rPr>
          <w:lang w:eastAsia="ko-KR"/>
        </w:rPr>
        <w:t xml:space="preserve"> may be undertaken. </w:t>
      </w:r>
    </w:p>
    <w:p w14:paraId="00BC104A" w14:textId="02ECDFBD" w:rsidR="00F80D60" w:rsidRPr="003E1933" w:rsidDel="00465E2B" w:rsidRDefault="001A60F8" w:rsidP="00DF3F6B">
      <w:pPr>
        <w:pStyle w:val="ListParagraph"/>
        <w:numPr>
          <w:ilvl w:val="0"/>
          <w:numId w:val="345"/>
        </w:numPr>
        <w:spacing w:before="240" w:after="240" w:line="240" w:lineRule="auto"/>
        <w:rPr>
          <w:lang w:eastAsia="ko-KR"/>
        </w:rPr>
      </w:pPr>
      <w:r>
        <w:rPr>
          <w:lang w:eastAsia="ko-KR"/>
        </w:rPr>
        <w:t xml:space="preserve">If the assessor has enough </w:t>
      </w:r>
      <w:r w:rsidR="007571DE">
        <w:rPr>
          <w:lang w:eastAsia="ko-KR"/>
        </w:rPr>
        <w:t xml:space="preserve">clear </w:t>
      </w:r>
      <w:r>
        <w:rPr>
          <w:lang w:eastAsia="ko-KR"/>
        </w:rPr>
        <w:t xml:space="preserve">evidence to </w:t>
      </w:r>
      <w:r w:rsidR="00164AAC">
        <w:rPr>
          <w:lang w:eastAsia="ko-KR"/>
        </w:rPr>
        <w:t xml:space="preserve">determine that a reassessment is required (due to a significant change in </w:t>
      </w:r>
      <w:r w:rsidR="007571DE">
        <w:rPr>
          <w:lang w:eastAsia="ko-KR"/>
        </w:rPr>
        <w:t xml:space="preserve">older person’s </w:t>
      </w:r>
      <w:r w:rsidR="00164AAC">
        <w:rPr>
          <w:lang w:eastAsia="ko-KR"/>
        </w:rPr>
        <w:t xml:space="preserve">circumstances), they can bypass the SPR process and refer direct to a new assessment by clicking the </w:t>
      </w:r>
      <w:r w:rsidR="007571DE">
        <w:rPr>
          <w:lang w:eastAsia="ko-KR"/>
        </w:rPr>
        <w:t>‘recommend new assessment’ button in the ‘before you start the Support Plan Review’ window.</w:t>
      </w:r>
    </w:p>
    <w:p w14:paraId="49C9A5E6" w14:textId="09AECBCF" w:rsidR="00F80D60" w:rsidRPr="003E1933" w:rsidDel="00465E2B" w:rsidRDefault="00F80D60" w:rsidP="00622CFF">
      <w:pPr>
        <w:spacing w:before="240" w:after="240" w:line="240" w:lineRule="auto"/>
        <w:rPr>
          <w:lang w:eastAsia="ko-KR"/>
        </w:rPr>
      </w:pPr>
      <w:r w:rsidRPr="003E1933">
        <w:rPr>
          <w:lang w:eastAsia="ko-KR"/>
        </w:rPr>
        <w:t xml:space="preserve">If not already scheduled earlier, a SPR may be routinely scheduled 12 months from the last assessment for </w:t>
      </w:r>
      <w:r w:rsidR="00516348">
        <w:rPr>
          <w:lang w:eastAsia="ko-KR"/>
        </w:rPr>
        <w:t>older people</w:t>
      </w:r>
      <w:r w:rsidRPr="003E1933">
        <w:rPr>
          <w:lang w:eastAsia="ko-KR"/>
        </w:rPr>
        <w:t xml:space="preserve"> with ongoing CHSP services in place. A </w:t>
      </w:r>
      <w:r>
        <w:rPr>
          <w:lang w:eastAsia="ko-KR"/>
        </w:rPr>
        <w:t>reassessment</w:t>
      </w:r>
      <w:r w:rsidRPr="003E1933">
        <w:rPr>
          <w:lang w:eastAsia="ko-KR"/>
        </w:rPr>
        <w:t xml:space="preserve"> is only required for significant changes in care needs or circumstances since the last assessment. The service provider </w:t>
      </w:r>
      <w:r>
        <w:rPr>
          <w:lang w:eastAsia="ko-KR"/>
        </w:rPr>
        <w:t xml:space="preserve">is </w:t>
      </w:r>
      <w:r w:rsidRPr="003E1933">
        <w:rPr>
          <w:lang w:eastAsia="ko-KR"/>
        </w:rPr>
        <w:t>responsible</w:t>
      </w:r>
      <w:r>
        <w:rPr>
          <w:lang w:eastAsia="ko-KR"/>
        </w:rPr>
        <w:t xml:space="preserve"> for </w:t>
      </w:r>
      <w:r w:rsidRPr="003E1933">
        <w:rPr>
          <w:lang w:eastAsia="ko-KR"/>
        </w:rPr>
        <w:t>review</w:t>
      </w:r>
      <w:r>
        <w:rPr>
          <w:lang w:eastAsia="ko-KR"/>
        </w:rPr>
        <w:t>ing</w:t>
      </w:r>
      <w:r w:rsidRPr="003E1933">
        <w:rPr>
          <w:lang w:eastAsia="ko-KR"/>
        </w:rPr>
        <w:t xml:space="preserve"> </w:t>
      </w:r>
      <w:r>
        <w:rPr>
          <w:lang w:eastAsia="ko-KR"/>
        </w:rPr>
        <w:t>client</w:t>
      </w:r>
      <w:r w:rsidRPr="003E1933">
        <w:rPr>
          <w:lang w:eastAsia="ko-KR"/>
        </w:rPr>
        <w:t xml:space="preserve"> services at least every 12 months.</w:t>
      </w:r>
    </w:p>
    <w:p w14:paraId="57EE502C"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When conducting an assessment, assessors should be considering the current needs of the older person and not recommending services that aren’t supported by the assessment.</w:t>
      </w:r>
    </w:p>
    <w:p w14:paraId="6C869D18"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An unplanned SPR will replace the schedule</w:t>
      </w:r>
      <w:r>
        <w:rPr>
          <w:lang w:eastAsia="ko-KR"/>
        </w:rPr>
        <w:t>d</w:t>
      </w:r>
      <w:r w:rsidRPr="003E1933">
        <w:rPr>
          <w:lang w:eastAsia="ko-KR"/>
        </w:rPr>
        <w:t xml:space="preserve"> review in the system, </w:t>
      </w:r>
      <w:r>
        <w:rPr>
          <w:lang w:eastAsia="ko-KR"/>
        </w:rPr>
        <w:t>and</w:t>
      </w:r>
      <w:r w:rsidRPr="003E1933">
        <w:rPr>
          <w:lang w:eastAsia="ko-KR"/>
        </w:rPr>
        <w:t xml:space="preserve"> if necessary, can be re-scheduled at the completion of the unplanned review.</w:t>
      </w:r>
    </w:p>
    <w:p w14:paraId="03459E41"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An older person can have multiple reviews of their Support Plan linked to the same assessment.</w:t>
      </w:r>
    </w:p>
    <w:p w14:paraId="20D4D2E5" w14:textId="77777777" w:rsidR="00F80D60" w:rsidRPr="003E1933" w:rsidRDefault="00F80D60" w:rsidP="00DF3F6B">
      <w:pPr>
        <w:pStyle w:val="ListParagraph"/>
        <w:numPr>
          <w:ilvl w:val="0"/>
          <w:numId w:val="345"/>
        </w:numPr>
        <w:spacing w:before="240" w:after="240" w:line="240" w:lineRule="auto"/>
        <w:rPr>
          <w:lang w:eastAsia="ko-KR"/>
        </w:rPr>
      </w:pPr>
      <w:r w:rsidRPr="003E1933">
        <w:rPr>
          <w:lang w:eastAsia="ko-KR"/>
        </w:rPr>
        <w:t xml:space="preserve">If new WHS information is recorded on the Support Plan following a SPR for an existing older person, the assessor should advise the provider of the new information so the provider can make the appropriate risk-based determination of how best to support the older person’s service delivery. </w:t>
      </w:r>
    </w:p>
    <w:p w14:paraId="7244093E" w14:textId="094FA79F" w:rsidR="00F80D60" w:rsidRPr="003E1933" w:rsidRDefault="00F80D60" w:rsidP="00622CFF">
      <w:pPr>
        <w:spacing w:before="240" w:after="240" w:line="240" w:lineRule="auto"/>
        <w:rPr>
          <w:lang w:eastAsia="ko-KR"/>
        </w:rPr>
      </w:pPr>
      <w:r w:rsidRPr="003E1933">
        <w:rPr>
          <w:lang w:eastAsia="ko-KR"/>
        </w:rPr>
        <w:t>Once a support plan review has been commenced, an assessor will be able to</w:t>
      </w:r>
      <w:r w:rsidR="00522817">
        <w:rPr>
          <w:lang w:eastAsia="ko-KR"/>
        </w:rPr>
        <w:t xml:space="preserve"> </w:t>
      </w:r>
      <w:r w:rsidRPr="003E1933">
        <w:rPr>
          <w:lang w:eastAsia="ko-KR"/>
        </w:rPr>
        <w:t>make changes to information in the following sections of the older person’s Support</w:t>
      </w:r>
      <w:r w:rsidR="00522817">
        <w:rPr>
          <w:lang w:eastAsia="ko-KR"/>
        </w:rPr>
        <w:t xml:space="preserve"> </w:t>
      </w:r>
      <w:r w:rsidRPr="003E1933">
        <w:rPr>
          <w:lang w:eastAsia="ko-KR"/>
        </w:rPr>
        <w:t>Plan:</w:t>
      </w:r>
    </w:p>
    <w:p w14:paraId="372384C9" w14:textId="77777777" w:rsidR="00F80D60" w:rsidRPr="0017788F" w:rsidRDefault="00F80D60" w:rsidP="00DF3F6B">
      <w:pPr>
        <w:pStyle w:val="ListParagraph"/>
        <w:numPr>
          <w:ilvl w:val="0"/>
          <w:numId w:val="345"/>
        </w:numPr>
        <w:spacing w:before="240" w:after="240" w:line="240" w:lineRule="auto"/>
        <w:rPr>
          <w:lang w:eastAsia="ko-KR"/>
        </w:rPr>
      </w:pPr>
      <w:r w:rsidRPr="003E1933">
        <w:rPr>
          <w:lang w:eastAsia="ko-KR"/>
        </w:rPr>
        <w:t>Assessment summary</w:t>
      </w:r>
    </w:p>
    <w:p w14:paraId="68A9F732" w14:textId="77777777" w:rsidR="00F80D60" w:rsidRPr="0017788F" w:rsidRDefault="00F80D60" w:rsidP="00DF3F6B">
      <w:pPr>
        <w:pStyle w:val="ListParagraph"/>
        <w:numPr>
          <w:ilvl w:val="0"/>
          <w:numId w:val="345"/>
        </w:numPr>
        <w:spacing w:before="240" w:after="240" w:line="240" w:lineRule="auto"/>
        <w:rPr>
          <w:lang w:eastAsia="ko-KR"/>
        </w:rPr>
      </w:pPr>
      <w:r w:rsidRPr="003E1933">
        <w:rPr>
          <w:lang w:eastAsia="ko-KR"/>
        </w:rPr>
        <w:t>Older person motivations</w:t>
      </w:r>
    </w:p>
    <w:p w14:paraId="5B7D33BF" w14:textId="77777777" w:rsidR="00F80D60" w:rsidRPr="0017788F" w:rsidRDefault="00F80D60" w:rsidP="00DF3F6B">
      <w:pPr>
        <w:pStyle w:val="ListParagraph"/>
        <w:numPr>
          <w:ilvl w:val="0"/>
          <w:numId w:val="345"/>
        </w:numPr>
        <w:spacing w:before="240" w:after="240" w:line="240" w:lineRule="auto"/>
        <w:rPr>
          <w:lang w:eastAsia="ko-KR"/>
        </w:rPr>
      </w:pPr>
      <w:r w:rsidRPr="003E1933">
        <w:rPr>
          <w:lang w:eastAsia="ko-KR"/>
        </w:rPr>
        <w:t xml:space="preserve">Goals &amp; recommendations, including recommendations for linking support &amp; reablement. </w:t>
      </w:r>
    </w:p>
    <w:p w14:paraId="6D370684" w14:textId="77777777" w:rsidR="00F80D60" w:rsidRPr="00101DCD" w:rsidRDefault="00F80D60" w:rsidP="00DF3F6B">
      <w:pPr>
        <w:pStyle w:val="ListParagraph"/>
        <w:numPr>
          <w:ilvl w:val="0"/>
          <w:numId w:val="345"/>
        </w:numPr>
        <w:spacing w:before="240" w:after="240" w:line="240" w:lineRule="auto"/>
        <w:rPr>
          <w:lang w:eastAsia="ko-KR"/>
        </w:rPr>
      </w:pPr>
      <w:r w:rsidRPr="003E1933">
        <w:rPr>
          <w:lang w:eastAsia="ko-KR"/>
        </w:rPr>
        <w:t>Manage services &amp; referrals</w:t>
      </w:r>
    </w:p>
    <w:p w14:paraId="7301F7E0" w14:textId="77777777" w:rsidR="00F80D60" w:rsidRPr="00101DCD" w:rsidRDefault="00F80D60" w:rsidP="00DF3F6B">
      <w:pPr>
        <w:pStyle w:val="ListParagraph"/>
        <w:numPr>
          <w:ilvl w:val="0"/>
          <w:numId w:val="345"/>
        </w:numPr>
        <w:spacing w:before="240" w:after="240" w:line="240" w:lineRule="auto"/>
        <w:rPr>
          <w:lang w:eastAsia="ko-KR"/>
        </w:rPr>
      </w:pPr>
      <w:r w:rsidRPr="003E1933">
        <w:rPr>
          <w:lang w:eastAsia="ko-KR"/>
        </w:rPr>
        <w:t>Associated People</w:t>
      </w:r>
    </w:p>
    <w:p w14:paraId="2D8F4B61" w14:textId="77777777" w:rsidR="00F80D60" w:rsidRPr="00101DCD" w:rsidRDefault="00F80D60" w:rsidP="00DF3F6B">
      <w:pPr>
        <w:pStyle w:val="ListParagraph"/>
        <w:numPr>
          <w:ilvl w:val="0"/>
          <w:numId w:val="345"/>
        </w:numPr>
        <w:spacing w:before="240" w:after="240" w:line="240" w:lineRule="auto"/>
        <w:rPr>
          <w:lang w:eastAsia="ko-KR"/>
        </w:rPr>
      </w:pPr>
      <w:r w:rsidRPr="003E1933">
        <w:rPr>
          <w:lang w:eastAsia="ko-KR"/>
        </w:rPr>
        <w:t>Review</w:t>
      </w:r>
    </w:p>
    <w:p w14:paraId="75A2D87A" w14:textId="77777777" w:rsidR="000D3FA3" w:rsidRDefault="00F80D60" w:rsidP="00622CFF">
      <w:pPr>
        <w:spacing w:before="240" w:after="240" w:line="240" w:lineRule="auto"/>
      </w:pPr>
      <w:r w:rsidRPr="003E1933">
        <w:t>It is important for the assessor to keep in mind that generated support plans can include goals and concerns from all previous assessments. The assessor should remove and/or update previous goals to ensure the focus remains on the older person’s current goals and aspirations as per their most recent assessment and/or SPR</w:t>
      </w:r>
      <w:r w:rsidR="000D3FA3">
        <w:t>.</w:t>
      </w:r>
    </w:p>
    <w:p w14:paraId="4EBFA68E" w14:textId="72E158BD" w:rsidR="000D3FA3" w:rsidRDefault="000D3FA3" w:rsidP="00CC6081">
      <w:pPr>
        <w:pStyle w:val="H4"/>
      </w:pPr>
      <w:r>
        <w:t xml:space="preserve">Prioritising </w:t>
      </w:r>
      <w:r w:rsidR="002910BD">
        <w:t xml:space="preserve">Urgent </w:t>
      </w:r>
      <w:r>
        <w:t>SPRs</w:t>
      </w:r>
    </w:p>
    <w:p w14:paraId="2D9EA76F" w14:textId="34B480DC" w:rsidR="007B7E6D" w:rsidRPr="00406951" w:rsidRDefault="007B7E6D" w:rsidP="00622CFF">
      <w:pPr>
        <w:spacing w:before="240" w:after="240" w:line="240" w:lineRule="auto"/>
      </w:pPr>
      <w:r>
        <w:t xml:space="preserve">While no </w:t>
      </w:r>
      <w:r w:rsidR="00D7335D">
        <w:t xml:space="preserve">priority </w:t>
      </w:r>
      <w:r w:rsidR="004404AE">
        <w:t xml:space="preserve">category for </w:t>
      </w:r>
      <w:r w:rsidR="00C02EA6">
        <w:t>SPR</w:t>
      </w:r>
      <w:r w:rsidR="004404AE">
        <w:t>s</w:t>
      </w:r>
      <w:r w:rsidR="00C02EA6">
        <w:t xml:space="preserve"> </w:t>
      </w:r>
      <w:r w:rsidR="004404AE">
        <w:t xml:space="preserve">exists as it does </w:t>
      </w:r>
      <w:r w:rsidR="00C02EA6">
        <w:t xml:space="preserve">for assessment referrals </w:t>
      </w:r>
      <w:r w:rsidR="008B15D9">
        <w:t>(</w:t>
      </w:r>
      <w:r w:rsidR="00C02EA6">
        <w:t xml:space="preserve">outlined </w:t>
      </w:r>
      <w:r w:rsidR="006B0D98">
        <w:t xml:space="preserve">in Chapter </w:t>
      </w:r>
      <w:r w:rsidR="00E03619">
        <w:fldChar w:fldCharType="begin"/>
      </w:r>
      <w:r w:rsidR="00E03619">
        <w:instrText xml:space="preserve"> REF _Ref212736376 \w \h </w:instrText>
      </w:r>
      <w:r w:rsidR="00E03619">
        <w:fldChar w:fldCharType="separate"/>
      </w:r>
      <w:r w:rsidR="00F97942">
        <w:t>4</w:t>
      </w:r>
      <w:r w:rsidR="00E03619">
        <w:fldChar w:fldCharType="end"/>
      </w:r>
      <w:r w:rsidR="006B0D98">
        <w:t xml:space="preserve">) </w:t>
      </w:r>
      <w:r w:rsidR="006B0D98" w:rsidDel="006B0D98">
        <w:t xml:space="preserve"> </w:t>
      </w:r>
      <w:r w:rsidR="008B15D9">
        <w:t xml:space="preserve">assessors should </w:t>
      </w:r>
      <w:r w:rsidR="00FC0A4F">
        <w:t>prioritis</w:t>
      </w:r>
      <w:r w:rsidR="00E25DCD">
        <w:t>e</w:t>
      </w:r>
      <w:r w:rsidR="00FC0A4F">
        <w:t xml:space="preserve"> </w:t>
      </w:r>
      <w:r w:rsidR="008B15D9">
        <w:t xml:space="preserve">SPRs </w:t>
      </w:r>
      <w:r w:rsidR="00CA7A19">
        <w:t>where there is an identifiable urgent need</w:t>
      </w:r>
      <w:r w:rsidR="005554E6" w:rsidRPr="00406951">
        <w:t>. In particular</w:t>
      </w:r>
      <w:r w:rsidR="001D404A" w:rsidRPr="00406951">
        <w:t>, assessors should prioritise</w:t>
      </w:r>
      <w:r w:rsidR="00063D78" w:rsidRPr="00406951">
        <w:t>:</w:t>
      </w:r>
    </w:p>
    <w:p w14:paraId="1156CEE9" w14:textId="7C04AA31" w:rsidR="005554E6" w:rsidRPr="00406951" w:rsidRDefault="00680576" w:rsidP="00DF3F6B">
      <w:pPr>
        <w:pStyle w:val="ListParagraph"/>
        <w:numPr>
          <w:ilvl w:val="0"/>
          <w:numId w:val="417"/>
        </w:numPr>
        <w:spacing w:before="240" w:after="240" w:line="240" w:lineRule="auto"/>
      </w:pPr>
      <w:r w:rsidRPr="00406951">
        <w:rPr>
          <w:b/>
        </w:rPr>
        <w:t>End-of-Life SPRs</w:t>
      </w:r>
      <w:r w:rsidR="00F021BD" w:rsidRPr="00406951">
        <w:rPr>
          <w:b/>
        </w:rPr>
        <w:t xml:space="preserve">, </w:t>
      </w:r>
      <w:r w:rsidR="000D2828" w:rsidRPr="00406951">
        <w:t>complet</w:t>
      </w:r>
      <w:r w:rsidR="00F021BD" w:rsidRPr="00406951">
        <w:t>ing them</w:t>
      </w:r>
      <w:r w:rsidR="000D2828" w:rsidRPr="00406951">
        <w:t xml:space="preserve"> as soon as possible</w:t>
      </w:r>
      <w:r w:rsidR="003C2617" w:rsidRPr="00406951">
        <w:t>. These will be marked ‘urgent’ in the system.</w:t>
      </w:r>
      <w:r w:rsidR="00274C4C">
        <w:t xml:space="preserve"> Team Leaders can locate these </w:t>
      </w:r>
      <w:r w:rsidR="004B5065">
        <w:t xml:space="preserve">in the Assessor Portal </w:t>
      </w:r>
      <w:r w:rsidR="00274C4C">
        <w:t xml:space="preserve">by filtering for urgency, then expanding the </w:t>
      </w:r>
      <w:r w:rsidR="004B5065">
        <w:t>boxes to locate the EoL clients.</w:t>
      </w:r>
    </w:p>
    <w:p w14:paraId="55F08EC1" w14:textId="438EBE5B" w:rsidR="003C2617" w:rsidRPr="00406951" w:rsidRDefault="001D404A" w:rsidP="00DF3F6B">
      <w:pPr>
        <w:pStyle w:val="ListParagraph"/>
        <w:numPr>
          <w:ilvl w:val="0"/>
          <w:numId w:val="417"/>
        </w:numPr>
        <w:spacing w:before="240" w:after="240" w:line="240" w:lineRule="auto"/>
      </w:pPr>
      <w:r w:rsidRPr="00406951">
        <w:t xml:space="preserve">Referrals where </w:t>
      </w:r>
      <w:r w:rsidR="00267E82" w:rsidRPr="00406951">
        <w:t>referral information indicates a significant event</w:t>
      </w:r>
      <w:r w:rsidR="003522B9" w:rsidRPr="00406951">
        <w:t xml:space="preserve"> has occurred</w:t>
      </w:r>
      <w:r w:rsidR="00871595" w:rsidRPr="00406951">
        <w:t xml:space="preserve"> or </w:t>
      </w:r>
      <w:r w:rsidR="00CB588C" w:rsidRPr="00406951">
        <w:t xml:space="preserve">the older person has </w:t>
      </w:r>
      <w:r w:rsidR="00871595" w:rsidRPr="00406951">
        <w:t>a rapidly deteriorating condition</w:t>
      </w:r>
      <w:r w:rsidR="00B6696E" w:rsidRPr="00406951">
        <w:t xml:space="preserve">, all of which </w:t>
      </w:r>
      <w:r w:rsidR="00CB395B" w:rsidRPr="00406951">
        <w:t>will likely result in a reassessment</w:t>
      </w:r>
      <w:r w:rsidR="009922EF" w:rsidRPr="00406951">
        <w:t>.</w:t>
      </w:r>
      <w:r w:rsidR="00B6696E" w:rsidRPr="00406951">
        <w:t xml:space="preserve"> </w:t>
      </w:r>
      <w:r w:rsidR="003C55D8" w:rsidRPr="00406951">
        <w:t xml:space="preserve">This will </w:t>
      </w:r>
      <w:r w:rsidR="004522C0" w:rsidRPr="00406951">
        <w:t xml:space="preserve">help </w:t>
      </w:r>
      <w:r w:rsidR="003C55D8" w:rsidRPr="00406951">
        <w:t xml:space="preserve">ensure </w:t>
      </w:r>
      <w:r w:rsidR="004522C0" w:rsidRPr="00406951">
        <w:t xml:space="preserve">prompt </w:t>
      </w:r>
      <w:r w:rsidR="003C55D8" w:rsidRPr="00406951">
        <w:t>review by a Triage Delegate</w:t>
      </w:r>
      <w:r w:rsidR="004522C0" w:rsidRPr="00406951">
        <w:t>.</w:t>
      </w:r>
    </w:p>
    <w:p w14:paraId="0B024EFA" w14:textId="6739BE62" w:rsidR="005E1163" w:rsidRPr="00406951" w:rsidRDefault="005E1163" w:rsidP="00DF3F6B">
      <w:pPr>
        <w:pStyle w:val="ListParagraph"/>
        <w:numPr>
          <w:ilvl w:val="0"/>
          <w:numId w:val="417"/>
        </w:numPr>
        <w:spacing w:before="240" w:after="240" w:line="240" w:lineRule="auto"/>
      </w:pPr>
      <w:r w:rsidRPr="00406951">
        <w:t xml:space="preserve">Requests for </w:t>
      </w:r>
      <w:r w:rsidRPr="00406951">
        <w:rPr>
          <w:b/>
        </w:rPr>
        <w:t xml:space="preserve">a second unit of restorative care, </w:t>
      </w:r>
      <w:r w:rsidRPr="00406951">
        <w:t>particularly those where the</w:t>
      </w:r>
      <w:r w:rsidR="003C55D8" w:rsidRPr="00406951">
        <w:t>re is a need for continuity of services</w:t>
      </w:r>
    </w:p>
    <w:p w14:paraId="08E932B3" w14:textId="1B039A0C" w:rsidR="00F80D60" w:rsidRPr="003E1933" w:rsidRDefault="003522B9" w:rsidP="00622CFF">
      <w:pPr>
        <w:spacing w:before="240" w:after="240" w:line="240" w:lineRule="auto"/>
        <w:rPr>
          <w:szCs w:val="20"/>
        </w:rPr>
      </w:pPr>
      <w:r>
        <w:t xml:space="preserve">Otherwise, </w:t>
      </w:r>
      <w:r w:rsidR="00855D74">
        <w:t xml:space="preserve">all other </w:t>
      </w:r>
      <w:r>
        <w:t>SPRs</w:t>
      </w:r>
      <w:r w:rsidR="005B07D7" w:rsidRPr="005B07D7">
        <w:t xml:space="preserve"> should be completed within </w:t>
      </w:r>
      <w:r w:rsidR="0051128B">
        <w:t xml:space="preserve">calendar </w:t>
      </w:r>
      <w:r w:rsidR="005B07D7" w:rsidRPr="005B07D7">
        <w:t>15 days from the date the SPR referral is accepted.</w:t>
      </w:r>
      <w:r w:rsidR="00F80D60" w:rsidRPr="003E1933">
        <w:t xml:space="preserve"> </w:t>
      </w:r>
    </w:p>
    <w:p w14:paraId="754AC149" w14:textId="77777777" w:rsidR="00F80D60" w:rsidRPr="003E1933" w:rsidRDefault="00F80D60" w:rsidP="00C56CEC">
      <w:pPr>
        <w:pStyle w:val="H3"/>
        <w:rPr>
          <w:color w:val="279989"/>
        </w:rPr>
      </w:pPr>
      <w:r w:rsidRPr="003E1933">
        <w:t xml:space="preserve">Outcome of the SPR </w:t>
      </w:r>
    </w:p>
    <w:p w14:paraId="4FE5F991" w14:textId="77777777" w:rsidR="00F80D60" w:rsidRPr="003E1933" w:rsidRDefault="00F80D60" w:rsidP="00622CFF">
      <w:pPr>
        <w:spacing w:before="240" w:after="240" w:line="240" w:lineRule="auto"/>
        <w:rPr>
          <w:lang w:eastAsia="ko-KR"/>
        </w:rPr>
      </w:pPr>
      <w:r w:rsidRPr="003E1933">
        <w:rPr>
          <w:lang w:eastAsia="ko-KR"/>
        </w:rPr>
        <w:t>After conducting the SPR, the assessor should consider possible outcomes, including: determining that no changes to the Support Plan are required (as it meets the older person</w:t>
      </w:r>
      <w:r>
        <w:rPr>
          <w:lang w:eastAsia="ko-KR"/>
        </w:rPr>
        <w:t>’</w:t>
      </w:r>
      <w:r w:rsidRPr="003E1933">
        <w:rPr>
          <w:lang w:eastAsia="ko-KR"/>
        </w:rPr>
        <w:t xml:space="preserve">s needs), updating the current plan, or conducting a </w:t>
      </w:r>
      <w:r>
        <w:rPr>
          <w:lang w:eastAsia="ko-KR"/>
        </w:rPr>
        <w:t>reassessment</w:t>
      </w:r>
      <w:r w:rsidRPr="003E1933">
        <w:rPr>
          <w:lang w:eastAsia="ko-KR"/>
        </w:rPr>
        <w:t xml:space="preserve">. </w:t>
      </w:r>
    </w:p>
    <w:p w14:paraId="44A406D1" w14:textId="77777777" w:rsidR="00406951" w:rsidRDefault="00F80D60" w:rsidP="00622CFF">
      <w:pPr>
        <w:spacing w:before="240" w:after="240" w:line="240" w:lineRule="auto"/>
        <w:rPr>
          <w:lang w:eastAsia="ko-KR"/>
        </w:rPr>
      </w:pPr>
      <w:r w:rsidRPr="003E1933">
        <w:rPr>
          <w:lang w:eastAsia="ko-KR"/>
        </w:rPr>
        <w:t xml:space="preserve">The assessor can record the outcome to ‘complete’ the SPR and ‘finalise’ the SPR when it has been completed. If the SPR outcome is a </w:t>
      </w:r>
      <w:r>
        <w:rPr>
          <w:lang w:eastAsia="ko-KR"/>
        </w:rPr>
        <w:t>reassessment</w:t>
      </w:r>
      <w:r w:rsidRPr="003E1933">
        <w:rPr>
          <w:lang w:eastAsia="ko-KR"/>
        </w:rPr>
        <w:t>, then the assessor is prompted to issue the assessment referral. The SPR referral will appear above the Assessment Summary Information in the older person’s Support Plan.</w:t>
      </w:r>
    </w:p>
    <w:p w14:paraId="283744EE" w14:textId="77777777" w:rsidR="00406951" w:rsidRDefault="00406951">
      <w:pPr>
        <w:rPr>
          <w:lang w:eastAsia="ko-KR"/>
        </w:rPr>
      </w:pPr>
      <w:r>
        <w:rPr>
          <w:lang w:eastAsia="ko-KR"/>
        </w:rPr>
        <w:br w:type="page"/>
      </w:r>
    </w:p>
    <w:p w14:paraId="5AB3D2FC" w14:textId="77777777" w:rsidR="00F80D60" w:rsidRPr="003E1933" w:rsidRDefault="00F80D60" w:rsidP="00622CFF">
      <w:pPr>
        <w:spacing w:before="240" w:after="240" w:line="240" w:lineRule="auto"/>
        <w:rPr>
          <w:lang w:eastAsia="ko-KR"/>
        </w:rPr>
      </w:pPr>
    </w:p>
    <w:p w14:paraId="0A1845CD" w14:textId="29BCFC62" w:rsidR="005747E4" w:rsidRPr="0019783C" w:rsidRDefault="00F80D60" w:rsidP="0019783C">
      <w:pPr>
        <w:pStyle w:val="Boxwithcolouredkeyline"/>
        <w:shd w:val="clear" w:color="auto" w:fill="F2F2F2" w:themeFill="background1" w:themeFillShade="F2"/>
        <w:rPr>
          <w:b/>
        </w:rPr>
      </w:pPr>
      <w:r w:rsidRPr="0019783C">
        <w:rPr>
          <w:b/>
        </w:rPr>
        <w:t>Note:</w:t>
      </w:r>
    </w:p>
    <w:p w14:paraId="54A11E3F" w14:textId="77777777" w:rsidR="00B52D09" w:rsidRDefault="00F80D60" w:rsidP="0019783C">
      <w:pPr>
        <w:pStyle w:val="Boxwithcolouredkeyline"/>
        <w:shd w:val="clear" w:color="auto" w:fill="F2F2F2" w:themeFill="background1" w:themeFillShade="F2"/>
      </w:pPr>
      <w:r w:rsidRPr="005F796D">
        <w:t xml:space="preserve">A SPR should accurately reflect the review details, including date, attendees, mode, assessor name, reason for SPR and the outcome of the review (up to 1000 characters). </w:t>
      </w:r>
    </w:p>
    <w:p w14:paraId="63A66347" w14:textId="522AF260" w:rsidR="00F80D60" w:rsidRPr="00197DAB" w:rsidRDefault="00F80D60" w:rsidP="0019783C">
      <w:pPr>
        <w:pStyle w:val="Boxwithcolouredkeyline"/>
        <w:shd w:val="clear" w:color="auto" w:fill="F2F2F2" w:themeFill="background1" w:themeFillShade="F2"/>
      </w:pPr>
      <w:r w:rsidRPr="005F796D">
        <w:t xml:space="preserve">Assessors must ensure the older person or active, appointed decision maker (whether or not a registered supporter) agree to the details entered in the outcomes field as these comments will automatically appear on the older person’s Support Plan. </w:t>
      </w:r>
    </w:p>
    <w:p w14:paraId="013B9574" w14:textId="3B26C7ED" w:rsidR="00F80D60" w:rsidRPr="00197DAB" w:rsidRDefault="00F80D60" w:rsidP="0019783C">
      <w:pPr>
        <w:pStyle w:val="Boxwithcolouredkeyline"/>
        <w:shd w:val="clear" w:color="auto" w:fill="F2F2F2" w:themeFill="background1" w:themeFillShade="F2"/>
      </w:pPr>
      <w:r w:rsidRPr="005F796D">
        <w:t xml:space="preserve">The Assessment Summary section of the Support Plan has a </w:t>
      </w:r>
      <w:r w:rsidR="007D7763">
        <w:t>5000-character</w:t>
      </w:r>
      <w:r w:rsidRPr="005F796D">
        <w:t xml:space="preserve"> limit which can also be updated with the SPR. All past versions of the Support Plan are retained on the My Aged Care system and are a record of any deleted content.</w:t>
      </w:r>
    </w:p>
    <w:p w14:paraId="010F2DB8" w14:textId="77777777" w:rsidR="002D0AD5" w:rsidRDefault="002D0AD5" w:rsidP="00622CFF">
      <w:pPr>
        <w:spacing w:before="240" w:after="240" w:line="240" w:lineRule="auto"/>
        <w:rPr>
          <w:lang w:eastAsia="ko-KR"/>
        </w:rPr>
      </w:pPr>
    </w:p>
    <w:p w14:paraId="65E143E0" w14:textId="2D6FBC8B" w:rsidR="00F80D60" w:rsidRPr="003E1933" w:rsidRDefault="00F80D60" w:rsidP="00622CFF">
      <w:pPr>
        <w:spacing w:before="240" w:after="240" w:line="240" w:lineRule="auto"/>
        <w:rPr>
          <w:rFonts w:eastAsia="Calibri" w:cs="Times New Roman"/>
          <w:b/>
          <w:bCs/>
          <w:lang w:eastAsia="en-US"/>
        </w:rPr>
      </w:pPr>
      <w:r w:rsidRPr="12622F89">
        <w:rPr>
          <w:lang w:eastAsia="ko-KR"/>
        </w:rPr>
        <w:t xml:space="preserve">After selecting ‘complete &amp; finalise </w:t>
      </w:r>
      <w:r w:rsidR="165AE230" w:rsidRPr="7D8FD24E">
        <w:rPr>
          <w:lang w:eastAsia="ko-KR"/>
        </w:rPr>
        <w:t>s</w:t>
      </w:r>
      <w:r w:rsidRPr="7D8FD24E">
        <w:rPr>
          <w:lang w:eastAsia="ko-KR"/>
        </w:rPr>
        <w:t xml:space="preserve">upport </w:t>
      </w:r>
      <w:r w:rsidR="3E95AA7E" w:rsidRPr="7D8FD24E">
        <w:rPr>
          <w:lang w:eastAsia="ko-KR"/>
        </w:rPr>
        <w:t>p</w:t>
      </w:r>
      <w:r w:rsidRPr="12622F89">
        <w:rPr>
          <w:lang w:eastAsia="ko-KR"/>
        </w:rPr>
        <w:t>lan review’ no further changes can be made. Where applicable (e.g. if new services have been added or if a decision has been made to not approve a specific request), a Notice of Decision will be required to be prepared for Delegate approval and shared with the older person.</w:t>
      </w:r>
    </w:p>
    <w:p w14:paraId="0DF5E62F" w14:textId="4E813BDD" w:rsidR="00F80D60" w:rsidRPr="003E1933" w:rsidRDefault="00F80D60" w:rsidP="00622CFF">
      <w:pPr>
        <w:spacing w:before="240" w:after="240" w:line="240" w:lineRule="auto"/>
        <w:rPr>
          <w:lang w:eastAsia="ko-KR"/>
        </w:rPr>
      </w:pPr>
      <w:r w:rsidRPr="003E1933">
        <w:rPr>
          <w:lang w:eastAsia="ko-KR"/>
        </w:rPr>
        <w:t xml:space="preserve">The assessor may determine that the </w:t>
      </w:r>
      <w:r w:rsidR="00516348">
        <w:rPr>
          <w:lang w:eastAsia="ko-KR"/>
        </w:rPr>
        <w:t>older pe</w:t>
      </w:r>
      <w:r w:rsidR="00141E2D">
        <w:rPr>
          <w:lang w:eastAsia="ko-KR"/>
        </w:rPr>
        <w:t>rson</w:t>
      </w:r>
      <w:r w:rsidRPr="003E1933">
        <w:rPr>
          <w:lang w:eastAsia="ko-KR"/>
        </w:rPr>
        <w:t>’</w:t>
      </w:r>
      <w:r w:rsidR="00141E2D">
        <w:rPr>
          <w:lang w:eastAsia="ko-KR"/>
        </w:rPr>
        <w:t>s</w:t>
      </w:r>
      <w:r w:rsidRPr="003E1933">
        <w:rPr>
          <w:lang w:eastAsia="ko-KR"/>
        </w:rPr>
        <w:t xml:space="preserve"> needs or circumstances have changed significantly since their original </w:t>
      </w:r>
      <w:r w:rsidR="00667271" w:rsidRPr="003E1933">
        <w:rPr>
          <w:lang w:eastAsia="ko-KR"/>
        </w:rPr>
        <w:t>assessment,</w:t>
      </w:r>
      <w:r w:rsidRPr="003E1933">
        <w:rPr>
          <w:lang w:eastAsia="ko-KR"/>
        </w:rPr>
        <w:t xml:space="preserve"> and a </w:t>
      </w:r>
      <w:r>
        <w:rPr>
          <w:lang w:eastAsia="ko-KR"/>
        </w:rPr>
        <w:t>reassessment</w:t>
      </w:r>
      <w:r w:rsidRPr="003E1933">
        <w:rPr>
          <w:lang w:eastAsia="ko-KR"/>
        </w:rPr>
        <w:t xml:space="preserve"> is required. </w:t>
      </w:r>
    </w:p>
    <w:p w14:paraId="2D8C570B" w14:textId="77777777" w:rsidR="00F80D60" w:rsidRPr="005F796D" w:rsidRDefault="00F80D60" w:rsidP="00C56CEC">
      <w:pPr>
        <w:pStyle w:val="H3"/>
      </w:pPr>
      <w:r>
        <w:t>Re</w:t>
      </w:r>
      <w:r w:rsidRPr="005F796D">
        <w:t>assessments</w:t>
      </w:r>
    </w:p>
    <w:p w14:paraId="7BF3FCC9" w14:textId="77777777" w:rsidR="00F80D60" w:rsidRPr="003E1933" w:rsidRDefault="00F80D60" w:rsidP="00622CFF">
      <w:pPr>
        <w:spacing w:before="240" w:after="240" w:line="240" w:lineRule="auto"/>
        <w:rPr>
          <w:lang w:eastAsia="ko-KR"/>
        </w:rPr>
      </w:pPr>
      <w:r w:rsidRPr="003E1933">
        <w:rPr>
          <w:lang w:eastAsia="ko-KR"/>
        </w:rPr>
        <w:t xml:space="preserve">An older person may require a </w:t>
      </w:r>
      <w:r>
        <w:rPr>
          <w:lang w:eastAsia="ko-KR"/>
        </w:rPr>
        <w:t>reassessment</w:t>
      </w:r>
      <w:r w:rsidRPr="003E1933">
        <w:rPr>
          <w:lang w:eastAsia="ko-KR"/>
        </w:rPr>
        <w:t xml:space="preserve"> following a SPR in the following instances:</w:t>
      </w:r>
    </w:p>
    <w:p w14:paraId="5A35A946" w14:textId="6D638FA5" w:rsidR="00F80D60" w:rsidRPr="003E1933" w:rsidRDefault="00F43D34" w:rsidP="00DF3F6B">
      <w:pPr>
        <w:pStyle w:val="ListParagraph"/>
        <w:numPr>
          <w:ilvl w:val="0"/>
          <w:numId w:val="318"/>
        </w:numPr>
        <w:spacing w:before="240" w:after="240" w:line="240" w:lineRule="auto"/>
        <w:rPr>
          <w:lang w:eastAsia="ko-KR"/>
        </w:rPr>
      </w:pPr>
      <w:r>
        <w:rPr>
          <w:lang w:eastAsia="ko-KR"/>
        </w:rPr>
        <w:t xml:space="preserve">the </w:t>
      </w:r>
      <w:r w:rsidR="00F80D60" w:rsidRPr="003E1933">
        <w:rPr>
          <w:lang w:eastAsia="ko-KR"/>
        </w:rPr>
        <w:t>older person has multiple new needs or significantly increased needs</w:t>
      </w:r>
    </w:p>
    <w:p w14:paraId="6B7F6054" w14:textId="3FF08BAA" w:rsidR="00F80D60" w:rsidRPr="003E1933" w:rsidRDefault="00F43D34" w:rsidP="00DF3F6B">
      <w:pPr>
        <w:pStyle w:val="ListParagraph"/>
        <w:numPr>
          <w:ilvl w:val="0"/>
          <w:numId w:val="318"/>
        </w:numPr>
        <w:spacing w:before="240" w:after="240" w:line="240" w:lineRule="auto"/>
        <w:rPr>
          <w:lang w:eastAsia="ko-KR"/>
        </w:rPr>
      </w:pPr>
      <w:r>
        <w:rPr>
          <w:lang w:eastAsia="ko-KR"/>
        </w:rPr>
        <w:t xml:space="preserve">the </w:t>
      </w:r>
      <w:r w:rsidR="00F80D60" w:rsidRPr="003E1933">
        <w:rPr>
          <w:lang w:eastAsia="ko-KR"/>
        </w:rPr>
        <w:t xml:space="preserve">older person requires </w:t>
      </w:r>
      <w:r w:rsidR="00F80D60">
        <w:rPr>
          <w:lang w:eastAsia="ko-KR"/>
        </w:rPr>
        <w:t>a different</w:t>
      </w:r>
      <w:r w:rsidR="00F80D60" w:rsidRPr="003E1933">
        <w:rPr>
          <w:lang w:eastAsia="ko-KR"/>
        </w:rPr>
        <w:t xml:space="preserve"> service</w:t>
      </w:r>
      <w:r w:rsidR="00F80D60">
        <w:rPr>
          <w:lang w:eastAsia="ko-KR"/>
        </w:rPr>
        <w:t xml:space="preserve"> </w:t>
      </w:r>
      <w:r w:rsidR="00DE0F4F">
        <w:rPr>
          <w:lang w:eastAsia="ko-KR"/>
        </w:rPr>
        <w:t xml:space="preserve">group (i.e. client receiving CHSP needs to move to Support at Home) </w:t>
      </w:r>
      <w:r w:rsidR="000C5164">
        <w:rPr>
          <w:lang w:eastAsia="ko-KR"/>
        </w:rPr>
        <w:t>t</w:t>
      </w:r>
      <w:r w:rsidR="00F80D60" w:rsidRPr="003E1933">
        <w:rPr>
          <w:lang w:eastAsia="ko-KR"/>
        </w:rPr>
        <w:t xml:space="preserve">he My Aged Care </w:t>
      </w:r>
      <w:r w:rsidR="0060352D">
        <w:rPr>
          <w:lang w:eastAsia="ko-KR"/>
        </w:rPr>
        <w:t>assessor portal</w:t>
      </w:r>
      <w:r w:rsidR="00F80D60" w:rsidRPr="003E1933">
        <w:rPr>
          <w:lang w:eastAsia="ko-KR"/>
        </w:rPr>
        <w:t xml:space="preserve"> allows a </w:t>
      </w:r>
      <w:r w:rsidR="00F80D60">
        <w:rPr>
          <w:lang w:eastAsia="ko-KR"/>
        </w:rPr>
        <w:t>reassessment</w:t>
      </w:r>
      <w:r w:rsidR="00F80D60" w:rsidRPr="003E1933">
        <w:rPr>
          <w:lang w:eastAsia="ko-KR"/>
        </w:rPr>
        <w:t xml:space="preserve"> referral where:</w:t>
      </w:r>
    </w:p>
    <w:p w14:paraId="109F77EC" w14:textId="304078D0" w:rsidR="00F80D60" w:rsidRPr="003E1933" w:rsidRDefault="000C5164" w:rsidP="008367C8">
      <w:pPr>
        <w:pStyle w:val="ListParagraph"/>
        <w:numPr>
          <w:ilvl w:val="1"/>
          <w:numId w:val="317"/>
        </w:numPr>
        <w:spacing w:before="240" w:after="240" w:line="240" w:lineRule="auto"/>
        <w:contextualSpacing w:val="0"/>
        <w:rPr>
          <w:lang w:eastAsia="ko-KR"/>
        </w:rPr>
      </w:pPr>
      <w:r>
        <w:rPr>
          <w:lang w:eastAsia="ko-KR"/>
        </w:rPr>
        <w:t xml:space="preserve">the </w:t>
      </w:r>
      <w:r w:rsidR="00F80D60" w:rsidRPr="003E1933">
        <w:rPr>
          <w:lang w:eastAsia="ko-KR"/>
        </w:rPr>
        <w:t>SPR request meets one of the four defined scenarios only (transition care, residential care, residential respite care and older person relocation) or</w:t>
      </w:r>
    </w:p>
    <w:p w14:paraId="50C84085" w14:textId="77777777" w:rsidR="00F80D60" w:rsidRPr="003E1933" w:rsidRDefault="00F80D60" w:rsidP="008367C8">
      <w:pPr>
        <w:pStyle w:val="ListParagraph"/>
        <w:numPr>
          <w:ilvl w:val="1"/>
          <w:numId w:val="317"/>
        </w:numPr>
        <w:spacing w:before="240" w:after="240" w:line="240" w:lineRule="auto"/>
        <w:contextualSpacing w:val="0"/>
        <w:rPr>
          <w:lang w:eastAsia="ko-KR"/>
        </w:rPr>
      </w:pPr>
      <w:r w:rsidRPr="003E1933">
        <w:rPr>
          <w:lang w:eastAsia="ko-KR"/>
        </w:rPr>
        <w:t xml:space="preserve">if the request does not meet the defined scenarios and the SPR clearly needs to be converted to a </w:t>
      </w:r>
      <w:r>
        <w:rPr>
          <w:lang w:eastAsia="ko-KR"/>
        </w:rPr>
        <w:t>reassessment</w:t>
      </w:r>
      <w:r w:rsidRPr="003E1933">
        <w:rPr>
          <w:lang w:eastAsia="ko-KR"/>
        </w:rPr>
        <w:t xml:space="preserve">, the assessor can issue a </w:t>
      </w:r>
      <w:r>
        <w:rPr>
          <w:lang w:eastAsia="ko-KR"/>
        </w:rPr>
        <w:t>reassessment</w:t>
      </w:r>
      <w:r w:rsidRPr="003E1933">
        <w:rPr>
          <w:lang w:eastAsia="ko-KR"/>
        </w:rPr>
        <w:t xml:space="preserve"> referral where they select ‘A </w:t>
      </w:r>
      <w:r>
        <w:rPr>
          <w:lang w:eastAsia="ko-KR"/>
        </w:rPr>
        <w:t>reassessment</w:t>
      </w:r>
      <w:r w:rsidRPr="003E1933">
        <w:rPr>
          <w:lang w:eastAsia="ko-KR"/>
        </w:rPr>
        <w:t xml:space="preserve"> required’ as the outcome of the SPR or</w:t>
      </w:r>
    </w:p>
    <w:p w14:paraId="2D601977" w14:textId="51C1F62D" w:rsidR="00F80D60" w:rsidRPr="003E1933" w:rsidRDefault="00F80D60" w:rsidP="008367C8">
      <w:pPr>
        <w:pStyle w:val="ListParagraph"/>
        <w:numPr>
          <w:ilvl w:val="1"/>
          <w:numId w:val="317"/>
        </w:numPr>
        <w:spacing w:before="240" w:after="240" w:line="240" w:lineRule="auto"/>
        <w:rPr>
          <w:lang w:eastAsia="ko-KR"/>
        </w:rPr>
      </w:pPr>
      <w:r w:rsidRPr="003E1933">
        <w:rPr>
          <w:lang w:eastAsia="ko-KR"/>
        </w:rPr>
        <w:t xml:space="preserve">after the full SPR is completed and finalised, the assessor has the option to start a </w:t>
      </w:r>
      <w:r>
        <w:rPr>
          <w:lang w:eastAsia="ko-KR"/>
        </w:rPr>
        <w:t>reassessment</w:t>
      </w:r>
      <w:r w:rsidRPr="003E1933">
        <w:rPr>
          <w:lang w:eastAsia="ko-KR"/>
        </w:rPr>
        <w:t xml:space="preserve"> referral if this is appropriate.</w:t>
      </w:r>
    </w:p>
    <w:p w14:paraId="5ABDBA54" w14:textId="77777777" w:rsidR="00F80D60" w:rsidRPr="003E1933" w:rsidRDefault="00F80D60" w:rsidP="00622CFF">
      <w:pPr>
        <w:spacing w:before="240" w:after="240" w:line="240" w:lineRule="auto"/>
        <w:rPr>
          <w:lang w:eastAsia="ko-KR"/>
        </w:rPr>
      </w:pPr>
      <w:r w:rsidRPr="003E1933">
        <w:t xml:space="preserve">Where the SPR outcome does not indicate a reassessment is necessary, but the person (or their </w:t>
      </w:r>
      <w:r>
        <w:t xml:space="preserve">active, </w:t>
      </w:r>
      <w:r w:rsidRPr="003E1933">
        <w:t xml:space="preserve">appointed decision maker, whether or not a </w:t>
      </w:r>
      <w:r>
        <w:t xml:space="preserve">registered </w:t>
      </w:r>
      <w:r w:rsidRPr="003E1933">
        <w:t>supporter) continues to request a reassessment</w:t>
      </w:r>
      <w:r>
        <w:t>,</w:t>
      </w:r>
      <w:r w:rsidRPr="003E1933">
        <w:t xml:space="preserve"> </w:t>
      </w:r>
      <w:bookmarkStart w:id="884" w:name="_Hlk85720429"/>
      <w:bookmarkStart w:id="885" w:name="_Hlk85731810"/>
      <w:r w:rsidRPr="003E1933">
        <w:rPr>
          <w:lang w:eastAsia="ko-KR"/>
        </w:rPr>
        <w:t xml:space="preserve">assessment organisations should be aware that making a decision not to proceed with a reassessment process </w:t>
      </w:r>
      <w:r>
        <w:rPr>
          <w:lang w:eastAsia="ko-KR"/>
        </w:rPr>
        <w:t xml:space="preserve">is a reviewable decision under the Act. </w:t>
      </w:r>
    </w:p>
    <w:p w14:paraId="3BA20906" w14:textId="77777777" w:rsidR="00F80D60" w:rsidRPr="003E1933" w:rsidRDefault="00F80D60" w:rsidP="00622CFF">
      <w:pPr>
        <w:spacing w:before="240" w:after="240" w:line="240" w:lineRule="auto"/>
        <w:rPr>
          <w:lang w:eastAsia="ko-KR"/>
        </w:rPr>
      </w:pPr>
      <w:r w:rsidRPr="003E1933">
        <w:rPr>
          <w:lang w:eastAsia="ko-KR"/>
        </w:rPr>
        <w:t>If the triage delegate’s clinical opinion (based on guidance materials and evidence) is that a comprehensive assessment is not required, the assessment organisation must ensure the older person:</w:t>
      </w:r>
    </w:p>
    <w:p w14:paraId="52410338" w14:textId="77777777" w:rsidR="00F80D60" w:rsidRPr="003E1933" w:rsidRDefault="00F80D60" w:rsidP="00DF3F6B">
      <w:pPr>
        <w:pStyle w:val="ListParagraph"/>
        <w:numPr>
          <w:ilvl w:val="0"/>
          <w:numId w:val="317"/>
        </w:numPr>
        <w:spacing w:before="240" w:after="240" w:line="240" w:lineRule="auto"/>
        <w:contextualSpacing w:val="0"/>
      </w:pPr>
      <w:r w:rsidRPr="003E1933">
        <w:rPr>
          <w:szCs w:val="28"/>
        </w:rPr>
        <w:t>is aware of, understands and accepts this decision.</w:t>
      </w:r>
    </w:p>
    <w:p w14:paraId="23256598" w14:textId="77777777" w:rsidR="00F80D60" w:rsidRPr="003E1933" w:rsidRDefault="00F80D60" w:rsidP="00DF3F6B">
      <w:pPr>
        <w:pStyle w:val="ListParagraph"/>
        <w:numPr>
          <w:ilvl w:val="0"/>
          <w:numId w:val="317"/>
        </w:numPr>
        <w:spacing w:before="240" w:after="240" w:line="240" w:lineRule="auto"/>
        <w:contextualSpacing w:val="0"/>
      </w:pPr>
      <w:r w:rsidRPr="003E1933">
        <w:t>is provided with the updated support plan which details the outcome of the SPR and if applicable, references the reason/s to the older person why the requested reassessment is not required at this stage; and</w:t>
      </w:r>
    </w:p>
    <w:p w14:paraId="6CB7416C" w14:textId="77777777" w:rsidR="00F80D60" w:rsidRPr="003E1933" w:rsidRDefault="00F80D60" w:rsidP="00DF3F6B">
      <w:pPr>
        <w:pStyle w:val="ListParagraph"/>
        <w:numPr>
          <w:ilvl w:val="0"/>
          <w:numId w:val="317"/>
        </w:numPr>
        <w:spacing w:before="240" w:after="240" w:line="240" w:lineRule="auto"/>
        <w:contextualSpacing w:val="0"/>
        <w:rPr>
          <w:szCs w:val="28"/>
        </w:rPr>
      </w:pPr>
      <w:r w:rsidRPr="003E1933">
        <w:rPr>
          <w:szCs w:val="28"/>
        </w:rPr>
        <w:t>is provided with information on how to request a further SPR should the older person’s care needs or circumstances change.</w:t>
      </w:r>
      <w:bookmarkEnd w:id="884"/>
    </w:p>
    <w:p w14:paraId="4D55B7D5" w14:textId="77777777" w:rsidR="00F80D60" w:rsidRDefault="00F80D60" w:rsidP="00622CFF">
      <w:pPr>
        <w:spacing w:before="240" w:after="240" w:line="240" w:lineRule="auto"/>
        <w:rPr>
          <w:lang w:eastAsia="ko-KR"/>
        </w:rPr>
      </w:pPr>
      <w:bookmarkStart w:id="886" w:name="_Hlk86937436"/>
      <w:bookmarkEnd w:id="885"/>
      <w:r w:rsidRPr="003E1933">
        <w:rPr>
          <w:lang w:eastAsia="ko-KR"/>
        </w:rPr>
        <w:t>If the older person does not accept the decision, then the assessment should proceed</w:t>
      </w:r>
      <w:bookmarkEnd w:id="886"/>
      <w:r w:rsidRPr="003E1933">
        <w:rPr>
          <w:lang w:eastAsia="ko-KR"/>
        </w:rPr>
        <w:t>.</w:t>
      </w:r>
    </w:p>
    <w:p w14:paraId="6C7A39EC" w14:textId="77777777" w:rsidR="00F80D60" w:rsidRPr="00662590" w:rsidRDefault="00F80D60" w:rsidP="00CC6081">
      <w:pPr>
        <w:pStyle w:val="H4"/>
        <w:rPr>
          <w:lang w:eastAsia="ko-KR"/>
        </w:rPr>
      </w:pPr>
      <w:r w:rsidRPr="00662590">
        <w:rPr>
          <w:lang w:eastAsia="ko-KR"/>
        </w:rPr>
        <w:t>Reassessment of a classification level </w:t>
      </w:r>
    </w:p>
    <w:p w14:paraId="280D00E1" w14:textId="0A2AE063" w:rsidR="00F80D60" w:rsidRDefault="00F80D60" w:rsidP="00622CFF">
      <w:pPr>
        <w:spacing w:before="240" w:after="240" w:line="240" w:lineRule="auto"/>
        <w:rPr>
          <w:lang w:val="en-AU" w:eastAsia="ko-KR"/>
        </w:rPr>
      </w:pPr>
      <w:r w:rsidRPr="00662590">
        <w:rPr>
          <w:lang w:val="en-AU" w:eastAsia="ko-KR"/>
        </w:rPr>
        <w:t xml:space="preserve">Depending on the classification type for </w:t>
      </w:r>
      <w:r w:rsidR="00686DF3">
        <w:rPr>
          <w:lang w:val="en-AU" w:eastAsia="ko-KR"/>
        </w:rPr>
        <w:t xml:space="preserve">the </w:t>
      </w:r>
      <w:r w:rsidRPr="00662590">
        <w:rPr>
          <w:lang w:val="en-AU" w:eastAsia="ko-KR"/>
        </w:rPr>
        <w:t xml:space="preserve">service group, an individual or a registered provider acting on behalf of the individual may have the right to </w:t>
      </w:r>
      <w:r w:rsidRPr="00747033">
        <w:rPr>
          <w:lang w:val="en-AU" w:eastAsia="ko-KR"/>
        </w:rPr>
        <w:t>apply for a reassessment</w:t>
      </w:r>
      <w:r w:rsidRPr="00662590">
        <w:rPr>
          <w:lang w:val="en-AU" w:eastAsia="ko-KR"/>
        </w:rPr>
        <w:t xml:space="preserve"> </w:t>
      </w:r>
      <w:r w:rsidRPr="00747033">
        <w:rPr>
          <w:lang w:val="en-AU" w:eastAsia="ko-KR"/>
        </w:rPr>
        <w:t>of a classification level</w:t>
      </w:r>
      <w:r w:rsidRPr="00662590">
        <w:rPr>
          <w:lang w:val="en-AU" w:eastAsia="ko-KR"/>
        </w:rPr>
        <w:t xml:space="preserve"> under section 82</w:t>
      </w:r>
      <w:r w:rsidR="00686DF3">
        <w:rPr>
          <w:lang w:val="en-AU" w:eastAsia="ko-KR"/>
        </w:rPr>
        <w:t xml:space="preserve"> of the Aged Care Act 2024</w:t>
      </w:r>
      <w:r w:rsidRPr="00662590">
        <w:rPr>
          <w:lang w:val="en-AU" w:eastAsia="ko-KR"/>
        </w:rPr>
        <w:t xml:space="preserve">. Section 82 outlines who may apply for a classification </w:t>
      </w:r>
      <w:r w:rsidR="00F31900">
        <w:rPr>
          <w:lang w:val="en-AU" w:eastAsia="ko-KR"/>
        </w:rPr>
        <w:t>re</w:t>
      </w:r>
      <w:r w:rsidRPr="00662590">
        <w:rPr>
          <w:lang w:val="en-AU" w:eastAsia="ko-KR"/>
        </w:rPr>
        <w:t>assessment for each classification type for a service group and when an application may be made. This is outlined in the table below. </w:t>
      </w:r>
    </w:p>
    <w:p w14:paraId="34CD3530" w14:textId="120800B8" w:rsidR="00F80D60" w:rsidRPr="00662590" w:rsidRDefault="00F80D60" w:rsidP="00622CFF">
      <w:pPr>
        <w:pStyle w:val="Caption"/>
        <w:spacing w:before="240" w:after="240"/>
        <w:rPr>
          <w:lang w:val="en-AU" w:eastAsia="ko-KR"/>
        </w:rPr>
      </w:pPr>
      <w:r>
        <w:rPr>
          <w:lang w:val="en-AU" w:eastAsia="ko-KR"/>
        </w:rPr>
        <w:t>Table 5</w:t>
      </w:r>
      <w:r w:rsidR="00381271">
        <w:rPr>
          <w:lang w:val="en-AU" w:eastAsia="ko-KR"/>
        </w:rPr>
        <w:t>4</w:t>
      </w:r>
      <w:r>
        <w:rPr>
          <w:lang w:val="en-AU" w:eastAsia="ko-KR"/>
        </w:rPr>
        <w:t xml:space="preserve">. Circumstances when a classification reassessment can be sought </w:t>
      </w:r>
    </w:p>
    <w:tbl>
      <w:tblPr>
        <w:tblW w:w="9026"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Circumstances when a classification reassessment can be sought"/>
      </w:tblPr>
      <w:tblGrid>
        <w:gridCol w:w="1573"/>
        <w:gridCol w:w="1670"/>
        <w:gridCol w:w="5783"/>
      </w:tblGrid>
      <w:tr w:rsidR="00F80D60" w:rsidRPr="00B14746" w14:paraId="7C465993" w14:textId="77777777" w:rsidTr="00141E2D">
        <w:trPr>
          <w:trHeight w:val="300"/>
          <w:tblHeader/>
        </w:trPr>
        <w:tc>
          <w:tcPr>
            <w:tcW w:w="1573" w:type="dxa"/>
            <w:shd w:val="clear" w:color="auto" w:fill="002060"/>
            <w:hideMark/>
          </w:tcPr>
          <w:p w14:paraId="3F7E4F6D" w14:textId="77777777" w:rsidR="00F80D60" w:rsidRPr="005F796D" w:rsidRDefault="00F80D60" w:rsidP="005747E4">
            <w:pPr>
              <w:spacing w:before="120" w:after="120" w:line="240" w:lineRule="auto"/>
              <w:ind w:left="142"/>
              <w:rPr>
                <w:b/>
                <w:bCs/>
                <w:color w:val="FFFFFF" w:themeColor="background1"/>
                <w:lang w:val="en-AU" w:eastAsia="ko-KR"/>
              </w:rPr>
            </w:pPr>
            <w:r w:rsidRPr="005F796D">
              <w:rPr>
                <w:b/>
                <w:bCs/>
                <w:color w:val="FFFFFF" w:themeColor="background1"/>
                <w:lang w:val="en-AU" w:eastAsia="ko-KR"/>
              </w:rPr>
              <w:t>Classification type for a service group </w:t>
            </w:r>
          </w:p>
        </w:tc>
        <w:tc>
          <w:tcPr>
            <w:tcW w:w="1121" w:type="dxa"/>
            <w:shd w:val="clear" w:color="auto" w:fill="002060"/>
            <w:hideMark/>
          </w:tcPr>
          <w:p w14:paraId="6BB9CC08" w14:textId="77777777" w:rsidR="00F80D60" w:rsidRPr="005F796D" w:rsidRDefault="00F80D60" w:rsidP="005747E4">
            <w:pPr>
              <w:spacing w:before="120" w:after="120" w:line="240" w:lineRule="auto"/>
              <w:ind w:left="141"/>
              <w:rPr>
                <w:b/>
                <w:bCs/>
                <w:color w:val="FFFFFF" w:themeColor="background1"/>
                <w:lang w:val="en-AU" w:eastAsia="ko-KR"/>
              </w:rPr>
            </w:pPr>
            <w:r w:rsidRPr="005F796D">
              <w:rPr>
                <w:b/>
                <w:bCs/>
                <w:color w:val="FFFFFF" w:themeColor="background1"/>
                <w:lang w:val="en-AU" w:eastAsia="ko-KR"/>
              </w:rPr>
              <w:t>Who can apply for a classification reassessment </w:t>
            </w:r>
          </w:p>
        </w:tc>
        <w:tc>
          <w:tcPr>
            <w:tcW w:w="6332" w:type="dxa"/>
            <w:shd w:val="clear" w:color="auto" w:fill="002060"/>
            <w:hideMark/>
          </w:tcPr>
          <w:p w14:paraId="51D53B07" w14:textId="77777777" w:rsidR="00F80D60" w:rsidRPr="005F796D" w:rsidRDefault="00F80D60" w:rsidP="005747E4">
            <w:pPr>
              <w:spacing w:before="120" w:after="120" w:line="240" w:lineRule="auto"/>
              <w:rPr>
                <w:b/>
                <w:bCs/>
                <w:color w:val="FFFFFF" w:themeColor="background1"/>
                <w:lang w:val="en-AU" w:eastAsia="ko-KR"/>
              </w:rPr>
            </w:pPr>
            <w:r w:rsidRPr="005F796D">
              <w:rPr>
                <w:b/>
                <w:bCs/>
                <w:color w:val="FFFFFF" w:themeColor="background1"/>
                <w:lang w:val="en-AU" w:eastAsia="ko-KR"/>
              </w:rPr>
              <w:t>When can a classification reassessment be sought </w:t>
            </w:r>
          </w:p>
        </w:tc>
      </w:tr>
      <w:tr w:rsidR="00F80D60" w:rsidRPr="00662590" w14:paraId="14124A00" w14:textId="77777777" w:rsidTr="00141E2D">
        <w:trPr>
          <w:trHeight w:val="300"/>
        </w:trPr>
        <w:tc>
          <w:tcPr>
            <w:tcW w:w="1573" w:type="dxa"/>
            <w:shd w:val="clear" w:color="auto" w:fill="002060"/>
            <w:hideMark/>
          </w:tcPr>
          <w:p w14:paraId="31E75B08"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Ongoing or short</w:t>
            </w:r>
            <w:r w:rsidRPr="005F796D">
              <w:rPr>
                <w:color w:val="FFFFFF" w:themeColor="background1"/>
                <w:lang w:val="en-AU" w:eastAsia="ko-KR"/>
              </w:rPr>
              <w:noBreakHyphen/>
              <w:t>term for home support, assistive technology or home modifications </w:t>
            </w:r>
          </w:p>
        </w:tc>
        <w:tc>
          <w:tcPr>
            <w:tcW w:w="1121" w:type="dxa"/>
            <w:hideMark/>
          </w:tcPr>
          <w:p w14:paraId="139C1AD9" w14:textId="77777777" w:rsidR="00F80D60" w:rsidRPr="00662590" w:rsidRDefault="00F80D60" w:rsidP="005747E4">
            <w:pPr>
              <w:spacing w:before="120" w:after="120" w:line="240" w:lineRule="auto"/>
              <w:ind w:left="141"/>
              <w:rPr>
                <w:lang w:val="en-AU" w:eastAsia="ko-KR"/>
              </w:rPr>
            </w:pPr>
            <w:r w:rsidRPr="00662590">
              <w:rPr>
                <w:lang w:val="en-AU" w:eastAsia="ko-KR"/>
              </w:rPr>
              <w:t>The individual  </w:t>
            </w:r>
          </w:p>
        </w:tc>
        <w:tc>
          <w:tcPr>
            <w:tcW w:w="6332" w:type="dxa"/>
            <w:hideMark/>
          </w:tcPr>
          <w:p w14:paraId="66BEC19C" w14:textId="77777777" w:rsidR="00F80D60" w:rsidRPr="00662590" w:rsidRDefault="00F80D60" w:rsidP="005747E4">
            <w:pPr>
              <w:spacing w:before="120" w:after="120" w:line="240" w:lineRule="auto"/>
              <w:rPr>
                <w:lang w:val="en-AU" w:eastAsia="ko-KR"/>
              </w:rPr>
            </w:pPr>
            <w:r w:rsidRPr="00662590">
              <w:rPr>
                <w:lang w:val="en-AU" w:eastAsia="ko-KR"/>
              </w:rPr>
              <w:t>If: </w:t>
            </w:r>
          </w:p>
          <w:p w14:paraId="3F166227" w14:textId="77777777" w:rsidR="00F80D60" w:rsidRPr="00662590" w:rsidRDefault="00F80D60" w:rsidP="00DF3F6B">
            <w:pPr>
              <w:numPr>
                <w:ilvl w:val="0"/>
                <w:numId w:val="319"/>
              </w:numPr>
              <w:spacing w:before="120" w:after="120" w:line="240" w:lineRule="auto"/>
              <w:rPr>
                <w:lang w:val="en-AU" w:eastAsia="ko-KR"/>
              </w:rPr>
            </w:pPr>
            <w:r w:rsidRPr="00662590">
              <w:rPr>
                <w:lang w:val="en-AU" w:eastAsia="ko-KR"/>
              </w:rPr>
              <w:t xml:space="preserve">the classification type is in effect for the individual; </w:t>
            </w:r>
            <w:r w:rsidRPr="00662590">
              <w:rPr>
                <w:u w:val="single"/>
                <w:lang w:val="en-AU" w:eastAsia="ko-KR"/>
              </w:rPr>
              <w:t>and</w:t>
            </w:r>
            <w:r w:rsidRPr="00662590">
              <w:rPr>
                <w:lang w:val="en-AU" w:eastAsia="ko-KR"/>
              </w:rPr>
              <w:t> </w:t>
            </w:r>
          </w:p>
          <w:p w14:paraId="58C03BE5" w14:textId="77777777" w:rsidR="00F80D60" w:rsidRPr="00662590" w:rsidRDefault="00F80D60" w:rsidP="00DF3F6B">
            <w:pPr>
              <w:numPr>
                <w:ilvl w:val="0"/>
                <w:numId w:val="320"/>
              </w:numPr>
              <w:spacing w:before="120" w:after="120" w:line="240" w:lineRule="auto"/>
              <w:rPr>
                <w:lang w:val="en-AU" w:eastAsia="ko-KR"/>
              </w:rPr>
            </w:pPr>
            <w:r w:rsidRPr="00662590">
              <w:rPr>
                <w:lang w:val="en-AU" w:eastAsia="ko-KR"/>
              </w:rPr>
              <w:t xml:space="preserve">the individual considers a different classification level in the classification type for the service group should be approved; </w:t>
            </w:r>
            <w:r w:rsidRPr="00662590">
              <w:rPr>
                <w:u w:val="single"/>
                <w:lang w:val="en-AU" w:eastAsia="ko-KR"/>
              </w:rPr>
              <w:t>and</w:t>
            </w:r>
            <w:r w:rsidRPr="00662590">
              <w:rPr>
                <w:lang w:val="en-AU" w:eastAsia="ko-KR"/>
              </w:rPr>
              <w:t> </w:t>
            </w:r>
          </w:p>
          <w:p w14:paraId="61C6B634" w14:textId="77777777" w:rsidR="00F80D60" w:rsidRPr="00662590" w:rsidRDefault="00F80D60" w:rsidP="00DF3F6B">
            <w:pPr>
              <w:numPr>
                <w:ilvl w:val="0"/>
                <w:numId w:val="321"/>
              </w:numPr>
              <w:spacing w:before="120" w:after="120" w:line="240" w:lineRule="auto"/>
              <w:rPr>
                <w:lang w:val="en-AU" w:eastAsia="ko-KR"/>
              </w:rPr>
            </w:pPr>
            <w:r w:rsidRPr="00662590">
              <w:rPr>
                <w:lang w:val="en-AU" w:eastAsia="ko-KR"/>
              </w:rPr>
              <w:t xml:space="preserve">the funded aged care services are </w:t>
            </w:r>
            <w:r w:rsidRPr="00662590">
              <w:rPr>
                <w:u w:val="single"/>
                <w:lang w:val="en-AU" w:eastAsia="ko-KR"/>
              </w:rPr>
              <w:t xml:space="preserve">not </w:t>
            </w:r>
            <w:r w:rsidRPr="00662590">
              <w:rPr>
                <w:lang w:val="en-AU" w:eastAsia="ko-KR"/>
              </w:rPr>
              <w:t xml:space="preserve">being delivered under a specialist aged care program; </w:t>
            </w:r>
            <w:r w:rsidRPr="00662590">
              <w:rPr>
                <w:u w:val="single"/>
                <w:lang w:val="en-AU" w:eastAsia="ko-KR"/>
              </w:rPr>
              <w:t>and</w:t>
            </w:r>
            <w:r w:rsidRPr="00662590">
              <w:rPr>
                <w:lang w:val="en-AU" w:eastAsia="ko-KR"/>
              </w:rPr>
              <w:t> </w:t>
            </w:r>
          </w:p>
          <w:p w14:paraId="1F48C5F4" w14:textId="4EB1F7E2" w:rsidR="00F80D60" w:rsidRPr="00662590" w:rsidRDefault="007A0A84" w:rsidP="00DF3F6B">
            <w:pPr>
              <w:numPr>
                <w:ilvl w:val="0"/>
                <w:numId w:val="322"/>
              </w:numPr>
              <w:spacing w:before="120" w:after="120" w:line="240" w:lineRule="auto"/>
              <w:rPr>
                <w:lang w:val="en-AU" w:eastAsia="ko-KR"/>
              </w:rPr>
            </w:pPr>
            <w:r>
              <w:rPr>
                <w:lang w:val="en-AU" w:eastAsia="ko-KR"/>
              </w:rPr>
              <w:t>it is</w:t>
            </w:r>
            <w:r w:rsidR="00F80D60" w:rsidRPr="00662590">
              <w:rPr>
                <w:lang w:val="en-AU" w:eastAsia="ko-KR"/>
              </w:rPr>
              <w:t xml:space="preserve"> consider</w:t>
            </w:r>
            <w:r>
              <w:rPr>
                <w:lang w:val="en-AU" w:eastAsia="ko-KR"/>
              </w:rPr>
              <w:t>ed</w:t>
            </w:r>
            <w:r w:rsidR="00F80D60" w:rsidRPr="00662590">
              <w:rPr>
                <w:lang w:val="en-AU" w:eastAsia="ko-KR"/>
              </w:rPr>
              <w:t xml:space="preserve"> the circumstances (if any) prescribed by the </w:t>
            </w:r>
            <w:r w:rsidR="007F5885">
              <w:rPr>
                <w:lang w:val="en-AU" w:eastAsia="ko-KR"/>
              </w:rPr>
              <w:t>Aged Care R</w:t>
            </w:r>
            <w:r w:rsidR="00F80D60" w:rsidRPr="00662590">
              <w:rPr>
                <w:lang w:val="en-AU" w:eastAsia="ko-KR"/>
              </w:rPr>
              <w:t>ules</w:t>
            </w:r>
            <w:r w:rsidR="007F5885">
              <w:rPr>
                <w:lang w:val="en-AU" w:eastAsia="ko-KR"/>
              </w:rPr>
              <w:t xml:space="preserve"> 2025 (the Rules)</w:t>
            </w:r>
            <w:r w:rsidR="00F80D60" w:rsidRPr="00662590">
              <w:rPr>
                <w:lang w:val="en-AU" w:eastAsia="ko-KR"/>
              </w:rPr>
              <w:t xml:space="preserve"> apply. </w:t>
            </w:r>
          </w:p>
          <w:p w14:paraId="45DEEC0B" w14:textId="77777777" w:rsidR="00F80D60" w:rsidRPr="00662590" w:rsidRDefault="00F80D60" w:rsidP="005747E4">
            <w:pPr>
              <w:spacing w:before="120" w:after="120" w:line="240" w:lineRule="auto"/>
              <w:rPr>
                <w:lang w:val="en-AU" w:eastAsia="ko-KR"/>
              </w:rPr>
            </w:pPr>
            <w:r w:rsidRPr="00662590">
              <w:rPr>
                <w:lang w:val="en-AU" w:eastAsia="ko-KR"/>
              </w:rPr>
              <w:t>  </w:t>
            </w:r>
          </w:p>
        </w:tc>
      </w:tr>
      <w:tr w:rsidR="00F80D60" w:rsidRPr="00662590" w14:paraId="02B4C265" w14:textId="77777777" w:rsidTr="00141E2D">
        <w:trPr>
          <w:trHeight w:val="300"/>
        </w:trPr>
        <w:tc>
          <w:tcPr>
            <w:tcW w:w="1573" w:type="dxa"/>
            <w:shd w:val="clear" w:color="auto" w:fill="002060"/>
            <w:hideMark/>
          </w:tcPr>
          <w:p w14:paraId="1CAD99F9"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Ongoing  for residential care </w:t>
            </w:r>
          </w:p>
        </w:tc>
        <w:tc>
          <w:tcPr>
            <w:tcW w:w="1121" w:type="dxa"/>
            <w:hideMark/>
          </w:tcPr>
          <w:p w14:paraId="4AF8B33B" w14:textId="77777777" w:rsidR="00F80D60" w:rsidRPr="00662590" w:rsidRDefault="00F80D60" w:rsidP="005747E4">
            <w:pPr>
              <w:spacing w:before="120" w:after="120" w:line="240" w:lineRule="auto"/>
              <w:ind w:left="141"/>
              <w:rPr>
                <w:lang w:val="en-AU" w:eastAsia="ko-KR"/>
              </w:rPr>
            </w:pPr>
            <w:r w:rsidRPr="00662590">
              <w:rPr>
                <w:lang w:val="en-AU" w:eastAsia="ko-KR"/>
              </w:rPr>
              <w:t>The individual  </w:t>
            </w:r>
          </w:p>
          <w:p w14:paraId="4200CD1A" w14:textId="77777777" w:rsidR="00F80D60" w:rsidRPr="00662590" w:rsidRDefault="00F80D60" w:rsidP="005747E4">
            <w:pPr>
              <w:spacing w:before="120" w:after="120" w:line="240" w:lineRule="auto"/>
              <w:ind w:left="141"/>
              <w:rPr>
                <w:lang w:val="en-AU" w:eastAsia="ko-KR"/>
              </w:rPr>
            </w:pPr>
            <w:r w:rsidRPr="00662590">
              <w:rPr>
                <w:lang w:val="en-AU" w:eastAsia="ko-KR"/>
              </w:rPr>
              <w:t>  </w:t>
            </w:r>
          </w:p>
          <w:p w14:paraId="33C94326" w14:textId="77777777" w:rsidR="00F80D60" w:rsidRPr="00662590" w:rsidRDefault="00F80D60" w:rsidP="005747E4">
            <w:pPr>
              <w:spacing w:before="120" w:after="120" w:line="240" w:lineRule="auto"/>
              <w:ind w:left="141"/>
              <w:rPr>
                <w:lang w:val="en-AU" w:eastAsia="ko-KR"/>
              </w:rPr>
            </w:pPr>
            <w:r w:rsidRPr="00662590">
              <w:rPr>
                <w:lang w:val="en-AU" w:eastAsia="ko-KR"/>
              </w:rPr>
              <w:t>A registered provider on behalf of the individual  </w:t>
            </w:r>
          </w:p>
        </w:tc>
        <w:tc>
          <w:tcPr>
            <w:tcW w:w="6332" w:type="dxa"/>
            <w:hideMark/>
          </w:tcPr>
          <w:p w14:paraId="4B21E770" w14:textId="77777777" w:rsidR="00F80D60" w:rsidRPr="00662590" w:rsidRDefault="00F80D60" w:rsidP="005747E4">
            <w:pPr>
              <w:spacing w:before="120" w:after="120" w:line="240" w:lineRule="auto"/>
              <w:rPr>
                <w:lang w:val="en-AU" w:eastAsia="ko-KR"/>
              </w:rPr>
            </w:pPr>
            <w:r w:rsidRPr="00662590">
              <w:rPr>
                <w:lang w:val="en-AU" w:eastAsia="ko-KR"/>
              </w:rPr>
              <w:t>If: </w:t>
            </w:r>
          </w:p>
          <w:p w14:paraId="6EB89D55" w14:textId="77777777" w:rsidR="00F80D60" w:rsidRPr="00662590" w:rsidRDefault="00F80D60" w:rsidP="00DF3F6B">
            <w:pPr>
              <w:numPr>
                <w:ilvl w:val="0"/>
                <w:numId w:val="323"/>
              </w:numPr>
              <w:spacing w:before="120" w:after="120" w:line="240" w:lineRule="auto"/>
              <w:rPr>
                <w:lang w:val="en-AU" w:eastAsia="ko-KR"/>
              </w:rPr>
            </w:pPr>
            <w:r w:rsidRPr="00662590">
              <w:rPr>
                <w:lang w:val="en-AU" w:eastAsia="ko-KR"/>
              </w:rPr>
              <w:t xml:space="preserve">The registered provider is delivering ongoing funded aged care services to the individual through the service group in an approved residential care home; </w:t>
            </w:r>
            <w:r w:rsidRPr="00662590">
              <w:rPr>
                <w:u w:val="single"/>
                <w:lang w:val="en-AU" w:eastAsia="ko-KR"/>
              </w:rPr>
              <w:t>and</w:t>
            </w:r>
            <w:r w:rsidRPr="00662590">
              <w:rPr>
                <w:lang w:val="en-AU" w:eastAsia="ko-KR"/>
              </w:rPr>
              <w:t> </w:t>
            </w:r>
          </w:p>
          <w:p w14:paraId="3B78CA6D" w14:textId="77777777" w:rsidR="00F80D60" w:rsidRPr="00662590" w:rsidRDefault="00F80D60" w:rsidP="00DF3F6B">
            <w:pPr>
              <w:numPr>
                <w:ilvl w:val="0"/>
                <w:numId w:val="324"/>
              </w:numPr>
              <w:spacing w:before="120" w:after="120" w:line="240" w:lineRule="auto"/>
              <w:rPr>
                <w:lang w:val="en-AU" w:eastAsia="ko-KR"/>
              </w:rPr>
            </w:pPr>
            <w:r w:rsidRPr="00662590">
              <w:rPr>
                <w:lang w:val="en-AU" w:eastAsia="ko-KR"/>
              </w:rPr>
              <w:t xml:space="preserve">the applicant considers a different classification level in the classification type for the service group should be approved for the individual; </w:t>
            </w:r>
            <w:r w:rsidRPr="00662590">
              <w:rPr>
                <w:u w:val="single"/>
                <w:lang w:val="en-AU" w:eastAsia="ko-KR"/>
              </w:rPr>
              <w:t>and</w:t>
            </w:r>
            <w:r w:rsidRPr="00662590">
              <w:rPr>
                <w:lang w:val="en-AU" w:eastAsia="ko-KR"/>
              </w:rPr>
              <w:t> </w:t>
            </w:r>
          </w:p>
          <w:p w14:paraId="23FA9DE0" w14:textId="77777777" w:rsidR="00F80D60" w:rsidRPr="00662590" w:rsidRDefault="00F80D60" w:rsidP="00DF3F6B">
            <w:pPr>
              <w:numPr>
                <w:ilvl w:val="0"/>
                <w:numId w:val="325"/>
              </w:numPr>
              <w:spacing w:before="120" w:after="120" w:line="240" w:lineRule="auto"/>
              <w:rPr>
                <w:lang w:val="en-AU" w:eastAsia="ko-KR"/>
              </w:rPr>
            </w:pPr>
            <w:r w:rsidRPr="00662590">
              <w:rPr>
                <w:lang w:val="en-AU" w:eastAsia="ko-KR"/>
              </w:rPr>
              <w:t xml:space="preserve">the funded aged care services are </w:t>
            </w:r>
            <w:r w:rsidRPr="00662590">
              <w:rPr>
                <w:u w:val="single"/>
                <w:lang w:val="en-AU" w:eastAsia="ko-KR"/>
              </w:rPr>
              <w:t>not</w:t>
            </w:r>
            <w:r w:rsidRPr="00662590">
              <w:rPr>
                <w:lang w:val="en-AU" w:eastAsia="ko-KR"/>
              </w:rPr>
              <w:t xml:space="preserve"> being delivered under a specialist aged care program; </w:t>
            </w:r>
            <w:r w:rsidRPr="00662590">
              <w:rPr>
                <w:u w:val="single"/>
                <w:lang w:val="en-AU" w:eastAsia="ko-KR"/>
              </w:rPr>
              <w:t>and</w:t>
            </w:r>
            <w:r w:rsidRPr="00662590">
              <w:rPr>
                <w:lang w:val="en-AU" w:eastAsia="ko-KR"/>
              </w:rPr>
              <w:t> </w:t>
            </w:r>
          </w:p>
          <w:p w14:paraId="608771E4" w14:textId="77777777" w:rsidR="00F80D60" w:rsidRPr="00662590" w:rsidRDefault="00F80D60" w:rsidP="00DF3F6B">
            <w:pPr>
              <w:numPr>
                <w:ilvl w:val="0"/>
                <w:numId w:val="326"/>
              </w:numPr>
              <w:spacing w:before="120" w:after="120" w:line="240" w:lineRule="auto"/>
              <w:rPr>
                <w:lang w:val="en-AU" w:eastAsia="ko-KR"/>
              </w:rPr>
            </w:pPr>
            <w:r w:rsidRPr="00662590">
              <w:rPr>
                <w:lang w:val="en-AU" w:eastAsia="ko-KR"/>
              </w:rPr>
              <w:t>either of the following apply: </w:t>
            </w:r>
          </w:p>
          <w:p w14:paraId="472917A9" w14:textId="77777777" w:rsidR="00F80D60" w:rsidRPr="00662590" w:rsidRDefault="00F80D60" w:rsidP="00DF3F6B">
            <w:pPr>
              <w:numPr>
                <w:ilvl w:val="0"/>
                <w:numId w:val="327"/>
              </w:numPr>
              <w:spacing w:before="120" w:after="120" w:line="240" w:lineRule="auto"/>
              <w:rPr>
                <w:lang w:val="en-AU" w:eastAsia="ko-KR"/>
              </w:rPr>
            </w:pPr>
            <w:r w:rsidRPr="00662590">
              <w:rPr>
                <w:lang w:val="en-AU" w:eastAsia="ko-KR"/>
              </w:rPr>
              <w:t>if the rules prescribe a time period—not more than the number of applications prescribed by the rules have been made for the individual under subsection 82(2) of the Act in that time period; </w:t>
            </w:r>
          </w:p>
          <w:p w14:paraId="0E7D9473" w14:textId="1C7F85E6" w:rsidR="00F80D60" w:rsidRPr="00662590" w:rsidRDefault="00F80D60" w:rsidP="00DF3F6B">
            <w:pPr>
              <w:numPr>
                <w:ilvl w:val="0"/>
                <w:numId w:val="328"/>
              </w:numPr>
              <w:spacing w:before="120" w:after="120" w:line="240" w:lineRule="auto"/>
              <w:rPr>
                <w:lang w:val="en-AU" w:eastAsia="ko-KR"/>
              </w:rPr>
            </w:pPr>
            <w:r w:rsidRPr="00662590">
              <w:rPr>
                <w:lang w:val="en-AU" w:eastAsia="ko-KR"/>
              </w:rPr>
              <w:t> </w:t>
            </w:r>
            <w:r w:rsidR="007A0A84">
              <w:rPr>
                <w:lang w:val="en-AU" w:eastAsia="ko-KR"/>
              </w:rPr>
              <w:t>it is</w:t>
            </w:r>
            <w:r w:rsidRPr="00662590">
              <w:rPr>
                <w:lang w:val="en-AU" w:eastAsia="ko-KR"/>
              </w:rPr>
              <w:t xml:space="preserve"> consider</w:t>
            </w:r>
            <w:r w:rsidR="007A0A84">
              <w:rPr>
                <w:lang w:val="en-AU" w:eastAsia="ko-KR"/>
              </w:rPr>
              <w:t>ed</w:t>
            </w:r>
            <w:r w:rsidRPr="00662590">
              <w:rPr>
                <w:lang w:val="en-AU" w:eastAsia="ko-KR"/>
              </w:rPr>
              <w:t xml:space="preserve"> the circumstances (if any) prescribed by the </w:t>
            </w:r>
            <w:r w:rsidR="007F5885">
              <w:rPr>
                <w:lang w:val="en-AU" w:eastAsia="ko-KR"/>
              </w:rPr>
              <w:t>R</w:t>
            </w:r>
            <w:r w:rsidRPr="00662590">
              <w:rPr>
                <w:lang w:val="en-AU" w:eastAsia="ko-KR"/>
              </w:rPr>
              <w:t>ules apply. </w:t>
            </w:r>
          </w:p>
        </w:tc>
      </w:tr>
      <w:tr w:rsidR="00F80D60" w:rsidRPr="00662590" w14:paraId="4FA26EAF" w14:textId="77777777" w:rsidTr="00141E2D">
        <w:trPr>
          <w:trHeight w:val="300"/>
        </w:trPr>
        <w:tc>
          <w:tcPr>
            <w:tcW w:w="1573" w:type="dxa"/>
            <w:shd w:val="clear" w:color="auto" w:fill="002060"/>
            <w:hideMark/>
          </w:tcPr>
          <w:p w14:paraId="6B923C29"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Short-term for residential care </w:t>
            </w:r>
          </w:p>
        </w:tc>
        <w:tc>
          <w:tcPr>
            <w:tcW w:w="1121" w:type="dxa"/>
            <w:hideMark/>
          </w:tcPr>
          <w:p w14:paraId="641AD5D3" w14:textId="77777777" w:rsidR="00F80D60" w:rsidRPr="00662590" w:rsidRDefault="00F80D60" w:rsidP="005747E4">
            <w:pPr>
              <w:spacing w:before="120" w:after="120" w:line="240" w:lineRule="auto"/>
              <w:ind w:left="141"/>
              <w:rPr>
                <w:lang w:val="en-AU" w:eastAsia="ko-KR"/>
              </w:rPr>
            </w:pPr>
            <w:r w:rsidRPr="00662590">
              <w:rPr>
                <w:lang w:val="en-AU" w:eastAsia="ko-KR"/>
              </w:rPr>
              <w:t>The individual  </w:t>
            </w:r>
          </w:p>
          <w:p w14:paraId="7489E3D4" w14:textId="77777777" w:rsidR="00F80D60" w:rsidRPr="00662590" w:rsidRDefault="00F80D60" w:rsidP="005747E4">
            <w:pPr>
              <w:spacing w:before="120" w:after="120" w:line="240" w:lineRule="auto"/>
              <w:ind w:left="141"/>
              <w:rPr>
                <w:lang w:val="en-AU" w:eastAsia="ko-KR"/>
              </w:rPr>
            </w:pPr>
            <w:r w:rsidRPr="00662590">
              <w:rPr>
                <w:lang w:val="en-AU" w:eastAsia="ko-KR"/>
              </w:rPr>
              <w:t>  </w:t>
            </w:r>
          </w:p>
          <w:p w14:paraId="68F63699" w14:textId="77777777" w:rsidR="00F80D60" w:rsidRPr="00662590" w:rsidRDefault="00F80D60" w:rsidP="005747E4">
            <w:pPr>
              <w:spacing w:before="120" w:after="120" w:line="240" w:lineRule="auto"/>
              <w:ind w:left="141"/>
              <w:rPr>
                <w:lang w:val="en-AU" w:eastAsia="ko-KR"/>
              </w:rPr>
            </w:pPr>
            <w:r w:rsidRPr="00662590">
              <w:rPr>
                <w:lang w:val="en-AU" w:eastAsia="ko-KR"/>
              </w:rPr>
              <w:t>The registered provider on behalf of the individual  </w:t>
            </w:r>
          </w:p>
        </w:tc>
        <w:tc>
          <w:tcPr>
            <w:tcW w:w="6332" w:type="dxa"/>
            <w:hideMark/>
          </w:tcPr>
          <w:p w14:paraId="48996BB7" w14:textId="77777777" w:rsidR="00F80D60" w:rsidRPr="00662590" w:rsidRDefault="00F80D60" w:rsidP="005747E4">
            <w:pPr>
              <w:spacing w:before="120" w:after="120" w:line="240" w:lineRule="auto"/>
              <w:rPr>
                <w:lang w:val="en-AU" w:eastAsia="ko-KR"/>
              </w:rPr>
            </w:pPr>
            <w:r w:rsidRPr="00662590">
              <w:rPr>
                <w:lang w:val="en-AU" w:eastAsia="ko-KR"/>
              </w:rPr>
              <w:t>If: </w:t>
            </w:r>
          </w:p>
          <w:p w14:paraId="40C6270B" w14:textId="77777777" w:rsidR="00F80D60" w:rsidRPr="00662590" w:rsidRDefault="00F80D60" w:rsidP="005747E4">
            <w:pPr>
              <w:spacing w:before="120" w:after="120" w:line="240" w:lineRule="auto"/>
              <w:rPr>
                <w:lang w:val="en-AU" w:eastAsia="ko-KR"/>
              </w:rPr>
            </w:pPr>
            <w:r w:rsidRPr="00662590">
              <w:rPr>
                <w:lang w:val="en-AU" w:eastAsia="ko-KR"/>
              </w:rPr>
              <w:t>  </w:t>
            </w:r>
          </w:p>
          <w:p w14:paraId="0CD4A97D" w14:textId="77777777" w:rsidR="00F80D60" w:rsidRPr="00662590" w:rsidRDefault="00F80D60" w:rsidP="00DF3F6B">
            <w:pPr>
              <w:numPr>
                <w:ilvl w:val="0"/>
                <w:numId w:val="329"/>
              </w:numPr>
              <w:spacing w:before="120" w:after="120" w:line="240" w:lineRule="auto"/>
              <w:rPr>
                <w:lang w:val="en-AU" w:eastAsia="ko-KR"/>
              </w:rPr>
            </w:pPr>
            <w:r w:rsidRPr="00662590">
              <w:rPr>
                <w:lang w:val="en-AU" w:eastAsia="ko-KR"/>
              </w:rPr>
              <w:t xml:space="preserve">the applicant considers a different classification level in the classification type for the service group should be approved for the individual; </w:t>
            </w:r>
            <w:r w:rsidRPr="00662590">
              <w:rPr>
                <w:u w:val="single"/>
                <w:lang w:val="en-AU" w:eastAsia="ko-KR"/>
              </w:rPr>
              <w:t>and</w:t>
            </w:r>
            <w:r w:rsidRPr="00662590">
              <w:rPr>
                <w:lang w:val="en-AU" w:eastAsia="ko-KR"/>
              </w:rPr>
              <w:t> </w:t>
            </w:r>
          </w:p>
          <w:p w14:paraId="5576E7BE" w14:textId="77777777" w:rsidR="00F80D60" w:rsidRPr="00662590" w:rsidRDefault="00F80D60" w:rsidP="00DF3F6B">
            <w:pPr>
              <w:numPr>
                <w:ilvl w:val="0"/>
                <w:numId w:val="330"/>
              </w:numPr>
              <w:spacing w:before="120" w:after="120" w:line="240" w:lineRule="auto"/>
              <w:rPr>
                <w:lang w:val="en-AU" w:eastAsia="ko-KR"/>
              </w:rPr>
            </w:pPr>
            <w:r w:rsidRPr="00662590">
              <w:rPr>
                <w:lang w:val="en-AU" w:eastAsia="ko-KR"/>
              </w:rPr>
              <w:t xml:space="preserve"> an access approval is in effect for the individual for the classification type for the service group; </w:t>
            </w:r>
            <w:r w:rsidRPr="00662590">
              <w:rPr>
                <w:u w:val="single"/>
                <w:lang w:val="en-AU" w:eastAsia="ko-KR"/>
              </w:rPr>
              <w:t>and</w:t>
            </w:r>
            <w:r w:rsidRPr="00662590">
              <w:rPr>
                <w:lang w:val="en-AU" w:eastAsia="ko-KR"/>
              </w:rPr>
              <w:t> </w:t>
            </w:r>
          </w:p>
          <w:p w14:paraId="4DA53ADD" w14:textId="77777777" w:rsidR="00F80D60" w:rsidRPr="00662590" w:rsidRDefault="00F80D60" w:rsidP="00DF3F6B">
            <w:pPr>
              <w:numPr>
                <w:ilvl w:val="0"/>
                <w:numId w:val="331"/>
              </w:numPr>
              <w:spacing w:before="120" w:after="120" w:line="240" w:lineRule="auto"/>
              <w:rPr>
                <w:lang w:val="en-AU" w:eastAsia="ko-KR"/>
              </w:rPr>
            </w:pPr>
            <w:r w:rsidRPr="00662590">
              <w:rPr>
                <w:lang w:val="en-AU" w:eastAsia="ko-KR"/>
              </w:rPr>
              <w:t>if the application is made by the registered provider: </w:t>
            </w:r>
          </w:p>
          <w:p w14:paraId="56D01E21" w14:textId="77777777" w:rsidR="00F80D60" w:rsidRPr="00662590" w:rsidRDefault="00F80D60" w:rsidP="00DF3F6B">
            <w:pPr>
              <w:numPr>
                <w:ilvl w:val="0"/>
                <w:numId w:val="332"/>
              </w:numPr>
              <w:spacing w:before="120" w:after="120" w:line="240" w:lineRule="auto"/>
              <w:rPr>
                <w:lang w:val="en-AU" w:eastAsia="ko-KR"/>
              </w:rPr>
            </w:pPr>
            <w:r w:rsidRPr="00662590">
              <w:rPr>
                <w:lang w:val="en-AU" w:eastAsia="ko-KR"/>
              </w:rPr>
              <w:t>the registered provider is delivering short</w:t>
            </w:r>
            <w:r w:rsidRPr="00662590">
              <w:rPr>
                <w:lang w:val="en-AU" w:eastAsia="ko-KR"/>
              </w:rPr>
              <w:noBreakHyphen/>
              <w:t>term funded aged care services through the residential care service group to the individual in an approved residential care home; and </w:t>
            </w:r>
          </w:p>
          <w:p w14:paraId="0920BCC5" w14:textId="77777777" w:rsidR="00F80D60" w:rsidRPr="00662590" w:rsidRDefault="00F80D60" w:rsidP="00DF3F6B">
            <w:pPr>
              <w:numPr>
                <w:ilvl w:val="0"/>
                <w:numId w:val="333"/>
              </w:numPr>
              <w:spacing w:before="120" w:after="120" w:line="240" w:lineRule="auto"/>
              <w:rPr>
                <w:lang w:val="en-AU" w:eastAsia="ko-KR"/>
              </w:rPr>
            </w:pPr>
            <w:r w:rsidRPr="00662590">
              <w:rPr>
                <w:lang w:val="en-AU" w:eastAsia="ko-KR"/>
              </w:rPr>
              <w:t xml:space="preserve">those funded aged care services are </w:t>
            </w:r>
            <w:r w:rsidRPr="00662590">
              <w:rPr>
                <w:u w:val="single"/>
                <w:lang w:val="en-AU" w:eastAsia="ko-KR"/>
              </w:rPr>
              <w:t>not</w:t>
            </w:r>
            <w:r w:rsidRPr="00662590">
              <w:rPr>
                <w:lang w:val="en-AU" w:eastAsia="ko-KR"/>
              </w:rPr>
              <w:t xml:space="preserve"> being delivered under a specialist aged care program; </w:t>
            </w:r>
            <w:r w:rsidRPr="00662590">
              <w:rPr>
                <w:u w:val="single"/>
                <w:lang w:val="en-AU" w:eastAsia="ko-KR"/>
              </w:rPr>
              <w:t>and </w:t>
            </w:r>
            <w:r w:rsidRPr="00662590">
              <w:rPr>
                <w:lang w:val="en-AU" w:eastAsia="ko-KR"/>
              </w:rPr>
              <w:t> </w:t>
            </w:r>
          </w:p>
          <w:p w14:paraId="47F690CE" w14:textId="77777777" w:rsidR="00F80D60" w:rsidRPr="00662590" w:rsidRDefault="00F80D60" w:rsidP="00DF3F6B">
            <w:pPr>
              <w:numPr>
                <w:ilvl w:val="0"/>
                <w:numId w:val="334"/>
              </w:numPr>
              <w:spacing w:before="120" w:after="120" w:line="240" w:lineRule="auto"/>
              <w:rPr>
                <w:lang w:val="en-AU" w:eastAsia="ko-KR"/>
              </w:rPr>
            </w:pPr>
            <w:r w:rsidRPr="00662590">
              <w:rPr>
                <w:lang w:val="en-AU" w:eastAsia="ko-KR"/>
              </w:rPr>
              <w:t>either of the following apply: </w:t>
            </w:r>
          </w:p>
          <w:p w14:paraId="591E145D" w14:textId="77777777" w:rsidR="00F80D60" w:rsidRPr="00662590" w:rsidRDefault="00F80D60" w:rsidP="00DF3F6B">
            <w:pPr>
              <w:numPr>
                <w:ilvl w:val="0"/>
                <w:numId w:val="335"/>
              </w:numPr>
              <w:spacing w:before="120" w:after="120" w:line="240" w:lineRule="auto"/>
              <w:rPr>
                <w:lang w:val="en-AU" w:eastAsia="ko-KR"/>
              </w:rPr>
            </w:pPr>
            <w:r w:rsidRPr="00662590">
              <w:rPr>
                <w:lang w:val="en-AU" w:eastAsia="ko-KR"/>
              </w:rPr>
              <w:t>if the rules prescribe a time period—not more than the number of applications prescribed by the rules have been made for the individual under subsection 82(3) of the Act in that time period; </w:t>
            </w:r>
          </w:p>
          <w:p w14:paraId="72001258" w14:textId="63409880" w:rsidR="00F80D60" w:rsidRPr="00662590" w:rsidRDefault="007A0A84" w:rsidP="00DF3F6B">
            <w:pPr>
              <w:numPr>
                <w:ilvl w:val="0"/>
                <w:numId w:val="336"/>
              </w:numPr>
              <w:spacing w:before="120" w:after="120" w:line="240" w:lineRule="auto"/>
              <w:rPr>
                <w:lang w:val="en-AU" w:eastAsia="ko-KR"/>
              </w:rPr>
            </w:pPr>
            <w:r>
              <w:rPr>
                <w:lang w:val="en-AU" w:eastAsia="ko-KR"/>
              </w:rPr>
              <w:t>it is</w:t>
            </w:r>
            <w:r w:rsidR="00F80D60" w:rsidRPr="00662590">
              <w:rPr>
                <w:lang w:val="en-AU" w:eastAsia="ko-KR"/>
              </w:rPr>
              <w:t xml:space="preserve"> consider</w:t>
            </w:r>
            <w:r>
              <w:rPr>
                <w:lang w:val="en-AU" w:eastAsia="ko-KR"/>
              </w:rPr>
              <w:t>ed</w:t>
            </w:r>
            <w:r w:rsidR="00F80D60" w:rsidRPr="00662590">
              <w:rPr>
                <w:lang w:val="en-AU" w:eastAsia="ko-KR"/>
              </w:rPr>
              <w:t xml:space="preserve"> the circumstances (if any) prescribed by the </w:t>
            </w:r>
            <w:r w:rsidR="007F5885">
              <w:rPr>
                <w:lang w:val="en-AU" w:eastAsia="ko-KR"/>
              </w:rPr>
              <w:t>R</w:t>
            </w:r>
            <w:r w:rsidR="00F80D60" w:rsidRPr="00662590">
              <w:rPr>
                <w:lang w:val="en-AU" w:eastAsia="ko-KR"/>
              </w:rPr>
              <w:t>ules apply. </w:t>
            </w:r>
          </w:p>
          <w:p w14:paraId="07CC9CA7" w14:textId="77777777" w:rsidR="00F80D60" w:rsidRPr="00662590" w:rsidRDefault="00F80D60" w:rsidP="005747E4">
            <w:pPr>
              <w:spacing w:before="120" w:after="120" w:line="240" w:lineRule="auto"/>
              <w:rPr>
                <w:lang w:val="en-AU" w:eastAsia="ko-KR"/>
              </w:rPr>
            </w:pPr>
            <w:r w:rsidRPr="00662590">
              <w:rPr>
                <w:lang w:val="en-AU" w:eastAsia="ko-KR"/>
              </w:rPr>
              <w:t>  </w:t>
            </w:r>
          </w:p>
        </w:tc>
      </w:tr>
      <w:tr w:rsidR="00F80D60" w:rsidRPr="00662590" w14:paraId="6C42FAAC" w14:textId="77777777" w:rsidTr="00141E2D">
        <w:trPr>
          <w:trHeight w:val="300"/>
        </w:trPr>
        <w:tc>
          <w:tcPr>
            <w:tcW w:w="1573" w:type="dxa"/>
            <w:shd w:val="clear" w:color="auto" w:fill="002060"/>
            <w:hideMark/>
          </w:tcPr>
          <w:p w14:paraId="257D1C5F" w14:textId="77777777" w:rsidR="00F80D60" w:rsidRPr="005F796D" w:rsidRDefault="00F80D60" w:rsidP="005747E4">
            <w:pPr>
              <w:spacing w:before="120" w:after="120" w:line="240" w:lineRule="auto"/>
              <w:ind w:left="142"/>
              <w:rPr>
                <w:color w:val="FFFFFF" w:themeColor="background1"/>
                <w:lang w:val="en-AU" w:eastAsia="ko-KR"/>
              </w:rPr>
            </w:pPr>
            <w:r w:rsidRPr="005F796D">
              <w:rPr>
                <w:color w:val="FFFFFF" w:themeColor="background1"/>
                <w:lang w:val="en-AU" w:eastAsia="ko-KR"/>
              </w:rPr>
              <w:t>Hospital transition (for any service group) </w:t>
            </w:r>
          </w:p>
        </w:tc>
        <w:tc>
          <w:tcPr>
            <w:tcW w:w="1121" w:type="dxa"/>
            <w:hideMark/>
          </w:tcPr>
          <w:p w14:paraId="4BB63876" w14:textId="77777777" w:rsidR="00F80D60" w:rsidRPr="00662590" w:rsidRDefault="00F80D60" w:rsidP="005747E4">
            <w:pPr>
              <w:spacing w:before="120" w:after="120" w:line="240" w:lineRule="auto"/>
              <w:ind w:left="141"/>
              <w:rPr>
                <w:lang w:val="en-AU" w:eastAsia="ko-KR"/>
              </w:rPr>
            </w:pPr>
            <w:r w:rsidRPr="00662590">
              <w:rPr>
                <w:lang w:val="en-AU" w:eastAsia="ko-KR"/>
              </w:rPr>
              <w:t>A registered provider on behalf of an individual  </w:t>
            </w:r>
          </w:p>
        </w:tc>
        <w:tc>
          <w:tcPr>
            <w:tcW w:w="6332" w:type="dxa"/>
            <w:hideMark/>
          </w:tcPr>
          <w:p w14:paraId="28A0D971" w14:textId="77777777" w:rsidR="00F80D60" w:rsidRPr="00662590" w:rsidRDefault="00F80D60" w:rsidP="005747E4">
            <w:pPr>
              <w:spacing w:before="120" w:after="120" w:line="240" w:lineRule="auto"/>
              <w:rPr>
                <w:lang w:val="en-AU" w:eastAsia="ko-KR"/>
              </w:rPr>
            </w:pPr>
            <w:r w:rsidRPr="00662590">
              <w:rPr>
                <w:lang w:val="en-AU" w:eastAsia="ko-KR"/>
              </w:rPr>
              <w:t>All of the following apply: </w:t>
            </w:r>
          </w:p>
          <w:p w14:paraId="3DC27DF9" w14:textId="77777777" w:rsidR="00F80D60" w:rsidRPr="00662590" w:rsidRDefault="00F80D60" w:rsidP="005747E4">
            <w:pPr>
              <w:spacing w:before="120" w:after="120" w:line="240" w:lineRule="auto"/>
              <w:rPr>
                <w:lang w:val="en-AU" w:eastAsia="ko-KR"/>
              </w:rPr>
            </w:pPr>
            <w:r w:rsidRPr="00662590">
              <w:rPr>
                <w:lang w:val="en-AU" w:eastAsia="ko-KR"/>
              </w:rPr>
              <w:t>the registered provider is delivering hospital transition funded aged care services to the individual through the service group; and </w:t>
            </w:r>
          </w:p>
          <w:p w14:paraId="69677C97" w14:textId="77777777" w:rsidR="00F80D60" w:rsidRPr="00662590" w:rsidRDefault="00F80D60" w:rsidP="00DF3F6B">
            <w:pPr>
              <w:numPr>
                <w:ilvl w:val="0"/>
                <w:numId w:val="337"/>
              </w:numPr>
              <w:spacing w:before="120" w:after="120" w:line="240" w:lineRule="auto"/>
              <w:rPr>
                <w:lang w:val="en-AU" w:eastAsia="ko-KR"/>
              </w:rPr>
            </w:pPr>
            <w:r w:rsidRPr="00662590">
              <w:rPr>
                <w:lang w:val="en-AU" w:eastAsia="ko-KR"/>
              </w:rPr>
              <w:t>the registered provider or the individual considers that an extension of the period of effect for the classification level that is in effect for the individual for the classification type for the service group should be approved for the individual. </w:t>
            </w:r>
          </w:p>
          <w:p w14:paraId="4223A378" w14:textId="77777777" w:rsidR="00F80D60" w:rsidRPr="00662590" w:rsidRDefault="00F80D60" w:rsidP="005747E4">
            <w:pPr>
              <w:spacing w:before="120" w:after="120" w:line="240" w:lineRule="auto"/>
              <w:rPr>
                <w:lang w:val="en-AU" w:eastAsia="ko-KR"/>
              </w:rPr>
            </w:pPr>
            <w:r w:rsidRPr="00662590">
              <w:rPr>
                <w:lang w:val="en-AU" w:eastAsia="ko-KR"/>
              </w:rPr>
              <w:t>  </w:t>
            </w:r>
          </w:p>
        </w:tc>
      </w:tr>
    </w:tbl>
    <w:p w14:paraId="31483B04" w14:textId="77777777" w:rsidR="00F80D60" w:rsidRPr="00662590" w:rsidRDefault="00F80D60" w:rsidP="00622CFF">
      <w:pPr>
        <w:spacing w:before="240" w:after="240" w:line="240" w:lineRule="auto"/>
        <w:rPr>
          <w:lang w:val="en-AU" w:eastAsia="ko-KR"/>
        </w:rPr>
      </w:pPr>
      <w:r w:rsidRPr="00662590">
        <w:rPr>
          <w:lang w:val="en-AU" w:eastAsia="ko-KR"/>
        </w:rPr>
        <w:t xml:space="preserve">When a reassessment is </w:t>
      </w:r>
      <w:r w:rsidRPr="00471FAA">
        <w:rPr>
          <w:lang w:val="en-AU" w:eastAsia="ko-KR"/>
        </w:rPr>
        <w:t>needed</w:t>
      </w:r>
      <w:r w:rsidRPr="005F796D">
        <w:rPr>
          <w:lang w:val="en-AU" w:eastAsia="ko-KR"/>
        </w:rPr>
        <w:t xml:space="preserve"> (for all classifications expect those for the residential care service group)</w:t>
      </w:r>
      <w:r w:rsidRPr="00471FAA">
        <w:rPr>
          <w:lang w:val="en-AU" w:eastAsia="ko-KR"/>
        </w:rPr>
        <w:t xml:space="preserve">, </w:t>
      </w:r>
      <w:r w:rsidRPr="00747033">
        <w:rPr>
          <w:lang w:val="en-AU" w:eastAsia="ko-KR"/>
        </w:rPr>
        <w:t>Triage Delegates</w:t>
      </w:r>
      <w:r w:rsidRPr="00662590">
        <w:rPr>
          <w:lang w:val="en-AU" w:eastAsia="ko-KR"/>
        </w:rPr>
        <w:t xml:space="preserve"> will review the application, considering the individual’s current care needs and whether they still meet the</w:t>
      </w:r>
      <w:r w:rsidRPr="00747033">
        <w:rPr>
          <w:lang w:val="en-AU" w:eastAsia="ko-KR"/>
        </w:rPr>
        <w:t xml:space="preserve"> requirements</w:t>
      </w:r>
      <w:r w:rsidRPr="00662590">
        <w:rPr>
          <w:lang w:val="en-AU" w:eastAsia="ko-KR"/>
        </w:rPr>
        <w:t xml:space="preserve"> for a classification reassessment. </w:t>
      </w:r>
    </w:p>
    <w:p w14:paraId="3B0CD195" w14:textId="438F5A73" w:rsidR="00F80D60" w:rsidRDefault="00F80D60" w:rsidP="00622CFF">
      <w:pPr>
        <w:spacing w:before="240" w:after="240" w:line="240" w:lineRule="auto"/>
        <w:rPr>
          <w:lang w:val="en-AU" w:eastAsia="ko-KR"/>
        </w:rPr>
      </w:pPr>
      <w:r w:rsidRPr="00662590">
        <w:rPr>
          <w:lang w:val="en-AU" w:eastAsia="ko-KR"/>
        </w:rPr>
        <w:t xml:space="preserve">If the application meets the necessary criteria, </w:t>
      </w:r>
      <w:r>
        <w:rPr>
          <w:lang w:val="en-AU" w:eastAsia="ko-KR"/>
        </w:rPr>
        <w:t xml:space="preserve">the assessor will complete a reassessment. The </w:t>
      </w:r>
      <w:r w:rsidR="003D12B2">
        <w:rPr>
          <w:lang w:val="en-AU" w:eastAsia="ko-KR"/>
        </w:rPr>
        <w:t>assessment</w:t>
      </w:r>
      <w:r w:rsidDel="003D12B2">
        <w:rPr>
          <w:lang w:val="en-AU" w:eastAsia="ko-KR"/>
        </w:rPr>
        <w:t xml:space="preserve"> </w:t>
      </w:r>
      <w:r w:rsidR="003D12B2">
        <w:rPr>
          <w:lang w:val="en-AU" w:eastAsia="ko-KR"/>
        </w:rPr>
        <w:t xml:space="preserve">delegate </w:t>
      </w:r>
      <w:r>
        <w:rPr>
          <w:lang w:val="en-AU" w:eastAsia="ko-KR"/>
        </w:rPr>
        <w:t>will</w:t>
      </w:r>
      <w:r w:rsidRPr="00662590">
        <w:rPr>
          <w:lang w:val="en-AU" w:eastAsia="ko-KR"/>
        </w:rPr>
        <w:t xml:space="preserve"> decide whether to approve a different classification level for the classification type for a service group or an extension of the classification level (if relevant) under section 78 of the Act. All new decisions </w:t>
      </w:r>
      <w:r>
        <w:rPr>
          <w:lang w:val="en-AU" w:eastAsia="ko-KR"/>
        </w:rPr>
        <w:t>will</w:t>
      </w:r>
      <w:r w:rsidRPr="00662590">
        <w:rPr>
          <w:lang w:val="en-AU" w:eastAsia="ko-KR"/>
        </w:rPr>
        <w:t xml:space="preserve"> be documented in a new </w:t>
      </w:r>
      <w:r w:rsidRPr="00747033">
        <w:rPr>
          <w:lang w:val="en-AU" w:eastAsia="ko-KR"/>
        </w:rPr>
        <w:t xml:space="preserve">Notice of Decision </w:t>
      </w:r>
      <w:r w:rsidRPr="00662590">
        <w:rPr>
          <w:lang w:val="en-AU" w:eastAsia="ko-KR"/>
        </w:rPr>
        <w:t>letter</w:t>
      </w:r>
      <w:r>
        <w:rPr>
          <w:lang w:val="en-AU" w:eastAsia="ko-KR"/>
        </w:rPr>
        <w:t xml:space="preserve">. </w:t>
      </w:r>
    </w:p>
    <w:p w14:paraId="093ABD0E" w14:textId="00122952" w:rsidR="00B86078" w:rsidRPr="00F528A8" w:rsidRDefault="00910BDE" w:rsidP="00910BDE">
      <w:pPr>
        <w:pStyle w:val="Boxwithcolouredkeyline"/>
        <w:shd w:val="clear" w:color="auto" w:fill="F2F2F2" w:themeFill="background1" w:themeFillShade="F2"/>
      </w:pPr>
      <w:r>
        <w:rPr>
          <w:noProof/>
        </w:rPr>
        <w:drawing>
          <wp:inline distT="0" distB="0" distL="0" distR="0" wp14:anchorId="53C7E81C" wp14:editId="3720524A">
            <wp:extent cx="457200" cy="506095"/>
            <wp:effectExtent l="0" t="0" r="0" b="8255"/>
            <wp:docPr id="905635767" name="Picture 90563576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B86078" w:rsidRPr="0019783C">
        <w:rPr>
          <w:b/>
        </w:rPr>
        <w:t>Note</w:t>
      </w:r>
    </w:p>
    <w:p w14:paraId="583822B6" w14:textId="59BF19F1" w:rsidR="00B86078" w:rsidRPr="00F528A8" w:rsidRDefault="001635EC" w:rsidP="00910BDE">
      <w:pPr>
        <w:pStyle w:val="Boxwithcolouredkeyline"/>
        <w:shd w:val="clear" w:color="auto" w:fill="F2F2F2" w:themeFill="background1" w:themeFillShade="F2"/>
      </w:pPr>
      <w:r w:rsidRPr="00F528A8">
        <w:t>Individuals</w:t>
      </w:r>
      <w:r w:rsidR="00F30CA0" w:rsidRPr="00F528A8">
        <w:t xml:space="preserve"> </w:t>
      </w:r>
      <w:r w:rsidR="00874508" w:rsidRPr="00F528A8">
        <w:t>who are reassessed and approved for a higher classification level</w:t>
      </w:r>
      <w:r w:rsidR="00CF0E3A" w:rsidRPr="00F528A8">
        <w:t xml:space="preserve"> while awaiting funding in the Support at Home </w:t>
      </w:r>
      <w:r w:rsidR="00321260" w:rsidRPr="00F528A8">
        <w:t xml:space="preserve">Priority System </w:t>
      </w:r>
      <w:r w:rsidR="00AB531A" w:rsidRPr="00F528A8">
        <w:t xml:space="preserve">will </w:t>
      </w:r>
      <w:r w:rsidR="008E109D" w:rsidRPr="00F528A8">
        <w:t xml:space="preserve">have their position in the queue </w:t>
      </w:r>
      <w:r w:rsidR="00151467" w:rsidRPr="00F528A8">
        <w:t xml:space="preserve">for their priority category </w:t>
      </w:r>
      <w:r w:rsidR="008E109D" w:rsidRPr="00F528A8">
        <w:t>based on</w:t>
      </w:r>
      <w:r w:rsidR="00CF0E3A" w:rsidRPr="00F528A8">
        <w:t xml:space="preserve"> the</w:t>
      </w:r>
      <w:r w:rsidR="008E109D" w:rsidRPr="00F528A8">
        <w:t>ir</w:t>
      </w:r>
      <w:r w:rsidR="00CF0E3A" w:rsidRPr="00F528A8">
        <w:t xml:space="preserve"> original approval date</w:t>
      </w:r>
      <w:r w:rsidR="00BE7604" w:rsidRPr="00F528A8">
        <w:t>.</w:t>
      </w:r>
      <w:r w:rsidR="00A03156" w:rsidRPr="00F528A8">
        <w:t xml:space="preserve"> If a new priority </w:t>
      </w:r>
      <w:r w:rsidR="008E109D" w:rsidRPr="00F528A8">
        <w:t xml:space="preserve">category </w:t>
      </w:r>
      <w:r w:rsidR="00A03156" w:rsidRPr="00F528A8">
        <w:t>is</w:t>
      </w:r>
      <w:r w:rsidRPr="00F528A8">
        <w:t xml:space="preserve"> </w:t>
      </w:r>
      <w:r w:rsidR="00A03156" w:rsidRPr="00F528A8">
        <w:t>assigned</w:t>
      </w:r>
      <w:r w:rsidR="00B97334" w:rsidRPr="00F528A8">
        <w:t xml:space="preserve">, </w:t>
      </w:r>
      <w:r w:rsidRPr="00F528A8">
        <w:t xml:space="preserve">the individual’s </w:t>
      </w:r>
      <w:r w:rsidR="00DB4049" w:rsidRPr="00F528A8">
        <w:t xml:space="preserve">record in the system will be moved to that new priority category and their </w:t>
      </w:r>
      <w:r w:rsidR="00B97334" w:rsidRPr="00F528A8">
        <w:t xml:space="preserve">position in the </w:t>
      </w:r>
      <w:r w:rsidR="008E109D" w:rsidRPr="00F528A8">
        <w:t xml:space="preserve">queue </w:t>
      </w:r>
      <w:r w:rsidR="00DB4049" w:rsidRPr="00F528A8">
        <w:t>is</w:t>
      </w:r>
      <w:r w:rsidR="001C6ACC" w:rsidRPr="00F528A8">
        <w:t xml:space="preserve"> </w:t>
      </w:r>
      <w:r w:rsidR="00DB4049" w:rsidRPr="00F528A8">
        <w:t>based on the original approval date</w:t>
      </w:r>
      <w:r w:rsidR="00B97334" w:rsidRPr="00F528A8">
        <w:t>.</w:t>
      </w:r>
      <w:r w:rsidR="003653AC">
        <w:rPr>
          <w:b/>
        </w:rPr>
        <w:t xml:space="preserve"> </w:t>
      </w:r>
    </w:p>
    <w:p w14:paraId="75D125C1" w14:textId="719B8BAB" w:rsidR="00F80D60" w:rsidRPr="005F796D" w:rsidRDefault="00F80D60" w:rsidP="00C56CEC">
      <w:pPr>
        <w:pStyle w:val="H3"/>
      </w:pPr>
      <w:bookmarkStart w:id="887" w:name="_Toc198813701"/>
      <w:r w:rsidRPr="005F796D">
        <w:t xml:space="preserve">Criteria for SPRs and </w:t>
      </w:r>
      <w:r w:rsidR="00B021FE">
        <w:t>r</w:t>
      </w:r>
      <w:r>
        <w:t>ea</w:t>
      </w:r>
      <w:r w:rsidRPr="005F796D">
        <w:t>ssessments by program</w:t>
      </w:r>
      <w:bookmarkEnd w:id="887"/>
    </w:p>
    <w:p w14:paraId="73A25B24" w14:textId="77777777" w:rsidR="00F80D60" w:rsidRDefault="00F80D60" w:rsidP="00622CFF">
      <w:pPr>
        <w:spacing w:before="240" w:after="240" w:line="240" w:lineRule="auto"/>
      </w:pPr>
      <w:r w:rsidRPr="00435C89">
        <w:t xml:space="preserve">The </w:t>
      </w:r>
      <w:r w:rsidRPr="00B15518">
        <w:t xml:space="preserve">table below describes the circumstances in which a SPR is required versus a </w:t>
      </w:r>
      <w:r>
        <w:t>reassessment</w:t>
      </w:r>
      <w:r w:rsidRPr="00B15518">
        <w:t xml:space="preserve">. </w:t>
      </w:r>
    </w:p>
    <w:p w14:paraId="368F6200" w14:textId="03948765" w:rsidR="00F80D60" w:rsidRPr="00B15518" w:rsidRDefault="00F80D60" w:rsidP="00622CFF">
      <w:pPr>
        <w:pStyle w:val="Caption"/>
        <w:spacing w:before="240" w:after="240"/>
      </w:pPr>
      <w:r>
        <w:t>Table 5</w:t>
      </w:r>
      <w:r w:rsidR="00381271">
        <w:t>5</w:t>
      </w:r>
      <w:r>
        <w:t xml:space="preserve">. Circumstances when an SPR is required versus a reassessment </w:t>
      </w:r>
    </w:p>
    <w:tbl>
      <w:tblPr>
        <w:tblW w:w="0" w:type="auto"/>
        <w:tblBorders>
          <w:bottom w:val="single" w:sz="4" w:space="0" w:color="auto"/>
          <w:insideH w:val="single" w:sz="4" w:space="0" w:color="auto"/>
        </w:tblBorders>
        <w:tblLayout w:type="fixed"/>
        <w:tblLook w:val="0480" w:firstRow="0" w:lastRow="0" w:firstColumn="1" w:lastColumn="0" w:noHBand="0" w:noVBand="1"/>
        <w:tblCaption w:val="Circumstances when an SPR is required versus reassessment"/>
      </w:tblPr>
      <w:tblGrid>
        <w:gridCol w:w="1620"/>
        <w:gridCol w:w="3323"/>
        <w:gridCol w:w="4015"/>
      </w:tblGrid>
      <w:tr w:rsidR="00F80D60" w:rsidRPr="00A354E5" w14:paraId="023A3FA7" w14:textId="77777777" w:rsidTr="00291B57">
        <w:trPr>
          <w:trHeight w:val="300"/>
          <w:tblHeader/>
        </w:trPr>
        <w:tc>
          <w:tcPr>
            <w:tcW w:w="1620" w:type="dxa"/>
            <w:shd w:val="clear" w:color="auto" w:fill="002060"/>
          </w:tcPr>
          <w:p w14:paraId="35AF5F76" w14:textId="77777777" w:rsidR="00F80D60" w:rsidRPr="00A354E5" w:rsidRDefault="00F80D60" w:rsidP="005747E4">
            <w:pPr>
              <w:spacing w:before="120" w:after="120" w:line="240" w:lineRule="auto"/>
              <w:rPr>
                <w:b/>
                <w:szCs w:val="22"/>
                <w:lang w:val="en-US"/>
              </w:rPr>
            </w:pPr>
            <w:r w:rsidRPr="00A354E5">
              <w:rPr>
                <w:b/>
                <w:bCs/>
                <w:color w:val="FFFFFF" w:themeColor="background1"/>
                <w:szCs w:val="22"/>
                <w:lang w:val="en-US"/>
              </w:rPr>
              <w:t>Program</w:t>
            </w:r>
          </w:p>
        </w:tc>
        <w:tc>
          <w:tcPr>
            <w:tcW w:w="3323" w:type="dxa"/>
            <w:shd w:val="clear" w:color="auto" w:fill="002060"/>
            <w:vAlign w:val="center"/>
          </w:tcPr>
          <w:p w14:paraId="23EDF3F5" w14:textId="4EDB88A6" w:rsidR="00F80D60" w:rsidRPr="00A354E5" w:rsidRDefault="00F80D60" w:rsidP="005747E4">
            <w:pPr>
              <w:spacing w:before="120" w:after="120" w:line="240" w:lineRule="auto"/>
              <w:rPr>
                <w:b/>
                <w:color w:val="FFFFFF" w:themeColor="background1"/>
              </w:rPr>
            </w:pPr>
            <w:r w:rsidRPr="5876B6FA">
              <w:rPr>
                <w:b/>
                <w:color w:val="FFFFFF" w:themeColor="background1"/>
                <w:lang w:val="en-US"/>
              </w:rPr>
              <w:t xml:space="preserve">Support </w:t>
            </w:r>
            <w:r w:rsidR="6A75DDF2" w:rsidRPr="5876B6FA">
              <w:rPr>
                <w:b/>
                <w:bCs/>
                <w:color w:val="FFFFFF" w:themeColor="background1"/>
                <w:lang w:val="en-US"/>
              </w:rPr>
              <w:t>p</w:t>
            </w:r>
            <w:r w:rsidRPr="5876B6FA">
              <w:rPr>
                <w:b/>
                <w:bCs/>
                <w:color w:val="FFFFFF" w:themeColor="background1"/>
                <w:lang w:val="en-US"/>
              </w:rPr>
              <w:t xml:space="preserve">lan </w:t>
            </w:r>
            <w:r w:rsidR="286E7728" w:rsidRPr="5876B6FA">
              <w:rPr>
                <w:b/>
                <w:bCs/>
                <w:color w:val="FFFFFF" w:themeColor="background1"/>
                <w:lang w:val="en-US"/>
              </w:rPr>
              <w:t>r</w:t>
            </w:r>
            <w:r w:rsidRPr="5876B6FA">
              <w:rPr>
                <w:b/>
                <w:color w:val="FFFFFF" w:themeColor="background1"/>
                <w:lang w:val="en-US"/>
              </w:rPr>
              <w:t>eview</w:t>
            </w:r>
          </w:p>
        </w:tc>
        <w:tc>
          <w:tcPr>
            <w:tcW w:w="4015" w:type="dxa"/>
            <w:shd w:val="clear" w:color="auto" w:fill="002060"/>
            <w:vAlign w:val="center"/>
          </w:tcPr>
          <w:p w14:paraId="7AB4B96B"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Reassessment</w:t>
            </w:r>
          </w:p>
        </w:tc>
      </w:tr>
      <w:tr w:rsidR="00F80D60" w:rsidRPr="00A354E5" w14:paraId="035EC442" w14:textId="77777777" w:rsidTr="00291B57">
        <w:trPr>
          <w:trHeight w:val="300"/>
        </w:trPr>
        <w:tc>
          <w:tcPr>
            <w:tcW w:w="1620" w:type="dxa"/>
            <w:shd w:val="clear" w:color="auto" w:fill="002060"/>
          </w:tcPr>
          <w:p w14:paraId="0FA88DDD"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Ongoing Support at Home 1-8</w:t>
            </w:r>
            <w:r w:rsidRPr="00A354E5">
              <w:rPr>
                <w:b/>
                <w:color w:val="FFFFFF" w:themeColor="background1"/>
                <w:szCs w:val="22"/>
              </w:rPr>
              <w:t xml:space="preserve"> </w:t>
            </w:r>
          </w:p>
        </w:tc>
        <w:tc>
          <w:tcPr>
            <w:tcW w:w="3323" w:type="dxa"/>
          </w:tcPr>
          <w:p w14:paraId="5057007F" w14:textId="77777777" w:rsidR="00F80D60" w:rsidRPr="00A354E5" w:rsidRDefault="00F80D60" w:rsidP="005747E4">
            <w:pPr>
              <w:pStyle w:val="NoSpacing"/>
              <w:spacing w:before="120" w:after="120" w:line="240" w:lineRule="auto"/>
              <w:rPr>
                <w:rFonts w:ascii="Arial" w:eastAsia="Arial" w:hAnsi="Arial" w:cs="Arial"/>
                <w:sz w:val="22"/>
                <w:szCs w:val="22"/>
                <w:lang w:val="en-GB"/>
              </w:rPr>
            </w:pPr>
            <w:r w:rsidRPr="00A354E5">
              <w:rPr>
                <w:rFonts w:ascii="Arial" w:hAnsi="Arial" w:cs="Arial"/>
                <w:sz w:val="22"/>
                <w:szCs w:val="22"/>
                <w:lang w:val="en-GB"/>
              </w:rPr>
              <w:t xml:space="preserve">Approval for additional service types, or for additional services within the prescribed service types that have already been included in the support plan and is within the current SaH classification. </w:t>
            </w:r>
            <w:r w:rsidRPr="00A354E5">
              <w:rPr>
                <w:rFonts w:ascii="Arial" w:eastAsia="Arial" w:hAnsi="Arial" w:cs="Arial"/>
                <w:sz w:val="22"/>
                <w:szCs w:val="22"/>
                <w:lang w:val="en-GB"/>
              </w:rPr>
              <w:t>This can be submitted by the older person’s Support at Home provider.</w:t>
            </w:r>
          </w:p>
        </w:tc>
        <w:tc>
          <w:tcPr>
            <w:tcW w:w="4015" w:type="dxa"/>
          </w:tcPr>
          <w:p w14:paraId="34BAF53C" w14:textId="77777777" w:rsidR="00F80D60" w:rsidRPr="00A354E5" w:rsidRDefault="00F80D60" w:rsidP="005747E4">
            <w:pPr>
              <w:spacing w:before="120" w:after="120" w:line="240" w:lineRule="auto"/>
              <w:rPr>
                <w:szCs w:val="22"/>
              </w:rPr>
            </w:pPr>
            <w:r w:rsidRPr="00A354E5">
              <w:rPr>
                <w:szCs w:val="22"/>
                <w:lang w:val="en-US"/>
              </w:rPr>
              <w:t>An older person’s circumstances have changed significantly that is likely to mean that they will require a higher classification level, with more frequent or a different type of funded aged care service. e.g. the individual’s caring arrangements have ceased, permanently, to provide some or all care to the individual; or</w:t>
            </w:r>
            <w:r w:rsidRPr="00A354E5">
              <w:rPr>
                <w:szCs w:val="22"/>
              </w:rPr>
              <w:t xml:space="preserve"> </w:t>
            </w:r>
            <w:r w:rsidRPr="00A354E5">
              <w:rPr>
                <w:szCs w:val="22"/>
                <w:lang w:val="en-US"/>
              </w:rPr>
              <w:t xml:space="preserve">the individual has experienced an event, or a decline in their condition. </w:t>
            </w:r>
          </w:p>
        </w:tc>
      </w:tr>
      <w:tr w:rsidR="00F80D60" w:rsidRPr="00A354E5" w14:paraId="2CE7EC68" w14:textId="77777777" w:rsidTr="00291B57">
        <w:trPr>
          <w:trHeight w:val="300"/>
        </w:trPr>
        <w:tc>
          <w:tcPr>
            <w:tcW w:w="1620" w:type="dxa"/>
            <w:shd w:val="clear" w:color="auto" w:fill="002060"/>
          </w:tcPr>
          <w:p w14:paraId="659BDA10" w14:textId="1AC76B9E"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Restorative </w:t>
            </w:r>
            <w:r w:rsidR="00B021FE">
              <w:rPr>
                <w:b/>
                <w:color w:val="FFFFFF" w:themeColor="background1"/>
                <w:szCs w:val="22"/>
                <w:lang w:val="en-US"/>
              </w:rPr>
              <w:t>c</w:t>
            </w:r>
            <w:r w:rsidRPr="00A354E5">
              <w:rPr>
                <w:b/>
                <w:color w:val="FFFFFF" w:themeColor="background1"/>
                <w:szCs w:val="22"/>
                <w:lang w:val="en-US"/>
              </w:rPr>
              <w:t>are</w:t>
            </w:r>
            <w:r w:rsidRPr="00A354E5">
              <w:rPr>
                <w:b/>
                <w:color w:val="FFFFFF" w:themeColor="background1"/>
                <w:szCs w:val="22"/>
              </w:rPr>
              <w:t xml:space="preserve"> </w:t>
            </w:r>
          </w:p>
        </w:tc>
        <w:tc>
          <w:tcPr>
            <w:tcW w:w="3323" w:type="dxa"/>
          </w:tcPr>
          <w:p w14:paraId="27097999" w14:textId="2F3D94EA" w:rsidR="00F80D60" w:rsidRPr="00A354E5" w:rsidRDefault="00F80D60" w:rsidP="005747E4">
            <w:pPr>
              <w:spacing w:before="120" w:after="120" w:line="240" w:lineRule="auto"/>
            </w:pPr>
            <w:r>
              <w:t>Approval for additional service types, or for additional services within the prescribed service types that have already been included in the support plan during the restorative care episode, or to provide evidence that a second unit of funding is required (</w:t>
            </w:r>
            <w:r w:rsidR="00D640FA">
              <w:t>may consider</w:t>
            </w:r>
            <w:r>
              <w:t xml:space="preserve"> availability of units). </w:t>
            </w:r>
          </w:p>
        </w:tc>
        <w:tc>
          <w:tcPr>
            <w:tcW w:w="4015" w:type="dxa"/>
          </w:tcPr>
          <w:p w14:paraId="318A97A2" w14:textId="77777777" w:rsidR="00F80D60" w:rsidRPr="00A354E5" w:rsidRDefault="00F80D60" w:rsidP="005747E4">
            <w:pPr>
              <w:spacing w:before="120" w:after="120" w:line="240" w:lineRule="auto"/>
              <w:rPr>
                <w:szCs w:val="22"/>
              </w:rPr>
            </w:pPr>
            <w:r w:rsidRPr="00A354E5">
              <w:rPr>
                <w:szCs w:val="22"/>
              </w:rPr>
              <w:t xml:space="preserve">To meet changing needs of the older person which may include needing an ongoing service type after an episode of restorative care has finished (or during the period if circumstances change). </w:t>
            </w:r>
          </w:p>
        </w:tc>
      </w:tr>
      <w:tr w:rsidR="00F80D60" w:rsidRPr="00A354E5" w14:paraId="45664D05" w14:textId="77777777" w:rsidTr="00291B57">
        <w:trPr>
          <w:trHeight w:val="300"/>
        </w:trPr>
        <w:tc>
          <w:tcPr>
            <w:tcW w:w="1620" w:type="dxa"/>
            <w:shd w:val="clear" w:color="auto" w:fill="002060"/>
          </w:tcPr>
          <w:p w14:paraId="5865215B"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AT-HM</w:t>
            </w:r>
            <w:r w:rsidRPr="00A354E5">
              <w:rPr>
                <w:b/>
                <w:color w:val="FFFFFF" w:themeColor="background1"/>
                <w:szCs w:val="22"/>
              </w:rPr>
              <w:t xml:space="preserve"> </w:t>
            </w:r>
          </w:p>
        </w:tc>
        <w:tc>
          <w:tcPr>
            <w:tcW w:w="3323" w:type="dxa"/>
          </w:tcPr>
          <w:p w14:paraId="3ABD7627" w14:textId="77777777" w:rsidR="00F80D60" w:rsidRPr="00A354E5" w:rsidRDefault="00F80D60" w:rsidP="005747E4">
            <w:pPr>
              <w:spacing w:before="120" w:after="120" w:line="240" w:lineRule="auto"/>
              <w:rPr>
                <w:szCs w:val="22"/>
              </w:rPr>
            </w:pPr>
            <w:r w:rsidRPr="00A354E5">
              <w:rPr>
                <w:szCs w:val="22"/>
              </w:rPr>
              <w:t xml:space="preserve">Changes to existing AT and/or HM funding tiers </w:t>
            </w:r>
          </w:p>
          <w:p w14:paraId="116A84B2" w14:textId="77777777" w:rsidR="00F80D60" w:rsidRPr="00A354E5" w:rsidRDefault="00F80D60" w:rsidP="005747E4">
            <w:pPr>
              <w:spacing w:before="120" w:after="120" w:line="240" w:lineRule="auto"/>
              <w:rPr>
                <w:szCs w:val="22"/>
              </w:rPr>
            </w:pPr>
            <w:r w:rsidRPr="00A354E5">
              <w:rPr>
                <w:rFonts w:eastAsia="Arial"/>
                <w:szCs w:val="22"/>
                <w:lang w:val="en-AU"/>
              </w:rPr>
              <w:t>AT funding tier to access repairs or maintenance of an item listed on the AT-HM list.</w:t>
            </w:r>
          </w:p>
          <w:p w14:paraId="3E7161ED" w14:textId="35233DED" w:rsidR="00F80D60" w:rsidRPr="00A354E5" w:rsidRDefault="00F80D60" w:rsidP="005747E4">
            <w:pPr>
              <w:spacing w:before="120" w:after="120" w:line="240" w:lineRule="auto"/>
              <w:rPr>
                <w:szCs w:val="22"/>
              </w:rPr>
            </w:pPr>
            <w:r w:rsidRPr="00A354E5">
              <w:rPr>
                <w:szCs w:val="22"/>
              </w:rPr>
              <w:t xml:space="preserve">Addition of new AT and/or HM funding tiers for transitioned HCP recipients with insufficient HCP unspent funds (from November 2025).  </w:t>
            </w:r>
          </w:p>
        </w:tc>
        <w:tc>
          <w:tcPr>
            <w:tcW w:w="4015" w:type="dxa"/>
          </w:tcPr>
          <w:p w14:paraId="1EC6A2F5" w14:textId="77777777" w:rsidR="00F80D60" w:rsidRPr="00A354E5" w:rsidRDefault="00F80D60" w:rsidP="005747E4">
            <w:pPr>
              <w:spacing w:before="120" w:after="120" w:line="240" w:lineRule="auto"/>
              <w:rPr>
                <w:szCs w:val="22"/>
              </w:rPr>
            </w:pPr>
            <w:r w:rsidRPr="00A354E5">
              <w:rPr>
                <w:szCs w:val="22"/>
              </w:rPr>
              <w:t>Where there has been a significant change in needs which may include the individual requiring a higher ongoing Support at Home classification level or a different type of funded aged care service including a new need for AT and/or HM.</w:t>
            </w:r>
          </w:p>
        </w:tc>
      </w:tr>
      <w:tr w:rsidR="00F80D60" w:rsidRPr="00A354E5" w14:paraId="73D900F4" w14:textId="77777777" w:rsidTr="00291B57">
        <w:trPr>
          <w:trHeight w:val="300"/>
        </w:trPr>
        <w:tc>
          <w:tcPr>
            <w:tcW w:w="1620" w:type="dxa"/>
            <w:shd w:val="clear" w:color="auto" w:fill="002060"/>
          </w:tcPr>
          <w:p w14:paraId="00A5A59E" w14:textId="1BE59E54"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End-of-Life </w:t>
            </w:r>
            <w:r w:rsidR="00B021FE">
              <w:rPr>
                <w:b/>
                <w:color w:val="FFFFFF" w:themeColor="background1"/>
                <w:szCs w:val="22"/>
                <w:lang w:val="en-US"/>
              </w:rPr>
              <w:t>P</w:t>
            </w:r>
            <w:r w:rsidRPr="00A354E5">
              <w:rPr>
                <w:b/>
                <w:color w:val="FFFFFF" w:themeColor="background1"/>
                <w:szCs w:val="22"/>
                <w:lang w:val="en-US"/>
              </w:rPr>
              <w:t>athway</w:t>
            </w:r>
            <w:r w:rsidRPr="00A354E5">
              <w:rPr>
                <w:b/>
                <w:color w:val="FFFFFF" w:themeColor="background1"/>
                <w:szCs w:val="22"/>
              </w:rPr>
              <w:t xml:space="preserve"> </w:t>
            </w:r>
          </w:p>
        </w:tc>
        <w:tc>
          <w:tcPr>
            <w:tcW w:w="3323" w:type="dxa"/>
          </w:tcPr>
          <w:p w14:paraId="6DCF47FB" w14:textId="77777777" w:rsidR="00F80D60" w:rsidRPr="00A354E5" w:rsidRDefault="00F80D60" w:rsidP="005747E4">
            <w:pPr>
              <w:spacing w:before="120" w:after="120" w:line="240" w:lineRule="auto"/>
              <w:rPr>
                <w:szCs w:val="22"/>
                <w:lang w:val="en-US"/>
              </w:rPr>
            </w:pPr>
            <w:r w:rsidRPr="00A354E5">
              <w:rPr>
                <w:szCs w:val="22"/>
                <w:lang w:val="en-US"/>
              </w:rPr>
              <w:t>Request an urgent SPR to be assessed for End-of-Life Pathway if the person already has a Support at Home classification.</w:t>
            </w:r>
          </w:p>
          <w:p w14:paraId="4409611E" w14:textId="77777777" w:rsidR="00F80D60" w:rsidRPr="00A354E5" w:rsidRDefault="00F80D60" w:rsidP="005747E4">
            <w:pPr>
              <w:spacing w:before="120" w:after="120" w:line="240" w:lineRule="auto"/>
              <w:rPr>
                <w:szCs w:val="22"/>
                <w:lang w:val="en-US"/>
              </w:rPr>
            </w:pPr>
            <w:r w:rsidRPr="00A354E5">
              <w:rPr>
                <w:szCs w:val="22"/>
                <w:lang w:val="en-US"/>
              </w:rPr>
              <w:t>Request an urgent SPR to move to an ongoing SaH</w:t>
            </w:r>
            <w:r>
              <w:rPr>
                <w:szCs w:val="22"/>
                <w:lang w:val="en-US"/>
              </w:rPr>
              <w:t>.</w:t>
            </w:r>
            <w:r w:rsidRPr="00A354E5">
              <w:rPr>
                <w:szCs w:val="22"/>
                <w:lang w:val="en-US"/>
              </w:rPr>
              <w:t xml:space="preserve"> classification if the person needs services beyond the End-of-Life Pathway funding period. </w:t>
            </w:r>
          </w:p>
        </w:tc>
        <w:tc>
          <w:tcPr>
            <w:tcW w:w="4015" w:type="dxa"/>
          </w:tcPr>
          <w:p w14:paraId="36DFA7B9" w14:textId="77777777" w:rsidR="00F80D60" w:rsidRPr="00A354E5" w:rsidRDefault="00F80D60" w:rsidP="005747E4">
            <w:pPr>
              <w:spacing w:before="120" w:after="120" w:line="240" w:lineRule="auto"/>
              <w:rPr>
                <w:szCs w:val="22"/>
                <w:lang w:val="en-US"/>
              </w:rPr>
            </w:pPr>
            <w:r w:rsidRPr="00A354E5">
              <w:rPr>
                <w:szCs w:val="22"/>
                <w:lang w:val="en-US"/>
              </w:rPr>
              <w:t xml:space="preserve">A person who does not have a Support at Home classification will need a reassessment to be approved for the End-of-Life Pathway. </w:t>
            </w:r>
          </w:p>
          <w:p w14:paraId="3D32264B" w14:textId="77777777" w:rsidR="00F80D60" w:rsidRPr="00A354E5" w:rsidRDefault="00F80D60" w:rsidP="005747E4">
            <w:pPr>
              <w:spacing w:before="120" w:after="120" w:line="240" w:lineRule="auto"/>
              <w:rPr>
                <w:szCs w:val="22"/>
                <w:lang w:val="en-US"/>
              </w:rPr>
            </w:pPr>
          </w:p>
          <w:p w14:paraId="47F3ED07" w14:textId="77777777" w:rsidR="00F80D60" w:rsidRPr="00A354E5" w:rsidRDefault="00F80D60" w:rsidP="005747E4">
            <w:pPr>
              <w:spacing w:before="120" w:after="120" w:line="240" w:lineRule="auto"/>
              <w:rPr>
                <w:szCs w:val="22"/>
              </w:rPr>
            </w:pPr>
          </w:p>
        </w:tc>
      </w:tr>
      <w:tr w:rsidR="00F80D60" w:rsidRPr="00A354E5" w14:paraId="49F5507F" w14:textId="77777777" w:rsidTr="00291B57">
        <w:trPr>
          <w:trHeight w:val="300"/>
        </w:trPr>
        <w:tc>
          <w:tcPr>
            <w:tcW w:w="1620" w:type="dxa"/>
            <w:shd w:val="clear" w:color="auto" w:fill="002060"/>
          </w:tcPr>
          <w:p w14:paraId="6706818E" w14:textId="77A9048D"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Residential </w:t>
            </w:r>
            <w:r w:rsidR="00525D81">
              <w:rPr>
                <w:b/>
                <w:color w:val="FFFFFF" w:themeColor="background1"/>
                <w:szCs w:val="22"/>
                <w:lang w:val="en-US"/>
              </w:rPr>
              <w:t>c</w:t>
            </w:r>
            <w:r w:rsidRPr="00A354E5">
              <w:rPr>
                <w:b/>
                <w:color w:val="FFFFFF" w:themeColor="background1"/>
                <w:szCs w:val="22"/>
                <w:lang w:val="en-US"/>
              </w:rPr>
              <w:t>are- (</w:t>
            </w:r>
            <w:r w:rsidR="00525D81">
              <w:rPr>
                <w:b/>
                <w:color w:val="FFFFFF" w:themeColor="background1"/>
                <w:szCs w:val="22"/>
                <w:lang w:val="en-US"/>
              </w:rPr>
              <w:t>p</w:t>
            </w:r>
            <w:r w:rsidRPr="00A354E5">
              <w:rPr>
                <w:b/>
                <w:color w:val="FFFFFF" w:themeColor="background1"/>
                <w:szCs w:val="22"/>
                <w:lang w:val="en-US"/>
              </w:rPr>
              <w:t>ermanent)</w:t>
            </w:r>
            <w:r w:rsidRPr="00A354E5">
              <w:rPr>
                <w:b/>
                <w:color w:val="FFFFFF" w:themeColor="background1"/>
                <w:szCs w:val="22"/>
              </w:rPr>
              <w:t xml:space="preserve"> </w:t>
            </w:r>
          </w:p>
        </w:tc>
        <w:tc>
          <w:tcPr>
            <w:tcW w:w="3323" w:type="dxa"/>
          </w:tcPr>
          <w:p w14:paraId="7FA51A98" w14:textId="77777777" w:rsidR="00F80D60" w:rsidRPr="00A354E5" w:rsidRDefault="00F80D60" w:rsidP="005747E4">
            <w:pPr>
              <w:spacing w:before="120" w:after="120" w:line="240" w:lineRule="auto"/>
              <w:rPr>
                <w:szCs w:val="22"/>
              </w:rPr>
            </w:pPr>
            <w:r w:rsidRPr="00A354E5">
              <w:rPr>
                <w:szCs w:val="22"/>
                <w:lang w:val="en-US"/>
              </w:rPr>
              <w:t>N/A</w:t>
            </w:r>
            <w:r w:rsidRPr="00A354E5">
              <w:rPr>
                <w:szCs w:val="22"/>
              </w:rPr>
              <w:t xml:space="preserve"> </w:t>
            </w:r>
          </w:p>
        </w:tc>
        <w:tc>
          <w:tcPr>
            <w:tcW w:w="4015" w:type="dxa"/>
          </w:tcPr>
          <w:p w14:paraId="7BFA3CA4" w14:textId="77777777" w:rsidR="00F80D60" w:rsidRPr="00A354E5" w:rsidRDefault="00F80D60" w:rsidP="005747E4">
            <w:pPr>
              <w:spacing w:before="120" w:after="120" w:line="240" w:lineRule="auto"/>
              <w:rPr>
                <w:szCs w:val="22"/>
              </w:rPr>
            </w:pPr>
            <w:r w:rsidRPr="00A354E5">
              <w:rPr>
                <w:szCs w:val="22"/>
                <w:lang w:val="en-US"/>
              </w:rPr>
              <w:t>Clients needing residential care who have not had residential care added as a care type to their support plan.</w:t>
            </w:r>
            <w:r w:rsidRPr="00A354E5">
              <w:rPr>
                <w:szCs w:val="22"/>
              </w:rPr>
              <w:t xml:space="preserve"> </w:t>
            </w:r>
          </w:p>
        </w:tc>
      </w:tr>
      <w:tr w:rsidR="00F80D60" w:rsidRPr="00A354E5" w14:paraId="1351A9E9" w14:textId="77777777" w:rsidTr="00291B57">
        <w:trPr>
          <w:trHeight w:val="300"/>
        </w:trPr>
        <w:tc>
          <w:tcPr>
            <w:tcW w:w="1620" w:type="dxa"/>
            <w:shd w:val="clear" w:color="auto" w:fill="002060"/>
          </w:tcPr>
          <w:p w14:paraId="631DE7C9" w14:textId="20CC271F"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 xml:space="preserve">Residential </w:t>
            </w:r>
            <w:r w:rsidR="00525D81">
              <w:rPr>
                <w:b/>
                <w:color w:val="FFFFFF" w:themeColor="background1"/>
                <w:szCs w:val="22"/>
                <w:lang w:val="en-US"/>
              </w:rPr>
              <w:t>c</w:t>
            </w:r>
            <w:r w:rsidRPr="00A354E5">
              <w:rPr>
                <w:b/>
                <w:color w:val="FFFFFF" w:themeColor="background1"/>
                <w:szCs w:val="22"/>
                <w:lang w:val="en-US"/>
              </w:rPr>
              <w:t>are- (</w:t>
            </w:r>
            <w:r w:rsidR="00525D81">
              <w:rPr>
                <w:b/>
                <w:color w:val="FFFFFF" w:themeColor="background1"/>
                <w:szCs w:val="22"/>
                <w:lang w:val="en-US"/>
              </w:rPr>
              <w:t>r</w:t>
            </w:r>
            <w:r w:rsidRPr="00A354E5">
              <w:rPr>
                <w:b/>
                <w:color w:val="FFFFFF" w:themeColor="background1"/>
                <w:szCs w:val="22"/>
                <w:lang w:val="en-US"/>
              </w:rPr>
              <w:t>espite)</w:t>
            </w:r>
            <w:r w:rsidRPr="00A354E5">
              <w:rPr>
                <w:b/>
                <w:color w:val="FFFFFF" w:themeColor="background1"/>
                <w:szCs w:val="22"/>
              </w:rPr>
              <w:t xml:space="preserve"> </w:t>
            </w:r>
          </w:p>
        </w:tc>
        <w:tc>
          <w:tcPr>
            <w:tcW w:w="3323" w:type="dxa"/>
          </w:tcPr>
          <w:p w14:paraId="0D51E715" w14:textId="77777777" w:rsidR="00F80D60" w:rsidRPr="00A354E5" w:rsidRDefault="00F80D60" w:rsidP="005747E4">
            <w:pPr>
              <w:spacing w:before="120" w:after="120" w:line="240" w:lineRule="auto"/>
              <w:rPr>
                <w:szCs w:val="22"/>
              </w:rPr>
            </w:pPr>
            <w:r w:rsidRPr="00A354E5">
              <w:rPr>
                <w:szCs w:val="22"/>
                <w:lang w:val="en-US"/>
              </w:rPr>
              <w:t>N/A</w:t>
            </w:r>
            <w:r w:rsidRPr="00A354E5">
              <w:rPr>
                <w:szCs w:val="22"/>
              </w:rPr>
              <w:t xml:space="preserve"> </w:t>
            </w:r>
          </w:p>
        </w:tc>
        <w:tc>
          <w:tcPr>
            <w:tcW w:w="4015" w:type="dxa"/>
          </w:tcPr>
          <w:p w14:paraId="1A1ADB09" w14:textId="77777777" w:rsidR="00F80D60" w:rsidRPr="00A354E5" w:rsidRDefault="00F80D60" w:rsidP="005747E4">
            <w:pPr>
              <w:spacing w:before="120" w:after="120" w:line="240" w:lineRule="auto"/>
              <w:rPr>
                <w:szCs w:val="22"/>
              </w:rPr>
            </w:pPr>
            <w:r w:rsidRPr="00A354E5">
              <w:rPr>
                <w:szCs w:val="22"/>
                <w:lang w:val="en-US"/>
              </w:rPr>
              <w:t>Clients needing residential care who have not had residential care added as a care type to their support plan.</w:t>
            </w:r>
            <w:r w:rsidRPr="00A354E5">
              <w:rPr>
                <w:szCs w:val="22"/>
              </w:rPr>
              <w:t xml:space="preserve"> </w:t>
            </w:r>
          </w:p>
        </w:tc>
      </w:tr>
      <w:tr w:rsidR="00F80D60" w:rsidRPr="00A354E5" w14:paraId="5FBD4F5F" w14:textId="77777777" w:rsidTr="00291B57">
        <w:trPr>
          <w:trHeight w:val="300"/>
        </w:trPr>
        <w:tc>
          <w:tcPr>
            <w:tcW w:w="1620" w:type="dxa"/>
            <w:shd w:val="clear" w:color="auto" w:fill="002060"/>
          </w:tcPr>
          <w:p w14:paraId="3EF0079E"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TCP</w:t>
            </w:r>
            <w:r w:rsidRPr="00A354E5">
              <w:rPr>
                <w:b/>
                <w:color w:val="FFFFFF" w:themeColor="background1"/>
                <w:szCs w:val="22"/>
              </w:rPr>
              <w:t xml:space="preserve"> </w:t>
            </w:r>
          </w:p>
        </w:tc>
        <w:tc>
          <w:tcPr>
            <w:tcW w:w="3323" w:type="dxa"/>
          </w:tcPr>
          <w:p w14:paraId="1961062D" w14:textId="77777777" w:rsidR="00F80D60" w:rsidRPr="00A354E5" w:rsidRDefault="00F80D60" w:rsidP="005747E4">
            <w:pPr>
              <w:spacing w:before="120" w:after="120" w:line="240" w:lineRule="auto"/>
              <w:rPr>
                <w:szCs w:val="22"/>
              </w:rPr>
            </w:pPr>
            <w:r w:rsidRPr="00A354E5">
              <w:rPr>
                <w:szCs w:val="22"/>
                <w:lang w:val="en-US"/>
              </w:rPr>
              <w:t>N/A</w:t>
            </w:r>
            <w:r w:rsidRPr="00A354E5">
              <w:rPr>
                <w:szCs w:val="22"/>
              </w:rPr>
              <w:t xml:space="preserve"> </w:t>
            </w:r>
          </w:p>
        </w:tc>
        <w:tc>
          <w:tcPr>
            <w:tcW w:w="4015" w:type="dxa"/>
          </w:tcPr>
          <w:p w14:paraId="3A36B4A7" w14:textId="77777777" w:rsidR="00F80D60" w:rsidRPr="00A354E5" w:rsidRDefault="00F80D60" w:rsidP="005747E4">
            <w:pPr>
              <w:spacing w:before="120" w:after="120" w:line="240" w:lineRule="auto"/>
              <w:rPr>
                <w:szCs w:val="22"/>
              </w:rPr>
            </w:pPr>
            <w:r w:rsidRPr="00A354E5">
              <w:rPr>
                <w:szCs w:val="22"/>
                <w:lang w:val="en-US"/>
              </w:rPr>
              <w:t xml:space="preserve">If the client receiving other aged care services enters hospital and needs TCP, a reassessment is required. </w:t>
            </w:r>
            <w:r w:rsidRPr="00A354E5">
              <w:rPr>
                <w:szCs w:val="22"/>
              </w:rPr>
              <w:t xml:space="preserve"> </w:t>
            </w:r>
          </w:p>
        </w:tc>
      </w:tr>
      <w:tr w:rsidR="00F80D60" w:rsidRPr="00A354E5" w14:paraId="491B98D4" w14:textId="77777777" w:rsidTr="00291B57">
        <w:trPr>
          <w:trHeight w:val="300"/>
        </w:trPr>
        <w:tc>
          <w:tcPr>
            <w:tcW w:w="1620" w:type="dxa"/>
            <w:shd w:val="clear" w:color="auto" w:fill="002060"/>
          </w:tcPr>
          <w:p w14:paraId="7C9ACE25"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CHSP</w:t>
            </w:r>
            <w:r w:rsidRPr="00A354E5">
              <w:rPr>
                <w:b/>
                <w:color w:val="FFFFFF" w:themeColor="background1"/>
                <w:szCs w:val="22"/>
              </w:rPr>
              <w:t xml:space="preserve"> </w:t>
            </w:r>
          </w:p>
        </w:tc>
        <w:tc>
          <w:tcPr>
            <w:tcW w:w="3323" w:type="dxa"/>
          </w:tcPr>
          <w:p w14:paraId="59E34B17" w14:textId="77777777" w:rsidR="00F80D60" w:rsidRPr="00A354E5" w:rsidRDefault="00F80D60" w:rsidP="005747E4">
            <w:pPr>
              <w:spacing w:before="120" w:after="120" w:line="240" w:lineRule="auto"/>
              <w:rPr>
                <w:szCs w:val="22"/>
              </w:rPr>
            </w:pPr>
            <w:r w:rsidRPr="00A354E5">
              <w:rPr>
                <w:szCs w:val="22"/>
              </w:rPr>
              <w:t>To meet changing needs which may require additional CHSP services.</w:t>
            </w:r>
          </w:p>
          <w:p w14:paraId="7FC48FB0" w14:textId="77777777" w:rsidR="00F80D60" w:rsidRPr="00A354E5" w:rsidRDefault="00F80D60" w:rsidP="005747E4">
            <w:pPr>
              <w:spacing w:before="120" w:after="120" w:line="240" w:lineRule="auto"/>
              <w:rPr>
                <w:szCs w:val="22"/>
              </w:rPr>
            </w:pPr>
            <w:r w:rsidRPr="00A354E5">
              <w:rPr>
                <w:szCs w:val="22"/>
              </w:rPr>
              <w:t>To close off a period of reablement support and/or meet changing needs which may include needing an ongoing service type after episode of reablement has finished.</w:t>
            </w:r>
          </w:p>
          <w:p w14:paraId="32C94714" w14:textId="77777777" w:rsidR="00F80D60" w:rsidRPr="00A354E5" w:rsidRDefault="00F80D60" w:rsidP="005747E4">
            <w:pPr>
              <w:spacing w:before="120" w:after="120" w:line="240" w:lineRule="auto"/>
              <w:rPr>
                <w:szCs w:val="22"/>
              </w:rPr>
            </w:pPr>
          </w:p>
        </w:tc>
        <w:tc>
          <w:tcPr>
            <w:tcW w:w="4015" w:type="dxa"/>
          </w:tcPr>
          <w:p w14:paraId="6EB892B8" w14:textId="77777777" w:rsidR="00F80D60" w:rsidRPr="00A354E5" w:rsidRDefault="00F80D60" w:rsidP="005747E4">
            <w:pPr>
              <w:spacing w:before="120" w:after="120" w:line="240" w:lineRule="auto"/>
              <w:rPr>
                <w:szCs w:val="22"/>
              </w:rPr>
            </w:pPr>
            <w:r w:rsidRPr="00A354E5">
              <w:rPr>
                <w:szCs w:val="22"/>
                <w:lang w:val="en-US"/>
              </w:rPr>
              <w:t xml:space="preserve">If a CHSP participant needs access to a different service type that they are not currently approved for. For example, Support at Home or residential respite care, a reassessment is required. </w:t>
            </w:r>
          </w:p>
          <w:p w14:paraId="39E18F7C" w14:textId="77777777" w:rsidR="00F80D60" w:rsidRPr="00A354E5" w:rsidRDefault="00F80D60" w:rsidP="005747E4">
            <w:pPr>
              <w:spacing w:before="120" w:after="120" w:line="240" w:lineRule="auto"/>
              <w:rPr>
                <w:szCs w:val="22"/>
              </w:rPr>
            </w:pPr>
            <w:r w:rsidRPr="00A354E5">
              <w:rPr>
                <w:szCs w:val="22"/>
              </w:rPr>
              <w:t xml:space="preserve"> </w:t>
            </w:r>
          </w:p>
          <w:p w14:paraId="1D4A5E97" w14:textId="77777777" w:rsidR="00F80D60" w:rsidRPr="00A354E5" w:rsidRDefault="00F80D60" w:rsidP="005747E4">
            <w:pPr>
              <w:spacing w:before="120" w:after="120" w:line="240" w:lineRule="auto"/>
              <w:rPr>
                <w:szCs w:val="22"/>
              </w:rPr>
            </w:pPr>
            <w:r w:rsidRPr="00A354E5">
              <w:rPr>
                <w:szCs w:val="22"/>
              </w:rPr>
              <w:t xml:space="preserve"> </w:t>
            </w:r>
          </w:p>
        </w:tc>
      </w:tr>
      <w:tr w:rsidR="00F80D60" w:rsidRPr="00A354E5" w14:paraId="0EFD009F" w14:textId="77777777" w:rsidTr="00291B57">
        <w:trPr>
          <w:trHeight w:val="300"/>
        </w:trPr>
        <w:tc>
          <w:tcPr>
            <w:tcW w:w="1620" w:type="dxa"/>
            <w:shd w:val="clear" w:color="auto" w:fill="002060"/>
          </w:tcPr>
          <w:p w14:paraId="42C2CBEA"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MPSP</w:t>
            </w:r>
            <w:r w:rsidRPr="00A354E5">
              <w:rPr>
                <w:b/>
                <w:color w:val="FFFFFF" w:themeColor="background1"/>
                <w:szCs w:val="22"/>
              </w:rPr>
              <w:t xml:space="preserve"> </w:t>
            </w:r>
          </w:p>
        </w:tc>
        <w:tc>
          <w:tcPr>
            <w:tcW w:w="3323" w:type="dxa"/>
          </w:tcPr>
          <w:p w14:paraId="4615B41D" w14:textId="56E1902D" w:rsidR="00F80D60" w:rsidRPr="00A354E5" w:rsidRDefault="00F80D60" w:rsidP="005747E4">
            <w:pPr>
              <w:spacing w:before="120" w:after="120" w:line="240" w:lineRule="auto"/>
              <w:rPr>
                <w:szCs w:val="22"/>
              </w:rPr>
            </w:pPr>
            <w:r w:rsidRPr="00A354E5">
              <w:rPr>
                <w:szCs w:val="22"/>
                <w:lang w:val="en-US"/>
              </w:rPr>
              <w:t>If a client is receiving other aged care services and an MPSP service recommendation needs to be added.</w:t>
            </w:r>
          </w:p>
        </w:tc>
        <w:tc>
          <w:tcPr>
            <w:tcW w:w="4015" w:type="dxa"/>
          </w:tcPr>
          <w:p w14:paraId="49AB89C9" w14:textId="77777777" w:rsidR="00F80D60" w:rsidRPr="00A354E5" w:rsidRDefault="00F80D60" w:rsidP="005747E4">
            <w:pPr>
              <w:spacing w:before="120" w:after="120" w:line="240" w:lineRule="auto"/>
              <w:rPr>
                <w:szCs w:val="22"/>
              </w:rPr>
            </w:pPr>
            <w:r w:rsidRPr="00A354E5">
              <w:rPr>
                <w:szCs w:val="22"/>
                <w:lang w:val="en-US"/>
              </w:rPr>
              <w:t>New MPSP clients will require an assessment from 1 November 2025.</w:t>
            </w:r>
            <w:r w:rsidRPr="00A354E5">
              <w:rPr>
                <w:szCs w:val="22"/>
              </w:rPr>
              <w:t xml:space="preserve"> </w:t>
            </w:r>
          </w:p>
          <w:p w14:paraId="54D1C846" w14:textId="77777777" w:rsidR="00F80D60" w:rsidRPr="00A354E5" w:rsidRDefault="00F80D60" w:rsidP="005747E4">
            <w:pPr>
              <w:spacing w:before="120" w:after="120" w:line="240" w:lineRule="auto"/>
              <w:rPr>
                <w:szCs w:val="22"/>
              </w:rPr>
            </w:pPr>
            <w:r w:rsidRPr="00A354E5">
              <w:rPr>
                <w:szCs w:val="22"/>
                <w:lang w:val="en-US"/>
              </w:rPr>
              <w:t>If an existing MPSP client who had not previously been assessed (who were deemed across under transitional arrangements) needs to move to mainstream services, a reassessment should be undertaken.</w:t>
            </w:r>
            <w:r w:rsidRPr="00A354E5">
              <w:rPr>
                <w:szCs w:val="22"/>
              </w:rPr>
              <w:t xml:space="preserve"> </w:t>
            </w:r>
          </w:p>
        </w:tc>
      </w:tr>
      <w:tr w:rsidR="00F80D60" w:rsidRPr="00A354E5" w14:paraId="262767F1" w14:textId="77777777" w:rsidTr="00291B57">
        <w:trPr>
          <w:trHeight w:val="300"/>
        </w:trPr>
        <w:tc>
          <w:tcPr>
            <w:tcW w:w="1620" w:type="dxa"/>
            <w:shd w:val="clear" w:color="auto" w:fill="002060"/>
          </w:tcPr>
          <w:p w14:paraId="1B0D896A" w14:textId="77777777" w:rsidR="00F80D60" w:rsidRPr="00A354E5" w:rsidRDefault="00F80D60" w:rsidP="005747E4">
            <w:pPr>
              <w:spacing w:before="120" w:after="120" w:line="240" w:lineRule="auto"/>
              <w:rPr>
                <w:b/>
                <w:color w:val="FFFFFF" w:themeColor="background1"/>
                <w:szCs w:val="22"/>
              </w:rPr>
            </w:pPr>
            <w:r w:rsidRPr="00A354E5">
              <w:rPr>
                <w:b/>
                <w:color w:val="FFFFFF" w:themeColor="background1"/>
                <w:szCs w:val="22"/>
                <w:lang w:val="en-US"/>
              </w:rPr>
              <w:t>NATSIFACP</w:t>
            </w:r>
            <w:r w:rsidRPr="00A354E5">
              <w:rPr>
                <w:b/>
                <w:color w:val="FFFFFF" w:themeColor="background1"/>
                <w:szCs w:val="22"/>
              </w:rPr>
              <w:t xml:space="preserve"> </w:t>
            </w:r>
          </w:p>
        </w:tc>
        <w:tc>
          <w:tcPr>
            <w:tcW w:w="3323" w:type="dxa"/>
          </w:tcPr>
          <w:p w14:paraId="715D5D14" w14:textId="77777777" w:rsidR="00F80D60" w:rsidRPr="00A354E5" w:rsidRDefault="00F80D60" w:rsidP="005747E4">
            <w:pPr>
              <w:spacing w:before="120" w:after="120" w:line="240" w:lineRule="auto"/>
              <w:rPr>
                <w:szCs w:val="22"/>
              </w:rPr>
            </w:pPr>
            <w:r w:rsidRPr="00A354E5">
              <w:rPr>
                <w:szCs w:val="22"/>
                <w:lang w:val="en-US"/>
              </w:rPr>
              <w:t>If a client is receiving other services and a NATSIFACP service recommendation needs to be added.</w:t>
            </w:r>
            <w:r w:rsidRPr="00A354E5">
              <w:rPr>
                <w:szCs w:val="22"/>
              </w:rPr>
              <w:t xml:space="preserve"> </w:t>
            </w:r>
          </w:p>
        </w:tc>
        <w:tc>
          <w:tcPr>
            <w:tcW w:w="4015" w:type="dxa"/>
          </w:tcPr>
          <w:p w14:paraId="25C8C399" w14:textId="77777777" w:rsidR="00F80D60" w:rsidRPr="00A354E5" w:rsidRDefault="00F80D60" w:rsidP="005747E4">
            <w:pPr>
              <w:spacing w:before="120" w:after="120" w:line="240" w:lineRule="auto"/>
              <w:rPr>
                <w:szCs w:val="22"/>
              </w:rPr>
            </w:pPr>
            <w:r w:rsidRPr="00A354E5">
              <w:rPr>
                <w:szCs w:val="22"/>
                <w:lang w:val="en-US"/>
              </w:rPr>
              <w:t>New NATSIFACP clients will require an assessment from 1 November 2025.</w:t>
            </w:r>
            <w:r w:rsidRPr="00A354E5">
              <w:rPr>
                <w:szCs w:val="22"/>
              </w:rPr>
              <w:t xml:space="preserve"> </w:t>
            </w:r>
          </w:p>
          <w:p w14:paraId="22049DD3" w14:textId="77777777" w:rsidR="00F80D60" w:rsidRPr="00A354E5" w:rsidRDefault="00F80D60" w:rsidP="005747E4">
            <w:pPr>
              <w:spacing w:before="120" w:after="120" w:line="240" w:lineRule="auto"/>
              <w:rPr>
                <w:szCs w:val="22"/>
              </w:rPr>
            </w:pPr>
            <w:r w:rsidRPr="00A354E5">
              <w:rPr>
                <w:szCs w:val="22"/>
                <w:lang w:val="en-US"/>
              </w:rPr>
              <w:t>If an existing NATSIFACP client needs to move to mainstream services and hasn’t been assessed before, a reassessment should be undertaken.</w:t>
            </w:r>
          </w:p>
        </w:tc>
      </w:tr>
    </w:tbl>
    <w:p w14:paraId="24AA3217" w14:textId="77777777" w:rsidR="00F80D60" w:rsidRDefault="00F80D60" w:rsidP="00C56CEC">
      <w:pPr>
        <w:pStyle w:val="H3"/>
      </w:pPr>
      <w:r>
        <w:t>SPRs for Aboriginal and Torres Strait Islander assessment organisations</w:t>
      </w:r>
    </w:p>
    <w:p w14:paraId="30505DEB" w14:textId="352BCEA0" w:rsidR="00F80D60" w:rsidRDefault="00BC4E6B" w:rsidP="00622CFF">
      <w:pPr>
        <w:spacing w:before="240" w:after="240" w:line="240" w:lineRule="auto"/>
      </w:pPr>
      <w:r>
        <w:t>SPRs</w:t>
      </w:r>
      <w:r w:rsidR="00F80D60">
        <w:t xml:space="preserve"> will usually be reallocated to the </w:t>
      </w:r>
      <w:r w:rsidR="000159A0">
        <w:t xml:space="preserve">assessment organisation </w:t>
      </w:r>
      <w:r w:rsidR="00E06442">
        <w:t xml:space="preserve">that completed the </w:t>
      </w:r>
      <w:r w:rsidR="00F80D60">
        <w:t xml:space="preserve">previous </w:t>
      </w:r>
      <w:r w:rsidR="00BA5ED1">
        <w:t>assessment.</w:t>
      </w:r>
      <w:r w:rsidR="00F80D60">
        <w:t xml:space="preserve"> As Aboriginal and Torres Strait Islander assessment organisations commence, an Aboriginal and Torres Strait Islander client may wish to transfer their SPR to </w:t>
      </w:r>
      <w:r w:rsidR="006E1967">
        <w:t>one of th</w:t>
      </w:r>
      <w:r w:rsidR="006607DD">
        <w:t xml:space="preserve">ese </w:t>
      </w:r>
      <w:r w:rsidR="00BA5ED1">
        <w:t>organisations.</w:t>
      </w:r>
      <w:r w:rsidR="00F80D60">
        <w:t xml:space="preserve"> In </w:t>
      </w:r>
      <w:r w:rsidR="006607DD">
        <w:t>such</w:t>
      </w:r>
      <w:r w:rsidR="00F80D60">
        <w:t xml:space="preserve"> case, the </w:t>
      </w:r>
      <w:r w:rsidR="006607DD">
        <w:t xml:space="preserve">current </w:t>
      </w:r>
      <w:r w:rsidR="00F80D60">
        <w:t>assessment organisation is expected to support a warm transfer of the assessment referral.</w:t>
      </w:r>
      <w:r w:rsidR="009C66E4">
        <w:t xml:space="preserve"> This approach ensures continuity of care, respect</w:t>
      </w:r>
      <w:r w:rsidR="00EA3124">
        <w:t>s</w:t>
      </w:r>
      <w:r w:rsidR="009C66E4">
        <w:t xml:space="preserve"> client choice</w:t>
      </w:r>
      <w:r w:rsidR="00CD5511">
        <w:t>, and supports culturally safe aged care assessment</w:t>
      </w:r>
      <w:r w:rsidR="00C64F52">
        <w:t xml:space="preserve"> delivery.</w:t>
      </w:r>
      <w:r w:rsidR="00F80D60">
        <w:t xml:space="preserve"> </w:t>
      </w:r>
    </w:p>
    <w:p w14:paraId="162FD7BE" w14:textId="77777777" w:rsidR="00F80D60" w:rsidRDefault="00F80D60" w:rsidP="00C56CEC">
      <w:pPr>
        <w:pStyle w:val="H3"/>
      </w:pPr>
      <w:r>
        <w:t>SPRs for AT-HM</w:t>
      </w:r>
    </w:p>
    <w:p w14:paraId="44743F8F" w14:textId="35A07973" w:rsidR="00F80D60" w:rsidRPr="00284419" w:rsidRDefault="001F323F" w:rsidP="00622CFF">
      <w:pPr>
        <w:pStyle w:val="paragraph"/>
        <w:spacing w:before="240" w:beforeAutospacing="0" w:after="240" w:afterAutospacing="0"/>
        <w:textAlignment w:val="baseline"/>
        <w:rPr>
          <w:rFonts w:eastAsia="Arial"/>
          <w:szCs w:val="22"/>
        </w:rPr>
      </w:pPr>
      <w:r>
        <w:rPr>
          <w:rStyle w:val="normaltextrun"/>
          <w:rFonts w:eastAsia="Arial"/>
          <w:szCs w:val="22"/>
        </w:rPr>
        <w:t>P</w:t>
      </w:r>
      <w:r w:rsidR="00F80D60" w:rsidRPr="00284419">
        <w:rPr>
          <w:rStyle w:val="normaltextrun"/>
          <w:rFonts w:eastAsia="Arial"/>
          <w:szCs w:val="22"/>
        </w:rPr>
        <w:t xml:space="preserve">articipants accessing assistive technology </w:t>
      </w:r>
      <w:r>
        <w:rPr>
          <w:rStyle w:val="normaltextrun"/>
          <w:rFonts w:eastAsia="Arial"/>
          <w:szCs w:val="22"/>
        </w:rPr>
        <w:t>(AT)</w:t>
      </w:r>
      <w:r w:rsidR="00F80D60" w:rsidRPr="00284419">
        <w:rPr>
          <w:rStyle w:val="normaltextrun"/>
          <w:rFonts w:eastAsia="Arial"/>
          <w:szCs w:val="22"/>
        </w:rPr>
        <w:t xml:space="preserve"> or home modifications </w:t>
      </w:r>
      <w:r>
        <w:rPr>
          <w:rStyle w:val="normaltextrun"/>
          <w:rFonts w:eastAsia="Arial"/>
          <w:szCs w:val="22"/>
        </w:rPr>
        <w:t>(HM)</w:t>
      </w:r>
      <w:r w:rsidR="00F80D60" w:rsidRPr="00284419">
        <w:rPr>
          <w:rStyle w:val="normaltextrun"/>
          <w:rFonts w:eastAsia="Arial"/>
          <w:szCs w:val="22"/>
        </w:rPr>
        <w:t xml:space="preserve"> can request an SPR:</w:t>
      </w:r>
      <w:r w:rsidR="00F80D60" w:rsidRPr="00284419">
        <w:rPr>
          <w:rStyle w:val="eop"/>
          <w:rFonts w:eastAsia="Arial"/>
          <w:szCs w:val="22"/>
        </w:rPr>
        <w:t> </w:t>
      </w:r>
    </w:p>
    <w:p w14:paraId="3AB718E2" w14:textId="77777777" w:rsidR="00F80D60" w:rsidRPr="00284419" w:rsidRDefault="00F80D60" w:rsidP="00DF3F6B">
      <w:pPr>
        <w:pStyle w:val="paragraph"/>
        <w:numPr>
          <w:ilvl w:val="0"/>
          <w:numId w:val="338"/>
        </w:numPr>
        <w:spacing w:before="240" w:beforeAutospacing="0" w:after="240" w:afterAutospacing="0"/>
        <w:ind w:left="1080" w:firstLine="0"/>
        <w:textAlignment w:val="baseline"/>
        <w:rPr>
          <w:rFonts w:eastAsia="Arial"/>
          <w:szCs w:val="22"/>
        </w:rPr>
      </w:pPr>
      <w:r w:rsidRPr="00284419">
        <w:rPr>
          <w:rStyle w:val="normaltextrun"/>
          <w:rFonts w:eastAsia="Arial"/>
          <w:szCs w:val="22"/>
        </w:rPr>
        <w:t>to seek a higher AT or HM funding tier</w:t>
      </w:r>
      <w:r w:rsidRPr="00284419">
        <w:rPr>
          <w:rStyle w:val="eop"/>
          <w:rFonts w:eastAsia="Arial"/>
          <w:szCs w:val="22"/>
        </w:rPr>
        <w:t> </w:t>
      </w:r>
    </w:p>
    <w:p w14:paraId="1D4257F7" w14:textId="77777777" w:rsidR="00F80D60" w:rsidRPr="00284419" w:rsidRDefault="00F80D60" w:rsidP="00DF3F6B">
      <w:pPr>
        <w:pStyle w:val="paragraph"/>
        <w:numPr>
          <w:ilvl w:val="0"/>
          <w:numId w:val="339"/>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to seek AT funding to meet their assistive technology repair or maintenance needs </w:t>
      </w:r>
    </w:p>
    <w:p w14:paraId="3FC362CB" w14:textId="11FE360A" w:rsidR="00D95FB3" w:rsidRPr="00381271" w:rsidRDefault="00F80D60" w:rsidP="00381271">
      <w:pPr>
        <w:pStyle w:val="paragraph"/>
        <w:numPr>
          <w:ilvl w:val="0"/>
          <w:numId w:val="340"/>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to seek allocation of an AT or HM funding tier if they are a participant with a transitional Support at Home classification (from November 2025).  </w:t>
      </w:r>
      <w:r w:rsidRPr="00284419">
        <w:rPr>
          <w:rStyle w:val="eop"/>
          <w:rFonts w:eastAsia="Arial"/>
          <w:szCs w:val="22"/>
        </w:rPr>
        <w:t> </w:t>
      </w:r>
    </w:p>
    <w:p w14:paraId="1282647C" w14:textId="30CA14C4" w:rsidR="00EA1DF5" w:rsidRPr="007D7763" w:rsidRDefault="00F80D60" w:rsidP="00C325C6">
      <w:pPr>
        <w:pStyle w:val="Sub-headings"/>
        <w:rPr>
          <w:rStyle w:val="normaltextrun"/>
          <w:rFonts w:eastAsia="Arial"/>
          <w:szCs w:val="22"/>
        </w:rPr>
      </w:pPr>
      <w:r>
        <w:rPr>
          <w:rStyle w:val="normaltextrun"/>
          <w:rFonts w:eastAsia="Arial"/>
          <w:szCs w:val="22"/>
        </w:rPr>
        <w:t>Note:</w:t>
      </w:r>
    </w:p>
    <w:p w14:paraId="25356F9D" w14:textId="77777777" w:rsidR="007D7763" w:rsidRDefault="00F80D60" w:rsidP="00C325C6">
      <w:pPr>
        <w:pStyle w:val="Sub-headings"/>
        <w:rPr>
          <w:rStyle w:val="normaltextrun"/>
          <w:rFonts w:eastAsia="Arial"/>
          <w:szCs w:val="22"/>
        </w:rPr>
      </w:pPr>
      <w:r w:rsidRPr="008356C5">
        <w:rPr>
          <w:rStyle w:val="normaltextrun"/>
          <w:rFonts w:eastAsia="Arial"/>
          <w:szCs w:val="22"/>
        </w:rPr>
        <w:t>If transitional clients don’t have unspent funds or have insufficient unspent funds to meet their</w:t>
      </w:r>
      <w:r w:rsidRPr="00284419">
        <w:rPr>
          <w:rStyle w:val="normaltextrun"/>
          <w:rFonts w:eastAsia="Arial"/>
          <w:szCs w:val="22"/>
        </w:rPr>
        <w:t xml:space="preserve"> need for assistive technology and home modifications, they can agree for their providers to supply information indicating any additional funding needs through the</w:t>
      </w:r>
      <w:r w:rsidRPr="00301CD5">
        <w:rPr>
          <w:rStyle w:val="normaltextrun"/>
          <w:rFonts w:eastAsia="Arial"/>
          <w:szCs w:val="22"/>
        </w:rPr>
        <w:t xml:space="preserve"> AT-HM scheme data collection process</w:t>
      </w:r>
      <w:r w:rsidRPr="00284419">
        <w:rPr>
          <w:rStyle w:val="normaltextrun"/>
          <w:rFonts w:eastAsia="Arial"/>
          <w:szCs w:val="22"/>
        </w:rPr>
        <w:t xml:space="preserve">. </w:t>
      </w:r>
    </w:p>
    <w:p w14:paraId="58728B36" w14:textId="77777777" w:rsidR="007D7763" w:rsidRDefault="00F80D60" w:rsidP="00C325C6">
      <w:pPr>
        <w:pStyle w:val="Sub-headings"/>
        <w:rPr>
          <w:rStyle w:val="normaltextrun"/>
          <w:rFonts w:eastAsia="Arial"/>
          <w:szCs w:val="22"/>
        </w:rPr>
      </w:pPr>
      <w:r w:rsidRPr="00284419">
        <w:rPr>
          <w:rStyle w:val="normaltextrun"/>
          <w:rFonts w:eastAsia="Arial"/>
          <w:szCs w:val="22"/>
        </w:rPr>
        <w:t xml:space="preserve">This is a direct pathway where the department delegate may allocate an AT ongoing and/or AT/ HM low, medium or high short term funding tier. </w:t>
      </w:r>
    </w:p>
    <w:p w14:paraId="44CBED26" w14:textId="7A26A75D" w:rsidR="007D7763" w:rsidRPr="00284419" w:rsidRDefault="00F80D60" w:rsidP="00C325C6">
      <w:pPr>
        <w:pStyle w:val="Sub-headings"/>
        <w:rPr>
          <w:rFonts w:eastAsia="Arial"/>
          <w:szCs w:val="22"/>
        </w:rPr>
      </w:pPr>
      <w:r w:rsidRPr="00301CD5">
        <w:rPr>
          <w:rStyle w:val="normaltextrun"/>
          <w:rFonts w:eastAsia="Arial"/>
          <w:szCs w:val="22"/>
        </w:rPr>
        <w:t>This process will be available from 1 November 2025 until February 2026</w:t>
      </w:r>
      <w:r w:rsidR="00A60DEC">
        <w:rPr>
          <w:rStyle w:val="normaltextrun"/>
          <w:rFonts w:eastAsia="Arial"/>
          <w:szCs w:val="22"/>
        </w:rPr>
        <w:t xml:space="preserve">, </w:t>
      </w:r>
      <w:r w:rsidRPr="00301CD5">
        <w:rPr>
          <w:rStyle w:val="normaltextrun"/>
          <w:rFonts w:eastAsia="Arial"/>
          <w:szCs w:val="22"/>
        </w:rPr>
        <w:t>and should be followed in the first instance before seeking an SPR.</w:t>
      </w:r>
      <w:r w:rsidRPr="00284419">
        <w:rPr>
          <w:rStyle w:val="eop"/>
          <w:rFonts w:eastAsia="Arial"/>
          <w:szCs w:val="22"/>
        </w:rPr>
        <w:t> </w:t>
      </w:r>
    </w:p>
    <w:p w14:paraId="050CF110" w14:textId="685FF8DB" w:rsidR="00F80D60" w:rsidRPr="00284419" w:rsidRDefault="00F80D60" w:rsidP="00622CFF">
      <w:pPr>
        <w:pStyle w:val="paragraph"/>
        <w:spacing w:before="240" w:beforeAutospacing="0" w:after="240" w:afterAutospacing="0"/>
        <w:textAlignment w:val="baseline"/>
        <w:rPr>
          <w:rFonts w:eastAsia="Arial"/>
          <w:szCs w:val="22"/>
        </w:rPr>
      </w:pPr>
      <w:r w:rsidRPr="00284419">
        <w:rPr>
          <w:rStyle w:val="normaltextrun"/>
          <w:rFonts w:eastAsia="Arial"/>
          <w:szCs w:val="22"/>
        </w:rPr>
        <w:t xml:space="preserve">The following will require a </w:t>
      </w:r>
      <w:r>
        <w:rPr>
          <w:rStyle w:val="normaltextrun"/>
          <w:rFonts w:eastAsia="Arial"/>
          <w:szCs w:val="22"/>
        </w:rPr>
        <w:t>reassessment</w:t>
      </w:r>
      <w:r w:rsidRPr="00284419">
        <w:rPr>
          <w:rStyle w:val="normaltextrun"/>
          <w:rFonts w:eastAsia="Arial"/>
          <w:szCs w:val="22"/>
        </w:rPr>
        <w:t>:</w:t>
      </w:r>
      <w:r w:rsidRPr="00284419">
        <w:rPr>
          <w:rStyle w:val="eop"/>
          <w:rFonts w:eastAsia="Arial"/>
          <w:szCs w:val="22"/>
        </w:rPr>
        <w:t> </w:t>
      </w:r>
    </w:p>
    <w:p w14:paraId="5C88955A" w14:textId="15F8937D" w:rsidR="00F80D60" w:rsidRPr="00284419" w:rsidRDefault="00F80D60" w:rsidP="00DF3F6B">
      <w:pPr>
        <w:pStyle w:val="paragraph"/>
        <w:numPr>
          <w:ilvl w:val="0"/>
          <w:numId w:val="341"/>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to allocate an AT or HM funding tier for </w:t>
      </w:r>
      <w:r w:rsidR="00DC7D30">
        <w:rPr>
          <w:rStyle w:val="normaltextrun"/>
          <w:rFonts w:eastAsia="Arial"/>
          <w:szCs w:val="22"/>
        </w:rPr>
        <w:t xml:space="preserve">the </w:t>
      </w:r>
      <w:r w:rsidRPr="00284419">
        <w:rPr>
          <w:rStyle w:val="normaltextrun"/>
          <w:rFonts w:eastAsia="Arial"/>
          <w:szCs w:val="22"/>
        </w:rPr>
        <w:t xml:space="preserve">Restorative Care </w:t>
      </w:r>
      <w:r w:rsidR="00DC7D30">
        <w:rPr>
          <w:rStyle w:val="normaltextrun"/>
          <w:rFonts w:eastAsia="Arial"/>
          <w:szCs w:val="22"/>
        </w:rPr>
        <w:t>Pathway</w:t>
      </w:r>
      <w:r w:rsidRPr="00284419">
        <w:rPr>
          <w:rStyle w:val="normaltextrun"/>
          <w:rFonts w:eastAsia="Arial"/>
          <w:szCs w:val="22"/>
        </w:rPr>
        <w:t xml:space="preserve"> </w:t>
      </w:r>
    </w:p>
    <w:p w14:paraId="7ED693C7" w14:textId="77777777" w:rsidR="00F80D60" w:rsidRPr="00284419" w:rsidRDefault="00F80D60" w:rsidP="00DF3F6B">
      <w:pPr>
        <w:pStyle w:val="paragraph"/>
        <w:numPr>
          <w:ilvl w:val="0"/>
          <w:numId w:val="342"/>
        </w:numPr>
        <w:spacing w:before="240" w:beforeAutospacing="0" w:after="240" w:afterAutospacing="0"/>
        <w:ind w:left="1080" w:firstLine="0"/>
        <w:textAlignment w:val="baseline"/>
        <w:rPr>
          <w:rFonts w:eastAsia="Arial"/>
          <w:szCs w:val="22"/>
        </w:rPr>
      </w:pPr>
      <w:r w:rsidRPr="00284419">
        <w:rPr>
          <w:rStyle w:val="normaltextrun"/>
          <w:rFonts w:eastAsia="Arial"/>
          <w:szCs w:val="22"/>
        </w:rPr>
        <w:t>to allocate an AT funding tier for End-of-Life Pathway</w:t>
      </w:r>
      <w:r w:rsidRPr="00284419">
        <w:rPr>
          <w:rStyle w:val="eop"/>
          <w:rFonts w:eastAsia="Arial"/>
          <w:szCs w:val="22"/>
        </w:rPr>
        <w:t> </w:t>
      </w:r>
    </w:p>
    <w:p w14:paraId="04617D4D" w14:textId="02ECA0A2" w:rsidR="00F80D60" w:rsidRPr="00284419" w:rsidRDefault="00F80D60" w:rsidP="00622CFF">
      <w:pPr>
        <w:pStyle w:val="paragraph"/>
        <w:spacing w:before="240" w:beforeAutospacing="0" w:after="240" w:afterAutospacing="0"/>
        <w:textAlignment w:val="baseline"/>
        <w:rPr>
          <w:rFonts w:eastAsia="Arial"/>
          <w:szCs w:val="22"/>
        </w:rPr>
      </w:pPr>
      <w:r w:rsidRPr="00284419">
        <w:rPr>
          <w:rStyle w:val="normaltextrun"/>
          <w:rFonts w:eastAsia="Arial"/>
          <w:szCs w:val="22"/>
        </w:rPr>
        <w:t xml:space="preserve">If an SPR is requested for a higher </w:t>
      </w:r>
      <w:r w:rsidR="00A76A36">
        <w:rPr>
          <w:rStyle w:val="normaltextrun"/>
          <w:rFonts w:eastAsia="Arial"/>
          <w:szCs w:val="22"/>
        </w:rPr>
        <w:t>AT</w:t>
      </w:r>
      <w:r w:rsidRPr="00284419">
        <w:rPr>
          <w:rStyle w:val="normaltextrun"/>
          <w:rFonts w:eastAsia="Arial"/>
          <w:szCs w:val="22"/>
        </w:rPr>
        <w:t xml:space="preserve"> or </w:t>
      </w:r>
      <w:r w:rsidR="00A76A36">
        <w:rPr>
          <w:rStyle w:val="normaltextrun"/>
          <w:rFonts w:eastAsia="Arial"/>
          <w:szCs w:val="22"/>
        </w:rPr>
        <w:t>HM</w:t>
      </w:r>
      <w:r w:rsidRPr="00284419">
        <w:rPr>
          <w:rStyle w:val="normaltextrun"/>
          <w:rFonts w:eastAsia="Arial"/>
          <w:szCs w:val="22"/>
        </w:rPr>
        <w:t xml:space="preserve"> funding tier or for repair and maintenance of assistive technology providers will be required to submit evidence, along with the </w:t>
      </w:r>
      <w:r w:rsidR="00A76A36">
        <w:rPr>
          <w:rStyle w:val="normaltextrun"/>
          <w:rFonts w:eastAsia="Arial"/>
          <w:szCs w:val="22"/>
        </w:rPr>
        <w:t>SPR</w:t>
      </w:r>
      <w:r w:rsidRPr="00284419">
        <w:rPr>
          <w:rStyle w:val="normaltextrun"/>
          <w:rFonts w:eastAsia="Arial"/>
          <w:szCs w:val="22"/>
        </w:rPr>
        <w:t xml:space="preserve"> request, for the aged care assessor to review: </w:t>
      </w:r>
      <w:r w:rsidRPr="00284419">
        <w:rPr>
          <w:rStyle w:val="eop"/>
          <w:rFonts w:eastAsia="Arial"/>
          <w:szCs w:val="22"/>
        </w:rPr>
        <w:t> </w:t>
      </w:r>
    </w:p>
    <w:p w14:paraId="3647988C" w14:textId="77777777" w:rsidR="00F80D60" w:rsidRPr="00284419" w:rsidRDefault="00F80D60" w:rsidP="00DF3F6B">
      <w:pPr>
        <w:pStyle w:val="paragraph"/>
        <w:numPr>
          <w:ilvl w:val="0"/>
          <w:numId w:val="343"/>
        </w:numPr>
        <w:spacing w:before="240" w:beforeAutospacing="0" w:after="240" w:afterAutospacing="0"/>
        <w:ind w:left="1080" w:firstLine="0"/>
        <w:textAlignment w:val="baseline"/>
        <w:rPr>
          <w:rFonts w:eastAsia="Arial"/>
          <w:szCs w:val="22"/>
        </w:rPr>
      </w:pPr>
      <w:r w:rsidRPr="00284419">
        <w:rPr>
          <w:rStyle w:val="normaltextrun"/>
          <w:rFonts w:eastAsia="Arial"/>
          <w:szCs w:val="22"/>
        </w:rPr>
        <w:t>a valid prescription (if applicable) and</w:t>
      </w:r>
      <w:r w:rsidRPr="00284419">
        <w:rPr>
          <w:rStyle w:val="eop"/>
          <w:rFonts w:eastAsia="Arial"/>
          <w:szCs w:val="22"/>
        </w:rPr>
        <w:t> </w:t>
      </w:r>
    </w:p>
    <w:p w14:paraId="73B412C4" w14:textId="77777777" w:rsidR="00F80D60" w:rsidRPr="00284419" w:rsidRDefault="00F80D60" w:rsidP="00DF3F6B">
      <w:pPr>
        <w:pStyle w:val="paragraph"/>
        <w:numPr>
          <w:ilvl w:val="0"/>
          <w:numId w:val="344"/>
        </w:numPr>
        <w:spacing w:before="240" w:beforeAutospacing="0" w:after="240" w:afterAutospacing="0"/>
        <w:ind w:left="1080" w:firstLine="0"/>
        <w:textAlignment w:val="baseline"/>
        <w:rPr>
          <w:rFonts w:eastAsia="Arial"/>
          <w:szCs w:val="22"/>
        </w:rPr>
      </w:pPr>
      <w:r w:rsidRPr="00284419">
        <w:rPr>
          <w:rStyle w:val="normaltextrun"/>
          <w:rFonts w:eastAsia="Arial"/>
          <w:szCs w:val="22"/>
        </w:rPr>
        <w:t xml:space="preserve">a quote indicating costs of AT repairs or maintenance needs </w:t>
      </w:r>
      <w:r w:rsidRPr="00284419">
        <w:rPr>
          <w:rStyle w:val="eop"/>
          <w:rFonts w:eastAsia="Arial"/>
          <w:szCs w:val="22"/>
        </w:rPr>
        <w:t> </w:t>
      </w:r>
    </w:p>
    <w:p w14:paraId="78672DA2" w14:textId="19F569F2" w:rsidR="00F80D60" w:rsidRPr="00622728" w:rsidRDefault="00F80D60" w:rsidP="00C56CEC">
      <w:pPr>
        <w:pStyle w:val="H3"/>
      </w:pPr>
      <w:r w:rsidRPr="00622728">
        <w:t>SPRs for Restorative Care</w:t>
      </w:r>
      <w:r w:rsidR="00BF52A5">
        <w:t xml:space="preserve"> Pathway</w:t>
      </w:r>
      <w:r w:rsidR="00A76A36">
        <w:t xml:space="preserve"> (RCP)</w:t>
      </w:r>
    </w:p>
    <w:p w14:paraId="294E9365" w14:textId="5FB4A412" w:rsidR="00F80D60" w:rsidRPr="0027135E" w:rsidRDefault="00F80D60" w:rsidP="00622CFF">
      <w:pPr>
        <w:spacing w:before="240" w:after="240" w:line="240" w:lineRule="auto"/>
        <w:rPr>
          <w:b/>
        </w:rPr>
      </w:pPr>
      <w:r w:rsidRPr="005F796D">
        <w:rPr>
          <w:rFonts w:eastAsia="Arial"/>
        </w:rPr>
        <w:t xml:space="preserve">Restorative </w:t>
      </w:r>
      <w:r w:rsidR="00EF1684">
        <w:rPr>
          <w:rFonts w:eastAsia="Arial"/>
        </w:rPr>
        <w:t>c</w:t>
      </w:r>
      <w:r w:rsidRPr="005F796D">
        <w:rPr>
          <w:rFonts w:eastAsia="Arial"/>
        </w:rPr>
        <w:t>are partners can submit a SPR for several reasons related</w:t>
      </w:r>
      <w:r w:rsidRPr="0027135E">
        <w:t xml:space="preserve"> to </w:t>
      </w:r>
      <w:r w:rsidR="00EF1684">
        <w:t xml:space="preserve">the RCP </w:t>
      </w:r>
      <w:r w:rsidRPr="0027135E">
        <w:t>including: </w:t>
      </w:r>
    </w:p>
    <w:p w14:paraId="467940C3" w14:textId="77777777" w:rsidR="00F80D60" w:rsidRPr="0027135E" w:rsidRDefault="00F80D60" w:rsidP="00DF3F6B">
      <w:pPr>
        <w:pStyle w:val="ListParagraph"/>
        <w:numPr>
          <w:ilvl w:val="0"/>
          <w:numId w:val="316"/>
        </w:numPr>
        <w:spacing w:before="240" w:after="240" w:line="240" w:lineRule="auto"/>
        <w:rPr>
          <w:b/>
        </w:rPr>
      </w:pPr>
      <w:r w:rsidRPr="0027135E">
        <w:t>Request approval for additional services which were not approved at assessment but are required to meet goals identified in the Goal Plan </w:t>
      </w:r>
    </w:p>
    <w:p w14:paraId="34B66616" w14:textId="77777777" w:rsidR="00F80D60" w:rsidRPr="0027135E" w:rsidRDefault="00F80D60" w:rsidP="00DF3F6B">
      <w:pPr>
        <w:pStyle w:val="ListParagraph"/>
        <w:numPr>
          <w:ilvl w:val="0"/>
          <w:numId w:val="316"/>
        </w:numPr>
        <w:spacing w:before="240" w:after="240" w:line="240" w:lineRule="auto"/>
        <w:rPr>
          <w:b/>
        </w:rPr>
      </w:pPr>
      <w:r>
        <w:t>Request approval for additional unit of RCP funding to be accessed concurrently (subject to unit availability)</w:t>
      </w:r>
    </w:p>
    <w:p w14:paraId="54772D63" w14:textId="77777777" w:rsidR="00F80D60" w:rsidRPr="007A7FCF" w:rsidRDefault="00F80D60" w:rsidP="00DF3F6B">
      <w:pPr>
        <w:pStyle w:val="ListParagraph"/>
        <w:numPr>
          <w:ilvl w:val="0"/>
          <w:numId w:val="316"/>
        </w:numPr>
        <w:spacing w:before="240" w:after="240" w:line="240" w:lineRule="auto"/>
      </w:pPr>
      <w:r w:rsidRPr="0027135E">
        <w:t>Req</w:t>
      </w:r>
      <w:r w:rsidRPr="007A7FCF">
        <w:t xml:space="preserve">uest a </w:t>
      </w:r>
      <w:r>
        <w:t>reassessment</w:t>
      </w:r>
      <w:r w:rsidRPr="007A7FCF">
        <w:t xml:space="preserve"> due to changing needs </w:t>
      </w:r>
    </w:p>
    <w:p w14:paraId="7B150F2B" w14:textId="77777777" w:rsidR="00F80D60" w:rsidRDefault="00F80D60" w:rsidP="00622CFF">
      <w:pPr>
        <w:spacing w:before="240" w:after="240" w:line="240" w:lineRule="auto"/>
      </w:pPr>
      <w:r w:rsidRPr="0027135E">
        <w:t>Like other classifications, a provider can submit a SPR requesting additional services to ensure goals can be met.  </w:t>
      </w:r>
    </w:p>
    <w:p w14:paraId="71F3ED83" w14:textId="0BEC78DE" w:rsidR="00F80D60" w:rsidRPr="008C1D5C" w:rsidRDefault="00F80D60" w:rsidP="00CC6081">
      <w:pPr>
        <w:pStyle w:val="H4"/>
      </w:pPr>
      <w:r w:rsidRPr="00C916B0">
        <w:t>Second unit of funding</w:t>
      </w:r>
      <w:r>
        <w:t xml:space="preserve"> for </w:t>
      </w:r>
      <w:r w:rsidR="00EF1684">
        <w:t>Restorative Care Pathway</w:t>
      </w:r>
    </w:p>
    <w:p w14:paraId="35EBB566" w14:textId="1EC50024" w:rsidR="00F80D60" w:rsidRDefault="00F80D60" w:rsidP="00622CFF">
      <w:pPr>
        <w:spacing w:before="240" w:after="240" w:line="240" w:lineRule="auto"/>
      </w:pPr>
      <w:r>
        <w:t xml:space="preserve">Under subsection 195-3A of the </w:t>
      </w:r>
      <w:r w:rsidR="00A76A36">
        <w:t xml:space="preserve">Aged Care </w:t>
      </w:r>
      <w:r>
        <w:t>Act</w:t>
      </w:r>
      <w:r w:rsidR="00A76A36">
        <w:t xml:space="preserve"> 2024</w:t>
      </w:r>
      <w:r>
        <w:t>, an older person may access an additional unit of funding for use during their 16-week episode.</w:t>
      </w:r>
      <w:r w:rsidRPr="00E817CA">
        <w:t xml:space="preserve"> </w:t>
      </w:r>
      <w:r>
        <w:t xml:space="preserve">Please note this </w:t>
      </w:r>
      <w:r w:rsidR="0081053C">
        <w:t xml:space="preserve">is </w:t>
      </w:r>
      <w:r>
        <w:t xml:space="preserve">not a reviewable decision. </w:t>
      </w:r>
    </w:p>
    <w:p w14:paraId="2E9AD8CE" w14:textId="682244A5" w:rsidR="00F80D60" w:rsidRDefault="00F80D60" w:rsidP="00622CFF">
      <w:pPr>
        <w:spacing w:before="240" w:after="240" w:line="240" w:lineRule="auto"/>
      </w:pPr>
      <w:r>
        <w:t>Access to a second unit of funding is requested through a SPR. A</w:t>
      </w:r>
      <w:r w:rsidDel="009A524E">
        <w:t xml:space="preserve"> </w:t>
      </w:r>
      <w:r w:rsidR="009A524E">
        <w:t>clinical assessment</w:t>
      </w:r>
      <w:r w:rsidDel="009A524E">
        <w:t xml:space="preserve"> </w:t>
      </w:r>
      <w:r w:rsidR="009A524E">
        <w:t xml:space="preserve">delegate </w:t>
      </w:r>
      <w:r>
        <w:t>will need to consider written evidence provided to determine approval</w:t>
      </w:r>
      <w:r w:rsidR="00946D29">
        <w:t xml:space="preserve"> (refer to Chapter </w:t>
      </w:r>
      <w:r w:rsidR="00E03619">
        <w:fldChar w:fldCharType="begin"/>
      </w:r>
      <w:r w:rsidR="00E03619">
        <w:instrText xml:space="preserve"> REF _Ref212736395 \w \h </w:instrText>
      </w:r>
      <w:r w:rsidR="00E03619">
        <w:fldChar w:fldCharType="separate"/>
      </w:r>
      <w:r w:rsidR="00F97942">
        <w:t>6</w:t>
      </w:r>
      <w:r w:rsidR="00E03619">
        <w:fldChar w:fldCharType="end"/>
      </w:r>
      <w:r w:rsidR="00946D29">
        <w:t xml:space="preserve"> for information on manual oversight of R</w:t>
      </w:r>
      <w:r w:rsidR="00D278DC">
        <w:t>CP units/</w:t>
      </w:r>
      <w:r w:rsidR="00946D29">
        <w:t>places)</w:t>
      </w:r>
      <w:r>
        <w:t xml:space="preserve">. Evidence includes written confirmation from a medical practitioner, registered nurse or allied health practitioner, or restorative care partner of the registered provider that the individual requires additional funding to access nursing care and allied health and therapy services to achieve restorative care outcomes as detailed in the goal plan. Further supporting evidence can include the goal plan, clinical assessment tool outcomes, and individualised budget. Where an older person is already receiving ongoing services, </w:t>
      </w:r>
      <w:r w:rsidR="006A4264">
        <w:t xml:space="preserve">information should be </w:t>
      </w:r>
      <w:r>
        <w:t xml:space="preserve">provided to demonstrate adjustments to </w:t>
      </w:r>
      <w:r w:rsidR="006A4264">
        <w:t xml:space="preserve">ongoing services is </w:t>
      </w:r>
      <w:r>
        <w:t>also not sufficient to achieve restorative outcomes in combination with their initial R</w:t>
      </w:r>
      <w:r w:rsidR="00047F94">
        <w:t xml:space="preserve">CP </w:t>
      </w:r>
      <w:r>
        <w:t xml:space="preserve">unit of funding. </w:t>
      </w:r>
      <w:r w:rsidR="00B34B7C">
        <w:t xml:space="preserve">Availability of RCP units may also be considered. </w:t>
      </w:r>
    </w:p>
    <w:p w14:paraId="057C2D02" w14:textId="4FE762E7" w:rsidR="00F80D60" w:rsidRDefault="001B49C0" w:rsidP="00622CFF">
      <w:pPr>
        <w:spacing w:before="240" w:after="240" w:line="240" w:lineRule="auto"/>
      </w:pPr>
      <w:r>
        <w:t>T</w:t>
      </w:r>
      <w:r w:rsidR="00F80D60" w:rsidRPr="45876886">
        <w:t>hose with an active S</w:t>
      </w:r>
      <w:r w:rsidR="004C1A36">
        <w:t xml:space="preserve">hort </w:t>
      </w:r>
      <w:r w:rsidR="00F80D60" w:rsidRPr="45876886">
        <w:t>T</w:t>
      </w:r>
      <w:r w:rsidR="004C1A36">
        <w:t xml:space="preserve">erm </w:t>
      </w:r>
      <w:r w:rsidR="00F80D60" w:rsidRPr="45876886">
        <w:t>R</w:t>
      </w:r>
      <w:r w:rsidR="004C1A36">
        <w:t xml:space="preserve">estorative </w:t>
      </w:r>
      <w:r w:rsidR="00F80D60" w:rsidRPr="45876886">
        <w:t>C</w:t>
      </w:r>
      <w:r w:rsidR="004C1A36">
        <w:t>are (</w:t>
      </w:r>
      <w:r w:rsidR="00F80D60" w:rsidRPr="45876886">
        <w:t>STRC</w:t>
      </w:r>
      <w:r w:rsidR="004C1A36">
        <w:t>)</w:t>
      </w:r>
      <w:r w:rsidR="00F80D60" w:rsidRPr="45876886">
        <w:t xml:space="preserve"> approval who did not start STRC before 1 November</w:t>
      </w:r>
      <w:r w:rsidR="00F80D60" w:rsidRPr="5E9B4767">
        <w:t xml:space="preserve"> 2025</w:t>
      </w:r>
      <w:r w:rsidR="00F80D60" w:rsidRPr="45876886">
        <w:t xml:space="preserve">, </w:t>
      </w:r>
      <w:r>
        <w:t>had</w:t>
      </w:r>
      <w:r w:rsidR="00F80D60" w:rsidRPr="45876886">
        <w:t xml:space="preserve"> their approvals transferred into an approval for </w:t>
      </w:r>
      <w:r w:rsidR="009E510F">
        <w:t>RCP</w:t>
      </w:r>
      <w:r w:rsidR="00F80D60" w:rsidRPr="45876886">
        <w:t xml:space="preserve">. </w:t>
      </w:r>
    </w:p>
    <w:p w14:paraId="07D754DC" w14:textId="3C289567" w:rsidR="00F80D60" w:rsidRPr="0059629C" w:rsidRDefault="00F80D60" w:rsidP="00622CFF">
      <w:pPr>
        <w:spacing w:before="240" w:after="240" w:line="240" w:lineRule="auto"/>
      </w:pPr>
      <w:r w:rsidRPr="0059629C">
        <w:t>Note for this cohort using their STRC approval to access the R</w:t>
      </w:r>
      <w:r w:rsidR="009E510F" w:rsidRPr="0059629C">
        <w:t>CP</w:t>
      </w:r>
      <w:r w:rsidRPr="0059629C">
        <w:t>:</w:t>
      </w:r>
    </w:p>
    <w:p w14:paraId="6ADF3910" w14:textId="0E42D0F2" w:rsidR="00F80D60" w:rsidRPr="0059629C" w:rsidRDefault="00F847B5" w:rsidP="00DF3F6B">
      <w:pPr>
        <w:pStyle w:val="ListParagraph"/>
        <w:numPr>
          <w:ilvl w:val="0"/>
          <w:numId w:val="208"/>
        </w:numPr>
        <w:spacing w:before="240" w:after="240" w:line="240" w:lineRule="auto"/>
        <w:rPr>
          <w:rFonts w:eastAsiaTheme="minorHAnsi"/>
        </w:rPr>
      </w:pPr>
      <w:r w:rsidRPr="0059629C">
        <w:t>They</w:t>
      </w:r>
      <w:r w:rsidR="00F80D60" w:rsidRPr="0059629C">
        <w:t xml:space="preserve"> </w:t>
      </w:r>
      <w:r w:rsidR="00F3064A" w:rsidRPr="0059629C">
        <w:t>can</w:t>
      </w:r>
      <w:r w:rsidR="00F80D60" w:rsidRPr="0059629C">
        <w:t xml:space="preserve"> </w:t>
      </w:r>
      <w:r w:rsidR="009A524E" w:rsidRPr="0059629C">
        <w:t>access</w:t>
      </w:r>
      <w:r w:rsidR="00F80D60" w:rsidRPr="0059629C">
        <w:t xml:space="preserve"> the R</w:t>
      </w:r>
      <w:r w:rsidR="009E510F" w:rsidRPr="0059629C">
        <w:t>CP</w:t>
      </w:r>
      <w:r w:rsidR="00F80D60" w:rsidRPr="0059629C">
        <w:t xml:space="preserve"> units of funding for the first six months from 1 November 2025.</w:t>
      </w:r>
      <w:r w:rsidR="00F80D60" w:rsidRPr="0059629C">
        <w:rPr>
          <w:rFonts w:eastAsiaTheme="minorEastAsia"/>
        </w:rPr>
        <w:t xml:space="preserve"> </w:t>
      </w:r>
    </w:p>
    <w:p w14:paraId="109CFD0C" w14:textId="721A6232" w:rsidR="00F80D60" w:rsidRPr="0059629C" w:rsidRDefault="00F80D60" w:rsidP="00DF3F6B">
      <w:pPr>
        <w:pStyle w:val="ListParagraph"/>
        <w:numPr>
          <w:ilvl w:val="0"/>
          <w:numId w:val="208"/>
        </w:numPr>
        <w:spacing w:before="240" w:after="240" w:line="240" w:lineRule="auto"/>
        <w:rPr>
          <w:rFonts w:eastAsiaTheme="minorEastAsia"/>
        </w:rPr>
      </w:pPr>
      <w:r w:rsidRPr="0059629C">
        <w:rPr>
          <w:rFonts w:eastAsiaTheme="minorEastAsia"/>
        </w:rPr>
        <w:t xml:space="preserve">A second unit of funding to use within a single </w:t>
      </w:r>
      <w:r w:rsidR="009E510F" w:rsidRPr="0059629C">
        <w:rPr>
          <w:rFonts w:eastAsiaTheme="minorEastAsia"/>
        </w:rPr>
        <w:t>RCP</w:t>
      </w:r>
      <w:r w:rsidRPr="0059629C">
        <w:rPr>
          <w:rFonts w:eastAsiaTheme="minorEastAsia"/>
        </w:rPr>
        <w:t xml:space="preserve"> episode can be requested via a S</w:t>
      </w:r>
      <w:r w:rsidR="009E510F" w:rsidRPr="0059629C">
        <w:rPr>
          <w:rFonts w:eastAsiaTheme="minorEastAsia"/>
        </w:rPr>
        <w:t>PR</w:t>
      </w:r>
      <w:r w:rsidRPr="0059629C">
        <w:rPr>
          <w:rFonts w:eastAsiaTheme="minorEastAsia"/>
        </w:rPr>
        <w:t xml:space="preserve"> request. </w:t>
      </w:r>
    </w:p>
    <w:p w14:paraId="28C4912B" w14:textId="1195D181" w:rsidR="00F80D60" w:rsidRPr="0059629C" w:rsidRDefault="00F80D60" w:rsidP="00793C11">
      <w:pPr>
        <w:pStyle w:val="ListParagraph"/>
        <w:numPr>
          <w:ilvl w:val="0"/>
          <w:numId w:val="208"/>
        </w:numPr>
        <w:spacing w:before="240" w:after="240" w:line="240" w:lineRule="auto"/>
        <w:rPr>
          <w:rFonts w:eastAsiaTheme="minorEastAsia"/>
        </w:rPr>
      </w:pPr>
      <w:r w:rsidRPr="0059629C">
        <w:rPr>
          <w:rFonts w:eastAsiaTheme="minorEastAsia"/>
        </w:rPr>
        <w:t>The decision to approve a second unit will be informed by</w:t>
      </w:r>
      <w:r w:rsidR="00A6271F" w:rsidRPr="0059629C">
        <w:rPr>
          <w:rFonts w:eastAsiaTheme="minorEastAsia"/>
        </w:rPr>
        <w:t xml:space="preserve"> e</w:t>
      </w:r>
      <w:r w:rsidRPr="0059629C">
        <w:rPr>
          <w:rFonts w:eastAsiaTheme="minorEastAsia"/>
        </w:rPr>
        <w:t>vidence submitted by the provider with the SPR request</w:t>
      </w:r>
      <w:r w:rsidR="00A6271F" w:rsidRPr="0059629C">
        <w:rPr>
          <w:rFonts w:eastAsiaTheme="minorEastAsia"/>
        </w:rPr>
        <w:t xml:space="preserve"> and may</w:t>
      </w:r>
      <w:r w:rsidR="09B4D337" w:rsidRPr="0059629C">
        <w:rPr>
          <w:rFonts w:eastAsiaTheme="minorEastAsia"/>
        </w:rPr>
        <w:t xml:space="preserve"> </w:t>
      </w:r>
      <w:r w:rsidR="00A6271F" w:rsidRPr="0059629C">
        <w:rPr>
          <w:rFonts w:eastAsiaTheme="minorEastAsia"/>
        </w:rPr>
        <w:t>be informed by</w:t>
      </w:r>
      <w:r w:rsidR="5C639D23" w:rsidRPr="0059629C">
        <w:rPr>
          <w:rFonts w:eastAsiaTheme="minorEastAsia"/>
        </w:rPr>
        <w:t xml:space="preserve"> </w:t>
      </w:r>
      <w:r w:rsidR="186CC791" w:rsidRPr="0059629C">
        <w:rPr>
          <w:rFonts w:eastAsiaTheme="minorEastAsia"/>
        </w:rPr>
        <w:t>the availability of RCP fun</w:t>
      </w:r>
      <w:r w:rsidR="3E68C117" w:rsidRPr="0059629C">
        <w:rPr>
          <w:rFonts w:eastAsiaTheme="minorEastAsia"/>
        </w:rPr>
        <w:t>ding units.</w:t>
      </w:r>
    </w:p>
    <w:p w14:paraId="1801DE63" w14:textId="7B52FFBF" w:rsidR="00F80D60" w:rsidRPr="00352322" w:rsidRDefault="00F80D60" w:rsidP="00DF3F6B">
      <w:pPr>
        <w:pStyle w:val="ListParagraph"/>
        <w:numPr>
          <w:ilvl w:val="0"/>
          <w:numId w:val="208"/>
        </w:numPr>
        <w:spacing w:before="240" w:after="240" w:line="240" w:lineRule="auto"/>
        <w:rPr>
          <w:rFonts w:eastAsiaTheme="minorEastAsia"/>
        </w:rPr>
      </w:pPr>
      <w:r w:rsidRPr="1E68E5CB">
        <w:t>When</w:t>
      </w:r>
      <w:r w:rsidRPr="00C65B1E">
        <w:t xml:space="preserve"> a request for a second unit of RCP is received assessors should confirm if there is ap</w:t>
      </w:r>
      <w:r w:rsidRPr="00352322">
        <w:rPr>
          <w:rFonts w:eastAsiaTheme="minorEastAsia"/>
        </w:rPr>
        <w:t>proval for STRC and R</w:t>
      </w:r>
      <w:r w:rsidR="00FF677E">
        <w:rPr>
          <w:rFonts w:eastAsiaTheme="minorEastAsia"/>
        </w:rPr>
        <w:t>CP</w:t>
      </w:r>
      <w:r w:rsidRPr="00352322">
        <w:rPr>
          <w:rFonts w:eastAsiaTheme="minorEastAsia"/>
        </w:rPr>
        <w:t xml:space="preserve"> on the client</w:t>
      </w:r>
      <w:r>
        <w:rPr>
          <w:rFonts w:eastAsiaTheme="minorEastAsia"/>
        </w:rPr>
        <w:t>’</w:t>
      </w:r>
      <w:r w:rsidRPr="00352322">
        <w:rPr>
          <w:rFonts w:eastAsiaTheme="minorEastAsia"/>
        </w:rPr>
        <w:t>s record. If there is approval for both, the assessor will need to confirm with the client if the client entered care under the R</w:t>
      </w:r>
      <w:r w:rsidR="00FF677E">
        <w:rPr>
          <w:rFonts w:eastAsiaTheme="minorEastAsia"/>
        </w:rPr>
        <w:t>CP</w:t>
      </w:r>
      <w:r w:rsidRPr="00352322">
        <w:rPr>
          <w:rFonts w:eastAsiaTheme="minorEastAsia"/>
        </w:rPr>
        <w:t xml:space="preserve"> after 1 November 2025 using the STRC approval. If this is the case, then the assessor must not approve a third unit of </w:t>
      </w:r>
      <w:r w:rsidR="00FF677E">
        <w:rPr>
          <w:rFonts w:eastAsiaTheme="minorEastAsia"/>
        </w:rPr>
        <w:t>RCP</w:t>
      </w:r>
      <w:r w:rsidRPr="00352322">
        <w:rPr>
          <w:rFonts w:eastAsiaTheme="minorEastAsia"/>
        </w:rPr>
        <w:t xml:space="preserve"> funding.</w:t>
      </w:r>
    </w:p>
    <w:p w14:paraId="1ABD458C" w14:textId="5E2DA67A" w:rsidR="00F80D60" w:rsidRPr="00284419" w:rsidRDefault="00F80D60" w:rsidP="00DF3F6B">
      <w:pPr>
        <w:pStyle w:val="ListParagraph"/>
        <w:numPr>
          <w:ilvl w:val="0"/>
          <w:numId w:val="208"/>
        </w:numPr>
        <w:spacing w:before="240" w:after="240" w:line="240" w:lineRule="auto"/>
      </w:pPr>
      <w:r w:rsidRPr="48D11614">
        <w:rPr>
          <w:rFonts w:eastAsiaTheme="minorEastAsia"/>
        </w:rPr>
        <w:t xml:space="preserve">If the participant is eligible to access an additional </w:t>
      </w:r>
      <w:r w:rsidR="00195C53">
        <w:rPr>
          <w:rFonts w:eastAsiaTheme="minorEastAsia"/>
        </w:rPr>
        <w:t>RCP unit,</w:t>
      </w:r>
      <w:r w:rsidRPr="48D11614">
        <w:rPr>
          <w:rFonts w:eastAsiaTheme="minorEastAsia"/>
        </w:rPr>
        <w:t xml:space="preserve"> they must wait at least 12 months before accessing another episode.</w:t>
      </w:r>
    </w:p>
    <w:p w14:paraId="571F101A" w14:textId="0D4B609A" w:rsidR="00EB6D43" w:rsidRPr="007D7763" w:rsidRDefault="00F80D60" w:rsidP="00C325C6">
      <w:pPr>
        <w:pStyle w:val="Sub-headings"/>
      </w:pPr>
      <w:r w:rsidRPr="00F37F02">
        <w:t>Important</w:t>
      </w:r>
      <w:r>
        <w:t>:</w:t>
      </w:r>
    </w:p>
    <w:p w14:paraId="6A21CD92" w14:textId="18527BE5" w:rsidR="00F80D60" w:rsidRPr="001B0D70" w:rsidRDefault="00F80D60" w:rsidP="00C325C6">
      <w:pPr>
        <w:pStyle w:val="Sub-headings"/>
      </w:pPr>
      <w:r>
        <w:t>S</w:t>
      </w:r>
      <w:r w:rsidRPr="001B0D70">
        <w:t>econd unit</w:t>
      </w:r>
      <w:r>
        <w:t>s</w:t>
      </w:r>
      <w:r w:rsidRPr="001B0D70">
        <w:t xml:space="preserve"> of funding </w:t>
      </w:r>
      <w:r>
        <w:t>are</w:t>
      </w:r>
      <w:r w:rsidRPr="001B0D70">
        <w:t xml:space="preserve"> </w:t>
      </w:r>
      <w:r>
        <w:t>counted as part of R</w:t>
      </w:r>
      <w:r w:rsidR="00444530">
        <w:t>CP</w:t>
      </w:r>
      <w:r>
        <w:t xml:space="preserve"> </w:t>
      </w:r>
      <w:r w:rsidR="00195C53">
        <w:t>c</w:t>
      </w:r>
      <w:r>
        <w:t>ap</w:t>
      </w:r>
      <w:r w:rsidR="00444530">
        <w:t xml:space="preserve"> ma</w:t>
      </w:r>
      <w:r>
        <w:t xml:space="preserve">nagement. </w:t>
      </w:r>
      <w:r w:rsidRPr="001B0D70">
        <w:t xml:space="preserve">Assessors and </w:t>
      </w:r>
      <w:r w:rsidR="0059629C">
        <w:t>a</w:t>
      </w:r>
      <w:r>
        <w:t xml:space="preserve">ssessment </w:t>
      </w:r>
      <w:r w:rsidR="0059629C">
        <w:t>d</w:t>
      </w:r>
      <w:r w:rsidRPr="001B0D70">
        <w:t>elegates should stay informed of any communications from the</w:t>
      </w:r>
      <w:r>
        <w:t xml:space="preserve"> Department’s</w:t>
      </w:r>
      <w:r w:rsidRPr="001B0D70">
        <w:t xml:space="preserve"> Assessment Delivery Section regarding R</w:t>
      </w:r>
      <w:r w:rsidR="00444530">
        <w:t>CP</w:t>
      </w:r>
      <w:r w:rsidRPr="001B0D70">
        <w:t xml:space="preserve"> </w:t>
      </w:r>
      <w:r>
        <w:t xml:space="preserve">units when recommending and approving a second unit of funding. </w:t>
      </w:r>
      <w:r w:rsidRPr="001B0D70">
        <w:t xml:space="preserve"> </w:t>
      </w:r>
    </w:p>
    <w:tbl>
      <w:tblPr>
        <w:tblStyle w:val="TableGrid"/>
        <w:tblW w:w="0" w:type="auto"/>
        <w:tblLook w:val="04A0" w:firstRow="1" w:lastRow="0" w:firstColumn="1" w:lastColumn="0" w:noHBand="0" w:noVBand="1"/>
      </w:tblPr>
      <w:tblGrid>
        <w:gridCol w:w="988"/>
        <w:gridCol w:w="8028"/>
      </w:tblGrid>
      <w:tr w:rsidR="00F80D60" w14:paraId="6AFCF604" w14:textId="77777777">
        <w:tc>
          <w:tcPr>
            <w:tcW w:w="988" w:type="dxa"/>
          </w:tcPr>
          <w:p w14:paraId="2DD83F58" w14:textId="77777777" w:rsidR="00F80D60" w:rsidRDefault="00F80D60" w:rsidP="00622CFF">
            <w:pPr>
              <w:spacing w:before="240" w:after="240"/>
            </w:pPr>
            <w:r>
              <w:rPr>
                <w:noProof/>
              </w:rPr>
              <w:drawing>
                <wp:inline distT="0" distB="0" distL="0" distR="0" wp14:anchorId="7F9694F2" wp14:editId="4EDD1202">
                  <wp:extent cx="447675" cy="445208"/>
                  <wp:effectExtent l="0" t="0" r="0" b="0"/>
                  <wp:docPr id="2096342176" name="Picture 209634217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1230" name="Picture 2049241230"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028" w:type="dxa"/>
          </w:tcPr>
          <w:p w14:paraId="74D6AECD" w14:textId="747E8929" w:rsidR="00F80D60" w:rsidRPr="00EB6D43" w:rsidRDefault="00F80D60" w:rsidP="00622CFF">
            <w:pPr>
              <w:spacing w:before="240" w:after="240"/>
              <w:rPr>
                <w:b/>
              </w:rPr>
            </w:pPr>
            <w:r w:rsidRPr="005F796D">
              <w:t>For more information on the Restorative Care Pathway please refer to the</w:t>
            </w:r>
            <w:r>
              <w:t xml:space="preserve"> </w:t>
            </w:r>
            <w:hyperlink r:id="rId250">
              <w:r w:rsidRPr="166F824B">
                <w:rPr>
                  <w:rStyle w:val="Hyperlink"/>
                </w:rPr>
                <w:t>Support at Home Manual.</w:t>
              </w:r>
            </w:hyperlink>
          </w:p>
        </w:tc>
      </w:tr>
    </w:tbl>
    <w:p w14:paraId="0576E7ED" w14:textId="60296AED" w:rsidR="00F80D60" w:rsidRPr="00284419" w:rsidRDefault="00F80D60" w:rsidP="00CC6081">
      <w:pPr>
        <w:pStyle w:val="H4"/>
      </w:pPr>
      <w:r w:rsidRPr="00284419">
        <w:t xml:space="preserve">Recommending ongoing services after/during a period of </w:t>
      </w:r>
      <w:r w:rsidR="00444530">
        <w:t>Restorative Care Pathway</w:t>
      </w:r>
    </w:p>
    <w:p w14:paraId="3DAC14F0" w14:textId="137CAF5C" w:rsidR="00F80D60" w:rsidRPr="000A6A07" w:rsidRDefault="00F80D60" w:rsidP="00622CFF">
      <w:pPr>
        <w:spacing w:before="240" w:after="240" w:line="240" w:lineRule="auto"/>
        <w:rPr>
          <w:b/>
        </w:rPr>
      </w:pPr>
      <w:r w:rsidRPr="000A6A07">
        <w:t>Assessors should consider any potential needs after exiting from</w:t>
      </w:r>
      <w:r>
        <w:t xml:space="preserve"> the</w:t>
      </w:r>
      <w:r w:rsidRPr="000A6A07">
        <w:t xml:space="preserve"> R</w:t>
      </w:r>
      <w:r w:rsidR="002726F1">
        <w:rPr>
          <w:bCs/>
        </w:rPr>
        <w:t>CP</w:t>
      </w:r>
      <w:r w:rsidRPr="000A6A07">
        <w:t xml:space="preserve">, it may be necessary to undertake a </w:t>
      </w:r>
      <w:r>
        <w:t>reassessment</w:t>
      </w:r>
      <w:r w:rsidRPr="000A6A07">
        <w:t xml:space="preserve"> for ongoing funding towards the end of the R</w:t>
      </w:r>
      <w:r w:rsidR="002726F1">
        <w:t>CP</w:t>
      </w:r>
      <w:r w:rsidRPr="000A6A07">
        <w:t xml:space="preserve"> episode. </w:t>
      </w:r>
    </w:p>
    <w:p w14:paraId="0DAC0A9D" w14:textId="4D125EF1" w:rsidR="00F80D60" w:rsidRDefault="00F80D60" w:rsidP="00622CFF">
      <w:pPr>
        <w:spacing w:before="240" w:after="240" w:line="240" w:lineRule="auto"/>
      </w:pPr>
      <w:r w:rsidRPr="000A6A07">
        <w:t xml:space="preserve">The intention of Restorative Care </w:t>
      </w:r>
      <w:r w:rsidR="002726F1">
        <w:t>Pathway (RCP)</w:t>
      </w:r>
      <w:r w:rsidRPr="000A6A07">
        <w:t xml:space="preserve"> is to improve levels of function and delay the need for ongoing or higher levels of ongoing aged care services. This can only be determined after the R</w:t>
      </w:r>
      <w:r w:rsidR="0043104E">
        <w:t>CP</w:t>
      </w:r>
      <w:r w:rsidRPr="000A6A07">
        <w:t xml:space="preserve"> episode has been completed. The restorative care partner could request a reassessment if it is anticipated ongoing services may be required or there has been a change in circumstances.</w:t>
      </w:r>
      <w:r>
        <w:t xml:space="preserve"> </w:t>
      </w:r>
    </w:p>
    <w:p w14:paraId="1074BB92" w14:textId="3AA49490" w:rsidR="00F80D60" w:rsidRPr="00284419" w:rsidRDefault="00F80D60" w:rsidP="00C56CEC">
      <w:pPr>
        <w:pStyle w:val="H3"/>
      </w:pPr>
      <w:r w:rsidRPr="00284419">
        <w:t>SPRs for the End-of-Life Pathway</w:t>
      </w:r>
    </w:p>
    <w:p w14:paraId="694C908D" w14:textId="77777777" w:rsidR="00F80D60" w:rsidRDefault="00F80D60" w:rsidP="00622CFF">
      <w:pPr>
        <w:spacing w:before="240" w:after="240" w:line="240" w:lineRule="auto"/>
      </w:pPr>
      <w:r>
        <w:t>SPRs are used in the context of the End-of-Life Pathway for the following reasons:</w:t>
      </w:r>
    </w:p>
    <w:p w14:paraId="39525A1F" w14:textId="77777777" w:rsidR="00F80D60" w:rsidRDefault="00F80D60" w:rsidP="00DF3F6B">
      <w:pPr>
        <w:pStyle w:val="ListParagraph"/>
        <w:numPr>
          <w:ilvl w:val="0"/>
          <w:numId w:val="316"/>
        </w:numPr>
        <w:spacing w:before="240" w:after="240" w:line="240" w:lineRule="auto"/>
      </w:pPr>
      <w:r>
        <w:t>For existing Support at Home participants, to move from their current ongoing Support at Home classification to the End-of-Life Pathway</w:t>
      </w:r>
    </w:p>
    <w:p w14:paraId="27583C7E" w14:textId="77777777" w:rsidR="00F80D60" w:rsidRDefault="00F80D60" w:rsidP="00DF3F6B">
      <w:pPr>
        <w:pStyle w:val="ListParagraph"/>
        <w:numPr>
          <w:ilvl w:val="0"/>
          <w:numId w:val="316"/>
        </w:numPr>
        <w:spacing w:before="240" w:after="240" w:line="240" w:lineRule="auto"/>
      </w:pPr>
      <w:r>
        <w:t>For participants accessing the End-of-Life Pathway who require services beyond the End-of-Life funding period, to move from the End-of-Life Pathway to an ongoing Support at Home classification</w:t>
      </w:r>
    </w:p>
    <w:p w14:paraId="7F157075" w14:textId="77777777" w:rsidR="00F80D60" w:rsidRDefault="00F80D60" w:rsidP="00622CFF">
      <w:pPr>
        <w:spacing w:before="240" w:after="240" w:line="240" w:lineRule="auto"/>
      </w:pPr>
      <w:r>
        <w:t>In both cases above, the SPR should be marked as an ‘urgent’ SPR.</w:t>
      </w:r>
    </w:p>
    <w:p w14:paraId="74882BAA" w14:textId="77777777" w:rsidR="00F80D60" w:rsidRDefault="00F80D60" w:rsidP="00622CFF">
      <w:pPr>
        <w:spacing w:before="240" w:after="240" w:line="240" w:lineRule="auto"/>
      </w:pPr>
      <w:r>
        <w:t>Funding under the End-of-Life Pathway can be used for a maximum of 16 weeks. An urgent SPR can be requested any time after 12 weeks if it appears the participant will require services that exceed the End-of-Life funding period. The SPR will enable the participant to:</w:t>
      </w:r>
    </w:p>
    <w:p w14:paraId="27002001" w14:textId="77777777" w:rsidR="00F80D60" w:rsidRDefault="00F80D60" w:rsidP="00DF3F6B">
      <w:pPr>
        <w:pStyle w:val="ListParagraph"/>
        <w:numPr>
          <w:ilvl w:val="0"/>
          <w:numId w:val="316"/>
        </w:numPr>
        <w:spacing w:before="240" w:after="240" w:line="240" w:lineRule="auto"/>
      </w:pPr>
      <w:r>
        <w:t>Return to their previous ongoing Support at Home classification, if they were already receiving services under Support at Home, or</w:t>
      </w:r>
    </w:p>
    <w:p w14:paraId="4AD89AF5" w14:textId="77777777" w:rsidR="00F80D60" w:rsidRDefault="00F80D60" w:rsidP="00DF3F6B">
      <w:pPr>
        <w:pStyle w:val="ListParagraph"/>
        <w:numPr>
          <w:ilvl w:val="0"/>
          <w:numId w:val="316"/>
        </w:numPr>
        <w:spacing w:before="240" w:after="240" w:line="240" w:lineRule="auto"/>
      </w:pPr>
      <w:r>
        <w:t>Transfer to the ongoing classification that was determined at assessment, in the case of participants who were new to Support at Home when they commenced the End-of-Life Pathway.</w:t>
      </w:r>
    </w:p>
    <w:p w14:paraId="72BD859D" w14:textId="77777777" w:rsidR="00F80D60" w:rsidRDefault="00F80D60" w:rsidP="00622CFF">
      <w:pPr>
        <w:spacing w:before="240" w:after="240" w:line="240" w:lineRule="auto"/>
      </w:pPr>
      <w:r>
        <w:t xml:space="preserve">It is critical that SPRs to transfer a participant from the End-of-Life Pathway to ongoing services are prioritised in order to ensure there is no break in continuity of service. If a participant is returning to an ongoing Support at Home classification that is considered insufficient for their needs, a reassessment may be needed. However, the SPR to return the participant to their current ongoing classification should be completed first, in order to ensure funding is made available. After this, a reassessment can be requested. </w:t>
      </w:r>
    </w:p>
    <w:p w14:paraId="6BBBC55A" w14:textId="77777777" w:rsidR="00F80D60" w:rsidRDefault="00F80D60" w:rsidP="00622CFF">
      <w:pPr>
        <w:spacing w:before="240" w:after="240" w:line="240" w:lineRule="auto"/>
      </w:pPr>
    </w:p>
    <w:p w14:paraId="1D8F0E80" w14:textId="4B0061B1" w:rsidR="00F80D60" w:rsidRPr="003E1933" w:rsidRDefault="00F80D60" w:rsidP="00622CFF">
      <w:pPr>
        <w:spacing w:before="240" w:after="240" w:line="240" w:lineRule="auto"/>
        <w:rPr>
          <w:b/>
          <w:szCs w:val="22"/>
        </w:rPr>
      </w:pPr>
      <w:r w:rsidRPr="0028657F">
        <w:rPr>
          <w:noProof/>
        </w:rPr>
        <w:drawing>
          <wp:anchor distT="0" distB="0" distL="114300" distR="114300" simplePos="0" relativeHeight="251658253" behindDoc="0" locked="0" layoutInCell="1" allowOverlap="1" wp14:anchorId="1208A794" wp14:editId="13B5CE03">
            <wp:simplePos x="0" y="0"/>
            <wp:positionH relativeFrom="margin">
              <wp:align>left</wp:align>
            </wp:positionH>
            <wp:positionV relativeFrom="paragraph">
              <wp:posOffset>55880</wp:posOffset>
            </wp:positionV>
            <wp:extent cx="361950" cy="359410"/>
            <wp:effectExtent l="0" t="0" r="0" b="2540"/>
            <wp:wrapSquare wrapText="bothSides"/>
            <wp:docPr id="1419225039" name="Picture 141922503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1950" cy="359410"/>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Department of Health</w:t>
      </w:r>
      <w:r w:rsidR="00892CAB">
        <w:rPr>
          <w:b/>
          <w:szCs w:val="22"/>
        </w:rPr>
        <w:t xml:space="preserve">, Disability and Ageing </w:t>
      </w:r>
      <w:r w:rsidRPr="003E1933">
        <w:rPr>
          <w:b/>
          <w:szCs w:val="22"/>
        </w:rPr>
        <w:t>website:</w:t>
      </w:r>
    </w:p>
    <w:p w14:paraId="142C0145" w14:textId="3440E589" w:rsidR="00F80D60" w:rsidRPr="003E1933" w:rsidRDefault="00F80D60" w:rsidP="007D7763">
      <w:pPr>
        <w:spacing w:before="240" w:after="240" w:line="240" w:lineRule="auto"/>
        <w:ind w:left="709" w:hanging="709"/>
        <w:rPr>
          <w:szCs w:val="22"/>
        </w:rPr>
      </w:pPr>
      <w:hyperlink r:id="rId251">
        <w:r w:rsidRPr="003E1933">
          <w:rPr>
            <w:rStyle w:val="Hyperlink"/>
            <w:szCs w:val="22"/>
          </w:rPr>
          <w:t>My Aged Care – Assessor Portal User Guide 3 – Managing Referrals for Assessment and Support Plan Reviews</w:t>
        </w:r>
      </w:hyperlink>
    </w:p>
    <w:p w14:paraId="77397374" w14:textId="52493351" w:rsidR="00F80D60" w:rsidRDefault="00F80D60" w:rsidP="00622CFF">
      <w:pPr>
        <w:spacing w:before="240" w:after="240" w:line="240" w:lineRule="auto"/>
        <w:ind w:left="720"/>
      </w:pPr>
      <w:hyperlink r:id="rId252">
        <w:r w:rsidRPr="003E1933">
          <w:rPr>
            <w:rStyle w:val="Hyperlink"/>
            <w:szCs w:val="22"/>
          </w:rPr>
          <w:t>My Aged Care – Assessor Portal User Guide 7 – Completing a support plan and support plan review</w:t>
        </w:r>
      </w:hyperlink>
    </w:p>
    <w:p w14:paraId="3A99D2EB" w14:textId="77777777" w:rsidR="00B0311D" w:rsidRDefault="00B0311D" w:rsidP="004B6DFD">
      <w:pPr>
        <w:pStyle w:val="H1"/>
        <w:sectPr w:rsidR="00B0311D" w:rsidSect="00370263">
          <w:pgSz w:w="11906" w:h="16838"/>
          <w:pgMar w:top="1440" w:right="1440" w:bottom="1440" w:left="1440" w:header="708" w:footer="708" w:gutter="0"/>
          <w:cols w:space="708"/>
          <w:docGrid w:linePitch="360"/>
        </w:sectPr>
      </w:pPr>
      <w:bookmarkStart w:id="888" w:name="_Toc204329598"/>
      <w:bookmarkStart w:id="889" w:name="_Toc198813651"/>
      <w:bookmarkStart w:id="890" w:name="CH1_ReviewableDecisions"/>
    </w:p>
    <w:p w14:paraId="030A8F70" w14:textId="2E5806C2" w:rsidR="006B4161" w:rsidRPr="00FF1448" w:rsidRDefault="006B4161" w:rsidP="004B6DFD">
      <w:pPr>
        <w:pStyle w:val="H1"/>
      </w:pPr>
      <w:bookmarkStart w:id="891" w:name="_Toc209189042"/>
      <w:bookmarkStart w:id="892" w:name="_Ref212735729"/>
      <w:bookmarkStart w:id="893" w:name="_Ref212736079"/>
      <w:bookmarkStart w:id="894" w:name="_Ref212736355"/>
      <w:bookmarkStart w:id="895" w:name="_Toc224916697"/>
      <w:r w:rsidRPr="00FF1448">
        <w:t xml:space="preserve">Chapter </w:t>
      </w:r>
      <w:r>
        <w:t>11</w:t>
      </w:r>
      <w:r w:rsidRPr="00FF1448">
        <w:t xml:space="preserve">: Reviewable </w:t>
      </w:r>
      <w:r w:rsidR="00CB5F63">
        <w:t>d</w:t>
      </w:r>
      <w:r w:rsidRPr="00FF1448">
        <w:t xml:space="preserve">ecisions, </w:t>
      </w:r>
      <w:r w:rsidR="00CB5F63">
        <w:t>r</w:t>
      </w:r>
      <w:r w:rsidRPr="00FF1448">
        <w:t>evo</w:t>
      </w:r>
      <w:r w:rsidR="00A94162">
        <w:t xml:space="preserve">king </w:t>
      </w:r>
      <w:r w:rsidR="009D5519">
        <w:t xml:space="preserve">eligibility or approval decisions </w:t>
      </w:r>
      <w:r w:rsidRPr="00FF1448">
        <w:t xml:space="preserve">and </w:t>
      </w:r>
      <w:r w:rsidR="00CB5F63">
        <w:t>c</w:t>
      </w:r>
      <w:r w:rsidRPr="00FF1448">
        <w:t>omplaints</w:t>
      </w:r>
      <w:bookmarkEnd w:id="888"/>
      <w:bookmarkEnd w:id="891"/>
      <w:bookmarkEnd w:id="892"/>
      <w:bookmarkEnd w:id="893"/>
      <w:bookmarkEnd w:id="894"/>
      <w:bookmarkEnd w:id="895"/>
      <w:r w:rsidRPr="00FF1448">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6B4161" w14:paraId="296696DD" w14:textId="77777777" w:rsidTr="005A48DD">
        <w:tc>
          <w:tcPr>
            <w:tcW w:w="9016" w:type="dxa"/>
            <w:shd w:val="clear" w:color="auto" w:fill="F2F2F2" w:themeFill="background1" w:themeFillShade="F2"/>
          </w:tcPr>
          <w:p w14:paraId="472D613A" w14:textId="77777777" w:rsidR="006B4161" w:rsidRPr="00275ACC" w:rsidRDefault="006B4161" w:rsidP="0062103D">
            <w:bookmarkStart w:id="896" w:name="_Toc204329599"/>
            <w:bookmarkStart w:id="897" w:name="_Toc209189043"/>
            <w:r w:rsidRPr="00380A8B">
              <w:rPr>
                <w:b/>
                <w:color w:val="358189"/>
                <w:sz w:val="36"/>
                <w:szCs w:val="36"/>
              </w:rPr>
              <w:t>What you’ll find in this chapter:</w:t>
            </w:r>
            <w:bookmarkEnd w:id="896"/>
            <w:bookmarkEnd w:id="897"/>
          </w:p>
          <w:p w14:paraId="32F7C7FD" w14:textId="7DE70454" w:rsidR="006B4161" w:rsidRDefault="006B4161" w:rsidP="00622CFF">
            <w:pPr>
              <w:spacing w:before="240" w:after="240"/>
            </w:pPr>
            <w:r>
              <w:t xml:space="preserve">This chapter provides information on assessment related reviewable decisions in accordance with the </w:t>
            </w:r>
            <w:r w:rsidRPr="4A69F66B">
              <w:rPr>
                <w:i/>
                <w:iCs/>
              </w:rPr>
              <w:t>Aged Care Act 2024</w:t>
            </w:r>
            <w:r w:rsidR="00FD1146">
              <w:rPr>
                <w:i/>
                <w:iCs/>
              </w:rPr>
              <w:t xml:space="preserve"> (the Act)</w:t>
            </w:r>
            <w:r>
              <w:t>. It also details:</w:t>
            </w:r>
          </w:p>
          <w:p w14:paraId="6E876A00" w14:textId="77777777" w:rsidR="006B4161" w:rsidRDefault="006B4161" w:rsidP="00DF3F6B">
            <w:pPr>
              <w:pStyle w:val="ListParagraph"/>
              <w:numPr>
                <w:ilvl w:val="0"/>
                <w:numId w:val="47"/>
              </w:numPr>
              <w:spacing w:before="240" w:after="240"/>
            </w:pPr>
            <w:r>
              <w:t>the reconsiderations process</w:t>
            </w:r>
          </w:p>
          <w:p w14:paraId="5BFA77C9" w14:textId="77777777" w:rsidR="006B4161" w:rsidRDefault="006B4161" w:rsidP="00DF3F6B">
            <w:pPr>
              <w:pStyle w:val="ListParagraph"/>
              <w:numPr>
                <w:ilvl w:val="0"/>
                <w:numId w:val="47"/>
              </w:numPr>
              <w:spacing w:before="240" w:after="240"/>
            </w:pPr>
            <w:r>
              <w:t xml:space="preserve">the corrections process </w:t>
            </w:r>
          </w:p>
          <w:p w14:paraId="32D2488A" w14:textId="77777777" w:rsidR="006B4161" w:rsidRDefault="006B4161" w:rsidP="00DF3F6B">
            <w:pPr>
              <w:pStyle w:val="ListParagraph"/>
              <w:numPr>
                <w:ilvl w:val="0"/>
                <w:numId w:val="47"/>
              </w:numPr>
              <w:spacing w:before="240" w:after="240"/>
            </w:pPr>
            <w:r>
              <w:t>options for reviews and revocations</w:t>
            </w:r>
          </w:p>
          <w:p w14:paraId="4E36DA6E" w14:textId="4678439D" w:rsidR="006B4161" w:rsidRPr="00F236D3" w:rsidRDefault="006B4161" w:rsidP="00DF3F6B">
            <w:pPr>
              <w:pStyle w:val="ListParagraph"/>
              <w:numPr>
                <w:ilvl w:val="0"/>
                <w:numId w:val="47"/>
              </w:numPr>
              <w:spacing w:before="240" w:after="240"/>
            </w:pPr>
            <w:r>
              <w:t xml:space="preserve">the pathways that clients can take to submit complaints and raise concerns about their My Aged Care experience. </w:t>
            </w:r>
          </w:p>
        </w:tc>
      </w:tr>
    </w:tbl>
    <w:p w14:paraId="71D3A9DA" w14:textId="77777777" w:rsidR="006B4161" w:rsidRPr="00425CE8" w:rsidRDefault="006B4161" w:rsidP="00622CFF">
      <w:pPr>
        <w:spacing w:before="240" w:after="240" w:line="240" w:lineRule="auto"/>
      </w:pPr>
      <w:r>
        <w:t xml:space="preserve">The primary audience for this section is assessors, team leaders, delegates and operational managers. Assessors should be aware that they are providing a valuable and trusted public role in the delivery of quality aged care assessment services on behalf of the Commonwealth. A necessary part of a quality assessment is having supporting processes that allow the older person the right to complain without fear of reprisal, while also upholding the statement of rights and principles. </w:t>
      </w:r>
    </w:p>
    <w:p w14:paraId="7A15C14D" w14:textId="386985D6" w:rsidR="006B4161" w:rsidRPr="00FF1448" w:rsidRDefault="006B4161" w:rsidP="00507F9D">
      <w:pPr>
        <w:pStyle w:val="h2"/>
        <w:rPr>
          <w:color w:val="auto"/>
        </w:rPr>
      </w:pPr>
      <w:bookmarkStart w:id="898" w:name="_Toc204329600"/>
      <w:bookmarkStart w:id="899" w:name="_Toc209189044"/>
      <w:bookmarkStart w:id="900" w:name="_Toc224916698"/>
      <w:r w:rsidRPr="00FF1448">
        <w:t xml:space="preserve">Reviewable </w:t>
      </w:r>
      <w:r w:rsidR="005A1475">
        <w:t>d</w:t>
      </w:r>
      <w:r w:rsidRPr="00FF1448">
        <w:t>ecisions</w:t>
      </w:r>
      <w:bookmarkEnd w:id="889"/>
      <w:bookmarkEnd w:id="898"/>
      <w:bookmarkEnd w:id="899"/>
      <w:bookmarkEnd w:id="900"/>
    </w:p>
    <w:bookmarkEnd w:id="890"/>
    <w:p w14:paraId="2FA5A1DB" w14:textId="3C46417F" w:rsidR="006B4161" w:rsidRPr="004113F6" w:rsidRDefault="006B4161" w:rsidP="00622CFF">
      <w:pPr>
        <w:spacing w:before="240" w:after="240" w:line="240" w:lineRule="auto"/>
      </w:pPr>
      <w:r w:rsidRPr="00880B95">
        <w:t xml:space="preserve">The </w:t>
      </w:r>
      <w:r w:rsidR="009468EC" w:rsidRPr="00441859">
        <w:t>Act</w:t>
      </w:r>
      <w:r w:rsidRPr="00880B95">
        <w:rPr>
          <w:i/>
          <w:iCs/>
        </w:rPr>
        <w:t xml:space="preserve"> </w:t>
      </w:r>
      <w:r>
        <w:t xml:space="preserve">broadens the scope of </w:t>
      </w:r>
      <w:r w:rsidRPr="00880B95">
        <w:t xml:space="preserve">reviewable decisions </w:t>
      </w:r>
      <w:r>
        <w:t>related to the</w:t>
      </w:r>
      <w:r w:rsidRPr="00880B95">
        <w:t xml:space="preserve"> assessment process. </w:t>
      </w:r>
      <w:r w:rsidRPr="004113F6">
        <w:t xml:space="preserve">It is essential </w:t>
      </w:r>
      <w:r w:rsidR="00ED1B02" w:rsidRPr="004113F6">
        <w:t>f</w:t>
      </w:r>
      <w:r w:rsidR="00ED1B02">
        <w:t>o</w:t>
      </w:r>
      <w:r w:rsidR="00ED1B02" w:rsidRPr="004113F6">
        <w:t>r</w:t>
      </w:r>
      <w:r w:rsidRPr="004113F6">
        <w:t xml:space="preserve"> all delegates to be aware that certain decisions can be reviewed, and to ensure that every decision made is thoroughly documented and supported by evidence.</w:t>
      </w:r>
    </w:p>
    <w:p w14:paraId="003F2435" w14:textId="77777777" w:rsidR="006B4161" w:rsidRPr="004113F6" w:rsidRDefault="006B4161" w:rsidP="00622CFF">
      <w:pPr>
        <w:spacing w:before="240" w:after="240" w:line="240" w:lineRule="auto"/>
      </w:pPr>
      <w:r w:rsidRPr="004113F6">
        <w:rPr>
          <w:b/>
          <w:bCs/>
        </w:rPr>
        <w:t>Section 557</w:t>
      </w:r>
      <w:r w:rsidRPr="004113F6">
        <w:t> of the Act outlines the decisions made by the System Governor that are subject to review, including those related to assessments and assessment-related activities. This section also identifies the specific entities affected by each reviewable decision.</w:t>
      </w:r>
    </w:p>
    <w:p w14:paraId="115CA9F9" w14:textId="77777777" w:rsidR="006B4161" w:rsidRDefault="006B4161" w:rsidP="00622CFF">
      <w:pPr>
        <w:spacing w:before="240" w:after="240" w:line="240" w:lineRule="auto"/>
      </w:pPr>
      <w:r w:rsidRPr="004113F6">
        <w:t>An </w:t>
      </w:r>
      <w:r w:rsidRPr="00FC0832">
        <w:t>affected entity for a reviewable decision</w:t>
      </w:r>
      <w:r w:rsidRPr="004113F6">
        <w:t xml:space="preserve"> is a party that has the right to seek a review of a decision. </w:t>
      </w:r>
      <w:r w:rsidRPr="00FC0832">
        <w:t xml:space="preserve">To find out whether a person is an affected entity in relation to a reviewable decision refer to column 2 of section 557 of the Act. </w:t>
      </w:r>
    </w:p>
    <w:p w14:paraId="2AF16916" w14:textId="31B6BBCC" w:rsidR="006B4161" w:rsidRDefault="006B4161" w:rsidP="00622CFF">
      <w:pPr>
        <w:spacing w:before="240" w:after="240" w:line="240" w:lineRule="auto"/>
      </w:pPr>
      <w:r>
        <w:t>An older person’s registered supporter</w:t>
      </w:r>
      <w:r w:rsidR="00F70BF6">
        <w:t>/</w:t>
      </w:r>
      <w:r>
        <w:t>s can communicate the decision of an older person to seek a review of a decision. It is not the role of a registered supporter to make decisions for an older person. If an older person has an active, appointed decision maker, that person may make a decision on behalf of an older person to seek a review of a decision. They may only do this if this decision is within the scope of their legal authority and that legal authority is active.</w:t>
      </w:r>
    </w:p>
    <w:p w14:paraId="0A59389C" w14:textId="77777777" w:rsidR="006B4161" w:rsidRPr="001E4A19" w:rsidRDefault="006B4161" w:rsidP="00C56CEC">
      <w:pPr>
        <w:pStyle w:val="H3"/>
      </w:pPr>
      <w:bookmarkStart w:id="901" w:name="_Toc205372154"/>
      <w:bookmarkStart w:id="902" w:name="_Toc678715787"/>
      <w:r w:rsidRPr="001E4A19">
        <w:t>Reviewable decisions related to assessment</w:t>
      </w:r>
      <w:bookmarkEnd w:id="901"/>
      <w:bookmarkEnd w:id="902"/>
    </w:p>
    <w:p w14:paraId="1BDD6688" w14:textId="155795C9" w:rsidR="006B4161" w:rsidRDefault="006B4161" w:rsidP="00622CFF">
      <w:pPr>
        <w:spacing w:before="240" w:after="240" w:line="240" w:lineRule="auto"/>
      </w:pPr>
      <w:r>
        <w:t>T</w:t>
      </w:r>
      <w:r w:rsidRPr="00F3694F">
        <w:t>able</w:t>
      </w:r>
      <w:r>
        <w:t xml:space="preserve"> 56</w:t>
      </w:r>
      <w:r w:rsidRPr="00F3694F">
        <w:t xml:space="preserve"> is an excerpt of the table in Section 557 </w:t>
      </w:r>
      <w:r w:rsidR="00D34355">
        <w:t>of the Act</w:t>
      </w:r>
      <w:r w:rsidRPr="00F3694F">
        <w:t xml:space="preserve"> relating to </w:t>
      </w:r>
      <w:r w:rsidR="00D34355">
        <w:t>d</w:t>
      </w:r>
      <w:r w:rsidR="00D34355" w:rsidRPr="00F3694F">
        <w:t xml:space="preserve">ecisions </w:t>
      </w:r>
      <w:r w:rsidR="00D34355">
        <w:t xml:space="preserve">made </w:t>
      </w:r>
      <w:r w:rsidRPr="00F3694F">
        <w:t>by the System Governor that relate to assessment.</w:t>
      </w:r>
    </w:p>
    <w:p w14:paraId="4F3F7EE9" w14:textId="22D60873" w:rsidR="006B4161" w:rsidRDefault="006B4161" w:rsidP="00622CFF">
      <w:pPr>
        <w:pStyle w:val="Caption"/>
        <w:spacing w:before="240" w:after="240"/>
      </w:pPr>
      <w:r w:rsidRPr="00FF1448">
        <w:t xml:space="preserve">Table </w:t>
      </w:r>
      <w:r>
        <w:t>5</w:t>
      </w:r>
      <w:r w:rsidR="00ED1B02">
        <w:t>6</w:t>
      </w:r>
      <w:r w:rsidRPr="00FF1448">
        <w:t xml:space="preserve">: </w:t>
      </w:r>
      <w:r w:rsidR="00534168">
        <w:t>Reviewable d</w:t>
      </w:r>
      <w:r w:rsidRPr="00FF1448">
        <w:t>ecisions</w:t>
      </w:r>
      <w:r w:rsidR="00534168">
        <w:t xml:space="preserve"> made</w:t>
      </w:r>
      <w:r w:rsidRPr="00FF1448">
        <w:t xml:space="preserve"> by the System Governor that relate to assessment</w:t>
      </w:r>
    </w:p>
    <w:tbl>
      <w:tblPr>
        <w:tblStyle w:val="TableGrid"/>
        <w:tblW w:w="0" w:type="auto"/>
        <w:tblBorders>
          <w:bottom w:val="single" w:sz="4" w:space="0" w:color="auto"/>
          <w:insideH w:val="single" w:sz="4" w:space="0" w:color="auto"/>
        </w:tblBorders>
        <w:tblLook w:val="04A0" w:firstRow="1" w:lastRow="0" w:firstColumn="1" w:lastColumn="0" w:noHBand="0" w:noVBand="1"/>
        <w:tblCaption w:val="Reviewable decisions made by the System Governor that relate to assessment"/>
      </w:tblPr>
      <w:tblGrid>
        <w:gridCol w:w="2253"/>
        <w:gridCol w:w="2254"/>
        <w:gridCol w:w="2255"/>
        <w:gridCol w:w="2254"/>
      </w:tblGrid>
      <w:tr w:rsidR="006B4161" w:rsidRPr="009565B6" w14:paraId="22E21D4B" w14:textId="77777777" w:rsidTr="00A1533A">
        <w:trPr>
          <w:tblHeader/>
        </w:trPr>
        <w:tc>
          <w:tcPr>
            <w:tcW w:w="2253" w:type="dxa"/>
            <w:shd w:val="clear" w:color="auto" w:fill="002060"/>
          </w:tcPr>
          <w:p w14:paraId="51F48922" w14:textId="77777777" w:rsidR="006B4161" w:rsidRPr="009565B6" w:rsidRDefault="006B4161" w:rsidP="00622CFF">
            <w:pPr>
              <w:spacing w:before="240" w:after="240"/>
              <w:rPr>
                <w:b/>
                <w:bCs/>
                <w:color w:val="FFFFFF" w:themeColor="background1"/>
              </w:rPr>
            </w:pPr>
            <w:r w:rsidRPr="009565B6">
              <w:rPr>
                <w:b/>
                <w:bCs/>
                <w:color w:val="FFFFFF" w:themeColor="background1"/>
                <w:lang w:val="en-AU"/>
              </w:rPr>
              <w:t>Item</w:t>
            </w:r>
          </w:p>
        </w:tc>
        <w:tc>
          <w:tcPr>
            <w:tcW w:w="2254" w:type="dxa"/>
            <w:shd w:val="clear" w:color="auto" w:fill="002060"/>
          </w:tcPr>
          <w:p w14:paraId="2D3DCB0C" w14:textId="77777777" w:rsidR="006B4161" w:rsidRPr="009565B6" w:rsidRDefault="006B4161" w:rsidP="00622CFF">
            <w:pPr>
              <w:spacing w:before="240" w:after="240"/>
              <w:rPr>
                <w:b/>
                <w:bCs/>
                <w:color w:val="FFFFFF" w:themeColor="background1"/>
              </w:rPr>
            </w:pPr>
            <w:r w:rsidRPr="009565B6">
              <w:rPr>
                <w:b/>
                <w:bCs/>
                <w:color w:val="FFFFFF" w:themeColor="background1"/>
                <w:lang w:val="en-AU"/>
              </w:rPr>
              <w:t>Decision</w:t>
            </w:r>
          </w:p>
        </w:tc>
        <w:tc>
          <w:tcPr>
            <w:tcW w:w="2255" w:type="dxa"/>
            <w:shd w:val="clear" w:color="auto" w:fill="002060"/>
          </w:tcPr>
          <w:p w14:paraId="36A36234" w14:textId="1DAE7824" w:rsidR="006B4161" w:rsidRPr="009565B6" w:rsidRDefault="006B4161" w:rsidP="00622CFF">
            <w:pPr>
              <w:spacing w:before="240" w:after="240"/>
              <w:rPr>
                <w:b/>
                <w:bCs/>
                <w:color w:val="FFFFFF" w:themeColor="background1"/>
              </w:rPr>
            </w:pPr>
            <w:r w:rsidRPr="009565B6">
              <w:rPr>
                <w:b/>
                <w:bCs/>
                <w:color w:val="FFFFFF" w:themeColor="background1"/>
                <w:lang w:val="en-AU"/>
              </w:rPr>
              <w:t xml:space="preserve">Simplified </w:t>
            </w:r>
            <w:r w:rsidR="005A1475">
              <w:rPr>
                <w:b/>
                <w:bCs/>
                <w:color w:val="FFFFFF" w:themeColor="background1"/>
                <w:lang w:val="en-AU"/>
              </w:rPr>
              <w:t>e</w:t>
            </w:r>
            <w:r w:rsidRPr="009565B6">
              <w:rPr>
                <w:b/>
                <w:bCs/>
                <w:color w:val="FFFFFF" w:themeColor="background1"/>
                <w:lang w:val="en-AU"/>
              </w:rPr>
              <w:t>xplanation</w:t>
            </w:r>
          </w:p>
        </w:tc>
        <w:tc>
          <w:tcPr>
            <w:tcW w:w="2254" w:type="dxa"/>
            <w:shd w:val="clear" w:color="auto" w:fill="002060"/>
          </w:tcPr>
          <w:p w14:paraId="34FB2C60" w14:textId="77777777" w:rsidR="006B4161" w:rsidRPr="009565B6" w:rsidRDefault="006B4161" w:rsidP="00622CFF">
            <w:pPr>
              <w:spacing w:before="240" w:after="240"/>
              <w:rPr>
                <w:b/>
                <w:bCs/>
                <w:color w:val="FFFFFF" w:themeColor="background1"/>
              </w:rPr>
            </w:pPr>
            <w:r w:rsidRPr="009565B6">
              <w:rPr>
                <w:b/>
                <w:bCs/>
                <w:color w:val="FFFFFF" w:themeColor="background1"/>
                <w:lang w:val="en-AU"/>
              </w:rPr>
              <w:t>Entity</w:t>
            </w:r>
          </w:p>
        </w:tc>
      </w:tr>
      <w:tr w:rsidR="006B4161" w14:paraId="11F45D5F" w14:textId="77777777">
        <w:tc>
          <w:tcPr>
            <w:tcW w:w="2253" w:type="dxa"/>
            <w:shd w:val="clear" w:color="auto" w:fill="002060"/>
          </w:tcPr>
          <w:p w14:paraId="578A857C" w14:textId="567EC7E3" w:rsidR="006B4161" w:rsidRDefault="006B4161" w:rsidP="00622CFF">
            <w:pPr>
              <w:spacing w:before="240" w:after="240"/>
              <w:rPr>
                <w:b/>
                <w:bCs/>
              </w:rPr>
            </w:pPr>
            <w:r>
              <w:rPr>
                <w:b/>
                <w:bCs/>
              </w:rPr>
              <w:t>7</w:t>
            </w:r>
          </w:p>
        </w:tc>
        <w:tc>
          <w:tcPr>
            <w:tcW w:w="2254" w:type="dxa"/>
          </w:tcPr>
          <w:p w14:paraId="782FCB92" w14:textId="77777777" w:rsidR="006B4161" w:rsidRDefault="006B4161" w:rsidP="00622CFF">
            <w:pPr>
              <w:spacing w:before="240" w:after="240"/>
              <w:rPr>
                <w:b/>
                <w:bCs/>
              </w:rPr>
            </w:pPr>
            <w:r w:rsidRPr="00E24B1D">
              <w:rPr>
                <w:lang w:val="en-AU"/>
              </w:rPr>
              <w:t>A decision under subsection 57(1) not to make an eligibility determination for an aged care needs assessment for an individual</w:t>
            </w:r>
          </w:p>
        </w:tc>
        <w:tc>
          <w:tcPr>
            <w:tcW w:w="2255" w:type="dxa"/>
          </w:tcPr>
          <w:p w14:paraId="5CA1A4F6" w14:textId="77777777" w:rsidR="006B4161" w:rsidRDefault="006B4161" w:rsidP="00622CFF">
            <w:pPr>
              <w:spacing w:before="240" w:after="240"/>
              <w:rPr>
                <w:b/>
                <w:bCs/>
              </w:rPr>
            </w:pPr>
            <w:r w:rsidRPr="00E24B1D">
              <w:rPr>
                <w:lang w:val="en-AU"/>
              </w:rPr>
              <w:t>Deciding that an individual is not eligible for an aged care needs assessment</w:t>
            </w:r>
          </w:p>
        </w:tc>
        <w:tc>
          <w:tcPr>
            <w:tcW w:w="2254" w:type="dxa"/>
          </w:tcPr>
          <w:p w14:paraId="40425433" w14:textId="77777777" w:rsidR="006B4161" w:rsidRPr="00E24B1D" w:rsidRDefault="006B4161" w:rsidP="00622CFF">
            <w:pPr>
              <w:spacing w:before="240" w:after="240"/>
              <w:rPr>
                <w:lang w:val="en-AU"/>
              </w:rPr>
            </w:pPr>
            <w:r w:rsidRPr="00E24B1D">
              <w:rPr>
                <w:lang w:val="en-AU"/>
              </w:rPr>
              <w:t>The individual</w:t>
            </w:r>
          </w:p>
          <w:p w14:paraId="4BA4F268" w14:textId="77777777" w:rsidR="006B4161" w:rsidRDefault="006B4161" w:rsidP="00622CFF">
            <w:pPr>
              <w:spacing w:before="240" w:after="240"/>
              <w:rPr>
                <w:b/>
                <w:bCs/>
              </w:rPr>
            </w:pPr>
            <w:r w:rsidRPr="00E24B1D">
              <w:rPr>
                <w:lang w:val="en-AU"/>
              </w:rPr>
              <w:t>(the older person)</w:t>
            </w:r>
          </w:p>
        </w:tc>
      </w:tr>
      <w:tr w:rsidR="006B4161" w14:paraId="5B6EC286" w14:textId="77777777">
        <w:tc>
          <w:tcPr>
            <w:tcW w:w="2253" w:type="dxa"/>
            <w:shd w:val="clear" w:color="auto" w:fill="002060"/>
          </w:tcPr>
          <w:p w14:paraId="66AEB3F7" w14:textId="77777777" w:rsidR="006B4161" w:rsidRDefault="006B4161" w:rsidP="00622CFF">
            <w:pPr>
              <w:spacing w:before="240" w:after="240"/>
              <w:rPr>
                <w:b/>
                <w:bCs/>
              </w:rPr>
            </w:pPr>
            <w:r>
              <w:rPr>
                <w:b/>
                <w:bCs/>
              </w:rPr>
              <w:t>8</w:t>
            </w:r>
          </w:p>
        </w:tc>
        <w:tc>
          <w:tcPr>
            <w:tcW w:w="2254" w:type="dxa"/>
          </w:tcPr>
          <w:p w14:paraId="573AFC3F" w14:textId="77777777" w:rsidR="006B4161" w:rsidRDefault="006B4161" w:rsidP="00622CFF">
            <w:pPr>
              <w:spacing w:before="240" w:after="240"/>
              <w:rPr>
                <w:b/>
                <w:bCs/>
              </w:rPr>
            </w:pPr>
            <w:r w:rsidRPr="001F4D3E">
              <w:rPr>
                <w:lang w:val="en-AU"/>
              </w:rPr>
              <w:t>A decision under subsection 64(1) that a reassessment of an individual’s need for funded aged care services is not required</w:t>
            </w:r>
          </w:p>
        </w:tc>
        <w:tc>
          <w:tcPr>
            <w:tcW w:w="2255" w:type="dxa"/>
          </w:tcPr>
          <w:p w14:paraId="0CEBDDD9" w14:textId="77777777" w:rsidR="006B4161" w:rsidRDefault="006B4161" w:rsidP="00622CFF">
            <w:pPr>
              <w:spacing w:before="240" w:after="240"/>
              <w:rPr>
                <w:b/>
                <w:bCs/>
              </w:rPr>
            </w:pPr>
            <w:r w:rsidRPr="001F4D3E">
              <w:rPr>
                <w:lang w:val="en-AU"/>
              </w:rPr>
              <w:t>No need for reassessment: Deciding that an older person does not need a</w:t>
            </w:r>
            <w:r>
              <w:rPr>
                <w:lang w:val="en-AU"/>
              </w:rPr>
              <w:t xml:space="preserve"> support plan review or</w:t>
            </w:r>
            <w:r w:rsidRPr="001F4D3E">
              <w:rPr>
                <w:lang w:val="en-AU"/>
              </w:rPr>
              <w:t xml:space="preserve"> reassessment of their aged care needs</w:t>
            </w:r>
          </w:p>
        </w:tc>
        <w:tc>
          <w:tcPr>
            <w:tcW w:w="2254" w:type="dxa"/>
          </w:tcPr>
          <w:p w14:paraId="4FAA82F5" w14:textId="77777777" w:rsidR="006B4161" w:rsidRDefault="006B4161" w:rsidP="00622CFF">
            <w:pPr>
              <w:spacing w:before="240" w:after="240"/>
              <w:rPr>
                <w:b/>
                <w:bCs/>
              </w:rPr>
            </w:pPr>
            <w:r>
              <w:rPr>
                <w:lang w:val="en-AU"/>
              </w:rPr>
              <w:t xml:space="preserve">The individual </w:t>
            </w:r>
            <w:r w:rsidRPr="0C8D2387">
              <w:rPr>
                <w:lang w:val="en-AU"/>
              </w:rPr>
              <w:t>(the older person)</w:t>
            </w:r>
          </w:p>
        </w:tc>
      </w:tr>
      <w:tr w:rsidR="006B4161" w14:paraId="325D5C5C" w14:textId="77777777">
        <w:tc>
          <w:tcPr>
            <w:tcW w:w="2253" w:type="dxa"/>
            <w:shd w:val="clear" w:color="auto" w:fill="002060"/>
          </w:tcPr>
          <w:p w14:paraId="4329807F" w14:textId="77777777" w:rsidR="006B4161" w:rsidRDefault="006B4161" w:rsidP="00622CFF">
            <w:pPr>
              <w:spacing w:before="240" w:after="240"/>
              <w:rPr>
                <w:b/>
                <w:bCs/>
              </w:rPr>
            </w:pPr>
            <w:r>
              <w:rPr>
                <w:b/>
                <w:bCs/>
              </w:rPr>
              <w:t>9</w:t>
            </w:r>
          </w:p>
        </w:tc>
        <w:tc>
          <w:tcPr>
            <w:tcW w:w="2254" w:type="dxa"/>
          </w:tcPr>
          <w:p w14:paraId="2A335E9B" w14:textId="77777777" w:rsidR="006B4161" w:rsidRDefault="006B4161" w:rsidP="00622CFF">
            <w:pPr>
              <w:spacing w:before="240" w:after="240"/>
              <w:rPr>
                <w:b/>
                <w:bCs/>
              </w:rPr>
            </w:pPr>
            <w:r w:rsidRPr="009565B6">
              <w:rPr>
                <w:lang w:val="en-AU"/>
              </w:rPr>
              <w:t>A decision under subsection 65(1) that an individual does not require access to funded aged care services</w:t>
            </w:r>
          </w:p>
        </w:tc>
        <w:tc>
          <w:tcPr>
            <w:tcW w:w="2255" w:type="dxa"/>
          </w:tcPr>
          <w:p w14:paraId="0FC12B51" w14:textId="77777777" w:rsidR="006B4161" w:rsidRDefault="006B4161" w:rsidP="00622CFF">
            <w:pPr>
              <w:spacing w:before="240" w:after="240"/>
              <w:rPr>
                <w:b/>
                <w:bCs/>
              </w:rPr>
            </w:pPr>
            <w:r w:rsidRPr="009565B6">
              <w:rPr>
                <w:lang w:val="en-AU"/>
              </w:rPr>
              <w:t>No need for aged care services: Deciding that an older person does not need funded aged care services</w:t>
            </w:r>
          </w:p>
        </w:tc>
        <w:tc>
          <w:tcPr>
            <w:tcW w:w="2254" w:type="dxa"/>
          </w:tcPr>
          <w:p w14:paraId="00A76F16" w14:textId="77777777" w:rsidR="006B4161" w:rsidRDefault="006B4161" w:rsidP="00622CFF">
            <w:pPr>
              <w:spacing w:before="240" w:after="240"/>
              <w:rPr>
                <w:b/>
                <w:bCs/>
              </w:rPr>
            </w:pPr>
            <w:r w:rsidRPr="009565B6">
              <w:rPr>
                <w:lang w:val="en-AU"/>
              </w:rPr>
              <w:t>The individual (the older person)</w:t>
            </w:r>
          </w:p>
        </w:tc>
      </w:tr>
      <w:tr w:rsidR="006B4161" w14:paraId="520150D0" w14:textId="77777777">
        <w:tc>
          <w:tcPr>
            <w:tcW w:w="2253" w:type="dxa"/>
            <w:shd w:val="clear" w:color="auto" w:fill="002060"/>
          </w:tcPr>
          <w:p w14:paraId="42AD0632" w14:textId="77777777" w:rsidR="006B4161" w:rsidRDefault="006B4161" w:rsidP="00622CFF">
            <w:pPr>
              <w:spacing w:before="240" w:after="240"/>
              <w:rPr>
                <w:b/>
                <w:bCs/>
              </w:rPr>
            </w:pPr>
            <w:r>
              <w:rPr>
                <w:b/>
                <w:bCs/>
              </w:rPr>
              <w:t>10</w:t>
            </w:r>
          </w:p>
        </w:tc>
        <w:tc>
          <w:tcPr>
            <w:tcW w:w="2254" w:type="dxa"/>
          </w:tcPr>
          <w:p w14:paraId="02D38A2A" w14:textId="77777777" w:rsidR="006B4161" w:rsidRDefault="006B4161" w:rsidP="00622CFF">
            <w:pPr>
              <w:spacing w:before="240" w:after="240"/>
              <w:rPr>
                <w:b/>
                <w:bCs/>
              </w:rPr>
            </w:pPr>
            <w:r w:rsidRPr="001F4D3E">
              <w:rPr>
                <w:lang w:val="en-AU"/>
              </w:rPr>
              <w:t xml:space="preserve">A decision under subsection 65(2) not to approve a service group, or </w:t>
            </w:r>
            <w:r w:rsidRPr="4660CA11">
              <w:rPr>
                <w:lang w:val="en-AU"/>
              </w:rPr>
              <w:t xml:space="preserve">a </w:t>
            </w:r>
            <w:r w:rsidRPr="001F4D3E">
              <w:rPr>
                <w:lang w:val="en-AU"/>
              </w:rPr>
              <w:t xml:space="preserve">classification type for a service group, a service type, or </w:t>
            </w:r>
            <w:r w:rsidRPr="54FA03BD">
              <w:rPr>
                <w:lang w:val="en-AU"/>
              </w:rPr>
              <w:t xml:space="preserve">a </w:t>
            </w:r>
            <w:r w:rsidRPr="001F4D3E">
              <w:rPr>
                <w:lang w:val="en-AU"/>
              </w:rPr>
              <w:t>funded aged care service, for an individual</w:t>
            </w:r>
          </w:p>
        </w:tc>
        <w:tc>
          <w:tcPr>
            <w:tcW w:w="2255" w:type="dxa"/>
          </w:tcPr>
          <w:p w14:paraId="08682EE6" w14:textId="77777777" w:rsidR="006B4161" w:rsidRDefault="006B4161" w:rsidP="00622CFF">
            <w:pPr>
              <w:spacing w:before="240" w:after="240"/>
              <w:rPr>
                <w:b/>
                <w:bCs/>
              </w:rPr>
            </w:pPr>
            <w:r w:rsidRPr="001F4D3E">
              <w:rPr>
                <w:lang w:val="en-AU"/>
              </w:rPr>
              <w:t>Not approving certain services: Deciding not to approve a service group, service types or services, or classification types for an older person</w:t>
            </w:r>
          </w:p>
        </w:tc>
        <w:tc>
          <w:tcPr>
            <w:tcW w:w="2254" w:type="dxa"/>
          </w:tcPr>
          <w:p w14:paraId="1FDBE588" w14:textId="77777777" w:rsidR="006B4161" w:rsidRDefault="006B4161" w:rsidP="00622CFF">
            <w:pPr>
              <w:spacing w:before="240" w:after="240"/>
              <w:rPr>
                <w:b/>
                <w:bCs/>
              </w:rPr>
            </w:pPr>
            <w:r>
              <w:rPr>
                <w:lang w:val="en-AU"/>
              </w:rPr>
              <w:t xml:space="preserve">The individual </w:t>
            </w:r>
            <w:r w:rsidRPr="0C8D2387">
              <w:rPr>
                <w:lang w:val="en-AU"/>
              </w:rPr>
              <w:t>(the older person)</w:t>
            </w:r>
          </w:p>
        </w:tc>
      </w:tr>
      <w:tr w:rsidR="006B4161" w14:paraId="363C2F02" w14:textId="77777777">
        <w:tc>
          <w:tcPr>
            <w:tcW w:w="2253" w:type="dxa"/>
            <w:shd w:val="clear" w:color="auto" w:fill="002060"/>
          </w:tcPr>
          <w:p w14:paraId="178611EC" w14:textId="77777777" w:rsidR="006B4161" w:rsidRDefault="006B4161" w:rsidP="00622CFF">
            <w:pPr>
              <w:spacing w:before="240" w:after="240"/>
              <w:rPr>
                <w:b/>
                <w:bCs/>
              </w:rPr>
            </w:pPr>
            <w:r>
              <w:rPr>
                <w:b/>
                <w:bCs/>
              </w:rPr>
              <w:t>11</w:t>
            </w:r>
          </w:p>
        </w:tc>
        <w:tc>
          <w:tcPr>
            <w:tcW w:w="2254" w:type="dxa"/>
          </w:tcPr>
          <w:p w14:paraId="0D6A3825" w14:textId="77777777" w:rsidR="006B4161" w:rsidRDefault="006B4161" w:rsidP="00622CFF">
            <w:pPr>
              <w:spacing w:before="240" w:after="240"/>
              <w:rPr>
                <w:b/>
                <w:bCs/>
              </w:rPr>
            </w:pPr>
            <w:r w:rsidRPr="00461E2A">
              <w:rPr>
                <w:lang w:val="en-AU"/>
              </w:rPr>
              <w:t>A decision under subsection 65(4) that exceptional circumstances do not apply in relation to an individual</w:t>
            </w:r>
          </w:p>
        </w:tc>
        <w:tc>
          <w:tcPr>
            <w:tcW w:w="2255" w:type="dxa"/>
          </w:tcPr>
          <w:p w14:paraId="3EF899C4" w14:textId="77777777" w:rsidR="006B4161" w:rsidRDefault="006B4161" w:rsidP="00622CFF">
            <w:pPr>
              <w:spacing w:before="240" w:after="240"/>
              <w:rPr>
                <w:b/>
                <w:bCs/>
              </w:rPr>
            </w:pPr>
            <w:r w:rsidRPr="00461E2A">
              <w:rPr>
                <w:lang w:val="en-AU"/>
              </w:rPr>
              <w:t>No exceptional circumstances: Deciding not to approve access where an older person has not undergone a needs assessment.</w:t>
            </w:r>
          </w:p>
        </w:tc>
        <w:tc>
          <w:tcPr>
            <w:tcW w:w="2254" w:type="dxa"/>
          </w:tcPr>
          <w:p w14:paraId="622FC220" w14:textId="77777777" w:rsidR="006B4161" w:rsidRPr="00461E2A" w:rsidRDefault="006B4161" w:rsidP="00622CFF">
            <w:pPr>
              <w:spacing w:before="240" w:after="240"/>
              <w:rPr>
                <w:b/>
                <w:bCs/>
                <w:lang w:val="en-AU"/>
              </w:rPr>
            </w:pPr>
            <w:r w:rsidRPr="00461E2A">
              <w:rPr>
                <w:lang w:val="en-AU"/>
              </w:rPr>
              <w:t>Each of the following:</w:t>
            </w:r>
          </w:p>
          <w:p w14:paraId="5D37423B" w14:textId="77777777" w:rsidR="006B4161" w:rsidRPr="00461E2A" w:rsidRDefault="006B4161" w:rsidP="00622CFF">
            <w:pPr>
              <w:spacing w:before="240" w:after="240"/>
              <w:rPr>
                <w:b/>
                <w:bCs/>
                <w:lang w:val="en-AU"/>
              </w:rPr>
            </w:pPr>
            <w:r w:rsidRPr="00461E2A">
              <w:rPr>
                <w:lang w:val="en-AU"/>
              </w:rPr>
              <w:t>(a) the individual (the older person);</w:t>
            </w:r>
          </w:p>
          <w:p w14:paraId="2BF4ADE6" w14:textId="77777777" w:rsidR="006B4161" w:rsidRPr="00461E2A" w:rsidRDefault="006B4161" w:rsidP="00622CFF">
            <w:pPr>
              <w:spacing w:before="240" w:after="240"/>
              <w:rPr>
                <w:b/>
                <w:bCs/>
                <w:lang w:val="en-AU"/>
              </w:rPr>
            </w:pPr>
            <w:r w:rsidRPr="00461E2A">
              <w:rPr>
                <w:lang w:val="en-AU"/>
              </w:rPr>
              <w:t>(b) the registered provider</w:t>
            </w:r>
          </w:p>
          <w:p w14:paraId="64C00993" w14:textId="77777777" w:rsidR="006B4161" w:rsidRDefault="006B4161" w:rsidP="00622CFF">
            <w:pPr>
              <w:spacing w:before="240" w:after="240"/>
              <w:rPr>
                <w:b/>
                <w:bCs/>
              </w:rPr>
            </w:pPr>
          </w:p>
        </w:tc>
      </w:tr>
      <w:tr w:rsidR="006B4161" w14:paraId="12045855" w14:textId="77777777">
        <w:tc>
          <w:tcPr>
            <w:tcW w:w="2253" w:type="dxa"/>
            <w:shd w:val="clear" w:color="auto" w:fill="002060"/>
          </w:tcPr>
          <w:p w14:paraId="3DE43B11" w14:textId="77777777" w:rsidR="006B4161" w:rsidRDefault="006B4161" w:rsidP="00622CFF">
            <w:pPr>
              <w:spacing w:before="240" w:after="240"/>
              <w:rPr>
                <w:b/>
                <w:bCs/>
              </w:rPr>
            </w:pPr>
            <w:r>
              <w:rPr>
                <w:b/>
                <w:bCs/>
              </w:rPr>
              <w:t>12</w:t>
            </w:r>
          </w:p>
        </w:tc>
        <w:tc>
          <w:tcPr>
            <w:tcW w:w="2254" w:type="dxa"/>
          </w:tcPr>
          <w:p w14:paraId="77BABEC2" w14:textId="77777777" w:rsidR="006B4161" w:rsidRDefault="006B4161" w:rsidP="00622CFF">
            <w:pPr>
              <w:spacing w:before="240" w:after="240"/>
              <w:rPr>
                <w:b/>
                <w:bCs/>
              </w:rPr>
            </w:pPr>
            <w:r w:rsidRPr="001F4D3E">
              <w:rPr>
                <w:lang w:val="en-AU"/>
              </w:rPr>
              <w:t>A decision under subsection 71(2) to not specify an earlier day in a notice of decision under section 70</w:t>
            </w:r>
          </w:p>
        </w:tc>
        <w:tc>
          <w:tcPr>
            <w:tcW w:w="2255" w:type="dxa"/>
          </w:tcPr>
          <w:p w14:paraId="52351289" w14:textId="77777777" w:rsidR="006B4161" w:rsidRDefault="006B4161" w:rsidP="00622CFF">
            <w:pPr>
              <w:spacing w:before="240" w:after="240"/>
              <w:rPr>
                <w:b/>
                <w:bCs/>
              </w:rPr>
            </w:pPr>
            <w:r w:rsidRPr="001F4D3E">
              <w:rPr>
                <w:lang w:val="en-AU"/>
              </w:rPr>
              <w:t>Not setting an earlier date: Deciding not to backdate the date of approval in the notice of decision for an older person.</w:t>
            </w:r>
          </w:p>
        </w:tc>
        <w:tc>
          <w:tcPr>
            <w:tcW w:w="2254" w:type="dxa"/>
          </w:tcPr>
          <w:p w14:paraId="5914E790" w14:textId="77777777" w:rsidR="006B4161" w:rsidRDefault="006B4161" w:rsidP="00622CFF">
            <w:pPr>
              <w:spacing w:before="240" w:after="240"/>
              <w:rPr>
                <w:b/>
                <w:bCs/>
              </w:rPr>
            </w:pPr>
            <w:r>
              <w:rPr>
                <w:lang w:val="en-AU"/>
              </w:rPr>
              <w:t>The individual</w:t>
            </w:r>
          </w:p>
        </w:tc>
      </w:tr>
      <w:tr w:rsidR="006B4161" w14:paraId="1FF84224" w14:textId="77777777">
        <w:tc>
          <w:tcPr>
            <w:tcW w:w="2253" w:type="dxa"/>
            <w:shd w:val="clear" w:color="auto" w:fill="002060"/>
          </w:tcPr>
          <w:p w14:paraId="4BBD6043" w14:textId="77777777" w:rsidR="006B4161" w:rsidRDefault="006B4161" w:rsidP="00622CFF">
            <w:pPr>
              <w:spacing w:before="240" w:after="240"/>
              <w:rPr>
                <w:b/>
                <w:bCs/>
              </w:rPr>
            </w:pPr>
            <w:r>
              <w:rPr>
                <w:b/>
                <w:bCs/>
              </w:rPr>
              <w:t>13</w:t>
            </w:r>
          </w:p>
        </w:tc>
        <w:tc>
          <w:tcPr>
            <w:tcW w:w="2254" w:type="dxa"/>
          </w:tcPr>
          <w:p w14:paraId="3B22CAB3" w14:textId="77777777" w:rsidR="006B4161" w:rsidRDefault="006B4161" w:rsidP="00622CFF">
            <w:pPr>
              <w:spacing w:before="240" w:after="240"/>
              <w:rPr>
                <w:b/>
                <w:bCs/>
              </w:rPr>
            </w:pPr>
            <w:r w:rsidRPr="00461E2A">
              <w:rPr>
                <w:lang w:val="en-AU"/>
              </w:rPr>
              <w:t>A decision under subsection 71(6) to reject an application for a longer period for an individual to make an application</w:t>
            </w:r>
          </w:p>
        </w:tc>
        <w:tc>
          <w:tcPr>
            <w:tcW w:w="2255" w:type="dxa"/>
          </w:tcPr>
          <w:p w14:paraId="40C6FF22" w14:textId="77777777" w:rsidR="006B4161" w:rsidRDefault="006B4161" w:rsidP="00622CFF">
            <w:pPr>
              <w:spacing w:before="240" w:after="240"/>
              <w:rPr>
                <w:b/>
                <w:bCs/>
              </w:rPr>
            </w:pPr>
            <w:r w:rsidRPr="00461E2A">
              <w:rPr>
                <w:lang w:val="en-AU"/>
              </w:rPr>
              <w:t>Rejecting a longer application period: Deciding not to give an older person more time to submit an application to have their date of approval backdated</w:t>
            </w:r>
          </w:p>
        </w:tc>
        <w:tc>
          <w:tcPr>
            <w:tcW w:w="2254" w:type="dxa"/>
          </w:tcPr>
          <w:p w14:paraId="2D36877B" w14:textId="77777777" w:rsidR="006B4161" w:rsidRDefault="006B4161" w:rsidP="00622CFF">
            <w:pPr>
              <w:spacing w:before="240" w:after="240"/>
              <w:rPr>
                <w:b/>
                <w:bCs/>
              </w:rPr>
            </w:pPr>
            <w:r w:rsidRPr="00461E2A">
              <w:rPr>
                <w:lang w:val="en-AU"/>
              </w:rPr>
              <w:t>The individual (the older person)</w:t>
            </w:r>
          </w:p>
        </w:tc>
      </w:tr>
      <w:tr w:rsidR="006B4161" w14:paraId="01FF0DC5" w14:textId="77777777">
        <w:tc>
          <w:tcPr>
            <w:tcW w:w="2253" w:type="dxa"/>
            <w:shd w:val="clear" w:color="auto" w:fill="002060"/>
          </w:tcPr>
          <w:p w14:paraId="120E2B5C" w14:textId="77777777" w:rsidR="006B4161" w:rsidRDefault="006B4161" w:rsidP="00622CFF">
            <w:pPr>
              <w:spacing w:before="240" w:after="240"/>
              <w:rPr>
                <w:b/>
                <w:bCs/>
              </w:rPr>
            </w:pPr>
            <w:r>
              <w:rPr>
                <w:b/>
                <w:bCs/>
              </w:rPr>
              <w:t>14</w:t>
            </w:r>
          </w:p>
        </w:tc>
        <w:tc>
          <w:tcPr>
            <w:tcW w:w="2254" w:type="dxa"/>
          </w:tcPr>
          <w:p w14:paraId="44A21873" w14:textId="77777777" w:rsidR="006B4161" w:rsidRDefault="006B4161" w:rsidP="00622CFF">
            <w:pPr>
              <w:spacing w:before="240" w:after="240"/>
              <w:rPr>
                <w:b/>
                <w:bCs/>
              </w:rPr>
            </w:pPr>
            <w:r w:rsidRPr="001F4D3E">
              <w:rPr>
                <w:lang w:val="en-AU"/>
              </w:rPr>
              <w:t>A decision under subsection 74(1) to revoke an eligibility determination for an aged care needs assessment for an individual</w:t>
            </w:r>
          </w:p>
        </w:tc>
        <w:tc>
          <w:tcPr>
            <w:tcW w:w="2255" w:type="dxa"/>
          </w:tcPr>
          <w:p w14:paraId="1990DE2E" w14:textId="77777777" w:rsidR="006B4161" w:rsidRDefault="006B4161" w:rsidP="00622CFF">
            <w:pPr>
              <w:spacing w:before="240" w:after="240"/>
              <w:rPr>
                <w:b/>
                <w:bCs/>
              </w:rPr>
            </w:pPr>
            <w:r w:rsidRPr="001F4D3E">
              <w:rPr>
                <w:lang w:val="en-AU"/>
              </w:rPr>
              <w:t>Revoking eligibility for an assessment: deciding to cancel an older person’s eligibility for an assessment</w:t>
            </w:r>
          </w:p>
        </w:tc>
        <w:tc>
          <w:tcPr>
            <w:tcW w:w="2254" w:type="dxa"/>
          </w:tcPr>
          <w:p w14:paraId="65A83B7D" w14:textId="77777777" w:rsidR="006B4161" w:rsidRDefault="006B4161" w:rsidP="00622CFF">
            <w:pPr>
              <w:spacing w:before="240" w:after="240"/>
              <w:rPr>
                <w:b/>
                <w:bCs/>
              </w:rPr>
            </w:pPr>
            <w:r>
              <w:rPr>
                <w:lang w:val="en-AU"/>
              </w:rPr>
              <w:t>The individual</w:t>
            </w:r>
          </w:p>
        </w:tc>
      </w:tr>
      <w:tr w:rsidR="006B4161" w14:paraId="4A3E11CE" w14:textId="77777777">
        <w:tc>
          <w:tcPr>
            <w:tcW w:w="2253" w:type="dxa"/>
            <w:shd w:val="clear" w:color="auto" w:fill="002060"/>
          </w:tcPr>
          <w:p w14:paraId="30BFEC80" w14:textId="77777777" w:rsidR="006B4161" w:rsidRDefault="006B4161" w:rsidP="00622CFF">
            <w:pPr>
              <w:spacing w:before="240" w:after="240"/>
              <w:rPr>
                <w:b/>
                <w:bCs/>
              </w:rPr>
            </w:pPr>
            <w:r>
              <w:rPr>
                <w:b/>
                <w:bCs/>
              </w:rPr>
              <w:t>15</w:t>
            </w:r>
          </w:p>
        </w:tc>
        <w:tc>
          <w:tcPr>
            <w:tcW w:w="2254" w:type="dxa"/>
          </w:tcPr>
          <w:p w14:paraId="4DE0AB3D" w14:textId="77777777" w:rsidR="006B4161" w:rsidRDefault="006B4161" w:rsidP="00622CFF">
            <w:pPr>
              <w:spacing w:before="240" w:after="240"/>
              <w:rPr>
                <w:b/>
                <w:bCs/>
              </w:rPr>
            </w:pPr>
            <w:r w:rsidRPr="00461E2A">
              <w:rPr>
                <w:lang w:val="en-AU"/>
              </w:rPr>
              <w:t>A decision under subsection 74(1) to revoke an access approval for an individual</w:t>
            </w:r>
          </w:p>
        </w:tc>
        <w:tc>
          <w:tcPr>
            <w:tcW w:w="2255" w:type="dxa"/>
          </w:tcPr>
          <w:p w14:paraId="3F16319B" w14:textId="77777777" w:rsidR="006B4161" w:rsidRDefault="006B4161" w:rsidP="00622CFF">
            <w:pPr>
              <w:spacing w:before="240" w:after="240"/>
              <w:rPr>
                <w:b/>
                <w:bCs/>
              </w:rPr>
            </w:pPr>
            <w:r w:rsidRPr="00461E2A">
              <w:rPr>
                <w:lang w:val="en-AU"/>
              </w:rPr>
              <w:t>Revoking eligibility for aged care: Deciding to cancel an older person’s eligibility for aged care services</w:t>
            </w:r>
          </w:p>
        </w:tc>
        <w:tc>
          <w:tcPr>
            <w:tcW w:w="2254" w:type="dxa"/>
          </w:tcPr>
          <w:p w14:paraId="5179D71B" w14:textId="77777777" w:rsidR="006B4161" w:rsidRDefault="006B4161" w:rsidP="00622CFF">
            <w:pPr>
              <w:spacing w:before="240" w:after="240"/>
              <w:rPr>
                <w:b/>
                <w:bCs/>
              </w:rPr>
            </w:pPr>
            <w:r w:rsidRPr="00461E2A">
              <w:rPr>
                <w:lang w:val="en-AU"/>
              </w:rPr>
              <w:t>The individual (the older person)</w:t>
            </w:r>
          </w:p>
        </w:tc>
      </w:tr>
      <w:tr w:rsidR="006B4161" w14:paraId="0E6A8C45" w14:textId="77777777">
        <w:tc>
          <w:tcPr>
            <w:tcW w:w="2253" w:type="dxa"/>
            <w:shd w:val="clear" w:color="auto" w:fill="002060"/>
          </w:tcPr>
          <w:p w14:paraId="4A3DF45C" w14:textId="77777777" w:rsidR="006B4161" w:rsidRDefault="006B4161" w:rsidP="00622CFF">
            <w:pPr>
              <w:spacing w:before="240" w:after="240"/>
              <w:rPr>
                <w:b/>
                <w:bCs/>
              </w:rPr>
            </w:pPr>
            <w:r>
              <w:rPr>
                <w:b/>
                <w:bCs/>
              </w:rPr>
              <w:t>16</w:t>
            </w:r>
          </w:p>
        </w:tc>
        <w:tc>
          <w:tcPr>
            <w:tcW w:w="2254" w:type="dxa"/>
          </w:tcPr>
          <w:p w14:paraId="45D4562C" w14:textId="77777777" w:rsidR="006B4161" w:rsidRDefault="006B4161" w:rsidP="00622CFF">
            <w:pPr>
              <w:spacing w:before="240" w:after="240"/>
              <w:rPr>
                <w:b/>
                <w:bCs/>
              </w:rPr>
            </w:pPr>
            <w:r w:rsidRPr="001F4D3E">
              <w:rPr>
                <w:lang w:val="en-AU"/>
              </w:rPr>
              <w:t>A decision under subsection 78(1) to establish a classification level for an individual for a classification type for a service group</w:t>
            </w:r>
          </w:p>
        </w:tc>
        <w:tc>
          <w:tcPr>
            <w:tcW w:w="2255" w:type="dxa"/>
          </w:tcPr>
          <w:p w14:paraId="7DFAAD46" w14:textId="77777777" w:rsidR="006B4161" w:rsidRDefault="006B4161" w:rsidP="00622CFF">
            <w:pPr>
              <w:spacing w:before="240" w:after="240"/>
              <w:rPr>
                <w:b/>
                <w:bCs/>
              </w:rPr>
            </w:pPr>
            <w:r w:rsidRPr="001F4D3E">
              <w:rPr>
                <w:lang w:val="en-AU"/>
              </w:rPr>
              <w:t>Setting a classification level: Deciding on a classification level for an older person for a specific classification type in a service group</w:t>
            </w:r>
          </w:p>
        </w:tc>
        <w:tc>
          <w:tcPr>
            <w:tcW w:w="2254" w:type="dxa"/>
          </w:tcPr>
          <w:p w14:paraId="14D647B9" w14:textId="77777777" w:rsidR="006B4161" w:rsidRPr="009D0EDE" w:rsidRDefault="006B4161" w:rsidP="00622CFF">
            <w:pPr>
              <w:spacing w:before="240" w:after="240"/>
              <w:rPr>
                <w:lang w:val="en-AU"/>
              </w:rPr>
            </w:pPr>
            <w:r w:rsidRPr="009D0EDE">
              <w:rPr>
                <w:lang w:val="en-AU"/>
              </w:rPr>
              <w:t>Each of the following:</w:t>
            </w:r>
          </w:p>
          <w:p w14:paraId="7B8A5042" w14:textId="77777777" w:rsidR="006B4161" w:rsidRPr="009D0EDE" w:rsidRDefault="006B4161" w:rsidP="00622CFF">
            <w:pPr>
              <w:spacing w:before="240" w:after="240"/>
              <w:rPr>
                <w:lang w:val="en-AU"/>
              </w:rPr>
            </w:pPr>
            <w:r w:rsidRPr="009D0EDE">
              <w:rPr>
                <w:lang w:val="en-AU"/>
              </w:rPr>
              <w:t>(a) the individual;</w:t>
            </w:r>
          </w:p>
          <w:p w14:paraId="0435DBD5" w14:textId="77777777" w:rsidR="006B4161" w:rsidRPr="009D0EDE" w:rsidRDefault="006B4161" w:rsidP="00622CFF">
            <w:pPr>
              <w:spacing w:before="240" w:after="240"/>
              <w:rPr>
                <w:lang w:val="en-AU"/>
              </w:rPr>
            </w:pPr>
            <w:r w:rsidRPr="009D0EDE">
              <w:rPr>
                <w:lang w:val="en-AU"/>
              </w:rPr>
              <w:t>(b) if a copy of the notice of the decision is required to be given to a registered provider under subsection 79(3)—the registered provider</w:t>
            </w:r>
          </w:p>
          <w:p w14:paraId="213F2491" w14:textId="77777777" w:rsidR="006B4161" w:rsidRDefault="006B4161" w:rsidP="00622CFF">
            <w:pPr>
              <w:spacing w:before="240" w:after="240"/>
              <w:rPr>
                <w:b/>
                <w:bCs/>
              </w:rPr>
            </w:pPr>
          </w:p>
        </w:tc>
      </w:tr>
      <w:tr w:rsidR="006B4161" w14:paraId="78FA5F7A" w14:textId="77777777">
        <w:tc>
          <w:tcPr>
            <w:tcW w:w="2253" w:type="dxa"/>
            <w:shd w:val="clear" w:color="auto" w:fill="002060"/>
          </w:tcPr>
          <w:p w14:paraId="2893F262" w14:textId="77777777" w:rsidR="006B4161" w:rsidRDefault="006B4161" w:rsidP="00622CFF">
            <w:pPr>
              <w:spacing w:before="240" w:after="240"/>
              <w:rPr>
                <w:b/>
                <w:bCs/>
              </w:rPr>
            </w:pPr>
            <w:r>
              <w:rPr>
                <w:b/>
                <w:bCs/>
              </w:rPr>
              <w:t>17</w:t>
            </w:r>
          </w:p>
        </w:tc>
        <w:tc>
          <w:tcPr>
            <w:tcW w:w="2254" w:type="dxa"/>
          </w:tcPr>
          <w:p w14:paraId="4EC65FBC" w14:textId="77777777" w:rsidR="006B4161" w:rsidRDefault="006B4161" w:rsidP="00622CFF">
            <w:pPr>
              <w:spacing w:before="240" w:after="240"/>
              <w:rPr>
                <w:b/>
                <w:bCs/>
              </w:rPr>
            </w:pPr>
            <w:r w:rsidRPr="001F4D3E">
              <w:rPr>
                <w:lang w:val="en-AU"/>
              </w:rPr>
              <w:t>A decision under subsection 83(1) to change a classification decision (the original decision) for an individual</w:t>
            </w:r>
          </w:p>
        </w:tc>
        <w:tc>
          <w:tcPr>
            <w:tcW w:w="2255" w:type="dxa"/>
          </w:tcPr>
          <w:p w14:paraId="2B5389BD" w14:textId="77777777" w:rsidR="006B4161" w:rsidRDefault="006B4161" w:rsidP="00622CFF">
            <w:pPr>
              <w:spacing w:before="240" w:after="240"/>
              <w:rPr>
                <w:b/>
                <w:bCs/>
              </w:rPr>
            </w:pPr>
            <w:r w:rsidRPr="001F4D3E">
              <w:rPr>
                <w:lang w:val="en-AU"/>
              </w:rPr>
              <w:t>Changing a classification decision: Deciding to change a previous classification decision for an older person</w:t>
            </w:r>
          </w:p>
        </w:tc>
        <w:tc>
          <w:tcPr>
            <w:tcW w:w="2254" w:type="dxa"/>
          </w:tcPr>
          <w:p w14:paraId="3ED7D45A" w14:textId="77777777" w:rsidR="006B4161" w:rsidRDefault="006B4161" w:rsidP="00622CFF">
            <w:pPr>
              <w:spacing w:before="240" w:after="240"/>
              <w:rPr>
                <w:b/>
                <w:bCs/>
              </w:rPr>
            </w:pPr>
            <w:r w:rsidRPr="009D0EDE">
              <w:t>Each affected entity for the original decision</w:t>
            </w:r>
          </w:p>
        </w:tc>
      </w:tr>
      <w:tr w:rsidR="006B4161" w14:paraId="3419A1AA" w14:textId="77777777">
        <w:tc>
          <w:tcPr>
            <w:tcW w:w="2253" w:type="dxa"/>
            <w:shd w:val="clear" w:color="auto" w:fill="002060"/>
          </w:tcPr>
          <w:p w14:paraId="382DC2E8" w14:textId="77777777" w:rsidR="006B4161" w:rsidRDefault="006B4161" w:rsidP="00622CFF">
            <w:pPr>
              <w:spacing w:before="240" w:after="240"/>
              <w:rPr>
                <w:b/>
                <w:bCs/>
              </w:rPr>
            </w:pPr>
            <w:r>
              <w:rPr>
                <w:b/>
                <w:bCs/>
              </w:rPr>
              <w:t>18</w:t>
            </w:r>
          </w:p>
        </w:tc>
        <w:tc>
          <w:tcPr>
            <w:tcW w:w="2254" w:type="dxa"/>
          </w:tcPr>
          <w:p w14:paraId="4E9B1439" w14:textId="77777777" w:rsidR="006B4161" w:rsidRDefault="006B4161" w:rsidP="00622CFF">
            <w:pPr>
              <w:spacing w:before="240" w:after="240"/>
              <w:rPr>
                <w:b/>
                <w:bCs/>
              </w:rPr>
            </w:pPr>
            <w:r w:rsidRPr="001F4D3E">
              <w:rPr>
                <w:lang w:val="en-AU"/>
              </w:rPr>
              <w:t>A decision under subsection 86(1) to assign a priority category for a classification type for a service group</w:t>
            </w:r>
          </w:p>
        </w:tc>
        <w:tc>
          <w:tcPr>
            <w:tcW w:w="2255" w:type="dxa"/>
          </w:tcPr>
          <w:p w14:paraId="2E63B5A9" w14:textId="77777777" w:rsidR="006B4161" w:rsidRDefault="006B4161" w:rsidP="00622CFF">
            <w:pPr>
              <w:spacing w:before="240" w:after="240"/>
              <w:rPr>
                <w:b/>
                <w:bCs/>
              </w:rPr>
            </w:pPr>
            <w:r w:rsidRPr="001F4D3E">
              <w:rPr>
                <w:lang w:val="en-AU"/>
              </w:rPr>
              <w:t>Assigning a priority category: Deciding on a priority level for an older person for a specific service group</w:t>
            </w:r>
          </w:p>
        </w:tc>
        <w:tc>
          <w:tcPr>
            <w:tcW w:w="2254" w:type="dxa"/>
          </w:tcPr>
          <w:p w14:paraId="423CDDE6" w14:textId="77777777" w:rsidR="006B4161" w:rsidRDefault="006B4161" w:rsidP="00622CFF">
            <w:pPr>
              <w:spacing w:before="240" w:after="240"/>
              <w:rPr>
                <w:b/>
                <w:bCs/>
              </w:rPr>
            </w:pPr>
            <w:r>
              <w:rPr>
                <w:lang w:val="en-AU"/>
              </w:rPr>
              <w:t>The individual</w:t>
            </w:r>
          </w:p>
        </w:tc>
      </w:tr>
      <w:tr w:rsidR="006B4161" w14:paraId="6AD76A6E" w14:textId="77777777">
        <w:tc>
          <w:tcPr>
            <w:tcW w:w="2253" w:type="dxa"/>
            <w:shd w:val="clear" w:color="auto" w:fill="002060"/>
          </w:tcPr>
          <w:p w14:paraId="565BB9D1" w14:textId="77777777" w:rsidR="006B4161" w:rsidRDefault="006B4161" w:rsidP="00622CFF">
            <w:pPr>
              <w:spacing w:before="240" w:after="240"/>
              <w:rPr>
                <w:b/>
                <w:bCs/>
              </w:rPr>
            </w:pPr>
            <w:r>
              <w:rPr>
                <w:b/>
                <w:bCs/>
              </w:rPr>
              <w:t>19</w:t>
            </w:r>
          </w:p>
        </w:tc>
        <w:tc>
          <w:tcPr>
            <w:tcW w:w="2254" w:type="dxa"/>
          </w:tcPr>
          <w:p w14:paraId="17F47692" w14:textId="77777777" w:rsidR="006B4161" w:rsidRDefault="006B4161" w:rsidP="00622CFF">
            <w:pPr>
              <w:spacing w:before="240" w:after="240"/>
              <w:rPr>
                <w:b/>
                <w:bCs/>
              </w:rPr>
            </w:pPr>
            <w:r w:rsidRPr="00461E2A">
              <w:rPr>
                <w:lang w:val="en-AU"/>
              </w:rPr>
              <w:t>A decision under subsection 90(1) to change a decision about an individual’s priority category for a classification type for a service group</w:t>
            </w:r>
          </w:p>
        </w:tc>
        <w:tc>
          <w:tcPr>
            <w:tcW w:w="2255" w:type="dxa"/>
          </w:tcPr>
          <w:p w14:paraId="18758B3E" w14:textId="77777777" w:rsidR="006B4161" w:rsidRDefault="006B4161" w:rsidP="00622CFF">
            <w:pPr>
              <w:spacing w:before="240" w:after="240"/>
              <w:rPr>
                <w:b/>
                <w:bCs/>
              </w:rPr>
            </w:pPr>
            <w:r w:rsidRPr="00461E2A">
              <w:rPr>
                <w:lang w:val="en-AU"/>
              </w:rPr>
              <w:t>Changing a priority category: Deciding to change an older person’s priority level for a specific classification type for a service group</w:t>
            </w:r>
          </w:p>
        </w:tc>
        <w:tc>
          <w:tcPr>
            <w:tcW w:w="2254" w:type="dxa"/>
          </w:tcPr>
          <w:p w14:paraId="706B98F2" w14:textId="77777777" w:rsidR="006B4161" w:rsidRDefault="006B4161" w:rsidP="00622CFF">
            <w:pPr>
              <w:spacing w:before="240" w:after="240"/>
              <w:rPr>
                <w:b/>
                <w:bCs/>
              </w:rPr>
            </w:pPr>
            <w:r w:rsidRPr="00461E2A">
              <w:rPr>
                <w:lang w:val="en-AU"/>
              </w:rPr>
              <w:t>The individual (the older person)</w:t>
            </w:r>
          </w:p>
        </w:tc>
      </w:tr>
    </w:tbl>
    <w:p w14:paraId="60B5C3BB" w14:textId="29EE1172" w:rsidR="00D95FB3" w:rsidRDefault="00D95FB3" w:rsidP="00D95FB3">
      <w:bookmarkStart w:id="903" w:name="_Toc204329601"/>
      <w:bookmarkStart w:id="904" w:name="_Toc209189045"/>
    </w:p>
    <w:p w14:paraId="04A0DA94" w14:textId="427C64C1" w:rsidR="00D95FB3" w:rsidRDefault="00D95FB3" w:rsidP="00441859">
      <w:r>
        <w:br w:type="page"/>
      </w:r>
    </w:p>
    <w:p w14:paraId="651AFB2A" w14:textId="4B6A121A" w:rsidR="006B4161" w:rsidRDefault="006B4161" w:rsidP="00507F9D">
      <w:pPr>
        <w:pStyle w:val="h2"/>
      </w:pPr>
      <w:bookmarkStart w:id="905" w:name="_Toc224916699"/>
      <w:r>
        <w:t>Reconsiderations process</w:t>
      </w:r>
      <w:bookmarkEnd w:id="903"/>
      <w:bookmarkEnd w:id="904"/>
      <w:bookmarkEnd w:id="905"/>
      <w:r>
        <w:t xml:space="preserve"> </w:t>
      </w:r>
    </w:p>
    <w:p w14:paraId="5722682D" w14:textId="4E944BB7" w:rsidR="006B4161" w:rsidRDefault="006B4161" w:rsidP="00622CFF">
      <w:pPr>
        <w:spacing w:before="240" w:after="240" w:line="240" w:lineRule="auto"/>
      </w:pPr>
      <w:r w:rsidRPr="004113F6">
        <w:t xml:space="preserve">If an affected entity is not satisfied with a decision that is reviewable under the </w:t>
      </w:r>
      <w:r w:rsidR="003A04B6">
        <w:t xml:space="preserve">Aged Care </w:t>
      </w:r>
      <w:r w:rsidRPr="004113F6">
        <w:t>Act</w:t>
      </w:r>
      <w:r w:rsidR="003A04B6">
        <w:t xml:space="preserve"> 2024 (the Act)</w:t>
      </w:r>
      <w:r w:rsidRPr="004113F6">
        <w:t xml:space="preserve">, they are encouraged to </w:t>
      </w:r>
      <w:r>
        <w:t xml:space="preserve">first </w:t>
      </w:r>
      <w:r w:rsidRPr="004113F6">
        <w:t>contact their assessment organisation to discuss their concerns</w:t>
      </w:r>
      <w:r>
        <w:t xml:space="preserve"> in the first instance</w:t>
      </w:r>
      <w:r w:rsidRPr="004113F6">
        <w:t xml:space="preserve">. </w:t>
      </w:r>
      <w:r>
        <w:t>The affected party may also s</w:t>
      </w:r>
      <w:r w:rsidRPr="004113F6">
        <w:t>ubmit a</w:t>
      </w:r>
      <w:r>
        <w:t xml:space="preserve"> written</w:t>
      </w:r>
      <w:r w:rsidRPr="004113F6">
        <w:t> </w:t>
      </w:r>
      <w:r w:rsidRPr="004113F6">
        <w:rPr>
          <w:b/>
          <w:bCs/>
        </w:rPr>
        <w:t>reconsideration request within 28 days</w:t>
      </w:r>
      <w:r w:rsidRPr="004113F6">
        <w:t> of receiving the decision notice</w:t>
      </w:r>
      <w:r>
        <w:t>:</w:t>
      </w:r>
    </w:p>
    <w:p w14:paraId="67525A71" w14:textId="00DDF5BF" w:rsidR="00504986" w:rsidRDefault="00504986" w:rsidP="00622CFF">
      <w:pPr>
        <w:spacing w:before="240" w:after="240" w:line="240" w:lineRule="auto"/>
      </w:pPr>
      <w:r>
        <w:tab/>
        <w:t>By Email:</w:t>
      </w:r>
    </w:p>
    <w:p w14:paraId="70130300" w14:textId="2F706426" w:rsidR="00922437" w:rsidRDefault="00922437" w:rsidP="00622CFF">
      <w:pPr>
        <w:spacing w:before="240" w:after="240" w:line="240" w:lineRule="auto"/>
      </w:pPr>
      <w:r>
        <w:tab/>
      </w:r>
      <w:hyperlink r:id="rId253" w:history="1">
        <w:r w:rsidRPr="005C63B7">
          <w:rPr>
            <w:rStyle w:val="Hyperlink"/>
          </w:rPr>
          <w:t>agedcarereviews@health.gov.au</w:t>
        </w:r>
      </w:hyperlink>
    </w:p>
    <w:p w14:paraId="56F38C69" w14:textId="29F9C3AB" w:rsidR="00922437" w:rsidRDefault="00922437" w:rsidP="00622CFF">
      <w:pPr>
        <w:spacing w:before="240" w:after="240" w:line="240" w:lineRule="auto"/>
      </w:pPr>
      <w:r>
        <w:tab/>
        <w:t>By Post:</w:t>
      </w:r>
    </w:p>
    <w:p w14:paraId="5E037218" w14:textId="77777777" w:rsidR="006B4161" w:rsidRPr="00241EC2" w:rsidRDefault="006B4161" w:rsidP="0062103D">
      <w:pPr>
        <w:spacing w:after="0" w:line="240" w:lineRule="auto"/>
        <w:ind w:left="720"/>
      </w:pPr>
      <w:r w:rsidRPr="00241EC2">
        <w:t xml:space="preserve">The System Governor </w:t>
      </w:r>
    </w:p>
    <w:p w14:paraId="453CE433" w14:textId="77777777" w:rsidR="006B4161" w:rsidRPr="00241EC2" w:rsidRDefault="006B4161" w:rsidP="0062103D">
      <w:pPr>
        <w:spacing w:after="0" w:line="240" w:lineRule="auto"/>
        <w:ind w:left="720"/>
      </w:pPr>
      <w:r w:rsidRPr="00241EC2">
        <w:t>Department of Health</w:t>
      </w:r>
      <w:r>
        <w:t>, Disability</w:t>
      </w:r>
      <w:r w:rsidRPr="00241EC2">
        <w:t xml:space="preserve"> and </w:t>
      </w:r>
      <w:r>
        <w:t xml:space="preserve">Ageing </w:t>
      </w:r>
      <w:r w:rsidRPr="00241EC2">
        <w:t xml:space="preserve"> </w:t>
      </w:r>
    </w:p>
    <w:p w14:paraId="4C0B5E6E" w14:textId="77777777" w:rsidR="006B4161" w:rsidRPr="00241EC2" w:rsidRDefault="006B4161" w:rsidP="0062103D">
      <w:pPr>
        <w:spacing w:after="0" w:line="240" w:lineRule="auto"/>
        <w:ind w:left="720"/>
      </w:pPr>
      <w:r w:rsidRPr="00241EC2">
        <w:t xml:space="preserve">Attn: </w:t>
      </w:r>
      <w:r>
        <w:t xml:space="preserve">Review of Decisions Section </w:t>
      </w:r>
    </w:p>
    <w:p w14:paraId="6B327CFF" w14:textId="77777777" w:rsidR="006B4161" w:rsidRPr="00241EC2" w:rsidRDefault="006B4161" w:rsidP="0062103D">
      <w:pPr>
        <w:spacing w:after="0" w:line="240" w:lineRule="auto"/>
        <w:ind w:left="720"/>
      </w:pPr>
      <w:r w:rsidRPr="00241EC2">
        <w:t xml:space="preserve">GPO Box 9848 </w:t>
      </w:r>
    </w:p>
    <w:p w14:paraId="0AF23714" w14:textId="77777777" w:rsidR="006B4161" w:rsidRDefault="006B4161" w:rsidP="0062103D">
      <w:pPr>
        <w:spacing w:after="0" w:line="240" w:lineRule="auto"/>
        <w:ind w:left="720"/>
      </w:pPr>
      <w:r w:rsidRPr="00241EC2">
        <w:t xml:space="preserve">ADELAIDE SA 5001 </w:t>
      </w:r>
    </w:p>
    <w:p w14:paraId="0937B83C" w14:textId="655240EA" w:rsidR="006B4161" w:rsidRPr="004113F6" w:rsidRDefault="006B4161" w:rsidP="00622CFF">
      <w:pPr>
        <w:spacing w:before="240" w:after="240" w:line="240" w:lineRule="auto"/>
      </w:pPr>
      <w:r>
        <w:t xml:space="preserve">This request must set out reasons why they are seeking </w:t>
      </w:r>
      <w:r w:rsidR="008D2339">
        <w:t xml:space="preserve">a </w:t>
      </w:r>
      <w:r>
        <w:t xml:space="preserve">review. The System Governor can allow further time for someone to make a request for reconsideration (see </w:t>
      </w:r>
      <w:r w:rsidR="003A04B6">
        <w:t>sub</w:t>
      </w:r>
      <w:r>
        <w:t>section 559(3)(c) of the Act.)</w:t>
      </w:r>
    </w:p>
    <w:p w14:paraId="39A39197" w14:textId="77777777" w:rsidR="006B4161" w:rsidRPr="0044611E" w:rsidRDefault="006B4161" w:rsidP="00622CFF">
      <w:pPr>
        <w:spacing w:before="240" w:after="240" w:line="240" w:lineRule="auto"/>
        <w:rPr>
          <w:lang w:val="en-AU"/>
        </w:rPr>
      </w:pPr>
      <w:r w:rsidRPr="004113F6">
        <w:t xml:space="preserve">The reconsideration will be conducted by </w:t>
      </w:r>
      <w:r>
        <w:t>an</w:t>
      </w:r>
      <w:r w:rsidRPr="004113F6">
        <w:t xml:space="preserve"> </w:t>
      </w:r>
      <w:r>
        <w:t>internal decision</w:t>
      </w:r>
      <w:r w:rsidRPr="004113F6">
        <w:t xml:space="preserve"> reviewer who is different from the original decision-maker</w:t>
      </w:r>
      <w:r>
        <w:t xml:space="preserve">, </w:t>
      </w:r>
      <w:r w:rsidRPr="004113F6">
        <w:t xml:space="preserve">holds equal or higher </w:t>
      </w:r>
      <w:r>
        <w:t>position and was not involved in the making of the original decision</w:t>
      </w:r>
      <w:r w:rsidRPr="004113F6">
        <w:t xml:space="preserve">. </w:t>
      </w:r>
    </w:p>
    <w:p w14:paraId="531525BF" w14:textId="112D88F4" w:rsidR="006B4161" w:rsidRPr="0044611E" w:rsidRDefault="006B4161" w:rsidP="00622CFF">
      <w:pPr>
        <w:spacing w:before="240" w:after="240" w:line="240" w:lineRule="auto"/>
        <w:rPr>
          <w:lang w:val="en-AU"/>
        </w:rPr>
      </w:pPr>
      <w:r w:rsidRPr="0044611E">
        <w:rPr>
          <w:lang w:val="en-AU"/>
        </w:rPr>
        <w:t xml:space="preserve">The internal decision reviewer </w:t>
      </w:r>
      <w:r>
        <w:rPr>
          <w:lang w:val="en-AU"/>
        </w:rPr>
        <w:t>will be</w:t>
      </w:r>
      <w:r w:rsidRPr="0044611E">
        <w:rPr>
          <w:lang w:val="en-AU"/>
        </w:rPr>
        <w:t xml:space="preserve"> a departmental delegate </w:t>
      </w:r>
      <w:r>
        <w:rPr>
          <w:lang w:val="en-AU"/>
        </w:rPr>
        <w:t xml:space="preserve">of the System Governor </w:t>
      </w:r>
      <w:r w:rsidRPr="0044611E">
        <w:rPr>
          <w:lang w:val="en-AU"/>
        </w:rPr>
        <w:t xml:space="preserve">and will carry out a comprehensive administrative review of the original </w:t>
      </w:r>
      <w:r w:rsidR="00CD5993">
        <w:rPr>
          <w:lang w:val="en-AU"/>
        </w:rPr>
        <w:t>a</w:t>
      </w:r>
      <w:r w:rsidR="00CD5993" w:rsidRPr="0044611E">
        <w:rPr>
          <w:lang w:val="en-AU"/>
        </w:rPr>
        <w:t xml:space="preserve">ssessment </w:t>
      </w:r>
      <w:r w:rsidR="00CD5993">
        <w:rPr>
          <w:lang w:val="en-AU"/>
        </w:rPr>
        <w:t>o</w:t>
      </w:r>
      <w:r w:rsidR="00CD5993" w:rsidRPr="0044611E">
        <w:rPr>
          <w:lang w:val="en-AU"/>
        </w:rPr>
        <w:t>rganisation</w:t>
      </w:r>
      <w:r w:rsidR="00CD5993">
        <w:rPr>
          <w:lang w:val="en-AU"/>
        </w:rPr>
        <w:t>’s</w:t>
      </w:r>
      <w:r w:rsidRPr="0044611E">
        <w:rPr>
          <w:lang w:val="en-AU"/>
        </w:rPr>
        <w:t xml:space="preserve"> decision.</w:t>
      </w:r>
    </w:p>
    <w:p w14:paraId="6D55ECB2" w14:textId="77777777" w:rsidR="006B4161" w:rsidRPr="00167C4F" w:rsidRDefault="006B4161" w:rsidP="00622CFF">
      <w:pPr>
        <w:spacing w:before="240" w:after="240" w:line="240" w:lineRule="auto"/>
      </w:pPr>
      <w:r w:rsidRPr="004113F6">
        <w:t>They will consider all relevant information</w:t>
      </w:r>
      <w:r>
        <w:t>, including</w:t>
      </w:r>
      <w:r w:rsidRPr="004113F6">
        <w:t xml:space="preserve"> </w:t>
      </w:r>
      <w:r>
        <w:t>new</w:t>
      </w:r>
      <w:r w:rsidRPr="004113F6">
        <w:t xml:space="preserve"> evidence </w:t>
      </w:r>
      <w:r>
        <w:t xml:space="preserve">from third parties </w:t>
      </w:r>
      <w:r w:rsidRPr="004113F6">
        <w:t>before making a determination.</w:t>
      </w:r>
      <w:r w:rsidRPr="00167C4F">
        <w:t xml:space="preserve"> They must also, within 14 days of receiving the request, provide the affected entity written notice that the request has been received and when it was received. The notice must also set out that if the internal reviewer has not provided notice of their decision within 90 days of receiving a request, the original decision has been affirmed.</w:t>
      </w:r>
    </w:p>
    <w:p w14:paraId="1466607A" w14:textId="77777777" w:rsidR="006B4161" w:rsidRPr="004113F6" w:rsidRDefault="006B4161" w:rsidP="00622CFF">
      <w:pPr>
        <w:spacing w:before="240" w:after="240" w:line="240" w:lineRule="auto"/>
      </w:pPr>
      <w:r w:rsidRPr="004113F6">
        <w:t xml:space="preserve">The internal </w:t>
      </w:r>
      <w:r>
        <w:t xml:space="preserve">decision </w:t>
      </w:r>
      <w:r w:rsidRPr="004113F6">
        <w:t>reviewer must make a decision within </w:t>
      </w:r>
      <w:r w:rsidRPr="004113F6">
        <w:rPr>
          <w:b/>
          <w:bCs/>
        </w:rPr>
        <w:t>90 days</w:t>
      </w:r>
      <w:r>
        <w:rPr>
          <w:b/>
          <w:bCs/>
        </w:rPr>
        <w:t xml:space="preserve"> </w:t>
      </w:r>
      <w:r w:rsidRPr="001E4A19">
        <w:t>after receiving the request</w:t>
      </w:r>
      <w:r w:rsidRPr="004113F6">
        <w:t>. They may:</w:t>
      </w:r>
    </w:p>
    <w:p w14:paraId="368FECE1" w14:textId="77777777" w:rsidR="006B4161" w:rsidRPr="004113F6" w:rsidRDefault="006B4161" w:rsidP="00DF3F6B">
      <w:pPr>
        <w:pStyle w:val="ListParagraph"/>
        <w:numPr>
          <w:ilvl w:val="0"/>
          <w:numId w:val="348"/>
        </w:numPr>
        <w:spacing w:before="240" w:after="240" w:line="240" w:lineRule="auto"/>
      </w:pPr>
      <w:r w:rsidRPr="004113F6">
        <w:t xml:space="preserve">Affirm the original </w:t>
      </w:r>
      <w:r>
        <w:t xml:space="preserve">reviewable </w:t>
      </w:r>
      <w:r w:rsidRPr="004113F6">
        <w:t>decision.</w:t>
      </w:r>
    </w:p>
    <w:p w14:paraId="4A7F554B" w14:textId="77777777" w:rsidR="006B4161" w:rsidRPr="004113F6" w:rsidRDefault="006B4161" w:rsidP="00DF3F6B">
      <w:pPr>
        <w:pStyle w:val="ListParagraph"/>
        <w:numPr>
          <w:ilvl w:val="0"/>
          <w:numId w:val="348"/>
        </w:numPr>
        <w:spacing w:before="240" w:after="240" w:line="240" w:lineRule="auto"/>
      </w:pPr>
      <w:r>
        <w:t xml:space="preserve">Vary </w:t>
      </w:r>
      <w:r w:rsidRPr="004113F6">
        <w:t xml:space="preserve">the original </w:t>
      </w:r>
      <w:r>
        <w:t>reviewable</w:t>
      </w:r>
      <w:r w:rsidRPr="004113F6">
        <w:t xml:space="preserve"> decision.</w:t>
      </w:r>
    </w:p>
    <w:p w14:paraId="11F80B1F" w14:textId="77777777" w:rsidR="006B4161" w:rsidRPr="004113F6" w:rsidRDefault="006B4161" w:rsidP="00DF3F6B">
      <w:pPr>
        <w:pStyle w:val="ListParagraph"/>
        <w:numPr>
          <w:ilvl w:val="0"/>
          <w:numId w:val="348"/>
        </w:numPr>
        <w:spacing w:before="240" w:after="240" w:line="240" w:lineRule="auto"/>
      </w:pPr>
      <w:r>
        <w:t>Set the reviewable decision aside and m</w:t>
      </w:r>
      <w:r w:rsidRPr="004113F6">
        <w:t>ake a new decision.</w:t>
      </w:r>
    </w:p>
    <w:p w14:paraId="73CF54D0" w14:textId="77777777" w:rsidR="006B4161" w:rsidRPr="00F2643B" w:rsidRDefault="006B4161" w:rsidP="00622CFF">
      <w:pPr>
        <w:spacing w:before="240" w:after="240" w:line="240" w:lineRule="auto"/>
        <w:contextualSpacing/>
      </w:pPr>
      <w:r w:rsidRPr="00F2643B">
        <w:t>After making their decision, the internal decision reviewer must give written notice of the following to each affected entity for the reviewable decision:</w:t>
      </w:r>
    </w:p>
    <w:p w14:paraId="73F5A45F" w14:textId="77777777" w:rsidR="006B4161" w:rsidRPr="00F2643B" w:rsidRDefault="006B4161" w:rsidP="00DF3F6B">
      <w:pPr>
        <w:pStyle w:val="ListParagraph"/>
        <w:numPr>
          <w:ilvl w:val="0"/>
          <w:numId w:val="349"/>
        </w:numPr>
        <w:spacing w:before="240" w:after="240" w:line="240" w:lineRule="auto"/>
      </w:pPr>
      <w:r w:rsidRPr="00F2643B">
        <w:t>the reconsideration decision;</w:t>
      </w:r>
    </w:p>
    <w:p w14:paraId="31AFD79C" w14:textId="77777777" w:rsidR="006B4161" w:rsidRPr="00F2643B" w:rsidRDefault="006B4161" w:rsidP="00DF3F6B">
      <w:pPr>
        <w:pStyle w:val="ListParagraph"/>
        <w:numPr>
          <w:ilvl w:val="0"/>
          <w:numId w:val="349"/>
        </w:numPr>
        <w:spacing w:before="240" w:after="240" w:line="240" w:lineRule="auto"/>
      </w:pPr>
      <w:r w:rsidRPr="00F2643B">
        <w:t xml:space="preserve">the day the reconsideration decision was made; </w:t>
      </w:r>
    </w:p>
    <w:p w14:paraId="41EF4254" w14:textId="77777777" w:rsidR="006B4161" w:rsidRPr="00F2643B" w:rsidRDefault="006B4161" w:rsidP="00DF3F6B">
      <w:pPr>
        <w:pStyle w:val="ListParagraph"/>
        <w:numPr>
          <w:ilvl w:val="0"/>
          <w:numId w:val="349"/>
        </w:numPr>
        <w:spacing w:before="240" w:after="240" w:line="240" w:lineRule="auto"/>
      </w:pPr>
      <w:r w:rsidRPr="00F2643B">
        <w:t xml:space="preserve">the reasons for the reconsideration decision; </w:t>
      </w:r>
    </w:p>
    <w:p w14:paraId="12D0755F" w14:textId="77777777" w:rsidR="006B4161" w:rsidRPr="00F2643B" w:rsidRDefault="006B4161" w:rsidP="00DF3F6B">
      <w:pPr>
        <w:pStyle w:val="ListParagraph"/>
        <w:numPr>
          <w:ilvl w:val="0"/>
          <w:numId w:val="349"/>
        </w:numPr>
        <w:spacing w:before="240" w:after="240" w:line="240" w:lineRule="auto"/>
      </w:pPr>
      <w:r w:rsidRPr="00F2643B">
        <w:t>details of the affected entity’s right to apply to the Administrative Review Tribunal for review of the reconsideration decision.</w:t>
      </w:r>
    </w:p>
    <w:p w14:paraId="623383B8" w14:textId="77777777" w:rsidR="006B4161" w:rsidRPr="004113F6" w:rsidRDefault="006B4161" w:rsidP="00622CFF">
      <w:pPr>
        <w:spacing w:before="240" w:after="240" w:line="240" w:lineRule="auto"/>
      </w:pPr>
      <w:r w:rsidRPr="004113F6">
        <w:t>If the affected entity is still not satisfied after the reconsideration, they may apply for a further review by the Administrative Review Tribunal.</w:t>
      </w:r>
    </w:p>
    <w:p w14:paraId="5929752F" w14:textId="77777777" w:rsidR="006B4161" w:rsidRDefault="006B4161" w:rsidP="00C56CEC">
      <w:pPr>
        <w:pStyle w:val="H3"/>
      </w:pPr>
      <w:r>
        <w:t xml:space="preserve">The role of assessors in reconsiderations </w:t>
      </w:r>
    </w:p>
    <w:p w14:paraId="26816B4F" w14:textId="3D23A976" w:rsidR="006B4161" w:rsidRPr="008B7932" w:rsidRDefault="006B4161" w:rsidP="00622CFF">
      <w:pPr>
        <w:spacing w:before="240" w:after="240" w:line="240" w:lineRule="auto"/>
      </w:pPr>
      <w:r w:rsidRPr="008B7932">
        <w:t xml:space="preserve">During the reconsideration process, the Departmental </w:t>
      </w:r>
      <w:r w:rsidR="00061549" w:rsidRPr="008B7932">
        <w:t>delegate may</w:t>
      </w:r>
      <w:r w:rsidRPr="008B7932">
        <w:t xml:space="preserve"> discuss the request with the assessor through the </w:t>
      </w:r>
      <w:r w:rsidR="000B1CD6">
        <w:t>a</w:t>
      </w:r>
      <w:r w:rsidR="000B1CD6" w:rsidRPr="008B7932">
        <w:t xml:space="preserve">ssessment </w:t>
      </w:r>
      <w:r w:rsidR="000B1CD6">
        <w:t>o</w:t>
      </w:r>
      <w:r w:rsidR="000B1CD6" w:rsidRPr="008B7932">
        <w:t>rganisation</w:t>
      </w:r>
      <w:r w:rsidR="000B1CD6">
        <w:t>’s</w:t>
      </w:r>
      <w:r w:rsidR="000B1CD6" w:rsidRPr="008B7932">
        <w:t xml:space="preserve"> </w:t>
      </w:r>
      <w:r w:rsidRPr="008B7932">
        <w:t>Operational Manager. This step helps clarify any matters related to the case.</w:t>
      </w:r>
    </w:p>
    <w:p w14:paraId="4DFE8A5E" w14:textId="5F212BFD" w:rsidR="006B4161" w:rsidRPr="008B7932" w:rsidRDefault="006B4161" w:rsidP="00622CFF">
      <w:pPr>
        <w:spacing w:before="240" w:after="240" w:line="240" w:lineRule="auto"/>
      </w:pPr>
      <w:r w:rsidRPr="008B7932">
        <w:t xml:space="preserve">Assessment </w:t>
      </w:r>
      <w:r w:rsidR="005C20CB">
        <w:t>o</w:t>
      </w:r>
      <w:r w:rsidR="005C20CB" w:rsidRPr="008B7932">
        <w:t xml:space="preserve">rganisations </w:t>
      </w:r>
      <w:r w:rsidRPr="008B7932">
        <w:t xml:space="preserve">play a vital role in the reconsideration process. They will be invited to provide additional information in response to the </w:t>
      </w:r>
      <w:r w:rsidR="003D21F4">
        <w:t>request for review</w:t>
      </w:r>
      <w:r w:rsidR="008833F4">
        <w:t>,</w:t>
      </w:r>
      <w:r w:rsidRPr="008B7932">
        <w:t xml:space="preserve"> including the rationale for their decision making</w:t>
      </w:r>
      <w:r w:rsidR="00006CE4">
        <w:t xml:space="preserve">. Any additional </w:t>
      </w:r>
      <w:r w:rsidR="00061549">
        <w:t xml:space="preserve">information </w:t>
      </w:r>
      <w:r w:rsidR="00061549" w:rsidRPr="008B7932">
        <w:t>will</w:t>
      </w:r>
      <w:r w:rsidRPr="008B7932">
        <w:t xml:space="preserve"> be carefully considered as part of the administrative review.</w:t>
      </w:r>
      <w:r w:rsidR="00006CE4">
        <w:t xml:space="preserve"> </w:t>
      </w:r>
    </w:p>
    <w:p w14:paraId="418B4579" w14:textId="24E1C1BD" w:rsidR="00961566" w:rsidRPr="008B7932" w:rsidRDefault="00961566" w:rsidP="00622CFF">
      <w:pPr>
        <w:spacing w:before="240" w:after="240" w:line="240" w:lineRule="auto"/>
      </w:pPr>
    </w:p>
    <w:p w14:paraId="390F1BBB" w14:textId="77777777" w:rsidR="006B4161" w:rsidRDefault="006B4161" w:rsidP="00C56CEC">
      <w:pPr>
        <w:pStyle w:val="H3"/>
      </w:pPr>
      <w:r>
        <w:t xml:space="preserve">New point in time assessment </w:t>
      </w:r>
    </w:p>
    <w:p w14:paraId="13A797C6" w14:textId="6DBDC7B0" w:rsidR="006B4161" w:rsidRPr="0062103D" w:rsidRDefault="006B4161" w:rsidP="00622CFF">
      <w:pPr>
        <w:spacing w:before="240" w:after="240" w:line="240" w:lineRule="auto"/>
        <w:rPr>
          <w:szCs w:val="22"/>
        </w:rPr>
      </w:pPr>
      <w:r w:rsidRPr="0062103D">
        <w:rPr>
          <w:szCs w:val="22"/>
        </w:rPr>
        <w:t xml:space="preserve">If the </w:t>
      </w:r>
      <w:r w:rsidR="005C20CB" w:rsidRPr="0062103D">
        <w:rPr>
          <w:szCs w:val="22"/>
        </w:rPr>
        <w:t>Internal</w:t>
      </w:r>
      <w:r w:rsidRPr="0062103D">
        <w:rPr>
          <w:szCs w:val="22"/>
        </w:rPr>
        <w:t xml:space="preserve"> Review Officer identifies that there has been a significant change in the older person's circumstances since the original decision, they may discuss with the older person, the option of pursing a reassessment and withdrawing their review request.</w:t>
      </w:r>
    </w:p>
    <w:p w14:paraId="1F763B4F" w14:textId="77777777" w:rsidR="006B4161" w:rsidRPr="0062103D" w:rsidRDefault="006B4161" w:rsidP="00622CFF">
      <w:pPr>
        <w:spacing w:before="240" w:after="240" w:line="240" w:lineRule="auto"/>
        <w:rPr>
          <w:szCs w:val="22"/>
        </w:rPr>
      </w:pPr>
      <w:r w:rsidRPr="0062103D">
        <w:rPr>
          <w:szCs w:val="22"/>
        </w:rPr>
        <w:t>If the older person decides to withdraw their review request, the Department will facilitate the reassessment and cease to deal with the matter.</w:t>
      </w:r>
    </w:p>
    <w:p w14:paraId="7A041091" w14:textId="6AC6C950" w:rsidR="00E44FA9" w:rsidRPr="00E44FA9" w:rsidRDefault="006B4161" w:rsidP="00C325C6">
      <w:pPr>
        <w:pStyle w:val="Sub-headings"/>
      </w:pPr>
      <w:r>
        <w:t>Important:</w:t>
      </w:r>
    </w:p>
    <w:p w14:paraId="40D9F6D3" w14:textId="0E48E897" w:rsidR="00502418" w:rsidRPr="00561408" w:rsidRDefault="006B4161" w:rsidP="00C325C6">
      <w:pPr>
        <w:pStyle w:val="Sub-headings"/>
      </w:pPr>
      <w:r w:rsidRPr="00395EE7">
        <w:t>The Department cannot discontinue the review process unless the older person chooses to withdraw their application.</w:t>
      </w:r>
    </w:p>
    <w:p w14:paraId="19AC2738" w14:textId="14357A57" w:rsidR="006B4161" w:rsidRPr="0062103D" w:rsidRDefault="006B4161" w:rsidP="00622CFF">
      <w:pPr>
        <w:spacing w:before="240" w:after="240" w:line="240" w:lineRule="auto"/>
        <w:rPr>
          <w:szCs w:val="22"/>
        </w:rPr>
      </w:pPr>
      <w:r w:rsidRPr="0062103D">
        <w:rPr>
          <w:szCs w:val="22"/>
        </w:rPr>
        <w:t xml:space="preserve">If the older person decides to pursue a new point-in-time reassessment, the </w:t>
      </w:r>
      <w:r w:rsidR="000F6EE6">
        <w:rPr>
          <w:szCs w:val="22"/>
        </w:rPr>
        <w:t xml:space="preserve">Internal </w:t>
      </w:r>
      <w:r w:rsidRPr="0062103D">
        <w:rPr>
          <w:szCs w:val="22"/>
        </w:rPr>
        <w:t>Review Officer will instruct the assessor to conduct a reassessment.</w:t>
      </w:r>
    </w:p>
    <w:p w14:paraId="7C696210" w14:textId="43D868AB" w:rsidR="006B4161" w:rsidRPr="00395EE7" w:rsidRDefault="006B4161" w:rsidP="00C56CEC">
      <w:pPr>
        <w:pStyle w:val="H3"/>
      </w:pPr>
      <w:r w:rsidRPr="00395EE7">
        <w:t xml:space="preserve">Supplementary off-line assessment by </w:t>
      </w:r>
      <w:r w:rsidR="00CC4B7D">
        <w:t>a</w:t>
      </w:r>
      <w:r w:rsidRPr="00395EE7">
        <w:t xml:space="preserve">ssessment </w:t>
      </w:r>
      <w:r w:rsidR="00CC4B7D">
        <w:t>o</w:t>
      </w:r>
      <w:r w:rsidRPr="00395EE7">
        <w:t>rganisation to inform the reconsideration process</w:t>
      </w:r>
    </w:p>
    <w:p w14:paraId="71E3EE08" w14:textId="578C0543" w:rsidR="006B4161" w:rsidRPr="003345BA" w:rsidRDefault="006B4161" w:rsidP="00622CFF">
      <w:pPr>
        <w:spacing w:before="240" w:after="240" w:line="240" w:lineRule="auto"/>
      </w:pPr>
      <w:r w:rsidRPr="003345BA">
        <w:t xml:space="preserve">When a </w:t>
      </w:r>
      <w:r w:rsidR="005D442D">
        <w:t>r</w:t>
      </w:r>
      <w:r w:rsidR="005D442D" w:rsidRPr="003345BA">
        <w:t xml:space="preserve">eview </w:t>
      </w:r>
      <w:r w:rsidR="005D442D">
        <w:t>o</w:t>
      </w:r>
      <w:r w:rsidR="005D442D" w:rsidRPr="003345BA">
        <w:t xml:space="preserve">fficer </w:t>
      </w:r>
      <w:r w:rsidRPr="003345BA">
        <w:t xml:space="preserve">determines that a supplementary off-line assessment is required to support a review decision, they may request that it be undertaken. This scenario typically arises when it appears that an incorrect decision may have been made, but the </w:t>
      </w:r>
      <w:r w:rsidR="006660C6">
        <w:t>Internal</w:t>
      </w:r>
      <w:r w:rsidRPr="003345BA">
        <w:t xml:space="preserve"> Review Officer requires updated information to determine the most appropriate assessment outcome. The outcome of this assessment will contribute to the body of evidence considered as part of the review process. This process is distinct from a reassessment, because a reassessment stems from a change in circumstances. In the case of a reassessment, the outcome would not be backdated to the time of the original assessment. Requests for off-line supplementary assessments are infrequent and are only made when necessary to support a thorough and fair reconsideration process.</w:t>
      </w:r>
    </w:p>
    <w:p w14:paraId="502F8A3D" w14:textId="386E8260" w:rsidR="006B4161" w:rsidRPr="003345BA" w:rsidRDefault="006B4161" w:rsidP="00622CFF">
      <w:pPr>
        <w:spacing w:before="240" w:after="240" w:line="240" w:lineRule="auto"/>
      </w:pPr>
      <w:r w:rsidRPr="003345BA">
        <w:t xml:space="preserve">Through the </w:t>
      </w:r>
      <w:r w:rsidR="00861FD7">
        <w:t>a</w:t>
      </w:r>
      <w:r w:rsidR="00861FD7" w:rsidRPr="003345BA">
        <w:t xml:space="preserve">ssessment </w:t>
      </w:r>
      <w:r w:rsidR="00861FD7">
        <w:t>o</w:t>
      </w:r>
      <w:r w:rsidR="00861FD7" w:rsidRPr="003345BA">
        <w:t>rganisation</w:t>
      </w:r>
      <w:r w:rsidR="00861FD7">
        <w:t>’s</w:t>
      </w:r>
      <w:r w:rsidR="00861FD7" w:rsidRPr="003345BA">
        <w:t xml:space="preserve"> </w:t>
      </w:r>
      <w:r w:rsidR="00861FD7">
        <w:t>o</w:t>
      </w:r>
      <w:r w:rsidR="00861FD7" w:rsidRPr="003345BA">
        <w:t xml:space="preserve">perational </w:t>
      </w:r>
      <w:r w:rsidR="00861FD7">
        <w:t>m</w:t>
      </w:r>
      <w:r w:rsidR="00861FD7" w:rsidRPr="003345BA">
        <w:t>anager</w:t>
      </w:r>
      <w:r w:rsidRPr="003345BA">
        <w:t xml:space="preserve">, the </w:t>
      </w:r>
      <w:r w:rsidR="00497F01">
        <w:t xml:space="preserve">Internal </w:t>
      </w:r>
      <w:r w:rsidRPr="003345BA">
        <w:t>Review Officer will request the off-line supplementary assessment in writing. It will be necessary to use the paper-based version of the I</w:t>
      </w:r>
      <w:r w:rsidR="008235FC">
        <w:t xml:space="preserve">ntegrated </w:t>
      </w:r>
      <w:r w:rsidRPr="003345BA">
        <w:t>A</w:t>
      </w:r>
      <w:r w:rsidR="008235FC">
        <w:t xml:space="preserve">ssessment </w:t>
      </w:r>
      <w:r w:rsidRPr="003345BA">
        <w:t>T</w:t>
      </w:r>
      <w:r w:rsidR="008235FC">
        <w:t>ool</w:t>
      </w:r>
      <w:r w:rsidRPr="003345BA">
        <w:t xml:space="preserve"> (accessible from the My Aged Care </w:t>
      </w:r>
      <w:r w:rsidR="0060352D">
        <w:t>assessor portal</w:t>
      </w:r>
      <w:r w:rsidRPr="003345BA">
        <w:t xml:space="preserve">) or other form as specified by the </w:t>
      </w:r>
      <w:r w:rsidR="008235FC">
        <w:t xml:space="preserve">Internal </w:t>
      </w:r>
      <w:r w:rsidRPr="003345BA">
        <w:t xml:space="preserve">Review Officer. </w:t>
      </w:r>
    </w:p>
    <w:p w14:paraId="4AD71E33" w14:textId="361A1E85" w:rsidR="006B4161" w:rsidRPr="003345BA" w:rsidRDefault="006B4161" w:rsidP="00622CFF">
      <w:pPr>
        <w:spacing w:before="240" w:after="240" w:line="240" w:lineRule="auto"/>
      </w:pPr>
      <w:r w:rsidRPr="003345BA">
        <w:t xml:space="preserve">The off-line supplementary assessment is usually performed by an assessor who was not involved in the original decision or by a different assessor from the same organisation. To ensure a comprehensive evaluation, the reassessing assessor can collaborate with the original assessors, the original Assessment </w:t>
      </w:r>
      <w:r w:rsidR="00CE272C">
        <w:t>D</w:t>
      </w:r>
      <w:r w:rsidR="00CE272C" w:rsidRPr="003345BA">
        <w:t>elegate</w:t>
      </w:r>
      <w:r w:rsidRPr="003345BA">
        <w:t xml:space="preserve">, and any other relevant parties as needed. </w:t>
      </w:r>
    </w:p>
    <w:p w14:paraId="39AE74C7" w14:textId="142D7BDF" w:rsidR="006B4161" w:rsidRPr="003345BA" w:rsidRDefault="006B4161" w:rsidP="00622CFF">
      <w:pPr>
        <w:spacing w:before="240" w:after="240" w:line="240" w:lineRule="auto"/>
      </w:pPr>
      <w:r w:rsidRPr="003345BA">
        <w:t xml:space="preserve">The assessor must not discuss the supplementary off-line assessment outcome with the older person or any other party in any way after completing the assessment. The outcome of the supplementary off-line assessment is not recorded in My Aged Care by the assessment organisation. Instead, it is shared with the Department through the </w:t>
      </w:r>
      <w:r w:rsidR="00861FD7">
        <w:t>a</w:t>
      </w:r>
      <w:r w:rsidR="00861FD7" w:rsidRPr="003345BA">
        <w:t xml:space="preserve">ssessment </w:t>
      </w:r>
      <w:r w:rsidR="00861FD7">
        <w:t>o</w:t>
      </w:r>
      <w:r w:rsidR="00861FD7" w:rsidRPr="003345BA">
        <w:t>rganisation</w:t>
      </w:r>
      <w:r w:rsidR="00861FD7">
        <w:t>’s</w:t>
      </w:r>
      <w:r w:rsidR="00861FD7" w:rsidRPr="003345BA">
        <w:t xml:space="preserve"> </w:t>
      </w:r>
      <w:r w:rsidR="00861FD7">
        <w:t>o</w:t>
      </w:r>
      <w:r w:rsidR="00861FD7" w:rsidRPr="003345BA">
        <w:t xml:space="preserve">perational </w:t>
      </w:r>
      <w:r w:rsidR="00861FD7">
        <w:t>m</w:t>
      </w:r>
      <w:r w:rsidR="00861FD7" w:rsidRPr="003345BA">
        <w:t>anager</w:t>
      </w:r>
      <w:r w:rsidRPr="003345BA">
        <w:t>.</w:t>
      </w:r>
    </w:p>
    <w:p w14:paraId="5C17A121" w14:textId="77777777" w:rsidR="00D73A27" w:rsidRDefault="00D73A27" w:rsidP="00622CFF">
      <w:pPr>
        <w:spacing w:before="240" w:after="240" w:line="240" w:lineRule="auto"/>
      </w:pPr>
    </w:p>
    <w:p w14:paraId="38448B46" w14:textId="7CE23B0F" w:rsidR="00D73A27" w:rsidRPr="00395EE7" w:rsidRDefault="005E2287" w:rsidP="00C56CEC">
      <w:pPr>
        <w:pStyle w:val="H3"/>
        <w:numPr>
          <w:ilvl w:val="2"/>
          <w:numId w:val="522"/>
        </w:numPr>
      </w:pPr>
      <w:r w:rsidRPr="005E4E0E">
        <w:rPr>
          <w:bCs w:val="0"/>
          <w:noProof/>
        </w:rPr>
        <w:drawing>
          <wp:anchor distT="0" distB="0" distL="114300" distR="114300" simplePos="0" relativeHeight="251658305" behindDoc="0" locked="0" layoutInCell="1" allowOverlap="1" wp14:anchorId="597C744C" wp14:editId="0E00BC11">
            <wp:simplePos x="0" y="0"/>
            <wp:positionH relativeFrom="margin">
              <wp:align>left</wp:align>
            </wp:positionH>
            <wp:positionV relativeFrom="paragraph">
              <wp:posOffset>9525</wp:posOffset>
            </wp:positionV>
            <wp:extent cx="457200" cy="502920"/>
            <wp:effectExtent l="0" t="0" r="0" b="0"/>
            <wp:wrapSquare wrapText="bothSides"/>
            <wp:docPr id="1093575044" name="Picture 109357504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D73A27">
        <w:t xml:space="preserve"> Role of Internal Decision Reviewer in relation to Support at Home Reviewable Decisions</w:t>
      </w:r>
    </w:p>
    <w:p w14:paraId="3D8FD675" w14:textId="3C68D458" w:rsidR="00D73A27" w:rsidRPr="002D6DC9" w:rsidRDefault="00E34914" w:rsidP="002D6DC9">
      <w:pPr>
        <w:spacing w:before="100" w:beforeAutospacing="1" w:after="100" w:afterAutospacing="1" w:line="240" w:lineRule="auto"/>
        <w:rPr>
          <w:rFonts w:eastAsia="Times New Roman"/>
          <w:szCs w:val="22"/>
          <w:lang w:val="en-AU"/>
        </w:rPr>
      </w:pPr>
      <w:r>
        <w:rPr>
          <w:rFonts w:eastAsia="Times New Roman"/>
          <w:szCs w:val="22"/>
          <w:lang w:val="en-AU"/>
        </w:rPr>
        <w:t>W</w:t>
      </w:r>
      <w:r w:rsidR="00D73A27" w:rsidRPr="002D6DC9">
        <w:rPr>
          <w:rFonts w:eastAsia="Times New Roman"/>
          <w:szCs w:val="22"/>
          <w:lang w:val="en-AU"/>
        </w:rPr>
        <w:t>here an older person or their supporter is unhappy with a Support at Home classification or priority decision, they can submit a written request to the Department for the decision to be reviewed. The role of the Internal Decision Reviewer is to, standing in the shoes of the original decision maker, consider whether the correct decision has been made in accordance with the relevant legislation and policy frameworks. The Departmental Delegates conducting the internal review of Assessment Decisions are subject to the same legislative limitations as the original decision maker.</w:t>
      </w:r>
    </w:p>
    <w:p w14:paraId="42E5A626" w14:textId="5007985B" w:rsidR="00D73A27" w:rsidRPr="002D6DC9" w:rsidRDefault="00D73A27" w:rsidP="002D6DC9">
      <w:pPr>
        <w:spacing w:before="100" w:beforeAutospacing="1" w:after="100" w:afterAutospacing="1" w:line="240" w:lineRule="auto"/>
        <w:rPr>
          <w:rFonts w:eastAsia="Times New Roman"/>
          <w:szCs w:val="22"/>
          <w:lang w:val="en-AU"/>
        </w:rPr>
      </w:pPr>
      <w:r w:rsidRPr="002D6DC9">
        <w:rPr>
          <w:rFonts w:eastAsia="Times New Roman"/>
          <w:szCs w:val="22"/>
          <w:lang w:val="en-AU"/>
        </w:rPr>
        <w:t>Where a request to review a classification decision is received by the Department, the internal decision reviewer will consider whether any of the inputs into the IAT are incorrect or need amendment</w:t>
      </w:r>
      <w:r w:rsidR="00ED0450">
        <w:rPr>
          <w:rFonts w:eastAsia="Times New Roman"/>
          <w:szCs w:val="22"/>
          <w:lang w:val="en-AU"/>
        </w:rPr>
        <w:t xml:space="preserve">, having regard to </w:t>
      </w:r>
      <w:r w:rsidR="00346D2D">
        <w:rPr>
          <w:rFonts w:eastAsia="Times New Roman"/>
          <w:szCs w:val="22"/>
          <w:lang w:val="en-AU"/>
        </w:rPr>
        <w:t>all the evidence (including new evidence) available</w:t>
      </w:r>
      <w:r w:rsidRPr="002D6DC9">
        <w:rPr>
          <w:rFonts w:eastAsia="Times New Roman"/>
          <w:szCs w:val="22"/>
          <w:lang w:val="en-AU"/>
        </w:rPr>
        <w:t>. If this process results in the older person receiving a different Support at Home Classification level, then the original decision will be set aside and substituted with the new classification level. This process ensures the integrity of the classification algorithm and ensures that program funding is allocated consistently and equitably to all participants based on their needs, in accordance with the criteria described in section 81-10 of the</w:t>
      </w:r>
      <w:r w:rsidRPr="002D6DC9">
        <w:rPr>
          <w:rFonts w:eastAsia="Times New Roman"/>
          <w:i/>
          <w:szCs w:val="22"/>
          <w:lang w:val="en-AU"/>
        </w:rPr>
        <w:t xml:space="preserve"> </w:t>
      </w:r>
      <w:r w:rsidRPr="002D6DC9">
        <w:rPr>
          <w:rFonts w:eastAsia="Times New Roman"/>
          <w:szCs w:val="22"/>
          <w:lang w:val="en-AU"/>
        </w:rPr>
        <w:t xml:space="preserve">Rules. </w:t>
      </w:r>
    </w:p>
    <w:p w14:paraId="7F23DDC3" w14:textId="7536FF66" w:rsidR="00D73A27" w:rsidRDefault="00D73A27">
      <w:pPr>
        <w:spacing w:before="100" w:beforeAutospacing="1" w:after="100" w:afterAutospacing="1" w:line="240" w:lineRule="auto"/>
        <w:rPr>
          <w:rFonts w:eastAsia="Times New Roman"/>
          <w:szCs w:val="22"/>
          <w:lang w:val="en-AU"/>
        </w:rPr>
      </w:pPr>
      <w:r w:rsidRPr="002D6DC9">
        <w:rPr>
          <w:rFonts w:eastAsia="Times New Roman"/>
          <w:szCs w:val="22"/>
          <w:lang w:val="en-AU"/>
        </w:rPr>
        <w:t>Similarly, where a request to review the decision to assign a priority category is received by the Department, the internal decision reviewer will consider whether there is any evidence to suggest that the criteria set out in subsection 87-5(2) of the Rules was not appropriately applied. Should on review of the evidence and information before the internal reviewer, the individual is determined to be eligible for a different priority category, the original decision will be set aside and substitute the decision with a new priority category.</w:t>
      </w:r>
    </w:p>
    <w:p w14:paraId="02DE4014" w14:textId="659C8683" w:rsidR="00D82056" w:rsidRPr="002D6DC9" w:rsidRDefault="00D82056" w:rsidP="002D6DC9">
      <w:pPr>
        <w:spacing w:before="100" w:beforeAutospacing="1" w:after="100" w:afterAutospacing="1" w:line="240" w:lineRule="auto"/>
        <w:rPr>
          <w:rFonts w:eastAsia="Times New Roman"/>
          <w:szCs w:val="22"/>
          <w:lang w:val="en-AU"/>
        </w:rPr>
      </w:pPr>
      <w:r w:rsidRPr="002D6DC9">
        <w:rPr>
          <w:rFonts w:eastAsia="Times New Roman"/>
          <w:szCs w:val="22"/>
          <w:lang w:val="en-AU"/>
        </w:rPr>
        <w:t>As part of the internal review process, the internal decision reviewer will seek additional evidence from the Applicant, and other third parties including the AO, any home care provider or medical practitioners.</w:t>
      </w:r>
    </w:p>
    <w:p w14:paraId="304D9199" w14:textId="77777777" w:rsidR="00D73A27" w:rsidRPr="003345BA" w:rsidRDefault="00D73A27" w:rsidP="00622CFF">
      <w:pPr>
        <w:spacing w:before="240" w:after="240" w:line="240" w:lineRule="auto"/>
      </w:pPr>
    </w:p>
    <w:p w14:paraId="74C2BF7F" w14:textId="77777777" w:rsidR="006B4161" w:rsidRPr="004113F6" w:rsidRDefault="006B4161" w:rsidP="00507F9D">
      <w:pPr>
        <w:pStyle w:val="h2"/>
      </w:pPr>
      <w:bookmarkStart w:id="906" w:name="_Toc204329602"/>
      <w:bookmarkStart w:id="907" w:name="_Toc209189046"/>
      <w:bookmarkStart w:id="908" w:name="_Toc224916700"/>
      <w:r>
        <w:t>Further avenues of review</w:t>
      </w:r>
      <w:bookmarkEnd w:id="906"/>
      <w:bookmarkEnd w:id="907"/>
      <w:bookmarkEnd w:id="908"/>
      <w:r>
        <w:t xml:space="preserve"> </w:t>
      </w:r>
    </w:p>
    <w:p w14:paraId="6E3956BB" w14:textId="77777777" w:rsidR="006B4161" w:rsidRDefault="006B4161" w:rsidP="00622CFF">
      <w:pPr>
        <w:spacing w:before="240" w:after="240" w:line="240" w:lineRule="auto"/>
        <w:rPr>
          <w:lang w:val="en-US"/>
        </w:rPr>
      </w:pPr>
      <w:r w:rsidRPr="00241EC2">
        <w:rPr>
          <w:lang w:val="en-US"/>
        </w:rPr>
        <w:t xml:space="preserve">If affected entities remain dissatisfied with the outcome of the review, they can apply to have their reconsideration decision reviewed by the Administrative Review Tribunal (ART) and the Commonwealth Ombudsman. </w:t>
      </w:r>
    </w:p>
    <w:p w14:paraId="28C13DD8" w14:textId="77777777" w:rsidR="006B4161" w:rsidRPr="008062F9" w:rsidRDefault="006B4161" w:rsidP="00622CFF">
      <w:pPr>
        <w:spacing w:before="240" w:after="240" w:line="240" w:lineRule="auto"/>
        <w:rPr>
          <w:lang w:val="en-US"/>
        </w:rPr>
      </w:pPr>
      <w:r w:rsidRPr="008062F9">
        <w:rPr>
          <w:lang w:val="en-US"/>
        </w:rPr>
        <w:t>If an affected entity has concerns about the way a decision was made or the processes involved, they can make a complaint to the Commonwealth Ombudsman.</w:t>
      </w:r>
    </w:p>
    <w:p w14:paraId="186E4F54" w14:textId="77777777" w:rsidR="006B4161" w:rsidRPr="00241EC2" w:rsidRDefault="006B4161" w:rsidP="00C56CEC">
      <w:pPr>
        <w:pStyle w:val="H3"/>
      </w:pPr>
      <w:r w:rsidRPr="00241EC2">
        <w:t xml:space="preserve">Administrative Review Tribunal (ART) </w:t>
      </w:r>
    </w:p>
    <w:p w14:paraId="5AE60468" w14:textId="75594879" w:rsidR="006B4161" w:rsidRPr="00241EC2" w:rsidRDefault="006B4161" w:rsidP="00622CFF">
      <w:pPr>
        <w:spacing w:before="240" w:after="240" w:line="240" w:lineRule="auto"/>
        <w:rPr>
          <w:lang w:val="en-US"/>
        </w:rPr>
      </w:pPr>
      <w:r w:rsidRPr="00241EC2">
        <w:rPr>
          <w:lang w:val="en-US"/>
        </w:rPr>
        <w:t xml:space="preserve">If a person who has requested a reconsideration of a decision is not satisfied with the outcome, they may apply to the ART for a further review. It is important to note that there is a cost to the applicant for initiating this process. </w:t>
      </w:r>
    </w:p>
    <w:p w14:paraId="45440124" w14:textId="77777777" w:rsidR="006B4161" w:rsidRPr="00241EC2" w:rsidRDefault="006B4161" w:rsidP="00622CFF">
      <w:pPr>
        <w:spacing w:before="240" w:after="240" w:line="240" w:lineRule="auto"/>
        <w:rPr>
          <w:lang w:val="en-US"/>
        </w:rPr>
      </w:pPr>
      <w:r w:rsidRPr="00241EC2">
        <w:rPr>
          <w:lang w:val="en-US"/>
        </w:rPr>
        <w:t xml:space="preserve">Assessment Delegates must ensure that all information used in making approval decisions, including any data gathered during reviews of reviewable decisions is properly maintained and readily available for review by the ART. </w:t>
      </w:r>
    </w:p>
    <w:p w14:paraId="5CECA97A" w14:textId="77777777" w:rsidR="006B4161" w:rsidRPr="00241EC2" w:rsidRDefault="006B4161" w:rsidP="00622CFF">
      <w:pPr>
        <w:spacing w:before="240" w:after="240" w:line="240" w:lineRule="auto"/>
        <w:rPr>
          <w:lang w:val="en-US"/>
        </w:rPr>
      </w:pPr>
      <w:r w:rsidRPr="00241EC2">
        <w:rPr>
          <w:lang w:val="en-US"/>
        </w:rPr>
        <w:t xml:space="preserve">Both the Departmental delegate and the Assessment Delegate who made the original decision may be required to appear before the ART as part of the review process. </w:t>
      </w:r>
    </w:p>
    <w:p w14:paraId="7E2EA0A2" w14:textId="77777777" w:rsidR="006B4161" w:rsidRPr="00241EC2" w:rsidRDefault="006B4161" w:rsidP="00C56CEC">
      <w:pPr>
        <w:pStyle w:val="H3"/>
      </w:pPr>
      <w:r w:rsidRPr="00241EC2">
        <w:t xml:space="preserve">Commonwealth Ombudsman </w:t>
      </w:r>
    </w:p>
    <w:p w14:paraId="5DD55598" w14:textId="77777777" w:rsidR="006B4161" w:rsidRPr="00241EC2" w:rsidRDefault="006B4161" w:rsidP="00622CFF">
      <w:pPr>
        <w:spacing w:before="240" w:after="240" w:line="240" w:lineRule="auto"/>
        <w:rPr>
          <w:lang w:val="en-US"/>
        </w:rPr>
      </w:pPr>
      <w:r w:rsidRPr="00241EC2">
        <w:rPr>
          <w:lang w:val="en-US"/>
        </w:rPr>
        <w:t xml:space="preserve">The Commonwealth Ombudsman is responsible for considering the administrative actions and decisions made by Australian Government agencies. The Commonwealth Ombudsman will not make a fresh decision on the matter, rather they will consider the way a decision was made and make recommendations on how the decision or process could be improved. </w:t>
      </w:r>
    </w:p>
    <w:p w14:paraId="5C41940A" w14:textId="584EE7DE" w:rsidR="006B4161" w:rsidRPr="00241EC2" w:rsidRDefault="006B4161" w:rsidP="00622CFF">
      <w:pPr>
        <w:spacing w:before="240" w:after="240" w:line="240" w:lineRule="auto"/>
        <w:rPr>
          <w:lang w:val="en-US"/>
        </w:rPr>
      </w:pPr>
      <w:r w:rsidRPr="00241EC2">
        <w:rPr>
          <w:lang w:val="en-US"/>
        </w:rPr>
        <w:t xml:space="preserve">The Ombudsman’s office handles complaints, </w:t>
      </w:r>
      <w:r w:rsidR="00061549" w:rsidRPr="00241EC2">
        <w:rPr>
          <w:lang w:val="en-US"/>
        </w:rPr>
        <w:t>conducts</w:t>
      </w:r>
      <w:r w:rsidRPr="00241EC2">
        <w:rPr>
          <w:lang w:val="en-US"/>
        </w:rPr>
        <w:t xml:space="preserve"> investigations, performs audits and inspections and carries out specialist oversight tasks to determine whether the actions and </w:t>
      </w:r>
      <w:r w:rsidR="00561408" w:rsidRPr="00241EC2">
        <w:rPr>
          <w:lang w:val="en-US"/>
        </w:rPr>
        <w:t>decisions</w:t>
      </w:r>
      <w:r w:rsidRPr="00241EC2">
        <w:rPr>
          <w:lang w:val="en-US"/>
        </w:rPr>
        <w:t xml:space="preserve"> of agencies are wrong, unjust, unlawful</w:t>
      </w:r>
      <w:r>
        <w:rPr>
          <w:lang w:val="en-US"/>
        </w:rPr>
        <w:t>,</w:t>
      </w:r>
      <w:r w:rsidRPr="00241EC2">
        <w:rPr>
          <w:lang w:val="en-US"/>
        </w:rPr>
        <w:t xml:space="preserve"> </w:t>
      </w:r>
      <w:r>
        <w:rPr>
          <w:lang w:val="en-US"/>
        </w:rPr>
        <w:t xml:space="preserve">discriminatory </w:t>
      </w:r>
      <w:r w:rsidRPr="00241EC2">
        <w:rPr>
          <w:lang w:val="en-US"/>
        </w:rPr>
        <w:t xml:space="preserve">or unfair. </w:t>
      </w:r>
    </w:p>
    <w:p w14:paraId="5AD92C15" w14:textId="1EC6DAAC" w:rsidR="006B4161" w:rsidRPr="00241EC2" w:rsidRDefault="00061549" w:rsidP="00622CFF">
      <w:pPr>
        <w:spacing w:before="240" w:after="240" w:line="240" w:lineRule="auto"/>
        <w:rPr>
          <w:lang w:val="en-US"/>
        </w:rPr>
      </w:pPr>
      <w:r w:rsidRPr="00241EC2">
        <w:rPr>
          <w:lang w:val="en-US"/>
        </w:rPr>
        <w:t>An</w:t>
      </w:r>
      <w:r w:rsidR="006B4161" w:rsidRPr="00241EC2">
        <w:rPr>
          <w:lang w:val="en-US"/>
        </w:rPr>
        <w:t xml:space="preserve"> older person, or </w:t>
      </w:r>
      <w:r w:rsidR="006B4161">
        <w:rPr>
          <w:lang w:val="en-US"/>
        </w:rPr>
        <w:t xml:space="preserve">any person supporting them such as </w:t>
      </w:r>
      <w:r w:rsidR="006B4161" w:rsidRPr="00241EC2">
        <w:rPr>
          <w:lang w:val="en-US"/>
        </w:rPr>
        <w:t xml:space="preserve">their carer, advocate or registered supporter, can contact the Commonwealth Ombudsman through the official website to raise their concerns or file complaints. </w:t>
      </w:r>
    </w:p>
    <w:p w14:paraId="4EF8AE8E" w14:textId="6EFC9988" w:rsidR="006B4161" w:rsidRPr="00553C7E" w:rsidRDefault="006B4161" w:rsidP="00507F9D">
      <w:pPr>
        <w:pStyle w:val="h2"/>
        <w:rPr>
          <w:color w:val="auto"/>
        </w:rPr>
      </w:pPr>
      <w:bookmarkStart w:id="909" w:name="_Revocations"/>
      <w:bookmarkStart w:id="910" w:name="_Toc198813652"/>
      <w:bookmarkStart w:id="911" w:name="_Toc204329603"/>
      <w:bookmarkStart w:id="912" w:name="_Toc209189047"/>
      <w:bookmarkStart w:id="913" w:name="_Toc224916701"/>
      <w:bookmarkStart w:id="914" w:name="CH1_Revocations"/>
      <w:bookmarkEnd w:id="909"/>
      <w:r w:rsidRPr="00553C7E">
        <w:t>Revocations</w:t>
      </w:r>
      <w:bookmarkEnd w:id="910"/>
      <w:bookmarkEnd w:id="911"/>
      <w:bookmarkEnd w:id="912"/>
      <w:bookmarkEnd w:id="913"/>
      <w:r w:rsidRPr="00553C7E">
        <w:t xml:space="preserve"> </w:t>
      </w:r>
    </w:p>
    <w:bookmarkEnd w:id="914"/>
    <w:p w14:paraId="354D6E81" w14:textId="1B56A4A6" w:rsidR="006B4161" w:rsidRPr="00241EC2" w:rsidRDefault="006B4161" w:rsidP="00622CFF">
      <w:pPr>
        <w:spacing w:before="240" w:after="240" w:line="240" w:lineRule="auto"/>
        <w:rPr>
          <w:lang w:val="en-US"/>
        </w:rPr>
      </w:pPr>
      <w:r w:rsidRPr="00241EC2">
        <w:rPr>
          <w:lang w:val="en-US"/>
        </w:rPr>
        <w:t xml:space="preserve">Triage and Assessment Delegates </w:t>
      </w:r>
      <w:r w:rsidR="003761F8">
        <w:rPr>
          <w:lang w:val="en-US"/>
        </w:rPr>
        <w:t>are</w:t>
      </w:r>
      <w:r w:rsidR="003761F8" w:rsidRPr="00241EC2">
        <w:rPr>
          <w:lang w:val="en-US"/>
        </w:rPr>
        <w:t xml:space="preserve"> </w:t>
      </w:r>
      <w:r w:rsidRPr="00241EC2">
        <w:rPr>
          <w:lang w:val="en-US"/>
        </w:rPr>
        <w:t xml:space="preserve">not delegated the power to consider or decide to revoke an older person’s eligibility or approval decisions. These delegated powers </w:t>
      </w:r>
      <w:r w:rsidR="00090932">
        <w:rPr>
          <w:lang w:val="en-US"/>
        </w:rPr>
        <w:t>are</w:t>
      </w:r>
      <w:r w:rsidRPr="00241EC2">
        <w:rPr>
          <w:lang w:val="en-US"/>
        </w:rPr>
        <w:t xml:space="preserve"> exercised by </w:t>
      </w:r>
      <w:r w:rsidR="00762C1C">
        <w:rPr>
          <w:lang w:val="en-US"/>
        </w:rPr>
        <w:t>d</w:t>
      </w:r>
      <w:r w:rsidRPr="00241EC2">
        <w:rPr>
          <w:lang w:val="en-US"/>
        </w:rPr>
        <w:t xml:space="preserve">epartment delegates (delegates employed directly by the </w:t>
      </w:r>
      <w:r w:rsidR="00762C1C">
        <w:rPr>
          <w:lang w:val="en-US"/>
        </w:rPr>
        <w:t>d</w:t>
      </w:r>
      <w:r w:rsidRPr="00241EC2">
        <w:rPr>
          <w:lang w:val="en-US"/>
        </w:rPr>
        <w:t xml:space="preserve">epartment). </w:t>
      </w:r>
    </w:p>
    <w:p w14:paraId="76951A6F" w14:textId="77777777" w:rsidR="006B4161" w:rsidRPr="00241EC2" w:rsidRDefault="006B4161" w:rsidP="00C56CEC">
      <w:pPr>
        <w:pStyle w:val="H3"/>
      </w:pPr>
      <w:bookmarkStart w:id="915" w:name="_Toc742504077"/>
      <w:bookmarkStart w:id="916" w:name="_Toc199344612"/>
      <w:bookmarkStart w:id="917" w:name="_Toc200024268"/>
      <w:r w:rsidRPr="00241EC2">
        <w:t>Revocations on the initiative of the System Governor</w:t>
      </w:r>
      <w:bookmarkEnd w:id="915"/>
      <w:bookmarkEnd w:id="916"/>
      <w:bookmarkEnd w:id="917"/>
      <w:r w:rsidRPr="00241EC2">
        <w:t xml:space="preserve"> </w:t>
      </w:r>
    </w:p>
    <w:p w14:paraId="512410C8" w14:textId="7B341E44" w:rsidR="006B4161" w:rsidRPr="00241EC2" w:rsidRDefault="006B4161" w:rsidP="00622CFF">
      <w:pPr>
        <w:spacing w:before="240" w:after="240" w:line="240" w:lineRule="auto"/>
        <w:rPr>
          <w:lang w:val="en-AU"/>
        </w:rPr>
      </w:pPr>
      <w:r w:rsidRPr="00241EC2">
        <w:rPr>
          <w:lang w:val="en-AU"/>
        </w:rPr>
        <w:t xml:space="preserve">There are specific circumstances where an approval or eligibility decision may be revoked. One scenario </w:t>
      </w:r>
      <w:r w:rsidR="00D755F2">
        <w:rPr>
          <w:lang w:val="en-AU"/>
        </w:rPr>
        <w:t xml:space="preserve">is </w:t>
      </w:r>
      <w:r w:rsidRPr="00884366">
        <w:rPr>
          <w:lang w:val="en-AU"/>
        </w:rPr>
        <w:t>that during the assessment or application process the individual gave information or documents and those information or documents were</w:t>
      </w:r>
      <w:r w:rsidRPr="00884366" w:rsidDel="00192246">
        <w:rPr>
          <w:lang w:val="en-AU"/>
        </w:rPr>
        <w:t xml:space="preserve"> </w:t>
      </w:r>
      <w:r w:rsidRPr="00884366">
        <w:rPr>
          <w:lang w:val="en-AU"/>
        </w:rPr>
        <w:t>false or misleading</w:t>
      </w:r>
      <w:r>
        <w:rPr>
          <w:lang w:val="en-AU"/>
        </w:rPr>
        <w:t>,</w:t>
      </w:r>
      <w:r w:rsidRPr="00884366">
        <w:rPr>
          <w:lang w:val="en-AU"/>
        </w:rPr>
        <w:t xml:space="preserve"> omitted any matter or thing that without would make the document false or misleading.</w:t>
      </w:r>
      <w:r w:rsidRPr="00EC62D5">
        <w:t xml:space="preserve"> </w:t>
      </w:r>
      <w:r w:rsidRPr="00241EC2">
        <w:rPr>
          <w:lang w:val="en-AU"/>
        </w:rPr>
        <w:t>This can include situations where key facts presented during the assessment process were inaccurate or misleading, resulting in the approval</w:t>
      </w:r>
      <w:r>
        <w:rPr>
          <w:lang w:val="en-AU"/>
        </w:rPr>
        <w:t xml:space="preserve"> or eligibility decision</w:t>
      </w:r>
      <w:r w:rsidRPr="00241EC2">
        <w:rPr>
          <w:lang w:val="en-AU"/>
        </w:rPr>
        <w:t xml:space="preserve"> being granted erroneously. In such cases, it is the </w:t>
      </w:r>
      <w:r>
        <w:rPr>
          <w:lang w:val="en-AU"/>
        </w:rPr>
        <w:t>d</w:t>
      </w:r>
      <w:r w:rsidRPr="00241EC2">
        <w:rPr>
          <w:lang w:val="en-AU"/>
        </w:rPr>
        <w:t>epartmental delegate’s responsibility to assess the evidence and, if warranted, initiate the revocation process to maintain the integrity of the aged care system.</w:t>
      </w:r>
    </w:p>
    <w:p w14:paraId="6FA49741" w14:textId="392253E6" w:rsidR="006B4161" w:rsidRPr="00F04D2C" w:rsidRDefault="006B4161" w:rsidP="00622CFF">
      <w:pPr>
        <w:spacing w:before="240" w:after="240" w:line="240" w:lineRule="auto"/>
      </w:pPr>
      <w:r>
        <w:t>D</w:t>
      </w:r>
      <w:r w:rsidRPr="00381629">
        <w:t xml:space="preserve">ecisions to revoke an eligibility determination for an aged care needs assessment and access approval for an individual are reviewable decisions under Section 557 of the </w:t>
      </w:r>
      <w:r w:rsidR="006909AD">
        <w:t xml:space="preserve">Aged Care </w:t>
      </w:r>
      <w:r w:rsidRPr="00381629">
        <w:t>Act</w:t>
      </w:r>
      <w:r w:rsidR="006909AD">
        <w:t xml:space="preserve"> 2024</w:t>
      </w:r>
      <w:r w:rsidRPr="00381629">
        <w:t>.</w:t>
      </w:r>
    </w:p>
    <w:p w14:paraId="248EBC37" w14:textId="62860737" w:rsidR="00502418" w:rsidRDefault="006B4161" w:rsidP="00622CFF">
      <w:pPr>
        <w:spacing w:before="240" w:after="240" w:line="240" w:lineRule="auto"/>
        <w:rPr>
          <w:lang w:val="en-AU"/>
        </w:rPr>
      </w:pPr>
      <w:r w:rsidRPr="00241EC2">
        <w:rPr>
          <w:lang w:val="en-AU"/>
        </w:rPr>
        <w:t xml:space="preserve">If an assessor or </w:t>
      </w:r>
      <w:r>
        <w:rPr>
          <w:lang w:val="en-AU"/>
        </w:rPr>
        <w:t>a</w:t>
      </w:r>
      <w:r w:rsidRPr="00241EC2">
        <w:rPr>
          <w:lang w:val="en-AU"/>
        </w:rPr>
        <w:t xml:space="preserve">ssessment </w:t>
      </w:r>
      <w:r>
        <w:rPr>
          <w:lang w:val="en-AU"/>
        </w:rPr>
        <w:t>d</w:t>
      </w:r>
      <w:r w:rsidRPr="00241EC2">
        <w:rPr>
          <w:lang w:val="en-AU"/>
        </w:rPr>
        <w:t xml:space="preserve">elegate has concerns about the information or documents provided by an older person and/or their </w:t>
      </w:r>
      <w:r>
        <w:rPr>
          <w:lang w:val="en-AU"/>
        </w:rPr>
        <w:t xml:space="preserve">registered </w:t>
      </w:r>
      <w:r w:rsidRPr="00241EC2">
        <w:rPr>
          <w:lang w:val="en-AU"/>
        </w:rPr>
        <w:t>supporter(s) or appointed decision makers, they should contact the Department</w:t>
      </w:r>
      <w:r w:rsidR="006062F7">
        <w:rPr>
          <w:lang w:val="en-AU"/>
        </w:rPr>
        <w:t xml:space="preserve"> at </w:t>
      </w:r>
      <w:hyperlink r:id="rId254" w:history="1">
        <w:r w:rsidR="00282FD7" w:rsidRPr="004B6D84">
          <w:rPr>
            <w:rStyle w:val="Hyperlink"/>
            <w:lang w:val="en-AU"/>
          </w:rPr>
          <w:t>AssessmentRevocations@health.gov.au</w:t>
        </w:r>
      </w:hyperlink>
      <w:r w:rsidR="006062F7">
        <w:rPr>
          <w:lang w:val="en-AU"/>
        </w:rPr>
        <w:t xml:space="preserve"> </w:t>
      </w:r>
      <w:r w:rsidRPr="00241EC2">
        <w:rPr>
          <w:lang w:val="en-AU"/>
        </w:rPr>
        <w:t xml:space="preserve"> </w:t>
      </w:r>
    </w:p>
    <w:p w14:paraId="174DA1AB" w14:textId="63346163" w:rsidR="006B4161" w:rsidRPr="00BC53A1" w:rsidRDefault="006B4161" w:rsidP="00622CFF">
      <w:pPr>
        <w:spacing w:before="240" w:after="240" w:line="240" w:lineRule="auto"/>
        <w:rPr>
          <w:lang w:val="en-AU"/>
        </w:rPr>
      </w:pPr>
      <w:r w:rsidRPr="00BC53A1">
        <w:rPr>
          <w:lang w:val="en-AU"/>
        </w:rPr>
        <w:t>Before making a final decision to revoke eligibility or access approval, the Departmental delegate must follow the structured process outlined under the Act. The Departmental delegate must first notify the individual in writing that a decision to make a revocation is being considered. The notice must clearly state the reasons why a revocation is being considered and invite the individual to make written submissions about the matter within 14 days of receiving the letter</w:t>
      </w:r>
      <w:r w:rsidR="00E44FA9">
        <w:rPr>
          <w:lang w:val="en-AU"/>
        </w:rPr>
        <w:t xml:space="preserve"> </w:t>
      </w:r>
      <w:r w:rsidRPr="00BC53A1">
        <w:rPr>
          <w:lang w:val="en-AU"/>
        </w:rPr>
        <w:t xml:space="preserve">(or a longer period if specified). Additionally, the notice must inform the individual that the Departmental delegate may proceed with the decision after considering the submissions. </w:t>
      </w:r>
    </w:p>
    <w:p w14:paraId="183FE009" w14:textId="77777777" w:rsidR="006B4161" w:rsidRPr="00BC53A1" w:rsidRDefault="006B4161" w:rsidP="00622CFF">
      <w:pPr>
        <w:spacing w:before="240" w:after="240" w:line="240" w:lineRule="auto"/>
        <w:rPr>
          <w:lang w:val="en-AU"/>
        </w:rPr>
      </w:pPr>
      <w:r>
        <w:rPr>
          <w:lang w:val="en-AU"/>
        </w:rPr>
        <w:t>If an</w:t>
      </w:r>
      <w:r w:rsidRPr="00BC53A1">
        <w:rPr>
          <w:lang w:val="en-AU"/>
        </w:rPr>
        <w:t xml:space="preserve"> individual has made their submission, the Departmental delegate is required to carefully consider them before making a final decision. This ensures that the individual’s perspective and any relevant information are taken into account, allowing for a transparent and fair assessment of the situation. </w:t>
      </w:r>
    </w:p>
    <w:p w14:paraId="6582749C" w14:textId="77777777" w:rsidR="006B4161" w:rsidRPr="00BC53A1" w:rsidRDefault="006B4161" w:rsidP="00622CFF">
      <w:pPr>
        <w:spacing w:before="240" w:after="240" w:line="240" w:lineRule="auto"/>
        <w:rPr>
          <w:lang w:val="en-AU"/>
        </w:rPr>
      </w:pPr>
      <w:r w:rsidRPr="00BC53A1">
        <w:rPr>
          <w:lang w:val="en-AU"/>
        </w:rPr>
        <w:t xml:space="preserve">If, after considering the submission, the Departmental delegate deicides to revoke the eligibility determination or access approval, they must notify the individual in writing within 14 days of making the decision. The notification must include the decision itself, the reasons for the decision, and information on how to apply for a reconsideration if the individual wishes to challenge the outcome. </w:t>
      </w:r>
    </w:p>
    <w:p w14:paraId="58C07F7A" w14:textId="77777777" w:rsidR="006B4161" w:rsidRDefault="006B4161" w:rsidP="00622CFF">
      <w:pPr>
        <w:spacing w:before="240" w:after="240" w:line="240" w:lineRule="auto"/>
        <w:rPr>
          <w:lang w:val="en-AU"/>
        </w:rPr>
      </w:pPr>
      <w:r w:rsidRPr="00BC53A1">
        <w:rPr>
          <w:lang w:val="en-AU"/>
        </w:rPr>
        <w:t xml:space="preserve">If an eligibility or access approval is revoked, any pending applications related to the individual are automatically withdrawn. This means the individual will need to reapply for access if they wish to receive funded aged care services. </w:t>
      </w:r>
    </w:p>
    <w:p w14:paraId="2668789F" w14:textId="77777777" w:rsidR="006B4161" w:rsidRPr="00BC53A1" w:rsidRDefault="006B4161" w:rsidP="00C56CEC">
      <w:pPr>
        <w:pStyle w:val="H3"/>
      </w:pPr>
      <w:bookmarkStart w:id="918" w:name="_Toc1768790914"/>
      <w:bookmarkStart w:id="919" w:name="_Toc199344613"/>
      <w:bookmarkStart w:id="920" w:name="_Toc200024269"/>
      <w:r w:rsidRPr="00BC53A1">
        <w:t>Requests on the initiative of the individual</w:t>
      </w:r>
      <w:bookmarkEnd w:id="918"/>
      <w:bookmarkEnd w:id="919"/>
      <w:bookmarkEnd w:id="920"/>
      <w:r w:rsidRPr="00BC53A1">
        <w:t xml:space="preserve"> </w:t>
      </w:r>
    </w:p>
    <w:p w14:paraId="10E84574" w14:textId="65DE2104" w:rsidR="00561408" w:rsidRDefault="006B4161" w:rsidP="00622CFF">
      <w:pPr>
        <w:spacing w:before="240" w:after="240" w:line="240" w:lineRule="auto"/>
        <w:rPr>
          <w:lang w:val="en-AU"/>
        </w:rPr>
      </w:pPr>
      <w:r w:rsidRPr="00241EC2">
        <w:rPr>
          <w:lang w:val="en-AU"/>
        </w:rPr>
        <w:t>Approvals can be revoked if the individual themselves requests it. Under section 72 of the Act, an individual has the right to request the revocation of an eligibility determination or an access approval if it is currently in effect. This option to withdraw an eligibility approval</w:t>
      </w:r>
      <w:r w:rsidRPr="00BC53A1">
        <w:rPr>
          <w:lang w:val="en-AU"/>
        </w:rPr>
        <w:t xml:space="preserve"> is only available if the individual is under the age of 65 at the time of making the request. The request for revocation must be submitted using the approved form to ensure that the process is formally documented and consistent with legislative requirements. </w:t>
      </w:r>
      <w:r w:rsidRPr="00241EC2">
        <w:rPr>
          <w:lang w:val="en-AU"/>
        </w:rPr>
        <w:t>Once a valid request for revocation has been made, the System Governor is obligated under section 73 to revoke the eligibility determination or access approval within 28 days of receiving the request. The decision must be communicated to the individual within 14 days of being made in the form of a written notice. This notice should clearly outline the revocation decision, including any relevant reasons and implications.</w:t>
      </w:r>
    </w:p>
    <w:p w14:paraId="20B1516D" w14:textId="77777777" w:rsidR="00561408" w:rsidRDefault="00561408">
      <w:pPr>
        <w:rPr>
          <w:lang w:val="en-AU"/>
        </w:rPr>
      </w:pPr>
      <w:r>
        <w:rPr>
          <w:lang w:val="en-AU"/>
        </w:rPr>
        <w:br w:type="page"/>
      </w:r>
    </w:p>
    <w:p w14:paraId="42DC9086" w14:textId="77777777" w:rsidR="006B4161" w:rsidRPr="00241EC2" w:rsidRDefault="006B4161" w:rsidP="00622CFF">
      <w:pPr>
        <w:spacing w:before="240" w:after="240" w:line="240" w:lineRule="auto"/>
        <w:rPr>
          <w:lang w:val="en-AU"/>
        </w:rPr>
      </w:pPr>
    </w:p>
    <w:p w14:paraId="6B0C2B99" w14:textId="77777777" w:rsidR="00E44FA9" w:rsidRPr="00E44FA9" w:rsidRDefault="006B4161" w:rsidP="00C325C6">
      <w:pPr>
        <w:pStyle w:val="Sub-headings"/>
      </w:pPr>
      <w:r w:rsidRPr="00F37F02">
        <w:t>Note</w:t>
      </w:r>
      <w:r w:rsidR="00E44FA9" w:rsidRPr="00E44FA9">
        <w:t>:</w:t>
      </w:r>
    </w:p>
    <w:p w14:paraId="77611AC1" w14:textId="77777777" w:rsidR="00D74FD8" w:rsidRDefault="00E44FA9" w:rsidP="00C325C6">
      <w:pPr>
        <w:pStyle w:val="Sub-headings"/>
      </w:pPr>
      <w:r>
        <w:t>O</w:t>
      </w:r>
      <w:r w:rsidR="006B4161" w:rsidRPr="009F5408">
        <w:t>nce an approval or eligibility determination is revoked, any pending applications related to that individual under section 56 or 64 are automatically considered withdrawn.</w:t>
      </w:r>
    </w:p>
    <w:p w14:paraId="4DB45976" w14:textId="319FEE0A" w:rsidR="00502418" w:rsidRPr="006F7994" w:rsidRDefault="006B4161" w:rsidP="00C325C6">
      <w:pPr>
        <w:pStyle w:val="Sub-headings"/>
      </w:pPr>
      <w:r w:rsidRPr="009F5408">
        <w:t>This means that no further action will be taken on those applications.</w:t>
      </w:r>
    </w:p>
    <w:p w14:paraId="2AEF1102" w14:textId="77777777" w:rsidR="006B4161" w:rsidRPr="008612C3" w:rsidRDefault="006B4161" w:rsidP="00622CFF">
      <w:pPr>
        <w:spacing w:before="240" w:after="240" w:line="240" w:lineRule="auto"/>
        <w:rPr>
          <w:lang w:val="en-AU"/>
        </w:rPr>
      </w:pPr>
      <w:r w:rsidRPr="00241EC2">
        <w:rPr>
          <w:lang w:val="en-AU"/>
        </w:rPr>
        <w:t>Additionally, approvals</w:t>
      </w:r>
      <w:r w:rsidRPr="00241EC2" w:rsidDel="00872275">
        <w:rPr>
          <w:lang w:val="en-AU"/>
        </w:rPr>
        <w:t xml:space="preserve"> </w:t>
      </w:r>
      <w:r w:rsidRPr="00241EC2">
        <w:rPr>
          <w:lang w:val="en-AU"/>
        </w:rPr>
        <w:t>lapse automatically if they</w:t>
      </w:r>
      <w:r w:rsidRPr="00BC53A1">
        <w:rPr>
          <w:lang w:val="en-AU"/>
        </w:rPr>
        <w:t xml:space="preserve"> are superseded by a subsequent decision. This occurs when a new eligibility determination or access approval replaces the existing one, rendering the previous approval invalid. In these cases, the revocation happens implicitly because the new decision takes precedence.</w:t>
      </w:r>
    </w:p>
    <w:p w14:paraId="306C4734" w14:textId="05B2DE4B" w:rsidR="006B4161" w:rsidRPr="00880B95" w:rsidRDefault="006B4161" w:rsidP="00507F9D">
      <w:pPr>
        <w:pStyle w:val="h2"/>
      </w:pPr>
      <w:bookmarkStart w:id="921" w:name="_Toc209189048"/>
      <w:bookmarkStart w:id="922" w:name="_Toc224916702"/>
      <w:r w:rsidRPr="00F96D37">
        <w:t xml:space="preserve">Corrections </w:t>
      </w:r>
      <w:r w:rsidR="0000521E">
        <w:t>p</w:t>
      </w:r>
      <w:r w:rsidRPr="00F96D37">
        <w:t>rocess</w:t>
      </w:r>
      <w:bookmarkEnd w:id="921"/>
      <w:bookmarkEnd w:id="922"/>
      <w:r w:rsidRPr="00F96D37">
        <w:t xml:space="preserve"> </w:t>
      </w:r>
    </w:p>
    <w:p w14:paraId="6F60F6C2" w14:textId="77777777" w:rsidR="006B4161" w:rsidRPr="00B772BB" w:rsidRDefault="006B4161" w:rsidP="00622CFF">
      <w:pPr>
        <w:spacing w:before="240" w:after="240" w:line="240" w:lineRule="auto"/>
        <w:rPr>
          <w:rFonts w:eastAsiaTheme="minorHAnsi" w:cs="Times New Roman"/>
          <w:lang w:val="en-AU"/>
        </w:rPr>
      </w:pPr>
      <w:bookmarkStart w:id="923" w:name="_Toc496022851"/>
      <w:bookmarkStart w:id="924" w:name="_Ref58338552"/>
      <w:bookmarkStart w:id="925" w:name="_Ref128156767"/>
      <w:bookmarkStart w:id="926" w:name="_Ref128157347"/>
      <w:bookmarkStart w:id="927" w:name="_Ref128237951"/>
      <w:bookmarkStart w:id="928" w:name="_Ref128237991"/>
      <w:bookmarkStart w:id="929" w:name="_Ref128237996"/>
      <w:bookmarkStart w:id="930" w:name="_Ref128238066"/>
      <w:bookmarkStart w:id="931" w:name="_Ref128238112"/>
      <w:bookmarkStart w:id="932" w:name="_Ref128303119"/>
      <w:bookmarkStart w:id="933" w:name="_Ref128326059"/>
      <w:bookmarkStart w:id="934" w:name="_Toc159226964"/>
      <w:bookmarkStart w:id="935" w:name="_Toc184402381"/>
      <w:r>
        <w:t>A</w:t>
      </w:r>
      <w:r w:rsidRPr="00B772BB">
        <w:t xml:space="preserve">ssessment </w:t>
      </w:r>
      <w:r>
        <w:t>d</w:t>
      </w:r>
      <w:r w:rsidRPr="00B772BB">
        <w:t>elegate</w:t>
      </w:r>
      <w:r>
        <w:t>s</w:t>
      </w:r>
      <w:r w:rsidRPr="00B772BB">
        <w:t xml:space="preserve"> </w:t>
      </w:r>
      <w:r>
        <w:t>are</w:t>
      </w:r>
      <w:r w:rsidRPr="00B772BB">
        <w:t xml:space="preserve"> responsible for ensuring their decisions are recorded accurately and </w:t>
      </w:r>
      <w:r>
        <w:t>completely</w:t>
      </w:r>
      <w:r w:rsidRPr="00B772BB">
        <w:t>. Diligent quality checks are essential to minimise the need for corrections and maintaining accurate records</w:t>
      </w:r>
      <w:r>
        <w:t xml:space="preserve">. </w:t>
      </w:r>
      <w:r w:rsidRPr="00B772BB">
        <w:t xml:space="preserve">  </w:t>
      </w:r>
    </w:p>
    <w:p w14:paraId="75E773F9" w14:textId="2F886ACE" w:rsidR="006B4161" w:rsidRPr="00B772BB" w:rsidRDefault="006B4161" w:rsidP="00622CFF">
      <w:pPr>
        <w:spacing w:before="240" w:after="240" w:line="240" w:lineRule="auto"/>
        <w:rPr>
          <w:iCs/>
        </w:rPr>
      </w:pPr>
      <w:r>
        <w:rPr>
          <w:iCs/>
        </w:rPr>
        <w:t>I</w:t>
      </w:r>
      <w:r w:rsidRPr="00B772BB">
        <w:rPr>
          <w:iCs/>
        </w:rPr>
        <w:t>f an administrative</w:t>
      </w:r>
      <w:r>
        <w:rPr>
          <w:iCs/>
        </w:rPr>
        <w:t xml:space="preserve"> or </w:t>
      </w:r>
      <w:r w:rsidRPr="00B772BB">
        <w:rPr>
          <w:iCs/>
        </w:rPr>
        <w:t xml:space="preserve">typographical error </w:t>
      </w:r>
      <w:r>
        <w:rPr>
          <w:iCs/>
        </w:rPr>
        <w:t>is identified after submitting a decision, assessment delegates must promptly initiate the corrections process</w:t>
      </w:r>
      <w:r w:rsidRPr="00B772BB">
        <w:rPr>
          <w:iCs/>
        </w:rPr>
        <w:t xml:space="preserve">. </w:t>
      </w:r>
      <w:r w:rsidRPr="00441859">
        <w:t xml:space="preserve">As an example, errors could include an </w:t>
      </w:r>
      <w:r w:rsidR="00037945" w:rsidRPr="00441859">
        <w:t xml:space="preserve">omission of </w:t>
      </w:r>
      <w:r w:rsidR="001C1D01" w:rsidRPr="00441859">
        <w:t xml:space="preserve">funded </w:t>
      </w:r>
      <w:r w:rsidR="00420F6B" w:rsidRPr="00441859">
        <w:t>care types</w:t>
      </w:r>
      <w:r w:rsidR="001C1D01" w:rsidRPr="00441859">
        <w:t xml:space="preserve"> from an individual’s approval that were recommended in the Support Plan and the delegate intended to approve</w:t>
      </w:r>
      <w:r w:rsidRPr="00B772BB">
        <w:rPr>
          <w:iCs/>
        </w:rPr>
        <w:t xml:space="preserve">; or entering an incorrect approval date of effect </w:t>
      </w:r>
      <w:r w:rsidR="00435580">
        <w:rPr>
          <w:iCs/>
        </w:rPr>
        <w:t>(</w:t>
      </w:r>
      <w:r w:rsidR="000C54F8">
        <w:rPr>
          <w:iCs/>
        </w:rPr>
        <w:t xml:space="preserve">delegation date) </w:t>
      </w:r>
      <w:r w:rsidRPr="00B772BB">
        <w:rPr>
          <w:iCs/>
        </w:rPr>
        <w:t xml:space="preserve">that does not match the actual approval date of effect. </w:t>
      </w:r>
    </w:p>
    <w:p w14:paraId="4B590F44" w14:textId="300AAD24" w:rsidR="006B4161" w:rsidRPr="00B772BB" w:rsidRDefault="006B4161" w:rsidP="00622CFF">
      <w:pPr>
        <w:spacing w:before="240" w:after="240" w:line="240" w:lineRule="auto"/>
      </w:pPr>
      <w:r w:rsidRPr="00B772BB">
        <w:t xml:space="preserve">Where an </w:t>
      </w:r>
      <w:r>
        <w:t>error has been identified, an a</w:t>
      </w:r>
      <w:r w:rsidRPr="00B772BB">
        <w:t xml:space="preserve">ssessment </w:t>
      </w:r>
      <w:r>
        <w:t>d</w:t>
      </w:r>
      <w:r w:rsidRPr="00B772BB">
        <w:t xml:space="preserve">elegate must request a ‘correction’ </w:t>
      </w:r>
      <w:r w:rsidRPr="00B772BB">
        <w:rPr>
          <w:b/>
          <w:bCs/>
        </w:rPr>
        <w:t>within 42 days of the original decision</w:t>
      </w:r>
      <w:r w:rsidRPr="00B772BB">
        <w:t xml:space="preserve">. </w:t>
      </w:r>
      <w:r>
        <w:t xml:space="preserve">Corrections should be requested via the ‘Decision History’ tab in the My Aged Care Assessor Portal using the ‘Request Changes to care approval decisions’ button. Additional information that does not fit in the free text field should </w:t>
      </w:r>
      <w:r w:rsidRPr="00B772BB">
        <w:t>be forwarded to the department for consideration,</w:t>
      </w:r>
      <w:r>
        <w:t xml:space="preserve"> via email</w:t>
      </w:r>
      <w:r w:rsidRPr="00B772BB">
        <w:t xml:space="preserve"> </w:t>
      </w:r>
      <w:r>
        <w:t>at the following address</w:t>
      </w:r>
      <w:r w:rsidRPr="00B772BB">
        <w:t xml:space="preserve">: </w:t>
      </w:r>
      <w:hyperlink r:id="rId255" w:history="1">
        <w:r w:rsidR="00B548D0" w:rsidRPr="005520B6">
          <w:rPr>
            <w:rStyle w:val="Hyperlink"/>
          </w:rPr>
          <w:t>reviewable.decisions@health.gov.au</w:t>
        </w:r>
      </w:hyperlink>
      <w:r w:rsidR="00B548D0">
        <w:t xml:space="preserve"> </w:t>
      </w:r>
    </w:p>
    <w:p w14:paraId="32AB8EA0" w14:textId="1426FEA3" w:rsidR="006B4161" w:rsidRPr="00B772BB" w:rsidRDefault="006B4161" w:rsidP="00622CFF">
      <w:pPr>
        <w:spacing w:before="240" w:after="240" w:line="240" w:lineRule="auto"/>
      </w:pPr>
      <w:r w:rsidRPr="00B772BB">
        <w:t xml:space="preserve">The reason for the correction must be recorded when lodging the request. For example, </w:t>
      </w:r>
      <w:r w:rsidR="006F7994" w:rsidRPr="00B772BB">
        <w:t>“</w:t>
      </w:r>
      <w:r w:rsidR="006F7994">
        <w:rPr>
          <w:i/>
          <w:iCs/>
        </w:rPr>
        <w:t>Ongoing</w:t>
      </w:r>
      <w:r w:rsidR="00024E63">
        <w:rPr>
          <w:i/>
          <w:iCs/>
        </w:rPr>
        <w:t xml:space="preserve"> residential care omitted from online approval process, evidence of </w:t>
      </w:r>
      <w:r w:rsidR="005E1B37">
        <w:rPr>
          <w:i/>
          <w:iCs/>
        </w:rPr>
        <w:t>an ongoing residential care recommendation in Support Plan</w:t>
      </w:r>
      <w:r w:rsidRPr="00B772BB">
        <w:t>”. For the department to agree to the correction, the assessment delegate’s intention (as at the time the decision was made) should be clearly evident though assessment documentation and/or other supporting documents on My Aged Care.</w:t>
      </w:r>
    </w:p>
    <w:p w14:paraId="7A8B71AE" w14:textId="71BA4E8D" w:rsidR="006B4161" w:rsidRPr="00B772BB" w:rsidRDefault="006B4161" w:rsidP="00622CFF">
      <w:pPr>
        <w:spacing w:before="240" w:after="240" w:line="240" w:lineRule="auto"/>
      </w:pPr>
      <w:r w:rsidRPr="00B772BB">
        <w:t xml:space="preserve">If the assessment information is not consistent with the correction request, the department will reject the request. In instances where a client’s needs change after the original decision, a </w:t>
      </w:r>
      <w:r w:rsidR="00B76E1F">
        <w:t>re</w:t>
      </w:r>
      <w:r w:rsidR="00B76E1F" w:rsidRPr="00B772BB">
        <w:t>assessment should</w:t>
      </w:r>
      <w:r w:rsidR="00E86FCD">
        <w:t xml:space="preserve"> be</w:t>
      </w:r>
      <w:r w:rsidRPr="00B772BB">
        <w:t xml:space="preserve"> undertaken.</w:t>
      </w:r>
    </w:p>
    <w:p w14:paraId="52950D15" w14:textId="0B8727A2" w:rsidR="006B4161" w:rsidRPr="00B772BB" w:rsidRDefault="006B4161" w:rsidP="00622CFF">
      <w:pPr>
        <w:spacing w:before="240" w:after="240" w:line="240" w:lineRule="auto"/>
      </w:pPr>
      <w:r w:rsidRPr="00B772BB">
        <w:t xml:space="preserve">In situations where the Assessment Delegate has reconsidered their decision and changed their mind after recording the approval (based on additional information they have received), a correction request is not </w:t>
      </w:r>
      <w:r w:rsidR="006F7994" w:rsidRPr="00B772BB">
        <w:t>appropriate,</w:t>
      </w:r>
      <w:r w:rsidRPr="00B772BB">
        <w:t xml:space="preserve"> and a </w:t>
      </w:r>
      <w:r w:rsidR="009B4B25">
        <w:t>re</w:t>
      </w:r>
      <w:r w:rsidRPr="00B772BB">
        <w:t>assessment is required. Any correction requests received by the department for this reason will be rejected.</w:t>
      </w:r>
    </w:p>
    <w:p w14:paraId="3B23B59F" w14:textId="77777777" w:rsidR="006B4161" w:rsidRPr="00B772BB" w:rsidRDefault="006B4161" w:rsidP="00622CFF">
      <w:pPr>
        <w:spacing w:before="240" w:after="240" w:line="240" w:lineRule="auto"/>
      </w:pPr>
      <w:r w:rsidRPr="00B772BB">
        <w:t>A correction cannot be requested where service referrals have been issued for services. Where a correction is required for an assessment and service referrals have been issued, the assessment organisation must recall all services in an ‘issued’ state before they can request a correction.</w:t>
      </w:r>
    </w:p>
    <w:p w14:paraId="4BF28CA2" w14:textId="73CF8373" w:rsidR="00462F66" w:rsidRPr="00B772BB" w:rsidRDefault="00462F66" w:rsidP="00622CFF">
      <w:pPr>
        <w:spacing w:before="240" w:after="240" w:line="240" w:lineRule="auto"/>
      </w:pPr>
      <w:r>
        <w:t xml:space="preserve">If it is identified a correction is required after a service referral has been accepted or services have commenced, the correction should be escalated to the department via email at the following address: </w:t>
      </w:r>
      <w:hyperlink r:id="rId256" w:history="1">
        <w:r w:rsidR="00DB5476" w:rsidRPr="005520B6">
          <w:rPr>
            <w:rStyle w:val="Hyperlink"/>
          </w:rPr>
          <w:t>reviewable.decisions@health.gov.au</w:t>
        </w:r>
      </w:hyperlink>
      <w:r>
        <w:t xml:space="preserve"> </w:t>
      </w:r>
    </w:p>
    <w:p w14:paraId="1391AE3E" w14:textId="77777777" w:rsidR="006B4161" w:rsidRPr="00481E1B" w:rsidRDefault="006B4161" w:rsidP="00507F9D">
      <w:pPr>
        <w:pStyle w:val="h2"/>
      </w:pPr>
      <w:bookmarkStart w:id="936" w:name="_Toc204329604"/>
      <w:bookmarkStart w:id="937" w:name="_Toc209189049"/>
      <w:bookmarkStart w:id="938" w:name="_Toc224916703"/>
      <w:r w:rsidRPr="003E1933">
        <w:t>Complaints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6D638A5" w14:textId="77777777" w:rsidR="006B4161" w:rsidRPr="00481E1B" w:rsidRDefault="006B4161" w:rsidP="00622CFF">
      <w:pPr>
        <w:spacing w:before="240" w:after="240" w:line="240" w:lineRule="auto"/>
        <w:rPr>
          <w:lang w:val="en-US"/>
        </w:rPr>
      </w:pPr>
      <w:r w:rsidRPr="00481E1B">
        <w:rPr>
          <w:lang w:val="en-US"/>
        </w:rPr>
        <w:t>Older people (and/or their carer/advocate/</w:t>
      </w:r>
      <w:r>
        <w:rPr>
          <w:lang w:val="en-US"/>
        </w:rPr>
        <w:t xml:space="preserve">registered </w:t>
      </w:r>
      <w:r w:rsidRPr="00481E1B">
        <w:rPr>
          <w:lang w:val="en-US"/>
        </w:rPr>
        <w:t xml:space="preserve">supporters) have the right to raise their concerns about the information, service or care they have received from My Aged Care, their assessor or service provider. </w:t>
      </w:r>
    </w:p>
    <w:p w14:paraId="7347EDA7" w14:textId="77777777" w:rsidR="006B4161" w:rsidRPr="00481E1B" w:rsidRDefault="006B4161" w:rsidP="00622CFF">
      <w:pPr>
        <w:spacing w:before="240" w:after="240" w:line="240" w:lineRule="auto"/>
        <w:rPr>
          <w:lang w:val="en-US"/>
        </w:rPr>
      </w:pPr>
      <w:r w:rsidRPr="00481E1B">
        <w:rPr>
          <w:lang w:val="en-US"/>
        </w:rPr>
        <w:t>There are different ways to make a complaint depending on the part of My Aged Care that the concern relates to, such as:</w:t>
      </w:r>
    </w:p>
    <w:p w14:paraId="29750619" w14:textId="77777777" w:rsidR="006B4161" w:rsidRPr="00481E1B" w:rsidRDefault="006B4161" w:rsidP="00DF3F6B">
      <w:pPr>
        <w:pStyle w:val="ListParagraph"/>
        <w:numPr>
          <w:ilvl w:val="0"/>
          <w:numId w:val="347"/>
        </w:numPr>
        <w:spacing w:before="120" w:after="120" w:line="240" w:lineRule="auto"/>
        <w:ind w:left="567" w:hanging="284"/>
        <w:contextualSpacing w:val="0"/>
        <w:rPr>
          <w:lang w:val="en-US"/>
        </w:rPr>
      </w:pPr>
      <w:r w:rsidRPr="00481E1B">
        <w:rPr>
          <w:lang w:val="en-US"/>
        </w:rPr>
        <w:t xml:space="preserve">the My Aged Care </w:t>
      </w:r>
      <w:r>
        <w:rPr>
          <w:lang w:val="en-US"/>
        </w:rPr>
        <w:t>C</w:t>
      </w:r>
      <w:r w:rsidRPr="00481E1B">
        <w:rPr>
          <w:lang w:val="en-US"/>
        </w:rPr>
        <w:t xml:space="preserve">ontact </w:t>
      </w:r>
      <w:r>
        <w:rPr>
          <w:lang w:val="en-US"/>
        </w:rPr>
        <w:t>C</w:t>
      </w:r>
      <w:r w:rsidRPr="00481E1B">
        <w:rPr>
          <w:lang w:val="en-US"/>
        </w:rPr>
        <w:t>entre</w:t>
      </w:r>
    </w:p>
    <w:p w14:paraId="0977AC40" w14:textId="77777777" w:rsidR="006B4161" w:rsidRPr="00481E1B" w:rsidRDefault="006B4161" w:rsidP="00DF3F6B">
      <w:pPr>
        <w:pStyle w:val="ListParagraph"/>
        <w:numPr>
          <w:ilvl w:val="0"/>
          <w:numId w:val="347"/>
        </w:numPr>
        <w:spacing w:before="120" w:after="120" w:line="240" w:lineRule="auto"/>
        <w:ind w:left="567" w:hanging="283"/>
        <w:contextualSpacing w:val="0"/>
        <w:rPr>
          <w:lang w:val="en-US"/>
        </w:rPr>
      </w:pPr>
      <w:r w:rsidRPr="00481E1B">
        <w:rPr>
          <w:lang w:val="en-US"/>
        </w:rPr>
        <w:t xml:space="preserve">aged care assessment with an assessor </w:t>
      </w:r>
    </w:p>
    <w:p w14:paraId="4F17CB72" w14:textId="77777777" w:rsidR="006B4161" w:rsidRDefault="006B4161" w:rsidP="00DF3F6B">
      <w:pPr>
        <w:pStyle w:val="ListParagraph"/>
        <w:numPr>
          <w:ilvl w:val="0"/>
          <w:numId w:val="347"/>
        </w:numPr>
        <w:spacing w:before="120" w:after="120" w:line="240" w:lineRule="auto"/>
        <w:ind w:left="567" w:hanging="283"/>
        <w:contextualSpacing w:val="0"/>
        <w:rPr>
          <w:lang w:val="en-US"/>
        </w:rPr>
      </w:pPr>
      <w:r w:rsidRPr="00481E1B">
        <w:rPr>
          <w:lang w:val="en-US"/>
        </w:rPr>
        <w:t>the outcome of an aged care assessment</w:t>
      </w:r>
    </w:p>
    <w:p w14:paraId="5EE4B718" w14:textId="77777777" w:rsidR="006B4161" w:rsidRDefault="006B4161" w:rsidP="00DF3F6B">
      <w:pPr>
        <w:pStyle w:val="ListParagraph"/>
        <w:numPr>
          <w:ilvl w:val="0"/>
          <w:numId w:val="347"/>
        </w:numPr>
        <w:spacing w:before="120" w:after="120" w:line="240" w:lineRule="auto"/>
        <w:ind w:left="567" w:hanging="283"/>
        <w:contextualSpacing w:val="0"/>
        <w:rPr>
          <w:lang w:val="en-US"/>
        </w:rPr>
      </w:pPr>
      <w:r w:rsidRPr="00481E1B">
        <w:rPr>
          <w:lang w:val="en-US"/>
        </w:rPr>
        <w:t>the care and services received from a service provider; or</w:t>
      </w:r>
      <w:r>
        <w:rPr>
          <w:lang w:val="en-US"/>
        </w:rPr>
        <w:t xml:space="preserve"> </w:t>
      </w:r>
    </w:p>
    <w:p w14:paraId="0750F607" w14:textId="77777777" w:rsidR="006B4161" w:rsidRPr="001408BE" w:rsidRDefault="006B4161" w:rsidP="00DF3F6B">
      <w:pPr>
        <w:pStyle w:val="ListParagraph"/>
        <w:numPr>
          <w:ilvl w:val="0"/>
          <w:numId w:val="347"/>
        </w:numPr>
        <w:spacing w:before="120" w:after="120" w:line="240" w:lineRule="auto"/>
        <w:ind w:left="568" w:hanging="284"/>
        <w:contextualSpacing w:val="0"/>
        <w:rPr>
          <w:lang w:val="en-US"/>
        </w:rPr>
      </w:pPr>
      <w:r w:rsidRPr="001408BE">
        <w:rPr>
          <w:lang w:val="en-US"/>
        </w:rPr>
        <w:t>the conduct of a registered supporter.</w:t>
      </w:r>
    </w:p>
    <w:p w14:paraId="47FB2A02" w14:textId="77777777" w:rsidR="006B4161" w:rsidRPr="00481E1B" w:rsidRDefault="006B4161" w:rsidP="00C56CEC">
      <w:pPr>
        <w:pStyle w:val="H3"/>
      </w:pPr>
      <w:bookmarkStart w:id="939" w:name="_Toc496022853"/>
      <w:bookmarkStart w:id="940" w:name="_Toc159226966"/>
      <w:bookmarkStart w:id="941" w:name="_Toc184402383"/>
      <w:bookmarkStart w:id="942" w:name="_Toc204329605"/>
      <w:r w:rsidRPr="00481E1B">
        <w:t>Concerns about My Aged Care</w:t>
      </w:r>
      <w:bookmarkEnd w:id="939"/>
      <w:bookmarkEnd w:id="940"/>
      <w:bookmarkEnd w:id="941"/>
      <w:bookmarkEnd w:id="942"/>
    </w:p>
    <w:p w14:paraId="098762CD" w14:textId="7A24EC56" w:rsidR="006B4161" w:rsidRPr="00481E1B" w:rsidRDefault="006B4161" w:rsidP="00622CFF">
      <w:pPr>
        <w:spacing w:before="240" w:after="240" w:line="240" w:lineRule="auto"/>
        <w:rPr>
          <w:lang w:val="en-US"/>
        </w:rPr>
      </w:pPr>
      <w:r w:rsidRPr="00481E1B">
        <w:rPr>
          <w:lang w:val="en-US"/>
        </w:rPr>
        <w:t>A</w:t>
      </w:r>
      <w:r w:rsidR="00B56037">
        <w:rPr>
          <w:lang w:val="en-US"/>
        </w:rPr>
        <w:t>n older</w:t>
      </w:r>
      <w:r w:rsidRPr="00481E1B">
        <w:rPr>
          <w:lang w:val="en-US"/>
        </w:rPr>
        <w:t xml:space="preserve"> </w:t>
      </w:r>
      <w:r w:rsidR="006F7994" w:rsidRPr="00481E1B">
        <w:rPr>
          <w:lang w:val="en-US"/>
        </w:rPr>
        <w:t>person or</w:t>
      </w:r>
      <w:r w:rsidRPr="00481E1B">
        <w:rPr>
          <w:lang w:val="en-US"/>
        </w:rPr>
        <w:t xml:space="preserve"> </w:t>
      </w:r>
      <w:r>
        <w:rPr>
          <w:lang w:val="en-US"/>
        </w:rPr>
        <w:t xml:space="preserve">registered </w:t>
      </w:r>
      <w:r w:rsidRPr="00481E1B">
        <w:rPr>
          <w:lang w:val="en-US"/>
        </w:rPr>
        <w:t xml:space="preserve">supporter should discuss their concerns about the service or information they receive from My Aged Care with the contact centre in the first instance. </w:t>
      </w:r>
    </w:p>
    <w:p w14:paraId="29E5FE4F" w14:textId="77777777" w:rsidR="006B4161" w:rsidRPr="00481E1B" w:rsidRDefault="006B4161" w:rsidP="00622CFF">
      <w:pPr>
        <w:spacing w:before="240" w:after="240" w:line="240" w:lineRule="auto"/>
        <w:rPr>
          <w:lang w:val="en-US"/>
        </w:rPr>
      </w:pPr>
      <w:r w:rsidRPr="00481E1B">
        <w:rPr>
          <w:lang w:val="en-US"/>
        </w:rPr>
        <w:t xml:space="preserve">If they are unable to resolve the issue, My Aged Care will provide a reference number to track the progress of the complaint. A person can make a complaint by: </w:t>
      </w:r>
    </w:p>
    <w:p w14:paraId="7759DA23" w14:textId="77777777" w:rsidR="006B4161" w:rsidRPr="00481E1B" w:rsidRDefault="006B4161" w:rsidP="00622CFF">
      <w:pPr>
        <w:spacing w:before="240" w:after="240" w:line="240" w:lineRule="auto"/>
        <w:rPr>
          <w:lang w:val="en-US"/>
        </w:rPr>
      </w:pPr>
      <w:r w:rsidRPr="00481E1B">
        <w:rPr>
          <w:lang w:val="en-US"/>
        </w:rPr>
        <w:t>Calling My Aged Care on 1800 200 422.</w:t>
      </w:r>
    </w:p>
    <w:p w14:paraId="4D126ED2" w14:textId="77777777" w:rsidR="006B4161" w:rsidRPr="00481E1B" w:rsidRDefault="006B4161" w:rsidP="00622CFF">
      <w:pPr>
        <w:spacing w:before="240" w:after="240" w:line="240" w:lineRule="auto"/>
        <w:rPr>
          <w:lang w:val="en-US"/>
        </w:rPr>
      </w:pPr>
      <w:r w:rsidRPr="00481E1B">
        <w:rPr>
          <w:lang w:val="en-US"/>
        </w:rPr>
        <w:t>Posting their complaint to:</w:t>
      </w:r>
    </w:p>
    <w:p w14:paraId="57323CBD" w14:textId="77777777" w:rsidR="006B4161" w:rsidRPr="00481E1B" w:rsidRDefault="006B4161" w:rsidP="00622CFF">
      <w:pPr>
        <w:spacing w:before="240" w:after="240" w:line="240" w:lineRule="auto"/>
        <w:ind w:left="426"/>
        <w:rPr>
          <w:lang w:val="en-US"/>
        </w:rPr>
      </w:pPr>
      <w:r w:rsidRPr="00481E1B">
        <w:rPr>
          <w:lang w:val="en-US"/>
        </w:rPr>
        <w:t>My Aged Care Complaints</w:t>
      </w:r>
      <w:r w:rsidRPr="00481E1B">
        <w:rPr>
          <w:lang w:val="en-US"/>
        </w:rPr>
        <w:br/>
        <w:t xml:space="preserve">PO Box 1237 </w:t>
      </w:r>
      <w:r w:rsidRPr="00481E1B">
        <w:rPr>
          <w:lang w:val="en-US"/>
        </w:rPr>
        <w:br/>
        <w:t>Runaway Bay QLD 4216</w:t>
      </w:r>
    </w:p>
    <w:p w14:paraId="3D50FF51" w14:textId="157911A2" w:rsidR="006B4161" w:rsidRPr="00481E1B" w:rsidRDefault="006B4161" w:rsidP="00622CFF">
      <w:pPr>
        <w:spacing w:before="240" w:after="240" w:line="240" w:lineRule="auto"/>
        <w:rPr>
          <w:lang w:val="en-US"/>
        </w:rPr>
      </w:pPr>
      <w:r w:rsidRPr="00481E1B">
        <w:rPr>
          <w:lang w:val="en-US"/>
        </w:rPr>
        <w:t xml:space="preserve">An </w:t>
      </w:r>
      <w:r w:rsidR="00696EE4">
        <w:rPr>
          <w:lang w:val="en-US"/>
        </w:rPr>
        <w:t>a</w:t>
      </w:r>
      <w:r w:rsidR="00696EE4" w:rsidRPr="00481E1B">
        <w:rPr>
          <w:lang w:val="en-US"/>
        </w:rPr>
        <w:t>ssessor</w:t>
      </w:r>
      <w:r w:rsidRPr="00481E1B">
        <w:rPr>
          <w:lang w:val="en-US"/>
        </w:rPr>
        <w:t xml:space="preserve"> can make a complaint or escalate an issue about contact centre services by calling the My Aged Care Service Provider and Assessor Helpline on 1800 836 799.</w:t>
      </w:r>
    </w:p>
    <w:p w14:paraId="675FAC67" w14:textId="77777777" w:rsidR="006B4161" w:rsidRPr="00481E1B" w:rsidRDefault="006B4161" w:rsidP="00622CFF">
      <w:pPr>
        <w:spacing w:before="240" w:after="240" w:line="240" w:lineRule="auto"/>
        <w:ind w:right="-612"/>
        <w:rPr>
          <w:lang w:val="en-US"/>
        </w:rPr>
      </w:pPr>
      <w:r w:rsidRPr="00481E1B">
        <w:rPr>
          <w:lang w:val="en-US"/>
        </w:rPr>
        <w:t xml:space="preserve">If an older person, assessor or provider is not satisfied with the response received, they can take further action by sending an email with the detail of their complaint, and their My Aged Care reference number to: </w:t>
      </w:r>
      <w:hyperlink r:id="rId257" w:history="1">
        <w:r w:rsidRPr="00481E1B">
          <w:rPr>
            <w:rStyle w:val="Hyperlink"/>
            <w:lang w:val="en-US"/>
          </w:rPr>
          <w:t>myagedcaresupport@health.gov.au</w:t>
        </w:r>
      </w:hyperlink>
    </w:p>
    <w:p w14:paraId="5C65CD6C" w14:textId="77777777" w:rsidR="006B4161" w:rsidRPr="00481E1B" w:rsidRDefault="006B4161" w:rsidP="00C56CEC">
      <w:pPr>
        <w:pStyle w:val="H3"/>
      </w:pPr>
      <w:bookmarkStart w:id="943" w:name="_Toc184402384"/>
      <w:bookmarkStart w:id="944" w:name="_Toc204329606"/>
      <w:bookmarkStart w:id="945" w:name="_Toc496022854"/>
      <w:bookmarkStart w:id="946" w:name="_Toc159226967"/>
      <w:r w:rsidRPr="00481E1B">
        <w:t>Concerns about the assessment</w:t>
      </w:r>
      <w:bookmarkEnd w:id="943"/>
      <w:bookmarkEnd w:id="944"/>
      <w:r w:rsidRPr="00481E1B">
        <w:t xml:space="preserve"> </w:t>
      </w:r>
      <w:bookmarkEnd w:id="945"/>
      <w:bookmarkEnd w:id="946"/>
    </w:p>
    <w:p w14:paraId="4886988D" w14:textId="77777777" w:rsidR="006B4161" w:rsidRPr="00481E1B" w:rsidRDefault="006B4161" w:rsidP="00622CFF">
      <w:pPr>
        <w:spacing w:before="240" w:after="240" w:line="240" w:lineRule="auto"/>
        <w:rPr>
          <w:lang w:val="en-US"/>
        </w:rPr>
      </w:pPr>
      <w:r w:rsidRPr="00481E1B">
        <w:rPr>
          <w:lang w:val="en-US"/>
        </w:rPr>
        <w:t xml:space="preserve">Assessment organisations are required to have a complaints procedure in place. </w:t>
      </w:r>
    </w:p>
    <w:p w14:paraId="6E973DC6" w14:textId="77777777" w:rsidR="006B4161" w:rsidRPr="00481E1B" w:rsidRDefault="006B4161" w:rsidP="00622CFF">
      <w:pPr>
        <w:spacing w:before="240" w:after="240" w:line="240" w:lineRule="auto"/>
        <w:rPr>
          <w:lang w:val="en-US"/>
        </w:rPr>
      </w:pPr>
      <w:r w:rsidRPr="00481E1B">
        <w:rPr>
          <w:lang w:val="en-US"/>
        </w:rPr>
        <w:t xml:space="preserve">If a person has concerns about their assessment, they are advised to contact the assessor or their assessment organisation in the first instance. </w:t>
      </w:r>
    </w:p>
    <w:p w14:paraId="3B29CBFE" w14:textId="1CA2C53B" w:rsidR="006B4161" w:rsidRPr="00481E1B" w:rsidRDefault="006B4161" w:rsidP="00622CFF">
      <w:pPr>
        <w:spacing w:before="240" w:after="240" w:line="240" w:lineRule="auto"/>
        <w:rPr>
          <w:lang w:val="en-US"/>
        </w:rPr>
      </w:pPr>
      <w:r w:rsidRPr="00481E1B">
        <w:rPr>
          <w:lang w:val="en-US"/>
        </w:rPr>
        <w:t xml:space="preserve">If the department receives a complaint through My Aged </w:t>
      </w:r>
      <w:r w:rsidR="00B76E1F" w:rsidRPr="00481E1B">
        <w:rPr>
          <w:lang w:val="en-US"/>
        </w:rPr>
        <w:t>Care,</w:t>
      </w:r>
      <w:r w:rsidRPr="00481E1B">
        <w:rPr>
          <w:lang w:val="en-US"/>
        </w:rPr>
        <w:t xml:space="preserve"> it will be referred to the relevant assessment organisation for investigation and/or resolution. The assessment organisation will report back to the department on the outcome.</w:t>
      </w:r>
    </w:p>
    <w:p w14:paraId="4D839AE0" w14:textId="77777777" w:rsidR="006B4161" w:rsidRDefault="006B4161" w:rsidP="00622CFF">
      <w:pPr>
        <w:spacing w:before="240" w:after="240" w:line="240" w:lineRule="auto"/>
        <w:rPr>
          <w:lang w:val="en-US"/>
        </w:rPr>
      </w:pPr>
      <w:r w:rsidRPr="00481E1B">
        <w:rPr>
          <w:lang w:val="en-US"/>
        </w:rPr>
        <w:t>If the person cannot first resolve the issue with their assessor or their organisation, they are advised to call My Aged Care for assistance on 1800 200 422. Complaints relating to assessment organisations are escalated to the department for investigation.</w:t>
      </w:r>
    </w:p>
    <w:tbl>
      <w:tblPr>
        <w:tblW w:w="0" w:type="auto"/>
        <w:tblLook w:val="04A0" w:firstRow="1" w:lastRow="0" w:firstColumn="1" w:lastColumn="0" w:noHBand="0" w:noVBand="1"/>
      </w:tblPr>
      <w:tblGrid>
        <w:gridCol w:w="921"/>
        <w:gridCol w:w="8105"/>
      </w:tblGrid>
      <w:tr w:rsidR="006B4161" w14:paraId="634128A1" w14:textId="77777777">
        <w:trPr>
          <w:trHeight w:val="677"/>
        </w:trPr>
        <w:tc>
          <w:tcPr>
            <w:tcW w:w="921" w:type="dxa"/>
          </w:tcPr>
          <w:p w14:paraId="4B6F266B" w14:textId="77777777" w:rsidR="006B4161" w:rsidRDefault="006B4161" w:rsidP="00622CFF">
            <w:pPr>
              <w:spacing w:before="240" w:after="240" w:line="240" w:lineRule="auto"/>
            </w:pPr>
            <w:r>
              <w:rPr>
                <w:noProof/>
              </w:rPr>
              <w:drawing>
                <wp:inline distT="0" distB="0" distL="0" distR="0" wp14:anchorId="1F055A20" wp14:editId="2B5F3C1E">
                  <wp:extent cx="447675" cy="445208"/>
                  <wp:effectExtent l="0" t="0" r="0" b="0"/>
                  <wp:docPr id="2142622027" name="Picture 21426220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0221AAA5" w14:textId="77777777" w:rsidR="006B4161" w:rsidRPr="00241EC2" w:rsidRDefault="006B4161" w:rsidP="00622CFF">
            <w:pPr>
              <w:spacing w:before="240" w:after="240" w:line="240" w:lineRule="auto"/>
              <w:rPr>
                <w:rStyle w:val="Hyperlink"/>
              </w:rPr>
            </w:pPr>
            <w:hyperlink r:id="rId258" w:history="1">
              <w:r w:rsidRPr="009762A7">
                <w:rPr>
                  <w:rStyle w:val="Hyperlink"/>
                </w:rPr>
                <w:t>My Aged Care Complaints</w:t>
              </w:r>
            </w:hyperlink>
            <w:r w:rsidRPr="00241EC2">
              <w:rPr>
                <w:rStyle w:val="Hyperlink"/>
                <w:kern w:val="28"/>
              </w:rPr>
              <w:t xml:space="preserve"> and </w:t>
            </w:r>
          </w:p>
          <w:p w14:paraId="609C3243" w14:textId="77777777" w:rsidR="006B4161" w:rsidRPr="00B9386E" w:rsidRDefault="006B4161" w:rsidP="00622CFF">
            <w:pPr>
              <w:spacing w:before="240" w:after="240" w:line="240" w:lineRule="auto"/>
              <w:rPr>
                <w:lang w:val="en-US"/>
              </w:rPr>
            </w:pPr>
            <w:r w:rsidRPr="009762A7">
              <w:rPr>
                <w:rStyle w:val="Hyperlink"/>
                <w:kern w:val="28"/>
              </w:rPr>
              <w:t xml:space="preserve">My Aged Care </w:t>
            </w:r>
            <w:hyperlink r:id="rId259">
              <w:r w:rsidRPr="009762A7">
                <w:rPr>
                  <w:rStyle w:val="Hyperlink"/>
                </w:rPr>
                <w:t>Quality in Aged Care</w:t>
              </w:r>
            </w:hyperlink>
          </w:p>
        </w:tc>
      </w:tr>
    </w:tbl>
    <w:p w14:paraId="1A328BC3" w14:textId="135497E3" w:rsidR="006B4161" w:rsidRPr="003E1933" w:rsidRDefault="006B4161" w:rsidP="00C56CEC">
      <w:pPr>
        <w:pStyle w:val="H3"/>
      </w:pPr>
      <w:bookmarkStart w:id="947" w:name="_Toc178942734"/>
      <w:bookmarkStart w:id="948" w:name="_Toc178946410"/>
      <w:bookmarkStart w:id="949" w:name="_Toc180396763"/>
      <w:bookmarkStart w:id="950" w:name="_Toc180396978"/>
      <w:bookmarkStart w:id="951" w:name="_Toc180418251"/>
      <w:bookmarkStart w:id="952" w:name="_Toc178942735"/>
      <w:bookmarkStart w:id="953" w:name="_Toc178946411"/>
      <w:bookmarkStart w:id="954" w:name="_Toc180396764"/>
      <w:bookmarkStart w:id="955" w:name="_Toc180396979"/>
      <w:bookmarkStart w:id="956" w:name="_Toc180418252"/>
      <w:bookmarkStart w:id="957" w:name="_Toc178942736"/>
      <w:bookmarkStart w:id="958" w:name="_Toc178946412"/>
      <w:bookmarkStart w:id="959" w:name="_Toc180396765"/>
      <w:bookmarkStart w:id="960" w:name="_Toc180396980"/>
      <w:bookmarkStart w:id="961" w:name="_Toc180418253"/>
      <w:bookmarkStart w:id="962" w:name="_Toc178942737"/>
      <w:bookmarkStart w:id="963" w:name="_Toc178946413"/>
      <w:bookmarkStart w:id="964" w:name="_Toc180396766"/>
      <w:bookmarkStart w:id="965" w:name="_Toc180396981"/>
      <w:bookmarkStart w:id="966" w:name="_Toc180418254"/>
      <w:bookmarkStart w:id="967" w:name="_Toc178942738"/>
      <w:bookmarkStart w:id="968" w:name="_Toc178946414"/>
      <w:bookmarkStart w:id="969" w:name="_Toc180396767"/>
      <w:bookmarkStart w:id="970" w:name="_Toc180396982"/>
      <w:bookmarkStart w:id="971" w:name="_Toc180418255"/>
      <w:bookmarkStart w:id="972" w:name="_Toc496022857"/>
      <w:bookmarkStart w:id="973" w:name="_Toc159226969"/>
      <w:bookmarkStart w:id="974" w:name="_Toc184402385"/>
      <w:bookmarkStart w:id="975" w:name="_Toc204329607"/>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3E1933">
        <w:t xml:space="preserve">Complaints about an </w:t>
      </w:r>
      <w:r w:rsidR="0000521E">
        <w:t>a</w:t>
      </w:r>
      <w:r w:rsidRPr="003E1933">
        <w:t xml:space="preserve">ged </w:t>
      </w:r>
      <w:r w:rsidR="0000521E">
        <w:t>c</w:t>
      </w:r>
      <w:r w:rsidRPr="003E1933">
        <w:t xml:space="preserve">are </w:t>
      </w:r>
      <w:r w:rsidR="0000521E">
        <w:t>p</w:t>
      </w:r>
      <w:r w:rsidRPr="003E1933">
        <w:t>rovider</w:t>
      </w:r>
      <w:bookmarkEnd w:id="972"/>
      <w:bookmarkEnd w:id="973"/>
      <w:bookmarkEnd w:id="974"/>
      <w:bookmarkEnd w:id="975"/>
    </w:p>
    <w:p w14:paraId="202865D9" w14:textId="5CA6FB70" w:rsidR="006B4161" w:rsidRPr="009762A7" w:rsidRDefault="006B4161" w:rsidP="00622CFF">
      <w:pPr>
        <w:tabs>
          <w:tab w:val="left" w:pos="567"/>
        </w:tabs>
        <w:spacing w:before="240" w:after="240" w:line="240" w:lineRule="auto"/>
        <w:rPr>
          <w:lang w:val="en-US"/>
        </w:rPr>
      </w:pPr>
      <w:r w:rsidRPr="009762A7">
        <w:rPr>
          <w:lang w:val="en-US"/>
        </w:rPr>
        <w:t>If an older person (and/or their carer/advocate/</w:t>
      </w:r>
      <w:r>
        <w:rPr>
          <w:lang w:val="en-US"/>
        </w:rPr>
        <w:t xml:space="preserve">registered </w:t>
      </w:r>
      <w:r w:rsidRPr="009762A7">
        <w:rPr>
          <w:lang w:val="en-US"/>
        </w:rPr>
        <w:t>supporter</w:t>
      </w:r>
      <w:r w:rsidR="00285CB5">
        <w:rPr>
          <w:lang w:val="en-US"/>
        </w:rPr>
        <w:t>/</w:t>
      </w:r>
      <w:r w:rsidR="00285CB5">
        <w:t>appointed decision maker</w:t>
      </w:r>
      <w:r w:rsidRPr="009762A7">
        <w:rPr>
          <w:lang w:val="en-US"/>
        </w:rPr>
        <w:t>) is unhappy with any aspect of the care or services being received through an aged care provider they can:</w:t>
      </w:r>
    </w:p>
    <w:p w14:paraId="48D7FD8A" w14:textId="77777777" w:rsidR="006B4161" w:rsidRPr="009762A7" w:rsidRDefault="006B4161" w:rsidP="00DF3F6B">
      <w:pPr>
        <w:numPr>
          <w:ilvl w:val="0"/>
          <w:numId w:val="346"/>
        </w:numPr>
        <w:spacing w:before="120" w:after="120" w:line="240" w:lineRule="auto"/>
        <w:ind w:left="568" w:hanging="284"/>
        <w:rPr>
          <w:lang w:val="en-US"/>
        </w:rPr>
      </w:pPr>
      <w:r w:rsidRPr="009762A7">
        <w:rPr>
          <w:lang w:val="en-US"/>
        </w:rPr>
        <w:t>Speak to their service provider about their concerns</w:t>
      </w:r>
    </w:p>
    <w:p w14:paraId="21266A75" w14:textId="77777777" w:rsidR="006B4161" w:rsidRPr="009762A7" w:rsidRDefault="006B4161" w:rsidP="00DF3F6B">
      <w:pPr>
        <w:numPr>
          <w:ilvl w:val="0"/>
          <w:numId w:val="346"/>
        </w:numPr>
        <w:spacing w:before="120" w:after="120" w:line="240" w:lineRule="auto"/>
        <w:ind w:left="568" w:hanging="284"/>
        <w:rPr>
          <w:lang w:val="en-US"/>
        </w:rPr>
      </w:pPr>
      <w:r w:rsidRPr="009762A7">
        <w:rPr>
          <w:lang w:val="en-US"/>
        </w:rPr>
        <w:t>make a complaint to the Aged Care Quality and Safety Commission (ACQSC):</w:t>
      </w:r>
    </w:p>
    <w:p w14:paraId="59CEBD61" w14:textId="77777777" w:rsidR="006B4161" w:rsidRPr="009762A7" w:rsidRDefault="006B4161" w:rsidP="00DF3F6B">
      <w:pPr>
        <w:numPr>
          <w:ilvl w:val="1"/>
          <w:numId w:val="346"/>
        </w:numPr>
        <w:spacing w:before="120" w:after="120" w:line="240" w:lineRule="auto"/>
        <w:ind w:left="1276"/>
        <w:rPr>
          <w:lang w:val="en-US"/>
        </w:rPr>
      </w:pPr>
      <w:r w:rsidRPr="009762A7">
        <w:rPr>
          <w:lang w:val="en-US"/>
        </w:rPr>
        <w:t xml:space="preserve">By calling 1800 951 822 </w:t>
      </w:r>
    </w:p>
    <w:p w14:paraId="6B4418E3" w14:textId="77777777" w:rsidR="006B4161" w:rsidRPr="009762A7" w:rsidRDefault="006B4161" w:rsidP="00DF3F6B">
      <w:pPr>
        <w:numPr>
          <w:ilvl w:val="1"/>
          <w:numId w:val="346"/>
        </w:numPr>
        <w:spacing w:before="120" w:after="120" w:line="240" w:lineRule="auto"/>
        <w:ind w:left="1276"/>
        <w:rPr>
          <w:lang w:val="en-US"/>
        </w:rPr>
      </w:pPr>
      <w:r w:rsidRPr="343A7872">
        <w:rPr>
          <w:lang w:val="en-US"/>
        </w:rPr>
        <w:t xml:space="preserve">By completing an </w:t>
      </w:r>
      <w:hyperlink r:id="rId260" w:history="1">
        <w:r w:rsidRPr="343A7872">
          <w:rPr>
            <w:rStyle w:val="Hyperlink"/>
            <w:lang w:val="en-US"/>
          </w:rPr>
          <w:t>online form on the commission’s website</w:t>
        </w:r>
      </w:hyperlink>
    </w:p>
    <w:p w14:paraId="2E7BB6D3" w14:textId="77777777" w:rsidR="006B4161" w:rsidRPr="009762A7" w:rsidRDefault="006B4161" w:rsidP="00DF3F6B">
      <w:pPr>
        <w:numPr>
          <w:ilvl w:val="1"/>
          <w:numId w:val="346"/>
        </w:numPr>
        <w:spacing w:before="120" w:after="120" w:line="240" w:lineRule="auto"/>
        <w:ind w:left="1276"/>
        <w:rPr>
          <w:lang w:val="en-US"/>
        </w:rPr>
      </w:pPr>
      <w:r w:rsidRPr="009762A7">
        <w:rPr>
          <w:lang w:val="en-US"/>
        </w:rPr>
        <w:t>In writing to:</w:t>
      </w:r>
    </w:p>
    <w:p w14:paraId="5B2187F4" w14:textId="77777777" w:rsidR="006B4161" w:rsidRPr="009762A7" w:rsidRDefault="006B4161" w:rsidP="00D74FD8">
      <w:pPr>
        <w:pStyle w:val="ListParagraph"/>
        <w:tabs>
          <w:tab w:val="left" w:pos="567"/>
        </w:tabs>
        <w:spacing w:before="120" w:after="120" w:line="240" w:lineRule="auto"/>
        <w:ind w:left="1800"/>
        <w:rPr>
          <w:lang w:val="en-US"/>
        </w:rPr>
      </w:pPr>
      <w:r w:rsidRPr="009762A7">
        <w:rPr>
          <w:lang w:val="en-US"/>
        </w:rPr>
        <w:t>Aged Care Quality and Safety Commission</w:t>
      </w:r>
    </w:p>
    <w:p w14:paraId="30698A89" w14:textId="77777777" w:rsidR="006B4161" w:rsidRPr="009762A7" w:rsidRDefault="006B4161" w:rsidP="00D74FD8">
      <w:pPr>
        <w:pStyle w:val="ListParagraph"/>
        <w:tabs>
          <w:tab w:val="left" w:pos="567"/>
        </w:tabs>
        <w:spacing w:before="120" w:after="120" w:line="240" w:lineRule="auto"/>
        <w:ind w:left="1800"/>
        <w:rPr>
          <w:lang w:val="en-US"/>
        </w:rPr>
      </w:pPr>
      <w:r w:rsidRPr="009762A7">
        <w:rPr>
          <w:lang w:val="en-US"/>
        </w:rPr>
        <w:t xml:space="preserve">GPO Box 9819, in your capital city </w:t>
      </w:r>
    </w:p>
    <w:p w14:paraId="5BF47D03" w14:textId="60A639D6" w:rsidR="006B4161" w:rsidRPr="009762A7" w:rsidRDefault="006B4161" w:rsidP="00622CFF">
      <w:pPr>
        <w:spacing w:before="240" w:after="240" w:line="240" w:lineRule="auto"/>
        <w:rPr>
          <w:lang w:val="en-US"/>
        </w:rPr>
      </w:pPr>
      <w:r w:rsidRPr="009762A7">
        <w:rPr>
          <w:lang w:val="en-US"/>
        </w:rPr>
        <w:t xml:space="preserve">An assessor can also make a complaint with the </w:t>
      </w:r>
      <w:r w:rsidR="00817E98">
        <w:rPr>
          <w:lang w:val="en-US"/>
        </w:rPr>
        <w:t>AC</w:t>
      </w:r>
      <w:r w:rsidR="000217D3">
        <w:rPr>
          <w:lang w:val="en-US"/>
        </w:rPr>
        <w:t>QSC</w:t>
      </w:r>
      <w:r w:rsidRPr="009762A7">
        <w:rPr>
          <w:lang w:val="en-US"/>
        </w:rPr>
        <w:t xml:space="preserve"> if they have concerns about an aged care provider. </w:t>
      </w:r>
    </w:p>
    <w:p w14:paraId="4D6CD4B9" w14:textId="4D6BCCC4" w:rsidR="006B4161" w:rsidRDefault="006B4161" w:rsidP="00622CFF">
      <w:pPr>
        <w:spacing w:before="240" w:after="240" w:line="240" w:lineRule="auto"/>
        <w:rPr>
          <w:lang w:val="en-US"/>
        </w:rPr>
      </w:pPr>
      <w:r w:rsidRPr="009762A7">
        <w:rPr>
          <w:lang w:val="en-US"/>
        </w:rPr>
        <w:t xml:space="preserve">In addition to the above, complaints about care received from </w:t>
      </w:r>
      <w:r w:rsidR="006F7994" w:rsidRPr="009762A7">
        <w:rPr>
          <w:lang w:val="en-US"/>
        </w:rPr>
        <w:t>M</w:t>
      </w:r>
      <w:r w:rsidR="006F7994">
        <w:rPr>
          <w:lang w:val="en-US"/>
        </w:rPr>
        <w:t>ulti-Purpose</w:t>
      </w:r>
      <w:r w:rsidR="000217D3">
        <w:rPr>
          <w:lang w:val="en-US"/>
        </w:rPr>
        <w:t xml:space="preserve"> Service Program (</w:t>
      </w:r>
      <w:r w:rsidR="006F7994" w:rsidRPr="009762A7">
        <w:rPr>
          <w:lang w:val="en-US"/>
        </w:rPr>
        <w:t>MPSP</w:t>
      </w:r>
      <w:r w:rsidR="006F7994">
        <w:rPr>
          <w:lang w:val="en-US"/>
        </w:rPr>
        <w:t xml:space="preserve">) </w:t>
      </w:r>
      <w:r w:rsidR="006F7994" w:rsidRPr="009762A7">
        <w:rPr>
          <w:lang w:val="en-US"/>
        </w:rPr>
        <w:t>providers</w:t>
      </w:r>
      <w:r w:rsidRPr="009762A7">
        <w:rPr>
          <w:lang w:val="en-US"/>
        </w:rPr>
        <w:t xml:space="preserve"> or </w:t>
      </w:r>
      <w:r w:rsidR="000217D3">
        <w:rPr>
          <w:lang w:val="en-US"/>
        </w:rPr>
        <w:t xml:space="preserve">Transition Care Program </w:t>
      </w:r>
      <w:r w:rsidRPr="009762A7">
        <w:rPr>
          <w:lang w:val="en-US"/>
        </w:rPr>
        <w:t>providers can be referred to the relevant state and territory health department complaints bodies.</w:t>
      </w:r>
    </w:p>
    <w:p w14:paraId="6329A7FA" w14:textId="77777777" w:rsidR="006B4161" w:rsidRDefault="006B4161" w:rsidP="00622CFF">
      <w:pPr>
        <w:spacing w:before="240" w:after="240" w:line="240" w:lineRule="auto"/>
        <w:rPr>
          <w:lang w:val="en-US"/>
        </w:rPr>
      </w:pPr>
      <w:r w:rsidRPr="1B98FC1A">
        <w:rPr>
          <w:lang w:val="en-US"/>
        </w:rPr>
        <w:t xml:space="preserve">MPSP providers </w:t>
      </w:r>
      <w:r w:rsidRPr="2D83741D">
        <w:rPr>
          <w:lang w:val="en-US"/>
        </w:rPr>
        <w:t xml:space="preserve">also </w:t>
      </w:r>
      <w:r w:rsidRPr="1B98FC1A">
        <w:rPr>
          <w:lang w:val="en-US"/>
        </w:rPr>
        <w:t xml:space="preserve">have an obligation, under their MPSP agreement with the Commonwealth, to ensure </w:t>
      </w:r>
      <w:r w:rsidRPr="6EC34666">
        <w:rPr>
          <w:lang w:val="en-US"/>
        </w:rPr>
        <w:t>their respective state or territory</w:t>
      </w:r>
      <w:r w:rsidRPr="1B98FC1A">
        <w:rPr>
          <w:lang w:val="en-US"/>
        </w:rPr>
        <w:t xml:space="preserve"> is advised </w:t>
      </w:r>
      <w:r w:rsidRPr="2D83741D">
        <w:rPr>
          <w:lang w:val="en-US"/>
        </w:rPr>
        <w:t>when</w:t>
      </w:r>
      <w:r w:rsidRPr="1B98FC1A">
        <w:rPr>
          <w:lang w:val="en-US"/>
        </w:rPr>
        <w:t xml:space="preserve"> complaints have been made by an individual about the aged care or health services being delivered</w:t>
      </w:r>
      <w:r w:rsidRPr="2D83741D">
        <w:rPr>
          <w:lang w:val="en-US"/>
        </w:rPr>
        <w:t>.</w:t>
      </w:r>
      <w:r w:rsidRPr="1B98FC1A">
        <w:rPr>
          <w:lang w:val="en-US"/>
        </w:rPr>
        <w:t xml:space="preserve"> </w:t>
      </w:r>
    </w:p>
    <w:tbl>
      <w:tblPr>
        <w:tblW w:w="0" w:type="auto"/>
        <w:tblLook w:val="04A0" w:firstRow="1" w:lastRow="0" w:firstColumn="1" w:lastColumn="0" w:noHBand="0" w:noVBand="1"/>
      </w:tblPr>
      <w:tblGrid>
        <w:gridCol w:w="921"/>
        <w:gridCol w:w="8105"/>
      </w:tblGrid>
      <w:tr w:rsidR="006B4161" w14:paraId="328C94E4" w14:textId="77777777">
        <w:trPr>
          <w:trHeight w:val="677"/>
        </w:trPr>
        <w:tc>
          <w:tcPr>
            <w:tcW w:w="921" w:type="dxa"/>
          </w:tcPr>
          <w:p w14:paraId="501E1BCE" w14:textId="77777777" w:rsidR="006B4161" w:rsidRDefault="006B4161" w:rsidP="00622CFF">
            <w:pPr>
              <w:spacing w:before="240" w:after="240" w:line="240" w:lineRule="auto"/>
            </w:pPr>
            <w:r>
              <w:rPr>
                <w:noProof/>
              </w:rPr>
              <w:drawing>
                <wp:inline distT="0" distB="0" distL="0" distR="0" wp14:anchorId="7F92111A" wp14:editId="21A71A38">
                  <wp:extent cx="447675" cy="445208"/>
                  <wp:effectExtent l="0" t="0" r="0" b="0"/>
                  <wp:docPr id="1145004896" name="Picture 114500489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2E1D7C96" w14:textId="77777777" w:rsidR="006B4161" w:rsidRPr="00241EC2" w:rsidRDefault="006B4161" w:rsidP="00622CFF">
            <w:pPr>
              <w:spacing w:before="240" w:after="240" w:line="240" w:lineRule="auto"/>
              <w:rPr>
                <w:b/>
              </w:rPr>
            </w:pPr>
            <w:r w:rsidRPr="009762A7">
              <w:t xml:space="preserve">ACQSC: </w:t>
            </w:r>
            <w:hyperlink r:id="rId261">
              <w:r w:rsidRPr="009762A7">
                <w:rPr>
                  <w:rStyle w:val="Hyperlink"/>
                </w:rPr>
                <w:t>Aged Care Service Provider Complaints</w:t>
              </w:r>
            </w:hyperlink>
            <w:r w:rsidRPr="009762A7">
              <w:t xml:space="preserve"> </w:t>
            </w:r>
          </w:p>
          <w:p w14:paraId="3C415CA9" w14:textId="77777777" w:rsidR="006B4161" w:rsidRPr="00B9386E" w:rsidRDefault="006B4161" w:rsidP="00622CFF">
            <w:pPr>
              <w:spacing w:before="240" w:after="240" w:line="240" w:lineRule="auto"/>
              <w:rPr>
                <w:b/>
              </w:rPr>
            </w:pPr>
            <w:r w:rsidRPr="009762A7">
              <w:t xml:space="preserve">ACQSC: </w:t>
            </w:r>
            <w:hyperlink r:id="rId262">
              <w:r w:rsidRPr="009762A7">
                <w:rPr>
                  <w:rStyle w:val="Hyperlink"/>
                </w:rPr>
                <w:t>Lodge a Complaint</w:t>
              </w:r>
            </w:hyperlink>
          </w:p>
        </w:tc>
      </w:tr>
    </w:tbl>
    <w:p w14:paraId="5BD3C147" w14:textId="2D2AB04D" w:rsidR="006B4161" w:rsidRDefault="006B4161" w:rsidP="00C56CEC">
      <w:pPr>
        <w:pStyle w:val="H3"/>
      </w:pPr>
      <w:bookmarkStart w:id="976" w:name="_Toc204329608"/>
      <w:r w:rsidRPr="009762A7">
        <w:t xml:space="preserve">Complaints </w:t>
      </w:r>
      <w:r>
        <w:t xml:space="preserve">and concerns about registered supporters </w:t>
      </w:r>
      <w:bookmarkEnd w:id="976"/>
    </w:p>
    <w:p w14:paraId="65AAB8FA" w14:textId="77777777" w:rsidR="006B4161" w:rsidRPr="00C916B0" w:rsidRDefault="006B4161" w:rsidP="00622CFF">
      <w:pPr>
        <w:spacing w:before="240" w:after="240" w:line="240" w:lineRule="auto"/>
        <w:rPr>
          <w:lang w:val="en-US"/>
        </w:rPr>
      </w:pPr>
      <w:r w:rsidRPr="00C916B0">
        <w:rPr>
          <w:lang w:val="en-US"/>
        </w:rPr>
        <w:t>Any person or organisation can raise a complaint or concern with the System Governor relating to a registered supporter’s conduct, including alleged non-compliance with the duties of a registered supporter.</w:t>
      </w:r>
      <w:r>
        <w:rPr>
          <w:lang w:val="en-US"/>
        </w:rPr>
        <w:t xml:space="preserve"> The System Governor can suspend and/or cancel the registration of a supporter. This may occur at the request of an older person or registered supporter, or at the initiative of the System Governor.</w:t>
      </w:r>
    </w:p>
    <w:p w14:paraId="61873625" w14:textId="53F1DDCD" w:rsidR="006B4161" w:rsidRPr="00C916B0" w:rsidRDefault="006B4161" w:rsidP="00622CFF">
      <w:pPr>
        <w:spacing w:before="240" w:after="240" w:line="240" w:lineRule="auto"/>
        <w:rPr>
          <w:lang w:val="en-US"/>
        </w:rPr>
      </w:pPr>
      <w:r w:rsidRPr="00C916B0">
        <w:rPr>
          <w:lang w:val="en-US"/>
        </w:rPr>
        <w:t xml:space="preserve">Complaints </w:t>
      </w:r>
      <w:r>
        <w:rPr>
          <w:lang w:val="en-US"/>
        </w:rPr>
        <w:t>or concerns can be raised by anyone. This includes an</w:t>
      </w:r>
      <w:r w:rsidRPr="00C916B0">
        <w:rPr>
          <w:lang w:val="en-US"/>
        </w:rPr>
        <w:t xml:space="preserve"> older person, their other registered supporters, </w:t>
      </w:r>
      <w:r w:rsidR="00285CB5">
        <w:rPr>
          <w:lang w:val="en-US"/>
        </w:rPr>
        <w:t>appointed decision makers,</w:t>
      </w:r>
      <w:r w:rsidRPr="00C916B0">
        <w:rPr>
          <w:lang w:val="en-US"/>
        </w:rPr>
        <w:t xml:space="preserve"> aged care providers or workers, medical or allied health practitioners, advocates or any other person who is concerned for the welfare or treatment of themselves or the older person.</w:t>
      </w:r>
    </w:p>
    <w:p w14:paraId="1B3515CA" w14:textId="5E3176E7" w:rsidR="006B4161" w:rsidRPr="00C916B0" w:rsidRDefault="006B4161" w:rsidP="00622CFF">
      <w:pPr>
        <w:spacing w:before="240" w:after="240" w:line="240" w:lineRule="auto"/>
        <w:rPr>
          <w:lang w:val="en-US"/>
        </w:rPr>
      </w:pPr>
      <w:r w:rsidRPr="00C916B0">
        <w:rPr>
          <w:lang w:val="en-US"/>
        </w:rPr>
        <w:t xml:space="preserve">Assessors have a role in raising or handling complaints, concerns, or requests to cancel the registration of a supporter by escalating any relevant information to the </w:t>
      </w:r>
      <w:r w:rsidR="00285CB5">
        <w:rPr>
          <w:lang w:val="en-US"/>
        </w:rPr>
        <w:t>departmental delegate responsible for supporters</w:t>
      </w:r>
      <w:r w:rsidRPr="00C916B0">
        <w:rPr>
          <w:lang w:val="en-US"/>
        </w:rPr>
        <w:t>. This includes any request from an older person or their registered supporter to cancel the relationship</w:t>
      </w:r>
      <w:r w:rsidR="00B013EE">
        <w:rPr>
          <w:lang w:val="en-US"/>
        </w:rPr>
        <w:t xml:space="preserve"> where the circumstances mean the registered supporter may be suspended under the </w:t>
      </w:r>
      <w:r w:rsidR="004545FD" w:rsidRPr="005F6521">
        <w:rPr>
          <w:i/>
          <w:lang w:val="en-US"/>
        </w:rPr>
        <w:t xml:space="preserve">Aged Care </w:t>
      </w:r>
      <w:r w:rsidR="00B013EE" w:rsidRPr="005F6521">
        <w:rPr>
          <w:i/>
          <w:lang w:val="en-US"/>
        </w:rPr>
        <w:t>Act</w:t>
      </w:r>
      <w:r w:rsidR="004545FD" w:rsidRPr="005F6521">
        <w:rPr>
          <w:i/>
          <w:lang w:val="en-US"/>
        </w:rPr>
        <w:t xml:space="preserve"> 2024</w:t>
      </w:r>
      <w:r w:rsidR="004545FD">
        <w:rPr>
          <w:lang w:val="en-US"/>
        </w:rPr>
        <w:t xml:space="preserve"> (the Act)</w:t>
      </w:r>
      <w:r w:rsidRPr="00C916B0">
        <w:rPr>
          <w:lang w:val="en-US"/>
        </w:rPr>
        <w:t xml:space="preserve">, or any other complaint or information that suggests a registered supporter is not complying with their duties under the Act. This includes anything </w:t>
      </w:r>
      <w:r>
        <w:rPr>
          <w:lang w:val="en-US"/>
        </w:rPr>
        <w:t>an assessor</w:t>
      </w:r>
      <w:r w:rsidRPr="00C916B0">
        <w:rPr>
          <w:lang w:val="en-US"/>
        </w:rPr>
        <w:t xml:space="preserve"> notice</w:t>
      </w:r>
      <w:r>
        <w:rPr>
          <w:lang w:val="en-US"/>
        </w:rPr>
        <w:t>s</w:t>
      </w:r>
      <w:r w:rsidRPr="00C916B0">
        <w:rPr>
          <w:lang w:val="en-US"/>
        </w:rPr>
        <w:t xml:space="preserve"> at an assessment.</w:t>
      </w:r>
    </w:p>
    <w:p w14:paraId="0BBFE092" w14:textId="267AF2D7" w:rsidR="00CE4AA6" w:rsidRDefault="00CE4AA6" w:rsidP="00477667">
      <w:pPr>
        <w:spacing w:after="0" w:line="240" w:lineRule="auto"/>
        <w:rPr>
          <w:b/>
          <w:bCs/>
        </w:rPr>
      </w:pPr>
      <w:r w:rsidRPr="00814BCD">
        <w:t xml:space="preserve">Concerns and complaints can be raised using the </w:t>
      </w:r>
      <w:hyperlink r:id="rId263" w:anchor="make-a-complaint-or-submit-a-document" w:history="1">
        <w:r w:rsidRPr="00814BCD">
          <w:rPr>
            <w:rStyle w:val="Hyperlink"/>
          </w:rPr>
          <w:t>online form</w:t>
        </w:r>
      </w:hyperlink>
      <w:r w:rsidRPr="00814BCD">
        <w:t xml:space="preserve"> for making a submission to the System Governor responsible for supporters.</w:t>
      </w:r>
    </w:p>
    <w:p w14:paraId="1BDE6EDC" w14:textId="77777777" w:rsidR="006744FA" w:rsidRDefault="006744FA" w:rsidP="00477667">
      <w:pPr>
        <w:spacing w:after="0" w:line="240" w:lineRule="auto"/>
        <w:rPr>
          <w:b/>
          <w:bCs/>
        </w:rPr>
      </w:pPr>
    </w:p>
    <w:p w14:paraId="609C6260" w14:textId="7E35E6AC" w:rsidR="006744FA" w:rsidRDefault="006744FA" w:rsidP="00477667">
      <w:pPr>
        <w:spacing w:after="0" w:line="240" w:lineRule="auto"/>
        <w:rPr>
          <w:b/>
          <w:bCs/>
        </w:rPr>
      </w:pPr>
      <w:r>
        <w:t xml:space="preserve">Information about the duties of a registered supporter and the complaints process can be found in the </w:t>
      </w:r>
      <w:hyperlink r:id="rId264" w:history="1">
        <w:r w:rsidRPr="00796CD4">
          <w:rPr>
            <w:rStyle w:val="Hyperlink"/>
          </w:rPr>
          <w:t>policy library for registered supporters</w:t>
        </w:r>
      </w:hyperlink>
      <w:r>
        <w:t>.</w:t>
      </w:r>
    </w:p>
    <w:p w14:paraId="5E91B2E2" w14:textId="0E8B32A8" w:rsidR="006B4161" w:rsidRPr="002E7F2E" w:rsidRDefault="006B4161" w:rsidP="00622CFF">
      <w:pPr>
        <w:spacing w:before="240" w:after="240" w:line="240" w:lineRule="auto"/>
      </w:pPr>
      <w:r w:rsidRPr="00C916B0">
        <w:rPr>
          <w:lang w:val="en-US"/>
        </w:rPr>
        <w:t xml:space="preserve">Complaints about aged care providers, including their engagement with registered supporters, can be made to the </w:t>
      </w:r>
      <w:r w:rsidR="005A64FB">
        <w:rPr>
          <w:lang w:val="en-US"/>
        </w:rPr>
        <w:t>Aged Care Quality and Safety Commission</w:t>
      </w:r>
      <w:r w:rsidRPr="00C916B0">
        <w:rPr>
          <w:lang w:val="en-US"/>
        </w:rPr>
        <w:t>.</w:t>
      </w:r>
      <w:r>
        <w:rPr>
          <w:lang w:val="en-US"/>
        </w:rPr>
        <w:t xml:space="preserve"> </w:t>
      </w:r>
      <w:r w:rsidRPr="00A45305">
        <w:rPr>
          <w:rFonts w:eastAsia="Cambria"/>
          <w:szCs w:val="22"/>
          <w:lang w:val="en-AU"/>
        </w:rPr>
        <w:t xml:space="preserve"> </w:t>
      </w:r>
    </w:p>
    <w:p w14:paraId="0BBFEE18" w14:textId="2EBF23A0" w:rsidR="006B4161" w:rsidRPr="009762A7" w:rsidRDefault="006B4161" w:rsidP="00C56CEC">
      <w:pPr>
        <w:pStyle w:val="H3"/>
      </w:pPr>
      <w:bookmarkStart w:id="977" w:name="_Toc204329609"/>
      <w:r w:rsidRPr="009762A7">
        <w:t xml:space="preserve">Complaints about </w:t>
      </w:r>
      <w:r w:rsidR="0000521E">
        <w:t>a</w:t>
      </w:r>
      <w:r w:rsidRPr="009762A7">
        <w:t xml:space="preserve">ged </w:t>
      </w:r>
      <w:r w:rsidR="0000521E">
        <w:t>c</w:t>
      </w:r>
      <w:r w:rsidRPr="009762A7">
        <w:t>are policies</w:t>
      </w:r>
      <w:bookmarkEnd w:id="977"/>
    </w:p>
    <w:p w14:paraId="5D1DC09F" w14:textId="38B4E1F2" w:rsidR="006B4161" w:rsidRPr="009762A7" w:rsidRDefault="006B4161" w:rsidP="00622CFF">
      <w:pPr>
        <w:spacing w:before="240" w:after="240" w:line="240" w:lineRule="auto"/>
        <w:rPr>
          <w:lang w:val="en-US"/>
        </w:rPr>
      </w:pPr>
      <w:r w:rsidRPr="009762A7">
        <w:rPr>
          <w:lang w:val="en-US"/>
        </w:rPr>
        <w:t xml:space="preserve">Complaints related to Australian Government </w:t>
      </w:r>
      <w:r w:rsidR="0000521E">
        <w:rPr>
          <w:lang w:val="en-US"/>
        </w:rPr>
        <w:t>a</w:t>
      </w:r>
      <w:r w:rsidRPr="009762A7">
        <w:rPr>
          <w:lang w:val="en-US"/>
        </w:rPr>
        <w:t xml:space="preserve">ged </w:t>
      </w:r>
      <w:r w:rsidR="0000521E">
        <w:rPr>
          <w:lang w:val="en-US"/>
        </w:rPr>
        <w:t>c</w:t>
      </w:r>
      <w:r w:rsidRPr="009762A7">
        <w:rPr>
          <w:lang w:val="en-US"/>
        </w:rPr>
        <w:t xml:space="preserve">are policies, guidelines or decisions should be referred to the </w:t>
      </w:r>
      <w:r w:rsidR="00A34097">
        <w:rPr>
          <w:lang w:val="en-US"/>
        </w:rPr>
        <w:t>D</w:t>
      </w:r>
      <w:r w:rsidR="00A34097" w:rsidRPr="009762A7">
        <w:rPr>
          <w:lang w:val="en-US"/>
        </w:rPr>
        <w:t>epartment</w:t>
      </w:r>
      <w:r w:rsidR="00A34097">
        <w:rPr>
          <w:lang w:val="en-US"/>
        </w:rPr>
        <w:t xml:space="preserve"> of Health, Disability and Ageing</w:t>
      </w:r>
      <w:r w:rsidRPr="009762A7">
        <w:rPr>
          <w:lang w:val="en-US"/>
        </w:rPr>
        <w:t>.</w:t>
      </w:r>
    </w:p>
    <w:p w14:paraId="3F591B41" w14:textId="77777777" w:rsidR="00D74FD8" w:rsidRDefault="00D74FD8">
      <w:bookmarkStart w:id="978" w:name="_Toc204329610"/>
      <w:bookmarkStart w:id="979" w:name="_Toc209189050"/>
      <w:r w:rsidDel="00EA713D">
        <w:br w:type="page"/>
      </w:r>
    </w:p>
    <w:p w14:paraId="29B841BC" w14:textId="77777777" w:rsidR="00697217" w:rsidRDefault="00697217" w:rsidP="004B6DFD">
      <w:pPr>
        <w:pStyle w:val="H1"/>
      </w:pPr>
      <w:bookmarkStart w:id="980" w:name="_Ref212735812"/>
      <w:bookmarkStart w:id="981" w:name="_Ref212735863"/>
      <w:bookmarkStart w:id="982" w:name="_Ref212735971"/>
      <w:bookmarkStart w:id="983" w:name="_Toc224916704"/>
      <w:r w:rsidRPr="00F570D9">
        <w:t xml:space="preserve">Chapter </w:t>
      </w:r>
      <w:r>
        <w:t>12</w:t>
      </w:r>
      <w:r w:rsidRPr="00F570D9">
        <w:t xml:space="preserve">: </w:t>
      </w:r>
      <w:r>
        <w:t>Supporting diverse experiences and needs</w:t>
      </w:r>
      <w:bookmarkEnd w:id="978"/>
      <w:bookmarkEnd w:id="979"/>
      <w:bookmarkEnd w:id="980"/>
      <w:bookmarkEnd w:id="981"/>
      <w:bookmarkEnd w:id="982"/>
      <w:bookmarkEnd w:id="983"/>
      <w:r>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EAEDF1" w:themeFill="text2" w:themeFillTint="1A"/>
        <w:tblLook w:val="04A0" w:firstRow="1" w:lastRow="0" w:firstColumn="1" w:lastColumn="0" w:noHBand="0" w:noVBand="1"/>
      </w:tblPr>
      <w:tblGrid>
        <w:gridCol w:w="9016"/>
      </w:tblGrid>
      <w:tr w:rsidR="00697217" w14:paraId="5D95E168" w14:textId="77777777" w:rsidTr="005A48DD">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E9308" w14:textId="7098498E" w:rsidR="00B76E1F" w:rsidRDefault="00697217" w:rsidP="001E3882">
            <w:pPr>
              <w:rPr>
                <w:b/>
                <w:color w:val="358189"/>
                <w:szCs w:val="36"/>
              </w:rPr>
            </w:pPr>
            <w:bookmarkStart w:id="984" w:name="_Toc204329611"/>
            <w:bookmarkStart w:id="985" w:name="_Toc209189051"/>
            <w:r w:rsidRPr="00380A8B">
              <w:rPr>
                <w:b/>
                <w:color w:val="358189"/>
                <w:sz w:val="36"/>
                <w:szCs w:val="36"/>
              </w:rPr>
              <w:t>What you’ll find in this chapter</w:t>
            </w:r>
            <w:bookmarkEnd w:id="984"/>
            <w:bookmarkEnd w:id="985"/>
            <w:r w:rsidR="00BA5ED1">
              <w:rPr>
                <w:b/>
                <w:color w:val="358189"/>
                <w:sz w:val="36"/>
                <w:szCs w:val="36"/>
              </w:rPr>
              <w:t>:</w:t>
            </w:r>
          </w:p>
          <w:p w14:paraId="0F6C53EE" w14:textId="77777777" w:rsidR="00B76E1F" w:rsidRDefault="00B76E1F" w:rsidP="00B76E1F"/>
          <w:p w14:paraId="28E468D1" w14:textId="6DB3139C" w:rsidR="00697217" w:rsidRPr="00F236D3" w:rsidRDefault="00B76E1F" w:rsidP="00B76E1F">
            <w:pPr>
              <w:spacing w:before="240" w:after="240"/>
            </w:pPr>
            <w:r>
              <w:t>T</w:t>
            </w:r>
            <w:r w:rsidR="00697217">
              <w:t xml:space="preserve">his chapter outlines the ways in which the aged care system supports an older person’s diverse needs by </w:t>
            </w:r>
            <w:r w:rsidR="00697217" w:rsidRPr="4A69F66B">
              <w:rPr>
                <w:lang w:val="en-US"/>
              </w:rPr>
              <w:t xml:space="preserve">ensuring </w:t>
            </w:r>
            <w:r w:rsidR="00697217">
              <w:rPr>
                <w:lang w:val="en-US"/>
              </w:rPr>
              <w:t>they</w:t>
            </w:r>
            <w:r w:rsidR="00697217" w:rsidRPr="4A69F66B">
              <w:rPr>
                <w:lang w:val="en-US"/>
              </w:rPr>
              <w:t xml:space="preserve"> have access to person-centered aged care assessments and services. This includes valuing older people, their identities, cultures, abilities, diversity, beliefs and life experiences</w:t>
            </w:r>
            <w:r w:rsidR="00697217">
              <w:t xml:space="preserve">. </w:t>
            </w:r>
          </w:p>
        </w:tc>
      </w:tr>
    </w:tbl>
    <w:p w14:paraId="59F5378F" w14:textId="77777777" w:rsidR="00697217" w:rsidRPr="00A747FB" w:rsidRDefault="00697217" w:rsidP="00507F9D">
      <w:pPr>
        <w:pStyle w:val="h2"/>
      </w:pPr>
      <w:bookmarkStart w:id="986" w:name="_Toc209189052"/>
      <w:bookmarkStart w:id="987" w:name="_Toc224916705"/>
      <w:r w:rsidRPr="00A747FB">
        <w:t>Support</w:t>
      </w:r>
      <w:r>
        <w:t>ing</w:t>
      </w:r>
      <w:r w:rsidRPr="00A747FB">
        <w:t xml:space="preserve"> diverse needs</w:t>
      </w:r>
      <w:r>
        <w:t xml:space="preserve"> during an assessment</w:t>
      </w:r>
      <w:bookmarkEnd w:id="986"/>
      <w:bookmarkEnd w:id="987"/>
    </w:p>
    <w:p w14:paraId="2F614E8E" w14:textId="374DAC1B" w:rsidR="00697217" w:rsidRPr="00A747FB" w:rsidRDefault="00697217" w:rsidP="00622CFF">
      <w:pPr>
        <w:spacing w:before="240" w:after="240" w:line="240" w:lineRule="auto"/>
        <w:rPr>
          <w:lang w:val="en-US"/>
        </w:rPr>
      </w:pPr>
      <w:r w:rsidRPr="00A747FB">
        <w:rPr>
          <w:lang w:val="en-US"/>
        </w:rPr>
        <w:t xml:space="preserve">The </w:t>
      </w:r>
      <w:r w:rsidR="00394BA8">
        <w:rPr>
          <w:lang w:val="en-US"/>
        </w:rPr>
        <w:t>D</w:t>
      </w:r>
      <w:r w:rsidR="00394BA8" w:rsidRPr="00A747FB">
        <w:rPr>
          <w:lang w:val="en-US"/>
        </w:rPr>
        <w:t>epartment</w:t>
      </w:r>
      <w:r w:rsidR="00394BA8">
        <w:rPr>
          <w:lang w:val="en-US"/>
        </w:rPr>
        <w:t xml:space="preserve"> of Health, Disability and Ageing</w:t>
      </w:r>
      <w:r w:rsidRPr="00A747FB">
        <w:rPr>
          <w:lang w:val="en-US"/>
        </w:rPr>
        <w:t xml:space="preserve">, </w:t>
      </w:r>
      <w:r w:rsidR="00E10E16">
        <w:rPr>
          <w:lang w:val="en-US"/>
        </w:rPr>
        <w:t>Australian Government</w:t>
      </w:r>
      <w:r w:rsidR="00E10E16" w:rsidRPr="00A747FB">
        <w:rPr>
          <w:lang w:val="en-US"/>
        </w:rPr>
        <w:t xml:space="preserve"> </w:t>
      </w:r>
      <w:r w:rsidRPr="00A747FB">
        <w:rPr>
          <w:lang w:val="en-US"/>
        </w:rPr>
        <w:t>agencies, aged care assessment organisations, providers and the aged care workforce must ensure that older people have access to person-centred</w:t>
      </w:r>
      <w:r w:rsidR="7B0B161D" w:rsidRPr="7DD55CF5">
        <w:rPr>
          <w:lang w:val="en-US"/>
        </w:rPr>
        <w:t>, culturally safe, trauma aware and healing informed</w:t>
      </w:r>
      <w:r w:rsidRPr="00A747FB">
        <w:rPr>
          <w:lang w:val="en-US"/>
        </w:rPr>
        <w:t xml:space="preserve"> aged care assessments and services. This includes valuing older people, their identities, cultures, abilities, diversity, beliefs and life experiences. </w:t>
      </w:r>
    </w:p>
    <w:p w14:paraId="430F5CC0" w14:textId="6068D843" w:rsidR="00697217" w:rsidRPr="00A747FB" w:rsidRDefault="00697217" w:rsidP="00622CFF">
      <w:pPr>
        <w:spacing w:before="240" w:after="240" w:line="240" w:lineRule="auto"/>
        <w:rPr>
          <w:lang w:val="en-US"/>
        </w:rPr>
      </w:pPr>
      <w:r w:rsidRPr="00A747FB">
        <w:rPr>
          <w:lang w:val="en-US"/>
        </w:rPr>
        <w:t>The </w:t>
      </w:r>
      <w:r w:rsidR="008B4002" w:rsidRPr="00A924B0">
        <w:t>Aged Care Diversity Framework</w:t>
      </w:r>
      <w:r w:rsidRPr="00A747FB">
        <w:rPr>
          <w:lang w:val="en-US"/>
        </w:rPr>
        <w:t xml:space="preserve"> provides guidance for an accessible aged care system for every older person. </w:t>
      </w:r>
    </w:p>
    <w:p w14:paraId="3F66104F" w14:textId="313D597C" w:rsidR="00697217" w:rsidRPr="00A747FB" w:rsidRDefault="00697217" w:rsidP="00622CFF">
      <w:pPr>
        <w:spacing w:before="240" w:after="240" w:line="240" w:lineRule="auto"/>
        <w:rPr>
          <w:lang w:val="en-US"/>
        </w:rPr>
      </w:pPr>
      <w:r w:rsidRPr="00A747FB">
        <w:rPr>
          <w:lang w:val="en-US"/>
        </w:rPr>
        <w:t xml:space="preserve">The Statement of Principles </w:t>
      </w:r>
      <w:r>
        <w:rPr>
          <w:lang w:val="en-US"/>
        </w:rPr>
        <w:t xml:space="preserve">in </w:t>
      </w:r>
      <w:r w:rsidR="008B4002">
        <w:rPr>
          <w:lang w:val="en-US"/>
        </w:rPr>
        <w:t xml:space="preserve">section 25 of </w:t>
      </w:r>
      <w:r>
        <w:rPr>
          <w:lang w:val="en-US"/>
        </w:rPr>
        <w:t xml:space="preserve">the </w:t>
      </w:r>
      <w:r w:rsidR="00DD0E98">
        <w:rPr>
          <w:lang w:val="en-US"/>
        </w:rPr>
        <w:t xml:space="preserve">Aged Care Act 2024 (the </w:t>
      </w:r>
      <w:r>
        <w:rPr>
          <w:lang w:val="en-US"/>
        </w:rPr>
        <w:t>Act</w:t>
      </w:r>
      <w:r w:rsidR="00DD0E98">
        <w:rPr>
          <w:lang w:val="en-US"/>
        </w:rPr>
        <w:t>)</w:t>
      </w:r>
      <w:r>
        <w:rPr>
          <w:lang w:val="en-US"/>
        </w:rPr>
        <w:t xml:space="preserve"> </w:t>
      </w:r>
      <w:r w:rsidRPr="00A747FB">
        <w:rPr>
          <w:lang w:val="en-US"/>
        </w:rPr>
        <w:t>provides for an aged care system that offers accessible, culturally safe, culturally appropriate, trauma-aware and healing-informed aged care services, based on the needs of the individual, regardless of their location, background and life experiences. This may include individuals who:</w:t>
      </w:r>
    </w:p>
    <w:p w14:paraId="498C8961" w14:textId="77777777" w:rsidR="00697217" w:rsidRPr="00A747FB" w:rsidRDefault="00697217" w:rsidP="00DF3F6B">
      <w:pPr>
        <w:pStyle w:val="ListParagraph"/>
        <w:numPr>
          <w:ilvl w:val="0"/>
          <w:numId w:val="350"/>
        </w:numPr>
        <w:spacing w:before="240" w:after="240" w:line="240" w:lineRule="auto"/>
      </w:pPr>
      <w:r w:rsidRPr="00A747FB">
        <w:t>are Aboriginal or Torres Strait Islander persons, including those from stolen generations</w:t>
      </w:r>
    </w:p>
    <w:p w14:paraId="2F7F308C" w14:textId="77777777" w:rsidR="00697217" w:rsidRPr="00A747FB" w:rsidRDefault="00697217" w:rsidP="00DF3F6B">
      <w:pPr>
        <w:pStyle w:val="ListParagraph"/>
        <w:numPr>
          <w:ilvl w:val="0"/>
          <w:numId w:val="350"/>
        </w:numPr>
        <w:spacing w:before="240" w:after="240" w:line="240" w:lineRule="auto"/>
      </w:pPr>
      <w:r w:rsidRPr="00A747FB">
        <w:t>are veterans or war widows</w:t>
      </w:r>
    </w:p>
    <w:p w14:paraId="3D762A53" w14:textId="77777777" w:rsidR="00697217" w:rsidRPr="00A747FB" w:rsidRDefault="00697217" w:rsidP="00DF3F6B">
      <w:pPr>
        <w:pStyle w:val="ListParagraph"/>
        <w:numPr>
          <w:ilvl w:val="0"/>
          <w:numId w:val="350"/>
        </w:numPr>
        <w:spacing w:before="240" w:after="240" w:line="240" w:lineRule="auto"/>
      </w:pPr>
      <w:r w:rsidRPr="00A747FB">
        <w:t>are from culturally, ethnically and linguistically diverse backgrounds</w:t>
      </w:r>
    </w:p>
    <w:p w14:paraId="79428638" w14:textId="77777777" w:rsidR="00697217" w:rsidRPr="00A747FB" w:rsidRDefault="00697217" w:rsidP="00DF3F6B">
      <w:pPr>
        <w:pStyle w:val="ListParagraph"/>
        <w:numPr>
          <w:ilvl w:val="0"/>
          <w:numId w:val="350"/>
        </w:numPr>
        <w:spacing w:before="240" w:after="240" w:line="240" w:lineRule="auto"/>
      </w:pPr>
      <w:r w:rsidRPr="00A747FB">
        <w:t>are financially or socially disadvantaged</w:t>
      </w:r>
    </w:p>
    <w:p w14:paraId="08240AE8" w14:textId="77777777" w:rsidR="00697217" w:rsidRPr="00A747FB" w:rsidRDefault="00697217" w:rsidP="00DF3F6B">
      <w:pPr>
        <w:pStyle w:val="ListParagraph"/>
        <w:numPr>
          <w:ilvl w:val="0"/>
          <w:numId w:val="350"/>
        </w:numPr>
        <w:spacing w:before="240" w:after="240" w:line="240" w:lineRule="auto"/>
      </w:pPr>
      <w:r w:rsidRPr="00A747FB">
        <w:t>are experiencing homelessness or at risk of experiencing homelessness</w:t>
      </w:r>
    </w:p>
    <w:p w14:paraId="69C323CC" w14:textId="77777777" w:rsidR="00697217" w:rsidRPr="00A747FB" w:rsidRDefault="00697217" w:rsidP="00DF3F6B">
      <w:pPr>
        <w:pStyle w:val="ListParagraph"/>
        <w:numPr>
          <w:ilvl w:val="0"/>
          <w:numId w:val="350"/>
        </w:numPr>
        <w:spacing w:before="240" w:after="240" w:line="240" w:lineRule="auto"/>
      </w:pPr>
      <w:r w:rsidRPr="00A747FB">
        <w:t>are parents and children who are separated by forced adoption or removal</w:t>
      </w:r>
    </w:p>
    <w:p w14:paraId="7E4127D1" w14:textId="77777777" w:rsidR="00697217" w:rsidRPr="00A747FB" w:rsidRDefault="00697217" w:rsidP="00DF3F6B">
      <w:pPr>
        <w:pStyle w:val="ListParagraph"/>
        <w:numPr>
          <w:ilvl w:val="0"/>
          <w:numId w:val="350"/>
        </w:numPr>
        <w:spacing w:before="240" w:after="240" w:line="240" w:lineRule="auto"/>
      </w:pPr>
      <w:r w:rsidRPr="00A747FB">
        <w:t>are adult survivors of institutional child sexual abuse</w:t>
      </w:r>
    </w:p>
    <w:p w14:paraId="24A16D8C" w14:textId="77777777" w:rsidR="00697217" w:rsidRPr="00A747FB" w:rsidRDefault="00697217" w:rsidP="00DF3F6B">
      <w:pPr>
        <w:pStyle w:val="ListParagraph"/>
        <w:numPr>
          <w:ilvl w:val="0"/>
          <w:numId w:val="350"/>
        </w:numPr>
        <w:spacing w:before="240" w:after="240" w:line="240" w:lineRule="auto"/>
      </w:pPr>
      <w:r w:rsidRPr="00A747FB">
        <w:t>are care-leavers, including Forgotten Australians and former child migrants placed in out of home care</w:t>
      </w:r>
    </w:p>
    <w:p w14:paraId="5FF447A2" w14:textId="77777777" w:rsidR="00697217" w:rsidRPr="00A747FB" w:rsidRDefault="00697217" w:rsidP="00DF3F6B">
      <w:pPr>
        <w:pStyle w:val="ListParagraph"/>
        <w:numPr>
          <w:ilvl w:val="0"/>
          <w:numId w:val="350"/>
        </w:numPr>
        <w:spacing w:before="240" w:after="240" w:line="240" w:lineRule="auto"/>
      </w:pPr>
      <w:r w:rsidRPr="00A747FB">
        <w:t>are lesbian, gay, bisexual, trans/transgender or intersex or other sexual orientations or are gender diverse or bodily diverse</w:t>
      </w:r>
    </w:p>
    <w:p w14:paraId="396CFF66" w14:textId="77777777" w:rsidR="00697217" w:rsidRPr="00A747FB" w:rsidRDefault="00697217" w:rsidP="00DF3F6B">
      <w:pPr>
        <w:pStyle w:val="ListParagraph"/>
        <w:numPr>
          <w:ilvl w:val="0"/>
          <w:numId w:val="350"/>
        </w:numPr>
        <w:spacing w:before="240" w:after="240" w:line="240" w:lineRule="auto"/>
      </w:pPr>
      <w:r w:rsidRPr="00A747FB">
        <w:t>are an individual with disability or mental ill-health</w:t>
      </w:r>
    </w:p>
    <w:p w14:paraId="258EB4F6" w14:textId="01FC886E" w:rsidR="00697217" w:rsidRPr="00A747FB" w:rsidRDefault="00697217" w:rsidP="00DF3F6B">
      <w:pPr>
        <w:pStyle w:val="ListParagraph"/>
        <w:numPr>
          <w:ilvl w:val="0"/>
          <w:numId w:val="350"/>
        </w:numPr>
        <w:spacing w:before="240" w:after="240" w:line="240" w:lineRule="auto"/>
      </w:pPr>
      <w:r w:rsidRPr="00A747FB">
        <w:t>are neurodivergent</w:t>
      </w:r>
    </w:p>
    <w:p w14:paraId="6EC11117" w14:textId="77777777" w:rsidR="00697217" w:rsidRPr="00A747FB" w:rsidRDefault="00697217" w:rsidP="00DF3F6B">
      <w:pPr>
        <w:pStyle w:val="ListParagraph"/>
        <w:numPr>
          <w:ilvl w:val="0"/>
          <w:numId w:val="350"/>
        </w:numPr>
        <w:spacing w:before="240" w:after="240" w:line="240" w:lineRule="auto"/>
      </w:pPr>
      <w:r w:rsidRPr="00A747FB">
        <w:t>are deaf, deafblind, vision impaired or hard of hearing</w:t>
      </w:r>
    </w:p>
    <w:p w14:paraId="7FB98362" w14:textId="77777777" w:rsidR="00697217" w:rsidRPr="00A747FB" w:rsidRDefault="00697217" w:rsidP="00DF3F6B">
      <w:pPr>
        <w:pStyle w:val="ListParagraph"/>
        <w:numPr>
          <w:ilvl w:val="0"/>
          <w:numId w:val="350"/>
        </w:numPr>
        <w:spacing w:before="240" w:after="240" w:line="240" w:lineRule="auto"/>
      </w:pPr>
      <w:r w:rsidRPr="00A747FB">
        <w:t>live in rural, remote or very remote areas.</w:t>
      </w:r>
    </w:p>
    <w:p w14:paraId="0AF23353" w14:textId="77777777" w:rsidR="00697217" w:rsidRPr="00A747FB" w:rsidRDefault="00697217" w:rsidP="00622CFF">
      <w:pPr>
        <w:spacing w:before="240" w:after="240" w:line="240" w:lineRule="auto"/>
      </w:pPr>
      <w:r w:rsidRPr="00A747FB">
        <w:t xml:space="preserve">It is important to </w:t>
      </w:r>
      <w:r>
        <w:t>understand</w:t>
      </w:r>
      <w:r w:rsidRPr="00A747FB">
        <w:t xml:space="preserve"> that individuals may identify across more than one group and may have a variety of special and diverse needs that will need to be recognised and taken into consideration.</w:t>
      </w:r>
    </w:p>
    <w:p w14:paraId="08A7C036" w14:textId="77777777" w:rsidR="00697217" w:rsidRPr="00A747FB" w:rsidRDefault="00697217" w:rsidP="00622CFF">
      <w:pPr>
        <w:spacing w:before="240" w:after="240" w:line="240" w:lineRule="auto"/>
      </w:pPr>
      <w:r w:rsidRPr="00A747FB">
        <w:t xml:space="preserve">During the assessment process, </w:t>
      </w:r>
      <w:r>
        <w:t>assessors</w:t>
      </w:r>
      <w:r w:rsidRPr="00A747FB">
        <w:t xml:space="preserve"> </w:t>
      </w:r>
      <w:r>
        <w:t xml:space="preserve">must consider how they can </w:t>
      </w:r>
      <w:r w:rsidRPr="00A747FB">
        <w:t xml:space="preserve">create a safe </w:t>
      </w:r>
      <w:r>
        <w:t>assessment setting</w:t>
      </w:r>
      <w:r w:rsidRPr="00A747FB">
        <w:t xml:space="preserve"> and ensure older people have a trusted support person present</w:t>
      </w:r>
      <w:r>
        <w:t xml:space="preserve"> if needed</w:t>
      </w:r>
      <w:r w:rsidRPr="00A747FB">
        <w:t>. This may be a carer, partner, registered supporter, friend or perhaps a member from their ‘family of choice’ (who may or may not include biological family). This will help to build trust and ensure that an assessor can collect all information necessary to develop an appropriate and tailored Support Plan with the older person that considers their diverse needs.</w:t>
      </w:r>
    </w:p>
    <w:p w14:paraId="26858EEB" w14:textId="77777777" w:rsidR="00697217" w:rsidRPr="00A747FB" w:rsidRDefault="00697217" w:rsidP="00622CFF">
      <w:pPr>
        <w:spacing w:before="240" w:after="240" w:line="240" w:lineRule="auto"/>
      </w:pPr>
      <w:r w:rsidRPr="00A747FB">
        <w:t xml:space="preserve">It is important </w:t>
      </w:r>
      <w:r>
        <w:t>to</w:t>
      </w:r>
      <w:r w:rsidRPr="00A747FB">
        <w:t xml:space="preserve"> recognise that many older people with diverse needs, characteristics and life experiences may have experienced exclusion, discrimination and stigma during their lives and may not feel safe to reveal such potentially sensitive information in an assessment. </w:t>
      </w:r>
    </w:p>
    <w:tbl>
      <w:tblPr>
        <w:tblW w:w="0" w:type="auto"/>
        <w:tblLook w:val="04A0" w:firstRow="1" w:lastRow="0" w:firstColumn="1" w:lastColumn="0" w:noHBand="0" w:noVBand="1"/>
      </w:tblPr>
      <w:tblGrid>
        <w:gridCol w:w="921"/>
        <w:gridCol w:w="8105"/>
      </w:tblGrid>
      <w:tr w:rsidR="008B4002" w14:paraId="02FCB012" w14:textId="77777777">
        <w:trPr>
          <w:trHeight w:val="677"/>
        </w:trPr>
        <w:tc>
          <w:tcPr>
            <w:tcW w:w="921" w:type="dxa"/>
          </w:tcPr>
          <w:p w14:paraId="3E8737BB" w14:textId="77777777" w:rsidR="008B4002" w:rsidRDefault="008B4002">
            <w:pPr>
              <w:spacing w:before="240" w:after="240" w:line="240" w:lineRule="auto"/>
            </w:pPr>
            <w:r>
              <w:rPr>
                <w:noProof/>
              </w:rPr>
              <w:drawing>
                <wp:inline distT="0" distB="0" distL="0" distR="0" wp14:anchorId="32FB4F6C" wp14:editId="6E22B481">
                  <wp:extent cx="447675" cy="445208"/>
                  <wp:effectExtent l="0" t="0" r="0" b="0"/>
                  <wp:docPr id="954088242" name="Picture 95408824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DE2DB1C" w14:textId="5C6EC93D" w:rsidR="008B4002" w:rsidRPr="00B9386E" w:rsidRDefault="008B4002">
            <w:pPr>
              <w:spacing w:before="240" w:after="240" w:line="240" w:lineRule="auto"/>
              <w:rPr>
                <w:b/>
              </w:rPr>
            </w:pPr>
            <w:hyperlink r:id="rId265" w:tooltip="Aged Care Diversity Framework initiative" w:history="1">
              <w:r w:rsidRPr="00A747FB">
                <w:rPr>
                  <w:rStyle w:val="Hyperlink"/>
                </w:rPr>
                <w:t>Aged Care Diversity Framework</w:t>
              </w:r>
            </w:hyperlink>
            <w:r w:rsidRPr="00A747FB">
              <w:rPr>
                <w:lang w:val="en-US"/>
              </w:rPr>
              <w:t> </w:t>
            </w:r>
          </w:p>
        </w:tc>
      </w:tr>
    </w:tbl>
    <w:p w14:paraId="6CC882CB" w14:textId="703808F3" w:rsidR="00697217" w:rsidRPr="003F53E0" w:rsidRDefault="00601541" w:rsidP="00507F9D">
      <w:pPr>
        <w:pStyle w:val="h2"/>
      </w:pPr>
      <w:bookmarkStart w:id="988" w:name="_Toc198813645"/>
      <w:bookmarkStart w:id="989" w:name="_Toc198816552"/>
      <w:bookmarkStart w:id="990" w:name="_Toc204329613"/>
      <w:bookmarkStart w:id="991" w:name="_Toc209189053"/>
      <w:bookmarkStart w:id="992" w:name="_Toc224916706"/>
      <w:bookmarkStart w:id="993" w:name="CH1_CulturalSafety"/>
      <w:r>
        <w:t>Understanding c</w:t>
      </w:r>
      <w:r w:rsidR="00697217" w:rsidRPr="007B5599">
        <w:t>ultural safety</w:t>
      </w:r>
      <w:bookmarkEnd w:id="988"/>
      <w:bookmarkEnd w:id="989"/>
      <w:bookmarkEnd w:id="990"/>
      <w:r w:rsidR="00697217">
        <w:t xml:space="preserve"> for older Aboriginal and Torres Strait Islander people</w:t>
      </w:r>
      <w:bookmarkEnd w:id="991"/>
      <w:bookmarkEnd w:id="992"/>
    </w:p>
    <w:bookmarkEnd w:id="993"/>
    <w:p w14:paraId="634E9324" w14:textId="70369FBD" w:rsidR="00697217" w:rsidRPr="00EE4E83" w:rsidRDefault="00697217" w:rsidP="00622CFF">
      <w:pPr>
        <w:spacing w:before="240" w:after="240" w:line="240" w:lineRule="auto"/>
        <w:rPr>
          <w:b/>
        </w:rPr>
      </w:pPr>
      <w:r w:rsidRPr="7F08945A">
        <w:t xml:space="preserve">Assessors </w:t>
      </w:r>
      <w:r w:rsidR="00B92B71">
        <w:t>are required to</w:t>
      </w:r>
      <w:r w:rsidRPr="7F08945A">
        <w:t xml:space="preserve"> complete </w:t>
      </w:r>
      <w:r w:rsidRPr="00E74726">
        <w:t xml:space="preserve">an introduction to cultural safety as part of </w:t>
      </w:r>
      <w:r>
        <w:t>the</w:t>
      </w:r>
      <w:r w:rsidRPr="00E74726">
        <w:t xml:space="preserve"> induction training through MAC</w:t>
      </w:r>
      <w:r w:rsidR="00EF548C">
        <w:t xml:space="preserve"> </w:t>
      </w:r>
      <w:r w:rsidRPr="00E74726">
        <w:t xml:space="preserve">Learning to ensure they </w:t>
      </w:r>
      <w:r>
        <w:t>understand why cultural safety is important in providing</w:t>
      </w:r>
      <w:r w:rsidRPr="00E74726">
        <w:t xml:space="preserve"> safe aged care experiences for older Aboriginal and Torres Strait Islander people.</w:t>
      </w:r>
      <w:r w:rsidRPr="20166732">
        <w:rPr>
          <w:b/>
        </w:rPr>
        <w:t xml:space="preserve"> </w:t>
      </w:r>
    </w:p>
    <w:p w14:paraId="586FAD69" w14:textId="0143C76C" w:rsidR="00697217" w:rsidRPr="00EE4E83" w:rsidRDefault="00697217" w:rsidP="00622CFF">
      <w:pPr>
        <w:spacing w:before="240" w:after="240" w:line="240" w:lineRule="auto"/>
        <w:rPr>
          <w:b/>
        </w:rPr>
      </w:pPr>
      <w:r w:rsidRPr="7F08945A">
        <w:t xml:space="preserve">The </w:t>
      </w:r>
      <w:r w:rsidRPr="11259F19">
        <w:t>National Aboriginal and Torres Strait Islander Ageing and Aged Care Council</w:t>
      </w:r>
      <w:r w:rsidR="0051071B">
        <w:t>’s</w:t>
      </w:r>
      <w:r w:rsidRPr="7F08945A">
        <w:t xml:space="preserve"> </w:t>
      </w:r>
      <w:r>
        <w:t>(</w:t>
      </w:r>
      <w:r w:rsidRPr="7F08945A">
        <w:t>NATSIAACC</w:t>
      </w:r>
      <w:r>
        <w:t>)</w:t>
      </w:r>
      <w:r w:rsidRPr="7F08945A">
        <w:t xml:space="preserve"> definition of cultural safety (referenced below) was co-designed in 2024 and included in the </w:t>
      </w:r>
      <w:r w:rsidR="00123D9B">
        <w:t xml:space="preserve">revised </w:t>
      </w:r>
      <w:r w:rsidRPr="7F08945A">
        <w:t xml:space="preserve">explanatory memorandum accompanying the </w:t>
      </w:r>
      <w:r w:rsidR="00123D9B">
        <w:t xml:space="preserve">Aged Care </w:t>
      </w:r>
      <w:r w:rsidRPr="7F08945A">
        <w:t xml:space="preserve">Bill </w:t>
      </w:r>
      <w:r w:rsidR="00D24F12">
        <w:t>2024</w:t>
      </w:r>
      <w:r w:rsidRPr="7F08945A">
        <w:t>. All workers in the aged care system</w:t>
      </w:r>
      <w:r>
        <w:t>, including assessment staff,</w:t>
      </w:r>
      <w:r w:rsidRPr="7F08945A">
        <w:t xml:space="preserve"> </w:t>
      </w:r>
      <w:r w:rsidRPr="00E74726">
        <w:t>are expected to critically self-reflect and take responsibility for building an understanding of how they can improve their approach to culturally safe care in their daily practice.</w:t>
      </w:r>
      <w:r w:rsidRPr="20166732">
        <w:rPr>
          <w:b/>
        </w:rPr>
        <w:t xml:space="preserve"> </w:t>
      </w:r>
    </w:p>
    <w:p w14:paraId="27D2AE74" w14:textId="1C07985E" w:rsidR="00697217" w:rsidRDefault="00697217" w:rsidP="00622CFF">
      <w:pPr>
        <w:spacing w:before="240" w:after="240" w:line="240" w:lineRule="auto"/>
      </w:pPr>
      <w:r>
        <w:t xml:space="preserve">It is also required that assessment organisations provide their staff with additional cultural safety and trauma aware, healing informed training relevant to the customs and protocols local to the area in which they </w:t>
      </w:r>
      <w:r w:rsidR="006A6DB0">
        <w:t>operate</w:t>
      </w:r>
      <w:r>
        <w:t>.</w:t>
      </w:r>
      <w:r w:rsidRPr="73B75993">
        <w:rPr>
          <w:b/>
          <w:bCs/>
        </w:rPr>
        <w:t> </w:t>
      </w:r>
      <w:r w:rsidR="00BC12C1">
        <w:t>Further to this, it</w:t>
      </w:r>
      <w:r w:rsidR="4330A8CF">
        <w:t xml:space="preserve"> </w:t>
      </w:r>
      <w:r>
        <w:t xml:space="preserve">is recommended </w:t>
      </w:r>
      <w:r w:rsidR="00EB0771">
        <w:t>that</w:t>
      </w:r>
      <w:r>
        <w:t xml:space="preserve"> assessment staff undertake additional training on how to understand and support the Stolen Generations. As </w:t>
      </w:r>
      <w:r w:rsidR="00E9372F">
        <w:t>at</w:t>
      </w:r>
      <w:r>
        <w:t xml:space="preserve"> 2022, all Stolen Generations survivors are aged 50 or over and therefore may be eligible to receive aged care services. Many Stolen Generations survivors live in urban and regional locations where there are few, if any Aboriginal and Torres Strait Islander community controlled aged care services and facilities. </w:t>
      </w:r>
    </w:p>
    <w:p w14:paraId="587B6577" w14:textId="4F2C47AC" w:rsidR="00697217" w:rsidRPr="00FD0D07" w:rsidRDefault="00053B61" w:rsidP="00622CFF">
      <w:pPr>
        <w:spacing w:before="240" w:after="240" w:line="240" w:lineRule="auto"/>
      </w:pPr>
      <w:r>
        <w:t xml:space="preserve">When assessing Aboriginal and Torres Strait Islander clients, it is important to be guided by the individual’s preferences, and observe body language and respond respectfully. </w:t>
      </w:r>
      <w:r w:rsidR="00697217" w:rsidRPr="00FD0D07">
        <w:t xml:space="preserve">If appropriate, </w:t>
      </w:r>
      <w:r w:rsidR="00697217">
        <w:t xml:space="preserve">assessors are encouraged to </w:t>
      </w:r>
      <w:r w:rsidR="00697217" w:rsidRPr="00FD0D07">
        <w:t xml:space="preserve">tailor </w:t>
      </w:r>
      <w:r w:rsidR="00697217">
        <w:t>their</w:t>
      </w:r>
      <w:r w:rsidR="00697217" w:rsidRPr="00FD0D07">
        <w:t xml:space="preserve"> assessment approach to the specific needs of individuals to ensure that their support requirements are accurately reflected in their support plans. This may include: </w:t>
      </w:r>
    </w:p>
    <w:p w14:paraId="10F07175" w14:textId="77777777" w:rsidR="00697217" w:rsidRPr="00FD0D07" w:rsidRDefault="00697217" w:rsidP="00DF3F6B">
      <w:pPr>
        <w:pStyle w:val="ListParagraph"/>
        <w:numPr>
          <w:ilvl w:val="0"/>
          <w:numId w:val="360"/>
        </w:numPr>
        <w:spacing w:before="240" w:after="240" w:line="240" w:lineRule="auto"/>
      </w:pPr>
      <w:r w:rsidRPr="00FD0D07">
        <w:t>using a trusted cultural broker, or advocate</w:t>
      </w:r>
      <w:r>
        <w:t>,</w:t>
      </w:r>
      <w:r w:rsidRPr="00FD0D07">
        <w:t> </w:t>
      </w:r>
    </w:p>
    <w:p w14:paraId="733D4634" w14:textId="77777777" w:rsidR="00697217" w:rsidRPr="00FD0D07" w:rsidRDefault="00697217" w:rsidP="00DF3F6B">
      <w:pPr>
        <w:pStyle w:val="ListParagraph"/>
        <w:numPr>
          <w:ilvl w:val="0"/>
          <w:numId w:val="360"/>
        </w:numPr>
        <w:spacing w:before="240" w:after="240" w:line="240" w:lineRule="auto"/>
      </w:pPr>
      <w:r w:rsidRPr="00FD0D07">
        <w:t>using supplementary assessment components of the IAT that are best suited for assessing the older person’s needs</w:t>
      </w:r>
      <w:r>
        <w:t>,</w:t>
      </w:r>
      <w:r w:rsidRPr="00FD0D07">
        <w:t xml:space="preserve"> and/or </w:t>
      </w:r>
    </w:p>
    <w:p w14:paraId="10BB3BA5" w14:textId="5C05920D" w:rsidR="00697217" w:rsidRDefault="00697217" w:rsidP="00DF3F6B">
      <w:pPr>
        <w:pStyle w:val="ListParagraph"/>
        <w:numPr>
          <w:ilvl w:val="0"/>
          <w:numId w:val="360"/>
        </w:numPr>
        <w:spacing w:before="240" w:after="240" w:line="240" w:lineRule="auto"/>
      </w:pPr>
      <w:r w:rsidRPr="00FD0D07">
        <w:t>developing relationships that support regular interactions and mentorship with existing and trusted health services and specialist providers located within a local community</w:t>
      </w:r>
      <w:r w:rsidR="00567B6C">
        <w:t>,</w:t>
      </w:r>
      <w:r w:rsidRPr="00FD0D07">
        <w:t> </w:t>
      </w:r>
    </w:p>
    <w:p w14:paraId="29E76D82" w14:textId="67BFD46F" w:rsidR="00AD260A" w:rsidRDefault="002D22B1" w:rsidP="00DF3F6B">
      <w:pPr>
        <w:pStyle w:val="ListParagraph"/>
        <w:numPr>
          <w:ilvl w:val="0"/>
          <w:numId w:val="360"/>
        </w:numPr>
        <w:spacing w:before="240" w:after="240" w:line="240" w:lineRule="auto"/>
      </w:pPr>
      <w:r>
        <w:t>w</w:t>
      </w:r>
      <w:r w:rsidR="00AD260A" w:rsidRPr="00AD260A">
        <w:t xml:space="preserve">orking with existing </w:t>
      </w:r>
      <w:r w:rsidR="00CA7141">
        <w:t>Aboriginal Community Controlled Organisations (</w:t>
      </w:r>
      <w:r w:rsidR="00AD260A" w:rsidRPr="00AD260A">
        <w:t>ACCOs</w:t>
      </w:r>
      <w:r w:rsidR="00CA7141">
        <w:t>)</w:t>
      </w:r>
      <w:r w:rsidR="00AD260A" w:rsidRPr="00AD260A">
        <w:t xml:space="preserve"> </w:t>
      </w:r>
      <w:r w:rsidR="00B1697E">
        <w:t>Aboriginal Community Controlled Health Organisations</w:t>
      </w:r>
      <w:r w:rsidR="00B1697E" w:rsidRPr="00AD260A">
        <w:t xml:space="preserve"> </w:t>
      </w:r>
      <w:r w:rsidR="00ED2880">
        <w:t>(</w:t>
      </w:r>
      <w:r w:rsidR="00AD260A" w:rsidRPr="00AD260A">
        <w:t>ACCHO</w:t>
      </w:r>
      <w:r w:rsidR="00ED2880">
        <w:t>s)</w:t>
      </w:r>
      <w:r w:rsidR="00AD260A" w:rsidRPr="00AD260A">
        <w:t xml:space="preserve"> affiliates and Indigenous organisations who specialise in providing aged care services where they are available</w:t>
      </w:r>
      <w:r w:rsidR="00567B6C">
        <w:t>, and</w:t>
      </w:r>
    </w:p>
    <w:p w14:paraId="79EBDB11" w14:textId="60FD631E" w:rsidR="00697217" w:rsidRPr="00FD0D07" w:rsidRDefault="00567B6C" w:rsidP="00DF3F6B">
      <w:pPr>
        <w:pStyle w:val="ListParagraph"/>
        <w:numPr>
          <w:ilvl w:val="0"/>
          <w:numId w:val="360"/>
        </w:numPr>
        <w:spacing w:before="240" w:after="240" w:line="240" w:lineRule="auto"/>
      </w:pPr>
      <w:r>
        <w:t>u</w:t>
      </w:r>
      <w:r w:rsidR="00697217">
        <w:t>sing</w:t>
      </w:r>
      <w:r w:rsidR="00697217" w:rsidRPr="00FD0D07">
        <w:t xml:space="preserve"> the Kimberley Indigenous Cognitive Assessment </w:t>
      </w:r>
      <w:r w:rsidR="00697217">
        <w:t>(KICA) assessment tools</w:t>
      </w:r>
      <w:r w:rsidR="00697217" w:rsidRPr="00FD0D07">
        <w:t xml:space="preserve"> and the Good Spirit, Good Life guide </w:t>
      </w:r>
      <w:r w:rsidR="00697217">
        <w:t xml:space="preserve">in the </w:t>
      </w:r>
      <w:r w:rsidR="00ED2880">
        <w:t>Integrated Assessment Tool (</w:t>
      </w:r>
      <w:r w:rsidR="00697217">
        <w:t>IAT</w:t>
      </w:r>
      <w:r w:rsidR="00ED2880">
        <w:t>)</w:t>
      </w:r>
      <w:r w:rsidR="00697217">
        <w:t xml:space="preserve"> </w:t>
      </w:r>
      <w:r w:rsidR="00697217" w:rsidRPr="00FD0D07">
        <w:t xml:space="preserve">for older </w:t>
      </w:r>
      <w:r w:rsidR="00697217">
        <w:t>Aboriginal and Torres Strait Islander</w:t>
      </w:r>
      <w:r w:rsidR="00697217" w:rsidRPr="00FD0D07">
        <w:t xml:space="preserve"> people. These have been validated as the most acceptable and reliable instruments for assessing the needs of </w:t>
      </w:r>
      <w:r w:rsidR="00697217" w:rsidRPr="00590CA5">
        <w:t xml:space="preserve">Aboriginal and Torres Strait Islander </w:t>
      </w:r>
      <w:r w:rsidR="00697217" w:rsidRPr="00FD0D07">
        <w:t>people. </w:t>
      </w:r>
    </w:p>
    <w:tbl>
      <w:tblPr>
        <w:tblStyle w:val="TableGrid"/>
        <w:tblW w:w="0" w:type="auto"/>
        <w:tblLook w:val="04A0" w:firstRow="1" w:lastRow="0" w:firstColumn="1" w:lastColumn="0" w:noHBand="0" w:noVBand="1"/>
      </w:tblPr>
      <w:tblGrid>
        <w:gridCol w:w="1129"/>
        <w:gridCol w:w="7887"/>
      </w:tblGrid>
      <w:tr w:rsidR="00697217" w14:paraId="63232A8F" w14:textId="77777777">
        <w:tc>
          <w:tcPr>
            <w:tcW w:w="1129" w:type="dxa"/>
          </w:tcPr>
          <w:p w14:paraId="684008DE" w14:textId="77777777" w:rsidR="00697217" w:rsidRDefault="00697217" w:rsidP="00622CFF">
            <w:pPr>
              <w:spacing w:before="240" w:after="240"/>
            </w:pPr>
            <w:r>
              <w:rPr>
                <w:noProof/>
              </w:rPr>
              <w:drawing>
                <wp:inline distT="0" distB="0" distL="0" distR="0" wp14:anchorId="6C587D7D" wp14:editId="19D30A3E">
                  <wp:extent cx="447675" cy="445208"/>
                  <wp:effectExtent l="0" t="0" r="0" b="0"/>
                  <wp:docPr id="1357244102" name="Picture 135724410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7BA129DA" w14:textId="77777777" w:rsidR="00697217" w:rsidRDefault="00697217" w:rsidP="00622CFF">
            <w:pPr>
              <w:spacing w:before="240" w:after="240"/>
              <w:rPr>
                <w:bCs/>
              </w:rPr>
            </w:pPr>
            <w:hyperlink r:id="rId266" w:history="1">
              <w:r w:rsidRPr="0058123B">
                <w:rPr>
                  <w:rStyle w:val="Hyperlink"/>
                  <w:bCs/>
                </w:rPr>
                <w:t>Aboriginal and Torres Strait Islander aged care | Australian Government Department of Health, Disability and Ageing</w:t>
              </w:r>
            </w:hyperlink>
          </w:p>
          <w:p w14:paraId="56732255" w14:textId="7247B61B" w:rsidR="004D0C74" w:rsidRDefault="004D0C74" w:rsidP="00622CFF">
            <w:pPr>
              <w:spacing w:before="240" w:after="240"/>
              <w:rPr>
                <w:bCs/>
              </w:rPr>
            </w:pPr>
            <w:r>
              <w:rPr>
                <w:bCs/>
              </w:rPr>
              <w:t>The KICA</w:t>
            </w:r>
            <w:r w:rsidRPr="00A44CCB">
              <w:rPr>
                <w:bCs/>
              </w:rPr>
              <w:t xml:space="preserve"> and the Good Spirit, Good Life guide</w:t>
            </w:r>
            <w:r>
              <w:rPr>
                <w:bCs/>
              </w:rPr>
              <w:t xml:space="preserve">s </w:t>
            </w:r>
            <w:r w:rsidR="00271C4F">
              <w:rPr>
                <w:bCs/>
              </w:rPr>
              <w:t>are in the</w:t>
            </w:r>
            <w:r w:rsidRPr="00A44CCB">
              <w:rPr>
                <w:bCs/>
              </w:rPr>
              <w:t xml:space="preserve"> </w:t>
            </w:r>
            <w:hyperlink r:id="rId267">
              <w:r w:rsidRPr="00A44CCB">
                <w:rPr>
                  <w:rStyle w:val="Hyperlink"/>
                  <w:rFonts w:eastAsia="Arial"/>
                  <w:bCs/>
                </w:rPr>
                <w:t>IAT User Guide</w:t>
              </w:r>
            </w:hyperlink>
          </w:p>
          <w:p w14:paraId="70CF7E0A" w14:textId="27F7DB31" w:rsidR="00697217" w:rsidRPr="00A44CCB" w:rsidRDefault="00697217" w:rsidP="00622CFF">
            <w:pPr>
              <w:spacing w:before="240" w:after="240"/>
              <w:rPr>
                <w:bCs/>
              </w:rPr>
            </w:pPr>
          </w:p>
        </w:tc>
      </w:tr>
    </w:tbl>
    <w:tbl>
      <w:tblPr>
        <w:tblStyle w:val="TableGrid"/>
        <w:tblW w:w="0" w:type="auto"/>
        <w:tblBorders>
          <w:top w:val="single" w:sz="4" w:space="0" w:color="auto"/>
          <w:left w:val="single" w:sz="4" w:space="0" w:color="auto"/>
          <w:bottom w:val="single" w:sz="4" w:space="0" w:color="auto"/>
          <w:right w:val="single" w:sz="4" w:space="0" w:color="auto"/>
        </w:tblBorders>
        <w:tblLayout w:type="fixed"/>
        <w:tblLook w:val="06A0" w:firstRow="1" w:lastRow="0" w:firstColumn="1" w:lastColumn="0" w:noHBand="1" w:noVBand="1"/>
      </w:tblPr>
      <w:tblGrid>
        <w:gridCol w:w="9015"/>
      </w:tblGrid>
      <w:tr w:rsidR="00697217" w14:paraId="502CD241" w14:textId="77777777" w:rsidTr="007F22CF">
        <w:trPr>
          <w:trHeight w:val="300"/>
        </w:trPr>
        <w:tc>
          <w:tcPr>
            <w:tcW w:w="9015" w:type="dxa"/>
            <w:shd w:val="clear" w:color="auto" w:fill="F2F2F2" w:themeFill="background1" w:themeFillShade="F2"/>
          </w:tcPr>
          <w:p w14:paraId="33A3AF91" w14:textId="77777777" w:rsidR="00697217" w:rsidRPr="00DA57A0" w:rsidRDefault="00697217" w:rsidP="00622CFF">
            <w:pPr>
              <w:spacing w:before="240" w:after="240"/>
              <w:rPr>
                <w:rFonts w:eastAsia="Arial"/>
                <w:b/>
                <w:bCs/>
              </w:rPr>
            </w:pPr>
            <w:r w:rsidRPr="00DA57A0">
              <w:rPr>
                <w:b/>
                <w:bCs/>
              </w:rPr>
              <w:t>NATSIAAC definition of cultural safety</w:t>
            </w:r>
          </w:p>
          <w:p w14:paraId="34ED7521" w14:textId="77777777" w:rsidR="00D74FD8" w:rsidRDefault="00697217" w:rsidP="00622CFF">
            <w:pPr>
              <w:spacing w:before="240" w:after="240"/>
            </w:pPr>
            <w:r w:rsidRPr="1FEFDEFD">
              <w:t xml:space="preserve">‘Cultural safety requires understanding of one’s own culture and the impact that your culture, thinking, and actions may have on the culture and wellbeing of others through ongoing critical self-reflection. </w:t>
            </w:r>
          </w:p>
          <w:p w14:paraId="0D93824D" w14:textId="7CA3D9F5" w:rsidR="00697217" w:rsidRDefault="00697217" w:rsidP="00622CFF">
            <w:pPr>
              <w:spacing w:before="240" w:after="240"/>
            </w:pPr>
            <w:r w:rsidRPr="1FEFDEFD">
              <w:t xml:space="preserve">Only the care recipient themselves can determine whether the service is culturally safe. Ensuring access to a culturally safe, respectful, responsive and racism free aged care system is inherent for the optimal safety, autonomy, dignity, and absolute wellbeing of Aboriginal and Torres Strait Islander Elders, senior and older people, their families and community. </w:t>
            </w:r>
          </w:p>
          <w:p w14:paraId="343381A3" w14:textId="77777777" w:rsidR="00D74FD8" w:rsidRDefault="00697217" w:rsidP="00622CFF">
            <w:pPr>
              <w:spacing w:before="240" w:after="240"/>
            </w:pPr>
            <w:r w:rsidRPr="1FEFDEFD">
              <w:t xml:space="preserve">Aged care service providers and workers must take responsibility for building trust and relationships with Aboriginal and Torres Strait Islander service users, and their families, and for creating a new aged care system which centres on their living experience, cultural, and ageing needs, as determined by Aboriginal and Torres Strait Islander service users themselves. </w:t>
            </w:r>
          </w:p>
          <w:p w14:paraId="4E160DE0" w14:textId="77777777" w:rsidR="00B57B0B" w:rsidRDefault="00697217" w:rsidP="00622CFF">
            <w:pPr>
              <w:spacing w:before="240" w:after="240"/>
            </w:pPr>
            <w:r w:rsidRPr="1FEFDEFD">
              <w:t xml:space="preserve">The implementation of a trauma aware, healing informed approach to professional practice, and facilitating a greater understanding and respect for individual and collective cultures, histories, knowledges, traditions, stories, and values of Aboriginal and Torres Strait Islander service users, their families and communities, will greatly support the delivery of a quality and culturally safe aged care system. </w:t>
            </w:r>
          </w:p>
          <w:p w14:paraId="1A15C4D5" w14:textId="39AD72B3" w:rsidR="00697217" w:rsidRDefault="00697217" w:rsidP="00622CFF">
            <w:pPr>
              <w:spacing w:before="240" w:after="240"/>
            </w:pPr>
            <w:r w:rsidRPr="1FEFDEFD">
              <w:t>Aged care service providers must also firmly commit to continuously measure and improve structures and behaviours necessary for cultural safety and quality support to remain embedded in the Australian aged care system’.</w:t>
            </w:r>
          </w:p>
        </w:tc>
      </w:tr>
    </w:tbl>
    <w:p w14:paraId="628AEE43" w14:textId="0AA25D85" w:rsidR="00697217" w:rsidRPr="00B95983" w:rsidRDefault="00697217" w:rsidP="00507F9D">
      <w:pPr>
        <w:pStyle w:val="h2"/>
        <w:rPr>
          <w:rFonts w:eastAsia="Arial"/>
        </w:rPr>
      </w:pPr>
      <w:bookmarkStart w:id="994" w:name="_Toc204329614"/>
      <w:bookmarkStart w:id="995" w:name="_Toc209189054"/>
      <w:bookmarkStart w:id="996" w:name="_Toc224916707"/>
      <w:r>
        <w:t>Cultural safety for other cohorts</w:t>
      </w:r>
      <w:bookmarkEnd w:id="994"/>
      <w:bookmarkEnd w:id="995"/>
      <w:bookmarkEnd w:id="996"/>
    </w:p>
    <w:p w14:paraId="06E37AB4" w14:textId="2310F51E" w:rsidR="00697217" w:rsidRPr="00E74726" w:rsidRDefault="00697217" w:rsidP="00622CFF">
      <w:pPr>
        <w:spacing w:before="240" w:after="240" w:line="240" w:lineRule="auto"/>
      </w:pPr>
      <w:r w:rsidRPr="008B7C93">
        <w:rPr>
          <w:rFonts w:eastAsia="Arial"/>
        </w:rPr>
        <w:t xml:space="preserve">Cultural safety is an important consideration for all culturally distinct groups, for example culturally and linguistically diverse and </w:t>
      </w:r>
      <w:r w:rsidRPr="00880B95">
        <w:t>lesbian</w:t>
      </w:r>
      <w:r>
        <w:rPr>
          <w:rFonts w:eastAsia="Arial"/>
        </w:rPr>
        <w:t xml:space="preserve">, gay, bisexual, </w:t>
      </w:r>
      <w:r w:rsidRPr="00880B95">
        <w:t>trans/</w:t>
      </w:r>
      <w:r>
        <w:rPr>
          <w:rFonts w:eastAsia="Arial"/>
        </w:rPr>
        <w:t>transgender</w:t>
      </w:r>
      <w:r>
        <w:t xml:space="preserve">, </w:t>
      </w:r>
      <w:r w:rsidRPr="00880B95">
        <w:t>intersex</w:t>
      </w:r>
      <w:r>
        <w:t>+</w:t>
      </w:r>
      <w:r w:rsidRPr="00880B95">
        <w:t xml:space="preserve"> </w:t>
      </w:r>
      <w:r w:rsidRPr="2A1EE68F">
        <w:rPr>
          <w:rFonts w:eastAsia="Arial"/>
        </w:rPr>
        <w:t>communit</w:t>
      </w:r>
      <w:r w:rsidRPr="00E74726">
        <w:t xml:space="preserve">ies. It’s important for assessors to recognise and respect the identities and customs of all older people who are culturally different from themselves, </w:t>
      </w:r>
      <w:r w:rsidR="685F109C">
        <w:t xml:space="preserve">and have different life experiences, </w:t>
      </w:r>
      <w:r w:rsidRPr="00E74726">
        <w:t xml:space="preserve">to provide equitable outcomes and quality </w:t>
      </w:r>
      <w:r w:rsidR="003819B7">
        <w:t xml:space="preserve">assessment </w:t>
      </w:r>
      <w:r w:rsidRPr="00E74726">
        <w:t>services.</w:t>
      </w:r>
    </w:p>
    <w:p w14:paraId="5FE6F041" w14:textId="6AA09ED8" w:rsidR="00697217" w:rsidRPr="00E74726" w:rsidRDefault="00697217" w:rsidP="00622CFF">
      <w:pPr>
        <w:spacing w:before="240" w:after="240" w:line="240" w:lineRule="auto"/>
      </w:pPr>
      <w:r w:rsidRPr="2A1EE68F">
        <w:rPr>
          <w:rFonts w:eastAsia="Arial"/>
        </w:rPr>
        <w:t xml:space="preserve">Respecting a person’s identity, culture and diversity in aged care should focus around </w:t>
      </w:r>
      <w:r w:rsidRPr="00E74726">
        <w:t xml:space="preserve">understanding their individual needs and preferences and providing </w:t>
      </w:r>
      <w:r w:rsidR="008879F3">
        <w:t>an assessment</w:t>
      </w:r>
      <w:r w:rsidR="008879F3" w:rsidRPr="00E74726">
        <w:t xml:space="preserve"> </w:t>
      </w:r>
      <w:r w:rsidRPr="00E74726">
        <w:t>that is reflective of and responsive to their social, cultural, linguistic, religious, spiritual, psychological, medical and other needs, including cultural safety.</w:t>
      </w:r>
    </w:p>
    <w:p w14:paraId="399BD58A" w14:textId="3DBDEF2A" w:rsidR="00697217" w:rsidRPr="00E74726" w:rsidRDefault="00697217" w:rsidP="00622CFF">
      <w:pPr>
        <w:spacing w:before="240" w:after="240" w:line="240" w:lineRule="auto"/>
      </w:pPr>
      <w:r w:rsidRPr="2A1EE68F">
        <w:t xml:space="preserve">Assessments for all </w:t>
      </w:r>
      <w:r w:rsidR="00516348">
        <w:t>older people</w:t>
      </w:r>
      <w:r w:rsidRPr="2A1EE68F">
        <w:t>, regardless of culture or background, should be conducted in a way that is:</w:t>
      </w:r>
    </w:p>
    <w:p w14:paraId="2A5BE680" w14:textId="56B2BAE8" w:rsidR="00697217" w:rsidRPr="00E74726" w:rsidRDefault="00697217" w:rsidP="00DF3F6B">
      <w:pPr>
        <w:pStyle w:val="ListParagraph"/>
        <w:numPr>
          <w:ilvl w:val="0"/>
          <w:numId w:val="361"/>
        </w:numPr>
        <w:spacing w:before="240" w:after="240" w:line="240" w:lineRule="auto"/>
      </w:pPr>
      <w:r w:rsidRPr="00192556">
        <w:rPr>
          <w:b/>
        </w:rPr>
        <w:t>Welcoming and open-minded:</w:t>
      </w:r>
      <w:r w:rsidRPr="00E74726">
        <w:t xml:space="preserve"> </w:t>
      </w:r>
      <w:r w:rsidR="00004EE2">
        <w:t xml:space="preserve">an assessor </w:t>
      </w:r>
      <w:r w:rsidRPr="00E74726">
        <w:t>truly listens to the older person and works from the older person’s cultural perspective, rather than their own</w:t>
      </w:r>
    </w:p>
    <w:p w14:paraId="22A68E66" w14:textId="77777777" w:rsidR="00697217" w:rsidRPr="00E74726" w:rsidRDefault="00697217" w:rsidP="00DF3F6B">
      <w:pPr>
        <w:pStyle w:val="ListParagraph"/>
        <w:numPr>
          <w:ilvl w:val="0"/>
          <w:numId w:val="361"/>
        </w:numPr>
        <w:spacing w:before="240" w:after="240" w:line="240" w:lineRule="auto"/>
      </w:pPr>
      <w:r w:rsidRPr="00192556">
        <w:rPr>
          <w:b/>
        </w:rPr>
        <w:t>Respectful:</w:t>
      </w:r>
      <w:r w:rsidRPr="00E74726">
        <w:t xml:space="preserve"> recognises their cultural identities and customs and does not challenge, assault or deny the identity of the older person</w:t>
      </w:r>
    </w:p>
    <w:p w14:paraId="6AB1A6FC" w14:textId="77777777" w:rsidR="00697217" w:rsidRPr="00E74726" w:rsidRDefault="00697217" w:rsidP="00DF3F6B">
      <w:pPr>
        <w:pStyle w:val="ListParagraph"/>
        <w:numPr>
          <w:ilvl w:val="0"/>
          <w:numId w:val="361"/>
        </w:numPr>
        <w:spacing w:before="240" w:after="240" w:line="240" w:lineRule="auto"/>
      </w:pPr>
      <w:r w:rsidRPr="00192556">
        <w:rPr>
          <w:b/>
        </w:rPr>
        <w:t>Safe, inclusive and flexible:</w:t>
      </w:r>
      <w:r w:rsidRPr="00E74726">
        <w:t xml:space="preserve"> meets the older person’s needs, expectations and rights, and is supportive of diverse characteristics and life experiences</w:t>
      </w:r>
    </w:p>
    <w:p w14:paraId="3C5FF9C6" w14:textId="77777777" w:rsidR="00697217" w:rsidRPr="00E74726" w:rsidRDefault="00697217" w:rsidP="00DF3F6B">
      <w:pPr>
        <w:pStyle w:val="ListParagraph"/>
        <w:numPr>
          <w:ilvl w:val="0"/>
          <w:numId w:val="361"/>
        </w:numPr>
        <w:spacing w:before="240" w:after="240" w:line="240" w:lineRule="auto"/>
      </w:pPr>
      <w:r w:rsidRPr="00192556">
        <w:rPr>
          <w:b/>
        </w:rPr>
        <w:t>Collaborative:</w:t>
      </w:r>
      <w:r w:rsidRPr="00E74726">
        <w:t xml:space="preserve"> shares meaning, knowledge and experience through meaningful dialogue between the older person and the assessor</w:t>
      </w:r>
    </w:p>
    <w:p w14:paraId="48FDEDCE" w14:textId="77777777" w:rsidR="00697217" w:rsidRPr="00E74726" w:rsidRDefault="00697217" w:rsidP="00DF3F6B">
      <w:pPr>
        <w:pStyle w:val="ListParagraph"/>
        <w:numPr>
          <w:ilvl w:val="0"/>
          <w:numId w:val="361"/>
        </w:numPr>
        <w:spacing w:before="240" w:after="240" w:line="240" w:lineRule="auto"/>
      </w:pPr>
      <w:r w:rsidRPr="00192556">
        <w:rPr>
          <w:b/>
        </w:rPr>
        <w:t>Self-determined:</w:t>
      </w:r>
      <w:r w:rsidRPr="00E74726">
        <w:t xml:space="preserve"> provides choice, participation and control to the older person, and allows them to make decisions about matters that affect them</w:t>
      </w:r>
    </w:p>
    <w:p w14:paraId="5098DF9C" w14:textId="77777777" w:rsidR="00697217" w:rsidRDefault="00697217" w:rsidP="00622CFF">
      <w:pPr>
        <w:spacing w:before="240" w:after="240" w:line="240" w:lineRule="auto"/>
      </w:pPr>
    </w:p>
    <w:tbl>
      <w:tblPr>
        <w:tblStyle w:val="TableGrid"/>
        <w:tblW w:w="0" w:type="auto"/>
        <w:tblLook w:val="04A0" w:firstRow="1" w:lastRow="0" w:firstColumn="1" w:lastColumn="0" w:noHBand="0" w:noVBand="1"/>
      </w:tblPr>
      <w:tblGrid>
        <w:gridCol w:w="988"/>
        <w:gridCol w:w="8028"/>
      </w:tblGrid>
      <w:tr w:rsidR="00697217" w14:paraId="3411674C" w14:textId="77777777">
        <w:tc>
          <w:tcPr>
            <w:tcW w:w="988" w:type="dxa"/>
          </w:tcPr>
          <w:p w14:paraId="13C75378" w14:textId="77777777" w:rsidR="00697217" w:rsidRDefault="00697217" w:rsidP="00622CFF">
            <w:pPr>
              <w:spacing w:before="240" w:after="240"/>
            </w:pPr>
            <w:r w:rsidRPr="0028657F">
              <w:rPr>
                <w:noProof/>
              </w:rPr>
              <w:drawing>
                <wp:anchor distT="0" distB="0" distL="114300" distR="114300" simplePos="0" relativeHeight="251658257" behindDoc="0" locked="0" layoutInCell="1" allowOverlap="1" wp14:anchorId="3AA6BD2F" wp14:editId="6C67E57D">
                  <wp:simplePos x="0" y="0"/>
                  <wp:positionH relativeFrom="column">
                    <wp:posOffset>-66675</wp:posOffset>
                  </wp:positionH>
                  <wp:positionV relativeFrom="paragraph">
                    <wp:posOffset>29845</wp:posOffset>
                  </wp:positionV>
                  <wp:extent cx="447675" cy="445135"/>
                  <wp:effectExtent l="0" t="0" r="0" b="0"/>
                  <wp:wrapSquare wrapText="bothSides"/>
                  <wp:docPr id="1383675884" name="Picture 138367588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p w14:paraId="60D9D65E" w14:textId="77777777" w:rsidR="00697217" w:rsidRDefault="00697217" w:rsidP="00622CFF">
            <w:pPr>
              <w:spacing w:before="240" w:after="240"/>
            </w:pPr>
          </w:p>
        </w:tc>
        <w:tc>
          <w:tcPr>
            <w:tcW w:w="8028" w:type="dxa"/>
          </w:tcPr>
          <w:p w14:paraId="2001C1B2" w14:textId="77777777" w:rsidR="00697217" w:rsidRPr="0088128B" w:rsidRDefault="00697217" w:rsidP="00622CFF">
            <w:pPr>
              <w:spacing w:before="240" w:after="240"/>
            </w:pPr>
            <w:hyperlink r:id="rId268" w:history="1">
              <w:r w:rsidRPr="0088128B">
                <w:rPr>
                  <w:rStyle w:val="Hyperlink"/>
                </w:rPr>
                <w:t>Aged Care Diversity Framework action plans | Australian Government Department of Health, Disability and Ageing</w:t>
              </w:r>
            </w:hyperlink>
          </w:p>
          <w:p w14:paraId="7E709291" w14:textId="77777777" w:rsidR="00697217" w:rsidRPr="00635AA3" w:rsidRDefault="00697217" w:rsidP="00622CFF">
            <w:pPr>
              <w:spacing w:before="240" w:after="240"/>
              <w:rPr>
                <w:szCs w:val="22"/>
              </w:rPr>
            </w:pPr>
            <w:hyperlink r:id="rId269">
              <w:r w:rsidRPr="00635AA3">
                <w:rPr>
                  <w:rStyle w:val="Hyperlink"/>
                  <w:szCs w:val="22"/>
                </w:rPr>
                <w:t>Partners in Culturally Appropriate Care (PICAC)</w:t>
              </w:r>
            </w:hyperlink>
            <w:r w:rsidRPr="00635AA3">
              <w:rPr>
                <w:szCs w:val="22"/>
              </w:rPr>
              <w:t xml:space="preserve"> </w:t>
            </w:r>
          </w:p>
          <w:p w14:paraId="3FB3BAC3" w14:textId="77777777" w:rsidR="00697217" w:rsidRPr="00635AA3" w:rsidRDefault="00697217" w:rsidP="00622CFF">
            <w:pPr>
              <w:spacing w:before="240" w:after="240"/>
            </w:pPr>
            <w:hyperlink r:id="rId270">
              <w:r w:rsidRPr="00635AA3">
                <w:rPr>
                  <w:rStyle w:val="Hyperlink"/>
                  <w:szCs w:val="22"/>
                </w:rPr>
                <w:t>Working with Diverse Groups in Aged Care</w:t>
              </w:r>
            </w:hyperlink>
            <w:r w:rsidRPr="00635AA3">
              <w:t xml:space="preserve"> </w:t>
            </w:r>
          </w:p>
          <w:p w14:paraId="6D10AEDE" w14:textId="77777777" w:rsidR="00697217" w:rsidRPr="0028657F" w:rsidRDefault="00697217" w:rsidP="00622CFF">
            <w:pPr>
              <w:spacing w:before="240" w:after="240"/>
              <w:rPr>
                <w:noProof/>
              </w:rPr>
            </w:pPr>
            <w:hyperlink r:id="rId271" w:history="1">
              <w:r w:rsidRPr="00635AA3">
                <w:rPr>
                  <w:rStyle w:val="Hyperlink"/>
                  <w:szCs w:val="22"/>
                </w:rPr>
                <w:t>Australian Migrant Resource Centres</w:t>
              </w:r>
            </w:hyperlink>
          </w:p>
        </w:tc>
      </w:tr>
    </w:tbl>
    <w:p w14:paraId="1C22BE52" w14:textId="6F086BDD" w:rsidR="00697217" w:rsidRPr="00933098" w:rsidRDefault="00697217" w:rsidP="00C56CEC">
      <w:pPr>
        <w:pStyle w:val="H3"/>
      </w:pPr>
      <w:bookmarkStart w:id="997" w:name="_Toc198816554"/>
      <w:bookmarkStart w:id="998" w:name="_Toc204329615"/>
      <w:r w:rsidRPr="007B5599">
        <w:t>Aboriginal and Torres Strait Islander assessment organisations</w:t>
      </w:r>
      <w:bookmarkEnd w:id="997"/>
      <w:bookmarkEnd w:id="998"/>
    </w:p>
    <w:p w14:paraId="7BEC00B7" w14:textId="649454F3" w:rsidR="00697217" w:rsidRPr="00880B95" w:rsidRDefault="00697217" w:rsidP="00622CFF">
      <w:pPr>
        <w:spacing w:before="240" w:after="240" w:line="240" w:lineRule="auto"/>
      </w:pPr>
      <w:r w:rsidRPr="00880B95">
        <w:t xml:space="preserve">As a part of the Single Assessment System, Aboriginal and Torres Strait Islander assessment organisations </w:t>
      </w:r>
      <w:r>
        <w:t>be</w:t>
      </w:r>
      <w:r w:rsidR="658D5EBC">
        <w:t>gan being</w:t>
      </w:r>
      <w:r w:rsidRPr="00880B95">
        <w:t xml:space="preserve"> rolled out from </w:t>
      </w:r>
      <w:r>
        <w:t>August</w:t>
      </w:r>
      <w:r w:rsidRPr="00880B95">
        <w:t xml:space="preserve"> 2025. These assessment organisations provide a choice for older Aboriginal and Torres Strait Islander people seeking access to a culturally safe aged care assessment. A small number of organisations </w:t>
      </w:r>
      <w:r>
        <w:t xml:space="preserve">will </w:t>
      </w:r>
      <w:r w:rsidRPr="00880B95">
        <w:t xml:space="preserve">commence providing these services </w:t>
      </w:r>
      <w:r>
        <w:t>initially and o</w:t>
      </w:r>
      <w:r w:rsidRPr="00880B95">
        <w:t>ver time, these services will extend their reach and progressively cover more areas across Australia. </w:t>
      </w:r>
    </w:p>
    <w:p w14:paraId="27E45DC6" w14:textId="77777777" w:rsidR="00697217" w:rsidRPr="00880B95" w:rsidRDefault="00697217" w:rsidP="00622CFF">
      <w:pPr>
        <w:spacing w:before="240" w:after="240" w:line="240" w:lineRule="auto"/>
      </w:pPr>
      <w:r w:rsidRPr="00880B95">
        <w:t>A culturally safe assessment process will help to improve the experience for older Aboriginal and Torres Strait Islander people and increase their uptake of aged care services. This will support them to maintain their independence at home for longer.  </w:t>
      </w:r>
    </w:p>
    <w:p w14:paraId="7EEE40FA" w14:textId="77777777" w:rsidR="00697217" w:rsidRPr="00880B95" w:rsidRDefault="00697217" w:rsidP="00622CFF">
      <w:pPr>
        <w:spacing w:before="240" w:after="240" w:line="240" w:lineRule="auto"/>
      </w:pPr>
      <w:r w:rsidRPr="00880B95">
        <w:t>The organisations will help older Aboriginal and Torres Strait Islander people, their families, and carers, to access aged care services across urban, regional, and remote Australia. </w:t>
      </w:r>
    </w:p>
    <w:p w14:paraId="153FC50A" w14:textId="77777777" w:rsidR="00697217" w:rsidRPr="00880B95" w:rsidRDefault="00697217" w:rsidP="00622CFF">
      <w:pPr>
        <w:spacing w:before="240" w:after="240" w:line="240" w:lineRule="auto"/>
      </w:pPr>
      <w:r w:rsidRPr="00880B95">
        <w:t>Aboriginal and Torres Strait Islander assessment organisations will:  </w:t>
      </w:r>
    </w:p>
    <w:p w14:paraId="4A76BAD1" w14:textId="77777777" w:rsidR="00697217" w:rsidRPr="00880B95" w:rsidRDefault="00697217" w:rsidP="00DF3F6B">
      <w:pPr>
        <w:pStyle w:val="ListParagraph"/>
        <w:numPr>
          <w:ilvl w:val="0"/>
          <w:numId w:val="351"/>
        </w:numPr>
        <w:spacing w:before="240" w:after="240" w:line="240" w:lineRule="auto"/>
      </w:pPr>
      <w:r w:rsidRPr="00880B95">
        <w:t>Take a less formal yarning approach to assessments to make the older Aboriginal and Torres Strait Islander person feel comfortable.  </w:t>
      </w:r>
    </w:p>
    <w:p w14:paraId="47E9C7E1" w14:textId="298BD35B" w:rsidR="00697217" w:rsidRPr="00880B95" w:rsidRDefault="001E302E" w:rsidP="00DF3F6B">
      <w:pPr>
        <w:pStyle w:val="ListParagraph"/>
        <w:numPr>
          <w:ilvl w:val="0"/>
          <w:numId w:val="352"/>
        </w:numPr>
        <w:spacing w:before="240" w:after="240" w:line="240" w:lineRule="auto"/>
      </w:pPr>
      <w:r>
        <w:t>Undertake</w:t>
      </w:r>
      <w:r w:rsidR="00697217" w:rsidRPr="00880B95">
        <w:t xml:space="preserve"> face-to-face assessments, where possible. This could be in the older person</w:t>
      </w:r>
      <w:r w:rsidR="00697217">
        <w:t>’</w:t>
      </w:r>
      <w:r w:rsidR="00697217" w:rsidRPr="00880B95">
        <w:t>s home, at a community centre, or outdoors at a place of the older person</w:t>
      </w:r>
      <w:r w:rsidR="00697217">
        <w:t>’</w:t>
      </w:r>
      <w:r w:rsidR="00697217" w:rsidRPr="00880B95">
        <w:t>s choosing.   </w:t>
      </w:r>
    </w:p>
    <w:p w14:paraId="6EA5E86A" w14:textId="77777777" w:rsidR="00697217" w:rsidRPr="00880B95" w:rsidRDefault="00697217" w:rsidP="00DF3F6B">
      <w:pPr>
        <w:pStyle w:val="ListParagraph"/>
        <w:numPr>
          <w:ilvl w:val="0"/>
          <w:numId w:val="353"/>
        </w:numPr>
        <w:spacing w:before="240" w:after="240" w:line="240" w:lineRule="auto"/>
      </w:pPr>
      <w:r>
        <w:t xml:space="preserve">In line with the older person’s wishes, </w:t>
      </w:r>
      <w:r w:rsidRPr="1B2731C8">
        <w:t>welcome</w:t>
      </w:r>
      <w:r w:rsidRPr="00880B95">
        <w:t xml:space="preserve"> the presence of the older person's family member, advocate or </w:t>
      </w:r>
      <w:r>
        <w:t xml:space="preserve">registered </w:t>
      </w:r>
      <w:r w:rsidRPr="00880B95">
        <w:t>supporter</w:t>
      </w:r>
      <w:r>
        <w:t>s</w:t>
      </w:r>
      <w:r w:rsidRPr="00880B95">
        <w:t>, to be part of the meetings</w:t>
      </w:r>
      <w:r>
        <w:t>.</w:t>
      </w:r>
      <w:r w:rsidRPr="00880B95">
        <w:t> </w:t>
      </w:r>
    </w:p>
    <w:p w14:paraId="6DD21700" w14:textId="77777777" w:rsidR="00697217" w:rsidRPr="00880B95" w:rsidRDefault="00697217" w:rsidP="00DF3F6B">
      <w:pPr>
        <w:pStyle w:val="ListParagraph"/>
        <w:numPr>
          <w:ilvl w:val="0"/>
          <w:numId w:val="354"/>
        </w:numPr>
        <w:spacing w:before="240" w:after="240" w:line="240" w:lineRule="auto"/>
      </w:pPr>
      <w:r w:rsidRPr="00880B95">
        <w:t>Allow for multiple visits, if required, to build trust and develop a relationship.  </w:t>
      </w:r>
    </w:p>
    <w:p w14:paraId="2FC95BCE" w14:textId="77777777" w:rsidR="00697217" w:rsidRPr="00880B95" w:rsidRDefault="00697217" w:rsidP="00DF3F6B">
      <w:pPr>
        <w:pStyle w:val="ListParagraph"/>
        <w:numPr>
          <w:ilvl w:val="0"/>
          <w:numId w:val="355"/>
        </w:numPr>
        <w:spacing w:before="240" w:after="240" w:line="240" w:lineRule="auto"/>
      </w:pPr>
      <w:r>
        <w:t>B</w:t>
      </w:r>
      <w:r w:rsidRPr="00880B95">
        <w:t>e embedded within the local community. Connecting with the local community with their knowledge of local services, customs and protocols will allow them to support matching appropriate assessors to the older person</w:t>
      </w:r>
      <w:r>
        <w:t>’</w:t>
      </w:r>
      <w:r w:rsidRPr="00880B95">
        <w:t>s preferences and needs.  </w:t>
      </w:r>
    </w:p>
    <w:p w14:paraId="5AD3AA9A" w14:textId="77777777" w:rsidR="00697217" w:rsidRPr="00880B95" w:rsidRDefault="00697217" w:rsidP="00DF3F6B">
      <w:pPr>
        <w:pStyle w:val="ListParagraph"/>
        <w:numPr>
          <w:ilvl w:val="0"/>
          <w:numId w:val="356"/>
        </w:numPr>
        <w:spacing w:before="240" w:after="240" w:line="240" w:lineRule="auto"/>
      </w:pPr>
      <w:r>
        <w:t>Be supported by</w:t>
      </w:r>
      <w:r w:rsidRPr="00880B95">
        <w:t xml:space="preserve"> connection to community to gather information about the older person’s health and wellbeing to understand the aged care services they need prior to meeting them. This will limit the amount of information that the assessor needs to draw from the assessment, which will help to limit the number of times that the older person needs to re-tell their story.  </w:t>
      </w:r>
    </w:p>
    <w:p w14:paraId="0544BBB4" w14:textId="77777777" w:rsidR="00697217" w:rsidRPr="00880B95" w:rsidRDefault="00697217" w:rsidP="00DF3F6B">
      <w:pPr>
        <w:pStyle w:val="ListParagraph"/>
        <w:numPr>
          <w:ilvl w:val="0"/>
          <w:numId w:val="357"/>
        </w:numPr>
        <w:spacing w:before="240" w:after="240" w:line="240" w:lineRule="auto"/>
      </w:pPr>
      <w:r>
        <w:t>M</w:t>
      </w:r>
      <w:r w:rsidRPr="00880B95">
        <w:t>aintain a connection with the older person for the whole journey to receiving services</w:t>
      </w:r>
      <w:r w:rsidRPr="68DAA15F">
        <w:t>,</w:t>
      </w:r>
      <w:r>
        <w:t xml:space="preserve"> through </w:t>
      </w:r>
      <w:r w:rsidRPr="00880B95">
        <w:t>Elder Care Support workers. This will help to manage any uncertainty or questions throughout the process.   </w:t>
      </w:r>
    </w:p>
    <w:p w14:paraId="38E18F21" w14:textId="77777777" w:rsidR="00697217" w:rsidRPr="00880B95" w:rsidRDefault="00697217" w:rsidP="00DF3F6B">
      <w:pPr>
        <w:pStyle w:val="ListParagraph"/>
        <w:numPr>
          <w:ilvl w:val="0"/>
          <w:numId w:val="358"/>
        </w:numPr>
        <w:spacing w:before="240" w:after="240" w:line="240" w:lineRule="auto"/>
      </w:pPr>
      <w:r w:rsidRPr="00880B95">
        <w:t>Work with organisations that support Stolen Generation survivors</w:t>
      </w:r>
      <w:r>
        <w:t>.</w:t>
      </w:r>
    </w:p>
    <w:p w14:paraId="403CBB4E" w14:textId="77777777" w:rsidR="00697217" w:rsidRPr="00880B95" w:rsidRDefault="00697217" w:rsidP="00DF3F6B">
      <w:pPr>
        <w:pStyle w:val="ListParagraph"/>
        <w:numPr>
          <w:ilvl w:val="0"/>
          <w:numId w:val="359"/>
        </w:numPr>
        <w:spacing w:before="240" w:after="240" w:line="240" w:lineRule="auto"/>
      </w:pPr>
      <w:r w:rsidRPr="00880B95">
        <w:t>Provid</w:t>
      </w:r>
      <w:r>
        <w:t>e</w:t>
      </w:r>
      <w:r w:rsidRPr="00880B95">
        <w:t xml:space="preserve"> interpreting services when needed</w:t>
      </w:r>
      <w:r>
        <w:t>.</w:t>
      </w:r>
      <w:r w:rsidRPr="00880B95">
        <w:t> </w:t>
      </w:r>
    </w:p>
    <w:p w14:paraId="74EA82C3" w14:textId="28F6DE08" w:rsidR="00697217" w:rsidRPr="00880B95" w:rsidRDefault="00697217" w:rsidP="00622CFF">
      <w:pPr>
        <w:spacing w:before="240" w:after="240" w:line="240" w:lineRule="auto"/>
      </w:pPr>
      <w:r w:rsidRPr="00880B95">
        <w:t xml:space="preserve">Until an Aboriginal and Torres Strait Islander service is available in their area, older Aboriginal and Torres Strait Islander people can receive aged care assessments </w:t>
      </w:r>
      <w:r>
        <w:t>via</w:t>
      </w:r>
      <w:r w:rsidRPr="00880B95">
        <w:t xml:space="preserve"> </w:t>
      </w:r>
      <w:r>
        <w:t>an</w:t>
      </w:r>
      <w:r w:rsidRPr="00880B95">
        <w:t xml:space="preserve"> existing </w:t>
      </w:r>
      <w:r>
        <w:t xml:space="preserve">assessment </w:t>
      </w:r>
      <w:r w:rsidR="00B57B0B">
        <w:t>organisation.</w:t>
      </w:r>
      <w:r w:rsidRPr="00880B95">
        <w:t> </w:t>
      </w:r>
      <w:r>
        <w:t xml:space="preserve">Once an Aboriginal and Torres Strait Islander </w:t>
      </w:r>
      <w:r w:rsidRPr="676167B2">
        <w:t>organisation</w:t>
      </w:r>
      <w:r>
        <w:t xml:space="preserve"> becomes available, older Aboriginal and Torres Strait Islander people will have the choice to </w:t>
      </w:r>
      <w:r w:rsidRPr="00880B95">
        <w:t>be assessed</w:t>
      </w:r>
      <w:r>
        <w:t xml:space="preserve"> through either assessment pathway. </w:t>
      </w:r>
    </w:p>
    <w:p w14:paraId="63A77477" w14:textId="06E14134" w:rsidR="00697217" w:rsidRDefault="00697217" w:rsidP="00622CFF">
      <w:pPr>
        <w:spacing w:before="240" w:after="240" w:line="240" w:lineRule="auto"/>
      </w:pPr>
      <w:r>
        <w:t xml:space="preserve"> </w:t>
      </w:r>
      <w:r>
        <w:rPr>
          <w:noProof/>
        </w:rPr>
        <w:drawing>
          <wp:inline distT="0" distB="0" distL="0" distR="0" wp14:anchorId="0E72FEA8" wp14:editId="6CA0381D">
            <wp:extent cx="456462" cy="453946"/>
            <wp:effectExtent l="0" t="0" r="0" b="0"/>
            <wp:docPr id="1202594309" name="Picture 120259430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4309" name="Picture 1202594309" descr="A black and white logo&#10;&#10;AI-generated content may be incorrect."/>
                    <pic:cNvPicPr/>
                  </pic:nvPicPr>
                  <pic:blipFill>
                    <a:blip r:embed="rId272">
                      <a:extLst>
                        <a:ext uri="{28A0092B-C50C-407E-A947-70E740481C1C}">
                          <a14:useLocalDpi xmlns:a14="http://schemas.microsoft.com/office/drawing/2010/main" val="0"/>
                        </a:ext>
                      </a:extLst>
                    </a:blip>
                    <a:stretch>
                      <a:fillRect/>
                    </a:stretch>
                  </pic:blipFill>
                  <pic:spPr>
                    <a:xfrm>
                      <a:off x="0" y="0"/>
                      <a:ext cx="456462" cy="453946"/>
                    </a:xfrm>
                    <a:prstGeom prst="rect">
                      <a:avLst/>
                    </a:prstGeom>
                  </pic:spPr>
                </pic:pic>
              </a:graphicData>
            </a:graphic>
          </wp:inline>
        </w:drawing>
      </w:r>
      <w:r>
        <w:t xml:space="preserve">  </w:t>
      </w:r>
      <w:r w:rsidRPr="37A436E4">
        <w:rPr>
          <w:b/>
        </w:rPr>
        <w:t>More information available at</w:t>
      </w:r>
      <w:r w:rsidRPr="37A436E4">
        <w:t xml:space="preserve"> </w:t>
      </w:r>
      <w:r w:rsidR="009D7D6A">
        <w:t xml:space="preserve">- </w:t>
      </w:r>
      <w:hyperlink r:id="rId273" w:history="1">
        <w:r w:rsidRPr="00701CC3">
          <w:rPr>
            <w:rStyle w:val="Hyperlink"/>
          </w:rPr>
          <w:t>Aboriginal and Torres Strait Islander Aged Care Assessment Organisations.</w:t>
        </w:r>
        <w:r w:rsidRPr="00701CC3">
          <w:rPr>
            <w:rStyle w:val="Hyperlink"/>
            <w:b/>
          </w:rPr>
          <w:t xml:space="preserve">  </w:t>
        </w:r>
      </w:hyperlink>
      <w:r>
        <w:rPr>
          <w:b/>
        </w:rPr>
        <w:t xml:space="preserve"> </w:t>
      </w:r>
    </w:p>
    <w:p w14:paraId="2A2BDC5D" w14:textId="178E0B11" w:rsidR="00697217" w:rsidRPr="003E1933" w:rsidRDefault="007150CE" w:rsidP="00507F9D">
      <w:pPr>
        <w:pStyle w:val="h2"/>
      </w:pPr>
      <w:bookmarkStart w:id="999" w:name="_Toc209189055"/>
      <w:bookmarkStart w:id="1000" w:name="_Toc224916708"/>
      <w:bookmarkStart w:id="1001" w:name="_Toc159226892"/>
      <w:bookmarkStart w:id="1002" w:name="_Toc184402309"/>
      <w:bookmarkStart w:id="1003" w:name="_Toc204329616"/>
      <w:r w:rsidRPr="005E4E0E">
        <w:rPr>
          <w:bCs w:val="0"/>
          <w:noProof/>
        </w:rPr>
        <w:drawing>
          <wp:anchor distT="0" distB="0" distL="114300" distR="114300" simplePos="0" relativeHeight="251658303" behindDoc="0" locked="0" layoutInCell="1" allowOverlap="1" wp14:anchorId="6F08A6DD" wp14:editId="3F4B5C19">
            <wp:simplePos x="0" y="0"/>
            <wp:positionH relativeFrom="margin">
              <wp:align>left</wp:align>
            </wp:positionH>
            <wp:positionV relativeFrom="paragraph">
              <wp:posOffset>6985</wp:posOffset>
            </wp:positionV>
            <wp:extent cx="457200" cy="502920"/>
            <wp:effectExtent l="0" t="0" r="0" b="0"/>
            <wp:wrapSquare wrapText="bothSides"/>
            <wp:docPr id="1843095001" name="Picture 1843095001"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697217" w:rsidRPr="003E1933">
        <w:t xml:space="preserve">People with </w:t>
      </w:r>
      <w:r w:rsidR="005A2E0F">
        <w:t>d</w:t>
      </w:r>
      <w:r w:rsidR="00697217" w:rsidRPr="003E1933">
        <w:t>ementia</w:t>
      </w:r>
      <w:bookmarkEnd w:id="999"/>
      <w:bookmarkEnd w:id="1000"/>
    </w:p>
    <w:p w14:paraId="6FB19B2C" w14:textId="6179C52C" w:rsidR="00697217" w:rsidRDefault="00697217" w:rsidP="00622CFF">
      <w:pPr>
        <w:spacing w:before="240" w:after="240" w:line="240" w:lineRule="auto"/>
        <w:rPr>
          <w:rFonts w:eastAsia="MS PGothic"/>
        </w:rPr>
      </w:pPr>
      <w:r>
        <w:rPr>
          <w:rFonts w:eastAsia="MS PGothic"/>
        </w:rPr>
        <w:t xml:space="preserve">Under the Statement of Rights in section 23 of the </w:t>
      </w:r>
      <w:r w:rsidR="00AB2AEE">
        <w:rPr>
          <w:rFonts w:eastAsia="MS PGothic"/>
        </w:rPr>
        <w:t>Aged Care Act 202</w:t>
      </w:r>
      <w:r w:rsidR="007B5C5C">
        <w:rPr>
          <w:rFonts w:eastAsia="MS PGothic"/>
        </w:rPr>
        <w:t>4</w:t>
      </w:r>
      <w:r w:rsidR="00AB2AEE">
        <w:rPr>
          <w:rFonts w:eastAsia="MS PGothic"/>
        </w:rPr>
        <w:t xml:space="preserve"> (the </w:t>
      </w:r>
      <w:r>
        <w:rPr>
          <w:rFonts w:eastAsia="MS PGothic"/>
        </w:rPr>
        <w:t>Act</w:t>
      </w:r>
      <w:r w:rsidR="008757A2">
        <w:rPr>
          <w:rFonts w:eastAsia="MS PGothic"/>
        </w:rPr>
        <w:t>)</w:t>
      </w:r>
      <w:r>
        <w:rPr>
          <w:rFonts w:eastAsia="MS PGothic"/>
        </w:rPr>
        <w:t xml:space="preserve">, an individual has a right to equitable access to an assessment in a manner that is accessible and suitable for individuals living with dementia or </w:t>
      </w:r>
      <w:r w:rsidRPr="00D9107A">
        <w:rPr>
          <w:rFonts w:eastAsia="MS PGothic"/>
        </w:rPr>
        <w:t>other</w:t>
      </w:r>
      <w:r>
        <w:rPr>
          <w:rFonts w:eastAsia="MS PGothic"/>
        </w:rPr>
        <w:t xml:space="preserve"> cognitive impairment. </w:t>
      </w:r>
    </w:p>
    <w:p w14:paraId="7BD6C52A" w14:textId="711A3347" w:rsidR="00697217" w:rsidRDefault="00697217" w:rsidP="19EF0358">
      <w:pPr>
        <w:spacing w:before="240" w:after="240" w:line="240" w:lineRule="auto"/>
        <w:rPr>
          <w:rFonts w:eastAsia="MS PGothic"/>
        </w:rPr>
      </w:pPr>
      <w:r w:rsidRPr="19EF0358">
        <w:rPr>
          <w:rFonts w:eastAsia="MS PGothic"/>
        </w:rPr>
        <w:t>The Australian Government recognises the unique needs of people with dementia and their families, registered supporters or other people who support them</w:t>
      </w:r>
      <w:r w:rsidR="114D0190" w:rsidRPr="19EF0358">
        <w:rPr>
          <w:rFonts w:eastAsia="MS PGothic"/>
        </w:rPr>
        <w:t>.</w:t>
      </w:r>
      <w:r w:rsidRPr="19EF0358">
        <w:rPr>
          <w:rFonts w:eastAsia="MS PGothic"/>
        </w:rPr>
        <w:t xml:space="preserve"> </w:t>
      </w:r>
      <w:r w:rsidR="20C21369" w:rsidRPr="19EF0358">
        <w:rPr>
          <w:rFonts w:eastAsia="MS PGothic"/>
        </w:rPr>
        <w:t>People with dementia can experience</w:t>
      </w:r>
      <w:r w:rsidR="004F5C2B" w:rsidRPr="19EF0358">
        <w:rPr>
          <w:rFonts w:eastAsia="MS PGothic"/>
        </w:rPr>
        <w:t xml:space="preserve"> </w:t>
      </w:r>
      <w:hyperlink r:id="rId274" w:history="1">
        <w:r w:rsidR="20C21369" w:rsidRPr="19EF0358">
          <w:rPr>
            <w:rStyle w:val="Hyperlink"/>
            <w:rFonts w:eastAsia="MS PGothic"/>
          </w:rPr>
          <w:t>communication challenges</w:t>
        </w:r>
        <w:r w:rsidR="00C15B7B" w:rsidRPr="19EF0358">
          <w:rPr>
            <w:rStyle w:val="Hyperlink"/>
            <w:rFonts w:eastAsia="MS PGothic"/>
          </w:rPr>
          <w:t>,</w:t>
        </w:r>
      </w:hyperlink>
      <w:r w:rsidR="20C21369" w:rsidRPr="19EF0358">
        <w:rPr>
          <w:rFonts w:eastAsia="MS PGothic"/>
        </w:rPr>
        <w:t xml:space="preserve"> which emphasise</w:t>
      </w:r>
      <w:r w:rsidR="0A42F0E4" w:rsidRPr="19EF0358">
        <w:rPr>
          <w:rFonts w:eastAsia="MS PGothic"/>
        </w:rPr>
        <w:t>s</w:t>
      </w:r>
      <w:r w:rsidR="20C21369" w:rsidRPr="19EF0358">
        <w:rPr>
          <w:rFonts w:eastAsia="MS PGothic"/>
        </w:rPr>
        <w:t xml:space="preserve"> the need for </w:t>
      </w:r>
      <w:r w:rsidR="53355C42" w:rsidRPr="19EF0358">
        <w:rPr>
          <w:rFonts w:eastAsia="MS PGothic"/>
        </w:rPr>
        <w:t>clear,</w:t>
      </w:r>
      <w:r w:rsidR="002A27BD" w:rsidRPr="19EF0358">
        <w:rPr>
          <w:rFonts w:eastAsia="MS PGothic"/>
        </w:rPr>
        <w:t xml:space="preserve"> </w:t>
      </w:r>
      <w:r w:rsidR="53355C42" w:rsidRPr="19EF0358">
        <w:rPr>
          <w:rFonts w:eastAsia="MS PGothic"/>
        </w:rPr>
        <w:t>respectful and effective engagement</w:t>
      </w:r>
      <w:r w:rsidR="007C14F8" w:rsidRPr="19EF0358">
        <w:rPr>
          <w:rFonts w:eastAsia="MS PGothic"/>
        </w:rPr>
        <w:t xml:space="preserve"> that is person-</w:t>
      </w:r>
      <w:r w:rsidR="0069404E" w:rsidRPr="19EF0358">
        <w:rPr>
          <w:rFonts w:eastAsia="MS PGothic"/>
        </w:rPr>
        <w:t>centred</w:t>
      </w:r>
      <w:r w:rsidR="53355C42" w:rsidRPr="19EF0358">
        <w:rPr>
          <w:rFonts w:eastAsia="MS PGothic"/>
        </w:rPr>
        <w:t>.</w:t>
      </w:r>
      <w:r w:rsidR="3CBDC256" w:rsidRPr="19EF0358">
        <w:rPr>
          <w:rFonts w:eastAsia="MS PGothic"/>
        </w:rPr>
        <w:t xml:space="preserve"> As dementia is a progressive condition, people will require reassessment to respond to changing needs and to plan appropriate, personalised, care and support</w:t>
      </w:r>
      <w:r w:rsidR="436A7EED" w:rsidRPr="19EF0358">
        <w:rPr>
          <w:rFonts w:eastAsia="MS PGothic"/>
        </w:rPr>
        <w:t>.</w:t>
      </w:r>
      <w:r w:rsidR="147803E0" w:rsidRPr="19EF0358">
        <w:rPr>
          <w:rFonts w:eastAsia="MS PGothic"/>
        </w:rPr>
        <w:t xml:space="preserve"> </w:t>
      </w:r>
    </w:p>
    <w:p w14:paraId="525FD46C" w14:textId="4D7CB6FA" w:rsidR="00183640" w:rsidRPr="00C5693E" w:rsidRDefault="00183640" w:rsidP="19EF0358">
      <w:pPr>
        <w:spacing w:before="240" w:after="240" w:line="240" w:lineRule="auto"/>
        <w:rPr>
          <w:rFonts w:eastAsia="MS PGothic"/>
          <w:b/>
          <w:bCs/>
        </w:rPr>
      </w:pPr>
      <w:r w:rsidRPr="00C5693E">
        <w:rPr>
          <w:rFonts w:eastAsia="MS PGothic"/>
          <w:b/>
          <w:bCs/>
        </w:rPr>
        <w:t xml:space="preserve">Presumption of capacity </w:t>
      </w:r>
    </w:p>
    <w:p w14:paraId="16E46E69" w14:textId="6921DC58" w:rsidR="00B41B3C" w:rsidRDefault="00B41B3C" w:rsidP="00B41B3C">
      <w:pPr>
        <w:spacing w:after="0" w:line="240" w:lineRule="auto"/>
        <w:rPr>
          <w:b/>
          <w:bCs/>
        </w:rPr>
      </w:pPr>
      <w:r w:rsidRPr="00814BCD">
        <w:t xml:space="preserve">The </w:t>
      </w:r>
      <w:r w:rsidR="009B5AB3" w:rsidRPr="00C5693E">
        <w:t>Act</w:t>
      </w:r>
      <w:r w:rsidRPr="00814BCD">
        <w:t xml:space="preserve"> establishes a modern rights-based, person-centred approach that prioritises the safety, health and wellbeing of older people. As such, it places older people and their wishes at the centre of the aged care system.</w:t>
      </w:r>
    </w:p>
    <w:p w14:paraId="12EC564A" w14:textId="77777777" w:rsidR="00A3481B" w:rsidRPr="00814BCD" w:rsidRDefault="00A3481B" w:rsidP="00B41B3C">
      <w:pPr>
        <w:spacing w:after="0" w:line="240" w:lineRule="auto"/>
      </w:pPr>
    </w:p>
    <w:p w14:paraId="0D3ED66E" w14:textId="4592FDDE" w:rsidR="00A3481B" w:rsidRPr="00814BCD" w:rsidRDefault="00A3481B" w:rsidP="00A3481B">
      <w:pPr>
        <w:spacing w:after="0" w:line="240" w:lineRule="auto"/>
      </w:pPr>
      <w:r w:rsidRPr="00814BCD">
        <w:t xml:space="preserve">A key change under the Act is that every older person is presumed to have the ability to make their own decisions and to have those decisions respected and recognised by law. This is known as the presumption of capacity. This means that other people, for example </w:t>
      </w:r>
      <w:r w:rsidR="009B5AB3">
        <w:t>assessors,</w:t>
      </w:r>
      <w:r w:rsidRPr="00814BCD">
        <w:t xml:space="preserve"> registered supporters, workers, health professionals and carers, should assume in the first instance that an older person can make their own decisions and do things themselves. </w:t>
      </w:r>
    </w:p>
    <w:p w14:paraId="3EB4E738" w14:textId="77777777" w:rsidR="00A3481B" w:rsidRPr="00814BCD" w:rsidRDefault="00A3481B" w:rsidP="00A3481B">
      <w:pPr>
        <w:spacing w:after="0" w:line="240" w:lineRule="auto"/>
      </w:pPr>
    </w:p>
    <w:p w14:paraId="54B6D2A9" w14:textId="77777777" w:rsidR="009B5AB3" w:rsidRDefault="00A3481B" w:rsidP="009B5AB3">
      <w:pPr>
        <w:spacing w:after="0" w:line="240" w:lineRule="auto"/>
        <w:rPr>
          <w:b/>
          <w:bCs/>
        </w:rPr>
      </w:pPr>
      <w:r w:rsidRPr="00814BCD">
        <w:t>The presumption of capacity applies to every decision to be made. This means that an older person is presumed to be able to make every new decision. If an older person is not able to make a decision on one occasion, it does not mean the older person should be excluded from decision-making on other occasions.</w:t>
      </w:r>
      <w:r w:rsidR="009B5AB3" w:rsidRPr="009B5AB3">
        <w:t xml:space="preserve"> </w:t>
      </w:r>
    </w:p>
    <w:p w14:paraId="567AAE86" w14:textId="77777777" w:rsidR="009B5AB3" w:rsidRDefault="009B5AB3" w:rsidP="009B5AB3">
      <w:pPr>
        <w:spacing w:after="0" w:line="240" w:lineRule="auto"/>
        <w:rPr>
          <w:b/>
          <w:bCs/>
        </w:rPr>
      </w:pPr>
    </w:p>
    <w:p w14:paraId="3AEA54E3" w14:textId="57A7F1B2" w:rsidR="00A3481B" w:rsidRPr="00831FCF" w:rsidRDefault="009B5AB3" w:rsidP="00A3481B">
      <w:pPr>
        <w:spacing w:after="0" w:line="240" w:lineRule="auto"/>
        <w:rPr>
          <w:b/>
        </w:rPr>
      </w:pPr>
      <w:r w:rsidRPr="00814BCD">
        <w:t>Assessors should implement supported decision-making principles and processes where appropriate, regardless of the presence or absence of a registered supporter, active appointed decision-maker, or other person supporting an older person</w:t>
      </w:r>
      <w:r>
        <w:t xml:space="preserve">. </w:t>
      </w:r>
    </w:p>
    <w:p w14:paraId="03C2700A" w14:textId="0127F14C" w:rsidR="00183640" w:rsidRDefault="009B5AB3" w:rsidP="00831FCF">
      <w:pPr>
        <w:pBdr>
          <w:top w:val="single" w:sz="4" w:space="1" w:color="auto"/>
          <w:left w:val="single" w:sz="4" w:space="4" w:color="auto"/>
          <w:bottom w:val="single" w:sz="4" w:space="1" w:color="auto"/>
          <w:right w:val="single" w:sz="4" w:space="4" w:color="auto"/>
        </w:pBdr>
        <w:shd w:val="clear" w:color="auto" w:fill="E7E6E6" w:themeFill="background2"/>
        <w:spacing w:before="240" w:after="240" w:line="240" w:lineRule="auto"/>
        <w:rPr>
          <w:rFonts w:eastAsia="MS PGothic"/>
        </w:rPr>
      </w:pPr>
      <w:r w:rsidRPr="009B5AB3">
        <w:rPr>
          <w:rFonts w:eastAsia="MS PGothic"/>
        </w:rPr>
        <w:t>A diagnosis does not necessarily mean that a person no longer has the ability to make some or all decisions for themselves. This includes diagnoses of dementia, mental illness, intellectual or cognitive disability, or acquired brain injury. For example, simply because a person has been diagnosed with dementia, does not mean that they lack decision-making ability for some or all decisions.</w:t>
      </w:r>
    </w:p>
    <w:p w14:paraId="184A2599" w14:textId="0C8341B4" w:rsidR="00183640" w:rsidRPr="00831FCF" w:rsidRDefault="00183640" w:rsidP="19EF0358">
      <w:pPr>
        <w:spacing w:before="240" w:after="240" w:line="240" w:lineRule="auto"/>
        <w:rPr>
          <w:b/>
          <w:bCs/>
        </w:rPr>
      </w:pPr>
      <w:r w:rsidRPr="00831FCF">
        <w:rPr>
          <w:rFonts w:eastAsia="MS PGothic"/>
          <w:b/>
          <w:bCs/>
        </w:rPr>
        <w:t>Guidance for assessors</w:t>
      </w:r>
    </w:p>
    <w:p w14:paraId="5818D216" w14:textId="703FA7FE" w:rsidR="00697217" w:rsidRDefault="00697217" w:rsidP="19EF0358">
      <w:pPr>
        <w:spacing w:before="240" w:after="240" w:line="240" w:lineRule="auto"/>
      </w:pPr>
      <w:r w:rsidRPr="19EF0358">
        <w:rPr>
          <w:rFonts w:eastAsia="MS PGothic"/>
        </w:rPr>
        <w:t>Assessors should foster links with dementia-specific services, including Dementia Australia and Dementia Support Australia (DSA), and</w:t>
      </w:r>
      <w:r w:rsidR="181D11A3" w:rsidRPr="19EF0358">
        <w:rPr>
          <w:rFonts w:eastAsia="MS PGothic"/>
        </w:rPr>
        <w:t xml:space="preserve"> build awareness of local memory, cognition and dementia services available</w:t>
      </w:r>
      <w:r w:rsidR="05B79CD2" w:rsidRPr="69C84AEE">
        <w:rPr>
          <w:rFonts w:eastAsia="MS PGothic"/>
        </w:rPr>
        <w:t>, including cognitive or dementia reablement where appropriate</w:t>
      </w:r>
      <w:r w:rsidR="753ACF5F" w:rsidRPr="69C84AEE">
        <w:rPr>
          <w:rFonts w:eastAsia="MS PGothic"/>
        </w:rPr>
        <w:t>.</w:t>
      </w:r>
      <w:r w:rsidR="791D9CFE" w:rsidRPr="19EF0358">
        <w:rPr>
          <w:rFonts w:eastAsia="MS PGothic"/>
        </w:rPr>
        <w:t xml:space="preserve"> </w:t>
      </w:r>
      <w:r w:rsidR="731D33EB" w:rsidRPr="19EF0358">
        <w:rPr>
          <w:rFonts w:eastAsia="MS PGothic"/>
        </w:rPr>
        <w:t>W</w:t>
      </w:r>
      <w:r w:rsidRPr="19EF0358">
        <w:rPr>
          <w:rFonts w:eastAsia="MS PGothic"/>
        </w:rPr>
        <w:t xml:space="preserve">here relevant, include </w:t>
      </w:r>
      <w:r w:rsidR="5C0220E5" w:rsidRPr="19EF0358">
        <w:rPr>
          <w:rFonts w:eastAsia="MS PGothic"/>
        </w:rPr>
        <w:t>dementia</w:t>
      </w:r>
      <w:r w:rsidRPr="19EF0358">
        <w:rPr>
          <w:rFonts w:eastAsia="MS PGothic"/>
        </w:rPr>
        <w:t xml:space="preserve"> expertise in the assessment process. </w:t>
      </w:r>
      <w:r w:rsidR="548C9D59" w:rsidRPr="19EF0358">
        <w:rPr>
          <w:rFonts w:eastAsia="MS PGothic"/>
        </w:rPr>
        <w:t>This knowledge and connection</w:t>
      </w:r>
      <w:r w:rsidRPr="19EF0358">
        <w:rPr>
          <w:rFonts w:eastAsia="MS PGothic"/>
        </w:rPr>
        <w:t xml:space="preserve"> will</w:t>
      </w:r>
      <w:r w:rsidR="0737EAC4" w:rsidRPr="19EF0358" w:rsidDel="00697217">
        <w:rPr>
          <w:rFonts w:eastAsia="MS PGothic"/>
        </w:rPr>
        <w:t xml:space="preserve"> </w:t>
      </w:r>
      <w:r w:rsidRPr="19EF0358">
        <w:rPr>
          <w:rFonts w:eastAsia="MS PGothic"/>
        </w:rPr>
        <w:t>assist assessors to better understand the</w:t>
      </w:r>
      <w:r w:rsidR="00CD2474">
        <w:rPr>
          <w:rFonts w:eastAsia="MS PGothic"/>
        </w:rPr>
        <w:t xml:space="preserve"> specific</w:t>
      </w:r>
      <w:r w:rsidRPr="19EF0358">
        <w:rPr>
          <w:rFonts w:eastAsia="MS PGothic"/>
        </w:rPr>
        <w:t xml:space="preserve"> needs of people living with dementia and their care partners, families, and representatives, and assist to improve linkages, integrated care, and access.</w:t>
      </w:r>
      <w:r w:rsidR="009B41AB">
        <w:rPr>
          <w:rFonts w:eastAsia="MS PGothic"/>
        </w:rPr>
        <w:t xml:space="preserve"> </w:t>
      </w:r>
      <w:r w:rsidRPr="19EF0358">
        <w:rPr>
          <w:rFonts w:eastAsia="MS PGothic"/>
        </w:rPr>
        <w:t xml:space="preserve">Assessors should be particularly alert to concerns about cognitive impairment or people who indicate a previous diagnosis of dementia. Referrals to the National Dementia Helpline or a GP should be considered where concerns about cognitive impairment are raised or where there is a diagnosis of dementia but the </w:t>
      </w:r>
      <w:r w:rsidR="009D7D6A" w:rsidRPr="19EF0358">
        <w:rPr>
          <w:rFonts w:eastAsia="MS PGothic"/>
        </w:rPr>
        <w:t>person, their</w:t>
      </w:r>
      <w:r w:rsidRPr="19EF0358">
        <w:rPr>
          <w:rFonts w:eastAsia="MS PGothic"/>
        </w:rPr>
        <w:t xml:space="preserve"> registered supporters or other people who support them are not receiving the dementia-specific support they need.</w:t>
      </w:r>
      <w:r w:rsidR="730B4E95" w:rsidRPr="19EF0358">
        <w:rPr>
          <w:rFonts w:eastAsia="MS PGothic"/>
        </w:rPr>
        <w:t xml:space="preserve"> Information and appropriate i</w:t>
      </w:r>
      <w:r w:rsidR="730B4E95" w:rsidRPr="19EF0358">
        <w:rPr>
          <w:rFonts w:eastAsia="Arial"/>
          <w:szCs w:val="22"/>
        </w:rPr>
        <w:t xml:space="preserve">nterventions after a diagnosis help people to live well with dementia, </w:t>
      </w:r>
      <w:r w:rsidR="06D021E0" w:rsidRPr="19EF0358">
        <w:rPr>
          <w:rFonts w:eastAsia="Arial"/>
          <w:szCs w:val="22"/>
        </w:rPr>
        <w:t xml:space="preserve">and plan for the </w:t>
      </w:r>
      <w:r w:rsidR="2A432AE3" w:rsidRPr="19EF0358">
        <w:rPr>
          <w:rFonts w:eastAsia="Arial"/>
          <w:szCs w:val="22"/>
        </w:rPr>
        <w:t>future</w:t>
      </w:r>
      <w:r w:rsidR="730B4E95" w:rsidRPr="19EF0358">
        <w:rPr>
          <w:rFonts w:eastAsia="Arial"/>
          <w:szCs w:val="22"/>
        </w:rPr>
        <w:t>.</w:t>
      </w:r>
      <w:r w:rsidRPr="19EF0358">
        <w:rPr>
          <w:rFonts w:eastAsia="MS PGothic"/>
        </w:rPr>
        <w:t xml:space="preserve"> </w:t>
      </w:r>
      <w:r w:rsidRPr="19EF0358">
        <w:rPr>
          <w:lang w:val="en"/>
        </w:rPr>
        <w:t>Assessors can request a call back for</w:t>
      </w:r>
      <w:r w:rsidRPr="19EF0358" w:rsidDel="00697217">
        <w:rPr>
          <w:lang w:val="en"/>
        </w:rPr>
        <w:t xml:space="preserve"> </w:t>
      </w:r>
      <w:r w:rsidRPr="19EF0358">
        <w:rPr>
          <w:lang w:val="en"/>
        </w:rPr>
        <w:t xml:space="preserve">carers who have concerns about dementia (with their consent) from the National Dementia Helpline through the Assessor Portal and the Aged Care Assessor App. </w:t>
      </w:r>
      <w:r w:rsidRPr="19EF0358">
        <w:rPr>
          <w:rFonts w:eastAsia="MS PGothic"/>
        </w:rPr>
        <w:t xml:space="preserve">A trained professional from Dementia Australia </w:t>
      </w:r>
      <w:r w:rsidR="00AA16D5" w:rsidRPr="19EF0358">
        <w:rPr>
          <w:rFonts w:eastAsia="MS PGothic"/>
        </w:rPr>
        <w:t xml:space="preserve">will </w:t>
      </w:r>
      <w:r w:rsidRPr="19EF0358">
        <w:rPr>
          <w:rFonts w:eastAsia="MS PGothic"/>
        </w:rPr>
        <w:t xml:space="preserve">then call the </w:t>
      </w:r>
      <w:r w:rsidR="00431595" w:rsidRPr="19EF0358">
        <w:rPr>
          <w:rFonts w:eastAsia="MS PGothic"/>
        </w:rPr>
        <w:t>carer</w:t>
      </w:r>
      <w:r w:rsidRPr="19EF0358">
        <w:rPr>
          <w:rFonts w:eastAsia="MS PGothic"/>
        </w:rPr>
        <w:t xml:space="preserve"> and speak to them about dementia-specific services and supports that might be of assistance.</w:t>
      </w:r>
      <w:r w:rsidR="1D745D86" w:rsidRPr="19EF0358">
        <w:rPr>
          <w:rFonts w:eastAsia="MS PGothic"/>
        </w:rPr>
        <w:t xml:space="preserve"> </w:t>
      </w:r>
      <w:r w:rsidR="67BF7746" w:rsidRPr="19EF0358">
        <w:rPr>
          <w:rFonts w:eastAsia="MS PGothic"/>
        </w:rPr>
        <w:t xml:space="preserve"> </w:t>
      </w:r>
    </w:p>
    <w:p w14:paraId="4D7DB696" w14:textId="542339F9" w:rsidR="00EB6D43" w:rsidRDefault="00B57B0B" w:rsidP="00C325C6">
      <w:pPr>
        <w:pStyle w:val="Sub-headings"/>
      </w:pPr>
      <w:r w:rsidRPr="00156FD1">
        <w:t>Note</w:t>
      </w:r>
      <w:r>
        <w:t>:</w:t>
      </w:r>
    </w:p>
    <w:p w14:paraId="4DFF98DE" w14:textId="4EA2A28C" w:rsidR="006C58D0" w:rsidRPr="00156FD1" w:rsidRDefault="00697217" w:rsidP="00C325C6">
      <w:pPr>
        <w:pStyle w:val="Sub-headings"/>
      </w:pPr>
      <w:r w:rsidRPr="00A02BD6">
        <w:t>A person does not need to have a formal dementia diagnosis to be referred to the National Dementia Helpline</w:t>
      </w:r>
      <w:r w:rsidR="00DF7E8A">
        <w:t xml:space="preserve"> or Dementia Support Australia</w:t>
      </w:r>
      <w:r w:rsidRPr="00A02BD6">
        <w:t>.</w:t>
      </w:r>
      <w:r w:rsidRPr="003E1933">
        <w:t xml:space="preserve"> </w:t>
      </w:r>
    </w:p>
    <w:p w14:paraId="1EFA66F6" w14:textId="43EB1285" w:rsidR="00697217" w:rsidRPr="003E1933" w:rsidRDefault="00697217" w:rsidP="00622CFF">
      <w:pPr>
        <w:spacing w:before="240" w:after="240" w:line="240" w:lineRule="auto"/>
        <w:rPr>
          <w:rFonts w:eastAsia="MS PGothic"/>
        </w:rPr>
      </w:pPr>
      <w:r w:rsidRPr="19EF0358">
        <w:rPr>
          <w:rFonts w:eastAsia="MS PGothic"/>
        </w:rPr>
        <w:t>People living with dementia can experience behaviour changes, known as behavioural and psychological changes of dementia (BPSD), which impact their care and quality of life. Personalised support services are available from</w:t>
      </w:r>
      <w:r w:rsidR="00D85DB9" w:rsidRPr="19EF0358">
        <w:rPr>
          <w:rFonts w:eastAsia="MS PGothic"/>
        </w:rPr>
        <w:t xml:space="preserve"> Dementia Support Australia</w:t>
      </w:r>
      <w:r w:rsidRPr="19EF0358">
        <w:rPr>
          <w:rFonts w:eastAsia="MS PGothic"/>
        </w:rPr>
        <w:t xml:space="preserve"> </w:t>
      </w:r>
      <w:r w:rsidR="00D85DB9" w:rsidRPr="19EF0358">
        <w:rPr>
          <w:rFonts w:eastAsia="MS PGothic"/>
        </w:rPr>
        <w:t>(</w:t>
      </w:r>
      <w:r w:rsidRPr="19EF0358">
        <w:rPr>
          <w:rFonts w:eastAsia="MS PGothic"/>
        </w:rPr>
        <w:t>DSA</w:t>
      </w:r>
      <w:r w:rsidR="00D85DB9" w:rsidRPr="19EF0358">
        <w:rPr>
          <w:rFonts w:eastAsia="MS PGothic"/>
        </w:rPr>
        <w:t>)</w:t>
      </w:r>
      <w:r w:rsidRPr="19EF0358">
        <w:rPr>
          <w:rFonts w:eastAsia="MS PGothic"/>
        </w:rPr>
        <w:t xml:space="preserve"> to help carers</w:t>
      </w:r>
      <w:r>
        <w:t xml:space="preserve"> and service providers </w:t>
      </w:r>
      <w:r w:rsidRPr="19EF0358">
        <w:rPr>
          <w:rFonts w:eastAsia="MS PGothic"/>
        </w:rPr>
        <w:t>anywhere nationally to develop strategies that optimise function and support unmet needs for people impacted by BPSD</w:t>
      </w:r>
      <w:r w:rsidR="008949D8" w:rsidRPr="19EF0358">
        <w:rPr>
          <w:rFonts w:eastAsia="MS PGothic"/>
        </w:rPr>
        <w:t xml:space="preserve"> and assessors can make referrals </w:t>
      </w:r>
      <w:r w:rsidR="00311790" w:rsidRPr="19EF0358">
        <w:rPr>
          <w:rFonts w:eastAsia="MS PGothic"/>
        </w:rPr>
        <w:t xml:space="preserve">for support </w:t>
      </w:r>
      <w:r w:rsidR="002D791C" w:rsidRPr="19EF0358">
        <w:rPr>
          <w:rFonts w:eastAsia="MS PGothic"/>
        </w:rPr>
        <w:t xml:space="preserve">(with appropriate consent of </w:t>
      </w:r>
      <w:r w:rsidR="00D421DD">
        <w:rPr>
          <w:rFonts w:eastAsia="MS PGothic"/>
        </w:rPr>
        <w:t xml:space="preserve">the older person and </w:t>
      </w:r>
      <w:r w:rsidR="002D791C" w:rsidRPr="19EF0358">
        <w:rPr>
          <w:rFonts w:eastAsia="MS PGothic"/>
        </w:rPr>
        <w:t>care ne</w:t>
      </w:r>
      <w:r w:rsidR="007C4CCF" w:rsidRPr="19EF0358">
        <w:rPr>
          <w:rFonts w:eastAsia="MS PGothic"/>
        </w:rPr>
        <w:t xml:space="preserve">twork </w:t>
      </w:r>
      <w:r w:rsidR="00895B46" w:rsidRPr="19EF0358">
        <w:rPr>
          <w:rFonts w:eastAsia="MS PGothic"/>
        </w:rPr>
        <w:t>as relevant)</w:t>
      </w:r>
      <w:r w:rsidR="00311790" w:rsidRPr="19EF0358">
        <w:rPr>
          <w:rFonts w:eastAsia="MS PGothic"/>
        </w:rPr>
        <w:t xml:space="preserve"> </w:t>
      </w:r>
      <w:r w:rsidR="00966AA4" w:rsidRPr="19EF0358">
        <w:rPr>
          <w:rFonts w:eastAsia="MS PGothic"/>
        </w:rPr>
        <w:t xml:space="preserve">via DSA’s </w:t>
      </w:r>
      <w:r w:rsidR="00156FD1" w:rsidRPr="19EF0358">
        <w:rPr>
          <w:rFonts w:eastAsia="MS PGothic"/>
        </w:rPr>
        <w:t>24-hour</w:t>
      </w:r>
      <w:r w:rsidR="003B349E" w:rsidRPr="19EF0358">
        <w:rPr>
          <w:rFonts w:eastAsia="MS PGothic"/>
        </w:rPr>
        <w:t xml:space="preserve"> helpline or </w:t>
      </w:r>
      <w:r w:rsidR="00814BB7" w:rsidRPr="19EF0358">
        <w:rPr>
          <w:rFonts w:eastAsia="MS PGothic"/>
        </w:rPr>
        <w:t>online</w:t>
      </w:r>
      <w:r w:rsidRPr="19EF0358">
        <w:rPr>
          <w:rFonts w:eastAsia="MS PGothic"/>
        </w:rPr>
        <w:t xml:space="preserve">. </w:t>
      </w:r>
    </w:p>
    <w:p w14:paraId="6BDA55B5" w14:textId="3AB1F103" w:rsidR="006F3841" w:rsidRDefault="00697217" w:rsidP="00622CFF">
      <w:pPr>
        <w:spacing w:before="240" w:after="240" w:line="240" w:lineRule="auto"/>
        <w:rPr>
          <w:rFonts w:eastAsia="MS PGothic"/>
        </w:rPr>
      </w:pPr>
      <w:r w:rsidRPr="003E1933">
        <w:rPr>
          <w:rFonts w:eastAsia="MS PGothic"/>
        </w:rPr>
        <w:t xml:space="preserve">Assessors must use their professional judgment </w:t>
      </w:r>
      <w:r w:rsidR="5863E211" w:rsidRPr="375A4728">
        <w:rPr>
          <w:rFonts w:eastAsia="MS PGothic"/>
        </w:rPr>
        <w:t xml:space="preserve">where </w:t>
      </w:r>
      <w:r w:rsidRPr="003E1933">
        <w:rPr>
          <w:rFonts w:eastAsia="MS PGothic"/>
        </w:rPr>
        <w:t>an older person has dementia or is cognitively impaired. In these cases, the input of</w:t>
      </w:r>
      <w:r>
        <w:rPr>
          <w:rFonts w:eastAsia="MS PGothic"/>
        </w:rPr>
        <w:t xml:space="preserve"> registered</w:t>
      </w:r>
      <w:r w:rsidRPr="003E1933">
        <w:rPr>
          <w:rFonts w:eastAsia="MS PGothic"/>
        </w:rPr>
        <w:t xml:space="preserve"> supporters</w:t>
      </w:r>
      <w:r>
        <w:rPr>
          <w:rFonts w:eastAsia="MS PGothic"/>
        </w:rPr>
        <w:t xml:space="preserve"> or other people who support the older person</w:t>
      </w:r>
      <w:r w:rsidRPr="003E1933">
        <w:rPr>
          <w:rFonts w:eastAsia="MS PGothic"/>
        </w:rPr>
        <w:t xml:space="preserve"> and/or advocates is particularly important. </w:t>
      </w:r>
      <w:r w:rsidR="002D7140">
        <w:rPr>
          <w:rFonts w:eastAsia="MS PGothic"/>
        </w:rPr>
        <w:t>However, only a person with active, legal decision-making authority for an older person can make a decision on their behalf.</w:t>
      </w:r>
    </w:p>
    <w:p w14:paraId="074CA85D" w14:textId="4E1CDA8C" w:rsidR="00697217" w:rsidRPr="003E1933" w:rsidRDefault="00697217" w:rsidP="00C325C6">
      <w:pPr>
        <w:pStyle w:val="Sub-headings"/>
        <w:rPr>
          <w:rFonts w:eastAsia="MS PGothic"/>
        </w:rPr>
      </w:pPr>
      <w:r w:rsidRPr="00441859">
        <w:rPr>
          <w:rFonts w:eastAsia="MS PGothic"/>
        </w:rPr>
        <w:t>Note</w:t>
      </w:r>
      <w:r w:rsidR="006F3841" w:rsidRPr="2ECD9D26">
        <w:rPr>
          <w:rFonts w:eastAsia="MS PGothic"/>
        </w:rPr>
        <w:t>:</w:t>
      </w:r>
      <w:r w:rsidRPr="2ECD9D26">
        <w:rPr>
          <w:rFonts w:eastAsia="MS PGothic"/>
        </w:rPr>
        <w:t xml:space="preserve"> assessors should be aware that </w:t>
      </w:r>
      <w:r w:rsidRPr="2ECD9D26">
        <w:t xml:space="preserve">applying professional judgement might be especially difficult when working with Aboriginal and Torres Strait Islander </w:t>
      </w:r>
      <w:r w:rsidR="00516348" w:rsidRPr="2ECD9D26">
        <w:t>older people</w:t>
      </w:r>
      <w:r w:rsidRPr="2ECD9D26">
        <w:t xml:space="preserve"> and </w:t>
      </w:r>
      <w:r w:rsidR="00516348" w:rsidRPr="2ECD9D26">
        <w:t>older people</w:t>
      </w:r>
      <w:r w:rsidRPr="2ECD9D26">
        <w:t xml:space="preserve"> from C</w:t>
      </w:r>
      <w:r w:rsidR="006F3841" w:rsidRPr="2ECD9D26">
        <w:t xml:space="preserve">ulturally and </w:t>
      </w:r>
      <w:r w:rsidRPr="2ECD9D26">
        <w:t>L</w:t>
      </w:r>
      <w:r w:rsidR="006F3841" w:rsidRPr="2ECD9D26">
        <w:t xml:space="preserve">inguistically </w:t>
      </w:r>
      <w:r w:rsidRPr="2ECD9D26">
        <w:t>D</w:t>
      </w:r>
      <w:r w:rsidR="006F3841" w:rsidRPr="2ECD9D26">
        <w:t>iverse</w:t>
      </w:r>
      <w:r w:rsidRPr="2ECD9D26">
        <w:t xml:space="preserve"> backgrounds living with dementia or cognitive impairment. Factors such as language barriers, different concepts around ageing and dementia, a lack of awareness of dementia among family members and the additional stigma attached to dementia in some cultures can all make assessment more complex. Some culturally appropriate dementia resources are included under further information below.</w:t>
      </w:r>
    </w:p>
    <w:p w14:paraId="5AC27E11" w14:textId="0A4FC8F9" w:rsidR="00697217" w:rsidRPr="008E42CF" w:rsidRDefault="57B7B850" w:rsidP="6CF46889">
      <w:pPr>
        <w:spacing w:after="0" w:line="300" w:lineRule="auto"/>
        <w:rPr>
          <w:rFonts w:eastAsia="Arial"/>
          <w:szCs w:val="22"/>
        </w:rPr>
      </w:pPr>
      <w:r w:rsidRPr="008E42CF">
        <w:rPr>
          <w:rFonts w:eastAsia="Arial"/>
          <w:szCs w:val="22"/>
        </w:rPr>
        <w:t>The IAT User Guide provides assessors with prompts to help evaluate cognition throughout the assessment, including aspects related to an individual’s functional capacity.</w:t>
      </w:r>
    </w:p>
    <w:p w14:paraId="22E3B138" w14:textId="6E1D7688" w:rsidR="00697217" w:rsidRPr="003E1933" w:rsidRDefault="588A298B" w:rsidP="00622CFF">
      <w:pPr>
        <w:spacing w:before="240" w:after="240" w:line="240" w:lineRule="auto"/>
      </w:pPr>
      <w:r w:rsidRPr="6CF46889">
        <w:rPr>
          <w:rFonts w:eastAsia="MS PGothic"/>
        </w:rPr>
        <w:t xml:space="preserve">Assessors are required to complete a Dementia specific training module </w:t>
      </w:r>
      <w:r w:rsidR="7F8C16E2" w:rsidRPr="6CF46889">
        <w:rPr>
          <w:rFonts w:eastAsia="MS PGothic"/>
        </w:rPr>
        <w:t>in MAC Learning</w:t>
      </w:r>
      <w:r w:rsidRPr="6CF46889">
        <w:rPr>
          <w:rFonts w:eastAsia="MS PGothic"/>
        </w:rPr>
        <w:t xml:space="preserve"> as part of their training</w:t>
      </w:r>
      <w:r w:rsidR="0E4F2A62" w:rsidRPr="6CF46889">
        <w:rPr>
          <w:rFonts w:eastAsia="MS PGothic"/>
        </w:rPr>
        <w:t xml:space="preserve"> and </w:t>
      </w:r>
      <w:r w:rsidR="66222D19" w:rsidRPr="6CF46889">
        <w:rPr>
          <w:rFonts w:eastAsia="MS PGothic"/>
        </w:rPr>
        <w:t>additional educational resources are available through Dementia Training Australia</w:t>
      </w:r>
      <w:r w:rsidRPr="6CF46889">
        <w:rPr>
          <w:rFonts w:eastAsia="MS PGothic"/>
        </w:rPr>
        <w:t xml:space="preserve">. </w:t>
      </w:r>
    </w:p>
    <w:p w14:paraId="5BB9FD64" w14:textId="5AFA2B78" w:rsidR="00697217" w:rsidRDefault="21EE0385" w:rsidP="7FAA70C7">
      <w:pPr>
        <w:spacing w:before="240" w:after="240" w:line="240" w:lineRule="auto"/>
        <w:rPr>
          <w:rFonts w:eastAsia="MS PGothic"/>
        </w:rPr>
      </w:pPr>
      <w:r w:rsidRPr="5C4EBA73">
        <w:rPr>
          <w:rFonts w:eastAsia="MS PGothic"/>
          <w:lang w:val="en"/>
        </w:rPr>
        <w:t xml:space="preserve">Assessors may find the </w:t>
      </w:r>
      <w:hyperlink r:id="rId275" w:history="1">
        <w:r w:rsidRPr="5C4EBA73">
          <w:rPr>
            <w:rStyle w:val="Hyperlink"/>
            <w:rFonts w:eastAsia="MS PGothic"/>
            <w:i/>
            <w:iCs/>
          </w:rPr>
          <w:t>Clinical Practice Guidelines</w:t>
        </w:r>
        <w:r w:rsidRPr="5C4EBA73">
          <w:rPr>
            <w:rStyle w:val="Hyperlink"/>
            <w:rFonts w:eastAsia="MS PGothic"/>
          </w:rPr>
          <w:t xml:space="preserve"> and </w:t>
        </w:r>
        <w:r w:rsidRPr="5C4EBA73">
          <w:rPr>
            <w:rStyle w:val="Hyperlink"/>
            <w:rFonts w:eastAsia="MS PGothic"/>
            <w:i/>
            <w:iCs/>
          </w:rPr>
          <w:t>Principles of Care for People with Dementia</w:t>
        </w:r>
      </w:hyperlink>
      <w:r w:rsidRPr="5C4EBA73">
        <w:rPr>
          <w:rFonts w:eastAsia="MS PGothic"/>
        </w:rPr>
        <w:t xml:space="preserve"> (the Guidelines) useful. The Guidelines provide recommendations for the diagnosis and management of dementia and are intended for use by staff working with people living with dementia in the health and aged care sectors, including GPs. Updated Guidelines are currently in development.</w:t>
      </w:r>
    </w:p>
    <w:p w14:paraId="24E15DCA" w14:textId="430FD7DF" w:rsidR="00697217" w:rsidRDefault="00697217" w:rsidP="00622CFF">
      <w:pPr>
        <w:spacing w:before="240" w:after="240" w:line="240" w:lineRule="auto"/>
        <w:rPr>
          <w:lang w:val="en-US"/>
        </w:rPr>
      </w:pPr>
      <w:r w:rsidRPr="003E1933">
        <w:t>Companion documents to the Guidelines include a Health Professional Quick Reference Guide, and for people living with dementia and their carer</w:t>
      </w:r>
      <w:r>
        <w:t>s</w:t>
      </w:r>
      <w:r w:rsidRPr="003E1933">
        <w:t xml:space="preserve"> the </w:t>
      </w:r>
      <w:r w:rsidRPr="00192556">
        <w:rPr>
          <w:i/>
          <w:lang w:val="en"/>
        </w:rPr>
        <w:t>Diagnosis, treatment and care for people with dementia: A consumer companion guide</w:t>
      </w:r>
      <w:r w:rsidRPr="003E1933">
        <w:rPr>
          <w:i/>
          <w:lang w:val="en"/>
        </w:rPr>
        <w:t>.</w:t>
      </w:r>
      <w:r w:rsidRPr="1062E2ED">
        <w:rPr>
          <w:lang w:val="en-US"/>
        </w:rPr>
        <w:t xml:space="preserve"> </w:t>
      </w:r>
    </w:p>
    <w:p w14:paraId="0A2CAE4D" w14:textId="054C33F7" w:rsidR="008C1575" w:rsidRPr="003E1933" w:rsidRDefault="008C1575" w:rsidP="000E71F8">
      <w:pPr>
        <w:spacing w:before="240" w:after="240" w:line="240" w:lineRule="auto"/>
        <w:rPr>
          <w:rFonts w:eastAsia="MS PGothic"/>
          <w:lang w:val="en"/>
        </w:rPr>
      </w:pPr>
      <w:r>
        <w:rPr>
          <w:rFonts w:eastAsia="MS PGothic"/>
          <w:lang w:val="en"/>
        </w:rPr>
        <w:t>Free a</w:t>
      </w:r>
      <w:r w:rsidRPr="003E1933">
        <w:rPr>
          <w:rFonts w:eastAsia="MS PGothic"/>
          <w:lang w:val="en"/>
        </w:rPr>
        <w:t xml:space="preserve">ccredited </w:t>
      </w:r>
      <w:r>
        <w:rPr>
          <w:rFonts w:eastAsia="MS PGothic"/>
          <w:lang w:val="en"/>
        </w:rPr>
        <w:t>training,</w:t>
      </w:r>
      <w:r w:rsidRPr="003E1933">
        <w:rPr>
          <w:rFonts w:eastAsia="MS PGothic"/>
          <w:lang w:val="en"/>
        </w:rPr>
        <w:t xml:space="preserve"> education, upskilling and continuing professional development for the workforce providing dementia care in the primary, acute, and aged care sectors</w:t>
      </w:r>
      <w:r>
        <w:rPr>
          <w:rFonts w:eastAsia="MS PGothic"/>
          <w:lang w:val="en"/>
        </w:rPr>
        <w:t>, also accessible for aged care assessors,</w:t>
      </w:r>
      <w:r w:rsidRPr="003E1933">
        <w:rPr>
          <w:rFonts w:eastAsia="MS PGothic"/>
          <w:lang w:val="en"/>
        </w:rPr>
        <w:t xml:space="preserve"> is available through </w:t>
      </w:r>
      <w:hyperlink r:id="rId276">
        <w:r w:rsidRPr="003E1933">
          <w:rPr>
            <w:rStyle w:val="Hyperlink"/>
            <w:rFonts w:eastAsia="MS PGothic"/>
            <w:lang w:val="en"/>
          </w:rPr>
          <w:t>Dementia Training Australia</w:t>
        </w:r>
      </w:hyperlink>
      <w:r w:rsidR="009C4065">
        <w:t xml:space="preserve"> and the Wicking Dementia Centre</w:t>
      </w:r>
      <w:r w:rsidRPr="003E1933">
        <w:rPr>
          <w:rFonts w:eastAsia="MS PGothic"/>
          <w:lang w:val="en"/>
        </w:rPr>
        <w:t>.</w:t>
      </w:r>
      <w:r>
        <w:rPr>
          <w:rFonts w:eastAsia="MS PGothic"/>
          <w:lang w:val="en"/>
        </w:rPr>
        <w:t xml:space="preserve"> </w:t>
      </w:r>
    </w:p>
    <w:p w14:paraId="2B0C027E" w14:textId="77777777" w:rsidR="008C1575" w:rsidRPr="00F5377D" w:rsidRDefault="008C1575" w:rsidP="00622CFF">
      <w:pPr>
        <w:spacing w:before="240" w:after="240" w:line="240" w:lineRule="auto"/>
        <w:rPr>
          <w:lang w:val="en-US"/>
        </w:rPr>
      </w:pPr>
    </w:p>
    <w:tbl>
      <w:tblPr>
        <w:tblW w:w="9607" w:type="dxa"/>
        <w:tblInd w:w="-1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07"/>
      </w:tblGrid>
      <w:tr w:rsidR="00697217" w14:paraId="3EC11AF6" w14:textId="77777777" w:rsidTr="19EF0358">
        <w:trPr>
          <w:trHeight w:val="1833"/>
        </w:trPr>
        <w:tc>
          <w:tcPr>
            <w:tcW w:w="9607" w:type="dxa"/>
            <w:tcBorders>
              <w:top w:val="nil"/>
              <w:left w:val="nil"/>
              <w:bottom w:val="nil"/>
              <w:right w:val="nil"/>
            </w:tcBorders>
          </w:tcPr>
          <w:p w14:paraId="16EDF73C" w14:textId="77777777" w:rsidR="00697217" w:rsidRPr="003E1933" w:rsidRDefault="00697217" w:rsidP="00622CFF">
            <w:pPr>
              <w:spacing w:before="240" w:after="240" w:line="240" w:lineRule="auto"/>
              <w:ind w:left="754"/>
              <w:rPr>
                <w:szCs w:val="22"/>
              </w:rPr>
            </w:pPr>
            <w:r w:rsidRPr="0028657F">
              <w:rPr>
                <w:noProof/>
              </w:rPr>
              <w:drawing>
                <wp:anchor distT="0" distB="0" distL="114300" distR="114300" simplePos="0" relativeHeight="251658258" behindDoc="0" locked="0" layoutInCell="1" allowOverlap="1" wp14:anchorId="59959C81" wp14:editId="5816D486">
                  <wp:simplePos x="0" y="0"/>
                  <wp:positionH relativeFrom="margin">
                    <wp:align>left</wp:align>
                  </wp:positionH>
                  <wp:positionV relativeFrom="paragraph">
                    <wp:posOffset>42545</wp:posOffset>
                  </wp:positionV>
                  <wp:extent cx="354330" cy="352425"/>
                  <wp:effectExtent l="0" t="0" r="7620" b="9525"/>
                  <wp:wrapSquare wrapText="bothSides"/>
                  <wp:docPr id="1806966303" name="Picture 180696630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330" cy="352425"/>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Dementia Australia website</w:t>
            </w:r>
            <w:r w:rsidRPr="003E1933">
              <w:rPr>
                <w:szCs w:val="22"/>
              </w:rPr>
              <w:t xml:space="preserve">: </w:t>
            </w:r>
          </w:p>
          <w:p w14:paraId="22F1D602" w14:textId="5445CA60" w:rsidR="004848C2" w:rsidRDefault="004848C2" w:rsidP="00622CFF">
            <w:pPr>
              <w:spacing w:before="240" w:after="240" w:line="240" w:lineRule="auto"/>
              <w:ind w:left="754"/>
            </w:pPr>
            <w:hyperlink r:id="rId277" w:history="1">
              <w:r w:rsidRPr="004848C2">
                <w:rPr>
                  <w:rStyle w:val="Hyperlink"/>
                </w:rPr>
                <w:t>Home | Dementia Australia</w:t>
              </w:r>
            </w:hyperlink>
          </w:p>
          <w:p w14:paraId="25FA2DE0" w14:textId="77777777" w:rsidR="00697217" w:rsidRPr="003E1933" w:rsidRDefault="00697217" w:rsidP="00622CFF">
            <w:pPr>
              <w:spacing w:before="240" w:after="240" w:line="240" w:lineRule="auto"/>
              <w:ind w:left="754"/>
              <w:rPr>
                <w:b/>
                <w:szCs w:val="18"/>
              </w:rPr>
            </w:pPr>
            <w:r w:rsidRPr="003E1933">
              <w:rPr>
                <w:b/>
                <w:szCs w:val="18"/>
              </w:rPr>
              <w:t xml:space="preserve">Dementia Support Australia website: </w:t>
            </w:r>
          </w:p>
          <w:p w14:paraId="09BEB921" w14:textId="77777777" w:rsidR="00697217" w:rsidRPr="003E1933" w:rsidRDefault="00697217" w:rsidP="00622CFF">
            <w:pPr>
              <w:spacing w:before="240" w:after="240" w:line="240" w:lineRule="auto"/>
              <w:ind w:left="754"/>
              <w:rPr>
                <w:szCs w:val="22"/>
              </w:rPr>
            </w:pPr>
            <w:hyperlink r:id="rId278" w:history="1">
              <w:r w:rsidRPr="003E1933">
                <w:rPr>
                  <w:rStyle w:val="Hyperlink"/>
                  <w:szCs w:val="22"/>
                </w:rPr>
                <w:t>Nationwide, 24-hour dementia carer support | Dementia Support Australia</w:t>
              </w:r>
            </w:hyperlink>
          </w:p>
          <w:p w14:paraId="74D0D6CA" w14:textId="51D96ACA" w:rsidR="00697217" w:rsidRPr="003E1933" w:rsidRDefault="00697217" w:rsidP="00622CFF">
            <w:pPr>
              <w:spacing w:before="240" w:after="240" w:line="240" w:lineRule="auto"/>
              <w:ind w:left="754"/>
              <w:rPr>
                <w:b/>
                <w:szCs w:val="22"/>
              </w:rPr>
            </w:pPr>
            <w:r w:rsidRPr="003E1933">
              <w:rPr>
                <w:b/>
                <w:szCs w:val="22"/>
              </w:rPr>
              <w:t>Department of Health</w:t>
            </w:r>
            <w:r w:rsidR="00892CAB">
              <w:rPr>
                <w:b/>
                <w:szCs w:val="22"/>
              </w:rPr>
              <w:t xml:space="preserve">, Disability and Ageing </w:t>
            </w:r>
            <w:r w:rsidRPr="003E1933">
              <w:rPr>
                <w:b/>
                <w:szCs w:val="22"/>
              </w:rPr>
              <w:t>website:</w:t>
            </w:r>
          </w:p>
          <w:p w14:paraId="0ACCFF3E" w14:textId="7CD91D3D" w:rsidR="00697217" w:rsidRPr="003E1933" w:rsidRDefault="00697217" w:rsidP="00622CFF">
            <w:pPr>
              <w:spacing w:before="240" w:after="240" w:line="240" w:lineRule="auto"/>
              <w:ind w:left="754"/>
            </w:pPr>
            <w:hyperlink r:id="rId279">
              <w:r w:rsidRPr="003E1933">
                <w:rPr>
                  <w:rStyle w:val="Hyperlink"/>
                  <w:szCs w:val="22"/>
                </w:rPr>
                <w:t>My Aged Care – Assessor Portal User Guide 2 – Registering support people and adding relationships</w:t>
              </w:r>
            </w:hyperlink>
          </w:p>
          <w:p w14:paraId="7568AABD" w14:textId="1CE2ACFD" w:rsidR="00697217" w:rsidRPr="003E1933" w:rsidRDefault="00892CAB" w:rsidP="00622CFF">
            <w:pPr>
              <w:spacing w:before="240" w:after="240" w:line="240" w:lineRule="auto"/>
              <w:ind w:left="754"/>
              <w:rPr>
                <w:szCs w:val="22"/>
              </w:rPr>
            </w:pPr>
            <w:hyperlink r:id="rId280" w:history="1">
              <w:r>
                <w:rPr>
                  <w:rStyle w:val="Hyperlink"/>
                  <w:szCs w:val="22"/>
                </w:rPr>
                <w:t>What we're doing about dementia | Australian Government Department of Health, Disability and Ageing</w:t>
              </w:r>
            </w:hyperlink>
          </w:p>
          <w:p w14:paraId="4B6AFDDC" w14:textId="77777777" w:rsidR="00697217" w:rsidRPr="003E1933" w:rsidRDefault="00697217" w:rsidP="396028E2">
            <w:pPr>
              <w:spacing w:before="240" w:after="240" w:line="240" w:lineRule="auto"/>
              <w:ind w:left="754"/>
              <w:rPr>
                <w:b/>
                <w:bCs/>
              </w:rPr>
            </w:pPr>
            <w:r w:rsidRPr="19EF0358">
              <w:rPr>
                <w:b/>
                <w:bCs/>
              </w:rPr>
              <w:t xml:space="preserve">University of Sydney (Cognitive Decline Partnership Centre) website: </w:t>
            </w:r>
          </w:p>
          <w:p w14:paraId="0AAED7D7" w14:textId="77777777" w:rsidR="00697217" w:rsidRDefault="00697217" w:rsidP="00622CFF">
            <w:pPr>
              <w:spacing w:before="240" w:after="240" w:line="240" w:lineRule="auto"/>
              <w:ind w:left="754"/>
            </w:pPr>
            <w:hyperlink r:id="rId281" w:history="1">
              <w:r w:rsidRPr="003E1933">
                <w:rPr>
                  <w:rStyle w:val="Hyperlink"/>
                  <w:szCs w:val="22"/>
                </w:rPr>
                <w:t xml:space="preserve">Clinical Guidelines for Dementia </w:t>
              </w:r>
            </w:hyperlink>
          </w:p>
          <w:p w14:paraId="6299BBA9" w14:textId="71853583" w:rsidR="00DE2B33" w:rsidRPr="000E71F8" w:rsidRDefault="006F7BFC" w:rsidP="00622CFF">
            <w:pPr>
              <w:spacing w:before="240" w:after="240" w:line="240" w:lineRule="auto"/>
              <w:ind w:left="754"/>
              <w:rPr>
                <w:b/>
                <w:lang w:val="en"/>
              </w:rPr>
            </w:pPr>
            <w:hyperlink r:id="rId282" w:history="1">
              <w:r w:rsidRPr="006F7BFC">
                <w:rPr>
                  <w:rStyle w:val="Hyperlink"/>
                  <w:b/>
                  <w:bCs/>
                  <w:iCs/>
                </w:rPr>
                <w:t>The Wicking Dementia Centre</w:t>
              </w:r>
            </w:hyperlink>
          </w:p>
        </w:tc>
      </w:tr>
    </w:tbl>
    <w:p w14:paraId="64DCB724" w14:textId="1C058587" w:rsidR="00697217" w:rsidRDefault="00697217" w:rsidP="00B76E1F">
      <w:pPr>
        <w:tabs>
          <w:tab w:val="num" w:pos="720"/>
        </w:tabs>
        <w:spacing w:before="240" w:after="240" w:line="240" w:lineRule="auto"/>
        <w:rPr>
          <w:rFonts w:eastAsia="MS PGothic"/>
          <w:lang w:val="en"/>
        </w:rPr>
      </w:pPr>
    </w:p>
    <w:p w14:paraId="7B447E85" w14:textId="1E08A5C7" w:rsidR="00697217" w:rsidRPr="00C42922" w:rsidRDefault="00697217" w:rsidP="00507F9D">
      <w:pPr>
        <w:pStyle w:val="h2"/>
      </w:pPr>
      <w:bookmarkStart w:id="1004" w:name="_Toc209189056"/>
      <w:bookmarkStart w:id="1005" w:name="_Toc224916709"/>
      <w:r w:rsidRPr="00C42922">
        <w:t xml:space="preserve">People who live in </w:t>
      </w:r>
      <w:r w:rsidR="007C3C63">
        <w:t>r</w:t>
      </w:r>
      <w:r w:rsidRPr="00C42922">
        <w:t xml:space="preserve">emote and </w:t>
      </w:r>
      <w:r w:rsidR="007C3C63">
        <w:t>v</w:t>
      </w:r>
      <w:r w:rsidRPr="00C42922">
        <w:t xml:space="preserve">ery </w:t>
      </w:r>
      <w:r w:rsidR="007C3C63">
        <w:t>r</w:t>
      </w:r>
      <w:r w:rsidRPr="00C42922">
        <w:t>emote areas</w:t>
      </w:r>
      <w:bookmarkEnd w:id="1001"/>
      <w:bookmarkEnd w:id="1002"/>
      <w:bookmarkEnd w:id="1003"/>
      <w:bookmarkEnd w:id="1004"/>
      <w:bookmarkEnd w:id="1005"/>
    </w:p>
    <w:p w14:paraId="0DB6B1E6" w14:textId="6FA318BB" w:rsidR="00697217" w:rsidRPr="00C42922" w:rsidRDefault="00697217" w:rsidP="00622CFF">
      <w:pPr>
        <w:spacing w:before="240" w:after="240" w:line="240" w:lineRule="auto"/>
        <w:rPr>
          <w:rFonts w:eastAsia="MS Mincho"/>
        </w:rPr>
      </w:pPr>
      <w:r w:rsidRPr="00C42922">
        <w:rPr>
          <w:rFonts w:eastAsia="MS Mincho"/>
        </w:rPr>
        <w:t xml:space="preserve">A small number of older people live in isolated areas. </w:t>
      </w:r>
      <w:r w:rsidRPr="08A51BAE">
        <w:rPr>
          <w:rFonts w:eastAsia="MS Mincho"/>
        </w:rPr>
        <w:t>These locations</w:t>
      </w:r>
      <w:r>
        <w:rPr>
          <w:rFonts w:eastAsia="MS Mincho"/>
        </w:rPr>
        <w:t xml:space="preserve"> are classified using the </w:t>
      </w:r>
      <w:r w:rsidRPr="003E1933">
        <w:rPr>
          <w:rFonts w:eastAsia="MS Mincho"/>
        </w:rPr>
        <w:t>Modified Monash Model</w:t>
      </w:r>
      <w:r>
        <w:rPr>
          <w:rFonts w:eastAsia="MS Mincho"/>
        </w:rPr>
        <w:t xml:space="preserve"> (MMM)</w:t>
      </w:r>
      <w:r w:rsidRPr="00C42922">
        <w:rPr>
          <w:rFonts w:eastAsia="MS Mincho"/>
        </w:rPr>
        <w:t>. Whilst recognising face-to-face assessment is good practice and should be the first option, this mode of assessment is not always possible</w:t>
      </w:r>
      <w:r w:rsidR="008B524B">
        <w:rPr>
          <w:rFonts w:eastAsia="MS Mincho"/>
        </w:rPr>
        <w:t xml:space="preserve"> for older people living in remote areas</w:t>
      </w:r>
      <w:r w:rsidRPr="00C42922">
        <w:rPr>
          <w:rFonts w:eastAsia="MS Mincho"/>
        </w:rPr>
        <w:t xml:space="preserve">. In these circumstances, assessments may be conducted using non-face-to-face technologies such as telephone or telehealth. Where this occurs, a suitably qualified person from within the local health service or community care provider should be present to support the older person and to facilitate the assessment. </w:t>
      </w:r>
    </w:p>
    <w:p w14:paraId="34D38884" w14:textId="77777777" w:rsidR="00697217" w:rsidRPr="00C42922" w:rsidRDefault="00697217" w:rsidP="00622CFF">
      <w:pPr>
        <w:spacing w:before="240" w:after="240" w:line="240" w:lineRule="auto"/>
        <w:rPr>
          <w:lang w:val="en"/>
        </w:rPr>
      </w:pPr>
      <w:r w:rsidRPr="00C42922">
        <w:rPr>
          <w:rFonts w:eastAsia="MS Mincho"/>
        </w:rPr>
        <w:t>Assessors should develop and maintain good working relationships with health and community workers in rural and remote communities who may be called upon to assist with assessments and provide information and community needs and local services.</w:t>
      </w:r>
    </w:p>
    <w:p w14:paraId="32290021" w14:textId="6D53A353" w:rsidR="00697217" w:rsidRPr="003E1933" w:rsidRDefault="00697217" w:rsidP="00507F9D">
      <w:pPr>
        <w:pStyle w:val="h2"/>
      </w:pPr>
      <w:bookmarkStart w:id="1006" w:name="_Toc159226893"/>
      <w:bookmarkStart w:id="1007" w:name="_Toc184402310"/>
      <w:bookmarkStart w:id="1008" w:name="_Toc204329617"/>
      <w:bookmarkStart w:id="1009" w:name="_Toc209189057"/>
      <w:bookmarkStart w:id="1010" w:name="_Toc224916710"/>
      <w:r w:rsidRPr="003E1933">
        <w:t xml:space="preserve">People who are </w:t>
      </w:r>
      <w:r w:rsidR="007C3C63">
        <w:t>f</w:t>
      </w:r>
      <w:r w:rsidRPr="003E1933">
        <w:t xml:space="preserve">inancially or </w:t>
      </w:r>
      <w:r w:rsidR="007C3C63">
        <w:t>s</w:t>
      </w:r>
      <w:r w:rsidRPr="003E1933">
        <w:t xml:space="preserve">ocially </w:t>
      </w:r>
      <w:r w:rsidR="007C3C63">
        <w:t>d</w:t>
      </w:r>
      <w:r w:rsidRPr="003E1933">
        <w:t>isadvantaged</w:t>
      </w:r>
      <w:bookmarkEnd w:id="1006"/>
      <w:bookmarkEnd w:id="1007"/>
      <w:bookmarkEnd w:id="1008"/>
      <w:bookmarkEnd w:id="1009"/>
      <w:bookmarkEnd w:id="1010"/>
    </w:p>
    <w:p w14:paraId="69F6B319" w14:textId="77777777" w:rsidR="00697217" w:rsidRPr="003E1933" w:rsidRDefault="00697217" w:rsidP="00622CFF">
      <w:pPr>
        <w:spacing w:before="240" w:after="240" w:line="240" w:lineRule="auto"/>
        <w:rPr>
          <w:rFonts w:eastAsia="MS Mincho"/>
        </w:rPr>
      </w:pPr>
      <w:r w:rsidRPr="003E1933">
        <w:rPr>
          <w:rFonts w:eastAsia="MS Mincho"/>
        </w:rPr>
        <w:t>Financial or social disadvantage can often create a significant barrier for people to access a wide range of services in the community. Assessors should ensure that they develop and promote links with organisations in their area which attempt to overcome these barriers and provide assessments to people who may benefit from services regardless of their financial or social circumstances.</w:t>
      </w:r>
    </w:p>
    <w:p w14:paraId="3841C05E" w14:textId="77777777" w:rsidR="00697217" w:rsidRPr="003E1933" w:rsidRDefault="00697217" w:rsidP="00622CFF">
      <w:pPr>
        <w:spacing w:before="240" w:after="240" w:line="240" w:lineRule="auto"/>
        <w:rPr>
          <w:rFonts w:eastAsia="MS Mincho"/>
        </w:rPr>
      </w:pPr>
      <w:r w:rsidRPr="003E1933">
        <w:rPr>
          <w:rFonts w:eastAsia="MS Mincho"/>
        </w:rPr>
        <w:t xml:space="preserve">People who are financially or socially disadvantaged may also experience difficulties in accessing services after their approval. Assessors should be prepared to engage in a wide range of care coordination activities on behalf of older </w:t>
      </w:r>
      <w:r>
        <w:rPr>
          <w:rFonts w:eastAsia="MS Mincho"/>
        </w:rPr>
        <w:t>people</w:t>
      </w:r>
      <w:r w:rsidRPr="003E1933">
        <w:rPr>
          <w:rFonts w:eastAsia="MS Mincho"/>
        </w:rPr>
        <w:t xml:space="preserve"> to ensure that they receive the care which they need and to which they are entitled.</w:t>
      </w:r>
    </w:p>
    <w:p w14:paraId="4D7D9A68" w14:textId="21FACA91" w:rsidR="00697217" w:rsidRDefault="00697217" w:rsidP="00622CFF">
      <w:pPr>
        <w:spacing w:before="240" w:after="240" w:line="240" w:lineRule="auto"/>
        <w:rPr>
          <w:rFonts w:eastAsia="MS Mincho"/>
        </w:rPr>
      </w:pPr>
      <w:r>
        <w:rPr>
          <w:rFonts w:eastAsia="MS Mincho"/>
        </w:rPr>
        <w:t>From 1 November, f</w:t>
      </w:r>
      <w:r w:rsidRPr="000F21A5">
        <w:rPr>
          <w:rFonts w:eastAsia="MS Mincho"/>
        </w:rPr>
        <w:t xml:space="preserve">inancial hardship arrangements will </w:t>
      </w:r>
      <w:r w:rsidR="00CE0863">
        <w:rPr>
          <w:rFonts w:eastAsia="MS Mincho"/>
        </w:rPr>
        <w:t xml:space="preserve">continue to </w:t>
      </w:r>
      <w:r w:rsidRPr="000F21A5">
        <w:rPr>
          <w:rFonts w:eastAsia="MS Mincho"/>
        </w:rPr>
        <w:t xml:space="preserve">be available if </w:t>
      </w:r>
      <w:r>
        <w:rPr>
          <w:rFonts w:eastAsia="MS Mincho"/>
        </w:rPr>
        <w:t>an older person</w:t>
      </w:r>
      <w:r w:rsidRPr="000F21A5">
        <w:rPr>
          <w:rFonts w:eastAsia="MS Mincho"/>
        </w:rPr>
        <w:t xml:space="preserve"> can’t afford to contribute to the cost of </w:t>
      </w:r>
      <w:r>
        <w:rPr>
          <w:rFonts w:eastAsia="MS Mincho"/>
        </w:rPr>
        <w:t>their</w:t>
      </w:r>
      <w:r w:rsidRPr="000F21A5">
        <w:rPr>
          <w:rFonts w:eastAsia="MS Mincho"/>
        </w:rPr>
        <w:t xml:space="preserve"> aged care</w:t>
      </w:r>
      <w:r>
        <w:rPr>
          <w:rFonts w:eastAsia="MS Mincho"/>
        </w:rPr>
        <w:t>, both in residential care and in-home care</w:t>
      </w:r>
      <w:r w:rsidRPr="000F21A5">
        <w:rPr>
          <w:rFonts w:eastAsia="MS Mincho"/>
        </w:rPr>
        <w:t>.</w:t>
      </w:r>
      <w:r>
        <w:rPr>
          <w:rFonts w:eastAsia="MS Mincho"/>
        </w:rPr>
        <w:t xml:space="preserve"> </w:t>
      </w:r>
      <w:r>
        <w:t>An older person w</w:t>
      </w:r>
      <w:r w:rsidRPr="00DF4842">
        <w:rPr>
          <w:rFonts w:eastAsia="MS Mincho"/>
        </w:rPr>
        <w:t xml:space="preserve">ill be assessed on </w:t>
      </w:r>
      <w:r>
        <w:rPr>
          <w:rFonts w:eastAsia="MS Mincho"/>
        </w:rPr>
        <w:t>their</w:t>
      </w:r>
      <w:r w:rsidRPr="00DF4842">
        <w:rPr>
          <w:rFonts w:eastAsia="MS Mincho"/>
        </w:rPr>
        <w:t xml:space="preserve"> specific circumstances. If approved for hardship assistance, the Australian Government will pay some (or all) of </w:t>
      </w:r>
      <w:r>
        <w:rPr>
          <w:rFonts w:eastAsia="MS Mincho"/>
        </w:rPr>
        <w:t>their</w:t>
      </w:r>
      <w:r w:rsidRPr="00DF4842">
        <w:rPr>
          <w:rFonts w:eastAsia="MS Mincho"/>
        </w:rPr>
        <w:t xml:space="preserve"> aged care fees. The government will pay any approved amounts to </w:t>
      </w:r>
      <w:r>
        <w:rPr>
          <w:rFonts w:eastAsia="MS Mincho"/>
        </w:rPr>
        <w:t>the</w:t>
      </w:r>
      <w:r w:rsidRPr="00DF4842">
        <w:rPr>
          <w:rFonts w:eastAsia="MS Mincho"/>
        </w:rPr>
        <w:t xml:space="preserve"> aged care provider on </w:t>
      </w:r>
      <w:r>
        <w:rPr>
          <w:rFonts w:eastAsia="MS Mincho"/>
        </w:rPr>
        <w:t>the older person’s</w:t>
      </w:r>
      <w:r w:rsidRPr="00DF4842">
        <w:rPr>
          <w:rFonts w:eastAsia="MS Mincho"/>
        </w:rPr>
        <w:t xml:space="preserve"> behalf. If </w:t>
      </w:r>
      <w:r>
        <w:rPr>
          <w:rFonts w:eastAsia="MS Mincho"/>
        </w:rPr>
        <w:t xml:space="preserve">an older person is </w:t>
      </w:r>
      <w:r w:rsidRPr="00DF4842">
        <w:rPr>
          <w:rFonts w:eastAsia="MS Mincho"/>
        </w:rPr>
        <w:t xml:space="preserve">required to pay some of </w:t>
      </w:r>
      <w:r>
        <w:rPr>
          <w:rFonts w:eastAsia="MS Mincho"/>
        </w:rPr>
        <w:t>their</w:t>
      </w:r>
      <w:r w:rsidRPr="00DF4842">
        <w:rPr>
          <w:rFonts w:eastAsia="MS Mincho"/>
        </w:rPr>
        <w:t xml:space="preserve"> fees, </w:t>
      </w:r>
      <w:r>
        <w:rPr>
          <w:rFonts w:eastAsia="MS Mincho"/>
        </w:rPr>
        <w:t>they</w:t>
      </w:r>
      <w:r w:rsidRPr="00DF4842">
        <w:rPr>
          <w:rFonts w:eastAsia="MS Mincho"/>
        </w:rPr>
        <w:t xml:space="preserve"> will continue to pay those to </w:t>
      </w:r>
      <w:r>
        <w:rPr>
          <w:rFonts w:eastAsia="MS Mincho"/>
        </w:rPr>
        <w:t>their</w:t>
      </w:r>
      <w:r w:rsidRPr="00DF4842">
        <w:rPr>
          <w:rFonts w:eastAsia="MS Mincho"/>
        </w:rPr>
        <w:t xml:space="preserve"> provider.</w:t>
      </w:r>
    </w:p>
    <w:p w14:paraId="669973D3" w14:textId="2634E24D" w:rsidR="00697217" w:rsidRPr="003E1933" w:rsidRDefault="00697217" w:rsidP="00622CFF">
      <w:pPr>
        <w:spacing w:before="240" w:after="240" w:line="240" w:lineRule="auto"/>
        <w:rPr>
          <w:rFonts w:eastAsia="MS Mincho"/>
        </w:rPr>
      </w:pPr>
      <w:r>
        <w:rPr>
          <w:rFonts w:eastAsia="MS Mincho"/>
        </w:rPr>
        <w:t xml:space="preserve">To apply for financial hardship assistance, an older person must meet certain requirements and complete the Aged Care Claim for </w:t>
      </w:r>
      <w:r w:rsidR="00F03903">
        <w:rPr>
          <w:rFonts w:eastAsia="MS Mincho"/>
        </w:rPr>
        <w:t>F</w:t>
      </w:r>
      <w:r>
        <w:rPr>
          <w:rFonts w:eastAsia="MS Mincho"/>
        </w:rPr>
        <w:t xml:space="preserve">inancial </w:t>
      </w:r>
      <w:r w:rsidR="00F03903">
        <w:rPr>
          <w:rFonts w:eastAsia="MS Mincho"/>
        </w:rPr>
        <w:t>H</w:t>
      </w:r>
      <w:r>
        <w:rPr>
          <w:rFonts w:eastAsia="MS Mincho"/>
        </w:rPr>
        <w:t xml:space="preserve">ardship </w:t>
      </w:r>
      <w:r w:rsidR="00F03903">
        <w:rPr>
          <w:rFonts w:eastAsia="MS Mincho"/>
        </w:rPr>
        <w:t>A</w:t>
      </w:r>
      <w:r>
        <w:rPr>
          <w:rFonts w:eastAsia="MS Mincho"/>
        </w:rPr>
        <w:t xml:space="preserve">ssistance form. This form is sent to Services Australia to assess the </w:t>
      </w:r>
      <w:r w:rsidR="00B76E1F">
        <w:rPr>
          <w:rFonts w:eastAsia="MS Mincho"/>
        </w:rPr>
        <w:t>application,</w:t>
      </w:r>
      <w:r w:rsidR="006E690A">
        <w:rPr>
          <w:rFonts w:eastAsia="MS Mincho"/>
        </w:rPr>
        <w:t xml:space="preserve"> </w:t>
      </w:r>
      <w:r>
        <w:rPr>
          <w:rFonts w:eastAsia="MS Mincho"/>
        </w:rPr>
        <w:t xml:space="preserve">and they will let the older person know in writing of their decision and what assistance they are eligible for.  This form should be submitted by an older person once they start accessing aged care services.  </w:t>
      </w:r>
    </w:p>
    <w:p w14:paraId="27FD6302" w14:textId="77777777" w:rsidR="00697217" w:rsidRDefault="00697217" w:rsidP="00622CFF">
      <w:pPr>
        <w:spacing w:before="240" w:after="240" w:line="240" w:lineRule="auto"/>
        <w:rPr>
          <w:szCs w:val="22"/>
        </w:rPr>
      </w:pPr>
      <w:hyperlink r:id="rId283" w:history="1">
        <w:r w:rsidRPr="00A21DD5">
          <w:rPr>
            <w:rStyle w:val="Hyperlink"/>
            <w:szCs w:val="22"/>
          </w:rPr>
          <w:t>Hardship assistance for aged care – Fact sheet</w:t>
        </w:r>
      </w:hyperlink>
      <w:r w:rsidRPr="0028657F">
        <w:rPr>
          <w:noProof/>
        </w:rPr>
        <w:drawing>
          <wp:anchor distT="0" distB="0" distL="114300" distR="114300" simplePos="0" relativeHeight="251658259" behindDoc="0" locked="0" layoutInCell="1" allowOverlap="1" wp14:anchorId="6005DDCB" wp14:editId="7EE3F0CB">
            <wp:simplePos x="0" y="0"/>
            <wp:positionH relativeFrom="column">
              <wp:posOffset>-635</wp:posOffset>
            </wp:positionH>
            <wp:positionV relativeFrom="paragraph">
              <wp:posOffset>40640</wp:posOffset>
            </wp:positionV>
            <wp:extent cx="356235" cy="354330"/>
            <wp:effectExtent l="0" t="0" r="5715" b="7620"/>
            <wp:wrapSquare wrapText="bothSides"/>
            <wp:docPr id="1235757227" name="Picture 12357572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3E1933">
        <w:rPr>
          <w:szCs w:val="22"/>
        </w:rPr>
        <w:t xml:space="preserve"> </w:t>
      </w:r>
    </w:p>
    <w:p w14:paraId="3ECC1925" w14:textId="77777777" w:rsidR="00697217" w:rsidRPr="003E1933" w:rsidRDefault="00697217" w:rsidP="00622CFF">
      <w:pPr>
        <w:spacing w:before="240" w:after="240" w:line="240" w:lineRule="auto"/>
        <w:rPr>
          <w:szCs w:val="22"/>
        </w:rPr>
      </w:pPr>
      <w:hyperlink r:id="rId284" w:anchor="how-apply-assistance" w:history="1">
        <w:r w:rsidRPr="009B6986">
          <w:rPr>
            <w:rStyle w:val="Hyperlink"/>
            <w:szCs w:val="22"/>
          </w:rPr>
          <w:t>Financial hardship assistance | My Aged Care</w:t>
        </w:r>
      </w:hyperlink>
    </w:p>
    <w:p w14:paraId="4FE0692C" w14:textId="77777777" w:rsidR="00697217" w:rsidRPr="003E1933" w:rsidRDefault="00697217" w:rsidP="00C56CEC">
      <w:pPr>
        <w:pStyle w:val="H3"/>
      </w:pPr>
      <w:bookmarkStart w:id="1011" w:name="_Toc159226894"/>
      <w:bookmarkStart w:id="1012" w:name="_Toc184402311"/>
      <w:bookmarkStart w:id="1013" w:name="_Toc204329618"/>
      <w:r w:rsidRPr="003E1933">
        <w:t>Veterans</w:t>
      </w:r>
      <w:bookmarkEnd w:id="1011"/>
      <w:bookmarkEnd w:id="1012"/>
      <w:bookmarkEnd w:id="1013"/>
    </w:p>
    <w:p w14:paraId="6F2F9B77" w14:textId="77777777" w:rsidR="00697217" w:rsidRPr="003E1933" w:rsidRDefault="00697217" w:rsidP="00622CFF">
      <w:pPr>
        <w:spacing w:before="240" w:after="240" w:line="240" w:lineRule="auto"/>
        <w:rPr>
          <w:rFonts w:eastAsia="MS PGothic"/>
        </w:rPr>
      </w:pPr>
      <w:r w:rsidRPr="003E1933">
        <w:rPr>
          <w:rFonts w:eastAsia="MS PGothic"/>
        </w:rPr>
        <w:t xml:space="preserve">The Australian Government recognises the aged care needs of the veteran community, in particular, mental health issues including post-traumatic stress. This is creating demand for a wider range of health care and support services in residential and home care services. </w:t>
      </w:r>
    </w:p>
    <w:p w14:paraId="106C264F" w14:textId="77777777" w:rsidR="00697217" w:rsidRPr="003E1933" w:rsidRDefault="00697217" w:rsidP="00622CFF">
      <w:pPr>
        <w:spacing w:before="240" w:after="240" w:line="240" w:lineRule="auto"/>
        <w:rPr>
          <w:rFonts w:eastAsia="MS PGothic"/>
        </w:rPr>
      </w:pPr>
      <w:r w:rsidRPr="003E1933">
        <w:rPr>
          <w:rFonts w:eastAsia="MS PGothic"/>
        </w:rPr>
        <w:t xml:space="preserve">Assessors should establish links with relevant veterans’ organisations in their communities and develop links between veterans and home care and residential care services. They should aim to facilitate an understanding of veterans’ particular needs and to improve integrated care and access. </w:t>
      </w:r>
    </w:p>
    <w:p w14:paraId="200664C4" w14:textId="77777777" w:rsidR="00697217" w:rsidRPr="003E1933" w:rsidRDefault="00697217" w:rsidP="00622CFF">
      <w:pPr>
        <w:spacing w:before="240" w:after="240" w:line="240" w:lineRule="auto"/>
        <w:rPr>
          <w:rFonts w:eastAsia="MS Mincho"/>
        </w:rPr>
      </w:pPr>
      <w:r w:rsidRPr="003E1933">
        <w:rPr>
          <w:rFonts w:eastAsia="MS PGothic"/>
        </w:rPr>
        <w:t>Assessors should have a good understanding of services provided by the Department of Veterans’ Affairs (DVA) including the Veterans’ Home Care (VHC) Program, the Coordinated Veterans’ Care (CVC) Program and other mental health and rehabilitation programs.</w:t>
      </w:r>
      <w:r w:rsidRPr="003E1933">
        <w:rPr>
          <w:rFonts w:eastAsia="MS Mincho"/>
        </w:rPr>
        <w:t xml:space="preserve"> </w:t>
      </w:r>
    </w:p>
    <w:p w14:paraId="3054724B" w14:textId="77777777" w:rsidR="00697217" w:rsidRPr="003E1933" w:rsidRDefault="00697217" w:rsidP="00622CFF">
      <w:pPr>
        <w:spacing w:before="240" w:after="240" w:line="240" w:lineRule="auto"/>
        <w:rPr>
          <w:rFonts w:eastAsia="MS Mincho"/>
        </w:rPr>
      </w:pPr>
      <w:r w:rsidRPr="003E1933">
        <w:rPr>
          <w:rFonts w:eastAsia="MS Mincho"/>
        </w:rPr>
        <w:t xml:space="preserve">Assessors should advise veterans that if they are an Australian former prisoner of war or Victoria Cross recipient, DVA will pay their basic fee and means tested care fee. </w:t>
      </w:r>
      <w:r w:rsidRPr="004D51C6">
        <w:rPr>
          <w:rFonts w:ascii="Open Sans" w:hAnsi="Open Sans" w:cs="Open Sans"/>
          <w:color w:val="343A40"/>
          <w:shd w:val="clear" w:color="auto" w:fill="FFFFFF"/>
        </w:rPr>
        <w:t xml:space="preserve"> </w:t>
      </w:r>
      <w:r>
        <w:rPr>
          <w:rFonts w:eastAsia="MS Mincho"/>
        </w:rPr>
        <w:t>They</w:t>
      </w:r>
      <w:r w:rsidRPr="004D51C6">
        <w:rPr>
          <w:rFonts w:eastAsia="MS Mincho"/>
        </w:rPr>
        <w:t xml:space="preserve"> still </w:t>
      </w:r>
      <w:r>
        <w:rPr>
          <w:rFonts w:eastAsia="MS Mincho"/>
        </w:rPr>
        <w:t xml:space="preserve">may </w:t>
      </w:r>
      <w:r w:rsidRPr="004D51C6">
        <w:rPr>
          <w:rFonts w:eastAsia="MS Mincho"/>
        </w:rPr>
        <w:t xml:space="preserve">need to pay a means tested accommodation payment if </w:t>
      </w:r>
      <w:r>
        <w:rPr>
          <w:rFonts w:eastAsia="MS Mincho"/>
        </w:rPr>
        <w:t>their</w:t>
      </w:r>
      <w:r w:rsidRPr="004D51C6">
        <w:rPr>
          <w:rFonts w:eastAsia="MS Mincho"/>
        </w:rPr>
        <w:t xml:space="preserve"> income and assets are above a certain limit.</w:t>
      </w:r>
      <w:r>
        <w:rPr>
          <w:rFonts w:eastAsia="MS Mincho"/>
        </w:rPr>
        <w:t xml:space="preserve"> </w:t>
      </w:r>
      <w:r w:rsidRPr="003E1933">
        <w:rPr>
          <w:rFonts w:eastAsia="MS Mincho"/>
        </w:rPr>
        <w:t xml:space="preserve">Services Australia will take into consideration DVA compensation payments when assessing a person’s income and assets under the Support at Home program. </w:t>
      </w:r>
    </w:p>
    <w:p w14:paraId="32B17ED7" w14:textId="77777777" w:rsidR="00697217" w:rsidRDefault="00697217" w:rsidP="00622CFF">
      <w:pPr>
        <w:spacing w:before="240" w:after="240" w:line="240" w:lineRule="auto"/>
        <w:rPr>
          <w:rFonts w:eastAsia="Yu Gothic Light"/>
        </w:rPr>
      </w:pPr>
      <w:r w:rsidRPr="003E1933">
        <w:rPr>
          <w:rFonts w:eastAsia="Yu Gothic Light"/>
        </w:rPr>
        <w:t xml:space="preserve">Optional learning for all assessors called ‘Supporting older Australians, people with disability and Veterans’ is available through MAClearning. </w:t>
      </w:r>
    </w:p>
    <w:tbl>
      <w:tblPr>
        <w:tblStyle w:val="TableGrid"/>
        <w:tblW w:w="0" w:type="auto"/>
        <w:tblLook w:val="04A0" w:firstRow="1" w:lastRow="0" w:firstColumn="1" w:lastColumn="0" w:noHBand="0" w:noVBand="1"/>
      </w:tblPr>
      <w:tblGrid>
        <w:gridCol w:w="1271"/>
        <w:gridCol w:w="7745"/>
      </w:tblGrid>
      <w:tr w:rsidR="00697217" w14:paraId="7D74D2AD" w14:textId="77777777">
        <w:tc>
          <w:tcPr>
            <w:tcW w:w="1271" w:type="dxa"/>
          </w:tcPr>
          <w:p w14:paraId="5E5BBE8B" w14:textId="77777777" w:rsidR="00697217" w:rsidRDefault="00697217" w:rsidP="00622CFF">
            <w:pPr>
              <w:spacing w:before="240" w:after="240"/>
              <w:rPr>
                <w:rFonts w:eastAsia="MS Mincho"/>
              </w:rPr>
            </w:pPr>
            <w:r w:rsidRPr="0028657F">
              <w:rPr>
                <w:noProof/>
              </w:rPr>
              <w:drawing>
                <wp:anchor distT="0" distB="0" distL="114300" distR="114300" simplePos="0" relativeHeight="251658260" behindDoc="0" locked="0" layoutInCell="1" allowOverlap="1" wp14:anchorId="06B9A12C" wp14:editId="09998CF7">
                  <wp:simplePos x="0" y="0"/>
                  <wp:positionH relativeFrom="column">
                    <wp:posOffset>79375</wp:posOffset>
                  </wp:positionH>
                  <wp:positionV relativeFrom="paragraph">
                    <wp:posOffset>72390</wp:posOffset>
                  </wp:positionV>
                  <wp:extent cx="447675" cy="445208"/>
                  <wp:effectExtent l="0" t="0" r="0" b="0"/>
                  <wp:wrapSquare wrapText="bothSides"/>
                  <wp:docPr id="1443643774" name="Picture 144364377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p>
        </w:tc>
        <w:tc>
          <w:tcPr>
            <w:tcW w:w="7745" w:type="dxa"/>
          </w:tcPr>
          <w:p w14:paraId="00A9BC6E" w14:textId="77777777" w:rsidR="00697217" w:rsidRDefault="00697217" w:rsidP="00622CFF">
            <w:pPr>
              <w:spacing w:before="240" w:after="240"/>
              <w:rPr>
                <w:b/>
                <w:szCs w:val="22"/>
              </w:rPr>
            </w:pPr>
          </w:p>
          <w:p w14:paraId="65154E97" w14:textId="69EC2C31" w:rsidR="00697217" w:rsidRDefault="00697217" w:rsidP="00622CFF">
            <w:pPr>
              <w:spacing w:before="240" w:after="240"/>
              <w:rPr>
                <w:rFonts w:eastAsia="MS Mincho"/>
              </w:rPr>
            </w:pPr>
            <w:r w:rsidRPr="00441859">
              <w:rPr>
                <w:szCs w:val="22"/>
              </w:rPr>
              <w:t xml:space="preserve">Department of Veterans’ Affairs </w:t>
            </w:r>
            <w:hyperlink r:id="rId285">
              <w:r w:rsidRPr="00441859">
                <w:rPr>
                  <w:rStyle w:val="Hyperlink"/>
                  <w:szCs w:val="22"/>
                </w:rPr>
                <w:t>website</w:t>
              </w:r>
            </w:hyperlink>
          </w:p>
        </w:tc>
      </w:tr>
    </w:tbl>
    <w:p w14:paraId="2DB658F3" w14:textId="0C5CCA61" w:rsidR="00697217" w:rsidRPr="003E1933" w:rsidRDefault="00697217" w:rsidP="00507F9D">
      <w:pPr>
        <w:pStyle w:val="h2"/>
      </w:pPr>
      <w:bookmarkStart w:id="1014" w:name="_Toc184402312"/>
      <w:bookmarkStart w:id="1015" w:name="_Toc204329619"/>
      <w:bookmarkStart w:id="1016" w:name="_Toc209189058"/>
      <w:bookmarkStart w:id="1017" w:name="_Toc224916711"/>
      <w:r w:rsidRPr="003E1933">
        <w:t xml:space="preserve">People who are </w:t>
      </w:r>
      <w:r w:rsidR="007C3C63">
        <w:t>h</w:t>
      </w:r>
      <w:r w:rsidRPr="003E1933">
        <w:t xml:space="preserve">omeless or at </w:t>
      </w:r>
      <w:r w:rsidR="007C3C63">
        <w:t>r</w:t>
      </w:r>
      <w:r w:rsidRPr="003E1933">
        <w:t xml:space="preserve">isk of </w:t>
      </w:r>
      <w:r w:rsidR="007C3C63">
        <w:t>b</w:t>
      </w:r>
      <w:r w:rsidRPr="003E1933">
        <w:t xml:space="preserve">ecoming </w:t>
      </w:r>
      <w:r w:rsidR="007C3C63">
        <w:t>h</w:t>
      </w:r>
      <w:r w:rsidRPr="003E1933">
        <w:t>omeless</w:t>
      </w:r>
      <w:bookmarkEnd w:id="1014"/>
      <w:bookmarkEnd w:id="1015"/>
      <w:bookmarkEnd w:id="1016"/>
      <w:bookmarkEnd w:id="1017"/>
    </w:p>
    <w:p w14:paraId="477F373F" w14:textId="00A636C9" w:rsidR="00697217" w:rsidRPr="003E1933" w:rsidRDefault="00697217" w:rsidP="00622CFF">
      <w:pPr>
        <w:spacing w:before="240" w:after="240" w:line="240" w:lineRule="auto"/>
        <w:rPr>
          <w:rFonts w:eastAsia="Yu Gothic Light"/>
        </w:rPr>
      </w:pPr>
      <w:r w:rsidRPr="003E1933">
        <w:rPr>
          <w:rFonts w:eastAsia="Yu Gothic Light"/>
        </w:rPr>
        <w:t xml:space="preserve">Assessors have a responsibility to recognise </w:t>
      </w:r>
      <w:r w:rsidR="00516348">
        <w:rPr>
          <w:rFonts w:eastAsia="Yu Gothic Light"/>
        </w:rPr>
        <w:t>older people</w:t>
      </w:r>
      <w:r w:rsidRPr="003E1933">
        <w:rPr>
          <w:rFonts w:eastAsia="Yu Gothic Light"/>
        </w:rPr>
        <w:t xml:space="preserve"> who are experiencing, or are at risk of becoming homeless, and to ensure that they can access an assessment and any aged care services approved for them. Liaisons between assessors and support services for homeless people are particularly important for this cohort because of their extreme vulnerability.</w:t>
      </w:r>
      <w:r w:rsidRPr="53A8835B">
        <w:rPr>
          <w:rFonts w:eastAsia="Yu Gothic Light"/>
        </w:rPr>
        <w:t xml:space="preserve"> </w:t>
      </w:r>
      <w:r w:rsidRPr="04EFB97D">
        <w:rPr>
          <w:rFonts w:eastAsia="Yu Gothic Light"/>
        </w:rPr>
        <w:t xml:space="preserve">Assessments for this cohort will require a flexible and unique approach </w:t>
      </w:r>
      <w:r w:rsidRPr="22DB15FB">
        <w:rPr>
          <w:rFonts w:eastAsia="Yu Gothic Light"/>
        </w:rPr>
        <w:t>by assessment organisations. For</w:t>
      </w:r>
      <w:r w:rsidRPr="04EFB97D">
        <w:rPr>
          <w:rFonts w:eastAsia="Yu Gothic Light"/>
        </w:rPr>
        <w:t xml:space="preserve"> example, assessors may need to travel to outreach locations in </w:t>
      </w:r>
      <w:r w:rsidRPr="22DB15FB">
        <w:rPr>
          <w:rFonts w:eastAsia="Yu Gothic Light"/>
        </w:rPr>
        <w:t>order to undertake the assessment, working closely with the providers already linked to the older person,</w:t>
      </w:r>
      <w:r w:rsidRPr="04EFB97D">
        <w:rPr>
          <w:rFonts w:eastAsia="Yu Gothic Light"/>
        </w:rPr>
        <w:t xml:space="preserve"> such as community health clinics, </w:t>
      </w:r>
      <w:r w:rsidRPr="22DB15FB">
        <w:rPr>
          <w:rFonts w:eastAsia="Yu Gothic Light"/>
        </w:rPr>
        <w:t xml:space="preserve">hospitals, </w:t>
      </w:r>
      <w:r w:rsidRPr="04EFB97D">
        <w:rPr>
          <w:rFonts w:eastAsia="Yu Gothic Light"/>
        </w:rPr>
        <w:t>emergency housing</w:t>
      </w:r>
      <w:r w:rsidRPr="22DB15FB">
        <w:rPr>
          <w:rFonts w:eastAsia="Yu Gothic Light"/>
        </w:rPr>
        <w:t xml:space="preserve"> providers or other</w:t>
      </w:r>
      <w:r w:rsidRPr="04EFB97D">
        <w:rPr>
          <w:rFonts w:eastAsia="Yu Gothic Light"/>
        </w:rPr>
        <w:t xml:space="preserve"> community</w:t>
      </w:r>
      <w:r w:rsidRPr="22DB15FB">
        <w:rPr>
          <w:rFonts w:eastAsia="Yu Gothic Light"/>
        </w:rPr>
        <w:t xml:space="preserve"> services such as </w:t>
      </w:r>
      <w:r w:rsidRPr="293D6B31">
        <w:rPr>
          <w:rFonts w:eastAsia="Yu Gothic Light"/>
        </w:rPr>
        <w:t>those that provide free meals and laundry services.</w:t>
      </w:r>
    </w:p>
    <w:p w14:paraId="50DC9D3F" w14:textId="597ED5A4" w:rsidR="0CA30588" w:rsidRDefault="2BEB9D1A" w:rsidP="00622CFF">
      <w:pPr>
        <w:spacing w:before="240" w:after="240" w:line="240" w:lineRule="auto"/>
        <w:rPr>
          <w:rFonts w:eastAsia="Yu Gothic Light"/>
        </w:rPr>
      </w:pPr>
      <w:r w:rsidRPr="5F546A33">
        <w:rPr>
          <w:rFonts w:eastAsia="Yu Gothic Light"/>
        </w:rPr>
        <w:t xml:space="preserve">People aged 50-64 seeking aged care services under the homeless or at risk of homelessness criteria </w:t>
      </w:r>
      <w:r w:rsidRPr="00192556">
        <w:rPr>
          <w:rFonts w:eastAsia="Yu Gothic Light"/>
        </w:rPr>
        <w:t>must</w:t>
      </w:r>
      <w:r w:rsidRPr="5F546A33">
        <w:rPr>
          <w:rFonts w:eastAsia="Yu Gothic Light"/>
        </w:rPr>
        <w:t xml:space="preserve"> meet the </w:t>
      </w:r>
      <w:r w:rsidR="2774B3B5" w:rsidRPr="5F546A33">
        <w:rPr>
          <w:rFonts w:eastAsia="Yu Gothic Light"/>
        </w:rPr>
        <w:t xml:space="preserve">appropriate </w:t>
      </w:r>
      <w:r w:rsidR="628EF8D5" w:rsidRPr="5F546A33">
        <w:rPr>
          <w:rFonts w:eastAsia="Yu Gothic Light"/>
        </w:rPr>
        <w:t xml:space="preserve">definition as </w:t>
      </w:r>
      <w:r w:rsidR="004B4042">
        <w:rPr>
          <w:rFonts w:eastAsia="Yu Gothic Light"/>
        </w:rPr>
        <w:t xml:space="preserve">described in Chapter </w:t>
      </w:r>
      <w:r w:rsidR="00871BD0">
        <w:rPr>
          <w:rFonts w:eastAsia="Yu Gothic Light"/>
        </w:rPr>
        <w:fldChar w:fldCharType="begin"/>
      </w:r>
      <w:r w:rsidR="00871BD0">
        <w:rPr>
          <w:rFonts w:eastAsia="Yu Gothic Light"/>
        </w:rPr>
        <w:instrText xml:space="preserve"> REF _Ref212736424 \w \h </w:instrText>
      </w:r>
      <w:r w:rsidR="00871BD0">
        <w:rPr>
          <w:rFonts w:eastAsia="Yu Gothic Light"/>
        </w:rPr>
      </w:r>
      <w:r w:rsidR="00871BD0">
        <w:rPr>
          <w:rFonts w:eastAsia="Yu Gothic Light"/>
        </w:rPr>
        <w:fldChar w:fldCharType="separate"/>
      </w:r>
      <w:r w:rsidR="00F97942">
        <w:rPr>
          <w:rFonts w:eastAsia="Yu Gothic Light"/>
        </w:rPr>
        <w:t>1</w:t>
      </w:r>
      <w:r w:rsidR="00871BD0">
        <w:rPr>
          <w:rFonts w:eastAsia="Yu Gothic Light"/>
        </w:rPr>
        <w:fldChar w:fldCharType="end"/>
      </w:r>
      <w:r w:rsidR="00643923">
        <w:rPr>
          <w:rFonts w:eastAsia="Yu Gothic Light"/>
        </w:rPr>
        <w:t xml:space="preserve"> and Chapter 5</w:t>
      </w:r>
      <w:r w:rsidR="006E690A">
        <w:rPr>
          <w:rFonts w:eastAsia="Yu Gothic Light"/>
        </w:rPr>
        <w:t xml:space="preserve">. </w:t>
      </w:r>
    </w:p>
    <w:p w14:paraId="767744F9" w14:textId="5B3430C9" w:rsidR="00697217" w:rsidRDefault="00697217" w:rsidP="00622CFF">
      <w:pPr>
        <w:spacing w:before="240" w:after="240" w:line="240" w:lineRule="auto"/>
        <w:rPr>
          <w:rFonts w:eastAsia="Yu Gothic Light"/>
        </w:rPr>
      </w:pPr>
      <w:r w:rsidRPr="293D6B31">
        <w:rPr>
          <w:rFonts w:eastAsia="Yu Gothic Light"/>
        </w:rPr>
        <w:t xml:space="preserve">Assessors should also be aware that homelessness alone is not grounds to approve an older person as eligible for residential or other forms of aged care. The person </w:t>
      </w:r>
      <w:r w:rsidR="00D76198">
        <w:rPr>
          <w:rFonts w:eastAsia="Yu Gothic Light"/>
        </w:rPr>
        <w:t>must</w:t>
      </w:r>
      <w:r w:rsidR="00D76198" w:rsidRPr="293D6B31">
        <w:rPr>
          <w:rFonts w:eastAsia="Yu Gothic Light"/>
        </w:rPr>
        <w:t xml:space="preserve"> </w:t>
      </w:r>
      <w:r w:rsidRPr="293D6B31">
        <w:rPr>
          <w:rFonts w:eastAsia="Yu Gothic Light"/>
        </w:rPr>
        <w:t xml:space="preserve">meet the eligibility criteria set out in the </w:t>
      </w:r>
      <w:r w:rsidRPr="293D6B31">
        <w:rPr>
          <w:rFonts w:eastAsia="Yu Gothic Light"/>
          <w:i/>
          <w:iCs/>
        </w:rPr>
        <w:t>Aged Care Act 2024</w:t>
      </w:r>
      <w:r w:rsidRPr="293D6B31">
        <w:rPr>
          <w:rFonts w:eastAsia="Yu Gothic Light"/>
        </w:rPr>
        <w:t xml:space="preserve">.  </w:t>
      </w:r>
    </w:p>
    <w:p w14:paraId="589E0389" w14:textId="77777777" w:rsidR="00697217" w:rsidRDefault="00697217" w:rsidP="00622CFF">
      <w:pPr>
        <w:spacing w:before="240" w:after="240" w:line="240" w:lineRule="auto"/>
        <w:rPr>
          <w:rFonts w:eastAsia="Yu Gothic Light"/>
        </w:rPr>
      </w:pPr>
      <w:r w:rsidRPr="293D6B31">
        <w:rPr>
          <w:rFonts w:eastAsia="Yu Gothic Light"/>
        </w:rPr>
        <w:t>Where housing assistance services are not available, assessors should make appropriate referrals and work with their state and territory government housing and homeless services.</w:t>
      </w:r>
    </w:p>
    <w:p w14:paraId="40FA7B02" w14:textId="77777777" w:rsidR="00697217" w:rsidRDefault="00697217" w:rsidP="00622CFF">
      <w:pPr>
        <w:spacing w:before="240" w:after="240" w:line="240" w:lineRule="auto"/>
        <w:rPr>
          <w:rFonts w:eastAsia="Yu Gothic Light"/>
        </w:rPr>
      </w:pPr>
      <w:r>
        <w:rPr>
          <w:rFonts w:eastAsia="Yu Gothic Light"/>
        </w:rPr>
        <w:t>L</w:t>
      </w:r>
      <w:r w:rsidRPr="293D6B31">
        <w:rPr>
          <w:rFonts w:eastAsia="Yu Gothic Light"/>
        </w:rPr>
        <w:t>earning for all assessors called ‘Homelessness and older people’ is available through MAClearning.</w:t>
      </w:r>
    </w:p>
    <w:tbl>
      <w:tblPr>
        <w:tblStyle w:val="TableGrid"/>
        <w:tblW w:w="0" w:type="auto"/>
        <w:tblLook w:val="04A0" w:firstRow="1" w:lastRow="0" w:firstColumn="1" w:lastColumn="0" w:noHBand="0" w:noVBand="1"/>
      </w:tblPr>
      <w:tblGrid>
        <w:gridCol w:w="1271"/>
        <w:gridCol w:w="7745"/>
      </w:tblGrid>
      <w:tr w:rsidR="00697217" w14:paraId="18A08A83" w14:textId="77777777">
        <w:tc>
          <w:tcPr>
            <w:tcW w:w="1271" w:type="dxa"/>
          </w:tcPr>
          <w:p w14:paraId="644DC634" w14:textId="77777777" w:rsidR="00697217" w:rsidRDefault="00697217" w:rsidP="00622CFF">
            <w:pPr>
              <w:spacing w:before="240" w:after="240"/>
              <w:rPr>
                <w:rFonts w:eastAsia="MS Mincho"/>
              </w:rPr>
            </w:pPr>
            <w:r w:rsidRPr="0028657F">
              <w:rPr>
                <w:noProof/>
              </w:rPr>
              <w:drawing>
                <wp:anchor distT="0" distB="0" distL="114300" distR="114300" simplePos="0" relativeHeight="251658261" behindDoc="0" locked="0" layoutInCell="1" allowOverlap="1" wp14:anchorId="423DD8C3" wp14:editId="62C1A4E3">
                  <wp:simplePos x="0" y="0"/>
                  <wp:positionH relativeFrom="column">
                    <wp:posOffset>79375</wp:posOffset>
                  </wp:positionH>
                  <wp:positionV relativeFrom="paragraph">
                    <wp:posOffset>72390</wp:posOffset>
                  </wp:positionV>
                  <wp:extent cx="447675" cy="445208"/>
                  <wp:effectExtent l="0" t="0" r="0" b="0"/>
                  <wp:wrapSquare wrapText="bothSides"/>
                  <wp:docPr id="432378972" name="Picture 43237897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p>
        </w:tc>
        <w:tc>
          <w:tcPr>
            <w:tcW w:w="7745" w:type="dxa"/>
          </w:tcPr>
          <w:p w14:paraId="6B697D22" w14:textId="5C93A42F" w:rsidR="00697217" w:rsidRPr="00BB026A" w:rsidRDefault="00697217" w:rsidP="00622CFF">
            <w:pPr>
              <w:spacing w:before="240" w:after="240"/>
              <w:rPr>
                <w:rFonts w:eastAsia="Yu Gothic Light"/>
              </w:rPr>
            </w:pPr>
            <w:r w:rsidRPr="00BB026A">
              <w:rPr>
                <w:rFonts w:ascii="Helvetica" w:eastAsia="Helvetica" w:hAnsi="Helvetica" w:cs="Helvetica"/>
              </w:rPr>
              <w:t xml:space="preserve">For further detail on the definition of homelessness in aged care, see Chapter </w:t>
            </w:r>
            <w:r w:rsidR="00871BD0">
              <w:rPr>
                <w:rFonts w:ascii="Helvetica" w:eastAsia="Helvetica" w:hAnsi="Helvetica" w:cs="Helvetica"/>
              </w:rPr>
              <w:fldChar w:fldCharType="begin"/>
            </w:r>
            <w:r w:rsidR="00871BD0">
              <w:rPr>
                <w:rFonts w:ascii="Helvetica" w:eastAsia="Helvetica" w:hAnsi="Helvetica" w:cs="Helvetica"/>
              </w:rPr>
              <w:instrText xml:space="preserve"> REF _Ref212736437 \w \h </w:instrText>
            </w:r>
            <w:r w:rsidR="00871BD0">
              <w:rPr>
                <w:rFonts w:ascii="Helvetica" w:eastAsia="Helvetica" w:hAnsi="Helvetica" w:cs="Helvetica"/>
              </w:rPr>
            </w:r>
            <w:r w:rsidR="00871BD0">
              <w:rPr>
                <w:rFonts w:ascii="Helvetica" w:eastAsia="Helvetica" w:hAnsi="Helvetica" w:cs="Helvetica"/>
              </w:rPr>
              <w:fldChar w:fldCharType="separate"/>
            </w:r>
            <w:r w:rsidR="00F97942">
              <w:rPr>
                <w:rFonts w:ascii="Helvetica" w:eastAsia="Helvetica" w:hAnsi="Helvetica" w:cs="Helvetica"/>
              </w:rPr>
              <w:t>1</w:t>
            </w:r>
            <w:r w:rsidR="00871BD0">
              <w:rPr>
                <w:rFonts w:ascii="Helvetica" w:eastAsia="Helvetica" w:hAnsi="Helvetica" w:cs="Helvetica"/>
              </w:rPr>
              <w:fldChar w:fldCharType="end"/>
            </w:r>
            <w:r w:rsidRPr="00BB026A">
              <w:rPr>
                <w:rFonts w:ascii="Helvetica" w:eastAsia="Helvetica" w:hAnsi="Helvetica" w:cs="Helvetica"/>
              </w:rPr>
              <w:t xml:space="preserve"> ‘</w:t>
            </w:r>
            <w:r w:rsidR="18ACB31B" w:rsidRPr="118CC8A7">
              <w:rPr>
                <w:rFonts w:ascii="Helvetica" w:eastAsia="Helvetica" w:hAnsi="Helvetica" w:cs="Helvetica"/>
              </w:rPr>
              <w:t xml:space="preserve">Homeless or </w:t>
            </w:r>
            <w:r w:rsidR="0475F72B" w:rsidRPr="511E1343">
              <w:rPr>
                <w:rFonts w:ascii="Helvetica" w:eastAsia="Helvetica" w:hAnsi="Helvetica" w:cs="Helvetica"/>
              </w:rPr>
              <w:t>At</w:t>
            </w:r>
            <w:r w:rsidR="18ACB31B" w:rsidRPr="511E1343">
              <w:rPr>
                <w:rFonts w:ascii="Helvetica" w:eastAsia="Helvetica" w:hAnsi="Helvetica" w:cs="Helvetica"/>
              </w:rPr>
              <w:t xml:space="preserve"> </w:t>
            </w:r>
            <w:r w:rsidR="18ACB31B" w:rsidRPr="118CC8A7">
              <w:rPr>
                <w:rFonts w:ascii="Helvetica" w:eastAsia="Helvetica" w:hAnsi="Helvetica" w:cs="Helvetica"/>
              </w:rPr>
              <w:t xml:space="preserve">Risk of </w:t>
            </w:r>
            <w:r w:rsidR="18ACB31B" w:rsidRPr="79756CC4">
              <w:rPr>
                <w:rFonts w:ascii="Helvetica" w:eastAsia="Helvetica" w:hAnsi="Helvetica" w:cs="Helvetica"/>
              </w:rPr>
              <w:t>Homelessness Eligibility</w:t>
            </w:r>
            <w:r w:rsidR="35DCA432" w:rsidRPr="79756CC4">
              <w:rPr>
                <w:rFonts w:ascii="Helvetica" w:eastAsia="Helvetica" w:hAnsi="Helvetica" w:cs="Helvetica"/>
              </w:rPr>
              <w:t>’</w:t>
            </w:r>
            <w:r w:rsidRPr="00BB026A">
              <w:rPr>
                <w:rFonts w:ascii="Helvetica" w:eastAsia="Helvetica" w:hAnsi="Helvetica" w:cs="Helvetica"/>
              </w:rPr>
              <w:t xml:space="preserve">. </w:t>
            </w:r>
          </w:p>
          <w:p w14:paraId="48F275DD" w14:textId="77777777" w:rsidR="00697217" w:rsidRDefault="00697217" w:rsidP="00622CFF">
            <w:pPr>
              <w:spacing w:before="240" w:after="240"/>
              <w:rPr>
                <w:rFonts w:eastAsia="MS Mincho"/>
              </w:rPr>
            </w:pPr>
          </w:p>
        </w:tc>
      </w:tr>
    </w:tbl>
    <w:p w14:paraId="61EE744B" w14:textId="3EE6773A" w:rsidR="00697217" w:rsidRPr="003E1933" w:rsidRDefault="00697217" w:rsidP="00507F9D">
      <w:pPr>
        <w:pStyle w:val="h2"/>
      </w:pPr>
      <w:bookmarkStart w:id="1018" w:name="_Toc159226896"/>
      <w:bookmarkStart w:id="1019" w:name="_Toc184402313"/>
      <w:bookmarkStart w:id="1020" w:name="_Toc204329620"/>
      <w:bookmarkStart w:id="1021" w:name="_Toc209189059"/>
      <w:bookmarkStart w:id="1022" w:name="_Toc224916712"/>
      <w:r>
        <w:t xml:space="preserve">Care </w:t>
      </w:r>
      <w:r w:rsidR="00562D4E">
        <w:t>l</w:t>
      </w:r>
      <w:r>
        <w:t>eavers</w:t>
      </w:r>
      <w:bookmarkEnd w:id="1018"/>
      <w:bookmarkEnd w:id="1019"/>
      <w:bookmarkEnd w:id="1020"/>
      <w:bookmarkEnd w:id="1021"/>
      <w:bookmarkEnd w:id="1022"/>
    </w:p>
    <w:p w14:paraId="13F03DA3" w14:textId="77777777" w:rsidR="00697217" w:rsidRPr="003E1933" w:rsidRDefault="00697217" w:rsidP="00622CFF">
      <w:pPr>
        <w:spacing w:before="240" w:after="240" w:line="240" w:lineRule="auto"/>
        <w:rPr>
          <w:rFonts w:eastAsia="MS PGothic"/>
        </w:rPr>
      </w:pPr>
      <w:r w:rsidRPr="003E1933">
        <w:rPr>
          <w:rFonts w:eastAsia="MS PGothic"/>
        </w:rPr>
        <w:t xml:space="preserve">The department’s website provides information on care leavers, including a description of the term ‘care-leaver’. </w:t>
      </w:r>
    </w:p>
    <w:p w14:paraId="02794845" w14:textId="77777777" w:rsidR="00697217" w:rsidRPr="003E1933" w:rsidRDefault="00697217" w:rsidP="00622CFF">
      <w:pPr>
        <w:spacing w:before="240" w:after="240" w:line="240" w:lineRule="auto"/>
      </w:pPr>
      <w:r w:rsidRPr="003E1933">
        <w:t xml:space="preserve">This term refers to children who were in institutional and other out-of-home care prior to the year 2000, including: </w:t>
      </w:r>
    </w:p>
    <w:p w14:paraId="01D63F6F" w14:textId="4A51BEF2" w:rsidR="00697217" w:rsidRPr="003E1933" w:rsidRDefault="00697217" w:rsidP="00DF3F6B">
      <w:pPr>
        <w:pStyle w:val="ListParagraph"/>
        <w:numPr>
          <w:ilvl w:val="0"/>
          <w:numId w:val="365"/>
        </w:numPr>
        <w:spacing w:before="240" w:after="240" w:line="240" w:lineRule="auto"/>
      </w:pPr>
      <w:r w:rsidRPr="00E60A50">
        <w:t xml:space="preserve">Forgotten Australians </w:t>
      </w:r>
      <w:r w:rsidRPr="003E1933">
        <w:t xml:space="preserve">- people who spent a period of time as children in children's homes, orphanages, and other forms of out-of-home care prior to the year </w:t>
      </w:r>
      <w:r w:rsidR="1564AECD">
        <w:t>1989</w:t>
      </w:r>
      <w:r w:rsidR="475DAC81">
        <w:t>.</w:t>
      </w:r>
      <w:r w:rsidRPr="003E1933">
        <w:t xml:space="preserve">  </w:t>
      </w:r>
    </w:p>
    <w:p w14:paraId="134C39EE" w14:textId="2EECCE90" w:rsidR="00697217" w:rsidRPr="003E1933" w:rsidRDefault="00697217" w:rsidP="00DF3F6B">
      <w:pPr>
        <w:pStyle w:val="ListParagraph"/>
        <w:numPr>
          <w:ilvl w:val="0"/>
          <w:numId w:val="365"/>
        </w:numPr>
        <w:spacing w:before="240" w:after="240" w:line="240" w:lineRule="auto"/>
      </w:pPr>
      <w:r w:rsidRPr="00E60A50">
        <w:t xml:space="preserve">Former </w:t>
      </w:r>
      <w:r w:rsidR="00562D4E">
        <w:t>c</w:t>
      </w:r>
      <w:r w:rsidRPr="00E60A50">
        <w:t xml:space="preserve">hild </w:t>
      </w:r>
      <w:r w:rsidR="00562D4E">
        <w:t>m</w:t>
      </w:r>
      <w:r w:rsidRPr="00E60A50">
        <w:t xml:space="preserve">igrants </w:t>
      </w:r>
      <w:r w:rsidRPr="003E1933">
        <w:t>- children who arrived in Australia through historical child migration schemes and were subsequently placed in homes and orphanages.</w:t>
      </w:r>
    </w:p>
    <w:p w14:paraId="6E571733" w14:textId="4B9B4944" w:rsidR="00697217" w:rsidRPr="003E1933" w:rsidRDefault="00697217" w:rsidP="00DF3F6B">
      <w:pPr>
        <w:pStyle w:val="ListParagraph"/>
        <w:numPr>
          <w:ilvl w:val="0"/>
          <w:numId w:val="365"/>
        </w:numPr>
        <w:spacing w:before="240" w:after="240" w:line="240" w:lineRule="auto"/>
      </w:pPr>
      <w:r w:rsidRPr="00E60A50">
        <w:t xml:space="preserve">Stolen </w:t>
      </w:r>
      <w:r>
        <w:t>Generations</w:t>
      </w:r>
      <w:r w:rsidRPr="00E60A50">
        <w:t xml:space="preserve"> </w:t>
      </w:r>
      <w:r w:rsidRPr="003E1933">
        <w:t xml:space="preserve">- children of Aboriginal and Torres Strait Islander descent who were </w:t>
      </w:r>
      <w:r w:rsidR="00B76E1F">
        <w:t xml:space="preserve">taken </w:t>
      </w:r>
      <w:r w:rsidR="00B76E1F" w:rsidRPr="003E1933">
        <w:t>from</w:t>
      </w:r>
      <w:r w:rsidRPr="003E1933">
        <w:t xml:space="preserve"> their families and communities by </w:t>
      </w:r>
      <w:r w:rsidR="009844C4">
        <w:t>F</w:t>
      </w:r>
      <w:r w:rsidRPr="003E1933">
        <w:t xml:space="preserve">ederal and </w:t>
      </w:r>
      <w:r w:rsidR="009844C4">
        <w:t>S</w:t>
      </w:r>
      <w:r w:rsidRPr="003E1933">
        <w:t>tate government agencies</w:t>
      </w:r>
      <w:r w:rsidR="009844C4">
        <w:t xml:space="preserve"> and church missions under the forcible removal</w:t>
      </w:r>
      <w:r w:rsidR="005A058C">
        <w:t xml:space="preserve"> policies</w:t>
      </w:r>
      <w:r w:rsidRPr="003E1933">
        <w:t xml:space="preserve"> from the late 1800s </w:t>
      </w:r>
      <w:r w:rsidR="005A058C">
        <w:t>until</w:t>
      </w:r>
      <w:r w:rsidRPr="003E1933">
        <w:t xml:space="preserve"> the 19</w:t>
      </w:r>
      <w:r w:rsidR="00E52FC7">
        <w:t>7</w:t>
      </w:r>
      <w:r w:rsidRPr="003E1933">
        <w:t xml:space="preserve">0s. </w:t>
      </w:r>
    </w:p>
    <w:p w14:paraId="1E21FD81" w14:textId="063F095D" w:rsidR="00697217" w:rsidRPr="003E1933" w:rsidRDefault="00697217" w:rsidP="00622CFF">
      <w:pPr>
        <w:spacing w:before="240" w:after="240" w:line="240" w:lineRule="auto"/>
        <w:rPr>
          <w:rFonts w:eastAsia="MS Mincho"/>
        </w:rPr>
      </w:pPr>
      <w:r w:rsidRPr="003E1933">
        <w:rPr>
          <w:rFonts w:eastAsia="MS Mincho"/>
          <w:color w:val="171717" w:themeColor="background2" w:themeShade="1A"/>
        </w:rPr>
        <w:t xml:space="preserve">Assessors should be particularly sensitive to the effects of care-leavers’ childhood experiences with government officials, authorities and institutional care. </w:t>
      </w:r>
      <w:r w:rsidRPr="003E1933">
        <w:rPr>
          <w:color w:val="171717" w:themeColor="background2" w:themeShade="1A"/>
        </w:rPr>
        <w:t xml:space="preserve">These individuals may have experienced complex trauma and have general distrust of institutions and Government departments. </w:t>
      </w:r>
      <w:r w:rsidRPr="003E1933">
        <w:rPr>
          <w:rFonts w:eastAsia="MS Mincho"/>
          <w:color w:val="171717" w:themeColor="background2" w:themeShade="1A"/>
        </w:rPr>
        <w:t xml:space="preserve">Assessors should consider how to best support </w:t>
      </w:r>
      <w:r w:rsidR="00516348">
        <w:rPr>
          <w:rFonts w:eastAsia="MS Mincho"/>
          <w:color w:val="171717" w:themeColor="background2" w:themeShade="1A"/>
        </w:rPr>
        <w:t>older people</w:t>
      </w:r>
      <w:r w:rsidRPr="003E1933">
        <w:rPr>
          <w:rFonts w:eastAsia="MS Mincho"/>
          <w:color w:val="171717" w:themeColor="background2" w:themeShade="1A"/>
        </w:rPr>
        <w:t xml:space="preserve"> in the most sensitive and respectful way with an awareness and understanding of how childhood experiences may influence their concerns, preferences and decisions in relation to aged care, and emphasise that </w:t>
      </w:r>
      <w:r w:rsidR="00516348">
        <w:rPr>
          <w:rFonts w:eastAsia="MS Mincho"/>
          <w:color w:val="171717" w:themeColor="background2" w:themeShade="1A"/>
        </w:rPr>
        <w:t>older people</w:t>
      </w:r>
      <w:r w:rsidRPr="003E1933">
        <w:rPr>
          <w:rFonts w:eastAsia="MS Mincho"/>
          <w:color w:val="171717" w:themeColor="background2" w:themeShade="1A"/>
        </w:rPr>
        <w:t xml:space="preserve"> can have a support person at the assessment and that they are not obliged to take up</w:t>
      </w:r>
      <w:r w:rsidRPr="003E1933">
        <w:rPr>
          <w:rFonts w:eastAsia="MS Mincho"/>
        </w:rPr>
        <w:t xml:space="preserve"> any approved care</w:t>
      </w:r>
      <w:r>
        <w:rPr>
          <w:rFonts w:eastAsia="MS Mincho"/>
        </w:rPr>
        <w:t>.</w:t>
      </w:r>
    </w:p>
    <w:p w14:paraId="1906F696" w14:textId="4D9EF61F" w:rsidR="00697217" w:rsidRDefault="00697217" w:rsidP="00622CFF">
      <w:pPr>
        <w:spacing w:before="240" w:after="240" w:line="240" w:lineRule="auto"/>
        <w:rPr>
          <w:rFonts w:eastAsia="MS Mincho"/>
        </w:rPr>
      </w:pPr>
      <w:r w:rsidRPr="003E1933">
        <w:rPr>
          <w:rFonts w:eastAsia="MS Mincho"/>
        </w:rPr>
        <w:t>In December 2016, the ‘</w:t>
      </w:r>
      <w:r w:rsidRPr="003E1933">
        <w:rPr>
          <w:rFonts w:eastAsia="MS Mincho"/>
          <w:lang w:val="en-US"/>
        </w:rPr>
        <w:t>Caring for Forgotten Australians, Former Child Migrants and Stolen Generations</w:t>
      </w:r>
      <w:r w:rsidRPr="003E1933">
        <w:rPr>
          <w:rFonts w:eastAsia="MS Mincho"/>
          <w:i/>
          <w:lang w:val="en-US"/>
        </w:rPr>
        <w:t xml:space="preserve"> </w:t>
      </w:r>
      <w:r w:rsidRPr="003E1933">
        <w:rPr>
          <w:rFonts w:eastAsia="MS Mincho"/>
          <w:lang w:val="en-US"/>
        </w:rPr>
        <w:t>resource</w:t>
      </w:r>
      <w:r w:rsidRPr="003E1933">
        <w:rPr>
          <w:rFonts w:eastAsia="MS Mincho"/>
          <w:i/>
          <w:lang w:val="en-US"/>
        </w:rPr>
        <w:t xml:space="preserve"> </w:t>
      </w:r>
      <w:r w:rsidRPr="003E1933">
        <w:rPr>
          <w:rFonts w:eastAsia="MS Mincho"/>
        </w:rPr>
        <w:t xml:space="preserve">was launched. This package is designed to enhance aged care services and ensure residential and home care providers provide the best possible care to the care leaver groups. Additionally, the Real Care the Second Time Around Project has developed </w:t>
      </w:r>
      <w:r w:rsidR="00B72576" w:rsidRPr="00192556">
        <w:t>practical tips</w:t>
      </w:r>
      <w:r w:rsidRPr="003E1933">
        <w:rPr>
          <w:rFonts w:eastAsia="MS Mincho"/>
        </w:rPr>
        <w:t xml:space="preserve"> to assist aged care providers and staff to engage with Forgotten Australians/Care Leavers. </w:t>
      </w:r>
    </w:p>
    <w:p w14:paraId="0174CD57" w14:textId="5F24DEED" w:rsidR="00FD0F63" w:rsidRDefault="00697217" w:rsidP="00C325C6">
      <w:pPr>
        <w:pStyle w:val="Sub-headings"/>
      </w:pPr>
      <w:r w:rsidRPr="006E690A">
        <w:t>Important</w:t>
      </w:r>
      <w:r>
        <w:t>:</w:t>
      </w:r>
      <w:r w:rsidRPr="003E1933">
        <w:t xml:space="preserve"> </w:t>
      </w:r>
    </w:p>
    <w:p w14:paraId="0756EC7F" w14:textId="5F4310AB" w:rsidR="00FD0F63" w:rsidRDefault="000074DC" w:rsidP="00C325C6">
      <w:pPr>
        <w:pStyle w:val="Sub-headings"/>
      </w:pPr>
      <w:r>
        <w:t>Under</w:t>
      </w:r>
      <w:r w:rsidR="00697217" w:rsidRPr="005F4956">
        <w:t xml:space="preserve"> Support at Home, individuals who are care leavers are eligible for a care management supplement which will be credited to their provider's care management account. </w:t>
      </w:r>
    </w:p>
    <w:p w14:paraId="26BCF44B" w14:textId="77777777" w:rsidR="008356C5" w:rsidRDefault="00697217" w:rsidP="00C325C6">
      <w:pPr>
        <w:pStyle w:val="Sub-headings"/>
      </w:pPr>
      <w:r w:rsidRPr="6749E651">
        <w:t>To</w:t>
      </w:r>
      <w:r w:rsidRPr="005F4956">
        <w:t xml:space="preserve"> identify individuals who are eligible for a care management supplement during the assessment, assessors must use the diversity fields in the IAT, which do not currently capture care leavers. </w:t>
      </w:r>
    </w:p>
    <w:p w14:paraId="26EA0072" w14:textId="70AA60C3" w:rsidR="00B57B0B" w:rsidRDefault="00697217" w:rsidP="00C325C6">
      <w:pPr>
        <w:pStyle w:val="Sub-headings"/>
      </w:pPr>
      <w:r w:rsidRPr="005F4956">
        <w:t xml:space="preserve">Assessors who have identified individuals who are care leavers during the assessment should select the diversity field 'a person separated from your parents or children by forced adoption or removal'. </w:t>
      </w:r>
    </w:p>
    <w:p w14:paraId="002B006A" w14:textId="6D4A8163" w:rsidR="007F22CF" w:rsidRPr="005F4956" w:rsidRDefault="00697217" w:rsidP="00C325C6">
      <w:pPr>
        <w:pStyle w:val="Sub-headings"/>
      </w:pPr>
      <w:r w:rsidRPr="005F4956">
        <w:t>This will ensure Services Australia is able to identify these individuals from the assessment and apply a care management supplement to their provider's care management account. Refer to the Support at Home Program Manual for more information on care management supplements.</w:t>
      </w:r>
    </w:p>
    <w:p w14:paraId="0542C63A" w14:textId="77777777" w:rsidR="0085035A" w:rsidRDefault="0085035A" w:rsidP="00622CFF">
      <w:pPr>
        <w:spacing w:before="240" w:after="240" w:line="240" w:lineRule="auto"/>
        <w:rPr>
          <w:rFonts w:eastAsia="MS Mincho"/>
        </w:rPr>
      </w:pPr>
    </w:p>
    <w:p w14:paraId="7C0EF483" w14:textId="2E269426" w:rsidR="00632F2D" w:rsidRDefault="00632F2D" w:rsidP="00632F2D">
      <w:pPr>
        <w:spacing w:before="240" w:after="240" w:line="240" w:lineRule="auto"/>
        <w:rPr>
          <w:szCs w:val="22"/>
        </w:rPr>
      </w:pPr>
      <w:r w:rsidRPr="0028657F">
        <w:rPr>
          <w:noProof/>
        </w:rPr>
        <w:drawing>
          <wp:anchor distT="0" distB="0" distL="114300" distR="114300" simplePos="0" relativeHeight="251658274" behindDoc="0" locked="0" layoutInCell="1" allowOverlap="1" wp14:anchorId="48FC279F" wp14:editId="0C88D3BC">
            <wp:simplePos x="0" y="0"/>
            <wp:positionH relativeFrom="column">
              <wp:posOffset>-635</wp:posOffset>
            </wp:positionH>
            <wp:positionV relativeFrom="paragraph">
              <wp:posOffset>40640</wp:posOffset>
            </wp:positionV>
            <wp:extent cx="356235" cy="354330"/>
            <wp:effectExtent l="0" t="0" r="5715" b="7620"/>
            <wp:wrapSquare wrapText="bothSides"/>
            <wp:docPr id="1141404392" name="Picture 114140439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635AA3">
        <w:rPr>
          <w:szCs w:val="22"/>
        </w:rPr>
        <w:t xml:space="preserve"> </w:t>
      </w:r>
      <w:r w:rsidRPr="003E1933">
        <w:rPr>
          <w:b/>
          <w:szCs w:val="22"/>
        </w:rPr>
        <w:t>Department</w:t>
      </w:r>
      <w:r w:rsidRPr="003E1933" w:rsidDel="00861417">
        <w:rPr>
          <w:b/>
          <w:szCs w:val="22"/>
        </w:rPr>
        <w:t xml:space="preserve"> of Health</w:t>
      </w:r>
      <w:r w:rsidR="00892CAB">
        <w:rPr>
          <w:b/>
          <w:szCs w:val="22"/>
        </w:rPr>
        <w:t>, Disability</w:t>
      </w:r>
      <w:r w:rsidRPr="003E1933">
        <w:rPr>
          <w:b/>
          <w:szCs w:val="22"/>
        </w:rPr>
        <w:t xml:space="preserve"> and </w:t>
      </w:r>
      <w:r w:rsidR="00892CAB">
        <w:rPr>
          <w:b/>
          <w:szCs w:val="22"/>
        </w:rPr>
        <w:t>Ageing</w:t>
      </w:r>
      <w:r w:rsidRPr="003E1933">
        <w:rPr>
          <w:b/>
          <w:szCs w:val="22"/>
        </w:rPr>
        <w:t xml:space="preserve"> website:</w:t>
      </w:r>
      <w:r w:rsidRPr="00632F2D">
        <w:t xml:space="preserve"> </w:t>
      </w:r>
      <w:hyperlink r:id="rId286">
        <w:r w:rsidRPr="003E1933">
          <w:rPr>
            <w:rStyle w:val="Hyperlink"/>
            <w:szCs w:val="22"/>
          </w:rPr>
          <w:t>Caring for Forgotten Australians, Former Child Migrants and Stolen Generations Information Package</w:t>
        </w:r>
      </w:hyperlink>
      <w:r w:rsidRPr="003E1933">
        <w:rPr>
          <w:szCs w:val="22"/>
        </w:rPr>
        <w:t xml:space="preserve"> </w:t>
      </w:r>
    </w:p>
    <w:p w14:paraId="1F76D48E" w14:textId="1863D89A" w:rsidR="00697217" w:rsidRPr="003E1933" w:rsidRDefault="00632F2D" w:rsidP="00622CFF">
      <w:pPr>
        <w:spacing w:before="240" w:after="240" w:line="240" w:lineRule="auto"/>
        <w:ind w:left="720"/>
        <w:rPr>
          <w:rFonts w:eastAsia="MS Mincho"/>
        </w:rPr>
      </w:pPr>
      <w:r w:rsidRPr="003E1933">
        <w:rPr>
          <w:b/>
          <w:szCs w:val="22"/>
        </w:rPr>
        <w:t>Helping Hands website:</w:t>
      </w:r>
      <w:r w:rsidRPr="003E1933">
        <w:t xml:space="preserve"> </w:t>
      </w:r>
      <w:hyperlink r:id="rId287">
        <w:r w:rsidRPr="003E1933">
          <w:rPr>
            <w:rStyle w:val="Hyperlink"/>
            <w:szCs w:val="22"/>
          </w:rPr>
          <w:t>Real Care the Second Time Around – Practical Tips</w:t>
        </w:r>
      </w:hyperlink>
    </w:p>
    <w:p w14:paraId="04D73543" w14:textId="77777777" w:rsidR="006E690A" w:rsidRPr="003E1933" w:rsidRDefault="006E690A" w:rsidP="00622CFF">
      <w:pPr>
        <w:spacing w:before="240" w:after="240" w:line="240" w:lineRule="auto"/>
        <w:ind w:left="720"/>
        <w:rPr>
          <w:rFonts w:eastAsia="MS Mincho"/>
        </w:rPr>
      </w:pPr>
    </w:p>
    <w:p w14:paraId="2CC51B29" w14:textId="41AB01D7" w:rsidR="00697217" w:rsidRPr="003E1933" w:rsidRDefault="00697217" w:rsidP="00507F9D">
      <w:pPr>
        <w:pStyle w:val="h2"/>
      </w:pPr>
      <w:bookmarkStart w:id="1023" w:name="_Toc159226897"/>
      <w:bookmarkStart w:id="1024" w:name="_Toc184402314"/>
      <w:bookmarkStart w:id="1025" w:name="_Toc204329621"/>
      <w:bookmarkStart w:id="1026" w:name="_Toc209189060"/>
      <w:bookmarkStart w:id="1027" w:name="_Toc224916713"/>
      <w:r w:rsidRPr="003E1933">
        <w:t xml:space="preserve">Parents </w:t>
      </w:r>
      <w:r w:rsidR="00562D4E">
        <w:t>s</w:t>
      </w:r>
      <w:r w:rsidRPr="003E1933">
        <w:t xml:space="preserve">eparated from their </w:t>
      </w:r>
      <w:r w:rsidR="00562D4E">
        <w:t>c</w:t>
      </w:r>
      <w:r w:rsidRPr="003E1933">
        <w:t xml:space="preserve">hildren by </w:t>
      </w:r>
      <w:r w:rsidR="00562D4E">
        <w:t>f</w:t>
      </w:r>
      <w:r w:rsidRPr="003E1933">
        <w:t xml:space="preserve">orced </w:t>
      </w:r>
      <w:r w:rsidR="00562D4E">
        <w:t>a</w:t>
      </w:r>
      <w:r w:rsidRPr="003E1933">
        <w:t xml:space="preserve">doption or </w:t>
      </w:r>
      <w:r w:rsidR="00562D4E">
        <w:t>r</w:t>
      </w:r>
      <w:r w:rsidRPr="003E1933">
        <w:t>emoval</w:t>
      </w:r>
      <w:bookmarkEnd w:id="1023"/>
      <w:bookmarkEnd w:id="1024"/>
      <w:bookmarkEnd w:id="1025"/>
      <w:bookmarkEnd w:id="1026"/>
      <w:bookmarkEnd w:id="1027"/>
    </w:p>
    <w:p w14:paraId="20AFC9FD" w14:textId="77777777" w:rsidR="00697217" w:rsidRPr="003E1933" w:rsidRDefault="00697217" w:rsidP="00622CFF">
      <w:pPr>
        <w:spacing w:before="240" w:after="240" w:line="240" w:lineRule="auto"/>
      </w:pPr>
      <w:r w:rsidRPr="003E1933">
        <w:t>This term refers to the policies and practices that resulted in forced adoptions and the removal of children throughout Australia, particularly during the mid-twentieth century.</w:t>
      </w:r>
    </w:p>
    <w:p w14:paraId="12E4BD70" w14:textId="77777777" w:rsidR="00697217" w:rsidRPr="003E1933" w:rsidRDefault="00697217" w:rsidP="00622CFF">
      <w:pPr>
        <w:spacing w:before="240" w:after="240" w:line="240" w:lineRule="auto"/>
        <w:rPr>
          <w:rFonts w:eastAsia="MS Mincho"/>
        </w:rPr>
      </w:pPr>
      <w:r w:rsidRPr="003E1933">
        <w:rPr>
          <w:rFonts w:eastAsia="MS Mincho"/>
        </w:rPr>
        <w:t xml:space="preserve">Forced adoption practices impacted a large number of Australians and caused significant ongoing effects for many people, particularly mothers, fathers, and adoptees. </w:t>
      </w:r>
    </w:p>
    <w:p w14:paraId="6C4432F3" w14:textId="5C9F256B" w:rsidR="00697217" w:rsidRDefault="00697217" w:rsidP="00622CFF">
      <w:pPr>
        <w:spacing w:before="240" w:after="240" w:line="240" w:lineRule="auto"/>
        <w:rPr>
          <w:rFonts w:eastAsia="MS Mincho"/>
        </w:rPr>
      </w:pPr>
      <w:r w:rsidRPr="003E1933">
        <w:rPr>
          <w:rFonts w:eastAsia="MS Mincho"/>
        </w:rPr>
        <w:t xml:space="preserve">Assessors need to be particularly sensitive to those </w:t>
      </w:r>
      <w:r w:rsidR="00516348">
        <w:rPr>
          <w:rFonts w:eastAsia="MS Mincho"/>
        </w:rPr>
        <w:t>older people</w:t>
      </w:r>
      <w:r w:rsidRPr="003E1933">
        <w:rPr>
          <w:rFonts w:eastAsia="MS Mincho"/>
        </w:rPr>
        <w:t xml:space="preserve"> who have been adopted or impacted by past forced adoption practices, including interactions with government officials, authorities, and institutional care, as these experiences can have significant personal and psychological impacts. Assessors should emphasise that </w:t>
      </w:r>
      <w:r w:rsidR="00516348">
        <w:rPr>
          <w:rFonts w:eastAsia="MS Mincho"/>
        </w:rPr>
        <w:t>older people</w:t>
      </w:r>
      <w:r w:rsidRPr="003E1933">
        <w:rPr>
          <w:rFonts w:eastAsia="MS Mincho"/>
        </w:rPr>
        <w:t>’ wishes are taken into account, they can have a support person at the assessment, and they are not obliged to take up any approved care.</w:t>
      </w:r>
    </w:p>
    <w:p w14:paraId="75B7D8E1" w14:textId="77777777" w:rsidR="00697217" w:rsidRDefault="00697217" w:rsidP="00622CFF">
      <w:pPr>
        <w:spacing w:before="240" w:after="240" w:line="240" w:lineRule="auto"/>
      </w:pPr>
      <w:r w:rsidRPr="0028657F">
        <w:rPr>
          <w:noProof/>
        </w:rPr>
        <w:drawing>
          <wp:anchor distT="0" distB="0" distL="114300" distR="114300" simplePos="0" relativeHeight="251658256" behindDoc="0" locked="0" layoutInCell="1" allowOverlap="1" wp14:anchorId="7A8414D4" wp14:editId="1727C972">
            <wp:simplePos x="0" y="0"/>
            <wp:positionH relativeFrom="column">
              <wp:posOffset>0</wp:posOffset>
            </wp:positionH>
            <wp:positionV relativeFrom="paragraph">
              <wp:posOffset>47684</wp:posOffset>
            </wp:positionV>
            <wp:extent cx="447675" cy="445208"/>
            <wp:effectExtent l="0" t="0" r="0" b="0"/>
            <wp:wrapSquare wrapText="bothSides"/>
            <wp:docPr id="847707600" name="Picture 84770760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r w:rsidRPr="00635AA3">
        <w:rPr>
          <w:szCs w:val="22"/>
        </w:rPr>
        <w:t xml:space="preserve"> </w:t>
      </w:r>
      <w:r w:rsidRPr="003E1933">
        <w:rPr>
          <w:b/>
          <w:szCs w:val="22"/>
        </w:rPr>
        <w:t>Department of Social Services website:</w:t>
      </w:r>
      <w:r w:rsidRPr="003E1933">
        <w:rPr>
          <w:szCs w:val="22"/>
        </w:rPr>
        <w:t xml:space="preserve"> </w:t>
      </w:r>
      <w:hyperlink r:id="rId288">
        <w:r w:rsidRPr="003E1933">
          <w:rPr>
            <w:rStyle w:val="Hyperlink"/>
            <w:szCs w:val="22"/>
          </w:rPr>
          <w:t>Families and Children; Forced Adoption Practices and Forced Adoption Support Services</w:t>
        </w:r>
      </w:hyperlink>
    </w:p>
    <w:p w14:paraId="29082A79" w14:textId="77777777" w:rsidR="00697217" w:rsidRPr="001B47E5" w:rsidRDefault="00697217" w:rsidP="00622CFF">
      <w:pPr>
        <w:spacing w:before="240" w:after="240" w:line="240" w:lineRule="auto"/>
        <w:rPr>
          <w:szCs w:val="22"/>
        </w:rPr>
      </w:pPr>
    </w:p>
    <w:p w14:paraId="39522BD0" w14:textId="4A39AAA5" w:rsidR="00697217" w:rsidRPr="003E1933" w:rsidRDefault="00697217" w:rsidP="00507F9D">
      <w:pPr>
        <w:pStyle w:val="h2"/>
      </w:pPr>
      <w:bookmarkStart w:id="1028" w:name="_Toc159226898"/>
      <w:bookmarkStart w:id="1029" w:name="_Toc184402315"/>
      <w:bookmarkStart w:id="1030" w:name="_Toc204329622"/>
      <w:bookmarkStart w:id="1031" w:name="_Toc209189061"/>
      <w:bookmarkStart w:id="1032" w:name="_Toc224916714"/>
      <w:r w:rsidRPr="003E1933">
        <w:t xml:space="preserve">Lesbian, </w:t>
      </w:r>
      <w:r w:rsidR="00562D4E">
        <w:t>g</w:t>
      </w:r>
      <w:r w:rsidRPr="003E1933">
        <w:t xml:space="preserve">ay, </w:t>
      </w:r>
      <w:r w:rsidR="00562D4E">
        <w:t>b</w:t>
      </w:r>
      <w:r w:rsidRPr="003E1933">
        <w:t xml:space="preserve">isexual, </w:t>
      </w:r>
      <w:r w:rsidR="00562D4E">
        <w:t>t</w:t>
      </w:r>
      <w:r w:rsidRPr="003E1933">
        <w:t xml:space="preserve">rans, </w:t>
      </w:r>
      <w:r w:rsidR="00562D4E">
        <w:t>i</w:t>
      </w:r>
      <w:r w:rsidRPr="003E1933">
        <w:t xml:space="preserve">ntersex and other </w:t>
      </w:r>
      <w:r w:rsidR="00562D4E">
        <w:t>g</w:t>
      </w:r>
      <w:r w:rsidRPr="003E1933">
        <w:t>ender diverse people (LGBTI)</w:t>
      </w:r>
      <w:bookmarkEnd w:id="1028"/>
      <w:bookmarkEnd w:id="1029"/>
      <w:bookmarkEnd w:id="1030"/>
      <w:bookmarkEnd w:id="1031"/>
      <w:bookmarkEnd w:id="1032"/>
    </w:p>
    <w:p w14:paraId="2067ABD2" w14:textId="0068ECD6" w:rsidR="00697217" w:rsidRDefault="475DAC81" w:rsidP="00622CFF">
      <w:pPr>
        <w:spacing w:before="240" w:after="240" w:line="240" w:lineRule="auto"/>
        <w:rPr>
          <w:rFonts w:eastAsia="MS Mincho"/>
        </w:rPr>
      </w:pPr>
      <w:r w:rsidRPr="7DD55CF5">
        <w:rPr>
          <w:rFonts w:eastAsia="MS Mincho"/>
        </w:rPr>
        <w:t>In Australia, the acronym</w:t>
      </w:r>
      <w:r w:rsidR="40497F94" w:rsidRPr="7DD55CF5">
        <w:rPr>
          <w:rFonts w:eastAsia="Arial"/>
          <w:sz w:val="20"/>
          <w:szCs w:val="20"/>
        </w:rPr>
        <w:t xml:space="preserve"> </w:t>
      </w:r>
      <w:r w:rsidR="40497F94" w:rsidRPr="7DD55CF5">
        <w:rPr>
          <w:rFonts w:eastAsia="Arial"/>
          <w:color w:val="FF0000"/>
          <w:sz w:val="20"/>
          <w:szCs w:val="20"/>
        </w:rPr>
        <w:t>‘</w:t>
      </w:r>
      <w:r w:rsidR="40497F94" w:rsidRPr="002549F1">
        <w:rPr>
          <w:rFonts w:eastAsia="MS Mincho"/>
        </w:rPr>
        <w:t xml:space="preserve">LGBTIQA+’ is used widely, however, older people often prefer the use of ‘LGBTI’, as the word ‘queer’ can trigger past trauma as it has previously been used as an offensive derogatory term.  </w:t>
      </w:r>
      <w:r w:rsidR="00697217" w:rsidRPr="00A0253B">
        <w:rPr>
          <w:rFonts w:eastAsia="MS Mincho"/>
        </w:rPr>
        <w:t xml:space="preserve"> ‘LGBTI’ refers collectively to people who are lesbian, gay, bisexual, trans and gender diverse, and/or intersex. LGBTI is often viewed as and referred to as single category that is used to speak about people using broad generalisations. However, LGBTI communities are not homogenous. Within the LGBTI acronym are several distinct, but sometimes overlapping, demographics each with their own histories, experiences and health needs. </w:t>
      </w:r>
    </w:p>
    <w:p w14:paraId="44376849" w14:textId="1889804A" w:rsidR="00697217" w:rsidRDefault="005978BC" w:rsidP="00622CFF">
      <w:pPr>
        <w:spacing w:before="240" w:after="240" w:line="240" w:lineRule="auto"/>
        <w:rPr>
          <w:rFonts w:eastAsia="MS Mincho"/>
        </w:rPr>
      </w:pPr>
      <w:r>
        <w:rPr>
          <w:rFonts w:eastAsia="MS Mincho"/>
        </w:rPr>
        <w:t xml:space="preserve">Older </w:t>
      </w:r>
      <w:r w:rsidR="00697217" w:rsidRPr="00CC744C">
        <w:rPr>
          <w:rFonts w:eastAsia="MS Mincho"/>
        </w:rPr>
        <w:t xml:space="preserve">LGBTI people and elders are likely to have experienced violence, stigma and discrimination throughout their lives. As a result, they may be reluctant to disclose their identities or histories to aged care services and therefore remain isolated or invisible within both the sector and the broader community. Combined with general stigmatisation and invisibility of LGBTI needs at large, this results in a lack of awareness of the unique needs of </w:t>
      </w:r>
      <w:r w:rsidR="003F6181">
        <w:rPr>
          <w:rFonts w:eastAsia="MS Mincho"/>
        </w:rPr>
        <w:t xml:space="preserve">older </w:t>
      </w:r>
      <w:r w:rsidR="00697217" w:rsidRPr="00CC744C">
        <w:rPr>
          <w:rFonts w:eastAsia="MS Mincho"/>
        </w:rPr>
        <w:t xml:space="preserve">LGBTI people, including a lack of targeted services to support them. In addition, the fear of mistreatment or rejection from aged care providers can lead to </w:t>
      </w:r>
      <w:r w:rsidR="002C54AD">
        <w:rPr>
          <w:rFonts w:eastAsia="MS Mincho"/>
        </w:rPr>
        <w:t xml:space="preserve">older </w:t>
      </w:r>
      <w:r w:rsidR="00697217" w:rsidRPr="00CC744C">
        <w:rPr>
          <w:rFonts w:eastAsia="MS Mincho"/>
        </w:rPr>
        <w:t>LGBTI people delaying seeking care until their health deteriorates or a crisis occurs</w:t>
      </w:r>
      <w:r w:rsidR="00697217">
        <w:rPr>
          <w:rFonts w:eastAsia="MS Mincho"/>
        </w:rPr>
        <w:t>.</w:t>
      </w:r>
      <w:r w:rsidR="00697217" w:rsidRPr="00CC744C">
        <w:rPr>
          <w:rFonts w:eastAsia="MS Mincho"/>
        </w:rPr>
        <w:t xml:space="preserve"> </w:t>
      </w:r>
    </w:p>
    <w:p w14:paraId="1CA89FEC" w14:textId="69EF96FA" w:rsidR="00697217" w:rsidRPr="003E1933" w:rsidRDefault="00697217" w:rsidP="00622CFF">
      <w:pPr>
        <w:spacing w:before="240" w:after="240" w:line="240" w:lineRule="auto"/>
        <w:rPr>
          <w:rFonts w:eastAsia="MS Mincho"/>
        </w:rPr>
      </w:pPr>
      <w:r w:rsidRPr="003E1933">
        <w:rPr>
          <w:rFonts w:eastAsia="MS Mincho"/>
        </w:rPr>
        <w:t>Assessors should ensure they conduct a non-judgmental assessment and the choice to disclose sexual orientation, sex/gender identity or variations of sex characteristics is entirely the older person’s decision. Where an older person does disclose this information, the Assessor should emphasise that the</w:t>
      </w:r>
      <w:r w:rsidR="00A17182">
        <w:rPr>
          <w:rFonts w:eastAsia="MS Mincho"/>
        </w:rPr>
        <w:t>ir</w:t>
      </w:r>
      <w:r w:rsidRPr="003E1933">
        <w:rPr>
          <w:rFonts w:eastAsia="MS Mincho"/>
        </w:rPr>
        <w:t xml:space="preserve"> information is protected information under the </w:t>
      </w:r>
      <w:r w:rsidR="004C632D">
        <w:rPr>
          <w:rFonts w:eastAsia="MS Mincho"/>
        </w:rPr>
        <w:t>Aged Care</w:t>
      </w:r>
      <w:r w:rsidRPr="003E1933">
        <w:rPr>
          <w:rFonts w:eastAsia="MS Mincho"/>
        </w:rPr>
        <w:t xml:space="preserve"> Act</w:t>
      </w:r>
      <w:r w:rsidR="004C632D">
        <w:rPr>
          <w:rFonts w:eastAsia="MS Mincho"/>
        </w:rPr>
        <w:t xml:space="preserve"> 2024</w:t>
      </w:r>
      <w:r w:rsidRPr="003E1933">
        <w:rPr>
          <w:rFonts w:eastAsia="MS Mincho"/>
          <w:i/>
        </w:rPr>
        <w:t>.</w:t>
      </w:r>
      <w:r w:rsidRPr="003E1933">
        <w:rPr>
          <w:rFonts w:eastAsia="MS Mincho"/>
        </w:rPr>
        <w:t xml:space="preserve"> In the case of transgender and intersex </w:t>
      </w:r>
      <w:r w:rsidR="00516348">
        <w:rPr>
          <w:rFonts w:eastAsia="MS Mincho"/>
        </w:rPr>
        <w:t>older people</w:t>
      </w:r>
      <w:r w:rsidRPr="003E1933">
        <w:rPr>
          <w:rFonts w:eastAsia="MS Mincho"/>
        </w:rPr>
        <w:t>, where specific medical history may need to be communicated to service providers, it is important to discuss the way this information will be communicated or shared with providers.</w:t>
      </w:r>
    </w:p>
    <w:p w14:paraId="0C0BEDB0" w14:textId="531C51CA" w:rsidR="00697217" w:rsidRPr="003E1933" w:rsidRDefault="00697217" w:rsidP="00622CFF">
      <w:pPr>
        <w:spacing w:before="240" w:after="240" w:line="240" w:lineRule="auto"/>
        <w:rPr>
          <w:rFonts w:eastAsia="MS Mincho"/>
        </w:rPr>
      </w:pPr>
      <w:r w:rsidRPr="003E1933">
        <w:rPr>
          <w:rFonts w:eastAsia="MS Mincho"/>
        </w:rPr>
        <w:t xml:space="preserve">Assessors should also be aware of service providers who provide LGBTI-specific services and those that are LGBTI inclusive and be prepared to advocate for LGBTI </w:t>
      </w:r>
      <w:r w:rsidR="00516348">
        <w:rPr>
          <w:rFonts w:eastAsia="MS Mincho"/>
        </w:rPr>
        <w:t>older people</w:t>
      </w:r>
      <w:r w:rsidRPr="003E1933">
        <w:rPr>
          <w:rFonts w:eastAsia="MS Mincho"/>
        </w:rPr>
        <w:t xml:space="preserve"> with other service providers as necessary as part of their care coordination activities.</w:t>
      </w:r>
    </w:p>
    <w:p w14:paraId="40AA4152" w14:textId="6027CD97" w:rsidR="00697217" w:rsidRPr="003E1933" w:rsidRDefault="00697217" w:rsidP="00622CFF">
      <w:pPr>
        <w:spacing w:before="240" w:after="240" w:line="240" w:lineRule="auto"/>
        <w:rPr>
          <w:lang w:val="en-US"/>
        </w:rPr>
      </w:pPr>
      <w:r w:rsidRPr="003E1933">
        <w:rPr>
          <w:rFonts w:eastAsia="Times New Roman"/>
        </w:rPr>
        <w:t xml:space="preserve">In 2019, Actions Plans to Support LGBTI </w:t>
      </w:r>
      <w:r w:rsidR="0065030C">
        <w:rPr>
          <w:rFonts w:eastAsia="Times New Roman"/>
        </w:rPr>
        <w:t>E</w:t>
      </w:r>
      <w:r w:rsidR="0065030C" w:rsidRPr="003E1933">
        <w:rPr>
          <w:rFonts w:eastAsia="Times New Roman"/>
        </w:rPr>
        <w:t>lders</w:t>
      </w:r>
      <w:r w:rsidR="0065030C" w:rsidRPr="003E1933">
        <w:rPr>
          <w:lang w:val="en"/>
        </w:rPr>
        <w:t xml:space="preserve"> </w:t>
      </w:r>
      <w:r w:rsidRPr="003E1933">
        <w:rPr>
          <w:rFonts w:eastAsia="Times New Roman"/>
        </w:rPr>
        <w:t xml:space="preserve">were </w:t>
      </w:r>
      <w:r w:rsidRPr="003E1933">
        <w:t xml:space="preserve">developed under the Aged Care Diversity Framework </w:t>
      </w:r>
      <w:r w:rsidRPr="003E1933">
        <w:rPr>
          <w:rFonts w:eastAsia="Times New Roman"/>
        </w:rPr>
        <w:t xml:space="preserve">to address the </w:t>
      </w:r>
      <w:r w:rsidR="0065030C">
        <w:rPr>
          <w:rFonts w:eastAsia="Times New Roman"/>
        </w:rPr>
        <w:t xml:space="preserve">unique </w:t>
      </w:r>
      <w:r w:rsidRPr="003E1933">
        <w:rPr>
          <w:rFonts w:eastAsia="Times New Roman"/>
        </w:rPr>
        <w:t xml:space="preserve">needs and challenges faced by </w:t>
      </w:r>
      <w:r w:rsidR="0065030C">
        <w:rPr>
          <w:rFonts w:eastAsia="Times New Roman"/>
        </w:rPr>
        <w:t xml:space="preserve">older </w:t>
      </w:r>
      <w:r w:rsidRPr="003E1933">
        <w:rPr>
          <w:lang w:val="en"/>
        </w:rPr>
        <w:t xml:space="preserve">LGBTI people. The provider action plan sets out what aged care providers can do to deliver inclusive care that is appropriate and sensitive to the needs of </w:t>
      </w:r>
      <w:r w:rsidR="0065030C">
        <w:rPr>
          <w:lang w:val="en"/>
        </w:rPr>
        <w:t xml:space="preserve">older </w:t>
      </w:r>
      <w:r w:rsidRPr="003E1933">
        <w:rPr>
          <w:lang w:val="en"/>
        </w:rPr>
        <w:t xml:space="preserve">LGBTI </w:t>
      </w:r>
      <w:r w:rsidR="0065030C">
        <w:rPr>
          <w:lang w:val="en"/>
        </w:rPr>
        <w:t>people</w:t>
      </w:r>
      <w:r w:rsidRPr="003E1933">
        <w:rPr>
          <w:lang w:val="en"/>
        </w:rPr>
        <w:t xml:space="preserve">. </w:t>
      </w:r>
      <w:r w:rsidRPr="003E1933">
        <w:rPr>
          <w:lang w:val="en-US"/>
        </w:rPr>
        <w:t xml:space="preserve">The consumer guide helps older LGBTI </w:t>
      </w:r>
      <w:r w:rsidR="002C5A24" w:rsidRPr="003E1933">
        <w:rPr>
          <w:lang w:val="en-US"/>
        </w:rPr>
        <w:t>people</w:t>
      </w:r>
      <w:r w:rsidRPr="003E1933">
        <w:rPr>
          <w:lang w:val="en-US"/>
        </w:rPr>
        <w:t xml:space="preserve"> to express their needs when speaking with aged care providers. It can also help people working in aged care to better understand the needs of LGBTI </w:t>
      </w:r>
      <w:r w:rsidR="002C5A24" w:rsidRPr="003E1933">
        <w:rPr>
          <w:lang w:val="en-US"/>
        </w:rPr>
        <w:t>people</w:t>
      </w:r>
      <w:r w:rsidRPr="003E1933">
        <w:rPr>
          <w:lang w:val="en-US"/>
        </w:rPr>
        <w:t xml:space="preserve">. </w:t>
      </w:r>
    </w:p>
    <w:p w14:paraId="220F1599" w14:textId="0BAB7FE6" w:rsidR="00697217" w:rsidRPr="003E1933" w:rsidRDefault="00697217" w:rsidP="00622CFF">
      <w:pPr>
        <w:spacing w:before="240" w:after="240" w:line="240" w:lineRule="auto"/>
        <w:rPr>
          <w:b/>
          <w:szCs w:val="22"/>
        </w:rPr>
      </w:pPr>
      <w:r w:rsidRPr="0028657F">
        <w:rPr>
          <w:noProof/>
        </w:rPr>
        <w:drawing>
          <wp:anchor distT="0" distB="0" distL="114300" distR="114300" simplePos="0" relativeHeight="251658255" behindDoc="0" locked="0" layoutInCell="1" allowOverlap="1" wp14:anchorId="40DD71C8" wp14:editId="48704C31">
            <wp:simplePos x="0" y="0"/>
            <wp:positionH relativeFrom="margin">
              <wp:align>left</wp:align>
            </wp:positionH>
            <wp:positionV relativeFrom="paragraph">
              <wp:posOffset>48260</wp:posOffset>
            </wp:positionV>
            <wp:extent cx="363855" cy="361950"/>
            <wp:effectExtent l="0" t="0" r="0" b="0"/>
            <wp:wrapSquare wrapText="bothSides"/>
            <wp:docPr id="507987336" name="Picture 50798733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3855" cy="361950"/>
                    </a:xfrm>
                    <a:prstGeom prst="rect">
                      <a:avLst/>
                    </a:prstGeom>
                  </pic:spPr>
                </pic:pic>
              </a:graphicData>
            </a:graphic>
            <wp14:sizeRelH relativeFrom="page">
              <wp14:pctWidth>0</wp14:pctWidth>
            </wp14:sizeRelH>
            <wp14:sizeRelV relativeFrom="page">
              <wp14:pctHeight>0</wp14:pctHeight>
            </wp14:sizeRelV>
          </wp:anchor>
        </w:drawing>
      </w:r>
      <w:r w:rsidRPr="003E1933">
        <w:rPr>
          <w:b/>
          <w:szCs w:val="22"/>
        </w:rPr>
        <w:t>Department of Health</w:t>
      </w:r>
      <w:r w:rsidR="00892CAB">
        <w:rPr>
          <w:b/>
          <w:szCs w:val="22"/>
        </w:rPr>
        <w:t xml:space="preserve">, Disability and </w:t>
      </w:r>
      <w:r w:rsidR="00321152">
        <w:rPr>
          <w:b/>
          <w:szCs w:val="22"/>
        </w:rPr>
        <w:t>Ageing</w:t>
      </w:r>
      <w:r w:rsidR="00321152" w:rsidRPr="003E1933">
        <w:rPr>
          <w:b/>
          <w:szCs w:val="22"/>
        </w:rPr>
        <w:t xml:space="preserve"> website</w:t>
      </w:r>
      <w:r w:rsidRPr="003E1933">
        <w:rPr>
          <w:b/>
          <w:szCs w:val="22"/>
        </w:rPr>
        <w:t>:</w:t>
      </w:r>
    </w:p>
    <w:p w14:paraId="37BC523E" w14:textId="77777777" w:rsidR="00697217" w:rsidRPr="003E1933" w:rsidRDefault="00697217" w:rsidP="00622CFF">
      <w:pPr>
        <w:spacing w:before="240" w:after="240" w:line="240" w:lineRule="auto"/>
        <w:rPr>
          <w:szCs w:val="22"/>
        </w:rPr>
      </w:pPr>
      <w:hyperlink r:id="rId289">
        <w:r w:rsidRPr="003E1933">
          <w:rPr>
            <w:rStyle w:val="Hyperlink"/>
            <w:szCs w:val="22"/>
          </w:rPr>
          <w:t>Actions to Support LGBTI Elders: A Guide for Consumers</w:t>
        </w:r>
      </w:hyperlink>
      <w:r w:rsidRPr="003E1933">
        <w:rPr>
          <w:szCs w:val="22"/>
        </w:rPr>
        <w:t xml:space="preserve"> </w:t>
      </w:r>
    </w:p>
    <w:p w14:paraId="4EABEF30" w14:textId="77777777" w:rsidR="00697217" w:rsidRPr="003E1933" w:rsidRDefault="00697217" w:rsidP="00632F72">
      <w:pPr>
        <w:spacing w:before="240" w:after="240" w:line="240" w:lineRule="auto"/>
        <w:ind w:firstLine="720"/>
        <w:rPr>
          <w:szCs w:val="22"/>
        </w:rPr>
      </w:pPr>
      <w:hyperlink r:id="rId290">
        <w:r w:rsidRPr="003E1933">
          <w:rPr>
            <w:rStyle w:val="Hyperlink"/>
            <w:szCs w:val="22"/>
          </w:rPr>
          <w:t>Actions to Support LGBTI Elders: A Guide for Aged Care Providers</w:t>
        </w:r>
      </w:hyperlink>
    </w:p>
    <w:p w14:paraId="3503D609" w14:textId="77777777" w:rsidR="00697217" w:rsidRPr="003E1933" w:rsidRDefault="00697217" w:rsidP="00632F72">
      <w:pPr>
        <w:spacing w:before="240" w:after="240" w:line="240" w:lineRule="auto"/>
        <w:ind w:firstLine="720"/>
        <w:rPr>
          <w:szCs w:val="22"/>
        </w:rPr>
      </w:pPr>
      <w:hyperlink r:id="rId291">
        <w:r w:rsidRPr="003E1933">
          <w:rPr>
            <w:rStyle w:val="Hyperlink"/>
            <w:szCs w:val="22"/>
          </w:rPr>
          <w:t>Working with Diverse Groups in Aged Care</w:t>
        </w:r>
      </w:hyperlink>
      <w:r w:rsidRPr="003E1933">
        <w:rPr>
          <w:szCs w:val="22"/>
        </w:rPr>
        <w:t xml:space="preserve"> </w:t>
      </w:r>
    </w:p>
    <w:p w14:paraId="6F36E9B0" w14:textId="40A47ED3" w:rsidR="00697217" w:rsidRDefault="00697217" w:rsidP="00321152">
      <w:pPr>
        <w:spacing w:before="240" w:after="240" w:line="240" w:lineRule="auto"/>
        <w:ind w:left="720"/>
        <w:rPr>
          <w:szCs w:val="22"/>
        </w:rPr>
      </w:pPr>
      <w:r w:rsidRPr="003E1933">
        <w:rPr>
          <w:b/>
          <w:szCs w:val="22"/>
        </w:rPr>
        <w:t>Federal Register of Legislation website:</w:t>
      </w:r>
      <w:r w:rsidRPr="003E1933">
        <w:rPr>
          <w:szCs w:val="22"/>
        </w:rPr>
        <w:t xml:space="preserve"> </w:t>
      </w:r>
      <w:hyperlink r:id="rId292" w:history="1">
        <w:r w:rsidRPr="00965FA9">
          <w:rPr>
            <w:rStyle w:val="Hyperlink"/>
            <w:szCs w:val="22"/>
          </w:rPr>
          <w:t>Aged Care Act 2024 - Federal Register of Legislation</w:t>
        </w:r>
      </w:hyperlink>
      <w:r w:rsidRPr="00965FA9">
        <w:rPr>
          <w:szCs w:val="22"/>
        </w:rPr>
        <w:t xml:space="preserve"> </w:t>
      </w:r>
      <w:r w:rsidRPr="003E1933">
        <w:rPr>
          <w:szCs w:val="22"/>
        </w:rPr>
        <w:t xml:space="preserve"> (see </w:t>
      </w:r>
      <w:r>
        <w:rPr>
          <w:szCs w:val="22"/>
        </w:rPr>
        <w:t>Statement of Principles section 25</w:t>
      </w:r>
      <w:r w:rsidRPr="003E1933">
        <w:rPr>
          <w:szCs w:val="22"/>
        </w:rPr>
        <w:t>)</w:t>
      </w:r>
    </w:p>
    <w:p w14:paraId="02A294C3" w14:textId="7B03DE1C" w:rsidR="00697217" w:rsidRPr="003E1933" w:rsidRDefault="00697217" w:rsidP="00507F9D">
      <w:pPr>
        <w:pStyle w:val="h2"/>
      </w:pPr>
      <w:bookmarkStart w:id="1033" w:name="_Ref128157412"/>
      <w:bookmarkStart w:id="1034" w:name="_Toc159226899"/>
      <w:bookmarkStart w:id="1035" w:name="_Toc184402316"/>
      <w:bookmarkStart w:id="1036" w:name="_Toc204329623"/>
      <w:bookmarkStart w:id="1037" w:name="_Toc209189062"/>
      <w:bookmarkStart w:id="1038" w:name="_Toc224916715"/>
      <w:r w:rsidRPr="003E1933">
        <w:t xml:space="preserve">Other </w:t>
      </w:r>
      <w:r w:rsidR="00E2552F">
        <w:t>g</w:t>
      </w:r>
      <w:r w:rsidRPr="00AE3410">
        <w:t>roups</w:t>
      </w:r>
      <w:bookmarkEnd w:id="1033"/>
      <w:bookmarkEnd w:id="1034"/>
      <w:bookmarkEnd w:id="1035"/>
      <w:bookmarkEnd w:id="1036"/>
      <w:bookmarkEnd w:id="1037"/>
      <w:bookmarkEnd w:id="1038"/>
    </w:p>
    <w:p w14:paraId="3231ACF2" w14:textId="77777777" w:rsidR="00697217" w:rsidRPr="003E1933" w:rsidRDefault="00697217" w:rsidP="00C56CEC">
      <w:pPr>
        <w:pStyle w:val="H3"/>
      </w:pPr>
      <w:bookmarkStart w:id="1039" w:name="_Toc159226900"/>
      <w:bookmarkStart w:id="1040" w:name="_Toc184402317"/>
      <w:bookmarkStart w:id="1041" w:name="_Toc204329624"/>
      <w:r w:rsidRPr="003E1933">
        <w:t>Carers</w:t>
      </w:r>
      <w:bookmarkEnd w:id="1039"/>
      <w:bookmarkEnd w:id="1040"/>
      <w:bookmarkEnd w:id="1041"/>
    </w:p>
    <w:p w14:paraId="36C48AEC" w14:textId="77777777" w:rsidR="00697217" w:rsidRPr="003E1933" w:rsidRDefault="00697217" w:rsidP="00622CFF">
      <w:pPr>
        <w:spacing w:before="240" w:after="240" w:line="240" w:lineRule="auto"/>
        <w:rPr>
          <w:szCs w:val="32"/>
          <w:lang w:val="en"/>
        </w:rPr>
      </w:pPr>
      <w:r>
        <w:t>It is important for a</w:t>
      </w:r>
      <w:r w:rsidRPr="003E1933">
        <w:t xml:space="preserve">ssessors to recognise the </w:t>
      </w:r>
      <w:r w:rsidRPr="003E1933">
        <w:rPr>
          <w:szCs w:val="32"/>
          <w:lang w:val="en"/>
        </w:rPr>
        <w:t xml:space="preserve">valuable contribution and informal support that carers provide in the </w:t>
      </w:r>
      <w:r w:rsidRPr="003E1933">
        <w:rPr>
          <w:lang w:val="en-US"/>
        </w:rPr>
        <w:t>care</w:t>
      </w:r>
      <w:r w:rsidRPr="003E1933">
        <w:rPr>
          <w:szCs w:val="32"/>
          <w:lang w:val="en"/>
        </w:rPr>
        <w:t xml:space="preserve"> of older Australians. </w:t>
      </w:r>
    </w:p>
    <w:p w14:paraId="2D124365" w14:textId="2B5CE98B" w:rsidR="00697217" w:rsidRPr="003E1933" w:rsidRDefault="00697217" w:rsidP="00622CFF">
      <w:pPr>
        <w:spacing w:before="240" w:after="240" w:line="240" w:lineRule="auto"/>
        <w:rPr>
          <w:lang w:val="en-US"/>
        </w:rPr>
      </w:pPr>
      <w:r w:rsidRPr="003E1933">
        <w:rPr>
          <w:lang w:val="en-US"/>
        </w:rPr>
        <w:t>Where possible, with the older person’s consent, the assessor should involve the older person’s carer, family</w:t>
      </w:r>
      <w:r>
        <w:rPr>
          <w:lang w:val="en-US"/>
        </w:rPr>
        <w:t>, registered</w:t>
      </w:r>
      <w:r w:rsidRPr="003E1933">
        <w:rPr>
          <w:lang w:val="en-US"/>
        </w:rPr>
        <w:t xml:space="preserve"> supporters</w:t>
      </w:r>
      <w:r>
        <w:rPr>
          <w:lang w:val="en-US"/>
        </w:rPr>
        <w:t xml:space="preserve"> or other people who support the older person </w:t>
      </w:r>
      <w:r w:rsidRPr="003E1933">
        <w:rPr>
          <w:lang w:val="en-US"/>
        </w:rPr>
        <w:t xml:space="preserve">in the assessment and support planning process. In assessing the older person’s care needs where family and carers are involved, assessors may find there is a need to balance the older person’s concerns and preferences with those of their family and/or carers. Assuming the older person has capacity to make their own decisions, only the goals and preferences of the older person </w:t>
      </w:r>
      <w:r w:rsidR="00C21E0C">
        <w:rPr>
          <w:lang w:val="en-US"/>
        </w:rPr>
        <w:t xml:space="preserve">should be </w:t>
      </w:r>
      <w:r w:rsidRPr="003E1933">
        <w:rPr>
          <w:lang w:val="en-US"/>
        </w:rPr>
        <w:t xml:space="preserve">reflected </w:t>
      </w:r>
      <w:r w:rsidR="00C21E0C">
        <w:rPr>
          <w:lang w:val="en-US"/>
        </w:rPr>
        <w:t>i</w:t>
      </w:r>
      <w:r w:rsidRPr="003E1933">
        <w:rPr>
          <w:lang w:val="en-US"/>
        </w:rPr>
        <w:t>n the</w:t>
      </w:r>
      <w:r>
        <w:rPr>
          <w:lang w:val="en-US"/>
        </w:rPr>
        <w:t>ir</w:t>
      </w:r>
      <w:r w:rsidRPr="003E1933">
        <w:rPr>
          <w:lang w:val="en-US"/>
        </w:rPr>
        <w:t xml:space="preserve"> Support Plan. The assessor may need to meet with the older person separately to ascertain the older person’s preferences. </w:t>
      </w:r>
    </w:p>
    <w:p w14:paraId="30B0545B" w14:textId="77777777" w:rsidR="00697217" w:rsidRPr="003E1933" w:rsidRDefault="00697217" w:rsidP="00622CFF">
      <w:pPr>
        <w:spacing w:before="240" w:after="240" w:line="240" w:lineRule="auto"/>
        <w:rPr>
          <w:lang w:val="en-US"/>
        </w:rPr>
      </w:pPr>
      <w:r w:rsidRPr="003E1933">
        <w:rPr>
          <w:lang w:val="en-US"/>
        </w:rPr>
        <w:t xml:space="preserve">Assessors should (with the older person’s consent) gain an understanding of the carer’s support preferences for the older person and their capacity to continue in the caring role. Assessors need to consider the carer’s circumstances and assess if there are any factors that may affect the sustainability of the caring role. An older person may agree to service recommendations that also benefit the carer, for example a type of respite service where there is an identified area of concern regarding strain in the older person/carer relationship and a goal to relieve stress on the carer. </w:t>
      </w:r>
    </w:p>
    <w:p w14:paraId="77A0F8A7" w14:textId="1B5D3976" w:rsidR="00697217" w:rsidRDefault="00697217" w:rsidP="00622CFF">
      <w:pPr>
        <w:spacing w:before="240" w:after="240" w:line="240" w:lineRule="auto"/>
        <w:rPr>
          <w:lang w:val="en"/>
        </w:rPr>
      </w:pPr>
      <w:r w:rsidRPr="003E1933">
        <w:rPr>
          <w:lang w:val="en"/>
        </w:rPr>
        <w:t>Assessors should provide information to carers regarding specific support services that are available for carers to access in their own right and inform carers how to link with these support services</w:t>
      </w:r>
      <w:r w:rsidR="0091546B">
        <w:rPr>
          <w:lang w:val="en"/>
        </w:rPr>
        <w:t>.</w:t>
      </w:r>
      <w:r w:rsidRPr="003E1933" w:rsidDel="0091546B">
        <w:t xml:space="preserve"> </w:t>
      </w:r>
      <w:r w:rsidRPr="003E1933">
        <w:rPr>
          <w:lang w:val="en"/>
        </w:rPr>
        <w:t xml:space="preserve">Assessors can directly refer carers (with their consent) to Carer Gateway and the National Dementia Helpline through the Assessor Portal and Aged Care Assessor App. </w:t>
      </w:r>
    </w:p>
    <w:tbl>
      <w:tblPr>
        <w:tblW w:w="9498" w:type="dxa"/>
        <w:tblInd w:w="-142" w:type="dxa"/>
        <w:tblLook w:val="04A0" w:firstRow="1" w:lastRow="0" w:firstColumn="1" w:lastColumn="0" w:noHBand="0" w:noVBand="1"/>
      </w:tblPr>
      <w:tblGrid>
        <w:gridCol w:w="9498"/>
      </w:tblGrid>
      <w:tr w:rsidR="00697217" w14:paraId="0B26BDEC" w14:textId="77777777">
        <w:tc>
          <w:tcPr>
            <w:tcW w:w="9498" w:type="dxa"/>
          </w:tcPr>
          <w:p w14:paraId="75701773" w14:textId="2B011657" w:rsidR="00697217" w:rsidRPr="003E1933" w:rsidRDefault="00697217" w:rsidP="00622CFF">
            <w:pPr>
              <w:spacing w:before="240" w:after="240" w:line="240" w:lineRule="auto"/>
              <w:rPr>
                <w:b/>
                <w:szCs w:val="22"/>
              </w:rPr>
            </w:pPr>
            <w:r w:rsidRPr="0028657F">
              <w:rPr>
                <w:noProof/>
              </w:rPr>
              <w:drawing>
                <wp:anchor distT="0" distB="0" distL="114300" distR="114300" simplePos="0" relativeHeight="251658254" behindDoc="0" locked="0" layoutInCell="1" allowOverlap="1" wp14:anchorId="0AE62230" wp14:editId="40AD039C">
                  <wp:simplePos x="0" y="0"/>
                  <wp:positionH relativeFrom="column">
                    <wp:posOffset>-2540</wp:posOffset>
                  </wp:positionH>
                  <wp:positionV relativeFrom="paragraph">
                    <wp:posOffset>42545</wp:posOffset>
                  </wp:positionV>
                  <wp:extent cx="356235" cy="353695"/>
                  <wp:effectExtent l="0" t="0" r="5715" b="8255"/>
                  <wp:wrapSquare wrapText="bothSides"/>
                  <wp:docPr id="1779368835" name="Picture 177936883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6235" cy="353695"/>
                          </a:xfrm>
                          <a:prstGeom prst="rect">
                            <a:avLst/>
                          </a:prstGeom>
                        </pic:spPr>
                      </pic:pic>
                    </a:graphicData>
                  </a:graphic>
                  <wp14:sizeRelH relativeFrom="page">
                    <wp14:pctWidth>0</wp14:pctWidth>
                  </wp14:sizeRelH>
                  <wp14:sizeRelV relativeFrom="page">
                    <wp14:pctHeight>0</wp14:pctHeight>
                  </wp14:sizeRelV>
                </wp:anchor>
              </w:drawing>
            </w:r>
            <w:hyperlink r:id="rId293" w:history="1">
              <w:r w:rsidRPr="003E1933">
                <w:rPr>
                  <w:rStyle w:val="Hyperlink"/>
                  <w:b/>
                  <w:szCs w:val="22"/>
                </w:rPr>
                <w:t>Carer Gateway</w:t>
              </w:r>
            </w:hyperlink>
            <w:r w:rsidRPr="003E1933">
              <w:rPr>
                <w:b/>
                <w:szCs w:val="22"/>
              </w:rPr>
              <w:t xml:space="preserve"> website.</w:t>
            </w:r>
          </w:p>
          <w:p w14:paraId="68408F7C" w14:textId="6DCC2252" w:rsidR="00697217" w:rsidRDefault="00697217" w:rsidP="00632F72">
            <w:pPr>
              <w:spacing w:before="240" w:after="240" w:line="240" w:lineRule="auto"/>
              <w:ind w:left="720"/>
            </w:pPr>
            <w:r w:rsidRPr="003E1933">
              <w:rPr>
                <w:b/>
                <w:szCs w:val="22"/>
              </w:rPr>
              <w:t>Department of Health</w:t>
            </w:r>
            <w:r w:rsidR="00892CAB">
              <w:rPr>
                <w:b/>
                <w:szCs w:val="22"/>
              </w:rPr>
              <w:t xml:space="preserve">, Disability and Ageing </w:t>
            </w:r>
            <w:r w:rsidRPr="003E1933">
              <w:rPr>
                <w:b/>
                <w:szCs w:val="22"/>
              </w:rPr>
              <w:t>website</w:t>
            </w:r>
            <w:r w:rsidRPr="003E1933">
              <w:rPr>
                <w:szCs w:val="22"/>
              </w:rPr>
              <w:t xml:space="preserve">: </w:t>
            </w:r>
            <w:hyperlink r:id="rId294" w:history="1">
              <w:r w:rsidR="00892CAB">
                <w:rPr>
                  <w:rStyle w:val="Hyperlink"/>
                  <w:szCs w:val="22"/>
                </w:rPr>
                <w:t>Our work related to dementia | Australian Government Department of Health, Disability and Ageing</w:t>
              </w:r>
            </w:hyperlink>
          </w:p>
          <w:p w14:paraId="0FCD79DE" w14:textId="04EA1BAA" w:rsidR="00697217" w:rsidRDefault="00697217" w:rsidP="00632F72">
            <w:pPr>
              <w:spacing w:before="240" w:after="240" w:line="240" w:lineRule="auto"/>
              <w:ind w:left="720"/>
            </w:pPr>
            <w:hyperlink r:id="rId295">
              <w:r w:rsidRPr="003E1933">
                <w:rPr>
                  <w:rStyle w:val="Hyperlink"/>
                  <w:szCs w:val="22"/>
                </w:rPr>
                <w:t>My Aged Care – Assessor Portal User Guide 2 – Registering support people and adding relationships</w:t>
              </w:r>
            </w:hyperlink>
          </w:p>
          <w:p w14:paraId="58C8E9C0" w14:textId="77777777" w:rsidR="00697217" w:rsidRDefault="00697217" w:rsidP="00632F72">
            <w:pPr>
              <w:spacing w:before="240" w:after="240" w:line="240" w:lineRule="auto"/>
              <w:ind w:left="720"/>
              <w:rPr>
                <w:b/>
                <w:szCs w:val="22"/>
              </w:rPr>
            </w:pPr>
            <w:hyperlink r:id="rId296" w:history="1">
              <w:r w:rsidRPr="00416276">
                <w:rPr>
                  <w:rStyle w:val="Hyperlink"/>
                  <w:szCs w:val="22"/>
                </w:rPr>
                <w:t>D</w:t>
              </w:r>
              <w:r w:rsidRPr="00416276">
                <w:rPr>
                  <w:rStyle w:val="Hyperlink"/>
                </w:rPr>
                <w:t>ementia</w:t>
              </w:r>
              <w:r w:rsidRPr="00416276">
                <w:rPr>
                  <w:rStyle w:val="Hyperlink"/>
                  <w:szCs w:val="22"/>
                </w:rPr>
                <w:t xml:space="preserve"> Au</w:t>
              </w:r>
              <w:bookmarkStart w:id="1042" w:name="_Hlt219123991"/>
              <w:r w:rsidRPr="00416276">
                <w:rPr>
                  <w:rStyle w:val="Hyperlink"/>
                  <w:szCs w:val="22"/>
                </w:rPr>
                <w:t>s</w:t>
              </w:r>
              <w:bookmarkEnd w:id="1042"/>
              <w:r w:rsidRPr="00416276">
                <w:rPr>
                  <w:rStyle w:val="Hyperlink"/>
                  <w:szCs w:val="22"/>
                </w:rPr>
                <w:t>tralia</w:t>
              </w:r>
            </w:hyperlink>
            <w:r w:rsidRPr="003E1933">
              <w:rPr>
                <w:b/>
                <w:szCs w:val="22"/>
              </w:rPr>
              <w:t xml:space="preserve"> website.</w:t>
            </w:r>
          </w:p>
          <w:p w14:paraId="2EBC5C1E" w14:textId="5713CC4E" w:rsidR="00697217" w:rsidRDefault="00697217" w:rsidP="00632F72">
            <w:pPr>
              <w:spacing w:before="240" w:after="240" w:line="240" w:lineRule="auto"/>
              <w:ind w:left="720"/>
            </w:pPr>
            <w:hyperlink r:id="rId297" w:history="1">
              <w:r w:rsidRPr="003E1933">
                <w:rPr>
                  <w:rStyle w:val="Hyperlink"/>
                  <w:b/>
                  <w:szCs w:val="22"/>
                </w:rPr>
                <w:t>D</w:t>
              </w:r>
              <w:r w:rsidRPr="003E1933">
                <w:rPr>
                  <w:rStyle w:val="Hyperlink"/>
                  <w:b/>
                </w:rPr>
                <w:t>ementia</w:t>
              </w:r>
              <w:r w:rsidRPr="003E1933">
                <w:rPr>
                  <w:rStyle w:val="Hyperlink"/>
                  <w:b/>
                  <w:szCs w:val="22"/>
                </w:rPr>
                <w:t xml:space="preserve"> Support Australia</w:t>
              </w:r>
            </w:hyperlink>
            <w:r w:rsidRPr="003E1933">
              <w:rPr>
                <w:b/>
                <w:szCs w:val="22"/>
              </w:rPr>
              <w:t xml:space="preserve"> website.</w:t>
            </w:r>
          </w:p>
        </w:tc>
      </w:tr>
    </w:tbl>
    <w:p w14:paraId="7D7FEA37" w14:textId="4E80E152" w:rsidR="00697217" w:rsidRPr="003E1933" w:rsidRDefault="00697217" w:rsidP="00C56CEC">
      <w:pPr>
        <w:pStyle w:val="H3"/>
      </w:pPr>
      <w:bookmarkStart w:id="1043" w:name="_Toc159226901"/>
      <w:bookmarkStart w:id="1044" w:name="_Toc184402318"/>
      <w:bookmarkStart w:id="1045" w:name="_Toc204329625"/>
      <w:r w:rsidRPr="003E1933">
        <w:t xml:space="preserve">People </w:t>
      </w:r>
      <w:r w:rsidR="00A54DE7">
        <w:t xml:space="preserve">living </w:t>
      </w:r>
      <w:r w:rsidRPr="003E1933">
        <w:t xml:space="preserve">with </w:t>
      </w:r>
      <w:r w:rsidR="00A54DE7">
        <w:t>mental health conditions</w:t>
      </w:r>
      <w:r w:rsidRPr="003E1933">
        <w:t xml:space="preserve"> </w:t>
      </w:r>
      <w:bookmarkEnd w:id="1043"/>
      <w:bookmarkEnd w:id="1044"/>
      <w:bookmarkEnd w:id="1045"/>
    </w:p>
    <w:p w14:paraId="2F4938D7" w14:textId="4B4D9FDF" w:rsidR="00697217" w:rsidRPr="003E1933" w:rsidRDefault="00697217" w:rsidP="00622CFF">
      <w:pPr>
        <w:spacing w:before="240" w:after="240" w:line="240" w:lineRule="auto"/>
      </w:pPr>
      <w:r>
        <w:t>When assessing the aged care needs of o</w:t>
      </w:r>
      <w:r w:rsidRPr="003E1933">
        <w:t xml:space="preserve">lder </w:t>
      </w:r>
      <w:r>
        <w:t>people</w:t>
      </w:r>
      <w:r w:rsidRPr="003E1933">
        <w:t xml:space="preserve"> </w:t>
      </w:r>
      <w:r w:rsidR="00A54DE7">
        <w:t>living with a mental health condition</w:t>
      </w:r>
      <w:r w:rsidRPr="003E1933">
        <w:t xml:space="preserve"> </w:t>
      </w:r>
      <w:r>
        <w:t>a</w:t>
      </w:r>
      <w:r w:rsidRPr="003E1933">
        <w:t xml:space="preserve">ssessors are encouraged to liaise with mental health services to assist their understanding of the </w:t>
      </w:r>
      <w:r>
        <w:t xml:space="preserve">older person’s </w:t>
      </w:r>
      <w:r w:rsidRPr="003E1933">
        <w:t xml:space="preserve">needs. Assessors can also assist by facilitating links between </w:t>
      </w:r>
      <w:r>
        <w:t xml:space="preserve">the </w:t>
      </w:r>
      <w:r w:rsidRPr="003E1933">
        <w:t>older person, providers, and appropriate mental health services.</w:t>
      </w:r>
    </w:p>
    <w:p w14:paraId="2716697F" w14:textId="7BFB000E" w:rsidR="00697217" w:rsidRPr="003E1933" w:rsidRDefault="00697217" w:rsidP="00622CFF">
      <w:pPr>
        <w:spacing w:before="240" w:after="240" w:line="240" w:lineRule="auto"/>
      </w:pPr>
      <w:r w:rsidRPr="003E1933">
        <w:t>Aged care services usually do not have the capacity to adequately meet the needs of people with a serious</w:t>
      </w:r>
      <w:r w:rsidR="00CC7C8A">
        <w:t>,</w:t>
      </w:r>
      <w:r w:rsidRPr="003E1933">
        <w:t xml:space="preserve"> uncontrolled </w:t>
      </w:r>
      <w:r>
        <w:t xml:space="preserve">mental </w:t>
      </w:r>
      <w:r w:rsidR="008E33F3">
        <w:t xml:space="preserve">health condition </w:t>
      </w:r>
      <w:r w:rsidRPr="003E1933">
        <w:t xml:space="preserve">without the support of, and treatment by, mental health services. </w:t>
      </w:r>
    </w:p>
    <w:p w14:paraId="21D9FB5D" w14:textId="77777777" w:rsidR="00697217" w:rsidRPr="003E1933" w:rsidRDefault="00697217" w:rsidP="00622CFF">
      <w:pPr>
        <w:spacing w:before="240" w:after="240" w:line="240" w:lineRule="auto"/>
      </w:pPr>
      <w:r w:rsidRPr="003E1933">
        <w:t>Assessment and approval for entry to aged care is only appropriate if the intensity, type, and model of care is the most appropriate to meet the person’s care needs. This includes the following considerations:</w:t>
      </w:r>
    </w:p>
    <w:p w14:paraId="428CEA8A" w14:textId="77777777" w:rsidR="00697217" w:rsidRPr="003E1933" w:rsidRDefault="00697217" w:rsidP="00DF3F6B">
      <w:pPr>
        <w:keepLines/>
        <w:numPr>
          <w:ilvl w:val="0"/>
          <w:numId w:val="362"/>
        </w:numPr>
        <w:tabs>
          <w:tab w:val="num" w:pos="567"/>
        </w:tabs>
        <w:spacing w:before="240" w:after="240" w:line="240" w:lineRule="auto"/>
        <w:ind w:left="568" w:hanging="284"/>
        <w:rPr>
          <w:rFonts w:eastAsia="MS PGothic"/>
          <w:szCs w:val="22"/>
        </w:rPr>
      </w:pPr>
      <w:r w:rsidRPr="003E1933">
        <w:rPr>
          <w:rFonts w:eastAsia="MS PGothic"/>
          <w:szCs w:val="22"/>
        </w:rPr>
        <w:t>The person’s mental health is stable. If they have recently received treatment, their mental health should be stable prior to being assessed although it is understood they may still have significant symptoms.</w:t>
      </w:r>
    </w:p>
    <w:p w14:paraId="330E7C1C" w14:textId="77777777" w:rsidR="00697217" w:rsidRPr="003E1933" w:rsidRDefault="00697217" w:rsidP="00DF3F6B">
      <w:pPr>
        <w:keepLines/>
        <w:numPr>
          <w:ilvl w:val="0"/>
          <w:numId w:val="362"/>
        </w:numPr>
        <w:tabs>
          <w:tab w:val="num" w:pos="567"/>
        </w:tabs>
        <w:spacing w:before="240" w:after="240" w:line="240" w:lineRule="auto"/>
        <w:ind w:left="568" w:hanging="284"/>
        <w:rPr>
          <w:rFonts w:eastAsia="MS PGothic"/>
          <w:szCs w:val="22"/>
        </w:rPr>
      </w:pPr>
      <w:r w:rsidRPr="003E1933">
        <w:rPr>
          <w:rFonts w:eastAsia="MS PGothic"/>
          <w:szCs w:val="22"/>
        </w:rPr>
        <w:t>Community mental health services will continue to provide collaborative care for those elderly people who have significant or unstable psychiatric symptoms.</w:t>
      </w:r>
    </w:p>
    <w:p w14:paraId="4DBC1F0E" w14:textId="77777777" w:rsidR="00697217" w:rsidRPr="003E1933" w:rsidRDefault="00697217" w:rsidP="00622CFF">
      <w:pPr>
        <w:spacing w:before="240" w:after="240" w:line="240" w:lineRule="auto"/>
        <w:rPr>
          <w:rFonts w:eastAsia="MS PGothic"/>
        </w:rPr>
      </w:pPr>
      <w:r w:rsidRPr="003E1933">
        <w:rPr>
          <w:rFonts w:eastAsia="MS PGothic"/>
        </w:rPr>
        <w:t>The assessor must, prior to commencing an assessment, obtain informed consent for the assessment either from the person (if they have the capacity to do so), or an appointed decision maker consistent with state or territory arrangements who is able to make decisions regarding health, accommodation, and daily living care.</w:t>
      </w:r>
    </w:p>
    <w:p w14:paraId="4500309B" w14:textId="77777777" w:rsidR="00697217" w:rsidRPr="003E1933" w:rsidRDefault="00697217" w:rsidP="00622CFF">
      <w:pPr>
        <w:spacing w:before="240" w:after="240" w:line="240" w:lineRule="auto"/>
        <w:rPr>
          <w:rFonts w:eastAsia="Calibri" w:cs="Calibri"/>
          <w:b/>
          <w:color w:val="899F32"/>
        </w:rPr>
      </w:pPr>
      <w:r w:rsidRPr="003E1933" w:rsidDel="00E540B2">
        <w:rPr>
          <w:rFonts w:eastAsia="MS PGothic"/>
        </w:rPr>
        <w:t xml:space="preserve">Involuntary mental health care is governed by separate mental health legislation in each state and territory. People who are placed under some form of an involuntary order (e.g., to manage their </w:t>
      </w:r>
      <w:r w:rsidRPr="003E1933">
        <w:rPr>
          <w:rFonts w:eastAsia="MS PGothic"/>
        </w:rPr>
        <w:t xml:space="preserve">medicines </w:t>
      </w:r>
      <w:r w:rsidRPr="003E1933" w:rsidDel="00E540B2">
        <w:rPr>
          <w:rFonts w:eastAsia="MS PGothic"/>
        </w:rPr>
        <w:t>when living in the community) may be eligible for aged care services. Assessors should consider each referral on a case-by-case basis.</w:t>
      </w:r>
    </w:p>
    <w:p w14:paraId="33557FF4" w14:textId="1CF9A4A1" w:rsidR="00697217" w:rsidRPr="001308AC" w:rsidRDefault="00697217" w:rsidP="00622CFF">
      <w:pPr>
        <w:keepLines/>
        <w:spacing w:before="240" w:after="240" w:line="240" w:lineRule="auto"/>
        <w:rPr>
          <w:rFonts w:eastAsia="MS PGothic"/>
        </w:rPr>
      </w:pPr>
      <w:r w:rsidRPr="003E1933">
        <w:rPr>
          <w:rFonts w:eastAsia="MS PGothic"/>
        </w:rPr>
        <w:t xml:space="preserve">In some jurisdictions, under certain circumstances, mental health legislation empowers the treating psychiatrist to make accommodation decisions in the best interests of a person receiving treatment under an involuntary order. This power is only exercised when a particular accommodation setting is required to facilitate the </w:t>
      </w:r>
      <w:r w:rsidRPr="001308AC">
        <w:rPr>
          <w:rFonts w:eastAsia="MS PGothic"/>
        </w:rPr>
        <w:t xml:space="preserve">treatment of a person’s mental </w:t>
      </w:r>
      <w:r w:rsidR="00966A5B" w:rsidRPr="001308AC">
        <w:rPr>
          <w:rFonts w:eastAsia="MS PGothic"/>
        </w:rPr>
        <w:t>health condition</w:t>
      </w:r>
      <w:r w:rsidRPr="001308AC">
        <w:rPr>
          <w:rFonts w:eastAsia="MS PGothic"/>
        </w:rPr>
        <w:t xml:space="preserve">. It does not replace the need for guardianship when </w:t>
      </w:r>
      <w:r w:rsidR="00966A5B" w:rsidRPr="001308AC">
        <w:rPr>
          <w:rFonts w:eastAsia="MS PGothic"/>
        </w:rPr>
        <w:t xml:space="preserve">a </w:t>
      </w:r>
      <w:r w:rsidRPr="001308AC">
        <w:rPr>
          <w:rFonts w:eastAsia="MS PGothic"/>
        </w:rPr>
        <w:t xml:space="preserve">mental </w:t>
      </w:r>
      <w:r w:rsidR="00966A5B" w:rsidRPr="001308AC">
        <w:rPr>
          <w:rFonts w:eastAsia="MS PGothic"/>
        </w:rPr>
        <w:t xml:space="preserve">health condition </w:t>
      </w:r>
      <w:r w:rsidRPr="001308AC">
        <w:rPr>
          <w:rFonts w:eastAsia="MS PGothic"/>
        </w:rPr>
        <w:t>is incidental to that person’s need for placement in residential care.</w:t>
      </w:r>
    </w:p>
    <w:p w14:paraId="721A7EB7" w14:textId="77777777" w:rsidR="00697217" w:rsidRPr="001308AC" w:rsidRDefault="00697217" w:rsidP="00622CFF">
      <w:pPr>
        <w:spacing w:before="240" w:after="240" w:line="240" w:lineRule="auto"/>
        <w:rPr>
          <w:rFonts w:eastAsia="MS PGothic"/>
        </w:rPr>
      </w:pPr>
      <w:r w:rsidRPr="001308AC">
        <w:rPr>
          <w:rFonts w:eastAsia="MS PGothic"/>
        </w:rPr>
        <w:t>A comprehensive assessment is also required to access residential aged care facilities in jurisdictions where residential aged care facilities are part of the aged mental health service system.</w:t>
      </w:r>
    </w:p>
    <w:p w14:paraId="7D7C32D4" w14:textId="6BAE9D92" w:rsidR="00697217" w:rsidRPr="00527797" w:rsidRDefault="00697217" w:rsidP="00622CFF">
      <w:pPr>
        <w:spacing w:before="240" w:after="240" w:line="240" w:lineRule="auto"/>
        <w:rPr>
          <w:rFonts w:eastAsia="MS Mincho"/>
        </w:rPr>
      </w:pPr>
      <w:r w:rsidRPr="001308AC">
        <w:rPr>
          <w:rFonts w:eastAsia="MS PGothic"/>
        </w:rPr>
        <w:t xml:space="preserve">All assessment organisations should develop assessment protocols that reflect relevant state or territory legislation and regulations, to ensure that older people </w:t>
      </w:r>
      <w:r w:rsidR="00966A5B" w:rsidRPr="001308AC">
        <w:rPr>
          <w:rFonts w:eastAsia="MS PGothic"/>
        </w:rPr>
        <w:t xml:space="preserve">living </w:t>
      </w:r>
      <w:r w:rsidRPr="001308AC">
        <w:rPr>
          <w:rFonts w:eastAsia="MS PGothic"/>
        </w:rPr>
        <w:t xml:space="preserve">with a mental </w:t>
      </w:r>
      <w:r w:rsidR="00966A5B" w:rsidRPr="001308AC">
        <w:rPr>
          <w:rFonts w:eastAsia="MS PGothic"/>
        </w:rPr>
        <w:t>health</w:t>
      </w:r>
      <w:r w:rsidRPr="001308AC">
        <w:rPr>
          <w:rFonts w:eastAsia="MS PGothic"/>
        </w:rPr>
        <w:t xml:space="preserve"> </w:t>
      </w:r>
      <w:r w:rsidR="00966A5B" w:rsidRPr="001308AC">
        <w:rPr>
          <w:rFonts w:eastAsia="MS PGothic"/>
        </w:rPr>
        <w:t>condition</w:t>
      </w:r>
      <w:r w:rsidRPr="001308AC">
        <w:rPr>
          <w:rFonts w:eastAsia="MS PGothic"/>
        </w:rPr>
        <w:t xml:space="preserve"> are directed to the responsible agency to assess and recommend services most appropriate to meet their care and support needs.</w:t>
      </w:r>
      <w:r w:rsidRPr="003E1933">
        <w:rPr>
          <w:rFonts w:eastAsia="MS Mincho"/>
        </w:rPr>
        <w:t xml:space="preserve"> </w:t>
      </w:r>
    </w:p>
    <w:p w14:paraId="20B6F511" w14:textId="7BDBE2CD" w:rsidR="00697217" w:rsidRPr="00527797" w:rsidRDefault="00697217" w:rsidP="00C56CEC">
      <w:pPr>
        <w:pStyle w:val="H3"/>
        <w:rPr>
          <w:lang w:val="en-AU"/>
        </w:rPr>
      </w:pPr>
      <w:r w:rsidRPr="00527797">
        <w:t xml:space="preserve">People with </w:t>
      </w:r>
      <w:r w:rsidR="0078778F">
        <w:t>p</w:t>
      </w:r>
      <w:r w:rsidRPr="00527797">
        <w:t xml:space="preserve">alliative </w:t>
      </w:r>
      <w:r w:rsidR="0078778F">
        <w:t>c</w:t>
      </w:r>
      <w:r w:rsidRPr="00527797">
        <w:t xml:space="preserve">are </w:t>
      </w:r>
      <w:r w:rsidR="0078778F">
        <w:t>n</w:t>
      </w:r>
      <w:r w:rsidRPr="00527797">
        <w:t>eeds</w:t>
      </w:r>
      <w:r w:rsidRPr="00527797">
        <w:rPr>
          <w:lang w:val="en-AU"/>
        </w:rPr>
        <w:t> </w:t>
      </w:r>
    </w:p>
    <w:p w14:paraId="25E43F01" w14:textId="39E9DD83" w:rsidR="00697217" w:rsidRPr="00527797" w:rsidRDefault="00697217" w:rsidP="00622CFF">
      <w:pPr>
        <w:spacing w:before="240" w:after="240" w:line="240" w:lineRule="auto"/>
        <w:rPr>
          <w:lang w:val="en-AU"/>
        </w:rPr>
      </w:pPr>
      <w:r w:rsidRPr="00527797">
        <w:t xml:space="preserve">Under the Statement of Rights in section 23 </w:t>
      </w:r>
      <w:r w:rsidR="00455425">
        <w:t xml:space="preserve">of </w:t>
      </w:r>
      <w:r w:rsidRPr="00527797">
        <w:t xml:space="preserve">the </w:t>
      </w:r>
      <w:r w:rsidR="007E744E">
        <w:t xml:space="preserve">Aged Care Act 2024 (the </w:t>
      </w:r>
      <w:r w:rsidRPr="00527797">
        <w:t>Act</w:t>
      </w:r>
      <w:r w:rsidR="00455425">
        <w:t>)</w:t>
      </w:r>
      <w:r w:rsidRPr="00527797">
        <w:t xml:space="preserve">, an individual has a right to equitable access to palliative care and end-of-life care when required. The </w:t>
      </w:r>
      <w:r w:rsidR="005B5743">
        <w:t>s</w:t>
      </w:r>
      <w:r w:rsidRPr="00527797">
        <w:t xml:space="preserve">trengthened Aged Care Quality Standards also include outcome 5.7 Palliative </w:t>
      </w:r>
      <w:r w:rsidR="00B96DEB">
        <w:t>C</w:t>
      </w:r>
      <w:r w:rsidRPr="00527797">
        <w:t>are and End-of-</w:t>
      </w:r>
      <w:r w:rsidR="00B96DEB">
        <w:t>L</w:t>
      </w:r>
      <w:r w:rsidRPr="00527797">
        <w:t xml:space="preserve">ife </w:t>
      </w:r>
      <w:r w:rsidR="00B96DEB">
        <w:t>C</w:t>
      </w:r>
      <w:r w:rsidRPr="00527797">
        <w:t>are</w:t>
      </w:r>
      <w:r w:rsidR="00B96DEB">
        <w:t>,</w:t>
      </w:r>
      <w:r w:rsidRPr="00527797">
        <w:t xml:space="preserve"> that provides the intent for providers to follow, including recognising and addressing the needs, goals and preferences of individuals for palliative care and end-of-life care </w:t>
      </w:r>
      <w:r w:rsidRPr="00527797">
        <w:rPr>
          <w:lang w:val="en-AU"/>
        </w:rPr>
        <w:t> </w:t>
      </w:r>
    </w:p>
    <w:p w14:paraId="4051DB2F" w14:textId="77777777" w:rsidR="00697217" w:rsidRPr="00527797" w:rsidRDefault="00697217" w:rsidP="00622CFF">
      <w:pPr>
        <w:spacing w:before="240" w:after="240" w:line="240" w:lineRule="auto"/>
        <w:rPr>
          <w:lang w:val="en-AU"/>
        </w:rPr>
      </w:pPr>
      <w:r w:rsidRPr="00527797">
        <w:t>Palliative care is person and family-centred treatment, care and support for people living with a life-limiting illness. Palliative care aims to improve quality of life and support people to live well for as long as possible. </w:t>
      </w:r>
      <w:r w:rsidRPr="00527797">
        <w:rPr>
          <w:lang w:val="en-AU"/>
        </w:rPr>
        <w:t> </w:t>
      </w:r>
    </w:p>
    <w:p w14:paraId="1F528167" w14:textId="77777777" w:rsidR="00697217" w:rsidRPr="00527797" w:rsidRDefault="00697217" w:rsidP="00622CFF">
      <w:pPr>
        <w:spacing w:before="240" w:after="240" w:line="240" w:lineRule="auto"/>
        <w:rPr>
          <w:lang w:val="en-AU"/>
        </w:rPr>
      </w:pPr>
      <w:r w:rsidRPr="00527797">
        <w:t>The Aged Care Quality and Safety Commission stipulate that care recipients are entitled to receive personal and/or clinical care that is appropriate and recognises their needs, goals, and preferences. This is particularly important for care recipients nearing the end of their lives whose preference may be to remain in their home for as long as possible.</w:t>
      </w:r>
      <w:r w:rsidRPr="00527797">
        <w:rPr>
          <w:lang w:val="en-AU"/>
        </w:rPr>
        <w:t> </w:t>
      </w:r>
    </w:p>
    <w:p w14:paraId="3B3B1267" w14:textId="77777777" w:rsidR="00697217" w:rsidRPr="00527797" w:rsidRDefault="00697217" w:rsidP="00622CFF">
      <w:pPr>
        <w:spacing w:before="240" w:after="240" w:line="240" w:lineRule="auto"/>
        <w:rPr>
          <w:lang w:val="en-AU"/>
        </w:rPr>
      </w:pPr>
      <w:r w:rsidRPr="00527797">
        <w:t xml:space="preserve">Older people with a life-limiting condition can be supported by multiple care systems including, aged care services, mainstream health care services (including specialist care) and state and territory specialist palliative care services. </w:t>
      </w:r>
      <w:r w:rsidRPr="00527797">
        <w:rPr>
          <w:lang w:val="en-AU"/>
        </w:rPr>
        <w:t> </w:t>
      </w:r>
    </w:p>
    <w:p w14:paraId="643DC5EB" w14:textId="303DE0D2" w:rsidR="00697217" w:rsidRPr="00527797" w:rsidRDefault="00697217" w:rsidP="00622CFF">
      <w:pPr>
        <w:spacing w:before="240" w:after="240" w:line="240" w:lineRule="auto"/>
        <w:rPr>
          <w:lang w:val="en-AU"/>
        </w:rPr>
      </w:pPr>
      <w:r w:rsidRPr="00527797">
        <w:t>Where the aged care system is identified as part of the care requirements for a person over the age of 65 years (or over 50 years for Aboriginal and Torres Strait Islander people</w:t>
      </w:r>
      <w:r w:rsidR="00BF3ECC">
        <w:t xml:space="preserve"> and people who are homeless or at risk of homelessness</w:t>
      </w:r>
      <w:r w:rsidRPr="00527797">
        <w:t>) with a life-limiting illness, it is important the aged care assessment is holistic and considers all of the person’s needs. An important part of the aged care assessment will be the identification of palliative care and end of life care needs. Timely provision of appropriate care can support people to be cared for in their home for as long as possible if this is their preference. This is therefore important to consider as part of the assessment and when recommending care options</w:t>
      </w:r>
      <w:r w:rsidR="00E231B2">
        <w:t xml:space="preserve"> and services</w:t>
      </w:r>
      <w:r w:rsidRPr="00527797">
        <w:t>.</w:t>
      </w:r>
      <w:r w:rsidRPr="00527797">
        <w:rPr>
          <w:lang w:val="en-AU"/>
        </w:rPr>
        <w:t> </w:t>
      </w:r>
    </w:p>
    <w:p w14:paraId="30DEB3AB" w14:textId="31DA3704" w:rsidR="00697217" w:rsidRPr="00527797" w:rsidRDefault="00697217" w:rsidP="00622CFF">
      <w:pPr>
        <w:spacing w:before="240" w:after="240" w:line="240" w:lineRule="auto"/>
        <w:rPr>
          <w:lang w:val="en-AU"/>
        </w:rPr>
      </w:pPr>
      <w:r w:rsidRPr="00527797">
        <w:t>Assessors should pay particular attention and use their professional judgement to note if an older person has a life limiting illness, they would likely benefit from receiving a palliative approach to care. </w:t>
      </w:r>
      <w:r w:rsidRPr="00527797">
        <w:rPr>
          <w:lang w:val="en-AU"/>
        </w:rPr>
        <w:t> </w:t>
      </w:r>
    </w:p>
    <w:p w14:paraId="6A9F8527" w14:textId="54C8539A" w:rsidR="00697217" w:rsidRPr="00527797" w:rsidRDefault="00697217" w:rsidP="00CC6081">
      <w:pPr>
        <w:pStyle w:val="H4"/>
      </w:pPr>
      <w:r w:rsidRPr="00527797">
        <w:t xml:space="preserve">Supporting </w:t>
      </w:r>
      <w:r w:rsidR="0082736E">
        <w:t>i</w:t>
      </w:r>
      <w:r w:rsidRPr="00527797">
        <w:t>nformation </w:t>
      </w:r>
    </w:p>
    <w:p w14:paraId="04C427CD" w14:textId="77777777" w:rsidR="00697217" w:rsidRPr="00527797" w:rsidRDefault="00697217" w:rsidP="00622CFF">
      <w:pPr>
        <w:spacing w:before="240" w:after="240" w:line="240" w:lineRule="auto"/>
        <w:rPr>
          <w:lang w:val="en-AU"/>
        </w:rPr>
      </w:pPr>
      <w:r w:rsidRPr="00527797">
        <w:t>Palliative care seeks to prevent and relieve suffering through early identification and correct assessment and treatment of pain and other symptoms, associated with a life-limiting illness, whether physical, psychosocial, or spiritual. The types of supports that may be needed by an individual, their families and carers will vary and may include a range of clinical and non-clinical supports. </w:t>
      </w:r>
      <w:r w:rsidRPr="00527797">
        <w:rPr>
          <w:lang w:val="en-AU"/>
        </w:rPr>
        <w:t> </w:t>
      </w:r>
    </w:p>
    <w:p w14:paraId="743795E6" w14:textId="77777777" w:rsidR="00697217" w:rsidRPr="00527797" w:rsidRDefault="00697217" w:rsidP="00622CFF">
      <w:pPr>
        <w:spacing w:before="240" w:after="240" w:line="240" w:lineRule="auto"/>
        <w:rPr>
          <w:lang w:val="en-AU"/>
        </w:rPr>
      </w:pPr>
      <w:r w:rsidRPr="00527797">
        <w:t>Palliative care can occur in almost all settings where health and aged care is provided. It may be provided by a variety of professionals, including specialists, general practitioners, nurses, allied health workers, aged care workers, counsellors, and pastoral carers. The assistance of specialist palliative medicine physicians and nurses may be required when a person’s symptoms are complex or difficult to manage. </w:t>
      </w:r>
      <w:r w:rsidRPr="00527797">
        <w:rPr>
          <w:lang w:val="en-AU"/>
        </w:rPr>
        <w:t> </w:t>
      </w:r>
    </w:p>
    <w:p w14:paraId="137E7BC3" w14:textId="64050AC9" w:rsidR="00697217" w:rsidRPr="00527797" w:rsidRDefault="00697217" w:rsidP="00622CFF">
      <w:pPr>
        <w:spacing w:before="240" w:after="240" w:line="240" w:lineRule="auto"/>
        <w:rPr>
          <w:lang w:val="en-AU"/>
        </w:rPr>
      </w:pPr>
      <w:r w:rsidRPr="00527797">
        <w:t xml:space="preserve">Palliative care is different to ‘end-of-life care’. While palliative care may be provided from the point of diagnosis of a life-limiting illness, end-of-life care is care for a person who is in the last months or weeks of life, including for those whose death is imminent (within weeks or days). The needs of patients are higher at this time and timely access to services is vital. Timely access to aged care services may depend on the services being sought and whether a person is already engaged with an </w:t>
      </w:r>
      <w:r w:rsidR="00F84A3B">
        <w:t>a</w:t>
      </w:r>
      <w:r w:rsidRPr="00527797">
        <w:t xml:space="preserve">ged </w:t>
      </w:r>
      <w:r w:rsidR="00F84A3B">
        <w:t>c</w:t>
      </w:r>
      <w:r w:rsidRPr="00527797">
        <w:t xml:space="preserve">are </w:t>
      </w:r>
      <w:r w:rsidR="00F84A3B">
        <w:t>p</w:t>
      </w:r>
      <w:r w:rsidRPr="00527797">
        <w:t xml:space="preserve">rogram. </w:t>
      </w:r>
      <w:r w:rsidRPr="00527797">
        <w:rPr>
          <w:lang w:val="en-AU"/>
        </w:rPr>
        <w:t> </w:t>
      </w:r>
    </w:p>
    <w:p w14:paraId="765EAE32" w14:textId="7216311B" w:rsidR="00697217" w:rsidRPr="00527797" w:rsidRDefault="00697217" w:rsidP="00622CFF">
      <w:pPr>
        <w:spacing w:before="240" w:after="240" w:line="240" w:lineRule="auto"/>
        <w:rPr>
          <w:lang w:val="en-AU"/>
        </w:rPr>
      </w:pPr>
      <w:r w:rsidRPr="00527797">
        <w:t xml:space="preserve">It is therefore important to explore all options for an older person, including whether the Support at Home End-of-Life pathway is appropriate. Eligibility for the End-of-Life </w:t>
      </w:r>
      <w:r w:rsidR="00F84A3B">
        <w:t>P</w:t>
      </w:r>
      <w:r w:rsidRPr="00527797">
        <w:t xml:space="preserve">athway can be found in Chapter </w:t>
      </w:r>
      <w:r w:rsidR="00871BD0">
        <w:fldChar w:fldCharType="begin"/>
      </w:r>
      <w:r w:rsidR="00871BD0">
        <w:instrText xml:space="preserve"> REF _Ref212736454 \w \h </w:instrText>
      </w:r>
      <w:r w:rsidR="00871BD0">
        <w:fldChar w:fldCharType="separate"/>
      </w:r>
      <w:r w:rsidR="00F97942">
        <w:t>6</w:t>
      </w:r>
      <w:r w:rsidR="00871BD0">
        <w:fldChar w:fldCharType="end"/>
      </w:r>
      <w:r w:rsidRPr="00527797">
        <w:t xml:space="preserve">. </w:t>
      </w:r>
      <w:r w:rsidRPr="00527797">
        <w:rPr>
          <w:lang w:val="en-AU"/>
        </w:rPr>
        <w:t> </w:t>
      </w:r>
    </w:p>
    <w:p w14:paraId="294DA382" w14:textId="56DBC07E" w:rsidR="00697217" w:rsidRPr="00527797" w:rsidRDefault="00697217" w:rsidP="00622CFF">
      <w:pPr>
        <w:spacing w:before="240" w:after="240" w:line="240" w:lineRule="auto"/>
        <w:rPr>
          <w:lang w:val="en-AU"/>
        </w:rPr>
      </w:pPr>
      <w:r w:rsidRPr="00527797">
        <w:t xml:space="preserve">The provision of both palliative care and end-of-life care cuts across systems – care offered through the aged care system should be integrated to facilitate seamless transition, building upon clinical palliative care services offered by primary care professionals, or </w:t>
      </w:r>
      <w:r w:rsidR="009D7704" w:rsidRPr="00527797">
        <w:t>state-based</w:t>
      </w:r>
      <w:r w:rsidRPr="00527797">
        <w:t xml:space="preserve"> specialist palliative care services. </w:t>
      </w:r>
      <w:r w:rsidRPr="00527797">
        <w:rPr>
          <w:lang w:val="en-AU"/>
        </w:rPr>
        <w:t> </w:t>
      </w:r>
    </w:p>
    <w:p w14:paraId="22868912" w14:textId="77777777" w:rsidR="00697217" w:rsidRPr="00527797" w:rsidRDefault="00697217" w:rsidP="00622CFF">
      <w:pPr>
        <w:spacing w:before="240" w:after="240" w:line="240" w:lineRule="auto"/>
        <w:rPr>
          <w:lang w:val="en-AU"/>
        </w:rPr>
      </w:pPr>
      <w:r w:rsidRPr="00527797">
        <w:t>For example, where a state or territory provides clinical palliative care services in the home, older people receiving palliative care may also require assistance with basic daily living support and supportive care to ensure they are able to remain at home for as long as possible. These care needs range from assistance with daily chores to personal care, providing meals, transport assistance, respite care, home modifications and social support. </w:t>
      </w:r>
      <w:r w:rsidRPr="00527797">
        <w:rPr>
          <w:lang w:val="en-AU"/>
        </w:rPr>
        <w:t> </w:t>
      </w:r>
    </w:p>
    <w:tbl>
      <w:tblPr>
        <w:tblStyle w:val="TableGrid"/>
        <w:tblW w:w="0" w:type="auto"/>
        <w:tblLook w:val="04A0" w:firstRow="1" w:lastRow="0" w:firstColumn="1" w:lastColumn="0" w:noHBand="0" w:noVBand="1"/>
      </w:tblPr>
      <w:tblGrid>
        <w:gridCol w:w="1134"/>
        <w:gridCol w:w="7882"/>
      </w:tblGrid>
      <w:tr w:rsidR="00697217" w14:paraId="3B3FE4E0" w14:textId="77777777">
        <w:trPr>
          <w:trHeight w:val="1016"/>
        </w:trPr>
        <w:tc>
          <w:tcPr>
            <w:tcW w:w="1134" w:type="dxa"/>
            <w:vAlign w:val="center"/>
          </w:tcPr>
          <w:p w14:paraId="618F8798" w14:textId="0A9E4359" w:rsidR="00697217" w:rsidRDefault="00697217" w:rsidP="00622CFF">
            <w:pPr>
              <w:spacing w:before="240" w:after="240"/>
              <w:rPr>
                <w:lang w:val="en-AU"/>
              </w:rPr>
            </w:pPr>
            <w:r w:rsidRPr="00527797">
              <w:rPr>
                <w:lang w:val="en-AU"/>
              </w:rPr>
              <w:t> </w:t>
            </w:r>
            <w:r w:rsidRPr="00527797">
              <w:rPr>
                <w:noProof/>
                <w:lang w:val="en-AU"/>
              </w:rPr>
              <w:drawing>
                <wp:inline distT="0" distB="0" distL="0" distR="0" wp14:anchorId="393D467B" wp14:editId="7EC5BCBD">
                  <wp:extent cx="444500" cy="485029"/>
                  <wp:effectExtent l="0" t="0" r="0" b="0"/>
                  <wp:docPr id="1175488727" name="Picture 11754887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logo&#10;&#10;AI-generated content may be incorrect."/>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6119" cy="508619"/>
                          </a:xfrm>
                          <a:prstGeom prst="rect">
                            <a:avLst/>
                          </a:prstGeom>
                          <a:noFill/>
                          <a:ln>
                            <a:noFill/>
                          </a:ln>
                        </pic:spPr>
                      </pic:pic>
                    </a:graphicData>
                  </a:graphic>
                </wp:inline>
              </w:drawing>
            </w:r>
          </w:p>
        </w:tc>
        <w:tc>
          <w:tcPr>
            <w:tcW w:w="7882" w:type="dxa"/>
          </w:tcPr>
          <w:p w14:paraId="5A51B7D2" w14:textId="16CD8B36" w:rsidR="00697217" w:rsidRPr="00527797" w:rsidRDefault="00697217" w:rsidP="00622CFF">
            <w:pPr>
              <w:spacing w:before="240" w:after="240"/>
              <w:rPr>
                <w:lang w:val="en-AU"/>
              </w:rPr>
            </w:pPr>
            <w:r w:rsidRPr="00527797">
              <w:rPr>
                <w:b/>
                <w:bCs/>
              </w:rPr>
              <w:t xml:space="preserve">Department of </w:t>
            </w:r>
            <w:r w:rsidR="00892CAB">
              <w:rPr>
                <w:b/>
                <w:bCs/>
              </w:rPr>
              <w:t>Health, Disability and Ageing</w:t>
            </w:r>
            <w:r w:rsidRPr="00527797">
              <w:rPr>
                <w:b/>
                <w:bCs/>
              </w:rPr>
              <w:t xml:space="preserve"> website</w:t>
            </w:r>
            <w:r w:rsidRPr="00527797">
              <w:t>: </w:t>
            </w:r>
            <w:r w:rsidRPr="00527797">
              <w:rPr>
                <w:lang w:val="en-AU"/>
              </w:rPr>
              <w:t> </w:t>
            </w:r>
          </w:p>
          <w:p w14:paraId="0C05D8D2" w14:textId="77777777" w:rsidR="00697217" w:rsidRPr="00527797" w:rsidRDefault="00697217" w:rsidP="00622CFF">
            <w:pPr>
              <w:spacing w:before="240" w:after="240"/>
              <w:rPr>
                <w:lang w:val="en-AU"/>
              </w:rPr>
            </w:pPr>
            <w:hyperlink r:id="rId299" w:tgtFrame="_blank" w:history="1">
              <w:r w:rsidRPr="00527797">
                <w:rPr>
                  <w:rStyle w:val="Hyperlink"/>
                </w:rPr>
                <w:t>AN-ACC Class 1 – admit for palliative care</w:t>
              </w:r>
            </w:hyperlink>
            <w:r w:rsidRPr="00527797">
              <w:t> </w:t>
            </w:r>
            <w:r w:rsidRPr="00527797">
              <w:rPr>
                <w:lang w:val="en-AU"/>
              </w:rPr>
              <w:t> </w:t>
            </w:r>
          </w:p>
          <w:p w14:paraId="725B7FBA" w14:textId="0D995EA7" w:rsidR="00697217" w:rsidRDefault="00697217" w:rsidP="00622CFF">
            <w:pPr>
              <w:spacing w:before="240" w:after="240"/>
              <w:rPr>
                <w:lang w:val="en-AU"/>
              </w:rPr>
            </w:pPr>
            <w:hyperlink r:id="rId300" w:tgtFrame="_blank" w:history="1">
              <w:r w:rsidRPr="00527797">
                <w:rPr>
                  <w:rStyle w:val="Hyperlink"/>
                </w:rPr>
                <w:t xml:space="preserve">National Palliative Care </w:t>
              </w:r>
              <w:r w:rsidRPr="00DD4031">
                <w:rPr>
                  <w:rStyle w:val="Hyperlink"/>
                </w:rPr>
                <w:t>Strategy</w:t>
              </w:r>
            </w:hyperlink>
            <w:r w:rsidRPr="00527797">
              <w:rPr>
                <w:lang w:val="en-AU"/>
              </w:rPr>
              <w:t> </w:t>
            </w:r>
          </w:p>
        </w:tc>
      </w:tr>
    </w:tbl>
    <w:p w14:paraId="1D3C4B34" w14:textId="77777777" w:rsidR="00697217" w:rsidRPr="0063132D" w:rsidRDefault="00697217" w:rsidP="00CC6081">
      <w:pPr>
        <w:pStyle w:val="H4"/>
      </w:pPr>
      <w:r w:rsidRPr="00527797">
        <w:t>Training and tools for health and aged care professionals </w:t>
      </w:r>
      <w:r w:rsidRPr="0063132D">
        <w:t> </w:t>
      </w:r>
    </w:p>
    <w:p w14:paraId="2D1DDDF6" w14:textId="77777777" w:rsidR="00697217" w:rsidRPr="00527797" w:rsidRDefault="00697217" w:rsidP="00622CFF">
      <w:pPr>
        <w:spacing w:before="240" w:after="240" w:line="240" w:lineRule="auto"/>
        <w:rPr>
          <w:lang w:val="en-AU"/>
        </w:rPr>
      </w:pPr>
      <w:r w:rsidRPr="00527797">
        <w:rPr>
          <w:lang w:val="en"/>
        </w:rPr>
        <w:t>The Australian Government funds accredited education and training on palliative care for the workforce. </w:t>
      </w:r>
      <w:r w:rsidRPr="00527797">
        <w:rPr>
          <w:lang w:val="en-AU"/>
        </w:rPr>
        <w:t> </w:t>
      </w:r>
    </w:p>
    <w:p w14:paraId="6DD8F890" w14:textId="77777777" w:rsidR="00697217" w:rsidRPr="00527797" w:rsidRDefault="00697217" w:rsidP="00622CFF">
      <w:pPr>
        <w:spacing w:before="240" w:after="240" w:line="240" w:lineRule="auto"/>
        <w:rPr>
          <w:lang w:val="en-AU"/>
        </w:rPr>
      </w:pPr>
      <w:r w:rsidRPr="00527797">
        <w:t>The Palliative Aged Care Outcomes Program (PACOP) aims to systematically improve palliative and end-of-life care outcomes in aged care settings in Australia.</w:t>
      </w:r>
      <w:r w:rsidRPr="00527797">
        <w:rPr>
          <w:lang w:val="en-AU"/>
        </w:rPr>
        <w:t> </w:t>
      </w:r>
    </w:p>
    <w:p w14:paraId="37C4901E" w14:textId="77777777" w:rsidR="00697217" w:rsidRDefault="00697217" w:rsidP="00622CFF">
      <w:pPr>
        <w:spacing w:before="240" w:after="240" w:line="240" w:lineRule="auto"/>
        <w:rPr>
          <w:lang w:val="en"/>
        </w:rPr>
      </w:pPr>
      <w:r w:rsidRPr="00527797">
        <w:t>End of Life Directions for Aged Care (ELDAC) provides information, guidance, and resources for all aged care staff to support palliative care and advance care planning.</w:t>
      </w:r>
      <w:r w:rsidRPr="00527797">
        <w:rPr>
          <w:lang w:val="en"/>
        </w:rPr>
        <w:t> </w:t>
      </w:r>
    </w:p>
    <w:p w14:paraId="0AD9A6A5" w14:textId="13FA9070" w:rsidR="00697217" w:rsidRPr="00527797" w:rsidRDefault="00697217" w:rsidP="00622CFF">
      <w:pPr>
        <w:spacing w:before="240" w:after="240" w:line="240" w:lineRule="auto"/>
        <w:rPr>
          <w:lang w:val="en-AU"/>
        </w:rPr>
      </w:pPr>
    </w:p>
    <w:tbl>
      <w:tblPr>
        <w:tblStyle w:val="TableGrid"/>
        <w:tblW w:w="0" w:type="auto"/>
        <w:tblLook w:val="04A0" w:firstRow="1" w:lastRow="0" w:firstColumn="1" w:lastColumn="0" w:noHBand="0" w:noVBand="1"/>
      </w:tblPr>
      <w:tblGrid>
        <w:gridCol w:w="1134"/>
        <w:gridCol w:w="7882"/>
      </w:tblGrid>
      <w:tr w:rsidR="00697217" w14:paraId="03738DAC" w14:textId="77777777">
        <w:trPr>
          <w:trHeight w:val="1376"/>
        </w:trPr>
        <w:tc>
          <w:tcPr>
            <w:tcW w:w="1134" w:type="dxa"/>
            <w:vAlign w:val="center"/>
          </w:tcPr>
          <w:p w14:paraId="5ADAAFF4" w14:textId="77777777" w:rsidR="00697217" w:rsidRDefault="00697217" w:rsidP="00622CFF">
            <w:pPr>
              <w:spacing w:before="240" w:after="240"/>
              <w:rPr>
                <w:lang w:val="en-AU"/>
              </w:rPr>
            </w:pPr>
            <w:r w:rsidRPr="00527797">
              <w:rPr>
                <w:noProof/>
                <w:lang w:val="en-AU"/>
              </w:rPr>
              <w:drawing>
                <wp:inline distT="0" distB="0" distL="0" distR="0" wp14:anchorId="02E6999F" wp14:editId="63A01F15">
                  <wp:extent cx="444500" cy="485029"/>
                  <wp:effectExtent l="0" t="0" r="0" b="0"/>
                  <wp:docPr id="454877237" name="Picture 45487723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logo&#10;&#10;AI-generated content may be incorrect."/>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6119" cy="508619"/>
                          </a:xfrm>
                          <a:prstGeom prst="rect">
                            <a:avLst/>
                          </a:prstGeom>
                          <a:noFill/>
                          <a:ln>
                            <a:noFill/>
                          </a:ln>
                        </pic:spPr>
                      </pic:pic>
                    </a:graphicData>
                  </a:graphic>
                </wp:inline>
              </w:drawing>
            </w:r>
          </w:p>
        </w:tc>
        <w:tc>
          <w:tcPr>
            <w:tcW w:w="7882" w:type="dxa"/>
          </w:tcPr>
          <w:p w14:paraId="129CFD55" w14:textId="025F27E3" w:rsidR="00697217" w:rsidRPr="000155BC" w:rsidRDefault="00697217" w:rsidP="00622CFF">
            <w:pPr>
              <w:spacing w:before="240" w:after="240"/>
              <w:rPr>
                <w:lang w:val="en-AU"/>
              </w:rPr>
            </w:pPr>
            <w:r w:rsidRPr="00527797">
              <w:rPr>
                <w:lang w:val="en"/>
              </w:rPr>
              <w:t>Information</w:t>
            </w:r>
            <w:r w:rsidRPr="00527797">
              <w:t xml:space="preserve"> can be found at </w:t>
            </w:r>
            <w:hyperlink r:id="rId301" w:history="1">
              <w:r w:rsidRPr="00DD4031">
                <w:rPr>
                  <w:rStyle w:val="Hyperlink"/>
                  <w:b/>
                  <w:bCs/>
                  <w:lang w:val="en-AU"/>
                </w:rPr>
                <w:t>health.gov.au/palliative-care-education</w:t>
              </w:r>
              <w:r w:rsidRPr="00DD4031">
                <w:rPr>
                  <w:rStyle w:val="Hyperlink"/>
                  <w:lang w:val="en-AU"/>
                </w:rPr>
                <w:t> </w:t>
              </w:r>
            </w:hyperlink>
          </w:p>
          <w:p w14:paraId="2BAF699E" w14:textId="77777777" w:rsidR="00697217" w:rsidRDefault="00697217" w:rsidP="00622CFF">
            <w:pPr>
              <w:spacing w:before="240" w:after="240"/>
              <w:rPr>
                <w:lang w:val="en-AU"/>
              </w:rPr>
            </w:pPr>
          </w:p>
        </w:tc>
      </w:tr>
    </w:tbl>
    <w:p w14:paraId="030EA69A" w14:textId="7FB9E0D9" w:rsidR="00697217" w:rsidRPr="003E1933" w:rsidRDefault="0085035A" w:rsidP="00C56CEC">
      <w:pPr>
        <w:pStyle w:val="H3"/>
      </w:pPr>
      <w:bookmarkStart w:id="1046" w:name="_Toc204329628"/>
      <w:bookmarkStart w:id="1047" w:name="_Ref212734170"/>
      <w:r>
        <w:t>O</w:t>
      </w:r>
      <w:r w:rsidR="00697217" w:rsidRPr="003E1933">
        <w:t>lder people who are in prison</w:t>
      </w:r>
      <w:bookmarkEnd w:id="1046"/>
      <w:bookmarkEnd w:id="1047"/>
    </w:p>
    <w:p w14:paraId="641A0E60" w14:textId="66C0C9DC" w:rsidR="00697217" w:rsidRPr="003E1933" w:rsidRDefault="00697217" w:rsidP="00622CFF">
      <w:pPr>
        <w:spacing w:before="240" w:after="240" w:line="240" w:lineRule="auto"/>
        <w:rPr>
          <w:rFonts w:eastAsia="MS PGothic"/>
        </w:rPr>
      </w:pPr>
      <w:r w:rsidRPr="003E1933">
        <w:rPr>
          <w:rFonts w:eastAsia="MS PGothic"/>
        </w:rPr>
        <w:t xml:space="preserve">Usually, </w:t>
      </w:r>
      <w:r w:rsidR="00AE4328">
        <w:rPr>
          <w:rFonts w:eastAsia="MS PGothic"/>
        </w:rPr>
        <w:t xml:space="preserve">aged </w:t>
      </w:r>
      <w:r w:rsidR="00A5400A">
        <w:rPr>
          <w:rFonts w:eastAsia="MS PGothic"/>
        </w:rPr>
        <w:t>care</w:t>
      </w:r>
      <w:r w:rsidRPr="003E1933">
        <w:rPr>
          <w:rFonts w:eastAsia="MS PGothic"/>
        </w:rPr>
        <w:t xml:space="preserve"> assessments will be conducted when the person is released from prison into the community by referral through My Aged Care. Assessments of ex-prisoners in a community setting will depend on the person’s needs and the screening and triage outcome. However, in a prison setting, only clinical assessors can undertake such assessments. A triage delegate can only arrange an assessment by a non-clinical assessor to take place after the person is released.</w:t>
      </w:r>
    </w:p>
    <w:p w14:paraId="56A66E10" w14:textId="77777777" w:rsidR="00697217" w:rsidRPr="003E1933" w:rsidRDefault="00697217" w:rsidP="00622CFF">
      <w:pPr>
        <w:spacing w:before="240" w:after="240" w:line="240" w:lineRule="auto"/>
        <w:rPr>
          <w:rFonts w:eastAsia="MS PGothic"/>
          <w:i/>
        </w:rPr>
      </w:pPr>
      <w:r w:rsidRPr="003E1933">
        <w:rPr>
          <w:rFonts w:eastAsia="MS PGothic"/>
        </w:rPr>
        <w:t>If it is imperative that an assessment occurs in prison, the clinical assessor can conduct an in-prison assessment, provided the prisoner has a release date and the prison is agreeable to the arrangement. By exception, an older person may be assessed in a prison setting by a clinical assessor prior to them securing a release date. This can only occur in cases where a release date is dependent on a needs assessment being undertaken.</w:t>
      </w:r>
    </w:p>
    <w:p w14:paraId="49D94FF3" w14:textId="7CD9973F" w:rsidR="00697217" w:rsidRPr="003E1933" w:rsidRDefault="00697217" w:rsidP="00622CFF">
      <w:pPr>
        <w:spacing w:before="240" w:after="240" w:line="240" w:lineRule="auto"/>
        <w:rPr>
          <w:rFonts w:eastAsia="MS PGothic"/>
        </w:rPr>
      </w:pPr>
      <w:r w:rsidRPr="003E1933">
        <w:rPr>
          <w:rFonts w:eastAsia="MS PGothic"/>
        </w:rPr>
        <w:t xml:space="preserve">In recognition that prisoners can have very complex health and care needs, it is appropriate for a clinical assessor to be supported by another assessor. This is a decision for the assessment organisation to make keeping in mind the health and safety of its assessors. For additional considerations for WHS screen prior to assessment see </w:t>
      </w:r>
      <w:r>
        <w:rPr>
          <w:rFonts w:eastAsia="MS PGothic"/>
        </w:rPr>
        <w:t xml:space="preserve">Chapter </w:t>
      </w:r>
      <w:r w:rsidR="00871BD0">
        <w:rPr>
          <w:rFonts w:eastAsia="MS PGothic"/>
        </w:rPr>
        <w:fldChar w:fldCharType="begin"/>
      </w:r>
      <w:r w:rsidR="00871BD0">
        <w:rPr>
          <w:rFonts w:eastAsia="MS PGothic"/>
        </w:rPr>
        <w:instrText xml:space="preserve"> REF _Ref212736469 \w \h </w:instrText>
      </w:r>
      <w:r w:rsidR="00871BD0">
        <w:rPr>
          <w:rFonts w:eastAsia="MS PGothic"/>
        </w:rPr>
      </w:r>
      <w:r w:rsidR="00871BD0">
        <w:rPr>
          <w:rFonts w:eastAsia="MS PGothic"/>
        </w:rPr>
        <w:fldChar w:fldCharType="separate"/>
      </w:r>
      <w:r w:rsidR="00F97942">
        <w:rPr>
          <w:rFonts w:eastAsia="MS PGothic"/>
        </w:rPr>
        <w:t>5</w:t>
      </w:r>
      <w:r w:rsidR="00871BD0">
        <w:rPr>
          <w:rFonts w:eastAsia="MS PGothic"/>
        </w:rPr>
        <w:fldChar w:fldCharType="end"/>
      </w:r>
      <w:r w:rsidRPr="003E1933">
        <w:t>.</w:t>
      </w:r>
    </w:p>
    <w:p w14:paraId="30DD0BF3" w14:textId="2DD8F707" w:rsidR="00697217" w:rsidRPr="003E1933" w:rsidRDefault="00697217" w:rsidP="00622CFF">
      <w:pPr>
        <w:spacing w:before="240" w:after="240" w:line="240" w:lineRule="auto"/>
        <w:rPr>
          <w:rFonts w:eastAsia="MS PGothic"/>
          <w:b/>
          <w:i/>
        </w:rPr>
      </w:pPr>
      <w:r w:rsidRPr="003E1933">
        <w:rPr>
          <w:rFonts w:eastAsia="MS PGothic"/>
        </w:rPr>
        <w:t xml:space="preserve">Regardless of whether the assessment occurs in a community or prison setting, Commonwealth subsidised aged care services can only commence after the prisoner is released. It is the responsibility of the relevant state or territory government to provide the appropriate care and services while the person is incarcerated. If the older person is found eligible for </w:t>
      </w:r>
      <w:r>
        <w:rPr>
          <w:rFonts w:eastAsia="MS PGothic"/>
        </w:rPr>
        <w:t>Support at Home</w:t>
      </w:r>
      <w:r w:rsidRPr="003E1933">
        <w:rPr>
          <w:rFonts w:eastAsia="MS PGothic"/>
        </w:rPr>
        <w:t xml:space="preserve">, the assessor should update the older person’s status to ‘not seeking services’ at the time of assessment. Upon receiving a prison release date, the older person or </w:t>
      </w:r>
      <w:r>
        <w:rPr>
          <w:rFonts w:eastAsia="MS PGothic"/>
        </w:rPr>
        <w:t xml:space="preserve">registered </w:t>
      </w:r>
      <w:r w:rsidRPr="003E1933">
        <w:rPr>
          <w:rFonts w:eastAsia="MS PGothic"/>
        </w:rPr>
        <w:t>supporter</w:t>
      </w:r>
      <w:r>
        <w:rPr>
          <w:rFonts w:eastAsia="MS PGothic"/>
        </w:rPr>
        <w:t xml:space="preserve"> or other person who support the older person</w:t>
      </w:r>
      <w:r w:rsidRPr="003E1933">
        <w:rPr>
          <w:rFonts w:eastAsia="MS PGothic"/>
        </w:rPr>
        <w:t xml:space="preserve"> will need to contact My Aged Care to indicate they are actively seeking care to be placed on the</w:t>
      </w:r>
      <w:r>
        <w:rPr>
          <w:rFonts w:eastAsia="MS PGothic"/>
        </w:rPr>
        <w:t xml:space="preserve"> Support at Home</w:t>
      </w:r>
      <w:r w:rsidRPr="003E1933">
        <w:rPr>
          <w:rFonts w:eastAsia="MS PGothic"/>
        </w:rPr>
        <w:t xml:space="preserve"> </w:t>
      </w:r>
      <w:r w:rsidR="00E235E1">
        <w:rPr>
          <w:rFonts w:eastAsia="MS PGothic"/>
        </w:rPr>
        <w:t>p</w:t>
      </w:r>
      <w:r w:rsidRPr="003E1933">
        <w:rPr>
          <w:rFonts w:eastAsia="MS PGothic"/>
        </w:rPr>
        <w:t xml:space="preserve">riority </w:t>
      </w:r>
      <w:r w:rsidR="00E235E1">
        <w:rPr>
          <w:rFonts w:eastAsia="MS PGothic"/>
        </w:rPr>
        <w:t>s</w:t>
      </w:r>
      <w:r w:rsidRPr="003E1933">
        <w:rPr>
          <w:rFonts w:eastAsia="MS PGothic"/>
        </w:rPr>
        <w:t>ystem</w:t>
      </w:r>
      <w:r>
        <w:rPr>
          <w:rFonts w:eastAsia="MS PGothic"/>
        </w:rPr>
        <w:t>.</w:t>
      </w:r>
    </w:p>
    <w:p w14:paraId="2B20279F" w14:textId="1B6F7EC2" w:rsidR="00697217" w:rsidRPr="003E1933" w:rsidRDefault="00697217" w:rsidP="00622CFF">
      <w:pPr>
        <w:spacing w:before="240" w:after="240" w:line="240" w:lineRule="auto"/>
      </w:pPr>
      <w:r w:rsidRPr="003E1933">
        <w:t xml:space="preserve">If the person shares (or the assessor is in receipt of) sensitive information, with the older person’s consent this can be recorded by adding a sensitive note and/or a sensitive attachment. Providers will be presented with a banner message on My Aged Care where a sensitive note exists prompting them to contact the assessor. The assessor should disclose information where it is applicable to the provider in their provision of care or services to the older person (see Recording </w:t>
      </w:r>
      <w:r w:rsidRPr="004057FD">
        <w:t>sensitive information in</w:t>
      </w:r>
      <w:r>
        <w:t xml:space="preserve"> Chapter </w:t>
      </w:r>
      <w:r w:rsidR="00871BD0">
        <w:fldChar w:fldCharType="begin"/>
      </w:r>
      <w:r w:rsidR="00871BD0">
        <w:instrText xml:space="preserve"> REF _Ref212736487 \w \h </w:instrText>
      </w:r>
      <w:r w:rsidR="00871BD0">
        <w:fldChar w:fldCharType="separate"/>
      </w:r>
      <w:r w:rsidR="00F97942">
        <w:t>5</w:t>
      </w:r>
      <w:r w:rsidR="00871BD0">
        <w:fldChar w:fldCharType="end"/>
      </w:r>
      <w:r w:rsidRPr="003E1933">
        <w:t>). Where it is recorded the older person has challenging behaviours that may impact the safety and welfare of the older person or staff, the assessor should contact the provider to help ensure they can appropriately manage these behaviours once services commence.</w:t>
      </w:r>
    </w:p>
    <w:p w14:paraId="0B9CB709" w14:textId="77777777" w:rsidR="00697217" w:rsidRPr="003E1933" w:rsidRDefault="00697217" w:rsidP="00622CFF">
      <w:pPr>
        <w:spacing w:before="240" w:after="240" w:line="240" w:lineRule="auto"/>
        <w:rPr>
          <w:rFonts w:ascii="Calibri" w:hAnsi="Calibri" w:cs="Calibri"/>
          <w:szCs w:val="22"/>
        </w:rPr>
      </w:pPr>
      <w:r w:rsidRPr="003E1933">
        <w:t xml:space="preserve">The Support Considerations section of the IAT gives assessors the opportunity to ask the older person if there is any further information providers should be aware of in the delivery of care and services. This will allow (although this is up to the older person to agree to) the older person to advise of parole conditions or any implications of their incarceration that relate to effective and safe aged care provision that have not previously been raised during the assessment. </w:t>
      </w:r>
      <w:bookmarkStart w:id="1048" w:name="_Hlk79166931"/>
      <w:r w:rsidRPr="003E1933">
        <w:t xml:space="preserve">The assessor can record this information as a sensitive note and/or sensitive attachment and should add a note in the Support Considerations section of the IAT (and only if appropriate, the Support Plan) indicating that there is a sensitive note and/or sensitive attachment to view. </w:t>
      </w:r>
      <w:bookmarkEnd w:id="1048"/>
    </w:p>
    <w:p w14:paraId="013EE4A4" w14:textId="0A25F611" w:rsidR="002F3121" w:rsidRDefault="00697217" w:rsidP="4D8C8A7A">
      <w:pPr>
        <w:pStyle w:val="NormalText"/>
        <w:spacing w:before="240" w:after="240" w:line="240" w:lineRule="auto"/>
        <w:rPr>
          <w:rFonts w:eastAsia="MS PGothic"/>
          <w:i/>
          <w:iCs/>
        </w:rPr>
      </w:pPr>
      <w:r w:rsidRPr="003E1933">
        <w:rPr>
          <w:rFonts w:eastAsia="MS PGothic"/>
        </w:rPr>
        <w:t xml:space="preserve">Assessors should be mindful that there is an increased likelihood that prisoners or ex-prisoners are at risk of vulnerability and complexity and requiring additional linking support (see Delivering Linking Support / Care Coordination to Vulnerable </w:t>
      </w:r>
      <w:r w:rsidRPr="004057FD">
        <w:rPr>
          <w:rFonts w:eastAsia="MS PGothic"/>
        </w:rPr>
        <w:t xml:space="preserve">Older </w:t>
      </w:r>
      <w:r>
        <w:rPr>
          <w:rFonts w:eastAsia="MS PGothic"/>
        </w:rPr>
        <w:t>people</w:t>
      </w:r>
      <w:r w:rsidRPr="004057FD">
        <w:rPr>
          <w:rFonts w:eastAsia="MS PGothic"/>
        </w:rPr>
        <w:t xml:space="preserve"> in</w:t>
      </w:r>
      <w:r>
        <w:rPr>
          <w:rFonts w:eastAsia="MS PGothic"/>
        </w:rPr>
        <w:t xml:space="preserve"> Chapter </w:t>
      </w:r>
      <w:r w:rsidR="00871BD0">
        <w:rPr>
          <w:rFonts w:eastAsia="MS PGothic"/>
        </w:rPr>
        <w:fldChar w:fldCharType="begin"/>
      </w:r>
      <w:r w:rsidR="00871BD0">
        <w:rPr>
          <w:rFonts w:eastAsia="MS PGothic"/>
        </w:rPr>
        <w:instrText xml:space="preserve"> REF _Ref212736507 \w \h </w:instrText>
      </w:r>
      <w:r w:rsidR="00871BD0">
        <w:rPr>
          <w:rFonts w:eastAsia="MS PGothic"/>
        </w:rPr>
      </w:r>
      <w:r w:rsidR="00871BD0">
        <w:rPr>
          <w:rFonts w:eastAsia="MS PGothic"/>
        </w:rPr>
        <w:fldChar w:fldCharType="separate"/>
      </w:r>
      <w:r w:rsidR="00F97942">
        <w:rPr>
          <w:rFonts w:eastAsia="MS PGothic"/>
        </w:rPr>
        <w:t>5</w:t>
      </w:r>
      <w:r w:rsidR="00871BD0">
        <w:rPr>
          <w:rFonts w:eastAsia="MS PGothic"/>
        </w:rPr>
        <w:fldChar w:fldCharType="end"/>
      </w:r>
      <w:r w:rsidRPr="003E1933">
        <w:rPr>
          <w:rFonts w:eastAsia="MS PGothic"/>
        </w:rPr>
        <w:t>).</w:t>
      </w:r>
      <w:r>
        <w:rPr>
          <w:rFonts w:eastAsia="MS PGothic"/>
          <w:i/>
        </w:rPr>
        <w:t xml:space="preserve"> </w:t>
      </w:r>
    </w:p>
    <w:p w14:paraId="210B5379" w14:textId="4A68D6CB" w:rsidR="002F3121" w:rsidRDefault="00FB3B02" w:rsidP="00622CFF">
      <w:pPr>
        <w:pStyle w:val="NormalText"/>
        <w:spacing w:before="240" w:after="240" w:line="240" w:lineRule="auto"/>
        <w:rPr>
          <w:rFonts w:eastAsia="MS PGothic"/>
          <w:i/>
        </w:rPr>
      </w:pPr>
      <w:r>
        <w:rPr>
          <w:rFonts w:eastAsia="Yu Gothic Light"/>
          <w:noProof/>
        </w:rPr>
        <w:drawing>
          <wp:inline distT="0" distB="0" distL="0" distR="0" wp14:anchorId="3304F9C5" wp14:editId="60EED41B">
            <wp:extent cx="457200" cy="506095"/>
            <wp:effectExtent l="0" t="0" r="0" b="8255"/>
            <wp:docPr id="981577547" name="Picture 98157754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47823FBD" w:rsidRPr="66B5D95C">
        <w:rPr>
          <w:rFonts w:eastAsia="MS PGothic"/>
          <w:i/>
          <w:iCs/>
        </w:rPr>
        <w:t>Note: When assessing an older person in a prison setting for services to support their transition to residing in the community , the assessor can still complete a ‘true’ assessment based on their best efforts to understand and assess against the person’s functional needs in the community setting they intend to reside in, not the setting where the assessment is being carried out. Where a person is not in the setting they plan to reside in, it may be necessary for assessors to seek information about the older person’s home environment from the older person’s care and support team to make an as accurate assessment as possible of their functional needs.</w:t>
      </w:r>
      <w:bookmarkStart w:id="1049" w:name="_Toc204329629"/>
      <w:bookmarkStart w:id="1050" w:name="_Toc209189063"/>
    </w:p>
    <w:p w14:paraId="266C37CB" w14:textId="77777777" w:rsidR="00CF054F" w:rsidRDefault="00CF054F" w:rsidP="4D8C8A7A">
      <w:pPr>
        <w:pStyle w:val="NormalText"/>
        <w:spacing w:before="240" w:after="240" w:line="240" w:lineRule="auto"/>
        <w:rPr>
          <w:rFonts w:eastAsia="MS PGothic"/>
          <w:i/>
          <w:iCs/>
        </w:rPr>
        <w:sectPr w:rsidR="00CF054F" w:rsidSect="00370263">
          <w:pgSz w:w="11906" w:h="16838"/>
          <w:pgMar w:top="1440" w:right="1440" w:bottom="1440" w:left="1440" w:header="708" w:footer="708" w:gutter="0"/>
          <w:cols w:space="708"/>
          <w:docGrid w:linePitch="360"/>
        </w:sectPr>
      </w:pPr>
    </w:p>
    <w:p w14:paraId="5D6B481A" w14:textId="6E2E8725" w:rsidR="000935F8" w:rsidRDefault="00CF054F" w:rsidP="004B6DFD">
      <w:pPr>
        <w:pStyle w:val="H1"/>
      </w:pPr>
      <w:bookmarkStart w:id="1051" w:name="_Ref212735882"/>
      <w:bookmarkStart w:id="1052" w:name="_Ref212736025"/>
      <w:bookmarkStart w:id="1053" w:name="_Ref212736536"/>
      <w:bookmarkStart w:id="1054" w:name="_Toc224916716"/>
      <w:r>
        <w:t xml:space="preserve">Chapter 13: </w:t>
      </w:r>
      <w:r w:rsidR="000935F8">
        <w:t xml:space="preserve">Operating </w:t>
      </w:r>
      <w:r w:rsidR="00577E7F">
        <w:t>p</w:t>
      </w:r>
      <w:r w:rsidR="000935F8">
        <w:t>rocedures</w:t>
      </w:r>
      <w:bookmarkEnd w:id="1049"/>
      <w:bookmarkEnd w:id="1050"/>
      <w:bookmarkEnd w:id="1051"/>
      <w:bookmarkEnd w:id="1052"/>
      <w:bookmarkEnd w:id="1053"/>
      <w:bookmarkEnd w:id="1054"/>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0935F8" w14:paraId="66CF9664" w14:textId="77777777" w:rsidTr="00140E53">
        <w:tc>
          <w:tcPr>
            <w:tcW w:w="9016" w:type="dxa"/>
            <w:shd w:val="clear" w:color="auto" w:fill="F2F2F2" w:themeFill="background1" w:themeFillShade="F2"/>
          </w:tcPr>
          <w:p w14:paraId="77B9F13F" w14:textId="490ED8FD" w:rsidR="000935F8" w:rsidRPr="00275ACC" w:rsidRDefault="000935F8" w:rsidP="00E3017E">
            <w:bookmarkStart w:id="1055" w:name="_Toc204329630"/>
            <w:bookmarkStart w:id="1056" w:name="_Toc209189064"/>
            <w:r w:rsidRPr="00380A8B">
              <w:rPr>
                <w:b/>
                <w:color w:val="358189"/>
                <w:sz w:val="36"/>
                <w:szCs w:val="36"/>
              </w:rPr>
              <w:t>What you’ll find in this chapter</w:t>
            </w:r>
            <w:bookmarkEnd w:id="1055"/>
            <w:bookmarkEnd w:id="1056"/>
          </w:p>
          <w:p w14:paraId="3368FBFE" w14:textId="77777777" w:rsidR="000935F8" w:rsidRDefault="000935F8" w:rsidP="00622CFF">
            <w:pPr>
              <w:spacing w:before="240" w:after="240"/>
            </w:pPr>
            <w:r>
              <w:t xml:space="preserve">This chapter includes information on privacy, information management and relevant legislation. Also included in this chapter is information about: </w:t>
            </w:r>
          </w:p>
          <w:p w14:paraId="2D5352DE" w14:textId="77777777" w:rsidR="000935F8" w:rsidRDefault="000935F8" w:rsidP="00622CFF">
            <w:pPr>
              <w:pStyle w:val="ListParagraph"/>
              <w:numPr>
                <w:ilvl w:val="0"/>
                <w:numId w:val="41"/>
              </w:numPr>
              <w:spacing w:before="240" w:after="240"/>
            </w:pPr>
            <w:r>
              <w:t>Applying to be delegate</w:t>
            </w:r>
          </w:p>
          <w:p w14:paraId="709ECE43" w14:textId="77777777" w:rsidR="000935F8" w:rsidRDefault="000935F8" w:rsidP="00622CFF">
            <w:pPr>
              <w:pStyle w:val="ListParagraph"/>
              <w:numPr>
                <w:ilvl w:val="0"/>
                <w:numId w:val="41"/>
              </w:numPr>
              <w:spacing w:before="240" w:after="240"/>
            </w:pPr>
            <w:r>
              <w:t>Information management</w:t>
            </w:r>
          </w:p>
          <w:p w14:paraId="175BC259" w14:textId="77777777" w:rsidR="000935F8" w:rsidRDefault="000935F8" w:rsidP="00622CFF">
            <w:pPr>
              <w:pStyle w:val="ListParagraph"/>
              <w:numPr>
                <w:ilvl w:val="0"/>
                <w:numId w:val="41"/>
              </w:numPr>
              <w:spacing w:before="240" w:after="240"/>
            </w:pPr>
            <w:r>
              <w:t xml:space="preserve">Clinical governance </w:t>
            </w:r>
          </w:p>
          <w:p w14:paraId="363B9A4A" w14:textId="77777777" w:rsidR="000935F8" w:rsidRDefault="000935F8" w:rsidP="00622CFF">
            <w:pPr>
              <w:pStyle w:val="ListParagraph"/>
              <w:numPr>
                <w:ilvl w:val="0"/>
                <w:numId w:val="41"/>
              </w:numPr>
              <w:spacing w:before="240" w:after="240"/>
            </w:pPr>
            <w:r>
              <w:t xml:space="preserve">Branding </w:t>
            </w:r>
          </w:p>
          <w:p w14:paraId="279AC713" w14:textId="77777777" w:rsidR="000935F8" w:rsidRDefault="000935F8" w:rsidP="00622CFF">
            <w:pPr>
              <w:pStyle w:val="ListParagraph"/>
              <w:numPr>
                <w:ilvl w:val="0"/>
                <w:numId w:val="41"/>
              </w:numPr>
              <w:spacing w:before="240" w:after="240"/>
            </w:pPr>
            <w:r>
              <w:t xml:space="preserve">Resources for consumers </w:t>
            </w:r>
          </w:p>
          <w:p w14:paraId="195B837A" w14:textId="6E734E6B" w:rsidR="000935F8" w:rsidRPr="00F236D3" w:rsidRDefault="000935F8" w:rsidP="00622CFF">
            <w:pPr>
              <w:pStyle w:val="ListParagraph"/>
              <w:numPr>
                <w:ilvl w:val="0"/>
                <w:numId w:val="41"/>
              </w:numPr>
              <w:spacing w:before="240" w:after="240"/>
            </w:pPr>
            <w:r>
              <w:t xml:space="preserve">Reporting and performance </w:t>
            </w:r>
          </w:p>
        </w:tc>
      </w:tr>
    </w:tbl>
    <w:p w14:paraId="7D9745CB" w14:textId="08645CBE" w:rsidR="000935F8" w:rsidRPr="00173CD1" w:rsidRDefault="000935F8" w:rsidP="00507F9D">
      <w:pPr>
        <w:pStyle w:val="h2"/>
      </w:pPr>
      <w:bookmarkStart w:id="1057" w:name="_Toc209189065"/>
      <w:bookmarkStart w:id="1058" w:name="_Toc224916717"/>
      <w:bookmarkStart w:id="1059" w:name="_Ref506983369"/>
      <w:bookmarkStart w:id="1060" w:name="_Ref58424971"/>
      <w:bookmarkStart w:id="1061" w:name="_Ref49846054"/>
      <w:bookmarkStart w:id="1062" w:name="_Toc159226986"/>
      <w:bookmarkStart w:id="1063" w:name="_Toc184402401"/>
      <w:bookmarkStart w:id="1064" w:name="_Toc204329631"/>
      <w:r w:rsidRPr="00173CD1">
        <w:t xml:space="preserve">Applying to be a </w:t>
      </w:r>
      <w:r w:rsidR="00577E7F">
        <w:t>d</w:t>
      </w:r>
      <w:r w:rsidRPr="00173CD1">
        <w:t>elegate</w:t>
      </w:r>
      <w:bookmarkEnd w:id="1057"/>
      <w:bookmarkEnd w:id="1058"/>
      <w:r w:rsidRPr="00173CD1">
        <w:t> </w:t>
      </w:r>
    </w:p>
    <w:p w14:paraId="4E555E49" w14:textId="6836641B" w:rsidR="53479AE9" w:rsidRDefault="15465738" w:rsidP="3FD93375">
      <w:pPr>
        <w:spacing w:before="240" w:after="240"/>
        <w:rPr>
          <w:rFonts w:eastAsia="Arial"/>
          <w:szCs w:val="22"/>
          <w:lang w:val="en-AU"/>
        </w:rPr>
      </w:pPr>
      <w:r w:rsidRPr="3FD93375">
        <w:rPr>
          <w:rFonts w:eastAsia="Arial"/>
          <w:szCs w:val="22"/>
          <w:lang w:val="en-AU"/>
        </w:rPr>
        <w:t xml:space="preserve"> </w:t>
      </w:r>
      <w:r w:rsidR="53479AE9" w:rsidRPr="3FD93375" w:rsidDel="53479AE9">
        <w:rPr>
          <w:lang w:val="en-AU"/>
        </w:rPr>
        <w:t xml:space="preserve">Delegate applications are submitted online within the My Aged Care </w:t>
      </w:r>
      <w:r w:rsidR="53479AE9" w:rsidRPr="3FD93375" w:rsidDel="7A29C7C6">
        <w:rPr>
          <w:lang w:val="en-AU"/>
        </w:rPr>
        <w:t>assessor portal</w:t>
      </w:r>
      <w:r w:rsidR="53479AE9" w:rsidRPr="3FD93375" w:rsidDel="53479AE9">
        <w:rPr>
          <w:lang w:val="en-AU"/>
        </w:rPr>
        <w:t>.</w:t>
      </w:r>
      <w:r w:rsidRPr="3FD93375">
        <w:rPr>
          <w:rFonts w:eastAsia="Arial"/>
          <w:szCs w:val="22"/>
          <w:lang w:val="en-AU"/>
        </w:rPr>
        <w:t xml:space="preserve"> There are currently three delegate position</w:t>
      </w:r>
      <w:r w:rsidR="00152793">
        <w:rPr>
          <w:rFonts w:eastAsia="Arial"/>
          <w:szCs w:val="22"/>
          <w:lang w:val="en-AU"/>
        </w:rPr>
        <w:t>s</w:t>
      </w:r>
      <w:r w:rsidRPr="3FD93375">
        <w:rPr>
          <w:rFonts w:eastAsia="Arial"/>
          <w:szCs w:val="22"/>
          <w:lang w:val="en-AU"/>
        </w:rPr>
        <w:t xml:space="preserve">: </w:t>
      </w:r>
    </w:p>
    <w:p w14:paraId="2EE8FB52" w14:textId="5FEB1884" w:rsidR="15465738" w:rsidRDefault="15465738" w:rsidP="006A27FF">
      <w:pPr>
        <w:pStyle w:val="ListParagraph"/>
        <w:numPr>
          <w:ilvl w:val="0"/>
          <w:numId w:val="545"/>
        </w:numPr>
        <w:spacing w:after="0"/>
        <w:rPr>
          <w:rFonts w:eastAsia="Arial"/>
          <w:szCs w:val="22"/>
          <w:lang w:val="en-AU"/>
        </w:rPr>
      </w:pPr>
      <w:r w:rsidRPr="3FD93375">
        <w:rPr>
          <w:rFonts w:eastAsia="Arial"/>
          <w:szCs w:val="22"/>
          <w:lang w:val="en-AU"/>
        </w:rPr>
        <w:t xml:space="preserve">Triage </w:t>
      </w:r>
      <w:r w:rsidR="00152793">
        <w:rPr>
          <w:rFonts w:eastAsia="Arial"/>
          <w:szCs w:val="22"/>
          <w:lang w:val="en-AU"/>
        </w:rPr>
        <w:t>d</w:t>
      </w:r>
      <w:r w:rsidRPr="3FD93375">
        <w:rPr>
          <w:rFonts w:eastAsia="Arial"/>
          <w:szCs w:val="22"/>
          <w:lang w:val="en-AU"/>
        </w:rPr>
        <w:t xml:space="preserve">elegate, </w:t>
      </w:r>
    </w:p>
    <w:p w14:paraId="24C2D372" w14:textId="575F6062" w:rsidR="15465738" w:rsidRDefault="15465738" w:rsidP="006A27FF">
      <w:pPr>
        <w:pStyle w:val="ListParagraph"/>
        <w:numPr>
          <w:ilvl w:val="0"/>
          <w:numId w:val="545"/>
        </w:numPr>
        <w:spacing w:after="0"/>
        <w:rPr>
          <w:rFonts w:eastAsia="Arial"/>
          <w:szCs w:val="22"/>
          <w:lang w:val="en-AU"/>
        </w:rPr>
      </w:pPr>
      <w:r w:rsidRPr="3FD93375">
        <w:rPr>
          <w:rFonts w:eastAsia="Arial"/>
          <w:szCs w:val="22"/>
          <w:lang w:val="en-AU"/>
        </w:rPr>
        <w:t xml:space="preserve">Clinical </w:t>
      </w:r>
      <w:r w:rsidR="00152793">
        <w:rPr>
          <w:rFonts w:eastAsia="Arial"/>
          <w:szCs w:val="22"/>
          <w:lang w:val="en-AU"/>
        </w:rPr>
        <w:t>a</w:t>
      </w:r>
      <w:r w:rsidRPr="3FD93375">
        <w:rPr>
          <w:rFonts w:eastAsia="Arial"/>
          <w:szCs w:val="22"/>
          <w:lang w:val="en-AU"/>
        </w:rPr>
        <w:t xml:space="preserve">ssessment </w:t>
      </w:r>
      <w:r w:rsidR="00152793">
        <w:rPr>
          <w:rFonts w:eastAsia="Arial"/>
          <w:szCs w:val="22"/>
          <w:lang w:val="en-AU"/>
        </w:rPr>
        <w:t>d</w:t>
      </w:r>
      <w:r w:rsidRPr="3FD93375">
        <w:rPr>
          <w:rFonts w:eastAsia="Arial"/>
          <w:szCs w:val="22"/>
          <w:lang w:val="en-AU"/>
        </w:rPr>
        <w:t xml:space="preserve">elegate and </w:t>
      </w:r>
    </w:p>
    <w:p w14:paraId="495920AF" w14:textId="1F114A0C" w:rsidR="15465738" w:rsidRDefault="15465738" w:rsidP="006A27FF">
      <w:pPr>
        <w:pStyle w:val="ListParagraph"/>
        <w:numPr>
          <w:ilvl w:val="0"/>
          <w:numId w:val="545"/>
        </w:numPr>
        <w:spacing w:after="0"/>
        <w:rPr>
          <w:rFonts w:eastAsia="Arial"/>
          <w:szCs w:val="22"/>
          <w:lang w:val="en-AU"/>
        </w:rPr>
      </w:pPr>
      <w:r w:rsidRPr="3FD93375">
        <w:rPr>
          <w:rFonts w:eastAsia="Arial"/>
          <w:szCs w:val="22"/>
          <w:lang w:val="en-AU"/>
        </w:rPr>
        <w:t>Non-</w:t>
      </w:r>
      <w:r w:rsidR="00152793">
        <w:rPr>
          <w:rFonts w:eastAsia="Arial"/>
          <w:szCs w:val="22"/>
          <w:lang w:val="en-AU"/>
        </w:rPr>
        <w:t>c</w:t>
      </w:r>
      <w:r w:rsidRPr="3FD93375">
        <w:rPr>
          <w:rFonts w:eastAsia="Arial"/>
          <w:szCs w:val="22"/>
          <w:lang w:val="en-AU"/>
        </w:rPr>
        <w:t xml:space="preserve">linical </w:t>
      </w:r>
      <w:r w:rsidR="00152793">
        <w:rPr>
          <w:rFonts w:eastAsia="Arial"/>
          <w:szCs w:val="22"/>
          <w:lang w:val="en-AU"/>
        </w:rPr>
        <w:t>a</w:t>
      </w:r>
      <w:r w:rsidRPr="3FD93375">
        <w:rPr>
          <w:rFonts w:eastAsia="Arial"/>
          <w:szCs w:val="22"/>
          <w:lang w:val="en-AU"/>
        </w:rPr>
        <w:t xml:space="preserve">ssessment </w:t>
      </w:r>
      <w:r w:rsidR="00152793">
        <w:rPr>
          <w:rFonts w:eastAsia="Arial"/>
          <w:szCs w:val="22"/>
          <w:lang w:val="en-AU"/>
        </w:rPr>
        <w:t>d</w:t>
      </w:r>
      <w:r w:rsidRPr="3FD93375">
        <w:rPr>
          <w:rFonts w:eastAsia="Arial"/>
          <w:szCs w:val="22"/>
          <w:lang w:val="en-AU"/>
        </w:rPr>
        <w:t>elegate.</w:t>
      </w:r>
    </w:p>
    <w:p w14:paraId="31839CF5" w14:textId="324E80E5" w:rsidR="000935F8" w:rsidRPr="00173CD1" w:rsidRDefault="000935F8" w:rsidP="00C56CEC">
      <w:pPr>
        <w:pStyle w:val="H3"/>
      </w:pPr>
      <w:r w:rsidRPr="00173CD1">
        <w:t>Delegate on/off form </w:t>
      </w:r>
    </w:p>
    <w:p w14:paraId="21293760" w14:textId="3875C189" w:rsidR="000935F8" w:rsidRPr="00173CD1" w:rsidRDefault="000935F8" w:rsidP="00622CFF">
      <w:pPr>
        <w:spacing w:before="240" w:after="240" w:line="240" w:lineRule="auto"/>
        <w:rPr>
          <w:lang w:val="en-AU"/>
        </w:rPr>
      </w:pPr>
      <w:r w:rsidRPr="00173CD1">
        <w:rPr>
          <w:lang w:val="en-AU"/>
        </w:rPr>
        <w:t xml:space="preserve">To </w:t>
      </w:r>
      <w:r w:rsidR="53479AE9" w:rsidRPr="3FD93375">
        <w:rPr>
          <w:lang w:val="en-AU"/>
        </w:rPr>
        <w:t>b</w:t>
      </w:r>
      <w:r w:rsidR="1B454C0D" w:rsidRPr="3FD93375">
        <w:rPr>
          <w:lang w:val="en-AU"/>
        </w:rPr>
        <w:t>e appointed to</w:t>
      </w:r>
      <w:r w:rsidRPr="00173CD1">
        <w:rPr>
          <w:lang w:val="en-AU"/>
        </w:rPr>
        <w:t xml:space="preserve"> a</w:t>
      </w:r>
      <w:r>
        <w:rPr>
          <w:lang w:val="en-AU"/>
        </w:rPr>
        <w:t xml:space="preserve"> </w:t>
      </w:r>
      <w:r w:rsidRPr="00173CD1">
        <w:rPr>
          <w:lang w:val="en-AU"/>
        </w:rPr>
        <w:t xml:space="preserve">delegate position, such as a </w:t>
      </w:r>
      <w:r w:rsidR="007479EA">
        <w:rPr>
          <w:lang w:val="en-AU"/>
        </w:rPr>
        <w:t>t</w:t>
      </w:r>
      <w:r w:rsidRPr="00173CD1">
        <w:rPr>
          <w:lang w:val="en-AU"/>
        </w:rPr>
        <w:t xml:space="preserve">riage </w:t>
      </w:r>
      <w:r w:rsidR="007479EA">
        <w:rPr>
          <w:lang w:val="en-AU"/>
        </w:rPr>
        <w:t>d</w:t>
      </w:r>
      <w:r w:rsidRPr="00173CD1">
        <w:rPr>
          <w:lang w:val="en-AU"/>
        </w:rPr>
        <w:t xml:space="preserve">elegate or </w:t>
      </w:r>
      <w:r w:rsidR="007479EA">
        <w:rPr>
          <w:lang w:val="en-AU"/>
        </w:rPr>
        <w:t>a</w:t>
      </w:r>
      <w:r w:rsidRPr="00173CD1">
        <w:rPr>
          <w:lang w:val="en-AU"/>
        </w:rPr>
        <w:t xml:space="preserve">ssessment </w:t>
      </w:r>
      <w:r w:rsidR="007479EA">
        <w:rPr>
          <w:lang w:val="en-AU"/>
        </w:rPr>
        <w:t>d</w:t>
      </w:r>
      <w:r w:rsidRPr="00173CD1">
        <w:rPr>
          <w:lang w:val="en-AU"/>
        </w:rPr>
        <w:t xml:space="preserve">elegate and gain the authority to make approval decisions, individuals must complete </w:t>
      </w:r>
      <w:r w:rsidR="53479AE9" w:rsidRPr="3FD93375">
        <w:rPr>
          <w:lang w:val="en-AU"/>
        </w:rPr>
        <w:t>an application</w:t>
      </w:r>
      <w:r w:rsidRPr="00173CD1">
        <w:rPr>
          <w:lang w:val="en-AU"/>
        </w:rPr>
        <w:t xml:space="preserve"> process and be approved by the Department</w:t>
      </w:r>
      <w:r w:rsidR="000E64C8">
        <w:rPr>
          <w:lang w:val="en-AU"/>
        </w:rPr>
        <w:t xml:space="preserve"> of Health, Disability and Aged Care</w:t>
      </w:r>
      <w:r w:rsidR="00932226">
        <w:rPr>
          <w:lang w:val="en-AU"/>
        </w:rPr>
        <w:t xml:space="preserve"> (the Department)</w:t>
      </w:r>
      <w:r w:rsidRPr="00173CD1">
        <w:rPr>
          <w:lang w:val="en-AU"/>
        </w:rPr>
        <w:t xml:space="preserve">. This application is submitted through the My Aged Care </w:t>
      </w:r>
      <w:r w:rsidR="0060352D">
        <w:rPr>
          <w:lang w:val="en-AU"/>
        </w:rPr>
        <w:t>assessor portal</w:t>
      </w:r>
      <w:r w:rsidRPr="00173CD1">
        <w:rPr>
          <w:lang w:val="en-AU"/>
        </w:rPr>
        <w:t>. </w:t>
      </w:r>
    </w:p>
    <w:p w14:paraId="44CFF870" w14:textId="1B66C1A2" w:rsidR="004546B4" w:rsidRDefault="001A533E" w:rsidP="00C325C6">
      <w:pPr>
        <w:pStyle w:val="Sub-headings"/>
      </w:pPr>
      <w:r w:rsidRPr="00F1212F">
        <w:t>Note:</w:t>
      </w:r>
      <w:r>
        <w:t xml:space="preserve"> </w:t>
      </w:r>
      <w:r w:rsidRPr="00F1212F">
        <w:t xml:space="preserve">All non-clinical assessors have a blanket delegation under the Instrument of Delegation to approve CHSP, CHSP AT, CHSP HM. </w:t>
      </w:r>
      <w:r>
        <w:t>I</w:t>
      </w:r>
      <w:r w:rsidRPr="00F1212F">
        <w:t>n practice, even though there is a blanket delegation</w:t>
      </w:r>
      <w:r w:rsidR="00A52991">
        <w:t>,</w:t>
      </w:r>
      <w:r w:rsidRPr="00F1212F">
        <w:t xml:space="preserve"> </w:t>
      </w:r>
      <w:r>
        <w:t>a</w:t>
      </w:r>
      <w:r w:rsidRPr="00F1212F">
        <w:t>ssessment organisations can instruct their workforce to get someone else to approve a client's home support assessment</w:t>
      </w:r>
      <w:r w:rsidR="00A52991">
        <w:t xml:space="preserve">. </w:t>
      </w:r>
    </w:p>
    <w:p w14:paraId="04BA70AA" w14:textId="1E491E2C" w:rsidR="001A533E" w:rsidRDefault="00A52991" w:rsidP="00C325C6">
      <w:pPr>
        <w:pStyle w:val="Sub-headings"/>
        <w:rPr>
          <w:lang w:val="en-AU"/>
        </w:rPr>
      </w:pPr>
      <w:r>
        <w:t>Greater functionality will be introduced from late June 2026 to provide for a non-clinical delegate workflow in the Assessor Portal.</w:t>
      </w:r>
      <w:r w:rsidR="004546B4" w:rsidRPr="004546B4">
        <w:t xml:space="preserve"> </w:t>
      </w:r>
      <w:r w:rsidR="004546B4">
        <w:t>All non-clinical assessors who are non-clinical delegates will need to hold a non-clinical delegate role</w:t>
      </w:r>
      <w:r w:rsidR="00806BD7">
        <w:t xml:space="preserve"> in the Assessor Portal</w:t>
      </w:r>
      <w:r w:rsidR="00B505EA">
        <w:t xml:space="preserve"> from this period onwards.</w:t>
      </w:r>
    </w:p>
    <w:p w14:paraId="065D5ECD" w14:textId="48904624" w:rsidR="001A533E" w:rsidRDefault="001A533E" w:rsidP="00622CFF">
      <w:pPr>
        <w:spacing w:before="240" w:after="240" w:line="240" w:lineRule="auto"/>
        <w:rPr>
          <w:lang w:val="en-AU"/>
        </w:rPr>
      </w:pPr>
    </w:p>
    <w:p w14:paraId="453E2595" w14:textId="0C78839A" w:rsidR="000935F8" w:rsidRPr="00173CD1" w:rsidRDefault="000935F8" w:rsidP="00622CFF">
      <w:pPr>
        <w:spacing w:before="240" w:after="240" w:line="240" w:lineRule="auto"/>
        <w:rPr>
          <w:lang w:val="en-AU"/>
        </w:rPr>
      </w:pPr>
      <w:r w:rsidRPr="00173CD1">
        <w:rPr>
          <w:lang w:val="en-AU"/>
        </w:rPr>
        <w:t>Within the portal, the Delegate on/off form can be used to: </w:t>
      </w:r>
    </w:p>
    <w:p w14:paraId="7C349872" w14:textId="77777777" w:rsidR="000935F8" w:rsidRPr="00243988" w:rsidRDefault="000935F8" w:rsidP="00DF3F6B">
      <w:pPr>
        <w:pStyle w:val="ListParagraph"/>
        <w:numPr>
          <w:ilvl w:val="0"/>
          <w:numId w:val="383"/>
        </w:numPr>
        <w:spacing w:before="240" w:after="240" w:line="240" w:lineRule="auto"/>
        <w:rPr>
          <w:lang w:val="en-AU"/>
        </w:rPr>
      </w:pPr>
      <w:r w:rsidRPr="00243988">
        <w:rPr>
          <w:b/>
          <w:bCs/>
          <w:lang w:val="en-AU"/>
        </w:rPr>
        <w:t>Add </w:t>
      </w:r>
      <w:r w:rsidRPr="00243988">
        <w:rPr>
          <w:lang w:val="en-AU"/>
        </w:rPr>
        <w:t>users to delegate positions. </w:t>
      </w:r>
    </w:p>
    <w:p w14:paraId="08C94D05" w14:textId="77777777" w:rsidR="000935F8" w:rsidRPr="00243988" w:rsidRDefault="000935F8" w:rsidP="00DF3F6B">
      <w:pPr>
        <w:pStyle w:val="ListParagraph"/>
        <w:numPr>
          <w:ilvl w:val="0"/>
          <w:numId w:val="383"/>
        </w:numPr>
        <w:spacing w:before="240" w:after="240" w:line="240" w:lineRule="auto"/>
        <w:rPr>
          <w:lang w:val="en-AU"/>
        </w:rPr>
      </w:pPr>
      <w:r w:rsidRPr="00243988">
        <w:rPr>
          <w:b/>
          <w:bCs/>
          <w:lang w:val="en-AU"/>
        </w:rPr>
        <w:t>Cease</w:t>
      </w:r>
      <w:r w:rsidRPr="00243988">
        <w:rPr>
          <w:lang w:val="en-AU"/>
        </w:rPr>
        <w:t> existing delegates from delegate positions. </w:t>
      </w:r>
    </w:p>
    <w:p w14:paraId="2D9C792E" w14:textId="77777777" w:rsidR="000935F8" w:rsidRPr="00243988" w:rsidRDefault="000935F8" w:rsidP="00DF3F6B">
      <w:pPr>
        <w:pStyle w:val="ListParagraph"/>
        <w:numPr>
          <w:ilvl w:val="0"/>
          <w:numId w:val="383"/>
        </w:numPr>
        <w:spacing w:before="240" w:after="240" w:line="240" w:lineRule="auto"/>
        <w:rPr>
          <w:lang w:val="en-AU"/>
        </w:rPr>
      </w:pPr>
      <w:r w:rsidRPr="00243988">
        <w:rPr>
          <w:b/>
          <w:bCs/>
          <w:lang w:val="en-AU"/>
        </w:rPr>
        <w:t>Replace </w:t>
      </w:r>
      <w:r w:rsidRPr="00243988">
        <w:rPr>
          <w:lang w:val="en-AU"/>
        </w:rPr>
        <w:t>existing delegates noting that the replace functionality will cease existing delegate access and add their replacement in a single step. </w:t>
      </w:r>
    </w:p>
    <w:p w14:paraId="66E1B4AC" w14:textId="77777777" w:rsidR="000935F8" w:rsidRPr="00173CD1" w:rsidRDefault="000935F8" w:rsidP="00622CFF">
      <w:pPr>
        <w:spacing w:before="240" w:after="240" w:line="240" w:lineRule="auto"/>
        <w:rPr>
          <w:lang w:val="en-AU"/>
        </w:rPr>
      </w:pPr>
      <w:r w:rsidRPr="00173CD1">
        <w:rPr>
          <w:lang w:val="en-AU"/>
        </w:rPr>
        <w:t>A number of rules apply: </w:t>
      </w:r>
    </w:p>
    <w:p w14:paraId="7BDD17F4" w14:textId="55BD03B8" w:rsidR="000935F8" w:rsidRPr="000238DD" w:rsidRDefault="000935F8" w:rsidP="00DF3F6B">
      <w:pPr>
        <w:pStyle w:val="ListParagraph"/>
        <w:numPr>
          <w:ilvl w:val="0"/>
          <w:numId w:val="384"/>
        </w:numPr>
        <w:spacing w:before="240" w:after="240" w:line="240" w:lineRule="auto"/>
        <w:rPr>
          <w:lang w:val="en-AU"/>
        </w:rPr>
      </w:pPr>
      <w:r w:rsidRPr="000238DD">
        <w:rPr>
          <w:lang w:val="en-AU"/>
        </w:rPr>
        <w:t xml:space="preserve">Only assessors, </w:t>
      </w:r>
      <w:r w:rsidR="00145D4D">
        <w:rPr>
          <w:lang w:val="en-AU"/>
        </w:rPr>
        <w:t>t</w:t>
      </w:r>
      <w:r w:rsidR="00145D4D" w:rsidRPr="000238DD">
        <w:rPr>
          <w:lang w:val="en-AU"/>
        </w:rPr>
        <w:t xml:space="preserve">eam </w:t>
      </w:r>
      <w:r w:rsidR="00145D4D">
        <w:rPr>
          <w:lang w:val="en-AU"/>
        </w:rPr>
        <w:t>l</w:t>
      </w:r>
      <w:r w:rsidRPr="000238DD">
        <w:rPr>
          <w:lang w:val="en-AU"/>
        </w:rPr>
        <w:t>eaders, and delegates can hold delegate positions. </w:t>
      </w:r>
    </w:p>
    <w:p w14:paraId="6BECD3F0" w14:textId="4A1A3EE1" w:rsidR="000935F8" w:rsidRPr="000238DD" w:rsidRDefault="000935F8" w:rsidP="00DF3F6B">
      <w:pPr>
        <w:pStyle w:val="ListParagraph"/>
        <w:numPr>
          <w:ilvl w:val="0"/>
          <w:numId w:val="384"/>
        </w:numPr>
        <w:spacing w:before="240" w:after="240" w:line="240" w:lineRule="auto"/>
        <w:rPr>
          <w:lang w:val="en-AU"/>
        </w:rPr>
      </w:pPr>
      <w:r w:rsidRPr="000238DD">
        <w:rPr>
          <w:lang w:val="en-AU"/>
        </w:rPr>
        <w:t>To apply on behalf of someone else, the applicant must be either a Team Leader or an Assessment Organisation Operational Manager. </w:t>
      </w:r>
    </w:p>
    <w:p w14:paraId="778B9864" w14:textId="77777777" w:rsidR="000935F8" w:rsidRPr="000238DD" w:rsidRDefault="000935F8" w:rsidP="00DF3F6B">
      <w:pPr>
        <w:pStyle w:val="ListParagraph"/>
        <w:numPr>
          <w:ilvl w:val="0"/>
          <w:numId w:val="384"/>
        </w:numPr>
        <w:spacing w:before="240" w:after="240" w:line="240" w:lineRule="auto"/>
        <w:rPr>
          <w:lang w:val="en-AU"/>
        </w:rPr>
      </w:pPr>
      <w:r w:rsidRPr="000238DD">
        <w:rPr>
          <w:lang w:val="en-AU"/>
        </w:rPr>
        <w:t>Team Leaders can submit applications for themselves as well as for others. </w:t>
      </w:r>
    </w:p>
    <w:p w14:paraId="41623E6C" w14:textId="77777777" w:rsidR="000935F8" w:rsidRPr="000238DD" w:rsidRDefault="000935F8" w:rsidP="00DF3F6B">
      <w:pPr>
        <w:pStyle w:val="ListParagraph"/>
        <w:numPr>
          <w:ilvl w:val="0"/>
          <w:numId w:val="384"/>
        </w:numPr>
        <w:spacing w:before="240" w:after="240" w:line="240" w:lineRule="auto"/>
        <w:rPr>
          <w:lang w:val="en-AU"/>
        </w:rPr>
      </w:pPr>
      <w:r w:rsidRPr="000238DD">
        <w:rPr>
          <w:lang w:val="en-AU"/>
        </w:rPr>
        <w:t>Assessment Organisation Operational Managers can only hold a delegate position if they are also an assessor or a Team Leader. </w:t>
      </w:r>
    </w:p>
    <w:p w14:paraId="71018614" w14:textId="77777777" w:rsidR="000935F8" w:rsidRPr="00173CD1" w:rsidRDefault="000935F8" w:rsidP="00622CFF">
      <w:pPr>
        <w:spacing w:before="240" w:after="240" w:line="240" w:lineRule="auto"/>
        <w:rPr>
          <w:lang w:val="en-AU"/>
        </w:rPr>
      </w:pPr>
      <w:r w:rsidRPr="00173CD1">
        <w:rPr>
          <w:lang w:val="en-AU"/>
        </w:rPr>
        <w:t>All approved delegates are assigned a unique Delegate ID in the My Aged Care system. This ID consists of a 6-character code, where: </w:t>
      </w:r>
    </w:p>
    <w:p w14:paraId="6281AD17" w14:textId="77777777" w:rsidR="000935F8" w:rsidRPr="00173CD1" w:rsidRDefault="000935F8" w:rsidP="00DF3F6B">
      <w:pPr>
        <w:numPr>
          <w:ilvl w:val="0"/>
          <w:numId w:val="369"/>
        </w:numPr>
        <w:spacing w:before="240" w:after="240" w:line="240" w:lineRule="auto"/>
        <w:rPr>
          <w:lang w:val="en-AU"/>
        </w:rPr>
      </w:pPr>
      <w:r w:rsidRPr="00173CD1">
        <w:rPr>
          <w:lang w:val="en-AU"/>
        </w:rPr>
        <w:t>The first three characters represent the assessment organisation ID </w:t>
      </w:r>
    </w:p>
    <w:p w14:paraId="23DA4710" w14:textId="77777777" w:rsidR="000935F8" w:rsidRPr="00173CD1" w:rsidRDefault="000935F8" w:rsidP="00DF3F6B">
      <w:pPr>
        <w:numPr>
          <w:ilvl w:val="0"/>
          <w:numId w:val="370"/>
        </w:numPr>
        <w:spacing w:before="240" w:after="240" w:line="240" w:lineRule="auto"/>
        <w:rPr>
          <w:lang w:val="en-AU"/>
        </w:rPr>
      </w:pPr>
      <w:r w:rsidRPr="00173CD1">
        <w:rPr>
          <w:lang w:val="en-AU"/>
        </w:rPr>
        <w:t>The fourth character indicates the profession ID </w:t>
      </w:r>
    </w:p>
    <w:p w14:paraId="07E50662" w14:textId="77777777" w:rsidR="000935F8" w:rsidRPr="00173CD1" w:rsidRDefault="000935F8" w:rsidP="00DF3F6B">
      <w:pPr>
        <w:numPr>
          <w:ilvl w:val="0"/>
          <w:numId w:val="371"/>
        </w:numPr>
        <w:spacing w:before="240" w:after="240" w:line="240" w:lineRule="auto"/>
        <w:rPr>
          <w:lang w:val="en-AU"/>
        </w:rPr>
      </w:pPr>
      <w:r w:rsidRPr="00173CD1">
        <w:rPr>
          <w:lang w:val="en-AU"/>
        </w:rPr>
        <w:t>The final two characters identify the specific position within the organisation. </w:t>
      </w:r>
    </w:p>
    <w:p w14:paraId="689D671D" w14:textId="77777777" w:rsidR="003F26DE" w:rsidRDefault="003F26DE" w:rsidP="00622CFF">
      <w:pPr>
        <w:spacing w:before="240" w:after="240" w:line="240" w:lineRule="auto"/>
        <w:rPr>
          <w:b/>
          <w:lang w:val="en-AU"/>
        </w:rPr>
      </w:pPr>
    </w:p>
    <w:p w14:paraId="7832A1B5" w14:textId="222427FD" w:rsidR="000935F8" w:rsidRPr="00E3017E" w:rsidRDefault="000935F8" w:rsidP="00622CFF">
      <w:pPr>
        <w:spacing w:before="240" w:after="240" w:line="240" w:lineRule="auto"/>
        <w:rPr>
          <w:b/>
          <w:lang w:val="en-AU"/>
        </w:rPr>
      </w:pPr>
      <w:r w:rsidRPr="00E3017E">
        <w:rPr>
          <w:b/>
          <w:lang w:val="en-AU"/>
        </w:rPr>
        <w:t xml:space="preserve">Delegate ID Position </w:t>
      </w:r>
      <w:r w:rsidR="000A4E74" w:rsidRPr="00E3017E">
        <w:rPr>
          <w:b/>
          <w:lang w:val="en-AU"/>
        </w:rPr>
        <w:t>s</w:t>
      </w:r>
      <w:r w:rsidRPr="00E3017E">
        <w:rPr>
          <w:b/>
          <w:lang w:val="en-AU"/>
        </w:rPr>
        <w:t>etup </w:t>
      </w:r>
    </w:p>
    <w:p w14:paraId="4DA00D4E" w14:textId="539B498A" w:rsidR="000935F8" w:rsidRPr="002D388C" w:rsidRDefault="000935F8" w:rsidP="00E3017E">
      <w:pPr>
        <w:spacing w:before="240" w:after="240" w:line="240" w:lineRule="auto"/>
        <w:rPr>
          <w:lang w:val="en-AU"/>
        </w:rPr>
      </w:pPr>
      <w:r w:rsidRPr="00173CD1">
        <w:rPr>
          <w:lang w:val="en-AU"/>
        </w:rPr>
        <w:t xml:space="preserve">The Delegate Position framework derives the position name (Delegate </w:t>
      </w:r>
      <w:r w:rsidR="00FF4191">
        <w:rPr>
          <w:lang w:val="en-AU"/>
        </w:rPr>
        <w:t xml:space="preserve">ID </w:t>
      </w:r>
      <w:r w:rsidRPr="00173CD1">
        <w:rPr>
          <w:lang w:val="en-AU"/>
        </w:rPr>
        <w:t>Position) for all delegate roles as the concatenation of: </w:t>
      </w:r>
      <w:r w:rsidRPr="002D388C">
        <w:rPr>
          <w:lang w:val="en-AU"/>
        </w:rPr>
        <w:t xml:space="preserve">'Initials of </w:t>
      </w:r>
      <w:r w:rsidR="00AD20D0" w:rsidRPr="002D388C">
        <w:rPr>
          <w:lang w:val="en-AU"/>
        </w:rPr>
        <w:t>d</w:t>
      </w:r>
      <w:r w:rsidRPr="002D388C">
        <w:rPr>
          <w:lang w:val="en-AU"/>
        </w:rPr>
        <w:t xml:space="preserve">elegate </w:t>
      </w:r>
      <w:r w:rsidR="00AD20D0" w:rsidRPr="002D388C">
        <w:rPr>
          <w:lang w:val="en-AU"/>
        </w:rPr>
        <w:t>r</w:t>
      </w:r>
      <w:r w:rsidRPr="002D388C">
        <w:rPr>
          <w:lang w:val="en-AU"/>
        </w:rPr>
        <w:t xml:space="preserve">ole + </w:t>
      </w:r>
      <w:r w:rsidR="00AD20D0" w:rsidRPr="002D388C">
        <w:rPr>
          <w:lang w:val="en-AU"/>
        </w:rPr>
        <w:t>d</w:t>
      </w:r>
      <w:r w:rsidRPr="002D388C">
        <w:rPr>
          <w:lang w:val="en-AU"/>
        </w:rPr>
        <w:t xml:space="preserve">elegate </w:t>
      </w:r>
      <w:r w:rsidR="00AD20D0" w:rsidRPr="002D388C">
        <w:rPr>
          <w:lang w:val="en-AU"/>
        </w:rPr>
        <w:t>t</w:t>
      </w:r>
      <w:r w:rsidRPr="002D388C">
        <w:rPr>
          <w:lang w:val="en-AU"/>
        </w:rPr>
        <w:t xml:space="preserve">eam ID + </w:t>
      </w:r>
      <w:r w:rsidR="00FF4191">
        <w:rPr>
          <w:lang w:val="en-AU"/>
        </w:rPr>
        <w:t>p</w:t>
      </w:r>
      <w:r w:rsidRPr="002D388C">
        <w:rPr>
          <w:lang w:val="en-AU"/>
        </w:rPr>
        <w:t xml:space="preserve">rofession </w:t>
      </w:r>
      <w:r w:rsidR="00AD20D0" w:rsidRPr="002D388C">
        <w:rPr>
          <w:lang w:val="en-AU"/>
        </w:rPr>
        <w:t>c</w:t>
      </w:r>
      <w:r w:rsidRPr="002D388C">
        <w:rPr>
          <w:lang w:val="en-AU"/>
        </w:rPr>
        <w:t xml:space="preserve">ode + </w:t>
      </w:r>
      <w:r w:rsidR="00FF4191">
        <w:rPr>
          <w:lang w:val="en-AU"/>
        </w:rPr>
        <w:t>p</w:t>
      </w:r>
      <w:r w:rsidRPr="002D388C">
        <w:rPr>
          <w:lang w:val="en-AU"/>
        </w:rPr>
        <w:t xml:space="preserve">osition </w:t>
      </w:r>
      <w:r w:rsidR="00AD20D0" w:rsidRPr="002D388C">
        <w:rPr>
          <w:lang w:val="en-AU"/>
        </w:rPr>
        <w:t>n</w:t>
      </w:r>
      <w:r w:rsidRPr="002D388C">
        <w:rPr>
          <w:lang w:val="en-AU"/>
        </w:rPr>
        <w:t>umber' </w:t>
      </w:r>
    </w:p>
    <w:p w14:paraId="102B3E02" w14:textId="01138EB8" w:rsidR="000935F8" w:rsidRDefault="000935F8" w:rsidP="00CC6081">
      <w:pPr>
        <w:pStyle w:val="H4"/>
      </w:pPr>
      <w:r w:rsidRPr="00173CD1">
        <w:t xml:space="preserve">Initials of </w:t>
      </w:r>
      <w:r w:rsidR="008A283D">
        <w:t>d</w:t>
      </w:r>
      <w:r w:rsidRPr="00173CD1">
        <w:t xml:space="preserve">elegate </w:t>
      </w:r>
      <w:r w:rsidR="008A283D">
        <w:t>r</w:t>
      </w:r>
      <w:r w:rsidRPr="00173CD1">
        <w:t>ole </w:t>
      </w:r>
    </w:p>
    <w:p w14:paraId="65F68FF1" w14:textId="06C62C53" w:rsidR="000935F8" w:rsidRPr="00173CD1" w:rsidRDefault="000935F8" w:rsidP="00622CFF">
      <w:pPr>
        <w:pStyle w:val="Caption"/>
        <w:spacing w:before="240" w:after="240"/>
      </w:pPr>
      <w:r>
        <w:t>Table 5</w:t>
      </w:r>
      <w:r w:rsidR="003930A5">
        <w:t>7</w:t>
      </w:r>
      <w:r>
        <w:t>. Initials of Delegate Role</w:t>
      </w:r>
      <w:r w:rsidR="004C69B2">
        <w:t>s</w:t>
      </w:r>
    </w:p>
    <w:tbl>
      <w:tblPr>
        <w:tblW w:w="864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Initials of Delegate Roles"/>
      </w:tblPr>
      <w:tblGrid>
        <w:gridCol w:w="3225"/>
        <w:gridCol w:w="5422"/>
      </w:tblGrid>
      <w:tr w:rsidR="000935F8" w:rsidRPr="00173CD1" w14:paraId="267334FA" w14:textId="77777777" w:rsidTr="0063132D">
        <w:trPr>
          <w:trHeight w:val="300"/>
        </w:trPr>
        <w:tc>
          <w:tcPr>
            <w:tcW w:w="3225" w:type="dxa"/>
            <w:shd w:val="clear" w:color="auto" w:fill="002060"/>
            <w:hideMark/>
          </w:tcPr>
          <w:p w14:paraId="3EFCF9C0"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Delegate Role</w:t>
            </w:r>
            <w:r w:rsidRPr="00173CD1">
              <w:rPr>
                <w:color w:val="FFFFFF" w:themeColor="background1"/>
                <w:lang w:val="en-AU"/>
              </w:rPr>
              <w:t> </w:t>
            </w:r>
          </w:p>
        </w:tc>
        <w:tc>
          <w:tcPr>
            <w:tcW w:w="5422" w:type="dxa"/>
            <w:shd w:val="clear" w:color="auto" w:fill="002060"/>
            <w:hideMark/>
          </w:tcPr>
          <w:p w14:paraId="0A06157E"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Initials of Delegate Role</w:t>
            </w:r>
            <w:r w:rsidRPr="00173CD1">
              <w:rPr>
                <w:color w:val="FFFFFF" w:themeColor="background1"/>
                <w:lang w:val="en-AU"/>
              </w:rPr>
              <w:t> </w:t>
            </w:r>
          </w:p>
        </w:tc>
      </w:tr>
      <w:tr w:rsidR="000935F8" w:rsidRPr="00173CD1" w14:paraId="177DF768" w14:textId="77777777">
        <w:trPr>
          <w:trHeight w:val="300"/>
        </w:trPr>
        <w:tc>
          <w:tcPr>
            <w:tcW w:w="3225" w:type="dxa"/>
            <w:hideMark/>
          </w:tcPr>
          <w:p w14:paraId="2CC4291F" w14:textId="77777777" w:rsidR="000935F8" w:rsidRPr="00173CD1" w:rsidRDefault="000935F8" w:rsidP="0063132D">
            <w:pPr>
              <w:spacing w:before="120" w:after="120" w:line="240" w:lineRule="auto"/>
              <w:rPr>
                <w:lang w:val="en-AU"/>
              </w:rPr>
            </w:pPr>
            <w:r w:rsidRPr="00173CD1">
              <w:rPr>
                <w:lang w:val="en-AU"/>
              </w:rPr>
              <w:t>Triage Delegate </w:t>
            </w:r>
          </w:p>
        </w:tc>
        <w:tc>
          <w:tcPr>
            <w:tcW w:w="5422" w:type="dxa"/>
            <w:hideMark/>
          </w:tcPr>
          <w:p w14:paraId="7C6A5CFB" w14:textId="77777777" w:rsidR="000935F8" w:rsidRPr="00173CD1" w:rsidRDefault="000935F8" w:rsidP="0063132D">
            <w:pPr>
              <w:spacing w:before="120" w:after="120" w:line="240" w:lineRule="auto"/>
              <w:rPr>
                <w:lang w:val="en-AU"/>
              </w:rPr>
            </w:pPr>
            <w:r w:rsidRPr="00173CD1">
              <w:rPr>
                <w:lang w:val="en-AU"/>
              </w:rPr>
              <w:t>TD </w:t>
            </w:r>
          </w:p>
        </w:tc>
      </w:tr>
      <w:tr w:rsidR="000935F8" w:rsidRPr="00173CD1" w14:paraId="7A4CFBC2" w14:textId="77777777">
        <w:trPr>
          <w:trHeight w:val="300"/>
        </w:trPr>
        <w:tc>
          <w:tcPr>
            <w:tcW w:w="3225" w:type="dxa"/>
            <w:hideMark/>
          </w:tcPr>
          <w:p w14:paraId="56890BC0" w14:textId="77777777" w:rsidR="000935F8" w:rsidRPr="00173CD1" w:rsidRDefault="000935F8" w:rsidP="0063132D">
            <w:pPr>
              <w:spacing w:before="120" w:after="120" w:line="240" w:lineRule="auto"/>
              <w:rPr>
                <w:lang w:val="en-AU"/>
              </w:rPr>
            </w:pPr>
            <w:r w:rsidRPr="00173CD1">
              <w:rPr>
                <w:lang w:val="en-AU"/>
              </w:rPr>
              <w:t>Clinical Assessment Delegate </w:t>
            </w:r>
          </w:p>
        </w:tc>
        <w:tc>
          <w:tcPr>
            <w:tcW w:w="5422" w:type="dxa"/>
            <w:hideMark/>
          </w:tcPr>
          <w:p w14:paraId="62949CB7" w14:textId="77777777" w:rsidR="000935F8" w:rsidRPr="00173CD1" w:rsidRDefault="000935F8" w:rsidP="0063132D">
            <w:pPr>
              <w:spacing w:before="120" w:after="120" w:line="240" w:lineRule="auto"/>
              <w:rPr>
                <w:lang w:val="en-AU"/>
              </w:rPr>
            </w:pPr>
            <w:r w:rsidRPr="00173CD1">
              <w:rPr>
                <w:lang w:val="en-AU"/>
              </w:rPr>
              <w:t>blank (no value) </w:t>
            </w:r>
          </w:p>
        </w:tc>
      </w:tr>
      <w:tr w:rsidR="000935F8" w:rsidRPr="00173CD1" w14:paraId="082380D4" w14:textId="77777777">
        <w:trPr>
          <w:trHeight w:val="300"/>
        </w:trPr>
        <w:tc>
          <w:tcPr>
            <w:tcW w:w="3225" w:type="dxa"/>
            <w:hideMark/>
          </w:tcPr>
          <w:p w14:paraId="7663352A" w14:textId="77777777" w:rsidR="000935F8" w:rsidRPr="00173CD1" w:rsidRDefault="000935F8" w:rsidP="0063132D">
            <w:pPr>
              <w:spacing w:before="120" w:after="120" w:line="240" w:lineRule="auto"/>
              <w:rPr>
                <w:lang w:val="en-AU"/>
              </w:rPr>
            </w:pPr>
            <w:r w:rsidRPr="00173CD1">
              <w:rPr>
                <w:lang w:val="en-AU"/>
              </w:rPr>
              <w:t>Non-Clinical Assessment Delegate </w:t>
            </w:r>
          </w:p>
        </w:tc>
        <w:tc>
          <w:tcPr>
            <w:tcW w:w="5422" w:type="dxa"/>
            <w:hideMark/>
          </w:tcPr>
          <w:p w14:paraId="56FB777B" w14:textId="77777777" w:rsidR="000935F8" w:rsidRPr="00173CD1" w:rsidRDefault="000935F8" w:rsidP="0063132D">
            <w:pPr>
              <w:spacing w:before="120" w:after="120" w:line="240" w:lineRule="auto"/>
              <w:rPr>
                <w:lang w:val="en-AU"/>
              </w:rPr>
            </w:pPr>
            <w:r w:rsidRPr="00173CD1">
              <w:rPr>
                <w:lang w:val="en-AU"/>
              </w:rPr>
              <w:t>NCAD </w:t>
            </w:r>
          </w:p>
        </w:tc>
      </w:tr>
    </w:tbl>
    <w:p w14:paraId="2EE3DB06" w14:textId="022A6195" w:rsidR="000935F8" w:rsidRPr="00173CD1" w:rsidRDefault="000935F8" w:rsidP="00CC6081">
      <w:pPr>
        <w:pStyle w:val="H4"/>
      </w:pPr>
      <w:r w:rsidRPr="00173CD1">
        <w:t xml:space="preserve">Delegate </w:t>
      </w:r>
      <w:r w:rsidR="00AD20D0">
        <w:t>t</w:t>
      </w:r>
      <w:r w:rsidRPr="00173CD1">
        <w:t>eam ID </w:t>
      </w:r>
    </w:p>
    <w:p w14:paraId="765635EA" w14:textId="77777777" w:rsidR="000935F8" w:rsidRPr="00173CD1" w:rsidRDefault="000935F8" w:rsidP="00622CFF">
      <w:pPr>
        <w:spacing w:before="240" w:after="240" w:line="240" w:lineRule="auto"/>
        <w:rPr>
          <w:lang w:val="en-AU"/>
        </w:rPr>
      </w:pPr>
      <w:r w:rsidRPr="00173CD1">
        <w:rPr>
          <w:lang w:val="en-AU"/>
        </w:rPr>
        <w:t>The delegate team ID is an existing field and is unique to an outlet. </w:t>
      </w:r>
    </w:p>
    <w:p w14:paraId="3785B781" w14:textId="4CA94AE3" w:rsidR="000935F8" w:rsidRDefault="000935F8" w:rsidP="00CC6081">
      <w:pPr>
        <w:pStyle w:val="H4"/>
      </w:pPr>
      <w:r w:rsidRPr="00173CD1">
        <w:t xml:space="preserve">Profession </w:t>
      </w:r>
      <w:r w:rsidR="00AD20D0">
        <w:t>c</w:t>
      </w:r>
      <w:r w:rsidRPr="00173CD1">
        <w:t>ode </w:t>
      </w:r>
    </w:p>
    <w:p w14:paraId="1FDD9AA5" w14:textId="24677FD3" w:rsidR="000935F8" w:rsidRDefault="000935F8" w:rsidP="00622CFF">
      <w:pPr>
        <w:pStyle w:val="Caption"/>
        <w:spacing w:before="240" w:after="240"/>
      </w:pPr>
      <w:r>
        <w:t>Table 5</w:t>
      </w:r>
      <w:r w:rsidR="003930A5">
        <w:t>8</w:t>
      </w:r>
      <w:r>
        <w:t xml:space="preserve">. Profession </w:t>
      </w:r>
      <w:r w:rsidR="00AD20D0">
        <w:t>c</w:t>
      </w:r>
      <w:r>
        <w:t>odes</w:t>
      </w:r>
    </w:p>
    <w:tbl>
      <w:tblPr>
        <w:tblW w:w="864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Profession codes"/>
      </w:tblPr>
      <w:tblGrid>
        <w:gridCol w:w="2505"/>
        <w:gridCol w:w="6142"/>
      </w:tblGrid>
      <w:tr w:rsidR="000935F8" w:rsidRPr="00173CD1" w14:paraId="5A87335C" w14:textId="77777777" w:rsidTr="0063132D">
        <w:trPr>
          <w:trHeight w:val="300"/>
        </w:trPr>
        <w:tc>
          <w:tcPr>
            <w:tcW w:w="2505" w:type="dxa"/>
            <w:shd w:val="clear" w:color="auto" w:fill="002060"/>
            <w:hideMark/>
          </w:tcPr>
          <w:p w14:paraId="13826A0F"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Profession</w:t>
            </w:r>
            <w:r w:rsidRPr="00173CD1">
              <w:rPr>
                <w:color w:val="FFFFFF" w:themeColor="background1"/>
                <w:lang w:val="en-AU"/>
              </w:rPr>
              <w:t> </w:t>
            </w:r>
          </w:p>
        </w:tc>
        <w:tc>
          <w:tcPr>
            <w:tcW w:w="6142" w:type="dxa"/>
            <w:shd w:val="clear" w:color="auto" w:fill="002060"/>
            <w:hideMark/>
          </w:tcPr>
          <w:p w14:paraId="0D2B8B2F" w14:textId="77777777" w:rsidR="000935F8" w:rsidRPr="00173CD1" w:rsidRDefault="000935F8" w:rsidP="0063132D">
            <w:pPr>
              <w:spacing w:before="120" w:after="120" w:line="240" w:lineRule="auto"/>
              <w:rPr>
                <w:color w:val="FFFFFF" w:themeColor="background1"/>
                <w:lang w:val="en-AU"/>
              </w:rPr>
            </w:pPr>
            <w:r w:rsidRPr="00173CD1">
              <w:rPr>
                <w:b/>
                <w:bCs/>
                <w:color w:val="FFFFFF" w:themeColor="background1"/>
                <w:lang w:val="en-AU"/>
              </w:rPr>
              <w:t>Profession Code</w:t>
            </w:r>
            <w:r w:rsidRPr="00173CD1">
              <w:rPr>
                <w:color w:val="FFFFFF" w:themeColor="background1"/>
                <w:lang w:val="en-AU"/>
              </w:rPr>
              <w:t> </w:t>
            </w:r>
          </w:p>
        </w:tc>
      </w:tr>
      <w:tr w:rsidR="000935F8" w:rsidRPr="00173CD1" w14:paraId="5993FBC7" w14:textId="77777777">
        <w:trPr>
          <w:trHeight w:val="300"/>
        </w:trPr>
        <w:tc>
          <w:tcPr>
            <w:tcW w:w="2505" w:type="dxa"/>
            <w:hideMark/>
          </w:tcPr>
          <w:p w14:paraId="0FCA2D7C" w14:textId="77777777" w:rsidR="000935F8" w:rsidRPr="00173CD1" w:rsidRDefault="000935F8" w:rsidP="0063132D">
            <w:pPr>
              <w:spacing w:before="120" w:after="120" w:line="240" w:lineRule="auto"/>
              <w:rPr>
                <w:lang w:val="en-AU"/>
              </w:rPr>
            </w:pPr>
            <w:r w:rsidRPr="00173CD1">
              <w:rPr>
                <w:lang w:val="en-AU"/>
              </w:rPr>
              <w:t>Non-Clinical </w:t>
            </w:r>
          </w:p>
        </w:tc>
        <w:tc>
          <w:tcPr>
            <w:tcW w:w="6142" w:type="dxa"/>
            <w:hideMark/>
          </w:tcPr>
          <w:p w14:paraId="5A3FB873" w14:textId="77777777" w:rsidR="000935F8" w:rsidRPr="00173CD1" w:rsidRDefault="000935F8" w:rsidP="0063132D">
            <w:pPr>
              <w:spacing w:before="120" w:after="120" w:line="240" w:lineRule="auto"/>
              <w:rPr>
                <w:lang w:val="en-AU"/>
              </w:rPr>
            </w:pPr>
            <w:r w:rsidRPr="00173CD1">
              <w:rPr>
                <w:lang w:val="en-AU"/>
              </w:rPr>
              <w:t>0 </w:t>
            </w:r>
          </w:p>
        </w:tc>
      </w:tr>
      <w:tr w:rsidR="000935F8" w:rsidRPr="00173CD1" w14:paraId="58458602" w14:textId="77777777">
        <w:trPr>
          <w:trHeight w:val="300"/>
        </w:trPr>
        <w:tc>
          <w:tcPr>
            <w:tcW w:w="2505" w:type="dxa"/>
            <w:hideMark/>
          </w:tcPr>
          <w:p w14:paraId="1D2EDFA1" w14:textId="77777777" w:rsidR="000935F8" w:rsidRPr="00173CD1" w:rsidRDefault="000935F8" w:rsidP="0063132D">
            <w:pPr>
              <w:spacing w:before="120" w:after="120" w:line="240" w:lineRule="auto"/>
              <w:rPr>
                <w:lang w:val="en-AU"/>
              </w:rPr>
            </w:pPr>
            <w:r w:rsidRPr="00173CD1">
              <w:rPr>
                <w:lang w:val="en-AU"/>
              </w:rPr>
              <w:t>Medical Practitioner </w:t>
            </w:r>
          </w:p>
        </w:tc>
        <w:tc>
          <w:tcPr>
            <w:tcW w:w="6142" w:type="dxa"/>
            <w:hideMark/>
          </w:tcPr>
          <w:p w14:paraId="2A45F144" w14:textId="77777777" w:rsidR="000935F8" w:rsidRPr="00173CD1" w:rsidRDefault="000935F8" w:rsidP="0063132D">
            <w:pPr>
              <w:spacing w:before="120" w:after="120" w:line="240" w:lineRule="auto"/>
              <w:rPr>
                <w:lang w:val="en-AU"/>
              </w:rPr>
            </w:pPr>
            <w:r w:rsidRPr="00173CD1">
              <w:rPr>
                <w:lang w:val="en-AU"/>
              </w:rPr>
              <w:t>1 </w:t>
            </w:r>
          </w:p>
        </w:tc>
      </w:tr>
      <w:tr w:rsidR="000935F8" w:rsidRPr="00173CD1" w14:paraId="55BD79F1" w14:textId="77777777">
        <w:trPr>
          <w:trHeight w:val="300"/>
        </w:trPr>
        <w:tc>
          <w:tcPr>
            <w:tcW w:w="2505" w:type="dxa"/>
            <w:hideMark/>
          </w:tcPr>
          <w:p w14:paraId="7E32DF6D" w14:textId="77777777" w:rsidR="000935F8" w:rsidRPr="00173CD1" w:rsidRDefault="000935F8" w:rsidP="0063132D">
            <w:pPr>
              <w:spacing w:before="120" w:after="120" w:line="240" w:lineRule="auto"/>
              <w:rPr>
                <w:lang w:val="en-AU"/>
              </w:rPr>
            </w:pPr>
            <w:r w:rsidRPr="00173CD1">
              <w:rPr>
                <w:lang w:val="en-AU"/>
              </w:rPr>
              <w:t>Registered Nurse </w:t>
            </w:r>
          </w:p>
        </w:tc>
        <w:tc>
          <w:tcPr>
            <w:tcW w:w="6142" w:type="dxa"/>
            <w:hideMark/>
          </w:tcPr>
          <w:p w14:paraId="00B25D99" w14:textId="77777777" w:rsidR="000935F8" w:rsidRPr="00173CD1" w:rsidRDefault="000935F8" w:rsidP="0063132D">
            <w:pPr>
              <w:spacing w:before="120" w:after="120" w:line="240" w:lineRule="auto"/>
              <w:rPr>
                <w:lang w:val="en-AU"/>
              </w:rPr>
            </w:pPr>
            <w:r w:rsidRPr="00173CD1">
              <w:rPr>
                <w:lang w:val="en-AU"/>
              </w:rPr>
              <w:t>2 </w:t>
            </w:r>
          </w:p>
        </w:tc>
      </w:tr>
      <w:tr w:rsidR="000935F8" w:rsidRPr="00173CD1" w14:paraId="59033D17" w14:textId="77777777">
        <w:trPr>
          <w:trHeight w:val="300"/>
        </w:trPr>
        <w:tc>
          <w:tcPr>
            <w:tcW w:w="2505" w:type="dxa"/>
            <w:hideMark/>
          </w:tcPr>
          <w:p w14:paraId="60FBF7B4" w14:textId="77777777" w:rsidR="000935F8" w:rsidRPr="00173CD1" w:rsidRDefault="000935F8" w:rsidP="0063132D">
            <w:pPr>
              <w:spacing w:before="120" w:after="120" w:line="240" w:lineRule="auto"/>
              <w:rPr>
                <w:lang w:val="en-AU"/>
              </w:rPr>
            </w:pPr>
            <w:r w:rsidRPr="00173CD1">
              <w:rPr>
                <w:lang w:val="en-AU"/>
              </w:rPr>
              <w:t>Social Worker </w:t>
            </w:r>
          </w:p>
        </w:tc>
        <w:tc>
          <w:tcPr>
            <w:tcW w:w="6142" w:type="dxa"/>
            <w:hideMark/>
          </w:tcPr>
          <w:p w14:paraId="3D5AA1F0" w14:textId="77777777" w:rsidR="000935F8" w:rsidRPr="00173CD1" w:rsidRDefault="000935F8" w:rsidP="0063132D">
            <w:pPr>
              <w:spacing w:before="120" w:after="120" w:line="240" w:lineRule="auto"/>
              <w:rPr>
                <w:lang w:val="en-AU"/>
              </w:rPr>
            </w:pPr>
            <w:r w:rsidRPr="00173CD1">
              <w:rPr>
                <w:lang w:val="en-AU"/>
              </w:rPr>
              <w:t>3 </w:t>
            </w:r>
          </w:p>
        </w:tc>
      </w:tr>
      <w:tr w:rsidR="000935F8" w:rsidRPr="00173CD1" w14:paraId="62996BFC" w14:textId="77777777">
        <w:trPr>
          <w:trHeight w:val="300"/>
        </w:trPr>
        <w:tc>
          <w:tcPr>
            <w:tcW w:w="2505" w:type="dxa"/>
            <w:hideMark/>
          </w:tcPr>
          <w:p w14:paraId="6C4B9171" w14:textId="77777777" w:rsidR="000935F8" w:rsidRPr="00173CD1" w:rsidRDefault="000935F8" w:rsidP="0063132D">
            <w:pPr>
              <w:spacing w:before="120" w:after="120" w:line="240" w:lineRule="auto"/>
              <w:rPr>
                <w:lang w:val="en-AU"/>
              </w:rPr>
            </w:pPr>
            <w:r w:rsidRPr="00173CD1">
              <w:rPr>
                <w:lang w:val="en-AU"/>
              </w:rPr>
              <w:t>Occupational Therapist </w:t>
            </w:r>
          </w:p>
        </w:tc>
        <w:tc>
          <w:tcPr>
            <w:tcW w:w="6142" w:type="dxa"/>
            <w:hideMark/>
          </w:tcPr>
          <w:p w14:paraId="2A178015" w14:textId="77777777" w:rsidR="000935F8" w:rsidRPr="00173CD1" w:rsidRDefault="000935F8" w:rsidP="0063132D">
            <w:pPr>
              <w:spacing w:before="120" w:after="120" w:line="240" w:lineRule="auto"/>
              <w:rPr>
                <w:lang w:val="en-AU"/>
              </w:rPr>
            </w:pPr>
            <w:r w:rsidRPr="00173CD1">
              <w:rPr>
                <w:lang w:val="en-AU"/>
              </w:rPr>
              <w:t>4 </w:t>
            </w:r>
          </w:p>
        </w:tc>
      </w:tr>
      <w:tr w:rsidR="000935F8" w:rsidRPr="00173CD1" w14:paraId="0529043B" w14:textId="77777777">
        <w:trPr>
          <w:trHeight w:val="300"/>
        </w:trPr>
        <w:tc>
          <w:tcPr>
            <w:tcW w:w="2505" w:type="dxa"/>
            <w:hideMark/>
          </w:tcPr>
          <w:p w14:paraId="32D091E4" w14:textId="77777777" w:rsidR="000935F8" w:rsidRPr="00173CD1" w:rsidRDefault="000935F8" w:rsidP="0063132D">
            <w:pPr>
              <w:spacing w:before="120" w:after="120" w:line="240" w:lineRule="auto"/>
              <w:rPr>
                <w:lang w:val="en-AU"/>
              </w:rPr>
            </w:pPr>
            <w:r w:rsidRPr="00173CD1">
              <w:rPr>
                <w:lang w:val="en-AU"/>
              </w:rPr>
              <w:t>Physiotherapist </w:t>
            </w:r>
          </w:p>
        </w:tc>
        <w:tc>
          <w:tcPr>
            <w:tcW w:w="6142" w:type="dxa"/>
            <w:hideMark/>
          </w:tcPr>
          <w:p w14:paraId="0679AE86" w14:textId="77777777" w:rsidR="000935F8" w:rsidRPr="00173CD1" w:rsidRDefault="000935F8" w:rsidP="0063132D">
            <w:pPr>
              <w:spacing w:before="120" w:after="120" w:line="240" w:lineRule="auto"/>
              <w:rPr>
                <w:lang w:val="en-AU"/>
              </w:rPr>
            </w:pPr>
            <w:r w:rsidRPr="00173CD1">
              <w:rPr>
                <w:lang w:val="en-AU"/>
              </w:rPr>
              <w:t>5 </w:t>
            </w:r>
          </w:p>
        </w:tc>
      </w:tr>
      <w:tr w:rsidR="000935F8" w:rsidRPr="00173CD1" w14:paraId="5CA6D2CE" w14:textId="77777777">
        <w:trPr>
          <w:trHeight w:val="300"/>
        </w:trPr>
        <w:tc>
          <w:tcPr>
            <w:tcW w:w="2505" w:type="dxa"/>
            <w:hideMark/>
          </w:tcPr>
          <w:p w14:paraId="1193EBBB" w14:textId="77777777" w:rsidR="000935F8" w:rsidRPr="00173CD1" w:rsidRDefault="000935F8" w:rsidP="0063132D">
            <w:pPr>
              <w:spacing w:before="120" w:after="120" w:line="240" w:lineRule="auto"/>
              <w:rPr>
                <w:lang w:val="en-AU"/>
              </w:rPr>
            </w:pPr>
            <w:r w:rsidRPr="00173CD1">
              <w:rPr>
                <w:lang w:val="en-AU"/>
              </w:rPr>
              <w:t>Other Health Professional </w:t>
            </w:r>
          </w:p>
        </w:tc>
        <w:tc>
          <w:tcPr>
            <w:tcW w:w="6142" w:type="dxa"/>
            <w:hideMark/>
          </w:tcPr>
          <w:p w14:paraId="72C7236C" w14:textId="77777777" w:rsidR="000935F8" w:rsidRPr="00173CD1" w:rsidRDefault="000935F8" w:rsidP="0063132D">
            <w:pPr>
              <w:spacing w:before="120" w:after="120" w:line="240" w:lineRule="auto"/>
              <w:rPr>
                <w:lang w:val="en-AU"/>
              </w:rPr>
            </w:pPr>
            <w:r w:rsidRPr="00173CD1">
              <w:rPr>
                <w:lang w:val="en-AU"/>
              </w:rPr>
              <w:t>6 </w:t>
            </w:r>
          </w:p>
        </w:tc>
      </w:tr>
      <w:tr w:rsidR="000935F8" w:rsidRPr="00173CD1" w14:paraId="45F3908E" w14:textId="77777777">
        <w:trPr>
          <w:trHeight w:val="300"/>
        </w:trPr>
        <w:tc>
          <w:tcPr>
            <w:tcW w:w="2505" w:type="dxa"/>
            <w:hideMark/>
          </w:tcPr>
          <w:p w14:paraId="06F20A52" w14:textId="77777777" w:rsidR="000935F8" w:rsidRPr="00173CD1" w:rsidRDefault="000935F8" w:rsidP="0063132D">
            <w:pPr>
              <w:spacing w:before="120" w:after="120" w:line="240" w:lineRule="auto"/>
              <w:rPr>
                <w:lang w:val="en-AU"/>
              </w:rPr>
            </w:pPr>
            <w:r w:rsidRPr="00173CD1">
              <w:rPr>
                <w:lang w:val="en-AU"/>
              </w:rPr>
              <w:t>Psychologist </w:t>
            </w:r>
          </w:p>
        </w:tc>
        <w:tc>
          <w:tcPr>
            <w:tcW w:w="6142" w:type="dxa"/>
            <w:hideMark/>
          </w:tcPr>
          <w:p w14:paraId="0E82AB55" w14:textId="77777777" w:rsidR="000935F8" w:rsidRPr="00173CD1" w:rsidRDefault="000935F8" w:rsidP="0063132D">
            <w:pPr>
              <w:spacing w:before="120" w:after="120" w:line="240" w:lineRule="auto"/>
              <w:rPr>
                <w:lang w:val="en-AU"/>
              </w:rPr>
            </w:pPr>
            <w:r w:rsidRPr="00173CD1">
              <w:rPr>
                <w:lang w:val="en-AU"/>
              </w:rPr>
              <w:t>7 </w:t>
            </w:r>
          </w:p>
        </w:tc>
      </w:tr>
    </w:tbl>
    <w:p w14:paraId="2804725B" w14:textId="0AC0D2C2" w:rsidR="000935F8" w:rsidRDefault="000935F8" w:rsidP="00E3017E"/>
    <w:p w14:paraId="3331E893" w14:textId="77777777" w:rsidR="000935F8" w:rsidRPr="00173CD1" w:rsidRDefault="000935F8" w:rsidP="00CC6081">
      <w:pPr>
        <w:pStyle w:val="H4"/>
      </w:pPr>
      <w:r w:rsidRPr="00173CD1">
        <w:t>Position number </w:t>
      </w:r>
    </w:p>
    <w:p w14:paraId="1CB423A0" w14:textId="42C7098F" w:rsidR="000935F8" w:rsidRPr="00173CD1" w:rsidRDefault="000935F8" w:rsidP="00622CFF">
      <w:pPr>
        <w:spacing w:before="240" w:after="240" w:line="240" w:lineRule="auto"/>
        <w:rPr>
          <w:lang w:val="en-AU"/>
        </w:rPr>
      </w:pPr>
      <w:r w:rsidRPr="00173CD1">
        <w:rPr>
          <w:lang w:val="en-AU"/>
        </w:rPr>
        <w:t xml:space="preserve">The position number is </w:t>
      </w:r>
      <w:r w:rsidR="00256087">
        <w:rPr>
          <w:lang w:val="en-AU"/>
        </w:rPr>
        <w:t xml:space="preserve">a </w:t>
      </w:r>
      <w:r w:rsidRPr="00173CD1">
        <w:rPr>
          <w:lang w:val="en-AU"/>
        </w:rPr>
        <w:t>counter, automatically incremented. </w:t>
      </w:r>
      <w:r w:rsidRPr="00173CD1">
        <w:rPr>
          <w:lang w:val="en-AU"/>
        </w:rPr>
        <w:br/>
        <w:t> </w:t>
      </w:r>
      <w:r w:rsidRPr="00173CD1">
        <w:rPr>
          <w:lang w:val="en-AU"/>
        </w:rPr>
        <w:br/>
        <w:t>Example:  </w:t>
      </w:r>
    </w:p>
    <w:p w14:paraId="45C76AE5" w14:textId="77777777" w:rsidR="000935F8" w:rsidRPr="00893668" w:rsidRDefault="000935F8" w:rsidP="00E3017E">
      <w:pPr>
        <w:spacing w:before="240" w:after="240" w:line="240" w:lineRule="auto"/>
        <w:rPr>
          <w:lang w:val="en-AU"/>
        </w:rPr>
      </w:pPr>
      <w:r w:rsidRPr="00893668">
        <w:rPr>
          <w:lang w:val="en-AU"/>
        </w:rPr>
        <w:t>A Triage Delegate role for an outlet with: </w:t>
      </w:r>
    </w:p>
    <w:p w14:paraId="0E5CAEC2" w14:textId="77777777" w:rsidR="000935F8" w:rsidRPr="00893668" w:rsidRDefault="000935F8" w:rsidP="00DF3F6B">
      <w:pPr>
        <w:pStyle w:val="ListParagraph"/>
        <w:numPr>
          <w:ilvl w:val="0"/>
          <w:numId w:val="385"/>
        </w:numPr>
        <w:spacing w:before="240" w:after="240" w:line="240" w:lineRule="auto"/>
        <w:rPr>
          <w:lang w:val="en-AU"/>
        </w:rPr>
      </w:pPr>
      <w:r w:rsidRPr="00893668">
        <w:rPr>
          <w:lang w:val="en-AU"/>
        </w:rPr>
        <w:t>Delegate Team ID: "7YC" </w:t>
      </w:r>
    </w:p>
    <w:p w14:paraId="14A8FA9B" w14:textId="77777777" w:rsidR="000935F8" w:rsidRPr="00893668" w:rsidRDefault="000935F8" w:rsidP="00DF3F6B">
      <w:pPr>
        <w:pStyle w:val="ListParagraph"/>
        <w:numPr>
          <w:ilvl w:val="0"/>
          <w:numId w:val="385"/>
        </w:numPr>
        <w:spacing w:before="240" w:after="240" w:line="240" w:lineRule="auto"/>
        <w:rPr>
          <w:lang w:val="en-AU"/>
        </w:rPr>
      </w:pPr>
      <w:r w:rsidRPr="00893668">
        <w:rPr>
          <w:lang w:val="en-AU"/>
        </w:rPr>
        <w:t>Profession: Social Worker (Profession Code: "3") </w:t>
      </w:r>
    </w:p>
    <w:p w14:paraId="31A2D3A4" w14:textId="77777777" w:rsidR="000935F8" w:rsidRPr="00893668" w:rsidRDefault="000935F8" w:rsidP="00DF3F6B">
      <w:pPr>
        <w:pStyle w:val="ListParagraph"/>
        <w:numPr>
          <w:ilvl w:val="0"/>
          <w:numId w:val="385"/>
        </w:numPr>
        <w:spacing w:before="240" w:after="240" w:line="240" w:lineRule="auto"/>
        <w:rPr>
          <w:lang w:val="en-AU"/>
        </w:rPr>
      </w:pPr>
      <w:r w:rsidRPr="00893668">
        <w:rPr>
          <w:lang w:val="en-AU"/>
        </w:rPr>
        <w:t>Position Number: "00" </w:t>
      </w:r>
    </w:p>
    <w:p w14:paraId="4E9E116B" w14:textId="77777777" w:rsidR="000935F8" w:rsidRPr="00893668" w:rsidRDefault="000935F8" w:rsidP="00E3017E">
      <w:pPr>
        <w:spacing w:before="240" w:after="240" w:line="240" w:lineRule="auto"/>
        <w:ind w:left="360"/>
        <w:rPr>
          <w:lang w:val="en-AU"/>
        </w:rPr>
      </w:pPr>
      <w:r w:rsidRPr="00893668">
        <w:rPr>
          <w:lang w:val="en-AU"/>
        </w:rPr>
        <w:t>The Delegate Position ID will be TD7YC300. </w:t>
      </w:r>
    </w:p>
    <w:p w14:paraId="210F23B8" w14:textId="77777777" w:rsidR="000935F8" w:rsidRPr="00173CD1" w:rsidRDefault="000935F8" w:rsidP="00622CFF">
      <w:pPr>
        <w:spacing w:before="240" w:after="240" w:line="240" w:lineRule="auto"/>
        <w:ind w:left="360"/>
        <w:rPr>
          <w:lang w:val="en-AU"/>
        </w:rPr>
      </w:pPr>
      <w:r w:rsidRPr="00173CD1">
        <w:rPr>
          <w:lang w:val="en-AU"/>
        </w:rPr>
        <w:t>A Clinical Assessment Delegate position (ID: 6SR315) is located in Southern Tasmania (Aged Care Planning Region) for the Tasmanian Department of Health. This role: </w:t>
      </w:r>
    </w:p>
    <w:p w14:paraId="5CDA0842" w14:textId="77777777" w:rsidR="000935F8" w:rsidRPr="00173CD1" w:rsidRDefault="000935F8" w:rsidP="00DF3F6B">
      <w:pPr>
        <w:numPr>
          <w:ilvl w:val="0"/>
          <w:numId w:val="372"/>
        </w:numPr>
        <w:spacing w:before="240" w:after="240" w:line="240" w:lineRule="auto"/>
        <w:rPr>
          <w:lang w:val="en-AU"/>
        </w:rPr>
      </w:pPr>
      <w:r w:rsidRPr="00173CD1">
        <w:rPr>
          <w:lang w:val="en-AU"/>
        </w:rPr>
        <w:t>Can only be occupied by a Social Worker </w:t>
      </w:r>
    </w:p>
    <w:p w14:paraId="337BB195" w14:textId="77777777" w:rsidR="000935F8" w:rsidRPr="00173CD1" w:rsidRDefault="000935F8" w:rsidP="00DF3F6B">
      <w:pPr>
        <w:numPr>
          <w:ilvl w:val="0"/>
          <w:numId w:val="373"/>
        </w:numPr>
        <w:spacing w:before="240" w:after="240" w:line="240" w:lineRule="auto"/>
        <w:rPr>
          <w:lang w:val="en-AU"/>
        </w:rPr>
      </w:pPr>
      <w:r w:rsidRPr="00173CD1">
        <w:rPr>
          <w:lang w:val="en-AU"/>
        </w:rPr>
        <w:t>Is identified by the Position Number: 15 in that outlet. </w:t>
      </w:r>
    </w:p>
    <w:p w14:paraId="2B58604C" w14:textId="19384F4F" w:rsidR="000935F8" w:rsidRPr="00173CD1" w:rsidRDefault="000935F8" w:rsidP="00CC6081">
      <w:pPr>
        <w:pStyle w:val="H4"/>
      </w:pPr>
      <w:r w:rsidRPr="00173CD1">
        <w:t xml:space="preserve">Using the My Aged Care </w:t>
      </w:r>
      <w:r w:rsidR="0060352D">
        <w:t>assessor portal</w:t>
      </w:r>
      <w:r w:rsidRPr="00173CD1">
        <w:t> </w:t>
      </w:r>
    </w:p>
    <w:p w14:paraId="7872FBCD" w14:textId="361AE778" w:rsidR="000935F8" w:rsidRPr="00173CD1" w:rsidRDefault="000935F8" w:rsidP="00622CFF">
      <w:pPr>
        <w:spacing w:before="240" w:after="240" w:line="240" w:lineRule="auto"/>
        <w:rPr>
          <w:lang w:val="en-AU"/>
        </w:rPr>
      </w:pPr>
      <w:r w:rsidRPr="00173CD1">
        <w:rPr>
          <w:lang w:val="en-AU"/>
        </w:rPr>
        <w:t xml:space="preserve">The My Aged Care </w:t>
      </w:r>
      <w:r w:rsidR="0060352D">
        <w:rPr>
          <w:lang w:val="en-AU"/>
        </w:rPr>
        <w:t>assessor portal</w:t>
      </w:r>
      <w:r w:rsidRPr="00173CD1">
        <w:rPr>
          <w:lang w:val="en-AU"/>
        </w:rPr>
        <w:t> allows applicants to manage delegate positions through a structured process. </w:t>
      </w:r>
    </w:p>
    <w:p w14:paraId="6E32F084" w14:textId="77777777" w:rsidR="000935F8" w:rsidRPr="00173CD1" w:rsidRDefault="000935F8" w:rsidP="00622CFF">
      <w:pPr>
        <w:spacing w:before="240" w:after="240" w:line="240" w:lineRule="auto"/>
        <w:rPr>
          <w:lang w:val="en-AU"/>
        </w:rPr>
      </w:pPr>
      <w:r w:rsidRPr="00173CD1">
        <w:rPr>
          <w:lang w:val="en-AU"/>
        </w:rPr>
        <w:t>The delegate application process consists of four main steps: </w:t>
      </w:r>
    </w:p>
    <w:p w14:paraId="3341DA56"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Create the application – The applicant initiates and submits the application. </w:t>
      </w:r>
    </w:p>
    <w:p w14:paraId="0061DBC1"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Verify the application – A verifier, who must hold the Team Leader role in the portal, reviews and confirms the application details. </w:t>
      </w:r>
    </w:p>
    <w:p w14:paraId="45382BAB"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Support the application – A supporter, who must hold the Assessment Organisation Operational Manager role in the portal, provides the final approval or endorsement. </w:t>
      </w:r>
    </w:p>
    <w:p w14:paraId="16F00D93" w14:textId="77777777" w:rsidR="000935F8" w:rsidRPr="00A039AC" w:rsidRDefault="000935F8" w:rsidP="00DF3F6B">
      <w:pPr>
        <w:pStyle w:val="ListParagraph"/>
        <w:numPr>
          <w:ilvl w:val="0"/>
          <w:numId w:val="386"/>
        </w:numPr>
        <w:spacing w:before="240" w:after="240" w:line="240" w:lineRule="auto"/>
        <w:rPr>
          <w:lang w:val="en-AU"/>
        </w:rPr>
      </w:pPr>
      <w:r w:rsidRPr="00A039AC">
        <w:rPr>
          <w:lang w:val="en-AU"/>
        </w:rPr>
        <w:t>Approve the application – The Department reviews the application and any supporting evidence before deciding to approve or deny it. </w:t>
      </w:r>
    </w:p>
    <w:p w14:paraId="12458916" w14:textId="77777777" w:rsidR="000935F8" w:rsidRPr="00173CD1" w:rsidRDefault="000935F8" w:rsidP="00622CFF">
      <w:pPr>
        <w:spacing w:before="240" w:after="240" w:line="240" w:lineRule="auto"/>
        <w:rPr>
          <w:lang w:val="en-AU"/>
        </w:rPr>
      </w:pPr>
      <w:r w:rsidRPr="00173CD1">
        <w:rPr>
          <w:lang w:val="en-AU"/>
        </w:rPr>
        <w:t>Each step in the application process must be completed in order, following the system’s established rules and workflows. </w:t>
      </w:r>
    </w:p>
    <w:p w14:paraId="10A8CBD0" w14:textId="77777777" w:rsidR="000935F8" w:rsidRPr="00173CD1" w:rsidRDefault="000935F8" w:rsidP="00622CFF">
      <w:pPr>
        <w:spacing w:before="240" w:after="240" w:line="240" w:lineRule="auto"/>
        <w:rPr>
          <w:b/>
          <w:bCs/>
          <w:lang w:val="en-AU"/>
        </w:rPr>
      </w:pPr>
      <w:r w:rsidRPr="00173CD1">
        <w:rPr>
          <w:b/>
          <w:bCs/>
          <w:lang w:val="en-AU"/>
        </w:rPr>
        <w:t>Portal processes </w:t>
      </w:r>
    </w:p>
    <w:p w14:paraId="369FB498" w14:textId="77777777" w:rsidR="000935F8" w:rsidRPr="00173CD1" w:rsidRDefault="000935F8" w:rsidP="00622CFF">
      <w:pPr>
        <w:spacing w:before="240" w:after="240" w:line="240" w:lineRule="auto"/>
        <w:rPr>
          <w:lang w:val="en-AU"/>
        </w:rPr>
      </w:pPr>
      <w:r w:rsidRPr="00173CD1">
        <w:rPr>
          <w:lang w:val="en-AU"/>
        </w:rPr>
        <w:t>A key requirement is that applications progress one step at a time. For instance, if a Team Leader submits an application on behalf of another user, they must first create and submit the application. Only after submission can they return to verify it. This structured approach ensures clarity and organisation throughout the process. </w:t>
      </w:r>
    </w:p>
    <w:p w14:paraId="27DFF061" w14:textId="539FDE63" w:rsidR="004065F3" w:rsidRDefault="000935F8" w:rsidP="00622CFF">
      <w:pPr>
        <w:spacing w:before="240" w:after="240" w:line="240" w:lineRule="auto"/>
        <w:rPr>
          <w:lang w:val="en-AU"/>
        </w:rPr>
      </w:pPr>
      <w:r w:rsidRPr="00173CD1">
        <w:rPr>
          <w:lang w:val="en-AU"/>
        </w:rPr>
        <w:t>Applicants, verifiers, and supporters have access to the proposed delegate’s profile details, including their name, contact information, clinical status, occupation, and qualifications. However, these details cannot be updated during the application process. If any information needs to be changed, the applicant must work with the outlet or organisation administrator to update the details within the portal, separately from the application process. </w:t>
      </w:r>
    </w:p>
    <w:p w14:paraId="551585D0" w14:textId="77777777" w:rsidR="000935F8" w:rsidRPr="00173CD1" w:rsidRDefault="000935F8" w:rsidP="00622CFF">
      <w:pPr>
        <w:spacing w:before="240" w:after="240" w:line="240" w:lineRule="auto"/>
        <w:rPr>
          <w:lang w:val="en-AU"/>
        </w:rPr>
      </w:pPr>
      <w:r w:rsidRPr="00173CD1">
        <w:rPr>
          <w:b/>
          <w:bCs/>
          <w:lang w:val="en-AU"/>
        </w:rPr>
        <w:t>Access to applications is limited to authorised users</w:t>
      </w:r>
      <w:r w:rsidRPr="00173CD1">
        <w:rPr>
          <w:lang w:val="en-AU"/>
        </w:rPr>
        <w:t> </w:t>
      </w:r>
    </w:p>
    <w:p w14:paraId="35BB6ED4" w14:textId="77777777" w:rsidR="000935F8" w:rsidRPr="00173CD1" w:rsidRDefault="000935F8" w:rsidP="00622CFF">
      <w:pPr>
        <w:spacing w:before="240" w:after="240" w:line="240" w:lineRule="auto"/>
        <w:rPr>
          <w:lang w:val="en-AU"/>
        </w:rPr>
      </w:pPr>
      <w:r w:rsidRPr="00173CD1">
        <w:rPr>
          <w:lang w:val="en-AU"/>
        </w:rPr>
        <w:t>Outlet-level Team Leaders and Outlet Administrators have limited access. For applications involving multiple outlets, only Team Leaders overseeing all included outlets can view them. Outlet Administrators have similar restrictions and, like Organisational Administrators, do not participate in processing delegate applications. </w:t>
      </w:r>
    </w:p>
    <w:p w14:paraId="729794ED" w14:textId="77777777" w:rsidR="000935F8" w:rsidRPr="00173CD1" w:rsidRDefault="000935F8" w:rsidP="00622CFF">
      <w:pPr>
        <w:spacing w:before="240" w:after="240" w:line="240" w:lineRule="auto"/>
        <w:rPr>
          <w:b/>
          <w:bCs/>
          <w:lang w:val="en-AU"/>
        </w:rPr>
      </w:pPr>
      <w:r w:rsidRPr="00173CD1">
        <w:rPr>
          <w:b/>
          <w:bCs/>
          <w:lang w:val="en-AU"/>
        </w:rPr>
        <w:t>Creating a delegate application </w:t>
      </w:r>
    </w:p>
    <w:p w14:paraId="3C39471A" w14:textId="254FEDD8" w:rsidR="000935F8" w:rsidRPr="00173CD1" w:rsidRDefault="000935F8" w:rsidP="00622CFF">
      <w:pPr>
        <w:spacing w:before="240" w:after="240" w:line="240" w:lineRule="auto"/>
        <w:rPr>
          <w:lang w:val="en-AU"/>
        </w:rPr>
      </w:pPr>
      <w:r w:rsidRPr="00173CD1">
        <w:rPr>
          <w:lang w:val="en-AU"/>
        </w:rPr>
        <w:t xml:space="preserve">When creating a delegate application, delegate positions </w:t>
      </w:r>
      <w:r w:rsidR="000E4188">
        <w:rPr>
          <w:lang w:val="en-AU"/>
        </w:rPr>
        <w:t xml:space="preserve">can be managed </w:t>
      </w:r>
      <w:r w:rsidRPr="00173CD1">
        <w:rPr>
          <w:lang w:val="en-AU"/>
        </w:rPr>
        <w:t>by adding, replacing, or ceasing delegates. </w:t>
      </w:r>
    </w:p>
    <w:p w14:paraId="7C6985C9" w14:textId="72242D48" w:rsidR="000935F8" w:rsidRPr="00173CD1" w:rsidRDefault="000935F8" w:rsidP="00DF3F6B">
      <w:pPr>
        <w:numPr>
          <w:ilvl w:val="0"/>
          <w:numId w:val="374"/>
        </w:numPr>
        <w:spacing w:before="240" w:after="240" w:line="240" w:lineRule="auto"/>
        <w:rPr>
          <w:lang w:val="en-AU"/>
        </w:rPr>
      </w:pPr>
      <w:r w:rsidRPr="00173CD1">
        <w:rPr>
          <w:lang w:val="en-AU"/>
        </w:rPr>
        <w:t>The </w:t>
      </w:r>
      <w:r w:rsidRPr="00173CD1">
        <w:rPr>
          <w:b/>
          <w:bCs/>
          <w:lang w:val="en-AU"/>
        </w:rPr>
        <w:t>Add </w:t>
      </w:r>
      <w:r w:rsidRPr="00173CD1">
        <w:rPr>
          <w:lang w:val="en-AU"/>
        </w:rPr>
        <w:t xml:space="preserve">option allows </w:t>
      </w:r>
      <w:r w:rsidR="009C65D4">
        <w:rPr>
          <w:lang w:val="en-AU"/>
        </w:rPr>
        <w:t>the user</w:t>
      </w:r>
      <w:r w:rsidRPr="00173CD1">
        <w:rPr>
          <w:lang w:val="en-AU"/>
        </w:rPr>
        <w:t xml:space="preserve"> to create a new delegate position. </w:t>
      </w:r>
    </w:p>
    <w:p w14:paraId="773E6BF3" w14:textId="66F3D57C" w:rsidR="000935F8" w:rsidRPr="00173CD1" w:rsidRDefault="000935F8" w:rsidP="00DF3F6B">
      <w:pPr>
        <w:numPr>
          <w:ilvl w:val="0"/>
          <w:numId w:val="375"/>
        </w:numPr>
        <w:spacing w:before="240" w:after="240" w:line="240" w:lineRule="auto"/>
        <w:rPr>
          <w:lang w:val="en-AU"/>
        </w:rPr>
      </w:pPr>
      <w:r w:rsidRPr="00173CD1">
        <w:rPr>
          <w:lang w:val="en-AU"/>
        </w:rPr>
        <w:t>The </w:t>
      </w:r>
      <w:r w:rsidRPr="00173CD1">
        <w:rPr>
          <w:b/>
          <w:bCs/>
          <w:lang w:val="en-AU"/>
        </w:rPr>
        <w:t>Replace </w:t>
      </w:r>
      <w:r w:rsidRPr="00173CD1">
        <w:rPr>
          <w:lang w:val="en-AU"/>
        </w:rPr>
        <w:t xml:space="preserve">option lets </w:t>
      </w:r>
      <w:r w:rsidR="009C65D4">
        <w:rPr>
          <w:lang w:val="en-AU"/>
        </w:rPr>
        <w:t>the user</w:t>
      </w:r>
      <w:r w:rsidRPr="00173CD1">
        <w:rPr>
          <w:lang w:val="en-AU"/>
        </w:rPr>
        <w:t xml:space="preserve"> cease an existing delegate and assign their replacement. </w:t>
      </w:r>
    </w:p>
    <w:p w14:paraId="30C033E7" w14:textId="77777777" w:rsidR="000935F8" w:rsidRPr="00173CD1" w:rsidRDefault="000935F8" w:rsidP="00DF3F6B">
      <w:pPr>
        <w:numPr>
          <w:ilvl w:val="0"/>
          <w:numId w:val="376"/>
        </w:numPr>
        <w:spacing w:before="240" w:after="240" w:line="240" w:lineRule="auto"/>
        <w:rPr>
          <w:lang w:val="en-AU"/>
        </w:rPr>
      </w:pPr>
      <w:r w:rsidRPr="00173CD1">
        <w:rPr>
          <w:lang w:val="en-AU"/>
        </w:rPr>
        <w:t>The </w:t>
      </w:r>
      <w:r w:rsidRPr="00173CD1">
        <w:rPr>
          <w:b/>
          <w:bCs/>
          <w:lang w:val="en-AU"/>
        </w:rPr>
        <w:t>Cease </w:t>
      </w:r>
      <w:r w:rsidRPr="00173CD1">
        <w:rPr>
          <w:lang w:val="en-AU"/>
        </w:rPr>
        <w:t>option is used to remove a delegate from their positions without assigning a replacement.  </w:t>
      </w:r>
    </w:p>
    <w:p w14:paraId="5893EAAD" w14:textId="3AB4833E" w:rsidR="000935F8" w:rsidRPr="00173CD1" w:rsidRDefault="000935F8" w:rsidP="00622CFF">
      <w:pPr>
        <w:spacing w:before="240" w:after="240" w:line="240" w:lineRule="auto"/>
        <w:rPr>
          <w:lang w:val="en-AU"/>
        </w:rPr>
      </w:pPr>
      <w:r w:rsidRPr="00173CD1">
        <w:rPr>
          <w:lang w:val="en-AU"/>
        </w:rPr>
        <w:t xml:space="preserve">Each application must focus on a single delegate role, which must </w:t>
      </w:r>
      <w:r w:rsidR="009C65D4">
        <w:rPr>
          <w:lang w:val="en-AU"/>
        </w:rPr>
        <w:t xml:space="preserve">be </w:t>
      </w:r>
      <w:r w:rsidRPr="00173CD1">
        <w:rPr>
          <w:lang w:val="en-AU"/>
        </w:rPr>
        <w:t>select</w:t>
      </w:r>
      <w:r w:rsidR="009C65D4">
        <w:rPr>
          <w:lang w:val="en-AU"/>
        </w:rPr>
        <w:t>ed</w:t>
      </w:r>
      <w:r w:rsidRPr="00173CD1">
        <w:rPr>
          <w:lang w:val="en-AU"/>
        </w:rPr>
        <w:t xml:space="preserve"> at the time of submission. The available roles are Triage Delegate, Clinical Assessment Delegate, or Non-Clinical Assessment Delegate. </w:t>
      </w:r>
    </w:p>
    <w:p w14:paraId="3D9ECCCF" w14:textId="7FD8BB3F" w:rsidR="000935F8" w:rsidRPr="00173CD1" w:rsidRDefault="000935F8" w:rsidP="00622CFF">
      <w:pPr>
        <w:spacing w:before="240" w:after="240" w:line="240" w:lineRule="auto"/>
        <w:rPr>
          <w:lang w:val="en-AU"/>
        </w:rPr>
      </w:pPr>
      <w:r w:rsidRPr="00173CD1">
        <w:rPr>
          <w:lang w:val="en-AU"/>
        </w:rPr>
        <w:t xml:space="preserve">If </w:t>
      </w:r>
      <w:r w:rsidR="002D6DB2">
        <w:rPr>
          <w:lang w:val="en-AU"/>
        </w:rPr>
        <w:t xml:space="preserve">someone is </w:t>
      </w:r>
      <w:r w:rsidRPr="00173CD1">
        <w:rPr>
          <w:lang w:val="en-AU"/>
        </w:rPr>
        <w:t>required to hold multiple roles, separate applications must be submitted for each role. In replace applications, the new delegate automatically inherits the same role as the ceasing delegate.  </w:t>
      </w:r>
    </w:p>
    <w:p w14:paraId="1023F280" w14:textId="77777777" w:rsidR="000935F8" w:rsidRPr="00173CD1" w:rsidRDefault="000935F8" w:rsidP="00622CFF">
      <w:pPr>
        <w:spacing w:before="240" w:after="240" w:line="240" w:lineRule="auto"/>
        <w:rPr>
          <w:lang w:val="en-AU"/>
        </w:rPr>
      </w:pPr>
      <w:r w:rsidRPr="00173CD1">
        <w:rPr>
          <w:b/>
          <w:bCs/>
          <w:lang w:val="en-AU"/>
        </w:rPr>
        <w:t>Important to note</w:t>
      </w:r>
      <w:r w:rsidRPr="00173CD1">
        <w:rPr>
          <w:lang w:val="en-AU"/>
        </w:rPr>
        <w:t> </w:t>
      </w:r>
    </w:p>
    <w:p w14:paraId="4E1ACF0C" w14:textId="74A468DF" w:rsidR="000935F8" w:rsidRPr="00173CD1" w:rsidRDefault="000935F8" w:rsidP="00DF3F6B">
      <w:pPr>
        <w:numPr>
          <w:ilvl w:val="0"/>
          <w:numId w:val="377"/>
        </w:numPr>
        <w:spacing w:before="240" w:after="240" w:line="240" w:lineRule="auto"/>
        <w:rPr>
          <w:lang w:val="en-AU"/>
        </w:rPr>
      </w:pPr>
      <w:r w:rsidRPr="00173CD1">
        <w:rPr>
          <w:lang w:val="en-AU"/>
        </w:rPr>
        <w:t>For </w:t>
      </w:r>
      <w:r w:rsidRPr="00C11EEE">
        <w:rPr>
          <w:lang w:val="en-AU"/>
        </w:rPr>
        <w:t>Add</w:t>
      </w:r>
      <w:r w:rsidRPr="00173CD1">
        <w:rPr>
          <w:lang w:val="en-AU"/>
        </w:rPr>
        <w:t> and </w:t>
      </w:r>
      <w:r w:rsidRPr="00C11EEE">
        <w:rPr>
          <w:lang w:val="en-AU"/>
        </w:rPr>
        <w:t>Replace</w:t>
      </w:r>
      <w:r w:rsidRPr="00173CD1">
        <w:rPr>
          <w:lang w:val="en-AU"/>
        </w:rPr>
        <w:t> applications, selecting the delegate's profession is a key step. The system uses this information to either assign an existing vacant position for that profession or create a new position if no vacancy exists. For </w:t>
      </w:r>
      <w:r w:rsidRPr="00C11EEE">
        <w:rPr>
          <w:lang w:val="en-AU"/>
        </w:rPr>
        <w:t>Cease</w:t>
      </w:r>
      <w:r w:rsidRPr="00173CD1">
        <w:rPr>
          <w:lang w:val="en-AU"/>
        </w:rPr>
        <w:t xml:space="preserve"> applications, there is no need to select a profession. </w:t>
      </w:r>
      <w:r w:rsidR="00783270">
        <w:rPr>
          <w:lang w:val="en-AU"/>
        </w:rPr>
        <w:t>S</w:t>
      </w:r>
      <w:r w:rsidRPr="00173CD1">
        <w:rPr>
          <w:lang w:val="en-AU"/>
        </w:rPr>
        <w:t>imply choose one or more positions the delegate currently holds to proceed with their cessation, regardless of their profession. </w:t>
      </w:r>
    </w:p>
    <w:p w14:paraId="7585E230" w14:textId="77777777" w:rsidR="000935F8" w:rsidRPr="00173CD1" w:rsidRDefault="000935F8" w:rsidP="00DF3F6B">
      <w:pPr>
        <w:numPr>
          <w:ilvl w:val="0"/>
          <w:numId w:val="378"/>
        </w:numPr>
        <w:spacing w:before="240" w:after="240" w:line="240" w:lineRule="auto"/>
        <w:rPr>
          <w:lang w:val="en-AU"/>
        </w:rPr>
      </w:pPr>
      <w:r w:rsidRPr="00173CD1">
        <w:rPr>
          <w:lang w:val="en-AU"/>
        </w:rPr>
        <w:t>Applicants can include start and end dates in their applications. The </w:t>
      </w:r>
      <w:r w:rsidRPr="00C11EEE">
        <w:rPr>
          <w:lang w:val="en-AU"/>
        </w:rPr>
        <w:t>Date From</w:t>
      </w:r>
      <w:r w:rsidRPr="00173CD1">
        <w:rPr>
          <w:lang w:val="en-AU"/>
        </w:rPr>
        <w:t> field specifies when the delegate will begin their role, while the </w:t>
      </w:r>
      <w:r w:rsidRPr="00C11EEE">
        <w:rPr>
          <w:lang w:val="en-AU"/>
        </w:rPr>
        <w:t>Date To</w:t>
      </w:r>
      <w:r w:rsidRPr="00173CD1">
        <w:rPr>
          <w:lang w:val="en-AU"/>
        </w:rPr>
        <w:t> field is used to automate the delegate's dissociation when their term ends. However, the </w:t>
      </w:r>
      <w:r w:rsidRPr="00C11EEE">
        <w:rPr>
          <w:lang w:val="en-AU"/>
        </w:rPr>
        <w:t>Date To</w:t>
      </w:r>
      <w:r w:rsidRPr="00173CD1">
        <w:rPr>
          <w:lang w:val="en-AU"/>
        </w:rPr>
        <w:t> field is not needed for ceasing a delegate, as both temporary and permanent cessations are treated the same by the system. </w:t>
      </w:r>
    </w:p>
    <w:p w14:paraId="2C433BAE" w14:textId="77777777" w:rsidR="000935F8" w:rsidRPr="00173CD1" w:rsidRDefault="000935F8" w:rsidP="00DF3F6B">
      <w:pPr>
        <w:numPr>
          <w:ilvl w:val="0"/>
          <w:numId w:val="379"/>
        </w:numPr>
        <w:spacing w:before="240" w:after="240" w:line="240" w:lineRule="auto"/>
        <w:rPr>
          <w:lang w:val="en-AU"/>
        </w:rPr>
      </w:pPr>
      <w:r w:rsidRPr="00173CD1">
        <w:rPr>
          <w:lang w:val="en-AU"/>
        </w:rPr>
        <w:t>As part of the process, applicants must nominate a Team Leader to verify the application and an Assessment Organisation Operational Manager to support it. The system filters the list of eligible Team Leaders to include only those who cover all outlets involved in the application. If no suitable Team Leader is available, the system will display an error message. The Operational Manager must also be selected from the provided list to ensure their role matches the application's requirements. </w:t>
      </w:r>
    </w:p>
    <w:p w14:paraId="2A555FF3" w14:textId="77777777" w:rsidR="000935F8" w:rsidRPr="00173CD1" w:rsidRDefault="000935F8" w:rsidP="00DF3F6B">
      <w:pPr>
        <w:numPr>
          <w:ilvl w:val="0"/>
          <w:numId w:val="380"/>
        </w:numPr>
        <w:spacing w:before="240" w:after="240" w:line="240" w:lineRule="auto"/>
        <w:rPr>
          <w:lang w:val="en-AU"/>
        </w:rPr>
      </w:pPr>
      <w:r w:rsidRPr="00173CD1">
        <w:rPr>
          <w:lang w:val="en-AU"/>
        </w:rPr>
        <w:t>Special rules apply when a Team Leader submits their own application. In such cases, they must nominate another Team Leader to verify it. Once submitted, the nominated verifier will handle the next steps. </w:t>
      </w:r>
    </w:p>
    <w:p w14:paraId="237367E1" w14:textId="02C4E475" w:rsidR="000025F8" w:rsidRPr="000025F8" w:rsidRDefault="000935F8" w:rsidP="00DF3F6B">
      <w:pPr>
        <w:numPr>
          <w:ilvl w:val="0"/>
          <w:numId w:val="381"/>
        </w:numPr>
        <w:spacing w:before="240" w:after="240" w:line="240" w:lineRule="auto"/>
        <w:rPr>
          <w:lang w:val="en-AU"/>
        </w:rPr>
      </w:pPr>
      <w:r w:rsidRPr="00173CD1">
        <w:rPr>
          <w:lang w:val="en-AU"/>
        </w:rPr>
        <w:t xml:space="preserve">The system automatically checks several details during the application process, including the proposed delegate's clinical status, occupation, </w:t>
      </w:r>
      <w:r w:rsidR="75A66057" w:rsidRPr="3FD93375">
        <w:rPr>
          <w:lang w:val="en-AU"/>
        </w:rPr>
        <w:t xml:space="preserve">and </w:t>
      </w:r>
      <w:r w:rsidRPr="00173CD1">
        <w:rPr>
          <w:lang w:val="en-AU"/>
        </w:rPr>
        <w:t>qualifications. If the delegate does not meet the criteria, warning messages will guide the applicant to update the delegate's user profile or adjust their position type or profession. Applicants can still proceed by acknowledging these issues, and this acknowledgment will be visible to the verifier and supporter in the next stages. Some issues, however, are considered hard stops. For example, if the delegate lacks a clinical status or is assigned a role incompatible with their profile, the application cannot proceed until their user profile is updated. </w:t>
      </w:r>
      <w:r>
        <w:br/>
      </w:r>
    </w:p>
    <w:p w14:paraId="2B1755A3" w14:textId="589E59AD" w:rsidR="00B57B0B" w:rsidRPr="00863478" w:rsidRDefault="000935F8" w:rsidP="00C325C6">
      <w:pPr>
        <w:pStyle w:val="Sub-headings"/>
      </w:pPr>
      <w:r w:rsidRPr="00F37F02">
        <w:t>N</w:t>
      </w:r>
      <w:r w:rsidR="00FA31AA" w:rsidRPr="00F37F02">
        <w:t>ote</w:t>
      </w:r>
      <w:r w:rsidR="00FA31AA">
        <w:t>:</w:t>
      </w:r>
    </w:p>
    <w:p w14:paraId="776EB8F2" w14:textId="51734D12" w:rsidR="00B57B0B" w:rsidRPr="00863478" w:rsidRDefault="000935F8" w:rsidP="00C325C6">
      <w:pPr>
        <w:pStyle w:val="Sub-headings"/>
      </w:pPr>
      <w:r w:rsidRPr="00863478">
        <w:t xml:space="preserve">The </w:t>
      </w:r>
      <w:r w:rsidR="00C83AFF" w:rsidRPr="00863478">
        <w:t>d</w:t>
      </w:r>
      <w:r w:rsidR="000025F8" w:rsidRPr="00863478">
        <w:t xml:space="preserve">epartment’s </w:t>
      </w:r>
      <w:r w:rsidRPr="00863478">
        <w:t xml:space="preserve">My Aged Care Capability Section verifies each application to ensure all required training has been completed. </w:t>
      </w:r>
    </w:p>
    <w:p w14:paraId="284EA9AC" w14:textId="6D05EDF0" w:rsidR="000935F8" w:rsidRPr="00863478" w:rsidRDefault="000935F8" w:rsidP="00C325C6">
      <w:pPr>
        <w:pStyle w:val="Sub-headings"/>
      </w:pPr>
      <w:r w:rsidRPr="00863478">
        <w:t xml:space="preserve">For details on mandatory training requirements for each position, please refer to the </w:t>
      </w:r>
      <w:r w:rsidR="002E1D85" w:rsidRPr="00E3017E">
        <w:t>My Aged Care Workforce Learning Strategy. </w:t>
      </w:r>
    </w:p>
    <w:p w14:paraId="6CCFEE65" w14:textId="5403FA45" w:rsidR="000935F8" w:rsidRPr="003C1FC9" w:rsidRDefault="000935F8" w:rsidP="00DF3F6B">
      <w:pPr>
        <w:pStyle w:val="ListParagraph"/>
        <w:numPr>
          <w:ilvl w:val="0"/>
          <w:numId w:val="451"/>
        </w:numPr>
        <w:spacing w:before="240" w:after="240" w:line="240" w:lineRule="auto"/>
        <w:rPr>
          <w:lang w:val="en-AU"/>
        </w:rPr>
      </w:pPr>
      <w:r w:rsidRPr="001B0EB8">
        <w:rPr>
          <w:lang w:val="en-AU"/>
        </w:rPr>
        <w:t>Supporting documentation</w:t>
      </w:r>
      <w:r w:rsidRPr="003C1FC9">
        <w:rPr>
          <w:lang w:val="en-AU"/>
        </w:rPr>
        <w:t> to be uploaded with the application could include MAC</w:t>
      </w:r>
      <w:r w:rsidR="00202EC4" w:rsidRPr="003C1FC9">
        <w:rPr>
          <w:lang w:val="en-AU"/>
        </w:rPr>
        <w:t xml:space="preserve"> </w:t>
      </w:r>
      <w:r w:rsidRPr="003C1FC9">
        <w:rPr>
          <w:lang w:val="en-AU"/>
        </w:rPr>
        <w:t>learning training transcripts, qualifications, AHPRA registration evidence etc. </w:t>
      </w:r>
    </w:p>
    <w:p w14:paraId="7FF97A65" w14:textId="49EE8239" w:rsidR="000935F8" w:rsidRPr="00173CD1" w:rsidRDefault="000935F8" w:rsidP="00DF3F6B">
      <w:pPr>
        <w:numPr>
          <w:ilvl w:val="0"/>
          <w:numId w:val="382"/>
        </w:numPr>
        <w:spacing w:before="240" w:after="240" w:line="240" w:lineRule="auto"/>
        <w:rPr>
          <w:lang w:val="en-AU"/>
        </w:rPr>
      </w:pPr>
      <w:r w:rsidRPr="00173CD1">
        <w:rPr>
          <w:lang w:val="en-AU"/>
        </w:rPr>
        <w:t xml:space="preserve">Once </w:t>
      </w:r>
      <w:r w:rsidR="00783270">
        <w:rPr>
          <w:lang w:val="en-AU"/>
        </w:rPr>
        <w:t xml:space="preserve">the application has been </w:t>
      </w:r>
      <w:r w:rsidRPr="00173CD1">
        <w:rPr>
          <w:lang w:val="en-AU"/>
        </w:rPr>
        <w:t>submitted, a confirmation banner will appear confirming that the application has been created and submitted to the verifier for action. </w:t>
      </w:r>
    </w:p>
    <w:tbl>
      <w:tblPr>
        <w:tblW w:w="0" w:type="auto"/>
        <w:tblLook w:val="04A0" w:firstRow="1" w:lastRow="0" w:firstColumn="1" w:lastColumn="0" w:noHBand="0" w:noVBand="1"/>
      </w:tblPr>
      <w:tblGrid>
        <w:gridCol w:w="921"/>
        <w:gridCol w:w="8105"/>
      </w:tblGrid>
      <w:tr w:rsidR="000935F8" w14:paraId="57EE7D6B" w14:textId="77777777">
        <w:tc>
          <w:tcPr>
            <w:tcW w:w="921" w:type="dxa"/>
          </w:tcPr>
          <w:p w14:paraId="20D96F80" w14:textId="77777777" w:rsidR="000935F8" w:rsidRDefault="000935F8" w:rsidP="00622CFF">
            <w:pPr>
              <w:spacing w:before="240" w:after="240" w:line="240" w:lineRule="auto"/>
            </w:pPr>
            <w:r>
              <w:rPr>
                <w:noProof/>
              </w:rPr>
              <w:drawing>
                <wp:inline distT="0" distB="0" distL="0" distR="0" wp14:anchorId="6A4B882B" wp14:editId="6EB3CCEF">
                  <wp:extent cx="447675" cy="445208"/>
                  <wp:effectExtent l="0" t="0" r="0" b="0"/>
                  <wp:docPr id="2083341282" name="Picture 208334128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963396D" w14:textId="5B471B10" w:rsidR="002E1D85" w:rsidRDefault="002E1D85" w:rsidP="00622CFF">
            <w:pPr>
              <w:spacing w:before="240" w:after="240" w:line="240" w:lineRule="auto"/>
            </w:pPr>
            <w:hyperlink r:id="rId302" w:history="1">
              <w:r w:rsidRPr="00863478">
                <w:rPr>
                  <w:rStyle w:val="Hyperlink"/>
                </w:rPr>
                <w:t>My Aged Care Workforce Learning Strategy. </w:t>
              </w:r>
            </w:hyperlink>
          </w:p>
          <w:p w14:paraId="50975040" w14:textId="5A65405E" w:rsidR="000935F8" w:rsidRDefault="000935F8" w:rsidP="00622CFF">
            <w:pPr>
              <w:spacing w:before="240" w:after="240" w:line="240" w:lineRule="auto"/>
            </w:pPr>
            <w:hyperlink r:id="rId303" w:history="1">
              <w:r w:rsidRPr="00BA5825">
                <w:rPr>
                  <w:rStyle w:val="Hyperlink"/>
                  <w:lang w:val="en-AU"/>
                </w:rPr>
                <w:t>Assessor Portal User Guide 12 – Managing Delegate Roles</w:t>
              </w:r>
            </w:hyperlink>
          </w:p>
        </w:tc>
      </w:tr>
    </w:tbl>
    <w:p w14:paraId="310D898D" w14:textId="70FD5E5D" w:rsidR="000935F8" w:rsidRPr="00CE5F54" w:rsidRDefault="000935F8" w:rsidP="00507F9D">
      <w:pPr>
        <w:pStyle w:val="h2"/>
        <w:rPr>
          <w:lang w:val="en-AU"/>
        </w:rPr>
      </w:pPr>
      <w:bookmarkStart w:id="1065" w:name="_Toc209189066"/>
      <w:bookmarkStart w:id="1066" w:name="_Toc224916718"/>
      <w:r w:rsidRPr="00504E50">
        <w:t>Information</w:t>
      </w:r>
      <w:bookmarkEnd w:id="1059"/>
      <w:r w:rsidRPr="00504E50">
        <w:t xml:space="preserve"> </w:t>
      </w:r>
      <w:r w:rsidR="00202EC4">
        <w:rPr>
          <w:lang w:val="en-AU"/>
        </w:rPr>
        <w:t>m</w:t>
      </w:r>
      <w:r w:rsidRPr="00504E50">
        <w:rPr>
          <w:lang w:val="en-AU"/>
        </w:rPr>
        <w:t>anagement</w:t>
      </w:r>
      <w:bookmarkEnd w:id="1060"/>
      <w:bookmarkEnd w:id="1061"/>
      <w:bookmarkEnd w:id="1062"/>
      <w:bookmarkEnd w:id="1063"/>
      <w:bookmarkEnd w:id="1064"/>
      <w:bookmarkEnd w:id="1065"/>
      <w:bookmarkEnd w:id="1066"/>
    </w:p>
    <w:p w14:paraId="159B49D3" w14:textId="25DB7721" w:rsidR="000935F8" w:rsidRPr="00686DA1" w:rsidRDefault="00B11E72" w:rsidP="00C56CEC">
      <w:pPr>
        <w:pStyle w:val="H3"/>
      </w:pPr>
      <w:bookmarkStart w:id="1067" w:name="_Toc496022874"/>
      <w:r>
        <w:t xml:space="preserve">Privacy and Protected Information under the </w:t>
      </w:r>
      <w:r w:rsidR="000935F8" w:rsidRPr="006377CB">
        <w:t>Aged Care Act 2024</w:t>
      </w:r>
      <w:r w:rsidR="000935F8" w:rsidRPr="00DB7AB8">
        <w:t xml:space="preserve"> (Cth)</w:t>
      </w:r>
    </w:p>
    <w:p w14:paraId="016BDF39" w14:textId="4168C677" w:rsidR="000935F8" w:rsidRDefault="000935F8" w:rsidP="00622CFF">
      <w:pPr>
        <w:spacing w:before="240" w:after="240" w:line="240" w:lineRule="auto"/>
      </w:pPr>
      <w:r w:rsidRPr="00C34DD7">
        <w:t>S</w:t>
      </w:r>
      <w:r>
        <w:t xml:space="preserve">ections 537 to 541 of the </w:t>
      </w:r>
      <w:r w:rsidRPr="001B0EB8">
        <w:rPr>
          <w:i/>
        </w:rPr>
        <w:t>Aged Care Act 2024</w:t>
      </w:r>
      <w:r>
        <w:rPr>
          <w:i/>
          <w:iCs/>
        </w:rPr>
        <w:t xml:space="preserve"> </w:t>
      </w:r>
      <w:r w:rsidR="002206BF">
        <w:t xml:space="preserve">(the Act) </w:t>
      </w:r>
      <w:r>
        <w:t xml:space="preserve">specifies the purposes for which information can </w:t>
      </w:r>
      <w:r w:rsidR="005009D5">
        <w:t xml:space="preserve">be </w:t>
      </w:r>
      <w:r>
        <w:t>used or disclosed in accordance with the Act. The collection of information from an older person</w:t>
      </w:r>
      <w:r w:rsidR="00CB5C79">
        <w:t xml:space="preserve">, their </w:t>
      </w:r>
      <w:r>
        <w:t xml:space="preserve">registered supporter(s) </w:t>
      </w:r>
      <w:r w:rsidR="00CB5C79">
        <w:t>and/or appointed decision maker/s</w:t>
      </w:r>
      <w:r>
        <w:t xml:space="preserve"> for the purposes of determining an individual’s eligibility and assessing their access to funded aged care services</w:t>
      </w:r>
      <w:r w:rsidR="00FF0365">
        <w:t xml:space="preserve"> is authorised by the Act</w:t>
      </w:r>
      <w:r>
        <w:t xml:space="preserve">. </w:t>
      </w:r>
    </w:p>
    <w:p w14:paraId="225F50B2" w14:textId="67732896" w:rsidR="000935F8" w:rsidRPr="00977CB5" w:rsidRDefault="00E22537" w:rsidP="00622CFF">
      <w:pPr>
        <w:spacing w:before="240" w:after="240" w:line="240" w:lineRule="auto"/>
        <w:rPr>
          <w:lang w:val="en-AU"/>
        </w:rPr>
      </w:pPr>
      <w:r>
        <w:t>Personal in</w:t>
      </w:r>
      <w:r w:rsidR="000935F8">
        <w:t xml:space="preserve">formation collected during the assessment process is considered protected information. Protected information is defined under section 21 of the Act, </w:t>
      </w:r>
      <w:r w:rsidR="000935F8" w:rsidRPr="00B30375">
        <w:rPr>
          <w:lang w:val="en-AU"/>
        </w:rPr>
        <w:t xml:space="preserve">as personal information or information, including commercially sensitive information, </w:t>
      </w:r>
      <w:r w:rsidR="00E625EF">
        <w:rPr>
          <w:lang w:val="en-AU"/>
        </w:rPr>
        <w:t xml:space="preserve">where </w:t>
      </w:r>
      <w:r w:rsidR="000935F8" w:rsidRPr="00B30375">
        <w:rPr>
          <w:lang w:val="en-AU"/>
        </w:rPr>
        <w:t xml:space="preserve">the disclosure </w:t>
      </w:r>
      <w:r w:rsidR="003B3F66">
        <w:rPr>
          <w:lang w:val="en-AU"/>
        </w:rPr>
        <w:t>of which</w:t>
      </w:r>
      <w:r w:rsidR="000935F8" w:rsidRPr="00B30375">
        <w:rPr>
          <w:lang w:val="en-AU"/>
        </w:rPr>
        <w:t xml:space="preserve"> could reasonably be expected to found an action by an entity (other than the Commonwealth) for breach of a duty of confidence.</w:t>
      </w:r>
      <w:r w:rsidR="003B3F66">
        <w:rPr>
          <w:lang w:val="en-AU"/>
        </w:rPr>
        <w:t xml:space="preserve"> Personal information has </w:t>
      </w:r>
      <w:r w:rsidR="00CB5C79">
        <w:rPr>
          <w:lang w:val="en-AU"/>
        </w:rPr>
        <w:t>t</w:t>
      </w:r>
      <w:r w:rsidR="003B3F66">
        <w:rPr>
          <w:lang w:val="en-AU"/>
        </w:rPr>
        <w:t xml:space="preserve">he same meaning as in the Privacy Act </w:t>
      </w:r>
      <w:r w:rsidR="00522DE0">
        <w:rPr>
          <w:lang w:val="en-AU"/>
        </w:rPr>
        <w:t>1988</w:t>
      </w:r>
      <w:r w:rsidR="00791E5D">
        <w:rPr>
          <w:lang w:val="en-AU"/>
        </w:rPr>
        <w:t xml:space="preserve"> (Privacy Act)</w:t>
      </w:r>
      <w:r w:rsidR="003B3F66">
        <w:rPr>
          <w:lang w:val="en-AU"/>
        </w:rPr>
        <w:t xml:space="preserve"> and </w:t>
      </w:r>
      <w:r w:rsidR="00522DE0">
        <w:rPr>
          <w:lang w:val="en-AU"/>
        </w:rPr>
        <w:t>is</w:t>
      </w:r>
      <w:r w:rsidR="003B3F66">
        <w:rPr>
          <w:lang w:val="en-AU"/>
        </w:rPr>
        <w:t xml:space="preserve"> </w:t>
      </w:r>
      <w:r w:rsidR="004F16A4">
        <w:rPr>
          <w:lang w:val="en-AU"/>
        </w:rPr>
        <w:t xml:space="preserve">defined as information or an opinion about an identified individual, or an individual who is reasonably identifiable: </w:t>
      </w:r>
    </w:p>
    <w:p w14:paraId="5F507D00" w14:textId="79C77EF1" w:rsidR="004F16A4" w:rsidRDefault="004F16A4" w:rsidP="00DF3F6B">
      <w:pPr>
        <w:pStyle w:val="ListParagraph"/>
        <w:numPr>
          <w:ilvl w:val="0"/>
          <w:numId w:val="402"/>
        </w:numPr>
        <w:spacing w:before="240" w:after="240" w:line="240" w:lineRule="auto"/>
        <w:rPr>
          <w:lang w:val="en-AU"/>
        </w:rPr>
      </w:pPr>
      <w:r>
        <w:rPr>
          <w:lang w:val="en-AU"/>
        </w:rPr>
        <w:t xml:space="preserve">Whether the information is true or not; and </w:t>
      </w:r>
    </w:p>
    <w:p w14:paraId="2A316051" w14:textId="7E24303C" w:rsidR="004F16A4" w:rsidRPr="004F16A4" w:rsidRDefault="004F16A4" w:rsidP="00DF3F6B">
      <w:pPr>
        <w:pStyle w:val="ListParagraph"/>
        <w:numPr>
          <w:ilvl w:val="0"/>
          <w:numId w:val="402"/>
        </w:numPr>
        <w:spacing w:before="240" w:after="240" w:line="240" w:lineRule="auto"/>
        <w:rPr>
          <w:lang w:val="en-AU"/>
        </w:rPr>
      </w:pPr>
      <w:r>
        <w:rPr>
          <w:lang w:val="en-AU"/>
        </w:rPr>
        <w:t xml:space="preserve">Whether the information </w:t>
      </w:r>
      <w:r w:rsidR="00451BC3">
        <w:rPr>
          <w:lang w:val="en-AU"/>
        </w:rPr>
        <w:t xml:space="preserve">or opinion is recorded in a material form or not. </w:t>
      </w:r>
    </w:p>
    <w:p w14:paraId="3DA77EFA" w14:textId="0EE91B78" w:rsidR="000935F8" w:rsidRDefault="000935F8" w:rsidP="00622CFF">
      <w:pPr>
        <w:spacing w:before="240" w:after="240" w:line="240" w:lineRule="auto"/>
      </w:pPr>
      <w:r>
        <w:t xml:space="preserve">Additionally, information collected during the assessment process </w:t>
      </w:r>
      <w:r w:rsidR="008774FF">
        <w:t>may</w:t>
      </w:r>
      <w:r>
        <w:t xml:space="preserve"> also</w:t>
      </w:r>
      <w:r w:rsidR="008774FF">
        <w:t xml:space="preserve"> be</w:t>
      </w:r>
      <w:r>
        <w:t xml:space="preserve"> considered sensitive information as defined by section 6 of the Privacy Act which includes information about an individual’s identity and health. </w:t>
      </w:r>
      <w:r w:rsidR="00CA4E1F">
        <w:t xml:space="preserve">Sensitive information within the meaning of the Privacy Act may be personal information (information is not personal information if it is only about a person who has died.) </w:t>
      </w:r>
      <w:r>
        <w:t xml:space="preserve">Sensitive information is afforded </w:t>
      </w:r>
      <w:r w:rsidR="00D875DB">
        <w:t>additional</w:t>
      </w:r>
      <w:r>
        <w:t xml:space="preserve"> protection under the Australian Privacy Principles </w:t>
      </w:r>
      <w:r w:rsidR="00E21CEE">
        <w:t>(APP)</w:t>
      </w:r>
      <w:r>
        <w:t xml:space="preserve"> and should only be used for authorised purposes</w:t>
      </w:r>
      <w:r w:rsidR="00B52CC7">
        <w:t xml:space="preserve"> (see information below about assessment organisations who may be APP entities</w:t>
      </w:r>
      <w:r>
        <w:t xml:space="preserve">. </w:t>
      </w:r>
    </w:p>
    <w:p w14:paraId="5DBF18A5" w14:textId="63171D07" w:rsidR="000935F8" w:rsidRPr="001F74D9" w:rsidRDefault="000935F8" w:rsidP="00622CFF">
      <w:pPr>
        <w:spacing w:before="240" w:after="240" w:line="240" w:lineRule="auto"/>
        <w:rPr>
          <w:lang w:val="en-AU"/>
        </w:rPr>
      </w:pPr>
      <w:r w:rsidRPr="001F74D9">
        <w:rPr>
          <w:lang w:val="en-AU"/>
        </w:rPr>
        <w:t xml:space="preserve">The </w:t>
      </w:r>
      <w:r w:rsidR="003E7CD7">
        <w:rPr>
          <w:lang w:val="en-AU"/>
        </w:rPr>
        <w:t xml:space="preserve">Aged Care </w:t>
      </w:r>
      <w:r w:rsidRPr="001F74D9">
        <w:rPr>
          <w:lang w:val="en-AU"/>
        </w:rPr>
        <w:t>Act</w:t>
      </w:r>
      <w:r w:rsidR="003E7CD7">
        <w:rPr>
          <w:lang w:val="en-AU"/>
        </w:rPr>
        <w:t xml:space="preserve"> 2024 (the Act)</w:t>
      </w:r>
      <w:r w:rsidRPr="001F74D9">
        <w:rPr>
          <w:lang w:val="en-AU"/>
        </w:rPr>
        <w:t xml:space="preserve"> imposes strict rules on the management of protected information, stating that a person commits an offence if they make a record of, disclose, or otherwise use protected information that was acquired in the course of performing duties or exercising powers or functions under the </w:t>
      </w:r>
      <w:r w:rsidR="008F559A">
        <w:rPr>
          <w:lang w:val="en-AU"/>
        </w:rPr>
        <w:t>Act</w:t>
      </w:r>
      <w:r>
        <w:rPr>
          <w:lang w:val="en-AU"/>
        </w:rPr>
        <w:t xml:space="preserve"> </w:t>
      </w:r>
      <w:r w:rsidRPr="001F74D9">
        <w:rPr>
          <w:lang w:val="en-AU"/>
        </w:rPr>
        <w:t xml:space="preserve">or the </w:t>
      </w:r>
      <w:r w:rsidRPr="00E3017E">
        <w:rPr>
          <w:i/>
          <w:lang w:val="en-AU"/>
        </w:rPr>
        <w:t>Aged Care (Transitional Provisions) Act 2024</w:t>
      </w:r>
      <w:r w:rsidR="00D12EC4" w:rsidRPr="00E3017E">
        <w:rPr>
          <w:i/>
          <w:lang w:val="en-AU"/>
        </w:rPr>
        <w:t>,</w:t>
      </w:r>
      <w:r w:rsidR="00D12EC4">
        <w:rPr>
          <w:b/>
          <w:bCs/>
          <w:i/>
          <w:iCs/>
          <w:lang w:val="en-AU"/>
        </w:rPr>
        <w:t xml:space="preserve"> </w:t>
      </w:r>
      <w:r w:rsidR="00D12EC4">
        <w:rPr>
          <w:lang w:val="en-AU"/>
        </w:rPr>
        <w:t>where the use or disclosure is not authorised under Division 2 of Part 2 of Chapter 7 of the Act</w:t>
      </w:r>
      <w:r w:rsidRPr="001F74D9">
        <w:rPr>
          <w:lang w:val="en-AU"/>
        </w:rPr>
        <w:t>. The maximum penalty for such an offence is imprisonment for up to two years or a fine of 120 penalty units, or both.</w:t>
      </w:r>
    </w:p>
    <w:p w14:paraId="07214F9B" w14:textId="77777777" w:rsidR="000935F8" w:rsidRDefault="000935F8" w:rsidP="00622CFF">
      <w:pPr>
        <w:spacing w:before="240" w:after="240" w:line="240" w:lineRule="auto"/>
      </w:pPr>
      <w:r w:rsidRPr="001F74D9">
        <w:rPr>
          <w:lang w:val="en-AU"/>
        </w:rPr>
        <w:t xml:space="preserve">To comply with these requirements, individuals and entities who handle assessment information must implement </w:t>
      </w:r>
      <w:r w:rsidRPr="00E3017E">
        <w:rPr>
          <w:lang w:val="en-AU"/>
        </w:rPr>
        <w:t>stringent confidentiality measures</w:t>
      </w:r>
      <w:r w:rsidRPr="001F74D9">
        <w:rPr>
          <w:lang w:val="en-AU"/>
        </w:rPr>
        <w:t>. This includes secure handling, recording, and storage practices to ensure that the information is safeguarded against unauthorised access or disclosure.</w:t>
      </w:r>
      <w:r>
        <w:t xml:space="preserve"> </w:t>
      </w:r>
    </w:p>
    <w:p w14:paraId="23F7A2BC" w14:textId="0D2BD93A" w:rsidR="000935F8" w:rsidRPr="00A77C52" w:rsidRDefault="000935F8" w:rsidP="00622CFF">
      <w:pPr>
        <w:spacing w:before="240" w:after="240" w:line="240" w:lineRule="auto"/>
        <w:rPr>
          <w:lang w:val="en-AU"/>
        </w:rPr>
      </w:pPr>
      <w:r w:rsidRPr="00A77C52">
        <w:rPr>
          <w:lang w:val="en-AU"/>
        </w:rPr>
        <w:t xml:space="preserve">To ensure the proper handling and disclosure of protected information in accordance with the law, </w:t>
      </w:r>
      <w:r>
        <w:rPr>
          <w:lang w:val="en-AU"/>
        </w:rPr>
        <w:t>assessment organisation staff</w:t>
      </w:r>
      <w:r w:rsidRPr="00A77C52">
        <w:rPr>
          <w:lang w:val="en-AU"/>
        </w:rPr>
        <w:t xml:space="preserve"> must follow </w:t>
      </w:r>
      <w:r w:rsidR="00D01679">
        <w:rPr>
          <w:lang w:val="en-AU"/>
        </w:rPr>
        <w:t>their</w:t>
      </w:r>
      <w:r w:rsidRPr="00A77C52">
        <w:rPr>
          <w:lang w:val="en-AU"/>
        </w:rPr>
        <w:t xml:space="preserve"> organisation's standard operating procedures and </w:t>
      </w:r>
      <w:r>
        <w:rPr>
          <w:lang w:val="en-AU"/>
        </w:rPr>
        <w:t>guidance in this manual</w:t>
      </w:r>
      <w:r w:rsidRPr="00A77C52">
        <w:rPr>
          <w:lang w:val="en-AU"/>
        </w:rPr>
        <w:t>.</w:t>
      </w:r>
    </w:p>
    <w:p w14:paraId="6E2ACD54" w14:textId="034BA795" w:rsidR="000935F8" w:rsidRPr="00A77C52" w:rsidRDefault="000935F8" w:rsidP="00622CFF">
      <w:pPr>
        <w:spacing w:before="240" w:after="240" w:line="240" w:lineRule="auto"/>
        <w:rPr>
          <w:lang w:val="en-AU"/>
        </w:rPr>
      </w:pPr>
      <w:r w:rsidRPr="00C7241D">
        <w:rPr>
          <w:lang w:val="en-AU"/>
        </w:rPr>
        <w:t xml:space="preserve">Assessment organisations who are APP entities under the </w:t>
      </w:r>
      <w:r w:rsidRPr="00E3017E">
        <w:rPr>
          <w:lang w:val="en-AU"/>
        </w:rPr>
        <w:t>Privacy Act</w:t>
      </w:r>
      <w:r w:rsidRPr="00C7241D">
        <w:rPr>
          <w:b/>
          <w:i/>
          <w:lang w:val="en-AU"/>
        </w:rPr>
        <w:t xml:space="preserve"> </w:t>
      </w:r>
      <w:r w:rsidRPr="00A77C52">
        <w:rPr>
          <w:lang w:val="en-AU"/>
        </w:rPr>
        <w:t xml:space="preserve">will also need to comply with the requirements of </w:t>
      </w:r>
      <w:r w:rsidR="00CA23EA">
        <w:rPr>
          <w:lang w:val="en-AU"/>
        </w:rPr>
        <w:t>the</w:t>
      </w:r>
      <w:r w:rsidR="00CA23EA" w:rsidRPr="00A77C52">
        <w:rPr>
          <w:lang w:val="en-AU"/>
        </w:rPr>
        <w:t xml:space="preserve"> </w:t>
      </w:r>
      <w:r w:rsidR="00CA23EA" w:rsidRPr="00304DF0">
        <w:rPr>
          <w:lang w:val="en-AU"/>
        </w:rPr>
        <w:t>Privacy Act</w:t>
      </w:r>
      <w:r w:rsidR="00CA23EA" w:rsidRPr="00C7241D">
        <w:rPr>
          <w:b/>
          <w:i/>
          <w:lang w:val="en-AU"/>
        </w:rPr>
        <w:t xml:space="preserve"> </w:t>
      </w:r>
      <w:r w:rsidRPr="00A77C52">
        <w:rPr>
          <w:lang w:val="en-AU"/>
        </w:rPr>
        <w:t xml:space="preserve">in handling personal information. Where personal information is used or disclosed in accordance with an authorisation in Division 2, Part 2, Chapter 7 of the </w:t>
      </w:r>
      <w:r w:rsidR="00C049AF" w:rsidRPr="00D001B4">
        <w:rPr>
          <w:i/>
          <w:lang w:val="en-AU"/>
        </w:rPr>
        <w:t>Aged Care Act 2024</w:t>
      </w:r>
      <w:r w:rsidR="00C049AF">
        <w:rPr>
          <w:lang w:val="en-AU"/>
        </w:rPr>
        <w:t xml:space="preserve"> </w:t>
      </w:r>
      <w:r w:rsidRPr="00A77C52">
        <w:rPr>
          <w:lang w:val="en-AU"/>
        </w:rPr>
        <w:t xml:space="preserve">this will be permitted under the </w:t>
      </w:r>
      <w:r w:rsidRPr="00A77C52">
        <w:rPr>
          <w:i/>
          <w:lang w:val="en-AU"/>
        </w:rPr>
        <w:t>Privacy Act</w:t>
      </w:r>
      <w:r w:rsidRPr="00A77C52">
        <w:rPr>
          <w:lang w:val="en-AU"/>
        </w:rPr>
        <w:t xml:space="preserve"> (see APP 6.2(b))</w:t>
      </w:r>
      <w:r w:rsidR="00B23AB0" w:rsidRPr="00A77C52">
        <w:rPr>
          <w:lang w:val="en-AU"/>
        </w:rPr>
        <w:t xml:space="preserve">. </w:t>
      </w:r>
    </w:p>
    <w:p w14:paraId="7B13F0D8" w14:textId="417FB823" w:rsidR="000935F8" w:rsidRPr="00115259" w:rsidRDefault="000935F8" w:rsidP="00622CFF">
      <w:pPr>
        <w:spacing w:before="240" w:after="240" w:line="240" w:lineRule="auto"/>
      </w:pPr>
      <w:r w:rsidRPr="001B208C">
        <w:t>A</w:t>
      </w:r>
      <w:r>
        <w:t xml:space="preserve">ssessment organisations should consult the </w:t>
      </w:r>
      <w:r w:rsidRPr="00E3017E">
        <w:t>Privacy Act</w:t>
      </w:r>
      <w:r>
        <w:rPr>
          <w:i/>
          <w:iCs/>
        </w:rPr>
        <w:t xml:space="preserve"> </w:t>
      </w:r>
      <w:r>
        <w:t xml:space="preserve">and </w:t>
      </w:r>
      <w:r w:rsidR="0070291D">
        <w:t>APP</w:t>
      </w:r>
      <w:r>
        <w:t xml:space="preserve"> Guidelines for further information on the definition of APP entities and its applicability to their organisation. </w:t>
      </w:r>
    </w:p>
    <w:p w14:paraId="470B8CDF" w14:textId="153444D5" w:rsidR="000935F8" w:rsidRPr="00686DA1" w:rsidRDefault="000935F8" w:rsidP="00C56CEC">
      <w:pPr>
        <w:pStyle w:val="H3"/>
      </w:pPr>
      <w:bookmarkStart w:id="1068" w:name="_Toc159226989"/>
      <w:bookmarkStart w:id="1069" w:name="_Toc184402404"/>
      <w:bookmarkStart w:id="1070" w:name="_Toc204329635"/>
      <w:r w:rsidRPr="00DB7AB8">
        <w:t xml:space="preserve">Collection and </w:t>
      </w:r>
      <w:r w:rsidR="00090D7F">
        <w:t>p</w:t>
      </w:r>
      <w:r w:rsidRPr="00DB7AB8">
        <w:t>rotection</w:t>
      </w:r>
      <w:bookmarkEnd w:id="1067"/>
      <w:bookmarkEnd w:id="1068"/>
      <w:bookmarkEnd w:id="1069"/>
      <w:r w:rsidRPr="00DB7AB8">
        <w:t xml:space="preserve"> of </w:t>
      </w:r>
      <w:r w:rsidR="00090D7F">
        <w:t>i</w:t>
      </w:r>
      <w:r w:rsidRPr="00DB7AB8">
        <w:t>nformation</w:t>
      </w:r>
      <w:bookmarkEnd w:id="1070"/>
      <w:r w:rsidRPr="00DB7AB8">
        <w:t xml:space="preserve"> </w:t>
      </w:r>
    </w:p>
    <w:p w14:paraId="21283156" w14:textId="222FC7FC" w:rsidR="000935F8" w:rsidRPr="00712B28" w:rsidRDefault="000935F8" w:rsidP="00622CFF">
      <w:pPr>
        <w:spacing w:before="240" w:after="240" w:line="240" w:lineRule="auto"/>
      </w:pPr>
      <w:r>
        <w:t>The collection of information about an older person and their support network as part of the assessment process must comply with the legislative requirements under the</w:t>
      </w:r>
      <w:r w:rsidR="00C049AF">
        <w:t xml:space="preserve"> </w:t>
      </w:r>
      <w:r w:rsidR="00BA05FA">
        <w:t xml:space="preserve">Aged Care </w:t>
      </w:r>
      <w:r w:rsidR="00E25B34">
        <w:t>Act</w:t>
      </w:r>
      <w:r w:rsidR="00BA05FA">
        <w:t xml:space="preserve"> 2024</w:t>
      </w:r>
      <w:r w:rsidR="00E25B34">
        <w:t xml:space="preserve"> and </w:t>
      </w:r>
      <w:r w:rsidRPr="00E3017E">
        <w:t>Privacy Act</w:t>
      </w:r>
      <w:r w:rsidR="00BA05FA">
        <w:t xml:space="preserve"> 1988</w:t>
      </w:r>
      <w:r w:rsidR="00874F90">
        <w:t xml:space="preserve"> (the Pr</w:t>
      </w:r>
      <w:r w:rsidR="0070291D">
        <w:t>i</w:t>
      </w:r>
      <w:r w:rsidR="00874F90">
        <w:t>vacy Act)</w:t>
      </w:r>
      <w:r w:rsidR="00E25B34">
        <w:rPr>
          <w:i/>
          <w:iCs/>
        </w:rPr>
        <w:t xml:space="preserve">. </w:t>
      </w:r>
      <w:r w:rsidR="00E25B34" w:rsidRPr="00E25B34">
        <w:t>Where applicable</w:t>
      </w:r>
      <w:r w:rsidR="00E25B34">
        <w:rPr>
          <w:i/>
          <w:iCs/>
        </w:rPr>
        <w:t xml:space="preserve"> </w:t>
      </w:r>
      <w:r w:rsidR="00E25B34">
        <w:t>a</w:t>
      </w:r>
      <w:r>
        <w:t xml:space="preserve">ssessors must seek and gain informed consent using the My Aged Care Assessment Consent Form (the Consent Form) including reading the consent scripts to the older person or their appointed decision maker (whether or not they are a registered supporter). </w:t>
      </w:r>
    </w:p>
    <w:p w14:paraId="1DF9806B" w14:textId="77777777" w:rsidR="000935F8" w:rsidRPr="00712B28" w:rsidRDefault="000935F8" w:rsidP="00622CFF">
      <w:pPr>
        <w:spacing w:before="240" w:after="240" w:line="240" w:lineRule="auto"/>
      </w:pPr>
      <w:r>
        <w:t xml:space="preserve">Any information collected for the purpose of determining an individual’s eligibility and need for Commonwealth-subsidised aged care is collected on behalf of the Commonwealth and is therefore Commonwealth property. This includes any notes, documents or other materials created for the purpose of preparing an older person’s record. </w:t>
      </w:r>
    </w:p>
    <w:p w14:paraId="01C7EBDC" w14:textId="0D1B3041" w:rsidR="000935F8" w:rsidRPr="00931187" w:rsidRDefault="000935F8" w:rsidP="00622CFF">
      <w:pPr>
        <w:spacing w:before="240" w:after="240" w:line="240" w:lineRule="auto"/>
      </w:pPr>
      <w:r>
        <w:t xml:space="preserve">The </w:t>
      </w:r>
      <w:r w:rsidRPr="00E3017E">
        <w:t>Privacy Act</w:t>
      </w:r>
      <w:r>
        <w:rPr>
          <w:i/>
          <w:iCs/>
        </w:rPr>
        <w:t xml:space="preserve"> </w:t>
      </w:r>
      <w:r>
        <w:t xml:space="preserve">contains further provisions to protect information which applies to assessment organisations. </w:t>
      </w:r>
    </w:p>
    <w:p w14:paraId="6DAFF650" w14:textId="16183208" w:rsidR="000935F8" w:rsidRPr="00931187" w:rsidRDefault="00E25B34" w:rsidP="00622CFF">
      <w:pPr>
        <w:spacing w:before="240" w:after="240" w:line="240" w:lineRule="auto"/>
      </w:pPr>
      <w:r>
        <w:t>Where the Privacy Act applies, i</w:t>
      </w:r>
      <w:r w:rsidR="000935F8">
        <w:t xml:space="preserve">t is critical that assessment organisations have systems, protocols and processes in place to ensure the safety of </w:t>
      </w:r>
      <w:r w:rsidR="00516348">
        <w:t>older people</w:t>
      </w:r>
      <w:r w:rsidR="00B459FB">
        <w:t>’s</w:t>
      </w:r>
      <w:r w:rsidR="000935F8">
        <w:t xml:space="preserve"> records from loss, interference, misuse, unauthorised access, modification or disclosure. This requirement relates to A</w:t>
      </w:r>
      <w:r w:rsidR="004900EF">
        <w:t xml:space="preserve">ustralian </w:t>
      </w:r>
      <w:r w:rsidR="000935F8">
        <w:t>P</w:t>
      </w:r>
      <w:r w:rsidR="004900EF">
        <w:t xml:space="preserve">rivacy </w:t>
      </w:r>
      <w:r w:rsidR="000935F8">
        <w:t>P</w:t>
      </w:r>
      <w:r w:rsidR="004900EF">
        <w:t>rinciple</w:t>
      </w:r>
      <w:r w:rsidR="000935F8">
        <w:t xml:space="preserve"> 11. Penalties may apply to agencies and individuals for breaches of the </w:t>
      </w:r>
      <w:r w:rsidR="000935F8" w:rsidRPr="00E3017E">
        <w:t>Privacy Act.</w:t>
      </w:r>
      <w:r w:rsidR="000935F8">
        <w:rPr>
          <w:i/>
          <w:iCs/>
        </w:rPr>
        <w:t xml:space="preserve"> </w:t>
      </w:r>
      <w:r w:rsidR="000935F8">
        <w:t xml:space="preserve">Assessment organisations may refer to the Office of the Australian Information Commission for further information on the handling of personal information and the consequences of misuse. </w:t>
      </w:r>
    </w:p>
    <w:p w14:paraId="3941C056" w14:textId="77777777" w:rsidR="000935F8" w:rsidRPr="001C56DC" w:rsidRDefault="000935F8" w:rsidP="00622CFF">
      <w:pPr>
        <w:spacing w:before="240" w:after="240" w:line="240" w:lineRule="auto"/>
      </w:pPr>
      <w:r>
        <w:t xml:space="preserve">If a record of an assessment is a state or territory government as well as being a Commonwealth record, there may be further requirements to retain and store information under state or territory legislation. Assessment organisations should seek advice from their state or territory government on any state or territory requirements. Assessment organisations must meet all requirements at both levels of government. </w:t>
      </w:r>
    </w:p>
    <w:p w14:paraId="2A7C6375" w14:textId="4F4E8630" w:rsidR="000935F8" w:rsidRPr="00862738" w:rsidRDefault="000935F8" w:rsidP="00622CFF">
      <w:pPr>
        <w:spacing w:before="240" w:after="240" w:line="240" w:lineRule="auto"/>
      </w:pPr>
      <w:r>
        <w:t xml:space="preserve">All assessment organisation staff should exercise caution and care when handling personal information. If an assessment organisation staff member becomes aware of a potential privacy </w:t>
      </w:r>
      <w:r w:rsidR="005968F5">
        <w:t>breach,</w:t>
      </w:r>
      <w:r>
        <w:t xml:space="preserve"> they must discuss this with their assessment organisation manager and follow their organisation’s procedures. </w:t>
      </w:r>
      <w:r w:rsidRPr="00686DA1">
        <w:t xml:space="preserve"> </w:t>
      </w:r>
    </w:p>
    <w:p w14:paraId="01004C89" w14:textId="0B256CDF" w:rsidR="000935F8" w:rsidRPr="00686DA1" w:rsidRDefault="000935F8" w:rsidP="00C56CEC">
      <w:pPr>
        <w:pStyle w:val="H3"/>
      </w:pPr>
      <w:bookmarkStart w:id="1071" w:name="_Toc496022875"/>
      <w:bookmarkStart w:id="1072" w:name="_Toc159226990"/>
      <w:bookmarkStart w:id="1073" w:name="_Toc184402405"/>
      <w:bookmarkStart w:id="1074" w:name="_Toc204329636"/>
      <w:r w:rsidRPr="00DB7AB8">
        <w:t xml:space="preserve">Use, </w:t>
      </w:r>
      <w:r w:rsidR="00090D7F">
        <w:t>s</w:t>
      </w:r>
      <w:r w:rsidRPr="00DB7AB8">
        <w:t xml:space="preserve">torage and </w:t>
      </w:r>
      <w:r w:rsidR="00090D7F">
        <w:t>r</w:t>
      </w:r>
      <w:r w:rsidRPr="00DB7AB8">
        <w:t>etention</w:t>
      </w:r>
      <w:bookmarkEnd w:id="1071"/>
      <w:bookmarkEnd w:id="1072"/>
      <w:bookmarkEnd w:id="1073"/>
      <w:r w:rsidRPr="00DB7AB8">
        <w:t xml:space="preserve"> of </w:t>
      </w:r>
      <w:r w:rsidR="00090D7F">
        <w:t>i</w:t>
      </w:r>
      <w:r w:rsidRPr="00DB7AB8">
        <w:t>nformation</w:t>
      </w:r>
      <w:bookmarkEnd w:id="1074"/>
    </w:p>
    <w:p w14:paraId="0384CCC2" w14:textId="57A3EF02" w:rsidR="000935F8" w:rsidRPr="00BE572A" w:rsidRDefault="000935F8" w:rsidP="00622CFF">
      <w:pPr>
        <w:spacing w:before="240" w:after="240" w:line="240" w:lineRule="auto"/>
      </w:pPr>
      <w:r w:rsidRPr="00BE572A">
        <w:t xml:space="preserve">Records are now created, stored and managed electronically in the My Aged Care portal. In some circumstances, it may be necessary for records to be created in a hard copy paper format (e.g., the </w:t>
      </w:r>
      <w:r w:rsidR="00060F7F">
        <w:t xml:space="preserve">Emergency Residential Care - </w:t>
      </w:r>
      <w:r w:rsidRPr="00BE572A">
        <w:t xml:space="preserve">Application for Care form). In these cases, the paper records are to be uploaded to the My Aged Care portal as soon as possible and the paper copy destroyed in accordance with the destruction guidelines (see Destruction below). </w:t>
      </w:r>
    </w:p>
    <w:p w14:paraId="18AFEFAB" w14:textId="77777777" w:rsidR="000935F8" w:rsidRPr="00A17D50" w:rsidRDefault="000935F8" w:rsidP="00622CFF">
      <w:pPr>
        <w:spacing w:before="240" w:after="240" w:line="240" w:lineRule="auto"/>
      </w:pPr>
      <w:r w:rsidRPr="00A17D50">
        <w:t>Should you require information about the management of legacy records, those records that were created prior to the My Aged Care Gateway please contact your assessment organisation manager who can liaise with the department</w:t>
      </w:r>
      <w:r w:rsidRPr="00A17D50" w:rsidDel="001F504E">
        <w:t xml:space="preserve"> </w:t>
      </w:r>
      <w:r w:rsidRPr="00A17D50">
        <w:t>if necessary for further advice.</w:t>
      </w:r>
    </w:p>
    <w:p w14:paraId="308A3325" w14:textId="6A9DD973" w:rsidR="000935F8" w:rsidRPr="00686DA1" w:rsidRDefault="000935F8" w:rsidP="00C56CEC">
      <w:pPr>
        <w:pStyle w:val="H3"/>
      </w:pPr>
      <w:bookmarkStart w:id="1075" w:name="_Toc159226991"/>
      <w:bookmarkStart w:id="1076" w:name="_Toc184402406"/>
      <w:r w:rsidRPr="00686DA1">
        <w:t>Destruction</w:t>
      </w:r>
      <w:bookmarkEnd w:id="1075"/>
      <w:bookmarkEnd w:id="1076"/>
      <w:r w:rsidRPr="00686DA1">
        <w:t xml:space="preserve"> of </w:t>
      </w:r>
      <w:r w:rsidR="00090D7F">
        <w:t>i</w:t>
      </w:r>
      <w:r w:rsidRPr="00686DA1">
        <w:t>nformation</w:t>
      </w:r>
    </w:p>
    <w:p w14:paraId="40D8D99B" w14:textId="77777777" w:rsidR="000935F8" w:rsidRPr="00686DA1" w:rsidRDefault="000935F8" w:rsidP="00622CFF">
      <w:pPr>
        <w:spacing w:before="240" w:after="240" w:line="240" w:lineRule="auto"/>
        <w:rPr>
          <w:lang w:eastAsia="en-US"/>
        </w:rPr>
      </w:pPr>
      <w:r w:rsidRPr="00686DA1">
        <w:rPr>
          <w:lang w:eastAsia="en-US"/>
        </w:rPr>
        <w:t xml:space="preserve">The destruction of new paper records should be undertaken as soon as the record has been captured digitally in the My Aged Care portal, and a true electronic copy has been confirmed. Destruction can be undertaken using </w:t>
      </w:r>
      <w:r w:rsidRPr="00686DA1">
        <w:t>class B paper shredders that shred to P-5 security level. Level P-5 provides more security with cross-cut shreds that are only ≤ 30 mm² particles with width ≤ 2 mm.</w:t>
      </w:r>
      <w:r w:rsidRPr="00686DA1">
        <w:rPr>
          <w:lang w:eastAsia="en-US"/>
        </w:rPr>
        <w:t xml:space="preserve"> </w:t>
      </w:r>
    </w:p>
    <w:p w14:paraId="5A20E014" w14:textId="09A30DC4" w:rsidR="000935F8" w:rsidRPr="00686DA1" w:rsidRDefault="000935F8" w:rsidP="00622CFF">
      <w:pPr>
        <w:spacing w:before="240" w:after="240" w:line="240" w:lineRule="auto"/>
        <w:rPr>
          <w:lang w:eastAsia="en-US"/>
        </w:rPr>
      </w:pPr>
      <w:r w:rsidRPr="00686DA1">
        <w:rPr>
          <w:lang w:eastAsia="en-US"/>
        </w:rPr>
        <w:t xml:space="preserve">Alternatively, destruction can also be </w:t>
      </w:r>
      <w:r w:rsidRPr="00686DA1">
        <w:t xml:space="preserve">through a </w:t>
      </w:r>
      <w:r w:rsidR="004E0542">
        <w:t xml:space="preserve">Protective Security Policy Framework </w:t>
      </w:r>
      <w:r w:rsidRPr="00686DA1">
        <w:t>endorsed T4 accredited waste management agency</w:t>
      </w:r>
      <w:r w:rsidRPr="00686DA1">
        <w:rPr>
          <w:lang w:eastAsia="en-US"/>
        </w:rPr>
        <w:t xml:space="preserve">.  </w:t>
      </w:r>
    </w:p>
    <w:p w14:paraId="3A415820" w14:textId="77777777" w:rsidR="000935F8" w:rsidRDefault="000935F8" w:rsidP="00622CFF">
      <w:pPr>
        <w:spacing w:before="240" w:after="240" w:line="240" w:lineRule="auto"/>
        <w:rPr>
          <w:lang w:eastAsia="en-US"/>
        </w:rPr>
      </w:pPr>
      <w:r w:rsidRPr="00686DA1">
        <w:rPr>
          <w:lang w:eastAsia="en-US"/>
        </w:rPr>
        <w:t xml:space="preserve">The destruction of electronic records requires the deletion of all copies of the record from any system in such a way that it is impossible to restore the record. For records that are destroyed and not uploaded to My Aged Care, assessment organisations must also maintain evidence of identifying what has been destroyed and the means of destruction. </w:t>
      </w:r>
    </w:p>
    <w:p w14:paraId="182B7529" w14:textId="066F227C" w:rsidR="00C54B95" w:rsidRPr="00686DA1" w:rsidRDefault="00C54B95" w:rsidP="00622CFF">
      <w:pPr>
        <w:spacing w:before="240" w:after="240" w:line="240" w:lineRule="auto"/>
        <w:rPr>
          <w:lang w:eastAsia="en-US"/>
        </w:rPr>
      </w:pPr>
      <w:r>
        <w:rPr>
          <w:noProof/>
        </w:rPr>
        <w:drawing>
          <wp:inline distT="0" distB="0" distL="0" distR="0" wp14:anchorId="31E93520" wp14:editId="5AA7CD49">
            <wp:extent cx="447675" cy="445208"/>
            <wp:effectExtent l="0" t="0" r="0" b="0"/>
            <wp:docPr id="1504724548" name="Picture 15047245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r>
        <w:rPr>
          <w:lang w:eastAsia="en-US"/>
        </w:rPr>
        <w:t xml:space="preserve"> </w:t>
      </w:r>
      <w:r w:rsidR="009C0B2A" w:rsidRPr="009C0B2A">
        <w:rPr>
          <w:b/>
          <w:bCs/>
          <w:lang w:eastAsia="en-US"/>
        </w:rPr>
        <w:t>Department of Home Affairs website:</w:t>
      </w:r>
      <w:r w:rsidR="009C0B2A" w:rsidRPr="009C0B2A">
        <w:rPr>
          <w:b/>
          <w:lang w:eastAsia="en-US"/>
        </w:rPr>
        <w:t xml:space="preserve"> </w:t>
      </w:r>
      <w:hyperlink r:id="rId304" w:history="1">
        <w:r w:rsidRPr="004E0542">
          <w:rPr>
            <w:rStyle w:val="Hyperlink"/>
            <w:lang w:eastAsia="en-US"/>
          </w:rPr>
          <w:t>Protective Security Policy Framework</w:t>
        </w:r>
      </w:hyperlink>
      <w:r>
        <w:rPr>
          <w:lang w:eastAsia="en-US"/>
        </w:rPr>
        <w:t xml:space="preserve"> </w:t>
      </w:r>
    </w:p>
    <w:p w14:paraId="77DE9CF0" w14:textId="5562154C" w:rsidR="000935F8" w:rsidRPr="00686DA1" w:rsidRDefault="000935F8" w:rsidP="00C56CEC">
      <w:pPr>
        <w:pStyle w:val="H3"/>
      </w:pPr>
      <w:bookmarkStart w:id="1077" w:name="_Toc159226992"/>
      <w:bookmarkStart w:id="1078" w:name="_Toc184402407"/>
      <w:r w:rsidRPr="00686DA1">
        <w:t>Use</w:t>
      </w:r>
      <w:bookmarkEnd w:id="1077"/>
      <w:bookmarkEnd w:id="1078"/>
      <w:r w:rsidRPr="00686DA1">
        <w:t xml:space="preserve"> </w:t>
      </w:r>
      <w:r w:rsidR="00E25B34">
        <w:t xml:space="preserve">and disclosure </w:t>
      </w:r>
      <w:r w:rsidRPr="00686DA1">
        <w:t xml:space="preserve">of </w:t>
      </w:r>
      <w:r w:rsidR="00090D7F">
        <w:t>i</w:t>
      </w:r>
      <w:r w:rsidRPr="00686DA1">
        <w:t>nformation</w:t>
      </w:r>
    </w:p>
    <w:p w14:paraId="323790CF" w14:textId="1C7D3757" w:rsidR="000935F8" w:rsidRDefault="000935F8" w:rsidP="00622CFF">
      <w:pPr>
        <w:spacing w:before="240" w:after="240" w:line="240" w:lineRule="auto"/>
      </w:pPr>
      <w:r w:rsidRPr="00163F9F">
        <w:t xml:space="preserve">Assessors and other staff must be aware that information they acquire </w:t>
      </w:r>
      <w:r w:rsidR="00764B1F">
        <w:t xml:space="preserve">or generate </w:t>
      </w:r>
      <w:r w:rsidRPr="00163F9F">
        <w:t xml:space="preserve">in the course of </w:t>
      </w:r>
      <w:r w:rsidR="00D850D9">
        <w:t xml:space="preserve">performing </w:t>
      </w:r>
      <w:r w:rsidRPr="00163F9F">
        <w:t xml:space="preserve">their </w:t>
      </w:r>
      <w:r w:rsidR="00D850D9">
        <w:t xml:space="preserve">delegated functions or powers under the </w:t>
      </w:r>
      <w:r w:rsidR="003567AE">
        <w:t>Aged Ca</w:t>
      </w:r>
      <w:r w:rsidR="00881755">
        <w:t xml:space="preserve">re Act 2024 (the </w:t>
      </w:r>
      <w:r w:rsidR="00D850D9">
        <w:t>Act</w:t>
      </w:r>
      <w:r w:rsidR="00881755">
        <w:t>)</w:t>
      </w:r>
      <w:r w:rsidRPr="00163F9F">
        <w:t xml:space="preserve"> may not be recorded or disclosed or otherwise used </w:t>
      </w:r>
      <w:r w:rsidR="00A57239">
        <w:t>unless</w:t>
      </w:r>
      <w:r w:rsidRPr="00163F9F">
        <w:t xml:space="preserve"> it is </w:t>
      </w:r>
      <w:r w:rsidR="00A57239">
        <w:t xml:space="preserve">in accordance with the Act. </w:t>
      </w:r>
      <w:r w:rsidR="006942E5">
        <w:t>Generally,</w:t>
      </w:r>
      <w:r w:rsidR="00A57239">
        <w:t xml:space="preserve"> information can be used or disclosed by assessors</w:t>
      </w:r>
      <w:r w:rsidRPr="00163F9F">
        <w:t xml:space="preserve"> and </w:t>
      </w:r>
      <w:r w:rsidR="00A57239">
        <w:t xml:space="preserve">staff in </w:t>
      </w:r>
      <w:r w:rsidRPr="00163F9F">
        <w:t xml:space="preserve">the </w:t>
      </w:r>
      <w:r w:rsidR="00A57239">
        <w:t xml:space="preserve">course of performing their delegated powers or functions under the Act or with the consent of the older </w:t>
      </w:r>
      <w:r w:rsidRPr="00163F9F">
        <w:t>person</w:t>
      </w:r>
      <w:r w:rsidR="00A57239">
        <w:t>.</w:t>
      </w:r>
      <w:r w:rsidRPr="00163F9F">
        <w:t xml:space="preserve"> Written records of ‘interesting cases’ may not be kept by staff members, and cases may not be referenced in public discussion such as in a Letter to the Editor or in social media. There are </w:t>
      </w:r>
      <w:r>
        <w:t>explicit</w:t>
      </w:r>
      <w:r w:rsidRPr="00163F9F">
        <w:t xml:space="preserve"> </w:t>
      </w:r>
      <w:r w:rsidR="00E76D1F">
        <w:t xml:space="preserve">authorisations for the use and </w:t>
      </w:r>
      <w:r>
        <w:t>disclosure of information</w:t>
      </w:r>
      <w:r w:rsidR="0077520B">
        <w:t xml:space="preserve"> under the Act.</w:t>
      </w:r>
      <w:r>
        <w:t xml:space="preserve"> These may generally be categorised </w:t>
      </w:r>
      <w:r w:rsidRPr="00163F9F">
        <w:t>as</w:t>
      </w:r>
      <w:r>
        <w:t xml:space="preserve">: </w:t>
      </w:r>
    </w:p>
    <w:p w14:paraId="18BB2527" w14:textId="77777777" w:rsidR="000935F8" w:rsidRDefault="000935F8" w:rsidP="00DF3F6B">
      <w:pPr>
        <w:pStyle w:val="ListParagraph"/>
        <w:numPr>
          <w:ilvl w:val="0"/>
          <w:numId w:val="366"/>
        </w:numPr>
        <w:spacing w:before="240" w:after="240" w:line="240" w:lineRule="auto"/>
      </w:pPr>
      <w:r w:rsidRPr="00950C00">
        <w:rPr>
          <w:b/>
        </w:rPr>
        <w:t>general authorisations</w:t>
      </w:r>
      <w:r>
        <w:t>- including but not limited to functions and powers under the Act, for proceedings, with consent, preventing serious threat to safety, health or wellbeing, for the purposes of worker screening</w:t>
      </w:r>
    </w:p>
    <w:p w14:paraId="5E8CF560" w14:textId="43BD0DCF" w:rsidR="000935F8" w:rsidRDefault="000935F8" w:rsidP="00DF3F6B">
      <w:pPr>
        <w:pStyle w:val="ListParagraph"/>
        <w:numPr>
          <w:ilvl w:val="0"/>
          <w:numId w:val="366"/>
        </w:numPr>
        <w:spacing w:before="240" w:after="240" w:line="240" w:lineRule="auto"/>
      </w:pPr>
      <w:r w:rsidRPr="00950C00">
        <w:rPr>
          <w:b/>
        </w:rPr>
        <w:t>entrusted persons</w:t>
      </w:r>
      <w:r>
        <w:t xml:space="preserve"> – disclosure to a minister, </w:t>
      </w:r>
      <w:r w:rsidR="001D5D61">
        <w:t>disclosure</w:t>
      </w:r>
      <w:r>
        <w:t xml:space="preserve"> for the purposes of obtaining legal advice or </w:t>
      </w:r>
      <w:r w:rsidR="003D5865">
        <w:t>another legal</w:t>
      </w:r>
      <w:r>
        <w:t xml:space="preserve"> service, for the provision of services to an individual </w:t>
      </w:r>
      <w:r w:rsidR="003D5865">
        <w:t>(but only for specific purposes, such as assessing the level of care an individual needs, relative to the needs of others)</w:t>
      </w:r>
    </w:p>
    <w:p w14:paraId="60AE4428" w14:textId="77777777" w:rsidR="000935F8" w:rsidRDefault="000935F8" w:rsidP="00DF3F6B">
      <w:pPr>
        <w:pStyle w:val="ListParagraph"/>
        <w:numPr>
          <w:ilvl w:val="0"/>
          <w:numId w:val="366"/>
        </w:numPr>
        <w:spacing w:before="240" w:after="240" w:line="240" w:lineRule="auto"/>
      </w:pPr>
      <w:r w:rsidRPr="007441B4">
        <w:rPr>
          <w:b/>
        </w:rPr>
        <w:t xml:space="preserve">authorisation by the System Governor or Appointed Commissioner </w:t>
      </w:r>
      <w:r>
        <w:t xml:space="preserve">– disclosure to relevant Commonwealth bodies and agencies, disclosure to a registered supporter of an individual accessing or seeking access to funded aged care, disclosure for continuation of funded aged care services, disclosure for research, disclosure for law enforcement and revenue protection, disclosure for maintenance of professional standards, disclosure for certified purposes </w:t>
      </w:r>
    </w:p>
    <w:p w14:paraId="18799C08" w14:textId="77777777" w:rsidR="000935F8" w:rsidRDefault="000935F8" w:rsidP="00DF3F6B">
      <w:pPr>
        <w:pStyle w:val="ListParagraph"/>
        <w:numPr>
          <w:ilvl w:val="0"/>
          <w:numId w:val="366"/>
        </w:numPr>
        <w:spacing w:before="240" w:after="240" w:line="240" w:lineRule="auto"/>
      </w:pPr>
      <w:r w:rsidRPr="0022366A">
        <w:rPr>
          <w:b/>
        </w:rPr>
        <w:t>authorisation by the System Governor or Appointed Commissioner for certain inquiries</w:t>
      </w:r>
      <w:r>
        <w:t xml:space="preserve">- disclosure to the coroner, disclosure for state or territory complaints </w:t>
      </w:r>
    </w:p>
    <w:p w14:paraId="0C63AF28" w14:textId="77777777" w:rsidR="000935F8" w:rsidRDefault="000935F8" w:rsidP="00DF3F6B">
      <w:pPr>
        <w:pStyle w:val="ListParagraph"/>
        <w:numPr>
          <w:ilvl w:val="0"/>
          <w:numId w:val="366"/>
        </w:numPr>
        <w:spacing w:before="240" w:after="240" w:line="240" w:lineRule="auto"/>
      </w:pPr>
      <w:r w:rsidRPr="008A3255">
        <w:rPr>
          <w:b/>
        </w:rPr>
        <w:t>Authorisation by the System Governor for grants and quality purposes</w:t>
      </w:r>
      <w:r>
        <w:t>- disclosure for grants and disclosure for star ratings</w:t>
      </w:r>
    </w:p>
    <w:p w14:paraId="6743599C" w14:textId="39F840B1" w:rsidR="000935F8" w:rsidRPr="00163F9F" w:rsidRDefault="00E310C1" w:rsidP="00622CFF">
      <w:pPr>
        <w:spacing w:before="240" w:after="240" w:line="240" w:lineRule="auto"/>
      </w:pPr>
      <w:r>
        <w:t xml:space="preserve">Disclosures made under any of the authorisations must be </w:t>
      </w:r>
      <w:r w:rsidR="00B140E8">
        <w:t xml:space="preserve">in accordance with the specific requirements outlined under Division 2 of Part 2 of Chapter 7 of the </w:t>
      </w:r>
      <w:r w:rsidR="0027665A">
        <w:t xml:space="preserve">Aged Care Act 2024 (the </w:t>
      </w:r>
      <w:r w:rsidR="00B140E8">
        <w:t>Act</w:t>
      </w:r>
      <w:r w:rsidR="0027665A">
        <w:t>)</w:t>
      </w:r>
      <w:r w:rsidR="00B140E8">
        <w:t xml:space="preserve">. </w:t>
      </w:r>
    </w:p>
    <w:p w14:paraId="1DD1ABD6" w14:textId="77777777" w:rsidR="000935F8" w:rsidRPr="00163F9F" w:rsidRDefault="000935F8" w:rsidP="00622CFF">
      <w:pPr>
        <w:spacing w:before="240" w:after="240" w:line="240" w:lineRule="auto"/>
      </w:pPr>
      <w:r w:rsidRPr="00163F9F">
        <w:t>Any systems developed for the collection and analysis of data should incorporate adequate procedures to protect the privacy of people being assessed. If data is to be used for purposes other than assessment, or individual care planning, assessors must have procedures in place to ensure that older person confidentiality is maintained and individuals cannot be identified.</w:t>
      </w:r>
    </w:p>
    <w:p w14:paraId="6F0ACDCD" w14:textId="65C07534" w:rsidR="000935F8" w:rsidRPr="00465928" w:rsidRDefault="00516348" w:rsidP="00622CFF">
      <w:pPr>
        <w:spacing w:before="240" w:after="240" w:line="240" w:lineRule="auto"/>
      </w:pPr>
      <w:r>
        <w:t>Older people</w:t>
      </w:r>
      <w:r w:rsidR="000935F8" w:rsidRPr="00465928">
        <w:t xml:space="preserve"> and their </w:t>
      </w:r>
      <w:r w:rsidR="000935F8">
        <w:t xml:space="preserve">registered </w:t>
      </w:r>
      <w:r w:rsidR="000935F8" w:rsidRPr="00465928">
        <w:t>supporters should be encouraged to access their My Aged Care online account. This gives direct access to the older person’s assessment information, which they can disclose to other parties as they wish.</w:t>
      </w:r>
    </w:p>
    <w:p w14:paraId="12D08FBC" w14:textId="77777777" w:rsidR="000935F8" w:rsidRDefault="000935F8" w:rsidP="00622CFF">
      <w:pPr>
        <w:spacing w:before="240" w:after="240" w:line="240" w:lineRule="auto"/>
      </w:pPr>
      <w:r w:rsidRPr="00465928">
        <w:t xml:space="preserve">In cases where there is no consent to release information or any doubt about the release of information, the assessor should discuss this situation with the organisation’s manager. The manager may further consult the assessment organisation’s auspice organisation, the state or territory government, the department or obtain independent legal advice if any doubt remains, before releasing information. </w:t>
      </w:r>
    </w:p>
    <w:tbl>
      <w:tblPr>
        <w:tblW w:w="0" w:type="auto"/>
        <w:tblLook w:val="04A0" w:firstRow="1" w:lastRow="0" w:firstColumn="1" w:lastColumn="0" w:noHBand="0" w:noVBand="1"/>
      </w:tblPr>
      <w:tblGrid>
        <w:gridCol w:w="8931"/>
      </w:tblGrid>
      <w:tr w:rsidR="000935F8" w14:paraId="7F3884AD" w14:textId="77777777">
        <w:tc>
          <w:tcPr>
            <w:tcW w:w="8931" w:type="dxa"/>
          </w:tcPr>
          <w:p w14:paraId="6626EA13" w14:textId="77777777" w:rsidR="000935F8" w:rsidRPr="00686DA1" w:rsidRDefault="000935F8" w:rsidP="00622CFF">
            <w:pPr>
              <w:spacing w:before="240" w:after="240" w:line="240" w:lineRule="auto"/>
              <w:rPr>
                <w:szCs w:val="22"/>
              </w:rPr>
            </w:pPr>
            <w:r w:rsidRPr="0028657F">
              <w:rPr>
                <w:noProof/>
              </w:rPr>
              <w:drawing>
                <wp:anchor distT="0" distB="0" distL="114300" distR="114300" simplePos="0" relativeHeight="251658263" behindDoc="0" locked="0" layoutInCell="1" allowOverlap="1" wp14:anchorId="15A4CC5C" wp14:editId="4FF3E0AF">
                  <wp:simplePos x="0" y="0"/>
                  <wp:positionH relativeFrom="column">
                    <wp:posOffset>2540</wp:posOffset>
                  </wp:positionH>
                  <wp:positionV relativeFrom="paragraph">
                    <wp:posOffset>48260</wp:posOffset>
                  </wp:positionV>
                  <wp:extent cx="369570" cy="367665"/>
                  <wp:effectExtent l="0" t="0" r="0" b="0"/>
                  <wp:wrapSquare wrapText="bothSides"/>
                  <wp:docPr id="844508469" name="Picture 84450846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9570" cy="367665"/>
                          </a:xfrm>
                          <a:prstGeom prst="rect">
                            <a:avLst/>
                          </a:prstGeom>
                        </pic:spPr>
                      </pic:pic>
                    </a:graphicData>
                  </a:graphic>
                  <wp14:sizeRelH relativeFrom="page">
                    <wp14:pctWidth>0</wp14:pctWidth>
                  </wp14:sizeRelH>
                  <wp14:sizeRelV relativeFrom="page">
                    <wp14:pctHeight>0</wp14:pctHeight>
                  </wp14:sizeRelV>
                </wp:anchor>
              </w:drawing>
            </w:r>
            <w:r w:rsidRPr="00686DA1">
              <w:rPr>
                <w:b/>
                <w:szCs w:val="22"/>
              </w:rPr>
              <w:t xml:space="preserve"> Australian Security Intelligence Organisation website</w:t>
            </w:r>
            <w:r w:rsidRPr="00686DA1">
              <w:rPr>
                <w:szCs w:val="22"/>
              </w:rPr>
              <w:t xml:space="preserve">: </w:t>
            </w:r>
            <w:hyperlink r:id="rId305">
              <w:r w:rsidRPr="00686DA1">
                <w:rPr>
                  <w:rStyle w:val="Hyperlink"/>
                  <w:szCs w:val="22"/>
                </w:rPr>
                <w:t>ASIO T4 Protective Security</w:t>
              </w:r>
            </w:hyperlink>
          </w:p>
          <w:p w14:paraId="7DEEBF61" w14:textId="77777777" w:rsidR="000935F8" w:rsidRPr="00686DA1" w:rsidRDefault="000935F8" w:rsidP="00622CFF">
            <w:pPr>
              <w:spacing w:before="240" w:after="240" w:line="240" w:lineRule="auto"/>
              <w:ind w:left="720"/>
              <w:rPr>
                <w:szCs w:val="22"/>
              </w:rPr>
            </w:pPr>
            <w:r w:rsidRPr="00686DA1">
              <w:rPr>
                <w:b/>
                <w:bCs/>
                <w:szCs w:val="22"/>
              </w:rPr>
              <w:t>Federal Register of Legislation website</w:t>
            </w:r>
            <w:r w:rsidRPr="00686DA1">
              <w:rPr>
                <w:szCs w:val="22"/>
              </w:rPr>
              <w:t xml:space="preserve">: </w:t>
            </w:r>
            <w:hyperlink r:id="rId306" w:history="1">
              <w:r w:rsidRPr="00376A33">
                <w:rPr>
                  <w:rStyle w:val="Hyperlink"/>
                  <w:szCs w:val="22"/>
                </w:rPr>
                <w:t>Aged Care Act 2024 -</w:t>
              </w:r>
              <w:r>
                <w:rPr>
                  <w:rStyle w:val="Hyperlink"/>
                  <w:szCs w:val="22"/>
                </w:rPr>
                <w:t xml:space="preserve"> </w:t>
              </w:r>
              <w:r w:rsidRPr="008B1FE3">
                <w:rPr>
                  <w:rStyle w:val="Hyperlink"/>
                  <w:szCs w:val="22"/>
                </w:rPr>
                <w:t>Federal Register of Legislation</w:t>
              </w:r>
              <w:r w:rsidRPr="00376A33">
                <w:rPr>
                  <w:rStyle w:val="Hyperlink"/>
                  <w:szCs w:val="22"/>
                </w:rPr>
                <w:t xml:space="preserve"> </w:t>
              </w:r>
              <w:r>
                <w:rPr>
                  <w:rStyle w:val="Hyperlink"/>
                  <w:szCs w:val="22"/>
                </w:rPr>
                <w:t xml:space="preserve">                    </w:t>
              </w:r>
            </w:hyperlink>
          </w:p>
          <w:p w14:paraId="4B30DC55" w14:textId="77777777" w:rsidR="000935F8" w:rsidRPr="00686DA1" w:rsidRDefault="000935F8" w:rsidP="00622CFF">
            <w:pPr>
              <w:spacing w:before="240" w:after="240" w:line="240" w:lineRule="auto"/>
              <w:ind w:left="720"/>
              <w:rPr>
                <w:szCs w:val="22"/>
              </w:rPr>
            </w:pPr>
            <w:hyperlink r:id="rId307">
              <w:r w:rsidRPr="00686DA1">
                <w:rPr>
                  <w:rStyle w:val="Hyperlink"/>
                  <w:szCs w:val="22"/>
                </w:rPr>
                <w:t>Archives Act 1983</w:t>
              </w:r>
            </w:hyperlink>
          </w:p>
          <w:p w14:paraId="2C817887" w14:textId="30CB151F" w:rsidR="000935F8" w:rsidRDefault="000935F8" w:rsidP="00622CFF">
            <w:pPr>
              <w:spacing w:before="240" w:after="240" w:line="240" w:lineRule="auto"/>
              <w:ind w:left="720"/>
              <w:rPr>
                <w:szCs w:val="22"/>
              </w:rPr>
            </w:pPr>
            <w:hyperlink r:id="rId308">
              <w:r w:rsidRPr="00686DA1">
                <w:rPr>
                  <w:rStyle w:val="Hyperlink"/>
                  <w:szCs w:val="22"/>
                </w:rPr>
                <w:t>Electronic Transaction Act 1999</w:t>
              </w:r>
            </w:hyperlink>
            <w:r w:rsidRPr="00686DA1">
              <w:rPr>
                <w:szCs w:val="22"/>
              </w:rPr>
              <w:t xml:space="preserve"> (see </w:t>
            </w:r>
            <w:r w:rsidR="00A84459">
              <w:rPr>
                <w:szCs w:val="22"/>
              </w:rPr>
              <w:t>Part</w:t>
            </w:r>
            <w:r w:rsidRPr="00686DA1">
              <w:rPr>
                <w:szCs w:val="22"/>
              </w:rPr>
              <w:t>2, Division 2, Section 12 – Retention)</w:t>
            </w:r>
          </w:p>
          <w:p w14:paraId="728BAABC" w14:textId="25198460" w:rsidR="00654C8B" w:rsidRPr="00686DA1" w:rsidRDefault="008D0069" w:rsidP="00622CFF">
            <w:pPr>
              <w:spacing w:before="240" w:after="240" w:line="240" w:lineRule="auto"/>
              <w:ind w:left="720"/>
              <w:rPr>
                <w:szCs w:val="22"/>
              </w:rPr>
            </w:pPr>
            <w:hyperlink r:id="rId309" w:history="1">
              <w:r w:rsidRPr="008D0069">
                <w:rPr>
                  <w:rStyle w:val="Hyperlink"/>
                  <w:szCs w:val="22"/>
                </w:rPr>
                <w:t>Privacy Act 1988 - Federal Register of Legislation</w:t>
              </w:r>
            </w:hyperlink>
          </w:p>
          <w:p w14:paraId="7DF9B01A" w14:textId="77777777" w:rsidR="000935F8" w:rsidRPr="00686DA1" w:rsidRDefault="000935F8" w:rsidP="00622CFF">
            <w:pPr>
              <w:spacing w:before="240" w:after="240" w:line="240" w:lineRule="auto"/>
              <w:ind w:left="720"/>
              <w:rPr>
                <w:szCs w:val="22"/>
              </w:rPr>
            </w:pPr>
            <w:r w:rsidRPr="00686DA1">
              <w:rPr>
                <w:b/>
                <w:szCs w:val="22"/>
              </w:rPr>
              <w:t>National Archives of Australia website</w:t>
            </w:r>
            <w:r w:rsidRPr="00686DA1">
              <w:rPr>
                <w:szCs w:val="22"/>
              </w:rPr>
              <w:t xml:space="preserve">: </w:t>
            </w:r>
            <w:hyperlink r:id="rId310">
              <w:r w:rsidRPr="00686DA1">
                <w:rPr>
                  <w:rStyle w:val="Hyperlink"/>
                  <w:szCs w:val="22"/>
                </w:rPr>
                <w:t>Records Authority 2011/00396196 Department of Health and Ageing (includes Aged Care)</w:t>
              </w:r>
            </w:hyperlink>
            <w:r w:rsidRPr="00686DA1">
              <w:rPr>
                <w:szCs w:val="22"/>
              </w:rPr>
              <w:t xml:space="preserve"> </w:t>
            </w:r>
          </w:p>
          <w:p w14:paraId="6EE5C636" w14:textId="77777777" w:rsidR="000935F8" w:rsidRPr="00686DA1" w:rsidRDefault="000935F8" w:rsidP="00622CFF">
            <w:pPr>
              <w:spacing w:before="240" w:after="240" w:line="240" w:lineRule="auto"/>
              <w:ind w:left="720"/>
              <w:rPr>
                <w:b/>
                <w:szCs w:val="22"/>
              </w:rPr>
            </w:pPr>
            <w:r w:rsidRPr="00686DA1">
              <w:rPr>
                <w:b/>
                <w:szCs w:val="22"/>
              </w:rPr>
              <w:t>Office of the Australian Information Commissioner website:</w:t>
            </w:r>
          </w:p>
          <w:p w14:paraId="7FF1EDB0" w14:textId="6E4684A3" w:rsidR="000935F8" w:rsidRPr="00D94ACC" w:rsidRDefault="000935F8" w:rsidP="00622CFF">
            <w:pPr>
              <w:spacing w:before="240" w:after="240" w:line="240" w:lineRule="auto"/>
              <w:ind w:left="720"/>
              <w:rPr>
                <w:szCs w:val="22"/>
              </w:rPr>
            </w:pPr>
            <w:hyperlink r:id="rId311">
              <w:r w:rsidRPr="00686DA1">
                <w:rPr>
                  <w:rStyle w:val="Hyperlink"/>
                  <w:szCs w:val="22"/>
                </w:rPr>
                <w:t>Australian Privacy Principles</w:t>
              </w:r>
            </w:hyperlink>
            <w:r w:rsidRPr="00686DA1">
              <w:rPr>
                <w:rStyle w:val="Hyperlink"/>
                <w:szCs w:val="22"/>
              </w:rPr>
              <w:t xml:space="preserve"> </w:t>
            </w:r>
            <w:r w:rsidRPr="00686DA1">
              <w:rPr>
                <w:szCs w:val="22"/>
              </w:rPr>
              <w:t xml:space="preserve"> </w:t>
            </w:r>
          </w:p>
        </w:tc>
      </w:tr>
    </w:tbl>
    <w:p w14:paraId="56D5D13F" w14:textId="16FB0417" w:rsidR="000935F8" w:rsidRPr="00686DA1" w:rsidRDefault="000935F8" w:rsidP="00C56CEC">
      <w:pPr>
        <w:pStyle w:val="H3"/>
      </w:pPr>
      <w:bookmarkStart w:id="1079" w:name="_Toc159226994"/>
      <w:bookmarkStart w:id="1080" w:name="_Toc184402409"/>
      <w:r w:rsidRPr="00643038">
        <w:t xml:space="preserve">Freedom of </w:t>
      </w:r>
      <w:r w:rsidR="00090D7F">
        <w:t>i</w:t>
      </w:r>
      <w:r w:rsidRPr="00643038">
        <w:t>nformation</w:t>
      </w:r>
      <w:bookmarkEnd w:id="1079"/>
      <w:bookmarkEnd w:id="1080"/>
    </w:p>
    <w:p w14:paraId="63C9424A" w14:textId="29F3078D" w:rsidR="000935F8" w:rsidRDefault="000935F8" w:rsidP="00622CFF">
      <w:pPr>
        <w:spacing w:before="240" w:after="240" w:line="240" w:lineRule="auto"/>
        <w:rPr>
          <w:lang w:eastAsia="en-US"/>
        </w:rPr>
      </w:pPr>
      <w:r w:rsidRPr="00B24A22">
        <w:rPr>
          <w:lang w:eastAsia="en-US"/>
        </w:rPr>
        <w:t xml:space="preserve">The Commonwealth </w:t>
      </w:r>
      <w:r w:rsidRPr="00B24A22">
        <w:rPr>
          <w:i/>
          <w:lang w:eastAsia="en-US"/>
        </w:rPr>
        <w:t xml:space="preserve">Freedom of Information Act 1982 </w:t>
      </w:r>
      <w:r w:rsidR="00CB2E29">
        <w:rPr>
          <w:iCs/>
          <w:lang w:eastAsia="en-US"/>
        </w:rPr>
        <w:t>(Freedom of Information Act)</w:t>
      </w:r>
      <w:r w:rsidRPr="00B24A22">
        <w:rPr>
          <w:i/>
          <w:lang w:eastAsia="en-US"/>
        </w:rPr>
        <w:t xml:space="preserve"> </w:t>
      </w:r>
      <w:r w:rsidRPr="00B24A22">
        <w:rPr>
          <w:lang w:eastAsia="en-US"/>
        </w:rPr>
        <w:t>gives members of the public the right to request access to government-held information. This includes information the government holds about individuals or about government policies and decisions. The Freedom of Information Act</w:t>
      </w:r>
      <w:r w:rsidRPr="00B24A22">
        <w:rPr>
          <w:i/>
          <w:lang w:eastAsia="en-US"/>
        </w:rPr>
        <w:t xml:space="preserve"> </w:t>
      </w:r>
      <w:r w:rsidRPr="00B24A22">
        <w:rPr>
          <w:lang w:eastAsia="en-US"/>
        </w:rPr>
        <w:t>extends, as far as possible, the right of the Australian community to access information (generally documents) in the possession of the Commonwealth, limited only by considerations of the protection of essential public interest and of the private and business affairs of persons in respect of whom information is collected and held by departments and public authorities.</w:t>
      </w:r>
    </w:p>
    <w:tbl>
      <w:tblPr>
        <w:tblW w:w="0" w:type="auto"/>
        <w:tblLook w:val="04A0" w:firstRow="1" w:lastRow="0" w:firstColumn="1" w:lastColumn="0" w:noHBand="0" w:noVBand="1"/>
      </w:tblPr>
      <w:tblGrid>
        <w:gridCol w:w="8647"/>
      </w:tblGrid>
      <w:tr w:rsidR="000935F8" w14:paraId="77DD4293" w14:textId="77777777">
        <w:tc>
          <w:tcPr>
            <w:tcW w:w="8647" w:type="dxa"/>
          </w:tcPr>
          <w:p w14:paraId="3B00FA02" w14:textId="77777777" w:rsidR="000935F8" w:rsidRPr="00686DA1" w:rsidRDefault="000935F8" w:rsidP="00622CFF">
            <w:pPr>
              <w:spacing w:before="240" w:after="240" w:line="240" w:lineRule="auto"/>
            </w:pPr>
            <w:r w:rsidRPr="0028657F">
              <w:rPr>
                <w:noProof/>
              </w:rPr>
              <w:drawing>
                <wp:anchor distT="0" distB="0" distL="114300" distR="114300" simplePos="0" relativeHeight="251658262" behindDoc="0" locked="0" layoutInCell="1" allowOverlap="1" wp14:anchorId="432773D5" wp14:editId="39DF8B68">
                  <wp:simplePos x="0" y="0"/>
                  <wp:positionH relativeFrom="column">
                    <wp:posOffset>2540</wp:posOffset>
                  </wp:positionH>
                  <wp:positionV relativeFrom="paragraph">
                    <wp:posOffset>48895</wp:posOffset>
                  </wp:positionV>
                  <wp:extent cx="447675" cy="445135"/>
                  <wp:effectExtent l="0" t="0" r="9525" b="0"/>
                  <wp:wrapSquare wrapText="bothSides"/>
                  <wp:docPr id="1417976353" name="Picture 141797635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r w:rsidRPr="00635AA3">
              <w:rPr>
                <w:szCs w:val="22"/>
              </w:rPr>
              <w:t xml:space="preserve"> </w:t>
            </w:r>
            <w:r w:rsidRPr="00686DA1">
              <w:rPr>
                <w:b/>
                <w:szCs w:val="22"/>
              </w:rPr>
              <w:t>Federal Register of Legislation website</w:t>
            </w:r>
            <w:r w:rsidRPr="00686DA1">
              <w:rPr>
                <w:szCs w:val="22"/>
              </w:rPr>
              <w:t xml:space="preserve">: </w:t>
            </w:r>
            <w:hyperlink r:id="rId312">
              <w:r w:rsidRPr="00686DA1">
                <w:rPr>
                  <w:rStyle w:val="Hyperlink"/>
                  <w:szCs w:val="22"/>
                </w:rPr>
                <w:t xml:space="preserve">Freedom of Information Act 1982 </w:t>
              </w:r>
            </w:hyperlink>
          </w:p>
          <w:p w14:paraId="73FACED2" w14:textId="0A82CEDD" w:rsidR="000935F8" w:rsidRDefault="000935F8" w:rsidP="0063132D">
            <w:pPr>
              <w:spacing w:before="240" w:after="240" w:line="240" w:lineRule="auto"/>
              <w:ind w:left="720"/>
            </w:pPr>
            <w:r w:rsidRPr="00686DA1">
              <w:rPr>
                <w:b/>
                <w:szCs w:val="22"/>
              </w:rPr>
              <w:t>Office of the Australian Information Commissioner</w:t>
            </w:r>
            <w:r w:rsidRPr="00686DA1">
              <w:rPr>
                <w:szCs w:val="22"/>
              </w:rPr>
              <w:t xml:space="preserve">: </w:t>
            </w:r>
            <w:hyperlink r:id="rId313" w:history="1">
              <w:r w:rsidRPr="00686DA1">
                <w:rPr>
                  <w:rStyle w:val="Hyperlink"/>
                  <w:szCs w:val="22"/>
                </w:rPr>
                <w:t>What is</w:t>
              </w:r>
              <w:r>
                <w:rPr>
                  <w:rStyle w:val="Hyperlink"/>
                  <w:szCs w:val="22"/>
                </w:rPr>
                <w:t xml:space="preserve"> </w:t>
              </w:r>
              <w:r w:rsidRPr="00686DA1">
                <w:rPr>
                  <w:rStyle w:val="Hyperlink"/>
                  <w:szCs w:val="22"/>
                </w:rPr>
                <w:t>freedom of information? | OAIC</w:t>
              </w:r>
            </w:hyperlink>
          </w:p>
        </w:tc>
      </w:tr>
    </w:tbl>
    <w:p w14:paraId="6C450118" w14:textId="10BD0E2B" w:rsidR="00F316A9" w:rsidRDefault="00F316A9" w:rsidP="00E3017E">
      <w:bookmarkStart w:id="1081" w:name="_Toc204329637"/>
      <w:bookmarkStart w:id="1082" w:name="_Toc209189067"/>
      <w:bookmarkStart w:id="1083" w:name="_Toc159226996"/>
      <w:bookmarkStart w:id="1084" w:name="_Toc184402411"/>
    </w:p>
    <w:p w14:paraId="641F702C" w14:textId="48CF2C0D" w:rsidR="00E301D5" w:rsidRPr="00686DA1" w:rsidRDefault="00E301D5" w:rsidP="00C56CEC">
      <w:pPr>
        <w:pStyle w:val="H3"/>
      </w:pPr>
      <w:r w:rsidRPr="00686DA1">
        <w:t>Framework for Governance of Indigenous Data</w:t>
      </w:r>
    </w:p>
    <w:p w14:paraId="251F28A5" w14:textId="77777777" w:rsidR="00E301D5" w:rsidRDefault="00E301D5" w:rsidP="00E301D5">
      <w:pPr>
        <w:pStyle w:val="NumberedList"/>
        <w:spacing w:before="240" w:after="240" w:line="240" w:lineRule="auto"/>
      </w:pPr>
      <w:r w:rsidRPr="4D7DA659">
        <w:rPr>
          <w:lang w:val="en-US"/>
        </w:rPr>
        <w:t xml:space="preserve">The Framework for Governance of Indigenous Data </w:t>
      </w:r>
      <w:r w:rsidRPr="5945CEC9">
        <w:rPr>
          <w:lang w:val="en-US"/>
        </w:rPr>
        <w:t>provides a stepping stone towards greater awareness and acceptance by Australian Government agencies of the principles of Indigenous Data Sovereignty</w:t>
      </w:r>
      <w:r w:rsidRPr="4D7DA659">
        <w:rPr>
          <w:lang w:val="en-US"/>
        </w:rPr>
        <w:t>.</w:t>
      </w:r>
    </w:p>
    <w:p w14:paraId="3767018E" w14:textId="77777777" w:rsidR="00E301D5" w:rsidRDefault="00E301D5" w:rsidP="00E301D5">
      <w:pPr>
        <w:pStyle w:val="NumberedList"/>
        <w:spacing w:before="240" w:after="240" w:line="240" w:lineRule="auto"/>
        <w:rPr>
          <w:lang w:val="en-US"/>
        </w:rPr>
      </w:pPr>
      <w:r w:rsidRPr="1F0AD818">
        <w:rPr>
          <w:lang w:val="en-US"/>
        </w:rPr>
        <w:t>T</w:t>
      </w:r>
      <w:r w:rsidRPr="2E275B06">
        <w:rPr>
          <w:lang w:val="en-US"/>
        </w:rPr>
        <w:t xml:space="preserve">he Indigenous Data Sovereignty </w:t>
      </w:r>
      <w:r w:rsidRPr="1F0AD818">
        <w:rPr>
          <w:lang w:val="en-US"/>
        </w:rPr>
        <w:t>Principles are</w:t>
      </w:r>
      <w:r w:rsidRPr="2E275B06">
        <w:rPr>
          <w:lang w:val="en-US"/>
        </w:rPr>
        <w:t xml:space="preserve"> outlined by the Maiam nayri Wingara Indigenous Data Sovereignty Collective. The principles concern the right of Aboriginal and Torres Strait Islander people to exercise ownership and control over Indigenous data at all phases of the data lifecycle. Indigenous data is defined by Maiam nayri Wingara as ‘information or knowledge, in any format or medium, which is about and may affect Indigenous peoples both collectively and individually.’ </w:t>
      </w:r>
    </w:p>
    <w:p w14:paraId="05B38699" w14:textId="77777777" w:rsidR="00E301D5" w:rsidRDefault="00E301D5" w:rsidP="00E301D5">
      <w:pPr>
        <w:pStyle w:val="NumberedList"/>
        <w:spacing w:before="240" w:after="240" w:line="240" w:lineRule="auto"/>
      </w:pPr>
      <w:r w:rsidRPr="2E275B06">
        <w:rPr>
          <w:lang w:val="en-US"/>
        </w:rPr>
        <w:t>The framework contains the following guidelines for Australian Government agencies to change data governance practices</w:t>
      </w:r>
      <w:r>
        <w:rPr>
          <w:lang w:val="en-US"/>
        </w:rPr>
        <w:t>, in alignment with the commitments made in the National Agreement on Closing the Gap</w:t>
      </w:r>
      <w:r w:rsidRPr="2E275B06">
        <w:rPr>
          <w:lang w:val="en-US"/>
        </w:rPr>
        <w:t xml:space="preserve">: </w:t>
      </w:r>
    </w:p>
    <w:p w14:paraId="533F3F2C" w14:textId="77777777" w:rsidR="00E301D5" w:rsidRPr="00C14B69" w:rsidRDefault="00E301D5" w:rsidP="00DF3F6B">
      <w:pPr>
        <w:pStyle w:val="NumberedList"/>
        <w:numPr>
          <w:ilvl w:val="0"/>
          <w:numId w:val="367"/>
        </w:numPr>
        <w:spacing w:before="240" w:after="240" w:line="240" w:lineRule="auto"/>
        <w:rPr>
          <w:b/>
          <w:bCs/>
          <w:lang w:val="en-US"/>
        </w:rPr>
      </w:pPr>
      <w:r w:rsidRPr="00C14B69">
        <w:rPr>
          <w:b/>
          <w:bCs/>
          <w:lang w:val="en-US"/>
        </w:rPr>
        <w:t>Partner with Aboriginal and Torres Strait Islander people</w:t>
      </w:r>
      <w:r>
        <w:rPr>
          <w:b/>
          <w:bCs/>
          <w:lang w:val="en-US"/>
        </w:rPr>
        <w:t xml:space="preserve">- </w:t>
      </w:r>
      <w:r>
        <w:rPr>
          <w:lang w:val="en-US"/>
        </w:rPr>
        <w:t xml:space="preserve">establishing formal partnerships and shared decision-making with Aboriginal and Torres Strait Islander people, embedding Indigenous leadership into data governance. </w:t>
      </w:r>
    </w:p>
    <w:p w14:paraId="3C675F8A" w14:textId="77777777" w:rsidR="00E301D5" w:rsidRPr="00C14B69" w:rsidRDefault="00E301D5" w:rsidP="00DF3F6B">
      <w:pPr>
        <w:pStyle w:val="NumberedList"/>
        <w:numPr>
          <w:ilvl w:val="0"/>
          <w:numId w:val="367"/>
        </w:numPr>
        <w:spacing w:before="240" w:after="240" w:line="240" w:lineRule="auto"/>
        <w:rPr>
          <w:b/>
          <w:bCs/>
          <w:lang w:val="en-US"/>
        </w:rPr>
      </w:pPr>
      <w:r w:rsidRPr="00C14B69">
        <w:rPr>
          <w:b/>
          <w:bCs/>
          <w:lang w:val="en-US"/>
        </w:rPr>
        <w:t>Build data-related capabilities</w:t>
      </w:r>
      <w:r>
        <w:rPr>
          <w:b/>
          <w:bCs/>
          <w:lang w:val="en-US"/>
        </w:rPr>
        <w:t xml:space="preserve">- </w:t>
      </w:r>
      <w:r>
        <w:rPr>
          <w:lang w:val="en-US"/>
        </w:rPr>
        <w:t xml:space="preserve">Supplementing of technical skills with understanding of the ways in which Indigenous data has been collected and the narratives and challenges which arise from current datasets. Supporting Aboriginal and Torres Strait Islander communities and organisations through training and up-skilling Indigenous people. </w:t>
      </w:r>
    </w:p>
    <w:p w14:paraId="64C901D4" w14:textId="77777777" w:rsidR="00E301D5" w:rsidRPr="00C14B69" w:rsidRDefault="00E301D5" w:rsidP="00DF3F6B">
      <w:pPr>
        <w:pStyle w:val="NumberedList"/>
        <w:numPr>
          <w:ilvl w:val="0"/>
          <w:numId w:val="367"/>
        </w:numPr>
        <w:spacing w:before="240" w:after="240" w:line="240" w:lineRule="auto"/>
        <w:rPr>
          <w:b/>
          <w:bCs/>
          <w:lang w:val="en-US"/>
        </w:rPr>
      </w:pPr>
      <w:r w:rsidRPr="00C14B69">
        <w:rPr>
          <w:b/>
          <w:bCs/>
          <w:lang w:val="en-US"/>
        </w:rPr>
        <w:t>Provide knowledge of data assets</w:t>
      </w:r>
      <w:r>
        <w:rPr>
          <w:b/>
          <w:bCs/>
          <w:lang w:val="en-US"/>
        </w:rPr>
        <w:t xml:space="preserve">- </w:t>
      </w:r>
      <w:r>
        <w:rPr>
          <w:lang w:val="en-US"/>
        </w:rPr>
        <w:t xml:space="preserve">Supporting Aboriginal and Torres Strait Islander people to locate and access relevant government held data by informing Indigenous people about what data is held by the government, its usage and access permissions. </w:t>
      </w:r>
    </w:p>
    <w:p w14:paraId="0E5813E9" w14:textId="77777777" w:rsidR="00E301D5" w:rsidRPr="00AA1A51" w:rsidRDefault="00E301D5" w:rsidP="00DF3F6B">
      <w:pPr>
        <w:pStyle w:val="NumberedList"/>
        <w:numPr>
          <w:ilvl w:val="0"/>
          <w:numId w:val="367"/>
        </w:numPr>
        <w:spacing w:before="240" w:after="240" w:line="240" w:lineRule="auto"/>
        <w:rPr>
          <w:b/>
          <w:bCs/>
          <w:lang w:val="en-US"/>
        </w:rPr>
      </w:pPr>
      <w:r w:rsidRPr="00AA1A51">
        <w:rPr>
          <w:b/>
          <w:bCs/>
          <w:lang w:val="en-US"/>
        </w:rPr>
        <w:t>Build an inclusive data system</w:t>
      </w:r>
      <w:r>
        <w:rPr>
          <w:b/>
          <w:bCs/>
          <w:lang w:val="en-US"/>
        </w:rPr>
        <w:t xml:space="preserve">- </w:t>
      </w:r>
      <w:r>
        <w:rPr>
          <w:lang w:val="en-US"/>
        </w:rPr>
        <w:t xml:space="preserve">The structural transformation of datasets to support the inclusion of Aboriginal and Torres Strait Islander people in data governance. </w:t>
      </w:r>
    </w:p>
    <w:tbl>
      <w:tblPr>
        <w:tblW w:w="0" w:type="auto"/>
        <w:tblLook w:val="04A0" w:firstRow="1" w:lastRow="0" w:firstColumn="1" w:lastColumn="0" w:noHBand="0" w:noVBand="1"/>
      </w:tblPr>
      <w:tblGrid>
        <w:gridCol w:w="921"/>
        <w:gridCol w:w="8105"/>
      </w:tblGrid>
      <w:tr w:rsidR="00E301D5" w14:paraId="602F0B6B" w14:textId="77777777">
        <w:tc>
          <w:tcPr>
            <w:tcW w:w="921" w:type="dxa"/>
          </w:tcPr>
          <w:p w14:paraId="640088B7" w14:textId="77777777" w:rsidR="00E301D5" w:rsidRDefault="00E301D5">
            <w:pPr>
              <w:spacing w:before="240" w:after="240" w:line="240" w:lineRule="auto"/>
            </w:pPr>
            <w:r>
              <w:rPr>
                <w:noProof/>
              </w:rPr>
              <w:drawing>
                <wp:inline distT="0" distB="0" distL="0" distR="0" wp14:anchorId="434B6D37" wp14:editId="3FA9AD4C">
                  <wp:extent cx="447675" cy="445208"/>
                  <wp:effectExtent l="0" t="0" r="0" b="0"/>
                  <wp:docPr id="1595879413" name="Picture 15958794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EC68026" w14:textId="1B947CA8" w:rsidR="00E301D5" w:rsidRPr="00E301D5" w:rsidRDefault="00E301D5" w:rsidP="00E3017E">
            <w:pPr>
              <w:spacing w:before="240" w:after="240" w:line="240" w:lineRule="auto"/>
              <w:rPr>
                <w:lang w:val="en-AU"/>
              </w:rPr>
            </w:pPr>
            <w:hyperlink r:id="rId314" w:history="1">
              <w:r>
                <w:rPr>
                  <w:rStyle w:val="Hyperlink"/>
                </w:rPr>
                <w:t>https://www.oaic.gov.au/privacy/the-privacy-act/</w:t>
              </w:r>
            </w:hyperlink>
            <w:hyperlink r:id="rId315" w:history="1">
              <w:r w:rsidRPr="00E301D5">
                <w:rPr>
                  <w:rStyle w:val="Hyperlink"/>
                  <w:lang w:val="en-AU"/>
                </w:rPr>
                <w:t>Framework for Governance of Indigenous Data</w:t>
              </w:r>
            </w:hyperlink>
          </w:p>
        </w:tc>
      </w:tr>
    </w:tbl>
    <w:p w14:paraId="7E4FFE01" w14:textId="78B4C9F7" w:rsidR="000935F8" w:rsidRPr="005B3BA5" w:rsidRDefault="000935F8" w:rsidP="00507F9D">
      <w:pPr>
        <w:pStyle w:val="h2"/>
      </w:pPr>
      <w:bookmarkStart w:id="1085" w:name="_Toc224916719"/>
      <w:r w:rsidRPr="005B3BA5">
        <w:t xml:space="preserve">Clinical </w:t>
      </w:r>
      <w:r w:rsidR="00090D7F">
        <w:t>g</w:t>
      </w:r>
      <w:r w:rsidRPr="005B3BA5">
        <w:t>overnance</w:t>
      </w:r>
      <w:bookmarkEnd w:id="1081"/>
      <w:bookmarkEnd w:id="1082"/>
      <w:bookmarkEnd w:id="1085"/>
    </w:p>
    <w:p w14:paraId="5DD06F43" w14:textId="77777777" w:rsidR="000935F8" w:rsidRPr="00D46618" w:rsidRDefault="000935F8" w:rsidP="00622CFF">
      <w:pPr>
        <w:spacing w:before="240" w:after="240" w:line="240" w:lineRule="auto"/>
        <w:rPr>
          <w:rFonts w:eastAsia="Calibri"/>
        </w:rPr>
      </w:pPr>
      <w:r>
        <w:rPr>
          <w:rFonts w:eastAsia="Calibri"/>
        </w:rPr>
        <w:t>A</w:t>
      </w:r>
      <w:r w:rsidRPr="00D46618">
        <w:rPr>
          <w:rFonts w:eastAsia="Calibri"/>
        </w:rPr>
        <w:t xml:space="preserve">ssessment organisations </w:t>
      </w:r>
      <w:r>
        <w:rPr>
          <w:rFonts w:eastAsia="Calibri"/>
        </w:rPr>
        <w:t xml:space="preserve">have a responsibility to implement </w:t>
      </w:r>
      <w:r w:rsidRPr="00D46618">
        <w:rPr>
          <w:rFonts w:eastAsia="Calibri"/>
        </w:rPr>
        <w:t>effective clinical governance</w:t>
      </w:r>
      <w:r>
        <w:rPr>
          <w:rFonts w:eastAsia="Calibri"/>
        </w:rPr>
        <w:t xml:space="preserve">, made operational through a clinical governance framework. </w:t>
      </w:r>
      <w:r w:rsidRPr="00D46618">
        <w:rPr>
          <w:rFonts w:eastAsia="Calibri"/>
        </w:rPr>
        <w:t>A clinical governance framework is a framework that describes an organisation’s approach to clinical governance.</w:t>
      </w:r>
      <w:r>
        <w:rPr>
          <w:rFonts w:eastAsia="Calibri"/>
        </w:rPr>
        <w:t xml:space="preserve"> It must include </w:t>
      </w:r>
      <w:r w:rsidRPr="00D46618">
        <w:rPr>
          <w:rFonts w:eastAsia="Calibri"/>
        </w:rPr>
        <w:t>the practical, clinical supports that are in place for staff who may need to exercise clinical judgement or undertake elements of an aged care needs assessment that are clinical in nature.</w:t>
      </w:r>
    </w:p>
    <w:p w14:paraId="204943C5" w14:textId="1E205A85" w:rsidR="000935F8" w:rsidRDefault="000935F8" w:rsidP="00622CFF">
      <w:pPr>
        <w:spacing w:before="240" w:after="240" w:line="240" w:lineRule="auto"/>
        <w:rPr>
          <w:rFonts w:eastAsia="Calibri"/>
        </w:rPr>
      </w:pPr>
      <w:r>
        <w:rPr>
          <w:rFonts w:eastAsia="Calibri"/>
        </w:rPr>
        <w:t xml:space="preserve">Appendix </w:t>
      </w:r>
      <w:r w:rsidR="003E7EDA">
        <w:rPr>
          <w:rFonts w:eastAsia="Calibri"/>
        </w:rPr>
        <w:t>C</w:t>
      </w:r>
      <w:r>
        <w:rPr>
          <w:rFonts w:eastAsia="Calibri"/>
        </w:rPr>
        <w:t xml:space="preserve"> provides </w:t>
      </w:r>
      <w:r w:rsidRPr="00D46618">
        <w:rPr>
          <w:rFonts w:eastAsia="Calibri"/>
        </w:rPr>
        <w:t xml:space="preserve">guidance </w:t>
      </w:r>
      <w:r>
        <w:rPr>
          <w:rFonts w:eastAsia="Calibri"/>
        </w:rPr>
        <w:t>on how</w:t>
      </w:r>
      <w:r w:rsidRPr="00D46618">
        <w:rPr>
          <w:rFonts w:eastAsia="Calibri"/>
        </w:rPr>
        <w:t xml:space="preserve"> to implement</w:t>
      </w:r>
      <w:r>
        <w:rPr>
          <w:rFonts w:eastAsia="Calibri"/>
        </w:rPr>
        <w:t xml:space="preserve"> </w:t>
      </w:r>
      <w:r w:rsidRPr="00D46618">
        <w:rPr>
          <w:rFonts w:eastAsia="Calibri"/>
        </w:rPr>
        <w:t xml:space="preserve">effective clinical governance. </w:t>
      </w:r>
    </w:p>
    <w:p w14:paraId="35B99BA8" w14:textId="77777777" w:rsidR="000935F8" w:rsidRPr="00204E24" w:rsidRDefault="000935F8" w:rsidP="00507F9D">
      <w:pPr>
        <w:pStyle w:val="h2"/>
      </w:pPr>
      <w:bookmarkStart w:id="1086" w:name="_Toc209189068"/>
      <w:bookmarkStart w:id="1087" w:name="_Toc224916720"/>
      <w:r w:rsidRPr="00204E24">
        <w:t xml:space="preserve">Separation of assessment services and delivery of </w:t>
      </w:r>
      <w:bookmarkEnd w:id="1083"/>
      <w:r w:rsidRPr="00204E24">
        <w:t>aged care services</w:t>
      </w:r>
      <w:bookmarkEnd w:id="1084"/>
      <w:bookmarkEnd w:id="1086"/>
      <w:bookmarkEnd w:id="1087"/>
    </w:p>
    <w:p w14:paraId="22974A3A" w14:textId="2DF334A5" w:rsidR="00763079" w:rsidRPr="009B41AB" w:rsidRDefault="005F7999" w:rsidP="00D14C80">
      <w:pPr>
        <w:spacing w:after="0" w:line="240" w:lineRule="auto"/>
        <w:rPr>
          <w:b/>
        </w:rPr>
      </w:pPr>
      <w:r>
        <w:rPr>
          <w:rFonts w:eastAsia="Yu Gothic Light"/>
          <w:noProof/>
        </w:rPr>
        <w:drawing>
          <wp:inline distT="0" distB="0" distL="0" distR="0" wp14:anchorId="66376D1A" wp14:editId="776167C1">
            <wp:extent cx="457200" cy="506095"/>
            <wp:effectExtent l="0" t="0" r="0" b="8255"/>
            <wp:docPr id="2087064387" name="Picture 2087064387"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2887" name="Picture 1" descr="A bell with a exclamation mark&#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F97902" w:rsidRPr="009B41AB">
        <w:rPr>
          <w:b/>
        </w:rPr>
        <w:t>13.4.1 C</w:t>
      </w:r>
      <w:r w:rsidR="004D47F5" w:rsidRPr="009B41AB">
        <w:rPr>
          <w:b/>
        </w:rPr>
        <w:t xml:space="preserve">onflict of Interest in assessment </w:t>
      </w:r>
      <w:r w:rsidR="00763079" w:rsidRPr="009B41AB">
        <w:rPr>
          <w:b/>
        </w:rPr>
        <w:t>services delivery</w:t>
      </w:r>
    </w:p>
    <w:p w14:paraId="002B167C" w14:textId="5E529E7F" w:rsidR="00D14C80" w:rsidRDefault="00D14C80" w:rsidP="00D14C80">
      <w:pPr>
        <w:spacing w:after="0" w:line="240" w:lineRule="auto"/>
      </w:pPr>
      <w:r>
        <w:t xml:space="preserve">Assessment organisations that deliver Commonwealth-funded aged care services must declare, and are required to outline, to the Commonwealth’s satisfaction and approval, how any perceived, potential or real conflicts of interest in the delivery of aged care assessment services will be managed and mitigated. This also applies to any related entities. </w:t>
      </w:r>
    </w:p>
    <w:p w14:paraId="100A4CAC" w14:textId="77777777" w:rsidR="00D14C80" w:rsidRDefault="00D14C80" w:rsidP="00D14C80">
      <w:pPr>
        <w:spacing w:after="0" w:line="240" w:lineRule="auto"/>
      </w:pPr>
    </w:p>
    <w:p w14:paraId="762C09BF" w14:textId="77777777" w:rsidR="00D14C80" w:rsidRDefault="00D14C80" w:rsidP="00D14C80">
      <w:pPr>
        <w:spacing w:after="0" w:line="240" w:lineRule="auto"/>
      </w:pPr>
      <w:r>
        <w:t>It is possible that an older person may be referred to a service provider of a related entity to the assessment organisation for Commonwealth-funded services, particularly when there are no other service providers operating in the same area as the older person.</w:t>
      </w:r>
    </w:p>
    <w:p w14:paraId="127ED37D" w14:textId="77777777" w:rsidR="00D14C80" w:rsidRDefault="00D14C80" w:rsidP="00D14C80">
      <w:pPr>
        <w:spacing w:after="0" w:line="240" w:lineRule="auto"/>
      </w:pPr>
    </w:p>
    <w:p w14:paraId="26842C11" w14:textId="77777777" w:rsidR="00D14C80" w:rsidRDefault="00D14C80" w:rsidP="00D14C80">
      <w:pPr>
        <w:spacing w:after="0" w:line="240" w:lineRule="auto"/>
      </w:pPr>
      <w:r>
        <w:t>Strategies and mitigations that the department considers when identifying and determining acceptance of an assessment organisation’s conflict of interest includes but is not limited to:</w:t>
      </w:r>
    </w:p>
    <w:p w14:paraId="379B50DB" w14:textId="77777777" w:rsidR="00D14C80" w:rsidRDefault="00D14C80" w:rsidP="00D14C80">
      <w:pPr>
        <w:numPr>
          <w:ilvl w:val="0"/>
          <w:numId w:val="528"/>
        </w:numPr>
        <w:spacing w:after="0" w:line="240" w:lineRule="auto"/>
      </w:pPr>
      <w:r>
        <w:t>adequate separation of workforce through separate physical premises;</w:t>
      </w:r>
    </w:p>
    <w:p w14:paraId="5C79C2BD" w14:textId="77777777" w:rsidR="00D14C80" w:rsidRDefault="00D14C80" w:rsidP="00D14C80">
      <w:pPr>
        <w:numPr>
          <w:ilvl w:val="0"/>
          <w:numId w:val="528"/>
        </w:numPr>
        <w:spacing w:after="0" w:line="240" w:lineRule="auto"/>
      </w:pPr>
      <w:r>
        <w:t>separate team and management structure;</w:t>
      </w:r>
    </w:p>
    <w:p w14:paraId="4630BD0D" w14:textId="77777777" w:rsidR="00D14C80" w:rsidRDefault="00D14C80" w:rsidP="00D14C80">
      <w:pPr>
        <w:numPr>
          <w:ilvl w:val="0"/>
          <w:numId w:val="528"/>
        </w:numPr>
        <w:spacing w:after="0" w:line="240" w:lineRule="auto"/>
      </w:pPr>
      <w:r>
        <w:t>separate IT systems;</w:t>
      </w:r>
    </w:p>
    <w:p w14:paraId="56D1873E" w14:textId="77777777" w:rsidR="00D14C80" w:rsidRDefault="00D14C80" w:rsidP="00D14C80">
      <w:pPr>
        <w:numPr>
          <w:ilvl w:val="0"/>
          <w:numId w:val="528"/>
        </w:numPr>
        <w:spacing w:after="0" w:line="240" w:lineRule="auto"/>
      </w:pPr>
      <w:r>
        <w:t>conflict of interest policies and processes and awareness through staff training;</w:t>
      </w:r>
    </w:p>
    <w:p w14:paraId="3F3E4877" w14:textId="77777777" w:rsidR="00D14C80" w:rsidRDefault="00D14C80" w:rsidP="00D14C80">
      <w:pPr>
        <w:numPr>
          <w:ilvl w:val="0"/>
          <w:numId w:val="528"/>
        </w:numPr>
        <w:spacing w:after="0" w:line="240" w:lineRule="auto"/>
      </w:pPr>
      <w:r>
        <w:t>employee declarations prior to and during employment;</w:t>
      </w:r>
    </w:p>
    <w:p w14:paraId="536EC922" w14:textId="77777777" w:rsidR="00D14C80" w:rsidRDefault="00D14C80" w:rsidP="00D14C80">
      <w:pPr>
        <w:numPr>
          <w:ilvl w:val="0"/>
          <w:numId w:val="528"/>
        </w:numPr>
        <w:spacing w:after="0" w:line="240" w:lineRule="auto"/>
      </w:pPr>
      <w:r>
        <w:t>internal audit programs.</w:t>
      </w:r>
    </w:p>
    <w:p w14:paraId="5C26F744" w14:textId="77777777" w:rsidR="00D14C80" w:rsidRDefault="00D14C80" w:rsidP="00D14C80">
      <w:pPr>
        <w:spacing w:after="0" w:line="240" w:lineRule="auto"/>
      </w:pPr>
    </w:p>
    <w:p w14:paraId="5DE8C457" w14:textId="77777777" w:rsidR="00D14C80" w:rsidRDefault="00D14C80" w:rsidP="00D14C80">
      <w:pPr>
        <w:spacing w:after="0" w:line="240" w:lineRule="auto"/>
      </w:pPr>
      <w:r>
        <w:t>Assessment organisations have an obligation to report any conflict of interest to the department, and must make full disclosure of a conflict and provide the steps it proposes to take to resolve or otherwise deal with the conflict of interest to the satisfaction of the department.</w:t>
      </w:r>
    </w:p>
    <w:p w14:paraId="45C1393D" w14:textId="77777777" w:rsidR="00D14C80" w:rsidRDefault="00D14C80" w:rsidP="00D14C80">
      <w:pPr>
        <w:spacing w:after="0" w:line="240" w:lineRule="auto"/>
      </w:pPr>
    </w:p>
    <w:p w14:paraId="20BDA7C3" w14:textId="77777777" w:rsidR="00D14C80" w:rsidRDefault="00D14C80" w:rsidP="00D14C80">
      <w:pPr>
        <w:spacing w:after="0" w:line="240" w:lineRule="auto"/>
      </w:pPr>
      <w:r>
        <w:t>If the department is not satisfied that a conflict is being managed appropriately under the contract, the department has options including:</w:t>
      </w:r>
    </w:p>
    <w:p w14:paraId="26D9AC13" w14:textId="77777777" w:rsidR="00D14C80" w:rsidRDefault="00D14C80" w:rsidP="00D14C80">
      <w:pPr>
        <w:numPr>
          <w:ilvl w:val="0"/>
          <w:numId w:val="528"/>
        </w:numPr>
        <w:spacing w:after="0" w:line="240" w:lineRule="auto"/>
      </w:pPr>
      <w:r>
        <w:t>withholding or revoking approval of an assessment organisation’s approval to provide Commonwealth-funded aged care services in the same Service Area as it is delivering assessment services</w:t>
      </w:r>
    </w:p>
    <w:p w14:paraId="07AB0C47" w14:textId="77777777" w:rsidR="00D14C80" w:rsidRDefault="00D14C80" w:rsidP="00D14C80">
      <w:pPr>
        <w:numPr>
          <w:ilvl w:val="0"/>
          <w:numId w:val="528"/>
        </w:numPr>
        <w:spacing w:after="0" w:line="240" w:lineRule="auto"/>
      </w:pPr>
      <w:r>
        <w:t>reasonably requiring the assessment organisation to take steps to resolve or otherwise deal with the conflict of interest</w:t>
      </w:r>
    </w:p>
    <w:p w14:paraId="4802BC2F" w14:textId="77777777" w:rsidR="00D14C80" w:rsidRPr="00A3097F" w:rsidRDefault="00D14C80" w:rsidP="00D14C80">
      <w:pPr>
        <w:numPr>
          <w:ilvl w:val="0"/>
          <w:numId w:val="528"/>
        </w:numPr>
        <w:spacing w:after="0" w:line="240" w:lineRule="auto"/>
      </w:pPr>
      <w:r>
        <w:t>as a last resort, termination of contract.</w:t>
      </w:r>
    </w:p>
    <w:p w14:paraId="0C9D234A" w14:textId="77777777" w:rsidR="00763079" w:rsidRPr="009B41AB" w:rsidRDefault="00763079" w:rsidP="00622CFF">
      <w:pPr>
        <w:spacing w:before="240" w:after="240" w:line="240" w:lineRule="auto"/>
        <w:rPr>
          <w:b/>
        </w:rPr>
      </w:pPr>
      <w:r w:rsidRPr="009B41AB">
        <w:rPr>
          <w:b/>
        </w:rPr>
        <w:t>13.4.2 Separation of assessment services and delivery of aged care services</w:t>
      </w:r>
    </w:p>
    <w:p w14:paraId="2C9553A0" w14:textId="142B1CC8" w:rsidR="000935F8" w:rsidRPr="004431CF" w:rsidRDefault="000935F8" w:rsidP="00622CFF">
      <w:pPr>
        <w:spacing w:before="240" w:after="240" w:line="240" w:lineRule="auto"/>
      </w:pPr>
      <w:r w:rsidRPr="004431CF">
        <w:t xml:space="preserve">An assessment organisation delivers the assessment of older person needs independent of provider preferences, </w:t>
      </w:r>
      <w:r w:rsidRPr="004431CF" w:rsidDel="00471132">
        <w:t xml:space="preserve">and ensures </w:t>
      </w:r>
      <w:r w:rsidR="00516348">
        <w:t>older people</w:t>
      </w:r>
      <w:r w:rsidRPr="004431CF" w:rsidDel="00471132">
        <w:t xml:space="preserve"> are referred only to the services that will fulfil their needs and goals. </w:t>
      </w:r>
    </w:p>
    <w:p w14:paraId="77B5E18F" w14:textId="77777777" w:rsidR="000935F8" w:rsidRPr="004431CF" w:rsidRDefault="000935F8" w:rsidP="00622CFF">
      <w:pPr>
        <w:spacing w:before="240" w:after="240" w:line="240" w:lineRule="auto"/>
        <w:rPr>
          <w:rFonts w:cs="Calibri"/>
        </w:rPr>
      </w:pPr>
      <w:r w:rsidRPr="004431CF">
        <w:rPr>
          <w:rFonts w:cs="Calibri"/>
        </w:rPr>
        <w:t xml:space="preserve">It is a requirement for assessment organisations to contractually have operational separation of assessment services from service delivery (where applicable) for all contracted assessment organisations and any relevant sub-contractors (including consortiums). </w:t>
      </w:r>
    </w:p>
    <w:p w14:paraId="179B333F" w14:textId="77777777" w:rsidR="000935F8" w:rsidRPr="004431CF" w:rsidRDefault="000935F8" w:rsidP="00622CFF">
      <w:pPr>
        <w:spacing w:before="240" w:after="240" w:line="240" w:lineRule="auto"/>
        <w:rPr>
          <w:rFonts w:cs="Calibri"/>
        </w:rPr>
      </w:pPr>
      <w:r w:rsidRPr="004431CF">
        <w:rPr>
          <w:rFonts w:cs="Calibri"/>
        </w:rPr>
        <w:t>Assessment organisations that deliver both assessment services and service delivery must ensure there is a clear separation of service, particularly in the facilitation and management of assessments and referrals to aged care services. Assessment organisations must have policies and procedures in place to assure the separation of assessment from service delivery</w:t>
      </w:r>
      <w:r w:rsidRPr="004431CF">
        <w:rPr>
          <w:rFonts w:cs="Calibri"/>
          <w:b/>
        </w:rPr>
        <w:t>.</w:t>
      </w:r>
    </w:p>
    <w:p w14:paraId="3809BAF3" w14:textId="6CBC8FEE" w:rsidR="000935F8" w:rsidRPr="004431CF" w:rsidRDefault="000935F8" w:rsidP="00622CFF">
      <w:pPr>
        <w:spacing w:before="240" w:after="240" w:line="240" w:lineRule="auto"/>
        <w:rPr>
          <w:rFonts w:cs="Calibri"/>
        </w:rPr>
      </w:pPr>
      <w:r w:rsidRPr="004431CF">
        <w:rPr>
          <w:rFonts w:cs="Calibri"/>
        </w:rPr>
        <w:t xml:space="preserve">Assessment organisations must seek prior approval from the </w:t>
      </w:r>
      <w:r w:rsidR="006628A0">
        <w:rPr>
          <w:rFonts w:cs="Calibri"/>
        </w:rPr>
        <w:t>D</w:t>
      </w:r>
      <w:r w:rsidR="006628A0" w:rsidRPr="004431CF">
        <w:rPr>
          <w:rFonts w:cs="Calibri"/>
        </w:rPr>
        <w:t xml:space="preserve">epartment </w:t>
      </w:r>
      <w:r w:rsidR="006628A0">
        <w:rPr>
          <w:rFonts w:cs="Calibri"/>
        </w:rPr>
        <w:t>of Health, Disability and Ageing</w:t>
      </w:r>
      <w:r w:rsidR="006B1ADE">
        <w:rPr>
          <w:rFonts w:cs="Calibri"/>
        </w:rPr>
        <w:t xml:space="preserve"> (the department)</w:t>
      </w:r>
      <w:r w:rsidR="006628A0">
        <w:rPr>
          <w:rFonts w:cs="Calibri"/>
        </w:rPr>
        <w:t xml:space="preserve"> </w:t>
      </w:r>
      <w:r w:rsidRPr="004431CF">
        <w:rPr>
          <w:rFonts w:cs="Calibri"/>
        </w:rPr>
        <w:t>before engaging or using assessment organisations and any relevant sub-contractors to provide aged care services.</w:t>
      </w:r>
    </w:p>
    <w:p w14:paraId="6855C58E" w14:textId="77777777" w:rsidR="000935F8" w:rsidRPr="00686DA1" w:rsidRDefault="000935F8" w:rsidP="00507F9D">
      <w:pPr>
        <w:pStyle w:val="h2"/>
      </w:pPr>
      <w:bookmarkStart w:id="1088" w:name="_Ref127285166"/>
      <w:bookmarkStart w:id="1089" w:name="_Ref127285168"/>
      <w:bookmarkStart w:id="1090" w:name="_Toc159226997"/>
      <w:bookmarkStart w:id="1091" w:name="_Toc184402412"/>
      <w:bookmarkStart w:id="1092" w:name="_Toc204329638"/>
      <w:bookmarkStart w:id="1093" w:name="_Toc209189069"/>
      <w:bookmarkStart w:id="1094" w:name="_Toc224916721"/>
      <w:r w:rsidRPr="00686DA1">
        <w:t>Branding</w:t>
      </w:r>
      <w:bookmarkEnd w:id="1088"/>
      <w:bookmarkEnd w:id="1089"/>
      <w:bookmarkEnd w:id="1090"/>
      <w:bookmarkEnd w:id="1091"/>
      <w:bookmarkEnd w:id="1092"/>
      <w:bookmarkEnd w:id="1093"/>
      <w:bookmarkEnd w:id="1094"/>
    </w:p>
    <w:p w14:paraId="3D88CB27" w14:textId="77777777" w:rsidR="000935F8" w:rsidRPr="00686DA1" w:rsidRDefault="000935F8" w:rsidP="00622CFF">
      <w:pPr>
        <w:spacing w:before="240" w:after="240" w:line="240" w:lineRule="auto"/>
      </w:pPr>
      <w:r w:rsidRPr="00686DA1">
        <w:t>Assessment organisations that are contracted to (or in an agreement with) the Australian Government (under the oversight of the department) are required to comply with branding guidance that is included in the following style guides:</w:t>
      </w:r>
    </w:p>
    <w:p w14:paraId="10B517E6" w14:textId="7D607633" w:rsidR="00C1568C" w:rsidRPr="00F67F0E" w:rsidRDefault="00C1568C" w:rsidP="00DF3F6B">
      <w:pPr>
        <w:numPr>
          <w:ilvl w:val="0"/>
          <w:numId w:val="415"/>
        </w:numPr>
        <w:spacing w:before="240" w:after="240" w:line="240" w:lineRule="auto"/>
        <w:rPr>
          <w:lang w:val="en-AU"/>
        </w:rPr>
      </w:pPr>
      <w:r w:rsidRPr="00F67F0E">
        <w:rPr>
          <w:lang w:val="en-AU"/>
        </w:rPr>
        <w:t>Ensure all materials produced adhere to the</w:t>
      </w:r>
      <w:r w:rsidR="00DD5364">
        <w:rPr>
          <w:lang w:val="en-AU"/>
        </w:rPr>
        <w:t xml:space="preserve"> Australian Government Branding Guidelines.</w:t>
      </w:r>
    </w:p>
    <w:p w14:paraId="58213ACA" w14:textId="163BCA18" w:rsidR="00527DF0" w:rsidRPr="00527DF0" w:rsidRDefault="00C1568C" w:rsidP="00DF3F6B">
      <w:pPr>
        <w:numPr>
          <w:ilvl w:val="0"/>
          <w:numId w:val="415"/>
        </w:numPr>
        <w:spacing w:before="240" w:after="240" w:line="240" w:lineRule="auto"/>
        <w:rPr>
          <w:lang w:val="en-AU"/>
        </w:rPr>
      </w:pPr>
      <w:r w:rsidRPr="00F67F0E">
        <w:rPr>
          <w:lang w:val="en-AU"/>
        </w:rPr>
        <w:t>Ensure all web-based content complies with the relevant</w:t>
      </w:r>
      <w:r w:rsidR="00350ECD">
        <w:rPr>
          <w:lang w:val="en-AU"/>
        </w:rPr>
        <w:t xml:space="preserve"> Digital Service Standards including Requirements for Australian Government websites</w:t>
      </w:r>
      <w:r w:rsidRPr="00F67F0E">
        <w:rPr>
          <w:lang w:val="en-AU"/>
        </w:rPr>
        <w:t xml:space="preserve"> and comply with th</w:t>
      </w:r>
      <w:r w:rsidR="00380482">
        <w:rPr>
          <w:lang w:val="en-AU"/>
        </w:rPr>
        <w:t xml:space="preserve">e Web Content Accessibility </w:t>
      </w:r>
      <w:r w:rsidR="00D2331A">
        <w:rPr>
          <w:lang w:val="en-AU"/>
        </w:rPr>
        <w:t>Guidelines (WCAG) version 2.2 AA for all government websites</w:t>
      </w:r>
      <w:r w:rsidR="00B23AB0">
        <w:rPr>
          <w:lang w:val="en-AU"/>
        </w:rPr>
        <w:t xml:space="preserve">. </w:t>
      </w:r>
      <w:hyperlink r:id="rId316" w:tgtFrame="_blank" w:tooltip="http://www.w3.org/tr/wcag" w:history="1">
        <w:r>
          <w:rPr>
            <w:rStyle w:val="Hyperlink"/>
          </w:rPr>
          <w:t>http://www.w3.org/TR/WCAG</w:t>
        </w:r>
      </w:hyperlink>
    </w:p>
    <w:p w14:paraId="78FA9D5F" w14:textId="5E1240F7" w:rsidR="000935F8" w:rsidRDefault="000935F8" w:rsidP="00622CFF">
      <w:pPr>
        <w:spacing w:before="240" w:after="240" w:line="240" w:lineRule="auto"/>
      </w:pPr>
      <w:r w:rsidRPr="00686DA1">
        <w:t xml:space="preserve">Subcontractors are required to consult with their </w:t>
      </w:r>
      <w:r w:rsidR="00D3762C" w:rsidRPr="00686DA1">
        <w:t>prim</w:t>
      </w:r>
      <w:r w:rsidR="00D3762C">
        <w:t>ary</w:t>
      </w:r>
      <w:r w:rsidR="00D3762C" w:rsidRPr="00686DA1">
        <w:t xml:space="preserve"> </w:t>
      </w:r>
      <w:r w:rsidRPr="00686DA1">
        <w:t xml:space="preserve">contractor on branding requests. </w:t>
      </w:r>
    </w:p>
    <w:tbl>
      <w:tblPr>
        <w:tblStyle w:val="TableGrid"/>
        <w:tblW w:w="0" w:type="auto"/>
        <w:tblLook w:val="04A0" w:firstRow="1" w:lastRow="0" w:firstColumn="1" w:lastColumn="0" w:noHBand="0" w:noVBand="1"/>
      </w:tblPr>
      <w:tblGrid>
        <w:gridCol w:w="936"/>
        <w:gridCol w:w="8090"/>
      </w:tblGrid>
      <w:tr w:rsidR="00BB4559" w14:paraId="523766B6" w14:textId="77777777" w:rsidTr="00BB4559">
        <w:tc>
          <w:tcPr>
            <w:tcW w:w="846" w:type="dxa"/>
          </w:tcPr>
          <w:p w14:paraId="29624A0A" w14:textId="3DA80102" w:rsidR="00BB4559" w:rsidRDefault="00BB4559" w:rsidP="00E3017E">
            <w:r w:rsidRPr="0028657F">
              <w:rPr>
                <w:noProof/>
              </w:rPr>
              <w:drawing>
                <wp:anchor distT="0" distB="0" distL="114300" distR="114300" simplePos="0" relativeHeight="251658271" behindDoc="0" locked="0" layoutInCell="1" allowOverlap="1" wp14:anchorId="56EED145" wp14:editId="3F732F59">
                  <wp:simplePos x="0" y="0"/>
                  <wp:positionH relativeFrom="column">
                    <wp:posOffset>68580</wp:posOffset>
                  </wp:positionH>
                  <wp:positionV relativeFrom="paragraph">
                    <wp:posOffset>161925</wp:posOffset>
                  </wp:positionV>
                  <wp:extent cx="447675" cy="445135"/>
                  <wp:effectExtent l="0" t="0" r="9525" b="0"/>
                  <wp:wrapSquare wrapText="bothSides"/>
                  <wp:docPr id="2017495134" name="Picture 201749513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tc>
        <w:tc>
          <w:tcPr>
            <w:tcW w:w="8170" w:type="dxa"/>
          </w:tcPr>
          <w:p w14:paraId="1C3E3A5D" w14:textId="77777777" w:rsidR="00BB4559" w:rsidRDefault="00BB4559" w:rsidP="00BB4559">
            <w:pPr>
              <w:pStyle w:val="ListParagraph"/>
              <w:numPr>
                <w:ilvl w:val="0"/>
                <w:numId w:val="451"/>
              </w:numPr>
              <w:spacing w:before="240" w:after="240"/>
            </w:pPr>
            <w:r w:rsidRPr="00726FA4">
              <w:rPr>
                <w:b/>
                <w:bCs/>
              </w:rPr>
              <w:t xml:space="preserve">Department of Prime Minister and Cabinet website: </w:t>
            </w:r>
            <w:hyperlink r:id="rId317" w:history="1">
              <w:r w:rsidRPr="00E3017E">
                <w:rPr>
                  <w:rStyle w:val="Hyperlink"/>
                </w:rPr>
                <w:t>Australian Government Branding Guidelines | PM&amp;C</w:t>
              </w:r>
            </w:hyperlink>
          </w:p>
          <w:p w14:paraId="3ABF2691" w14:textId="411164B5" w:rsidR="00BB4559" w:rsidRDefault="00BB4559" w:rsidP="00BB4559">
            <w:pPr>
              <w:pStyle w:val="ListParagraph"/>
              <w:numPr>
                <w:ilvl w:val="0"/>
                <w:numId w:val="451"/>
              </w:numPr>
              <w:spacing w:before="240" w:after="240"/>
            </w:pPr>
            <w:hyperlink r:id="rId318" w:history="1">
              <w:r>
                <w:rPr>
                  <w:rStyle w:val="Hyperlink"/>
                </w:rPr>
                <w:t xml:space="preserve">Digital Service Standards </w:t>
              </w:r>
            </w:hyperlink>
            <w:hyperlink r:id="rId319" w:history="1">
              <w:r w:rsidRPr="00380482">
                <w:rPr>
                  <w:rStyle w:val="Hyperlink"/>
                </w:rPr>
                <w:t>Web Content Accessibility Guidelines (WCAG) 2.2</w:t>
              </w:r>
            </w:hyperlink>
          </w:p>
        </w:tc>
      </w:tr>
    </w:tbl>
    <w:p w14:paraId="65501232" w14:textId="72839996" w:rsidR="00527DF0" w:rsidRDefault="00527DF0" w:rsidP="00E3017E"/>
    <w:p w14:paraId="417442A4" w14:textId="6E74B0FD" w:rsidR="000935F8" w:rsidRPr="00686DA1" w:rsidRDefault="000935F8" w:rsidP="00507F9D">
      <w:pPr>
        <w:pStyle w:val="h2"/>
      </w:pPr>
      <w:bookmarkStart w:id="1095" w:name="_Ref46401002"/>
      <w:bookmarkStart w:id="1096" w:name="_Ref48658483"/>
      <w:bookmarkStart w:id="1097" w:name="_Ref49763786"/>
      <w:bookmarkStart w:id="1098" w:name="_Toc159226998"/>
      <w:bookmarkStart w:id="1099" w:name="_Toc184402413"/>
      <w:bookmarkStart w:id="1100" w:name="_Toc204329639"/>
      <w:bookmarkStart w:id="1101" w:name="_Toc209189070"/>
      <w:bookmarkStart w:id="1102" w:name="_Toc224916722"/>
      <w:r w:rsidRPr="00686DA1">
        <w:t xml:space="preserve">Aged </w:t>
      </w:r>
      <w:r w:rsidR="00090D7F">
        <w:t>c</w:t>
      </w:r>
      <w:r w:rsidRPr="00686DA1">
        <w:t xml:space="preserve">are </w:t>
      </w:r>
      <w:r w:rsidR="00090D7F">
        <w:t>r</w:t>
      </w:r>
      <w:r w:rsidRPr="00686DA1">
        <w:t xml:space="preserve">esources for </w:t>
      </w:r>
      <w:r w:rsidR="002F22A5">
        <w:t>older people</w:t>
      </w:r>
      <w:bookmarkEnd w:id="1095"/>
      <w:bookmarkEnd w:id="1096"/>
      <w:bookmarkEnd w:id="1097"/>
      <w:bookmarkEnd w:id="1098"/>
      <w:bookmarkEnd w:id="1099"/>
      <w:bookmarkEnd w:id="1100"/>
      <w:bookmarkEnd w:id="1101"/>
      <w:bookmarkEnd w:id="1102"/>
    </w:p>
    <w:p w14:paraId="1DEF6BD4" w14:textId="03CFEF7B" w:rsidR="00370293" w:rsidRDefault="00370293" w:rsidP="00370293">
      <w:pPr>
        <w:spacing w:before="240" w:after="240" w:line="240" w:lineRule="auto"/>
      </w:pPr>
      <w:r w:rsidRPr="00AE3514">
        <w:rPr>
          <w:szCs w:val="22"/>
        </w:rPr>
        <w:t xml:space="preserve">Hard copies of </w:t>
      </w:r>
      <w:r w:rsidR="00A41A2E">
        <w:rPr>
          <w:szCs w:val="22"/>
        </w:rPr>
        <w:t xml:space="preserve">My Aged Care resources including </w:t>
      </w:r>
      <w:r w:rsidRPr="00AE3514">
        <w:rPr>
          <w:szCs w:val="22"/>
        </w:rPr>
        <w:t xml:space="preserve">booklets, brochures, posters and magnets are available from National Mailing and Marketing by emailing: </w:t>
      </w:r>
      <w:hyperlink r:id="rId320" w:history="1">
        <w:r w:rsidR="006648BB" w:rsidRPr="00C24EA1">
          <w:rPr>
            <w:rStyle w:val="Hyperlink"/>
            <w:szCs w:val="22"/>
          </w:rPr>
          <w:t>health@nationalmailing.com.au</w:t>
        </w:r>
      </w:hyperlink>
      <w:r w:rsidRPr="00AE3514">
        <w:rPr>
          <w:szCs w:val="22"/>
        </w:rPr>
        <w:t xml:space="preserve"> or </w:t>
      </w:r>
      <w:r w:rsidR="006648BB">
        <w:rPr>
          <w:szCs w:val="22"/>
        </w:rPr>
        <w:t xml:space="preserve">calling </w:t>
      </w:r>
      <w:r w:rsidRPr="00AE3514">
        <w:rPr>
          <w:szCs w:val="22"/>
        </w:rPr>
        <w:t>(02) 6269 1025.</w:t>
      </w:r>
    </w:p>
    <w:p w14:paraId="7C241614" w14:textId="3FE2AEA5" w:rsidR="003349C9" w:rsidRDefault="0017355F" w:rsidP="00622CFF">
      <w:pPr>
        <w:spacing w:before="240" w:after="240" w:line="240" w:lineRule="auto"/>
      </w:pPr>
      <w:r>
        <w:t xml:space="preserve">Information </w:t>
      </w:r>
      <w:r w:rsidR="00596FF6">
        <w:t xml:space="preserve">and resources </w:t>
      </w:r>
      <w:r>
        <w:t>about aged care can be found on the</w:t>
      </w:r>
      <w:r w:rsidR="00AF2B12">
        <w:t xml:space="preserve"> My Aged Care website</w:t>
      </w:r>
      <w:r w:rsidR="00CF208D">
        <w:t xml:space="preserve">. Recommended information and resources include:  </w:t>
      </w:r>
    </w:p>
    <w:p w14:paraId="38C2681C" w14:textId="793B4132" w:rsidR="00E64093" w:rsidRDefault="00E64093" w:rsidP="00DF3F6B">
      <w:pPr>
        <w:pStyle w:val="ListParagraph"/>
        <w:numPr>
          <w:ilvl w:val="0"/>
          <w:numId w:val="470"/>
        </w:numPr>
        <w:spacing w:before="240" w:after="240" w:line="240" w:lineRule="auto"/>
      </w:pPr>
      <w:r w:rsidRPr="00E3017E">
        <w:rPr>
          <w:i/>
        </w:rPr>
        <w:t>Exploring aged care</w:t>
      </w:r>
      <w:r>
        <w:t xml:space="preserve"> booklet for older p</w:t>
      </w:r>
      <w:r w:rsidR="00831D5D">
        <w:t>eople, their families and carers:</w:t>
      </w:r>
    </w:p>
    <w:p w14:paraId="59DBFB74" w14:textId="77777777" w:rsidR="006648BB" w:rsidRDefault="00224AC7" w:rsidP="00622CFF">
      <w:pPr>
        <w:pStyle w:val="ListParagraph"/>
        <w:numPr>
          <w:ilvl w:val="0"/>
          <w:numId w:val="470"/>
        </w:numPr>
        <w:spacing w:before="240" w:after="240" w:line="240" w:lineRule="auto"/>
      </w:pPr>
      <w:r>
        <w:t>Sign</w:t>
      </w:r>
      <w:r w:rsidR="006648BB">
        <w:t>ing</w:t>
      </w:r>
      <w:r>
        <w:t xml:space="preserve"> up to receive the EngAged, our monthly newsletter on aged care and ageing well: </w:t>
      </w:r>
    </w:p>
    <w:p w14:paraId="61A96FF6" w14:textId="45878E07" w:rsidR="00AB18E3" w:rsidRDefault="00AB18E3" w:rsidP="00622CFF">
      <w:pPr>
        <w:pStyle w:val="ListParagraph"/>
        <w:numPr>
          <w:ilvl w:val="0"/>
          <w:numId w:val="470"/>
        </w:numPr>
        <w:spacing w:before="240" w:after="240" w:line="240" w:lineRule="auto"/>
      </w:pPr>
      <w:r>
        <w:t>Follow</w:t>
      </w:r>
      <w:r w:rsidR="006648BB">
        <w:t>ing</w:t>
      </w:r>
      <w:r>
        <w:t xml:space="preserve"> the Council of Elders on Facebook and keep up with </w:t>
      </w:r>
      <w:r w:rsidR="00E74E40">
        <w:t>the wo</w:t>
      </w:r>
      <w:r w:rsidR="006942E5">
        <w:t>rk</w:t>
      </w:r>
      <w:r w:rsidR="00E74E40">
        <w:t xml:space="preserve"> they are doing.</w:t>
      </w:r>
      <w:r w:rsidR="006648BB">
        <w:t xml:space="preserve"> </w:t>
      </w:r>
      <w:r>
        <w:t xml:space="preserve">Find out what </w:t>
      </w:r>
      <w:r w:rsidR="00370293">
        <w:t xml:space="preserve">the Department of Health, Disability and Ageing is </w:t>
      </w:r>
      <w:r>
        <w:t>doing to help people in Australia age well:</w:t>
      </w:r>
    </w:p>
    <w:p w14:paraId="0C7E8653" w14:textId="7DCFF2E4" w:rsidR="003349C9" w:rsidRDefault="003349C9" w:rsidP="00DF3F6B">
      <w:pPr>
        <w:pStyle w:val="ListParagraph"/>
        <w:numPr>
          <w:ilvl w:val="1"/>
          <w:numId w:val="306"/>
        </w:numPr>
        <w:spacing w:before="240" w:after="240" w:line="240" w:lineRule="auto"/>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887"/>
      </w:tblGrid>
      <w:tr w:rsidR="000935F8" w14:paraId="21EF4AFC" w14:textId="77777777" w:rsidTr="004608E4">
        <w:tc>
          <w:tcPr>
            <w:tcW w:w="1129" w:type="dxa"/>
            <w:tcBorders>
              <w:top w:val="nil"/>
              <w:left w:val="nil"/>
              <w:bottom w:val="nil"/>
              <w:right w:val="nil"/>
            </w:tcBorders>
          </w:tcPr>
          <w:p w14:paraId="1BA51061" w14:textId="7737CB8F" w:rsidR="008F1ACD" w:rsidRPr="0028657F" w:rsidRDefault="008F1ACD" w:rsidP="00622CFF">
            <w:pPr>
              <w:spacing w:before="240" w:after="240" w:line="240" w:lineRule="auto"/>
              <w:rPr>
                <w:noProof/>
              </w:rPr>
            </w:pPr>
            <w:r w:rsidRPr="0028657F">
              <w:rPr>
                <w:noProof/>
              </w:rPr>
              <w:drawing>
                <wp:anchor distT="0" distB="0" distL="114300" distR="114300" simplePos="0" relativeHeight="251658275" behindDoc="0" locked="0" layoutInCell="1" allowOverlap="1" wp14:anchorId="481ABF22" wp14:editId="69633EB2">
                  <wp:simplePos x="0" y="0"/>
                  <wp:positionH relativeFrom="column">
                    <wp:posOffset>17145</wp:posOffset>
                  </wp:positionH>
                  <wp:positionV relativeFrom="paragraph">
                    <wp:posOffset>49530</wp:posOffset>
                  </wp:positionV>
                  <wp:extent cx="415290" cy="412750"/>
                  <wp:effectExtent l="0" t="0" r="3810" b="6350"/>
                  <wp:wrapSquare wrapText="bothSides"/>
                  <wp:docPr id="1540096041" name="Picture 154009604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5290" cy="412750"/>
                          </a:xfrm>
                          <a:prstGeom prst="rect">
                            <a:avLst/>
                          </a:prstGeom>
                        </pic:spPr>
                      </pic:pic>
                    </a:graphicData>
                  </a:graphic>
                  <wp14:sizeRelH relativeFrom="page">
                    <wp14:pctWidth>0</wp14:pctWidth>
                  </wp14:sizeRelH>
                  <wp14:sizeRelV relativeFrom="page">
                    <wp14:pctHeight>0</wp14:pctHeight>
                  </wp14:sizeRelV>
                </wp:anchor>
              </w:drawing>
            </w:r>
          </w:p>
        </w:tc>
        <w:tc>
          <w:tcPr>
            <w:tcW w:w="7887" w:type="dxa"/>
            <w:tcBorders>
              <w:top w:val="nil"/>
              <w:left w:val="nil"/>
              <w:bottom w:val="nil"/>
              <w:right w:val="nil"/>
            </w:tcBorders>
          </w:tcPr>
          <w:p w14:paraId="1698F583" w14:textId="2C2B7781" w:rsidR="00A41A2E" w:rsidRDefault="00A41A2E" w:rsidP="00622CFF">
            <w:pPr>
              <w:spacing w:before="240" w:after="240" w:line="240" w:lineRule="auto"/>
            </w:pPr>
            <w:hyperlink r:id="rId321" w:history="1">
              <w:r w:rsidRPr="00A41A2E">
                <w:rPr>
                  <w:rStyle w:val="Hyperlink"/>
                </w:rPr>
                <w:t>Resources | My Aged Care</w:t>
              </w:r>
            </w:hyperlink>
          </w:p>
          <w:p w14:paraId="6D416D76" w14:textId="06E089F7" w:rsidR="008F1ACD" w:rsidRDefault="008F1ACD" w:rsidP="008F1ACD">
            <w:pPr>
              <w:spacing w:before="240" w:after="240" w:line="240" w:lineRule="auto"/>
            </w:pPr>
            <w:hyperlink r:id="rId322" w:history="1">
              <w:r w:rsidRPr="00465FE2">
                <w:rPr>
                  <w:rStyle w:val="Hyperlink"/>
                </w:rPr>
                <w:t>Exploring aged care booklet</w:t>
              </w:r>
            </w:hyperlink>
          </w:p>
          <w:p w14:paraId="46D65CD7" w14:textId="7DD4A1CC" w:rsidR="00CF208D" w:rsidRDefault="00CF208D" w:rsidP="00E3017E">
            <w:pPr>
              <w:spacing w:before="240" w:after="240" w:line="240" w:lineRule="auto"/>
            </w:pPr>
            <w:r>
              <w:t xml:space="preserve">EngAged newsletter: </w:t>
            </w:r>
            <w:hyperlink r:id="rId323" w:history="1">
              <w:r w:rsidRPr="005C2833">
                <w:rPr>
                  <w:rStyle w:val="Hyperlink"/>
                </w:rPr>
                <w:t>health.gov.au/aged-care-newsletter-subscribe</w:t>
              </w:r>
            </w:hyperlink>
          </w:p>
          <w:p w14:paraId="3B89874A" w14:textId="77777777" w:rsidR="00E74E40" w:rsidRDefault="00E74E40" w:rsidP="00E3017E">
            <w:pPr>
              <w:spacing w:before="240" w:after="240" w:line="240" w:lineRule="auto"/>
            </w:pPr>
            <w:hyperlink r:id="rId324" w:history="1">
              <w:r w:rsidRPr="008B20B3">
                <w:rPr>
                  <w:rStyle w:val="Hyperlink"/>
                </w:rPr>
                <w:t>facebook.com/groups/AgedCareCouncilOfElders</w:t>
              </w:r>
            </w:hyperlink>
          </w:p>
          <w:p w14:paraId="5BC4A4B3" w14:textId="12007367" w:rsidR="000935F8" w:rsidRPr="008F1ACD" w:rsidRDefault="00370293" w:rsidP="00622CFF">
            <w:pPr>
              <w:spacing w:before="240" w:after="240" w:line="240" w:lineRule="auto"/>
              <w:rPr>
                <w:szCs w:val="22"/>
              </w:rPr>
            </w:pPr>
            <w:hyperlink r:id="rId325" w:history="1">
              <w:r w:rsidRPr="00E829F2">
                <w:rPr>
                  <w:rStyle w:val="Hyperlink"/>
                </w:rPr>
                <w:t>health.gov.au/topics/positive-ageing-is-ageing-well</w:t>
              </w:r>
            </w:hyperlink>
          </w:p>
        </w:tc>
      </w:tr>
    </w:tbl>
    <w:p w14:paraId="0056386C" w14:textId="34246ACD" w:rsidR="000935F8" w:rsidRPr="00686DA1" w:rsidRDefault="000935F8" w:rsidP="00507F9D">
      <w:pPr>
        <w:pStyle w:val="h2"/>
      </w:pPr>
      <w:bookmarkStart w:id="1103" w:name="_Toc184402416"/>
      <w:bookmarkStart w:id="1104" w:name="_Toc204329640"/>
      <w:bookmarkStart w:id="1105" w:name="_Toc209189071"/>
      <w:bookmarkStart w:id="1106" w:name="_Toc224916723"/>
      <w:r w:rsidRPr="00686DA1">
        <w:t xml:space="preserve">Reporting and </w:t>
      </w:r>
      <w:r w:rsidR="00596FF6">
        <w:t>p</w:t>
      </w:r>
      <w:r w:rsidRPr="00686DA1">
        <w:t>erformance</w:t>
      </w:r>
      <w:bookmarkEnd w:id="1103"/>
      <w:bookmarkEnd w:id="1104"/>
      <w:bookmarkEnd w:id="1105"/>
      <w:bookmarkEnd w:id="1106"/>
    </w:p>
    <w:p w14:paraId="06BF3B50" w14:textId="04DF4B82" w:rsidR="000935F8" w:rsidRPr="00C1010E" w:rsidRDefault="000935F8" w:rsidP="00622CFF">
      <w:pPr>
        <w:spacing w:before="240" w:after="240" w:line="240" w:lineRule="auto"/>
      </w:pPr>
      <w:r w:rsidRPr="00C1010E">
        <w:t xml:space="preserve">Assessment organisations are expected to meet measures on timeliness and performance according to their </w:t>
      </w:r>
      <w:r w:rsidR="009B4452">
        <w:t xml:space="preserve">contractual </w:t>
      </w:r>
      <w:r w:rsidRPr="00C1010E">
        <w:t xml:space="preserve">agreements with the </w:t>
      </w:r>
      <w:r w:rsidR="00596FF6">
        <w:t>Australian Government</w:t>
      </w:r>
      <w:r w:rsidRPr="00C1010E">
        <w:t xml:space="preserve">. </w:t>
      </w:r>
    </w:p>
    <w:p w14:paraId="715328C1" w14:textId="77777777" w:rsidR="000935F8" w:rsidRDefault="000935F8" w:rsidP="00622CFF">
      <w:pPr>
        <w:spacing w:before="240" w:after="240" w:line="240" w:lineRule="auto"/>
      </w:pPr>
      <w:r w:rsidRPr="00C1010E">
        <w:t xml:space="preserve">The department makes available various business intelligence (BI) and management reports which support assessment organisations in monitoring and managing their performance against agreed KPIs and other measures. These reports will progressively become available during the establishment of the Single Assessment System workforce. </w:t>
      </w:r>
      <w:r>
        <w:t xml:space="preserve">Assessment Organisations can access Qlik reports on the Health Data Portal, reports currently available include: </w:t>
      </w:r>
    </w:p>
    <w:p w14:paraId="1E4F6147" w14:textId="77777777" w:rsidR="000935F8" w:rsidRDefault="000935F8" w:rsidP="00DF3F6B">
      <w:pPr>
        <w:pStyle w:val="ListParagraph"/>
        <w:numPr>
          <w:ilvl w:val="0"/>
          <w:numId w:val="368"/>
        </w:numPr>
        <w:spacing w:before="240" w:after="240" w:line="240" w:lineRule="auto"/>
      </w:pPr>
      <w:r>
        <w:t>SAW001: Referral and Assessment Volumes</w:t>
      </w:r>
    </w:p>
    <w:p w14:paraId="66539E02" w14:textId="77777777" w:rsidR="000935F8" w:rsidRDefault="000935F8" w:rsidP="00DF3F6B">
      <w:pPr>
        <w:pStyle w:val="ListParagraph"/>
        <w:numPr>
          <w:ilvl w:val="0"/>
          <w:numId w:val="368"/>
        </w:numPr>
        <w:spacing w:before="240" w:after="240" w:line="240" w:lineRule="auto"/>
      </w:pPr>
      <w:r>
        <w:t xml:space="preserve">SAW 002: Timeliness </w:t>
      </w:r>
    </w:p>
    <w:p w14:paraId="30E19BED" w14:textId="77777777" w:rsidR="000935F8" w:rsidRDefault="000935F8" w:rsidP="00DF3F6B">
      <w:pPr>
        <w:pStyle w:val="ListParagraph"/>
        <w:numPr>
          <w:ilvl w:val="0"/>
          <w:numId w:val="368"/>
        </w:numPr>
        <w:spacing w:before="240" w:after="240" w:line="240" w:lineRule="auto"/>
      </w:pPr>
      <w:r>
        <w:t xml:space="preserve">SAW003: Outstanding Assessments </w:t>
      </w:r>
    </w:p>
    <w:p w14:paraId="5A27ADD6" w14:textId="77777777" w:rsidR="000935F8" w:rsidRDefault="000935F8" w:rsidP="00DF3F6B">
      <w:pPr>
        <w:pStyle w:val="ListParagraph"/>
        <w:numPr>
          <w:ilvl w:val="0"/>
          <w:numId w:val="368"/>
        </w:numPr>
        <w:spacing w:before="240" w:after="240" w:line="240" w:lineRule="auto"/>
      </w:pPr>
      <w:r>
        <w:t>SAW005: Organisation Performance</w:t>
      </w:r>
    </w:p>
    <w:p w14:paraId="3F44C34F" w14:textId="77777777" w:rsidR="000935F8" w:rsidRDefault="000935F8" w:rsidP="00DF3F6B">
      <w:pPr>
        <w:pStyle w:val="ListParagraph"/>
        <w:numPr>
          <w:ilvl w:val="0"/>
          <w:numId w:val="368"/>
        </w:numPr>
        <w:spacing w:before="240" w:after="240" w:line="240" w:lineRule="auto"/>
      </w:pPr>
      <w:r>
        <w:t>SAW006: Recommended Services</w:t>
      </w:r>
    </w:p>
    <w:p w14:paraId="4C057C00" w14:textId="77777777" w:rsidR="000935F8" w:rsidRDefault="000935F8" w:rsidP="00DF3F6B">
      <w:pPr>
        <w:pStyle w:val="ListParagraph"/>
        <w:numPr>
          <w:ilvl w:val="0"/>
          <w:numId w:val="368"/>
        </w:numPr>
        <w:spacing w:before="240" w:after="240" w:line="240" w:lineRule="auto"/>
      </w:pPr>
      <w:r>
        <w:t>SAW007: Service Referrals</w:t>
      </w:r>
    </w:p>
    <w:p w14:paraId="0972DEB9" w14:textId="77777777" w:rsidR="000935F8" w:rsidRDefault="000935F8" w:rsidP="00DF3F6B">
      <w:pPr>
        <w:pStyle w:val="ListParagraph"/>
        <w:numPr>
          <w:ilvl w:val="0"/>
          <w:numId w:val="368"/>
        </w:numPr>
        <w:spacing w:before="240" w:after="240" w:line="240" w:lineRule="auto"/>
      </w:pPr>
      <w:r>
        <w:t xml:space="preserve">SAW008: Home Care Package Approvals </w:t>
      </w:r>
    </w:p>
    <w:p w14:paraId="16D72711" w14:textId="77777777" w:rsidR="000935F8" w:rsidRDefault="000935F8" w:rsidP="00DF3F6B">
      <w:pPr>
        <w:pStyle w:val="ListParagraph"/>
        <w:numPr>
          <w:ilvl w:val="0"/>
          <w:numId w:val="368"/>
        </w:numPr>
        <w:spacing w:before="240" w:after="240" w:line="240" w:lineRule="auto"/>
      </w:pPr>
      <w:r>
        <w:t>SAW 009: Referral Data Breakdown</w:t>
      </w:r>
    </w:p>
    <w:p w14:paraId="57027211" w14:textId="77777777" w:rsidR="000935F8" w:rsidRDefault="000935F8" w:rsidP="00DF3F6B">
      <w:pPr>
        <w:pStyle w:val="ListParagraph"/>
        <w:numPr>
          <w:ilvl w:val="0"/>
          <w:numId w:val="368"/>
        </w:numPr>
        <w:spacing w:before="240" w:after="240" w:line="240" w:lineRule="auto"/>
      </w:pPr>
      <w:r>
        <w:t xml:space="preserve">SAW010: Assessment Data Breakdown </w:t>
      </w:r>
    </w:p>
    <w:p w14:paraId="13DEED8A" w14:textId="31921A74" w:rsidR="000935F8" w:rsidRDefault="000935F8" w:rsidP="00622CFF">
      <w:pPr>
        <w:spacing w:before="240" w:after="240" w:line="240" w:lineRule="auto"/>
      </w:pPr>
      <w:r>
        <w:t>As further reports become available, they will be communicated to Assessment Organisations and listed above.  Fo</w:t>
      </w:r>
      <w:r w:rsidR="00FC21FA">
        <w:t>r</w:t>
      </w:r>
      <w:r>
        <w:t xml:space="preserve"> queries regarding the Single Assessment System Qlik reports, support documentation </w:t>
      </w:r>
      <w:r w:rsidR="005968F5">
        <w:t>or assistance</w:t>
      </w:r>
      <w:r>
        <w:t xml:space="preserve"> with access to the Health Data Portal, please contact  </w:t>
      </w:r>
      <w:hyperlink r:id="rId326" w:history="1">
        <w:r w:rsidRPr="007B7AE9">
          <w:rPr>
            <w:rStyle w:val="Hyperlink"/>
          </w:rPr>
          <w:t>AgedCare.Assessment.Reporting@health.gov.au</w:t>
        </w:r>
      </w:hyperlink>
    </w:p>
    <w:p w14:paraId="798EA431" w14:textId="77777777" w:rsidR="004618E3" w:rsidRDefault="004618E3" w:rsidP="00622CFF">
      <w:pPr>
        <w:spacing w:before="240" w:after="240" w:line="240" w:lineRule="auto"/>
      </w:pPr>
    </w:p>
    <w:p w14:paraId="5BF36D91" w14:textId="77777777" w:rsidR="00117B58" w:rsidRDefault="00117B58" w:rsidP="00622CFF">
      <w:pPr>
        <w:spacing w:before="240" w:after="240" w:line="240" w:lineRule="auto"/>
      </w:pPr>
    </w:p>
    <w:p w14:paraId="433BA40F" w14:textId="77777777" w:rsidR="00117B58" w:rsidRDefault="00117B58" w:rsidP="00622CFF">
      <w:pPr>
        <w:spacing w:before="240" w:after="240" w:line="240" w:lineRule="auto"/>
      </w:pPr>
    </w:p>
    <w:p w14:paraId="5C14D756" w14:textId="77777777" w:rsidR="00117B58" w:rsidRDefault="00117B58" w:rsidP="00622CFF">
      <w:pPr>
        <w:spacing w:before="240" w:after="240" w:line="240" w:lineRule="auto"/>
      </w:pPr>
    </w:p>
    <w:p w14:paraId="0CAAFB8F" w14:textId="77777777" w:rsidR="005E05D4" w:rsidRDefault="005E05D4">
      <w:pPr>
        <w:rPr>
          <w:b/>
          <w:color w:val="002060"/>
          <w:sz w:val="44"/>
          <w:szCs w:val="36"/>
          <w:lang w:val="en-US"/>
        </w:rPr>
      </w:pPr>
      <w:bookmarkStart w:id="1107" w:name="_Toc209189072"/>
      <w:r>
        <w:br w:type="page"/>
      </w:r>
    </w:p>
    <w:p w14:paraId="676CF099" w14:textId="79368585" w:rsidR="009D3EBB" w:rsidRPr="007D0181" w:rsidRDefault="009D3EBB" w:rsidP="004B6DFD">
      <w:pPr>
        <w:pStyle w:val="H1"/>
      </w:pPr>
      <w:bookmarkStart w:id="1108" w:name="_Toc224916724"/>
      <w:r w:rsidRPr="007D0181">
        <w:t>Chapter 1</w:t>
      </w:r>
      <w:r>
        <w:t>4</w:t>
      </w:r>
      <w:r w:rsidRPr="007D0181">
        <w:t xml:space="preserve"> – Fees and </w:t>
      </w:r>
      <w:r w:rsidR="0017423F">
        <w:t>p</w:t>
      </w:r>
      <w:r w:rsidRPr="007D0181">
        <w:t>ayments</w:t>
      </w:r>
      <w:bookmarkEnd w:id="1107"/>
      <w:bookmarkEnd w:id="1108"/>
      <w:r w:rsidRPr="007D0181">
        <w:t xml:space="preserve"> </w:t>
      </w:r>
    </w:p>
    <w:tbl>
      <w:tblPr>
        <w:tblStyle w:val="TableGrid"/>
        <w:tblW w:w="0" w:type="auto"/>
        <w:tblInd w:w="-5" w:type="dxa"/>
        <w:shd w:val="clear" w:color="auto" w:fill="E7E6E6" w:themeFill="background2"/>
        <w:tblLook w:val="04A0" w:firstRow="1" w:lastRow="0" w:firstColumn="1" w:lastColumn="0" w:noHBand="0" w:noVBand="1"/>
      </w:tblPr>
      <w:tblGrid>
        <w:gridCol w:w="9021"/>
      </w:tblGrid>
      <w:tr w:rsidR="00A562C4" w:rsidRPr="007D0181" w14:paraId="3A0259C7" w14:textId="77777777" w:rsidTr="00140E53">
        <w:tc>
          <w:tcPr>
            <w:tcW w:w="9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571923" w14:textId="7332D300" w:rsidR="009D3EBB" w:rsidRPr="007D0181" w:rsidRDefault="005E05D4" w:rsidP="00E3017E">
            <w:bookmarkStart w:id="1109" w:name="_Toc209189073"/>
            <w:r w:rsidRPr="00380A8B">
              <w:rPr>
                <w:b/>
                <w:color w:val="358189"/>
                <w:sz w:val="36"/>
                <w:szCs w:val="36"/>
              </w:rPr>
              <w:t xml:space="preserve"> </w:t>
            </w:r>
            <w:r w:rsidR="009D3EBB" w:rsidRPr="00380A8B">
              <w:rPr>
                <w:b/>
                <w:color w:val="358189"/>
                <w:sz w:val="36"/>
                <w:szCs w:val="36"/>
              </w:rPr>
              <w:t>What you’ll find in this chapter:</w:t>
            </w:r>
            <w:bookmarkEnd w:id="1109"/>
          </w:p>
          <w:p w14:paraId="673991FA" w14:textId="5EFD6F9F" w:rsidR="004667EB" w:rsidRDefault="00140E53" w:rsidP="00622CFF">
            <w:pPr>
              <w:spacing w:before="240" w:after="240"/>
              <w:ind w:left="-112"/>
              <w:rPr>
                <w:szCs w:val="22"/>
              </w:rPr>
            </w:pPr>
            <w:r>
              <w:rPr>
                <w:szCs w:val="22"/>
              </w:rPr>
              <w:t xml:space="preserve"> </w:t>
            </w:r>
            <w:r w:rsidR="009D3EBB" w:rsidRPr="00BB7C9B">
              <w:rPr>
                <w:szCs w:val="22"/>
              </w:rPr>
              <w:t>This chapter provides guidance on</w:t>
            </w:r>
            <w:r w:rsidR="004667EB">
              <w:rPr>
                <w:szCs w:val="22"/>
              </w:rPr>
              <w:t>:</w:t>
            </w:r>
          </w:p>
          <w:p w14:paraId="0527B266" w14:textId="77777777" w:rsidR="004667EB" w:rsidRDefault="009D3EBB" w:rsidP="00DF3F6B">
            <w:pPr>
              <w:pStyle w:val="ListParagraph"/>
              <w:numPr>
                <w:ilvl w:val="0"/>
                <w:numId w:val="410"/>
              </w:numPr>
              <w:spacing w:before="240" w:after="240"/>
              <w:rPr>
                <w:szCs w:val="22"/>
              </w:rPr>
            </w:pPr>
            <w:r w:rsidRPr="004667EB">
              <w:rPr>
                <w:szCs w:val="22"/>
              </w:rPr>
              <w:t xml:space="preserve">fees, </w:t>
            </w:r>
          </w:p>
          <w:p w14:paraId="18EC3B7C" w14:textId="77777777" w:rsidR="004667EB" w:rsidRDefault="009D3EBB" w:rsidP="00DF3F6B">
            <w:pPr>
              <w:pStyle w:val="ListParagraph"/>
              <w:numPr>
                <w:ilvl w:val="0"/>
                <w:numId w:val="410"/>
              </w:numPr>
              <w:spacing w:before="240" w:after="240"/>
              <w:rPr>
                <w:szCs w:val="22"/>
              </w:rPr>
            </w:pPr>
            <w:r w:rsidRPr="004667EB">
              <w:rPr>
                <w:szCs w:val="22"/>
              </w:rPr>
              <w:t>payments</w:t>
            </w:r>
            <w:r w:rsidR="004667EB">
              <w:rPr>
                <w:szCs w:val="22"/>
              </w:rPr>
              <w:t>,</w:t>
            </w:r>
            <w:r w:rsidRPr="004667EB">
              <w:rPr>
                <w:szCs w:val="22"/>
              </w:rPr>
              <w:t xml:space="preserve"> and </w:t>
            </w:r>
          </w:p>
          <w:p w14:paraId="781E35C9" w14:textId="198D4875" w:rsidR="009D3EBB" w:rsidRPr="007D0181" w:rsidRDefault="009D3EBB" w:rsidP="00C25157">
            <w:pPr>
              <w:pStyle w:val="ListParagraph"/>
              <w:numPr>
                <w:ilvl w:val="0"/>
                <w:numId w:val="410"/>
              </w:numPr>
              <w:spacing w:before="240" w:after="240"/>
            </w:pPr>
            <w:r w:rsidRPr="004667EB">
              <w:rPr>
                <w:szCs w:val="22"/>
              </w:rPr>
              <w:t xml:space="preserve">participant contributions for funded aged care services. </w:t>
            </w:r>
          </w:p>
        </w:tc>
      </w:tr>
    </w:tbl>
    <w:p w14:paraId="5575A523" w14:textId="3A543E28" w:rsidR="00274CB5" w:rsidRDefault="00274CB5" w:rsidP="00622CFF">
      <w:pPr>
        <w:spacing w:before="240" w:after="240" w:line="240" w:lineRule="auto"/>
      </w:pPr>
    </w:p>
    <w:p w14:paraId="073B0794" w14:textId="7E0A86DA" w:rsidR="009D3EBB" w:rsidRPr="007D0181" w:rsidRDefault="006519D4" w:rsidP="00507F9D">
      <w:pPr>
        <w:pStyle w:val="h2"/>
      </w:pPr>
      <w:bookmarkStart w:id="1110" w:name="_Toc209189074"/>
      <w:bookmarkStart w:id="1111" w:name="_Toc224916725"/>
      <w:r>
        <w:t>An a</w:t>
      </w:r>
      <w:r w:rsidR="009D3EBB">
        <w:t>ssessor</w:t>
      </w:r>
      <w:r>
        <w:t>’</w:t>
      </w:r>
      <w:r w:rsidR="009D3EBB">
        <w:t>s role in advising clients</w:t>
      </w:r>
      <w:r w:rsidR="00FA4D3A">
        <w:t xml:space="preserve"> about fees and payments</w:t>
      </w:r>
      <w:bookmarkEnd w:id="1110"/>
      <w:bookmarkEnd w:id="1111"/>
      <w:r w:rsidR="009D3EBB">
        <w:t xml:space="preserve"> </w:t>
      </w:r>
    </w:p>
    <w:p w14:paraId="7E9E7BE6" w14:textId="77777777" w:rsidR="009D3EBB" w:rsidRPr="00BB7C9B" w:rsidRDefault="009D3EBB" w:rsidP="00622CFF">
      <w:pPr>
        <w:spacing w:before="240" w:after="240" w:line="240" w:lineRule="auto"/>
        <w:rPr>
          <w:szCs w:val="22"/>
        </w:rPr>
      </w:pPr>
      <w:r w:rsidRPr="00BB7C9B">
        <w:rPr>
          <w:szCs w:val="22"/>
        </w:rPr>
        <w:t xml:space="preserve">It is important that older people understand the potential costs of care early in their interaction with the aged care system. </w:t>
      </w:r>
    </w:p>
    <w:p w14:paraId="21041D2B" w14:textId="3967D902" w:rsidR="009D3EBB" w:rsidRPr="00BB7C9B" w:rsidRDefault="009D3EBB" w:rsidP="00622CFF">
      <w:pPr>
        <w:spacing w:before="240" w:after="240" w:line="240" w:lineRule="auto"/>
        <w:rPr>
          <w:szCs w:val="22"/>
        </w:rPr>
      </w:pPr>
      <w:r w:rsidRPr="00BB7C9B">
        <w:rPr>
          <w:szCs w:val="22"/>
        </w:rPr>
        <w:t xml:space="preserve">Assessors are not responsible for providing detailed financial information about the fees or charges that an older person may be charged to access aged care services, but </w:t>
      </w:r>
      <w:r w:rsidR="00CB3264">
        <w:rPr>
          <w:szCs w:val="22"/>
        </w:rPr>
        <w:t>they do</w:t>
      </w:r>
      <w:r w:rsidRPr="00BB7C9B">
        <w:rPr>
          <w:szCs w:val="22"/>
        </w:rPr>
        <w:t xml:space="preserve"> have a role in advising </w:t>
      </w:r>
      <w:r w:rsidR="00C101AB">
        <w:rPr>
          <w:szCs w:val="22"/>
        </w:rPr>
        <w:t>older people</w:t>
      </w:r>
      <w:r w:rsidRPr="00BB7C9B">
        <w:rPr>
          <w:szCs w:val="22"/>
        </w:rPr>
        <w:t xml:space="preserve"> about where they can access the information they need and what the process may entail. They should be able to assist clients </w:t>
      </w:r>
      <w:r w:rsidR="00C101AB">
        <w:rPr>
          <w:szCs w:val="22"/>
        </w:rPr>
        <w:t>to</w:t>
      </w:r>
      <w:r w:rsidRPr="00BB7C9B">
        <w:rPr>
          <w:szCs w:val="22"/>
        </w:rPr>
        <w:t xml:space="preserve"> access appropriate support should </w:t>
      </w:r>
      <w:r w:rsidR="00923F23">
        <w:rPr>
          <w:szCs w:val="22"/>
        </w:rPr>
        <w:t xml:space="preserve">an older person be experiencing </w:t>
      </w:r>
      <w:r w:rsidRPr="00BB7C9B">
        <w:rPr>
          <w:szCs w:val="22"/>
        </w:rPr>
        <w:t>financial disadvantage (see section</w:t>
      </w:r>
      <w:r w:rsidR="00857460">
        <w:rPr>
          <w:szCs w:val="22"/>
        </w:rPr>
        <w:t xml:space="preserve"> </w:t>
      </w:r>
      <w:r w:rsidR="00203C72">
        <w:rPr>
          <w:szCs w:val="22"/>
        </w:rPr>
        <w:fldChar w:fldCharType="begin"/>
      </w:r>
      <w:r w:rsidR="00203C72">
        <w:rPr>
          <w:szCs w:val="22"/>
        </w:rPr>
        <w:instrText xml:space="preserve"> REF _Ref133403760 \n \h </w:instrText>
      </w:r>
      <w:r w:rsidR="00203C72">
        <w:rPr>
          <w:szCs w:val="22"/>
        </w:rPr>
      </w:r>
      <w:r w:rsidR="00203C72">
        <w:rPr>
          <w:szCs w:val="22"/>
        </w:rPr>
        <w:fldChar w:fldCharType="separate"/>
      </w:r>
      <w:r w:rsidR="00F97942">
        <w:rPr>
          <w:szCs w:val="22"/>
        </w:rPr>
        <w:t>14.2.4</w:t>
      </w:r>
      <w:r w:rsidR="00203C72">
        <w:rPr>
          <w:szCs w:val="22"/>
        </w:rPr>
        <w:fldChar w:fldCharType="end"/>
      </w:r>
      <w:r w:rsidRPr="00BB7C9B">
        <w:rPr>
          <w:szCs w:val="22"/>
        </w:rPr>
        <w:t xml:space="preserve">Financial Hardship). </w:t>
      </w:r>
    </w:p>
    <w:p w14:paraId="35DFC2C7" w14:textId="77777777" w:rsidR="009D3EBB" w:rsidRPr="00BB7C9B" w:rsidRDefault="009D3EBB" w:rsidP="00622CFF">
      <w:pPr>
        <w:spacing w:before="240" w:after="240" w:line="240" w:lineRule="auto"/>
        <w:rPr>
          <w:szCs w:val="22"/>
        </w:rPr>
      </w:pPr>
      <w:r w:rsidRPr="00BB7C9B">
        <w:rPr>
          <w:szCs w:val="22"/>
        </w:rPr>
        <w:t xml:space="preserve">Ideally, clients should be referred to the My Aged Care website and the contact centre for information regarding care costs and fees prior to the face-to-face assessment. This gives the client time to consider the information prior to the assessment. </w:t>
      </w:r>
    </w:p>
    <w:p w14:paraId="6546DE11" w14:textId="052FE5EE" w:rsidR="005E05D4" w:rsidRDefault="00E77827" w:rsidP="00C325C6">
      <w:pPr>
        <w:pStyle w:val="Sub-headings"/>
      </w:pPr>
      <w:r w:rsidRPr="003B6E75">
        <w:t>Note</w:t>
      </w:r>
      <w:r>
        <w:t>:</w:t>
      </w:r>
    </w:p>
    <w:p w14:paraId="59CC2D41" w14:textId="77777777" w:rsidR="00E77827" w:rsidRDefault="009D3EBB" w:rsidP="00C325C6">
      <w:pPr>
        <w:pStyle w:val="Sub-headings"/>
      </w:pPr>
      <w:r w:rsidRPr="00BB7C9B">
        <w:t xml:space="preserve">After the assessment, rather than the assessor handing out Services Australia hard copy forms to the client (which may lead the client to complete a form unnecessarily), assessors can leave booklets specific to their service recommendations which contain necessary fee information for that program or type of care. </w:t>
      </w:r>
    </w:p>
    <w:p w14:paraId="6440230F" w14:textId="054652A1" w:rsidR="009D3EBB" w:rsidRPr="00BB7C9B" w:rsidRDefault="009D3EBB" w:rsidP="00C325C6">
      <w:pPr>
        <w:pStyle w:val="Sub-headings"/>
      </w:pPr>
      <w:r w:rsidRPr="00BB7C9B">
        <w:t xml:space="preserve">Assessors may wish to point out the section </w:t>
      </w:r>
      <w:r w:rsidR="006F7E8D">
        <w:t>of</w:t>
      </w:r>
      <w:r w:rsidR="006F7E8D" w:rsidRPr="00BB7C9B">
        <w:t xml:space="preserve"> </w:t>
      </w:r>
      <w:r w:rsidRPr="00BB7C9B">
        <w:t xml:space="preserve">the booklet which provides information about fees, who to contact about whether they need to complete a form and how to access </w:t>
      </w:r>
      <w:r w:rsidR="006E0F9A">
        <w:t>the</w:t>
      </w:r>
      <w:r w:rsidRPr="00BB7C9B">
        <w:t xml:space="preserve"> forms if required (see </w:t>
      </w:r>
      <w:r w:rsidR="00255EB0">
        <w:t xml:space="preserve">Chapter </w:t>
      </w:r>
      <w:r w:rsidR="00871BD0" w:rsidRPr="002A5889">
        <w:fldChar w:fldCharType="begin"/>
      </w:r>
      <w:r w:rsidR="00871BD0" w:rsidRPr="002A5889">
        <w:instrText xml:space="preserve"> REF _Ref212736536 \w \h </w:instrText>
      </w:r>
      <w:r w:rsidR="00DB000C" w:rsidRPr="002A5889">
        <w:instrText xml:space="preserve"> \* MERGEFORMAT </w:instrText>
      </w:r>
      <w:r w:rsidR="00871BD0" w:rsidRPr="002A5889">
        <w:fldChar w:fldCharType="separate"/>
      </w:r>
      <w:r w:rsidR="00F97942">
        <w:t>13</w:t>
      </w:r>
      <w:r w:rsidR="00871BD0" w:rsidRPr="002A5889">
        <w:fldChar w:fldCharType="end"/>
      </w:r>
      <w:r w:rsidR="00E77827">
        <w:t>)</w:t>
      </w:r>
      <w:r w:rsidRPr="00BB7C9B">
        <w:t>.</w:t>
      </w:r>
    </w:p>
    <w:p w14:paraId="423D52AB" w14:textId="77777777" w:rsidR="00E77827" w:rsidRPr="00BB7C9B" w:rsidRDefault="00E77827" w:rsidP="0081503A"/>
    <w:p w14:paraId="0B8DDD54" w14:textId="6F7C1FD5" w:rsidR="009D3EBB" w:rsidRPr="00331A28" w:rsidRDefault="009D3EBB" w:rsidP="00507F9D">
      <w:pPr>
        <w:pStyle w:val="h2"/>
      </w:pPr>
      <w:bookmarkStart w:id="1112" w:name="_Toc159226977"/>
      <w:bookmarkStart w:id="1113" w:name="_Toc201143486"/>
      <w:bookmarkStart w:id="1114" w:name="_Toc209189075"/>
      <w:bookmarkStart w:id="1115" w:name="_Toc224916726"/>
      <w:r w:rsidRPr="00331A28">
        <w:t xml:space="preserve">Aged </w:t>
      </w:r>
      <w:r w:rsidR="0017423F">
        <w:t>c</w:t>
      </w:r>
      <w:r w:rsidRPr="00331A28">
        <w:t xml:space="preserve">are </w:t>
      </w:r>
      <w:r w:rsidR="0017423F">
        <w:t>p</w:t>
      </w:r>
      <w:r w:rsidRPr="00331A28">
        <w:t xml:space="preserve">rogram </w:t>
      </w:r>
      <w:r w:rsidR="0017423F">
        <w:t>f</w:t>
      </w:r>
      <w:r w:rsidRPr="00331A28">
        <w:t>ees</w:t>
      </w:r>
      <w:bookmarkEnd w:id="1112"/>
      <w:bookmarkEnd w:id="1113"/>
      <w:bookmarkEnd w:id="1114"/>
      <w:bookmarkEnd w:id="1115"/>
    </w:p>
    <w:p w14:paraId="5C70A20D" w14:textId="3AFDA9D1" w:rsidR="009D3EBB" w:rsidRPr="007D0181" w:rsidRDefault="009D3EBB" w:rsidP="00C56CEC">
      <w:pPr>
        <w:pStyle w:val="H3"/>
      </w:pPr>
      <w:bookmarkStart w:id="1116" w:name="_Toc159226978"/>
      <w:bookmarkStart w:id="1117" w:name="_Toc201143487"/>
      <w:r w:rsidRPr="007D0181">
        <w:t>Fees for C</w:t>
      </w:r>
      <w:r w:rsidR="002B4DBE">
        <w:t>om</w:t>
      </w:r>
      <w:r w:rsidR="00216E2D">
        <w:t>m</w:t>
      </w:r>
      <w:r w:rsidR="002B4DBE">
        <w:t xml:space="preserve">onwealth </w:t>
      </w:r>
      <w:r w:rsidRPr="007D0181">
        <w:t>H</w:t>
      </w:r>
      <w:r w:rsidR="002B4DBE">
        <w:t xml:space="preserve">ome </w:t>
      </w:r>
      <w:r w:rsidRPr="007D0181">
        <w:t>S</w:t>
      </w:r>
      <w:r w:rsidR="002B4DBE">
        <w:t xml:space="preserve">upport </w:t>
      </w:r>
      <w:r w:rsidRPr="007D0181">
        <w:t>P</w:t>
      </w:r>
      <w:bookmarkEnd w:id="1116"/>
      <w:bookmarkEnd w:id="1117"/>
      <w:r w:rsidR="002B4DBE">
        <w:t>rogram (CHSP)</w:t>
      </w:r>
    </w:p>
    <w:p w14:paraId="605E4880" w14:textId="33116A29" w:rsidR="00D85E3B" w:rsidRDefault="00D85E3B" w:rsidP="00622CFF">
      <w:pPr>
        <w:spacing w:before="240" w:after="240" w:line="240" w:lineRule="auto"/>
        <w:rPr>
          <w:szCs w:val="22"/>
        </w:rPr>
      </w:pPr>
      <w:r w:rsidRPr="00D85E3B">
        <w:rPr>
          <w:szCs w:val="22"/>
        </w:rPr>
        <w:t xml:space="preserve">A provider delivering funded aged care services through a service group under the CHSP may charge an individual an amount for or in connection with those services (the CHSP contribution), in accordance with section 286 of the </w:t>
      </w:r>
      <w:r w:rsidR="006B03AB">
        <w:rPr>
          <w:szCs w:val="22"/>
        </w:rPr>
        <w:t xml:space="preserve">Aged Care </w:t>
      </w:r>
      <w:r w:rsidRPr="00D85E3B">
        <w:rPr>
          <w:szCs w:val="22"/>
        </w:rPr>
        <w:t>Act</w:t>
      </w:r>
      <w:r w:rsidR="006B03AB">
        <w:rPr>
          <w:szCs w:val="22"/>
        </w:rPr>
        <w:t xml:space="preserve"> 202</w:t>
      </w:r>
      <w:r w:rsidR="00E66240">
        <w:rPr>
          <w:szCs w:val="22"/>
        </w:rPr>
        <w:t>4</w:t>
      </w:r>
      <w:r w:rsidRPr="00D85E3B">
        <w:rPr>
          <w:szCs w:val="22"/>
        </w:rPr>
        <w:t xml:space="preserve">. Providers must have a publicly available financial hardship policy that covers how clients can apply for a waiver or reduction of the CHSP contribution. </w:t>
      </w:r>
    </w:p>
    <w:p w14:paraId="7C5F3529" w14:textId="77777777" w:rsidR="00D85E3B" w:rsidRDefault="00D85E3B" w:rsidP="00622CFF">
      <w:pPr>
        <w:spacing w:before="240" w:after="240" w:line="240" w:lineRule="auto"/>
        <w:rPr>
          <w:szCs w:val="22"/>
        </w:rPr>
      </w:pPr>
      <w:r w:rsidRPr="00D85E3B">
        <w:rPr>
          <w:szCs w:val="22"/>
        </w:rPr>
        <w:t xml:space="preserve">The CHSP contribution must be agreed with the client in writing, including how and when it is to be paid and outlined in the client’s Service Agreement. In agreeing to the amount of CHSP contribution, providers should consider a range of factors including: </w:t>
      </w:r>
    </w:p>
    <w:p w14:paraId="25E87E87" w14:textId="06CE09AF" w:rsidR="00460947" w:rsidRDefault="00D85E3B" w:rsidP="00DF3F6B">
      <w:pPr>
        <w:pStyle w:val="ListParagraph"/>
        <w:numPr>
          <w:ilvl w:val="0"/>
          <w:numId w:val="470"/>
        </w:numPr>
        <w:spacing w:before="240" w:after="240" w:line="240" w:lineRule="auto"/>
        <w:rPr>
          <w:szCs w:val="22"/>
        </w:rPr>
      </w:pPr>
      <w:r w:rsidRPr="00D85E3B">
        <w:rPr>
          <w:szCs w:val="22"/>
        </w:rPr>
        <w:t xml:space="preserve">business costs associated with delivering the service </w:t>
      </w:r>
    </w:p>
    <w:p w14:paraId="7485B7BB" w14:textId="77777777" w:rsidR="00460947" w:rsidRDefault="00D85E3B" w:rsidP="00DF3F6B">
      <w:pPr>
        <w:pStyle w:val="ListParagraph"/>
        <w:numPr>
          <w:ilvl w:val="0"/>
          <w:numId w:val="470"/>
        </w:numPr>
        <w:spacing w:before="240" w:after="240" w:line="240" w:lineRule="auto"/>
        <w:rPr>
          <w:szCs w:val="22"/>
        </w:rPr>
      </w:pPr>
      <w:r w:rsidRPr="00D85E3B">
        <w:rPr>
          <w:szCs w:val="22"/>
        </w:rPr>
        <w:t xml:space="preserve">affordability for CHSP clients </w:t>
      </w:r>
    </w:p>
    <w:p w14:paraId="442A1693" w14:textId="77777777" w:rsidR="009048D6" w:rsidRDefault="00D85E3B" w:rsidP="00DF3F6B">
      <w:pPr>
        <w:pStyle w:val="ListParagraph"/>
        <w:numPr>
          <w:ilvl w:val="0"/>
          <w:numId w:val="470"/>
        </w:numPr>
        <w:spacing w:before="240" w:after="240" w:line="240" w:lineRule="auto"/>
        <w:rPr>
          <w:szCs w:val="22"/>
        </w:rPr>
      </w:pPr>
      <w:r w:rsidRPr="00D85E3B">
        <w:rPr>
          <w:szCs w:val="22"/>
        </w:rPr>
        <w:t xml:space="preserve">the socioeconomic circumstances of those receiving services. </w:t>
      </w:r>
    </w:p>
    <w:p w14:paraId="6036AF95" w14:textId="77777777" w:rsidR="00E70B0F" w:rsidRDefault="00D85E3B" w:rsidP="009048D6">
      <w:pPr>
        <w:spacing w:before="240" w:after="240" w:line="240" w:lineRule="auto"/>
        <w:rPr>
          <w:szCs w:val="22"/>
        </w:rPr>
      </w:pPr>
      <w:r w:rsidRPr="00D85E3B">
        <w:rPr>
          <w:szCs w:val="22"/>
        </w:rPr>
        <w:t>There is no formal means testing for CHSP client contributions. The client contribution fee may vary from person to person. This is because the fee can vary depending on the specific services a client receives and their individual capacity to pay. Two cli</w:t>
      </w:r>
      <w:r w:rsidRPr="00460947">
        <w:rPr>
          <w:szCs w:val="22"/>
        </w:rPr>
        <w:t>ents of a similar age with similar support needs may pay different CHSP contributions for a similar service.</w:t>
      </w:r>
    </w:p>
    <w:p w14:paraId="3D88A054" w14:textId="22587DF8" w:rsidR="009D3EBB" w:rsidRPr="00531718" w:rsidRDefault="009D3EBB" w:rsidP="00622CFF">
      <w:pPr>
        <w:spacing w:before="240" w:after="240" w:line="240" w:lineRule="auto"/>
        <w:rPr>
          <w:szCs w:val="22"/>
        </w:rPr>
      </w:pPr>
      <w:r w:rsidRPr="00531718">
        <w:rPr>
          <w:szCs w:val="22"/>
        </w:rPr>
        <w:t xml:space="preserve">The National CHSP Client Contribution Framework outlines the principles </w:t>
      </w:r>
      <w:r w:rsidR="00E85AF4">
        <w:rPr>
          <w:szCs w:val="22"/>
        </w:rPr>
        <w:t xml:space="preserve">that </w:t>
      </w:r>
      <w:r w:rsidRPr="00531718">
        <w:rPr>
          <w:szCs w:val="22"/>
        </w:rPr>
        <w:t xml:space="preserve">service providers can adopt in setting </w:t>
      </w:r>
      <w:r w:rsidR="00D17EBE">
        <w:rPr>
          <w:szCs w:val="22"/>
        </w:rPr>
        <w:t>their client contribution policies</w:t>
      </w:r>
      <w:r w:rsidRPr="00531718">
        <w:rPr>
          <w:szCs w:val="22"/>
        </w:rPr>
        <w:t xml:space="preserve"> with a view to ensuring that those who can afford to contribute to the cost of their care do so whilst protecting those most vulnerable. </w:t>
      </w:r>
    </w:p>
    <w:p w14:paraId="46699B3C" w14:textId="0CF4972C" w:rsidR="009D3EBB" w:rsidRDefault="009D3EBB" w:rsidP="00622CFF">
      <w:pPr>
        <w:spacing w:before="240" w:after="240" w:line="240" w:lineRule="auto"/>
        <w:rPr>
          <w:szCs w:val="22"/>
        </w:rPr>
      </w:pPr>
      <w:r w:rsidRPr="00531718">
        <w:rPr>
          <w:szCs w:val="22"/>
        </w:rPr>
        <w:t xml:space="preserve"> </w:t>
      </w:r>
    </w:p>
    <w:tbl>
      <w:tblPr>
        <w:tblStyle w:val="TableGrid"/>
        <w:tblW w:w="0" w:type="auto"/>
        <w:tblLook w:val="04A0" w:firstRow="1" w:lastRow="0" w:firstColumn="1" w:lastColumn="0" w:noHBand="0" w:noVBand="1"/>
      </w:tblPr>
      <w:tblGrid>
        <w:gridCol w:w="1134"/>
        <w:gridCol w:w="7892"/>
      </w:tblGrid>
      <w:tr w:rsidR="00E70B0F" w14:paraId="1CECBC33" w14:textId="77777777" w:rsidTr="005771B7">
        <w:tc>
          <w:tcPr>
            <w:tcW w:w="1134" w:type="dxa"/>
          </w:tcPr>
          <w:p w14:paraId="648AF5DC" w14:textId="1549BCD8" w:rsidR="00E70B0F" w:rsidRDefault="00E70B0F" w:rsidP="00622CFF">
            <w:pPr>
              <w:spacing w:before="240" w:after="240"/>
              <w:rPr>
                <w:szCs w:val="22"/>
              </w:rPr>
            </w:pPr>
            <w:r>
              <w:rPr>
                <w:noProof/>
              </w:rPr>
              <w:drawing>
                <wp:anchor distT="0" distB="0" distL="114300" distR="114300" simplePos="0" relativeHeight="251658264" behindDoc="0" locked="0" layoutInCell="1" allowOverlap="1" wp14:anchorId="514DD0BF" wp14:editId="59FF737D">
                  <wp:simplePos x="0" y="0"/>
                  <wp:positionH relativeFrom="margin">
                    <wp:posOffset>7620</wp:posOffset>
                  </wp:positionH>
                  <wp:positionV relativeFrom="paragraph">
                    <wp:posOffset>-12065</wp:posOffset>
                  </wp:positionV>
                  <wp:extent cx="447675" cy="445208"/>
                  <wp:effectExtent l="0" t="0" r="0" b="0"/>
                  <wp:wrapNone/>
                  <wp:docPr id="1537757112" name="Picture 15377571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7892" w:type="dxa"/>
          </w:tcPr>
          <w:p w14:paraId="59278450" w14:textId="77777777" w:rsidR="00D92987" w:rsidRDefault="00E70B0F" w:rsidP="00D92987">
            <w:pPr>
              <w:spacing w:before="240" w:after="240"/>
            </w:pPr>
            <w:hyperlink r:id="rId327" w:history="1">
              <w:r w:rsidRPr="00ED021E">
                <w:rPr>
                  <w:rStyle w:val="Hyperlink"/>
                </w:rPr>
                <w:t>Commonwealth Home Support Program (CHSP) 2025–27 Manual (from 1 November 2025) | Australian Government Department of Health, Disability and Ageing</w:t>
              </w:r>
            </w:hyperlink>
          </w:p>
          <w:p w14:paraId="4206E0D9" w14:textId="254B69D3" w:rsidR="00E70B0F" w:rsidRDefault="00E70B0F" w:rsidP="00622CFF">
            <w:pPr>
              <w:spacing w:before="240" w:after="240"/>
              <w:rPr>
                <w:szCs w:val="22"/>
              </w:rPr>
            </w:pPr>
            <w:hyperlink r:id="rId328" w:history="1">
              <w:r w:rsidRPr="00C54160">
                <w:rPr>
                  <w:rStyle w:val="Hyperlink"/>
                </w:rPr>
                <w:t xml:space="preserve">Commonwealth </w:t>
              </w:r>
              <w:r>
                <w:rPr>
                  <w:rStyle w:val="Hyperlink"/>
                </w:rPr>
                <w:t>Home</w:t>
              </w:r>
              <w:r w:rsidRPr="00C54160">
                <w:rPr>
                  <w:rStyle w:val="Hyperlink"/>
                </w:rPr>
                <w:t xml:space="preserve"> Support Program</w:t>
              </w:r>
              <w:r>
                <w:rPr>
                  <w:rStyle w:val="Hyperlink"/>
                </w:rPr>
                <w:t xml:space="preserve"> (CHSP)</w:t>
              </w:r>
              <w:r w:rsidRPr="00C54160">
                <w:rPr>
                  <w:rStyle w:val="Hyperlink"/>
                </w:rPr>
                <w:t xml:space="preserve"> resources</w:t>
              </w:r>
            </w:hyperlink>
            <w:r w:rsidRPr="00085281">
              <w:rPr>
                <w:rStyle w:val="Hyperlink"/>
              </w:rPr>
              <w:t xml:space="preserve"> </w:t>
            </w:r>
          </w:p>
        </w:tc>
      </w:tr>
    </w:tbl>
    <w:p w14:paraId="0A1BF389" w14:textId="5A30CF05" w:rsidR="009D3EBB" w:rsidRPr="007D0181" w:rsidRDefault="009D3EBB" w:rsidP="00C56CEC">
      <w:pPr>
        <w:pStyle w:val="H3"/>
      </w:pPr>
      <w:bookmarkStart w:id="1118" w:name="_Ref128157105"/>
      <w:bookmarkStart w:id="1119" w:name="_Toc159226979"/>
      <w:bookmarkStart w:id="1120" w:name="_Toc201143488"/>
      <w:r w:rsidRPr="007D0181">
        <w:t xml:space="preserve">Fees for </w:t>
      </w:r>
      <w:bookmarkEnd w:id="1118"/>
      <w:bookmarkEnd w:id="1119"/>
      <w:bookmarkEnd w:id="1120"/>
      <w:r w:rsidRPr="007D0181">
        <w:t xml:space="preserve">Support at Home </w:t>
      </w:r>
      <w:r w:rsidR="00AF2B12">
        <w:t>p</w:t>
      </w:r>
      <w:r w:rsidRPr="007D0181">
        <w:t>articipants</w:t>
      </w:r>
    </w:p>
    <w:p w14:paraId="181D5192" w14:textId="051BAEC9" w:rsidR="00323B08" w:rsidRPr="007D0181" w:rsidRDefault="004D59EC" w:rsidP="00622CFF">
      <w:pPr>
        <w:spacing w:before="240" w:after="240" w:line="240" w:lineRule="auto"/>
      </w:pPr>
      <w:r>
        <w:t>T</w:t>
      </w:r>
      <w:r w:rsidR="00153880">
        <w:t xml:space="preserve">he introduction of </w:t>
      </w:r>
      <w:r w:rsidR="00B926B4">
        <w:t>contributions</w:t>
      </w:r>
      <w:r w:rsidR="00153880">
        <w:t xml:space="preserve"> </w:t>
      </w:r>
      <w:r w:rsidR="00BF4DE8">
        <w:t>in</w:t>
      </w:r>
      <w:r w:rsidR="00153880">
        <w:t xml:space="preserve"> the Support at Home Program ha</w:t>
      </w:r>
      <w:r w:rsidR="00BF4DE8">
        <w:t>ve</w:t>
      </w:r>
      <w:r w:rsidR="00153880">
        <w:t xml:space="preserve"> replaced fee arrangements under the Home Care Package Program</w:t>
      </w:r>
      <w:r w:rsidR="00823537">
        <w:t>.</w:t>
      </w:r>
      <w:r w:rsidR="00153880">
        <w:t xml:space="preserve"> </w:t>
      </w:r>
    </w:p>
    <w:p w14:paraId="6D5A7641" w14:textId="5BBDF9A7" w:rsidR="009D3EBB" w:rsidRPr="00165201" w:rsidRDefault="009D3EBB" w:rsidP="00622CFF">
      <w:pPr>
        <w:spacing w:before="240" w:after="240" w:line="240" w:lineRule="auto"/>
        <w:rPr>
          <w:szCs w:val="22"/>
        </w:rPr>
      </w:pPr>
      <w:r w:rsidRPr="00165201">
        <w:rPr>
          <w:szCs w:val="22"/>
        </w:rPr>
        <w:t xml:space="preserve">With the transition from the Home Care Package program to Support at Home, changes have been made to how participant contributions are calculated. This information is applicable for older people accessing services under the Support at Home Program, including through the Restorative Care Pathway, End-of-Life Pathway and </w:t>
      </w:r>
      <w:r w:rsidR="00115BAC">
        <w:rPr>
          <w:szCs w:val="22"/>
        </w:rPr>
        <w:t>Assistive Technology and Home Modifications (</w:t>
      </w:r>
      <w:r w:rsidRPr="00165201">
        <w:rPr>
          <w:szCs w:val="22"/>
        </w:rPr>
        <w:t>AT-HM</w:t>
      </w:r>
      <w:r w:rsidR="00115BAC">
        <w:rPr>
          <w:szCs w:val="22"/>
        </w:rPr>
        <w:t>)</w:t>
      </w:r>
      <w:r w:rsidR="00DC3658">
        <w:rPr>
          <w:szCs w:val="22"/>
        </w:rPr>
        <w:t xml:space="preserve"> </w:t>
      </w:r>
      <w:r w:rsidR="00155CA5">
        <w:rPr>
          <w:szCs w:val="22"/>
        </w:rPr>
        <w:t>s</w:t>
      </w:r>
      <w:r w:rsidRPr="00165201">
        <w:rPr>
          <w:szCs w:val="22"/>
        </w:rPr>
        <w:t xml:space="preserve">cheme. </w:t>
      </w:r>
    </w:p>
    <w:p w14:paraId="42779140" w14:textId="3DA93B2A" w:rsidR="009D3EBB" w:rsidRPr="00165201" w:rsidRDefault="009D3EBB" w:rsidP="00622CFF">
      <w:pPr>
        <w:spacing w:before="240" w:after="240" w:line="240" w:lineRule="auto"/>
        <w:rPr>
          <w:szCs w:val="22"/>
        </w:rPr>
      </w:pPr>
      <w:r w:rsidRPr="00165201">
        <w:rPr>
          <w:szCs w:val="22"/>
        </w:rPr>
        <w:t xml:space="preserve">For Support at Home participants, an income and assets assessment by Services Australia determines participant contributions.  Contributions will be different for each participant based on the type of service received, </w:t>
      </w:r>
      <w:r w:rsidR="00B21766">
        <w:rPr>
          <w:szCs w:val="22"/>
        </w:rPr>
        <w:t xml:space="preserve">the </w:t>
      </w:r>
      <w:r w:rsidRPr="00165201">
        <w:rPr>
          <w:szCs w:val="22"/>
        </w:rPr>
        <w:t xml:space="preserve">outcome of their income and assets assessment and </w:t>
      </w:r>
      <w:r w:rsidR="00BC7DD7">
        <w:rPr>
          <w:szCs w:val="22"/>
        </w:rPr>
        <w:t xml:space="preserve">their </w:t>
      </w:r>
      <w:r w:rsidRPr="00165201">
        <w:rPr>
          <w:szCs w:val="22"/>
        </w:rPr>
        <w:t xml:space="preserve">pension status. </w:t>
      </w:r>
    </w:p>
    <w:p w14:paraId="000C24FD" w14:textId="77777777" w:rsidR="009D3EBB" w:rsidRPr="00165201" w:rsidRDefault="009D3EBB" w:rsidP="00DF3F6B">
      <w:pPr>
        <w:pStyle w:val="ListParagraph"/>
        <w:numPr>
          <w:ilvl w:val="0"/>
          <w:numId w:val="387"/>
        </w:numPr>
        <w:spacing w:before="240" w:after="240" w:line="240" w:lineRule="auto"/>
        <w:rPr>
          <w:szCs w:val="22"/>
        </w:rPr>
      </w:pPr>
      <w:r w:rsidRPr="00165201">
        <w:rPr>
          <w:szCs w:val="22"/>
        </w:rPr>
        <w:t xml:space="preserve">Clinical support services will attract no contribution fees as they are fully funded by the government for all participants. </w:t>
      </w:r>
    </w:p>
    <w:p w14:paraId="6CF39E20" w14:textId="77777777" w:rsidR="009D3EBB" w:rsidRPr="00165201" w:rsidRDefault="009D3EBB" w:rsidP="00DF3F6B">
      <w:pPr>
        <w:pStyle w:val="ListParagraph"/>
        <w:numPr>
          <w:ilvl w:val="0"/>
          <w:numId w:val="387"/>
        </w:numPr>
        <w:spacing w:before="240" w:after="240" w:line="240" w:lineRule="auto"/>
        <w:rPr>
          <w:szCs w:val="22"/>
        </w:rPr>
      </w:pPr>
      <w:r w:rsidRPr="00165201">
        <w:rPr>
          <w:szCs w:val="22"/>
        </w:rPr>
        <w:t xml:space="preserve">Independence services such as personal care will attract moderate contributions.  </w:t>
      </w:r>
    </w:p>
    <w:p w14:paraId="590635E0" w14:textId="77777777" w:rsidR="009D3EBB" w:rsidRPr="00165201" w:rsidRDefault="009D3EBB" w:rsidP="00DF3F6B">
      <w:pPr>
        <w:pStyle w:val="ListParagraph"/>
        <w:numPr>
          <w:ilvl w:val="0"/>
          <w:numId w:val="387"/>
        </w:numPr>
        <w:spacing w:before="240" w:after="240" w:line="240" w:lineRule="auto"/>
        <w:rPr>
          <w:szCs w:val="22"/>
        </w:rPr>
      </w:pPr>
      <w:r w:rsidRPr="00165201">
        <w:rPr>
          <w:szCs w:val="22"/>
        </w:rPr>
        <w:t xml:space="preserve">Everyday living services such as cleaning and gardening will attract the highest contributions.  </w:t>
      </w:r>
    </w:p>
    <w:p w14:paraId="5E4DAA6A" w14:textId="36258E2E" w:rsidR="009D3EBB" w:rsidRPr="00165201" w:rsidRDefault="009D3EBB" w:rsidP="00622CFF">
      <w:pPr>
        <w:spacing w:before="240" w:after="240" w:line="240" w:lineRule="auto"/>
        <w:rPr>
          <w:szCs w:val="22"/>
        </w:rPr>
      </w:pPr>
      <w:r w:rsidRPr="00165201">
        <w:rPr>
          <w:szCs w:val="22"/>
        </w:rPr>
        <w:t>For full or part pensioners, Services Australia will use the information on a person’s income and assets assessment that has been provide</w:t>
      </w:r>
      <w:r w:rsidR="00BA39DE">
        <w:rPr>
          <w:szCs w:val="22"/>
        </w:rPr>
        <w:t>d</w:t>
      </w:r>
      <w:r w:rsidRPr="00165201">
        <w:rPr>
          <w:szCs w:val="22"/>
        </w:rPr>
        <w:t xml:space="preserve"> for their pension assessment to determine their Support at Home contributions. Non-pensioners, once approved for Support at Home will need to complete an income and assets assessment if Services Australia does not already have their financial details. </w:t>
      </w:r>
    </w:p>
    <w:p w14:paraId="648F8EC1" w14:textId="77777777" w:rsidR="009D3EBB" w:rsidRPr="00165201" w:rsidRDefault="009D3EBB" w:rsidP="00622CFF">
      <w:pPr>
        <w:spacing w:before="240" w:after="240" w:line="240" w:lineRule="auto"/>
        <w:rPr>
          <w:szCs w:val="22"/>
        </w:rPr>
      </w:pPr>
      <w:r w:rsidRPr="00165201">
        <w:rPr>
          <w:szCs w:val="22"/>
        </w:rPr>
        <w:t xml:space="preserve">Completing an income and assets assessment is not mandatory, however, Support at Home participants who choose not to complete one can be asked to pay the maximum participant contribution rate. </w:t>
      </w:r>
    </w:p>
    <w:p w14:paraId="726471AE" w14:textId="33895586" w:rsidR="009D3EBB" w:rsidRPr="00165201" w:rsidRDefault="009D3EBB" w:rsidP="00622CFF">
      <w:pPr>
        <w:spacing w:before="240" w:after="240" w:line="240" w:lineRule="auto"/>
        <w:rPr>
          <w:szCs w:val="22"/>
        </w:rPr>
      </w:pPr>
      <w:r w:rsidRPr="00165201">
        <w:rPr>
          <w:szCs w:val="22"/>
        </w:rPr>
        <w:t xml:space="preserve">Providers do not need to wait for an income assessment to be completed before an older person commences Support at Home services. Service providers and participants can agree on a temporary contribution rate while </w:t>
      </w:r>
      <w:r w:rsidR="00064C6D">
        <w:rPr>
          <w:szCs w:val="22"/>
        </w:rPr>
        <w:t xml:space="preserve">a </w:t>
      </w:r>
      <w:r w:rsidRPr="00165201">
        <w:rPr>
          <w:szCs w:val="22"/>
        </w:rPr>
        <w:t>new participant</w:t>
      </w:r>
      <w:r w:rsidR="00064C6D">
        <w:rPr>
          <w:szCs w:val="22"/>
        </w:rPr>
        <w:t>’</w:t>
      </w:r>
      <w:r w:rsidRPr="00165201">
        <w:rPr>
          <w:szCs w:val="22"/>
        </w:rPr>
        <w:t xml:space="preserve">s income and assets are being assessed by Services Australia. </w:t>
      </w:r>
      <w:r w:rsidR="005023A1" w:rsidRPr="005023A1">
        <w:rPr>
          <w:szCs w:val="22"/>
        </w:rPr>
        <w:t>The Support at Home fee estimator, available on the department’s website can be used to assist in determining these temporary rates.</w:t>
      </w:r>
    </w:p>
    <w:p w14:paraId="126A0BD0" w14:textId="7F4FC7E3" w:rsidR="009D3EBB" w:rsidRPr="00165201" w:rsidRDefault="009D3EBB" w:rsidP="00622CFF">
      <w:pPr>
        <w:spacing w:before="240" w:after="240" w:line="240" w:lineRule="auto"/>
        <w:rPr>
          <w:szCs w:val="22"/>
        </w:rPr>
      </w:pPr>
      <w:r w:rsidRPr="00861794">
        <w:rPr>
          <w:szCs w:val="22"/>
        </w:rPr>
        <w:t xml:space="preserve">A no worse off principle applies for grandfathered </w:t>
      </w:r>
      <w:r w:rsidR="00EB20B4" w:rsidRPr="00861794">
        <w:rPr>
          <w:szCs w:val="22"/>
        </w:rPr>
        <w:t xml:space="preserve">Home Care Package </w:t>
      </w:r>
      <w:r w:rsidRPr="00861794">
        <w:rPr>
          <w:szCs w:val="22"/>
        </w:rPr>
        <w:t>care recipients who, on or before 12 September 2024, were either receiving a Home Care Package, on the National Priority System or assessed as eligible for a package. The no worse off principle applies to financial contributions.</w:t>
      </w:r>
      <w:r w:rsidRPr="00165201">
        <w:rPr>
          <w:szCs w:val="22"/>
        </w:rPr>
        <w:t xml:space="preserve"> These participants will make the same contributions, or lower, than they </w:t>
      </w:r>
      <w:r w:rsidR="00D876DD">
        <w:rPr>
          <w:szCs w:val="22"/>
        </w:rPr>
        <w:t>were assessed as having to pay</w:t>
      </w:r>
      <w:r w:rsidR="009F4DAA">
        <w:rPr>
          <w:szCs w:val="22"/>
        </w:rPr>
        <w:t xml:space="preserve"> </w:t>
      </w:r>
      <w:r w:rsidRPr="00165201">
        <w:rPr>
          <w:szCs w:val="22"/>
        </w:rPr>
        <w:t>under Home Care Package Program arrangements, even if they are reassessed into a higher Support at Home classification at a later date.</w:t>
      </w:r>
      <w:r w:rsidR="008541E7">
        <w:rPr>
          <w:szCs w:val="22"/>
        </w:rPr>
        <w:t xml:space="preserve"> The same lifetime cap </w:t>
      </w:r>
      <w:r w:rsidR="009D41C8">
        <w:rPr>
          <w:szCs w:val="22"/>
        </w:rPr>
        <w:t>will also be hono</w:t>
      </w:r>
      <w:r w:rsidR="00A418AC">
        <w:rPr>
          <w:szCs w:val="22"/>
        </w:rPr>
        <w:t>u</w:t>
      </w:r>
      <w:r w:rsidR="009D41C8">
        <w:rPr>
          <w:szCs w:val="22"/>
        </w:rPr>
        <w:t>red for this cohort (approximately $8</w:t>
      </w:r>
      <w:r w:rsidR="009F4DAA">
        <w:rPr>
          <w:szCs w:val="22"/>
        </w:rPr>
        <w:t>5</w:t>
      </w:r>
      <w:r w:rsidR="009D41C8">
        <w:rPr>
          <w:szCs w:val="22"/>
        </w:rPr>
        <w:t>,000).</w:t>
      </w:r>
      <w:r w:rsidRPr="00165201">
        <w:rPr>
          <w:szCs w:val="22"/>
        </w:rPr>
        <w:t xml:space="preserve"> </w:t>
      </w:r>
    </w:p>
    <w:p w14:paraId="0953D7BF" w14:textId="77777777" w:rsidR="009D3EBB" w:rsidRPr="00165201" w:rsidRDefault="009D3EBB" w:rsidP="00622CFF">
      <w:pPr>
        <w:spacing w:before="240" w:after="240" w:line="240" w:lineRule="auto"/>
        <w:rPr>
          <w:szCs w:val="22"/>
        </w:rPr>
      </w:pPr>
      <w:r w:rsidRPr="00165201">
        <w:rPr>
          <w:szCs w:val="22"/>
        </w:rPr>
        <w:t xml:space="preserve">For Support at Home Participants there are defined circumstances when they may simultaneously access CHSP services. When doing so, a Support at Home participant must pay regular CHSP client contribution fees. These client contribution rates are subject to government subsidisation. The Support at Home participant will need to fund the client contribution fees themselves and cannot use their Support at Home funding allocation. This arrangement is applicable in the following circumstances: </w:t>
      </w:r>
    </w:p>
    <w:p w14:paraId="7088822A"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Pre-existing CHP social support group </w:t>
      </w:r>
    </w:p>
    <w:p w14:paraId="3FF685E9"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Hoarding and Squalor </w:t>
      </w:r>
    </w:p>
    <w:p w14:paraId="6F7C10D6" w14:textId="77777777" w:rsidR="009D3EBB" w:rsidRPr="00165201" w:rsidRDefault="009D3EBB" w:rsidP="00DF3F6B">
      <w:pPr>
        <w:pStyle w:val="ListParagraph"/>
        <w:numPr>
          <w:ilvl w:val="0"/>
          <w:numId w:val="388"/>
        </w:numPr>
        <w:spacing w:before="240" w:after="240" w:line="240" w:lineRule="auto"/>
        <w:rPr>
          <w:szCs w:val="22"/>
        </w:rPr>
      </w:pPr>
      <w:r w:rsidRPr="00165201">
        <w:rPr>
          <w:szCs w:val="22"/>
        </w:rPr>
        <w:t xml:space="preserve">Short-term respite </w:t>
      </w:r>
    </w:p>
    <w:p w14:paraId="7C447AE5" w14:textId="77777777" w:rsidR="00540009" w:rsidRDefault="009D3EBB" w:rsidP="00DF3F6B">
      <w:pPr>
        <w:pStyle w:val="ListParagraph"/>
        <w:numPr>
          <w:ilvl w:val="0"/>
          <w:numId w:val="388"/>
        </w:numPr>
        <w:spacing w:before="240" w:after="240" w:line="240" w:lineRule="auto"/>
        <w:rPr>
          <w:szCs w:val="22"/>
        </w:rPr>
      </w:pPr>
      <w:r w:rsidRPr="00165201">
        <w:rPr>
          <w:szCs w:val="22"/>
        </w:rPr>
        <w:t>Emergency access</w:t>
      </w:r>
    </w:p>
    <w:p w14:paraId="059ECFBE" w14:textId="6E99AB2A" w:rsidR="009D3EBB" w:rsidRPr="00165201" w:rsidRDefault="00540009" w:rsidP="00DF3F6B">
      <w:pPr>
        <w:pStyle w:val="ListParagraph"/>
        <w:numPr>
          <w:ilvl w:val="0"/>
          <w:numId w:val="388"/>
        </w:numPr>
        <w:spacing w:before="240" w:after="240" w:line="240" w:lineRule="auto"/>
        <w:rPr>
          <w:szCs w:val="22"/>
        </w:rPr>
      </w:pPr>
      <w:r w:rsidRPr="00290E83">
        <w:rPr>
          <w:rFonts w:eastAsia="Arial"/>
          <w:szCs w:val="22"/>
        </w:rPr>
        <w:t xml:space="preserve">Specialised support (Vision advisory services) </w:t>
      </w:r>
      <w:r w:rsidR="009D3EBB" w:rsidRPr="00165201">
        <w:rPr>
          <w:szCs w:val="22"/>
        </w:rPr>
        <w:t xml:space="preserve"> </w:t>
      </w:r>
    </w:p>
    <w:p w14:paraId="38945203" w14:textId="2D8208F0" w:rsidR="009D3EBB" w:rsidRPr="00165201" w:rsidRDefault="009D3EBB" w:rsidP="00622CFF">
      <w:pPr>
        <w:spacing w:before="240" w:after="240" w:line="240" w:lineRule="auto"/>
        <w:rPr>
          <w:szCs w:val="22"/>
        </w:rPr>
      </w:pPr>
      <w:r w:rsidRPr="00165201">
        <w:rPr>
          <w:szCs w:val="22"/>
        </w:rPr>
        <w:t xml:space="preserve">For further information about the circumstances when a Support at Home Participant can simultaneously access CHSP services, refer to </w:t>
      </w:r>
      <w:r w:rsidR="00DB3ABE">
        <w:rPr>
          <w:szCs w:val="22"/>
        </w:rPr>
        <w:t xml:space="preserve">Chapter </w:t>
      </w:r>
      <w:r w:rsidR="006D033E">
        <w:rPr>
          <w:szCs w:val="22"/>
        </w:rPr>
        <w:fldChar w:fldCharType="begin"/>
      </w:r>
      <w:r w:rsidR="006D033E">
        <w:rPr>
          <w:szCs w:val="22"/>
        </w:rPr>
        <w:instrText xml:space="preserve"> REF _Ref212734795 \r \h </w:instrText>
      </w:r>
      <w:r w:rsidR="006D033E">
        <w:rPr>
          <w:szCs w:val="22"/>
        </w:rPr>
      </w:r>
      <w:r w:rsidR="006D033E">
        <w:rPr>
          <w:szCs w:val="22"/>
        </w:rPr>
        <w:fldChar w:fldCharType="separate"/>
      </w:r>
      <w:r w:rsidR="00F97942">
        <w:rPr>
          <w:szCs w:val="22"/>
        </w:rPr>
        <w:t>6</w:t>
      </w:r>
      <w:r w:rsidR="006D033E">
        <w:rPr>
          <w:szCs w:val="22"/>
        </w:rPr>
        <w:fldChar w:fldCharType="end"/>
      </w:r>
      <w:r w:rsidRPr="00165201">
        <w:rPr>
          <w:szCs w:val="22"/>
        </w:rPr>
        <w:t xml:space="preserve">. </w:t>
      </w:r>
    </w:p>
    <w:p w14:paraId="2D1B1A74" w14:textId="77777777" w:rsidR="009D3EBB" w:rsidRPr="00165201" w:rsidRDefault="009D3EBB" w:rsidP="00622CFF">
      <w:pPr>
        <w:spacing w:before="240" w:after="240" w:line="240" w:lineRule="auto"/>
        <w:rPr>
          <w:szCs w:val="22"/>
        </w:rPr>
      </w:pPr>
      <w:r w:rsidRPr="00165201">
        <w:rPr>
          <w:szCs w:val="22"/>
        </w:rPr>
        <w:t xml:space="preserve">If required, Support at Home Participants can choose to pay for additional CHSP services out of their Support at Home budget. As the Support at Home participant is already receiving government subsidised aged care services, additional CHSP services will be charged at the full cost and not subject to further subsidisation. </w:t>
      </w:r>
    </w:p>
    <w:p w14:paraId="03D2940F" w14:textId="77777777" w:rsidR="009D3EBB" w:rsidRPr="007D0181" w:rsidRDefault="009D3EBB" w:rsidP="00CC6081">
      <w:pPr>
        <w:pStyle w:val="H4"/>
      </w:pPr>
      <w:r w:rsidRPr="007D0181">
        <w:t xml:space="preserve">Restorative Care Pathway </w:t>
      </w:r>
    </w:p>
    <w:p w14:paraId="4086B49A" w14:textId="77777777" w:rsidR="009D3EBB" w:rsidRPr="00FE75B0" w:rsidRDefault="009D3EBB" w:rsidP="00622CFF">
      <w:pPr>
        <w:spacing w:before="240" w:after="240" w:line="240" w:lineRule="auto"/>
        <w:rPr>
          <w:szCs w:val="22"/>
        </w:rPr>
      </w:pPr>
      <w:r w:rsidRPr="00FE75B0">
        <w:rPr>
          <w:szCs w:val="22"/>
        </w:rPr>
        <w:t xml:space="preserve">Participant contributions apply for services delivered in the independence and everyday living categories. Services in the clinical support category do not require participant contributions and are fully funded by the government.  </w:t>
      </w:r>
    </w:p>
    <w:p w14:paraId="0ACB57C8" w14:textId="12454A8A" w:rsidR="009D3EBB" w:rsidRPr="007D0181" w:rsidRDefault="009D3EBB" w:rsidP="00CC6081">
      <w:pPr>
        <w:pStyle w:val="H4"/>
      </w:pPr>
      <w:r w:rsidRPr="007D0181">
        <w:t>AT</w:t>
      </w:r>
      <w:r w:rsidR="00115BAC">
        <w:t>HM</w:t>
      </w:r>
      <w:r w:rsidR="00B427F7">
        <w:t xml:space="preserve"> </w:t>
      </w:r>
      <w:r w:rsidR="005807EC">
        <w:t>S</w:t>
      </w:r>
      <w:r w:rsidRPr="007D0181">
        <w:t xml:space="preserve">cheme </w:t>
      </w:r>
    </w:p>
    <w:p w14:paraId="35F35359" w14:textId="77777777" w:rsidR="009D3EBB" w:rsidRPr="00131F8E" w:rsidRDefault="009D3EBB" w:rsidP="00622CFF">
      <w:pPr>
        <w:spacing w:before="240" w:after="240" w:line="240" w:lineRule="auto"/>
        <w:rPr>
          <w:szCs w:val="22"/>
        </w:rPr>
      </w:pPr>
      <w:r w:rsidRPr="00131F8E">
        <w:rPr>
          <w:szCs w:val="22"/>
        </w:rPr>
        <w:t xml:space="preserve">Support at Home participants may be required to make contributions for AT-HM items and services. AT-HM items attract a contribution rate equivalent to the independence category. Prescriptions and wrap-around services fall under the clinical supports category, requiring no participant contribution. </w:t>
      </w:r>
    </w:p>
    <w:p w14:paraId="52D13FF1" w14:textId="77777777" w:rsidR="009D3EBB" w:rsidRPr="007D0181" w:rsidRDefault="009D3EBB" w:rsidP="00CC6081">
      <w:pPr>
        <w:pStyle w:val="H4"/>
      </w:pPr>
      <w:r w:rsidRPr="007D0181">
        <w:t xml:space="preserve">End-of-Life Pathway </w:t>
      </w:r>
    </w:p>
    <w:p w14:paraId="408EECBF" w14:textId="323070CC" w:rsidR="009D3EBB" w:rsidRPr="005F7444" w:rsidRDefault="009D3EBB" w:rsidP="00622CFF">
      <w:pPr>
        <w:spacing w:before="240" w:after="240" w:line="240" w:lineRule="auto"/>
        <w:rPr>
          <w:szCs w:val="22"/>
        </w:rPr>
      </w:pPr>
      <w:r w:rsidRPr="005F7444">
        <w:rPr>
          <w:szCs w:val="22"/>
        </w:rPr>
        <w:t xml:space="preserve">Consistent with ongoing Support at Home, participant contribution arrangements apply for independence and everyday living services accessed under the End-of-Life Pathway. For services in the clinical supports category, no participant contribution is required as these services are fully funded by the government. </w:t>
      </w:r>
    </w:p>
    <w:tbl>
      <w:tblPr>
        <w:tblStyle w:val="TableGrid"/>
        <w:tblW w:w="0" w:type="auto"/>
        <w:tblLook w:val="04A0" w:firstRow="1" w:lastRow="0" w:firstColumn="1" w:lastColumn="0" w:noHBand="0" w:noVBand="1"/>
      </w:tblPr>
      <w:tblGrid>
        <w:gridCol w:w="988"/>
        <w:gridCol w:w="8028"/>
      </w:tblGrid>
      <w:tr w:rsidR="00B97248" w14:paraId="03290C5F" w14:textId="77777777" w:rsidTr="00E42183">
        <w:tc>
          <w:tcPr>
            <w:tcW w:w="988" w:type="dxa"/>
          </w:tcPr>
          <w:p w14:paraId="3CD2D726" w14:textId="77281731" w:rsidR="00B97248" w:rsidRDefault="00B97248" w:rsidP="00622CFF">
            <w:pPr>
              <w:spacing w:before="240" w:after="240"/>
              <w:rPr>
                <w:szCs w:val="22"/>
              </w:rPr>
            </w:pPr>
            <w:r>
              <w:rPr>
                <w:noProof/>
              </w:rPr>
              <w:drawing>
                <wp:anchor distT="0" distB="0" distL="114300" distR="114300" simplePos="0" relativeHeight="251658265" behindDoc="0" locked="0" layoutInCell="1" allowOverlap="1" wp14:anchorId="088ECFB1" wp14:editId="37FE5B0D">
                  <wp:simplePos x="0" y="0"/>
                  <wp:positionH relativeFrom="margin">
                    <wp:posOffset>-11430</wp:posOffset>
                  </wp:positionH>
                  <wp:positionV relativeFrom="paragraph">
                    <wp:posOffset>6985</wp:posOffset>
                  </wp:positionV>
                  <wp:extent cx="447675" cy="445208"/>
                  <wp:effectExtent l="0" t="0" r="0" b="0"/>
                  <wp:wrapNone/>
                  <wp:docPr id="1165580520" name="Picture 116558052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2F5310AC" w14:textId="77777777" w:rsidR="00B97248" w:rsidRDefault="00B97248" w:rsidP="00980003">
            <w:pPr>
              <w:spacing w:before="240" w:after="240"/>
              <w:ind w:left="182"/>
              <w:rPr>
                <w:szCs w:val="22"/>
              </w:rPr>
            </w:pPr>
            <w:r>
              <w:rPr>
                <w:szCs w:val="22"/>
              </w:rPr>
              <w:t>Further information is available on the Department of Health, Disability and Ageing website:</w:t>
            </w:r>
          </w:p>
          <w:p w14:paraId="20B3628A" w14:textId="77777777" w:rsidR="00B97248" w:rsidRDefault="00B97248" w:rsidP="00DF3F6B">
            <w:pPr>
              <w:pStyle w:val="ListParagraph"/>
              <w:numPr>
                <w:ilvl w:val="0"/>
                <w:numId w:val="389"/>
              </w:numPr>
              <w:spacing w:before="240" w:after="240"/>
              <w:ind w:left="324" w:hanging="11"/>
              <w:rPr>
                <w:rStyle w:val="Hyperlink"/>
              </w:rPr>
            </w:pPr>
            <w:hyperlink r:id="rId329" w:history="1">
              <w:r>
                <w:rPr>
                  <w:rStyle w:val="Hyperlink"/>
                </w:rPr>
                <w:t>Support at Home Participant contributions</w:t>
              </w:r>
            </w:hyperlink>
          </w:p>
          <w:p w14:paraId="1CD8099F" w14:textId="77777777" w:rsidR="00B97248" w:rsidRPr="00AD467C" w:rsidRDefault="00B97248" w:rsidP="00DF3F6B">
            <w:pPr>
              <w:pStyle w:val="ListParagraph"/>
              <w:numPr>
                <w:ilvl w:val="0"/>
                <w:numId w:val="389"/>
              </w:numPr>
              <w:spacing w:before="240" w:after="240"/>
              <w:ind w:left="324" w:hanging="11"/>
              <w:rPr>
                <w:rStyle w:val="Hyperlink"/>
              </w:rPr>
            </w:pPr>
            <w:hyperlink r:id="rId330" w:history="1">
              <w:r w:rsidRPr="006A33A2">
                <w:rPr>
                  <w:rStyle w:val="Hyperlink"/>
                </w:rPr>
                <w:t>Support at Home Program Manual</w:t>
              </w:r>
            </w:hyperlink>
          </w:p>
          <w:p w14:paraId="26F5E929" w14:textId="77777777" w:rsidR="00B97248" w:rsidRPr="00C76561" w:rsidRDefault="00B97248" w:rsidP="00DF3F6B">
            <w:pPr>
              <w:pStyle w:val="ListParagraph"/>
              <w:numPr>
                <w:ilvl w:val="0"/>
                <w:numId w:val="389"/>
              </w:numPr>
              <w:spacing w:before="240" w:after="240"/>
              <w:ind w:left="324" w:hanging="11"/>
              <w:rPr>
                <w:rStyle w:val="Hyperlink"/>
              </w:rPr>
            </w:pPr>
            <w:hyperlink r:id="rId331" w:history="1">
              <w:r w:rsidRPr="00C76561">
                <w:rPr>
                  <w:rStyle w:val="Hyperlink"/>
                </w:rPr>
                <w:t>Schedule of Fees and Charges for Residential and Home Care</w:t>
              </w:r>
            </w:hyperlink>
          </w:p>
          <w:p w14:paraId="42FE9FEA" w14:textId="77777777" w:rsidR="00B97248" w:rsidRPr="00597FD3" w:rsidRDefault="00B97248" w:rsidP="00980003">
            <w:pPr>
              <w:spacing w:before="240" w:after="240"/>
              <w:ind w:left="324"/>
              <w:rPr>
                <w:szCs w:val="20"/>
              </w:rPr>
            </w:pPr>
            <w:r w:rsidRPr="00597FD3">
              <w:rPr>
                <w:szCs w:val="20"/>
              </w:rPr>
              <w:t>My Aged Care Website</w:t>
            </w:r>
            <w:r>
              <w:rPr>
                <w:szCs w:val="20"/>
              </w:rPr>
              <w:t>:</w:t>
            </w:r>
          </w:p>
          <w:p w14:paraId="3D499B91" w14:textId="77777777" w:rsidR="00B97248" w:rsidRPr="00AD467C" w:rsidRDefault="00B97248" w:rsidP="00DF3F6B">
            <w:pPr>
              <w:pStyle w:val="ListParagraph"/>
              <w:numPr>
                <w:ilvl w:val="0"/>
                <w:numId w:val="389"/>
              </w:numPr>
              <w:spacing w:before="240" w:after="240"/>
              <w:ind w:left="324" w:hanging="11"/>
              <w:rPr>
                <w:rStyle w:val="Hyperlink"/>
              </w:rPr>
            </w:pPr>
            <w:hyperlink r:id="rId332" w:history="1">
              <w:r w:rsidRPr="0058612F">
                <w:rPr>
                  <w:rStyle w:val="Hyperlink"/>
                </w:rPr>
                <w:t>Aged Care Resources</w:t>
              </w:r>
            </w:hyperlink>
          </w:p>
          <w:p w14:paraId="4BE1CF0F" w14:textId="77777777" w:rsidR="00B97248" w:rsidRDefault="00B97248" w:rsidP="00DF3F6B">
            <w:pPr>
              <w:pStyle w:val="ListParagraph"/>
              <w:numPr>
                <w:ilvl w:val="0"/>
                <w:numId w:val="389"/>
              </w:numPr>
              <w:spacing w:before="240" w:after="240"/>
              <w:ind w:left="324" w:hanging="11"/>
              <w:rPr>
                <w:rStyle w:val="Hyperlink"/>
              </w:rPr>
            </w:pPr>
            <w:hyperlink r:id="rId333" w:history="1">
              <w:r w:rsidRPr="00AD467C">
                <w:rPr>
                  <w:rStyle w:val="Hyperlink"/>
                </w:rPr>
                <w:t>Fact Sheet: Support at Home program - participant contributions</w:t>
              </w:r>
            </w:hyperlink>
          </w:p>
          <w:p w14:paraId="30D153EF" w14:textId="77777777" w:rsidR="00B97248" w:rsidRPr="00616EB3" w:rsidRDefault="00B97248" w:rsidP="00980003">
            <w:pPr>
              <w:spacing w:before="240" w:after="240"/>
              <w:ind w:left="324"/>
              <w:rPr>
                <w:szCs w:val="20"/>
              </w:rPr>
            </w:pPr>
            <w:r w:rsidRPr="00616EB3">
              <w:rPr>
                <w:szCs w:val="20"/>
              </w:rPr>
              <w:t>Services Australia website</w:t>
            </w:r>
            <w:r>
              <w:rPr>
                <w:szCs w:val="20"/>
              </w:rPr>
              <w:t>:</w:t>
            </w:r>
          </w:p>
          <w:p w14:paraId="698DB75C" w14:textId="77777777" w:rsidR="00B97248" w:rsidRPr="001C506E" w:rsidRDefault="00B97248" w:rsidP="00DF3F6B">
            <w:pPr>
              <w:pStyle w:val="ListParagraph"/>
              <w:numPr>
                <w:ilvl w:val="0"/>
                <w:numId w:val="389"/>
              </w:numPr>
              <w:spacing w:before="240" w:after="240"/>
              <w:ind w:left="324" w:hanging="11"/>
              <w:rPr>
                <w:rStyle w:val="Hyperlink"/>
                <w:szCs w:val="22"/>
              </w:rPr>
            </w:pPr>
            <w:hyperlink r:id="rId334" w:history="1">
              <w:r w:rsidRPr="001C506E">
                <w:rPr>
                  <w:rStyle w:val="Hyperlink"/>
                  <w:szCs w:val="22"/>
                </w:rPr>
                <w:t>Providing home care</w:t>
              </w:r>
            </w:hyperlink>
          </w:p>
          <w:p w14:paraId="7F949BC7" w14:textId="4EE768B4" w:rsidR="00B97248" w:rsidRPr="00A654D4" w:rsidRDefault="00B97248" w:rsidP="00DF3F6B">
            <w:pPr>
              <w:pStyle w:val="ListParagraph"/>
              <w:numPr>
                <w:ilvl w:val="0"/>
                <w:numId w:val="389"/>
              </w:numPr>
              <w:spacing w:before="240" w:after="240"/>
              <w:ind w:left="324" w:hanging="11"/>
              <w:rPr>
                <w:color w:val="2BB1BB"/>
                <w:szCs w:val="22"/>
                <w:u w:val="single"/>
              </w:rPr>
            </w:pPr>
            <w:hyperlink r:id="rId335" w:history="1">
              <w:r w:rsidRPr="00CB6269">
                <w:rPr>
                  <w:rStyle w:val="Hyperlink"/>
                  <w:szCs w:val="22"/>
                </w:rPr>
                <w:t>Providing residential care</w:t>
              </w:r>
            </w:hyperlink>
          </w:p>
        </w:tc>
      </w:tr>
    </w:tbl>
    <w:p w14:paraId="20F48C97" w14:textId="4365B3EA" w:rsidR="00B97248" w:rsidRPr="005F7444" w:rsidRDefault="00B97248" w:rsidP="00622CFF">
      <w:pPr>
        <w:spacing w:before="240" w:after="240" w:line="240" w:lineRule="auto"/>
        <w:rPr>
          <w:szCs w:val="22"/>
        </w:rPr>
      </w:pPr>
    </w:p>
    <w:p w14:paraId="5D534F75" w14:textId="69F820A3" w:rsidR="009D3EBB" w:rsidRPr="007D0181" w:rsidRDefault="00E82582" w:rsidP="00C56CEC">
      <w:pPr>
        <w:pStyle w:val="H3"/>
      </w:pPr>
      <w:bookmarkStart w:id="1121" w:name="_Toc159226980"/>
      <w:bookmarkStart w:id="1122" w:name="_Toc201143489"/>
      <w:r>
        <w:t>Older people</w:t>
      </w:r>
      <w:r w:rsidRPr="007D0181">
        <w:t xml:space="preserve"> </w:t>
      </w:r>
      <w:r w:rsidR="00AF2B12">
        <w:t>e</w:t>
      </w:r>
      <w:r w:rsidR="009D3EBB" w:rsidRPr="007D0181">
        <w:t xml:space="preserve">ntering </w:t>
      </w:r>
      <w:r w:rsidR="00AF2B12">
        <w:t>p</w:t>
      </w:r>
      <w:r w:rsidR="009D3EBB" w:rsidRPr="007D0181">
        <w:t xml:space="preserve">ermanent </w:t>
      </w:r>
      <w:r w:rsidR="00AF2B12">
        <w:t>r</w:t>
      </w:r>
      <w:r w:rsidR="009D3EBB" w:rsidRPr="007D0181">
        <w:t xml:space="preserve">esidential </w:t>
      </w:r>
      <w:r w:rsidR="00AF2B12">
        <w:t>c</w:t>
      </w:r>
      <w:r w:rsidR="009D3EBB" w:rsidRPr="007D0181">
        <w:t>are</w:t>
      </w:r>
      <w:bookmarkEnd w:id="1121"/>
      <w:bookmarkEnd w:id="1122"/>
    </w:p>
    <w:p w14:paraId="554CBA61" w14:textId="7A264EF3" w:rsidR="007E5550" w:rsidRDefault="00201C86" w:rsidP="003F628F">
      <w:r w:rsidRPr="00201C86">
        <w:t xml:space="preserve">How much a person pays for their residential aged care is based on their income and assets. </w:t>
      </w:r>
      <w:r w:rsidR="003F628F">
        <w:t>Services Australia or the Department of Veterans’ Affairs</w:t>
      </w:r>
      <w:r w:rsidR="00C60ECA">
        <w:t xml:space="preserve"> (DVA)</w:t>
      </w:r>
      <w:r w:rsidR="003F628F">
        <w:t xml:space="preserve"> assesses income and assets</w:t>
      </w:r>
      <w:r w:rsidR="00D011D4">
        <w:t>,</w:t>
      </w:r>
      <w:r w:rsidR="005F744E">
        <w:t xml:space="preserve"> and </w:t>
      </w:r>
      <w:r w:rsidR="0064165C">
        <w:t xml:space="preserve">this </w:t>
      </w:r>
      <w:r w:rsidR="005F744E">
        <w:t xml:space="preserve">is known as </w:t>
      </w:r>
      <w:r w:rsidR="00624944">
        <w:t>an aged care means assessment</w:t>
      </w:r>
      <w:r w:rsidR="003F628F">
        <w:t xml:space="preserve">. </w:t>
      </w:r>
      <w:r w:rsidR="00C0613B">
        <w:t>If an older person is a member of a couple, they will be assessed on half of their combined income and assets.</w:t>
      </w:r>
      <w:r w:rsidR="00970EB0">
        <w:t xml:space="preserve"> </w:t>
      </w:r>
      <w:r w:rsidR="00970EB0" w:rsidRPr="00970EB0">
        <w:t>Residents who have had their means assessed are required to report changes to their financial circumstances to Services Australia or DVA within 28 days to help keep their fees correct.</w:t>
      </w:r>
    </w:p>
    <w:p w14:paraId="42AE7E3A" w14:textId="77777777" w:rsidR="007E5550" w:rsidRDefault="007E5550" w:rsidP="007E5550">
      <w:pPr>
        <w:spacing w:before="240" w:after="240" w:line="240" w:lineRule="auto"/>
      </w:pPr>
      <w:r w:rsidRPr="009C1B7C">
        <w:t>People who can’t afford to make a higher contribution will only pay the basic daily fee. Those who can afford to will contribute more to their aged care costs.</w:t>
      </w:r>
    </w:p>
    <w:p w14:paraId="6C9376D8" w14:textId="66397E72" w:rsidR="003F628F" w:rsidRDefault="003F628F" w:rsidP="003F628F">
      <w:r>
        <w:t xml:space="preserve">If an older person chooses not to have their means assessed, they will not be eligible for assistance with </w:t>
      </w:r>
      <w:r w:rsidR="00441FF8">
        <w:t xml:space="preserve">care and </w:t>
      </w:r>
      <w:r>
        <w:t>accommodation</w:t>
      </w:r>
      <w:r w:rsidR="00867179">
        <w:t xml:space="preserve"> costs</w:t>
      </w:r>
      <w:r>
        <w:t xml:space="preserve">. </w:t>
      </w:r>
    </w:p>
    <w:p w14:paraId="35FC78E9" w14:textId="1F8C0A2E" w:rsidR="004948A1" w:rsidRDefault="00EE0B14" w:rsidP="00622CFF">
      <w:pPr>
        <w:spacing w:before="240" w:after="240" w:line="240" w:lineRule="auto"/>
      </w:pPr>
      <w:r w:rsidRPr="00EE0B14">
        <w:t xml:space="preserve">If </w:t>
      </w:r>
      <w:r>
        <w:t xml:space="preserve">a person </w:t>
      </w:r>
      <w:r w:rsidRPr="00EE0B14">
        <w:t>move</w:t>
      </w:r>
      <w:r w:rsidR="004948A1">
        <w:t>s</w:t>
      </w:r>
      <w:r w:rsidRPr="00EE0B14">
        <w:t xml:space="preserve"> into an aged care home for permanent </w:t>
      </w:r>
      <w:r w:rsidR="004948A1">
        <w:t xml:space="preserve">residential </w:t>
      </w:r>
      <w:r w:rsidRPr="00EE0B14">
        <w:t xml:space="preserve">care, </w:t>
      </w:r>
      <w:r w:rsidR="004948A1">
        <w:t>they</w:t>
      </w:r>
      <w:r w:rsidRPr="00EE0B14">
        <w:t xml:space="preserve"> will pay fees under one of 2 arrangements: </w:t>
      </w:r>
    </w:p>
    <w:p w14:paraId="325D29C6" w14:textId="70BA828C" w:rsidR="004948A1" w:rsidRDefault="00EE0B14" w:rsidP="00DF3F6B">
      <w:pPr>
        <w:pStyle w:val="ListParagraph"/>
        <w:numPr>
          <w:ilvl w:val="0"/>
          <w:numId w:val="470"/>
        </w:numPr>
        <w:spacing w:before="240" w:after="240" w:line="240" w:lineRule="auto"/>
      </w:pPr>
      <w:r w:rsidRPr="00A654D4">
        <w:rPr>
          <w:b/>
        </w:rPr>
        <w:t>1 July 2014 fee arrangements</w:t>
      </w:r>
      <w:r w:rsidR="004948A1" w:rsidRPr="00A654D4">
        <w:rPr>
          <w:b/>
        </w:rPr>
        <w:t>:</w:t>
      </w:r>
      <w:r w:rsidRPr="00EE0B14">
        <w:t xml:space="preserve"> </w:t>
      </w:r>
      <w:r w:rsidR="002B603F">
        <w:t>these apply for people who were approved for or accessing a Home Ca</w:t>
      </w:r>
      <w:r w:rsidR="00BA18D8">
        <w:t>r</w:t>
      </w:r>
      <w:r w:rsidR="002B603F">
        <w:t>e Package on 12 September 2024</w:t>
      </w:r>
      <w:r w:rsidR="00BA18D8">
        <w:t xml:space="preserve">, and who are therefore protected by the ‘no worse off principle” and will pay fees </w:t>
      </w:r>
      <w:r w:rsidR="000834B4">
        <w:t xml:space="preserve">under the 1 July 2014 arrangements. </w:t>
      </w:r>
      <w:r w:rsidR="00BA18D8">
        <w:t xml:space="preserve"> </w:t>
      </w:r>
    </w:p>
    <w:p w14:paraId="3F2AEDB9" w14:textId="004C4D0B" w:rsidR="004948A1" w:rsidRDefault="00EE0B14" w:rsidP="00DF3F6B">
      <w:pPr>
        <w:pStyle w:val="ListParagraph"/>
        <w:numPr>
          <w:ilvl w:val="0"/>
          <w:numId w:val="470"/>
        </w:numPr>
        <w:spacing w:before="240" w:after="240" w:line="240" w:lineRule="auto"/>
      </w:pPr>
      <w:r w:rsidRPr="00A654D4">
        <w:rPr>
          <w:b/>
        </w:rPr>
        <w:t>1 November 2025 fee arrangements</w:t>
      </w:r>
      <w:r w:rsidR="004948A1" w:rsidRPr="00A654D4">
        <w:rPr>
          <w:b/>
        </w:rPr>
        <w:t>:</w:t>
      </w:r>
      <w:r w:rsidR="004948A1">
        <w:t xml:space="preserve"> these apply to people who first enter residential care on or after 1 November 2025.</w:t>
      </w:r>
      <w:r w:rsidRPr="00EE0B14">
        <w:t xml:space="preserve"> </w:t>
      </w:r>
    </w:p>
    <w:p w14:paraId="6FADBB12" w14:textId="598A9EAC" w:rsidR="00F00226" w:rsidRDefault="00F00226" w:rsidP="00622CFF">
      <w:pPr>
        <w:spacing w:before="240" w:after="240" w:line="240" w:lineRule="auto"/>
        <w:rPr>
          <w:b/>
          <w:bCs/>
        </w:rPr>
      </w:pPr>
      <w:r w:rsidRPr="00A654D4">
        <w:rPr>
          <w:b/>
        </w:rPr>
        <w:t>1 July 2014 fee arrangements</w:t>
      </w:r>
    </w:p>
    <w:p w14:paraId="35FC0072" w14:textId="49CC22AD" w:rsidR="004A61F5" w:rsidRDefault="0091384E" w:rsidP="00EB1069">
      <w:r>
        <w:t xml:space="preserve">Residents </w:t>
      </w:r>
      <w:r w:rsidR="003867EC">
        <w:t xml:space="preserve">under these arrangements </w:t>
      </w:r>
      <w:r w:rsidR="00E955CD">
        <w:t xml:space="preserve">are </w:t>
      </w:r>
      <w:r w:rsidR="00DA0B47">
        <w:t>not affected by</w:t>
      </w:r>
      <w:r w:rsidR="009C3F73">
        <w:t xml:space="preserve"> the changes to</w:t>
      </w:r>
      <w:r w:rsidR="003867EC">
        <w:t xml:space="preserve"> means assessments under the </w:t>
      </w:r>
      <w:r w:rsidR="003867EC" w:rsidRPr="007855A6">
        <w:rPr>
          <w:i/>
        </w:rPr>
        <w:t>Aged Care Act 2024</w:t>
      </w:r>
      <w:r w:rsidR="004A61F5">
        <w:t xml:space="preserve">. </w:t>
      </w:r>
    </w:p>
    <w:p w14:paraId="04D5FE50" w14:textId="09DA831D" w:rsidR="00EB1069" w:rsidRDefault="00EB1069" w:rsidP="00EB1069">
      <w:r>
        <w:t xml:space="preserve">Before </w:t>
      </w:r>
      <w:r w:rsidR="00752037">
        <w:t>entering into</w:t>
      </w:r>
      <w:r>
        <w:t xml:space="preserve"> permanent residential care, </w:t>
      </w:r>
      <w:r w:rsidR="00752037">
        <w:t>an older person</w:t>
      </w:r>
      <w:r>
        <w:t xml:space="preserve"> should have </w:t>
      </w:r>
      <w:r w:rsidR="00752037">
        <w:t>their</w:t>
      </w:r>
      <w:r>
        <w:t xml:space="preserve"> means assessed to see if </w:t>
      </w:r>
      <w:r w:rsidR="00752037">
        <w:t>they</w:t>
      </w:r>
      <w:r>
        <w:t xml:space="preserve">’re eligible for Australian Government assistance with fees and accommodation costs. The fees </w:t>
      </w:r>
      <w:r w:rsidR="00752037">
        <w:t>they</w:t>
      </w:r>
      <w:r>
        <w:t xml:space="preserve"> pay will depend on the outcome of </w:t>
      </w:r>
      <w:r w:rsidR="00752037">
        <w:t>their</w:t>
      </w:r>
      <w:r>
        <w:t xml:space="preserve"> means assessment and what </w:t>
      </w:r>
      <w:r w:rsidR="00752037">
        <w:t>they</w:t>
      </w:r>
      <w:r>
        <w:t xml:space="preserve"> agree on with </w:t>
      </w:r>
      <w:r w:rsidR="00752037">
        <w:t>their</w:t>
      </w:r>
      <w:r>
        <w:t xml:space="preserve"> aged care provider.</w:t>
      </w:r>
      <w:r w:rsidR="00643FD9">
        <w:t xml:space="preserve"> </w:t>
      </w:r>
      <w:r w:rsidR="00643FD9" w:rsidRPr="00643FD9">
        <w:t xml:space="preserve">Residents can also submit an </w:t>
      </w:r>
      <w:r w:rsidR="00643FD9" w:rsidRPr="00643FD9">
        <w:rPr>
          <w:i/>
          <w:iCs/>
        </w:rPr>
        <w:t>Aged care calculation of your cost of care form</w:t>
      </w:r>
      <w:r w:rsidR="00643FD9" w:rsidRPr="00643FD9">
        <w:t xml:space="preserve"> after entering aged care.</w:t>
      </w:r>
    </w:p>
    <w:p w14:paraId="2089FA36" w14:textId="2905F44F" w:rsidR="00EB1069" w:rsidRDefault="00EB1069" w:rsidP="00EB1069">
      <w:r>
        <w:t xml:space="preserve">All fees must be clearly written in </w:t>
      </w:r>
      <w:r w:rsidR="00752037">
        <w:t>the</w:t>
      </w:r>
      <w:r>
        <w:t xml:space="preserve"> resident or service agreement, accommodation agreement and the optional higher everyday living agreement. </w:t>
      </w:r>
    </w:p>
    <w:p w14:paraId="6850B777" w14:textId="4A3E5958" w:rsidR="00EB1069" w:rsidRDefault="001249C6" w:rsidP="00EB1069">
      <w:r>
        <w:t>An older person</w:t>
      </w:r>
      <w:r w:rsidR="00EB1069">
        <w:t xml:space="preserve"> may need to pay some or all of these fees:</w:t>
      </w:r>
    </w:p>
    <w:p w14:paraId="7B9B45DD" w14:textId="77777777" w:rsidR="00EB1069" w:rsidRDefault="00EB1069" w:rsidP="00DF3F6B">
      <w:pPr>
        <w:pStyle w:val="ListParagraph"/>
        <w:numPr>
          <w:ilvl w:val="0"/>
          <w:numId w:val="473"/>
        </w:numPr>
        <w:spacing w:before="120" w:after="120" w:line="276" w:lineRule="auto"/>
      </w:pPr>
      <w:r>
        <w:t>b</w:t>
      </w:r>
      <w:r w:rsidRPr="002C4076">
        <w:t>asic daily fee</w:t>
      </w:r>
    </w:p>
    <w:p w14:paraId="0ED4363C" w14:textId="77777777" w:rsidR="00EB1069" w:rsidRDefault="00EB1069" w:rsidP="00DF3F6B">
      <w:pPr>
        <w:pStyle w:val="ListParagraph"/>
        <w:numPr>
          <w:ilvl w:val="0"/>
          <w:numId w:val="473"/>
        </w:numPr>
        <w:spacing w:before="120" w:after="120" w:line="276" w:lineRule="auto"/>
      </w:pPr>
      <w:r>
        <w:t>m</w:t>
      </w:r>
      <w:r w:rsidRPr="002C4076">
        <w:t>eans tested care fee</w:t>
      </w:r>
    </w:p>
    <w:p w14:paraId="7E315484" w14:textId="77777777" w:rsidR="00EB1069" w:rsidRDefault="00EB1069" w:rsidP="00DF3F6B">
      <w:pPr>
        <w:pStyle w:val="ListParagraph"/>
        <w:numPr>
          <w:ilvl w:val="0"/>
          <w:numId w:val="473"/>
        </w:numPr>
        <w:spacing w:before="120" w:after="120" w:line="276" w:lineRule="auto"/>
      </w:pPr>
      <w:r>
        <w:t>a</w:t>
      </w:r>
      <w:r w:rsidRPr="002C4076">
        <w:t>ccommodation costs</w:t>
      </w:r>
    </w:p>
    <w:p w14:paraId="500BA6FE" w14:textId="3539790C" w:rsidR="00202994" w:rsidRPr="00202994" w:rsidRDefault="00EB1069" w:rsidP="00291A44">
      <w:pPr>
        <w:pStyle w:val="ListParagraph"/>
        <w:numPr>
          <w:ilvl w:val="0"/>
          <w:numId w:val="473"/>
        </w:numPr>
        <w:spacing w:before="120" w:after="120" w:line="276" w:lineRule="auto"/>
      </w:pPr>
      <w:r>
        <w:t>fees for optional services.</w:t>
      </w:r>
    </w:p>
    <w:tbl>
      <w:tblPr>
        <w:tblStyle w:val="TableGrid"/>
        <w:tblW w:w="0" w:type="auto"/>
        <w:tblLook w:val="04A0" w:firstRow="1" w:lastRow="0" w:firstColumn="1" w:lastColumn="0" w:noHBand="0" w:noVBand="1"/>
      </w:tblPr>
      <w:tblGrid>
        <w:gridCol w:w="988"/>
        <w:gridCol w:w="8028"/>
      </w:tblGrid>
      <w:tr w:rsidR="006001CE" w14:paraId="5BC366AE" w14:textId="77777777">
        <w:tc>
          <w:tcPr>
            <w:tcW w:w="988" w:type="dxa"/>
          </w:tcPr>
          <w:p w14:paraId="2C4BCAF1" w14:textId="77777777" w:rsidR="006001CE" w:rsidRDefault="006001CE">
            <w:pPr>
              <w:spacing w:before="240" w:after="240"/>
              <w:rPr>
                <w:szCs w:val="22"/>
              </w:rPr>
            </w:pPr>
            <w:r>
              <w:rPr>
                <w:noProof/>
              </w:rPr>
              <w:drawing>
                <wp:anchor distT="0" distB="0" distL="114300" distR="114300" simplePos="0" relativeHeight="251658276" behindDoc="0" locked="0" layoutInCell="1" allowOverlap="1" wp14:anchorId="7247132D" wp14:editId="2BB789C1">
                  <wp:simplePos x="0" y="0"/>
                  <wp:positionH relativeFrom="margin">
                    <wp:posOffset>-11430</wp:posOffset>
                  </wp:positionH>
                  <wp:positionV relativeFrom="paragraph">
                    <wp:posOffset>6985</wp:posOffset>
                  </wp:positionV>
                  <wp:extent cx="447675" cy="445208"/>
                  <wp:effectExtent l="0" t="0" r="0" b="0"/>
                  <wp:wrapNone/>
                  <wp:docPr id="1163329633" name="Picture 116332963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31196FAD" w14:textId="1EEA30A1" w:rsidR="006001CE" w:rsidRPr="00E30D84" w:rsidRDefault="006001CE" w:rsidP="0083127A">
            <w:pPr>
              <w:pStyle w:val="ListParagraph"/>
              <w:spacing w:before="240" w:after="240"/>
              <w:ind w:left="324"/>
              <w:rPr>
                <w:color w:val="2BB1BB"/>
                <w:szCs w:val="22"/>
                <w:u w:val="single"/>
              </w:rPr>
            </w:pPr>
            <w:hyperlink r:id="rId336" w:history="1">
              <w:r w:rsidRPr="00F22534">
                <w:rPr>
                  <w:rStyle w:val="Hyperlink"/>
                  <w:szCs w:val="22"/>
                </w:rPr>
                <w:t>Understanding fees for aged care homes – 1 July 2014 fee arrangements | Australian Government Department of Health, Disability and Ageing</w:t>
              </w:r>
            </w:hyperlink>
          </w:p>
          <w:p w14:paraId="199FE9A6" w14:textId="77777777" w:rsidR="006001CE" w:rsidRDefault="006001CE">
            <w:pPr>
              <w:pStyle w:val="ListParagraph"/>
              <w:spacing w:before="240" w:after="240"/>
              <w:ind w:left="324"/>
              <w:rPr>
                <w:color w:val="2BB1BB"/>
                <w:szCs w:val="22"/>
                <w:u w:val="single"/>
              </w:rPr>
            </w:pPr>
          </w:p>
          <w:p w14:paraId="37DE071B" w14:textId="4EDDC838" w:rsidR="00EC6C48" w:rsidRPr="0009376B" w:rsidRDefault="00EC6C48">
            <w:pPr>
              <w:pStyle w:val="ListParagraph"/>
              <w:spacing w:before="240" w:after="240"/>
              <w:ind w:left="324"/>
              <w:rPr>
                <w:color w:val="2BB1BB"/>
                <w:szCs w:val="22"/>
                <w:u w:val="single"/>
              </w:rPr>
            </w:pPr>
            <w:hyperlink r:id="rId337" w:history="1">
              <w:r w:rsidRPr="00EC6C48">
                <w:rPr>
                  <w:rStyle w:val="Hyperlink"/>
                  <w:szCs w:val="22"/>
                </w:rPr>
                <w:t>Means assessment for residential aged care | Australian Government Department of Health, Disability and Ageing</w:t>
              </w:r>
            </w:hyperlink>
          </w:p>
        </w:tc>
      </w:tr>
    </w:tbl>
    <w:p w14:paraId="79C7E85B" w14:textId="03DA635F" w:rsidR="00EE0B14" w:rsidRPr="00E30D84" w:rsidRDefault="00533FEE" w:rsidP="00622CFF">
      <w:pPr>
        <w:spacing w:before="240" w:after="240" w:line="240" w:lineRule="auto"/>
        <w:rPr>
          <w:b/>
        </w:rPr>
      </w:pPr>
      <w:r w:rsidRPr="00E30D84">
        <w:rPr>
          <w:b/>
        </w:rPr>
        <w:t>1 November 2025 fee arrangements</w:t>
      </w:r>
    </w:p>
    <w:p w14:paraId="607A82B9" w14:textId="660B71C4" w:rsidR="00F00912" w:rsidRDefault="005A2BE0" w:rsidP="00F00912">
      <w:pPr>
        <w:rPr>
          <w:lang w:val="en-AU"/>
        </w:rPr>
      </w:pPr>
      <w:r>
        <w:rPr>
          <w:lang w:val="en-AU"/>
        </w:rPr>
        <w:t xml:space="preserve">Residents who </w:t>
      </w:r>
      <w:r w:rsidR="00E955CD">
        <w:rPr>
          <w:lang w:val="en-AU"/>
        </w:rPr>
        <w:t xml:space="preserve">have </w:t>
      </w:r>
      <w:r>
        <w:rPr>
          <w:lang w:val="en-AU"/>
        </w:rPr>
        <w:t>enter</w:t>
      </w:r>
      <w:r w:rsidR="00E955CD">
        <w:rPr>
          <w:lang w:val="en-AU"/>
        </w:rPr>
        <w:t>ed</w:t>
      </w:r>
      <w:r>
        <w:rPr>
          <w:lang w:val="en-AU"/>
        </w:rPr>
        <w:t xml:space="preserve"> care after 1 November 2025 </w:t>
      </w:r>
      <w:r w:rsidR="00B256B6">
        <w:rPr>
          <w:lang w:val="en-AU"/>
        </w:rPr>
        <w:t>are</w:t>
      </w:r>
      <w:r>
        <w:rPr>
          <w:lang w:val="en-AU"/>
        </w:rPr>
        <w:t xml:space="preserve"> affected by </w:t>
      </w:r>
      <w:r w:rsidR="009C3F73">
        <w:rPr>
          <w:lang w:val="en-AU"/>
        </w:rPr>
        <w:t xml:space="preserve">means </w:t>
      </w:r>
      <w:r w:rsidR="001A6FB4">
        <w:rPr>
          <w:lang w:val="en-AU"/>
        </w:rPr>
        <w:t>assessment</w:t>
      </w:r>
      <w:r w:rsidR="009C3F73">
        <w:rPr>
          <w:lang w:val="en-AU"/>
        </w:rPr>
        <w:t xml:space="preserve"> </w:t>
      </w:r>
      <w:r>
        <w:rPr>
          <w:lang w:val="en-AU"/>
        </w:rPr>
        <w:t xml:space="preserve">changes under the Aged Care Act 2024. </w:t>
      </w:r>
      <w:r w:rsidR="00F00912">
        <w:rPr>
          <w:lang w:val="en-AU"/>
        </w:rPr>
        <w:t xml:space="preserve">These include: </w:t>
      </w:r>
    </w:p>
    <w:p w14:paraId="0D13CC6A" w14:textId="77777777" w:rsidR="005C7195" w:rsidRPr="00F00912" w:rsidRDefault="005C7195" w:rsidP="00DF3F6B">
      <w:pPr>
        <w:pStyle w:val="ListParagraph"/>
        <w:numPr>
          <w:ilvl w:val="0"/>
          <w:numId w:val="475"/>
        </w:numPr>
        <w:rPr>
          <w:lang w:val="en-AU"/>
        </w:rPr>
      </w:pPr>
      <w:r w:rsidRPr="00F00912">
        <w:rPr>
          <w:lang w:val="en-AU"/>
        </w:rPr>
        <w:t>new income and asset limits will determine the new </w:t>
      </w:r>
      <w:hyperlink r:id="rId338" w:tooltip="Means tested fees for residential aged care" w:history="1">
        <w:r w:rsidRPr="00F00912">
          <w:rPr>
            <w:rStyle w:val="Hyperlink"/>
            <w:lang w:val="en-AU"/>
          </w:rPr>
          <w:t>means tested fees</w:t>
        </w:r>
      </w:hyperlink>
    </w:p>
    <w:p w14:paraId="4B95A40C" w14:textId="77777777" w:rsidR="005C7195" w:rsidRPr="005C7195" w:rsidRDefault="005C7195" w:rsidP="00DF3F6B">
      <w:pPr>
        <w:numPr>
          <w:ilvl w:val="0"/>
          <w:numId w:val="474"/>
        </w:numPr>
        <w:rPr>
          <w:lang w:val="en-AU"/>
        </w:rPr>
      </w:pPr>
      <w:r w:rsidRPr="005C7195">
        <w:rPr>
          <w:lang w:val="en-AU"/>
        </w:rPr>
        <w:t>the hotelling supplement will be means tested rather than paid in full by the government, and some residents will contribute to it with a hotelling contribution</w:t>
      </w:r>
    </w:p>
    <w:p w14:paraId="00AD6D86" w14:textId="35BA8BB2" w:rsidR="005C7195" w:rsidRPr="00E30D84" w:rsidRDefault="005C7195" w:rsidP="00DF3F6B">
      <w:pPr>
        <w:numPr>
          <w:ilvl w:val="0"/>
          <w:numId w:val="474"/>
        </w:numPr>
        <w:rPr>
          <w:lang w:val="en-AU"/>
        </w:rPr>
      </w:pPr>
      <w:r w:rsidRPr="005C7195">
        <w:rPr>
          <w:lang w:val="en-AU"/>
        </w:rPr>
        <w:t>some residents will pay a new means tested non-clinical care contribution with daily and lifetime caps.</w:t>
      </w:r>
    </w:p>
    <w:p w14:paraId="7147718B" w14:textId="105BAED5" w:rsidR="00134B99" w:rsidRDefault="00134B99" w:rsidP="00134B99">
      <w:r>
        <w:t>Before entering permanent residential care, an older person should have their means assessed to see if they’re eligible for Australian Government assistance with fees and accommodation costs. The fees they pay will depend on the outcome of their means assessment and what they agree on with their aged care provider.</w:t>
      </w:r>
      <w:r w:rsidR="00E15C9B">
        <w:t xml:space="preserve"> Residents can </w:t>
      </w:r>
      <w:r w:rsidR="00C60ECA">
        <w:t xml:space="preserve">also submit an </w:t>
      </w:r>
      <w:r w:rsidR="00C60ECA" w:rsidRPr="00E30D84">
        <w:rPr>
          <w:i/>
        </w:rPr>
        <w:t>Aged care calculation of your cost of care form</w:t>
      </w:r>
      <w:r w:rsidR="00C60ECA">
        <w:t xml:space="preserve"> after</w:t>
      </w:r>
      <w:r w:rsidR="004C2C08">
        <w:t xml:space="preserve"> entering aged care. </w:t>
      </w:r>
    </w:p>
    <w:p w14:paraId="5CDBE2E5" w14:textId="353B685A" w:rsidR="00134B99" w:rsidRDefault="00134B99" w:rsidP="00134B99">
      <w:r>
        <w:t xml:space="preserve">All fees must be clearly written in </w:t>
      </w:r>
      <w:r w:rsidR="00A2261A">
        <w:t>the</w:t>
      </w:r>
      <w:r>
        <w:t xml:space="preserve"> service agreement</w:t>
      </w:r>
      <w:r w:rsidR="00A2261A">
        <w:t xml:space="preserve"> with the provider</w:t>
      </w:r>
      <w:r>
        <w:t xml:space="preserve">, accommodation agreement and the optional higher everyday living agreement. </w:t>
      </w:r>
      <w:r w:rsidR="002B78FC">
        <w:t>These fees may change over t</w:t>
      </w:r>
      <w:r w:rsidR="007A53C5">
        <w:t xml:space="preserve">ime during the time of an older person’s care. </w:t>
      </w:r>
    </w:p>
    <w:p w14:paraId="7A9C5FB4" w14:textId="449DA1A3" w:rsidR="00134B99" w:rsidRDefault="00A2261A" w:rsidP="00134B99">
      <w:r>
        <w:t>Older people</w:t>
      </w:r>
      <w:r w:rsidR="00134B99">
        <w:t xml:space="preserve"> may need to pay some or all of these fees:</w:t>
      </w:r>
    </w:p>
    <w:p w14:paraId="5C106789" w14:textId="77777777" w:rsidR="00134B99" w:rsidRDefault="00134B99" w:rsidP="00DF3F6B">
      <w:pPr>
        <w:pStyle w:val="ListParagraph"/>
        <w:numPr>
          <w:ilvl w:val="0"/>
          <w:numId w:val="473"/>
        </w:numPr>
        <w:spacing w:before="120" w:after="120" w:line="276" w:lineRule="auto"/>
      </w:pPr>
      <w:r>
        <w:t>b</w:t>
      </w:r>
      <w:r w:rsidRPr="002C4076">
        <w:t>asic daily fee</w:t>
      </w:r>
    </w:p>
    <w:p w14:paraId="7C60E961" w14:textId="77777777" w:rsidR="00134B99" w:rsidRDefault="00134B99" w:rsidP="00DF3F6B">
      <w:pPr>
        <w:pStyle w:val="ListParagraph"/>
        <w:numPr>
          <w:ilvl w:val="0"/>
          <w:numId w:val="473"/>
        </w:numPr>
        <w:spacing w:before="120" w:after="120" w:line="276" w:lineRule="auto"/>
      </w:pPr>
      <w:r>
        <w:t>h</w:t>
      </w:r>
      <w:r w:rsidRPr="00C5730A">
        <w:t>otelling contribution</w:t>
      </w:r>
    </w:p>
    <w:p w14:paraId="2CE61CAF" w14:textId="77777777" w:rsidR="00134B99" w:rsidRDefault="00134B99" w:rsidP="00DF3F6B">
      <w:pPr>
        <w:pStyle w:val="ListParagraph"/>
        <w:numPr>
          <w:ilvl w:val="0"/>
          <w:numId w:val="473"/>
        </w:numPr>
        <w:spacing w:before="120" w:after="120" w:line="276" w:lineRule="auto"/>
      </w:pPr>
      <w:r>
        <w:t>n</w:t>
      </w:r>
      <w:r w:rsidRPr="00C5730A">
        <w:t>on-clinical care contribution</w:t>
      </w:r>
    </w:p>
    <w:p w14:paraId="12E73587" w14:textId="77777777" w:rsidR="00134B99" w:rsidRDefault="00134B99" w:rsidP="00DF3F6B">
      <w:pPr>
        <w:pStyle w:val="ListParagraph"/>
        <w:numPr>
          <w:ilvl w:val="0"/>
          <w:numId w:val="473"/>
        </w:numPr>
        <w:spacing w:before="120" w:after="120" w:line="276" w:lineRule="auto"/>
      </w:pPr>
      <w:r>
        <w:t>a</w:t>
      </w:r>
      <w:r w:rsidRPr="002C4076">
        <w:t>ccommodation costs</w:t>
      </w:r>
    </w:p>
    <w:p w14:paraId="4AFD2840" w14:textId="77777777" w:rsidR="00134B99" w:rsidRDefault="00134B99" w:rsidP="00DF3F6B">
      <w:pPr>
        <w:pStyle w:val="ListParagraph"/>
        <w:numPr>
          <w:ilvl w:val="0"/>
          <w:numId w:val="473"/>
        </w:numPr>
        <w:spacing w:before="120" w:after="120" w:line="276" w:lineRule="auto"/>
      </w:pPr>
      <w:r>
        <w:t>h</w:t>
      </w:r>
      <w:r w:rsidRPr="002C4076">
        <w:t>igher everyday living fee</w:t>
      </w:r>
      <w:r>
        <w:t>.</w:t>
      </w:r>
    </w:p>
    <w:tbl>
      <w:tblPr>
        <w:tblStyle w:val="TableGrid"/>
        <w:tblW w:w="0" w:type="auto"/>
        <w:tblLook w:val="04A0" w:firstRow="1" w:lastRow="0" w:firstColumn="1" w:lastColumn="0" w:noHBand="0" w:noVBand="1"/>
      </w:tblPr>
      <w:tblGrid>
        <w:gridCol w:w="988"/>
        <w:gridCol w:w="8028"/>
      </w:tblGrid>
      <w:tr w:rsidR="00F00226" w14:paraId="51503ABA" w14:textId="77777777">
        <w:tc>
          <w:tcPr>
            <w:tcW w:w="988" w:type="dxa"/>
          </w:tcPr>
          <w:p w14:paraId="516CD7DC" w14:textId="77777777" w:rsidR="00F00226" w:rsidRDefault="003952E0">
            <w:pPr>
              <w:spacing w:before="240" w:after="240"/>
              <w:rPr>
                <w:szCs w:val="22"/>
              </w:rPr>
            </w:pPr>
            <w:r>
              <w:rPr>
                <w:noProof/>
              </w:rPr>
              <w:drawing>
                <wp:anchor distT="0" distB="0" distL="114300" distR="114300" simplePos="0" relativeHeight="251658278" behindDoc="0" locked="0" layoutInCell="1" allowOverlap="1" wp14:anchorId="0DE9CE56" wp14:editId="7556D9C1">
                  <wp:simplePos x="0" y="0"/>
                  <wp:positionH relativeFrom="margin">
                    <wp:posOffset>36195</wp:posOffset>
                  </wp:positionH>
                  <wp:positionV relativeFrom="paragraph">
                    <wp:posOffset>140335</wp:posOffset>
                  </wp:positionV>
                  <wp:extent cx="447675" cy="445208"/>
                  <wp:effectExtent l="0" t="0" r="0" b="0"/>
                  <wp:wrapNone/>
                  <wp:docPr id="479115196" name="Picture 47911519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 and white logo&#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6E461F21" w14:textId="77777777" w:rsidR="00F00226" w:rsidRDefault="00F00226">
            <w:pPr>
              <w:pStyle w:val="ListParagraph"/>
              <w:spacing w:before="240" w:after="240"/>
              <w:ind w:left="324"/>
              <w:rPr>
                <w:color w:val="2BB1BB"/>
                <w:szCs w:val="22"/>
                <w:u w:val="single"/>
              </w:rPr>
            </w:pPr>
            <w:hyperlink r:id="rId339" w:history="1">
              <w:r w:rsidRPr="00F22534">
                <w:rPr>
                  <w:rStyle w:val="Hyperlink"/>
                  <w:szCs w:val="22"/>
                </w:rPr>
                <w:t>Understanding fees for aged care homes – 1 November 2025 fee arrangements | Australian Government Department of Health, Disability and Ageing</w:t>
              </w:r>
            </w:hyperlink>
          </w:p>
          <w:p w14:paraId="56219859" w14:textId="77777777" w:rsidR="00EC6C48" w:rsidRDefault="00EC6C48">
            <w:pPr>
              <w:pStyle w:val="ListParagraph"/>
              <w:spacing w:before="240" w:after="240"/>
              <w:ind w:left="324"/>
              <w:rPr>
                <w:color w:val="2BB1BB"/>
                <w:szCs w:val="22"/>
                <w:u w:val="single"/>
              </w:rPr>
            </w:pPr>
          </w:p>
          <w:p w14:paraId="2DE1FA68" w14:textId="3AA37A96" w:rsidR="00EC6C48" w:rsidRPr="0009376B" w:rsidRDefault="00EC6C48">
            <w:pPr>
              <w:pStyle w:val="ListParagraph"/>
              <w:spacing w:before="240" w:after="240"/>
              <w:ind w:left="324"/>
              <w:rPr>
                <w:color w:val="2BB1BB"/>
                <w:szCs w:val="22"/>
                <w:u w:val="single"/>
              </w:rPr>
            </w:pPr>
            <w:hyperlink r:id="rId340" w:history="1">
              <w:r w:rsidRPr="00EC6C48">
                <w:rPr>
                  <w:rStyle w:val="Hyperlink"/>
                  <w:szCs w:val="22"/>
                </w:rPr>
                <w:t>Means assessment for residential aged care | Australian Government Department of Health, Disability and Ageing</w:t>
              </w:r>
            </w:hyperlink>
          </w:p>
        </w:tc>
      </w:tr>
    </w:tbl>
    <w:p w14:paraId="0EF739F3" w14:textId="73D5E6BD" w:rsidR="009D3EBB" w:rsidRPr="007D0181" w:rsidRDefault="009D3EBB" w:rsidP="00C56CEC">
      <w:pPr>
        <w:pStyle w:val="H3"/>
      </w:pPr>
      <w:bookmarkStart w:id="1123" w:name="_Ref133403760"/>
      <w:bookmarkStart w:id="1124" w:name="_Toc159226982"/>
      <w:bookmarkStart w:id="1125" w:name="_Toc201143491"/>
      <w:r w:rsidRPr="007D0181">
        <w:t xml:space="preserve">Financial </w:t>
      </w:r>
      <w:r w:rsidR="003B6CAA">
        <w:t>h</w:t>
      </w:r>
      <w:r w:rsidRPr="007D0181">
        <w:t>ardship</w:t>
      </w:r>
      <w:bookmarkEnd w:id="1123"/>
      <w:bookmarkEnd w:id="1124"/>
      <w:bookmarkEnd w:id="1125"/>
    </w:p>
    <w:p w14:paraId="703FB950" w14:textId="6B60E908" w:rsidR="007F3A46" w:rsidRDefault="00B256B6" w:rsidP="00E30D84">
      <w:r>
        <w:t>F</w:t>
      </w:r>
      <w:r w:rsidR="007F3A46" w:rsidRPr="000F21A5">
        <w:t>inancial hardship arrangements</w:t>
      </w:r>
      <w:r w:rsidR="007F3A46" w:rsidRPr="000F21A5" w:rsidDel="00B256B6">
        <w:t xml:space="preserve"> </w:t>
      </w:r>
      <w:r w:rsidR="007F3A46" w:rsidRPr="000F21A5">
        <w:t xml:space="preserve">available if </w:t>
      </w:r>
      <w:r w:rsidR="007F3A46">
        <w:t>an older person</w:t>
      </w:r>
      <w:r w:rsidR="007F3A46" w:rsidRPr="000F21A5">
        <w:t xml:space="preserve"> can’t afford to contribute to the cost of </w:t>
      </w:r>
      <w:r w:rsidR="007F3A46">
        <w:t>their</w:t>
      </w:r>
      <w:r w:rsidR="007F3A46" w:rsidRPr="000F21A5">
        <w:t xml:space="preserve"> aged care</w:t>
      </w:r>
      <w:r w:rsidR="007F3A46">
        <w:t>, both in residential care and in-home care</w:t>
      </w:r>
      <w:r w:rsidR="007F3A46" w:rsidRPr="000F21A5">
        <w:t>.</w:t>
      </w:r>
      <w:r w:rsidR="007F3A46">
        <w:t xml:space="preserve"> An older person w</w:t>
      </w:r>
      <w:r w:rsidR="007F3A46" w:rsidRPr="00DF4842">
        <w:t xml:space="preserve">ill be assessed on </w:t>
      </w:r>
      <w:r w:rsidR="007F3A46">
        <w:t>their</w:t>
      </w:r>
      <w:r w:rsidR="007F3A46" w:rsidRPr="00DF4842">
        <w:t xml:space="preserve"> specific circumstances. If approved for hardship assistance, the Australian Government will pay some (or all) of </w:t>
      </w:r>
      <w:r w:rsidR="007F3A46">
        <w:t>their</w:t>
      </w:r>
      <w:r w:rsidR="007F3A46" w:rsidRPr="00DF4842">
        <w:t xml:space="preserve"> aged care fees. The government will pay any approved amounts to </w:t>
      </w:r>
      <w:r w:rsidR="007F3A46">
        <w:t>the</w:t>
      </w:r>
      <w:r w:rsidR="007F3A46" w:rsidRPr="00DF4842">
        <w:t xml:space="preserve"> aged care provider on </w:t>
      </w:r>
      <w:r w:rsidR="007F3A46">
        <w:t>the older person’s</w:t>
      </w:r>
      <w:r w:rsidR="007F3A46" w:rsidRPr="00DF4842">
        <w:t xml:space="preserve"> behalf. If </w:t>
      </w:r>
      <w:r w:rsidR="007F3A46">
        <w:t xml:space="preserve">an older person is </w:t>
      </w:r>
      <w:r w:rsidR="007F3A46" w:rsidRPr="00DF4842">
        <w:t xml:space="preserve">required to pay some of </w:t>
      </w:r>
      <w:r w:rsidR="007F3A46">
        <w:t>their</w:t>
      </w:r>
      <w:r w:rsidR="007F3A46" w:rsidRPr="00DF4842">
        <w:t xml:space="preserve"> fees, </w:t>
      </w:r>
      <w:r w:rsidR="007F3A46">
        <w:t>they</w:t>
      </w:r>
      <w:r w:rsidR="007F3A46" w:rsidRPr="00DF4842">
        <w:t xml:space="preserve"> will continue to pay those to </w:t>
      </w:r>
      <w:r w:rsidR="007F3A46">
        <w:t>their</w:t>
      </w:r>
      <w:r w:rsidR="007F3A46" w:rsidRPr="00DF4842">
        <w:t xml:space="preserve"> provider.</w:t>
      </w:r>
    </w:p>
    <w:p w14:paraId="57B525E7" w14:textId="77777777" w:rsidR="007F3A46" w:rsidRPr="003E1933" w:rsidRDefault="007F3A46" w:rsidP="00E30D84">
      <w:r>
        <w:t xml:space="preserve">To apply for financial hardship assistance, an older person must meet certain requirements and complete the Aged Care Claim for Financial Hardship Assistance form. This form is sent to Services Australia to assess the application and they will let the older person know in writing of their decision and what assistance they are eligible for.  This form should be submitted by an older person once they start accessing aged care services.  </w:t>
      </w:r>
    </w:p>
    <w:p w14:paraId="5B7BE1DD" w14:textId="77777777" w:rsidR="007F3A46" w:rsidRDefault="007F3A46" w:rsidP="00E30D84">
      <w:pPr>
        <w:rPr>
          <w:szCs w:val="22"/>
        </w:rPr>
      </w:pPr>
      <w:hyperlink r:id="rId341" w:history="1">
        <w:r w:rsidRPr="00A21DD5">
          <w:rPr>
            <w:rStyle w:val="Hyperlink"/>
            <w:szCs w:val="22"/>
          </w:rPr>
          <w:t>Hardship assistance for aged care – Fact sheet</w:t>
        </w:r>
      </w:hyperlink>
      <w:r w:rsidRPr="0028657F">
        <w:rPr>
          <w:noProof/>
        </w:rPr>
        <w:drawing>
          <wp:anchor distT="0" distB="0" distL="114300" distR="114300" simplePos="0" relativeHeight="251658277" behindDoc="0" locked="0" layoutInCell="1" allowOverlap="1" wp14:anchorId="7295FD21" wp14:editId="7F1CDD36">
            <wp:simplePos x="0" y="0"/>
            <wp:positionH relativeFrom="column">
              <wp:posOffset>-635</wp:posOffset>
            </wp:positionH>
            <wp:positionV relativeFrom="paragraph">
              <wp:posOffset>40640</wp:posOffset>
            </wp:positionV>
            <wp:extent cx="356235" cy="354330"/>
            <wp:effectExtent l="0" t="0" r="5715" b="7620"/>
            <wp:wrapSquare wrapText="bothSides"/>
            <wp:docPr id="706489175" name="Picture 70648917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3E1933">
        <w:rPr>
          <w:szCs w:val="22"/>
        </w:rPr>
        <w:t xml:space="preserve"> </w:t>
      </w:r>
    </w:p>
    <w:p w14:paraId="3A94B80C" w14:textId="77777777" w:rsidR="007F3A46" w:rsidRPr="003E1933" w:rsidRDefault="007F3A46" w:rsidP="00E30D84">
      <w:pPr>
        <w:rPr>
          <w:szCs w:val="22"/>
        </w:rPr>
      </w:pPr>
      <w:hyperlink r:id="rId342" w:anchor="how-apply-assistance" w:history="1">
        <w:r w:rsidRPr="009B6986">
          <w:rPr>
            <w:rStyle w:val="Hyperlink"/>
            <w:szCs w:val="22"/>
          </w:rPr>
          <w:t>Financial hardship assistance | My Aged Care</w:t>
        </w:r>
      </w:hyperlink>
    </w:p>
    <w:p w14:paraId="3A6135DE" w14:textId="7C7ED802" w:rsidR="009D3EBB" w:rsidRPr="007D0181" w:rsidRDefault="009D3EBB" w:rsidP="00C56CEC">
      <w:pPr>
        <w:pStyle w:val="H3"/>
      </w:pPr>
      <w:bookmarkStart w:id="1126" w:name="_Toc159226983"/>
      <w:bookmarkStart w:id="1127" w:name="_Toc201143492"/>
      <w:r w:rsidRPr="007D0181">
        <w:t xml:space="preserve">Fees </w:t>
      </w:r>
      <w:r w:rsidR="00FE1C40">
        <w:t>payable by older people receiving transition care</w:t>
      </w:r>
      <w:r w:rsidR="00160DAE">
        <w:t xml:space="preserve"> </w:t>
      </w:r>
      <w:r w:rsidRPr="007D0181">
        <w:t xml:space="preserve"> </w:t>
      </w:r>
      <w:bookmarkEnd w:id="1126"/>
      <w:bookmarkEnd w:id="1127"/>
    </w:p>
    <w:p w14:paraId="1017B488" w14:textId="77777777" w:rsidR="00E52815" w:rsidRDefault="00200B1F" w:rsidP="00622CFF">
      <w:pPr>
        <w:spacing w:before="240" w:after="240" w:line="240" w:lineRule="auto"/>
        <w:rPr>
          <w:szCs w:val="22"/>
        </w:rPr>
      </w:pPr>
      <w:r w:rsidRPr="00200B1F">
        <w:rPr>
          <w:szCs w:val="22"/>
        </w:rPr>
        <w:t xml:space="preserve">Registered providers may ask individuals to pay a care fee as a contribution to the cost of their care. Any fees must be fully explained to the individual and the amount charged forms part of the service agreement between the individual and registered provider. </w:t>
      </w:r>
    </w:p>
    <w:p w14:paraId="3DE0A052" w14:textId="72614A62" w:rsidR="00E52815" w:rsidRDefault="00200B1F" w:rsidP="00622CFF">
      <w:pPr>
        <w:spacing w:before="240" w:after="240" w:line="240" w:lineRule="auto"/>
        <w:rPr>
          <w:szCs w:val="22"/>
        </w:rPr>
      </w:pPr>
      <w:r w:rsidRPr="00200B1F">
        <w:rPr>
          <w:szCs w:val="22"/>
        </w:rPr>
        <w:t xml:space="preserve">The maximum amount that can be charged as per section 286-10 of the </w:t>
      </w:r>
      <w:r w:rsidR="00160DAE" w:rsidRPr="00E30D84">
        <w:rPr>
          <w:i/>
          <w:szCs w:val="22"/>
        </w:rPr>
        <w:t xml:space="preserve">Aged Care </w:t>
      </w:r>
      <w:r w:rsidRPr="00E30D84">
        <w:rPr>
          <w:i/>
          <w:szCs w:val="22"/>
        </w:rPr>
        <w:t>Rules</w:t>
      </w:r>
      <w:r w:rsidR="00160DAE" w:rsidRPr="00E30D84">
        <w:rPr>
          <w:i/>
          <w:szCs w:val="22"/>
        </w:rPr>
        <w:t xml:space="preserve"> 2025</w:t>
      </w:r>
      <w:r w:rsidRPr="00200B1F">
        <w:rPr>
          <w:szCs w:val="22"/>
        </w:rPr>
        <w:t xml:space="preserve"> is: </w:t>
      </w:r>
    </w:p>
    <w:p w14:paraId="555F67E5" w14:textId="2DA47C3F" w:rsidR="00E52815" w:rsidRDefault="00160DAE" w:rsidP="00DF3F6B">
      <w:pPr>
        <w:pStyle w:val="ListParagraph"/>
        <w:numPr>
          <w:ilvl w:val="0"/>
          <w:numId w:val="477"/>
        </w:numPr>
        <w:spacing w:before="240" w:after="240" w:line="240" w:lineRule="auto"/>
        <w:rPr>
          <w:szCs w:val="22"/>
        </w:rPr>
      </w:pPr>
      <w:r>
        <w:rPr>
          <w:szCs w:val="22"/>
        </w:rPr>
        <w:t>i</w:t>
      </w:r>
      <w:r w:rsidR="00200B1F" w:rsidRPr="00E52815">
        <w:rPr>
          <w:szCs w:val="22"/>
        </w:rPr>
        <w:t>f T</w:t>
      </w:r>
      <w:r w:rsidR="00F27ABC">
        <w:rPr>
          <w:szCs w:val="22"/>
        </w:rPr>
        <w:t xml:space="preserve">ransition </w:t>
      </w:r>
      <w:r w:rsidR="00200B1F" w:rsidRPr="00E52815">
        <w:rPr>
          <w:szCs w:val="22"/>
        </w:rPr>
        <w:t>C</w:t>
      </w:r>
      <w:r w:rsidR="00F27ABC">
        <w:rPr>
          <w:szCs w:val="22"/>
        </w:rPr>
        <w:t xml:space="preserve">are </w:t>
      </w:r>
      <w:r w:rsidR="00200B1F" w:rsidRPr="00E52815">
        <w:rPr>
          <w:szCs w:val="22"/>
        </w:rPr>
        <w:t>P</w:t>
      </w:r>
      <w:r w:rsidR="00F27ABC">
        <w:rPr>
          <w:szCs w:val="22"/>
        </w:rPr>
        <w:t>rogram (TCP)</w:t>
      </w:r>
      <w:r w:rsidR="00200B1F" w:rsidRPr="00E52815">
        <w:rPr>
          <w:szCs w:val="22"/>
        </w:rPr>
        <w:t xml:space="preserve"> is delivered through the residential care service group —the amount obtained by rounding down to the nearest cent the amount equal to 85% of the basic age pension amount (worked out on a per day basis); or </w:t>
      </w:r>
    </w:p>
    <w:p w14:paraId="379C27F6" w14:textId="36AA8EF2" w:rsidR="00E52815" w:rsidRPr="00E52815" w:rsidRDefault="00200B1F" w:rsidP="00DF3F6B">
      <w:pPr>
        <w:pStyle w:val="ListParagraph"/>
        <w:numPr>
          <w:ilvl w:val="0"/>
          <w:numId w:val="477"/>
        </w:numPr>
        <w:spacing w:before="240" w:after="240" w:line="240" w:lineRule="auto"/>
        <w:rPr>
          <w:szCs w:val="22"/>
        </w:rPr>
      </w:pPr>
      <w:r w:rsidRPr="00E52815">
        <w:rPr>
          <w:szCs w:val="22"/>
        </w:rPr>
        <w:t xml:space="preserve">if TCP is delivered in a community/home setting and is delivered through the home support, or assistive technology service groups — the amount obtained by rounding down to the nearest cent the amount equal to 17.5% of the basic age pension amount (worked out on a per day basis). </w:t>
      </w:r>
    </w:p>
    <w:p w14:paraId="3D4E97C8" w14:textId="309E606F" w:rsidR="009D3EBB" w:rsidRDefault="00200B1F" w:rsidP="00622CFF">
      <w:pPr>
        <w:spacing w:before="240" w:after="240" w:line="240" w:lineRule="auto"/>
        <w:rPr>
          <w:szCs w:val="22"/>
        </w:rPr>
      </w:pPr>
      <w:r w:rsidRPr="00E52815">
        <w:rPr>
          <w:szCs w:val="22"/>
        </w:rPr>
        <w:t>An individual’s access to transition care should not be affected by their ability to pay fees but should be decided based on their need for care and the capacity of the registered provider to meet that need. Decisions on whether to charge fees are entirely at the discretion of each State and Territory. The Australian Government recommends that fees be waived for financially disadvantaged individuals. Information on the cost of transition care for individuals is outlined on the My Aged Care website.</w:t>
      </w:r>
      <w:r w:rsidR="00E52815">
        <w:rPr>
          <w:szCs w:val="22"/>
        </w:rPr>
        <w:t xml:space="preserve"> </w:t>
      </w:r>
    </w:p>
    <w:tbl>
      <w:tblPr>
        <w:tblStyle w:val="TableGrid"/>
        <w:tblW w:w="0" w:type="auto"/>
        <w:tblLook w:val="04A0" w:firstRow="1" w:lastRow="0" w:firstColumn="1" w:lastColumn="0" w:noHBand="0" w:noVBand="1"/>
      </w:tblPr>
      <w:tblGrid>
        <w:gridCol w:w="993"/>
        <w:gridCol w:w="8033"/>
      </w:tblGrid>
      <w:tr w:rsidR="00E84E5F" w14:paraId="4C0D1601" w14:textId="77777777" w:rsidTr="00E42183">
        <w:tc>
          <w:tcPr>
            <w:tcW w:w="993" w:type="dxa"/>
          </w:tcPr>
          <w:p w14:paraId="22C33143" w14:textId="719C0EB0" w:rsidR="00E84E5F" w:rsidRDefault="00463B27" w:rsidP="00622CFF">
            <w:pPr>
              <w:spacing w:before="240" w:after="240"/>
              <w:rPr>
                <w:szCs w:val="22"/>
              </w:rPr>
            </w:pPr>
            <w:r w:rsidRPr="0028657F">
              <w:rPr>
                <w:noProof/>
              </w:rPr>
              <w:drawing>
                <wp:anchor distT="0" distB="0" distL="114300" distR="114300" simplePos="0" relativeHeight="251658279" behindDoc="0" locked="0" layoutInCell="1" allowOverlap="1" wp14:anchorId="0AEC5F11" wp14:editId="3B439F0A">
                  <wp:simplePos x="0" y="0"/>
                  <wp:positionH relativeFrom="column">
                    <wp:posOffset>47625</wp:posOffset>
                  </wp:positionH>
                  <wp:positionV relativeFrom="paragraph">
                    <wp:posOffset>116840</wp:posOffset>
                  </wp:positionV>
                  <wp:extent cx="356235" cy="354330"/>
                  <wp:effectExtent l="0" t="0" r="5715" b="7620"/>
                  <wp:wrapSquare wrapText="bothSides"/>
                  <wp:docPr id="890487584" name="Picture 89048758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tcPr>
          <w:p w14:paraId="51FC8216" w14:textId="63A7B8D1" w:rsidR="00160DAE" w:rsidRDefault="00160DAE" w:rsidP="00622CFF">
            <w:pPr>
              <w:spacing w:before="240" w:after="240"/>
            </w:pPr>
            <w:hyperlink r:id="rId343" w:history="1">
              <w:r w:rsidRPr="00160DAE">
                <w:rPr>
                  <w:rStyle w:val="Hyperlink"/>
                </w:rPr>
                <w:t>Transition care | My Aged Care</w:t>
              </w:r>
            </w:hyperlink>
          </w:p>
          <w:p w14:paraId="3545A664" w14:textId="1AA4673D" w:rsidR="00E84E5F" w:rsidRDefault="00E84E5F" w:rsidP="00622CFF">
            <w:pPr>
              <w:spacing w:before="240" w:after="240"/>
              <w:rPr>
                <w:szCs w:val="22"/>
              </w:rPr>
            </w:pPr>
            <w:hyperlink r:id="rId344" w:history="1">
              <w:r w:rsidRPr="0069294C">
                <w:rPr>
                  <w:rStyle w:val="Hyperlink"/>
                </w:rPr>
                <w:t>Transition Care Program Guidelines – November 2025 | Australian Government Department of Health, Disability and Ageing</w:t>
              </w:r>
            </w:hyperlink>
          </w:p>
        </w:tc>
      </w:tr>
    </w:tbl>
    <w:p w14:paraId="4C811710" w14:textId="0521D3BF" w:rsidR="009D3EBB" w:rsidRPr="007D0181" w:rsidRDefault="009D3EBB" w:rsidP="00C56CEC">
      <w:pPr>
        <w:pStyle w:val="H3"/>
      </w:pPr>
      <w:bookmarkStart w:id="1128" w:name="_Toc159226984"/>
      <w:bookmarkStart w:id="1129" w:name="_Toc201143493"/>
      <w:r w:rsidRPr="007D0181">
        <w:t xml:space="preserve">Non-Australian </w:t>
      </w:r>
      <w:r w:rsidR="003B6CAA">
        <w:t>r</w:t>
      </w:r>
      <w:r w:rsidRPr="007D0181">
        <w:t>esidents</w:t>
      </w:r>
      <w:bookmarkEnd w:id="1128"/>
      <w:bookmarkEnd w:id="1129"/>
    </w:p>
    <w:p w14:paraId="0F5E963C" w14:textId="6126E84A" w:rsidR="009D3EBB" w:rsidRPr="0024293E" w:rsidRDefault="009D3EBB" w:rsidP="00622CFF">
      <w:pPr>
        <w:spacing w:before="240" w:after="240" w:line="240" w:lineRule="auto"/>
        <w:rPr>
          <w:szCs w:val="22"/>
        </w:rPr>
      </w:pPr>
      <w:r w:rsidRPr="0024293E">
        <w:rPr>
          <w:szCs w:val="22"/>
        </w:rPr>
        <w:t xml:space="preserve">Non-Australian residents are not excluded from entitlements under the </w:t>
      </w:r>
      <w:r w:rsidR="005D0AB0" w:rsidRPr="00FD0827">
        <w:rPr>
          <w:i/>
          <w:szCs w:val="22"/>
        </w:rPr>
        <w:t xml:space="preserve">Aged Care </w:t>
      </w:r>
      <w:r w:rsidR="00B9722E" w:rsidRPr="00FD0827">
        <w:rPr>
          <w:i/>
          <w:szCs w:val="22"/>
        </w:rPr>
        <w:t>2024</w:t>
      </w:r>
      <w:r w:rsidR="00B9722E">
        <w:rPr>
          <w:szCs w:val="22"/>
        </w:rPr>
        <w:t xml:space="preserve"> (the </w:t>
      </w:r>
      <w:r w:rsidRPr="0024293E">
        <w:rPr>
          <w:szCs w:val="22"/>
        </w:rPr>
        <w:t>Act</w:t>
      </w:r>
      <w:r w:rsidR="00B9722E">
        <w:rPr>
          <w:szCs w:val="22"/>
        </w:rPr>
        <w:t>)</w:t>
      </w:r>
      <w:r w:rsidRPr="0024293E">
        <w:rPr>
          <w:szCs w:val="22"/>
        </w:rPr>
        <w:t xml:space="preserve"> and Visa holders do not require a Medicare Card in order to access an assessment. </w:t>
      </w:r>
    </w:p>
    <w:p w14:paraId="3AB631F8" w14:textId="67DF2005" w:rsidR="009D3EBB" w:rsidRPr="0024293E" w:rsidRDefault="009D3EBB" w:rsidP="00622CFF">
      <w:pPr>
        <w:spacing w:before="240" w:after="240" w:line="240" w:lineRule="auto"/>
        <w:rPr>
          <w:szCs w:val="22"/>
        </w:rPr>
      </w:pPr>
      <w:r w:rsidRPr="0024293E">
        <w:rPr>
          <w:szCs w:val="22"/>
        </w:rPr>
        <w:t xml:space="preserve">Under </w:t>
      </w:r>
      <w:r w:rsidR="00B7795B">
        <w:rPr>
          <w:szCs w:val="22"/>
        </w:rPr>
        <w:t>the Act</w:t>
      </w:r>
      <w:r w:rsidRPr="0024293E">
        <w:rPr>
          <w:szCs w:val="22"/>
        </w:rPr>
        <w:t xml:space="preserve">, non-Australian residents may be eligible for Government assistance with their aged care costs, if the person has been approved by an assessor and has had their income (for home care) or means (for residential care) assessed by Services Australia. </w:t>
      </w:r>
    </w:p>
    <w:p w14:paraId="7AA7DD71" w14:textId="77777777" w:rsidR="009D3EBB" w:rsidRPr="0024293E" w:rsidRDefault="009D3EBB" w:rsidP="00622CFF">
      <w:pPr>
        <w:spacing w:before="240" w:after="240" w:line="240" w:lineRule="auto"/>
        <w:rPr>
          <w:szCs w:val="22"/>
        </w:rPr>
      </w:pPr>
      <w:r w:rsidRPr="0024293E">
        <w:rPr>
          <w:szCs w:val="22"/>
        </w:rPr>
        <w:t xml:space="preserve">While the Australian Government is the majority funder of aged care, beyond this support it is expected that people will use their income and/or assets, depending on their care type, to contribute to the costs of their care, where they can afford to do so. The amount that the person can be asked to contribute will be assessed by Services Australia under the same rules as any other aged care recipient. </w:t>
      </w:r>
    </w:p>
    <w:p w14:paraId="14E73CE7" w14:textId="77777777" w:rsidR="009D3EBB" w:rsidRPr="0024293E" w:rsidRDefault="009D3EBB" w:rsidP="00622CFF">
      <w:pPr>
        <w:spacing w:before="240" w:after="240" w:line="240" w:lineRule="auto"/>
        <w:rPr>
          <w:szCs w:val="22"/>
        </w:rPr>
      </w:pPr>
      <w:r w:rsidRPr="0024293E">
        <w:rPr>
          <w:szCs w:val="22"/>
        </w:rPr>
        <w:t xml:space="preserve">In the event that a non-Australian resident client requests advice from an assessor regarding what fees and payments they may be required to contribute towards their home care or residential care services, they should be advised to complete an income or means assessment to determine their contribution. This applies for all clients who wish to receive Government assistance with the cost of their care, regardless of residency status. </w:t>
      </w:r>
    </w:p>
    <w:tbl>
      <w:tblPr>
        <w:tblStyle w:val="TableGrid"/>
        <w:tblW w:w="0" w:type="auto"/>
        <w:tblLook w:val="04A0" w:firstRow="1" w:lastRow="0" w:firstColumn="1" w:lastColumn="0" w:noHBand="0" w:noVBand="1"/>
      </w:tblPr>
      <w:tblGrid>
        <w:gridCol w:w="993"/>
        <w:gridCol w:w="8033"/>
      </w:tblGrid>
      <w:tr w:rsidR="00FD0827" w14:paraId="1981BAB2" w14:textId="77777777" w:rsidTr="00FD0827">
        <w:tc>
          <w:tcPr>
            <w:tcW w:w="993" w:type="dxa"/>
          </w:tcPr>
          <w:p w14:paraId="5E1AB651" w14:textId="77777777" w:rsidR="00FD0827" w:rsidRDefault="00FD0827">
            <w:pPr>
              <w:spacing w:before="240" w:after="240"/>
              <w:rPr>
                <w:szCs w:val="22"/>
              </w:rPr>
            </w:pPr>
            <w:r w:rsidRPr="0028657F">
              <w:rPr>
                <w:noProof/>
              </w:rPr>
              <w:drawing>
                <wp:anchor distT="0" distB="0" distL="114300" distR="114300" simplePos="0" relativeHeight="251658280" behindDoc="0" locked="0" layoutInCell="1" allowOverlap="1" wp14:anchorId="20E3EB40" wp14:editId="62C4ACA5">
                  <wp:simplePos x="0" y="0"/>
                  <wp:positionH relativeFrom="column">
                    <wp:posOffset>47625</wp:posOffset>
                  </wp:positionH>
                  <wp:positionV relativeFrom="paragraph">
                    <wp:posOffset>116840</wp:posOffset>
                  </wp:positionV>
                  <wp:extent cx="356235" cy="354330"/>
                  <wp:effectExtent l="0" t="0" r="5715" b="7620"/>
                  <wp:wrapSquare wrapText="bothSides"/>
                  <wp:docPr id="1862631745" name="Picture 186263174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34694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tcPr>
          <w:p w14:paraId="0F5A6281" w14:textId="585A5A42" w:rsidR="00FD0827" w:rsidRPr="00FD0827" w:rsidRDefault="00FD0827" w:rsidP="00FD0827">
            <w:pPr>
              <w:pStyle w:val="ListParagraph"/>
              <w:spacing w:before="240" w:after="240"/>
              <w:ind w:left="1134"/>
              <w:rPr>
                <w:color w:val="2BB1BB"/>
                <w:u w:val="single"/>
              </w:rPr>
            </w:pPr>
            <w:hyperlink r:id="rId345" w:history="1">
              <w:r w:rsidRPr="005A14A6">
                <w:rPr>
                  <w:rStyle w:val="Hyperlink"/>
                </w:rPr>
                <w:t>Income and means assessment</w:t>
              </w:r>
            </w:hyperlink>
          </w:p>
        </w:tc>
      </w:tr>
    </w:tbl>
    <w:p w14:paraId="06181F59" w14:textId="41AB055E" w:rsidR="009D3EBB" w:rsidRDefault="009D3EBB" w:rsidP="00FD0827">
      <w:pPr>
        <w:spacing w:before="240" w:after="240" w:line="240" w:lineRule="auto"/>
        <w:rPr>
          <w:szCs w:val="22"/>
        </w:rPr>
      </w:pPr>
      <w:r>
        <w:rPr>
          <w:szCs w:val="22"/>
        </w:rPr>
        <w:t>:</w:t>
      </w:r>
    </w:p>
    <w:p w14:paraId="1B31F73D" w14:textId="2B8AD58D" w:rsidR="00426AC8" w:rsidRDefault="00426AC8" w:rsidP="00622CFF">
      <w:pPr>
        <w:spacing w:before="240" w:after="240" w:line="240" w:lineRule="auto"/>
        <w:rPr>
          <w:szCs w:val="22"/>
        </w:rPr>
        <w:sectPr w:rsidR="00426AC8" w:rsidSect="00370263">
          <w:pgSz w:w="11906" w:h="16838"/>
          <w:pgMar w:top="1440" w:right="1440" w:bottom="1440" w:left="1440" w:header="708" w:footer="708" w:gutter="0"/>
          <w:cols w:space="708"/>
          <w:docGrid w:linePitch="360"/>
        </w:sectPr>
      </w:pPr>
    </w:p>
    <w:p w14:paraId="54021DC3" w14:textId="11ECC781" w:rsidR="00370263" w:rsidRDefault="00370263" w:rsidP="003D6CFC">
      <w:pPr>
        <w:pStyle w:val="H1"/>
        <w:numPr>
          <w:ilvl w:val="0"/>
          <w:numId w:val="0"/>
        </w:numPr>
        <w:ind w:left="360" w:hanging="360"/>
      </w:pPr>
      <w:bookmarkStart w:id="1130" w:name="_Toc204329641"/>
      <w:bookmarkStart w:id="1131" w:name="_Toc209189076"/>
      <w:bookmarkStart w:id="1132" w:name="_Toc224916727"/>
      <w:r w:rsidRPr="00546F1B">
        <w:t xml:space="preserve">APPENDIX </w:t>
      </w:r>
      <w:r w:rsidR="00A5274A">
        <w:t>A</w:t>
      </w:r>
      <w:r w:rsidR="00A5274A" w:rsidRPr="00546F1B">
        <w:t xml:space="preserve"> </w:t>
      </w:r>
      <w:r w:rsidRPr="00546F1B">
        <w:t>– Glossary</w:t>
      </w:r>
      <w:bookmarkEnd w:id="1130"/>
      <w:bookmarkEnd w:id="1131"/>
      <w:bookmarkEnd w:id="1132"/>
    </w:p>
    <w:p w14:paraId="703CB41A" w14:textId="50590AA6" w:rsidR="00370263" w:rsidRPr="00546F1B" w:rsidRDefault="00370263" w:rsidP="00370263">
      <w:pPr>
        <w:pStyle w:val="Caption"/>
      </w:pPr>
      <w:r>
        <w:t>Table 5</w:t>
      </w:r>
      <w:r w:rsidR="00DA53CE">
        <w:t>9</w:t>
      </w:r>
      <w:r>
        <w:t xml:space="preserve">. Glossary of terms </w:t>
      </w:r>
    </w:p>
    <w:tbl>
      <w:tblPr>
        <w:tblW w:w="9072" w:type="dxa"/>
        <w:tblInd w:w="-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Caption w:val="Glossary of terms"/>
      </w:tblPr>
      <w:tblGrid>
        <w:gridCol w:w="2127"/>
        <w:gridCol w:w="1984"/>
        <w:gridCol w:w="4961"/>
      </w:tblGrid>
      <w:tr w:rsidR="00684004" w:rsidRPr="00EA772B" w14:paraId="3204AC0C" w14:textId="77777777" w:rsidTr="006F384B">
        <w:trPr>
          <w:trHeight w:val="611"/>
          <w:tblHeader/>
        </w:trPr>
        <w:tc>
          <w:tcPr>
            <w:tcW w:w="2127" w:type="dxa"/>
            <w:shd w:val="clear" w:color="auto" w:fill="002060"/>
          </w:tcPr>
          <w:p w14:paraId="63D649B8" w14:textId="77777777" w:rsidR="00370263" w:rsidRPr="00EA772B" w:rsidRDefault="00370263" w:rsidP="00436FED">
            <w:pPr>
              <w:pStyle w:val="Sub-headingnon-contentpage"/>
              <w:rPr>
                <w:b/>
                <w:bCs/>
                <w:color w:val="FFFFFF" w:themeColor="background1"/>
              </w:rPr>
            </w:pPr>
            <w:r w:rsidRPr="00EA772B">
              <w:rPr>
                <w:b/>
                <w:bCs/>
                <w:color w:val="FFFFFF" w:themeColor="background1"/>
              </w:rPr>
              <w:t>Term</w:t>
            </w:r>
          </w:p>
        </w:tc>
        <w:tc>
          <w:tcPr>
            <w:tcW w:w="1984" w:type="dxa"/>
            <w:shd w:val="clear" w:color="auto" w:fill="002060"/>
          </w:tcPr>
          <w:p w14:paraId="1A6E1B77" w14:textId="77777777" w:rsidR="001D7C5F" w:rsidRDefault="00370263" w:rsidP="00436FED">
            <w:pPr>
              <w:pStyle w:val="Sub-headingnon-contentpage"/>
              <w:rPr>
                <w:b/>
                <w:bCs/>
                <w:color w:val="FFFFFF" w:themeColor="background1"/>
              </w:rPr>
            </w:pPr>
            <w:r w:rsidRPr="00EA772B">
              <w:rPr>
                <w:b/>
                <w:bCs/>
                <w:color w:val="FFFFFF" w:themeColor="background1"/>
              </w:rPr>
              <w:t>Acronym/</w:t>
            </w:r>
          </w:p>
          <w:p w14:paraId="2ED716D9" w14:textId="1606B583" w:rsidR="00370263" w:rsidRPr="00EA772B" w:rsidRDefault="00370263" w:rsidP="00436FED">
            <w:pPr>
              <w:pStyle w:val="Sub-headingnon-contentpage"/>
              <w:rPr>
                <w:b/>
                <w:bCs/>
                <w:color w:val="FFFFFF" w:themeColor="background1"/>
              </w:rPr>
            </w:pPr>
            <w:r w:rsidRPr="00EA772B">
              <w:rPr>
                <w:b/>
                <w:bCs/>
                <w:color w:val="FFFFFF" w:themeColor="background1"/>
              </w:rPr>
              <w:t>abbreviation</w:t>
            </w:r>
          </w:p>
        </w:tc>
        <w:tc>
          <w:tcPr>
            <w:tcW w:w="4961" w:type="dxa"/>
            <w:shd w:val="clear" w:color="auto" w:fill="002060"/>
          </w:tcPr>
          <w:p w14:paraId="0C94581B" w14:textId="7D8F4D4C" w:rsidR="00370263" w:rsidRPr="00EA772B" w:rsidRDefault="00370263" w:rsidP="00436FED">
            <w:pPr>
              <w:pStyle w:val="Sub-headingnon-contentpage"/>
              <w:rPr>
                <w:b/>
                <w:bCs/>
                <w:color w:val="FFFFFF" w:themeColor="background1"/>
                <w:lang w:eastAsia="ja-JP"/>
              </w:rPr>
            </w:pPr>
            <w:r w:rsidRPr="00EA772B">
              <w:rPr>
                <w:b/>
                <w:bCs/>
                <w:color w:val="FFFFFF" w:themeColor="background1"/>
              </w:rPr>
              <w:t>Definition</w:t>
            </w:r>
          </w:p>
        </w:tc>
      </w:tr>
      <w:tr w:rsidR="0061543A" w:rsidRPr="00C93B6C" w14:paraId="5F50FED1" w14:textId="77777777" w:rsidTr="2B6BD8B8">
        <w:tc>
          <w:tcPr>
            <w:tcW w:w="2127" w:type="dxa"/>
          </w:tcPr>
          <w:p w14:paraId="78491096" w14:textId="77777777" w:rsidR="00370263" w:rsidRPr="00155879" w:rsidRDefault="00370263" w:rsidP="00436FED">
            <w:pPr>
              <w:pStyle w:val="Sub-headingnon-contentpage"/>
            </w:pPr>
            <w:r w:rsidRPr="00436FED">
              <w:t>Administrative Review Tribunal</w:t>
            </w:r>
          </w:p>
        </w:tc>
        <w:tc>
          <w:tcPr>
            <w:tcW w:w="1984" w:type="dxa"/>
          </w:tcPr>
          <w:p w14:paraId="260E4E98" w14:textId="77777777" w:rsidR="00370263" w:rsidRPr="00C93B6C" w:rsidRDefault="00370263">
            <w:pPr>
              <w:spacing w:after="120" w:line="300" w:lineRule="exact"/>
              <w:rPr>
                <w:color w:val="000000"/>
                <w:szCs w:val="22"/>
                <w:lang w:eastAsia="ja-JP"/>
              </w:rPr>
            </w:pPr>
            <w:r w:rsidRPr="00C93B6C">
              <w:rPr>
                <w:szCs w:val="22"/>
              </w:rPr>
              <w:t>A</w:t>
            </w:r>
            <w:r>
              <w:rPr>
                <w:szCs w:val="22"/>
              </w:rPr>
              <w:t>R</w:t>
            </w:r>
            <w:r w:rsidRPr="00C93B6C">
              <w:rPr>
                <w:szCs w:val="22"/>
              </w:rPr>
              <w:t>T</w:t>
            </w:r>
          </w:p>
        </w:tc>
        <w:tc>
          <w:tcPr>
            <w:tcW w:w="4961" w:type="dxa"/>
          </w:tcPr>
          <w:p w14:paraId="0DE9D9B0" w14:textId="77777777" w:rsidR="00370263" w:rsidRPr="00746549" w:rsidRDefault="00370263">
            <w:pPr>
              <w:spacing w:after="0" w:line="300" w:lineRule="exact"/>
              <w:rPr>
                <w:szCs w:val="22"/>
              </w:rPr>
            </w:pPr>
            <w:r w:rsidRPr="00746549">
              <w:rPr>
                <w:szCs w:val="22"/>
                <w:lang w:eastAsia="ko-KR"/>
              </w:rPr>
              <w:t>The Administrative Review Tribunal (ART) provides independent merit reviews of a wide range of administrative decisions made by the Australian Government. The ART can review decisions made under Commonwealth and Norfolk Island laws. The ART aim to make their review process accessible, fair, just, economical, informal and quick.</w:t>
            </w:r>
          </w:p>
        </w:tc>
      </w:tr>
      <w:tr w:rsidR="0061543A" w:rsidRPr="00C93B6C" w14:paraId="6F003E90" w14:textId="77777777" w:rsidTr="2B6BD8B8">
        <w:tc>
          <w:tcPr>
            <w:tcW w:w="2127" w:type="dxa"/>
          </w:tcPr>
          <w:p w14:paraId="414C7583" w14:textId="77777777" w:rsidR="00370263" w:rsidRPr="00155879" w:rsidRDefault="00370263">
            <w:pPr>
              <w:tabs>
                <w:tab w:val="left" w:pos="1593"/>
              </w:tabs>
              <w:rPr>
                <w:lang w:val="en-US"/>
              </w:rPr>
            </w:pPr>
            <w:r w:rsidRPr="00155879">
              <w:rPr>
                <w:lang w:val="en-US"/>
              </w:rPr>
              <w:t>Aboriginal and Torres Strait Islander Aged Care Framework</w:t>
            </w:r>
          </w:p>
        </w:tc>
        <w:tc>
          <w:tcPr>
            <w:tcW w:w="1984" w:type="dxa"/>
          </w:tcPr>
          <w:p w14:paraId="2D44F769" w14:textId="77777777" w:rsidR="00370263" w:rsidRDefault="00370263">
            <w:pPr>
              <w:spacing w:after="120" w:line="300" w:lineRule="exact"/>
              <w:rPr>
                <w:szCs w:val="22"/>
              </w:rPr>
            </w:pPr>
          </w:p>
        </w:tc>
        <w:tc>
          <w:tcPr>
            <w:tcW w:w="4961" w:type="dxa"/>
          </w:tcPr>
          <w:p w14:paraId="49D4424C" w14:textId="77777777" w:rsidR="00370263" w:rsidRPr="0095445D" w:rsidRDefault="00370263">
            <w:pPr>
              <w:spacing w:after="0" w:line="300" w:lineRule="exact"/>
              <w:rPr>
                <w:szCs w:val="22"/>
              </w:rPr>
            </w:pPr>
            <w:r w:rsidRPr="00C77199">
              <w:rPr>
                <w:szCs w:val="22"/>
              </w:rPr>
              <w:t>This Framework establishes a 2035 vision for older Aboriginal and Torres Strait Islander people to age well by having their spiritual, physical and mental health needs met through holistic, high-quality and culturally safe aged care. This care should promote wellbeing, deliver trauma aware and healing informed responses and empower connection to culture, family, community and Country or Island Home.</w:t>
            </w:r>
          </w:p>
        </w:tc>
      </w:tr>
      <w:tr w:rsidR="0061543A" w:rsidRPr="00C93B6C" w14:paraId="29AA0E67" w14:textId="77777777" w:rsidTr="2B6BD8B8">
        <w:tc>
          <w:tcPr>
            <w:tcW w:w="2127" w:type="dxa"/>
          </w:tcPr>
          <w:p w14:paraId="776D1C29" w14:textId="77777777" w:rsidR="00370263" w:rsidRPr="00155879" w:rsidRDefault="00370263">
            <w:pPr>
              <w:tabs>
                <w:tab w:val="left" w:pos="1593"/>
              </w:tabs>
              <w:rPr>
                <w:lang w:val="en-US"/>
              </w:rPr>
            </w:pPr>
            <w:r w:rsidRPr="00155879">
              <w:rPr>
                <w:lang w:val="en-US"/>
              </w:rPr>
              <w:t>Aged Care Act 2024 (Cth)</w:t>
            </w:r>
          </w:p>
        </w:tc>
        <w:tc>
          <w:tcPr>
            <w:tcW w:w="1984" w:type="dxa"/>
          </w:tcPr>
          <w:p w14:paraId="2FDE48DB" w14:textId="77777777" w:rsidR="00370263" w:rsidRPr="00C93B6C" w:rsidRDefault="00370263">
            <w:pPr>
              <w:spacing w:after="120" w:line="300" w:lineRule="exact"/>
              <w:rPr>
                <w:szCs w:val="22"/>
              </w:rPr>
            </w:pPr>
            <w:r>
              <w:rPr>
                <w:szCs w:val="22"/>
              </w:rPr>
              <w:t>The Act</w:t>
            </w:r>
          </w:p>
        </w:tc>
        <w:tc>
          <w:tcPr>
            <w:tcW w:w="4961" w:type="dxa"/>
          </w:tcPr>
          <w:p w14:paraId="7D9DCC0D" w14:textId="2CF6D6AE" w:rsidR="00370263" w:rsidRPr="00746549" w:rsidRDefault="00370263">
            <w:pPr>
              <w:spacing w:after="0" w:line="300" w:lineRule="exact"/>
              <w:rPr>
                <w:szCs w:val="22"/>
                <w:lang w:val="en"/>
              </w:rPr>
            </w:pPr>
            <w:r w:rsidRPr="009E2BA0">
              <w:rPr>
                <w:szCs w:val="22"/>
              </w:rPr>
              <w:t xml:space="preserve">The </w:t>
            </w:r>
            <w:r w:rsidRPr="009E2BA0">
              <w:rPr>
                <w:i/>
                <w:iCs/>
                <w:szCs w:val="22"/>
              </w:rPr>
              <w:t xml:space="preserve">Aged Care Act 2024 </w:t>
            </w:r>
            <w:r w:rsidRPr="009E2BA0">
              <w:rPr>
                <w:szCs w:val="22"/>
              </w:rPr>
              <w:t xml:space="preserve">(Cth) replaces the </w:t>
            </w:r>
            <w:r w:rsidRPr="009E2BA0">
              <w:rPr>
                <w:i/>
                <w:iCs/>
                <w:szCs w:val="22"/>
              </w:rPr>
              <w:t xml:space="preserve">Aged Care Act 1997 </w:t>
            </w:r>
            <w:r w:rsidRPr="009E2BA0">
              <w:rPr>
                <w:szCs w:val="22"/>
              </w:rPr>
              <w:t xml:space="preserve">(Cth) as the </w:t>
            </w:r>
            <w:r>
              <w:rPr>
                <w:szCs w:val="22"/>
              </w:rPr>
              <w:t>primary</w:t>
            </w:r>
            <w:r w:rsidRPr="009E2BA0">
              <w:rPr>
                <w:szCs w:val="22"/>
              </w:rPr>
              <w:t xml:space="preserve"> piece of aged care legislation</w:t>
            </w:r>
            <w:r>
              <w:rPr>
                <w:szCs w:val="22"/>
              </w:rPr>
              <w:t xml:space="preserve"> from 1 November 2025</w:t>
            </w:r>
            <w:r w:rsidRPr="009E2BA0">
              <w:rPr>
                <w:szCs w:val="22"/>
              </w:rPr>
              <w:t>. In response to the first recommendation of the Royal Commission into Aged Care Quality and Safety</w:t>
            </w:r>
            <w:r w:rsidR="006C02E0">
              <w:rPr>
                <w:szCs w:val="22"/>
              </w:rPr>
              <w:t>,</w:t>
            </w:r>
            <w:r w:rsidRPr="009E2BA0">
              <w:rPr>
                <w:szCs w:val="22"/>
              </w:rPr>
              <w:t xml:space="preserve"> the Act was developed to implement fundamental reforms to aged care. It provides a legislative basis for</w:t>
            </w:r>
            <w:r>
              <w:rPr>
                <w:szCs w:val="22"/>
              </w:rPr>
              <w:t xml:space="preserve"> </w:t>
            </w:r>
            <w:r w:rsidRPr="009E2BA0">
              <w:rPr>
                <w:szCs w:val="22"/>
              </w:rPr>
              <w:t xml:space="preserve">a rights based aged care system focused on the safety, health and wellbeing of older </w:t>
            </w:r>
            <w:r w:rsidR="00B47A65">
              <w:rPr>
                <w:szCs w:val="22"/>
              </w:rPr>
              <w:t>people</w:t>
            </w:r>
            <w:r w:rsidRPr="009E2BA0">
              <w:rPr>
                <w:szCs w:val="22"/>
              </w:rPr>
              <w:t xml:space="preserve">. The legislative framework provided by the Act sets out the governance of </w:t>
            </w:r>
            <w:r>
              <w:rPr>
                <w:szCs w:val="22"/>
              </w:rPr>
              <w:t>the aged care system and the requirements to access and deliver funded aged care services.</w:t>
            </w:r>
            <w:r w:rsidRPr="009E2BA0">
              <w:rPr>
                <w:szCs w:val="22"/>
              </w:rPr>
              <w:t xml:space="preserve"> It further introduces a new risk-based regulatory model focused on increasing provider accountability and encouraging the delivery of high quality funded aged care services by registered providers.  </w:t>
            </w:r>
          </w:p>
        </w:tc>
      </w:tr>
      <w:tr w:rsidR="0061543A" w:rsidRPr="00C93B6C" w14:paraId="6DEBB558" w14:textId="77777777" w:rsidTr="2B6BD8B8">
        <w:tc>
          <w:tcPr>
            <w:tcW w:w="2127" w:type="dxa"/>
          </w:tcPr>
          <w:p w14:paraId="7BF74CAC" w14:textId="77777777" w:rsidR="00370263" w:rsidRPr="00155879" w:rsidRDefault="00370263">
            <w:pPr>
              <w:tabs>
                <w:tab w:val="left" w:pos="1593"/>
              </w:tabs>
              <w:rPr>
                <w:lang w:val="en-US"/>
              </w:rPr>
            </w:pPr>
            <w:r w:rsidRPr="00155879">
              <w:rPr>
                <w:lang w:val="en-US"/>
              </w:rPr>
              <w:t xml:space="preserve">Aged Care (Consequential and Transitional Provisions) Act 2024 </w:t>
            </w:r>
          </w:p>
        </w:tc>
        <w:tc>
          <w:tcPr>
            <w:tcW w:w="1984" w:type="dxa"/>
          </w:tcPr>
          <w:p w14:paraId="594558B8" w14:textId="77777777" w:rsidR="00370263" w:rsidRDefault="00370263">
            <w:pPr>
              <w:spacing w:after="120" w:line="300" w:lineRule="exact"/>
              <w:rPr>
                <w:szCs w:val="22"/>
              </w:rPr>
            </w:pPr>
          </w:p>
        </w:tc>
        <w:tc>
          <w:tcPr>
            <w:tcW w:w="4961" w:type="dxa"/>
          </w:tcPr>
          <w:p w14:paraId="54697CF5" w14:textId="77777777" w:rsidR="00370263" w:rsidRPr="009E2BA0" w:rsidRDefault="00370263">
            <w:pPr>
              <w:spacing w:after="0" w:line="300" w:lineRule="exact"/>
              <w:rPr>
                <w:szCs w:val="22"/>
              </w:rPr>
            </w:pPr>
            <w:r w:rsidRPr="000915C8">
              <w:rPr>
                <w:szCs w:val="22"/>
              </w:rPr>
              <w:t xml:space="preserve">The </w:t>
            </w:r>
            <w:r w:rsidRPr="000915C8">
              <w:rPr>
                <w:i/>
                <w:iCs/>
                <w:szCs w:val="22"/>
              </w:rPr>
              <w:t xml:space="preserve">Aged Care (Consequential and Transitional Provisions) </w:t>
            </w:r>
            <w:r w:rsidRPr="00B47A65">
              <w:rPr>
                <w:i/>
                <w:szCs w:val="22"/>
              </w:rPr>
              <w:t>Act 2024</w:t>
            </w:r>
            <w:r w:rsidRPr="000915C8">
              <w:rPr>
                <w:szCs w:val="22"/>
              </w:rPr>
              <w:t xml:space="preserve"> provides for transitional arrangements to support the commencement of the </w:t>
            </w:r>
            <w:r w:rsidRPr="000915C8">
              <w:rPr>
                <w:i/>
                <w:iCs/>
                <w:szCs w:val="22"/>
              </w:rPr>
              <w:t xml:space="preserve">Aged Care Act </w:t>
            </w:r>
            <w:r w:rsidRPr="00B47A65">
              <w:rPr>
                <w:i/>
                <w:szCs w:val="22"/>
              </w:rPr>
              <w:t>2024</w:t>
            </w:r>
            <w:r w:rsidRPr="000915C8">
              <w:rPr>
                <w:szCs w:val="22"/>
              </w:rPr>
              <w:t>.</w:t>
            </w:r>
          </w:p>
        </w:tc>
      </w:tr>
      <w:tr w:rsidR="0061543A" w:rsidRPr="00C93B6C" w14:paraId="18668F96" w14:textId="77777777" w:rsidTr="2B6BD8B8">
        <w:tc>
          <w:tcPr>
            <w:tcW w:w="2127" w:type="dxa"/>
          </w:tcPr>
          <w:p w14:paraId="2FB76CCA" w14:textId="59FA73C5" w:rsidR="00370263" w:rsidRPr="00C76453" w:rsidRDefault="00370263" w:rsidP="00C76453">
            <w:pPr>
              <w:tabs>
                <w:tab w:val="left" w:pos="1593"/>
              </w:tabs>
              <w:rPr>
                <w:lang w:val="en"/>
              </w:rPr>
            </w:pPr>
            <w:r w:rsidRPr="00155879">
              <w:rPr>
                <w:lang w:val="en"/>
              </w:rPr>
              <w:t>Aged Care Act 1997</w:t>
            </w:r>
            <w:r w:rsidR="00C76453">
              <w:rPr>
                <w:lang w:val="en"/>
              </w:rPr>
              <w:t xml:space="preserve"> </w:t>
            </w:r>
            <w:r w:rsidRPr="00155879">
              <w:t>(Cth)</w:t>
            </w:r>
          </w:p>
        </w:tc>
        <w:tc>
          <w:tcPr>
            <w:tcW w:w="1984" w:type="dxa"/>
          </w:tcPr>
          <w:p w14:paraId="2AD55DFF" w14:textId="77777777" w:rsidR="00370263" w:rsidRPr="00C93B6C" w:rsidRDefault="00370263">
            <w:pPr>
              <w:spacing w:after="120" w:line="300" w:lineRule="exact"/>
              <w:rPr>
                <w:color w:val="000000"/>
                <w:szCs w:val="22"/>
                <w:lang w:eastAsia="ja-JP"/>
              </w:rPr>
            </w:pPr>
          </w:p>
        </w:tc>
        <w:tc>
          <w:tcPr>
            <w:tcW w:w="4961" w:type="dxa"/>
          </w:tcPr>
          <w:p w14:paraId="5683C698" w14:textId="77777777" w:rsidR="00370263" w:rsidRPr="00BD030F" w:rsidRDefault="00370263">
            <w:pPr>
              <w:spacing w:after="0" w:line="300" w:lineRule="exact"/>
              <w:rPr>
                <w:szCs w:val="22"/>
                <w:lang w:val="en-US"/>
              </w:rPr>
            </w:pPr>
            <w:r w:rsidRPr="0F161D91">
              <w:rPr>
                <w:szCs w:val="22"/>
                <w:lang w:val="en-US"/>
              </w:rPr>
              <w:t xml:space="preserve">From 1 November 2025, the </w:t>
            </w:r>
            <w:r w:rsidRPr="0F161D91">
              <w:rPr>
                <w:i/>
                <w:szCs w:val="22"/>
                <w:lang w:val="en-US"/>
              </w:rPr>
              <w:t xml:space="preserve">Aged Care Act 1997 </w:t>
            </w:r>
            <w:r w:rsidRPr="0F161D91">
              <w:rPr>
                <w:szCs w:val="22"/>
                <w:lang w:val="en-US"/>
              </w:rPr>
              <w:t xml:space="preserve">(Cth) will cease as the primary piece of aged care legislation. It will be superseded by the </w:t>
            </w:r>
            <w:r w:rsidRPr="0F161D91">
              <w:rPr>
                <w:i/>
                <w:szCs w:val="22"/>
                <w:lang w:val="en-US"/>
              </w:rPr>
              <w:t xml:space="preserve">Aged Care Act 2024 </w:t>
            </w:r>
            <w:r w:rsidRPr="0F161D91">
              <w:rPr>
                <w:szCs w:val="22"/>
                <w:lang w:val="en-US"/>
              </w:rPr>
              <w:t xml:space="preserve">(Cth). From the cessation of the Act on 1 November 2025, Assessment Organisations should consult the </w:t>
            </w:r>
            <w:r w:rsidRPr="0F161D91">
              <w:rPr>
                <w:i/>
                <w:szCs w:val="22"/>
                <w:lang w:val="en-US"/>
              </w:rPr>
              <w:t xml:space="preserve">Aged Care Act 2024 </w:t>
            </w:r>
            <w:r w:rsidRPr="0F161D91">
              <w:rPr>
                <w:szCs w:val="22"/>
                <w:lang w:val="en-US"/>
              </w:rPr>
              <w:t xml:space="preserve">(Cth) for information on access, delivery and governance of the aged care system. </w:t>
            </w:r>
          </w:p>
        </w:tc>
      </w:tr>
      <w:tr w:rsidR="00BA1EF7" w:rsidRPr="00C93B6C" w14:paraId="4F640687" w14:textId="77777777" w:rsidTr="2B6BD8B8">
        <w:trPr>
          <w:trHeight w:val="131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19F2338" w14:textId="77777777" w:rsidR="00370263" w:rsidRPr="00155879" w:rsidRDefault="00370263" w:rsidP="00436FED">
            <w:pPr>
              <w:pStyle w:val="Sub-headingnon-contentpage"/>
            </w:pPr>
            <w:r w:rsidRPr="00155879">
              <w:t>Aged Care Assessment Quality Framework</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16D7E3" w14:textId="77777777" w:rsidR="00370263" w:rsidRPr="00C93B6C" w:rsidRDefault="00370263">
            <w:pPr>
              <w:spacing w:after="120" w:line="300" w:lineRule="exact"/>
              <w:ind w:right="459"/>
              <w:rPr>
                <w:szCs w:val="22"/>
                <w:lang w:eastAsia="en-US"/>
              </w:rPr>
            </w:pPr>
            <w:r w:rsidRPr="00C93B6C">
              <w:rPr>
                <w:szCs w:val="22"/>
              </w:rPr>
              <w:t>Framework</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64F051" w14:textId="77777777" w:rsidR="00370263" w:rsidRPr="00746549" w:rsidRDefault="00370263">
            <w:pPr>
              <w:spacing w:after="120" w:line="300" w:lineRule="exact"/>
              <w:ind w:right="459"/>
              <w:contextualSpacing/>
              <w:rPr>
                <w:szCs w:val="22"/>
              </w:rPr>
            </w:pPr>
            <w:r w:rsidRPr="00746549">
              <w:rPr>
                <w:szCs w:val="22"/>
              </w:rPr>
              <w:t xml:space="preserve">Assessment organisations are required to use the </w:t>
            </w:r>
            <w:hyperlink r:id="rId346">
              <w:r w:rsidRPr="19ECD6C9">
                <w:rPr>
                  <w:rStyle w:val="Hyperlink"/>
                  <w:szCs w:val="22"/>
                </w:rPr>
                <w:t>Aged Care Assessment Quality Framework</w:t>
              </w:r>
            </w:hyperlink>
            <w:r w:rsidRPr="00746549">
              <w:rPr>
                <w:szCs w:val="22"/>
              </w:rPr>
              <w:t xml:space="preserve"> to maintain a consistent, high quality assessment experience for every </w:t>
            </w:r>
            <w:r>
              <w:rPr>
                <w:szCs w:val="22"/>
              </w:rPr>
              <w:t>older person</w:t>
            </w:r>
            <w:r w:rsidRPr="00746549">
              <w:rPr>
                <w:szCs w:val="22"/>
              </w:rPr>
              <w:t xml:space="preserve">. </w:t>
            </w:r>
          </w:p>
        </w:tc>
      </w:tr>
      <w:tr w:rsidR="00BA1EF7" w:rsidRPr="00C93B6C" w14:paraId="0700AD7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5B3E3C" w14:textId="77777777" w:rsidR="00370263" w:rsidRPr="00155879" w:rsidRDefault="00370263" w:rsidP="00436FED">
            <w:pPr>
              <w:pStyle w:val="Sub-headingnon-contentpage"/>
            </w:pPr>
            <w:r w:rsidRPr="00155879">
              <w:t>Aged Care Diversity Framework</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66F71CC" w14:textId="77777777" w:rsidR="00370263" w:rsidRPr="00C93B6C" w:rsidRDefault="00370263">
            <w:pPr>
              <w:spacing w:after="120" w:line="300" w:lineRule="exact"/>
              <w:ind w:right="459"/>
              <w:rPr>
                <w:szCs w:val="22"/>
                <w:lang w:eastAsia="en-US"/>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C6D4518" w14:textId="77777777" w:rsidR="00370263" w:rsidRPr="00746549" w:rsidRDefault="00370263">
            <w:pPr>
              <w:spacing w:after="120" w:line="300" w:lineRule="exact"/>
              <w:ind w:right="459"/>
              <w:contextualSpacing/>
              <w:rPr>
                <w:szCs w:val="22"/>
              </w:rPr>
            </w:pPr>
            <w:r w:rsidRPr="00746549">
              <w:rPr>
                <w:szCs w:val="22"/>
                <w:lang w:eastAsia="ko-KR"/>
              </w:rPr>
              <w:t xml:space="preserve">The </w:t>
            </w:r>
            <w:hyperlink r:id="rId347">
              <w:r w:rsidRPr="19ECD6C9">
                <w:rPr>
                  <w:rStyle w:val="Hyperlink"/>
                  <w:rFonts w:eastAsia="Times New Roman"/>
                  <w:szCs w:val="22"/>
                  <w:lang w:eastAsia="ko-KR"/>
                </w:rPr>
                <w:t>Aged Care Diversity Framework</w:t>
              </w:r>
            </w:hyperlink>
            <w:r w:rsidRPr="00746549">
              <w:rPr>
                <w:szCs w:val="22"/>
                <w:lang w:eastAsia="ko-KR"/>
              </w:rPr>
              <w:t xml:space="preserve"> is an overarching set of principles designed to ensure an accessible aged care system where people, regardless of their individual social, cultural, linguistic, religious, spiritual, psychological, medical and care needs are able to access respectful and inclusive aged care services.</w:t>
            </w:r>
          </w:p>
        </w:tc>
      </w:tr>
      <w:tr w:rsidR="00BA1EF7" w:rsidRPr="00C93B6C" w14:paraId="2DDD273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0AAE7A" w14:textId="77777777" w:rsidR="00370263" w:rsidRPr="00155879" w:rsidRDefault="00370263" w:rsidP="00436FED">
            <w:pPr>
              <w:pStyle w:val="Sub-headingnon-contentpage"/>
            </w:pPr>
            <w:r w:rsidRPr="00155879">
              <w:t>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4D463C5"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3047A86" w14:textId="77777777" w:rsidR="00370263" w:rsidRPr="00746549" w:rsidRDefault="00370263">
            <w:pPr>
              <w:spacing w:line="300" w:lineRule="exact"/>
              <w:ind w:right="459"/>
              <w:contextualSpacing/>
              <w:rPr>
                <w:szCs w:val="22"/>
              </w:rPr>
            </w:pPr>
            <w:r w:rsidRPr="00746549">
              <w:rPr>
                <w:rStyle w:val="normaltextrun"/>
                <w:color w:val="000000"/>
                <w:szCs w:val="22"/>
                <w:shd w:val="clear" w:color="auto" w:fill="FFFFFF"/>
              </w:rPr>
              <w:t xml:space="preserve">A person who conducts aged care </w:t>
            </w:r>
            <w:r w:rsidRPr="000F7420">
              <w:rPr>
                <w:rStyle w:val="normaltextrun"/>
                <w:szCs w:val="22"/>
                <w:shd w:val="clear" w:color="auto" w:fill="FFFFFF"/>
              </w:rPr>
              <w:t>assessments, for home support and comprehensive assessments. An aged care needs assessor can be a clinical assessor or a non-clinical assessor.</w:t>
            </w:r>
            <w:r w:rsidRPr="000F7420">
              <w:rPr>
                <w:rStyle w:val="normaltextrun"/>
                <w:szCs w:val="22"/>
                <w:u w:val="single"/>
                <w:shd w:val="clear" w:color="auto" w:fill="FFFFFF"/>
              </w:rPr>
              <w:t xml:space="preserve"> </w:t>
            </w:r>
          </w:p>
        </w:tc>
      </w:tr>
      <w:tr w:rsidR="00BA1EF7" w:rsidRPr="00C93B6C" w14:paraId="21AF2390"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356BB4" w14:textId="77777777" w:rsidR="00370263" w:rsidRPr="00155879" w:rsidRDefault="00370263" w:rsidP="00436FED">
            <w:pPr>
              <w:pStyle w:val="Sub-headingnon-contentpage"/>
              <w:rPr>
                <w:color w:val="222222"/>
                <w:lang w:val="en"/>
              </w:rPr>
            </w:pPr>
            <w:r w:rsidRPr="00155879">
              <w:t>Aged Care Principles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719741" w14:textId="77777777" w:rsidR="00370263" w:rsidRPr="002B1CA2" w:rsidRDefault="00370263">
            <w:pPr>
              <w:spacing w:line="300" w:lineRule="exact"/>
              <w:ind w:right="459"/>
              <w:rPr>
                <w:strike/>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C481AA" w14:textId="77777777" w:rsidR="00370263" w:rsidRPr="00461F4D" w:rsidRDefault="00370263">
            <w:pPr>
              <w:spacing w:line="300" w:lineRule="exact"/>
              <w:ind w:right="459"/>
              <w:contextualSpacing/>
              <w:rPr>
                <w:szCs w:val="22"/>
              </w:rPr>
            </w:pPr>
            <w:r w:rsidRPr="0F161D91">
              <w:rPr>
                <w:szCs w:val="22"/>
              </w:rPr>
              <w:t xml:space="preserve">From 1 November 2025, the </w:t>
            </w:r>
            <w:r w:rsidRPr="0F161D91">
              <w:rPr>
                <w:i/>
                <w:szCs w:val="22"/>
              </w:rPr>
              <w:t xml:space="preserve">Aged Care Act 2024 </w:t>
            </w:r>
            <w:r w:rsidRPr="0F161D91">
              <w:rPr>
                <w:szCs w:val="22"/>
              </w:rPr>
              <w:t xml:space="preserve">(Cth) will replace existing aged care legislation including the Aged Care Principles. Once commenced, Assessment Organisations should consult the </w:t>
            </w:r>
            <w:r w:rsidRPr="0F161D91">
              <w:rPr>
                <w:i/>
                <w:szCs w:val="22"/>
              </w:rPr>
              <w:t xml:space="preserve">Aged Care Act 2024 </w:t>
            </w:r>
            <w:r w:rsidRPr="0F161D91">
              <w:rPr>
                <w:szCs w:val="22"/>
              </w:rPr>
              <w:t xml:space="preserve">(Cth) for information on access, delivery and governance of the aged care system. </w:t>
            </w:r>
          </w:p>
        </w:tc>
      </w:tr>
      <w:tr w:rsidR="00BA1EF7" w14:paraId="6FC6372C" w14:textId="77777777" w:rsidTr="28F4B414">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C60D483" w14:textId="308E9086" w:rsidR="62B1DF5C" w:rsidRDefault="62B1DF5C" w:rsidP="00FA6043">
            <w:pPr>
              <w:pStyle w:val="Sub-headingnon-contentpage"/>
            </w:pPr>
            <w:r>
              <w:t>AN-ACC Assessment Tool</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1F7B27" w14:textId="40FE2046" w:rsidR="62B1DF5C" w:rsidRDefault="62B1DF5C" w:rsidP="28F4B414">
            <w:pPr>
              <w:spacing w:line="300" w:lineRule="exact"/>
              <w:rPr>
                <w:strike/>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AD8508C" w14:textId="77D621E5" w:rsidR="28F4B414" w:rsidRDefault="00ED0141" w:rsidP="28F4B414">
            <w:pPr>
              <w:spacing w:line="300" w:lineRule="exact"/>
            </w:pPr>
            <w:r>
              <w:rPr>
                <w:rFonts w:eastAsia="Arial"/>
                <w:color w:val="000000" w:themeColor="text1"/>
                <w:szCs w:val="22"/>
              </w:rPr>
              <w:t>Assessment t</w:t>
            </w:r>
            <w:r w:rsidR="62B1DF5C" w:rsidRPr="15F8B323">
              <w:rPr>
                <w:rFonts w:eastAsia="Arial"/>
                <w:color w:val="000000" w:themeColor="text1"/>
                <w:szCs w:val="22"/>
              </w:rPr>
              <w:t>ool used by residential aged care funding assessors to conduct residential aged care funding assessments.</w:t>
            </w:r>
          </w:p>
        </w:tc>
      </w:tr>
      <w:tr w:rsidR="00BA1EF7" w:rsidRPr="00C93B6C" w14:paraId="53362867"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F405C1" w14:textId="77777777" w:rsidR="00370263" w:rsidRPr="00155879" w:rsidRDefault="00370263" w:rsidP="00436FED">
            <w:pPr>
              <w:pStyle w:val="Sub-headingnon-contentpage"/>
            </w:pPr>
            <w:r w:rsidRPr="00155879">
              <w:t>Assessment organisations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A8DB106" w14:textId="77777777" w:rsidR="00370263" w:rsidRPr="00C93B6C" w:rsidRDefault="00370263">
            <w:pPr>
              <w:spacing w:line="300" w:lineRule="exact"/>
              <w:ind w:right="459"/>
              <w:rPr>
                <w:color w:val="000000" w:themeColor="text1"/>
                <w:szCs w:val="22"/>
              </w:rPr>
            </w:pPr>
            <w:r>
              <w:rPr>
                <w:color w:val="000000" w:themeColor="text1"/>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8CD334E" w14:textId="77777777" w:rsidR="00370263" w:rsidRPr="00746549" w:rsidRDefault="00370263">
            <w:pPr>
              <w:rPr>
                <w:color w:val="000000" w:themeColor="text1"/>
                <w:szCs w:val="22"/>
                <w:lang w:eastAsia="ko-KR"/>
              </w:rPr>
            </w:pPr>
            <w:r w:rsidRPr="00746549">
              <w:rPr>
                <w:color w:val="000000" w:themeColor="text1"/>
                <w:szCs w:val="22"/>
                <w:lang w:eastAsia="ko-KR"/>
              </w:rPr>
              <w:t xml:space="preserve">An entity engaged by the </w:t>
            </w:r>
            <w:r>
              <w:rPr>
                <w:color w:val="000000" w:themeColor="text1"/>
                <w:szCs w:val="22"/>
                <w:lang w:eastAsia="ko-KR"/>
              </w:rPr>
              <w:t>Department</w:t>
            </w:r>
            <w:r w:rsidRPr="00746549">
              <w:rPr>
                <w:color w:val="000000" w:themeColor="text1"/>
                <w:szCs w:val="22"/>
                <w:lang w:eastAsia="ko-KR"/>
              </w:rPr>
              <w:t xml:space="preserve"> to provide Aged Care </w:t>
            </w:r>
            <w:r>
              <w:rPr>
                <w:color w:val="000000" w:themeColor="text1"/>
                <w:szCs w:val="22"/>
                <w:lang w:eastAsia="ko-KR"/>
              </w:rPr>
              <w:t>Needs</w:t>
            </w:r>
            <w:r w:rsidRPr="00746549">
              <w:rPr>
                <w:color w:val="000000" w:themeColor="text1"/>
                <w:szCs w:val="22"/>
                <w:lang w:eastAsia="ko-KR"/>
              </w:rPr>
              <w:t xml:space="preserve"> Assessment Services and/or RAC Funding Assessment Services. </w:t>
            </w:r>
          </w:p>
        </w:tc>
      </w:tr>
      <w:tr w:rsidR="00BA1EF7" w:rsidRPr="00C93B6C" w14:paraId="4B463BD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B8D4ED" w14:textId="77777777" w:rsidR="00370263" w:rsidRPr="00155879" w:rsidRDefault="00370263" w:rsidP="00436FED">
            <w:pPr>
              <w:pStyle w:val="Sub-headingnon-contentpage"/>
            </w:pPr>
            <w:r w:rsidRPr="00155879">
              <w:t>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0CD7C50" w14:textId="77777777" w:rsidR="00370263" w:rsidRPr="00C93B6C" w:rsidRDefault="00370263">
            <w:pPr>
              <w:spacing w:line="300" w:lineRule="exact"/>
              <w:ind w:right="459"/>
              <w:rPr>
                <w:color w:val="000000" w:themeColor="text1"/>
                <w:szCs w:val="22"/>
              </w:rPr>
            </w:pPr>
            <w:r>
              <w:rPr>
                <w:color w:val="000000" w:themeColor="text1"/>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26D855" w14:textId="77777777" w:rsidR="00370263" w:rsidRPr="00746549" w:rsidRDefault="00370263">
            <w:pPr>
              <w:rPr>
                <w:color w:val="000000" w:themeColor="text1"/>
                <w:szCs w:val="22"/>
                <w:lang w:eastAsia="ko-KR"/>
              </w:rPr>
            </w:pPr>
            <w:r w:rsidRPr="00746549">
              <w:rPr>
                <w:color w:val="000000" w:themeColor="text1"/>
                <w:szCs w:val="22"/>
                <w:lang w:eastAsia="ko-KR"/>
              </w:rPr>
              <w:t xml:space="preserve">An aged care needs assessor. </w:t>
            </w:r>
          </w:p>
        </w:tc>
      </w:tr>
      <w:tr w:rsidR="00BA1EF7" w:rsidRPr="00C93B6C" w14:paraId="50F91F41"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071ECBC" w14:textId="77777777" w:rsidR="00370263" w:rsidRPr="00155879" w:rsidRDefault="00370263" w:rsidP="00436FED">
            <w:pPr>
              <w:pStyle w:val="Sub-headingnon-contentpage"/>
              <w:rPr>
                <w:color w:val="000000" w:themeColor="text1"/>
              </w:rPr>
            </w:pPr>
            <w:r w:rsidRPr="00155879">
              <w:t>Aged Care Specialist Officer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D93D565" w14:textId="77777777" w:rsidR="00370263" w:rsidRPr="00C93B6C" w:rsidRDefault="00370263">
            <w:pPr>
              <w:spacing w:line="300" w:lineRule="exact"/>
              <w:ind w:right="459"/>
              <w:rPr>
                <w:color w:val="000000" w:themeColor="text1"/>
                <w:szCs w:val="22"/>
              </w:rPr>
            </w:pPr>
            <w:r w:rsidRPr="00C93B6C">
              <w:rPr>
                <w:szCs w:val="22"/>
              </w:rPr>
              <w:t>ACSO</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B6E4926" w14:textId="77777777" w:rsidR="00370263" w:rsidRPr="00746549" w:rsidRDefault="00370263">
            <w:pPr>
              <w:rPr>
                <w:color w:val="000000" w:themeColor="text1"/>
                <w:szCs w:val="22"/>
                <w:lang w:eastAsia="ko-KR"/>
              </w:rPr>
            </w:pPr>
            <w:r w:rsidRPr="00746549">
              <w:rPr>
                <w:szCs w:val="22"/>
                <w:lang w:val="en"/>
              </w:rPr>
              <w:t xml:space="preserve">ACSO, located in some </w:t>
            </w:r>
            <w:hyperlink r:id="rId348" w:history="1">
              <w:r w:rsidRPr="00746549">
                <w:rPr>
                  <w:rStyle w:val="Hyperlink"/>
                  <w:szCs w:val="22"/>
                  <w:lang w:val="en"/>
                </w:rPr>
                <w:t>Services Australia service centers</w:t>
              </w:r>
            </w:hyperlink>
            <w:r w:rsidRPr="00746549">
              <w:rPr>
                <w:szCs w:val="22"/>
                <w:lang w:val="en"/>
              </w:rPr>
              <w:t>, help people with their aged care matters and provide in-depth support including in relation to financial information and means assessment.</w:t>
            </w:r>
          </w:p>
        </w:tc>
      </w:tr>
      <w:tr w:rsidR="00BA1EF7" w:rsidRPr="00C93B6C" w14:paraId="639A0439"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30E28C" w14:textId="77777777" w:rsidR="00370263" w:rsidRPr="00155879" w:rsidRDefault="00370263" w:rsidP="00436FED">
            <w:pPr>
              <w:pStyle w:val="Sub-headingnon-contentpage"/>
            </w:pPr>
            <w:r w:rsidRPr="00155879">
              <w:t>Active, appointed Decision Maker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E6FD7D8" w14:textId="77777777" w:rsidR="00370263" w:rsidRPr="00C93B6C" w:rsidRDefault="00370263">
            <w:pPr>
              <w:spacing w:line="300" w:lineRule="exact"/>
              <w:ind w:right="459"/>
              <w:rPr>
                <w:szCs w:val="22"/>
              </w:rPr>
            </w:pPr>
            <w:r>
              <w:rPr>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3B86225" w14:textId="48C04836" w:rsidR="00370263" w:rsidRPr="00746549" w:rsidRDefault="00370263">
            <w:pPr>
              <w:rPr>
                <w:szCs w:val="22"/>
                <w:lang w:val="en-US"/>
              </w:rPr>
            </w:pPr>
            <w:r w:rsidRPr="003C4943">
              <w:rPr>
                <w:szCs w:val="22"/>
                <w:lang w:val="en-US"/>
              </w:rPr>
              <w:t>‘</w:t>
            </w:r>
            <w:r>
              <w:rPr>
                <w:szCs w:val="22"/>
                <w:lang w:val="en-US"/>
              </w:rPr>
              <w:t>A</w:t>
            </w:r>
            <w:r w:rsidRPr="003C4943">
              <w:rPr>
                <w:szCs w:val="22"/>
                <w:lang w:val="en-US"/>
              </w:rPr>
              <w:t xml:space="preserve">ctive, appointed decision maker’ is the term used for a person who would be considered a ‘guardian </w:t>
            </w:r>
            <w:r w:rsidR="001439A8" w:rsidRPr="003C4943">
              <w:rPr>
                <w:szCs w:val="22"/>
                <w:lang w:val="en-US"/>
              </w:rPr>
              <w:t>etc.</w:t>
            </w:r>
            <w:r w:rsidRPr="003C4943">
              <w:rPr>
                <w:szCs w:val="22"/>
                <w:lang w:val="en-US"/>
              </w:rPr>
              <w:t xml:space="preserve">’ under the </w:t>
            </w:r>
            <w:r w:rsidRPr="003C4943">
              <w:rPr>
                <w:i/>
                <w:iCs/>
                <w:szCs w:val="22"/>
                <w:lang w:val="en-US"/>
              </w:rPr>
              <w:t>Aged Care Act 2024</w:t>
            </w:r>
            <w:r w:rsidRPr="003C4943">
              <w:rPr>
                <w:szCs w:val="22"/>
                <w:lang w:val="en-US"/>
              </w:rPr>
              <w:t xml:space="preserve"> (Cth). If a person is a registered supporter and is also an active, appointed decision maker for an older person (for example, the person is also an enduring attorney for the older person they are registered to support), they are recorded as a </w:t>
            </w:r>
            <w:r>
              <w:rPr>
                <w:szCs w:val="22"/>
                <w:lang w:val="en-US"/>
              </w:rPr>
              <w:t>‘</w:t>
            </w:r>
            <w:r w:rsidRPr="003C4943">
              <w:rPr>
                <w:szCs w:val="22"/>
                <w:lang w:val="en-US"/>
              </w:rPr>
              <w:t>supporter guardian</w:t>
            </w:r>
            <w:r>
              <w:rPr>
                <w:szCs w:val="22"/>
                <w:lang w:val="en-US"/>
              </w:rPr>
              <w:t>’</w:t>
            </w:r>
            <w:r w:rsidRPr="003C4943">
              <w:rPr>
                <w:szCs w:val="22"/>
                <w:lang w:val="en-US"/>
              </w:rPr>
              <w:t xml:space="preserve"> for Information Communications Technology (ICT) purposes. Active, appointed decision makers can only make decisions for an older person within the scope of their legal authority under a Commonwealth, state or territory arrangement.</w:t>
            </w:r>
          </w:p>
        </w:tc>
      </w:tr>
      <w:tr w:rsidR="00BA1EF7" w14:paraId="1FB36A7D"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A0F64B" w14:textId="77777777" w:rsidR="00370263" w:rsidRPr="00155879" w:rsidRDefault="00370263">
            <w:pPr>
              <w:rPr>
                <w:rFonts w:eastAsia="Arial"/>
              </w:rPr>
            </w:pPr>
            <w:r w:rsidRPr="00155879">
              <w:rPr>
                <w:rFonts w:eastAsia="Arial"/>
              </w:rPr>
              <w:t>Assistive technology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8157131" w14:textId="77777777" w:rsidR="00370263" w:rsidRDefault="00370263">
            <w:pPr>
              <w:spacing w:line="300" w:lineRule="exact"/>
              <w:rPr>
                <w:szCs w:val="22"/>
              </w:rPr>
            </w:pPr>
            <w:r w:rsidRPr="24A129B5">
              <w:rPr>
                <w:szCs w:val="22"/>
              </w:rPr>
              <w:t>AT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A42564" w14:textId="77777777" w:rsidR="00370263" w:rsidRDefault="00370263">
            <w:pPr>
              <w:spacing w:line="257" w:lineRule="auto"/>
              <w:rPr>
                <w:rFonts w:eastAsia="Arial"/>
              </w:rPr>
            </w:pPr>
            <w:r w:rsidRPr="24A129B5">
              <w:rPr>
                <w:rFonts w:eastAsia="Arial"/>
              </w:rPr>
              <w:t xml:space="preserve">Is any item, piece of equipment or product that is used to help an older person do things more easily or complete activities they can no longer do independently.  </w:t>
            </w:r>
          </w:p>
          <w:p w14:paraId="693B36D5" w14:textId="77777777" w:rsidR="00370263" w:rsidRDefault="00370263">
            <w:pPr>
              <w:rPr>
                <w:szCs w:val="22"/>
                <w:lang w:val="en-US"/>
              </w:rPr>
            </w:pPr>
          </w:p>
        </w:tc>
      </w:tr>
      <w:tr w:rsidR="00BA1EF7" w14:paraId="74A5723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090079" w14:textId="77777777" w:rsidR="00370263" w:rsidRPr="00155879" w:rsidRDefault="00370263">
            <w:pPr>
              <w:rPr>
                <w:lang w:val="en-AU"/>
              </w:rPr>
            </w:pPr>
            <w:r w:rsidRPr="00155879">
              <w:rPr>
                <w:rFonts w:eastAsia="Arial"/>
                <w:lang w:val="en-AU"/>
              </w:rPr>
              <w:t>Assistive Technology and Home Modifications (AT-HM) list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163EB3D" w14:textId="77777777" w:rsidR="00370263" w:rsidRPr="00546F1B" w:rsidRDefault="00370263">
            <w:pPr>
              <w:spacing w:line="300" w:lineRule="exact"/>
              <w:rPr>
                <w:szCs w:val="22"/>
              </w:rPr>
            </w:pPr>
            <w:r w:rsidRPr="00546F1B">
              <w:rPr>
                <w:szCs w:val="22"/>
              </w:rPr>
              <w:t>AT-HM list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444F5D" w14:textId="77777777" w:rsidR="00370263" w:rsidRPr="00546F1B" w:rsidRDefault="00370263">
            <w:pPr>
              <w:rPr>
                <w:rFonts w:eastAsia="Arial"/>
                <w:szCs w:val="22"/>
                <w:lang w:val="en-US"/>
              </w:rPr>
            </w:pPr>
            <w:r w:rsidRPr="00546F1B">
              <w:rPr>
                <w:rFonts w:eastAsia="Arial"/>
                <w:lang w:val="en-US"/>
              </w:rPr>
              <w:t>A list that sets out the defined equipment, products, and home modifications that can be purchased for eligible participants under the AT-HM scheme.</w:t>
            </w:r>
          </w:p>
        </w:tc>
      </w:tr>
      <w:tr w:rsidR="00BA1EF7" w14:paraId="2984E6ED"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1B49C7" w14:textId="77777777" w:rsidR="00370263" w:rsidRPr="00155879" w:rsidRDefault="00370263">
            <w:pPr>
              <w:rPr>
                <w:rFonts w:eastAsia="Arial"/>
                <w:lang w:val="en-AU"/>
              </w:rPr>
            </w:pPr>
            <w:r w:rsidRPr="00155879">
              <w:rPr>
                <w:rFonts w:eastAsia="Arial"/>
                <w:lang w:val="en-AU"/>
              </w:rPr>
              <w:t>Assistive Technology and Home Modifications scheme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3EA07C5" w14:textId="77777777" w:rsidR="00370263" w:rsidRPr="00546F1B" w:rsidRDefault="00370263">
            <w:pPr>
              <w:spacing w:line="300" w:lineRule="exact"/>
              <w:rPr>
                <w:szCs w:val="22"/>
              </w:rPr>
            </w:pPr>
            <w:r w:rsidRPr="00546F1B">
              <w:rPr>
                <w:szCs w:val="22"/>
              </w:rPr>
              <w:t>AT-HM scheme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38FE69" w14:textId="59F01B6F" w:rsidR="00370263" w:rsidRPr="00546F1B" w:rsidRDefault="00370263">
            <w:pPr>
              <w:rPr>
                <w:rFonts w:eastAsia="Arial"/>
                <w:lang w:val="en-US"/>
              </w:rPr>
            </w:pPr>
            <w:r w:rsidRPr="00546F1B">
              <w:rPr>
                <w:rFonts w:eastAsia="Arial"/>
                <w:lang w:val="en-US"/>
              </w:rPr>
              <w:t>The scheme provid</w:t>
            </w:r>
            <w:r w:rsidR="00DE6C43">
              <w:rPr>
                <w:rFonts w:eastAsia="Arial"/>
                <w:lang w:val="en-US"/>
              </w:rPr>
              <w:t>es</w:t>
            </w:r>
            <w:r w:rsidRPr="00546F1B">
              <w:rPr>
                <w:rFonts w:eastAsia="Arial"/>
                <w:lang w:val="en-US"/>
              </w:rPr>
              <w:t xml:space="preserve"> assistive technology and home modifications </w:t>
            </w:r>
            <w:r w:rsidR="009E6B36">
              <w:rPr>
                <w:rFonts w:eastAsia="Arial"/>
                <w:lang w:val="en-US"/>
              </w:rPr>
              <w:t xml:space="preserve">funding </w:t>
            </w:r>
            <w:r w:rsidRPr="00546F1B">
              <w:rPr>
                <w:rFonts w:eastAsia="Arial"/>
                <w:lang w:val="en-US"/>
              </w:rPr>
              <w:t>for eligible participants.</w:t>
            </w:r>
          </w:p>
        </w:tc>
      </w:tr>
      <w:tr w:rsidR="00BA1EF7" w14:paraId="54DA8E0F"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A9BD156" w14:textId="77777777" w:rsidR="00370263" w:rsidRPr="00155879" w:rsidRDefault="00370263">
            <w:pPr>
              <w:spacing w:before="58" w:after="28" w:line="276" w:lineRule="auto"/>
              <w:rPr>
                <w:rFonts w:eastAsia="Arial"/>
                <w:lang w:val="en-AU"/>
              </w:rPr>
            </w:pPr>
            <w:r w:rsidRPr="00155879">
              <w:rPr>
                <w:rFonts w:eastAsia="Arial"/>
                <w:lang w:val="en-AU"/>
              </w:rPr>
              <w:t>AT-HM scheme guidelines</w:t>
            </w:r>
          </w:p>
          <w:p w14:paraId="76BAB5C4" w14:textId="77777777" w:rsidR="00370263" w:rsidRPr="00155879" w:rsidRDefault="00370263">
            <w:pPr>
              <w:rPr>
                <w:rFonts w:eastAsia="Arial"/>
                <w:lang w:val="en-AU"/>
              </w:rPr>
            </w:pP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DC2520" w14:textId="77777777" w:rsidR="00370263" w:rsidRPr="00546F1B"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891F74" w14:textId="77777777" w:rsidR="00370263" w:rsidRPr="00546F1B" w:rsidRDefault="00370263">
            <w:pPr>
              <w:spacing w:before="58" w:after="28" w:line="276" w:lineRule="auto"/>
              <w:rPr>
                <w:rFonts w:eastAsia="Arial"/>
                <w:lang w:val="en-US"/>
              </w:rPr>
            </w:pPr>
            <w:r w:rsidRPr="00546F1B">
              <w:rPr>
                <w:rFonts w:eastAsia="Arial"/>
                <w:lang w:val="en-US"/>
              </w:rPr>
              <w:t>The AT-HM scheme guidelines provide additional information and processes in relation to the AT-HM scheme.</w:t>
            </w:r>
          </w:p>
          <w:p w14:paraId="2A889576" w14:textId="77777777" w:rsidR="00370263" w:rsidRPr="00546F1B" w:rsidRDefault="00370263">
            <w:pPr>
              <w:rPr>
                <w:rFonts w:eastAsia="Arial"/>
                <w:lang w:val="en-US"/>
              </w:rPr>
            </w:pPr>
          </w:p>
        </w:tc>
      </w:tr>
      <w:tr w:rsidR="00BA1EF7" w14:paraId="5C6A3F4E"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88A625" w14:textId="77777777" w:rsidR="00370263" w:rsidRPr="00155879" w:rsidRDefault="00370263">
            <w:pPr>
              <w:spacing w:line="276" w:lineRule="auto"/>
              <w:rPr>
                <w:rFonts w:eastAsia="Arial"/>
                <w:lang w:val="en-AU"/>
              </w:rPr>
            </w:pPr>
            <w:r w:rsidRPr="00155879">
              <w:rPr>
                <w:rFonts w:eastAsia="Arial"/>
                <w:lang w:val="en-AU"/>
              </w:rPr>
              <w:t>AT-HM tier guide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5ACB56" w14:textId="77777777" w:rsidR="00370263" w:rsidRPr="00546F1B"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E375950" w14:textId="77777777" w:rsidR="00370263" w:rsidRPr="00546F1B" w:rsidRDefault="00370263">
            <w:pPr>
              <w:spacing w:line="276" w:lineRule="auto"/>
              <w:rPr>
                <w:rFonts w:eastAsia="Arial"/>
                <w:lang w:val="en-US"/>
              </w:rPr>
            </w:pPr>
            <w:r w:rsidRPr="00546F1B">
              <w:rPr>
                <w:rFonts w:eastAsia="Arial"/>
                <w:lang w:val="en-US"/>
              </w:rPr>
              <w:t>A guide created to support assessors in making an AT-HM funding tier recommendation.</w:t>
            </w:r>
          </w:p>
        </w:tc>
      </w:tr>
      <w:tr w:rsidR="00BA1EF7" w14:paraId="7F542076" w14:textId="77777777" w:rsidTr="1E63CD71">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2AD353B" w14:textId="30245D8A" w:rsidR="15F8B323" w:rsidRDefault="4738BA28" w:rsidP="21915773">
            <w:pPr>
              <w:spacing w:line="276" w:lineRule="auto"/>
              <w:rPr>
                <w:rFonts w:eastAsia="Arial"/>
                <w:color w:val="000000" w:themeColor="text1"/>
                <w:szCs w:val="22"/>
                <w:lang w:val="en-AU"/>
              </w:rPr>
            </w:pPr>
            <w:r w:rsidRPr="21915773">
              <w:rPr>
                <w:rFonts w:eastAsia="Arial"/>
                <w:color w:val="000000" w:themeColor="text1"/>
                <w:szCs w:val="22"/>
                <w:lang w:val="en-AU"/>
              </w:rPr>
              <w:t xml:space="preserve">Australian National Aged Care Classification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DFC4B82" w14:textId="174687F3" w:rsidR="15F8B323" w:rsidRDefault="4738BA28" w:rsidP="15F8B323">
            <w:pPr>
              <w:spacing w:line="300" w:lineRule="exact"/>
            </w:pPr>
            <w:r>
              <w:t>AN-ACC</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73DCD6D" w14:textId="0E0A2F2C" w:rsidR="15F8B323" w:rsidRDefault="4738BA28" w:rsidP="21915773">
            <w:pPr>
              <w:spacing w:line="276" w:lineRule="auto"/>
              <w:rPr>
                <w:rFonts w:eastAsia="Arial"/>
                <w:szCs w:val="22"/>
                <w:lang w:val="en-US"/>
              </w:rPr>
            </w:pPr>
            <w:r w:rsidRPr="21915773">
              <w:rPr>
                <w:rFonts w:eastAsia="Arial"/>
                <w:color w:val="000000" w:themeColor="text1"/>
                <w:szCs w:val="22"/>
                <w:lang w:val="en-US"/>
              </w:rPr>
              <w:t>Funding model for residential aged care, effective from 1 October 2022.</w:t>
            </w:r>
          </w:p>
        </w:tc>
      </w:tr>
      <w:tr w:rsidR="00BA1EF7" w:rsidRPr="00C93B6C" w14:paraId="1E645C0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0B8D3E" w14:textId="77777777" w:rsidR="00370263" w:rsidRPr="00155879" w:rsidRDefault="00370263" w:rsidP="00436FED">
            <w:pPr>
              <w:pStyle w:val="Sub-headingnon-contentpage"/>
            </w:pPr>
            <w:r w:rsidRPr="00155879">
              <w:t>Australian Privacy Principle/s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D3671AC" w14:textId="77777777" w:rsidR="00370263" w:rsidRPr="00546F1B" w:rsidRDefault="00370263">
            <w:pPr>
              <w:spacing w:line="300" w:lineRule="exact"/>
              <w:ind w:right="459"/>
              <w:rPr>
                <w:szCs w:val="22"/>
              </w:rPr>
            </w:pPr>
            <w:r w:rsidRPr="00546F1B">
              <w:rPr>
                <w:szCs w:val="22"/>
              </w:rPr>
              <w:t>APP/s</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CB3878F" w14:textId="77777777" w:rsidR="00370263" w:rsidRPr="00546F1B" w:rsidRDefault="00370263">
            <w:pPr>
              <w:rPr>
                <w:szCs w:val="22"/>
                <w:lang w:val="en-US"/>
              </w:rPr>
            </w:pPr>
            <w:r w:rsidRPr="00546F1B">
              <w:rPr>
                <w:szCs w:val="22"/>
                <w:lang w:val="en-US"/>
              </w:rPr>
              <w:t>The Privacy Act includes 13 APPs in Schedule 1 that apply to the handling of personal information by most Australian and Norfolk Island Government agencies and some private sector organisations.</w:t>
            </w:r>
          </w:p>
        </w:tc>
      </w:tr>
      <w:tr w:rsidR="00BA1EF7" w:rsidRPr="00C93B6C" w14:paraId="2B12A61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B2A7127" w14:textId="77777777" w:rsidR="00370263" w:rsidRPr="00155879" w:rsidRDefault="00370263" w:rsidP="00436FED">
            <w:pPr>
              <w:pStyle w:val="Sub-headingnon-contentpage"/>
            </w:pPr>
            <w:r w:rsidRPr="00155879">
              <w:t>Care finder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439006" w14:textId="77777777" w:rsidR="00370263" w:rsidRPr="00546F1B"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F9327D" w14:textId="77777777" w:rsidR="00370263" w:rsidRPr="00546F1B" w:rsidRDefault="00370263">
            <w:pPr>
              <w:rPr>
                <w:szCs w:val="22"/>
                <w:lang w:val="en"/>
              </w:rPr>
            </w:pPr>
            <w:r w:rsidRPr="00546F1B">
              <w:rPr>
                <w:szCs w:val="22"/>
                <w:lang w:eastAsia="ko-KR"/>
              </w:rPr>
              <w:t>Care finders assist vulnerable older Australians who do not have someone who is able to help them access aged care services and other relevant supports in the community.</w:t>
            </w:r>
            <w:r w:rsidRPr="00546F1B">
              <w:rPr>
                <w:szCs w:val="22"/>
              </w:rPr>
              <w:t xml:space="preserve"> </w:t>
            </w:r>
            <w:r w:rsidRPr="00546F1B">
              <w:rPr>
                <w:szCs w:val="22"/>
                <w:lang w:eastAsia="ko-KR"/>
              </w:rPr>
              <w:t xml:space="preserve">Contact information for care finder services in each region is on the My Aged Care website at </w:t>
            </w:r>
            <w:hyperlink r:id="rId349" w:history="1">
              <w:r w:rsidRPr="00546F1B">
                <w:rPr>
                  <w:rStyle w:val="Hyperlink"/>
                  <w:color w:val="auto"/>
                  <w:szCs w:val="22"/>
                </w:rPr>
                <w:t>Help from a care finder | My Aged Care</w:t>
              </w:r>
            </w:hyperlink>
          </w:p>
        </w:tc>
      </w:tr>
      <w:tr w:rsidR="00BA1EF7" w14:paraId="6D0F819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579F761" w14:textId="6D0903A4" w:rsidR="00370263" w:rsidRPr="00155879" w:rsidRDefault="00370263">
            <w:pPr>
              <w:rPr>
                <w:rFonts w:eastAsia="Arial"/>
                <w:lang w:val="en-AU"/>
              </w:rPr>
            </w:pPr>
            <w:r w:rsidRPr="00155879">
              <w:rPr>
                <w:rFonts w:eastAsia="Arial"/>
                <w:lang w:val="en-AU"/>
              </w:rPr>
              <w:t>Classification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313FADD" w14:textId="77777777" w:rsidR="00370263" w:rsidRPr="00546F1B"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08BB3B9" w14:textId="77777777" w:rsidR="00370263" w:rsidRPr="00546F1B" w:rsidRDefault="00370263">
            <w:pPr>
              <w:spacing w:before="58" w:after="28" w:line="276" w:lineRule="auto"/>
              <w:rPr>
                <w:rFonts w:eastAsia="Arial"/>
              </w:rPr>
            </w:pPr>
            <w:r w:rsidRPr="00546F1B">
              <w:rPr>
                <w:rFonts w:eastAsia="Arial"/>
              </w:rPr>
              <w:t xml:space="preserve">Refers to the classification of a Support at Home participant, including: </w:t>
            </w:r>
          </w:p>
          <w:p w14:paraId="2A7A85F8" w14:textId="77777777" w:rsidR="00370263" w:rsidRPr="00546F1B" w:rsidRDefault="00370263" w:rsidP="00DF3F6B">
            <w:pPr>
              <w:pStyle w:val="ListParagraph"/>
              <w:numPr>
                <w:ilvl w:val="0"/>
                <w:numId w:val="391"/>
              </w:numPr>
              <w:spacing w:after="0"/>
              <w:rPr>
                <w:rFonts w:eastAsia="Arial"/>
              </w:rPr>
            </w:pPr>
            <w:r w:rsidRPr="00546F1B">
              <w:rPr>
                <w:rFonts w:eastAsia="Arial"/>
              </w:rPr>
              <w:t>Ongoing classification (Classifications 1-8)</w:t>
            </w:r>
          </w:p>
          <w:p w14:paraId="30F4B990" w14:textId="77777777" w:rsidR="00BA7C21" w:rsidRDefault="00370263" w:rsidP="00DF3F6B">
            <w:pPr>
              <w:pStyle w:val="ListParagraph"/>
              <w:numPr>
                <w:ilvl w:val="0"/>
                <w:numId w:val="391"/>
              </w:numPr>
              <w:spacing w:after="0"/>
              <w:rPr>
                <w:rFonts w:eastAsia="Arial"/>
              </w:rPr>
            </w:pPr>
            <w:r w:rsidRPr="00546F1B">
              <w:rPr>
                <w:rFonts w:eastAsia="Arial"/>
              </w:rPr>
              <w:t xml:space="preserve">Short-term classifications (AT-HM scheme, Restorative Care </w:t>
            </w:r>
            <w:r w:rsidR="00B27C21">
              <w:rPr>
                <w:rFonts w:eastAsia="Arial"/>
              </w:rPr>
              <w:t xml:space="preserve">Pathway </w:t>
            </w:r>
            <w:r w:rsidRPr="00546F1B">
              <w:rPr>
                <w:rFonts w:eastAsia="Arial"/>
              </w:rPr>
              <w:t>Classification and End-of-Life Classification).</w:t>
            </w:r>
          </w:p>
          <w:p w14:paraId="18935F9C" w14:textId="77777777" w:rsidR="00BA7C21" w:rsidRDefault="00BA7C21" w:rsidP="00BA7C21">
            <w:pPr>
              <w:spacing w:after="0"/>
              <w:rPr>
                <w:rFonts w:eastAsia="Arial"/>
              </w:rPr>
            </w:pPr>
          </w:p>
          <w:p w14:paraId="397232B1" w14:textId="5E75B3ED" w:rsidR="00A42AE5" w:rsidRPr="005A6638" w:rsidRDefault="00BA7C21" w:rsidP="00BA7C21">
            <w:pPr>
              <w:spacing w:after="0"/>
              <w:rPr>
                <w:rFonts w:eastAsia="Arial"/>
              </w:rPr>
            </w:pPr>
            <w:r>
              <w:rPr>
                <w:rFonts w:eastAsia="Arial"/>
              </w:rPr>
              <w:t xml:space="preserve">Also refers to </w:t>
            </w:r>
            <w:r w:rsidR="00E63A85">
              <w:rPr>
                <w:rFonts w:eastAsia="Arial"/>
              </w:rPr>
              <w:t>r</w:t>
            </w:r>
            <w:r w:rsidR="00A42AE5" w:rsidRPr="00B459FB">
              <w:rPr>
                <w:rFonts w:eastAsia="Arial"/>
              </w:rPr>
              <w:t>esidential</w:t>
            </w:r>
            <w:r w:rsidR="00A42AE5" w:rsidRPr="00487D0C">
              <w:rPr>
                <w:rFonts w:eastAsia="Arial"/>
              </w:rPr>
              <w:t xml:space="preserve"> care</w:t>
            </w:r>
            <w:r w:rsidR="00E63A85">
              <w:rPr>
                <w:rFonts w:eastAsia="Arial"/>
              </w:rPr>
              <w:t xml:space="preserve"> classification </w:t>
            </w:r>
            <w:r w:rsidR="00A42AE5" w:rsidRPr="00487D0C">
              <w:rPr>
                <w:rFonts w:eastAsia="Arial"/>
              </w:rPr>
              <w:t>(ongoing or short-term)</w:t>
            </w:r>
          </w:p>
        </w:tc>
      </w:tr>
      <w:tr w:rsidR="00BA1EF7" w:rsidRPr="00C93B6C" w14:paraId="091F7D01" w14:textId="77777777" w:rsidTr="2B6BD8B8">
        <w:trPr>
          <w:trHeight w:val="161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6EBA77F" w14:textId="77777777" w:rsidR="00370263" w:rsidRPr="00155879" w:rsidRDefault="00370263" w:rsidP="00436FED">
            <w:pPr>
              <w:pStyle w:val="Sub-headingnon-contentpage"/>
            </w:pPr>
            <w:r w:rsidRPr="00155879">
              <w:t>Clinical 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9856F9B"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F175730" w14:textId="56BFB04D" w:rsidR="00370263" w:rsidRPr="00746549" w:rsidRDefault="00370263">
            <w:pPr>
              <w:pStyle w:val="paragraph"/>
              <w:spacing w:before="0" w:beforeAutospacing="0" w:after="0" w:afterAutospacing="0" w:line="276" w:lineRule="auto"/>
              <w:textAlignment w:val="baseline"/>
              <w:rPr>
                <w:rFonts w:eastAsiaTheme="majorEastAsia"/>
                <w:szCs w:val="22"/>
                <w:lang w:val="en-AU" w:eastAsia="ko-KR"/>
              </w:rPr>
            </w:pPr>
            <w:r w:rsidRPr="00746549">
              <w:rPr>
                <w:rFonts w:eastAsiaTheme="majorEastAsia"/>
                <w:szCs w:val="22"/>
                <w:lang w:val="en-AU" w:eastAsia="ko-KR"/>
              </w:rPr>
              <w:t>A clinically trained assessor who meets the qualification and training requirements outlined in the assessment organisation's contractual agreement with the Commonwealth</w:t>
            </w:r>
            <w:r>
              <w:rPr>
                <w:rStyle w:val="normaltextrun"/>
                <w:szCs w:val="22"/>
                <w:shd w:val="clear" w:color="auto" w:fill="FFFFFF"/>
              </w:rPr>
              <w:t xml:space="preserve"> </w:t>
            </w:r>
            <w:r w:rsidRPr="0075641A">
              <w:rPr>
                <w:rFonts w:eastAsiaTheme="majorEastAsia"/>
                <w:lang w:val="en-AU" w:eastAsia="ko-KR"/>
              </w:rPr>
              <w:t>and in the My Aged Care Workforce Learning Strategy 2024 (or subsequent versions)</w:t>
            </w:r>
            <w:r w:rsidRPr="00746549">
              <w:rPr>
                <w:rFonts w:eastAsiaTheme="majorEastAsia"/>
                <w:szCs w:val="22"/>
                <w:lang w:val="en-AU" w:eastAsia="ko-KR"/>
              </w:rPr>
              <w:t>. A clinical assessor undertakes complex (comprehensive) aged care needs assessments with older people and will be required to exercise clinical judgement</w:t>
            </w:r>
            <w:r w:rsidR="00B23AB0" w:rsidRPr="00746549">
              <w:rPr>
                <w:rFonts w:eastAsiaTheme="majorEastAsia"/>
                <w:szCs w:val="22"/>
                <w:lang w:val="en-AU" w:eastAsia="ko-KR"/>
              </w:rPr>
              <w:t xml:space="preserve">. </w:t>
            </w:r>
          </w:p>
          <w:p w14:paraId="2D78AA06" w14:textId="77777777" w:rsidR="00370263" w:rsidRPr="00746549" w:rsidRDefault="00370263">
            <w:pPr>
              <w:rPr>
                <w:szCs w:val="22"/>
                <w:lang w:eastAsia="ko-KR"/>
              </w:rPr>
            </w:pPr>
          </w:p>
        </w:tc>
      </w:tr>
      <w:tr w:rsidR="00BA1EF7" w:rsidRPr="00C93B6C" w14:paraId="3F651A0F" w14:textId="77777777" w:rsidTr="2B6BD8B8">
        <w:trPr>
          <w:trHeight w:val="161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0B3428" w14:textId="77777777" w:rsidR="00370263" w:rsidRPr="00155879" w:rsidRDefault="00370263" w:rsidP="00436FED">
            <w:pPr>
              <w:pStyle w:val="Sub-headingnon-contentpage"/>
            </w:pPr>
            <w:r w:rsidRPr="00155879">
              <w:t>Commonwealth Continuity of Support Programme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DC9D21" w14:textId="77777777" w:rsidR="00370263" w:rsidRPr="00C93B6C" w:rsidRDefault="00370263">
            <w:pPr>
              <w:spacing w:line="300" w:lineRule="exact"/>
              <w:ind w:right="459"/>
              <w:rPr>
                <w:szCs w:val="22"/>
              </w:rPr>
            </w:pPr>
            <w:r w:rsidRPr="00C93B6C">
              <w:rPr>
                <w:szCs w:val="22"/>
              </w:rPr>
              <w:t>CoS</w:t>
            </w:r>
            <w:r w:rsidRPr="00C93B6C">
              <w:rPr>
                <w:szCs w:val="22"/>
              </w:rPr>
              <w:br/>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A84B01D" w14:textId="77777777" w:rsidR="00370263" w:rsidRPr="00746549" w:rsidRDefault="00370263">
            <w:pPr>
              <w:rPr>
                <w:szCs w:val="22"/>
                <w:lang w:eastAsia="ko-KR"/>
              </w:rPr>
            </w:pPr>
            <w:r w:rsidRPr="00746549">
              <w:rPr>
                <w:szCs w:val="22"/>
                <w:lang w:eastAsia="ko-KR"/>
              </w:rPr>
              <w:t xml:space="preserve">The Continuity of Support Programme has been replaced with Disability Support for Older Australians (DSOA). </w:t>
            </w:r>
          </w:p>
        </w:tc>
      </w:tr>
      <w:tr w:rsidR="00BA1EF7" w:rsidRPr="00C93B6C" w14:paraId="2061E94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A58868" w14:textId="77777777" w:rsidR="00370263" w:rsidRPr="00155879" w:rsidRDefault="00370263" w:rsidP="00436FED">
            <w:pPr>
              <w:pStyle w:val="Sub-headingnon-contentpage"/>
            </w:pPr>
            <w:r w:rsidRPr="00155879">
              <w:t>Commonwealth Home Support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6EBC91" w14:textId="77777777" w:rsidR="00370263" w:rsidRPr="00C93B6C" w:rsidRDefault="00370263">
            <w:pPr>
              <w:spacing w:line="300" w:lineRule="exact"/>
              <w:ind w:right="459"/>
              <w:rPr>
                <w:szCs w:val="22"/>
              </w:rPr>
            </w:pPr>
            <w:r w:rsidRPr="00C93B6C">
              <w:rPr>
                <w:szCs w:val="22"/>
              </w:rPr>
              <w:t>CHSP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C450F1F" w14:textId="58D4A311" w:rsidR="00370263" w:rsidRPr="00746549" w:rsidRDefault="00370263">
            <w:pPr>
              <w:rPr>
                <w:szCs w:val="22"/>
                <w:lang w:eastAsia="ko-KR"/>
              </w:rPr>
            </w:pPr>
            <w:r w:rsidRPr="00746549">
              <w:rPr>
                <w:color w:val="000000" w:themeColor="text1"/>
                <w:szCs w:val="22"/>
                <w:lang w:val="en"/>
              </w:rPr>
              <w:t>The Commonwealth Home Support Program provides a broad range of entry-level support services to assist older people aged 65 years and over (50 years and over for Aboriginal and Torres Strait Islander people</w:t>
            </w:r>
            <w:r w:rsidR="00F85A7E">
              <w:rPr>
                <w:color w:val="000000" w:themeColor="text1"/>
                <w:szCs w:val="22"/>
                <w:lang w:val="en"/>
              </w:rPr>
              <w:t xml:space="preserve"> and people who are homeless or at risk of homelessness</w:t>
            </w:r>
            <w:r w:rsidRPr="00746549">
              <w:rPr>
                <w:color w:val="000000" w:themeColor="text1"/>
                <w:szCs w:val="22"/>
                <w:lang w:val="en"/>
              </w:rPr>
              <w:t>) to live independently in their homes and communities.</w:t>
            </w:r>
            <w:r w:rsidRPr="0B2D41E2">
              <w:rPr>
                <w:color w:val="000000" w:themeColor="text1"/>
                <w:szCs w:val="22"/>
                <w:lang w:val="en"/>
              </w:rPr>
              <w:t xml:space="preserve"> From 1 </w:t>
            </w:r>
            <w:r>
              <w:rPr>
                <w:color w:val="000000" w:themeColor="text1"/>
                <w:szCs w:val="22"/>
                <w:lang w:val="en"/>
              </w:rPr>
              <w:t>November</w:t>
            </w:r>
            <w:r w:rsidRPr="0B2D41E2">
              <w:rPr>
                <w:color w:val="000000" w:themeColor="text1"/>
                <w:szCs w:val="22"/>
                <w:lang w:val="en"/>
              </w:rPr>
              <w:t xml:space="preserve"> 2025, the CHSP comes under the </w:t>
            </w:r>
            <w:r w:rsidRPr="00F85A7E">
              <w:rPr>
                <w:i/>
                <w:color w:val="000000" w:themeColor="text1"/>
                <w:szCs w:val="22"/>
                <w:lang w:val="en"/>
              </w:rPr>
              <w:t>Aged Care Act 2024</w:t>
            </w:r>
            <w:r w:rsidRPr="0B2D41E2">
              <w:rPr>
                <w:color w:val="000000" w:themeColor="text1"/>
                <w:szCs w:val="22"/>
                <w:lang w:val="en"/>
              </w:rPr>
              <w:t>.</w:t>
            </w:r>
          </w:p>
        </w:tc>
      </w:tr>
      <w:tr w:rsidR="00BA1EF7" w:rsidRPr="00C93B6C" w14:paraId="2AD0266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73E7060" w14:textId="77777777" w:rsidR="00370263" w:rsidRPr="00155879" w:rsidRDefault="00370263" w:rsidP="00436FED">
            <w:pPr>
              <w:pStyle w:val="Sub-headingnon-contentpage"/>
            </w:pPr>
            <w:r w:rsidRPr="00155879">
              <w:t>Comprehensive 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16A0630"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B7C4E2F" w14:textId="77777777" w:rsidR="00370263" w:rsidRPr="00746549" w:rsidRDefault="00370263">
            <w:pPr>
              <w:rPr>
                <w:szCs w:val="22"/>
              </w:rPr>
            </w:pPr>
            <w:r>
              <w:rPr>
                <w:szCs w:val="22"/>
              </w:rPr>
              <w:t xml:space="preserve">An assessment type for people with more complex needs. Comprehensive assessments are undertaken by clinical assessors. </w:t>
            </w:r>
          </w:p>
        </w:tc>
      </w:tr>
      <w:tr w:rsidR="00BA1EF7" w14:paraId="62FEBB4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E5D581E" w14:textId="77777777" w:rsidR="00370263" w:rsidRPr="00155879" w:rsidRDefault="00370263" w:rsidP="00436FED">
            <w:pPr>
              <w:pStyle w:val="Sub-headingnon-contentpage"/>
            </w:pPr>
            <w:r w:rsidRPr="00155879">
              <w:t>Cultural Safety for Aboriginal and Torres Strait Islander people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0A3A8F" w14:textId="77777777" w:rsidR="00370263" w:rsidRDefault="00370263">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9755A9C" w14:textId="4AD9A1E2" w:rsidR="00370263" w:rsidRDefault="00370263">
            <w:pPr>
              <w:rPr>
                <w:szCs w:val="22"/>
              </w:rPr>
            </w:pPr>
            <w:r>
              <w:rPr>
                <w:szCs w:val="22"/>
              </w:rPr>
              <w:t xml:space="preserve">The National Aboriginal and Torres Strait Islander Ageing and Aged Care Council (NATSIAACC) defined cultural safety as: </w:t>
            </w:r>
            <w:r w:rsidRPr="00C90122">
              <w:rPr>
                <w:szCs w:val="22"/>
              </w:rPr>
              <w:t>‘Cultural safety requires understanding one’s own culture and the impact that your culture, thinking, and actions may have on the culture and wellbeing of others through ongoing critical self-reflection. Only the care recipient themselves can determine whether the service is culturally safe. Ensuring access to a culturally safe, respectful, responsive and racism free aged care system is inherent for the optimal safety, autonomy, dignity, and absolute wellbeing of Aboriginal and Torres Strait Islander Elders, senior and older people, their families and community.</w:t>
            </w:r>
          </w:p>
          <w:p w14:paraId="4562FB74" w14:textId="3F946ECD" w:rsidR="005B3074" w:rsidRDefault="00370263" w:rsidP="005B3074">
            <w:pPr>
              <w:rPr>
                <w:szCs w:val="22"/>
                <w:lang w:val="en-AU"/>
              </w:rPr>
            </w:pPr>
            <w:r w:rsidRPr="00C90122">
              <w:rPr>
                <w:szCs w:val="22"/>
              </w:rPr>
              <w:t>Aged care service providers and workers must take responsibility for building trust and relationships with Aboriginal and Torres Strait Islander service users, and their families, and for creating a new aged care system which centres on their living experience, cultural, and ageing needs, as determined by Aboriginal and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w:t>
            </w:r>
            <w:r>
              <w:rPr>
                <w:szCs w:val="22"/>
              </w:rPr>
              <w:t>’</w:t>
            </w:r>
            <w:r w:rsidR="005B3074" w:rsidRPr="00EE50B4">
              <w:rPr>
                <w:szCs w:val="22"/>
                <w:lang w:val="en-AU"/>
              </w:rPr>
              <w:t xml:space="preserve"> </w:t>
            </w:r>
          </w:p>
          <w:p w14:paraId="084533F0" w14:textId="167FF191" w:rsidR="005B3074" w:rsidRPr="00EE50B4" w:rsidRDefault="005B3074" w:rsidP="005B3074">
            <w:pPr>
              <w:rPr>
                <w:szCs w:val="22"/>
                <w:lang w:val="en-AU"/>
              </w:rPr>
            </w:pPr>
            <w:r w:rsidRPr="00EE50B4">
              <w:rPr>
                <w:szCs w:val="22"/>
                <w:lang w:val="en-AU"/>
              </w:rPr>
              <w:t>According to the</w:t>
            </w:r>
            <w:r>
              <w:rPr>
                <w:szCs w:val="22"/>
                <w:lang w:val="en-AU"/>
              </w:rPr>
              <w:t xml:space="preserve"> </w:t>
            </w:r>
            <w:r w:rsidRPr="00EE50B4">
              <w:rPr>
                <w:szCs w:val="22"/>
                <w:lang w:val="en-AU"/>
              </w:rPr>
              <w:t>Australian Health Practitioner Regulation Agency (A</w:t>
            </w:r>
            <w:r>
              <w:rPr>
                <w:szCs w:val="22"/>
                <w:lang w:val="en-AU"/>
              </w:rPr>
              <w:t>HPRA</w:t>
            </w:r>
            <w:r w:rsidRPr="00EE50B4">
              <w:rPr>
                <w:szCs w:val="22"/>
                <w:lang w:val="en-AU"/>
              </w:rPr>
              <w:t>):</w:t>
            </w:r>
          </w:p>
          <w:p w14:paraId="61E63ABA" w14:textId="77777777" w:rsidR="005B3074" w:rsidRDefault="005B3074" w:rsidP="005B3074">
            <w:pPr>
              <w:rPr>
                <w:szCs w:val="22"/>
                <w:lang w:val="en-AU"/>
              </w:rPr>
            </w:pPr>
            <w:r w:rsidRPr="00EE50B4">
              <w:rPr>
                <w:szCs w:val="22"/>
                <w:lang w:val="en-AU"/>
              </w:rPr>
              <w:t>“Cultural safety is determined by Aboriginal and Torres Strait Islander individuals, families and communities.”</w:t>
            </w:r>
          </w:p>
          <w:p w14:paraId="06220AA3" w14:textId="5867E8C8" w:rsidR="00370263" w:rsidRDefault="005B3074">
            <w:pPr>
              <w:rPr>
                <w:szCs w:val="22"/>
              </w:rPr>
            </w:pPr>
            <w:r w:rsidRPr="00EE50B4">
              <w:rPr>
                <w:szCs w:val="22"/>
                <w:lang w:val="en-AU"/>
              </w:rPr>
              <w:br/>
              <w:t>It involves ongoing critical reflection by health practitioners on their own knowledge, skills, attitudes, and power differentials, and how these affect their practice </w:t>
            </w:r>
          </w:p>
        </w:tc>
      </w:tr>
      <w:tr w:rsidR="00BA1EF7" w:rsidRPr="00C93B6C" w14:paraId="2F7226B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5AE58A" w14:textId="77777777" w:rsidR="00370263" w:rsidRPr="00155879" w:rsidRDefault="00370263" w:rsidP="00436FED">
            <w:pPr>
              <w:pStyle w:val="Sub-headingnon-contentpage"/>
              <w:rPr>
                <w:lang w:val="en"/>
              </w:rPr>
            </w:pPr>
            <w:r w:rsidRPr="00155879">
              <w:t>Departmental delegate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724AFD4"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7A49E8" w14:textId="77777777" w:rsidR="00370263" w:rsidRPr="00746549" w:rsidRDefault="00370263">
            <w:pPr>
              <w:rPr>
                <w:color w:val="000000" w:themeColor="text1"/>
                <w:szCs w:val="22"/>
                <w:lang w:val="en"/>
              </w:rPr>
            </w:pPr>
            <w:r w:rsidRPr="00746549">
              <w:rPr>
                <w:szCs w:val="22"/>
              </w:rPr>
              <w:t xml:space="preserve">A </w:t>
            </w:r>
            <w:r>
              <w:rPr>
                <w:szCs w:val="22"/>
              </w:rPr>
              <w:t>department</w:t>
            </w:r>
            <w:r w:rsidRPr="00746549">
              <w:rPr>
                <w:szCs w:val="22"/>
              </w:rPr>
              <w:t xml:space="preserve">al employee whose position has been delegated powers and functions under a section of the </w:t>
            </w:r>
            <w:r w:rsidRPr="00746549">
              <w:rPr>
                <w:i/>
                <w:szCs w:val="22"/>
              </w:rPr>
              <w:t xml:space="preserve">Aged Care </w:t>
            </w:r>
            <w:r w:rsidRPr="003E1933">
              <w:rPr>
                <w:i/>
                <w:szCs w:val="22"/>
              </w:rPr>
              <w:t>Act</w:t>
            </w:r>
            <w:r w:rsidRPr="00746549">
              <w:rPr>
                <w:i/>
                <w:szCs w:val="22"/>
              </w:rPr>
              <w:t xml:space="preserve"> </w:t>
            </w:r>
            <w:r>
              <w:rPr>
                <w:i/>
                <w:szCs w:val="22"/>
              </w:rPr>
              <w:t>2024</w:t>
            </w:r>
            <w:r w:rsidRPr="00746549">
              <w:rPr>
                <w:i/>
                <w:szCs w:val="22"/>
              </w:rPr>
              <w:t xml:space="preserve"> </w:t>
            </w:r>
            <w:r w:rsidRPr="00746549">
              <w:rPr>
                <w:szCs w:val="22"/>
              </w:rPr>
              <w:t xml:space="preserve">(Cth) by the </w:t>
            </w:r>
            <w:r>
              <w:rPr>
                <w:szCs w:val="22"/>
              </w:rPr>
              <w:t xml:space="preserve">System Governor. </w:t>
            </w:r>
          </w:p>
        </w:tc>
      </w:tr>
      <w:tr w:rsidR="00BA1EF7" w:rsidRPr="00C93B6C" w14:paraId="622CD5B7"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94427BA" w14:textId="77777777" w:rsidR="00370263" w:rsidRPr="00155879" w:rsidRDefault="00370263" w:rsidP="00436FED">
            <w:pPr>
              <w:pStyle w:val="Sub-headingnon-contentpage"/>
            </w:pPr>
            <w:r w:rsidRPr="00155879">
              <w:t>Disability Support for Older Australians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B4DDF7" w14:textId="77777777" w:rsidR="00370263" w:rsidRPr="00C93B6C" w:rsidRDefault="00370263">
            <w:pPr>
              <w:spacing w:line="300" w:lineRule="exact"/>
              <w:ind w:right="459"/>
              <w:rPr>
                <w:szCs w:val="22"/>
              </w:rPr>
            </w:pPr>
            <w:r w:rsidRPr="00C93B6C">
              <w:rPr>
                <w:szCs w:val="22"/>
              </w:rPr>
              <w:t>DSOA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B42CF0" w14:textId="77777777" w:rsidR="00370263" w:rsidRPr="00746549" w:rsidRDefault="00370263">
            <w:pPr>
              <w:rPr>
                <w:szCs w:val="22"/>
              </w:rPr>
            </w:pPr>
            <w:r w:rsidRPr="00746549">
              <w:rPr>
                <w:rFonts w:eastAsia="Calibri"/>
                <w:color w:val="000000" w:themeColor="text1"/>
                <w:szCs w:val="22"/>
              </w:rPr>
              <w:t xml:space="preserve">DSOA provides funding for a range of services including Assistance in Supported Independent Living, Assistance with Self-Care </w:t>
            </w:r>
            <w:r w:rsidRPr="003E1933">
              <w:rPr>
                <w:rFonts w:eastAsia="Calibri"/>
                <w:color w:val="000000" w:themeColor="text1"/>
                <w:szCs w:val="22"/>
              </w:rPr>
              <w:t>Act</w:t>
            </w:r>
            <w:r w:rsidRPr="00746549">
              <w:rPr>
                <w:rFonts w:eastAsia="Calibri"/>
                <w:color w:val="000000" w:themeColor="text1"/>
                <w:szCs w:val="22"/>
              </w:rPr>
              <w:t xml:space="preserve">ivities, Specialist/Behavioural Intervention Support, Therapy, and Case Management. </w:t>
            </w:r>
          </w:p>
        </w:tc>
      </w:tr>
      <w:tr w:rsidR="00BA1EF7" w:rsidRPr="00C93B6C" w14:paraId="1DF9292A"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D0FC849" w14:textId="77777777" w:rsidR="00370263" w:rsidRPr="00155879" w:rsidRDefault="00370263" w:rsidP="00436FED">
            <w:pPr>
              <w:pStyle w:val="Sub-headingnon-contentpage"/>
            </w:pPr>
            <w:r w:rsidRPr="00155879">
              <w:t>Elder Care Support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1838D90"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DA764B" w14:textId="1AA54FC2" w:rsidR="00370263" w:rsidRPr="00746549" w:rsidRDefault="00370263">
            <w:pPr>
              <w:rPr>
                <w:rFonts w:eastAsia="Calibri"/>
                <w:color w:val="000000" w:themeColor="text1"/>
                <w:szCs w:val="22"/>
              </w:rPr>
            </w:pPr>
            <w:r w:rsidRPr="00746549">
              <w:rPr>
                <w:rFonts w:eastAsia="Calibri"/>
                <w:color w:val="000000" w:themeColor="text1"/>
                <w:szCs w:val="22"/>
              </w:rPr>
              <w:t>Th</w:t>
            </w:r>
            <w:r w:rsidR="00310743">
              <w:rPr>
                <w:rFonts w:eastAsia="Calibri"/>
                <w:color w:val="000000" w:themeColor="text1"/>
                <w:szCs w:val="22"/>
              </w:rPr>
              <w:t>is</w:t>
            </w:r>
            <w:r w:rsidRPr="00746549">
              <w:rPr>
                <w:rFonts w:eastAsia="Calibri"/>
                <w:color w:val="000000" w:themeColor="text1"/>
                <w:szCs w:val="22"/>
              </w:rPr>
              <w:t xml:space="preserve"> workforce help</w:t>
            </w:r>
            <w:r w:rsidR="00310743">
              <w:rPr>
                <w:rFonts w:eastAsia="Calibri"/>
                <w:color w:val="000000" w:themeColor="text1"/>
                <w:szCs w:val="22"/>
              </w:rPr>
              <w:t>s</w:t>
            </w:r>
            <w:r w:rsidRPr="00746549">
              <w:rPr>
                <w:rFonts w:eastAsia="Calibri"/>
                <w:color w:val="000000" w:themeColor="text1"/>
                <w:szCs w:val="22"/>
              </w:rPr>
              <w:t xml:space="preserve"> </w:t>
            </w:r>
            <w:r>
              <w:rPr>
                <w:rFonts w:eastAsia="Calibri"/>
                <w:color w:val="000000" w:themeColor="text1"/>
                <w:szCs w:val="22"/>
              </w:rPr>
              <w:t>older Aboriginal and Torres Strait Islander</w:t>
            </w:r>
            <w:r w:rsidRPr="00746549">
              <w:rPr>
                <w:rFonts w:eastAsia="Calibri"/>
                <w:color w:val="000000" w:themeColor="text1"/>
                <w:szCs w:val="22"/>
              </w:rPr>
              <w:t xml:space="preserve"> </w:t>
            </w:r>
            <w:r>
              <w:rPr>
                <w:rFonts w:eastAsia="Calibri"/>
                <w:color w:val="000000" w:themeColor="text1"/>
                <w:szCs w:val="22"/>
              </w:rPr>
              <w:t>people</w:t>
            </w:r>
            <w:r w:rsidRPr="00746549">
              <w:rPr>
                <w:rFonts w:eastAsia="Calibri"/>
                <w:color w:val="000000" w:themeColor="text1"/>
                <w:szCs w:val="22"/>
              </w:rPr>
              <w:t>, their families and carers, to access aged care services across urban, regional and remote Australia to meet their physical and cultural needs.</w:t>
            </w:r>
          </w:p>
        </w:tc>
      </w:tr>
      <w:tr w:rsidR="00BA1EF7" w:rsidRPr="00C93B6C" w14:paraId="06375143"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ACE4EE" w14:textId="77777777" w:rsidR="00370263" w:rsidRPr="00155879" w:rsidRDefault="00370263" w:rsidP="00436FED">
            <w:pPr>
              <w:pStyle w:val="Sub-headingnon-contentpage"/>
              <w:rPr>
                <w:lang w:val="en"/>
              </w:rPr>
            </w:pPr>
            <w:r w:rsidRPr="00155879">
              <w:t>Aboriginal and Torres Strait Islander Assessment Organisations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5D772E6" w14:textId="77777777" w:rsidR="00370263" w:rsidRPr="00C93B6C" w:rsidRDefault="00370263">
            <w:pPr>
              <w:spacing w:line="300" w:lineRule="exact"/>
              <w:ind w:right="459"/>
              <w:rPr>
                <w:szCs w:val="22"/>
              </w:rPr>
            </w:pPr>
            <w:r>
              <w:rPr>
                <w:szCs w:val="22"/>
              </w:rPr>
              <w:t>FNAO in My Aged Care System</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5FC5E2" w14:textId="77777777" w:rsidR="00370263" w:rsidRPr="00746549" w:rsidRDefault="00370263">
            <w:pPr>
              <w:rPr>
                <w:szCs w:val="22"/>
                <w:lang w:val="en"/>
              </w:rPr>
            </w:pPr>
            <w:r>
              <w:rPr>
                <w:lang w:val="en-US"/>
              </w:rPr>
              <w:t>Aboriginal and Torres Strait Islander</w:t>
            </w:r>
            <w:r w:rsidRPr="222A352D">
              <w:rPr>
                <w:lang w:val="en-US"/>
              </w:rPr>
              <w:t xml:space="preserve"> Assessment Organisation</w:t>
            </w:r>
            <w:r>
              <w:rPr>
                <w:lang w:val="en-US"/>
              </w:rPr>
              <w:t xml:space="preserve">s were established from August 2025 to provide culturally safe, trauma aware and healing informed assessments. </w:t>
            </w:r>
          </w:p>
        </w:tc>
      </w:tr>
      <w:tr w:rsidR="00BA1EF7" w:rsidRPr="00C93B6C" w14:paraId="002D347D" w14:textId="77777777" w:rsidTr="2B6BD8B8">
        <w:trPr>
          <w:trHeight w:val="906"/>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33528DF" w14:textId="77777777" w:rsidR="00370263" w:rsidRPr="00155879" w:rsidRDefault="00370263" w:rsidP="00436FED">
            <w:pPr>
              <w:pStyle w:val="Sub-headingnon-contentpage"/>
            </w:pPr>
            <w:r w:rsidRPr="00155879">
              <w:t>Formal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96DA8F5"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F7B6D0" w14:textId="77777777" w:rsidR="00370263" w:rsidRPr="00746549" w:rsidRDefault="00370263">
            <w:pPr>
              <w:rPr>
                <w:szCs w:val="22"/>
                <w:lang w:val="en-US"/>
              </w:rPr>
            </w:pPr>
            <w:r w:rsidRPr="00746549">
              <w:rPr>
                <w:szCs w:val="22"/>
                <w:lang w:val="en-US"/>
              </w:rPr>
              <w:t xml:space="preserve">Where formal services are referred to in this Manual these are paid services, such as government funded support. </w:t>
            </w:r>
          </w:p>
        </w:tc>
      </w:tr>
      <w:tr w:rsidR="00BA1EF7" w:rsidRPr="00C93B6C" w14:paraId="2380AE5E" w14:textId="77777777" w:rsidTr="2B6BD8B8">
        <w:trPr>
          <w:trHeight w:hRule="exact" w:val="78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1435AAD" w14:textId="77777777" w:rsidR="00370263" w:rsidRPr="00155879" w:rsidRDefault="00370263" w:rsidP="00436FED">
            <w:pPr>
              <w:pStyle w:val="Sub-headingnon-contentpage"/>
            </w:pPr>
            <w:r w:rsidRPr="00155879">
              <w:t>Good Practice / Best Practice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FFA92B0"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DA4B1E" w14:textId="77777777" w:rsidR="00370263" w:rsidRPr="00746549" w:rsidRDefault="00370263">
            <w:pPr>
              <w:rPr>
                <w:szCs w:val="22"/>
                <w:lang w:val="en"/>
              </w:rPr>
            </w:pPr>
            <w:r w:rsidRPr="00746549">
              <w:rPr>
                <w:szCs w:val="22"/>
              </w:rPr>
              <w:t xml:space="preserve">Good practice is a matter of action. Best Practice is a recommendation. </w:t>
            </w:r>
          </w:p>
        </w:tc>
      </w:tr>
      <w:tr w:rsidR="00BA1EF7" w14:paraId="3C879CA3" w14:textId="77777777" w:rsidTr="2B6BD8B8">
        <w:trPr>
          <w:trHeight w:val="78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AAE185A" w14:textId="77777777" w:rsidR="00370263" w:rsidRPr="00155879" w:rsidRDefault="00370263">
            <w:pPr>
              <w:rPr>
                <w:rFonts w:eastAsia="Arial"/>
              </w:rPr>
            </w:pPr>
            <w:r w:rsidRPr="00155879">
              <w:rPr>
                <w:rFonts w:eastAsia="Arial"/>
              </w:rPr>
              <w:t>Home modifications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3E9041F" w14:textId="77777777" w:rsidR="00370263" w:rsidRDefault="00370263">
            <w:pPr>
              <w:spacing w:line="300" w:lineRule="exact"/>
              <w:rPr>
                <w:szCs w:val="22"/>
              </w:rPr>
            </w:pPr>
            <w:r w:rsidRPr="24A129B5">
              <w:rPr>
                <w:szCs w:val="22"/>
              </w:rPr>
              <w:t>HM</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D4FE16B" w14:textId="77777777" w:rsidR="00370263" w:rsidRDefault="00370263">
            <w:pPr>
              <w:rPr>
                <w:rFonts w:eastAsia="Arial"/>
                <w:szCs w:val="22"/>
              </w:rPr>
            </w:pPr>
            <w:r w:rsidRPr="24A129B5">
              <w:rPr>
                <w:rFonts w:eastAsia="Arial"/>
              </w:rPr>
              <w:t>Changes to an older person’s home to create a home environment that is safer and more accessible, so they can remain living safely at home.</w:t>
            </w:r>
          </w:p>
        </w:tc>
      </w:tr>
      <w:tr w:rsidR="00BA1EF7" w:rsidRPr="00C93B6C" w14:paraId="6E4D6E27" w14:textId="77777777" w:rsidTr="2B6BD8B8">
        <w:trPr>
          <w:trHeight w:val="153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910018" w14:textId="7B0395FC" w:rsidR="00370263" w:rsidRPr="00155879" w:rsidRDefault="00361CC6" w:rsidP="00436FED">
            <w:pPr>
              <w:pStyle w:val="Sub-headingnon-contentpage"/>
            </w:pPr>
            <w:r>
              <w:t xml:space="preserve">Home Care Package </w:t>
            </w:r>
            <w:r w:rsidR="00370263" w:rsidRPr="00155879">
              <w:t>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BD5B42" w14:textId="77777777" w:rsidR="00370263" w:rsidRPr="00C93B6C" w:rsidRDefault="00370263">
            <w:pPr>
              <w:spacing w:line="300" w:lineRule="exact"/>
              <w:ind w:right="459"/>
              <w:rPr>
                <w:szCs w:val="22"/>
              </w:rPr>
            </w:pPr>
            <w:r w:rsidRPr="00C93B6C">
              <w:rPr>
                <w:szCs w:val="22"/>
              </w:rPr>
              <w:t>HCP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D62B1D8" w14:textId="44E810E3" w:rsidR="00370263" w:rsidRPr="00746549" w:rsidRDefault="00370263">
            <w:pPr>
              <w:rPr>
                <w:lang w:val="en"/>
              </w:rPr>
            </w:pPr>
            <w:r w:rsidRPr="4B7FC464">
              <w:rPr>
                <w:lang w:val="en"/>
              </w:rPr>
              <w:t xml:space="preserve">The </w:t>
            </w:r>
            <w:r w:rsidR="00367422" w:rsidRPr="4B7FC464">
              <w:rPr>
                <w:lang w:val="en"/>
              </w:rPr>
              <w:t>HCP</w:t>
            </w:r>
            <w:r w:rsidRPr="4B7FC464">
              <w:rPr>
                <w:lang w:val="en"/>
              </w:rPr>
              <w:t xml:space="preserve"> Program </w:t>
            </w:r>
            <w:r w:rsidR="5D237028" w:rsidRPr="4B7FC464">
              <w:rPr>
                <w:lang w:val="en"/>
              </w:rPr>
              <w:t>support</w:t>
            </w:r>
            <w:r w:rsidR="00883888">
              <w:rPr>
                <w:lang w:val="en"/>
              </w:rPr>
              <w:t>ed</w:t>
            </w:r>
            <w:r w:rsidRPr="4B7FC464">
              <w:rPr>
                <w:lang w:val="en"/>
              </w:rPr>
              <w:t xml:space="preserve"> older Australians with complex care needs to live independently in their own homes. There are 4 levels of s — from level 1 for basic care needs to level 4 for high care needs.</w:t>
            </w:r>
            <w:r w:rsidR="7B362EBC" w:rsidRPr="4B7FC464">
              <w:rPr>
                <w:lang w:val="en"/>
              </w:rPr>
              <w:t xml:space="preserve"> </w:t>
            </w:r>
            <w:r w:rsidR="7B362EBC" w:rsidRPr="7CC11334">
              <w:rPr>
                <w:lang w:val="en"/>
              </w:rPr>
              <w:t>The Program cease</w:t>
            </w:r>
            <w:r w:rsidR="00883888">
              <w:rPr>
                <w:lang w:val="en"/>
              </w:rPr>
              <w:t>d</w:t>
            </w:r>
            <w:r w:rsidR="7B362EBC" w:rsidRPr="7CC11334">
              <w:rPr>
                <w:lang w:val="en"/>
              </w:rPr>
              <w:t xml:space="preserve"> on 31 October 2025</w:t>
            </w:r>
            <w:r w:rsidR="00883888">
              <w:rPr>
                <w:lang w:val="en"/>
              </w:rPr>
              <w:t>, replaced by the Support at Home program</w:t>
            </w:r>
            <w:r w:rsidR="7B362EBC" w:rsidRPr="7CC11334">
              <w:rPr>
                <w:lang w:val="en"/>
              </w:rPr>
              <w:t>.</w:t>
            </w:r>
          </w:p>
        </w:tc>
      </w:tr>
      <w:tr w:rsidR="00BA1EF7" w:rsidRPr="00C93B6C" w14:paraId="05C3621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B87C156" w14:textId="77777777" w:rsidR="00370263" w:rsidRPr="00155879" w:rsidRDefault="00370263" w:rsidP="00436FED">
            <w:pPr>
              <w:pStyle w:val="Sub-headingnon-contentpage"/>
            </w:pPr>
            <w:r w:rsidRPr="00155879">
              <w:t>Informal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210BAC4"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D99F5C" w14:textId="77777777" w:rsidR="00370263" w:rsidRPr="00746549" w:rsidRDefault="00370263">
            <w:pPr>
              <w:rPr>
                <w:szCs w:val="22"/>
                <w:lang w:val="en-US"/>
              </w:rPr>
            </w:pPr>
            <w:r w:rsidRPr="00746549">
              <w:rPr>
                <w:szCs w:val="22"/>
                <w:lang w:val="en-US"/>
              </w:rPr>
              <w:t xml:space="preserve">Where informal services are referred to in this Manual this is the unpaid support provided by carers, family, neighbours or other community organisations. </w:t>
            </w:r>
          </w:p>
        </w:tc>
      </w:tr>
      <w:tr w:rsidR="00BA1EF7" w:rsidRPr="00C93B6C" w14:paraId="31B0A3BC"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395F141" w14:textId="77777777" w:rsidR="00370263" w:rsidRPr="00155879" w:rsidRDefault="00370263" w:rsidP="00436FED">
            <w:pPr>
              <w:pStyle w:val="Sub-headingnon-contentpage"/>
            </w:pPr>
            <w:r w:rsidRPr="00155879">
              <w:t>Integrated Assessment Tool</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A55249B" w14:textId="77777777" w:rsidR="00370263" w:rsidRPr="00C93B6C" w:rsidRDefault="00370263">
            <w:pPr>
              <w:spacing w:line="300" w:lineRule="exact"/>
              <w:ind w:right="459"/>
              <w:rPr>
                <w:szCs w:val="22"/>
              </w:rPr>
            </w:pPr>
            <w:r>
              <w:rPr>
                <w:szCs w:val="22"/>
              </w:rPr>
              <w:t>IAT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F6A078E" w14:textId="330B70A7" w:rsidR="00370263" w:rsidRPr="00746549" w:rsidRDefault="00370263">
            <w:pPr>
              <w:rPr>
                <w:szCs w:val="22"/>
                <w:lang w:eastAsia="ko-KR"/>
              </w:rPr>
            </w:pPr>
            <w:r w:rsidRPr="00746549">
              <w:rPr>
                <w:szCs w:val="22"/>
                <w:lang w:eastAsia="ko-KR"/>
              </w:rPr>
              <w:t>The IAT is an assessment tool used to assess eligibility for all aged care programs.</w:t>
            </w:r>
          </w:p>
        </w:tc>
      </w:tr>
      <w:tr w:rsidR="00BA1EF7" w:rsidRPr="00C93B6C" w14:paraId="422F57E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0863245" w14:textId="77777777" w:rsidR="00370263" w:rsidRPr="00155879" w:rsidRDefault="00370263" w:rsidP="00436FED">
            <w:pPr>
              <w:pStyle w:val="Sub-headingnon-contentpage"/>
            </w:pPr>
            <w:r w:rsidRPr="00155879">
              <w:t>ISBAR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7436C24"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0986A36" w14:textId="77777777" w:rsidR="00370263" w:rsidRPr="00746549" w:rsidRDefault="00370263">
            <w:pPr>
              <w:rPr>
                <w:szCs w:val="22"/>
                <w:lang w:val="en"/>
              </w:rPr>
            </w:pPr>
            <w:r w:rsidRPr="00746549">
              <w:rPr>
                <w:szCs w:val="22"/>
                <w:lang w:eastAsia="ko-KR"/>
              </w:rPr>
              <w:t>The ISBAR framework represents a standardised approach to communication which can be used in any situation. It stands for Introduction, Situation, Background, Assessment and Recommendation.</w:t>
            </w:r>
            <w:r>
              <w:rPr>
                <w:szCs w:val="22"/>
                <w:lang w:eastAsia="ko-KR"/>
              </w:rPr>
              <w:t xml:space="preserve"> The ISBAR is the format which must be used when drafting a Support Plan. </w:t>
            </w:r>
          </w:p>
        </w:tc>
      </w:tr>
      <w:tr w:rsidR="00BA1EF7" w:rsidRPr="00C93B6C" w14:paraId="5A700C6D" w14:textId="77777777" w:rsidTr="2B6BD8B8">
        <w:trPr>
          <w:trHeight w:val="6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D4B50C5" w14:textId="77777777" w:rsidR="00370263" w:rsidRPr="00155879" w:rsidRDefault="00370263" w:rsidP="00436FED">
            <w:pPr>
              <w:pStyle w:val="Sub-headingnon-contentpage"/>
              <w:rPr>
                <w:lang w:val="en"/>
              </w:rPr>
            </w:pPr>
            <w:r w:rsidRPr="00155879">
              <w:t xml:space="preserve">Multi-Purpose Service Program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D665CF9" w14:textId="77777777" w:rsidR="00370263" w:rsidRPr="00C93B6C" w:rsidRDefault="00370263">
            <w:pPr>
              <w:spacing w:line="300" w:lineRule="exact"/>
              <w:ind w:right="459"/>
              <w:rPr>
                <w:szCs w:val="22"/>
              </w:rPr>
            </w:pPr>
            <w:r w:rsidRPr="5DFB501A">
              <w:rPr>
                <w:szCs w:val="22"/>
              </w:rPr>
              <w:t>MPSP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099A45" w14:textId="205BA14E" w:rsidR="00370263" w:rsidRPr="00746549" w:rsidRDefault="00370263">
            <w:pPr>
              <w:rPr>
                <w:szCs w:val="22"/>
                <w:lang w:eastAsia="ko-KR"/>
              </w:rPr>
            </w:pPr>
            <w:r w:rsidRPr="00746549">
              <w:rPr>
                <w:szCs w:val="22"/>
                <w:lang w:eastAsia="ko-KR"/>
              </w:rPr>
              <w:t xml:space="preserve">The Multi-Purpose Service Program </w:t>
            </w:r>
            <w:r w:rsidRPr="5DFB501A">
              <w:rPr>
                <w:szCs w:val="22"/>
                <w:lang w:eastAsia="ko-KR"/>
              </w:rPr>
              <w:t xml:space="preserve">(MPSP) </w:t>
            </w:r>
            <w:r w:rsidRPr="00746549">
              <w:rPr>
                <w:szCs w:val="22"/>
                <w:lang w:eastAsia="ko-KR"/>
              </w:rPr>
              <w:t xml:space="preserve">is a joint initiative of the Australian Government and state and territory governments. It aims to deliver flexible and integrated health and aged care services to some small rural and remote communities that could not viably support stand-alone hospitals or </w:t>
            </w:r>
            <w:r w:rsidR="00C718E9">
              <w:rPr>
                <w:szCs w:val="22"/>
                <w:lang w:eastAsia="ko-KR"/>
              </w:rPr>
              <w:t>aged care facilities</w:t>
            </w:r>
            <w:r w:rsidRPr="00746549">
              <w:rPr>
                <w:szCs w:val="22"/>
                <w:lang w:eastAsia="ko-KR"/>
              </w:rPr>
              <w:t xml:space="preserve">. </w:t>
            </w:r>
          </w:p>
        </w:tc>
      </w:tr>
      <w:tr w:rsidR="00BA1EF7" w:rsidRPr="00C93B6C" w14:paraId="606FC367"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79996C1" w14:textId="77777777" w:rsidR="00370263" w:rsidRPr="00155879" w:rsidRDefault="00370263" w:rsidP="00436FED">
            <w:pPr>
              <w:pStyle w:val="Sub-headingnon-contentpage"/>
            </w:pPr>
            <w:r w:rsidRPr="00155879">
              <w:t>My Aged Care contact centre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3925D4" w14:textId="77777777" w:rsidR="00370263" w:rsidRPr="00C93B6C" w:rsidRDefault="00370263">
            <w:pPr>
              <w:spacing w:line="300" w:lineRule="exact"/>
              <w:ind w:right="459"/>
              <w:rPr>
                <w:szCs w:val="22"/>
              </w:rPr>
            </w:pPr>
            <w:r w:rsidRPr="00C93B6C">
              <w:rPr>
                <w:szCs w:val="22"/>
              </w:rPr>
              <w:t>The contact centre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6D2D4C" w14:textId="77777777" w:rsidR="00370263" w:rsidRPr="00746549" w:rsidRDefault="00370263">
            <w:pPr>
              <w:rPr>
                <w:szCs w:val="22"/>
                <w:lang w:eastAsia="ko-KR"/>
              </w:rPr>
            </w:pPr>
            <w:r w:rsidRPr="00746549">
              <w:rPr>
                <w:szCs w:val="22"/>
                <w:lang w:val="en"/>
              </w:rPr>
              <w:t>The My Aged Care contact centre is the starting point to access Australian Government-funded aged care services. The Freecall phone line (</w:t>
            </w:r>
            <w:r w:rsidRPr="00746549">
              <w:rPr>
                <w:szCs w:val="22"/>
              </w:rPr>
              <w:t>1800 200 422</w:t>
            </w:r>
            <w:r w:rsidRPr="00746549">
              <w:rPr>
                <w:szCs w:val="22"/>
                <w:lang w:val="en"/>
              </w:rPr>
              <w:t xml:space="preserve">) and website </w:t>
            </w:r>
            <w:hyperlink r:id="rId350" w:history="1">
              <w:r w:rsidRPr="00746549">
                <w:rPr>
                  <w:rStyle w:val="Hyperlink"/>
                  <w:rFonts w:eastAsia="Times New Roman"/>
                  <w:szCs w:val="22"/>
                  <w:lang w:val="en"/>
                </w:rPr>
                <w:t>https://www.myagedcare.gov.au/contact-us</w:t>
              </w:r>
            </w:hyperlink>
            <w:r w:rsidRPr="00746549">
              <w:rPr>
                <w:szCs w:val="22"/>
                <w:lang w:val="en"/>
              </w:rPr>
              <w:t xml:space="preserve"> can help older Australians, their families and carers to get the help and support they need.</w:t>
            </w:r>
          </w:p>
        </w:tc>
      </w:tr>
      <w:tr w:rsidR="00BA1EF7" w:rsidRPr="00C93B6C" w14:paraId="1D1B7D30" w14:textId="77777777" w:rsidTr="2B6BD8B8">
        <w:trPr>
          <w:trHeight w:val="2399"/>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AA83DEE" w14:textId="77777777" w:rsidR="00370263" w:rsidRPr="00155879" w:rsidRDefault="00370263" w:rsidP="00436FED">
            <w:pPr>
              <w:pStyle w:val="Sub-headingnon-contentpage"/>
            </w:pPr>
            <w:r w:rsidRPr="00155879">
              <w:t>My Aged Care service provider and assessor helpline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5CA26F" w14:textId="77777777" w:rsidR="00370263" w:rsidRPr="00C93B6C" w:rsidRDefault="00370263">
            <w:pPr>
              <w:spacing w:line="300" w:lineRule="exact"/>
              <w:ind w:right="459"/>
              <w:rPr>
                <w:szCs w:val="22"/>
              </w:rPr>
            </w:pPr>
            <w:r w:rsidRPr="00C93B6C">
              <w:rPr>
                <w:szCs w:val="22"/>
              </w:rPr>
              <w:t>Helpline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D06765" w14:textId="77777777" w:rsidR="00370263" w:rsidRPr="00746549" w:rsidRDefault="00370263">
            <w:pPr>
              <w:rPr>
                <w:szCs w:val="22"/>
                <w:lang w:val="en-US"/>
              </w:rPr>
            </w:pPr>
            <w:r w:rsidRPr="00746549">
              <w:rPr>
                <w:szCs w:val="22"/>
                <w:lang w:val="en-US"/>
              </w:rPr>
              <w:t>My Aged Care service provider and assessor helpline</w:t>
            </w:r>
            <w:r w:rsidRPr="00746549" w:rsidDel="0029017D">
              <w:rPr>
                <w:szCs w:val="22"/>
                <w:lang w:val="en-US"/>
              </w:rPr>
              <w:t xml:space="preserve"> </w:t>
            </w:r>
            <w:r w:rsidRPr="00746549">
              <w:rPr>
                <w:szCs w:val="22"/>
                <w:lang w:val="en-US"/>
              </w:rPr>
              <w:t xml:space="preserve">(1800 836 799) is the industry helpline for My Aged Care portal issues. They provide a reference number to track the progress of a complaint or issue and notification when the ticket is closed. Issues can be escalated to other teams within the </w:t>
            </w:r>
            <w:r>
              <w:rPr>
                <w:szCs w:val="22"/>
                <w:lang w:val="en-US"/>
              </w:rPr>
              <w:t>department</w:t>
            </w:r>
            <w:r w:rsidRPr="00746549">
              <w:rPr>
                <w:szCs w:val="22"/>
                <w:lang w:val="en-US"/>
              </w:rPr>
              <w:t xml:space="preserve"> as appropriate. Call from 8am to 8pm Monday to Friday or 10am to 2pm Saturday.</w:t>
            </w:r>
          </w:p>
        </w:tc>
      </w:tr>
      <w:tr w:rsidR="00BA1EF7" w:rsidRPr="00C93B6C" w14:paraId="11A435E0" w14:textId="77777777" w:rsidTr="2B6BD8B8">
        <w:trPr>
          <w:trHeight w:val="334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9E58B4" w14:textId="77777777" w:rsidR="00370263" w:rsidRPr="00155879" w:rsidRDefault="00370263" w:rsidP="00436FED">
            <w:pPr>
              <w:pStyle w:val="Sub-headingnon-contentpage"/>
            </w:pPr>
            <w:r w:rsidRPr="00155879">
              <w:t>My Aged Care Workforce Learning Strategy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FBDC90E" w14:textId="77777777" w:rsidR="00370263" w:rsidRPr="00C93B6C" w:rsidRDefault="00370263">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ED70BDB" w14:textId="77777777" w:rsidR="00370263" w:rsidRDefault="00370263">
            <w:pPr>
              <w:rPr>
                <w:szCs w:val="22"/>
              </w:rPr>
            </w:pPr>
            <w:r>
              <w:rPr>
                <w:szCs w:val="22"/>
              </w:rPr>
              <w:t xml:space="preserve">The </w:t>
            </w:r>
            <w:r w:rsidRPr="000952BC">
              <w:t>My Aged Care Workforce Learning Strategy</w:t>
            </w:r>
            <w:r>
              <w:t xml:space="preserve"> </w:t>
            </w:r>
            <w:r w:rsidRPr="0080225A">
              <w:t>202</w:t>
            </w:r>
            <w:r>
              <w:t>5</w:t>
            </w:r>
            <w:r w:rsidRPr="0080225A">
              <w:t xml:space="preserve"> (Workforce Learning Strategy), and subsequent editions of this strategy defines and sets the minimum training requirement for the Single Assessment System workforce and the My Aged Care workforce, including timeframes for completion.</w:t>
            </w:r>
          </w:p>
          <w:p w14:paraId="5AEEAE5E" w14:textId="77777777" w:rsidR="00370263" w:rsidRPr="00746549" w:rsidRDefault="00370263">
            <w:pPr>
              <w:rPr>
                <w:szCs w:val="22"/>
                <w:lang w:val="en"/>
              </w:rPr>
            </w:pPr>
            <w:r w:rsidRPr="00746549">
              <w:rPr>
                <w:szCs w:val="22"/>
              </w:rPr>
              <w:t xml:space="preserve">The My Aged Care Assessment Workforce Learning Strategy can be found at this </w:t>
            </w:r>
            <w:hyperlink r:id="rId351" w:history="1">
              <w:r w:rsidRPr="00746549">
                <w:rPr>
                  <w:rStyle w:val="Hyperlink"/>
                  <w:szCs w:val="22"/>
                </w:rPr>
                <w:t>link</w:t>
              </w:r>
            </w:hyperlink>
            <w:r w:rsidRPr="00746549">
              <w:rPr>
                <w:szCs w:val="22"/>
              </w:rPr>
              <w:t>.</w:t>
            </w:r>
          </w:p>
        </w:tc>
      </w:tr>
      <w:tr w:rsidR="00BA1EF7" w:rsidRPr="00C93B6C" w14:paraId="0B376DAE" w14:textId="77777777" w:rsidTr="2B6BD8B8">
        <w:trPr>
          <w:trHeight w:hRule="exact" w:val="416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B3912A" w14:textId="77777777" w:rsidR="00370263" w:rsidRPr="00155879" w:rsidRDefault="00370263">
            <w:pPr>
              <w:tabs>
                <w:tab w:val="left" w:pos="1593"/>
              </w:tabs>
              <w:rPr>
                <w:rFonts w:eastAsia="MS Mincho" w:cstheme="minorBidi"/>
                <w:lang w:eastAsia="en-GB"/>
              </w:rPr>
            </w:pPr>
            <w:r w:rsidRPr="00155879">
              <w:rPr>
                <w:rFonts w:eastAsia="MS Mincho" w:cstheme="minorBidi"/>
                <w:lang w:eastAsia="en-GB"/>
              </w:rPr>
              <w:t xml:space="preserve">My Aged Care Learning Management System </w:t>
            </w:r>
          </w:p>
          <w:p w14:paraId="7AD4DA56" w14:textId="77777777" w:rsidR="00370263" w:rsidRPr="00155879" w:rsidRDefault="00370263" w:rsidP="00436FED">
            <w:pPr>
              <w:pStyle w:val="Sub-headingnon-contentpage"/>
            </w:pP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C90C87" w14:textId="77777777" w:rsidR="00370263" w:rsidRPr="00C93B6C" w:rsidRDefault="00370263">
            <w:pPr>
              <w:spacing w:line="300" w:lineRule="exact"/>
              <w:ind w:right="459"/>
              <w:rPr>
                <w:szCs w:val="22"/>
              </w:rPr>
            </w:pPr>
            <w:r w:rsidRPr="00C93B6C">
              <w:rPr>
                <w:szCs w:val="22"/>
              </w:rPr>
              <w:t>MAC</w:t>
            </w:r>
            <w:r>
              <w:rPr>
                <w:szCs w:val="22"/>
              </w:rPr>
              <w:t>learning</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5F2777B" w14:textId="77777777" w:rsidR="00370263" w:rsidRDefault="00370263">
            <w:pPr>
              <w:rPr>
                <w:szCs w:val="22"/>
              </w:rPr>
            </w:pPr>
            <w:r w:rsidRPr="00746549">
              <w:rPr>
                <w:szCs w:val="22"/>
              </w:rPr>
              <w:t xml:space="preserve">The delivery of training to the My Aged Care Workforce organisations occurs via the My Aged Care Learning </w:t>
            </w:r>
            <w:r>
              <w:rPr>
                <w:szCs w:val="22"/>
              </w:rPr>
              <w:t>Management System</w:t>
            </w:r>
            <w:r w:rsidRPr="00746549">
              <w:rPr>
                <w:szCs w:val="22"/>
              </w:rPr>
              <w:t xml:space="preserve"> (MAClearning)</w:t>
            </w:r>
            <w:r>
              <w:rPr>
                <w:szCs w:val="22"/>
              </w:rPr>
              <w:t>. MAClearning provides assessors with:</w:t>
            </w:r>
          </w:p>
          <w:p w14:paraId="41DE5465" w14:textId="77777777" w:rsidR="00370263" w:rsidRDefault="00370263" w:rsidP="00DF3F6B">
            <w:pPr>
              <w:pStyle w:val="ListParagraph"/>
              <w:numPr>
                <w:ilvl w:val="0"/>
                <w:numId w:val="99"/>
              </w:numPr>
              <w:spacing w:after="200" w:line="300" w:lineRule="auto"/>
            </w:pPr>
            <w:r w:rsidRPr="008027CA">
              <w:t xml:space="preserve">access to </w:t>
            </w:r>
            <w:r>
              <w:t xml:space="preserve">mandatory and optional </w:t>
            </w:r>
            <w:r w:rsidRPr="008027CA">
              <w:t xml:space="preserve">online learning,  </w:t>
            </w:r>
          </w:p>
          <w:p w14:paraId="09586EB3" w14:textId="77777777" w:rsidR="00370263" w:rsidRDefault="00370263" w:rsidP="00DF3F6B">
            <w:pPr>
              <w:pStyle w:val="ListParagraph"/>
              <w:numPr>
                <w:ilvl w:val="0"/>
                <w:numId w:val="99"/>
              </w:numPr>
              <w:spacing w:after="200" w:line="300" w:lineRule="auto"/>
            </w:pPr>
            <w:r>
              <w:t xml:space="preserve">information about mandatory appraisal activities, and  </w:t>
            </w:r>
          </w:p>
          <w:p w14:paraId="209B91DC" w14:textId="77777777" w:rsidR="00370263" w:rsidRPr="008027CA" w:rsidRDefault="00370263" w:rsidP="00DF3F6B">
            <w:pPr>
              <w:pStyle w:val="ListParagraph"/>
              <w:numPr>
                <w:ilvl w:val="0"/>
                <w:numId w:val="99"/>
              </w:numPr>
              <w:spacing w:after="200" w:line="300" w:lineRule="auto"/>
            </w:pPr>
            <w:r>
              <w:t xml:space="preserve">a record of all completed learning and appraisals </w:t>
            </w:r>
          </w:p>
        </w:tc>
      </w:tr>
      <w:tr w:rsidR="00BA1EF7" w:rsidRPr="00C93B6C" w14:paraId="374370C4"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776DFF" w14:textId="77777777" w:rsidR="00370263" w:rsidRPr="00155879" w:rsidRDefault="00370263">
            <w:pPr>
              <w:tabs>
                <w:tab w:val="left" w:pos="1593"/>
              </w:tabs>
              <w:rPr>
                <w:rFonts w:eastAsia="MS Mincho" w:cstheme="minorBidi"/>
                <w:lang w:eastAsia="en-GB"/>
              </w:rPr>
            </w:pPr>
            <w:r w:rsidRPr="00155879">
              <w:rPr>
                <w:rFonts w:eastAsia="MS Mincho" w:cstheme="minorBidi"/>
                <w:lang w:eastAsia="en-GB"/>
              </w:rPr>
              <w:t>My Health Record</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8C3BBE8" w14:textId="77777777" w:rsidR="00370263" w:rsidRPr="00C93B6C" w:rsidRDefault="00370263">
            <w:pPr>
              <w:spacing w:line="300" w:lineRule="exact"/>
              <w:ind w:right="459"/>
              <w:rPr>
                <w:szCs w:val="22"/>
              </w:rPr>
            </w:pPr>
            <w:r>
              <w:rPr>
                <w:szCs w:val="22"/>
              </w:rPr>
              <w:t>MHR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0C9F2E" w14:textId="77777777" w:rsidR="00370263" w:rsidRPr="00746549" w:rsidRDefault="00370263">
            <w:pPr>
              <w:rPr>
                <w:szCs w:val="22"/>
                <w:lang w:eastAsia="ko-KR"/>
              </w:rPr>
            </w:pPr>
            <w:r w:rsidRPr="002713C0">
              <w:rPr>
                <w:szCs w:val="22"/>
                <w:lang w:eastAsia="ko-KR"/>
              </w:rPr>
              <w:t>My Health Record is a secure online summary of key patient health information. Healthcare providers can access the system to view and add information.</w:t>
            </w:r>
          </w:p>
        </w:tc>
      </w:tr>
      <w:tr w:rsidR="00BA1EF7" w:rsidRPr="00C93B6C" w14:paraId="4AF45B2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149ECDD" w14:textId="77777777" w:rsidR="00370263" w:rsidRPr="00155879" w:rsidRDefault="00370263">
            <w:pPr>
              <w:tabs>
                <w:tab w:val="left" w:pos="1593"/>
              </w:tabs>
            </w:pPr>
            <w:r w:rsidRPr="00155879">
              <w:rPr>
                <w:rFonts w:eastAsia="MS Mincho" w:cstheme="minorBidi"/>
                <w:lang w:eastAsia="en-GB"/>
              </w:rPr>
              <w:t>National Aboriginal and Torres Strait Islander Flexible Aged Care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C10B612" w14:textId="77777777" w:rsidR="00370263" w:rsidRPr="00C93B6C" w:rsidRDefault="00370263">
            <w:pPr>
              <w:spacing w:line="300" w:lineRule="exact"/>
              <w:ind w:right="459"/>
              <w:rPr>
                <w:szCs w:val="22"/>
              </w:rPr>
            </w:pPr>
            <w:r w:rsidRPr="00C93B6C">
              <w:rPr>
                <w:szCs w:val="22"/>
              </w:rPr>
              <w:t>NATSIFAC</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825BDF0" w14:textId="73B41BFC" w:rsidR="00370263" w:rsidRPr="00746549" w:rsidRDefault="00370263">
            <w:pPr>
              <w:rPr>
                <w:szCs w:val="22"/>
              </w:rPr>
            </w:pPr>
            <w:r w:rsidRPr="00746549">
              <w:rPr>
                <w:szCs w:val="22"/>
                <w:lang w:eastAsia="ko-KR"/>
              </w:rPr>
              <w:t>The National Aboriginal and Torres Strait Islander Flexible Aged Care Program funds organisations to provide flexible, culturally appropriate aged care to older Aboriginal and Torres Strait Islander people close to their home and community. These services are mainly located in remote and very remote locations.</w:t>
            </w:r>
          </w:p>
        </w:tc>
      </w:tr>
      <w:tr w:rsidR="00BA1EF7" w:rsidRPr="00C93B6C" w14:paraId="0516637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59E580" w14:textId="77777777" w:rsidR="00370263" w:rsidRPr="00155879" w:rsidRDefault="00370263">
            <w:pPr>
              <w:tabs>
                <w:tab w:val="left" w:pos="1593"/>
              </w:tabs>
            </w:pPr>
            <w:r w:rsidRPr="00155879">
              <w:rPr>
                <w:rFonts w:eastAsia="MS Mincho" w:cstheme="minorBidi"/>
                <w:lang w:eastAsia="en-GB"/>
              </w:rPr>
              <w:t>National Disability Insurance Scheme/Agency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2C61C6A" w14:textId="77777777" w:rsidR="00370263" w:rsidRPr="00C93B6C" w:rsidRDefault="00370263">
            <w:pPr>
              <w:rPr>
                <w:szCs w:val="22"/>
              </w:rPr>
            </w:pPr>
            <w:r w:rsidRPr="00C93B6C">
              <w:rPr>
                <w:szCs w:val="22"/>
              </w:rPr>
              <w:t>NDIS</w:t>
            </w:r>
          </w:p>
          <w:p w14:paraId="653D0232" w14:textId="77777777" w:rsidR="00370263" w:rsidRPr="00C93B6C" w:rsidRDefault="00370263">
            <w:pPr>
              <w:rPr>
                <w:szCs w:val="22"/>
              </w:rPr>
            </w:pPr>
            <w:r w:rsidRPr="00C93B6C">
              <w:rPr>
                <w:szCs w:val="22"/>
              </w:rPr>
              <w:t>or</w:t>
            </w:r>
          </w:p>
          <w:p w14:paraId="708A2362" w14:textId="77777777" w:rsidR="00370263" w:rsidRPr="00C93B6C" w:rsidRDefault="00370263">
            <w:pPr>
              <w:spacing w:line="300" w:lineRule="exact"/>
              <w:ind w:right="459"/>
              <w:rPr>
                <w:szCs w:val="22"/>
              </w:rPr>
            </w:pPr>
            <w:r w:rsidRPr="00C93B6C">
              <w:rPr>
                <w:szCs w:val="22"/>
              </w:rPr>
              <w:t>NDIA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7C6407" w14:textId="1E97ECDD" w:rsidR="00370263" w:rsidRPr="00746549" w:rsidRDefault="00370263">
            <w:pPr>
              <w:rPr>
                <w:szCs w:val="22"/>
                <w:lang w:eastAsia="ko-KR"/>
              </w:rPr>
            </w:pPr>
            <w:r w:rsidRPr="00746549">
              <w:rPr>
                <w:szCs w:val="22"/>
                <w:lang w:eastAsia="ko-KR"/>
              </w:rPr>
              <w:t xml:space="preserve">The NDIS </w:t>
            </w:r>
            <w:r w:rsidR="00EA1C8F">
              <w:rPr>
                <w:szCs w:val="22"/>
                <w:lang w:eastAsia="ko-KR"/>
              </w:rPr>
              <w:t>provides</w:t>
            </w:r>
            <w:r w:rsidRPr="00746549">
              <w:rPr>
                <w:szCs w:val="22"/>
                <w:lang w:eastAsia="ko-KR"/>
              </w:rPr>
              <w:t xml:space="preserve"> support for people with disability, their families and carers in Australia. The NDIS will provide all Australians under the age of 65 with a permanent and significant disability with the reasonable and necessary supports they need to live an ordinary life. This may include personal care and support, access to the community, therapy services and essential equipment.</w:t>
            </w:r>
          </w:p>
        </w:tc>
      </w:tr>
      <w:tr w:rsidR="00BA1EF7" w:rsidRPr="00C93B6C" w14:paraId="19D0BD1F"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6F1CC7A" w14:textId="77777777" w:rsidR="00370263" w:rsidRPr="00155879" w:rsidRDefault="00370263">
            <w:pPr>
              <w:tabs>
                <w:tab w:val="left" w:pos="1593"/>
              </w:tabs>
            </w:pPr>
            <w:r w:rsidRPr="00155879">
              <w:t>Non-clinical 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3E49C6" w14:textId="77777777" w:rsidR="00370263" w:rsidRPr="00C93B6C" w:rsidRDefault="00370263">
            <w:pPr>
              <w:rPr>
                <w:szCs w:val="22"/>
              </w:rPr>
            </w:pPr>
            <w:r>
              <w:rPr>
                <w:szCs w:val="22"/>
              </w:rPr>
              <w:t>Non -clinical assessor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1A10886" w14:textId="77777777" w:rsidR="00370263" w:rsidRPr="00746549" w:rsidRDefault="00370263">
            <w:pPr>
              <w:rPr>
                <w:szCs w:val="22"/>
              </w:rPr>
            </w:pPr>
            <w:r w:rsidRPr="00746549">
              <w:rPr>
                <w:rStyle w:val="normaltextrun"/>
                <w:szCs w:val="22"/>
                <w:shd w:val="clear" w:color="auto" w:fill="FFFFFF"/>
              </w:rPr>
              <w:t>An assessor who meets the qualification and training requirements outlined in the assessment organisation's contractual agreement with the Commonwealth</w:t>
            </w:r>
            <w:r>
              <w:rPr>
                <w:rStyle w:val="normaltextrun"/>
                <w:szCs w:val="22"/>
                <w:shd w:val="clear" w:color="auto" w:fill="FFFFFF"/>
              </w:rPr>
              <w:t xml:space="preserve"> and in the My Aged Care Workforce Learning Strategy 2024 (or subsequent versions)</w:t>
            </w:r>
            <w:r w:rsidRPr="00746549">
              <w:rPr>
                <w:rStyle w:val="normaltextrun"/>
                <w:szCs w:val="22"/>
                <w:shd w:val="clear" w:color="auto" w:fill="FFFFFF"/>
              </w:rPr>
              <w:t>. A non-clinical assessor undertakes simple (home support) aged care needs assessments with older people.</w:t>
            </w:r>
          </w:p>
        </w:tc>
      </w:tr>
      <w:tr w:rsidR="00BA1EF7" w14:paraId="1D7FB05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7F409D4" w14:textId="77777777" w:rsidR="00370263" w:rsidRPr="007A5242" w:rsidRDefault="00370263">
            <w:pPr>
              <w:rPr>
                <w:rFonts w:eastAsia="Arial"/>
              </w:rPr>
            </w:pPr>
            <w:r w:rsidRPr="007A5242">
              <w:rPr>
                <w:rFonts w:eastAsia="Arial"/>
              </w:rPr>
              <w:t>Prescribed assistive technology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29FEDD" w14:textId="77777777" w:rsidR="00370263" w:rsidRPr="007A5242"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235BA6" w14:textId="46720477" w:rsidR="00370263" w:rsidRPr="007A5242" w:rsidRDefault="00370263">
            <w:pPr>
              <w:rPr>
                <w:rFonts w:eastAsia="Arial"/>
              </w:rPr>
            </w:pPr>
            <w:r w:rsidRPr="007A5242">
              <w:rPr>
                <w:rFonts w:eastAsia="Arial"/>
              </w:rPr>
              <w:t xml:space="preserve">Assistive technology that </w:t>
            </w:r>
            <w:r w:rsidR="0092048D" w:rsidRPr="007A5242">
              <w:rPr>
                <w:rFonts w:eastAsia="Arial"/>
              </w:rPr>
              <w:t>would benefit from</w:t>
            </w:r>
            <w:r w:rsidRPr="007A5242">
              <w:rPr>
                <w:rFonts w:eastAsia="Arial"/>
              </w:rPr>
              <w:t xml:space="preserve"> a prescription from a suitably qualified health professional.</w:t>
            </w:r>
          </w:p>
        </w:tc>
      </w:tr>
      <w:tr w:rsidR="00BA1EF7" w:rsidRPr="00C93B6C" w14:paraId="3CBEF1C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69CECEC" w14:textId="77777777" w:rsidR="00370263" w:rsidRPr="00155879" w:rsidRDefault="00370263">
            <w:pPr>
              <w:tabs>
                <w:tab w:val="left" w:pos="1593"/>
              </w:tabs>
            </w:pPr>
            <w:r w:rsidRPr="00155879">
              <w:t>Privacy Act 1988</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D39E21E" w14:textId="77777777" w:rsidR="00370263" w:rsidRPr="00C93B6C" w:rsidRDefault="00370263">
            <w:pPr>
              <w:rPr>
                <w:szCs w:val="22"/>
              </w:rPr>
            </w:pPr>
            <w:r w:rsidRPr="00C93B6C">
              <w:rPr>
                <w:szCs w:val="22"/>
              </w:rPr>
              <w:t xml:space="preserve">The Privacy </w:t>
            </w:r>
            <w:r w:rsidRPr="003E1933">
              <w:rPr>
                <w:szCs w:val="22"/>
              </w:rPr>
              <w:t>Act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A45E36" w14:textId="77777777" w:rsidR="00370263" w:rsidRPr="00746549" w:rsidRDefault="00370263">
            <w:pPr>
              <w:rPr>
                <w:szCs w:val="22"/>
                <w:lang w:val="en"/>
              </w:rPr>
            </w:pPr>
            <w:r w:rsidRPr="00746549">
              <w:rPr>
                <w:szCs w:val="22"/>
              </w:rPr>
              <w:t xml:space="preserve">The </w:t>
            </w:r>
            <w:r w:rsidRPr="00746549">
              <w:rPr>
                <w:i/>
                <w:szCs w:val="22"/>
              </w:rPr>
              <w:t xml:space="preserve">Privacy </w:t>
            </w:r>
            <w:r w:rsidRPr="003E1933">
              <w:rPr>
                <w:i/>
                <w:szCs w:val="22"/>
              </w:rPr>
              <w:t>Act</w:t>
            </w:r>
            <w:r w:rsidRPr="00746549">
              <w:rPr>
                <w:i/>
                <w:szCs w:val="22"/>
              </w:rPr>
              <w:t xml:space="preserve"> 1988</w:t>
            </w:r>
            <w:r w:rsidRPr="00746549">
              <w:rPr>
                <w:szCs w:val="22"/>
              </w:rPr>
              <w:t xml:space="preserve"> applies to the collection, retention and use of personal information by assessors and regulates the handling of personal information about individuals, including the collection, use, storage and disclosure of personal information and access to and correction of that information.</w:t>
            </w:r>
          </w:p>
        </w:tc>
      </w:tr>
      <w:tr w:rsidR="00BA1EF7" w14:paraId="526AB435"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4DD63B" w14:textId="77777777" w:rsidR="00370263" w:rsidRPr="00155879" w:rsidRDefault="00370263">
            <w:pPr>
              <w:rPr>
                <w:rFonts w:eastAsia="Arial"/>
                <w:color w:val="1E1545"/>
              </w:rPr>
            </w:pPr>
            <w:r w:rsidRPr="00155879">
              <w:rPr>
                <w:color w:val="1E1545"/>
              </w:rPr>
              <w:t>Progressive condition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205533"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8714F1C" w14:textId="77777777" w:rsidR="00370263" w:rsidRDefault="00370263">
            <w:pPr>
              <w:spacing w:line="257" w:lineRule="auto"/>
              <w:rPr>
                <w:rFonts w:eastAsia="Arial"/>
              </w:rPr>
            </w:pPr>
            <w:r w:rsidRPr="24A129B5">
              <w:rPr>
                <w:rFonts w:eastAsia="Arial"/>
              </w:rPr>
              <w:t>A medical condition that worsens over time, resulting in a range of limitations in function which can affect quality of life, daily living and community activities. (The 13 conditions listed below are all eligible AT-HM progressive conditions under SaH).</w:t>
            </w:r>
          </w:p>
          <w:p w14:paraId="1DF4A6E3" w14:textId="77777777" w:rsidR="00370263" w:rsidRDefault="00370263">
            <w:pPr>
              <w:spacing w:line="257" w:lineRule="auto"/>
              <w:rPr>
                <w:rFonts w:eastAsia="Arial"/>
              </w:rPr>
            </w:pPr>
            <w:r w:rsidRPr="24A129B5">
              <w:rPr>
                <w:rFonts w:eastAsia="Arial"/>
              </w:rPr>
              <w:t xml:space="preserve">These conditions include: </w:t>
            </w:r>
          </w:p>
          <w:p w14:paraId="4DB31167"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Cerebral Palsy </w:t>
            </w:r>
          </w:p>
          <w:p w14:paraId="69AF8C6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Epilepsy </w:t>
            </w:r>
          </w:p>
          <w:p w14:paraId="0EAB6D5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Huntington’s Disease </w:t>
            </w:r>
          </w:p>
          <w:p w14:paraId="618F9054"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Motor Neurone Disease (MND) noting different phenotypes require different management </w:t>
            </w:r>
          </w:p>
          <w:p w14:paraId="5BA0D6E8"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Multiple Sclerosis (MS) </w:t>
            </w:r>
          </w:p>
          <w:p w14:paraId="44616DCE"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Parkinson’s Disease </w:t>
            </w:r>
          </w:p>
          <w:p w14:paraId="68BE4469"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Late effects of Polio </w:t>
            </w:r>
          </w:p>
          <w:p w14:paraId="66536268"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Spinal Cord Injury </w:t>
            </w:r>
          </w:p>
          <w:p w14:paraId="27F3300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Spinal Muscular Atrophy </w:t>
            </w:r>
          </w:p>
          <w:p w14:paraId="37878817"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Stroke </w:t>
            </w:r>
          </w:p>
          <w:p w14:paraId="657CAF9F" w14:textId="77777777" w:rsidR="00370263" w:rsidRDefault="00370263" w:rsidP="00DF3F6B">
            <w:pPr>
              <w:pStyle w:val="ListParagraph"/>
              <w:numPr>
                <w:ilvl w:val="0"/>
                <w:numId w:val="390"/>
              </w:numPr>
              <w:spacing w:after="0" w:line="257" w:lineRule="auto"/>
              <w:rPr>
                <w:rFonts w:eastAsia="Arial"/>
              </w:rPr>
            </w:pPr>
            <w:r w:rsidRPr="24A129B5">
              <w:rPr>
                <w:rFonts w:eastAsia="Arial"/>
              </w:rPr>
              <w:t xml:space="preserve">Acquired Brain Injury noting different types of brain injury require different management </w:t>
            </w:r>
          </w:p>
          <w:p w14:paraId="7B6A5BB9" w14:textId="77777777" w:rsidR="00370263" w:rsidRDefault="00370263" w:rsidP="00DF3F6B">
            <w:pPr>
              <w:pStyle w:val="ListParagraph"/>
              <w:numPr>
                <w:ilvl w:val="0"/>
                <w:numId w:val="390"/>
              </w:numPr>
              <w:spacing w:after="0" w:line="257" w:lineRule="auto"/>
              <w:rPr>
                <w:rFonts w:eastAsia="Arial"/>
              </w:rPr>
            </w:pPr>
            <w:r w:rsidRPr="24A129B5">
              <w:rPr>
                <w:rFonts w:eastAsia="Arial"/>
              </w:rPr>
              <w:t>Muscular Dystrophies and Muscular Atrophies.</w:t>
            </w:r>
          </w:p>
          <w:p w14:paraId="3A4DB6CD" w14:textId="77777777" w:rsidR="00370263" w:rsidRDefault="00370263">
            <w:pPr>
              <w:rPr>
                <w:szCs w:val="22"/>
              </w:rPr>
            </w:pPr>
          </w:p>
        </w:tc>
      </w:tr>
      <w:tr w:rsidR="00684004" w:rsidRPr="00C93B6C" w14:paraId="41464817" w14:textId="77777777" w:rsidTr="2B6BD8B8">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2903802" w14:textId="1384DECA" w:rsidR="00370263" w:rsidRPr="00155879" w:rsidRDefault="2BFD8E1D">
            <w:pPr>
              <w:tabs>
                <w:tab w:val="left" w:pos="1593"/>
              </w:tabs>
            </w:pPr>
            <w:r>
              <w:t>Reassessment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1C18E00" w14:textId="77777777" w:rsidR="00370263" w:rsidRPr="004267C4"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97177B6" w14:textId="77777777" w:rsidR="00370263" w:rsidRDefault="00370263">
            <w:r w:rsidRPr="002433EF">
              <w:t>In this manual, the term ‘reassessment’ is used</w:t>
            </w:r>
            <w:r w:rsidRPr="00F378AB">
              <w:t xml:space="preserve"> to describe a subsequent assessment of a person’s aged care needs who is already accessing aged care services.</w:t>
            </w:r>
          </w:p>
          <w:p w14:paraId="610A2F32" w14:textId="77777777" w:rsidR="00370263" w:rsidRPr="005F796D" w:rsidRDefault="00370263">
            <w:r w:rsidRPr="005F796D">
              <w:t xml:space="preserve">Section 64 of the </w:t>
            </w:r>
            <w:r w:rsidRPr="005F796D">
              <w:rPr>
                <w:i/>
              </w:rPr>
              <w:t>Aged Care Act 2024</w:t>
            </w:r>
            <w:r w:rsidRPr="005F796D">
              <w:t xml:space="preserve"> provides for aged care needs reassessments. A reassessment may be required when an individual's circumstances have changed. </w:t>
            </w:r>
          </w:p>
          <w:p w14:paraId="5EC18633" w14:textId="74DC3A57" w:rsidR="00370263" w:rsidRPr="001B419B" w:rsidRDefault="00370263">
            <w:pPr>
              <w:rPr>
                <w:b/>
              </w:rPr>
            </w:pPr>
            <w:r w:rsidRPr="005F796D">
              <w:t xml:space="preserve">In the </w:t>
            </w:r>
            <w:r w:rsidRPr="005F796D">
              <w:rPr>
                <w:i/>
              </w:rPr>
              <w:t>Aged Care Act 2024</w:t>
            </w:r>
            <w:r w:rsidRPr="005F796D">
              <w:t xml:space="preserve"> the term ‘reassessment’ is used as an umbrella term to describe both SPRs and </w:t>
            </w:r>
            <w:r w:rsidR="009B4B25">
              <w:t>re</w:t>
            </w:r>
            <w:r w:rsidRPr="005F796D">
              <w:t>assessments. An individual may request a reassessment if they believe their aged care needs have changed, or it may be identified through a scheduled SPR.</w:t>
            </w:r>
            <w:r>
              <w:t xml:space="preserve"> </w:t>
            </w:r>
            <w:r w:rsidRPr="00F378AB">
              <w:rPr>
                <w:b/>
                <w:bCs/>
              </w:rPr>
              <w:t xml:space="preserve">   </w:t>
            </w:r>
          </w:p>
        </w:tc>
      </w:tr>
      <w:tr w:rsidR="00684004" w:rsidRPr="00C93B6C" w14:paraId="7D98C368" w14:textId="77777777" w:rsidTr="2B6BD8B8">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4873F8" w14:textId="77777777" w:rsidR="00370263" w:rsidRPr="00155879" w:rsidRDefault="00370263">
            <w:pPr>
              <w:tabs>
                <w:tab w:val="left" w:pos="1593"/>
              </w:tabs>
              <w:rPr>
                <w:lang w:val="en"/>
              </w:rPr>
            </w:pPr>
            <w:r w:rsidRPr="00155879">
              <w:t>Reablement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695D43A" w14:textId="77777777" w:rsidR="00370263" w:rsidRPr="004267C4"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CFB7476" w14:textId="7FB77451" w:rsidR="00370263" w:rsidRPr="004267C4" w:rsidRDefault="00370263">
            <w:pPr>
              <w:rPr>
                <w:szCs w:val="22"/>
              </w:rPr>
            </w:pPr>
            <w:r w:rsidRPr="004267C4">
              <w:rPr>
                <w:szCs w:val="22"/>
              </w:rPr>
              <w:t>Wellness and reablement are related concepts, often used together to describe an overall approach to service delivery. Wellness and reablement approaches are based on the idea that, even with frailty, chronical illness or disability, most people want and are able to improve their physical, social, and emotional wellbeing, to live autonomously and as independently as possible</w:t>
            </w:r>
            <w:r w:rsidR="00E906AD">
              <w:rPr>
                <w:szCs w:val="22"/>
              </w:rPr>
              <w:t>.</w:t>
            </w:r>
          </w:p>
          <w:p w14:paraId="45AF9FF8" w14:textId="77777777" w:rsidR="00370263" w:rsidRPr="00F007CF" w:rsidRDefault="00370263">
            <w:pPr>
              <w:rPr>
                <w:szCs w:val="22"/>
              </w:rPr>
            </w:pPr>
            <w:r w:rsidRPr="004267C4">
              <w:rPr>
                <w:szCs w:val="22"/>
              </w:rPr>
              <w:t xml:space="preserve">Reablement offers time-limited interventions and emphasises assisting people to maintain, regain, improve confidence and functional capacity and maximise independence and autonomy. It focuses on specific goals and seeks to enable people to live their lives to the fullest. </w:t>
            </w:r>
          </w:p>
        </w:tc>
      </w:tr>
      <w:tr w:rsidR="00684004" w14:paraId="5EE741E4" w14:textId="77777777" w:rsidTr="00EA1C8F">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DB6A6A" w14:textId="4AAA14D2" w:rsidR="468119DD" w:rsidRDefault="5C9B7B3E" w:rsidP="1E63CD71">
            <w:pPr>
              <w:rPr>
                <w:rFonts w:eastAsia="Arial"/>
                <w:szCs w:val="22"/>
              </w:rPr>
            </w:pPr>
            <w:r w:rsidRPr="1E63CD71">
              <w:rPr>
                <w:rFonts w:eastAsia="Arial"/>
                <w:color w:val="000000" w:themeColor="text1"/>
                <w:szCs w:val="22"/>
              </w:rPr>
              <w:t>Residential aged care funding 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605B9C" w14:textId="7B561D16" w:rsidR="468119DD" w:rsidRDefault="5C9B7B3E" w:rsidP="468119DD">
            <w:r>
              <w:t>RAC funding assessment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EF7966" w14:textId="731DF37B" w:rsidR="5C9B7B3E" w:rsidRPr="00FA6043" w:rsidRDefault="5C9B7B3E"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An assessment a residential aged care funding assessor completes using the AN-ACC assessment tool.</w:t>
            </w:r>
          </w:p>
          <w:p w14:paraId="53A28F66" w14:textId="16C6D11A" w:rsidR="5C9B7B3E" w:rsidRPr="00FA6043" w:rsidRDefault="5C9B7B3E"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Defunct term: AN-ACC assessment.</w:t>
            </w:r>
          </w:p>
          <w:p w14:paraId="54C6495A" w14:textId="12567D7B" w:rsidR="468119DD" w:rsidRPr="002B781C" w:rsidRDefault="468119DD" w:rsidP="468119DD"/>
        </w:tc>
      </w:tr>
      <w:tr w:rsidR="00684004" w14:paraId="3B5FAD1D" w14:textId="77777777" w:rsidTr="1E63CD71">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B70A2B3" w14:textId="2A8C46ED" w:rsidR="468119DD" w:rsidRDefault="5C9B7B3E" w:rsidP="1E63CD71">
            <w:pPr>
              <w:rPr>
                <w:rFonts w:eastAsia="Arial"/>
                <w:szCs w:val="22"/>
              </w:rPr>
            </w:pPr>
            <w:r w:rsidRPr="1E63CD71">
              <w:rPr>
                <w:rFonts w:eastAsia="Arial"/>
                <w:color w:val="000000" w:themeColor="text1"/>
                <w:szCs w:val="22"/>
              </w:rPr>
              <w:t>Residential aged care funding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F251EBE" w14:textId="315366EB" w:rsidR="468119DD" w:rsidRDefault="5C9B7B3E" w:rsidP="468119DD">
            <w:r>
              <w:t>RAC funding assessor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0C897B" w14:textId="04C8576A" w:rsidR="0EDA4114" w:rsidRPr="00FA6043" w:rsidRDefault="0EDA4114"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An aged care assessor who is completing a residential aged care funding assessment using the AN-ACC assessment tool.</w:t>
            </w:r>
          </w:p>
          <w:p w14:paraId="32CC2D5C" w14:textId="04FFCE18" w:rsidR="0EDA4114" w:rsidRPr="00FA6043" w:rsidRDefault="0EDA4114" w:rsidP="002F3121">
            <w:pPr>
              <w:shd w:val="clear" w:color="auto" w:fill="FFFFFF" w:themeFill="background1"/>
              <w:spacing w:after="0"/>
              <w:rPr>
                <w:rFonts w:eastAsia="Aptos"/>
                <w:color w:val="000000" w:themeColor="text1"/>
                <w:sz w:val="24"/>
              </w:rPr>
            </w:pPr>
            <w:r w:rsidRPr="00FA6043">
              <w:rPr>
                <w:rFonts w:eastAsia="Aptos"/>
                <w:color w:val="000000" w:themeColor="text1"/>
                <w:sz w:val="24"/>
              </w:rPr>
              <w:t>Defunct term: AN-ACC assessor.</w:t>
            </w:r>
          </w:p>
          <w:p w14:paraId="2B82A763" w14:textId="54089C0D" w:rsidR="468119DD" w:rsidRPr="002B781C" w:rsidRDefault="468119DD" w:rsidP="468119DD"/>
        </w:tc>
      </w:tr>
      <w:tr w:rsidR="00BA1EF7" w:rsidRPr="00C93B6C" w14:paraId="1637C05F" w14:textId="77777777" w:rsidTr="2B6BD8B8">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8D7692" w14:textId="5A0B55F2" w:rsidR="00370263" w:rsidRPr="00155879" w:rsidRDefault="00370263">
            <w:pPr>
              <w:tabs>
                <w:tab w:val="left" w:pos="1593"/>
              </w:tabs>
              <w:rPr>
                <w:lang w:val="en-US"/>
              </w:rPr>
            </w:pPr>
            <w:r w:rsidRPr="1ABBE5F7">
              <w:rPr>
                <w:lang w:val="en-US"/>
              </w:rPr>
              <w:t>Residential Respite Care</w:t>
            </w:r>
            <w:r w:rsidR="00356E27">
              <w:rPr>
                <w:lang w:val="en"/>
              </w:rPr>
              <w:t xml:space="preserve"> (Residen</w:t>
            </w:r>
            <w:r w:rsidR="009F0D81">
              <w:rPr>
                <w:lang w:val="en"/>
              </w:rPr>
              <w:t xml:space="preserve">tial Care – short term)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60AC0BE"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90FC9C" w14:textId="77777777" w:rsidR="00370263" w:rsidRPr="00746549" w:rsidRDefault="00370263">
            <w:pPr>
              <w:rPr>
                <w:szCs w:val="22"/>
                <w:lang w:val="en"/>
              </w:rPr>
            </w:pPr>
            <w:r w:rsidRPr="00746549">
              <w:rPr>
                <w:szCs w:val="22"/>
                <w:lang w:val="en"/>
              </w:rPr>
              <w:t xml:space="preserve">Residential respite care is short-term care provided in an aged care home. It can be on a planned or emergency basis. Respite gives a carer or care recipient a break from their usual care arrangements. </w:t>
            </w:r>
            <w:r w:rsidRPr="00746549">
              <w:rPr>
                <w:szCs w:val="22"/>
                <w:lang w:val="en"/>
              </w:rPr>
              <w:br/>
              <w:t>A clinical assessor and approves care recipients to access respite care.</w:t>
            </w:r>
          </w:p>
        </w:tc>
      </w:tr>
      <w:tr w:rsidR="00BA1EF7" w:rsidRPr="00C93B6C" w14:paraId="6F19F842"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DBABDD" w14:textId="77777777" w:rsidR="00370263" w:rsidRPr="00155879" w:rsidRDefault="00370263">
            <w:pPr>
              <w:tabs>
                <w:tab w:val="left" w:pos="1593"/>
              </w:tabs>
              <w:rPr>
                <w:lang w:val="en-US"/>
              </w:rPr>
            </w:pPr>
            <w:r w:rsidRPr="00155879">
              <w:rPr>
                <w:lang w:val="en-US"/>
              </w:rPr>
              <w:t>Restorative Care Pathway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D5D35B2" w14:textId="2DA4FC0E" w:rsidR="00370263" w:rsidRPr="00C93B6C" w:rsidRDefault="00370263">
            <w:pPr>
              <w:rPr>
                <w:szCs w:val="22"/>
              </w:rPr>
            </w:pPr>
            <w:r>
              <w:rPr>
                <w:szCs w:val="22"/>
              </w:rPr>
              <w:t>R</w:t>
            </w:r>
            <w:r w:rsidR="009D26B0">
              <w:rPr>
                <w:szCs w:val="22"/>
              </w:rPr>
              <w:t>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BE1C39C" w14:textId="5BBE34AE" w:rsidR="00370263" w:rsidRPr="00746549" w:rsidRDefault="00370263">
            <w:pPr>
              <w:rPr>
                <w:szCs w:val="22"/>
                <w:lang w:val="en-US"/>
              </w:rPr>
            </w:pPr>
            <w:r>
              <w:rPr>
                <w:szCs w:val="22"/>
              </w:rPr>
              <w:t xml:space="preserve">The Restorative Care Pathway, under Support at Home, replaces the </w:t>
            </w:r>
            <w:r w:rsidR="000F3407">
              <w:rPr>
                <w:szCs w:val="22"/>
              </w:rPr>
              <w:t>Short-Term</w:t>
            </w:r>
            <w:r>
              <w:rPr>
                <w:szCs w:val="22"/>
              </w:rPr>
              <w:t xml:space="preserve"> Restorative Care (STRC) programme. It aims to provide </w:t>
            </w:r>
            <w:r w:rsidRPr="00422957">
              <w:rPr>
                <w:szCs w:val="22"/>
              </w:rPr>
              <w:t xml:space="preserve">early intervention </w:t>
            </w:r>
            <w:r>
              <w:rPr>
                <w:szCs w:val="22"/>
              </w:rPr>
              <w:t>opportunities</w:t>
            </w:r>
            <w:r w:rsidRPr="00422957">
              <w:rPr>
                <w:szCs w:val="22"/>
              </w:rPr>
              <w:t xml:space="preserve"> to support older people to restore function through coordinated, goal orientated support focusing on multi-disciplinary allied health services.</w:t>
            </w:r>
            <w:r>
              <w:rPr>
                <w:szCs w:val="22"/>
                <w:lang w:val="en-US"/>
              </w:rPr>
              <w:t xml:space="preserve"> It can be delivered in home or community settings and can be for up to 1</w:t>
            </w:r>
            <w:r w:rsidR="009D26B0">
              <w:rPr>
                <w:szCs w:val="22"/>
                <w:lang w:val="en-US"/>
              </w:rPr>
              <w:t>6</w:t>
            </w:r>
            <w:r>
              <w:rPr>
                <w:szCs w:val="22"/>
                <w:lang w:val="en-US"/>
              </w:rPr>
              <w:t xml:space="preserve"> weeks. </w:t>
            </w:r>
          </w:p>
        </w:tc>
      </w:tr>
      <w:tr w:rsidR="00BA1EF7" w:rsidRPr="00C93B6C" w14:paraId="3C129C04"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55EBD8" w14:textId="77777777" w:rsidR="00370263" w:rsidRPr="00155879" w:rsidRDefault="00370263">
            <w:pPr>
              <w:tabs>
                <w:tab w:val="left" w:pos="1593"/>
              </w:tabs>
              <w:rPr>
                <w:lang w:val="en-US"/>
              </w:rPr>
            </w:pPr>
            <w:r w:rsidRPr="00155879">
              <w:rPr>
                <w:lang w:val="en-US"/>
              </w:rPr>
              <w:t xml:space="preserve">Referral Codes Letter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459EA7"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AE436B3" w14:textId="77777777" w:rsidR="00370263" w:rsidRDefault="00370263">
            <w:pPr>
              <w:rPr>
                <w:szCs w:val="22"/>
              </w:rPr>
            </w:pPr>
            <w:r>
              <w:rPr>
                <w:szCs w:val="22"/>
              </w:rPr>
              <w:t xml:space="preserve">The referral codes letter is also known as the ‘Referral codes and List of Providers’ Letter </w:t>
            </w:r>
          </w:p>
          <w:p w14:paraId="40133630" w14:textId="7ABC7DAA" w:rsidR="00370263" w:rsidRDefault="00370263">
            <w:pPr>
              <w:rPr>
                <w:szCs w:val="22"/>
              </w:rPr>
            </w:pPr>
            <w:r>
              <w:rPr>
                <w:szCs w:val="22"/>
              </w:rPr>
              <w:t xml:space="preserve">On the </w:t>
            </w:r>
            <w:r w:rsidR="0060352D">
              <w:rPr>
                <w:szCs w:val="22"/>
              </w:rPr>
              <w:t>assessor portal</w:t>
            </w:r>
            <w:r>
              <w:rPr>
                <w:szCs w:val="22"/>
              </w:rPr>
              <w:t xml:space="preserve">, it is generated via the ‘Generate Referral code Letter’ button </w:t>
            </w:r>
          </w:p>
        </w:tc>
      </w:tr>
      <w:tr w:rsidR="0061543A" w:rsidRPr="00C93B6C" w14:paraId="0CD72A5B" w14:textId="77777777" w:rsidTr="2B6BD8B8">
        <w:trPr>
          <w:trHeight w:val="1272"/>
        </w:trPr>
        <w:tc>
          <w:tcPr>
            <w:tcW w:w="2127" w:type="dxa"/>
          </w:tcPr>
          <w:p w14:paraId="30F8115B" w14:textId="77777777" w:rsidR="00370263" w:rsidRPr="00155879" w:rsidRDefault="00370263" w:rsidP="00436FED">
            <w:pPr>
              <w:pStyle w:val="Sub-headingnon-contentpage"/>
            </w:pPr>
            <w:r w:rsidRPr="00155879">
              <w:t>Single Assessment System program</w:t>
            </w:r>
          </w:p>
        </w:tc>
        <w:tc>
          <w:tcPr>
            <w:tcW w:w="1984" w:type="dxa"/>
          </w:tcPr>
          <w:p w14:paraId="37BEA9F9" w14:textId="77777777" w:rsidR="00370263" w:rsidRPr="00C93B6C" w:rsidRDefault="00370263">
            <w:pPr>
              <w:spacing w:after="120" w:line="300" w:lineRule="exact"/>
              <w:ind w:right="459"/>
              <w:rPr>
                <w:color w:val="000000"/>
                <w:szCs w:val="22"/>
                <w:lang w:eastAsia="ja-JP"/>
              </w:rPr>
            </w:pPr>
          </w:p>
        </w:tc>
        <w:tc>
          <w:tcPr>
            <w:tcW w:w="4961" w:type="dxa"/>
          </w:tcPr>
          <w:p w14:paraId="288B8E19" w14:textId="77777777" w:rsidR="00370263" w:rsidRPr="00746549" w:rsidRDefault="00370263">
            <w:pPr>
              <w:spacing w:after="120" w:line="300" w:lineRule="exact"/>
              <w:ind w:right="459"/>
              <w:contextualSpacing/>
            </w:pPr>
            <w:r w:rsidRPr="2B6BD8B8">
              <w:rPr>
                <w:lang w:val="en-US"/>
              </w:rPr>
              <w:t xml:space="preserve">The Commonwealth Government funds assessment organisations to administer aged care needs assessments, which include both home support and comprehensive assessments. This term is used to define the assessment program which includes all assessment types.   </w:t>
            </w:r>
          </w:p>
        </w:tc>
      </w:tr>
      <w:tr w:rsidR="00BA1EF7" w:rsidRPr="00C93B6C" w14:paraId="0F0F3FDD"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808D4C" w14:textId="77777777" w:rsidR="00370263" w:rsidRPr="00155879" w:rsidRDefault="00370263">
            <w:pPr>
              <w:tabs>
                <w:tab w:val="left" w:pos="1593"/>
              </w:tabs>
              <w:rPr>
                <w:lang w:val="en-US"/>
              </w:rPr>
            </w:pPr>
            <w:r w:rsidRPr="00155879">
              <w:rPr>
                <w:lang w:val="en-US"/>
              </w:rPr>
              <w:t>Single Assessment System workforce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FB964D8"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5E69D8" w14:textId="77777777" w:rsidR="00370263" w:rsidRPr="00746549" w:rsidRDefault="00370263">
            <w:pPr>
              <w:rPr>
                <w:szCs w:val="22"/>
                <w:lang w:val="en-US"/>
              </w:rPr>
            </w:pPr>
            <w:r>
              <w:rPr>
                <w:rStyle w:val="normaltextrun"/>
                <w:color w:val="000000"/>
                <w:szCs w:val="22"/>
                <w:shd w:val="clear" w:color="auto" w:fill="FFFFFF"/>
              </w:rPr>
              <w:t xml:space="preserve">Refers to the aged care assessment workforce from late 2024. This term also includes organisations that deliver Residential Aged Care Funding assessments.  </w:t>
            </w:r>
          </w:p>
        </w:tc>
      </w:tr>
      <w:tr w:rsidR="00BA1EF7" w:rsidRPr="00C93B6C" w14:paraId="26DFA52E"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711C432" w14:textId="77777777" w:rsidR="00370263" w:rsidRPr="00155879" w:rsidRDefault="00370263">
            <w:pPr>
              <w:tabs>
                <w:tab w:val="left" w:pos="1593"/>
              </w:tabs>
              <w:rPr>
                <w:lang w:val="en-US"/>
              </w:rPr>
            </w:pPr>
            <w:r w:rsidRPr="00155879">
              <w:rPr>
                <w:lang w:val="en-US"/>
              </w:rPr>
              <w:t xml:space="preserve">Specialist Aged Care Programs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A093DE"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55A675" w14:textId="77777777" w:rsidR="00370263" w:rsidRDefault="00370263">
            <w:pPr>
              <w:rPr>
                <w:rStyle w:val="normaltextrun"/>
                <w:color w:val="000000"/>
                <w:szCs w:val="22"/>
                <w:shd w:val="clear" w:color="auto" w:fill="FFFFFF"/>
              </w:rPr>
            </w:pPr>
            <w:r>
              <w:rPr>
                <w:color w:val="000000"/>
                <w:szCs w:val="22"/>
                <w:shd w:val="clear" w:color="auto" w:fill="FFFFFF"/>
              </w:rPr>
              <w:t>M</w:t>
            </w:r>
            <w:r w:rsidRPr="00F31C26">
              <w:rPr>
                <w:color w:val="000000"/>
                <w:szCs w:val="22"/>
                <w:shd w:val="clear" w:color="auto" w:fill="FFFFFF"/>
              </w:rPr>
              <w:t>eans a Government program for delivering funded aged care services that (a) is given effect through one or more agreements or arrangements entered into by the Commonwealth under subsection 247(1) or section 264 of the Act for the program; and (b) meets any other requirements prescribed by the rules. It includes the Multi</w:t>
            </w:r>
            <w:r w:rsidRPr="00F31C26">
              <w:rPr>
                <w:color w:val="000000"/>
                <w:szCs w:val="22"/>
                <w:shd w:val="clear" w:color="auto" w:fill="FFFFFF"/>
              </w:rPr>
              <w:noBreakHyphen/>
              <w:t>Purpose Service Program, Transition Care Program, National Aboriginal and Torres Strait Islander Flexible Aged Care (NATSIFAC) Program, and Commonwealth Home Support Program (CHSP).</w:t>
            </w:r>
          </w:p>
        </w:tc>
      </w:tr>
      <w:tr w:rsidR="00BA1EF7" w14:paraId="7849548F"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CD0A4E8" w14:textId="77777777" w:rsidR="00370263" w:rsidRPr="00155879" w:rsidRDefault="00370263">
            <w:pPr>
              <w:rPr>
                <w:rFonts w:eastAsia="Arial"/>
                <w:color w:val="1E1545"/>
                <w:lang w:val="en-US"/>
              </w:rPr>
            </w:pPr>
            <w:r w:rsidRPr="00155879">
              <w:rPr>
                <w:rFonts w:eastAsia="Arial"/>
                <w:color w:val="1E1545"/>
                <w:lang w:val="en-US"/>
              </w:rPr>
              <w:t>Specified need</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535843" w14:textId="77777777" w:rsidR="00370263"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76DBF1B" w14:textId="77777777" w:rsidR="00370263" w:rsidRDefault="00370263">
            <w:pPr>
              <w:rPr>
                <w:rFonts w:eastAsia="Arial"/>
                <w:color w:val="1E1545"/>
              </w:rPr>
            </w:pPr>
            <w:r w:rsidRPr="00EA1C8F">
              <w:rPr>
                <w:color w:val="000000"/>
                <w:szCs w:val="22"/>
                <w:shd w:val="clear" w:color="auto" w:fill="FFFFFF"/>
              </w:rPr>
              <w:t>Refers to participants who require ongoing assistive technology funding for the essential maintenance of their assistance dog.</w:t>
            </w:r>
          </w:p>
        </w:tc>
      </w:tr>
      <w:tr w:rsidR="00BA1EF7" w:rsidRPr="00C93B6C" w14:paraId="544F95C8"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03DE56A" w14:textId="77777777" w:rsidR="00370263" w:rsidRPr="00155879" w:rsidRDefault="00370263">
            <w:pPr>
              <w:tabs>
                <w:tab w:val="left" w:pos="1593"/>
              </w:tabs>
              <w:rPr>
                <w:lang w:val="en-US"/>
              </w:rPr>
            </w:pPr>
            <w:r w:rsidRPr="00155879">
              <w:rPr>
                <w:lang w:val="en-US"/>
              </w:rPr>
              <w:t>(Commonwealth) Subsidised and non-subsidised aged care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196E9E6"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9806F4" w14:textId="77777777" w:rsidR="00370263" w:rsidRPr="00746549" w:rsidRDefault="00370263">
            <w:pPr>
              <w:rPr>
                <w:szCs w:val="22"/>
                <w:lang w:val="en-US"/>
              </w:rPr>
            </w:pPr>
            <w:r w:rsidRPr="00746549">
              <w:rPr>
                <w:szCs w:val="22"/>
                <w:lang w:val="en-US"/>
              </w:rPr>
              <w:t xml:space="preserve">Commonwealth subsidised aged care programs broadly include </w:t>
            </w:r>
            <w:r w:rsidRPr="5C8A8991">
              <w:rPr>
                <w:szCs w:val="22"/>
                <w:lang w:val="en-US"/>
              </w:rPr>
              <w:t>those under the Aged Care Act.</w:t>
            </w:r>
            <w:r w:rsidRPr="00746549">
              <w:rPr>
                <w:szCs w:val="22"/>
                <w:lang w:val="en-US"/>
              </w:rPr>
              <w:t xml:space="preserve"> These services can receive My Aged Care portal referrals and can be service recommendations on the Support Plan. Non-subsidised services are those services and supports that are NOT Commonwealth funded aged care. These services cannot receive referrals through the My Aged Care portal, are NOT listed in the My Aged Care service finder and are noted as general recommendations on the Support Plan.</w:t>
            </w:r>
          </w:p>
        </w:tc>
      </w:tr>
      <w:tr w:rsidR="00BA1EF7" w:rsidRPr="00C93B6C" w14:paraId="61EAFED5" w14:textId="77777777" w:rsidTr="2B6BD8B8">
        <w:trPr>
          <w:trHeight w:val="763"/>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C31FD04" w14:textId="77777777" w:rsidR="00370263" w:rsidRPr="00155879" w:rsidRDefault="00370263">
            <w:pPr>
              <w:tabs>
                <w:tab w:val="left" w:pos="1593"/>
              </w:tabs>
              <w:rPr>
                <w:lang w:val="en"/>
              </w:rPr>
            </w:pPr>
            <w:r w:rsidRPr="00155879">
              <w:t>Support Plan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4C43062" w14:textId="77777777" w:rsidR="00370263" w:rsidRPr="00C93B6C" w:rsidRDefault="00370263">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8106B4" w14:textId="77777777" w:rsidR="00370263" w:rsidRPr="00746549" w:rsidRDefault="00370263">
            <w:pPr>
              <w:rPr>
                <w:szCs w:val="22"/>
                <w:lang w:val="en"/>
              </w:rPr>
            </w:pPr>
            <w:r w:rsidRPr="00746549">
              <w:rPr>
                <w:szCs w:val="22"/>
              </w:rPr>
              <w:t xml:space="preserve">The Support Plan is an important and ongoing document for the </w:t>
            </w:r>
            <w:r>
              <w:rPr>
                <w:szCs w:val="22"/>
              </w:rPr>
              <w:t>older person</w:t>
            </w:r>
            <w:r w:rsidRPr="00746549">
              <w:rPr>
                <w:szCs w:val="22"/>
              </w:rPr>
              <w:t xml:space="preserve"> that can be updated as a</w:t>
            </w:r>
            <w:r>
              <w:rPr>
                <w:szCs w:val="22"/>
              </w:rPr>
              <w:t>n</w:t>
            </w:r>
            <w:r w:rsidRPr="00746549">
              <w:rPr>
                <w:szCs w:val="22"/>
              </w:rPr>
              <w:t xml:space="preserve"> </w:t>
            </w:r>
            <w:r>
              <w:rPr>
                <w:szCs w:val="22"/>
              </w:rPr>
              <w:t>older person</w:t>
            </w:r>
            <w:r w:rsidRPr="00746549">
              <w:rPr>
                <w:szCs w:val="22"/>
              </w:rPr>
              <w:t xml:space="preserve">’s needs change. It details the outcomes of discussions with, and assessments of, the </w:t>
            </w:r>
            <w:r>
              <w:rPr>
                <w:szCs w:val="22"/>
              </w:rPr>
              <w:t>older person</w:t>
            </w:r>
            <w:r w:rsidRPr="00746549">
              <w:rPr>
                <w:szCs w:val="22"/>
              </w:rPr>
              <w:t xml:space="preserve">, including what the </w:t>
            </w:r>
            <w:r>
              <w:rPr>
                <w:szCs w:val="22"/>
              </w:rPr>
              <w:t>older person</w:t>
            </w:r>
            <w:r w:rsidRPr="00746549">
              <w:rPr>
                <w:szCs w:val="22"/>
              </w:rPr>
              <w:t xml:space="preserve"> would like to improve and achieve (their goals), and agreed actions to be taken. It is a continuous document (i.e. a</w:t>
            </w:r>
            <w:r>
              <w:rPr>
                <w:szCs w:val="22"/>
              </w:rPr>
              <w:t>n</w:t>
            </w:r>
            <w:r w:rsidRPr="00746549">
              <w:rPr>
                <w:szCs w:val="22"/>
              </w:rPr>
              <w:t xml:space="preserve"> </w:t>
            </w:r>
            <w:r>
              <w:rPr>
                <w:szCs w:val="22"/>
              </w:rPr>
              <w:t>older person</w:t>
            </w:r>
            <w:r w:rsidRPr="00746549">
              <w:rPr>
                <w:szCs w:val="22"/>
              </w:rPr>
              <w:t xml:space="preserve"> only has one Support Plan).</w:t>
            </w:r>
          </w:p>
        </w:tc>
      </w:tr>
      <w:tr w:rsidR="00BA1EF7" w:rsidRPr="00C93B6C" w14:paraId="17742110" w14:textId="77777777" w:rsidTr="2B6BD8B8">
        <w:trPr>
          <w:trHeight w:hRule="exact" w:val="291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F3F0A3F" w14:textId="1FEBF4F3" w:rsidR="00370263" w:rsidRPr="00155879" w:rsidRDefault="00370263">
            <w:pPr>
              <w:tabs>
                <w:tab w:val="left" w:pos="1593"/>
              </w:tabs>
            </w:pPr>
            <w:r w:rsidRPr="00155879">
              <w:t xml:space="preserve">Support </w:t>
            </w:r>
            <w:r w:rsidR="40B63243">
              <w:t>p</w:t>
            </w:r>
            <w:r>
              <w:t xml:space="preserve">lan </w:t>
            </w:r>
            <w:r w:rsidR="530F9441">
              <w:t>r</w:t>
            </w:r>
            <w:r w:rsidRPr="00155879">
              <w:t>eview</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78D6B3" w14:textId="77777777" w:rsidR="00370263" w:rsidRPr="00C93B6C" w:rsidRDefault="00370263">
            <w:pPr>
              <w:rPr>
                <w:szCs w:val="22"/>
              </w:rPr>
            </w:pPr>
            <w:r w:rsidRPr="00C93B6C">
              <w:rPr>
                <w:szCs w:val="22"/>
              </w:rPr>
              <w:t>SPR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6D15344" w14:textId="22845001" w:rsidR="00370263" w:rsidRPr="00746549" w:rsidRDefault="00370263">
            <w:pPr>
              <w:rPr>
                <w:lang w:val="en-US"/>
              </w:rPr>
            </w:pPr>
            <w:r w:rsidRPr="2B6BD8B8">
              <w:rPr>
                <w:lang w:val="en-US"/>
              </w:rPr>
              <w:t xml:space="preserve">A </w:t>
            </w:r>
            <w:r w:rsidR="17E31626" w:rsidRPr="7D8FD24E">
              <w:rPr>
                <w:lang w:val="en-US"/>
              </w:rPr>
              <w:t>s</w:t>
            </w:r>
            <w:r w:rsidRPr="7D8FD24E">
              <w:rPr>
                <w:lang w:val="en-US"/>
              </w:rPr>
              <w:t xml:space="preserve">upport </w:t>
            </w:r>
            <w:r w:rsidR="3DC51964" w:rsidRPr="7D8FD24E">
              <w:rPr>
                <w:lang w:val="en-US"/>
              </w:rPr>
              <w:t>p</w:t>
            </w:r>
            <w:r w:rsidRPr="7D8FD24E">
              <w:rPr>
                <w:lang w:val="en-US"/>
              </w:rPr>
              <w:t xml:space="preserve">lan </w:t>
            </w:r>
            <w:r w:rsidR="6C2D3E22" w:rsidRPr="7D8FD24E">
              <w:rPr>
                <w:lang w:val="en-US"/>
              </w:rPr>
              <w:t>r</w:t>
            </w:r>
            <w:r w:rsidRPr="2B6BD8B8">
              <w:rPr>
                <w:lang w:val="en-US"/>
              </w:rPr>
              <w:t>eview relates to the effectiveness and appropriateness of the older person’s Support Plan. An assessor may set a review date on the Support Plan at the time of the assessment or initiated on an ad-hoc basis. A review may also be requested by an older person or a service provider where there is a change in the older person’s needs or circumstances. It may be completed over-the-phone with the older person.</w:t>
            </w:r>
          </w:p>
        </w:tc>
      </w:tr>
      <w:tr w:rsidR="00BA1EF7" w:rsidRPr="00C93B6C" w14:paraId="4B628819" w14:textId="77777777" w:rsidTr="2B6BD8B8">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D251B15" w14:textId="77777777" w:rsidR="00370263" w:rsidRPr="00155879" w:rsidRDefault="00370263">
            <w:pPr>
              <w:tabs>
                <w:tab w:val="left" w:pos="1593"/>
              </w:tabs>
            </w:pPr>
            <w:r w:rsidRPr="00155879">
              <w:rPr>
                <w:lang w:val="en"/>
              </w:rPr>
              <w:t>Transition Care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38CDE46" w14:textId="77777777" w:rsidR="00370263" w:rsidRPr="00C93B6C" w:rsidRDefault="00370263">
            <w:pPr>
              <w:rPr>
                <w:szCs w:val="22"/>
              </w:rPr>
            </w:pPr>
            <w:r w:rsidRPr="00C93B6C">
              <w:rPr>
                <w:szCs w:val="22"/>
              </w:rPr>
              <w:t>TCP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3827F9" w14:textId="77777777" w:rsidR="00370263" w:rsidRPr="00746549" w:rsidRDefault="00370263">
            <w:pPr>
              <w:rPr>
                <w:szCs w:val="22"/>
                <w:lang w:val="en"/>
              </w:rPr>
            </w:pPr>
            <w:r w:rsidRPr="00746549">
              <w:rPr>
                <w:szCs w:val="22"/>
                <w:lang w:val="en"/>
              </w:rPr>
              <w:t>Transition Care provides short-term, goal oriented and therapy-focused care for older Australians after hospital stays either in a home or community setting or in a residential aged care setting.</w:t>
            </w:r>
          </w:p>
        </w:tc>
      </w:tr>
    </w:tbl>
    <w:p w14:paraId="1E0BFEAD" w14:textId="77777777" w:rsidR="00FB024C" w:rsidRDefault="00FB024C" w:rsidP="00370263"/>
    <w:p w14:paraId="1A1B9D3D" w14:textId="445FB613" w:rsidR="00370263" w:rsidRDefault="00C15988" w:rsidP="00370263">
      <w:r>
        <w:br w:type="page"/>
      </w:r>
    </w:p>
    <w:p w14:paraId="3CB43A21" w14:textId="6F82D411" w:rsidR="00171B68" w:rsidRDefault="00370263" w:rsidP="005D6C7B">
      <w:pPr>
        <w:pStyle w:val="H1"/>
        <w:numPr>
          <w:ilvl w:val="0"/>
          <w:numId w:val="0"/>
        </w:numPr>
        <w:ind w:left="360"/>
      </w:pPr>
      <w:bookmarkStart w:id="1133" w:name="_Toc204329642"/>
      <w:bookmarkStart w:id="1134" w:name="_Toc209189077"/>
      <w:bookmarkStart w:id="1135" w:name="_Toc224916728"/>
      <w:r w:rsidRPr="00546F1B">
        <w:t xml:space="preserve">APPENDIX </w:t>
      </w:r>
      <w:r w:rsidR="00A5274A">
        <w:t>B</w:t>
      </w:r>
      <w:r w:rsidR="00A5274A" w:rsidRPr="00546F1B">
        <w:t xml:space="preserve"> </w:t>
      </w:r>
      <w:r w:rsidRPr="00546F1B">
        <w:t xml:space="preserve">– Contact </w:t>
      </w:r>
      <w:r w:rsidR="003B6CAA">
        <w:t>d</w:t>
      </w:r>
      <w:r w:rsidRPr="00546F1B">
        <w:t>etails</w:t>
      </w:r>
      <w:bookmarkEnd w:id="1133"/>
      <w:bookmarkEnd w:id="1134"/>
      <w:bookmarkEnd w:id="1135"/>
    </w:p>
    <w:p w14:paraId="7D95BA3E" w14:textId="2D68E308" w:rsidR="00C15988" w:rsidRDefault="00417C2F" w:rsidP="00E3017E">
      <w:pPr>
        <w:pStyle w:val="Caption"/>
      </w:pPr>
      <w:r>
        <w:t xml:space="preserve">Table </w:t>
      </w:r>
      <w:r w:rsidR="00DA53CE">
        <w:t>60.</w:t>
      </w:r>
      <w:r>
        <w:t xml:space="preserve"> Contact details </w:t>
      </w:r>
    </w:p>
    <w:tbl>
      <w:tblPr>
        <w:tblStyle w:val="TableGrid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w:tblPr>
      <w:tblGrid>
        <w:gridCol w:w="2974"/>
        <w:gridCol w:w="6377"/>
      </w:tblGrid>
      <w:tr w:rsidR="00C15988" w:rsidRPr="005A71C0" w14:paraId="7F1D6083" w14:textId="77777777" w:rsidTr="000F3407">
        <w:trPr>
          <w:tblHeader/>
        </w:trPr>
        <w:tc>
          <w:tcPr>
            <w:tcW w:w="2974" w:type="dxa"/>
            <w:shd w:val="clear" w:color="auto" w:fill="153A6E"/>
          </w:tcPr>
          <w:p w14:paraId="26E83FCF" w14:textId="666BDB8B" w:rsidR="00C15988" w:rsidRPr="005A71C0" w:rsidRDefault="00C15988" w:rsidP="00173995">
            <w:pPr>
              <w:pStyle w:val="Sub-headingnon-contentpage"/>
              <w:rPr>
                <w:b/>
                <w:color w:val="FFFFFF" w:themeColor="background1"/>
              </w:rPr>
            </w:pPr>
            <w:r w:rsidRPr="005A71C0">
              <w:rPr>
                <w:b/>
                <w:color w:val="FFFFFF" w:themeColor="background1"/>
              </w:rPr>
              <w:t>Contact point</w:t>
            </w:r>
          </w:p>
        </w:tc>
        <w:tc>
          <w:tcPr>
            <w:tcW w:w="6377" w:type="dxa"/>
            <w:shd w:val="clear" w:color="auto" w:fill="153A6E"/>
          </w:tcPr>
          <w:p w14:paraId="36E4B5C0" w14:textId="77777777" w:rsidR="00C15988" w:rsidRPr="005A71C0" w:rsidRDefault="00C15988" w:rsidP="00173995">
            <w:pPr>
              <w:pStyle w:val="Sub-headingnon-contentpage"/>
              <w:rPr>
                <w:b/>
                <w:color w:val="FFFFFF" w:themeColor="background1"/>
              </w:rPr>
            </w:pPr>
            <w:r w:rsidRPr="005A71C0">
              <w:rPr>
                <w:b/>
                <w:color w:val="FFFFFF" w:themeColor="background1"/>
              </w:rPr>
              <w:t xml:space="preserve">Details </w:t>
            </w:r>
          </w:p>
        </w:tc>
      </w:tr>
      <w:tr w:rsidR="00C15988" w:rsidRPr="00C542DF" w14:paraId="6A0985EA" w14:textId="77777777" w:rsidTr="00164E21">
        <w:tc>
          <w:tcPr>
            <w:tcW w:w="2974" w:type="dxa"/>
          </w:tcPr>
          <w:p w14:paraId="250C72A9" w14:textId="77777777" w:rsidR="00C15988" w:rsidRPr="00C77199" w:rsidRDefault="00C15988" w:rsidP="00173995">
            <w:pPr>
              <w:pStyle w:val="Sub-headingnon-contentpage"/>
              <w:rPr>
                <w:color w:val="279989"/>
              </w:rPr>
            </w:pPr>
            <w:r w:rsidRPr="00C77199">
              <w:t>Right of Review</w:t>
            </w:r>
          </w:p>
          <w:p w14:paraId="6997749D" w14:textId="77777777" w:rsidR="00C15988" w:rsidRPr="00C77199" w:rsidRDefault="00C15988" w:rsidP="00173995">
            <w:pPr>
              <w:pStyle w:val="Sub-headingnon-contentpage"/>
            </w:pPr>
          </w:p>
        </w:tc>
        <w:tc>
          <w:tcPr>
            <w:tcW w:w="6377" w:type="dxa"/>
          </w:tcPr>
          <w:p w14:paraId="7261A637" w14:textId="77777777" w:rsidR="00C15988" w:rsidRPr="00C77199" w:rsidRDefault="00C15988" w:rsidP="00173995">
            <w:pPr>
              <w:rPr>
                <w:b/>
                <w:color w:val="279989"/>
                <w:szCs w:val="22"/>
                <w:u w:val="single"/>
                <w:lang w:val="en"/>
              </w:rPr>
            </w:pPr>
            <w:r w:rsidRPr="00C77199">
              <w:rPr>
                <w:szCs w:val="22"/>
              </w:rPr>
              <w:t>A person can request a review to an assessment outcome by writing to:</w:t>
            </w:r>
          </w:p>
          <w:p w14:paraId="27327D80" w14:textId="77777777" w:rsidR="00C15988" w:rsidRPr="00C77199" w:rsidRDefault="00C15988" w:rsidP="00173995">
            <w:pPr>
              <w:spacing w:line="300" w:lineRule="exact"/>
              <w:ind w:left="425"/>
              <w:rPr>
                <w:szCs w:val="22"/>
              </w:rPr>
            </w:pPr>
            <w:r w:rsidRPr="00C77199">
              <w:rPr>
                <w:szCs w:val="22"/>
              </w:rPr>
              <w:t xml:space="preserve">The Secretary </w:t>
            </w:r>
          </w:p>
          <w:p w14:paraId="5705522B" w14:textId="77777777" w:rsidR="00C15988" w:rsidRPr="00C77199" w:rsidRDefault="00C15988" w:rsidP="00173995">
            <w:pPr>
              <w:spacing w:line="300" w:lineRule="exact"/>
              <w:ind w:left="425"/>
              <w:rPr>
                <w:szCs w:val="22"/>
              </w:rPr>
            </w:pPr>
            <w:r w:rsidRPr="00C77199">
              <w:rPr>
                <w:szCs w:val="22"/>
              </w:rPr>
              <w:t>Department</w:t>
            </w:r>
            <w:r w:rsidRPr="00C77199" w:rsidDel="001F504E">
              <w:rPr>
                <w:szCs w:val="22"/>
              </w:rPr>
              <w:t xml:space="preserve"> of Health</w:t>
            </w:r>
            <w:r>
              <w:rPr>
                <w:szCs w:val="22"/>
              </w:rPr>
              <w:t>, Disability</w:t>
            </w:r>
            <w:r w:rsidRPr="00C77199">
              <w:rPr>
                <w:szCs w:val="22"/>
              </w:rPr>
              <w:t xml:space="preserve"> and Age</w:t>
            </w:r>
            <w:r>
              <w:rPr>
                <w:szCs w:val="22"/>
              </w:rPr>
              <w:t>ing</w:t>
            </w:r>
            <w:r w:rsidRPr="00C77199">
              <w:rPr>
                <w:szCs w:val="22"/>
              </w:rPr>
              <w:t xml:space="preserve"> </w:t>
            </w:r>
          </w:p>
          <w:p w14:paraId="022E1E15" w14:textId="77777777" w:rsidR="00C15988" w:rsidRPr="00C77199" w:rsidRDefault="00C15988" w:rsidP="00173995">
            <w:pPr>
              <w:spacing w:line="300" w:lineRule="exact"/>
              <w:ind w:left="425"/>
              <w:rPr>
                <w:szCs w:val="22"/>
              </w:rPr>
            </w:pPr>
            <w:r w:rsidRPr="00C77199">
              <w:rPr>
                <w:szCs w:val="22"/>
              </w:rPr>
              <w:t xml:space="preserve">Attn: </w:t>
            </w:r>
            <w:r>
              <w:rPr>
                <w:szCs w:val="22"/>
              </w:rPr>
              <w:t>Review of Decisions Section</w:t>
            </w:r>
          </w:p>
          <w:p w14:paraId="3E44B2AB" w14:textId="77777777" w:rsidR="00C15988" w:rsidRPr="00C77199" w:rsidRDefault="00C15988" w:rsidP="00173995">
            <w:pPr>
              <w:spacing w:line="300" w:lineRule="exact"/>
              <w:ind w:left="426"/>
              <w:rPr>
                <w:szCs w:val="22"/>
              </w:rPr>
            </w:pPr>
            <w:r w:rsidRPr="00C77199">
              <w:rPr>
                <w:szCs w:val="22"/>
              </w:rPr>
              <w:t xml:space="preserve">GPO Box 9848 </w:t>
            </w:r>
          </w:p>
          <w:p w14:paraId="6C8715F3" w14:textId="77777777" w:rsidR="00C15988" w:rsidRDefault="00C15988" w:rsidP="00173995">
            <w:pPr>
              <w:spacing w:line="300" w:lineRule="exact"/>
              <w:ind w:left="426"/>
              <w:rPr>
                <w:szCs w:val="22"/>
              </w:rPr>
            </w:pPr>
            <w:r w:rsidRPr="00C77199">
              <w:rPr>
                <w:szCs w:val="22"/>
              </w:rPr>
              <w:t xml:space="preserve">ADELAIDE SA </w:t>
            </w:r>
          </w:p>
          <w:p w14:paraId="1561F53B" w14:textId="77777777" w:rsidR="00C15988" w:rsidRPr="00C77199" w:rsidRDefault="00C15988" w:rsidP="00173995">
            <w:pPr>
              <w:spacing w:line="300" w:lineRule="exact"/>
              <w:ind w:left="426"/>
              <w:rPr>
                <w:szCs w:val="22"/>
              </w:rPr>
            </w:pPr>
            <w:r w:rsidRPr="00C77199">
              <w:rPr>
                <w:szCs w:val="22"/>
              </w:rPr>
              <w:t>5001</w:t>
            </w:r>
          </w:p>
        </w:tc>
      </w:tr>
      <w:tr w:rsidR="00C15988" w:rsidRPr="00C542DF" w14:paraId="12DCEEEF" w14:textId="77777777" w:rsidTr="00164E21">
        <w:trPr>
          <w:trHeight w:val="681"/>
        </w:trPr>
        <w:tc>
          <w:tcPr>
            <w:tcW w:w="2974" w:type="dxa"/>
          </w:tcPr>
          <w:p w14:paraId="0A6345AB" w14:textId="77777777" w:rsidR="00C15988" w:rsidRPr="00C77199" w:rsidRDefault="00C15988" w:rsidP="00173995">
            <w:pPr>
              <w:pStyle w:val="Sub-headingnon-contentpage"/>
            </w:pPr>
            <w:r w:rsidRPr="00C77199">
              <w:t>Assessment Operational manager</w:t>
            </w:r>
          </w:p>
        </w:tc>
        <w:tc>
          <w:tcPr>
            <w:tcW w:w="6377" w:type="dxa"/>
          </w:tcPr>
          <w:p w14:paraId="1D745491" w14:textId="77777777" w:rsidR="00C15988" w:rsidRPr="00C77199" w:rsidRDefault="00C15988" w:rsidP="00173995">
            <w:pPr>
              <w:spacing w:line="300" w:lineRule="exact"/>
              <w:rPr>
                <w:szCs w:val="22"/>
                <w:lang w:val="en-US"/>
              </w:rPr>
            </w:pPr>
            <w:r w:rsidRPr="00C77199">
              <w:rPr>
                <w:szCs w:val="22"/>
                <w:lang w:val="en-US"/>
              </w:rPr>
              <w:t>Please contact your assessment organisation operational manager in the first instance for all queries and/or issues.</w:t>
            </w:r>
          </w:p>
        </w:tc>
      </w:tr>
      <w:tr w:rsidR="00C15988" w:rsidRPr="00C542DF" w14:paraId="2026DF59" w14:textId="77777777" w:rsidTr="00164E21">
        <w:tc>
          <w:tcPr>
            <w:tcW w:w="2974" w:type="dxa"/>
          </w:tcPr>
          <w:p w14:paraId="40C6F967" w14:textId="77777777" w:rsidR="00C15988" w:rsidRPr="00C77199" w:rsidRDefault="00C15988" w:rsidP="00173995">
            <w:pPr>
              <w:pStyle w:val="Sub-headingnon-contentpage"/>
            </w:pPr>
            <w:r w:rsidRPr="00C77199">
              <w:t>Registered supporters</w:t>
            </w:r>
          </w:p>
        </w:tc>
        <w:tc>
          <w:tcPr>
            <w:tcW w:w="6377" w:type="dxa"/>
          </w:tcPr>
          <w:p w14:paraId="2C5AAF33" w14:textId="77777777" w:rsidR="00C15988" w:rsidRPr="00C77199" w:rsidRDefault="00C15988" w:rsidP="00173995">
            <w:pPr>
              <w:rPr>
                <w:b/>
                <w:color w:val="279989"/>
                <w:szCs w:val="22"/>
                <w:u w:val="single"/>
                <w:lang w:val="en"/>
              </w:rPr>
            </w:pPr>
            <w:r>
              <w:rPr>
                <w:szCs w:val="22"/>
              </w:rPr>
              <w:t>D</w:t>
            </w:r>
            <w:r w:rsidRPr="00C77199">
              <w:rPr>
                <w:szCs w:val="22"/>
              </w:rPr>
              <w:t xml:space="preserve">ocumentation </w:t>
            </w:r>
            <w:r>
              <w:rPr>
                <w:szCs w:val="22"/>
              </w:rPr>
              <w:t>to request to register a supporter</w:t>
            </w:r>
            <w:r w:rsidRPr="00C77199">
              <w:rPr>
                <w:szCs w:val="22"/>
              </w:rPr>
              <w:t xml:space="preserve"> can be sent to My Aged Care by:</w:t>
            </w:r>
          </w:p>
          <w:p w14:paraId="2DFFF5A5"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Uploading to the My Aged Care Online Account</w:t>
            </w:r>
          </w:p>
          <w:p w14:paraId="4F7F84AC" w14:textId="77777777" w:rsidR="00C15988" w:rsidRPr="00517FC4" w:rsidRDefault="00C15988" w:rsidP="00DF3F6B">
            <w:pPr>
              <w:numPr>
                <w:ilvl w:val="0"/>
                <w:numId w:val="346"/>
              </w:numPr>
              <w:spacing w:line="300" w:lineRule="exact"/>
              <w:ind w:left="567" w:hanging="283"/>
              <w:contextualSpacing/>
              <w:rPr>
                <w:szCs w:val="22"/>
              </w:rPr>
            </w:pPr>
            <w:r>
              <w:rPr>
                <w:szCs w:val="22"/>
              </w:rPr>
              <w:t>Uploading it as part of the online registration process on the My Aged Care website</w:t>
            </w:r>
          </w:p>
          <w:p w14:paraId="6A118A22"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 xml:space="preserve">Sending a digital copy via the My Aged Care online form available at: </w:t>
            </w:r>
            <w:hyperlink r:id="rId352" w:history="1">
              <w:r w:rsidRPr="00C77199">
                <w:rPr>
                  <w:rStyle w:val="Hyperlink"/>
                  <w:szCs w:val="22"/>
                </w:rPr>
                <w:t>https://www.healthdirect.gov.au/myagedcareupload</w:t>
              </w:r>
            </w:hyperlink>
            <w:r w:rsidRPr="00C77199">
              <w:rPr>
                <w:szCs w:val="22"/>
              </w:rPr>
              <w:t xml:space="preserve"> or</w:t>
            </w:r>
          </w:p>
          <w:p w14:paraId="3DED176A" w14:textId="77777777" w:rsidR="00C15988" w:rsidRDefault="00C15988" w:rsidP="00DF3F6B">
            <w:pPr>
              <w:numPr>
                <w:ilvl w:val="0"/>
                <w:numId w:val="346"/>
              </w:numPr>
              <w:spacing w:line="300" w:lineRule="exact"/>
              <w:ind w:left="568" w:hanging="284"/>
              <w:rPr>
                <w:szCs w:val="22"/>
              </w:rPr>
            </w:pPr>
            <w:r>
              <w:rPr>
                <w:szCs w:val="22"/>
              </w:rPr>
              <w:t>Providing it to an Aged Care Specialist Officer or assessor for face to face help uploading it to My Aged Care.</w:t>
            </w:r>
          </w:p>
          <w:p w14:paraId="4BA807E9" w14:textId="77777777" w:rsidR="00C15988" w:rsidRPr="00C77199" w:rsidRDefault="00C15988" w:rsidP="00DF3F6B">
            <w:pPr>
              <w:numPr>
                <w:ilvl w:val="0"/>
                <w:numId w:val="346"/>
              </w:numPr>
              <w:spacing w:line="300" w:lineRule="exact"/>
              <w:ind w:left="568" w:hanging="284"/>
              <w:rPr>
                <w:szCs w:val="22"/>
              </w:rPr>
            </w:pPr>
            <w:r>
              <w:rPr>
                <w:szCs w:val="22"/>
              </w:rPr>
              <w:t>P</w:t>
            </w:r>
            <w:r w:rsidRPr="00C77199">
              <w:rPr>
                <w:szCs w:val="22"/>
              </w:rPr>
              <w:t xml:space="preserve">osting to: </w:t>
            </w:r>
          </w:p>
          <w:p w14:paraId="08445DA6" w14:textId="77777777" w:rsidR="00C15988" w:rsidRPr="00C77199" w:rsidRDefault="00C15988" w:rsidP="00173995">
            <w:pPr>
              <w:spacing w:line="300" w:lineRule="exact"/>
              <w:ind w:left="567"/>
              <w:rPr>
                <w:szCs w:val="22"/>
              </w:rPr>
            </w:pPr>
            <w:r w:rsidRPr="00C77199">
              <w:rPr>
                <w:szCs w:val="22"/>
              </w:rPr>
              <w:t>My Aged Care</w:t>
            </w:r>
          </w:p>
          <w:p w14:paraId="41C96147" w14:textId="77777777" w:rsidR="00C15988" w:rsidRPr="00C77199" w:rsidRDefault="00C15988" w:rsidP="00173995">
            <w:pPr>
              <w:spacing w:line="300" w:lineRule="exact"/>
              <w:ind w:left="567"/>
              <w:rPr>
                <w:szCs w:val="22"/>
              </w:rPr>
            </w:pPr>
            <w:r w:rsidRPr="00C77199">
              <w:rPr>
                <w:szCs w:val="22"/>
              </w:rPr>
              <w:t xml:space="preserve">PO Box 1237 </w:t>
            </w:r>
          </w:p>
          <w:p w14:paraId="65A5AE91" w14:textId="77777777" w:rsidR="00C15988" w:rsidRPr="00C77199" w:rsidRDefault="00C15988" w:rsidP="00173995">
            <w:pPr>
              <w:spacing w:line="300" w:lineRule="exact"/>
              <w:ind w:left="568"/>
              <w:rPr>
                <w:szCs w:val="22"/>
              </w:rPr>
            </w:pPr>
            <w:r w:rsidRPr="00C77199">
              <w:rPr>
                <w:szCs w:val="22"/>
              </w:rPr>
              <w:t>Runaway Bay, QLD 4216</w:t>
            </w:r>
          </w:p>
        </w:tc>
      </w:tr>
      <w:tr w:rsidR="00C15988" w:rsidRPr="00C542DF" w14:paraId="74D1688B" w14:textId="77777777" w:rsidTr="00164E21">
        <w:tc>
          <w:tcPr>
            <w:tcW w:w="2974" w:type="dxa"/>
          </w:tcPr>
          <w:p w14:paraId="0E5317AD" w14:textId="77777777" w:rsidR="00C15988" w:rsidRPr="00C77199" w:rsidRDefault="00C15988" w:rsidP="00173995">
            <w:pPr>
              <w:pStyle w:val="Sub-headingnon-contentpage"/>
            </w:pPr>
            <w:r w:rsidRPr="00C77199">
              <w:t>Carer Gateway</w:t>
            </w:r>
          </w:p>
        </w:tc>
        <w:tc>
          <w:tcPr>
            <w:tcW w:w="6377" w:type="dxa"/>
          </w:tcPr>
          <w:p w14:paraId="24C0001F"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1800 422 737</w:t>
            </w:r>
          </w:p>
        </w:tc>
      </w:tr>
      <w:tr w:rsidR="00C15988" w:rsidRPr="00C542DF" w14:paraId="634799F2" w14:textId="77777777" w:rsidTr="00164E21">
        <w:trPr>
          <w:trHeight w:val="313"/>
        </w:trPr>
        <w:tc>
          <w:tcPr>
            <w:tcW w:w="2974" w:type="dxa"/>
          </w:tcPr>
          <w:p w14:paraId="20A4A10C" w14:textId="77777777" w:rsidR="00C15988" w:rsidRPr="00C77199" w:rsidRDefault="00C15988" w:rsidP="00173995">
            <w:pPr>
              <w:pStyle w:val="Sub-headingnon-contentpage"/>
              <w:rPr>
                <w:color w:val="279989"/>
              </w:rPr>
            </w:pPr>
            <w:r w:rsidRPr="00C77199">
              <w:t>My Aged Care</w:t>
            </w:r>
            <w:r w:rsidRPr="00C77199">
              <w:rPr>
                <w:color w:val="279989"/>
              </w:rPr>
              <w:t xml:space="preserve"> </w:t>
            </w:r>
            <w:r w:rsidRPr="00C77199">
              <w:t>contact centre</w:t>
            </w:r>
          </w:p>
        </w:tc>
        <w:tc>
          <w:tcPr>
            <w:tcW w:w="6377" w:type="dxa"/>
          </w:tcPr>
          <w:p w14:paraId="66C30945"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 xml:space="preserve">1800 200 422 </w:t>
            </w:r>
          </w:p>
        </w:tc>
      </w:tr>
      <w:tr w:rsidR="00C15988" w:rsidRPr="00C542DF" w14:paraId="53509197" w14:textId="77777777" w:rsidTr="00164E21">
        <w:trPr>
          <w:trHeight w:val="1111"/>
        </w:trPr>
        <w:tc>
          <w:tcPr>
            <w:tcW w:w="2974" w:type="dxa"/>
          </w:tcPr>
          <w:p w14:paraId="4CE9B8BF" w14:textId="77777777" w:rsidR="00C15988" w:rsidRPr="00C77199" w:rsidRDefault="00C15988" w:rsidP="00173995">
            <w:pPr>
              <w:pStyle w:val="Sub-headingnon-contentpage"/>
              <w:rPr>
                <w:color w:val="279989"/>
              </w:rPr>
            </w:pPr>
            <w:r w:rsidRPr="00C77199">
              <w:t>My Aged Care Service Provider and Assessor Helpline</w:t>
            </w:r>
          </w:p>
        </w:tc>
        <w:tc>
          <w:tcPr>
            <w:tcW w:w="6377" w:type="dxa"/>
          </w:tcPr>
          <w:p w14:paraId="3D615D71"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 xml:space="preserve">1800 836 799 </w:t>
            </w:r>
          </w:p>
          <w:p w14:paraId="5B4A7AA9" w14:textId="77777777" w:rsidR="00C15988" w:rsidRPr="00C77199" w:rsidRDefault="00C15988" w:rsidP="00173995">
            <w:pPr>
              <w:pStyle w:val="PlainText"/>
              <w:tabs>
                <w:tab w:val="left" w:pos="426"/>
              </w:tabs>
              <w:spacing w:after="0" w:line="300" w:lineRule="exact"/>
              <w:rPr>
                <w:rFonts w:ascii="Arial" w:eastAsia="MS Mincho" w:hAnsi="Arial" w:cs="Arial"/>
                <w:szCs w:val="22"/>
              </w:rPr>
            </w:pPr>
            <w:r w:rsidRPr="00C77199">
              <w:rPr>
                <w:rFonts w:ascii="Arial" w:eastAsia="MS Mincho" w:hAnsi="Arial" w:cs="Arial"/>
                <w:szCs w:val="22"/>
              </w:rPr>
              <w:t>8am to 8pm Monday to Friday or 10am to 2pm Saturday</w:t>
            </w:r>
          </w:p>
        </w:tc>
      </w:tr>
      <w:tr w:rsidR="00C15988" w:rsidRPr="00C542DF" w14:paraId="537806D7" w14:textId="77777777" w:rsidTr="00164E21">
        <w:tc>
          <w:tcPr>
            <w:tcW w:w="2974" w:type="dxa"/>
          </w:tcPr>
          <w:p w14:paraId="54EE32C8" w14:textId="77777777" w:rsidR="00C15988" w:rsidRPr="00C77199" w:rsidRDefault="00C15988" w:rsidP="00173995">
            <w:pPr>
              <w:pStyle w:val="Sub-headingnon-contentpage"/>
              <w:rPr>
                <w:color w:val="279989"/>
              </w:rPr>
            </w:pPr>
            <w:r w:rsidRPr="00C77199">
              <w:t xml:space="preserve">My Aged Care complaints </w:t>
            </w:r>
          </w:p>
          <w:p w14:paraId="511F1632" w14:textId="77777777" w:rsidR="00C15988" w:rsidRPr="00C77199" w:rsidRDefault="00C15988" w:rsidP="00173995">
            <w:pPr>
              <w:pStyle w:val="Sub-headingnon-contentpage"/>
            </w:pPr>
          </w:p>
        </w:tc>
        <w:tc>
          <w:tcPr>
            <w:tcW w:w="6377" w:type="dxa"/>
          </w:tcPr>
          <w:p w14:paraId="30A35973" w14:textId="77777777" w:rsidR="00C15988" w:rsidRPr="00C77199" w:rsidRDefault="00C15988" w:rsidP="00173995">
            <w:pPr>
              <w:rPr>
                <w:szCs w:val="22"/>
              </w:rPr>
            </w:pPr>
            <w:r w:rsidRPr="00C77199">
              <w:rPr>
                <w:szCs w:val="22"/>
              </w:rPr>
              <w:t xml:space="preserve">A person can make a complaint by: </w:t>
            </w:r>
          </w:p>
          <w:p w14:paraId="05AB7017"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 xml:space="preserve">calling My Aged Care on </w:t>
            </w:r>
            <w:r w:rsidRPr="00C77199">
              <w:rPr>
                <w:bCs/>
                <w:szCs w:val="22"/>
              </w:rPr>
              <w:t>1800 200 422</w:t>
            </w:r>
          </w:p>
          <w:p w14:paraId="1CF7D7A2" w14:textId="77777777" w:rsidR="00C15988" w:rsidRPr="00C77199" w:rsidRDefault="00C15988" w:rsidP="00DF3F6B">
            <w:pPr>
              <w:numPr>
                <w:ilvl w:val="0"/>
                <w:numId w:val="346"/>
              </w:numPr>
              <w:spacing w:line="300" w:lineRule="exact"/>
              <w:ind w:left="567" w:hanging="283"/>
              <w:contextualSpacing/>
              <w:rPr>
                <w:szCs w:val="22"/>
              </w:rPr>
            </w:pPr>
            <w:r w:rsidRPr="00C77199">
              <w:rPr>
                <w:szCs w:val="22"/>
              </w:rPr>
              <w:t xml:space="preserve">lodging an </w:t>
            </w:r>
            <w:hyperlink r:id="rId353" w:history="1">
              <w:r w:rsidRPr="00C77199">
                <w:rPr>
                  <w:szCs w:val="22"/>
                </w:rPr>
                <w:t>online feedback form</w:t>
              </w:r>
            </w:hyperlink>
            <w:r w:rsidRPr="00C77199">
              <w:rPr>
                <w:szCs w:val="22"/>
              </w:rPr>
              <w:t xml:space="preserve"> on the My Aged Care website at </w:t>
            </w:r>
            <w:hyperlink r:id="rId354" w:history="1">
              <w:r w:rsidRPr="00C77199">
                <w:rPr>
                  <w:szCs w:val="22"/>
                </w:rPr>
                <w:t>myagedcare.gov.au/contact-form</w:t>
              </w:r>
            </w:hyperlink>
          </w:p>
          <w:p w14:paraId="6B181AF2" w14:textId="77777777" w:rsidR="00C15988" w:rsidRPr="00C77199" w:rsidRDefault="00C15988" w:rsidP="00DF3F6B">
            <w:pPr>
              <w:numPr>
                <w:ilvl w:val="0"/>
                <w:numId w:val="346"/>
              </w:numPr>
              <w:spacing w:line="300" w:lineRule="exact"/>
              <w:ind w:left="568" w:hanging="284"/>
              <w:rPr>
                <w:szCs w:val="22"/>
              </w:rPr>
            </w:pPr>
            <w:r w:rsidRPr="00C77199">
              <w:rPr>
                <w:szCs w:val="22"/>
              </w:rPr>
              <w:t>posting their complaint to:</w:t>
            </w:r>
          </w:p>
          <w:p w14:paraId="16CE9F7E" w14:textId="77777777" w:rsidR="00C15988" w:rsidRPr="00C77199" w:rsidRDefault="00C15988" w:rsidP="00173995">
            <w:pPr>
              <w:spacing w:line="300" w:lineRule="exact"/>
              <w:ind w:left="567"/>
              <w:contextualSpacing/>
              <w:rPr>
                <w:szCs w:val="22"/>
              </w:rPr>
            </w:pPr>
            <w:r w:rsidRPr="00C77199">
              <w:rPr>
                <w:szCs w:val="22"/>
              </w:rPr>
              <w:t>My Aged Care Complaints</w:t>
            </w:r>
          </w:p>
          <w:p w14:paraId="0FC955B4" w14:textId="77777777" w:rsidR="00C15988" w:rsidRPr="00C77199" w:rsidRDefault="00C15988" w:rsidP="00173995">
            <w:pPr>
              <w:spacing w:line="300" w:lineRule="exact"/>
              <w:ind w:left="567"/>
              <w:contextualSpacing/>
              <w:rPr>
                <w:szCs w:val="22"/>
              </w:rPr>
            </w:pPr>
            <w:r w:rsidRPr="00C77199">
              <w:rPr>
                <w:szCs w:val="22"/>
              </w:rPr>
              <w:t xml:space="preserve">PO Box 1237 </w:t>
            </w:r>
          </w:p>
          <w:p w14:paraId="39E9A552" w14:textId="77777777" w:rsidR="00C15988" w:rsidRPr="00C77199" w:rsidRDefault="00C15988" w:rsidP="00173995">
            <w:pPr>
              <w:spacing w:line="300" w:lineRule="exact"/>
              <w:ind w:left="567"/>
              <w:contextualSpacing/>
              <w:rPr>
                <w:szCs w:val="22"/>
              </w:rPr>
            </w:pPr>
            <w:r w:rsidRPr="00C77199">
              <w:rPr>
                <w:szCs w:val="22"/>
              </w:rPr>
              <w:t xml:space="preserve">Runaway Bay QLD 4216 </w:t>
            </w:r>
          </w:p>
        </w:tc>
      </w:tr>
      <w:tr w:rsidR="00C15988" w:rsidRPr="00C542DF" w14:paraId="757CC56F" w14:textId="77777777" w:rsidTr="00164E21">
        <w:trPr>
          <w:trHeight w:val="682"/>
        </w:trPr>
        <w:tc>
          <w:tcPr>
            <w:tcW w:w="2974" w:type="dxa"/>
          </w:tcPr>
          <w:p w14:paraId="3EAB4DF5" w14:textId="77777777" w:rsidR="00C15988" w:rsidRPr="00C77199" w:rsidRDefault="00C15988" w:rsidP="00173995">
            <w:pPr>
              <w:pStyle w:val="Sub-headingnon-contentpage"/>
            </w:pPr>
            <w:r w:rsidRPr="00C77199">
              <w:t xml:space="preserve">Services Australia </w:t>
            </w:r>
          </w:p>
        </w:tc>
        <w:tc>
          <w:tcPr>
            <w:tcW w:w="6377" w:type="dxa"/>
          </w:tcPr>
          <w:p w14:paraId="4CDA8067" w14:textId="77777777" w:rsidR="00C15988" w:rsidRPr="00C77199" w:rsidRDefault="00C15988" w:rsidP="00173995">
            <w:pPr>
              <w:pStyle w:val="Sub-headingnon-contentpage"/>
            </w:pPr>
            <w:r w:rsidRPr="00C77199">
              <w:t>1800 227 475 (Aged Care Line - consumers)</w:t>
            </w:r>
          </w:p>
        </w:tc>
      </w:tr>
    </w:tbl>
    <w:p w14:paraId="25318E3F" w14:textId="77777777" w:rsidR="00370263" w:rsidRPr="00880B95" w:rsidRDefault="00370263" w:rsidP="00370263"/>
    <w:p w14:paraId="792AC539" w14:textId="77777777" w:rsidR="00370263" w:rsidRPr="00452412" w:rsidRDefault="00370263" w:rsidP="00370263">
      <w:pPr>
        <w:sectPr w:rsidR="00370263" w:rsidRPr="00452412" w:rsidSect="00370263">
          <w:pgSz w:w="11906" w:h="16838"/>
          <w:pgMar w:top="1440" w:right="1440" w:bottom="1440" w:left="1440" w:header="708" w:footer="708" w:gutter="0"/>
          <w:cols w:space="708"/>
          <w:docGrid w:linePitch="360"/>
        </w:sectPr>
      </w:pPr>
    </w:p>
    <w:p w14:paraId="78DD20B4" w14:textId="233688BB" w:rsidR="00370263" w:rsidRPr="00546F1B" w:rsidRDefault="00370263" w:rsidP="005D6C7B">
      <w:pPr>
        <w:pStyle w:val="H1"/>
        <w:numPr>
          <w:ilvl w:val="0"/>
          <w:numId w:val="0"/>
        </w:numPr>
        <w:ind w:left="360"/>
      </w:pPr>
      <w:bookmarkStart w:id="1136" w:name="_Toc209189078"/>
      <w:bookmarkStart w:id="1137" w:name="_Toc224916729"/>
      <w:bookmarkStart w:id="1138" w:name="_Toc204329643"/>
      <w:r w:rsidRPr="00546F1B">
        <w:t xml:space="preserve">APPENDIX </w:t>
      </w:r>
      <w:r w:rsidR="00A5274A">
        <w:t>C</w:t>
      </w:r>
      <w:r w:rsidR="00A5274A" w:rsidRPr="00546F1B">
        <w:t xml:space="preserve"> </w:t>
      </w:r>
      <w:r w:rsidRPr="00546F1B">
        <w:t xml:space="preserve">– </w:t>
      </w:r>
      <w:r w:rsidR="00D96F0A">
        <w:t xml:space="preserve">Clinical </w:t>
      </w:r>
      <w:r w:rsidR="003B6CAA">
        <w:t>g</w:t>
      </w:r>
      <w:r w:rsidR="00D96F0A">
        <w:t xml:space="preserve">overnance </w:t>
      </w:r>
      <w:r w:rsidR="003B6CAA">
        <w:t>g</w:t>
      </w:r>
      <w:r w:rsidR="00D96F0A">
        <w:t xml:space="preserve">uidance for </w:t>
      </w:r>
      <w:r w:rsidR="003B6CAA">
        <w:t>a</w:t>
      </w:r>
      <w:r w:rsidR="00D96F0A">
        <w:t xml:space="preserve">ged </w:t>
      </w:r>
      <w:r w:rsidR="003B6CAA">
        <w:t>c</w:t>
      </w:r>
      <w:r w:rsidR="00D96F0A">
        <w:t xml:space="preserve">are </w:t>
      </w:r>
      <w:r w:rsidR="003B6CAA">
        <w:t>n</w:t>
      </w:r>
      <w:r w:rsidR="00D96F0A">
        <w:t xml:space="preserve">eeds </w:t>
      </w:r>
      <w:r w:rsidR="003B6CAA">
        <w:t>a</w:t>
      </w:r>
      <w:r w:rsidR="00D96F0A">
        <w:t xml:space="preserve">ssessment </w:t>
      </w:r>
      <w:r w:rsidR="003B6CAA">
        <w:t>o</w:t>
      </w:r>
      <w:r w:rsidR="00D96F0A">
        <w:t>rganisations</w:t>
      </w:r>
      <w:bookmarkEnd w:id="1136"/>
      <w:bookmarkEnd w:id="1137"/>
      <w:r w:rsidR="00D96F0A">
        <w:t xml:space="preserve"> </w:t>
      </w:r>
      <w:bookmarkEnd w:id="1138"/>
    </w:p>
    <w:p w14:paraId="563C831D" w14:textId="77777777" w:rsidR="00370263" w:rsidRPr="00D46618" w:rsidRDefault="00370263" w:rsidP="00370263">
      <w:pPr>
        <w:rPr>
          <w:rStyle w:val="normaltextrun"/>
          <w:b/>
        </w:rPr>
      </w:pPr>
      <w:r w:rsidRPr="00D46618">
        <w:rPr>
          <w:rStyle w:val="normaltextrun"/>
          <w:b/>
        </w:rPr>
        <w:t>Guidance purpose</w:t>
      </w:r>
    </w:p>
    <w:p w14:paraId="6A7ED4C3" w14:textId="77777777" w:rsidR="00370263" w:rsidRPr="00D46618" w:rsidRDefault="00370263" w:rsidP="00370263">
      <w:pPr>
        <w:rPr>
          <w:rFonts w:eastAsia="Calibri"/>
        </w:rPr>
      </w:pPr>
      <w:r w:rsidRPr="00D46618">
        <w:rPr>
          <w:rFonts w:eastAsia="Calibri"/>
        </w:rPr>
        <w:t>This guidance aims to help aged care assessment organisations to meet their responsibilities for ensuring the quality of needs assessments, through the implementation of effective clinical governance. The sections below are for people within an assessment organisation responsible for developing their clinical governance framework. It describes the importance of good clinical governance, details the elements of an effective clinical governance framework in an aged care needs assessment context and outlines the minimum supports that must be in place to support clinical and non-clinical staff.</w:t>
      </w:r>
    </w:p>
    <w:p w14:paraId="1EB525E4" w14:textId="77777777" w:rsidR="00370263" w:rsidRPr="00D46618" w:rsidRDefault="00370263" w:rsidP="00370263">
      <w:pPr>
        <w:rPr>
          <w:rFonts w:eastAsia="Calibri"/>
        </w:rPr>
      </w:pPr>
      <w:r w:rsidRPr="00D46618">
        <w:rPr>
          <w:rFonts w:eastAsia="Calibri"/>
        </w:rPr>
        <w:t xml:space="preserve">This guidance should be considered in conjunction with the resources on clinical governance in the provision of aged care services available on the </w:t>
      </w:r>
      <w:hyperlink r:id="rId355" w:history="1">
        <w:r w:rsidRPr="00D46618">
          <w:rPr>
            <w:rStyle w:val="Hyperlink"/>
            <w:rFonts w:eastAsia="Calibri"/>
          </w:rPr>
          <w:t>Aged Care Quality and Safety Commission’s website</w:t>
        </w:r>
      </w:hyperlink>
      <w:r w:rsidRPr="00D46618">
        <w:rPr>
          <w:rFonts w:eastAsia="Calibri"/>
        </w:rPr>
        <w:t xml:space="preserve">. </w:t>
      </w:r>
    </w:p>
    <w:p w14:paraId="267B68A2" w14:textId="77777777" w:rsidR="00370263" w:rsidRPr="00D46618" w:rsidRDefault="00370263" w:rsidP="00370263">
      <w:pPr>
        <w:rPr>
          <w:rStyle w:val="eop"/>
          <w:b/>
          <w:bCs/>
        </w:rPr>
      </w:pPr>
      <w:r w:rsidRPr="00D46618">
        <w:rPr>
          <w:rStyle w:val="normaltextrun"/>
          <w:b/>
          <w:bCs/>
        </w:rPr>
        <w:t>What is a clinical governance framework and why is it important for aged care assessment organisations?</w:t>
      </w:r>
      <w:r w:rsidRPr="00D46618">
        <w:rPr>
          <w:rStyle w:val="eop"/>
          <w:b/>
          <w:bCs/>
        </w:rPr>
        <w:t> </w:t>
      </w:r>
    </w:p>
    <w:p w14:paraId="6769C94B" w14:textId="77777777" w:rsidR="00370263" w:rsidRPr="00D46618" w:rsidRDefault="00370263" w:rsidP="00370263">
      <w:pPr>
        <w:rPr>
          <w:rFonts w:eastAsia="Calibri"/>
        </w:rPr>
      </w:pPr>
      <w:r w:rsidRPr="00D46618">
        <w:rPr>
          <w:rFonts w:eastAsia="Calibri"/>
        </w:rPr>
        <w:t>Clinical governance is an integrated system of organisational behaviours, policies, procedures, responsibilities, and quality assurance mechanisms that support consistent and high-quality care in organisations across the health, aged care and many social services sectors.  A clinical governance framework is a framework that describes an organisation’s approach to clinical governance.</w:t>
      </w:r>
    </w:p>
    <w:p w14:paraId="605C3629" w14:textId="77777777" w:rsidR="00370263" w:rsidRPr="00D46618" w:rsidRDefault="00370263" w:rsidP="00370263">
      <w:pPr>
        <w:rPr>
          <w:rFonts w:eastAsia="Calibri"/>
        </w:rPr>
      </w:pPr>
      <w:r w:rsidRPr="00D46618">
        <w:rPr>
          <w:rFonts w:eastAsia="Calibri"/>
        </w:rPr>
        <w:t>Your assessment organisation’s clinical governance framework must describe the practical, clinical supports that are in place for staff who may need to exercise clinical judgement or undertake elements of an aged care needs assessment that are clinical in nature.</w:t>
      </w:r>
    </w:p>
    <w:p w14:paraId="4C969CA8" w14:textId="77777777" w:rsidR="00370263" w:rsidRPr="00D46618" w:rsidRDefault="00370263" w:rsidP="00370263">
      <w:pPr>
        <w:rPr>
          <w:rFonts w:eastAsia="Calibri"/>
        </w:rPr>
      </w:pPr>
      <w:r w:rsidRPr="19ECD6C9">
        <w:rPr>
          <w:rFonts w:eastAsia="Calibri"/>
        </w:rPr>
        <w:t xml:space="preserve">Good clinical governance supports everyone in your assessment organisation to achieve high quality aged care assessments that deliver accurate and appropriate outcomes for all older people. High quality assessments are defined in the </w:t>
      </w:r>
      <w:hyperlink r:id="rId356">
        <w:r w:rsidRPr="19ECD6C9">
          <w:rPr>
            <w:rStyle w:val="Hyperlink"/>
            <w:rFonts w:eastAsia="Calibri"/>
          </w:rPr>
          <w:t>Aged Care Assessment Quality Framework</w:t>
        </w:r>
      </w:hyperlink>
      <w:r w:rsidRPr="19ECD6C9">
        <w:rPr>
          <w:rFonts w:eastAsia="Calibri"/>
        </w:rPr>
        <w:t xml:space="preserve"> as:</w:t>
      </w:r>
    </w:p>
    <w:p w14:paraId="4904CA19" w14:textId="77777777" w:rsidR="00370263" w:rsidRPr="00673956" w:rsidRDefault="00370263" w:rsidP="00370263">
      <w:pPr>
        <w:rPr>
          <w:rFonts w:eastAsia="Calibri"/>
        </w:rPr>
      </w:pPr>
      <w:r w:rsidRPr="00B94160">
        <w:rPr>
          <w:rFonts w:eastAsia="Calibri"/>
        </w:rPr>
        <w:t xml:space="preserve">Personal: an assessment is a respectful conversation and is responsive to an older person’s individual situation, context, goals and aspirations. </w:t>
      </w:r>
    </w:p>
    <w:p w14:paraId="57C9FE97" w14:textId="77777777" w:rsidR="00370263" w:rsidRPr="00673956" w:rsidRDefault="00370263" w:rsidP="00370263">
      <w:pPr>
        <w:rPr>
          <w:rFonts w:eastAsia="Calibri"/>
        </w:rPr>
      </w:pPr>
      <w:r w:rsidRPr="00B94160">
        <w:rPr>
          <w:rFonts w:eastAsia="Calibri"/>
        </w:rPr>
        <w:t xml:space="preserve">Effective: assessments are undertaken in depth and to completion, ensuring an older person’s needs are fully identified and an older person can exercise choice and control in accessing the right services appropriate for them (as available and as eligible). </w:t>
      </w:r>
    </w:p>
    <w:p w14:paraId="7B38DB11" w14:textId="77777777" w:rsidR="00370263" w:rsidRDefault="00370263" w:rsidP="00370263">
      <w:pPr>
        <w:spacing w:after="200" w:line="300" w:lineRule="auto"/>
        <w:rPr>
          <w:rFonts w:eastAsia="Calibri"/>
        </w:rPr>
      </w:pPr>
      <w:r w:rsidRPr="00B10485">
        <w:rPr>
          <w:rFonts w:eastAsia="Calibri"/>
        </w:rPr>
        <w:t>Connected: the older person understands how and why the assessment process connects to their aged care journey.</w:t>
      </w:r>
    </w:p>
    <w:p w14:paraId="0FD820CD" w14:textId="637B22F6" w:rsidR="004B0C38" w:rsidRPr="004B0C38" w:rsidRDefault="004B0C38" w:rsidP="004B0C38">
      <w:pPr>
        <w:spacing w:after="200" w:line="300" w:lineRule="auto"/>
        <w:rPr>
          <w:rFonts w:eastAsia="Calibri"/>
        </w:rPr>
      </w:pPr>
      <w:r w:rsidRPr="004B0C38">
        <w:rPr>
          <w:rFonts w:eastAsia="Calibri"/>
        </w:rPr>
        <w:t>Safe</w:t>
      </w:r>
      <w:r>
        <w:rPr>
          <w:rFonts w:eastAsia="Calibri"/>
        </w:rPr>
        <w:t>:</w:t>
      </w:r>
      <w:r w:rsidRPr="004B0C38">
        <w:rPr>
          <w:rFonts w:eastAsia="Calibri"/>
        </w:rPr>
        <w:t xml:space="preserve"> the older person is provided a physically, emotionally and culturally safe assessment where their unique experiences are respected and factored into the way they are assessed for aged care. All assessments are delivered in a safe environment and free from harm. </w:t>
      </w:r>
    </w:p>
    <w:p w14:paraId="5F3859C1" w14:textId="77777777" w:rsidR="004B0C38" w:rsidRPr="00B10485" w:rsidRDefault="004B0C38" w:rsidP="00370263">
      <w:pPr>
        <w:spacing w:after="200" w:line="300" w:lineRule="auto"/>
        <w:rPr>
          <w:rFonts w:eastAsia="Calibri"/>
        </w:rPr>
      </w:pPr>
    </w:p>
    <w:p w14:paraId="4F3910D0" w14:textId="77777777" w:rsidR="00370263" w:rsidRPr="00D46618" w:rsidRDefault="00370263" w:rsidP="00370263">
      <w:pPr>
        <w:rPr>
          <w:rFonts w:eastAsia="Calibri"/>
        </w:rPr>
      </w:pPr>
      <w:r w:rsidRPr="00D46618">
        <w:rPr>
          <w:rFonts w:eastAsia="Calibri"/>
        </w:rPr>
        <w:t xml:space="preserve">Importantly, clinical governance must be embedded in your organisational culture. Leaders must foster a culture that supports and promotes consistent, high quality assessments and integrates clinical governance into the broader organisational governance. Your organisation’s governing body is accountable for ensuring adequate clinical support is in place for staff, understanding the risks associated with undertaking assessments, monitoring performance, and continuously driving improvement. </w:t>
      </w:r>
    </w:p>
    <w:p w14:paraId="5B46DC4B" w14:textId="77777777" w:rsidR="00370263" w:rsidRPr="00D46618" w:rsidRDefault="00370263" w:rsidP="00370263">
      <w:pPr>
        <w:rPr>
          <w:rStyle w:val="normaltextrun"/>
          <w:b/>
          <w:bCs/>
        </w:rPr>
      </w:pPr>
      <w:r w:rsidRPr="00D46618">
        <w:rPr>
          <w:rStyle w:val="normaltextrun"/>
          <w:b/>
          <w:bCs/>
        </w:rPr>
        <w:t>How to use this guidance</w:t>
      </w:r>
    </w:p>
    <w:p w14:paraId="487E1631" w14:textId="77777777" w:rsidR="00370263" w:rsidRPr="00D46618" w:rsidRDefault="00370263" w:rsidP="00370263">
      <w:pPr>
        <w:rPr>
          <w:i/>
        </w:rPr>
      </w:pPr>
      <w:r>
        <w:rPr>
          <w:rFonts w:eastAsia="Calibri"/>
        </w:rPr>
        <w:t xml:space="preserve">This guidance </w:t>
      </w:r>
      <w:r w:rsidRPr="00D46618">
        <w:rPr>
          <w:rFonts w:eastAsia="Calibri"/>
        </w:rPr>
        <w:t xml:space="preserve">outlines the elements that your assessment organisation must include in its clinical governance framework, and details the minimum, practical clinical supports that must be in place for your workforce who may need to exercise clinical judgement or undertake an assessment that is clinical in nature. </w:t>
      </w:r>
    </w:p>
    <w:p w14:paraId="282633B0" w14:textId="77777777" w:rsidR="00370263" w:rsidRPr="00D46618" w:rsidRDefault="00370263" w:rsidP="00370263">
      <w:pPr>
        <w:rPr>
          <w:rFonts w:eastAsia="Calibri"/>
        </w:rPr>
      </w:pPr>
      <w:r w:rsidRPr="19ECD6C9">
        <w:rPr>
          <w:rFonts w:eastAsia="Calibri"/>
        </w:rPr>
        <w:t xml:space="preserve">Your assessment organisation </w:t>
      </w:r>
      <w:r w:rsidRPr="19ECD6C9" w:rsidDel="00B91EEA">
        <w:rPr>
          <w:rFonts w:eastAsia="Calibri"/>
        </w:rPr>
        <w:t xml:space="preserve">may </w:t>
      </w:r>
      <w:r w:rsidRPr="19ECD6C9">
        <w:rPr>
          <w:rFonts w:eastAsia="Calibri"/>
        </w:rPr>
        <w:t>develop its</w:t>
      </w:r>
      <w:r w:rsidRPr="19ECD6C9" w:rsidDel="006219D7">
        <w:rPr>
          <w:rFonts w:eastAsia="Calibri"/>
        </w:rPr>
        <w:t xml:space="preserve"> </w:t>
      </w:r>
      <w:r w:rsidRPr="19ECD6C9">
        <w:rPr>
          <w:rFonts w:eastAsia="Calibri"/>
        </w:rPr>
        <w:t>clinical governance framework in a format that suits them and include additional elements that are not covered in this guidance.  For assessment organisations with an existing clinical governance framework, a review will be required to ensure all elements in this guidance are included.</w:t>
      </w:r>
    </w:p>
    <w:p w14:paraId="5C99B144" w14:textId="77777777" w:rsidR="00370263" w:rsidRPr="00D46618" w:rsidRDefault="00370263" w:rsidP="00370263">
      <w:pPr>
        <w:rPr>
          <w:rStyle w:val="normaltextrun"/>
          <w:b/>
          <w:bCs/>
        </w:rPr>
      </w:pPr>
      <w:r w:rsidRPr="00D46618">
        <w:rPr>
          <w:rStyle w:val="normaltextrun"/>
          <w:b/>
          <w:bCs/>
        </w:rPr>
        <w:t xml:space="preserve">Elements of a clinical governance framework </w:t>
      </w:r>
    </w:p>
    <w:p w14:paraId="0F325EBD" w14:textId="77777777" w:rsidR="00370263" w:rsidRPr="006E4513" w:rsidRDefault="00370263" w:rsidP="00370263">
      <w:pPr>
        <w:rPr>
          <w:color w:val="000000"/>
          <w:shd w:val="clear" w:color="auto" w:fill="FFFFFF"/>
        </w:rPr>
      </w:pPr>
      <w:r w:rsidRPr="19ECD6C9">
        <w:rPr>
          <w:rStyle w:val="normaltextrun"/>
          <w:color w:val="000000"/>
          <w:shd w:val="clear" w:color="auto" w:fill="FFFFFF"/>
        </w:rPr>
        <w:t xml:space="preserve">At a minimum your assessment organisation’s clinical governance framework must </w:t>
      </w:r>
      <w:r w:rsidRPr="72EA3286">
        <w:rPr>
          <w:rStyle w:val="normaltextrun"/>
          <w:color w:val="000000"/>
          <w:shd w:val="clear" w:color="auto" w:fill="FFFFFF"/>
        </w:rPr>
        <w:t xml:space="preserve">demonstrate how it will: </w:t>
      </w:r>
    </w:p>
    <w:p w14:paraId="1A6934C1" w14:textId="77777777" w:rsidR="00370263" w:rsidRPr="006E4513" w:rsidRDefault="00370263" w:rsidP="00370263">
      <w:pPr>
        <w:rPr>
          <w:color w:val="000000"/>
          <w:shd w:val="clear" w:color="auto" w:fill="FFFFFF"/>
        </w:rPr>
      </w:pPr>
      <w:r w:rsidRPr="00B94160">
        <w:rPr>
          <w:color w:val="000000"/>
          <w:shd w:val="clear" w:color="auto" w:fill="FFFFFF"/>
        </w:rPr>
        <w:t xml:space="preserve">Define </w:t>
      </w:r>
      <w:r w:rsidRPr="006E4513">
        <w:rPr>
          <w:b/>
          <w:color w:val="000000"/>
          <w:shd w:val="clear" w:color="auto" w:fill="FFFFFF"/>
        </w:rPr>
        <w:t>roles and responsibilities</w:t>
      </w:r>
      <w:r w:rsidRPr="006E4513">
        <w:rPr>
          <w:color w:val="000000"/>
          <w:shd w:val="clear" w:color="auto" w:fill="FFFFFF"/>
        </w:rPr>
        <w:t xml:space="preserve"> to provide clarity on how clinical governance will operate.</w:t>
      </w:r>
    </w:p>
    <w:p w14:paraId="51199D83" w14:textId="77777777" w:rsidR="00370263" w:rsidRPr="006E4513" w:rsidRDefault="00370263" w:rsidP="00370263">
      <w:pPr>
        <w:rPr>
          <w:color w:val="000000"/>
          <w:shd w:val="clear" w:color="auto" w:fill="FFFFFF"/>
        </w:rPr>
      </w:pPr>
      <w:r w:rsidRPr="00C546F1">
        <w:rPr>
          <w:color w:val="000000"/>
          <w:shd w:val="clear" w:color="auto" w:fill="FFFFFF"/>
        </w:rPr>
        <w:t xml:space="preserve">Recruit, </w:t>
      </w:r>
      <w:r w:rsidRPr="006E4513">
        <w:rPr>
          <w:b/>
          <w:color w:val="000000"/>
          <w:shd w:val="clear" w:color="auto" w:fill="FFFFFF"/>
        </w:rPr>
        <w:t xml:space="preserve">train and accredit staff </w:t>
      </w:r>
      <w:r w:rsidRPr="006E4513">
        <w:rPr>
          <w:color w:val="000000"/>
          <w:shd w:val="clear" w:color="auto" w:fill="FFFFFF"/>
        </w:rPr>
        <w:t>to build</w:t>
      </w:r>
      <w:r w:rsidRPr="006E4513">
        <w:rPr>
          <w:b/>
          <w:color w:val="000000"/>
          <w:shd w:val="clear" w:color="auto" w:fill="FFFFFF"/>
        </w:rPr>
        <w:t xml:space="preserve"> </w:t>
      </w:r>
      <w:r w:rsidRPr="006E4513">
        <w:rPr>
          <w:color w:val="000000"/>
          <w:shd w:val="clear" w:color="auto" w:fill="FFFFFF"/>
        </w:rPr>
        <w:t>a highly skilled and qualified assessor workforce.</w:t>
      </w:r>
    </w:p>
    <w:p w14:paraId="5EBC9CC7" w14:textId="77777777" w:rsidR="00370263" w:rsidRPr="00C41C62" w:rsidRDefault="00370263" w:rsidP="00DF3F6B">
      <w:pPr>
        <w:pStyle w:val="ListParagraph"/>
        <w:numPr>
          <w:ilvl w:val="0"/>
          <w:numId w:val="392"/>
        </w:numPr>
        <w:spacing w:after="200" w:line="300" w:lineRule="auto"/>
        <w:rPr>
          <w:color w:val="000000"/>
          <w:shd w:val="clear" w:color="auto" w:fill="FFFFFF"/>
        </w:rPr>
      </w:pPr>
      <w:r w:rsidRPr="00D46618">
        <w:rPr>
          <w:color w:val="000000"/>
          <w:shd w:val="clear" w:color="auto" w:fill="FFFFFF"/>
        </w:rPr>
        <w:t xml:space="preserve">Provide </w:t>
      </w:r>
      <w:r w:rsidRPr="00D46618">
        <w:rPr>
          <w:b/>
          <w:color w:val="000000"/>
          <w:shd w:val="clear" w:color="auto" w:fill="FFFFFF"/>
        </w:rPr>
        <w:t>clinical support</w:t>
      </w:r>
      <w:r w:rsidRPr="00D46618">
        <w:rPr>
          <w:color w:val="000000"/>
          <w:shd w:val="clear" w:color="auto" w:fill="FFFFFF"/>
        </w:rPr>
        <w:t xml:space="preserve"> to assessors.</w:t>
      </w:r>
      <w:r w:rsidRPr="00C41C62">
        <w:t xml:space="preserve"> </w:t>
      </w:r>
    </w:p>
    <w:p w14:paraId="04D7779B" w14:textId="77777777" w:rsidR="00370263" w:rsidRPr="00C41C62" w:rsidRDefault="00370263" w:rsidP="00DF3F6B">
      <w:pPr>
        <w:pStyle w:val="ListParagraph"/>
        <w:numPr>
          <w:ilvl w:val="0"/>
          <w:numId w:val="392"/>
        </w:numPr>
        <w:spacing w:after="200" w:line="300" w:lineRule="auto"/>
        <w:rPr>
          <w:color w:val="000000"/>
          <w:shd w:val="clear" w:color="auto" w:fill="FFFFFF"/>
        </w:rPr>
      </w:pPr>
      <w:r w:rsidRPr="00C41C62">
        <w:rPr>
          <w:color w:val="000000"/>
          <w:shd w:val="clear" w:color="auto" w:fill="FFFFFF"/>
        </w:rPr>
        <w:t>Monitor assessment quality and drive continuous improvement.</w:t>
      </w:r>
    </w:p>
    <w:p w14:paraId="59142BB5" w14:textId="77777777" w:rsidR="00370263" w:rsidRPr="00C41C62" w:rsidRDefault="00370263" w:rsidP="00DF3F6B">
      <w:pPr>
        <w:pStyle w:val="ListParagraph"/>
        <w:numPr>
          <w:ilvl w:val="0"/>
          <w:numId w:val="392"/>
        </w:numPr>
        <w:spacing w:after="200" w:line="300" w:lineRule="auto"/>
        <w:rPr>
          <w:rStyle w:val="normaltextrun"/>
          <w:color w:val="000000"/>
          <w:shd w:val="clear" w:color="auto" w:fill="FFFFFF"/>
        </w:rPr>
      </w:pPr>
      <w:r w:rsidRPr="00C41C62">
        <w:rPr>
          <w:color w:val="000000"/>
          <w:shd w:val="clear" w:color="auto" w:fill="FFFFFF"/>
        </w:rPr>
        <w:t>Build relationships</w:t>
      </w:r>
      <w:r w:rsidRPr="00C41C62">
        <w:rPr>
          <w:b/>
          <w:color w:val="000000"/>
          <w:shd w:val="clear" w:color="auto" w:fill="FFFFFF"/>
        </w:rPr>
        <w:t xml:space="preserve"> </w:t>
      </w:r>
      <w:r w:rsidRPr="00C41C62">
        <w:rPr>
          <w:color w:val="000000"/>
          <w:shd w:val="clear" w:color="auto" w:fill="FFFFFF"/>
        </w:rPr>
        <w:t>to</w:t>
      </w:r>
      <w:r w:rsidRPr="00C41C62">
        <w:rPr>
          <w:b/>
          <w:color w:val="000000"/>
          <w:shd w:val="clear" w:color="auto" w:fill="FFFFFF"/>
        </w:rPr>
        <w:t xml:space="preserve"> </w:t>
      </w:r>
      <w:r w:rsidRPr="00C41C62">
        <w:rPr>
          <w:color w:val="000000"/>
          <w:shd w:val="clear" w:color="auto" w:fill="FFFFFF"/>
        </w:rPr>
        <w:t xml:space="preserve">foster innovation and continuous improvement. </w:t>
      </w:r>
    </w:p>
    <w:p w14:paraId="75DD93A5" w14:textId="77777777" w:rsidR="00370263" w:rsidRPr="00C41C62" w:rsidRDefault="00370263" w:rsidP="00370263">
      <w:pPr>
        <w:rPr>
          <w:rStyle w:val="normaltextrun"/>
          <w:color w:val="000000"/>
          <w:shd w:val="clear" w:color="auto" w:fill="FFFFFF"/>
        </w:rPr>
      </w:pPr>
      <w:r w:rsidRPr="00C41C62">
        <w:rPr>
          <w:rStyle w:val="normaltextrun"/>
          <w:color w:val="000000"/>
          <w:shd w:val="clear" w:color="auto" w:fill="FFFFFF"/>
        </w:rPr>
        <w:t xml:space="preserve">The minimum clinical support requirements that sit under each of these elements are detailed in the next section. </w:t>
      </w:r>
    </w:p>
    <w:p w14:paraId="5076196D" w14:textId="77777777" w:rsidR="00370263" w:rsidRDefault="00370263" w:rsidP="00370263">
      <w:pPr>
        <w:rPr>
          <w:b/>
          <w:bCs/>
        </w:rPr>
      </w:pPr>
      <w:r w:rsidRPr="00C41C62">
        <w:rPr>
          <w:b/>
          <w:bCs/>
        </w:rPr>
        <w:t xml:space="preserve">Element 1: Define roles and responsibilities to provide clarity on how clinical governance will operate </w:t>
      </w:r>
    </w:p>
    <w:p w14:paraId="5DBA476F" w14:textId="78C38AA4" w:rsidR="00370263" w:rsidRPr="00C41C62" w:rsidRDefault="00370263" w:rsidP="00370263">
      <w:pPr>
        <w:pStyle w:val="Caption"/>
      </w:pPr>
      <w:r>
        <w:t>Table 6</w:t>
      </w:r>
      <w:r w:rsidR="00DA53CE">
        <w:t>1</w:t>
      </w:r>
      <w:r>
        <w:t xml:space="preserve">. Roles and responsibilities </w:t>
      </w:r>
    </w:p>
    <w:tbl>
      <w:tblPr>
        <w:tblStyle w:val="TableGrid"/>
        <w:tblW w:w="0" w:type="auto"/>
        <w:tblLook w:val="04A0" w:firstRow="1" w:lastRow="0" w:firstColumn="1" w:lastColumn="0" w:noHBand="0" w:noVBand="1"/>
        <w:tblCaption w:val="Roles and responsibilities - clinical governance "/>
      </w:tblPr>
      <w:tblGrid>
        <w:gridCol w:w="3421"/>
        <w:gridCol w:w="5605"/>
      </w:tblGrid>
      <w:tr w:rsidR="00370263" w:rsidRPr="00541F30" w14:paraId="5C8499E6" w14:textId="77777777" w:rsidTr="00667C2A">
        <w:trPr>
          <w:tblHeader/>
        </w:trPr>
        <w:tc>
          <w:tcPr>
            <w:tcW w:w="4531" w:type="dxa"/>
            <w:shd w:val="clear" w:color="auto" w:fill="002060"/>
          </w:tcPr>
          <w:p w14:paraId="4E534930" w14:textId="794D9013"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7938" w:type="dxa"/>
            <w:shd w:val="clear" w:color="auto" w:fill="002060"/>
          </w:tcPr>
          <w:p w14:paraId="6C2B846F" w14:textId="63C08435"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6F859504" w14:textId="77777777">
        <w:tc>
          <w:tcPr>
            <w:tcW w:w="4531" w:type="dxa"/>
          </w:tcPr>
          <w:p w14:paraId="6610E4E5" w14:textId="77777777" w:rsidR="00370263" w:rsidRPr="00C41C62" w:rsidRDefault="00370263">
            <w:pPr>
              <w:rPr>
                <w:rStyle w:val="normaltextrun"/>
                <w:color w:val="000000"/>
                <w:shd w:val="clear" w:color="auto" w:fill="FFFFFF"/>
              </w:rPr>
            </w:pPr>
            <w:r w:rsidRPr="00C41C62">
              <w:rPr>
                <w:rStyle w:val="normaltextrun"/>
                <w:color w:val="000000"/>
                <w:shd w:val="clear" w:color="auto" w:fill="FFFFFF"/>
              </w:rPr>
              <w:t>Staff understand the boundaries of their role as a clinical assessor or clinical delegate, and the functions that are not suitable to perform when undertaking those roles. E</w:t>
            </w:r>
            <w:r>
              <w:rPr>
                <w:rStyle w:val="normaltextrun"/>
                <w:color w:val="000000"/>
                <w:shd w:val="clear" w:color="auto" w:fill="FFFFFF"/>
              </w:rPr>
              <w:t>.</w:t>
            </w:r>
            <w:r w:rsidRPr="00C41C62">
              <w:rPr>
                <w:rStyle w:val="normaltextrun"/>
                <w:color w:val="000000"/>
                <w:shd w:val="clear" w:color="auto" w:fill="FFFFFF"/>
              </w:rPr>
              <w:t xml:space="preserve">g. Clinical assessors who are registered nurses should not dress wounds when undertaking an assessment. </w:t>
            </w:r>
          </w:p>
        </w:tc>
        <w:tc>
          <w:tcPr>
            <w:tcW w:w="7938" w:type="dxa"/>
            <w:vAlign w:val="center"/>
          </w:tcPr>
          <w:p w14:paraId="312A04F3" w14:textId="4AE5F5A6" w:rsidR="00370263" w:rsidRPr="00C41C62" w:rsidRDefault="00370263">
            <w:pPr>
              <w:rPr>
                <w:color w:val="000000"/>
                <w:shd w:val="clear" w:color="auto" w:fill="FFFFFF"/>
              </w:rPr>
            </w:pPr>
            <w:r w:rsidRPr="00C41C62">
              <w:rPr>
                <w:color w:val="000000"/>
                <w:shd w:val="clear" w:color="auto" w:fill="FFFFFF"/>
              </w:rPr>
              <w:t xml:space="preserve">Each staff member is assigned the correct clinical role/s in the My Aged Care Assessor </w:t>
            </w:r>
            <w:r w:rsidR="00673F2B">
              <w:rPr>
                <w:color w:val="000000"/>
                <w:shd w:val="clear" w:color="auto" w:fill="FFFFFF"/>
              </w:rPr>
              <w:t>P</w:t>
            </w:r>
            <w:r w:rsidRPr="00C41C62">
              <w:rPr>
                <w:color w:val="000000"/>
                <w:shd w:val="clear" w:color="auto" w:fill="FFFFFF"/>
              </w:rPr>
              <w:t>ortal</w:t>
            </w:r>
            <w:r>
              <w:rPr>
                <w:color w:val="000000"/>
                <w:shd w:val="clear" w:color="auto" w:fill="FFFFFF"/>
              </w:rPr>
              <w:t xml:space="preserve"> and job position on MAClearning</w:t>
            </w:r>
            <w:r w:rsidRPr="00C41C62">
              <w:rPr>
                <w:color w:val="000000"/>
                <w:shd w:val="clear" w:color="auto" w:fill="FFFFFF"/>
              </w:rPr>
              <w:t>.</w:t>
            </w:r>
          </w:p>
          <w:p w14:paraId="340CBD5D" w14:textId="77777777" w:rsidR="00370263" w:rsidRPr="00C41C62" w:rsidRDefault="00370263">
            <w:pPr>
              <w:rPr>
                <w:color w:val="000000"/>
                <w:shd w:val="clear" w:color="auto" w:fill="FFFFFF"/>
              </w:rPr>
            </w:pPr>
          </w:p>
          <w:p w14:paraId="67C95F84" w14:textId="77777777" w:rsidR="00370263" w:rsidRPr="00C41C62" w:rsidRDefault="00370263">
            <w:pPr>
              <w:rPr>
                <w:color w:val="000000"/>
                <w:shd w:val="clear" w:color="auto" w:fill="FFFFFF"/>
              </w:rPr>
            </w:pPr>
            <w:r w:rsidRPr="00C41C62">
              <w:rPr>
                <w:color w:val="000000"/>
                <w:shd w:val="clear" w:color="auto" w:fill="FFFFFF"/>
              </w:rPr>
              <w:t>The organisation’s Work, Health and Safety framework outlines procedures that uphold staff safety.</w:t>
            </w:r>
          </w:p>
          <w:p w14:paraId="336236C7" w14:textId="77777777" w:rsidR="00370263" w:rsidRPr="00C41C62" w:rsidRDefault="00370263">
            <w:pPr>
              <w:rPr>
                <w:color w:val="000000"/>
                <w:shd w:val="clear" w:color="auto" w:fill="FFFFFF"/>
              </w:rPr>
            </w:pPr>
          </w:p>
          <w:p w14:paraId="59DC3261" w14:textId="77777777" w:rsidR="00370263" w:rsidRPr="00C41C62" w:rsidRDefault="00370263">
            <w:pPr>
              <w:rPr>
                <w:rStyle w:val="normaltextrun"/>
                <w:shd w:val="clear" w:color="auto" w:fill="FFFFFF"/>
              </w:rPr>
            </w:pPr>
            <w:r w:rsidRPr="00C41C62">
              <w:rPr>
                <w:shd w:val="clear" w:color="auto" w:fill="FFFFFF"/>
              </w:rPr>
              <w:t>Completion of workplace training on the organisation’s clinical attendance policy and clinical governance framework.</w:t>
            </w:r>
          </w:p>
        </w:tc>
      </w:tr>
      <w:tr w:rsidR="00370263" w:rsidRPr="004066A2" w14:paraId="333B9503" w14:textId="77777777">
        <w:tc>
          <w:tcPr>
            <w:tcW w:w="4531" w:type="dxa"/>
          </w:tcPr>
          <w:p w14:paraId="72B2BC3A" w14:textId="77777777" w:rsidR="00370263" w:rsidRPr="00C41C62" w:rsidRDefault="00370263">
            <w:pPr>
              <w:rPr>
                <w:rStyle w:val="normaltextrun"/>
                <w:color w:val="000000"/>
                <w:shd w:val="clear" w:color="auto" w:fill="FFFFFF"/>
              </w:rPr>
            </w:pPr>
            <w:r w:rsidRPr="19ECD6C9">
              <w:rPr>
                <w:rStyle w:val="normaltextrun"/>
                <w:color w:val="000000"/>
                <w:shd w:val="clear" w:color="auto" w:fill="FFFFFF"/>
              </w:rPr>
              <w:t xml:space="preserve">Staff understand the boundaries of their role as a non-clinical assessor and non-clinical assessment delegate and understand when and how they will need to operate under their organisation’s clinical governance throughout the assessment process.   </w:t>
            </w:r>
          </w:p>
        </w:tc>
        <w:tc>
          <w:tcPr>
            <w:tcW w:w="7938" w:type="dxa"/>
          </w:tcPr>
          <w:p w14:paraId="4DEBEDFD" w14:textId="77777777" w:rsidR="00370263" w:rsidRPr="00C41C62" w:rsidRDefault="00370263">
            <w:pPr>
              <w:rPr>
                <w:shd w:val="clear" w:color="auto" w:fill="FFFFFF"/>
              </w:rPr>
            </w:pPr>
            <w:r w:rsidRPr="00C41C62">
              <w:rPr>
                <w:shd w:val="clear" w:color="auto" w:fill="FFFFFF"/>
              </w:rPr>
              <w:t>Completion of workplace training on the organisation’s clinical attendance policy and clinical governance framework.</w:t>
            </w:r>
          </w:p>
          <w:p w14:paraId="6F15D28E" w14:textId="77777777" w:rsidR="00370263" w:rsidRPr="00C41C62" w:rsidRDefault="00370263">
            <w:pPr>
              <w:rPr>
                <w:color w:val="000000"/>
                <w:shd w:val="clear" w:color="auto" w:fill="FFFFFF"/>
              </w:rPr>
            </w:pPr>
          </w:p>
        </w:tc>
      </w:tr>
    </w:tbl>
    <w:p w14:paraId="0FD05EA6" w14:textId="77777777" w:rsidR="00370263" w:rsidRPr="004066A2" w:rsidRDefault="00370263" w:rsidP="00370263">
      <w:pPr>
        <w:rPr>
          <w:rStyle w:val="normaltextrun"/>
          <w:i/>
          <w:iCs/>
          <w:color w:val="000000"/>
        </w:rPr>
      </w:pPr>
    </w:p>
    <w:p w14:paraId="47CBAF84" w14:textId="77777777" w:rsidR="00370263" w:rsidRDefault="00370263" w:rsidP="00370263">
      <w:pPr>
        <w:rPr>
          <w:b/>
          <w:bCs/>
        </w:rPr>
      </w:pPr>
      <w:r w:rsidRPr="00ED1CBA">
        <w:rPr>
          <w:b/>
          <w:bCs/>
        </w:rPr>
        <w:t>Element 2: Recruit, train and accredit staff to build a highly skilled and qualified assessor workforce</w:t>
      </w:r>
    </w:p>
    <w:p w14:paraId="6C19310B" w14:textId="30D5C25A" w:rsidR="00370263" w:rsidRPr="00ED1CBA" w:rsidRDefault="00370263" w:rsidP="00370263">
      <w:pPr>
        <w:pStyle w:val="Caption"/>
      </w:pPr>
      <w:r>
        <w:t>Table 6</w:t>
      </w:r>
      <w:r w:rsidR="00DA53CE">
        <w:t>2</w:t>
      </w:r>
      <w:r>
        <w:t xml:space="preserve">. Role and training requirements </w:t>
      </w:r>
    </w:p>
    <w:tbl>
      <w:tblPr>
        <w:tblStyle w:val="TableGrid"/>
        <w:tblW w:w="0" w:type="auto"/>
        <w:tblLook w:val="04A0" w:firstRow="1" w:lastRow="0" w:firstColumn="1" w:lastColumn="0" w:noHBand="0" w:noVBand="1"/>
        <w:tblCaption w:val="Role and training requirements - clinical governance"/>
      </w:tblPr>
      <w:tblGrid>
        <w:gridCol w:w="3542"/>
        <w:gridCol w:w="5484"/>
      </w:tblGrid>
      <w:tr w:rsidR="00370263" w:rsidRPr="00541F30" w14:paraId="0653316E" w14:textId="77777777" w:rsidTr="00667C2A">
        <w:trPr>
          <w:tblHeader/>
        </w:trPr>
        <w:tc>
          <w:tcPr>
            <w:tcW w:w="4531" w:type="dxa"/>
            <w:shd w:val="clear" w:color="auto" w:fill="002060"/>
          </w:tcPr>
          <w:p w14:paraId="1D7B67E3" w14:textId="27FBEB23"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7938" w:type="dxa"/>
            <w:shd w:val="clear" w:color="auto" w:fill="002060"/>
          </w:tcPr>
          <w:p w14:paraId="224D30BB" w14:textId="6B9CD2DF"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5BDE5E33" w14:textId="77777777">
        <w:tc>
          <w:tcPr>
            <w:tcW w:w="4531" w:type="dxa"/>
          </w:tcPr>
          <w:p w14:paraId="409C04FB" w14:textId="77777777" w:rsidR="00370263" w:rsidRPr="00ED1CBA" w:rsidRDefault="00370263">
            <w:pPr>
              <w:rPr>
                <w:color w:val="000000"/>
                <w:shd w:val="clear" w:color="auto" w:fill="FFFFFF"/>
              </w:rPr>
            </w:pPr>
            <w:r w:rsidRPr="00ED1CBA">
              <w:rPr>
                <w:color w:val="000000"/>
                <w:shd w:val="clear" w:color="auto" w:fill="FFFFFF"/>
              </w:rPr>
              <w:t>Every assessor has capability to perform a needs assessment, prior to undertaking an assessment with an older person.</w:t>
            </w:r>
          </w:p>
          <w:p w14:paraId="3C77D79E" w14:textId="77777777" w:rsidR="00370263" w:rsidRPr="00ED1CBA" w:rsidRDefault="00370263">
            <w:pPr>
              <w:rPr>
                <w:rStyle w:val="normaltextrun"/>
                <w:color w:val="000000"/>
                <w:shd w:val="clear" w:color="auto" w:fill="FFFFFF"/>
              </w:rPr>
            </w:pPr>
          </w:p>
        </w:tc>
        <w:tc>
          <w:tcPr>
            <w:tcW w:w="7938" w:type="dxa"/>
          </w:tcPr>
          <w:p w14:paraId="5C979858" w14:textId="77777777" w:rsidR="00370263" w:rsidRPr="00E3017E" w:rsidRDefault="00370263">
            <w:pPr>
              <w:rPr>
                <w:shd w:val="clear" w:color="auto" w:fill="FFFFFF"/>
              </w:rPr>
            </w:pPr>
            <w:r w:rsidRPr="19ECD6C9">
              <w:rPr>
                <w:color w:val="000000"/>
                <w:shd w:val="clear" w:color="auto" w:fill="FFFFFF"/>
              </w:rPr>
              <w:t>Comp</w:t>
            </w:r>
            <w:r w:rsidRPr="00E3017E">
              <w:rPr>
                <w:shd w:val="clear" w:color="auto" w:fill="FFFFFF"/>
              </w:rPr>
              <w:t xml:space="preserve">letion of training outlined in the </w:t>
            </w:r>
            <w:r w:rsidRPr="00BF2F6D">
              <w:rPr>
                <w:shd w:val="clear" w:color="auto" w:fill="FFFFFF"/>
              </w:rPr>
              <w:t>My Aged Care Workforce Learning Strategy 202</w:t>
            </w:r>
            <w:r w:rsidRPr="00E3017E">
              <w:rPr>
                <w:rStyle w:val="Hyperlink"/>
                <w:color w:val="auto"/>
                <w:u w:val="none"/>
              </w:rPr>
              <w:t>5</w:t>
            </w:r>
            <w:r w:rsidRPr="00E3017E">
              <w:rPr>
                <w:rStyle w:val="Hyperlink"/>
                <w:color w:val="auto"/>
                <w:u w:val="none"/>
                <w:shd w:val="clear" w:color="auto" w:fill="FFFFFF"/>
              </w:rPr>
              <w:t xml:space="preserve"> </w:t>
            </w:r>
            <w:r w:rsidRPr="00E3017E">
              <w:rPr>
                <w:rStyle w:val="Hyperlink"/>
                <w:color w:val="auto"/>
                <w:u w:val="none"/>
              </w:rPr>
              <w:t xml:space="preserve">(and subsequent versions) </w:t>
            </w:r>
            <w:r w:rsidRPr="00BF2F6D">
              <w:rPr>
                <w:shd w:val="clear" w:color="auto" w:fill="FFFFFF"/>
              </w:rPr>
              <w:t xml:space="preserve">including </w:t>
            </w:r>
            <w:r w:rsidRPr="00E3017E">
              <w:rPr>
                <w:shd w:val="clear" w:color="auto" w:fill="FFFFFF"/>
              </w:rPr>
              <w:t>mandatory online learning on the MAClearning system and completion of appraisal activities to validate assessor capabilities.</w:t>
            </w:r>
          </w:p>
          <w:p w14:paraId="3EBC60E7" w14:textId="77777777" w:rsidR="00370263" w:rsidRPr="00ED1CBA" w:rsidRDefault="00370263">
            <w:pPr>
              <w:rPr>
                <w:rStyle w:val="normaltextrun"/>
                <w:color w:val="000000"/>
                <w:shd w:val="clear" w:color="auto" w:fill="FFFFFF"/>
              </w:rPr>
            </w:pPr>
          </w:p>
        </w:tc>
      </w:tr>
      <w:tr w:rsidR="00370263" w:rsidRPr="004066A2" w14:paraId="59743BC2" w14:textId="77777777">
        <w:tc>
          <w:tcPr>
            <w:tcW w:w="4531" w:type="dxa"/>
          </w:tcPr>
          <w:p w14:paraId="7CD0B406" w14:textId="77777777" w:rsidR="00370263" w:rsidRPr="00ED1CBA" w:rsidRDefault="00370263">
            <w:pPr>
              <w:rPr>
                <w:color w:val="000000"/>
                <w:shd w:val="clear" w:color="auto" w:fill="FFFFFF"/>
              </w:rPr>
            </w:pPr>
            <w:r w:rsidRPr="00ED1CBA">
              <w:rPr>
                <w:color w:val="000000"/>
                <w:shd w:val="clear" w:color="auto" w:fill="FFFFFF"/>
              </w:rPr>
              <w:t>Prior to a clinical</w:t>
            </w:r>
            <w:r w:rsidRPr="004066A2">
              <w:t xml:space="preserve"> </w:t>
            </w:r>
            <w:r w:rsidRPr="00ED1CBA">
              <w:rPr>
                <w:color w:val="000000"/>
                <w:shd w:val="clear" w:color="auto" w:fill="FFFFFF"/>
              </w:rPr>
              <w:t>assessment delegate approving their first service recommendation, the delegate is competent to approve service recommendations.</w:t>
            </w:r>
          </w:p>
          <w:p w14:paraId="6D9740CA" w14:textId="77777777" w:rsidR="00370263" w:rsidRPr="00ED1CBA" w:rsidRDefault="00370263">
            <w:pPr>
              <w:rPr>
                <w:rStyle w:val="normaltextrun"/>
                <w:color w:val="000000"/>
                <w:shd w:val="clear" w:color="auto" w:fill="FFFFFF"/>
              </w:rPr>
            </w:pPr>
          </w:p>
        </w:tc>
        <w:tc>
          <w:tcPr>
            <w:tcW w:w="7938" w:type="dxa"/>
          </w:tcPr>
          <w:p w14:paraId="5E9D73E7" w14:textId="77777777" w:rsidR="00370263" w:rsidRPr="00ED1CBA" w:rsidRDefault="00370263">
            <w:pPr>
              <w:rPr>
                <w:rStyle w:val="normaltextrun"/>
                <w:color w:val="000000"/>
                <w:shd w:val="clear" w:color="auto" w:fill="FFFFFF"/>
              </w:rPr>
            </w:pPr>
            <w:r w:rsidRPr="19ECD6C9">
              <w:rPr>
                <w:shd w:val="clear" w:color="auto" w:fill="FFFFFF"/>
              </w:rPr>
              <w:t xml:space="preserve">Completion of training outlined in the My Aged Care Workforce </w:t>
            </w:r>
            <w:r w:rsidRPr="002E3DDD">
              <w:rPr>
                <w:shd w:val="clear" w:color="auto" w:fill="FFFFFF"/>
              </w:rPr>
              <w:t>Learning Strategy 202</w:t>
            </w:r>
            <w:r w:rsidRPr="00E3017E">
              <w:rPr>
                <w:rStyle w:val="Hyperlink"/>
                <w:color w:val="auto"/>
                <w:u w:val="none"/>
              </w:rPr>
              <w:t xml:space="preserve">5 (and subsequent versions) </w:t>
            </w:r>
            <w:r w:rsidRPr="00E3017E">
              <w:rPr>
                <w:shd w:val="clear" w:color="auto" w:fill="FFFFFF"/>
              </w:rPr>
              <w:t xml:space="preserve">and mandatory online learning on the MAClearning system. </w:t>
            </w:r>
          </w:p>
        </w:tc>
      </w:tr>
      <w:tr w:rsidR="00370263" w:rsidRPr="004066A2" w14:paraId="34737D48" w14:textId="77777777">
        <w:tc>
          <w:tcPr>
            <w:tcW w:w="4531" w:type="dxa"/>
          </w:tcPr>
          <w:p w14:paraId="5B256F52" w14:textId="77777777" w:rsidR="00370263" w:rsidRPr="00ED1CBA" w:rsidRDefault="00370263">
            <w:pPr>
              <w:rPr>
                <w:rStyle w:val="normaltextrun"/>
                <w:color w:val="000000"/>
                <w:shd w:val="clear" w:color="auto" w:fill="FFFFFF"/>
              </w:rPr>
            </w:pPr>
            <w:r w:rsidRPr="00ED1CBA">
              <w:rPr>
                <w:color w:val="000000"/>
                <w:shd w:val="clear" w:color="auto" w:fill="FFFFFF"/>
              </w:rPr>
              <w:t>Prior to a triage delegate triaging their first assessment referral, the delegate is competent to undertake triage.</w:t>
            </w:r>
          </w:p>
        </w:tc>
        <w:tc>
          <w:tcPr>
            <w:tcW w:w="7938" w:type="dxa"/>
          </w:tcPr>
          <w:p w14:paraId="462C8191" w14:textId="77777777" w:rsidR="00370263" w:rsidRPr="00ED1CBA" w:rsidRDefault="00370263">
            <w:pPr>
              <w:rPr>
                <w:rStyle w:val="normaltextrun"/>
                <w:color w:val="000000"/>
                <w:shd w:val="clear" w:color="auto" w:fill="FFFFFF"/>
              </w:rPr>
            </w:pPr>
            <w:r w:rsidRPr="19ECD6C9">
              <w:rPr>
                <w:shd w:val="clear" w:color="auto" w:fill="FFFFFF"/>
              </w:rPr>
              <w:t xml:space="preserve">Completion of training outlined in the My Aged Care Workforce Learning </w:t>
            </w:r>
            <w:r w:rsidRPr="002E3DDD">
              <w:rPr>
                <w:shd w:val="clear" w:color="auto" w:fill="FFFFFF"/>
              </w:rPr>
              <w:t>Strategy 202</w:t>
            </w:r>
            <w:r w:rsidRPr="00E3017E">
              <w:rPr>
                <w:rStyle w:val="Hyperlink"/>
                <w:color w:val="auto"/>
                <w:u w:val="none"/>
              </w:rPr>
              <w:t xml:space="preserve">5 (and subsequent versions) </w:t>
            </w:r>
            <w:r w:rsidRPr="002E3DDD">
              <w:rPr>
                <w:shd w:val="clear" w:color="auto" w:fill="FFFFFF"/>
              </w:rPr>
              <w:t>and mandatory online learning on</w:t>
            </w:r>
            <w:r w:rsidRPr="19ECD6C9">
              <w:rPr>
                <w:shd w:val="clear" w:color="auto" w:fill="FFFFFF"/>
              </w:rPr>
              <w:t xml:space="preserve"> the </w:t>
            </w:r>
            <w:r>
              <w:rPr>
                <w:color w:val="000000"/>
                <w:shd w:val="clear" w:color="auto" w:fill="FFFFFF"/>
              </w:rPr>
              <w:t xml:space="preserve">MAClearning system </w:t>
            </w:r>
          </w:p>
        </w:tc>
      </w:tr>
      <w:tr w:rsidR="00370263" w:rsidRPr="004066A2" w14:paraId="52B6C303" w14:textId="77777777">
        <w:tc>
          <w:tcPr>
            <w:tcW w:w="4531" w:type="dxa"/>
          </w:tcPr>
          <w:p w14:paraId="4D99F252" w14:textId="661860E9" w:rsidR="00370263" w:rsidRPr="00ED1CBA" w:rsidRDefault="00370263">
            <w:pPr>
              <w:rPr>
                <w:shd w:val="clear" w:color="auto" w:fill="FFFFFF"/>
              </w:rPr>
            </w:pPr>
            <w:r w:rsidRPr="00ED1CBA">
              <w:rPr>
                <w:shd w:val="clear" w:color="auto" w:fill="FFFFFF"/>
              </w:rPr>
              <w:t>All non-clinical assessors are competent in seeking clinical attendance in the event they trigger clinical questions in the IAT</w:t>
            </w:r>
          </w:p>
        </w:tc>
        <w:tc>
          <w:tcPr>
            <w:tcW w:w="7938" w:type="dxa"/>
          </w:tcPr>
          <w:p w14:paraId="25F2125A" w14:textId="77777777" w:rsidR="00370263" w:rsidRPr="00ED1CBA" w:rsidRDefault="00370263">
            <w:pPr>
              <w:rPr>
                <w:rStyle w:val="normaltextrun"/>
                <w:shd w:val="clear" w:color="auto" w:fill="FFFFFF"/>
              </w:rPr>
            </w:pPr>
            <w:r w:rsidRPr="19ECD6C9">
              <w:rPr>
                <w:color w:val="000000"/>
                <w:shd w:val="clear" w:color="auto" w:fill="FFFFFF"/>
              </w:rPr>
              <w:t xml:space="preserve">Completion of training outlined in the </w:t>
            </w:r>
            <w:r w:rsidRPr="19ECD6C9">
              <w:rPr>
                <w:shd w:val="clear" w:color="auto" w:fill="FFFFFF"/>
              </w:rPr>
              <w:t xml:space="preserve">My Aged Care Workforce Learning Strategy </w:t>
            </w:r>
            <w:r w:rsidRPr="002E3DDD">
              <w:rPr>
                <w:shd w:val="clear" w:color="auto" w:fill="FFFFFF"/>
              </w:rPr>
              <w:t>202</w:t>
            </w:r>
            <w:r w:rsidRPr="00E3017E">
              <w:rPr>
                <w:rStyle w:val="Hyperlink"/>
                <w:color w:val="auto"/>
                <w:u w:val="none"/>
              </w:rPr>
              <w:t xml:space="preserve">5 (and subsequent versions) </w:t>
            </w:r>
            <w:r w:rsidRPr="00E3017E">
              <w:rPr>
                <w:shd w:val="clear" w:color="auto" w:fill="FFFFFF"/>
              </w:rPr>
              <w:t xml:space="preserve">and mandatory online learning on the MAClearning system </w:t>
            </w:r>
          </w:p>
        </w:tc>
      </w:tr>
      <w:tr w:rsidR="00370263" w:rsidRPr="004066A2" w14:paraId="3CA23663" w14:textId="77777777">
        <w:tc>
          <w:tcPr>
            <w:tcW w:w="4531" w:type="dxa"/>
          </w:tcPr>
          <w:p w14:paraId="48642C65" w14:textId="77777777" w:rsidR="00370263" w:rsidRPr="00ED1CBA" w:rsidRDefault="00370263">
            <w:pPr>
              <w:rPr>
                <w:shd w:val="clear" w:color="auto" w:fill="FFFFFF"/>
              </w:rPr>
            </w:pPr>
            <w:r w:rsidRPr="00ED1CBA">
              <w:rPr>
                <w:color w:val="000000"/>
                <w:shd w:val="clear" w:color="auto" w:fill="FFFFFF"/>
              </w:rPr>
              <w:t>Relevant staff are qualified to undertake a clinical role.</w:t>
            </w:r>
          </w:p>
        </w:tc>
        <w:tc>
          <w:tcPr>
            <w:tcW w:w="7938" w:type="dxa"/>
          </w:tcPr>
          <w:p w14:paraId="46080485" w14:textId="77777777" w:rsidR="00370263" w:rsidRPr="00ED1CBA" w:rsidRDefault="00370263">
            <w:pPr>
              <w:rPr>
                <w:shd w:val="clear" w:color="auto" w:fill="FFFFFF"/>
              </w:rPr>
            </w:pPr>
            <w:r w:rsidRPr="00ED1CBA">
              <w:rPr>
                <w:color w:val="000000"/>
                <w:shd w:val="clear" w:color="auto" w:fill="FFFFFF"/>
              </w:rPr>
              <w:t>Staff who are recruited to clinical roles within the assessment organisation meet the qualification requirements outlined in the assessment organisation’s contractual agreement</w:t>
            </w:r>
            <w:r>
              <w:rPr>
                <w:color w:val="000000"/>
                <w:shd w:val="clear" w:color="auto" w:fill="FFFFFF"/>
              </w:rPr>
              <w:t xml:space="preserve"> and detailed in the My Aged Care Workforce Learning Strategy 2024 (or subsequent versions)</w:t>
            </w:r>
            <w:r w:rsidRPr="00ED1CBA">
              <w:rPr>
                <w:color w:val="000000"/>
                <w:shd w:val="clear" w:color="auto" w:fill="FFFFFF"/>
              </w:rPr>
              <w:t>.</w:t>
            </w:r>
          </w:p>
        </w:tc>
      </w:tr>
    </w:tbl>
    <w:p w14:paraId="360D462A" w14:textId="77777777" w:rsidR="00370263" w:rsidRPr="00ED1CBA" w:rsidRDefault="00370263" w:rsidP="00370263">
      <w:pPr>
        <w:rPr>
          <w:rStyle w:val="normaltextrun"/>
          <w:i/>
          <w:iCs/>
          <w:color w:val="000000"/>
        </w:rPr>
      </w:pPr>
    </w:p>
    <w:p w14:paraId="364976B3" w14:textId="77777777" w:rsidR="00370263" w:rsidRDefault="00370263" w:rsidP="00370263">
      <w:pPr>
        <w:rPr>
          <w:rFonts w:eastAsiaTheme="minorEastAsia"/>
          <w:b/>
          <w:bCs/>
        </w:rPr>
      </w:pPr>
      <w:r w:rsidRPr="00ED1CBA">
        <w:rPr>
          <w:b/>
          <w:bCs/>
        </w:rPr>
        <w:t>Element 3: Provide clinical support to</w:t>
      </w:r>
      <w:r w:rsidRPr="00ED1CBA">
        <w:rPr>
          <w:rFonts w:eastAsiaTheme="minorEastAsia"/>
          <w:b/>
          <w:bCs/>
        </w:rPr>
        <w:t xml:space="preserve"> assessors </w:t>
      </w:r>
    </w:p>
    <w:p w14:paraId="3B5B88C5" w14:textId="40836C18" w:rsidR="00370263" w:rsidRPr="00ED1CBA" w:rsidRDefault="00370263" w:rsidP="00370263">
      <w:pPr>
        <w:pStyle w:val="Caption"/>
      </w:pPr>
      <w:r>
        <w:t>Table 6</w:t>
      </w:r>
      <w:r w:rsidR="00DA53CE">
        <w:t>3</w:t>
      </w:r>
      <w:r>
        <w:t xml:space="preserve">. Clinical support to assessors </w:t>
      </w:r>
    </w:p>
    <w:tbl>
      <w:tblPr>
        <w:tblStyle w:val="TableGrid"/>
        <w:tblW w:w="0" w:type="auto"/>
        <w:tblLook w:val="04A0" w:firstRow="1" w:lastRow="0" w:firstColumn="1" w:lastColumn="0" w:noHBand="0" w:noVBand="1"/>
        <w:tblCaption w:val="Clinical support to assessors - clinical governance"/>
      </w:tblPr>
      <w:tblGrid>
        <w:gridCol w:w="3375"/>
        <w:gridCol w:w="5651"/>
      </w:tblGrid>
      <w:tr w:rsidR="00370263" w:rsidRPr="00541F30" w14:paraId="04159C43" w14:textId="77777777" w:rsidTr="00667C2A">
        <w:tc>
          <w:tcPr>
            <w:tcW w:w="4531" w:type="dxa"/>
            <w:shd w:val="clear" w:color="auto" w:fill="002060"/>
          </w:tcPr>
          <w:p w14:paraId="419ABBF1" w14:textId="13438587"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7938" w:type="dxa"/>
            <w:shd w:val="clear" w:color="auto" w:fill="002060"/>
          </w:tcPr>
          <w:p w14:paraId="6828E63D" w14:textId="7A52AB3F"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6FA8F399" w14:textId="77777777">
        <w:tc>
          <w:tcPr>
            <w:tcW w:w="4531" w:type="dxa"/>
          </w:tcPr>
          <w:p w14:paraId="4C18719C" w14:textId="77777777" w:rsidR="00370263" w:rsidRPr="004D64FE" w:rsidRDefault="00370263">
            <w:pPr>
              <w:rPr>
                <w:shd w:val="clear" w:color="auto" w:fill="FFFFFF"/>
              </w:rPr>
            </w:pPr>
            <w:r w:rsidRPr="004D64FE">
              <w:rPr>
                <w:shd w:val="clear" w:color="auto" w:fill="FFFFFF"/>
              </w:rPr>
              <w:t>Provide ongoing support for assessors in the field</w:t>
            </w:r>
          </w:p>
        </w:tc>
        <w:tc>
          <w:tcPr>
            <w:tcW w:w="7938" w:type="dxa"/>
          </w:tcPr>
          <w:p w14:paraId="60CB3B25" w14:textId="77777777" w:rsidR="00370263" w:rsidRPr="004D64FE" w:rsidRDefault="00370263">
            <w:pPr>
              <w:rPr>
                <w:shd w:val="clear" w:color="auto" w:fill="FFFFFF"/>
              </w:rPr>
            </w:pPr>
            <w:r w:rsidRPr="004D64FE">
              <w:rPr>
                <w:shd w:val="clear" w:color="auto" w:fill="FFFFFF"/>
              </w:rPr>
              <w:t xml:space="preserve">Provide ongoing clinical governance support for assessors in the field including providing peer support and advice on emerging and specific issues as well as </w:t>
            </w:r>
            <w:r>
              <w:rPr>
                <w:shd w:val="clear" w:color="auto" w:fill="FFFFFF"/>
              </w:rPr>
              <w:t xml:space="preserve">providing supervision to non-clinical staff during the </w:t>
            </w:r>
            <w:r w:rsidRPr="004D64FE">
              <w:rPr>
                <w:shd w:val="clear" w:color="auto" w:fill="FFFFFF"/>
              </w:rPr>
              <w:t>clinical attendance</w:t>
            </w:r>
            <w:r>
              <w:rPr>
                <w:shd w:val="clear" w:color="auto" w:fill="FFFFFF"/>
              </w:rPr>
              <w:t xml:space="preserve"> process and in finalising support plans</w:t>
            </w:r>
            <w:r w:rsidRPr="004D64FE">
              <w:rPr>
                <w:shd w:val="clear" w:color="auto" w:fill="FFFFFF"/>
              </w:rPr>
              <w:t>. Ongoing support is provided through various communication channels via the assessment organisation’s standard operating procedures.</w:t>
            </w:r>
          </w:p>
        </w:tc>
      </w:tr>
    </w:tbl>
    <w:p w14:paraId="3F9629C5" w14:textId="77777777" w:rsidR="00370263" w:rsidRPr="004D64FE" w:rsidRDefault="00370263" w:rsidP="00370263">
      <w:pPr>
        <w:rPr>
          <w:shd w:val="clear" w:color="auto" w:fill="FFFFFF"/>
        </w:rPr>
      </w:pPr>
    </w:p>
    <w:p w14:paraId="7ECD47B3" w14:textId="77777777" w:rsidR="00370263" w:rsidRDefault="00370263" w:rsidP="00370263">
      <w:pPr>
        <w:rPr>
          <w:b/>
        </w:rPr>
      </w:pPr>
      <w:r w:rsidRPr="19ECD6C9">
        <w:rPr>
          <w:b/>
        </w:rPr>
        <w:t>Element 4: Monitor assessment quality and drive continuous improvement</w:t>
      </w:r>
    </w:p>
    <w:p w14:paraId="244495C4" w14:textId="095A6C80" w:rsidR="00370263" w:rsidRPr="00745E15" w:rsidRDefault="00370263" w:rsidP="00370263">
      <w:pPr>
        <w:pStyle w:val="Caption"/>
      </w:pPr>
      <w:r>
        <w:t>Table 6</w:t>
      </w:r>
      <w:r w:rsidR="00E67BF4">
        <w:t>4</w:t>
      </w:r>
      <w:r>
        <w:t xml:space="preserve">. Monitoring of assessment quality and continuous improvement </w:t>
      </w:r>
    </w:p>
    <w:tbl>
      <w:tblPr>
        <w:tblStyle w:val="TableGrid"/>
        <w:tblW w:w="0" w:type="auto"/>
        <w:tblLook w:val="04A0" w:firstRow="1" w:lastRow="0" w:firstColumn="1" w:lastColumn="0" w:noHBand="0" w:noVBand="1"/>
        <w:tblCaption w:val="Monitoring of assessment quality and continuous improvement - clinical governance"/>
      </w:tblPr>
      <w:tblGrid>
        <w:gridCol w:w="3309"/>
        <w:gridCol w:w="5717"/>
      </w:tblGrid>
      <w:tr w:rsidR="00370263" w:rsidRPr="00541F30" w14:paraId="3DA0D7C6" w14:textId="77777777" w:rsidTr="00667C2A">
        <w:tc>
          <w:tcPr>
            <w:tcW w:w="4531" w:type="dxa"/>
            <w:shd w:val="clear" w:color="auto" w:fill="002060"/>
          </w:tcPr>
          <w:p w14:paraId="76323DDE" w14:textId="79577B6D" w:rsidR="00370263" w:rsidRPr="00541F30" w:rsidRDefault="00370263" w:rsidP="00436FED">
            <w:pPr>
              <w:pStyle w:val="Sub-headingnon-contentpage"/>
              <w:rPr>
                <w:b/>
                <w:bCs/>
                <w:color w:val="FFFFFF" w:themeColor="background1"/>
              </w:rPr>
            </w:pPr>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8419" w:type="dxa"/>
            <w:shd w:val="clear" w:color="auto" w:fill="002060"/>
          </w:tcPr>
          <w:p w14:paraId="007C5A4C" w14:textId="50808200"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4066A2" w14:paraId="5A7A8141" w14:textId="77777777">
        <w:tc>
          <w:tcPr>
            <w:tcW w:w="4531" w:type="dxa"/>
          </w:tcPr>
          <w:p w14:paraId="5E828951" w14:textId="77777777" w:rsidR="00370263" w:rsidRPr="00745E15" w:rsidRDefault="00370263">
            <w:pPr>
              <w:rPr>
                <w:shd w:val="clear" w:color="auto" w:fill="FFFFFF"/>
              </w:rPr>
            </w:pPr>
            <w:r w:rsidRPr="00745E15">
              <w:t>Clinical staff are supervised</w:t>
            </w:r>
            <w:r w:rsidRPr="00745E15">
              <w:rPr>
                <w:shd w:val="clear" w:color="auto" w:fill="FFFFFF"/>
              </w:rPr>
              <w:t xml:space="preserve"> and mentored by a clinically trained Team Leader  </w:t>
            </w:r>
          </w:p>
          <w:p w14:paraId="50DACB2E" w14:textId="77777777" w:rsidR="00370263" w:rsidRPr="00745E15" w:rsidRDefault="00370263">
            <w:pPr>
              <w:rPr>
                <w:shd w:val="clear" w:color="auto" w:fill="FFFFFF"/>
              </w:rPr>
            </w:pPr>
          </w:p>
        </w:tc>
        <w:tc>
          <w:tcPr>
            <w:tcW w:w="8419" w:type="dxa"/>
          </w:tcPr>
          <w:p w14:paraId="74B18CFB" w14:textId="77777777" w:rsidR="00370263" w:rsidRPr="00745E15" w:rsidRDefault="00370263">
            <w:pPr>
              <w:rPr>
                <w:shd w:val="clear" w:color="auto" w:fill="FFFFFF"/>
              </w:rPr>
            </w:pPr>
            <w:r w:rsidRPr="00745E15">
              <w:rPr>
                <w:shd w:val="clear" w:color="auto" w:fill="FFFFFF"/>
              </w:rPr>
              <w:t>Team leaders regularly engage with triage delegates, assessment delegates and assessors in peer review processes</w:t>
            </w:r>
          </w:p>
        </w:tc>
      </w:tr>
      <w:tr w:rsidR="00370263" w:rsidRPr="004066A2" w14:paraId="681E7AD5" w14:textId="77777777">
        <w:tc>
          <w:tcPr>
            <w:tcW w:w="4531" w:type="dxa"/>
          </w:tcPr>
          <w:p w14:paraId="28BD6F0F" w14:textId="77777777" w:rsidR="00370263" w:rsidRPr="00F73408" w:rsidRDefault="00370263">
            <w:r w:rsidRPr="00F73408">
              <w:t xml:space="preserve">Staff receive regular feedback about the quality of their assessments and the performance of their organisation </w:t>
            </w:r>
          </w:p>
        </w:tc>
        <w:tc>
          <w:tcPr>
            <w:tcW w:w="8419" w:type="dxa"/>
          </w:tcPr>
          <w:p w14:paraId="065A6121" w14:textId="6F0182C2" w:rsidR="00370263" w:rsidRPr="00F73408" w:rsidRDefault="00370263">
            <w:pPr>
              <w:rPr>
                <w:shd w:val="clear" w:color="auto" w:fill="FFFFFF"/>
              </w:rPr>
            </w:pPr>
            <w:r w:rsidRPr="00F73408">
              <w:t xml:space="preserve">Assessment organisations measure and report the extent to which it achieves the </w:t>
            </w:r>
            <w:r w:rsidR="006E0D89">
              <w:t>Aged Care Q</w:t>
            </w:r>
            <w:r w:rsidRPr="00F73408">
              <w:t xml:space="preserve">uality </w:t>
            </w:r>
            <w:r w:rsidR="006E0D89">
              <w:t>S</w:t>
            </w:r>
            <w:r w:rsidRPr="00F73408">
              <w:t>tandards, and quality goals included in the Aged Care Assessment Quality Framework.</w:t>
            </w:r>
            <w:r w:rsidRPr="00F73408">
              <w:rPr>
                <w:shd w:val="clear" w:color="auto" w:fill="FFFFFF"/>
              </w:rPr>
              <w:t xml:space="preserve"> </w:t>
            </w:r>
          </w:p>
          <w:p w14:paraId="544CD7D3" w14:textId="77777777" w:rsidR="00370263" w:rsidRPr="00F73408" w:rsidRDefault="00370263">
            <w:r w:rsidRPr="00F73408">
              <w:rPr>
                <w:shd w:val="clear" w:color="auto" w:fill="FFFFFF"/>
              </w:rPr>
              <w:t xml:space="preserve">The Assessment organisation’s leadership team use quality assurance data </w:t>
            </w:r>
            <w:r w:rsidRPr="00F73408">
              <w:t>to drive continuous improvement in clinical governance policies and processes.</w:t>
            </w:r>
          </w:p>
          <w:p w14:paraId="23009345" w14:textId="77777777" w:rsidR="00370263" w:rsidRPr="00F73408" w:rsidRDefault="00370263">
            <w:pPr>
              <w:rPr>
                <w:shd w:val="clear" w:color="auto" w:fill="FFFFFF"/>
              </w:rPr>
            </w:pPr>
            <w:r w:rsidRPr="19ECD6C9">
              <w:rPr>
                <w:shd w:val="clear" w:color="auto" w:fill="FFFFFF"/>
              </w:rPr>
              <w:t xml:space="preserve">The Assessment organisation actively </w:t>
            </w:r>
            <w:r>
              <w:rPr>
                <w:shd w:val="clear" w:color="auto" w:fill="FFFFFF"/>
              </w:rPr>
              <w:t>part</w:t>
            </w:r>
            <w:r w:rsidRPr="19ECD6C9">
              <w:rPr>
                <w:shd w:val="clear" w:color="auto" w:fill="FFFFFF"/>
              </w:rPr>
              <w:t>icipates in any external evaluation or quality assurance processes.</w:t>
            </w:r>
          </w:p>
        </w:tc>
      </w:tr>
    </w:tbl>
    <w:p w14:paraId="745B2321" w14:textId="77777777" w:rsidR="00370263" w:rsidRPr="00F73408" w:rsidRDefault="00370263" w:rsidP="00370263">
      <w:pPr>
        <w:rPr>
          <w:rStyle w:val="normaltextrun"/>
          <w:color w:val="000000"/>
          <w:shd w:val="clear" w:color="auto" w:fill="FFFFFF"/>
        </w:rPr>
      </w:pPr>
    </w:p>
    <w:p w14:paraId="675F9C73" w14:textId="77777777" w:rsidR="00370263" w:rsidRDefault="00370263" w:rsidP="00370263">
      <w:pPr>
        <w:rPr>
          <w:b/>
          <w:bCs/>
        </w:rPr>
      </w:pPr>
      <w:r w:rsidRPr="00F73408">
        <w:rPr>
          <w:b/>
          <w:bCs/>
        </w:rPr>
        <w:t xml:space="preserve">Element 5: Build relationships to foster innovation and continuous improvement </w:t>
      </w:r>
    </w:p>
    <w:p w14:paraId="5A01E488" w14:textId="5D6C6290" w:rsidR="00370263" w:rsidRPr="00F73408" w:rsidRDefault="00370263" w:rsidP="00370263">
      <w:pPr>
        <w:pStyle w:val="Caption"/>
      </w:pPr>
      <w:r>
        <w:t>Table 6</w:t>
      </w:r>
      <w:r w:rsidR="00E67BF4">
        <w:t>5</w:t>
      </w:r>
      <w:r>
        <w:t xml:space="preserve">. Relationship building to foster innovation and continuous improvement </w:t>
      </w:r>
    </w:p>
    <w:tbl>
      <w:tblPr>
        <w:tblStyle w:val="TableGrid"/>
        <w:tblW w:w="0" w:type="auto"/>
        <w:tblLook w:val="04A0" w:firstRow="1" w:lastRow="0" w:firstColumn="1" w:lastColumn="0" w:noHBand="0" w:noVBand="1"/>
        <w:tblCaption w:val="Relationship building to foster innovation and continuous improvement - clinical governance"/>
      </w:tblPr>
      <w:tblGrid>
        <w:gridCol w:w="3235"/>
        <w:gridCol w:w="5791"/>
      </w:tblGrid>
      <w:tr w:rsidR="00370263" w:rsidRPr="00541F30" w14:paraId="759D722C" w14:textId="77777777" w:rsidTr="00667C2A">
        <w:tc>
          <w:tcPr>
            <w:tcW w:w="4531" w:type="dxa"/>
            <w:shd w:val="clear" w:color="auto" w:fill="002060"/>
            <w:vAlign w:val="center"/>
          </w:tcPr>
          <w:p w14:paraId="15A91FCF" w14:textId="24DD02BA" w:rsidR="00370263" w:rsidRPr="00541F30" w:rsidRDefault="00370263" w:rsidP="00436FED">
            <w:pPr>
              <w:pStyle w:val="Sub-headingnon-contentpage"/>
              <w:rPr>
                <w:b/>
                <w:bCs/>
                <w:color w:val="FFFFFF" w:themeColor="background1"/>
              </w:rPr>
            </w:pPr>
            <w:bookmarkStart w:id="1139" w:name="_Hlk173407795"/>
            <w:r w:rsidRPr="00541F30">
              <w:rPr>
                <w:color w:val="FFFFFF" w:themeColor="background1"/>
              </w:rPr>
              <w:t xml:space="preserve">Clinical </w:t>
            </w:r>
            <w:r w:rsidR="003B6CAA">
              <w:rPr>
                <w:color w:val="FFFFFF" w:themeColor="background1"/>
              </w:rPr>
              <w:t>s</w:t>
            </w:r>
            <w:r w:rsidRPr="00541F30">
              <w:rPr>
                <w:color w:val="FFFFFF" w:themeColor="background1"/>
              </w:rPr>
              <w:t xml:space="preserve">upport </w:t>
            </w:r>
            <w:r w:rsidR="003B6CAA">
              <w:rPr>
                <w:color w:val="FFFFFF" w:themeColor="background1"/>
              </w:rPr>
              <w:t>r</w:t>
            </w:r>
            <w:r w:rsidRPr="00541F30">
              <w:rPr>
                <w:color w:val="FFFFFF" w:themeColor="background1"/>
              </w:rPr>
              <w:t>equirement</w:t>
            </w:r>
          </w:p>
        </w:tc>
        <w:tc>
          <w:tcPr>
            <w:tcW w:w="8419" w:type="dxa"/>
            <w:shd w:val="clear" w:color="auto" w:fill="002060"/>
            <w:vAlign w:val="center"/>
          </w:tcPr>
          <w:p w14:paraId="1435F8FB" w14:textId="6D082C6A" w:rsidR="00370263" w:rsidRPr="00541F30" w:rsidRDefault="00370263" w:rsidP="00436FED">
            <w:pPr>
              <w:pStyle w:val="Sub-headingnon-contentpage"/>
              <w:rPr>
                <w:b/>
                <w:bCs/>
                <w:color w:val="FFFFFF" w:themeColor="background1"/>
              </w:rPr>
            </w:pPr>
            <w:r w:rsidRPr="00541F30">
              <w:rPr>
                <w:color w:val="FFFFFF" w:themeColor="background1"/>
              </w:rPr>
              <w:t>Implementation</w:t>
            </w:r>
          </w:p>
        </w:tc>
      </w:tr>
      <w:tr w:rsidR="00370263" w:rsidRPr="00504E50" w14:paraId="6E2DF885" w14:textId="77777777">
        <w:tc>
          <w:tcPr>
            <w:tcW w:w="4531" w:type="dxa"/>
            <w:vAlign w:val="center"/>
          </w:tcPr>
          <w:p w14:paraId="3431FCA5" w14:textId="77777777" w:rsidR="00370263" w:rsidRPr="00504E50" w:rsidRDefault="00370263">
            <w:r w:rsidRPr="00504E50">
              <w:t>Build effective working relationships with local support services</w:t>
            </w:r>
          </w:p>
        </w:tc>
        <w:tc>
          <w:tcPr>
            <w:tcW w:w="8419" w:type="dxa"/>
            <w:vAlign w:val="center"/>
          </w:tcPr>
          <w:p w14:paraId="7CB606C0" w14:textId="77777777" w:rsidR="00370263" w:rsidRPr="00504E50" w:rsidDel="007D123A" w:rsidRDefault="00370263">
            <w:r w:rsidRPr="00504E50">
              <w:t xml:space="preserve">Implement systems and processes to ensure positive communication between service and care providers within the aged and health care systems. </w:t>
            </w:r>
          </w:p>
        </w:tc>
      </w:tr>
      <w:bookmarkEnd w:id="1139"/>
      <w:tr w:rsidR="00370263" w:rsidRPr="00504E50" w14:paraId="2EF79BAE" w14:textId="77777777">
        <w:tc>
          <w:tcPr>
            <w:tcW w:w="4531" w:type="dxa"/>
            <w:vAlign w:val="center"/>
          </w:tcPr>
          <w:p w14:paraId="74A4016C" w14:textId="77777777" w:rsidR="00370263" w:rsidRPr="00504E50" w:rsidRDefault="00370263">
            <w:r w:rsidRPr="00504E50">
              <w:t xml:space="preserve">Foster an organisational culture of regular and effective communication that addresses risks and issues and promotes continuous improvement  </w:t>
            </w:r>
          </w:p>
        </w:tc>
        <w:tc>
          <w:tcPr>
            <w:tcW w:w="8419" w:type="dxa"/>
            <w:vAlign w:val="center"/>
          </w:tcPr>
          <w:p w14:paraId="52D776DB" w14:textId="77777777" w:rsidR="00370263" w:rsidRPr="00504E50" w:rsidRDefault="00370263">
            <w:r w:rsidRPr="00504E50">
              <w:t xml:space="preserve">Assessment organisations hold regular team meetings/teleconferences to address issues arising, share experiences and clinical expertise (including case study discussions) </w:t>
            </w:r>
          </w:p>
        </w:tc>
      </w:tr>
      <w:tr w:rsidR="00370263" w:rsidRPr="00504E50" w14:paraId="51C3AAE0" w14:textId="77777777">
        <w:tc>
          <w:tcPr>
            <w:tcW w:w="4531" w:type="dxa"/>
            <w:vAlign w:val="center"/>
          </w:tcPr>
          <w:p w14:paraId="6C1C402B" w14:textId="77777777" w:rsidR="00370263" w:rsidRPr="00504E50" w:rsidRDefault="00370263">
            <w:r w:rsidRPr="00504E50">
              <w:t>Assessment Organisation’s representatives participate in relevant forums organised by the Department</w:t>
            </w:r>
          </w:p>
        </w:tc>
        <w:tc>
          <w:tcPr>
            <w:tcW w:w="8419" w:type="dxa"/>
            <w:vAlign w:val="center"/>
          </w:tcPr>
          <w:p w14:paraId="12D6A949" w14:textId="77777777" w:rsidR="00370263" w:rsidRPr="00504E50" w:rsidRDefault="00370263">
            <w:pPr>
              <w:rPr>
                <w:shd w:val="clear" w:color="auto" w:fill="FFFFFF"/>
              </w:rPr>
            </w:pPr>
            <w:r w:rsidRPr="00504E50">
              <w:t>Assessment organisations must send representatives in person to attend forums for assessment organisations as organised by the Department.</w:t>
            </w:r>
          </w:p>
          <w:p w14:paraId="50290C24" w14:textId="77777777" w:rsidR="00370263" w:rsidRPr="00504E50" w:rsidRDefault="00370263">
            <w:pPr>
              <w:rPr>
                <w:shd w:val="clear" w:color="auto" w:fill="FFFFFF"/>
              </w:rPr>
            </w:pPr>
          </w:p>
        </w:tc>
      </w:tr>
    </w:tbl>
    <w:p w14:paraId="5A7F3F7F" w14:textId="77777777" w:rsidR="00370263" w:rsidRDefault="00370263" w:rsidP="00370263">
      <w:pPr>
        <w:rPr>
          <w:rFonts w:ascii="Trebuchet MS" w:hAnsi="Trebuchet MS"/>
          <w:color w:val="33384F"/>
          <w:sz w:val="44"/>
          <w:szCs w:val="36"/>
        </w:rPr>
      </w:pPr>
      <w:r>
        <w:rPr>
          <w:rFonts w:ascii="Trebuchet MS" w:hAnsi="Trebuchet MS"/>
          <w:color w:val="33384F"/>
          <w:sz w:val="44"/>
          <w:szCs w:val="36"/>
        </w:rPr>
        <w:br w:type="page"/>
      </w:r>
    </w:p>
    <w:p w14:paraId="5EB3C918" w14:textId="77777777" w:rsidR="00370263" w:rsidRDefault="00370263" w:rsidP="004B6DFD">
      <w:pPr>
        <w:pStyle w:val="H1"/>
        <w:sectPr w:rsidR="00370263" w:rsidSect="00370263">
          <w:pgSz w:w="11906" w:h="16838"/>
          <w:pgMar w:top="1440" w:right="1440" w:bottom="1440" w:left="1440" w:header="708" w:footer="708" w:gutter="0"/>
          <w:cols w:space="708"/>
          <w:docGrid w:linePitch="360"/>
        </w:sectPr>
      </w:pPr>
    </w:p>
    <w:p w14:paraId="32369561" w14:textId="4D940021" w:rsidR="00370263" w:rsidRPr="00546F1B" w:rsidRDefault="00370263" w:rsidP="005D6C7B">
      <w:pPr>
        <w:pStyle w:val="H1"/>
        <w:numPr>
          <w:ilvl w:val="0"/>
          <w:numId w:val="0"/>
        </w:numPr>
        <w:ind w:left="360"/>
      </w:pPr>
      <w:bookmarkStart w:id="1140" w:name="_Toc204329644"/>
      <w:bookmarkStart w:id="1141" w:name="_Toc209189079"/>
      <w:bookmarkStart w:id="1142" w:name="_Toc224916730"/>
      <w:r w:rsidRPr="00546F1B">
        <w:t xml:space="preserve">APPENDIX </w:t>
      </w:r>
      <w:r w:rsidR="00A5274A">
        <w:t>D</w:t>
      </w:r>
      <w:r w:rsidR="00A5274A" w:rsidRPr="00546F1B">
        <w:t xml:space="preserve"> </w:t>
      </w:r>
      <w:r w:rsidRPr="00546F1B">
        <w:t xml:space="preserve">– </w:t>
      </w:r>
      <w:bookmarkEnd w:id="1140"/>
      <w:r w:rsidR="00D96F0A">
        <w:t xml:space="preserve">Clinical </w:t>
      </w:r>
      <w:r w:rsidR="003B6CAA">
        <w:t>a</w:t>
      </w:r>
      <w:r w:rsidR="00D96F0A">
        <w:t>ttendance</w:t>
      </w:r>
      <w:bookmarkEnd w:id="1141"/>
      <w:bookmarkEnd w:id="1142"/>
    </w:p>
    <w:p w14:paraId="730D8726" w14:textId="77777777" w:rsidR="00370263" w:rsidRDefault="00370263" w:rsidP="00370263">
      <w:pPr>
        <w:spacing w:line="276" w:lineRule="auto"/>
        <w:rPr>
          <w:b/>
          <w:bCs/>
          <w:shd w:val="clear" w:color="auto" w:fill="FFFFFF"/>
        </w:rPr>
      </w:pPr>
      <w:r w:rsidRPr="00F73408">
        <w:rPr>
          <w:b/>
          <w:bCs/>
          <w:shd w:val="clear" w:color="auto" w:fill="FFFFFF"/>
        </w:rPr>
        <w:t xml:space="preserve">Questions in the IAT that require clinical attendance </w:t>
      </w:r>
    </w:p>
    <w:p w14:paraId="69069FA2" w14:textId="10588676" w:rsidR="00370263" w:rsidRPr="00F73408" w:rsidRDefault="00370263" w:rsidP="00370263">
      <w:pPr>
        <w:pStyle w:val="Caption"/>
        <w:rPr>
          <w:shd w:val="clear" w:color="auto" w:fill="FFFFFF"/>
        </w:rPr>
      </w:pPr>
      <w:r>
        <w:rPr>
          <w:shd w:val="clear" w:color="auto" w:fill="FFFFFF"/>
        </w:rPr>
        <w:t>Table 6</w:t>
      </w:r>
      <w:r w:rsidR="00E67BF4">
        <w:rPr>
          <w:shd w:val="clear" w:color="auto" w:fill="FFFFFF"/>
        </w:rPr>
        <w:t>6</w:t>
      </w:r>
      <w:r>
        <w:rPr>
          <w:shd w:val="clear" w:color="auto" w:fill="FFFFFF"/>
        </w:rPr>
        <w:t xml:space="preserve">. IAT questions that require clinical attendance </w:t>
      </w:r>
    </w:p>
    <w:tbl>
      <w:tblPr>
        <w:tblpPr w:leftFromText="180" w:rightFromText="180" w:vertAnchor="text" w:tblpXSpec="center" w:tblpY="1"/>
        <w:tblOverlap w:val="never"/>
        <w:tblW w:w="9351" w:type="dxa"/>
        <w:tblLook w:val="04A0" w:firstRow="1" w:lastRow="0" w:firstColumn="1" w:lastColumn="0" w:noHBand="0" w:noVBand="1"/>
        <w:tblCaption w:val="IAT questions that require clinical attendance"/>
      </w:tblPr>
      <w:tblGrid>
        <w:gridCol w:w="2972"/>
        <w:gridCol w:w="2977"/>
        <w:gridCol w:w="3402"/>
      </w:tblGrid>
      <w:tr w:rsidR="00370263" w:rsidRPr="00D125D3" w14:paraId="4322F2F6" w14:textId="77777777" w:rsidTr="00667C2A">
        <w:trPr>
          <w:trHeight w:val="654"/>
          <w:tblHeader/>
        </w:trPr>
        <w:tc>
          <w:tcPr>
            <w:tcW w:w="297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E26FA2B" w14:textId="45B47F07" w:rsidR="00370263" w:rsidRPr="00023354" w:rsidRDefault="00370263">
            <w:pPr>
              <w:spacing w:after="0" w:line="240" w:lineRule="auto"/>
              <w:jc w:val="center"/>
              <w:rPr>
                <w:rFonts w:eastAsia="Times New Roman"/>
                <w:b/>
                <w:bCs/>
                <w:color w:val="FFFFFF" w:themeColor="background1"/>
              </w:rPr>
            </w:pPr>
            <w:r w:rsidRPr="00023354">
              <w:rPr>
                <w:rFonts w:eastAsia="Times New Roman"/>
                <w:b/>
                <w:bCs/>
                <w:color w:val="FFFFFF" w:themeColor="background1"/>
              </w:rPr>
              <w:t xml:space="preserve">IAT </w:t>
            </w:r>
            <w:r w:rsidR="003B6CAA">
              <w:rPr>
                <w:rFonts w:eastAsia="Times New Roman"/>
                <w:b/>
                <w:bCs/>
                <w:color w:val="FFFFFF" w:themeColor="background1"/>
              </w:rPr>
              <w:t>c</w:t>
            </w:r>
            <w:r w:rsidRPr="00023354">
              <w:rPr>
                <w:rFonts w:eastAsia="Times New Roman"/>
                <w:b/>
                <w:bCs/>
                <w:color w:val="FFFFFF" w:themeColor="background1"/>
              </w:rPr>
              <w:t xml:space="preserve">linical </w:t>
            </w:r>
            <w:r w:rsidR="003B6CAA">
              <w:rPr>
                <w:rFonts w:eastAsia="Times New Roman"/>
                <w:b/>
                <w:bCs/>
                <w:color w:val="FFFFFF" w:themeColor="background1"/>
              </w:rPr>
              <w:t>q</w:t>
            </w:r>
            <w:r w:rsidRPr="00023354">
              <w:rPr>
                <w:rFonts w:eastAsia="Times New Roman"/>
                <w:b/>
                <w:bCs/>
                <w:color w:val="FFFFFF" w:themeColor="background1"/>
              </w:rPr>
              <w:t>uestions</w:t>
            </w:r>
          </w:p>
        </w:tc>
        <w:tc>
          <w:tcPr>
            <w:tcW w:w="2977" w:type="dxa"/>
            <w:tcBorders>
              <w:top w:val="single" w:sz="4" w:space="0" w:color="auto"/>
              <w:left w:val="nil"/>
              <w:bottom w:val="single" w:sz="4" w:space="0" w:color="auto"/>
              <w:right w:val="single" w:sz="4" w:space="0" w:color="auto"/>
            </w:tcBorders>
            <w:shd w:val="clear" w:color="auto" w:fill="002060"/>
            <w:vAlign w:val="center"/>
            <w:hideMark/>
          </w:tcPr>
          <w:p w14:paraId="7858282C" w14:textId="77777777" w:rsidR="00370263" w:rsidRPr="00023354" w:rsidRDefault="00370263">
            <w:pPr>
              <w:spacing w:after="0" w:line="240" w:lineRule="auto"/>
              <w:jc w:val="center"/>
              <w:rPr>
                <w:rFonts w:eastAsia="Times New Roman"/>
                <w:b/>
                <w:bCs/>
                <w:color w:val="FFFFFF" w:themeColor="background1"/>
              </w:rPr>
            </w:pPr>
            <w:r w:rsidRPr="00023354">
              <w:rPr>
                <w:rFonts w:eastAsia="Times New Roman"/>
                <w:b/>
                <w:bCs/>
                <w:color w:val="FFFFFF" w:themeColor="background1"/>
              </w:rPr>
              <w:t>When these questions will be triggered</w:t>
            </w:r>
          </w:p>
        </w:tc>
        <w:tc>
          <w:tcPr>
            <w:tcW w:w="3402" w:type="dxa"/>
            <w:tcBorders>
              <w:top w:val="single" w:sz="4" w:space="0" w:color="auto"/>
              <w:left w:val="nil"/>
              <w:bottom w:val="single" w:sz="4" w:space="0" w:color="auto"/>
              <w:right w:val="single" w:sz="4" w:space="0" w:color="auto"/>
            </w:tcBorders>
            <w:shd w:val="clear" w:color="auto" w:fill="002060"/>
            <w:vAlign w:val="center"/>
          </w:tcPr>
          <w:p w14:paraId="690A170B" w14:textId="6D9CC65B" w:rsidR="00370263" w:rsidRPr="00023354" w:rsidRDefault="00370263">
            <w:pPr>
              <w:spacing w:after="0" w:line="240" w:lineRule="auto"/>
              <w:jc w:val="center"/>
              <w:rPr>
                <w:rFonts w:eastAsia="Times New Roman"/>
                <w:b/>
                <w:bCs/>
                <w:color w:val="FFFFFF" w:themeColor="background1"/>
              </w:rPr>
            </w:pPr>
            <w:r w:rsidRPr="00023354">
              <w:rPr>
                <w:rFonts w:eastAsia="Times New Roman"/>
                <w:b/>
                <w:bCs/>
                <w:color w:val="FFFFFF" w:themeColor="background1"/>
              </w:rPr>
              <w:t>Detail</w:t>
            </w:r>
          </w:p>
        </w:tc>
      </w:tr>
      <w:tr w:rsidR="00370263" w:rsidRPr="00D125D3" w14:paraId="71DFAC87" w14:textId="77777777">
        <w:trPr>
          <w:trHeight w:val="1290"/>
        </w:trPr>
        <w:tc>
          <w:tcPr>
            <w:tcW w:w="2972" w:type="dxa"/>
            <w:tcBorders>
              <w:top w:val="nil"/>
              <w:left w:val="single" w:sz="4" w:space="0" w:color="auto"/>
              <w:bottom w:val="single" w:sz="4" w:space="0" w:color="auto"/>
              <w:right w:val="single" w:sz="4" w:space="0" w:color="auto"/>
            </w:tcBorders>
            <w:hideMark/>
          </w:tcPr>
          <w:p w14:paraId="2ECFABC6"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Advanced Medical Assessment section </w:t>
            </w:r>
          </w:p>
        </w:tc>
        <w:tc>
          <w:tcPr>
            <w:tcW w:w="2977" w:type="dxa"/>
            <w:tcBorders>
              <w:top w:val="nil"/>
              <w:left w:val="nil"/>
              <w:bottom w:val="single" w:sz="4" w:space="0" w:color="auto"/>
              <w:right w:val="single" w:sz="4" w:space="0" w:color="auto"/>
            </w:tcBorders>
            <w:hideMark/>
          </w:tcPr>
          <w:p w14:paraId="6FFD8DB0" w14:textId="77777777" w:rsidR="00370263" w:rsidRPr="005875F4" w:rsidRDefault="00370263">
            <w:pPr>
              <w:spacing w:after="0" w:line="240" w:lineRule="auto"/>
              <w:jc w:val="center"/>
              <w:rPr>
                <w:rFonts w:eastAsia="Times New Roman"/>
                <w:color w:val="000000"/>
              </w:rPr>
            </w:pPr>
            <w:r w:rsidRPr="005875F4">
              <w:rPr>
                <w:rFonts w:eastAsia="Times New Roman"/>
                <w:color w:val="000000"/>
              </w:rPr>
              <w:t xml:space="preserve">Answers 'Moderately' or 'Quite a bit' to Q </w:t>
            </w:r>
            <w:r w:rsidRPr="005875F4">
              <w:rPr>
                <w:rFonts w:eastAsia="Times New Roman"/>
                <w:i/>
                <w:iCs/>
                <w:color w:val="000000"/>
              </w:rPr>
              <w:t xml:space="preserve">Impact of health issues on normal activities. </w:t>
            </w:r>
            <w:r w:rsidRPr="005875F4">
              <w:rPr>
                <w:rFonts w:eastAsia="Times New Roman"/>
                <w:i/>
                <w:iCs/>
                <w:color w:val="000000"/>
              </w:rPr>
              <w:br/>
            </w:r>
          </w:p>
        </w:tc>
        <w:tc>
          <w:tcPr>
            <w:tcW w:w="3402" w:type="dxa"/>
            <w:tcBorders>
              <w:top w:val="nil"/>
              <w:left w:val="nil"/>
              <w:bottom w:val="single" w:sz="4" w:space="0" w:color="auto"/>
              <w:right w:val="single" w:sz="4" w:space="0" w:color="auto"/>
            </w:tcBorders>
          </w:tcPr>
          <w:p w14:paraId="6D319311" w14:textId="77777777" w:rsidR="00370263" w:rsidRPr="005875F4" w:rsidRDefault="00370263">
            <w:pPr>
              <w:spacing w:after="0" w:line="240" w:lineRule="auto"/>
              <w:rPr>
                <w:rFonts w:eastAsia="Times New Roman"/>
                <w:color w:val="000000"/>
              </w:rPr>
            </w:pPr>
            <w:r w:rsidRPr="19ECD6C9">
              <w:rPr>
                <w:rFonts w:eastAsia="Times New Roman"/>
                <w:color w:val="000000" w:themeColor="text1"/>
              </w:rPr>
              <w:t xml:space="preserve">This question set identifies whether the </w:t>
            </w:r>
            <w:r>
              <w:rPr>
                <w:rFonts w:eastAsia="Times New Roman"/>
                <w:color w:val="000000" w:themeColor="text1"/>
              </w:rPr>
              <w:t>older person</w:t>
            </w:r>
            <w:r w:rsidRPr="19ECD6C9">
              <w:rPr>
                <w:rFonts w:eastAsia="Times New Roman"/>
                <w:color w:val="000000" w:themeColor="text1"/>
              </w:rPr>
              <w:t xml:space="preserve"> has had recent contact with a GP and/or has regular health checks, has been admitted to hospital in the past 12 months and whether the older person has and/or has had allergies and/or sensitivities such as food, medication and environmental allergies and/or sensitivities.</w:t>
            </w:r>
          </w:p>
          <w:p w14:paraId="21E3F661" w14:textId="77777777" w:rsidR="00370263" w:rsidRPr="005875F4" w:rsidRDefault="00370263">
            <w:pPr>
              <w:spacing w:after="0" w:line="240" w:lineRule="auto"/>
              <w:rPr>
                <w:rFonts w:eastAsia="Times New Roman"/>
                <w:color w:val="000000"/>
              </w:rPr>
            </w:pPr>
          </w:p>
          <w:p w14:paraId="416F9CD0" w14:textId="77777777" w:rsidR="00370263" w:rsidRPr="005875F4" w:rsidRDefault="00370263">
            <w:pPr>
              <w:spacing w:after="0" w:line="240" w:lineRule="auto"/>
              <w:rPr>
                <w:rFonts w:eastAsia="Times New Roman"/>
                <w:color w:val="000000"/>
              </w:rPr>
            </w:pPr>
            <w:r w:rsidRPr="5E771284">
              <w:rPr>
                <w:rFonts w:eastAsia="Times New Roman"/>
                <w:color w:val="000000" w:themeColor="text1"/>
              </w:rPr>
              <w:t xml:space="preserve">See IAT User Guide: </w:t>
            </w:r>
            <w:r>
              <w:t xml:space="preserve"> </w:t>
            </w:r>
            <w:hyperlink r:id="rId357">
              <w:r w:rsidRPr="5E771284">
                <w:rPr>
                  <w:rStyle w:val="Hyperlink"/>
                </w:rPr>
                <w:t>Integrated Assessment Tool user guide (health.gov.au)</w:t>
              </w:r>
            </w:hyperlink>
            <w:r>
              <w:t xml:space="preserve"> </w:t>
            </w:r>
          </w:p>
        </w:tc>
      </w:tr>
      <w:tr w:rsidR="00370263" w:rsidRPr="00D125D3" w14:paraId="048F6FB0" w14:textId="77777777">
        <w:trPr>
          <w:trHeight w:val="2295"/>
        </w:trPr>
        <w:tc>
          <w:tcPr>
            <w:tcW w:w="2972" w:type="dxa"/>
            <w:tcBorders>
              <w:top w:val="nil"/>
              <w:left w:val="single" w:sz="4" w:space="0" w:color="auto"/>
              <w:right w:val="single" w:sz="4" w:space="0" w:color="auto"/>
            </w:tcBorders>
            <w:hideMark/>
          </w:tcPr>
          <w:p w14:paraId="2CEAB67F"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Urinary incontinence and Revised Urinary Incontinence Scale (RUIS) </w:t>
            </w:r>
          </w:p>
        </w:tc>
        <w:tc>
          <w:tcPr>
            <w:tcW w:w="2977" w:type="dxa"/>
            <w:tcBorders>
              <w:top w:val="nil"/>
              <w:left w:val="nil"/>
              <w:right w:val="single" w:sz="4" w:space="0" w:color="auto"/>
            </w:tcBorders>
            <w:hideMark/>
          </w:tcPr>
          <w:p w14:paraId="4367FEED" w14:textId="77777777" w:rsidR="00370263" w:rsidRPr="005875F4" w:rsidRDefault="00370263">
            <w:pPr>
              <w:spacing w:after="0" w:line="240" w:lineRule="auto"/>
              <w:jc w:val="center"/>
              <w:rPr>
                <w:rFonts w:eastAsia="Times New Roman"/>
                <w:color w:val="000000"/>
              </w:rPr>
            </w:pPr>
            <w:r w:rsidRPr="005875F4">
              <w:rPr>
                <w:rFonts w:eastAsia="Times New Roman"/>
                <w:color w:val="000000"/>
              </w:rPr>
              <w:t xml:space="preserve">Answers </w:t>
            </w:r>
            <w:r>
              <w:rPr>
                <w:rFonts w:eastAsia="Times New Roman"/>
                <w:color w:val="000000"/>
              </w:rPr>
              <w:t>No to ‘</w:t>
            </w:r>
            <w:r w:rsidRPr="00DF2338">
              <w:rPr>
                <w:rFonts w:eastAsia="Times New Roman"/>
                <w:i/>
                <w:iCs/>
                <w:color w:val="000000"/>
              </w:rPr>
              <w:t xml:space="preserve">Is the </w:t>
            </w:r>
            <w:r>
              <w:rPr>
                <w:rFonts w:eastAsia="Times New Roman"/>
                <w:i/>
                <w:iCs/>
                <w:color w:val="000000"/>
              </w:rPr>
              <w:t>older person</w:t>
            </w:r>
            <w:r w:rsidRPr="00DF2338">
              <w:rPr>
                <w:rFonts w:eastAsia="Times New Roman"/>
                <w:i/>
                <w:iCs/>
                <w:color w:val="000000"/>
              </w:rPr>
              <w:t xml:space="preserve"> managing urinary incontinence issue?</w:t>
            </w:r>
            <w:r>
              <w:rPr>
                <w:rFonts w:eastAsia="Times New Roman"/>
                <w:color w:val="000000"/>
              </w:rPr>
              <w:t>’</w:t>
            </w:r>
            <w:r w:rsidRPr="005875F4">
              <w:rPr>
                <w:rFonts w:eastAsia="Times New Roman"/>
                <w:b/>
                <w:bCs/>
                <w:color w:val="000000"/>
              </w:rPr>
              <w:t> </w:t>
            </w:r>
            <w:r w:rsidRPr="005875F4">
              <w:rPr>
                <w:rFonts w:eastAsia="Times New Roman"/>
                <w:color w:val="000000"/>
              </w:rPr>
              <w:br/>
            </w:r>
          </w:p>
        </w:tc>
        <w:tc>
          <w:tcPr>
            <w:tcW w:w="3402" w:type="dxa"/>
            <w:tcBorders>
              <w:top w:val="nil"/>
              <w:left w:val="nil"/>
              <w:right w:val="single" w:sz="4" w:space="0" w:color="auto"/>
            </w:tcBorders>
          </w:tcPr>
          <w:p w14:paraId="07ABAD4E" w14:textId="77777777" w:rsidR="00370263" w:rsidRPr="005875F4" w:rsidRDefault="00370263">
            <w:pPr>
              <w:spacing w:after="0" w:line="240" w:lineRule="auto"/>
            </w:pPr>
            <w:r w:rsidRPr="19ECD6C9">
              <w:t>An assessor should use the RUIS to assess urinary incontinence.  Urinary incontinence refers to the involuntary loss of bladder control. The severity can vary, including occasional leakage of urine when coughing or sneezing. It would become an issue at the more severe end when a</w:t>
            </w:r>
            <w:r>
              <w:t>n</w:t>
            </w:r>
            <w:r w:rsidRPr="19ECD6C9">
              <w:t xml:space="preserve"> </w:t>
            </w:r>
            <w:r>
              <w:t>older person</w:t>
            </w:r>
            <w:r w:rsidRPr="19ECD6C9">
              <w:t xml:space="preserve"> often experiences a sudden and strong urge to urinate (urgency) that doesn’t allow enough time to reach a toilet.</w:t>
            </w:r>
          </w:p>
          <w:p w14:paraId="60244FB1" w14:textId="77777777" w:rsidR="00370263" w:rsidRPr="005875F4" w:rsidRDefault="00370263">
            <w:pPr>
              <w:spacing w:after="0" w:line="240" w:lineRule="auto"/>
              <w:rPr>
                <w:rStyle w:val="Hyperlink"/>
                <w:rFonts w:eastAsia="Calibri"/>
              </w:rPr>
            </w:pPr>
          </w:p>
          <w:p w14:paraId="6C1228A4" w14:textId="77777777" w:rsidR="00370263" w:rsidRPr="005875F4" w:rsidRDefault="00370263">
            <w:pPr>
              <w:spacing w:after="0" w:line="240" w:lineRule="auto"/>
              <w:rPr>
                <w:rStyle w:val="Hyperlink"/>
                <w:rFonts w:eastAsia="Calibri"/>
              </w:rPr>
            </w:pPr>
            <w:r w:rsidRPr="20771F94">
              <w:t xml:space="preserve">Continence is a sensitive and private issue. The assessor must use clinical judgement to determine the appropriateness of administering the RFIS with the </w:t>
            </w:r>
            <w:r>
              <w:t>older person</w:t>
            </w:r>
            <w:r w:rsidRPr="20771F94">
              <w:t xml:space="preserve"> at assessment.</w:t>
            </w:r>
          </w:p>
          <w:p w14:paraId="0FAE18A3" w14:textId="77777777" w:rsidR="00370263" w:rsidRPr="005875F4" w:rsidRDefault="00370263">
            <w:pPr>
              <w:spacing w:after="0" w:line="240" w:lineRule="auto"/>
              <w:rPr>
                <w:rStyle w:val="Hyperlink"/>
                <w:rFonts w:eastAsia="Calibri"/>
              </w:rPr>
            </w:pPr>
            <w:hyperlink r:id="rId358" w:history="1">
              <w:r w:rsidRPr="005875F4">
                <w:rPr>
                  <w:rStyle w:val="Hyperlink"/>
                  <w:rFonts w:eastAsia="Calibri"/>
                </w:rPr>
                <w:t>Urinary incontinence | healthdirect</w:t>
              </w:r>
            </w:hyperlink>
          </w:p>
          <w:p w14:paraId="24F3DED6" w14:textId="77777777" w:rsidR="00370263" w:rsidRPr="005875F4" w:rsidRDefault="00370263">
            <w:pPr>
              <w:spacing w:after="0" w:line="240" w:lineRule="auto"/>
              <w:rPr>
                <w:rStyle w:val="Hyperlink"/>
                <w:rFonts w:eastAsia="Calibri"/>
              </w:rPr>
            </w:pPr>
          </w:p>
          <w:p w14:paraId="3AB8855E" w14:textId="77777777" w:rsidR="00370263" w:rsidRPr="005875F4" w:rsidRDefault="00370263">
            <w:pPr>
              <w:spacing w:after="0" w:line="240" w:lineRule="auto"/>
              <w:rPr>
                <w:rStyle w:val="Hyperlink"/>
              </w:rPr>
            </w:pPr>
            <w:hyperlink r:id="rId359">
              <w:r w:rsidRPr="005875F4">
                <w:rPr>
                  <w:rStyle w:val="Hyperlink"/>
                  <w:rFonts w:eastAsia="Calibri"/>
                </w:rPr>
                <w:t>(PDF) Technical Manual and Instructions: Revised Incontinence and Patient Satisfaction Tools, Version 2 (researchgate.net)</w:t>
              </w:r>
            </w:hyperlink>
          </w:p>
          <w:p w14:paraId="53E147E1" w14:textId="1EB142FF" w:rsidR="00370263" w:rsidRPr="00D125D3" w:rsidRDefault="00370263">
            <w:pPr>
              <w:spacing w:after="0" w:line="240" w:lineRule="auto"/>
              <w:rPr>
                <w:rStyle w:val="Hyperlink"/>
              </w:rPr>
            </w:pPr>
            <w:r w:rsidRPr="19ECD6C9">
              <w:rPr>
                <w:rStyle w:val="Hyperlink"/>
              </w:rPr>
              <w:t xml:space="preserve">(tool on </w:t>
            </w:r>
            <w:r w:rsidR="000F3407" w:rsidRPr="19ECD6C9">
              <w:rPr>
                <w:rStyle w:val="Hyperlink"/>
              </w:rPr>
              <w:t>pg.</w:t>
            </w:r>
            <w:r w:rsidRPr="19ECD6C9">
              <w:rPr>
                <w:rStyle w:val="Hyperlink"/>
              </w:rPr>
              <w:t xml:space="preserve"> 27)</w:t>
            </w:r>
          </w:p>
        </w:tc>
      </w:tr>
      <w:tr w:rsidR="00370263" w:rsidRPr="00D125D3" w14:paraId="166E84DF" w14:textId="77777777">
        <w:trPr>
          <w:trHeight w:val="2117"/>
        </w:trPr>
        <w:tc>
          <w:tcPr>
            <w:tcW w:w="2972" w:type="dxa"/>
            <w:tcBorders>
              <w:top w:val="nil"/>
              <w:left w:val="single" w:sz="4" w:space="0" w:color="auto"/>
              <w:bottom w:val="single" w:sz="4" w:space="0" w:color="auto"/>
              <w:right w:val="single" w:sz="4" w:space="0" w:color="auto"/>
            </w:tcBorders>
            <w:hideMark/>
          </w:tcPr>
          <w:p w14:paraId="0DBC6A76"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Bowel incontinence and Revised Faecal Incontinence Scale (RFIS) </w:t>
            </w:r>
          </w:p>
        </w:tc>
        <w:tc>
          <w:tcPr>
            <w:tcW w:w="2977" w:type="dxa"/>
            <w:tcBorders>
              <w:top w:val="nil"/>
              <w:left w:val="nil"/>
              <w:bottom w:val="single" w:sz="4" w:space="0" w:color="auto"/>
              <w:right w:val="single" w:sz="4" w:space="0" w:color="auto"/>
            </w:tcBorders>
            <w:hideMark/>
          </w:tcPr>
          <w:p w14:paraId="104CFB33" w14:textId="77777777" w:rsidR="00370263" w:rsidRPr="005875F4" w:rsidRDefault="00370263">
            <w:pPr>
              <w:spacing w:after="0" w:line="240" w:lineRule="auto"/>
              <w:jc w:val="center"/>
              <w:rPr>
                <w:rFonts w:eastAsia="Times New Roman"/>
                <w:color w:val="000000"/>
              </w:rPr>
            </w:pPr>
            <w:r w:rsidRPr="19ECD6C9">
              <w:rPr>
                <w:rFonts w:eastAsia="Times New Roman"/>
                <w:color w:val="000000" w:themeColor="text1"/>
              </w:rPr>
              <w:t>Answers ‘No’ to ‘</w:t>
            </w:r>
            <w:r w:rsidRPr="19ECD6C9">
              <w:rPr>
                <w:rFonts w:eastAsia="Times New Roman"/>
                <w:i/>
                <w:color w:val="000000" w:themeColor="text1"/>
              </w:rPr>
              <w:t xml:space="preserve">Is the </w:t>
            </w:r>
            <w:r>
              <w:rPr>
                <w:rFonts w:eastAsia="Times New Roman"/>
                <w:i/>
                <w:color w:val="000000" w:themeColor="text1"/>
              </w:rPr>
              <w:t>older person</w:t>
            </w:r>
            <w:r w:rsidRPr="19ECD6C9">
              <w:rPr>
                <w:rFonts w:eastAsia="Times New Roman"/>
                <w:i/>
                <w:color w:val="000000" w:themeColor="text1"/>
              </w:rPr>
              <w:t xml:space="preserve"> managing bowel incontinence issue?</w:t>
            </w:r>
            <w:r w:rsidRPr="19ECD6C9">
              <w:rPr>
                <w:rFonts w:eastAsia="Times New Roman"/>
                <w:color w:val="000000" w:themeColor="text1"/>
              </w:rPr>
              <w:t>’. </w:t>
            </w:r>
            <w:r>
              <w:br/>
            </w:r>
          </w:p>
        </w:tc>
        <w:tc>
          <w:tcPr>
            <w:tcW w:w="3402" w:type="dxa"/>
            <w:tcBorders>
              <w:top w:val="nil"/>
              <w:left w:val="nil"/>
              <w:bottom w:val="single" w:sz="4" w:space="0" w:color="auto"/>
              <w:right w:val="single" w:sz="4" w:space="0" w:color="auto"/>
            </w:tcBorders>
          </w:tcPr>
          <w:p w14:paraId="5E54F69E" w14:textId="77777777" w:rsidR="00370263" w:rsidRPr="005875F4" w:rsidRDefault="00370263">
            <w:pPr>
              <w:spacing w:after="0" w:line="240" w:lineRule="auto"/>
              <w:rPr>
                <w:rStyle w:val="Hyperlink"/>
                <w:rFonts w:eastAsia="Calibri"/>
              </w:rPr>
            </w:pPr>
            <w:hyperlink r:id="rId360">
              <w:r w:rsidRPr="005875F4">
                <w:rPr>
                  <w:rStyle w:val="Hyperlink"/>
                  <w:rFonts w:eastAsia="Calibri"/>
                </w:rPr>
                <w:t>Technical Manual and Instructions for Revised Incontinence and Patient Satisfaction Tools 1 (anzctr.org.au)</w:t>
              </w:r>
            </w:hyperlink>
          </w:p>
          <w:p w14:paraId="7C85FF4F" w14:textId="77777777" w:rsidR="00370263" w:rsidRPr="00D125D3" w:rsidRDefault="00370263">
            <w:pPr>
              <w:spacing w:after="0" w:line="240" w:lineRule="auto"/>
              <w:rPr>
                <w:rStyle w:val="Hyperlink"/>
                <w:rFonts w:eastAsia="Calibri"/>
              </w:rPr>
            </w:pPr>
          </w:p>
          <w:p w14:paraId="3BA079D4" w14:textId="77777777" w:rsidR="00370263" w:rsidRPr="005875F4" w:rsidRDefault="00370263">
            <w:pPr>
              <w:spacing w:after="0" w:line="240" w:lineRule="auto"/>
              <w:rPr>
                <w:rFonts w:eastAsia="Calibri"/>
              </w:rPr>
            </w:pPr>
            <w:r w:rsidRPr="19ECD6C9">
              <w:t xml:space="preserve">An assessor should use the RFIS is used to assess faecal incontinence.  Continence is a sensitive and private issue. The assessor must use clinical judgement to determine the appropriateness of administering the RFIS with the </w:t>
            </w:r>
            <w:r>
              <w:t>older person</w:t>
            </w:r>
            <w:r w:rsidRPr="19ECD6C9">
              <w:t xml:space="preserve"> at assessment.</w:t>
            </w:r>
          </w:p>
        </w:tc>
      </w:tr>
      <w:tr w:rsidR="00370263" w:rsidRPr="00D125D3" w14:paraId="2CE3CAC0" w14:textId="77777777">
        <w:trPr>
          <w:trHeight w:val="2025"/>
        </w:trPr>
        <w:tc>
          <w:tcPr>
            <w:tcW w:w="2972" w:type="dxa"/>
            <w:tcBorders>
              <w:top w:val="single" w:sz="4" w:space="0" w:color="auto"/>
              <w:left w:val="single" w:sz="4" w:space="0" w:color="auto"/>
              <w:bottom w:val="single" w:sz="4" w:space="0" w:color="auto"/>
              <w:right w:val="single" w:sz="4" w:space="0" w:color="auto"/>
            </w:tcBorders>
            <w:hideMark/>
          </w:tcPr>
          <w:p w14:paraId="28EC2419" w14:textId="77777777" w:rsidR="00370263" w:rsidRPr="005875F4" w:rsidRDefault="00370263">
            <w:pPr>
              <w:spacing w:after="0" w:line="240" w:lineRule="auto"/>
              <w:rPr>
                <w:rFonts w:eastAsia="Times New Roman"/>
                <w:b/>
              </w:rPr>
            </w:pPr>
            <w:r w:rsidRPr="19ECD6C9">
              <w:rPr>
                <w:rFonts w:eastAsia="Times New Roman"/>
                <w:b/>
              </w:rPr>
              <w:t xml:space="preserve">GPCog- Step 2 and extended cognitive assessment </w:t>
            </w:r>
          </w:p>
        </w:tc>
        <w:tc>
          <w:tcPr>
            <w:tcW w:w="2977" w:type="dxa"/>
            <w:tcBorders>
              <w:top w:val="single" w:sz="4" w:space="0" w:color="auto"/>
              <w:left w:val="nil"/>
              <w:bottom w:val="single" w:sz="4" w:space="0" w:color="auto"/>
              <w:right w:val="single" w:sz="4" w:space="0" w:color="auto"/>
            </w:tcBorders>
            <w:hideMark/>
          </w:tcPr>
          <w:p w14:paraId="063198B2" w14:textId="77777777" w:rsidR="00370263" w:rsidRPr="005875F4" w:rsidRDefault="00370263">
            <w:pPr>
              <w:spacing w:after="0" w:line="240" w:lineRule="auto"/>
              <w:jc w:val="center"/>
              <w:rPr>
                <w:rFonts w:eastAsia="Times New Roman"/>
              </w:rPr>
            </w:pPr>
            <w:r w:rsidRPr="19ECD6C9">
              <w:rPr>
                <w:rFonts w:eastAsia="Times New Roman"/>
              </w:rPr>
              <w:t xml:space="preserve">If the </w:t>
            </w:r>
            <w:r>
              <w:rPr>
                <w:rFonts w:eastAsia="Times New Roman"/>
              </w:rPr>
              <w:t>older person</w:t>
            </w:r>
            <w:r w:rsidRPr="19ECD6C9">
              <w:rPr>
                <w:rFonts w:eastAsia="Times New Roman"/>
              </w:rPr>
              <w:t xml:space="preserve"> has answered any of the Qs in GPCog- Step 1 incorrectly. </w:t>
            </w:r>
            <w:r>
              <w:br/>
            </w:r>
          </w:p>
        </w:tc>
        <w:tc>
          <w:tcPr>
            <w:tcW w:w="3402" w:type="dxa"/>
            <w:tcBorders>
              <w:top w:val="single" w:sz="4" w:space="0" w:color="auto"/>
              <w:left w:val="nil"/>
              <w:bottom w:val="single" w:sz="4" w:space="0" w:color="auto"/>
              <w:right w:val="single" w:sz="4" w:space="0" w:color="auto"/>
            </w:tcBorders>
          </w:tcPr>
          <w:p w14:paraId="37BB8E53" w14:textId="77777777" w:rsidR="00370263" w:rsidRPr="005875F4" w:rsidRDefault="00370263">
            <w:pPr>
              <w:spacing w:after="0" w:line="240" w:lineRule="auto"/>
              <w:rPr>
                <w:rFonts w:eastAsia="Times New Roman"/>
                <w:color w:val="000000"/>
              </w:rPr>
            </w:pPr>
            <w:r w:rsidRPr="19ECD6C9">
              <w:rPr>
                <w:rFonts w:eastAsia="Times New Roman"/>
                <w:color w:val="000000" w:themeColor="text1"/>
              </w:rPr>
              <w:t>The GPCog- step 2 and extended cognitive assessment is a screening tool for cognitive impairment. It builds on the questions asked in GPCog- step 1.</w:t>
            </w:r>
          </w:p>
          <w:p w14:paraId="314FDFB1" w14:textId="77777777" w:rsidR="00370263" w:rsidRPr="005875F4" w:rsidRDefault="00370263">
            <w:pPr>
              <w:spacing w:after="0" w:line="240" w:lineRule="auto"/>
              <w:rPr>
                <w:rFonts w:eastAsia="Calibri"/>
              </w:rPr>
            </w:pPr>
            <w:hyperlink r:id="rId361">
              <w:r w:rsidRPr="005875F4">
                <w:rPr>
                  <w:rStyle w:val="Hyperlink"/>
                  <w:rFonts w:eastAsia="Calibri"/>
                </w:rPr>
                <w:t>GPCOG | Home</w:t>
              </w:r>
            </w:hyperlink>
          </w:p>
          <w:p w14:paraId="60456576" w14:textId="77777777" w:rsidR="00370263" w:rsidRPr="005875F4" w:rsidRDefault="00370263">
            <w:pPr>
              <w:spacing w:after="0" w:line="240" w:lineRule="auto"/>
              <w:rPr>
                <w:rFonts w:eastAsia="Calibri"/>
              </w:rPr>
            </w:pPr>
          </w:p>
          <w:p w14:paraId="615249BD" w14:textId="77777777" w:rsidR="00370263" w:rsidRPr="005875F4" w:rsidRDefault="00370263">
            <w:pPr>
              <w:spacing w:after="0" w:line="240" w:lineRule="auto"/>
              <w:rPr>
                <w:rFonts w:eastAsia="Calibri"/>
              </w:rPr>
            </w:pPr>
            <w:hyperlink r:id="rId362">
              <w:r w:rsidRPr="005875F4">
                <w:rPr>
                  <w:rStyle w:val="Hyperlink"/>
                  <w:rFonts w:eastAsia="Calibri"/>
                </w:rPr>
                <w:t xml:space="preserve">The GPCOG: A New Screening Test for </w:t>
              </w:r>
              <w:r>
                <w:rPr>
                  <w:rStyle w:val="Hyperlink"/>
                  <w:rFonts w:eastAsia="Calibri"/>
                </w:rPr>
                <w:t xml:space="preserve">Dementia </w:t>
              </w:r>
              <w:r w:rsidRPr="005875F4">
                <w:rPr>
                  <w:rStyle w:val="Hyperlink"/>
                  <w:rFonts w:eastAsia="Calibri"/>
                </w:rPr>
                <w:t>Designed for General Practice</w:t>
              </w:r>
            </w:hyperlink>
            <w:r w:rsidRPr="005875F4">
              <w:rPr>
                <w:rFonts w:eastAsia="Calibri"/>
              </w:rPr>
              <w:t xml:space="preserve"> (Step 2 Qs at bottom of the journal article)</w:t>
            </w:r>
          </w:p>
        </w:tc>
      </w:tr>
      <w:tr w:rsidR="00370263" w:rsidRPr="00D125D3" w14:paraId="4C1851CC" w14:textId="77777777">
        <w:trPr>
          <w:trHeight w:val="2025"/>
        </w:trPr>
        <w:tc>
          <w:tcPr>
            <w:tcW w:w="2972" w:type="dxa"/>
            <w:tcBorders>
              <w:top w:val="single" w:sz="4" w:space="0" w:color="auto"/>
              <w:left w:val="single" w:sz="4" w:space="0" w:color="auto"/>
              <w:bottom w:val="single" w:sz="4" w:space="0" w:color="auto"/>
              <w:right w:val="single" w:sz="4" w:space="0" w:color="auto"/>
            </w:tcBorders>
            <w:hideMark/>
          </w:tcPr>
          <w:p w14:paraId="39E60197" w14:textId="77777777" w:rsidR="00370263" w:rsidRPr="005875F4" w:rsidRDefault="00370263">
            <w:pPr>
              <w:spacing w:after="0" w:line="240" w:lineRule="auto"/>
              <w:rPr>
                <w:rFonts w:eastAsia="Times New Roman"/>
                <w:b/>
                <w:bCs/>
              </w:rPr>
            </w:pPr>
            <w:r w:rsidRPr="005875F4">
              <w:rPr>
                <w:rFonts w:eastAsia="Times New Roman"/>
                <w:b/>
                <w:bCs/>
              </w:rPr>
              <w:t>Extended Behaviour Assessment</w:t>
            </w:r>
            <w:r w:rsidRPr="005875F4">
              <w:rPr>
                <w:rFonts w:eastAsia="Times New Roman"/>
                <w:b/>
                <w:bCs/>
              </w:rPr>
              <w:br/>
            </w:r>
          </w:p>
        </w:tc>
        <w:tc>
          <w:tcPr>
            <w:tcW w:w="2977" w:type="dxa"/>
            <w:tcBorders>
              <w:top w:val="single" w:sz="4" w:space="0" w:color="auto"/>
              <w:left w:val="nil"/>
              <w:bottom w:val="single" w:sz="4" w:space="0" w:color="auto"/>
              <w:right w:val="single" w:sz="4" w:space="0" w:color="auto"/>
            </w:tcBorders>
            <w:hideMark/>
          </w:tcPr>
          <w:p w14:paraId="47D7CF87" w14:textId="77777777" w:rsidR="00370263" w:rsidRPr="005875F4" w:rsidRDefault="00370263">
            <w:pPr>
              <w:spacing w:after="0" w:line="240" w:lineRule="auto"/>
              <w:jc w:val="center"/>
              <w:rPr>
                <w:rFonts w:eastAsia="Times New Roman"/>
              </w:rPr>
            </w:pPr>
            <w:r w:rsidRPr="005875F4">
              <w:rPr>
                <w:rFonts w:eastAsia="Times New Roman"/>
              </w:rPr>
              <w:t xml:space="preserve">Answers YES to the question. </w:t>
            </w:r>
            <w:r w:rsidRPr="005875F4">
              <w:rPr>
                <w:rFonts w:eastAsia="Times New Roman"/>
                <w:i/>
                <w:iCs/>
              </w:rPr>
              <w:t xml:space="preserve">Are there any reported changes in the </w:t>
            </w:r>
            <w:r>
              <w:rPr>
                <w:rFonts w:eastAsia="Times New Roman"/>
                <w:i/>
                <w:iCs/>
              </w:rPr>
              <w:t>older person</w:t>
            </w:r>
            <w:r w:rsidRPr="005875F4">
              <w:rPr>
                <w:rFonts w:eastAsia="Times New Roman"/>
                <w:i/>
                <w:iCs/>
              </w:rPr>
              <w:t>'s personality?</w:t>
            </w:r>
            <w:r w:rsidRPr="005875F4">
              <w:rPr>
                <w:rFonts w:eastAsia="Times New Roman"/>
                <w:i/>
                <w:iCs/>
              </w:rPr>
              <w:br/>
            </w:r>
          </w:p>
        </w:tc>
        <w:tc>
          <w:tcPr>
            <w:tcW w:w="3402" w:type="dxa"/>
            <w:tcBorders>
              <w:top w:val="single" w:sz="4" w:space="0" w:color="auto"/>
              <w:left w:val="nil"/>
              <w:bottom w:val="single" w:sz="4" w:space="0" w:color="auto"/>
              <w:right w:val="single" w:sz="4" w:space="0" w:color="auto"/>
            </w:tcBorders>
          </w:tcPr>
          <w:p w14:paraId="3D41476F" w14:textId="77777777" w:rsidR="00370263" w:rsidRPr="005875F4" w:rsidRDefault="00370263">
            <w:pPr>
              <w:spacing w:after="0" w:line="240" w:lineRule="auto"/>
              <w:rPr>
                <w:rFonts w:eastAsia="Times New Roman"/>
                <w:color w:val="000000"/>
              </w:rPr>
            </w:pPr>
            <w:r w:rsidRPr="20771F94">
              <w:t>This question set</w:t>
            </w:r>
            <w:r w:rsidRPr="20771F94">
              <w:rPr>
                <w:rFonts w:eastAsia="Times New Roman"/>
                <w:color w:val="000000" w:themeColor="text1"/>
              </w:rPr>
              <w:t xml:space="preserve"> identifies changes in an older person’s behaviour across several behavioural types.</w:t>
            </w:r>
          </w:p>
          <w:p w14:paraId="0C5E3B8E" w14:textId="77777777" w:rsidR="00370263" w:rsidRPr="005875F4" w:rsidRDefault="00370263">
            <w:pPr>
              <w:spacing w:after="0" w:line="240" w:lineRule="auto"/>
              <w:rPr>
                <w:rFonts w:eastAsia="Times New Roman"/>
              </w:rPr>
            </w:pPr>
          </w:p>
          <w:p w14:paraId="161F5BFA" w14:textId="77777777" w:rsidR="00370263" w:rsidRPr="005875F4" w:rsidRDefault="00370263">
            <w:pPr>
              <w:spacing w:after="0" w:line="240" w:lineRule="auto"/>
              <w:rPr>
                <w:rFonts w:eastAsia="Times New Roman"/>
              </w:rPr>
            </w:pPr>
            <w:r w:rsidRPr="005875F4">
              <w:rPr>
                <w:rFonts w:eastAsia="Times New Roman"/>
                <w:color w:val="000000"/>
              </w:rPr>
              <w:t xml:space="preserve">See IAT User Guide: </w:t>
            </w:r>
            <w:r w:rsidRPr="005875F4">
              <w:t xml:space="preserve"> </w:t>
            </w:r>
            <w:hyperlink r:id="rId363" w:history="1">
              <w:r w:rsidRPr="005875F4">
                <w:rPr>
                  <w:rStyle w:val="Hyperlink"/>
                </w:rPr>
                <w:t>Integrated Assessment Tool user guide (health.gov.au)</w:t>
              </w:r>
            </w:hyperlink>
          </w:p>
        </w:tc>
      </w:tr>
      <w:tr w:rsidR="00370263" w:rsidRPr="00D125D3" w14:paraId="54BBD32D" w14:textId="77777777">
        <w:trPr>
          <w:trHeight w:val="2550"/>
        </w:trPr>
        <w:tc>
          <w:tcPr>
            <w:tcW w:w="2972" w:type="dxa"/>
            <w:tcBorders>
              <w:top w:val="single" w:sz="4" w:space="0" w:color="auto"/>
              <w:left w:val="single" w:sz="4" w:space="0" w:color="auto"/>
              <w:bottom w:val="single" w:sz="4" w:space="0" w:color="auto"/>
              <w:right w:val="single" w:sz="4" w:space="0" w:color="auto"/>
            </w:tcBorders>
            <w:hideMark/>
          </w:tcPr>
          <w:p w14:paraId="5C06DFFE" w14:textId="77777777" w:rsidR="00370263" w:rsidRPr="005875F4" w:rsidRDefault="00370263">
            <w:pPr>
              <w:spacing w:after="0" w:line="240" w:lineRule="auto"/>
              <w:rPr>
                <w:rFonts w:eastAsia="Times New Roman"/>
                <w:b/>
                <w:bCs/>
              </w:rPr>
            </w:pPr>
            <w:r w:rsidRPr="005875F4">
              <w:rPr>
                <w:rFonts w:eastAsia="Times New Roman"/>
                <w:b/>
                <w:bCs/>
              </w:rPr>
              <w:t>Advanced Psychological Assessment (PHQ-4)</w:t>
            </w:r>
            <w:r w:rsidRPr="005875F4">
              <w:rPr>
                <w:rFonts w:eastAsia="Times New Roman"/>
                <w:b/>
                <w:bCs/>
              </w:rPr>
              <w:br/>
            </w:r>
          </w:p>
        </w:tc>
        <w:tc>
          <w:tcPr>
            <w:tcW w:w="2977" w:type="dxa"/>
            <w:tcBorders>
              <w:top w:val="single" w:sz="4" w:space="0" w:color="auto"/>
              <w:left w:val="single" w:sz="4" w:space="0" w:color="auto"/>
              <w:bottom w:val="single" w:sz="4" w:space="0" w:color="auto"/>
              <w:right w:val="single" w:sz="4" w:space="0" w:color="auto"/>
            </w:tcBorders>
            <w:hideMark/>
          </w:tcPr>
          <w:p w14:paraId="0ECBE7CC" w14:textId="77777777" w:rsidR="00370263" w:rsidRPr="005875F4" w:rsidRDefault="00370263">
            <w:pPr>
              <w:spacing w:after="0" w:line="240" w:lineRule="auto"/>
              <w:jc w:val="center"/>
              <w:rPr>
                <w:rFonts w:eastAsia="Times New Roman"/>
                <w:color w:val="000000"/>
              </w:rPr>
            </w:pPr>
            <w:r w:rsidRPr="20771F94">
              <w:rPr>
                <w:rFonts w:eastAsia="Times New Roman"/>
                <w:color w:val="000000" w:themeColor="text1"/>
              </w:rPr>
              <w:t>If there is a total score of three or more from the first two PHQ questions (Feeling nervous, anxious or on edge AND not being able to stop or control worrying), additional questions on advanced psychological assessment will be prompted.</w:t>
            </w:r>
            <w:r>
              <w:br/>
            </w:r>
          </w:p>
        </w:tc>
        <w:tc>
          <w:tcPr>
            <w:tcW w:w="3402" w:type="dxa"/>
            <w:tcBorders>
              <w:top w:val="single" w:sz="4" w:space="0" w:color="auto"/>
              <w:left w:val="single" w:sz="4" w:space="0" w:color="auto"/>
              <w:bottom w:val="single" w:sz="4" w:space="0" w:color="auto"/>
              <w:right w:val="single" w:sz="4" w:space="0" w:color="auto"/>
            </w:tcBorders>
          </w:tcPr>
          <w:p w14:paraId="3F882C64" w14:textId="77777777" w:rsidR="00370263" w:rsidRPr="005875F4" w:rsidRDefault="00370263">
            <w:pPr>
              <w:spacing w:after="0" w:line="240" w:lineRule="auto"/>
              <w:rPr>
                <w:rFonts w:eastAsia="Times New Roman"/>
                <w:color w:val="000000"/>
              </w:rPr>
            </w:pPr>
            <w:r w:rsidRPr="20771F94">
              <w:rPr>
                <w:rFonts w:eastAsia="Times New Roman"/>
                <w:color w:val="000000" w:themeColor="text1"/>
              </w:rPr>
              <w:t>This question set identifies the extent to which an older person experiences psychological distress.</w:t>
            </w:r>
          </w:p>
          <w:p w14:paraId="661BC367" w14:textId="77777777" w:rsidR="00370263" w:rsidRPr="005875F4" w:rsidRDefault="00370263">
            <w:pPr>
              <w:spacing w:after="0" w:line="240" w:lineRule="auto"/>
              <w:rPr>
                <w:rFonts w:eastAsia="Times New Roman"/>
                <w:color w:val="000000"/>
              </w:rPr>
            </w:pPr>
          </w:p>
          <w:p w14:paraId="522446C5" w14:textId="77777777" w:rsidR="00370263" w:rsidRPr="005875F4" w:rsidRDefault="00370263">
            <w:pPr>
              <w:spacing w:after="0" w:line="240" w:lineRule="auto"/>
              <w:rPr>
                <w:rFonts w:eastAsia="Times New Roman"/>
                <w:color w:val="000000"/>
              </w:rPr>
            </w:pPr>
            <w:r w:rsidRPr="72807F16">
              <w:rPr>
                <w:rFonts w:eastAsia="Times New Roman"/>
                <w:color w:val="000000" w:themeColor="text1"/>
              </w:rPr>
              <w:t xml:space="preserve">See IAT User Guide: </w:t>
            </w:r>
            <w:r>
              <w:t xml:space="preserve"> </w:t>
            </w:r>
            <w:hyperlink r:id="rId364">
              <w:r w:rsidRPr="72807F16">
                <w:rPr>
                  <w:rStyle w:val="Hyperlink"/>
                </w:rPr>
                <w:t>Integrated Assessment Tool user guide (health.gov.au)</w:t>
              </w:r>
            </w:hyperlink>
          </w:p>
        </w:tc>
      </w:tr>
      <w:tr w:rsidR="00370263" w:rsidRPr="00D125D3" w14:paraId="139ACD30" w14:textId="77777777">
        <w:trPr>
          <w:trHeight w:val="2550"/>
        </w:trPr>
        <w:tc>
          <w:tcPr>
            <w:tcW w:w="2972" w:type="dxa"/>
            <w:tcBorders>
              <w:top w:val="single" w:sz="4" w:space="0" w:color="auto"/>
              <w:left w:val="single" w:sz="4" w:space="0" w:color="auto"/>
              <w:bottom w:val="single" w:sz="4" w:space="0" w:color="auto"/>
              <w:right w:val="single" w:sz="4" w:space="0" w:color="auto"/>
            </w:tcBorders>
            <w:hideMark/>
          </w:tcPr>
          <w:p w14:paraId="44A1367F" w14:textId="77777777" w:rsidR="00370263" w:rsidRPr="005875F4" w:rsidRDefault="00370263">
            <w:pPr>
              <w:spacing w:after="0" w:line="240" w:lineRule="auto"/>
              <w:rPr>
                <w:rFonts w:eastAsia="Times New Roman"/>
                <w:b/>
                <w:bCs/>
                <w:color w:val="000000"/>
              </w:rPr>
            </w:pPr>
            <w:r w:rsidRPr="005875F4">
              <w:rPr>
                <w:rFonts w:eastAsia="Times New Roman"/>
                <w:b/>
                <w:bCs/>
                <w:color w:val="000000"/>
              </w:rPr>
              <w:t xml:space="preserve">Geriatric Depression Scale (GDS) </w:t>
            </w:r>
          </w:p>
        </w:tc>
        <w:tc>
          <w:tcPr>
            <w:tcW w:w="2977" w:type="dxa"/>
            <w:tcBorders>
              <w:top w:val="single" w:sz="4" w:space="0" w:color="auto"/>
              <w:left w:val="nil"/>
              <w:bottom w:val="single" w:sz="4" w:space="0" w:color="auto"/>
              <w:right w:val="single" w:sz="4" w:space="0" w:color="auto"/>
            </w:tcBorders>
            <w:hideMark/>
          </w:tcPr>
          <w:p w14:paraId="77B4751C" w14:textId="77777777" w:rsidR="00370263" w:rsidRPr="005875F4" w:rsidRDefault="00370263">
            <w:pPr>
              <w:spacing w:after="0" w:line="240" w:lineRule="auto"/>
              <w:jc w:val="center"/>
              <w:rPr>
                <w:rFonts w:eastAsia="Times New Roman"/>
                <w:color w:val="000000"/>
              </w:rPr>
            </w:pPr>
            <w:r w:rsidRPr="20771F94">
              <w:rPr>
                <w:rFonts w:eastAsia="Times New Roman"/>
                <w:color w:val="000000" w:themeColor="text1"/>
              </w:rPr>
              <w:t xml:space="preserve">Additional question in advanced psychological assessment. Answer ‘yes’ to </w:t>
            </w:r>
            <w:r w:rsidRPr="20771F94">
              <w:rPr>
                <w:rFonts w:eastAsia="Times New Roman"/>
                <w:i/>
                <w:color w:val="000000" w:themeColor="text1"/>
              </w:rPr>
              <w:t>Do you want to complete the Geriatric Depression Scale?</w:t>
            </w:r>
            <w:r>
              <w:br/>
            </w:r>
          </w:p>
        </w:tc>
        <w:tc>
          <w:tcPr>
            <w:tcW w:w="3402" w:type="dxa"/>
            <w:tcBorders>
              <w:top w:val="single" w:sz="4" w:space="0" w:color="auto"/>
              <w:left w:val="nil"/>
              <w:bottom w:val="single" w:sz="4" w:space="0" w:color="auto"/>
              <w:right w:val="single" w:sz="4" w:space="0" w:color="auto"/>
            </w:tcBorders>
          </w:tcPr>
          <w:p w14:paraId="60FD9E3E" w14:textId="77777777" w:rsidR="00370263" w:rsidRPr="005875F4" w:rsidRDefault="00370263">
            <w:pPr>
              <w:spacing w:after="0" w:line="240" w:lineRule="auto"/>
              <w:rPr>
                <w:rFonts w:eastAsia="Times New Roman"/>
                <w:color w:val="000000"/>
              </w:rPr>
            </w:pPr>
            <w:r w:rsidRPr="005875F4">
              <w:rPr>
                <w:rFonts w:eastAsia="Times New Roman"/>
                <w:color w:val="000000"/>
              </w:rPr>
              <w:t xml:space="preserve">The GDS is a basic screening measure for depression in older people. </w:t>
            </w:r>
          </w:p>
          <w:p w14:paraId="7CACA017" w14:textId="77777777" w:rsidR="00370263" w:rsidRPr="005875F4" w:rsidRDefault="00370263">
            <w:pPr>
              <w:spacing w:after="0" w:line="240" w:lineRule="auto"/>
              <w:rPr>
                <w:rFonts w:eastAsia="Times New Roman"/>
                <w:color w:val="000000"/>
              </w:rPr>
            </w:pPr>
          </w:p>
          <w:p w14:paraId="05867DF5" w14:textId="77777777" w:rsidR="00370263" w:rsidRPr="005875F4" w:rsidRDefault="00370263">
            <w:pPr>
              <w:spacing w:after="0" w:line="240" w:lineRule="auto"/>
              <w:rPr>
                <w:rFonts w:eastAsia="Calibri"/>
              </w:rPr>
            </w:pPr>
            <w:hyperlink r:id="rId365">
              <w:r w:rsidRPr="005875F4">
                <w:rPr>
                  <w:rStyle w:val="Hyperlink"/>
                  <w:rFonts w:eastAsia="Calibri"/>
                </w:rPr>
                <w:t>Geriatric Depression Scale (stanford.edu)</w:t>
              </w:r>
            </w:hyperlink>
          </w:p>
        </w:tc>
      </w:tr>
    </w:tbl>
    <w:p w14:paraId="34BE7238" w14:textId="77777777" w:rsidR="00370263" w:rsidRPr="00D125D3" w:rsidRDefault="00370263" w:rsidP="00DF3F6B">
      <w:pPr>
        <w:pStyle w:val="ListParagraph"/>
        <w:numPr>
          <w:ilvl w:val="0"/>
          <w:numId w:val="89"/>
        </w:numPr>
        <w:spacing w:after="200" w:line="276" w:lineRule="auto"/>
        <w:rPr>
          <w:rFonts w:ascii="Calibri" w:hAnsi="Calibri" w:cs="Calibri"/>
          <w:color w:val="6E7B62"/>
        </w:rPr>
        <w:sectPr w:rsidR="00370263" w:rsidRPr="00D125D3" w:rsidSect="00370263">
          <w:headerReference w:type="even" r:id="rId366"/>
          <w:headerReference w:type="default" r:id="rId367"/>
          <w:footerReference w:type="even" r:id="rId368"/>
          <w:footerReference w:type="default" r:id="rId369"/>
          <w:headerReference w:type="first" r:id="rId370"/>
          <w:footerReference w:type="first" r:id="rId371"/>
          <w:pgSz w:w="12240" w:h="15840"/>
          <w:pgMar w:top="1440" w:right="1440" w:bottom="1440" w:left="1440" w:header="720" w:footer="720" w:gutter="0"/>
          <w:cols w:space="720"/>
          <w:docGrid w:linePitch="360"/>
        </w:sectPr>
      </w:pPr>
    </w:p>
    <w:p w14:paraId="0930A8A3" w14:textId="77777777" w:rsidR="00370263" w:rsidRDefault="00370263" w:rsidP="00370263">
      <w:pPr>
        <w:rPr>
          <w:rFonts w:ascii="Arial Bold" w:hAnsi="Arial Bold" w:hint="eastAsia"/>
          <w:b/>
          <w:lang w:eastAsia="en-GB"/>
        </w:rPr>
      </w:pPr>
      <w:r>
        <w:rPr>
          <w:rFonts w:ascii="Arial Bold" w:hAnsi="Arial Bold"/>
          <w:b/>
          <w:lang w:eastAsia="en-GB"/>
        </w:rPr>
        <w:t>Older person</w:t>
      </w:r>
      <w:r w:rsidRPr="005875F4">
        <w:rPr>
          <w:rFonts w:ascii="Arial Bold" w:hAnsi="Arial Bold"/>
          <w:b/>
          <w:lang w:eastAsia="en-GB"/>
        </w:rPr>
        <w:t xml:space="preserve"> scenarios — </w:t>
      </w:r>
      <w:r>
        <w:rPr>
          <w:rFonts w:ascii="Arial Bold" w:hAnsi="Arial Bold"/>
          <w:b/>
          <w:lang w:eastAsia="en-GB"/>
        </w:rPr>
        <w:t xml:space="preserve">clinical attendance </w:t>
      </w:r>
    </w:p>
    <w:p w14:paraId="781A29E5" w14:textId="77777777" w:rsidR="001308AC" w:rsidRDefault="00370263" w:rsidP="00370263">
      <w:pPr>
        <w:pStyle w:val="Boxwithcolouredkeyline"/>
        <w:rPr>
          <w:b/>
          <w:shd w:val="clear" w:color="auto" w:fill="FFFFFF"/>
        </w:rPr>
      </w:pPr>
      <w:r w:rsidRPr="001308AC">
        <w:rPr>
          <w:b/>
          <w:shd w:val="clear" w:color="auto" w:fill="FFFFFF"/>
        </w:rPr>
        <w:t xml:space="preserve">Meet </w:t>
      </w:r>
      <w:r w:rsidRPr="00667C2A">
        <w:rPr>
          <w:b/>
        </w:rPr>
        <w:t>Cl</w:t>
      </w:r>
      <w:r w:rsidRPr="00733456">
        <w:t>y</w:t>
      </w:r>
      <w:r w:rsidRPr="001308AC">
        <w:rPr>
          <w:b/>
          <w:shd w:val="clear" w:color="auto" w:fill="FFFFFF"/>
        </w:rPr>
        <w:t>de</w:t>
      </w:r>
    </w:p>
    <w:p w14:paraId="4FEA9CD9" w14:textId="77777777" w:rsidR="001308AC" w:rsidRDefault="00370263" w:rsidP="00370263">
      <w:pPr>
        <w:pStyle w:val="Boxwithcolouredkeyline"/>
        <w:rPr>
          <w:shd w:val="clear" w:color="auto" w:fill="FFFFFF"/>
        </w:rPr>
      </w:pPr>
      <w:r w:rsidRPr="005875F4">
        <w:rPr>
          <w:shd w:val="clear" w:color="auto" w:fill="FFFFFF"/>
        </w:rPr>
        <w:t xml:space="preserve">Clyde is 78 years old and needs some extra support so that he can continue to live in his home. He applies for an aged care assessment through My Aged Care. When Clyde is contacted by the assessment organisation, he is asked some preliminary questions (known as triage) before his assessment is scheduled. Clyde has heard some bad stories recently about residential aged care and he is worried that the assessment will result in him </w:t>
      </w:r>
      <w:r>
        <w:rPr>
          <w:shd w:val="clear" w:color="auto" w:fill="FFFFFF"/>
        </w:rPr>
        <w:t xml:space="preserve">moving into an aged care home. </w:t>
      </w:r>
      <w:r w:rsidRPr="005875F4">
        <w:rPr>
          <w:shd w:val="clear" w:color="auto" w:fill="FFFFFF"/>
        </w:rPr>
        <w:t xml:space="preserve"> Clyde feels nervous when answering the questions at triage and he doesn’t fully disclose his health concerns during the conversation.</w:t>
      </w:r>
    </w:p>
    <w:p w14:paraId="239BA46A" w14:textId="77777777" w:rsidR="001308AC" w:rsidRDefault="00370263" w:rsidP="00370263">
      <w:pPr>
        <w:pStyle w:val="Boxwithcolouredkeyline"/>
        <w:rPr>
          <w:shd w:val="clear" w:color="auto" w:fill="FFFFFF"/>
        </w:rPr>
      </w:pPr>
      <w:r w:rsidRPr="005875F4">
        <w:rPr>
          <w:shd w:val="clear" w:color="auto" w:fill="FFFFFF"/>
        </w:rPr>
        <w:t xml:space="preserve">Clyde is triaged for a </w:t>
      </w:r>
      <w:r>
        <w:rPr>
          <w:shd w:val="clear" w:color="auto" w:fill="FFFFFF"/>
        </w:rPr>
        <w:t>home support</w:t>
      </w:r>
      <w:r w:rsidRPr="005875F4">
        <w:rPr>
          <w:shd w:val="clear" w:color="auto" w:fill="FFFFFF"/>
        </w:rPr>
        <w:t xml:space="preserve"> assessment. A non-clinical assessor is assigned to undertake the assessment, and travels to Clyde’s home. During his assessment, Clyde</w:t>
      </w:r>
      <w:r>
        <w:rPr>
          <w:shd w:val="clear" w:color="auto" w:fill="FFFFFF"/>
        </w:rPr>
        <w:t>’s</w:t>
      </w:r>
      <w:r w:rsidRPr="005875F4">
        <w:rPr>
          <w:shd w:val="clear" w:color="auto" w:fill="FFFFFF"/>
        </w:rPr>
        <w:t xml:space="preserve"> answers trigger questions that require clinical judgement. The assessor explains to Clyde that there are some questions that will need to be asked </w:t>
      </w:r>
      <w:r>
        <w:rPr>
          <w:shd w:val="clear" w:color="auto" w:fill="FFFFFF"/>
        </w:rPr>
        <w:t>with</w:t>
      </w:r>
      <w:r w:rsidRPr="005875F4">
        <w:rPr>
          <w:shd w:val="clear" w:color="auto" w:fill="FFFFFF"/>
        </w:rPr>
        <w:t xml:space="preserve"> a clinical assessor, who they can call on their tablet. </w:t>
      </w:r>
    </w:p>
    <w:p w14:paraId="3A5B5C48" w14:textId="703E5DA6" w:rsidR="001308AC" w:rsidRDefault="00370263" w:rsidP="00370263">
      <w:pPr>
        <w:pStyle w:val="Boxwithcolouredkeyline"/>
        <w:rPr>
          <w:shd w:val="clear" w:color="auto" w:fill="FFFFFF"/>
        </w:rPr>
      </w:pPr>
      <w:r w:rsidRPr="005875F4">
        <w:rPr>
          <w:shd w:val="clear" w:color="auto" w:fill="FFFFFF"/>
        </w:rPr>
        <w:t xml:space="preserve">Clyde agrees and a clinical assessor is video called. Clyde and his assessor explain his situation </w:t>
      </w:r>
      <w:r>
        <w:rPr>
          <w:shd w:val="clear" w:color="auto" w:fill="FFFFFF"/>
        </w:rPr>
        <w:t xml:space="preserve">to the clinical assessor, </w:t>
      </w:r>
      <w:r w:rsidRPr="005875F4">
        <w:rPr>
          <w:shd w:val="clear" w:color="auto" w:fill="FFFFFF"/>
        </w:rPr>
        <w:t xml:space="preserve">and the </w:t>
      </w:r>
      <w:r>
        <w:rPr>
          <w:shd w:val="clear" w:color="auto" w:fill="FFFFFF"/>
        </w:rPr>
        <w:t xml:space="preserve">IAT </w:t>
      </w:r>
      <w:r w:rsidRPr="005875F4">
        <w:rPr>
          <w:shd w:val="clear" w:color="auto" w:fill="FFFFFF"/>
        </w:rPr>
        <w:t xml:space="preserve">questions that have been triggered. Together, the assessors undertake the whole assessment and record Clyde’s needs in the IAT. When the </w:t>
      </w:r>
      <w:r>
        <w:rPr>
          <w:shd w:val="clear" w:color="auto" w:fill="FFFFFF"/>
        </w:rPr>
        <w:t xml:space="preserve">non-clinical </w:t>
      </w:r>
      <w:r w:rsidRPr="005875F4">
        <w:rPr>
          <w:shd w:val="clear" w:color="auto" w:fill="FFFFFF"/>
        </w:rPr>
        <w:t xml:space="preserve">assessor gets back to the office, they finalise the assessment, consulting with the clinical assessor to make the recommendations. </w:t>
      </w:r>
    </w:p>
    <w:p w14:paraId="06EC1E9A" w14:textId="77777777" w:rsidR="001308AC" w:rsidRDefault="00370263" w:rsidP="00370263">
      <w:pPr>
        <w:pStyle w:val="Boxwithcolouredkeyline"/>
        <w:rPr>
          <w:shd w:val="clear" w:color="auto" w:fill="FFFFFF"/>
        </w:rPr>
      </w:pPr>
      <w:r w:rsidRPr="005875F4">
        <w:rPr>
          <w:shd w:val="clear" w:color="auto" w:fill="FFFFFF"/>
        </w:rPr>
        <w:t>Clyde is found eligible for services. The assessor converts the assessment to a comprehensive assessment</w:t>
      </w:r>
      <w:r>
        <w:rPr>
          <w:shd w:val="clear" w:color="auto" w:fill="FFFFFF"/>
        </w:rPr>
        <w:t xml:space="preserve"> at the end of the assessment</w:t>
      </w:r>
      <w:r w:rsidRPr="005875F4">
        <w:rPr>
          <w:shd w:val="clear" w:color="auto" w:fill="FFFFFF"/>
        </w:rPr>
        <w:t>. Clyde’s assessment is finalised and is sent to a</w:t>
      </w:r>
      <w:r>
        <w:rPr>
          <w:shd w:val="clear" w:color="auto" w:fill="FFFFFF"/>
        </w:rPr>
        <w:t>n</w:t>
      </w:r>
      <w:r w:rsidRPr="005875F4">
        <w:rPr>
          <w:shd w:val="clear" w:color="auto" w:fill="FFFFFF"/>
        </w:rPr>
        <w:t xml:space="preserve"> assessment delegate for approval. </w:t>
      </w:r>
    </w:p>
    <w:p w14:paraId="5018FE88" w14:textId="4E2F480E" w:rsidR="001308AC" w:rsidRDefault="007F22CF" w:rsidP="00370263">
      <w:pPr>
        <w:pStyle w:val="Boxwithcolouredkeyline"/>
      </w:pPr>
      <w:r>
        <w:rPr>
          <w:rFonts w:ascii="Arial Bold" w:hAnsi="Arial Bold"/>
          <w:b/>
          <w:lang w:eastAsia="en-GB"/>
        </w:rPr>
        <w:br w:type="page"/>
      </w:r>
      <w:r w:rsidR="2957A627" w:rsidRPr="001308AC">
        <w:rPr>
          <w:b/>
          <w:bCs/>
          <w:shd w:val="clear" w:color="auto" w:fill="FFFFFF"/>
        </w:rPr>
        <w:t xml:space="preserve">Meet Jane </w:t>
      </w:r>
    </w:p>
    <w:p w14:paraId="332BA34C" w14:textId="77777777" w:rsidR="001308AC" w:rsidRDefault="00370263" w:rsidP="00370263">
      <w:pPr>
        <w:pStyle w:val="Boxwithcolouredkeyline"/>
      </w:pPr>
      <w:r w:rsidRPr="005875F4">
        <w:rPr>
          <w:shd w:val="clear" w:color="auto" w:fill="FFFFFF"/>
        </w:rPr>
        <w:t xml:space="preserve">Jane is 70 years old and lives alone. Jane and her family have spoken about her needing some support to help with home duties. Jane has chronic arthritis and sometimes this can affect her activities. At the time she first speaks to an assessment organisation about her health and abilities (triage), the weather is warm, and Jane is feeling good. Her arthritis is not affecting her day-to-day activities. </w:t>
      </w:r>
    </w:p>
    <w:p w14:paraId="2D48E0F6" w14:textId="2142AD73" w:rsidR="001308AC" w:rsidRDefault="00370263" w:rsidP="00370263">
      <w:pPr>
        <w:pStyle w:val="Boxwithcolouredkeyline"/>
      </w:pPr>
      <w:r w:rsidRPr="005875F4">
        <w:rPr>
          <w:shd w:val="clear" w:color="auto" w:fill="FFFFFF"/>
        </w:rPr>
        <w:t xml:space="preserve">Jane is triaged for a home support assessment. A non-clinical assessor is assigned to undertake the assessment, and travels to Jane’s home. On the day of the assessment, the weather is cold, and Jane isn’t feeling as well as she did at triage. During her assessment, Jane answers a question which triggers a question set that requires clinical judgement. The assessor knows that a clinical assessor is not available to be in attendance during the assessment. The assessor </w:t>
      </w:r>
      <w:r>
        <w:rPr>
          <w:shd w:val="clear" w:color="auto" w:fill="FFFFFF"/>
        </w:rPr>
        <w:t>selects ‘no’ to</w:t>
      </w:r>
      <w:r w:rsidRPr="005875F4">
        <w:rPr>
          <w:shd w:val="clear" w:color="auto" w:fill="FFFFFF"/>
        </w:rPr>
        <w:t xml:space="preserve"> the </w:t>
      </w:r>
      <w:r>
        <w:rPr>
          <w:shd w:val="clear" w:color="auto" w:fill="FFFFFF"/>
        </w:rPr>
        <w:t>declaration</w:t>
      </w:r>
      <w:r w:rsidRPr="005875F4">
        <w:rPr>
          <w:shd w:val="clear" w:color="auto" w:fill="FFFFFF"/>
        </w:rPr>
        <w:t xml:space="preserve"> and makes a note of the questions that are triggered. The assessor explains that they can only ask certain questions in the assessment today and that some questions will need to be asked </w:t>
      </w:r>
      <w:r>
        <w:rPr>
          <w:shd w:val="clear" w:color="auto" w:fill="FFFFFF"/>
        </w:rPr>
        <w:t>with</w:t>
      </w:r>
      <w:r w:rsidRPr="005875F4">
        <w:rPr>
          <w:shd w:val="clear" w:color="auto" w:fill="FFFFFF"/>
        </w:rPr>
        <w:t xml:space="preserve"> a clinical assessor at a later time. The assessor asks the questions that do not require clinical judgment. The assessment concludes. When the assessor gets back to the office, the assessor speaks to their Team Leader or a clinical assessor about the assessment. At this stage it is determined that the </w:t>
      </w:r>
      <w:r>
        <w:rPr>
          <w:shd w:val="clear" w:color="auto" w:fill="FFFFFF"/>
        </w:rPr>
        <w:t xml:space="preserve">clinical assessor can complete the clinical questions by calling Jane and asking the questions raised during the </w:t>
      </w:r>
      <w:r w:rsidRPr="005875F4">
        <w:rPr>
          <w:shd w:val="clear" w:color="auto" w:fill="FFFFFF"/>
        </w:rPr>
        <w:t xml:space="preserve">assessment. The </w:t>
      </w:r>
      <w:r>
        <w:rPr>
          <w:shd w:val="clear" w:color="auto" w:fill="FFFFFF"/>
        </w:rPr>
        <w:t xml:space="preserve">original, non-clinical </w:t>
      </w:r>
      <w:r w:rsidRPr="005875F4">
        <w:rPr>
          <w:shd w:val="clear" w:color="auto" w:fill="FFFFFF"/>
        </w:rPr>
        <w:t xml:space="preserve">assessor arranges a time to contact Jane with </w:t>
      </w:r>
      <w:r>
        <w:rPr>
          <w:shd w:val="clear" w:color="auto" w:fill="FFFFFF"/>
        </w:rPr>
        <w:t xml:space="preserve">the </w:t>
      </w:r>
      <w:r w:rsidRPr="005875F4">
        <w:rPr>
          <w:shd w:val="clear" w:color="auto" w:fill="FFFFFF"/>
        </w:rPr>
        <w:t xml:space="preserve">clinical assessor to ask the remaining questions. Together they finalise the assessment and although the clinical questions were triggered during the assessment, </w:t>
      </w:r>
      <w:r w:rsidRPr="00AF689F">
        <w:rPr>
          <w:shd w:val="clear" w:color="auto" w:fill="FFFFFF"/>
        </w:rPr>
        <w:t>it is found that Jane’s needs can be supported through CHSP services</w:t>
      </w:r>
      <w:r w:rsidRPr="005875F4">
        <w:rPr>
          <w:shd w:val="clear" w:color="auto" w:fill="FFFFFF"/>
        </w:rPr>
        <w:t xml:space="preserve">  </w:t>
      </w:r>
    </w:p>
    <w:p w14:paraId="0CD9CA90" w14:textId="77777777" w:rsidR="001308AC" w:rsidRDefault="00370263" w:rsidP="00370263">
      <w:pPr>
        <w:pStyle w:val="Boxwithcolouredkeyline"/>
      </w:pPr>
      <w:r w:rsidRPr="001308AC">
        <w:rPr>
          <w:b/>
          <w:shd w:val="clear" w:color="auto" w:fill="FFFFFF"/>
        </w:rPr>
        <w:t>Meet Alex</w:t>
      </w:r>
    </w:p>
    <w:p w14:paraId="54DC6162" w14:textId="1604C81B" w:rsidR="001308AC" w:rsidRDefault="00370263" w:rsidP="00370263">
      <w:pPr>
        <w:pStyle w:val="Boxwithcolouredkeyline"/>
      </w:pPr>
      <w:r>
        <w:rPr>
          <w:shd w:val="clear" w:color="auto" w:fill="FFFFFF"/>
        </w:rPr>
        <w:t>Alex loves working with older people and is excited about their new role as a non-clinical aged care needs assessor. Alex arrives at the house of an older person to undertake a home support assessment. Alex is welcomed inside, and notes straight away that the older person’s needs seem more complex than what was recorded at triage. Not long into the assessment, a clinical question is triggered that requires clinical judgement. Alex explains to the older person that there are some questions that they will need to ask with the support from a clinical assessor who they can call on Alex’s phone. The older person agrees and a clinical assessor is called. Alex explains the situation, including the clinical questions that have been triggered. The clinical assessor considers the questions that have been triggered, Alex’s experience as an assessor and the older person’s situation. Based on these factors, the clinical assessor advises that it would be best for a clinical assessor to undertake the whole assessment.</w:t>
      </w:r>
    </w:p>
    <w:p w14:paraId="424BAB7F" w14:textId="77777777" w:rsidR="001308AC" w:rsidRDefault="00370263" w:rsidP="00370263">
      <w:pPr>
        <w:pStyle w:val="Boxwithcolouredkeyline"/>
      </w:pPr>
      <w:r>
        <w:rPr>
          <w:shd w:val="clear" w:color="auto" w:fill="FFFFFF"/>
        </w:rPr>
        <w:t xml:space="preserve">Alex concludes the assessment and the older person’s assessment is reassigned to a clinical assessor with high priority which occurs on another day.   </w:t>
      </w:r>
    </w:p>
    <w:p w14:paraId="436FE2DE" w14:textId="77777777" w:rsidR="001308AC" w:rsidRDefault="001308AC">
      <w:pPr>
        <w:rPr>
          <w:b/>
          <w:bCs/>
          <w:color w:val="002060"/>
          <w:sz w:val="44"/>
          <w:szCs w:val="36"/>
          <w:lang w:val="en-US"/>
        </w:rPr>
      </w:pPr>
      <w:r>
        <w:rPr>
          <w:bCs/>
        </w:rPr>
        <w:br w:type="page"/>
      </w:r>
    </w:p>
    <w:p w14:paraId="6896083A" w14:textId="15CDCF96" w:rsidR="001308AC" w:rsidRDefault="00370263" w:rsidP="005D6C7B">
      <w:pPr>
        <w:pStyle w:val="H1"/>
        <w:numPr>
          <w:ilvl w:val="0"/>
          <w:numId w:val="0"/>
        </w:numPr>
        <w:ind w:left="360"/>
      </w:pPr>
      <w:bookmarkStart w:id="1143" w:name="_Toc224916731"/>
      <w:r>
        <w:t xml:space="preserve">APPENDIX </w:t>
      </w:r>
      <w:r w:rsidR="00A5274A">
        <w:t xml:space="preserve">E </w:t>
      </w:r>
      <w:r>
        <w:t xml:space="preserve">– </w:t>
      </w:r>
      <w:r w:rsidR="00D96F0A">
        <w:t xml:space="preserve">Wellness and </w:t>
      </w:r>
      <w:r w:rsidR="003B6CAA">
        <w:t>r</w:t>
      </w:r>
      <w:r w:rsidR="00D96F0A">
        <w:t>eablement</w:t>
      </w:r>
      <w:bookmarkEnd w:id="1143"/>
    </w:p>
    <w:p w14:paraId="5CD5BD06" w14:textId="77777777" w:rsidR="002F13D2" w:rsidRPr="0090711C" w:rsidRDefault="002F13D2" w:rsidP="002F13D2">
      <w:pPr>
        <w:pStyle w:val="NormalText"/>
        <w:rPr>
          <w:rFonts w:eastAsiaTheme="minorEastAsia"/>
          <w:b/>
        </w:rPr>
      </w:pPr>
      <w:r w:rsidRPr="0090711C">
        <w:rPr>
          <w:rFonts w:eastAsiaTheme="minorEastAsia"/>
          <w:b/>
        </w:rPr>
        <w:t>Introduction</w:t>
      </w:r>
    </w:p>
    <w:p w14:paraId="0EC1760F" w14:textId="77777777" w:rsidR="002F13D2" w:rsidRPr="002F13D2" w:rsidRDefault="002F13D2" w:rsidP="002F13D2">
      <w:pPr>
        <w:pStyle w:val="NormalText"/>
      </w:pPr>
      <w:r w:rsidRPr="002F13D2">
        <w:t xml:space="preserve">My Aged Care has been established to support older people to maximise their independence and enable them to remain living safely in their own homes and communities. The role of the assessor is to work with the older person to develop an individualised Support Plan so the older person can focus on their own strengths and goals to better support their continued independence. This means assessors should not refer the older person for services they can do safely for themselves. The longer an older person avoids reliance on ongoing services, the longer they are likely to maintain their functional independence, giving them more good days doing the things that matter to them most. </w:t>
      </w:r>
    </w:p>
    <w:p w14:paraId="2EDADFFD" w14:textId="77777777" w:rsidR="002F13D2" w:rsidRPr="002F13D2" w:rsidRDefault="002F13D2" w:rsidP="002F13D2">
      <w:pPr>
        <w:pStyle w:val="NormalText"/>
        <w:rPr>
          <w:rFonts w:eastAsia="Calibri"/>
        </w:rPr>
      </w:pPr>
      <w:r w:rsidRPr="002F13D2">
        <w:t xml:space="preserve">Wellness and reablement approaches build on people’s strengths and goals to promote greater independence and autonomy, and it starts with the assessment. Wellness and reablement are inclusive approaches that involve assessment, planning and delivery of supports that build on the strengths, capacity, and goals of individuals irrespective of age, capacity, diagnosis or setting. Referring for support that focuses on the individual’s goals and recognises the importance of older people’s participation is fundamental to aged care. </w:t>
      </w:r>
    </w:p>
    <w:p w14:paraId="1DCFABC7" w14:textId="77777777" w:rsidR="002F13D2" w:rsidRPr="0090711C" w:rsidRDefault="002F13D2" w:rsidP="002F13D2">
      <w:pPr>
        <w:pStyle w:val="NormalText"/>
        <w:rPr>
          <w:b/>
          <w:bCs/>
        </w:rPr>
      </w:pPr>
      <w:r w:rsidRPr="0090711C">
        <w:rPr>
          <w:b/>
          <w:bCs/>
        </w:rPr>
        <w:t>What is Wellness and reablement?</w:t>
      </w:r>
    </w:p>
    <w:p w14:paraId="42FDB3FB" w14:textId="77777777" w:rsidR="002F13D2" w:rsidRPr="002F13D2" w:rsidRDefault="002F13D2" w:rsidP="002F13D2">
      <w:pPr>
        <w:pStyle w:val="NormalText"/>
      </w:pPr>
      <w:r w:rsidRPr="002F13D2">
        <w:t>Wellness and reablement are related concepts, often used together to describe an overall approach to service delivery. They are grounded in the principle that older people, including those with frailty, chronic illness or disability, can maintain or improve their independence, and physical, social and emotional functioning. These approaches support older people to live with purpose, make autonomous choices, and participate in meaningful activities which supports their wellbeing.</w:t>
      </w:r>
    </w:p>
    <w:p w14:paraId="19EE70FD" w14:textId="785FF120" w:rsidR="002F13D2" w:rsidRPr="002F13D2" w:rsidRDefault="002F13D2" w:rsidP="002F13D2">
      <w:pPr>
        <w:pStyle w:val="NormalText"/>
      </w:pPr>
      <w:r w:rsidRPr="002F13D2">
        <w:t>By focusing on capacity-building and restoring or maintaining function, wellness and reablement approaches directly contribute to the wellbeing outcomes described in the Aged Care Act and Strengthened Aged Care Quality Standards. These support older people to live safely, independently, and with a sustained sense of meaning and connection in their own homes and communities.</w:t>
      </w:r>
    </w:p>
    <w:p w14:paraId="6B71545A" w14:textId="77777777" w:rsidR="002F13D2" w:rsidRPr="0090711C" w:rsidRDefault="002F13D2" w:rsidP="002F13D2">
      <w:pPr>
        <w:pStyle w:val="NormalText"/>
        <w:rPr>
          <w:b/>
          <w:bCs/>
        </w:rPr>
      </w:pPr>
      <w:r w:rsidRPr="0090711C">
        <w:rPr>
          <w:b/>
          <w:bCs/>
        </w:rPr>
        <w:t xml:space="preserve">Wellness </w:t>
      </w:r>
    </w:p>
    <w:p w14:paraId="75BDF49B" w14:textId="13B24C78" w:rsidR="002F13D2" w:rsidRPr="002F13D2" w:rsidRDefault="002F13D2" w:rsidP="002F13D2">
      <w:pPr>
        <w:pStyle w:val="NormalText"/>
      </w:pPr>
      <w:r w:rsidRPr="002F13D2">
        <w:t>Wellness is a philosophy that informs how providers should work with participants by building on their strengths, abilities and goals to promote greater independence and quality of life. A wellness approach avoids ‘doing for’ when ‘doing with’ can support a participant to undertake an activity with less assistance, acknowledging the abilities of the participant and building on their strengths and skills. A wellness approach also aims to empower participants to take charge of, and participate in, informed decision-making about the care and services they receive. It's about listening to what the participant wants to do, looking at what they can do, and focusing on regaining or retaining their level of function so that they can continue to manage their day-to-day life.</w:t>
      </w:r>
    </w:p>
    <w:p w14:paraId="5CFFFC90" w14:textId="77777777" w:rsidR="006D4B6C" w:rsidRDefault="006D4B6C" w:rsidP="002F13D2">
      <w:pPr>
        <w:pStyle w:val="NormalText"/>
        <w:rPr>
          <w:b/>
          <w:bCs/>
        </w:rPr>
      </w:pPr>
    </w:p>
    <w:p w14:paraId="13B4FCFC" w14:textId="77777777" w:rsidR="006D4B6C" w:rsidRDefault="006D4B6C" w:rsidP="002F13D2">
      <w:pPr>
        <w:pStyle w:val="NormalText"/>
        <w:rPr>
          <w:b/>
          <w:bCs/>
        </w:rPr>
      </w:pPr>
    </w:p>
    <w:p w14:paraId="660BF044" w14:textId="135DDE84" w:rsidR="002F13D2" w:rsidRPr="0090711C" w:rsidRDefault="002F13D2" w:rsidP="002F13D2">
      <w:pPr>
        <w:pStyle w:val="NormalText"/>
        <w:rPr>
          <w:b/>
          <w:bCs/>
        </w:rPr>
      </w:pPr>
      <w:r w:rsidRPr="0090711C">
        <w:rPr>
          <w:b/>
          <w:bCs/>
        </w:rPr>
        <w:t>Reablement</w:t>
      </w:r>
    </w:p>
    <w:p w14:paraId="61ACED62" w14:textId="2668E33D" w:rsidR="002F13D2" w:rsidRDefault="002F13D2" w:rsidP="002F13D2">
      <w:pPr>
        <w:pStyle w:val="NormalText"/>
      </w:pPr>
      <w:r>
        <w:t>Reablement offers time-limited interventions that focus on achieving a participant’s specific goal or desired outcome. It involves maintaining or regaining skills, improving functional capacity, improving confidence and enhancing capability so a participant can resume everyday activities. Reablement services apply a wellness approach and aim to get a client ‘back on their feet</w:t>
      </w:r>
      <w:r w:rsidR="00B23AB0">
        <w:t>,’</w:t>
      </w:r>
      <w:r>
        <w:t xml:space="preserve"> and able to resume previous activities either without needing ongoing service delivery or with a reduced need for services. Service providers should identify opportunities for reablement as part of their ongoing support of participants. </w:t>
      </w:r>
    </w:p>
    <w:p w14:paraId="421BA60A" w14:textId="58246779" w:rsidR="002F13D2" w:rsidRPr="00441859" w:rsidRDefault="002F13D2" w:rsidP="002F13D2">
      <w:pPr>
        <w:pStyle w:val="NormalText"/>
        <w:rPr>
          <w:rFonts w:eastAsiaTheme="minorEastAsia"/>
          <w:b/>
        </w:rPr>
      </w:pPr>
      <w:r w:rsidRPr="00441859">
        <w:rPr>
          <w:b/>
        </w:rPr>
        <w:t>Why wellness and reablement</w:t>
      </w:r>
      <w:r w:rsidRPr="00441859">
        <w:rPr>
          <w:rFonts w:eastAsiaTheme="minorEastAsia"/>
          <w:b/>
        </w:rPr>
        <w:t xml:space="preserve"> is important</w:t>
      </w:r>
    </w:p>
    <w:p w14:paraId="39BD9484" w14:textId="1FCE31B8" w:rsidR="002F13D2" w:rsidRDefault="002F13D2" w:rsidP="002F13D2">
      <w:pPr>
        <w:pStyle w:val="NormalText"/>
      </w:pPr>
      <w:r>
        <w:t xml:space="preserve">Emerging research has demonstrated the benefits of focussing on older people’s independence. Traditional models of service delivery that focus on what an older person can’t do rather than what they can, leads to an over-reliance on services by </w:t>
      </w:r>
      <w:r w:rsidR="00516348">
        <w:t>older people</w:t>
      </w:r>
      <w:r>
        <w:t>, which has been linked with accelerated functional decline.</w:t>
      </w:r>
    </w:p>
    <w:p w14:paraId="38F75F59" w14:textId="07A277BC" w:rsidR="002F13D2" w:rsidRPr="00441859" w:rsidRDefault="002F13D2" w:rsidP="002F13D2">
      <w:pPr>
        <w:pStyle w:val="NormalText"/>
        <w:rPr>
          <w:rFonts w:eastAsiaTheme="minorEastAsia"/>
          <w:b/>
        </w:rPr>
      </w:pPr>
      <w:r w:rsidRPr="00441859">
        <w:rPr>
          <w:rFonts w:eastAsiaTheme="minorEastAsia"/>
          <w:b/>
        </w:rPr>
        <w:t xml:space="preserve">Understanding the ageing journey – the </w:t>
      </w:r>
      <w:r w:rsidRPr="00441859">
        <w:rPr>
          <w:b/>
        </w:rPr>
        <w:t>life curve</w:t>
      </w:r>
    </w:p>
    <w:p w14:paraId="0511B98B" w14:textId="77777777" w:rsidR="002F13D2" w:rsidRDefault="002F13D2" w:rsidP="002F13D2">
      <w:pPr>
        <w:pStyle w:val="NormalText"/>
      </w:pPr>
      <w:r>
        <w:t>Research suggests the largest influencer in age-related decline is not genetics, but rather lifestyle choices. People who continue to do things for themselves tend to remain independent and live better, longer.</w:t>
      </w:r>
    </w:p>
    <w:p w14:paraId="1407C5AB" w14:textId="77777777" w:rsidR="002F13D2" w:rsidRDefault="002F13D2" w:rsidP="002F13D2">
      <w:pPr>
        <w:pStyle w:val="NormalText"/>
      </w:pPr>
      <w:r>
        <w:t>Professor Peter Gore of the Institute of Aging at Newcastle University in the United Kingdom has developed a framework to understand the age-related decline. The framework, called the LifeCurve</w:t>
      </w:r>
      <w:r w:rsidRPr="00807BC1">
        <w:rPr>
          <w:vertAlign w:val="superscript"/>
        </w:rPr>
        <w:t>TM</w:t>
      </w:r>
      <w:r>
        <w:t>, looks at the impact of maintaining independence on quality of life and the rate of age-related functional decline. It illustrates that the sooner someone stops performing certain tasks for themselves, the faster they tend to lose their functional ability. The aim is to assist people to perform these daily tasks independently for as long as possible, to maximise independence and autonomy. Retaining physical ability helps people to continue doing the things they enjoy for longer.</w:t>
      </w:r>
    </w:p>
    <w:p w14:paraId="18390BB3" w14:textId="70922854" w:rsidR="002F13D2" w:rsidRDefault="002F13D2" w:rsidP="002F13D2">
      <w:pPr>
        <w:pStyle w:val="NormalText"/>
      </w:pPr>
      <w:r>
        <w:t>The LifeCurve</w:t>
      </w:r>
      <w:r w:rsidR="00E63138" w:rsidRPr="00441C06">
        <w:rPr>
          <w:vertAlign w:val="superscript"/>
        </w:rPr>
        <w:t>TM</w:t>
      </w:r>
      <w:r>
        <w:t xml:space="preserve"> is shown at Figure </w:t>
      </w:r>
      <w:r w:rsidR="000F3407">
        <w:t>12</w:t>
      </w:r>
      <w:r>
        <w:t>. The vertical axis lists activities of daily living that older people generally lose over time, in the order in which they tend to be lost, from top to bottom, with the horizontal axis representing elapsed time. The timeframe for this decline is variable and can be influenced by behaviour and interventions. For example, difficulty cutting one’s toenails is typically seen as an early indicator that intervention may be needed. The graph shows two trajectories: a sub-optimal life curve with a fast early decline; and an optimal life curve in which the early decline is slowed down to give people more good days before losing the ability to undertake activities like walking, shopping and personal care.</w:t>
      </w:r>
    </w:p>
    <w:p w14:paraId="4003EDE2" w14:textId="7151AC4F" w:rsidR="0090711C" w:rsidRDefault="0090711C" w:rsidP="002F13D2">
      <w:pPr>
        <w:pStyle w:val="NormalText"/>
      </w:pPr>
      <w:r>
        <w:rPr>
          <w:noProof/>
        </w:rPr>
        <w:drawing>
          <wp:inline distT="0" distB="0" distL="0" distR="0" wp14:anchorId="654C37ED" wp14:editId="31F5B340">
            <wp:extent cx="5731510" cy="3600423"/>
            <wp:effectExtent l="0" t="0" r="2540" b="635"/>
            <wp:docPr id="9" name="Picture 9" descr="Figure 1 displays the Life Curve trademarked graph. The horizontal axis displays the elapsed time on the Life Curve. The vertical axis lists activities of daily living older people generally lose over time, in decreasing order they are cutting toenails, shopping, using steps, walk 400 yards, heavy housework, full wash, cook a hot meal, moving around, transfer from a chair, light housework, transfer from toilet, get dressed, transfer from bed, wash face and hands, eat independently. The graph shows two trajectories – a sub-optimal life curve with a fast early decline, and an optimal life curve in which the early decline is slowed down to give people more good days. Both trajectories start at cutting toenails and shows re-able starts at walk 400 yards activity, compensate starts at moving around activity, and care starts at transfer from bed activity. Further research is being done by ADL Research into the activities of hiking, brisk walking, get up from the floor, and walk a mile." title="Lif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displays the Life Curve trademarked graph. The horizontal axis displays the elapsed time on the Life Curve. The vertical axis lists activities of daily living older people generally lose over time, in decreasing order they are cutting toenails, shopping, using steps, walk 400 yards, heavy housework, full wash, cook a hot meal, moving around, transfer from a chair, light housework, transfer from toilet, get dressed, transfer from bed, wash face and hands, eat independently. The graph shows two trajectories – a sub-optimal life curve with a fast early decline, and an optimal life curve in which the early decline is slowed down to give people more good days. Both trajectories start at cutting toenails and shows re-able starts at walk 400 yards activity, compensate starts at moving around activity, and care starts at transfer from bed activity. Further research is being done by ADL Research into the activities of hiking, brisk walking, get up from the floor, and walk a mile."/>
                    <pic:cNvPicPr>
                      <a:picLocks noChangeAspect="1" noChangeArrowheads="1"/>
                    </pic:cNvPicPr>
                  </pic:nvPicPr>
                  <pic:blipFill>
                    <a:blip r:embed="rId372" r:link="rId373">
                      <a:extLst>
                        <a:ext uri="{28A0092B-C50C-407E-A947-70E740481C1C}">
                          <a14:useLocalDpi xmlns:a14="http://schemas.microsoft.com/office/drawing/2010/main" val="0"/>
                        </a:ext>
                      </a:extLst>
                    </a:blip>
                    <a:srcRect/>
                    <a:stretch>
                      <a:fillRect/>
                    </a:stretch>
                  </pic:blipFill>
                  <pic:spPr bwMode="auto">
                    <a:xfrm>
                      <a:off x="0" y="0"/>
                      <a:ext cx="5731510" cy="3600423"/>
                    </a:xfrm>
                    <a:prstGeom prst="rect">
                      <a:avLst/>
                    </a:prstGeom>
                    <a:noFill/>
                    <a:ln>
                      <a:noFill/>
                    </a:ln>
                  </pic:spPr>
                </pic:pic>
              </a:graphicData>
            </a:graphic>
          </wp:inline>
        </w:drawing>
      </w:r>
    </w:p>
    <w:p w14:paraId="64A0E9B6" w14:textId="765030C8" w:rsidR="00F547FD" w:rsidRPr="000F3407" w:rsidRDefault="00F547FD" w:rsidP="00E3017E">
      <w:pPr>
        <w:pStyle w:val="Caption"/>
        <w:rPr>
          <w:b w:val="0"/>
          <w:bCs/>
          <w:i/>
        </w:rPr>
      </w:pPr>
      <w:r w:rsidRPr="000F3407">
        <w:rPr>
          <w:b w:val="0"/>
          <w:bCs/>
          <w:i/>
          <w:iCs w:val="0"/>
        </w:rPr>
        <w:t xml:space="preserve">Figure </w:t>
      </w:r>
      <w:r w:rsidR="000F3407" w:rsidRPr="000F3407">
        <w:rPr>
          <w:b w:val="0"/>
          <w:bCs/>
          <w:i/>
          <w:iCs w:val="0"/>
        </w:rPr>
        <w:t>12</w:t>
      </w:r>
      <w:r w:rsidRPr="000F3407">
        <w:rPr>
          <w:b w:val="0"/>
          <w:bCs/>
          <w:i/>
          <w:iCs w:val="0"/>
        </w:rPr>
        <w:t xml:space="preserve"> – LifeCurve</w:t>
      </w:r>
      <w:r w:rsidR="00BE1F14" w:rsidRPr="00807BC1">
        <w:rPr>
          <w:i/>
          <w:vertAlign w:val="superscript"/>
        </w:rPr>
        <w:t>TM</w:t>
      </w:r>
      <w:r w:rsidRPr="000F3407">
        <w:rPr>
          <w:b w:val="0"/>
          <w:bCs/>
          <w:i/>
          <w:iCs w:val="0"/>
        </w:rPr>
        <w:t xml:space="preserve"> </w:t>
      </w:r>
    </w:p>
    <w:p w14:paraId="7C270192" w14:textId="72F9D1B7" w:rsidR="0090711C" w:rsidRDefault="0090711C" w:rsidP="0090711C">
      <w:pPr>
        <w:pStyle w:val="NormalText"/>
      </w:pPr>
      <w:r>
        <w:t xml:space="preserve">The LiveUp website enables Australians over 65 years of age to check their health and find personalised suggestions for products and services that promote healthy ageing. LiveUp can suggest low-cost assistive products and equipment to help people with everyday living, as well as personalised exercises and services, to help them or a loved one with age-related wellbeing. </w:t>
      </w:r>
    </w:p>
    <w:p w14:paraId="05D34E8A" w14:textId="33B4F232" w:rsidR="0090711C" w:rsidRDefault="0090711C" w:rsidP="0090711C">
      <w:pPr>
        <w:pStyle w:val="NormalText"/>
      </w:pPr>
      <w:r>
        <w:t>At the LiveUp website anyone can download the free LifeCurve</w:t>
      </w:r>
      <w:r w:rsidR="00BE1F14" w:rsidRPr="00441C06">
        <w:rPr>
          <w:vertAlign w:val="superscript"/>
        </w:rPr>
        <w:t>TM</w:t>
      </w:r>
      <w:r>
        <w:t xml:space="preserve"> that can track a person’s health, giving them easy to understand long term advice tailored to their needs. To learn more about LiveUp, go to www.liveup.org.au or call 1800 951 971.</w:t>
      </w:r>
    </w:p>
    <w:p w14:paraId="03280F3E" w14:textId="77777777" w:rsidR="0090711C" w:rsidRPr="00807BC1" w:rsidRDefault="0090711C" w:rsidP="0090711C">
      <w:pPr>
        <w:pStyle w:val="NormalText"/>
        <w:rPr>
          <w:rFonts w:eastAsiaTheme="minorEastAsia"/>
          <w:b/>
        </w:rPr>
      </w:pPr>
      <w:r w:rsidRPr="00807BC1">
        <w:rPr>
          <w:rFonts w:eastAsiaTheme="minorEastAsia"/>
          <w:b/>
        </w:rPr>
        <w:t>Benefits of a wellness and reablement approach</w:t>
      </w:r>
    </w:p>
    <w:p w14:paraId="6DD7626C" w14:textId="77777777" w:rsidR="0090711C" w:rsidRDefault="0090711C" w:rsidP="0090711C">
      <w:pPr>
        <w:pStyle w:val="NormalText"/>
        <w:rPr>
          <w:color w:val="000000"/>
        </w:rPr>
      </w:pPr>
      <w:r>
        <w:t xml:space="preserve">Older </w:t>
      </w:r>
      <w:r>
        <w:rPr>
          <w:color w:val="000000"/>
        </w:rPr>
        <w:t>people</w:t>
      </w:r>
      <w:r w:rsidRPr="00550F2B">
        <w:rPr>
          <w:color w:val="000000"/>
        </w:rPr>
        <w:t xml:space="preserve"> are not the only ones who benefit from wellness and reablement. Evidence suggests there are also significant benefits to </w:t>
      </w:r>
      <w:r>
        <w:rPr>
          <w:color w:val="000000"/>
        </w:rPr>
        <w:t xml:space="preserve">assessment organisations, </w:t>
      </w:r>
      <w:r w:rsidRPr="00550F2B">
        <w:rPr>
          <w:color w:val="000000"/>
        </w:rPr>
        <w:t>service provider</w:t>
      </w:r>
      <w:r>
        <w:rPr>
          <w:color w:val="000000"/>
        </w:rPr>
        <w:t>s</w:t>
      </w:r>
      <w:r w:rsidRPr="00550F2B">
        <w:rPr>
          <w:color w:val="000000"/>
        </w:rPr>
        <w:t>, families and carers</w:t>
      </w:r>
      <w:r>
        <w:rPr>
          <w:color w:val="000000"/>
        </w:rPr>
        <w:t>,</w:t>
      </w:r>
      <w:r w:rsidRPr="00550F2B">
        <w:rPr>
          <w:color w:val="000000"/>
        </w:rPr>
        <w:t xml:space="preserve"> and the broader community.</w:t>
      </w:r>
    </w:p>
    <w:p w14:paraId="56F96CD6" w14:textId="77777777" w:rsidR="0090711C" w:rsidRPr="00807BC1" w:rsidRDefault="0090711C" w:rsidP="0090711C">
      <w:pPr>
        <w:pStyle w:val="NormalText"/>
        <w:rPr>
          <w:b/>
        </w:rPr>
      </w:pPr>
      <w:r w:rsidRPr="00807BC1">
        <w:rPr>
          <w:b/>
        </w:rPr>
        <w:t>Benefits for older people</w:t>
      </w:r>
    </w:p>
    <w:p w14:paraId="3FF5C4E1" w14:textId="005DFAE8" w:rsidR="0090711C" w:rsidRDefault="0090711C" w:rsidP="0090711C">
      <w:pPr>
        <w:pStyle w:val="NormalText"/>
      </w:pPr>
      <w:r>
        <w:rPr>
          <w:rFonts w:eastAsiaTheme="majorEastAsia"/>
        </w:rPr>
        <w:t xml:space="preserve">Implementing a wellness and reablement approach at the earliest opportunity (with a focus on older person goals to maintain or regain functional capacity and social connectedness) can have significant long-term benefits for </w:t>
      </w:r>
      <w:r w:rsidR="00516348">
        <w:rPr>
          <w:rFonts w:eastAsiaTheme="majorEastAsia"/>
        </w:rPr>
        <w:t>older people</w:t>
      </w:r>
      <w:r>
        <w:rPr>
          <w:rFonts w:eastAsiaTheme="majorEastAsia"/>
        </w:rPr>
        <w:t xml:space="preserve"> including:</w:t>
      </w:r>
    </w:p>
    <w:p w14:paraId="528EB2FF" w14:textId="47CAB64F" w:rsidR="001308AC" w:rsidRPr="0004541C" w:rsidRDefault="00516348" w:rsidP="00DF3F6B">
      <w:pPr>
        <w:pStyle w:val="ListParagraph"/>
        <w:numPr>
          <w:ilvl w:val="0"/>
          <w:numId w:val="433"/>
        </w:numPr>
        <w:spacing w:after="120" w:line="300" w:lineRule="exact"/>
      </w:pPr>
      <w:r>
        <w:t>older people</w:t>
      </w:r>
      <w:r w:rsidR="001308AC" w:rsidRPr="0004541C">
        <w:t xml:space="preserve"> appreciate being asked what is important to them, and to be included in decision-making</w:t>
      </w:r>
    </w:p>
    <w:p w14:paraId="4775B083" w14:textId="77777777" w:rsidR="001308AC" w:rsidRPr="0004541C" w:rsidRDefault="001308AC" w:rsidP="00DF3F6B">
      <w:pPr>
        <w:pStyle w:val="ListParagraph"/>
        <w:numPr>
          <w:ilvl w:val="0"/>
          <w:numId w:val="433"/>
        </w:numPr>
        <w:spacing w:after="240" w:line="300" w:lineRule="exact"/>
      </w:pPr>
      <w:r w:rsidRPr="0004541C">
        <w:t>improved sense of purpose, autonomy and self-worth  </w:t>
      </w:r>
    </w:p>
    <w:p w14:paraId="09015D32" w14:textId="77777777" w:rsidR="001308AC" w:rsidRPr="0004541C" w:rsidRDefault="001308AC" w:rsidP="00DF3F6B">
      <w:pPr>
        <w:pStyle w:val="ListParagraph"/>
        <w:numPr>
          <w:ilvl w:val="0"/>
          <w:numId w:val="433"/>
        </w:numPr>
        <w:spacing w:after="240" w:line="300" w:lineRule="exact"/>
      </w:pPr>
      <w:r w:rsidRPr="0004541C">
        <w:t>improved physical and emotional health and wellbeing  </w:t>
      </w:r>
    </w:p>
    <w:p w14:paraId="14610535" w14:textId="77777777" w:rsidR="001308AC" w:rsidRPr="0004541C" w:rsidRDefault="001308AC" w:rsidP="00DF3F6B">
      <w:pPr>
        <w:pStyle w:val="ListParagraph"/>
        <w:numPr>
          <w:ilvl w:val="0"/>
          <w:numId w:val="433"/>
        </w:numPr>
        <w:spacing w:after="240" w:line="300" w:lineRule="exact"/>
      </w:pPr>
      <w:r w:rsidRPr="0004541C">
        <w:t>reduction in service delivery needs  </w:t>
      </w:r>
    </w:p>
    <w:p w14:paraId="69118503" w14:textId="77777777" w:rsidR="001308AC" w:rsidRPr="0004541C" w:rsidRDefault="001308AC" w:rsidP="006D4B6C">
      <w:pPr>
        <w:pStyle w:val="ListParagraph"/>
        <w:numPr>
          <w:ilvl w:val="0"/>
          <w:numId w:val="433"/>
        </w:numPr>
        <w:spacing w:after="240" w:line="300" w:lineRule="exact"/>
        <w:ind w:left="567" w:hanging="283"/>
      </w:pPr>
      <w:r w:rsidRPr="0004541C">
        <w:t>increased ability to remain living independently and safely in their own homes for longer </w:t>
      </w:r>
    </w:p>
    <w:p w14:paraId="6028BE39" w14:textId="77777777" w:rsidR="001308AC" w:rsidRPr="0004541C" w:rsidRDefault="001308AC" w:rsidP="00DF3F6B">
      <w:pPr>
        <w:pStyle w:val="ListParagraph"/>
        <w:numPr>
          <w:ilvl w:val="0"/>
          <w:numId w:val="395"/>
        </w:numPr>
        <w:spacing w:after="240" w:line="300" w:lineRule="exact"/>
        <w:ind w:left="567" w:hanging="283"/>
      </w:pPr>
      <w:r w:rsidRPr="0004541C">
        <w:t>greater quality of life and retention of pride and dignity </w:t>
      </w:r>
    </w:p>
    <w:p w14:paraId="16166D65" w14:textId="77777777" w:rsidR="001308AC" w:rsidRPr="0004541C" w:rsidRDefault="001308AC" w:rsidP="00DF3F6B">
      <w:pPr>
        <w:pStyle w:val="ListParagraph"/>
        <w:numPr>
          <w:ilvl w:val="0"/>
          <w:numId w:val="395"/>
        </w:numPr>
        <w:spacing w:after="240" w:line="300" w:lineRule="exact"/>
        <w:ind w:left="567" w:hanging="283"/>
      </w:pPr>
      <w:r w:rsidRPr="0004541C">
        <w:t xml:space="preserve">improved connection with community; and </w:t>
      </w:r>
    </w:p>
    <w:p w14:paraId="756F899D" w14:textId="77777777" w:rsidR="001308AC" w:rsidRPr="0004541C" w:rsidRDefault="001308AC" w:rsidP="00DF3F6B">
      <w:pPr>
        <w:pStyle w:val="ListParagraph"/>
        <w:numPr>
          <w:ilvl w:val="0"/>
          <w:numId w:val="395"/>
        </w:numPr>
        <w:spacing w:after="240" w:line="300" w:lineRule="exact"/>
        <w:ind w:left="567" w:hanging="283"/>
      </w:pPr>
      <w:r w:rsidRPr="0004541C">
        <w:t>reduced strain on family and carer relationships.</w:t>
      </w:r>
    </w:p>
    <w:p w14:paraId="52FF48A4" w14:textId="77777777" w:rsidR="001308AC" w:rsidRPr="00E2676C" w:rsidRDefault="001308AC" w:rsidP="001308AC">
      <w:pPr>
        <w:rPr>
          <w:rFonts w:ascii="Arial Bold" w:eastAsiaTheme="minorEastAsia" w:hAnsi="Arial Bold" w:cstheme="minorBidi" w:hint="eastAsia"/>
          <w:b/>
          <w:lang w:eastAsia="en-GB"/>
        </w:rPr>
      </w:pPr>
      <w:bookmarkStart w:id="1144" w:name="_Toc43713953"/>
      <w:r w:rsidRPr="00E2676C">
        <w:rPr>
          <w:rFonts w:ascii="Arial Bold" w:eastAsiaTheme="minorEastAsia" w:hAnsi="Arial Bold" w:cstheme="minorBidi"/>
          <w:b/>
          <w:lang w:eastAsia="en-GB"/>
        </w:rPr>
        <w:t xml:space="preserve">Benefits for </w:t>
      </w:r>
      <w:r>
        <w:rPr>
          <w:rFonts w:ascii="Arial Bold" w:eastAsiaTheme="minorEastAsia" w:hAnsi="Arial Bold" w:cstheme="minorBidi"/>
          <w:b/>
          <w:lang w:eastAsia="en-GB"/>
        </w:rPr>
        <w:t>aged care</w:t>
      </w:r>
      <w:r w:rsidRPr="00E2676C">
        <w:rPr>
          <w:rFonts w:ascii="Arial Bold" w:eastAsiaTheme="minorEastAsia" w:hAnsi="Arial Bold" w:cstheme="minorBidi"/>
          <w:b/>
          <w:lang w:eastAsia="en-GB"/>
        </w:rPr>
        <w:t xml:space="preserve"> assessment organisations</w:t>
      </w:r>
      <w:bookmarkEnd w:id="1144"/>
      <w:r w:rsidRPr="00E2676C">
        <w:rPr>
          <w:rFonts w:ascii="Arial Bold" w:eastAsiaTheme="minorEastAsia" w:hAnsi="Arial Bold" w:cstheme="minorBidi"/>
          <w:b/>
          <w:lang w:eastAsia="en-GB"/>
        </w:rPr>
        <w:t> </w:t>
      </w:r>
    </w:p>
    <w:p w14:paraId="2692981E" w14:textId="056F6866" w:rsidR="001308AC" w:rsidRPr="00035ACE" w:rsidRDefault="001308AC" w:rsidP="001308AC">
      <w:pPr>
        <w:pStyle w:val="paragraph"/>
        <w:spacing w:beforeLines="60" w:before="144" w:beforeAutospacing="0" w:afterLines="60" w:after="144" w:afterAutospacing="0" w:line="300" w:lineRule="exact"/>
        <w:textAlignment w:val="baseline"/>
      </w:pPr>
      <w:r w:rsidRPr="00035ACE">
        <w:t xml:space="preserve">Reablement focused assessment has flow on benefits for </w:t>
      </w:r>
      <w:r>
        <w:t>aged care</w:t>
      </w:r>
      <w:r w:rsidRPr="00035ACE">
        <w:t xml:space="preserve"> organisations as they can better utilise support workers to focus on more complicated tasks that their </w:t>
      </w:r>
      <w:r w:rsidR="00516348">
        <w:t>older people</w:t>
      </w:r>
      <w:r w:rsidRPr="00035ACE">
        <w:t xml:space="preserve"> can’t perform for themselves, resulting in more meaningful and fulfilling work. Importantly, it enables providers to broaden their </w:t>
      </w:r>
      <w:r>
        <w:t>older person</w:t>
      </w:r>
      <w:r w:rsidRPr="00035ACE">
        <w:t xml:space="preserve"> base by offering more short-term support by freeing up longer term service provision. All of which better aligns to aged care reform initiatives and improving the ability to assessment and provider organisations to respond to changes in aged care policy.</w:t>
      </w:r>
    </w:p>
    <w:p w14:paraId="60E276E3" w14:textId="3D4B720C" w:rsidR="001308AC" w:rsidRPr="003E6C8D" w:rsidRDefault="001308AC" w:rsidP="001308AC">
      <w:pPr>
        <w:pStyle w:val="paragraph"/>
        <w:spacing w:beforeLines="60" w:before="144" w:beforeAutospacing="0" w:afterLines="60" w:after="144" w:afterAutospacing="0" w:line="300" w:lineRule="exact"/>
        <w:textAlignment w:val="baseline"/>
        <w:rPr>
          <w:rStyle w:val="normaltextrun"/>
          <w:rFonts w:eastAsiaTheme="majorEastAsia"/>
        </w:rPr>
      </w:pPr>
      <w:r w:rsidRPr="003E6C8D">
        <w:rPr>
          <w:rStyle w:val="normaltextrun"/>
          <w:rFonts w:eastAsiaTheme="majorEastAsia"/>
        </w:rPr>
        <w:t xml:space="preserve">Implementing wellness and reablement provides significant benefits for assessors and their </w:t>
      </w:r>
      <w:r w:rsidR="00516348">
        <w:rPr>
          <w:rStyle w:val="normaltextrun"/>
          <w:rFonts w:eastAsiaTheme="majorEastAsia"/>
        </w:rPr>
        <w:t>older people</w:t>
      </w:r>
      <w:r w:rsidRPr="003E6C8D">
        <w:rPr>
          <w:rStyle w:val="normaltextrun"/>
          <w:rFonts w:eastAsiaTheme="majorEastAsia"/>
        </w:rPr>
        <w:t xml:space="preserve"> including:</w:t>
      </w:r>
    </w:p>
    <w:p w14:paraId="6AF7C0F2" w14:textId="39ADF412" w:rsidR="001308AC" w:rsidRPr="003E6C8D" w:rsidRDefault="001308AC" w:rsidP="00DF3F6B">
      <w:pPr>
        <w:pStyle w:val="ListParagraph"/>
        <w:numPr>
          <w:ilvl w:val="0"/>
          <w:numId w:val="394"/>
        </w:numPr>
        <w:spacing w:line="300" w:lineRule="exact"/>
      </w:pPr>
      <w:r w:rsidRPr="00B25D2B">
        <w:t xml:space="preserve">reablement focussed (active) assessment better demonstrates need. This benefit extends to </w:t>
      </w:r>
      <w:r w:rsidR="00516348">
        <w:t>older people</w:t>
      </w:r>
      <w:r w:rsidRPr="00B25D2B">
        <w:t xml:space="preserve"> with poor reablement prospects, as active assessment better identifies if ongoing services are needed, or if short-term reablement support will help the older person get back to previous levels of independence</w:t>
      </w:r>
    </w:p>
    <w:p w14:paraId="3DB205FD" w14:textId="77777777" w:rsidR="001308AC" w:rsidRPr="003E6C8D" w:rsidRDefault="001308AC" w:rsidP="00DF3F6B">
      <w:pPr>
        <w:pStyle w:val="ListParagraph"/>
        <w:numPr>
          <w:ilvl w:val="0"/>
          <w:numId w:val="394"/>
        </w:numPr>
        <w:spacing w:line="300" w:lineRule="exact"/>
      </w:pPr>
      <w:r w:rsidRPr="00B25D2B">
        <w:t>reablement focussed assessment provides a more holistic approach to assessment</w:t>
      </w:r>
    </w:p>
    <w:p w14:paraId="719CA156" w14:textId="0B59B513" w:rsidR="001308AC" w:rsidRPr="003E6C8D" w:rsidRDefault="001308AC" w:rsidP="00DF3F6B">
      <w:pPr>
        <w:pStyle w:val="ListParagraph"/>
        <w:numPr>
          <w:ilvl w:val="0"/>
          <w:numId w:val="394"/>
        </w:numPr>
        <w:spacing w:line="300" w:lineRule="exact"/>
      </w:pPr>
      <w:r w:rsidRPr="00B25D2B">
        <w:t xml:space="preserve">greater job satisfaction by actively helping </w:t>
      </w:r>
      <w:r w:rsidR="00516348">
        <w:t>older people</w:t>
      </w:r>
      <w:r w:rsidRPr="00B25D2B">
        <w:t xml:space="preserve"> to identify goals and become more independent; and</w:t>
      </w:r>
    </w:p>
    <w:p w14:paraId="20E645B3" w14:textId="77777777" w:rsidR="001308AC" w:rsidRPr="003E6C8D" w:rsidRDefault="001308AC" w:rsidP="00DF3F6B">
      <w:pPr>
        <w:pStyle w:val="ListParagraph"/>
        <w:numPr>
          <w:ilvl w:val="0"/>
          <w:numId w:val="394"/>
        </w:numPr>
        <w:spacing w:line="300" w:lineRule="exact"/>
      </w:pPr>
      <w:r w:rsidRPr="24A129B5">
        <w:t>improved business reputation based on providing person-centred, holistic assessments that focus on individual older person goals, needs and preferences.</w:t>
      </w:r>
    </w:p>
    <w:p w14:paraId="3D0C9568" w14:textId="77777777" w:rsidR="001308AC" w:rsidRPr="00E2676C" w:rsidRDefault="001308AC" w:rsidP="001308AC">
      <w:pPr>
        <w:rPr>
          <w:rFonts w:ascii="Arial Bold" w:eastAsiaTheme="minorEastAsia" w:hAnsi="Arial Bold" w:cstheme="minorBidi" w:hint="eastAsia"/>
          <w:b/>
          <w:lang w:eastAsia="en-GB"/>
        </w:rPr>
      </w:pPr>
      <w:bookmarkStart w:id="1145" w:name="_Toc43713954"/>
      <w:r w:rsidRPr="00E2676C">
        <w:rPr>
          <w:rFonts w:ascii="Arial Bold" w:eastAsiaTheme="minorEastAsia" w:hAnsi="Arial Bold" w:cstheme="minorBidi"/>
          <w:b/>
          <w:lang w:eastAsia="en-GB"/>
        </w:rPr>
        <w:t>Benefits for families and carers</w:t>
      </w:r>
      <w:bookmarkEnd w:id="1145"/>
      <w:r w:rsidRPr="00E2676C">
        <w:rPr>
          <w:rFonts w:ascii="Arial Bold" w:eastAsiaTheme="minorEastAsia" w:hAnsi="Arial Bold" w:cstheme="minorBidi"/>
          <w:b/>
          <w:lang w:eastAsia="en-GB"/>
        </w:rPr>
        <w:t> </w:t>
      </w:r>
    </w:p>
    <w:p w14:paraId="26CC8528" w14:textId="77777777" w:rsidR="001308AC" w:rsidRPr="003E6C8D" w:rsidRDefault="001308AC" w:rsidP="001308AC">
      <w:pPr>
        <w:pStyle w:val="paragraph"/>
        <w:spacing w:beforeLines="60" w:before="144" w:beforeAutospacing="0" w:afterLines="60" w:after="144" w:afterAutospacing="0" w:line="300" w:lineRule="exact"/>
        <w:textAlignment w:val="baseline"/>
      </w:pPr>
      <w:r w:rsidRPr="003E6C8D">
        <w:rPr>
          <w:rStyle w:val="normaltextrun"/>
          <w:rFonts w:eastAsiaTheme="majorEastAsia"/>
        </w:rPr>
        <w:t>Wellness and reablement approaches can have significant benefits for family members and carers, including:</w:t>
      </w:r>
      <w:r w:rsidRPr="003E6C8D">
        <w:rPr>
          <w:rStyle w:val="eop"/>
          <w:rFonts w:eastAsiaTheme="majorEastAsia"/>
        </w:rPr>
        <w:t> </w:t>
      </w:r>
    </w:p>
    <w:p w14:paraId="0F1D2939" w14:textId="77777777" w:rsidR="001308AC" w:rsidRPr="00622864" w:rsidRDefault="001308AC" w:rsidP="00DF3F6B">
      <w:pPr>
        <w:pStyle w:val="ListParagraph"/>
        <w:numPr>
          <w:ilvl w:val="0"/>
          <w:numId w:val="394"/>
        </w:numPr>
        <w:spacing w:before="120" w:after="120" w:line="276" w:lineRule="auto"/>
      </w:pPr>
      <w:r w:rsidRPr="00622864">
        <w:t>opportunities</w:t>
      </w:r>
      <w:r w:rsidRPr="00622864" w:rsidDel="00DA598B">
        <w:t xml:space="preserve"> to be inv</w:t>
      </w:r>
      <w:r w:rsidRPr="00622864" w:rsidDel="000F28D5">
        <w:t xml:space="preserve">olved in </w:t>
      </w:r>
      <w:r w:rsidRPr="00622864">
        <w:t>supporting their loved one to meet their goals</w:t>
      </w:r>
    </w:p>
    <w:p w14:paraId="6CC33371" w14:textId="77777777" w:rsidR="001308AC" w:rsidRPr="00622864" w:rsidRDefault="001308AC" w:rsidP="00DF3F6B">
      <w:pPr>
        <w:pStyle w:val="ListParagraph"/>
        <w:numPr>
          <w:ilvl w:val="0"/>
          <w:numId w:val="394"/>
        </w:numPr>
        <w:spacing w:before="120" w:after="120" w:line="276" w:lineRule="auto"/>
      </w:pPr>
      <w:r w:rsidRPr="00622864">
        <w:t>peace of mind in knowing their loved one is retaining or</w:t>
      </w:r>
      <w:r w:rsidRPr="00622864" w:rsidDel="00E37A3A">
        <w:t xml:space="preserve"> </w:t>
      </w:r>
      <w:r w:rsidRPr="00622864">
        <w:t>regaining their independence, improving their wellbeing and quality of life</w:t>
      </w:r>
    </w:p>
    <w:p w14:paraId="179957AF" w14:textId="77777777" w:rsidR="001308AC" w:rsidRPr="00622864" w:rsidRDefault="001308AC" w:rsidP="00DF3F6B">
      <w:pPr>
        <w:pStyle w:val="ListParagraph"/>
        <w:numPr>
          <w:ilvl w:val="0"/>
          <w:numId w:val="394"/>
        </w:numPr>
        <w:spacing w:before="120" w:after="120" w:line="276" w:lineRule="auto"/>
      </w:pPr>
      <w:r w:rsidRPr="00622864">
        <w:t>reduced worry and concern over their loved ones along with reduced strain and pressure due to a decrease in caring requirements.</w:t>
      </w:r>
    </w:p>
    <w:p w14:paraId="393ADCA9" w14:textId="77777777" w:rsidR="0090711C" w:rsidRDefault="0090711C" w:rsidP="00370263">
      <w:pPr>
        <w:rPr>
          <w:rFonts w:ascii="Arial Bold" w:eastAsiaTheme="minorEastAsia" w:hAnsi="Arial Bold" w:cstheme="minorBidi" w:hint="eastAsia"/>
          <w:b/>
          <w:lang w:eastAsia="en-GB"/>
        </w:rPr>
      </w:pPr>
    </w:p>
    <w:p w14:paraId="23011BC9" w14:textId="77777777" w:rsidR="0090711C" w:rsidRDefault="0090711C" w:rsidP="00370263">
      <w:pPr>
        <w:rPr>
          <w:rFonts w:ascii="Arial Bold" w:eastAsiaTheme="minorEastAsia" w:hAnsi="Arial Bold" w:cstheme="minorBidi" w:hint="eastAsia"/>
          <w:b/>
          <w:lang w:eastAsia="en-GB"/>
        </w:rPr>
      </w:pPr>
    </w:p>
    <w:p w14:paraId="3CCDF6AA" w14:textId="77777777" w:rsidR="0090711C" w:rsidRDefault="0090711C" w:rsidP="00370263">
      <w:pPr>
        <w:rPr>
          <w:rFonts w:ascii="Arial Bold" w:eastAsiaTheme="minorEastAsia" w:hAnsi="Arial Bold" w:cstheme="minorBidi" w:hint="eastAsia"/>
          <w:b/>
          <w:lang w:eastAsia="en-GB"/>
        </w:rPr>
      </w:pPr>
    </w:p>
    <w:p w14:paraId="2DD3A8B5" w14:textId="77777777" w:rsidR="0090711C" w:rsidRDefault="0090711C" w:rsidP="00370263">
      <w:pPr>
        <w:rPr>
          <w:rFonts w:ascii="Arial Bold" w:eastAsiaTheme="minorEastAsia" w:hAnsi="Arial Bold" w:cstheme="minorBidi" w:hint="eastAsia"/>
          <w:b/>
          <w:lang w:eastAsia="en-GB"/>
        </w:rPr>
      </w:pPr>
    </w:p>
    <w:p w14:paraId="14A71586" w14:textId="77777777" w:rsidR="0090711C" w:rsidRDefault="0090711C" w:rsidP="00370263">
      <w:pPr>
        <w:rPr>
          <w:rFonts w:ascii="Arial Bold" w:eastAsiaTheme="minorEastAsia" w:hAnsi="Arial Bold" w:cstheme="minorBidi" w:hint="eastAsia"/>
          <w:b/>
          <w:lang w:eastAsia="en-GB"/>
        </w:rPr>
      </w:pPr>
    </w:p>
    <w:p w14:paraId="148268CA" w14:textId="77777777" w:rsidR="0090711C" w:rsidRDefault="0090711C" w:rsidP="00370263">
      <w:pPr>
        <w:rPr>
          <w:rFonts w:ascii="Arial Bold" w:eastAsiaTheme="minorEastAsia" w:hAnsi="Arial Bold" w:cstheme="minorBidi" w:hint="eastAsia"/>
          <w:b/>
          <w:lang w:eastAsia="en-GB"/>
        </w:rPr>
      </w:pPr>
    </w:p>
    <w:p w14:paraId="603D0071" w14:textId="77777777" w:rsidR="0090711C" w:rsidRDefault="0090711C" w:rsidP="00370263">
      <w:pPr>
        <w:rPr>
          <w:rFonts w:ascii="Arial Bold" w:eastAsiaTheme="minorEastAsia" w:hAnsi="Arial Bold" w:cstheme="minorBidi" w:hint="eastAsia"/>
          <w:b/>
          <w:lang w:eastAsia="en-GB"/>
        </w:rPr>
      </w:pPr>
    </w:p>
    <w:p w14:paraId="70C5A21F" w14:textId="77777777" w:rsidR="00370263" w:rsidRPr="00E2676C" w:rsidRDefault="00370263" w:rsidP="00370263">
      <w:pPr>
        <w:rPr>
          <w:rFonts w:ascii="Arial Bold" w:eastAsiaTheme="minorEastAsia" w:hAnsi="Arial Bold" w:cstheme="minorBidi" w:hint="eastAsia"/>
          <w:b/>
          <w:lang w:eastAsia="en-GB"/>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scenarios — Applying a wellness and reablement approach</w:t>
      </w:r>
    </w:p>
    <w:p w14:paraId="68E97F63" w14:textId="77777777" w:rsidR="00370263" w:rsidRPr="00C755DA" w:rsidRDefault="00370263" w:rsidP="00370263">
      <w:pPr>
        <w:pStyle w:val="Boxwithcolouredkeyline"/>
        <w:rPr>
          <w:b/>
          <w:bCs/>
          <w:szCs w:val="22"/>
        </w:rPr>
      </w:pPr>
      <w:bookmarkStart w:id="1146" w:name="_Toc43713955"/>
      <w:r w:rsidRPr="007D1404">
        <w:rPr>
          <w:b/>
          <w:bCs/>
          <w:szCs w:val="22"/>
        </w:rPr>
        <w:t>HARRY</w:t>
      </w:r>
      <w:r w:rsidRPr="007D1404">
        <w:rPr>
          <w:szCs w:val="22"/>
        </w:rPr>
        <w:t xml:space="preserve"> is a 70-year-old man who lives alone. After contacting My Aged Care, a face-to-face </w:t>
      </w:r>
      <w:r>
        <w:rPr>
          <w:szCs w:val="22"/>
        </w:rPr>
        <w:t>home support</w:t>
      </w:r>
      <w:r w:rsidRPr="007D1404">
        <w:rPr>
          <w:szCs w:val="22"/>
        </w:rPr>
        <w:t xml:space="preserve"> assessment was undertaken which identified Harry needed some assistance with clothes-washing and meals. The assessor applied a wellness and reablement approach in the assessment, asking Harry to show how he performed tasks around the home, observing what he could do for himself and asking him what goals he wanted to achieve.</w:t>
      </w:r>
    </w:p>
    <w:p w14:paraId="60C8EA2E" w14:textId="77777777" w:rsidR="00370263" w:rsidRPr="007D1404" w:rsidRDefault="00370263" w:rsidP="00370263">
      <w:pPr>
        <w:pStyle w:val="Boxwithcolouredkeyline"/>
        <w:rPr>
          <w:szCs w:val="22"/>
        </w:rPr>
      </w:pPr>
      <w:r w:rsidRPr="007D1404">
        <w:rPr>
          <w:szCs w:val="22"/>
        </w:rPr>
        <w:t>At first, Harry didn’t know what to say. He thought he was too old to set new goals, but indicated he was open to doing the cooking. Harry said he</w:t>
      </w:r>
      <w:r>
        <w:rPr>
          <w:szCs w:val="22"/>
        </w:rPr>
        <w:t xml:space="preserve"> </w:t>
      </w:r>
      <w:r w:rsidRPr="007D1404">
        <w:rPr>
          <w:szCs w:val="22"/>
        </w:rPr>
        <w:t xml:space="preserve">lacked confidence and skills as his wife, who recently passed away, had always done most of the cooking. With this information, the assessor referred Harry for support with planning his grocery shopping and meal preparation. With this support, Harry could work out what he wanted to cook, plan his shopping to obtain the necessary ingredients, and then helped his support worker prepare the meals while receiving basic cooking instructions.  </w:t>
      </w:r>
    </w:p>
    <w:p w14:paraId="16CCD229" w14:textId="77777777" w:rsidR="00370263" w:rsidRPr="007D1404" w:rsidRDefault="00370263" w:rsidP="00370263">
      <w:pPr>
        <w:pStyle w:val="Boxwithcolouredkeyline"/>
        <w:rPr>
          <w:szCs w:val="22"/>
        </w:rPr>
      </w:pPr>
      <w:r w:rsidRPr="007D1404">
        <w:rPr>
          <w:szCs w:val="22"/>
        </w:rPr>
        <w:t>Learning these skills built Harry’s confidence to manage his shopping and cook his own meals, increasing his independence and quality of life.</w:t>
      </w:r>
    </w:p>
    <w:p w14:paraId="4AA73481" w14:textId="77777777" w:rsidR="00370263" w:rsidRPr="007D1404" w:rsidRDefault="00370263" w:rsidP="00370263">
      <w:pPr>
        <w:pStyle w:val="Boxwithcolouredkeyline"/>
        <w:rPr>
          <w:szCs w:val="22"/>
        </w:rPr>
      </w:pPr>
      <w:r w:rsidRPr="007D1404">
        <w:rPr>
          <w:szCs w:val="22"/>
        </w:rPr>
        <w:t>During the assessment, the assessor also encouraged Harry by helping him identify task simplification strategies to do the laundry with some support. Instead of referring for domestic assistance three times a week, the assessor advised Harry to wash and hang his clothes using a trolley and an easy-to-reach drying rack inside, instead referring him for once-a-week support to help him hang out heavier washing, like sheets and towels.</w:t>
      </w:r>
    </w:p>
    <w:p w14:paraId="0B9608E4" w14:textId="77777777" w:rsidR="00370263" w:rsidRPr="00286431" w:rsidRDefault="00370263" w:rsidP="00370263">
      <w:pPr>
        <w:spacing w:after="0" w:line="300" w:lineRule="exact"/>
        <w:rPr>
          <w:b/>
          <w:color w:val="279989"/>
          <w:sz w:val="8"/>
          <w:szCs w:val="8"/>
        </w:rPr>
      </w:pPr>
    </w:p>
    <w:p w14:paraId="15DFC602" w14:textId="77777777" w:rsidR="00370263" w:rsidRPr="00C755DA" w:rsidRDefault="00370263" w:rsidP="00370263">
      <w:pPr>
        <w:pStyle w:val="Boxwithcolouredkeyline"/>
        <w:rPr>
          <w:b/>
          <w:bCs/>
        </w:rPr>
      </w:pPr>
      <w:r w:rsidRPr="007D1404">
        <w:rPr>
          <w:b/>
          <w:bCs/>
          <w:szCs w:val="20"/>
        </w:rPr>
        <w:t>ELSA</w:t>
      </w:r>
      <w:r w:rsidRPr="007D1404">
        <w:rPr>
          <w:szCs w:val="20"/>
        </w:rPr>
        <w:t xml:space="preserve"> is a 72-year woman with osteoarthritis who has been receiving domestic assistance under the CHSP for two hours a week to provide assistance with general housework and laundry. Elsa required no other assistance. </w:t>
      </w:r>
    </w:p>
    <w:p w14:paraId="44BBF086" w14:textId="308EBD1F" w:rsidR="00370263" w:rsidRPr="007D1404" w:rsidRDefault="00370263" w:rsidP="00370263">
      <w:pPr>
        <w:pStyle w:val="Boxwithcolouredkeyline"/>
      </w:pPr>
      <w:r>
        <w:t xml:space="preserve">During a </w:t>
      </w:r>
      <w:r w:rsidR="3AC062B2">
        <w:t>s</w:t>
      </w:r>
      <w:r>
        <w:t xml:space="preserve">upport </w:t>
      </w:r>
      <w:r w:rsidR="229EF9B3">
        <w:t>p</w:t>
      </w:r>
      <w:r>
        <w:t xml:space="preserve">lan </w:t>
      </w:r>
      <w:r w:rsidR="5FD26EAA">
        <w:t>r</w:t>
      </w:r>
      <w:r>
        <w:t>eview, the non-clinical assessor applied a wellness and reablement approach to Elsa’s continuing needs, asking Elsa to demonstrate how she completed light household chores such as dusting, wiping over surfaces, washing the dishes and using a lightweight carpet sweeper.</w:t>
      </w:r>
    </w:p>
    <w:p w14:paraId="79072E8D" w14:textId="77777777" w:rsidR="00370263" w:rsidRPr="007D1404" w:rsidRDefault="00370263" w:rsidP="00370263">
      <w:pPr>
        <w:pStyle w:val="Boxwithcolouredkeyline"/>
      </w:pPr>
      <w:r w:rsidRPr="007D1404">
        <w:rPr>
          <w:szCs w:val="20"/>
        </w:rPr>
        <w:t xml:space="preserve">Applying a reablement approach, over a two-month period instead of ‘doing for’, Elsa was encouraged to undertake some of these tasks by herself, whilst the support worker completed more difficult tasks, such as vacuuming and mopping. </w:t>
      </w:r>
    </w:p>
    <w:p w14:paraId="2391CA51" w14:textId="77777777" w:rsidR="00370263" w:rsidRPr="007D1404" w:rsidRDefault="00370263" w:rsidP="00370263">
      <w:pPr>
        <w:pStyle w:val="Boxwithcolouredkeyline"/>
        <w:rPr>
          <w:szCs w:val="22"/>
        </w:rPr>
      </w:pPr>
      <w:r w:rsidRPr="24A129B5">
        <w:rPr>
          <w:szCs w:val="22"/>
        </w:rPr>
        <w:t>Elsa still requires ongoing support; however, she is now more involved and independent, has increased activity levels, and feels more satisfied about continuing to live at home.</w:t>
      </w:r>
    </w:p>
    <w:p w14:paraId="2B0B38E7" w14:textId="77777777" w:rsidR="00370263" w:rsidRDefault="00370263" w:rsidP="00370263">
      <w:pPr>
        <w:rPr>
          <w:b/>
          <w:color w:val="279989"/>
        </w:rPr>
      </w:pPr>
    </w:p>
    <w:p w14:paraId="6892C796" w14:textId="77777777" w:rsidR="00370263" w:rsidRDefault="00370263" w:rsidP="00370263">
      <w:pPr>
        <w:rPr>
          <w:b/>
          <w:color w:val="279989"/>
        </w:rPr>
      </w:pPr>
    </w:p>
    <w:p w14:paraId="61FFC53E" w14:textId="77777777" w:rsidR="00370263" w:rsidRDefault="00370263" w:rsidP="00370263">
      <w:pPr>
        <w:rPr>
          <w:b/>
          <w:color w:val="279989"/>
        </w:rPr>
      </w:pPr>
    </w:p>
    <w:p w14:paraId="2C3ED01D" w14:textId="77777777" w:rsidR="00370263" w:rsidRDefault="00370263" w:rsidP="00370263">
      <w:pPr>
        <w:rPr>
          <w:b/>
          <w:color w:val="279989"/>
        </w:rPr>
      </w:pPr>
    </w:p>
    <w:p w14:paraId="00C2B44B" w14:textId="77777777" w:rsidR="00370263" w:rsidRDefault="00370263" w:rsidP="00370263">
      <w:pPr>
        <w:rPr>
          <w:b/>
          <w:color w:val="279989"/>
        </w:rPr>
      </w:pPr>
    </w:p>
    <w:p w14:paraId="488B46DC" w14:textId="52FAA146" w:rsidR="00370263" w:rsidRPr="007D1404" w:rsidRDefault="00370263" w:rsidP="00370263">
      <w:pPr>
        <w:rPr>
          <w:b/>
          <w:color w:val="279989"/>
        </w:rPr>
      </w:pPr>
      <w:r w:rsidRPr="00E2676C">
        <w:rPr>
          <w:rFonts w:ascii="Arial Bold" w:eastAsiaTheme="minorEastAsia" w:hAnsi="Arial Bold" w:cstheme="minorBidi"/>
          <w:b/>
          <w:lang w:eastAsia="en-GB"/>
        </w:rPr>
        <w:t>Principles of wellness and reablement</w:t>
      </w:r>
      <w:bookmarkEnd w:id="1146"/>
    </w:p>
    <w:p w14:paraId="2397D163" w14:textId="77777777" w:rsidR="007C2E0B" w:rsidRPr="007C2E0B" w:rsidRDefault="00370263" w:rsidP="007C2E0B">
      <w:pPr>
        <w:spacing w:after="240" w:line="300" w:lineRule="exact"/>
      </w:pPr>
      <w:r w:rsidRPr="003E6C8D">
        <w:t xml:space="preserve">Wellness and reablement describe an overall approach to service delivery. </w:t>
      </w:r>
    </w:p>
    <w:p w14:paraId="5CAB202B" w14:textId="5456C84E" w:rsidR="007C2E0B" w:rsidRPr="007C2E0B" w:rsidRDefault="007C2E0B" w:rsidP="007C2E0B">
      <w:pPr>
        <w:spacing w:after="240" w:line="300" w:lineRule="exact"/>
      </w:pPr>
      <w:r w:rsidRPr="007C2E0B">
        <w:t xml:space="preserve">Employment of wellness and reablement approaches in aged care organisations promotes client wellbeing, independence, function, and management of activities of daily living. </w:t>
      </w:r>
    </w:p>
    <w:p w14:paraId="2BFDEB76" w14:textId="77777777" w:rsidR="007C2E0B" w:rsidRPr="007C2E0B" w:rsidRDefault="007C2E0B" w:rsidP="007C2E0B">
      <w:pPr>
        <w:spacing w:after="240" w:line="300" w:lineRule="exact"/>
      </w:pPr>
      <w:r w:rsidRPr="007C2E0B">
        <w:t xml:space="preserve">In line with the Statement of Rights, ways to apply wellness and reablement approaches include: </w:t>
      </w:r>
    </w:p>
    <w:p w14:paraId="4AEB2CD2" w14:textId="5EDF5ED9" w:rsidR="00370263" w:rsidRPr="003E6C8D" w:rsidRDefault="00370263" w:rsidP="00DF3F6B">
      <w:pPr>
        <w:pStyle w:val="ListBullet"/>
        <w:numPr>
          <w:ilvl w:val="0"/>
          <w:numId w:val="414"/>
        </w:numPr>
        <w:spacing w:after="120"/>
        <w:ind w:left="714" w:hanging="357"/>
      </w:pPr>
      <w:r w:rsidRPr="003E6C8D">
        <w:rPr>
          <w:b/>
        </w:rPr>
        <w:t xml:space="preserve">Promote </w:t>
      </w:r>
      <w:r w:rsidR="003D6BAB">
        <w:rPr>
          <w:b/>
        </w:rPr>
        <w:t>i</w:t>
      </w:r>
      <w:r w:rsidRPr="003E6C8D">
        <w:rPr>
          <w:b/>
        </w:rPr>
        <w:t xml:space="preserve">ndependence </w:t>
      </w:r>
      <w:r w:rsidRPr="003E6C8D">
        <w:t xml:space="preserve">– people value their independence, loss of independence can have a devastating effect, </w:t>
      </w:r>
      <w:r>
        <w:t>part</w:t>
      </w:r>
      <w:r w:rsidRPr="003E6C8D">
        <w:t>icularly for older people who may find it more difficult to regain</w:t>
      </w:r>
      <w:r>
        <w:t>.</w:t>
      </w:r>
    </w:p>
    <w:p w14:paraId="3B2341EA" w14:textId="3A469EBF" w:rsidR="00370263" w:rsidRPr="006505F6" w:rsidRDefault="00370263" w:rsidP="00DF3F6B">
      <w:pPr>
        <w:pStyle w:val="ListBullet"/>
        <w:numPr>
          <w:ilvl w:val="0"/>
          <w:numId w:val="414"/>
        </w:numPr>
        <w:spacing w:after="120" w:line="300" w:lineRule="exact"/>
        <w:ind w:left="714" w:hanging="357"/>
        <w:rPr>
          <w:rFonts w:cs="Arial"/>
          <w:szCs w:val="22"/>
        </w:rPr>
      </w:pPr>
      <w:r w:rsidRPr="006505F6">
        <w:rPr>
          <w:rFonts w:cs="Arial"/>
          <w:b/>
          <w:szCs w:val="22"/>
        </w:rPr>
        <w:t>Identify older person</w:t>
      </w:r>
      <w:r w:rsidR="00CD64DB">
        <w:rPr>
          <w:rFonts w:cs="Arial"/>
          <w:b/>
          <w:szCs w:val="22"/>
        </w:rPr>
        <w:t>’</w:t>
      </w:r>
      <w:r w:rsidRPr="006505F6">
        <w:rPr>
          <w:rFonts w:cs="Arial"/>
          <w:b/>
          <w:szCs w:val="22"/>
        </w:rPr>
        <w:t>s goals and motivation</w:t>
      </w:r>
      <w:r w:rsidRPr="006505F6">
        <w:rPr>
          <w:rFonts w:cs="Arial"/>
          <w:szCs w:val="22"/>
        </w:rPr>
        <w:t xml:space="preserve"> – a person’s independence requires more than just services to help them remain in their home and maintain their current capacity. Service delivery should focus on supporting the older person to actively work towards their goals and improved independence wherever possible.</w:t>
      </w:r>
    </w:p>
    <w:p w14:paraId="52A48EBD" w14:textId="77777777" w:rsidR="00370263" w:rsidRPr="006505F6" w:rsidRDefault="00370263" w:rsidP="00DF3F6B">
      <w:pPr>
        <w:pStyle w:val="ListBullet"/>
        <w:numPr>
          <w:ilvl w:val="0"/>
          <w:numId w:val="414"/>
        </w:numPr>
        <w:spacing w:after="120" w:line="300" w:lineRule="exact"/>
        <w:ind w:left="714" w:hanging="357"/>
        <w:rPr>
          <w:rFonts w:cs="Arial"/>
          <w:szCs w:val="22"/>
        </w:rPr>
      </w:pPr>
      <w:r w:rsidRPr="006505F6">
        <w:rPr>
          <w:rFonts w:cs="Arial"/>
          <w:b/>
          <w:szCs w:val="22"/>
        </w:rPr>
        <w:t>Consider physical and psychosocial needs</w:t>
      </w:r>
      <w:r w:rsidRPr="006505F6">
        <w:rPr>
          <w:rFonts w:cs="Arial"/>
          <w:szCs w:val="22"/>
        </w:rPr>
        <w:t xml:space="preserve"> – independence is not limited to physical function, it includes both social and psychological function.</w:t>
      </w:r>
      <w:r w:rsidRPr="004458F6">
        <w:t xml:space="preserve"> </w:t>
      </w:r>
      <w:r w:rsidRPr="006505F6">
        <w:rPr>
          <w:rFonts w:cs="Arial"/>
          <w:szCs w:val="22"/>
        </w:rPr>
        <w:t>Support should be tailored to the individual and aim to improve their physical, social and emotional wellbeing.</w:t>
      </w:r>
    </w:p>
    <w:p w14:paraId="0E04D59C" w14:textId="6731A5DF" w:rsidR="00370263" w:rsidRPr="003E6C8D" w:rsidRDefault="00370263" w:rsidP="00DF3F6B">
      <w:pPr>
        <w:pStyle w:val="ListParagraph"/>
        <w:numPr>
          <w:ilvl w:val="0"/>
          <w:numId w:val="414"/>
        </w:numPr>
        <w:spacing w:after="120" w:line="300" w:lineRule="exact"/>
        <w:ind w:left="714" w:hanging="357"/>
      </w:pPr>
      <w:r w:rsidRPr="003E6C8D">
        <w:rPr>
          <w:b/>
        </w:rPr>
        <w:t xml:space="preserve">Encourage </w:t>
      </w:r>
      <w:r>
        <w:rPr>
          <w:b/>
        </w:rPr>
        <w:t>part</w:t>
      </w:r>
      <w:r w:rsidRPr="003E6C8D">
        <w:rPr>
          <w:b/>
        </w:rPr>
        <w:t>icipation</w:t>
      </w:r>
      <w:r>
        <w:rPr>
          <w:b/>
        </w:rPr>
        <w:t xml:space="preserve"> </w:t>
      </w:r>
      <w:r w:rsidR="00D00913">
        <w:rPr>
          <w:b/>
        </w:rPr>
        <w:t>of older people</w:t>
      </w:r>
      <w:r w:rsidRPr="003E6C8D">
        <w:t xml:space="preserve"> – being an active </w:t>
      </w:r>
      <w:r>
        <w:t>part</w:t>
      </w:r>
      <w:r w:rsidRPr="003E6C8D">
        <w:t>icipant, rather than a passive recipient of services, is an important of being physically and emotionally healthy. Service delivery should focus on assisting a person to complete tasks, not taking over tasks that a person can do for themselves</w:t>
      </w:r>
      <w:r>
        <w:t>.</w:t>
      </w:r>
    </w:p>
    <w:p w14:paraId="6A837931" w14:textId="77777777" w:rsidR="00370263" w:rsidRPr="003E6C8D" w:rsidRDefault="00370263" w:rsidP="00DF3F6B">
      <w:pPr>
        <w:pStyle w:val="ListParagraph"/>
        <w:numPr>
          <w:ilvl w:val="0"/>
          <w:numId w:val="414"/>
        </w:numPr>
        <w:spacing w:after="120" w:line="300" w:lineRule="exact"/>
        <w:ind w:left="714" w:hanging="357"/>
      </w:pPr>
      <w:r w:rsidRPr="003E6C8D">
        <w:rPr>
          <w:b/>
        </w:rPr>
        <w:t>Regular assessment</w:t>
      </w:r>
      <w:r w:rsidRPr="003E6C8D">
        <w:t xml:space="preserve"> – </w:t>
      </w:r>
      <w:r>
        <w:t>older person</w:t>
      </w:r>
      <w:r w:rsidRPr="003E6C8D">
        <w:t xml:space="preserve"> assessment should be ongoing, not one-off. It should focus on progress towards </w:t>
      </w:r>
      <w:r>
        <w:t>older person</w:t>
      </w:r>
      <w:r w:rsidRPr="003E6C8D">
        <w:t xml:space="preserve"> goals and consider the support and duration of services required to meet these goals</w:t>
      </w:r>
      <w:r>
        <w:t>.</w:t>
      </w:r>
    </w:p>
    <w:p w14:paraId="50CD3D7E" w14:textId="77777777" w:rsidR="00370263" w:rsidRPr="003E6C8D" w:rsidRDefault="00370263" w:rsidP="00DF3F6B">
      <w:pPr>
        <w:pStyle w:val="ListParagraph"/>
        <w:numPr>
          <w:ilvl w:val="0"/>
          <w:numId w:val="414"/>
        </w:numPr>
        <w:spacing w:after="120" w:line="300" w:lineRule="exact"/>
        <w:ind w:left="714" w:hanging="357"/>
      </w:pPr>
      <w:r w:rsidRPr="003E6C8D">
        <w:rPr>
          <w:b/>
        </w:rPr>
        <w:t>Focus on strengths</w:t>
      </w:r>
      <w:r w:rsidRPr="003E6C8D">
        <w:t xml:space="preserve"> - the focus should be on what a person can do, rather than what they can’t. Wherever possible, services should aim to retain, regain, or learn skills rather than creating dependencies</w:t>
      </w:r>
      <w:r>
        <w:t>.</w:t>
      </w:r>
    </w:p>
    <w:p w14:paraId="6CBCEBCE" w14:textId="4AA1760A" w:rsidR="00370263" w:rsidRPr="003E6C8D" w:rsidRDefault="00370263" w:rsidP="00DF3F6B">
      <w:pPr>
        <w:pStyle w:val="ListParagraph"/>
        <w:numPr>
          <w:ilvl w:val="0"/>
          <w:numId w:val="414"/>
        </w:numPr>
        <w:spacing w:after="120" w:line="300" w:lineRule="exact"/>
        <w:ind w:left="714" w:hanging="357"/>
      </w:pPr>
      <w:r w:rsidRPr="003E6C8D">
        <w:rPr>
          <w:b/>
        </w:rPr>
        <w:t xml:space="preserve">Support </w:t>
      </w:r>
      <w:r>
        <w:rPr>
          <w:b/>
        </w:rPr>
        <w:t xml:space="preserve">older </w:t>
      </w:r>
      <w:r w:rsidR="00CD64DB">
        <w:rPr>
          <w:b/>
        </w:rPr>
        <w:t>people</w:t>
      </w:r>
      <w:r w:rsidR="00CD64DB" w:rsidRPr="003E6C8D">
        <w:rPr>
          <w:b/>
        </w:rPr>
        <w:t xml:space="preserve"> </w:t>
      </w:r>
      <w:r w:rsidRPr="003E6C8D">
        <w:rPr>
          <w:b/>
        </w:rPr>
        <w:t>to reach their potential</w:t>
      </w:r>
      <w:r w:rsidRPr="003E6C8D">
        <w:t xml:space="preserve"> – help </w:t>
      </w:r>
      <w:r w:rsidR="00516348">
        <w:t>older people</w:t>
      </w:r>
      <w:r w:rsidRPr="003E6C8D">
        <w:t xml:space="preserve"> to maintain and extend their activities in line with their capabilities</w:t>
      </w:r>
      <w:r>
        <w:t>.</w:t>
      </w:r>
    </w:p>
    <w:p w14:paraId="26AF204B" w14:textId="5DFE0BC1" w:rsidR="00370263" w:rsidRDefault="00370263" w:rsidP="00DF3F6B">
      <w:pPr>
        <w:pStyle w:val="ListParagraph"/>
        <w:numPr>
          <w:ilvl w:val="0"/>
          <w:numId w:val="414"/>
        </w:numPr>
        <w:spacing w:after="120" w:line="300" w:lineRule="exact"/>
        <w:ind w:left="714" w:hanging="357"/>
      </w:pPr>
      <w:r w:rsidRPr="003E6C8D">
        <w:rPr>
          <w:b/>
        </w:rPr>
        <w:t xml:space="preserve">Individualise support </w:t>
      </w:r>
      <w:r w:rsidRPr="003E6C8D">
        <w:t>– service delivery</w:t>
      </w:r>
      <w:r w:rsidRPr="003E6C8D">
        <w:rPr>
          <w:b/>
        </w:rPr>
        <w:t xml:space="preserve"> </w:t>
      </w:r>
      <w:r w:rsidRPr="003E6C8D">
        <w:t>should be individualised and suited to the goals, aspirations and needs of the individual</w:t>
      </w:r>
      <w:r>
        <w:t>.</w:t>
      </w:r>
    </w:p>
    <w:p w14:paraId="2776AACC" w14:textId="0E4B08C8" w:rsidR="00370263" w:rsidRPr="005B4190" w:rsidRDefault="00370263" w:rsidP="00DF3F6B">
      <w:pPr>
        <w:pStyle w:val="ListParagraph"/>
        <w:numPr>
          <w:ilvl w:val="0"/>
          <w:numId w:val="414"/>
        </w:numPr>
        <w:spacing w:after="120" w:line="300" w:lineRule="exact"/>
        <w:ind w:left="714" w:hanging="357"/>
      </w:pPr>
      <w:r w:rsidRPr="005317F3">
        <w:rPr>
          <w:b/>
        </w:rPr>
        <w:t>Regular review</w:t>
      </w:r>
      <w:r>
        <w:rPr>
          <w:b/>
        </w:rPr>
        <w:t xml:space="preserve"> –</w:t>
      </w:r>
      <w:r w:rsidRPr="00C916B0">
        <w:rPr>
          <w:b/>
        </w:rPr>
        <w:t xml:space="preserve"> </w:t>
      </w:r>
      <w:r>
        <w:rPr>
          <w:bCs/>
        </w:rPr>
        <w:t>a person’s</w:t>
      </w:r>
      <w:r w:rsidRPr="00D31C6B">
        <w:rPr>
          <w:bCs/>
        </w:rPr>
        <w:t xml:space="preserve"> assessment should be ongoing, not one-off. It should focus </w:t>
      </w:r>
      <w:r w:rsidRPr="005B4190">
        <w:t>on progress towards goals and consider the support and duration of services required to meet these goals.</w:t>
      </w:r>
    </w:p>
    <w:p w14:paraId="0E832DE0" w14:textId="7415587C" w:rsidR="00370263" w:rsidRDefault="007F22CF">
      <w:r>
        <w:br w:type="page"/>
      </w:r>
    </w:p>
    <w:p w14:paraId="71F08AA0" w14:textId="77777777" w:rsidR="00370263" w:rsidRDefault="00370263" w:rsidP="00370263">
      <w:pPr>
        <w:pStyle w:val="ListParagraph"/>
        <w:spacing w:after="240" w:line="300" w:lineRule="exact"/>
        <w:ind w:left="568" w:hanging="284"/>
      </w:pPr>
    </w:p>
    <w:p w14:paraId="5983B514" w14:textId="77777777" w:rsidR="00370263" w:rsidRDefault="00370263" w:rsidP="006D4B6C">
      <w:pPr>
        <w:pStyle w:val="Boxwithcolouredkeyline"/>
      </w:pPr>
      <w:r w:rsidRPr="19ECD6C9">
        <w:t xml:space="preserve">HELEN is a 78-year woman with osteoarthritis. Lately, Helen has </w:t>
      </w:r>
      <w:r>
        <w:t xml:space="preserve">had </w:t>
      </w:r>
      <w:r w:rsidRPr="19ECD6C9">
        <w:t xml:space="preserve">difficulty performing household cleaning duties and doing her laundry. At assessment, the assessor undertook a reablement-focused (active) assessment to better identify Helen’s needs. </w:t>
      </w:r>
    </w:p>
    <w:p w14:paraId="2CC69DC7" w14:textId="77777777" w:rsidR="00370263" w:rsidRPr="00C755DA" w:rsidRDefault="00370263" w:rsidP="006D4B6C">
      <w:pPr>
        <w:pStyle w:val="Boxwithcolouredkeyline"/>
      </w:pPr>
      <w:r w:rsidRPr="19ECD6C9">
        <w:t>By asking Helen to show the assessor how she did her housework (active assessment), the assessor identified lighter tasks that Helen could still complete, but certain tasks impacted her arthritis. During the assessment, the assessor asked Helen what she enjoys and the goals she would like to achieve. Helen identifies she used to enjoy keeping her home clean and tidy but is feeling lonely because she worries visitors may think she isn’t coping around the house as well as she used to.</w:t>
      </w:r>
    </w:p>
    <w:p w14:paraId="3A28BFB7" w14:textId="096C8645" w:rsidR="00370263" w:rsidRPr="00C755DA" w:rsidRDefault="00370263" w:rsidP="006D4B6C">
      <w:pPr>
        <w:pStyle w:val="Boxwithcolouredkeyline"/>
        <w:rPr>
          <w:i/>
        </w:rPr>
      </w:pPr>
      <w:r w:rsidRPr="007D1404">
        <w:t>In working with Helen to develop a Support Plan, the assessor focusses on Helen’s strengths and the things she wants to regain/maintain. As a result of the active assessment, the Support Plan refers Helen for short-term reablement support over a two-month period where Helen does lighter housework while the support worker completes tasks that provoke Helen’s arthritis, such as vacuuming and mopping.</w:t>
      </w:r>
    </w:p>
    <w:p w14:paraId="484FB010" w14:textId="77777777" w:rsidR="00370263" w:rsidRPr="007D1404" w:rsidRDefault="00370263" w:rsidP="006D4B6C">
      <w:pPr>
        <w:pStyle w:val="Boxwithcolouredkeyline"/>
      </w:pPr>
      <w:r w:rsidRPr="2057ED31">
        <w:t xml:space="preserve">Although Helen requires ongoing support with more difficult domestic duties, she has improved her functional capacity and feels more like herself. By adopting a strength-based approach to assessment and service delivery, focusing on ‘doing with’ not ‘doing for’, Helen is able to maintain some physical activity and by regaining some independence she is feeling more fulfilled and capable. Helen has begun engaging with her friends again which has improved her social connectedness. </w:t>
      </w:r>
    </w:p>
    <w:p w14:paraId="342234D3" w14:textId="77777777" w:rsidR="00370263" w:rsidRDefault="00370263" w:rsidP="00370263">
      <w:pPr>
        <w:rPr>
          <w:rFonts w:ascii="Arial Bold" w:eastAsiaTheme="minorEastAsia" w:hAnsi="Arial Bold" w:cstheme="minorBidi" w:hint="eastAsia"/>
          <w:b/>
          <w:lang w:eastAsia="en-GB"/>
        </w:rPr>
      </w:pPr>
      <w:bookmarkStart w:id="1147" w:name="_Toc43713956"/>
    </w:p>
    <w:p w14:paraId="1F51426B" w14:textId="77777777" w:rsidR="00370263" w:rsidRPr="00E2676C" w:rsidRDefault="00370263" w:rsidP="00370263">
      <w:pPr>
        <w:rPr>
          <w:rFonts w:ascii="Arial Bold" w:eastAsiaTheme="minorEastAsia" w:hAnsi="Arial Bold" w:cstheme="minorBidi" w:hint="eastAsia"/>
          <w:b/>
          <w:lang w:eastAsia="en-GB"/>
        </w:rPr>
      </w:pPr>
      <w:r w:rsidRPr="00E2676C">
        <w:rPr>
          <w:rFonts w:ascii="Arial Bold" w:eastAsiaTheme="minorEastAsia" w:hAnsi="Arial Bold" w:cstheme="minorBidi"/>
          <w:b/>
          <w:lang w:eastAsia="en-GB"/>
        </w:rPr>
        <w:t>Time-limited support</w:t>
      </w:r>
      <w:bookmarkEnd w:id="1147"/>
      <w:r w:rsidRPr="00E2676C">
        <w:rPr>
          <w:rFonts w:ascii="Arial Bold" w:eastAsiaTheme="minorEastAsia" w:hAnsi="Arial Bold" w:cstheme="minorBidi"/>
          <w:b/>
          <w:lang w:eastAsia="en-GB"/>
        </w:rPr>
        <w:t xml:space="preserve"> </w:t>
      </w:r>
    </w:p>
    <w:p w14:paraId="0B6DCC74" w14:textId="77777777" w:rsidR="00370263" w:rsidRPr="003E6C8D" w:rsidRDefault="00370263" w:rsidP="00370263">
      <w:pPr>
        <w:spacing w:after="240" w:line="300" w:lineRule="exact"/>
      </w:pPr>
      <w:r w:rsidRPr="19ECD6C9">
        <w:t>Wellness and reablement approaches often involve time-limited services. Time-limited care aims to address a</w:t>
      </w:r>
      <w:r>
        <w:t>n</w:t>
      </w:r>
      <w:r w:rsidRPr="19ECD6C9">
        <w:t xml:space="preserve"> </w:t>
      </w:r>
      <w:r>
        <w:t>older person</w:t>
      </w:r>
      <w:r w:rsidRPr="19ECD6C9">
        <w:t xml:space="preserve">’s specific barriers to independence and support them getting back to doing things for themselves. This involves a targeted timeframe, developed with the </w:t>
      </w:r>
      <w:r>
        <w:t>older person</w:t>
      </w:r>
      <w:r w:rsidRPr="19ECD6C9">
        <w:t xml:space="preserve">, for achieving their goals. </w:t>
      </w:r>
    </w:p>
    <w:p w14:paraId="0E493FDB" w14:textId="77777777" w:rsidR="00370263" w:rsidRPr="003E6C8D" w:rsidRDefault="00370263" w:rsidP="00370263">
      <w:pPr>
        <w:spacing w:after="240" w:line="300" w:lineRule="exact"/>
      </w:pPr>
      <w:r w:rsidRPr="19ECD6C9">
        <w:t>Understanding what a good day looks like for a</w:t>
      </w:r>
      <w:r>
        <w:t>n</w:t>
      </w:r>
      <w:r w:rsidRPr="19ECD6C9">
        <w:t xml:space="preserve"> </w:t>
      </w:r>
      <w:r>
        <w:t>older person</w:t>
      </w:r>
      <w:r w:rsidRPr="19ECD6C9">
        <w:t xml:space="preserve"> and how it relates to their individual goals and outcomes is important for determining short-term support needs. This could be maintaining a level of activity or independence or working towards regaining it. Time-limited reablement services tend to be delivered within a 12-week period with the aim to wrap up services when the </w:t>
      </w:r>
      <w:r>
        <w:t>older person</w:t>
      </w:r>
      <w:r w:rsidRPr="19ECD6C9">
        <w:t xml:space="preserve"> has met their goal or specific outcome.</w:t>
      </w:r>
      <w:r>
        <w:t xml:space="preserve"> Time-limited reablement under the CHSP can be delivered by all service types (with the exception of Sector Support and Development).</w:t>
      </w:r>
    </w:p>
    <w:p w14:paraId="2B237380" w14:textId="77777777" w:rsidR="00370263" w:rsidRPr="003E6C8D" w:rsidRDefault="00370263" w:rsidP="00370263">
      <w:pPr>
        <w:spacing w:after="240" w:line="300" w:lineRule="exact"/>
      </w:pPr>
      <w:r w:rsidRPr="00F64209">
        <w:t>Time-limited reablement may involve restorative care services where the client has the potential to make a functional gai</w:t>
      </w:r>
      <w:r w:rsidRPr="00EF10EE">
        <w:t>n.</w:t>
      </w:r>
      <w:r>
        <w:t xml:space="preserve"> </w:t>
      </w:r>
    </w:p>
    <w:p w14:paraId="0A12BF28" w14:textId="77777777" w:rsidR="00370263" w:rsidRPr="003E6C8D" w:rsidRDefault="00370263" w:rsidP="00370263">
      <w:pPr>
        <w:spacing w:after="120" w:line="300" w:lineRule="exact"/>
      </w:pPr>
      <w:r w:rsidRPr="003E6C8D">
        <w:t>Other time-limited support could include:</w:t>
      </w:r>
    </w:p>
    <w:p w14:paraId="0C3C2A37" w14:textId="77777777" w:rsidR="00370263" w:rsidRPr="003E6C8D" w:rsidRDefault="00370263" w:rsidP="00DF3F6B">
      <w:pPr>
        <w:pStyle w:val="ListParagraph"/>
        <w:numPr>
          <w:ilvl w:val="0"/>
          <w:numId w:val="434"/>
        </w:numPr>
        <w:spacing w:after="240" w:line="300" w:lineRule="exact"/>
      </w:pPr>
      <w:r w:rsidRPr="003E6C8D">
        <w:t>training in a new skill or actively working to regain or maintain an existing skill</w:t>
      </w:r>
    </w:p>
    <w:p w14:paraId="7B2C3ACC" w14:textId="77777777" w:rsidR="00370263" w:rsidRPr="003E6C8D" w:rsidRDefault="00370263" w:rsidP="00DF3F6B">
      <w:pPr>
        <w:pStyle w:val="ListParagraph"/>
        <w:numPr>
          <w:ilvl w:val="0"/>
          <w:numId w:val="434"/>
        </w:numPr>
        <w:spacing w:after="240" w:line="300" w:lineRule="exact"/>
      </w:pPr>
      <w:r w:rsidRPr="003E6C8D">
        <w:t>modification to a person’s home environment</w:t>
      </w:r>
      <w:r>
        <w:t>; or</w:t>
      </w:r>
    </w:p>
    <w:p w14:paraId="6AD89480" w14:textId="77777777" w:rsidR="00370263" w:rsidRPr="003E6C8D" w:rsidRDefault="00370263" w:rsidP="00DF3F6B">
      <w:pPr>
        <w:pStyle w:val="ListParagraph"/>
        <w:numPr>
          <w:ilvl w:val="0"/>
          <w:numId w:val="434"/>
        </w:numPr>
        <w:spacing w:after="240" w:line="300" w:lineRule="exact"/>
      </w:pPr>
      <w:r w:rsidRPr="003E6C8D">
        <w:t>having access to assistive technology.</w:t>
      </w:r>
    </w:p>
    <w:p w14:paraId="11C5DE06" w14:textId="77777777" w:rsidR="00370263" w:rsidRPr="007D1404" w:rsidRDefault="00370263" w:rsidP="00436FED">
      <w:pPr>
        <w:pStyle w:val="Sub-headingnon-contentpage"/>
        <w:rPr>
          <w:color w:val="279989"/>
        </w:rPr>
      </w:pPr>
      <w:bookmarkStart w:id="1148" w:name="_Toc43713957"/>
      <w:r w:rsidRPr="007D1404">
        <w:t>Wellness and reablement obligations and supports</w:t>
      </w:r>
      <w:bookmarkEnd w:id="1148"/>
    </w:p>
    <w:p w14:paraId="6EE358D4" w14:textId="10738651" w:rsidR="00370263" w:rsidRPr="003E6C8D" w:rsidRDefault="00370263" w:rsidP="00370263">
      <w:pPr>
        <w:spacing w:after="120" w:line="300" w:lineRule="exact"/>
      </w:pPr>
      <w:r w:rsidRPr="20771F94">
        <w:t xml:space="preserve">As </w:t>
      </w:r>
      <w:r>
        <w:t>part</w:t>
      </w:r>
      <w:r w:rsidRPr="20771F94">
        <w:t xml:space="preserve"> of applying a wellness and reablement approach assessment organisations </w:t>
      </w:r>
      <w:r w:rsidR="00756AF1">
        <w:t>should</w:t>
      </w:r>
      <w:r w:rsidRPr="20771F94">
        <w:t>:</w:t>
      </w:r>
    </w:p>
    <w:p w14:paraId="22D3B640" w14:textId="287E8A25" w:rsidR="00370263" w:rsidRPr="003E6C8D" w:rsidRDefault="00370263" w:rsidP="00370263">
      <w:pPr>
        <w:pStyle w:val="ListBullet"/>
        <w:spacing w:after="0" w:line="300" w:lineRule="exact"/>
        <w:ind w:left="568" w:hanging="284"/>
        <w:rPr>
          <w:sz w:val="24"/>
        </w:rPr>
      </w:pPr>
      <w:r w:rsidRPr="56CD3535">
        <w:rPr>
          <w:sz w:val="24"/>
        </w:rPr>
        <w:t xml:space="preserve">ensure that assessment referrals are targeted towards assisting </w:t>
      </w:r>
      <w:r w:rsidR="00516348">
        <w:rPr>
          <w:sz w:val="24"/>
        </w:rPr>
        <w:t>older people</w:t>
      </w:r>
      <w:r w:rsidRPr="56CD3535">
        <w:rPr>
          <w:sz w:val="24"/>
        </w:rPr>
        <w:t xml:space="preserve"> to achieve their agreed realistic goals as outlined in the Support Plan</w:t>
      </w:r>
    </w:p>
    <w:p w14:paraId="2F038B32" w14:textId="77777777" w:rsidR="00370263" w:rsidRPr="003E6C8D" w:rsidRDefault="00370263" w:rsidP="00370263">
      <w:pPr>
        <w:pStyle w:val="ListBullet"/>
        <w:spacing w:after="0" w:line="300" w:lineRule="exact"/>
        <w:ind w:left="568" w:hanging="284"/>
        <w:rPr>
          <w:rFonts w:cs="Arial"/>
          <w:sz w:val="24"/>
        </w:rPr>
      </w:pPr>
      <w:r w:rsidRPr="56CD3535">
        <w:rPr>
          <w:rFonts w:cs="Arial"/>
          <w:sz w:val="24"/>
          <w:lang w:val="en"/>
        </w:rPr>
        <w:t xml:space="preserve">apply a 'doing with' instead of ‘doing for’ approach </w:t>
      </w:r>
      <w:r w:rsidRPr="56CD3535">
        <w:rPr>
          <w:rFonts w:cs="Arial"/>
          <w:sz w:val="24"/>
        </w:rPr>
        <w:t xml:space="preserve">where possible, offer time limited interventions </w:t>
      </w:r>
    </w:p>
    <w:p w14:paraId="35FFBDC1" w14:textId="4D37C170" w:rsidR="00370263" w:rsidRPr="003E6C8D" w:rsidRDefault="00370263" w:rsidP="00370263">
      <w:pPr>
        <w:pStyle w:val="ListBullet"/>
        <w:spacing w:after="0" w:line="300" w:lineRule="exact"/>
        <w:ind w:left="568" w:hanging="284"/>
        <w:rPr>
          <w:rFonts w:cs="Arial"/>
          <w:sz w:val="24"/>
          <w:lang w:val="en"/>
        </w:rPr>
      </w:pPr>
      <w:r w:rsidRPr="56CD3535">
        <w:rPr>
          <w:rFonts w:cs="Arial"/>
          <w:sz w:val="24"/>
          <w:lang w:val="en"/>
        </w:rPr>
        <w:t xml:space="preserve">monitor changes in </w:t>
      </w:r>
      <w:r>
        <w:rPr>
          <w:rFonts w:cs="Arial"/>
          <w:sz w:val="24"/>
          <w:lang w:val="en"/>
        </w:rPr>
        <w:t xml:space="preserve">older </w:t>
      </w:r>
      <w:r w:rsidR="005E2B68">
        <w:rPr>
          <w:rFonts w:cs="Arial"/>
          <w:sz w:val="24"/>
          <w:lang w:val="en"/>
        </w:rPr>
        <w:t>person’s</w:t>
      </w:r>
      <w:r w:rsidRPr="56CD3535">
        <w:rPr>
          <w:rFonts w:cs="Arial"/>
          <w:sz w:val="24"/>
          <w:lang w:val="en"/>
        </w:rPr>
        <w:t xml:space="preserve"> needs and regularly review Support Plans</w:t>
      </w:r>
    </w:p>
    <w:p w14:paraId="2F1F5E9F" w14:textId="77777777" w:rsidR="00370263" w:rsidRPr="003E6C8D" w:rsidRDefault="00370263" w:rsidP="00370263">
      <w:pPr>
        <w:pStyle w:val="ListBullet"/>
        <w:spacing w:after="0" w:line="300" w:lineRule="exact"/>
        <w:ind w:left="568" w:hanging="284"/>
        <w:rPr>
          <w:sz w:val="24"/>
        </w:rPr>
      </w:pPr>
      <w:r w:rsidRPr="56CD3535">
        <w:rPr>
          <w:sz w:val="24"/>
        </w:rPr>
        <w:t>comply with wellness and reablement reporting requirements; and</w:t>
      </w:r>
    </w:p>
    <w:p w14:paraId="617DB481" w14:textId="77777777" w:rsidR="00370263" w:rsidRPr="006D6F08" w:rsidRDefault="00370263" w:rsidP="00370263">
      <w:pPr>
        <w:pStyle w:val="ListBullet"/>
        <w:spacing w:after="120" w:line="300" w:lineRule="exact"/>
        <w:ind w:left="567" w:hanging="283"/>
        <w:rPr>
          <w:sz w:val="24"/>
          <w:lang w:val="en-US"/>
        </w:rPr>
      </w:pPr>
      <w:r w:rsidRPr="78E43FD9">
        <w:rPr>
          <w:sz w:val="24"/>
          <w:lang w:val="en-US"/>
        </w:rPr>
        <w:t xml:space="preserve">have an implementation plan outlining their organisation’s approach to embedding wellness and reablement. </w:t>
      </w:r>
    </w:p>
    <w:p w14:paraId="2E82A24A" w14:textId="77777777" w:rsidR="00370263" w:rsidRDefault="00370263" w:rsidP="00370263">
      <w:pPr>
        <w:spacing w:after="240" w:line="300" w:lineRule="exact"/>
        <w:rPr>
          <w:color w:val="000000" w:themeColor="text1"/>
        </w:rPr>
      </w:pPr>
      <w:r w:rsidRPr="20771F94">
        <w:rPr>
          <w:color w:val="000000" w:themeColor="text1"/>
        </w:rPr>
        <w:t xml:space="preserve">The </w:t>
      </w:r>
      <w:r>
        <w:rPr>
          <w:color w:val="000000" w:themeColor="text1"/>
        </w:rPr>
        <w:t>department</w:t>
      </w:r>
      <w:r w:rsidRPr="20771F94">
        <w:rPr>
          <w:color w:val="000000" w:themeColor="text1"/>
        </w:rPr>
        <w:t xml:space="preserve"> has developed </w:t>
      </w:r>
      <w:hyperlink r:id="rId374">
        <w:r w:rsidRPr="20771F94">
          <w:rPr>
            <w:color w:val="000000" w:themeColor="text1"/>
          </w:rPr>
          <w:t>online resources</w:t>
        </w:r>
      </w:hyperlink>
      <w:r w:rsidRPr="20771F94">
        <w:rPr>
          <w:color w:val="000000" w:themeColor="text1"/>
        </w:rPr>
        <w:t xml:space="preserve"> to help service providers embed wellness and reablement approaches into their practices and service delivery. </w:t>
      </w:r>
    </w:p>
    <w:p w14:paraId="6498BA29" w14:textId="77777777" w:rsidR="00370263" w:rsidRDefault="00370263" w:rsidP="00370263">
      <w:pPr>
        <w:rPr>
          <w:rFonts w:ascii="Arial Bold" w:eastAsiaTheme="minorEastAsia" w:hAnsi="Arial Bold" w:cstheme="minorBidi" w:hint="eastAsia"/>
          <w:b/>
          <w:lang w:eastAsia="en-GB"/>
        </w:rPr>
      </w:pPr>
      <w:r>
        <w:rPr>
          <w:rFonts w:ascii="Arial Bold" w:eastAsiaTheme="minorEastAsia" w:hAnsi="Arial Bold" w:cstheme="minorBidi" w:hint="eastAsia"/>
          <w:b/>
          <w:lang w:eastAsia="en-GB"/>
        </w:rPr>
        <w:t>O</w:t>
      </w:r>
      <w:r>
        <w:rPr>
          <w:rFonts w:ascii="Arial Bold" w:eastAsiaTheme="minorEastAsia" w:hAnsi="Arial Bold" w:cstheme="minorBidi"/>
          <w:b/>
          <w:lang w:eastAsia="en-GB"/>
        </w:rPr>
        <w:t>ther resources</w:t>
      </w:r>
    </w:p>
    <w:p w14:paraId="522AA976" w14:textId="77777777" w:rsidR="00370263" w:rsidRPr="00A10832" w:rsidRDefault="00370263" w:rsidP="00370263">
      <w:pPr>
        <w:rPr>
          <w:rStyle w:val="Hyperlink"/>
        </w:rPr>
      </w:pPr>
      <w:hyperlink r:id="rId375" w:history="1">
        <w:r>
          <w:rPr>
            <w:rStyle w:val="Hyperlink"/>
          </w:rPr>
          <w:t>Wellness and reablement resources page</w:t>
        </w:r>
      </w:hyperlink>
      <w:r w:rsidRPr="00A10832">
        <w:rPr>
          <w:rStyle w:val="Hyperlink"/>
        </w:rPr>
        <w:t xml:space="preserve"> </w:t>
      </w:r>
    </w:p>
    <w:p w14:paraId="49B3E34A" w14:textId="77777777" w:rsidR="00370263" w:rsidRPr="00622864" w:rsidRDefault="00370263" w:rsidP="00370263">
      <w:hyperlink r:id="rId376" w:history="1">
        <w:r w:rsidRPr="00A10832">
          <w:rPr>
            <w:rStyle w:val="Hyperlink"/>
          </w:rPr>
          <w:t>Living well at home: CHSP Good Practice Guide</w:t>
        </w:r>
      </w:hyperlink>
      <w:r w:rsidRPr="00622864">
        <w:t xml:space="preserve"> provides practical guidance in how to adopt a wellness and reablement approach into service delivery.</w:t>
      </w:r>
    </w:p>
    <w:p w14:paraId="15237C68" w14:textId="77777777" w:rsidR="00370263" w:rsidRPr="00E2676C" w:rsidRDefault="00370263" w:rsidP="00370263">
      <w:pPr>
        <w:rPr>
          <w:b/>
          <w:bCs/>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 – Supporting greater independence</w:t>
      </w:r>
      <w:r w:rsidRPr="00E2676C">
        <w:rPr>
          <w:rFonts w:ascii="Arial Bold" w:eastAsiaTheme="minorEastAsia" w:hAnsi="Arial Bold" w:cstheme="minorBidi"/>
          <w:vertAlign w:val="superscript"/>
          <w:lang w:eastAsia="en-GB"/>
        </w:rPr>
        <w:footnoteReference w:id="12"/>
      </w:r>
    </w:p>
    <w:p w14:paraId="0D685230" w14:textId="77777777" w:rsidR="00370263" w:rsidRPr="00C755DA" w:rsidRDefault="00370263" w:rsidP="00370263">
      <w:pPr>
        <w:pStyle w:val="Boxwithcolouredkeyline"/>
        <w:pBdr>
          <w:top w:val="single" w:sz="4" w:space="1" w:color="auto"/>
          <w:left w:val="single" w:sz="4" w:space="1" w:color="auto"/>
          <w:bottom w:val="single" w:sz="4" w:space="1" w:color="auto"/>
          <w:right w:val="single" w:sz="4" w:space="1" w:color="auto"/>
        </w:pBdr>
        <w:rPr>
          <w:b/>
          <w:bCs/>
          <w:szCs w:val="22"/>
        </w:rPr>
      </w:pPr>
      <w:bookmarkStart w:id="1149" w:name="_Toc43713958"/>
      <w:r w:rsidRPr="00C755DA">
        <w:rPr>
          <w:b/>
          <w:bCs/>
          <w:szCs w:val="22"/>
        </w:rPr>
        <w:t xml:space="preserve">ADELINA </w:t>
      </w:r>
      <w:r w:rsidRPr="00C755DA">
        <w:rPr>
          <w:szCs w:val="22"/>
        </w:rPr>
        <w:t>is a 77-year-old woman who had a stroke which affected her left side. Her speech was unaffected, but her movement was restricted. She has little function in her left arm - her left leg is slightly affected, requiring her to walk with the assistance of a stick.</w:t>
      </w:r>
      <w:r w:rsidRPr="00C755DA">
        <w:rPr>
          <w:b/>
          <w:bCs/>
          <w:szCs w:val="22"/>
        </w:rPr>
        <w:t xml:space="preserve"> </w:t>
      </w:r>
    </w:p>
    <w:p w14:paraId="7625BBF3" w14:textId="77777777" w:rsidR="00370263" w:rsidRPr="00C755DA" w:rsidRDefault="00370263" w:rsidP="00370263">
      <w:pPr>
        <w:pStyle w:val="Boxwithcolouredkeyline"/>
        <w:pBdr>
          <w:top w:val="single" w:sz="4" w:space="1" w:color="auto"/>
          <w:left w:val="single" w:sz="4" w:space="1" w:color="auto"/>
          <w:bottom w:val="single" w:sz="4" w:space="1" w:color="auto"/>
          <w:right w:val="single" w:sz="4" w:space="1" w:color="auto"/>
        </w:pBdr>
        <w:rPr>
          <w:b/>
          <w:bCs/>
          <w:szCs w:val="22"/>
        </w:rPr>
      </w:pPr>
      <w:r w:rsidRPr="00C755DA">
        <w:rPr>
          <w:szCs w:val="22"/>
        </w:rPr>
        <w:t xml:space="preserve">Adelina felt that she was unable to do very much for herself. She really wanted to be able to make her own cup of tea, however because of the lack of function in her left arm she felt she was dependent on carers and unable to make a cup of tea between carer visits unless a friend or neighbour came by. Adelina had become resigned that this was how her life would be. She was dispirited and resistant to her son’s suggestion that she might do a bit more for herself. </w:t>
      </w:r>
    </w:p>
    <w:p w14:paraId="20A8422E" w14:textId="77777777" w:rsidR="00370263" w:rsidRPr="00C755DA" w:rsidRDefault="00370263" w:rsidP="00370263">
      <w:pPr>
        <w:pStyle w:val="Boxwithcolouredkeyline"/>
        <w:pBdr>
          <w:top w:val="single" w:sz="4" w:space="1" w:color="auto"/>
          <w:left w:val="single" w:sz="4" w:space="1" w:color="auto"/>
          <w:bottom w:val="single" w:sz="4" w:space="1" w:color="auto"/>
          <w:right w:val="single" w:sz="4" w:space="1" w:color="auto"/>
        </w:pBdr>
        <w:rPr>
          <w:szCs w:val="22"/>
        </w:rPr>
      </w:pPr>
      <w:r w:rsidRPr="00C755DA">
        <w:rPr>
          <w:szCs w:val="22"/>
        </w:rPr>
        <w:t xml:space="preserve">However, at the request of her son, Adelina’s Support Plan was reviewed by the </w:t>
      </w:r>
      <w:r>
        <w:rPr>
          <w:szCs w:val="22"/>
        </w:rPr>
        <w:t>assessor</w:t>
      </w:r>
      <w:r w:rsidRPr="00C755DA">
        <w:rPr>
          <w:szCs w:val="22"/>
        </w:rPr>
        <w:t xml:space="preserve"> who recommended a referral to an occupational therapist. An occupational therapist was engaged under the CHSP who suggested she could be assisted to learn to use the microwave oven, and a kettle fitted onto a tipper so she could make her own tea.</w:t>
      </w:r>
    </w:p>
    <w:p w14:paraId="0148C1B5" w14:textId="77777777" w:rsidR="00031C12" w:rsidRDefault="00370263" w:rsidP="00370263">
      <w:pPr>
        <w:pStyle w:val="Boxwithcolouredkeyline"/>
        <w:pBdr>
          <w:top w:val="single" w:sz="4" w:space="1" w:color="auto"/>
          <w:left w:val="single" w:sz="4" w:space="1" w:color="auto"/>
          <w:bottom w:val="single" w:sz="4" w:space="1" w:color="auto"/>
          <w:right w:val="single" w:sz="4" w:space="1" w:color="auto"/>
        </w:pBdr>
        <w:rPr>
          <w:szCs w:val="22"/>
        </w:rPr>
      </w:pPr>
      <w:r w:rsidRPr="00C755DA">
        <w:rPr>
          <w:szCs w:val="22"/>
        </w:rPr>
        <w:t>For a number of weeks, Adelina was supported to build up her confidence in her ability to use the microwave and the kettle. After a few months Adelina was able to make meals for herself, her own cup of tea and is living a more independent life. As a result, Adelina said she is feeling more hopeful and has started to invite friends over for a meal.</w:t>
      </w:r>
    </w:p>
    <w:p w14:paraId="71FF9D93" w14:textId="4B53EF9E" w:rsidR="00370263" w:rsidRPr="00C755DA" w:rsidRDefault="00031C12" w:rsidP="00370263">
      <w:pPr>
        <w:pStyle w:val="Boxwithcolouredkeyline"/>
        <w:pBdr>
          <w:top w:val="single" w:sz="4" w:space="1" w:color="auto"/>
          <w:left w:val="single" w:sz="4" w:space="1" w:color="auto"/>
          <w:bottom w:val="single" w:sz="4" w:space="1" w:color="auto"/>
          <w:right w:val="single" w:sz="4" w:space="1" w:color="auto"/>
        </w:pBdr>
        <w:rPr>
          <w:szCs w:val="22"/>
        </w:rPr>
      </w:pPr>
      <w:r>
        <w:rPr>
          <w:szCs w:val="22"/>
        </w:rPr>
        <w:t xml:space="preserve">Cont. </w:t>
      </w:r>
      <w:r w:rsidR="00370263" w:rsidRPr="00C755DA">
        <w:rPr>
          <w:szCs w:val="22"/>
        </w:rPr>
        <w:t xml:space="preserve"> Adelina’s son has been delighted to see his mother’s renewed sense of self and independence.</w:t>
      </w:r>
    </w:p>
    <w:p w14:paraId="764CF973" w14:textId="0E222F18" w:rsidR="00370263" w:rsidRPr="00E2676C" w:rsidRDefault="00370263" w:rsidP="00370263">
      <w:pPr>
        <w:rPr>
          <w:rFonts w:ascii="Arial Bold" w:eastAsiaTheme="minorEastAsia" w:hAnsi="Arial Bold" w:cstheme="minorBidi" w:hint="eastAsia"/>
          <w:b/>
          <w:lang w:eastAsia="en-GB"/>
        </w:rPr>
      </w:pPr>
      <w:r w:rsidRPr="20771F94">
        <w:rPr>
          <w:rFonts w:ascii="Arial Bold" w:eastAsiaTheme="minorEastAsia" w:hAnsi="Arial Bold" w:cstheme="minorBidi"/>
          <w:b/>
          <w:lang w:eastAsia="en-GB"/>
        </w:rPr>
        <w:t xml:space="preserve">Strategies to assist embedding </w:t>
      </w:r>
      <w:r w:rsidR="006A0282">
        <w:rPr>
          <w:rFonts w:ascii="Arial Bold" w:eastAsiaTheme="minorEastAsia" w:hAnsi="Arial Bold" w:cstheme="minorBidi"/>
          <w:b/>
          <w:lang w:eastAsia="en-GB"/>
        </w:rPr>
        <w:t>w</w:t>
      </w:r>
      <w:r w:rsidRPr="20771F94">
        <w:rPr>
          <w:rFonts w:ascii="Arial Bold" w:eastAsiaTheme="minorEastAsia" w:hAnsi="Arial Bold" w:cstheme="minorBidi"/>
          <w:b/>
          <w:lang w:eastAsia="en-GB"/>
        </w:rPr>
        <w:t xml:space="preserve">ellness and </w:t>
      </w:r>
      <w:r w:rsidR="006A0282">
        <w:rPr>
          <w:rFonts w:ascii="Arial Bold" w:eastAsiaTheme="minorEastAsia" w:hAnsi="Arial Bold" w:cstheme="minorBidi"/>
          <w:b/>
          <w:lang w:eastAsia="en-GB"/>
        </w:rPr>
        <w:t>r</w:t>
      </w:r>
      <w:r w:rsidRPr="20771F94">
        <w:rPr>
          <w:rFonts w:ascii="Arial Bold" w:eastAsiaTheme="minorEastAsia" w:hAnsi="Arial Bold" w:cstheme="minorBidi"/>
          <w:b/>
          <w:lang w:eastAsia="en-GB"/>
        </w:rPr>
        <w:t>eablement</w:t>
      </w:r>
      <w:bookmarkEnd w:id="1149"/>
    </w:p>
    <w:p w14:paraId="020AA419" w14:textId="77777777" w:rsidR="00370263" w:rsidRPr="00550F2B" w:rsidRDefault="00370263" w:rsidP="00370263">
      <w:pPr>
        <w:spacing w:after="120" w:line="300" w:lineRule="exact"/>
        <w:rPr>
          <w:rFonts w:eastAsia="Calibri"/>
        </w:rPr>
      </w:pPr>
      <w:r w:rsidRPr="00550F2B">
        <w:rPr>
          <w:rFonts w:eastAsia="Calibri"/>
        </w:rPr>
        <w:t xml:space="preserve">Experience of organisations that have successfully embedded a wellness </w:t>
      </w:r>
      <w:r>
        <w:rPr>
          <w:rFonts w:eastAsia="Calibri"/>
        </w:rPr>
        <w:t xml:space="preserve">and reablement </w:t>
      </w:r>
      <w:r w:rsidRPr="00550F2B">
        <w:rPr>
          <w:rFonts w:eastAsia="Calibri"/>
        </w:rPr>
        <w:t>approach suggests that there are a number of key drivers for success</w:t>
      </w:r>
      <w:r>
        <w:rPr>
          <w:rFonts w:eastAsia="Calibri"/>
        </w:rPr>
        <w:t xml:space="preserve">. These include: </w:t>
      </w:r>
    </w:p>
    <w:p w14:paraId="6D45F52C"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a whole-of-organisation approach, including commitment from both management and staff</w:t>
      </w:r>
    </w:p>
    <w:p w14:paraId="2FDB8BA1" w14:textId="02D6C63E"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reflecting wellness and reablement in organisational policy and procedures, especially in recruitment, employment, orientation</w:t>
      </w:r>
      <w:r w:rsidR="00C06FA2">
        <w:rPr>
          <w:rFonts w:eastAsia="Calibri"/>
        </w:rPr>
        <w:t>,</w:t>
      </w:r>
      <w:r w:rsidRPr="003E6C8D">
        <w:rPr>
          <w:rFonts w:eastAsia="Calibri"/>
        </w:rPr>
        <w:t xml:space="preserve"> induction practices</w:t>
      </w:r>
      <w:r w:rsidR="008D34AC">
        <w:rPr>
          <w:rFonts w:eastAsia="Calibri"/>
        </w:rPr>
        <w:t>, position descriptions, and performance reviews.</w:t>
      </w:r>
    </w:p>
    <w:p w14:paraId="14886699"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providing and encouraging staff training and education program</w:t>
      </w:r>
    </w:p>
    <w:p w14:paraId="4FD4BD85" w14:textId="4E6C0F64"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 xml:space="preserve">changing the mindset for management, staff, volunteers, </w:t>
      </w:r>
      <w:r w:rsidR="00516348">
        <w:rPr>
          <w:rFonts w:eastAsia="Calibri"/>
        </w:rPr>
        <w:t>older people</w:t>
      </w:r>
      <w:r w:rsidRPr="003E6C8D">
        <w:rPr>
          <w:rFonts w:eastAsia="Calibri"/>
        </w:rPr>
        <w:t xml:space="preserve"> and their families and carers</w:t>
      </w:r>
    </w:p>
    <w:p w14:paraId="2F776B2A" w14:textId="58FDAC4F"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 xml:space="preserve">taking time to work with staff to ensure they understand the benefits and reasons for </w:t>
      </w:r>
      <w:r w:rsidR="00BE0241">
        <w:rPr>
          <w:rFonts w:eastAsia="Calibri"/>
        </w:rPr>
        <w:t>applying wellness and reablement approaches</w:t>
      </w:r>
      <w:r w:rsidRPr="003E6C8D">
        <w:rPr>
          <w:rFonts w:eastAsia="Calibri"/>
        </w:rPr>
        <w:t xml:space="preserve">. </w:t>
      </w:r>
    </w:p>
    <w:p w14:paraId="1356E78D"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understanding your organisation</w:t>
      </w:r>
      <w:r>
        <w:rPr>
          <w:rFonts w:eastAsia="Calibri"/>
        </w:rPr>
        <w:t>’</w:t>
      </w:r>
      <w:r w:rsidRPr="003E6C8D">
        <w:rPr>
          <w:rFonts w:eastAsia="Calibri"/>
        </w:rPr>
        <w:t>s maturity and readiness in terms of wellness and reablement is the first step to embedding the change</w:t>
      </w:r>
      <w:r>
        <w:rPr>
          <w:rFonts w:eastAsia="Calibri"/>
        </w:rPr>
        <w:t>; and</w:t>
      </w:r>
    </w:p>
    <w:p w14:paraId="07FDD608" w14:textId="77777777" w:rsidR="00370263" w:rsidRPr="003E6C8D" w:rsidRDefault="00370263" w:rsidP="00DF3F6B">
      <w:pPr>
        <w:pStyle w:val="ListParagraph"/>
        <w:numPr>
          <w:ilvl w:val="0"/>
          <w:numId w:val="408"/>
        </w:numPr>
        <w:spacing w:after="120" w:line="300" w:lineRule="exact"/>
        <w:rPr>
          <w:rFonts w:eastAsia="Calibri"/>
        </w:rPr>
      </w:pPr>
      <w:r w:rsidRPr="003E6C8D">
        <w:rPr>
          <w:rFonts w:eastAsia="Calibri"/>
        </w:rPr>
        <w:t xml:space="preserve">ensuring communication materials need to reflect the wellness and reablement approach to assist with setting </w:t>
      </w:r>
      <w:r>
        <w:rPr>
          <w:rFonts w:eastAsia="Calibri"/>
        </w:rPr>
        <w:t>older person</w:t>
      </w:r>
      <w:r w:rsidRPr="003E6C8D">
        <w:rPr>
          <w:rFonts w:eastAsia="Calibri"/>
        </w:rPr>
        <w:t xml:space="preserve"> and staff expectations.</w:t>
      </w:r>
    </w:p>
    <w:p w14:paraId="561B7AD5" w14:textId="20B4CEA7" w:rsidR="00370263" w:rsidRPr="00E2676C" w:rsidRDefault="00370263" w:rsidP="00370263">
      <w:pPr>
        <w:rPr>
          <w:rFonts w:ascii="Arial Bold" w:eastAsiaTheme="minorEastAsia" w:hAnsi="Arial Bold" w:cstheme="minorBidi" w:hint="eastAsia"/>
          <w:b/>
          <w:lang w:eastAsia="en-GB"/>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scenarios — </w:t>
      </w:r>
      <w:r w:rsidR="006A0282">
        <w:rPr>
          <w:rFonts w:ascii="Arial Bold" w:eastAsiaTheme="minorEastAsia" w:hAnsi="Arial Bold" w:cstheme="minorBidi"/>
          <w:b/>
          <w:lang w:eastAsia="en-GB"/>
        </w:rPr>
        <w:t>s</w:t>
      </w:r>
      <w:r w:rsidRPr="00E2676C">
        <w:rPr>
          <w:rFonts w:ascii="Arial Bold" w:eastAsiaTheme="minorEastAsia" w:hAnsi="Arial Bold" w:cstheme="minorBidi"/>
          <w:b/>
          <w:lang w:eastAsia="en-GB"/>
        </w:rPr>
        <w:t>hort-term wellness and reablement, and restorative interventions</w:t>
      </w:r>
    </w:p>
    <w:p w14:paraId="77442E84" w14:textId="77777777" w:rsidR="00370263" w:rsidRPr="00286431" w:rsidRDefault="00370263" w:rsidP="00370263">
      <w:pPr>
        <w:pStyle w:val="Boxwithcolouredkeyline"/>
        <w:rPr>
          <w:b/>
          <w:bCs/>
        </w:rPr>
      </w:pPr>
      <w:r w:rsidRPr="007D1404">
        <w:rPr>
          <w:b/>
          <w:bCs/>
          <w:szCs w:val="20"/>
        </w:rPr>
        <w:t>DAVID</w:t>
      </w:r>
      <w:r w:rsidRPr="00C755DA">
        <w:rPr>
          <w:szCs w:val="20"/>
        </w:rPr>
        <w:t xml:space="preserve"> </w:t>
      </w:r>
      <w:r w:rsidRPr="00C755DA">
        <w:t>is</w:t>
      </w:r>
      <w:r w:rsidRPr="007D1404">
        <w:rPr>
          <w:szCs w:val="20"/>
        </w:rPr>
        <w:t xml:space="preserve"> a</w:t>
      </w:r>
      <w:r>
        <w:rPr>
          <w:szCs w:val="20"/>
        </w:rPr>
        <w:t>n</w:t>
      </w:r>
      <w:r w:rsidRPr="007D1404">
        <w:rPr>
          <w:szCs w:val="20"/>
        </w:rPr>
        <w:t xml:space="preserve"> 81-year-old man who was referred to My Aged Care following a fall he had two weeks prior. Although he sustained no specific injuries, David was quite shaken following the fall, and now lacked confidence to shower himself independently. </w:t>
      </w:r>
    </w:p>
    <w:p w14:paraId="0DB988CC" w14:textId="77777777" w:rsidR="00370263" w:rsidRPr="007D1404" w:rsidRDefault="00370263" w:rsidP="00370263">
      <w:pPr>
        <w:pStyle w:val="Boxwithcolouredkeyline"/>
      </w:pPr>
      <w:r w:rsidRPr="007D1404">
        <w:rPr>
          <w:szCs w:val="20"/>
        </w:rPr>
        <w:t xml:space="preserve">David was referred </w:t>
      </w:r>
      <w:r>
        <w:rPr>
          <w:szCs w:val="20"/>
        </w:rPr>
        <w:t xml:space="preserve">for an </w:t>
      </w:r>
      <w:r w:rsidRPr="007D1404">
        <w:rPr>
          <w:szCs w:val="20"/>
        </w:rPr>
        <w:t xml:space="preserve">assessment </w:t>
      </w:r>
      <w:r>
        <w:rPr>
          <w:szCs w:val="20"/>
        </w:rPr>
        <w:t>which</w:t>
      </w:r>
      <w:r w:rsidRPr="007D1404">
        <w:rPr>
          <w:szCs w:val="20"/>
        </w:rPr>
        <w:t xml:space="preserve"> identified that David was previously independent and was motivated to regain autonomy. The assessor also identified that David was still independent in many daily activities, but was struggling with his personal care. </w:t>
      </w:r>
    </w:p>
    <w:p w14:paraId="21C1C3EA" w14:textId="77777777" w:rsidR="00370263" w:rsidRPr="007D1404" w:rsidRDefault="00370263" w:rsidP="00370263">
      <w:pPr>
        <w:pStyle w:val="Boxwithcolouredkeyline"/>
      </w:pPr>
      <w:r w:rsidRPr="007D1404">
        <w:rPr>
          <w:szCs w:val="20"/>
        </w:rPr>
        <w:t xml:space="preserve">Based on the assessment, a </w:t>
      </w:r>
      <w:r>
        <w:rPr>
          <w:szCs w:val="20"/>
        </w:rPr>
        <w:t>S</w:t>
      </w:r>
      <w:r w:rsidRPr="007D1404">
        <w:rPr>
          <w:szCs w:val="20"/>
        </w:rPr>
        <w:t xml:space="preserve">upport </w:t>
      </w:r>
      <w:r>
        <w:rPr>
          <w:szCs w:val="20"/>
        </w:rPr>
        <w:t>P</w:t>
      </w:r>
      <w:r w:rsidRPr="007D1404">
        <w:rPr>
          <w:szCs w:val="20"/>
        </w:rPr>
        <w:t xml:space="preserve">lan was developed with David which identified his goal of being able to maintain his personal care independently. The support plan provided information on David’s strengths and abilities, as well as his areas of difficulty and recommendations to achieve his goals. This included a referral to a CHSP service provider for an occupational therapy assessment, and the delivery of time-limited personal care services. </w:t>
      </w:r>
    </w:p>
    <w:p w14:paraId="2185BEA1" w14:textId="77777777" w:rsidR="00370263" w:rsidRPr="007D1404" w:rsidRDefault="00370263" w:rsidP="00370263">
      <w:pPr>
        <w:pStyle w:val="Boxwithcolouredkeyline"/>
      </w:pPr>
      <w:r w:rsidRPr="007D1404">
        <w:rPr>
          <w:szCs w:val="20"/>
        </w:rPr>
        <w:t>The occupational therapist used the support plan to work with David and his personal carer to achieve his goals. Initially, personal care services were provided to David three times a week to assist him with showering. Over a four-week period, the CHSP service provider worked with David to develop specific strategies such as how to step in and out of the shower safely, to help him to build his capacity and regain confidence in showering. After four weeks of service David was confident to shower independently again, and the services were withdrawn.</w:t>
      </w:r>
    </w:p>
    <w:p w14:paraId="22EED911" w14:textId="77777777" w:rsidR="00370263" w:rsidRDefault="00370263" w:rsidP="00370263">
      <w:pPr>
        <w:pBdr>
          <w:top w:val="single" w:sz="4" w:space="1" w:color="auto"/>
          <w:left w:val="single" w:sz="4" w:space="1" w:color="auto"/>
          <w:bottom w:val="single" w:sz="4" w:space="1" w:color="auto"/>
          <w:right w:val="single" w:sz="4" w:space="1" w:color="auto"/>
        </w:pBdr>
        <w:rPr>
          <w:szCs w:val="22"/>
        </w:rPr>
      </w:pPr>
      <w:r>
        <w:rPr>
          <w:b/>
          <w:szCs w:val="22"/>
        </w:rPr>
        <w:br w:type="page"/>
      </w:r>
      <w:r w:rsidRPr="19ECD6C9">
        <w:rPr>
          <w:b/>
          <w:szCs w:val="22"/>
        </w:rPr>
        <w:t xml:space="preserve">BILL </w:t>
      </w:r>
      <w:r w:rsidRPr="19ECD6C9">
        <w:rPr>
          <w:szCs w:val="22"/>
        </w:rPr>
        <w:t xml:space="preserve">is a 75 year old man who lives at home with his wife Irene. Bill had not previously received any aged care services since he and Irene had always enjoyed good health. Recently Bill had an accident which had resulted in him spending time in hospital. Although Bill recovered well from his accident, it had left him feeling anxious about leaving the house. Also, his hospital stay and inactivity had reduced his physical fitness, preventing Bill from doing as much around the house and garden as he had done before. </w:t>
      </w:r>
    </w:p>
    <w:p w14:paraId="400A2BF4"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Bill’s wife Irene contacted My Aged Care and Bill was referred for an assessment. Bill’s assessor worked with him to identify the things that he liked to do and what he no longer felt comfortable doing. A Support Plan was developed with Bill, which included some time-limited interventions with a restorative care focus, including referral:</w:t>
      </w:r>
    </w:p>
    <w:p w14:paraId="6145141E"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 xml:space="preserve">*to physiotherapy or exercise physiologist (to develop a suitable strength, balance and endurance program) </w:t>
      </w:r>
    </w:p>
    <w:p w14:paraId="3221B2FE"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*to an occupational therapist (to identify energy conservation strategies and/or suitable equipment to promote functional independence)</w:t>
      </w:r>
    </w:p>
    <w:p w14:paraId="51DC89EC" w14:textId="77777777" w:rsidR="00370263"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*for some time-limited home maintenance and domestic assistance.</w:t>
      </w:r>
    </w:p>
    <w:p w14:paraId="14A3FFCC" w14:textId="77777777" w:rsidR="00370263" w:rsidRPr="007D1404" w:rsidRDefault="00370263" w:rsidP="00370263">
      <w:pPr>
        <w:pBdr>
          <w:top w:val="single" w:sz="4" w:space="1" w:color="auto"/>
          <w:left w:val="single" w:sz="4" w:space="1" w:color="auto"/>
          <w:bottom w:val="single" w:sz="4" w:space="1" w:color="auto"/>
          <w:right w:val="single" w:sz="4" w:space="1" w:color="auto"/>
        </w:pBdr>
        <w:spacing w:before="40" w:after="40"/>
        <w:rPr>
          <w:szCs w:val="22"/>
        </w:rPr>
      </w:pPr>
      <w:r w:rsidRPr="19ECD6C9">
        <w:rPr>
          <w:szCs w:val="22"/>
        </w:rPr>
        <w:t xml:space="preserve">Following this time-limited support, Bill now feels more confident living at home and has regained much of his former capacity to undertake the home maintenance and domestic chores that he used to do. Applying this short-term restorative care intervention approach enabled Bill to regain his strength and confidence and prevented a possible longer-term dependence on ongoing support services. </w:t>
      </w:r>
    </w:p>
    <w:p w14:paraId="7298FF83" w14:textId="7692B2FF" w:rsidR="00370263" w:rsidRPr="00E2676C" w:rsidRDefault="00370263" w:rsidP="00370263">
      <w:pPr>
        <w:spacing w:before="60" w:afterLines="60" w:after="144"/>
      </w:pPr>
      <w:bookmarkStart w:id="1150" w:name="_Toc43713959"/>
      <w:r w:rsidRPr="00E2676C">
        <w:rPr>
          <w:rFonts w:ascii="Arial Bold" w:eastAsiaTheme="minorEastAsia" w:hAnsi="Arial Bold" w:cstheme="minorBidi"/>
          <w:b/>
          <w:lang w:eastAsia="en-GB"/>
        </w:rPr>
        <w:t xml:space="preserve">Assessment and </w:t>
      </w:r>
      <w:r w:rsidR="006A0282">
        <w:rPr>
          <w:rFonts w:ascii="Arial Bold" w:eastAsiaTheme="minorEastAsia" w:hAnsi="Arial Bold" w:cstheme="minorBidi"/>
          <w:b/>
          <w:lang w:eastAsia="en-GB"/>
        </w:rPr>
        <w:t>s</w:t>
      </w:r>
      <w:r w:rsidRPr="00E2676C">
        <w:rPr>
          <w:rFonts w:ascii="Arial Bold" w:eastAsiaTheme="minorEastAsia" w:hAnsi="Arial Bold" w:cstheme="minorBidi"/>
          <w:b/>
          <w:lang w:eastAsia="en-GB"/>
        </w:rPr>
        <w:t xml:space="preserve">upport </w:t>
      </w:r>
      <w:r w:rsidR="006A0282">
        <w:rPr>
          <w:rFonts w:ascii="Arial Bold" w:eastAsiaTheme="minorEastAsia" w:hAnsi="Arial Bold" w:cstheme="minorBidi"/>
          <w:b/>
          <w:lang w:eastAsia="en-GB"/>
        </w:rPr>
        <w:t>p</w:t>
      </w:r>
      <w:r w:rsidRPr="00E2676C">
        <w:rPr>
          <w:rFonts w:ascii="Arial Bold" w:eastAsiaTheme="minorEastAsia" w:hAnsi="Arial Bold" w:cstheme="minorBidi"/>
          <w:b/>
          <w:lang w:eastAsia="en-GB"/>
        </w:rPr>
        <w:t>lanning</w:t>
      </w:r>
      <w:bookmarkEnd w:id="1150"/>
    </w:p>
    <w:p w14:paraId="728F2C96" w14:textId="40C7FC4D" w:rsidR="00370263" w:rsidRPr="003E6C8D" w:rsidRDefault="00370263" w:rsidP="00370263">
      <w:pPr>
        <w:spacing w:before="60" w:afterLines="60" w:after="144"/>
      </w:pPr>
      <w:r w:rsidRPr="19ECD6C9">
        <w:t xml:space="preserve">The role of the assessor is to work with the </w:t>
      </w:r>
      <w:r>
        <w:t>older person</w:t>
      </w:r>
      <w:r w:rsidRPr="19ECD6C9">
        <w:t xml:space="preserve"> to identify their needs and concerns, as well as their goals and aspirations. As </w:t>
      </w:r>
      <w:r>
        <w:t>part</w:t>
      </w:r>
      <w:r w:rsidRPr="19ECD6C9">
        <w:t xml:space="preserve"> of the IAT, the assessment must include the </w:t>
      </w:r>
      <w:r>
        <w:t>older person</w:t>
      </w:r>
      <w:r w:rsidRPr="19ECD6C9">
        <w:t>’s:</w:t>
      </w:r>
    </w:p>
    <w:p w14:paraId="79AE7B30" w14:textId="77777777" w:rsidR="00370263" w:rsidRPr="003E6C8D" w:rsidRDefault="00370263" w:rsidP="00DF3F6B">
      <w:pPr>
        <w:pStyle w:val="ListParagraph"/>
        <w:numPr>
          <w:ilvl w:val="0"/>
          <w:numId w:val="393"/>
        </w:numPr>
        <w:spacing w:before="60" w:afterLines="60" w:after="144" w:line="300" w:lineRule="exact"/>
        <w:ind w:left="567" w:hanging="283"/>
      </w:pPr>
      <w:r w:rsidRPr="003E6C8D">
        <w:t>current level of support (formal and informal) and engagement</w:t>
      </w:r>
    </w:p>
    <w:p w14:paraId="35B8D4A7" w14:textId="77777777" w:rsidR="00370263" w:rsidRPr="003E6C8D" w:rsidRDefault="00370263" w:rsidP="00DF3F6B">
      <w:pPr>
        <w:pStyle w:val="ListParagraph"/>
        <w:numPr>
          <w:ilvl w:val="0"/>
          <w:numId w:val="393"/>
        </w:numPr>
        <w:spacing w:before="60" w:afterLines="60" w:after="144" w:line="300" w:lineRule="exact"/>
        <w:ind w:left="567" w:hanging="283"/>
      </w:pPr>
      <w:r w:rsidRPr="003E6C8D">
        <w:t>carer availability and sustainability</w:t>
      </w:r>
    </w:p>
    <w:p w14:paraId="0EC2DA05" w14:textId="77777777" w:rsidR="00370263" w:rsidRPr="003E6C8D" w:rsidRDefault="00370263" w:rsidP="00DF3F6B">
      <w:pPr>
        <w:pStyle w:val="ListParagraph"/>
        <w:numPr>
          <w:ilvl w:val="0"/>
          <w:numId w:val="393"/>
        </w:numPr>
        <w:spacing w:before="60" w:afterLines="60" w:after="144" w:line="300" w:lineRule="exact"/>
        <w:ind w:left="567" w:hanging="283"/>
      </w:pPr>
      <w:r w:rsidRPr="003E6C8D">
        <w:t>health concerns and priorities</w:t>
      </w:r>
    </w:p>
    <w:p w14:paraId="6432B301" w14:textId="77777777" w:rsidR="00370263" w:rsidRPr="003E6C8D" w:rsidRDefault="00370263" w:rsidP="00DF3F6B">
      <w:pPr>
        <w:pStyle w:val="ListParagraph"/>
        <w:numPr>
          <w:ilvl w:val="0"/>
          <w:numId w:val="393"/>
        </w:numPr>
        <w:spacing w:after="80" w:line="300" w:lineRule="exact"/>
        <w:ind w:left="567" w:hanging="283"/>
      </w:pPr>
      <w:r w:rsidRPr="003E6C8D">
        <w:t>functional status</w:t>
      </w:r>
    </w:p>
    <w:p w14:paraId="080A0841" w14:textId="77777777" w:rsidR="00370263" w:rsidRPr="003E6C8D" w:rsidRDefault="00370263" w:rsidP="00DF3F6B">
      <w:pPr>
        <w:pStyle w:val="ListParagraph"/>
        <w:numPr>
          <w:ilvl w:val="0"/>
          <w:numId w:val="393"/>
        </w:numPr>
        <w:spacing w:after="80" w:line="300" w:lineRule="exact"/>
        <w:ind w:left="567" w:hanging="283"/>
      </w:pPr>
      <w:r w:rsidRPr="003E6C8D">
        <w:t xml:space="preserve">psychosocial and psychological concerns, and </w:t>
      </w:r>
    </w:p>
    <w:p w14:paraId="03EB65C2" w14:textId="77777777" w:rsidR="00370263" w:rsidRPr="003E6C8D" w:rsidRDefault="00370263" w:rsidP="00DF3F6B">
      <w:pPr>
        <w:pStyle w:val="ListParagraph"/>
        <w:numPr>
          <w:ilvl w:val="0"/>
          <w:numId w:val="393"/>
        </w:numPr>
        <w:spacing w:afterLines="60" w:after="144" w:line="300" w:lineRule="exact"/>
        <w:ind w:left="568" w:hanging="284"/>
      </w:pPr>
      <w:r w:rsidRPr="003E6C8D">
        <w:t>home and personal safety considerations.</w:t>
      </w:r>
    </w:p>
    <w:p w14:paraId="78AB632B" w14:textId="71D0DC1E" w:rsidR="00370263" w:rsidRPr="003E6C8D" w:rsidRDefault="00370263" w:rsidP="00370263">
      <w:pPr>
        <w:spacing w:afterLines="60" w:after="144" w:line="300" w:lineRule="exact"/>
      </w:pPr>
      <w:r w:rsidRPr="19ECD6C9">
        <w:t xml:space="preserve">The assessor then works with the </w:t>
      </w:r>
      <w:r>
        <w:t>older person</w:t>
      </w:r>
      <w:r w:rsidRPr="19ECD6C9">
        <w:t xml:space="preserve"> to develop a Support Plan which focuses the support needed to assist them to achieve their goals. In developing a Support Plan with a</w:t>
      </w:r>
      <w:r>
        <w:t>n</w:t>
      </w:r>
      <w:r w:rsidRPr="19ECD6C9">
        <w:t xml:space="preserve"> </w:t>
      </w:r>
      <w:r>
        <w:t xml:space="preserve">older </w:t>
      </w:r>
      <w:r w:rsidR="000F3407">
        <w:t>person,</w:t>
      </w:r>
      <w:r w:rsidRPr="19ECD6C9">
        <w:t xml:space="preserve"> the assessor will:</w:t>
      </w:r>
    </w:p>
    <w:p w14:paraId="62086274" w14:textId="77777777" w:rsidR="00370263" w:rsidRPr="00035ACE" w:rsidRDefault="00370263" w:rsidP="00DF3F6B">
      <w:pPr>
        <w:pStyle w:val="ListParagraph"/>
        <w:numPr>
          <w:ilvl w:val="0"/>
          <w:numId w:val="59"/>
        </w:numPr>
        <w:spacing w:after="120" w:line="300" w:lineRule="exact"/>
        <w:ind w:left="568" w:hanging="284"/>
        <w:contextualSpacing w:val="0"/>
      </w:pPr>
      <w:r w:rsidRPr="56CD3535">
        <w:t>Focus on what a</w:t>
      </w:r>
      <w:r>
        <w:t>n</w:t>
      </w:r>
      <w:r w:rsidRPr="56CD3535">
        <w:t xml:space="preserve"> </w:t>
      </w:r>
      <w:r>
        <w:t>older person</w:t>
      </w:r>
      <w:r w:rsidRPr="56CD3535">
        <w:t xml:space="preserve"> can do and discuss what they need to complete more difficult tasks, such as breaking down into simpler components.</w:t>
      </w:r>
    </w:p>
    <w:p w14:paraId="76B5E377" w14:textId="77777777" w:rsidR="00370263" w:rsidRPr="00035ACE" w:rsidRDefault="00370263" w:rsidP="00DF3F6B">
      <w:pPr>
        <w:pStyle w:val="ListParagraph"/>
        <w:numPr>
          <w:ilvl w:val="0"/>
          <w:numId w:val="59"/>
        </w:numPr>
        <w:spacing w:after="120" w:line="300" w:lineRule="exact"/>
        <w:ind w:left="568" w:hanging="284"/>
        <w:contextualSpacing w:val="0"/>
      </w:pPr>
      <w:r w:rsidRPr="56CD3535">
        <w:t xml:space="preserve">Discuss strategies to manage day-to-day tasks (e.g. transport planning to meet goals around the use of public transport to maintain usual activities). </w:t>
      </w:r>
    </w:p>
    <w:p w14:paraId="3AE43894" w14:textId="77777777" w:rsidR="00370263" w:rsidRPr="006053B6" w:rsidRDefault="00370263" w:rsidP="00DF3F6B">
      <w:pPr>
        <w:pStyle w:val="ListParagraph"/>
        <w:numPr>
          <w:ilvl w:val="0"/>
          <w:numId w:val="59"/>
        </w:numPr>
        <w:spacing w:after="240" w:line="300" w:lineRule="exact"/>
        <w:ind w:left="568" w:hanging="284"/>
        <w:contextualSpacing w:val="0"/>
        <w:rPr>
          <w:lang w:eastAsia="ko-KR"/>
        </w:rPr>
      </w:pPr>
      <w:r w:rsidRPr="56CD3535">
        <w:t xml:space="preserve">Explore the </w:t>
      </w:r>
      <w:r>
        <w:t>older person</w:t>
      </w:r>
      <w:r w:rsidRPr="56CD3535">
        <w:t xml:space="preserve">’s opportunity for supporting independence through wellness and reablement approaches (e.g. can the </w:t>
      </w:r>
      <w:r>
        <w:t>older person</w:t>
      </w:r>
      <w:r w:rsidRPr="56CD3535">
        <w:t xml:space="preserve"> benefit from time-limited support and/or the use of specific aids and equipment or home modifications such as installing shower rails to build confidence and independence).</w:t>
      </w:r>
    </w:p>
    <w:p w14:paraId="605B526A" w14:textId="77777777" w:rsidR="00370263" w:rsidRPr="00035ACE" w:rsidRDefault="00370263" w:rsidP="00370263">
      <w:pPr>
        <w:spacing w:before="60" w:after="60" w:line="300" w:lineRule="exact"/>
        <w:rPr>
          <w:lang w:eastAsia="ko-KR"/>
        </w:rPr>
      </w:pPr>
      <w:r w:rsidRPr="19ECD6C9">
        <w:rPr>
          <w:lang w:eastAsia="ko-KR"/>
        </w:rPr>
        <w:t xml:space="preserve">Developing a Support Plan with the </w:t>
      </w:r>
      <w:r>
        <w:rPr>
          <w:lang w:eastAsia="ko-KR"/>
        </w:rPr>
        <w:t>older person</w:t>
      </w:r>
      <w:r w:rsidRPr="19ECD6C9">
        <w:rPr>
          <w:lang w:eastAsia="ko-KR"/>
        </w:rPr>
        <w:t xml:space="preserve"> helps to ensure that it accurately reflects the </w:t>
      </w:r>
      <w:r>
        <w:rPr>
          <w:lang w:eastAsia="ko-KR"/>
        </w:rPr>
        <w:t>older person</w:t>
      </w:r>
      <w:r w:rsidRPr="19ECD6C9">
        <w:rPr>
          <w:lang w:eastAsia="ko-KR"/>
        </w:rPr>
        <w:t xml:space="preserve">’s needs and achievable goals and discusses with the </w:t>
      </w:r>
      <w:r>
        <w:rPr>
          <w:lang w:eastAsia="ko-KR"/>
        </w:rPr>
        <w:t>older person</w:t>
      </w:r>
      <w:r w:rsidRPr="19ECD6C9">
        <w:rPr>
          <w:lang w:eastAsia="ko-KR"/>
        </w:rPr>
        <w:t xml:space="preserve"> the role they will need to play to achieve them how they feel about this (motivation). This will increase the likelihood that the </w:t>
      </w:r>
      <w:r>
        <w:rPr>
          <w:lang w:eastAsia="ko-KR"/>
        </w:rPr>
        <w:t>older person</w:t>
      </w:r>
      <w:r w:rsidRPr="19ECD6C9">
        <w:rPr>
          <w:lang w:eastAsia="ko-KR"/>
        </w:rPr>
        <w:t xml:space="preserve"> will be motivated to work towards the goals they have identified, including supporting their independence through wellness and reablement approaches. </w:t>
      </w:r>
    </w:p>
    <w:p w14:paraId="2A75A5BE" w14:textId="77777777" w:rsidR="00370263" w:rsidRPr="003E6C8D" w:rsidRDefault="00370263" w:rsidP="00370263">
      <w:pPr>
        <w:spacing w:before="60" w:after="60" w:line="300" w:lineRule="exact"/>
        <w:rPr>
          <w:lang w:eastAsia="ko-KR"/>
        </w:rPr>
      </w:pPr>
      <w:r w:rsidRPr="19ECD6C9">
        <w:rPr>
          <w:lang w:eastAsia="ko-KR"/>
        </w:rPr>
        <w:t>In some circumstances, where the assessment has identified that a short-term intervention is appropriate, the assess</w:t>
      </w:r>
      <w:r>
        <w:rPr>
          <w:lang w:eastAsia="ko-KR"/>
        </w:rPr>
        <w:t>ment</w:t>
      </w:r>
      <w:r w:rsidRPr="19ECD6C9">
        <w:rPr>
          <w:lang w:eastAsia="ko-KR"/>
        </w:rPr>
        <w:t xml:space="preserve"> organisation is required take on a coordination role to ensure that all referrals in the Support Plan are linked to one or more service providers and that they will all be delivered within an agreed time frame. </w:t>
      </w:r>
    </w:p>
    <w:p w14:paraId="7E643FD0" w14:textId="6356AB48" w:rsidR="00370263" w:rsidRDefault="00370263" w:rsidP="00370263">
      <w:pPr>
        <w:spacing w:before="60" w:after="60" w:line="240" w:lineRule="auto"/>
        <w:rPr>
          <w:lang w:eastAsia="ko-KR"/>
        </w:rPr>
      </w:pPr>
      <w:r w:rsidRPr="19ECD6C9">
        <w:rPr>
          <w:lang w:eastAsia="ko-KR"/>
        </w:rPr>
        <w:t xml:space="preserve">For </w:t>
      </w:r>
      <w:r w:rsidR="00516348">
        <w:rPr>
          <w:lang w:eastAsia="ko-KR"/>
        </w:rPr>
        <w:t>older people</w:t>
      </w:r>
      <w:r w:rsidRPr="19ECD6C9">
        <w:rPr>
          <w:lang w:eastAsia="ko-KR"/>
        </w:rPr>
        <w:t xml:space="preserve"> receiving wellness and reablement support, assessors should include review dates on the </w:t>
      </w:r>
      <w:r>
        <w:rPr>
          <w:lang w:eastAsia="ko-KR"/>
        </w:rPr>
        <w:t>older person</w:t>
      </w:r>
      <w:r w:rsidRPr="19ECD6C9">
        <w:rPr>
          <w:lang w:eastAsia="ko-KR"/>
        </w:rPr>
        <w:t xml:space="preserve">’s Support Plan to monitor the </w:t>
      </w:r>
      <w:r>
        <w:rPr>
          <w:lang w:eastAsia="ko-KR"/>
        </w:rPr>
        <w:t>older person</w:t>
      </w:r>
      <w:r w:rsidRPr="19ECD6C9">
        <w:rPr>
          <w:lang w:eastAsia="ko-KR"/>
        </w:rPr>
        <w:t xml:space="preserve">’s progress towards their goals and desired outcomes. The need for ongoing, or an adjustment in services will also be assessed. In these circumstances, CHSP service providers </w:t>
      </w:r>
      <w:r w:rsidR="000B1484">
        <w:rPr>
          <w:lang w:eastAsia="ko-KR"/>
        </w:rPr>
        <w:t>should</w:t>
      </w:r>
      <w:r w:rsidRPr="19ECD6C9">
        <w:rPr>
          <w:lang w:eastAsia="ko-KR"/>
        </w:rPr>
        <w:t xml:space="preserve"> provide time limited services in line with your Support Plan.</w:t>
      </w:r>
    </w:p>
    <w:p w14:paraId="66F10DF0" w14:textId="77777777" w:rsidR="00370263" w:rsidRPr="00E2676C" w:rsidRDefault="00370263" w:rsidP="00370263">
      <w:pPr>
        <w:spacing w:before="60"/>
        <w:rPr>
          <w:rFonts w:ascii="Arial Bold" w:eastAsiaTheme="minorEastAsia" w:hAnsi="Arial Bold" w:cstheme="minorBidi" w:hint="eastAsia"/>
          <w:b/>
          <w:lang w:eastAsia="en-GB"/>
        </w:rPr>
      </w:pPr>
      <w:r>
        <w:rPr>
          <w:rFonts w:ascii="Arial Bold" w:eastAsiaTheme="minorEastAsia" w:hAnsi="Arial Bold" w:cstheme="minorBidi"/>
          <w:b/>
          <w:lang w:eastAsia="en-GB"/>
        </w:rPr>
        <w:t>Older person</w:t>
      </w:r>
      <w:r w:rsidRPr="00E2676C">
        <w:rPr>
          <w:rFonts w:ascii="Arial Bold" w:eastAsiaTheme="minorEastAsia" w:hAnsi="Arial Bold" w:cstheme="minorBidi"/>
          <w:b/>
          <w:lang w:eastAsia="en-GB"/>
        </w:rPr>
        <w:t xml:space="preserve"> scenario – wellness and reablement-focused assessment with support planning</w:t>
      </w:r>
    </w:p>
    <w:p w14:paraId="48B0A84C" w14:textId="77777777" w:rsidR="00370263" w:rsidRPr="00C755DA" w:rsidRDefault="00370263" w:rsidP="00370263">
      <w:pPr>
        <w:pStyle w:val="Boxwithcolouredkeyline"/>
        <w:pBdr>
          <w:top w:val="single" w:sz="4" w:space="8" w:color="auto"/>
          <w:left w:val="single" w:sz="4" w:space="8" w:color="auto"/>
          <w:bottom w:val="single" w:sz="4" w:space="8" w:color="auto"/>
          <w:right w:val="single" w:sz="4" w:space="8" w:color="auto"/>
        </w:pBdr>
        <w:rPr>
          <w:b/>
          <w:bCs/>
        </w:rPr>
      </w:pPr>
      <w:r w:rsidRPr="007D1404">
        <w:rPr>
          <w:b/>
          <w:bCs/>
          <w:szCs w:val="20"/>
        </w:rPr>
        <w:t>CECELIA</w:t>
      </w:r>
      <w:r>
        <w:rPr>
          <w:b/>
          <w:bCs/>
        </w:rPr>
        <w:t xml:space="preserve"> </w:t>
      </w:r>
      <w:r w:rsidRPr="007D1404">
        <w:rPr>
          <w:szCs w:val="20"/>
        </w:rPr>
        <w:t xml:space="preserve">is an 81-year-old woman who lives alone. Before experiencing a stroke earlier in the year, Cecelia had been actively involved in her church and local community. However, following the stroke, Cecelia stopped going out on her own, fearing that her poor balance could result in a fall. Within her house she had also cut down on the heavier housekeeping tasks like vacuuming, large cleaning jobs, laundry and gardening.  </w:t>
      </w:r>
    </w:p>
    <w:p w14:paraId="3C354BF8"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sidRPr="007D1404">
        <w:rPr>
          <w:szCs w:val="20"/>
        </w:rPr>
        <w:t>Cecelia was referred to My Aged Care by her doctor and following the initial registration process</w:t>
      </w:r>
      <w:r>
        <w:rPr>
          <w:szCs w:val="20"/>
        </w:rPr>
        <w:t xml:space="preserve"> and triage</w:t>
      </w:r>
      <w:r w:rsidRPr="007D1404">
        <w:rPr>
          <w:szCs w:val="20"/>
        </w:rPr>
        <w:t>, a face-to-face assessment was organised. Cecelia’s assessment helped to identify her strengths and capabilities as well as her needs. The resulting support plan was centred around Cecelia’s own goals which included getting stronger, resuming her church activities, doing more about the house and getting back out in the garden. Cecelia’s support plan included:</w:t>
      </w:r>
    </w:p>
    <w:p w14:paraId="63B03332"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sidRPr="00646160">
        <w:rPr>
          <w:szCs w:val="20"/>
        </w:rPr>
        <w:t>*</w:t>
      </w:r>
      <w:r>
        <w:rPr>
          <w:szCs w:val="20"/>
        </w:rPr>
        <w:t xml:space="preserve"> </w:t>
      </w:r>
      <w:r w:rsidRPr="007D1404">
        <w:rPr>
          <w:szCs w:val="20"/>
        </w:rPr>
        <w:t>referral to an allied health professional to assist with her goal of getting stronger,</w:t>
      </w:r>
    </w:p>
    <w:p w14:paraId="79A8F7A7"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Pr>
          <w:szCs w:val="20"/>
        </w:rPr>
        <w:t xml:space="preserve">* </w:t>
      </w:r>
      <w:r w:rsidRPr="007D1404">
        <w:rPr>
          <w:szCs w:val="20"/>
        </w:rPr>
        <w:t>referral to a CHSP domestic assistance service provider to provide assistance with the more difficult household chores and to help Cecelia to identify which chores she could still manage to do on her own,</w:t>
      </w:r>
    </w:p>
    <w:p w14:paraId="6231B07C" w14:textId="77777777" w:rsidR="00370263" w:rsidRPr="007D1404"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pPr>
      <w:r>
        <w:rPr>
          <w:szCs w:val="20"/>
        </w:rPr>
        <w:t xml:space="preserve">* </w:t>
      </w:r>
      <w:r w:rsidRPr="007D1404">
        <w:rPr>
          <w:szCs w:val="20"/>
        </w:rPr>
        <w:t xml:space="preserve">assistance to identify and make contact with a pastoral care team member to discuss her continued interest in </w:t>
      </w:r>
      <w:r>
        <w:rPr>
          <w:szCs w:val="20"/>
        </w:rPr>
        <w:t>part</w:t>
      </w:r>
      <w:r w:rsidRPr="007D1404">
        <w:rPr>
          <w:szCs w:val="20"/>
        </w:rPr>
        <w:t>icipating in church activities, and</w:t>
      </w:r>
    </w:p>
    <w:p w14:paraId="274C77C4" w14:textId="77777777" w:rsidR="00370263"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rPr>
          <w:szCs w:val="20"/>
        </w:rPr>
      </w:pPr>
      <w:r>
        <w:rPr>
          <w:szCs w:val="20"/>
        </w:rPr>
        <w:t xml:space="preserve">* </w:t>
      </w:r>
      <w:r w:rsidRPr="007D1404">
        <w:rPr>
          <w:szCs w:val="20"/>
        </w:rPr>
        <w:t>referral to a home maintenance service for discussion and planning to convert her garden to be safer and more accessi</w:t>
      </w:r>
      <w:r w:rsidRPr="00BC08B6">
        <w:rPr>
          <w:szCs w:val="20"/>
        </w:rPr>
        <w:t>ble, and lower maintenance.</w:t>
      </w:r>
    </w:p>
    <w:p w14:paraId="3B9B5133" w14:textId="77777777" w:rsidR="00370263" w:rsidRPr="0092193C" w:rsidRDefault="00370263" w:rsidP="00370263">
      <w:pPr>
        <w:pStyle w:val="Boxwithcolouredkeyline"/>
        <w:pBdr>
          <w:top w:val="single" w:sz="4" w:space="8" w:color="auto"/>
          <w:left w:val="single" w:sz="4" w:space="8" w:color="auto"/>
          <w:bottom w:val="single" w:sz="4" w:space="8" w:color="auto"/>
          <w:right w:val="single" w:sz="4" w:space="8" w:color="auto"/>
        </w:pBdr>
        <w:spacing w:before="40" w:after="40"/>
        <w:rPr>
          <w:szCs w:val="20"/>
        </w:rPr>
      </w:pPr>
      <w:r w:rsidRPr="00BC08B6">
        <w:rPr>
          <w:szCs w:val="20"/>
        </w:rPr>
        <w:t>After mastering basic strength and balance exercises through a home exercise program designed by the allied health professional, Cecelia was eventually able to walk unaided inside her home. A more confident Cecelia then arranged a ‘buddy’ to drive her to and from church activities. At the same time, the CHSP domestic assistance service provider worked with Cecelia to assist her to take on some of the easier housekeeping chores enabling her to remain more active and independent. Cecelia was also delighted to find that the new raised garden beds enabled her to access and maintain her garden more safely without affecting her enjoyment of the garden.</w:t>
      </w:r>
    </w:p>
    <w:p w14:paraId="5086F7CE" w14:textId="77777777" w:rsidR="00370263" w:rsidRDefault="00370263" w:rsidP="004B6DFD">
      <w:pPr>
        <w:pStyle w:val="H1"/>
      </w:pPr>
      <w:r>
        <w:br w:type="page"/>
      </w:r>
    </w:p>
    <w:p w14:paraId="64DD715A" w14:textId="77777777" w:rsidR="00370263" w:rsidRDefault="00370263" w:rsidP="004B6DFD">
      <w:pPr>
        <w:pStyle w:val="H1"/>
        <w:sectPr w:rsidR="00370263" w:rsidSect="00370263">
          <w:pgSz w:w="11906" w:h="16838"/>
          <w:pgMar w:top="1440" w:right="1440" w:bottom="1440" w:left="1440" w:header="708" w:footer="708" w:gutter="0"/>
          <w:cols w:space="708"/>
          <w:docGrid w:linePitch="360"/>
        </w:sectPr>
      </w:pPr>
    </w:p>
    <w:p w14:paraId="1E526988" w14:textId="5F29CF1E" w:rsidR="00370263" w:rsidRPr="00546F1B" w:rsidRDefault="00370263" w:rsidP="005D6C7B">
      <w:pPr>
        <w:pStyle w:val="H1"/>
        <w:numPr>
          <w:ilvl w:val="0"/>
          <w:numId w:val="0"/>
        </w:numPr>
        <w:ind w:left="360"/>
      </w:pPr>
      <w:bookmarkStart w:id="1151" w:name="_Toc209189081"/>
      <w:bookmarkStart w:id="1152" w:name="_Toc224916732"/>
      <w:r w:rsidRPr="00546F1B">
        <w:t xml:space="preserve">APPENDIX </w:t>
      </w:r>
      <w:r w:rsidR="00A5274A">
        <w:t>F</w:t>
      </w:r>
      <w:r w:rsidR="00A5274A" w:rsidRPr="00546F1B">
        <w:t xml:space="preserve"> </w:t>
      </w:r>
      <w:r w:rsidRPr="00546F1B">
        <w:t xml:space="preserve">– Aged </w:t>
      </w:r>
      <w:r w:rsidR="005B4AB1">
        <w:t>c</w:t>
      </w:r>
      <w:r w:rsidRPr="00546F1B">
        <w:t xml:space="preserve">are </w:t>
      </w:r>
      <w:r w:rsidR="005B4AB1">
        <w:t>a</w:t>
      </w:r>
      <w:r w:rsidRPr="00546F1B">
        <w:t xml:space="preserve">ssessment </w:t>
      </w:r>
      <w:r w:rsidR="005B4AB1">
        <w:t>w</w:t>
      </w:r>
      <w:r w:rsidRPr="00546F1B">
        <w:t xml:space="preserve">orkforce </w:t>
      </w:r>
      <w:bookmarkEnd w:id="1151"/>
      <w:r w:rsidR="00F420BA">
        <w:t>minimum qualifications</w:t>
      </w:r>
      <w:bookmarkEnd w:id="1152"/>
    </w:p>
    <w:p w14:paraId="5AA74618" w14:textId="05D2B8E3" w:rsidR="00370263" w:rsidRDefault="00370263" w:rsidP="00370263">
      <w:r>
        <w:t xml:space="preserve">Assessment </w:t>
      </w:r>
      <w:r w:rsidR="005B4AB1">
        <w:t>o</w:t>
      </w:r>
      <w:r>
        <w:t xml:space="preserve">rganisations must ensure their workforce has the appropriate training, skills and credentials to provide aged care needs assessments and related services. The below table lists the workforce credentials requirements for key roles within Assessment </w:t>
      </w:r>
      <w:r w:rsidR="005B4AB1">
        <w:t>o</w:t>
      </w:r>
      <w:r>
        <w:t xml:space="preserve">rganisations referenced in Chapter </w:t>
      </w:r>
      <w:r w:rsidR="00146A9D">
        <w:fldChar w:fldCharType="begin"/>
      </w:r>
      <w:r w:rsidR="00146A9D">
        <w:instrText xml:space="preserve"> REF _Ref212734883 \r \h </w:instrText>
      </w:r>
      <w:r w:rsidR="00146A9D">
        <w:fldChar w:fldCharType="separate"/>
      </w:r>
      <w:r w:rsidR="00F97942">
        <w:t>2</w:t>
      </w:r>
      <w:r w:rsidR="00146A9D">
        <w:fldChar w:fldCharType="end"/>
      </w:r>
      <w:r>
        <w:t xml:space="preserve">. </w:t>
      </w:r>
      <w:r w:rsidR="00E26892">
        <w:t xml:space="preserve">Training requirements for each role are detailed in the Workforce Learning Strategy. </w:t>
      </w:r>
    </w:p>
    <w:p w14:paraId="5E38EFB1" w14:textId="47667167" w:rsidR="00370263" w:rsidRDefault="00370263" w:rsidP="00370263">
      <w:pPr>
        <w:pStyle w:val="Caption"/>
      </w:pPr>
      <w:r>
        <w:t>Table 6</w:t>
      </w:r>
      <w:r w:rsidR="00E67BF4">
        <w:t>7</w:t>
      </w:r>
      <w:r>
        <w:t xml:space="preserve">. Aged care assessment workforce </w:t>
      </w:r>
      <w:r w:rsidR="00F420BA">
        <w:t>minimum qualifications</w:t>
      </w:r>
      <w:r>
        <w:t xml:space="preserve"> </w:t>
      </w:r>
    </w:p>
    <w:tbl>
      <w:tblPr>
        <w:tblStyle w:val="TableGrid"/>
        <w:tblW w:w="4868" w:type="pct"/>
        <w:tblBorders>
          <w:bottom w:val="single" w:sz="4" w:space="0" w:color="auto"/>
          <w:insideH w:val="single" w:sz="4" w:space="0" w:color="auto"/>
        </w:tblBorders>
        <w:tblLayout w:type="fixed"/>
        <w:tblLook w:val="04A0" w:firstRow="1" w:lastRow="0" w:firstColumn="1" w:lastColumn="0" w:noHBand="0" w:noVBand="1"/>
        <w:tblCaption w:val="Aged care assessment workforce credentials and training requirements"/>
      </w:tblPr>
      <w:tblGrid>
        <w:gridCol w:w="1844"/>
        <w:gridCol w:w="6944"/>
      </w:tblGrid>
      <w:tr w:rsidR="00333B03" w:rsidRPr="005F073C" w14:paraId="6B671CFB" w14:textId="77777777" w:rsidTr="00254FC0">
        <w:trPr>
          <w:cantSplit/>
          <w:tblHeader/>
        </w:trPr>
        <w:tc>
          <w:tcPr>
            <w:tcW w:w="1049" w:type="pct"/>
            <w:shd w:val="clear" w:color="auto" w:fill="002060"/>
          </w:tcPr>
          <w:p w14:paraId="4950457F" w14:textId="77777777" w:rsidR="00333B03" w:rsidRPr="005F073C" w:rsidRDefault="00333B03">
            <w:pPr>
              <w:pStyle w:val="PartL3"/>
              <w:spacing w:before="120"/>
              <w:rPr>
                <w:rFonts w:ascii="Arial" w:hAnsi="Arial" w:cs="Arial"/>
                <w:color w:val="FFFFFF" w:themeColor="background1"/>
              </w:rPr>
            </w:pPr>
            <w:r w:rsidRPr="005F073C">
              <w:rPr>
                <w:rFonts w:ascii="Arial" w:hAnsi="Arial" w:cs="Arial"/>
                <w:b/>
                <w:color w:val="FFFFFF" w:themeColor="background1"/>
              </w:rPr>
              <w:t>Role</w:t>
            </w:r>
          </w:p>
        </w:tc>
        <w:tc>
          <w:tcPr>
            <w:tcW w:w="3951" w:type="pct"/>
            <w:shd w:val="clear" w:color="auto" w:fill="002060"/>
          </w:tcPr>
          <w:p w14:paraId="2786FE11" w14:textId="77777777" w:rsidR="00333B03" w:rsidRPr="005F073C" w:rsidRDefault="00333B03">
            <w:pPr>
              <w:pStyle w:val="PartL3"/>
              <w:spacing w:before="120"/>
              <w:rPr>
                <w:rFonts w:ascii="Arial" w:hAnsi="Arial" w:cs="Arial"/>
                <w:color w:val="FFFFFF" w:themeColor="background1"/>
              </w:rPr>
            </w:pPr>
            <w:r w:rsidRPr="005F073C">
              <w:rPr>
                <w:rFonts w:ascii="Arial" w:hAnsi="Arial" w:cs="Arial"/>
                <w:b/>
                <w:color w:val="FFFFFF" w:themeColor="background1"/>
              </w:rPr>
              <w:t>Minimum qualification requirements</w:t>
            </w:r>
          </w:p>
        </w:tc>
      </w:tr>
      <w:tr w:rsidR="00333B03" w:rsidRPr="005F073C" w14:paraId="40BCB611" w14:textId="77777777" w:rsidTr="00254FC0">
        <w:trPr>
          <w:cantSplit/>
        </w:trPr>
        <w:tc>
          <w:tcPr>
            <w:tcW w:w="1049" w:type="pct"/>
            <w:shd w:val="clear" w:color="auto" w:fill="FFFFFF" w:themeFill="background1"/>
          </w:tcPr>
          <w:p w14:paraId="6DCFA87E" w14:textId="77777777" w:rsidR="00333B03" w:rsidRPr="005F073C" w:rsidRDefault="00333B03">
            <w:pPr>
              <w:pStyle w:val="PartL3"/>
              <w:spacing w:before="120"/>
              <w:rPr>
                <w:rFonts w:ascii="Arial" w:hAnsi="Arial" w:cs="Arial"/>
                <w:b/>
              </w:rPr>
            </w:pPr>
            <w:r w:rsidRPr="005F073C">
              <w:rPr>
                <w:rFonts w:ascii="Arial" w:hAnsi="Arial" w:cs="Arial"/>
                <w:b/>
              </w:rPr>
              <w:t>Triage Delegate</w:t>
            </w:r>
          </w:p>
        </w:tc>
        <w:tc>
          <w:tcPr>
            <w:tcW w:w="3951" w:type="pct"/>
            <w:shd w:val="clear" w:color="auto" w:fill="FFFFFF" w:themeFill="background1"/>
          </w:tcPr>
          <w:p w14:paraId="527FD0F3" w14:textId="2BA9B932"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Tertiary</w:t>
            </w:r>
            <w:r w:rsidR="00F03C3D">
              <w:rPr>
                <w:rFonts w:ascii="Arial" w:hAnsi="Arial" w:cs="Arial"/>
              </w:rPr>
              <w:t>*</w:t>
            </w:r>
            <w:r w:rsidRPr="005F073C">
              <w:rPr>
                <w:rFonts w:ascii="Arial" w:hAnsi="Arial" w:cs="Arial"/>
              </w:rPr>
              <w:t xml:space="preserve"> – in a health-related discipline directly related to health, aged care or related specialist area. E.g. registered nurses, medical officers, occupational therapists, physiotherapists and social workers. </w:t>
            </w:r>
          </w:p>
          <w:p w14:paraId="0C7FD8C4"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Current unrestricted registration with the Australian Health Practitioners Regulation Agency (AHPRA) or part of or eligible to be part of a relevant professional association. </w:t>
            </w:r>
          </w:p>
          <w:p w14:paraId="0FB29308" w14:textId="77777777" w:rsidR="00333B03" w:rsidRDefault="00333B03" w:rsidP="00DF3F6B">
            <w:pPr>
              <w:pStyle w:val="PartL3"/>
              <w:numPr>
                <w:ilvl w:val="0"/>
                <w:numId w:val="396"/>
              </w:numPr>
              <w:spacing w:before="120"/>
              <w:rPr>
                <w:rFonts w:ascii="Arial" w:hAnsi="Arial" w:cs="Arial"/>
              </w:rPr>
            </w:pPr>
            <w:r w:rsidRPr="005F073C">
              <w:rPr>
                <w:rFonts w:ascii="Arial" w:hAnsi="Arial" w:cs="Arial"/>
              </w:rPr>
              <w:t>at least one years’ Aged Care Needs Assessment experience preferred.</w:t>
            </w:r>
          </w:p>
          <w:p w14:paraId="4F556AE0" w14:textId="200D2B70" w:rsidR="008A57A8" w:rsidRPr="00254FC0" w:rsidRDefault="00455D8A" w:rsidP="008A57A8">
            <w:pPr>
              <w:rPr>
                <w:rFonts w:eastAsia="Times New Roman"/>
                <w:b/>
                <w:bCs/>
                <w:szCs w:val="22"/>
                <w:lang w:bidi="th-TH"/>
              </w:rPr>
            </w:pPr>
            <w:r>
              <w:rPr>
                <w:rFonts w:eastAsia="Times New Roman"/>
                <w:b/>
                <w:bCs/>
                <w:szCs w:val="22"/>
                <w:lang w:bidi="th-TH"/>
              </w:rPr>
              <w:t>Additional qualifications recognised</w:t>
            </w:r>
            <w:r w:rsidR="008A57A8" w:rsidRPr="00254FC0">
              <w:rPr>
                <w:rFonts w:eastAsia="Times New Roman"/>
                <w:b/>
                <w:bCs/>
                <w:szCs w:val="22"/>
                <w:lang w:bidi="th-TH"/>
              </w:rPr>
              <w:t xml:space="preserve"> for Aboriginal and Torres Strait Islander Assessment Organisations</w:t>
            </w:r>
          </w:p>
          <w:p w14:paraId="24F2CB84" w14:textId="77777777" w:rsidR="00DF1DE5" w:rsidRPr="00FA6043" w:rsidRDefault="00DF1DE5" w:rsidP="001E2A05">
            <w:pPr>
              <w:pStyle w:val="PartL3"/>
              <w:numPr>
                <w:ilvl w:val="0"/>
                <w:numId w:val="396"/>
              </w:numPr>
              <w:spacing w:before="120"/>
            </w:pPr>
            <w:r w:rsidRPr="001E2A05">
              <w:rPr>
                <w:rFonts w:ascii="Arial" w:hAnsi="Arial" w:cs="Arial"/>
              </w:rPr>
              <w:t>Aboriginal and Torres Strait Islander Health Practitioners with a Diploma of Aboriginal and/or Torres Strait Isander Primary Health Care Practice and is registered with the Aboriginal and Torres Strait Islander Health Practice Board of Australia</w:t>
            </w:r>
            <w:r w:rsidRPr="00FA6043">
              <w:t> </w:t>
            </w:r>
          </w:p>
          <w:p w14:paraId="1176485E" w14:textId="38CAF829" w:rsidR="00DF1DE5" w:rsidRDefault="00DF1DE5" w:rsidP="001E2A05">
            <w:pPr>
              <w:pStyle w:val="PartL3"/>
              <w:numPr>
                <w:ilvl w:val="0"/>
                <w:numId w:val="396"/>
              </w:numPr>
              <w:spacing w:before="120"/>
            </w:pPr>
            <w:r w:rsidRPr="001E2A05">
              <w:rPr>
                <w:rFonts w:ascii="Arial" w:hAnsi="Arial" w:cs="Arial"/>
              </w:rPr>
              <w:t>Allied Health Assistants with a Diploma or above qualification in Allied Health Assistance and holds or is eligible for a Practising Member (certified) membership with the Allied Health Assistant’s National Association</w:t>
            </w:r>
            <w:r w:rsidRPr="5A3C12AF">
              <w:t> </w:t>
            </w:r>
          </w:p>
          <w:p w14:paraId="2BE1DAA3" w14:textId="602488BC" w:rsidR="00E40652" w:rsidRPr="00FA6043" w:rsidRDefault="007B0ED4" w:rsidP="001E2A05">
            <w:pPr>
              <w:pStyle w:val="PartL3"/>
              <w:numPr>
                <w:ilvl w:val="0"/>
                <w:numId w:val="396"/>
              </w:numPr>
              <w:spacing w:before="120"/>
            </w:pPr>
            <w:r w:rsidRPr="001E2A05">
              <w:rPr>
                <w:rFonts w:ascii="Arial" w:hAnsi="Arial" w:cs="Arial"/>
                <w:lang w:val="en-GB"/>
              </w:rPr>
              <w:t xml:space="preserve">Exceptions to the above qualifications may apply in certain circumstances, </w:t>
            </w:r>
            <w:r w:rsidR="00C7248E" w:rsidRPr="001E2A05">
              <w:rPr>
                <w:rFonts w:ascii="Arial" w:hAnsi="Arial" w:cs="Arial"/>
                <w:lang w:val="en-GB"/>
              </w:rPr>
              <w:t>including (but not limited to)</w:t>
            </w:r>
            <w:r w:rsidRPr="001E2A05">
              <w:rPr>
                <w:rFonts w:ascii="Arial" w:hAnsi="Arial" w:cs="Arial"/>
                <w:lang w:val="en-GB"/>
              </w:rPr>
              <w:t xml:space="preserve"> when the role is located in a remote area.</w:t>
            </w:r>
            <w:r w:rsidR="00C7248E" w:rsidRPr="001E2A05">
              <w:rPr>
                <w:rFonts w:ascii="Arial" w:hAnsi="Arial" w:cs="Arial"/>
                <w:lang w:val="en-GB"/>
              </w:rPr>
              <w:t xml:space="preserve"> Where an exception applies, </w:t>
            </w:r>
            <w:r w:rsidR="00434568" w:rsidRPr="001E2A05">
              <w:rPr>
                <w:rFonts w:ascii="Arial" w:hAnsi="Arial" w:cs="Arial"/>
                <w:lang w:val="en-GB"/>
              </w:rPr>
              <w:t>a business case must be supplied to the Department for consideration.</w:t>
            </w:r>
          </w:p>
          <w:p w14:paraId="555E6BCA" w14:textId="77777777" w:rsidR="00DF1DE5" w:rsidRPr="00254FC0" w:rsidRDefault="00DF1DE5" w:rsidP="008A57A8">
            <w:pPr>
              <w:rPr>
                <w:rFonts w:eastAsia="Times New Roman"/>
                <w:b/>
                <w:bCs/>
                <w:szCs w:val="22"/>
                <w:lang w:bidi="th-TH"/>
              </w:rPr>
            </w:pPr>
          </w:p>
          <w:p w14:paraId="1AF1FE00" w14:textId="73345DCD" w:rsidR="008A57A8" w:rsidRPr="004C0C17" w:rsidRDefault="008A57A8" w:rsidP="008A57A8">
            <w:pPr>
              <w:rPr>
                <w:rFonts w:eastAsia="Times New Roman"/>
                <w:szCs w:val="22"/>
                <w:lang w:val="en-AU" w:eastAsia="zh-CN" w:bidi="th-TH"/>
              </w:rPr>
            </w:pPr>
            <w:r w:rsidRPr="004C0C17">
              <w:rPr>
                <w:rFonts w:eastAsia="Times New Roman"/>
                <w:szCs w:val="22"/>
                <w:lang w:val="en-AU" w:eastAsia="zh-CN" w:bidi="th-TH"/>
              </w:rPr>
              <w:t>.</w:t>
            </w:r>
          </w:p>
          <w:p w14:paraId="1FAB8C8E" w14:textId="77777777" w:rsidR="004C0C17" w:rsidRPr="004C0C17" w:rsidRDefault="004C0C17" w:rsidP="00D20685">
            <w:pPr>
              <w:rPr>
                <w:lang w:val="en-AU" w:eastAsia="zh-CN" w:bidi="th-TH"/>
              </w:rPr>
            </w:pPr>
          </w:p>
        </w:tc>
      </w:tr>
      <w:tr w:rsidR="00333B03" w:rsidRPr="005F073C" w14:paraId="370DA762" w14:textId="77777777" w:rsidTr="00254FC0">
        <w:trPr>
          <w:cantSplit/>
        </w:trPr>
        <w:tc>
          <w:tcPr>
            <w:tcW w:w="1049" w:type="pct"/>
            <w:shd w:val="clear" w:color="auto" w:fill="FFFFFF" w:themeFill="background1"/>
          </w:tcPr>
          <w:p w14:paraId="22A1910E" w14:textId="77777777" w:rsidR="00333B03" w:rsidRPr="005F073C" w:rsidRDefault="00333B03">
            <w:pPr>
              <w:pStyle w:val="PartL3"/>
              <w:spacing w:before="120"/>
              <w:rPr>
                <w:rFonts w:ascii="Arial" w:hAnsi="Arial" w:cs="Arial"/>
                <w:b/>
              </w:rPr>
            </w:pPr>
            <w:r w:rsidRPr="005F073C">
              <w:rPr>
                <w:rFonts w:ascii="Arial" w:hAnsi="Arial" w:cs="Arial"/>
                <w:b/>
                <w:bCs/>
              </w:rPr>
              <w:t>Clinical Assessment Delegate</w:t>
            </w:r>
          </w:p>
        </w:tc>
        <w:tc>
          <w:tcPr>
            <w:tcW w:w="3951" w:type="pct"/>
            <w:shd w:val="clear" w:color="auto" w:fill="FFFFFF" w:themeFill="background1"/>
          </w:tcPr>
          <w:p w14:paraId="27BCB1A9" w14:textId="52ABDDA2"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Tertiary</w:t>
            </w:r>
            <w:r w:rsidR="00F03C3D">
              <w:rPr>
                <w:rFonts w:ascii="Arial" w:hAnsi="Arial" w:cs="Arial"/>
              </w:rPr>
              <w:t>*</w:t>
            </w:r>
            <w:r w:rsidRPr="005F073C">
              <w:rPr>
                <w:rFonts w:ascii="Arial" w:hAnsi="Arial" w:cs="Arial"/>
              </w:rPr>
              <w:t xml:space="preserve"> – in a health-related discipline directly related to health, aged care or related specialist area. E.g. registered nurses, medical officers, occupational therapists, physiotherapists and social workers</w:t>
            </w:r>
            <w:r w:rsidR="00B23AB0" w:rsidRPr="005F073C">
              <w:rPr>
                <w:rFonts w:ascii="Arial" w:hAnsi="Arial" w:cs="Arial"/>
              </w:rPr>
              <w:t xml:space="preserve">. </w:t>
            </w:r>
          </w:p>
          <w:p w14:paraId="4BF420FD"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Current unrestricted registration with the Australian Health Practitioners Regulation Agency (AHPRA) or part of or eligible to be part of a relevant professional association.</w:t>
            </w:r>
          </w:p>
          <w:p w14:paraId="1604DD14" w14:textId="4F305B52"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one years’ Aged Care Needs Assessment experience preferred</w:t>
            </w:r>
            <w:r w:rsidR="00B23AB0" w:rsidRPr="005F073C">
              <w:rPr>
                <w:rFonts w:ascii="Arial" w:hAnsi="Arial" w:cs="Arial"/>
              </w:rPr>
              <w:t xml:space="preserve">. </w:t>
            </w:r>
          </w:p>
          <w:p w14:paraId="7F2AC366" w14:textId="4D9C6CCB" w:rsidR="00986A60" w:rsidRPr="00254FC0" w:rsidRDefault="00455D8A" w:rsidP="00986A60">
            <w:pPr>
              <w:rPr>
                <w:rFonts w:eastAsia="Times New Roman"/>
                <w:b/>
                <w:bCs/>
                <w:szCs w:val="22"/>
                <w:lang w:bidi="th-TH"/>
              </w:rPr>
            </w:pPr>
            <w:r>
              <w:rPr>
                <w:rFonts w:eastAsia="Times New Roman"/>
                <w:b/>
                <w:bCs/>
                <w:szCs w:val="22"/>
                <w:lang w:bidi="th-TH"/>
              </w:rPr>
              <w:t>Additional qualifications recognised</w:t>
            </w:r>
            <w:r w:rsidR="00986A60" w:rsidRPr="00254FC0">
              <w:rPr>
                <w:rFonts w:eastAsia="Times New Roman"/>
                <w:b/>
                <w:bCs/>
                <w:szCs w:val="22"/>
                <w:lang w:bidi="th-TH"/>
              </w:rPr>
              <w:t xml:space="preserve"> for Aboriginal and Torres Strait Islander Assessment Organisations</w:t>
            </w:r>
          </w:p>
          <w:p w14:paraId="1DAE2EF7" w14:textId="1F8FB9F7" w:rsidR="00BD6512" w:rsidRPr="00BD6512" w:rsidRDefault="00BD6512" w:rsidP="001E2A05">
            <w:pPr>
              <w:pStyle w:val="PartL3"/>
              <w:numPr>
                <w:ilvl w:val="0"/>
                <w:numId w:val="396"/>
              </w:numPr>
              <w:spacing w:before="120"/>
            </w:pPr>
            <w:r w:rsidRPr="004F4C91">
              <w:rPr>
                <w:rFonts w:ascii="Arial" w:hAnsi="Arial" w:cs="Arial"/>
              </w:rPr>
              <w:t xml:space="preserve">Aboriginal and Torres Strait Islander Health Practitioners with a Diploma of </w:t>
            </w:r>
            <w:r w:rsidRPr="001E2A05">
              <w:rPr>
                <w:rFonts w:ascii="Arial" w:hAnsi="Arial" w:cs="Arial"/>
              </w:rPr>
              <w:t>Aboriginal and/or Torres Strait Isander Primary Health Care Practice and is registered with the Aboriginal and Torres Strait Islander Health Practice Board of Australia</w:t>
            </w:r>
            <w:r w:rsidR="00E303E6">
              <w:rPr>
                <w:rFonts w:ascii="Arial" w:hAnsi="Arial" w:cs="Arial"/>
              </w:rPr>
              <w:t>.</w:t>
            </w:r>
            <w:r w:rsidRPr="00BD6512">
              <w:t> </w:t>
            </w:r>
          </w:p>
          <w:p w14:paraId="6FA272F5" w14:textId="76F396BE" w:rsidR="00333B03" w:rsidRPr="00DA5987" w:rsidRDefault="00BD6512" w:rsidP="00DA5987">
            <w:pPr>
              <w:pStyle w:val="PartL3"/>
              <w:numPr>
                <w:ilvl w:val="0"/>
                <w:numId w:val="396"/>
              </w:numPr>
              <w:spacing w:before="120"/>
            </w:pPr>
            <w:r w:rsidRPr="003875F1">
              <w:t>Allied Health Assistants with a Diploma or above qualification in Allied Health Assistance and holds or is eligible for a Practising Member (certified) membership with the Allied Health Assistant’s National Association</w:t>
            </w:r>
            <w:r w:rsidR="00E303E6">
              <w:rPr>
                <w:rFonts w:ascii="Arial" w:hAnsi="Arial" w:cs="Arial"/>
              </w:rPr>
              <w:t>.</w:t>
            </w:r>
          </w:p>
        </w:tc>
      </w:tr>
      <w:tr w:rsidR="00333B03" w:rsidRPr="005F073C" w14:paraId="1D87249F" w14:textId="77777777" w:rsidTr="00254FC0">
        <w:trPr>
          <w:cantSplit/>
        </w:trPr>
        <w:tc>
          <w:tcPr>
            <w:tcW w:w="1049" w:type="pct"/>
            <w:shd w:val="clear" w:color="auto" w:fill="FFFFFF" w:themeFill="background1"/>
          </w:tcPr>
          <w:p w14:paraId="21DB303F" w14:textId="77777777" w:rsidR="00333B03" w:rsidRPr="005F073C" w:rsidRDefault="00333B03">
            <w:pPr>
              <w:pStyle w:val="PartL3"/>
              <w:spacing w:before="120"/>
              <w:rPr>
                <w:rFonts w:ascii="Arial" w:hAnsi="Arial" w:cs="Arial"/>
                <w:b/>
                <w:bCs/>
              </w:rPr>
            </w:pPr>
            <w:r w:rsidRPr="005F073C">
              <w:rPr>
                <w:rFonts w:ascii="Arial" w:hAnsi="Arial" w:cs="Arial"/>
                <w:b/>
                <w:bCs/>
              </w:rPr>
              <w:t xml:space="preserve">Non-Clinical Assessment Delegate </w:t>
            </w:r>
          </w:p>
        </w:tc>
        <w:tc>
          <w:tcPr>
            <w:tcW w:w="3951" w:type="pct"/>
            <w:shd w:val="clear" w:color="auto" w:fill="FFFFFF" w:themeFill="background1"/>
          </w:tcPr>
          <w:p w14:paraId="70D6ABF6"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No minimum qualification. </w:t>
            </w:r>
            <w:r w:rsidRPr="005F073C">
              <w:rPr>
                <w:rFonts w:ascii="Arial" w:hAnsi="Arial" w:cs="Arial"/>
              </w:rPr>
              <w:br/>
              <w:t>Current work experience in aged care or Aged Care Needs Assessment preferred.</w:t>
            </w:r>
          </w:p>
          <w:p w14:paraId="768FFCB7"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one years’ Aged Care Needs Assessment experience preferred.</w:t>
            </w:r>
          </w:p>
        </w:tc>
      </w:tr>
      <w:tr w:rsidR="00333B03" w:rsidRPr="005F073C" w14:paraId="09BFDD29" w14:textId="77777777" w:rsidTr="00254FC0">
        <w:trPr>
          <w:cantSplit/>
        </w:trPr>
        <w:tc>
          <w:tcPr>
            <w:tcW w:w="1049" w:type="pct"/>
            <w:shd w:val="clear" w:color="auto" w:fill="FFFFFF" w:themeFill="background1"/>
          </w:tcPr>
          <w:p w14:paraId="6494A8B9" w14:textId="77777777" w:rsidR="00333B03" w:rsidRPr="005F073C" w:rsidRDefault="00333B03">
            <w:pPr>
              <w:pStyle w:val="PartL3"/>
              <w:spacing w:before="120"/>
              <w:rPr>
                <w:rFonts w:ascii="Arial" w:hAnsi="Arial" w:cs="Arial"/>
                <w:b/>
                <w:bCs/>
              </w:rPr>
            </w:pPr>
            <w:r w:rsidRPr="005F073C">
              <w:rPr>
                <w:rFonts w:ascii="Arial" w:hAnsi="Arial" w:cs="Arial"/>
                <w:b/>
                <w:bCs/>
              </w:rPr>
              <w:t xml:space="preserve">Clinical Aged Care Needs Assessor </w:t>
            </w:r>
          </w:p>
        </w:tc>
        <w:tc>
          <w:tcPr>
            <w:tcW w:w="3951" w:type="pct"/>
            <w:shd w:val="clear" w:color="auto" w:fill="FFFFFF" w:themeFill="background1"/>
          </w:tcPr>
          <w:p w14:paraId="3619AD8E" w14:textId="1235DE1A"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Tertiary</w:t>
            </w:r>
            <w:r w:rsidR="00F03C3D">
              <w:rPr>
                <w:rFonts w:ascii="Arial" w:hAnsi="Arial" w:cs="Arial"/>
              </w:rPr>
              <w:t>*</w:t>
            </w:r>
            <w:r w:rsidRPr="005F073C">
              <w:rPr>
                <w:rFonts w:ascii="Arial" w:hAnsi="Arial" w:cs="Arial"/>
              </w:rPr>
              <w:t xml:space="preserve"> – in a health-related discipline directly related to health, aged care or related specialist area. E.g. registered nurses, medical officers, occupational therapists, physiotherapists and social workers. </w:t>
            </w:r>
          </w:p>
          <w:p w14:paraId="1223ED17"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Current unrestricted registration with the Australian Health Practitioners Regulation Agency (AHPRA) or part of or eligible to be part of a relevant professional association.</w:t>
            </w:r>
          </w:p>
          <w:p w14:paraId="70A36024" w14:textId="77777777" w:rsidR="00333B03" w:rsidRPr="00995B2E" w:rsidRDefault="00333B03" w:rsidP="00DF3F6B">
            <w:pPr>
              <w:pStyle w:val="ListParagraph"/>
              <w:numPr>
                <w:ilvl w:val="0"/>
                <w:numId w:val="396"/>
              </w:numPr>
              <w:spacing w:before="200" w:line="240" w:lineRule="atLeast"/>
            </w:pPr>
            <w:r w:rsidRPr="005F073C">
              <w:rPr>
                <w:rFonts w:eastAsia="Times New Roman"/>
                <w:szCs w:val="22"/>
                <w:lang w:bidi="th-TH"/>
              </w:rPr>
              <w:t>Minimum of one year demonstrated experience in Australia or overseas directly delivering services in aged care settings and/or to aged persons (such as geriatric evaluation, rehabilitation, palliative care, community nursing), including to people living with dementia.</w:t>
            </w:r>
          </w:p>
          <w:p w14:paraId="3FD276FC" w14:textId="77777777" w:rsidR="00995B2E" w:rsidRPr="00995B2E" w:rsidRDefault="00995B2E" w:rsidP="00995B2E">
            <w:pPr>
              <w:pStyle w:val="ListParagraph"/>
              <w:spacing w:before="200" w:line="240" w:lineRule="atLeast"/>
              <w:ind w:left="360"/>
            </w:pPr>
          </w:p>
          <w:p w14:paraId="2FEECDDC" w14:textId="0F44C700" w:rsidR="00995B2E" w:rsidRPr="005F073C" w:rsidRDefault="00995B2E" w:rsidP="00995B2E">
            <w:pPr>
              <w:rPr>
                <w:rFonts w:eastAsia="Times New Roman"/>
                <w:szCs w:val="22"/>
                <w:lang w:val="en-AU" w:eastAsia="zh-CN" w:bidi="th-TH"/>
              </w:rPr>
            </w:pPr>
            <w:r w:rsidRPr="005F073C">
              <w:rPr>
                <w:rFonts w:eastAsia="Times New Roman"/>
                <w:szCs w:val="22"/>
                <w:lang w:val="en-AU" w:eastAsia="zh-CN" w:bidi="th-TH"/>
              </w:rPr>
              <w:t xml:space="preserve">Note: </w:t>
            </w:r>
            <w:r w:rsidR="00CE16B3" w:rsidRPr="00CE16B3">
              <w:rPr>
                <w:rFonts w:eastAsia="Times New Roman"/>
                <w:szCs w:val="22"/>
                <w:lang w:val="en-AU" w:eastAsia="zh-CN" w:bidi="th-TH"/>
              </w:rPr>
              <w:t>An E</w:t>
            </w:r>
            <w:r w:rsidRPr="005F073C">
              <w:rPr>
                <w:rFonts w:eastAsia="Times New Roman"/>
                <w:szCs w:val="22"/>
                <w:lang w:val="en-AU" w:eastAsia="zh-CN" w:bidi="th-TH"/>
              </w:rPr>
              <w:t xml:space="preserve">nrolled </w:t>
            </w:r>
            <w:r w:rsidR="00CE16B3" w:rsidRPr="00CE16B3">
              <w:rPr>
                <w:rFonts w:eastAsia="Times New Roman"/>
                <w:szCs w:val="22"/>
                <w:lang w:val="en-AU" w:eastAsia="zh-CN" w:bidi="th-TH"/>
              </w:rPr>
              <w:t>N</w:t>
            </w:r>
            <w:r w:rsidRPr="005F073C">
              <w:rPr>
                <w:rFonts w:eastAsia="Times New Roman"/>
                <w:szCs w:val="22"/>
                <w:lang w:val="en-AU" w:eastAsia="zh-CN" w:bidi="th-TH"/>
              </w:rPr>
              <w:t>urse</w:t>
            </w:r>
            <w:r w:rsidR="00CE16B3" w:rsidRPr="00CE16B3">
              <w:rPr>
                <w:rFonts w:eastAsia="Times New Roman"/>
                <w:szCs w:val="22"/>
                <w:lang w:val="en-AU" w:eastAsia="zh-CN" w:bidi="th-TH"/>
              </w:rPr>
              <w:t xml:space="preserve"> may be considered </w:t>
            </w:r>
            <w:r w:rsidRPr="005F073C">
              <w:rPr>
                <w:rFonts w:eastAsia="Times New Roman"/>
                <w:szCs w:val="22"/>
                <w:lang w:val="en-AU" w:eastAsia="zh-CN" w:bidi="th-TH"/>
              </w:rPr>
              <w:t xml:space="preserve">for </w:t>
            </w:r>
            <w:r w:rsidR="00CE16B3" w:rsidRPr="00CE16B3">
              <w:rPr>
                <w:rFonts w:eastAsia="Times New Roman"/>
                <w:szCs w:val="22"/>
                <w:lang w:val="en-AU" w:eastAsia="zh-CN" w:bidi="th-TH"/>
              </w:rPr>
              <w:t xml:space="preserve">a clinical assessor role </w:t>
            </w:r>
            <w:r w:rsidR="00CE16B3" w:rsidRPr="00CE16B3">
              <w:rPr>
                <w:rFonts w:eastAsia="Times New Roman"/>
                <w:i/>
                <w:iCs/>
                <w:szCs w:val="22"/>
                <w:lang w:val="en-AU" w:eastAsia="zh-CN" w:bidi="th-TH"/>
              </w:rPr>
              <w:t>only if they are under direct or indirect R</w:t>
            </w:r>
            <w:r w:rsidR="00E369B4">
              <w:rPr>
                <w:rFonts w:eastAsia="Times New Roman"/>
                <w:i/>
                <w:iCs/>
                <w:szCs w:val="22"/>
                <w:lang w:val="en-AU" w:eastAsia="zh-CN" w:bidi="th-TH"/>
              </w:rPr>
              <w:t xml:space="preserve">egistered </w:t>
            </w:r>
            <w:r w:rsidR="00CE16B3" w:rsidRPr="00CE16B3">
              <w:rPr>
                <w:rFonts w:eastAsia="Times New Roman"/>
                <w:i/>
                <w:iCs/>
                <w:szCs w:val="22"/>
                <w:lang w:val="en-AU" w:eastAsia="zh-CN" w:bidi="th-TH"/>
              </w:rPr>
              <w:t>N</w:t>
            </w:r>
            <w:r w:rsidR="00E369B4">
              <w:rPr>
                <w:rFonts w:eastAsia="Times New Roman"/>
                <w:i/>
                <w:iCs/>
                <w:szCs w:val="22"/>
                <w:lang w:val="en-AU" w:eastAsia="zh-CN" w:bidi="th-TH"/>
              </w:rPr>
              <w:t>urse</w:t>
            </w:r>
            <w:r w:rsidR="00CE16B3" w:rsidRPr="00CE16B3">
              <w:rPr>
                <w:rFonts w:eastAsia="Times New Roman"/>
                <w:i/>
                <w:iCs/>
                <w:szCs w:val="22"/>
                <w:lang w:val="en-AU" w:eastAsia="zh-CN" w:bidi="th-TH"/>
              </w:rPr>
              <w:t xml:space="preserve"> supervision within the same organisation.</w:t>
            </w:r>
            <w:r w:rsidRPr="005F073C">
              <w:rPr>
                <w:rFonts w:eastAsia="Times New Roman"/>
                <w:i/>
                <w:iCs/>
                <w:szCs w:val="22"/>
                <w:lang w:val="en-AU" w:eastAsia="zh-CN" w:bidi="th-TH"/>
              </w:rPr>
              <w:t xml:space="preserve"> </w:t>
            </w:r>
            <w:r w:rsidRPr="005F073C">
              <w:rPr>
                <w:rFonts w:eastAsia="Times New Roman"/>
                <w:szCs w:val="22"/>
                <w:lang w:val="en-AU" w:eastAsia="zh-CN" w:bidi="th-TH"/>
              </w:rPr>
              <w:t xml:space="preserve">A business case is required. </w:t>
            </w:r>
          </w:p>
          <w:p w14:paraId="775C50C1" w14:textId="77777777" w:rsidR="00995B2E" w:rsidRPr="005F073C" w:rsidRDefault="00995B2E" w:rsidP="00995B2E">
            <w:pPr>
              <w:rPr>
                <w:rFonts w:eastAsia="Times New Roman"/>
                <w:i/>
                <w:iCs/>
                <w:szCs w:val="22"/>
                <w:lang w:val="en-AU" w:eastAsia="zh-CN" w:bidi="th-TH"/>
              </w:rPr>
            </w:pPr>
          </w:p>
          <w:p w14:paraId="2B92E22B" w14:textId="3C6781AC" w:rsidR="00995B2E" w:rsidRPr="005F073C" w:rsidRDefault="00995B2E" w:rsidP="00995B2E">
            <w:pPr>
              <w:rPr>
                <w:rFonts w:eastAsia="Times New Roman"/>
                <w:szCs w:val="22"/>
                <w:lang w:val="en-AU" w:eastAsia="zh-CN" w:bidi="th-TH"/>
              </w:rPr>
            </w:pPr>
            <w:r w:rsidRPr="005F073C">
              <w:rPr>
                <w:rFonts w:eastAsia="Times New Roman"/>
                <w:szCs w:val="22"/>
                <w:lang w:val="en-AU" w:eastAsia="zh-CN" w:bidi="th-TH"/>
              </w:rPr>
              <w:t xml:space="preserve">Aboriginal and Torres Strait Islander Health Practitioners with a Cert IV in Aboriginal and Torres Strait Islander Primary Health Care Practice may be considered for a clinical aged care needs assessor provided they are operating within their scope of practice. A business case is required for mainstream Single Assessment System organisations. </w:t>
            </w:r>
          </w:p>
          <w:p w14:paraId="557C1146" w14:textId="77777777" w:rsidR="00995B2E" w:rsidRDefault="00995B2E" w:rsidP="00D20685">
            <w:pPr>
              <w:spacing w:before="120" w:after="120"/>
            </w:pPr>
          </w:p>
          <w:p w14:paraId="69E42932" w14:textId="4E5D1F35" w:rsidR="00764179" w:rsidRPr="005F073C" w:rsidRDefault="00BD6512" w:rsidP="00764179">
            <w:pPr>
              <w:rPr>
                <w:rFonts w:eastAsia="Times New Roman"/>
                <w:b/>
                <w:bCs/>
                <w:szCs w:val="22"/>
                <w:lang w:val="en-AU" w:eastAsia="zh-CN" w:bidi="th-TH"/>
              </w:rPr>
            </w:pPr>
            <w:r>
              <w:rPr>
                <w:rFonts w:eastAsia="Times New Roman"/>
                <w:b/>
                <w:bCs/>
                <w:szCs w:val="22"/>
                <w:lang w:val="en-AU" w:eastAsia="zh-CN" w:bidi="th-TH"/>
              </w:rPr>
              <w:t>Additional qualifications recognised</w:t>
            </w:r>
            <w:r w:rsidR="00764179" w:rsidRPr="005F073C">
              <w:rPr>
                <w:rFonts w:eastAsia="Times New Roman"/>
                <w:b/>
                <w:bCs/>
                <w:szCs w:val="22"/>
                <w:lang w:val="en-AU" w:eastAsia="zh-CN" w:bidi="th-TH"/>
              </w:rPr>
              <w:t xml:space="preserve"> for Aboriginal and Torres Strait Islander Assessment Organisations</w:t>
            </w:r>
          </w:p>
          <w:p w14:paraId="1D0F21A6" w14:textId="533B2F34" w:rsidR="00B96C3A" w:rsidRPr="00B96C3A" w:rsidRDefault="00D9030C" w:rsidP="00DF3F6B">
            <w:pPr>
              <w:numPr>
                <w:ilvl w:val="0"/>
                <w:numId w:val="450"/>
              </w:numPr>
              <w:spacing w:before="120" w:after="120"/>
              <w:rPr>
                <w:rFonts w:eastAsia="Times New Roman"/>
                <w:szCs w:val="22"/>
                <w:lang w:val="en-AU" w:bidi="th-TH"/>
              </w:rPr>
            </w:pPr>
            <w:r>
              <w:rPr>
                <w:rFonts w:eastAsia="Times New Roman"/>
                <w:szCs w:val="22"/>
                <w:lang w:val="en-AU" w:bidi="th-TH"/>
              </w:rPr>
              <w:t>A Cert IV</w:t>
            </w:r>
            <w:r w:rsidR="009F1DCA">
              <w:rPr>
                <w:rFonts w:eastAsia="Times New Roman"/>
                <w:szCs w:val="22"/>
                <w:lang w:val="en-AU" w:bidi="th-TH"/>
              </w:rPr>
              <w:t xml:space="preserve"> or above </w:t>
            </w:r>
            <w:r w:rsidR="00050C17">
              <w:rPr>
                <w:rFonts w:eastAsia="Times New Roman"/>
                <w:szCs w:val="22"/>
                <w:lang w:val="en-AU" w:bidi="th-TH"/>
              </w:rPr>
              <w:t>in</w:t>
            </w:r>
            <w:r w:rsidR="00050C17" w:rsidRPr="00B96C3A">
              <w:rPr>
                <w:rFonts w:eastAsia="Times New Roman"/>
                <w:szCs w:val="22"/>
                <w:lang w:val="en-AU" w:bidi="th-TH"/>
              </w:rPr>
              <w:t xml:space="preserve"> </w:t>
            </w:r>
            <w:r w:rsidR="00B96C3A" w:rsidRPr="00B96C3A">
              <w:rPr>
                <w:rFonts w:eastAsia="Times New Roman"/>
                <w:szCs w:val="22"/>
                <w:lang w:val="en-AU" w:bidi="th-TH"/>
              </w:rPr>
              <w:t>Aboriginal and/or Torres Strait Islander Primary Health Care Practice and is registered with the Aboriginal and Torres Strait Islander Health Practice Board of Australia. </w:t>
            </w:r>
          </w:p>
          <w:p w14:paraId="074B504B" w14:textId="132F7D4E" w:rsidR="00995B2E" w:rsidRPr="005F073C" w:rsidRDefault="00B96C3A" w:rsidP="00DF3F6B">
            <w:pPr>
              <w:pStyle w:val="ListParagraph"/>
              <w:numPr>
                <w:ilvl w:val="0"/>
                <w:numId w:val="449"/>
              </w:numPr>
              <w:spacing w:before="120" w:after="120"/>
            </w:pPr>
            <w:r w:rsidRPr="005F073C">
              <w:rPr>
                <w:rFonts w:eastAsia="Times New Roman"/>
                <w:szCs w:val="22"/>
                <w:lang w:bidi="th-TH"/>
              </w:rPr>
              <w:t xml:space="preserve">a Cert IV or above in Allied Health Assistance and holds or is eligible for </w:t>
            </w:r>
            <w:r w:rsidRPr="005F073C">
              <w:rPr>
                <w:rFonts w:eastAsia="Times New Roman"/>
                <w:szCs w:val="22"/>
                <w:lang w:val="en-US" w:bidi="th-TH"/>
              </w:rPr>
              <w:t xml:space="preserve">a Practicing Member (Certified) </w:t>
            </w:r>
            <w:r w:rsidRPr="005F073C">
              <w:rPr>
                <w:rFonts w:eastAsia="Times New Roman"/>
                <w:szCs w:val="22"/>
                <w:lang w:bidi="th-TH"/>
              </w:rPr>
              <w:t xml:space="preserve">class of membership with the Allied Health Assistants’ National Association </w:t>
            </w:r>
          </w:p>
        </w:tc>
      </w:tr>
      <w:tr w:rsidR="00333B03" w:rsidRPr="005F073C" w14:paraId="61C7AD29" w14:textId="77777777" w:rsidTr="00254FC0">
        <w:trPr>
          <w:cantSplit/>
        </w:trPr>
        <w:tc>
          <w:tcPr>
            <w:tcW w:w="1049" w:type="pct"/>
          </w:tcPr>
          <w:p w14:paraId="20941250" w14:textId="77777777" w:rsidR="00333B03" w:rsidRPr="005F073C" w:rsidRDefault="00333B03">
            <w:pPr>
              <w:pStyle w:val="PartL3"/>
              <w:spacing w:before="120"/>
              <w:rPr>
                <w:rFonts w:ascii="Arial" w:hAnsi="Arial" w:cs="Arial"/>
              </w:rPr>
            </w:pPr>
            <w:r w:rsidRPr="005F073C">
              <w:rPr>
                <w:rFonts w:ascii="Arial" w:hAnsi="Arial" w:cs="Arial"/>
                <w:b/>
              </w:rPr>
              <w:t xml:space="preserve">Non-Clinical Aged Care Needs Assessor </w:t>
            </w:r>
          </w:p>
        </w:tc>
        <w:tc>
          <w:tcPr>
            <w:tcW w:w="3951" w:type="pct"/>
          </w:tcPr>
          <w:p w14:paraId="6B8F452D"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 xml:space="preserve">No minimum qualification. </w:t>
            </w:r>
            <w:r w:rsidRPr="005F073C">
              <w:rPr>
                <w:rFonts w:ascii="Arial" w:hAnsi="Arial" w:cs="Arial"/>
              </w:rPr>
              <w:br/>
              <w:t xml:space="preserve">Previous knowledge or work experience in the aged care system preferred. </w:t>
            </w:r>
          </w:p>
        </w:tc>
      </w:tr>
      <w:tr w:rsidR="00333B03" w:rsidRPr="005F073C" w14:paraId="04156826" w14:textId="77777777" w:rsidTr="00254FC0">
        <w:trPr>
          <w:cantSplit/>
        </w:trPr>
        <w:tc>
          <w:tcPr>
            <w:tcW w:w="1049" w:type="pct"/>
          </w:tcPr>
          <w:p w14:paraId="444AF5A1" w14:textId="77777777" w:rsidR="00333B03" w:rsidRPr="005F073C" w:rsidRDefault="00333B03">
            <w:pPr>
              <w:pStyle w:val="PartL3"/>
              <w:spacing w:before="120"/>
              <w:rPr>
                <w:rFonts w:ascii="Arial" w:hAnsi="Arial" w:cs="Arial"/>
                <w:b/>
                <w:bCs/>
              </w:rPr>
            </w:pPr>
            <w:r w:rsidRPr="005F073C">
              <w:rPr>
                <w:rFonts w:ascii="Arial" w:eastAsiaTheme="majorEastAsia" w:hAnsi="Arial" w:cs="Arial"/>
                <w:b/>
                <w:bCs/>
                <w:lang w:eastAsia="en-AU"/>
              </w:rPr>
              <w:t xml:space="preserve">Aged Care Needs Assessment Team Leaders </w:t>
            </w:r>
          </w:p>
        </w:tc>
        <w:tc>
          <w:tcPr>
            <w:tcW w:w="3951" w:type="pct"/>
          </w:tcPr>
          <w:p w14:paraId="0ABE055F" w14:textId="379638B4" w:rsidR="00333B03" w:rsidRPr="00254FC0" w:rsidRDefault="00333B03" w:rsidP="00DF3F6B">
            <w:pPr>
              <w:pStyle w:val="PartL3"/>
              <w:numPr>
                <w:ilvl w:val="0"/>
                <w:numId w:val="396"/>
              </w:numPr>
              <w:spacing w:before="120"/>
              <w:rPr>
                <w:rFonts w:ascii="Arial" w:hAnsi="Arial" w:cs="Arial"/>
                <w:lang w:val="en-GB" w:eastAsia="en-AU"/>
              </w:rPr>
            </w:pPr>
            <w:r w:rsidRPr="00254FC0">
              <w:rPr>
                <w:rFonts w:ascii="Arial" w:hAnsi="Arial" w:cs="Arial"/>
                <w:lang w:val="en-GB" w:eastAsia="en-AU"/>
              </w:rPr>
              <w:t>Tertiary</w:t>
            </w:r>
            <w:r w:rsidR="00F03C3D">
              <w:rPr>
                <w:rFonts w:ascii="Arial" w:hAnsi="Arial" w:cs="Arial"/>
                <w:lang w:val="en-GB" w:eastAsia="en-AU"/>
              </w:rPr>
              <w:t>*</w:t>
            </w:r>
            <w:r w:rsidRPr="00254FC0">
              <w:rPr>
                <w:rFonts w:ascii="Arial" w:hAnsi="Arial" w:cs="Arial"/>
                <w:lang w:val="en-GB" w:eastAsia="en-AU"/>
              </w:rPr>
              <w:t xml:space="preserve"> – in a health-related discipline directly related to health, aged care or related specialist area. E.g. registered nurses, medical officers, occupational therapists, physiotherapists and social workers. </w:t>
            </w:r>
          </w:p>
          <w:p w14:paraId="36E0C5DC" w14:textId="77777777" w:rsidR="00333B03" w:rsidRPr="00254FC0" w:rsidRDefault="00333B03" w:rsidP="00DF3F6B">
            <w:pPr>
              <w:pStyle w:val="PartL3"/>
              <w:numPr>
                <w:ilvl w:val="0"/>
                <w:numId w:val="396"/>
              </w:numPr>
              <w:spacing w:before="120"/>
              <w:rPr>
                <w:rFonts w:ascii="Arial" w:hAnsi="Arial" w:cs="Arial"/>
                <w:lang w:val="en-GB" w:eastAsia="en-AU"/>
              </w:rPr>
            </w:pPr>
            <w:r w:rsidRPr="00254FC0">
              <w:rPr>
                <w:rFonts w:ascii="Arial" w:hAnsi="Arial" w:cs="Arial"/>
                <w:lang w:val="en-GB" w:eastAsia="en-AU"/>
              </w:rPr>
              <w:t xml:space="preserve">Current unrestricted registration with the AHPRA or part of or eligible to be part of a relevant professional association. </w:t>
            </w:r>
          </w:p>
          <w:p w14:paraId="19BEC2E1" w14:textId="77777777" w:rsidR="00764179" w:rsidRDefault="00333B03" w:rsidP="00DF3F6B">
            <w:pPr>
              <w:pStyle w:val="PartL3"/>
              <w:numPr>
                <w:ilvl w:val="0"/>
                <w:numId w:val="396"/>
              </w:numPr>
              <w:spacing w:before="120"/>
              <w:rPr>
                <w:rFonts w:ascii="Arial" w:hAnsi="Arial" w:cs="Arial"/>
                <w:lang w:val="en-GB" w:eastAsia="en-AU"/>
              </w:rPr>
            </w:pPr>
            <w:r w:rsidRPr="00254FC0">
              <w:rPr>
                <w:rFonts w:ascii="Arial" w:hAnsi="Arial" w:cs="Arial"/>
                <w:lang w:val="en-GB" w:eastAsia="en-AU"/>
              </w:rPr>
              <w:t xml:space="preserve">At least one years’ experience as a Clinical Aged Care Needs Assessor preferred. </w:t>
            </w:r>
          </w:p>
          <w:p w14:paraId="12B8AA29" w14:textId="7F18AE59" w:rsidR="0048699D" w:rsidRDefault="00E75712" w:rsidP="0048699D">
            <w:pPr>
              <w:rPr>
                <w:rFonts w:eastAsia="Times New Roman"/>
                <w:b/>
                <w:bCs/>
                <w:szCs w:val="22"/>
                <w:lang w:bidi="th-TH"/>
              </w:rPr>
            </w:pPr>
            <w:r>
              <w:rPr>
                <w:rFonts w:eastAsia="Times New Roman"/>
                <w:b/>
                <w:bCs/>
                <w:szCs w:val="22"/>
                <w:lang w:val="en-AU" w:eastAsia="zh-CN" w:bidi="th-TH"/>
              </w:rPr>
              <w:t xml:space="preserve">Additional qualifications </w:t>
            </w:r>
            <w:r w:rsidR="000F3407">
              <w:rPr>
                <w:rFonts w:eastAsia="Times New Roman"/>
                <w:b/>
                <w:bCs/>
                <w:szCs w:val="22"/>
                <w:lang w:val="en-AU" w:eastAsia="zh-CN" w:bidi="th-TH"/>
              </w:rPr>
              <w:t>recognised</w:t>
            </w:r>
            <w:r w:rsidR="000F3407" w:rsidRPr="005F073C">
              <w:rPr>
                <w:rFonts w:eastAsia="Times New Roman"/>
                <w:b/>
                <w:bCs/>
                <w:szCs w:val="22"/>
                <w:lang w:val="en-AU" w:eastAsia="zh-CN" w:bidi="th-TH"/>
              </w:rPr>
              <w:t xml:space="preserve"> </w:t>
            </w:r>
            <w:r w:rsidR="000F3407">
              <w:rPr>
                <w:rFonts w:eastAsia="Times New Roman"/>
                <w:b/>
                <w:bCs/>
                <w:szCs w:val="22"/>
                <w:lang w:bidi="th-TH"/>
              </w:rPr>
              <w:t>for</w:t>
            </w:r>
            <w:r w:rsidR="00E0284F">
              <w:rPr>
                <w:rFonts w:eastAsia="Times New Roman"/>
                <w:b/>
                <w:bCs/>
                <w:szCs w:val="22"/>
                <w:lang w:bidi="th-TH"/>
              </w:rPr>
              <w:t xml:space="preserve"> </w:t>
            </w:r>
            <w:r w:rsidR="0048699D" w:rsidRPr="00254FC0">
              <w:rPr>
                <w:rFonts w:eastAsia="Times New Roman"/>
                <w:b/>
                <w:bCs/>
                <w:szCs w:val="22"/>
                <w:lang w:bidi="th-TH"/>
              </w:rPr>
              <w:t>Aboriginal and Torres Strait Islander Assessment Organisations</w:t>
            </w:r>
          </w:p>
          <w:p w14:paraId="5B9E540E" w14:textId="5E1F342D" w:rsidR="00AA777B" w:rsidRPr="00FA6043" w:rsidRDefault="00577AF6" w:rsidP="00DF3F6B">
            <w:pPr>
              <w:pStyle w:val="ListParagraph"/>
              <w:numPr>
                <w:ilvl w:val="0"/>
                <w:numId w:val="449"/>
              </w:numPr>
              <w:rPr>
                <w:b/>
              </w:rPr>
            </w:pPr>
            <w:r>
              <w:rPr>
                <w:rFonts w:eastAsia="Times New Roman"/>
                <w:szCs w:val="22"/>
                <w:lang w:bidi="th-TH"/>
              </w:rPr>
              <w:t xml:space="preserve">A </w:t>
            </w:r>
            <w:r w:rsidR="0048699D" w:rsidRPr="00856E7B">
              <w:rPr>
                <w:rFonts w:eastAsia="Times New Roman"/>
                <w:szCs w:val="22"/>
                <w:lang w:bidi="th-TH"/>
              </w:rPr>
              <w:t xml:space="preserve">Cert IV or </w:t>
            </w:r>
            <w:r w:rsidR="008F7AC1">
              <w:rPr>
                <w:rFonts w:eastAsia="Times New Roman"/>
                <w:szCs w:val="22"/>
                <w:lang w:bidi="th-TH"/>
              </w:rPr>
              <w:t>above</w:t>
            </w:r>
            <w:r w:rsidR="0048699D" w:rsidRPr="00856E7B">
              <w:rPr>
                <w:rFonts w:eastAsia="Times New Roman"/>
                <w:szCs w:val="22"/>
                <w:lang w:bidi="th-TH"/>
              </w:rPr>
              <w:t xml:space="preserve"> in Aboriginal and Torres Strait Islander Primary Health Care Practice</w:t>
            </w:r>
            <w:r w:rsidR="003F116F">
              <w:rPr>
                <w:rFonts w:eastAsia="Times New Roman"/>
                <w:szCs w:val="22"/>
                <w:lang w:bidi="th-TH"/>
              </w:rPr>
              <w:t>.</w:t>
            </w:r>
            <w:r w:rsidR="0048699D" w:rsidRPr="00856E7B">
              <w:rPr>
                <w:rFonts w:eastAsia="Times New Roman"/>
                <w:szCs w:val="22"/>
                <w:lang w:bidi="th-TH"/>
              </w:rPr>
              <w:t xml:space="preserve"> </w:t>
            </w:r>
          </w:p>
          <w:p w14:paraId="39211A14" w14:textId="1AD875C0" w:rsidR="002B455A" w:rsidRPr="00FA6043" w:rsidRDefault="002B455A" w:rsidP="00E3017E">
            <w:pPr>
              <w:pStyle w:val="ListParagraph"/>
              <w:ind w:left="360"/>
              <w:rPr>
                <w:b/>
              </w:rPr>
            </w:pPr>
          </w:p>
          <w:p w14:paraId="6813532C" w14:textId="42EBC330" w:rsidR="00B55995" w:rsidRPr="00856E7B" w:rsidRDefault="0048699D" w:rsidP="00DF3F6B">
            <w:pPr>
              <w:pStyle w:val="ListParagraph"/>
              <w:numPr>
                <w:ilvl w:val="0"/>
                <w:numId w:val="449"/>
              </w:numPr>
              <w:rPr>
                <w:b/>
              </w:rPr>
            </w:pPr>
            <w:r w:rsidRPr="00856E7B">
              <w:rPr>
                <w:rFonts w:eastAsia="Times New Roman"/>
                <w:szCs w:val="22"/>
                <w:lang w:bidi="th-TH"/>
              </w:rPr>
              <w:t>an Enrolled Nurse under the supervision of a Registered Nurse may be considered for the Team Leader role.</w:t>
            </w:r>
          </w:p>
        </w:tc>
      </w:tr>
      <w:tr w:rsidR="00333B03" w:rsidRPr="005F073C" w14:paraId="1C46BA70" w14:textId="77777777" w:rsidTr="00254FC0">
        <w:trPr>
          <w:cantSplit/>
        </w:trPr>
        <w:tc>
          <w:tcPr>
            <w:tcW w:w="1049" w:type="pct"/>
          </w:tcPr>
          <w:p w14:paraId="44493AFE"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Workplace Trainer </w:t>
            </w:r>
          </w:p>
        </w:tc>
        <w:tc>
          <w:tcPr>
            <w:tcW w:w="3951" w:type="pct"/>
          </w:tcPr>
          <w:p w14:paraId="4868FD29"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one years’ experience as an Aged Care Needs Assessor and as listed in the My Aged Care Workforce Learning Strategy.</w:t>
            </w:r>
          </w:p>
          <w:p w14:paraId="7EC4F465" w14:textId="77777777" w:rsidR="00333B03" w:rsidRPr="005F073C" w:rsidRDefault="00333B03" w:rsidP="00254FC0">
            <w:pPr>
              <w:ind w:left="602" w:hanging="284"/>
            </w:pPr>
            <w:r w:rsidRPr="005F073C">
              <w:rPr>
                <w:rFonts w:eastAsia="Times New Roman"/>
                <w:szCs w:val="22"/>
                <w:lang w:bidi="th-TH"/>
              </w:rPr>
              <w:t>and/or</w:t>
            </w:r>
          </w:p>
          <w:p w14:paraId="64E0B31C" w14:textId="4AA80F62"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Training qualifications (such as a Cert IV or higher in training and assessment) or Bachelor degree in education, or higher</w:t>
            </w:r>
            <w:r w:rsidR="00B23AB0" w:rsidRPr="005F073C">
              <w:rPr>
                <w:rFonts w:ascii="Arial" w:hAnsi="Arial" w:cs="Arial"/>
              </w:rPr>
              <w:t xml:space="preserve">. </w:t>
            </w:r>
          </w:p>
        </w:tc>
      </w:tr>
      <w:tr w:rsidR="00333B03" w:rsidRPr="005F073C" w14:paraId="302B95A6" w14:textId="77777777" w:rsidTr="00254FC0">
        <w:trPr>
          <w:cantSplit/>
        </w:trPr>
        <w:tc>
          <w:tcPr>
            <w:tcW w:w="1049" w:type="pct"/>
          </w:tcPr>
          <w:p w14:paraId="606B0971"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Administrators (e.g. organisational and/or outlet administrators)</w:t>
            </w:r>
          </w:p>
        </w:tc>
        <w:tc>
          <w:tcPr>
            <w:tcW w:w="3951" w:type="pct"/>
          </w:tcPr>
          <w:p w14:paraId="05561B15" w14:textId="77777777" w:rsidR="00333B03" w:rsidRPr="005F073C" w:rsidRDefault="00333B03" w:rsidP="00DF3F6B">
            <w:pPr>
              <w:pStyle w:val="PartL3"/>
              <w:numPr>
                <w:ilvl w:val="0"/>
                <w:numId w:val="396"/>
              </w:numPr>
              <w:spacing w:before="120"/>
              <w:rPr>
                <w:rFonts w:ascii="Arial" w:hAnsi="Arial" w:cs="Arial"/>
              </w:rPr>
            </w:pPr>
            <w:r w:rsidRPr="005F073C">
              <w:rPr>
                <w:rFonts w:ascii="Arial" w:hAnsi="Arial" w:cs="Arial"/>
              </w:rPr>
              <w:t>At least three months’ experience in aged care or Aged Care Needs Assessment preferred.</w:t>
            </w:r>
          </w:p>
        </w:tc>
      </w:tr>
      <w:tr w:rsidR="00333B03" w:rsidRPr="005F073C" w14:paraId="223BBEB3" w14:textId="77777777" w:rsidTr="00254FC0">
        <w:trPr>
          <w:cantSplit/>
        </w:trPr>
        <w:tc>
          <w:tcPr>
            <w:tcW w:w="1049" w:type="pct"/>
          </w:tcPr>
          <w:p w14:paraId="1318C4BE"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Contract Manager </w:t>
            </w:r>
          </w:p>
        </w:tc>
        <w:tc>
          <w:tcPr>
            <w:tcW w:w="3951" w:type="pct"/>
          </w:tcPr>
          <w:p w14:paraId="384072C8"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r w:rsidR="00333B03" w:rsidRPr="005F073C" w14:paraId="6ACB9A6E" w14:textId="77777777" w:rsidTr="00254FC0">
        <w:trPr>
          <w:cantSplit/>
        </w:trPr>
        <w:tc>
          <w:tcPr>
            <w:tcW w:w="1049" w:type="pct"/>
          </w:tcPr>
          <w:p w14:paraId="690F8F93"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Assessment Organisation Operational Manager </w:t>
            </w:r>
          </w:p>
        </w:tc>
        <w:tc>
          <w:tcPr>
            <w:tcW w:w="3951" w:type="pct"/>
          </w:tcPr>
          <w:p w14:paraId="1503DD3C"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r w:rsidR="00333B03" w:rsidRPr="005F073C" w14:paraId="339534D6" w14:textId="77777777" w:rsidTr="00254FC0">
        <w:trPr>
          <w:cantSplit/>
        </w:trPr>
        <w:tc>
          <w:tcPr>
            <w:tcW w:w="1049" w:type="pct"/>
          </w:tcPr>
          <w:p w14:paraId="1FF06925"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Administration Officer </w:t>
            </w:r>
          </w:p>
        </w:tc>
        <w:tc>
          <w:tcPr>
            <w:tcW w:w="3951" w:type="pct"/>
          </w:tcPr>
          <w:p w14:paraId="64FE7B98"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r w:rsidR="00333B03" w:rsidRPr="005F073C" w14:paraId="5490CADF" w14:textId="77777777" w:rsidTr="00254FC0">
        <w:trPr>
          <w:cantSplit/>
        </w:trPr>
        <w:tc>
          <w:tcPr>
            <w:tcW w:w="1049" w:type="pct"/>
          </w:tcPr>
          <w:p w14:paraId="7E18C743" w14:textId="77777777" w:rsidR="00333B03" w:rsidRPr="005F073C" w:rsidRDefault="00333B03">
            <w:pPr>
              <w:pStyle w:val="PartL3"/>
              <w:spacing w:before="120"/>
              <w:rPr>
                <w:rFonts w:ascii="Arial" w:eastAsiaTheme="majorEastAsia" w:hAnsi="Arial" w:cs="Arial"/>
                <w:b/>
                <w:bCs/>
                <w:lang w:eastAsia="en-AU"/>
              </w:rPr>
            </w:pPr>
            <w:r w:rsidRPr="005F073C">
              <w:rPr>
                <w:rFonts w:ascii="Arial" w:eastAsiaTheme="majorEastAsia" w:hAnsi="Arial" w:cs="Arial"/>
                <w:b/>
                <w:bCs/>
                <w:lang w:eastAsia="en-AU"/>
              </w:rPr>
              <w:t xml:space="preserve">Delegate Support </w:t>
            </w:r>
          </w:p>
        </w:tc>
        <w:tc>
          <w:tcPr>
            <w:tcW w:w="3951" w:type="pct"/>
          </w:tcPr>
          <w:p w14:paraId="17A14729" w14:textId="77777777" w:rsidR="00333B03" w:rsidRPr="005F073C" w:rsidRDefault="00333B03" w:rsidP="005F073C">
            <w:pPr>
              <w:pStyle w:val="PartL3"/>
              <w:spacing w:before="120"/>
              <w:ind w:left="360"/>
              <w:rPr>
                <w:rFonts w:ascii="Arial" w:hAnsi="Arial" w:cs="Arial"/>
              </w:rPr>
            </w:pPr>
            <w:r w:rsidRPr="005F073C">
              <w:rPr>
                <w:rFonts w:ascii="Arial" w:hAnsi="Arial" w:cs="Arial"/>
              </w:rPr>
              <w:t xml:space="preserve">Nil specified </w:t>
            </w:r>
          </w:p>
        </w:tc>
      </w:tr>
    </w:tbl>
    <w:p w14:paraId="51C3C246" w14:textId="77777777" w:rsidR="00370263" w:rsidRDefault="00370263" w:rsidP="00370263"/>
    <w:p w14:paraId="3A3B12EE" w14:textId="77777777" w:rsidR="009B4B25" w:rsidRPr="009B4B25" w:rsidRDefault="00F03C3D" w:rsidP="009B4B25">
      <w:pPr>
        <w:rPr>
          <w:sz w:val="18"/>
          <w:szCs w:val="20"/>
        </w:rPr>
      </w:pPr>
      <w:r w:rsidRPr="009B4B25">
        <w:rPr>
          <w:sz w:val="18"/>
          <w:szCs w:val="20"/>
        </w:rPr>
        <w:t>*</w:t>
      </w:r>
      <w:r w:rsidR="009B4B25" w:rsidRPr="009B4B25">
        <w:rPr>
          <w:sz w:val="18"/>
          <w:szCs w:val="20"/>
        </w:rPr>
        <w:t xml:space="preserve">Suitable tertiary qualifications are those that: </w:t>
      </w:r>
    </w:p>
    <w:p w14:paraId="07521307" w14:textId="1414EAE3" w:rsidR="009B4B25" w:rsidRPr="009B4B25" w:rsidRDefault="009B4B25" w:rsidP="00DF3F6B">
      <w:pPr>
        <w:pStyle w:val="ListParagraph"/>
        <w:numPr>
          <w:ilvl w:val="0"/>
          <w:numId w:val="396"/>
        </w:numPr>
        <w:ind w:left="709"/>
        <w:rPr>
          <w:sz w:val="18"/>
          <w:szCs w:val="20"/>
        </w:rPr>
      </w:pPr>
      <w:r w:rsidRPr="009B4B25">
        <w:rPr>
          <w:sz w:val="18"/>
          <w:szCs w:val="20"/>
        </w:rPr>
        <w:t xml:space="preserve">Are relevant to health and/or aged care, and </w:t>
      </w:r>
    </w:p>
    <w:p w14:paraId="72B094F5" w14:textId="0183CE66" w:rsidR="009B4B25" w:rsidRPr="009B4B25" w:rsidRDefault="009B4B25" w:rsidP="00DF3F6B">
      <w:pPr>
        <w:pStyle w:val="ListParagraph"/>
        <w:numPr>
          <w:ilvl w:val="0"/>
          <w:numId w:val="396"/>
        </w:numPr>
        <w:ind w:left="709"/>
        <w:rPr>
          <w:sz w:val="18"/>
          <w:szCs w:val="20"/>
        </w:rPr>
      </w:pPr>
      <w:r w:rsidRPr="009B4B25">
        <w:rPr>
          <w:sz w:val="18"/>
          <w:szCs w:val="20"/>
        </w:rPr>
        <w:t xml:space="preserve">Have a practical component (i.e. clinical practice/practicum placement hours), and </w:t>
      </w:r>
    </w:p>
    <w:p w14:paraId="44BCCAD1" w14:textId="7B2CE068" w:rsidR="00F03C3D" w:rsidRPr="00D35B15" w:rsidRDefault="009B4B25" w:rsidP="00DF3F6B">
      <w:pPr>
        <w:pStyle w:val="ListParagraph"/>
        <w:numPr>
          <w:ilvl w:val="0"/>
          <w:numId w:val="396"/>
        </w:numPr>
        <w:ind w:left="709"/>
        <w:rPr>
          <w:sz w:val="18"/>
          <w:szCs w:val="20"/>
        </w:rPr>
        <w:sectPr w:rsidR="00F03C3D" w:rsidRPr="00D35B15">
          <w:pgSz w:w="11906" w:h="16838"/>
          <w:pgMar w:top="1440" w:right="1440" w:bottom="1440" w:left="1440" w:header="708" w:footer="708" w:gutter="0"/>
          <w:cols w:space="708"/>
          <w:docGrid w:linePitch="360"/>
        </w:sectPr>
      </w:pPr>
      <w:r w:rsidRPr="009B4B25">
        <w:rPr>
          <w:sz w:val="18"/>
          <w:szCs w:val="20"/>
        </w:rPr>
        <w:t xml:space="preserve">Include subjects that assess function/mobility, such as anatomy physiology, and/or </w:t>
      </w:r>
      <w:r w:rsidRPr="00D35B15">
        <w:rPr>
          <w:sz w:val="18"/>
          <w:szCs w:val="20"/>
        </w:rPr>
        <w:t>health and wellbeing</w:t>
      </w:r>
    </w:p>
    <w:p w14:paraId="5E00DB88" w14:textId="07BD153E" w:rsidR="00031C12" w:rsidRPr="00546F1B" w:rsidRDefault="00370263" w:rsidP="005D6C7B">
      <w:pPr>
        <w:pStyle w:val="H1"/>
        <w:numPr>
          <w:ilvl w:val="0"/>
          <w:numId w:val="0"/>
        </w:numPr>
        <w:ind w:left="360"/>
      </w:pPr>
      <w:bookmarkStart w:id="1153" w:name="_Toc209189082"/>
      <w:bookmarkStart w:id="1154" w:name="_Toc224916733"/>
      <w:r w:rsidRPr="00546F1B">
        <w:t xml:space="preserve">APPENDIX </w:t>
      </w:r>
      <w:r w:rsidR="00A5274A">
        <w:t>G</w:t>
      </w:r>
      <w:r w:rsidR="00A5274A" w:rsidRPr="00546F1B">
        <w:t xml:space="preserve"> </w:t>
      </w:r>
      <w:r w:rsidRPr="00546F1B">
        <w:t xml:space="preserve">– AT-HM </w:t>
      </w:r>
      <w:bookmarkEnd w:id="1153"/>
      <w:r w:rsidR="00E11E45">
        <w:t>terms</w:t>
      </w:r>
      <w:bookmarkEnd w:id="1154"/>
      <w:r w:rsidR="00E11E45">
        <w:t xml:space="preserve"> </w:t>
      </w:r>
    </w:p>
    <w:p w14:paraId="680CD873" w14:textId="06FF24E1" w:rsidR="00601A34" w:rsidRPr="00031C12" w:rsidRDefault="00601A34" w:rsidP="00E3017E">
      <w:pPr>
        <w:pStyle w:val="Caption"/>
      </w:pPr>
      <w:r>
        <w:t>Table 6</w:t>
      </w:r>
      <w:r w:rsidR="00E67BF4">
        <w:t>8</w:t>
      </w:r>
      <w:r>
        <w:t xml:space="preserve">. AT-HM </w:t>
      </w:r>
      <w:r w:rsidR="008F7C7B">
        <w:t xml:space="preserve">terms and definitions </w:t>
      </w:r>
    </w:p>
    <w:tbl>
      <w:tblPr>
        <w:tblStyle w:val="TableGrid"/>
        <w:tblW w:w="4869" w:type="pct"/>
        <w:tblBorders>
          <w:bottom w:val="single" w:sz="4" w:space="0" w:color="auto"/>
          <w:insideH w:val="single" w:sz="4" w:space="0" w:color="auto"/>
        </w:tblBorders>
        <w:tblLayout w:type="fixed"/>
        <w:tblLook w:val="04A0" w:firstRow="1" w:lastRow="0" w:firstColumn="1" w:lastColumn="0" w:noHBand="0" w:noVBand="1"/>
      </w:tblPr>
      <w:tblGrid>
        <w:gridCol w:w="1846"/>
        <w:gridCol w:w="6944"/>
      </w:tblGrid>
      <w:tr w:rsidR="005F073C" w:rsidRPr="005F073C" w14:paraId="1BA1AE4E" w14:textId="77777777">
        <w:trPr>
          <w:cantSplit/>
          <w:tblHeader/>
        </w:trPr>
        <w:tc>
          <w:tcPr>
            <w:tcW w:w="1050" w:type="pct"/>
            <w:shd w:val="clear" w:color="auto" w:fill="002060"/>
          </w:tcPr>
          <w:p w14:paraId="2A55DDD4" w14:textId="11D91F6F" w:rsidR="005F073C" w:rsidRPr="001C56E1" w:rsidRDefault="005C49D9">
            <w:pPr>
              <w:pStyle w:val="PartL3"/>
              <w:spacing w:before="120"/>
              <w:rPr>
                <w:rFonts w:ascii="Arial" w:hAnsi="Arial" w:cs="Arial"/>
                <w:b/>
                <w:color w:val="FFFFFF" w:themeColor="background1"/>
              </w:rPr>
            </w:pPr>
            <w:r w:rsidRPr="001C56E1">
              <w:rPr>
                <w:rFonts w:ascii="Arial" w:hAnsi="Arial" w:cs="Arial"/>
                <w:b/>
                <w:color w:val="FFFFFF" w:themeColor="background1"/>
              </w:rPr>
              <w:t xml:space="preserve">Term </w:t>
            </w:r>
          </w:p>
        </w:tc>
        <w:tc>
          <w:tcPr>
            <w:tcW w:w="3950" w:type="pct"/>
            <w:shd w:val="clear" w:color="auto" w:fill="002060"/>
          </w:tcPr>
          <w:p w14:paraId="3B2BD546" w14:textId="4CA53FE6" w:rsidR="005F073C" w:rsidRPr="005F073C" w:rsidRDefault="005C49D9">
            <w:pPr>
              <w:pStyle w:val="PartL3"/>
              <w:spacing w:before="120"/>
              <w:rPr>
                <w:rFonts w:ascii="Arial" w:hAnsi="Arial" w:cs="Arial"/>
                <w:color w:val="FFFFFF" w:themeColor="background1"/>
              </w:rPr>
            </w:pPr>
            <w:r>
              <w:rPr>
                <w:rFonts w:ascii="Arial" w:hAnsi="Arial" w:cs="Arial"/>
                <w:b/>
                <w:color w:val="FFFFFF" w:themeColor="background1"/>
              </w:rPr>
              <w:t xml:space="preserve">Definition </w:t>
            </w:r>
          </w:p>
        </w:tc>
      </w:tr>
      <w:tr w:rsidR="005F073C" w:rsidRPr="005F073C" w14:paraId="5C2E5632" w14:textId="77777777">
        <w:trPr>
          <w:cantSplit/>
        </w:trPr>
        <w:tc>
          <w:tcPr>
            <w:tcW w:w="1050" w:type="pct"/>
            <w:shd w:val="clear" w:color="auto" w:fill="FFFFFF" w:themeFill="background1"/>
          </w:tcPr>
          <w:p w14:paraId="24A8B1F1" w14:textId="7F965F49" w:rsidR="005F073C" w:rsidRPr="005F073C" w:rsidRDefault="005F073C" w:rsidP="005F073C">
            <w:pPr>
              <w:rPr>
                <w:b/>
              </w:rPr>
            </w:pPr>
            <w:r w:rsidRPr="005F073C">
              <w:rPr>
                <w:b/>
                <w:bCs/>
                <w:szCs w:val="22"/>
                <w:lang w:val="en-AU"/>
              </w:rPr>
              <w:t xml:space="preserve">Tier indicator </w:t>
            </w:r>
          </w:p>
        </w:tc>
        <w:tc>
          <w:tcPr>
            <w:tcW w:w="3950" w:type="pct"/>
            <w:shd w:val="clear" w:color="auto" w:fill="FFFFFF" w:themeFill="background1"/>
          </w:tcPr>
          <w:p w14:paraId="4CE2C925" w14:textId="77777777" w:rsidR="005F073C" w:rsidRPr="005F073C" w:rsidRDefault="005F073C" w:rsidP="005F073C">
            <w:pPr>
              <w:rPr>
                <w:szCs w:val="22"/>
                <w:lang w:val="en-AU"/>
              </w:rPr>
            </w:pPr>
            <w:r w:rsidRPr="005F073C">
              <w:rPr>
                <w:szCs w:val="22"/>
                <w:lang w:val="en-AU"/>
              </w:rPr>
              <w:t>Item which aligns with an older person’s function and home environment.</w:t>
            </w:r>
          </w:p>
          <w:p w14:paraId="720F9E07" w14:textId="73FD5400" w:rsidR="005F073C" w:rsidRPr="005F073C" w:rsidRDefault="005F073C" w:rsidP="005F073C">
            <w:pPr>
              <w:pStyle w:val="PartL3"/>
              <w:spacing w:before="120"/>
              <w:rPr>
                <w:rFonts w:ascii="Arial" w:hAnsi="Arial" w:cs="Arial"/>
              </w:rPr>
            </w:pPr>
          </w:p>
        </w:tc>
      </w:tr>
      <w:tr w:rsidR="005F073C" w:rsidRPr="005F073C" w14:paraId="775F97AD" w14:textId="77777777">
        <w:trPr>
          <w:cantSplit/>
        </w:trPr>
        <w:tc>
          <w:tcPr>
            <w:tcW w:w="1050" w:type="pct"/>
            <w:shd w:val="clear" w:color="auto" w:fill="FFFFFF" w:themeFill="background1"/>
          </w:tcPr>
          <w:p w14:paraId="78ADAC7A" w14:textId="1D5FCF09" w:rsidR="005F073C" w:rsidRPr="005F073C" w:rsidRDefault="005F073C">
            <w:pPr>
              <w:pStyle w:val="PartL3"/>
              <w:spacing w:before="120"/>
              <w:rPr>
                <w:rFonts w:ascii="Arial" w:hAnsi="Arial" w:cs="Arial"/>
                <w:b/>
              </w:rPr>
            </w:pPr>
            <w:r w:rsidRPr="005F073C">
              <w:rPr>
                <w:rFonts w:ascii="Arial" w:hAnsi="Arial" w:cs="Arial"/>
                <w:b/>
                <w:bCs/>
              </w:rPr>
              <w:t>Mild/Minimal</w:t>
            </w:r>
          </w:p>
        </w:tc>
        <w:tc>
          <w:tcPr>
            <w:tcW w:w="3950" w:type="pct"/>
            <w:shd w:val="clear" w:color="auto" w:fill="FFFFFF" w:themeFill="background1"/>
          </w:tcPr>
          <w:p w14:paraId="5EE7A2DB" w14:textId="12D61874" w:rsidR="005F073C" w:rsidRPr="005F073C" w:rsidRDefault="005F073C">
            <w:pPr>
              <w:rPr>
                <w:lang w:val="en-AU" w:eastAsia="zh-CN" w:bidi="th-TH"/>
              </w:rPr>
            </w:pPr>
            <w:r w:rsidRPr="005F073C">
              <w:rPr>
                <w:szCs w:val="22"/>
                <w:lang w:val="en-AU"/>
              </w:rPr>
              <w:t>Minor, infrequent and no significant impact.</w:t>
            </w:r>
          </w:p>
        </w:tc>
      </w:tr>
      <w:tr w:rsidR="005F073C" w:rsidRPr="005F073C" w14:paraId="4D0EB658" w14:textId="77777777">
        <w:trPr>
          <w:cantSplit/>
        </w:trPr>
        <w:tc>
          <w:tcPr>
            <w:tcW w:w="1050" w:type="pct"/>
            <w:shd w:val="clear" w:color="auto" w:fill="FFFFFF" w:themeFill="background1"/>
          </w:tcPr>
          <w:p w14:paraId="1B684090" w14:textId="06F5C3A9" w:rsidR="005F073C" w:rsidRPr="005F073C" w:rsidRDefault="005F073C">
            <w:pPr>
              <w:pStyle w:val="PartL3"/>
              <w:spacing w:before="120"/>
              <w:rPr>
                <w:rFonts w:ascii="Arial" w:hAnsi="Arial" w:cs="Arial"/>
                <w:b/>
                <w:bCs/>
              </w:rPr>
            </w:pPr>
            <w:r w:rsidRPr="005F073C">
              <w:rPr>
                <w:rFonts w:ascii="Arial" w:hAnsi="Arial" w:cs="Arial"/>
                <w:b/>
                <w:bCs/>
              </w:rPr>
              <w:t>Moderate</w:t>
            </w:r>
          </w:p>
        </w:tc>
        <w:tc>
          <w:tcPr>
            <w:tcW w:w="3950" w:type="pct"/>
            <w:shd w:val="clear" w:color="auto" w:fill="FFFFFF" w:themeFill="background1"/>
          </w:tcPr>
          <w:p w14:paraId="46CA81AC" w14:textId="77777777" w:rsidR="005F073C" w:rsidRPr="005F073C" w:rsidRDefault="005F073C" w:rsidP="005F073C">
            <w:pPr>
              <w:rPr>
                <w:szCs w:val="22"/>
                <w:lang w:val="en-AU"/>
              </w:rPr>
            </w:pPr>
            <w:r w:rsidRPr="005F073C">
              <w:rPr>
                <w:szCs w:val="22"/>
                <w:lang w:val="en-AU"/>
              </w:rPr>
              <w:t>Medium, regular and has some impact.</w:t>
            </w:r>
          </w:p>
          <w:p w14:paraId="0981A11E" w14:textId="77777777" w:rsidR="005F073C" w:rsidRPr="005F073C" w:rsidRDefault="005F073C">
            <w:pPr>
              <w:rPr>
                <w:szCs w:val="22"/>
                <w:lang w:val="en-AU"/>
              </w:rPr>
            </w:pPr>
          </w:p>
        </w:tc>
      </w:tr>
      <w:tr w:rsidR="005F073C" w:rsidRPr="005F073C" w14:paraId="388F94A5" w14:textId="77777777">
        <w:trPr>
          <w:cantSplit/>
        </w:trPr>
        <w:tc>
          <w:tcPr>
            <w:tcW w:w="1050" w:type="pct"/>
            <w:shd w:val="clear" w:color="auto" w:fill="FFFFFF" w:themeFill="background1"/>
          </w:tcPr>
          <w:p w14:paraId="20D97791" w14:textId="4793ACBC" w:rsidR="005F073C" w:rsidRPr="005F073C" w:rsidRDefault="005F073C">
            <w:pPr>
              <w:pStyle w:val="PartL3"/>
              <w:spacing w:before="120"/>
              <w:rPr>
                <w:rFonts w:ascii="Arial" w:hAnsi="Arial" w:cs="Arial"/>
                <w:b/>
                <w:bCs/>
              </w:rPr>
            </w:pPr>
            <w:r w:rsidRPr="005F073C">
              <w:rPr>
                <w:rFonts w:ascii="Arial" w:hAnsi="Arial" w:cs="Arial"/>
                <w:b/>
                <w:bCs/>
              </w:rPr>
              <w:t>Significant:</w:t>
            </w:r>
          </w:p>
        </w:tc>
        <w:tc>
          <w:tcPr>
            <w:tcW w:w="3950" w:type="pct"/>
            <w:shd w:val="clear" w:color="auto" w:fill="FFFFFF" w:themeFill="background1"/>
          </w:tcPr>
          <w:p w14:paraId="0D930879" w14:textId="77777777" w:rsidR="005F073C" w:rsidRPr="005F073C" w:rsidRDefault="005F073C" w:rsidP="005F073C">
            <w:pPr>
              <w:rPr>
                <w:szCs w:val="22"/>
                <w:lang w:val="en-AU"/>
              </w:rPr>
            </w:pPr>
            <w:r w:rsidRPr="005F073C">
              <w:rPr>
                <w:szCs w:val="22"/>
                <w:lang w:val="en-AU"/>
              </w:rPr>
              <w:t>Considerable, frequent and complex with serious impact. </w:t>
            </w:r>
          </w:p>
          <w:p w14:paraId="51CCCADE" w14:textId="77777777" w:rsidR="005F073C" w:rsidRPr="005F073C" w:rsidRDefault="005F073C" w:rsidP="005F073C">
            <w:pPr>
              <w:rPr>
                <w:szCs w:val="22"/>
                <w:lang w:val="en-AU"/>
              </w:rPr>
            </w:pPr>
          </w:p>
        </w:tc>
      </w:tr>
      <w:tr w:rsidR="005F073C" w:rsidRPr="005F073C" w14:paraId="1D930712" w14:textId="77777777">
        <w:trPr>
          <w:cantSplit/>
        </w:trPr>
        <w:tc>
          <w:tcPr>
            <w:tcW w:w="1050" w:type="pct"/>
            <w:shd w:val="clear" w:color="auto" w:fill="FFFFFF" w:themeFill="background1"/>
          </w:tcPr>
          <w:p w14:paraId="3C7AC58D" w14:textId="65BADB2F" w:rsidR="005F073C" w:rsidRPr="005F073C" w:rsidRDefault="005F073C">
            <w:pPr>
              <w:pStyle w:val="PartL3"/>
              <w:spacing w:before="120"/>
              <w:rPr>
                <w:rFonts w:ascii="Arial" w:hAnsi="Arial" w:cs="Arial"/>
                <w:b/>
                <w:bCs/>
              </w:rPr>
            </w:pPr>
            <w:r w:rsidRPr="005F073C">
              <w:rPr>
                <w:rFonts w:ascii="Arial" w:hAnsi="Arial" w:cs="Arial"/>
                <w:b/>
                <w:bCs/>
              </w:rPr>
              <w:t>Progressive condition:</w:t>
            </w:r>
          </w:p>
        </w:tc>
        <w:tc>
          <w:tcPr>
            <w:tcW w:w="3950" w:type="pct"/>
            <w:shd w:val="clear" w:color="auto" w:fill="FFFFFF" w:themeFill="background1"/>
          </w:tcPr>
          <w:p w14:paraId="3F11B857" w14:textId="77777777" w:rsidR="005F073C" w:rsidRPr="005F073C" w:rsidRDefault="005F073C" w:rsidP="005F073C">
            <w:pPr>
              <w:rPr>
                <w:szCs w:val="22"/>
                <w:lang w:val="en-AU"/>
              </w:rPr>
            </w:pPr>
            <w:r w:rsidRPr="005F073C">
              <w:rPr>
                <w:szCs w:val="22"/>
                <w:lang w:val="en-AU"/>
              </w:rPr>
              <w:t>A medical condition that worsens over time, resulting in a range of limitations in function which can affect quality of life, daily living and community activities. (The 13 conditions listed below are all eligible AT-HM progressive conditions under SaH).</w:t>
            </w:r>
          </w:p>
          <w:p w14:paraId="25D9AC89" w14:textId="77777777" w:rsidR="005F073C" w:rsidRPr="005F073C" w:rsidRDefault="005F073C" w:rsidP="005F073C">
            <w:pPr>
              <w:rPr>
                <w:szCs w:val="22"/>
                <w:lang w:val="en-AU"/>
              </w:rPr>
            </w:pPr>
            <w:r w:rsidRPr="005F073C">
              <w:rPr>
                <w:szCs w:val="22"/>
              </w:rPr>
              <w:t>These conditions include:</w:t>
            </w:r>
            <w:r w:rsidRPr="005F073C">
              <w:rPr>
                <w:szCs w:val="22"/>
                <w:lang w:val="en-AU"/>
              </w:rPr>
              <w:t> </w:t>
            </w:r>
          </w:p>
          <w:p w14:paraId="2ABCCFD3" w14:textId="77777777" w:rsidR="005F073C" w:rsidRPr="005F073C" w:rsidRDefault="005F073C" w:rsidP="00DF3F6B">
            <w:pPr>
              <w:pStyle w:val="ListParagraph"/>
              <w:numPr>
                <w:ilvl w:val="0"/>
                <w:numId w:val="397"/>
              </w:numPr>
              <w:rPr>
                <w:szCs w:val="22"/>
                <w:lang w:val="en-AU"/>
              </w:rPr>
            </w:pPr>
            <w:r w:rsidRPr="005F073C">
              <w:rPr>
                <w:szCs w:val="22"/>
              </w:rPr>
              <w:t>Cerebral Palsy</w:t>
            </w:r>
            <w:r w:rsidRPr="005F073C">
              <w:rPr>
                <w:szCs w:val="22"/>
                <w:lang w:val="en-AU"/>
              </w:rPr>
              <w:t> </w:t>
            </w:r>
          </w:p>
          <w:p w14:paraId="287D9324" w14:textId="77777777" w:rsidR="005F073C" w:rsidRPr="005F073C" w:rsidRDefault="005F073C" w:rsidP="00DF3F6B">
            <w:pPr>
              <w:pStyle w:val="ListParagraph"/>
              <w:numPr>
                <w:ilvl w:val="0"/>
                <w:numId w:val="397"/>
              </w:numPr>
              <w:rPr>
                <w:szCs w:val="22"/>
                <w:lang w:val="en-AU"/>
              </w:rPr>
            </w:pPr>
            <w:r w:rsidRPr="005F073C">
              <w:rPr>
                <w:szCs w:val="22"/>
              </w:rPr>
              <w:t>Epilepsy</w:t>
            </w:r>
            <w:r w:rsidRPr="005F073C">
              <w:rPr>
                <w:szCs w:val="22"/>
                <w:lang w:val="en-AU"/>
              </w:rPr>
              <w:t> </w:t>
            </w:r>
          </w:p>
          <w:p w14:paraId="74829C79" w14:textId="77777777" w:rsidR="005F073C" w:rsidRPr="005F073C" w:rsidRDefault="005F073C" w:rsidP="00DF3F6B">
            <w:pPr>
              <w:pStyle w:val="ListParagraph"/>
              <w:numPr>
                <w:ilvl w:val="0"/>
                <w:numId w:val="397"/>
              </w:numPr>
              <w:rPr>
                <w:szCs w:val="22"/>
                <w:lang w:val="en-AU"/>
              </w:rPr>
            </w:pPr>
            <w:r w:rsidRPr="005F073C">
              <w:rPr>
                <w:szCs w:val="22"/>
              </w:rPr>
              <w:t>Huntington’s Disease</w:t>
            </w:r>
            <w:r w:rsidRPr="005F073C">
              <w:rPr>
                <w:szCs w:val="22"/>
                <w:lang w:val="en-AU"/>
              </w:rPr>
              <w:t> </w:t>
            </w:r>
          </w:p>
          <w:p w14:paraId="51B9CA56" w14:textId="77777777" w:rsidR="005F073C" w:rsidRPr="005F073C" w:rsidRDefault="005F073C" w:rsidP="00DF3F6B">
            <w:pPr>
              <w:pStyle w:val="ListParagraph"/>
              <w:numPr>
                <w:ilvl w:val="0"/>
                <w:numId w:val="397"/>
              </w:numPr>
              <w:rPr>
                <w:szCs w:val="22"/>
                <w:lang w:val="en-AU"/>
              </w:rPr>
            </w:pPr>
            <w:r w:rsidRPr="005F073C">
              <w:rPr>
                <w:szCs w:val="22"/>
              </w:rPr>
              <w:t>Motor Neurone Disease (MND) noting different phenotypes require different management</w:t>
            </w:r>
            <w:r w:rsidRPr="005F073C">
              <w:rPr>
                <w:szCs w:val="22"/>
                <w:lang w:val="en-AU"/>
              </w:rPr>
              <w:t> </w:t>
            </w:r>
          </w:p>
          <w:p w14:paraId="5F943329" w14:textId="77777777" w:rsidR="005F073C" w:rsidRPr="005F073C" w:rsidRDefault="005F073C" w:rsidP="00DF3F6B">
            <w:pPr>
              <w:pStyle w:val="ListParagraph"/>
              <w:numPr>
                <w:ilvl w:val="0"/>
                <w:numId w:val="397"/>
              </w:numPr>
              <w:rPr>
                <w:szCs w:val="22"/>
                <w:lang w:val="en-AU"/>
              </w:rPr>
            </w:pPr>
            <w:r w:rsidRPr="005F073C">
              <w:rPr>
                <w:szCs w:val="22"/>
              </w:rPr>
              <w:t>Multiple Sclerosis (MS)</w:t>
            </w:r>
            <w:r w:rsidRPr="005F073C">
              <w:rPr>
                <w:szCs w:val="22"/>
                <w:lang w:val="en-AU"/>
              </w:rPr>
              <w:t> </w:t>
            </w:r>
          </w:p>
          <w:p w14:paraId="537B97A4" w14:textId="77777777" w:rsidR="005F073C" w:rsidRPr="005F073C" w:rsidRDefault="005F073C" w:rsidP="00DF3F6B">
            <w:pPr>
              <w:pStyle w:val="ListParagraph"/>
              <w:numPr>
                <w:ilvl w:val="0"/>
                <w:numId w:val="397"/>
              </w:numPr>
              <w:rPr>
                <w:szCs w:val="22"/>
                <w:lang w:val="en-AU"/>
              </w:rPr>
            </w:pPr>
            <w:r w:rsidRPr="005F073C">
              <w:rPr>
                <w:szCs w:val="22"/>
              </w:rPr>
              <w:t>Parkinson’s Disease</w:t>
            </w:r>
            <w:r w:rsidRPr="005F073C">
              <w:rPr>
                <w:szCs w:val="22"/>
                <w:lang w:val="en-AU"/>
              </w:rPr>
              <w:t> </w:t>
            </w:r>
          </w:p>
          <w:p w14:paraId="4775500F" w14:textId="77777777" w:rsidR="005F073C" w:rsidRPr="005F073C" w:rsidRDefault="005F073C" w:rsidP="00DF3F6B">
            <w:pPr>
              <w:pStyle w:val="ListParagraph"/>
              <w:numPr>
                <w:ilvl w:val="0"/>
                <w:numId w:val="397"/>
              </w:numPr>
              <w:rPr>
                <w:szCs w:val="22"/>
                <w:lang w:val="en-AU"/>
              </w:rPr>
            </w:pPr>
            <w:r w:rsidRPr="005F073C">
              <w:rPr>
                <w:szCs w:val="22"/>
              </w:rPr>
              <w:t>Late effects of Polio</w:t>
            </w:r>
            <w:r w:rsidRPr="005F073C">
              <w:rPr>
                <w:szCs w:val="22"/>
                <w:lang w:val="en-AU"/>
              </w:rPr>
              <w:t> </w:t>
            </w:r>
          </w:p>
          <w:p w14:paraId="7A8D3559" w14:textId="77777777" w:rsidR="005F073C" w:rsidRPr="005F073C" w:rsidRDefault="005F073C" w:rsidP="00DF3F6B">
            <w:pPr>
              <w:pStyle w:val="ListParagraph"/>
              <w:numPr>
                <w:ilvl w:val="0"/>
                <w:numId w:val="397"/>
              </w:numPr>
              <w:rPr>
                <w:szCs w:val="22"/>
                <w:lang w:val="en-AU"/>
              </w:rPr>
            </w:pPr>
            <w:r w:rsidRPr="005F073C">
              <w:rPr>
                <w:szCs w:val="22"/>
              </w:rPr>
              <w:t>Spinal Cord Injury</w:t>
            </w:r>
            <w:r w:rsidRPr="005F073C">
              <w:rPr>
                <w:szCs w:val="22"/>
                <w:lang w:val="en-AU"/>
              </w:rPr>
              <w:t> </w:t>
            </w:r>
          </w:p>
          <w:p w14:paraId="164498BC" w14:textId="77777777" w:rsidR="005F073C" w:rsidRPr="005F073C" w:rsidRDefault="005F073C" w:rsidP="00DF3F6B">
            <w:pPr>
              <w:pStyle w:val="ListParagraph"/>
              <w:numPr>
                <w:ilvl w:val="0"/>
                <w:numId w:val="397"/>
              </w:numPr>
              <w:rPr>
                <w:szCs w:val="22"/>
                <w:lang w:val="en-AU"/>
              </w:rPr>
            </w:pPr>
            <w:r w:rsidRPr="005F073C">
              <w:rPr>
                <w:szCs w:val="22"/>
              </w:rPr>
              <w:t>Spinal Muscular Atrophy</w:t>
            </w:r>
            <w:r w:rsidRPr="005F073C">
              <w:rPr>
                <w:szCs w:val="22"/>
                <w:lang w:val="en-AU"/>
              </w:rPr>
              <w:t> </w:t>
            </w:r>
          </w:p>
          <w:p w14:paraId="60A43272" w14:textId="77777777" w:rsidR="005F073C" w:rsidRPr="005F073C" w:rsidRDefault="005F073C" w:rsidP="00DF3F6B">
            <w:pPr>
              <w:pStyle w:val="ListParagraph"/>
              <w:numPr>
                <w:ilvl w:val="0"/>
                <w:numId w:val="397"/>
              </w:numPr>
              <w:rPr>
                <w:szCs w:val="22"/>
                <w:lang w:val="en-AU"/>
              </w:rPr>
            </w:pPr>
            <w:r w:rsidRPr="005F073C">
              <w:rPr>
                <w:szCs w:val="22"/>
              </w:rPr>
              <w:t>Stroke</w:t>
            </w:r>
            <w:r w:rsidRPr="005F073C">
              <w:rPr>
                <w:szCs w:val="22"/>
                <w:lang w:val="en-AU"/>
              </w:rPr>
              <w:t> </w:t>
            </w:r>
          </w:p>
          <w:p w14:paraId="16302A90" w14:textId="77777777" w:rsidR="005F073C" w:rsidRPr="005F073C" w:rsidRDefault="005F073C" w:rsidP="00DF3F6B">
            <w:pPr>
              <w:pStyle w:val="ListParagraph"/>
              <w:numPr>
                <w:ilvl w:val="0"/>
                <w:numId w:val="397"/>
              </w:numPr>
              <w:rPr>
                <w:szCs w:val="22"/>
              </w:rPr>
            </w:pPr>
            <w:r w:rsidRPr="005F073C">
              <w:rPr>
                <w:szCs w:val="22"/>
              </w:rPr>
              <w:t>Acquired Brain Injury noting different types of brain injury require different management </w:t>
            </w:r>
          </w:p>
          <w:p w14:paraId="50DDA669" w14:textId="77777777" w:rsidR="005F073C" w:rsidRPr="005F073C" w:rsidRDefault="005F073C" w:rsidP="00DF3F6B">
            <w:pPr>
              <w:pStyle w:val="ListParagraph"/>
              <w:numPr>
                <w:ilvl w:val="0"/>
                <w:numId w:val="397"/>
              </w:numPr>
              <w:rPr>
                <w:szCs w:val="22"/>
              </w:rPr>
            </w:pPr>
            <w:r w:rsidRPr="005F073C">
              <w:rPr>
                <w:szCs w:val="22"/>
              </w:rPr>
              <w:t>Muscular Dystrophies and Muscular Atrophies.</w:t>
            </w:r>
            <w:r w:rsidRPr="005F073C">
              <w:rPr>
                <w:szCs w:val="22"/>
                <w:lang w:val="en-AU"/>
              </w:rPr>
              <w:t> </w:t>
            </w:r>
          </w:p>
          <w:p w14:paraId="4CF99341" w14:textId="77777777" w:rsidR="005F073C" w:rsidRPr="005F073C" w:rsidRDefault="005F073C" w:rsidP="005F073C">
            <w:pPr>
              <w:rPr>
                <w:szCs w:val="22"/>
                <w:lang w:val="en-AU"/>
              </w:rPr>
            </w:pPr>
          </w:p>
        </w:tc>
      </w:tr>
    </w:tbl>
    <w:p w14:paraId="1158B449" w14:textId="77777777" w:rsidR="00370263" w:rsidRDefault="00370263" w:rsidP="00574A7F"/>
    <w:p w14:paraId="13090CCB" w14:textId="77777777" w:rsidR="00370263" w:rsidRDefault="00370263" w:rsidP="00370263"/>
    <w:p w14:paraId="21D17F1C" w14:textId="77777777" w:rsidR="00A976E4" w:rsidRDefault="00A976E4" w:rsidP="006B4161"/>
    <w:p w14:paraId="6F498EA6" w14:textId="77777777" w:rsidR="00A976E4" w:rsidRDefault="00A976E4" w:rsidP="006B4161"/>
    <w:p w14:paraId="229ACC56" w14:textId="659BB163" w:rsidR="00A137E6" w:rsidRDefault="00A137E6">
      <w:r>
        <w:br w:type="page"/>
      </w:r>
    </w:p>
    <w:p w14:paraId="20F1130F" w14:textId="4D3B9757" w:rsidR="00C4296E" w:rsidRDefault="005E2287" w:rsidP="001E2A05">
      <w:pPr>
        <w:pStyle w:val="H1"/>
        <w:numPr>
          <w:ilvl w:val="0"/>
          <w:numId w:val="0"/>
        </w:numPr>
        <w:ind w:left="360"/>
      </w:pPr>
      <w:bookmarkStart w:id="1155" w:name="_Toc224916734"/>
      <w:r w:rsidRPr="005E4E0E">
        <w:rPr>
          <w:bCs/>
          <w:noProof/>
        </w:rPr>
        <w:drawing>
          <wp:anchor distT="0" distB="0" distL="114300" distR="114300" simplePos="0" relativeHeight="251658306" behindDoc="0" locked="0" layoutInCell="1" allowOverlap="1" wp14:anchorId="0229C32B" wp14:editId="11A35A0E">
            <wp:simplePos x="0" y="0"/>
            <wp:positionH relativeFrom="margin">
              <wp:align>left</wp:align>
            </wp:positionH>
            <wp:positionV relativeFrom="paragraph">
              <wp:posOffset>9525</wp:posOffset>
            </wp:positionV>
            <wp:extent cx="457200" cy="502920"/>
            <wp:effectExtent l="0" t="0" r="0" b="0"/>
            <wp:wrapSquare wrapText="bothSides"/>
            <wp:docPr id="621717744" name="Picture 621717744" descr="A bell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3" name="Picture 1" descr="A bell with a exclamation mark&#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D1048E">
        <w:t>APPENDIX</w:t>
      </w:r>
      <w:r w:rsidR="00A137E6">
        <w:t xml:space="preserve"> </w:t>
      </w:r>
      <w:r w:rsidR="00A5274A">
        <w:t>H</w:t>
      </w:r>
      <w:r w:rsidR="00A137E6">
        <w:t xml:space="preserve"> </w:t>
      </w:r>
      <w:r w:rsidR="00AA3AE7">
        <w:t>–</w:t>
      </w:r>
      <w:r w:rsidR="00A137E6">
        <w:t xml:space="preserve"> </w:t>
      </w:r>
      <w:r w:rsidR="003D6CFC">
        <w:t xml:space="preserve">Case </w:t>
      </w:r>
      <w:r w:rsidR="00615041">
        <w:t>s</w:t>
      </w:r>
      <w:r w:rsidR="003D6CFC">
        <w:t>tudies</w:t>
      </w:r>
      <w:r w:rsidR="00615041">
        <w:t>-</w:t>
      </w:r>
      <w:r w:rsidR="003D6CFC">
        <w:t xml:space="preserve"> </w:t>
      </w:r>
      <w:r w:rsidR="00615041">
        <w:t>i</w:t>
      </w:r>
      <w:r w:rsidR="00AA3AE7">
        <w:t xml:space="preserve">ndividuals </w:t>
      </w:r>
      <w:r w:rsidR="00615041">
        <w:t>e</w:t>
      </w:r>
      <w:r w:rsidR="00AA3AE7">
        <w:t xml:space="preserve">xperiencing </w:t>
      </w:r>
      <w:r w:rsidR="00615041">
        <w:t>h</w:t>
      </w:r>
      <w:r w:rsidR="00AA3AE7">
        <w:t xml:space="preserve">omelessness or </w:t>
      </w:r>
      <w:r w:rsidR="00615041">
        <w:t>who are a</w:t>
      </w:r>
      <w:r w:rsidR="00AA3AE7">
        <w:t xml:space="preserve">t </w:t>
      </w:r>
      <w:r w:rsidR="00615041">
        <w:t>r</w:t>
      </w:r>
      <w:r w:rsidR="00AA3AE7">
        <w:t xml:space="preserve">isk of </w:t>
      </w:r>
      <w:r w:rsidR="00615041">
        <w:t>h</w:t>
      </w:r>
      <w:r w:rsidR="00AA3AE7">
        <w:t>omelessness</w:t>
      </w:r>
      <w:bookmarkEnd w:id="1155"/>
      <w:r w:rsidR="00AA3AE7">
        <w:t xml:space="preserve"> </w:t>
      </w:r>
    </w:p>
    <w:p w14:paraId="076C323B" w14:textId="2E929897" w:rsidR="00A92779" w:rsidRDefault="00BE0AA7" w:rsidP="001E2A05">
      <w:r>
        <w:t xml:space="preserve">The </w:t>
      </w:r>
      <w:r w:rsidR="00F17A3B">
        <w:t>following</w:t>
      </w:r>
      <w:r>
        <w:t xml:space="preserve"> case studies </w:t>
      </w:r>
      <w:r w:rsidR="00F17A3B">
        <w:t xml:space="preserve">have been </w:t>
      </w:r>
      <w:r w:rsidR="009663B7">
        <w:t xml:space="preserve">drawn from the department’s ‘Definition for Assessing </w:t>
      </w:r>
      <w:r w:rsidR="006A00DD">
        <w:t>Eligibility for Australian Government Funded Aged Care Services</w:t>
      </w:r>
      <w:r w:rsidR="000170E3">
        <w:t xml:space="preserve">: Individuals Experiencing Homelessness or At Risk of Homelessness’ policy. </w:t>
      </w:r>
      <w:r w:rsidR="007A55F4">
        <w:t xml:space="preserve">Triage Delegates may wish to use the case studies </w:t>
      </w:r>
      <w:r w:rsidR="00B42B61">
        <w:t xml:space="preserve">to </w:t>
      </w:r>
      <w:r w:rsidR="00932810">
        <w:t xml:space="preserve">assist in building </w:t>
      </w:r>
      <w:r w:rsidR="00CD0978">
        <w:t>their</w:t>
      </w:r>
      <w:r w:rsidR="00932810">
        <w:t xml:space="preserve"> understanding</w:t>
      </w:r>
      <w:r w:rsidR="00B42B61">
        <w:t xml:space="preserve"> </w:t>
      </w:r>
      <w:r w:rsidR="00CD0978">
        <w:t xml:space="preserve">of the definitions and whether they apply to an older person has made an application for an aged care needs assessment. </w:t>
      </w:r>
      <w:r>
        <w:t xml:space="preserve"> </w:t>
      </w:r>
    </w:p>
    <w:tbl>
      <w:tblPr>
        <w:tblStyle w:val="TableGrid"/>
        <w:tblW w:w="0" w:type="auto"/>
        <w:tblLook w:val="04A0" w:firstRow="1" w:lastRow="0" w:firstColumn="1" w:lastColumn="0" w:noHBand="0" w:noVBand="1"/>
      </w:tblPr>
      <w:tblGrid>
        <w:gridCol w:w="9016"/>
      </w:tblGrid>
      <w:tr w:rsidR="00CC7ED7" w14:paraId="5F17DA4A" w14:textId="77777777">
        <w:tc>
          <w:tcPr>
            <w:tcW w:w="9016" w:type="dxa"/>
          </w:tcPr>
          <w:p w14:paraId="6A4EF754" w14:textId="03290F32" w:rsidR="00CC7ED7" w:rsidRDefault="00CC7ED7" w:rsidP="003D6CFC">
            <w:pPr>
              <w:rPr>
                <w:b/>
                <w:bCs/>
                <w:sz w:val="24"/>
                <w:szCs w:val="32"/>
              </w:rPr>
            </w:pPr>
            <w:r>
              <w:rPr>
                <w:b/>
                <w:bCs/>
                <w:sz w:val="24"/>
                <w:szCs w:val="32"/>
              </w:rPr>
              <w:t>Case Study</w:t>
            </w:r>
            <w:r w:rsidR="000C0A50">
              <w:rPr>
                <w:b/>
                <w:bCs/>
                <w:sz w:val="24"/>
                <w:szCs w:val="32"/>
              </w:rPr>
              <w:t xml:space="preserve"> 1</w:t>
            </w:r>
            <w:r>
              <w:rPr>
                <w:b/>
                <w:bCs/>
                <w:sz w:val="24"/>
                <w:szCs w:val="32"/>
              </w:rPr>
              <w:t xml:space="preserve">: Meets Eligibility Requirements </w:t>
            </w:r>
          </w:p>
          <w:p w14:paraId="72733B29" w14:textId="77777777" w:rsidR="00CC7ED7" w:rsidRDefault="00CC7ED7" w:rsidP="003D6CFC">
            <w:pPr>
              <w:rPr>
                <w:b/>
                <w:bCs/>
                <w:sz w:val="24"/>
                <w:szCs w:val="32"/>
              </w:rPr>
            </w:pPr>
          </w:p>
          <w:p w14:paraId="49B19871" w14:textId="77777777" w:rsidR="00CC7ED7" w:rsidRDefault="00CC7ED7">
            <w:pPr>
              <w:rPr>
                <w:szCs w:val="28"/>
              </w:rPr>
            </w:pPr>
            <w:r>
              <w:rPr>
                <w:szCs w:val="28"/>
              </w:rPr>
              <w:t xml:space="preserve">Greg, aged 52, has a history of living in abandoned houses, hotels, and squatting in empty homes. He has been residing in a boarding house for the past three years, where his living conditions have been relatively stable. However, Greg’s mobility has gradually deteriorated, leading to multiple falls and subsequent hospital admission for fractures. Additionally, Greg suffers from post-traumatic stress disorder (PTSD) due to past trauma. Greg faces significant challenges in his daily life. He struggles with basic activities such as showering and preparing nutritious meals. He relies on a walker to move around the boarding house but is afraid to leave his room because the boarding house lacks the necessary aids to ensure his safety. Greg has no assets and survives on a small pension. Although he does not have a formal disability, his difficulties with daily living activities prevent him from living independently. </w:t>
            </w:r>
          </w:p>
          <w:p w14:paraId="3D320D54" w14:textId="77777777" w:rsidR="00CC7ED7" w:rsidRDefault="00CC7ED7">
            <w:pPr>
              <w:rPr>
                <w:szCs w:val="28"/>
              </w:rPr>
            </w:pPr>
          </w:p>
          <w:p w14:paraId="44362708" w14:textId="77777777" w:rsidR="00CC7ED7" w:rsidRDefault="00CC7ED7">
            <w:pPr>
              <w:rPr>
                <w:szCs w:val="28"/>
              </w:rPr>
            </w:pPr>
            <w:r>
              <w:rPr>
                <w:szCs w:val="28"/>
              </w:rPr>
              <w:t xml:space="preserve">Greg meets the criteria for accessing Australian Government aged care services because Greg: </w:t>
            </w:r>
          </w:p>
          <w:p w14:paraId="6C843DBD" w14:textId="77777777" w:rsidR="00CC7ED7" w:rsidRDefault="00CC7ED7">
            <w:pPr>
              <w:rPr>
                <w:szCs w:val="28"/>
              </w:rPr>
            </w:pPr>
          </w:p>
          <w:p w14:paraId="284161B7" w14:textId="77777777" w:rsidR="00CC7ED7" w:rsidRDefault="00CC7ED7" w:rsidP="00CC7ED7">
            <w:pPr>
              <w:pStyle w:val="ListParagraph"/>
              <w:numPr>
                <w:ilvl w:val="0"/>
                <w:numId w:val="489"/>
              </w:numPr>
              <w:rPr>
                <w:szCs w:val="28"/>
              </w:rPr>
            </w:pPr>
            <w:r>
              <w:rPr>
                <w:szCs w:val="28"/>
              </w:rPr>
              <w:t xml:space="preserve">Is aged 50 years or older: Greg is 52 years old. </w:t>
            </w:r>
          </w:p>
          <w:p w14:paraId="6F4E6C3D" w14:textId="77777777" w:rsidR="00CC7ED7" w:rsidRDefault="00CC7ED7" w:rsidP="00CC7ED7">
            <w:pPr>
              <w:pStyle w:val="ListParagraph"/>
              <w:numPr>
                <w:ilvl w:val="0"/>
                <w:numId w:val="489"/>
              </w:numPr>
              <w:rPr>
                <w:szCs w:val="28"/>
              </w:rPr>
            </w:pPr>
            <w:r>
              <w:rPr>
                <w:szCs w:val="28"/>
              </w:rPr>
              <w:t xml:space="preserve">Has prematurely aged and requires services for their aged care needs: Greg’s deteriorating mobility, multiple falls and PTSD indicate that he has prematurely aged and requires aged care services. </w:t>
            </w:r>
          </w:p>
          <w:p w14:paraId="2E9B5A4B" w14:textId="77777777" w:rsidR="00CC7ED7" w:rsidRDefault="00CC7ED7" w:rsidP="00CC7ED7">
            <w:pPr>
              <w:pStyle w:val="ListParagraph"/>
              <w:numPr>
                <w:ilvl w:val="0"/>
                <w:numId w:val="489"/>
              </w:numPr>
              <w:rPr>
                <w:szCs w:val="28"/>
              </w:rPr>
            </w:pPr>
            <w:r>
              <w:rPr>
                <w:szCs w:val="28"/>
              </w:rPr>
              <w:t>Has the following living arrangements:</w:t>
            </w:r>
          </w:p>
          <w:p w14:paraId="18E3CC16" w14:textId="77777777" w:rsidR="00CC7ED7" w:rsidRDefault="00CC7ED7" w:rsidP="00CC7ED7">
            <w:pPr>
              <w:pStyle w:val="ListParagraph"/>
              <w:numPr>
                <w:ilvl w:val="0"/>
                <w:numId w:val="490"/>
              </w:numPr>
              <w:rPr>
                <w:szCs w:val="28"/>
              </w:rPr>
            </w:pPr>
            <w:r>
              <w:rPr>
                <w:szCs w:val="28"/>
              </w:rPr>
              <w:t xml:space="preserve">Lacks any adequate roof over their head: Not applicable, as Greg has been living in a boarding house. </w:t>
            </w:r>
          </w:p>
          <w:p w14:paraId="76191D7D" w14:textId="77777777" w:rsidR="00CC7ED7" w:rsidRDefault="00CC7ED7" w:rsidP="00CC7ED7">
            <w:pPr>
              <w:pStyle w:val="ListParagraph"/>
              <w:numPr>
                <w:ilvl w:val="0"/>
                <w:numId w:val="490"/>
              </w:numPr>
              <w:rPr>
                <w:szCs w:val="28"/>
              </w:rPr>
            </w:pPr>
            <w:r>
              <w:rPr>
                <w:szCs w:val="28"/>
              </w:rPr>
              <w:t xml:space="preserve">Has no security of tenure or moves between various forms of temporary or medium-term shelter: Greg has a history of unstable living conditions, including living in abandoned houses, hostels, and squatting in empty homes. </w:t>
            </w:r>
          </w:p>
          <w:p w14:paraId="3C8D38C6" w14:textId="77777777" w:rsidR="00CC7ED7" w:rsidRDefault="00CC7ED7" w:rsidP="00CC7ED7">
            <w:pPr>
              <w:pStyle w:val="ListParagraph"/>
              <w:numPr>
                <w:ilvl w:val="0"/>
                <w:numId w:val="490"/>
              </w:numPr>
              <w:rPr>
                <w:szCs w:val="28"/>
              </w:rPr>
            </w:pPr>
            <w:r>
              <w:rPr>
                <w:szCs w:val="28"/>
              </w:rPr>
              <w:t xml:space="preserve">Stays in accommodation that falls below minimum community standards: the boarding house lacks necessary aids to ensure his safety, which may fall below minimum community standards. </w:t>
            </w:r>
          </w:p>
          <w:p w14:paraId="10C7E138" w14:textId="77777777" w:rsidR="00CC7ED7" w:rsidRPr="008D36B9" w:rsidRDefault="00CC7ED7" w:rsidP="00CC7ED7">
            <w:pPr>
              <w:pStyle w:val="ListParagraph"/>
              <w:numPr>
                <w:ilvl w:val="0"/>
                <w:numId w:val="489"/>
              </w:numPr>
              <w:rPr>
                <w:szCs w:val="28"/>
              </w:rPr>
            </w:pPr>
            <w:r>
              <w:rPr>
                <w:szCs w:val="28"/>
              </w:rPr>
              <w:t xml:space="preserve">Does not have the means to change their living arrangements: Greg has no assets and survives on a small pension, indicating he lacks the financial means to change his living arrangements. </w:t>
            </w:r>
          </w:p>
        </w:tc>
      </w:tr>
    </w:tbl>
    <w:p w14:paraId="0E027E50" w14:textId="028215CD" w:rsidR="00AA3AE7" w:rsidRDefault="00AA3AE7" w:rsidP="00AA3AE7"/>
    <w:tbl>
      <w:tblPr>
        <w:tblStyle w:val="TableGrid"/>
        <w:tblW w:w="0" w:type="auto"/>
        <w:tblLook w:val="04A0" w:firstRow="1" w:lastRow="0" w:firstColumn="1" w:lastColumn="0" w:noHBand="0" w:noVBand="1"/>
      </w:tblPr>
      <w:tblGrid>
        <w:gridCol w:w="9016"/>
      </w:tblGrid>
      <w:tr w:rsidR="00255896" w14:paraId="148E5871" w14:textId="77777777">
        <w:tc>
          <w:tcPr>
            <w:tcW w:w="9016" w:type="dxa"/>
          </w:tcPr>
          <w:p w14:paraId="1C64305E" w14:textId="1916FA0F" w:rsidR="00255896" w:rsidRDefault="00255896" w:rsidP="003D6CFC">
            <w:pPr>
              <w:rPr>
                <w:b/>
                <w:bCs/>
                <w:sz w:val="24"/>
                <w:szCs w:val="32"/>
              </w:rPr>
            </w:pPr>
            <w:r>
              <w:rPr>
                <w:b/>
                <w:bCs/>
                <w:sz w:val="24"/>
                <w:szCs w:val="32"/>
              </w:rPr>
              <w:t>Case</w:t>
            </w:r>
            <w:r w:rsidR="0028039B">
              <w:rPr>
                <w:b/>
                <w:bCs/>
                <w:sz w:val="24"/>
                <w:szCs w:val="32"/>
              </w:rPr>
              <w:t xml:space="preserve"> </w:t>
            </w:r>
            <w:r>
              <w:rPr>
                <w:b/>
                <w:bCs/>
                <w:sz w:val="24"/>
                <w:szCs w:val="32"/>
              </w:rPr>
              <w:t>Study</w:t>
            </w:r>
            <w:r w:rsidR="000C0A50">
              <w:rPr>
                <w:b/>
                <w:bCs/>
                <w:sz w:val="24"/>
                <w:szCs w:val="32"/>
              </w:rPr>
              <w:t xml:space="preserve"> 2</w:t>
            </w:r>
            <w:r>
              <w:rPr>
                <w:b/>
                <w:bCs/>
                <w:sz w:val="24"/>
                <w:szCs w:val="32"/>
              </w:rPr>
              <w:t xml:space="preserve">: Meets Eligibility Requirements </w:t>
            </w:r>
          </w:p>
          <w:p w14:paraId="4AA04AB5" w14:textId="77777777" w:rsidR="00255896" w:rsidRDefault="00255896" w:rsidP="003D6CFC">
            <w:pPr>
              <w:rPr>
                <w:b/>
                <w:bCs/>
                <w:sz w:val="24"/>
                <w:szCs w:val="32"/>
              </w:rPr>
            </w:pPr>
          </w:p>
          <w:p w14:paraId="025EE351" w14:textId="77777777" w:rsidR="00255896" w:rsidRDefault="00255896">
            <w:pPr>
              <w:rPr>
                <w:szCs w:val="28"/>
              </w:rPr>
            </w:pPr>
            <w:r>
              <w:rPr>
                <w:szCs w:val="28"/>
              </w:rPr>
              <w:t xml:space="preserve">Ann, aged 59, receives a small pension and has no assets. She suffers from chronic pain and declining mobility, which have led to several falls in the past six months. Struggling to pay rent, Ann was recently evicted from her private rental home due to rent arrears. Following the eviction, she moved in with a family member and is currently sleeping in the living room. Ann requires assistance with daily activities, including meal preparation and personal care, due to her health conditions. </w:t>
            </w:r>
          </w:p>
          <w:p w14:paraId="0D433A93" w14:textId="77777777" w:rsidR="00255896" w:rsidRDefault="00255896">
            <w:pPr>
              <w:rPr>
                <w:szCs w:val="28"/>
              </w:rPr>
            </w:pPr>
          </w:p>
          <w:p w14:paraId="672AC9F5" w14:textId="77777777" w:rsidR="00255896" w:rsidRDefault="00255896">
            <w:pPr>
              <w:rPr>
                <w:szCs w:val="28"/>
              </w:rPr>
            </w:pPr>
            <w:r>
              <w:rPr>
                <w:szCs w:val="28"/>
              </w:rPr>
              <w:t xml:space="preserve">Ann meets the criteria for accessing Australian Government aged care services because Ann: </w:t>
            </w:r>
          </w:p>
          <w:p w14:paraId="6F92A172" w14:textId="77777777" w:rsidR="00255896" w:rsidRDefault="00255896" w:rsidP="00255896">
            <w:pPr>
              <w:pStyle w:val="ListParagraph"/>
              <w:numPr>
                <w:ilvl w:val="0"/>
                <w:numId w:val="491"/>
              </w:numPr>
              <w:rPr>
                <w:szCs w:val="28"/>
              </w:rPr>
            </w:pPr>
            <w:r>
              <w:rPr>
                <w:szCs w:val="28"/>
              </w:rPr>
              <w:t xml:space="preserve">Is aged 50 years or older: Ann is 59 years old. </w:t>
            </w:r>
          </w:p>
          <w:p w14:paraId="67488115" w14:textId="77777777" w:rsidR="00255896" w:rsidRDefault="00255896" w:rsidP="00255896">
            <w:pPr>
              <w:pStyle w:val="ListParagraph"/>
              <w:numPr>
                <w:ilvl w:val="0"/>
                <w:numId w:val="491"/>
              </w:numPr>
              <w:rPr>
                <w:szCs w:val="28"/>
              </w:rPr>
            </w:pPr>
            <w:r>
              <w:rPr>
                <w:szCs w:val="28"/>
              </w:rPr>
              <w:t xml:space="preserve">Has prematurely aged and requires services for their aged care needs: Ann’s chronic pain, declining mobility, and frequent falls indicate that she has prematurely aged and requires aged care services. </w:t>
            </w:r>
          </w:p>
          <w:p w14:paraId="638CE768" w14:textId="77777777" w:rsidR="00255896" w:rsidRDefault="00255896" w:rsidP="00255896">
            <w:pPr>
              <w:pStyle w:val="ListParagraph"/>
              <w:numPr>
                <w:ilvl w:val="0"/>
                <w:numId w:val="491"/>
              </w:numPr>
              <w:rPr>
                <w:szCs w:val="28"/>
              </w:rPr>
            </w:pPr>
            <w:r>
              <w:rPr>
                <w:szCs w:val="28"/>
              </w:rPr>
              <w:t xml:space="preserve">Has the following living arrangements: </w:t>
            </w:r>
          </w:p>
          <w:p w14:paraId="2F966663" w14:textId="77777777" w:rsidR="00255896" w:rsidRDefault="00255896" w:rsidP="00255896">
            <w:pPr>
              <w:pStyle w:val="ListParagraph"/>
              <w:numPr>
                <w:ilvl w:val="0"/>
                <w:numId w:val="492"/>
              </w:numPr>
              <w:rPr>
                <w:szCs w:val="28"/>
              </w:rPr>
            </w:pPr>
            <w:r>
              <w:rPr>
                <w:szCs w:val="28"/>
              </w:rPr>
              <w:t xml:space="preserve">Lacks any adequate roof over their head: Not applicable, as Ann is currently living with a family member. </w:t>
            </w:r>
          </w:p>
          <w:p w14:paraId="37E2A321" w14:textId="77777777" w:rsidR="00255896" w:rsidRDefault="00255896" w:rsidP="00255896">
            <w:pPr>
              <w:pStyle w:val="ListParagraph"/>
              <w:numPr>
                <w:ilvl w:val="0"/>
                <w:numId w:val="492"/>
              </w:numPr>
              <w:rPr>
                <w:szCs w:val="28"/>
              </w:rPr>
            </w:pPr>
            <w:r>
              <w:rPr>
                <w:szCs w:val="28"/>
              </w:rPr>
              <w:t xml:space="preserve">Has no security of tenure or moves between various forms of temporary or medium-term shelter: Ann was recently evicted from her private rental home and is now sleeping in the living room of a family member’s home, which can be considered a temporary or insecure living arrangement. </w:t>
            </w:r>
          </w:p>
          <w:p w14:paraId="0C99078D" w14:textId="77777777" w:rsidR="00255896" w:rsidRDefault="00255896" w:rsidP="00255896">
            <w:pPr>
              <w:pStyle w:val="ListParagraph"/>
              <w:numPr>
                <w:ilvl w:val="0"/>
                <w:numId w:val="492"/>
              </w:numPr>
              <w:rPr>
                <w:szCs w:val="28"/>
              </w:rPr>
            </w:pPr>
            <w:r>
              <w:rPr>
                <w:szCs w:val="28"/>
              </w:rPr>
              <w:t xml:space="preserve">Stays in accommodation that falls below minimum community standards: Sleeping in the living room of a family member’s home may fall below the minimum community standards for adequate housing. </w:t>
            </w:r>
          </w:p>
          <w:p w14:paraId="65C3688A" w14:textId="77777777" w:rsidR="00255896" w:rsidRPr="00ED6AA3" w:rsidRDefault="00255896" w:rsidP="00255896">
            <w:pPr>
              <w:pStyle w:val="ListParagraph"/>
              <w:numPr>
                <w:ilvl w:val="0"/>
                <w:numId w:val="491"/>
              </w:numPr>
              <w:rPr>
                <w:szCs w:val="28"/>
              </w:rPr>
            </w:pPr>
            <w:r>
              <w:rPr>
                <w:szCs w:val="28"/>
              </w:rPr>
              <w:t xml:space="preserve">Does not have the means to change their living arrangements: Ann has no assets and receives a small pension, indicating she lacks the financial means to change her living arrangements. </w:t>
            </w:r>
          </w:p>
        </w:tc>
      </w:tr>
    </w:tbl>
    <w:p w14:paraId="6276F5A4" w14:textId="77777777" w:rsidR="00CC7ED7" w:rsidRDefault="00CC7ED7" w:rsidP="00AA3AE7"/>
    <w:tbl>
      <w:tblPr>
        <w:tblStyle w:val="TableGrid"/>
        <w:tblW w:w="0" w:type="auto"/>
        <w:tblLook w:val="04A0" w:firstRow="1" w:lastRow="0" w:firstColumn="1" w:lastColumn="0" w:noHBand="0" w:noVBand="1"/>
      </w:tblPr>
      <w:tblGrid>
        <w:gridCol w:w="9016"/>
      </w:tblGrid>
      <w:tr w:rsidR="00D905C5" w14:paraId="64EFF4C7" w14:textId="77777777">
        <w:tc>
          <w:tcPr>
            <w:tcW w:w="9016" w:type="dxa"/>
          </w:tcPr>
          <w:p w14:paraId="3AA9A408" w14:textId="53B1247C" w:rsidR="00D905C5" w:rsidRDefault="00D905C5" w:rsidP="003D6CFC">
            <w:pPr>
              <w:rPr>
                <w:b/>
                <w:bCs/>
                <w:sz w:val="24"/>
                <w:szCs w:val="32"/>
              </w:rPr>
            </w:pPr>
            <w:r>
              <w:rPr>
                <w:b/>
                <w:bCs/>
                <w:sz w:val="24"/>
                <w:szCs w:val="32"/>
              </w:rPr>
              <w:t>Case</w:t>
            </w:r>
            <w:r w:rsidR="009F3D16">
              <w:rPr>
                <w:b/>
                <w:bCs/>
                <w:sz w:val="24"/>
                <w:szCs w:val="32"/>
              </w:rPr>
              <w:t xml:space="preserve"> </w:t>
            </w:r>
            <w:r>
              <w:rPr>
                <w:b/>
                <w:bCs/>
                <w:sz w:val="24"/>
                <w:szCs w:val="32"/>
              </w:rPr>
              <w:t>Study</w:t>
            </w:r>
            <w:r w:rsidR="000C0A50">
              <w:rPr>
                <w:b/>
                <w:bCs/>
                <w:sz w:val="24"/>
                <w:szCs w:val="32"/>
              </w:rPr>
              <w:t xml:space="preserve"> 3</w:t>
            </w:r>
            <w:r>
              <w:rPr>
                <w:b/>
                <w:bCs/>
                <w:sz w:val="24"/>
                <w:szCs w:val="32"/>
              </w:rPr>
              <w:t xml:space="preserve">: Meets Eligibility Requirements </w:t>
            </w:r>
          </w:p>
          <w:p w14:paraId="19069403" w14:textId="77777777" w:rsidR="00D905C5" w:rsidRDefault="00D905C5" w:rsidP="003D6CFC">
            <w:pPr>
              <w:rPr>
                <w:b/>
                <w:bCs/>
                <w:sz w:val="24"/>
                <w:szCs w:val="32"/>
              </w:rPr>
            </w:pPr>
          </w:p>
          <w:p w14:paraId="2C68E70C" w14:textId="77777777" w:rsidR="00D905C5" w:rsidRDefault="00D905C5">
            <w:pPr>
              <w:rPr>
                <w:szCs w:val="28"/>
              </w:rPr>
            </w:pPr>
            <w:r>
              <w:rPr>
                <w:szCs w:val="28"/>
              </w:rPr>
              <w:t xml:space="preserve">John, aged 60, has a history of living in shelter accommodation and his care, and is currently residing in a caravan in a remote location. He suffers from diabetes and related complication, requiring daily insulin. However, John struggles to manage his medication, leading to multiple hospital admissions. His living conditions have worsened and his health, as exposure to cold weather and lack of a heating system have negatively impacted him. John has no financial resources and is unable to work due to his chronic health conditions. </w:t>
            </w:r>
          </w:p>
          <w:p w14:paraId="4F74746D" w14:textId="77777777" w:rsidR="00D905C5" w:rsidRDefault="00D905C5">
            <w:pPr>
              <w:rPr>
                <w:szCs w:val="28"/>
              </w:rPr>
            </w:pPr>
          </w:p>
          <w:p w14:paraId="41A354DC" w14:textId="77777777" w:rsidR="00D905C5" w:rsidRDefault="00D905C5">
            <w:pPr>
              <w:rPr>
                <w:szCs w:val="28"/>
              </w:rPr>
            </w:pPr>
            <w:r>
              <w:rPr>
                <w:szCs w:val="28"/>
              </w:rPr>
              <w:t xml:space="preserve">John meets the criteria for accessing Australian Government aged care services because John: </w:t>
            </w:r>
          </w:p>
          <w:p w14:paraId="31FB5EE7" w14:textId="77777777" w:rsidR="00D905C5" w:rsidRDefault="00D905C5">
            <w:pPr>
              <w:rPr>
                <w:szCs w:val="28"/>
              </w:rPr>
            </w:pPr>
          </w:p>
          <w:p w14:paraId="13749BBD" w14:textId="77777777" w:rsidR="00D905C5" w:rsidRDefault="00D905C5" w:rsidP="00D905C5">
            <w:pPr>
              <w:pStyle w:val="ListParagraph"/>
              <w:numPr>
                <w:ilvl w:val="0"/>
                <w:numId w:val="493"/>
              </w:numPr>
              <w:rPr>
                <w:szCs w:val="28"/>
              </w:rPr>
            </w:pPr>
            <w:r>
              <w:rPr>
                <w:szCs w:val="28"/>
              </w:rPr>
              <w:t xml:space="preserve">Is aged 50 or older: John is 60 years old. </w:t>
            </w:r>
          </w:p>
          <w:p w14:paraId="7B8750A3" w14:textId="77777777" w:rsidR="00D905C5" w:rsidRDefault="00D905C5" w:rsidP="00D905C5">
            <w:pPr>
              <w:pStyle w:val="ListParagraph"/>
              <w:numPr>
                <w:ilvl w:val="0"/>
                <w:numId w:val="493"/>
              </w:numPr>
              <w:rPr>
                <w:szCs w:val="28"/>
              </w:rPr>
            </w:pPr>
            <w:r>
              <w:rPr>
                <w:szCs w:val="28"/>
              </w:rPr>
              <w:t xml:space="preserve">Has prematurely aged and requires services for their aged care needs: John’s diabetes, related complications and difficulty managing his medication indicate that he has prematurely aged and requires aged care services. </w:t>
            </w:r>
          </w:p>
          <w:p w14:paraId="112D7926" w14:textId="77777777" w:rsidR="00D905C5" w:rsidRDefault="00D905C5" w:rsidP="00D905C5">
            <w:pPr>
              <w:pStyle w:val="ListParagraph"/>
              <w:numPr>
                <w:ilvl w:val="0"/>
                <w:numId w:val="493"/>
              </w:numPr>
              <w:rPr>
                <w:szCs w:val="28"/>
              </w:rPr>
            </w:pPr>
            <w:r>
              <w:rPr>
                <w:szCs w:val="28"/>
              </w:rPr>
              <w:t xml:space="preserve">Has the following living arrangements: </w:t>
            </w:r>
          </w:p>
          <w:p w14:paraId="188D6B11" w14:textId="77777777" w:rsidR="00D905C5" w:rsidRDefault="00D905C5" w:rsidP="00D905C5">
            <w:pPr>
              <w:pStyle w:val="ListParagraph"/>
              <w:numPr>
                <w:ilvl w:val="0"/>
                <w:numId w:val="494"/>
              </w:numPr>
              <w:rPr>
                <w:szCs w:val="28"/>
              </w:rPr>
            </w:pPr>
            <w:r>
              <w:rPr>
                <w:szCs w:val="28"/>
              </w:rPr>
              <w:t xml:space="preserve">Lacks any adequate roof over their head: John’s caravan in a remote location, lacking a heating system, can be considered unfit housing with substandard conditions. </w:t>
            </w:r>
          </w:p>
          <w:p w14:paraId="045130DD" w14:textId="77777777" w:rsidR="00D905C5" w:rsidRDefault="00D905C5" w:rsidP="00D905C5">
            <w:pPr>
              <w:pStyle w:val="ListParagraph"/>
              <w:numPr>
                <w:ilvl w:val="0"/>
                <w:numId w:val="494"/>
              </w:numPr>
              <w:rPr>
                <w:szCs w:val="28"/>
              </w:rPr>
            </w:pPr>
            <w:r>
              <w:rPr>
                <w:szCs w:val="28"/>
              </w:rPr>
              <w:t xml:space="preserve">Has no security of tenure or moves between various forms or temporary or medium-term shelter: John’s has a history of living in shelter accommodation and his care, and is now in a caravan, which can be considered a temporary or insecure living arrangement. </w:t>
            </w:r>
          </w:p>
          <w:p w14:paraId="39CC3EEA" w14:textId="77777777" w:rsidR="00D905C5" w:rsidRDefault="00D905C5" w:rsidP="00D905C5">
            <w:pPr>
              <w:pStyle w:val="ListParagraph"/>
              <w:numPr>
                <w:ilvl w:val="0"/>
                <w:numId w:val="494"/>
              </w:numPr>
              <w:rPr>
                <w:szCs w:val="28"/>
              </w:rPr>
            </w:pPr>
            <w:r>
              <w:rPr>
                <w:szCs w:val="28"/>
              </w:rPr>
              <w:t xml:space="preserve">Stays in accommodation that falls below minimum community standards: The caravan’s lack of heating and remote location may fall below minimum community standards for adequate housing. </w:t>
            </w:r>
          </w:p>
          <w:p w14:paraId="6B966C6C" w14:textId="77777777" w:rsidR="00D905C5" w:rsidRPr="007604C0" w:rsidRDefault="00D905C5" w:rsidP="00D905C5">
            <w:pPr>
              <w:pStyle w:val="ListParagraph"/>
              <w:numPr>
                <w:ilvl w:val="0"/>
                <w:numId w:val="493"/>
              </w:numPr>
              <w:rPr>
                <w:szCs w:val="28"/>
              </w:rPr>
            </w:pPr>
            <w:r>
              <w:rPr>
                <w:szCs w:val="28"/>
              </w:rPr>
              <w:t xml:space="preserve">Does not have the means to change their living arrangements: John has no financial resources and is unable to work due to chronic health conditions, indicating he lacks the means to change his living arrangements. </w:t>
            </w:r>
          </w:p>
          <w:p w14:paraId="04CA6E23" w14:textId="77777777" w:rsidR="00D905C5" w:rsidRPr="00ED6AA3" w:rsidRDefault="00D905C5">
            <w:pPr>
              <w:pStyle w:val="ListParagraph"/>
              <w:rPr>
                <w:szCs w:val="28"/>
              </w:rPr>
            </w:pPr>
          </w:p>
        </w:tc>
      </w:tr>
    </w:tbl>
    <w:p w14:paraId="352FB2A7" w14:textId="77777777" w:rsidR="00D905C5" w:rsidRDefault="00D905C5" w:rsidP="00AA3AE7"/>
    <w:tbl>
      <w:tblPr>
        <w:tblStyle w:val="TableGrid"/>
        <w:tblW w:w="0" w:type="auto"/>
        <w:tblLook w:val="04A0" w:firstRow="1" w:lastRow="0" w:firstColumn="1" w:lastColumn="0" w:noHBand="0" w:noVBand="1"/>
      </w:tblPr>
      <w:tblGrid>
        <w:gridCol w:w="9016"/>
      </w:tblGrid>
      <w:tr w:rsidR="006269CD" w14:paraId="07A91D09" w14:textId="77777777">
        <w:tc>
          <w:tcPr>
            <w:tcW w:w="9016" w:type="dxa"/>
          </w:tcPr>
          <w:p w14:paraId="5FD761EC" w14:textId="5080D410" w:rsidR="006269CD" w:rsidRDefault="006269CD" w:rsidP="003D6CFC">
            <w:pPr>
              <w:rPr>
                <w:b/>
                <w:bCs/>
                <w:sz w:val="24"/>
                <w:szCs w:val="32"/>
              </w:rPr>
            </w:pPr>
            <w:r>
              <w:rPr>
                <w:b/>
                <w:bCs/>
                <w:sz w:val="24"/>
                <w:szCs w:val="32"/>
              </w:rPr>
              <w:t>Case Study</w:t>
            </w:r>
            <w:r w:rsidR="000C0A50">
              <w:rPr>
                <w:b/>
                <w:bCs/>
                <w:sz w:val="24"/>
                <w:szCs w:val="32"/>
              </w:rPr>
              <w:t xml:space="preserve"> 4</w:t>
            </w:r>
            <w:r>
              <w:rPr>
                <w:b/>
                <w:bCs/>
                <w:sz w:val="24"/>
                <w:szCs w:val="32"/>
              </w:rPr>
              <w:t xml:space="preserve">: Does Not Meet the Eligibility Criteria </w:t>
            </w:r>
          </w:p>
          <w:p w14:paraId="64D495C4" w14:textId="77777777" w:rsidR="006269CD" w:rsidRDefault="006269CD" w:rsidP="003D6CFC">
            <w:pPr>
              <w:rPr>
                <w:b/>
                <w:bCs/>
                <w:sz w:val="24"/>
                <w:szCs w:val="32"/>
              </w:rPr>
            </w:pPr>
          </w:p>
          <w:p w14:paraId="4A8263C8" w14:textId="77777777" w:rsidR="006269CD" w:rsidRDefault="006269CD">
            <w:pPr>
              <w:rPr>
                <w:szCs w:val="28"/>
              </w:rPr>
            </w:pPr>
            <w:r>
              <w:rPr>
                <w:szCs w:val="28"/>
              </w:rPr>
              <w:t xml:space="preserve">Peter, aged 53, has a disability and has always lived with his parents in their residential home. Recently, Peter’s father has passed away, and his mother’s health deteriorated leading her to move permanently to a residential aged care facility. Peter has been approved for a NDIS plan, which provides resources and funding for him to move to a NDIS group home with other participants. Although Peter did not own a home and had never lived outside the family home, he now has access to resources that allow him to move permanently into a stable and adequate home, where he can receive more appropriate support. </w:t>
            </w:r>
          </w:p>
          <w:p w14:paraId="073AD8DC" w14:textId="77777777" w:rsidR="006269CD" w:rsidRDefault="006269CD">
            <w:pPr>
              <w:rPr>
                <w:szCs w:val="28"/>
              </w:rPr>
            </w:pPr>
          </w:p>
          <w:p w14:paraId="779E244B" w14:textId="77777777" w:rsidR="006269CD" w:rsidRDefault="006269CD">
            <w:pPr>
              <w:rPr>
                <w:szCs w:val="28"/>
              </w:rPr>
            </w:pPr>
            <w:r>
              <w:rPr>
                <w:szCs w:val="28"/>
              </w:rPr>
              <w:t xml:space="preserve">Peter does not meet the criteria for accessing Australian Government aged care services because Peter: </w:t>
            </w:r>
          </w:p>
          <w:p w14:paraId="08E3502E" w14:textId="77777777" w:rsidR="006269CD" w:rsidRDefault="006269CD">
            <w:pPr>
              <w:rPr>
                <w:szCs w:val="28"/>
              </w:rPr>
            </w:pPr>
          </w:p>
          <w:p w14:paraId="13879CCD" w14:textId="77777777" w:rsidR="006269CD" w:rsidRDefault="006269CD" w:rsidP="006269CD">
            <w:pPr>
              <w:pStyle w:val="ListParagraph"/>
              <w:numPr>
                <w:ilvl w:val="0"/>
                <w:numId w:val="495"/>
              </w:numPr>
              <w:rPr>
                <w:szCs w:val="28"/>
              </w:rPr>
            </w:pPr>
            <w:r>
              <w:rPr>
                <w:szCs w:val="28"/>
              </w:rPr>
              <w:t xml:space="preserve">Is aged 50 or older: Peter is 53 years old. </w:t>
            </w:r>
          </w:p>
          <w:p w14:paraId="54971EC4" w14:textId="77777777" w:rsidR="006269CD" w:rsidRDefault="006269CD" w:rsidP="006269CD">
            <w:pPr>
              <w:pStyle w:val="ListParagraph"/>
              <w:numPr>
                <w:ilvl w:val="0"/>
                <w:numId w:val="495"/>
              </w:numPr>
              <w:rPr>
                <w:szCs w:val="28"/>
              </w:rPr>
            </w:pPr>
            <w:r>
              <w:rPr>
                <w:szCs w:val="28"/>
              </w:rPr>
              <w:t xml:space="preserve">Has permanently aged and requires services for their aged care needs: Peter has a disability, but the information does not indicate that he has prematurely aged or requires aged care services specifically related to ageing. </w:t>
            </w:r>
          </w:p>
          <w:p w14:paraId="44842B2E" w14:textId="77777777" w:rsidR="006269CD" w:rsidRDefault="006269CD" w:rsidP="006269CD">
            <w:pPr>
              <w:pStyle w:val="ListParagraph"/>
              <w:numPr>
                <w:ilvl w:val="0"/>
                <w:numId w:val="495"/>
              </w:numPr>
              <w:rPr>
                <w:szCs w:val="28"/>
              </w:rPr>
            </w:pPr>
            <w:r>
              <w:rPr>
                <w:szCs w:val="28"/>
              </w:rPr>
              <w:t xml:space="preserve">Has the following living arrangements: </w:t>
            </w:r>
          </w:p>
          <w:p w14:paraId="1D7965B8" w14:textId="77777777" w:rsidR="006269CD" w:rsidRDefault="006269CD">
            <w:pPr>
              <w:rPr>
                <w:szCs w:val="28"/>
              </w:rPr>
            </w:pPr>
          </w:p>
          <w:p w14:paraId="55400DCC" w14:textId="77777777" w:rsidR="006269CD" w:rsidRDefault="006269CD" w:rsidP="006269CD">
            <w:pPr>
              <w:pStyle w:val="ListParagraph"/>
              <w:numPr>
                <w:ilvl w:val="0"/>
                <w:numId w:val="496"/>
              </w:numPr>
              <w:rPr>
                <w:szCs w:val="28"/>
              </w:rPr>
            </w:pPr>
            <w:r>
              <w:rPr>
                <w:szCs w:val="28"/>
              </w:rPr>
              <w:t xml:space="preserve">Lacks any adequate roof over their head: Not applicable, as Peter has access to a stable and adequate home through the NDIS plan. </w:t>
            </w:r>
          </w:p>
          <w:p w14:paraId="155E2FAB" w14:textId="1BD08AD1" w:rsidR="006269CD" w:rsidRDefault="006269CD" w:rsidP="006269CD">
            <w:pPr>
              <w:pStyle w:val="ListParagraph"/>
              <w:numPr>
                <w:ilvl w:val="0"/>
                <w:numId w:val="496"/>
              </w:numPr>
              <w:rPr>
                <w:szCs w:val="28"/>
              </w:rPr>
            </w:pPr>
            <w:r>
              <w:rPr>
                <w:szCs w:val="28"/>
              </w:rPr>
              <w:t xml:space="preserve">Has no security of tenure or moves between various forms of temporary or medium-term shelter: Not applicable, as </w:t>
            </w:r>
            <w:r w:rsidR="00746894">
              <w:rPr>
                <w:szCs w:val="28"/>
              </w:rPr>
              <w:t xml:space="preserve">Peter has a permanent </w:t>
            </w:r>
            <w:r w:rsidR="00417BD8">
              <w:rPr>
                <w:szCs w:val="28"/>
              </w:rPr>
              <w:t>arrangement</w:t>
            </w:r>
            <w:r w:rsidR="00746894">
              <w:rPr>
                <w:szCs w:val="28"/>
              </w:rPr>
              <w:t xml:space="preserve"> in </w:t>
            </w:r>
            <w:r>
              <w:rPr>
                <w:szCs w:val="28"/>
              </w:rPr>
              <w:t xml:space="preserve">the NDIS group home. </w:t>
            </w:r>
          </w:p>
          <w:p w14:paraId="4B430883" w14:textId="4613C413" w:rsidR="00746894" w:rsidRDefault="00746894" w:rsidP="006269CD">
            <w:pPr>
              <w:pStyle w:val="ListParagraph"/>
              <w:numPr>
                <w:ilvl w:val="0"/>
                <w:numId w:val="496"/>
              </w:numPr>
              <w:rPr>
                <w:szCs w:val="28"/>
              </w:rPr>
            </w:pPr>
            <w:r>
              <w:rPr>
                <w:szCs w:val="28"/>
              </w:rPr>
              <w:t xml:space="preserve">Stays in accommodation that falls below minimum community standards: Not applicable, as the NDIS group home is described as table and </w:t>
            </w:r>
            <w:r w:rsidR="00417BD8">
              <w:rPr>
                <w:szCs w:val="28"/>
              </w:rPr>
              <w:t xml:space="preserve">adequate. </w:t>
            </w:r>
          </w:p>
          <w:p w14:paraId="6DC4CE80" w14:textId="77777777" w:rsidR="00202EE7" w:rsidRDefault="00202EE7" w:rsidP="006269CD">
            <w:pPr>
              <w:pStyle w:val="ListParagraph"/>
              <w:numPr>
                <w:ilvl w:val="0"/>
                <w:numId w:val="496"/>
              </w:numPr>
              <w:rPr>
                <w:szCs w:val="28"/>
              </w:rPr>
            </w:pPr>
          </w:p>
          <w:p w14:paraId="59575D74" w14:textId="77777777" w:rsidR="006269CD" w:rsidRPr="00EE19A9" w:rsidRDefault="006269CD" w:rsidP="006269CD">
            <w:pPr>
              <w:pStyle w:val="ListParagraph"/>
              <w:numPr>
                <w:ilvl w:val="0"/>
                <w:numId w:val="495"/>
              </w:numPr>
              <w:rPr>
                <w:szCs w:val="28"/>
              </w:rPr>
            </w:pPr>
            <w:r>
              <w:rPr>
                <w:szCs w:val="28"/>
              </w:rPr>
              <w:t xml:space="preserve">Does not have the means to change their living arrangements: Not applicable, as Peter has access to resources and funding through the NDIS plan to move to a stable home. </w:t>
            </w:r>
          </w:p>
        </w:tc>
      </w:tr>
    </w:tbl>
    <w:p w14:paraId="16B5EE7E" w14:textId="77777777" w:rsidR="009F3D16" w:rsidRDefault="009F3D16" w:rsidP="00AA3AE7"/>
    <w:tbl>
      <w:tblPr>
        <w:tblStyle w:val="TableGrid"/>
        <w:tblW w:w="0" w:type="auto"/>
        <w:tblLook w:val="04A0" w:firstRow="1" w:lastRow="0" w:firstColumn="1" w:lastColumn="0" w:noHBand="0" w:noVBand="1"/>
      </w:tblPr>
      <w:tblGrid>
        <w:gridCol w:w="9016"/>
      </w:tblGrid>
      <w:tr w:rsidR="006B3DA4" w14:paraId="1D7F899A" w14:textId="77777777">
        <w:tc>
          <w:tcPr>
            <w:tcW w:w="9016" w:type="dxa"/>
          </w:tcPr>
          <w:p w14:paraId="1A58D4A3" w14:textId="48D3F817" w:rsidR="006B3DA4" w:rsidRDefault="006B3DA4" w:rsidP="003D6CFC">
            <w:pPr>
              <w:rPr>
                <w:b/>
                <w:bCs/>
                <w:sz w:val="24"/>
                <w:szCs w:val="32"/>
              </w:rPr>
            </w:pPr>
            <w:r>
              <w:rPr>
                <w:b/>
                <w:bCs/>
                <w:sz w:val="24"/>
                <w:szCs w:val="32"/>
              </w:rPr>
              <w:t>Case Study</w:t>
            </w:r>
            <w:r w:rsidR="000C0A50">
              <w:rPr>
                <w:b/>
                <w:bCs/>
                <w:sz w:val="24"/>
                <w:szCs w:val="32"/>
              </w:rPr>
              <w:t xml:space="preserve"> 5</w:t>
            </w:r>
            <w:r>
              <w:rPr>
                <w:b/>
                <w:bCs/>
                <w:sz w:val="24"/>
                <w:szCs w:val="32"/>
              </w:rPr>
              <w:t xml:space="preserve">: Does Not Meet the Eligibility Criteria </w:t>
            </w:r>
          </w:p>
          <w:p w14:paraId="5CE24129" w14:textId="77777777" w:rsidR="006B3DA4" w:rsidRDefault="006B3DA4" w:rsidP="003D6CFC">
            <w:pPr>
              <w:rPr>
                <w:b/>
                <w:bCs/>
                <w:sz w:val="24"/>
                <w:szCs w:val="32"/>
              </w:rPr>
            </w:pPr>
          </w:p>
          <w:p w14:paraId="6EEABAD4" w14:textId="77777777" w:rsidR="006B3DA4" w:rsidRDefault="006B3DA4">
            <w:pPr>
              <w:rPr>
                <w:szCs w:val="28"/>
              </w:rPr>
            </w:pPr>
            <w:r>
              <w:rPr>
                <w:szCs w:val="28"/>
              </w:rPr>
              <w:t xml:space="preserve">Maragret (Maggie), aged 56, has been living in a boarding house for almost two years. Recently, she experienced a medical episode and was admitted to hospital. After receiving treatment, Maggie has now recovered and is now medically stable with no residual care needs. </w:t>
            </w:r>
            <w:r w:rsidRPr="000E58EB">
              <w:rPr>
                <w:szCs w:val="28"/>
              </w:rPr>
              <w:t xml:space="preserve"> </w:t>
            </w:r>
            <w:r>
              <w:rPr>
                <w:szCs w:val="28"/>
              </w:rPr>
              <w:t xml:space="preserve">Maggie has no assets and receives a small pension. Maggie also works on a casual basis in the local café and grocery shop. </w:t>
            </w:r>
          </w:p>
          <w:p w14:paraId="3E0E374D" w14:textId="77777777" w:rsidR="006B3DA4" w:rsidRDefault="006B3DA4">
            <w:pPr>
              <w:rPr>
                <w:szCs w:val="28"/>
              </w:rPr>
            </w:pPr>
          </w:p>
          <w:p w14:paraId="426C482F" w14:textId="77777777" w:rsidR="006B3DA4" w:rsidRDefault="006B3DA4">
            <w:pPr>
              <w:rPr>
                <w:szCs w:val="28"/>
              </w:rPr>
            </w:pPr>
            <w:r>
              <w:rPr>
                <w:szCs w:val="28"/>
              </w:rPr>
              <w:t xml:space="preserve">Maggie does not meet the criteria for accessing Australian Government aged care services because Maggie: </w:t>
            </w:r>
          </w:p>
          <w:p w14:paraId="4F1A0A4A" w14:textId="77777777" w:rsidR="006B3DA4" w:rsidRDefault="006B3DA4">
            <w:pPr>
              <w:rPr>
                <w:szCs w:val="28"/>
              </w:rPr>
            </w:pPr>
          </w:p>
          <w:p w14:paraId="3509A335" w14:textId="77777777" w:rsidR="006B3DA4" w:rsidRDefault="006B3DA4" w:rsidP="006B3DA4">
            <w:pPr>
              <w:pStyle w:val="ListParagraph"/>
              <w:numPr>
                <w:ilvl w:val="0"/>
                <w:numId w:val="497"/>
              </w:numPr>
              <w:rPr>
                <w:szCs w:val="28"/>
              </w:rPr>
            </w:pPr>
            <w:r>
              <w:rPr>
                <w:szCs w:val="28"/>
              </w:rPr>
              <w:t xml:space="preserve">Is aged 50 years or older: Maggie is 56 years old. </w:t>
            </w:r>
          </w:p>
          <w:p w14:paraId="4DC6F86D" w14:textId="77777777" w:rsidR="006B3DA4" w:rsidRDefault="006B3DA4" w:rsidP="006B3DA4">
            <w:pPr>
              <w:pStyle w:val="ListParagraph"/>
              <w:numPr>
                <w:ilvl w:val="0"/>
                <w:numId w:val="497"/>
              </w:numPr>
              <w:rPr>
                <w:szCs w:val="28"/>
              </w:rPr>
            </w:pPr>
            <w:r>
              <w:rPr>
                <w:szCs w:val="28"/>
              </w:rPr>
              <w:t xml:space="preserve">Has prematurely aged and requires services for their aged care needs: Maggie has recovered from her medical episode and is now medically stable with no residual care needs, indicating she does not require aged care services. </w:t>
            </w:r>
          </w:p>
          <w:p w14:paraId="65355512" w14:textId="77777777" w:rsidR="006B3DA4" w:rsidRDefault="006B3DA4" w:rsidP="006B3DA4">
            <w:pPr>
              <w:pStyle w:val="ListParagraph"/>
              <w:numPr>
                <w:ilvl w:val="0"/>
                <w:numId w:val="497"/>
              </w:numPr>
              <w:rPr>
                <w:szCs w:val="28"/>
              </w:rPr>
            </w:pPr>
            <w:r>
              <w:rPr>
                <w:szCs w:val="28"/>
              </w:rPr>
              <w:t xml:space="preserve">Has the following living arrangements: </w:t>
            </w:r>
          </w:p>
          <w:p w14:paraId="4A0D8DD2" w14:textId="77777777" w:rsidR="006B3DA4" w:rsidRDefault="006B3DA4" w:rsidP="006B3DA4">
            <w:pPr>
              <w:pStyle w:val="ListParagraph"/>
              <w:numPr>
                <w:ilvl w:val="0"/>
                <w:numId w:val="498"/>
              </w:numPr>
              <w:rPr>
                <w:szCs w:val="28"/>
              </w:rPr>
            </w:pPr>
            <w:r>
              <w:rPr>
                <w:szCs w:val="28"/>
              </w:rPr>
              <w:t xml:space="preserve">Lacks any adequate roof over their head: Not applicable, as Maggie is living in a boarding house. </w:t>
            </w:r>
          </w:p>
          <w:p w14:paraId="05069BEA" w14:textId="77777777" w:rsidR="006B3DA4" w:rsidRDefault="006B3DA4" w:rsidP="006B3DA4">
            <w:pPr>
              <w:pStyle w:val="ListParagraph"/>
              <w:numPr>
                <w:ilvl w:val="0"/>
                <w:numId w:val="498"/>
              </w:numPr>
              <w:rPr>
                <w:szCs w:val="28"/>
              </w:rPr>
            </w:pPr>
            <w:r>
              <w:rPr>
                <w:szCs w:val="28"/>
              </w:rPr>
              <w:t xml:space="preserve">Has no security of tenure or moves between various forms of temporary or medium-term shelter: Meggie’s boarding house could be considered a transitional housing arrangement, which may may fit this criterion. </w:t>
            </w:r>
          </w:p>
          <w:p w14:paraId="699825B0" w14:textId="77777777" w:rsidR="006B3DA4" w:rsidRDefault="006B3DA4" w:rsidP="006B3DA4">
            <w:pPr>
              <w:pStyle w:val="ListParagraph"/>
              <w:numPr>
                <w:ilvl w:val="0"/>
                <w:numId w:val="498"/>
              </w:numPr>
              <w:rPr>
                <w:szCs w:val="28"/>
              </w:rPr>
            </w:pPr>
            <w:r>
              <w:rPr>
                <w:szCs w:val="28"/>
              </w:rPr>
              <w:t xml:space="preserve">Stays in accommodation that falls below minimum community standards: The boarding house could be considered accommodation that falls below minimum community standards. </w:t>
            </w:r>
          </w:p>
          <w:p w14:paraId="0CEACE4C" w14:textId="77777777" w:rsidR="006B3DA4" w:rsidRDefault="006B3DA4" w:rsidP="006B3DA4">
            <w:pPr>
              <w:pStyle w:val="ListParagraph"/>
              <w:numPr>
                <w:ilvl w:val="0"/>
                <w:numId w:val="497"/>
              </w:numPr>
              <w:rPr>
                <w:szCs w:val="28"/>
              </w:rPr>
            </w:pPr>
            <w:r>
              <w:rPr>
                <w:szCs w:val="28"/>
              </w:rPr>
              <w:t>Does not have the means to change their living arrangements: Maggie has no assets and receives a small pension, but she also works causally which may provide some means to change her living arrangements.</w:t>
            </w:r>
          </w:p>
          <w:p w14:paraId="26F8E8AB" w14:textId="77777777" w:rsidR="006B3DA4" w:rsidRDefault="006B3DA4">
            <w:pPr>
              <w:rPr>
                <w:szCs w:val="28"/>
              </w:rPr>
            </w:pPr>
          </w:p>
          <w:p w14:paraId="36029E4C" w14:textId="46D978BF" w:rsidR="006B3DA4" w:rsidRPr="00E56B2F" w:rsidRDefault="006B3DA4">
            <w:pPr>
              <w:rPr>
                <w:szCs w:val="28"/>
              </w:rPr>
            </w:pPr>
            <w:r>
              <w:rPr>
                <w:szCs w:val="28"/>
              </w:rPr>
              <w:t xml:space="preserve">Given these points, </w:t>
            </w:r>
            <w:r w:rsidR="005C4DB6">
              <w:rPr>
                <w:szCs w:val="28"/>
              </w:rPr>
              <w:t>Maggie</w:t>
            </w:r>
            <w:r>
              <w:rPr>
                <w:szCs w:val="28"/>
              </w:rPr>
              <w:t xml:space="preserve"> does not seem to meet the criteria outlined in the definition for accessing aged care services, primarily because she has no ongoing aged care needs. </w:t>
            </w:r>
          </w:p>
        </w:tc>
      </w:tr>
    </w:tbl>
    <w:p w14:paraId="5BB9F967" w14:textId="77777777" w:rsidR="00A71B98" w:rsidRDefault="00A71B98" w:rsidP="00AA3AE7"/>
    <w:tbl>
      <w:tblPr>
        <w:tblStyle w:val="TableGrid"/>
        <w:tblW w:w="0" w:type="auto"/>
        <w:tblLook w:val="04A0" w:firstRow="1" w:lastRow="0" w:firstColumn="1" w:lastColumn="0" w:noHBand="0" w:noVBand="1"/>
      </w:tblPr>
      <w:tblGrid>
        <w:gridCol w:w="9016"/>
      </w:tblGrid>
      <w:tr w:rsidR="00302FA3" w14:paraId="3531BCB6" w14:textId="77777777">
        <w:tc>
          <w:tcPr>
            <w:tcW w:w="9016" w:type="dxa"/>
          </w:tcPr>
          <w:p w14:paraId="205C397A" w14:textId="6074047A" w:rsidR="00302FA3" w:rsidRDefault="00302FA3" w:rsidP="003D6CFC">
            <w:pPr>
              <w:rPr>
                <w:b/>
                <w:bCs/>
                <w:sz w:val="24"/>
                <w:szCs w:val="32"/>
              </w:rPr>
            </w:pPr>
            <w:r>
              <w:rPr>
                <w:b/>
                <w:bCs/>
                <w:sz w:val="24"/>
                <w:szCs w:val="32"/>
              </w:rPr>
              <w:t>Case Study</w:t>
            </w:r>
            <w:r w:rsidR="000C0A50">
              <w:rPr>
                <w:b/>
                <w:bCs/>
                <w:sz w:val="24"/>
                <w:szCs w:val="32"/>
              </w:rPr>
              <w:t xml:space="preserve"> 6</w:t>
            </w:r>
            <w:r>
              <w:rPr>
                <w:b/>
                <w:bCs/>
                <w:sz w:val="24"/>
                <w:szCs w:val="32"/>
              </w:rPr>
              <w:t xml:space="preserve">: Does Not Meet the Eligibility Criteria </w:t>
            </w:r>
          </w:p>
          <w:p w14:paraId="0D15BDE9" w14:textId="77777777" w:rsidR="00302FA3" w:rsidRDefault="00302FA3" w:rsidP="003D6CFC">
            <w:pPr>
              <w:rPr>
                <w:b/>
                <w:bCs/>
                <w:sz w:val="24"/>
                <w:szCs w:val="32"/>
              </w:rPr>
            </w:pPr>
          </w:p>
          <w:p w14:paraId="16235D27" w14:textId="77777777" w:rsidR="00302FA3" w:rsidRDefault="00302FA3">
            <w:pPr>
              <w:rPr>
                <w:szCs w:val="28"/>
              </w:rPr>
            </w:pPr>
            <w:r>
              <w:rPr>
                <w:szCs w:val="28"/>
              </w:rPr>
              <w:t xml:space="preserve">Pedro, aged 59, has been living alone in a self-contained house in a caravan park for nearly seven years. Three years ago, Pedro was diagnosed with stage III colon cancer. He underwent surgery and chemotherapy, and after a period of recovery, he believed he was in remission. Unfortunately, Pedro’s cancer returned, and he was diagnosed with stage IV colon cancer. He is now in the palliative stage. Despite his diagnosis. Pedro remains fully independent and manages his pain with medication. Pedro enjoys living in the caravan park community and receives regular visits from his family. Pedro does not have any care needs, lives independently in stable housing that meets housing standards, and is able to perform daily activities without assistance. </w:t>
            </w:r>
          </w:p>
          <w:p w14:paraId="65B95BE9" w14:textId="77777777" w:rsidR="00302FA3" w:rsidRDefault="00302FA3">
            <w:pPr>
              <w:rPr>
                <w:szCs w:val="28"/>
              </w:rPr>
            </w:pPr>
          </w:p>
          <w:p w14:paraId="1307E312" w14:textId="77777777" w:rsidR="00302FA3" w:rsidRDefault="00302FA3">
            <w:pPr>
              <w:rPr>
                <w:szCs w:val="28"/>
              </w:rPr>
            </w:pPr>
            <w:r>
              <w:rPr>
                <w:szCs w:val="28"/>
              </w:rPr>
              <w:t xml:space="preserve">Pedro does not meet the criteria for accessing Australian Government aged care services because Pedro: </w:t>
            </w:r>
          </w:p>
          <w:p w14:paraId="309EF2D2" w14:textId="77777777" w:rsidR="00302FA3" w:rsidRDefault="00302FA3" w:rsidP="00302FA3">
            <w:pPr>
              <w:pStyle w:val="ListParagraph"/>
              <w:numPr>
                <w:ilvl w:val="0"/>
                <w:numId w:val="499"/>
              </w:numPr>
              <w:rPr>
                <w:szCs w:val="28"/>
              </w:rPr>
            </w:pPr>
            <w:r>
              <w:rPr>
                <w:szCs w:val="28"/>
              </w:rPr>
              <w:t xml:space="preserve">Is aged 50 or older: Pedro is 59 years old. </w:t>
            </w:r>
          </w:p>
          <w:p w14:paraId="5CD62E7D" w14:textId="77777777" w:rsidR="00302FA3" w:rsidRDefault="00302FA3" w:rsidP="00302FA3">
            <w:pPr>
              <w:pStyle w:val="ListParagraph"/>
              <w:numPr>
                <w:ilvl w:val="0"/>
                <w:numId w:val="499"/>
              </w:numPr>
              <w:rPr>
                <w:szCs w:val="28"/>
              </w:rPr>
            </w:pPr>
            <w:r>
              <w:rPr>
                <w:szCs w:val="28"/>
              </w:rPr>
              <w:t xml:space="preserve">Has prematurely aged and requires services for their aged care needs: Although Pedro has stage IV colon cancer, he remains fully independent and does not have any care needs related to ageing. </w:t>
            </w:r>
          </w:p>
          <w:p w14:paraId="1FC26733" w14:textId="77777777" w:rsidR="00302FA3" w:rsidRDefault="00302FA3" w:rsidP="00302FA3">
            <w:pPr>
              <w:pStyle w:val="ListParagraph"/>
              <w:numPr>
                <w:ilvl w:val="0"/>
                <w:numId w:val="499"/>
              </w:numPr>
              <w:rPr>
                <w:szCs w:val="28"/>
              </w:rPr>
            </w:pPr>
            <w:r>
              <w:rPr>
                <w:szCs w:val="28"/>
              </w:rPr>
              <w:t xml:space="preserve">Has the following living arrangements: </w:t>
            </w:r>
          </w:p>
          <w:p w14:paraId="7FFDD7AE" w14:textId="77777777" w:rsidR="00302FA3" w:rsidRDefault="00302FA3" w:rsidP="00302FA3">
            <w:pPr>
              <w:pStyle w:val="ListParagraph"/>
              <w:numPr>
                <w:ilvl w:val="0"/>
                <w:numId w:val="500"/>
              </w:numPr>
              <w:rPr>
                <w:szCs w:val="28"/>
              </w:rPr>
            </w:pPr>
            <w:r>
              <w:rPr>
                <w:szCs w:val="28"/>
              </w:rPr>
              <w:t xml:space="preserve">Lacks any adequate roof over their head: Not applicable, as Pedro lives in a self-contained house in a caravan park. </w:t>
            </w:r>
          </w:p>
          <w:p w14:paraId="48482B57" w14:textId="77777777" w:rsidR="00302FA3" w:rsidRDefault="00302FA3" w:rsidP="00302FA3">
            <w:pPr>
              <w:pStyle w:val="ListParagraph"/>
              <w:numPr>
                <w:ilvl w:val="0"/>
                <w:numId w:val="500"/>
              </w:numPr>
              <w:rPr>
                <w:szCs w:val="28"/>
              </w:rPr>
            </w:pPr>
            <w:r>
              <w:rPr>
                <w:szCs w:val="28"/>
              </w:rPr>
              <w:t xml:space="preserve">Has no security of tenure or moves between various forms of temporary of medium-term shelter: Not applicable, as Pedro has been living in stable housing for nearly seven years. </w:t>
            </w:r>
          </w:p>
          <w:p w14:paraId="13B38FA3" w14:textId="77777777" w:rsidR="00302FA3" w:rsidRDefault="00302FA3" w:rsidP="00302FA3">
            <w:pPr>
              <w:pStyle w:val="ListParagraph"/>
              <w:numPr>
                <w:ilvl w:val="0"/>
                <w:numId w:val="500"/>
              </w:numPr>
              <w:rPr>
                <w:szCs w:val="28"/>
              </w:rPr>
            </w:pPr>
            <w:r>
              <w:rPr>
                <w:szCs w:val="28"/>
              </w:rPr>
              <w:t xml:space="preserve">Staying in accommodation that falls below minimum community standards: Not applicable, as Pedro’s housing meets standards, and he lives independently. </w:t>
            </w:r>
          </w:p>
          <w:p w14:paraId="6A9A0A53" w14:textId="77777777" w:rsidR="00302FA3" w:rsidRDefault="00302FA3" w:rsidP="00302FA3">
            <w:pPr>
              <w:pStyle w:val="ListParagraph"/>
              <w:numPr>
                <w:ilvl w:val="0"/>
                <w:numId w:val="499"/>
              </w:numPr>
              <w:rPr>
                <w:szCs w:val="28"/>
              </w:rPr>
            </w:pPr>
            <w:r>
              <w:rPr>
                <w:szCs w:val="28"/>
              </w:rPr>
              <w:t xml:space="preserve">Does not have the means to change their living arrangements: This is not explicitly mentioned in Pedro’s case, but his current living situation is stable and adequate. </w:t>
            </w:r>
          </w:p>
          <w:p w14:paraId="328AEF24" w14:textId="77777777" w:rsidR="00302FA3" w:rsidRDefault="00302FA3">
            <w:pPr>
              <w:rPr>
                <w:szCs w:val="28"/>
              </w:rPr>
            </w:pPr>
          </w:p>
          <w:p w14:paraId="1704FB84" w14:textId="77777777" w:rsidR="00302FA3" w:rsidRPr="0003400A" w:rsidRDefault="00302FA3">
            <w:pPr>
              <w:rPr>
                <w:szCs w:val="28"/>
              </w:rPr>
            </w:pPr>
            <w:r>
              <w:rPr>
                <w:szCs w:val="28"/>
              </w:rPr>
              <w:t xml:space="preserve">Pedro does not seem to meet the criteria outlined in the definition for accessing aged care services, primarily because he does not have any aged care needs and lives independently in stable housing. </w:t>
            </w:r>
          </w:p>
        </w:tc>
      </w:tr>
    </w:tbl>
    <w:p w14:paraId="149A11E9" w14:textId="77777777" w:rsidR="00302FA3" w:rsidRDefault="00302FA3" w:rsidP="00AA3AE7"/>
    <w:tbl>
      <w:tblPr>
        <w:tblStyle w:val="TableGrid"/>
        <w:tblW w:w="0" w:type="auto"/>
        <w:tblLook w:val="04A0" w:firstRow="1" w:lastRow="0" w:firstColumn="1" w:lastColumn="0" w:noHBand="0" w:noVBand="1"/>
      </w:tblPr>
      <w:tblGrid>
        <w:gridCol w:w="9016"/>
      </w:tblGrid>
      <w:tr w:rsidR="00FF2D03" w14:paraId="7DEB86FD" w14:textId="77777777">
        <w:tc>
          <w:tcPr>
            <w:tcW w:w="9016" w:type="dxa"/>
          </w:tcPr>
          <w:p w14:paraId="40833CEF" w14:textId="739B14FA" w:rsidR="00FF2D03" w:rsidRDefault="00FF2D03" w:rsidP="003D6CFC">
            <w:pPr>
              <w:rPr>
                <w:b/>
                <w:bCs/>
                <w:sz w:val="24"/>
                <w:szCs w:val="32"/>
              </w:rPr>
            </w:pPr>
            <w:r>
              <w:rPr>
                <w:b/>
                <w:bCs/>
                <w:sz w:val="24"/>
                <w:szCs w:val="32"/>
              </w:rPr>
              <w:t>Case Study</w:t>
            </w:r>
            <w:r w:rsidR="00532B69">
              <w:rPr>
                <w:b/>
                <w:bCs/>
                <w:sz w:val="24"/>
                <w:szCs w:val="32"/>
              </w:rPr>
              <w:t xml:space="preserve"> 7</w:t>
            </w:r>
            <w:r>
              <w:rPr>
                <w:b/>
                <w:bCs/>
                <w:sz w:val="24"/>
                <w:szCs w:val="32"/>
              </w:rPr>
              <w:t xml:space="preserve">: Does Not Meet the Eligibility Criteria </w:t>
            </w:r>
          </w:p>
          <w:p w14:paraId="05C58055" w14:textId="77777777" w:rsidR="00FF2D03" w:rsidRDefault="00FF2D03" w:rsidP="003D6CFC">
            <w:pPr>
              <w:rPr>
                <w:b/>
                <w:bCs/>
                <w:sz w:val="24"/>
                <w:szCs w:val="32"/>
              </w:rPr>
            </w:pPr>
          </w:p>
          <w:p w14:paraId="04D8F8C0" w14:textId="77777777" w:rsidR="00FF2D03" w:rsidRDefault="00FF2D03">
            <w:pPr>
              <w:rPr>
                <w:szCs w:val="28"/>
              </w:rPr>
            </w:pPr>
            <w:r>
              <w:rPr>
                <w:szCs w:val="28"/>
              </w:rPr>
              <w:t xml:space="preserve">Louise is 61 years of aged. Louise’s husband passed away three years ago and now lives by herself in a two-story house in a small community. Louise was in fairly good health condition but recently had an accident and was admitted to hospital where she underwent surgery. After a long recovery period, and still requiring visits to the physio, Louise is back home. Louise complained that she is not able to access the second floor where she has her bedroom. Louise was a teacher before she had kinds and left her job to dedicate her time to the family. Louise is the owner of the house where she lives and funds available, but she is struggling to live in the current house due to residual needs from the accident. </w:t>
            </w:r>
          </w:p>
          <w:p w14:paraId="12CB9640" w14:textId="77777777" w:rsidR="00FF2D03" w:rsidRDefault="00FF2D03">
            <w:pPr>
              <w:rPr>
                <w:szCs w:val="28"/>
              </w:rPr>
            </w:pPr>
          </w:p>
          <w:p w14:paraId="274FC714" w14:textId="77777777" w:rsidR="00FF2D03" w:rsidRDefault="00FF2D03">
            <w:pPr>
              <w:rPr>
                <w:szCs w:val="28"/>
              </w:rPr>
            </w:pPr>
            <w:r>
              <w:rPr>
                <w:szCs w:val="28"/>
              </w:rPr>
              <w:t xml:space="preserve">Louise does not meet the criteria for accessing Australian Government aged care services because Louise: </w:t>
            </w:r>
          </w:p>
          <w:p w14:paraId="3A951C17" w14:textId="77777777" w:rsidR="00FF2D03" w:rsidRDefault="00FF2D03" w:rsidP="00FF2D03">
            <w:pPr>
              <w:pStyle w:val="ListParagraph"/>
              <w:numPr>
                <w:ilvl w:val="0"/>
                <w:numId w:val="501"/>
              </w:numPr>
              <w:rPr>
                <w:szCs w:val="28"/>
              </w:rPr>
            </w:pPr>
            <w:r>
              <w:rPr>
                <w:szCs w:val="28"/>
              </w:rPr>
              <w:t xml:space="preserve">Is aged 50 years or older: Louise is 61 years old. </w:t>
            </w:r>
          </w:p>
          <w:p w14:paraId="05635F52" w14:textId="77777777" w:rsidR="00FF2D03" w:rsidRDefault="00FF2D03" w:rsidP="00FF2D03">
            <w:pPr>
              <w:pStyle w:val="ListParagraph"/>
              <w:numPr>
                <w:ilvl w:val="0"/>
                <w:numId w:val="501"/>
              </w:numPr>
              <w:rPr>
                <w:szCs w:val="28"/>
              </w:rPr>
            </w:pPr>
            <w:r>
              <w:rPr>
                <w:szCs w:val="28"/>
              </w:rPr>
              <w:t xml:space="preserve">Has prematurely aged and requires services for their aged care needs: Louise has residual needs from her accident, but this does not necessarily indicate premature ageing or a need for aged care services specifically related to ageing. </w:t>
            </w:r>
          </w:p>
          <w:p w14:paraId="504C92C5" w14:textId="77777777" w:rsidR="00FF2D03" w:rsidRDefault="00FF2D03" w:rsidP="00FF2D03">
            <w:pPr>
              <w:pStyle w:val="ListParagraph"/>
              <w:numPr>
                <w:ilvl w:val="0"/>
                <w:numId w:val="501"/>
              </w:numPr>
              <w:rPr>
                <w:szCs w:val="28"/>
              </w:rPr>
            </w:pPr>
            <w:r>
              <w:rPr>
                <w:szCs w:val="28"/>
              </w:rPr>
              <w:t xml:space="preserve">Has the following living arrangements: </w:t>
            </w:r>
          </w:p>
          <w:p w14:paraId="24A7826F" w14:textId="77777777" w:rsidR="00FF2D03" w:rsidRDefault="00FF2D03" w:rsidP="00FF2D03">
            <w:pPr>
              <w:pStyle w:val="ListParagraph"/>
              <w:numPr>
                <w:ilvl w:val="0"/>
                <w:numId w:val="502"/>
              </w:numPr>
              <w:rPr>
                <w:szCs w:val="28"/>
              </w:rPr>
            </w:pPr>
            <w:r>
              <w:rPr>
                <w:szCs w:val="28"/>
              </w:rPr>
              <w:t xml:space="preserve">Lacks any adequate roof over their head: Not applicable, as Louise lives in a two-story house. </w:t>
            </w:r>
          </w:p>
          <w:p w14:paraId="4943A142" w14:textId="77777777" w:rsidR="00FF2D03" w:rsidRDefault="00FF2D03" w:rsidP="00FF2D03">
            <w:pPr>
              <w:pStyle w:val="ListParagraph"/>
              <w:numPr>
                <w:ilvl w:val="0"/>
                <w:numId w:val="502"/>
              </w:numPr>
              <w:rPr>
                <w:szCs w:val="28"/>
              </w:rPr>
            </w:pPr>
            <w:r>
              <w:rPr>
                <w:szCs w:val="28"/>
              </w:rPr>
              <w:t xml:space="preserve">Has no security of tenure or moves between various forms of temporary or medium-term shelter: Not applicable, as Louise owns her house. </w:t>
            </w:r>
          </w:p>
          <w:p w14:paraId="428E3F03" w14:textId="77777777" w:rsidR="00FF2D03" w:rsidRDefault="00FF2D03" w:rsidP="00FF2D03">
            <w:pPr>
              <w:pStyle w:val="ListParagraph"/>
              <w:numPr>
                <w:ilvl w:val="0"/>
                <w:numId w:val="502"/>
              </w:numPr>
              <w:rPr>
                <w:szCs w:val="28"/>
              </w:rPr>
            </w:pPr>
            <w:r>
              <w:rPr>
                <w:szCs w:val="28"/>
              </w:rPr>
              <w:t xml:space="preserve">Staying in accommodation that falls below minimum community standards: Not applicable, as her house does not fall below minimum community standards. </w:t>
            </w:r>
          </w:p>
          <w:p w14:paraId="66142E5A" w14:textId="77777777" w:rsidR="00FF2D03" w:rsidRDefault="00FF2D03" w:rsidP="00FF2D03">
            <w:pPr>
              <w:pStyle w:val="ListParagraph"/>
              <w:numPr>
                <w:ilvl w:val="0"/>
                <w:numId w:val="501"/>
              </w:numPr>
              <w:rPr>
                <w:szCs w:val="28"/>
              </w:rPr>
            </w:pPr>
            <w:r>
              <w:rPr>
                <w:szCs w:val="28"/>
              </w:rPr>
              <w:t xml:space="preserve">Does not have the means to change their living arrangements: Louise has assets and funds available, indicating she has the means to make necessary changes to her living arrangements. </w:t>
            </w:r>
          </w:p>
          <w:p w14:paraId="2F4331DA" w14:textId="77777777" w:rsidR="00FF2D03" w:rsidRDefault="00FF2D03">
            <w:pPr>
              <w:rPr>
                <w:szCs w:val="28"/>
              </w:rPr>
            </w:pPr>
          </w:p>
          <w:p w14:paraId="3FDC350A" w14:textId="77777777" w:rsidR="00FF2D03" w:rsidRPr="00DA27F4" w:rsidRDefault="00FF2D03">
            <w:pPr>
              <w:rPr>
                <w:szCs w:val="28"/>
              </w:rPr>
            </w:pPr>
            <w:r>
              <w:rPr>
                <w:szCs w:val="28"/>
              </w:rPr>
              <w:t xml:space="preserve">Louise does not mee the criteria outlined in the definition for accessing aged care services. </w:t>
            </w:r>
          </w:p>
        </w:tc>
      </w:tr>
    </w:tbl>
    <w:p w14:paraId="259481B0" w14:textId="77777777" w:rsidR="00FF2D03" w:rsidRDefault="00FF2D03" w:rsidP="00AA3AE7"/>
    <w:tbl>
      <w:tblPr>
        <w:tblStyle w:val="TableGrid"/>
        <w:tblW w:w="0" w:type="auto"/>
        <w:tblLook w:val="04A0" w:firstRow="1" w:lastRow="0" w:firstColumn="1" w:lastColumn="0" w:noHBand="0" w:noVBand="1"/>
      </w:tblPr>
      <w:tblGrid>
        <w:gridCol w:w="9016"/>
      </w:tblGrid>
      <w:tr w:rsidR="00E97A33" w14:paraId="58B43DD3" w14:textId="77777777">
        <w:tc>
          <w:tcPr>
            <w:tcW w:w="9016" w:type="dxa"/>
          </w:tcPr>
          <w:p w14:paraId="005FA814" w14:textId="0C77FB40" w:rsidR="00E97A33" w:rsidRDefault="00E97A33" w:rsidP="003D6CFC">
            <w:pPr>
              <w:rPr>
                <w:b/>
                <w:bCs/>
                <w:sz w:val="24"/>
                <w:szCs w:val="32"/>
              </w:rPr>
            </w:pPr>
            <w:r>
              <w:rPr>
                <w:b/>
                <w:bCs/>
                <w:sz w:val="24"/>
                <w:szCs w:val="32"/>
              </w:rPr>
              <w:t>Case Study</w:t>
            </w:r>
            <w:r w:rsidR="00584B16">
              <w:rPr>
                <w:b/>
                <w:bCs/>
                <w:sz w:val="24"/>
                <w:szCs w:val="32"/>
              </w:rPr>
              <w:t xml:space="preserve"> 8</w:t>
            </w:r>
            <w:r>
              <w:rPr>
                <w:b/>
                <w:bCs/>
                <w:sz w:val="24"/>
                <w:szCs w:val="32"/>
              </w:rPr>
              <w:t xml:space="preserve">: Does Not Meet the Eligibility Criteria </w:t>
            </w:r>
          </w:p>
          <w:p w14:paraId="70BFB1B6" w14:textId="77777777" w:rsidR="00E97A33" w:rsidRDefault="00E97A33" w:rsidP="003D6CFC">
            <w:pPr>
              <w:rPr>
                <w:b/>
                <w:bCs/>
                <w:sz w:val="24"/>
                <w:szCs w:val="32"/>
              </w:rPr>
            </w:pPr>
          </w:p>
          <w:p w14:paraId="05117C49" w14:textId="77777777" w:rsidR="00E97A33" w:rsidRDefault="00E97A33">
            <w:pPr>
              <w:rPr>
                <w:szCs w:val="28"/>
              </w:rPr>
            </w:pPr>
            <w:r>
              <w:rPr>
                <w:szCs w:val="28"/>
              </w:rPr>
              <w:t xml:space="preserve">David is 58 years of age and lives permanently in a granny flat on his parent’s property. David has a range of medical conditions, including severe obesity, type 2 diabetes and diabetic neuropathy, among others. David has had multiple hospital admissions in previous years and is currently in hospital following a five-week admission for the management of fluid retention. However, the hospital has now found David is medically stable for discharge. David has no assets and no other source of income apart from the Disability Support Pension.  </w:t>
            </w:r>
          </w:p>
          <w:p w14:paraId="0AD9A8A8" w14:textId="77777777" w:rsidR="00E97A33" w:rsidRDefault="00E97A33">
            <w:pPr>
              <w:rPr>
                <w:szCs w:val="28"/>
              </w:rPr>
            </w:pPr>
          </w:p>
          <w:p w14:paraId="5B27E7FB" w14:textId="77777777" w:rsidR="00E97A33" w:rsidRDefault="00E97A33">
            <w:pPr>
              <w:rPr>
                <w:szCs w:val="28"/>
              </w:rPr>
            </w:pPr>
            <w:r>
              <w:rPr>
                <w:szCs w:val="28"/>
              </w:rPr>
              <w:t xml:space="preserve">David does not meet the criteria for accessing Australian Government aged care services because David: </w:t>
            </w:r>
          </w:p>
          <w:p w14:paraId="24FB75CE" w14:textId="77777777" w:rsidR="00E97A33" w:rsidRDefault="00E97A33">
            <w:pPr>
              <w:rPr>
                <w:szCs w:val="28"/>
              </w:rPr>
            </w:pPr>
          </w:p>
          <w:p w14:paraId="5DE32FB5" w14:textId="77777777" w:rsidR="00E97A33" w:rsidRDefault="00E97A33" w:rsidP="00E97A33">
            <w:pPr>
              <w:pStyle w:val="ListParagraph"/>
              <w:numPr>
                <w:ilvl w:val="0"/>
                <w:numId w:val="503"/>
              </w:numPr>
              <w:rPr>
                <w:szCs w:val="28"/>
              </w:rPr>
            </w:pPr>
            <w:r>
              <w:rPr>
                <w:szCs w:val="28"/>
              </w:rPr>
              <w:t xml:space="preserve">Is aged 50 or older: David is 58 years old. </w:t>
            </w:r>
          </w:p>
          <w:p w14:paraId="6FAA24B8" w14:textId="77777777" w:rsidR="00E97A33" w:rsidRDefault="00E97A33" w:rsidP="00E97A33">
            <w:pPr>
              <w:pStyle w:val="ListParagraph"/>
              <w:numPr>
                <w:ilvl w:val="0"/>
                <w:numId w:val="503"/>
              </w:numPr>
              <w:rPr>
                <w:szCs w:val="28"/>
              </w:rPr>
            </w:pPr>
            <w:r>
              <w:rPr>
                <w:szCs w:val="28"/>
              </w:rPr>
              <w:t xml:space="preserve">Has prematurely aged and requires services for their aged care needs: David has multiple medical conditions, but the information does not indicate that he has prematurely aged or requires aged care services specifically related to ageing. David’s conditions appear to be medical rather than age-related. </w:t>
            </w:r>
          </w:p>
          <w:p w14:paraId="6D4F8B3F" w14:textId="77777777" w:rsidR="00E97A33" w:rsidRDefault="00E97A33" w:rsidP="00E97A33">
            <w:pPr>
              <w:pStyle w:val="ListParagraph"/>
              <w:numPr>
                <w:ilvl w:val="0"/>
                <w:numId w:val="503"/>
              </w:numPr>
              <w:rPr>
                <w:szCs w:val="28"/>
              </w:rPr>
            </w:pPr>
            <w:r>
              <w:rPr>
                <w:szCs w:val="28"/>
              </w:rPr>
              <w:t xml:space="preserve">Has the following living arrangements: </w:t>
            </w:r>
          </w:p>
          <w:p w14:paraId="1F9DD903" w14:textId="77777777" w:rsidR="00E97A33" w:rsidRDefault="00E97A33" w:rsidP="00E97A33">
            <w:pPr>
              <w:pStyle w:val="ListParagraph"/>
              <w:numPr>
                <w:ilvl w:val="0"/>
                <w:numId w:val="504"/>
              </w:numPr>
              <w:rPr>
                <w:szCs w:val="28"/>
              </w:rPr>
            </w:pPr>
            <w:r>
              <w:rPr>
                <w:szCs w:val="28"/>
              </w:rPr>
              <w:t xml:space="preserve">Lacks any adequate roof over their head: Not applicable, as David has access to a stable and adequate home living with his parents. </w:t>
            </w:r>
          </w:p>
          <w:p w14:paraId="059B1BF0" w14:textId="77777777" w:rsidR="00E97A33" w:rsidRDefault="00E97A33" w:rsidP="00E97A33">
            <w:pPr>
              <w:pStyle w:val="ListParagraph"/>
              <w:numPr>
                <w:ilvl w:val="0"/>
                <w:numId w:val="504"/>
              </w:numPr>
              <w:rPr>
                <w:szCs w:val="28"/>
              </w:rPr>
            </w:pPr>
            <w:r>
              <w:rPr>
                <w:szCs w:val="28"/>
              </w:rPr>
              <w:t xml:space="preserve">Has no security of tenure or moves between various forms of temporary or medium-term shelter: Not applicable, as David has been living permanently with his parents. </w:t>
            </w:r>
          </w:p>
          <w:p w14:paraId="2A8B837B" w14:textId="77777777" w:rsidR="00E97A33" w:rsidRDefault="00E97A33" w:rsidP="00E97A33">
            <w:pPr>
              <w:pStyle w:val="ListParagraph"/>
              <w:numPr>
                <w:ilvl w:val="0"/>
                <w:numId w:val="504"/>
              </w:numPr>
              <w:rPr>
                <w:szCs w:val="28"/>
              </w:rPr>
            </w:pPr>
            <w:r>
              <w:rPr>
                <w:szCs w:val="28"/>
              </w:rPr>
              <w:t xml:space="preserve">Stays in accommodation that falls below minimum community standards: There is no indication that David’s accommodation falls below minimum standards. </w:t>
            </w:r>
          </w:p>
          <w:p w14:paraId="453FCF7D" w14:textId="77777777" w:rsidR="00E97A33" w:rsidRDefault="00E97A33" w:rsidP="00E97A33">
            <w:pPr>
              <w:pStyle w:val="ListParagraph"/>
              <w:numPr>
                <w:ilvl w:val="0"/>
                <w:numId w:val="503"/>
              </w:numPr>
              <w:rPr>
                <w:szCs w:val="28"/>
              </w:rPr>
            </w:pPr>
            <w:r>
              <w:rPr>
                <w:szCs w:val="28"/>
              </w:rPr>
              <w:t xml:space="preserve">Does not have the means to change their living arrangements: David has no assets and receives a small pension, indicating he lacks the financial means to change his living arrangements. </w:t>
            </w:r>
          </w:p>
          <w:p w14:paraId="3C07C507" w14:textId="77777777" w:rsidR="00E97A33" w:rsidRDefault="00E97A33">
            <w:pPr>
              <w:rPr>
                <w:szCs w:val="28"/>
              </w:rPr>
            </w:pPr>
          </w:p>
          <w:p w14:paraId="111E767C" w14:textId="77777777" w:rsidR="00E97A33" w:rsidRPr="0048637E" w:rsidRDefault="00E97A33">
            <w:pPr>
              <w:rPr>
                <w:szCs w:val="28"/>
              </w:rPr>
            </w:pPr>
            <w:r>
              <w:rPr>
                <w:szCs w:val="28"/>
              </w:rPr>
              <w:t xml:space="preserve">David does not meet the criteria outlined in the definition for accessing aged care services, primarily because David does not have any care needs related to ageing, nor has he prematurely aged due to experiencing homelessness. </w:t>
            </w:r>
          </w:p>
        </w:tc>
      </w:tr>
    </w:tbl>
    <w:p w14:paraId="065634C1" w14:textId="77777777" w:rsidR="00C4296E" w:rsidRDefault="00C4296E" w:rsidP="00AA3AE7"/>
    <w:sectPr w:rsidR="00C429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B1285" w14:textId="77777777" w:rsidR="00CF0C9D" w:rsidRDefault="00CF0C9D" w:rsidP="00005C08">
      <w:pPr>
        <w:spacing w:after="0" w:line="240" w:lineRule="auto"/>
      </w:pPr>
      <w:r>
        <w:separator/>
      </w:r>
    </w:p>
  </w:endnote>
  <w:endnote w:type="continuationSeparator" w:id="0">
    <w:p w14:paraId="109876EB" w14:textId="77777777" w:rsidR="00CF0C9D" w:rsidRDefault="00CF0C9D" w:rsidP="00005C08">
      <w:pPr>
        <w:spacing w:after="0" w:line="240" w:lineRule="auto"/>
      </w:pPr>
      <w:r>
        <w:continuationSeparator/>
      </w:r>
    </w:p>
  </w:endnote>
  <w:endnote w:type="continuationNotice" w:id="1">
    <w:p w14:paraId="3832895E" w14:textId="77777777" w:rsidR="00CF0C9D" w:rsidRDefault="00CF0C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rial, sans-serif">
    <w:altName w:val="Arial"/>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1D8D" w14:textId="0BB71663" w:rsidR="00131731" w:rsidRDefault="00521113">
    <w:pPr>
      <w:pStyle w:val="Footer"/>
    </w:pPr>
    <w:r>
      <w:rPr>
        <w:noProof/>
        <w14:ligatures w14:val="standardContextual"/>
      </w:rPr>
      <mc:AlternateContent>
        <mc:Choice Requires="wps">
          <w:drawing>
            <wp:anchor distT="0" distB="0" distL="0" distR="0" simplePos="0" relativeHeight="251658241" behindDoc="0" locked="0" layoutInCell="1" allowOverlap="1" wp14:anchorId="09E28592" wp14:editId="522AEEF4">
              <wp:simplePos x="635" y="635"/>
              <wp:positionH relativeFrom="page">
                <wp:align>center</wp:align>
              </wp:positionH>
              <wp:positionV relativeFrom="page">
                <wp:align>bottom</wp:align>
              </wp:positionV>
              <wp:extent cx="552450" cy="390525"/>
              <wp:effectExtent l="0" t="0" r="0" b="0"/>
              <wp:wrapNone/>
              <wp:docPr id="506944240" name="Text Box 5069442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D1953BE" w14:textId="6FAE50B9"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9E28592" id="_x0000_t202" coordsize="21600,21600" o:spt="202" path="m,l,21600r21600,l21600,xe">
              <v:stroke joinstyle="miter"/>
              <v:path gradientshapeok="t" o:connecttype="rect"/>
            </v:shapetype>
            <v:shape id="Text Box 506944240" o:spid="_x0000_s1036" type="#_x0000_t202" alt="OFFICIAL" style="position:absolute;margin-left:0;margin-top:0;width:43.5pt;height:30.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5kCw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dWr7ndQnWgohGHf3sl1Q6U3wocngbRg6pZEGx7p&#10;0Aa6ksPZ4qwG/Pk3f8wn3inKWUeCKbklRXNmvlvaR9TWaOBo7JIxJUpyittDewckwym9CCeTSV4M&#10;ZjQ1QvtCcl7FQhQSVlK5ku9G8y4MyqXnINVqlZJIRk6Ejd06GaEjXZHL5/5FoDsTHmhTDzCqSRRv&#10;eB9y403vVodA7KelRGoHIs+MkwTTWs/PJWr89X/Kuj7q5S8A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C7Ag5kCwIAABwEAAAO&#10;AAAAAAAAAAAAAAAAAC4CAABkcnMvZTJvRG9jLnhtbFBLAQItABQABgAIAAAAIQC0FWMe2gAAAAMB&#10;AAAPAAAAAAAAAAAAAAAAAGUEAABkcnMvZG93bnJldi54bWxQSwUGAAAAAAQABADzAAAAbAUAAAAA&#10;" filled="f" stroked="f">
              <v:textbox style="mso-fit-shape-to-text:t" inset="0,0,0,15pt">
                <w:txbxContent>
                  <w:p w14:paraId="1D1953BE" w14:textId="6FAE50B9"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32B3" w14:textId="77777777" w:rsidR="00370263" w:rsidRDefault="00370263">
    <w:pPr>
      <w:pStyle w:val="Footer"/>
    </w:pPr>
    <w:r>
      <w:rPr>
        <w:noProof/>
        <w14:ligatures w14:val="standardContextual"/>
      </w:rPr>
      <mc:AlternateContent>
        <mc:Choice Requires="wps">
          <w:drawing>
            <wp:anchor distT="0" distB="0" distL="0" distR="0" simplePos="0" relativeHeight="251658251" behindDoc="0" locked="0" layoutInCell="1" allowOverlap="1" wp14:anchorId="08B9C1F8" wp14:editId="5952F7F2">
              <wp:simplePos x="635" y="635"/>
              <wp:positionH relativeFrom="page">
                <wp:align>center</wp:align>
              </wp:positionH>
              <wp:positionV relativeFrom="page">
                <wp:align>bottom</wp:align>
              </wp:positionV>
              <wp:extent cx="609600" cy="400050"/>
              <wp:effectExtent l="0" t="0" r="0" b="0"/>
              <wp:wrapNone/>
              <wp:docPr id="2080433900" name="Text Box 20804339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2B0F5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8B9C1F8" id="_x0000_t202" coordsize="21600,21600" o:spt="202" path="m,l,21600r21600,l21600,xe">
              <v:stroke joinstyle="miter"/>
              <v:path gradientshapeok="t" o:connecttype="rect"/>
            </v:shapetype>
            <v:shape id="Text Box 2080433900" o:spid="_x0000_s1051" type="#_x0000_t202" alt="OFFICIAL" style="position:absolute;margin-left:0;margin-top:0;width:48pt;height:3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uGn8SAwCAAAdBAAA&#10;DgAAAAAAAAAAAAAAAAAuAgAAZHJzL2Uyb0RvYy54bWxQSwECLQAUAAYACAAAACEAu8qViNoAAAAD&#10;AQAADwAAAAAAAAAAAAAAAABmBAAAZHJzL2Rvd25yZXYueG1sUEsFBgAAAAAEAAQA8wAAAG0FAAAA&#10;AA==&#10;" filled="f" stroked="f">
              <v:textbox style="mso-fit-shape-to-text:t" inset="0,0,0,15pt">
                <w:txbxContent>
                  <w:p w14:paraId="32B0F5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6995" w14:textId="77777777" w:rsidR="00370263" w:rsidRDefault="00370263">
    <w:pPr>
      <w:pStyle w:val="Footer"/>
      <w:jc w:val="right"/>
    </w:pPr>
    <w:r>
      <w:rPr>
        <w:noProof/>
        <w14:ligatures w14:val="standardContextual"/>
      </w:rPr>
      <mc:AlternateContent>
        <mc:Choice Requires="wps">
          <w:drawing>
            <wp:anchor distT="0" distB="0" distL="0" distR="0" simplePos="0" relativeHeight="251658252" behindDoc="0" locked="0" layoutInCell="1" allowOverlap="1" wp14:anchorId="5EFEE93C" wp14:editId="74469955">
              <wp:simplePos x="635" y="635"/>
              <wp:positionH relativeFrom="page">
                <wp:align>center</wp:align>
              </wp:positionH>
              <wp:positionV relativeFrom="page">
                <wp:align>bottom</wp:align>
              </wp:positionV>
              <wp:extent cx="609600" cy="400050"/>
              <wp:effectExtent l="0" t="0" r="0" b="0"/>
              <wp:wrapNone/>
              <wp:docPr id="955103427" name="Text Box 9551034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682C334C"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EFEE93C" id="_x0000_t202" coordsize="21600,21600" o:spt="202" path="m,l,21600r21600,l21600,xe">
              <v:stroke joinstyle="miter"/>
              <v:path gradientshapeok="t" o:connecttype="rect"/>
            </v:shapetype>
            <v:shape id="Text Box 955103427" o:spid="_x0000_s1052" type="#_x0000_t202" alt="OFFICIAL" style="position:absolute;left:0;text-align:left;margin-left:0;margin-top:0;width:48pt;height:31.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NXWTnUNAgAAHQQA&#10;AA4AAAAAAAAAAAAAAAAALgIAAGRycy9lMm9Eb2MueG1sUEsBAi0AFAAGAAgAAAAhALvKlYjaAAAA&#10;AwEAAA8AAAAAAAAAAAAAAAAAZwQAAGRycy9kb3ducmV2LnhtbFBLBQYAAAAABAAEAPMAAABuBQAA&#10;AAA=&#10;" filled="f" stroked="f">
              <v:textbox style="mso-fit-shape-to-text:t" inset="0,0,0,15pt">
                <w:txbxContent>
                  <w:p w14:paraId="682C334C"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sdt>
    <w:sdtPr>
      <w:id w:val="-21789001"/>
      <w:docPartObj>
        <w:docPartGallery w:val="Page Numbers (Bottom of Page)"/>
        <w:docPartUnique/>
      </w:docPartObj>
    </w:sdtPr>
    <w:sdtEndPr>
      <w:rPr>
        <w:noProof/>
      </w:rPr>
    </w:sdtEndPr>
    <w:sdtContent>
      <w:p w14:paraId="385B7C1B" w14:textId="77777777" w:rsidR="00370263" w:rsidRDefault="003702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B4DEC4" w14:textId="77777777" w:rsidR="00370263" w:rsidRDefault="003702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603C" w14:textId="77777777" w:rsidR="00370263" w:rsidRDefault="00370263">
    <w:pPr>
      <w:pStyle w:val="Footer"/>
    </w:pPr>
    <w:r>
      <w:rPr>
        <w:noProof/>
        <w14:ligatures w14:val="standardContextual"/>
      </w:rPr>
      <mc:AlternateContent>
        <mc:Choice Requires="wps">
          <w:drawing>
            <wp:anchor distT="0" distB="0" distL="0" distR="0" simplePos="0" relativeHeight="251658254" behindDoc="0" locked="0" layoutInCell="1" allowOverlap="1" wp14:anchorId="7A74E050" wp14:editId="70CE44FC">
              <wp:simplePos x="635" y="635"/>
              <wp:positionH relativeFrom="page">
                <wp:align>center</wp:align>
              </wp:positionH>
              <wp:positionV relativeFrom="page">
                <wp:align>bottom</wp:align>
              </wp:positionV>
              <wp:extent cx="609600" cy="400050"/>
              <wp:effectExtent l="0" t="0" r="0" b="0"/>
              <wp:wrapNone/>
              <wp:docPr id="332685364" name="Text Box 3326853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823F186"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A74E050" id="_x0000_t202" coordsize="21600,21600" o:spt="202" path="m,l,21600r21600,l21600,xe">
              <v:stroke joinstyle="miter"/>
              <v:path gradientshapeok="t" o:connecttype="rect"/>
            </v:shapetype>
            <v:shape id="Text Box 332685364" o:spid="_x0000_s1054" type="#_x0000_t202" alt="OFFICIAL" style="position:absolute;margin-left:0;margin-top:0;width:48pt;height:31.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JKoBc4NAgAAHQQA&#10;AA4AAAAAAAAAAAAAAAAALgIAAGRycy9lMm9Eb2MueG1sUEsBAi0AFAAGAAgAAAAhALvKlYjaAAAA&#10;AwEAAA8AAAAAAAAAAAAAAAAAZwQAAGRycy9kb3ducmV2LnhtbFBLBQYAAAAABAAEAPMAAABuBQAA&#10;AAA=&#10;" filled="f" stroked="f">
              <v:textbox style="mso-fit-shape-to-text:t" inset="0,0,0,15pt">
                <w:txbxContent>
                  <w:p w14:paraId="2823F186"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4570"/>
      <w:docPartObj>
        <w:docPartGallery w:val="Page Numbers (Bottom of Page)"/>
        <w:docPartUnique/>
      </w:docPartObj>
    </w:sdtPr>
    <w:sdtEndPr>
      <w:rPr>
        <w:noProof/>
      </w:rPr>
    </w:sdtEndPr>
    <w:sdtContent>
      <w:p w14:paraId="572CE5E2" w14:textId="273AB2A8" w:rsidR="00D17880" w:rsidRDefault="00D178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6C1088" w14:textId="6B79ED4D" w:rsidR="00131731" w:rsidRDefault="001317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F758" w14:textId="7DDBF7DF" w:rsidR="00131731" w:rsidRDefault="00521113">
    <w:pPr>
      <w:pStyle w:val="Footer"/>
    </w:pPr>
    <w:r>
      <w:rPr>
        <w:noProof/>
        <w14:ligatures w14:val="standardContextual"/>
      </w:rPr>
      <mc:AlternateContent>
        <mc:Choice Requires="wps">
          <w:drawing>
            <wp:anchor distT="0" distB="0" distL="0" distR="0" simplePos="0" relativeHeight="251658243" behindDoc="0" locked="0" layoutInCell="1" allowOverlap="1" wp14:anchorId="7AC12A42" wp14:editId="5F7F16BE">
              <wp:simplePos x="635" y="635"/>
              <wp:positionH relativeFrom="page">
                <wp:align>center</wp:align>
              </wp:positionH>
              <wp:positionV relativeFrom="page">
                <wp:align>bottom</wp:align>
              </wp:positionV>
              <wp:extent cx="552450" cy="390525"/>
              <wp:effectExtent l="0" t="0" r="0" b="0"/>
              <wp:wrapNone/>
              <wp:docPr id="1593235644" name="Text Box 15932356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5852762" w14:textId="7044CA9E"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AC12A42" id="_x0000_t202" coordsize="21600,21600" o:spt="202" path="m,l,21600r21600,l21600,xe">
              <v:stroke joinstyle="miter"/>
              <v:path gradientshapeok="t" o:connecttype="rect"/>
            </v:shapetype>
            <v:shape id="Text Box 1593235644" o:spid="_x0000_s1038" type="#_x0000_t202" alt="OFFICIAL" style="position:absolute;margin-left:0;margin-top:0;width:43.5pt;height:30.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55852762" w14:textId="7044CA9E"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A88C" w14:textId="77777777" w:rsidR="00960A13" w:rsidRDefault="00960A13">
    <w:pPr>
      <w:pStyle w:val="Footer"/>
    </w:pPr>
    <w:r>
      <w:rPr>
        <w:noProof/>
        <w14:ligatures w14:val="standardContextual"/>
      </w:rPr>
      <mc:AlternateContent>
        <mc:Choice Requires="wps">
          <w:drawing>
            <wp:anchor distT="0" distB="0" distL="0" distR="0" simplePos="0" relativeHeight="251658248" behindDoc="0" locked="0" layoutInCell="1" allowOverlap="1" wp14:anchorId="19EB9FD9" wp14:editId="7F5FFDC7">
              <wp:simplePos x="635" y="635"/>
              <wp:positionH relativeFrom="page">
                <wp:align>center</wp:align>
              </wp:positionH>
              <wp:positionV relativeFrom="page">
                <wp:align>bottom</wp:align>
              </wp:positionV>
              <wp:extent cx="551815" cy="391160"/>
              <wp:effectExtent l="0" t="0" r="635" b="0"/>
              <wp:wrapNone/>
              <wp:docPr id="1204711830" name="Text Box 12047118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D458BEE"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9EB9FD9" id="_x0000_t202" coordsize="21600,21600" o:spt="202" path="m,l,21600r21600,l21600,xe">
              <v:stroke joinstyle="miter"/>
              <v:path gradientshapeok="t" o:connecttype="rect"/>
            </v:shapetype>
            <v:shape id="Text Box 1204711830" o:spid="_x0000_s1041" type="#_x0000_t202" alt="OFFICIAL" style="position:absolute;margin-left:0;margin-top:0;width:43.45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GZ5mDDgIAABwE&#10;AAAOAAAAAAAAAAAAAAAAAC4CAABkcnMvZTJvRG9jLnhtbFBLAQItABQABgAIAAAAIQDLo44Q2gAA&#10;AAMBAAAPAAAAAAAAAAAAAAAAAGgEAABkcnMvZG93bnJldi54bWxQSwUGAAAAAAQABADzAAAAbwUA&#10;AAAA&#10;" filled="f" stroked="f">
              <v:textbox style="mso-fit-shape-to-text:t" inset="0,0,0,15pt">
                <w:txbxContent>
                  <w:p w14:paraId="6D458BEE"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060319"/>
      <w:docPartObj>
        <w:docPartGallery w:val="Page Numbers (Bottom of Page)"/>
        <w:docPartUnique/>
      </w:docPartObj>
    </w:sdtPr>
    <w:sdtEndPr>
      <w:rPr>
        <w:noProof/>
      </w:rPr>
    </w:sdtEndPr>
    <w:sdtContent>
      <w:p w14:paraId="5D1AA301" w14:textId="4507AF69" w:rsidR="00A60687" w:rsidRDefault="00A606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60F5B" w14:textId="53CC3BB0" w:rsidR="00960A13" w:rsidRDefault="00960A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3579" w14:textId="77777777" w:rsidR="00960A13" w:rsidRDefault="00960A13">
    <w:pPr>
      <w:pStyle w:val="Footer"/>
    </w:pPr>
    <w:r>
      <w:rPr>
        <w:noProof/>
        <w14:ligatures w14:val="standardContextual"/>
      </w:rPr>
      <mc:AlternateContent>
        <mc:Choice Requires="wps">
          <w:drawing>
            <wp:anchor distT="0" distB="0" distL="0" distR="0" simplePos="0" relativeHeight="251658247" behindDoc="0" locked="0" layoutInCell="1" allowOverlap="1" wp14:anchorId="7CF850FF" wp14:editId="5D48335B">
              <wp:simplePos x="635" y="635"/>
              <wp:positionH relativeFrom="page">
                <wp:align>center</wp:align>
              </wp:positionH>
              <wp:positionV relativeFrom="page">
                <wp:align>bottom</wp:align>
              </wp:positionV>
              <wp:extent cx="551815" cy="391160"/>
              <wp:effectExtent l="0" t="0" r="635" b="0"/>
              <wp:wrapNone/>
              <wp:docPr id="62219271" name="Text Box 62219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3DF985"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CF850FF" id="_x0000_t202" coordsize="21600,21600" o:spt="202" path="m,l,21600r21600,l21600,xe">
              <v:stroke joinstyle="miter"/>
              <v:path gradientshapeok="t" o:connecttype="rect"/>
            </v:shapetype>
            <v:shape id="Text Box 62219271" o:spid="_x0000_s1043"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783DF985"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642F" w14:textId="77777777" w:rsidR="00370263" w:rsidRDefault="00370263">
    <w:pPr>
      <w:pStyle w:val="Footer"/>
    </w:pPr>
    <w:r>
      <w:rPr>
        <w:noProof/>
        <w14:ligatures w14:val="standardContextual"/>
      </w:rPr>
      <mc:AlternateContent>
        <mc:Choice Requires="wps">
          <w:drawing>
            <wp:anchor distT="0" distB="0" distL="0" distR="0" simplePos="0" relativeHeight="251658257" behindDoc="0" locked="0" layoutInCell="1" allowOverlap="1" wp14:anchorId="5E3F5C60" wp14:editId="3FC7A664">
              <wp:simplePos x="635" y="635"/>
              <wp:positionH relativeFrom="page">
                <wp:align>center</wp:align>
              </wp:positionH>
              <wp:positionV relativeFrom="page">
                <wp:align>bottom</wp:align>
              </wp:positionV>
              <wp:extent cx="609600" cy="400050"/>
              <wp:effectExtent l="0" t="0" r="0" b="0"/>
              <wp:wrapNone/>
              <wp:docPr id="1580832236" name="Text Box 1580832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455866DB"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E3F5C60" id="_x0000_t202" coordsize="21600,21600" o:spt="202" path="m,l,21600r21600,l21600,xe">
              <v:stroke joinstyle="miter"/>
              <v:path gradientshapeok="t" o:connecttype="rect"/>
            </v:shapetype>
            <v:shape id="Text Box 1580832236" o:spid="_x0000_s1046" type="#_x0000_t202" alt="OFFICIAL" style="position:absolute;margin-left:0;margin-top:0;width:48pt;height:31.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u1Xh+AwCAAAdBAAA&#10;DgAAAAAAAAAAAAAAAAAuAgAAZHJzL2Uyb0RvYy54bWxQSwECLQAUAAYACAAAACEAu8qViNoAAAAD&#10;AQAADwAAAAAAAAAAAAAAAABmBAAAZHJzL2Rvd25yZXYueG1sUEsFBgAAAAAEAAQA8wAAAG0FAAAA&#10;AA==&#10;" filled="f" stroked="f">
              <v:textbox style="mso-fit-shape-to-text:t" inset="0,0,0,15pt">
                <w:txbxContent>
                  <w:p w14:paraId="455866DB"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567823"/>
      <w:docPartObj>
        <w:docPartGallery w:val="Page Numbers (Bottom of Page)"/>
        <w:docPartUnique/>
      </w:docPartObj>
    </w:sdtPr>
    <w:sdtEndPr>
      <w:rPr>
        <w:noProof/>
      </w:rPr>
    </w:sdtEndPr>
    <w:sdtContent>
      <w:p w14:paraId="360C0311" w14:textId="6DA02E5D" w:rsidR="00A634BC" w:rsidRDefault="00A634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EEBA1A" w14:textId="1BA5787D" w:rsidR="00370263" w:rsidRDefault="003702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8CF27" w14:textId="77777777" w:rsidR="00370263" w:rsidRDefault="00370263">
    <w:pPr>
      <w:pStyle w:val="Footer"/>
    </w:pPr>
    <w:r>
      <w:rPr>
        <w:noProof/>
        <w14:ligatures w14:val="standardContextual"/>
      </w:rPr>
      <mc:AlternateContent>
        <mc:Choice Requires="wps">
          <w:drawing>
            <wp:anchor distT="0" distB="0" distL="0" distR="0" simplePos="0" relativeHeight="251658259" behindDoc="0" locked="0" layoutInCell="1" allowOverlap="1" wp14:anchorId="68197052" wp14:editId="32F6ED54">
              <wp:simplePos x="635" y="635"/>
              <wp:positionH relativeFrom="page">
                <wp:align>center</wp:align>
              </wp:positionH>
              <wp:positionV relativeFrom="page">
                <wp:align>bottom</wp:align>
              </wp:positionV>
              <wp:extent cx="609600" cy="400050"/>
              <wp:effectExtent l="0" t="0" r="0" b="0"/>
              <wp:wrapNone/>
              <wp:docPr id="2097051831" name="Text Box 20970518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58C6F621"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8197052" id="_x0000_t202" coordsize="21600,21600" o:spt="202" path="m,l,21600r21600,l21600,xe">
              <v:stroke joinstyle="miter"/>
              <v:path gradientshapeok="t" o:connecttype="rect"/>
            </v:shapetype>
            <v:shape id="Text Box 2097051831" o:spid="_x0000_s1048" type="#_x0000_t202" alt="OFFICIAL" style="position:absolute;margin-left:0;margin-top:0;width:48pt;height:31.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GErhIMNAgAAHQQA&#10;AA4AAAAAAAAAAAAAAAAALgIAAGRycy9lMm9Eb2MueG1sUEsBAi0AFAAGAAgAAAAhALvKlYjaAAAA&#10;AwEAAA8AAAAAAAAAAAAAAAAAZwQAAGRycy9kb3ducmV2LnhtbFBLBQYAAAAABAAEAPMAAABuBQAA&#10;AAA=&#10;" filled="f" stroked="f">
              <v:textbox style="mso-fit-shape-to-text:t" inset="0,0,0,15pt">
                <w:txbxContent>
                  <w:p w14:paraId="58C6F621"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A386A" w14:textId="77777777" w:rsidR="00CF0C9D" w:rsidRDefault="00CF0C9D" w:rsidP="00005C08">
      <w:pPr>
        <w:spacing w:after="0" w:line="240" w:lineRule="auto"/>
      </w:pPr>
      <w:r>
        <w:separator/>
      </w:r>
    </w:p>
  </w:footnote>
  <w:footnote w:type="continuationSeparator" w:id="0">
    <w:p w14:paraId="62C42FD3" w14:textId="77777777" w:rsidR="00CF0C9D" w:rsidRDefault="00CF0C9D" w:rsidP="00005C08">
      <w:pPr>
        <w:spacing w:after="0" w:line="240" w:lineRule="auto"/>
      </w:pPr>
      <w:r>
        <w:continuationSeparator/>
      </w:r>
    </w:p>
  </w:footnote>
  <w:footnote w:type="continuationNotice" w:id="1">
    <w:p w14:paraId="0C1D410C" w14:textId="77777777" w:rsidR="00CF0C9D" w:rsidRDefault="00CF0C9D">
      <w:pPr>
        <w:spacing w:after="0" w:line="240" w:lineRule="auto"/>
      </w:pPr>
    </w:p>
  </w:footnote>
  <w:footnote w:id="2">
    <w:p w14:paraId="00371AF8" w14:textId="09BFDA84" w:rsidR="00C217D1" w:rsidRPr="002733BF" w:rsidRDefault="00C217D1" w:rsidP="00C217D1">
      <w:r>
        <w:rPr>
          <w:rStyle w:val="FootnoteReference"/>
        </w:rPr>
        <w:footnoteRef/>
      </w:r>
      <w:r>
        <w:t xml:space="preserve"> A y</w:t>
      </w:r>
      <w:r w:rsidRPr="002733BF">
        <w:t xml:space="preserve">ounger individual is </w:t>
      </w:r>
      <w:r>
        <w:t>a person who is</w:t>
      </w:r>
      <w:r w:rsidRPr="002733BF">
        <w:t xml:space="preserve"> under 50 </w:t>
      </w:r>
      <w:r>
        <w:t xml:space="preserve">years old </w:t>
      </w:r>
      <w:r w:rsidRPr="002733BF">
        <w:t>for Aboriginal and Torres Strait Islander people</w:t>
      </w:r>
      <w:r>
        <w:t xml:space="preserve"> or</w:t>
      </w:r>
      <w:r w:rsidRPr="4C63B1E2">
        <w:t xml:space="preserve"> people who are homeless or at risk of homelessness</w:t>
      </w:r>
      <w:r w:rsidRPr="002733BF">
        <w:t xml:space="preserve"> or under 65 </w:t>
      </w:r>
      <w:r>
        <w:t>years old</w:t>
      </w:r>
      <w:r w:rsidRPr="002733BF">
        <w:t xml:space="preserve"> for all other</w:t>
      </w:r>
      <w:r>
        <w:t xml:space="preserve"> persons.</w:t>
      </w:r>
    </w:p>
    <w:p w14:paraId="5D124394" w14:textId="77777777" w:rsidR="00C217D1" w:rsidRPr="002733BF" w:rsidRDefault="00C217D1" w:rsidP="00C217D1"/>
    <w:p w14:paraId="20B77A68" w14:textId="77777777" w:rsidR="00C217D1" w:rsidRDefault="00C217D1" w:rsidP="00C217D1">
      <w:pPr>
        <w:pStyle w:val="FootnoteText"/>
      </w:pPr>
    </w:p>
  </w:footnote>
  <w:footnote w:id="3">
    <w:p w14:paraId="5F05C670" w14:textId="77777777" w:rsidR="00E656BE" w:rsidRPr="002733BF" w:rsidRDefault="00E656BE" w:rsidP="00E656BE">
      <w:r>
        <w:rPr>
          <w:rStyle w:val="FootnoteReference"/>
        </w:rPr>
        <w:footnoteRef/>
      </w:r>
      <w:r>
        <w:t xml:space="preserve"> A y</w:t>
      </w:r>
      <w:r w:rsidRPr="002733BF">
        <w:t xml:space="preserve">ounger individual is </w:t>
      </w:r>
      <w:r>
        <w:t>a person who is</w:t>
      </w:r>
      <w:r w:rsidRPr="002733BF">
        <w:t xml:space="preserve"> under 50 </w:t>
      </w:r>
      <w:r>
        <w:t xml:space="preserve">years old </w:t>
      </w:r>
      <w:r w:rsidRPr="002733BF">
        <w:t>for Aboriginal and Torres Strait Islander people</w:t>
      </w:r>
      <w:r>
        <w:t xml:space="preserve"> or</w:t>
      </w:r>
      <w:r w:rsidRPr="4C63B1E2">
        <w:t xml:space="preserve"> people who are homeless or at risk of homelessness</w:t>
      </w:r>
      <w:r w:rsidRPr="002733BF">
        <w:t xml:space="preserve"> or under 65 </w:t>
      </w:r>
      <w:r>
        <w:t>years old</w:t>
      </w:r>
      <w:r w:rsidRPr="002733BF">
        <w:t xml:space="preserve"> for all other</w:t>
      </w:r>
      <w:r>
        <w:t xml:space="preserve"> persons.</w:t>
      </w:r>
    </w:p>
    <w:p w14:paraId="7B9A9F6F" w14:textId="77777777" w:rsidR="00E656BE" w:rsidRPr="002733BF" w:rsidRDefault="00E656BE" w:rsidP="00E656BE"/>
    <w:p w14:paraId="75E362FA" w14:textId="77777777" w:rsidR="00E656BE" w:rsidRDefault="00E656BE" w:rsidP="00E656BE">
      <w:pPr>
        <w:pStyle w:val="FootnoteText"/>
      </w:pPr>
    </w:p>
  </w:footnote>
  <w:footnote w:id="4">
    <w:p w14:paraId="2E7B4866" w14:textId="77777777" w:rsidR="007A743C" w:rsidRPr="004E042F" w:rsidRDefault="007A743C" w:rsidP="007A743C">
      <w:pPr>
        <w:rPr>
          <w:rFonts w:ascii="Calibri" w:hAnsi="Calibri" w:cs="Calibri"/>
        </w:rPr>
      </w:pPr>
      <w:r>
        <w:rPr>
          <w:rStyle w:val="FootnoteReference"/>
        </w:rPr>
        <w:footnoteRef/>
      </w:r>
      <w:r>
        <w:t xml:space="preserve"> </w:t>
      </w:r>
      <w:r w:rsidRPr="7E512B5E">
        <w:rPr>
          <w:rFonts w:ascii="Calibri" w:hAnsi="Calibri" w:cs="Calibri"/>
        </w:rPr>
        <w:t>Metzelthin, S.F., Rostgaard, T., Parsons, M., &amp; Burton, E. (2020). Development of an internationally accepted definition of reablement: a Delphi study. </w:t>
      </w:r>
      <w:r w:rsidRPr="7E512B5E">
        <w:rPr>
          <w:rFonts w:ascii="Calibri" w:hAnsi="Calibri" w:cs="Calibri"/>
          <w:i/>
          <w:iCs/>
        </w:rPr>
        <w:t>Ageing and Society, 42</w:t>
      </w:r>
      <w:r w:rsidRPr="7E512B5E">
        <w:rPr>
          <w:rFonts w:ascii="Calibri" w:hAnsi="Calibri" w:cs="Calibri"/>
        </w:rPr>
        <w:t>, 703 - 718.</w:t>
      </w:r>
    </w:p>
    <w:p w14:paraId="4A954C78" w14:textId="77777777" w:rsidR="007A743C" w:rsidRPr="00D96163" w:rsidRDefault="007A743C" w:rsidP="007A743C">
      <w:pPr>
        <w:pStyle w:val="FootnoteText"/>
        <w:rPr>
          <w:lang w:val="en-AU"/>
        </w:rPr>
      </w:pPr>
    </w:p>
  </w:footnote>
  <w:footnote w:id="5">
    <w:p w14:paraId="018034AD" w14:textId="77777777" w:rsidR="006B6969" w:rsidRPr="008D5728" w:rsidRDefault="006B6969" w:rsidP="006B6969">
      <w:pPr>
        <w:pStyle w:val="FootnoteText"/>
        <w:rPr>
          <w:rFonts w:ascii="Aptos" w:hAnsi="Aptos"/>
        </w:rPr>
      </w:pPr>
      <w:r w:rsidRPr="008D5728">
        <w:rPr>
          <w:rStyle w:val="FootnoteReference"/>
          <w:rFonts w:ascii="Aptos" w:hAnsi="Aptos"/>
        </w:rPr>
        <w:footnoteRef/>
      </w:r>
      <w:r w:rsidRPr="008D5728">
        <w:rPr>
          <w:rFonts w:ascii="Aptos" w:hAnsi="Aptos"/>
        </w:rPr>
        <w:t xml:space="preserve"> Remembering that for this service type you will need to decide the individual service (or services) the older person needs and turn your mind to the reason why they need that particular service (or services).</w:t>
      </w:r>
    </w:p>
  </w:footnote>
  <w:footnote w:id="6">
    <w:p w14:paraId="5E3FD379" w14:textId="77777777" w:rsidR="0017689D" w:rsidRDefault="0017689D" w:rsidP="0017689D">
      <w:pPr>
        <w:pStyle w:val="FootnoteText"/>
      </w:pPr>
      <w:r>
        <w:rPr>
          <w:rStyle w:val="FootnoteReference"/>
        </w:rPr>
        <w:footnoteRef/>
      </w:r>
      <w:r>
        <w:t xml:space="preserve"> </w:t>
      </w:r>
      <w:r w:rsidRPr="008D5728">
        <w:rPr>
          <w:rFonts w:ascii="Aptos" w:hAnsi="Aptos"/>
        </w:rPr>
        <w:t>Remembering that for this service type you will need to decide the individual service (or services) the older person needs and turn your mind to the reason why they need that particular service (or services).</w:t>
      </w:r>
    </w:p>
  </w:footnote>
  <w:footnote w:id="7">
    <w:p w14:paraId="06658BA2" w14:textId="7863B30E" w:rsidR="0030130F" w:rsidRPr="00E157EE" w:rsidRDefault="0030130F">
      <w:pPr>
        <w:pStyle w:val="FootnoteText"/>
        <w:rPr>
          <w:lang w:val="en-AU"/>
        </w:rPr>
      </w:pPr>
      <w:r>
        <w:rPr>
          <w:rStyle w:val="FootnoteReference"/>
        </w:rPr>
        <w:footnoteRef/>
      </w:r>
      <w:r>
        <w:t xml:space="preserve"> </w:t>
      </w:r>
      <w:r w:rsidR="004329C9">
        <w:t xml:space="preserve">At the time of delegate approval, the referral code will not yet be available </w:t>
      </w:r>
      <w:r w:rsidR="004329C9" w:rsidRPr="004329C9">
        <w:t>when the older person is awaiting funding through the Support at Home</w:t>
      </w:r>
      <w:r w:rsidR="004A4504">
        <w:t xml:space="preserve">, </w:t>
      </w:r>
      <w:r w:rsidR="004329C9" w:rsidRPr="004329C9">
        <w:t>AT or HM Priority Systems</w:t>
      </w:r>
      <w:r w:rsidR="004329C9">
        <w:t>.</w:t>
      </w:r>
    </w:p>
  </w:footnote>
  <w:footnote w:id="8">
    <w:p w14:paraId="7E239479" w14:textId="1259849B" w:rsidR="00CE6C73" w:rsidRPr="00820EE5" w:rsidRDefault="00CE6C73">
      <w:pPr>
        <w:pStyle w:val="FootnoteText"/>
        <w:rPr>
          <w:sz w:val="16"/>
          <w:szCs w:val="16"/>
          <w:lang w:val="en-AU"/>
        </w:rPr>
      </w:pPr>
      <w:r w:rsidRPr="00820EE5">
        <w:rPr>
          <w:rStyle w:val="FootnoteReference"/>
          <w:sz w:val="16"/>
          <w:szCs w:val="16"/>
        </w:rPr>
        <w:footnoteRef/>
      </w:r>
      <w:r w:rsidRPr="00820EE5">
        <w:rPr>
          <w:sz w:val="16"/>
          <w:szCs w:val="16"/>
        </w:rPr>
        <w:t xml:space="preserve"> </w:t>
      </w:r>
      <w:r w:rsidR="001338C9" w:rsidRPr="00820EE5">
        <w:rPr>
          <w:rFonts w:eastAsia="Arial"/>
          <w:color w:val="000000" w:themeColor="text1"/>
          <w:sz w:val="16"/>
          <w:szCs w:val="16"/>
        </w:rPr>
        <w:t>A separate letter is required in this instance – see section 9.3.2 below for more information</w:t>
      </w:r>
    </w:p>
  </w:footnote>
  <w:footnote w:id="9">
    <w:p w14:paraId="09B458F1" w14:textId="529A6017" w:rsidR="001338C9" w:rsidRPr="00820EE5" w:rsidRDefault="001338C9" w:rsidP="00820EE5">
      <w:pPr>
        <w:spacing w:after="0" w:line="278" w:lineRule="auto"/>
        <w:rPr>
          <w:rFonts w:eastAsia="Arial"/>
          <w:sz w:val="16"/>
          <w:szCs w:val="16"/>
        </w:rPr>
      </w:pPr>
      <w:r w:rsidRPr="00820EE5">
        <w:rPr>
          <w:rStyle w:val="FootnoteReference"/>
          <w:sz w:val="16"/>
          <w:szCs w:val="16"/>
        </w:rPr>
        <w:footnoteRef/>
      </w:r>
      <w:r w:rsidRPr="00820EE5">
        <w:rPr>
          <w:rFonts w:eastAsia="Arial"/>
          <w:sz w:val="16"/>
          <w:szCs w:val="16"/>
        </w:rPr>
        <w:t xml:space="preserve"> The Aged Care Service List in Chapter 1, Part 3 of the </w:t>
      </w:r>
      <w:hyperlink r:id="rId1" w:history="1">
        <w:r w:rsidRPr="00820EE5">
          <w:rPr>
            <w:rStyle w:val="Hyperlink"/>
            <w:rFonts w:eastAsia="Arial"/>
            <w:i/>
            <w:sz w:val="16"/>
            <w:szCs w:val="16"/>
          </w:rPr>
          <w:t>Aged Care Rules 2025</w:t>
        </w:r>
      </w:hyperlink>
      <w:r w:rsidRPr="00820EE5">
        <w:rPr>
          <w:rFonts w:eastAsia="Arial"/>
          <w:sz w:val="16"/>
          <w:szCs w:val="16"/>
        </w:rPr>
        <w:t xml:space="preserve"> lists all the service types and services</w:t>
      </w:r>
    </w:p>
  </w:footnote>
  <w:footnote w:id="10">
    <w:p w14:paraId="2AFCD335" w14:textId="7B6DC4DB" w:rsidR="001338C9" w:rsidRPr="00820EE5" w:rsidRDefault="001338C9" w:rsidP="001338C9">
      <w:pPr>
        <w:spacing w:after="0" w:line="278" w:lineRule="auto"/>
        <w:rPr>
          <w:rFonts w:eastAsia="Arial"/>
          <w:sz w:val="16"/>
          <w:szCs w:val="16"/>
        </w:rPr>
      </w:pPr>
      <w:r w:rsidRPr="00820EE5">
        <w:rPr>
          <w:rStyle w:val="FootnoteReference"/>
          <w:sz w:val="16"/>
          <w:szCs w:val="16"/>
        </w:rPr>
        <w:footnoteRef/>
      </w:r>
      <w:r w:rsidRPr="00820EE5">
        <w:rPr>
          <w:rFonts w:eastAsia="Arial"/>
          <w:sz w:val="16"/>
          <w:szCs w:val="16"/>
        </w:rPr>
        <w:t xml:space="preserve">The older person’s Support Plan may not list all of the services the older person is actually approved for under the Act. For example, if the older person’s support plan shows they are only approved for the service ‘Laundry services’, they are actually approved under the Act for </w:t>
      </w:r>
      <w:r w:rsidRPr="00820EE5">
        <w:rPr>
          <w:rFonts w:eastAsia="Arial"/>
          <w:i/>
          <w:sz w:val="16"/>
          <w:szCs w:val="16"/>
        </w:rPr>
        <w:t>all</w:t>
      </w:r>
      <w:r w:rsidRPr="00820EE5">
        <w:rPr>
          <w:rFonts w:eastAsia="Arial"/>
          <w:sz w:val="16"/>
          <w:szCs w:val="16"/>
        </w:rPr>
        <w:t xml:space="preserve"> the services in the service type ‘Domestic assistance’ – including ‘General house cleaning’ and ‘shopping assistance’.</w:t>
      </w:r>
    </w:p>
    <w:p w14:paraId="008900D8" w14:textId="403F583E" w:rsidR="001338C9" w:rsidRPr="00820EE5" w:rsidRDefault="001338C9">
      <w:pPr>
        <w:pStyle w:val="FootnoteText"/>
        <w:rPr>
          <w:sz w:val="16"/>
          <w:szCs w:val="16"/>
          <w:lang w:val="en-AU"/>
        </w:rPr>
      </w:pPr>
    </w:p>
  </w:footnote>
  <w:footnote w:id="11">
    <w:p w14:paraId="08366863" w14:textId="42B18E2B" w:rsidR="0025183B" w:rsidRPr="000D77D9" w:rsidRDefault="00985922">
      <w:pPr>
        <w:pStyle w:val="FootnoteText"/>
        <w:rPr>
          <w:lang w:val="en-AU"/>
        </w:rPr>
      </w:pPr>
      <w:r w:rsidRPr="001F3915">
        <w:rPr>
          <w:rStyle w:val="FootnoteReference"/>
          <w:sz w:val="16"/>
          <w:szCs w:val="16"/>
        </w:rPr>
        <w:footnoteRef/>
      </w:r>
    </w:p>
    <w:p w14:paraId="70522283" w14:textId="41DA4FCA" w:rsidR="00985922" w:rsidRPr="001F3915" w:rsidRDefault="00985922">
      <w:pPr>
        <w:pStyle w:val="FootnoteText"/>
        <w:rPr>
          <w:sz w:val="16"/>
          <w:szCs w:val="16"/>
          <w:lang w:val="en-AU"/>
        </w:rPr>
      </w:pPr>
      <w:r w:rsidRPr="001F3915">
        <w:rPr>
          <w:sz w:val="16"/>
          <w:szCs w:val="16"/>
        </w:rPr>
        <w:t xml:space="preserve"> </w:t>
      </w:r>
      <w:r w:rsidR="00806F3C" w:rsidRPr="001F3915">
        <w:rPr>
          <w:rStyle w:val="normaltextrun"/>
          <w:rFonts w:eastAsiaTheme="minorEastAsia"/>
          <w:sz w:val="16"/>
          <w:szCs w:val="16"/>
          <w:lang w:val="en-US" w:eastAsia="ja-JP"/>
        </w:rPr>
        <w:t xml:space="preserve">Note that an approval for the Transition Care Program (TCP) </w:t>
      </w:r>
      <w:r w:rsidR="00163987" w:rsidRPr="001F3915">
        <w:rPr>
          <w:rStyle w:val="normaltextrun"/>
          <w:rFonts w:eastAsiaTheme="minorEastAsia"/>
          <w:sz w:val="16"/>
          <w:szCs w:val="16"/>
          <w:lang w:eastAsia="ja-JP"/>
        </w:rPr>
        <w:t>is an</w:t>
      </w:r>
      <w:r w:rsidR="00806F3C" w:rsidRPr="001F3915">
        <w:rPr>
          <w:rStyle w:val="normaltextrun"/>
          <w:rFonts w:eastAsiaTheme="minorEastAsia"/>
          <w:sz w:val="16"/>
          <w:szCs w:val="16"/>
          <w:lang w:eastAsia="ja-JP"/>
        </w:rPr>
        <w:t xml:space="preserve"> approval for three service groups under the Act: home support, assistive technology and residential care. An approval for TCP is always an approval for all three service groups, regardless of which TCP services are used.</w:t>
      </w:r>
    </w:p>
  </w:footnote>
  <w:footnote w:id="12">
    <w:p w14:paraId="21DAA88F" w14:textId="77777777" w:rsidR="00370263" w:rsidRPr="003E6C8D" w:rsidRDefault="00370263" w:rsidP="00370263">
      <w:pPr>
        <w:pStyle w:val="FootnoteText"/>
      </w:pPr>
      <w:r w:rsidRPr="003E6C8D">
        <w:rPr>
          <w:rStyle w:val="FootnoteReference"/>
        </w:rPr>
        <w:footnoteRef/>
      </w:r>
      <w:r w:rsidRPr="003E6C8D">
        <w:t xml:space="preserve"> Wellness Approach to Community Home Care Information Booklet July 2008 produced by the Western Australian </w:t>
      </w:r>
      <w:r>
        <w:t>Department</w:t>
      </w:r>
      <w:r w:rsidRPr="003E6C8D">
        <w:t xml:space="preserve">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F6BE" w14:textId="5DDC12F0" w:rsidR="00131731" w:rsidRDefault="00521113">
    <w:pPr>
      <w:pStyle w:val="Header"/>
    </w:pPr>
    <w:r>
      <w:rPr>
        <w:noProof/>
        <w14:ligatures w14:val="standardContextual"/>
      </w:rPr>
      <mc:AlternateContent>
        <mc:Choice Requires="wps">
          <w:drawing>
            <wp:anchor distT="0" distB="0" distL="0" distR="0" simplePos="0" relativeHeight="251658240" behindDoc="0" locked="0" layoutInCell="1" allowOverlap="1" wp14:anchorId="257732CE" wp14:editId="3481BB60">
              <wp:simplePos x="635" y="635"/>
              <wp:positionH relativeFrom="page">
                <wp:align>center</wp:align>
              </wp:positionH>
              <wp:positionV relativeFrom="page">
                <wp:align>top</wp:align>
              </wp:positionV>
              <wp:extent cx="552450" cy="390525"/>
              <wp:effectExtent l="0" t="0" r="0" b="9525"/>
              <wp:wrapNone/>
              <wp:docPr id="1796713410" name="Text Box 17967134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A0EB8C2" w14:textId="21D2F15A"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57732CE" id="_x0000_t202" coordsize="21600,21600" o:spt="202" path="m,l,21600r21600,l21600,xe">
              <v:stroke joinstyle="miter"/>
              <v:path gradientshapeok="t" o:connecttype="rect"/>
            </v:shapetype>
            <v:shape id="Text Box 1796713410" o:spid="_x0000_s1035" type="#_x0000_t202" alt="OFFICIAL" style="position:absolute;margin-left:0;margin-top:0;width:43.5pt;height:30.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7A0EB8C2" w14:textId="21D2F15A"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77B7" w14:textId="6BE1282A" w:rsidR="00370263" w:rsidRDefault="00370263">
    <w:pPr>
      <w:pStyle w:val="Header"/>
      <w:shd w:val="clear" w:color="auto" w:fill="auto"/>
    </w:pPr>
    <w:r>
      <w:rPr>
        <w:noProof/>
        <w14:ligatures w14:val="standardContextual"/>
      </w:rPr>
      <mc:AlternateContent>
        <mc:Choice Requires="wps">
          <w:drawing>
            <wp:anchor distT="0" distB="0" distL="0" distR="0" simplePos="0" relativeHeight="251658250" behindDoc="0" locked="0" layoutInCell="1" allowOverlap="1" wp14:anchorId="0F479B4C" wp14:editId="491D6BB4">
              <wp:simplePos x="635" y="635"/>
              <wp:positionH relativeFrom="page">
                <wp:align>center</wp:align>
              </wp:positionH>
              <wp:positionV relativeFrom="page">
                <wp:align>top</wp:align>
              </wp:positionV>
              <wp:extent cx="609600" cy="400050"/>
              <wp:effectExtent l="0" t="0" r="0" b="0"/>
              <wp:wrapNone/>
              <wp:docPr id="193986111" name="Text Box 193986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768F749"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479B4C" id="_x0000_t202" coordsize="21600,21600" o:spt="202" path="m,l,21600r21600,l21600,xe">
              <v:stroke joinstyle="miter"/>
              <v:path gradientshapeok="t" o:connecttype="rect"/>
            </v:shapetype>
            <v:shape id="Text Box 193986111" o:spid="_x0000_s1050" type="#_x0000_t202" alt="OFFICIAL" style="position:absolute;margin-left:0;margin-top:0;width:48pt;height:31.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CRb3q6DAIAAB0EAAAO&#10;AAAAAAAAAAAAAAAAAC4CAABkcnMvZTJvRG9jLnhtbFBLAQItABQABgAIAAAAIQBYOUk32QAAAAMB&#10;AAAPAAAAAAAAAAAAAAAAAGYEAABkcnMvZG93bnJldi54bWxQSwUGAAAAAAQABADzAAAAbAUAAAAA&#10;" filled="f" stroked="f">
              <v:textbox style="mso-fit-shape-to-text:t" inset="0,15pt,0,0">
                <w:txbxContent>
                  <w:p w14:paraId="2768F749"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99C3" w14:textId="65925D3D" w:rsidR="00370263" w:rsidRDefault="00370263">
    <w:pPr>
      <w:pStyle w:val="Header"/>
    </w:pPr>
    <w:r>
      <w:rPr>
        <w:noProof/>
        <w14:ligatures w14:val="standardContextual"/>
      </w:rPr>
      <mc:AlternateContent>
        <mc:Choice Requires="wps">
          <w:drawing>
            <wp:anchor distT="0" distB="0" distL="0" distR="0" simplePos="0" relativeHeight="251658253" behindDoc="0" locked="0" layoutInCell="1" allowOverlap="1" wp14:anchorId="5375395B" wp14:editId="53262C0D">
              <wp:simplePos x="635" y="635"/>
              <wp:positionH relativeFrom="page">
                <wp:align>center</wp:align>
              </wp:positionH>
              <wp:positionV relativeFrom="page">
                <wp:align>top</wp:align>
              </wp:positionV>
              <wp:extent cx="609600" cy="400050"/>
              <wp:effectExtent l="0" t="0" r="0" b="0"/>
              <wp:wrapNone/>
              <wp:docPr id="1625586670" name="Text Box 16255866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8EA3833"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375395B" id="_x0000_t202" coordsize="21600,21600" o:spt="202" path="m,l,21600r21600,l21600,xe">
              <v:stroke joinstyle="miter"/>
              <v:path gradientshapeok="t" o:connecttype="rect"/>
            </v:shapetype>
            <v:shape id="Text Box 1625586670" o:spid="_x0000_s1053" type="#_x0000_t202" alt="OFFICIAL" style="position:absolute;margin-left:0;margin-top:0;width:48pt;height:31.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Bh0OZHDAIAAB0EAAAO&#10;AAAAAAAAAAAAAAAAAC4CAABkcnMvZTJvRG9jLnhtbFBLAQItABQABgAIAAAAIQBYOUk32QAAAAMB&#10;AAAPAAAAAAAAAAAAAAAAAGYEAABkcnMvZG93bnJldi54bWxQSwUGAAAAAAQABADzAAAAbAUAAAAA&#10;" filled="f" stroked="f">
              <v:textbox style="mso-fit-shape-to-text:t" inset="0,15pt,0,0">
                <w:txbxContent>
                  <w:p w14:paraId="08EA3833"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562B" w14:textId="0BF55575" w:rsidR="00131731" w:rsidRDefault="00521113" w:rsidP="000514A4">
    <w:pPr>
      <w:pStyle w:val="Header"/>
      <w:shd w:val="clear" w:color="auto" w:fill="auto"/>
    </w:pPr>
    <w:r>
      <w:rPr>
        <w:noProof/>
        <w14:ligatures w14:val="standardContextual"/>
      </w:rPr>
      <mc:AlternateContent>
        <mc:Choice Requires="wps">
          <w:drawing>
            <wp:anchor distT="0" distB="0" distL="0" distR="0" simplePos="0" relativeHeight="251658242" behindDoc="0" locked="0" layoutInCell="1" allowOverlap="1" wp14:anchorId="34A0B41C" wp14:editId="22C1A522">
              <wp:simplePos x="635" y="635"/>
              <wp:positionH relativeFrom="page">
                <wp:align>center</wp:align>
              </wp:positionH>
              <wp:positionV relativeFrom="page">
                <wp:align>top</wp:align>
              </wp:positionV>
              <wp:extent cx="552450" cy="390525"/>
              <wp:effectExtent l="0" t="0" r="0" b="9525"/>
              <wp:wrapNone/>
              <wp:docPr id="719208490" name="Text Box 7192084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0F69920" w14:textId="2F5D20D7"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4A0B41C" id="_x0000_t202" coordsize="21600,21600" o:spt="202" path="m,l,21600r21600,l21600,xe">
              <v:stroke joinstyle="miter"/>
              <v:path gradientshapeok="t" o:connecttype="rect"/>
            </v:shapetype>
            <v:shape id="Text Box 719208490" o:spid="_x0000_s1037" type="#_x0000_t202" alt="OFFICIAL" style="position:absolute;margin-left:0;margin-top:0;width:43.5pt;height:30.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CSBIiWDAIAABwEAAAO&#10;AAAAAAAAAAAAAAAAAC4CAABkcnMvZTJvRG9jLnhtbFBLAQItABQABgAIAAAAIQBX5r+h2QAAAAMB&#10;AAAPAAAAAAAAAAAAAAAAAGYEAABkcnMvZG93bnJldi54bWxQSwUGAAAAAAQABADzAAAAbAUAAAAA&#10;" filled="f" stroked="f">
              <v:textbox style="mso-fit-shape-to-text:t" inset="0,15pt,0,0">
                <w:txbxContent>
                  <w:p w14:paraId="20F69920" w14:textId="2F5D20D7" w:rsidR="00521113" w:rsidRPr="004A5991" w:rsidRDefault="00521113" w:rsidP="004A5991">
                    <w:pPr>
                      <w:spacing w:after="0"/>
                      <w:rPr>
                        <w:rFonts w:ascii="Calibri" w:eastAsia="Calibri" w:hAnsi="Calibri" w:cs="Calibri"/>
                        <w:noProof/>
                        <w:color w:val="FF0000"/>
                      </w:rPr>
                    </w:pPr>
                    <w:r w:rsidRPr="004A5991">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022" w14:textId="0F0CE956" w:rsidR="00960A13" w:rsidRDefault="00960A13">
    <w:pPr>
      <w:pStyle w:val="Header"/>
    </w:pPr>
    <w:r>
      <w:rPr>
        <w:noProof/>
        <w14:ligatures w14:val="standardContextual"/>
      </w:rPr>
      <mc:AlternateContent>
        <mc:Choice Requires="wps">
          <w:drawing>
            <wp:anchor distT="0" distB="0" distL="0" distR="0" simplePos="0" relativeHeight="251658245" behindDoc="0" locked="0" layoutInCell="1" allowOverlap="1" wp14:anchorId="269285C5" wp14:editId="5E2293A2">
              <wp:simplePos x="635" y="635"/>
              <wp:positionH relativeFrom="page">
                <wp:align>center</wp:align>
              </wp:positionH>
              <wp:positionV relativeFrom="page">
                <wp:align>top</wp:align>
              </wp:positionV>
              <wp:extent cx="551815" cy="391160"/>
              <wp:effectExtent l="0" t="0" r="635" b="8890"/>
              <wp:wrapNone/>
              <wp:docPr id="738340079" name="Text Box 7383400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7AF1E0D"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69285C5" id="_x0000_t202" coordsize="21600,21600" o:spt="202" path="m,l,21600r21600,l21600,xe">
              <v:stroke joinstyle="miter"/>
              <v:path gradientshapeok="t" o:connecttype="rect"/>
            </v:shapetype>
            <v:shape id="Text Box 738340079" o:spid="_x0000_s1039"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67AF1E0D"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7892" w14:textId="7D60392B" w:rsidR="00960A13" w:rsidRDefault="00960A13">
    <w:r>
      <w:rPr>
        <w:noProof/>
      </w:rPr>
      <mc:AlternateContent>
        <mc:Choice Requires="wps">
          <w:drawing>
            <wp:anchor distT="0" distB="0" distL="0" distR="0" simplePos="0" relativeHeight="251658246" behindDoc="0" locked="0" layoutInCell="1" allowOverlap="1" wp14:anchorId="6F86891D" wp14:editId="17470085">
              <wp:simplePos x="635" y="635"/>
              <wp:positionH relativeFrom="page">
                <wp:align>center</wp:align>
              </wp:positionH>
              <wp:positionV relativeFrom="page">
                <wp:align>top</wp:align>
              </wp:positionV>
              <wp:extent cx="551815" cy="391160"/>
              <wp:effectExtent l="0" t="0" r="635" b="8890"/>
              <wp:wrapNone/>
              <wp:docPr id="550837615" name="Text Box 550837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2C44EB"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86891D" id="_x0000_t202" coordsize="21600,21600" o:spt="202" path="m,l,21600r21600,l21600,xe">
              <v:stroke joinstyle="miter"/>
              <v:path gradientshapeok="t" o:connecttype="rect"/>
            </v:shapetype>
            <v:shape id="Text Box 550837615" o:spid="_x0000_s1040"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392C44EB"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7263" w14:textId="56762F99" w:rsidR="00960A13" w:rsidRDefault="00960A13">
    <w:pPr>
      <w:pStyle w:val="Header"/>
    </w:pPr>
    <w:r>
      <w:rPr>
        <w:noProof/>
        <w14:ligatures w14:val="standardContextual"/>
      </w:rPr>
      <mc:AlternateContent>
        <mc:Choice Requires="wps">
          <w:drawing>
            <wp:anchor distT="0" distB="0" distL="0" distR="0" simplePos="0" relativeHeight="251658244" behindDoc="0" locked="0" layoutInCell="1" allowOverlap="1" wp14:anchorId="125912B5" wp14:editId="7E2F7068">
              <wp:simplePos x="635" y="635"/>
              <wp:positionH relativeFrom="page">
                <wp:align>center</wp:align>
              </wp:positionH>
              <wp:positionV relativeFrom="page">
                <wp:align>top</wp:align>
              </wp:positionV>
              <wp:extent cx="551815" cy="391160"/>
              <wp:effectExtent l="0" t="0" r="635" b="8890"/>
              <wp:wrapNone/>
              <wp:docPr id="1675902243" name="Text Box 1675902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4AFECB4"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25912B5" id="_x0000_t202" coordsize="21600,21600" o:spt="202" path="m,l,21600r21600,l21600,xe">
              <v:stroke joinstyle="miter"/>
              <v:path gradientshapeok="t" o:connecttype="rect"/>
            </v:shapetype>
            <v:shape id="Text Box 1675902243" o:spid="_x0000_s1042"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74AFECB4" w14:textId="77777777" w:rsidR="00960A13" w:rsidRPr="002227C8" w:rsidRDefault="00960A13">
                    <w:pPr>
                      <w:spacing w:after="0"/>
                      <w:rPr>
                        <w:rFonts w:ascii="Calibri" w:eastAsia="Calibri" w:hAnsi="Calibri" w:cs="Calibri"/>
                        <w:noProof/>
                        <w:color w:val="FF0000"/>
                      </w:rPr>
                    </w:pPr>
                    <w:r w:rsidRPr="002227C8">
                      <w:rPr>
                        <w:rFonts w:ascii="Calibri" w:eastAsia="Calibri" w:hAnsi="Calibri" w:cs="Calibri"/>
                        <w:noProof/>
                        <w:color w:val="FF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31CE" w14:textId="5368380F" w:rsidR="00370263" w:rsidRDefault="00370263">
    <w:pPr>
      <w:pStyle w:val="Header"/>
    </w:pPr>
    <w:r>
      <w:rPr>
        <w:noProof/>
        <w14:ligatures w14:val="standardContextual"/>
      </w:rPr>
      <mc:AlternateContent>
        <mc:Choice Requires="wps">
          <w:drawing>
            <wp:anchor distT="0" distB="0" distL="0" distR="0" simplePos="0" relativeHeight="251658255" behindDoc="0" locked="0" layoutInCell="1" allowOverlap="1" wp14:anchorId="54A65A88" wp14:editId="0CEC0168">
              <wp:simplePos x="635" y="635"/>
              <wp:positionH relativeFrom="page">
                <wp:align>center</wp:align>
              </wp:positionH>
              <wp:positionV relativeFrom="page">
                <wp:align>top</wp:align>
              </wp:positionV>
              <wp:extent cx="609600" cy="400050"/>
              <wp:effectExtent l="0" t="0" r="0" b="0"/>
              <wp:wrapNone/>
              <wp:docPr id="403671860" name="Text Box 4036718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5C81467F"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4A65A88" id="_x0000_t202" coordsize="21600,21600" o:spt="202" path="m,l,21600r21600,l21600,xe">
              <v:stroke joinstyle="miter"/>
              <v:path gradientshapeok="t" o:connecttype="rect"/>
            </v:shapetype>
            <v:shape id="Text Box 403671860" o:spid="_x0000_s1044" type="#_x0000_t202" alt="OFFICIAL" style="position:absolute;margin-left:0;margin-top:0;width:48pt;height:31.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BJxOREDAIAABwEAAAO&#10;AAAAAAAAAAAAAAAAAC4CAABkcnMvZTJvRG9jLnhtbFBLAQItABQABgAIAAAAIQBYOUk32QAAAAMB&#10;AAAPAAAAAAAAAAAAAAAAAGYEAABkcnMvZG93bnJldi54bWxQSwUGAAAAAAQABADzAAAAbAUAAAAA&#10;" filled="f" stroked="f">
              <v:textbox style="mso-fit-shape-to-text:t" inset="0,15pt,0,0">
                <w:txbxContent>
                  <w:p w14:paraId="5C81467F"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F7B2" w14:textId="603B7F60" w:rsidR="00370263" w:rsidRPr="00F007CF" w:rsidRDefault="00370263">
    <w:r w:rsidRPr="00F007CF">
      <w:rPr>
        <w:noProof/>
      </w:rPr>
      <mc:AlternateContent>
        <mc:Choice Requires="wps">
          <w:drawing>
            <wp:anchor distT="0" distB="0" distL="0" distR="0" simplePos="0" relativeHeight="251658256" behindDoc="0" locked="0" layoutInCell="1" allowOverlap="1" wp14:anchorId="54FE98C5" wp14:editId="46379AED">
              <wp:simplePos x="635" y="635"/>
              <wp:positionH relativeFrom="page">
                <wp:align>center</wp:align>
              </wp:positionH>
              <wp:positionV relativeFrom="page">
                <wp:align>top</wp:align>
              </wp:positionV>
              <wp:extent cx="609600" cy="400050"/>
              <wp:effectExtent l="0" t="0" r="0" b="0"/>
              <wp:wrapNone/>
              <wp:docPr id="1108768436" name="Text Box 11087684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7EDF0A0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4FE98C5" id="_x0000_t202" coordsize="21600,21600" o:spt="202" path="m,l,21600r21600,l21600,xe">
              <v:stroke joinstyle="miter"/>
              <v:path gradientshapeok="t" o:connecttype="rect"/>
            </v:shapetype>
            <v:shape id="Text Box 1108768436" o:spid="_x0000_s1045" type="#_x0000_t202" alt="OFFICIAL" style="position:absolute;margin-left:0;margin-top:0;width:48pt;height:31.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" filled="f" stroked="f">
              <v:textbox style="mso-fit-shape-to-text:t" inset="0,15pt,0,0">
                <w:txbxContent>
                  <w:p w14:paraId="7EDF0A0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070C" w14:textId="6F7E17E9" w:rsidR="00370263" w:rsidRDefault="00370263">
    <w:pPr>
      <w:pStyle w:val="Header"/>
    </w:pPr>
    <w:r>
      <w:rPr>
        <w:noProof/>
        <w14:ligatures w14:val="standardContextual"/>
      </w:rPr>
      <mc:AlternateContent>
        <mc:Choice Requires="wps">
          <w:drawing>
            <wp:anchor distT="0" distB="0" distL="0" distR="0" simplePos="0" relativeHeight="251658258" behindDoc="0" locked="0" layoutInCell="1" allowOverlap="1" wp14:anchorId="4D79C8E3" wp14:editId="541C98A9">
              <wp:simplePos x="635" y="635"/>
              <wp:positionH relativeFrom="page">
                <wp:align>center</wp:align>
              </wp:positionH>
              <wp:positionV relativeFrom="page">
                <wp:align>top</wp:align>
              </wp:positionV>
              <wp:extent cx="609600" cy="400050"/>
              <wp:effectExtent l="0" t="0" r="0" b="0"/>
              <wp:wrapNone/>
              <wp:docPr id="1089323015" name="Text Box 10893230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1CEDF3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D79C8E3" id="_x0000_t202" coordsize="21600,21600" o:spt="202" path="m,l,21600r21600,l21600,xe">
              <v:stroke joinstyle="miter"/>
              <v:path gradientshapeok="t" o:connecttype="rect"/>
            </v:shapetype>
            <v:shape id="Text Box 1089323015" o:spid="_x0000_s1047" type="#_x0000_t202" alt="OFFICIAL" style="position:absolute;margin-left:0;margin-top:0;width:48pt;height:31.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CSU2cKDAIAAB0EAAAO&#10;AAAAAAAAAAAAAAAAAC4CAABkcnMvZTJvRG9jLnhtbFBLAQItABQABgAIAAAAIQBYOUk32QAAAAMB&#10;AAAPAAAAAAAAAAAAAAAAAGYEAABkcnMvZG93bnJldi54bWxQSwUGAAAAAAQABADzAAAAbAUAAAAA&#10;" filled="f" stroked="f">
              <v:textbox style="mso-fit-shape-to-text:t" inset="0,15pt,0,0">
                <w:txbxContent>
                  <w:p w14:paraId="1CEDF368"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9907" w14:textId="3B0FE56C" w:rsidR="00370263" w:rsidRDefault="00370263">
    <w:pPr>
      <w:pStyle w:val="Header"/>
    </w:pPr>
    <w:r>
      <w:rPr>
        <w:noProof/>
        <w14:ligatures w14:val="standardContextual"/>
      </w:rPr>
      <mc:AlternateContent>
        <mc:Choice Requires="wps">
          <w:drawing>
            <wp:anchor distT="0" distB="0" distL="0" distR="0" simplePos="0" relativeHeight="251658249" behindDoc="0" locked="0" layoutInCell="1" allowOverlap="1" wp14:anchorId="45FB8CCD" wp14:editId="5E5573C8">
              <wp:simplePos x="635" y="635"/>
              <wp:positionH relativeFrom="page">
                <wp:align>center</wp:align>
              </wp:positionH>
              <wp:positionV relativeFrom="page">
                <wp:align>top</wp:align>
              </wp:positionV>
              <wp:extent cx="609600" cy="400050"/>
              <wp:effectExtent l="0" t="0" r="0" b="0"/>
              <wp:wrapNone/>
              <wp:docPr id="1459020805" name="Text Box 14590208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72FF4F7"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5FB8CCD" id="_x0000_t202" coordsize="21600,21600" o:spt="202" path="m,l,21600r21600,l21600,xe">
              <v:stroke joinstyle="miter"/>
              <v:path gradientshapeok="t" o:connecttype="rect"/>
            </v:shapetype>
            <v:shape id="Text Box 1459020805" o:spid="_x0000_s1049" type="#_x0000_t202" alt="OFFICIAL" style="position:absolute;margin-left:0;margin-top:0;width:48pt;height:31.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D80MiHDAIAAB0EAAAO&#10;AAAAAAAAAAAAAAAAAC4CAABkcnMvZTJvRG9jLnhtbFBLAQItABQABgAIAAAAIQBYOUk32QAAAAMB&#10;AAAPAAAAAAAAAAAAAAAAAGYEAABkcnMvZG93bnJldi54bWxQSwUGAAAAAAQABADzAAAAbAUAAAAA&#10;" filled="f" stroked="f">
              <v:textbox style="mso-fit-shape-to-text:t" inset="0,15pt,0,0">
                <w:txbxContent>
                  <w:p w14:paraId="372FF4F7" w14:textId="77777777" w:rsidR="00370263" w:rsidRPr="00C77199" w:rsidRDefault="00370263">
                    <w:pPr>
                      <w:spacing w:after="0"/>
                      <w:rPr>
                        <w:rFonts w:ascii="Aptos" w:eastAsia="Aptos" w:hAnsi="Aptos" w:cs="Aptos"/>
                        <w:noProof/>
                        <w:color w:val="FF0000"/>
                      </w:rPr>
                    </w:pPr>
                    <w:r w:rsidRPr="00C77199">
                      <w:rPr>
                        <w:rFonts w:ascii="Aptos" w:eastAsia="Aptos" w:hAnsi="Aptos" w:cs="Aptos"/>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ByidkXaRxGvMx" int2:id="e6ovHhR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E92171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1F05B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657F6"/>
    <w:multiLevelType w:val="multilevel"/>
    <w:tmpl w:val="BAC24BA8"/>
    <w:lvl w:ilvl="0">
      <w:start w:val="1"/>
      <w:numFmt w:val="decimal"/>
      <w:lvlText w:val="%1."/>
      <w:lvlJc w:val="left"/>
      <w:pPr>
        <w:ind w:left="1414" w:hanging="1134"/>
      </w:pPr>
      <w:rPr>
        <w:rFonts w:hint="default"/>
        <w:spacing w:val="0"/>
        <w:w w:val="99"/>
        <w:lang w:val="en-US" w:eastAsia="en-US" w:bidi="ar-SA"/>
      </w:rPr>
    </w:lvl>
    <w:lvl w:ilvl="1">
      <w:start w:val="1"/>
      <w:numFmt w:val="decimal"/>
      <w:lvlText w:val="%1.%2"/>
      <w:lvlJc w:val="left"/>
      <w:pPr>
        <w:ind w:left="1414" w:hanging="1135"/>
      </w:pPr>
      <w:rPr>
        <w:rFonts w:ascii="Calibri" w:hAnsi="Calibri" w:hint="default"/>
        <w:b/>
        <w:bCs/>
        <w:i w:val="0"/>
        <w:iCs w:val="0"/>
        <w:spacing w:val="0"/>
        <w:w w:val="99"/>
        <w:sz w:val="22"/>
        <w:szCs w:val="22"/>
        <w:lang w:val="en-US" w:eastAsia="en-US" w:bidi="ar-SA"/>
      </w:rPr>
    </w:lvl>
    <w:lvl w:ilvl="2">
      <w:start w:val="1"/>
      <w:numFmt w:val="bullet"/>
      <w:lvlText w:val=""/>
      <w:lvlJc w:val="left"/>
      <w:pPr>
        <w:ind w:left="720" w:hanging="360"/>
      </w:pPr>
      <w:rPr>
        <w:rFonts w:ascii="Symbol" w:hAnsi="Symbol" w:hint="default"/>
      </w:rPr>
    </w:lvl>
    <w:lvl w:ilvl="3">
      <w:start w:val="1"/>
      <w:numFmt w:val="lowerLetter"/>
      <w:lvlText w:val="(%4)"/>
      <w:lvlJc w:val="left"/>
      <w:pPr>
        <w:ind w:left="2264" w:hanging="851"/>
      </w:pPr>
      <w:rPr>
        <w:rFonts w:ascii="Calibri" w:hAnsi="Calibri" w:hint="default"/>
        <w:b w:val="0"/>
        <w:bCs w:val="0"/>
        <w:i w:val="0"/>
        <w:iCs w:val="0"/>
        <w:spacing w:val="0"/>
        <w:w w:val="99"/>
        <w:sz w:val="22"/>
        <w:szCs w:val="22"/>
        <w:lang w:val="en-US" w:eastAsia="en-US" w:bidi="ar-SA"/>
      </w:rPr>
    </w:lvl>
    <w:lvl w:ilvl="4">
      <w:start w:val="1"/>
      <w:numFmt w:val="lowerRoman"/>
      <w:lvlText w:val="(%5)"/>
      <w:lvlJc w:val="left"/>
      <w:pPr>
        <w:ind w:left="3115" w:hanging="851"/>
      </w:pPr>
      <w:rPr>
        <w:rFonts w:ascii="Calibri" w:hAnsi="Calibri" w:hint="default"/>
        <w:b w:val="0"/>
        <w:bCs w:val="0"/>
        <w:i w:val="0"/>
        <w:iCs w:val="0"/>
        <w:spacing w:val="-1"/>
        <w:w w:val="99"/>
        <w:sz w:val="22"/>
        <w:szCs w:val="22"/>
        <w:lang w:val="en-US" w:eastAsia="en-US" w:bidi="ar-SA"/>
      </w:rPr>
    </w:lvl>
    <w:lvl w:ilvl="5">
      <w:numFmt w:val="bullet"/>
      <w:lvlText w:val="•"/>
      <w:lvlJc w:val="left"/>
      <w:pPr>
        <w:ind w:left="4214" w:hanging="851"/>
      </w:pPr>
      <w:rPr>
        <w:rFonts w:hint="default"/>
        <w:lang w:val="en-US" w:eastAsia="en-US" w:bidi="ar-SA"/>
      </w:rPr>
    </w:lvl>
    <w:lvl w:ilvl="6">
      <w:numFmt w:val="bullet"/>
      <w:lvlText w:val="•"/>
      <w:lvlJc w:val="left"/>
      <w:pPr>
        <w:ind w:left="5308" w:hanging="851"/>
      </w:pPr>
      <w:rPr>
        <w:rFonts w:hint="default"/>
        <w:lang w:val="en-US" w:eastAsia="en-US" w:bidi="ar-SA"/>
      </w:rPr>
    </w:lvl>
    <w:lvl w:ilvl="7">
      <w:numFmt w:val="bullet"/>
      <w:lvlText w:val="•"/>
      <w:lvlJc w:val="left"/>
      <w:pPr>
        <w:ind w:left="6403" w:hanging="851"/>
      </w:pPr>
      <w:rPr>
        <w:rFonts w:hint="default"/>
        <w:lang w:val="en-US" w:eastAsia="en-US" w:bidi="ar-SA"/>
      </w:rPr>
    </w:lvl>
    <w:lvl w:ilvl="8">
      <w:numFmt w:val="bullet"/>
      <w:lvlText w:val="•"/>
      <w:lvlJc w:val="left"/>
      <w:pPr>
        <w:ind w:left="7497" w:hanging="851"/>
      </w:pPr>
      <w:rPr>
        <w:rFonts w:hint="default"/>
        <w:lang w:val="en-US" w:eastAsia="en-US" w:bidi="ar-SA"/>
      </w:rPr>
    </w:lvl>
  </w:abstractNum>
  <w:abstractNum w:abstractNumId="3" w15:restartNumberingAfterBreak="0">
    <w:nsid w:val="002E1F59"/>
    <w:multiLevelType w:val="multilevel"/>
    <w:tmpl w:val="C366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5E520F"/>
    <w:multiLevelType w:val="multilevel"/>
    <w:tmpl w:val="A35EF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9A31E8"/>
    <w:multiLevelType w:val="multilevel"/>
    <w:tmpl w:val="8BE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09A35B0"/>
    <w:multiLevelType w:val="hybridMultilevel"/>
    <w:tmpl w:val="87D0B156"/>
    <w:lvl w:ilvl="0" w:tplc="5DAAA272">
      <w:start w:val="1"/>
      <w:numFmt w:val="bullet"/>
      <w:lvlText w:val=""/>
      <w:lvlJc w:val="left"/>
      <w:pPr>
        <w:ind w:left="3338" w:hanging="360"/>
      </w:pPr>
      <w:rPr>
        <w:rFonts w:ascii="Symbol" w:hAnsi="Symbol" w:hint="default"/>
        <w:color w:val="auto"/>
      </w:rPr>
    </w:lvl>
    <w:lvl w:ilvl="1" w:tplc="76A0432C">
      <w:start w:val="1"/>
      <w:numFmt w:val="bullet"/>
      <w:lvlText w:val="o"/>
      <w:lvlJc w:val="left"/>
      <w:pPr>
        <w:ind w:left="4342" w:hanging="360"/>
      </w:pPr>
      <w:rPr>
        <w:rFonts w:ascii="Courier New" w:hAnsi="Courier New" w:hint="default"/>
      </w:rPr>
    </w:lvl>
    <w:lvl w:ilvl="2" w:tplc="56100552">
      <w:start w:val="1"/>
      <w:numFmt w:val="bullet"/>
      <w:lvlText w:val=""/>
      <w:lvlJc w:val="left"/>
      <w:pPr>
        <w:ind w:left="5062" w:hanging="360"/>
      </w:pPr>
      <w:rPr>
        <w:rFonts w:ascii="Wingdings" w:hAnsi="Wingdings" w:hint="default"/>
      </w:rPr>
    </w:lvl>
    <w:lvl w:ilvl="3" w:tplc="80966CCE" w:tentative="1">
      <w:start w:val="1"/>
      <w:numFmt w:val="bullet"/>
      <w:lvlText w:val=""/>
      <w:lvlJc w:val="left"/>
      <w:pPr>
        <w:ind w:left="5782" w:hanging="360"/>
      </w:pPr>
      <w:rPr>
        <w:rFonts w:ascii="Symbol" w:hAnsi="Symbol" w:hint="default"/>
      </w:rPr>
    </w:lvl>
    <w:lvl w:ilvl="4" w:tplc="A2040A0E" w:tentative="1">
      <w:start w:val="1"/>
      <w:numFmt w:val="bullet"/>
      <w:lvlText w:val="o"/>
      <w:lvlJc w:val="left"/>
      <w:pPr>
        <w:ind w:left="6502" w:hanging="360"/>
      </w:pPr>
      <w:rPr>
        <w:rFonts w:ascii="Courier New" w:hAnsi="Courier New" w:hint="default"/>
      </w:rPr>
    </w:lvl>
    <w:lvl w:ilvl="5" w:tplc="12C214D2" w:tentative="1">
      <w:start w:val="1"/>
      <w:numFmt w:val="bullet"/>
      <w:lvlText w:val=""/>
      <w:lvlJc w:val="left"/>
      <w:pPr>
        <w:ind w:left="7222" w:hanging="360"/>
      </w:pPr>
      <w:rPr>
        <w:rFonts w:ascii="Wingdings" w:hAnsi="Wingdings" w:hint="default"/>
      </w:rPr>
    </w:lvl>
    <w:lvl w:ilvl="6" w:tplc="23EEE6E4" w:tentative="1">
      <w:start w:val="1"/>
      <w:numFmt w:val="bullet"/>
      <w:lvlText w:val=""/>
      <w:lvlJc w:val="left"/>
      <w:pPr>
        <w:ind w:left="7942" w:hanging="360"/>
      </w:pPr>
      <w:rPr>
        <w:rFonts w:ascii="Symbol" w:hAnsi="Symbol" w:hint="default"/>
      </w:rPr>
    </w:lvl>
    <w:lvl w:ilvl="7" w:tplc="487400E0" w:tentative="1">
      <w:start w:val="1"/>
      <w:numFmt w:val="bullet"/>
      <w:lvlText w:val="o"/>
      <w:lvlJc w:val="left"/>
      <w:pPr>
        <w:ind w:left="8662" w:hanging="360"/>
      </w:pPr>
      <w:rPr>
        <w:rFonts w:ascii="Courier New" w:hAnsi="Courier New" w:hint="default"/>
      </w:rPr>
    </w:lvl>
    <w:lvl w:ilvl="8" w:tplc="F5D0F546" w:tentative="1">
      <w:start w:val="1"/>
      <w:numFmt w:val="bullet"/>
      <w:lvlText w:val=""/>
      <w:lvlJc w:val="left"/>
      <w:pPr>
        <w:ind w:left="9382" w:hanging="360"/>
      </w:pPr>
      <w:rPr>
        <w:rFonts w:ascii="Wingdings" w:hAnsi="Wingdings" w:hint="default"/>
      </w:rPr>
    </w:lvl>
  </w:abstractNum>
  <w:abstractNum w:abstractNumId="7" w15:restartNumberingAfterBreak="0">
    <w:nsid w:val="01106C2F"/>
    <w:multiLevelType w:val="hybridMultilevel"/>
    <w:tmpl w:val="415480A8"/>
    <w:lvl w:ilvl="0" w:tplc="7D360636">
      <w:start w:val="1"/>
      <w:numFmt w:val="bullet"/>
      <w:lvlText w:val="o"/>
      <w:lvlJc w:val="left"/>
      <w:pPr>
        <w:ind w:left="1080" w:hanging="360"/>
      </w:pPr>
      <w:rPr>
        <w:rFonts w:ascii="Courier New" w:hAnsi="Courier New" w:hint="default"/>
      </w:rPr>
    </w:lvl>
    <w:lvl w:ilvl="1" w:tplc="B184C9A6" w:tentative="1">
      <w:start w:val="1"/>
      <w:numFmt w:val="bullet"/>
      <w:lvlText w:val="o"/>
      <w:lvlJc w:val="left"/>
      <w:pPr>
        <w:ind w:left="1800" w:hanging="360"/>
      </w:pPr>
      <w:rPr>
        <w:rFonts w:ascii="Courier New" w:hAnsi="Courier New" w:hint="default"/>
      </w:rPr>
    </w:lvl>
    <w:lvl w:ilvl="2" w:tplc="8996D158" w:tentative="1">
      <w:start w:val="1"/>
      <w:numFmt w:val="bullet"/>
      <w:lvlText w:val=""/>
      <w:lvlJc w:val="left"/>
      <w:pPr>
        <w:ind w:left="2520" w:hanging="360"/>
      </w:pPr>
      <w:rPr>
        <w:rFonts w:ascii="Wingdings" w:hAnsi="Wingdings" w:hint="default"/>
      </w:rPr>
    </w:lvl>
    <w:lvl w:ilvl="3" w:tplc="A6720E60" w:tentative="1">
      <w:start w:val="1"/>
      <w:numFmt w:val="bullet"/>
      <w:lvlText w:val=""/>
      <w:lvlJc w:val="left"/>
      <w:pPr>
        <w:ind w:left="3240" w:hanging="360"/>
      </w:pPr>
      <w:rPr>
        <w:rFonts w:ascii="Symbol" w:hAnsi="Symbol" w:hint="default"/>
      </w:rPr>
    </w:lvl>
    <w:lvl w:ilvl="4" w:tplc="BB66E2CA" w:tentative="1">
      <w:start w:val="1"/>
      <w:numFmt w:val="bullet"/>
      <w:lvlText w:val="o"/>
      <w:lvlJc w:val="left"/>
      <w:pPr>
        <w:ind w:left="3960" w:hanging="360"/>
      </w:pPr>
      <w:rPr>
        <w:rFonts w:ascii="Courier New" w:hAnsi="Courier New" w:hint="default"/>
      </w:rPr>
    </w:lvl>
    <w:lvl w:ilvl="5" w:tplc="01649CF4" w:tentative="1">
      <w:start w:val="1"/>
      <w:numFmt w:val="bullet"/>
      <w:lvlText w:val=""/>
      <w:lvlJc w:val="left"/>
      <w:pPr>
        <w:ind w:left="4680" w:hanging="360"/>
      </w:pPr>
      <w:rPr>
        <w:rFonts w:ascii="Wingdings" w:hAnsi="Wingdings" w:hint="default"/>
      </w:rPr>
    </w:lvl>
    <w:lvl w:ilvl="6" w:tplc="DB306EA0" w:tentative="1">
      <w:start w:val="1"/>
      <w:numFmt w:val="bullet"/>
      <w:lvlText w:val=""/>
      <w:lvlJc w:val="left"/>
      <w:pPr>
        <w:ind w:left="5400" w:hanging="360"/>
      </w:pPr>
      <w:rPr>
        <w:rFonts w:ascii="Symbol" w:hAnsi="Symbol" w:hint="default"/>
      </w:rPr>
    </w:lvl>
    <w:lvl w:ilvl="7" w:tplc="5FC0B246" w:tentative="1">
      <w:start w:val="1"/>
      <w:numFmt w:val="bullet"/>
      <w:lvlText w:val="o"/>
      <w:lvlJc w:val="left"/>
      <w:pPr>
        <w:ind w:left="6120" w:hanging="360"/>
      </w:pPr>
      <w:rPr>
        <w:rFonts w:ascii="Courier New" w:hAnsi="Courier New" w:hint="default"/>
      </w:rPr>
    </w:lvl>
    <w:lvl w:ilvl="8" w:tplc="CCF46778" w:tentative="1">
      <w:start w:val="1"/>
      <w:numFmt w:val="bullet"/>
      <w:lvlText w:val=""/>
      <w:lvlJc w:val="left"/>
      <w:pPr>
        <w:ind w:left="6840" w:hanging="360"/>
      </w:pPr>
      <w:rPr>
        <w:rFonts w:ascii="Wingdings" w:hAnsi="Wingdings" w:hint="default"/>
      </w:rPr>
    </w:lvl>
  </w:abstractNum>
  <w:abstractNum w:abstractNumId="8" w15:restartNumberingAfterBreak="0">
    <w:nsid w:val="01846114"/>
    <w:multiLevelType w:val="hybridMultilevel"/>
    <w:tmpl w:val="32EA8508"/>
    <w:lvl w:ilvl="0" w:tplc="FFFFFFFF">
      <w:start w:val="1"/>
      <w:numFmt w:val="bullet"/>
      <w:lvlText w:val="·"/>
      <w:lvlJc w:val="left"/>
      <w:pPr>
        <w:ind w:left="720" w:hanging="360"/>
      </w:pPr>
      <w:rPr>
        <w:rFonts w:ascii="Symbol" w:hAnsi="Symbol" w:hint="default"/>
      </w:rPr>
    </w:lvl>
    <w:lvl w:ilvl="1" w:tplc="9EB61CA6" w:tentative="1">
      <w:start w:val="1"/>
      <w:numFmt w:val="bullet"/>
      <w:lvlText w:val="o"/>
      <w:lvlJc w:val="left"/>
      <w:pPr>
        <w:ind w:left="1440" w:hanging="360"/>
      </w:pPr>
      <w:rPr>
        <w:rFonts w:ascii="Courier New" w:hAnsi="Courier New" w:hint="default"/>
      </w:rPr>
    </w:lvl>
    <w:lvl w:ilvl="2" w:tplc="5240B6FC" w:tentative="1">
      <w:start w:val="1"/>
      <w:numFmt w:val="bullet"/>
      <w:lvlText w:val=""/>
      <w:lvlJc w:val="left"/>
      <w:pPr>
        <w:ind w:left="2160" w:hanging="360"/>
      </w:pPr>
      <w:rPr>
        <w:rFonts w:ascii="Wingdings" w:hAnsi="Wingdings" w:hint="default"/>
      </w:rPr>
    </w:lvl>
    <w:lvl w:ilvl="3" w:tplc="911091E8" w:tentative="1">
      <w:start w:val="1"/>
      <w:numFmt w:val="bullet"/>
      <w:lvlText w:val=""/>
      <w:lvlJc w:val="left"/>
      <w:pPr>
        <w:ind w:left="2880" w:hanging="360"/>
      </w:pPr>
      <w:rPr>
        <w:rFonts w:ascii="Symbol" w:hAnsi="Symbol" w:hint="default"/>
      </w:rPr>
    </w:lvl>
    <w:lvl w:ilvl="4" w:tplc="F6360ADE" w:tentative="1">
      <w:start w:val="1"/>
      <w:numFmt w:val="bullet"/>
      <w:lvlText w:val="o"/>
      <w:lvlJc w:val="left"/>
      <w:pPr>
        <w:ind w:left="3600" w:hanging="360"/>
      </w:pPr>
      <w:rPr>
        <w:rFonts w:ascii="Courier New" w:hAnsi="Courier New" w:hint="default"/>
      </w:rPr>
    </w:lvl>
    <w:lvl w:ilvl="5" w:tplc="50E4A436" w:tentative="1">
      <w:start w:val="1"/>
      <w:numFmt w:val="bullet"/>
      <w:lvlText w:val=""/>
      <w:lvlJc w:val="left"/>
      <w:pPr>
        <w:ind w:left="4320" w:hanging="360"/>
      </w:pPr>
      <w:rPr>
        <w:rFonts w:ascii="Wingdings" w:hAnsi="Wingdings" w:hint="default"/>
      </w:rPr>
    </w:lvl>
    <w:lvl w:ilvl="6" w:tplc="3B34ACB6" w:tentative="1">
      <w:start w:val="1"/>
      <w:numFmt w:val="bullet"/>
      <w:lvlText w:val=""/>
      <w:lvlJc w:val="left"/>
      <w:pPr>
        <w:ind w:left="5040" w:hanging="360"/>
      </w:pPr>
      <w:rPr>
        <w:rFonts w:ascii="Symbol" w:hAnsi="Symbol" w:hint="default"/>
      </w:rPr>
    </w:lvl>
    <w:lvl w:ilvl="7" w:tplc="6730238C" w:tentative="1">
      <w:start w:val="1"/>
      <w:numFmt w:val="bullet"/>
      <w:lvlText w:val="o"/>
      <w:lvlJc w:val="left"/>
      <w:pPr>
        <w:ind w:left="5760" w:hanging="360"/>
      </w:pPr>
      <w:rPr>
        <w:rFonts w:ascii="Courier New" w:hAnsi="Courier New" w:hint="default"/>
      </w:rPr>
    </w:lvl>
    <w:lvl w:ilvl="8" w:tplc="FB5EEAEE" w:tentative="1">
      <w:start w:val="1"/>
      <w:numFmt w:val="bullet"/>
      <w:lvlText w:val=""/>
      <w:lvlJc w:val="left"/>
      <w:pPr>
        <w:ind w:left="6480" w:hanging="360"/>
      </w:pPr>
      <w:rPr>
        <w:rFonts w:ascii="Wingdings" w:hAnsi="Wingdings" w:hint="default"/>
      </w:rPr>
    </w:lvl>
  </w:abstractNum>
  <w:abstractNum w:abstractNumId="9" w15:restartNumberingAfterBreak="0">
    <w:nsid w:val="01A545F2"/>
    <w:multiLevelType w:val="multilevel"/>
    <w:tmpl w:val="3576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BBC538"/>
    <w:multiLevelType w:val="hybridMultilevel"/>
    <w:tmpl w:val="FFFFFFFF"/>
    <w:lvl w:ilvl="0" w:tplc="C9D44A30">
      <w:start w:val="1"/>
      <w:numFmt w:val="bullet"/>
      <w:lvlText w:val=""/>
      <w:lvlJc w:val="left"/>
      <w:pPr>
        <w:ind w:left="720" w:hanging="360"/>
      </w:pPr>
      <w:rPr>
        <w:rFonts w:ascii="Symbol" w:hAnsi="Symbol" w:hint="default"/>
      </w:rPr>
    </w:lvl>
    <w:lvl w:ilvl="1" w:tplc="6754738A">
      <w:start w:val="1"/>
      <w:numFmt w:val="bullet"/>
      <w:lvlText w:val="o"/>
      <w:lvlJc w:val="left"/>
      <w:pPr>
        <w:ind w:left="1440" w:hanging="360"/>
      </w:pPr>
      <w:rPr>
        <w:rFonts w:ascii="Courier New" w:hAnsi="Courier New" w:hint="default"/>
      </w:rPr>
    </w:lvl>
    <w:lvl w:ilvl="2" w:tplc="DE9A7BE8">
      <w:start w:val="1"/>
      <w:numFmt w:val="bullet"/>
      <w:lvlText w:val=""/>
      <w:lvlJc w:val="left"/>
      <w:pPr>
        <w:ind w:left="2160" w:hanging="360"/>
      </w:pPr>
      <w:rPr>
        <w:rFonts w:ascii="Wingdings" w:hAnsi="Wingdings" w:hint="default"/>
      </w:rPr>
    </w:lvl>
    <w:lvl w:ilvl="3" w:tplc="1680A6E6">
      <w:start w:val="1"/>
      <w:numFmt w:val="bullet"/>
      <w:lvlText w:val=""/>
      <w:lvlJc w:val="left"/>
      <w:pPr>
        <w:ind w:left="2880" w:hanging="360"/>
      </w:pPr>
      <w:rPr>
        <w:rFonts w:ascii="Symbol" w:hAnsi="Symbol" w:hint="default"/>
      </w:rPr>
    </w:lvl>
    <w:lvl w:ilvl="4" w:tplc="5008ADD6">
      <w:start w:val="1"/>
      <w:numFmt w:val="bullet"/>
      <w:lvlText w:val="o"/>
      <w:lvlJc w:val="left"/>
      <w:pPr>
        <w:ind w:left="3600" w:hanging="360"/>
      </w:pPr>
      <w:rPr>
        <w:rFonts w:ascii="Courier New" w:hAnsi="Courier New" w:hint="default"/>
      </w:rPr>
    </w:lvl>
    <w:lvl w:ilvl="5" w:tplc="8E283214">
      <w:start w:val="1"/>
      <w:numFmt w:val="bullet"/>
      <w:lvlText w:val=""/>
      <w:lvlJc w:val="left"/>
      <w:pPr>
        <w:ind w:left="4320" w:hanging="360"/>
      </w:pPr>
      <w:rPr>
        <w:rFonts w:ascii="Wingdings" w:hAnsi="Wingdings" w:hint="default"/>
      </w:rPr>
    </w:lvl>
    <w:lvl w:ilvl="6" w:tplc="91F25C6A">
      <w:start w:val="1"/>
      <w:numFmt w:val="bullet"/>
      <w:lvlText w:val=""/>
      <w:lvlJc w:val="left"/>
      <w:pPr>
        <w:ind w:left="5040" w:hanging="360"/>
      </w:pPr>
      <w:rPr>
        <w:rFonts w:ascii="Symbol" w:hAnsi="Symbol" w:hint="default"/>
      </w:rPr>
    </w:lvl>
    <w:lvl w:ilvl="7" w:tplc="B02C241C">
      <w:start w:val="1"/>
      <w:numFmt w:val="bullet"/>
      <w:lvlText w:val="o"/>
      <w:lvlJc w:val="left"/>
      <w:pPr>
        <w:ind w:left="5760" w:hanging="360"/>
      </w:pPr>
      <w:rPr>
        <w:rFonts w:ascii="Courier New" w:hAnsi="Courier New" w:hint="default"/>
      </w:rPr>
    </w:lvl>
    <w:lvl w:ilvl="8" w:tplc="89260712">
      <w:start w:val="1"/>
      <w:numFmt w:val="bullet"/>
      <w:lvlText w:val=""/>
      <w:lvlJc w:val="left"/>
      <w:pPr>
        <w:ind w:left="6480" w:hanging="360"/>
      </w:pPr>
      <w:rPr>
        <w:rFonts w:ascii="Wingdings" w:hAnsi="Wingdings" w:hint="default"/>
      </w:rPr>
    </w:lvl>
  </w:abstractNum>
  <w:abstractNum w:abstractNumId="11" w15:restartNumberingAfterBreak="0">
    <w:nsid w:val="01C761EC"/>
    <w:multiLevelType w:val="hybridMultilevel"/>
    <w:tmpl w:val="ABB84C98"/>
    <w:lvl w:ilvl="0" w:tplc="0660126C">
      <w:start w:val="1"/>
      <w:numFmt w:val="bullet"/>
      <w:lvlText w:val=""/>
      <w:lvlJc w:val="left"/>
      <w:pPr>
        <w:ind w:left="720" w:hanging="360"/>
      </w:pPr>
      <w:rPr>
        <w:rFonts w:ascii="Symbol" w:hAnsi="Symbol" w:hint="default"/>
      </w:rPr>
    </w:lvl>
    <w:lvl w:ilvl="1" w:tplc="FE1408DC" w:tentative="1">
      <w:start w:val="1"/>
      <w:numFmt w:val="bullet"/>
      <w:lvlText w:val="o"/>
      <w:lvlJc w:val="left"/>
      <w:pPr>
        <w:ind w:left="1440" w:hanging="360"/>
      </w:pPr>
      <w:rPr>
        <w:rFonts w:ascii="Courier New" w:hAnsi="Courier New" w:hint="default"/>
      </w:rPr>
    </w:lvl>
    <w:lvl w:ilvl="2" w:tplc="4B1495AE" w:tentative="1">
      <w:start w:val="1"/>
      <w:numFmt w:val="bullet"/>
      <w:lvlText w:val=""/>
      <w:lvlJc w:val="left"/>
      <w:pPr>
        <w:ind w:left="2160" w:hanging="360"/>
      </w:pPr>
      <w:rPr>
        <w:rFonts w:ascii="Wingdings" w:hAnsi="Wingdings" w:hint="default"/>
      </w:rPr>
    </w:lvl>
    <w:lvl w:ilvl="3" w:tplc="ADC28758" w:tentative="1">
      <w:start w:val="1"/>
      <w:numFmt w:val="bullet"/>
      <w:lvlText w:val=""/>
      <w:lvlJc w:val="left"/>
      <w:pPr>
        <w:ind w:left="2880" w:hanging="360"/>
      </w:pPr>
      <w:rPr>
        <w:rFonts w:ascii="Symbol" w:hAnsi="Symbol" w:hint="default"/>
      </w:rPr>
    </w:lvl>
    <w:lvl w:ilvl="4" w:tplc="AEE632D2" w:tentative="1">
      <w:start w:val="1"/>
      <w:numFmt w:val="bullet"/>
      <w:lvlText w:val="o"/>
      <w:lvlJc w:val="left"/>
      <w:pPr>
        <w:ind w:left="3600" w:hanging="360"/>
      </w:pPr>
      <w:rPr>
        <w:rFonts w:ascii="Courier New" w:hAnsi="Courier New" w:hint="default"/>
      </w:rPr>
    </w:lvl>
    <w:lvl w:ilvl="5" w:tplc="2954E3FA" w:tentative="1">
      <w:start w:val="1"/>
      <w:numFmt w:val="bullet"/>
      <w:lvlText w:val=""/>
      <w:lvlJc w:val="left"/>
      <w:pPr>
        <w:ind w:left="4320" w:hanging="360"/>
      </w:pPr>
      <w:rPr>
        <w:rFonts w:ascii="Wingdings" w:hAnsi="Wingdings" w:hint="default"/>
      </w:rPr>
    </w:lvl>
    <w:lvl w:ilvl="6" w:tplc="A3EAD1F0" w:tentative="1">
      <w:start w:val="1"/>
      <w:numFmt w:val="bullet"/>
      <w:lvlText w:val=""/>
      <w:lvlJc w:val="left"/>
      <w:pPr>
        <w:ind w:left="5040" w:hanging="360"/>
      </w:pPr>
      <w:rPr>
        <w:rFonts w:ascii="Symbol" w:hAnsi="Symbol" w:hint="default"/>
      </w:rPr>
    </w:lvl>
    <w:lvl w:ilvl="7" w:tplc="66B47446" w:tentative="1">
      <w:start w:val="1"/>
      <w:numFmt w:val="bullet"/>
      <w:lvlText w:val="o"/>
      <w:lvlJc w:val="left"/>
      <w:pPr>
        <w:ind w:left="5760" w:hanging="360"/>
      </w:pPr>
      <w:rPr>
        <w:rFonts w:ascii="Courier New" w:hAnsi="Courier New" w:hint="default"/>
      </w:rPr>
    </w:lvl>
    <w:lvl w:ilvl="8" w:tplc="148A79A6" w:tentative="1">
      <w:start w:val="1"/>
      <w:numFmt w:val="bullet"/>
      <w:lvlText w:val=""/>
      <w:lvlJc w:val="left"/>
      <w:pPr>
        <w:ind w:left="6480" w:hanging="360"/>
      </w:pPr>
      <w:rPr>
        <w:rFonts w:ascii="Wingdings" w:hAnsi="Wingdings" w:hint="default"/>
      </w:rPr>
    </w:lvl>
  </w:abstractNum>
  <w:abstractNum w:abstractNumId="12" w15:restartNumberingAfterBreak="0">
    <w:nsid w:val="01CB6B6F"/>
    <w:multiLevelType w:val="multilevel"/>
    <w:tmpl w:val="ABD0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21047F9"/>
    <w:multiLevelType w:val="hybridMultilevel"/>
    <w:tmpl w:val="3C8E716E"/>
    <w:lvl w:ilvl="0" w:tplc="111018AE">
      <w:start w:val="1"/>
      <w:numFmt w:val="bullet"/>
      <w:lvlText w:val=""/>
      <w:lvlJc w:val="left"/>
      <w:pPr>
        <w:ind w:left="720" w:hanging="360"/>
      </w:pPr>
      <w:rPr>
        <w:rFonts w:ascii="Symbol" w:hAnsi="Symbol" w:hint="default"/>
      </w:rPr>
    </w:lvl>
    <w:lvl w:ilvl="1" w:tplc="3482EF62" w:tentative="1">
      <w:start w:val="1"/>
      <w:numFmt w:val="bullet"/>
      <w:lvlText w:val="o"/>
      <w:lvlJc w:val="left"/>
      <w:pPr>
        <w:ind w:left="1440" w:hanging="360"/>
      </w:pPr>
      <w:rPr>
        <w:rFonts w:ascii="Courier New" w:hAnsi="Courier New" w:hint="default"/>
      </w:rPr>
    </w:lvl>
    <w:lvl w:ilvl="2" w:tplc="235013B6" w:tentative="1">
      <w:start w:val="1"/>
      <w:numFmt w:val="bullet"/>
      <w:lvlText w:val=""/>
      <w:lvlJc w:val="left"/>
      <w:pPr>
        <w:ind w:left="2160" w:hanging="360"/>
      </w:pPr>
      <w:rPr>
        <w:rFonts w:ascii="Wingdings" w:hAnsi="Wingdings" w:hint="default"/>
      </w:rPr>
    </w:lvl>
    <w:lvl w:ilvl="3" w:tplc="9C7A75BA" w:tentative="1">
      <w:start w:val="1"/>
      <w:numFmt w:val="bullet"/>
      <w:lvlText w:val=""/>
      <w:lvlJc w:val="left"/>
      <w:pPr>
        <w:ind w:left="2880" w:hanging="360"/>
      </w:pPr>
      <w:rPr>
        <w:rFonts w:ascii="Symbol" w:hAnsi="Symbol" w:hint="default"/>
      </w:rPr>
    </w:lvl>
    <w:lvl w:ilvl="4" w:tplc="F4924B7E" w:tentative="1">
      <w:start w:val="1"/>
      <w:numFmt w:val="bullet"/>
      <w:lvlText w:val="o"/>
      <w:lvlJc w:val="left"/>
      <w:pPr>
        <w:ind w:left="3600" w:hanging="360"/>
      </w:pPr>
      <w:rPr>
        <w:rFonts w:ascii="Courier New" w:hAnsi="Courier New" w:hint="default"/>
      </w:rPr>
    </w:lvl>
    <w:lvl w:ilvl="5" w:tplc="7D7429E4" w:tentative="1">
      <w:start w:val="1"/>
      <w:numFmt w:val="bullet"/>
      <w:lvlText w:val=""/>
      <w:lvlJc w:val="left"/>
      <w:pPr>
        <w:ind w:left="4320" w:hanging="360"/>
      </w:pPr>
      <w:rPr>
        <w:rFonts w:ascii="Wingdings" w:hAnsi="Wingdings" w:hint="default"/>
      </w:rPr>
    </w:lvl>
    <w:lvl w:ilvl="6" w:tplc="57D87AD6" w:tentative="1">
      <w:start w:val="1"/>
      <w:numFmt w:val="bullet"/>
      <w:lvlText w:val=""/>
      <w:lvlJc w:val="left"/>
      <w:pPr>
        <w:ind w:left="5040" w:hanging="360"/>
      </w:pPr>
      <w:rPr>
        <w:rFonts w:ascii="Symbol" w:hAnsi="Symbol" w:hint="default"/>
      </w:rPr>
    </w:lvl>
    <w:lvl w:ilvl="7" w:tplc="0A0842A4" w:tentative="1">
      <w:start w:val="1"/>
      <w:numFmt w:val="bullet"/>
      <w:lvlText w:val="o"/>
      <w:lvlJc w:val="left"/>
      <w:pPr>
        <w:ind w:left="5760" w:hanging="360"/>
      </w:pPr>
      <w:rPr>
        <w:rFonts w:ascii="Courier New" w:hAnsi="Courier New" w:hint="default"/>
      </w:rPr>
    </w:lvl>
    <w:lvl w:ilvl="8" w:tplc="15A830B6" w:tentative="1">
      <w:start w:val="1"/>
      <w:numFmt w:val="bullet"/>
      <w:lvlText w:val=""/>
      <w:lvlJc w:val="left"/>
      <w:pPr>
        <w:ind w:left="6480" w:hanging="360"/>
      </w:pPr>
      <w:rPr>
        <w:rFonts w:ascii="Wingdings" w:hAnsi="Wingdings" w:hint="default"/>
      </w:rPr>
    </w:lvl>
  </w:abstractNum>
  <w:abstractNum w:abstractNumId="14" w15:restartNumberingAfterBreak="0">
    <w:nsid w:val="022315D6"/>
    <w:multiLevelType w:val="hybridMultilevel"/>
    <w:tmpl w:val="CD385DC4"/>
    <w:lvl w:ilvl="0" w:tplc="A3E63886">
      <w:start w:val="1"/>
      <w:numFmt w:val="bullet"/>
      <w:lvlText w:val=""/>
      <w:lvlJc w:val="left"/>
      <w:pPr>
        <w:ind w:left="855" w:hanging="360"/>
      </w:pPr>
      <w:rPr>
        <w:rFonts w:ascii="Symbol" w:hAnsi="Symbol" w:hint="default"/>
      </w:rPr>
    </w:lvl>
    <w:lvl w:ilvl="1" w:tplc="D1146FF8">
      <w:start w:val="1"/>
      <w:numFmt w:val="bullet"/>
      <w:lvlText w:val="o"/>
      <w:lvlJc w:val="left"/>
      <w:pPr>
        <w:ind w:left="1575" w:hanging="360"/>
      </w:pPr>
      <w:rPr>
        <w:rFonts w:ascii="Courier New" w:hAnsi="Courier New" w:hint="default"/>
      </w:rPr>
    </w:lvl>
    <w:lvl w:ilvl="2" w:tplc="129EB2E8" w:tentative="1">
      <w:start w:val="1"/>
      <w:numFmt w:val="bullet"/>
      <w:lvlText w:val=""/>
      <w:lvlJc w:val="left"/>
      <w:pPr>
        <w:ind w:left="2295" w:hanging="360"/>
      </w:pPr>
      <w:rPr>
        <w:rFonts w:ascii="Wingdings" w:hAnsi="Wingdings" w:hint="default"/>
      </w:rPr>
    </w:lvl>
    <w:lvl w:ilvl="3" w:tplc="FA46F3DC" w:tentative="1">
      <w:start w:val="1"/>
      <w:numFmt w:val="bullet"/>
      <w:lvlText w:val=""/>
      <w:lvlJc w:val="left"/>
      <w:pPr>
        <w:ind w:left="3015" w:hanging="360"/>
      </w:pPr>
      <w:rPr>
        <w:rFonts w:ascii="Symbol" w:hAnsi="Symbol" w:hint="default"/>
      </w:rPr>
    </w:lvl>
    <w:lvl w:ilvl="4" w:tplc="F4A04648" w:tentative="1">
      <w:start w:val="1"/>
      <w:numFmt w:val="bullet"/>
      <w:lvlText w:val="o"/>
      <w:lvlJc w:val="left"/>
      <w:pPr>
        <w:ind w:left="3735" w:hanging="360"/>
      </w:pPr>
      <w:rPr>
        <w:rFonts w:ascii="Courier New" w:hAnsi="Courier New" w:hint="default"/>
      </w:rPr>
    </w:lvl>
    <w:lvl w:ilvl="5" w:tplc="C3DC5BDA" w:tentative="1">
      <w:start w:val="1"/>
      <w:numFmt w:val="bullet"/>
      <w:lvlText w:val=""/>
      <w:lvlJc w:val="left"/>
      <w:pPr>
        <w:ind w:left="4455" w:hanging="360"/>
      </w:pPr>
      <w:rPr>
        <w:rFonts w:ascii="Wingdings" w:hAnsi="Wingdings" w:hint="default"/>
      </w:rPr>
    </w:lvl>
    <w:lvl w:ilvl="6" w:tplc="246001B2" w:tentative="1">
      <w:start w:val="1"/>
      <w:numFmt w:val="bullet"/>
      <w:lvlText w:val=""/>
      <w:lvlJc w:val="left"/>
      <w:pPr>
        <w:ind w:left="5175" w:hanging="360"/>
      </w:pPr>
      <w:rPr>
        <w:rFonts w:ascii="Symbol" w:hAnsi="Symbol" w:hint="default"/>
      </w:rPr>
    </w:lvl>
    <w:lvl w:ilvl="7" w:tplc="772C4652" w:tentative="1">
      <w:start w:val="1"/>
      <w:numFmt w:val="bullet"/>
      <w:lvlText w:val="o"/>
      <w:lvlJc w:val="left"/>
      <w:pPr>
        <w:ind w:left="5895" w:hanging="360"/>
      </w:pPr>
      <w:rPr>
        <w:rFonts w:ascii="Courier New" w:hAnsi="Courier New" w:hint="default"/>
      </w:rPr>
    </w:lvl>
    <w:lvl w:ilvl="8" w:tplc="25A0E860" w:tentative="1">
      <w:start w:val="1"/>
      <w:numFmt w:val="bullet"/>
      <w:lvlText w:val=""/>
      <w:lvlJc w:val="left"/>
      <w:pPr>
        <w:ind w:left="6615" w:hanging="360"/>
      </w:pPr>
      <w:rPr>
        <w:rFonts w:ascii="Wingdings" w:hAnsi="Wingdings" w:hint="default"/>
      </w:rPr>
    </w:lvl>
  </w:abstractNum>
  <w:abstractNum w:abstractNumId="15" w15:restartNumberingAfterBreak="0">
    <w:nsid w:val="023271C2"/>
    <w:multiLevelType w:val="multilevel"/>
    <w:tmpl w:val="E7E6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4F2FCE"/>
    <w:multiLevelType w:val="multilevel"/>
    <w:tmpl w:val="7CA2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276163A"/>
    <w:multiLevelType w:val="multilevel"/>
    <w:tmpl w:val="D1D4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672D43"/>
    <w:multiLevelType w:val="multilevel"/>
    <w:tmpl w:val="43A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713E03"/>
    <w:multiLevelType w:val="multilevel"/>
    <w:tmpl w:val="8B86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E8BE62"/>
    <w:multiLevelType w:val="hybridMultilevel"/>
    <w:tmpl w:val="FFFFFFFF"/>
    <w:lvl w:ilvl="0" w:tplc="3E4AFC74">
      <w:start w:val="1"/>
      <w:numFmt w:val="bullet"/>
      <w:lvlText w:val=""/>
      <w:lvlJc w:val="left"/>
      <w:pPr>
        <w:ind w:left="720" w:hanging="360"/>
      </w:pPr>
      <w:rPr>
        <w:rFonts w:ascii="Symbol" w:hAnsi="Symbol" w:hint="default"/>
      </w:rPr>
    </w:lvl>
    <w:lvl w:ilvl="1" w:tplc="BC78DC12">
      <w:start w:val="1"/>
      <w:numFmt w:val="bullet"/>
      <w:lvlText w:val="o"/>
      <w:lvlJc w:val="left"/>
      <w:pPr>
        <w:ind w:left="1440" w:hanging="360"/>
      </w:pPr>
      <w:rPr>
        <w:rFonts w:ascii="Courier New" w:hAnsi="Courier New" w:hint="default"/>
      </w:rPr>
    </w:lvl>
    <w:lvl w:ilvl="2" w:tplc="32567B78">
      <w:start w:val="1"/>
      <w:numFmt w:val="bullet"/>
      <w:lvlText w:val=""/>
      <w:lvlJc w:val="left"/>
      <w:pPr>
        <w:ind w:left="2160" w:hanging="360"/>
      </w:pPr>
      <w:rPr>
        <w:rFonts w:ascii="Wingdings" w:hAnsi="Wingdings" w:hint="default"/>
      </w:rPr>
    </w:lvl>
    <w:lvl w:ilvl="3" w:tplc="494A086C">
      <w:start w:val="1"/>
      <w:numFmt w:val="bullet"/>
      <w:lvlText w:val=""/>
      <w:lvlJc w:val="left"/>
      <w:pPr>
        <w:ind w:left="2880" w:hanging="360"/>
      </w:pPr>
      <w:rPr>
        <w:rFonts w:ascii="Symbol" w:hAnsi="Symbol" w:hint="default"/>
      </w:rPr>
    </w:lvl>
    <w:lvl w:ilvl="4" w:tplc="6B18F750">
      <w:start w:val="1"/>
      <w:numFmt w:val="bullet"/>
      <w:lvlText w:val="o"/>
      <w:lvlJc w:val="left"/>
      <w:pPr>
        <w:ind w:left="3600" w:hanging="360"/>
      </w:pPr>
      <w:rPr>
        <w:rFonts w:ascii="Courier New" w:hAnsi="Courier New" w:hint="default"/>
      </w:rPr>
    </w:lvl>
    <w:lvl w:ilvl="5" w:tplc="3C4A5F5C">
      <w:start w:val="1"/>
      <w:numFmt w:val="bullet"/>
      <w:lvlText w:val=""/>
      <w:lvlJc w:val="left"/>
      <w:pPr>
        <w:ind w:left="4320" w:hanging="360"/>
      </w:pPr>
      <w:rPr>
        <w:rFonts w:ascii="Wingdings" w:hAnsi="Wingdings" w:hint="default"/>
      </w:rPr>
    </w:lvl>
    <w:lvl w:ilvl="6" w:tplc="DEBC9062">
      <w:start w:val="1"/>
      <w:numFmt w:val="bullet"/>
      <w:lvlText w:val=""/>
      <w:lvlJc w:val="left"/>
      <w:pPr>
        <w:ind w:left="5040" w:hanging="360"/>
      </w:pPr>
      <w:rPr>
        <w:rFonts w:ascii="Symbol" w:hAnsi="Symbol" w:hint="default"/>
      </w:rPr>
    </w:lvl>
    <w:lvl w:ilvl="7" w:tplc="960E41E2">
      <w:start w:val="1"/>
      <w:numFmt w:val="bullet"/>
      <w:lvlText w:val="o"/>
      <w:lvlJc w:val="left"/>
      <w:pPr>
        <w:ind w:left="5760" w:hanging="360"/>
      </w:pPr>
      <w:rPr>
        <w:rFonts w:ascii="Courier New" w:hAnsi="Courier New" w:hint="default"/>
      </w:rPr>
    </w:lvl>
    <w:lvl w:ilvl="8" w:tplc="DA6E4D08">
      <w:start w:val="1"/>
      <w:numFmt w:val="bullet"/>
      <w:lvlText w:val=""/>
      <w:lvlJc w:val="left"/>
      <w:pPr>
        <w:ind w:left="6480" w:hanging="360"/>
      </w:pPr>
      <w:rPr>
        <w:rFonts w:ascii="Wingdings" w:hAnsi="Wingdings" w:hint="default"/>
      </w:rPr>
    </w:lvl>
  </w:abstractNum>
  <w:abstractNum w:abstractNumId="21" w15:restartNumberingAfterBreak="0">
    <w:nsid w:val="04154828"/>
    <w:multiLevelType w:val="multilevel"/>
    <w:tmpl w:val="B33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A2C40"/>
    <w:multiLevelType w:val="hybridMultilevel"/>
    <w:tmpl w:val="3AE6F0E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48B6B99"/>
    <w:multiLevelType w:val="hybridMultilevel"/>
    <w:tmpl w:val="350A50A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0497445F"/>
    <w:multiLevelType w:val="hybridMultilevel"/>
    <w:tmpl w:val="7CD693EC"/>
    <w:lvl w:ilvl="0" w:tplc="93F6C386">
      <w:start w:val="1"/>
      <w:numFmt w:val="bullet"/>
      <w:lvlText w:val=""/>
      <w:lvlJc w:val="left"/>
      <w:pPr>
        <w:ind w:left="720" w:hanging="360"/>
      </w:pPr>
      <w:rPr>
        <w:rFonts w:ascii="Symbol" w:hAnsi="Symbol" w:hint="default"/>
      </w:rPr>
    </w:lvl>
    <w:lvl w:ilvl="1" w:tplc="8B968218" w:tentative="1">
      <w:start w:val="1"/>
      <w:numFmt w:val="bullet"/>
      <w:lvlText w:val="o"/>
      <w:lvlJc w:val="left"/>
      <w:pPr>
        <w:ind w:left="1440" w:hanging="360"/>
      </w:pPr>
      <w:rPr>
        <w:rFonts w:ascii="Courier New" w:hAnsi="Courier New" w:hint="default"/>
      </w:rPr>
    </w:lvl>
    <w:lvl w:ilvl="2" w:tplc="7090D222" w:tentative="1">
      <w:start w:val="1"/>
      <w:numFmt w:val="bullet"/>
      <w:lvlText w:val=""/>
      <w:lvlJc w:val="left"/>
      <w:pPr>
        <w:ind w:left="2160" w:hanging="360"/>
      </w:pPr>
      <w:rPr>
        <w:rFonts w:ascii="Wingdings" w:hAnsi="Wingdings" w:hint="default"/>
      </w:rPr>
    </w:lvl>
    <w:lvl w:ilvl="3" w:tplc="16DC4C28" w:tentative="1">
      <w:start w:val="1"/>
      <w:numFmt w:val="bullet"/>
      <w:lvlText w:val=""/>
      <w:lvlJc w:val="left"/>
      <w:pPr>
        <w:ind w:left="2880" w:hanging="360"/>
      </w:pPr>
      <w:rPr>
        <w:rFonts w:ascii="Symbol" w:hAnsi="Symbol" w:hint="default"/>
      </w:rPr>
    </w:lvl>
    <w:lvl w:ilvl="4" w:tplc="F9BA012C" w:tentative="1">
      <w:start w:val="1"/>
      <w:numFmt w:val="bullet"/>
      <w:lvlText w:val="o"/>
      <w:lvlJc w:val="left"/>
      <w:pPr>
        <w:ind w:left="3600" w:hanging="360"/>
      </w:pPr>
      <w:rPr>
        <w:rFonts w:ascii="Courier New" w:hAnsi="Courier New" w:hint="default"/>
      </w:rPr>
    </w:lvl>
    <w:lvl w:ilvl="5" w:tplc="3B54867E" w:tentative="1">
      <w:start w:val="1"/>
      <w:numFmt w:val="bullet"/>
      <w:lvlText w:val=""/>
      <w:lvlJc w:val="left"/>
      <w:pPr>
        <w:ind w:left="4320" w:hanging="360"/>
      </w:pPr>
      <w:rPr>
        <w:rFonts w:ascii="Wingdings" w:hAnsi="Wingdings" w:hint="default"/>
      </w:rPr>
    </w:lvl>
    <w:lvl w:ilvl="6" w:tplc="190C6214" w:tentative="1">
      <w:start w:val="1"/>
      <w:numFmt w:val="bullet"/>
      <w:lvlText w:val=""/>
      <w:lvlJc w:val="left"/>
      <w:pPr>
        <w:ind w:left="5040" w:hanging="360"/>
      </w:pPr>
      <w:rPr>
        <w:rFonts w:ascii="Symbol" w:hAnsi="Symbol" w:hint="default"/>
      </w:rPr>
    </w:lvl>
    <w:lvl w:ilvl="7" w:tplc="F99EA984" w:tentative="1">
      <w:start w:val="1"/>
      <w:numFmt w:val="bullet"/>
      <w:lvlText w:val="o"/>
      <w:lvlJc w:val="left"/>
      <w:pPr>
        <w:ind w:left="5760" w:hanging="360"/>
      </w:pPr>
      <w:rPr>
        <w:rFonts w:ascii="Courier New" w:hAnsi="Courier New" w:hint="default"/>
      </w:rPr>
    </w:lvl>
    <w:lvl w:ilvl="8" w:tplc="B806549A" w:tentative="1">
      <w:start w:val="1"/>
      <w:numFmt w:val="bullet"/>
      <w:lvlText w:val=""/>
      <w:lvlJc w:val="left"/>
      <w:pPr>
        <w:ind w:left="6480" w:hanging="360"/>
      </w:pPr>
      <w:rPr>
        <w:rFonts w:ascii="Wingdings" w:hAnsi="Wingdings" w:hint="default"/>
      </w:rPr>
    </w:lvl>
  </w:abstractNum>
  <w:abstractNum w:abstractNumId="25" w15:restartNumberingAfterBreak="0">
    <w:nsid w:val="049E5447"/>
    <w:multiLevelType w:val="multilevel"/>
    <w:tmpl w:val="CE1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63C38D"/>
    <w:multiLevelType w:val="hybridMultilevel"/>
    <w:tmpl w:val="FFFFFFFF"/>
    <w:lvl w:ilvl="0" w:tplc="B576239C">
      <w:start w:val="1"/>
      <w:numFmt w:val="bullet"/>
      <w:lvlText w:val="·"/>
      <w:lvlJc w:val="left"/>
      <w:pPr>
        <w:ind w:left="720" w:hanging="360"/>
      </w:pPr>
      <w:rPr>
        <w:rFonts w:ascii="Symbol" w:hAnsi="Symbol" w:hint="default"/>
      </w:rPr>
    </w:lvl>
    <w:lvl w:ilvl="1" w:tplc="86DE9B92">
      <w:start w:val="1"/>
      <w:numFmt w:val="bullet"/>
      <w:lvlText w:val="o"/>
      <w:lvlJc w:val="left"/>
      <w:pPr>
        <w:ind w:left="1440" w:hanging="360"/>
      </w:pPr>
      <w:rPr>
        <w:rFonts w:ascii="Courier New" w:hAnsi="Courier New" w:hint="default"/>
      </w:rPr>
    </w:lvl>
    <w:lvl w:ilvl="2" w:tplc="C2AA72FE">
      <w:start w:val="1"/>
      <w:numFmt w:val="bullet"/>
      <w:lvlText w:val=""/>
      <w:lvlJc w:val="left"/>
      <w:pPr>
        <w:ind w:left="2160" w:hanging="360"/>
      </w:pPr>
      <w:rPr>
        <w:rFonts w:ascii="Wingdings" w:hAnsi="Wingdings" w:hint="default"/>
      </w:rPr>
    </w:lvl>
    <w:lvl w:ilvl="3" w:tplc="D71E5BF0">
      <w:start w:val="1"/>
      <w:numFmt w:val="bullet"/>
      <w:lvlText w:val=""/>
      <w:lvlJc w:val="left"/>
      <w:pPr>
        <w:ind w:left="2880" w:hanging="360"/>
      </w:pPr>
      <w:rPr>
        <w:rFonts w:ascii="Symbol" w:hAnsi="Symbol" w:hint="default"/>
      </w:rPr>
    </w:lvl>
    <w:lvl w:ilvl="4" w:tplc="62F6DAB6">
      <w:start w:val="1"/>
      <w:numFmt w:val="bullet"/>
      <w:lvlText w:val="o"/>
      <w:lvlJc w:val="left"/>
      <w:pPr>
        <w:ind w:left="3600" w:hanging="360"/>
      </w:pPr>
      <w:rPr>
        <w:rFonts w:ascii="Courier New" w:hAnsi="Courier New" w:hint="default"/>
      </w:rPr>
    </w:lvl>
    <w:lvl w:ilvl="5" w:tplc="F4A873A2">
      <w:start w:val="1"/>
      <w:numFmt w:val="bullet"/>
      <w:lvlText w:val=""/>
      <w:lvlJc w:val="left"/>
      <w:pPr>
        <w:ind w:left="4320" w:hanging="360"/>
      </w:pPr>
      <w:rPr>
        <w:rFonts w:ascii="Wingdings" w:hAnsi="Wingdings" w:hint="default"/>
      </w:rPr>
    </w:lvl>
    <w:lvl w:ilvl="6" w:tplc="AB6830EA">
      <w:start w:val="1"/>
      <w:numFmt w:val="bullet"/>
      <w:lvlText w:val=""/>
      <w:lvlJc w:val="left"/>
      <w:pPr>
        <w:ind w:left="5040" w:hanging="360"/>
      </w:pPr>
      <w:rPr>
        <w:rFonts w:ascii="Symbol" w:hAnsi="Symbol" w:hint="default"/>
      </w:rPr>
    </w:lvl>
    <w:lvl w:ilvl="7" w:tplc="0FE87A4A">
      <w:start w:val="1"/>
      <w:numFmt w:val="bullet"/>
      <w:lvlText w:val="o"/>
      <w:lvlJc w:val="left"/>
      <w:pPr>
        <w:ind w:left="5760" w:hanging="360"/>
      </w:pPr>
      <w:rPr>
        <w:rFonts w:ascii="Courier New" w:hAnsi="Courier New" w:hint="default"/>
      </w:rPr>
    </w:lvl>
    <w:lvl w:ilvl="8" w:tplc="F7F29FD2">
      <w:start w:val="1"/>
      <w:numFmt w:val="bullet"/>
      <w:lvlText w:val=""/>
      <w:lvlJc w:val="left"/>
      <w:pPr>
        <w:ind w:left="6480" w:hanging="360"/>
      </w:pPr>
      <w:rPr>
        <w:rFonts w:ascii="Wingdings" w:hAnsi="Wingdings" w:hint="default"/>
      </w:rPr>
    </w:lvl>
  </w:abstractNum>
  <w:abstractNum w:abstractNumId="27" w15:restartNumberingAfterBreak="0">
    <w:nsid w:val="05AA005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5CD45FF"/>
    <w:multiLevelType w:val="multilevel"/>
    <w:tmpl w:val="FE6C1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62334FC"/>
    <w:multiLevelType w:val="multilevel"/>
    <w:tmpl w:val="36AE253C"/>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6534C50"/>
    <w:multiLevelType w:val="hybridMultilevel"/>
    <w:tmpl w:val="A0C8A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6924CF4"/>
    <w:multiLevelType w:val="hybridMultilevel"/>
    <w:tmpl w:val="FF5AE2A0"/>
    <w:lvl w:ilvl="0" w:tplc="046E34A2">
      <w:start w:val="1"/>
      <w:numFmt w:val="bullet"/>
      <w:lvlText w:val=""/>
      <w:lvlJc w:val="left"/>
      <w:pPr>
        <w:ind w:left="720" w:hanging="360"/>
      </w:pPr>
      <w:rPr>
        <w:rFonts w:ascii="Symbol" w:hAnsi="Symbol" w:hint="default"/>
      </w:rPr>
    </w:lvl>
    <w:lvl w:ilvl="1" w:tplc="7EC4C1C8">
      <w:start w:val="1"/>
      <w:numFmt w:val="bullet"/>
      <w:lvlText w:val="o"/>
      <w:lvlJc w:val="left"/>
      <w:pPr>
        <w:ind w:left="1440" w:hanging="360"/>
      </w:pPr>
      <w:rPr>
        <w:rFonts w:ascii="Courier New" w:hAnsi="Courier New" w:hint="default"/>
      </w:rPr>
    </w:lvl>
    <w:lvl w:ilvl="2" w:tplc="BEC62CB0" w:tentative="1">
      <w:start w:val="1"/>
      <w:numFmt w:val="bullet"/>
      <w:lvlText w:val=""/>
      <w:lvlJc w:val="left"/>
      <w:pPr>
        <w:ind w:left="2160" w:hanging="360"/>
      </w:pPr>
      <w:rPr>
        <w:rFonts w:ascii="Wingdings" w:hAnsi="Wingdings" w:hint="default"/>
      </w:rPr>
    </w:lvl>
    <w:lvl w:ilvl="3" w:tplc="AC2488A0" w:tentative="1">
      <w:start w:val="1"/>
      <w:numFmt w:val="bullet"/>
      <w:lvlText w:val=""/>
      <w:lvlJc w:val="left"/>
      <w:pPr>
        <w:ind w:left="2880" w:hanging="360"/>
      </w:pPr>
      <w:rPr>
        <w:rFonts w:ascii="Symbol" w:hAnsi="Symbol" w:hint="default"/>
      </w:rPr>
    </w:lvl>
    <w:lvl w:ilvl="4" w:tplc="C8F8820A" w:tentative="1">
      <w:start w:val="1"/>
      <w:numFmt w:val="bullet"/>
      <w:lvlText w:val="o"/>
      <w:lvlJc w:val="left"/>
      <w:pPr>
        <w:ind w:left="3600" w:hanging="360"/>
      </w:pPr>
      <w:rPr>
        <w:rFonts w:ascii="Courier New" w:hAnsi="Courier New" w:hint="default"/>
      </w:rPr>
    </w:lvl>
    <w:lvl w:ilvl="5" w:tplc="508ECBF6" w:tentative="1">
      <w:start w:val="1"/>
      <w:numFmt w:val="bullet"/>
      <w:lvlText w:val=""/>
      <w:lvlJc w:val="left"/>
      <w:pPr>
        <w:ind w:left="4320" w:hanging="360"/>
      </w:pPr>
      <w:rPr>
        <w:rFonts w:ascii="Wingdings" w:hAnsi="Wingdings" w:hint="default"/>
      </w:rPr>
    </w:lvl>
    <w:lvl w:ilvl="6" w:tplc="4B72C2B8" w:tentative="1">
      <w:start w:val="1"/>
      <w:numFmt w:val="bullet"/>
      <w:lvlText w:val=""/>
      <w:lvlJc w:val="left"/>
      <w:pPr>
        <w:ind w:left="5040" w:hanging="360"/>
      </w:pPr>
      <w:rPr>
        <w:rFonts w:ascii="Symbol" w:hAnsi="Symbol" w:hint="default"/>
      </w:rPr>
    </w:lvl>
    <w:lvl w:ilvl="7" w:tplc="C4489F1E" w:tentative="1">
      <w:start w:val="1"/>
      <w:numFmt w:val="bullet"/>
      <w:lvlText w:val="o"/>
      <w:lvlJc w:val="left"/>
      <w:pPr>
        <w:ind w:left="5760" w:hanging="360"/>
      </w:pPr>
      <w:rPr>
        <w:rFonts w:ascii="Courier New" w:hAnsi="Courier New" w:hint="default"/>
      </w:rPr>
    </w:lvl>
    <w:lvl w:ilvl="8" w:tplc="E9A6130A" w:tentative="1">
      <w:start w:val="1"/>
      <w:numFmt w:val="bullet"/>
      <w:lvlText w:val=""/>
      <w:lvlJc w:val="left"/>
      <w:pPr>
        <w:ind w:left="6480" w:hanging="360"/>
      </w:pPr>
      <w:rPr>
        <w:rFonts w:ascii="Wingdings" w:hAnsi="Wingdings" w:hint="default"/>
      </w:rPr>
    </w:lvl>
  </w:abstractNum>
  <w:abstractNum w:abstractNumId="32" w15:restartNumberingAfterBreak="0">
    <w:nsid w:val="069C4B3A"/>
    <w:multiLevelType w:val="hybridMultilevel"/>
    <w:tmpl w:val="88825720"/>
    <w:lvl w:ilvl="0" w:tplc="E7CE6DD6">
      <w:start w:val="1"/>
      <w:numFmt w:val="bullet"/>
      <w:lvlText w:val=""/>
      <w:lvlJc w:val="left"/>
      <w:pPr>
        <w:ind w:left="720" w:hanging="360"/>
      </w:pPr>
      <w:rPr>
        <w:rFonts w:ascii="Symbol" w:hAnsi="Symbol" w:hint="default"/>
      </w:rPr>
    </w:lvl>
    <w:lvl w:ilvl="1" w:tplc="43766796" w:tentative="1">
      <w:start w:val="1"/>
      <w:numFmt w:val="bullet"/>
      <w:lvlText w:val="o"/>
      <w:lvlJc w:val="left"/>
      <w:pPr>
        <w:ind w:left="1440" w:hanging="360"/>
      </w:pPr>
      <w:rPr>
        <w:rFonts w:ascii="Courier New" w:hAnsi="Courier New" w:hint="default"/>
      </w:rPr>
    </w:lvl>
    <w:lvl w:ilvl="2" w:tplc="4CE6A1A2" w:tentative="1">
      <w:start w:val="1"/>
      <w:numFmt w:val="bullet"/>
      <w:lvlText w:val=""/>
      <w:lvlJc w:val="left"/>
      <w:pPr>
        <w:ind w:left="2160" w:hanging="360"/>
      </w:pPr>
      <w:rPr>
        <w:rFonts w:ascii="Wingdings" w:hAnsi="Wingdings" w:hint="default"/>
      </w:rPr>
    </w:lvl>
    <w:lvl w:ilvl="3" w:tplc="3D42595E" w:tentative="1">
      <w:start w:val="1"/>
      <w:numFmt w:val="bullet"/>
      <w:lvlText w:val=""/>
      <w:lvlJc w:val="left"/>
      <w:pPr>
        <w:ind w:left="2880" w:hanging="360"/>
      </w:pPr>
      <w:rPr>
        <w:rFonts w:ascii="Symbol" w:hAnsi="Symbol" w:hint="default"/>
      </w:rPr>
    </w:lvl>
    <w:lvl w:ilvl="4" w:tplc="C0D65586" w:tentative="1">
      <w:start w:val="1"/>
      <w:numFmt w:val="bullet"/>
      <w:lvlText w:val="o"/>
      <w:lvlJc w:val="left"/>
      <w:pPr>
        <w:ind w:left="3600" w:hanging="360"/>
      </w:pPr>
      <w:rPr>
        <w:rFonts w:ascii="Courier New" w:hAnsi="Courier New" w:hint="default"/>
      </w:rPr>
    </w:lvl>
    <w:lvl w:ilvl="5" w:tplc="854076DC" w:tentative="1">
      <w:start w:val="1"/>
      <w:numFmt w:val="bullet"/>
      <w:lvlText w:val=""/>
      <w:lvlJc w:val="left"/>
      <w:pPr>
        <w:ind w:left="4320" w:hanging="360"/>
      </w:pPr>
      <w:rPr>
        <w:rFonts w:ascii="Wingdings" w:hAnsi="Wingdings" w:hint="default"/>
      </w:rPr>
    </w:lvl>
    <w:lvl w:ilvl="6" w:tplc="475CE588" w:tentative="1">
      <w:start w:val="1"/>
      <w:numFmt w:val="bullet"/>
      <w:lvlText w:val=""/>
      <w:lvlJc w:val="left"/>
      <w:pPr>
        <w:ind w:left="5040" w:hanging="360"/>
      </w:pPr>
      <w:rPr>
        <w:rFonts w:ascii="Symbol" w:hAnsi="Symbol" w:hint="default"/>
      </w:rPr>
    </w:lvl>
    <w:lvl w:ilvl="7" w:tplc="1AA80502" w:tentative="1">
      <w:start w:val="1"/>
      <w:numFmt w:val="bullet"/>
      <w:lvlText w:val="o"/>
      <w:lvlJc w:val="left"/>
      <w:pPr>
        <w:ind w:left="5760" w:hanging="360"/>
      </w:pPr>
      <w:rPr>
        <w:rFonts w:ascii="Courier New" w:hAnsi="Courier New" w:hint="default"/>
      </w:rPr>
    </w:lvl>
    <w:lvl w:ilvl="8" w:tplc="75FE230C" w:tentative="1">
      <w:start w:val="1"/>
      <w:numFmt w:val="bullet"/>
      <w:lvlText w:val=""/>
      <w:lvlJc w:val="left"/>
      <w:pPr>
        <w:ind w:left="6480" w:hanging="360"/>
      </w:pPr>
      <w:rPr>
        <w:rFonts w:ascii="Wingdings" w:hAnsi="Wingdings" w:hint="default"/>
      </w:rPr>
    </w:lvl>
  </w:abstractNum>
  <w:abstractNum w:abstractNumId="33" w15:restartNumberingAfterBreak="0">
    <w:nsid w:val="077F39EC"/>
    <w:multiLevelType w:val="hybridMultilevel"/>
    <w:tmpl w:val="879A9020"/>
    <w:lvl w:ilvl="0" w:tplc="9FF052F6">
      <w:start w:val="1"/>
      <w:numFmt w:val="bullet"/>
      <w:lvlText w:val="o"/>
      <w:lvlJc w:val="left"/>
      <w:pPr>
        <w:ind w:left="1440" w:hanging="360"/>
      </w:pPr>
      <w:rPr>
        <w:rFonts w:ascii="Courier New" w:hAnsi="Courier New" w:hint="default"/>
      </w:rPr>
    </w:lvl>
    <w:lvl w:ilvl="1" w:tplc="F6A47C1E" w:tentative="1">
      <w:start w:val="1"/>
      <w:numFmt w:val="bullet"/>
      <w:lvlText w:val="o"/>
      <w:lvlJc w:val="left"/>
      <w:pPr>
        <w:ind w:left="2160" w:hanging="360"/>
      </w:pPr>
      <w:rPr>
        <w:rFonts w:ascii="Courier New" w:hAnsi="Courier New" w:hint="default"/>
      </w:rPr>
    </w:lvl>
    <w:lvl w:ilvl="2" w:tplc="120CA7E8" w:tentative="1">
      <w:start w:val="1"/>
      <w:numFmt w:val="bullet"/>
      <w:lvlText w:val=""/>
      <w:lvlJc w:val="left"/>
      <w:pPr>
        <w:ind w:left="2880" w:hanging="360"/>
      </w:pPr>
      <w:rPr>
        <w:rFonts w:ascii="Wingdings" w:hAnsi="Wingdings" w:hint="default"/>
      </w:rPr>
    </w:lvl>
    <w:lvl w:ilvl="3" w:tplc="19FE6A30" w:tentative="1">
      <w:start w:val="1"/>
      <w:numFmt w:val="bullet"/>
      <w:lvlText w:val=""/>
      <w:lvlJc w:val="left"/>
      <w:pPr>
        <w:ind w:left="3600" w:hanging="360"/>
      </w:pPr>
      <w:rPr>
        <w:rFonts w:ascii="Symbol" w:hAnsi="Symbol" w:hint="default"/>
      </w:rPr>
    </w:lvl>
    <w:lvl w:ilvl="4" w:tplc="28B6570A" w:tentative="1">
      <w:start w:val="1"/>
      <w:numFmt w:val="bullet"/>
      <w:lvlText w:val="o"/>
      <w:lvlJc w:val="left"/>
      <w:pPr>
        <w:ind w:left="4320" w:hanging="360"/>
      </w:pPr>
      <w:rPr>
        <w:rFonts w:ascii="Courier New" w:hAnsi="Courier New" w:hint="default"/>
      </w:rPr>
    </w:lvl>
    <w:lvl w:ilvl="5" w:tplc="9210F200" w:tentative="1">
      <w:start w:val="1"/>
      <w:numFmt w:val="bullet"/>
      <w:lvlText w:val=""/>
      <w:lvlJc w:val="left"/>
      <w:pPr>
        <w:ind w:left="5040" w:hanging="360"/>
      </w:pPr>
      <w:rPr>
        <w:rFonts w:ascii="Wingdings" w:hAnsi="Wingdings" w:hint="default"/>
      </w:rPr>
    </w:lvl>
    <w:lvl w:ilvl="6" w:tplc="89D88AB8" w:tentative="1">
      <w:start w:val="1"/>
      <w:numFmt w:val="bullet"/>
      <w:lvlText w:val=""/>
      <w:lvlJc w:val="left"/>
      <w:pPr>
        <w:ind w:left="5760" w:hanging="360"/>
      </w:pPr>
      <w:rPr>
        <w:rFonts w:ascii="Symbol" w:hAnsi="Symbol" w:hint="default"/>
      </w:rPr>
    </w:lvl>
    <w:lvl w:ilvl="7" w:tplc="44002D12" w:tentative="1">
      <w:start w:val="1"/>
      <w:numFmt w:val="bullet"/>
      <w:lvlText w:val="o"/>
      <w:lvlJc w:val="left"/>
      <w:pPr>
        <w:ind w:left="6480" w:hanging="360"/>
      </w:pPr>
      <w:rPr>
        <w:rFonts w:ascii="Courier New" w:hAnsi="Courier New" w:hint="default"/>
      </w:rPr>
    </w:lvl>
    <w:lvl w:ilvl="8" w:tplc="707EF422" w:tentative="1">
      <w:start w:val="1"/>
      <w:numFmt w:val="bullet"/>
      <w:lvlText w:val=""/>
      <w:lvlJc w:val="left"/>
      <w:pPr>
        <w:ind w:left="7200" w:hanging="360"/>
      </w:pPr>
      <w:rPr>
        <w:rFonts w:ascii="Wingdings" w:hAnsi="Wingdings" w:hint="default"/>
      </w:rPr>
    </w:lvl>
  </w:abstractNum>
  <w:abstractNum w:abstractNumId="34" w15:restartNumberingAfterBreak="0">
    <w:nsid w:val="0788186B"/>
    <w:multiLevelType w:val="multilevel"/>
    <w:tmpl w:val="0820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7A907E5"/>
    <w:multiLevelType w:val="hybridMultilevel"/>
    <w:tmpl w:val="A5CE3AC6"/>
    <w:lvl w:ilvl="0" w:tplc="CB3E8DDA">
      <w:start w:val="1"/>
      <w:numFmt w:val="bullet"/>
      <w:lvlText w:val=""/>
      <w:lvlJc w:val="left"/>
      <w:pPr>
        <w:ind w:left="720" w:hanging="360"/>
      </w:pPr>
      <w:rPr>
        <w:rFonts w:ascii="Symbol" w:hAnsi="Symbol" w:hint="default"/>
        <w:color w:val="auto"/>
        <w:sz w:val="24"/>
        <w:szCs w:val="24"/>
      </w:rPr>
    </w:lvl>
    <w:lvl w:ilvl="1" w:tplc="6338BE0A" w:tentative="1">
      <w:start w:val="1"/>
      <w:numFmt w:val="bullet"/>
      <w:lvlText w:val="o"/>
      <w:lvlJc w:val="left"/>
      <w:pPr>
        <w:ind w:left="1440" w:hanging="360"/>
      </w:pPr>
      <w:rPr>
        <w:rFonts w:ascii="Courier New" w:hAnsi="Courier New" w:hint="default"/>
      </w:rPr>
    </w:lvl>
    <w:lvl w:ilvl="2" w:tplc="F8AC6220" w:tentative="1">
      <w:start w:val="1"/>
      <w:numFmt w:val="bullet"/>
      <w:lvlText w:val=""/>
      <w:lvlJc w:val="left"/>
      <w:pPr>
        <w:ind w:left="2160" w:hanging="360"/>
      </w:pPr>
      <w:rPr>
        <w:rFonts w:ascii="Wingdings" w:hAnsi="Wingdings" w:hint="default"/>
      </w:rPr>
    </w:lvl>
    <w:lvl w:ilvl="3" w:tplc="C08E799C" w:tentative="1">
      <w:start w:val="1"/>
      <w:numFmt w:val="bullet"/>
      <w:lvlText w:val=""/>
      <w:lvlJc w:val="left"/>
      <w:pPr>
        <w:ind w:left="2880" w:hanging="360"/>
      </w:pPr>
      <w:rPr>
        <w:rFonts w:ascii="Symbol" w:hAnsi="Symbol" w:hint="default"/>
      </w:rPr>
    </w:lvl>
    <w:lvl w:ilvl="4" w:tplc="D292C1E2" w:tentative="1">
      <w:start w:val="1"/>
      <w:numFmt w:val="bullet"/>
      <w:lvlText w:val="o"/>
      <w:lvlJc w:val="left"/>
      <w:pPr>
        <w:ind w:left="3600" w:hanging="360"/>
      </w:pPr>
      <w:rPr>
        <w:rFonts w:ascii="Courier New" w:hAnsi="Courier New" w:hint="default"/>
      </w:rPr>
    </w:lvl>
    <w:lvl w:ilvl="5" w:tplc="8E90A482" w:tentative="1">
      <w:start w:val="1"/>
      <w:numFmt w:val="bullet"/>
      <w:lvlText w:val=""/>
      <w:lvlJc w:val="left"/>
      <w:pPr>
        <w:ind w:left="4320" w:hanging="360"/>
      </w:pPr>
      <w:rPr>
        <w:rFonts w:ascii="Wingdings" w:hAnsi="Wingdings" w:hint="default"/>
      </w:rPr>
    </w:lvl>
    <w:lvl w:ilvl="6" w:tplc="8D34A13A" w:tentative="1">
      <w:start w:val="1"/>
      <w:numFmt w:val="bullet"/>
      <w:lvlText w:val=""/>
      <w:lvlJc w:val="left"/>
      <w:pPr>
        <w:ind w:left="5040" w:hanging="360"/>
      </w:pPr>
      <w:rPr>
        <w:rFonts w:ascii="Symbol" w:hAnsi="Symbol" w:hint="default"/>
      </w:rPr>
    </w:lvl>
    <w:lvl w:ilvl="7" w:tplc="CE4E4662" w:tentative="1">
      <w:start w:val="1"/>
      <w:numFmt w:val="bullet"/>
      <w:lvlText w:val="o"/>
      <w:lvlJc w:val="left"/>
      <w:pPr>
        <w:ind w:left="5760" w:hanging="360"/>
      </w:pPr>
      <w:rPr>
        <w:rFonts w:ascii="Courier New" w:hAnsi="Courier New" w:hint="default"/>
      </w:rPr>
    </w:lvl>
    <w:lvl w:ilvl="8" w:tplc="95EE42AC" w:tentative="1">
      <w:start w:val="1"/>
      <w:numFmt w:val="bullet"/>
      <w:lvlText w:val=""/>
      <w:lvlJc w:val="left"/>
      <w:pPr>
        <w:ind w:left="6480" w:hanging="360"/>
      </w:pPr>
      <w:rPr>
        <w:rFonts w:ascii="Wingdings" w:hAnsi="Wingdings" w:hint="default"/>
      </w:rPr>
    </w:lvl>
  </w:abstractNum>
  <w:abstractNum w:abstractNumId="36" w15:restartNumberingAfterBreak="0">
    <w:nsid w:val="07C82213"/>
    <w:multiLevelType w:val="multilevel"/>
    <w:tmpl w:val="F0F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ED432D"/>
    <w:multiLevelType w:val="multilevel"/>
    <w:tmpl w:val="9180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80723FE"/>
    <w:multiLevelType w:val="hybridMultilevel"/>
    <w:tmpl w:val="0FA478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082401F6"/>
    <w:multiLevelType w:val="hybridMultilevel"/>
    <w:tmpl w:val="DCB21A44"/>
    <w:lvl w:ilvl="0" w:tplc="58A4170E">
      <w:start w:val="1"/>
      <w:numFmt w:val="bullet"/>
      <w:lvlText w:val=""/>
      <w:lvlJc w:val="left"/>
      <w:pPr>
        <w:ind w:left="720" w:hanging="360"/>
      </w:pPr>
      <w:rPr>
        <w:rFonts w:ascii="Symbol" w:hAnsi="Symbol" w:hint="default"/>
      </w:rPr>
    </w:lvl>
    <w:lvl w:ilvl="1" w:tplc="CCECFED2">
      <w:start w:val="1"/>
      <w:numFmt w:val="bullet"/>
      <w:lvlText w:val="o"/>
      <w:lvlJc w:val="left"/>
      <w:pPr>
        <w:ind w:left="1440" w:hanging="360"/>
      </w:pPr>
      <w:rPr>
        <w:rFonts w:ascii="Courier New" w:hAnsi="Courier New" w:hint="default"/>
      </w:rPr>
    </w:lvl>
    <w:lvl w:ilvl="2" w:tplc="45C620A2" w:tentative="1">
      <w:start w:val="1"/>
      <w:numFmt w:val="bullet"/>
      <w:lvlText w:val=""/>
      <w:lvlJc w:val="left"/>
      <w:pPr>
        <w:ind w:left="2160" w:hanging="360"/>
      </w:pPr>
      <w:rPr>
        <w:rFonts w:ascii="Wingdings" w:hAnsi="Wingdings" w:hint="default"/>
      </w:rPr>
    </w:lvl>
    <w:lvl w:ilvl="3" w:tplc="4E5CAB30" w:tentative="1">
      <w:start w:val="1"/>
      <w:numFmt w:val="bullet"/>
      <w:lvlText w:val=""/>
      <w:lvlJc w:val="left"/>
      <w:pPr>
        <w:ind w:left="2880" w:hanging="360"/>
      </w:pPr>
      <w:rPr>
        <w:rFonts w:ascii="Symbol" w:hAnsi="Symbol" w:hint="default"/>
      </w:rPr>
    </w:lvl>
    <w:lvl w:ilvl="4" w:tplc="EF5A0978" w:tentative="1">
      <w:start w:val="1"/>
      <w:numFmt w:val="bullet"/>
      <w:lvlText w:val="o"/>
      <w:lvlJc w:val="left"/>
      <w:pPr>
        <w:ind w:left="3600" w:hanging="360"/>
      </w:pPr>
      <w:rPr>
        <w:rFonts w:ascii="Courier New" w:hAnsi="Courier New" w:hint="default"/>
      </w:rPr>
    </w:lvl>
    <w:lvl w:ilvl="5" w:tplc="8F72821E" w:tentative="1">
      <w:start w:val="1"/>
      <w:numFmt w:val="bullet"/>
      <w:lvlText w:val=""/>
      <w:lvlJc w:val="left"/>
      <w:pPr>
        <w:ind w:left="4320" w:hanging="360"/>
      </w:pPr>
      <w:rPr>
        <w:rFonts w:ascii="Wingdings" w:hAnsi="Wingdings" w:hint="default"/>
      </w:rPr>
    </w:lvl>
    <w:lvl w:ilvl="6" w:tplc="598CD6C6" w:tentative="1">
      <w:start w:val="1"/>
      <w:numFmt w:val="bullet"/>
      <w:lvlText w:val=""/>
      <w:lvlJc w:val="left"/>
      <w:pPr>
        <w:ind w:left="5040" w:hanging="360"/>
      </w:pPr>
      <w:rPr>
        <w:rFonts w:ascii="Symbol" w:hAnsi="Symbol" w:hint="default"/>
      </w:rPr>
    </w:lvl>
    <w:lvl w:ilvl="7" w:tplc="2034D38A" w:tentative="1">
      <w:start w:val="1"/>
      <w:numFmt w:val="bullet"/>
      <w:lvlText w:val="o"/>
      <w:lvlJc w:val="left"/>
      <w:pPr>
        <w:ind w:left="5760" w:hanging="360"/>
      </w:pPr>
      <w:rPr>
        <w:rFonts w:ascii="Courier New" w:hAnsi="Courier New" w:hint="default"/>
      </w:rPr>
    </w:lvl>
    <w:lvl w:ilvl="8" w:tplc="01E657A8" w:tentative="1">
      <w:start w:val="1"/>
      <w:numFmt w:val="bullet"/>
      <w:lvlText w:val=""/>
      <w:lvlJc w:val="left"/>
      <w:pPr>
        <w:ind w:left="6480" w:hanging="360"/>
      </w:pPr>
      <w:rPr>
        <w:rFonts w:ascii="Wingdings" w:hAnsi="Wingdings" w:hint="default"/>
      </w:rPr>
    </w:lvl>
  </w:abstractNum>
  <w:abstractNum w:abstractNumId="40" w15:restartNumberingAfterBreak="0">
    <w:nsid w:val="08357CDA"/>
    <w:multiLevelType w:val="hybridMultilevel"/>
    <w:tmpl w:val="0F5CBDC8"/>
    <w:lvl w:ilvl="0" w:tplc="2D28C37E">
      <w:start w:val="1"/>
      <w:numFmt w:val="bullet"/>
      <w:lvlText w:val=""/>
      <w:lvlJc w:val="left"/>
      <w:pPr>
        <w:ind w:left="720" w:hanging="360"/>
      </w:pPr>
      <w:rPr>
        <w:rFonts w:ascii="Symbol" w:hAnsi="Symbol" w:hint="default"/>
      </w:rPr>
    </w:lvl>
    <w:lvl w:ilvl="1" w:tplc="5EBE3B82" w:tentative="1">
      <w:start w:val="1"/>
      <w:numFmt w:val="bullet"/>
      <w:lvlText w:val="o"/>
      <w:lvlJc w:val="left"/>
      <w:pPr>
        <w:ind w:left="1440" w:hanging="360"/>
      </w:pPr>
      <w:rPr>
        <w:rFonts w:ascii="Courier New" w:hAnsi="Courier New" w:hint="default"/>
      </w:rPr>
    </w:lvl>
    <w:lvl w:ilvl="2" w:tplc="52C85D32" w:tentative="1">
      <w:start w:val="1"/>
      <w:numFmt w:val="bullet"/>
      <w:lvlText w:val=""/>
      <w:lvlJc w:val="left"/>
      <w:pPr>
        <w:ind w:left="2160" w:hanging="360"/>
      </w:pPr>
      <w:rPr>
        <w:rFonts w:ascii="Wingdings" w:hAnsi="Wingdings" w:hint="default"/>
      </w:rPr>
    </w:lvl>
    <w:lvl w:ilvl="3" w:tplc="A3AC8834" w:tentative="1">
      <w:start w:val="1"/>
      <w:numFmt w:val="bullet"/>
      <w:lvlText w:val=""/>
      <w:lvlJc w:val="left"/>
      <w:pPr>
        <w:ind w:left="2880" w:hanging="360"/>
      </w:pPr>
      <w:rPr>
        <w:rFonts w:ascii="Symbol" w:hAnsi="Symbol" w:hint="default"/>
      </w:rPr>
    </w:lvl>
    <w:lvl w:ilvl="4" w:tplc="BCB612F6" w:tentative="1">
      <w:start w:val="1"/>
      <w:numFmt w:val="bullet"/>
      <w:lvlText w:val="o"/>
      <w:lvlJc w:val="left"/>
      <w:pPr>
        <w:ind w:left="3600" w:hanging="360"/>
      </w:pPr>
      <w:rPr>
        <w:rFonts w:ascii="Courier New" w:hAnsi="Courier New" w:hint="default"/>
      </w:rPr>
    </w:lvl>
    <w:lvl w:ilvl="5" w:tplc="B3C4D6EA" w:tentative="1">
      <w:start w:val="1"/>
      <w:numFmt w:val="bullet"/>
      <w:lvlText w:val=""/>
      <w:lvlJc w:val="left"/>
      <w:pPr>
        <w:ind w:left="4320" w:hanging="360"/>
      </w:pPr>
      <w:rPr>
        <w:rFonts w:ascii="Wingdings" w:hAnsi="Wingdings" w:hint="default"/>
      </w:rPr>
    </w:lvl>
    <w:lvl w:ilvl="6" w:tplc="5F8873A4" w:tentative="1">
      <w:start w:val="1"/>
      <w:numFmt w:val="bullet"/>
      <w:lvlText w:val=""/>
      <w:lvlJc w:val="left"/>
      <w:pPr>
        <w:ind w:left="5040" w:hanging="360"/>
      </w:pPr>
      <w:rPr>
        <w:rFonts w:ascii="Symbol" w:hAnsi="Symbol" w:hint="default"/>
      </w:rPr>
    </w:lvl>
    <w:lvl w:ilvl="7" w:tplc="BBE84A08" w:tentative="1">
      <w:start w:val="1"/>
      <w:numFmt w:val="bullet"/>
      <w:lvlText w:val="o"/>
      <w:lvlJc w:val="left"/>
      <w:pPr>
        <w:ind w:left="5760" w:hanging="360"/>
      </w:pPr>
      <w:rPr>
        <w:rFonts w:ascii="Courier New" w:hAnsi="Courier New" w:hint="default"/>
      </w:rPr>
    </w:lvl>
    <w:lvl w:ilvl="8" w:tplc="7B76B928" w:tentative="1">
      <w:start w:val="1"/>
      <w:numFmt w:val="bullet"/>
      <w:lvlText w:val=""/>
      <w:lvlJc w:val="left"/>
      <w:pPr>
        <w:ind w:left="6480" w:hanging="360"/>
      </w:pPr>
      <w:rPr>
        <w:rFonts w:ascii="Wingdings" w:hAnsi="Wingdings" w:hint="default"/>
      </w:rPr>
    </w:lvl>
  </w:abstractNum>
  <w:abstractNum w:abstractNumId="41" w15:restartNumberingAfterBreak="0">
    <w:nsid w:val="088165D5"/>
    <w:multiLevelType w:val="multilevel"/>
    <w:tmpl w:val="EB68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E57A52"/>
    <w:multiLevelType w:val="multilevel"/>
    <w:tmpl w:val="CC1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90D5ED4"/>
    <w:multiLevelType w:val="hybridMultilevel"/>
    <w:tmpl w:val="73FE32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096AA362"/>
    <w:multiLevelType w:val="hybridMultilevel"/>
    <w:tmpl w:val="1CEA8FBA"/>
    <w:lvl w:ilvl="0" w:tplc="3B8CBE74">
      <w:start w:val="1"/>
      <w:numFmt w:val="bullet"/>
      <w:lvlText w:val="·"/>
      <w:lvlJc w:val="left"/>
      <w:pPr>
        <w:ind w:left="720" w:hanging="360"/>
      </w:pPr>
      <w:rPr>
        <w:rFonts w:ascii="Symbol" w:hAnsi="Symbol" w:hint="default"/>
      </w:rPr>
    </w:lvl>
    <w:lvl w:ilvl="1" w:tplc="F4306170">
      <w:start w:val="1"/>
      <w:numFmt w:val="bullet"/>
      <w:lvlText w:val="o"/>
      <w:lvlJc w:val="left"/>
      <w:pPr>
        <w:ind w:left="1440" w:hanging="360"/>
      </w:pPr>
      <w:rPr>
        <w:rFonts w:ascii="Courier New" w:hAnsi="Courier New" w:hint="default"/>
      </w:rPr>
    </w:lvl>
    <w:lvl w:ilvl="2" w:tplc="6C323994">
      <w:start w:val="1"/>
      <w:numFmt w:val="bullet"/>
      <w:lvlText w:val=""/>
      <w:lvlJc w:val="left"/>
      <w:pPr>
        <w:ind w:left="2160" w:hanging="360"/>
      </w:pPr>
      <w:rPr>
        <w:rFonts w:ascii="Wingdings" w:hAnsi="Wingdings" w:hint="default"/>
      </w:rPr>
    </w:lvl>
    <w:lvl w:ilvl="3" w:tplc="617C5DA0">
      <w:start w:val="1"/>
      <w:numFmt w:val="bullet"/>
      <w:lvlText w:val=""/>
      <w:lvlJc w:val="left"/>
      <w:pPr>
        <w:ind w:left="2880" w:hanging="360"/>
      </w:pPr>
      <w:rPr>
        <w:rFonts w:ascii="Symbol" w:hAnsi="Symbol" w:hint="default"/>
      </w:rPr>
    </w:lvl>
    <w:lvl w:ilvl="4" w:tplc="24760484">
      <w:start w:val="1"/>
      <w:numFmt w:val="bullet"/>
      <w:lvlText w:val="o"/>
      <w:lvlJc w:val="left"/>
      <w:pPr>
        <w:ind w:left="3600" w:hanging="360"/>
      </w:pPr>
      <w:rPr>
        <w:rFonts w:ascii="Courier New" w:hAnsi="Courier New" w:hint="default"/>
      </w:rPr>
    </w:lvl>
    <w:lvl w:ilvl="5" w:tplc="94308782">
      <w:start w:val="1"/>
      <w:numFmt w:val="bullet"/>
      <w:lvlText w:val=""/>
      <w:lvlJc w:val="left"/>
      <w:pPr>
        <w:ind w:left="4320" w:hanging="360"/>
      </w:pPr>
      <w:rPr>
        <w:rFonts w:ascii="Wingdings" w:hAnsi="Wingdings" w:hint="default"/>
      </w:rPr>
    </w:lvl>
    <w:lvl w:ilvl="6" w:tplc="161ED0FE">
      <w:start w:val="1"/>
      <w:numFmt w:val="bullet"/>
      <w:lvlText w:val=""/>
      <w:lvlJc w:val="left"/>
      <w:pPr>
        <w:ind w:left="5040" w:hanging="360"/>
      </w:pPr>
      <w:rPr>
        <w:rFonts w:ascii="Symbol" w:hAnsi="Symbol" w:hint="default"/>
      </w:rPr>
    </w:lvl>
    <w:lvl w:ilvl="7" w:tplc="1F2C5488">
      <w:start w:val="1"/>
      <w:numFmt w:val="bullet"/>
      <w:lvlText w:val="o"/>
      <w:lvlJc w:val="left"/>
      <w:pPr>
        <w:ind w:left="5760" w:hanging="360"/>
      </w:pPr>
      <w:rPr>
        <w:rFonts w:ascii="Courier New" w:hAnsi="Courier New" w:hint="default"/>
      </w:rPr>
    </w:lvl>
    <w:lvl w:ilvl="8" w:tplc="60425DB4">
      <w:start w:val="1"/>
      <w:numFmt w:val="bullet"/>
      <w:lvlText w:val=""/>
      <w:lvlJc w:val="left"/>
      <w:pPr>
        <w:ind w:left="6480" w:hanging="360"/>
      </w:pPr>
      <w:rPr>
        <w:rFonts w:ascii="Wingdings" w:hAnsi="Wingdings" w:hint="default"/>
      </w:rPr>
    </w:lvl>
  </w:abstractNum>
  <w:abstractNum w:abstractNumId="45" w15:restartNumberingAfterBreak="0">
    <w:nsid w:val="09751C6A"/>
    <w:multiLevelType w:val="hybridMultilevel"/>
    <w:tmpl w:val="FFFFFFFF"/>
    <w:lvl w:ilvl="0" w:tplc="517A0C8A">
      <w:start w:val="1"/>
      <w:numFmt w:val="bullet"/>
      <w:lvlText w:val="·"/>
      <w:lvlJc w:val="left"/>
      <w:pPr>
        <w:ind w:left="720" w:hanging="360"/>
      </w:pPr>
      <w:rPr>
        <w:rFonts w:ascii="Symbol" w:hAnsi="Symbol" w:hint="default"/>
      </w:rPr>
    </w:lvl>
    <w:lvl w:ilvl="1" w:tplc="7122A998">
      <w:start w:val="1"/>
      <w:numFmt w:val="bullet"/>
      <w:lvlText w:val="o"/>
      <w:lvlJc w:val="left"/>
      <w:pPr>
        <w:ind w:left="1440" w:hanging="360"/>
      </w:pPr>
      <w:rPr>
        <w:rFonts w:ascii="Courier New" w:hAnsi="Courier New" w:hint="default"/>
      </w:rPr>
    </w:lvl>
    <w:lvl w:ilvl="2" w:tplc="D37E2B2E">
      <w:start w:val="1"/>
      <w:numFmt w:val="bullet"/>
      <w:lvlText w:val=""/>
      <w:lvlJc w:val="left"/>
      <w:pPr>
        <w:ind w:left="2160" w:hanging="360"/>
      </w:pPr>
      <w:rPr>
        <w:rFonts w:ascii="Wingdings" w:hAnsi="Wingdings" w:hint="default"/>
      </w:rPr>
    </w:lvl>
    <w:lvl w:ilvl="3" w:tplc="F5E61178">
      <w:start w:val="1"/>
      <w:numFmt w:val="bullet"/>
      <w:lvlText w:val=""/>
      <w:lvlJc w:val="left"/>
      <w:pPr>
        <w:ind w:left="2880" w:hanging="360"/>
      </w:pPr>
      <w:rPr>
        <w:rFonts w:ascii="Symbol" w:hAnsi="Symbol" w:hint="default"/>
      </w:rPr>
    </w:lvl>
    <w:lvl w:ilvl="4" w:tplc="A296D340">
      <w:start w:val="1"/>
      <w:numFmt w:val="bullet"/>
      <w:lvlText w:val="o"/>
      <w:lvlJc w:val="left"/>
      <w:pPr>
        <w:ind w:left="3600" w:hanging="360"/>
      </w:pPr>
      <w:rPr>
        <w:rFonts w:ascii="Courier New" w:hAnsi="Courier New" w:hint="default"/>
      </w:rPr>
    </w:lvl>
    <w:lvl w:ilvl="5" w:tplc="B3F40B2A">
      <w:start w:val="1"/>
      <w:numFmt w:val="bullet"/>
      <w:lvlText w:val=""/>
      <w:lvlJc w:val="left"/>
      <w:pPr>
        <w:ind w:left="4320" w:hanging="360"/>
      </w:pPr>
      <w:rPr>
        <w:rFonts w:ascii="Wingdings" w:hAnsi="Wingdings" w:hint="default"/>
      </w:rPr>
    </w:lvl>
    <w:lvl w:ilvl="6" w:tplc="9F4A712C">
      <w:start w:val="1"/>
      <w:numFmt w:val="bullet"/>
      <w:lvlText w:val=""/>
      <w:lvlJc w:val="left"/>
      <w:pPr>
        <w:ind w:left="5040" w:hanging="360"/>
      </w:pPr>
      <w:rPr>
        <w:rFonts w:ascii="Symbol" w:hAnsi="Symbol" w:hint="default"/>
      </w:rPr>
    </w:lvl>
    <w:lvl w:ilvl="7" w:tplc="FE7442C6">
      <w:start w:val="1"/>
      <w:numFmt w:val="bullet"/>
      <w:lvlText w:val="o"/>
      <w:lvlJc w:val="left"/>
      <w:pPr>
        <w:ind w:left="5760" w:hanging="360"/>
      </w:pPr>
      <w:rPr>
        <w:rFonts w:ascii="Courier New" w:hAnsi="Courier New" w:hint="default"/>
      </w:rPr>
    </w:lvl>
    <w:lvl w:ilvl="8" w:tplc="172433A0">
      <w:start w:val="1"/>
      <w:numFmt w:val="bullet"/>
      <w:lvlText w:val=""/>
      <w:lvlJc w:val="left"/>
      <w:pPr>
        <w:ind w:left="6480" w:hanging="360"/>
      </w:pPr>
      <w:rPr>
        <w:rFonts w:ascii="Wingdings" w:hAnsi="Wingdings" w:hint="default"/>
      </w:rPr>
    </w:lvl>
  </w:abstractNum>
  <w:abstractNum w:abstractNumId="46" w15:restartNumberingAfterBreak="0">
    <w:nsid w:val="0976144B"/>
    <w:multiLevelType w:val="hybridMultilevel"/>
    <w:tmpl w:val="5C9AD932"/>
    <w:lvl w:ilvl="0" w:tplc="3D625836">
      <w:start w:val="1"/>
      <w:numFmt w:val="bullet"/>
      <w:lvlText w:val="·"/>
      <w:lvlJc w:val="left"/>
      <w:pPr>
        <w:ind w:left="720" w:hanging="360"/>
      </w:pPr>
      <w:rPr>
        <w:rFonts w:ascii="Symbol" w:hAnsi="Symbol" w:hint="default"/>
      </w:rPr>
    </w:lvl>
    <w:lvl w:ilvl="1" w:tplc="AB4883FE" w:tentative="1">
      <w:start w:val="1"/>
      <w:numFmt w:val="bullet"/>
      <w:lvlText w:val="o"/>
      <w:lvlJc w:val="left"/>
      <w:pPr>
        <w:ind w:left="1440" w:hanging="360"/>
      </w:pPr>
      <w:rPr>
        <w:rFonts w:ascii="Courier New" w:hAnsi="Courier New" w:hint="default"/>
      </w:rPr>
    </w:lvl>
    <w:lvl w:ilvl="2" w:tplc="495CC3D0" w:tentative="1">
      <w:start w:val="1"/>
      <w:numFmt w:val="bullet"/>
      <w:lvlText w:val=""/>
      <w:lvlJc w:val="left"/>
      <w:pPr>
        <w:ind w:left="2160" w:hanging="360"/>
      </w:pPr>
      <w:rPr>
        <w:rFonts w:ascii="Wingdings" w:hAnsi="Wingdings" w:hint="default"/>
      </w:rPr>
    </w:lvl>
    <w:lvl w:ilvl="3" w:tplc="97288862" w:tentative="1">
      <w:start w:val="1"/>
      <w:numFmt w:val="bullet"/>
      <w:lvlText w:val=""/>
      <w:lvlJc w:val="left"/>
      <w:pPr>
        <w:ind w:left="2880" w:hanging="360"/>
      </w:pPr>
      <w:rPr>
        <w:rFonts w:ascii="Symbol" w:hAnsi="Symbol" w:hint="default"/>
      </w:rPr>
    </w:lvl>
    <w:lvl w:ilvl="4" w:tplc="BF7A3D14" w:tentative="1">
      <w:start w:val="1"/>
      <w:numFmt w:val="bullet"/>
      <w:lvlText w:val="o"/>
      <w:lvlJc w:val="left"/>
      <w:pPr>
        <w:ind w:left="3600" w:hanging="360"/>
      </w:pPr>
      <w:rPr>
        <w:rFonts w:ascii="Courier New" w:hAnsi="Courier New" w:hint="default"/>
      </w:rPr>
    </w:lvl>
    <w:lvl w:ilvl="5" w:tplc="B524B512" w:tentative="1">
      <w:start w:val="1"/>
      <w:numFmt w:val="bullet"/>
      <w:lvlText w:val=""/>
      <w:lvlJc w:val="left"/>
      <w:pPr>
        <w:ind w:left="4320" w:hanging="360"/>
      </w:pPr>
      <w:rPr>
        <w:rFonts w:ascii="Wingdings" w:hAnsi="Wingdings" w:hint="default"/>
      </w:rPr>
    </w:lvl>
    <w:lvl w:ilvl="6" w:tplc="F510F664" w:tentative="1">
      <w:start w:val="1"/>
      <w:numFmt w:val="bullet"/>
      <w:lvlText w:val=""/>
      <w:lvlJc w:val="left"/>
      <w:pPr>
        <w:ind w:left="5040" w:hanging="360"/>
      </w:pPr>
      <w:rPr>
        <w:rFonts w:ascii="Symbol" w:hAnsi="Symbol" w:hint="default"/>
      </w:rPr>
    </w:lvl>
    <w:lvl w:ilvl="7" w:tplc="0A8026A0" w:tentative="1">
      <w:start w:val="1"/>
      <w:numFmt w:val="bullet"/>
      <w:lvlText w:val="o"/>
      <w:lvlJc w:val="left"/>
      <w:pPr>
        <w:ind w:left="5760" w:hanging="360"/>
      </w:pPr>
      <w:rPr>
        <w:rFonts w:ascii="Courier New" w:hAnsi="Courier New" w:hint="default"/>
      </w:rPr>
    </w:lvl>
    <w:lvl w:ilvl="8" w:tplc="352650FE" w:tentative="1">
      <w:start w:val="1"/>
      <w:numFmt w:val="bullet"/>
      <w:lvlText w:val=""/>
      <w:lvlJc w:val="left"/>
      <w:pPr>
        <w:ind w:left="6480" w:hanging="360"/>
      </w:pPr>
      <w:rPr>
        <w:rFonts w:ascii="Wingdings" w:hAnsi="Wingdings" w:hint="default"/>
      </w:rPr>
    </w:lvl>
  </w:abstractNum>
  <w:abstractNum w:abstractNumId="47" w15:restartNumberingAfterBreak="0">
    <w:nsid w:val="09762056"/>
    <w:multiLevelType w:val="multilevel"/>
    <w:tmpl w:val="92C2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9BC11C2"/>
    <w:multiLevelType w:val="hybridMultilevel"/>
    <w:tmpl w:val="C7B045EE"/>
    <w:lvl w:ilvl="0" w:tplc="00C621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09FC4A1C"/>
    <w:multiLevelType w:val="hybridMultilevel"/>
    <w:tmpl w:val="97DC428C"/>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A162AF0"/>
    <w:multiLevelType w:val="hybridMultilevel"/>
    <w:tmpl w:val="CB762968"/>
    <w:lvl w:ilvl="0" w:tplc="B7606376">
      <w:start w:val="1"/>
      <w:numFmt w:val="bullet"/>
      <w:lvlText w:val=""/>
      <w:lvlJc w:val="left"/>
      <w:pPr>
        <w:ind w:left="720" w:hanging="360"/>
      </w:pPr>
      <w:rPr>
        <w:rFonts w:ascii="Symbol" w:hAnsi="Symbol" w:hint="default"/>
      </w:rPr>
    </w:lvl>
    <w:lvl w:ilvl="1" w:tplc="FC8AC4E8" w:tentative="1">
      <w:start w:val="1"/>
      <w:numFmt w:val="bullet"/>
      <w:lvlText w:val="o"/>
      <w:lvlJc w:val="left"/>
      <w:pPr>
        <w:ind w:left="1440" w:hanging="360"/>
      </w:pPr>
      <w:rPr>
        <w:rFonts w:ascii="Courier New" w:hAnsi="Courier New" w:hint="default"/>
      </w:rPr>
    </w:lvl>
    <w:lvl w:ilvl="2" w:tplc="87429A30" w:tentative="1">
      <w:start w:val="1"/>
      <w:numFmt w:val="bullet"/>
      <w:lvlText w:val=""/>
      <w:lvlJc w:val="left"/>
      <w:pPr>
        <w:ind w:left="2160" w:hanging="360"/>
      </w:pPr>
      <w:rPr>
        <w:rFonts w:ascii="Wingdings" w:hAnsi="Wingdings" w:hint="default"/>
      </w:rPr>
    </w:lvl>
    <w:lvl w:ilvl="3" w:tplc="9758883C" w:tentative="1">
      <w:start w:val="1"/>
      <w:numFmt w:val="bullet"/>
      <w:lvlText w:val=""/>
      <w:lvlJc w:val="left"/>
      <w:pPr>
        <w:ind w:left="2880" w:hanging="360"/>
      </w:pPr>
      <w:rPr>
        <w:rFonts w:ascii="Symbol" w:hAnsi="Symbol" w:hint="default"/>
      </w:rPr>
    </w:lvl>
    <w:lvl w:ilvl="4" w:tplc="F51CE70C" w:tentative="1">
      <w:start w:val="1"/>
      <w:numFmt w:val="bullet"/>
      <w:lvlText w:val="o"/>
      <w:lvlJc w:val="left"/>
      <w:pPr>
        <w:ind w:left="3600" w:hanging="360"/>
      </w:pPr>
      <w:rPr>
        <w:rFonts w:ascii="Courier New" w:hAnsi="Courier New" w:hint="default"/>
      </w:rPr>
    </w:lvl>
    <w:lvl w:ilvl="5" w:tplc="7EAC2FB8" w:tentative="1">
      <w:start w:val="1"/>
      <w:numFmt w:val="bullet"/>
      <w:lvlText w:val=""/>
      <w:lvlJc w:val="left"/>
      <w:pPr>
        <w:ind w:left="4320" w:hanging="360"/>
      </w:pPr>
      <w:rPr>
        <w:rFonts w:ascii="Wingdings" w:hAnsi="Wingdings" w:hint="default"/>
      </w:rPr>
    </w:lvl>
    <w:lvl w:ilvl="6" w:tplc="2F0A0742" w:tentative="1">
      <w:start w:val="1"/>
      <w:numFmt w:val="bullet"/>
      <w:lvlText w:val=""/>
      <w:lvlJc w:val="left"/>
      <w:pPr>
        <w:ind w:left="5040" w:hanging="360"/>
      </w:pPr>
      <w:rPr>
        <w:rFonts w:ascii="Symbol" w:hAnsi="Symbol" w:hint="default"/>
      </w:rPr>
    </w:lvl>
    <w:lvl w:ilvl="7" w:tplc="D69003DC" w:tentative="1">
      <w:start w:val="1"/>
      <w:numFmt w:val="bullet"/>
      <w:lvlText w:val="o"/>
      <w:lvlJc w:val="left"/>
      <w:pPr>
        <w:ind w:left="5760" w:hanging="360"/>
      </w:pPr>
      <w:rPr>
        <w:rFonts w:ascii="Courier New" w:hAnsi="Courier New" w:hint="default"/>
      </w:rPr>
    </w:lvl>
    <w:lvl w:ilvl="8" w:tplc="58B45E9A" w:tentative="1">
      <w:start w:val="1"/>
      <w:numFmt w:val="bullet"/>
      <w:lvlText w:val=""/>
      <w:lvlJc w:val="left"/>
      <w:pPr>
        <w:ind w:left="6480" w:hanging="360"/>
      </w:pPr>
      <w:rPr>
        <w:rFonts w:ascii="Wingdings" w:hAnsi="Wingdings" w:hint="default"/>
      </w:rPr>
    </w:lvl>
  </w:abstractNum>
  <w:abstractNum w:abstractNumId="51" w15:restartNumberingAfterBreak="0">
    <w:nsid w:val="0A1E4F5B"/>
    <w:multiLevelType w:val="hybridMultilevel"/>
    <w:tmpl w:val="BBDEC3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0A396762"/>
    <w:multiLevelType w:val="multilevel"/>
    <w:tmpl w:val="EC90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7C5E2D"/>
    <w:multiLevelType w:val="hybridMultilevel"/>
    <w:tmpl w:val="536A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0A854CDF"/>
    <w:multiLevelType w:val="multilevel"/>
    <w:tmpl w:val="7C78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AE29D80"/>
    <w:multiLevelType w:val="hybridMultilevel"/>
    <w:tmpl w:val="FFFFFFFF"/>
    <w:lvl w:ilvl="0" w:tplc="88AA53E4">
      <w:start w:val="1"/>
      <w:numFmt w:val="bullet"/>
      <w:lvlText w:val="·"/>
      <w:lvlJc w:val="left"/>
      <w:pPr>
        <w:ind w:left="720" w:hanging="360"/>
      </w:pPr>
      <w:rPr>
        <w:rFonts w:ascii="Symbol" w:hAnsi="Symbol" w:hint="default"/>
      </w:rPr>
    </w:lvl>
    <w:lvl w:ilvl="1" w:tplc="EBD27C10">
      <w:start w:val="1"/>
      <w:numFmt w:val="bullet"/>
      <w:lvlText w:val="o"/>
      <w:lvlJc w:val="left"/>
      <w:pPr>
        <w:ind w:left="1440" w:hanging="360"/>
      </w:pPr>
      <w:rPr>
        <w:rFonts w:ascii="Courier New" w:hAnsi="Courier New" w:hint="default"/>
      </w:rPr>
    </w:lvl>
    <w:lvl w:ilvl="2" w:tplc="0B6C7B54">
      <w:start w:val="1"/>
      <w:numFmt w:val="bullet"/>
      <w:lvlText w:val=""/>
      <w:lvlJc w:val="left"/>
      <w:pPr>
        <w:ind w:left="2160" w:hanging="360"/>
      </w:pPr>
      <w:rPr>
        <w:rFonts w:ascii="Wingdings" w:hAnsi="Wingdings" w:hint="default"/>
      </w:rPr>
    </w:lvl>
    <w:lvl w:ilvl="3" w:tplc="A920BBDE">
      <w:start w:val="1"/>
      <w:numFmt w:val="bullet"/>
      <w:lvlText w:val=""/>
      <w:lvlJc w:val="left"/>
      <w:pPr>
        <w:ind w:left="2880" w:hanging="360"/>
      </w:pPr>
      <w:rPr>
        <w:rFonts w:ascii="Symbol" w:hAnsi="Symbol" w:hint="default"/>
      </w:rPr>
    </w:lvl>
    <w:lvl w:ilvl="4" w:tplc="B85E6356">
      <w:start w:val="1"/>
      <w:numFmt w:val="bullet"/>
      <w:lvlText w:val="o"/>
      <w:lvlJc w:val="left"/>
      <w:pPr>
        <w:ind w:left="3600" w:hanging="360"/>
      </w:pPr>
      <w:rPr>
        <w:rFonts w:ascii="Courier New" w:hAnsi="Courier New" w:hint="default"/>
      </w:rPr>
    </w:lvl>
    <w:lvl w:ilvl="5" w:tplc="36EA2E9A">
      <w:start w:val="1"/>
      <w:numFmt w:val="bullet"/>
      <w:lvlText w:val=""/>
      <w:lvlJc w:val="left"/>
      <w:pPr>
        <w:ind w:left="4320" w:hanging="360"/>
      </w:pPr>
      <w:rPr>
        <w:rFonts w:ascii="Wingdings" w:hAnsi="Wingdings" w:hint="default"/>
      </w:rPr>
    </w:lvl>
    <w:lvl w:ilvl="6" w:tplc="24288136">
      <w:start w:val="1"/>
      <w:numFmt w:val="bullet"/>
      <w:lvlText w:val=""/>
      <w:lvlJc w:val="left"/>
      <w:pPr>
        <w:ind w:left="5040" w:hanging="360"/>
      </w:pPr>
      <w:rPr>
        <w:rFonts w:ascii="Symbol" w:hAnsi="Symbol" w:hint="default"/>
      </w:rPr>
    </w:lvl>
    <w:lvl w:ilvl="7" w:tplc="8DA8DDA6">
      <w:start w:val="1"/>
      <w:numFmt w:val="bullet"/>
      <w:lvlText w:val="o"/>
      <w:lvlJc w:val="left"/>
      <w:pPr>
        <w:ind w:left="5760" w:hanging="360"/>
      </w:pPr>
      <w:rPr>
        <w:rFonts w:ascii="Courier New" w:hAnsi="Courier New" w:hint="default"/>
      </w:rPr>
    </w:lvl>
    <w:lvl w:ilvl="8" w:tplc="C99A9442">
      <w:start w:val="1"/>
      <w:numFmt w:val="bullet"/>
      <w:lvlText w:val=""/>
      <w:lvlJc w:val="left"/>
      <w:pPr>
        <w:ind w:left="6480" w:hanging="360"/>
      </w:pPr>
      <w:rPr>
        <w:rFonts w:ascii="Wingdings" w:hAnsi="Wingdings" w:hint="default"/>
      </w:rPr>
    </w:lvl>
  </w:abstractNum>
  <w:abstractNum w:abstractNumId="56" w15:restartNumberingAfterBreak="0">
    <w:nsid w:val="0AFAEF3B"/>
    <w:multiLevelType w:val="hybridMultilevel"/>
    <w:tmpl w:val="645C87B2"/>
    <w:lvl w:ilvl="0" w:tplc="47FCE24C">
      <w:start w:val="1"/>
      <w:numFmt w:val="bullet"/>
      <w:lvlText w:val="·"/>
      <w:lvlJc w:val="left"/>
      <w:pPr>
        <w:ind w:left="720" w:hanging="360"/>
      </w:pPr>
      <w:rPr>
        <w:rFonts w:ascii="Symbol" w:hAnsi="Symbol" w:hint="default"/>
      </w:rPr>
    </w:lvl>
    <w:lvl w:ilvl="1" w:tplc="3C06400E">
      <w:start w:val="1"/>
      <w:numFmt w:val="bullet"/>
      <w:lvlText w:val="o"/>
      <w:lvlJc w:val="left"/>
      <w:pPr>
        <w:ind w:left="1440" w:hanging="360"/>
      </w:pPr>
      <w:rPr>
        <w:rFonts w:ascii="Courier New" w:hAnsi="Courier New" w:hint="default"/>
      </w:rPr>
    </w:lvl>
    <w:lvl w:ilvl="2" w:tplc="D02A6544">
      <w:start w:val="1"/>
      <w:numFmt w:val="bullet"/>
      <w:lvlText w:val=""/>
      <w:lvlJc w:val="left"/>
      <w:pPr>
        <w:ind w:left="2160" w:hanging="360"/>
      </w:pPr>
      <w:rPr>
        <w:rFonts w:ascii="Wingdings" w:hAnsi="Wingdings" w:hint="default"/>
      </w:rPr>
    </w:lvl>
    <w:lvl w:ilvl="3" w:tplc="5122D8DE">
      <w:start w:val="1"/>
      <w:numFmt w:val="bullet"/>
      <w:lvlText w:val=""/>
      <w:lvlJc w:val="left"/>
      <w:pPr>
        <w:ind w:left="2880" w:hanging="360"/>
      </w:pPr>
      <w:rPr>
        <w:rFonts w:ascii="Symbol" w:hAnsi="Symbol" w:hint="default"/>
      </w:rPr>
    </w:lvl>
    <w:lvl w:ilvl="4" w:tplc="63B6A8DE">
      <w:start w:val="1"/>
      <w:numFmt w:val="bullet"/>
      <w:lvlText w:val="o"/>
      <w:lvlJc w:val="left"/>
      <w:pPr>
        <w:ind w:left="3600" w:hanging="360"/>
      </w:pPr>
      <w:rPr>
        <w:rFonts w:ascii="Courier New" w:hAnsi="Courier New" w:hint="default"/>
      </w:rPr>
    </w:lvl>
    <w:lvl w:ilvl="5" w:tplc="C520EF88">
      <w:start w:val="1"/>
      <w:numFmt w:val="bullet"/>
      <w:lvlText w:val=""/>
      <w:lvlJc w:val="left"/>
      <w:pPr>
        <w:ind w:left="4320" w:hanging="360"/>
      </w:pPr>
      <w:rPr>
        <w:rFonts w:ascii="Wingdings" w:hAnsi="Wingdings" w:hint="default"/>
      </w:rPr>
    </w:lvl>
    <w:lvl w:ilvl="6" w:tplc="E4C85088">
      <w:start w:val="1"/>
      <w:numFmt w:val="bullet"/>
      <w:lvlText w:val=""/>
      <w:lvlJc w:val="left"/>
      <w:pPr>
        <w:ind w:left="5040" w:hanging="360"/>
      </w:pPr>
      <w:rPr>
        <w:rFonts w:ascii="Symbol" w:hAnsi="Symbol" w:hint="default"/>
      </w:rPr>
    </w:lvl>
    <w:lvl w:ilvl="7" w:tplc="0276B4BA">
      <w:start w:val="1"/>
      <w:numFmt w:val="bullet"/>
      <w:lvlText w:val="o"/>
      <w:lvlJc w:val="left"/>
      <w:pPr>
        <w:ind w:left="5760" w:hanging="360"/>
      </w:pPr>
      <w:rPr>
        <w:rFonts w:ascii="Courier New" w:hAnsi="Courier New" w:hint="default"/>
      </w:rPr>
    </w:lvl>
    <w:lvl w:ilvl="8" w:tplc="F3546852">
      <w:start w:val="1"/>
      <w:numFmt w:val="bullet"/>
      <w:lvlText w:val=""/>
      <w:lvlJc w:val="left"/>
      <w:pPr>
        <w:ind w:left="6480" w:hanging="360"/>
      </w:pPr>
      <w:rPr>
        <w:rFonts w:ascii="Wingdings" w:hAnsi="Wingdings" w:hint="default"/>
      </w:rPr>
    </w:lvl>
  </w:abstractNum>
  <w:abstractNum w:abstractNumId="57" w15:restartNumberingAfterBreak="0">
    <w:nsid w:val="0B404CA6"/>
    <w:multiLevelType w:val="hybridMultilevel"/>
    <w:tmpl w:val="F670CF2E"/>
    <w:lvl w:ilvl="0" w:tplc="F1E8095C">
      <w:start w:val="1"/>
      <w:numFmt w:val="bullet"/>
      <w:lvlText w:val=""/>
      <w:lvlJc w:val="left"/>
      <w:pPr>
        <w:ind w:left="720" w:hanging="360"/>
      </w:pPr>
      <w:rPr>
        <w:rFonts w:ascii="Symbol" w:hAnsi="Symbol" w:hint="default"/>
      </w:rPr>
    </w:lvl>
    <w:lvl w:ilvl="1" w:tplc="520860A6" w:tentative="1">
      <w:start w:val="1"/>
      <w:numFmt w:val="bullet"/>
      <w:lvlText w:val="o"/>
      <w:lvlJc w:val="left"/>
      <w:pPr>
        <w:ind w:left="1440" w:hanging="360"/>
      </w:pPr>
      <w:rPr>
        <w:rFonts w:ascii="Courier New" w:hAnsi="Courier New" w:hint="default"/>
      </w:rPr>
    </w:lvl>
    <w:lvl w:ilvl="2" w:tplc="36DC1A86" w:tentative="1">
      <w:start w:val="1"/>
      <w:numFmt w:val="bullet"/>
      <w:lvlText w:val=""/>
      <w:lvlJc w:val="left"/>
      <w:pPr>
        <w:ind w:left="2160" w:hanging="360"/>
      </w:pPr>
      <w:rPr>
        <w:rFonts w:ascii="Wingdings" w:hAnsi="Wingdings" w:hint="default"/>
      </w:rPr>
    </w:lvl>
    <w:lvl w:ilvl="3" w:tplc="ED882A80" w:tentative="1">
      <w:start w:val="1"/>
      <w:numFmt w:val="bullet"/>
      <w:lvlText w:val=""/>
      <w:lvlJc w:val="left"/>
      <w:pPr>
        <w:ind w:left="2880" w:hanging="360"/>
      </w:pPr>
      <w:rPr>
        <w:rFonts w:ascii="Symbol" w:hAnsi="Symbol" w:hint="default"/>
      </w:rPr>
    </w:lvl>
    <w:lvl w:ilvl="4" w:tplc="D90EA592" w:tentative="1">
      <w:start w:val="1"/>
      <w:numFmt w:val="bullet"/>
      <w:lvlText w:val="o"/>
      <w:lvlJc w:val="left"/>
      <w:pPr>
        <w:ind w:left="3600" w:hanging="360"/>
      </w:pPr>
      <w:rPr>
        <w:rFonts w:ascii="Courier New" w:hAnsi="Courier New" w:hint="default"/>
      </w:rPr>
    </w:lvl>
    <w:lvl w:ilvl="5" w:tplc="3FBA0E1E" w:tentative="1">
      <w:start w:val="1"/>
      <w:numFmt w:val="bullet"/>
      <w:lvlText w:val=""/>
      <w:lvlJc w:val="left"/>
      <w:pPr>
        <w:ind w:left="4320" w:hanging="360"/>
      </w:pPr>
      <w:rPr>
        <w:rFonts w:ascii="Wingdings" w:hAnsi="Wingdings" w:hint="default"/>
      </w:rPr>
    </w:lvl>
    <w:lvl w:ilvl="6" w:tplc="FEAEECC0" w:tentative="1">
      <w:start w:val="1"/>
      <w:numFmt w:val="bullet"/>
      <w:lvlText w:val=""/>
      <w:lvlJc w:val="left"/>
      <w:pPr>
        <w:ind w:left="5040" w:hanging="360"/>
      </w:pPr>
      <w:rPr>
        <w:rFonts w:ascii="Symbol" w:hAnsi="Symbol" w:hint="default"/>
      </w:rPr>
    </w:lvl>
    <w:lvl w:ilvl="7" w:tplc="42147A1C" w:tentative="1">
      <w:start w:val="1"/>
      <w:numFmt w:val="bullet"/>
      <w:lvlText w:val="o"/>
      <w:lvlJc w:val="left"/>
      <w:pPr>
        <w:ind w:left="5760" w:hanging="360"/>
      </w:pPr>
      <w:rPr>
        <w:rFonts w:ascii="Courier New" w:hAnsi="Courier New" w:hint="default"/>
      </w:rPr>
    </w:lvl>
    <w:lvl w:ilvl="8" w:tplc="256AB80E" w:tentative="1">
      <w:start w:val="1"/>
      <w:numFmt w:val="bullet"/>
      <w:lvlText w:val=""/>
      <w:lvlJc w:val="left"/>
      <w:pPr>
        <w:ind w:left="6480" w:hanging="360"/>
      </w:pPr>
      <w:rPr>
        <w:rFonts w:ascii="Wingdings" w:hAnsi="Wingdings" w:hint="default"/>
      </w:rPr>
    </w:lvl>
  </w:abstractNum>
  <w:abstractNum w:abstractNumId="58" w15:restartNumberingAfterBreak="0">
    <w:nsid w:val="0B7D67ED"/>
    <w:multiLevelType w:val="multilevel"/>
    <w:tmpl w:val="714E4C0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8E752B"/>
    <w:multiLevelType w:val="hybridMultilevel"/>
    <w:tmpl w:val="A970DBD2"/>
    <w:lvl w:ilvl="0" w:tplc="0DD2A5F0">
      <w:start w:val="1"/>
      <w:numFmt w:val="bullet"/>
      <w:lvlText w:val=""/>
      <w:lvlJc w:val="left"/>
      <w:pPr>
        <w:ind w:left="360" w:hanging="360"/>
      </w:pPr>
      <w:rPr>
        <w:rFonts w:ascii="Symbol" w:hAnsi="Symbol" w:hint="default"/>
        <w:color w:val="auto"/>
      </w:rPr>
    </w:lvl>
    <w:lvl w:ilvl="1" w:tplc="6BF29630">
      <w:start w:val="1"/>
      <w:numFmt w:val="bullet"/>
      <w:lvlText w:val="o"/>
      <w:lvlJc w:val="left"/>
      <w:pPr>
        <w:ind w:left="1364" w:hanging="360"/>
      </w:pPr>
      <w:rPr>
        <w:rFonts w:ascii="Courier New" w:hAnsi="Courier New" w:hint="default"/>
      </w:rPr>
    </w:lvl>
    <w:lvl w:ilvl="2" w:tplc="1CA4355A" w:tentative="1">
      <w:start w:val="1"/>
      <w:numFmt w:val="bullet"/>
      <w:lvlText w:val=""/>
      <w:lvlJc w:val="left"/>
      <w:pPr>
        <w:ind w:left="2084" w:hanging="360"/>
      </w:pPr>
      <w:rPr>
        <w:rFonts w:ascii="Wingdings" w:hAnsi="Wingdings" w:hint="default"/>
      </w:rPr>
    </w:lvl>
    <w:lvl w:ilvl="3" w:tplc="0F744EAA" w:tentative="1">
      <w:start w:val="1"/>
      <w:numFmt w:val="bullet"/>
      <w:lvlText w:val=""/>
      <w:lvlJc w:val="left"/>
      <w:pPr>
        <w:ind w:left="2804" w:hanging="360"/>
      </w:pPr>
      <w:rPr>
        <w:rFonts w:ascii="Symbol" w:hAnsi="Symbol" w:hint="default"/>
      </w:rPr>
    </w:lvl>
    <w:lvl w:ilvl="4" w:tplc="2834D5C0" w:tentative="1">
      <w:start w:val="1"/>
      <w:numFmt w:val="bullet"/>
      <w:lvlText w:val="o"/>
      <w:lvlJc w:val="left"/>
      <w:pPr>
        <w:ind w:left="3524" w:hanging="360"/>
      </w:pPr>
      <w:rPr>
        <w:rFonts w:ascii="Courier New" w:hAnsi="Courier New" w:hint="default"/>
      </w:rPr>
    </w:lvl>
    <w:lvl w:ilvl="5" w:tplc="D2A81188" w:tentative="1">
      <w:start w:val="1"/>
      <w:numFmt w:val="bullet"/>
      <w:lvlText w:val=""/>
      <w:lvlJc w:val="left"/>
      <w:pPr>
        <w:ind w:left="4244" w:hanging="360"/>
      </w:pPr>
      <w:rPr>
        <w:rFonts w:ascii="Wingdings" w:hAnsi="Wingdings" w:hint="default"/>
      </w:rPr>
    </w:lvl>
    <w:lvl w:ilvl="6" w:tplc="0D14FED2" w:tentative="1">
      <w:start w:val="1"/>
      <w:numFmt w:val="bullet"/>
      <w:lvlText w:val=""/>
      <w:lvlJc w:val="left"/>
      <w:pPr>
        <w:ind w:left="4964" w:hanging="360"/>
      </w:pPr>
      <w:rPr>
        <w:rFonts w:ascii="Symbol" w:hAnsi="Symbol" w:hint="default"/>
      </w:rPr>
    </w:lvl>
    <w:lvl w:ilvl="7" w:tplc="48901A8E" w:tentative="1">
      <w:start w:val="1"/>
      <w:numFmt w:val="bullet"/>
      <w:lvlText w:val="o"/>
      <w:lvlJc w:val="left"/>
      <w:pPr>
        <w:ind w:left="5684" w:hanging="360"/>
      </w:pPr>
      <w:rPr>
        <w:rFonts w:ascii="Courier New" w:hAnsi="Courier New" w:hint="default"/>
      </w:rPr>
    </w:lvl>
    <w:lvl w:ilvl="8" w:tplc="FFE47D78" w:tentative="1">
      <w:start w:val="1"/>
      <w:numFmt w:val="bullet"/>
      <w:lvlText w:val=""/>
      <w:lvlJc w:val="left"/>
      <w:pPr>
        <w:ind w:left="6404" w:hanging="360"/>
      </w:pPr>
      <w:rPr>
        <w:rFonts w:ascii="Wingdings" w:hAnsi="Wingdings" w:hint="default"/>
      </w:rPr>
    </w:lvl>
  </w:abstractNum>
  <w:abstractNum w:abstractNumId="60" w15:restartNumberingAfterBreak="0">
    <w:nsid w:val="0C147C3D"/>
    <w:multiLevelType w:val="hybridMultilevel"/>
    <w:tmpl w:val="F60CB50E"/>
    <w:lvl w:ilvl="0" w:tplc="1AA8026A">
      <w:start w:val="1"/>
      <w:numFmt w:val="bullet"/>
      <w:lvlText w:val=""/>
      <w:lvlJc w:val="left"/>
      <w:pPr>
        <w:ind w:left="720" w:hanging="360"/>
      </w:pPr>
      <w:rPr>
        <w:rFonts w:ascii="Symbol" w:hAnsi="Symbol" w:hint="default"/>
      </w:rPr>
    </w:lvl>
    <w:lvl w:ilvl="1" w:tplc="DBF24EBE" w:tentative="1">
      <w:start w:val="1"/>
      <w:numFmt w:val="bullet"/>
      <w:lvlText w:val="o"/>
      <w:lvlJc w:val="left"/>
      <w:pPr>
        <w:ind w:left="1440" w:hanging="360"/>
      </w:pPr>
      <w:rPr>
        <w:rFonts w:ascii="Courier New" w:hAnsi="Courier New" w:hint="default"/>
      </w:rPr>
    </w:lvl>
    <w:lvl w:ilvl="2" w:tplc="504CD67C" w:tentative="1">
      <w:start w:val="1"/>
      <w:numFmt w:val="bullet"/>
      <w:lvlText w:val=""/>
      <w:lvlJc w:val="left"/>
      <w:pPr>
        <w:ind w:left="2160" w:hanging="360"/>
      </w:pPr>
      <w:rPr>
        <w:rFonts w:ascii="Wingdings" w:hAnsi="Wingdings" w:hint="default"/>
      </w:rPr>
    </w:lvl>
    <w:lvl w:ilvl="3" w:tplc="DBE47222" w:tentative="1">
      <w:start w:val="1"/>
      <w:numFmt w:val="bullet"/>
      <w:lvlText w:val=""/>
      <w:lvlJc w:val="left"/>
      <w:pPr>
        <w:ind w:left="2880" w:hanging="360"/>
      </w:pPr>
      <w:rPr>
        <w:rFonts w:ascii="Symbol" w:hAnsi="Symbol" w:hint="default"/>
      </w:rPr>
    </w:lvl>
    <w:lvl w:ilvl="4" w:tplc="253609CC" w:tentative="1">
      <w:start w:val="1"/>
      <w:numFmt w:val="bullet"/>
      <w:lvlText w:val="o"/>
      <w:lvlJc w:val="left"/>
      <w:pPr>
        <w:ind w:left="3600" w:hanging="360"/>
      </w:pPr>
      <w:rPr>
        <w:rFonts w:ascii="Courier New" w:hAnsi="Courier New" w:hint="default"/>
      </w:rPr>
    </w:lvl>
    <w:lvl w:ilvl="5" w:tplc="145A4472" w:tentative="1">
      <w:start w:val="1"/>
      <w:numFmt w:val="bullet"/>
      <w:lvlText w:val=""/>
      <w:lvlJc w:val="left"/>
      <w:pPr>
        <w:ind w:left="4320" w:hanging="360"/>
      </w:pPr>
      <w:rPr>
        <w:rFonts w:ascii="Wingdings" w:hAnsi="Wingdings" w:hint="default"/>
      </w:rPr>
    </w:lvl>
    <w:lvl w:ilvl="6" w:tplc="3D60F60C" w:tentative="1">
      <w:start w:val="1"/>
      <w:numFmt w:val="bullet"/>
      <w:lvlText w:val=""/>
      <w:lvlJc w:val="left"/>
      <w:pPr>
        <w:ind w:left="5040" w:hanging="360"/>
      </w:pPr>
      <w:rPr>
        <w:rFonts w:ascii="Symbol" w:hAnsi="Symbol" w:hint="default"/>
      </w:rPr>
    </w:lvl>
    <w:lvl w:ilvl="7" w:tplc="C128C8D4" w:tentative="1">
      <w:start w:val="1"/>
      <w:numFmt w:val="bullet"/>
      <w:lvlText w:val="o"/>
      <w:lvlJc w:val="left"/>
      <w:pPr>
        <w:ind w:left="5760" w:hanging="360"/>
      </w:pPr>
      <w:rPr>
        <w:rFonts w:ascii="Courier New" w:hAnsi="Courier New" w:hint="default"/>
      </w:rPr>
    </w:lvl>
    <w:lvl w:ilvl="8" w:tplc="05E8E886" w:tentative="1">
      <w:start w:val="1"/>
      <w:numFmt w:val="bullet"/>
      <w:lvlText w:val=""/>
      <w:lvlJc w:val="left"/>
      <w:pPr>
        <w:ind w:left="6480" w:hanging="360"/>
      </w:pPr>
      <w:rPr>
        <w:rFonts w:ascii="Wingdings" w:hAnsi="Wingdings" w:hint="default"/>
      </w:rPr>
    </w:lvl>
  </w:abstractNum>
  <w:abstractNum w:abstractNumId="61" w15:restartNumberingAfterBreak="0">
    <w:nsid w:val="0C426743"/>
    <w:multiLevelType w:val="hybridMultilevel"/>
    <w:tmpl w:val="8780BB24"/>
    <w:lvl w:ilvl="0" w:tplc="0C94C424">
      <w:start w:val="1"/>
      <w:numFmt w:val="bullet"/>
      <w:lvlText w:val=""/>
      <w:lvlJc w:val="left"/>
      <w:pPr>
        <w:ind w:left="360" w:hanging="360"/>
      </w:pPr>
      <w:rPr>
        <w:rFonts w:ascii="Symbol" w:hAnsi="Symbol" w:hint="default"/>
        <w:color w:val="auto"/>
      </w:rPr>
    </w:lvl>
    <w:lvl w:ilvl="1" w:tplc="43A463B0">
      <w:start w:val="1"/>
      <w:numFmt w:val="bullet"/>
      <w:lvlText w:val="o"/>
      <w:lvlJc w:val="left"/>
      <w:pPr>
        <w:ind w:left="1364" w:hanging="360"/>
      </w:pPr>
      <w:rPr>
        <w:rFonts w:ascii="Courier New" w:hAnsi="Courier New" w:hint="default"/>
      </w:rPr>
    </w:lvl>
    <w:lvl w:ilvl="2" w:tplc="F22AC96A" w:tentative="1">
      <w:start w:val="1"/>
      <w:numFmt w:val="bullet"/>
      <w:lvlText w:val=""/>
      <w:lvlJc w:val="left"/>
      <w:pPr>
        <w:ind w:left="2084" w:hanging="360"/>
      </w:pPr>
      <w:rPr>
        <w:rFonts w:ascii="Wingdings" w:hAnsi="Wingdings" w:hint="default"/>
      </w:rPr>
    </w:lvl>
    <w:lvl w:ilvl="3" w:tplc="977AAEE2" w:tentative="1">
      <w:start w:val="1"/>
      <w:numFmt w:val="bullet"/>
      <w:lvlText w:val=""/>
      <w:lvlJc w:val="left"/>
      <w:pPr>
        <w:ind w:left="2804" w:hanging="360"/>
      </w:pPr>
      <w:rPr>
        <w:rFonts w:ascii="Symbol" w:hAnsi="Symbol" w:hint="default"/>
      </w:rPr>
    </w:lvl>
    <w:lvl w:ilvl="4" w:tplc="8E6E97DC" w:tentative="1">
      <w:start w:val="1"/>
      <w:numFmt w:val="bullet"/>
      <w:lvlText w:val="o"/>
      <w:lvlJc w:val="left"/>
      <w:pPr>
        <w:ind w:left="3524" w:hanging="360"/>
      </w:pPr>
      <w:rPr>
        <w:rFonts w:ascii="Courier New" w:hAnsi="Courier New" w:hint="default"/>
      </w:rPr>
    </w:lvl>
    <w:lvl w:ilvl="5" w:tplc="784ED810" w:tentative="1">
      <w:start w:val="1"/>
      <w:numFmt w:val="bullet"/>
      <w:lvlText w:val=""/>
      <w:lvlJc w:val="left"/>
      <w:pPr>
        <w:ind w:left="4244" w:hanging="360"/>
      </w:pPr>
      <w:rPr>
        <w:rFonts w:ascii="Wingdings" w:hAnsi="Wingdings" w:hint="default"/>
      </w:rPr>
    </w:lvl>
    <w:lvl w:ilvl="6" w:tplc="621C6AA4" w:tentative="1">
      <w:start w:val="1"/>
      <w:numFmt w:val="bullet"/>
      <w:lvlText w:val=""/>
      <w:lvlJc w:val="left"/>
      <w:pPr>
        <w:ind w:left="4964" w:hanging="360"/>
      </w:pPr>
      <w:rPr>
        <w:rFonts w:ascii="Symbol" w:hAnsi="Symbol" w:hint="default"/>
      </w:rPr>
    </w:lvl>
    <w:lvl w:ilvl="7" w:tplc="9A8EBDB4" w:tentative="1">
      <w:start w:val="1"/>
      <w:numFmt w:val="bullet"/>
      <w:lvlText w:val="o"/>
      <w:lvlJc w:val="left"/>
      <w:pPr>
        <w:ind w:left="5684" w:hanging="360"/>
      </w:pPr>
      <w:rPr>
        <w:rFonts w:ascii="Courier New" w:hAnsi="Courier New" w:hint="default"/>
      </w:rPr>
    </w:lvl>
    <w:lvl w:ilvl="8" w:tplc="5204C6CE" w:tentative="1">
      <w:start w:val="1"/>
      <w:numFmt w:val="bullet"/>
      <w:lvlText w:val=""/>
      <w:lvlJc w:val="left"/>
      <w:pPr>
        <w:ind w:left="6404" w:hanging="360"/>
      </w:pPr>
      <w:rPr>
        <w:rFonts w:ascii="Wingdings" w:hAnsi="Wingdings" w:hint="default"/>
      </w:rPr>
    </w:lvl>
  </w:abstractNum>
  <w:abstractNum w:abstractNumId="62" w15:restartNumberingAfterBreak="0">
    <w:nsid w:val="0C5A0AAB"/>
    <w:multiLevelType w:val="hybridMultilevel"/>
    <w:tmpl w:val="E38C2A62"/>
    <w:lvl w:ilvl="0" w:tplc="34B0B7C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0CBE7832"/>
    <w:multiLevelType w:val="hybridMultilevel"/>
    <w:tmpl w:val="F4E22E14"/>
    <w:lvl w:ilvl="0" w:tplc="FE5C95AE">
      <w:start w:val="1"/>
      <w:numFmt w:val="bullet"/>
      <w:lvlText w:val=""/>
      <w:lvlJc w:val="left"/>
      <w:pPr>
        <w:ind w:left="720" w:hanging="360"/>
      </w:pPr>
      <w:rPr>
        <w:rFonts w:ascii="Symbol" w:hAnsi="Symbol" w:hint="default"/>
      </w:rPr>
    </w:lvl>
    <w:lvl w:ilvl="1" w:tplc="C0341E82" w:tentative="1">
      <w:start w:val="1"/>
      <w:numFmt w:val="bullet"/>
      <w:lvlText w:val="o"/>
      <w:lvlJc w:val="left"/>
      <w:pPr>
        <w:ind w:left="1440" w:hanging="360"/>
      </w:pPr>
      <w:rPr>
        <w:rFonts w:ascii="Courier New" w:hAnsi="Courier New" w:hint="default"/>
      </w:rPr>
    </w:lvl>
    <w:lvl w:ilvl="2" w:tplc="CA76C75A" w:tentative="1">
      <w:start w:val="1"/>
      <w:numFmt w:val="bullet"/>
      <w:lvlText w:val=""/>
      <w:lvlJc w:val="left"/>
      <w:pPr>
        <w:ind w:left="2160" w:hanging="360"/>
      </w:pPr>
      <w:rPr>
        <w:rFonts w:ascii="Wingdings" w:hAnsi="Wingdings" w:hint="default"/>
      </w:rPr>
    </w:lvl>
    <w:lvl w:ilvl="3" w:tplc="776CD7A0" w:tentative="1">
      <w:start w:val="1"/>
      <w:numFmt w:val="bullet"/>
      <w:lvlText w:val=""/>
      <w:lvlJc w:val="left"/>
      <w:pPr>
        <w:ind w:left="2880" w:hanging="360"/>
      </w:pPr>
      <w:rPr>
        <w:rFonts w:ascii="Symbol" w:hAnsi="Symbol" w:hint="default"/>
      </w:rPr>
    </w:lvl>
    <w:lvl w:ilvl="4" w:tplc="B0CAD1D6" w:tentative="1">
      <w:start w:val="1"/>
      <w:numFmt w:val="bullet"/>
      <w:lvlText w:val="o"/>
      <w:lvlJc w:val="left"/>
      <w:pPr>
        <w:ind w:left="3600" w:hanging="360"/>
      </w:pPr>
      <w:rPr>
        <w:rFonts w:ascii="Courier New" w:hAnsi="Courier New" w:hint="default"/>
      </w:rPr>
    </w:lvl>
    <w:lvl w:ilvl="5" w:tplc="9E0E26D6" w:tentative="1">
      <w:start w:val="1"/>
      <w:numFmt w:val="bullet"/>
      <w:lvlText w:val=""/>
      <w:lvlJc w:val="left"/>
      <w:pPr>
        <w:ind w:left="4320" w:hanging="360"/>
      </w:pPr>
      <w:rPr>
        <w:rFonts w:ascii="Wingdings" w:hAnsi="Wingdings" w:hint="default"/>
      </w:rPr>
    </w:lvl>
    <w:lvl w:ilvl="6" w:tplc="255EE084" w:tentative="1">
      <w:start w:val="1"/>
      <w:numFmt w:val="bullet"/>
      <w:lvlText w:val=""/>
      <w:lvlJc w:val="left"/>
      <w:pPr>
        <w:ind w:left="5040" w:hanging="360"/>
      </w:pPr>
      <w:rPr>
        <w:rFonts w:ascii="Symbol" w:hAnsi="Symbol" w:hint="default"/>
      </w:rPr>
    </w:lvl>
    <w:lvl w:ilvl="7" w:tplc="B5A4FDB8" w:tentative="1">
      <w:start w:val="1"/>
      <w:numFmt w:val="bullet"/>
      <w:lvlText w:val="o"/>
      <w:lvlJc w:val="left"/>
      <w:pPr>
        <w:ind w:left="5760" w:hanging="360"/>
      </w:pPr>
      <w:rPr>
        <w:rFonts w:ascii="Courier New" w:hAnsi="Courier New" w:hint="default"/>
      </w:rPr>
    </w:lvl>
    <w:lvl w:ilvl="8" w:tplc="2654AB02" w:tentative="1">
      <w:start w:val="1"/>
      <w:numFmt w:val="bullet"/>
      <w:lvlText w:val=""/>
      <w:lvlJc w:val="left"/>
      <w:pPr>
        <w:ind w:left="6480" w:hanging="360"/>
      </w:pPr>
      <w:rPr>
        <w:rFonts w:ascii="Wingdings" w:hAnsi="Wingdings" w:hint="default"/>
      </w:rPr>
    </w:lvl>
  </w:abstractNum>
  <w:abstractNum w:abstractNumId="64" w15:restartNumberingAfterBreak="0">
    <w:nsid w:val="0CCF1BC8"/>
    <w:multiLevelType w:val="multilevel"/>
    <w:tmpl w:val="F98AD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0CDE5E97"/>
    <w:multiLevelType w:val="hybridMultilevel"/>
    <w:tmpl w:val="80C47BA6"/>
    <w:lvl w:ilvl="0" w:tplc="F042DA46">
      <w:start w:val="1"/>
      <w:numFmt w:val="bullet"/>
      <w:lvlText w:val=""/>
      <w:lvlJc w:val="left"/>
      <w:pPr>
        <w:ind w:left="720" w:hanging="360"/>
      </w:pPr>
      <w:rPr>
        <w:rFonts w:ascii="Symbol" w:hAnsi="Symbol" w:hint="default"/>
      </w:rPr>
    </w:lvl>
    <w:lvl w:ilvl="1" w:tplc="55BEDE44" w:tentative="1">
      <w:start w:val="1"/>
      <w:numFmt w:val="bullet"/>
      <w:lvlText w:val="o"/>
      <w:lvlJc w:val="left"/>
      <w:pPr>
        <w:ind w:left="1440" w:hanging="360"/>
      </w:pPr>
      <w:rPr>
        <w:rFonts w:ascii="Courier New" w:hAnsi="Courier New" w:hint="default"/>
      </w:rPr>
    </w:lvl>
    <w:lvl w:ilvl="2" w:tplc="50AAF41C" w:tentative="1">
      <w:start w:val="1"/>
      <w:numFmt w:val="bullet"/>
      <w:lvlText w:val=""/>
      <w:lvlJc w:val="left"/>
      <w:pPr>
        <w:ind w:left="2160" w:hanging="360"/>
      </w:pPr>
      <w:rPr>
        <w:rFonts w:ascii="Wingdings" w:hAnsi="Wingdings" w:hint="default"/>
      </w:rPr>
    </w:lvl>
    <w:lvl w:ilvl="3" w:tplc="5E2E7F3A" w:tentative="1">
      <w:start w:val="1"/>
      <w:numFmt w:val="bullet"/>
      <w:lvlText w:val=""/>
      <w:lvlJc w:val="left"/>
      <w:pPr>
        <w:ind w:left="2880" w:hanging="360"/>
      </w:pPr>
      <w:rPr>
        <w:rFonts w:ascii="Symbol" w:hAnsi="Symbol" w:hint="default"/>
      </w:rPr>
    </w:lvl>
    <w:lvl w:ilvl="4" w:tplc="56D8187E" w:tentative="1">
      <w:start w:val="1"/>
      <w:numFmt w:val="bullet"/>
      <w:lvlText w:val="o"/>
      <w:lvlJc w:val="left"/>
      <w:pPr>
        <w:ind w:left="3600" w:hanging="360"/>
      </w:pPr>
      <w:rPr>
        <w:rFonts w:ascii="Courier New" w:hAnsi="Courier New" w:hint="default"/>
      </w:rPr>
    </w:lvl>
    <w:lvl w:ilvl="5" w:tplc="092C32FC" w:tentative="1">
      <w:start w:val="1"/>
      <w:numFmt w:val="bullet"/>
      <w:lvlText w:val=""/>
      <w:lvlJc w:val="left"/>
      <w:pPr>
        <w:ind w:left="4320" w:hanging="360"/>
      </w:pPr>
      <w:rPr>
        <w:rFonts w:ascii="Wingdings" w:hAnsi="Wingdings" w:hint="default"/>
      </w:rPr>
    </w:lvl>
    <w:lvl w:ilvl="6" w:tplc="629A072A" w:tentative="1">
      <w:start w:val="1"/>
      <w:numFmt w:val="bullet"/>
      <w:lvlText w:val=""/>
      <w:lvlJc w:val="left"/>
      <w:pPr>
        <w:ind w:left="5040" w:hanging="360"/>
      </w:pPr>
      <w:rPr>
        <w:rFonts w:ascii="Symbol" w:hAnsi="Symbol" w:hint="default"/>
      </w:rPr>
    </w:lvl>
    <w:lvl w:ilvl="7" w:tplc="4FAE48FC" w:tentative="1">
      <w:start w:val="1"/>
      <w:numFmt w:val="bullet"/>
      <w:lvlText w:val="o"/>
      <w:lvlJc w:val="left"/>
      <w:pPr>
        <w:ind w:left="5760" w:hanging="360"/>
      </w:pPr>
      <w:rPr>
        <w:rFonts w:ascii="Courier New" w:hAnsi="Courier New" w:hint="default"/>
      </w:rPr>
    </w:lvl>
    <w:lvl w:ilvl="8" w:tplc="63BA695E" w:tentative="1">
      <w:start w:val="1"/>
      <w:numFmt w:val="bullet"/>
      <w:lvlText w:val=""/>
      <w:lvlJc w:val="left"/>
      <w:pPr>
        <w:ind w:left="6480" w:hanging="360"/>
      </w:pPr>
      <w:rPr>
        <w:rFonts w:ascii="Wingdings" w:hAnsi="Wingdings" w:hint="default"/>
      </w:rPr>
    </w:lvl>
  </w:abstractNum>
  <w:abstractNum w:abstractNumId="66" w15:restartNumberingAfterBreak="0">
    <w:nsid w:val="0CE264D8"/>
    <w:multiLevelType w:val="hybridMultilevel"/>
    <w:tmpl w:val="B3DCA7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0CF41842"/>
    <w:multiLevelType w:val="hybridMultilevel"/>
    <w:tmpl w:val="A4ACFEE6"/>
    <w:lvl w:ilvl="0" w:tplc="E9E0C778">
      <w:start w:val="1"/>
      <w:numFmt w:val="bullet"/>
      <w:lvlText w:val=""/>
      <w:lvlJc w:val="left"/>
      <w:pPr>
        <w:ind w:left="720" w:hanging="360"/>
      </w:pPr>
      <w:rPr>
        <w:rFonts w:ascii="Symbol" w:hAnsi="Symbol" w:hint="default"/>
      </w:rPr>
    </w:lvl>
    <w:lvl w:ilvl="1" w:tplc="FAFE804A" w:tentative="1">
      <w:start w:val="1"/>
      <w:numFmt w:val="bullet"/>
      <w:lvlText w:val="o"/>
      <w:lvlJc w:val="left"/>
      <w:pPr>
        <w:ind w:left="1440" w:hanging="360"/>
      </w:pPr>
      <w:rPr>
        <w:rFonts w:ascii="Courier New" w:hAnsi="Courier New" w:hint="default"/>
      </w:rPr>
    </w:lvl>
    <w:lvl w:ilvl="2" w:tplc="F9DACA80" w:tentative="1">
      <w:start w:val="1"/>
      <w:numFmt w:val="bullet"/>
      <w:lvlText w:val=""/>
      <w:lvlJc w:val="left"/>
      <w:pPr>
        <w:ind w:left="2160" w:hanging="360"/>
      </w:pPr>
      <w:rPr>
        <w:rFonts w:ascii="Wingdings" w:hAnsi="Wingdings" w:hint="default"/>
      </w:rPr>
    </w:lvl>
    <w:lvl w:ilvl="3" w:tplc="1B944F72" w:tentative="1">
      <w:start w:val="1"/>
      <w:numFmt w:val="bullet"/>
      <w:lvlText w:val=""/>
      <w:lvlJc w:val="left"/>
      <w:pPr>
        <w:ind w:left="2880" w:hanging="360"/>
      </w:pPr>
      <w:rPr>
        <w:rFonts w:ascii="Symbol" w:hAnsi="Symbol" w:hint="default"/>
      </w:rPr>
    </w:lvl>
    <w:lvl w:ilvl="4" w:tplc="16FAF760" w:tentative="1">
      <w:start w:val="1"/>
      <w:numFmt w:val="bullet"/>
      <w:lvlText w:val="o"/>
      <w:lvlJc w:val="left"/>
      <w:pPr>
        <w:ind w:left="3600" w:hanging="360"/>
      </w:pPr>
      <w:rPr>
        <w:rFonts w:ascii="Courier New" w:hAnsi="Courier New" w:hint="default"/>
      </w:rPr>
    </w:lvl>
    <w:lvl w:ilvl="5" w:tplc="CB007910" w:tentative="1">
      <w:start w:val="1"/>
      <w:numFmt w:val="bullet"/>
      <w:lvlText w:val=""/>
      <w:lvlJc w:val="left"/>
      <w:pPr>
        <w:ind w:left="4320" w:hanging="360"/>
      </w:pPr>
      <w:rPr>
        <w:rFonts w:ascii="Wingdings" w:hAnsi="Wingdings" w:hint="default"/>
      </w:rPr>
    </w:lvl>
    <w:lvl w:ilvl="6" w:tplc="BF661E04" w:tentative="1">
      <w:start w:val="1"/>
      <w:numFmt w:val="bullet"/>
      <w:lvlText w:val=""/>
      <w:lvlJc w:val="left"/>
      <w:pPr>
        <w:ind w:left="5040" w:hanging="360"/>
      </w:pPr>
      <w:rPr>
        <w:rFonts w:ascii="Symbol" w:hAnsi="Symbol" w:hint="default"/>
      </w:rPr>
    </w:lvl>
    <w:lvl w:ilvl="7" w:tplc="C65C5996" w:tentative="1">
      <w:start w:val="1"/>
      <w:numFmt w:val="bullet"/>
      <w:lvlText w:val="o"/>
      <w:lvlJc w:val="left"/>
      <w:pPr>
        <w:ind w:left="5760" w:hanging="360"/>
      </w:pPr>
      <w:rPr>
        <w:rFonts w:ascii="Courier New" w:hAnsi="Courier New" w:hint="default"/>
      </w:rPr>
    </w:lvl>
    <w:lvl w:ilvl="8" w:tplc="4DC84FC8" w:tentative="1">
      <w:start w:val="1"/>
      <w:numFmt w:val="bullet"/>
      <w:lvlText w:val=""/>
      <w:lvlJc w:val="left"/>
      <w:pPr>
        <w:ind w:left="6480" w:hanging="360"/>
      </w:pPr>
      <w:rPr>
        <w:rFonts w:ascii="Wingdings" w:hAnsi="Wingdings" w:hint="default"/>
      </w:rPr>
    </w:lvl>
  </w:abstractNum>
  <w:abstractNum w:abstractNumId="68" w15:restartNumberingAfterBreak="0">
    <w:nsid w:val="0D0E143F"/>
    <w:multiLevelType w:val="hybridMultilevel"/>
    <w:tmpl w:val="555C327A"/>
    <w:lvl w:ilvl="0" w:tplc="79B23E48">
      <w:start w:val="1"/>
      <w:numFmt w:val="bullet"/>
      <w:lvlText w:val=""/>
      <w:lvlJc w:val="left"/>
      <w:pPr>
        <w:ind w:left="720" w:hanging="360"/>
      </w:pPr>
      <w:rPr>
        <w:rFonts w:ascii="Symbol" w:hAnsi="Symbol" w:hint="default"/>
      </w:rPr>
    </w:lvl>
    <w:lvl w:ilvl="1" w:tplc="9E36F21E" w:tentative="1">
      <w:start w:val="1"/>
      <w:numFmt w:val="bullet"/>
      <w:lvlText w:val="o"/>
      <w:lvlJc w:val="left"/>
      <w:pPr>
        <w:ind w:left="1440" w:hanging="360"/>
      </w:pPr>
      <w:rPr>
        <w:rFonts w:ascii="Courier New" w:hAnsi="Courier New" w:hint="default"/>
      </w:rPr>
    </w:lvl>
    <w:lvl w:ilvl="2" w:tplc="F9B64196" w:tentative="1">
      <w:start w:val="1"/>
      <w:numFmt w:val="bullet"/>
      <w:lvlText w:val=""/>
      <w:lvlJc w:val="left"/>
      <w:pPr>
        <w:ind w:left="2160" w:hanging="360"/>
      </w:pPr>
      <w:rPr>
        <w:rFonts w:ascii="Wingdings" w:hAnsi="Wingdings" w:hint="default"/>
      </w:rPr>
    </w:lvl>
    <w:lvl w:ilvl="3" w:tplc="928C9AB6" w:tentative="1">
      <w:start w:val="1"/>
      <w:numFmt w:val="bullet"/>
      <w:lvlText w:val=""/>
      <w:lvlJc w:val="left"/>
      <w:pPr>
        <w:ind w:left="2880" w:hanging="360"/>
      </w:pPr>
      <w:rPr>
        <w:rFonts w:ascii="Symbol" w:hAnsi="Symbol" w:hint="default"/>
      </w:rPr>
    </w:lvl>
    <w:lvl w:ilvl="4" w:tplc="AD727286" w:tentative="1">
      <w:start w:val="1"/>
      <w:numFmt w:val="bullet"/>
      <w:lvlText w:val="o"/>
      <w:lvlJc w:val="left"/>
      <w:pPr>
        <w:ind w:left="3600" w:hanging="360"/>
      </w:pPr>
      <w:rPr>
        <w:rFonts w:ascii="Courier New" w:hAnsi="Courier New" w:hint="default"/>
      </w:rPr>
    </w:lvl>
    <w:lvl w:ilvl="5" w:tplc="0B4E307A" w:tentative="1">
      <w:start w:val="1"/>
      <w:numFmt w:val="bullet"/>
      <w:lvlText w:val=""/>
      <w:lvlJc w:val="left"/>
      <w:pPr>
        <w:ind w:left="4320" w:hanging="360"/>
      </w:pPr>
      <w:rPr>
        <w:rFonts w:ascii="Wingdings" w:hAnsi="Wingdings" w:hint="default"/>
      </w:rPr>
    </w:lvl>
    <w:lvl w:ilvl="6" w:tplc="3D2E7FBC" w:tentative="1">
      <w:start w:val="1"/>
      <w:numFmt w:val="bullet"/>
      <w:lvlText w:val=""/>
      <w:lvlJc w:val="left"/>
      <w:pPr>
        <w:ind w:left="5040" w:hanging="360"/>
      </w:pPr>
      <w:rPr>
        <w:rFonts w:ascii="Symbol" w:hAnsi="Symbol" w:hint="default"/>
      </w:rPr>
    </w:lvl>
    <w:lvl w:ilvl="7" w:tplc="BF661F74" w:tentative="1">
      <w:start w:val="1"/>
      <w:numFmt w:val="bullet"/>
      <w:lvlText w:val="o"/>
      <w:lvlJc w:val="left"/>
      <w:pPr>
        <w:ind w:left="5760" w:hanging="360"/>
      </w:pPr>
      <w:rPr>
        <w:rFonts w:ascii="Courier New" w:hAnsi="Courier New" w:hint="default"/>
      </w:rPr>
    </w:lvl>
    <w:lvl w:ilvl="8" w:tplc="FD5A0064" w:tentative="1">
      <w:start w:val="1"/>
      <w:numFmt w:val="bullet"/>
      <w:lvlText w:val=""/>
      <w:lvlJc w:val="left"/>
      <w:pPr>
        <w:ind w:left="6480" w:hanging="360"/>
      </w:pPr>
      <w:rPr>
        <w:rFonts w:ascii="Wingdings" w:hAnsi="Wingdings" w:hint="default"/>
      </w:rPr>
    </w:lvl>
  </w:abstractNum>
  <w:abstractNum w:abstractNumId="69" w15:restartNumberingAfterBreak="0">
    <w:nsid w:val="0D46619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0E0C1E2C"/>
    <w:multiLevelType w:val="multilevel"/>
    <w:tmpl w:val="4E04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E3829CC"/>
    <w:multiLevelType w:val="hybridMultilevel"/>
    <w:tmpl w:val="0E40077A"/>
    <w:lvl w:ilvl="0" w:tplc="0C09000F">
      <w:start w:val="1"/>
      <w:numFmt w:val="decimal"/>
      <w:lvlText w:val="%1."/>
      <w:lvlJc w:val="left"/>
      <w:pPr>
        <w:tabs>
          <w:tab w:val="num" w:pos="2209"/>
        </w:tabs>
        <w:ind w:left="2209" w:hanging="360"/>
      </w:pPr>
      <w:rPr>
        <w:rFonts w:hint="default"/>
        <w:color w:val="auto"/>
      </w:rPr>
    </w:lvl>
    <w:lvl w:ilvl="1" w:tplc="FFFFFFFF">
      <w:start w:val="1"/>
      <w:numFmt w:val="bullet"/>
      <w:lvlText w:val="o"/>
      <w:lvlJc w:val="left"/>
      <w:pPr>
        <w:tabs>
          <w:tab w:val="num" w:pos="2929"/>
        </w:tabs>
        <w:ind w:left="2929" w:hanging="360"/>
      </w:pPr>
      <w:rPr>
        <w:rFonts w:ascii="Courier New" w:hAnsi="Courier New" w:hint="default"/>
      </w:rPr>
    </w:lvl>
    <w:lvl w:ilvl="2" w:tplc="FFFFFFFF" w:tentative="1">
      <w:start w:val="1"/>
      <w:numFmt w:val="bullet"/>
      <w:lvlText w:val=""/>
      <w:lvlJc w:val="left"/>
      <w:pPr>
        <w:tabs>
          <w:tab w:val="num" w:pos="3649"/>
        </w:tabs>
        <w:ind w:left="3649" w:hanging="360"/>
      </w:pPr>
      <w:rPr>
        <w:rFonts w:ascii="Wingdings" w:hAnsi="Wingdings" w:hint="default"/>
      </w:rPr>
    </w:lvl>
    <w:lvl w:ilvl="3" w:tplc="FFFFFFFF" w:tentative="1">
      <w:start w:val="1"/>
      <w:numFmt w:val="bullet"/>
      <w:lvlText w:val=""/>
      <w:lvlJc w:val="left"/>
      <w:pPr>
        <w:tabs>
          <w:tab w:val="num" w:pos="4369"/>
        </w:tabs>
        <w:ind w:left="4369" w:hanging="360"/>
      </w:pPr>
      <w:rPr>
        <w:rFonts w:ascii="Symbol" w:hAnsi="Symbol" w:hint="default"/>
      </w:rPr>
    </w:lvl>
    <w:lvl w:ilvl="4" w:tplc="FFFFFFFF" w:tentative="1">
      <w:start w:val="1"/>
      <w:numFmt w:val="bullet"/>
      <w:lvlText w:val="o"/>
      <w:lvlJc w:val="left"/>
      <w:pPr>
        <w:tabs>
          <w:tab w:val="num" w:pos="5089"/>
        </w:tabs>
        <w:ind w:left="5089" w:hanging="360"/>
      </w:pPr>
      <w:rPr>
        <w:rFonts w:ascii="Courier New" w:hAnsi="Courier New" w:hint="default"/>
      </w:rPr>
    </w:lvl>
    <w:lvl w:ilvl="5" w:tplc="FFFFFFFF" w:tentative="1">
      <w:start w:val="1"/>
      <w:numFmt w:val="bullet"/>
      <w:lvlText w:val=""/>
      <w:lvlJc w:val="left"/>
      <w:pPr>
        <w:tabs>
          <w:tab w:val="num" w:pos="5809"/>
        </w:tabs>
        <w:ind w:left="5809" w:hanging="360"/>
      </w:pPr>
      <w:rPr>
        <w:rFonts w:ascii="Wingdings" w:hAnsi="Wingdings" w:hint="default"/>
      </w:rPr>
    </w:lvl>
    <w:lvl w:ilvl="6" w:tplc="FFFFFFFF" w:tentative="1">
      <w:start w:val="1"/>
      <w:numFmt w:val="bullet"/>
      <w:lvlText w:val=""/>
      <w:lvlJc w:val="left"/>
      <w:pPr>
        <w:tabs>
          <w:tab w:val="num" w:pos="6529"/>
        </w:tabs>
        <w:ind w:left="6529" w:hanging="360"/>
      </w:pPr>
      <w:rPr>
        <w:rFonts w:ascii="Symbol" w:hAnsi="Symbol" w:hint="default"/>
      </w:rPr>
    </w:lvl>
    <w:lvl w:ilvl="7" w:tplc="FFFFFFFF" w:tentative="1">
      <w:start w:val="1"/>
      <w:numFmt w:val="bullet"/>
      <w:lvlText w:val="o"/>
      <w:lvlJc w:val="left"/>
      <w:pPr>
        <w:tabs>
          <w:tab w:val="num" w:pos="7249"/>
        </w:tabs>
        <w:ind w:left="7249" w:hanging="360"/>
      </w:pPr>
      <w:rPr>
        <w:rFonts w:ascii="Courier New" w:hAnsi="Courier New" w:hint="default"/>
      </w:rPr>
    </w:lvl>
    <w:lvl w:ilvl="8" w:tplc="FFFFFFFF" w:tentative="1">
      <w:start w:val="1"/>
      <w:numFmt w:val="bullet"/>
      <w:lvlText w:val=""/>
      <w:lvlJc w:val="left"/>
      <w:pPr>
        <w:tabs>
          <w:tab w:val="num" w:pos="7969"/>
        </w:tabs>
        <w:ind w:left="7969" w:hanging="360"/>
      </w:pPr>
      <w:rPr>
        <w:rFonts w:ascii="Wingdings" w:hAnsi="Wingdings" w:hint="default"/>
      </w:rPr>
    </w:lvl>
  </w:abstractNum>
  <w:abstractNum w:abstractNumId="72" w15:restartNumberingAfterBreak="0">
    <w:nsid w:val="0EBD26AE"/>
    <w:multiLevelType w:val="hybridMultilevel"/>
    <w:tmpl w:val="33188A62"/>
    <w:lvl w:ilvl="0" w:tplc="76844390">
      <w:start w:val="1"/>
      <w:numFmt w:val="bullet"/>
      <w:lvlText w:val=""/>
      <w:lvlJc w:val="left"/>
      <w:pPr>
        <w:ind w:left="720" w:hanging="360"/>
      </w:pPr>
      <w:rPr>
        <w:rFonts w:ascii="Symbol" w:hAnsi="Symbol" w:hint="default"/>
      </w:rPr>
    </w:lvl>
    <w:lvl w:ilvl="1" w:tplc="683050D2" w:tentative="1">
      <w:start w:val="1"/>
      <w:numFmt w:val="bullet"/>
      <w:lvlText w:val="o"/>
      <w:lvlJc w:val="left"/>
      <w:pPr>
        <w:ind w:left="1440" w:hanging="360"/>
      </w:pPr>
      <w:rPr>
        <w:rFonts w:ascii="Courier New" w:hAnsi="Courier New" w:hint="default"/>
      </w:rPr>
    </w:lvl>
    <w:lvl w:ilvl="2" w:tplc="D722C4D4" w:tentative="1">
      <w:start w:val="1"/>
      <w:numFmt w:val="bullet"/>
      <w:lvlText w:val=""/>
      <w:lvlJc w:val="left"/>
      <w:pPr>
        <w:ind w:left="2160" w:hanging="360"/>
      </w:pPr>
      <w:rPr>
        <w:rFonts w:ascii="Wingdings" w:hAnsi="Wingdings" w:hint="default"/>
      </w:rPr>
    </w:lvl>
    <w:lvl w:ilvl="3" w:tplc="95288B78" w:tentative="1">
      <w:start w:val="1"/>
      <w:numFmt w:val="bullet"/>
      <w:lvlText w:val=""/>
      <w:lvlJc w:val="left"/>
      <w:pPr>
        <w:ind w:left="2880" w:hanging="360"/>
      </w:pPr>
      <w:rPr>
        <w:rFonts w:ascii="Symbol" w:hAnsi="Symbol" w:hint="default"/>
      </w:rPr>
    </w:lvl>
    <w:lvl w:ilvl="4" w:tplc="E49E3CAE" w:tentative="1">
      <w:start w:val="1"/>
      <w:numFmt w:val="bullet"/>
      <w:lvlText w:val="o"/>
      <w:lvlJc w:val="left"/>
      <w:pPr>
        <w:ind w:left="3600" w:hanging="360"/>
      </w:pPr>
      <w:rPr>
        <w:rFonts w:ascii="Courier New" w:hAnsi="Courier New" w:hint="default"/>
      </w:rPr>
    </w:lvl>
    <w:lvl w:ilvl="5" w:tplc="5A82A788" w:tentative="1">
      <w:start w:val="1"/>
      <w:numFmt w:val="bullet"/>
      <w:lvlText w:val=""/>
      <w:lvlJc w:val="left"/>
      <w:pPr>
        <w:ind w:left="4320" w:hanging="360"/>
      </w:pPr>
      <w:rPr>
        <w:rFonts w:ascii="Wingdings" w:hAnsi="Wingdings" w:hint="default"/>
      </w:rPr>
    </w:lvl>
    <w:lvl w:ilvl="6" w:tplc="8A7887DA" w:tentative="1">
      <w:start w:val="1"/>
      <w:numFmt w:val="bullet"/>
      <w:lvlText w:val=""/>
      <w:lvlJc w:val="left"/>
      <w:pPr>
        <w:ind w:left="5040" w:hanging="360"/>
      </w:pPr>
      <w:rPr>
        <w:rFonts w:ascii="Symbol" w:hAnsi="Symbol" w:hint="default"/>
      </w:rPr>
    </w:lvl>
    <w:lvl w:ilvl="7" w:tplc="3C98EAD2" w:tentative="1">
      <w:start w:val="1"/>
      <w:numFmt w:val="bullet"/>
      <w:lvlText w:val="o"/>
      <w:lvlJc w:val="left"/>
      <w:pPr>
        <w:ind w:left="5760" w:hanging="360"/>
      </w:pPr>
      <w:rPr>
        <w:rFonts w:ascii="Courier New" w:hAnsi="Courier New" w:hint="default"/>
      </w:rPr>
    </w:lvl>
    <w:lvl w:ilvl="8" w:tplc="298C5E6A" w:tentative="1">
      <w:start w:val="1"/>
      <w:numFmt w:val="bullet"/>
      <w:lvlText w:val=""/>
      <w:lvlJc w:val="left"/>
      <w:pPr>
        <w:ind w:left="6480" w:hanging="360"/>
      </w:pPr>
      <w:rPr>
        <w:rFonts w:ascii="Wingdings" w:hAnsi="Wingdings" w:hint="default"/>
      </w:rPr>
    </w:lvl>
  </w:abstractNum>
  <w:abstractNum w:abstractNumId="73" w15:restartNumberingAfterBreak="0">
    <w:nsid w:val="0EF0258C"/>
    <w:multiLevelType w:val="hybridMultilevel"/>
    <w:tmpl w:val="FFFFFFFF"/>
    <w:lvl w:ilvl="0" w:tplc="F086E580">
      <w:start w:val="1"/>
      <w:numFmt w:val="bullet"/>
      <w:lvlText w:val="·"/>
      <w:lvlJc w:val="left"/>
      <w:pPr>
        <w:ind w:left="720" w:hanging="360"/>
      </w:pPr>
      <w:rPr>
        <w:rFonts w:ascii="Symbol" w:hAnsi="Symbol" w:hint="default"/>
      </w:rPr>
    </w:lvl>
    <w:lvl w:ilvl="1" w:tplc="0016B1C8">
      <w:start w:val="1"/>
      <w:numFmt w:val="bullet"/>
      <w:lvlText w:val="o"/>
      <w:lvlJc w:val="left"/>
      <w:pPr>
        <w:ind w:left="1440" w:hanging="360"/>
      </w:pPr>
      <w:rPr>
        <w:rFonts w:ascii="Courier New" w:hAnsi="Courier New" w:hint="default"/>
      </w:rPr>
    </w:lvl>
    <w:lvl w:ilvl="2" w:tplc="D9AAF9D6">
      <w:start w:val="1"/>
      <w:numFmt w:val="bullet"/>
      <w:lvlText w:val=""/>
      <w:lvlJc w:val="left"/>
      <w:pPr>
        <w:ind w:left="2160" w:hanging="360"/>
      </w:pPr>
      <w:rPr>
        <w:rFonts w:ascii="Wingdings" w:hAnsi="Wingdings" w:hint="default"/>
      </w:rPr>
    </w:lvl>
    <w:lvl w:ilvl="3" w:tplc="3EF241E0">
      <w:start w:val="1"/>
      <w:numFmt w:val="bullet"/>
      <w:lvlText w:val=""/>
      <w:lvlJc w:val="left"/>
      <w:pPr>
        <w:ind w:left="2880" w:hanging="360"/>
      </w:pPr>
      <w:rPr>
        <w:rFonts w:ascii="Symbol" w:hAnsi="Symbol" w:hint="default"/>
      </w:rPr>
    </w:lvl>
    <w:lvl w:ilvl="4" w:tplc="BB483D7A">
      <w:start w:val="1"/>
      <w:numFmt w:val="bullet"/>
      <w:lvlText w:val="o"/>
      <w:lvlJc w:val="left"/>
      <w:pPr>
        <w:ind w:left="3600" w:hanging="360"/>
      </w:pPr>
      <w:rPr>
        <w:rFonts w:ascii="Courier New" w:hAnsi="Courier New" w:hint="default"/>
      </w:rPr>
    </w:lvl>
    <w:lvl w:ilvl="5" w:tplc="C980D762">
      <w:start w:val="1"/>
      <w:numFmt w:val="bullet"/>
      <w:lvlText w:val=""/>
      <w:lvlJc w:val="left"/>
      <w:pPr>
        <w:ind w:left="4320" w:hanging="360"/>
      </w:pPr>
      <w:rPr>
        <w:rFonts w:ascii="Wingdings" w:hAnsi="Wingdings" w:hint="default"/>
      </w:rPr>
    </w:lvl>
    <w:lvl w:ilvl="6" w:tplc="5ECE790E">
      <w:start w:val="1"/>
      <w:numFmt w:val="bullet"/>
      <w:lvlText w:val=""/>
      <w:lvlJc w:val="left"/>
      <w:pPr>
        <w:ind w:left="5040" w:hanging="360"/>
      </w:pPr>
      <w:rPr>
        <w:rFonts w:ascii="Symbol" w:hAnsi="Symbol" w:hint="default"/>
      </w:rPr>
    </w:lvl>
    <w:lvl w:ilvl="7" w:tplc="A258BB44">
      <w:start w:val="1"/>
      <w:numFmt w:val="bullet"/>
      <w:lvlText w:val="o"/>
      <w:lvlJc w:val="left"/>
      <w:pPr>
        <w:ind w:left="5760" w:hanging="360"/>
      </w:pPr>
      <w:rPr>
        <w:rFonts w:ascii="Courier New" w:hAnsi="Courier New" w:hint="default"/>
      </w:rPr>
    </w:lvl>
    <w:lvl w:ilvl="8" w:tplc="B74C83E8">
      <w:start w:val="1"/>
      <w:numFmt w:val="bullet"/>
      <w:lvlText w:val=""/>
      <w:lvlJc w:val="left"/>
      <w:pPr>
        <w:ind w:left="6480" w:hanging="360"/>
      </w:pPr>
      <w:rPr>
        <w:rFonts w:ascii="Wingdings" w:hAnsi="Wingdings" w:hint="default"/>
      </w:rPr>
    </w:lvl>
  </w:abstractNum>
  <w:abstractNum w:abstractNumId="74" w15:restartNumberingAfterBreak="0">
    <w:nsid w:val="0EF32D98"/>
    <w:multiLevelType w:val="hybridMultilevel"/>
    <w:tmpl w:val="FFFFFFFF"/>
    <w:lvl w:ilvl="0" w:tplc="9454EAA0">
      <w:start w:val="1"/>
      <w:numFmt w:val="bullet"/>
      <w:lvlText w:val="o"/>
      <w:lvlJc w:val="left"/>
      <w:pPr>
        <w:ind w:left="720" w:hanging="360"/>
      </w:pPr>
      <w:rPr>
        <w:rFonts w:ascii="&quot;Courier New&quot;" w:hAnsi="&quot;Courier New&quot;" w:hint="default"/>
      </w:rPr>
    </w:lvl>
    <w:lvl w:ilvl="1" w:tplc="980467E8">
      <w:start w:val="1"/>
      <w:numFmt w:val="bullet"/>
      <w:lvlText w:val="o"/>
      <w:lvlJc w:val="left"/>
      <w:pPr>
        <w:ind w:left="1440" w:hanging="360"/>
      </w:pPr>
      <w:rPr>
        <w:rFonts w:ascii="Courier New" w:hAnsi="Courier New" w:hint="default"/>
      </w:rPr>
    </w:lvl>
    <w:lvl w:ilvl="2" w:tplc="9B48BE80">
      <w:start w:val="1"/>
      <w:numFmt w:val="bullet"/>
      <w:lvlText w:val=""/>
      <w:lvlJc w:val="left"/>
      <w:pPr>
        <w:ind w:left="2160" w:hanging="360"/>
      </w:pPr>
      <w:rPr>
        <w:rFonts w:ascii="Wingdings" w:hAnsi="Wingdings" w:hint="default"/>
      </w:rPr>
    </w:lvl>
    <w:lvl w:ilvl="3" w:tplc="AB52FBAE">
      <w:start w:val="1"/>
      <w:numFmt w:val="bullet"/>
      <w:lvlText w:val=""/>
      <w:lvlJc w:val="left"/>
      <w:pPr>
        <w:ind w:left="2880" w:hanging="360"/>
      </w:pPr>
      <w:rPr>
        <w:rFonts w:ascii="Symbol" w:hAnsi="Symbol" w:hint="default"/>
      </w:rPr>
    </w:lvl>
    <w:lvl w:ilvl="4" w:tplc="EBC809F4">
      <w:start w:val="1"/>
      <w:numFmt w:val="bullet"/>
      <w:lvlText w:val="o"/>
      <w:lvlJc w:val="left"/>
      <w:pPr>
        <w:ind w:left="3600" w:hanging="360"/>
      </w:pPr>
      <w:rPr>
        <w:rFonts w:ascii="Courier New" w:hAnsi="Courier New" w:hint="default"/>
      </w:rPr>
    </w:lvl>
    <w:lvl w:ilvl="5" w:tplc="30D00220">
      <w:start w:val="1"/>
      <w:numFmt w:val="bullet"/>
      <w:lvlText w:val=""/>
      <w:lvlJc w:val="left"/>
      <w:pPr>
        <w:ind w:left="4320" w:hanging="360"/>
      </w:pPr>
      <w:rPr>
        <w:rFonts w:ascii="Wingdings" w:hAnsi="Wingdings" w:hint="default"/>
      </w:rPr>
    </w:lvl>
    <w:lvl w:ilvl="6" w:tplc="C924F392">
      <w:start w:val="1"/>
      <w:numFmt w:val="bullet"/>
      <w:lvlText w:val=""/>
      <w:lvlJc w:val="left"/>
      <w:pPr>
        <w:ind w:left="5040" w:hanging="360"/>
      </w:pPr>
      <w:rPr>
        <w:rFonts w:ascii="Symbol" w:hAnsi="Symbol" w:hint="default"/>
      </w:rPr>
    </w:lvl>
    <w:lvl w:ilvl="7" w:tplc="CD98FCAC">
      <w:start w:val="1"/>
      <w:numFmt w:val="bullet"/>
      <w:lvlText w:val="o"/>
      <w:lvlJc w:val="left"/>
      <w:pPr>
        <w:ind w:left="5760" w:hanging="360"/>
      </w:pPr>
      <w:rPr>
        <w:rFonts w:ascii="Courier New" w:hAnsi="Courier New" w:hint="default"/>
      </w:rPr>
    </w:lvl>
    <w:lvl w:ilvl="8" w:tplc="F53C930C">
      <w:start w:val="1"/>
      <w:numFmt w:val="bullet"/>
      <w:lvlText w:val=""/>
      <w:lvlJc w:val="left"/>
      <w:pPr>
        <w:ind w:left="6480" w:hanging="360"/>
      </w:pPr>
      <w:rPr>
        <w:rFonts w:ascii="Wingdings" w:hAnsi="Wingdings" w:hint="default"/>
      </w:rPr>
    </w:lvl>
  </w:abstractNum>
  <w:abstractNum w:abstractNumId="75" w15:restartNumberingAfterBreak="0">
    <w:nsid w:val="0F155C63"/>
    <w:multiLevelType w:val="multilevel"/>
    <w:tmpl w:val="19A8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F210AE2"/>
    <w:multiLevelType w:val="hybridMultilevel"/>
    <w:tmpl w:val="7F66DA32"/>
    <w:lvl w:ilvl="0" w:tplc="88383F6E">
      <w:start w:val="1"/>
      <w:numFmt w:val="bullet"/>
      <w:lvlText w:val=""/>
      <w:lvlJc w:val="left"/>
      <w:pPr>
        <w:ind w:left="720" w:hanging="360"/>
      </w:pPr>
      <w:rPr>
        <w:rFonts w:ascii="Symbol" w:hAnsi="Symbol" w:hint="default"/>
      </w:rPr>
    </w:lvl>
    <w:lvl w:ilvl="1" w:tplc="D2A83210" w:tentative="1">
      <w:start w:val="1"/>
      <w:numFmt w:val="bullet"/>
      <w:lvlText w:val="o"/>
      <w:lvlJc w:val="left"/>
      <w:pPr>
        <w:ind w:left="1440" w:hanging="360"/>
      </w:pPr>
      <w:rPr>
        <w:rFonts w:ascii="Courier New" w:hAnsi="Courier New" w:hint="default"/>
      </w:rPr>
    </w:lvl>
    <w:lvl w:ilvl="2" w:tplc="F5E4B62E" w:tentative="1">
      <w:start w:val="1"/>
      <w:numFmt w:val="bullet"/>
      <w:lvlText w:val=""/>
      <w:lvlJc w:val="left"/>
      <w:pPr>
        <w:ind w:left="2160" w:hanging="360"/>
      </w:pPr>
      <w:rPr>
        <w:rFonts w:ascii="Wingdings" w:hAnsi="Wingdings" w:hint="default"/>
      </w:rPr>
    </w:lvl>
    <w:lvl w:ilvl="3" w:tplc="7C58C55C" w:tentative="1">
      <w:start w:val="1"/>
      <w:numFmt w:val="bullet"/>
      <w:lvlText w:val=""/>
      <w:lvlJc w:val="left"/>
      <w:pPr>
        <w:ind w:left="2880" w:hanging="360"/>
      </w:pPr>
      <w:rPr>
        <w:rFonts w:ascii="Symbol" w:hAnsi="Symbol" w:hint="default"/>
      </w:rPr>
    </w:lvl>
    <w:lvl w:ilvl="4" w:tplc="EF50678C" w:tentative="1">
      <w:start w:val="1"/>
      <w:numFmt w:val="bullet"/>
      <w:lvlText w:val="o"/>
      <w:lvlJc w:val="left"/>
      <w:pPr>
        <w:ind w:left="3600" w:hanging="360"/>
      </w:pPr>
      <w:rPr>
        <w:rFonts w:ascii="Courier New" w:hAnsi="Courier New" w:hint="default"/>
      </w:rPr>
    </w:lvl>
    <w:lvl w:ilvl="5" w:tplc="CF6E48AA" w:tentative="1">
      <w:start w:val="1"/>
      <w:numFmt w:val="bullet"/>
      <w:lvlText w:val=""/>
      <w:lvlJc w:val="left"/>
      <w:pPr>
        <w:ind w:left="4320" w:hanging="360"/>
      </w:pPr>
      <w:rPr>
        <w:rFonts w:ascii="Wingdings" w:hAnsi="Wingdings" w:hint="default"/>
      </w:rPr>
    </w:lvl>
    <w:lvl w:ilvl="6" w:tplc="25BCE83C" w:tentative="1">
      <w:start w:val="1"/>
      <w:numFmt w:val="bullet"/>
      <w:lvlText w:val=""/>
      <w:lvlJc w:val="left"/>
      <w:pPr>
        <w:ind w:left="5040" w:hanging="360"/>
      </w:pPr>
      <w:rPr>
        <w:rFonts w:ascii="Symbol" w:hAnsi="Symbol" w:hint="default"/>
      </w:rPr>
    </w:lvl>
    <w:lvl w:ilvl="7" w:tplc="FC388FAC" w:tentative="1">
      <w:start w:val="1"/>
      <w:numFmt w:val="bullet"/>
      <w:lvlText w:val="o"/>
      <w:lvlJc w:val="left"/>
      <w:pPr>
        <w:ind w:left="5760" w:hanging="360"/>
      </w:pPr>
      <w:rPr>
        <w:rFonts w:ascii="Courier New" w:hAnsi="Courier New" w:hint="default"/>
      </w:rPr>
    </w:lvl>
    <w:lvl w:ilvl="8" w:tplc="2AE270EC" w:tentative="1">
      <w:start w:val="1"/>
      <w:numFmt w:val="bullet"/>
      <w:lvlText w:val=""/>
      <w:lvlJc w:val="left"/>
      <w:pPr>
        <w:ind w:left="6480" w:hanging="360"/>
      </w:pPr>
      <w:rPr>
        <w:rFonts w:ascii="Wingdings" w:hAnsi="Wingdings" w:hint="default"/>
      </w:rPr>
    </w:lvl>
  </w:abstractNum>
  <w:abstractNum w:abstractNumId="77" w15:restartNumberingAfterBreak="0">
    <w:nsid w:val="0F362B18"/>
    <w:multiLevelType w:val="hybridMultilevel"/>
    <w:tmpl w:val="8084A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0F487840"/>
    <w:multiLevelType w:val="hybridMultilevel"/>
    <w:tmpl w:val="0AE0B53C"/>
    <w:lvl w:ilvl="0" w:tplc="53A665F6">
      <w:start w:val="1"/>
      <w:numFmt w:val="bullet"/>
      <w:lvlText w:val=""/>
      <w:lvlJc w:val="left"/>
      <w:pPr>
        <w:ind w:left="720" w:hanging="360"/>
      </w:pPr>
      <w:rPr>
        <w:rFonts w:ascii="Symbol" w:hAnsi="Symbol" w:hint="default"/>
      </w:rPr>
    </w:lvl>
    <w:lvl w:ilvl="1" w:tplc="00A87F4C" w:tentative="1">
      <w:start w:val="1"/>
      <w:numFmt w:val="bullet"/>
      <w:lvlText w:val="o"/>
      <w:lvlJc w:val="left"/>
      <w:pPr>
        <w:ind w:left="1440" w:hanging="360"/>
      </w:pPr>
      <w:rPr>
        <w:rFonts w:ascii="Courier New" w:hAnsi="Courier New" w:hint="default"/>
      </w:rPr>
    </w:lvl>
    <w:lvl w:ilvl="2" w:tplc="1F64A994" w:tentative="1">
      <w:start w:val="1"/>
      <w:numFmt w:val="bullet"/>
      <w:lvlText w:val=""/>
      <w:lvlJc w:val="left"/>
      <w:pPr>
        <w:ind w:left="2160" w:hanging="360"/>
      </w:pPr>
      <w:rPr>
        <w:rFonts w:ascii="Wingdings" w:hAnsi="Wingdings" w:hint="default"/>
      </w:rPr>
    </w:lvl>
    <w:lvl w:ilvl="3" w:tplc="419ED702" w:tentative="1">
      <w:start w:val="1"/>
      <w:numFmt w:val="bullet"/>
      <w:lvlText w:val=""/>
      <w:lvlJc w:val="left"/>
      <w:pPr>
        <w:ind w:left="2880" w:hanging="360"/>
      </w:pPr>
      <w:rPr>
        <w:rFonts w:ascii="Symbol" w:hAnsi="Symbol" w:hint="default"/>
      </w:rPr>
    </w:lvl>
    <w:lvl w:ilvl="4" w:tplc="155CEB86" w:tentative="1">
      <w:start w:val="1"/>
      <w:numFmt w:val="bullet"/>
      <w:lvlText w:val="o"/>
      <w:lvlJc w:val="left"/>
      <w:pPr>
        <w:ind w:left="3600" w:hanging="360"/>
      </w:pPr>
      <w:rPr>
        <w:rFonts w:ascii="Courier New" w:hAnsi="Courier New" w:hint="default"/>
      </w:rPr>
    </w:lvl>
    <w:lvl w:ilvl="5" w:tplc="35A090D4" w:tentative="1">
      <w:start w:val="1"/>
      <w:numFmt w:val="bullet"/>
      <w:lvlText w:val=""/>
      <w:lvlJc w:val="left"/>
      <w:pPr>
        <w:ind w:left="4320" w:hanging="360"/>
      </w:pPr>
      <w:rPr>
        <w:rFonts w:ascii="Wingdings" w:hAnsi="Wingdings" w:hint="default"/>
      </w:rPr>
    </w:lvl>
    <w:lvl w:ilvl="6" w:tplc="81B0AB5C" w:tentative="1">
      <w:start w:val="1"/>
      <w:numFmt w:val="bullet"/>
      <w:lvlText w:val=""/>
      <w:lvlJc w:val="left"/>
      <w:pPr>
        <w:ind w:left="5040" w:hanging="360"/>
      </w:pPr>
      <w:rPr>
        <w:rFonts w:ascii="Symbol" w:hAnsi="Symbol" w:hint="default"/>
      </w:rPr>
    </w:lvl>
    <w:lvl w:ilvl="7" w:tplc="6312359A" w:tentative="1">
      <w:start w:val="1"/>
      <w:numFmt w:val="bullet"/>
      <w:lvlText w:val="o"/>
      <w:lvlJc w:val="left"/>
      <w:pPr>
        <w:ind w:left="5760" w:hanging="360"/>
      </w:pPr>
      <w:rPr>
        <w:rFonts w:ascii="Courier New" w:hAnsi="Courier New" w:hint="default"/>
      </w:rPr>
    </w:lvl>
    <w:lvl w:ilvl="8" w:tplc="E4E47EFA" w:tentative="1">
      <w:start w:val="1"/>
      <w:numFmt w:val="bullet"/>
      <w:lvlText w:val=""/>
      <w:lvlJc w:val="left"/>
      <w:pPr>
        <w:ind w:left="6480" w:hanging="360"/>
      </w:pPr>
      <w:rPr>
        <w:rFonts w:ascii="Wingdings" w:hAnsi="Wingdings" w:hint="default"/>
      </w:rPr>
    </w:lvl>
  </w:abstractNum>
  <w:abstractNum w:abstractNumId="79" w15:restartNumberingAfterBreak="0">
    <w:nsid w:val="0F586224"/>
    <w:multiLevelType w:val="multilevel"/>
    <w:tmpl w:val="A73C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F5E3774"/>
    <w:multiLevelType w:val="hybridMultilevel"/>
    <w:tmpl w:val="E17E490A"/>
    <w:lvl w:ilvl="0" w:tplc="0EB0E5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0FF01344"/>
    <w:multiLevelType w:val="hybridMultilevel"/>
    <w:tmpl w:val="96FE03B4"/>
    <w:lvl w:ilvl="0" w:tplc="770EC322">
      <w:start w:val="1"/>
      <w:numFmt w:val="bullet"/>
      <w:lvlText w:val=""/>
      <w:lvlJc w:val="left"/>
      <w:pPr>
        <w:ind w:left="720" w:hanging="360"/>
      </w:pPr>
      <w:rPr>
        <w:rFonts w:ascii="Symbol" w:hAnsi="Symbol" w:hint="default"/>
      </w:rPr>
    </w:lvl>
    <w:lvl w:ilvl="1" w:tplc="89702A1C" w:tentative="1">
      <w:start w:val="1"/>
      <w:numFmt w:val="bullet"/>
      <w:lvlText w:val="o"/>
      <w:lvlJc w:val="left"/>
      <w:pPr>
        <w:ind w:left="1440" w:hanging="360"/>
      </w:pPr>
      <w:rPr>
        <w:rFonts w:ascii="Courier New" w:hAnsi="Courier New" w:hint="default"/>
      </w:rPr>
    </w:lvl>
    <w:lvl w:ilvl="2" w:tplc="C8CE0EAA" w:tentative="1">
      <w:start w:val="1"/>
      <w:numFmt w:val="bullet"/>
      <w:lvlText w:val=""/>
      <w:lvlJc w:val="left"/>
      <w:pPr>
        <w:ind w:left="2160" w:hanging="360"/>
      </w:pPr>
      <w:rPr>
        <w:rFonts w:ascii="Wingdings" w:hAnsi="Wingdings" w:hint="default"/>
      </w:rPr>
    </w:lvl>
    <w:lvl w:ilvl="3" w:tplc="FC4C7284" w:tentative="1">
      <w:start w:val="1"/>
      <w:numFmt w:val="bullet"/>
      <w:lvlText w:val=""/>
      <w:lvlJc w:val="left"/>
      <w:pPr>
        <w:ind w:left="2880" w:hanging="360"/>
      </w:pPr>
      <w:rPr>
        <w:rFonts w:ascii="Symbol" w:hAnsi="Symbol" w:hint="default"/>
      </w:rPr>
    </w:lvl>
    <w:lvl w:ilvl="4" w:tplc="B6A8FAB8" w:tentative="1">
      <w:start w:val="1"/>
      <w:numFmt w:val="bullet"/>
      <w:lvlText w:val="o"/>
      <w:lvlJc w:val="left"/>
      <w:pPr>
        <w:ind w:left="3600" w:hanging="360"/>
      </w:pPr>
      <w:rPr>
        <w:rFonts w:ascii="Courier New" w:hAnsi="Courier New" w:hint="default"/>
      </w:rPr>
    </w:lvl>
    <w:lvl w:ilvl="5" w:tplc="F24E2566" w:tentative="1">
      <w:start w:val="1"/>
      <w:numFmt w:val="bullet"/>
      <w:lvlText w:val=""/>
      <w:lvlJc w:val="left"/>
      <w:pPr>
        <w:ind w:left="4320" w:hanging="360"/>
      </w:pPr>
      <w:rPr>
        <w:rFonts w:ascii="Wingdings" w:hAnsi="Wingdings" w:hint="default"/>
      </w:rPr>
    </w:lvl>
    <w:lvl w:ilvl="6" w:tplc="3312A22C" w:tentative="1">
      <w:start w:val="1"/>
      <w:numFmt w:val="bullet"/>
      <w:lvlText w:val=""/>
      <w:lvlJc w:val="left"/>
      <w:pPr>
        <w:ind w:left="5040" w:hanging="360"/>
      </w:pPr>
      <w:rPr>
        <w:rFonts w:ascii="Symbol" w:hAnsi="Symbol" w:hint="default"/>
      </w:rPr>
    </w:lvl>
    <w:lvl w:ilvl="7" w:tplc="21008220" w:tentative="1">
      <w:start w:val="1"/>
      <w:numFmt w:val="bullet"/>
      <w:lvlText w:val="o"/>
      <w:lvlJc w:val="left"/>
      <w:pPr>
        <w:ind w:left="5760" w:hanging="360"/>
      </w:pPr>
      <w:rPr>
        <w:rFonts w:ascii="Courier New" w:hAnsi="Courier New" w:hint="default"/>
      </w:rPr>
    </w:lvl>
    <w:lvl w:ilvl="8" w:tplc="6A302314" w:tentative="1">
      <w:start w:val="1"/>
      <w:numFmt w:val="bullet"/>
      <w:lvlText w:val=""/>
      <w:lvlJc w:val="left"/>
      <w:pPr>
        <w:ind w:left="6480" w:hanging="360"/>
      </w:pPr>
      <w:rPr>
        <w:rFonts w:ascii="Wingdings" w:hAnsi="Wingdings" w:hint="default"/>
      </w:rPr>
    </w:lvl>
  </w:abstractNum>
  <w:abstractNum w:abstractNumId="82" w15:restartNumberingAfterBreak="0">
    <w:nsid w:val="10291911"/>
    <w:multiLevelType w:val="hybridMultilevel"/>
    <w:tmpl w:val="955EB164"/>
    <w:lvl w:ilvl="0" w:tplc="B3AE8F5C">
      <w:start w:val="1"/>
      <w:numFmt w:val="bullet"/>
      <w:lvlText w:val=""/>
      <w:lvlJc w:val="left"/>
      <w:pPr>
        <w:ind w:left="360" w:hanging="360"/>
      </w:pPr>
      <w:rPr>
        <w:rFonts w:ascii="Symbol" w:hAnsi="Symbol" w:hint="default"/>
      </w:rPr>
    </w:lvl>
    <w:lvl w:ilvl="1" w:tplc="61C411D6" w:tentative="1">
      <w:start w:val="1"/>
      <w:numFmt w:val="bullet"/>
      <w:lvlText w:val="o"/>
      <w:lvlJc w:val="left"/>
      <w:pPr>
        <w:ind w:left="1080" w:hanging="360"/>
      </w:pPr>
      <w:rPr>
        <w:rFonts w:ascii="Courier New" w:hAnsi="Courier New" w:hint="default"/>
      </w:rPr>
    </w:lvl>
    <w:lvl w:ilvl="2" w:tplc="B6EADE84" w:tentative="1">
      <w:start w:val="1"/>
      <w:numFmt w:val="bullet"/>
      <w:lvlText w:val=""/>
      <w:lvlJc w:val="left"/>
      <w:pPr>
        <w:ind w:left="1800" w:hanging="360"/>
      </w:pPr>
      <w:rPr>
        <w:rFonts w:ascii="Wingdings" w:hAnsi="Wingdings" w:hint="default"/>
      </w:rPr>
    </w:lvl>
    <w:lvl w:ilvl="3" w:tplc="F1DC4C6C" w:tentative="1">
      <w:start w:val="1"/>
      <w:numFmt w:val="bullet"/>
      <w:lvlText w:val=""/>
      <w:lvlJc w:val="left"/>
      <w:pPr>
        <w:ind w:left="2520" w:hanging="360"/>
      </w:pPr>
      <w:rPr>
        <w:rFonts w:ascii="Symbol" w:hAnsi="Symbol" w:hint="default"/>
      </w:rPr>
    </w:lvl>
    <w:lvl w:ilvl="4" w:tplc="3D32F1CC" w:tentative="1">
      <w:start w:val="1"/>
      <w:numFmt w:val="bullet"/>
      <w:lvlText w:val="o"/>
      <w:lvlJc w:val="left"/>
      <w:pPr>
        <w:ind w:left="3240" w:hanging="360"/>
      </w:pPr>
      <w:rPr>
        <w:rFonts w:ascii="Courier New" w:hAnsi="Courier New" w:hint="default"/>
      </w:rPr>
    </w:lvl>
    <w:lvl w:ilvl="5" w:tplc="CE0420A6" w:tentative="1">
      <w:start w:val="1"/>
      <w:numFmt w:val="bullet"/>
      <w:lvlText w:val=""/>
      <w:lvlJc w:val="left"/>
      <w:pPr>
        <w:ind w:left="3960" w:hanging="360"/>
      </w:pPr>
      <w:rPr>
        <w:rFonts w:ascii="Wingdings" w:hAnsi="Wingdings" w:hint="default"/>
      </w:rPr>
    </w:lvl>
    <w:lvl w:ilvl="6" w:tplc="DEF279AA" w:tentative="1">
      <w:start w:val="1"/>
      <w:numFmt w:val="bullet"/>
      <w:lvlText w:val=""/>
      <w:lvlJc w:val="left"/>
      <w:pPr>
        <w:ind w:left="4680" w:hanging="360"/>
      </w:pPr>
      <w:rPr>
        <w:rFonts w:ascii="Symbol" w:hAnsi="Symbol" w:hint="default"/>
      </w:rPr>
    </w:lvl>
    <w:lvl w:ilvl="7" w:tplc="072A3ACE" w:tentative="1">
      <w:start w:val="1"/>
      <w:numFmt w:val="bullet"/>
      <w:lvlText w:val="o"/>
      <w:lvlJc w:val="left"/>
      <w:pPr>
        <w:ind w:left="5400" w:hanging="360"/>
      </w:pPr>
      <w:rPr>
        <w:rFonts w:ascii="Courier New" w:hAnsi="Courier New" w:hint="default"/>
      </w:rPr>
    </w:lvl>
    <w:lvl w:ilvl="8" w:tplc="69987E16" w:tentative="1">
      <w:start w:val="1"/>
      <w:numFmt w:val="bullet"/>
      <w:lvlText w:val=""/>
      <w:lvlJc w:val="left"/>
      <w:pPr>
        <w:ind w:left="6120" w:hanging="360"/>
      </w:pPr>
      <w:rPr>
        <w:rFonts w:ascii="Wingdings" w:hAnsi="Wingdings" w:hint="default"/>
      </w:rPr>
    </w:lvl>
  </w:abstractNum>
  <w:abstractNum w:abstractNumId="83" w15:restartNumberingAfterBreak="0">
    <w:nsid w:val="105A6CCA"/>
    <w:multiLevelType w:val="multilevel"/>
    <w:tmpl w:val="C66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93EA7C"/>
    <w:multiLevelType w:val="hybridMultilevel"/>
    <w:tmpl w:val="47C850CC"/>
    <w:lvl w:ilvl="0" w:tplc="2EEA4B3E">
      <w:start w:val="1"/>
      <w:numFmt w:val="bullet"/>
      <w:lvlText w:val=""/>
      <w:lvlJc w:val="left"/>
      <w:pPr>
        <w:ind w:left="720" w:hanging="360"/>
      </w:pPr>
      <w:rPr>
        <w:rFonts w:ascii="Symbol" w:hAnsi="Symbol" w:hint="default"/>
      </w:rPr>
    </w:lvl>
    <w:lvl w:ilvl="1" w:tplc="FEA6F242">
      <w:start w:val="1"/>
      <w:numFmt w:val="bullet"/>
      <w:lvlText w:val="o"/>
      <w:lvlJc w:val="left"/>
      <w:pPr>
        <w:ind w:left="1440" w:hanging="360"/>
      </w:pPr>
      <w:rPr>
        <w:rFonts w:ascii="Courier New" w:hAnsi="Courier New" w:hint="default"/>
      </w:rPr>
    </w:lvl>
    <w:lvl w:ilvl="2" w:tplc="4CF816A2">
      <w:start w:val="1"/>
      <w:numFmt w:val="bullet"/>
      <w:lvlText w:val=""/>
      <w:lvlJc w:val="left"/>
      <w:pPr>
        <w:ind w:left="2160" w:hanging="360"/>
      </w:pPr>
      <w:rPr>
        <w:rFonts w:ascii="Wingdings" w:hAnsi="Wingdings" w:hint="default"/>
      </w:rPr>
    </w:lvl>
    <w:lvl w:ilvl="3" w:tplc="9FEE179E">
      <w:start w:val="1"/>
      <w:numFmt w:val="bullet"/>
      <w:lvlText w:val=""/>
      <w:lvlJc w:val="left"/>
      <w:pPr>
        <w:ind w:left="2880" w:hanging="360"/>
      </w:pPr>
      <w:rPr>
        <w:rFonts w:ascii="Symbol" w:hAnsi="Symbol" w:hint="default"/>
      </w:rPr>
    </w:lvl>
    <w:lvl w:ilvl="4" w:tplc="8A8A78AE">
      <w:start w:val="1"/>
      <w:numFmt w:val="bullet"/>
      <w:lvlText w:val="o"/>
      <w:lvlJc w:val="left"/>
      <w:pPr>
        <w:ind w:left="3600" w:hanging="360"/>
      </w:pPr>
      <w:rPr>
        <w:rFonts w:ascii="Courier New" w:hAnsi="Courier New" w:hint="default"/>
      </w:rPr>
    </w:lvl>
    <w:lvl w:ilvl="5" w:tplc="1EC2382E">
      <w:start w:val="1"/>
      <w:numFmt w:val="bullet"/>
      <w:lvlText w:val=""/>
      <w:lvlJc w:val="left"/>
      <w:pPr>
        <w:ind w:left="4320" w:hanging="360"/>
      </w:pPr>
      <w:rPr>
        <w:rFonts w:ascii="Wingdings" w:hAnsi="Wingdings" w:hint="default"/>
      </w:rPr>
    </w:lvl>
    <w:lvl w:ilvl="6" w:tplc="C4CA10F2">
      <w:start w:val="1"/>
      <w:numFmt w:val="bullet"/>
      <w:lvlText w:val=""/>
      <w:lvlJc w:val="left"/>
      <w:pPr>
        <w:ind w:left="5040" w:hanging="360"/>
      </w:pPr>
      <w:rPr>
        <w:rFonts w:ascii="Symbol" w:hAnsi="Symbol" w:hint="default"/>
      </w:rPr>
    </w:lvl>
    <w:lvl w:ilvl="7" w:tplc="9118B33A">
      <w:start w:val="1"/>
      <w:numFmt w:val="bullet"/>
      <w:lvlText w:val="o"/>
      <w:lvlJc w:val="left"/>
      <w:pPr>
        <w:ind w:left="5760" w:hanging="360"/>
      </w:pPr>
      <w:rPr>
        <w:rFonts w:ascii="Courier New" w:hAnsi="Courier New" w:hint="default"/>
      </w:rPr>
    </w:lvl>
    <w:lvl w:ilvl="8" w:tplc="5880933A">
      <w:start w:val="1"/>
      <w:numFmt w:val="bullet"/>
      <w:lvlText w:val=""/>
      <w:lvlJc w:val="left"/>
      <w:pPr>
        <w:ind w:left="6480" w:hanging="360"/>
      </w:pPr>
      <w:rPr>
        <w:rFonts w:ascii="Wingdings" w:hAnsi="Wingdings" w:hint="default"/>
      </w:rPr>
    </w:lvl>
  </w:abstractNum>
  <w:abstractNum w:abstractNumId="85" w15:restartNumberingAfterBreak="0">
    <w:nsid w:val="10A12899"/>
    <w:multiLevelType w:val="hybridMultilevel"/>
    <w:tmpl w:val="3FEEF308"/>
    <w:lvl w:ilvl="0" w:tplc="00C621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0D154BA"/>
    <w:multiLevelType w:val="multilevel"/>
    <w:tmpl w:val="381C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0D160D4"/>
    <w:multiLevelType w:val="multilevel"/>
    <w:tmpl w:val="EDD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191B35"/>
    <w:multiLevelType w:val="multilevel"/>
    <w:tmpl w:val="100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9F2930"/>
    <w:multiLevelType w:val="multilevel"/>
    <w:tmpl w:val="878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C84BD0"/>
    <w:multiLevelType w:val="multilevel"/>
    <w:tmpl w:val="6C30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C90559"/>
    <w:multiLevelType w:val="multilevel"/>
    <w:tmpl w:val="C5C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1D00D0F"/>
    <w:multiLevelType w:val="multilevel"/>
    <w:tmpl w:val="6680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33507B"/>
    <w:multiLevelType w:val="hybridMultilevel"/>
    <w:tmpl w:val="8408BA5A"/>
    <w:lvl w:ilvl="0" w:tplc="0C090001">
      <w:start w:val="1"/>
      <w:numFmt w:val="bullet"/>
      <w:lvlText w:val=""/>
      <w:lvlJc w:val="left"/>
      <w:pPr>
        <w:ind w:left="840" w:hanging="420"/>
      </w:pPr>
      <w:rPr>
        <w:rFonts w:ascii="Symbol" w:hAnsi="Symbol" w:hint="default"/>
      </w:rPr>
    </w:lvl>
    <w:lvl w:ilvl="1" w:tplc="0409000B">
      <w:start w:val="1"/>
      <w:numFmt w:val="bullet"/>
      <w:lvlText w:val=""/>
      <w:lvlJc w:val="left"/>
      <w:pPr>
        <w:ind w:left="2286" w:hanging="360"/>
      </w:pPr>
      <w:rPr>
        <w:rFonts w:ascii="Wingdings" w:hAnsi="Wingdings" w:hint="default"/>
      </w:rPr>
    </w:lvl>
    <w:lvl w:ilvl="2" w:tplc="0C09001B" w:tentative="1">
      <w:start w:val="1"/>
      <w:numFmt w:val="lowerRoman"/>
      <w:lvlText w:val="%3."/>
      <w:lvlJc w:val="right"/>
      <w:pPr>
        <w:ind w:left="3006" w:hanging="180"/>
      </w:pPr>
    </w:lvl>
    <w:lvl w:ilvl="3" w:tplc="0C09000F" w:tentative="1">
      <w:start w:val="1"/>
      <w:numFmt w:val="decimal"/>
      <w:lvlText w:val="%4."/>
      <w:lvlJc w:val="left"/>
      <w:pPr>
        <w:ind w:left="3726" w:hanging="360"/>
      </w:pPr>
    </w:lvl>
    <w:lvl w:ilvl="4" w:tplc="0C090019" w:tentative="1">
      <w:start w:val="1"/>
      <w:numFmt w:val="lowerLetter"/>
      <w:lvlText w:val="%5."/>
      <w:lvlJc w:val="left"/>
      <w:pPr>
        <w:ind w:left="4446" w:hanging="360"/>
      </w:pPr>
    </w:lvl>
    <w:lvl w:ilvl="5" w:tplc="0C09001B" w:tentative="1">
      <w:start w:val="1"/>
      <w:numFmt w:val="lowerRoman"/>
      <w:lvlText w:val="%6."/>
      <w:lvlJc w:val="right"/>
      <w:pPr>
        <w:ind w:left="5166" w:hanging="180"/>
      </w:pPr>
    </w:lvl>
    <w:lvl w:ilvl="6" w:tplc="0C09000F" w:tentative="1">
      <w:start w:val="1"/>
      <w:numFmt w:val="decimal"/>
      <w:lvlText w:val="%7."/>
      <w:lvlJc w:val="left"/>
      <w:pPr>
        <w:ind w:left="5886" w:hanging="360"/>
      </w:pPr>
    </w:lvl>
    <w:lvl w:ilvl="7" w:tplc="0C090019" w:tentative="1">
      <w:start w:val="1"/>
      <w:numFmt w:val="lowerLetter"/>
      <w:lvlText w:val="%8."/>
      <w:lvlJc w:val="left"/>
      <w:pPr>
        <w:ind w:left="6606" w:hanging="360"/>
      </w:pPr>
    </w:lvl>
    <w:lvl w:ilvl="8" w:tplc="0C09001B" w:tentative="1">
      <w:start w:val="1"/>
      <w:numFmt w:val="lowerRoman"/>
      <w:lvlText w:val="%9."/>
      <w:lvlJc w:val="right"/>
      <w:pPr>
        <w:ind w:left="7326" w:hanging="180"/>
      </w:pPr>
    </w:lvl>
  </w:abstractNum>
  <w:abstractNum w:abstractNumId="94" w15:restartNumberingAfterBreak="0">
    <w:nsid w:val="123D71EB"/>
    <w:multiLevelType w:val="multilevel"/>
    <w:tmpl w:val="4C54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29C3A2F"/>
    <w:multiLevelType w:val="hybridMultilevel"/>
    <w:tmpl w:val="DAAED23C"/>
    <w:lvl w:ilvl="0" w:tplc="E4345C34">
      <w:start w:val="1"/>
      <w:numFmt w:val="bullet"/>
      <w:lvlText w:val=""/>
      <w:lvlJc w:val="left"/>
      <w:pPr>
        <w:ind w:left="720" w:hanging="360"/>
      </w:pPr>
      <w:rPr>
        <w:rFonts w:ascii="Symbol" w:hAnsi="Symbol" w:hint="default"/>
      </w:rPr>
    </w:lvl>
    <w:lvl w:ilvl="1" w:tplc="9FD087F2">
      <w:start w:val="1"/>
      <w:numFmt w:val="bullet"/>
      <w:lvlText w:val="o"/>
      <w:lvlJc w:val="left"/>
      <w:pPr>
        <w:ind w:left="1440" w:hanging="360"/>
      </w:pPr>
      <w:rPr>
        <w:rFonts w:ascii="&quot;Courier New&quot;" w:hAnsi="&quot;Courier New&quot;" w:hint="default"/>
      </w:rPr>
    </w:lvl>
    <w:lvl w:ilvl="2" w:tplc="E7321888">
      <w:start w:val="1"/>
      <w:numFmt w:val="bullet"/>
      <w:lvlText w:val=""/>
      <w:lvlJc w:val="left"/>
      <w:pPr>
        <w:ind w:left="2160" w:hanging="360"/>
      </w:pPr>
      <w:rPr>
        <w:rFonts w:ascii="Wingdings" w:hAnsi="Wingdings" w:hint="default"/>
      </w:rPr>
    </w:lvl>
    <w:lvl w:ilvl="3" w:tplc="79D66DA8">
      <w:start w:val="1"/>
      <w:numFmt w:val="bullet"/>
      <w:lvlText w:val=""/>
      <w:lvlJc w:val="left"/>
      <w:pPr>
        <w:ind w:left="2880" w:hanging="360"/>
      </w:pPr>
      <w:rPr>
        <w:rFonts w:ascii="Symbol" w:hAnsi="Symbol" w:hint="default"/>
      </w:rPr>
    </w:lvl>
    <w:lvl w:ilvl="4" w:tplc="4E625800">
      <w:start w:val="1"/>
      <w:numFmt w:val="bullet"/>
      <w:lvlText w:val="o"/>
      <w:lvlJc w:val="left"/>
      <w:pPr>
        <w:ind w:left="3600" w:hanging="360"/>
      </w:pPr>
      <w:rPr>
        <w:rFonts w:ascii="Courier New" w:hAnsi="Courier New" w:hint="default"/>
      </w:rPr>
    </w:lvl>
    <w:lvl w:ilvl="5" w:tplc="50704172">
      <w:start w:val="1"/>
      <w:numFmt w:val="bullet"/>
      <w:lvlText w:val=""/>
      <w:lvlJc w:val="left"/>
      <w:pPr>
        <w:ind w:left="4320" w:hanging="360"/>
      </w:pPr>
      <w:rPr>
        <w:rFonts w:ascii="Wingdings" w:hAnsi="Wingdings" w:hint="default"/>
      </w:rPr>
    </w:lvl>
    <w:lvl w:ilvl="6" w:tplc="46664EC2">
      <w:start w:val="1"/>
      <w:numFmt w:val="bullet"/>
      <w:lvlText w:val=""/>
      <w:lvlJc w:val="left"/>
      <w:pPr>
        <w:ind w:left="5040" w:hanging="360"/>
      </w:pPr>
      <w:rPr>
        <w:rFonts w:ascii="Symbol" w:hAnsi="Symbol" w:hint="default"/>
      </w:rPr>
    </w:lvl>
    <w:lvl w:ilvl="7" w:tplc="BBD8CDFA">
      <w:start w:val="1"/>
      <w:numFmt w:val="bullet"/>
      <w:lvlText w:val="o"/>
      <w:lvlJc w:val="left"/>
      <w:pPr>
        <w:ind w:left="5760" w:hanging="360"/>
      </w:pPr>
      <w:rPr>
        <w:rFonts w:ascii="Courier New" w:hAnsi="Courier New" w:hint="default"/>
      </w:rPr>
    </w:lvl>
    <w:lvl w:ilvl="8" w:tplc="8E4A56DE">
      <w:start w:val="1"/>
      <w:numFmt w:val="bullet"/>
      <w:lvlText w:val=""/>
      <w:lvlJc w:val="left"/>
      <w:pPr>
        <w:ind w:left="6480" w:hanging="360"/>
      </w:pPr>
      <w:rPr>
        <w:rFonts w:ascii="Wingdings" w:hAnsi="Wingdings" w:hint="default"/>
      </w:rPr>
    </w:lvl>
  </w:abstractNum>
  <w:abstractNum w:abstractNumId="96" w15:restartNumberingAfterBreak="0">
    <w:nsid w:val="12AD259E"/>
    <w:multiLevelType w:val="hybridMultilevel"/>
    <w:tmpl w:val="B72E12AA"/>
    <w:lvl w:ilvl="0" w:tplc="5FC6C686">
      <w:start w:val="1"/>
      <w:numFmt w:val="bullet"/>
      <w:lvlText w:val=""/>
      <w:lvlJc w:val="left"/>
      <w:pPr>
        <w:ind w:left="720" w:hanging="360"/>
      </w:pPr>
      <w:rPr>
        <w:rFonts w:ascii="Symbol" w:hAnsi="Symbol" w:hint="default"/>
      </w:rPr>
    </w:lvl>
    <w:lvl w:ilvl="1" w:tplc="8A160AC2" w:tentative="1">
      <w:start w:val="1"/>
      <w:numFmt w:val="bullet"/>
      <w:lvlText w:val="o"/>
      <w:lvlJc w:val="left"/>
      <w:pPr>
        <w:ind w:left="1440" w:hanging="360"/>
      </w:pPr>
      <w:rPr>
        <w:rFonts w:ascii="Courier New" w:hAnsi="Courier New" w:hint="default"/>
      </w:rPr>
    </w:lvl>
    <w:lvl w:ilvl="2" w:tplc="23BC67D8" w:tentative="1">
      <w:start w:val="1"/>
      <w:numFmt w:val="bullet"/>
      <w:lvlText w:val=""/>
      <w:lvlJc w:val="left"/>
      <w:pPr>
        <w:ind w:left="2160" w:hanging="360"/>
      </w:pPr>
      <w:rPr>
        <w:rFonts w:ascii="Wingdings" w:hAnsi="Wingdings" w:hint="default"/>
      </w:rPr>
    </w:lvl>
    <w:lvl w:ilvl="3" w:tplc="534CFB0A" w:tentative="1">
      <w:start w:val="1"/>
      <w:numFmt w:val="bullet"/>
      <w:lvlText w:val=""/>
      <w:lvlJc w:val="left"/>
      <w:pPr>
        <w:ind w:left="2880" w:hanging="360"/>
      </w:pPr>
      <w:rPr>
        <w:rFonts w:ascii="Symbol" w:hAnsi="Symbol" w:hint="default"/>
      </w:rPr>
    </w:lvl>
    <w:lvl w:ilvl="4" w:tplc="3F8E9D32" w:tentative="1">
      <w:start w:val="1"/>
      <w:numFmt w:val="bullet"/>
      <w:lvlText w:val="o"/>
      <w:lvlJc w:val="left"/>
      <w:pPr>
        <w:ind w:left="3600" w:hanging="360"/>
      </w:pPr>
      <w:rPr>
        <w:rFonts w:ascii="Courier New" w:hAnsi="Courier New" w:hint="default"/>
      </w:rPr>
    </w:lvl>
    <w:lvl w:ilvl="5" w:tplc="F18E85A4" w:tentative="1">
      <w:start w:val="1"/>
      <w:numFmt w:val="bullet"/>
      <w:lvlText w:val=""/>
      <w:lvlJc w:val="left"/>
      <w:pPr>
        <w:ind w:left="4320" w:hanging="360"/>
      </w:pPr>
      <w:rPr>
        <w:rFonts w:ascii="Wingdings" w:hAnsi="Wingdings" w:hint="default"/>
      </w:rPr>
    </w:lvl>
    <w:lvl w:ilvl="6" w:tplc="84F2CE8A" w:tentative="1">
      <w:start w:val="1"/>
      <w:numFmt w:val="bullet"/>
      <w:lvlText w:val=""/>
      <w:lvlJc w:val="left"/>
      <w:pPr>
        <w:ind w:left="5040" w:hanging="360"/>
      </w:pPr>
      <w:rPr>
        <w:rFonts w:ascii="Symbol" w:hAnsi="Symbol" w:hint="default"/>
      </w:rPr>
    </w:lvl>
    <w:lvl w:ilvl="7" w:tplc="3CE4702C" w:tentative="1">
      <w:start w:val="1"/>
      <w:numFmt w:val="bullet"/>
      <w:lvlText w:val="o"/>
      <w:lvlJc w:val="left"/>
      <w:pPr>
        <w:ind w:left="5760" w:hanging="360"/>
      </w:pPr>
      <w:rPr>
        <w:rFonts w:ascii="Courier New" w:hAnsi="Courier New" w:hint="default"/>
      </w:rPr>
    </w:lvl>
    <w:lvl w:ilvl="8" w:tplc="A89E6942" w:tentative="1">
      <w:start w:val="1"/>
      <w:numFmt w:val="bullet"/>
      <w:lvlText w:val=""/>
      <w:lvlJc w:val="left"/>
      <w:pPr>
        <w:ind w:left="6480" w:hanging="360"/>
      </w:pPr>
      <w:rPr>
        <w:rFonts w:ascii="Wingdings" w:hAnsi="Wingdings" w:hint="default"/>
      </w:rPr>
    </w:lvl>
  </w:abstractNum>
  <w:abstractNum w:abstractNumId="97" w15:restartNumberingAfterBreak="0">
    <w:nsid w:val="12BE340B"/>
    <w:multiLevelType w:val="multilevel"/>
    <w:tmpl w:val="B0B2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0424D1"/>
    <w:multiLevelType w:val="multilevel"/>
    <w:tmpl w:val="4160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1F3E07"/>
    <w:multiLevelType w:val="hybridMultilevel"/>
    <w:tmpl w:val="C4FCA6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0" w15:restartNumberingAfterBreak="0">
    <w:nsid w:val="139A41AE"/>
    <w:multiLevelType w:val="hybridMultilevel"/>
    <w:tmpl w:val="4B2AF972"/>
    <w:lvl w:ilvl="0" w:tplc="1FFEDF14">
      <w:start w:val="1"/>
      <w:numFmt w:val="bullet"/>
      <w:lvlText w:val="·"/>
      <w:lvlJc w:val="left"/>
      <w:pPr>
        <w:ind w:left="720" w:hanging="360"/>
      </w:pPr>
      <w:rPr>
        <w:rFonts w:ascii="Symbol" w:hAnsi="Symbol" w:hint="default"/>
      </w:rPr>
    </w:lvl>
    <w:lvl w:ilvl="1" w:tplc="A56EEF10">
      <w:start w:val="1"/>
      <w:numFmt w:val="bullet"/>
      <w:lvlText w:val="o"/>
      <w:lvlJc w:val="left"/>
      <w:pPr>
        <w:ind w:left="1440" w:hanging="360"/>
      </w:pPr>
      <w:rPr>
        <w:rFonts w:ascii="Courier New" w:hAnsi="Courier New" w:hint="default"/>
      </w:rPr>
    </w:lvl>
    <w:lvl w:ilvl="2" w:tplc="EC44ADB2">
      <w:start w:val="1"/>
      <w:numFmt w:val="bullet"/>
      <w:lvlText w:val=""/>
      <w:lvlJc w:val="left"/>
      <w:pPr>
        <w:ind w:left="2160" w:hanging="360"/>
      </w:pPr>
      <w:rPr>
        <w:rFonts w:ascii="Wingdings" w:hAnsi="Wingdings" w:hint="default"/>
      </w:rPr>
    </w:lvl>
    <w:lvl w:ilvl="3" w:tplc="09F41426">
      <w:start w:val="1"/>
      <w:numFmt w:val="bullet"/>
      <w:lvlText w:val=""/>
      <w:lvlJc w:val="left"/>
      <w:pPr>
        <w:ind w:left="2880" w:hanging="360"/>
      </w:pPr>
      <w:rPr>
        <w:rFonts w:ascii="Symbol" w:hAnsi="Symbol" w:hint="default"/>
      </w:rPr>
    </w:lvl>
    <w:lvl w:ilvl="4" w:tplc="386253A8">
      <w:start w:val="1"/>
      <w:numFmt w:val="bullet"/>
      <w:lvlText w:val="o"/>
      <w:lvlJc w:val="left"/>
      <w:pPr>
        <w:ind w:left="3600" w:hanging="360"/>
      </w:pPr>
      <w:rPr>
        <w:rFonts w:ascii="Courier New" w:hAnsi="Courier New" w:hint="default"/>
      </w:rPr>
    </w:lvl>
    <w:lvl w:ilvl="5" w:tplc="D35896B2">
      <w:start w:val="1"/>
      <w:numFmt w:val="bullet"/>
      <w:lvlText w:val=""/>
      <w:lvlJc w:val="left"/>
      <w:pPr>
        <w:ind w:left="4320" w:hanging="360"/>
      </w:pPr>
      <w:rPr>
        <w:rFonts w:ascii="Wingdings" w:hAnsi="Wingdings" w:hint="default"/>
      </w:rPr>
    </w:lvl>
    <w:lvl w:ilvl="6" w:tplc="BDF4BD12">
      <w:start w:val="1"/>
      <w:numFmt w:val="bullet"/>
      <w:lvlText w:val=""/>
      <w:lvlJc w:val="left"/>
      <w:pPr>
        <w:ind w:left="5040" w:hanging="360"/>
      </w:pPr>
      <w:rPr>
        <w:rFonts w:ascii="Symbol" w:hAnsi="Symbol" w:hint="default"/>
      </w:rPr>
    </w:lvl>
    <w:lvl w:ilvl="7" w:tplc="DA9AEAE2">
      <w:start w:val="1"/>
      <w:numFmt w:val="bullet"/>
      <w:lvlText w:val="o"/>
      <w:lvlJc w:val="left"/>
      <w:pPr>
        <w:ind w:left="5760" w:hanging="360"/>
      </w:pPr>
      <w:rPr>
        <w:rFonts w:ascii="Courier New" w:hAnsi="Courier New" w:hint="default"/>
      </w:rPr>
    </w:lvl>
    <w:lvl w:ilvl="8" w:tplc="8D0CA482">
      <w:start w:val="1"/>
      <w:numFmt w:val="bullet"/>
      <w:lvlText w:val=""/>
      <w:lvlJc w:val="left"/>
      <w:pPr>
        <w:ind w:left="6480" w:hanging="360"/>
      </w:pPr>
      <w:rPr>
        <w:rFonts w:ascii="Wingdings" w:hAnsi="Wingdings" w:hint="default"/>
      </w:rPr>
    </w:lvl>
  </w:abstractNum>
  <w:abstractNum w:abstractNumId="101" w15:restartNumberingAfterBreak="0">
    <w:nsid w:val="13B8256C"/>
    <w:multiLevelType w:val="hybridMultilevel"/>
    <w:tmpl w:val="C0A4C4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14181177"/>
    <w:multiLevelType w:val="hybridMultilevel"/>
    <w:tmpl w:val="7876B65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03" w15:restartNumberingAfterBreak="0">
    <w:nsid w:val="141C2448"/>
    <w:multiLevelType w:val="hybridMultilevel"/>
    <w:tmpl w:val="66C4FDE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14925B66"/>
    <w:multiLevelType w:val="hybridMultilevel"/>
    <w:tmpl w:val="2634E166"/>
    <w:lvl w:ilvl="0" w:tplc="58647484">
      <w:start w:val="1"/>
      <w:numFmt w:val="bullet"/>
      <w:lvlText w:val=""/>
      <w:lvlJc w:val="left"/>
      <w:pPr>
        <w:ind w:left="720" w:hanging="360"/>
      </w:pPr>
      <w:rPr>
        <w:rFonts w:ascii="Symbol" w:hAnsi="Symbol" w:hint="default"/>
      </w:rPr>
    </w:lvl>
    <w:lvl w:ilvl="1" w:tplc="648E1EA8" w:tentative="1">
      <w:start w:val="1"/>
      <w:numFmt w:val="bullet"/>
      <w:lvlText w:val="o"/>
      <w:lvlJc w:val="left"/>
      <w:pPr>
        <w:ind w:left="1440" w:hanging="360"/>
      </w:pPr>
      <w:rPr>
        <w:rFonts w:ascii="Courier New" w:hAnsi="Courier New" w:hint="default"/>
      </w:rPr>
    </w:lvl>
    <w:lvl w:ilvl="2" w:tplc="62C6B7E0" w:tentative="1">
      <w:start w:val="1"/>
      <w:numFmt w:val="bullet"/>
      <w:lvlText w:val=""/>
      <w:lvlJc w:val="left"/>
      <w:pPr>
        <w:ind w:left="2160" w:hanging="360"/>
      </w:pPr>
      <w:rPr>
        <w:rFonts w:ascii="Wingdings" w:hAnsi="Wingdings" w:hint="default"/>
      </w:rPr>
    </w:lvl>
    <w:lvl w:ilvl="3" w:tplc="AFCA5D78" w:tentative="1">
      <w:start w:val="1"/>
      <w:numFmt w:val="bullet"/>
      <w:lvlText w:val=""/>
      <w:lvlJc w:val="left"/>
      <w:pPr>
        <w:ind w:left="2880" w:hanging="360"/>
      </w:pPr>
      <w:rPr>
        <w:rFonts w:ascii="Symbol" w:hAnsi="Symbol" w:hint="default"/>
      </w:rPr>
    </w:lvl>
    <w:lvl w:ilvl="4" w:tplc="61128550" w:tentative="1">
      <w:start w:val="1"/>
      <w:numFmt w:val="bullet"/>
      <w:lvlText w:val="o"/>
      <w:lvlJc w:val="left"/>
      <w:pPr>
        <w:ind w:left="3600" w:hanging="360"/>
      </w:pPr>
      <w:rPr>
        <w:rFonts w:ascii="Courier New" w:hAnsi="Courier New" w:hint="default"/>
      </w:rPr>
    </w:lvl>
    <w:lvl w:ilvl="5" w:tplc="EF064910" w:tentative="1">
      <w:start w:val="1"/>
      <w:numFmt w:val="bullet"/>
      <w:lvlText w:val=""/>
      <w:lvlJc w:val="left"/>
      <w:pPr>
        <w:ind w:left="4320" w:hanging="360"/>
      </w:pPr>
      <w:rPr>
        <w:rFonts w:ascii="Wingdings" w:hAnsi="Wingdings" w:hint="default"/>
      </w:rPr>
    </w:lvl>
    <w:lvl w:ilvl="6" w:tplc="4B6E2C04" w:tentative="1">
      <w:start w:val="1"/>
      <w:numFmt w:val="bullet"/>
      <w:lvlText w:val=""/>
      <w:lvlJc w:val="left"/>
      <w:pPr>
        <w:ind w:left="5040" w:hanging="360"/>
      </w:pPr>
      <w:rPr>
        <w:rFonts w:ascii="Symbol" w:hAnsi="Symbol" w:hint="default"/>
      </w:rPr>
    </w:lvl>
    <w:lvl w:ilvl="7" w:tplc="25521F86" w:tentative="1">
      <w:start w:val="1"/>
      <w:numFmt w:val="bullet"/>
      <w:lvlText w:val="o"/>
      <w:lvlJc w:val="left"/>
      <w:pPr>
        <w:ind w:left="5760" w:hanging="360"/>
      </w:pPr>
      <w:rPr>
        <w:rFonts w:ascii="Courier New" w:hAnsi="Courier New" w:hint="default"/>
      </w:rPr>
    </w:lvl>
    <w:lvl w:ilvl="8" w:tplc="AABEED6A" w:tentative="1">
      <w:start w:val="1"/>
      <w:numFmt w:val="bullet"/>
      <w:lvlText w:val=""/>
      <w:lvlJc w:val="left"/>
      <w:pPr>
        <w:ind w:left="6480" w:hanging="360"/>
      </w:pPr>
      <w:rPr>
        <w:rFonts w:ascii="Wingdings" w:hAnsi="Wingdings" w:hint="default"/>
      </w:rPr>
    </w:lvl>
  </w:abstractNum>
  <w:abstractNum w:abstractNumId="105" w15:restartNumberingAfterBreak="0">
    <w:nsid w:val="14953D3F"/>
    <w:multiLevelType w:val="hybridMultilevel"/>
    <w:tmpl w:val="9A6E0464"/>
    <w:lvl w:ilvl="0" w:tplc="0C09000F">
      <w:start w:val="1"/>
      <w:numFmt w:val="decimal"/>
      <w:lvlText w:val="%1."/>
      <w:lvlJc w:val="left"/>
      <w:pPr>
        <w:ind w:left="4897" w:hanging="360"/>
      </w:pPr>
    </w:lvl>
    <w:lvl w:ilvl="1" w:tplc="0C090019" w:tentative="1">
      <w:start w:val="1"/>
      <w:numFmt w:val="lowerLetter"/>
      <w:lvlText w:val="%2."/>
      <w:lvlJc w:val="left"/>
      <w:pPr>
        <w:ind w:left="5617" w:hanging="360"/>
      </w:pPr>
    </w:lvl>
    <w:lvl w:ilvl="2" w:tplc="0C09001B" w:tentative="1">
      <w:start w:val="1"/>
      <w:numFmt w:val="lowerRoman"/>
      <w:lvlText w:val="%3."/>
      <w:lvlJc w:val="right"/>
      <w:pPr>
        <w:ind w:left="6337" w:hanging="180"/>
      </w:pPr>
    </w:lvl>
    <w:lvl w:ilvl="3" w:tplc="0C09000F" w:tentative="1">
      <w:start w:val="1"/>
      <w:numFmt w:val="decimal"/>
      <w:lvlText w:val="%4."/>
      <w:lvlJc w:val="left"/>
      <w:pPr>
        <w:ind w:left="7057" w:hanging="360"/>
      </w:pPr>
    </w:lvl>
    <w:lvl w:ilvl="4" w:tplc="0C090019" w:tentative="1">
      <w:start w:val="1"/>
      <w:numFmt w:val="lowerLetter"/>
      <w:lvlText w:val="%5."/>
      <w:lvlJc w:val="left"/>
      <w:pPr>
        <w:ind w:left="7777" w:hanging="360"/>
      </w:pPr>
    </w:lvl>
    <w:lvl w:ilvl="5" w:tplc="0C09001B" w:tentative="1">
      <w:start w:val="1"/>
      <w:numFmt w:val="lowerRoman"/>
      <w:lvlText w:val="%6."/>
      <w:lvlJc w:val="right"/>
      <w:pPr>
        <w:ind w:left="8497" w:hanging="180"/>
      </w:pPr>
    </w:lvl>
    <w:lvl w:ilvl="6" w:tplc="0C09000F" w:tentative="1">
      <w:start w:val="1"/>
      <w:numFmt w:val="decimal"/>
      <w:lvlText w:val="%7."/>
      <w:lvlJc w:val="left"/>
      <w:pPr>
        <w:ind w:left="9217" w:hanging="360"/>
      </w:pPr>
    </w:lvl>
    <w:lvl w:ilvl="7" w:tplc="0C090019" w:tentative="1">
      <w:start w:val="1"/>
      <w:numFmt w:val="lowerLetter"/>
      <w:lvlText w:val="%8."/>
      <w:lvlJc w:val="left"/>
      <w:pPr>
        <w:ind w:left="9937" w:hanging="360"/>
      </w:pPr>
    </w:lvl>
    <w:lvl w:ilvl="8" w:tplc="0C09001B" w:tentative="1">
      <w:start w:val="1"/>
      <w:numFmt w:val="lowerRoman"/>
      <w:lvlText w:val="%9."/>
      <w:lvlJc w:val="right"/>
      <w:pPr>
        <w:ind w:left="10657" w:hanging="180"/>
      </w:pPr>
    </w:lvl>
  </w:abstractNum>
  <w:abstractNum w:abstractNumId="106" w15:restartNumberingAfterBreak="0">
    <w:nsid w:val="14B17E63"/>
    <w:multiLevelType w:val="hybridMultilevel"/>
    <w:tmpl w:val="FFFFFFFF"/>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Times New Roman"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Times New Roman"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Times New Roman" w:hint="default"/>
      </w:rPr>
    </w:lvl>
    <w:lvl w:ilvl="8" w:tplc="0C090005">
      <w:start w:val="1"/>
      <w:numFmt w:val="bullet"/>
      <w:lvlText w:val=""/>
      <w:lvlJc w:val="left"/>
      <w:pPr>
        <w:ind w:left="6525" w:hanging="360"/>
      </w:pPr>
      <w:rPr>
        <w:rFonts w:ascii="Wingdings" w:hAnsi="Wingdings" w:hint="default"/>
      </w:rPr>
    </w:lvl>
  </w:abstractNum>
  <w:abstractNum w:abstractNumId="107" w15:restartNumberingAfterBreak="0">
    <w:nsid w:val="14FD7577"/>
    <w:multiLevelType w:val="hybridMultilevel"/>
    <w:tmpl w:val="99D4C82C"/>
    <w:lvl w:ilvl="0" w:tplc="4D6CA39A">
      <w:start w:val="1"/>
      <w:numFmt w:val="bullet"/>
      <w:lvlText w:val=""/>
      <w:lvlJc w:val="left"/>
      <w:pPr>
        <w:ind w:left="720" w:hanging="360"/>
      </w:pPr>
      <w:rPr>
        <w:rFonts w:ascii="Symbol" w:hAnsi="Symbol" w:hint="default"/>
      </w:rPr>
    </w:lvl>
    <w:lvl w:ilvl="1" w:tplc="DFAC50E2" w:tentative="1">
      <w:start w:val="1"/>
      <w:numFmt w:val="bullet"/>
      <w:lvlText w:val="o"/>
      <w:lvlJc w:val="left"/>
      <w:pPr>
        <w:ind w:left="1440" w:hanging="360"/>
      </w:pPr>
      <w:rPr>
        <w:rFonts w:ascii="Courier New" w:hAnsi="Courier New" w:hint="default"/>
      </w:rPr>
    </w:lvl>
    <w:lvl w:ilvl="2" w:tplc="432C81D8" w:tentative="1">
      <w:start w:val="1"/>
      <w:numFmt w:val="bullet"/>
      <w:lvlText w:val=""/>
      <w:lvlJc w:val="left"/>
      <w:pPr>
        <w:ind w:left="2160" w:hanging="360"/>
      </w:pPr>
      <w:rPr>
        <w:rFonts w:ascii="Wingdings" w:hAnsi="Wingdings" w:hint="default"/>
      </w:rPr>
    </w:lvl>
    <w:lvl w:ilvl="3" w:tplc="CC264D62" w:tentative="1">
      <w:start w:val="1"/>
      <w:numFmt w:val="bullet"/>
      <w:lvlText w:val=""/>
      <w:lvlJc w:val="left"/>
      <w:pPr>
        <w:ind w:left="2880" w:hanging="360"/>
      </w:pPr>
      <w:rPr>
        <w:rFonts w:ascii="Symbol" w:hAnsi="Symbol" w:hint="default"/>
      </w:rPr>
    </w:lvl>
    <w:lvl w:ilvl="4" w:tplc="2CF8950E" w:tentative="1">
      <w:start w:val="1"/>
      <w:numFmt w:val="bullet"/>
      <w:lvlText w:val="o"/>
      <w:lvlJc w:val="left"/>
      <w:pPr>
        <w:ind w:left="3600" w:hanging="360"/>
      </w:pPr>
      <w:rPr>
        <w:rFonts w:ascii="Courier New" w:hAnsi="Courier New" w:hint="default"/>
      </w:rPr>
    </w:lvl>
    <w:lvl w:ilvl="5" w:tplc="D4E272A0" w:tentative="1">
      <w:start w:val="1"/>
      <w:numFmt w:val="bullet"/>
      <w:lvlText w:val=""/>
      <w:lvlJc w:val="left"/>
      <w:pPr>
        <w:ind w:left="4320" w:hanging="360"/>
      </w:pPr>
      <w:rPr>
        <w:rFonts w:ascii="Wingdings" w:hAnsi="Wingdings" w:hint="default"/>
      </w:rPr>
    </w:lvl>
    <w:lvl w:ilvl="6" w:tplc="E506CABC" w:tentative="1">
      <w:start w:val="1"/>
      <w:numFmt w:val="bullet"/>
      <w:lvlText w:val=""/>
      <w:lvlJc w:val="left"/>
      <w:pPr>
        <w:ind w:left="5040" w:hanging="360"/>
      </w:pPr>
      <w:rPr>
        <w:rFonts w:ascii="Symbol" w:hAnsi="Symbol" w:hint="default"/>
      </w:rPr>
    </w:lvl>
    <w:lvl w:ilvl="7" w:tplc="4006A336" w:tentative="1">
      <w:start w:val="1"/>
      <w:numFmt w:val="bullet"/>
      <w:lvlText w:val="o"/>
      <w:lvlJc w:val="left"/>
      <w:pPr>
        <w:ind w:left="5760" w:hanging="360"/>
      </w:pPr>
      <w:rPr>
        <w:rFonts w:ascii="Courier New" w:hAnsi="Courier New" w:hint="default"/>
      </w:rPr>
    </w:lvl>
    <w:lvl w:ilvl="8" w:tplc="C7408606" w:tentative="1">
      <w:start w:val="1"/>
      <w:numFmt w:val="bullet"/>
      <w:lvlText w:val=""/>
      <w:lvlJc w:val="left"/>
      <w:pPr>
        <w:ind w:left="6480" w:hanging="360"/>
      </w:pPr>
      <w:rPr>
        <w:rFonts w:ascii="Wingdings" w:hAnsi="Wingdings" w:hint="default"/>
      </w:rPr>
    </w:lvl>
  </w:abstractNum>
  <w:abstractNum w:abstractNumId="108" w15:restartNumberingAfterBreak="0">
    <w:nsid w:val="152AA9D9"/>
    <w:multiLevelType w:val="hybridMultilevel"/>
    <w:tmpl w:val="D1D0C3A4"/>
    <w:lvl w:ilvl="0" w:tplc="03A8B826">
      <w:start w:val="1"/>
      <w:numFmt w:val="bullet"/>
      <w:lvlText w:val="·"/>
      <w:lvlJc w:val="left"/>
      <w:pPr>
        <w:ind w:left="720" w:hanging="360"/>
      </w:pPr>
      <w:rPr>
        <w:rFonts w:ascii="Symbol" w:hAnsi="Symbol" w:hint="default"/>
      </w:rPr>
    </w:lvl>
    <w:lvl w:ilvl="1" w:tplc="096837E6">
      <w:start w:val="1"/>
      <w:numFmt w:val="bullet"/>
      <w:lvlText w:val="o"/>
      <w:lvlJc w:val="left"/>
      <w:pPr>
        <w:ind w:left="1440" w:hanging="360"/>
      </w:pPr>
      <w:rPr>
        <w:rFonts w:ascii="Courier New" w:hAnsi="Courier New" w:hint="default"/>
      </w:rPr>
    </w:lvl>
    <w:lvl w:ilvl="2" w:tplc="E4F40EA4">
      <w:start w:val="1"/>
      <w:numFmt w:val="bullet"/>
      <w:lvlText w:val=""/>
      <w:lvlJc w:val="left"/>
      <w:pPr>
        <w:ind w:left="2160" w:hanging="360"/>
      </w:pPr>
      <w:rPr>
        <w:rFonts w:ascii="Wingdings" w:hAnsi="Wingdings" w:hint="default"/>
      </w:rPr>
    </w:lvl>
    <w:lvl w:ilvl="3" w:tplc="1B0ABF3A">
      <w:start w:val="1"/>
      <w:numFmt w:val="bullet"/>
      <w:lvlText w:val=""/>
      <w:lvlJc w:val="left"/>
      <w:pPr>
        <w:ind w:left="2880" w:hanging="360"/>
      </w:pPr>
      <w:rPr>
        <w:rFonts w:ascii="Symbol" w:hAnsi="Symbol" w:hint="default"/>
      </w:rPr>
    </w:lvl>
    <w:lvl w:ilvl="4" w:tplc="CB66A22E">
      <w:start w:val="1"/>
      <w:numFmt w:val="bullet"/>
      <w:lvlText w:val="o"/>
      <w:lvlJc w:val="left"/>
      <w:pPr>
        <w:ind w:left="3600" w:hanging="360"/>
      </w:pPr>
      <w:rPr>
        <w:rFonts w:ascii="Courier New" w:hAnsi="Courier New" w:hint="default"/>
      </w:rPr>
    </w:lvl>
    <w:lvl w:ilvl="5" w:tplc="3BB63602">
      <w:start w:val="1"/>
      <w:numFmt w:val="bullet"/>
      <w:lvlText w:val=""/>
      <w:lvlJc w:val="left"/>
      <w:pPr>
        <w:ind w:left="4320" w:hanging="360"/>
      </w:pPr>
      <w:rPr>
        <w:rFonts w:ascii="Wingdings" w:hAnsi="Wingdings" w:hint="default"/>
      </w:rPr>
    </w:lvl>
    <w:lvl w:ilvl="6" w:tplc="48F2BF54">
      <w:start w:val="1"/>
      <w:numFmt w:val="bullet"/>
      <w:lvlText w:val=""/>
      <w:lvlJc w:val="left"/>
      <w:pPr>
        <w:ind w:left="5040" w:hanging="360"/>
      </w:pPr>
      <w:rPr>
        <w:rFonts w:ascii="Symbol" w:hAnsi="Symbol" w:hint="default"/>
      </w:rPr>
    </w:lvl>
    <w:lvl w:ilvl="7" w:tplc="B35EA6D6">
      <w:start w:val="1"/>
      <w:numFmt w:val="bullet"/>
      <w:lvlText w:val="o"/>
      <w:lvlJc w:val="left"/>
      <w:pPr>
        <w:ind w:left="5760" w:hanging="360"/>
      </w:pPr>
      <w:rPr>
        <w:rFonts w:ascii="Courier New" w:hAnsi="Courier New" w:hint="default"/>
      </w:rPr>
    </w:lvl>
    <w:lvl w:ilvl="8" w:tplc="E632B5D2">
      <w:start w:val="1"/>
      <w:numFmt w:val="bullet"/>
      <w:lvlText w:val=""/>
      <w:lvlJc w:val="left"/>
      <w:pPr>
        <w:ind w:left="6480" w:hanging="360"/>
      </w:pPr>
      <w:rPr>
        <w:rFonts w:ascii="Wingdings" w:hAnsi="Wingdings" w:hint="default"/>
      </w:rPr>
    </w:lvl>
  </w:abstractNum>
  <w:abstractNum w:abstractNumId="109" w15:restartNumberingAfterBreak="0">
    <w:nsid w:val="15592D7B"/>
    <w:multiLevelType w:val="hybridMultilevel"/>
    <w:tmpl w:val="157A68F4"/>
    <w:lvl w:ilvl="0" w:tplc="D7C08560">
      <w:start w:val="1"/>
      <w:numFmt w:val="bullet"/>
      <w:lvlText w:val=""/>
      <w:lvlJc w:val="left"/>
      <w:pPr>
        <w:ind w:left="720" w:hanging="360"/>
      </w:pPr>
      <w:rPr>
        <w:rFonts w:ascii="Symbol" w:hAnsi="Symbol" w:hint="default"/>
      </w:rPr>
    </w:lvl>
    <w:lvl w:ilvl="1" w:tplc="3CA61042" w:tentative="1">
      <w:start w:val="1"/>
      <w:numFmt w:val="bullet"/>
      <w:lvlText w:val="o"/>
      <w:lvlJc w:val="left"/>
      <w:pPr>
        <w:ind w:left="1440" w:hanging="360"/>
      </w:pPr>
      <w:rPr>
        <w:rFonts w:ascii="Courier New" w:hAnsi="Courier New" w:hint="default"/>
      </w:rPr>
    </w:lvl>
    <w:lvl w:ilvl="2" w:tplc="F1AA98F6" w:tentative="1">
      <w:start w:val="1"/>
      <w:numFmt w:val="bullet"/>
      <w:lvlText w:val=""/>
      <w:lvlJc w:val="left"/>
      <w:pPr>
        <w:ind w:left="2160" w:hanging="360"/>
      </w:pPr>
      <w:rPr>
        <w:rFonts w:ascii="Wingdings" w:hAnsi="Wingdings" w:hint="default"/>
      </w:rPr>
    </w:lvl>
    <w:lvl w:ilvl="3" w:tplc="B2FE3570" w:tentative="1">
      <w:start w:val="1"/>
      <w:numFmt w:val="bullet"/>
      <w:lvlText w:val=""/>
      <w:lvlJc w:val="left"/>
      <w:pPr>
        <w:ind w:left="2880" w:hanging="360"/>
      </w:pPr>
      <w:rPr>
        <w:rFonts w:ascii="Symbol" w:hAnsi="Symbol" w:hint="default"/>
      </w:rPr>
    </w:lvl>
    <w:lvl w:ilvl="4" w:tplc="5E1CEEB6" w:tentative="1">
      <w:start w:val="1"/>
      <w:numFmt w:val="bullet"/>
      <w:lvlText w:val="o"/>
      <w:lvlJc w:val="left"/>
      <w:pPr>
        <w:ind w:left="3600" w:hanging="360"/>
      </w:pPr>
      <w:rPr>
        <w:rFonts w:ascii="Courier New" w:hAnsi="Courier New" w:hint="default"/>
      </w:rPr>
    </w:lvl>
    <w:lvl w:ilvl="5" w:tplc="47087892" w:tentative="1">
      <w:start w:val="1"/>
      <w:numFmt w:val="bullet"/>
      <w:lvlText w:val=""/>
      <w:lvlJc w:val="left"/>
      <w:pPr>
        <w:ind w:left="4320" w:hanging="360"/>
      </w:pPr>
      <w:rPr>
        <w:rFonts w:ascii="Wingdings" w:hAnsi="Wingdings" w:hint="default"/>
      </w:rPr>
    </w:lvl>
    <w:lvl w:ilvl="6" w:tplc="E2324B44" w:tentative="1">
      <w:start w:val="1"/>
      <w:numFmt w:val="bullet"/>
      <w:lvlText w:val=""/>
      <w:lvlJc w:val="left"/>
      <w:pPr>
        <w:ind w:left="5040" w:hanging="360"/>
      </w:pPr>
      <w:rPr>
        <w:rFonts w:ascii="Symbol" w:hAnsi="Symbol" w:hint="default"/>
      </w:rPr>
    </w:lvl>
    <w:lvl w:ilvl="7" w:tplc="CFBA9500" w:tentative="1">
      <w:start w:val="1"/>
      <w:numFmt w:val="bullet"/>
      <w:lvlText w:val="o"/>
      <w:lvlJc w:val="left"/>
      <w:pPr>
        <w:ind w:left="5760" w:hanging="360"/>
      </w:pPr>
      <w:rPr>
        <w:rFonts w:ascii="Courier New" w:hAnsi="Courier New" w:hint="default"/>
      </w:rPr>
    </w:lvl>
    <w:lvl w:ilvl="8" w:tplc="A05A3B92" w:tentative="1">
      <w:start w:val="1"/>
      <w:numFmt w:val="bullet"/>
      <w:lvlText w:val=""/>
      <w:lvlJc w:val="left"/>
      <w:pPr>
        <w:ind w:left="6480" w:hanging="360"/>
      </w:pPr>
      <w:rPr>
        <w:rFonts w:ascii="Wingdings" w:hAnsi="Wingdings" w:hint="default"/>
      </w:rPr>
    </w:lvl>
  </w:abstractNum>
  <w:abstractNum w:abstractNumId="110" w15:restartNumberingAfterBreak="0">
    <w:nsid w:val="15AE5999"/>
    <w:multiLevelType w:val="hybridMultilevel"/>
    <w:tmpl w:val="0914A102"/>
    <w:lvl w:ilvl="0" w:tplc="1214EB4E">
      <w:start w:val="1"/>
      <w:numFmt w:val="bullet"/>
      <w:lvlText w:val="·"/>
      <w:lvlJc w:val="left"/>
      <w:pPr>
        <w:ind w:left="720" w:hanging="360"/>
      </w:pPr>
      <w:rPr>
        <w:rFonts w:ascii="Symbol" w:hAnsi="Symbol" w:hint="default"/>
      </w:rPr>
    </w:lvl>
    <w:lvl w:ilvl="1" w:tplc="AE7E878E" w:tentative="1">
      <w:start w:val="1"/>
      <w:numFmt w:val="bullet"/>
      <w:lvlText w:val="o"/>
      <w:lvlJc w:val="left"/>
      <w:pPr>
        <w:ind w:left="1440" w:hanging="360"/>
      </w:pPr>
      <w:rPr>
        <w:rFonts w:ascii="Courier New" w:hAnsi="Courier New" w:hint="default"/>
      </w:rPr>
    </w:lvl>
    <w:lvl w:ilvl="2" w:tplc="D402CB7C" w:tentative="1">
      <w:start w:val="1"/>
      <w:numFmt w:val="bullet"/>
      <w:lvlText w:val=""/>
      <w:lvlJc w:val="left"/>
      <w:pPr>
        <w:ind w:left="2160" w:hanging="360"/>
      </w:pPr>
      <w:rPr>
        <w:rFonts w:ascii="Wingdings" w:hAnsi="Wingdings" w:hint="default"/>
      </w:rPr>
    </w:lvl>
    <w:lvl w:ilvl="3" w:tplc="F36E8E78" w:tentative="1">
      <w:start w:val="1"/>
      <w:numFmt w:val="bullet"/>
      <w:lvlText w:val=""/>
      <w:lvlJc w:val="left"/>
      <w:pPr>
        <w:ind w:left="2880" w:hanging="360"/>
      </w:pPr>
      <w:rPr>
        <w:rFonts w:ascii="Symbol" w:hAnsi="Symbol" w:hint="default"/>
      </w:rPr>
    </w:lvl>
    <w:lvl w:ilvl="4" w:tplc="1D28D148" w:tentative="1">
      <w:start w:val="1"/>
      <w:numFmt w:val="bullet"/>
      <w:lvlText w:val="o"/>
      <w:lvlJc w:val="left"/>
      <w:pPr>
        <w:ind w:left="3600" w:hanging="360"/>
      </w:pPr>
      <w:rPr>
        <w:rFonts w:ascii="Courier New" w:hAnsi="Courier New" w:hint="default"/>
      </w:rPr>
    </w:lvl>
    <w:lvl w:ilvl="5" w:tplc="60F29418" w:tentative="1">
      <w:start w:val="1"/>
      <w:numFmt w:val="bullet"/>
      <w:lvlText w:val=""/>
      <w:lvlJc w:val="left"/>
      <w:pPr>
        <w:ind w:left="4320" w:hanging="360"/>
      </w:pPr>
      <w:rPr>
        <w:rFonts w:ascii="Wingdings" w:hAnsi="Wingdings" w:hint="default"/>
      </w:rPr>
    </w:lvl>
    <w:lvl w:ilvl="6" w:tplc="074070DC" w:tentative="1">
      <w:start w:val="1"/>
      <w:numFmt w:val="bullet"/>
      <w:lvlText w:val=""/>
      <w:lvlJc w:val="left"/>
      <w:pPr>
        <w:ind w:left="5040" w:hanging="360"/>
      </w:pPr>
      <w:rPr>
        <w:rFonts w:ascii="Symbol" w:hAnsi="Symbol" w:hint="default"/>
      </w:rPr>
    </w:lvl>
    <w:lvl w:ilvl="7" w:tplc="2ED4D562" w:tentative="1">
      <w:start w:val="1"/>
      <w:numFmt w:val="bullet"/>
      <w:lvlText w:val="o"/>
      <w:lvlJc w:val="left"/>
      <w:pPr>
        <w:ind w:left="5760" w:hanging="360"/>
      </w:pPr>
      <w:rPr>
        <w:rFonts w:ascii="Courier New" w:hAnsi="Courier New" w:hint="default"/>
      </w:rPr>
    </w:lvl>
    <w:lvl w:ilvl="8" w:tplc="995ABF56" w:tentative="1">
      <w:start w:val="1"/>
      <w:numFmt w:val="bullet"/>
      <w:lvlText w:val=""/>
      <w:lvlJc w:val="left"/>
      <w:pPr>
        <w:ind w:left="6480" w:hanging="360"/>
      </w:pPr>
      <w:rPr>
        <w:rFonts w:ascii="Wingdings" w:hAnsi="Wingdings" w:hint="default"/>
      </w:rPr>
    </w:lvl>
  </w:abstractNum>
  <w:abstractNum w:abstractNumId="111" w15:restartNumberingAfterBreak="0">
    <w:nsid w:val="16020B2B"/>
    <w:multiLevelType w:val="multilevel"/>
    <w:tmpl w:val="22AE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0C7728"/>
    <w:multiLevelType w:val="hybridMultilevel"/>
    <w:tmpl w:val="18C20C88"/>
    <w:lvl w:ilvl="0" w:tplc="54221AF0">
      <w:start w:val="58"/>
      <w:numFmt w:val="bullet"/>
      <w:lvlText w:val="-"/>
      <w:lvlJc w:val="left"/>
      <w:pPr>
        <w:ind w:left="720" w:hanging="360"/>
      </w:pPr>
      <w:rPr>
        <w:rFonts w:ascii="Arial" w:hAnsi="Arial" w:hint="default"/>
        <w:b w:val="0"/>
      </w:rPr>
    </w:lvl>
    <w:lvl w:ilvl="1" w:tplc="AB2C5B3E" w:tentative="1">
      <w:start w:val="1"/>
      <w:numFmt w:val="bullet"/>
      <w:lvlText w:val="o"/>
      <w:lvlJc w:val="left"/>
      <w:pPr>
        <w:ind w:left="1440" w:hanging="360"/>
      </w:pPr>
      <w:rPr>
        <w:rFonts w:ascii="Courier New" w:hAnsi="Courier New" w:hint="default"/>
      </w:rPr>
    </w:lvl>
    <w:lvl w:ilvl="2" w:tplc="D45A0F9E" w:tentative="1">
      <w:start w:val="1"/>
      <w:numFmt w:val="bullet"/>
      <w:lvlText w:val=""/>
      <w:lvlJc w:val="left"/>
      <w:pPr>
        <w:ind w:left="2160" w:hanging="360"/>
      </w:pPr>
      <w:rPr>
        <w:rFonts w:ascii="Wingdings" w:hAnsi="Wingdings" w:hint="default"/>
      </w:rPr>
    </w:lvl>
    <w:lvl w:ilvl="3" w:tplc="92A4109A" w:tentative="1">
      <w:start w:val="1"/>
      <w:numFmt w:val="bullet"/>
      <w:lvlText w:val=""/>
      <w:lvlJc w:val="left"/>
      <w:pPr>
        <w:ind w:left="2880" w:hanging="360"/>
      </w:pPr>
      <w:rPr>
        <w:rFonts w:ascii="Symbol" w:hAnsi="Symbol" w:hint="default"/>
      </w:rPr>
    </w:lvl>
    <w:lvl w:ilvl="4" w:tplc="6918258A" w:tentative="1">
      <w:start w:val="1"/>
      <w:numFmt w:val="bullet"/>
      <w:lvlText w:val="o"/>
      <w:lvlJc w:val="left"/>
      <w:pPr>
        <w:ind w:left="3600" w:hanging="360"/>
      </w:pPr>
      <w:rPr>
        <w:rFonts w:ascii="Courier New" w:hAnsi="Courier New" w:hint="default"/>
      </w:rPr>
    </w:lvl>
    <w:lvl w:ilvl="5" w:tplc="AB7082A0" w:tentative="1">
      <w:start w:val="1"/>
      <w:numFmt w:val="bullet"/>
      <w:lvlText w:val=""/>
      <w:lvlJc w:val="left"/>
      <w:pPr>
        <w:ind w:left="4320" w:hanging="360"/>
      </w:pPr>
      <w:rPr>
        <w:rFonts w:ascii="Wingdings" w:hAnsi="Wingdings" w:hint="default"/>
      </w:rPr>
    </w:lvl>
    <w:lvl w:ilvl="6" w:tplc="A0DA7B12" w:tentative="1">
      <w:start w:val="1"/>
      <w:numFmt w:val="bullet"/>
      <w:lvlText w:val=""/>
      <w:lvlJc w:val="left"/>
      <w:pPr>
        <w:ind w:left="5040" w:hanging="360"/>
      </w:pPr>
      <w:rPr>
        <w:rFonts w:ascii="Symbol" w:hAnsi="Symbol" w:hint="default"/>
      </w:rPr>
    </w:lvl>
    <w:lvl w:ilvl="7" w:tplc="07F807BC" w:tentative="1">
      <w:start w:val="1"/>
      <w:numFmt w:val="bullet"/>
      <w:lvlText w:val="o"/>
      <w:lvlJc w:val="left"/>
      <w:pPr>
        <w:ind w:left="5760" w:hanging="360"/>
      </w:pPr>
      <w:rPr>
        <w:rFonts w:ascii="Courier New" w:hAnsi="Courier New" w:hint="default"/>
      </w:rPr>
    </w:lvl>
    <w:lvl w:ilvl="8" w:tplc="F5D807A4" w:tentative="1">
      <w:start w:val="1"/>
      <w:numFmt w:val="bullet"/>
      <w:lvlText w:val=""/>
      <w:lvlJc w:val="left"/>
      <w:pPr>
        <w:ind w:left="6480" w:hanging="360"/>
      </w:pPr>
      <w:rPr>
        <w:rFonts w:ascii="Wingdings" w:hAnsi="Wingdings" w:hint="default"/>
      </w:rPr>
    </w:lvl>
  </w:abstractNum>
  <w:abstractNum w:abstractNumId="113" w15:restartNumberingAfterBreak="0">
    <w:nsid w:val="1706E2CE"/>
    <w:multiLevelType w:val="hybridMultilevel"/>
    <w:tmpl w:val="FFFFFFFF"/>
    <w:lvl w:ilvl="0" w:tplc="D67C0B7C">
      <w:start w:val="1"/>
      <w:numFmt w:val="bullet"/>
      <w:lvlText w:val=""/>
      <w:lvlJc w:val="left"/>
      <w:pPr>
        <w:ind w:left="720" w:hanging="360"/>
      </w:pPr>
      <w:rPr>
        <w:rFonts w:ascii="Symbol" w:hAnsi="Symbol" w:hint="default"/>
      </w:rPr>
    </w:lvl>
    <w:lvl w:ilvl="1" w:tplc="DF6836D6">
      <w:start w:val="1"/>
      <w:numFmt w:val="bullet"/>
      <w:lvlText w:val="o"/>
      <w:lvlJc w:val="left"/>
      <w:pPr>
        <w:ind w:left="1440" w:hanging="360"/>
      </w:pPr>
      <w:rPr>
        <w:rFonts w:ascii="Courier New" w:hAnsi="Courier New" w:cs="Times New Roman" w:hint="default"/>
      </w:rPr>
    </w:lvl>
    <w:lvl w:ilvl="2" w:tplc="0004D3D8">
      <w:start w:val="1"/>
      <w:numFmt w:val="bullet"/>
      <w:lvlText w:val=""/>
      <w:lvlJc w:val="left"/>
      <w:pPr>
        <w:ind w:left="2160" w:hanging="360"/>
      </w:pPr>
      <w:rPr>
        <w:rFonts w:ascii="Wingdings" w:hAnsi="Wingdings" w:hint="default"/>
      </w:rPr>
    </w:lvl>
    <w:lvl w:ilvl="3" w:tplc="A96C2606">
      <w:start w:val="1"/>
      <w:numFmt w:val="bullet"/>
      <w:lvlText w:val=""/>
      <w:lvlJc w:val="left"/>
      <w:pPr>
        <w:ind w:left="2880" w:hanging="360"/>
      </w:pPr>
      <w:rPr>
        <w:rFonts w:ascii="Symbol" w:hAnsi="Symbol" w:hint="default"/>
      </w:rPr>
    </w:lvl>
    <w:lvl w:ilvl="4" w:tplc="414C669A">
      <w:start w:val="1"/>
      <w:numFmt w:val="bullet"/>
      <w:lvlText w:val="o"/>
      <w:lvlJc w:val="left"/>
      <w:pPr>
        <w:ind w:left="3600" w:hanging="360"/>
      </w:pPr>
      <w:rPr>
        <w:rFonts w:ascii="Courier New" w:hAnsi="Courier New" w:cs="Times New Roman" w:hint="default"/>
      </w:rPr>
    </w:lvl>
    <w:lvl w:ilvl="5" w:tplc="B9D48194">
      <w:start w:val="1"/>
      <w:numFmt w:val="bullet"/>
      <w:lvlText w:val=""/>
      <w:lvlJc w:val="left"/>
      <w:pPr>
        <w:ind w:left="4320" w:hanging="360"/>
      </w:pPr>
      <w:rPr>
        <w:rFonts w:ascii="Wingdings" w:hAnsi="Wingdings" w:hint="default"/>
      </w:rPr>
    </w:lvl>
    <w:lvl w:ilvl="6" w:tplc="81EA6CB6">
      <w:start w:val="1"/>
      <w:numFmt w:val="bullet"/>
      <w:lvlText w:val=""/>
      <w:lvlJc w:val="left"/>
      <w:pPr>
        <w:ind w:left="5040" w:hanging="360"/>
      </w:pPr>
      <w:rPr>
        <w:rFonts w:ascii="Symbol" w:hAnsi="Symbol" w:hint="default"/>
      </w:rPr>
    </w:lvl>
    <w:lvl w:ilvl="7" w:tplc="EF4495DC">
      <w:start w:val="1"/>
      <w:numFmt w:val="bullet"/>
      <w:lvlText w:val="o"/>
      <w:lvlJc w:val="left"/>
      <w:pPr>
        <w:ind w:left="5760" w:hanging="360"/>
      </w:pPr>
      <w:rPr>
        <w:rFonts w:ascii="Courier New" w:hAnsi="Courier New" w:cs="Times New Roman" w:hint="default"/>
      </w:rPr>
    </w:lvl>
    <w:lvl w:ilvl="8" w:tplc="B30EB302">
      <w:start w:val="1"/>
      <w:numFmt w:val="bullet"/>
      <w:lvlText w:val=""/>
      <w:lvlJc w:val="left"/>
      <w:pPr>
        <w:ind w:left="6480" w:hanging="360"/>
      </w:pPr>
      <w:rPr>
        <w:rFonts w:ascii="Wingdings" w:hAnsi="Wingdings" w:hint="default"/>
      </w:rPr>
    </w:lvl>
  </w:abstractNum>
  <w:abstractNum w:abstractNumId="114" w15:restartNumberingAfterBreak="0">
    <w:nsid w:val="171C3E36"/>
    <w:multiLevelType w:val="hybridMultilevel"/>
    <w:tmpl w:val="99FCC4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17677378"/>
    <w:multiLevelType w:val="multilevel"/>
    <w:tmpl w:val="3044E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78B64B3"/>
    <w:multiLevelType w:val="multilevel"/>
    <w:tmpl w:val="E2A6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8065F91"/>
    <w:multiLevelType w:val="multilevel"/>
    <w:tmpl w:val="FC2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82E624B"/>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19" w15:restartNumberingAfterBreak="0">
    <w:nsid w:val="18594E5F"/>
    <w:multiLevelType w:val="hybridMultilevel"/>
    <w:tmpl w:val="D4EE4B2A"/>
    <w:lvl w:ilvl="0" w:tplc="37FC4232">
      <w:start w:val="1"/>
      <w:numFmt w:val="bullet"/>
      <w:lvlText w:val=""/>
      <w:lvlJc w:val="left"/>
      <w:pPr>
        <w:ind w:left="720" w:hanging="360"/>
      </w:pPr>
      <w:rPr>
        <w:rFonts w:ascii="Symbol" w:hAnsi="Symbol" w:hint="default"/>
      </w:rPr>
    </w:lvl>
    <w:lvl w:ilvl="1" w:tplc="EA7405FA">
      <w:numFmt w:val="bullet"/>
      <w:lvlText w:val="•"/>
      <w:lvlJc w:val="left"/>
      <w:pPr>
        <w:ind w:left="1440" w:hanging="360"/>
      </w:pPr>
      <w:rPr>
        <w:rFonts w:ascii="Aptos" w:hAnsi="Aptos" w:hint="default"/>
      </w:rPr>
    </w:lvl>
    <w:lvl w:ilvl="2" w:tplc="AD96E4F0" w:tentative="1">
      <w:start w:val="1"/>
      <w:numFmt w:val="bullet"/>
      <w:lvlText w:val=""/>
      <w:lvlJc w:val="left"/>
      <w:pPr>
        <w:ind w:left="2160" w:hanging="360"/>
      </w:pPr>
      <w:rPr>
        <w:rFonts w:ascii="Wingdings" w:hAnsi="Wingdings" w:hint="default"/>
      </w:rPr>
    </w:lvl>
    <w:lvl w:ilvl="3" w:tplc="61FEC1E6" w:tentative="1">
      <w:start w:val="1"/>
      <w:numFmt w:val="bullet"/>
      <w:lvlText w:val=""/>
      <w:lvlJc w:val="left"/>
      <w:pPr>
        <w:ind w:left="2880" w:hanging="360"/>
      </w:pPr>
      <w:rPr>
        <w:rFonts w:ascii="Symbol" w:hAnsi="Symbol" w:hint="default"/>
      </w:rPr>
    </w:lvl>
    <w:lvl w:ilvl="4" w:tplc="2794D286" w:tentative="1">
      <w:start w:val="1"/>
      <w:numFmt w:val="bullet"/>
      <w:lvlText w:val="o"/>
      <w:lvlJc w:val="left"/>
      <w:pPr>
        <w:ind w:left="3600" w:hanging="360"/>
      </w:pPr>
      <w:rPr>
        <w:rFonts w:ascii="Courier New" w:hAnsi="Courier New" w:hint="default"/>
      </w:rPr>
    </w:lvl>
    <w:lvl w:ilvl="5" w:tplc="F2F2E0AE" w:tentative="1">
      <w:start w:val="1"/>
      <w:numFmt w:val="bullet"/>
      <w:lvlText w:val=""/>
      <w:lvlJc w:val="left"/>
      <w:pPr>
        <w:ind w:left="4320" w:hanging="360"/>
      </w:pPr>
      <w:rPr>
        <w:rFonts w:ascii="Wingdings" w:hAnsi="Wingdings" w:hint="default"/>
      </w:rPr>
    </w:lvl>
    <w:lvl w:ilvl="6" w:tplc="0A1E8EDC" w:tentative="1">
      <w:start w:val="1"/>
      <w:numFmt w:val="bullet"/>
      <w:lvlText w:val=""/>
      <w:lvlJc w:val="left"/>
      <w:pPr>
        <w:ind w:left="5040" w:hanging="360"/>
      </w:pPr>
      <w:rPr>
        <w:rFonts w:ascii="Symbol" w:hAnsi="Symbol" w:hint="default"/>
      </w:rPr>
    </w:lvl>
    <w:lvl w:ilvl="7" w:tplc="147670D6" w:tentative="1">
      <w:start w:val="1"/>
      <w:numFmt w:val="bullet"/>
      <w:lvlText w:val="o"/>
      <w:lvlJc w:val="left"/>
      <w:pPr>
        <w:ind w:left="5760" w:hanging="360"/>
      </w:pPr>
      <w:rPr>
        <w:rFonts w:ascii="Courier New" w:hAnsi="Courier New" w:hint="default"/>
      </w:rPr>
    </w:lvl>
    <w:lvl w:ilvl="8" w:tplc="332C82E8" w:tentative="1">
      <w:start w:val="1"/>
      <w:numFmt w:val="bullet"/>
      <w:lvlText w:val=""/>
      <w:lvlJc w:val="left"/>
      <w:pPr>
        <w:ind w:left="6480" w:hanging="360"/>
      </w:pPr>
      <w:rPr>
        <w:rFonts w:ascii="Wingdings" w:hAnsi="Wingdings" w:hint="default"/>
      </w:rPr>
    </w:lvl>
  </w:abstractNum>
  <w:abstractNum w:abstractNumId="120" w15:restartNumberingAfterBreak="0">
    <w:nsid w:val="187A35CB"/>
    <w:multiLevelType w:val="multilevel"/>
    <w:tmpl w:val="8F5C51F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7A39EE"/>
    <w:multiLevelType w:val="hybridMultilevel"/>
    <w:tmpl w:val="EF3C9328"/>
    <w:lvl w:ilvl="0" w:tplc="A7FE6802">
      <w:start w:val="1"/>
      <w:numFmt w:val="bullet"/>
      <w:lvlText w:val=""/>
      <w:lvlJc w:val="left"/>
      <w:pPr>
        <w:ind w:left="720" w:hanging="360"/>
      </w:pPr>
      <w:rPr>
        <w:rFonts w:ascii="Symbol" w:hAnsi="Symbol" w:hint="default"/>
      </w:rPr>
    </w:lvl>
    <w:lvl w:ilvl="1" w:tplc="8A00AAC8" w:tentative="1">
      <w:start w:val="1"/>
      <w:numFmt w:val="bullet"/>
      <w:lvlText w:val="o"/>
      <w:lvlJc w:val="left"/>
      <w:pPr>
        <w:ind w:left="1440" w:hanging="360"/>
      </w:pPr>
      <w:rPr>
        <w:rFonts w:ascii="Courier New" w:hAnsi="Courier New" w:hint="default"/>
      </w:rPr>
    </w:lvl>
    <w:lvl w:ilvl="2" w:tplc="6BDE80DE" w:tentative="1">
      <w:start w:val="1"/>
      <w:numFmt w:val="bullet"/>
      <w:lvlText w:val=""/>
      <w:lvlJc w:val="left"/>
      <w:pPr>
        <w:ind w:left="2160" w:hanging="360"/>
      </w:pPr>
      <w:rPr>
        <w:rFonts w:ascii="Wingdings" w:hAnsi="Wingdings" w:hint="default"/>
      </w:rPr>
    </w:lvl>
    <w:lvl w:ilvl="3" w:tplc="6DB88F70" w:tentative="1">
      <w:start w:val="1"/>
      <w:numFmt w:val="bullet"/>
      <w:lvlText w:val=""/>
      <w:lvlJc w:val="left"/>
      <w:pPr>
        <w:ind w:left="2880" w:hanging="360"/>
      </w:pPr>
      <w:rPr>
        <w:rFonts w:ascii="Symbol" w:hAnsi="Symbol" w:hint="default"/>
      </w:rPr>
    </w:lvl>
    <w:lvl w:ilvl="4" w:tplc="1F3C9CDA" w:tentative="1">
      <w:start w:val="1"/>
      <w:numFmt w:val="bullet"/>
      <w:lvlText w:val="o"/>
      <w:lvlJc w:val="left"/>
      <w:pPr>
        <w:ind w:left="3600" w:hanging="360"/>
      </w:pPr>
      <w:rPr>
        <w:rFonts w:ascii="Courier New" w:hAnsi="Courier New" w:hint="default"/>
      </w:rPr>
    </w:lvl>
    <w:lvl w:ilvl="5" w:tplc="E512A9B6" w:tentative="1">
      <w:start w:val="1"/>
      <w:numFmt w:val="bullet"/>
      <w:lvlText w:val=""/>
      <w:lvlJc w:val="left"/>
      <w:pPr>
        <w:ind w:left="4320" w:hanging="360"/>
      </w:pPr>
      <w:rPr>
        <w:rFonts w:ascii="Wingdings" w:hAnsi="Wingdings" w:hint="default"/>
      </w:rPr>
    </w:lvl>
    <w:lvl w:ilvl="6" w:tplc="32E26A04" w:tentative="1">
      <w:start w:val="1"/>
      <w:numFmt w:val="bullet"/>
      <w:lvlText w:val=""/>
      <w:lvlJc w:val="left"/>
      <w:pPr>
        <w:ind w:left="5040" w:hanging="360"/>
      </w:pPr>
      <w:rPr>
        <w:rFonts w:ascii="Symbol" w:hAnsi="Symbol" w:hint="default"/>
      </w:rPr>
    </w:lvl>
    <w:lvl w:ilvl="7" w:tplc="8EC83632" w:tentative="1">
      <w:start w:val="1"/>
      <w:numFmt w:val="bullet"/>
      <w:lvlText w:val="o"/>
      <w:lvlJc w:val="left"/>
      <w:pPr>
        <w:ind w:left="5760" w:hanging="360"/>
      </w:pPr>
      <w:rPr>
        <w:rFonts w:ascii="Courier New" w:hAnsi="Courier New" w:hint="default"/>
      </w:rPr>
    </w:lvl>
    <w:lvl w:ilvl="8" w:tplc="AD38E5BA" w:tentative="1">
      <w:start w:val="1"/>
      <w:numFmt w:val="bullet"/>
      <w:lvlText w:val=""/>
      <w:lvlJc w:val="left"/>
      <w:pPr>
        <w:ind w:left="6480" w:hanging="360"/>
      </w:pPr>
      <w:rPr>
        <w:rFonts w:ascii="Wingdings" w:hAnsi="Wingdings" w:hint="default"/>
      </w:rPr>
    </w:lvl>
  </w:abstractNum>
  <w:abstractNum w:abstractNumId="122" w15:restartNumberingAfterBreak="0">
    <w:nsid w:val="1889658E"/>
    <w:multiLevelType w:val="multilevel"/>
    <w:tmpl w:val="ABD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924AAF"/>
    <w:multiLevelType w:val="hybridMultilevel"/>
    <w:tmpl w:val="E02EE3F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24" w15:restartNumberingAfterBreak="0">
    <w:nsid w:val="19365926"/>
    <w:multiLevelType w:val="multilevel"/>
    <w:tmpl w:val="C2D0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993CF8"/>
    <w:multiLevelType w:val="multilevel"/>
    <w:tmpl w:val="71DC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A0A37DD"/>
    <w:multiLevelType w:val="hybridMultilevel"/>
    <w:tmpl w:val="FFFFFFFF"/>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Times New Roman"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Times New Roman"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Times New Roman" w:hint="default"/>
      </w:rPr>
    </w:lvl>
    <w:lvl w:ilvl="8" w:tplc="0C090005">
      <w:start w:val="1"/>
      <w:numFmt w:val="bullet"/>
      <w:lvlText w:val=""/>
      <w:lvlJc w:val="left"/>
      <w:pPr>
        <w:ind w:left="6525" w:hanging="360"/>
      </w:pPr>
      <w:rPr>
        <w:rFonts w:ascii="Wingdings" w:hAnsi="Wingdings" w:hint="default"/>
      </w:rPr>
    </w:lvl>
  </w:abstractNum>
  <w:abstractNum w:abstractNumId="127" w15:restartNumberingAfterBreak="0">
    <w:nsid w:val="1A156692"/>
    <w:multiLevelType w:val="hybridMultilevel"/>
    <w:tmpl w:val="FFFFFFFF"/>
    <w:lvl w:ilvl="0" w:tplc="54C69AA4">
      <w:start w:val="1"/>
      <w:numFmt w:val="bullet"/>
      <w:lvlText w:val=""/>
      <w:lvlJc w:val="left"/>
      <w:pPr>
        <w:ind w:left="1080" w:hanging="360"/>
      </w:pPr>
      <w:rPr>
        <w:rFonts w:ascii="Symbol" w:hAnsi="Symbol" w:hint="default"/>
      </w:rPr>
    </w:lvl>
    <w:lvl w:ilvl="1" w:tplc="14101B26">
      <w:start w:val="1"/>
      <w:numFmt w:val="bullet"/>
      <w:lvlText w:val="o"/>
      <w:lvlJc w:val="left"/>
      <w:pPr>
        <w:ind w:left="1800" w:hanging="360"/>
      </w:pPr>
      <w:rPr>
        <w:rFonts w:ascii="Courier New" w:hAnsi="Courier New" w:hint="default"/>
      </w:rPr>
    </w:lvl>
    <w:lvl w:ilvl="2" w:tplc="EE28272C">
      <w:start w:val="1"/>
      <w:numFmt w:val="bullet"/>
      <w:lvlText w:val=""/>
      <w:lvlJc w:val="left"/>
      <w:pPr>
        <w:ind w:left="2520" w:hanging="360"/>
      </w:pPr>
      <w:rPr>
        <w:rFonts w:ascii="Wingdings" w:hAnsi="Wingdings" w:hint="default"/>
      </w:rPr>
    </w:lvl>
    <w:lvl w:ilvl="3" w:tplc="41C44FFA">
      <w:start w:val="1"/>
      <w:numFmt w:val="bullet"/>
      <w:lvlText w:val=""/>
      <w:lvlJc w:val="left"/>
      <w:pPr>
        <w:ind w:left="3240" w:hanging="360"/>
      </w:pPr>
      <w:rPr>
        <w:rFonts w:ascii="Symbol" w:hAnsi="Symbol" w:hint="default"/>
      </w:rPr>
    </w:lvl>
    <w:lvl w:ilvl="4" w:tplc="AD7863EC">
      <w:start w:val="1"/>
      <w:numFmt w:val="bullet"/>
      <w:lvlText w:val="o"/>
      <w:lvlJc w:val="left"/>
      <w:pPr>
        <w:ind w:left="3960" w:hanging="360"/>
      </w:pPr>
      <w:rPr>
        <w:rFonts w:ascii="Courier New" w:hAnsi="Courier New" w:hint="default"/>
      </w:rPr>
    </w:lvl>
    <w:lvl w:ilvl="5" w:tplc="E138C6D6">
      <w:start w:val="1"/>
      <w:numFmt w:val="bullet"/>
      <w:lvlText w:val=""/>
      <w:lvlJc w:val="left"/>
      <w:pPr>
        <w:ind w:left="4680" w:hanging="360"/>
      </w:pPr>
      <w:rPr>
        <w:rFonts w:ascii="Wingdings" w:hAnsi="Wingdings" w:hint="default"/>
      </w:rPr>
    </w:lvl>
    <w:lvl w:ilvl="6" w:tplc="97CAB9BC">
      <w:start w:val="1"/>
      <w:numFmt w:val="bullet"/>
      <w:lvlText w:val=""/>
      <w:lvlJc w:val="left"/>
      <w:pPr>
        <w:ind w:left="5400" w:hanging="360"/>
      </w:pPr>
      <w:rPr>
        <w:rFonts w:ascii="Symbol" w:hAnsi="Symbol" w:hint="default"/>
      </w:rPr>
    </w:lvl>
    <w:lvl w:ilvl="7" w:tplc="105E4076">
      <w:start w:val="1"/>
      <w:numFmt w:val="bullet"/>
      <w:lvlText w:val="o"/>
      <w:lvlJc w:val="left"/>
      <w:pPr>
        <w:ind w:left="6120" w:hanging="360"/>
      </w:pPr>
      <w:rPr>
        <w:rFonts w:ascii="Courier New" w:hAnsi="Courier New" w:hint="default"/>
      </w:rPr>
    </w:lvl>
    <w:lvl w:ilvl="8" w:tplc="83D86DF2">
      <w:start w:val="1"/>
      <w:numFmt w:val="bullet"/>
      <w:lvlText w:val=""/>
      <w:lvlJc w:val="left"/>
      <w:pPr>
        <w:ind w:left="6840" w:hanging="360"/>
      </w:pPr>
      <w:rPr>
        <w:rFonts w:ascii="Wingdings" w:hAnsi="Wingdings" w:hint="default"/>
      </w:rPr>
    </w:lvl>
  </w:abstractNum>
  <w:abstractNum w:abstractNumId="128" w15:restartNumberingAfterBreak="0">
    <w:nsid w:val="1A2F2C06"/>
    <w:multiLevelType w:val="multilevel"/>
    <w:tmpl w:val="3C22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A304D23"/>
    <w:multiLevelType w:val="hybridMultilevel"/>
    <w:tmpl w:val="F524EF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15:restartNumberingAfterBreak="0">
    <w:nsid w:val="1A4802F5"/>
    <w:multiLevelType w:val="hybridMultilevel"/>
    <w:tmpl w:val="61267728"/>
    <w:lvl w:ilvl="0" w:tplc="F1E8095C">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31" w15:restartNumberingAfterBreak="0">
    <w:nsid w:val="1AC23D35"/>
    <w:multiLevelType w:val="multilevel"/>
    <w:tmpl w:val="9E02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D355AD"/>
    <w:multiLevelType w:val="hybridMultilevel"/>
    <w:tmpl w:val="13F2B1F4"/>
    <w:lvl w:ilvl="0" w:tplc="30E07CDA">
      <w:start w:val="1"/>
      <w:numFmt w:val="bullet"/>
      <w:lvlText w:val=""/>
      <w:lvlJc w:val="left"/>
      <w:pPr>
        <w:ind w:left="818" w:hanging="360"/>
      </w:pPr>
      <w:rPr>
        <w:rFonts w:ascii="Symbol" w:hAnsi="Symbol" w:hint="default"/>
      </w:rPr>
    </w:lvl>
    <w:lvl w:ilvl="1" w:tplc="304641A8" w:tentative="1">
      <w:start w:val="1"/>
      <w:numFmt w:val="bullet"/>
      <w:lvlText w:val="o"/>
      <w:lvlJc w:val="left"/>
      <w:pPr>
        <w:ind w:left="1538" w:hanging="360"/>
      </w:pPr>
      <w:rPr>
        <w:rFonts w:ascii="Courier New" w:hAnsi="Courier New" w:hint="default"/>
      </w:rPr>
    </w:lvl>
    <w:lvl w:ilvl="2" w:tplc="5E486DC0" w:tentative="1">
      <w:start w:val="1"/>
      <w:numFmt w:val="bullet"/>
      <w:lvlText w:val=""/>
      <w:lvlJc w:val="left"/>
      <w:pPr>
        <w:ind w:left="2258" w:hanging="360"/>
      </w:pPr>
      <w:rPr>
        <w:rFonts w:ascii="Wingdings" w:hAnsi="Wingdings" w:hint="default"/>
      </w:rPr>
    </w:lvl>
    <w:lvl w:ilvl="3" w:tplc="E43EE3FA" w:tentative="1">
      <w:start w:val="1"/>
      <w:numFmt w:val="bullet"/>
      <w:lvlText w:val=""/>
      <w:lvlJc w:val="left"/>
      <w:pPr>
        <w:ind w:left="2978" w:hanging="360"/>
      </w:pPr>
      <w:rPr>
        <w:rFonts w:ascii="Symbol" w:hAnsi="Symbol" w:hint="default"/>
      </w:rPr>
    </w:lvl>
    <w:lvl w:ilvl="4" w:tplc="9CA4C12C" w:tentative="1">
      <w:start w:val="1"/>
      <w:numFmt w:val="bullet"/>
      <w:lvlText w:val="o"/>
      <w:lvlJc w:val="left"/>
      <w:pPr>
        <w:ind w:left="3698" w:hanging="360"/>
      </w:pPr>
      <w:rPr>
        <w:rFonts w:ascii="Courier New" w:hAnsi="Courier New" w:hint="default"/>
      </w:rPr>
    </w:lvl>
    <w:lvl w:ilvl="5" w:tplc="5184B8FC" w:tentative="1">
      <w:start w:val="1"/>
      <w:numFmt w:val="bullet"/>
      <w:lvlText w:val=""/>
      <w:lvlJc w:val="left"/>
      <w:pPr>
        <w:ind w:left="4418" w:hanging="360"/>
      </w:pPr>
      <w:rPr>
        <w:rFonts w:ascii="Wingdings" w:hAnsi="Wingdings" w:hint="default"/>
      </w:rPr>
    </w:lvl>
    <w:lvl w:ilvl="6" w:tplc="1B4EFAAC" w:tentative="1">
      <w:start w:val="1"/>
      <w:numFmt w:val="bullet"/>
      <w:lvlText w:val=""/>
      <w:lvlJc w:val="left"/>
      <w:pPr>
        <w:ind w:left="5138" w:hanging="360"/>
      </w:pPr>
      <w:rPr>
        <w:rFonts w:ascii="Symbol" w:hAnsi="Symbol" w:hint="default"/>
      </w:rPr>
    </w:lvl>
    <w:lvl w:ilvl="7" w:tplc="5490B452" w:tentative="1">
      <w:start w:val="1"/>
      <w:numFmt w:val="bullet"/>
      <w:lvlText w:val="o"/>
      <w:lvlJc w:val="left"/>
      <w:pPr>
        <w:ind w:left="5858" w:hanging="360"/>
      </w:pPr>
      <w:rPr>
        <w:rFonts w:ascii="Courier New" w:hAnsi="Courier New" w:hint="default"/>
      </w:rPr>
    </w:lvl>
    <w:lvl w:ilvl="8" w:tplc="4BA2DA58" w:tentative="1">
      <w:start w:val="1"/>
      <w:numFmt w:val="bullet"/>
      <w:lvlText w:val=""/>
      <w:lvlJc w:val="left"/>
      <w:pPr>
        <w:ind w:left="6578" w:hanging="360"/>
      </w:pPr>
      <w:rPr>
        <w:rFonts w:ascii="Wingdings" w:hAnsi="Wingdings" w:hint="default"/>
      </w:rPr>
    </w:lvl>
  </w:abstractNum>
  <w:abstractNum w:abstractNumId="133" w15:restartNumberingAfterBreak="0">
    <w:nsid w:val="1AD478F6"/>
    <w:multiLevelType w:val="hybridMultilevel"/>
    <w:tmpl w:val="99D4CC00"/>
    <w:lvl w:ilvl="0" w:tplc="1F461CC2">
      <w:start w:val="1"/>
      <w:numFmt w:val="bullet"/>
      <w:lvlText w:val=""/>
      <w:lvlJc w:val="left"/>
      <w:pPr>
        <w:ind w:left="720" w:hanging="360"/>
      </w:pPr>
      <w:rPr>
        <w:rFonts w:ascii="Symbol" w:hAnsi="Symbol" w:hint="default"/>
      </w:rPr>
    </w:lvl>
    <w:lvl w:ilvl="1" w:tplc="94DE88E2">
      <w:start w:val="1"/>
      <w:numFmt w:val="bullet"/>
      <w:lvlText w:val="o"/>
      <w:lvlJc w:val="left"/>
      <w:pPr>
        <w:ind w:left="1440" w:hanging="360"/>
      </w:pPr>
      <w:rPr>
        <w:rFonts w:ascii="Courier New" w:hAnsi="Courier New" w:hint="default"/>
      </w:rPr>
    </w:lvl>
    <w:lvl w:ilvl="2" w:tplc="C1BE287C" w:tentative="1">
      <w:start w:val="1"/>
      <w:numFmt w:val="bullet"/>
      <w:lvlText w:val=""/>
      <w:lvlJc w:val="left"/>
      <w:pPr>
        <w:ind w:left="2160" w:hanging="360"/>
      </w:pPr>
      <w:rPr>
        <w:rFonts w:ascii="Wingdings" w:hAnsi="Wingdings" w:hint="default"/>
      </w:rPr>
    </w:lvl>
    <w:lvl w:ilvl="3" w:tplc="88EADA32" w:tentative="1">
      <w:start w:val="1"/>
      <w:numFmt w:val="bullet"/>
      <w:lvlText w:val=""/>
      <w:lvlJc w:val="left"/>
      <w:pPr>
        <w:ind w:left="2880" w:hanging="360"/>
      </w:pPr>
      <w:rPr>
        <w:rFonts w:ascii="Symbol" w:hAnsi="Symbol" w:hint="default"/>
      </w:rPr>
    </w:lvl>
    <w:lvl w:ilvl="4" w:tplc="4D5AFCB4" w:tentative="1">
      <w:start w:val="1"/>
      <w:numFmt w:val="bullet"/>
      <w:lvlText w:val="o"/>
      <w:lvlJc w:val="left"/>
      <w:pPr>
        <w:ind w:left="3600" w:hanging="360"/>
      </w:pPr>
      <w:rPr>
        <w:rFonts w:ascii="Courier New" w:hAnsi="Courier New" w:hint="default"/>
      </w:rPr>
    </w:lvl>
    <w:lvl w:ilvl="5" w:tplc="0AE2E98C" w:tentative="1">
      <w:start w:val="1"/>
      <w:numFmt w:val="bullet"/>
      <w:lvlText w:val=""/>
      <w:lvlJc w:val="left"/>
      <w:pPr>
        <w:ind w:left="4320" w:hanging="360"/>
      </w:pPr>
      <w:rPr>
        <w:rFonts w:ascii="Wingdings" w:hAnsi="Wingdings" w:hint="default"/>
      </w:rPr>
    </w:lvl>
    <w:lvl w:ilvl="6" w:tplc="5D9E11C2" w:tentative="1">
      <w:start w:val="1"/>
      <w:numFmt w:val="bullet"/>
      <w:lvlText w:val=""/>
      <w:lvlJc w:val="left"/>
      <w:pPr>
        <w:ind w:left="5040" w:hanging="360"/>
      </w:pPr>
      <w:rPr>
        <w:rFonts w:ascii="Symbol" w:hAnsi="Symbol" w:hint="default"/>
      </w:rPr>
    </w:lvl>
    <w:lvl w:ilvl="7" w:tplc="B1407234" w:tentative="1">
      <w:start w:val="1"/>
      <w:numFmt w:val="bullet"/>
      <w:lvlText w:val="o"/>
      <w:lvlJc w:val="left"/>
      <w:pPr>
        <w:ind w:left="5760" w:hanging="360"/>
      </w:pPr>
      <w:rPr>
        <w:rFonts w:ascii="Courier New" w:hAnsi="Courier New" w:hint="default"/>
      </w:rPr>
    </w:lvl>
    <w:lvl w:ilvl="8" w:tplc="99BC43A6" w:tentative="1">
      <w:start w:val="1"/>
      <w:numFmt w:val="bullet"/>
      <w:lvlText w:val=""/>
      <w:lvlJc w:val="left"/>
      <w:pPr>
        <w:ind w:left="6480" w:hanging="360"/>
      </w:pPr>
      <w:rPr>
        <w:rFonts w:ascii="Wingdings" w:hAnsi="Wingdings" w:hint="default"/>
      </w:rPr>
    </w:lvl>
  </w:abstractNum>
  <w:abstractNum w:abstractNumId="134" w15:restartNumberingAfterBreak="0">
    <w:nsid w:val="1AF270E1"/>
    <w:multiLevelType w:val="hybridMultilevel"/>
    <w:tmpl w:val="7D3E1C94"/>
    <w:lvl w:ilvl="0" w:tplc="EF46E57A">
      <w:start w:val="1"/>
      <w:numFmt w:val="bullet"/>
      <w:lvlText w:val=""/>
      <w:lvlJc w:val="left"/>
      <w:pPr>
        <w:ind w:left="720" w:hanging="360"/>
      </w:pPr>
      <w:rPr>
        <w:rFonts w:ascii="Symbol" w:hAnsi="Symbol" w:hint="default"/>
      </w:rPr>
    </w:lvl>
    <w:lvl w:ilvl="1" w:tplc="271A952E" w:tentative="1">
      <w:start w:val="1"/>
      <w:numFmt w:val="bullet"/>
      <w:lvlText w:val="o"/>
      <w:lvlJc w:val="left"/>
      <w:pPr>
        <w:ind w:left="1440" w:hanging="360"/>
      </w:pPr>
      <w:rPr>
        <w:rFonts w:ascii="Courier New" w:hAnsi="Courier New" w:hint="default"/>
      </w:rPr>
    </w:lvl>
    <w:lvl w:ilvl="2" w:tplc="A13A98FE" w:tentative="1">
      <w:start w:val="1"/>
      <w:numFmt w:val="bullet"/>
      <w:lvlText w:val=""/>
      <w:lvlJc w:val="left"/>
      <w:pPr>
        <w:ind w:left="2160" w:hanging="360"/>
      </w:pPr>
      <w:rPr>
        <w:rFonts w:ascii="Wingdings" w:hAnsi="Wingdings" w:hint="default"/>
      </w:rPr>
    </w:lvl>
    <w:lvl w:ilvl="3" w:tplc="EA1CB5D4" w:tentative="1">
      <w:start w:val="1"/>
      <w:numFmt w:val="bullet"/>
      <w:lvlText w:val=""/>
      <w:lvlJc w:val="left"/>
      <w:pPr>
        <w:ind w:left="2880" w:hanging="360"/>
      </w:pPr>
      <w:rPr>
        <w:rFonts w:ascii="Symbol" w:hAnsi="Symbol" w:hint="default"/>
      </w:rPr>
    </w:lvl>
    <w:lvl w:ilvl="4" w:tplc="20D4AE0E" w:tentative="1">
      <w:start w:val="1"/>
      <w:numFmt w:val="bullet"/>
      <w:lvlText w:val="o"/>
      <w:lvlJc w:val="left"/>
      <w:pPr>
        <w:ind w:left="3600" w:hanging="360"/>
      </w:pPr>
      <w:rPr>
        <w:rFonts w:ascii="Courier New" w:hAnsi="Courier New" w:hint="default"/>
      </w:rPr>
    </w:lvl>
    <w:lvl w:ilvl="5" w:tplc="C8C84282" w:tentative="1">
      <w:start w:val="1"/>
      <w:numFmt w:val="bullet"/>
      <w:lvlText w:val=""/>
      <w:lvlJc w:val="left"/>
      <w:pPr>
        <w:ind w:left="4320" w:hanging="360"/>
      </w:pPr>
      <w:rPr>
        <w:rFonts w:ascii="Wingdings" w:hAnsi="Wingdings" w:hint="default"/>
      </w:rPr>
    </w:lvl>
    <w:lvl w:ilvl="6" w:tplc="01D23A8C" w:tentative="1">
      <w:start w:val="1"/>
      <w:numFmt w:val="bullet"/>
      <w:lvlText w:val=""/>
      <w:lvlJc w:val="left"/>
      <w:pPr>
        <w:ind w:left="5040" w:hanging="360"/>
      </w:pPr>
      <w:rPr>
        <w:rFonts w:ascii="Symbol" w:hAnsi="Symbol" w:hint="default"/>
      </w:rPr>
    </w:lvl>
    <w:lvl w:ilvl="7" w:tplc="941C905A" w:tentative="1">
      <w:start w:val="1"/>
      <w:numFmt w:val="bullet"/>
      <w:lvlText w:val="o"/>
      <w:lvlJc w:val="left"/>
      <w:pPr>
        <w:ind w:left="5760" w:hanging="360"/>
      </w:pPr>
      <w:rPr>
        <w:rFonts w:ascii="Courier New" w:hAnsi="Courier New" w:hint="default"/>
      </w:rPr>
    </w:lvl>
    <w:lvl w:ilvl="8" w:tplc="6228273E" w:tentative="1">
      <w:start w:val="1"/>
      <w:numFmt w:val="bullet"/>
      <w:lvlText w:val=""/>
      <w:lvlJc w:val="left"/>
      <w:pPr>
        <w:ind w:left="6480" w:hanging="360"/>
      </w:pPr>
      <w:rPr>
        <w:rFonts w:ascii="Wingdings" w:hAnsi="Wingdings" w:hint="default"/>
      </w:rPr>
    </w:lvl>
  </w:abstractNum>
  <w:abstractNum w:abstractNumId="135" w15:restartNumberingAfterBreak="0">
    <w:nsid w:val="1B20544B"/>
    <w:multiLevelType w:val="hybridMultilevel"/>
    <w:tmpl w:val="112ACC96"/>
    <w:lvl w:ilvl="0" w:tplc="CEC63162">
      <w:start w:val="1"/>
      <w:numFmt w:val="bullet"/>
      <w:lvlText w:val=""/>
      <w:lvlJc w:val="left"/>
      <w:pPr>
        <w:ind w:left="720" w:hanging="360"/>
      </w:pPr>
      <w:rPr>
        <w:rFonts w:ascii="Symbol" w:hAnsi="Symbol" w:hint="default"/>
      </w:rPr>
    </w:lvl>
    <w:lvl w:ilvl="1" w:tplc="D75A4306" w:tentative="1">
      <w:start w:val="1"/>
      <w:numFmt w:val="bullet"/>
      <w:lvlText w:val="o"/>
      <w:lvlJc w:val="left"/>
      <w:pPr>
        <w:ind w:left="1440" w:hanging="360"/>
      </w:pPr>
      <w:rPr>
        <w:rFonts w:ascii="Courier New" w:hAnsi="Courier New" w:hint="default"/>
      </w:rPr>
    </w:lvl>
    <w:lvl w:ilvl="2" w:tplc="C6427FDE" w:tentative="1">
      <w:start w:val="1"/>
      <w:numFmt w:val="bullet"/>
      <w:lvlText w:val=""/>
      <w:lvlJc w:val="left"/>
      <w:pPr>
        <w:ind w:left="2160" w:hanging="360"/>
      </w:pPr>
      <w:rPr>
        <w:rFonts w:ascii="Wingdings" w:hAnsi="Wingdings" w:hint="default"/>
      </w:rPr>
    </w:lvl>
    <w:lvl w:ilvl="3" w:tplc="CD745C4E" w:tentative="1">
      <w:start w:val="1"/>
      <w:numFmt w:val="bullet"/>
      <w:lvlText w:val=""/>
      <w:lvlJc w:val="left"/>
      <w:pPr>
        <w:ind w:left="2880" w:hanging="360"/>
      </w:pPr>
      <w:rPr>
        <w:rFonts w:ascii="Symbol" w:hAnsi="Symbol" w:hint="default"/>
      </w:rPr>
    </w:lvl>
    <w:lvl w:ilvl="4" w:tplc="B21676C0" w:tentative="1">
      <w:start w:val="1"/>
      <w:numFmt w:val="bullet"/>
      <w:lvlText w:val="o"/>
      <w:lvlJc w:val="left"/>
      <w:pPr>
        <w:ind w:left="3600" w:hanging="360"/>
      </w:pPr>
      <w:rPr>
        <w:rFonts w:ascii="Courier New" w:hAnsi="Courier New" w:hint="default"/>
      </w:rPr>
    </w:lvl>
    <w:lvl w:ilvl="5" w:tplc="05CA7D70" w:tentative="1">
      <w:start w:val="1"/>
      <w:numFmt w:val="bullet"/>
      <w:lvlText w:val=""/>
      <w:lvlJc w:val="left"/>
      <w:pPr>
        <w:ind w:left="4320" w:hanging="360"/>
      </w:pPr>
      <w:rPr>
        <w:rFonts w:ascii="Wingdings" w:hAnsi="Wingdings" w:hint="default"/>
      </w:rPr>
    </w:lvl>
    <w:lvl w:ilvl="6" w:tplc="C8BEDB14" w:tentative="1">
      <w:start w:val="1"/>
      <w:numFmt w:val="bullet"/>
      <w:lvlText w:val=""/>
      <w:lvlJc w:val="left"/>
      <w:pPr>
        <w:ind w:left="5040" w:hanging="360"/>
      </w:pPr>
      <w:rPr>
        <w:rFonts w:ascii="Symbol" w:hAnsi="Symbol" w:hint="default"/>
      </w:rPr>
    </w:lvl>
    <w:lvl w:ilvl="7" w:tplc="419A0C3C" w:tentative="1">
      <w:start w:val="1"/>
      <w:numFmt w:val="bullet"/>
      <w:lvlText w:val="o"/>
      <w:lvlJc w:val="left"/>
      <w:pPr>
        <w:ind w:left="5760" w:hanging="360"/>
      </w:pPr>
      <w:rPr>
        <w:rFonts w:ascii="Courier New" w:hAnsi="Courier New" w:hint="default"/>
      </w:rPr>
    </w:lvl>
    <w:lvl w:ilvl="8" w:tplc="B2227394" w:tentative="1">
      <w:start w:val="1"/>
      <w:numFmt w:val="bullet"/>
      <w:lvlText w:val=""/>
      <w:lvlJc w:val="left"/>
      <w:pPr>
        <w:ind w:left="6480" w:hanging="360"/>
      </w:pPr>
      <w:rPr>
        <w:rFonts w:ascii="Wingdings" w:hAnsi="Wingdings" w:hint="default"/>
      </w:rPr>
    </w:lvl>
  </w:abstractNum>
  <w:abstractNum w:abstractNumId="136" w15:restartNumberingAfterBreak="0">
    <w:nsid w:val="1B460315"/>
    <w:multiLevelType w:val="hybridMultilevel"/>
    <w:tmpl w:val="0ED08640"/>
    <w:lvl w:ilvl="0" w:tplc="FFFFFFFF">
      <w:start w:val="1"/>
      <w:numFmt w:val="bullet"/>
      <w:lvlText w:val="·"/>
      <w:lvlJc w:val="left"/>
      <w:pPr>
        <w:ind w:left="720" w:hanging="360"/>
      </w:pPr>
      <w:rPr>
        <w:rFonts w:ascii="Symbol" w:hAnsi="Symbol" w:hint="default"/>
      </w:rPr>
    </w:lvl>
    <w:lvl w:ilvl="1" w:tplc="B7E66E68">
      <w:start w:val="1"/>
      <w:numFmt w:val="bullet"/>
      <w:lvlText w:val="o"/>
      <w:lvlJc w:val="left"/>
      <w:pPr>
        <w:ind w:left="1440" w:hanging="360"/>
      </w:pPr>
      <w:rPr>
        <w:rFonts w:ascii="Courier New" w:hAnsi="Courier New" w:hint="default"/>
      </w:rPr>
    </w:lvl>
    <w:lvl w:ilvl="2" w:tplc="FF782492" w:tentative="1">
      <w:start w:val="1"/>
      <w:numFmt w:val="bullet"/>
      <w:lvlText w:val=""/>
      <w:lvlJc w:val="left"/>
      <w:pPr>
        <w:ind w:left="2160" w:hanging="360"/>
      </w:pPr>
      <w:rPr>
        <w:rFonts w:ascii="Wingdings" w:hAnsi="Wingdings" w:hint="default"/>
      </w:rPr>
    </w:lvl>
    <w:lvl w:ilvl="3" w:tplc="71B6BEE0" w:tentative="1">
      <w:start w:val="1"/>
      <w:numFmt w:val="bullet"/>
      <w:lvlText w:val=""/>
      <w:lvlJc w:val="left"/>
      <w:pPr>
        <w:ind w:left="2880" w:hanging="360"/>
      </w:pPr>
      <w:rPr>
        <w:rFonts w:ascii="Symbol" w:hAnsi="Symbol" w:hint="default"/>
      </w:rPr>
    </w:lvl>
    <w:lvl w:ilvl="4" w:tplc="2C9CC962" w:tentative="1">
      <w:start w:val="1"/>
      <w:numFmt w:val="bullet"/>
      <w:lvlText w:val="o"/>
      <w:lvlJc w:val="left"/>
      <w:pPr>
        <w:ind w:left="3600" w:hanging="360"/>
      </w:pPr>
      <w:rPr>
        <w:rFonts w:ascii="Courier New" w:hAnsi="Courier New" w:hint="default"/>
      </w:rPr>
    </w:lvl>
    <w:lvl w:ilvl="5" w:tplc="592080A8" w:tentative="1">
      <w:start w:val="1"/>
      <w:numFmt w:val="bullet"/>
      <w:lvlText w:val=""/>
      <w:lvlJc w:val="left"/>
      <w:pPr>
        <w:ind w:left="4320" w:hanging="360"/>
      </w:pPr>
      <w:rPr>
        <w:rFonts w:ascii="Wingdings" w:hAnsi="Wingdings" w:hint="default"/>
      </w:rPr>
    </w:lvl>
    <w:lvl w:ilvl="6" w:tplc="18F85A28" w:tentative="1">
      <w:start w:val="1"/>
      <w:numFmt w:val="bullet"/>
      <w:lvlText w:val=""/>
      <w:lvlJc w:val="left"/>
      <w:pPr>
        <w:ind w:left="5040" w:hanging="360"/>
      </w:pPr>
      <w:rPr>
        <w:rFonts w:ascii="Symbol" w:hAnsi="Symbol" w:hint="default"/>
      </w:rPr>
    </w:lvl>
    <w:lvl w:ilvl="7" w:tplc="4A0038A2" w:tentative="1">
      <w:start w:val="1"/>
      <w:numFmt w:val="bullet"/>
      <w:lvlText w:val="o"/>
      <w:lvlJc w:val="left"/>
      <w:pPr>
        <w:ind w:left="5760" w:hanging="360"/>
      </w:pPr>
      <w:rPr>
        <w:rFonts w:ascii="Courier New" w:hAnsi="Courier New" w:hint="default"/>
      </w:rPr>
    </w:lvl>
    <w:lvl w:ilvl="8" w:tplc="0A640D4A" w:tentative="1">
      <w:start w:val="1"/>
      <w:numFmt w:val="bullet"/>
      <w:lvlText w:val=""/>
      <w:lvlJc w:val="left"/>
      <w:pPr>
        <w:ind w:left="6480" w:hanging="360"/>
      </w:pPr>
      <w:rPr>
        <w:rFonts w:ascii="Wingdings" w:hAnsi="Wingdings" w:hint="default"/>
      </w:rPr>
    </w:lvl>
  </w:abstractNum>
  <w:abstractNum w:abstractNumId="137" w15:restartNumberingAfterBreak="0">
    <w:nsid w:val="1B677A63"/>
    <w:multiLevelType w:val="hybridMultilevel"/>
    <w:tmpl w:val="FEA6CAA2"/>
    <w:lvl w:ilvl="0" w:tplc="C7D48E1C">
      <w:start w:val="1"/>
      <w:numFmt w:val="bullet"/>
      <w:lvlText w:val=""/>
      <w:lvlJc w:val="left"/>
      <w:pPr>
        <w:ind w:left="720" w:hanging="360"/>
      </w:pPr>
      <w:rPr>
        <w:rFonts w:ascii="Symbol" w:hAnsi="Symbol" w:hint="default"/>
      </w:rPr>
    </w:lvl>
    <w:lvl w:ilvl="1" w:tplc="54E067B2" w:tentative="1">
      <w:start w:val="1"/>
      <w:numFmt w:val="bullet"/>
      <w:lvlText w:val="o"/>
      <w:lvlJc w:val="left"/>
      <w:pPr>
        <w:ind w:left="1440" w:hanging="360"/>
      </w:pPr>
      <w:rPr>
        <w:rFonts w:ascii="Courier New" w:hAnsi="Courier New" w:hint="default"/>
      </w:rPr>
    </w:lvl>
    <w:lvl w:ilvl="2" w:tplc="8314FBCE" w:tentative="1">
      <w:start w:val="1"/>
      <w:numFmt w:val="bullet"/>
      <w:lvlText w:val=""/>
      <w:lvlJc w:val="left"/>
      <w:pPr>
        <w:ind w:left="2160" w:hanging="360"/>
      </w:pPr>
      <w:rPr>
        <w:rFonts w:ascii="Wingdings" w:hAnsi="Wingdings" w:hint="default"/>
      </w:rPr>
    </w:lvl>
    <w:lvl w:ilvl="3" w:tplc="B55E5F26" w:tentative="1">
      <w:start w:val="1"/>
      <w:numFmt w:val="bullet"/>
      <w:lvlText w:val=""/>
      <w:lvlJc w:val="left"/>
      <w:pPr>
        <w:ind w:left="2880" w:hanging="360"/>
      </w:pPr>
      <w:rPr>
        <w:rFonts w:ascii="Symbol" w:hAnsi="Symbol" w:hint="default"/>
      </w:rPr>
    </w:lvl>
    <w:lvl w:ilvl="4" w:tplc="B170B882" w:tentative="1">
      <w:start w:val="1"/>
      <w:numFmt w:val="bullet"/>
      <w:lvlText w:val="o"/>
      <w:lvlJc w:val="left"/>
      <w:pPr>
        <w:ind w:left="3600" w:hanging="360"/>
      </w:pPr>
      <w:rPr>
        <w:rFonts w:ascii="Courier New" w:hAnsi="Courier New" w:hint="default"/>
      </w:rPr>
    </w:lvl>
    <w:lvl w:ilvl="5" w:tplc="FCE22B40" w:tentative="1">
      <w:start w:val="1"/>
      <w:numFmt w:val="bullet"/>
      <w:lvlText w:val=""/>
      <w:lvlJc w:val="left"/>
      <w:pPr>
        <w:ind w:left="4320" w:hanging="360"/>
      </w:pPr>
      <w:rPr>
        <w:rFonts w:ascii="Wingdings" w:hAnsi="Wingdings" w:hint="default"/>
      </w:rPr>
    </w:lvl>
    <w:lvl w:ilvl="6" w:tplc="9F3AE02C" w:tentative="1">
      <w:start w:val="1"/>
      <w:numFmt w:val="bullet"/>
      <w:lvlText w:val=""/>
      <w:lvlJc w:val="left"/>
      <w:pPr>
        <w:ind w:left="5040" w:hanging="360"/>
      </w:pPr>
      <w:rPr>
        <w:rFonts w:ascii="Symbol" w:hAnsi="Symbol" w:hint="default"/>
      </w:rPr>
    </w:lvl>
    <w:lvl w:ilvl="7" w:tplc="B1C43E0E" w:tentative="1">
      <w:start w:val="1"/>
      <w:numFmt w:val="bullet"/>
      <w:lvlText w:val="o"/>
      <w:lvlJc w:val="left"/>
      <w:pPr>
        <w:ind w:left="5760" w:hanging="360"/>
      </w:pPr>
      <w:rPr>
        <w:rFonts w:ascii="Courier New" w:hAnsi="Courier New" w:hint="default"/>
      </w:rPr>
    </w:lvl>
    <w:lvl w:ilvl="8" w:tplc="06E85AA8" w:tentative="1">
      <w:start w:val="1"/>
      <w:numFmt w:val="bullet"/>
      <w:lvlText w:val=""/>
      <w:lvlJc w:val="left"/>
      <w:pPr>
        <w:ind w:left="6480" w:hanging="360"/>
      </w:pPr>
      <w:rPr>
        <w:rFonts w:ascii="Wingdings" w:hAnsi="Wingdings" w:hint="default"/>
      </w:rPr>
    </w:lvl>
  </w:abstractNum>
  <w:abstractNum w:abstractNumId="138" w15:restartNumberingAfterBreak="0">
    <w:nsid w:val="1B985E32"/>
    <w:multiLevelType w:val="hybridMultilevel"/>
    <w:tmpl w:val="98266CF8"/>
    <w:lvl w:ilvl="0" w:tplc="FC04EBE0">
      <w:start w:val="1"/>
      <w:numFmt w:val="bullet"/>
      <w:lvlText w:val="o"/>
      <w:lvlJc w:val="left"/>
      <w:pPr>
        <w:ind w:left="1440" w:hanging="360"/>
      </w:pPr>
      <w:rPr>
        <w:rFonts w:ascii="Courier New" w:hAnsi="Courier New" w:hint="default"/>
      </w:rPr>
    </w:lvl>
    <w:lvl w:ilvl="1" w:tplc="880825F0" w:tentative="1">
      <w:start w:val="1"/>
      <w:numFmt w:val="bullet"/>
      <w:lvlText w:val="o"/>
      <w:lvlJc w:val="left"/>
      <w:pPr>
        <w:ind w:left="2160" w:hanging="360"/>
      </w:pPr>
      <w:rPr>
        <w:rFonts w:ascii="Courier New" w:hAnsi="Courier New" w:hint="default"/>
      </w:rPr>
    </w:lvl>
    <w:lvl w:ilvl="2" w:tplc="D3EA435E" w:tentative="1">
      <w:start w:val="1"/>
      <w:numFmt w:val="bullet"/>
      <w:lvlText w:val=""/>
      <w:lvlJc w:val="left"/>
      <w:pPr>
        <w:ind w:left="2880" w:hanging="360"/>
      </w:pPr>
      <w:rPr>
        <w:rFonts w:ascii="Wingdings" w:hAnsi="Wingdings" w:hint="default"/>
      </w:rPr>
    </w:lvl>
    <w:lvl w:ilvl="3" w:tplc="F6B65C82" w:tentative="1">
      <w:start w:val="1"/>
      <w:numFmt w:val="bullet"/>
      <w:lvlText w:val=""/>
      <w:lvlJc w:val="left"/>
      <w:pPr>
        <w:ind w:left="3600" w:hanging="360"/>
      </w:pPr>
      <w:rPr>
        <w:rFonts w:ascii="Symbol" w:hAnsi="Symbol" w:hint="default"/>
      </w:rPr>
    </w:lvl>
    <w:lvl w:ilvl="4" w:tplc="7D242D22" w:tentative="1">
      <w:start w:val="1"/>
      <w:numFmt w:val="bullet"/>
      <w:lvlText w:val="o"/>
      <w:lvlJc w:val="left"/>
      <w:pPr>
        <w:ind w:left="4320" w:hanging="360"/>
      </w:pPr>
      <w:rPr>
        <w:rFonts w:ascii="Courier New" w:hAnsi="Courier New" w:hint="default"/>
      </w:rPr>
    </w:lvl>
    <w:lvl w:ilvl="5" w:tplc="FAAE9D94" w:tentative="1">
      <w:start w:val="1"/>
      <w:numFmt w:val="bullet"/>
      <w:lvlText w:val=""/>
      <w:lvlJc w:val="left"/>
      <w:pPr>
        <w:ind w:left="5040" w:hanging="360"/>
      </w:pPr>
      <w:rPr>
        <w:rFonts w:ascii="Wingdings" w:hAnsi="Wingdings" w:hint="default"/>
      </w:rPr>
    </w:lvl>
    <w:lvl w:ilvl="6" w:tplc="D898DA78" w:tentative="1">
      <w:start w:val="1"/>
      <w:numFmt w:val="bullet"/>
      <w:lvlText w:val=""/>
      <w:lvlJc w:val="left"/>
      <w:pPr>
        <w:ind w:left="5760" w:hanging="360"/>
      </w:pPr>
      <w:rPr>
        <w:rFonts w:ascii="Symbol" w:hAnsi="Symbol" w:hint="default"/>
      </w:rPr>
    </w:lvl>
    <w:lvl w:ilvl="7" w:tplc="B7281B00" w:tentative="1">
      <w:start w:val="1"/>
      <w:numFmt w:val="bullet"/>
      <w:lvlText w:val="o"/>
      <w:lvlJc w:val="left"/>
      <w:pPr>
        <w:ind w:left="6480" w:hanging="360"/>
      </w:pPr>
      <w:rPr>
        <w:rFonts w:ascii="Courier New" w:hAnsi="Courier New" w:hint="default"/>
      </w:rPr>
    </w:lvl>
    <w:lvl w:ilvl="8" w:tplc="23028D2C" w:tentative="1">
      <w:start w:val="1"/>
      <w:numFmt w:val="bullet"/>
      <w:lvlText w:val=""/>
      <w:lvlJc w:val="left"/>
      <w:pPr>
        <w:ind w:left="7200" w:hanging="360"/>
      </w:pPr>
      <w:rPr>
        <w:rFonts w:ascii="Wingdings" w:hAnsi="Wingdings" w:hint="default"/>
      </w:rPr>
    </w:lvl>
  </w:abstractNum>
  <w:abstractNum w:abstractNumId="139" w15:restartNumberingAfterBreak="0">
    <w:nsid w:val="1B9D1E7B"/>
    <w:multiLevelType w:val="hybridMultilevel"/>
    <w:tmpl w:val="277C225A"/>
    <w:lvl w:ilvl="0" w:tplc="B060FA5A">
      <w:start w:val="1"/>
      <w:numFmt w:val="bullet"/>
      <w:lvlText w:val=""/>
      <w:lvlJc w:val="left"/>
      <w:pPr>
        <w:ind w:left="780" w:hanging="360"/>
      </w:pPr>
      <w:rPr>
        <w:rFonts w:ascii="Symbol" w:hAnsi="Symbol" w:hint="default"/>
      </w:rPr>
    </w:lvl>
    <w:lvl w:ilvl="1" w:tplc="F5429CA4" w:tentative="1">
      <w:start w:val="1"/>
      <w:numFmt w:val="bullet"/>
      <w:lvlText w:val="o"/>
      <w:lvlJc w:val="left"/>
      <w:pPr>
        <w:ind w:left="1500" w:hanging="360"/>
      </w:pPr>
      <w:rPr>
        <w:rFonts w:ascii="Courier New" w:hAnsi="Courier New" w:hint="default"/>
      </w:rPr>
    </w:lvl>
    <w:lvl w:ilvl="2" w:tplc="B8786616" w:tentative="1">
      <w:start w:val="1"/>
      <w:numFmt w:val="bullet"/>
      <w:lvlText w:val=""/>
      <w:lvlJc w:val="left"/>
      <w:pPr>
        <w:ind w:left="2220" w:hanging="360"/>
      </w:pPr>
      <w:rPr>
        <w:rFonts w:ascii="Wingdings" w:hAnsi="Wingdings" w:hint="default"/>
      </w:rPr>
    </w:lvl>
    <w:lvl w:ilvl="3" w:tplc="B67C4950" w:tentative="1">
      <w:start w:val="1"/>
      <w:numFmt w:val="bullet"/>
      <w:lvlText w:val=""/>
      <w:lvlJc w:val="left"/>
      <w:pPr>
        <w:ind w:left="2940" w:hanging="360"/>
      </w:pPr>
      <w:rPr>
        <w:rFonts w:ascii="Symbol" w:hAnsi="Symbol" w:hint="default"/>
      </w:rPr>
    </w:lvl>
    <w:lvl w:ilvl="4" w:tplc="110C3FBA" w:tentative="1">
      <w:start w:val="1"/>
      <w:numFmt w:val="bullet"/>
      <w:lvlText w:val="o"/>
      <w:lvlJc w:val="left"/>
      <w:pPr>
        <w:ind w:left="3660" w:hanging="360"/>
      </w:pPr>
      <w:rPr>
        <w:rFonts w:ascii="Courier New" w:hAnsi="Courier New" w:hint="default"/>
      </w:rPr>
    </w:lvl>
    <w:lvl w:ilvl="5" w:tplc="2690CCD2" w:tentative="1">
      <w:start w:val="1"/>
      <w:numFmt w:val="bullet"/>
      <w:lvlText w:val=""/>
      <w:lvlJc w:val="left"/>
      <w:pPr>
        <w:ind w:left="4380" w:hanging="360"/>
      </w:pPr>
      <w:rPr>
        <w:rFonts w:ascii="Wingdings" w:hAnsi="Wingdings" w:hint="default"/>
      </w:rPr>
    </w:lvl>
    <w:lvl w:ilvl="6" w:tplc="4BD6DB2C" w:tentative="1">
      <w:start w:val="1"/>
      <w:numFmt w:val="bullet"/>
      <w:lvlText w:val=""/>
      <w:lvlJc w:val="left"/>
      <w:pPr>
        <w:ind w:left="5100" w:hanging="360"/>
      </w:pPr>
      <w:rPr>
        <w:rFonts w:ascii="Symbol" w:hAnsi="Symbol" w:hint="default"/>
      </w:rPr>
    </w:lvl>
    <w:lvl w:ilvl="7" w:tplc="B918659A" w:tentative="1">
      <w:start w:val="1"/>
      <w:numFmt w:val="bullet"/>
      <w:lvlText w:val="o"/>
      <w:lvlJc w:val="left"/>
      <w:pPr>
        <w:ind w:left="5820" w:hanging="360"/>
      </w:pPr>
      <w:rPr>
        <w:rFonts w:ascii="Courier New" w:hAnsi="Courier New" w:hint="default"/>
      </w:rPr>
    </w:lvl>
    <w:lvl w:ilvl="8" w:tplc="2A5A2DAA" w:tentative="1">
      <w:start w:val="1"/>
      <w:numFmt w:val="bullet"/>
      <w:lvlText w:val=""/>
      <w:lvlJc w:val="left"/>
      <w:pPr>
        <w:ind w:left="6540" w:hanging="360"/>
      </w:pPr>
      <w:rPr>
        <w:rFonts w:ascii="Wingdings" w:hAnsi="Wingdings" w:hint="default"/>
      </w:rPr>
    </w:lvl>
  </w:abstractNum>
  <w:abstractNum w:abstractNumId="140" w15:restartNumberingAfterBreak="0">
    <w:nsid w:val="1BC8074E"/>
    <w:multiLevelType w:val="multilevel"/>
    <w:tmpl w:val="E5F6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0F14CA"/>
    <w:multiLevelType w:val="hybridMultilevel"/>
    <w:tmpl w:val="ADC8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1C470B8C"/>
    <w:multiLevelType w:val="hybridMultilevel"/>
    <w:tmpl w:val="38161DEC"/>
    <w:lvl w:ilvl="0" w:tplc="3D8EFDEC">
      <w:start w:val="1"/>
      <w:numFmt w:val="bullet"/>
      <w:lvlText w:val=""/>
      <w:lvlJc w:val="left"/>
      <w:pPr>
        <w:ind w:left="720" w:hanging="360"/>
      </w:pPr>
      <w:rPr>
        <w:rFonts w:ascii="Symbol" w:hAnsi="Symbol" w:hint="default"/>
      </w:rPr>
    </w:lvl>
    <w:lvl w:ilvl="1" w:tplc="E7D6A54E" w:tentative="1">
      <w:start w:val="1"/>
      <w:numFmt w:val="bullet"/>
      <w:lvlText w:val="o"/>
      <w:lvlJc w:val="left"/>
      <w:pPr>
        <w:ind w:left="1440" w:hanging="360"/>
      </w:pPr>
      <w:rPr>
        <w:rFonts w:ascii="Courier New" w:hAnsi="Courier New" w:hint="default"/>
      </w:rPr>
    </w:lvl>
    <w:lvl w:ilvl="2" w:tplc="320C5428" w:tentative="1">
      <w:start w:val="1"/>
      <w:numFmt w:val="bullet"/>
      <w:lvlText w:val=""/>
      <w:lvlJc w:val="left"/>
      <w:pPr>
        <w:ind w:left="2160" w:hanging="360"/>
      </w:pPr>
      <w:rPr>
        <w:rFonts w:ascii="Wingdings" w:hAnsi="Wingdings" w:hint="default"/>
      </w:rPr>
    </w:lvl>
    <w:lvl w:ilvl="3" w:tplc="E8AA615A" w:tentative="1">
      <w:start w:val="1"/>
      <w:numFmt w:val="bullet"/>
      <w:lvlText w:val=""/>
      <w:lvlJc w:val="left"/>
      <w:pPr>
        <w:ind w:left="2880" w:hanging="360"/>
      </w:pPr>
      <w:rPr>
        <w:rFonts w:ascii="Symbol" w:hAnsi="Symbol" w:hint="default"/>
      </w:rPr>
    </w:lvl>
    <w:lvl w:ilvl="4" w:tplc="1B90DD92" w:tentative="1">
      <w:start w:val="1"/>
      <w:numFmt w:val="bullet"/>
      <w:lvlText w:val="o"/>
      <w:lvlJc w:val="left"/>
      <w:pPr>
        <w:ind w:left="3600" w:hanging="360"/>
      </w:pPr>
      <w:rPr>
        <w:rFonts w:ascii="Courier New" w:hAnsi="Courier New" w:hint="default"/>
      </w:rPr>
    </w:lvl>
    <w:lvl w:ilvl="5" w:tplc="D756A55E" w:tentative="1">
      <w:start w:val="1"/>
      <w:numFmt w:val="bullet"/>
      <w:lvlText w:val=""/>
      <w:lvlJc w:val="left"/>
      <w:pPr>
        <w:ind w:left="4320" w:hanging="360"/>
      </w:pPr>
      <w:rPr>
        <w:rFonts w:ascii="Wingdings" w:hAnsi="Wingdings" w:hint="default"/>
      </w:rPr>
    </w:lvl>
    <w:lvl w:ilvl="6" w:tplc="7B642D74" w:tentative="1">
      <w:start w:val="1"/>
      <w:numFmt w:val="bullet"/>
      <w:lvlText w:val=""/>
      <w:lvlJc w:val="left"/>
      <w:pPr>
        <w:ind w:left="5040" w:hanging="360"/>
      </w:pPr>
      <w:rPr>
        <w:rFonts w:ascii="Symbol" w:hAnsi="Symbol" w:hint="default"/>
      </w:rPr>
    </w:lvl>
    <w:lvl w:ilvl="7" w:tplc="1E308C2A" w:tentative="1">
      <w:start w:val="1"/>
      <w:numFmt w:val="bullet"/>
      <w:lvlText w:val="o"/>
      <w:lvlJc w:val="left"/>
      <w:pPr>
        <w:ind w:left="5760" w:hanging="360"/>
      </w:pPr>
      <w:rPr>
        <w:rFonts w:ascii="Courier New" w:hAnsi="Courier New" w:hint="default"/>
      </w:rPr>
    </w:lvl>
    <w:lvl w:ilvl="8" w:tplc="87C86FD8" w:tentative="1">
      <w:start w:val="1"/>
      <w:numFmt w:val="bullet"/>
      <w:lvlText w:val=""/>
      <w:lvlJc w:val="left"/>
      <w:pPr>
        <w:ind w:left="6480" w:hanging="360"/>
      </w:pPr>
      <w:rPr>
        <w:rFonts w:ascii="Wingdings" w:hAnsi="Wingdings" w:hint="default"/>
      </w:rPr>
    </w:lvl>
  </w:abstractNum>
  <w:abstractNum w:abstractNumId="143" w15:restartNumberingAfterBreak="0">
    <w:nsid w:val="1CA822D0"/>
    <w:multiLevelType w:val="multilevel"/>
    <w:tmpl w:val="6DE2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5E4B3C"/>
    <w:multiLevelType w:val="hybridMultilevel"/>
    <w:tmpl w:val="B0ECD71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1D6A3315"/>
    <w:multiLevelType w:val="hybridMultilevel"/>
    <w:tmpl w:val="F33497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1D723D65"/>
    <w:multiLevelType w:val="hybridMultilevel"/>
    <w:tmpl w:val="5FDE33AA"/>
    <w:lvl w:ilvl="0" w:tplc="71AEB20E">
      <w:start w:val="1"/>
      <w:numFmt w:val="lowerRoman"/>
      <w:lvlText w:val="%1."/>
      <w:lvlJc w:val="right"/>
      <w:pPr>
        <w:ind w:left="720" w:hanging="360"/>
      </w:pPr>
    </w:lvl>
    <w:lvl w:ilvl="1" w:tplc="51D01BDA">
      <w:start w:val="1"/>
      <w:numFmt w:val="lowerLetter"/>
      <w:lvlText w:val="%2."/>
      <w:lvlJc w:val="left"/>
      <w:pPr>
        <w:ind w:left="1440" w:hanging="360"/>
      </w:pPr>
    </w:lvl>
    <w:lvl w:ilvl="2" w:tplc="DB4C8D58">
      <w:start w:val="1"/>
      <w:numFmt w:val="lowerRoman"/>
      <w:lvlText w:val="%3."/>
      <w:lvlJc w:val="right"/>
      <w:pPr>
        <w:ind w:left="2160" w:hanging="180"/>
      </w:pPr>
    </w:lvl>
    <w:lvl w:ilvl="3" w:tplc="CCC660F0">
      <w:start w:val="1"/>
      <w:numFmt w:val="decimal"/>
      <w:lvlText w:val="%4."/>
      <w:lvlJc w:val="left"/>
      <w:pPr>
        <w:ind w:left="2880" w:hanging="360"/>
      </w:pPr>
    </w:lvl>
    <w:lvl w:ilvl="4" w:tplc="5F02564A">
      <w:start w:val="1"/>
      <w:numFmt w:val="lowerLetter"/>
      <w:lvlText w:val="%5."/>
      <w:lvlJc w:val="left"/>
      <w:pPr>
        <w:ind w:left="3600" w:hanging="360"/>
      </w:pPr>
    </w:lvl>
    <w:lvl w:ilvl="5" w:tplc="A90A6A34">
      <w:start w:val="1"/>
      <w:numFmt w:val="lowerRoman"/>
      <w:lvlText w:val="%6."/>
      <w:lvlJc w:val="right"/>
      <w:pPr>
        <w:ind w:left="4320" w:hanging="180"/>
      </w:pPr>
    </w:lvl>
    <w:lvl w:ilvl="6" w:tplc="DCD46520">
      <w:start w:val="1"/>
      <w:numFmt w:val="decimal"/>
      <w:lvlText w:val="%7."/>
      <w:lvlJc w:val="left"/>
      <w:pPr>
        <w:ind w:left="5040" w:hanging="360"/>
      </w:pPr>
    </w:lvl>
    <w:lvl w:ilvl="7" w:tplc="DD8862B2">
      <w:start w:val="1"/>
      <w:numFmt w:val="lowerLetter"/>
      <w:lvlText w:val="%8."/>
      <w:lvlJc w:val="left"/>
      <w:pPr>
        <w:ind w:left="5760" w:hanging="360"/>
      </w:pPr>
    </w:lvl>
    <w:lvl w:ilvl="8" w:tplc="9FBC6F7C">
      <w:start w:val="1"/>
      <w:numFmt w:val="lowerRoman"/>
      <w:lvlText w:val="%9."/>
      <w:lvlJc w:val="right"/>
      <w:pPr>
        <w:ind w:left="6480" w:hanging="180"/>
      </w:pPr>
    </w:lvl>
  </w:abstractNum>
  <w:abstractNum w:abstractNumId="147" w15:restartNumberingAfterBreak="0">
    <w:nsid w:val="1D806F6A"/>
    <w:multiLevelType w:val="hybridMultilevel"/>
    <w:tmpl w:val="92DEF96A"/>
    <w:lvl w:ilvl="0" w:tplc="B4084A08">
      <w:numFmt w:val="bullet"/>
      <w:lvlText w:val=""/>
      <w:lvlJc w:val="left"/>
      <w:pPr>
        <w:tabs>
          <w:tab w:val="num" w:pos="6840"/>
        </w:tabs>
        <w:ind w:left="6840" w:hanging="360"/>
      </w:pPr>
      <w:rPr>
        <w:rFonts w:ascii="Symbol" w:hAnsi="Symbol" w:hint="default"/>
      </w:rPr>
    </w:lvl>
    <w:lvl w:ilvl="1" w:tplc="9D7889B0">
      <w:numFmt w:val="bullet"/>
      <w:lvlText w:val=""/>
      <w:lvlJc w:val="left"/>
      <w:pPr>
        <w:tabs>
          <w:tab w:val="num" w:pos="6840"/>
        </w:tabs>
        <w:ind w:left="6840" w:hanging="360"/>
      </w:pPr>
      <w:rPr>
        <w:rFonts w:ascii="Symbol" w:hAnsi="Symbol" w:hint="default"/>
        <w:w w:val="0"/>
      </w:rPr>
    </w:lvl>
    <w:lvl w:ilvl="2" w:tplc="CAACE012">
      <w:numFmt w:val="bullet"/>
      <w:lvlText w:val="-"/>
      <w:lvlJc w:val="left"/>
      <w:pPr>
        <w:tabs>
          <w:tab w:val="num" w:pos="7560"/>
        </w:tabs>
        <w:ind w:left="7560" w:hanging="360"/>
      </w:pPr>
      <w:rPr>
        <w:rFonts w:ascii="Times New Roman" w:hAnsi="Times New Roman" w:hint="default"/>
        <w:w w:val="0"/>
      </w:rPr>
    </w:lvl>
    <w:lvl w:ilvl="3" w:tplc="A4EC6290">
      <w:start w:val="1"/>
      <w:numFmt w:val="bullet"/>
      <w:lvlText w:val=""/>
      <w:lvlJc w:val="left"/>
      <w:pPr>
        <w:tabs>
          <w:tab w:val="num" w:pos="8280"/>
        </w:tabs>
        <w:ind w:left="8280" w:hanging="360"/>
      </w:pPr>
      <w:rPr>
        <w:rFonts w:ascii="Symbol" w:hAnsi="Symbol" w:hint="default"/>
      </w:rPr>
    </w:lvl>
    <w:lvl w:ilvl="4" w:tplc="A47E148E">
      <w:start w:val="1"/>
      <w:numFmt w:val="bullet"/>
      <w:lvlText w:val="o"/>
      <w:lvlJc w:val="left"/>
      <w:pPr>
        <w:tabs>
          <w:tab w:val="num" w:pos="9000"/>
        </w:tabs>
        <w:ind w:left="9000" w:hanging="360"/>
      </w:pPr>
      <w:rPr>
        <w:rFonts w:ascii="Courier New" w:hAnsi="Courier New" w:hint="default"/>
      </w:rPr>
    </w:lvl>
    <w:lvl w:ilvl="5" w:tplc="FCB44F16">
      <w:start w:val="1"/>
      <w:numFmt w:val="bullet"/>
      <w:lvlText w:val=""/>
      <w:lvlJc w:val="left"/>
      <w:pPr>
        <w:tabs>
          <w:tab w:val="num" w:pos="9720"/>
        </w:tabs>
        <w:ind w:left="9720" w:hanging="360"/>
      </w:pPr>
      <w:rPr>
        <w:rFonts w:ascii="Wingdings" w:hAnsi="Wingdings" w:hint="default"/>
      </w:rPr>
    </w:lvl>
    <w:lvl w:ilvl="6" w:tplc="81BA5CFA">
      <w:start w:val="1"/>
      <w:numFmt w:val="bullet"/>
      <w:lvlText w:val=""/>
      <w:lvlJc w:val="left"/>
      <w:pPr>
        <w:tabs>
          <w:tab w:val="num" w:pos="10440"/>
        </w:tabs>
        <w:ind w:left="10440" w:hanging="360"/>
      </w:pPr>
      <w:rPr>
        <w:rFonts w:ascii="Symbol" w:hAnsi="Symbol" w:hint="default"/>
      </w:rPr>
    </w:lvl>
    <w:lvl w:ilvl="7" w:tplc="3A2CFC96">
      <w:start w:val="1"/>
      <w:numFmt w:val="bullet"/>
      <w:lvlText w:val="o"/>
      <w:lvlJc w:val="left"/>
      <w:pPr>
        <w:tabs>
          <w:tab w:val="num" w:pos="11160"/>
        </w:tabs>
        <w:ind w:left="11160" w:hanging="360"/>
      </w:pPr>
      <w:rPr>
        <w:rFonts w:ascii="Courier New" w:hAnsi="Courier New" w:hint="default"/>
      </w:rPr>
    </w:lvl>
    <w:lvl w:ilvl="8" w:tplc="A6E4E1FE">
      <w:start w:val="1"/>
      <w:numFmt w:val="bullet"/>
      <w:lvlText w:val=""/>
      <w:lvlJc w:val="left"/>
      <w:pPr>
        <w:tabs>
          <w:tab w:val="num" w:pos="11880"/>
        </w:tabs>
        <w:ind w:left="11880" w:hanging="360"/>
      </w:pPr>
      <w:rPr>
        <w:rFonts w:ascii="Wingdings" w:hAnsi="Wingdings" w:hint="default"/>
      </w:rPr>
    </w:lvl>
  </w:abstractNum>
  <w:abstractNum w:abstractNumId="148" w15:restartNumberingAfterBreak="0">
    <w:nsid w:val="1D910AD1"/>
    <w:multiLevelType w:val="multilevel"/>
    <w:tmpl w:val="3CFCEE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D9E7EB0"/>
    <w:multiLevelType w:val="multilevel"/>
    <w:tmpl w:val="E87C6D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15:restartNumberingAfterBreak="0">
    <w:nsid w:val="1DD5255B"/>
    <w:multiLevelType w:val="hybridMultilevel"/>
    <w:tmpl w:val="79065442"/>
    <w:lvl w:ilvl="0" w:tplc="C2F24C80">
      <w:start w:val="1"/>
      <w:numFmt w:val="bullet"/>
      <w:lvlText w:val=""/>
      <w:lvlJc w:val="left"/>
      <w:pPr>
        <w:ind w:left="720" w:hanging="360"/>
      </w:pPr>
      <w:rPr>
        <w:rFonts w:ascii="Symbol" w:hAnsi="Symbol" w:hint="default"/>
      </w:rPr>
    </w:lvl>
    <w:lvl w:ilvl="1" w:tplc="4B3A3E0A" w:tentative="1">
      <w:start w:val="1"/>
      <w:numFmt w:val="bullet"/>
      <w:lvlText w:val="o"/>
      <w:lvlJc w:val="left"/>
      <w:pPr>
        <w:ind w:left="1440" w:hanging="360"/>
      </w:pPr>
      <w:rPr>
        <w:rFonts w:ascii="Courier New" w:hAnsi="Courier New" w:hint="default"/>
      </w:rPr>
    </w:lvl>
    <w:lvl w:ilvl="2" w:tplc="87F656A6" w:tentative="1">
      <w:start w:val="1"/>
      <w:numFmt w:val="bullet"/>
      <w:lvlText w:val=""/>
      <w:lvlJc w:val="left"/>
      <w:pPr>
        <w:ind w:left="2160" w:hanging="360"/>
      </w:pPr>
      <w:rPr>
        <w:rFonts w:ascii="Wingdings" w:hAnsi="Wingdings" w:hint="default"/>
      </w:rPr>
    </w:lvl>
    <w:lvl w:ilvl="3" w:tplc="AF84FED2" w:tentative="1">
      <w:start w:val="1"/>
      <w:numFmt w:val="bullet"/>
      <w:lvlText w:val=""/>
      <w:lvlJc w:val="left"/>
      <w:pPr>
        <w:ind w:left="2880" w:hanging="360"/>
      </w:pPr>
      <w:rPr>
        <w:rFonts w:ascii="Symbol" w:hAnsi="Symbol" w:hint="default"/>
      </w:rPr>
    </w:lvl>
    <w:lvl w:ilvl="4" w:tplc="77AA1EB0" w:tentative="1">
      <w:start w:val="1"/>
      <w:numFmt w:val="bullet"/>
      <w:lvlText w:val="o"/>
      <w:lvlJc w:val="left"/>
      <w:pPr>
        <w:ind w:left="3600" w:hanging="360"/>
      </w:pPr>
      <w:rPr>
        <w:rFonts w:ascii="Courier New" w:hAnsi="Courier New" w:hint="default"/>
      </w:rPr>
    </w:lvl>
    <w:lvl w:ilvl="5" w:tplc="9C76C156" w:tentative="1">
      <w:start w:val="1"/>
      <w:numFmt w:val="bullet"/>
      <w:lvlText w:val=""/>
      <w:lvlJc w:val="left"/>
      <w:pPr>
        <w:ind w:left="4320" w:hanging="360"/>
      </w:pPr>
      <w:rPr>
        <w:rFonts w:ascii="Wingdings" w:hAnsi="Wingdings" w:hint="default"/>
      </w:rPr>
    </w:lvl>
    <w:lvl w:ilvl="6" w:tplc="97B4804C" w:tentative="1">
      <w:start w:val="1"/>
      <w:numFmt w:val="bullet"/>
      <w:lvlText w:val=""/>
      <w:lvlJc w:val="left"/>
      <w:pPr>
        <w:ind w:left="5040" w:hanging="360"/>
      </w:pPr>
      <w:rPr>
        <w:rFonts w:ascii="Symbol" w:hAnsi="Symbol" w:hint="default"/>
      </w:rPr>
    </w:lvl>
    <w:lvl w:ilvl="7" w:tplc="653408C6" w:tentative="1">
      <w:start w:val="1"/>
      <w:numFmt w:val="bullet"/>
      <w:lvlText w:val="o"/>
      <w:lvlJc w:val="left"/>
      <w:pPr>
        <w:ind w:left="5760" w:hanging="360"/>
      </w:pPr>
      <w:rPr>
        <w:rFonts w:ascii="Courier New" w:hAnsi="Courier New" w:hint="default"/>
      </w:rPr>
    </w:lvl>
    <w:lvl w:ilvl="8" w:tplc="EFD699E8" w:tentative="1">
      <w:start w:val="1"/>
      <w:numFmt w:val="bullet"/>
      <w:lvlText w:val=""/>
      <w:lvlJc w:val="left"/>
      <w:pPr>
        <w:ind w:left="6480" w:hanging="360"/>
      </w:pPr>
      <w:rPr>
        <w:rFonts w:ascii="Wingdings" w:hAnsi="Wingdings" w:hint="default"/>
      </w:rPr>
    </w:lvl>
  </w:abstractNum>
  <w:abstractNum w:abstractNumId="151" w15:restartNumberingAfterBreak="0">
    <w:nsid w:val="1E3B6A37"/>
    <w:multiLevelType w:val="multilevel"/>
    <w:tmpl w:val="1236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E3C27B6"/>
    <w:multiLevelType w:val="hybridMultilevel"/>
    <w:tmpl w:val="4436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1F0704B9"/>
    <w:multiLevelType w:val="hybridMultilevel"/>
    <w:tmpl w:val="8A78A12A"/>
    <w:lvl w:ilvl="0" w:tplc="138C61FC">
      <w:start w:val="1"/>
      <w:numFmt w:val="bullet"/>
      <w:lvlText w:val=""/>
      <w:lvlJc w:val="left"/>
      <w:pPr>
        <w:ind w:left="360" w:hanging="360"/>
      </w:pPr>
      <w:rPr>
        <w:rFonts w:ascii="Symbol" w:hAnsi="Symbol" w:hint="default"/>
        <w:color w:val="auto"/>
      </w:rPr>
    </w:lvl>
    <w:lvl w:ilvl="1" w:tplc="5A1C5E20">
      <w:start w:val="1"/>
      <w:numFmt w:val="bullet"/>
      <w:lvlText w:val="o"/>
      <w:lvlJc w:val="left"/>
      <w:pPr>
        <w:ind w:left="1080" w:hanging="360"/>
      </w:pPr>
      <w:rPr>
        <w:rFonts w:ascii="Courier New" w:hAnsi="Courier New" w:hint="default"/>
      </w:rPr>
    </w:lvl>
    <w:lvl w:ilvl="2" w:tplc="649E656E" w:tentative="1">
      <w:start w:val="1"/>
      <w:numFmt w:val="bullet"/>
      <w:lvlText w:val=""/>
      <w:lvlJc w:val="left"/>
      <w:pPr>
        <w:ind w:left="1800" w:hanging="360"/>
      </w:pPr>
      <w:rPr>
        <w:rFonts w:ascii="Wingdings" w:hAnsi="Wingdings" w:hint="default"/>
      </w:rPr>
    </w:lvl>
    <w:lvl w:ilvl="3" w:tplc="A9CC8EA6" w:tentative="1">
      <w:start w:val="1"/>
      <w:numFmt w:val="bullet"/>
      <w:lvlText w:val=""/>
      <w:lvlJc w:val="left"/>
      <w:pPr>
        <w:ind w:left="2520" w:hanging="360"/>
      </w:pPr>
      <w:rPr>
        <w:rFonts w:ascii="Symbol" w:hAnsi="Symbol" w:hint="default"/>
      </w:rPr>
    </w:lvl>
    <w:lvl w:ilvl="4" w:tplc="E6A62F92" w:tentative="1">
      <w:start w:val="1"/>
      <w:numFmt w:val="bullet"/>
      <w:lvlText w:val="o"/>
      <w:lvlJc w:val="left"/>
      <w:pPr>
        <w:ind w:left="3240" w:hanging="360"/>
      </w:pPr>
      <w:rPr>
        <w:rFonts w:ascii="Courier New" w:hAnsi="Courier New" w:hint="default"/>
      </w:rPr>
    </w:lvl>
    <w:lvl w:ilvl="5" w:tplc="4BAEB4B6" w:tentative="1">
      <w:start w:val="1"/>
      <w:numFmt w:val="bullet"/>
      <w:lvlText w:val=""/>
      <w:lvlJc w:val="left"/>
      <w:pPr>
        <w:ind w:left="3960" w:hanging="360"/>
      </w:pPr>
      <w:rPr>
        <w:rFonts w:ascii="Wingdings" w:hAnsi="Wingdings" w:hint="default"/>
      </w:rPr>
    </w:lvl>
    <w:lvl w:ilvl="6" w:tplc="268071EC" w:tentative="1">
      <w:start w:val="1"/>
      <w:numFmt w:val="bullet"/>
      <w:lvlText w:val=""/>
      <w:lvlJc w:val="left"/>
      <w:pPr>
        <w:ind w:left="4680" w:hanging="360"/>
      </w:pPr>
      <w:rPr>
        <w:rFonts w:ascii="Symbol" w:hAnsi="Symbol" w:hint="default"/>
      </w:rPr>
    </w:lvl>
    <w:lvl w:ilvl="7" w:tplc="E4B0CB6A" w:tentative="1">
      <w:start w:val="1"/>
      <w:numFmt w:val="bullet"/>
      <w:lvlText w:val="o"/>
      <w:lvlJc w:val="left"/>
      <w:pPr>
        <w:ind w:left="5400" w:hanging="360"/>
      </w:pPr>
      <w:rPr>
        <w:rFonts w:ascii="Courier New" w:hAnsi="Courier New" w:hint="default"/>
      </w:rPr>
    </w:lvl>
    <w:lvl w:ilvl="8" w:tplc="566AA97A" w:tentative="1">
      <w:start w:val="1"/>
      <w:numFmt w:val="bullet"/>
      <w:lvlText w:val=""/>
      <w:lvlJc w:val="left"/>
      <w:pPr>
        <w:ind w:left="6120" w:hanging="360"/>
      </w:pPr>
      <w:rPr>
        <w:rFonts w:ascii="Wingdings" w:hAnsi="Wingdings" w:hint="default"/>
      </w:rPr>
    </w:lvl>
  </w:abstractNum>
  <w:abstractNum w:abstractNumId="154" w15:restartNumberingAfterBreak="0">
    <w:nsid w:val="1F8D2D0E"/>
    <w:multiLevelType w:val="multilevel"/>
    <w:tmpl w:val="7A54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F9A09D2"/>
    <w:multiLevelType w:val="hybridMultilevel"/>
    <w:tmpl w:val="F3AE20EE"/>
    <w:lvl w:ilvl="0" w:tplc="D2E06D20">
      <w:start w:val="1"/>
      <w:numFmt w:val="bullet"/>
      <w:lvlText w:val=""/>
      <w:lvlJc w:val="left"/>
      <w:pPr>
        <w:ind w:left="720" w:hanging="360"/>
      </w:pPr>
      <w:rPr>
        <w:rFonts w:ascii="Symbol" w:hAnsi="Symbol" w:hint="default"/>
      </w:rPr>
    </w:lvl>
    <w:lvl w:ilvl="1" w:tplc="CF22D0AE" w:tentative="1">
      <w:start w:val="1"/>
      <w:numFmt w:val="bullet"/>
      <w:lvlText w:val="o"/>
      <w:lvlJc w:val="left"/>
      <w:pPr>
        <w:ind w:left="1440" w:hanging="360"/>
      </w:pPr>
      <w:rPr>
        <w:rFonts w:ascii="Courier New" w:hAnsi="Courier New" w:hint="default"/>
      </w:rPr>
    </w:lvl>
    <w:lvl w:ilvl="2" w:tplc="5DF2A790" w:tentative="1">
      <w:start w:val="1"/>
      <w:numFmt w:val="bullet"/>
      <w:lvlText w:val=""/>
      <w:lvlJc w:val="left"/>
      <w:pPr>
        <w:ind w:left="2160" w:hanging="360"/>
      </w:pPr>
      <w:rPr>
        <w:rFonts w:ascii="Wingdings" w:hAnsi="Wingdings" w:hint="default"/>
      </w:rPr>
    </w:lvl>
    <w:lvl w:ilvl="3" w:tplc="AF365404" w:tentative="1">
      <w:start w:val="1"/>
      <w:numFmt w:val="bullet"/>
      <w:lvlText w:val=""/>
      <w:lvlJc w:val="left"/>
      <w:pPr>
        <w:ind w:left="2880" w:hanging="360"/>
      </w:pPr>
      <w:rPr>
        <w:rFonts w:ascii="Symbol" w:hAnsi="Symbol" w:hint="default"/>
      </w:rPr>
    </w:lvl>
    <w:lvl w:ilvl="4" w:tplc="7870E6E4" w:tentative="1">
      <w:start w:val="1"/>
      <w:numFmt w:val="bullet"/>
      <w:lvlText w:val="o"/>
      <w:lvlJc w:val="left"/>
      <w:pPr>
        <w:ind w:left="3600" w:hanging="360"/>
      </w:pPr>
      <w:rPr>
        <w:rFonts w:ascii="Courier New" w:hAnsi="Courier New" w:hint="default"/>
      </w:rPr>
    </w:lvl>
    <w:lvl w:ilvl="5" w:tplc="62EC5DAC" w:tentative="1">
      <w:start w:val="1"/>
      <w:numFmt w:val="bullet"/>
      <w:lvlText w:val=""/>
      <w:lvlJc w:val="left"/>
      <w:pPr>
        <w:ind w:left="4320" w:hanging="360"/>
      </w:pPr>
      <w:rPr>
        <w:rFonts w:ascii="Wingdings" w:hAnsi="Wingdings" w:hint="default"/>
      </w:rPr>
    </w:lvl>
    <w:lvl w:ilvl="6" w:tplc="F07C64E6" w:tentative="1">
      <w:start w:val="1"/>
      <w:numFmt w:val="bullet"/>
      <w:lvlText w:val=""/>
      <w:lvlJc w:val="left"/>
      <w:pPr>
        <w:ind w:left="5040" w:hanging="360"/>
      </w:pPr>
      <w:rPr>
        <w:rFonts w:ascii="Symbol" w:hAnsi="Symbol" w:hint="default"/>
      </w:rPr>
    </w:lvl>
    <w:lvl w:ilvl="7" w:tplc="21C60A9C" w:tentative="1">
      <w:start w:val="1"/>
      <w:numFmt w:val="bullet"/>
      <w:lvlText w:val="o"/>
      <w:lvlJc w:val="left"/>
      <w:pPr>
        <w:ind w:left="5760" w:hanging="360"/>
      </w:pPr>
      <w:rPr>
        <w:rFonts w:ascii="Courier New" w:hAnsi="Courier New" w:hint="default"/>
      </w:rPr>
    </w:lvl>
    <w:lvl w:ilvl="8" w:tplc="5100BD40" w:tentative="1">
      <w:start w:val="1"/>
      <w:numFmt w:val="bullet"/>
      <w:lvlText w:val=""/>
      <w:lvlJc w:val="left"/>
      <w:pPr>
        <w:ind w:left="6480" w:hanging="360"/>
      </w:pPr>
      <w:rPr>
        <w:rFonts w:ascii="Wingdings" w:hAnsi="Wingdings" w:hint="default"/>
      </w:rPr>
    </w:lvl>
  </w:abstractNum>
  <w:abstractNum w:abstractNumId="156" w15:restartNumberingAfterBreak="0">
    <w:nsid w:val="1FF07771"/>
    <w:multiLevelType w:val="hybridMultilevel"/>
    <w:tmpl w:val="E6669166"/>
    <w:lvl w:ilvl="0" w:tplc="2A5EAB9C">
      <w:start w:val="1"/>
      <w:numFmt w:val="bullet"/>
      <w:lvlText w:val=""/>
      <w:lvlJc w:val="left"/>
      <w:pPr>
        <w:ind w:left="720" w:hanging="360"/>
      </w:pPr>
      <w:rPr>
        <w:rFonts w:ascii="Symbol" w:hAnsi="Symbol" w:hint="default"/>
      </w:rPr>
    </w:lvl>
    <w:lvl w:ilvl="1" w:tplc="10B66B0A" w:tentative="1">
      <w:start w:val="1"/>
      <w:numFmt w:val="bullet"/>
      <w:lvlText w:val="o"/>
      <w:lvlJc w:val="left"/>
      <w:pPr>
        <w:ind w:left="1440" w:hanging="360"/>
      </w:pPr>
      <w:rPr>
        <w:rFonts w:ascii="Courier New" w:hAnsi="Courier New" w:hint="default"/>
      </w:rPr>
    </w:lvl>
    <w:lvl w:ilvl="2" w:tplc="C188221A" w:tentative="1">
      <w:start w:val="1"/>
      <w:numFmt w:val="bullet"/>
      <w:lvlText w:val=""/>
      <w:lvlJc w:val="left"/>
      <w:pPr>
        <w:ind w:left="2160" w:hanging="360"/>
      </w:pPr>
      <w:rPr>
        <w:rFonts w:ascii="Wingdings" w:hAnsi="Wingdings" w:hint="default"/>
      </w:rPr>
    </w:lvl>
    <w:lvl w:ilvl="3" w:tplc="8BD051CA" w:tentative="1">
      <w:start w:val="1"/>
      <w:numFmt w:val="bullet"/>
      <w:lvlText w:val=""/>
      <w:lvlJc w:val="left"/>
      <w:pPr>
        <w:ind w:left="2880" w:hanging="360"/>
      </w:pPr>
      <w:rPr>
        <w:rFonts w:ascii="Symbol" w:hAnsi="Symbol" w:hint="default"/>
      </w:rPr>
    </w:lvl>
    <w:lvl w:ilvl="4" w:tplc="2098B55C" w:tentative="1">
      <w:start w:val="1"/>
      <w:numFmt w:val="bullet"/>
      <w:lvlText w:val="o"/>
      <w:lvlJc w:val="left"/>
      <w:pPr>
        <w:ind w:left="3600" w:hanging="360"/>
      </w:pPr>
      <w:rPr>
        <w:rFonts w:ascii="Courier New" w:hAnsi="Courier New" w:hint="default"/>
      </w:rPr>
    </w:lvl>
    <w:lvl w:ilvl="5" w:tplc="3194486C" w:tentative="1">
      <w:start w:val="1"/>
      <w:numFmt w:val="bullet"/>
      <w:lvlText w:val=""/>
      <w:lvlJc w:val="left"/>
      <w:pPr>
        <w:ind w:left="4320" w:hanging="360"/>
      </w:pPr>
      <w:rPr>
        <w:rFonts w:ascii="Wingdings" w:hAnsi="Wingdings" w:hint="default"/>
      </w:rPr>
    </w:lvl>
    <w:lvl w:ilvl="6" w:tplc="B038C9E6" w:tentative="1">
      <w:start w:val="1"/>
      <w:numFmt w:val="bullet"/>
      <w:lvlText w:val=""/>
      <w:lvlJc w:val="left"/>
      <w:pPr>
        <w:ind w:left="5040" w:hanging="360"/>
      </w:pPr>
      <w:rPr>
        <w:rFonts w:ascii="Symbol" w:hAnsi="Symbol" w:hint="default"/>
      </w:rPr>
    </w:lvl>
    <w:lvl w:ilvl="7" w:tplc="2EA61292" w:tentative="1">
      <w:start w:val="1"/>
      <w:numFmt w:val="bullet"/>
      <w:lvlText w:val="o"/>
      <w:lvlJc w:val="left"/>
      <w:pPr>
        <w:ind w:left="5760" w:hanging="360"/>
      </w:pPr>
      <w:rPr>
        <w:rFonts w:ascii="Courier New" w:hAnsi="Courier New" w:hint="default"/>
      </w:rPr>
    </w:lvl>
    <w:lvl w:ilvl="8" w:tplc="C87A6E74" w:tentative="1">
      <w:start w:val="1"/>
      <w:numFmt w:val="bullet"/>
      <w:lvlText w:val=""/>
      <w:lvlJc w:val="left"/>
      <w:pPr>
        <w:ind w:left="6480" w:hanging="360"/>
      </w:pPr>
      <w:rPr>
        <w:rFonts w:ascii="Wingdings" w:hAnsi="Wingdings" w:hint="default"/>
      </w:rPr>
    </w:lvl>
  </w:abstractNum>
  <w:abstractNum w:abstractNumId="157" w15:restartNumberingAfterBreak="0">
    <w:nsid w:val="200F288D"/>
    <w:multiLevelType w:val="multilevel"/>
    <w:tmpl w:val="CA5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11637A"/>
    <w:multiLevelType w:val="hybridMultilevel"/>
    <w:tmpl w:val="DD80FF30"/>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201F6E7A"/>
    <w:multiLevelType w:val="hybridMultilevel"/>
    <w:tmpl w:val="F278A6AC"/>
    <w:lvl w:ilvl="0" w:tplc="26341C82">
      <w:numFmt w:val="bullet"/>
      <w:lvlText w:val="•"/>
      <w:lvlJc w:val="left"/>
      <w:pPr>
        <w:ind w:left="720" w:hanging="360"/>
      </w:pPr>
      <w:rPr>
        <w:rFonts w:ascii="Aptos" w:eastAsia="Aptos" w:hAnsi="Aptos" w:cs="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0" w15:restartNumberingAfterBreak="0">
    <w:nsid w:val="202A11CC"/>
    <w:multiLevelType w:val="hybridMultilevel"/>
    <w:tmpl w:val="DE4EF726"/>
    <w:lvl w:ilvl="0" w:tplc="181C6AD2">
      <w:start w:val="1"/>
      <w:numFmt w:val="bullet"/>
      <w:lvlText w:val=""/>
      <w:lvlJc w:val="left"/>
      <w:pPr>
        <w:ind w:left="360" w:hanging="360"/>
      </w:pPr>
      <w:rPr>
        <w:rFonts w:ascii="Symbol" w:hAnsi="Symbol" w:hint="default"/>
      </w:rPr>
    </w:lvl>
    <w:lvl w:ilvl="1" w:tplc="5434E3B8">
      <w:start w:val="1"/>
      <w:numFmt w:val="bullet"/>
      <w:lvlText w:val="o"/>
      <w:lvlJc w:val="left"/>
      <w:pPr>
        <w:ind w:left="993" w:hanging="360"/>
      </w:pPr>
      <w:rPr>
        <w:rFonts w:ascii="Courier New" w:hAnsi="Courier New" w:hint="default"/>
      </w:rPr>
    </w:lvl>
    <w:lvl w:ilvl="2" w:tplc="B4800F62" w:tentative="1">
      <w:start w:val="1"/>
      <w:numFmt w:val="bullet"/>
      <w:lvlText w:val=""/>
      <w:lvlJc w:val="left"/>
      <w:pPr>
        <w:ind w:left="1800" w:hanging="360"/>
      </w:pPr>
      <w:rPr>
        <w:rFonts w:ascii="Wingdings" w:hAnsi="Wingdings" w:hint="default"/>
      </w:rPr>
    </w:lvl>
    <w:lvl w:ilvl="3" w:tplc="8A50B376" w:tentative="1">
      <w:start w:val="1"/>
      <w:numFmt w:val="bullet"/>
      <w:lvlText w:val=""/>
      <w:lvlJc w:val="left"/>
      <w:pPr>
        <w:ind w:left="2520" w:hanging="360"/>
      </w:pPr>
      <w:rPr>
        <w:rFonts w:ascii="Symbol" w:hAnsi="Symbol" w:hint="default"/>
      </w:rPr>
    </w:lvl>
    <w:lvl w:ilvl="4" w:tplc="4F6AFA94" w:tentative="1">
      <w:start w:val="1"/>
      <w:numFmt w:val="bullet"/>
      <w:lvlText w:val="o"/>
      <w:lvlJc w:val="left"/>
      <w:pPr>
        <w:ind w:left="3240" w:hanging="360"/>
      </w:pPr>
      <w:rPr>
        <w:rFonts w:ascii="Courier New" w:hAnsi="Courier New" w:hint="default"/>
      </w:rPr>
    </w:lvl>
    <w:lvl w:ilvl="5" w:tplc="81923F04" w:tentative="1">
      <w:start w:val="1"/>
      <w:numFmt w:val="bullet"/>
      <w:lvlText w:val=""/>
      <w:lvlJc w:val="left"/>
      <w:pPr>
        <w:ind w:left="3960" w:hanging="360"/>
      </w:pPr>
      <w:rPr>
        <w:rFonts w:ascii="Wingdings" w:hAnsi="Wingdings" w:hint="default"/>
      </w:rPr>
    </w:lvl>
    <w:lvl w:ilvl="6" w:tplc="D1EAA4BE" w:tentative="1">
      <w:start w:val="1"/>
      <w:numFmt w:val="bullet"/>
      <w:lvlText w:val=""/>
      <w:lvlJc w:val="left"/>
      <w:pPr>
        <w:ind w:left="4680" w:hanging="360"/>
      </w:pPr>
      <w:rPr>
        <w:rFonts w:ascii="Symbol" w:hAnsi="Symbol" w:hint="default"/>
      </w:rPr>
    </w:lvl>
    <w:lvl w:ilvl="7" w:tplc="945ADF36" w:tentative="1">
      <w:start w:val="1"/>
      <w:numFmt w:val="bullet"/>
      <w:lvlText w:val="o"/>
      <w:lvlJc w:val="left"/>
      <w:pPr>
        <w:ind w:left="5400" w:hanging="360"/>
      </w:pPr>
      <w:rPr>
        <w:rFonts w:ascii="Courier New" w:hAnsi="Courier New" w:hint="default"/>
      </w:rPr>
    </w:lvl>
    <w:lvl w:ilvl="8" w:tplc="9ACC0862" w:tentative="1">
      <w:start w:val="1"/>
      <w:numFmt w:val="bullet"/>
      <w:lvlText w:val=""/>
      <w:lvlJc w:val="left"/>
      <w:pPr>
        <w:ind w:left="6120" w:hanging="360"/>
      </w:pPr>
      <w:rPr>
        <w:rFonts w:ascii="Wingdings" w:hAnsi="Wingdings" w:hint="default"/>
      </w:rPr>
    </w:lvl>
  </w:abstractNum>
  <w:abstractNum w:abstractNumId="161" w15:restartNumberingAfterBreak="0">
    <w:nsid w:val="202C00A4"/>
    <w:multiLevelType w:val="multilevel"/>
    <w:tmpl w:val="6872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08B29A7"/>
    <w:multiLevelType w:val="multilevel"/>
    <w:tmpl w:val="517C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0910D63"/>
    <w:multiLevelType w:val="multilevel"/>
    <w:tmpl w:val="8E1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0A0457D"/>
    <w:multiLevelType w:val="multilevel"/>
    <w:tmpl w:val="3D8E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0C4329C"/>
    <w:multiLevelType w:val="multilevel"/>
    <w:tmpl w:val="96BE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11D18E0"/>
    <w:multiLevelType w:val="hybridMultilevel"/>
    <w:tmpl w:val="E350FEB0"/>
    <w:lvl w:ilvl="0" w:tplc="7C869674">
      <w:start w:val="1"/>
      <w:numFmt w:val="bullet"/>
      <w:lvlText w:val=""/>
      <w:lvlJc w:val="left"/>
      <w:pPr>
        <w:ind w:left="720" w:hanging="360"/>
      </w:pPr>
      <w:rPr>
        <w:rFonts w:ascii="Symbol" w:hAnsi="Symbol" w:hint="default"/>
      </w:rPr>
    </w:lvl>
    <w:lvl w:ilvl="1" w:tplc="5B6CB338" w:tentative="1">
      <w:start w:val="1"/>
      <w:numFmt w:val="bullet"/>
      <w:lvlText w:val="o"/>
      <w:lvlJc w:val="left"/>
      <w:pPr>
        <w:ind w:left="1440" w:hanging="360"/>
      </w:pPr>
      <w:rPr>
        <w:rFonts w:ascii="Courier New" w:hAnsi="Courier New" w:hint="default"/>
      </w:rPr>
    </w:lvl>
    <w:lvl w:ilvl="2" w:tplc="02165162" w:tentative="1">
      <w:start w:val="1"/>
      <w:numFmt w:val="bullet"/>
      <w:lvlText w:val=""/>
      <w:lvlJc w:val="left"/>
      <w:pPr>
        <w:ind w:left="2160" w:hanging="360"/>
      </w:pPr>
      <w:rPr>
        <w:rFonts w:ascii="Wingdings" w:hAnsi="Wingdings" w:hint="default"/>
      </w:rPr>
    </w:lvl>
    <w:lvl w:ilvl="3" w:tplc="A4EC9ED2" w:tentative="1">
      <w:start w:val="1"/>
      <w:numFmt w:val="bullet"/>
      <w:lvlText w:val=""/>
      <w:lvlJc w:val="left"/>
      <w:pPr>
        <w:ind w:left="2880" w:hanging="360"/>
      </w:pPr>
      <w:rPr>
        <w:rFonts w:ascii="Symbol" w:hAnsi="Symbol" w:hint="default"/>
      </w:rPr>
    </w:lvl>
    <w:lvl w:ilvl="4" w:tplc="56182C8A" w:tentative="1">
      <w:start w:val="1"/>
      <w:numFmt w:val="bullet"/>
      <w:lvlText w:val="o"/>
      <w:lvlJc w:val="left"/>
      <w:pPr>
        <w:ind w:left="3600" w:hanging="360"/>
      </w:pPr>
      <w:rPr>
        <w:rFonts w:ascii="Courier New" w:hAnsi="Courier New" w:hint="default"/>
      </w:rPr>
    </w:lvl>
    <w:lvl w:ilvl="5" w:tplc="25904F88" w:tentative="1">
      <w:start w:val="1"/>
      <w:numFmt w:val="bullet"/>
      <w:lvlText w:val=""/>
      <w:lvlJc w:val="left"/>
      <w:pPr>
        <w:ind w:left="4320" w:hanging="360"/>
      </w:pPr>
      <w:rPr>
        <w:rFonts w:ascii="Wingdings" w:hAnsi="Wingdings" w:hint="default"/>
      </w:rPr>
    </w:lvl>
    <w:lvl w:ilvl="6" w:tplc="9B46445A" w:tentative="1">
      <w:start w:val="1"/>
      <w:numFmt w:val="bullet"/>
      <w:lvlText w:val=""/>
      <w:lvlJc w:val="left"/>
      <w:pPr>
        <w:ind w:left="5040" w:hanging="360"/>
      </w:pPr>
      <w:rPr>
        <w:rFonts w:ascii="Symbol" w:hAnsi="Symbol" w:hint="default"/>
      </w:rPr>
    </w:lvl>
    <w:lvl w:ilvl="7" w:tplc="AD307B84" w:tentative="1">
      <w:start w:val="1"/>
      <w:numFmt w:val="bullet"/>
      <w:lvlText w:val="o"/>
      <w:lvlJc w:val="left"/>
      <w:pPr>
        <w:ind w:left="5760" w:hanging="360"/>
      </w:pPr>
      <w:rPr>
        <w:rFonts w:ascii="Courier New" w:hAnsi="Courier New" w:hint="default"/>
      </w:rPr>
    </w:lvl>
    <w:lvl w:ilvl="8" w:tplc="F56A8892" w:tentative="1">
      <w:start w:val="1"/>
      <w:numFmt w:val="bullet"/>
      <w:lvlText w:val=""/>
      <w:lvlJc w:val="left"/>
      <w:pPr>
        <w:ind w:left="6480" w:hanging="360"/>
      </w:pPr>
      <w:rPr>
        <w:rFonts w:ascii="Wingdings" w:hAnsi="Wingdings" w:hint="default"/>
      </w:rPr>
    </w:lvl>
  </w:abstractNum>
  <w:abstractNum w:abstractNumId="167" w15:restartNumberingAfterBreak="0">
    <w:nsid w:val="21223F42"/>
    <w:multiLevelType w:val="multilevel"/>
    <w:tmpl w:val="70C0EC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1230430"/>
    <w:multiLevelType w:val="multilevel"/>
    <w:tmpl w:val="A43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157444E"/>
    <w:multiLevelType w:val="hybridMultilevel"/>
    <w:tmpl w:val="7996CD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216E1EFC"/>
    <w:multiLevelType w:val="multilevel"/>
    <w:tmpl w:val="D8B0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17A7085"/>
    <w:multiLevelType w:val="hybridMultilevel"/>
    <w:tmpl w:val="E0B085DA"/>
    <w:lvl w:ilvl="0" w:tplc="0AD6F916">
      <w:start w:val="1"/>
      <w:numFmt w:val="bullet"/>
      <w:lvlText w:val=""/>
      <w:lvlJc w:val="left"/>
      <w:pPr>
        <w:ind w:left="360" w:hanging="360"/>
      </w:pPr>
      <w:rPr>
        <w:rFonts w:ascii="Symbol" w:hAnsi="Symbol" w:hint="default"/>
        <w:color w:val="auto"/>
      </w:rPr>
    </w:lvl>
    <w:lvl w:ilvl="1" w:tplc="75B044EE" w:tentative="1">
      <w:start w:val="1"/>
      <w:numFmt w:val="bullet"/>
      <w:lvlText w:val="o"/>
      <w:lvlJc w:val="left"/>
      <w:pPr>
        <w:ind w:left="1080" w:hanging="360"/>
      </w:pPr>
      <w:rPr>
        <w:rFonts w:ascii="Courier New" w:hAnsi="Courier New" w:hint="default"/>
      </w:rPr>
    </w:lvl>
    <w:lvl w:ilvl="2" w:tplc="B55890DA" w:tentative="1">
      <w:start w:val="1"/>
      <w:numFmt w:val="bullet"/>
      <w:lvlText w:val=""/>
      <w:lvlJc w:val="left"/>
      <w:pPr>
        <w:ind w:left="1800" w:hanging="360"/>
      </w:pPr>
      <w:rPr>
        <w:rFonts w:ascii="Wingdings" w:hAnsi="Wingdings" w:hint="default"/>
      </w:rPr>
    </w:lvl>
    <w:lvl w:ilvl="3" w:tplc="5DF01398" w:tentative="1">
      <w:start w:val="1"/>
      <w:numFmt w:val="bullet"/>
      <w:lvlText w:val=""/>
      <w:lvlJc w:val="left"/>
      <w:pPr>
        <w:ind w:left="2520" w:hanging="360"/>
      </w:pPr>
      <w:rPr>
        <w:rFonts w:ascii="Symbol" w:hAnsi="Symbol" w:hint="default"/>
      </w:rPr>
    </w:lvl>
    <w:lvl w:ilvl="4" w:tplc="306017D2" w:tentative="1">
      <w:start w:val="1"/>
      <w:numFmt w:val="bullet"/>
      <w:lvlText w:val="o"/>
      <w:lvlJc w:val="left"/>
      <w:pPr>
        <w:ind w:left="3240" w:hanging="360"/>
      </w:pPr>
      <w:rPr>
        <w:rFonts w:ascii="Courier New" w:hAnsi="Courier New" w:hint="default"/>
      </w:rPr>
    </w:lvl>
    <w:lvl w:ilvl="5" w:tplc="49CA4EF8" w:tentative="1">
      <w:start w:val="1"/>
      <w:numFmt w:val="bullet"/>
      <w:lvlText w:val=""/>
      <w:lvlJc w:val="left"/>
      <w:pPr>
        <w:ind w:left="3960" w:hanging="360"/>
      </w:pPr>
      <w:rPr>
        <w:rFonts w:ascii="Wingdings" w:hAnsi="Wingdings" w:hint="default"/>
      </w:rPr>
    </w:lvl>
    <w:lvl w:ilvl="6" w:tplc="D07E282A" w:tentative="1">
      <w:start w:val="1"/>
      <w:numFmt w:val="bullet"/>
      <w:lvlText w:val=""/>
      <w:lvlJc w:val="left"/>
      <w:pPr>
        <w:ind w:left="4680" w:hanging="360"/>
      </w:pPr>
      <w:rPr>
        <w:rFonts w:ascii="Symbol" w:hAnsi="Symbol" w:hint="default"/>
      </w:rPr>
    </w:lvl>
    <w:lvl w:ilvl="7" w:tplc="3B5A5520" w:tentative="1">
      <w:start w:val="1"/>
      <w:numFmt w:val="bullet"/>
      <w:lvlText w:val="o"/>
      <w:lvlJc w:val="left"/>
      <w:pPr>
        <w:ind w:left="5400" w:hanging="360"/>
      </w:pPr>
      <w:rPr>
        <w:rFonts w:ascii="Courier New" w:hAnsi="Courier New" w:hint="default"/>
      </w:rPr>
    </w:lvl>
    <w:lvl w:ilvl="8" w:tplc="3DF40490" w:tentative="1">
      <w:start w:val="1"/>
      <w:numFmt w:val="bullet"/>
      <w:lvlText w:val=""/>
      <w:lvlJc w:val="left"/>
      <w:pPr>
        <w:ind w:left="6120" w:hanging="360"/>
      </w:pPr>
      <w:rPr>
        <w:rFonts w:ascii="Wingdings" w:hAnsi="Wingdings" w:hint="default"/>
      </w:rPr>
    </w:lvl>
  </w:abstractNum>
  <w:abstractNum w:abstractNumId="172" w15:restartNumberingAfterBreak="0">
    <w:nsid w:val="21DC20F3"/>
    <w:multiLevelType w:val="multilevel"/>
    <w:tmpl w:val="656E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2304801"/>
    <w:multiLevelType w:val="hybridMultilevel"/>
    <w:tmpl w:val="0C4E7E46"/>
    <w:lvl w:ilvl="0" w:tplc="F1AE4E72">
      <w:start w:val="1"/>
      <w:numFmt w:val="bullet"/>
      <w:lvlText w:val=""/>
      <w:lvlJc w:val="left"/>
      <w:pPr>
        <w:ind w:left="720" w:hanging="360"/>
      </w:pPr>
      <w:rPr>
        <w:rFonts w:ascii="Symbol" w:hAnsi="Symbol" w:hint="default"/>
      </w:rPr>
    </w:lvl>
    <w:lvl w:ilvl="1" w:tplc="FD16E1E2" w:tentative="1">
      <w:start w:val="1"/>
      <w:numFmt w:val="bullet"/>
      <w:lvlText w:val="o"/>
      <w:lvlJc w:val="left"/>
      <w:pPr>
        <w:ind w:left="1440" w:hanging="360"/>
      </w:pPr>
      <w:rPr>
        <w:rFonts w:ascii="Courier New" w:hAnsi="Courier New" w:hint="default"/>
      </w:rPr>
    </w:lvl>
    <w:lvl w:ilvl="2" w:tplc="21B8D2DC" w:tentative="1">
      <w:start w:val="1"/>
      <w:numFmt w:val="bullet"/>
      <w:lvlText w:val=""/>
      <w:lvlJc w:val="left"/>
      <w:pPr>
        <w:ind w:left="2160" w:hanging="360"/>
      </w:pPr>
      <w:rPr>
        <w:rFonts w:ascii="Wingdings" w:hAnsi="Wingdings" w:hint="default"/>
      </w:rPr>
    </w:lvl>
    <w:lvl w:ilvl="3" w:tplc="D5384406" w:tentative="1">
      <w:start w:val="1"/>
      <w:numFmt w:val="bullet"/>
      <w:lvlText w:val=""/>
      <w:lvlJc w:val="left"/>
      <w:pPr>
        <w:ind w:left="2880" w:hanging="360"/>
      </w:pPr>
      <w:rPr>
        <w:rFonts w:ascii="Symbol" w:hAnsi="Symbol" w:hint="default"/>
      </w:rPr>
    </w:lvl>
    <w:lvl w:ilvl="4" w:tplc="068683FE" w:tentative="1">
      <w:start w:val="1"/>
      <w:numFmt w:val="bullet"/>
      <w:lvlText w:val="o"/>
      <w:lvlJc w:val="left"/>
      <w:pPr>
        <w:ind w:left="3600" w:hanging="360"/>
      </w:pPr>
      <w:rPr>
        <w:rFonts w:ascii="Courier New" w:hAnsi="Courier New" w:hint="default"/>
      </w:rPr>
    </w:lvl>
    <w:lvl w:ilvl="5" w:tplc="0F407518" w:tentative="1">
      <w:start w:val="1"/>
      <w:numFmt w:val="bullet"/>
      <w:lvlText w:val=""/>
      <w:lvlJc w:val="left"/>
      <w:pPr>
        <w:ind w:left="4320" w:hanging="360"/>
      </w:pPr>
      <w:rPr>
        <w:rFonts w:ascii="Wingdings" w:hAnsi="Wingdings" w:hint="default"/>
      </w:rPr>
    </w:lvl>
    <w:lvl w:ilvl="6" w:tplc="BA3AE48C" w:tentative="1">
      <w:start w:val="1"/>
      <w:numFmt w:val="bullet"/>
      <w:lvlText w:val=""/>
      <w:lvlJc w:val="left"/>
      <w:pPr>
        <w:ind w:left="5040" w:hanging="360"/>
      </w:pPr>
      <w:rPr>
        <w:rFonts w:ascii="Symbol" w:hAnsi="Symbol" w:hint="default"/>
      </w:rPr>
    </w:lvl>
    <w:lvl w:ilvl="7" w:tplc="82DCA764" w:tentative="1">
      <w:start w:val="1"/>
      <w:numFmt w:val="bullet"/>
      <w:lvlText w:val="o"/>
      <w:lvlJc w:val="left"/>
      <w:pPr>
        <w:ind w:left="5760" w:hanging="360"/>
      </w:pPr>
      <w:rPr>
        <w:rFonts w:ascii="Courier New" w:hAnsi="Courier New" w:hint="default"/>
      </w:rPr>
    </w:lvl>
    <w:lvl w:ilvl="8" w:tplc="2BEA369A" w:tentative="1">
      <w:start w:val="1"/>
      <w:numFmt w:val="bullet"/>
      <w:lvlText w:val=""/>
      <w:lvlJc w:val="left"/>
      <w:pPr>
        <w:ind w:left="6480" w:hanging="360"/>
      </w:pPr>
      <w:rPr>
        <w:rFonts w:ascii="Wingdings" w:hAnsi="Wingdings" w:hint="default"/>
      </w:rPr>
    </w:lvl>
  </w:abstractNum>
  <w:abstractNum w:abstractNumId="174" w15:restartNumberingAfterBreak="0">
    <w:nsid w:val="22683766"/>
    <w:multiLevelType w:val="hybridMultilevel"/>
    <w:tmpl w:val="934895CA"/>
    <w:lvl w:ilvl="0" w:tplc="F00A6DDE">
      <w:start w:val="1"/>
      <w:numFmt w:val="bullet"/>
      <w:lvlText w:val=""/>
      <w:lvlJc w:val="left"/>
      <w:pPr>
        <w:ind w:left="1800" w:hanging="360"/>
      </w:pPr>
      <w:rPr>
        <w:rFonts w:ascii="Symbol" w:hAnsi="Symbol" w:hint="default"/>
        <w:color w:val="auto"/>
      </w:rPr>
    </w:lvl>
    <w:lvl w:ilvl="1" w:tplc="7C2E8096">
      <w:start w:val="1"/>
      <w:numFmt w:val="bullet"/>
      <w:lvlText w:val="o"/>
      <w:lvlJc w:val="left"/>
      <w:pPr>
        <w:ind w:left="2520" w:hanging="360"/>
      </w:pPr>
      <w:rPr>
        <w:rFonts w:ascii="Courier New" w:hAnsi="Courier New" w:hint="default"/>
      </w:rPr>
    </w:lvl>
    <w:lvl w:ilvl="2" w:tplc="675CBE6C">
      <w:start w:val="1"/>
      <w:numFmt w:val="bullet"/>
      <w:lvlText w:val=""/>
      <w:lvlJc w:val="left"/>
      <w:pPr>
        <w:ind w:left="3240" w:hanging="360"/>
      </w:pPr>
      <w:rPr>
        <w:rFonts w:ascii="Wingdings" w:hAnsi="Wingdings" w:hint="default"/>
      </w:rPr>
    </w:lvl>
    <w:lvl w:ilvl="3" w:tplc="A4BE7B56" w:tentative="1">
      <w:start w:val="1"/>
      <w:numFmt w:val="bullet"/>
      <w:lvlText w:val=""/>
      <w:lvlJc w:val="left"/>
      <w:pPr>
        <w:ind w:left="3960" w:hanging="360"/>
      </w:pPr>
      <w:rPr>
        <w:rFonts w:ascii="Symbol" w:hAnsi="Symbol" w:hint="default"/>
      </w:rPr>
    </w:lvl>
    <w:lvl w:ilvl="4" w:tplc="00B69D78" w:tentative="1">
      <w:start w:val="1"/>
      <w:numFmt w:val="bullet"/>
      <w:lvlText w:val="o"/>
      <w:lvlJc w:val="left"/>
      <w:pPr>
        <w:ind w:left="4680" w:hanging="360"/>
      </w:pPr>
      <w:rPr>
        <w:rFonts w:ascii="Courier New" w:hAnsi="Courier New" w:hint="default"/>
      </w:rPr>
    </w:lvl>
    <w:lvl w:ilvl="5" w:tplc="B242343E" w:tentative="1">
      <w:start w:val="1"/>
      <w:numFmt w:val="bullet"/>
      <w:lvlText w:val=""/>
      <w:lvlJc w:val="left"/>
      <w:pPr>
        <w:ind w:left="5400" w:hanging="360"/>
      </w:pPr>
      <w:rPr>
        <w:rFonts w:ascii="Wingdings" w:hAnsi="Wingdings" w:hint="default"/>
      </w:rPr>
    </w:lvl>
    <w:lvl w:ilvl="6" w:tplc="B2608606" w:tentative="1">
      <w:start w:val="1"/>
      <w:numFmt w:val="bullet"/>
      <w:lvlText w:val=""/>
      <w:lvlJc w:val="left"/>
      <w:pPr>
        <w:ind w:left="6120" w:hanging="360"/>
      </w:pPr>
      <w:rPr>
        <w:rFonts w:ascii="Symbol" w:hAnsi="Symbol" w:hint="default"/>
      </w:rPr>
    </w:lvl>
    <w:lvl w:ilvl="7" w:tplc="2A1CEABC" w:tentative="1">
      <w:start w:val="1"/>
      <w:numFmt w:val="bullet"/>
      <w:lvlText w:val="o"/>
      <w:lvlJc w:val="left"/>
      <w:pPr>
        <w:ind w:left="6840" w:hanging="360"/>
      </w:pPr>
      <w:rPr>
        <w:rFonts w:ascii="Courier New" w:hAnsi="Courier New" w:hint="default"/>
      </w:rPr>
    </w:lvl>
    <w:lvl w:ilvl="8" w:tplc="B91AA862" w:tentative="1">
      <w:start w:val="1"/>
      <w:numFmt w:val="bullet"/>
      <w:lvlText w:val=""/>
      <w:lvlJc w:val="left"/>
      <w:pPr>
        <w:ind w:left="7560" w:hanging="360"/>
      </w:pPr>
      <w:rPr>
        <w:rFonts w:ascii="Wingdings" w:hAnsi="Wingdings" w:hint="default"/>
      </w:rPr>
    </w:lvl>
  </w:abstractNum>
  <w:abstractNum w:abstractNumId="175" w15:restartNumberingAfterBreak="0">
    <w:nsid w:val="2279242E"/>
    <w:multiLevelType w:val="multilevel"/>
    <w:tmpl w:val="8678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27DD2AB"/>
    <w:multiLevelType w:val="hybridMultilevel"/>
    <w:tmpl w:val="0CB26ADA"/>
    <w:lvl w:ilvl="0" w:tplc="CC461928">
      <w:start w:val="1"/>
      <w:numFmt w:val="bullet"/>
      <w:lvlText w:val=""/>
      <w:lvlJc w:val="left"/>
      <w:pPr>
        <w:ind w:left="720" w:hanging="360"/>
      </w:pPr>
      <w:rPr>
        <w:rFonts w:ascii="Symbol" w:hAnsi="Symbol" w:hint="default"/>
      </w:rPr>
    </w:lvl>
    <w:lvl w:ilvl="1" w:tplc="8D567D4C">
      <w:start w:val="1"/>
      <w:numFmt w:val="bullet"/>
      <w:lvlText w:val="o"/>
      <w:lvlJc w:val="left"/>
      <w:pPr>
        <w:ind w:left="1440" w:hanging="360"/>
      </w:pPr>
      <w:rPr>
        <w:rFonts w:ascii="Courier New" w:hAnsi="Courier New" w:hint="default"/>
      </w:rPr>
    </w:lvl>
    <w:lvl w:ilvl="2" w:tplc="52F64012">
      <w:start w:val="1"/>
      <w:numFmt w:val="bullet"/>
      <w:lvlText w:val=""/>
      <w:lvlJc w:val="left"/>
      <w:pPr>
        <w:ind w:left="2160" w:hanging="360"/>
      </w:pPr>
      <w:rPr>
        <w:rFonts w:ascii="Wingdings" w:hAnsi="Wingdings" w:hint="default"/>
      </w:rPr>
    </w:lvl>
    <w:lvl w:ilvl="3" w:tplc="565A1AD0">
      <w:start w:val="1"/>
      <w:numFmt w:val="bullet"/>
      <w:lvlText w:val=""/>
      <w:lvlJc w:val="left"/>
      <w:pPr>
        <w:ind w:left="2880" w:hanging="360"/>
      </w:pPr>
      <w:rPr>
        <w:rFonts w:ascii="Symbol" w:hAnsi="Symbol" w:hint="default"/>
      </w:rPr>
    </w:lvl>
    <w:lvl w:ilvl="4" w:tplc="E662D694">
      <w:start w:val="1"/>
      <w:numFmt w:val="bullet"/>
      <w:lvlText w:val="o"/>
      <w:lvlJc w:val="left"/>
      <w:pPr>
        <w:ind w:left="3600" w:hanging="360"/>
      </w:pPr>
      <w:rPr>
        <w:rFonts w:ascii="Courier New" w:hAnsi="Courier New" w:hint="default"/>
      </w:rPr>
    </w:lvl>
    <w:lvl w:ilvl="5" w:tplc="70CA6FD6">
      <w:start w:val="1"/>
      <w:numFmt w:val="bullet"/>
      <w:lvlText w:val=""/>
      <w:lvlJc w:val="left"/>
      <w:pPr>
        <w:ind w:left="4320" w:hanging="360"/>
      </w:pPr>
      <w:rPr>
        <w:rFonts w:ascii="Wingdings" w:hAnsi="Wingdings" w:hint="default"/>
      </w:rPr>
    </w:lvl>
    <w:lvl w:ilvl="6" w:tplc="D9CE6D62">
      <w:start w:val="1"/>
      <w:numFmt w:val="bullet"/>
      <w:lvlText w:val=""/>
      <w:lvlJc w:val="left"/>
      <w:pPr>
        <w:ind w:left="5040" w:hanging="360"/>
      </w:pPr>
      <w:rPr>
        <w:rFonts w:ascii="Symbol" w:hAnsi="Symbol" w:hint="default"/>
      </w:rPr>
    </w:lvl>
    <w:lvl w:ilvl="7" w:tplc="B70E3B48">
      <w:start w:val="1"/>
      <w:numFmt w:val="bullet"/>
      <w:lvlText w:val="o"/>
      <w:lvlJc w:val="left"/>
      <w:pPr>
        <w:ind w:left="5760" w:hanging="360"/>
      </w:pPr>
      <w:rPr>
        <w:rFonts w:ascii="Courier New" w:hAnsi="Courier New" w:hint="default"/>
      </w:rPr>
    </w:lvl>
    <w:lvl w:ilvl="8" w:tplc="B93E2DB4">
      <w:start w:val="1"/>
      <w:numFmt w:val="bullet"/>
      <w:lvlText w:val=""/>
      <w:lvlJc w:val="left"/>
      <w:pPr>
        <w:ind w:left="6480" w:hanging="360"/>
      </w:pPr>
      <w:rPr>
        <w:rFonts w:ascii="Wingdings" w:hAnsi="Wingdings" w:hint="default"/>
      </w:rPr>
    </w:lvl>
  </w:abstractNum>
  <w:abstractNum w:abstractNumId="177" w15:restartNumberingAfterBreak="0">
    <w:nsid w:val="2281653B"/>
    <w:multiLevelType w:val="hybridMultilevel"/>
    <w:tmpl w:val="30BE2DF4"/>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229B8DF7"/>
    <w:multiLevelType w:val="multilevel"/>
    <w:tmpl w:val="BF360D96"/>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22D8624B"/>
    <w:multiLevelType w:val="hybridMultilevel"/>
    <w:tmpl w:val="6B60CDA0"/>
    <w:lvl w:ilvl="0" w:tplc="0F0C993E">
      <w:start w:val="1"/>
      <w:numFmt w:val="bullet"/>
      <w:lvlText w:val=""/>
      <w:lvlJc w:val="left"/>
      <w:pPr>
        <w:ind w:left="720" w:hanging="360"/>
      </w:pPr>
      <w:rPr>
        <w:rFonts w:ascii="Symbol" w:hAnsi="Symbol" w:hint="default"/>
      </w:rPr>
    </w:lvl>
    <w:lvl w:ilvl="1" w:tplc="77267818">
      <w:start w:val="1"/>
      <w:numFmt w:val="bullet"/>
      <w:lvlText w:val="o"/>
      <w:lvlJc w:val="left"/>
      <w:pPr>
        <w:ind w:left="1440" w:hanging="360"/>
      </w:pPr>
      <w:rPr>
        <w:rFonts w:ascii="Courier New" w:hAnsi="Courier New" w:hint="default"/>
      </w:rPr>
    </w:lvl>
    <w:lvl w:ilvl="2" w:tplc="8B06EB7A">
      <w:start w:val="1"/>
      <w:numFmt w:val="bullet"/>
      <w:lvlText w:val=""/>
      <w:lvlJc w:val="left"/>
      <w:pPr>
        <w:ind w:left="2160" w:hanging="360"/>
      </w:pPr>
      <w:rPr>
        <w:rFonts w:ascii="Wingdings" w:hAnsi="Wingdings" w:hint="default"/>
      </w:rPr>
    </w:lvl>
    <w:lvl w:ilvl="3" w:tplc="5DA6103A" w:tentative="1">
      <w:start w:val="1"/>
      <w:numFmt w:val="bullet"/>
      <w:lvlText w:val=""/>
      <w:lvlJc w:val="left"/>
      <w:pPr>
        <w:ind w:left="2880" w:hanging="360"/>
      </w:pPr>
      <w:rPr>
        <w:rFonts w:ascii="Symbol" w:hAnsi="Symbol" w:hint="default"/>
      </w:rPr>
    </w:lvl>
    <w:lvl w:ilvl="4" w:tplc="E7600CD0" w:tentative="1">
      <w:start w:val="1"/>
      <w:numFmt w:val="bullet"/>
      <w:lvlText w:val="o"/>
      <w:lvlJc w:val="left"/>
      <w:pPr>
        <w:ind w:left="3600" w:hanging="360"/>
      </w:pPr>
      <w:rPr>
        <w:rFonts w:ascii="Courier New" w:hAnsi="Courier New" w:hint="default"/>
      </w:rPr>
    </w:lvl>
    <w:lvl w:ilvl="5" w:tplc="F89E59C8" w:tentative="1">
      <w:start w:val="1"/>
      <w:numFmt w:val="bullet"/>
      <w:lvlText w:val=""/>
      <w:lvlJc w:val="left"/>
      <w:pPr>
        <w:ind w:left="4320" w:hanging="360"/>
      </w:pPr>
      <w:rPr>
        <w:rFonts w:ascii="Wingdings" w:hAnsi="Wingdings" w:hint="default"/>
      </w:rPr>
    </w:lvl>
    <w:lvl w:ilvl="6" w:tplc="A1002798" w:tentative="1">
      <w:start w:val="1"/>
      <w:numFmt w:val="bullet"/>
      <w:lvlText w:val=""/>
      <w:lvlJc w:val="left"/>
      <w:pPr>
        <w:ind w:left="5040" w:hanging="360"/>
      </w:pPr>
      <w:rPr>
        <w:rFonts w:ascii="Symbol" w:hAnsi="Symbol" w:hint="default"/>
      </w:rPr>
    </w:lvl>
    <w:lvl w:ilvl="7" w:tplc="55B8EF04" w:tentative="1">
      <w:start w:val="1"/>
      <w:numFmt w:val="bullet"/>
      <w:lvlText w:val="o"/>
      <w:lvlJc w:val="left"/>
      <w:pPr>
        <w:ind w:left="5760" w:hanging="360"/>
      </w:pPr>
      <w:rPr>
        <w:rFonts w:ascii="Courier New" w:hAnsi="Courier New" w:hint="default"/>
      </w:rPr>
    </w:lvl>
    <w:lvl w:ilvl="8" w:tplc="F31E7AA6" w:tentative="1">
      <w:start w:val="1"/>
      <w:numFmt w:val="bullet"/>
      <w:lvlText w:val=""/>
      <w:lvlJc w:val="left"/>
      <w:pPr>
        <w:ind w:left="6480" w:hanging="360"/>
      </w:pPr>
      <w:rPr>
        <w:rFonts w:ascii="Wingdings" w:hAnsi="Wingdings" w:hint="default"/>
      </w:rPr>
    </w:lvl>
  </w:abstractNum>
  <w:abstractNum w:abstractNumId="180" w15:restartNumberingAfterBreak="0">
    <w:nsid w:val="23180CBA"/>
    <w:multiLevelType w:val="multilevel"/>
    <w:tmpl w:val="ED0C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3343646"/>
    <w:multiLevelType w:val="hybridMultilevel"/>
    <w:tmpl w:val="A1F00178"/>
    <w:lvl w:ilvl="0" w:tplc="5166313A">
      <w:start w:val="1"/>
      <w:numFmt w:val="bullet"/>
      <w:lvlText w:val=""/>
      <w:lvlJc w:val="left"/>
      <w:pPr>
        <w:ind w:left="720" w:hanging="360"/>
      </w:pPr>
      <w:rPr>
        <w:rFonts w:ascii="Symbol" w:hAnsi="Symbol" w:hint="default"/>
      </w:rPr>
    </w:lvl>
    <w:lvl w:ilvl="1" w:tplc="DE2E1884" w:tentative="1">
      <w:start w:val="1"/>
      <w:numFmt w:val="bullet"/>
      <w:lvlText w:val="o"/>
      <w:lvlJc w:val="left"/>
      <w:pPr>
        <w:ind w:left="1440" w:hanging="360"/>
      </w:pPr>
      <w:rPr>
        <w:rFonts w:ascii="Courier New" w:hAnsi="Courier New" w:hint="default"/>
      </w:rPr>
    </w:lvl>
    <w:lvl w:ilvl="2" w:tplc="E32A5E00" w:tentative="1">
      <w:start w:val="1"/>
      <w:numFmt w:val="bullet"/>
      <w:lvlText w:val=""/>
      <w:lvlJc w:val="left"/>
      <w:pPr>
        <w:ind w:left="2160" w:hanging="360"/>
      </w:pPr>
      <w:rPr>
        <w:rFonts w:ascii="Wingdings" w:hAnsi="Wingdings" w:hint="default"/>
      </w:rPr>
    </w:lvl>
    <w:lvl w:ilvl="3" w:tplc="90384016" w:tentative="1">
      <w:start w:val="1"/>
      <w:numFmt w:val="bullet"/>
      <w:lvlText w:val=""/>
      <w:lvlJc w:val="left"/>
      <w:pPr>
        <w:ind w:left="2880" w:hanging="360"/>
      </w:pPr>
      <w:rPr>
        <w:rFonts w:ascii="Symbol" w:hAnsi="Symbol" w:hint="default"/>
      </w:rPr>
    </w:lvl>
    <w:lvl w:ilvl="4" w:tplc="EDEE8AA0" w:tentative="1">
      <w:start w:val="1"/>
      <w:numFmt w:val="bullet"/>
      <w:lvlText w:val="o"/>
      <w:lvlJc w:val="left"/>
      <w:pPr>
        <w:ind w:left="3600" w:hanging="360"/>
      </w:pPr>
      <w:rPr>
        <w:rFonts w:ascii="Courier New" w:hAnsi="Courier New" w:hint="default"/>
      </w:rPr>
    </w:lvl>
    <w:lvl w:ilvl="5" w:tplc="C85AAB4E" w:tentative="1">
      <w:start w:val="1"/>
      <w:numFmt w:val="bullet"/>
      <w:lvlText w:val=""/>
      <w:lvlJc w:val="left"/>
      <w:pPr>
        <w:ind w:left="4320" w:hanging="360"/>
      </w:pPr>
      <w:rPr>
        <w:rFonts w:ascii="Wingdings" w:hAnsi="Wingdings" w:hint="default"/>
      </w:rPr>
    </w:lvl>
    <w:lvl w:ilvl="6" w:tplc="6586576C" w:tentative="1">
      <w:start w:val="1"/>
      <w:numFmt w:val="bullet"/>
      <w:lvlText w:val=""/>
      <w:lvlJc w:val="left"/>
      <w:pPr>
        <w:ind w:left="5040" w:hanging="360"/>
      </w:pPr>
      <w:rPr>
        <w:rFonts w:ascii="Symbol" w:hAnsi="Symbol" w:hint="default"/>
      </w:rPr>
    </w:lvl>
    <w:lvl w:ilvl="7" w:tplc="3C8C59A6" w:tentative="1">
      <w:start w:val="1"/>
      <w:numFmt w:val="bullet"/>
      <w:lvlText w:val="o"/>
      <w:lvlJc w:val="left"/>
      <w:pPr>
        <w:ind w:left="5760" w:hanging="360"/>
      </w:pPr>
      <w:rPr>
        <w:rFonts w:ascii="Courier New" w:hAnsi="Courier New" w:hint="default"/>
      </w:rPr>
    </w:lvl>
    <w:lvl w:ilvl="8" w:tplc="CDBE66D2" w:tentative="1">
      <w:start w:val="1"/>
      <w:numFmt w:val="bullet"/>
      <w:lvlText w:val=""/>
      <w:lvlJc w:val="left"/>
      <w:pPr>
        <w:ind w:left="6480" w:hanging="360"/>
      </w:pPr>
      <w:rPr>
        <w:rFonts w:ascii="Wingdings" w:hAnsi="Wingdings" w:hint="default"/>
      </w:rPr>
    </w:lvl>
  </w:abstractNum>
  <w:abstractNum w:abstractNumId="182" w15:restartNumberingAfterBreak="0">
    <w:nsid w:val="23924468"/>
    <w:multiLevelType w:val="multilevel"/>
    <w:tmpl w:val="3758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4394A14"/>
    <w:multiLevelType w:val="hybridMultilevel"/>
    <w:tmpl w:val="BD0E51AC"/>
    <w:lvl w:ilvl="0" w:tplc="1018A9B6">
      <w:start w:val="1"/>
      <w:numFmt w:val="bullet"/>
      <w:lvlText w:val=""/>
      <w:lvlJc w:val="left"/>
      <w:pPr>
        <w:ind w:left="720" w:hanging="360"/>
      </w:pPr>
      <w:rPr>
        <w:rFonts w:ascii="Symbol" w:hAnsi="Symbol" w:hint="default"/>
      </w:rPr>
    </w:lvl>
    <w:lvl w:ilvl="1" w:tplc="39DE6F82" w:tentative="1">
      <w:start w:val="1"/>
      <w:numFmt w:val="bullet"/>
      <w:lvlText w:val="o"/>
      <w:lvlJc w:val="left"/>
      <w:pPr>
        <w:ind w:left="1440" w:hanging="360"/>
      </w:pPr>
      <w:rPr>
        <w:rFonts w:ascii="Courier New" w:hAnsi="Courier New" w:hint="default"/>
      </w:rPr>
    </w:lvl>
    <w:lvl w:ilvl="2" w:tplc="5F360800" w:tentative="1">
      <w:start w:val="1"/>
      <w:numFmt w:val="bullet"/>
      <w:lvlText w:val=""/>
      <w:lvlJc w:val="left"/>
      <w:pPr>
        <w:ind w:left="2160" w:hanging="360"/>
      </w:pPr>
      <w:rPr>
        <w:rFonts w:ascii="Wingdings" w:hAnsi="Wingdings" w:hint="default"/>
      </w:rPr>
    </w:lvl>
    <w:lvl w:ilvl="3" w:tplc="43C06F78" w:tentative="1">
      <w:start w:val="1"/>
      <w:numFmt w:val="bullet"/>
      <w:lvlText w:val=""/>
      <w:lvlJc w:val="left"/>
      <w:pPr>
        <w:ind w:left="2880" w:hanging="360"/>
      </w:pPr>
      <w:rPr>
        <w:rFonts w:ascii="Symbol" w:hAnsi="Symbol" w:hint="default"/>
      </w:rPr>
    </w:lvl>
    <w:lvl w:ilvl="4" w:tplc="BFF6E65E" w:tentative="1">
      <w:start w:val="1"/>
      <w:numFmt w:val="bullet"/>
      <w:lvlText w:val="o"/>
      <w:lvlJc w:val="left"/>
      <w:pPr>
        <w:ind w:left="3600" w:hanging="360"/>
      </w:pPr>
      <w:rPr>
        <w:rFonts w:ascii="Courier New" w:hAnsi="Courier New" w:hint="default"/>
      </w:rPr>
    </w:lvl>
    <w:lvl w:ilvl="5" w:tplc="65E0DB82" w:tentative="1">
      <w:start w:val="1"/>
      <w:numFmt w:val="bullet"/>
      <w:lvlText w:val=""/>
      <w:lvlJc w:val="left"/>
      <w:pPr>
        <w:ind w:left="4320" w:hanging="360"/>
      </w:pPr>
      <w:rPr>
        <w:rFonts w:ascii="Wingdings" w:hAnsi="Wingdings" w:hint="default"/>
      </w:rPr>
    </w:lvl>
    <w:lvl w:ilvl="6" w:tplc="A1E413BE" w:tentative="1">
      <w:start w:val="1"/>
      <w:numFmt w:val="bullet"/>
      <w:lvlText w:val=""/>
      <w:lvlJc w:val="left"/>
      <w:pPr>
        <w:ind w:left="5040" w:hanging="360"/>
      </w:pPr>
      <w:rPr>
        <w:rFonts w:ascii="Symbol" w:hAnsi="Symbol" w:hint="default"/>
      </w:rPr>
    </w:lvl>
    <w:lvl w:ilvl="7" w:tplc="D35E460E" w:tentative="1">
      <w:start w:val="1"/>
      <w:numFmt w:val="bullet"/>
      <w:lvlText w:val="o"/>
      <w:lvlJc w:val="left"/>
      <w:pPr>
        <w:ind w:left="5760" w:hanging="360"/>
      </w:pPr>
      <w:rPr>
        <w:rFonts w:ascii="Courier New" w:hAnsi="Courier New" w:hint="default"/>
      </w:rPr>
    </w:lvl>
    <w:lvl w:ilvl="8" w:tplc="FA623730" w:tentative="1">
      <w:start w:val="1"/>
      <w:numFmt w:val="bullet"/>
      <w:lvlText w:val=""/>
      <w:lvlJc w:val="left"/>
      <w:pPr>
        <w:ind w:left="6480" w:hanging="360"/>
      </w:pPr>
      <w:rPr>
        <w:rFonts w:ascii="Wingdings" w:hAnsi="Wingdings" w:hint="default"/>
      </w:rPr>
    </w:lvl>
  </w:abstractNum>
  <w:abstractNum w:abstractNumId="184" w15:restartNumberingAfterBreak="0">
    <w:nsid w:val="243C5CE7"/>
    <w:multiLevelType w:val="multilevel"/>
    <w:tmpl w:val="8C12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45C1E6C"/>
    <w:multiLevelType w:val="multilevel"/>
    <w:tmpl w:val="93F46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4784161"/>
    <w:multiLevelType w:val="hybridMultilevel"/>
    <w:tmpl w:val="D9C8758E"/>
    <w:lvl w:ilvl="0" w:tplc="8998EEC2">
      <w:start w:val="1"/>
      <w:numFmt w:val="bullet"/>
      <w:lvlText w:val=""/>
      <w:lvlJc w:val="left"/>
      <w:pPr>
        <w:ind w:left="720" w:hanging="360"/>
      </w:pPr>
      <w:rPr>
        <w:rFonts w:ascii="Symbol" w:hAnsi="Symbol" w:hint="default"/>
      </w:rPr>
    </w:lvl>
    <w:lvl w:ilvl="1" w:tplc="3AFC26B8" w:tentative="1">
      <w:start w:val="1"/>
      <w:numFmt w:val="bullet"/>
      <w:lvlText w:val="o"/>
      <w:lvlJc w:val="left"/>
      <w:pPr>
        <w:ind w:left="1440" w:hanging="360"/>
      </w:pPr>
      <w:rPr>
        <w:rFonts w:ascii="Courier New" w:hAnsi="Courier New" w:hint="default"/>
      </w:rPr>
    </w:lvl>
    <w:lvl w:ilvl="2" w:tplc="DA741886" w:tentative="1">
      <w:start w:val="1"/>
      <w:numFmt w:val="bullet"/>
      <w:lvlText w:val=""/>
      <w:lvlJc w:val="left"/>
      <w:pPr>
        <w:ind w:left="2160" w:hanging="360"/>
      </w:pPr>
      <w:rPr>
        <w:rFonts w:ascii="Wingdings" w:hAnsi="Wingdings" w:hint="default"/>
      </w:rPr>
    </w:lvl>
    <w:lvl w:ilvl="3" w:tplc="34C0F440" w:tentative="1">
      <w:start w:val="1"/>
      <w:numFmt w:val="bullet"/>
      <w:lvlText w:val=""/>
      <w:lvlJc w:val="left"/>
      <w:pPr>
        <w:ind w:left="2880" w:hanging="360"/>
      </w:pPr>
      <w:rPr>
        <w:rFonts w:ascii="Symbol" w:hAnsi="Symbol" w:hint="default"/>
      </w:rPr>
    </w:lvl>
    <w:lvl w:ilvl="4" w:tplc="DFA8ADAE" w:tentative="1">
      <w:start w:val="1"/>
      <w:numFmt w:val="bullet"/>
      <w:lvlText w:val="o"/>
      <w:lvlJc w:val="left"/>
      <w:pPr>
        <w:ind w:left="3600" w:hanging="360"/>
      </w:pPr>
      <w:rPr>
        <w:rFonts w:ascii="Courier New" w:hAnsi="Courier New" w:hint="default"/>
      </w:rPr>
    </w:lvl>
    <w:lvl w:ilvl="5" w:tplc="7C8203D4" w:tentative="1">
      <w:start w:val="1"/>
      <w:numFmt w:val="bullet"/>
      <w:lvlText w:val=""/>
      <w:lvlJc w:val="left"/>
      <w:pPr>
        <w:ind w:left="4320" w:hanging="360"/>
      </w:pPr>
      <w:rPr>
        <w:rFonts w:ascii="Wingdings" w:hAnsi="Wingdings" w:hint="default"/>
      </w:rPr>
    </w:lvl>
    <w:lvl w:ilvl="6" w:tplc="58006A40" w:tentative="1">
      <w:start w:val="1"/>
      <w:numFmt w:val="bullet"/>
      <w:lvlText w:val=""/>
      <w:lvlJc w:val="left"/>
      <w:pPr>
        <w:ind w:left="5040" w:hanging="360"/>
      </w:pPr>
      <w:rPr>
        <w:rFonts w:ascii="Symbol" w:hAnsi="Symbol" w:hint="default"/>
      </w:rPr>
    </w:lvl>
    <w:lvl w:ilvl="7" w:tplc="744C221A" w:tentative="1">
      <w:start w:val="1"/>
      <w:numFmt w:val="bullet"/>
      <w:lvlText w:val="o"/>
      <w:lvlJc w:val="left"/>
      <w:pPr>
        <w:ind w:left="5760" w:hanging="360"/>
      </w:pPr>
      <w:rPr>
        <w:rFonts w:ascii="Courier New" w:hAnsi="Courier New" w:hint="default"/>
      </w:rPr>
    </w:lvl>
    <w:lvl w:ilvl="8" w:tplc="AEE632E4" w:tentative="1">
      <w:start w:val="1"/>
      <w:numFmt w:val="bullet"/>
      <w:lvlText w:val=""/>
      <w:lvlJc w:val="left"/>
      <w:pPr>
        <w:ind w:left="6480" w:hanging="360"/>
      </w:pPr>
      <w:rPr>
        <w:rFonts w:ascii="Wingdings" w:hAnsi="Wingdings" w:hint="default"/>
      </w:rPr>
    </w:lvl>
  </w:abstractNum>
  <w:abstractNum w:abstractNumId="187" w15:restartNumberingAfterBreak="0">
    <w:nsid w:val="24BE3DBB"/>
    <w:multiLevelType w:val="hybridMultilevel"/>
    <w:tmpl w:val="EB7474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24D9B392"/>
    <w:multiLevelType w:val="hybridMultilevel"/>
    <w:tmpl w:val="CFC8ACF8"/>
    <w:lvl w:ilvl="0" w:tplc="45100AA6">
      <w:start w:val="1"/>
      <w:numFmt w:val="bullet"/>
      <w:lvlText w:val="·"/>
      <w:lvlJc w:val="left"/>
      <w:pPr>
        <w:ind w:left="720" w:hanging="360"/>
      </w:pPr>
      <w:rPr>
        <w:rFonts w:ascii="Symbol" w:hAnsi="Symbol" w:hint="default"/>
      </w:rPr>
    </w:lvl>
    <w:lvl w:ilvl="1" w:tplc="EF902410">
      <w:start w:val="1"/>
      <w:numFmt w:val="bullet"/>
      <w:lvlText w:val="o"/>
      <w:lvlJc w:val="left"/>
      <w:pPr>
        <w:ind w:left="1440" w:hanging="360"/>
      </w:pPr>
      <w:rPr>
        <w:rFonts w:ascii="Courier New" w:hAnsi="Courier New" w:hint="default"/>
      </w:rPr>
    </w:lvl>
    <w:lvl w:ilvl="2" w:tplc="00FE8A48">
      <w:start w:val="1"/>
      <w:numFmt w:val="bullet"/>
      <w:lvlText w:val=""/>
      <w:lvlJc w:val="left"/>
      <w:pPr>
        <w:ind w:left="2160" w:hanging="360"/>
      </w:pPr>
      <w:rPr>
        <w:rFonts w:ascii="Wingdings" w:hAnsi="Wingdings" w:hint="default"/>
      </w:rPr>
    </w:lvl>
    <w:lvl w:ilvl="3" w:tplc="7EC272BE">
      <w:start w:val="1"/>
      <w:numFmt w:val="bullet"/>
      <w:lvlText w:val=""/>
      <w:lvlJc w:val="left"/>
      <w:pPr>
        <w:ind w:left="2880" w:hanging="360"/>
      </w:pPr>
      <w:rPr>
        <w:rFonts w:ascii="Symbol" w:hAnsi="Symbol" w:hint="default"/>
      </w:rPr>
    </w:lvl>
    <w:lvl w:ilvl="4" w:tplc="5BDA337C">
      <w:start w:val="1"/>
      <w:numFmt w:val="bullet"/>
      <w:lvlText w:val="o"/>
      <w:lvlJc w:val="left"/>
      <w:pPr>
        <w:ind w:left="3600" w:hanging="360"/>
      </w:pPr>
      <w:rPr>
        <w:rFonts w:ascii="Courier New" w:hAnsi="Courier New" w:hint="default"/>
      </w:rPr>
    </w:lvl>
    <w:lvl w:ilvl="5" w:tplc="8BB65BBE">
      <w:start w:val="1"/>
      <w:numFmt w:val="bullet"/>
      <w:lvlText w:val=""/>
      <w:lvlJc w:val="left"/>
      <w:pPr>
        <w:ind w:left="4320" w:hanging="360"/>
      </w:pPr>
      <w:rPr>
        <w:rFonts w:ascii="Wingdings" w:hAnsi="Wingdings" w:hint="default"/>
      </w:rPr>
    </w:lvl>
    <w:lvl w:ilvl="6" w:tplc="DF568B16">
      <w:start w:val="1"/>
      <w:numFmt w:val="bullet"/>
      <w:lvlText w:val=""/>
      <w:lvlJc w:val="left"/>
      <w:pPr>
        <w:ind w:left="5040" w:hanging="360"/>
      </w:pPr>
      <w:rPr>
        <w:rFonts w:ascii="Symbol" w:hAnsi="Symbol" w:hint="default"/>
      </w:rPr>
    </w:lvl>
    <w:lvl w:ilvl="7" w:tplc="3DBEEC76">
      <w:start w:val="1"/>
      <w:numFmt w:val="bullet"/>
      <w:lvlText w:val="o"/>
      <w:lvlJc w:val="left"/>
      <w:pPr>
        <w:ind w:left="5760" w:hanging="360"/>
      </w:pPr>
      <w:rPr>
        <w:rFonts w:ascii="Courier New" w:hAnsi="Courier New" w:hint="default"/>
      </w:rPr>
    </w:lvl>
    <w:lvl w:ilvl="8" w:tplc="2780D824">
      <w:start w:val="1"/>
      <w:numFmt w:val="bullet"/>
      <w:lvlText w:val=""/>
      <w:lvlJc w:val="left"/>
      <w:pPr>
        <w:ind w:left="6480" w:hanging="360"/>
      </w:pPr>
      <w:rPr>
        <w:rFonts w:ascii="Wingdings" w:hAnsi="Wingdings" w:hint="default"/>
      </w:rPr>
    </w:lvl>
  </w:abstractNum>
  <w:abstractNum w:abstractNumId="189" w15:restartNumberingAfterBreak="0">
    <w:nsid w:val="25C41C04"/>
    <w:multiLevelType w:val="hybridMultilevel"/>
    <w:tmpl w:val="ECE47ED2"/>
    <w:lvl w:ilvl="0" w:tplc="BD4EF23A">
      <w:start w:val="1"/>
      <w:numFmt w:val="bullet"/>
      <w:lvlText w:val=""/>
      <w:lvlJc w:val="left"/>
      <w:pPr>
        <w:ind w:left="720" w:hanging="360"/>
      </w:pPr>
      <w:rPr>
        <w:rFonts w:ascii="Symbol" w:hAnsi="Symbol" w:hint="default"/>
      </w:rPr>
    </w:lvl>
    <w:lvl w:ilvl="1" w:tplc="1EC48750" w:tentative="1">
      <w:start w:val="1"/>
      <w:numFmt w:val="bullet"/>
      <w:lvlText w:val="o"/>
      <w:lvlJc w:val="left"/>
      <w:pPr>
        <w:ind w:left="1800" w:hanging="360"/>
      </w:pPr>
      <w:rPr>
        <w:rFonts w:ascii="Courier New" w:hAnsi="Courier New" w:hint="default"/>
      </w:rPr>
    </w:lvl>
    <w:lvl w:ilvl="2" w:tplc="81E24FEA" w:tentative="1">
      <w:start w:val="1"/>
      <w:numFmt w:val="bullet"/>
      <w:lvlText w:val=""/>
      <w:lvlJc w:val="left"/>
      <w:pPr>
        <w:ind w:left="2520" w:hanging="360"/>
      </w:pPr>
      <w:rPr>
        <w:rFonts w:ascii="Wingdings" w:hAnsi="Wingdings" w:hint="default"/>
      </w:rPr>
    </w:lvl>
    <w:lvl w:ilvl="3" w:tplc="549EBAC6" w:tentative="1">
      <w:start w:val="1"/>
      <w:numFmt w:val="bullet"/>
      <w:lvlText w:val=""/>
      <w:lvlJc w:val="left"/>
      <w:pPr>
        <w:ind w:left="3240" w:hanging="360"/>
      </w:pPr>
      <w:rPr>
        <w:rFonts w:ascii="Symbol" w:hAnsi="Symbol" w:hint="default"/>
      </w:rPr>
    </w:lvl>
    <w:lvl w:ilvl="4" w:tplc="E3F00138" w:tentative="1">
      <w:start w:val="1"/>
      <w:numFmt w:val="bullet"/>
      <w:lvlText w:val="o"/>
      <w:lvlJc w:val="left"/>
      <w:pPr>
        <w:ind w:left="3960" w:hanging="360"/>
      </w:pPr>
      <w:rPr>
        <w:rFonts w:ascii="Courier New" w:hAnsi="Courier New" w:hint="default"/>
      </w:rPr>
    </w:lvl>
    <w:lvl w:ilvl="5" w:tplc="1D1288D6" w:tentative="1">
      <w:start w:val="1"/>
      <w:numFmt w:val="bullet"/>
      <w:lvlText w:val=""/>
      <w:lvlJc w:val="left"/>
      <w:pPr>
        <w:ind w:left="4680" w:hanging="360"/>
      </w:pPr>
      <w:rPr>
        <w:rFonts w:ascii="Wingdings" w:hAnsi="Wingdings" w:hint="default"/>
      </w:rPr>
    </w:lvl>
    <w:lvl w:ilvl="6" w:tplc="1EE497D4" w:tentative="1">
      <w:start w:val="1"/>
      <w:numFmt w:val="bullet"/>
      <w:lvlText w:val=""/>
      <w:lvlJc w:val="left"/>
      <w:pPr>
        <w:ind w:left="5400" w:hanging="360"/>
      </w:pPr>
      <w:rPr>
        <w:rFonts w:ascii="Symbol" w:hAnsi="Symbol" w:hint="default"/>
      </w:rPr>
    </w:lvl>
    <w:lvl w:ilvl="7" w:tplc="3A7AA756" w:tentative="1">
      <w:start w:val="1"/>
      <w:numFmt w:val="bullet"/>
      <w:lvlText w:val="o"/>
      <w:lvlJc w:val="left"/>
      <w:pPr>
        <w:ind w:left="6120" w:hanging="360"/>
      </w:pPr>
      <w:rPr>
        <w:rFonts w:ascii="Courier New" w:hAnsi="Courier New" w:hint="default"/>
      </w:rPr>
    </w:lvl>
    <w:lvl w:ilvl="8" w:tplc="FAECD272" w:tentative="1">
      <w:start w:val="1"/>
      <w:numFmt w:val="bullet"/>
      <w:lvlText w:val=""/>
      <w:lvlJc w:val="left"/>
      <w:pPr>
        <w:ind w:left="6840" w:hanging="360"/>
      </w:pPr>
      <w:rPr>
        <w:rFonts w:ascii="Wingdings" w:hAnsi="Wingdings" w:hint="default"/>
      </w:rPr>
    </w:lvl>
  </w:abstractNum>
  <w:abstractNum w:abstractNumId="190" w15:restartNumberingAfterBreak="0">
    <w:nsid w:val="260C65BB"/>
    <w:multiLevelType w:val="multilevel"/>
    <w:tmpl w:val="FE72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60E19EF"/>
    <w:multiLevelType w:val="hybridMultilevel"/>
    <w:tmpl w:val="47E22D94"/>
    <w:lvl w:ilvl="0" w:tplc="6B5ADCB0">
      <w:start w:val="1"/>
      <w:numFmt w:val="bullet"/>
      <w:lvlText w:val=""/>
      <w:lvlJc w:val="left"/>
      <w:pPr>
        <w:ind w:left="1080" w:hanging="360"/>
      </w:pPr>
      <w:rPr>
        <w:rFonts w:ascii="Symbol" w:hAnsi="Symbol" w:hint="default"/>
      </w:rPr>
    </w:lvl>
    <w:lvl w:ilvl="1" w:tplc="CCF0BF2E" w:tentative="1">
      <w:start w:val="1"/>
      <w:numFmt w:val="bullet"/>
      <w:lvlText w:val="o"/>
      <w:lvlJc w:val="left"/>
      <w:pPr>
        <w:ind w:left="1800" w:hanging="360"/>
      </w:pPr>
      <w:rPr>
        <w:rFonts w:ascii="Courier New" w:hAnsi="Courier New" w:hint="default"/>
      </w:rPr>
    </w:lvl>
    <w:lvl w:ilvl="2" w:tplc="EE862520" w:tentative="1">
      <w:start w:val="1"/>
      <w:numFmt w:val="bullet"/>
      <w:lvlText w:val=""/>
      <w:lvlJc w:val="left"/>
      <w:pPr>
        <w:ind w:left="2520" w:hanging="360"/>
      </w:pPr>
      <w:rPr>
        <w:rFonts w:ascii="Wingdings" w:hAnsi="Wingdings" w:hint="default"/>
      </w:rPr>
    </w:lvl>
    <w:lvl w:ilvl="3" w:tplc="9C9EEE62" w:tentative="1">
      <w:start w:val="1"/>
      <w:numFmt w:val="bullet"/>
      <w:lvlText w:val=""/>
      <w:lvlJc w:val="left"/>
      <w:pPr>
        <w:ind w:left="3240" w:hanging="360"/>
      </w:pPr>
      <w:rPr>
        <w:rFonts w:ascii="Symbol" w:hAnsi="Symbol" w:hint="default"/>
      </w:rPr>
    </w:lvl>
    <w:lvl w:ilvl="4" w:tplc="CA48C500" w:tentative="1">
      <w:start w:val="1"/>
      <w:numFmt w:val="bullet"/>
      <w:lvlText w:val="o"/>
      <w:lvlJc w:val="left"/>
      <w:pPr>
        <w:ind w:left="3960" w:hanging="360"/>
      </w:pPr>
      <w:rPr>
        <w:rFonts w:ascii="Courier New" w:hAnsi="Courier New" w:hint="default"/>
      </w:rPr>
    </w:lvl>
    <w:lvl w:ilvl="5" w:tplc="1FA44776" w:tentative="1">
      <w:start w:val="1"/>
      <w:numFmt w:val="bullet"/>
      <w:lvlText w:val=""/>
      <w:lvlJc w:val="left"/>
      <w:pPr>
        <w:ind w:left="4680" w:hanging="360"/>
      </w:pPr>
      <w:rPr>
        <w:rFonts w:ascii="Wingdings" w:hAnsi="Wingdings" w:hint="default"/>
      </w:rPr>
    </w:lvl>
    <w:lvl w:ilvl="6" w:tplc="0CD6E7BA" w:tentative="1">
      <w:start w:val="1"/>
      <w:numFmt w:val="bullet"/>
      <w:lvlText w:val=""/>
      <w:lvlJc w:val="left"/>
      <w:pPr>
        <w:ind w:left="5400" w:hanging="360"/>
      </w:pPr>
      <w:rPr>
        <w:rFonts w:ascii="Symbol" w:hAnsi="Symbol" w:hint="default"/>
      </w:rPr>
    </w:lvl>
    <w:lvl w:ilvl="7" w:tplc="77EAE28A" w:tentative="1">
      <w:start w:val="1"/>
      <w:numFmt w:val="bullet"/>
      <w:lvlText w:val="o"/>
      <w:lvlJc w:val="left"/>
      <w:pPr>
        <w:ind w:left="6120" w:hanging="360"/>
      </w:pPr>
      <w:rPr>
        <w:rFonts w:ascii="Courier New" w:hAnsi="Courier New" w:hint="default"/>
      </w:rPr>
    </w:lvl>
    <w:lvl w:ilvl="8" w:tplc="80DA9818" w:tentative="1">
      <w:start w:val="1"/>
      <w:numFmt w:val="bullet"/>
      <w:lvlText w:val=""/>
      <w:lvlJc w:val="left"/>
      <w:pPr>
        <w:ind w:left="6840" w:hanging="360"/>
      </w:pPr>
      <w:rPr>
        <w:rFonts w:ascii="Wingdings" w:hAnsi="Wingdings" w:hint="default"/>
      </w:rPr>
    </w:lvl>
  </w:abstractNum>
  <w:abstractNum w:abstractNumId="192" w15:restartNumberingAfterBreak="0">
    <w:nsid w:val="2615318E"/>
    <w:multiLevelType w:val="hybridMultilevel"/>
    <w:tmpl w:val="A6106372"/>
    <w:lvl w:ilvl="0" w:tplc="1D2CA782">
      <w:start w:val="1"/>
      <w:numFmt w:val="bullet"/>
      <w:lvlText w:val=""/>
      <w:lvlJc w:val="left"/>
      <w:pPr>
        <w:ind w:left="720" w:hanging="360"/>
      </w:pPr>
      <w:rPr>
        <w:rFonts w:ascii="Symbol" w:hAnsi="Symbol" w:hint="default"/>
      </w:rPr>
    </w:lvl>
    <w:lvl w:ilvl="1" w:tplc="C3A8AE8E" w:tentative="1">
      <w:start w:val="1"/>
      <w:numFmt w:val="bullet"/>
      <w:lvlText w:val="o"/>
      <w:lvlJc w:val="left"/>
      <w:pPr>
        <w:ind w:left="1440" w:hanging="360"/>
      </w:pPr>
      <w:rPr>
        <w:rFonts w:ascii="Courier New" w:hAnsi="Courier New" w:hint="default"/>
      </w:rPr>
    </w:lvl>
    <w:lvl w:ilvl="2" w:tplc="EBACA42C" w:tentative="1">
      <w:start w:val="1"/>
      <w:numFmt w:val="bullet"/>
      <w:lvlText w:val=""/>
      <w:lvlJc w:val="left"/>
      <w:pPr>
        <w:ind w:left="2160" w:hanging="360"/>
      </w:pPr>
      <w:rPr>
        <w:rFonts w:ascii="Wingdings" w:hAnsi="Wingdings" w:hint="default"/>
      </w:rPr>
    </w:lvl>
    <w:lvl w:ilvl="3" w:tplc="AE9C09BA" w:tentative="1">
      <w:start w:val="1"/>
      <w:numFmt w:val="bullet"/>
      <w:lvlText w:val=""/>
      <w:lvlJc w:val="left"/>
      <w:pPr>
        <w:ind w:left="2880" w:hanging="360"/>
      </w:pPr>
      <w:rPr>
        <w:rFonts w:ascii="Symbol" w:hAnsi="Symbol" w:hint="default"/>
      </w:rPr>
    </w:lvl>
    <w:lvl w:ilvl="4" w:tplc="63B0CBE8" w:tentative="1">
      <w:start w:val="1"/>
      <w:numFmt w:val="bullet"/>
      <w:lvlText w:val="o"/>
      <w:lvlJc w:val="left"/>
      <w:pPr>
        <w:ind w:left="3600" w:hanging="360"/>
      </w:pPr>
      <w:rPr>
        <w:rFonts w:ascii="Courier New" w:hAnsi="Courier New" w:hint="default"/>
      </w:rPr>
    </w:lvl>
    <w:lvl w:ilvl="5" w:tplc="119ABD8A" w:tentative="1">
      <w:start w:val="1"/>
      <w:numFmt w:val="bullet"/>
      <w:lvlText w:val=""/>
      <w:lvlJc w:val="left"/>
      <w:pPr>
        <w:ind w:left="4320" w:hanging="360"/>
      </w:pPr>
      <w:rPr>
        <w:rFonts w:ascii="Wingdings" w:hAnsi="Wingdings" w:hint="default"/>
      </w:rPr>
    </w:lvl>
    <w:lvl w:ilvl="6" w:tplc="070EF464" w:tentative="1">
      <w:start w:val="1"/>
      <w:numFmt w:val="bullet"/>
      <w:lvlText w:val=""/>
      <w:lvlJc w:val="left"/>
      <w:pPr>
        <w:ind w:left="5040" w:hanging="360"/>
      </w:pPr>
      <w:rPr>
        <w:rFonts w:ascii="Symbol" w:hAnsi="Symbol" w:hint="default"/>
      </w:rPr>
    </w:lvl>
    <w:lvl w:ilvl="7" w:tplc="62B0972A" w:tentative="1">
      <w:start w:val="1"/>
      <w:numFmt w:val="bullet"/>
      <w:lvlText w:val="o"/>
      <w:lvlJc w:val="left"/>
      <w:pPr>
        <w:ind w:left="5760" w:hanging="360"/>
      </w:pPr>
      <w:rPr>
        <w:rFonts w:ascii="Courier New" w:hAnsi="Courier New" w:hint="default"/>
      </w:rPr>
    </w:lvl>
    <w:lvl w:ilvl="8" w:tplc="CF603668" w:tentative="1">
      <w:start w:val="1"/>
      <w:numFmt w:val="bullet"/>
      <w:lvlText w:val=""/>
      <w:lvlJc w:val="left"/>
      <w:pPr>
        <w:ind w:left="6480" w:hanging="360"/>
      </w:pPr>
      <w:rPr>
        <w:rFonts w:ascii="Wingdings" w:hAnsi="Wingdings" w:hint="default"/>
      </w:rPr>
    </w:lvl>
  </w:abstractNum>
  <w:abstractNum w:abstractNumId="193" w15:restartNumberingAfterBreak="0">
    <w:nsid w:val="26259AA3"/>
    <w:multiLevelType w:val="hybridMultilevel"/>
    <w:tmpl w:val="2F6822E0"/>
    <w:lvl w:ilvl="0" w:tplc="2E3E8C0A">
      <w:start w:val="1"/>
      <w:numFmt w:val="bullet"/>
      <w:lvlText w:val="·"/>
      <w:lvlJc w:val="left"/>
      <w:pPr>
        <w:ind w:left="720" w:hanging="360"/>
      </w:pPr>
      <w:rPr>
        <w:rFonts w:ascii="Symbol" w:hAnsi="Symbol" w:hint="default"/>
      </w:rPr>
    </w:lvl>
    <w:lvl w:ilvl="1" w:tplc="C4C07F20">
      <w:start w:val="1"/>
      <w:numFmt w:val="bullet"/>
      <w:lvlText w:val="o"/>
      <w:lvlJc w:val="left"/>
      <w:pPr>
        <w:ind w:left="1440" w:hanging="360"/>
      </w:pPr>
      <w:rPr>
        <w:rFonts w:ascii="Courier New" w:hAnsi="Courier New" w:hint="default"/>
      </w:rPr>
    </w:lvl>
    <w:lvl w:ilvl="2" w:tplc="77962140">
      <w:start w:val="1"/>
      <w:numFmt w:val="bullet"/>
      <w:lvlText w:val=""/>
      <w:lvlJc w:val="left"/>
      <w:pPr>
        <w:ind w:left="2160" w:hanging="360"/>
      </w:pPr>
      <w:rPr>
        <w:rFonts w:ascii="Wingdings" w:hAnsi="Wingdings" w:hint="default"/>
      </w:rPr>
    </w:lvl>
    <w:lvl w:ilvl="3" w:tplc="DD7C8134">
      <w:start w:val="1"/>
      <w:numFmt w:val="bullet"/>
      <w:lvlText w:val=""/>
      <w:lvlJc w:val="left"/>
      <w:pPr>
        <w:ind w:left="2880" w:hanging="360"/>
      </w:pPr>
      <w:rPr>
        <w:rFonts w:ascii="Symbol" w:hAnsi="Symbol" w:hint="default"/>
      </w:rPr>
    </w:lvl>
    <w:lvl w:ilvl="4" w:tplc="137834D6">
      <w:start w:val="1"/>
      <w:numFmt w:val="bullet"/>
      <w:lvlText w:val="o"/>
      <w:lvlJc w:val="left"/>
      <w:pPr>
        <w:ind w:left="3600" w:hanging="360"/>
      </w:pPr>
      <w:rPr>
        <w:rFonts w:ascii="Courier New" w:hAnsi="Courier New" w:hint="default"/>
      </w:rPr>
    </w:lvl>
    <w:lvl w:ilvl="5" w:tplc="55680E22">
      <w:start w:val="1"/>
      <w:numFmt w:val="bullet"/>
      <w:lvlText w:val=""/>
      <w:lvlJc w:val="left"/>
      <w:pPr>
        <w:ind w:left="4320" w:hanging="360"/>
      </w:pPr>
      <w:rPr>
        <w:rFonts w:ascii="Wingdings" w:hAnsi="Wingdings" w:hint="default"/>
      </w:rPr>
    </w:lvl>
    <w:lvl w:ilvl="6" w:tplc="A7F620A0">
      <w:start w:val="1"/>
      <w:numFmt w:val="bullet"/>
      <w:lvlText w:val=""/>
      <w:lvlJc w:val="left"/>
      <w:pPr>
        <w:ind w:left="5040" w:hanging="360"/>
      </w:pPr>
      <w:rPr>
        <w:rFonts w:ascii="Symbol" w:hAnsi="Symbol" w:hint="default"/>
      </w:rPr>
    </w:lvl>
    <w:lvl w:ilvl="7" w:tplc="FCA85568">
      <w:start w:val="1"/>
      <w:numFmt w:val="bullet"/>
      <w:lvlText w:val="o"/>
      <w:lvlJc w:val="left"/>
      <w:pPr>
        <w:ind w:left="5760" w:hanging="360"/>
      </w:pPr>
      <w:rPr>
        <w:rFonts w:ascii="Courier New" w:hAnsi="Courier New" w:hint="default"/>
      </w:rPr>
    </w:lvl>
    <w:lvl w:ilvl="8" w:tplc="EC4EF37A">
      <w:start w:val="1"/>
      <w:numFmt w:val="bullet"/>
      <w:lvlText w:val=""/>
      <w:lvlJc w:val="left"/>
      <w:pPr>
        <w:ind w:left="6480" w:hanging="360"/>
      </w:pPr>
      <w:rPr>
        <w:rFonts w:ascii="Wingdings" w:hAnsi="Wingdings" w:hint="default"/>
      </w:rPr>
    </w:lvl>
  </w:abstractNum>
  <w:abstractNum w:abstractNumId="194" w15:restartNumberingAfterBreak="0">
    <w:nsid w:val="262F007D"/>
    <w:multiLevelType w:val="multilevel"/>
    <w:tmpl w:val="F850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326687"/>
    <w:multiLevelType w:val="multilevel"/>
    <w:tmpl w:val="2A8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898140F"/>
    <w:multiLevelType w:val="hybridMultilevel"/>
    <w:tmpl w:val="4358F7CC"/>
    <w:lvl w:ilvl="0" w:tplc="169CCD8E">
      <w:start w:val="1"/>
      <w:numFmt w:val="bullet"/>
      <w:lvlText w:val="·"/>
      <w:lvlJc w:val="left"/>
      <w:pPr>
        <w:ind w:left="720" w:hanging="360"/>
      </w:pPr>
      <w:rPr>
        <w:rFonts w:ascii="Symbol" w:hAnsi="Symbol" w:hint="default"/>
      </w:rPr>
    </w:lvl>
    <w:lvl w:ilvl="1" w:tplc="5EC666F4">
      <w:start w:val="1"/>
      <w:numFmt w:val="bullet"/>
      <w:lvlText w:val="o"/>
      <w:lvlJc w:val="left"/>
      <w:pPr>
        <w:ind w:left="1440" w:hanging="360"/>
      </w:pPr>
      <w:rPr>
        <w:rFonts w:ascii="Courier New" w:hAnsi="Courier New" w:hint="default"/>
      </w:rPr>
    </w:lvl>
    <w:lvl w:ilvl="2" w:tplc="2E421D42">
      <w:start w:val="1"/>
      <w:numFmt w:val="bullet"/>
      <w:lvlText w:val=""/>
      <w:lvlJc w:val="left"/>
      <w:pPr>
        <w:ind w:left="2160" w:hanging="360"/>
      </w:pPr>
      <w:rPr>
        <w:rFonts w:ascii="Wingdings" w:hAnsi="Wingdings" w:hint="default"/>
      </w:rPr>
    </w:lvl>
    <w:lvl w:ilvl="3" w:tplc="B9E2954E">
      <w:start w:val="1"/>
      <w:numFmt w:val="bullet"/>
      <w:lvlText w:val=""/>
      <w:lvlJc w:val="left"/>
      <w:pPr>
        <w:ind w:left="2880" w:hanging="360"/>
      </w:pPr>
      <w:rPr>
        <w:rFonts w:ascii="Symbol" w:hAnsi="Symbol" w:hint="default"/>
      </w:rPr>
    </w:lvl>
    <w:lvl w:ilvl="4" w:tplc="6EA8AF16">
      <w:start w:val="1"/>
      <w:numFmt w:val="bullet"/>
      <w:lvlText w:val="o"/>
      <w:lvlJc w:val="left"/>
      <w:pPr>
        <w:ind w:left="3600" w:hanging="360"/>
      </w:pPr>
      <w:rPr>
        <w:rFonts w:ascii="Courier New" w:hAnsi="Courier New" w:hint="default"/>
      </w:rPr>
    </w:lvl>
    <w:lvl w:ilvl="5" w:tplc="71786F5C">
      <w:start w:val="1"/>
      <w:numFmt w:val="bullet"/>
      <w:lvlText w:val=""/>
      <w:lvlJc w:val="left"/>
      <w:pPr>
        <w:ind w:left="4320" w:hanging="360"/>
      </w:pPr>
      <w:rPr>
        <w:rFonts w:ascii="Wingdings" w:hAnsi="Wingdings" w:hint="default"/>
      </w:rPr>
    </w:lvl>
    <w:lvl w:ilvl="6" w:tplc="76ECB0AC">
      <w:start w:val="1"/>
      <w:numFmt w:val="bullet"/>
      <w:lvlText w:val=""/>
      <w:lvlJc w:val="left"/>
      <w:pPr>
        <w:ind w:left="5040" w:hanging="360"/>
      </w:pPr>
      <w:rPr>
        <w:rFonts w:ascii="Symbol" w:hAnsi="Symbol" w:hint="default"/>
      </w:rPr>
    </w:lvl>
    <w:lvl w:ilvl="7" w:tplc="6C18361A">
      <w:start w:val="1"/>
      <w:numFmt w:val="bullet"/>
      <w:lvlText w:val="o"/>
      <w:lvlJc w:val="left"/>
      <w:pPr>
        <w:ind w:left="5760" w:hanging="360"/>
      </w:pPr>
      <w:rPr>
        <w:rFonts w:ascii="Courier New" w:hAnsi="Courier New" w:hint="default"/>
      </w:rPr>
    </w:lvl>
    <w:lvl w:ilvl="8" w:tplc="D026B85E">
      <w:start w:val="1"/>
      <w:numFmt w:val="bullet"/>
      <w:lvlText w:val=""/>
      <w:lvlJc w:val="left"/>
      <w:pPr>
        <w:ind w:left="6480" w:hanging="360"/>
      </w:pPr>
      <w:rPr>
        <w:rFonts w:ascii="Wingdings" w:hAnsi="Wingdings" w:hint="default"/>
      </w:rPr>
    </w:lvl>
  </w:abstractNum>
  <w:abstractNum w:abstractNumId="197" w15:restartNumberingAfterBreak="0">
    <w:nsid w:val="294C7381"/>
    <w:multiLevelType w:val="hybridMultilevel"/>
    <w:tmpl w:val="42062B60"/>
    <w:lvl w:ilvl="0" w:tplc="24287ABA">
      <w:start w:val="1"/>
      <w:numFmt w:val="bullet"/>
      <w:lvlText w:val=""/>
      <w:lvlJc w:val="left"/>
      <w:pPr>
        <w:ind w:left="360" w:hanging="360"/>
      </w:pPr>
      <w:rPr>
        <w:rFonts w:ascii="Symbol" w:hAnsi="Symbol" w:hint="default"/>
        <w:color w:val="auto"/>
      </w:rPr>
    </w:lvl>
    <w:lvl w:ilvl="1" w:tplc="A7725434">
      <w:start w:val="1"/>
      <w:numFmt w:val="bullet"/>
      <w:lvlText w:val="o"/>
      <w:lvlJc w:val="left"/>
      <w:pPr>
        <w:ind w:left="720" w:hanging="360"/>
      </w:pPr>
      <w:rPr>
        <w:rFonts w:ascii="Courier New" w:hAnsi="Courier New" w:hint="default"/>
      </w:rPr>
    </w:lvl>
    <w:lvl w:ilvl="2" w:tplc="A7EE03B4">
      <w:start w:val="1"/>
      <w:numFmt w:val="bullet"/>
      <w:lvlText w:val=""/>
      <w:lvlJc w:val="left"/>
      <w:pPr>
        <w:ind w:left="2084" w:hanging="360"/>
      </w:pPr>
      <w:rPr>
        <w:rFonts w:ascii="Wingdings" w:hAnsi="Wingdings" w:hint="default"/>
      </w:rPr>
    </w:lvl>
    <w:lvl w:ilvl="3" w:tplc="5A606C50" w:tentative="1">
      <w:start w:val="1"/>
      <w:numFmt w:val="bullet"/>
      <w:lvlText w:val=""/>
      <w:lvlJc w:val="left"/>
      <w:pPr>
        <w:ind w:left="2804" w:hanging="360"/>
      </w:pPr>
      <w:rPr>
        <w:rFonts w:ascii="Symbol" w:hAnsi="Symbol" w:hint="default"/>
      </w:rPr>
    </w:lvl>
    <w:lvl w:ilvl="4" w:tplc="B8681F3E" w:tentative="1">
      <w:start w:val="1"/>
      <w:numFmt w:val="bullet"/>
      <w:lvlText w:val="o"/>
      <w:lvlJc w:val="left"/>
      <w:pPr>
        <w:ind w:left="3524" w:hanging="360"/>
      </w:pPr>
      <w:rPr>
        <w:rFonts w:ascii="Courier New" w:hAnsi="Courier New" w:hint="default"/>
      </w:rPr>
    </w:lvl>
    <w:lvl w:ilvl="5" w:tplc="FDAC3948" w:tentative="1">
      <w:start w:val="1"/>
      <w:numFmt w:val="bullet"/>
      <w:lvlText w:val=""/>
      <w:lvlJc w:val="left"/>
      <w:pPr>
        <w:ind w:left="4244" w:hanging="360"/>
      </w:pPr>
      <w:rPr>
        <w:rFonts w:ascii="Wingdings" w:hAnsi="Wingdings" w:hint="default"/>
      </w:rPr>
    </w:lvl>
    <w:lvl w:ilvl="6" w:tplc="D8886E00" w:tentative="1">
      <w:start w:val="1"/>
      <w:numFmt w:val="bullet"/>
      <w:lvlText w:val=""/>
      <w:lvlJc w:val="left"/>
      <w:pPr>
        <w:ind w:left="4964" w:hanging="360"/>
      </w:pPr>
      <w:rPr>
        <w:rFonts w:ascii="Symbol" w:hAnsi="Symbol" w:hint="default"/>
      </w:rPr>
    </w:lvl>
    <w:lvl w:ilvl="7" w:tplc="81E4829A" w:tentative="1">
      <w:start w:val="1"/>
      <w:numFmt w:val="bullet"/>
      <w:lvlText w:val="o"/>
      <w:lvlJc w:val="left"/>
      <w:pPr>
        <w:ind w:left="5684" w:hanging="360"/>
      </w:pPr>
      <w:rPr>
        <w:rFonts w:ascii="Courier New" w:hAnsi="Courier New" w:hint="default"/>
      </w:rPr>
    </w:lvl>
    <w:lvl w:ilvl="8" w:tplc="CA1E7032" w:tentative="1">
      <w:start w:val="1"/>
      <w:numFmt w:val="bullet"/>
      <w:lvlText w:val=""/>
      <w:lvlJc w:val="left"/>
      <w:pPr>
        <w:ind w:left="6404" w:hanging="360"/>
      </w:pPr>
      <w:rPr>
        <w:rFonts w:ascii="Wingdings" w:hAnsi="Wingdings" w:hint="default"/>
      </w:rPr>
    </w:lvl>
  </w:abstractNum>
  <w:abstractNum w:abstractNumId="198" w15:restartNumberingAfterBreak="0">
    <w:nsid w:val="29AB4319"/>
    <w:multiLevelType w:val="hybridMultilevel"/>
    <w:tmpl w:val="04EAC104"/>
    <w:lvl w:ilvl="0" w:tplc="AF9C8056">
      <w:start w:val="1"/>
      <w:numFmt w:val="bullet"/>
      <w:lvlText w:val=""/>
      <w:lvlJc w:val="left"/>
      <w:pPr>
        <w:ind w:left="1004" w:hanging="360"/>
      </w:pPr>
      <w:rPr>
        <w:rFonts w:ascii="Symbol" w:hAnsi="Symbol" w:hint="default"/>
      </w:rPr>
    </w:lvl>
    <w:lvl w:ilvl="1" w:tplc="C0BECB0E">
      <w:start w:val="1"/>
      <w:numFmt w:val="bullet"/>
      <w:lvlText w:val=""/>
      <w:lvlJc w:val="left"/>
      <w:pPr>
        <w:ind w:left="720" w:hanging="360"/>
      </w:pPr>
      <w:rPr>
        <w:rFonts w:ascii="Symbol" w:hAnsi="Symbol" w:hint="default"/>
      </w:rPr>
    </w:lvl>
    <w:lvl w:ilvl="2" w:tplc="7F60E49C" w:tentative="1">
      <w:start w:val="1"/>
      <w:numFmt w:val="bullet"/>
      <w:lvlText w:val=""/>
      <w:lvlJc w:val="left"/>
      <w:pPr>
        <w:ind w:left="2444" w:hanging="360"/>
      </w:pPr>
      <w:rPr>
        <w:rFonts w:ascii="Wingdings" w:hAnsi="Wingdings" w:hint="default"/>
      </w:rPr>
    </w:lvl>
    <w:lvl w:ilvl="3" w:tplc="D29C4A48" w:tentative="1">
      <w:start w:val="1"/>
      <w:numFmt w:val="bullet"/>
      <w:lvlText w:val=""/>
      <w:lvlJc w:val="left"/>
      <w:pPr>
        <w:ind w:left="3164" w:hanging="360"/>
      </w:pPr>
      <w:rPr>
        <w:rFonts w:ascii="Symbol" w:hAnsi="Symbol" w:hint="default"/>
      </w:rPr>
    </w:lvl>
    <w:lvl w:ilvl="4" w:tplc="14FC5CB6" w:tentative="1">
      <w:start w:val="1"/>
      <w:numFmt w:val="bullet"/>
      <w:lvlText w:val="o"/>
      <w:lvlJc w:val="left"/>
      <w:pPr>
        <w:ind w:left="3884" w:hanging="360"/>
      </w:pPr>
      <w:rPr>
        <w:rFonts w:ascii="Courier New" w:hAnsi="Courier New" w:hint="default"/>
      </w:rPr>
    </w:lvl>
    <w:lvl w:ilvl="5" w:tplc="408ED61A" w:tentative="1">
      <w:start w:val="1"/>
      <w:numFmt w:val="bullet"/>
      <w:lvlText w:val=""/>
      <w:lvlJc w:val="left"/>
      <w:pPr>
        <w:ind w:left="4604" w:hanging="360"/>
      </w:pPr>
      <w:rPr>
        <w:rFonts w:ascii="Wingdings" w:hAnsi="Wingdings" w:hint="default"/>
      </w:rPr>
    </w:lvl>
    <w:lvl w:ilvl="6" w:tplc="2EAAAFB6" w:tentative="1">
      <w:start w:val="1"/>
      <w:numFmt w:val="bullet"/>
      <w:lvlText w:val=""/>
      <w:lvlJc w:val="left"/>
      <w:pPr>
        <w:ind w:left="5324" w:hanging="360"/>
      </w:pPr>
      <w:rPr>
        <w:rFonts w:ascii="Symbol" w:hAnsi="Symbol" w:hint="default"/>
      </w:rPr>
    </w:lvl>
    <w:lvl w:ilvl="7" w:tplc="510CACB2" w:tentative="1">
      <w:start w:val="1"/>
      <w:numFmt w:val="bullet"/>
      <w:lvlText w:val="o"/>
      <w:lvlJc w:val="left"/>
      <w:pPr>
        <w:ind w:left="6044" w:hanging="360"/>
      </w:pPr>
      <w:rPr>
        <w:rFonts w:ascii="Courier New" w:hAnsi="Courier New" w:hint="default"/>
      </w:rPr>
    </w:lvl>
    <w:lvl w:ilvl="8" w:tplc="B4F83CD0" w:tentative="1">
      <w:start w:val="1"/>
      <w:numFmt w:val="bullet"/>
      <w:lvlText w:val=""/>
      <w:lvlJc w:val="left"/>
      <w:pPr>
        <w:ind w:left="6764" w:hanging="360"/>
      </w:pPr>
      <w:rPr>
        <w:rFonts w:ascii="Wingdings" w:hAnsi="Wingdings" w:hint="default"/>
      </w:rPr>
    </w:lvl>
  </w:abstractNum>
  <w:abstractNum w:abstractNumId="199" w15:restartNumberingAfterBreak="0">
    <w:nsid w:val="29AE6FD4"/>
    <w:multiLevelType w:val="hybridMultilevel"/>
    <w:tmpl w:val="71B81952"/>
    <w:lvl w:ilvl="0" w:tplc="D40AF9AE">
      <w:start w:val="1"/>
      <w:numFmt w:val="bullet"/>
      <w:lvlText w:val="·"/>
      <w:lvlJc w:val="left"/>
      <w:pPr>
        <w:ind w:left="720" w:hanging="360"/>
      </w:pPr>
      <w:rPr>
        <w:rFonts w:ascii="Symbol" w:hAnsi="Symbol" w:hint="default"/>
      </w:rPr>
    </w:lvl>
    <w:lvl w:ilvl="1" w:tplc="410CDAEE">
      <w:start w:val="1"/>
      <w:numFmt w:val="bullet"/>
      <w:lvlText w:val="o"/>
      <w:lvlJc w:val="left"/>
      <w:pPr>
        <w:ind w:left="1440" w:hanging="360"/>
      </w:pPr>
      <w:rPr>
        <w:rFonts w:ascii="Courier New" w:hAnsi="Courier New" w:hint="default"/>
      </w:rPr>
    </w:lvl>
    <w:lvl w:ilvl="2" w:tplc="5CF4659A">
      <w:start w:val="1"/>
      <w:numFmt w:val="bullet"/>
      <w:lvlText w:val=""/>
      <w:lvlJc w:val="left"/>
      <w:pPr>
        <w:ind w:left="2160" w:hanging="360"/>
      </w:pPr>
      <w:rPr>
        <w:rFonts w:ascii="Wingdings" w:hAnsi="Wingdings" w:hint="default"/>
      </w:rPr>
    </w:lvl>
    <w:lvl w:ilvl="3" w:tplc="54909120">
      <w:start w:val="1"/>
      <w:numFmt w:val="bullet"/>
      <w:lvlText w:val=""/>
      <w:lvlJc w:val="left"/>
      <w:pPr>
        <w:ind w:left="2880" w:hanging="360"/>
      </w:pPr>
      <w:rPr>
        <w:rFonts w:ascii="Symbol" w:hAnsi="Symbol" w:hint="default"/>
      </w:rPr>
    </w:lvl>
    <w:lvl w:ilvl="4" w:tplc="EAC64302">
      <w:start w:val="1"/>
      <w:numFmt w:val="bullet"/>
      <w:lvlText w:val="o"/>
      <w:lvlJc w:val="left"/>
      <w:pPr>
        <w:ind w:left="3600" w:hanging="360"/>
      </w:pPr>
      <w:rPr>
        <w:rFonts w:ascii="Courier New" w:hAnsi="Courier New" w:hint="default"/>
      </w:rPr>
    </w:lvl>
    <w:lvl w:ilvl="5" w:tplc="F4C6D906">
      <w:start w:val="1"/>
      <w:numFmt w:val="bullet"/>
      <w:lvlText w:val=""/>
      <w:lvlJc w:val="left"/>
      <w:pPr>
        <w:ind w:left="4320" w:hanging="360"/>
      </w:pPr>
      <w:rPr>
        <w:rFonts w:ascii="Wingdings" w:hAnsi="Wingdings" w:hint="default"/>
      </w:rPr>
    </w:lvl>
    <w:lvl w:ilvl="6" w:tplc="54166754">
      <w:start w:val="1"/>
      <w:numFmt w:val="bullet"/>
      <w:lvlText w:val=""/>
      <w:lvlJc w:val="left"/>
      <w:pPr>
        <w:ind w:left="5040" w:hanging="360"/>
      </w:pPr>
      <w:rPr>
        <w:rFonts w:ascii="Symbol" w:hAnsi="Symbol" w:hint="default"/>
      </w:rPr>
    </w:lvl>
    <w:lvl w:ilvl="7" w:tplc="7226A31A">
      <w:start w:val="1"/>
      <w:numFmt w:val="bullet"/>
      <w:lvlText w:val="o"/>
      <w:lvlJc w:val="left"/>
      <w:pPr>
        <w:ind w:left="5760" w:hanging="360"/>
      </w:pPr>
      <w:rPr>
        <w:rFonts w:ascii="Courier New" w:hAnsi="Courier New" w:hint="default"/>
      </w:rPr>
    </w:lvl>
    <w:lvl w:ilvl="8" w:tplc="8C6A57B4">
      <w:start w:val="1"/>
      <w:numFmt w:val="bullet"/>
      <w:lvlText w:val=""/>
      <w:lvlJc w:val="left"/>
      <w:pPr>
        <w:ind w:left="6480" w:hanging="360"/>
      </w:pPr>
      <w:rPr>
        <w:rFonts w:ascii="Wingdings" w:hAnsi="Wingdings" w:hint="default"/>
      </w:rPr>
    </w:lvl>
  </w:abstractNum>
  <w:abstractNum w:abstractNumId="200" w15:restartNumberingAfterBreak="0">
    <w:nsid w:val="2A037EE2"/>
    <w:multiLevelType w:val="hybridMultilevel"/>
    <w:tmpl w:val="035065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1" w15:restartNumberingAfterBreak="0">
    <w:nsid w:val="2A361D10"/>
    <w:multiLevelType w:val="hybridMultilevel"/>
    <w:tmpl w:val="31BC6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2" w15:restartNumberingAfterBreak="0">
    <w:nsid w:val="2A762AA5"/>
    <w:multiLevelType w:val="multilevel"/>
    <w:tmpl w:val="68CC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89731F"/>
    <w:multiLevelType w:val="hybridMultilevel"/>
    <w:tmpl w:val="6A326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2B2B4427"/>
    <w:multiLevelType w:val="hybridMultilevel"/>
    <w:tmpl w:val="8D7EBADE"/>
    <w:lvl w:ilvl="0" w:tplc="ADF8B45A">
      <w:start w:val="1"/>
      <w:numFmt w:val="bullet"/>
      <w:lvlText w:val=""/>
      <w:lvlJc w:val="left"/>
      <w:pPr>
        <w:ind w:left="720" w:hanging="360"/>
      </w:pPr>
      <w:rPr>
        <w:rFonts w:ascii="Symbol" w:hAnsi="Symbol" w:hint="default"/>
      </w:rPr>
    </w:lvl>
    <w:lvl w:ilvl="1" w:tplc="4D7E4410" w:tentative="1">
      <w:start w:val="1"/>
      <w:numFmt w:val="bullet"/>
      <w:lvlText w:val="o"/>
      <w:lvlJc w:val="left"/>
      <w:pPr>
        <w:ind w:left="1440" w:hanging="360"/>
      </w:pPr>
      <w:rPr>
        <w:rFonts w:ascii="Courier New" w:hAnsi="Courier New" w:hint="default"/>
      </w:rPr>
    </w:lvl>
    <w:lvl w:ilvl="2" w:tplc="8AD6C536" w:tentative="1">
      <w:start w:val="1"/>
      <w:numFmt w:val="bullet"/>
      <w:lvlText w:val=""/>
      <w:lvlJc w:val="left"/>
      <w:pPr>
        <w:ind w:left="2160" w:hanging="360"/>
      </w:pPr>
      <w:rPr>
        <w:rFonts w:ascii="Wingdings" w:hAnsi="Wingdings" w:hint="default"/>
      </w:rPr>
    </w:lvl>
    <w:lvl w:ilvl="3" w:tplc="1FFC89B2" w:tentative="1">
      <w:start w:val="1"/>
      <w:numFmt w:val="bullet"/>
      <w:lvlText w:val=""/>
      <w:lvlJc w:val="left"/>
      <w:pPr>
        <w:ind w:left="2880" w:hanging="360"/>
      </w:pPr>
      <w:rPr>
        <w:rFonts w:ascii="Symbol" w:hAnsi="Symbol" w:hint="default"/>
      </w:rPr>
    </w:lvl>
    <w:lvl w:ilvl="4" w:tplc="144C066A" w:tentative="1">
      <w:start w:val="1"/>
      <w:numFmt w:val="bullet"/>
      <w:lvlText w:val="o"/>
      <w:lvlJc w:val="left"/>
      <w:pPr>
        <w:ind w:left="3600" w:hanging="360"/>
      </w:pPr>
      <w:rPr>
        <w:rFonts w:ascii="Courier New" w:hAnsi="Courier New" w:hint="default"/>
      </w:rPr>
    </w:lvl>
    <w:lvl w:ilvl="5" w:tplc="66D80860" w:tentative="1">
      <w:start w:val="1"/>
      <w:numFmt w:val="bullet"/>
      <w:lvlText w:val=""/>
      <w:lvlJc w:val="left"/>
      <w:pPr>
        <w:ind w:left="4320" w:hanging="360"/>
      </w:pPr>
      <w:rPr>
        <w:rFonts w:ascii="Wingdings" w:hAnsi="Wingdings" w:hint="default"/>
      </w:rPr>
    </w:lvl>
    <w:lvl w:ilvl="6" w:tplc="C3680D64" w:tentative="1">
      <w:start w:val="1"/>
      <w:numFmt w:val="bullet"/>
      <w:lvlText w:val=""/>
      <w:lvlJc w:val="left"/>
      <w:pPr>
        <w:ind w:left="5040" w:hanging="360"/>
      </w:pPr>
      <w:rPr>
        <w:rFonts w:ascii="Symbol" w:hAnsi="Symbol" w:hint="default"/>
      </w:rPr>
    </w:lvl>
    <w:lvl w:ilvl="7" w:tplc="0E3C8A02" w:tentative="1">
      <w:start w:val="1"/>
      <w:numFmt w:val="bullet"/>
      <w:lvlText w:val="o"/>
      <w:lvlJc w:val="left"/>
      <w:pPr>
        <w:ind w:left="5760" w:hanging="360"/>
      </w:pPr>
      <w:rPr>
        <w:rFonts w:ascii="Courier New" w:hAnsi="Courier New" w:hint="default"/>
      </w:rPr>
    </w:lvl>
    <w:lvl w:ilvl="8" w:tplc="F08012A4" w:tentative="1">
      <w:start w:val="1"/>
      <w:numFmt w:val="bullet"/>
      <w:lvlText w:val=""/>
      <w:lvlJc w:val="left"/>
      <w:pPr>
        <w:ind w:left="6480" w:hanging="360"/>
      </w:pPr>
      <w:rPr>
        <w:rFonts w:ascii="Wingdings" w:hAnsi="Wingdings" w:hint="default"/>
      </w:rPr>
    </w:lvl>
  </w:abstractNum>
  <w:abstractNum w:abstractNumId="205" w15:restartNumberingAfterBreak="0">
    <w:nsid w:val="2B8C53DB"/>
    <w:multiLevelType w:val="hybridMultilevel"/>
    <w:tmpl w:val="9FB20610"/>
    <w:lvl w:ilvl="0" w:tplc="BDA86B5A">
      <w:start w:val="1"/>
      <w:numFmt w:val="bullet"/>
      <w:lvlText w:val=""/>
      <w:lvlJc w:val="left"/>
      <w:pPr>
        <w:ind w:left="67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06" w15:restartNumberingAfterBreak="0">
    <w:nsid w:val="2BCA3201"/>
    <w:multiLevelType w:val="hybridMultilevel"/>
    <w:tmpl w:val="73FE3CC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2BD26199"/>
    <w:multiLevelType w:val="multilevel"/>
    <w:tmpl w:val="F8DC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C7B314F"/>
    <w:multiLevelType w:val="multilevel"/>
    <w:tmpl w:val="D2D2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CAC7357"/>
    <w:multiLevelType w:val="multilevel"/>
    <w:tmpl w:val="56ECE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2CDC279A"/>
    <w:multiLevelType w:val="hybridMultilevel"/>
    <w:tmpl w:val="EBB624C8"/>
    <w:lvl w:ilvl="0" w:tplc="C100B2A0">
      <w:start w:val="1"/>
      <w:numFmt w:val="bullet"/>
      <w:lvlText w:val=""/>
      <w:lvlJc w:val="left"/>
      <w:pPr>
        <w:ind w:left="720" w:hanging="360"/>
      </w:pPr>
      <w:rPr>
        <w:rFonts w:ascii="Symbol" w:hAnsi="Symbol" w:hint="default"/>
      </w:rPr>
    </w:lvl>
    <w:lvl w:ilvl="1" w:tplc="3470065E" w:tentative="1">
      <w:start w:val="1"/>
      <w:numFmt w:val="bullet"/>
      <w:lvlText w:val="o"/>
      <w:lvlJc w:val="left"/>
      <w:pPr>
        <w:ind w:left="1440" w:hanging="360"/>
      </w:pPr>
      <w:rPr>
        <w:rFonts w:ascii="Courier New" w:hAnsi="Courier New" w:hint="default"/>
      </w:rPr>
    </w:lvl>
    <w:lvl w:ilvl="2" w:tplc="A030D08C" w:tentative="1">
      <w:start w:val="1"/>
      <w:numFmt w:val="bullet"/>
      <w:lvlText w:val=""/>
      <w:lvlJc w:val="left"/>
      <w:pPr>
        <w:ind w:left="2160" w:hanging="360"/>
      </w:pPr>
      <w:rPr>
        <w:rFonts w:ascii="Wingdings" w:hAnsi="Wingdings" w:hint="default"/>
      </w:rPr>
    </w:lvl>
    <w:lvl w:ilvl="3" w:tplc="1088966A" w:tentative="1">
      <w:start w:val="1"/>
      <w:numFmt w:val="bullet"/>
      <w:lvlText w:val=""/>
      <w:lvlJc w:val="left"/>
      <w:pPr>
        <w:ind w:left="2880" w:hanging="360"/>
      </w:pPr>
      <w:rPr>
        <w:rFonts w:ascii="Symbol" w:hAnsi="Symbol" w:hint="default"/>
      </w:rPr>
    </w:lvl>
    <w:lvl w:ilvl="4" w:tplc="F0629974" w:tentative="1">
      <w:start w:val="1"/>
      <w:numFmt w:val="bullet"/>
      <w:lvlText w:val="o"/>
      <w:lvlJc w:val="left"/>
      <w:pPr>
        <w:ind w:left="3600" w:hanging="360"/>
      </w:pPr>
      <w:rPr>
        <w:rFonts w:ascii="Courier New" w:hAnsi="Courier New" w:hint="default"/>
      </w:rPr>
    </w:lvl>
    <w:lvl w:ilvl="5" w:tplc="6F5C8784" w:tentative="1">
      <w:start w:val="1"/>
      <w:numFmt w:val="bullet"/>
      <w:lvlText w:val=""/>
      <w:lvlJc w:val="left"/>
      <w:pPr>
        <w:ind w:left="4320" w:hanging="360"/>
      </w:pPr>
      <w:rPr>
        <w:rFonts w:ascii="Wingdings" w:hAnsi="Wingdings" w:hint="default"/>
      </w:rPr>
    </w:lvl>
    <w:lvl w:ilvl="6" w:tplc="34F649DA" w:tentative="1">
      <w:start w:val="1"/>
      <w:numFmt w:val="bullet"/>
      <w:lvlText w:val=""/>
      <w:lvlJc w:val="left"/>
      <w:pPr>
        <w:ind w:left="5040" w:hanging="360"/>
      </w:pPr>
      <w:rPr>
        <w:rFonts w:ascii="Symbol" w:hAnsi="Symbol" w:hint="default"/>
      </w:rPr>
    </w:lvl>
    <w:lvl w:ilvl="7" w:tplc="99609E9A" w:tentative="1">
      <w:start w:val="1"/>
      <w:numFmt w:val="bullet"/>
      <w:lvlText w:val="o"/>
      <w:lvlJc w:val="left"/>
      <w:pPr>
        <w:ind w:left="5760" w:hanging="360"/>
      </w:pPr>
      <w:rPr>
        <w:rFonts w:ascii="Courier New" w:hAnsi="Courier New" w:hint="default"/>
      </w:rPr>
    </w:lvl>
    <w:lvl w:ilvl="8" w:tplc="119E5148" w:tentative="1">
      <w:start w:val="1"/>
      <w:numFmt w:val="bullet"/>
      <w:lvlText w:val=""/>
      <w:lvlJc w:val="left"/>
      <w:pPr>
        <w:ind w:left="6480" w:hanging="360"/>
      </w:pPr>
      <w:rPr>
        <w:rFonts w:ascii="Wingdings" w:hAnsi="Wingdings" w:hint="default"/>
      </w:rPr>
    </w:lvl>
  </w:abstractNum>
  <w:abstractNum w:abstractNumId="211" w15:restartNumberingAfterBreak="0">
    <w:nsid w:val="2CE50579"/>
    <w:multiLevelType w:val="hybridMultilevel"/>
    <w:tmpl w:val="4684A362"/>
    <w:lvl w:ilvl="0" w:tplc="C380AC9C">
      <w:start w:val="1"/>
      <w:numFmt w:val="bullet"/>
      <w:lvlText w:val=""/>
      <w:lvlJc w:val="left"/>
      <w:pPr>
        <w:ind w:left="644" w:hanging="360"/>
      </w:pPr>
      <w:rPr>
        <w:rFonts w:ascii="Symbol" w:hAnsi="Symbol" w:hint="default"/>
      </w:rPr>
    </w:lvl>
    <w:lvl w:ilvl="1" w:tplc="54E07030" w:tentative="1">
      <w:start w:val="1"/>
      <w:numFmt w:val="bullet"/>
      <w:lvlText w:val="o"/>
      <w:lvlJc w:val="left"/>
      <w:pPr>
        <w:ind w:left="1440" w:hanging="360"/>
      </w:pPr>
      <w:rPr>
        <w:rFonts w:ascii="Courier New" w:hAnsi="Courier New" w:hint="default"/>
      </w:rPr>
    </w:lvl>
    <w:lvl w:ilvl="2" w:tplc="6F0A4772" w:tentative="1">
      <w:start w:val="1"/>
      <w:numFmt w:val="bullet"/>
      <w:lvlText w:val=""/>
      <w:lvlJc w:val="left"/>
      <w:pPr>
        <w:ind w:left="2160" w:hanging="360"/>
      </w:pPr>
      <w:rPr>
        <w:rFonts w:ascii="Wingdings" w:hAnsi="Wingdings" w:hint="default"/>
      </w:rPr>
    </w:lvl>
    <w:lvl w:ilvl="3" w:tplc="543C074C" w:tentative="1">
      <w:start w:val="1"/>
      <w:numFmt w:val="bullet"/>
      <w:lvlText w:val=""/>
      <w:lvlJc w:val="left"/>
      <w:pPr>
        <w:ind w:left="2880" w:hanging="360"/>
      </w:pPr>
      <w:rPr>
        <w:rFonts w:ascii="Symbol" w:hAnsi="Symbol" w:hint="default"/>
      </w:rPr>
    </w:lvl>
    <w:lvl w:ilvl="4" w:tplc="6EA4FBD8" w:tentative="1">
      <w:start w:val="1"/>
      <w:numFmt w:val="bullet"/>
      <w:lvlText w:val="o"/>
      <w:lvlJc w:val="left"/>
      <w:pPr>
        <w:ind w:left="3600" w:hanging="360"/>
      </w:pPr>
      <w:rPr>
        <w:rFonts w:ascii="Courier New" w:hAnsi="Courier New" w:hint="default"/>
      </w:rPr>
    </w:lvl>
    <w:lvl w:ilvl="5" w:tplc="302C96AC" w:tentative="1">
      <w:start w:val="1"/>
      <w:numFmt w:val="bullet"/>
      <w:lvlText w:val=""/>
      <w:lvlJc w:val="left"/>
      <w:pPr>
        <w:ind w:left="4320" w:hanging="360"/>
      </w:pPr>
      <w:rPr>
        <w:rFonts w:ascii="Wingdings" w:hAnsi="Wingdings" w:hint="default"/>
      </w:rPr>
    </w:lvl>
    <w:lvl w:ilvl="6" w:tplc="F236A01E" w:tentative="1">
      <w:start w:val="1"/>
      <w:numFmt w:val="bullet"/>
      <w:lvlText w:val=""/>
      <w:lvlJc w:val="left"/>
      <w:pPr>
        <w:ind w:left="5040" w:hanging="360"/>
      </w:pPr>
      <w:rPr>
        <w:rFonts w:ascii="Symbol" w:hAnsi="Symbol" w:hint="default"/>
      </w:rPr>
    </w:lvl>
    <w:lvl w:ilvl="7" w:tplc="1DCED776" w:tentative="1">
      <w:start w:val="1"/>
      <w:numFmt w:val="bullet"/>
      <w:lvlText w:val="o"/>
      <w:lvlJc w:val="left"/>
      <w:pPr>
        <w:ind w:left="5760" w:hanging="360"/>
      </w:pPr>
      <w:rPr>
        <w:rFonts w:ascii="Courier New" w:hAnsi="Courier New" w:hint="default"/>
      </w:rPr>
    </w:lvl>
    <w:lvl w:ilvl="8" w:tplc="7474FE84" w:tentative="1">
      <w:start w:val="1"/>
      <w:numFmt w:val="bullet"/>
      <w:lvlText w:val=""/>
      <w:lvlJc w:val="left"/>
      <w:pPr>
        <w:ind w:left="6480" w:hanging="360"/>
      </w:pPr>
      <w:rPr>
        <w:rFonts w:ascii="Wingdings" w:hAnsi="Wingdings" w:hint="default"/>
      </w:rPr>
    </w:lvl>
  </w:abstractNum>
  <w:abstractNum w:abstractNumId="212" w15:restartNumberingAfterBreak="0">
    <w:nsid w:val="2CFDA2FF"/>
    <w:multiLevelType w:val="hybridMultilevel"/>
    <w:tmpl w:val="FFFFFFFF"/>
    <w:lvl w:ilvl="0" w:tplc="EB1AE20A">
      <w:start w:val="1"/>
      <w:numFmt w:val="bullet"/>
      <w:lvlText w:val=""/>
      <w:lvlJc w:val="left"/>
      <w:pPr>
        <w:ind w:left="720" w:hanging="360"/>
      </w:pPr>
      <w:rPr>
        <w:rFonts w:ascii="Symbol" w:hAnsi="Symbol" w:hint="default"/>
      </w:rPr>
    </w:lvl>
    <w:lvl w:ilvl="1" w:tplc="3552FFA2">
      <w:start w:val="1"/>
      <w:numFmt w:val="bullet"/>
      <w:lvlText w:val="o"/>
      <w:lvlJc w:val="left"/>
      <w:pPr>
        <w:ind w:left="1440" w:hanging="360"/>
      </w:pPr>
      <w:rPr>
        <w:rFonts w:ascii="Courier New" w:hAnsi="Courier New" w:hint="default"/>
      </w:rPr>
    </w:lvl>
    <w:lvl w:ilvl="2" w:tplc="8656F4B2">
      <w:start w:val="1"/>
      <w:numFmt w:val="bullet"/>
      <w:lvlText w:val=""/>
      <w:lvlJc w:val="left"/>
      <w:pPr>
        <w:ind w:left="2160" w:hanging="360"/>
      </w:pPr>
      <w:rPr>
        <w:rFonts w:ascii="Wingdings" w:hAnsi="Wingdings" w:hint="default"/>
      </w:rPr>
    </w:lvl>
    <w:lvl w:ilvl="3" w:tplc="10C6E07A">
      <w:start w:val="1"/>
      <w:numFmt w:val="bullet"/>
      <w:lvlText w:val=""/>
      <w:lvlJc w:val="left"/>
      <w:pPr>
        <w:ind w:left="2880" w:hanging="360"/>
      </w:pPr>
      <w:rPr>
        <w:rFonts w:ascii="Symbol" w:hAnsi="Symbol" w:hint="default"/>
      </w:rPr>
    </w:lvl>
    <w:lvl w:ilvl="4" w:tplc="2A1606BA">
      <w:start w:val="1"/>
      <w:numFmt w:val="bullet"/>
      <w:lvlText w:val="o"/>
      <w:lvlJc w:val="left"/>
      <w:pPr>
        <w:ind w:left="3600" w:hanging="360"/>
      </w:pPr>
      <w:rPr>
        <w:rFonts w:ascii="Courier New" w:hAnsi="Courier New" w:hint="default"/>
      </w:rPr>
    </w:lvl>
    <w:lvl w:ilvl="5" w:tplc="6818F8F6">
      <w:start w:val="1"/>
      <w:numFmt w:val="bullet"/>
      <w:lvlText w:val=""/>
      <w:lvlJc w:val="left"/>
      <w:pPr>
        <w:ind w:left="4320" w:hanging="360"/>
      </w:pPr>
      <w:rPr>
        <w:rFonts w:ascii="Wingdings" w:hAnsi="Wingdings" w:hint="default"/>
      </w:rPr>
    </w:lvl>
    <w:lvl w:ilvl="6" w:tplc="C0483816">
      <w:start w:val="1"/>
      <w:numFmt w:val="bullet"/>
      <w:lvlText w:val=""/>
      <w:lvlJc w:val="left"/>
      <w:pPr>
        <w:ind w:left="5040" w:hanging="360"/>
      </w:pPr>
      <w:rPr>
        <w:rFonts w:ascii="Symbol" w:hAnsi="Symbol" w:hint="default"/>
      </w:rPr>
    </w:lvl>
    <w:lvl w:ilvl="7" w:tplc="2960A558">
      <w:start w:val="1"/>
      <w:numFmt w:val="bullet"/>
      <w:lvlText w:val="o"/>
      <w:lvlJc w:val="left"/>
      <w:pPr>
        <w:ind w:left="5760" w:hanging="360"/>
      </w:pPr>
      <w:rPr>
        <w:rFonts w:ascii="Courier New" w:hAnsi="Courier New" w:hint="default"/>
      </w:rPr>
    </w:lvl>
    <w:lvl w:ilvl="8" w:tplc="A014C312">
      <w:start w:val="1"/>
      <w:numFmt w:val="bullet"/>
      <w:lvlText w:val=""/>
      <w:lvlJc w:val="left"/>
      <w:pPr>
        <w:ind w:left="6480" w:hanging="360"/>
      </w:pPr>
      <w:rPr>
        <w:rFonts w:ascii="Wingdings" w:hAnsi="Wingdings" w:hint="default"/>
      </w:rPr>
    </w:lvl>
  </w:abstractNum>
  <w:abstractNum w:abstractNumId="213" w15:restartNumberingAfterBreak="0">
    <w:nsid w:val="2D8055EB"/>
    <w:multiLevelType w:val="multilevel"/>
    <w:tmpl w:val="C76C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D8D3D76"/>
    <w:multiLevelType w:val="hybridMultilevel"/>
    <w:tmpl w:val="9FDAD72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2D8F77A9"/>
    <w:multiLevelType w:val="hybridMultilevel"/>
    <w:tmpl w:val="D42E9682"/>
    <w:lvl w:ilvl="0" w:tplc="91EA61BC">
      <w:start w:val="1"/>
      <w:numFmt w:val="bullet"/>
      <w:lvlText w:val=""/>
      <w:lvlJc w:val="left"/>
      <w:pPr>
        <w:ind w:left="720" w:hanging="360"/>
      </w:pPr>
      <w:rPr>
        <w:rFonts w:ascii="Symbol" w:hAnsi="Symbol" w:hint="default"/>
      </w:rPr>
    </w:lvl>
    <w:lvl w:ilvl="1" w:tplc="E8EC655A" w:tentative="1">
      <w:start w:val="1"/>
      <w:numFmt w:val="bullet"/>
      <w:lvlText w:val="o"/>
      <w:lvlJc w:val="left"/>
      <w:pPr>
        <w:ind w:left="1440" w:hanging="360"/>
      </w:pPr>
      <w:rPr>
        <w:rFonts w:ascii="Courier New" w:hAnsi="Courier New" w:hint="default"/>
      </w:rPr>
    </w:lvl>
    <w:lvl w:ilvl="2" w:tplc="A15A7D30" w:tentative="1">
      <w:start w:val="1"/>
      <w:numFmt w:val="bullet"/>
      <w:lvlText w:val=""/>
      <w:lvlJc w:val="left"/>
      <w:pPr>
        <w:ind w:left="2160" w:hanging="360"/>
      </w:pPr>
      <w:rPr>
        <w:rFonts w:ascii="Wingdings" w:hAnsi="Wingdings" w:hint="default"/>
      </w:rPr>
    </w:lvl>
    <w:lvl w:ilvl="3" w:tplc="1D9EBC9C" w:tentative="1">
      <w:start w:val="1"/>
      <w:numFmt w:val="bullet"/>
      <w:lvlText w:val=""/>
      <w:lvlJc w:val="left"/>
      <w:pPr>
        <w:ind w:left="2880" w:hanging="360"/>
      </w:pPr>
      <w:rPr>
        <w:rFonts w:ascii="Symbol" w:hAnsi="Symbol" w:hint="default"/>
      </w:rPr>
    </w:lvl>
    <w:lvl w:ilvl="4" w:tplc="3A4CF1BE" w:tentative="1">
      <w:start w:val="1"/>
      <w:numFmt w:val="bullet"/>
      <w:lvlText w:val="o"/>
      <w:lvlJc w:val="left"/>
      <w:pPr>
        <w:ind w:left="3600" w:hanging="360"/>
      </w:pPr>
      <w:rPr>
        <w:rFonts w:ascii="Courier New" w:hAnsi="Courier New" w:hint="default"/>
      </w:rPr>
    </w:lvl>
    <w:lvl w:ilvl="5" w:tplc="AC4460DA" w:tentative="1">
      <w:start w:val="1"/>
      <w:numFmt w:val="bullet"/>
      <w:lvlText w:val=""/>
      <w:lvlJc w:val="left"/>
      <w:pPr>
        <w:ind w:left="4320" w:hanging="360"/>
      </w:pPr>
      <w:rPr>
        <w:rFonts w:ascii="Wingdings" w:hAnsi="Wingdings" w:hint="default"/>
      </w:rPr>
    </w:lvl>
    <w:lvl w:ilvl="6" w:tplc="2828104A" w:tentative="1">
      <w:start w:val="1"/>
      <w:numFmt w:val="bullet"/>
      <w:lvlText w:val=""/>
      <w:lvlJc w:val="left"/>
      <w:pPr>
        <w:ind w:left="5040" w:hanging="360"/>
      </w:pPr>
      <w:rPr>
        <w:rFonts w:ascii="Symbol" w:hAnsi="Symbol" w:hint="default"/>
      </w:rPr>
    </w:lvl>
    <w:lvl w:ilvl="7" w:tplc="6226C30A" w:tentative="1">
      <w:start w:val="1"/>
      <w:numFmt w:val="bullet"/>
      <w:lvlText w:val="o"/>
      <w:lvlJc w:val="left"/>
      <w:pPr>
        <w:ind w:left="5760" w:hanging="360"/>
      </w:pPr>
      <w:rPr>
        <w:rFonts w:ascii="Courier New" w:hAnsi="Courier New" w:hint="default"/>
      </w:rPr>
    </w:lvl>
    <w:lvl w:ilvl="8" w:tplc="EF6466E6" w:tentative="1">
      <w:start w:val="1"/>
      <w:numFmt w:val="bullet"/>
      <w:lvlText w:val=""/>
      <w:lvlJc w:val="left"/>
      <w:pPr>
        <w:ind w:left="6480" w:hanging="360"/>
      </w:pPr>
      <w:rPr>
        <w:rFonts w:ascii="Wingdings" w:hAnsi="Wingdings" w:hint="default"/>
      </w:rPr>
    </w:lvl>
  </w:abstractNum>
  <w:abstractNum w:abstractNumId="216" w15:restartNumberingAfterBreak="0">
    <w:nsid w:val="2DF71749"/>
    <w:multiLevelType w:val="multilevel"/>
    <w:tmpl w:val="1E5C16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2E2039B7"/>
    <w:multiLevelType w:val="hybridMultilevel"/>
    <w:tmpl w:val="8AEE57A8"/>
    <w:lvl w:ilvl="0" w:tplc="4B64CE2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2E61D219"/>
    <w:multiLevelType w:val="hybridMultilevel"/>
    <w:tmpl w:val="FFFFFFFF"/>
    <w:lvl w:ilvl="0" w:tplc="F4809D88">
      <w:start w:val="1"/>
      <w:numFmt w:val="bullet"/>
      <w:lvlText w:val="·"/>
      <w:lvlJc w:val="left"/>
      <w:pPr>
        <w:ind w:left="720" w:hanging="360"/>
      </w:pPr>
      <w:rPr>
        <w:rFonts w:ascii="Symbol" w:hAnsi="Symbol" w:hint="default"/>
      </w:rPr>
    </w:lvl>
    <w:lvl w:ilvl="1" w:tplc="DFF2D634">
      <w:start w:val="1"/>
      <w:numFmt w:val="bullet"/>
      <w:lvlText w:val="o"/>
      <w:lvlJc w:val="left"/>
      <w:pPr>
        <w:ind w:left="1440" w:hanging="360"/>
      </w:pPr>
      <w:rPr>
        <w:rFonts w:ascii="Courier New" w:hAnsi="Courier New" w:hint="default"/>
      </w:rPr>
    </w:lvl>
    <w:lvl w:ilvl="2" w:tplc="0D96B6E8">
      <w:start w:val="1"/>
      <w:numFmt w:val="bullet"/>
      <w:lvlText w:val=""/>
      <w:lvlJc w:val="left"/>
      <w:pPr>
        <w:ind w:left="2160" w:hanging="360"/>
      </w:pPr>
      <w:rPr>
        <w:rFonts w:ascii="Wingdings" w:hAnsi="Wingdings" w:hint="default"/>
      </w:rPr>
    </w:lvl>
    <w:lvl w:ilvl="3" w:tplc="80CA6052">
      <w:start w:val="1"/>
      <w:numFmt w:val="bullet"/>
      <w:lvlText w:val=""/>
      <w:lvlJc w:val="left"/>
      <w:pPr>
        <w:ind w:left="2880" w:hanging="360"/>
      </w:pPr>
      <w:rPr>
        <w:rFonts w:ascii="Symbol" w:hAnsi="Symbol" w:hint="default"/>
      </w:rPr>
    </w:lvl>
    <w:lvl w:ilvl="4" w:tplc="C12AFE7A">
      <w:start w:val="1"/>
      <w:numFmt w:val="bullet"/>
      <w:lvlText w:val="o"/>
      <w:lvlJc w:val="left"/>
      <w:pPr>
        <w:ind w:left="3600" w:hanging="360"/>
      </w:pPr>
      <w:rPr>
        <w:rFonts w:ascii="Courier New" w:hAnsi="Courier New" w:hint="default"/>
      </w:rPr>
    </w:lvl>
    <w:lvl w:ilvl="5" w:tplc="5A9EFA46">
      <w:start w:val="1"/>
      <w:numFmt w:val="bullet"/>
      <w:lvlText w:val=""/>
      <w:lvlJc w:val="left"/>
      <w:pPr>
        <w:ind w:left="4320" w:hanging="360"/>
      </w:pPr>
      <w:rPr>
        <w:rFonts w:ascii="Wingdings" w:hAnsi="Wingdings" w:hint="default"/>
      </w:rPr>
    </w:lvl>
    <w:lvl w:ilvl="6" w:tplc="08D40CFA">
      <w:start w:val="1"/>
      <w:numFmt w:val="bullet"/>
      <w:lvlText w:val=""/>
      <w:lvlJc w:val="left"/>
      <w:pPr>
        <w:ind w:left="5040" w:hanging="360"/>
      </w:pPr>
      <w:rPr>
        <w:rFonts w:ascii="Symbol" w:hAnsi="Symbol" w:hint="default"/>
      </w:rPr>
    </w:lvl>
    <w:lvl w:ilvl="7" w:tplc="401E1A76">
      <w:start w:val="1"/>
      <w:numFmt w:val="bullet"/>
      <w:lvlText w:val="o"/>
      <w:lvlJc w:val="left"/>
      <w:pPr>
        <w:ind w:left="5760" w:hanging="360"/>
      </w:pPr>
      <w:rPr>
        <w:rFonts w:ascii="Courier New" w:hAnsi="Courier New" w:hint="default"/>
      </w:rPr>
    </w:lvl>
    <w:lvl w:ilvl="8" w:tplc="693EE350">
      <w:start w:val="1"/>
      <w:numFmt w:val="bullet"/>
      <w:lvlText w:val=""/>
      <w:lvlJc w:val="left"/>
      <w:pPr>
        <w:ind w:left="6480" w:hanging="360"/>
      </w:pPr>
      <w:rPr>
        <w:rFonts w:ascii="Wingdings" w:hAnsi="Wingdings" w:hint="default"/>
      </w:rPr>
    </w:lvl>
  </w:abstractNum>
  <w:abstractNum w:abstractNumId="219" w15:restartNumberingAfterBreak="0">
    <w:nsid w:val="2E75053C"/>
    <w:multiLevelType w:val="hybridMultilevel"/>
    <w:tmpl w:val="28580292"/>
    <w:lvl w:ilvl="0" w:tplc="5D90EC70">
      <w:start w:val="1"/>
      <w:numFmt w:val="bullet"/>
      <w:lvlText w:val=""/>
      <w:lvlJc w:val="left"/>
      <w:pPr>
        <w:ind w:left="720" w:hanging="360"/>
      </w:pPr>
      <w:rPr>
        <w:rFonts w:ascii="Symbol" w:hAnsi="Symbol" w:hint="default"/>
        <w:sz w:val="22"/>
        <w:szCs w:val="22"/>
      </w:rPr>
    </w:lvl>
    <w:lvl w:ilvl="1" w:tplc="3EBC1C6A" w:tentative="1">
      <w:start w:val="1"/>
      <w:numFmt w:val="bullet"/>
      <w:lvlText w:val="o"/>
      <w:lvlJc w:val="left"/>
      <w:pPr>
        <w:ind w:left="1440" w:hanging="360"/>
      </w:pPr>
      <w:rPr>
        <w:rFonts w:ascii="Courier New" w:hAnsi="Courier New" w:hint="default"/>
      </w:rPr>
    </w:lvl>
    <w:lvl w:ilvl="2" w:tplc="69A669A6" w:tentative="1">
      <w:start w:val="1"/>
      <w:numFmt w:val="bullet"/>
      <w:lvlText w:val=""/>
      <w:lvlJc w:val="left"/>
      <w:pPr>
        <w:ind w:left="2160" w:hanging="360"/>
      </w:pPr>
      <w:rPr>
        <w:rFonts w:ascii="Wingdings" w:hAnsi="Wingdings" w:hint="default"/>
      </w:rPr>
    </w:lvl>
    <w:lvl w:ilvl="3" w:tplc="753AD340" w:tentative="1">
      <w:start w:val="1"/>
      <w:numFmt w:val="bullet"/>
      <w:lvlText w:val=""/>
      <w:lvlJc w:val="left"/>
      <w:pPr>
        <w:ind w:left="2880" w:hanging="360"/>
      </w:pPr>
      <w:rPr>
        <w:rFonts w:ascii="Symbol" w:hAnsi="Symbol" w:hint="default"/>
      </w:rPr>
    </w:lvl>
    <w:lvl w:ilvl="4" w:tplc="C01EE1AC" w:tentative="1">
      <w:start w:val="1"/>
      <w:numFmt w:val="bullet"/>
      <w:lvlText w:val="o"/>
      <w:lvlJc w:val="left"/>
      <w:pPr>
        <w:ind w:left="3600" w:hanging="360"/>
      </w:pPr>
      <w:rPr>
        <w:rFonts w:ascii="Courier New" w:hAnsi="Courier New" w:hint="default"/>
      </w:rPr>
    </w:lvl>
    <w:lvl w:ilvl="5" w:tplc="0D40CA4E" w:tentative="1">
      <w:start w:val="1"/>
      <w:numFmt w:val="bullet"/>
      <w:lvlText w:val=""/>
      <w:lvlJc w:val="left"/>
      <w:pPr>
        <w:ind w:left="4320" w:hanging="360"/>
      </w:pPr>
      <w:rPr>
        <w:rFonts w:ascii="Wingdings" w:hAnsi="Wingdings" w:hint="default"/>
      </w:rPr>
    </w:lvl>
    <w:lvl w:ilvl="6" w:tplc="D0A0272C" w:tentative="1">
      <w:start w:val="1"/>
      <w:numFmt w:val="bullet"/>
      <w:lvlText w:val=""/>
      <w:lvlJc w:val="left"/>
      <w:pPr>
        <w:ind w:left="5040" w:hanging="360"/>
      </w:pPr>
      <w:rPr>
        <w:rFonts w:ascii="Symbol" w:hAnsi="Symbol" w:hint="default"/>
      </w:rPr>
    </w:lvl>
    <w:lvl w:ilvl="7" w:tplc="3BF47C30" w:tentative="1">
      <w:start w:val="1"/>
      <w:numFmt w:val="bullet"/>
      <w:lvlText w:val="o"/>
      <w:lvlJc w:val="left"/>
      <w:pPr>
        <w:ind w:left="5760" w:hanging="360"/>
      </w:pPr>
      <w:rPr>
        <w:rFonts w:ascii="Courier New" w:hAnsi="Courier New" w:hint="default"/>
      </w:rPr>
    </w:lvl>
    <w:lvl w:ilvl="8" w:tplc="C8A0438C" w:tentative="1">
      <w:start w:val="1"/>
      <w:numFmt w:val="bullet"/>
      <w:lvlText w:val=""/>
      <w:lvlJc w:val="left"/>
      <w:pPr>
        <w:ind w:left="6480" w:hanging="360"/>
      </w:pPr>
      <w:rPr>
        <w:rFonts w:ascii="Wingdings" w:hAnsi="Wingdings" w:hint="default"/>
      </w:rPr>
    </w:lvl>
  </w:abstractNum>
  <w:abstractNum w:abstractNumId="220" w15:restartNumberingAfterBreak="0">
    <w:nsid w:val="2E896D44"/>
    <w:multiLevelType w:val="multilevel"/>
    <w:tmpl w:val="1A72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EAF29A8"/>
    <w:multiLevelType w:val="hybridMultilevel"/>
    <w:tmpl w:val="BBD46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2ED26DDE"/>
    <w:multiLevelType w:val="multilevel"/>
    <w:tmpl w:val="719E2F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3" w15:restartNumberingAfterBreak="0">
    <w:nsid w:val="2EDA1C6E"/>
    <w:multiLevelType w:val="hybridMultilevel"/>
    <w:tmpl w:val="98EE88BA"/>
    <w:lvl w:ilvl="0" w:tplc="F44A3FBA">
      <w:start w:val="1"/>
      <w:numFmt w:val="bullet"/>
      <w:lvlText w:val=""/>
      <w:lvlJc w:val="left"/>
      <w:pPr>
        <w:ind w:left="720" w:hanging="360"/>
      </w:pPr>
      <w:rPr>
        <w:rFonts w:ascii="Symbol" w:hAnsi="Symbol" w:hint="default"/>
      </w:rPr>
    </w:lvl>
    <w:lvl w:ilvl="1" w:tplc="27D21298" w:tentative="1">
      <w:start w:val="1"/>
      <w:numFmt w:val="bullet"/>
      <w:lvlText w:val="o"/>
      <w:lvlJc w:val="left"/>
      <w:pPr>
        <w:ind w:left="1440" w:hanging="360"/>
      </w:pPr>
      <w:rPr>
        <w:rFonts w:ascii="Courier New" w:hAnsi="Courier New" w:hint="default"/>
      </w:rPr>
    </w:lvl>
    <w:lvl w:ilvl="2" w:tplc="CFC2BE5C" w:tentative="1">
      <w:start w:val="1"/>
      <w:numFmt w:val="bullet"/>
      <w:lvlText w:val=""/>
      <w:lvlJc w:val="left"/>
      <w:pPr>
        <w:ind w:left="2160" w:hanging="360"/>
      </w:pPr>
      <w:rPr>
        <w:rFonts w:ascii="Wingdings" w:hAnsi="Wingdings" w:hint="default"/>
      </w:rPr>
    </w:lvl>
    <w:lvl w:ilvl="3" w:tplc="73609658" w:tentative="1">
      <w:start w:val="1"/>
      <w:numFmt w:val="bullet"/>
      <w:lvlText w:val=""/>
      <w:lvlJc w:val="left"/>
      <w:pPr>
        <w:ind w:left="2880" w:hanging="360"/>
      </w:pPr>
      <w:rPr>
        <w:rFonts w:ascii="Symbol" w:hAnsi="Symbol" w:hint="default"/>
      </w:rPr>
    </w:lvl>
    <w:lvl w:ilvl="4" w:tplc="1772C3B8" w:tentative="1">
      <w:start w:val="1"/>
      <w:numFmt w:val="bullet"/>
      <w:lvlText w:val="o"/>
      <w:lvlJc w:val="left"/>
      <w:pPr>
        <w:ind w:left="3600" w:hanging="360"/>
      </w:pPr>
      <w:rPr>
        <w:rFonts w:ascii="Courier New" w:hAnsi="Courier New" w:hint="default"/>
      </w:rPr>
    </w:lvl>
    <w:lvl w:ilvl="5" w:tplc="F14E0434" w:tentative="1">
      <w:start w:val="1"/>
      <w:numFmt w:val="bullet"/>
      <w:lvlText w:val=""/>
      <w:lvlJc w:val="left"/>
      <w:pPr>
        <w:ind w:left="4320" w:hanging="360"/>
      </w:pPr>
      <w:rPr>
        <w:rFonts w:ascii="Wingdings" w:hAnsi="Wingdings" w:hint="default"/>
      </w:rPr>
    </w:lvl>
    <w:lvl w:ilvl="6" w:tplc="B582C63E" w:tentative="1">
      <w:start w:val="1"/>
      <w:numFmt w:val="bullet"/>
      <w:lvlText w:val=""/>
      <w:lvlJc w:val="left"/>
      <w:pPr>
        <w:ind w:left="5040" w:hanging="360"/>
      </w:pPr>
      <w:rPr>
        <w:rFonts w:ascii="Symbol" w:hAnsi="Symbol" w:hint="default"/>
      </w:rPr>
    </w:lvl>
    <w:lvl w:ilvl="7" w:tplc="B7F255E0" w:tentative="1">
      <w:start w:val="1"/>
      <w:numFmt w:val="bullet"/>
      <w:lvlText w:val="o"/>
      <w:lvlJc w:val="left"/>
      <w:pPr>
        <w:ind w:left="5760" w:hanging="360"/>
      </w:pPr>
      <w:rPr>
        <w:rFonts w:ascii="Courier New" w:hAnsi="Courier New" w:hint="default"/>
      </w:rPr>
    </w:lvl>
    <w:lvl w:ilvl="8" w:tplc="E92254C2" w:tentative="1">
      <w:start w:val="1"/>
      <w:numFmt w:val="bullet"/>
      <w:lvlText w:val=""/>
      <w:lvlJc w:val="left"/>
      <w:pPr>
        <w:ind w:left="6480" w:hanging="360"/>
      </w:pPr>
      <w:rPr>
        <w:rFonts w:ascii="Wingdings" w:hAnsi="Wingdings" w:hint="default"/>
      </w:rPr>
    </w:lvl>
  </w:abstractNum>
  <w:abstractNum w:abstractNumId="224" w15:restartNumberingAfterBreak="0">
    <w:nsid w:val="2EF1CE5B"/>
    <w:multiLevelType w:val="hybridMultilevel"/>
    <w:tmpl w:val="3836D090"/>
    <w:lvl w:ilvl="0" w:tplc="E48676D2">
      <w:start w:val="1"/>
      <w:numFmt w:val="bullet"/>
      <w:lvlText w:val="·"/>
      <w:lvlJc w:val="left"/>
      <w:pPr>
        <w:ind w:left="720" w:hanging="360"/>
      </w:pPr>
      <w:rPr>
        <w:rFonts w:ascii="Symbol" w:hAnsi="Symbol" w:hint="default"/>
      </w:rPr>
    </w:lvl>
    <w:lvl w:ilvl="1" w:tplc="E1B448C2">
      <w:start w:val="1"/>
      <w:numFmt w:val="bullet"/>
      <w:lvlText w:val="o"/>
      <w:lvlJc w:val="left"/>
      <w:pPr>
        <w:ind w:left="1440" w:hanging="360"/>
      </w:pPr>
      <w:rPr>
        <w:rFonts w:ascii="Courier New" w:hAnsi="Courier New" w:hint="default"/>
      </w:rPr>
    </w:lvl>
    <w:lvl w:ilvl="2" w:tplc="B70828EA">
      <w:start w:val="1"/>
      <w:numFmt w:val="bullet"/>
      <w:lvlText w:val=""/>
      <w:lvlJc w:val="left"/>
      <w:pPr>
        <w:ind w:left="2160" w:hanging="360"/>
      </w:pPr>
      <w:rPr>
        <w:rFonts w:ascii="Wingdings" w:hAnsi="Wingdings" w:hint="default"/>
      </w:rPr>
    </w:lvl>
    <w:lvl w:ilvl="3" w:tplc="1EAAA2DC">
      <w:start w:val="1"/>
      <w:numFmt w:val="bullet"/>
      <w:lvlText w:val=""/>
      <w:lvlJc w:val="left"/>
      <w:pPr>
        <w:ind w:left="2880" w:hanging="360"/>
      </w:pPr>
      <w:rPr>
        <w:rFonts w:ascii="Symbol" w:hAnsi="Symbol" w:hint="default"/>
      </w:rPr>
    </w:lvl>
    <w:lvl w:ilvl="4" w:tplc="68B0981E">
      <w:start w:val="1"/>
      <w:numFmt w:val="bullet"/>
      <w:lvlText w:val="o"/>
      <w:lvlJc w:val="left"/>
      <w:pPr>
        <w:ind w:left="3600" w:hanging="360"/>
      </w:pPr>
      <w:rPr>
        <w:rFonts w:ascii="Courier New" w:hAnsi="Courier New" w:hint="default"/>
      </w:rPr>
    </w:lvl>
    <w:lvl w:ilvl="5" w:tplc="3ECC8F4E">
      <w:start w:val="1"/>
      <w:numFmt w:val="bullet"/>
      <w:lvlText w:val=""/>
      <w:lvlJc w:val="left"/>
      <w:pPr>
        <w:ind w:left="4320" w:hanging="360"/>
      </w:pPr>
      <w:rPr>
        <w:rFonts w:ascii="Wingdings" w:hAnsi="Wingdings" w:hint="default"/>
      </w:rPr>
    </w:lvl>
    <w:lvl w:ilvl="6" w:tplc="379CAEA6">
      <w:start w:val="1"/>
      <w:numFmt w:val="bullet"/>
      <w:lvlText w:val=""/>
      <w:lvlJc w:val="left"/>
      <w:pPr>
        <w:ind w:left="5040" w:hanging="360"/>
      </w:pPr>
      <w:rPr>
        <w:rFonts w:ascii="Symbol" w:hAnsi="Symbol" w:hint="default"/>
      </w:rPr>
    </w:lvl>
    <w:lvl w:ilvl="7" w:tplc="8AFC45F2">
      <w:start w:val="1"/>
      <w:numFmt w:val="bullet"/>
      <w:lvlText w:val="o"/>
      <w:lvlJc w:val="left"/>
      <w:pPr>
        <w:ind w:left="5760" w:hanging="360"/>
      </w:pPr>
      <w:rPr>
        <w:rFonts w:ascii="Courier New" w:hAnsi="Courier New" w:hint="default"/>
      </w:rPr>
    </w:lvl>
    <w:lvl w:ilvl="8" w:tplc="E63646F0">
      <w:start w:val="1"/>
      <w:numFmt w:val="bullet"/>
      <w:lvlText w:val=""/>
      <w:lvlJc w:val="left"/>
      <w:pPr>
        <w:ind w:left="6480" w:hanging="360"/>
      </w:pPr>
      <w:rPr>
        <w:rFonts w:ascii="Wingdings" w:hAnsi="Wingdings" w:hint="default"/>
      </w:rPr>
    </w:lvl>
  </w:abstractNum>
  <w:abstractNum w:abstractNumId="225" w15:restartNumberingAfterBreak="0">
    <w:nsid w:val="2FDC429B"/>
    <w:multiLevelType w:val="multilevel"/>
    <w:tmpl w:val="00A2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30015031"/>
    <w:multiLevelType w:val="multilevel"/>
    <w:tmpl w:val="4FB4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3025289A"/>
    <w:multiLevelType w:val="multilevel"/>
    <w:tmpl w:val="8F86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303F1212"/>
    <w:multiLevelType w:val="hybridMultilevel"/>
    <w:tmpl w:val="EE96A5F0"/>
    <w:lvl w:ilvl="0" w:tplc="6CAEC882">
      <w:start w:val="1"/>
      <w:numFmt w:val="bullet"/>
      <w:lvlText w:val=""/>
      <w:lvlJc w:val="left"/>
      <w:pPr>
        <w:ind w:left="319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30920CD2"/>
    <w:multiLevelType w:val="multilevel"/>
    <w:tmpl w:val="FB38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C52DED"/>
    <w:multiLevelType w:val="hybridMultilevel"/>
    <w:tmpl w:val="2A7659B8"/>
    <w:lvl w:ilvl="0" w:tplc="09706DD8">
      <w:start w:val="1"/>
      <w:numFmt w:val="bullet"/>
      <w:lvlText w:val=""/>
      <w:lvlJc w:val="left"/>
      <w:pPr>
        <w:ind w:left="720" w:hanging="360"/>
      </w:pPr>
      <w:rPr>
        <w:rFonts w:ascii="Symbol" w:hAnsi="Symbol" w:hint="default"/>
      </w:rPr>
    </w:lvl>
    <w:lvl w:ilvl="1" w:tplc="676AB5C4">
      <w:start w:val="1"/>
      <w:numFmt w:val="bullet"/>
      <w:lvlText w:val="o"/>
      <w:lvlJc w:val="left"/>
      <w:pPr>
        <w:ind w:left="1440" w:hanging="360"/>
      </w:pPr>
      <w:rPr>
        <w:rFonts w:ascii="Courier New" w:hAnsi="Courier New" w:hint="default"/>
      </w:rPr>
    </w:lvl>
    <w:lvl w:ilvl="2" w:tplc="8D2C3628">
      <w:start w:val="1"/>
      <w:numFmt w:val="bullet"/>
      <w:lvlText w:val=""/>
      <w:lvlJc w:val="left"/>
      <w:pPr>
        <w:ind w:left="2160" w:hanging="360"/>
      </w:pPr>
      <w:rPr>
        <w:rFonts w:ascii="Wingdings" w:hAnsi="Wingdings" w:hint="default"/>
      </w:rPr>
    </w:lvl>
    <w:lvl w:ilvl="3" w:tplc="2A0096D6">
      <w:start w:val="1"/>
      <w:numFmt w:val="bullet"/>
      <w:lvlText w:val=""/>
      <w:lvlJc w:val="left"/>
      <w:pPr>
        <w:ind w:left="2880" w:hanging="360"/>
      </w:pPr>
      <w:rPr>
        <w:rFonts w:ascii="Symbol" w:hAnsi="Symbol" w:hint="default"/>
      </w:rPr>
    </w:lvl>
    <w:lvl w:ilvl="4" w:tplc="1B722D70">
      <w:start w:val="1"/>
      <w:numFmt w:val="bullet"/>
      <w:lvlText w:val="o"/>
      <w:lvlJc w:val="left"/>
      <w:pPr>
        <w:ind w:left="3600" w:hanging="360"/>
      </w:pPr>
      <w:rPr>
        <w:rFonts w:ascii="Courier New" w:hAnsi="Courier New" w:hint="default"/>
      </w:rPr>
    </w:lvl>
    <w:lvl w:ilvl="5" w:tplc="67A0FCB8">
      <w:start w:val="1"/>
      <w:numFmt w:val="bullet"/>
      <w:lvlText w:val=""/>
      <w:lvlJc w:val="left"/>
      <w:pPr>
        <w:ind w:left="4320" w:hanging="360"/>
      </w:pPr>
      <w:rPr>
        <w:rFonts w:ascii="Wingdings" w:hAnsi="Wingdings" w:hint="default"/>
      </w:rPr>
    </w:lvl>
    <w:lvl w:ilvl="6" w:tplc="BAC21444">
      <w:start w:val="1"/>
      <w:numFmt w:val="bullet"/>
      <w:lvlText w:val=""/>
      <w:lvlJc w:val="left"/>
      <w:pPr>
        <w:ind w:left="5040" w:hanging="360"/>
      </w:pPr>
      <w:rPr>
        <w:rFonts w:ascii="Symbol" w:hAnsi="Symbol" w:hint="default"/>
      </w:rPr>
    </w:lvl>
    <w:lvl w:ilvl="7" w:tplc="C910E876">
      <w:start w:val="1"/>
      <w:numFmt w:val="bullet"/>
      <w:lvlText w:val="o"/>
      <w:lvlJc w:val="left"/>
      <w:pPr>
        <w:ind w:left="5760" w:hanging="360"/>
      </w:pPr>
      <w:rPr>
        <w:rFonts w:ascii="Courier New" w:hAnsi="Courier New" w:hint="default"/>
      </w:rPr>
    </w:lvl>
    <w:lvl w:ilvl="8" w:tplc="A798DD30">
      <w:start w:val="1"/>
      <w:numFmt w:val="bullet"/>
      <w:lvlText w:val=""/>
      <w:lvlJc w:val="left"/>
      <w:pPr>
        <w:ind w:left="6480" w:hanging="360"/>
      </w:pPr>
      <w:rPr>
        <w:rFonts w:ascii="Wingdings" w:hAnsi="Wingdings" w:hint="default"/>
      </w:rPr>
    </w:lvl>
  </w:abstractNum>
  <w:abstractNum w:abstractNumId="231" w15:restartNumberingAfterBreak="0">
    <w:nsid w:val="313E4612"/>
    <w:multiLevelType w:val="multilevel"/>
    <w:tmpl w:val="FE3E3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713A7"/>
    <w:multiLevelType w:val="hybridMultilevel"/>
    <w:tmpl w:val="57A253FA"/>
    <w:lvl w:ilvl="0" w:tplc="15D01A56">
      <w:start w:val="1"/>
      <w:numFmt w:val="bullet"/>
      <w:lvlText w:val=""/>
      <w:lvlJc w:val="left"/>
      <w:pPr>
        <w:ind w:left="720" w:hanging="360"/>
      </w:pPr>
      <w:rPr>
        <w:rFonts w:ascii="Symbol" w:hAnsi="Symbol" w:hint="default"/>
      </w:rPr>
    </w:lvl>
    <w:lvl w:ilvl="1" w:tplc="BE08DEC2">
      <w:start w:val="1"/>
      <w:numFmt w:val="bullet"/>
      <w:lvlText w:val="o"/>
      <w:lvlJc w:val="left"/>
      <w:pPr>
        <w:ind w:left="1440" w:hanging="360"/>
      </w:pPr>
      <w:rPr>
        <w:rFonts w:ascii="&quot;Courier New&quot;" w:hAnsi="&quot;Courier New&quot;" w:hint="default"/>
      </w:rPr>
    </w:lvl>
    <w:lvl w:ilvl="2" w:tplc="4BE4BCD4">
      <w:start w:val="1"/>
      <w:numFmt w:val="bullet"/>
      <w:lvlText w:val=""/>
      <w:lvlJc w:val="left"/>
      <w:pPr>
        <w:ind w:left="2160" w:hanging="360"/>
      </w:pPr>
      <w:rPr>
        <w:rFonts w:ascii="Wingdings" w:hAnsi="Wingdings" w:hint="default"/>
      </w:rPr>
    </w:lvl>
    <w:lvl w:ilvl="3" w:tplc="8482E0CA">
      <w:start w:val="1"/>
      <w:numFmt w:val="bullet"/>
      <w:lvlText w:val=""/>
      <w:lvlJc w:val="left"/>
      <w:pPr>
        <w:ind w:left="2880" w:hanging="360"/>
      </w:pPr>
      <w:rPr>
        <w:rFonts w:ascii="Symbol" w:hAnsi="Symbol" w:hint="default"/>
      </w:rPr>
    </w:lvl>
    <w:lvl w:ilvl="4" w:tplc="2A6CF6DC">
      <w:start w:val="1"/>
      <w:numFmt w:val="bullet"/>
      <w:lvlText w:val="o"/>
      <w:lvlJc w:val="left"/>
      <w:pPr>
        <w:ind w:left="3600" w:hanging="360"/>
      </w:pPr>
      <w:rPr>
        <w:rFonts w:ascii="Courier New" w:hAnsi="Courier New" w:hint="default"/>
      </w:rPr>
    </w:lvl>
    <w:lvl w:ilvl="5" w:tplc="11AE85A4">
      <w:start w:val="1"/>
      <w:numFmt w:val="bullet"/>
      <w:lvlText w:val=""/>
      <w:lvlJc w:val="left"/>
      <w:pPr>
        <w:ind w:left="4320" w:hanging="360"/>
      </w:pPr>
      <w:rPr>
        <w:rFonts w:ascii="Wingdings" w:hAnsi="Wingdings" w:hint="default"/>
      </w:rPr>
    </w:lvl>
    <w:lvl w:ilvl="6" w:tplc="6C6E573C">
      <w:start w:val="1"/>
      <w:numFmt w:val="bullet"/>
      <w:lvlText w:val=""/>
      <w:lvlJc w:val="left"/>
      <w:pPr>
        <w:ind w:left="5040" w:hanging="360"/>
      </w:pPr>
      <w:rPr>
        <w:rFonts w:ascii="Symbol" w:hAnsi="Symbol" w:hint="default"/>
      </w:rPr>
    </w:lvl>
    <w:lvl w:ilvl="7" w:tplc="1FFC4B36">
      <w:start w:val="1"/>
      <w:numFmt w:val="bullet"/>
      <w:lvlText w:val="o"/>
      <w:lvlJc w:val="left"/>
      <w:pPr>
        <w:ind w:left="5760" w:hanging="360"/>
      </w:pPr>
      <w:rPr>
        <w:rFonts w:ascii="Courier New" w:hAnsi="Courier New" w:hint="default"/>
      </w:rPr>
    </w:lvl>
    <w:lvl w:ilvl="8" w:tplc="B748C04E">
      <w:start w:val="1"/>
      <w:numFmt w:val="bullet"/>
      <w:lvlText w:val=""/>
      <w:lvlJc w:val="left"/>
      <w:pPr>
        <w:ind w:left="6480" w:hanging="360"/>
      </w:pPr>
      <w:rPr>
        <w:rFonts w:ascii="Wingdings" w:hAnsi="Wingdings" w:hint="default"/>
      </w:rPr>
    </w:lvl>
  </w:abstractNum>
  <w:abstractNum w:abstractNumId="233" w15:restartNumberingAfterBreak="0">
    <w:nsid w:val="31873265"/>
    <w:multiLevelType w:val="multilevel"/>
    <w:tmpl w:val="095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207682F"/>
    <w:multiLevelType w:val="hybridMultilevel"/>
    <w:tmpl w:val="356AB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32297994"/>
    <w:multiLevelType w:val="hybridMultilevel"/>
    <w:tmpl w:val="C1AECE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328A1A10"/>
    <w:multiLevelType w:val="hybridMultilevel"/>
    <w:tmpl w:val="733C3A4E"/>
    <w:lvl w:ilvl="0" w:tplc="9C005188">
      <w:start w:val="1"/>
      <w:numFmt w:val="bullet"/>
      <w:lvlText w:val=""/>
      <w:lvlJc w:val="left"/>
      <w:pPr>
        <w:ind w:left="720" w:hanging="360"/>
      </w:pPr>
      <w:rPr>
        <w:rFonts w:ascii="Symbol" w:hAnsi="Symbol" w:hint="default"/>
      </w:rPr>
    </w:lvl>
    <w:lvl w:ilvl="1" w:tplc="3A04146A" w:tentative="1">
      <w:start w:val="1"/>
      <w:numFmt w:val="bullet"/>
      <w:lvlText w:val="o"/>
      <w:lvlJc w:val="left"/>
      <w:pPr>
        <w:ind w:left="1440" w:hanging="360"/>
      </w:pPr>
      <w:rPr>
        <w:rFonts w:ascii="Courier New" w:hAnsi="Courier New" w:hint="default"/>
      </w:rPr>
    </w:lvl>
    <w:lvl w:ilvl="2" w:tplc="798421B4" w:tentative="1">
      <w:start w:val="1"/>
      <w:numFmt w:val="bullet"/>
      <w:lvlText w:val=""/>
      <w:lvlJc w:val="left"/>
      <w:pPr>
        <w:ind w:left="2160" w:hanging="360"/>
      </w:pPr>
      <w:rPr>
        <w:rFonts w:ascii="Wingdings" w:hAnsi="Wingdings" w:hint="default"/>
      </w:rPr>
    </w:lvl>
    <w:lvl w:ilvl="3" w:tplc="49B4E752" w:tentative="1">
      <w:start w:val="1"/>
      <w:numFmt w:val="bullet"/>
      <w:lvlText w:val=""/>
      <w:lvlJc w:val="left"/>
      <w:pPr>
        <w:ind w:left="2880" w:hanging="360"/>
      </w:pPr>
      <w:rPr>
        <w:rFonts w:ascii="Symbol" w:hAnsi="Symbol" w:hint="default"/>
      </w:rPr>
    </w:lvl>
    <w:lvl w:ilvl="4" w:tplc="EF0EA3C4" w:tentative="1">
      <w:start w:val="1"/>
      <w:numFmt w:val="bullet"/>
      <w:lvlText w:val="o"/>
      <w:lvlJc w:val="left"/>
      <w:pPr>
        <w:ind w:left="3600" w:hanging="360"/>
      </w:pPr>
      <w:rPr>
        <w:rFonts w:ascii="Courier New" w:hAnsi="Courier New" w:hint="default"/>
      </w:rPr>
    </w:lvl>
    <w:lvl w:ilvl="5" w:tplc="4218F73C" w:tentative="1">
      <w:start w:val="1"/>
      <w:numFmt w:val="bullet"/>
      <w:lvlText w:val=""/>
      <w:lvlJc w:val="left"/>
      <w:pPr>
        <w:ind w:left="4320" w:hanging="360"/>
      </w:pPr>
      <w:rPr>
        <w:rFonts w:ascii="Wingdings" w:hAnsi="Wingdings" w:hint="default"/>
      </w:rPr>
    </w:lvl>
    <w:lvl w:ilvl="6" w:tplc="4DD2CB02" w:tentative="1">
      <w:start w:val="1"/>
      <w:numFmt w:val="bullet"/>
      <w:lvlText w:val=""/>
      <w:lvlJc w:val="left"/>
      <w:pPr>
        <w:ind w:left="5040" w:hanging="360"/>
      </w:pPr>
      <w:rPr>
        <w:rFonts w:ascii="Symbol" w:hAnsi="Symbol" w:hint="default"/>
      </w:rPr>
    </w:lvl>
    <w:lvl w:ilvl="7" w:tplc="9F52B1E4" w:tentative="1">
      <w:start w:val="1"/>
      <w:numFmt w:val="bullet"/>
      <w:lvlText w:val="o"/>
      <w:lvlJc w:val="left"/>
      <w:pPr>
        <w:ind w:left="5760" w:hanging="360"/>
      </w:pPr>
      <w:rPr>
        <w:rFonts w:ascii="Courier New" w:hAnsi="Courier New" w:hint="default"/>
      </w:rPr>
    </w:lvl>
    <w:lvl w:ilvl="8" w:tplc="2160C208" w:tentative="1">
      <w:start w:val="1"/>
      <w:numFmt w:val="bullet"/>
      <w:lvlText w:val=""/>
      <w:lvlJc w:val="left"/>
      <w:pPr>
        <w:ind w:left="6480" w:hanging="360"/>
      </w:pPr>
      <w:rPr>
        <w:rFonts w:ascii="Wingdings" w:hAnsi="Wingdings" w:hint="default"/>
      </w:rPr>
    </w:lvl>
  </w:abstractNum>
  <w:abstractNum w:abstractNumId="237" w15:restartNumberingAfterBreak="0">
    <w:nsid w:val="32953770"/>
    <w:multiLevelType w:val="hybridMultilevel"/>
    <w:tmpl w:val="0FC417CC"/>
    <w:lvl w:ilvl="0" w:tplc="7F2635BA">
      <w:start w:val="1"/>
      <w:numFmt w:val="bullet"/>
      <w:lvlText w:val=""/>
      <w:lvlJc w:val="left"/>
      <w:pPr>
        <w:ind w:left="720" w:hanging="360"/>
      </w:pPr>
      <w:rPr>
        <w:rFonts w:ascii="Symbol" w:hAnsi="Symbol" w:hint="default"/>
      </w:rPr>
    </w:lvl>
    <w:lvl w:ilvl="1" w:tplc="75FE2F2A" w:tentative="1">
      <w:start w:val="1"/>
      <w:numFmt w:val="bullet"/>
      <w:lvlText w:val="o"/>
      <w:lvlJc w:val="left"/>
      <w:pPr>
        <w:ind w:left="1440" w:hanging="360"/>
      </w:pPr>
      <w:rPr>
        <w:rFonts w:ascii="Courier New" w:hAnsi="Courier New" w:hint="default"/>
      </w:rPr>
    </w:lvl>
    <w:lvl w:ilvl="2" w:tplc="BBB2320E" w:tentative="1">
      <w:start w:val="1"/>
      <w:numFmt w:val="bullet"/>
      <w:lvlText w:val=""/>
      <w:lvlJc w:val="left"/>
      <w:pPr>
        <w:ind w:left="2160" w:hanging="360"/>
      </w:pPr>
      <w:rPr>
        <w:rFonts w:ascii="Wingdings" w:hAnsi="Wingdings" w:hint="default"/>
      </w:rPr>
    </w:lvl>
    <w:lvl w:ilvl="3" w:tplc="A42CA57C" w:tentative="1">
      <w:start w:val="1"/>
      <w:numFmt w:val="bullet"/>
      <w:lvlText w:val=""/>
      <w:lvlJc w:val="left"/>
      <w:pPr>
        <w:ind w:left="2880" w:hanging="360"/>
      </w:pPr>
      <w:rPr>
        <w:rFonts w:ascii="Symbol" w:hAnsi="Symbol" w:hint="default"/>
      </w:rPr>
    </w:lvl>
    <w:lvl w:ilvl="4" w:tplc="02C23B2E" w:tentative="1">
      <w:start w:val="1"/>
      <w:numFmt w:val="bullet"/>
      <w:lvlText w:val="o"/>
      <w:lvlJc w:val="left"/>
      <w:pPr>
        <w:ind w:left="3600" w:hanging="360"/>
      </w:pPr>
      <w:rPr>
        <w:rFonts w:ascii="Courier New" w:hAnsi="Courier New" w:hint="default"/>
      </w:rPr>
    </w:lvl>
    <w:lvl w:ilvl="5" w:tplc="C6B6B95E" w:tentative="1">
      <w:start w:val="1"/>
      <w:numFmt w:val="bullet"/>
      <w:lvlText w:val=""/>
      <w:lvlJc w:val="left"/>
      <w:pPr>
        <w:ind w:left="4320" w:hanging="360"/>
      </w:pPr>
      <w:rPr>
        <w:rFonts w:ascii="Wingdings" w:hAnsi="Wingdings" w:hint="default"/>
      </w:rPr>
    </w:lvl>
    <w:lvl w:ilvl="6" w:tplc="F3D60E7E" w:tentative="1">
      <w:start w:val="1"/>
      <w:numFmt w:val="bullet"/>
      <w:lvlText w:val=""/>
      <w:lvlJc w:val="left"/>
      <w:pPr>
        <w:ind w:left="5040" w:hanging="360"/>
      </w:pPr>
      <w:rPr>
        <w:rFonts w:ascii="Symbol" w:hAnsi="Symbol" w:hint="default"/>
      </w:rPr>
    </w:lvl>
    <w:lvl w:ilvl="7" w:tplc="630ADD0A" w:tentative="1">
      <w:start w:val="1"/>
      <w:numFmt w:val="bullet"/>
      <w:lvlText w:val="o"/>
      <w:lvlJc w:val="left"/>
      <w:pPr>
        <w:ind w:left="5760" w:hanging="360"/>
      </w:pPr>
      <w:rPr>
        <w:rFonts w:ascii="Courier New" w:hAnsi="Courier New" w:hint="default"/>
      </w:rPr>
    </w:lvl>
    <w:lvl w:ilvl="8" w:tplc="4218FA2E" w:tentative="1">
      <w:start w:val="1"/>
      <w:numFmt w:val="bullet"/>
      <w:lvlText w:val=""/>
      <w:lvlJc w:val="left"/>
      <w:pPr>
        <w:ind w:left="6480" w:hanging="360"/>
      </w:pPr>
      <w:rPr>
        <w:rFonts w:ascii="Wingdings" w:hAnsi="Wingdings" w:hint="default"/>
      </w:rPr>
    </w:lvl>
  </w:abstractNum>
  <w:abstractNum w:abstractNumId="238" w15:restartNumberingAfterBreak="0">
    <w:nsid w:val="32E23823"/>
    <w:multiLevelType w:val="hybridMultilevel"/>
    <w:tmpl w:val="B72A6446"/>
    <w:lvl w:ilvl="0" w:tplc="F13ABF0E">
      <w:start w:val="1"/>
      <w:numFmt w:val="bullet"/>
      <w:lvlText w:val=""/>
      <w:lvlJc w:val="left"/>
      <w:pPr>
        <w:ind w:left="720" w:hanging="360"/>
      </w:pPr>
      <w:rPr>
        <w:rFonts w:ascii="Symbol" w:hAnsi="Symbol" w:hint="default"/>
      </w:rPr>
    </w:lvl>
    <w:lvl w:ilvl="1" w:tplc="1620223E">
      <w:start w:val="1"/>
      <w:numFmt w:val="bullet"/>
      <w:lvlText w:val="o"/>
      <w:lvlJc w:val="left"/>
      <w:pPr>
        <w:ind w:left="1440" w:hanging="360"/>
      </w:pPr>
      <w:rPr>
        <w:rFonts w:ascii="Courier New" w:hAnsi="Courier New" w:hint="default"/>
      </w:rPr>
    </w:lvl>
    <w:lvl w:ilvl="2" w:tplc="E674AE5C" w:tentative="1">
      <w:start w:val="1"/>
      <w:numFmt w:val="bullet"/>
      <w:lvlText w:val=""/>
      <w:lvlJc w:val="left"/>
      <w:pPr>
        <w:ind w:left="2160" w:hanging="360"/>
      </w:pPr>
      <w:rPr>
        <w:rFonts w:ascii="Wingdings" w:hAnsi="Wingdings" w:hint="default"/>
      </w:rPr>
    </w:lvl>
    <w:lvl w:ilvl="3" w:tplc="A074F6E2" w:tentative="1">
      <w:start w:val="1"/>
      <w:numFmt w:val="bullet"/>
      <w:lvlText w:val=""/>
      <w:lvlJc w:val="left"/>
      <w:pPr>
        <w:ind w:left="2880" w:hanging="360"/>
      </w:pPr>
      <w:rPr>
        <w:rFonts w:ascii="Symbol" w:hAnsi="Symbol" w:hint="default"/>
      </w:rPr>
    </w:lvl>
    <w:lvl w:ilvl="4" w:tplc="BF5CAD10" w:tentative="1">
      <w:start w:val="1"/>
      <w:numFmt w:val="bullet"/>
      <w:lvlText w:val="o"/>
      <w:lvlJc w:val="left"/>
      <w:pPr>
        <w:ind w:left="3600" w:hanging="360"/>
      </w:pPr>
      <w:rPr>
        <w:rFonts w:ascii="Courier New" w:hAnsi="Courier New" w:hint="default"/>
      </w:rPr>
    </w:lvl>
    <w:lvl w:ilvl="5" w:tplc="D54EB872" w:tentative="1">
      <w:start w:val="1"/>
      <w:numFmt w:val="bullet"/>
      <w:lvlText w:val=""/>
      <w:lvlJc w:val="left"/>
      <w:pPr>
        <w:ind w:left="4320" w:hanging="360"/>
      </w:pPr>
      <w:rPr>
        <w:rFonts w:ascii="Wingdings" w:hAnsi="Wingdings" w:hint="default"/>
      </w:rPr>
    </w:lvl>
    <w:lvl w:ilvl="6" w:tplc="7916AA28" w:tentative="1">
      <w:start w:val="1"/>
      <w:numFmt w:val="bullet"/>
      <w:lvlText w:val=""/>
      <w:lvlJc w:val="left"/>
      <w:pPr>
        <w:ind w:left="5040" w:hanging="360"/>
      </w:pPr>
      <w:rPr>
        <w:rFonts w:ascii="Symbol" w:hAnsi="Symbol" w:hint="default"/>
      </w:rPr>
    </w:lvl>
    <w:lvl w:ilvl="7" w:tplc="3120F09A" w:tentative="1">
      <w:start w:val="1"/>
      <w:numFmt w:val="bullet"/>
      <w:lvlText w:val="o"/>
      <w:lvlJc w:val="left"/>
      <w:pPr>
        <w:ind w:left="5760" w:hanging="360"/>
      </w:pPr>
      <w:rPr>
        <w:rFonts w:ascii="Courier New" w:hAnsi="Courier New" w:hint="default"/>
      </w:rPr>
    </w:lvl>
    <w:lvl w:ilvl="8" w:tplc="D602BDBE" w:tentative="1">
      <w:start w:val="1"/>
      <w:numFmt w:val="bullet"/>
      <w:lvlText w:val=""/>
      <w:lvlJc w:val="left"/>
      <w:pPr>
        <w:ind w:left="6480" w:hanging="360"/>
      </w:pPr>
      <w:rPr>
        <w:rFonts w:ascii="Wingdings" w:hAnsi="Wingdings" w:hint="default"/>
      </w:rPr>
    </w:lvl>
  </w:abstractNum>
  <w:abstractNum w:abstractNumId="239" w15:restartNumberingAfterBreak="0">
    <w:nsid w:val="335233D4"/>
    <w:multiLevelType w:val="hybridMultilevel"/>
    <w:tmpl w:val="CCD830E0"/>
    <w:lvl w:ilvl="0" w:tplc="474243F4">
      <w:start w:val="1"/>
      <w:numFmt w:val="decimal"/>
      <w:lvlText w:val="%1."/>
      <w:lvlJc w:val="left"/>
      <w:pPr>
        <w:ind w:left="720" w:hanging="360"/>
      </w:pPr>
    </w:lvl>
    <w:lvl w:ilvl="1" w:tplc="4B3CB448">
      <w:start w:val="1"/>
      <w:numFmt w:val="lowerLetter"/>
      <w:lvlText w:val="%2."/>
      <w:lvlJc w:val="left"/>
      <w:pPr>
        <w:ind w:left="1440" w:hanging="360"/>
      </w:pPr>
    </w:lvl>
    <w:lvl w:ilvl="2" w:tplc="B484D17C">
      <w:start w:val="1"/>
      <w:numFmt w:val="lowerRoman"/>
      <w:lvlText w:val="%3."/>
      <w:lvlJc w:val="right"/>
      <w:pPr>
        <w:ind w:left="2160" w:hanging="180"/>
      </w:pPr>
    </w:lvl>
    <w:lvl w:ilvl="3" w:tplc="0B1A242E">
      <w:start w:val="1"/>
      <w:numFmt w:val="decimal"/>
      <w:lvlText w:val="%4."/>
      <w:lvlJc w:val="left"/>
      <w:pPr>
        <w:ind w:left="2880" w:hanging="360"/>
      </w:pPr>
    </w:lvl>
    <w:lvl w:ilvl="4" w:tplc="60E4A744">
      <w:start w:val="1"/>
      <w:numFmt w:val="lowerLetter"/>
      <w:lvlText w:val="%5."/>
      <w:lvlJc w:val="left"/>
      <w:pPr>
        <w:ind w:left="3600" w:hanging="360"/>
      </w:pPr>
    </w:lvl>
    <w:lvl w:ilvl="5" w:tplc="75F844B0">
      <w:start w:val="1"/>
      <w:numFmt w:val="lowerRoman"/>
      <w:lvlText w:val="%6."/>
      <w:lvlJc w:val="right"/>
      <w:pPr>
        <w:ind w:left="4320" w:hanging="180"/>
      </w:pPr>
    </w:lvl>
    <w:lvl w:ilvl="6" w:tplc="84A083B2">
      <w:start w:val="1"/>
      <w:numFmt w:val="decimal"/>
      <w:lvlText w:val="%7."/>
      <w:lvlJc w:val="left"/>
      <w:pPr>
        <w:ind w:left="5040" w:hanging="360"/>
      </w:pPr>
    </w:lvl>
    <w:lvl w:ilvl="7" w:tplc="E16CB1A8">
      <w:start w:val="1"/>
      <w:numFmt w:val="lowerLetter"/>
      <w:lvlText w:val="%8."/>
      <w:lvlJc w:val="left"/>
      <w:pPr>
        <w:ind w:left="5760" w:hanging="360"/>
      </w:pPr>
    </w:lvl>
    <w:lvl w:ilvl="8" w:tplc="EA46FC30">
      <w:start w:val="1"/>
      <w:numFmt w:val="lowerRoman"/>
      <w:lvlText w:val="%9."/>
      <w:lvlJc w:val="right"/>
      <w:pPr>
        <w:ind w:left="6480" w:hanging="180"/>
      </w:pPr>
    </w:lvl>
  </w:abstractNum>
  <w:abstractNum w:abstractNumId="240" w15:restartNumberingAfterBreak="0">
    <w:nsid w:val="335C0969"/>
    <w:multiLevelType w:val="multilevel"/>
    <w:tmpl w:val="29448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B977F2"/>
    <w:multiLevelType w:val="hybridMultilevel"/>
    <w:tmpl w:val="AEBCD322"/>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42" w15:restartNumberingAfterBreak="0">
    <w:nsid w:val="33E11A70"/>
    <w:multiLevelType w:val="hybridMultilevel"/>
    <w:tmpl w:val="FFFFFFFF"/>
    <w:lvl w:ilvl="0" w:tplc="C2A25160">
      <w:start w:val="1"/>
      <w:numFmt w:val="bullet"/>
      <w:lvlText w:val="·"/>
      <w:lvlJc w:val="left"/>
      <w:pPr>
        <w:ind w:left="720" w:hanging="360"/>
      </w:pPr>
      <w:rPr>
        <w:rFonts w:ascii="Symbol" w:hAnsi="Symbol" w:hint="default"/>
      </w:rPr>
    </w:lvl>
    <w:lvl w:ilvl="1" w:tplc="5C860332">
      <w:start w:val="1"/>
      <w:numFmt w:val="bullet"/>
      <w:lvlText w:val="o"/>
      <w:lvlJc w:val="left"/>
      <w:pPr>
        <w:ind w:left="1440" w:hanging="360"/>
      </w:pPr>
      <w:rPr>
        <w:rFonts w:ascii="Courier New" w:hAnsi="Courier New" w:hint="default"/>
      </w:rPr>
    </w:lvl>
    <w:lvl w:ilvl="2" w:tplc="1396D31A">
      <w:start w:val="1"/>
      <w:numFmt w:val="bullet"/>
      <w:lvlText w:val=""/>
      <w:lvlJc w:val="left"/>
      <w:pPr>
        <w:ind w:left="2160" w:hanging="360"/>
      </w:pPr>
      <w:rPr>
        <w:rFonts w:ascii="Wingdings" w:hAnsi="Wingdings" w:hint="default"/>
      </w:rPr>
    </w:lvl>
    <w:lvl w:ilvl="3" w:tplc="17BE23D2">
      <w:start w:val="1"/>
      <w:numFmt w:val="bullet"/>
      <w:lvlText w:val=""/>
      <w:lvlJc w:val="left"/>
      <w:pPr>
        <w:ind w:left="2880" w:hanging="360"/>
      </w:pPr>
      <w:rPr>
        <w:rFonts w:ascii="Symbol" w:hAnsi="Symbol" w:hint="default"/>
      </w:rPr>
    </w:lvl>
    <w:lvl w:ilvl="4" w:tplc="8B3AA676">
      <w:start w:val="1"/>
      <w:numFmt w:val="bullet"/>
      <w:lvlText w:val="o"/>
      <w:lvlJc w:val="left"/>
      <w:pPr>
        <w:ind w:left="3600" w:hanging="360"/>
      </w:pPr>
      <w:rPr>
        <w:rFonts w:ascii="Courier New" w:hAnsi="Courier New" w:hint="default"/>
      </w:rPr>
    </w:lvl>
    <w:lvl w:ilvl="5" w:tplc="8CD2D730">
      <w:start w:val="1"/>
      <w:numFmt w:val="bullet"/>
      <w:lvlText w:val=""/>
      <w:lvlJc w:val="left"/>
      <w:pPr>
        <w:ind w:left="4320" w:hanging="360"/>
      </w:pPr>
      <w:rPr>
        <w:rFonts w:ascii="Wingdings" w:hAnsi="Wingdings" w:hint="default"/>
      </w:rPr>
    </w:lvl>
    <w:lvl w:ilvl="6" w:tplc="CC6ABE14">
      <w:start w:val="1"/>
      <w:numFmt w:val="bullet"/>
      <w:lvlText w:val=""/>
      <w:lvlJc w:val="left"/>
      <w:pPr>
        <w:ind w:left="5040" w:hanging="360"/>
      </w:pPr>
      <w:rPr>
        <w:rFonts w:ascii="Symbol" w:hAnsi="Symbol" w:hint="default"/>
      </w:rPr>
    </w:lvl>
    <w:lvl w:ilvl="7" w:tplc="88C45DD2">
      <w:start w:val="1"/>
      <w:numFmt w:val="bullet"/>
      <w:lvlText w:val="o"/>
      <w:lvlJc w:val="left"/>
      <w:pPr>
        <w:ind w:left="5760" w:hanging="360"/>
      </w:pPr>
      <w:rPr>
        <w:rFonts w:ascii="Courier New" w:hAnsi="Courier New" w:hint="default"/>
      </w:rPr>
    </w:lvl>
    <w:lvl w:ilvl="8" w:tplc="A7CCD910">
      <w:start w:val="1"/>
      <w:numFmt w:val="bullet"/>
      <w:lvlText w:val=""/>
      <w:lvlJc w:val="left"/>
      <w:pPr>
        <w:ind w:left="6480" w:hanging="360"/>
      </w:pPr>
      <w:rPr>
        <w:rFonts w:ascii="Wingdings" w:hAnsi="Wingdings" w:hint="default"/>
      </w:rPr>
    </w:lvl>
  </w:abstractNum>
  <w:abstractNum w:abstractNumId="243" w15:restartNumberingAfterBreak="0">
    <w:nsid w:val="33EC2C08"/>
    <w:multiLevelType w:val="multilevel"/>
    <w:tmpl w:val="C990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F15B48"/>
    <w:multiLevelType w:val="hybridMultilevel"/>
    <w:tmpl w:val="AC2496AC"/>
    <w:lvl w:ilvl="0" w:tplc="D4323A68">
      <w:start w:val="1"/>
      <w:numFmt w:val="bullet"/>
      <w:lvlText w:val=""/>
      <w:lvlJc w:val="left"/>
      <w:pPr>
        <w:ind w:left="720" w:hanging="360"/>
      </w:pPr>
      <w:rPr>
        <w:rFonts w:ascii="Symbol" w:hAnsi="Symbol" w:hint="default"/>
        <w:color w:val="auto"/>
      </w:rPr>
    </w:lvl>
    <w:lvl w:ilvl="1" w:tplc="16DA1EB0" w:tentative="1">
      <w:start w:val="1"/>
      <w:numFmt w:val="bullet"/>
      <w:lvlText w:val="o"/>
      <w:lvlJc w:val="left"/>
      <w:pPr>
        <w:ind w:left="1440" w:hanging="360"/>
      </w:pPr>
      <w:rPr>
        <w:rFonts w:ascii="Courier New" w:hAnsi="Courier New" w:hint="default"/>
      </w:rPr>
    </w:lvl>
    <w:lvl w:ilvl="2" w:tplc="A0C89682" w:tentative="1">
      <w:start w:val="1"/>
      <w:numFmt w:val="bullet"/>
      <w:lvlText w:val=""/>
      <w:lvlJc w:val="left"/>
      <w:pPr>
        <w:ind w:left="2160" w:hanging="360"/>
      </w:pPr>
      <w:rPr>
        <w:rFonts w:ascii="Wingdings" w:hAnsi="Wingdings" w:hint="default"/>
      </w:rPr>
    </w:lvl>
    <w:lvl w:ilvl="3" w:tplc="60A4D6C0" w:tentative="1">
      <w:start w:val="1"/>
      <w:numFmt w:val="bullet"/>
      <w:lvlText w:val=""/>
      <w:lvlJc w:val="left"/>
      <w:pPr>
        <w:ind w:left="2880" w:hanging="360"/>
      </w:pPr>
      <w:rPr>
        <w:rFonts w:ascii="Symbol" w:hAnsi="Symbol" w:hint="default"/>
      </w:rPr>
    </w:lvl>
    <w:lvl w:ilvl="4" w:tplc="FC5269E8" w:tentative="1">
      <w:start w:val="1"/>
      <w:numFmt w:val="bullet"/>
      <w:lvlText w:val="o"/>
      <w:lvlJc w:val="left"/>
      <w:pPr>
        <w:ind w:left="3600" w:hanging="360"/>
      </w:pPr>
      <w:rPr>
        <w:rFonts w:ascii="Courier New" w:hAnsi="Courier New" w:hint="default"/>
      </w:rPr>
    </w:lvl>
    <w:lvl w:ilvl="5" w:tplc="7DBE5A50" w:tentative="1">
      <w:start w:val="1"/>
      <w:numFmt w:val="bullet"/>
      <w:lvlText w:val=""/>
      <w:lvlJc w:val="left"/>
      <w:pPr>
        <w:ind w:left="4320" w:hanging="360"/>
      </w:pPr>
      <w:rPr>
        <w:rFonts w:ascii="Wingdings" w:hAnsi="Wingdings" w:hint="default"/>
      </w:rPr>
    </w:lvl>
    <w:lvl w:ilvl="6" w:tplc="35E85190" w:tentative="1">
      <w:start w:val="1"/>
      <w:numFmt w:val="bullet"/>
      <w:lvlText w:val=""/>
      <w:lvlJc w:val="left"/>
      <w:pPr>
        <w:ind w:left="5040" w:hanging="360"/>
      </w:pPr>
      <w:rPr>
        <w:rFonts w:ascii="Symbol" w:hAnsi="Symbol" w:hint="default"/>
      </w:rPr>
    </w:lvl>
    <w:lvl w:ilvl="7" w:tplc="93A4955C" w:tentative="1">
      <w:start w:val="1"/>
      <w:numFmt w:val="bullet"/>
      <w:lvlText w:val="o"/>
      <w:lvlJc w:val="left"/>
      <w:pPr>
        <w:ind w:left="5760" w:hanging="360"/>
      </w:pPr>
      <w:rPr>
        <w:rFonts w:ascii="Courier New" w:hAnsi="Courier New" w:hint="default"/>
      </w:rPr>
    </w:lvl>
    <w:lvl w:ilvl="8" w:tplc="6B3078E8" w:tentative="1">
      <w:start w:val="1"/>
      <w:numFmt w:val="bullet"/>
      <w:lvlText w:val=""/>
      <w:lvlJc w:val="left"/>
      <w:pPr>
        <w:ind w:left="6480" w:hanging="360"/>
      </w:pPr>
      <w:rPr>
        <w:rFonts w:ascii="Wingdings" w:hAnsi="Wingdings" w:hint="default"/>
      </w:rPr>
    </w:lvl>
  </w:abstractNum>
  <w:abstractNum w:abstractNumId="245" w15:restartNumberingAfterBreak="0">
    <w:nsid w:val="34223B6D"/>
    <w:multiLevelType w:val="hybridMultilevel"/>
    <w:tmpl w:val="266C531C"/>
    <w:lvl w:ilvl="0" w:tplc="7996D10A">
      <w:start w:val="1"/>
      <w:numFmt w:val="bullet"/>
      <w:lvlText w:val=""/>
      <w:lvlJc w:val="left"/>
      <w:pPr>
        <w:ind w:left="720" w:hanging="360"/>
      </w:pPr>
      <w:rPr>
        <w:rFonts w:ascii="Symbol" w:hAnsi="Symbol" w:hint="default"/>
      </w:rPr>
    </w:lvl>
    <w:lvl w:ilvl="1" w:tplc="E6E8ED96" w:tentative="1">
      <w:start w:val="1"/>
      <w:numFmt w:val="bullet"/>
      <w:lvlText w:val="o"/>
      <w:lvlJc w:val="left"/>
      <w:pPr>
        <w:ind w:left="1440" w:hanging="360"/>
      </w:pPr>
      <w:rPr>
        <w:rFonts w:ascii="Courier New" w:hAnsi="Courier New" w:hint="default"/>
      </w:rPr>
    </w:lvl>
    <w:lvl w:ilvl="2" w:tplc="36FE2642" w:tentative="1">
      <w:start w:val="1"/>
      <w:numFmt w:val="bullet"/>
      <w:lvlText w:val=""/>
      <w:lvlJc w:val="left"/>
      <w:pPr>
        <w:ind w:left="2160" w:hanging="360"/>
      </w:pPr>
      <w:rPr>
        <w:rFonts w:ascii="Wingdings" w:hAnsi="Wingdings" w:hint="default"/>
      </w:rPr>
    </w:lvl>
    <w:lvl w:ilvl="3" w:tplc="230CCA2A" w:tentative="1">
      <w:start w:val="1"/>
      <w:numFmt w:val="bullet"/>
      <w:lvlText w:val=""/>
      <w:lvlJc w:val="left"/>
      <w:pPr>
        <w:ind w:left="2880" w:hanging="360"/>
      </w:pPr>
      <w:rPr>
        <w:rFonts w:ascii="Symbol" w:hAnsi="Symbol" w:hint="default"/>
      </w:rPr>
    </w:lvl>
    <w:lvl w:ilvl="4" w:tplc="470ADC36" w:tentative="1">
      <w:start w:val="1"/>
      <w:numFmt w:val="bullet"/>
      <w:lvlText w:val="o"/>
      <w:lvlJc w:val="left"/>
      <w:pPr>
        <w:ind w:left="3600" w:hanging="360"/>
      </w:pPr>
      <w:rPr>
        <w:rFonts w:ascii="Courier New" w:hAnsi="Courier New" w:hint="default"/>
      </w:rPr>
    </w:lvl>
    <w:lvl w:ilvl="5" w:tplc="963846B0" w:tentative="1">
      <w:start w:val="1"/>
      <w:numFmt w:val="bullet"/>
      <w:lvlText w:val=""/>
      <w:lvlJc w:val="left"/>
      <w:pPr>
        <w:ind w:left="4320" w:hanging="360"/>
      </w:pPr>
      <w:rPr>
        <w:rFonts w:ascii="Wingdings" w:hAnsi="Wingdings" w:hint="default"/>
      </w:rPr>
    </w:lvl>
    <w:lvl w:ilvl="6" w:tplc="5D422B28" w:tentative="1">
      <w:start w:val="1"/>
      <w:numFmt w:val="bullet"/>
      <w:lvlText w:val=""/>
      <w:lvlJc w:val="left"/>
      <w:pPr>
        <w:ind w:left="5040" w:hanging="360"/>
      </w:pPr>
      <w:rPr>
        <w:rFonts w:ascii="Symbol" w:hAnsi="Symbol" w:hint="default"/>
      </w:rPr>
    </w:lvl>
    <w:lvl w:ilvl="7" w:tplc="E6CCC186" w:tentative="1">
      <w:start w:val="1"/>
      <w:numFmt w:val="bullet"/>
      <w:lvlText w:val="o"/>
      <w:lvlJc w:val="left"/>
      <w:pPr>
        <w:ind w:left="5760" w:hanging="360"/>
      </w:pPr>
      <w:rPr>
        <w:rFonts w:ascii="Courier New" w:hAnsi="Courier New" w:hint="default"/>
      </w:rPr>
    </w:lvl>
    <w:lvl w:ilvl="8" w:tplc="C464C6F2" w:tentative="1">
      <w:start w:val="1"/>
      <w:numFmt w:val="bullet"/>
      <w:lvlText w:val=""/>
      <w:lvlJc w:val="left"/>
      <w:pPr>
        <w:ind w:left="6480" w:hanging="360"/>
      </w:pPr>
      <w:rPr>
        <w:rFonts w:ascii="Wingdings" w:hAnsi="Wingdings" w:hint="default"/>
      </w:rPr>
    </w:lvl>
  </w:abstractNum>
  <w:abstractNum w:abstractNumId="246" w15:restartNumberingAfterBreak="0">
    <w:nsid w:val="3429568F"/>
    <w:multiLevelType w:val="hybridMultilevel"/>
    <w:tmpl w:val="022490EE"/>
    <w:lvl w:ilvl="0" w:tplc="CBB458E8">
      <w:start w:val="1"/>
      <w:numFmt w:val="bullet"/>
      <w:lvlText w:val=""/>
      <w:lvlJc w:val="left"/>
      <w:pPr>
        <w:ind w:left="720" w:hanging="360"/>
      </w:pPr>
      <w:rPr>
        <w:rFonts w:ascii="Symbol" w:hAnsi="Symbol" w:hint="default"/>
      </w:rPr>
    </w:lvl>
    <w:lvl w:ilvl="1" w:tplc="132CEC2A">
      <w:start w:val="1"/>
      <w:numFmt w:val="bullet"/>
      <w:lvlText w:val="o"/>
      <w:lvlJc w:val="left"/>
      <w:pPr>
        <w:ind w:left="1440" w:hanging="360"/>
      </w:pPr>
      <w:rPr>
        <w:rFonts w:ascii="Courier New" w:hAnsi="Courier New" w:hint="default"/>
      </w:rPr>
    </w:lvl>
    <w:lvl w:ilvl="2" w:tplc="9364D5B0" w:tentative="1">
      <w:start w:val="1"/>
      <w:numFmt w:val="bullet"/>
      <w:lvlText w:val=""/>
      <w:lvlJc w:val="left"/>
      <w:pPr>
        <w:ind w:left="2160" w:hanging="360"/>
      </w:pPr>
      <w:rPr>
        <w:rFonts w:ascii="Wingdings" w:hAnsi="Wingdings" w:hint="default"/>
      </w:rPr>
    </w:lvl>
    <w:lvl w:ilvl="3" w:tplc="4B3495BA" w:tentative="1">
      <w:start w:val="1"/>
      <w:numFmt w:val="bullet"/>
      <w:lvlText w:val=""/>
      <w:lvlJc w:val="left"/>
      <w:pPr>
        <w:ind w:left="2880" w:hanging="360"/>
      </w:pPr>
      <w:rPr>
        <w:rFonts w:ascii="Symbol" w:hAnsi="Symbol" w:hint="default"/>
      </w:rPr>
    </w:lvl>
    <w:lvl w:ilvl="4" w:tplc="8FD43D7C" w:tentative="1">
      <w:start w:val="1"/>
      <w:numFmt w:val="bullet"/>
      <w:lvlText w:val="o"/>
      <w:lvlJc w:val="left"/>
      <w:pPr>
        <w:ind w:left="3600" w:hanging="360"/>
      </w:pPr>
      <w:rPr>
        <w:rFonts w:ascii="Courier New" w:hAnsi="Courier New" w:hint="default"/>
      </w:rPr>
    </w:lvl>
    <w:lvl w:ilvl="5" w:tplc="38B86896" w:tentative="1">
      <w:start w:val="1"/>
      <w:numFmt w:val="bullet"/>
      <w:lvlText w:val=""/>
      <w:lvlJc w:val="left"/>
      <w:pPr>
        <w:ind w:left="4320" w:hanging="360"/>
      </w:pPr>
      <w:rPr>
        <w:rFonts w:ascii="Wingdings" w:hAnsi="Wingdings" w:hint="default"/>
      </w:rPr>
    </w:lvl>
    <w:lvl w:ilvl="6" w:tplc="B72455C2" w:tentative="1">
      <w:start w:val="1"/>
      <w:numFmt w:val="bullet"/>
      <w:lvlText w:val=""/>
      <w:lvlJc w:val="left"/>
      <w:pPr>
        <w:ind w:left="5040" w:hanging="360"/>
      </w:pPr>
      <w:rPr>
        <w:rFonts w:ascii="Symbol" w:hAnsi="Symbol" w:hint="default"/>
      </w:rPr>
    </w:lvl>
    <w:lvl w:ilvl="7" w:tplc="4F1AEAD6" w:tentative="1">
      <w:start w:val="1"/>
      <w:numFmt w:val="bullet"/>
      <w:lvlText w:val="o"/>
      <w:lvlJc w:val="left"/>
      <w:pPr>
        <w:ind w:left="5760" w:hanging="360"/>
      </w:pPr>
      <w:rPr>
        <w:rFonts w:ascii="Courier New" w:hAnsi="Courier New" w:hint="default"/>
      </w:rPr>
    </w:lvl>
    <w:lvl w:ilvl="8" w:tplc="B4EE87AC" w:tentative="1">
      <w:start w:val="1"/>
      <w:numFmt w:val="bullet"/>
      <w:lvlText w:val=""/>
      <w:lvlJc w:val="left"/>
      <w:pPr>
        <w:ind w:left="6480" w:hanging="360"/>
      </w:pPr>
      <w:rPr>
        <w:rFonts w:ascii="Wingdings" w:hAnsi="Wingdings" w:hint="default"/>
      </w:rPr>
    </w:lvl>
  </w:abstractNum>
  <w:abstractNum w:abstractNumId="247" w15:restartNumberingAfterBreak="0">
    <w:nsid w:val="344F43E3"/>
    <w:multiLevelType w:val="hybridMultilevel"/>
    <w:tmpl w:val="FFFFFFFF"/>
    <w:lvl w:ilvl="0" w:tplc="1D98CEDE">
      <w:start w:val="1"/>
      <w:numFmt w:val="bullet"/>
      <w:lvlText w:val=""/>
      <w:lvlJc w:val="left"/>
      <w:pPr>
        <w:ind w:left="720" w:hanging="360"/>
      </w:pPr>
      <w:rPr>
        <w:rFonts w:ascii="Symbol" w:hAnsi="Symbol" w:hint="default"/>
      </w:rPr>
    </w:lvl>
    <w:lvl w:ilvl="1" w:tplc="9266FF90">
      <w:start w:val="1"/>
      <w:numFmt w:val="bullet"/>
      <w:lvlText w:val="o"/>
      <w:lvlJc w:val="left"/>
      <w:pPr>
        <w:ind w:left="1440" w:hanging="360"/>
      </w:pPr>
      <w:rPr>
        <w:rFonts w:ascii="Courier New" w:hAnsi="Courier New" w:hint="default"/>
      </w:rPr>
    </w:lvl>
    <w:lvl w:ilvl="2" w:tplc="BCDA97FE">
      <w:start w:val="1"/>
      <w:numFmt w:val="bullet"/>
      <w:lvlText w:val=""/>
      <w:lvlJc w:val="left"/>
      <w:pPr>
        <w:ind w:left="2160" w:hanging="360"/>
      </w:pPr>
      <w:rPr>
        <w:rFonts w:ascii="Wingdings" w:hAnsi="Wingdings" w:hint="default"/>
      </w:rPr>
    </w:lvl>
    <w:lvl w:ilvl="3" w:tplc="54909E72">
      <w:start w:val="1"/>
      <w:numFmt w:val="bullet"/>
      <w:lvlText w:val=""/>
      <w:lvlJc w:val="left"/>
      <w:pPr>
        <w:ind w:left="2880" w:hanging="360"/>
      </w:pPr>
      <w:rPr>
        <w:rFonts w:ascii="Symbol" w:hAnsi="Symbol" w:hint="default"/>
      </w:rPr>
    </w:lvl>
    <w:lvl w:ilvl="4" w:tplc="0ED0AAE8">
      <w:start w:val="1"/>
      <w:numFmt w:val="bullet"/>
      <w:lvlText w:val="o"/>
      <w:lvlJc w:val="left"/>
      <w:pPr>
        <w:ind w:left="3600" w:hanging="360"/>
      </w:pPr>
      <w:rPr>
        <w:rFonts w:ascii="Courier New" w:hAnsi="Courier New" w:hint="default"/>
      </w:rPr>
    </w:lvl>
    <w:lvl w:ilvl="5" w:tplc="2F6209C8">
      <w:start w:val="1"/>
      <w:numFmt w:val="bullet"/>
      <w:lvlText w:val=""/>
      <w:lvlJc w:val="left"/>
      <w:pPr>
        <w:ind w:left="4320" w:hanging="360"/>
      </w:pPr>
      <w:rPr>
        <w:rFonts w:ascii="Wingdings" w:hAnsi="Wingdings" w:hint="default"/>
      </w:rPr>
    </w:lvl>
    <w:lvl w:ilvl="6" w:tplc="834C7C76">
      <w:start w:val="1"/>
      <w:numFmt w:val="bullet"/>
      <w:lvlText w:val=""/>
      <w:lvlJc w:val="left"/>
      <w:pPr>
        <w:ind w:left="5040" w:hanging="360"/>
      </w:pPr>
      <w:rPr>
        <w:rFonts w:ascii="Symbol" w:hAnsi="Symbol" w:hint="default"/>
      </w:rPr>
    </w:lvl>
    <w:lvl w:ilvl="7" w:tplc="5318280E">
      <w:start w:val="1"/>
      <w:numFmt w:val="bullet"/>
      <w:lvlText w:val="o"/>
      <w:lvlJc w:val="left"/>
      <w:pPr>
        <w:ind w:left="5760" w:hanging="360"/>
      </w:pPr>
      <w:rPr>
        <w:rFonts w:ascii="Courier New" w:hAnsi="Courier New" w:hint="default"/>
      </w:rPr>
    </w:lvl>
    <w:lvl w:ilvl="8" w:tplc="2C146EFE">
      <w:start w:val="1"/>
      <w:numFmt w:val="bullet"/>
      <w:lvlText w:val=""/>
      <w:lvlJc w:val="left"/>
      <w:pPr>
        <w:ind w:left="6480" w:hanging="360"/>
      </w:pPr>
      <w:rPr>
        <w:rFonts w:ascii="Wingdings" w:hAnsi="Wingdings" w:hint="default"/>
      </w:rPr>
    </w:lvl>
  </w:abstractNum>
  <w:abstractNum w:abstractNumId="248" w15:restartNumberingAfterBreak="0">
    <w:nsid w:val="349F652A"/>
    <w:multiLevelType w:val="hybridMultilevel"/>
    <w:tmpl w:val="7E7E3B14"/>
    <w:lvl w:ilvl="0" w:tplc="A8B495D0">
      <w:start w:val="1"/>
      <w:numFmt w:val="bullet"/>
      <w:lvlText w:val=""/>
      <w:lvlJc w:val="left"/>
      <w:pPr>
        <w:ind w:left="720" w:hanging="360"/>
      </w:pPr>
      <w:rPr>
        <w:rFonts w:ascii="Symbol" w:hAnsi="Symbol" w:hint="default"/>
      </w:rPr>
    </w:lvl>
    <w:lvl w:ilvl="1" w:tplc="D59A18CC" w:tentative="1">
      <w:start w:val="1"/>
      <w:numFmt w:val="bullet"/>
      <w:lvlText w:val="o"/>
      <w:lvlJc w:val="left"/>
      <w:pPr>
        <w:ind w:left="1440" w:hanging="360"/>
      </w:pPr>
      <w:rPr>
        <w:rFonts w:ascii="Courier New" w:hAnsi="Courier New" w:hint="default"/>
      </w:rPr>
    </w:lvl>
    <w:lvl w:ilvl="2" w:tplc="B80889E0" w:tentative="1">
      <w:start w:val="1"/>
      <w:numFmt w:val="bullet"/>
      <w:lvlText w:val=""/>
      <w:lvlJc w:val="left"/>
      <w:pPr>
        <w:ind w:left="2160" w:hanging="360"/>
      </w:pPr>
      <w:rPr>
        <w:rFonts w:ascii="Wingdings" w:hAnsi="Wingdings" w:hint="default"/>
      </w:rPr>
    </w:lvl>
    <w:lvl w:ilvl="3" w:tplc="EB605776" w:tentative="1">
      <w:start w:val="1"/>
      <w:numFmt w:val="bullet"/>
      <w:lvlText w:val=""/>
      <w:lvlJc w:val="left"/>
      <w:pPr>
        <w:ind w:left="2880" w:hanging="360"/>
      </w:pPr>
      <w:rPr>
        <w:rFonts w:ascii="Symbol" w:hAnsi="Symbol" w:hint="default"/>
      </w:rPr>
    </w:lvl>
    <w:lvl w:ilvl="4" w:tplc="D07E1FAC" w:tentative="1">
      <w:start w:val="1"/>
      <w:numFmt w:val="bullet"/>
      <w:lvlText w:val="o"/>
      <w:lvlJc w:val="left"/>
      <w:pPr>
        <w:ind w:left="3600" w:hanging="360"/>
      </w:pPr>
      <w:rPr>
        <w:rFonts w:ascii="Courier New" w:hAnsi="Courier New" w:hint="default"/>
      </w:rPr>
    </w:lvl>
    <w:lvl w:ilvl="5" w:tplc="92C29BD0" w:tentative="1">
      <w:start w:val="1"/>
      <w:numFmt w:val="bullet"/>
      <w:lvlText w:val=""/>
      <w:lvlJc w:val="left"/>
      <w:pPr>
        <w:ind w:left="4320" w:hanging="360"/>
      </w:pPr>
      <w:rPr>
        <w:rFonts w:ascii="Wingdings" w:hAnsi="Wingdings" w:hint="default"/>
      </w:rPr>
    </w:lvl>
    <w:lvl w:ilvl="6" w:tplc="EBACB620" w:tentative="1">
      <w:start w:val="1"/>
      <w:numFmt w:val="bullet"/>
      <w:lvlText w:val=""/>
      <w:lvlJc w:val="left"/>
      <w:pPr>
        <w:ind w:left="5040" w:hanging="360"/>
      </w:pPr>
      <w:rPr>
        <w:rFonts w:ascii="Symbol" w:hAnsi="Symbol" w:hint="default"/>
      </w:rPr>
    </w:lvl>
    <w:lvl w:ilvl="7" w:tplc="9D08DA54" w:tentative="1">
      <w:start w:val="1"/>
      <w:numFmt w:val="bullet"/>
      <w:lvlText w:val="o"/>
      <w:lvlJc w:val="left"/>
      <w:pPr>
        <w:ind w:left="5760" w:hanging="360"/>
      </w:pPr>
      <w:rPr>
        <w:rFonts w:ascii="Courier New" w:hAnsi="Courier New" w:hint="default"/>
      </w:rPr>
    </w:lvl>
    <w:lvl w:ilvl="8" w:tplc="4D6A717C" w:tentative="1">
      <w:start w:val="1"/>
      <w:numFmt w:val="bullet"/>
      <w:lvlText w:val=""/>
      <w:lvlJc w:val="left"/>
      <w:pPr>
        <w:ind w:left="6480" w:hanging="360"/>
      </w:pPr>
      <w:rPr>
        <w:rFonts w:ascii="Wingdings" w:hAnsi="Wingdings" w:hint="default"/>
      </w:rPr>
    </w:lvl>
  </w:abstractNum>
  <w:abstractNum w:abstractNumId="249" w15:restartNumberingAfterBreak="0">
    <w:nsid w:val="351B1D38"/>
    <w:multiLevelType w:val="multilevel"/>
    <w:tmpl w:val="451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51E7DC7"/>
    <w:multiLevelType w:val="hybridMultilevel"/>
    <w:tmpl w:val="3D6A8EEE"/>
    <w:lvl w:ilvl="0" w:tplc="B2EA58C6">
      <w:start w:val="1"/>
      <w:numFmt w:val="bullet"/>
      <w:lvlText w:val=""/>
      <w:lvlJc w:val="left"/>
      <w:pPr>
        <w:ind w:left="720" w:hanging="360"/>
      </w:pPr>
      <w:rPr>
        <w:rFonts w:ascii="Symbol" w:hAnsi="Symbol" w:hint="default"/>
      </w:rPr>
    </w:lvl>
    <w:lvl w:ilvl="1" w:tplc="25241ADC" w:tentative="1">
      <w:start w:val="1"/>
      <w:numFmt w:val="bullet"/>
      <w:lvlText w:val="o"/>
      <w:lvlJc w:val="left"/>
      <w:pPr>
        <w:ind w:left="1440" w:hanging="360"/>
      </w:pPr>
      <w:rPr>
        <w:rFonts w:ascii="Courier New" w:hAnsi="Courier New" w:hint="default"/>
      </w:rPr>
    </w:lvl>
    <w:lvl w:ilvl="2" w:tplc="D4D80DE6" w:tentative="1">
      <w:start w:val="1"/>
      <w:numFmt w:val="bullet"/>
      <w:lvlText w:val=""/>
      <w:lvlJc w:val="left"/>
      <w:pPr>
        <w:ind w:left="2160" w:hanging="360"/>
      </w:pPr>
      <w:rPr>
        <w:rFonts w:ascii="Wingdings" w:hAnsi="Wingdings" w:hint="default"/>
      </w:rPr>
    </w:lvl>
    <w:lvl w:ilvl="3" w:tplc="84E49CA8" w:tentative="1">
      <w:start w:val="1"/>
      <w:numFmt w:val="bullet"/>
      <w:lvlText w:val=""/>
      <w:lvlJc w:val="left"/>
      <w:pPr>
        <w:ind w:left="2880" w:hanging="360"/>
      </w:pPr>
      <w:rPr>
        <w:rFonts w:ascii="Symbol" w:hAnsi="Symbol" w:hint="default"/>
      </w:rPr>
    </w:lvl>
    <w:lvl w:ilvl="4" w:tplc="5D90F230" w:tentative="1">
      <w:start w:val="1"/>
      <w:numFmt w:val="bullet"/>
      <w:lvlText w:val="o"/>
      <w:lvlJc w:val="left"/>
      <w:pPr>
        <w:ind w:left="3600" w:hanging="360"/>
      </w:pPr>
      <w:rPr>
        <w:rFonts w:ascii="Courier New" w:hAnsi="Courier New" w:hint="default"/>
      </w:rPr>
    </w:lvl>
    <w:lvl w:ilvl="5" w:tplc="CB6C89BC" w:tentative="1">
      <w:start w:val="1"/>
      <w:numFmt w:val="bullet"/>
      <w:lvlText w:val=""/>
      <w:lvlJc w:val="left"/>
      <w:pPr>
        <w:ind w:left="4320" w:hanging="360"/>
      </w:pPr>
      <w:rPr>
        <w:rFonts w:ascii="Wingdings" w:hAnsi="Wingdings" w:hint="default"/>
      </w:rPr>
    </w:lvl>
    <w:lvl w:ilvl="6" w:tplc="83CC9FBA" w:tentative="1">
      <w:start w:val="1"/>
      <w:numFmt w:val="bullet"/>
      <w:lvlText w:val=""/>
      <w:lvlJc w:val="left"/>
      <w:pPr>
        <w:ind w:left="5040" w:hanging="360"/>
      </w:pPr>
      <w:rPr>
        <w:rFonts w:ascii="Symbol" w:hAnsi="Symbol" w:hint="default"/>
      </w:rPr>
    </w:lvl>
    <w:lvl w:ilvl="7" w:tplc="47224824" w:tentative="1">
      <w:start w:val="1"/>
      <w:numFmt w:val="bullet"/>
      <w:lvlText w:val="o"/>
      <w:lvlJc w:val="left"/>
      <w:pPr>
        <w:ind w:left="5760" w:hanging="360"/>
      </w:pPr>
      <w:rPr>
        <w:rFonts w:ascii="Courier New" w:hAnsi="Courier New" w:hint="default"/>
      </w:rPr>
    </w:lvl>
    <w:lvl w:ilvl="8" w:tplc="16C8613E" w:tentative="1">
      <w:start w:val="1"/>
      <w:numFmt w:val="bullet"/>
      <w:lvlText w:val=""/>
      <w:lvlJc w:val="left"/>
      <w:pPr>
        <w:ind w:left="6480" w:hanging="360"/>
      </w:pPr>
      <w:rPr>
        <w:rFonts w:ascii="Wingdings" w:hAnsi="Wingdings" w:hint="default"/>
      </w:rPr>
    </w:lvl>
  </w:abstractNum>
  <w:abstractNum w:abstractNumId="251" w15:restartNumberingAfterBreak="0">
    <w:nsid w:val="357A3CBE"/>
    <w:multiLevelType w:val="hybridMultilevel"/>
    <w:tmpl w:val="3CAE4170"/>
    <w:lvl w:ilvl="0" w:tplc="311E9DA2">
      <w:start w:val="1"/>
      <w:numFmt w:val="bullet"/>
      <w:lvlText w:val=""/>
      <w:lvlJc w:val="left"/>
      <w:pPr>
        <w:ind w:left="740" w:hanging="360"/>
      </w:pPr>
      <w:rPr>
        <w:rFonts w:ascii="Symbol" w:hAnsi="Symbol" w:hint="default"/>
        <w:color w:val="auto"/>
      </w:rPr>
    </w:lvl>
    <w:lvl w:ilvl="1" w:tplc="F738CFC2">
      <w:start w:val="1"/>
      <w:numFmt w:val="bullet"/>
      <w:lvlText w:val="o"/>
      <w:lvlJc w:val="left"/>
      <w:pPr>
        <w:ind w:left="1460" w:hanging="360"/>
      </w:pPr>
      <w:rPr>
        <w:rFonts w:ascii="Courier New" w:hAnsi="Courier New" w:hint="default"/>
      </w:rPr>
    </w:lvl>
    <w:lvl w:ilvl="2" w:tplc="BF2ECD34" w:tentative="1">
      <w:start w:val="1"/>
      <w:numFmt w:val="bullet"/>
      <w:lvlText w:val=""/>
      <w:lvlJc w:val="left"/>
      <w:pPr>
        <w:ind w:left="2180" w:hanging="360"/>
      </w:pPr>
      <w:rPr>
        <w:rFonts w:ascii="Wingdings" w:hAnsi="Wingdings" w:hint="default"/>
      </w:rPr>
    </w:lvl>
    <w:lvl w:ilvl="3" w:tplc="0344AAB6" w:tentative="1">
      <w:start w:val="1"/>
      <w:numFmt w:val="bullet"/>
      <w:lvlText w:val=""/>
      <w:lvlJc w:val="left"/>
      <w:pPr>
        <w:ind w:left="2900" w:hanging="360"/>
      </w:pPr>
      <w:rPr>
        <w:rFonts w:ascii="Symbol" w:hAnsi="Symbol" w:hint="default"/>
      </w:rPr>
    </w:lvl>
    <w:lvl w:ilvl="4" w:tplc="826873CC" w:tentative="1">
      <w:start w:val="1"/>
      <w:numFmt w:val="bullet"/>
      <w:lvlText w:val="o"/>
      <w:lvlJc w:val="left"/>
      <w:pPr>
        <w:ind w:left="3620" w:hanging="360"/>
      </w:pPr>
      <w:rPr>
        <w:rFonts w:ascii="Courier New" w:hAnsi="Courier New" w:hint="default"/>
      </w:rPr>
    </w:lvl>
    <w:lvl w:ilvl="5" w:tplc="EB1AEEF6" w:tentative="1">
      <w:start w:val="1"/>
      <w:numFmt w:val="bullet"/>
      <w:lvlText w:val=""/>
      <w:lvlJc w:val="left"/>
      <w:pPr>
        <w:ind w:left="4340" w:hanging="360"/>
      </w:pPr>
      <w:rPr>
        <w:rFonts w:ascii="Wingdings" w:hAnsi="Wingdings" w:hint="default"/>
      </w:rPr>
    </w:lvl>
    <w:lvl w:ilvl="6" w:tplc="F9A02E14" w:tentative="1">
      <w:start w:val="1"/>
      <w:numFmt w:val="bullet"/>
      <w:lvlText w:val=""/>
      <w:lvlJc w:val="left"/>
      <w:pPr>
        <w:ind w:left="5060" w:hanging="360"/>
      </w:pPr>
      <w:rPr>
        <w:rFonts w:ascii="Symbol" w:hAnsi="Symbol" w:hint="default"/>
      </w:rPr>
    </w:lvl>
    <w:lvl w:ilvl="7" w:tplc="09BCC79E" w:tentative="1">
      <w:start w:val="1"/>
      <w:numFmt w:val="bullet"/>
      <w:lvlText w:val="o"/>
      <w:lvlJc w:val="left"/>
      <w:pPr>
        <w:ind w:left="5780" w:hanging="360"/>
      </w:pPr>
      <w:rPr>
        <w:rFonts w:ascii="Courier New" w:hAnsi="Courier New" w:hint="default"/>
      </w:rPr>
    </w:lvl>
    <w:lvl w:ilvl="8" w:tplc="8A1CF762" w:tentative="1">
      <w:start w:val="1"/>
      <w:numFmt w:val="bullet"/>
      <w:lvlText w:val=""/>
      <w:lvlJc w:val="left"/>
      <w:pPr>
        <w:ind w:left="6500" w:hanging="360"/>
      </w:pPr>
      <w:rPr>
        <w:rFonts w:ascii="Wingdings" w:hAnsi="Wingdings" w:hint="default"/>
      </w:rPr>
    </w:lvl>
  </w:abstractNum>
  <w:abstractNum w:abstractNumId="252" w15:restartNumberingAfterBreak="0">
    <w:nsid w:val="359554C9"/>
    <w:multiLevelType w:val="multilevel"/>
    <w:tmpl w:val="EC842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62D2438"/>
    <w:multiLevelType w:val="hybridMultilevel"/>
    <w:tmpl w:val="424CE428"/>
    <w:lvl w:ilvl="0" w:tplc="8C66C3A6">
      <w:start w:val="1"/>
      <w:numFmt w:val="bullet"/>
      <w:lvlText w:val=""/>
      <w:lvlJc w:val="left"/>
      <w:pPr>
        <w:ind w:left="720" w:hanging="360"/>
      </w:pPr>
      <w:rPr>
        <w:rFonts w:ascii="Symbol" w:hAnsi="Symbol" w:hint="default"/>
      </w:rPr>
    </w:lvl>
    <w:lvl w:ilvl="1" w:tplc="4C2C8A34" w:tentative="1">
      <w:start w:val="1"/>
      <w:numFmt w:val="bullet"/>
      <w:lvlText w:val="o"/>
      <w:lvlJc w:val="left"/>
      <w:pPr>
        <w:ind w:left="1440" w:hanging="360"/>
      </w:pPr>
      <w:rPr>
        <w:rFonts w:ascii="Courier New" w:hAnsi="Courier New" w:hint="default"/>
      </w:rPr>
    </w:lvl>
    <w:lvl w:ilvl="2" w:tplc="61AEAD80" w:tentative="1">
      <w:start w:val="1"/>
      <w:numFmt w:val="bullet"/>
      <w:lvlText w:val=""/>
      <w:lvlJc w:val="left"/>
      <w:pPr>
        <w:ind w:left="2160" w:hanging="360"/>
      </w:pPr>
      <w:rPr>
        <w:rFonts w:ascii="Wingdings" w:hAnsi="Wingdings" w:hint="default"/>
      </w:rPr>
    </w:lvl>
    <w:lvl w:ilvl="3" w:tplc="A4C48EEA" w:tentative="1">
      <w:start w:val="1"/>
      <w:numFmt w:val="bullet"/>
      <w:lvlText w:val=""/>
      <w:lvlJc w:val="left"/>
      <w:pPr>
        <w:ind w:left="2880" w:hanging="360"/>
      </w:pPr>
      <w:rPr>
        <w:rFonts w:ascii="Symbol" w:hAnsi="Symbol" w:hint="default"/>
      </w:rPr>
    </w:lvl>
    <w:lvl w:ilvl="4" w:tplc="41860912" w:tentative="1">
      <w:start w:val="1"/>
      <w:numFmt w:val="bullet"/>
      <w:lvlText w:val="o"/>
      <w:lvlJc w:val="left"/>
      <w:pPr>
        <w:ind w:left="3600" w:hanging="360"/>
      </w:pPr>
      <w:rPr>
        <w:rFonts w:ascii="Courier New" w:hAnsi="Courier New" w:hint="default"/>
      </w:rPr>
    </w:lvl>
    <w:lvl w:ilvl="5" w:tplc="38DA8782" w:tentative="1">
      <w:start w:val="1"/>
      <w:numFmt w:val="bullet"/>
      <w:lvlText w:val=""/>
      <w:lvlJc w:val="left"/>
      <w:pPr>
        <w:ind w:left="4320" w:hanging="360"/>
      </w:pPr>
      <w:rPr>
        <w:rFonts w:ascii="Wingdings" w:hAnsi="Wingdings" w:hint="default"/>
      </w:rPr>
    </w:lvl>
    <w:lvl w:ilvl="6" w:tplc="2012A008" w:tentative="1">
      <w:start w:val="1"/>
      <w:numFmt w:val="bullet"/>
      <w:lvlText w:val=""/>
      <w:lvlJc w:val="left"/>
      <w:pPr>
        <w:ind w:left="5040" w:hanging="360"/>
      </w:pPr>
      <w:rPr>
        <w:rFonts w:ascii="Symbol" w:hAnsi="Symbol" w:hint="default"/>
      </w:rPr>
    </w:lvl>
    <w:lvl w:ilvl="7" w:tplc="ED1269BC" w:tentative="1">
      <w:start w:val="1"/>
      <w:numFmt w:val="bullet"/>
      <w:lvlText w:val="o"/>
      <w:lvlJc w:val="left"/>
      <w:pPr>
        <w:ind w:left="5760" w:hanging="360"/>
      </w:pPr>
      <w:rPr>
        <w:rFonts w:ascii="Courier New" w:hAnsi="Courier New" w:hint="default"/>
      </w:rPr>
    </w:lvl>
    <w:lvl w:ilvl="8" w:tplc="ABB24F3A" w:tentative="1">
      <w:start w:val="1"/>
      <w:numFmt w:val="bullet"/>
      <w:lvlText w:val=""/>
      <w:lvlJc w:val="left"/>
      <w:pPr>
        <w:ind w:left="6480" w:hanging="360"/>
      </w:pPr>
      <w:rPr>
        <w:rFonts w:ascii="Wingdings" w:hAnsi="Wingdings" w:hint="default"/>
      </w:rPr>
    </w:lvl>
  </w:abstractNum>
  <w:abstractNum w:abstractNumId="254" w15:restartNumberingAfterBreak="0">
    <w:nsid w:val="3665771B"/>
    <w:multiLevelType w:val="hybridMultilevel"/>
    <w:tmpl w:val="1BB4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36895437"/>
    <w:multiLevelType w:val="hybridMultilevel"/>
    <w:tmpl w:val="FB26AD06"/>
    <w:lvl w:ilvl="0" w:tplc="65F620CE">
      <w:start w:val="1"/>
      <w:numFmt w:val="bullet"/>
      <w:lvlText w:val="•"/>
      <w:lvlJc w:val="left"/>
      <w:pPr>
        <w:tabs>
          <w:tab w:val="num" w:pos="720"/>
        </w:tabs>
        <w:ind w:left="720" w:hanging="360"/>
      </w:pPr>
      <w:rPr>
        <w:rFonts w:ascii="Arial" w:hAnsi="Arial" w:hint="default"/>
      </w:rPr>
    </w:lvl>
    <w:lvl w:ilvl="1" w:tplc="DBB0B13A" w:tentative="1">
      <w:start w:val="1"/>
      <w:numFmt w:val="bullet"/>
      <w:lvlText w:val="•"/>
      <w:lvlJc w:val="left"/>
      <w:pPr>
        <w:tabs>
          <w:tab w:val="num" w:pos="1440"/>
        </w:tabs>
        <w:ind w:left="1440" w:hanging="360"/>
      </w:pPr>
      <w:rPr>
        <w:rFonts w:ascii="Arial" w:hAnsi="Arial" w:hint="default"/>
      </w:rPr>
    </w:lvl>
    <w:lvl w:ilvl="2" w:tplc="95C8C54A" w:tentative="1">
      <w:start w:val="1"/>
      <w:numFmt w:val="bullet"/>
      <w:lvlText w:val="•"/>
      <w:lvlJc w:val="left"/>
      <w:pPr>
        <w:tabs>
          <w:tab w:val="num" w:pos="2160"/>
        </w:tabs>
        <w:ind w:left="2160" w:hanging="360"/>
      </w:pPr>
      <w:rPr>
        <w:rFonts w:ascii="Arial" w:hAnsi="Arial" w:hint="default"/>
      </w:rPr>
    </w:lvl>
    <w:lvl w:ilvl="3" w:tplc="21C25FA2" w:tentative="1">
      <w:start w:val="1"/>
      <w:numFmt w:val="bullet"/>
      <w:lvlText w:val="•"/>
      <w:lvlJc w:val="left"/>
      <w:pPr>
        <w:tabs>
          <w:tab w:val="num" w:pos="2880"/>
        </w:tabs>
        <w:ind w:left="2880" w:hanging="360"/>
      </w:pPr>
      <w:rPr>
        <w:rFonts w:ascii="Arial" w:hAnsi="Arial" w:hint="default"/>
      </w:rPr>
    </w:lvl>
    <w:lvl w:ilvl="4" w:tplc="612C5FF8" w:tentative="1">
      <w:start w:val="1"/>
      <w:numFmt w:val="bullet"/>
      <w:lvlText w:val="•"/>
      <w:lvlJc w:val="left"/>
      <w:pPr>
        <w:tabs>
          <w:tab w:val="num" w:pos="3600"/>
        </w:tabs>
        <w:ind w:left="3600" w:hanging="360"/>
      </w:pPr>
      <w:rPr>
        <w:rFonts w:ascii="Arial" w:hAnsi="Arial" w:hint="default"/>
      </w:rPr>
    </w:lvl>
    <w:lvl w:ilvl="5" w:tplc="033C773C" w:tentative="1">
      <w:start w:val="1"/>
      <w:numFmt w:val="bullet"/>
      <w:lvlText w:val="•"/>
      <w:lvlJc w:val="left"/>
      <w:pPr>
        <w:tabs>
          <w:tab w:val="num" w:pos="4320"/>
        </w:tabs>
        <w:ind w:left="4320" w:hanging="360"/>
      </w:pPr>
      <w:rPr>
        <w:rFonts w:ascii="Arial" w:hAnsi="Arial" w:hint="default"/>
      </w:rPr>
    </w:lvl>
    <w:lvl w:ilvl="6" w:tplc="C01C7F88" w:tentative="1">
      <w:start w:val="1"/>
      <w:numFmt w:val="bullet"/>
      <w:lvlText w:val="•"/>
      <w:lvlJc w:val="left"/>
      <w:pPr>
        <w:tabs>
          <w:tab w:val="num" w:pos="5040"/>
        </w:tabs>
        <w:ind w:left="5040" w:hanging="360"/>
      </w:pPr>
      <w:rPr>
        <w:rFonts w:ascii="Arial" w:hAnsi="Arial" w:hint="default"/>
      </w:rPr>
    </w:lvl>
    <w:lvl w:ilvl="7" w:tplc="2B8AA41A" w:tentative="1">
      <w:start w:val="1"/>
      <w:numFmt w:val="bullet"/>
      <w:lvlText w:val="•"/>
      <w:lvlJc w:val="left"/>
      <w:pPr>
        <w:tabs>
          <w:tab w:val="num" w:pos="5760"/>
        </w:tabs>
        <w:ind w:left="5760" w:hanging="360"/>
      </w:pPr>
      <w:rPr>
        <w:rFonts w:ascii="Arial" w:hAnsi="Arial" w:hint="default"/>
      </w:rPr>
    </w:lvl>
    <w:lvl w:ilvl="8" w:tplc="ECC6223A"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368D0645"/>
    <w:multiLevelType w:val="hybridMultilevel"/>
    <w:tmpl w:val="97E49AE8"/>
    <w:lvl w:ilvl="0" w:tplc="C24085DA">
      <w:start w:val="1"/>
      <w:numFmt w:val="bullet"/>
      <w:lvlText w:val=""/>
      <w:lvlJc w:val="left"/>
      <w:pPr>
        <w:ind w:left="720" w:hanging="360"/>
      </w:pPr>
      <w:rPr>
        <w:rFonts w:ascii="Symbol" w:hAnsi="Symbol" w:hint="default"/>
      </w:rPr>
    </w:lvl>
    <w:lvl w:ilvl="1" w:tplc="85C8CE2C" w:tentative="1">
      <w:start w:val="1"/>
      <w:numFmt w:val="bullet"/>
      <w:lvlText w:val="o"/>
      <w:lvlJc w:val="left"/>
      <w:pPr>
        <w:ind w:left="1440" w:hanging="360"/>
      </w:pPr>
      <w:rPr>
        <w:rFonts w:ascii="Courier New" w:hAnsi="Courier New" w:hint="default"/>
      </w:rPr>
    </w:lvl>
    <w:lvl w:ilvl="2" w:tplc="2968EE26" w:tentative="1">
      <w:start w:val="1"/>
      <w:numFmt w:val="bullet"/>
      <w:lvlText w:val=""/>
      <w:lvlJc w:val="left"/>
      <w:pPr>
        <w:ind w:left="2160" w:hanging="360"/>
      </w:pPr>
      <w:rPr>
        <w:rFonts w:ascii="Wingdings" w:hAnsi="Wingdings" w:hint="default"/>
      </w:rPr>
    </w:lvl>
    <w:lvl w:ilvl="3" w:tplc="E41EDC7E" w:tentative="1">
      <w:start w:val="1"/>
      <w:numFmt w:val="bullet"/>
      <w:lvlText w:val=""/>
      <w:lvlJc w:val="left"/>
      <w:pPr>
        <w:ind w:left="2880" w:hanging="360"/>
      </w:pPr>
      <w:rPr>
        <w:rFonts w:ascii="Symbol" w:hAnsi="Symbol" w:hint="default"/>
      </w:rPr>
    </w:lvl>
    <w:lvl w:ilvl="4" w:tplc="62B2DE0C" w:tentative="1">
      <w:start w:val="1"/>
      <w:numFmt w:val="bullet"/>
      <w:lvlText w:val="o"/>
      <w:lvlJc w:val="left"/>
      <w:pPr>
        <w:ind w:left="3600" w:hanging="360"/>
      </w:pPr>
      <w:rPr>
        <w:rFonts w:ascii="Courier New" w:hAnsi="Courier New" w:hint="default"/>
      </w:rPr>
    </w:lvl>
    <w:lvl w:ilvl="5" w:tplc="F6ACBB38" w:tentative="1">
      <w:start w:val="1"/>
      <w:numFmt w:val="bullet"/>
      <w:lvlText w:val=""/>
      <w:lvlJc w:val="left"/>
      <w:pPr>
        <w:ind w:left="4320" w:hanging="360"/>
      </w:pPr>
      <w:rPr>
        <w:rFonts w:ascii="Wingdings" w:hAnsi="Wingdings" w:hint="default"/>
      </w:rPr>
    </w:lvl>
    <w:lvl w:ilvl="6" w:tplc="062413BE" w:tentative="1">
      <w:start w:val="1"/>
      <w:numFmt w:val="bullet"/>
      <w:lvlText w:val=""/>
      <w:lvlJc w:val="left"/>
      <w:pPr>
        <w:ind w:left="5040" w:hanging="360"/>
      </w:pPr>
      <w:rPr>
        <w:rFonts w:ascii="Symbol" w:hAnsi="Symbol" w:hint="default"/>
      </w:rPr>
    </w:lvl>
    <w:lvl w:ilvl="7" w:tplc="D55A8070" w:tentative="1">
      <w:start w:val="1"/>
      <w:numFmt w:val="bullet"/>
      <w:lvlText w:val="o"/>
      <w:lvlJc w:val="left"/>
      <w:pPr>
        <w:ind w:left="5760" w:hanging="360"/>
      </w:pPr>
      <w:rPr>
        <w:rFonts w:ascii="Courier New" w:hAnsi="Courier New" w:hint="default"/>
      </w:rPr>
    </w:lvl>
    <w:lvl w:ilvl="8" w:tplc="CDB2BE86" w:tentative="1">
      <w:start w:val="1"/>
      <w:numFmt w:val="bullet"/>
      <w:lvlText w:val=""/>
      <w:lvlJc w:val="left"/>
      <w:pPr>
        <w:ind w:left="6480" w:hanging="360"/>
      </w:pPr>
      <w:rPr>
        <w:rFonts w:ascii="Wingdings" w:hAnsi="Wingdings" w:hint="default"/>
      </w:rPr>
    </w:lvl>
  </w:abstractNum>
  <w:abstractNum w:abstractNumId="257" w15:restartNumberingAfterBreak="0">
    <w:nsid w:val="369A6298"/>
    <w:multiLevelType w:val="multilevel"/>
    <w:tmpl w:val="77C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6C01C45"/>
    <w:multiLevelType w:val="multilevel"/>
    <w:tmpl w:val="5754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6D887B3"/>
    <w:multiLevelType w:val="hybridMultilevel"/>
    <w:tmpl w:val="FFFFFFFF"/>
    <w:lvl w:ilvl="0" w:tplc="DF3CA82A">
      <w:start w:val="1"/>
      <w:numFmt w:val="bullet"/>
      <w:lvlText w:val=""/>
      <w:lvlJc w:val="left"/>
      <w:pPr>
        <w:ind w:left="720" w:hanging="360"/>
      </w:pPr>
      <w:rPr>
        <w:rFonts w:ascii="Symbol" w:hAnsi="Symbol" w:hint="default"/>
      </w:rPr>
    </w:lvl>
    <w:lvl w:ilvl="1" w:tplc="E4345888">
      <w:start w:val="1"/>
      <w:numFmt w:val="bullet"/>
      <w:lvlText w:val="o"/>
      <w:lvlJc w:val="left"/>
      <w:pPr>
        <w:ind w:left="1440" w:hanging="360"/>
      </w:pPr>
      <w:rPr>
        <w:rFonts w:ascii="Courier New" w:hAnsi="Courier New" w:hint="default"/>
      </w:rPr>
    </w:lvl>
    <w:lvl w:ilvl="2" w:tplc="F1B89E82">
      <w:start w:val="1"/>
      <w:numFmt w:val="bullet"/>
      <w:lvlText w:val=""/>
      <w:lvlJc w:val="left"/>
      <w:pPr>
        <w:ind w:left="2160" w:hanging="360"/>
      </w:pPr>
      <w:rPr>
        <w:rFonts w:ascii="Wingdings" w:hAnsi="Wingdings" w:hint="default"/>
      </w:rPr>
    </w:lvl>
    <w:lvl w:ilvl="3" w:tplc="89E4553E">
      <w:start w:val="1"/>
      <w:numFmt w:val="bullet"/>
      <w:lvlText w:val=""/>
      <w:lvlJc w:val="left"/>
      <w:pPr>
        <w:ind w:left="2880" w:hanging="360"/>
      </w:pPr>
      <w:rPr>
        <w:rFonts w:ascii="Symbol" w:hAnsi="Symbol" w:hint="default"/>
      </w:rPr>
    </w:lvl>
    <w:lvl w:ilvl="4" w:tplc="B26A25C8">
      <w:start w:val="1"/>
      <w:numFmt w:val="bullet"/>
      <w:lvlText w:val="o"/>
      <w:lvlJc w:val="left"/>
      <w:pPr>
        <w:ind w:left="3600" w:hanging="360"/>
      </w:pPr>
      <w:rPr>
        <w:rFonts w:ascii="Courier New" w:hAnsi="Courier New" w:hint="default"/>
      </w:rPr>
    </w:lvl>
    <w:lvl w:ilvl="5" w:tplc="F53CBD7A">
      <w:start w:val="1"/>
      <w:numFmt w:val="bullet"/>
      <w:lvlText w:val=""/>
      <w:lvlJc w:val="left"/>
      <w:pPr>
        <w:ind w:left="4320" w:hanging="360"/>
      </w:pPr>
      <w:rPr>
        <w:rFonts w:ascii="Wingdings" w:hAnsi="Wingdings" w:hint="default"/>
      </w:rPr>
    </w:lvl>
    <w:lvl w:ilvl="6" w:tplc="94CA86AC">
      <w:start w:val="1"/>
      <w:numFmt w:val="bullet"/>
      <w:lvlText w:val=""/>
      <w:lvlJc w:val="left"/>
      <w:pPr>
        <w:ind w:left="5040" w:hanging="360"/>
      </w:pPr>
      <w:rPr>
        <w:rFonts w:ascii="Symbol" w:hAnsi="Symbol" w:hint="default"/>
      </w:rPr>
    </w:lvl>
    <w:lvl w:ilvl="7" w:tplc="0E8C57D4">
      <w:start w:val="1"/>
      <w:numFmt w:val="bullet"/>
      <w:lvlText w:val="o"/>
      <w:lvlJc w:val="left"/>
      <w:pPr>
        <w:ind w:left="5760" w:hanging="360"/>
      </w:pPr>
      <w:rPr>
        <w:rFonts w:ascii="Courier New" w:hAnsi="Courier New" w:hint="default"/>
      </w:rPr>
    </w:lvl>
    <w:lvl w:ilvl="8" w:tplc="B2C012C6">
      <w:start w:val="1"/>
      <w:numFmt w:val="bullet"/>
      <w:lvlText w:val=""/>
      <w:lvlJc w:val="left"/>
      <w:pPr>
        <w:ind w:left="6480" w:hanging="360"/>
      </w:pPr>
      <w:rPr>
        <w:rFonts w:ascii="Wingdings" w:hAnsi="Wingdings" w:hint="default"/>
      </w:rPr>
    </w:lvl>
  </w:abstractNum>
  <w:abstractNum w:abstractNumId="260" w15:restartNumberingAfterBreak="0">
    <w:nsid w:val="36F506C0"/>
    <w:multiLevelType w:val="hybridMultilevel"/>
    <w:tmpl w:val="52CA7616"/>
    <w:lvl w:ilvl="0" w:tplc="CF16F600">
      <w:start w:val="1"/>
      <w:numFmt w:val="bullet"/>
      <w:lvlText w:val=""/>
      <w:lvlJc w:val="left"/>
      <w:pPr>
        <w:ind w:left="720" w:hanging="360"/>
      </w:pPr>
      <w:rPr>
        <w:rFonts w:ascii="Symbol" w:hAnsi="Symbol" w:hint="default"/>
      </w:rPr>
    </w:lvl>
    <w:lvl w:ilvl="1" w:tplc="FD52F31C" w:tentative="1">
      <w:start w:val="1"/>
      <w:numFmt w:val="bullet"/>
      <w:lvlText w:val="o"/>
      <w:lvlJc w:val="left"/>
      <w:pPr>
        <w:ind w:left="1440" w:hanging="360"/>
      </w:pPr>
      <w:rPr>
        <w:rFonts w:ascii="Courier New" w:hAnsi="Courier New" w:hint="default"/>
      </w:rPr>
    </w:lvl>
    <w:lvl w:ilvl="2" w:tplc="FFBC64D4" w:tentative="1">
      <w:start w:val="1"/>
      <w:numFmt w:val="bullet"/>
      <w:lvlText w:val=""/>
      <w:lvlJc w:val="left"/>
      <w:pPr>
        <w:ind w:left="2160" w:hanging="360"/>
      </w:pPr>
      <w:rPr>
        <w:rFonts w:ascii="Wingdings" w:hAnsi="Wingdings" w:hint="default"/>
      </w:rPr>
    </w:lvl>
    <w:lvl w:ilvl="3" w:tplc="84181A2A" w:tentative="1">
      <w:start w:val="1"/>
      <w:numFmt w:val="bullet"/>
      <w:lvlText w:val=""/>
      <w:lvlJc w:val="left"/>
      <w:pPr>
        <w:ind w:left="2880" w:hanging="360"/>
      </w:pPr>
      <w:rPr>
        <w:rFonts w:ascii="Symbol" w:hAnsi="Symbol" w:hint="default"/>
      </w:rPr>
    </w:lvl>
    <w:lvl w:ilvl="4" w:tplc="3A3A0D94" w:tentative="1">
      <w:start w:val="1"/>
      <w:numFmt w:val="bullet"/>
      <w:lvlText w:val="o"/>
      <w:lvlJc w:val="left"/>
      <w:pPr>
        <w:ind w:left="3600" w:hanging="360"/>
      </w:pPr>
      <w:rPr>
        <w:rFonts w:ascii="Courier New" w:hAnsi="Courier New" w:hint="default"/>
      </w:rPr>
    </w:lvl>
    <w:lvl w:ilvl="5" w:tplc="4EC09070" w:tentative="1">
      <w:start w:val="1"/>
      <w:numFmt w:val="bullet"/>
      <w:lvlText w:val=""/>
      <w:lvlJc w:val="left"/>
      <w:pPr>
        <w:ind w:left="4320" w:hanging="360"/>
      </w:pPr>
      <w:rPr>
        <w:rFonts w:ascii="Wingdings" w:hAnsi="Wingdings" w:hint="default"/>
      </w:rPr>
    </w:lvl>
    <w:lvl w:ilvl="6" w:tplc="BFEC6978" w:tentative="1">
      <w:start w:val="1"/>
      <w:numFmt w:val="bullet"/>
      <w:lvlText w:val=""/>
      <w:lvlJc w:val="left"/>
      <w:pPr>
        <w:ind w:left="5040" w:hanging="360"/>
      </w:pPr>
      <w:rPr>
        <w:rFonts w:ascii="Symbol" w:hAnsi="Symbol" w:hint="default"/>
      </w:rPr>
    </w:lvl>
    <w:lvl w:ilvl="7" w:tplc="C1C88918" w:tentative="1">
      <w:start w:val="1"/>
      <w:numFmt w:val="bullet"/>
      <w:lvlText w:val="o"/>
      <w:lvlJc w:val="left"/>
      <w:pPr>
        <w:ind w:left="5760" w:hanging="360"/>
      </w:pPr>
      <w:rPr>
        <w:rFonts w:ascii="Courier New" w:hAnsi="Courier New" w:hint="default"/>
      </w:rPr>
    </w:lvl>
    <w:lvl w:ilvl="8" w:tplc="F4E0DFB8" w:tentative="1">
      <w:start w:val="1"/>
      <w:numFmt w:val="bullet"/>
      <w:lvlText w:val=""/>
      <w:lvlJc w:val="left"/>
      <w:pPr>
        <w:ind w:left="6480" w:hanging="360"/>
      </w:pPr>
      <w:rPr>
        <w:rFonts w:ascii="Wingdings" w:hAnsi="Wingdings" w:hint="default"/>
      </w:rPr>
    </w:lvl>
  </w:abstractNum>
  <w:abstractNum w:abstractNumId="261" w15:restartNumberingAfterBreak="0">
    <w:nsid w:val="3708612A"/>
    <w:multiLevelType w:val="hybridMultilevel"/>
    <w:tmpl w:val="B14EAD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2" w15:restartNumberingAfterBreak="0">
    <w:nsid w:val="378660D0"/>
    <w:multiLevelType w:val="hybridMultilevel"/>
    <w:tmpl w:val="D1762D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3" w15:restartNumberingAfterBreak="0">
    <w:nsid w:val="37905E21"/>
    <w:multiLevelType w:val="multilevel"/>
    <w:tmpl w:val="E982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7975ACD"/>
    <w:multiLevelType w:val="multilevel"/>
    <w:tmpl w:val="49908B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5" w15:restartNumberingAfterBreak="0">
    <w:nsid w:val="37C0753E"/>
    <w:multiLevelType w:val="hybridMultilevel"/>
    <w:tmpl w:val="54804B38"/>
    <w:lvl w:ilvl="0" w:tplc="8B8CF4BC">
      <w:start w:val="1"/>
      <w:numFmt w:val="bullet"/>
      <w:lvlText w:val=""/>
      <w:lvlJc w:val="left"/>
      <w:pPr>
        <w:ind w:left="1440" w:hanging="360"/>
      </w:pPr>
      <w:rPr>
        <w:rFonts w:ascii="Symbol" w:hAnsi="Symbol" w:hint="default"/>
      </w:rPr>
    </w:lvl>
    <w:lvl w:ilvl="1" w:tplc="5F9C56B4">
      <w:start w:val="1"/>
      <w:numFmt w:val="bullet"/>
      <w:lvlText w:val="o"/>
      <w:lvlJc w:val="left"/>
      <w:pPr>
        <w:ind w:left="2160" w:hanging="360"/>
      </w:pPr>
      <w:rPr>
        <w:rFonts w:ascii="Courier New" w:hAnsi="Courier New" w:hint="default"/>
      </w:rPr>
    </w:lvl>
    <w:lvl w:ilvl="2" w:tplc="887EB6F2" w:tentative="1">
      <w:start w:val="1"/>
      <w:numFmt w:val="bullet"/>
      <w:lvlText w:val=""/>
      <w:lvlJc w:val="left"/>
      <w:pPr>
        <w:ind w:left="2880" w:hanging="360"/>
      </w:pPr>
      <w:rPr>
        <w:rFonts w:ascii="Wingdings" w:hAnsi="Wingdings" w:hint="default"/>
      </w:rPr>
    </w:lvl>
    <w:lvl w:ilvl="3" w:tplc="1B224D30" w:tentative="1">
      <w:start w:val="1"/>
      <w:numFmt w:val="bullet"/>
      <w:lvlText w:val=""/>
      <w:lvlJc w:val="left"/>
      <w:pPr>
        <w:ind w:left="3600" w:hanging="360"/>
      </w:pPr>
      <w:rPr>
        <w:rFonts w:ascii="Symbol" w:hAnsi="Symbol" w:hint="default"/>
      </w:rPr>
    </w:lvl>
    <w:lvl w:ilvl="4" w:tplc="C3169794" w:tentative="1">
      <w:start w:val="1"/>
      <w:numFmt w:val="bullet"/>
      <w:lvlText w:val="o"/>
      <w:lvlJc w:val="left"/>
      <w:pPr>
        <w:ind w:left="4320" w:hanging="360"/>
      </w:pPr>
      <w:rPr>
        <w:rFonts w:ascii="Courier New" w:hAnsi="Courier New" w:hint="default"/>
      </w:rPr>
    </w:lvl>
    <w:lvl w:ilvl="5" w:tplc="A8868A70" w:tentative="1">
      <w:start w:val="1"/>
      <w:numFmt w:val="bullet"/>
      <w:lvlText w:val=""/>
      <w:lvlJc w:val="left"/>
      <w:pPr>
        <w:ind w:left="5040" w:hanging="360"/>
      </w:pPr>
      <w:rPr>
        <w:rFonts w:ascii="Wingdings" w:hAnsi="Wingdings" w:hint="default"/>
      </w:rPr>
    </w:lvl>
    <w:lvl w:ilvl="6" w:tplc="50BE225A" w:tentative="1">
      <w:start w:val="1"/>
      <w:numFmt w:val="bullet"/>
      <w:lvlText w:val=""/>
      <w:lvlJc w:val="left"/>
      <w:pPr>
        <w:ind w:left="5760" w:hanging="360"/>
      </w:pPr>
      <w:rPr>
        <w:rFonts w:ascii="Symbol" w:hAnsi="Symbol" w:hint="default"/>
      </w:rPr>
    </w:lvl>
    <w:lvl w:ilvl="7" w:tplc="3A8CA054" w:tentative="1">
      <w:start w:val="1"/>
      <w:numFmt w:val="bullet"/>
      <w:lvlText w:val="o"/>
      <w:lvlJc w:val="left"/>
      <w:pPr>
        <w:ind w:left="6480" w:hanging="360"/>
      </w:pPr>
      <w:rPr>
        <w:rFonts w:ascii="Courier New" w:hAnsi="Courier New" w:hint="default"/>
      </w:rPr>
    </w:lvl>
    <w:lvl w:ilvl="8" w:tplc="495CA3B4" w:tentative="1">
      <w:start w:val="1"/>
      <w:numFmt w:val="bullet"/>
      <w:lvlText w:val=""/>
      <w:lvlJc w:val="left"/>
      <w:pPr>
        <w:ind w:left="7200" w:hanging="360"/>
      </w:pPr>
      <w:rPr>
        <w:rFonts w:ascii="Wingdings" w:hAnsi="Wingdings" w:hint="default"/>
      </w:rPr>
    </w:lvl>
  </w:abstractNum>
  <w:abstractNum w:abstractNumId="266" w15:restartNumberingAfterBreak="0">
    <w:nsid w:val="38566101"/>
    <w:multiLevelType w:val="hybridMultilevel"/>
    <w:tmpl w:val="FFFFFFFF"/>
    <w:lvl w:ilvl="0" w:tplc="7780FBD0">
      <w:start w:val="1"/>
      <w:numFmt w:val="bullet"/>
      <w:lvlText w:val=""/>
      <w:lvlJc w:val="left"/>
      <w:pPr>
        <w:ind w:left="720" w:hanging="360"/>
      </w:pPr>
      <w:rPr>
        <w:rFonts w:ascii="Symbol" w:hAnsi="Symbol" w:hint="default"/>
      </w:rPr>
    </w:lvl>
    <w:lvl w:ilvl="1" w:tplc="EE74611C">
      <w:start w:val="1"/>
      <w:numFmt w:val="bullet"/>
      <w:lvlText w:val="o"/>
      <w:lvlJc w:val="left"/>
      <w:pPr>
        <w:ind w:left="1440" w:hanging="360"/>
      </w:pPr>
      <w:rPr>
        <w:rFonts w:ascii="Courier New" w:hAnsi="Courier New" w:hint="default"/>
      </w:rPr>
    </w:lvl>
    <w:lvl w:ilvl="2" w:tplc="090A333C">
      <w:start w:val="1"/>
      <w:numFmt w:val="bullet"/>
      <w:lvlText w:val=""/>
      <w:lvlJc w:val="left"/>
      <w:pPr>
        <w:ind w:left="2160" w:hanging="360"/>
      </w:pPr>
      <w:rPr>
        <w:rFonts w:ascii="Wingdings" w:hAnsi="Wingdings" w:hint="default"/>
      </w:rPr>
    </w:lvl>
    <w:lvl w:ilvl="3" w:tplc="FE861C48">
      <w:start w:val="1"/>
      <w:numFmt w:val="bullet"/>
      <w:lvlText w:val=""/>
      <w:lvlJc w:val="left"/>
      <w:pPr>
        <w:ind w:left="2880" w:hanging="360"/>
      </w:pPr>
      <w:rPr>
        <w:rFonts w:ascii="Symbol" w:hAnsi="Symbol" w:hint="default"/>
      </w:rPr>
    </w:lvl>
    <w:lvl w:ilvl="4" w:tplc="535205C4">
      <w:start w:val="1"/>
      <w:numFmt w:val="bullet"/>
      <w:lvlText w:val="o"/>
      <w:lvlJc w:val="left"/>
      <w:pPr>
        <w:ind w:left="3600" w:hanging="360"/>
      </w:pPr>
      <w:rPr>
        <w:rFonts w:ascii="Courier New" w:hAnsi="Courier New" w:hint="default"/>
      </w:rPr>
    </w:lvl>
    <w:lvl w:ilvl="5" w:tplc="8CD08182">
      <w:start w:val="1"/>
      <w:numFmt w:val="bullet"/>
      <w:lvlText w:val=""/>
      <w:lvlJc w:val="left"/>
      <w:pPr>
        <w:ind w:left="4320" w:hanging="360"/>
      </w:pPr>
      <w:rPr>
        <w:rFonts w:ascii="Wingdings" w:hAnsi="Wingdings" w:hint="default"/>
      </w:rPr>
    </w:lvl>
    <w:lvl w:ilvl="6" w:tplc="FA2AA866">
      <w:start w:val="1"/>
      <w:numFmt w:val="bullet"/>
      <w:lvlText w:val=""/>
      <w:lvlJc w:val="left"/>
      <w:pPr>
        <w:ind w:left="5040" w:hanging="360"/>
      </w:pPr>
      <w:rPr>
        <w:rFonts w:ascii="Symbol" w:hAnsi="Symbol" w:hint="default"/>
      </w:rPr>
    </w:lvl>
    <w:lvl w:ilvl="7" w:tplc="CD14EE20">
      <w:start w:val="1"/>
      <w:numFmt w:val="bullet"/>
      <w:lvlText w:val="o"/>
      <w:lvlJc w:val="left"/>
      <w:pPr>
        <w:ind w:left="5760" w:hanging="360"/>
      </w:pPr>
      <w:rPr>
        <w:rFonts w:ascii="Courier New" w:hAnsi="Courier New" w:hint="default"/>
      </w:rPr>
    </w:lvl>
    <w:lvl w:ilvl="8" w:tplc="D930853C">
      <w:start w:val="1"/>
      <w:numFmt w:val="bullet"/>
      <w:lvlText w:val=""/>
      <w:lvlJc w:val="left"/>
      <w:pPr>
        <w:ind w:left="6480" w:hanging="360"/>
      </w:pPr>
      <w:rPr>
        <w:rFonts w:ascii="Wingdings" w:hAnsi="Wingdings" w:hint="default"/>
      </w:rPr>
    </w:lvl>
  </w:abstractNum>
  <w:abstractNum w:abstractNumId="267" w15:restartNumberingAfterBreak="0">
    <w:nsid w:val="38740310"/>
    <w:multiLevelType w:val="multilevel"/>
    <w:tmpl w:val="43DC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8C06ECF"/>
    <w:multiLevelType w:val="multilevel"/>
    <w:tmpl w:val="908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D16407"/>
    <w:multiLevelType w:val="hybridMultilevel"/>
    <w:tmpl w:val="80B0520A"/>
    <w:lvl w:ilvl="0" w:tplc="05DACDA2">
      <w:start w:val="1"/>
      <w:numFmt w:val="bullet"/>
      <w:lvlText w:val=""/>
      <w:lvlJc w:val="left"/>
      <w:pPr>
        <w:ind w:left="720" w:hanging="360"/>
      </w:pPr>
      <w:rPr>
        <w:rFonts w:ascii="Symbol" w:hAnsi="Symbol" w:hint="default"/>
      </w:rPr>
    </w:lvl>
    <w:lvl w:ilvl="1" w:tplc="503A233E" w:tentative="1">
      <w:start w:val="1"/>
      <w:numFmt w:val="bullet"/>
      <w:lvlText w:val="o"/>
      <w:lvlJc w:val="left"/>
      <w:pPr>
        <w:ind w:left="1440" w:hanging="360"/>
      </w:pPr>
      <w:rPr>
        <w:rFonts w:ascii="Courier New" w:hAnsi="Courier New" w:hint="default"/>
      </w:rPr>
    </w:lvl>
    <w:lvl w:ilvl="2" w:tplc="6E202B4C" w:tentative="1">
      <w:start w:val="1"/>
      <w:numFmt w:val="bullet"/>
      <w:lvlText w:val=""/>
      <w:lvlJc w:val="left"/>
      <w:pPr>
        <w:ind w:left="2160" w:hanging="360"/>
      </w:pPr>
      <w:rPr>
        <w:rFonts w:ascii="Wingdings" w:hAnsi="Wingdings" w:hint="default"/>
      </w:rPr>
    </w:lvl>
    <w:lvl w:ilvl="3" w:tplc="6B4CA344" w:tentative="1">
      <w:start w:val="1"/>
      <w:numFmt w:val="bullet"/>
      <w:lvlText w:val=""/>
      <w:lvlJc w:val="left"/>
      <w:pPr>
        <w:ind w:left="2880" w:hanging="360"/>
      </w:pPr>
      <w:rPr>
        <w:rFonts w:ascii="Symbol" w:hAnsi="Symbol" w:hint="default"/>
      </w:rPr>
    </w:lvl>
    <w:lvl w:ilvl="4" w:tplc="0448BC10" w:tentative="1">
      <w:start w:val="1"/>
      <w:numFmt w:val="bullet"/>
      <w:lvlText w:val="o"/>
      <w:lvlJc w:val="left"/>
      <w:pPr>
        <w:ind w:left="3600" w:hanging="360"/>
      </w:pPr>
      <w:rPr>
        <w:rFonts w:ascii="Courier New" w:hAnsi="Courier New" w:hint="default"/>
      </w:rPr>
    </w:lvl>
    <w:lvl w:ilvl="5" w:tplc="50C86590" w:tentative="1">
      <w:start w:val="1"/>
      <w:numFmt w:val="bullet"/>
      <w:lvlText w:val=""/>
      <w:lvlJc w:val="left"/>
      <w:pPr>
        <w:ind w:left="4320" w:hanging="360"/>
      </w:pPr>
      <w:rPr>
        <w:rFonts w:ascii="Wingdings" w:hAnsi="Wingdings" w:hint="default"/>
      </w:rPr>
    </w:lvl>
    <w:lvl w:ilvl="6" w:tplc="B85E953E" w:tentative="1">
      <w:start w:val="1"/>
      <w:numFmt w:val="bullet"/>
      <w:lvlText w:val=""/>
      <w:lvlJc w:val="left"/>
      <w:pPr>
        <w:ind w:left="5040" w:hanging="360"/>
      </w:pPr>
      <w:rPr>
        <w:rFonts w:ascii="Symbol" w:hAnsi="Symbol" w:hint="default"/>
      </w:rPr>
    </w:lvl>
    <w:lvl w:ilvl="7" w:tplc="D9AAE732" w:tentative="1">
      <w:start w:val="1"/>
      <w:numFmt w:val="bullet"/>
      <w:lvlText w:val="o"/>
      <w:lvlJc w:val="left"/>
      <w:pPr>
        <w:ind w:left="5760" w:hanging="360"/>
      </w:pPr>
      <w:rPr>
        <w:rFonts w:ascii="Courier New" w:hAnsi="Courier New" w:hint="default"/>
      </w:rPr>
    </w:lvl>
    <w:lvl w:ilvl="8" w:tplc="0F5EF7E2" w:tentative="1">
      <w:start w:val="1"/>
      <w:numFmt w:val="bullet"/>
      <w:lvlText w:val=""/>
      <w:lvlJc w:val="left"/>
      <w:pPr>
        <w:ind w:left="6480" w:hanging="360"/>
      </w:pPr>
      <w:rPr>
        <w:rFonts w:ascii="Wingdings" w:hAnsi="Wingdings" w:hint="default"/>
      </w:rPr>
    </w:lvl>
  </w:abstractNum>
  <w:abstractNum w:abstractNumId="270"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39913678"/>
    <w:multiLevelType w:val="hybridMultilevel"/>
    <w:tmpl w:val="CB982C02"/>
    <w:lvl w:ilvl="0" w:tplc="191CC9C8">
      <w:start w:val="1"/>
      <w:numFmt w:val="bullet"/>
      <w:lvlText w:val=""/>
      <w:lvlJc w:val="left"/>
      <w:pPr>
        <w:tabs>
          <w:tab w:val="num" w:pos="360"/>
        </w:tabs>
        <w:ind w:left="360" w:hanging="360"/>
      </w:pPr>
      <w:rPr>
        <w:rFonts w:ascii="Symbol" w:hAnsi="Symbol" w:hint="default"/>
      </w:rPr>
    </w:lvl>
    <w:lvl w:ilvl="1" w:tplc="7676EE52">
      <w:start w:val="1"/>
      <w:numFmt w:val="bullet"/>
      <w:lvlText w:val="o"/>
      <w:lvlJc w:val="left"/>
      <w:pPr>
        <w:tabs>
          <w:tab w:val="num" w:pos="1080"/>
        </w:tabs>
        <w:ind w:left="1080" w:hanging="360"/>
      </w:pPr>
      <w:rPr>
        <w:rFonts w:ascii="Courier New" w:hAnsi="Courier New" w:hint="default"/>
      </w:rPr>
    </w:lvl>
    <w:lvl w:ilvl="2" w:tplc="5CA8FF4E">
      <w:start w:val="1"/>
      <w:numFmt w:val="bullet"/>
      <w:lvlText w:val=""/>
      <w:lvlJc w:val="left"/>
      <w:pPr>
        <w:tabs>
          <w:tab w:val="num" w:pos="1800"/>
        </w:tabs>
        <w:ind w:left="1800" w:hanging="360"/>
      </w:pPr>
      <w:rPr>
        <w:rFonts w:ascii="Wingdings" w:hAnsi="Wingdings" w:hint="default"/>
      </w:rPr>
    </w:lvl>
    <w:lvl w:ilvl="3" w:tplc="12884B10">
      <w:start w:val="1"/>
      <w:numFmt w:val="bullet"/>
      <w:lvlText w:val=""/>
      <w:lvlJc w:val="left"/>
      <w:pPr>
        <w:tabs>
          <w:tab w:val="num" w:pos="2520"/>
        </w:tabs>
        <w:ind w:left="2520" w:hanging="360"/>
      </w:pPr>
      <w:rPr>
        <w:rFonts w:ascii="Symbol" w:hAnsi="Symbol" w:hint="default"/>
      </w:rPr>
    </w:lvl>
    <w:lvl w:ilvl="4" w:tplc="2A88ECE4">
      <w:start w:val="1"/>
      <w:numFmt w:val="bullet"/>
      <w:lvlText w:val="o"/>
      <w:lvlJc w:val="left"/>
      <w:pPr>
        <w:tabs>
          <w:tab w:val="num" w:pos="3240"/>
        </w:tabs>
        <w:ind w:left="3240" w:hanging="360"/>
      </w:pPr>
      <w:rPr>
        <w:rFonts w:ascii="Courier New" w:hAnsi="Courier New" w:hint="default"/>
      </w:rPr>
    </w:lvl>
    <w:lvl w:ilvl="5" w:tplc="77B85A54">
      <w:start w:val="1"/>
      <w:numFmt w:val="bullet"/>
      <w:lvlText w:val=""/>
      <w:lvlJc w:val="left"/>
      <w:pPr>
        <w:tabs>
          <w:tab w:val="num" w:pos="3960"/>
        </w:tabs>
        <w:ind w:left="3960" w:hanging="360"/>
      </w:pPr>
      <w:rPr>
        <w:rFonts w:ascii="Wingdings" w:hAnsi="Wingdings" w:hint="default"/>
      </w:rPr>
    </w:lvl>
    <w:lvl w:ilvl="6" w:tplc="DEBC84B4">
      <w:start w:val="1"/>
      <w:numFmt w:val="bullet"/>
      <w:lvlText w:val=""/>
      <w:lvlJc w:val="left"/>
      <w:pPr>
        <w:tabs>
          <w:tab w:val="num" w:pos="4680"/>
        </w:tabs>
        <w:ind w:left="4680" w:hanging="360"/>
      </w:pPr>
      <w:rPr>
        <w:rFonts w:ascii="Symbol" w:hAnsi="Symbol" w:hint="default"/>
      </w:rPr>
    </w:lvl>
    <w:lvl w:ilvl="7" w:tplc="71D444AE">
      <w:start w:val="1"/>
      <w:numFmt w:val="bullet"/>
      <w:lvlText w:val="o"/>
      <w:lvlJc w:val="left"/>
      <w:pPr>
        <w:tabs>
          <w:tab w:val="num" w:pos="5400"/>
        </w:tabs>
        <w:ind w:left="5400" w:hanging="360"/>
      </w:pPr>
      <w:rPr>
        <w:rFonts w:ascii="Courier New" w:hAnsi="Courier New" w:hint="default"/>
      </w:rPr>
    </w:lvl>
    <w:lvl w:ilvl="8" w:tplc="1F7C256C">
      <w:start w:val="1"/>
      <w:numFmt w:val="bullet"/>
      <w:lvlText w:val=""/>
      <w:lvlJc w:val="left"/>
      <w:pPr>
        <w:tabs>
          <w:tab w:val="num" w:pos="6120"/>
        </w:tabs>
        <w:ind w:left="6120" w:hanging="360"/>
      </w:pPr>
      <w:rPr>
        <w:rFonts w:ascii="Wingdings" w:hAnsi="Wingdings" w:hint="default"/>
      </w:rPr>
    </w:lvl>
  </w:abstractNum>
  <w:abstractNum w:abstractNumId="272" w15:restartNumberingAfterBreak="0">
    <w:nsid w:val="39EF482B"/>
    <w:multiLevelType w:val="hybridMultilevel"/>
    <w:tmpl w:val="C7D4A23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73" w15:restartNumberingAfterBreak="0">
    <w:nsid w:val="3A02C891"/>
    <w:multiLevelType w:val="hybridMultilevel"/>
    <w:tmpl w:val="FFFFFFFF"/>
    <w:lvl w:ilvl="0" w:tplc="3604BBEE">
      <w:start w:val="1"/>
      <w:numFmt w:val="bullet"/>
      <w:lvlText w:val=""/>
      <w:lvlJc w:val="left"/>
      <w:pPr>
        <w:ind w:left="720" w:hanging="360"/>
      </w:pPr>
      <w:rPr>
        <w:rFonts w:ascii="Symbol" w:hAnsi="Symbol" w:hint="default"/>
      </w:rPr>
    </w:lvl>
    <w:lvl w:ilvl="1" w:tplc="0D12AE9E">
      <w:start w:val="1"/>
      <w:numFmt w:val="bullet"/>
      <w:lvlText w:val="o"/>
      <w:lvlJc w:val="left"/>
      <w:pPr>
        <w:ind w:left="1440" w:hanging="360"/>
      </w:pPr>
      <w:rPr>
        <w:rFonts w:ascii="Courier New" w:hAnsi="Courier New" w:hint="default"/>
      </w:rPr>
    </w:lvl>
    <w:lvl w:ilvl="2" w:tplc="579EDB7E">
      <w:start w:val="1"/>
      <w:numFmt w:val="bullet"/>
      <w:lvlText w:val=""/>
      <w:lvlJc w:val="left"/>
      <w:pPr>
        <w:ind w:left="2160" w:hanging="360"/>
      </w:pPr>
      <w:rPr>
        <w:rFonts w:ascii="Wingdings" w:hAnsi="Wingdings" w:hint="default"/>
      </w:rPr>
    </w:lvl>
    <w:lvl w:ilvl="3" w:tplc="FDB8391C">
      <w:start w:val="1"/>
      <w:numFmt w:val="bullet"/>
      <w:lvlText w:val=""/>
      <w:lvlJc w:val="left"/>
      <w:pPr>
        <w:ind w:left="2880" w:hanging="360"/>
      </w:pPr>
      <w:rPr>
        <w:rFonts w:ascii="Symbol" w:hAnsi="Symbol" w:hint="default"/>
      </w:rPr>
    </w:lvl>
    <w:lvl w:ilvl="4" w:tplc="762632C0">
      <w:start w:val="1"/>
      <w:numFmt w:val="bullet"/>
      <w:lvlText w:val="o"/>
      <w:lvlJc w:val="left"/>
      <w:pPr>
        <w:ind w:left="3600" w:hanging="360"/>
      </w:pPr>
      <w:rPr>
        <w:rFonts w:ascii="Courier New" w:hAnsi="Courier New" w:hint="default"/>
      </w:rPr>
    </w:lvl>
    <w:lvl w:ilvl="5" w:tplc="71ECD74A">
      <w:start w:val="1"/>
      <w:numFmt w:val="bullet"/>
      <w:lvlText w:val=""/>
      <w:lvlJc w:val="left"/>
      <w:pPr>
        <w:ind w:left="4320" w:hanging="360"/>
      </w:pPr>
      <w:rPr>
        <w:rFonts w:ascii="Wingdings" w:hAnsi="Wingdings" w:hint="default"/>
      </w:rPr>
    </w:lvl>
    <w:lvl w:ilvl="6" w:tplc="AAD65A22">
      <w:start w:val="1"/>
      <w:numFmt w:val="bullet"/>
      <w:lvlText w:val=""/>
      <w:lvlJc w:val="left"/>
      <w:pPr>
        <w:ind w:left="5040" w:hanging="360"/>
      </w:pPr>
      <w:rPr>
        <w:rFonts w:ascii="Symbol" w:hAnsi="Symbol" w:hint="default"/>
      </w:rPr>
    </w:lvl>
    <w:lvl w:ilvl="7" w:tplc="374E33E8">
      <w:start w:val="1"/>
      <w:numFmt w:val="bullet"/>
      <w:lvlText w:val="o"/>
      <w:lvlJc w:val="left"/>
      <w:pPr>
        <w:ind w:left="5760" w:hanging="360"/>
      </w:pPr>
      <w:rPr>
        <w:rFonts w:ascii="Courier New" w:hAnsi="Courier New" w:hint="default"/>
      </w:rPr>
    </w:lvl>
    <w:lvl w:ilvl="8" w:tplc="C7EC255E">
      <w:start w:val="1"/>
      <w:numFmt w:val="bullet"/>
      <w:lvlText w:val=""/>
      <w:lvlJc w:val="left"/>
      <w:pPr>
        <w:ind w:left="6480" w:hanging="360"/>
      </w:pPr>
      <w:rPr>
        <w:rFonts w:ascii="Wingdings" w:hAnsi="Wingdings" w:hint="default"/>
      </w:rPr>
    </w:lvl>
  </w:abstractNum>
  <w:abstractNum w:abstractNumId="274" w15:restartNumberingAfterBreak="0">
    <w:nsid w:val="3A7610EE"/>
    <w:multiLevelType w:val="multilevel"/>
    <w:tmpl w:val="4E70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A8B150B"/>
    <w:multiLevelType w:val="hybridMultilevel"/>
    <w:tmpl w:val="7518B858"/>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3AAB5EC4"/>
    <w:multiLevelType w:val="hybridMultilevel"/>
    <w:tmpl w:val="97505360"/>
    <w:lvl w:ilvl="0" w:tplc="FB300E78">
      <w:start w:val="1"/>
      <w:numFmt w:val="bullet"/>
      <w:lvlText w:val=""/>
      <w:lvlJc w:val="left"/>
      <w:pPr>
        <w:ind w:left="1440" w:hanging="360"/>
      </w:pPr>
      <w:rPr>
        <w:rFonts w:ascii="Symbol" w:hAnsi="Symbol"/>
      </w:rPr>
    </w:lvl>
    <w:lvl w:ilvl="1" w:tplc="75723C24">
      <w:start w:val="1"/>
      <w:numFmt w:val="bullet"/>
      <w:lvlText w:val=""/>
      <w:lvlJc w:val="left"/>
      <w:pPr>
        <w:ind w:left="1440" w:hanging="360"/>
      </w:pPr>
      <w:rPr>
        <w:rFonts w:ascii="Symbol" w:hAnsi="Symbol"/>
      </w:rPr>
    </w:lvl>
    <w:lvl w:ilvl="2" w:tplc="C12C6CE8">
      <w:start w:val="1"/>
      <w:numFmt w:val="bullet"/>
      <w:lvlText w:val=""/>
      <w:lvlJc w:val="left"/>
      <w:pPr>
        <w:ind w:left="1440" w:hanging="360"/>
      </w:pPr>
      <w:rPr>
        <w:rFonts w:ascii="Symbol" w:hAnsi="Symbol"/>
      </w:rPr>
    </w:lvl>
    <w:lvl w:ilvl="3" w:tplc="929E6450">
      <w:start w:val="1"/>
      <w:numFmt w:val="bullet"/>
      <w:lvlText w:val=""/>
      <w:lvlJc w:val="left"/>
      <w:pPr>
        <w:ind w:left="1440" w:hanging="360"/>
      </w:pPr>
      <w:rPr>
        <w:rFonts w:ascii="Symbol" w:hAnsi="Symbol"/>
      </w:rPr>
    </w:lvl>
    <w:lvl w:ilvl="4" w:tplc="C78E0A18">
      <w:start w:val="1"/>
      <w:numFmt w:val="bullet"/>
      <w:lvlText w:val=""/>
      <w:lvlJc w:val="left"/>
      <w:pPr>
        <w:ind w:left="1440" w:hanging="360"/>
      </w:pPr>
      <w:rPr>
        <w:rFonts w:ascii="Symbol" w:hAnsi="Symbol"/>
      </w:rPr>
    </w:lvl>
    <w:lvl w:ilvl="5" w:tplc="831642D6">
      <w:start w:val="1"/>
      <w:numFmt w:val="bullet"/>
      <w:lvlText w:val=""/>
      <w:lvlJc w:val="left"/>
      <w:pPr>
        <w:ind w:left="1440" w:hanging="360"/>
      </w:pPr>
      <w:rPr>
        <w:rFonts w:ascii="Symbol" w:hAnsi="Symbol"/>
      </w:rPr>
    </w:lvl>
    <w:lvl w:ilvl="6" w:tplc="7EF64290">
      <w:start w:val="1"/>
      <w:numFmt w:val="bullet"/>
      <w:lvlText w:val=""/>
      <w:lvlJc w:val="left"/>
      <w:pPr>
        <w:ind w:left="1440" w:hanging="360"/>
      </w:pPr>
      <w:rPr>
        <w:rFonts w:ascii="Symbol" w:hAnsi="Symbol"/>
      </w:rPr>
    </w:lvl>
    <w:lvl w:ilvl="7" w:tplc="13FE5C12">
      <w:start w:val="1"/>
      <w:numFmt w:val="bullet"/>
      <w:lvlText w:val=""/>
      <w:lvlJc w:val="left"/>
      <w:pPr>
        <w:ind w:left="1440" w:hanging="360"/>
      </w:pPr>
      <w:rPr>
        <w:rFonts w:ascii="Symbol" w:hAnsi="Symbol"/>
      </w:rPr>
    </w:lvl>
    <w:lvl w:ilvl="8" w:tplc="80AE13F8">
      <w:start w:val="1"/>
      <w:numFmt w:val="bullet"/>
      <w:lvlText w:val=""/>
      <w:lvlJc w:val="left"/>
      <w:pPr>
        <w:ind w:left="1440" w:hanging="360"/>
      </w:pPr>
      <w:rPr>
        <w:rFonts w:ascii="Symbol" w:hAnsi="Symbol"/>
      </w:rPr>
    </w:lvl>
  </w:abstractNum>
  <w:abstractNum w:abstractNumId="277" w15:restartNumberingAfterBreak="0">
    <w:nsid w:val="3AFB7CDF"/>
    <w:multiLevelType w:val="multilevel"/>
    <w:tmpl w:val="7360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B2F437C"/>
    <w:multiLevelType w:val="multilevel"/>
    <w:tmpl w:val="835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B3E7679"/>
    <w:multiLevelType w:val="multilevel"/>
    <w:tmpl w:val="AA32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B585CDD"/>
    <w:multiLevelType w:val="hybridMultilevel"/>
    <w:tmpl w:val="8892B62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81" w15:restartNumberingAfterBreak="0">
    <w:nsid w:val="3BB374D6"/>
    <w:multiLevelType w:val="hybridMultilevel"/>
    <w:tmpl w:val="0A20DDD8"/>
    <w:lvl w:ilvl="0" w:tplc="3BB4F03A">
      <w:start w:val="1"/>
      <w:numFmt w:val="bullet"/>
      <w:lvlText w:val=""/>
      <w:lvlJc w:val="left"/>
      <w:pPr>
        <w:ind w:left="1080" w:hanging="360"/>
      </w:pPr>
      <w:rPr>
        <w:rFonts w:ascii="Symbol" w:hAnsi="Symbol" w:hint="default"/>
        <w:color w:val="auto"/>
      </w:rPr>
    </w:lvl>
    <w:lvl w:ilvl="1" w:tplc="954C30AA" w:tentative="1">
      <w:start w:val="1"/>
      <w:numFmt w:val="bullet"/>
      <w:lvlText w:val="o"/>
      <w:lvlJc w:val="left"/>
      <w:pPr>
        <w:ind w:left="2160" w:hanging="360"/>
      </w:pPr>
      <w:rPr>
        <w:rFonts w:ascii="Courier New" w:hAnsi="Courier New" w:hint="default"/>
      </w:rPr>
    </w:lvl>
    <w:lvl w:ilvl="2" w:tplc="58BA5ADE" w:tentative="1">
      <w:start w:val="1"/>
      <w:numFmt w:val="bullet"/>
      <w:lvlText w:val=""/>
      <w:lvlJc w:val="left"/>
      <w:pPr>
        <w:ind w:left="2880" w:hanging="360"/>
      </w:pPr>
      <w:rPr>
        <w:rFonts w:ascii="Wingdings" w:hAnsi="Wingdings" w:hint="default"/>
      </w:rPr>
    </w:lvl>
    <w:lvl w:ilvl="3" w:tplc="64DA9856" w:tentative="1">
      <w:start w:val="1"/>
      <w:numFmt w:val="bullet"/>
      <w:lvlText w:val=""/>
      <w:lvlJc w:val="left"/>
      <w:pPr>
        <w:ind w:left="3600" w:hanging="360"/>
      </w:pPr>
      <w:rPr>
        <w:rFonts w:ascii="Symbol" w:hAnsi="Symbol" w:hint="default"/>
      </w:rPr>
    </w:lvl>
    <w:lvl w:ilvl="4" w:tplc="A89AC1D6" w:tentative="1">
      <w:start w:val="1"/>
      <w:numFmt w:val="bullet"/>
      <w:lvlText w:val="o"/>
      <w:lvlJc w:val="left"/>
      <w:pPr>
        <w:ind w:left="4320" w:hanging="360"/>
      </w:pPr>
      <w:rPr>
        <w:rFonts w:ascii="Courier New" w:hAnsi="Courier New" w:hint="default"/>
      </w:rPr>
    </w:lvl>
    <w:lvl w:ilvl="5" w:tplc="CAFA5F58" w:tentative="1">
      <w:start w:val="1"/>
      <w:numFmt w:val="bullet"/>
      <w:lvlText w:val=""/>
      <w:lvlJc w:val="left"/>
      <w:pPr>
        <w:ind w:left="5040" w:hanging="360"/>
      </w:pPr>
      <w:rPr>
        <w:rFonts w:ascii="Wingdings" w:hAnsi="Wingdings" w:hint="default"/>
      </w:rPr>
    </w:lvl>
    <w:lvl w:ilvl="6" w:tplc="0ED080B6" w:tentative="1">
      <w:start w:val="1"/>
      <w:numFmt w:val="bullet"/>
      <w:lvlText w:val=""/>
      <w:lvlJc w:val="left"/>
      <w:pPr>
        <w:ind w:left="5760" w:hanging="360"/>
      </w:pPr>
      <w:rPr>
        <w:rFonts w:ascii="Symbol" w:hAnsi="Symbol" w:hint="default"/>
      </w:rPr>
    </w:lvl>
    <w:lvl w:ilvl="7" w:tplc="6F5C9170" w:tentative="1">
      <w:start w:val="1"/>
      <w:numFmt w:val="bullet"/>
      <w:lvlText w:val="o"/>
      <w:lvlJc w:val="left"/>
      <w:pPr>
        <w:ind w:left="6480" w:hanging="360"/>
      </w:pPr>
      <w:rPr>
        <w:rFonts w:ascii="Courier New" w:hAnsi="Courier New" w:hint="default"/>
      </w:rPr>
    </w:lvl>
    <w:lvl w:ilvl="8" w:tplc="DA161E0A" w:tentative="1">
      <w:start w:val="1"/>
      <w:numFmt w:val="bullet"/>
      <w:lvlText w:val=""/>
      <w:lvlJc w:val="left"/>
      <w:pPr>
        <w:ind w:left="7200" w:hanging="360"/>
      </w:pPr>
      <w:rPr>
        <w:rFonts w:ascii="Wingdings" w:hAnsi="Wingdings" w:hint="default"/>
      </w:rPr>
    </w:lvl>
  </w:abstractNum>
  <w:abstractNum w:abstractNumId="282" w15:restartNumberingAfterBreak="0">
    <w:nsid w:val="3BD360A6"/>
    <w:multiLevelType w:val="multilevel"/>
    <w:tmpl w:val="35A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EB5ADD"/>
    <w:multiLevelType w:val="hybridMultilevel"/>
    <w:tmpl w:val="25D23F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4" w15:restartNumberingAfterBreak="0">
    <w:nsid w:val="3C1771B0"/>
    <w:multiLevelType w:val="multilevel"/>
    <w:tmpl w:val="6952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A65E57"/>
    <w:multiLevelType w:val="hybridMultilevel"/>
    <w:tmpl w:val="E0DAD162"/>
    <w:lvl w:ilvl="0" w:tplc="FB50C302">
      <w:start w:val="1"/>
      <w:numFmt w:val="bullet"/>
      <w:lvlText w:val=""/>
      <w:lvlJc w:val="left"/>
      <w:pPr>
        <w:ind w:left="780" w:hanging="360"/>
      </w:pPr>
      <w:rPr>
        <w:rFonts w:ascii="Symbol" w:hAnsi="Symbol" w:hint="default"/>
      </w:rPr>
    </w:lvl>
    <w:lvl w:ilvl="1" w:tplc="A08EE73E" w:tentative="1">
      <w:start w:val="1"/>
      <w:numFmt w:val="bullet"/>
      <w:lvlText w:val="o"/>
      <w:lvlJc w:val="left"/>
      <w:pPr>
        <w:ind w:left="1500" w:hanging="360"/>
      </w:pPr>
      <w:rPr>
        <w:rFonts w:ascii="Courier New" w:hAnsi="Courier New" w:hint="default"/>
      </w:rPr>
    </w:lvl>
    <w:lvl w:ilvl="2" w:tplc="BA12B26E" w:tentative="1">
      <w:start w:val="1"/>
      <w:numFmt w:val="bullet"/>
      <w:lvlText w:val=""/>
      <w:lvlJc w:val="left"/>
      <w:pPr>
        <w:ind w:left="2220" w:hanging="360"/>
      </w:pPr>
      <w:rPr>
        <w:rFonts w:ascii="Wingdings" w:hAnsi="Wingdings" w:hint="default"/>
      </w:rPr>
    </w:lvl>
    <w:lvl w:ilvl="3" w:tplc="A044F990" w:tentative="1">
      <w:start w:val="1"/>
      <w:numFmt w:val="bullet"/>
      <w:lvlText w:val=""/>
      <w:lvlJc w:val="left"/>
      <w:pPr>
        <w:ind w:left="2940" w:hanging="360"/>
      </w:pPr>
      <w:rPr>
        <w:rFonts w:ascii="Symbol" w:hAnsi="Symbol" w:hint="default"/>
      </w:rPr>
    </w:lvl>
    <w:lvl w:ilvl="4" w:tplc="AFF6149E" w:tentative="1">
      <w:start w:val="1"/>
      <w:numFmt w:val="bullet"/>
      <w:lvlText w:val="o"/>
      <w:lvlJc w:val="left"/>
      <w:pPr>
        <w:ind w:left="3660" w:hanging="360"/>
      </w:pPr>
      <w:rPr>
        <w:rFonts w:ascii="Courier New" w:hAnsi="Courier New" w:hint="default"/>
      </w:rPr>
    </w:lvl>
    <w:lvl w:ilvl="5" w:tplc="53624B6E" w:tentative="1">
      <w:start w:val="1"/>
      <w:numFmt w:val="bullet"/>
      <w:lvlText w:val=""/>
      <w:lvlJc w:val="left"/>
      <w:pPr>
        <w:ind w:left="4380" w:hanging="360"/>
      </w:pPr>
      <w:rPr>
        <w:rFonts w:ascii="Wingdings" w:hAnsi="Wingdings" w:hint="default"/>
      </w:rPr>
    </w:lvl>
    <w:lvl w:ilvl="6" w:tplc="36F4A022" w:tentative="1">
      <w:start w:val="1"/>
      <w:numFmt w:val="bullet"/>
      <w:lvlText w:val=""/>
      <w:lvlJc w:val="left"/>
      <w:pPr>
        <w:ind w:left="5100" w:hanging="360"/>
      </w:pPr>
      <w:rPr>
        <w:rFonts w:ascii="Symbol" w:hAnsi="Symbol" w:hint="default"/>
      </w:rPr>
    </w:lvl>
    <w:lvl w:ilvl="7" w:tplc="B350B0DE" w:tentative="1">
      <w:start w:val="1"/>
      <w:numFmt w:val="bullet"/>
      <w:lvlText w:val="o"/>
      <w:lvlJc w:val="left"/>
      <w:pPr>
        <w:ind w:left="5820" w:hanging="360"/>
      </w:pPr>
      <w:rPr>
        <w:rFonts w:ascii="Courier New" w:hAnsi="Courier New" w:hint="default"/>
      </w:rPr>
    </w:lvl>
    <w:lvl w:ilvl="8" w:tplc="C292E6A0" w:tentative="1">
      <w:start w:val="1"/>
      <w:numFmt w:val="bullet"/>
      <w:lvlText w:val=""/>
      <w:lvlJc w:val="left"/>
      <w:pPr>
        <w:ind w:left="6540" w:hanging="360"/>
      </w:pPr>
      <w:rPr>
        <w:rFonts w:ascii="Wingdings" w:hAnsi="Wingdings" w:hint="default"/>
      </w:rPr>
    </w:lvl>
  </w:abstractNum>
  <w:abstractNum w:abstractNumId="286" w15:restartNumberingAfterBreak="0">
    <w:nsid w:val="3CD454CD"/>
    <w:multiLevelType w:val="hybridMultilevel"/>
    <w:tmpl w:val="7CD20F3C"/>
    <w:lvl w:ilvl="0" w:tplc="FFFFFFFF">
      <w:start w:val="1"/>
      <w:numFmt w:val="decimal"/>
      <w:pStyle w:val="TPslevel1"/>
      <w:lvlText w:val="•"/>
      <w:lvlJc w:val="left"/>
      <w:pPr>
        <w:ind w:left="720" w:hanging="360"/>
      </w:pPr>
    </w:lvl>
    <w:lvl w:ilvl="1" w:tplc="0E72AA3A">
      <w:start w:val="1"/>
      <w:numFmt w:val="bullet"/>
      <w:pStyle w:val="TPslevel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7" w15:restartNumberingAfterBreak="0">
    <w:nsid w:val="3D787566"/>
    <w:multiLevelType w:val="hybridMultilevel"/>
    <w:tmpl w:val="476210A2"/>
    <w:lvl w:ilvl="0" w:tplc="FD843C04">
      <w:start w:val="1"/>
      <w:numFmt w:val="bullet"/>
      <w:lvlText w:val=""/>
      <w:lvlJc w:val="left"/>
      <w:pPr>
        <w:ind w:left="720" w:hanging="360"/>
      </w:pPr>
      <w:rPr>
        <w:rFonts w:ascii="Symbol" w:hAnsi="Symbol" w:hint="default"/>
      </w:rPr>
    </w:lvl>
    <w:lvl w:ilvl="1" w:tplc="D42899C0" w:tentative="1">
      <w:start w:val="1"/>
      <w:numFmt w:val="bullet"/>
      <w:lvlText w:val="o"/>
      <w:lvlJc w:val="left"/>
      <w:pPr>
        <w:ind w:left="1440" w:hanging="360"/>
      </w:pPr>
      <w:rPr>
        <w:rFonts w:ascii="Courier New" w:hAnsi="Courier New" w:hint="default"/>
      </w:rPr>
    </w:lvl>
    <w:lvl w:ilvl="2" w:tplc="0AFCCCF0" w:tentative="1">
      <w:start w:val="1"/>
      <w:numFmt w:val="bullet"/>
      <w:lvlText w:val=""/>
      <w:lvlJc w:val="left"/>
      <w:pPr>
        <w:ind w:left="2160" w:hanging="360"/>
      </w:pPr>
      <w:rPr>
        <w:rFonts w:ascii="Wingdings" w:hAnsi="Wingdings" w:hint="default"/>
      </w:rPr>
    </w:lvl>
    <w:lvl w:ilvl="3" w:tplc="D102ECE4" w:tentative="1">
      <w:start w:val="1"/>
      <w:numFmt w:val="bullet"/>
      <w:lvlText w:val=""/>
      <w:lvlJc w:val="left"/>
      <w:pPr>
        <w:ind w:left="2880" w:hanging="360"/>
      </w:pPr>
      <w:rPr>
        <w:rFonts w:ascii="Symbol" w:hAnsi="Symbol" w:hint="default"/>
      </w:rPr>
    </w:lvl>
    <w:lvl w:ilvl="4" w:tplc="81562F94" w:tentative="1">
      <w:start w:val="1"/>
      <w:numFmt w:val="bullet"/>
      <w:lvlText w:val="o"/>
      <w:lvlJc w:val="left"/>
      <w:pPr>
        <w:ind w:left="3600" w:hanging="360"/>
      </w:pPr>
      <w:rPr>
        <w:rFonts w:ascii="Courier New" w:hAnsi="Courier New" w:hint="default"/>
      </w:rPr>
    </w:lvl>
    <w:lvl w:ilvl="5" w:tplc="CA02261A" w:tentative="1">
      <w:start w:val="1"/>
      <w:numFmt w:val="bullet"/>
      <w:lvlText w:val=""/>
      <w:lvlJc w:val="left"/>
      <w:pPr>
        <w:ind w:left="4320" w:hanging="360"/>
      </w:pPr>
      <w:rPr>
        <w:rFonts w:ascii="Wingdings" w:hAnsi="Wingdings" w:hint="default"/>
      </w:rPr>
    </w:lvl>
    <w:lvl w:ilvl="6" w:tplc="0E2AC540" w:tentative="1">
      <w:start w:val="1"/>
      <w:numFmt w:val="bullet"/>
      <w:lvlText w:val=""/>
      <w:lvlJc w:val="left"/>
      <w:pPr>
        <w:ind w:left="5040" w:hanging="360"/>
      </w:pPr>
      <w:rPr>
        <w:rFonts w:ascii="Symbol" w:hAnsi="Symbol" w:hint="default"/>
      </w:rPr>
    </w:lvl>
    <w:lvl w:ilvl="7" w:tplc="A86A5654" w:tentative="1">
      <w:start w:val="1"/>
      <w:numFmt w:val="bullet"/>
      <w:lvlText w:val="o"/>
      <w:lvlJc w:val="left"/>
      <w:pPr>
        <w:ind w:left="5760" w:hanging="360"/>
      </w:pPr>
      <w:rPr>
        <w:rFonts w:ascii="Courier New" w:hAnsi="Courier New" w:hint="default"/>
      </w:rPr>
    </w:lvl>
    <w:lvl w:ilvl="8" w:tplc="4B580220" w:tentative="1">
      <w:start w:val="1"/>
      <w:numFmt w:val="bullet"/>
      <w:lvlText w:val=""/>
      <w:lvlJc w:val="left"/>
      <w:pPr>
        <w:ind w:left="6480" w:hanging="360"/>
      </w:pPr>
      <w:rPr>
        <w:rFonts w:ascii="Wingdings" w:hAnsi="Wingdings" w:hint="default"/>
      </w:rPr>
    </w:lvl>
  </w:abstractNum>
  <w:abstractNum w:abstractNumId="288" w15:restartNumberingAfterBreak="0">
    <w:nsid w:val="3D906B9D"/>
    <w:multiLevelType w:val="hybridMultilevel"/>
    <w:tmpl w:val="ACCA5718"/>
    <w:lvl w:ilvl="0" w:tplc="FFFFFFFF">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9" w15:restartNumberingAfterBreak="0">
    <w:nsid w:val="3DE55306"/>
    <w:multiLevelType w:val="hybridMultilevel"/>
    <w:tmpl w:val="E26258A4"/>
    <w:lvl w:ilvl="0" w:tplc="096E3B9E">
      <w:start w:val="1"/>
      <w:numFmt w:val="bullet"/>
      <w:lvlText w:val=""/>
      <w:lvlJc w:val="left"/>
      <w:pPr>
        <w:ind w:left="720" w:hanging="360"/>
      </w:pPr>
      <w:rPr>
        <w:rFonts w:ascii="Symbol" w:hAnsi="Symbol" w:hint="default"/>
      </w:rPr>
    </w:lvl>
    <w:lvl w:ilvl="1" w:tplc="A17CAFE0">
      <w:start w:val="1"/>
      <w:numFmt w:val="bullet"/>
      <w:lvlText w:val="o"/>
      <w:lvlJc w:val="left"/>
      <w:pPr>
        <w:ind w:left="1440" w:hanging="360"/>
      </w:pPr>
      <w:rPr>
        <w:rFonts w:ascii="Courier New" w:hAnsi="Courier New" w:hint="default"/>
      </w:rPr>
    </w:lvl>
    <w:lvl w:ilvl="2" w:tplc="9176EEE0">
      <w:start w:val="1"/>
      <w:numFmt w:val="bullet"/>
      <w:lvlText w:val=""/>
      <w:lvlJc w:val="left"/>
      <w:pPr>
        <w:ind w:left="2160" w:hanging="360"/>
      </w:pPr>
      <w:rPr>
        <w:rFonts w:ascii="Wingdings" w:hAnsi="Wingdings" w:hint="default"/>
      </w:rPr>
    </w:lvl>
    <w:lvl w:ilvl="3" w:tplc="87B82312">
      <w:start w:val="1"/>
      <w:numFmt w:val="bullet"/>
      <w:lvlText w:val=""/>
      <w:lvlJc w:val="left"/>
      <w:pPr>
        <w:ind w:left="2880" w:hanging="360"/>
      </w:pPr>
      <w:rPr>
        <w:rFonts w:ascii="Symbol" w:hAnsi="Symbol" w:hint="default"/>
      </w:rPr>
    </w:lvl>
    <w:lvl w:ilvl="4" w:tplc="C22224FE">
      <w:start w:val="1"/>
      <w:numFmt w:val="bullet"/>
      <w:lvlText w:val="o"/>
      <w:lvlJc w:val="left"/>
      <w:pPr>
        <w:ind w:left="3600" w:hanging="360"/>
      </w:pPr>
      <w:rPr>
        <w:rFonts w:ascii="Courier New" w:hAnsi="Courier New" w:hint="default"/>
      </w:rPr>
    </w:lvl>
    <w:lvl w:ilvl="5" w:tplc="B1940FBC">
      <w:start w:val="1"/>
      <w:numFmt w:val="bullet"/>
      <w:lvlText w:val=""/>
      <w:lvlJc w:val="left"/>
      <w:pPr>
        <w:ind w:left="4320" w:hanging="360"/>
      </w:pPr>
      <w:rPr>
        <w:rFonts w:ascii="Wingdings" w:hAnsi="Wingdings" w:hint="default"/>
      </w:rPr>
    </w:lvl>
    <w:lvl w:ilvl="6" w:tplc="FF20244E">
      <w:start w:val="1"/>
      <w:numFmt w:val="bullet"/>
      <w:lvlText w:val=""/>
      <w:lvlJc w:val="left"/>
      <w:pPr>
        <w:ind w:left="5040" w:hanging="360"/>
      </w:pPr>
      <w:rPr>
        <w:rFonts w:ascii="Symbol" w:hAnsi="Symbol" w:hint="default"/>
      </w:rPr>
    </w:lvl>
    <w:lvl w:ilvl="7" w:tplc="26B2DFDC">
      <w:start w:val="1"/>
      <w:numFmt w:val="bullet"/>
      <w:lvlText w:val="o"/>
      <w:lvlJc w:val="left"/>
      <w:pPr>
        <w:ind w:left="5760" w:hanging="360"/>
      </w:pPr>
      <w:rPr>
        <w:rFonts w:ascii="Courier New" w:hAnsi="Courier New" w:hint="default"/>
      </w:rPr>
    </w:lvl>
    <w:lvl w:ilvl="8" w:tplc="BA56EC7A">
      <w:start w:val="1"/>
      <w:numFmt w:val="bullet"/>
      <w:lvlText w:val=""/>
      <w:lvlJc w:val="left"/>
      <w:pPr>
        <w:ind w:left="6480" w:hanging="360"/>
      </w:pPr>
      <w:rPr>
        <w:rFonts w:ascii="Wingdings" w:hAnsi="Wingdings" w:hint="default"/>
      </w:rPr>
    </w:lvl>
  </w:abstractNum>
  <w:abstractNum w:abstractNumId="290" w15:restartNumberingAfterBreak="0">
    <w:nsid w:val="3DF17693"/>
    <w:multiLevelType w:val="multilevel"/>
    <w:tmpl w:val="6A7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E1743DE"/>
    <w:multiLevelType w:val="hybridMultilevel"/>
    <w:tmpl w:val="A6E061F4"/>
    <w:lvl w:ilvl="0" w:tplc="112287C6">
      <w:start w:val="1"/>
      <w:numFmt w:val="bullet"/>
      <w:lvlText w:val=""/>
      <w:lvlJc w:val="left"/>
      <w:pPr>
        <w:ind w:left="720" w:hanging="360"/>
      </w:pPr>
      <w:rPr>
        <w:rFonts w:ascii="Symbol" w:hAnsi="Symbol" w:hint="default"/>
      </w:rPr>
    </w:lvl>
    <w:lvl w:ilvl="1" w:tplc="4A44786E" w:tentative="1">
      <w:start w:val="1"/>
      <w:numFmt w:val="bullet"/>
      <w:lvlText w:val="o"/>
      <w:lvlJc w:val="left"/>
      <w:pPr>
        <w:ind w:left="1440" w:hanging="360"/>
      </w:pPr>
      <w:rPr>
        <w:rFonts w:ascii="Courier New" w:hAnsi="Courier New" w:hint="default"/>
      </w:rPr>
    </w:lvl>
    <w:lvl w:ilvl="2" w:tplc="A164E77E" w:tentative="1">
      <w:start w:val="1"/>
      <w:numFmt w:val="bullet"/>
      <w:lvlText w:val=""/>
      <w:lvlJc w:val="left"/>
      <w:pPr>
        <w:ind w:left="2160" w:hanging="360"/>
      </w:pPr>
      <w:rPr>
        <w:rFonts w:ascii="Wingdings" w:hAnsi="Wingdings" w:hint="default"/>
      </w:rPr>
    </w:lvl>
    <w:lvl w:ilvl="3" w:tplc="79DC5840" w:tentative="1">
      <w:start w:val="1"/>
      <w:numFmt w:val="bullet"/>
      <w:lvlText w:val=""/>
      <w:lvlJc w:val="left"/>
      <w:pPr>
        <w:ind w:left="2880" w:hanging="360"/>
      </w:pPr>
      <w:rPr>
        <w:rFonts w:ascii="Symbol" w:hAnsi="Symbol" w:hint="default"/>
      </w:rPr>
    </w:lvl>
    <w:lvl w:ilvl="4" w:tplc="F5DC93F0" w:tentative="1">
      <w:start w:val="1"/>
      <w:numFmt w:val="bullet"/>
      <w:lvlText w:val="o"/>
      <w:lvlJc w:val="left"/>
      <w:pPr>
        <w:ind w:left="3600" w:hanging="360"/>
      </w:pPr>
      <w:rPr>
        <w:rFonts w:ascii="Courier New" w:hAnsi="Courier New" w:hint="default"/>
      </w:rPr>
    </w:lvl>
    <w:lvl w:ilvl="5" w:tplc="F528A8E4" w:tentative="1">
      <w:start w:val="1"/>
      <w:numFmt w:val="bullet"/>
      <w:lvlText w:val=""/>
      <w:lvlJc w:val="left"/>
      <w:pPr>
        <w:ind w:left="4320" w:hanging="360"/>
      </w:pPr>
      <w:rPr>
        <w:rFonts w:ascii="Wingdings" w:hAnsi="Wingdings" w:hint="default"/>
      </w:rPr>
    </w:lvl>
    <w:lvl w:ilvl="6" w:tplc="E7D2E7FA" w:tentative="1">
      <w:start w:val="1"/>
      <w:numFmt w:val="bullet"/>
      <w:lvlText w:val=""/>
      <w:lvlJc w:val="left"/>
      <w:pPr>
        <w:ind w:left="5040" w:hanging="360"/>
      </w:pPr>
      <w:rPr>
        <w:rFonts w:ascii="Symbol" w:hAnsi="Symbol" w:hint="default"/>
      </w:rPr>
    </w:lvl>
    <w:lvl w:ilvl="7" w:tplc="F634C510" w:tentative="1">
      <w:start w:val="1"/>
      <w:numFmt w:val="bullet"/>
      <w:lvlText w:val="o"/>
      <w:lvlJc w:val="left"/>
      <w:pPr>
        <w:ind w:left="5760" w:hanging="360"/>
      </w:pPr>
      <w:rPr>
        <w:rFonts w:ascii="Courier New" w:hAnsi="Courier New" w:hint="default"/>
      </w:rPr>
    </w:lvl>
    <w:lvl w:ilvl="8" w:tplc="A0682FE0" w:tentative="1">
      <w:start w:val="1"/>
      <w:numFmt w:val="bullet"/>
      <w:lvlText w:val=""/>
      <w:lvlJc w:val="left"/>
      <w:pPr>
        <w:ind w:left="6480" w:hanging="360"/>
      </w:pPr>
      <w:rPr>
        <w:rFonts w:ascii="Wingdings" w:hAnsi="Wingdings" w:hint="default"/>
      </w:rPr>
    </w:lvl>
  </w:abstractNum>
  <w:abstractNum w:abstractNumId="292" w15:restartNumberingAfterBreak="0">
    <w:nsid w:val="3E2B2DC0"/>
    <w:multiLevelType w:val="hybridMultilevel"/>
    <w:tmpl w:val="FFFFFFFF"/>
    <w:lvl w:ilvl="0" w:tplc="309A0DB0">
      <w:start w:val="1"/>
      <w:numFmt w:val="bullet"/>
      <w:lvlText w:val="·"/>
      <w:lvlJc w:val="left"/>
      <w:pPr>
        <w:ind w:left="720" w:hanging="360"/>
      </w:pPr>
      <w:rPr>
        <w:rFonts w:ascii="Symbol" w:hAnsi="Symbol" w:hint="default"/>
      </w:rPr>
    </w:lvl>
    <w:lvl w:ilvl="1" w:tplc="777C4ECE">
      <w:start w:val="1"/>
      <w:numFmt w:val="bullet"/>
      <w:lvlText w:val="o"/>
      <w:lvlJc w:val="left"/>
      <w:pPr>
        <w:ind w:left="1440" w:hanging="360"/>
      </w:pPr>
      <w:rPr>
        <w:rFonts w:ascii="Courier New" w:hAnsi="Courier New" w:hint="default"/>
      </w:rPr>
    </w:lvl>
    <w:lvl w:ilvl="2" w:tplc="AE1CDF1E">
      <w:start w:val="1"/>
      <w:numFmt w:val="bullet"/>
      <w:lvlText w:val=""/>
      <w:lvlJc w:val="left"/>
      <w:pPr>
        <w:ind w:left="2160" w:hanging="360"/>
      </w:pPr>
      <w:rPr>
        <w:rFonts w:ascii="Wingdings" w:hAnsi="Wingdings" w:hint="default"/>
      </w:rPr>
    </w:lvl>
    <w:lvl w:ilvl="3" w:tplc="11DEADE4">
      <w:start w:val="1"/>
      <w:numFmt w:val="bullet"/>
      <w:lvlText w:val=""/>
      <w:lvlJc w:val="left"/>
      <w:pPr>
        <w:ind w:left="2880" w:hanging="360"/>
      </w:pPr>
      <w:rPr>
        <w:rFonts w:ascii="Symbol" w:hAnsi="Symbol" w:hint="default"/>
      </w:rPr>
    </w:lvl>
    <w:lvl w:ilvl="4" w:tplc="97F2976A">
      <w:start w:val="1"/>
      <w:numFmt w:val="bullet"/>
      <w:lvlText w:val="o"/>
      <w:lvlJc w:val="left"/>
      <w:pPr>
        <w:ind w:left="3600" w:hanging="360"/>
      </w:pPr>
      <w:rPr>
        <w:rFonts w:ascii="Courier New" w:hAnsi="Courier New" w:hint="default"/>
      </w:rPr>
    </w:lvl>
    <w:lvl w:ilvl="5" w:tplc="4942FB46">
      <w:start w:val="1"/>
      <w:numFmt w:val="bullet"/>
      <w:lvlText w:val=""/>
      <w:lvlJc w:val="left"/>
      <w:pPr>
        <w:ind w:left="4320" w:hanging="360"/>
      </w:pPr>
      <w:rPr>
        <w:rFonts w:ascii="Wingdings" w:hAnsi="Wingdings" w:hint="default"/>
      </w:rPr>
    </w:lvl>
    <w:lvl w:ilvl="6" w:tplc="6EB44AFE">
      <w:start w:val="1"/>
      <w:numFmt w:val="bullet"/>
      <w:lvlText w:val=""/>
      <w:lvlJc w:val="left"/>
      <w:pPr>
        <w:ind w:left="5040" w:hanging="360"/>
      </w:pPr>
      <w:rPr>
        <w:rFonts w:ascii="Symbol" w:hAnsi="Symbol" w:hint="default"/>
      </w:rPr>
    </w:lvl>
    <w:lvl w:ilvl="7" w:tplc="7BC0F478">
      <w:start w:val="1"/>
      <w:numFmt w:val="bullet"/>
      <w:lvlText w:val="o"/>
      <w:lvlJc w:val="left"/>
      <w:pPr>
        <w:ind w:left="5760" w:hanging="360"/>
      </w:pPr>
      <w:rPr>
        <w:rFonts w:ascii="Courier New" w:hAnsi="Courier New" w:hint="default"/>
      </w:rPr>
    </w:lvl>
    <w:lvl w:ilvl="8" w:tplc="5CB063A2">
      <w:start w:val="1"/>
      <w:numFmt w:val="bullet"/>
      <w:lvlText w:val=""/>
      <w:lvlJc w:val="left"/>
      <w:pPr>
        <w:ind w:left="6480" w:hanging="360"/>
      </w:pPr>
      <w:rPr>
        <w:rFonts w:ascii="Wingdings" w:hAnsi="Wingdings" w:hint="default"/>
      </w:rPr>
    </w:lvl>
  </w:abstractNum>
  <w:abstractNum w:abstractNumId="293" w15:restartNumberingAfterBreak="0">
    <w:nsid w:val="3E5929AF"/>
    <w:multiLevelType w:val="hybridMultilevel"/>
    <w:tmpl w:val="94DC45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4" w15:restartNumberingAfterBreak="0">
    <w:nsid w:val="3E5E579C"/>
    <w:multiLevelType w:val="multilevel"/>
    <w:tmpl w:val="9C8C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EB07C09"/>
    <w:multiLevelType w:val="hybridMultilevel"/>
    <w:tmpl w:val="D9FE9E2E"/>
    <w:lvl w:ilvl="0" w:tplc="DC74CE0A">
      <w:start w:val="1"/>
      <w:numFmt w:val="bullet"/>
      <w:lvlText w:val=""/>
      <w:lvlJc w:val="left"/>
      <w:pPr>
        <w:ind w:left="720" w:hanging="360"/>
      </w:pPr>
      <w:rPr>
        <w:rFonts w:ascii="Symbol" w:hAnsi="Symbol" w:hint="default"/>
      </w:rPr>
    </w:lvl>
    <w:lvl w:ilvl="1" w:tplc="EDBE3D9A">
      <w:start w:val="1"/>
      <w:numFmt w:val="bullet"/>
      <w:lvlText w:val="o"/>
      <w:lvlJc w:val="left"/>
      <w:pPr>
        <w:ind w:left="1440" w:hanging="360"/>
      </w:pPr>
      <w:rPr>
        <w:rFonts w:ascii="Courier New" w:hAnsi="Courier New" w:hint="default"/>
      </w:rPr>
    </w:lvl>
    <w:lvl w:ilvl="2" w:tplc="8E94395A">
      <w:start w:val="1"/>
      <w:numFmt w:val="bullet"/>
      <w:lvlText w:val=""/>
      <w:lvlJc w:val="left"/>
      <w:pPr>
        <w:ind w:left="2160" w:hanging="360"/>
      </w:pPr>
      <w:rPr>
        <w:rFonts w:ascii="Wingdings" w:hAnsi="Wingdings" w:hint="default"/>
      </w:rPr>
    </w:lvl>
    <w:lvl w:ilvl="3" w:tplc="7D1043F0">
      <w:start w:val="1"/>
      <w:numFmt w:val="bullet"/>
      <w:lvlText w:val=""/>
      <w:lvlJc w:val="left"/>
      <w:pPr>
        <w:ind w:left="2880" w:hanging="360"/>
      </w:pPr>
      <w:rPr>
        <w:rFonts w:ascii="Symbol" w:hAnsi="Symbol" w:hint="default"/>
      </w:rPr>
    </w:lvl>
    <w:lvl w:ilvl="4" w:tplc="9A36AA62">
      <w:start w:val="1"/>
      <w:numFmt w:val="bullet"/>
      <w:lvlText w:val="o"/>
      <w:lvlJc w:val="left"/>
      <w:pPr>
        <w:ind w:left="3600" w:hanging="360"/>
      </w:pPr>
      <w:rPr>
        <w:rFonts w:ascii="Courier New" w:hAnsi="Courier New" w:hint="default"/>
      </w:rPr>
    </w:lvl>
    <w:lvl w:ilvl="5" w:tplc="F9D28CFC">
      <w:start w:val="1"/>
      <w:numFmt w:val="bullet"/>
      <w:lvlText w:val=""/>
      <w:lvlJc w:val="left"/>
      <w:pPr>
        <w:ind w:left="4320" w:hanging="360"/>
      </w:pPr>
      <w:rPr>
        <w:rFonts w:ascii="Wingdings" w:hAnsi="Wingdings" w:hint="default"/>
      </w:rPr>
    </w:lvl>
    <w:lvl w:ilvl="6" w:tplc="2640CB10">
      <w:start w:val="1"/>
      <w:numFmt w:val="bullet"/>
      <w:lvlText w:val=""/>
      <w:lvlJc w:val="left"/>
      <w:pPr>
        <w:ind w:left="5040" w:hanging="360"/>
      </w:pPr>
      <w:rPr>
        <w:rFonts w:ascii="Symbol" w:hAnsi="Symbol" w:hint="default"/>
      </w:rPr>
    </w:lvl>
    <w:lvl w:ilvl="7" w:tplc="A378D81A">
      <w:start w:val="1"/>
      <w:numFmt w:val="bullet"/>
      <w:lvlText w:val="o"/>
      <w:lvlJc w:val="left"/>
      <w:pPr>
        <w:ind w:left="5760" w:hanging="360"/>
      </w:pPr>
      <w:rPr>
        <w:rFonts w:ascii="Courier New" w:hAnsi="Courier New" w:hint="default"/>
      </w:rPr>
    </w:lvl>
    <w:lvl w:ilvl="8" w:tplc="E3302B7C">
      <w:start w:val="1"/>
      <w:numFmt w:val="bullet"/>
      <w:lvlText w:val=""/>
      <w:lvlJc w:val="left"/>
      <w:pPr>
        <w:ind w:left="6480" w:hanging="360"/>
      </w:pPr>
      <w:rPr>
        <w:rFonts w:ascii="Wingdings" w:hAnsi="Wingdings" w:hint="default"/>
      </w:rPr>
    </w:lvl>
  </w:abstractNum>
  <w:abstractNum w:abstractNumId="296" w15:restartNumberingAfterBreak="0">
    <w:nsid w:val="3F060912"/>
    <w:multiLevelType w:val="hybridMultilevel"/>
    <w:tmpl w:val="2E12BE96"/>
    <w:lvl w:ilvl="0" w:tplc="BDA86B5A">
      <w:start w:val="1"/>
      <w:numFmt w:val="bullet"/>
      <w:lvlText w:val=""/>
      <w:lvlJc w:val="left"/>
      <w:pPr>
        <w:ind w:left="360" w:hanging="360"/>
      </w:pPr>
      <w:rPr>
        <w:rFonts w:ascii="Symbol" w:hAnsi="Symbol" w:hint="default"/>
      </w:rPr>
    </w:lvl>
    <w:lvl w:ilvl="1" w:tplc="EDF0D4E8">
      <w:start w:val="1"/>
      <w:numFmt w:val="bullet"/>
      <w:lvlText w:val="o"/>
      <w:lvlJc w:val="left"/>
      <w:pPr>
        <w:ind w:left="1080" w:hanging="360"/>
      </w:pPr>
      <w:rPr>
        <w:rFonts w:ascii="Courier New" w:hAnsi="Courier New" w:hint="default"/>
      </w:rPr>
    </w:lvl>
    <w:lvl w:ilvl="2" w:tplc="69148DA4" w:tentative="1">
      <w:start w:val="1"/>
      <w:numFmt w:val="bullet"/>
      <w:lvlText w:val=""/>
      <w:lvlJc w:val="left"/>
      <w:pPr>
        <w:ind w:left="1800" w:hanging="360"/>
      </w:pPr>
      <w:rPr>
        <w:rFonts w:ascii="Wingdings" w:hAnsi="Wingdings" w:hint="default"/>
      </w:rPr>
    </w:lvl>
    <w:lvl w:ilvl="3" w:tplc="78EC6EA0" w:tentative="1">
      <w:start w:val="1"/>
      <w:numFmt w:val="bullet"/>
      <w:lvlText w:val=""/>
      <w:lvlJc w:val="left"/>
      <w:pPr>
        <w:ind w:left="2520" w:hanging="360"/>
      </w:pPr>
      <w:rPr>
        <w:rFonts w:ascii="Symbol" w:hAnsi="Symbol" w:hint="default"/>
      </w:rPr>
    </w:lvl>
    <w:lvl w:ilvl="4" w:tplc="6CE62BF2" w:tentative="1">
      <w:start w:val="1"/>
      <w:numFmt w:val="bullet"/>
      <w:lvlText w:val="o"/>
      <w:lvlJc w:val="left"/>
      <w:pPr>
        <w:ind w:left="3240" w:hanging="360"/>
      </w:pPr>
      <w:rPr>
        <w:rFonts w:ascii="Courier New" w:hAnsi="Courier New" w:hint="default"/>
      </w:rPr>
    </w:lvl>
    <w:lvl w:ilvl="5" w:tplc="2D94CC96" w:tentative="1">
      <w:start w:val="1"/>
      <w:numFmt w:val="bullet"/>
      <w:lvlText w:val=""/>
      <w:lvlJc w:val="left"/>
      <w:pPr>
        <w:ind w:left="3960" w:hanging="360"/>
      </w:pPr>
      <w:rPr>
        <w:rFonts w:ascii="Wingdings" w:hAnsi="Wingdings" w:hint="default"/>
      </w:rPr>
    </w:lvl>
    <w:lvl w:ilvl="6" w:tplc="4E3499B4" w:tentative="1">
      <w:start w:val="1"/>
      <w:numFmt w:val="bullet"/>
      <w:lvlText w:val=""/>
      <w:lvlJc w:val="left"/>
      <w:pPr>
        <w:ind w:left="4680" w:hanging="360"/>
      </w:pPr>
      <w:rPr>
        <w:rFonts w:ascii="Symbol" w:hAnsi="Symbol" w:hint="default"/>
      </w:rPr>
    </w:lvl>
    <w:lvl w:ilvl="7" w:tplc="05B08D2E" w:tentative="1">
      <w:start w:val="1"/>
      <w:numFmt w:val="bullet"/>
      <w:lvlText w:val="o"/>
      <w:lvlJc w:val="left"/>
      <w:pPr>
        <w:ind w:left="5400" w:hanging="360"/>
      </w:pPr>
      <w:rPr>
        <w:rFonts w:ascii="Courier New" w:hAnsi="Courier New" w:hint="default"/>
      </w:rPr>
    </w:lvl>
    <w:lvl w:ilvl="8" w:tplc="A6324196" w:tentative="1">
      <w:start w:val="1"/>
      <w:numFmt w:val="bullet"/>
      <w:lvlText w:val=""/>
      <w:lvlJc w:val="left"/>
      <w:pPr>
        <w:ind w:left="6120" w:hanging="360"/>
      </w:pPr>
      <w:rPr>
        <w:rFonts w:ascii="Wingdings" w:hAnsi="Wingdings" w:hint="default"/>
      </w:rPr>
    </w:lvl>
  </w:abstractNum>
  <w:abstractNum w:abstractNumId="297" w15:restartNumberingAfterBreak="0">
    <w:nsid w:val="3F071EE7"/>
    <w:multiLevelType w:val="multilevel"/>
    <w:tmpl w:val="5E7635AA"/>
    <w:lvl w:ilvl="0">
      <w:start w:val="11"/>
      <w:numFmt w:val="decimal"/>
      <w:lvlText w:val="%1"/>
      <w:lvlJc w:val="left"/>
      <w:pPr>
        <w:ind w:left="900" w:hanging="900"/>
      </w:pPr>
      <w:rPr>
        <w:rFonts w:hint="default"/>
      </w:rPr>
    </w:lvl>
    <w:lvl w:ilvl="1">
      <w:start w:val="2"/>
      <w:numFmt w:val="decimal"/>
      <w:lvlText w:val="%1.%2"/>
      <w:lvlJc w:val="left"/>
      <w:pPr>
        <w:ind w:left="1078" w:hanging="900"/>
      </w:pPr>
      <w:rPr>
        <w:rFonts w:hint="default"/>
      </w:rPr>
    </w:lvl>
    <w:lvl w:ilvl="2">
      <w:start w:val="4"/>
      <w:numFmt w:val="decimal"/>
      <w:lvlText w:val="%1.%2.%3"/>
      <w:lvlJc w:val="left"/>
      <w:pPr>
        <w:ind w:left="1256" w:hanging="90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2152" w:hanging="1440"/>
      </w:pPr>
      <w:rPr>
        <w:rFonts w:hint="default"/>
      </w:rPr>
    </w:lvl>
    <w:lvl w:ilvl="5">
      <w:start w:val="1"/>
      <w:numFmt w:val="decimal"/>
      <w:lvlText w:val="%1.%2.%3.%4.%5.%6"/>
      <w:lvlJc w:val="left"/>
      <w:pPr>
        <w:ind w:left="2690" w:hanging="1800"/>
      </w:pPr>
      <w:rPr>
        <w:rFonts w:hint="default"/>
      </w:rPr>
    </w:lvl>
    <w:lvl w:ilvl="6">
      <w:start w:val="1"/>
      <w:numFmt w:val="decimal"/>
      <w:lvlText w:val="%1.%2.%3.%4.%5.%6.%7"/>
      <w:lvlJc w:val="left"/>
      <w:pPr>
        <w:ind w:left="2868" w:hanging="1800"/>
      </w:pPr>
      <w:rPr>
        <w:rFonts w:hint="default"/>
      </w:rPr>
    </w:lvl>
    <w:lvl w:ilvl="7">
      <w:start w:val="1"/>
      <w:numFmt w:val="decimal"/>
      <w:lvlText w:val="%1.%2.%3.%4.%5.%6.%7.%8"/>
      <w:lvlJc w:val="left"/>
      <w:pPr>
        <w:ind w:left="3406" w:hanging="2160"/>
      </w:pPr>
      <w:rPr>
        <w:rFonts w:hint="default"/>
      </w:rPr>
    </w:lvl>
    <w:lvl w:ilvl="8">
      <w:start w:val="1"/>
      <w:numFmt w:val="decimal"/>
      <w:lvlText w:val="%1.%2.%3.%4.%5.%6.%7.%8.%9"/>
      <w:lvlJc w:val="left"/>
      <w:pPr>
        <w:ind w:left="3944" w:hanging="2520"/>
      </w:pPr>
      <w:rPr>
        <w:rFonts w:hint="default"/>
      </w:rPr>
    </w:lvl>
  </w:abstractNum>
  <w:abstractNum w:abstractNumId="298" w15:restartNumberingAfterBreak="0">
    <w:nsid w:val="3F2D7530"/>
    <w:multiLevelType w:val="multilevel"/>
    <w:tmpl w:val="E562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F50193D"/>
    <w:multiLevelType w:val="multilevel"/>
    <w:tmpl w:val="F3D618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0" w15:restartNumberingAfterBreak="0">
    <w:nsid w:val="3F590D0D"/>
    <w:multiLevelType w:val="hybridMultilevel"/>
    <w:tmpl w:val="D660B3D4"/>
    <w:lvl w:ilvl="0" w:tplc="7BC846B8">
      <w:start w:val="1"/>
      <w:numFmt w:val="bullet"/>
      <w:lvlText w:val=""/>
      <w:lvlJc w:val="left"/>
      <w:pPr>
        <w:ind w:left="720" w:hanging="360"/>
      </w:pPr>
      <w:rPr>
        <w:rFonts w:ascii="Symbol" w:hAnsi="Symbol" w:hint="default"/>
      </w:rPr>
    </w:lvl>
    <w:lvl w:ilvl="1" w:tplc="60C03F9A" w:tentative="1">
      <w:start w:val="1"/>
      <w:numFmt w:val="bullet"/>
      <w:lvlText w:val="o"/>
      <w:lvlJc w:val="left"/>
      <w:pPr>
        <w:ind w:left="1440" w:hanging="360"/>
      </w:pPr>
      <w:rPr>
        <w:rFonts w:ascii="Courier New" w:hAnsi="Courier New" w:hint="default"/>
      </w:rPr>
    </w:lvl>
    <w:lvl w:ilvl="2" w:tplc="7EF89094" w:tentative="1">
      <w:start w:val="1"/>
      <w:numFmt w:val="bullet"/>
      <w:lvlText w:val=""/>
      <w:lvlJc w:val="left"/>
      <w:pPr>
        <w:ind w:left="2160" w:hanging="360"/>
      </w:pPr>
      <w:rPr>
        <w:rFonts w:ascii="Wingdings" w:hAnsi="Wingdings" w:hint="default"/>
      </w:rPr>
    </w:lvl>
    <w:lvl w:ilvl="3" w:tplc="E83E366E" w:tentative="1">
      <w:start w:val="1"/>
      <w:numFmt w:val="bullet"/>
      <w:lvlText w:val=""/>
      <w:lvlJc w:val="left"/>
      <w:pPr>
        <w:ind w:left="2880" w:hanging="360"/>
      </w:pPr>
      <w:rPr>
        <w:rFonts w:ascii="Symbol" w:hAnsi="Symbol" w:hint="default"/>
      </w:rPr>
    </w:lvl>
    <w:lvl w:ilvl="4" w:tplc="A226371A" w:tentative="1">
      <w:start w:val="1"/>
      <w:numFmt w:val="bullet"/>
      <w:lvlText w:val="o"/>
      <w:lvlJc w:val="left"/>
      <w:pPr>
        <w:ind w:left="3600" w:hanging="360"/>
      </w:pPr>
      <w:rPr>
        <w:rFonts w:ascii="Courier New" w:hAnsi="Courier New" w:hint="default"/>
      </w:rPr>
    </w:lvl>
    <w:lvl w:ilvl="5" w:tplc="389620DE" w:tentative="1">
      <w:start w:val="1"/>
      <w:numFmt w:val="bullet"/>
      <w:lvlText w:val=""/>
      <w:lvlJc w:val="left"/>
      <w:pPr>
        <w:ind w:left="4320" w:hanging="360"/>
      </w:pPr>
      <w:rPr>
        <w:rFonts w:ascii="Wingdings" w:hAnsi="Wingdings" w:hint="default"/>
      </w:rPr>
    </w:lvl>
    <w:lvl w:ilvl="6" w:tplc="26A85B84" w:tentative="1">
      <w:start w:val="1"/>
      <w:numFmt w:val="bullet"/>
      <w:lvlText w:val=""/>
      <w:lvlJc w:val="left"/>
      <w:pPr>
        <w:ind w:left="5040" w:hanging="360"/>
      </w:pPr>
      <w:rPr>
        <w:rFonts w:ascii="Symbol" w:hAnsi="Symbol" w:hint="default"/>
      </w:rPr>
    </w:lvl>
    <w:lvl w:ilvl="7" w:tplc="6C6000A0" w:tentative="1">
      <w:start w:val="1"/>
      <w:numFmt w:val="bullet"/>
      <w:lvlText w:val="o"/>
      <w:lvlJc w:val="left"/>
      <w:pPr>
        <w:ind w:left="5760" w:hanging="360"/>
      </w:pPr>
      <w:rPr>
        <w:rFonts w:ascii="Courier New" w:hAnsi="Courier New" w:hint="default"/>
      </w:rPr>
    </w:lvl>
    <w:lvl w:ilvl="8" w:tplc="5782969C" w:tentative="1">
      <w:start w:val="1"/>
      <w:numFmt w:val="bullet"/>
      <w:lvlText w:val=""/>
      <w:lvlJc w:val="left"/>
      <w:pPr>
        <w:ind w:left="6480" w:hanging="360"/>
      </w:pPr>
      <w:rPr>
        <w:rFonts w:ascii="Wingdings" w:hAnsi="Wingdings" w:hint="default"/>
      </w:rPr>
    </w:lvl>
  </w:abstractNum>
  <w:abstractNum w:abstractNumId="301" w15:restartNumberingAfterBreak="0">
    <w:nsid w:val="3FA30952"/>
    <w:multiLevelType w:val="hybridMultilevel"/>
    <w:tmpl w:val="5AE67DC2"/>
    <w:lvl w:ilvl="0" w:tplc="0240BE90">
      <w:start w:val="1"/>
      <w:numFmt w:val="bullet"/>
      <w:lvlText w:val=""/>
      <w:lvlJc w:val="left"/>
      <w:pPr>
        <w:ind w:left="360" w:hanging="360"/>
      </w:pPr>
      <w:rPr>
        <w:rFonts w:ascii="Symbol" w:hAnsi="Symbol" w:hint="default"/>
      </w:rPr>
    </w:lvl>
    <w:lvl w:ilvl="1" w:tplc="17D24E40" w:tentative="1">
      <w:start w:val="1"/>
      <w:numFmt w:val="bullet"/>
      <w:lvlText w:val="o"/>
      <w:lvlJc w:val="left"/>
      <w:pPr>
        <w:ind w:left="1080" w:hanging="360"/>
      </w:pPr>
      <w:rPr>
        <w:rFonts w:ascii="Courier New" w:hAnsi="Courier New" w:hint="default"/>
      </w:rPr>
    </w:lvl>
    <w:lvl w:ilvl="2" w:tplc="542C8914" w:tentative="1">
      <w:start w:val="1"/>
      <w:numFmt w:val="bullet"/>
      <w:lvlText w:val=""/>
      <w:lvlJc w:val="left"/>
      <w:pPr>
        <w:ind w:left="1800" w:hanging="360"/>
      </w:pPr>
      <w:rPr>
        <w:rFonts w:ascii="Wingdings" w:hAnsi="Wingdings" w:hint="default"/>
      </w:rPr>
    </w:lvl>
    <w:lvl w:ilvl="3" w:tplc="3DF42466" w:tentative="1">
      <w:start w:val="1"/>
      <w:numFmt w:val="bullet"/>
      <w:lvlText w:val=""/>
      <w:lvlJc w:val="left"/>
      <w:pPr>
        <w:ind w:left="2520" w:hanging="360"/>
      </w:pPr>
      <w:rPr>
        <w:rFonts w:ascii="Symbol" w:hAnsi="Symbol" w:hint="default"/>
      </w:rPr>
    </w:lvl>
    <w:lvl w:ilvl="4" w:tplc="D3CE34C4" w:tentative="1">
      <w:start w:val="1"/>
      <w:numFmt w:val="bullet"/>
      <w:lvlText w:val="o"/>
      <w:lvlJc w:val="left"/>
      <w:pPr>
        <w:ind w:left="3240" w:hanging="360"/>
      </w:pPr>
      <w:rPr>
        <w:rFonts w:ascii="Courier New" w:hAnsi="Courier New" w:hint="default"/>
      </w:rPr>
    </w:lvl>
    <w:lvl w:ilvl="5" w:tplc="C896A24C" w:tentative="1">
      <w:start w:val="1"/>
      <w:numFmt w:val="bullet"/>
      <w:lvlText w:val=""/>
      <w:lvlJc w:val="left"/>
      <w:pPr>
        <w:ind w:left="3960" w:hanging="360"/>
      </w:pPr>
      <w:rPr>
        <w:rFonts w:ascii="Wingdings" w:hAnsi="Wingdings" w:hint="default"/>
      </w:rPr>
    </w:lvl>
    <w:lvl w:ilvl="6" w:tplc="C49874B6" w:tentative="1">
      <w:start w:val="1"/>
      <w:numFmt w:val="bullet"/>
      <w:lvlText w:val=""/>
      <w:lvlJc w:val="left"/>
      <w:pPr>
        <w:ind w:left="4680" w:hanging="360"/>
      </w:pPr>
      <w:rPr>
        <w:rFonts w:ascii="Symbol" w:hAnsi="Symbol" w:hint="default"/>
      </w:rPr>
    </w:lvl>
    <w:lvl w:ilvl="7" w:tplc="F5EE37CC" w:tentative="1">
      <w:start w:val="1"/>
      <w:numFmt w:val="bullet"/>
      <w:lvlText w:val="o"/>
      <w:lvlJc w:val="left"/>
      <w:pPr>
        <w:ind w:left="5400" w:hanging="360"/>
      </w:pPr>
      <w:rPr>
        <w:rFonts w:ascii="Courier New" w:hAnsi="Courier New" w:hint="default"/>
      </w:rPr>
    </w:lvl>
    <w:lvl w:ilvl="8" w:tplc="FEEAF55C" w:tentative="1">
      <w:start w:val="1"/>
      <w:numFmt w:val="bullet"/>
      <w:lvlText w:val=""/>
      <w:lvlJc w:val="left"/>
      <w:pPr>
        <w:ind w:left="6120" w:hanging="360"/>
      </w:pPr>
      <w:rPr>
        <w:rFonts w:ascii="Wingdings" w:hAnsi="Wingdings" w:hint="default"/>
      </w:rPr>
    </w:lvl>
  </w:abstractNum>
  <w:abstractNum w:abstractNumId="302" w15:restartNumberingAfterBreak="0">
    <w:nsid w:val="3FC4157F"/>
    <w:multiLevelType w:val="hybridMultilevel"/>
    <w:tmpl w:val="9B7A0AFE"/>
    <w:lvl w:ilvl="0" w:tplc="7EFC14C2">
      <w:start w:val="1"/>
      <w:numFmt w:val="bullet"/>
      <w:lvlText w:val=""/>
      <w:lvlJc w:val="left"/>
      <w:pPr>
        <w:ind w:left="780" w:hanging="360"/>
      </w:pPr>
      <w:rPr>
        <w:rFonts w:ascii="Symbol" w:hAnsi="Symbol" w:hint="default"/>
      </w:rPr>
    </w:lvl>
    <w:lvl w:ilvl="1" w:tplc="CD46B5CE" w:tentative="1">
      <w:start w:val="1"/>
      <w:numFmt w:val="bullet"/>
      <w:lvlText w:val="o"/>
      <w:lvlJc w:val="left"/>
      <w:pPr>
        <w:ind w:left="1500" w:hanging="360"/>
      </w:pPr>
      <w:rPr>
        <w:rFonts w:ascii="Courier New" w:hAnsi="Courier New" w:hint="default"/>
      </w:rPr>
    </w:lvl>
    <w:lvl w:ilvl="2" w:tplc="3A40F3DE" w:tentative="1">
      <w:start w:val="1"/>
      <w:numFmt w:val="bullet"/>
      <w:lvlText w:val=""/>
      <w:lvlJc w:val="left"/>
      <w:pPr>
        <w:ind w:left="2220" w:hanging="360"/>
      </w:pPr>
      <w:rPr>
        <w:rFonts w:ascii="Wingdings" w:hAnsi="Wingdings" w:hint="default"/>
      </w:rPr>
    </w:lvl>
    <w:lvl w:ilvl="3" w:tplc="5150F04C" w:tentative="1">
      <w:start w:val="1"/>
      <w:numFmt w:val="bullet"/>
      <w:lvlText w:val=""/>
      <w:lvlJc w:val="left"/>
      <w:pPr>
        <w:ind w:left="2940" w:hanging="360"/>
      </w:pPr>
      <w:rPr>
        <w:rFonts w:ascii="Symbol" w:hAnsi="Symbol" w:hint="default"/>
      </w:rPr>
    </w:lvl>
    <w:lvl w:ilvl="4" w:tplc="2382A660" w:tentative="1">
      <w:start w:val="1"/>
      <w:numFmt w:val="bullet"/>
      <w:lvlText w:val="o"/>
      <w:lvlJc w:val="left"/>
      <w:pPr>
        <w:ind w:left="3660" w:hanging="360"/>
      </w:pPr>
      <w:rPr>
        <w:rFonts w:ascii="Courier New" w:hAnsi="Courier New" w:hint="default"/>
      </w:rPr>
    </w:lvl>
    <w:lvl w:ilvl="5" w:tplc="33D6F76C" w:tentative="1">
      <w:start w:val="1"/>
      <w:numFmt w:val="bullet"/>
      <w:lvlText w:val=""/>
      <w:lvlJc w:val="left"/>
      <w:pPr>
        <w:ind w:left="4380" w:hanging="360"/>
      </w:pPr>
      <w:rPr>
        <w:rFonts w:ascii="Wingdings" w:hAnsi="Wingdings" w:hint="default"/>
      </w:rPr>
    </w:lvl>
    <w:lvl w:ilvl="6" w:tplc="921A9762" w:tentative="1">
      <w:start w:val="1"/>
      <w:numFmt w:val="bullet"/>
      <w:lvlText w:val=""/>
      <w:lvlJc w:val="left"/>
      <w:pPr>
        <w:ind w:left="5100" w:hanging="360"/>
      </w:pPr>
      <w:rPr>
        <w:rFonts w:ascii="Symbol" w:hAnsi="Symbol" w:hint="default"/>
      </w:rPr>
    </w:lvl>
    <w:lvl w:ilvl="7" w:tplc="0C22CC12" w:tentative="1">
      <w:start w:val="1"/>
      <w:numFmt w:val="bullet"/>
      <w:lvlText w:val="o"/>
      <w:lvlJc w:val="left"/>
      <w:pPr>
        <w:ind w:left="5820" w:hanging="360"/>
      </w:pPr>
      <w:rPr>
        <w:rFonts w:ascii="Courier New" w:hAnsi="Courier New" w:hint="default"/>
      </w:rPr>
    </w:lvl>
    <w:lvl w:ilvl="8" w:tplc="511C09CE" w:tentative="1">
      <w:start w:val="1"/>
      <w:numFmt w:val="bullet"/>
      <w:lvlText w:val=""/>
      <w:lvlJc w:val="left"/>
      <w:pPr>
        <w:ind w:left="6540" w:hanging="360"/>
      </w:pPr>
      <w:rPr>
        <w:rFonts w:ascii="Wingdings" w:hAnsi="Wingdings" w:hint="default"/>
      </w:rPr>
    </w:lvl>
  </w:abstractNum>
  <w:abstractNum w:abstractNumId="303" w15:restartNumberingAfterBreak="0">
    <w:nsid w:val="407592EA"/>
    <w:multiLevelType w:val="hybridMultilevel"/>
    <w:tmpl w:val="FFFFFFFF"/>
    <w:lvl w:ilvl="0" w:tplc="376A6A04">
      <w:start w:val="1"/>
      <w:numFmt w:val="bullet"/>
      <w:lvlText w:val=""/>
      <w:lvlJc w:val="left"/>
      <w:pPr>
        <w:ind w:left="720" w:hanging="360"/>
      </w:pPr>
      <w:rPr>
        <w:rFonts w:ascii="Symbol" w:hAnsi="Symbol" w:hint="default"/>
      </w:rPr>
    </w:lvl>
    <w:lvl w:ilvl="1" w:tplc="A490D082">
      <w:start w:val="1"/>
      <w:numFmt w:val="bullet"/>
      <w:lvlText w:val="o"/>
      <w:lvlJc w:val="left"/>
      <w:pPr>
        <w:ind w:left="1440" w:hanging="360"/>
      </w:pPr>
      <w:rPr>
        <w:rFonts w:ascii="Courier New" w:hAnsi="Courier New" w:hint="default"/>
      </w:rPr>
    </w:lvl>
    <w:lvl w:ilvl="2" w:tplc="9EFEFE78">
      <w:start w:val="1"/>
      <w:numFmt w:val="bullet"/>
      <w:lvlText w:val=""/>
      <w:lvlJc w:val="left"/>
      <w:pPr>
        <w:ind w:left="2160" w:hanging="360"/>
      </w:pPr>
      <w:rPr>
        <w:rFonts w:ascii="Wingdings" w:hAnsi="Wingdings" w:hint="default"/>
      </w:rPr>
    </w:lvl>
    <w:lvl w:ilvl="3" w:tplc="E5A4516C">
      <w:start w:val="1"/>
      <w:numFmt w:val="bullet"/>
      <w:lvlText w:val=""/>
      <w:lvlJc w:val="left"/>
      <w:pPr>
        <w:ind w:left="2880" w:hanging="360"/>
      </w:pPr>
      <w:rPr>
        <w:rFonts w:ascii="Symbol" w:hAnsi="Symbol" w:hint="default"/>
      </w:rPr>
    </w:lvl>
    <w:lvl w:ilvl="4" w:tplc="2710EBD2">
      <w:start w:val="1"/>
      <w:numFmt w:val="bullet"/>
      <w:lvlText w:val="o"/>
      <w:lvlJc w:val="left"/>
      <w:pPr>
        <w:ind w:left="3600" w:hanging="360"/>
      </w:pPr>
      <w:rPr>
        <w:rFonts w:ascii="Courier New" w:hAnsi="Courier New" w:hint="default"/>
      </w:rPr>
    </w:lvl>
    <w:lvl w:ilvl="5" w:tplc="75FA905C">
      <w:start w:val="1"/>
      <w:numFmt w:val="bullet"/>
      <w:lvlText w:val=""/>
      <w:lvlJc w:val="left"/>
      <w:pPr>
        <w:ind w:left="4320" w:hanging="360"/>
      </w:pPr>
      <w:rPr>
        <w:rFonts w:ascii="Wingdings" w:hAnsi="Wingdings" w:hint="default"/>
      </w:rPr>
    </w:lvl>
    <w:lvl w:ilvl="6" w:tplc="AF5E38AE">
      <w:start w:val="1"/>
      <w:numFmt w:val="bullet"/>
      <w:lvlText w:val=""/>
      <w:lvlJc w:val="left"/>
      <w:pPr>
        <w:ind w:left="5040" w:hanging="360"/>
      </w:pPr>
      <w:rPr>
        <w:rFonts w:ascii="Symbol" w:hAnsi="Symbol" w:hint="default"/>
      </w:rPr>
    </w:lvl>
    <w:lvl w:ilvl="7" w:tplc="EB606962">
      <w:start w:val="1"/>
      <w:numFmt w:val="bullet"/>
      <w:lvlText w:val="o"/>
      <w:lvlJc w:val="left"/>
      <w:pPr>
        <w:ind w:left="5760" w:hanging="360"/>
      </w:pPr>
      <w:rPr>
        <w:rFonts w:ascii="Courier New" w:hAnsi="Courier New" w:hint="default"/>
      </w:rPr>
    </w:lvl>
    <w:lvl w:ilvl="8" w:tplc="6AAEFDA2">
      <w:start w:val="1"/>
      <w:numFmt w:val="bullet"/>
      <w:lvlText w:val=""/>
      <w:lvlJc w:val="left"/>
      <w:pPr>
        <w:ind w:left="6480" w:hanging="360"/>
      </w:pPr>
      <w:rPr>
        <w:rFonts w:ascii="Wingdings" w:hAnsi="Wingdings" w:hint="default"/>
      </w:rPr>
    </w:lvl>
  </w:abstractNum>
  <w:abstractNum w:abstractNumId="304" w15:restartNumberingAfterBreak="0">
    <w:nsid w:val="414076E7"/>
    <w:multiLevelType w:val="multilevel"/>
    <w:tmpl w:val="B822A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15E6B1B"/>
    <w:multiLevelType w:val="hybridMultilevel"/>
    <w:tmpl w:val="63BA2ACC"/>
    <w:lvl w:ilvl="0" w:tplc="BC3AA554">
      <w:start w:val="1"/>
      <w:numFmt w:val="bullet"/>
      <w:lvlText w:val=""/>
      <w:lvlJc w:val="left"/>
      <w:pPr>
        <w:ind w:left="720" w:hanging="360"/>
      </w:pPr>
      <w:rPr>
        <w:rFonts w:ascii="Symbol" w:hAnsi="Symbol" w:hint="default"/>
      </w:rPr>
    </w:lvl>
    <w:lvl w:ilvl="1" w:tplc="1A1AA3B2">
      <w:start w:val="1"/>
      <w:numFmt w:val="bullet"/>
      <w:lvlText w:val="o"/>
      <w:lvlJc w:val="left"/>
      <w:pPr>
        <w:ind w:left="1440" w:hanging="360"/>
      </w:pPr>
      <w:rPr>
        <w:rFonts w:ascii="Courier New" w:hAnsi="Courier New" w:hint="default"/>
      </w:rPr>
    </w:lvl>
    <w:lvl w:ilvl="2" w:tplc="85B4B91A" w:tentative="1">
      <w:start w:val="1"/>
      <w:numFmt w:val="bullet"/>
      <w:lvlText w:val=""/>
      <w:lvlJc w:val="left"/>
      <w:pPr>
        <w:ind w:left="2160" w:hanging="360"/>
      </w:pPr>
      <w:rPr>
        <w:rFonts w:ascii="Wingdings" w:hAnsi="Wingdings" w:hint="default"/>
      </w:rPr>
    </w:lvl>
    <w:lvl w:ilvl="3" w:tplc="B91CF936" w:tentative="1">
      <w:start w:val="1"/>
      <w:numFmt w:val="bullet"/>
      <w:lvlText w:val=""/>
      <w:lvlJc w:val="left"/>
      <w:pPr>
        <w:ind w:left="2880" w:hanging="360"/>
      </w:pPr>
      <w:rPr>
        <w:rFonts w:ascii="Symbol" w:hAnsi="Symbol" w:hint="default"/>
      </w:rPr>
    </w:lvl>
    <w:lvl w:ilvl="4" w:tplc="582E5E96" w:tentative="1">
      <w:start w:val="1"/>
      <w:numFmt w:val="bullet"/>
      <w:lvlText w:val="o"/>
      <w:lvlJc w:val="left"/>
      <w:pPr>
        <w:ind w:left="3600" w:hanging="360"/>
      </w:pPr>
      <w:rPr>
        <w:rFonts w:ascii="Courier New" w:hAnsi="Courier New" w:hint="default"/>
      </w:rPr>
    </w:lvl>
    <w:lvl w:ilvl="5" w:tplc="116CD460" w:tentative="1">
      <w:start w:val="1"/>
      <w:numFmt w:val="bullet"/>
      <w:lvlText w:val=""/>
      <w:lvlJc w:val="left"/>
      <w:pPr>
        <w:ind w:left="4320" w:hanging="360"/>
      </w:pPr>
      <w:rPr>
        <w:rFonts w:ascii="Wingdings" w:hAnsi="Wingdings" w:hint="default"/>
      </w:rPr>
    </w:lvl>
    <w:lvl w:ilvl="6" w:tplc="EA42A514" w:tentative="1">
      <w:start w:val="1"/>
      <w:numFmt w:val="bullet"/>
      <w:lvlText w:val=""/>
      <w:lvlJc w:val="left"/>
      <w:pPr>
        <w:ind w:left="5040" w:hanging="360"/>
      </w:pPr>
      <w:rPr>
        <w:rFonts w:ascii="Symbol" w:hAnsi="Symbol" w:hint="default"/>
      </w:rPr>
    </w:lvl>
    <w:lvl w:ilvl="7" w:tplc="8EB8958C" w:tentative="1">
      <w:start w:val="1"/>
      <w:numFmt w:val="bullet"/>
      <w:lvlText w:val="o"/>
      <w:lvlJc w:val="left"/>
      <w:pPr>
        <w:ind w:left="5760" w:hanging="360"/>
      </w:pPr>
      <w:rPr>
        <w:rFonts w:ascii="Courier New" w:hAnsi="Courier New" w:hint="default"/>
      </w:rPr>
    </w:lvl>
    <w:lvl w:ilvl="8" w:tplc="B302DC2C" w:tentative="1">
      <w:start w:val="1"/>
      <w:numFmt w:val="bullet"/>
      <w:lvlText w:val=""/>
      <w:lvlJc w:val="left"/>
      <w:pPr>
        <w:ind w:left="6480" w:hanging="360"/>
      </w:pPr>
      <w:rPr>
        <w:rFonts w:ascii="Wingdings" w:hAnsi="Wingdings" w:hint="default"/>
      </w:rPr>
    </w:lvl>
  </w:abstractNum>
  <w:abstractNum w:abstractNumId="306" w15:restartNumberingAfterBreak="0">
    <w:nsid w:val="41EC48EB"/>
    <w:multiLevelType w:val="hybridMultilevel"/>
    <w:tmpl w:val="5664C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423A6E0B"/>
    <w:multiLevelType w:val="hybridMultilevel"/>
    <w:tmpl w:val="B84856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8" w15:restartNumberingAfterBreak="0">
    <w:nsid w:val="42520EF0"/>
    <w:multiLevelType w:val="multilevel"/>
    <w:tmpl w:val="85B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2BA0BF0"/>
    <w:multiLevelType w:val="hybridMultilevel"/>
    <w:tmpl w:val="6CA6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0" w15:restartNumberingAfterBreak="0">
    <w:nsid w:val="42C0009E"/>
    <w:multiLevelType w:val="hybridMultilevel"/>
    <w:tmpl w:val="9CB2E40C"/>
    <w:lvl w:ilvl="0" w:tplc="5980F312">
      <w:start w:val="1"/>
      <w:numFmt w:val="bullet"/>
      <w:lvlText w:val="o"/>
      <w:lvlJc w:val="left"/>
      <w:pPr>
        <w:ind w:left="720" w:hanging="360"/>
      </w:pPr>
      <w:rPr>
        <w:rFonts w:ascii="Courier New" w:hAnsi="Courier New" w:hint="default"/>
      </w:rPr>
    </w:lvl>
    <w:lvl w:ilvl="1" w:tplc="B150BB8E" w:tentative="1">
      <w:start w:val="1"/>
      <w:numFmt w:val="bullet"/>
      <w:lvlText w:val="o"/>
      <w:lvlJc w:val="left"/>
      <w:pPr>
        <w:ind w:left="1440" w:hanging="360"/>
      </w:pPr>
      <w:rPr>
        <w:rFonts w:ascii="Courier New" w:hAnsi="Courier New" w:hint="default"/>
      </w:rPr>
    </w:lvl>
    <w:lvl w:ilvl="2" w:tplc="D2E07506" w:tentative="1">
      <w:start w:val="1"/>
      <w:numFmt w:val="bullet"/>
      <w:lvlText w:val=""/>
      <w:lvlJc w:val="left"/>
      <w:pPr>
        <w:ind w:left="2160" w:hanging="360"/>
      </w:pPr>
      <w:rPr>
        <w:rFonts w:ascii="Wingdings" w:hAnsi="Wingdings" w:hint="default"/>
      </w:rPr>
    </w:lvl>
    <w:lvl w:ilvl="3" w:tplc="E870968E" w:tentative="1">
      <w:start w:val="1"/>
      <w:numFmt w:val="bullet"/>
      <w:lvlText w:val=""/>
      <w:lvlJc w:val="left"/>
      <w:pPr>
        <w:ind w:left="2880" w:hanging="360"/>
      </w:pPr>
      <w:rPr>
        <w:rFonts w:ascii="Symbol" w:hAnsi="Symbol" w:hint="default"/>
      </w:rPr>
    </w:lvl>
    <w:lvl w:ilvl="4" w:tplc="517EBFFE" w:tentative="1">
      <w:start w:val="1"/>
      <w:numFmt w:val="bullet"/>
      <w:lvlText w:val="o"/>
      <w:lvlJc w:val="left"/>
      <w:pPr>
        <w:ind w:left="3600" w:hanging="360"/>
      </w:pPr>
      <w:rPr>
        <w:rFonts w:ascii="Courier New" w:hAnsi="Courier New" w:hint="default"/>
      </w:rPr>
    </w:lvl>
    <w:lvl w:ilvl="5" w:tplc="29FACA8E" w:tentative="1">
      <w:start w:val="1"/>
      <w:numFmt w:val="bullet"/>
      <w:lvlText w:val=""/>
      <w:lvlJc w:val="left"/>
      <w:pPr>
        <w:ind w:left="4320" w:hanging="360"/>
      </w:pPr>
      <w:rPr>
        <w:rFonts w:ascii="Wingdings" w:hAnsi="Wingdings" w:hint="default"/>
      </w:rPr>
    </w:lvl>
    <w:lvl w:ilvl="6" w:tplc="51383CAC" w:tentative="1">
      <w:start w:val="1"/>
      <w:numFmt w:val="bullet"/>
      <w:lvlText w:val=""/>
      <w:lvlJc w:val="left"/>
      <w:pPr>
        <w:ind w:left="5040" w:hanging="360"/>
      </w:pPr>
      <w:rPr>
        <w:rFonts w:ascii="Symbol" w:hAnsi="Symbol" w:hint="default"/>
      </w:rPr>
    </w:lvl>
    <w:lvl w:ilvl="7" w:tplc="023E4CA2" w:tentative="1">
      <w:start w:val="1"/>
      <w:numFmt w:val="bullet"/>
      <w:lvlText w:val="o"/>
      <w:lvlJc w:val="left"/>
      <w:pPr>
        <w:ind w:left="5760" w:hanging="360"/>
      </w:pPr>
      <w:rPr>
        <w:rFonts w:ascii="Courier New" w:hAnsi="Courier New" w:hint="default"/>
      </w:rPr>
    </w:lvl>
    <w:lvl w:ilvl="8" w:tplc="47ECAC78" w:tentative="1">
      <w:start w:val="1"/>
      <w:numFmt w:val="bullet"/>
      <w:lvlText w:val=""/>
      <w:lvlJc w:val="left"/>
      <w:pPr>
        <w:ind w:left="6480" w:hanging="360"/>
      </w:pPr>
      <w:rPr>
        <w:rFonts w:ascii="Wingdings" w:hAnsi="Wingdings" w:hint="default"/>
      </w:rPr>
    </w:lvl>
  </w:abstractNum>
  <w:abstractNum w:abstractNumId="311" w15:restartNumberingAfterBreak="0">
    <w:nsid w:val="430A1253"/>
    <w:multiLevelType w:val="hybridMultilevel"/>
    <w:tmpl w:val="4F3639B8"/>
    <w:lvl w:ilvl="0" w:tplc="4112CF8C">
      <w:start w:val="1"/>
      <w:numFmt w:val="bullet"/>
      <w:lvlText w:val=""/>
      <w:lvlJc w:val="left"/>
      <w:pPr>
        <w:ind w:left="1440" w:hanging="360"/>
      </w:pPr>
      <w:rPr>
        <w:rFonts w:ascii="Symbol" w:hAnsi="Symbol" w:hint="default"/>
      </w:rPr>
    </w:lvl>
    <w:lvl w:ilvl="1" w:tplc="B6A67E34" w:tentative="1">
      <w:start w:val="1"/>
      <w:numFmt w:val="bullet"/>
      <w:lvlText w:val="o"/>
      <w:lvlJc w:val="left"/>
      <w:pPr>
        <w:ind w:left="2160" w:hanging="360"/>
      </w:pPr>
      <w:rPr>
        <w:rFonts w:ascii="Courier New" w:hAnsi="Courier New" w:hint="default"/>
      </w:rPr>
    </w:lvl>
    <w:lvl w:ilvl="2" w:tplc="284AFEF8" w:tentative="1">
      <w:start w:val="1"/>
      <w:numFmt w:val="bullet"/>
      <w:lvlText w:val=""/>
      <w:lvlJc w:val="left"/>
      <w:pPr>
        <w:ind w:left="2880" w:hanging="360"/>
      </w:pPr>
      <w:rPr>
        <w:rFonts w:ascii="Wingdings" w:hAnsi="Wingdings" w:hint="default"/>
      </w:rPr>
    </w:lvl>
    <w:lvl w:ilvl="3" w:tplc="FC504962" w:tentative="1">
      <w:start w:val="1"/>
      <w:numFmt w:val="bullet"/>
      <w:lvlText w:val=""/>
      <w:lvlJc w:val="left"/>
      <w:pPr>
        <w:ind w:left="3600" w:hanging="360"/>
      </w:pPr>
      <w:rPr>
        <w:rFonts w:ascii="Symbol" w:hAnsi="Symbol" w:hint="default"/>
      </w:rPr>
    </w:lvl>
    <w:lvl w:ilvl="4" w:tplc="994CA23A" w:tentative="1">
      <w:start w:val="1"/>
      <w:numFmt w:val="bullet"/>
      <w:lvlText w:val="o"/>
      <w:lvlJc w:val="left"/>
      <w:pPr>
        <w:ind w:left="4320" w:hanging="360"/>
      </w:pPr>
      <w:rPr>
        <w:rFonts w:ascii="Courier New" w:hAnsi="Courier New" w:hint="default"/>
      </w:rPr>
    </w:lvl>
    <w:lvl w:ilvl="5" w:tplc="0860BFD4" w:tentative="1">
      <w:start w:val="1"/>
      <w:numFmt w:val="bullet"/>
      <w:lvlText w:val=""/>
      <w:lvlJc w:val="left"/>
      <w:pPr>
        <w:ind w:left="5040" w:hanging="360"/>
      </w:pPr>
      <w:rPr>
        <w:rFonts w:ascii="Wingdings" w:hAnsi="Wingdings" w:hint="default"/>
      </w:rPr>
    </w:lvl>
    <w:lvl w:ilvl="6" w:tplc="A91C3A18" w:tentative="1">
      <w:start w:val="1"/>
      <w:numFmt w:val="bullet"/>
      <w:lvlText w:val=""/>
      <w:lvlJc w:val="left"/>
      <w:pPr>
        <w:ind w:left="5760" w:hanging="360"/>
      </w:pPr>
      <w:rPr>
        <w:rFonts w:ascii="Symbol" w:hAnsi="Symbol" w:hint="default"/>
      </w:rPr>
    </w:lvl>
    <w:lvl w:ilvl="7" w:tplc="0DC4550E" w:tentative="1">
      <w:start w:val="1"/>
      <w:numFmt w:val="bullet"/>
      <w:lvlText w:val="o"/>
      <w:lvlJc w:val="left"/>
      <w:pPr>
        <w:ind w:left="6480" w:hanging="360"/>
      </w:pPr>
      <w:rPr>
        <w:rFonts w:ascii="Courier New" w:hAnsi="Courier New" w:hint="default"/>
      </w:rPr>
    </w:lvl>
    <w:lvl w:ilvl="8" w:tplc="6E52A264" w:tentative="1">
      <w:start w:val="1"/>
      <w:numFmt w:val="bullet"/>
      <w:lvlText w:val=""/>
      <w:lvlJc w:val="left"/>
      <w:pPr>
        <w:ind w:left="7200" w:hanging="360"/>
      </w:pPr>
      <w:rPr>
        <w:rFonts w:ascii="Wingdings" w:hAnsi="Wingdings" w:hint="default"/>
      </w:rPr>
    </w:lvl>
  </w:abstractNum>
  <w:abstractNum w:abstractNumId="312" w15:restartNumberingAfterBreak="0">
    <w:nsid w:val="433D2E27"/>
    <w:multiLevelType w:val="hybridMultilevel"/>
    <w:tmpl w:val="6E4E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3" w15:restartNumberingAfterBreak="0">
    <w:nsid w:val="4398712E"/>
    <w:multiLevelType w:val="multilevel"/>
    <w:tmpl w:val="870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3AC6724"/>
    <w:multiLevelType w:val="hybridMultilevel"/>
    <w:tmpl w:val="D3E6A398"/>
    <w:lvl w:ilvl="0" w:tplc="BBD0C3D2">
      <w:start w:val="1"/>
      <w:numFmt w:val="bullet"/>
      <w:lvlText w:val=""/>
      <w:lvlJc w:val="left"/>
      <w:pPr>
        <w:ind w:left="720" w:hanging="360"/>
      </w:pPr>
      <w:rPr>
        <w:rFonts w:ascii="Symbol" w:hAnsi="Symbol" w:hint="default"/>
      </w:rPr>
    </w:lvl>
    <w:lvl w:ilvl="1" w:tplc="C7882BB2" w:tentative="1">
      <w:start w:val="1"/>
      <w:numFmt w:val="bullet"/>
      <w:lvlText w:val="o"/>
      <w:lvlJc w:val="left"/>
      <w:pPr>
        <w:ind w:left="1440" w:hanging="360"/>
      </w:pPr>
      <w:rPr>
        <w:rFonts w:ascii="Courier New" w:hAnsi="Courier New" w:hint="default"/>
      </w:rPr>
    </w:lvl>
    <w:lvl w:ilvl="2" w:tplc="99F0F798" w:tentative="1">
      <w:start w:val="1"/>
      <w:numFmt w:val="bullet"/>
      <w:lvlText w:val=""/>
      <w:lvlJc w:val="left"/>
      <w:pPr>
        <w:ind w:left="2160" w:hanging="360"/>
      </w:pPr>
      <w:rPr>
        <w:rFonts w:ascii="Wingdings" w:hAnsi="Wingdings" w:hint="default"/>
      </w:rPr>
    </w:lvl>
    <w:lvl w:ilvl="3" w:tplc="2FEE3CE8" w:tentative="1">
      <w:start w:val="1"/>
      <w:numFmt w:val="bullet"/>
      <w:lvlText w:val=""/>
      <w:lvlJc w:val="left"/>
      <w:pPr>
        <w:ind w:left="2880" w:hanging="360"/>
      </w:pPr>
      <w:rPr>
        <w:rFonts w:ascii="Symbol" w:hAnsi="Symbol" w:hint="default"/>
      </w:rPr>
    </w:lvl>
    <w:lvl w:ilvl="4" w:tplc="1AC8F2DA" w:tentative="1">
      <w:start w:val="1"/>
      <w:numFmt w:val="bullet"/>
      <w:lvlText w:val="o"/>
      <w:lvlJc w:val="left"/>
      <w:pPr>
        <w:ind w:left="3600" w:hanging="360"/>
      </w:pPr>
      <w:rPr>
        <w:rFonts w:ascii="Courier New" w:hAnsi="Courier New" w:hint="default"/>
      </w:rPr>
    </w:lvl>
    <w:lvl w:ilvl="5" w:tplc="3B942594" w:tentative="1">
      <w:start w:val="1"/>
      <w:numFmt w:val="bullet"/>
      <w:lvlText w:val=""/>
      <w:lvlJc w:val="left"/>
      <w:pPr>
        <w:ind w:left="4320" w:hanging="360"/>
      </w:pPr>
      <w:rPr>
        <w:rFonts w:ascii="Wingdings" w:hAnsi="Wingdings" w:hint="default"/>
      </w:rPr>
    </w:lvl>
    <w:lvl w:ilvl="6" w:tplc="2AFA407E" w:tentative="1">
      <w:start w:val="1"/>
      <w:numFmt w:val="bullet"/>
      <w:lvlText w:val=""/>
      <w:lvlJc w:val="left"/>
      <w:pPr>
        <w:ind w:left="5040" w:hanging="360"/>
      </w:pPr>
      <w:rPr>
        <w:rFonts w:ascii="Symbol" w:hAnsi="Symbol" w:hint="default"/>
      </w:rPr>
    </w:lvl>
    <w:lvl w:ilvl="7" w:tplc="A33E0832" w:tentative="1">
      <w:start w:val="1"/>
      <w:numFmt w:val="bullet"/>
      <w:lvlText w:val="o"/>
      <w:lvlJc w:val="left"/>
      <w:pPr>
        <w:ind w:left="5760" w:hanging="360"/>
      </w:pPr>
      <w:rPr>
        <w:rFonts w:ascii="Courier New" w:hAnsi="Courier New" w:hint="default"/>
      </w:rPr>
    </w:lvl>
    <w:lvl w:ilvl="8" w:tplc="E8DCF870" w:tentative="1">
      <w:start w:val="1"/>
      <w:numFmt w:val="bullet"/>
      <w:lvlText w:val=""/>
      <w:lvlJc w:val="left"/>
      <w:pPr>
        <w:ind w:left="6480" w:hanging="360"/>
      </w:pPr>
      <w:rPr>
        <w:rFonts w:ascii="Wingdings" w:hAnsi="Wingdings" w:hint="default"/>
      </w:rPr>
    </w:lvl>
  </w:abstractNum>
  <w:abstractNum w:abstractNumId="315" w15:restartNumberingAfterBreak="0">
    <w:nsid w:val="43DF1732"/>
    <w:multiLevelType w:val="hybridMultilevel"/>
    <w:tmpl w:val="67745D6A"/>
    <w:lvl w:ilvl="0" w:tplc="E63081A2">
      <w:start w:val="1"/>
      <w:numFmt w:val="bullet"/>
      <w:lvlText w:val="o"/>
      <w:lvlJc w:val="left"/>
      <w:pPr>
        <w:ind w:left="1004" w:hanging="360"/>
      </w:pPr>
      <w:rPr>
        <w:rFonts w:ascii="Courier New" w:hAnsi="Courier New" w:hint="default"/>
      </w:rPr>
    </w:lvl>
    <w:lvl w:ilvl="1" w:tplc="828EF34A" w:tentative="1">
      <w:start w:val="1"/>
      <w:numFmt w:val="bullet"/>
      <w:lvlText w:val="o"/>
      <w:lvlJc w:val="left"/>
      <w:pPr>
        <w:ind w:left="1724" w:hanging="360"/>
      </w:pPr>
      <w:rPr>
        <w:rFonts w:ascii="Courier New" w:hAnsi="Courier New" w:hint="default"/>
      </w:rPr>
    </w:lvl>
    <w:lvl w:ilvl="2" w:tplc="1C1A98AC" w:tentative="1">
      <w:start w:val="1"/>
      <w:numFmt w:val="bullet"/>
      <w:lvlText w:val=""/>
      <w:lvlJc w:val="left"/>
      <w:pPr>
        <w:ind w:left="2444" w:hanging="360"/>
      </w:pPr>
      <w:rPr>
        <w:rFonts w:ascii="Wingdings" w:hAnsi="Wingdings" w:hint="default"/>
      </w:rPr>
    </w:lvl>
    <w:lvl w:ilvl="3" w:tplc="82F8DC7C" w:tentative="1">
      <w:start w:val="1"/>
      <w:numFmt w:val="bullet"/>
      <w:lvlText w:val=""/>
      <w:lvlJc w:val="left"/>
      <w:pPr>
        <w:ind w:left="3164" w:hanging="360"/>
      </w:pPr>
      <w:rPr>
        <w:rFonts w:ascii="Symbol" w:hAnsi="Symbol" w:hint="default"/>
      </w:rPr>
    </w:lvl>
    <w:lvl w:ilvl="4" w:tplc="30CA02FA" w:tentative="1">
      <w:start w:val="1"/>
      <w:numFmt w:val="bullet"/>
      <w:lvlText w:val="o"/>
      <w:lvlJc w:val="left"/>
      <w:pPr>
        <w:ind w:left="3884" w:hanging="360"/>
      </w:pPr>
      <w:rPr>
        <w:rFonts w:ascii="Courier New" w:hAnsi="Courier New" w:hint="default"/>
      </w:rPr>
    </w:lvl>
    <w:lvl w:ilvl="5" w:tplc="8A6E0D4E" w:tentative="1">
      <w:start w:val="1"/>
      <w:numFmt w:val="bullet"/>
      <w:lvlText w:val=""/>
      <w:lvlJc w:val="left"/>
      <w:pPr>
        <w:ind w:left="4604" w:hanging="360"/>
      </w:pPr>
      <w:rPr>
        <w:rFonts w:ascii="Wingdings" w:hAnsi="Wingdings" w:hint="default"/>
      </w:rPr>
    </w:lvl>
    <w:lvl w:ilvl="6" w:tplc="B68E1048" w:tentative="1">
      <w:start w:val="1"/>
      <w:numFmt w:val="bullet"/>
      <w:lvlText w:val=""/>
      <w:lvlJc w:val="left"/>
      <w:pPr>
        <w:ind w:left="5324" w:hanging="360"/>
      </w:pPr>
      <w:rPr>
        <w:rFonts w:ascii="Symbol" w:hAnsi="Symbol" w:hint="default"/>
      </w:rPr>
    </w:lvl>
    <w:lvl w:ilvl="7" w:tplc="1E7E4894" w:tentative="1">
      <w:start w:val="1"/>
      <w:numFmt w:val="bullet"/>
      <w:lvlText w:val="o"/>
      <w:lvlJc w:val="left"/>
      <w:pPr>
        <w:ind w:left="6044" w:hanging="360"/>
      </w:pPr>
      <w:rPr>
        <w:rFonts w:ascii="Courier New" w:hAnsi="Courier New" w:hint="default"/>
      </w:rPr>
    </w:lvl>
    <w:lvl w:ilvl="8" w:tplc="CA687024" w:tentative="1">
      <w:start w:val="1"/>
      <w:numFmt w:val="bullet"/>
      <w:lvlText w:val=""/>
      <w:lvlJc w:val="left"/>
      <w:pPr>
        <w:ind w:left="6764" w:hanging="360"/>
      </w:pPr>
      <w:rPr>
        <w:rFonts w:ascii="Wingdings" w:hAnsi="Wingdings" w:hint="default"/>
      </w:rPr>
    </w:lvl>
  </w:abstractNum>
  <w:abstractNum w:abstractNumId="316" w15:restartNumberingAfterBreak="0">
    <w:nsid w:val="44147D91"/>
    <w:multiLevelType w:val="multilevel"/>
    <w:tmpl w:val="F448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45CC82A"/>
    <w:multiLevelType w:val="hybridMultilevel"/>
    <w:tmpl w:val="BDB8DAA0"/>
    <w:lvl w:ilvl="0" w:tplc="C00E79E2">
      <w:start w:val="1"/>
      <w:numFmt w:val="bullet"/>
      <w:lvlText w:val="·"/>
      <w:lvlJc w:val="left"/>
      <w:pPr>
        <w:ind w:left="720" w:hanging="360"/>
      </w:pPr>
      <w:rPr>
        <w:rFonts w:ascii="Symbol" w:hAnsi="Symbol" w:hint="default"/>
      </w:rPr>
    </w:lvl>
    <w:lvl w:ilvl="1" w:tplc="603C4C70">
      <w:start w:val="1"/>
      <w:numFmt w:val="bullet"/>
      <w:lvlText w:val="o"/>
      <w:lvlJc w:val="left"/>
      <w:pPr>
        <w:ind w:left="1440" w:hanging="360"/>
      </w:pPr>
      <w:rPr>
        <w:rFonts w:ascii="Courier New" w:hAnsi="Courier New" w:hint="default"/>
      </w:rPr>
    </w:lvl>
    <w:lvl w:ilvl="2" w:tplc="B7CA778A">
      <w:start w:val="1"/>
      <w:numFmt w:val="bullet"/>
      <w:lvlText w:val=""/>
      <w:lvlJc w:val="left"/>
      <w:pPr>
        <w:ind w:left="2160" w:hanging="360"/>
      </w:pPr>
      <w:rPr>
        <w:rFonts w:ascii="Wingdings" w:hAnsi="Wingdings" w:hint="default"/>
      </w:rPr>
    </w:lvl>
    <w:lvl w:ilvl="3" w:tplc="7A8603C8">
      <w:start w:val="1"/>
      <w:numFmt w:val="bullet"/>
      <w:lvlText w:val=""/>
      <w:lvlJc w:val="left"/>
      <w:pPr>
        <w:ind w:left="2880" w:hanging="360"/>
      </w:pPr>
      <w:rPr>
        <w:rFonts w:ascii="Symbol" w:hAnsi="Symbol" w:hint="default"/>
      </w:rPr>
    </w:lvl>
    <w:lvl w:ilvl="4" w:tplc="5274B32C">
      <w:start w:val="1"/>
      <w:numFmt w:val="bullet"/>
      <w:lvlText w:val="o"/>
      <w:lvlJc w:val="left"/>
      <w:pPr>
        <w:ind w:left="3600" w:hanging="360"/>
      </w:pPr>
      <w:rPr>
        <w:rFonts w:ascii="Courier New" w:hAnsi="Courier New" w:hint="default"/>
      </w:rPr>
    </w:lvl>
    <w:lvl w:ilvl="5" w:tplc="1C0A09B6">
      <w:start w:val="1"/>
      <w:numFmt w:val="bullet"/>
      <w:lvlText w:val=""/>
      <w:lvlJc w:val="left"/>
      <w:pPr>
        <w:ind w:left="4320" w:hanging="360"/>
      </w:pPr>
      <w:rPr>
        <w:rFonts w:ascii="Wingdings" w:hAnsi="Wingdings" w:hint="default"/>
      </w:rPr>
    </w:lvl>
    <w:lvl w:ilvl="6" w:tplc="E5941B42">
      <w:start w:val="1"/>
      <w:numFmt w:val="bullet"/>
      <w:lvlText w:val=""/>
      <w:lvlJc w:val="left"/>
      <w:pPr>
        <w:ind w:left="5040" w:hanging="360"/>
      </w:pPr>
      <w:rPr>
        <w:rFonts w:ascii="Symbol" w:hAnsi="Symbol" w:hint="default"/>
      </w:rPr>
    </w:lvl>
    <w:lvl w:ilvl="7" w:tplc="27065C42">
      <w:start w:val="1"/>
      <w:numFmt w:val="bullet"/>
      <w:lvlText w:val="o"/>
      <w:lvlJc w:val="left"/>
      <w:pPr>
        <w:ind w:left="5760" w:hanging="360"/>
      </w:pPr>
      <w:rPr>
        <w:rFonts w:ascii="Courier New" w:hAnsi="Courier New" w:hint="default"/>
      </w:rPr>
    </w:lvl>
    <w:lvl w:ilvl="8" w:tplc="E3FA89CE">
      <w:start w:val="1"/>
      <w:numFmt w:val="bullet"/>
      <w:lvlText w:val=""/>
      <w:lvlJc w:val="left"/>
      <w:pPr>
        <w:ind w:left="6480" w:hanging="360"/>
      </w:pPr>
      <w:rPr>
        <w:rFonts w:ascii="Wingdings" w:hAnsi="Wingdings" w:hint="default"/>
      </w:rPr>
    </w:lvl>
  </w:abstractNum>
  <w:abstractNum w:abstractNumId="318" w15:restartNumberingAfterBreak="0">
    <w:nsid w:val="4485564B"/>
    <w:multiLevelType w:val="hybridMultilevel"/>
    <w:tmpl w:val="800841FA"/>
    <w:lvl w:ilvl="0" w:tplc="E028ED72">
      <w:start w:val="1"/>
      <w:numFmt w:val="bullet"/>
      <w:lvlText w:val=""/>
      <w:lvlJc w:val="left"/>
      <w:pPr>
        <w:ind w:left="768" w:hanging="360"/>
      </w:pPr>
      <w:rPr>
        <w:rFonts w:ascii="Symbol" w:hAnsi="Symbol" w:hint="default"/>
      </w:rPr>
    </w:lvl>
    <w:lvl w:ilvl="1" w:tplc="CA70B3A8" w:tentative="1">
      <w:start w:val="1"/>
      <w:numFmt w:val="bullet"/>
      <w:lvlText w:val="o"/>
      <w:lvlJc w:val="left"/>
      <w:pPr>
        <w:ind w:left="1488" w:hanging="360"/>
      </w:pPr>
      <w:rPr>
        <w:rFonts w:ascii="Courier New" w:hAnsi="Courier New" w:hint="default"/>
      </w:rPr>
    </w:lvl>
    <w:lvl w:ilvl="2" w:tplc="D69CA492" w:tentative="1">
      <w:start w:val="1"/>
      <w:numFmt w:val="bullet"/>
      <w:lvlText w:val=""/>
      <w:lvlJc w:val="left"/>
      <w:pPr>
        <w:ind w:left="2208" w:hanging="360"/>
      </w:pPr>
      <w:rPr>
        <w:rFonts w:ascii="Wingdings" w:hAnsi="Wingdings" w:hint="default"/>
      </w:rPr>
    </w:lvl>
    <w:lvl w:ilvl="3" w:tplc="1E0AE58C" w:tentative="1">
      <w:start w:val="1"/>
      <w:numFmt w:val="bullet"/>
      <w:lvlText w:val=""/>
      <w:lvlJc w:val="left"/>
      <w:pPr>
        <w:ind w:left="2928" w:hanging="360"/>
      </w:pPr>
      <w:rPr>
        <w:rFonts w:ascii="Symbol" w:hAnsi="Symbol" w:hint="default"/>
      </w:rPr>
    </w:lvl>
    <w:lvl w:ilvl="4" w:tplc="D4346222" w:tentative="1">
      <w:start w:val="1"/>
      <w:numFmt w:val="bullet"/>
      <w:lvlText w:val="o"/>
      <w:lvlJc w:val="left"/>
      <w:pPr>
        <w:ind w:left="3648" w:hanging="360"/>
      </w:pPr>
      <w:rPr>
        <w:rFonts w:ascii="Courier New" w:hAnsi="Courier New" w:hint="default"/>
      </w:rPr>
    </w:lvl>
    <w:lvl w:ilvl="5" w:tplc="24EE3C62" w:tentative="1">
      <w:start w:val="1"/>
      <w:numFmt w:val="bullet"/>
      <w:lvlText w:val=""/>
      <w:lvlJc w:val="left"/>
      <w:pPr>
        <w:ind w:left="4368" w:hanging="360"/>
      </w:pPr>
      <w:rPr>
        <w:rFonts w:ascii="Wingdings" w:hAnsi="Wingdings" w:hint="default"/>
      </w:rPr>
    </w:lvl>
    <w:lvl w:ilvl="6" w:tplc="E6D2903C" w:tentative="1">
      <w:start w:val="1"/>
      <w:numFmt w:val="bullet"/>
      <w:lvlText w:val=""/>
      <w:lvlJc w:val="left"/>
      <w:pPr>
        <w:ind w:left="5088" w:hanging="360"/>
      </w:pPr>
      <w:rPr>
        <w:rFonts w:ascii="Symbol" w:hAnsi="Symbol" w:hint="default"/>
      </w:rPr>
    </w:lvl>
    <w:lvl w:ilvl="7" w:tplc="D52EC114" w:tentative="1">
      <w:start w:val="1"/>
      <w:numFmt w:val="bullet"/>
      <w:lvlText w:val="o"/>
      <w:lvlJc w:val="left"/>
      <w:pPr>
        <w:ind w:left="5808" w:hanging="360"/>
      </w:pPr>
      <w:rPr>
        <w:rFonts w:ascii="Courier New" w:hAnsi="Courier New" w:hint="default"/>
      </w:rPr>
    </w:lvl>
    <w:lvl w:ilvl="8" w:tplc="8FB0E3DC" w:tentative="1">
      <w:start w:val="1"/>
      <w:numFmt w:val="bullet"/>
      <w:lvlText w:val=""/>
      <w:lvlJc w:val="left"/>
      <w:pPr>
        <w:ind w:left="6528" w:hanging="360"/>
      </w:pPr>
      <w:rPr>
        <w:rFonts w:ascii="Wingdings" w:hAnsi="Wingdings" w:hint="default"/>
      </w:rPr>
    </w:lvl>
  </w:abstractNum>
  <w:abstractNum w:abstractNumId="319" w15:restartNumberingAfterBreak="0">
    <w:nsid w:val="44D90ABB"/>
    <w:multiLevelType w:val="multilevel"/>
    <w:tmpl w:val="9166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51B89B0"/>
    <w:multiLevelType w:val="hybridMultilevel"/>
    <w:tmpl w:val="A9DA89D0"/>
    <w:lvl w:ilvl="0" w:tplc="50DEB01A">
      <w:start w:val="1"/>
      <w:numFmt w:val="bullet"/>
      <w:lvlText w:val=""/>
      <w:lvlJc w:val="left"/>
      <w:pPr>
        <w:ind w:left="720" w:hanging="360"/>
      </w:pPr>
      <w:rPr>
        <w:rFonts w:ascii="Symbol" w:hAnsi="Symbol" w:hint="default"/>
      </w:rPr>
    </w:lvl>
    <w:lvl w:ilvl="1" w:tplc="541C1BFC">
      <w:start w:val="1"/>
      <w:numFmt w:val="bullet"/>
      <w:lvlText w:val="o"/>
      <w:lvlJc w:val="left"/>
      <w:pPr>
        <w:ind w:left="1440" w:hanging="360"/>
      </w:pPr>
      <w:rPr>
        <w:rFonts w:ascii="Courier New" w:hAnsi="Courier New" w:hint="default"/>
      </w:rPr>
    </w:lvl>
    <w:lvl w:ilvl="2" w:tplc="DB722072">
      <w:start w:val="1"/>
      <w:numFmt w:val="bullet"/>
      <w:lvlText w:val=""/>
      <w:lvlJc w:val="left"/>
      <w:pPr>
        <w:ind w:left="2160" w:hanging="360"/>
      </w:pPr>
      <w:rPr>
        <w:rFonts w:ascii="Wingdings" w:hAnsi="Wingdings" w:hint="default"/>
      </w:rPr>
    </w:lvl>
    <w:lvl w:ilvl="3" w:tplc="288037F8">
      <w:start w:val="1"/>
      <w:numFmt w:val="bullet"/>
      <w:lvlText w:val=""/>
      <w:lvlJc w:val="left"/>
      <w:pPr>
        <w:ind w:left="2880" w:hanging="360"/>
      </w:pPr>
      <w:rPr>
        <w:rFonts w:ascii="Symbol" w:hAnsi="Symbol" w:hint="default"/>
      </w:rPr>
    </w:lvl>
    <w:lvl w:ilvl="4" w:tplc="98685EB6">
      <w:start w:val="1"/>
      <w:numFmt w:val="bullet"/>
      <w:lvlText w:val="o"/>
      <w:lvlJc w:val="left"/>
      <w:pPr>
        <w:ind w:left="3600" w:hanging="360"/>
      </w:pPr>
      <w:rPr>
        <w:rFonts w:ascii="Courier New" w:hAnsi="Courier New" w:hint="default"/>
      </w:rPr>
    </w:lvl>
    <w:lvl w:ilvl="5" w:tplc="FA2633C0">
      <w:start w:val="1"/>
      <w:numFmt w:val="bullet"/>
      <w:lvlText w:val=""/>
      <w:lvlJc w:val="left"/>
      <w:pPr>
        <w:ind w:left="4320" w:hanging="360"/>
      </w:pPr>
      <w:rPr>
        <w:rFonts w:ascii="Wingdings" w:hAnsi="Wingdings" w:hint="default"/>
      </w:rPr>
    </w:lvl>
    <w:lvl w:ilvl="6" w:tplc="99745BCE">
      <w:start w:val="1"/>
      <w:numFmt w:val="bullet"/>
      <w:lvlText w:val=""/>
      <w:lvlJc w:val="left"/>
      <w:pPr>
        <w:ind w:left="5040" w:hanging="360"/>
      </w:pPr>
      <w:rPr>
        <w:rFonts w:ascii="Symbol" w:hAnsi="Symbol" w:hint="default"/>
      </w:rPr>
    </w:lvl>
    <w:lvl w:ilvl="7" w:tplc="84AAFA86">
      <w:start w:val="1"/>
      <w:numFmt w:val="bullet"/>
      <w:lvlText w:val="o"/>
      <w:lvlJc w:val="left"/>
      <w:pPr>
        <w:ind w:left="5760" w:hanging="360"/>
      </w:pPr>
      <w:rPr>
        <w:rFonts w:ascii="Courier New" w:hAnsi="Courier New" w:hint="default"/>
      </w:rPr>
    </w:lvl>
    <w:lvl w:ilvl="8" w:tplc="ABDEFDB4">
      <w:start w:val="1"/>
      <w:numFmt w:val="bullet"/>
      <w:lvlText w:val=""/>
      <w:lvlJc w:val="left"/>
      <w:pPr>
        <w:ind w:left="6480" w:hanging="360"/>
      </w:pPr>
      <w:rPr>
        <w:rFonts w:ascii="Wingdings" w:hAnsi="Wingdings" w:hint="default"/>
      </w:rPr>
    </w:lvl>
  </w:abstractNum>
  <w:abstractNum w:abstractNumId="321" w15:restartNumberingAfterBreak="0">
    <w:nsid w:val="45434CAA"/>
    <w:multiLevelType w:val="hybridMultilevel"/>
    <w:tmpl w:val="0762A34C"/>
    <w:lvl w:ilvl="0" w:tplc="47227A32">
      <w:start w:val="1"/>
      <w:numFmt w:val="bullet"/>
      <w:lvlText w:val=""/>
      <w:lvlJc w:val="left"/>
      <w:pPr>
        <w:ind w:left="780" w:hanging="360"/>
      </w:pPr>
      <w:rPr>
        <w:rFonts w:ascii="Symbol" w:hAnsi="Symbol" w:hint="default"/>
      </w:rPr>
    </w:lvl>
    <w:lvl w:ilvl="1" w:tplc="34224BD8" w:tentative="1">
      <w:start w:val="1"/>
      <w:numFmt w:val="bullet"/>
      <w:lvlText w:val="o"/>
      <w:lvlJc w:val="left"/>
      <w:pPr>
        <w:ind w:left="1500" w:hanging="360"/>
      </w:pPr>
      <w:rPr>
        <w:rFonts w:ascii="Courier New" w:hAnsi="Courier New" w:hint="default"/>
      </w:rPr>
    </w:lvl>
    <w:lvl w:ilvl="2" w:tplc="27D0C4E4" w:tentative="1">
      <w:start w:val="1"/>
      <w:numFmt w:val="bullet"/>
      <w:lvlText w:val=""/>
      <w:lvlJc w:val="left"/>
      <w:pPr>
        <w:ind w:left="2220" w:hanging="360"/>
      </w:pPr>
      <w:rPr>
        <w:rFonts w:ascii="Wingdings" w:hAnsi="Wingdings" w:hint="default"/>
      </w:rPr>
    </w:lvl>
    <w:lvl w:ilvl="3" w:tplc="E6AA8D52" w:tentative="1">
      <w:start w:val="1"/>
      <w:numFmt w:val="bullet"/>
      <w:lvlText w:val=""/>
      <w:lvlJc w:val="left"/>
      <w:pPr>
        <w:ind w:left="2940" w:hanging="360"/>
      </w:pPr>
      <w:rPr>
        <w:rFonts w:ascii="Symbol" w:hAnsi="Symbol" w:hint="default"/>
      </w:rPr>
    </w:lvl>
    <w:lvl w:ilvl="4" w:tplc="1F7C1E04" w:tentative="1">
      <w:start w:val="1"/>
      <w:numFmt w:val="bullet"/>
      <w:lvlText w:val="o"/>
      <w:lvlJc w:val="left"/>
      <w:pPr>
        <w:ind w:left="3660" w:hanging="360"/>
      </w:pPr>
      <w:rPr>
        <w:rFonts w:ascii="Courier New" w:hAnsi="Courier New" w:hint="default"/>
      </w:rPr>
    </w:lvl>
    <w:lvl w:ilvl="5" w:tplc="01266E64" w:tentative="1">
      <w:start w:val="1"/>
      <w:numFmt w:val="bullet"/>
      <w:lvlText w:val=""/>
      <w:lvlJc w:val="left"/>
      <w:pPr>
        <w:ind w:left="4380" w:hanging="360"/>
      </w:pPr>
      <w:rPr>
        <w:rFonts w:ascii="Wingdings" w:hAnsi="Wingdings" w:hint="default"/>
      </w:rPr>
    </w:lvl>
    <w:lvl w:ilvl="6" w:tplc="8466DD4E" w:tentative="1">
      <w:start w:val="1"/>
      <w:numFmt w:val="bullet"/>
      <w:lvlText w:val=""/>
      <w:lvlJc w:val="left"/>
      <w:pPr>
        <w:ind w:left="5100" w:hanging="360"/>
      </w:pPr>
      <w:rPr>
        <w:rFonts w:ascii="Symbol" w:hAnsi="Symbol" w:hint="default"/>
      </w:rPr>
    </w:lvl>
    <w:lvl w:ilvl="7" w:tplc="BD944B8A" w:tentative="1">
      <w:start w:val="1"/>
      <w:numFmt w:val="bullet"/>
      <w:lvlText w:val="o"/>
      <w:lvlJc w:val="left"/>
      <w:pPr>
        <w:ind w:left="5820" w:hanging="360"/>
      </w:pPr>
      <w:rPr>
        <w:rFonts w:ascii="Courier New" w:hAnsi="Courier New" w:hint="default"/>
      </w:rPr>
    </w:lvl>
    <w:lvl w:ilvl="8" w:tplc="4EF20558" w:tentative="1">
      <w:start w:val="1"/>
      <w:numFmt w:val="bullet"/>
      <w:lvlText w:val=""/>
      <w:lvlJc w:val="left"/>
      <w:pPr>
        <w:ind w:left="6540" w:hanging="360"/>
      </w:pPr>
      <w:rPr>
        <w:rFonts w:ascii="Wingdings" w:hAnsi="Wingdings" w:hint="default"/>
      </w:rPr>
    </w:lvl>
  </w:abstractNum>
  <w:abstractNum w:abstractNumId="322" w15:restartNumberingAfterBreak="0">
    <w:nsid w:val="455917C5"/>
    <w:multiLevelType w:val="multilevel"/>
    <w:tmpl w:val="393A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56E570F"/>
    <w:multiLevelType w:val="multilevel"/>
    <w:tmpl w:val="37BC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5B91DF9"/>
    <w:multiLevelType w:val="hybridMultilevel"/>
    <w:tmpl w:val="2F60C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5" w15:restartNumberingAfterBreak="0">
    <w:nsid w:val="45BD35A4"/>
    <w:multiLevelType w:val="multilevel"/>
    <w:tmpl w:val="3C36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BFB647"/>
    <w:multiLevelType w:val="hybridMultilevel"/>
    <w:tmpl w:val="022A526A"/>
    <w:lvl w:ilvl="0" w:tplc="387A2E30">
      <w:start w:val="2"/>
      <w:numFmt w:val="lowerRoman"/>
      <w:lvlText w:val="%1."/>
      <w:lvlJc w:val="right"/>
      <w:pPr>
        <w:ind w:left="720" w:hanging="360"/>
      </w:pPr>
    </w:lvl>
    <w:lvl w:ilvl="1" w:tplc="322C0BA2">
      <w:start w:val="1"/>
      <w:numFmt w:val="lowerLetter"/>
      <w:lvlText w:val="%2."/>
      <w:lvlJc w:val="left"/>
      <w:pPr>
        <w:ind w:left="1440" w:hanging="360"/>
      </w:pPr>
    </w:lvl>
    <w:lvl w:ilvl="2" w:tplc="AC6E8F74">
      <w:start w:val="1"/>
      <w:numFmt w:val="lowerRoman"/>
      <w:lvlText w:val="%3."/>
      <w:lvlJc w:val="right"/>
      <w:pPr>
        <w:ind w:left="2160" w:hanging="180"/>
      </w:pPr>
    </w:lvl>
    <w:lvl w:ilvl="3" w:tplc="BFACDB54">
      <w:start w:val="1"/>
      <w:numFmt w:val="decimal"/>
      <w:lvlText w:val="%4."/>
      <w:lvlJc w:val="left"/>
      <w:pPr>
        <w:ind w:left="2880" w:hanging="360"/>
      </w:pPr>
    </w:lvl>
    <w:lvl w:ilvl="4" w:tplc="D27EA6D4">
      <w:start w:val="1"/>
      <w:numFmt w:val="lowerLetter"/>
      <w:lvlText w:val="%5."/>
      <w:lvlJc w:val="left"/>
      <w:pPr>
        <w:ind w:left="3600" w:hanging="360"/>
      </w:pPr>
    </w:lvl>
    <w:lvl w:ilvl="5" w:tplc="916C53AA">
      <w:start w:val="1"/>
      <w:numFmt w:val="lowerRoman"/>
      <w:lvlText w:val="%6."/>
      <w:lvlJc w:val="right"/>
      <w:pPr>
        <w:ind w:left="4320" w:hanging="180"/>
      </w:pPr>
    </w:lvl>
    <w:lvl w:ilvl="6" w:tplc="3180823A">
      <w:start w:val="1"/>
      <w:numFmt w:val="decimal"/>
      <w:lvlText w:val="%7."/>
      <w:lvlJc w:val="left"/>
      <w:pPr>
        <w:ind w:left="5040" w:hanging="360"/>
      </w:pPr>
    </w:lvl>
    <w:lvl w:ilvl="7" w:tplc="5510D6F6">
      <w:start w:val="1"/>
      <w:numFmt w:val="lowerLetter"/>
      <w:lvlText w:val="%8."/>
      <w:lvlJc w:val="left"/>
      <w:pPr>
        <w:ind w:left="5760" w:hanging="360"/>
      </w:pPr>
    </w:lvl>
    <w:lvl w:ilvl="8" w:tplc="29CA8AFC">
      <w:start w:val="1"/>
      <w:numFmt w:val="lowerRoman"/>
      <w:lvlText w:val="%9."/>
      <w:lvlJc w:val="right"/>
      <w:pPr>
        <w:ind w:left="6480" w:hanging="180"/>
      </w:pPr>
    </w:lvl>
  </w:abstractNum>
  <w:abstractNum w:abstractNumId="327" w15:restartNumberingAfterBreak="0">
    <w:nsid w:val="45EF2FBB"/>
    <w:multiLevelType w:val="hybridMultilevel"/>
    <w:tmpl w:val="944E1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8" w15:restartNumberingAfterBreak="0">
    <w:nsid w:val="460D24D5"/>
    <w:multiLevelType w:val="hybridMultilevel"/>
    <w:tmpl w:val="8278D968"/>
    <w:lvl w:ilvl="0" w:tplc="D5408888">
      <w:start w:val="1"/>
      <w:numFmt w:val="bullet"/>
      <w:lvlText w:val=""/>
      <w:lvlJc w:val="left"/>
      <w:pPr>
        <w:ind w:left="720" w:hanging="360"/>
      </w:pPr>
      <w:rPr>
        <w:rFonts w:ascii="Symbol" w:hAnsi="Symbol" w:hint="default"/>
      </w:rPr>
    </w:lvl>
    <w:lvl w:ilvl="1" w:tplc="7230010A" w:tentative="1">
      <w:start w:val="1"/>
      <w:numFmt w:val="bullet"/>
      <w:lvlText w:val="o"/>
      <w:lvlJc w:val="left"/>
      <w:pPr>
        <w:ind w:left="1440" w:hanging="360"/>
      </w:pPr>
      <w:rPr>
        <w:rFonts w:ascii="Courier New" w:hAnsi="Courier New" w:hint="default"/>
      </w:rPr>
    </w:lvl>
    <w:lvl w:ilvl="2" w:tplc="155853FC" w:tentative="1">
      <w:start w:val="1"/>
      <w:numFmt w:val="bullet"/>
      <w:lvlText w:val=""/>
      <w:lvlJc w:val="left"/>
      <w:pPr>
        <w:ind w:left="2160" w:hanging="360"/>
      </w:pPr>
      <w:rPr>
        <w:rFonts w:ascii="Wingdings" w:hAnsi="Wingdings" w:hint="default"/>
      </w:rPr>
    </w:lvl>
    <w:lvl w:ilvl="3" w:tplc="48F08198" w:tentative="1">
      <w:start w:val="1"/>
      <w:numFmt w:val="bullet"/>
      <w:lvlText w:val=""/>
      <w:lvlJc w:val="left"/>
      <w:pPr>
        <w:ind w:left="2880" w:hanging="360"/>
      </w:pPr>
      <w:rPr>
        <w:rFonts w:ascii="Symbol" w:hAnsi="Symbol" w:hint="default"/>
      </w:rPr>
    </w:lvl>
    <w:lvl w:ilvl="4" w:tplc="1B342418" w:tentative="1">
      <w:start w:val="1"/>
      <w:numFmt w:val="bullet"/>
      <w:lvlText w:val="o"/>
      <w:lvlJc w:val="left"/>
      <w:pPr>
        <w:ind w:left="3600" w:hanging="360"/>
      </w:pPr>
      <w:rPr>
        <w:rFonts w:ascii="Courier New" w:hAnsi="Courier New" w:hint="default"/>
      </w:rPr>
    </w:lvl>
    <w:lvl w:ilvl="5" w:tplc="1DACC4D2" w:tentative="1">
      <w:start w:val="1"/>
      <w:numFmt w:val="bullet"/>
      <w:lvlText w:val=""/>
      <w:lvlJc w:val="left"/>
      <w:pPr>
        <w:ind w:left="4320" w:hanging="360"/>
      </w:pPr>
      <w:rPr>
        <w:rFonts w:ascii="Wingdings" w:hAnsi="Wingdings" w:hint="default"/>
      </w:rPr>
    </w:lvl>
    <w:lvl w:ilvl="6" w:tplc="43A214B8" w:tentative="1">
      <w:start w:val="1"/>
      <w:numFmt w:val="bullet"/>
      <w:lvlText w:val=""/>
      <w:lvlJc w:val="left"/>
      <w:pPr>
        <w:ind w:left="5040" w:hanging="360"/>
      </w:pPr>
      <w:rPr>
        <w:rFonts w:ascii="Symbol" w:hAnsi="Symbol" w:hint="default"/>
      </w:rPr>
    </w:lvl>
    <w:lvl w:ilvl="7" w:tplc="2EDE6842" w:tentative="1">
      <w:start w:val="1"/>
      <w:numFmt w:val="bullet"/>
      <w:lvlText w:val="o"/>
      <w:lvlJc w:val="left"/>
      <w:pPr>
        <w:ind w:left="5760" w:hanging="360"/>
      </w:pPr>
      <w:rPr>
        <w:rFonts w:ascii="Courier New" w:hAnsi="Courier New" w:hint="default"/>
      </w:rPr>
    </w:lvl>
    <w:lvl w:ilvl="8" w:tplc="0F88324A" w:tentative="1">
      <w:start w:val="1"/>
      <w:numFmt w:val="bullet"/>
      <w:lvlText w:val=""/>
      <w:lvlJc w:val="left"/>
      <w:pPr>
        <w:ind w:left="6480" w:hanging="360"/>
      </w:pPr>
      <w:rPr>
        <w:rFonts w:ascii="Wingdings" w:hAnsi="Wingdings" w:hint="default"/>
      </w:rPr>
    </w:lvl>
  </w:abstractNum>
  <w:abstractNum w:abstractNumId="329" w15:restartNumberingAfterBreak="0">
    <w:nsid w:val="46A9109A"/>
    <w:multiLevelType w:val="hybridMultilevel"/>
    <w:tmpl w:val="192048E0"/>
    <w:lvl w:ilvl="0" w:tplc="00C621DC">
      <w:start w:val="1"/>
      <w:numFmt w:val="bullet"/>
      <w:lvlText w:val=""/>
      <w:lvlJc w:val="left"/>
      <w:pPr>
        <w:ind w:left="720" w:hanging="360"/>
      </w:pPr>
      <w:rPr>
        <w:rFonts w:ascii="Symbol" w:hAnsi="Symbol" w:hint="default"/>
      </w:rPr>
    </w:lvl>
    <w:lvl w:ilvl="1" w:tplc="6C462A16" w:tentative="1">
      <w:start w:val="1"/>
      <w:numFmt w:val="bullet"/>
      <w:lvlText w:val="o"/>
      <w:lvlJc w:val="left"/>
      <w:pPr>
        <w:ind w:left="1440" w:hanging="360"/>
      </w:pPr>
      <w:rPr>
        <w:rFonts w:ascii="Courier New" w:hAnsi="Courier New" w:hint="default"/>
      </w:rPr>
    </w:lvl>
    <w:lvl w:ilvl="2" w:tplc="E7AC5B56" w:tentative="1">
      <w:start w:val="1"/>
      <w:numFmt w:val="bullet"/>
      <w:lvlText w:val=""/>
      <w:lvlJc w:val="left"/>
      <w:pPr>
        <w:ind w:left="2160" w:hanging="360"/>
      </w:pPr>
      <w:rPr>
        <w:rFonts w:ascii="Wingdings" w:hAnsi="Wingdings" w:hint="default"/>
      </w:rPr>
    </w:lvl>
    <w:lvl w:ilvl="3" w:tplc="7AE8AEE0" w:tentative="1">
      <w:start w:val="1"/>
      <w:numFmt w:val="bullet"/>
      <w:lvlText w:val=""/>
      <w:lvlJc w:val="left"/>
      <w:pPr>
        <w:ind w:left="2880" w:hanging="360"/>
      </w:pPr>
      <w:rPr>
        <w:rFonts w:ascii="Symbol" w:hAnsi="Symbol" w:hint="default"/>
      </w:rPr>
    </w:lvl>
    <w:lvl w:ilvl="4" w:tplc="503A30F8" w:tentative="1">
      <w:start w:val="1"/>
      <w:numFmt w:val="bullet"/>
      <w:lvlText w:val="o"/>
      <w:lvlJc w:val="left"/>
      <w:pPr>
        <w:ind w:left="3600" w:hanging="360"/>
      </w:pPr>
      <w:rPr>
        <w:rFonts w:ascii="Courier New" w:hAnsi="Courier New" w:hint="default"/>
      </w:rPr>
    </w:lvl>
    <w:lvl w:ilvl="5" w:tplc="E8C20554" w:tentative="1">
      <w:start w:val="1"/>
      <w:numFmt w:val="bullet"/>
      <w:lvlText w:val=""/>
      <w:lvlJc w:val="left"/>
      <w:pPr>
        <w:ind w:left="4320" w:hanging="360"/>
      </w:pPr>
      <w:rPr>
        <w:rFonts w:ascii="Wingdings" w:hAnsi="Wingdings" w:hint="default"/>
      </w:rPr>
    </w:lvl>
    <w:lvl w:ilvl="6" w:tplc="E70A2BCC" w:tentative="1">
      <w:start w:val="1"/>
      <w:numFmt w:val="bullet"/>
      <w:lvlText w:val=""/>
      <w:lvlJc w:val="left"/>
      <w:pPr>
        <w:ind w:left="5040" w:hanging="360"/>
      </w:pPr>
      <w:rPr>
        <w:rFonts w:ascii="Symbol" w:hAnsi="Symbol" w:hint="default"/>
      </w:rPr>
    </w:lvl>
    <w:lvl w:ilvl="7" w:tplc="93C0919A" w:tentative="1">
      <w:start w:val="1"/>
      <w:numFmt w:val="bullet"/>
      <w:lvlText w:val="o"/>
      <w:lvlJc w:val="left"/>
      <w:pPr>
        <w:ind w:left="5760" w:hanging="360"/>
      </w:pPr>
      <w:rPr>
        <w:rFonts w:ascii="Courier New" w:hAnsi="Courier New" w:hint="default"/>
      </w:rPr>
    </w:lvl>
    <w:lvl w:ilvl="8" w:tplc="3D0089EC" w:tentative="1">
      <w:start w:val="1"/>
      <w:numFmt w:val="bullet"/>
      <w:lvlText w:val=""/>
      <w:lvlJc w:val="left"/>
      <w:pPr>
        <w:ind w:left="6480" w:hanging="360"/>
      </w:pPr>
      <w:rPr>
        <w:rFonts w:ascii="Wingdings" w:hAnsi="Wingdings" w:hint="default"/>
      </w:rPr>
    </w:lvl>
  </w:abstractNum>
  <w:abstractNum w:abstractNumId="330" w15:restartNumberingAfterBreak="0">
    <w:nsid w:val="470C5511"/>
    <w:multiLevelType w:val="hybridMultilevel"/>
    <w:tmpl w:val="94D8BAB4"/>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47195C89"/>
    <w:multiLevelType w:val="multilevel"/>
    <w:tmpl w:val="5806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7546F4B"/>
    <w:multiLevelType w:val="hybridMultilevel"/>
    <w:tmpl w:val="D88C0EF6"/>
    <w:lvl w:ilvl="0" w:tplc="779AC902">
      <w:start w:val="1"/>
      <w:numFmt w:val="bullet"/>
      <w:lvlText w:val=""/>
      <w:lvlJc w:val="left"/>
      <w:pPr>
        <w:ind w:left="720" w:hanging="360"/>
      </w:pPr>
      <w:rPr>
        <w:rFonts w:ascii="Symbol" w:hAnsi="Symbol" w:hint="default"/>
      </w:rPr>
    </w:lvl>
    <w:lvl w:ilvl="1" w:tplc="CD3C32A0">
      <w:start w:val="1"/>
      <w:numFmt w:val="bullet"/>
      <w:lvlText w:val="o"/>
      <w:lvlJc w:val="left"/>
      <w:pPr>
        <w:ind w:left="1440" w:hanging="360"/>
      </w:pPr>
      <w:rPr>
        <w:rFonts w:ascii="Courier New" w:hAnsi="Courier New" w:hint="default"/>
      </w:rPr>
    </w:lvl>
    <w:lvl w:ilvl="2" w:tplc="AF8CFA2A">
      <w:start w:val="1"/>
      <w:numFmt w:val="bullet"/>
      <w:lvlText w:val=""/>
      <w:lvlJc w:val="left"/>
      <w:pPr>
        <w:ind w:left="2160" w:hanging="360"/>
      </w:pPr>
      <w:rPr>
        <w:rFonts w:ascii="Wingdings" w:hAnsi="Wingdings" w:hint="default"/>
      </w:rPr>
    </w:lvl>
    <w:lvl w:ilvl="3" w:tplc="DD56BCBE">
      <w:start w:val="1"/>
      <w:numFmt w:val="bullet"/>
      <w:lvlText w:val=""/>
      <w:lvlJc w:val="left"/>
      <w:pPr>
        <w:ind w:left="2880" w:hanging="360"/>
      </w:pPr>
      <w:rPr>
        <w:rFonts w:ascii="Symbol" w:hAnsi="Symbol" w:hint="default"/>
      </w:rPr>
    </w:lvl>
    <w:lvl w:ilvl="4" w:tplc="7036364A">
      <w:start w:val="1"/>
      <w:numFmt w:val="bullet"/>
      <w:lvlText w:val="o"/>
      <w:lvlJc w:val="left"/>
      <w:pPr>
        <w:ind w:left="3600" w:hanging="360"/>
      </w:pPr>
      <w:rPr>
        <w:rFonts w:ascii="Courier New" w:hAnsi="Courier New" w:hint="default"/>
      </w:rPr>
    </w:lvl>
    <w:lvl w:ilvl="5" w:tplc="18E46768">
      <w:start w:val="1"/>
      <w:numFmt w:val="bullet"/>
      <w:lvlText w:val=""/>
      <w:lvlJc w:val="left"/>
      <w:pPr>
        <w:ind w:left="4320" w:hanging="360"/>
      </w:pPr>
      <w:rPr>
        <w:rFonts w:ascii="Wingdings" w:hAnsi="Wingdings" w:hint="default"/>
      </w:rPr>
    </w:lvl>
    <w:lvl w:ilvl="6" w:tplc="A23410BE">
      <w:start w:val="1"/>
      <w:numFmt w:val="bullet"/>
      <w:lvlText w:val=""/>
      <w:lvlJc w:val="left"/>
      <w:pPr>
        <w:ind w:left="5040" w:hanging="360"/>
      </w:pPr>
      <w:rPr>
        <w:rFonts w:ascii="Symbol" w:hAnsi="Symbol" w:hint="default"/>
      </w:rPr>
    </w:lvl>
    <w:lvl w:ilvl="7" w:tplc="B1720C34">
      <w:start w:val="1"/>
      <w:numFmt w:val="bullet"/>
      <w:lvlText w:val="o"/>
      <w:lvlJc w:val="left"/>
      <w:pPr>
        <w:ind w:left="5760" w:hanging="360"/>
      </w:pPr>
      <w:rPr>
        <w:rFonts w:ascii="Courier New" w:hAnsi="Courier New" w:hint="default"/>
      </w:rPr>
    </w:lvl>
    <w:lvl w:ilvl="8" w:tplc="A014B0A8">
      <w:start w:val="1"/>
      <w:numFmt w:val="bullet"/>
      <w:lvlText w:val=""/>
      <w:lvlJc w:val="left"/>
      <w:pPr>
        <w:ind w:left="6480" w:hanging="360"/>
      </w:pPr>
      <w:rPr>
        <w:rFonts w:ascii="Wingdings" w:hAnsi="Wingdings" w:hint="default"/>
      </w:rPr>
    </w:lvl>
  </w:abstractNum>
  <w:abstractNum w:abstractNumId="333" w15:restartNumberingAfterBreak="0">
    <w:nsid w:val="47A14956"/>
    <w:multiLevelType w:val="hybridMultilevel"/>
    <w:tmpl w:val="FFFFFFFF"/>
    <w:lvl w:ilvl="0" w:tplc="09B849C0">
      <w:start w:val="1"/>
      <w:numFmt w:val="bullet"/>
      <w:lvlText w:val="·"/>
      <w:lvlJc w:val="left"/>
      <w:pPr>
        <w:ind w:left="720" w:hanging="360"/>
      </w:pPr>
      <w:rPr>
        <w:rFonts w:ascii="Symbol" w:hAnsi="Symbol" w:hint="default"/>
      </w:rPr>
    </w:lvl>
    <w:lvl w:ilvl="1" w:tplc="C33A0AEE">
      <w:start w:val="1"/>
      <w:numFmt w:val="bullet"/>
      <w:lvlText w:val="o"/>
      <w:lvlJc w:val="left"/>
      <w:pPr>
        <w:ind w:left="1440" w:hanging="360"/>
      </w:pPr>
      <w:rPr>
        <w:rFonts w:ascii="Courier New" w:hAnsi="Courier New" w:hint="default"/>
      </w:rPr>
    </w:lvl>
    <w:lvl w:ilvl="2" w:tplc="9BDE2AC4">
      <w:start w:val="1"/>
      <w:numFmt w:val="bullet"/>
      <w:lvlText w:val=""/>
      <w:lvlJc w:val="left"/>
      <w:pPr>
        <w:ind w:left="2160" w:hanging="360"/>
      </w:pPr>
      <w:rPr>
        <w:rFonts w:ascii="Wingdings" w:hAnsi="Wingdings" w:hint="default"/>
      </w:rPr>
    </w:lvl>
    <w:lvl w:ilvl="3" w:tplc="E53A9F8E">
      <w:start w:val="1"/>
      <w:numFmt w:val="bullet"/>
      <w:lvlText w:val=""/>
      <w:lvlJc w:val="left"/>
      <w:pPr>
        <w:ind w:left="2880" w:hanging="360"/>
      </w:pPr>
      <w:rPr>
        <w:rFonts w:ascii="Symbol" w:hAnsi="Symbol" w:hint="default"/>
      </w:rPr>
    </w:lvl>
    <w:lvl w:ilvl="4" w:tplc="8168F656">
      <w:start w:val="1"/>
      <w:numFmt w:val="bullet"/>
      <w:lvlText w:val="o"/>
      <w:lvlJc w:val="left"/>
      <w:pPr>
        <w:ind w:left="3600" w:hanging="360"/>
      </w:pPr>
      <w:rPr>
        <w:rFonts w:ascii="Courier New" w:hAnsi="Courier New" w:hint="default"/>
      </w:rPr>
    </w:lvl>
    <w:lvl w:ilvl="5" w:tplc="D556CF2C">
      <w:start w:val="1"/>
      <w:numFmt w:val="bullet"/>
      <w:lvlText w:val=""/>
      <w:lvlJc w:val="left"/>
      <w:pPr>
        <w:ind w:left="4320" w:hanging="360"/>
      </w:pPr>
      <w:rPr>
        <w:rFonts w:ascii="Wingdings" w:hAnsi="Wingdings" w:hint="default"/>
      </w:rPr>
    </w:lvl>
    <w:lvl w:ilvl="6" w:tplc="748EE75A">
      <w:start w:val="1"/>
      <w:numFmt w:val="bullet"/>
      <w:lvlText w:val=""/>
      <w:lvlJc w:val="left"/>
      <w:pPr>
        <w:ind w:left="5040" w:hanging="360"/>
      </w:pPr>
      <w:rPr>
        <w:rFonts w:ascii="Symbol" w:hAnsi="Symbol" w:hint="default"/>
      </w:rPr>
    </w:lvl>
    <w:lvl w:ilvl="7" w:tplc="FA9CCE64">
      <w:start w:val="1"/>
      <w:numFmt w:val="bullet"/>
      <w:lvlText w:val="o"/>
      <w:lvlJc w:val="left"/>
      <w:pPr>
        <w:ind w:left="5760" w:hanging="360"/>
      </w:pPr>
      <w:rPr>
        <w:rFonts w:ascii="Courier New" w:hAnsi="Courier New" w:hint="default"/>
      </w:rPr>
    </w:lvl>
    <w:lvl w:ilvl="8" w:tplc="855459A2">
      <w:start w:val="1"/>
      <w:numFmt w:val="bullet"/>
      <w:lvlText w:val=""/>
      <w:lvlJc w:val="left"/>
      <w:pPr>
        <w:ind w:left="6480" w:hanging="360"/>
      </w:pPr>
      <w:rPr>
        <w:rFonts w:ascii="Wingdings" w:hAnsi="Wingdings" w:hint="default"/>
      </w:rPr>
    </w:lvl>
  </w:abstractNum>
  <w:abstractNum w:abstractNumId="334" w15:restartNumberingAfterBreak="0">
    <w:nsid w:val="48192494"/>
    <w:multiLevelType w:val="multilevel"/>
    <w:tmpl w:val="F17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8855A4B"/>
    <w:multiLevelType w:val="hybridMultilevel"/>
    <w:tmpl w:val="67CEE87E"/>
    <w:lvl w:ilvl="0" w:tplc="EF3A4542">
      <w:start w:val="1"/>
      <w:numFmt w:val="bullet"/>
      <w:lvlText w:val=""/>
      <w:lvlJc w:val="left"/>
      <w:pPr>
        <w:ind w:left="720" w:hanging="360"/>
      </w:pPr>
      <w:rPr>
        <w:rFonts w:ascii="Symbol" w:hAnsi="Symbol" w:hint="default"/>
      </w:rPr>
    </w:lvl>
    <w:lvl w:ilvl="1" w:tplc="519AEEC8" w:tentative="1">
      <w:start w:val="1"/>
      <w:numFmt w:val="bullet"/>
      <w:lvlText w:val="o"/>
      <w:lvlJc w:val="left"/>
      <w:pPr>
        <w:ind w:left="1440" w:hanging="360"/>
      </w:pPr>
      <w:rPr>
        <w:rFonts w:ascii="Courier New" w:hAnsi="Courier New" w:hint="default"/>
      </w:rPr>
    </w:lvl>
    <w:lvl w:ilvl="2" w:tplc="160055D6" w:tentative="1">
      <w:start w:val="1"/>
      <w:numFmt w:val="bullet"/>
      <w:lvlText w:val=""/>
      <w:lvlJc w:val="left"/>
      <w:pPr>
        <w:ind w:left="2160" w:hanging="360"/>
      </w:pPr>
      <w:rPr>
        <w:rFonts w:ascii="Wingdings" w:hAnsi="Wingdings" w:hint="default"/>
      </w:rPr>
    </w:lvl>
    <w:lvl w:ilvl="3" w:tplc="8CBC7950" w:tentative="1">
      <w:start w:val="1"/>
      <w:numFmt w:val="bullet"/>
      <w:lvlText w:val=""/>
      <w:lvlJc w:val="left"/>
      <w:pPr>
        <w:ind w:left="2880" w:hanging="360"/>
      </w:pPr>
      <w:rPr>
        <w:rFonts w:ascii="Symbol" w:hAnsi="Symbol" w:hint="default"/>
      </w:rPr>
    </w:lvl>
    <w:lvl w:ilvl="4" w:tplc="55260BAA" w:tentative="1">
      <w:start w:val="1"/>
      <w:numFmt w:val="bullet"/>
      <w:lvlText w:val="o"/>
      <w:lvlJc w:val="left"/>
      <w:pPr>
        <w:ind w:left="3600" w:hanging="360"/>
      </w:pPr>
      <w:rPr>
        <w:rFonts w:ascii="Courier New" w:hAnsi="Courier New" w:hint="default"/>
      </w:rPr>
    </w:lvl>
    <w:lvl w:ilvl="5" w:tplc="D1C4CAFE" w:tentative="1">
      <w:start w:val="1"/>
      <w:numFmt w:val="bullet"/>
      <w:lvlText w:val=""/>
      <w:lvlJc w:val="left"/>
      <w:pPr>
        <w:ind w:left="4320" w:hanging="360"/>
      </w:pPr>
      <w:rPr>
        <w:rFonts w:ascii="Wingdings" w:hAnsi="Wingdings" w:hint="default"/>
      </w:rPr>
    </w:lvl>
    <w:lvl w:ilvl="6" w:tplc="238C1C40" w:tentative="1">
      <w:start w:val="1"/>
      <w:numFmt w:val="bullet"/>
      <w:lvlText w:val=""/>
      <w:lvlJc w:val="left"/>
      <w:pPr>
        <w:ind w:left="5040" w:hanging="360"/>
      </w:pPr>
      <w:rPr>
        <w:rFonts w:ascii="Symbol" w:hAnsi="Symbol" w:hint="default"/>
      </w:rPr>
    </w:lvl>
    <w:lvl w:ilvl="7" w:tplc="2132F4C2" w:tentative="1">
      <w:start w:val="1"/>
      <w:numFmt w:val="bullet"/>
      <w:lvlText w:val="o"/>
      <w:lvlJc w:val="left"/>
      <w:pPr>
        <w:ind w:left="5760" w:hanging="360"/>
      </w:pPr>
      <w:rPr>
        <w:rFonts w:ascii="Courier New" w:hAnsi="Courier New" w:hint="default"/>
      </w:rPr>
    </w:lvl>
    <w:lvl w:ilvl="8" w:tplc="57783316" w:tentative="1">
      <w:start w:val="1"/>
      <w:numFmt w:val="bullet"/>
      <w:lvlText w:val=""/>
      <w:lvlJc w:val="left"/>
      <w:pPr>
        <w:ind w:left="6480" w:hanging="360"/>
      </w:pPr>
      <w:rPr>
        <w:rFonts w:ascii="Wingdings" w:hAnsi="Wingdings" w:hint="default"/>
      </w:rPr>
    </w:lvl>
  </w:abstractNum>
  <w:abstractNum w:abstractNumId="336" w15:restartNumberingAfterBreak="0">
    <w:nsid w:val="48873485"/>
    <w:multiLevelType w:val="hybridMultilevel"/>
    <w:tmpl w:val="AEBA94E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7" w15:restartNumberingAfterBreak="0">
    <w:nsid w:val="48911E3B"/>
    <w:multiLevelType w:val="hybridMultilevel"/>
    <w:tmpl w:val="D44AA264"/>
    <w:lvl w:ilvl="0" w:tplc="01045C8E">
      <w:start w:val="1"/>
      <w:numFmt w:val="bullet"/>
      <w:lvlText w:val=""/>
      <w:lvlJc w:val="left"/>
      <w:pPr>
        <w:ind w:left="720" w:hanging="360"/>
      </w:pPr>
      <w:rPr>
        <w:rFonts w:ascii="Symbol" w:hAnsi="Symbol" w:hint="default"/>
      </w:rPr>
    </w:lvl>
    <w:lvl w:ilvl="1" w:tplc="4C001612" w:tentative="1">
      <w:start w:val="1"/>
      <w:numFmt w:val="bullet"/>
      <w:lvlText w:val="o"/>
      <w:lvlJc w:val="left"/>
      <w:pPr>
        <w:ind w:left="1440" w:hanging="360"/>
      </w:pPr>
      <w:rPr>
        <w:rFonts w:ascii="Courier New" w:hAnsi="Courier New" w:hint="default"/>
      </w:rPr>
    </w:lvl>
    <w:lvl w:ilvl="2" w:tplc="26366F08" w:tentative="1">
      <w:start w:val="1"/>
      <w:numFmt w:val="bullet"/>
      <w:lvlText w:val=""/>
      <w:lvlJc w:val="left"/>
      <w:pPr>
        <w:ind w:left="2160" w:hanging="360"/>
      </w:pPr>
      <w:rPr>
        <w:rFonts w:ascii="Wingdings" w:hAnsi="Wingdings" w:hint="default"/>
      </w:rPr>
    </w:lvl>
    <w:lvl w:ilvl="3" w:tplc="F5B6F8F8" w:tentative="1">
      <w:start w:val="1"/>
      <w:numFmt w:val="bullet"/>
      <w:lvlText w:val=""/>
      <w:lvlJc w:val="left"/>
      <w:pPr>
        <w:ind w:left="2880" w:hanging="360"/>
      </w:pPr>
      <w:rPr>
        <w:rFonts w:ascii="Symbol" w:hAnsi="Symbol" w:hint="default"/>
      </w:rPr>
    </w:lvl>
    <w:lvl w:ilvl="4" w:tplc="DD106798" w:tentative="1">
      <w:start w:val="1"/>
      <w:numFmt w:val="bullet"/>
      <w:lvlText w:val="o"/>
      <w:lvlJc w:val="left"/>
      <w:pPr>
        <w:ind w:left="3600" w:hanging="360"/>
      </w:pPr>
      <w:rPr>
        <w:rFonts w:ascii="Courier New" w:hAnsi="Courier New" w:hint="default"/>
      </w:rPr>
    </w:lvl>
    <w:lvl w:ilvl="5" w:tplc="CFB84D86" w:tentative="1">
      <w:start w:val="1"/>
      <w:numFmt w:val="bullet"/>
      <w:lvlText w:val=""/>
      <w:lvlJc w:val="left"/>
      <w:pPr>
        <w:ind w:left="4320" w:hanging="360"/>
      </w:pPr>
      <w:rPr>
        <w:rFonts w:ascii="Wingdings" w:hAnsi="Wingdings" w:hint="default"/>
      </w:rPr>
    </w:lvl>
    <w:lvl w:ilvl="6" w:tplc="A21CA3E8" w:tentative="1">
      <w:start w:val="1"/>
      <w:numFmt w:val="bullet"/>
      <w:lvlText w:val=""/>
      <w:lvlJc w:val="left"/>
      <w:pPr>
        <w:ind w:left="5040" w:hanging="360"/>
      </w:pPr>
      <w:rPr>
        <w:rFonts w:ascii="Symbol" w:hAnsi="Symbol" w:hint="default"/>
      </w:rPr>
    </w:lvl>
    <w:lvl w:ilvl="7" w:tplc="A460AA98" w:tentative="1">
      <w:start w:val="1"/>
      <w:numFmt w:val="bullet"/>
      <w:lvlText w:val="o"/>
      <w:lvlJc w:val="left"/>
      <w:pPr>
        <w:ind w:left="5760" w:hanging="360"/>
      </w:pPr>
      <w:rPr>
        <w:rFonts w:ascii="Courier New" w:hAnsi="Courier New" w:hint="default"/>
      </w:rPr>
    </w:lvl>
    <w:lvl w:ilvl="8" w:tplc="27CC4846" w:tentative="1">
      <w:start w:val="1"/>
      <w:numFmt w:val="bullet"/>
      <w:lvlText w:val=""/>
      <w:lvlJc w:val="left"/>
      <w:pPr>
        <w:ind w:left="6480" w:hanging="360"/>
      </w:pPr>
      <w:rPr>
        <w:rFonts w:ascii="Wingdings" w:hAnsi="Wingdings" w:hint="default"/>
      </w:rPr>
    </w:lvl>
  </w:abstractNum>
  <w:abstractNum w:abstractNumId="338" w15:restartNumberingAfterBreak="0">
    <w:nsid w:val="4893833B"/>
    <w:multiLevelType w:val="hybridMultilevel"/>
    <w:tmpl w:val="FFFFFFFF"/>
    <w:lvl w:ilvl="0" w:tplc="BA7A5778">
      <w:start w:val="1"/>
      <w:numFmt w:val="bullet"/>
      <w:lvlText w:val=""/>
      <w:lvlJc w:val="left"/>
      <w:pPr>
        <w:ind w:left="1080" w:hanging="360"/>
      </w:pPr>
      <w:rPr>
        <w:rFonts w:ascii="Symbol" w:hAnsi="Symbol" w:hint="default"/>
      </w:rPr>
    </w:lvl>
    <w:lvl w:ilvl="1" w:tplc="06589CDC">
      <w:start w:val="1"/>
      <w:numFmt w:val="bullet"/>
      <w:lvlText w:val="o"/>
      <w:lvlJc w:val="left"/>
      <w:pPr>
        <w:ind w:left="1800" w:hanging="360"/>
      </w:pPr>
      <w:rPr>
        <w:rFonts w:ascii="Courier New" w:hAnsi="Courier New" w:hint="default"/>
      </w:rPr>
    </w:lvl>
    <w:lvl w:ilvl="2" w:tplc="20A60560">
      <w:start w:val="1"/>
      <w:numFmt w:val="bullet"/>
      <w:lvlText w:val=""/>
      <w:lvlJc w:val="left"/>
      <w:pPr>
        <w:ind w:left="2520" w:hanging="360"/>
      </w:pPr>
      <w:rPr>
        <w:rFonts w:ascii="Wingdings" w:hAnsi="Wingdings" w:hint="default"/>
      </w:rPr>
    </w:lvl>
    <w:lvl w:ilvl="3" w:tplc="81448542">
      <w:start w:val="1"/>
      <w:numFmt w:val="bullet"/>
      <w:lvlText w:val=""/>
      <w:lvlJc w:val="left"/>
      <w:pPr>
        <w:ind w:left="3240" w:hanging="360"/>
      </w:pPr>
      <w:rPr>
        <w:rFonts w:ascii="Symbol" w:hAnsi="Symbol" w:hint="default"/>
      </w:rPr>
    </w:lvl>
    <w:lvl w:ilvl="4" w:tplc="C70223D2">
      <w:start w:val="1"/>
      <w:numFmt w:val="bullet"/>
      <w:lvlText w:val="o"/>
      <w:lvlJc w:val="left"/>
      <w:pPr>
        <w:ind w:left="3960" w:hanging="360"/>
      </w:pPr>
      <w:rPr>
        <w:rFonts w:ascii="Courier New" w:hAnsi="Courier New" w:hint="default"/>
      </w:rPr>
    </w:lvl>
    <w:lvl w:ilvl="5" w:tplc="8D022A62">
      <w:start w:val="1"/>
      <w:numFmt w:val="bullet"/>
      <w:lvlText w:val=""/>
      <w:lvlJc w:val="left"/>
      <w:pPr>
        <w:ind w:left="4680" w:hanging="360"/>
      </w:pPr>
      <w:rPr>
        <w:rFonts w:ascii="Wingdings" w:hAnsi="Wingdings" w:hint="default"/>
      </w:rPr>
    </w:lvl>
    <w:lvl w:ilvl="6" w:tplc="72C68E56">
      <w:start w:val="1"/>
      <w:numFmt w:val="bullet"/>
      <w:lvlText w:val=""/>
      <w:lvlJc w:val="left"/>
      <w:pPr>
        <w:ind w:left="5400" w:hanging="360"/>
      </w:pPr>
      <w:rPr>
        <w:rFonts w:ascii="Symbol" w:hAnsi="Symbol" w:hint="default"/>
      </w:rPr>
    </w:lvl>
    <w:lvl w:ilvl="7" w:tplc="08200412">
      <w:start w:val="1"/>
      <w:numFmt w:val="bullet"/>
      <w:lvlText w:val="o"/>
      <w:lvlJc w:val="left"/>
      <w:pPr>
        <w:ind w:left="6120" w:hanging="360"/>
      </w:pPr>
      <w:rPr>
        <w:rFonts w:ascii="Courier New" w:hAnsi="Courier New" w:hint="default"/>
      </w:rPr>
    </w:lvl>
    <w:lvl w:ilvl="8" w:tplc="9124B1B4">
      <w:start w:val="1"/>
      <w:numFmt w:val="bullet"/>
      <w:lvlText w:val=""/>
      <w:lvlJc w:val="left"/>
      <w:pPr>
        <w:ind w:left="6840" w:hanging="360"/>
      </w:pPr>
      <w:rPr>
        <w:rFonts w:ascii="Wingdings" w:hAnsi="Wingdings" w:hint="default"/>
      </w:rPr>
    </w:lvl>
  </w:abstractNum>
  <w:abstractNum w:abstractNumId="339" w15:restartNumberingAfterBreak="0">
    <w:nsid w:val="48DBB5E3"/>
    <w:multiLevelType w:val="hybridMultilevel"/>
    <w:tmpl w:val="FFFFFFFF"/>
    <w:lvl w:ilvl="0" w:tplc="9698E2D0">
      <w:start w:val="1"/>
      <w:numFmt w:val="bullet"/>
      <w:lvlText w:val=""/>
      <w:lvlJc w:val="left"/>
      <w:pPr>
        <w:ind w:left="720" w:hanging="360"/>
      </w:pPr>
      <w:rPr>
        <w:rFonts w:ascii="Symbol" w:hAnsi="Symbol" w:hint="default"/>
      </w:rPr>
    </w:lvl>
    <w:lvl w:ilvl="1" w:tplc="FE1AD7F6">
      <w:start w:val="1"/>
      <w:numFmt w:val="bullet"/>
      <w:lvlText w:val="o"/>
      <w:lvlJc w:val="left"/>
      <w:pPr>
        <w:ind w:left="1440" w:hanging="360"/>
      </w:pPr>
      <w:rPr>
        <w:rFonts w:ascii="Courier New" w:hAnsi="Courier New" w:hint="default"/>
      </w:rPr>
    </w:lvl>
    <w:lvl w:ilvl="2" w:tplc="79C4C478">
      <w:start w:val="1"/>
      <w:numFmt w:val="bullet"/>
      <w:lvlText w:val=""/>
      <w:lvlJc w:val="left"/>
      <w:pPr>
        <w:ind w:left="2160" w:hanging="360"/>
      </w:pPr>
      <w:rPr>
        <w:rFonts w:ascii="Wingdings" w:hAnsi="Wingdings" w:hint="default"/>
      </w:rPr>
    </w:lvl>
    <w:lvl w:ilvl="3" w:tplc="D200C47A">
      <w:start w:val="1"/>
      <w:numFmt w:val="bullet"/>
      <w:lvlText w:val=""/>
      <w:lvlJc w:val="left"/>
      <w:pPr>
        <w:ind w:left="2880" w:hanging="360"/>
      </w:pPr>
      <w:rPr>
        <w:rFonts w:ascii="Symbol" w:hAnsi="Symbol" w:hint="default"/>
      </w:rPr>
    </w:lvl>
    <w:lvl w:ilvl="4" w:tplc="FD5676B0">
      <w:start w:val="1"/>
      <w:numFmt w:val="bullet"/>
      <w:lvlText w:val="o"/>
      <w:lvlJc w:val="left"/>
      <w:pPr>
        <w:ind w:left="3600" w:hanging="360"/>
      </w:pPr>
      <w:rPr>
        <w:rFonts w:ascii="Courier New" w:hAnsi="Courier New" w:hint="default"/>
      </w:rPr>
    </w:lvl>
    <w:lvl w:ilvl="5" w:tplc="9E5836A4">
      <w:start w:val="1"/>
      <w:numFmt w:val="bullet"/>
      <w:lvlText w:val=""/>
      <w:lvlJc w:val="left"/>
      <w:pPr>
        <w:ind w:left="4320" w:hanging="360"/>
      </w:pPr>
      <w:rPr>
        <w:rFonts w:ascii="Wingdings" w:hAnsi="Wingdings" w:hint="default"/>
      </w:rPr>
    </w:lvl>
    <w:lvl w:ilvl="6" w:tplc="9D70790C">
      <w:start w:val="1"/>
      <w:numFmt w:val="bullet"/>
      <w:lvlText w:val=""/>
      <w:lvlJc w:val="left"/>
      <w:pPr>
        <w:ind w:left="5040" w:hanging="360"/>
      </w:pPr>
      <w:rPr>
        <w:rFonts w:ascii="Symbol" w:hAnsi="Symbol" w:hint="default"/>
      </w:rPr>
    </w:lvl>
    <w:lvl w:ilvl="7" w:tplc="43821D46">
      <w:start w:val="1"/>
      <w:numFmt w:val="bullet"/>
      <w:lvlText w:val="o"/>
      <w:lvlJc w:val="left"/>
      <w:pPr>
        <w:ind w:left="5760" w:hanging="360"/>
      </w:pPr>
      <w:rPr>
        <w:rFonts w:ascii="Courier New" w:hAnsi="Courier New" w:hint="default"/>
      </w:rPr>
    </w:lvl>
    <w:lvl w:ilvl="8" w:tplc="66F8C5A0">
      <w:start w:val="1"/>
      <w:numFmt w:val="bullet"/>
      <w:lvlText w:val=""/>
      <w:lvlJc w:val="left"/>
      <w:pPr>
        <w:ind w:left="6480" w:hanging="360"/>
      </w:pPr>
      <w:rPr>
        <w:rFonts w:ascii="Wingdings" w:hAnsi="Wingdings" w:hint="default"/>
      </w:rPr>
    </w:lvl>
  </w:abstractNum>
  <w:abstractNum w:abstractNumId="340" w15:restartNumberingAfterBreak="0">
    <w:nsid w:val="49201D2B"/>
    <w:multiLevelType w:val="hybridMultilevel"/>
    <w:tmpl w:val="4BA21DD4"/>
    <w:lvl w:ilvl="0" w:tplc="E7FE7DFC">
      <w:start w:val="1"/>
      <w:numFmt w:val="bullet"/>
      <w:lvlText w:val=""/>
      <w:lvlJc w:val="left"/>
      <w:pPr>
        <w:ind w:left="720" w:hanging="360"/>
      </w:pPr>
      <w:rPr>
        <w:rFonts w:ascii="Symbol" w:hAnsi="Symbol" w:hint="default"/>
      </w:rPr>
    </w:lvl>
    <w:lvl w:ilvl="1" w:tplc="8F74FDEE" w:tentative="1">
      <w:start w:val="1"/>
      <w:numFmt w:val="bullet"/>
      <w:lvlText w:val="o"/>
      <w:lvlJc w:val="left"/>
      <w:pPr>
        <w:ind w:left="1440" w:hanging="360"/>
      </w:pPr>
      <w:rPr>
        <w:rFonts w:ascii="Courier New" w:hAnsi="Courier New" w:hint="default"/>
      </w:rPr>
    </w:lvl>
    <w:lvl w:ilvl="2" w:tplc="5F220BE8" w:tentative="1">
      <w:start w:val="1"/>
      <w:numFmt w:val="bullet"/>
      <w:lvlText w:val=""/>
      <w:lvlJc w:val="left"/>
      <w:pPr>
        <w:ind w:left="2160" w:hanging="360"/>
      </w:pPr>
      <w:rPr>
        <w:rFonts w:ascii="Wingdings" w:hAnsi="Wingdings" w:hint="default"/>
      </w:rPr>
    </w:lvl>
    <w:lvl w:ilvl="3" w:tplc="159A2ACE" w:tentative="1">
      <w:start w:val="1"/>
      <w:numFmt w:val="bullet"/>
      <w:lvlText w:val=""/>
      <w:lvlJc w:val="left"/>
      <w:pPr>
        <w:ind w:left="2880" w:hanging="360"/>
      </w:pPr>
      <w:rPr>
        <w:rFonts w:ascii="Symbol" w:hAnsi="Symbol" w:hint="default"/>
      </w:rPr>
    </w:lvl>
    <w:lvl w:ilvl="4" w:tplc="6AC45622" w:tentative="1">
      <w:start w:val="1"/>
      <w:numFmt w:val="bullet"/>
      <w:lvlText w:val="o"/>
      <w:lvlJc w:val="left"/>
      <w:pPr>
        <w:ind w:left="3600" w:hanging="360"/>
      </w:pPr>
      <w:rPr>
        <w:rFonts w:ascii="Courier New" w:hAnsi="Courier New" w:hint="default"/>
      </w:rPr>
    </w:lvl>
    <w:lvl w:ilvl="5" w:tplc="C5DC14B8" w:tentative="1">
      <w:start w:val="1"/>
      <w:numFmt w:val="bullet"/>
      <w:lvlText w:val=""/>
      <w:lvlJc w:val="left"/>
      <w:pPr>
        <w:ind w:left="4320" w:hanging="360"/>
      </w:pPr>
      <w:rPr>
        <w:rFonts w:ascii="Wingdings" w:hAnsi="Wingdings" w:hint="default"/>
      </w:rPr>
    </w:lvl>
    <w:lvl w:ilvl="6" w:tplc="558E87DE" w:tentative="1">
      <w:start w:val="1"/>
      <w:numFmt w:val="bullet"/>
      <w:lvlText w:val=""/>
      <w:lvlJc w:val="left"/>
      <w:pPr>
        <w:ind w:left="5040" w:hanging="360"/>
      </w:pPr>
      <w:rPr>
        <w:rFonts w:ascii="Symbol" w:hAnsi="Symbol" w:hint="default"/>
      </w:rPr>
    </w:lvl>
    <w:lvl w:ilvl="7" w:tplc="CBA28DFE" w:tentative="1">
      <w:start w:val="1"/>
      <w:numFmt w:val="bullet"/>
      <w:lvlText w:val="o"/>
      <w:lvlJc w:val="left"/>
      <w:pPr>
        <w:ind w:left="5760" w:hanging="360"/>
      </w:pPr>
      <w:rPr>
        <w:rFonts w:ascii="Courier New" w:hAnsi="Courier New" w:hint="default"/>
      </w:rPr>
    </w:lvl>
    <w:lvl w:ilvl="8" w:tplc="D4D80CAA" w:tentative="1">
      <w:start w:val="1"/>
      <w:numFmt w:val="bullet"/>
      <w:lvlText w:val=""/>
      <w:lvlJc w:val="left"/>
      <w:pPr>
        <w:ind w:left="6480" w:hanging="360"/>
      </w:pPr>
      <w:rPr>
        <w:rFonts w:ascii="Wingdings" w:hAnsi="Wingdings" w:hint="default"/>
      </w:rPr>
    </w:lvl>
  </w:abstractNum>
  <w:abstractNum w:abstractNumId="341" w15:restartNumberingAfterBreak="0">
    <w:nsid w:val="49712E62"/>
    <w:multiLevelType w:val="hybridMultilevel"/>
    <w:tmpl w:val="4B02D98E"/>
    <w:lvl w:ilvl="0" w:tplc="293C27D8">
      <w:start w:val="1"/>
      <w:numFmt w:val="bullet"/>
      <w:lvlText w:val=""/>
      <w:lvlJc w:val="left"/>
      <w:pPr>
        <w:ind w:left="720" w:hanging="360"/>
      </w:pPr>
      <w:rPr>
        <w:rFonts w:ascii="Symbol" w:hAnsi="Symbol" w:hint="default"/>
      </w:rPr>
    </w:lvl>
    <w:lvl w:ilvl="1" w:tplc="D33C54FC" w:tentative="1">
      <w:start w:val="1"/>
      <w:numFmt w:val="bullet"/>
      <w:lvlText w:val="o"/>
      <w:lvlJc w:val="left"/>
      <w:pPr>
        <w:ind w:left="1440" w:hanging="360"/>
      </w:pPr>
      <w:rPr>
        <w:rFonts w:ascii="Courier New" w:hAnsi="Courier New" w:hint="default"/>
      </w:rPr>
    </w:lvl>
    <w:lvl w:ilvl="2" w:tplc="9D32F8AA" w:tentative="1">
      <w:start w:val="1"/>
      <w:numFmt w:val="bullet"/>
      <w:lvlText w:val=""/>
      <w:lvlJc w:val="left"/>
      <w:pPr>
        <w:ind w:left="2160" w:hanging="360"/>
      </w:pPr>
      <w:rPr>
        <w:rFonts w:ascii="Wingdings" w:hAnsi="Wingdings" w:hint="default"/>
      </w:rPr>
    </w:lvl>
    <w:lvl w:ilvl="3" w:tplc="2E1650B4" w:tentative="1">
      <w:start w:val="1"/>
      <w:numFmt w:val="bullet"/>
      <w:lvlText w:val=""/>
      <w:lvlJc w:val="left"/>
      <w:pPr>
        <w:ind w:left="2880" w:hanging="360"/>
      </w:pPr>
      <w:rPr>
        <w:rFonts w:ascii="Symbol" w:hAnsi="Symbol" w:hint="default"/>
      </w:rPr>
    </w:lvl>
    <w:lvl w:ilvl="4" w:tplc="7BC0EDBE" w:tentative="1">
      <w:start w:val="1"/>
      <w:numFmt w:val="bullet"/>
      <w:lvlText w:val="o"/>
      <w:lvlJc w:val="left"/>
      <w:pPr>
        <w:ind w:left="3600" w:hanging="360"/>
      </w:pPr>
      <w:rPr>
        <w:rFonts w:ascii="Courier New" w:hAnsi="Courier New" w:hint="default"/>
      </w:rPr>
    </w:lvl>
    <w:lvl w:ilvl="5" w:tplc="45427D9E" w:tentative="1">
      <w:start w:val="1"/>
      <w:numFmt w:val="bullet"/>
      <w:lvlText w:val=""/>
      <w:lvlJc w:val="left"/>
      <w:pPr>
        <w:ind w:left="4320" w:hanging="360"/>
      </w:pPr>
      <w:rPr>
        <w:rFonts w:ascii="Wingdings" w:hAnsi="Wingdings" w:hint="default"/>
      </w:rPr>
    </w:lvl>
    <w:lvl w:ilvl="6" w:tplc="B524B1F8" w:tentative="1">
      <w:start w:val="1"/>
      <w:numFmt w:val="bullet"/>
      <w:lvlText w:val=""/>
      <w:lvlJc w:val="left"/>
      <w:pPr>
        <w:ind w:left="5040" w:hanging="360"/>
      </w:pPr>
      <w:rPr>
        <w:rFonts w:ascii="Symbol" w:hAnsi="Symbol" w:hint="default"/>
      </w:rPr>
    </w:lvl>
    <w:lvl w:ilvl="7" w:tplc="12F830AE" w:tentative="1">
      <w:start w:val="1"/>
      <w:numFmt w:val="bullet"/>
      <w:lvlText w:val="o"/>
      <w:lvlJc w:val="left"/>
      <w:pPr>
        <w:ind w:left="5760" w:hanging="360"/>
      </w:pPr>
      <w:rPr>
        <w:rFonts w:ascii="Courier New" w:hAnsi="Courier New" w:hint="default"/>
      </w:rPr>
    </w:lvl>
    <w:lvl w:ilvl="8" w:tplc="FB604A28" w:tentative="1">
      <w:start w:val="1"/>
      <w:numFmt w:val="bullet"/>
      <w:lvlText w:val=""/>
      <w:lvlJc w:val="left"/>
      <w:pPr>
        <w:ind w:left="6480" w:hanging="360"/>
      </w:pPr>
      <w:rPr>
        <w:rFonts w:ascii="Wingdings" w:hAnsi="Wingdings" w:hint="default"/>
      </w:rPr>
    </w:lvl>
  </w:abstractNum>
  <w:abstractNum w:abstractNumId="342" w15:restartNumberingAfterBreak="0">
    <w:nsid w:val="49B149EF"/>
    <w:multiLevelType w:val="hybridMultilevel"/>
    <w:tmpl w:val="46A0CBA6"/>
    <w:lvl w:ilvl="0" w:tplc="AE7A31D2">
      <w:start w:val="1"/>
      <w:numFmt w:val="bullet"/>
      <w:lvlText w:val=""/>
      <w:lvlJc w:val="left"/>
      <w:pPr>
        <w:ind w:left="720" w:hanging="360"/>
      </w:pPr>
      <w:rPr>
        <w:rFonts w:ascii="Symbol" w:hAnsi="Symbol" w:hint="default"/>
      </w:rPr>
    </w:lvl>
    <w:lvl w:ilvl="1" w:tplc="933284DC" w:tentative="1">
      <w:start w:val="1"/>
      <w:numFmt w:val="bullet"/>
      <w:lvlText w:val="o"/>
      <w:lvlJc w:val="left"/>
      <w:pPr>
        <w:ind w:left="1440" w:hanging="360"/>
      </w:pPr>
      <w:rPr>
        <w:rFonts w:ascii="Courier New" w:hAnsi="Courier New" w:hint="default"/>
      </w:rPr>
    </w:lvl>
    <w:lvl w:ilvl="2" w:tplc="6F188792" w:tentative="1">
      <w:start w:val="1"/>
      <w:numFmt w:val="bullet"/>
      <w:lvlText w:val=""/>
      <w:lvlJc w:val="left"/>
      <w:pPr>
        <w:ind w:left="2160" w:hanging="360"/>
      </w:pPr>
      <w:rPr>
        <w:rFonts w:ascii="Wingdings" w:hAnsi="Wingdings" w:hint="default"/>
      </w:rPr>
    </w:lvl>
    <w:lvl w:ilvl="3" w:tplc="6F3E34B2" w:tentative="1">
      <w:start w:val="1"/>
      <w:numFmt w:val="bullet"/>
      <w:lvlText w:val=""/>
      <w:lvlJc w:val="left"/>
      <w:pPr>
        <w:ind w:left="2880" w:hanging="360"/>
      </w:pPr>
      <w:rPr>
        <w:rFonts w:ascii="Symbol" w:hAnsi="Symbol" w:hint="default"/>
      </w:rPr>
    </w:lvl>
    <w:lvl w:ilvl="4" w:tplc="102268E8" w:tentative="1">
      <w:start w:val="1"/>
      <w:numFmt w:val="bullet"/>
      <w:lvlText w:val="o"/>
      <w:lvlJc w:val="left"/>
      <w:pPr>
        <w:ind w:left="3600" w:hanging="360"/>
      </w:pPr>
      <w:rPr>
        <w:rFonts w:ascii="Courier New" w:hAnsi="Courier New" w:hint="default"/>
      </w:rPr>
    </w:lvl>
    <w:lvl w:ilvl="5" w:tplc="2194AC80" w:tentative="1">
      <w:start w:val="1"/>
      <w:numFmt w:val="bullet"/>
      <w:lvlText w:val=""/>
      <w:lvlJc w:val="left"/>
      <w:pPr>
        <w:ind w:left="4320" w:hanging="360"/>
      </w:pPr>
      <w:rPr>
        <w:rFonts w:ascii="Wingdings" w:hAnsi="Wingdings" w:hint="default"/>
      </w:rPr>
    </w:lvl>
    <w:lvl w:ilvl="6" w:tplc="563EED18" w:tentative="1">
      <w:start w:val="1"/>
      <w:numFmt w:val="bullet"/>
      <w:lvlText w:val=""/>
      <w:lvlJc w:val="left"/>
      <w:pPr>
        <w:ind w:left="5040" w:hanging="360"/>
      </w:pPr>
      <w:rPr>
        <w:rFonts w:ascii="Symbol" w:hAnsi="Symbol" w:hint="default"/>
      </w:rPr>
    </w:lvl>
    <w:lvl w:ilvl="7" w:tplc="406CFD84" w:tentative="1">
      <w:start w:val="1"/>
      <w:numFmt w:val="bullet"/>
      <w:lvlText w:val="o"/>
      <w:lvlJc w:val="left"/>
      <w:pPr>
        <w:ind w:left="5760" w:hanging="360"/>
      </w:pPr>
      <w:rPr>
        <w:rFonts w:ascii="Courier New" w:hAnsi="Courier New" w:hint="default"/>
      </w:rPr>
    </w:lvl>
    <w:lvl w:ilvl="8" w:tplc="59744B9E" w:tentative="1">
      <w:start w:val="1"/>
      <w:numFmt w:val="bullet"/>
      <w:lvlText w:val=""/>
      <w:lvlJc w:val="left"/>
      <w:pPr>
        <w:ind w:left="6480" w:hanging="360"/>
      </w:pPr>
      <w:rPr>
        <w:rFonts w:ascii="Wingdings" w:hAnsi="Wingdings" w:hint="default"/>
      </w:rPr>
    </w:lvl>
  </w:abstractNum>
  <w:abstractNum w:abstractNumId="343" w15:restartNumberingAfterBreak="0">
    <w:nsid w:val="49E4629F"/>
    <w:multiLevelType w:val="multilevel"/>
    <w:tmpl w:val="7EBA4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4A6F551D"/>
    <w:multiLevelType w:val="hybridMultilevel"/>
    <w:tmpl w:val="02560A28"/>
    <w:lvl w:ilvl="0" w:tplc="829E4C50">
      <w:start w:val="1"/>
      <w:numFmt w:val="bullet"/>
      <w:lvlText w:val=""/>
      <w:lvlJc w:val="left"/>
      <w:pPr>
        <w:ind w:left="720" w:hanging="360"/>
      </w:pPr>
      <w:rPr>
        <w:rFonts w:ascii="Symbol" w:hAnsi="Symbol" w:hint="default"/>
      </w:rPr>
    </w:lvl>
    <w:lvl w:ilvl="1" w:tplc="325C6090">
      <w:start w:val="1"/>
      <w:numFmt w:val="bullet"/>
      <w:lvlText w:val="o"/>
      <w:lvlJc w:val="left"/>
      <w:pPr>
        <w:ind w:left="1440" w:hanging="360"/>
      </w:pPr>
      <w:rPr>
        <w:rFonts w:ascii="Courier New" w:hAnsi="Courier New" w:hint="default"/>
      </w:rPr>
    </w:lvl>
    <w:lvl w:ilvl="2" w:tplc="D39EEE24" w:tentative="1">
      <w:start w:val="1"/>
      <w:numFmt w:val="bullet"/>
      <w:lvlText w:val=""/>
      <w:lvlJc w:val="left"/>
      <w:pPr>
        <w:ind w:left="2160" w:hanging="360"/>
      </w:pPr>
      <w:rPr>
        <w:rFonts w:ascii="Wingdings" w:hAnsi="Wingdings" w:hint="default"/>
      </w:rPr>
    </w:lvl>
    <w:lvl w:ilvl="3" w:tplc="7884DE78" w:tentative="1">
      <w:start w:val="1"/>
      <w:numFmt w:val="bullet"/>
      <w:lvlText w:val=""/>
      <w:lvlJc w:val="left"/>
      <w:pPr>
        <w:ind w:left="2880" w:hanging="360"/>
      </w:pPr>
      <w:rPr>
        <w:rFonts w:ascii="Symbol" w:hAnsi="Symbol" w:hint="default"/>
      </w:rPr>
    </w:lvl>
    <w:lvl w:ilvl="4" w:tplc="1A64C030" w:tentative="1">
      <w:start w:val="1"/>
      <w:numFmt w:val="bullet"/>
      <w:lvlText w:val="o"/>
      <w:lvlJc w:val="left"/>
      <w:pPr>
        <w:ind w:left="3600" w:hanging="360"/>
      </w:pPr>
      <w:rPr>
        <w:rFonts w:ascii="Courier New" w:hAnsi="Courier New" w:hint="default"/>
      </w:rPr>
    </w:lvl>
    <w:lvl w:ilvl="5" w:tplc="8AA67F22" w:tentative="1">
      <w:start w:val="1"/>
      <w:numFmt w:val="bullet"/>
      <w:lvlText w:val=""/>
      <w:lvlJc w:val="left"/>
      <w:pPr>
        <w:ind w:left="4320" w:hanging="360"/>
      </w:pPr>
      <w:rPr>
        <w:rFonts w:ascii="Wingdings" w:hAnsi="Wingdings" w:hint="default"/>
      </w:rPr>
    </w:lvl>
    <w:lvl w:ilvl="6" w:tplc="A4DE49DE" w:tentative="1">
      <w:start w:val="1"/>
      <w:numFmt w:val="bullet"/>
      <w:lvlText w:val=""/>
      <w:lvlJc w:val="left"/>
      <w:pPr>
        <w:ind w:left="5040" w:hanging="360"/>
      </w:pPr>
      <w:rPr>
        <w:rFonts w:ascii="Symbol" w:hAnsi="Symbol" w:hint="default"/>
      </w:rPr>
    </w:lvl>
    <w:lvl w:ilvl="7" w:tplc="4378D418" w:tentative="1">
      <w:start w:val="1"/>
      <w:numFmt w:val="bullet"/>
      <w:lvlText w:val="o"/>
      <w:lvlJc w:val="left"/>
      <w:pPr>
        <w:ind w:left="5760" w:hanging="360"/>
      </w:pPr>
      <w:rPr>
        <w:rFonts w:ascii="Courier New" w:hAnsi="Courier New" w:hint="default"/>
      </w:rPr>
    </w:lvl>
    <w:lvl w:ilvl="8" w:tplc="284E89FA" w:tentative="1">
      <w:start w:val="1"/>
      <w:numFmt w:val="bullet"/>
      <w:lvlText w:val=""/>
      <w:lvlJc w:val="left"/>
      <w:pPr>
        <w:ind w:left="6480" w:hanging="360"/>
      </w:pPr>
      <w:rPr>
        <w:rFonts w:ascii="Wingdings" w:hAnsi="Wingdings" w:hint="default"/>
      </w:rPr>
    </w:lvl>
  </w:abstractNum>
  <w:abstractNum w:abstractNumId="345" w15:restartNumberingAfterBreak="0">
    <w:nsid w:val="4A804D9D"/>
    <w:multiLevelType w:val="hybridMultilevel"/>
    <w:tmpl w:val="9C948352"/>
    <w:lvl w:ilvl="0" w:tplc="F14A62CE">
      <w:start w:val="1"/>
      <w:numFmt w:val="bullet"/>
      <w:lvlText w:val=""/>
      <w:lvlJc w:val="left"/>
      <w:pPr>
        <w:ind w:left="720" w:hanging="360"/>
      </w:pPr>
      <w:rPr>
        <w:rFonts w:ascii="Symbol" w:hAnsi="Symbol" w:hint="default"/>
      </w:rPr>
    </w:lvl>
    <w:lvl w:ilvl="1" w:tplc="E1843748" w:tentative="1">
      <w:start w:val="1"/>
      <w:numFmt w:val="bullet"/>
      <w:lvlText w:val="o"/>
      <w:lvlJc w:val="left"/>
      <w:pPr>
        <w:ind w:left="1440" w:hanging="360"/>
      </w:pPr>
      <w:rPr>
        <w:rFonts w:ascii="Courier New" w:hAnsi="Courier New" w:hint="default"/>
      </w:rPr>
    </w:lvl>
    <w:lvl w:ilvl="2" w:tplc="32D8066A" w:tentative="1">
      <w:start w:val="1"/>
      <w:numFmt w:val="bullet"/>
      <w:lvlText w:val=""/>
      <w:lvlJc w:val="left"/>
      <w:pPr>
        <w:ind w:left="2160" w:hanging="360"/>
      </w:pPr>
      <w:rPr>
        <w:rFonts w:ascii="Wingdings" w:hAnsi="Wingdings" w:hint="default"/>
      </w:rPr>
    </w:lvl>
    <w:lvl w:ilvl="3" w:tplc="49AEEE34" w:tentative="1">
      <w:start w:val="1"/>
      <w:numFmt w:val="bullet"/>
      <w:lvlText w:val=""/>
      <w:lvlJc w:val="left"/>
      <w:pPr>
        <w:ind w:left="2880" w:hanging="360"/>
      </w:pPr>
      <w:rPr>
        <w:rFonts w:ascii="Symbol" w:hAnsi="Symbol" w:hint="default"/>
      </w:rPr>
    </w:lvl>
    <w:lvl w:ilvl="4" w:tplc="0352DC8C" w:tentative="1">
      <w:start w:val="1"/>
      <w:numFmt w:val="bullet"/>
      <w:lvlText w:val="o"/>
      <w:lvlJc w:val="left"/>
      <w:pPr>
        <w:ind w:left="3600" w:hanging="360"/>
      </w:pPr>
      <w:rPr>
        <w:rFonts w:ascii="Courier New" w:hAnsi="Courier New" w:hint="default"/>
      </w:rPr>
    </w:lvl>
    <w:lvl w:ilvl="5" w:tplc="84089BE8" w:tentative="1">
      <w:start w:val="1"/>
      <w:numFmt w:val="bullet"/>
      <w:lvlText w:val=""/>
      <w:lvlJc w:val="left"/>
      <w:pPr>
        <w:ind w:left="4320" w:hanging="360"/>
      </w:pPr>
      <w:rPr>
        <w:rFonts w:ascii="Wingdings" w:hAnsi="Wingdings" w:hint="default"/>
      </w:rPr>
    </w:lvl>
    <w:lvl w:ilvl="6" w:tplc="AE02213A" w:tentative="1">
      <w:start w:val="1"/>
      <w:numFmt w:val="bullet"/>
      <w:lvlText w:val=""/>
      <w:lvlJc w:val="left"/>
      <w:pPr>
        <w:ind w:left="5040" w:hanging="360"/>
      </w:pPr>
      <w:rPr>
        <w:rFonts w:ascii="Symbol" w:hAnsi="Symbol" w:hint="default"/>
      </w:rPr>
    </w:lvl>
    <w:lvl w:ilvl="7" w:tplc="363AD512" w:tentative="1">
      <w:start w:val="1"/>
      <w:numFmt w:val="bullet"/>
      <w:lvlText w:val="o"/>
      <w:lvlJc w:val="left"/>
      <w:pPr>
        <w:ind w:left="5760" w:hanging="360"/>
      </w:pPr>
      <w:rPr>
        <w:rFonts w:ascii="Courier New" w:hAnsi="Courier New" w:hint="default"/>
      </w:rPr>
    </w:lvl>
    <w:lvl w:ilvl="8" w:tplc="9B14F97C" w:tentative="1">
      <w:start w:val="1"/>
      <w:numFmt w:val="bullet"/>
      <w:lvlText w:val=""/>
      <w:lvlJc w:val="left"/>
      <w:pPr>
        <w:ind w:left="6480" w:hanging="360"/>
      </w:pPr>
      <w:rPr>
        <w:rFonts w:ascii="Wingdings" w:hAnsi="Wingdings" w:hint="default"/>
      </w:rPr>
    </w:lvl>
  </w:abstractNum>
  <w:abstractNum w:abstractNumId="346" w15:restartNumberingAfterBreak="0">
    <w:nsid w:val="4A99089E"/>
    <w:multiLevelType w:val="multilevel"/>
    <w:tmpl w:val="872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AEF78AB"/>
    <w:multiLevelType w:val="hybridMultilevel"/>
    <w:tmpl w:val="F0BACEAA"/>
    <w:lvl w:ilvl="0" w:tplc="9A24F274">
      <w:start w:val="1"/>
      <w:numFmt w:val="bullet"/>
      <w:lvlText w:val=""/>
      <w:lvlJc w:val="left"/>
      <w:pPr>
        <w:ind w:left="720" w:hanging="360"/>
      </w:pPr>
      <w:rPr>
        <w:rFonts w:ascii="Symbol" w:hAnsi="Symbol" w:hint="default"/>
      </w:rPr>
    </w:lvl>
    <w:lvl w:ilvl="1" w:tplc="003A302A" w:tentative="1">
      <w:start w:val="1"/>
      <w:numFmt w:val="bullet"/>
      <w:lvlText w:val="o"/>
      <w:lvlJc w:val="left"/>
      <w:pPr>
        <w:ind w:left="1440" w:hanging="360"/>
      </w:pPr>
      <w:rPr>
        <w:rFonts w:ascii="Courier New" w:hAnsi="Courier New" w:hint="default"/>
      </w:rPr>
    </w:lvl>
    <w:lvl w:ilvl="2" w:tplc="13867486" w:tentative="1">
      <w:start w:val="1"/>
      <w:numFmt w:val="bullet"/>
      <w:lvlText w:val=""/>
      <w:lvlJc w:val="left"/>
      <w:pPr>
        <w:ind w:left="2160" w:hanging="360"/>
      </w:pPr>
      <w:rPr>
        <w:rFonts w:ascii="Wingdings" w:hAnsi="Wingdings" w:hint="default"/>
      </w:rPr>
    </w:lvl>
    <w:lvl w:ilvl="3" w:tplc="BCA49936" w:tentative="1">
      <w:start w:val="1"/>
      <w:numFmt w:val="bullet"/>
      <w:lvlText w:val=""/>
      <w:lvlJc w:val="left"/>
      <w:pPr>
        <w:ind w:left="2880" w:hanging="360"/>
      </w:pPr>
      <w:rPr>
        <w:rFonts w:ascii="Symbol" w:hAnsi="Symbol" w:hint="default"/>
      </w:rPr>
    </w:lvl>
    <w:lvl w:ilvl="4" w:tplc="28FCC89C" w:tentative="1">
      <w:start w:val="1"/>
      <w:numFmt w:val="bullet"/>
      <w:lvlText w:val="o"/>
      <w:lvlJc w:val="left"/>
      <w:pPr>
        <w:ind w:left="3600" w:hanging="360"/>
      </w:pPr>
      <w:rPr>
        <w:rFonts w:ascii="Courier New" w:hAnsi="Courier New" w:hint="default"/>
      </w:rPr>
    </w:lvl>
    <w:lvl w:ilvl="5" w:tplc="7B5A8ACE" w:tentative="1">
      <w:start w:val="1"/>
      <w:numFmt w:val="bullet"/>
      <w:lvlText w:val=""/>
      <w:lvlJc w:val="left"/>
      <w:pPr>
        <w:ind w:left="4320" w:hanging="360"/>
      </w:pPr>
      <w:rPr>
        <w:rFonts w:ascii="Wingdings" w:hAnsi="Wingdings" w:hint="default"/>
      </w:rPr>
    </w:lvl>
    <w:lvl w:ilvl="6" w:tplc="A5FC6692" w:tentative="1">
      <w:start w:val="1"/>
      <w:numFmt w:val="bullet"/>
      <w:lvlText w:val=""/>
      <w:lvlJc w:val="left"/>
      <w:pPr>
        <w:ind w:left="5040" w:hanging="360"/>
      </w:pPr>
      <w:rPr>
        <w:rFonts w:ascii="Symbol" w:hAnsi="Symbol" w:hint="default"/>
      </w:rPr>
    </w:lvl>
    <w:lvl w:ilvl="7" w:tplc="4408778C" w:tentative="1">
      <w:start w:val="1"/>
      <w:numFmt w:val="bullet"/>
      <w:lvlText w:val="o"/>
      <w:lvlJc w:val="left"/>
      <w:pPr>
        <w:ind w:left="5760" w:hanging="360"/>
      </w:pPr>
      <w:rPr>
        <w:rFonts w:ascii="Courier New" w:hAnsi="Courier New" w:hint="default"/>
      </w:rPr>
    </w:lvl>
    <w:lvl w:ilvl="8" w:tplc="9B30EF5C" w:tentative="1">
      <w:start w:val="1"/>
      <w:numFmt w:val="bullet"/>
      <w:lvlText w:val=""/>
      <w:lvlJc w:val="left"/>
      <w:pPr>
        <w:ind w:left="6480" w:hanging="360"/>
      </w:pPr>
      <w:rPr>
        <w:rFonts w:ascii="Wingdings" w:hAnsi="Wingdings" w:hint="default"/>
      </w:rPr>
    </w:lvl>
  </w:abstractNum>
  <w:abstractNum w:abstractNumId="348" w15:restartNumberingAfterBreak="0">
    <w:nsid w:val="4AF265CC"/>
    <w:multiLevelType w:val="hybridMultilevel"/>
    <w:tmpl w:val="D0F6F0AE"/>
    <w:lvl w:ilvl="0" w:tplc="0C090001">
      <w:start w:val="1"/>
      <w:numFmt w:val="bullet"/>
      <w:lvlText w:val=""/>
      <w:lvlJc w:val="left"/>
      <w:pPr>
        <w:ind w:left="360" w:hanging="360"/>
      </w:pPr>
      <w:rPr>
        <w:rFonts w:ascii="Symbol" w:hAnsi="Symbol" w:hint="default"/>
      </w:rPr>
    </w:lvl>
    <w:lvl w:ilvl="1" w:tplc="E1F410E6">
      <w:numFmt w:val="bullet"/>
      <w:lvlText w:val="-"/>
      <w:lvlJc w:val="left"/>
      <w:pPr>
        <w:ind w:left="1779" w:hanging="360"/>
      </w:pPr>
      <w:rPr>
        <w:rFonts w:ascii="Calibri" w:hAnsi="Calibri" w:hint="default"/>
      </w:rPr>
    </w:lvl>
    <w:lvl w:ilvl="2" w:tplc="B0DC9520">
      <w:start w:val="1"/>
      <w:numFmt w:val="bullet"/>
      <w:lvlText w:val=""/>
      <w:lvlJc w:val="left"/>
      <w:pPr>
        <w:ind w:left="3087" w:hanging="360"/>
      </w:pPr>
      <w:rPr>
        <w:rFonts w:ascii="Wingdings" w:hAnsi="Wingdings" w:hint="default"/>
      </w:rPr>
    </w:lvl>
    <w:lvl w:ilvl="3" w:tplc="83689D84" w:tentative="1">
      <w:start w:val="1"/>
      <w:numFmt w:val="bullet"/>
      <w:lvlText w:val=""/>
      <w:lvlJc w:val="left"/>
      <w:pPr>
        <w:ind w:left="3807" w:hanging="360"/>
      </w:pPr>
      <w:rPr>
        <w:rFonts w:ascii="Symbol" w:hAnsi="Symbol" w:hint="default"/>
      </w:rPr>
    </w:lvl>
    <w:lvl w:ilvl="4" w:tplc="6EC2698C" w:tentative="1">
      <w:start w:val="1"/>
      <w:numFmt w:val="bullet"/>
      <w:lvlText w:val="o"/>
      <w:lvlJc w:val="left"/>
      <w:pPr>
        <w:ind w:left="4527" w:hanging="360"/>
      </w:pPr>
      <w:rPr>
        <w:rFonts w:ascii="Courier New" w:hAnsi="Courier New" w:hint="default"/>
      </w:rPr>
    </w:lvl>
    <w:lvl w:ilvl="5" w:tplc="92229E42" w:tentative="1">
      <w:start w:val="1"/>
      <w:numFmt w:val="bullet"/>
      <w:lvlText w:val=""/>
      <w:lvlJc w:val="left"/>
      <w:pPr>
        <w:ind w:left="5247" w:hanging="360"/>
      </w:pPr>
      <w:rPr>
        <w:rFonts w:ascii="Wingdings" w:hAnsi="Wingdings" w:hint="default"/>
      </w:rPr>
    </w:lvl>
    <w:lvl w:ilvl="6" w:tplc="DA56A692" w:tentative="1">
      <w:start w:val="1"/>
      <w:numFmt w:val="bullet"/>
      <w:lvlText w:val=""/>
      <w:lvlJc w:val="left"/>
      <w:pPr>
        <w:ind w:left="5967" w:hanging="360"/>
      </w:pPr>
      <w:rPr>
        <w:rFonts w:ascii="Symbol" w:hAnsi="Symbol" w:hint="default"/>
      </w:rPr>
    </w:lvl>
    <w:lvl w:ilvl="7" w:tplc="E2B26D48" w:tentative="1">
      <w:start w:val="1"/>
      <w:numFmt w:val="bullet"/>
      <w:lvlText w:val="o"/>
      <w:lvlJc w:val="left"/>
      <w:pPr>
        <w:ind w:left="6687" w:hanging="360"/>
      </w:pPr>
      <w:rPr>
        <w:rFonts w:ascii="Courier New" w:hAnsi="Courier New" w:hint="default"/>
      </w:rPr>
    </w:lvl>
    <w:lvl w:ilvl="8" w:tplc="C8201518" w:tentative="1">
      <w:start w:val="1"/>
      <w:numFmt w:val="bullet"/>
      <w:lvlText w:val=""/>
      <w:lvlJc w:val="left"/>
      <w:pPr>
        <w:ind w:left="7407" w:hanging="360"/>
      </w:pPr>
      <w:rPr>
        <w:rFonts w:ascii="Wingdings" w:hAnsi="Wingdings" w:hint="default"/>
      </w:rPr>
    </w:lvl>
  </w:abstractNum>
  <w:abstractNum w:abstractNumId="349" w15:restartNumberingAfterBreak="0">
    <w:nsid w:val="4B4D048A"/>
    <w:multiLevelType w:val="hybridMultilevel"/>
    <w:tmpl w:val="A56A7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0" w15:restartNumberingAfterBreak="0">
    <w:nsid w:val="4B780B7F"/>
    <w:multiLevelType w:val="hybridMultilevel"/>
    <w:tmpl w:val="71CE668E"/>
    <w:lvl w:ilvl="0" w:tplc="B386C528">
      <w:start w:val="1"/>
      <w:numFmt w:val="bullet"/>
      <w:lvlText w:val=""/>
      <w:lvlJc w:val="left"/>
      <w:pPr>
        <w:ind w:left="720" w:hanging="360"/>
      </w:pPr>
      <w:rPr>
        <w:rFonts w:ascii="Symbol" w:hAnsi="Symbol" w:hint="default"/>
      </w:rPr>
    </w:lvl>
    <w:lvl w:ilvl="1" w:tplc="34E6AD5A" w:tentative="1">
      <w:start w:val="1"/>
      <w:numFmt w:val="bullet"/>
      <w:lvlText w:val="o"/>
      <w:lvlJc w:val="left"/>
      <w:pPr>
        <w:ind w:left="1440" w:hanging="360"/>
      </w:pPr>
      <w:rPr>
        <w:rFonts w:ascii="Courier New" w:hAnsi="Courier New" w:hint="default"/>
      </w:rPr>
    </w:lvl>
    <w:lvl w:ilvl="2" w:tplc="C486D98E" w:tentative="1">
      <w:start w:val="1"/>
      <w:numFmt w:val="bullet"/>
      <w:lvlText w:val=""/>
      <w:lvlJc w:val="left"/>
      <w:pPr>
        <w:ind w:left="2160" w:hanging="360"/>
      </w:pPr>
      <w:rPr>
        <w:rFonts w:ascii="Wingdings" w:hAnsi="Wingdings" w:hint="default"/>
      </w:rPr>
    </w:lvl>
    <w:lvl w:ilvl="3" w:tplc="B21A2F2C" w:tentative="1">
      <w:start w:val="1"/>
      <w:numFmt w:val="bullet"/>
      <w:lvlText w:val=""/>
      <w:lvlJc w:val="left"/>
      <w:pPr>
        <w:ind w:left="2880" w:hanging="360"/>
      </w:pPr>
      <w:rPr>
        <w:rFonts w:ascii="Symbol" w:hAnsi="Symbol" w:hint="default"/>
      </w:rPr>
    </w:lvl>
    <w:lvl w:ilvl="4" w:tplc="09D205CA" w:tentative="1">
      <w:start w:val="1"/>
      <w:numFmt w:val="bullet"/>
      <w:lvlText w:val="o"/>
      <w:lvlJc w:val="left"/>
      <w:pPr>
        <w:ind w:left="3600" w:hanging="360"/>
      </w:pPr>
      <w:rPr>
        <w:rFonts w:ascii="Courier New" w:hAnsi="Courier New" w:hint="default"/>
      </w:rPr>
    </w:lvl>
    <w:lvl w:ilvl="5" w:tplc="71A414AA" w:tentative="1">
      <w:start w:val="1"/>
      <w:numFmt w:val="bullet"/>
      <w:lvlText w:val=""/>
      <w:lvlJc w:val="left"/>
      <w:pPr>
        <w:ind w:left="4320" w:hanging="360"/>
      </w:pPr>
      <w:rPr>
        <w:rFonts w:ascii="Wingdings" w:hAnsi="Wingdings" w:hint="default"/>
      </w:rPr>
    </w:lvl>
    <w:lvl w:ilvl="6" w:tplc="2E2491FC" w:tentative="1">
      <w:start w:val="1"/>
      <w:numFmt w:val="bullet"/>
      <w:lvlText w:val=""/>
      <w:lvlJc w:val="left"/>
      <w:pPr>
        <w:ind w:left="5040" w:hanging="360"/>
      </w:pPr>
      <w:rPr>
        <w:rFonts w:ascii="Symbol" w:hAnsi="Symbol" w:hint="default"/>
      </w:rPr>
    </w:lvl>
    <w:lvl w:ilvl="7" w:tplc="F1D294CE" w:tentative="1">
      <w:start w:val="1"/>
      <w:numFmt w:val="bullet"/>
      <w:lvlText w:val="o"/>
      <w:lvlJc w:val="left"/>
      <w:pPr>
        <w:ind w:left="5760" w:hanging="360"/>
      </w:pPr>
      <w:rPr>
        <w:rFonts w:ascii="Courier New" w:hAnsi="Courier New" w:hint="default"/>
      </w:rPr>
    </w:lvl>
    <w:lvl w:ilvl="8" w:tplc="51B8830A" w:tentative="1">
      <w:start w:val="1"/>
      <w:numFmt w:val="bullet"/>
      <w:lvlText w:val=""/>
      <w:lvlJc w:val="left"/>
      <w:pPr>
        <w:ind w:left="6480" w:hanging="360"/>
      </w:pPr>
      <w:rPr>
        <w:rFonts w:ascii="Wingdings" w:hAnsi="Wingdings" w:hint="default"/>
      </w:rPr>
    </w:lvl>
  </w:abstractNum>
  <w:abstractNum w:abstractNumId="351" w15:restartNumberingAfterBreak="0">
    <w:nsid w:val="4B925F3A"/>
    <w:multiLevelType w:val="hybridMultilevel"/>
    <w:tmpl w:val="DC30B63E"/>
    <w:lvl w:ilvl="0" w:tplc="1F346D18">
      <w:start w:val="1"/>
      <w:numFmt w:val="bullet"/>
      <w:lvlText w:val=""/>
      <w:lvlJc w:val="left"/>
      <w:pPr>
        <w:ind w:left="720" w:hanging="360"/>
      </w:pPr>
      <w:rPr>
        <w:rFonts w:ascii="Symbol" w:hAnsi="Symbol" w:hint="default"/>
      </w:rPr>
    </w:lvl>
    <w:lvl w:ilvl="1" w:tplc="A024FF08" w:tentative="1">
      <w:start w:val="1"/>
      <w:numFmt w:val="bullet"/>
      <w:lvlText w:val="o"/>
      <w:lvlJc w:val="left"/>
      <w:pPr>
        <w:ind w:left="1440" w:hanging="360"/>
      </w:pPr>
      <w:rPr>
        <w:rFonts w:ascii="Courier New" w:hAnsi="Courier New" w:hint="default"/>
      </w:rPr>
    </w:lvl>
    <w:lvl w:ilvl="2" w:tplc="59942052" w:tentative="1">
      <w:start w:val="1"/>
      <w:numFmt w:val="bullet"/>
      <w:lvlText w:val=""/>
      <w:lvlJc w:val="left"/>
      <w:pPr>
        <w:ind w:left="2160" w:hanging="360"/>
      </w:pPr>
      <w:rPr>
        <w:rFonts w:ascii="Wingdings" w:hAnsi="Wingdings" w:hint="default"/>
      </w:rPr>
    </w:lvl>
    <w:lvl w:ilvl="3" w:tplc="334EBDB0" w:tentative="1">
      <w:start w:val="1"/>
      <w:numFmt w:val="bullet"/>
      <w:lvlText w:val=""/>
      <w:lvlJc w:val="left"/>
      <w:pPr>
        <w:ind w:left="2880" w:hanging="360"/>
      </w:pPr>
      <w:rPr>
        <w:rFonts w:ascii="Symbol" w:hAnsi="Symbol" w:hint="default"/>
      </w:rPr>
    </w:lvl>
    <w:lvl w:ilvl="4" w:tplc="7F08D8AC" w:tentative="1">
      <w:start w:val="1"/>
      <w:numFmt w:val="bullet"/>
      <w:lvlText w:val="o"/>
      <w:lvlJc w:val="left"/>
      <w:pPr>
        <w:ind w:left="3600" w:hanging="360"/>
      </w:pPr>
      <w:rPr>
        <w:rFonts w:ascii="Courier New" w:hAnsi="Courier New" w:hint="default"/>
      </w:rPr>
    </w:lvl>
    <w:lvl w:ilvl="5" w:tplc="CBB211DC" w:tentative="1">
      <w:start w:val="1"/>
      <w:numFmt w:val="bullet"/>
      <w:lvlText w:val=""/>
      <w:lvlJc w:val="left"/>
      <w:pPr>
        <w:ind w:left="4320" w:hanging="360"/>
      </w:pPr>
      <w:rPr>
        <w:rFonts w:ascii="Wingdings" w:hAnsi="Wingdings" w:hint="default"/>
      </w:rPr>
    </w:lvl>
    <w:lvl w:ilvl="6" w:tplc="9DB0EE3C" w:tentative="1">
      <w:start w:val="1"/>
      <w:numFmt w:val="bullet"/>
      <w:lvlText w:val=""/>
      <w:lvlJc w:val="left"/>
      <w:pPr>
        <w:ind w:left="5040" w:hanging="360"/>
      </w:pPr>
      <w:rPr>
        <w:rFonts w:ascii="Symbol" w:hAnsi="Symbol" w:hint="default"/>
      </w:rPr>
    </w:lvl>
    <w:lvl w:ilvl="7" w:tplc="F98AD852" w:tentative="1">
      <w:start w:val="1"/>
      <w:numFmt w:val="bullet"/>
      <w:lvlText w:val="o"/>
      <w:lvlJc w:val="left"/>
      <w:pPr>
        <w:ind w:left="5760" w:hanging="360"/>
      </w:pPr>
      <w:rPr>
        <w:rFonts w:ascii="Courier New" w:hAnsi="Courier New" w:hint="default"/>
      </w:rPr>
    </w:lvl>
    <w:lvl w:ilvl="8" w:tplc="847CF3A8" w:tentative="1">
      <w:start w:val="1"/>
      <w:numFmt w:val="bullet"/>
      <w:lvlText w:val=""/>
      <w:lvlJc w:val="left"/>
      <w:pPr>
        <w:ind w:left="6480" w:hanging="360"/>
      </w:pPr>
      <w:rPr>
        <w:rFonts w:ascii="Wingdings" w:hAnsi="Wingdings" w:hint="default"/>
      </w:rPr>
    </w:lvl>
  </w:abstractNum>
  <w:abstractNum w:abstractNumId="352" w15:restartNumberingAfterBreak="0">
    <w:nsid w:val="4B9DB7E1"/>
    <w:multiLevelType w:val="hybridMultilevel"/>
    <w:tmpl w:val="FFFFFFFF"/>
    <w:lvl w:ilvl="0" w:tplc="BB60DA3E">
      <w:start w:val="1"/>
      <w:numFmt w:val="bullet"/>
      <w:lvlText w:val=""/>
      <w:lvlJc w:val="left"/>
      <w:pPr>
        <w:ind w:left="720" w:hanging="360"/>
      </w:pPr>
      <w:rPr>
        <w:rFonts w:ascii="Symbol" w:hAnsi="Symbol" w:hint="default"/>
      </w:rPr>
    </w:lvl>
    <w:lvl w:ilvl="1" w:tplc="F5EAD770">
      <w:start w:val="1"/>
      <w:numFmt w:val="bullet"/>
      <w:lvlText w:val="o"/>
      <w:lvlJc w:val="left"/>
      <w:pPr>
        <w:ind w:left="1440" w:hanging="360"/>
      </w:pPr>
      <w:rPr>
        <w:rFonts w:ascii="Courier New" w:hAnsi="Courier New" w:hint="default"/>
      </w:rPr>
    </w:lvl>
    <w:lvl w:ilvl="2" w:tplc="8E20DBB0">
      <w:start w:val="1"/>
      <w:numFmt w:val="bullet"/>
      <w:lvlText w:val=""/>
      <w:lvlJc w:val="left"/>
      <w:pPr>
        <w:ind w:left="2160" w:hanging="360"/>
      </w:pPr>
      <w:rPr>
        <w:rFonts w:ascii="Wingdings" w:hAnsi="Wingdings" w:hint="default"/>
      </w:rPr>
    </w:lvl>
    <w:lvl w:ilvl="3" w:tplc="AE348AEA">
      <w:start w:val="1"/>
      <w:numFmt w:val="bullet"/>
      <w:lvlText w:val=""/>
      <w:lvlJc w:val="left"/>
      <w:pPr>
        <w:ind w:left="2880" w:hanging="360"/>
      </w:pPr>
      <w:rPr>
        <w:rFonts w:ascii="Symbol" w:hAnsi="Symbol" w:hint="default"/>
      </w:rPr>
    </w:lvl>
    <w:lvl w:ilvl="4" w:tplc="B9B63068">
      <w:start w:val="1"/>
      <w:numFmt w:val="bullet"/>
      <w:lvlText w:val="o"/>
      <w:lvlJc w:val="left"/>
      <w:pPr>
        <w:ind w:left="3600" w:hanging="360"/>
      </w:pPr>
      <w:rPr>
        <w:rFonts w:ascii="Courier New" w:hAnsi="Courier New" w:hint="default"/>
      </w:rPr>
    </w:lvl>
    <w:lvl w:ilvl="5" w:tplc="77F2195A">
      <w:start w:val="1"/>
      <w:numFmt w:val="bullet"/>
      <w:lvlText w:val=""/>
      <w:lvlJc w:val="left"/>
      <w:pPr>
        <w:ind w:left="4320" w:hanging="360"/>
      </w:pPr>
      <w:rPr>
        <w:rFonts w:ascii="Wingdings" w:hAnsi="Wingdings" w:hint="default"/>
      </w:rPr>
    </w:lvl>
    <w:lvl w:ilvl="6" w:tplc="038A1318">
      <w:start w:val="1"/>
      <w:numFmt w:val="bullet"/>
      <w:lvlText w:val=""/>
      <w:lvlJc w:val="left"/>
      <w:pPr>
        <w:ind w:left="5040" w:hanging="360"/>
      </w:pPr>
      <w:rPr>
        <w:rFonts w:ascii="Symbol" w:hAnsi="Symbol" w:hint="default"/>
      </w:rPr>
    </w:lvl>
    <w:lvl w:ilvl="7" w:tplc="03AE80A8">
      <w:start w:val="1"/>
      <w:numFmt w:val="bullet"/>
      <w:lvlText w:val="o"/>
      <w:lvlJc w:val="left"/>
      <w:pPr>
        <w:ind w:left="5760" w:hanging="360"/>
      </w:pPr>
      <w:rPr>
        <w:rFonts w:ascii="Courier New" w:hAnsi="Courier New" w:hint="default"/>
      </w:rPr>
    </w:lvl>
    <w:lvl w:ilvl="8" w:tplc="360A983A">
      <w:start w:val="1"/>
      <w:numFmt w:val="bullet"/>
      <w:lvlText w:val=""/>
      <w:lvlJc w:val="left"/>
      <w:pPr>
        <w:ind w:left="6480" w:hanging="360"/>
      </w:pPr>
      <w:rPr>
        <w:rFonts w:ascii="Wingdings" w:hAnsi="Wingdings" w:hint="default"/>
      </w:rPr>
    </w:lvl>
  </w:abstractNum>
  <w:abstractNum w:abstractNumId="353" w15:restartNumberingAfterBreak="0">
    <w:nsid w:val="4BA00E7D"/>
    <w:multiLevelType w:val="hybridMultilevel"/>
    <w:tmpl w:val="00589B3A"/>
    <w:lvl w:ilvl="0" w:tplc="47809116">
      <w:start w:val="1"/>
      <w:numFmt w:val="bullet"/>
      <w:lvlText w:val=""/>
      <w:lvlJc w:val="left"/>
      <w:pPr>
        <w:ind w:left="720" w:hanging="360"/>
      </w:pPr>
      <w:rPr>
        <w:rFonts w:ascii="Symbol" w:hAnsi="Symbol" w:hint="default"/>
      </w:rPr>
    </w:lvl>
    <w:lvl w:ilvl="1" w:tplc="6B668754" w:tentative="1">
      <w:start w:val="1"/>
      <w:numFmt w:val="bullet"/>
      <w:lvlText w:val="o"/>
      <w:lvlJc w:val="left"/>
      <w:pPr>
        <w:ind w:left="1440" w:hanging="360"/>
      </w:pPr>
      <w:rPr>
        <w:rFonts w:ascii="Courier New" w:hAnsi="Courier New" w:hint="default"/>
      </w:rPr>
    </w:lvl>
    <w:lvl w:ilvl="2" w:tplc="05F02A70" w:tentative="1">
      <w:start w:val="1"/>
      <w:numFmt w:val="bullet"/>
      <w:lvlText w:val=""/>
      <w:lvlJc w:val="left"/>
      <w:pPr>
        <w:ind w:left="2160" w:hanging="360"/>
      </w:pPr>
      <w:rPr>
        <w:rFonts w:ascii="Wingdings" w:hAnsi="Wingdings" w:hint="default"/>
      </w:rPr>
    </w:lvl>
    <w:lvl w:ilvl="3" w:tplc="7F92A1C8" w:tentative="1">
      <w:start w:val="1"/>
      <w:numFmt w:val="bullet"/>
      <w:lvlText w:val=""/>
      <w:lvlJc w:val="left"/>
      <w:pPr>
        <w:ind w:left="2880" w:hanging="360"/>
      </w:pPr>
      <w:rPr>
        <w:rFonts w:ascii="Symbol" w:hAnsi="Symbol" w:hint="default"/>
      </w:rPr>
    </w:lvl>
    <w:lvl w:ilvl="4" w:tplc="DD745960" w:tentative="1">
      <w:start w:val="1"/>
      <w:numFmt w:val="bullet"/>
      <w:lvlText w:val="o"/>
      <w:lvlJc w:val="left"/>
      <w:pPr>
        <w:ind w:left="3600" w:hanging="360"/>
      </w:pPr>
      <w:rPr>
        <w:rFonts w:ascii="Courier New" w:hAnsi="Courier New" w:hint="default"/>
      </w:rPr>
    </w:lvl>
    <w:lvl w:ilvl="5" w:tplc="42AE8C60" w:tentative="1">
      <w:start w:val="1"/>
      <w:numFmt w:val="bullet"/>
      <w:lvlText w:val=""/>
      <w:lvlJc w:val="left"/>
      <w:pPr>
        <w:ind w:left="4320" w:hanging="360"/>
      </w:pPr>
      <w:rPr>
        <w:rFonts w:ascii="Wingdings" w:hAnsi="Wingdings" w:hint="default"/>
      </w:rPr>
    </w:lvl>
    <w:lvl w:ilvl="6" w:tplc="ACD29B6A" w:tentative="1">
      <w:start w:val="1"/>
      <w:numFmt w:val="bullet"/>
      <w:lvlText w:val=""/>
      <w:lvlJc w:val="left"/>
      <w:pPr>
        <w:ind w:left="5040" w:hanging="360"/>
      </w:pPr>
      <w:rPr>
        <w:rFonts w:ascii="Symbol" w:hAnsi="Symbol" w:hint="default"/>
      </w:rPr>
    </w:lvl>
    <w:lvl w:ilvl="7" w:tplc="D3726C52" w:tentative="1">
      <w:start w:val="1"/>
      <w:numFmt w:val="bullet"/>
      <w:lvlText w:val="o"/>
      <w:lvlJc w:val="left"/>
      <w:pPr>
        <w:ind w:left="5760" w:hanging="360"/>
      </w:pPr>
      <w:rPr>
        <w:rFonts w:ascii="Courier New" w:hAnsi="Courier New" w:hint="default"/>
      </w:rPr>
    </w:lvl>
    <w:lvl w:ilvl="8" w:tplc="DF229A7C" w:tentative="1">
      <w:start w:val="1"/>
      <w:numFmt w:val="bullet"/>
      <w:lvlText w:val=""/>
      <w:lvlJc w:val="left"/>
      <w:pPr>
        <w:ind w:left="6480" w:hanging="360"/>
      </w:pPr>
      <w:rPr>
        <w:rFonts w:ascii="Wingdings" w:hAnsi="Wingdings" w:hint="default"/>
      </w:rPr>
    </w:lvl>
  </w:abstractNum>
  <w:abstractNum w:abstractNumId="354" w15:restartNumberingAfterBreak="0">
    <w:nsid w:val="4BB970D4"/>
    <w:multiLevelType w:val="hybridMultilevel"/>
    <w:tmpl w:val="2C9CCB0E"/>
    <w:lvl w:ilvl="0" w:tplc="52E0AE0A">
      <w:start w:val="1"/>
      <w:numFmt w:val="bullet"/>
      <w:lvlText w:val=""/>
      <w:lvlJc w:val="left"/>
      <w:pPr>
        <w:ind w:left="720" w:hanging="360"/>
      </w:pPr>
      <w:rPr>
        <w:rFonts w:ascii="Symbol" w:hAnsi="Symbol" w:hint="default"/>
      </w:rPr>
    </w:lvl>
    <w:lvl w:ilvl="1" w:tplc="604CBCF8">
      <w:start w:val="1"/>
      <w:numFmt w:val="bullet"/>
      <w:lvlText w:val="o"/>
      <w:lvlJc w:val="left"/>
      <w:pPr>
        <w:ind w:left="1440" w:hanging="360"/>
      </w:pPr>
      <w:rPr>
        <w:rFonts w:ascii="Courier New" w:hAnsi="Courier New" w:hint="default"/>
      </w:rPr>
    </w:lvl>
    <w:lvl w:ilvl="2" w:tplc="1F3E0178">
      <w:start w:val="1"/>
      <w:numFmt w:val="bullet"/>
      <w:lvlText w:val=""/>
      <w:lvlJc w:val="left"/>
      <w:pPr>
        <w:ind w:left="2160" w:hanging="360"/>
      </w:pPr>
      <w:rPr>
        <w:rFonts w:ascii="Wingdings" w:hAnsi="Wingdings" w:hint="default"/>
      </w:rPr>
    </w:lvl>
    <w:lvl w:ilvl="3" w:tplc="9F283BCC">
      <w:start w:val="1"/>
      <w:numFmt w:val="bullet"/>
      <w:lvlText w:val=""/>
      <w:lvlJc w:val="left"/>
      <w:pPr>
        <w:ind w:left="2880" w:hanging="360"/>
      </w:pPr>
      <w:rPr>
        <w:rFonts w:ascii="Symbol" w:hAnsi="Symbol" w:hint="default"/>
      </w:rPr>
    </w:lvl>
    <w:lvl w:ilvl="4" w:tplc="8FFE7118">
      <w:start w:val="1"/>
      <w:numFmt w:val="bullet"/>
      <w:lvlText w:val="o"/>
      <w:lvlJc w:val="left"/>
      <w:pPr>
        <w:ind w:left="3600" w:hanging="360"/>
      </w:pPr>
      <w:rPr>
        <w:rFonts w:ascii="Courier New" w:hAnsi="Courier New" w:hint="default"/>
      </w:rPr>
    </w:lvl>
    <w:lvl w:ilvl="5" w:tplc="03FE7CDE">
      <w:start w:val="1"/>
      <w:numFmt w:val="bullet"/>
      <w:lvlText w:val=""/>
      <w:lvlJc w:val="left"/>
      <w:pPr>
        <w:ind w:left="4320" w:hanging="360"/>
      </w:pPr>
      <w:rPr>
        <w:rFonts w:ascii="Wingdings" w:hAnsi="Wingdings" w:hint="default"/>
      </w:rPr>
    </w:lvl>
    <w:lvl w:ilvl="6" w:tplc="D080784A">
      <w:start w:val="1"/>
      <w:numFmt w:val="bullet"/>
      <w:lvlText w:val=""/>
      <w:lvlJc w:val="left"/>
      <w:pPr>
        <w:ind w:left="5040" w:hanging="360"/>
      </w:pPr>
      <w:rPr>
        <w:rFonts w:ascii="Symbol" w:hAnsi="Symbol" w:hint="default"/>
      </w:rPr>
    </w:lvl>
    <w:lvl w:ilvl="7" w:tplc="428A1840">
      <w:start w:val="1"/>
      <w:numFmt w:val="bullet"/>
      <w:lvlText w:val="o"/>
      <w:lvlJc w:val="left"/>
      <w:pPr>
        <w:ind w:left="5760" w:hanging="360"/>
      </w:pPr>
      <w:rPr>
        <w:rFonts w:ascii="Courier New" w:hAnsi="Courier New" w:hint="default"/>
      </w:rPr>
    </w:lvl>
    <w:lvl w:ilvl="8" w:tplc="9996A8A8">
      <w:start w:val="1"/>
      <w:numFmt w:val="bullet"/>
      <w:lvlText w:val=""/>
      <w:lvlJc w:val="left"/>
      <w:pPr>
        <w:ind w:left="6480" w:hanging="360"/>
      </w:pPr>
      <w:rPr>
        <w:rFonts w:ascii="Wingdings" w:hAnsi="Wingdings" w:hint="default"/>
      </w:rPr>
    </w:lvl>
  </w:abstractNum>
  <w:abstractNum w:abstractNumId="355" w15:restartNumberingAfterBreak="0">
    <w:nsid w:val="4C033D1A"/>
    <w:multiLevelType w:val="hybridMultilevel"/>
    <w:tmpl w:val="FFFFFFFF"/>
    <w:lvl w:ilvl="0" w:tplc="CF522F20">
      <w:start w:val="1"/>
      <w:numFmt w:val="bullet"/>
      <w:lvlText w:val="·"/>
      <w:lvlJc w:val="left"/>
      <w:pPr>
        <w:ind w:left="720" w:hanging="360"/>
      </w:pPr>
      <w:rPr>
        <w:rFonts w:ascii="Symbol" w:hAnsi="Symbol" w:hint="default"/>
      </w:rPr>
    </w:lvl>
    <w:lvl w:ilvl="1" w:tplc="68BA42FC">
      <w:start w:val="1"/>
      <w:numFmt w:val="bullet"/>
      <w:lvlText w:val="o"/>
      <w:lvlJc w:val="left"/>
      <w:pPr>
        <w:ind w:left="1440" w:hanging="360"/>
      </w:pPr>
      <w:rPr>
        <w:rFonts w:ascii="Courier New" w:hAnsi="Courier New" w:hint="default"/>
      </w:rPr>
    </w:lvl>
    <w:lvl w:ilvl="2" w:tplc="3B28C400">
      <w:start w:val="1"/>
      <w:numFmt w:val="bullet"/>
      <w:lvlText w:val=""/>
      <w:lvlJc w:val="left"/>
      <w:pPr>
        <w:ind w:left="2160" w:hanging="360"/>
      </w:pPr>
      <w:rPr>
        <w:rFonts w:ascii="Wingdings" w:hAnsi="Wingdings" w:hint="default"/>
      </w:rPr>
    </w:lvl>
    <w:lvl w:ilvl="3" w:tplc="BE74DAF8">
      <w:start w:val="1"/>
      <w:numFmt w:val="bullet"/>
      <w:lvlText w:val=""/>
      <w:lvlJc w:val="left"/>
      <w:pPr>
        <w:ind w:left="2880" w:hanging="360"/>
      </w:pPr>
      <w:rPr>
        <w:rFonts w:ascii="Symbol" w:hAnsi="Symbol" w:hint="default"/>
      </w:rPr>
    </w:lvl>
    <w:lvl w:ilvl="4" w:tplc="12B86124">
      <w:start w:val="1"/>
      <w:numFmt w:val="bullet"/>
      <w:lvlText w:val="o"/>
      <w:lvlJc w:val="left"/>
      <w:pPr>
        <w:ind w:left="3600" w:hanging="360"/>
      </w:pPr>
      <w:rPr>
        <w:rFonts w:ascii="Courier New" w:hAnsi="Courier New" w:hint="default"/>
      </w:rPr>
    </w:lvl>
    <w:lvl w:ilvl="5" w:tplc="0D7CACD2">
      <w:start w:val="1"/>
      <w:numFmt w:val="bullet"/>
      <w:lvlText w:val=""/>
      <w:lvlJc w:val="left"/>
      <w:pPr>
        <w:ind w:left="4320" w:hanging="360"/>
      </w:pPr>
      <w:rPr>
        <w:rFonts w:ascii="Wingdings" w:hAnsi="Wingdings" w:hint="default"/>
      </w:rPr>
    </w:lvl>
    <w:lvl w:ilvl="6" w:tplc="7F4C1690">
      <w:start w:val="1"/>
      <w:numFmt w:val="bullet"/>
      <w:lvlText w:val=""/>
      <w:lvlJc w:val="left"/>
      <w:pPr>
        <w:ind w:left="5040" w:hanging="360"/>
      </w:pPr>
      <w:rPr>
        <w:rFonts w:ascii="Symbol" w:hAnsi="Symbol" w:hint="default"/>
      </w:rPr>
    </w:lvl>
    <w:lvl w:ilvl="7" w:tplc="D00ABA46">
      <w:start w:val="1"/>
      <w:numFmt w:val="bullet"/>
      <w:lvlText w:val="o"/>
      <w:lvlJc w:val="left"/>
      <w:pPr>
        <w:ind w:left="5760" w:hanging="360"/>
      </w:pPr>
      <w:rPr>
        <w:rFonts w:ascii="Courier New" w:hAnsi="Courier New" w:hint="default"/>
      </w:rPr>
    </w:lvl>
    <w:lvl w:ilvl="8" w:tplc="8280F09E">
      <w:start w:val="1"/>
      <w:numFmt w:val="bullet"/>
      <w:lvlText w:val=""/>
      <w:lvlJc w:val="left"/>
      <w:pPr>
        <w:ind w:left="6480" w:hanging="360"/>
      </w:pPr>
      <w:rPr>
        <w:rFonts w:ascii="Wingdings" w:hAnsi="Wingdings" w:hint="default"/>
      </w:rPr>
    </w:lvl>
  </w:abstractNum>
  <w:abstractNum w:abstractNumId="356" w15:restartNumberingAfterBreak="0">
    <w:nsid w:val="4C2E5570"/>
    <w:multiLevelType w:val="hybridMultilevel"/>
    <w:tmpl w:val="CD247142"/>
    <w:lvl w:ilvl="0" w:tplc="7BACFD36">
      <w:start w:val="1"/>
      <w:numFmt w:val="bullet"/>
      <w:lvlText w:val=""/>
      <w:lvlJc w:val="left"/>
      <w:pPr>
        <w:ind w:left="1004" w:hanging="360"/>
      </w:pPr>
      <w:rPr>
        <w:rFonts w:ascii="Symbol" w:hAnsi="Symbol" w:hint="default"/>
      </w:rPr>
    </w:lvl>
    <w:lvl w:ilvl="1" w:tplc="BE823C5C" w:tentative="1">
      <w:start w:val="1"/>
      <w:numFmt w:val="bullet"/>
      <w:lvlText w:val="o"/>
      <w:lvlJc w:val="left"/>
      <w:pPr>
        <w:ind w:left="1724" w:hanging="360"/>
      </w:pPr>
      <w:rPr>
        <w:rFonts w:ascii="Courier New" w:hAnsi="Courier New" w:hint="default"/>
      </w:rPr>
    </w:lvl>
    <w:lvl w:ilvl="2" w:tplc="F93C0F6A" w:tentative="1">
      <w:start w:val="1"/>
      <w:numFmt w:val="bullet"/>
      <w:lvlText w:val=""/>
      <w:lvlJc w:val="left"/>
      <w:pPr>
        <w:ind w:left="2444" w:hanging="360"/>
      </w:pPr>
      <w:rPr>
        <w:rFonts w:ascii="Wingdings" w:hAnsi="Wingdings" w:hint="default"/>
      </w:rPr>
    </w:lvl>
    <w:lvl w:ilvl="3" w:tplc="95D2FF2A" w:tentative="1">
      <w:start w:val="1"/>
      <w:numFmt w:val="bullet"/>
      <w:lvlText w:val=""/>
      <w:lvlJc w:val="left"/>
      <w:pPr>
        <w:ind w:left="3164" w:hanging="360"/>
      </w:pPr>
      <w:rPr>
        <w:rFonts w:ascii="Symbol" w:hAnsi="Symbol" w:hint="default"/>
      </w:rPr>
    </w:lvl>
    <w:lvl w:ilvl="4" w:tplc="B70E01EC" w:tentative="1">
      <w:start w:val="1"/>
      <w:numFmt w:val="bullet"/>
      <w:lvlText w:val="o"/>
      <w:lvlJc w:val="left"/>
      <w:pPr>
        <w:ind w:left="3884" w:hanging="360"/>
      </w:pPr>
      <w:rPr>
        <w:rFonts w:ascii="Courier New" w:hAnsi="Courier New" w:hint="default"/>
      </w:rPr>
    </w:lvl>
    <w:lvl w:ilvl="5" w:tplc="0B54E00A" w:tentative="1">
      <w:start w:val="1"/>
      <w:numFmt w:val="bullet"/>
      <w:lvlText w:val=""/>
      <w:lvlJc w:val="left"/>
      <w:pPr>
        <w:ind w:left="4604" w:hanging="360"/>
      </w:pPr>
      <w:rPr>
        <w:rFonts w:ascii="Wingdings" w:hAnsi="Wingdings" w:hint="default"/>
      </w:rPr>
    </w:lvl>
    <w:lvl w:ilvl="6" w:tplc="834EB274" w:tentative="1">
      <w:start w:val="1"/>
      <w:numFmt w:val="bullet"/>
      <w:lvlText w:val=""/>
      <w:lvlJc w:val="left"/>
      <w:pPr>
        <w:ind w:left="5324" w:hanging="360"/>
      </w:pPr>
      <w:rPr>
        <w:rFonts w:ascii="Symbol" w:hAnsi="Symbol" w:hint="default"/>
      </w:rPr>
    </w:lvl>
    <w:lvl w:ilvl="7" w:tplc="A95479B2" w:tentative="1">
      <w:start w:val="1"/>
      <w:numFmt w:val="bullet"/>
      <w:lvlText w:val="o"/>
      <w:lvlJc w:val="left"/>
      <w:pPr>
        <w:ind w:left="6044" w:hanging="360"/>
      </w:pPr>
      <w:rPr>
        <w:rFonts w:ascii="Courier New" w:hAnsi="Courier New" w:hint="default"/>
      </w:rPr>
    </w:lvl>
    <w:lvl w:ilvl="8" w:tplc="3FF40896" w:tentative="1">
      <w:start w:val="1"/>
      <w:numFmt w:val="bullet"/>
      <w:lvlText w:val=""/>
      <w:lvlJc w:val="left"/>
      <w:pPr>
        <w:ind w:left="6764" w:hanging="360"/>
      </w:pPr>
      <w:rPr>
        <w:rFonts w:ascii="Wingdings" w:hAnsi="Wingdings" w:hint="default"/>
      </w:rPr>
    </w:lvl>
  </w:abstractNum>
  <w:abstractNum w:abstractNumId="357" w15:restartNumberingAfterBreak="0">
    <w:nsid w:val="4C315716"/>
    <w:multiLevelType w:val="hybridMultilevel"/>
    <w:tmpl w:val="FFFFFFFF"/>
    <w:lvl w:ilvl="0" w:tplc="913402EE">
      <w:start w:val="1"/>
      <w:numFmt w:val="bullet"/>
      <w:lvlText w:val="o"/>
      <w:lvlJc w:val="left"/>
      <w:pPr>
        <w:ind w:left="720" w:hanging="360"/>
      </w:pPr>
      <w:rPr>
        <w:rFonts w:ascii="&quot;Courier New&quot;" w:hAnsi="&quot;Courier New&quot;" w:hint="default"/>
      </w:rPr>
    </w:lvl>
    <w:lvl w:ilvl="1" w:tplc="DA1A938A">
      <w:start w:val="1"/>
      <w:numFmt w:val="bullet"/>
      <w:lvlText w:val="o"/>
      <w:lvlJc w:val="left"/>
      <w:pPr>
        <w:ind w:left="1440" w:hanging="360"/>
      </w:pPr>
      <w:rPr>
        <w:rFonts w:ascii="Courier New" w:hAnsi="Courier New" w:hint="default"/>
      </w:rPr>
    </w:lvl>
    <w:lvl w:ilvl="2" w:tplc="8FC4F594">
      <w:start w:val="1"/>
      <w:numFmt w:val="bullet"/>
      <w:lvlText w:val=""/>
      <w:lvlJc w:val="left"/>
      <w:pPr>
        <w:ind w:left="2160" w:hanging="360"/>
      </w:pPr>
      <w:rPr>
        <w:rFonts w:ascii="Wingdings" w:hAnsi="Wingdings" w:hint="default"/>
      </w:rPr>
    </w:lvl>
    <w:lvl w:ilvl="3" w:tplc="D5EC3D92">
      <w:start w:val="1"/>
      <w:numFmt w:val="bullet"/>
      <w:lvlText w:val=""/>
      <w:lvlJc w:val="left"/>
      <w:pPr>
        <w:ind w:left="2880" w:hanging="360"/>
      </w:pPr>
      <w:rPr>
        <w:rFonts w:ascii="Symbol" w:hAnsi="Symbol" w:hint="default"/>
      </w:rPr>
    </w:lvl>
    <w:lvl w:ilvl="4" w:tplc="6E1209DE">
      <w:start w:val="1"/>
      <w:numFmt w:val="bullet"/>
      <w:lvlText w:val="o"/>
      <w:lvlJc w:val="left"/>
      <w:pPr>
        <w:ind w:left="3600" w:hanging="360"/>
      </w:pPr>
      <w:rPr>
        <w:rFonts w:ascii="Courier New" w:hAnsi="Courier New" w:hint="default"/>
      </w:rPr>
    </w:lvl>
    <w:lvl w:ilvl="5" w:tplc="0D8AA184">
      <w:start w:val="1"/>
      <w:numFmt w:val="bullet"/>
      <w:lvlText w:val=""/>
      <w:lvlJc w:val="left"/>
      <w:pPr>
        <w:ind w:left="4320" w:hanging="360"/>
      </w:pPr>
      <w:rPr>
        <w:rFonts w:ascii="Wingdings" w:hAnsi="Wingdings" w:hint="default"/>
      </w:rPr>
    </w:lvl>
    <w:lvl w:ilvl="6" w:tplc="CA28D8D4">
      <w:start w:val="1"/>
      <w:numFmt w:val="bullet"/>
      <w:lvlText w:val=""/>
      <w:lvlJc w:val="left"/>
      <w:pPr>
        <w:ind w:left="5040" w:hanging="360"/>
      </w:pPr>
      <w:rPr>
        <w:rFonts w:ascii="Symbol" w:hAnsi="Symbol" w:hint="default"/>
      </w:rPr>
    </w:lvl>
    <w:lvl w:ilvl="7" w:tplc="E0221BF0">
      <w:start w:val="1"/>
      <w:numFmt w:val="bullet"/>
      <w:lvlText w:val="o"/>
      <w:lvlJc w:val="left"/>
      <w:pPr>
        <w:ind w:left="5760" w:hanging="360"/>
      </w:pPr>
      <w:rPr>
        <w:rFonts w:ascii="Courier New" w:hAnsi="Courier New" w:hint="default"/>
      </w:rPr>
    </w:lvl>
    <w:lvl w:ilvl="8" w:tplc="18082BCC">
      <w:start w:val="1"/>
      <w:numFmt w:val="bullet"/>
      <w:lvlText w:val=""/>
      <w:lvlJc w:val="left"/>
      <w:pPr>
        <w:ind w:left="6480" w:hanging="360"/>
      </w:pPr>
      <w:rPr>
        <w:rFonts w:ascii="Wingdings" w:hAnsi="Wingdings" w:hint="default"/>
      </w:rPr>
    </w:lvl>
  </w:abstractNum>
  <w:abstractNum w:abstractNumId="358" w15:restartNumberingAfterBreak="0">
    <w:nsid w:val="4C5D56B6"/>
    <w:multiLevelType w:val="hybridMultilevel"/>
    <w:tmpl w:val="9FAC290A"/>
    <w:lvl w:ilvl="0" w:tplc="BC7C59CC">
      <w:start w:val="1"/>
      <w:numFmt w:val="bullet"/>
      <w:lvlText w:val=""/>
      <w:lvlJc w:val="left"/>
      <w:pPr>
        <w:ind w:left="1440" w:hanging="360"/>
      </w:pPr>
      <w:rPr>
        <w:rFonts w:ascii="Symbol" w:hAnsi="Symbol"/>
      </w:rPr>
    </w:lvl>
    <w:lvl w:ilvl="1" w:tplc="653AD3C2">
      <w:start w:val="1"/>
      <w:numFmt w:val="bullet"/>
      <w:lvlText w:val=""/>
      <w:lvlJc w:val="left"/>
      <w:pPr>
        <w:ind w:left="1440" w:hanging="360"/>
      </w:pPr>
      <w:rPr>
        <w:rFonts w:ascii="Symbol" w:hAnsi="Symbol"/>
      </w:rPr>
    </w:lvl>
    <w:lvl w:ilvl="2" w:tplc="365A9258">
      <w:start w:val="1"/>
      <w:numFmt w:val="bullet"/>
      <w:lvlText w:val=""/>
      <w:lvlJc w:val="left"/>
      <w:pPr>
        <w:ind w:left="1440" w:hanging="360"/>
      </w:pPr>
      <w:rPr>
        <w:rFonts w:ascii="Symbol" w:hAnsi="Symbol"/>
      </w:rPr>
    </w:lvl>
    <w:lvl w:ilvl="3" w:tplc="BA9CA262">
      <w:start w:val="1"/>
      <w:numFmt w:val="bullet"/>
      <w:lvlText w:val=""/>
      <w:lvlJc w:val="left"/>
      <w:pPr>
        <w:ind w:left="1440" w:hanging="360"/>
      </w:pPr>
      <w:rPr>
        <w:rFonts w:ascii="Symbol" w:hAnsi="Symbol"/>
      </w:rPr>
    </w:lvl>
    <w:lvl w:ilvl="4" w:tplc="35240C5A">
      <w:start w:val="1"/>
      <w:numFmt w:val="bullet"/>
      <w:lvlText w:val=""/>
      <w:lvlJc w:val="left"/>
      <w:pPr>
        <w:ind w:left="1440" w:hanging="360"/>
      </w:pPr>
      <w:rPr>
        <w:rFonts w:ascii="Symbol" w:hAnsi="Symbol"/>
      </w:rPr>
    </w:lvl>
    <w:lvl w:ilvl="5" w:tplc="3496BCEA">
      <w:start w:val="1"/>
      <w:numFmt w:val="bullet"/>
      <w:lvlText w:val=""/>
      <w:lvlJc w:val="left"/>
      <w:pPr>
        <w:ind w:left="1440" w:hanging="360"/>
      </w:pPr>
      <w:rPr>
        <w:rFonts w:ascii="Symbol" w:hAnsi="Symbol"/>
      </w:rPr>
    </w:lvl>
    <w:lvl w:ilvl="6" w:tplc="DB54B206">
      <w:start w:val="1"/>
      <w:numFmt w:val="bullet"/>
      <w:lvlText w:val=""/>
      <w:lvlJc w:val="left"/>
      <w:pPr>
        <w:ind w:left="1440" w:hanging="360"/>
      </w:pPr>
      <w:rPr>
        <w:rFonts w:ascii="Symbol" w:hAnsi="Symbol"/>
      </w:rPr>
    </w:lvl>
    <w:lvl w:ilvl="7" w:tplc="21D43526">
      <w:start w:val="1"/>
      <w:numFmt w:val="bullet"/>
      <w:lvlText w:val=""/>
      <w:lvlJc w:val="left"/>
      <w:pPr>
        <w:ind w:left="1440" w:hanging="360"/>
      </w:pPr>
      <w:rPr>
        <w:rFonts w:ascii="Symbol" w:hAnsi="Symbol"/>
      </w:rPr>
    </w:lvl>
    <w:lvl w:ilvl="8" w:tplc="3E244A34">
      <w:start w:val="1"/>
      <w:numFmt w:val="bullet"/>
      <w:lvlText w:val=""/>
      <w:lvlJc w:val="left"/>
      <w:pPr>
        <w:ind w:left="1440" w:hanging="360"/>
      </w:pPr>
      <w:rPr>
        <w:rFonts w:ascii="Symbol" w:hAnsi="Symbol"/>
      </w:rPr>
    </w:lvl>
  </w:abstractNum>
  <w:abstractNum w:abstractNumId="359" w15:restartNumberingAfterBreak="0">
    <w:nsid w:val="4C7E4EBF"/>
    <w:multiLevelType w:val="hybridMultilevel"/>
    <w:tmpl w:val="7E9215F8"/>
    <w:lvl w:ilvl="0" w:tplc="4732A046">
      <w:start w:val="1"/>
      <w:numFmt w:val="bullet"/>
      <w:lvlText w:val=""/>
      <w:lvlJc w:val="left"/>
      <w:pPr>
        <w:ind w:left="360" w:hanging="360"/>
      </w:pPr>
      <w:rPr>
        <w:rFonts w:ascii="Symbol" w:hAnsi="Symbol" w:hint="default"/>
      </w:rPr>
    </w:lvl>
    <w:lvl w:ilvl="1" w:tplc="31446782" w:tentative="1">
      <w:start w:val="1"/>
      <w:numFmt w:val="bullet"/>
      <w:lvlText w:val="o"/>
      <w:lvlJc w:val="left"/>
      <w:pPr>
        <w:ind w:left="1080" w:hanging="360"/>
      </w:pPr>
      <w:rPr>
        <w:rFonts w:ascii="Courier New" w:hAnsi="Courier New" w:hint="default"/>
      </w:rPr>
    </w:lvl>
    <w:lvl w:ilvl="2" w:tplc="6F663A44" w:tentative="1">
      <w:start w:val="1"/>
      <w:numFmt w:val="bullet"/>
      <w:lvlText w:val=""/>
      <w:lvlJc w:val="left"/>
      <w:pPr>
        <w:ind w:left="1800" w:hanging="360"/>
      </w:pPr>
      <w:rPr>
        <w:rFonts w:ascii="Wingdings" w:hAnsi="Wingdings" w:hint="default"/>
      </w:rPr>
    </w:lvl>
    <w:lvl w:ilvl="3" w:tplc="A9B872E6" w:tentative="1">
      <w:start w:val="1"/>
      <w:numFmt w:val="bullet"/>
      <w:lvlText w:val=""/>
      <w:lvlJc w:val="left"/>
      <w:pPr>
        <w:ind w:left="2520" w:hanging="360"/>
      </w:pPr>
      <w:rPr>
        <w:rFonts w:ascii="Symbol" w:hAnsi="Symbol" w:hint="default"/>
      </w:rPr>
    </w:lvl>
    <w:lvl w:ilvl="4" w:tplc="7604DC00" w:tentative="1">
      <w:start w:val="1"/>
      <w:numFmt w:val="bullet"/>
      <w:lvlText w:val="o"/>
      <w:lvlJc w:val="left"/>
      <w:pPr>
        <w:ind w:left="3240" w:hanging="360"/>
      </w:pPr>
      <w:rPr>
        <w:rFonts w:ascii="Courier New" w:hAnsi="Courier New" w:hint="default"/>
      </w:rPr>
    </w:lvl>
    <w:lvl w:ilvl="5" w:tplc="8B5234E0" w:tentative="1">
      <w:start w:val="1"/>
      <w:numFmt w:val="bullet"/>
      <w:lvlText w:val=""/>
      <w:lvlJc w:val="left"/>
      <w:pPr>
        <w:ind w:left="3960" w:hanging="360"/>
      </w:pPr>
      <w:rPr>
        <w:rFonts w:ascii="Wingdings" w:hAnsi="Wingdings" w:hint="default"/>
      </w:rPr>
    </w:lvl>
    <w:lvl w:ilvl="6" w:tplc="EA4E6104" w:tentative="1">
      <w:start w:val="1"/>
      <w:numFmt w:val="bullet"/>
      <w:lvlText w:val=""/>
      <w:lvlJc w:val="left"/>
      <w:pPr>
        <w:ind w:left="4680" w:hanging="360"/>
      </w:pPr>
      <w:rPr>
        <w:rFonts w:ascii="Symbol" w:hAnsi="Symbol" w:hint="default"/>
      </w:rPr>
    </w:lvl>
    <w:lvl w:ilvl="7" w:tplc="5EB8158A" w:tentative="1">
      <w:start w:val="1"/>
      <w:numFmt w:val="bullet"/>
      <w:lvlText w:val="o"/>
      <w:lvlJc w:val="left"/>
      <w:pPr>
        <w:ind w:left="5400" w:hanging="360"/>
      </w:pPr>
      <w:rPr>
        <w:rFonts w:ascii="Courier New" w:hAnsi="Courier New" w:hint="default"/>
      </w:rPr>
    </w:lvl>
    <w:lvl w:ilvl="8" w:tplc="BB146652" w:tentative="1">
      <w:start w:val="1"/>
      <w:numFmt w:val="bullet"/>
      <w:lvlText w:val=""/>
      <w:lvlJc w:val="left"/>
      <w:pPr>
        <w:ind w:left="6120" w:hanging="360"/>
      </w:pPr>
      <w:rPr>
        <w:rFonts w:ascii="Wingdings" w:hAnsi="Wingdings" w:hint="default"/>
      </w:rPr>
    </w:lvl>
  </w:abstractNum>
  <w:abstractNum w:abstractNumId="360" w15:restartNumberingAfterBreak="0">
    <w:nsid w:val="4C8C0577"/>
    <w:multiLevelType w:val="hybridMultilevel"/>
    <w:tmpl w:val="FFFFFFFF"/>
    <w:lvl w:ilvl="0" w:tplc="823488C6">
      <w:start w:val="1"/>
      <w:numFmt w:val="bullet"/>
      <w:lvlText w:val="·"/>
      <w:lvlJc w:val="left"/>
      <w:pPr>
        <w:ind w:left="720" w:hanging="360"/>
      </w:pPr>
      <w:rPr>
        <w:rFonts w:ascii="Symbol" w:hAnsi="Symbol" w:hint="default"/>
      </w:rPr>
    </w:lvl>
    <w:lvl w:ilvl="1" w:tplc="992CD22C">
      <w:start w:val="1"/>
      <w:numFmt w:val="bullet"/>
      <w:lvlText w:val="o"/>
      <w:lvlJc w:val="left"/>
      <w:pPr>
        <w:ind w:left="1440" w:hanging="360"/>
      </w:pPr>
      <w:rPr>
        <w:rFonts w:ascii="Courier New" w:hAnsi="Courier New" w:hint="default"/>
      </w:rPr>
    </w:lvl>
    <w:lvl w:ilvl="2" w:tplc="8D8E2376">
      <w:start w:val="1"/>
      <w:numFmt w:val="bullet"/>
      <w:lvlText w:val=""/>
      <w:lvlJc w:val="left"/>
      <w:pPr>
        <w:ind w:left="2160" w:hanging="360"/>
      </w:pPr>
      <w:rPr>
        <w:rFonts w:ascii="Wingdings" w:hAnsi="Wingdings" w:hint="default"/>
      </w:rPr>
    </w:lvl>
    <w:lvl w:ilvl="3" w:tplc="CA04B19A">
      <w:start w:val="1"/>
      <w:numFmt w:val="bullet"/>
      <w:lvlText w:val=""/>
      <w:lvlJc w:val="left"/>
      <w:pPr>
        <w:ind w:left="2880" w:hanging="360"/>
      </w:pPr>
      <w:rPr>
        <w:rFonts w:ascii="Symbol" w:hAnsi="Symbol" w:hint="default"/>
      </w:rPr>
    </w:lvl>
    <w:lvl w:ilvl="4" w:tplc="E124DF06">
      <w:start w:val="1"/>
      <w:numFmt w:val="bullet"/>
      <w:lvlText w:val="o"/>
      <w:lvlJc w:val="left"/>
      <w:pPr>
        <w:ind w:left="3600" w:hanging="360"/>
      </w:pPr>
      <w:rPr>
        <w:rFonts w:ascii="Courier New" w:hAnsi="Courier New" w:hint="default"/>
      </w:rPr>
    </w:lvl>
    <w:lvl w:ilvl="5" w:tplc="7E646558">
      <w:start w:val="1"/>
      <w:numFmt w:val="bullet"/>
      <w:lvlText w:val=""/>
      <w:lvlJc w:val="left"/>
      <w:pPr>
        <w:ind w:left="4320" w:hanging="360"/>
      </w:pPr>
      <w:rPr>
        <w:rFonts w:ascii="Wingdings" w:hAnsi="Wingdings" w:hint="default"/>
      </w:rPr>
    </w:lvl>
    <w:lvl w:ilvl="6" w:tplc="357418D0">
      <w:start w:val="1"/>
      <w:numFmt w:val="bullet"/>
      <w:lvlText w:val=""/>
      <w:lvlJc w:val="left"/>
      <w:pPr>
        <w:ind w:left="5040" w:hanging="360"/>
      </w:pPr>
      <w:rPr>
        <w:rFonts w:ascii="Symbol" w:hAnsi="Symbol" w:hint="default"/>
      </w:rPr>
    </w:lvl>
    <w:lvl w:ilvl="7" w:tplc="39467A02">
      <w:start w:val="1"/>
      <w:numFmt w:val="bullet"/>
      <w:lvlText w:val="o"/>
      <w:lvlJc w:val="left"/>
      <w:pPr>
        <w:ind w:left="5760" w:hanging="360"/>
      </w:pPr>
      <w:rPr>
        <w:rFonts w:ascii="Courier New" w:hAnsi="Courier New" w:hint="default"/>
      </w:rPr>
    </w:lvl>
    <w:lvl w:ilvl="8" w:tplc="323CA78C">
      <w:start w:val="1"/>
      <w:numFmt w:val="bullet"/>
      <w:lvlText w:val=""/>
      <w:lvlJc w:val="left"/>
      <w:pPr>
        <w:ind w:left="6480" w:hanging="360"/>
      </w:pPr>
      <w:rPr>
        <w:rFonts w:ascii="Wingdings" w:hAnsi="Wingdings" w:hint="default"/>
      </w:rPr>
    </w:lvl>
  </w:abstractNum>
  <w:abstractNum w:abstractNumId="361" w15:restartNumberingAfterBreak="0">
    <w:nsid w:val="4CB44EE3"/>
    <w:multiLevelType w:val="multilevel"/>
    <w:tmpl w:val="27A6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CC85DAF"/>
    <w:multiLevelType w:val="multilevel"/>
    <w:tmpl w:val="911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CCF5F47"/>
    <w:multiLevelType w:val="hybridMultilevel"/>
    <w:tmpl w:val="F14C9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4" w15:restartNumberingAfterBreak="0">
    <w:nsid w:val="4CF525B4"/>
    <w:multiLevelType w:val="multilevel"/>
    <w:tmpl w:val="3758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DC30289"/>
    <w:multiLevelType w:val="multilevel"/>
    <w:tmpl w:val="EEEC78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6" w15:restartNumberingAfterBreak="0">
    <w:nsid w:val="4DD10A8B"/>
    <w:multiLevelType w:val="multilevel"/>
    <w:tmpl w:val="4FAE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DD24760"/>
    <w:multiLevelType w:val="multilevel"/>
    <w:tmpl w:val="0590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E457193"/>
    <w:multiLevelType w:val="multilevel"/>
    <w:tmpl w:val="DF3EE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E79346D"/>
    <w:multiLevelType w:val="multilevel"/>
    <w:tmpl w:val="2F04FF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70" w15:restartNumberingAfterBreak="0">
    <w:nsid w:val="4E8C1512"/>
    <w:multiLevelType w:val="hybridMultilevel"/>
    <w:tmpl w:val="08783C52"/>
    <w:lvl w:ilvl="0" w:tplc="93BCF782">
      <w:start w:val="1"/>
      <w:numFmt w:val="bullet"/>
      <w:lvlText w:val=""/>
      <w:lvlJc w:val="left"/>
      <w:pPr>
        <w:ind w:left="720" w:hanging="360"/>
      </w:pPr>
      <w:rPr>
        <w:rFonts w:ascii="Symbol" w:hAnsi="Symbol" w:hint="default"/>
      </w:rPr>
    </w:lvl>
    <w:lvl w:ilvl="1" w:tplc="DDC8CD00" w:tentative="1">
      <w:start w:val="1"/>
      <w:numFmt w:val="bullet"/>
      <w:lvlText w:val="o"/>
      <w:lvlJc w:val="left"/>
      <w:pPr>
        <w:ind w:left="1440" w:hanging="360"/>
      </w:pPr>
      <w:rPr>
        <w:rFonts w:ascii="Courier New" w:hAnsi="Courier New" w:hint="default"/>
      </w:rPr>
    </w:lvl>
    <w:lvl w:ilvl="2" w:tplc="388A70E6" w:tentative="1">
      <w:start w:val="1"/>
      <w:numFmt w:val="bullet"/>
      <w:lvlText w:val=""/>
      <w:lvlJc w:val="left"/>
      <w:pPr>
        <w:ind w:left="2160" w:hanging="360"/>
      </w:pPr>
      <w:rPr>
        <w:rFonts w:ascii="Wingdings" w:hAnsi="Wingdings" w:hint="default"/>
      </w:rPr>
    </w:lvl>
    <w:lvl w:ilvl="3" w:tplc="94C6F79C" w:tentative="1">
      <w:start w:val="1"/>
      <w:numFmt w:val="bullet"/>
      <w:lvlText w:val=""/>
      <w:lvlJc w:val="left"/>
      <w:pPr>
        <w:ind w:left="2880" w:hanging="360"/>
      </w:pPr>
      <w:rPr>
        <w:rFonts w:ascii="Symbol" w:hAnsi="Symbol" w:hint="default"/>
      </w:rPr>
    </w:lvl>
    <w:lvl w:ilvl="4" w:tplc="CEDEB6D4" w:tentative="1">
      <w:start w:val="1"/>
      <w:numFmt w:val="bullet"/>
      <w:lvlText w:val="o"/>
      <w:lvlJc w:val="left"/>
      <w:pPr>
        <w:ind w:left="3600" w:hanging="360"/>
      </w:pPr>
      <w:rPr>
        <w:rFonts w:ascii="Courier New" w:hAnsi="Courier New" w:hint="default"/>
      </w:rPr>
    </w:lvl>
    <w:lvl w:ilvl="5" w:tplc="73A02E9E" w:tentative="1">
      <w:start w:val="1"/>
      <w:numFmt w:val="bullet"/>
      <w:lvlText w:val=""/>
      <w:lvlJc w:val="left"/>
      <w:pPr>
        <w:ind w:left="4320" w:hanging="360"/>
      </w:pPr>
      <w:rPr>
        <w:rFonts w:ascii="Wingdings" w:hAnsi="Wingdings" w:hint="default"/>
      </w:rPr>
    </w:lvl>
    <w:lvl w:ilvl="6" w:tplc="B3462BC8" w:tentative="1">
      <w:start w:val="1"/>
      <w:numFmt w:val="bullet"/>
      <w:lvlText w:val=""/>
      <w:lvlJc w:val="left"/>
      <w:pPr>
        <w:ind w:left="5040" w:hanging="360"/>
      </w:pPr>
      <w:rPr>
        <w:rFonts w:ascii="Symbol" w:hAnsi="Symbol" w:hint="default"/>
      </w:rPr>
    </w:lvl>
    <w:lvl w:ilvl="7" w:tplc="EB08356A" w:tentative="1">
      <w:start w:val="1"/>
      <w:numFmt w:val="bullet"/>
      <w:lvlText w:val="o"/>
      <w:lvlJc w:val="left"/>
      <w:pPr>
        <w:ind w:left="5760" w:hanging="360"/>
      </w:pPr>
      <w:rPr>
        <w:rFonts w:ascii="Courier New" w:hAnsi="Courier New" w:hint="default"/>
      </w:rPr>
    </w:lvl>
    <w:lvl w:ilvl="8" w:tplc="A43062E0" w:tentative="1">
      <w:start w:val="1"/>
      <w:numFmt w:val="bullet"/>
      <w:lvlText w:val=""/>
      <w:lvlJc w:val="left"/>
      <w:pPr>
        <w:ind w:left="6480" w:hanging="360"/>
      </w:pPr>
      <w:rPr>
        <w:rFonts w:ascii="Wingdings" w:hAnsi="Wingdings" w:hint="default"/>
      </w:rPr>
    </w:lvl>
  </w:abstractNum>
  <w:abstractNum w:abstractNumId="371" w15:restartNumberingAfterBreak="0">
    <w:nsid w:val="4EAF57A7"/>
    <w:multiLevelType w:val="hybridMultilevel"/>
    <w:tmpl w:val="BD887C92"/>
    <w:lvl w:ilvl="0" w:tplc="BC049A00">
      <w:start w:val="1"/>
      <w:numFmt w:val="bullet"/>
      <w:lvlText w:val=""/>
      <w:lvlJc w:val="left"/>
      <w:pPr>
        <w:ind w:left="720" w:hanging="360"/>
      </w:pPr>
      <w:rPr>
        <w:rFonts w:ascii="Symbol" w:hAnsi="Symbol" w:hint="default"/>
      </w:rPr>
    </w:lvl>
    <w:lvl w:ilvl="1" w:tplc="5F522A20" w:tentative="1">
      <w:start w:val="1"/>
      <w:numFmt w:val="bullet"/>
      <w:lvlText w:val="o"/>
      <w:lvlJc w:val="left"/>
      <w:pPr>
        <w:ind w:left="1440" w:hanging="360"/>
      </w:pPr>
      <w:rPr>
        <w:rFonts w:ascii="Courier New" w:hAnsi="Courier New" w:hint="default"/>
      </w:rPr>
    </w:lvl>
    <w:lvl w:ilvl="2" w:tplc="88689356" w:tentative="1">
      <w:start w:val="1"/>
      <w:numFmt w:val="bullet"/>
      <w:lvlText w:val=""/>
      <w:lvlJc w:val="left"/>
      <w:pPr>
        <w:ind w:left="2160" w:hanging="360"/>
      </w:pPr>
      <w:rPr>
        <w:rFonts w:ascii="Wingdings" w:hAnsi="Wingdings" w:hint="default"/>
      </w:rPr>
    </w:lvl>
    <w:lvl w:ilvl="3" w:tplc="F2B24F88" w:tentative="1">
      <w:start w:val="1"/>
      <w:numFmt w:val="bullet"/>
      <w:lvlText w:val=""/>
      <w:lvlJc w:val="left"/>
      <w:pPr>
        <w:ind w:left="2880" w:hanging="360"/>
      </w:pPr>
      <w:rPr>
        <w:rFonts w:ascii="Symbol" w:hAnsi="Symbol" w:hint="default"/>
      </w:rPr>
    </w:lvl>
    <w:lvl w:ilvl="4" w:tplc="AC862C58" w:tentative="1">
      <w:start w:val="1"/>
      <w:numFmt w:val="bullet"/>
      <w:lvlText w:val="o"/>
      <w:lvlJc w:val="left"/>
      <w:pPr>
        <w:ind w:left="3600" w:hanging="360"/>
      </w:pPr>
      <w:rPr>
        <w:rFonts w:ascii="Courier New" w:hAnsi="Courier New" w:hint="default"/>
      </w:rPr>
    </w:lvl>
    <w:lvl w:ilvl="5" w:tplc="87BA69AC" w:tentative="1">
      <w:start w:val="1"/>
      <w:numFmt w:val="bullet"/>
      <w:lvlText w:val=""/>
      <w:lvlJc w:val="left"/>
      <w:pPr>
        <w:ind w:left="4320" w:hanging="360"/>
      </w:pPr>
      <w:rPr>
        <w:rFonts w:ascii="Wingdings" w:hAnsi="Wingdings" w:hint="default"/>
      </w:rPr>
    </w:lvl>
    <w:lvl w:ilvl="6" w:tplc="6868EF82" w:tentative="1">
      <w:start w:val="1"/>
      <w:numFmt w:val="bullet"/>
      <w:lvlText w:val=""/>
      <w:lvlJc w:val="left"/>
      <w:pPr>
        <w:ind w:left="5040" w:hanging="360"/>
      </w:pPr>
      <w:rPr>
        <w:rFonts w:ascii="Symbol" w:hAnsi="Symbol" w:hint="default"/>
      </w:rPr>
    </w:lvl>
    <w:lvl w:ilvl="7" w:tplc="F00A4CAA" w:tentative="1">
      <w:start w:val="1"/>
      <w:numFmt w:val="bullet"/>
      <w:lvlText w:val="o"/>
      <w:lvlJc w:val="left"/>
      <w:pPr>
        <w:ind w:left="5760" w:hanging="360"/>
      </w:pPr>
      <w:rPr>
        <w:rFonts w:ascii="Courier New" w:hAnsi="Courier New" w:hint="default"/>
      </w:rPr>
    </w:lvl>
    <w:lvl w:ilvl="8" w:tplc="856A961C" w:tentative="1">
      <w:start w:val="1"/>
      <w:numFmt w:val="bullet"/>
      <w:lvlText w:val=""/>
      <w:lvlJc w:val="left"/>
      <w:pPr>
        <w:ind w:left="6480" w:hanging="360"/>
      </w:pPr>
      <w:rPr>
        <w:rFonts w:ascii="Wingdings" w:hAnsi="Wingdings" w:hint="default"/>
      </w:rPr>
    </w:lvl>
  </w:abstractNum>
  <w:abstractNum w:abstractNumId="372" w15:restartNumberingAfterBreak="0">
    <w:nsid w:val="4EEA1C37"/>
    <w:multiLevelType w:val="hybridMultilevel"/>
    <w:tmpl w:val="33AA69AC"/>
    <w:lvl w:ilvl="0" w:tplc="DE5867F0">
      <w:start w:val="1"/>
      <w:numFmt w:val="bullet"/>
      <w:lvlText w:val=""/>
      <w:lvlJc w:val="left"/>
      <w:pPr>
        <w:ind w:left="675" w:hanging="360"/>
      </w:pPr>
      <w:rPr>
        <w:rFonts w:ascii="Symbol" w:hAnsi="Symbol" w:hint="default"/>
      </w:rPr>
    </w:lvl>
    <w:lvl w:ilvl="1" w:tplc="F148E41C" w:tentative="1">
      <w:start w:val="1"/>
      <w:numFmt w:val="bullet"/>
      <w:lvlText w:val="o"/>
      <w:lvlJc w:val="left"/>
      <w:pPr>
        <w:ind w:left="1395" w:hanging="360"/>
      </w:pPr>
      <w:rPr>
        <w:rFonts w:ascii="Courier New" w:hAnsi="Courier New" w:hint="default"/>
      </w:rPr>
    </w:lvl>
    <w:lvl w:ilvl="2" w:tplc="C9EAA544" w:tentative="1">
      <w:start w:val="1"/>
      <w:numFmt w:val="bullet"/>
      <w:lvlText w:val=""/>
      <w:lvlJc w:val="left"/>
      <w:pPr>
        <w:ind w:left="2115" w:hanging="360"/>
      </w:pPr>
      <w:rPr>
        <w:rFonts w:ascii="Wingdings" w:hAnsi="Wingdings" w:hint="default"/>
      </w:rPr>
    </w:lvl>
    <w:lvl w:ilvl="3" w:tplc="9620D820" w:tentative="1">
      <w:start w:val="1"/>
      <w:numFmt w:val="bullet"/>
      <w:lvlText w:val=""/>
      <w:lvlJc w:val="left"/>
      <w:pPr>
        <w:ind w:left="2835" w:hanging="360"/>
      </w:pPr>
      <w:rPr>
        <w:rFonts w:ascii="Symbol" w:hAnsi="Symbol" w:hint="default"/>
      </w:rPr>
    </w:lvl>
    <w:lvl w:ilvl="4" w:tplc="C542F9D6" w:tentative="1">
      <w:start w:val="1"/>
      <w:numFmt w:val="bullet"/>
      <w:lvlText w:val="o"/>
      <w:lvlJc w:val="left"/>
      <w:pPr>
        <w:ind w:left="3555" w:hanging="360"/>
      </w:pPr>
      <w:rPr>
        <w:rFonts w:ascii="Courier New" w:hAnsi="Courier New" w:hint="default"/>
      </w:rPr>
    </w:lvl>
    <w:lvl w:ilvl="5" w:tplc="201091FE" w:tentative="1">
      <w:start w:val="1"/>
      <w:numFmt w:val="bullet"/>
      <w:lvlText w:val=""/>
      <w:lvlJc w:val="left"/>
      <w:pPr>
        <w:ind w:left="4275" w:hanging="360"/>
      </w:pPr>
      <w:rPr>
        <w:rFonts w:ascii="Wingdings" w:hAnsi="Wingdings" w:hint="default"/>
      </w:rPr>
    </w:lvl>
    <w:lvl w:ilvl="6" w:tplc="2620F29C" w:tentative="1">
      <w:start w:val="1"/>
      <w:numFmt w:val="bullet"/>
      <w:lvlText w:val=""/>
      <w:lvlJc w:val="left"/>
      <w:pPr>
        <w:ind w:left="4995" w:hanging="360"/>
      </w:pPr>
      <w:rPr>
        <w:rFonts w:ascii="Symbol" w:hAnsi="Symbol" w:hint="default"/>
      </w:rPr>
    </w:lvl>
    <w:lvl w:ilvl="7" w:tplc="EB361812" w:tentative="1">
      <w:start w:val="1"/>
      <w:numFmt w:val="bullet"/>
      <w:lvlText w:val="o"/>
      <w:lvlJc w:val="left"/>
      <w:pPr>
        <w:ind w:left="5715" w:hanging="360"/>
      </w:pPr>
      <w:rPr>
        <w:rFonts w:ascii="Courier New" w:hAnsi="Courier New" w:hint="default"/>
      </w:rPr>
    </w:lvl>
    <w:lvl w:ilvl="8" w:tplc="CFA45538" w:tentative="1">
      <w:start w:val="1"/>
      <w:numFmt w:val="bullet"/>
      <w:lvlText w:val=""/>
      <w:lvlJc w:val="left"/>
      <w:pPr>
        <w:ind w:left="6435" w:hanging="360"/>
      </w:pPr>
      <w:rPr>
        <w:rFonts w:ascii="Wingdings" w:hAnsi="Wingdings" w:hint="default"/>
      </w:rPr>
    </w:lvl>
  </w:abstractNum>
  <w:abstractNum w:abstractNumId="373" w15:restartNumberingAfterBreak="0">
    <w:nsid w:val="501A2D9F"/>
    <w:multiLevelType w:val="hybridMultilevel"/>
    <w:tmpl w:val="78C494B6"/>
    <w:lvl w:ilvl="0" w:tplc="8012BA44">
      <w:start w:val="1"/>
      <w:numFmt w:val="bullet"/>
      <w:lvlText w:val=""/>
      <w:lvlJc w:val="left"/>
      <w:pPr>
        <w:ind w:left="720" w:hanging="360"/>
      </w:pPr>
      <w:rPr>
        <w:rFonts w:ascii="Symbol" w:hAnsi="Symbol" w:hint="default"/>
      </w:rPr>
    </w:lvl>
    <w:lvl w:ilvl="1" w:tplc="40D8249A" w:tentative="1">
      <w:start w:val="1"/>
      <w:numFmt w:val="bullet"/>
      <w:lvlText w:val="o"/>
      <w:lvlJc w:val="left"/>
      <w:pPr>
        <w:ind w:left="1440" w:hanging="360"/>
      </w:pPr>
      <w:rPr>
        <w:rFonts w:ascii="Courier New" w:hAnsi="Courier New" w:hint="default"/>
      </w:rPr>
    </w:lvl>
    <w:lvl w:ilvl="2" w:tplc="73E229E2" w:tentative="1">
      <w:start w:val="1"/>
      <w:numFmt w:val="bullet"/>
      <w:lvlText w:val=""/>
      <w:lvlJc w:val="left"/>
      <w:pPr>
        <w:ind w:left="2160" w:hanging="360"/>
      </w:pPr>
      <w:rPr>
        <w:rFonts w:ascii="Wingdings" w:hAnsi="Wingdings" w:hint="default"/>
      </w:rPr>
    </w:lvl>
    <w:lvl w:ilvl="3" w:tplc="1110E204" w:tentative="1">
      <w:start w:val="1"/>
      <w:numFmt w:val="bullet"/>
      <w:lvlText w:val=""/>
      <w:lvlJc w:val="left"/>
      <w:pPr>
        <w:ind w:left="2880" w:hanging="360"/>
      </w:pPr>
      <w:rPr>
        <w:rFonts w:ascii="Symbol" w:hAnsi="Symbol" w:hint="default"/>
      </w:rPr>
    </w:lvl>
    <w:lvl w:ilvl="4" w:tplc="482E5E86" w:tentative="1">
      <w:start w:val="1"/>
      <w:numFmt w:val="bullet"/>
      <w:lvlText w:val="o"/>
      <w:lvlJc w:val="left"/>
      <w:pPr>
        <w:ind w:left="3600" w:hanging="360"/>
      </w:pPr>
      <w:rPr>
        <w:rFonts w:ascii="Courier New" w:hAnsi="Courier New" w:hint="default"/>
      </w:rPr>
    </w:lvl>
    <w:lvl w:ilvl="5" w:tplc="B2BC5AF0" w:tentative="1">
      <w:start w:val="1"/>
      <w:numFmt w:val="bullet"/>
      <w:lvlText w:val=""/>
      <w:lvlJc w:val="left"/>
      <w:pPr>
        <w:ind w:left="4320" w:hanging="360"/>
      </w:pPr>
      <w:rPr>
        <w:rFonts w:ascii="Wingdings" w:hAnsi="Wingdings" w:hint="default"/>
      </w:rPr>
    </w:lvl>
    <w:lvl w:ilvl="6" w:tplc="0EBE0770" w:tentative="1">
      <w:start w:val="1"/>
      <w:numFmt w:val="bullet"/>
      <w:lvlText w:val=""/>
      <w:lvlJc w:val="left"/>
      <w:pPr>
        <w:ind w:left="5040" w:hanging="360"/>
      </w:pPr>
      <w:rPr>
        <w:rFonts w:ascii="Symbol" w:hAnsi="Symbol" w:hint="default"/>
      </w:rPr>
    </w:lvl>
    <w:lvl w:ilvl="7" w:tplc="C732710C" w:tentative="1">
      <w:start w:val="1"/>
      <w:numFmt w:val="bullet"/>
      <w:lvlText w:val="o"/>
      <w:lvlJc w:val="left"/>
      <w:pPr>
        <w:ind w:left="5760" w:hanging="360"/>
      </w:pPr>
      <w:rPr>
        <w:rFonts w:ascii="Courier New" w:hAnsi="Courier New" w:hint="default"/>
      </w:rPr>
    </w:lvl>
    <w:lvl w:ilvl="8" w:tplc="510E0840" w:tentative="1">
      <w:start w:val="1"/>
      <w:numFmt w:val="bullet"/>
      <w:lvlText w:val=""/>
      <w:lvlJc w:val="left"/>
      <w:pPr>
        <w:ind w:left="6480" w:hanging="360"/>
      </w:pPr>
      <w:rPr>
        <w:rFonts w:ascii="Wingdings" w:hAnsi="Wingdings" w:hint="default"/>
      </w:rPr>
    </w:lvl>
  </w:abstractNum>
  <w:abstractNum w:abstractNumId="374" w15:restartNumberingAfterBreak="0">
    <w:nsid w:val="503122F1"/>
    <w:multiLevelType w:val="hybridMultilevel"/>
    <w:tmpl w:val="1EBA4CFA"/>
    <w:lvl w:ilvl="0" w:tplc="BBFC4998">
      <w:start w:val="1"/>
      <w:numFmt w:val="bullet"/>
      <w:lvlText w:val=""/>
      <w:lvlJc w:val="left"/>
      <w:pPr>
        <w:ind w:left="360" w:hanging="360"/>
      </w:pPr>
      <w:rPr>
        <w:rFonts w:ascii="Symbol" w:hAnsi="Symbol" w:hint="default"/>
      </w:rPr>
    </w:lvl>
    <w:lvl w:ilvl="1" w:tplc="D0142452">
      <w:start w:val="1"/>
      <w:numFmt w:val="bullet"/>
      <w:lvlText w:val="o"/>
      <w:lvlJc w:val="left"/>
      <w:pPr>
        <w:ind w:left="1080" w:hanging="360"/>
      </w:pPr>
      <w:rPr>
        <w:rFonts w:ascii="Courier New" w:hAnsi="Courier New" w:hint="default"/>
      </w:rPr>
    </w:lvl>
    <w:lvl w:ilvl="2" w:tplc="BBD09AE6" w:tentative="1">
      <w:start w:val="1"/>
      <w:numFmt w:val="bullet"/>
      <w:lvlText w:val=""/>
      <w:lvlJc w:val="left"/>
      <w:pPr>
        <w:ind w:left="1800" w:hanging="360"/>
      </w:pPr>
      <w:rPr>
        <w:rFonts w:ascii="Wingdings" w:hAnsi="Wingdings" w:hint="default"/>
      </w:rPr>
    </w:lvl>
    <w:lvl w:ilvl="3" w:tplc="D7CA1854" w:tentative="1">
      <w:start w:val="1"/>
      <w:numFmt w:val="bullet"/>
      <w:lvlText w:val=""/>
      <w:lvlJc w:val="left"/>
      <w:pPr>
        <w:ind w:left="2520" w:hanging="360"/>
      </w:pPr>
      <w:rPr>
        <w:rFonts w:ascii="Symbol" w:hAnsi="Symbol" w:hint="default"/>
      </w:rPr>
    </w:lvl>
    <w:lvl w:ilvl="4" w:tplc="C142BA02">
      <w:start w:val="1"/>
      <w:numFmt w:val="bullet"/>
      <w:lvlText w:val="o"/>
      <w:lvlJc w:val="left"/>
      <w:pPr>
        <w:ind w:left="3240" w:hanging="360"/>
      </w:pPr>
      <w:rPr>
        <w:rFonts w:ascii="Courier New" w:hAnsi="Courier New" w:hint="default"/>
      </w:rPr>
    </w:lvl>
    <w:lvl w:ilvl="5" w:tplc="8746F4D4" w:tentative="1">
      <w:start w:val="1"/>
      <w:numFmt w:val="bullet"/>
      <w:lvlText w:val=""/>
      <w:lvlJc w:val="left"/>
      <w:pPr>
        <w:ind w:left="3960" w:hanging="360"/>
      </w:pPr>
      <w:rPr>
        <w:rFonts w:ascii="Wingdings" w:hAnsi="Wingdings" w:hint="default"/>
      </w:rPr>
    </w:lvl>
    <w:lvl w:ilvl="6" w:tplc="EE969C2C" w:tentative="1">
      <w:start w:val="1"/>
      <w:numFmt w:val="bullet"/>
      <w:lvlText w:val=""/>
      <w:lvlJc w:val="left"/>
      <w:pPr>
        <w:ind w:left="4680" w:hanging="360"/>
      </w:pPr>
      <w:rPr>
        <w:rFonts w:ascii="Symbol" w:hAnsi="Symbol" w:hint="default"/>
      </w:rPr>
    </w:lvl>
    <w:lvl w:ilvl="7" w:tplc="AB78B254" w:tentative="1">
      <w:start w:val="1"/>
      <w:numFmt w:val="bullet"/>
      <w:lvlText w:val="o"/>
      <w:lvlJc w:val="left"/>
      <w:pPr>
        <w:ind w:left="5400" w:hanging="360"/>
      </w:pPr>
      <w:rPr>
        <w:rFonts w:ascii="Courier New" w:hAnsi="Courier New" w:hint="default"/>
      </w:rPr>
    </w:lvl>
    <w:lvl w:ilvl="8" w:tplc="BBAA0BE2" w:tentative="1">
      <w:start w:val="1"/>
      <w:numFmt w:val="bullet"/>
      <w:lvlText w:val=""/>
      <w:lvlJc w:val="left"/>
      <w:pPr>
        <w:ind w:left="6120" w:hanging="360"/>
      </w:pPr>
      <w:rPr>
        <w:rFonts w:ascii="Wingdings" w:hAnsi="Wingdings" w:hint="default"/>
      </w:rPr>
    </w:lvl>
  </w:abstractNum>
  <w:abstractNum w:abstractNumId="375" w15:restartNumberingAfterBreak="0">
    <w:nsid w:val="50A16CB4"/>
    <w:multiLevelType w:val="hybridMultilevel"/>
    <w:tmpl w:val="23AA77C8"/>
    <w:lvl w:ilvl="0" w:tplc="A00EBDFA">
      <w:start w:val="1"/>
      <w:numFmt w:val="bullet"/>
      <w:lvlText w:val=""/>
      <w:lvlJc w:val="left"/>
      <w:pPr>
        <w:ind w:left="720" w:hanging="360"/>
      </w:pPr>
      <w:rPr>
        <w:rFonts w:ascii="Symbol" w:hAnsi="Symbol" w:hint="default"/>
      </w:rPr>
    </w:lvl>
    <w:lvl w:ilvl="1" w:tplc="D916C088" w:tentative="1">
      <w:start w:val="1"/>
      <w:numFmt w:val="bullet"/>
      <w:lvlText w:val="o"/>
      <w:lvlJc w:val="left"/>
      <w:pPr>
        <w:ind w:left="1440" w:hanging="360"/>
      </w:pPr>
      <w:rPr>
        <w:rFonts w:ascii="Courier New" w:hAnsi="Courier New" w:hint="default"/>
      </w:rPr>
    </w:lvl>
    <w:lvl w:ilvl="2" w:tplc="A4A6F4D6" w:tentative="1">
      <w:start w:val="1"/>
      <w:numFmt w:val="bullet"/>
      <w:lvlText w:val=""/>
      <w:lvlJc w:val="left"/>
      <w:pPr>
        <w:ind w:left="2160" w:hanging="360"/>
      </w:pPr>
      <w:rPr>
        <w:rFonts w:ascii="Wingdings" w:hAnsi="Wingdings" w:hint="default"/>
      </w:rPr>
    </w:lvl>
    <w:lvl w:ilvl="3" w:tplc="5BE615A0" w:tentative="1">
      <w:start w:val="1"/>
      <w:numFmt w:val="bullet"/>
      <w:lvlText w:val=""/>
      <w:lvlJc w:val="left"/>
      <w:pPr>
        <w:ind w:left="2880" w:hanging="360"/>
      </w:pPr>
      <w:rPr>
        <w:rFonts w:ascii="Symbol" w:hAnsi="Symbol" w:hint="default"/>
      </w:rPr>
    </w:lvl>
    <w:lvl w:ilvl="4" w:tplc="F0BE53AA" w:tentative="1">
      <w:start w:val="1"/>
      <w:numFmt w:val="bullet"/>
      <w:lvlText w:val="o"/>
      <w:lvlJc w:val="left"/>
      <w:pPr>
        <w:ind w:left="3600" w:hanging="360"/>
      </w:pPr>
      <w:rPr>
        <w:rFonts w:ascii="Courier New" w:hAnsi="Courier New" w:hint="default"/>
      </w:rPr>
    </w:lvl>
    <w:lvl w:ilvl="5" w:tplc="3300FFB4" w:tentative="1">
      <w:start w:val="1"/>
      <w:numFmt w:val="bullet"/>
      <w:lvlText w:val=""/>
      <w:lvlJc w:val="left"/>
      <w:pPr>
        <w:ind w:left="4320" w:hanging="360"/>
      </w:pPr>
      <w:rPr>
        <w:rFonts w:ascii="Wingdings" w:hAnsi="Wingdings" w:hint="default"/>
      </w:rPr>
    </w:lvl>
    <w:lvl w:ilvl="6" w:tplc="30882ECE" w:tentative="1">
      <w:start w:val="1"/>
      <w:numFmt w:val="bullet"/>
      <w:lvlText w:val=""/>
      <w:lvlJc w:val="left"/>
      <w:pPr>
        <w:ind w:left="5040" w:hanging="360"/>
      </w:pPr>
      <w:rPr>
        <w:rFonts w:ascii="Symbol" w:hAnsi="Symbol" w:hint="default"/>
      </w:rPr>
    </w:lvl>
    <w:lvl w:ilvl="7" w:tplc="24F65410" w:tentative="1">
      <w:start w:val="1"/>
      <w:numFmt w:val="bullet"/>
      <w:lvlText w:val="o"/>
      <w:lvlJc w:val="left"/>
      <w:pPr>
        <w:ind w:left="5760" w:hanging="360"/>
      </w:pPr>
      <w:rPr>
        <w:rFonts w:ascii="Courier New" w:hAnsi="Courier New" w:hint="default"/>
      </w:rPr>
    </w:lvl>
    <w:lvl w:ilvl="8" w:tplc="3A0C3E2C" w:tentative="1">
      <w:start w:val="1"/>
      <w:numFmt w:val="bullet"/>
      <w:lvlText w:val=""/>
      <w:lvlJc w:val="left"/>
      <w:pPr>
        <w:ind w:left="6480" w:hanging="360"/>
      </w:pPr>
      <w:rPr>
        <w:rFonts w:ascii="Wingdings" w:hAnsi="Wingdings" w:hint="default"/>
      </w:rPr>
    </w:lvl>
  </w:abstractNum>
  <w:abstractNum w:abstractNumId="376" w15:restartNumberingAfterBreak="0">
    <w:nsid w:val="50C9659A"/>
    <w:multiLevelType w:val="multilevel"/>
    <w:tmpl w:val="FF1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50F8770B"/>
    <w:multiLevelType w:val="multilevel"/>
    <w:tmpl w:val="A9D49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13242D4"/>
    <w:multiLevelType w:val="multilevel"/>
    <w:tmpl w:val="E76A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516608CC"/>
    <w:multiLevelType w:val="hybridMultilevel"/>
    <w:tmpl w:val="6C5EC0DC"/>
    <w:lvl w:ilvl="0" w:tplc="98B0FE44">
      <w:start w:val="1"/>
      <w:numFmt w:val="bullet"/>
      <w:lvlText w:val=""/>
      <w:lvlJc w:val="left"/>
      <w:pPr>
        <w:ind w:left="720" w:hanging="360"/>
      </w:pPr>
      <w:rPr>
        <w:rFonts w:ascii="Symbol" w:hAnsi="Symbol" w:hint="default"/>
      </w:rPr>
    </w:lvl>
    <w:lvl w:ilvl="1" w:tplc="033675FA">
      <w:start w:val="1"/>
      <w:numFmt w:val="bullet"/>
      <w:lvlText w:val="o"/>
      <w:lvlJc w:val="left"/>
      <w:pPr>
        <w:ind w:left="1440" w:hanging="360"/>
      </w:pPr>
      <w:rPr>
        <w:rFonts w:ascii="Courier New" w:hAnsi="Courier New" w:hint="default"/>
      </w:rPr>
    </w:lvl>
    <w:lvl w:ilvl="2" w:tplc="781417DC" w:tentative="1">
      <w:start w:val="1"/>
      <w:numFmt w:val="bullet"/>
      <w:lvlText w:val=""/>
      <w:lvlJc w:val="left"/>
      <w:pPr>
        <w:ind w:left="2160" w:hanging="360"/>
      </w:pPr>
      <w:rPr>
        <w:rFonts w:ascii="Wingdings" w:hAnsi="Wingdings" w:hint="default"/>
      </w:rPr>
    </w:lvl>
    <w:lvl w:ilvl="3" w:tplc="99142B20" w:tentative="1">
      <w:start w:val="1"/>
      <w:numFmt w:val="bullet"/>
      <w:lvlText w:val=""/>
      <w:lvlJc w:val="left"/>
      <w:pPr>
        <w:ind w:left="2880" w:hanging="360"/>
      </w:pPr>
      <w:rPr>
        <w:rFonts w:ascii="Symbol" w:hAnsi="Symbol" w:hint="default"/>
      </w:rPr>
    </w:lvl>
    <w:lvl w:ilvl="4" w:tplc="EEA60202" w:tentative="1">
      <w:start w:val="1"/>
      <w:numFmt w:val="bullet"/>
      <w:lvlText w:val="o"/>
      <w:lvlJc w:val="left"/>
      <w:pPr>
        <w:ind w:left="3600" w:hanging="360"/>
      </w:pPr>
      <w:rPr>
        <w:rFonts w:ascii="Courier New" w:hAnsi="Courier New" w:hint="default"/>
      </w:rPr>
    </w:lvl>
    <w:lvl w:ilvl="5" w:tplc="4792227A" w:tentative="1">
      <w:start w:val="1"/>
      <w:numFmt w:val="bullet"/>
      <w:lvlText w:val=""/>
      <w:lvlJc w:val="left"/>
      <w:pPr>
        <w:ind w:left="4320" w:hanging="360"/>
      </w:pPr>
      <w:rPr>
        <w:rFonts w:ascii="Wingdings" w:hAnsi="Wingdings" w:hint="default"/>
      </w:rPr>
    </w:lvl>
    <w:lvl w:ilvl="6" w:tplc="1F2680D8" w:tentative="1">
      <w:start w:val="1"/>
      <w:numFmt w:val="bullet"/>
      <w:lvlText w:val=""/>
      <w:lvlJc w:val="left"/>
      <w:pPr>
        <w:ind w:left="5040" w:hanging="360"/>
      </w:pPr>
      <w:rPr>
        <w:rFonts w:ascii="Symbol" w:hAnsi="Symbol" w:hint="default"/>
      </w:rPr>
    </w:lvl>
    <w:lvl w:ilvl="7" w:tplc="78CCA134" w:tentative="1">
      <w:start w:val="1"/>
      <w:numFmt w:val="bullet"/>
      <w:lvlText w:val="o"/>
      <w:lvlJc w:val="left"/>
      <w:pPr>
        <w:ind w:left="5760" w:hanging="360"/>
      </w:pPr>
      <w:rPr>
        <w:rFonts w:ascii="Courier New" w:hAnsi="Courier New" w:hint="default"/>
      </w:rPr>
    </w:lvl>
    <w:lvl w:ilvl="8" w:tplc="B15A4E9E" w:tentative="1">
      <w:start w:val="1"/>
      <w:numFmt w:val="bullet"/>
      <w:lvlText w:val=""/>
      <w:lvlJc w:val="left"/>
      <w:pPr>
        <w:ind w:left="6480" w:hanging="360"/>
      </w:pPr>
      <w:rPr>
        <w:rFonts w:ascii="Wingdings" w:hAnsi="Wingdings" w:hint="default"/>
      </w:rPr>
    </w:lvl>
  </w:abstractNum>
  <w:abstractNum w:abstractNumId="380" w15:restartNumberingAfterBreak="0">
    <w:nsid w:val="5204369F"/>
    <w:multiLevelType w:val="multilevel"/>
    <w:tmpl w:val="D1822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529B4178"/>
    <w:multiLevelType w:val="hybridMultilevel"/>
    <w:tmpl w:val="A20C428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2" w15:restartNumberingAfterBreak="0">
    <w:nsid w:val="536752BC"/>
    <w:multiLevelType w:val="hybridMultilevel"/>
    <w:tmpl w:val="CBA06FC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3" w15:restartNumberingAfterBreak="0">
    <w:nsid w:val="53676EA1"/>
    <w:multiLevelType w:val="hybridMultilevel"/>
    <w:tmpl w:val="AB9CF22C"/>
    <w:lvl w:ilvl="0" w:tplc="2CAE85A6">
      <w:start w:val="1"/>
      <w:numFmt w:val="bullet"/>
      <w:lvlText w:val=""/>
      <w:lvlJc w:val="left"/>
      <w:pPr>
        <w:tabs>
          <w:tab w:val="num" w:pos="360"/>
        </w:tabs>
        <w:ind w:left="360" w:hanging="360"/>
      </w:pPr>
      <w:rPr>
        <w:rFonts w:ascii="Symbol" w:hAnsi="Symbol" w:hint="default"/>
      </w:rPr>
    </w:lvl>
    <w:lvl w:ilvl="1" w:tplc="BB1213D0">
      <w:start w:val="1"/>
      <w:numFmt w:val="decimal"/>
      <w:lvlText w:val="%2."/>
      <w:lvlJc w:val="left"/>
      <w:pPr>
        <w:tabs>
          <w:tab w:val="num" w:pos="1080"/>
        </w:tabs>
        <w:ind w:left="1080" w:hanging="360"/>
      </w:pPr>
    </w:lvl>
    <w:lvl w:ilvl="2" w:tplc="61A0AB64">
      <w:start w:val="1"/>
      <w:numFmt w:val="decimal"/>
      <w:lvlText w:val="%3."/>
      <w:lvlJc w:val="left"/>
      <w:pPr>
        <w:tabs>
          <w:tab w:val="num" w:pos="1800"/>
        </w:tabs>
        <w:ind w:left="1800" w:hanging="360"/>
      </w:pPr>
    </w:lvl>
    <w:lvl w:ilvl="3" w:tplc="AA5E5A62">
      <w:start w:val="1"/>
      <w:numFmt w:val="decimal"/>
      <w:lvlText w:val="%4."/>
      <w:lvlJc w:val="left"/>
      <w:pPr>
        <w:tabs>
          <w:tab w:val="num" w:pos="2520"/>
        </w:tabs>
        <w:ind w:left="2520" w:hanging="360"/>
      </w:pPr>
    </w:lvl>
    <w:lvl w:ilvl="4" w:tplc="B7E2D746" w:tentative="1">
      <w:start w:val="1"/>
      <w:numFmt w:val="decimal"/>
      <w:lvlText w:val="%5."/>
      <w:lvlJc w:val="left"/>
      <w:pPr>
        <w:tabs>
          <w:tab w:val="num" w:pos="3240"/>
        </w:tabs>
        <w:ind w:left="3240" w:hanging="360"/>
      </w:pPr>
    </w:lvl>
    <w:lvl w:ilvl="5" w:tplc="4A9003F0" w:tentative="1">
      <w:start w:val="1"/>
      <w:numFmt w:val="decimal"/>
      <w:lvlText w:val="%6."/>
      <w:lvlJc w:val="left"/>
      <w:pPr>
        <w:tabs>
          <w:tab w:val="num" w:pos="3960"/>
        </w:tabs>
        <w:ind w:left="3960" w:hanging="360"/>
      </w:pPr>
    </w:lvl>
    <w:lvl w:ilvl="6" w:tplc="6A14EC14" w:tentative="1">
      <w:start w:val="1"/>
      <w:numFmt w:val="decimal"/>
      <w:lvlText w:val="%7."/>
      <w:lvlJc w:val="left"/>
      <w:pPr>
        <w:tabs>
          <w:tab w:val="num" w:pos="4680"/>
        </w:tabs>
        <w:ind w:left="4680" w:hanging="360"/>
      </w:pPr>
    </w:lvl>
    <w:lvl w:ilvl="7" w:tplc="70EC6D7C" w:tentative="1">
      <w:start w:val="1"/>
      <w:numFmt w:val="decimal"/>
      <w:lvlText w:val="%8."/>
      <w:lvlJc w:val="left"/>
      <w:pPr>
        <w:tabs>
          <w:tab w:val="num" w:pos="5400"/>
        </w:tabs>
        <w:ind w:left="5400" w:hanging="360"/>
      </w:pPr>
    </w:lvl>
    <w:lvl w:ilvl="8" w:tplc="923A415C" w:tentative="1">
      <w:start w:val="1"/>
      <w:numFmt w:val="decimal"/>
      <w:lvlText w:val="%9."/>
      <w:lvlJc w:val="left"/>
      <w:pPr>
        <w:tabs>
          <w:tab w:val="num" w:pos="6120"/>
        </w:tabs>
        <w:ind w:left="6120" w:hanging="360"/>
      </w:pPr>
    </w:lvl>
  </w:abstractNum>
  <w:abstractNum w:abstractNumId="384" w15:restartNumberingAfterBreak="0">
    <w:nsid w:val="53A10E6E"/>
    <w:multiLevelType w:val="multilevel"/>
    <w:tmpl w:val="7E60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53A117EE"/>
    <w:multiLevelType w:val="hybridMultilevel"/>
    <w:tmpl w:val="91AE6AE0"/>
    <w:lvl w:ilvl="0" w:tplc="8A381070">
      <w:start w:val="1"/>
      <w:numFmt w:val="bullet"/>
      <w:lvlText w:val=""/>
      <w:lvlJc w:val="left"/>
      <w:pPr>
        <w:ind w:left="720" w:hanging="360"/>
      </w:pPr>
      <w:rPr>
        <w:rFonts w:ascii="Symbol" w:hAnsi="Symbol" w:hint="default"/>
      </w:rPr>
    </w:lvl>
    <w:lvl w:ilvl="1" w:tplc="E70A0B7E" w:tentative="1">
      <w:start w:val="1"/>
      <w:numFmt w:val="bullet"/>
      <w:lvlText w:val="o"/>
      <w:lvlJc w:val="left"/>
      <w:pPr>
        <w:ind w:left="1440" w:hanging="360"/>
      </w:pPr>
      <w:rPr>
        <w:rFonts w:ascii="Courier New" w:hAnsi="Courier New" w:hint="default"/>
      </w:rPr>
    </w:lvl>
    <w:lvl w:ilvl="2" w:tplc="57D616B0" w:tentative="1">
      <w:start w:val="1"/>
      <w:numFmt w:val="bullet"/>
      <w:lvlText w:val=""/>
      <w:lvlJc w:val="left"/>
      <w:pPr>
        <w:ind w:left="2160" w:hanging="360"/>
      </w:pPr>
      <w:rPr>
        <w:rFonts w:ascii="Wingdings" w:hAnsi="Wingdings" w:hint="default"/>
      </w:rPr>
    </w:lvl>
    <w:lvl w:ilvl="3" w:tplc="BDE22420" w:tentative="1">
      <w:start w:val="1"/>
      <w:numFmt w:val="bullet"/>
      <w:lvlText w:val=""/>
      <w:lvlJc w:val="left"/>
      <w:pPr>
        <w:ind w:left="2880" w:hanging="360"/>
      </w:pPr>
      <w:rPr>
        <w:rFonts w:ascii="Symbol" w:hAnsi="Symbol" w:hint="default"/>
      </w:rPr>
    </w:lvl>
    <w:lvl w:ilvl="4" w:tplc="31DAEEF2" w:tentative="1">
      <w:start w:val="1"/>
      <w:numFmt w:val="bullet"/>
      <w:lvlText w:val="o"/>
      <w:lvlJc w:val="left"/>
      <w:pPr>
        <w:ind w:left="3600" w:hanging="360"/>
      </w:pPr>
      <w:rPr>
        <w:rFonts w:ascii="Courier New" w:hAnsi="Courier New" w:hint="default"/>
      </w:rPr>
    </w:lvl>
    <w:lvl w:ilvl="5" w:tplc="7C0C4632" w:tentative="1">
      <w:start w:val="1"/>
      <w:numFmt w:val="bullet"/>
      <w:lvlText w:val=""/>
      <w:lvlJc w:val="left"/>
      <w:pPr>
        <w:ind w:left="4320" w:hanging="360"/>
      </w:pPr>
      <w:rPr>
        <w:rFonts w:ascii="Wingdings" w:hAnsi="Wingdings" w:hint="default"/>
      </w:rPr>
    </w:lvl>
    <w:lvl w:ilvl="6" w:tplc="51C68BE8" w:tentative="1">
      <w:start w:val="1"/>
      <w:numFmt w:val="bullet"/>
      <w:lvlText w:val=""/>
      <w:lvlJc w:val="left"/>
      <w:pPr>
        <w:ind w:left="5040" w:hanging="360"/>
      </w:pPr>
      <w:rPr>
        <w:rFonts w:ascii="Symbol" w:hAnsi="Symbol" w:hint="default"/>
      </w:rPr>
    </w:lvl>
    <w:lvl w:ilvl="7" w:tplc="A6B60E50" w:tentative="1">
      <w:start w:val="1"/>
      <w:numFmt w:val="bullet"/>
      <w:lvlText w:val="o"/>
      <w:lvlJc w:val="left"/>
      <w:pPr>
        <w:ind w:left="5760" w:hanging="360"/>
      </w:pPr>
      <w:rPr>
        <w:rFonts w:ascii="Courier New" w:hAnsi="Courier New" w:hint="default"/>
      </w:rPr>
    </w:lvl>
    <w:lvl w:ilvl="8" w:tplc="81422340" w:tentative="1">
      <w:start w:val="1"/>
      <w:numFmt w:val="bullet"/>
      <w:lvlText w:val=""/>
      <w:lvlJc w:val="left"/>
      <w:pPr>
        <w:ind w:left="6480" w:hanging="360"/>
      </w:pPr>
      <w:rPr>
        <w:rFonts w:ascii="Wingdings" w:hAnsi="Wingdings" w:hint="default"/>
      </w:rPr>
    </w:lvl>
  </w:abstractNum>
  <w:abstractNum w:abstractNumId="386" w15:restartNumberingAfterBreak="0">
    <w:nsid w:val="53DB3DEA"/>
    <w:multiLevelType w:val="hybridMultilevel"/>
    <w:tmpl w:val="F12E19BA"/>
    <w:lvl w:ilvl="0" w:tplc="7910D308">
      <w:start w:val="1"/>
      <w:numFmt w:val="bullet"/>
      <w:lvlText w:val=""/>
      <w:lvlJc w:val="left"/>
      <w:pPr>
        <w:ind w:left="1440" w:hanging="360"/>
      </w:pPr>
      <w:rPr>
        <w:rFonts w:ascii="Symbol" w:hAnsi="Symbol"/>
      </w:rPr>
    </w:lvl>
    <w:lvl w:ilvl="1" w:tplc="955ED7D6">
      <w:start w:val="1"/>
      <w:numFmt w:val="bullet"/>
      <w:lvlText w:val=""/>
      <w:lvlJc w:val="left"/>
      <w:pPr>
        <w:ind w:left="1440" w:hanging="360"/>
      </w:pPr>
      <w:rPr>
        <w:rFonts w:ascii="Symbol" w:hAnsi="Symbol"/>
      </w:rPr>
    </w:lvl>
    <w:lvl w:ilvl="2" w:tplc="D4008212">
      <w:start w:val="1"/>
      <w:numFmt w:val="bullet"/>
      <w:lvlText w:val=""/>
      <w:lvlJc w:val="left"/>
      <w:pPr>
        <w:ind w:left="1440" w:hanging="360"/>
      </w:pPr>
      <w:rPr>
        <w:rFonts w:ascii="Symbol" w:hAnsi="Symbol"/>
      </w:rPr>
    </w:lvl>
    <w:lvl w:ilvl="3" w:tplc="902EE02A">
      <w:start w:val="1"/>
      <w:numFmt w:val="bullet"/>
      <w:lvlText w:val=""/>
      <w:lvlJc w:val="left"/>
      <w:pPr>
        <w:ind w:left="1440" w:hanging="360"/>
      </w:pPr>
      <w:rPr>
        <w:rFonts w:ascii="Symbol" w:hAnsi="Symbol"/>
      </w:rPr>
    </w:lvl>
    <w:lvl w:ilvl="4" w:tplc="614AB4E4">
      <w:start w:val="1"/>
      <w:numFmt w:val="bullet"/>
      <w:lvlText w:val=""/>
      <w:lvlJc w:val="left"/>
      <w:pPr>
        <w:ind w:left="1440" w:hanging="360"/>
      </w:pPr>
      <w:rPr>
        <w:rFonts w:ascii="Symbol" w:hAnsi="Symbol"/>
      </w:rPr>
    </w:lvl>
    <w:lvl w:ilvl="5" w:tplc="194E4BDE">
      <w:start w:val="1"/>
      <w:numFmt w:val="bullet"/>
      <w:lvlText w:val=""/>
      <w:lvlJc w:val="left"/>
      <w:pPr>
        <w:ind w:left="1440" w:hanging="360"/>
      </w:pPr>
      <w:rPr>
        <w:rFonts w:ascii="Symbol" w:hAnsi="Symbol"/>
      </w:rPr>
    </w:lvl>
    <w:lvl w:ilvl="6" w:tplc="14347B2C">
      <w:start w:val="1"/>
      <w:numFmt w:val="bullet"/>
      <w:lvlText w:val=""/>
      <w:lvlJc w:val="left"/>
      <w:pPr>
        <w:ind w:left="1440" w:hanging="360"/>
      </w:pPr>
      <w:rPr>
        <w:rFonts w:ascii="Symbol" w:hAnsi="Symbol"/>
      </w:rPr>
    </w:lvl>
    <w:lvl w:ilvl="7" w:tplc="B26A4016">
      <w:start w:val="1"/>
      <w:numFmt w:val="bullet"/>
      <w:lvlText w:val=""/>
      <w:lvlJc w:val="left"/>
      <w:pPr>
        <w:ind w:left="1440" w:hanging="360"/>
      </w:pPr>
      <w:rPr>
        <w:rFonts w:ascii="Symbol" w:hAnsi="Symbol"/>
      </w:rPr>
    </w:lvl>
    <w:lvl w:ilvl="8" w:tplc="FD3EF55A">
      <w:start w:val="1"/>
      <w:numFmt w:val="bullet"/>
      <w:lvlText w:val=""/>
      <w:lvlJc w:val="left"/>
      <w:pPr>
        <w:ind w:left="1440" w:hanging="360"/>
      </w:pPr>
      <w:rPr>
        <w:rFonts w:ascii="Symbol" w:hAnsi="Symbol"/>
      </w:rPr>
    </w:lvl>
  </w:abstractNum>
  <w:abstractNum w:abstractNumId="387" w15:restartNumberingAfterBreak="0">
    <w:nsid w:val="54313500"/>
    <w:multiLevelType w:val="multilevel"/>
    <w:tmpl w:val="249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543C43D0"/>
    <w:multiLevelType w:val="hybridMultilevel"/>
    <w:tmpl w:val="0D0AAA36"/>
    <w:lvl w:ilvl="0" w:tplc="C9A2DE92">
      <w:start w:val="1"/>
      <w:numFmt w:val="bullet"/>
      <w:lvlText w:val=""/>
      <w:lvlJc w:val="left"/>
      <w:pPr>
        <w:ind w:left="-720" w:hanging="360"/>
      </w:pPr>
      <w:rPr>
        <w:rFonts w:ascii="Symbol" w:hAnsi="Symbol" w:hint="default"/>
      </w:rPr>
    </w:lvl>
    <w:lvl w:ilvl="1" w:tplc="4296E8D6">
      <w:start w:val="1"/>
      <w:numFmt w:val="bullet"/>
      <w:lvlText w:val="o"/>
      <w:lvlJc w:val="left"/>
      <w:pPr>
        <w:ind w:left="0" w:hanging="360"/>
      </w:pPr>
      <w:rPr>
        <w:rFonts w:ascii="Courier New" w:hAnsi="Courier New" w:hint="default"/>
      </w:rPr>
    </w:lvl>
    <w:lvl w:ilvl="2" w:tplc="01EACDB0" w:tentative="1">
      <w:start w:val="1"/>
      <w:numFmt w:val="bullet"/>
      <w:lvlText w:val=""/>
      <w:lvlJc w:val="left"/>
      <w:pPr>
        <w:ind w:left="720" w:hanging="360"/>
      </w:pPr>
      <w:rPr>
        <w:rFonts w:ascii="Wingdings" w:hAnsi="Wingdings" w:hint="default"/>
      </w:rPr>
    </w:lvl>
    <w:lvl w:ilvl="3" w:tplc="8598AA48" w:tentative="1">
      <w:start w:val="1"/>
      <w:numFmt w:val="bullet"/>
      <w:lvlText w:val=""/>
      <w:lvlJc w:val="left"/>
      <w:pPr>
        <w:ind w:left="1440" w:hanging="360"/>
      </w:pPr>
      <w:rPr>
        <w:rFonts w:ascii="Symbol" w:hAnsi="Symbol" w:hint="default"/>
      </w:rPr>
    </w:lvl>
    <w:lvl w:ilvl="4" w:tplc="210052FE" w:tentative="1">
      <w:start w:val="1"/>
      <w:numFmt w:val="bullet"/>
      <w:lvlText w:val="o"/>
      <w:lvlJc w:val="left"/>
      <w:pPr>
        <w:ind w:left="2160" w:hanging="360"/>
      </w:pPr>
      <w:rPr>
        <w:rFonts w:ascii="Courier New" w:hAnsi="Courier New" w:hint="default"/>
      </w:rPr>
    </w:lvl>
    <w:lvl w:ilvl="5" w:tplc="36C0C8C6" w:tentative="1">
      <w:start w:val="1"/>
      <w:numFmt w:val="bullet"/>
      <w:lvlText w:val=""/>
      <w:lvlJc w:val="left"/>
      <w:pPr>
        <w:ind w:left="2880" w:hanging="360"/>
      </w:pPr>
      <w:rPr>
        <w:rFonts w:ascii="Wingdings" w:hAnsi="Wingdings" w:hint="default"/>
      </w:rPr>
    </w:lvl>
    <w:lvl w:ilvl="6" w:tplc="D44E6FDA" w:tentative="1">
      <w:start w:val="1"/>
      <w:numFmt w:val="bullet"/>
      <w:lvlText w:val=""/>
      <w:lvlJc w:val="left"/>
      <w:pPr>
        <w:ind w:left="3600" w:hanging="360"/>
      </w:pPr>
      <w:rPr>
        <w:rFonts w:ascii="Symbol" w:hAnsi="Symbol" w:hint="default"/>
      </w:rPr>
    </w:lvl>
    <w:lvl w:ilvl="7" w:tplc="73842476" w:tentative="1">
      <w:start w:val="1"/>
      <w:numFmt w:val="bullet"/>
      <w:lvlText w:val="o"/>
      <w:lvlJc w:val="left"/>
      <w:pPr>
        <w:ind w:left="4320" w:hanging="360"/>
      </w:pPr>
      <w:rPr>
        <w:rFonts w:ascii="Courier New" w:hAnsi="Courier New" w:hint="default"/>
      </w:rPr>
    </w:lvl>
    <w:lvl w:ilvl="8" w:tplc="2FA09BB6" w:tentative="1">
      <w:start w:val="1"/>
      <w:numFmt w:val="bullet"/>
      <w:lvlText w:val=""/>
      <w:lvlJc w:val="left"/>
      <w:pPr>
        <w:ind w:left="5040" w:hanging="360"/>
      </w:pPr>
      <w:rPr>
        <w:rFonts w:ascii="Wingdings" w:hAnsi="Wingdings" w:hint="default"/>
      </w:rPr>
    </w:lvl>
  </w:abstractNum>
  <w:abstractNum w:abstractNumId="389" w15:restartNumberingAfterBreak="0">
    <w:nsid w:val="549692B3"/>
    <w:multiLevelType w:val="hybridMultilevel"/>
    <w:tmpl w:val="76A6236A"/>
    <w:lvl w:ilvl="0" w:tplc="F950F3CA">
      <w:start w:val="1"/>
      <w:numFmt w:val="bullet"/>
      <w:lvlText w:val=""/>
      <w:lvlJc w:val="left"/>
      <w:pPr>
        <w:ind w:left="720" w:hanging="360"/>
      </w:pPr>
      <w:rPr>
        <w:rFonts w:ascii="Symbol" w:hAnsi="Symbol" w:hint="default"/>
      </w:rPr>
    </w:lvl>
    <w:lvl w:ilvl="1" w:tplc="261A3EDE">
      <w:start w:val="1"/>
      <w:numFmt w:val="bullet"/>
      <w:lvlText w:val="o"/>
      <w:lvlJc w:val="left"/>
      <w:pPr>
        <w:ind w:left="1440" w:hanging="360"/>
      </w:pPr>
      <w:rPr>
        <w:rFonts w:ascii="Courier New" w:hAnsi="Courier New" w:hint="default"/>
      </w:rPr>
    </w:lvl>
    <w:lvl w:ilvl="2" w:tplc="4F9229A4">
      <w:start w:val="1"/>
      <w:numFmt w:val="bullet"/>
      <w:lvlText w:val=""/>
      <w:lvlJc w:val="left"/>
      <w:pPr>
        <w:ind w:left="2160" w:hanging="360"/>
      </w:pPr>
      <w:rPr>
        <w:rFonts w:ascii="Wingdings" w:hAnsi="Wingdings" w:hint="default"/>
      </w:rPr>
    </w:lvl>
    <w:lvl w:ilvl="3" w:tplc="D6C83156">
      <w:start w:val="1"/>
      <w:numFmt w:val="bullet"/>
      <w:lvlText w:val=""/>
      <w:lvlJc w:val="left"/>
      <w:pPr>
        <w:ind w:left="2880" w:hanging="360"/>
      </w:pPr>
      <w:rPr>
        <w:rFonts w:ascii="Symbol" w:hAnsi="Symbol" w:hint="default"/>
      </w:rPr>
    </w:lvl>
    <w:lvl w:ilvl="4" w:tplc="2C3EB674">
      <w:start w:val="1"/>
      <w:numFmt w:val="bullet"/>
      <w:lvlText w:val="o"/>
      <w:lvlJc w:val="left"/>
      <w:pPr>
        <w:ind w:left="3600" w:hanging="360"/>
      </w:pPr>
      <w:rPr>
        <w:rFonts w:ascii="Courier New" w:hAnsi="Courier New" w:hint="default"/>
      </w:rPr>
    </w:lvl>
    <w:lvl w:ilvl="5" w:tplc="F60EF8BE">
      <w:start w:val="1"/>
      <w:numFmt w:val="bullet"/>
      <w:lvlText w:val=""/>
      <w:lvlJc w:val="left"/>
      <w:pPr>
        <w:ind w:left="4320" w:hanging="360"/>
      </w:pPr>
      <w:rPr>
        <w:rFonts w:ascii="Wingdings" w:hAnsi="Wingdings" w:hint="default"/>
      </w:rPr>
    </w:lvl>
    <w:lvl w:ilvl="6" w:tplc="4C1AFC42">
      <w:start w:val="1"/>
      <w:numFmt w:val="bullet"/>
      <w:lvlText w:val=""/>
      <w:lvlJc w:val="left"/>
      <w:pPr>
        <w:ind w:left="5040" w:hanging="360"/>
      </w:pPr>
      <w:rPr>
        <w:rFonts w:ascii="Symbol" w:hAnsi="Symbol" w:hint="default"/>
      </w:rPr>
    </w:lvl>
    <w:lvl w:ilvl="7" w:tplc="11904932">
      <w:start w:val="1"/>
      <w:numFmt w:val="bullet"/>
      <w:lvlText w:val="o"/>
      <w:lvlJc w:val="left"/>
      <w:pPr>
        <w:ind w:left="5760" w:hanging="360"/>
      </w:pPr>
      <w:rPr>
        <w:rFonts w:ascii="Courier New" w:hAnsi="Courier New" w:hint="default"/>
      </w:rPr>
    </w:lvl>
    <w:lvl w:ilvl="8" w:tplc="91E0DFEA">
      <w:start w:val="1"/>
      <w:numFmt w:val="bullet"/>
      <w:lvlText w:val=""/>
      <w:lvlJc w:val="left"/>
      <w:pPr>
        <w:ind w:left="6480" w:hanging="360"/>
      </w:pPr>
      <w:rPr>
        <w:rFonts w:ascii="Wingdings" w:hAnsi="Wingdings" w:hint="default"/>
      </w:rPr>
    </w:lvl>
  </w:abstractNum>
  <w:abstractNum w:abstractNumId="390" w15:restartNumberingAfterBreak="0">
    <w:nsid w:val="550158DB"/>
    <w:multiLevelType w:val="hybridMultilevel"/>
    <w:tmpl w:val="05E8FF3A"/>
    <w:lvl w:ilvl="0" w:tplc="9B801544">
      <w:start w:val="1"/>
      <w:numFmt w:val="bullet"/>
      <w:lvlText w:val=""/>
      <w:lvlJc w:val="left"/>
      <w:pPr>
        <w:ind w:left="720" w:hanging="360"/>
      </w:pPr>
      <w:rPr>
        <w:rFonts w:ascii="Symbol" w:hAnsi="Symbol" w:hint="default"/>
      </w:rPr>
    </w:lvl>
    <w:lvl w:ilvl="1" w:tplc="4A10BD92" w:tentative="1">
      <w:start w:val="1"/>
      <w:numFmt w:val="bullet"/>
      <w:lvlText w:val="o"/>
      <w:lvlJc w:val="left"/>
      <w:pPr>
        <w:ind w:left="1440" w:hanging="360"/>
      </w:pPr>
      <w:rPr>
        <w:rFonts w:ascii="Courier New" w:hAnsi="Courier New" w:hint="default"/>
      </w:rPr>
    </w:lvl>
    <w:lvl w:ilvl="2" w:tplc="3454E768" w:tentative="1">
      <w:start w:val="1"/>
      <w:numFmt w:val="bullet"/>
      <w:lvlText w:val=""/>
      <w:lvlJc w:val="left"/>
      <w:pPr>
        <w:ind w:left="2160" w:hanging="360"/>
      </w:pPr>
      <w:rPr>
        <w:rFonts w:ascii="Wingdings" w:hAnsi="Wingdings" w:hint="default"/>
      </w:rPr>
    </w:lvl>
    <w:lvl w:ilvl="3" w:tplc="33C67DFC" w:tentative="1">
      <w:start w:val="1"/>
      <w:numFmt w:val="bullet"/>
      <w:lvlText w:val=""/>
      <w:lvlJc w:val="left"/>
      <w:pPr>
        <w:ind w:left="2880" w:hanging="360"/>
      </w:pPr>
      <w:rPr>
        <w:rFonts w:ascii="Symbol" w:hAnsi="Symbol" w:hint="default"/>
      </w:rPr>
    </w:lvl>
    <w:lvl w:ilvl="4" w:tplc="CC8E1546" w:tentative="1">
      <w:start w:val="1"/>
      <w:numFmt w:val="bullet"/>
      <w:lvlText w:val="o"/>
      <w:lvlJc w:val="left"/>
      <w:pPr>
        <w:ind w:left="3600" w:hanging="360"/>
      </w:pPr>
      <w:rPr>
        <w:rFonts w:ascii="Courier New" w:hAnsi="Courier New" w:hint="default"/>
      </w:rPr>
    </w:lvl>
    <w:lvl w:ilvl="5" w:tplc="708C17A2" w:tentative="1">
      <w:start w:val="1"/>
      <w:numFmt w:val="bullet"/>
      <w:lvlText w:val=""/>
      <w:lvlJc w:val="left"/>
      <w:pPr>
        <w:ind w:left="4320" w:hanging="360"/>
      </w:pPr>
      <w:rPr>
        <w:rFonts w:ascii="Wingdings" w:hAnsi="Wingdings" w:hint="default"/>
      </w:rPr>
    </w:lvl>
    <w:lvl w:ilvl="6" w:tplc="184C8396" w:tentative="1">
      <w:start w:val="1"/>
      <w:numFmt w:val="bullet"/>
      <w:lvlText w:val=""/>
      <w:lvlJc w:val="left"/>
      <w:pPr>
        <w:ind w:left="5040" w:hanging="360"/>
      </w:pPr>
      <w:rPr>
        <w:rFonts w:ascii="Symbol" w:hAnsi="Symbol" w:hint="default"/>
      </w:rPr>
    </w:lvl>
    <w:lvl w:ilvl="7" w:tplc="8660A2C2" w:tentative="1">
      <w:start w:val="1"/>
      <w:numFmt w:val="bullet"/>
      <w:lvlText w:val="o"/>
      <w:lvlJc w:val="left"/>
      <w:pPr>
        <w:ind w:left="5760" w:hanging="360"/>
      </w:pPr>
      <w:rPr>
        <w:rFonts w:ascii="Courier New" w:hAnsi="Courier New" w:hint="default"/>
      </w:rPr>
    </w:lvl>
    <w:lvl w:ilvl="8" w:tplc="61DA53BA" w:tentative="1">
      <w:start w:val="1"/>
      <w:numFmt w:val="bullet"/>
      <w:lvlText w:val=""/>
      <w:lvlJc w:val="left"/>
      <w:pPr>
        <w:ind w:left="6480" w:hanging="360"/>
      </w:pPr>
      <w:rPr>
        <w:rFonts w:ascii="Wingdings" w:hAnsi="Wingdings" w:hint="default"/>
      </w:rPr>
    </w:lvl>
  </w:abstractNum>
  <w:abstractNum w:abstractNumId="391" w15:restartNumberingAfterBreak="0">
    <w:nsid w:val="552E2B54"/>
    <w:multiLevelType w:val="hybridMultilevel"/>
    <w:tmpl w:val="FFFFFFFF"/>
    <w:lvl w:ilvl="0" w:tplc="4B3EDF92">
      <w:start w:val="1"/>
      <w:numFmt w:val="bullet"/>
      <w:lvlText w:val="o"/>
      <w:lvlJc w:val="left"/>
      <w:pPr>
        <w:ind w:left="720" w:hanging="360"/>
      </w:pPr>
      <w:rPr>
        <w:rFonts w:ascii="&quot;Courier New&quot;" w:hAnsi="&quot;Courier New&quot;" w:hint="default"/>
      </w:rPr>
    </w:lvl>
    <w:lvl w:ilvl="1" w:tplc="7B2A8D36">
      <w:start w:val="1"/>
      <w:numFmt w:val="bullet"/>
      <w:lvlText w:val="o"/>
      <w:lvlJc w:val="left"/>
      <w:pPr>
        <w:ind w:left="1440" w:hanging="360"/>
      </w:pPr>
      <w:rPr>
        <w:rFonts w:ascii="Courier New" w:hAnsi="Courier New" w:hint="default"/>
      </w:rPr>
    </w:lvl>
    <w:lvl w:ilvl="2" w:tplc="CAE0A628">
      <w:start w:val="1"/>
      <w:numFmt w:val="bullet"/>
      <w:lvlText w:val=""/>
      <w:lvlJc w:val="left"/>
      <w:pPr>
        <w:ind w:left="2160" w:hanging="360"/>
      </w:pPr>
      <w:rPr>
        <w:rFonts w:ascii="Wingdings" w:hAnsi="Wingdings" w:hint="default"/>
      </w:rPr>
    </w:lvl>
    <w:lvl w:ilvl="3" w:tplc="C3D4575E">
      <w:start w:val="1"/>
      <w:numFmt w:val="bullet"/>
      <w:lvlText w:val=""/>
      <w:lvlJc w:val="left"/>
      <w:pPr>
        <w:ind w:left="2880" w:hanging="360"/>
      </w:pPr>
      <w:rPr>
        <w:rFonts w:ascii="Symbol" w:hAnsi="Symbol" w:hint="default"/>
      </w:rPr>
    </w:lvl>
    <w:lvl w:ilvl="4" w:tplc="122A3730">
      <w:start w:val="1"/>
      <w:numFmt w:val="bullet"/>
      <w:lvlText w:val="o"/>
      <w:lvlJc w:val="left"/>
      <w:pPr>
        <w:ind w:left="3600" w:hanging="360"/>
      </w:pPr>
      <w:rPr>
        <w:rFonts w:ascii="Courier New" w:hAnsi="Courier New" w:hint="default"/>
      </w:rPr>
    </w:lvl>
    <w:lvl w:ilvl="5" w:tplc="A47A8900">
      <w:start w:val="1"/>
      <w:numFmt w:val="bullet"/>
      <w:lvlText w:val=""/>
      <w:lvlJc w:val="left"/>
      <w:pPr>
        <w:ind w:left="4320" w:hanging="360"/>
      </w:pPr>
      <w:rPr>
        <w:rFonts w:ascii="Wingdings" w:hAnsi="Wingdings" w:hint="default"/>
      </w:rPr>
    </w:lvl>
    <w:lvl w:ilvl="6" w:tplc="6806316E">
      <w:start w:val="1"/>
      <w:numFmt w:val="bullet"/>
      <w:lvlText w:val=""/>
      <w:lvlJc w:val="left"/>
      <w:pPr>
        <w:ind w:left="5040" w:hanging="360"/>
      </w:pPr>
      <w:rPr>
        <w:rFonts w:ascii="Symbol" w:hAnsi="Symbol" w:hint="default"/>
      </w:rPr>
    </w:lvl>
    <w:lvl w:ilvl="7" w:tplc="B2E4571E">
      <w:start w:val="1"/>
      <w:numFmt w:val="bullet"/>
      <w:lvlText w:val="o"/>
      <w:lvlJc w:val="left"/>
      <w:pPr>
        <w:ind w:left="5760" w:hanging="360"/>
      </w:pPr>
      <w:rPr>
        <w:rFonts w:ascii="Courier New" w:hAnsi="Courier New" w:hint="default"/>
      </w:rPr>
    </w:lvl>
    <w:lvl w:ilvl="8" w:tplc="9E5254B6">
      <w:start w:val="1"/>
      <w:numFmt w:val="bullet"/>
      <w:lvlText w:val=""/>
      <w:lvlJc w:val="left"/>
      <w:pPr>
        <w:ind w:left="6480" w:hanging="360"/>
      </w:pPr>
      <w:rPr>
        <w:rFonts w:ascii="Wingdings" w:hAnsi="Wingdings" w:hint="default"/>
      </w:rPr>
    </w:lvl>
  </w:abstractNum>
  <w:abstractNum w:abstractNumId="392" w15:restartNumberingAfterBreak="0">
    <w:nsid w:val="552E3111"/>
    <w:multiLevelType w:val="hybridMultilevel"/>
    <w:tmpl w:val="147644BC"/>
    <w:lvl w:ilvl="0" w:tplc="3CAE66F6">
      <w:start w:val="1"/>
      <w:numFmt w:val="bullet"/>
      <w:lvlText w:val=""/>
      <w:lvlJc w:val="left"/>
      <w:pPr>
        <w:ind w:left="720" w:hanging="360"/>
      </w:pPr>
      <w:rPr>
        <w:rFonts w:ascii="Symbol" w:hAnsi="Symbol" w:hint="default"/>
      </w:rPr>
    </w:lvl>
    <w:lvl w:ilvl="1" w:tplc="49ACAE2E">
      <w:start w:val="1"/>
      <w:numFmt w:val="bullet"/>
      <w:lvlText w:val="o"/>
      <w:lvlJc w:val="left"/>
      <w:pPr>
        <w:ind w:left="1440" w:hanging="360"/>
      </w:pPr>
      <w:rPr>
        <w:rFonts w:ascii="Courier New" w:hAnsi="Courier New" w:hint="default"/>
      </w:rPr>
    </w:lvl>
    <w:lvl w:ilvl="2" w:tplc="C4DCB058">
      <w:start w:val="1"/>
      <w:numFmt w:val="bullet"/>
      <w:lvlText w:val=""/>
      <w:lvlJc w:val="left"/>
      <w:pPr>
        <w:ind w:left="2160" w:hanging="360"/>
      </w:pPr>
      <w:rPr>
        <w:rFonts w:ascii="Wingdings" w:hAnsi="Wingdings" w:hint="default"/>
      </w:rPr>
    </w:lvl>
    <w:lvl w:ilvl="3" w:tplc="CC52169C">
      <w:start w:val="1"/>
      <w:numFmt w:val="bullet"/>
      <w:lvlText w:val=""/>
      <w:lvlJc w:val="left"/>
      <w:pPr>
        <w:ind w:left="2880" w:hanging="360"/>
      </w:pPr>
      <w:rPr>
        <w:rFonts w:ascii="Symbol" w:hAnsi="Symbol" w:hint="default"/>
      </w:rPr>
    </w:lvl>
    <w:lvl w:ilvl="4" w:tplc="BFE420A2">
      <w:start w:val="1"/>
      <w:numFmt w:val="bullet"/>
      <w:lvlText w:val="o"/>
      <w:lvlJc w:val="left"/>
      <w:pPr>
        <w:ind w:left="3600" w:hanging="360"/>
      </w:pPr>
      <w:rPr>
        <w:rFonts w:ascii="Courier New" w:hAnsi="Courier New" w:hint="default"/>
      </w:rPr>
    </w:lvl>
    <w:lvl w:ilvl="5" w:tplc="60CA8F5E">
      <w:start w:val="1"/>
      <w:numFmt w:val="bullet"/>
      <w:lvlText w:val=""/>
      <w:lvlJc w:val="left"/>
      <w:pPr>
        <w:ind w:left="4320" w:hanging="360"/>
      </w:pPr>
      <w:rPr>
        <w:rFonts w:ascii="Wingdings" w:hAnsi="Wingdings" w:hint="default"/>
      </w:rPr>
    </w:lvl>
    <w:lvl w:ilvl="6" w:tplc="B292424E">
      <w:start w:val="1"/>
      <w:numFmt w:val="bullet"/>
      <w:lvlText w:val=""/>
      <w:lvlJc w:val="left"/>
      <w:pPr>
        <w:ind w:left="5040" w:hanging="360"/>
      </w:pPr>
      <w:rPr>
        <w:rFonts w:ascii="Symbol" w:hAnsi="Symbol" w:hint="default"/>
      </w:rPr>
    </w:lvl>
    <w:lvl w:ilvl="7" w:tplc="26A87660">
      <w:start w:val="1"/>
      <w:numFmt w:val="bullet"/>
      <w:lvlText w:val="o"/>
      <w:lvlJc w:val="left"/>
      <w:pPr>
        <w:ind w:left="5760" w:hanging="360"/>
      </w:pPr>
      <w:rPr>
        <w:rFonts w:ascii="Courier New" w:hAnsi="Courier New" w:hint="default"/>
      </w:rPr>
    </w:lvl>
    <w:lvl w:ilvl="8" w:tplc="D1D2140C">
      <w:start w:val="1"/>
      <w:numFmt w:val="bullet"/>
      <w:lvlText w:val=""/>
      <w:lvlJc w:val="left"/>
      <w:pPr>
        <w:ind w:left="6480" w:hanging="360"/>
      </w:pPr>
      <w:rPr>
        <w:rFonts w:ascii="Wingdings" w:hAnsi="Wingdings" w:hint="default"/>
      </w:rPr>
    </w:lvl>
  </w:abstractNum>
  <w:abstractNum w:abstractNumId="393" w15:restartNumberingAfterBreak="0">
    <w:nsid w:val="553777B0"/>
    <w:multiLevelType w:val="hybridMultilevel"/>
    <w:tmpl w:val="E4F06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4" w15:restartNumberingAfterBreak="0">
    <w:nsid w:val="554864E1"/>
    <w:multiLevelType w:val="hybridMultilevel"/>
    <w:tmpl w:val="C7DCFD1A"/>
    <w:lvl w:ilvl="0" w:tplc="A94E7E4C">
      <w:start w:val="1"/>
      <w:numFmt w:val="bullet"/>
      <w:lvlText w:val=""/>
      <w:lvlJc w:val="left"/>
      <w:pPr>
        <w:ind w:left="720" w:hanging="360"/>
      </w:pPr>
      <w:rPr>
        <w:rFonts w:ascii="Symbol" w:hAnsi="Symbol" w:hint="default"/>
      </w:rPr>
    </w:lvl>
    <w:lvl w:ilvl="1" w:tplc="B734D55E" w:tentative="1">
      <w:start w:val="1"/>
      <w:numFmt w:val="bullet"/>
      <w:lvlText w:val="o"/>
      <w:lvlJc w:val="left"/>
      <w:pPr>
        <w:ind w:left="1440" w:hanging="360"/>
      </w:pPr>
      <w:rPr>
        <w:rFonts w:ascii="Courier New" w:hAnsi="Courier New" w:hint="default"/>
      </w:rPr>
    </w:lvl>
    <w:lvl w:ilvl="2" w:tplc="2498613C" w:tentative="1">
      <w:start w:val="1"/>
      <w:numFmt w:val="bullet"/>
      <w:lvlText w:val=""/>
      <w:lvlJc w:val="left"/>
      <w:pPr>
        <w:ind w:left="2160" w:hanging="360"/>
      </w:pPr>
      <w:rPr>
        <w:rFonts w:ascii="Wingdings" w:hAnsi="Wingdings" w:hint="default"/>
      </w:rPr>
    </w:lvl>
    <w:lvl w:ilvl="3" w:tplc="A1A857CC" w:tentative="1">
      <w:start w:val="1"/>
      <w:numFmt w:val="bullet"/>
      <w:lvlText w:val=""/>
      <w:lvlJc w:val="left"/>
      <w:pPr>
        <w:ind w:left="2880" w:hanging="360"/>
      </w:pPr>
      <w:rPr>
        <w:rFonts w:ascii="Symbol" w:hAnsi="Symbol" w:hint="default"/>
      </w:rPr>
    </w:lvl>
    <w:lvl w:ilvl="4" w:tplc="A51EF74E" w:tentative="1">
      <w:start w:val="1"/>
      <w:numFmt w:val="bullet"/>
      <w:lvlText w:val="o"/>
      <w:lvlJc w:val="left"/>
      <w:pPr>
        <w:ind w:left="3600" w:hanging="360"/>
      </w:pPr>
      <w:rPr>
        <w:rFonts w:ascii="Courier New" w:hAnsi="Courier New" w:hint="default"/>
      </w:rPr>
    </w:lvl>
    <w:lvl w:ilvl="5" w:tplc="3424AF76" w:tentative="1">
      <w:start w:val="1"/>
      <w:numFmt w:val="bullet"/>
      <w:lvlText w:val=""/>
      <w:lvlJc w:val="left"/>
      <w:pPr>
        <w:ind w:left="4320" w:hanging="360"/>
      </w:pPr>
      <w:rPr>
        <w:rFonts w:ascii="Wingdings" w:hAnsi="Wingdings" w:hint="default"/>
      </w:rPr>
    </w:lvl>
    <w:lvl w:ilvl="6" w:tplc="D1149226" w:tentative="1">
      <w:start w:val="1"/>
      <w:numFmt w:val="bullet"/>
      <w:lvlText w:val=""/>
      <w:lvlJc w:val="left"/>
      <w:pPr>
        <w:ind w:left="5040" w:hanging="360"/>
      </w:pPr>
      <w:rPr>
        <w:rFonts w:ascii="Symbol" w:hAnsi="Symbol" w:hint="default"/>
      </w:rPr>
    </w:lvl>
    <w:lvl w:ilvl="7" w:tplc="66900DEE" w:tentative="1">
      <w:start w:val="1"/>
      <w:numFmt w:val="bullet"/>
      <w:lvlText w:val="o"/>
      <w:lvlJc w:val="left"/>
      <w:pPr>
        <w:ind w:left="5760" w:hanging="360"/>
      </w:pPr>
      <w:rPr>
        <w:rFonts w:ascii="Courier New" w:hAnsi="Courier New" w:hint="default"/>
      </w:rPr>
    </w:lvl>
    <w:lvl w:ilvl="8" w:tplc="D0F020F6" w:tentative="1">
      <w:start w:val="1"/>
      <w:numFmt w:val="bullet"/>
      <w:lvlText w:val=""/>
      <w:lvlJc w:val="left"/>
      <w:pPr>
        <w:ind w:left="6480" w:hanging="360"/>
      </w:pPr>
      <w:rPr>
        <w:rFonts w:ascii="Wingdings" w:hAnsi="Wingdings" w:hint="default"/>
      </w:rPr>
    </w:lvl>
  </w:abstractNum>
  <w:abstractNum w:abstractNumId="395" w15:restartNumberingAfterBreak="0">
    <w:nsid w:val="555855DA"/>
    <w:multiLevelType w:val="multilevel"/>
    <w:tmpl w:val="55A040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358189"/>
      </w:rPr>
    </w:lvl>
    <w:lvl w:ilvl="2">
      <w:start w:val="1"/>
      <w:numFmt w:val="decimal"/>
      <w:lvlText w:val="%1.%2.%3."/>
      <w:lvlJc w:val="left"/>
      <w:pPr>
        <w:ind w:left="1224" w:hanging="504"/>
      </w:pPr>
      <w:rPr>
        <w:rFonts w:hint="default"/>
        <w:i w:val="0"/>
        <w:iCs/>
        <w:color w:val="358189"/>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55902E96"/>
    <w:multiLevelType w:val="hybridMultilevel"/>
    <w:tmpl w:val="FD846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7" w15:restartNumberingAfterBreak="0">
    <w:nsid w:val="55AAE85A"/>
    <w:multiLevelType w:val="hybridMultilevel"/>
    <w:tmpl w:val="98DE2032"/>
    <w:lvl w:ilvl="0" w:tplc="7FF8C91A">
      <w:start w:val="1"/>
      <w:numFmt w:val="bullet"/>
      <w:lvlText w:val="·"/>
      <w:lvlJc w:val="left"/>
      <w:pPr>
        <w:ind w:left="720" w:hanging="360"/>
      </w:pPr>
      <w:rPr>
        <w:rFonts w:ascii="Symbol" w:hAnsi="Symbol" w:hint="default"/>
      </w:rPr>
    </w:lvl>
    <w:lvl w:ilvl="1" w:tplc="7C681858">
      <w:start w:val="1"/>
      <w:numFmt w:val="bullet"/>
      <w:lvlText w:val="o"/>
      <w:lvlJc w:val="left"/>
      <w:pPr>
        <w:ind w:left="1440" w:hanging="360"/>
      </w:pPr>
      <w:rPr>
        <w:rFonts w:ascii="Courier New" w:hAnsi="Courier New" w:hint="default"/>
      </w:rPr>
    </w:lvl>
    <w:lvl w:ilvl="2" w:tplc="6D74757E">
      <w:start w:val="1"/>
      <w:numFmt w:val="bullet"/>
      <w:lvlText w:val=""/>
      <w:lvlJc w:val="left"/>
      <w:pPr>
        <w:ind w:left="2160" w:hanging="360"/>
      </w:pPr>
      <w:rPr>
        <w:rFonts w:ascii="Wingdings" w:hAnsi="Wingdings" w:hint="default"/>
      </w:rPr>
    </w:lvl>
    <w:lvl w:ilvl="3" w:tplc="EE56FA60">
      <w:start w:val="1"/>
      <w:numFmt w:val="bullet"/>
      <w:lvlText w:val=""/>
      <w:lvlJc w:val="left"/>
      <w:pPr>
        <w:ind w:left="2880" w:hanging="360"/>
      </w:pPr>
      <w:rPr>
        <w:rFonts w:ascii="Symbol" w:hAnsi="Symbol" w:hint="default"/>
      </w:rPr>
    </w:lvl>
    <w:lvl w:ilvl="4" w:tplc="C486DBD2">
      <w:start w:val="1"/>
      <w:numFmt w:val="bullet"/>
      <w:lvlText w:val="o"/>
      <w:lvlJc w:val="left"/>
      <w:pPr>
        <w:ind w:left="3600" w:hanging="360"/>
      </w:pPr>
      <w:rPr>
        <w:rFonts w:ascii="Courier New" w:hAnsi="Courier New" w:hint="default"/>
      </w:rPr>
    </w:lvl>
    <w:lvl w:ilvl="5" w:tplc="A9B2982E">
      <w:start w:val="1"/>
      <w:numFmt w:val="bullet"/>
      <w:lvlText w:val=""/>
      <w:lvlJc w:val="left"/>
      <w:pPr>
        <w:ind w:left="4320" w:hanging="360"/>
      </w:pPr>
      <w:rPr>
        <w:rFonts w:ascii="Wingdings" w:hAnsi="Wingdings" w:hint="default"/>
      </w:rPr>
    </w:lvl>
    <w:lvl w:ilvl="6" w:tplc="88F48CB8">
      <w:start w:val="1"/>
      <w:numFmt w:val="bullet"/>
      <w:lvlText w:val=""/>
      <w:lvlJc w:val="left"/>
      <w:pPr>
        <w:ind w:left="5040" w:hanging="360"/>
      </w:pPr>
      <w:rPr>
        <w:rFonts w:ascii="Symbol" w:hAnsi="Symbol" w:hint="default"/>
      </w:rPr>
    </w:lvl>
    <w:lvl w:ilvl="7" w:tplc="1632CAA0">
      <w:start w:val="1"/>
      <w:numFmt w:val="bullet"/>
      <w:lvlText w:val="o"/>
      <w:lvlJc w:val="left"/>
      <w:pPr>
        <w:ind w:left="5760" w:hanging="360"/>
      </w:pPr>
      <w:rPr>
        <w:rFonts w:ascii="Courier New" w:hAnsi="Courier New" w:hint="default"/>
      </w:rPr>
    </w:lvl>
    <w:lvl w:ilvl="8" w:tplc="D82A63B2">
      <w:start w:val="1"/>
      <w:numFmt w:val="bullet"/>
      <w:lvlText w:val=""/>
      <w:lvlJc w:val="left"/>
      <w:pPr>
        <w:ind w:left="6480" w:hanging="360"/>
      </w:pPr>
      <w:rPr>
        <w:rFonts w:ascii="Wingdings" w:hAnsi="Wingdings" w:hint="default"/>
      </w:rPr>
    </w:lvl>
  </w:abstractNum>
  <w:abstractNum w:abstractNumId="398" w15:restartNumberingAfterBreak="0">
    <w:nsid w:val="55B41D90"/>
    <w:multiLevelType w:val="hybridMultilevel"/>
    <w:tmpl w:val="11D0B844"/>
    <w:lvl w:ilvl="0" w:tplc="7EA4E922">
      <w:start w:val="1"/>
      <w:numFmt w:val="bullet"/>
      <w:lvlText w:val=""/>
      <w:lvlJc w:val="left"/>
      <w:pPr>
        <w:ind w:left="360" w:hanging="360"/>
      </w:pPr>
      <w:rPr>
        <w:rFonts w:ascii="Symbol" w:hAnsi="Symbol" w:hint="default"/>
      </w:rPr>
    </w:lvl>
    <w:lvl w:ilvl="1" w:tplc="7D92D53E">
      <w:start w:val="1"/>
      <w:numFmt w:val="bullet"/>
      <w:lvlText w:val="o"/>
      <w:lvlJc w:val="left"/>
      <w:pPr>
        <w:ind w:left="992" w:hanging="360"/>
      </w:pPr>
      <w:rPr>
        <w:rFonts w:ascii="Courier New" w:hAnsi="Courier New" w:hint="default"/>
      </w:rPr>
    </w:lvl>
    <w:lvl w:ilvl="2" w:tplc="6436C108" w:tentative="1">
      <w:start w:val="1"/>
      <w:numFmt w:val="bullet"/>
      <w:lvlText w:val=""/>
      <w:lvlJc w:val="left"/>
      <w:pPr>
        <w:ind w:left="1800" w:hanging="360"/>
      </w:pPr>
      <w:rPr>
        <w:rFonts w:ascii="Wingdings" w:hAnsi="Wingdings" w:hint="default"/>
      </w:rPr>
    </w:lvl>
    <w:lvl w:ilvl="3" w:tplc="FABCC9D0" w:tentative="1">
      <w:start w:val="1"/>
      <w:numFmt w:val="bullet"/>
      <w:lvlText w:val=""/>
      <w:lvlJc w:val="left"/>
      <w:pPr>
        <w:ind w:left="2520" w:hanging="360"/>
      </w:pPr>
      <w:rPr>
        <w:rFonts w:ascii="Symbol" w:hAnsi="Symbol" w:hint="default"/>
      </w:rPr>
    </w:lvl>
    <w:lvl w:ilvl="4" w:tplc="DC14AC52" w:tentative="1">
      <w:start w:val="1"/>
      <w:numFmt w:val="bullet"/>
      <w:lvlText w:val="o"/>
      <w:lvlJc w:val="left"/>
      <w:pPr>
        <w:ind w:left="3240" w:hanging="360"/>
      </w:pPr>
      <w:rPr>
        <w:rFonts w:ascii="Courier New" w:hAnsi="Courier New" w:hint="default"/>
      </w:rPr>
    </w:lvl>
    <w:lvl w:ilvl="5" w:tplc="6F38412A" w:tentative="1">
      <w:start w:val="1"/>
      <w:numFmt w:val="bullet"/>
      <w:lvlText w:val=""/>
      <w:lvlJc w:val="left"/>
      <w:pPr>
        <w:ind w:left="3960" w:hanging="360"/>
      </w:pPr>
      <w:rPr>
        <w:rFonts w:ascii="Wingdings" w:hAnsi="Wingdings" w:hint="default"/>
      </w:rPr>
    </w:lvl>
    <w:lvl w:ilvl="6" w:tplc="71B82A16" w:tentative="1">
      <w:start w:val="1"/>
      <w:numFmt w:val="bullet"/>
      <w:lvlText w:val=""/>
      <w:lvlJc w:val="left"/>
      <w:pPr>
        <w:ind w:left="4680" w:hanging="360"/>
      </w:pPr>
      <w:rPr>
        <w:rFonts w:ascii="Symbol" w:hAnsi="Symbol" w:hint="default"/>
      </w:rPr>
    </w:lvl>
    <w:lvl w:ilvl="7" w:tplc="F21E10C4" w:tentative="1">
      <w:start w:val="1"/>
      <w:numFmt w:val="bullet"/>
      <w:lvlText w:val="o"/>
      <w:lvlJc w:val="left"/>
      <w:pPr>
        <w:ind w:left="5400" w:hanging="360"/>
      </w:pPr>
      <w:rPr>
        <w:rFonts w:ascii="Courier New" w:hAnsi="Courier New" w:hint="default"/>
      </w:rPr>
    </w:lvl>
    <w:lvl w:ilvl="8" w:tplc="75D0297E" w:tentative="1">
      <w:start w:val="1"/>
      <w:numFmt w:val="bullet"/>
      <w:lvlText w:val=""/>
      <w:lvlJc w:val="left"/>
      <w:pPr>
        <w:ind w:left="6120" w:hanging="360"/>
      </w:pPr>
      <w:rPr>
        <w:rFonts w:ascii="Wingdings" w:hAnsi="Wingdings" w:hint="default"/>
      </w:rPr>
    </w:lvl>
  </w:abstractNum>
  <w:abstractNum w:abstractNumId="399" w15:restartNumberingAfterBreak="0">
    <w:nsid w:val="55E86360"/>
    <w:multiLevelType w:val="hybridMultilevel"/>
    <w:tmpl w:val="26864FF0"/>
    <w:lvl w:ilvl="0" w:tplc="071872F4">
      <w:start w:val="1"/>
      <w:numFmt w:val="bullet"/>
      <w:lvlText w:val=""/>
      <w:lvlJc w:val="left"/>
      <w:pPr>
        <w:ind w:left="720" w:hanging="360"/>
      </w:pPr>
      <w:rPr>
        <w:rFonts w:ascii="Symbol" w:hAnsi="Symbol" w:hint="default"/>
      </w:rPr>
    </w:lvl>
    <w:lvl w:ilvl="1" w:tplc="8D324DA0" w:tentative="1">
      <w:start w:val="1"/>
      <w:numFmt w:val="bullet"/>
      <w:lvlText w:val="o"/>
      <w:lvlJc w:val="left"/>
      <w:pPr>
        <w:ind w:left="1440" w:hanging="360"/>
      </w:pPr>
      <w:rPr>
        <w:rFonts w:ascii="Courier New" w:hAnsi="Courier New" w:hint="default"/>
      </w:rPr>
    </w:lvl>
    <w:lvl w:ilvl="2" w:tplc="6DA0FAEE" w:tentative="1">
      <w:start w:val="1"/>
      <w:numFmt w:val="bullet"/>
      <w:lvlText w:val=""/>
      <w:lvlJc w:val="left"/>
      <w:pPr>
        <w:ind w:left="2160" w:hanging="360"/>
      </w:pPr>
      <w:rPr>
        <w:rFonts w:ascii="Wingdings" w:hAnsi="Wingdings" w:hint="default"/>
      </w:rPr>
    </w:lvl>
    <w:lvl w:ilvl="3" w:tplc="01A21778" w:tentative="1">
      <w:start w:val="1"/>
      <w:numFmt w:val="bullet"/>
      <w:lvlText w:val=""/>
      <w:lvlJc w:val="left"/>
      <w:pPr>
        <w:ind w:left="2880" w:hanging="360"/>
      </w:pPr>
      <w:rPr>
        <w:rFonts w:ascii="Symbol" w:hAnsi="Symbol" w:hint="default"/>
      </w:rPr>
    </w:lvl>
    <w:lvl w:ilvl="4" w:tplc="CA7A3F3C" w:tentative="1">
      <w:start w:val="1"/>
      <w:numFmt w:val="bullet"/>
      <w:lvlText w:val="o"/>
      <w:lvlJc w:val="left"/>
      <w:pPr>
        <w:ind w:left="3600" w:hanging="360"/>
      </w:pPr>
      <w:rPr>
        <w:rFonts w:ascii="Courier New" w:hAnsi="Courier New" w:hint="default"/>
      </w:rPr>
    </w:lvl>
    <w:lvl w:ilvl="5" w:tplc="3BA46C10" w:tentative="1">
      <w:start w:val="1"/>
      <w:numFmt w:val="bullet"/>
      <w:lvlText w:val=""/>
      <w:lvlJc w:val="left"/>
      <w:pPr>
        <w:ind w:left="4320" w:hanging="360"/>
      </w:pPr>
      <w:rPr>
        <w:rFonts w:ascii="Wingdings" w:hAnsi="Wingdings" w:hint="default"/>
      </w:rPr>
    </w:lvl>
    <w:lvl w:ilvl="6" w:tplc="FC6C5E4C" w:tentative="1">
      <w:start w:val="1"/>
      <w:numFmt w:val="bullet"/>
      <w:lvlText w:val=""/>
      <w:lvlJc w:val="left"/>
      <w:pPr>
        <w:ind w:left="5040" w:hanging="360"/>
      </w:pPr>
      <w:rPr>
        <w:rFonts w:ascii="Symbol" w:hAnsi="Symbol" w:hint="default"/>
      </w:rPr>
    </w:lvl>
    <w:lvl w:ilvl="7" w:tplc="F63852FC" w:tentative="1">
      <w:start w:val="1"/>
      <w:numFmt w:val="bullet"/>
      <w:lvlText w:val="o"/>
      <w:lvlJc w:val="left"/>
      <w:pPr>
        <w:ind w:left="5760" w:hanging="360"/>
      </w:pPr>
      <w:rPr>
        <w:rFonts w:ascii="Courier New" w:hAnsi="Courier New" w:hint="default"/>
      </w:rPr>
    </w:lvl>
    <w:lvl w:ilvl="8" w:tplc="14B83B50" w:tentative="1">
      <w:start w:val="1"/>
      <w:numFmt w:val="bullet"/>
      <w:lvlText w:val=""/>
      <w:lvlJc w:val="left"/>
      <w:pPr>
        <w:ind w:left="6480" w:hanging="360"/>
      </w:pPr>
      <w:rPr>
        <w:rFonts w:ascii="Wingdings" w:hAnsi="Wingdings" w:hint="default"/>
      </w:rPr>
    </w:lvl>
  </w:abstractNum>
  <w:abstractNum w:abstractNumId="400" w15:restartNumberingAfterBreak="0">
    <w:nsid w:val="56456B7B"/>
    <w:multiLevelType w:val="hybridMultilevel"/>
    <w:tmpl w:val="3F1A3D82"/>
    <w:lvl w:ilvl="0" w:tplc="7474F8E4">
      <w:start w:val="1"/>
      <w:numFmt w:val="bullet"/>
      <w:lvlText w:val=""/>
      <w:lvlJc w:val="left"/>
      <w:pPr>
        <w:ind w:left="720" w:hanging="360"/>
      </w:pPr>
      <w:rPr>
        <w:rFonts w:ascii="Symbol" w:hAnsi="Symbol" w:hint="default"/>
      </w:rPr>
    </w:lvl>
    <w:lvl w:ilvl="1" w:tplc="EB968CC8" w:tentative="1">
      <w:start w:val="1"/>
      <w:numFmt w:val="bullet"/>
      <w:lvlText w:val="o"/>
      <w:lvlJc w:val="left"/>
      <w:pPr>
        <w:ind w:left="1440" w:hanging="360"/>
      </w:pPr>
      <w:rPr>
        <w:rFonts w:ascii="Courier New" w:hAnsi="Courier New" w:hint="default"/>
      </w:rPr>
    </w:lvl>
    <w:lvl w:ilvl="2" w:tplc="67F6D808" w:tentative="1">
      <w:start w:val="1"/>
      <w:numFmt w:val="bullet"/>
      <w:lvlText w:val=""/>
      <w:lvlJc w:val="left"/>
      <w:pPr>
        <w:ind w:left="2160" w:hanging="360"/>
      </w:pPr>
      <w:rPr>
        <w:rFonts w:ascii="Wingdings" w:hAnsi="Wingdings" w:hint="default"/>
      </w:rPr>
    </w:lvl>
    <w:lvl w:ilvl="3" w:tplc="2BBAC798" w:tentative="1">
      <w:start w:val="1"/>
      <w:numFmt w:val="bullet"/>
      <w:lvlText w:val=""/>
      <w:lvlJc w:val="left"/>
      <w:pPr>
        <w:ind w:left="2880" w:hanging="360"/>
      </w:pPr>
      <w:rPr>
        <w:rFonts w:ascii="Symbol" w:hAnsi="Symbol" w:hint="default"/>
      </w:rPr>
    </w:lvl>
    <w:lvl w:ilvl="4" w:tplc="966E8F92" w:tentative="1">
      <w:start w:val="1"/>
      <w:numFmt w:val="bullet"/>
      <w:lvlText w:val="o"/>
      <w:lvlJc w:val="left"/>
      <w:pPr>
        <w:ind w:left="3600" w:hanging="360"/>
      </w:pPr>
      <w:rPr>
        <w:rFonts w:ascii="Courier New" w:hAnsi="Courier New" w:hint="default"/>
      </w:rPr>
    </w:lvl>
    <w:lvl w:ilvl="5" w:tplc="70CC9F64" w:tentative="1">
      <w:start w:val="1"/>
      <w:numFmt w:val="bullet"/>
      <w:lvlText w:val=""/>
      <w:lvlJc w:val="left"/>
      <w:pPr>
        <w:ind w:left="4320" w:hanging="360"/>
      </w:pPr>
      <w:rPr>
        <w:rFonts w:ascii="Wingdings" w:hAnsi="Wingdings" w:hint="default"/>
      </w:rPr>
    </w:lvl>
    <w:lvl w:ilvl="6" w:tplc="5778095E" w:tentative="1">
      <w:start w:val="1"/>
      <w:numFmt w:val="bullet"/>
      <w:lvlText w:val=""/>
      <w:lvlJc w:val="left"/>
      <w:pPr>
        <w:ind w:left="5040" w:hanging="360"/>
      </w:pPr>
      <w:rPr>
        <w:rFonts w:ascii="Symbol" w:hAnsi="Symbol" w:hint="default"/>
      </w:rPr>
    </w:lvl>
    <w:lvl w:ilvl="7" w:tplc="BFDE4FA2" w:tentative="1">
      <w:start w:val="1"/>
      <w:numFmt w:val="bullet"/>
      <w:lvlText w:val="o"/>
      <w:lvlJc w:val="left"/>
      <w:pPr>
        <w:ind w:left="5760" w:hanging="360"/>
      </w:pPr>
      <w:rPr>
        <w:rFonts w:ascii="Courier New" w:hAnsi="Courier New" w:hint="default"/>
      </w:rPr>
    </w:lvl>
    <w:lvl w:ilvl="8" w:tplc="62BC1A12" w:tentative="1">
      <w:start w:val="1"/>
      <w:numFmt w:val="bullet"/>
      <w:lvlText w:val=""/>
      <w:lvlJc w:val="left"/>
      <w:pPr>
        <w:ind w:left="6480" w:hanging="360"/>
      </w:pPr>
      <w:rPr>
        <w:rFonts w:ascii="Wingdings" w:hAnsi="Wingdings" w:hint="default"/>
      </w:rPr>
    </w:lvl>
  </w:abstractNum>
  <w:abstractNum w:abstractNumId="401" w15:restartNumberingAfterBreak="0">
    <w:nsid w:val="57093815"/>
    <w:multiLevelType w:val="hybridMultilevel"/>
    <w:tmpl w:val="762A8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2" w15:restartNumberingAfterBreak="0">
    <w:nsid w:val="576D3421"/>
    <w:multiLevelType w:val="hybridMultilevel"/>
    <w:tmpl w:val="9EA4967A"/>
    <w:lvl w:ilvl="0" w:tplc="0C09001B">
      <w:start w:val="1"/>
      <w:numFmt w:val="lowerRoman"/>
      <w:lvlText w:val="%1."/>
      <w:lvlJc w:val="right"/>
      <w:pPr>
        <w:ind w:left="720" w:hanging="360"/>
      </w:pPr>
      <w:rPr>
        <w:rFonts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3" w15:restartNumberingAfterBreak="0">
    <w:nsid w:val="579D6F8E"/>
    <w:multiLevelType w:val="multilevel"/>
    <w:tmpl w:val="F0080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4" w15:restartNumberingAfterBreak="0">
    <w:nsid w:val="579D8128"/>
    <w:multiLevelType w:val="hybridMultilevel"/>
    <w:tmpl w:val="FFFFFFFF"/>
    <w:lvl w:ilvl="0" w:tplc="F776FD4C">
      <w:start w:val="1"/>
      <w:numFmt w:val="lowerRoman"/>
      <w:lvlText w:val="(%1)"/>
      <w:lvlJc w:val="right"/>
      <w:pPr>
        <w:ind w:left="720" w:hanging="360"/>
      </w:pPr>
    </w:lvl>
    <w:lvl w:ilvl="1" w:tplc="DC704918">
      <w:start w:val="1"/>
      <w:numFmt w:val="lowerLetter"/>
      <w:lvlText w:val="%2."/>
      <w:lvlJc w:val="left"/>
      <w:pPr>
        <w:ind w:left="1440" w:hanging="360"/>
      </w:pPr>
    </w:lvl>
    <w:lvl w:ilvl="2" w:tplc="9B9426AA">
      <w:start w:val="1"/>
      <w:numFmt w:val="lowerRoman"/>
      <w:lvlText w:val="%3."/>
      <w:lvlJc w:val="right"/>
      <w:pPr>
        <w:ind w:left="2160" w:hanging="180"/>
      </w:pPr>
    </w:lvl>
    <w:lvl w:ilvl="3" w:tplc="9058E596">
      <w:start w:val="1"/>
      <w:numFmt w:val="decimal"/>
      <w:lvlText w:val="%4."/>
      <w:lvlJc w:val="left"/>
      <w:pPr>
        <w:ind w:left="2880" w:hanging="360"/>
      </w:pPr>
    </w:lvl>
    <w:lvl w:ilvl="4" w:tplc="3522E438">
      <w:start w:val="1"/>
      <w:numFmt w:val="lowerLetter"/>
      <w:lvlText w:val="%5."/>
      <w:lvlJc w:val="left"/>
      <w:pPr>
        <w:ind w:left="3600" w:hanging="360"/>
      </w:pPr>
    </w:lvl>
    <w:lvl w:ilvl="5" w:tplc="EC201C94">
      <w:start w:val="1"/>
      <w:numFmt w:val="lowerRoman"/>
      <w:lvlText w:val="%6."/>
      <w:lvlJc w:val="right"/>
      <w:pPr>
        <w:ind w:left="4320" w:hanging="180"/>
      </w:pPr>
    </w:lvl>
    <w:lvl w:ilvl="6" w:tplc="B79A313A">
      <w:start w:val="1"/>
      <w:numFmt w:val="decimal"/>
      <w:lvlText w:val="%7."/>
      <w:lvlJc w:val="left"/>
      <w:pPr>
        <w:ind w:left="5040" w:hanging="360"/>
      </w:pPr>
    </w:lvl>
    <w:lvl w:ilvl="7" w:tplc="C8A8780E">
      <w:start w:val="1"/>
      <w:numFmt w:val="lowerLetter"/>
      <w:lvlText w:val="%8."/>
      <w:lvlJc w:val="left"/>
      <w:pPr>
        <w:ind w:left="5760" w:hanging="360"/>
      </w:pPr>
    </w:lvl>
    <w:lvl w:ilvl="8" w:tplc="289E7A04">
      <w:start w:val="1"/>
      <w:numFmt w:val="lowerRoman"/>
      <w:lvlText w:val="%9."/>
      <w:lvlJc w:val="right"/>
      <w:pPr>
        <w:ind w:left="6480" w:hanging="180"/>
      </w:pPr>
    </w:lvl>
  </w:abstractNum>
  <w:abstractNum w:abstractNumId="405" w15:restartNumberingAfterBreak="0">
    <w:nsid w:val="581E4D0B"/>
    <w:multiLevelType w:val="hybridMultilevel"/>
    <w:tmpl w:val="2182EBDE"/>
    <w:lvl w:ilvl="0" w:tplc="0568E772">
      <w:start w:val="1"/>
      <w:numFmt w:val="bullet"/>
      <w:lvlText w:val=""/>
      <w:lvlJc w:val="left"/>
      <w:pPr>
        <w:ind w:left="360" w:hanging="360"/>
      </w:pPr>
      <w:rPr>
        <w:rFonts w:ascii="Symbol" w:hAnsi="Symbol" w:hint="default"/>
      </w:rPr>
    </w:lvl>
    <w:lvl w:ilvl="1" w:tplc="C20E1208" w:tentative="1">
      <w:start w:val="1"/>
      <w:numFmt w:val="bullet"/>
      <w:lvlText w:val="o"/>
      <w:lvlJc w:val="left"/>
      <w:pPr>
        <w:ind w:left="1080" w:hanging="360"/>
      </w:pPr>
      <w:rPr>
        <w:rFonts w:ascii="Courier New" w:hAnsi="Courier New" w:hint="default"/>
      </w:rPr>
    </w:lvl>
    <w:lvl w:ilvl="2" w:tplc="1E1A11E4" w:tentative="1">
      <w:start w:val="1"/>
      <w:numFmt w:val="bullet"/>
      <w:lvlText w:val=""/>
      <w:lvlJc w:val="left"/>
      <w:pPr>
        <w:ind w:left="1800" w:hanging="360"/>
      </w:pPr>
      <w:rPr>
        <w:rFonts w:ascii="Wingdings" w:hAnsi="Wingdings" w:hint="default"/>
      </w:rPr>
    </w:lvl>
    <w:lvl w:ilvl="3" w:tplc="DCF09072" w:tentative="1">
      <w:start w:val="1"/>
      <w:numFmt w:val="bullet"/>
      <w:lvlText w:val=""/>
      <w:lvlJc w:val="left"/>
      <w:pPr>
        <w:ind w:left="2520" w:hanging="360"/>
      </w:pPr>
      <w:rPr>
        <w:rFonts w:ascii="Symbol" w:hAnsi="Symbol" w:hint="default"/>
      </w:rPr>
    </w:lvl>
    <w:lvl w:ilvl="4" w:tplc="ED58D6A8" w:tentative="1">
      <w:start w:val="1"/>
      <w:numFmt w:val="bullet"/>
      <w:lvlText w:val="o"/>
      <w:lvlJc w:val="left"/>
      <w:pPr>
        <w:ind w:left="3240" w:hanging="360"/>
      </w:pPr>
      <w:rPr>
        <w:rFonts w:ascii="Courier New" w:hAnsi="Courier New" w:hint="default"/>
      </w:rPr>
    </w:lvl>
    <w:lvl w:ilvl="5" w:tplc="86362842" w:tentative="1">
      <w:start w:val="1"/>
      <w:numFmt w:val="bullet"/>
      <w:lvlText w:val=""/>
      <w:lvlJc w:val="left"/>
      <w:pPr>
        <w:ind w:left="3960" w:hanging="360"/>
      </w:pPr>
      <w:rPr>
        <w:rFonts w:ascii="Wingdings" w:hAnsi="Wingdings" w:hint="default"/>
      </w:rPr>
    </w:lvl>
    <w:lvl w:ilvl="6" w:tplc="B02C2936" w:tentative="1">
      <w:start w:val="1"/>
      <w:numFmt w:val="bullet"/>
      <w:lvlText w:val=""/>
      <w:lvlJc w:val="left"/>
      <w:pPr>
        <w:ind w:left="4680" w:hanging="360"/>
      </w:pPr>
      <w:rPr>
        <w:rFonts w:ascii="Symbol" w:hAnsi="Symbol" w:hint="default"/>
      </w:rPr>
    </w:lvl>
    <w:lvl w:ilvl="7" w:tplc="8998ED56" w:tentative="1">
      <w:start w:val="1"/>
      <w:numFmt w:val="bullet"/>
      <w:lvlText w:val="o"/>
      <w:lvlJc w:val="left"/>
      <w:pPr>
        <w:ind w:left="5400" w:hanging="360"/>
      </w:pPr>
      <w:rPr>
        <w:rFonts w:ascii="Courier New" w:hAnsi="Courier New" w:hint="default"/>
      </w:rPr>
    </w:lvl>
    <w:lvl w:ilvl="8" w:tplc="7B6438D6" w:tentative="1">
      <w:start w:val="1"/>
      <w:numFmt w:val="bullet"/>
      <w:lvlText w:val=""/>
      <w:lvlJc w:val="left"/>
      <w:pPr>
        <w:ind w:left="6120" w:hanging="360"/>
      </w:pPr>
      <w:rPr>
        <w:rFonts w:ascii="Wingdings" w:hAnsi="Wingdings" w:hint="default"/>
      </w:rPr>
    </w:lvl>
  </w:abstractNum>
  <w:abstractNum w:abstractNumId="406" w15:restartNumberingAfterBreak="0">
    <w:nsid w:val="584C1BE4"/>
    <w:multiLevelType w:val="multilevel"/>
    <w:tmpl w:val="86A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86B38D4"/>
    <w:multiLevelType w:val="multilevel"/>
    <w:tmpl w:val="DDE4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9357435"/>
    <w:multiLevelType w:val="hybridMultilevel"/>
    <w:tmpl w:val="FFFFFFFF"/>
    <w:lvl w:ilvl="0" w:tplc="9C9821BC">
      <w:start w:val="1"/>
      <w:numFmt w:val="bullet"/>
      <w:lvlText w:val=""/>
      <w:lvlJc w:val="left"/>
      <w:pPr>
        <w:ind w:left="720" w:hanging="360"/>
      </w:pPr>
      <w:rPr>
        <w:rFonts w:ascii="Symbol" w:hAnsi="Symbol" w:hint="default"/>
      </w:rPr>
    </w:lvl>
    <w:lvl w:ilvl="1" w:tplc="9294DCC4">
      <w:start w:val="1"/>
      <w:numFmt w:val="bullet"/>
      <w:lvlText w:val="o"/>
      <w:lvlJc w:val="left"/>
      <w:pPr>
        <w:ind w:left="1440" w:hanging="360"/>
      </w:pPr>
      <w:rPr>
        <w:rFonts w:ascii="Courier New" w:hAnsi="Courier New" w:hint="default"/>
      </w:rPr>
    </w:lvl>
    <w:lvl w:ilvl="2" w:tplc="F434F396">
      <w:start w:val="1"/>
      <w:numFmt w:val="bullet"/>
      <w:lvlText w:val=""/>
      <w:lvlJc w:val="left"/>
      <w:pPr>
        <w:ind w:left="2160" w:hanging="360"/>
      </w:pPr>
      <w:rPr>
        <w:rFonts w:ascii="Wingdings" w:hAnsi="Wingdings" w:hint="default"/>
      </w:rPr>
    </w:lvl>
    <w:lvl w:ilvl="3" w:tplc="7E669710">
      <w:start w:val="1"/>
      <w:numFmt w:val="bullet"/>
      <w:lvlText w:val=""/>
      <w:lvlJc w:val="left"/>
      <w:pPr>
        <w:ind w:left="2880" w:hanging="360"/>
      </w:pPr>
      <w:rPr>
        <w:rFonts w:ascii="Symbol" w:hAnsi="Symbol" w:hint="default"/>
      </w:rPr>
    </w:lvl>
    <w:lvl w:ilvl="4" w:tplc="D49CF48A">
      <w:start w:val="1"/>
      <w:numFmt w:val="bullet"/>
      <w:lvlText w:val="o"/>
      <w:lvlJc w:val="left"/>
      <w:pPr>
        <w:ind w:left="3600" w:hanging="360"/>
      </w:pPr>
      <w:rPr>
        <w:rFonts w:ascii="Courier New" w:hAnsi="Courier New" w:hint="default"/>
      </w:rPr>
    </w:lvl>
    <w:lvl w:ilvl="5" w:tplc="F04E7CE4">
      <w:start w:val="1"/>
      <w:numFmt w:val="bullet"/>
      <w:lvlText w:val=""/>
      <w:lvlJc w:val="left"/>
      <w:pPr>
        <w:ind w:left="4320" w:hanging="360"/>
      </w:pPr>
      <w:rPr>
        <w:rFonts w:ascii="Wingdings" w:hAnsi="Wingdings" w:hint="default"/>
      </w:rPr>
    </w:lvl>
    <w:lvl w:ilvl="6" w:tplc="A296E6EA">
      <w:start w:val="1"/>
      <w:numFmt w:val="bullet"/>
      <w:lvlText w:val=""/>
      <w:lvlJc w:val="left"/>
      <w:pPr>
        <w:ind w:left="5040" w:hanging="360"/>
      </w:pPr>
      <w:rPr>
        <w:rFonts w:ascii="Symbol" w:hAnsi="Symbol" w:hint="default"/>
      </w:rPr>
    </w:lvl>
    <w:lvl w:ilvl="7" w:tplc="4086C326">
      <w:start w:val="1"/>
      <w:numFmt w:val="bullet"/>
      <w:lvlText w:val="o"/>
      <w:lvlJc w:val="left"/>
      <w:pPr>
        <w:ind w:left="5760" w:hanging="360"/>
      </w:pPr>
      <w:rPr>
        <w:rFonts w:ascii="Courier New" w:hAnsi="Courier New" w:hint="default"/>
      </w:rPr>
    </w:lvl>
    <w:lvl w:ilvl="8" w:tplc="2932B924">
      <w:start w:val="1"/>
      <w:numFmt w:val="bullet"/>
      <w:lvlText w:val=""/>
      <w:lvlJc w:val="left"/>
      <w:pPr>
        <w:ind w:left="6480" w:hanging="360"/>
      </w:pPr>
      <w:rPr>
        <w:rFonts w:ascii="Wingdings" w:hAnsi="Wingdings" w:hint="default"/>
      </w:rPr>
    </w:lvl>
  </w:abstractNum>
  <w:abstractNum w:abstractNumId="409" w15:restartNumberingAfterBreak="0">
    <w:nsid w:val="597D55B9"/>
    <w:multiLevelType w:val="multilevel"/>
    <w:tmpl w:val="7F34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59C94E74"/>
    <w:multiLevelType w:val="hybridMultilevel"/>
    <w:tmpl w:val="028867BE"/>
    <w:lvl w:ilvl="0" w:tplc="08BEBE86">
      <w:start w:val="1"/>
      <w:numFmt w:val="bullet"/>
      <w:lvlText w:val=""/>
      <w:lvlJc w:val="left"/>
      <w:pPr>
        <w:ind w:left="720" w:hanging="360"/>
      </w:pPr>
      <w:rPr>
        <w:rFonts w:ascii="Symbol" w:hAnsi="Symbol" w:hint="default"/>
      </w:rPr>
    </w:lvl>
    <w:lvl w:ilvl="1" w:tplc="B91CF90E">
      <w:start w:val="1"/>
      <w:numFmt w:val="bullet"/>
      <w:lvlText w:val="o"/>
      <w:lvlJc w:val="left"/>
      <w:pPr>
        <w:ind w:left="1440" w:hanging="360"/>
      </w:pPr>
      <w:rPr>
        <w:rFonts w:ascii="Courier New" w:hAnsi="Courier New" w:hint="default"/>
      </w:rPr>
    </w:lvl>
    <w:lvl w:ilvl="2" w:tplc="529E1086">
      <w:start w:val="1"/>
      <w:numFmt w:val="bullet"/>
      <w:lvlText w:val=""/>
      <w:lvlJc w:val="left"/>
      <w:pPr>
        <w:ind w:left="2160" w:hanging="360"/>
      </w:pPr>
      <w:rPr>
        <w:rFonts w:ascii="Wingdings" w:hAnsi="Wingdings" w:hint="default"/>
      </w:rPr>
    </w:lvl>
    <w:lvl w:ilvl="3" w:tplc="55760382" w:tentative="1">
      <w:start w:val="1"/>
      <w:numFmt w:val="bullet"/>
      <w:lvlText w:val=""/>
      <w:lvlJc w:val="left"/>
      <w:pPr>
        <w:ind w:left="2880" w:hanging="360"/>
      </w:pPr>
      <w:rPr>
        <w:rFonts w:ascii="Symbol" w:hAnsi="Symbol" w:hint="default"/>
      </w:rPr>
    </w:lvl>
    <w:lvl w:ilvl="4" w:tplc="E736AC04" w:tentative="1">
      <w:start w:val="1"/>
      <w:numFmt w:val="bullet"/>
      <w:lvlText w:val="o"/>
      <w:lvlJc w:val="left"/>
      <w:pPr>
        <w:ind w:left="3600" w:hanging="360"/>
      </w:pPr>
      <w:rPr>
        <w:rFonts w:ascii="Courier New" w:hAnsi="Courier New" w:hint="default"/>
      </w:rPr>
    </w:lvl>
    <w:lvl w:ilvl="5" w:tplc="9AEE0698" w:tentative="1">
      <w:start w:val="1"/>
      <w:numFmt w:val="bullet"/>
      <w:lvlText w:val=""/>
      <w:lvlJc w:val="left"/>
      <w:pPr>
        <w:ind w:left="4320" w:hanging="360"/>
      </w:pPr>
      <w:rPr>
        <w:rFonts w:ascii="Wingdings" w:hAnsi="Wingdings" w:hint="default"/>
      </w:rPr>
    </w:lvl>
    <w:lvl w:ilvl="6" w:tplc="57D01824" w:tentative="1">
      <w:start w:val="1"/>
      <w:numFmt w:val="bullet"/>
      <w:lvlText w:val=""/>
      <w:lvlJc w:val="left"/>
      <w:pPr>
        <w:ind w:left="5040" w:hanging="360"/>
      </w:pPr>
      <w:rPr>
        <w:rFonts w:ascii="Symbol" w:hAnsi="Symbol" w:hint="default"/>
      </w:rPr>
    </w:lvl>
    <w:lvl w:ilvl="7" w:tplc="75CEF3C6" w:tentative="1">
      <w:start w:val="1"/>
      <w:numFmt w:val="bullet"/>
      <w:lvlText w:val="o"/>
      <w:lvlJc w:val="left"/>
      <w:pPr>
        <w:ind w:left="5760" w:hanging="360"/>
      </w:pPr>
      <w:rPr>
        <w:rFonts w:ascii="Courier New" w:hAnsi="Courier New" w:hint="default"/>
      </w:rPr>
    </w:lvl>
    <w:lvl w:ilvl="8" w:tplc="8A20705A" w:tentative="1">
      <w:start w:val="1"/>
      <w:numFmt w:val="bullet"/>
      <w:lvlText w:val=""/>
      <w:lvlJc w:val="left"/>
      <w:pPr>
        <w:ind w:left="6480" w:hanging="360"/>
      </w:pPr>
      <w:rPr>
        <w:rFonts w:ascii="Wingdings" w:hAnsi="Wingdings" w:hint="default"/>
      </w:rPr>
    </w:lvl>
  </w:abstractNum>
  <w:abstractNum w:abstractNumId="411" w15:restartNumberingAfterBreak="0">
    <w:nsid w:val="59E57F84"/>
    <w:multiLevelType w:val="hybridMultilevel"/>
    <w:tmpl w:val="7C844682"/>
    <w:lvl w:ilvl="0" w:tplc="A53A4678">
      <w:start w:val="1"/>
      <w:numFmt w:val="bullet"/>
      <w:lvlText w:val=""/>
      <w:lvlJc w:val="left"/>
      <w:pPr>
        <w:ind w:left="720" w:hanging="360"/>
      </w:pPr>
      <w:rPr>
        <w:rFonts w:ascii="Symbol" w:hAnsi="Symbol" w:hint="default"/>
      </w:rPr>
    </w:lvl>
    <w:lvl w:ilvl="1" w:tplc="F4B457B8" w:tentative="1">
      <w:start w:val="1"/>
      <w:numFmt w:val="bullet"/>
      <w:lvlText w:val="o"/>
      <w:lvlJc w:val="left"/>
      <w:pPr>
        <w:ind w:left="1440" w:hanging="360"/>
      </w:pPr>
      <w:rPr>
        <w:rFonts w:ascii="Courier New" w:hAnsi="Courier New" w:hint="default"/>
      </w:rPr>
    </w:lvl>
    <w:lvl w:ilvl="2" w:tplc="A3DE048A" w:tentative="1">
      <w:start w:val="1"/>
      <w:numFmt w:val="bullet"/>
      <w:lvlText w:val=""/>
      <w:lvlJc w:val="left"/>
      <w:pPr>
        <w:ind w:left="2160" w:hanging="360"/>
      </w:pPr>
      <w:rPr>
        <w:rFonts w:ascii="Wingdings" w:hAnsi="Wingdings" w:hint="default"/>
      </w:rPr>
    </w:lvl>
    <w:lvl w:ilvl="3" w:tplc="6442C212" w:tentative="1">
      <w:start w:val="1"/>
      <w:numFmt w:val="bullet"/>
      <w:lvlText w:val=""/>
      <w:lvlJc w:val="left"/>
      <w:pPr>
        <w:ind w:left="2880" w:hanging="360"/>
      </w:pPr>
      <w:rPr>
        <w:rFonts w:ascii="Symbol" w:hAnsi="Symbol" w:hint="default"/>
      </w:rPr>
    </w:lvl>
    <w:lvl w:ilvl="4" w:tplc="E27C5A3A" w:tentative="1">
      <w:start w:val="1"/>
      <w:numFmt w:val="bullet"/>
      <w:lvlText w:val="o"/>
      <w:lvlJc w:val="left"/>
      <w:pPr>
        <w:ind w:left="3600" w:hanging="360"/>
      </w:pPr>
      <w:rPr>
        <w:rFonts w:ascii="Courier New" w:hAnsi="Courier New" w:hint="default"/>
      </w:rPr>
    </w:lvl>
    <w:lvl w:ilvl="5" w:tplc="B924138C" w:tentative="1">
      <w:start w:val="1"/>
      <w:numFmt w:val="bullet"/>
      <w:lvlText w:val=""/>
      <w:lvlJc w:val="left"/>
      <w:pPr>
        <w:ind w:left="4320" w:hanging="360"/>
      </w:pPr>
      <w:rPr>
        <w:rFonts w:ascii="Wingdings" w:hAnsi="Wingdings" w:hint="default"/>
      </w:rPr>
    </w:lvl>
    <w:lvl w:ilvl="6" w:tplc="44087C0A" w:tentative="1">
      <w:start w:val="1"/>
      <w:numFmt w:val="bullet"/>
      <w:lvlText w:val=""/>
      <w:lvlJc w:val="left"/>
      <w:pPr>
        <w:ind w:left="5040" w:hanging="360"/>
      </w:pPr>
      <w:rPr>
        <w:rFonts w:ascii="Symbol" w:hAnsi="Symbol" w:hint="default"/>
      </w:rPr>
    </w:lvl>
    <w:lvl w:ilvl="7" w:tplc="18D86160" w:tentative="1">
      <w:start w:val="1"/>
      <w:numFmt w:val="bullet"/>
      <w:lvlText w:val="o"/>
      <w:lvlJc w:val="left"/>
      <w:pPr>
        <w:ind w:left="5760" w:hanging="360"/>
      </w:pPr>
      <w:rPr>
        <w:rFonts w:ascii="Courier New" w:hAnsi="Courier New" w:hint="default"/>
      </w:rPr>
    </w:lvl>
    <w:lvl w:ilvl="8" w:tplc="264CA956" w:tentative="1">
      <w:start w:val="1"/>
      <w:numFmt w:val="bullet"/>
      <w:lvlText w:val=""/>
      <w:lvlJc w:val="left"/>
      <w:pPr>
        <w:ind w:left="6480" w:hanging="360"/>
      </w:pPr>
      <w:rPr>
        <w:rFonts w:ascii="Wingdings" w:hAnsi="Wingdings" w:hint="default"/>
      </w:rPr>
    </w:lvl>
  </w:abstractNum>
  <w:abstractNum w:abstractNumId="412" w15:restartNumberingAfterBreak="0">
    <w:nsid w:val="5A45522F"/>
    <w:multiLevelType w:val="hybridMultilevel"/>
    <w:tmpl w:val="76C83310"/>
    <w:lvl w:ilvl="0" w:tplc="91B41E04">
      <w:start w:val="1"/>
      <w:numFmt w:val="bullet"/>
      <w:lvlText w:val=""/>
      <w:lvlJc w:val="left"/>
      <w:pPr>
        <w:ind w:left="720" w:hanging="360"/>
      </w:pPr>
      <w:rPr>
        <w:rFonts w:ascii="Symbol" w:hAnsi="Symbol" w:hint="default"/>
      </w:rPr>
    </w:lvl>
    <w:lvl w:ilvl="1" w:tplc="E902770C" w:tentative="1">
      <w:start w:val="1"/>
      <w:numFmt w:val="bullet"/>
      <w:lvlText w:val="o"/>
      <w:lvlJc w:val="left"/>
      <w:pPr>
        <w:ind w:left="1440" w:hanging="360"/>
      </w:pPr>
      <w:rPr>
        <w:rFonts w:ascii="Courier New" w:hAnsi="Courier New" w:hint="default"/>
      </w:rPr>
    </w:lvl>
    <w:lvl w:ilvl="2" w:tplc="67B2B310" w:tentative="1">
      <w:start w:val="1"/>
      <w:numFmt w:val="bullet"/>
      <w:lvlText w:val=""/>
      <w:lvlJc w:val="left"/>
      <w:pPr>
        <w:ind w:left="2160" w:hanging="360"/>
      </w:pPr>
      <w:rPr>
        <w:rFonts w:ascii="Wingdings" w:hAnsi="Wingdings" w:hint="default"/>
      </w:rPr>
    </w:lvl>
    <w:lvl w:ilvl="3" w:tplc="0ABE6F92" w:tentative="1">
      <w:start w:val="1"/>
      <w:numFmt w:val="bullet"/>
      <w:lvlText w:val=""/>
      <w:lvlJc w:val="left"/>
      <w:pPr>
        <w:ind w:left="2880" w:hanging="360"/>
      </w:pPr>
      <w:rPr>
        <w:rFonts w:ascii="Symbol" w:hAnsi="Symbol" w:hint="default"/>
      </w:rPr>
    </w:lvl>
    <w:lvl w:ilvl="4" w:tplc="B308B49E" w:tentative="1">
      <w:start w:val="1"/>
      <w:numFmt w:val="bullet"/>
      <w:lvlText w:val="o"/>
      <w:lvlJc w:val="left"/>
      <w:pPr>
        <w:ind w:left="3600" w:hanging="360"/>
      </w:pPr>
      <w:rPr>
        <w:rFonts w:ascii="Courier New" w:hAnsi="Courier New" w:hint="default"/>
      </w:rPr>
    </w:lvl>
    <w:lvl w:ilvl="5" w:tplc="83921D0A" w:tentative="1">
      <w:start w:val="1"/>
      <w:numFmt w:val="bullet"/>
      <w:lvlText w:val=""/>
      <w:lvlJc w:val="left"/>
      <w:pPr>
        <w:ind w:left="4320" w:hanging="360"/>
      </w:pPr>
      <w:rPr>
        <w:rFonts w:ascii="Wingdings" w:hAnsi="Wingdings" w:hint="default"/>
      </w:rPr>
    </w:lvl>
    <w:lvl w:ilvl="6" w:tplc="86DAE498" w:tentative="1">
      <w:start w:val="1"/>
      <w:numFmt w:val="bullet"/>
      <w:lvlText w:val=""/>
      <w:lvlJc w:val="left"/>
      <w:pPr>
        <w:ind w:left="5040" w:hanging="360"/>
      </w:pPr>
      <w:rPr>
        <w:rFonts w:ascii="Symbol" w:hAnsi="Symbol" w:hint="default"/>
      </w:rPr>
    </w:lvl>
    <w:lvl w:ilvl="7" w:tplc="59F8DB52" w:tentative="1">
      <w:start w:val="1"/>
      <w:numFmt w:val="bullet"/>
      <w:lvlText w:val="o"/>
      <w:lvlJc w:val="left"/>
      <w:pPr>
        <w:ind w:left="5760" w:hanging="360"/>
      </w:pPr>
      <w:rPr>
        <w:rFonts w:ascii="Courier New" w:hAnsi="Courier New" w:hint="default"/>
      </w:rPr>
    </w:lvl>
    <w:lvl w:ilvl="8" w:tplc="51BC2F72" w:tentative="1">
      <w:start w:val="1"/>
      <w:numFmt w:val="bullet"/>
      <w:lvlText w:val=""/>
      <w:lvlJc w:val="left"/>
      <w:pPr>
        <w:ind w:left="6480" w:hanging="360"/>
      </w:pPr>
      <w:rPr>
        <w:rFonts w:ascii="Wingdings" w:hAnsi="Wingdings" w:hint="default"/>
      </w:rPr>
    </w:lvl>
  </w:abstractNum>
  <w:abstractNum w:abstractNumId="413" w15:restartNumberingAfterBreak="0">
    <w:nsid w:val="5A838022"/>
    <w:multiLevelType w:val="hybridMultilevel"/>
    <w:tmpl w:val="FFFFFFFF"/>
    <w:lvl w:ilvl="0" w:tplc="3D16C310">
      <w:start w:val="1"/>
      <w:numFmt w:val="bullet"/>
      <w:lvlText w:val="·"/>
      <w:lvlJc w:val="left"/>
      <w:pPr>
        <w:ind w:left="720" w:hanging="360"/>
      </w:pPr>
      <w:rPr>
        <w:rFonts w:ascii="Symbol" w:hAnsi="Symbol" w:hint="default"/>
      </w:rPr>
    </w:lvl>
    <w:lvl w:ilvl="1" w:tplc="B60C76B0">
      <w:start w:val="1"/>
      <w:numFmt w:val="bullet"/>
      <w:lvlText w:val="o"/>
      <w:lvlJc w:val="left"/>
      <w:pPr>
        <w:ind w:left="1440" w:hanging="360"/>
      </w:pPr>
      <w:rPr>
        <w:rFonts w:ascii="Courier New" w:hAnsi="Courier New" w:hint="default"/>
      </w:rPr>
    </w:lvl>
    <w:lvl w:ilvl="2" w:tplc="A9628284">
      <w:start w:val="1"/>
      <w:numFmt w:val="bullet"/>
      <w:lvlText w:val=""/>
      <w:lvlJc w:val="left"/>
      <w:pPr>
        <w:ind w:left="2160" w:hanging="360"/>
      </w:pPr>
      <w:rPr>
        <w:rFonts w:ascii="Wingdings" w:hAnsi="Wingdings" w:hint="default"/>
      </w:rPr>
    </w:lvl>
    <w:lvl w:ilvl="3" w:tplc="5F468A88">
      <w:start w:val="1"/>
      <w:numFmt w:val="bullet"/>
      <w:lvlText w:val=""/>
      <w:lvlJc w:val="left"/>
      <w:pPr>
        <w:ind w:left="2880" w:hanging="360"/>
      </w:pPr>
      <w:rPr>
        <w:rFonts w:ascii="Symbol" w:hAnsi="Symbol" w:hint="default"/>
      </w:rPr>
    </w:lvl>
    <w:lvl w:ilvl="4" w:tplc="179E4F50">
      <w:start w:val="1"/>
      <w:numFmt w:val="bullet"/>
      <w:lvlText w:val="o"/>
      <w:lvlJc w:val="left"/>
      <w:pPr>
        <w:ind w:left="3600" w:hanging="360"/>
      </w:pPr>
      <w:rPr>
        <w:rFonts w:ascii="Courier New" w:hAnsi="Courier New" w:hint="default"/>
      </w:rPr>
    </w:lvl>
    <w:lvl w:ilvl="5" w:tplc="17A69A46">
      <w:start w:val="1"/>
      <w:numFmt w:val="bullet"/>
      <w:lvlText w:val=""/>
      <w:lvlJc w:val="left"/>
      <w:pPr>
        <w:ind w:left="4320" w:hanging="360"/>
      </w:pPr>
      <w:rPr>
        <w:rFonts w:ascii="Wingdings" w:hAnsi="Wingdings" w:hint="default"/>
      </w:rPr>
    </w:lvl>
    <w:lvl w:ilvl="6" w:tplc="DE3A15CC">
      <w:start w:val="1"/>
      <w:numFmt w:val="bullet"/>
      <w:lvlText w:val=""/>
      <w:lvlJc w:val="left"/>
      <w:pPr>
        <w:ind w:left="5040" w:hanging="360"/>
      </w:pPr>
      <w:rPr>
        <w:rFonts w:ascii="Symbol" w:hAnsi="Symbol" w:hint="default"/>
      </w:rPr>
    </w:lvl>
    <w:lvl w:ilvl="7" w:tplc="7BBA070C">
      <w:start w:val="1"/>
      <w:numFmt w:val="bullet"/>
      <w:lvlText w:val="o"/>
      <w:lvlJc w:val="left"/>
      <w:pPr>
        <w:ind w:left="5760" w:hanging="360"/>
      </w:pPr>
      <w:rPr>
        <w:rFonts w:ascii="Courier New" w:hAnsi="Courier New" w:hint="default"/>
      </w:rPr>
    </w:lvl>
    <w:lvl w:ilvl="8" w:tplc="B4A4916C">
      <w:start w:val="1"/>
      <w:numFmt w:val="bullet"/>
      <w:lvlText w:val=""/>
      <w:lvlJc w:val="left"/>
      <w:pPr>
        <w:ind w:left="6480" w:hanging="360"/>
      </w:pPr>
      <w:rPr>
        <w:rFonts w:ascii="Wingdings" w:hAnsi="Wingdings" w:hint="default"/>
      </w:rPr>
    </w:lvl>
  </w:abstractNum>
  <w:abstractNum w:abstractNumId="414" w15:restartNumberingAfterBreak="0">
    <w:nsid w:val="5AF53E33"/>
    <w:multiLevelType w:val="hybridMultilevel"/>
    <w:tmpl w:val="ED56B5D2"/>
    <w:lvl w:ilvl="0" w:tplc="C0E8167A">
      <w:start w:val="1"/>
      <w:numFmt w:val="bullet"/>
      <w:lvlText w:val=""/>
      <w:lvlJc w:val="left"/>
      <w:pPr>
        <w:ind w:left="720" w:hanging="360"/>
      </w:pPr>
      <w:rPr>
        <w:rFonts w:ascii="Symbol" w:hAnsi="Symbol" w:hint="default"/>
      </w:rPr>
    </w:lvl>
    <w:lvl w:ilvl="1" w:tplc="8BE8B182" w:tentative="1">
      <w:start w:val="1"/>
      <w:numFmt w:val="bullet"/>
      <w:lvlText w:val="o"/>
      <w:lvlJc w:val="left"/>
      <w:pPr>
        <w:ind w:left="1440" w:hanging="360"/>
      </w:pPr>
      <w:rPr>
        <w:rFonts w:ascii="Courier New" w:hAnsi="Courier New" w:hint="default"/>
      </w:rPr>
    </w:lvl>
    <w:lvl w:ilvl="2" w:tplc="756E63A4" w:tentative="1">
      <w:start w:val="1"/>
      <w:numFmt w:val="bullet"/>
      <w:lvlText w:val=""/>
      <w:lvlJc w:val="left"/>
      <w:pPr>
        <w:ind w:left="2160" w:hanging="360"/>
      </w:pPr>
      <w:rPr>
        <w:rFonts w:ascii="Wingdings" w:hAnsi="Wingdings" w:hint="default"/>
      </w:rPr>
    </w:lvl>
    <w:lvl w:ilvl="3" w:tplc="EE6E8F38" w:tentative="1">
      <w:start w:val="1"/>
      <w:numFmt w:val="bullet"/>
      <w:lvlText w:val=""/>
      <w:lvlJc w:val="left"/>
      <w:pPr>
        <w:ind w:left="2880" w:hanging="360"/>
      </w:pPr>
      <w:rPr>
        <w:rFonts w:ascii="Symbol" w:hAnsi="Symbol" w:hint="default"/>
      </w:rPr>
    </w:lvl>
    <w:lvl w:ilvl="4" w:tplc="FFA4F316" w:tentative="1">
      <w:start w:val="1"/>
      <w:numFmt w:val="bullet"/>
      <w:lvlText w:val="o"/>
      <w:lvlJc w:val="left"/>
      <w:pPr>
        <w:ind w:left="3600" w:hanging="360"/>
      </w:pPr>
      <w:rPr>
        <w:rFonts w:ascii="Courier New" w:hAnsi="Courier New" w:hint="default"/>
      </w:rPr>
    </w:lvl>
    <w:lvl w:ilvl="5" w:tplc="132E3F04" w:tentative="1">
      <w:start w:val="1"/>
      <w:numFmt w:val="bullet"/>
      <w:lvlText w:val=""/>
      <w:lvlJc w:val="left"/>
      <w:pPr>
        <w:ind w:left="4320" w:hanging="360"/>
      </w:pPr>
      <w:rPr>
        <w:rFonts w:ascii="Wingdings" w:hAnsi="Wingdings" w:hint="default"/>
      </w:rPr>
    </w:lvl>
    <w:lvl w:ilvl="6" w:tplc="E25213F2" w:tentative="1">
      <w:start w:val="1"/>
      <w:numFmt w:val="bullet"/>
      <w:lvlText w:val=""/>
      <w:lvlJc w:val="left"/>
      <w:pPr>
        <w:ind w:left="5040" w:hanging="360"/>
      </w:pPr>
      <w:rPr>
        <w:rFonts w:ascii="Symbol" w:hAnsi="Symbol" w:hint="default"/>
      </w:rPr>
    </w:lvl>
    <w:lvl w:ilvl="7" w:tplc="74B6FBE8" w:tentative="1">
      <w:start w:val="1"/>
      <w:numFmt w:val="bullet"/>
      <w:lvlText w:val="o"/>
      <w:lvlJc w:val="left"/>
      <w:pPr>
        <w:ind w:left="5760" w:hanging="360"/>
      </w:pPr>
      <w:rPr>
        <w:rFonts w:ascii="Courier New" w:hAnsi="Courier New" w:hint="default"/>
      </w:rPr>
    </w:lvl>
    <w:lvl w:ilvl="8" w:tplc="7B2A72E0" w:tentative="1">
      <w:start w:val="1"/>
      <w:numFmt w:val="bullet"/>
      <w:lvlText w:val=""/>
      <w:lvlJc w:val="left"/>
      <w:pPr>
        <w:ind w:left="6480" w:hanging="360"/>
      </w:pPr>
      <w:rPr>
        <w:rFonts w:ascii="Wingdings" w:hAnsi="Wingdings" w:hint="default"/>
      </w:rPr>
    </w:lvl>
  </w:abstractNum>
  <w:abstractNum w:abstractNumId="415" w15:restartNumberingAfterBreak="0">
    <w:nsid w:val="5B02E4F0"/>
    <w:multiLevelType w:val="hybridMultilevel"/>
    <w:tmpl w:val="FFFFFFFF"/>
    <w:lvl w:ilvl="0" w:tplc="0DDC1208">
      <w:start w:val="1"/>
      <w:numFmt w:val="bullet"/>
      <w:lvlText w:val="o"/>
      <w:lvlJc w:val="left"/>
      <w:pPr>
        <w:ind w:left="720" w:hanging="360"/>
      </w:pPr>
      <w:rPr>
        <w:rFonts w:ascii="Courier New" w:hAnsi="Courier New" w:hint="default"/>
      </w:rPr>
    </w:lvl>
    <w:lvl w:ilvl="1" w:tplc="28E43936">
      <w:start w:val="1"/>
      <w:numFmt w:val="bullet"/>
      <w:lvlText w:val="o"/>
      <w:lvlJc w:val="left"/>
      <w:pPr>
        <w:ind w:left="1440" w:hanging="360"/>
      </w:pPr>
      <w:rPr>
        <w:rFonts w:ascii="Courier New" w:hAnsi="Courier New" w:hint="default"/>
      </w:rPr>
    </w:lvl>
    <w:lvl w:ilvl="2" w:tplc="287A27D6">
      <w:start w:val="1"/>
      <w:numFmt w:val="bullet"/>
      <w:lvlText w:val=""/>
      <w:lvlJc w:val="left"/>
      <w:pPr>
        <w:ind w:left="2160" w:hanging="360"/>
      </w:pPr>
      <w:rPr>
        <w:rFonts w:ascii="Wingdings" w:hAnsi="Wingdings" w:hint="default"/>
      </w:rPr>
    </w:lvl>
    <w:lvl w:ilvl="3" w:tplc="AC70C65E">
      <w:start w:val="1"/>
      <w:numFmt w:val="bullet"/>
      <w:lvlText w:val=""/>
      <w:lvlJc w:val="left"/>
      <w:pPr>
        <w:ind w:left="2880" w:hanging="360"/>
      </w:pPr>
      <w:rPr>
        <w:rFonts w:ascii="Symbol" w:hAnsi="Symbol" w:hint="default"/>
      </w:rPr>
    </w:lvl>
    <w:lvl w:ilvl="4" w:tplc="9A285A8A">
      <w:start w:val="1"/>
      <w:numFmt w:val="bullet"/>
      <w:lvlText w:val="o"/>
      <w:lvlJc w:val="left"/>
      <w:pPr>
        <w:ind w:left="3600" w:hanging="360"/>
      </w:pPr>
      <w:rPr>
        <w:rFonts w:ascii="Courier New" w:hAnsi="Courier New" w:hint="default"/>
      </w:rPr>
    </w:lvl>
    <w:lvl w:ilvl="5" w:tplc="F64086A4">
      <w:start w:val="1"/>
      <w:numFmt w:val="bullet"/>
      <w:lvlText w:val=""/>
      <w:lvlJc w:val="left"/>
      <w:pPr>
        <w:ind w:left="4320" w:hanging="360"/>
      </w:pPr>
      <w:rPr>
        <w:rFonts w:ascii="Wingdings" w:hAnsi="Wingdings" w:hint="default"/>
      </w:rPr>
    </w:lvl>
    <w:lvl w:ilvl="6" w:tplc="C0B0D9A2">
      <w:start w:val="1"/>
      <w:numFmt w:val="bullet"/>
      <w:lvlText w:val=""/>
      <w:lvlJc w:val="left"/>
      <w:pPr>
        <w:ind w:left="5040" w:hanging="360"/>
      </w:pPr>
      <w:rPr>
        <w:rFonts w:ascii="Symbol" w:hAnsi="Symbol" w:hint="default"/>
      </w:rPr>
    </w:lvl>
    <w:lvl w:ilvl="7" w:tplc="D662F798">
      <w:start w:val="1"/>
      <w:numFmt w:val="bullet"/>
      <w:lvlText w:val="o"/>
      <w:lvlJc w:val="left"/>
      <w:pPr>
        <w:ind w:left="5760" w:hanging="360"/>
      </w:pPr>
      <w:rPr>
        <w:rFonts w:ascii="Courier New" w:hAnsi="Courier New" w:hint="default"/>
      </w:rPr>
    </w:lvl>
    <w:lvl w:ilvl="8" w:tplc="3550B294">
      <w:start w:val="1"/>
      <w:numFmt w:val="bullet"/>
      <w:lvlText w:val=""/>
      <w:lvlJc w:val="left"/>
      <w:pPr>
        <w:ind w:left="6480" w:hanging="360"/>
      </w:pPr>
      <w:rPr>
        <w:rFonts w:ascii="Wingdings" w:hAnsi="Wingdings" w:hint="default"/>
      </w:rPr>
    </w:lvl>
  </w:abstractNum>
  <w:abstractNum w:abstractNumId="416" w15:restartNumberingAfterBreak="0">
    <w:nsid w:val="5B8669CF"/>
    <w:multiLevelType w:val="hybridMultilevel"/>
    <w:tmpl w:val="131456FC"/>
    <w:lvl w:ilvl="0" w:tplc="E014F4E0">
      <w:start w:val="1"/>
      <w:numFmt w:val="bullet"/>
      <w:lvlText w:val=""/>
      <w:lvlJc w:val="left"/>
      <w:pPr>
        <w:ind w:left="720" w:hanging="360"/>
      </w:pPr>
      <w:rPr>
        <w:rFonts w:ascii="Symbol" w:hAnsi="Symbol" w:hint="default"/>
      </w:rPr>
    </w:lvl>
    <w:lvl w:ilvl="1" w:tplc="CD4C855C" w:tentative="1">
      <w:start w:val="1"/>
      <w:numFmt w:val="bullet"/>
      <w:lvlText w:val="o"/>
      <w:lvlJc w:val="left"/>
      <w:pPr>
        <w:ind w:left="1440" w:hanging="360"/>
      </w:pPr>
      <w:rPr>
        <w:rFonts w:ascii="Courier New" w:hAnsi="Courier New" w:hint="default"/>
      </w:rPr>
    </w:lvl>
    <w:lvl w:ilvl="2" w:tplc="B7D4DA6E" w:tentative="1">
      <w:start w:val="1"/>
      <w:numFmt w:val="bullet"/>
      <w:lvlText w:val=""/>
      <w:lvlJc w:val="left"/>
      <w:pPr>
        <w:ind w:left="2160" w:hanging="360"/>
      </w:pPr>
      <w:rPr>
        <w:rFonts w:ascii="Wingdings" w:hAnsi="Wingdings" w:hint="default"/>
      </w:rPr>
    </w:lvl>
    <w:lvl w:ilvl="3" w:tplc="3BEAE4A6" w:tentative="1">
      <w:start w:val="1"/>
      <w:numFmt w:val="bullet"/>
      <w:lvlText w:val=""/>
      <w:lvlJc w:val="left"/>
      <w:pPr>
        <w:ind w:left="2880" w:hanging="360"/>
      </w:pPr>
      <w:rPr>
        <w:rFonts w:ascii="Symbol" w:hAnsi="Symbol" w:hint="default"/>
      </w:rPr>
    </w:lvl>
    <w:lvl w:ilvl="4" w:tplc="409AAA3E" w:tentative="1">
      <w:start w:val="1"/>
      <w:numFmt w:val="bullet"/>
      <w:lvlText w:val="o"/>
      <w:lvlJc w:val="left"/>
      <w:pPr>
        <w:ind w:left="3600" w:hanging="360"/>
      </w:pPr>
      <w:rPr>
        <w:rFonts w:ascii="Courier New" w:hAnsi="Courier New" w:hint="default"/>
      </w:rPr>
    </w:lvl>
    <w:lvl w:ilvl="5" w:tplc="979CB4D8" w:tentative="1">
      <w:start w:val="1"/>
      <w:numFmt w:val="bullet"/>
      <w:lvlText w:val=""/>
      <w:lvlJc w:val="left"/>
      <w:pPr>
        <w:ind w:left="4320" w:hanging="360"/>
      </w:pPr>
      <w:rPr>
        <w:rFonts w:ascii="Wingdings" w:hAnsi="Wingdings" w:hint="default"/>
      </w:rPr>
    </w:lvl>
    <w:lvl w:ilvl="6" w:tplc="60484896" w:tentative="1">
      <w:start w:val="1"/>
      <w:numFmt w:val="bullet"/>
      <w:lvlText w:val=""/>
      <w:lvlJc w:val="left"/>
      <w:pPr>
        <w:ind w:left="5040" w:hanging="360"/>
      </w:pPr>
      <w:rPr>
        <w:rFonts w:ascii="Symbol" w:hAnsi="Symbol" w:hint="default"/>
      </w:rPr>
    </w:lvl>
    <w:lvl w:ilvl="7" w:tplc="2962E5DA" w:tentative="1">
      <w:start w:val="1"/>
      <w:numFmt w:val="bullet"/>
      <w:lvlText w:val="o"/>
      <w:lvlJc w:val="left"/>
      <w:pPr>
        <w:ind w:left="5760" w:hanging="360"/>
      </w:pPr>
      <w:rPr>
        <w:rFonts w:ascii="Courier New" w:hAnsi="Courier New" w:hint="default"/>
      </w:rPr>
    </w:lvl>
    <w:lvl w:ilvl="8" w:tplc="8DC42E52" w:tentative="1">
      <w:start w:val="1"/>
      <w:numFmt w:val="bullet"/>
      <w:lvlText w:val=""/>
      <w:lvlJc w:val="left"/>
      <w:pPr>
        <w:ind w:left="6480" w:hanging="360"/>
      </w:pPr>
      <w:rPr>
        <w:rFonts w:ascii="Wingdings" w:hAnsi="Wingdings" w:hint="default"/>
      </w:rPr>
    </w:lvl>
  </w:abstractNum>
  <w:abstractNum w:abstractNumId="417" w15:restartNumberingAfterBreak="0">
    <w:nsid w:val="5BC02CD1"/>
    <w:multiLevelType w:val="hybridMultilevel"/>
    <w:tmpl w:val="23B8B7AE"/>
    <w:lvl w:ilvl="0" w:tplc="3CD88978">
      <w:start w:val="1"/>
      <w:numFmt w:val="bullet"/>
      <w:lvlText w:val=""/>
      <w:lvlJc w:val="left"/>
      <w:pPr>
        <w:ind w:left="720" w:hanging="360"/>
      </w:pPr>
      <w:rPr>
        <w:rFonts w:ascii="Symbol" w:hAnsi="Symbol" w:hint="default"/>
      </w:rPr>
    </w:lvl>
    <w:lvl w:ilvl="1" w:tplc="4C4460F6" w:tentative="1">
      <w:start w:val="1"/>
      <w:numFmt w:val="bullet"/>
      <w:lvlText w:val="o"/>
      <w:lvlJc w:val="left"/>
      <w:pPr>
        <w:ind w:left="1440" w:hanging="360"/>
      </w:pPr>
      <w:rPr>
        <w:rFonts w:ascii="Courier New" w:hAnsi="Courier New" w:hint="default"/>
      </w:rPr>
    </w:lvl>
    <w:lvl w:ilvl="2" w:tplc="39E4729A" w:tentative="1">
      <w:start w:val="1"/>
      <w:numFmt w:val="bullet"/>
      <w:lvlText w:val=""/>
      <w:lvlJc w:val="left"/>
      <w:pPr>
        <w:ind w:left="2160" w:hanging="360"/>
      </w:pPr>
      <w:rPr>
        <w:rFonts w:ascii="Wingdings" w:hAnsi="Wingdings" w:hint="default"/>
      </w:rPr>
    </w:lvl>
    <w:lvl w:ilvl="3" w:tplc="1FEE7474" w:tentative="1">
      <w:start w:val="1"/>
      <w:numFmt w:val="bullet"/>
      <w:lvlText w:val=""/>
      <w:lvlJc w:val="left"/>
      <w:pPr>
        <w:ind w:left="2880" w:hanging="360"/>
      </w:pPr>
      <w:rPr>
        <w:rFonts w:ascii="Symbol" w:hAnsi="Symbol" w:hint="default"/>
      </w:rPr>
    </w:lvl>
    <w:lvl w:ilvl="4" w:tplc="1DF6DC74" w:tentative="1">
      <w:start w:val="1"/>
      <w:numFmt w:val="bullet"/>
      <w:lvlText w:val="o"/>
      <w:lvlJc w:val="left"/>
      <w:pPr>
        <w:ind w:left="3600" w:hanging="360"/>
      </w:pPr>
      <w:rPr>
        <w:rFonts w:ascii="Courier New" w:hAnsi="Courier New" w:hint="default"/>
      </w:rPr>
    </w:lvl>
    <w:lvl w:ilvl="5" w:tplc="CB201FFA" w:tentative="1">
      <w:start w:val="1"/>
      <w:numFmt w:val="bullet"/>
      <w:lvlText w:val=""/>
      <w:lvlJc w:val="left"/>
      <w:pPr>
        <w:ind w:left="4320" w:hanging="360"/>
      </w:pPr>
      <w:rPr>
        <w:rFonts w:ascii="Wingdings" w:hAnsi="Wingdings" w:hint="default"/>
      </w:rPr>
    </w:lvl>
    <w:lvl w:ilvl="6" w:tplc="2A9AC25A" w:tentative="1">
      <w:start w:val="1"/>
      <w:numFmt w:val="bullet"/>
      <w:lvlText w:val=""/>
      <w:lvlJc w:val="left"/>
      <w:pPr>
        <w:ind w:left="5040" w:hanging="360"/>
      </w:pPr>
      <w:rPr>
        <w:rFonts w:ascii="Symbol" w:hAnsi="Symbol" w:hint="default"/>
      </w:rPr>
    </w:lvl>
    <w:lvl w:ilvl="7" w:tplc="6B58A9BE" w:tentative="1">
      <w:start w:val="1"/>
      <w:numFmt w:val="bullet"/>
      <w:lvlText w:val="o"/>
      <w:lvlJc w:val="left"/>
      <w:pPr>
        <w:ind w:left="5760" w:hanging="360"/>
      </w:pPr>
      <w:rPr>
        <w:rFonts w:ascii="Courier New" w:hAnsi="Courier New" w:hint="default"/>
      </w:rPr>
    </w:lvl>
    <w:lvl w:ilvl="8" w:tplc="6CB4A0C6" w:tentative="1">
      <w:start w:val="1"/>
      <w:numFmt w:val="bullet"/>
      <w:lvlText w:val=""/>
      <w:lvlJc w:val="left"/>
      <w:pPr>
        <w:ind w:left="6480" w:hanging="360"/>
      </w:pPr>
      <w:rPr>
        <w:rFonts w:ascii="Wingdings" w:hAnsi="Wingdings" w:hint="default"/>
      </w:rPr>
    </w:lvl>
  </w:abstractNum>
  <w:abstractNum w:abstractNumId="418" w15:restartNumberingAfterBreak="0">
    <w:nsid w:val="5BC84213"/>
    <w:multiLevelType w:val="multilevel"/>
    <w:tmpl w:val="40FA2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9" w15:restartNumberingAfterBreak="0">
    <w:nsid w:val="5BF1635B"/>
    <w:multiLevelType w:val="hybridMultilevel"/>
    <w:tmpl w:val="46162482"/>
    <w:lvl w:ilvl="0" w:tplc="60D649F2">
      <w:numFmt w:val="bullet"/>
      <w:lvlText w:val=""/>
      <w:lvlJc w:val="left"/>
      <w:pPr>
        <w:ind w:left="720" w:hanging="360"/>
      </w:pPr>
      <w:rPr>
        <w:rFonts w:ascii="Symbol" w:hAnsi="Symbol" w:hint="default"/>
      </w:rPr>
    </w:lvl>
    <w:lvl w:ilvl="1" w:tplc="5BE0F768">
      <w:start w:val="1"/>
      <w:numFmt w:val="bullet"/>
      <w:lvlText w:val="o"/>
      <w:lvlJc w:val="left"/>
      <w:pPr>
        <w:ind w:left="1440" w:hanging="360"/>
      </w:pPr>
      <w:rPr>
        <w:rFonts w:ascii="Courier New" w:hAnsi="Courier New" w:hint="default"/>
      </w:rPr>
    </w:lvl>
    <w:lvl w:ilvl="2" w:tplc="08AAAAE4" w:tentative="1">
      <w:start w:val="1"/>
      <w:numFmt w:val="bullet"/>
      <w:lvlText w:val=""/>
      <w:lvlJc w:val="left"/>
      <w:pPr>
        <w:ind w:left="2160" w:hanging="360"/>
      </w:pPr>
      <w:rPr>
        <w:rFonts w:ascii="Wingdings" w:hAnsi="Wingdings" w:hint="default"/>
      </w:rPr>
    </w:lvl>
    <w:lvl w:ilvl="3" w:tplc="58B0E4A4" w:tentative="1">
      <w:start w:val="1"/>
      <w:numFmt w:val="bullet"/>
      <w:lvlText w:val=""/>
      <w:lvlJc w:val="left"/>
      <w:pPr>
        <w:ind w:left="2880" w:hanging="360"/>
      </w:pPr>
      <w:rPr>
        <w:rFonts w:ascii="Symbol" w:hAnsi="Symbol" w:hint="default"/>
      </w:rPr>
    </w:lvl>
    <w:lvl w:ilvl="4" w:tplc="E7C62FD6" w:tentative="1">
      <w:start w:val="1"/>
      <w:numFmt w:val="bullet"/>
      <w:lvlText w:val="o"/>
      <w:lvlJc w:val="left"/>
      <w:pPr>
        <w:ind w:left="3600" w:hanging="360"/>
      </w:pPr>
      <w:rPr>
        <w:rFonts w:ascii="Courier New" w:hAnsi="Courier New" w:hint="default"/>
      </w:rPr>
    </w:lvl>
    <w:lvl w:ilvl="5" w:tplc="8EB674B0" w:tentative="1">
      <w:start w:val="1"/>
      <w:numFmt w:val="bullet"/>
      <w:lvlText w:val=""/>
      <w:lvlJc w:val="left"/>
      <w:pPr>
        <w:ind w:left="4320" w:hanging="360"/>
      </w:pPr>
      <w:rPr>
        <w:rFonts w:ascii="Wingdings" w:hAnsi="Wingdings" w:hint="default"/>
      </w:rPr>
    </w:lvl>
    <w:lvl w:ilvl="6" w:tplc="E18899E4" w:tentative="1">
      <w:start w:val="1"/>
      <w:numFmt w:val="bullet"/>
      <w:lvlText w:val=""/>
      <w:lvlJc w:val="left"/>
      <w:pPr>
        <w:ind w:left="5040" w:hanging="360"/>
      </w:pPr>
      <w:rPr>
        <w:rFonts w:ascii="Symbol" w:hAnsi="Symbol" w:hint="default"/>
      </w:rPr>
    </w:lvl>
    <w:lvl w:ilvl="7" w:tplc="3AA41F04" w:tentative="1">
      <w:start w:val="1"/>
      <w:numFmt w:val="bullet"/>
      <w:lvlText w:val="o"/>
      <w:lvlJc w:val="left"/>
      <w:pPr>
        <w:ind w:left="5760" w:hanging="360"/>
      </w:pPr>
      <w:rPr>
        <w:rFonts w:ascii="Courier New" w:hAnsi="Courier New" w:hint="default"/>
      </w:rPr>
    </w:lvl>
    <w:lvl w:ilvl="8" w:tplc="368E47C0" w:tentative="1">
      <w:start w:val="1"/>
      <w:numFmt w:val="bullet"/>
      <w:lvlText w:val=""/>
      <w:lvlJc w:val="left"/>
      <w:pPr>
        <w:ind w:left="6480" w:hanging="360"/>
      </w:pPr>
      <w:rPr>
        <w:rFonts w:ascii="Wingdings" w:hAnsi="Wingdings" w:hint="default"/>
      </w:rPr>
    </w:lvl>
  </w:abstractNum>
  <w:abstractNum w:abstractNumId="420" w15:restartNumberingAfterBreak="0">
    <w:nsid w:val="5BFC24D9"/>
    <w:multiLevelType w:val="multilevel"/>
    <w:tmpl w:val="9378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C3946C7"/>
    <w:multiLevelType w:val="hybridMultilevel"/>
    <w:tmpl w:val="EF52A66C"/>
    <w:lvl w:ilvl="0" w:tplc="C5FCFBEC">
      <w:start w:val="1"/>
      <w:numFmt w:val="bullet"/>
      <w:lvlText w:val=""/>
      <w:lvlJc w:val="left"/>
      <w:pPr>
        <w:ind w:left="855" w:hanging="360"/>
      </w:pPr>
      <w:rPr>
        <w:rFonts w:ascii="Symbol" w:hAnsi="Symbol" w:hint="default"/>
      </w:rPr>
    </w:lvl>
    <w:lvl w:ilvl="1" w:tplc="1494E69C">
      <w:start w:val="1"/>
      <w:numFmt w:val="bullet"/>
      <w:lvlText w:val="o"/>
      <w:lvlJc w:val="left"/>
      <w:pPr>
        <w:ind w:left="1440" w:hanging="360"/>
      </w:pPr>
      <w:rPr>
        <w:rFonts w:ascii="Courier New" w:hAnsi="Courier New" w:hint="default"/>
      </w:rPr>
    </w:lvl>
    <w:lvl w:ilvl="2" w:tplc="70861C92" w:tentative="1">
      <w:start w:val="1"/>
      <w:numFmt w:val="bullet"/>
      <w:lvlText w:val=""/>
      <w:lvlJc w:val="left"/>
      <w:pPr>
        <w:ind w:left="2160" w:hanging="360"/>
      </w:pPr>
      <w:rPr>
        <w:rFonts w:ascii="Wingdings" w:hAnsi="Wingdings" w:hint="default"/>
      </w:rPr>
    </w:lvl>
    <w:lvl w:ilvl="3" w:tplc="549C5762" w:tentative="1">
      <w:start w:val="1"/>
      <w:numFmt w:val="bullet"/>
      <w:lvlText w:val=""/>
      <w:lvlJc w:val="left"/>
      <w:pPr>
        <w:ind w:left="2880" w:hanging="360"/>
      </w:pPr>
      <w:rPr>
        <w:rFonts w:ascii="Symbol" w:hAnsi="Symbol" w:hint="default"/>
      </w:rPr>
    </w:lvl>
    <w:lvl w:ilvl="4" w:tplc="D128AA48" w:tentative="1">
      <w:start w:val="1"/>
      <w:numFmt w:val="bullet"/>
      <w:lvlText w:val="o"/>
      <w:lvlJc w:val="left"/>
      <w:pPr>
        <w:ind w:left="3600" w:hanging="360"/>
      </w:pPr>
      <w:rPr>
        <w:rFonts w:ascii="Courier New" w:hAnsi="Courier New" w:hint="default"/>
      </w:rPr>
    </w:lvl>
    <w:lvl w:ilvl="5" w:tplc="17BA8826" w:tentative="1">
      <w:start w:val="1"/>
      <w:numFmt w:val="bullet"/>
      <w:lvlText w:val=""/>
      <w:lvlJc w:val="left"/>
      <w:pPr>
        <w:ind w:left="4320" w:hanging="360"/>
      </w:pPr>
      <w:rPr>
        <w:rFonts w:ascii="Wingdings" w:hAnsi="Wingdings" w:hint="default"/>
      </w:rPr>
    </w:lvl>
    <w:lvl w:ilvl="6" w:tplc="B53C6578" w:tentative="1">
      <w:start w:val="1"/>
      <w:numFmt w:val="bullet"/>
      <w:lvlText w:val=""/>
      <w:lvlJc w:val="left"/>
      <w:pPr>
        <w:ind w:left="5040" w:hanging="360"/>
      </w:pPr>
      <w:rPr>
        <w:rFonts w:ascii="Symbol" w:hAnsi="Symbol" w:hint="default"/>
      </w:rPr>
    </w:lvl>
    <w:lvl w:ilvl="7" w:tplc="462209E4" w:tentative="1">
      <w:start w:val="1"/>
      <w:numFmt w:val="bullet"/>
      <w:lvlText w:val="o"/>
      <w:lvlJc w:val="left"/>
      <w:pPr>
        <w:ind w:left="5760" w:hanging="360"/>
      </w:pPr>
      <w:rPr>
        <w:rFonts w:ascii="Courier New" w:hAnsi="Courier New" w:hint="default"/>
      </w:rPr>
    </w:lvl>
    <w:lvl w:ilvl="8" w:tplc="CE644C7A" w:tentative="1">
      <w:start w:val="1"/>
      <w:numFmt w:val="bullet"/>
      <w:lvlText w:val=""/>
      <w:lvlJc w:val="left"/>
      <w:pPr>
        <w:ind w:left="6480" w:hanging="360"/>
      </w:pPr>
      <w:rPr>
        <w:rFonts w:ascii="Wingdings" w:hAnsi="Wingdings" w:hint="default"/>
      </w:rPr>
    </w:lvl>
  </w:abstractNum>
  <w:abstractNum w:abstractNumId="422" w15:restartNumberingAfterBreak="0">
    <w:nsid w:val="5C7BA267"/>
    <w:multiLevelType w:val="hybridMultilevel"/>
    <w:tmpl w:val="FFFFFFFF"/>
    <w:lvl w:ilvl="0" w:tplc="4CC49180">
      <w:start w:val="1"/>
      <w:numFmt w:val="bullet"/>
      <w:lvlText w:val="·"/>
      <w:lvlJc w:val="left"/>
      <w:pPr>
        <w:ind w:left="720" w:hanging="360"/>
      </w:pPr>
      <w:rPr>
        <w:rFonts w:ascii="Symbol" w:hAnsi="Symbol" w:hint="default"/>
      </w:rPr>
    </w:lvl>
    <w:lvl w:ilvl="1" w:tplc="6B645770">
      <w:start w:val="1"/>
      <w:numFmt w:val="bullet"/>
      <w:lvlText w:val="o"/>
      <w:lvlJc w:val="left"/>
      <w:pPr>
        <w:ind w:left="1440" w:hanging="360"/>
      </w:pPr>
      <w:rPr>
        <w:rFonts w:ascii="Courier New" w:hAnsi="Courier New" w:hint="default"/>
      </w:rPr>
    </w:lvl>
    <w:lvl w:ilvl="2" w:tplc="FD6A9952">
      <w:start w:val="1"/>
      <w:numFmt w:val="bullet"/>
      <w:lvlText w:val=""/>
      <w:lvlJc w:val="left"/>
      <w:pPr>
        <w:ind w:left="2160" w:hanging="360"/>
      </w:pPr>
      <w:rPr>
        <w:rFonts w:ascii="Wingdings" w:hAnsi="Wingdings" w:hint="default"/>
      </w:rPr>
    </w:lvl>
    <w:lvl w:ilvl="3" w:tplc="6FA0A732">
      <w:start w:val="1"/>
      <w:numFmt w:val="bullet"/>
      <w:lvlText w:val=""/>
      <w:lvlJc w:val="left"/>
      <w:pPr>
        <w:ind w:left="2880" w:hanging="360"/>
      </w:pPr>
      <w:rPr>
        <w:rFonts w:ascii="Symbol" w:hAnsi="Symbol" w:hint="default"/>
      </w:rPr>
    </w:lvl>
    <w:lvl w:ilvl="4" w:tplc="D98C7962">
      <w:start w:val="1"/>
      <w:numFmt w:val="bullet"/>
      <w:lvlText w:val="o"/>
      <w:lvlJc w:val="left"/>
      <w:pPr>
        <w:ind w:left="3600" w:hanging="360"/>
      </w:pPr>
      <w:rPr>
        <w:rFonts w:ascii="Courier New" w:hAnsi="Courier New" w:hint="default"/>
      </w:rPr>
    </w:lvl>
    <w:lvl w:ilvl="5" w:tplc="267846F0">
      <w:start w:val="1"/>
      <w:numFmt w:val="bullet"/>
      <w:lvlText w:val=""/>
      <w:lvlJc w:val="left"/>
      <w:pPr>
        <w:ind w:left="4320" w:hanging="360"/>
      </w:pPr>
      <w:rPr>
        <w:rFonts w:ascii="Wingdings" w:hAnsi="Wingdings" w:hint="default"/>
      </w:rPr>
    </w:lvl>
    <w:lvl w:ilvl="6" w:tplc="B2E22636">
      <w:start w:val="1"/>
      <w:numFmt w:val="bullet"/>
      <w:lvlText w:val=""/>
      <w:lvlJc w:val="left"/>
      <w:pPr>
        <w:ind w:left="5040" w:hanging="360"/>
      </w:pPr>
      <w:rPr>
        <w:rFonts w:ascii="Symbol" w:hAnsi="Symbol" w:hint="default"/>
      </w:rPr>
    </w:lvl>
    <w:lvl w:ilvl="7" w:tplc="43661CB4">
      <w:start w:val="1"/>
      <w:numFmt w:val="bullet"/>
      <w:lvlText w:val="o"/>
      <w:lvlJc w:val="left"/>
      <w:pPr>
        <w:ind w:left="5760" w:hanging="360"/>
      </w:pPr>
      <w:rPr>
        <w:rFonts w:ascii="Courier New" w:hAnsi="Courier New" w:hint="default"/>
      </w:rPr>
    </w:lvl>
    <w:lvl w:ilvl="8" w:tplc="6A80196C">
      <w:start w:val="1"/>
      <w:numFmt w:val="bullet"/>
      <w:lvlText w:val=""/>
      <w:lvlJc w:val="left"/>
      <w:pPr>
        <w:ind w:left="6480" w:hanging="360"/>
      </w:pPr>
      <w:rPr>
        <w:rFonts w:ascii="Wingdings" w:hAnsi="Wingdings" w:hint="default"/>
      </w:rPr>
    </w:lvl>
  </w:abstractNum>
  <w:abstractNum w:abstractNumId="423" w15:restartNumberingAfterBreak="0">
    <w:nsid w:val="5C9165FC"/>
    <w:multiLevelType w:val="hybridMultilevel"/>
    <w:tmpl w:val="E7FE9376"/>
    <w:lvl w:ilvl="0" w:tplc="AE1AD08A">
      <w:start w:val="1"/>
      <w:numFmt w:val="bullet"/>
      <w:lvlText w:val=""/>
      <w:lvlJc w:val="left"/>
      <w:pPr>
        <w:ind w:left="720" w:hanging="360"/>
      </w:pPr>
      <w:rPr>
        <w:rFonts w:ascii="Symbol" w:hAnsi="Symbol" w:hint="default"/>
      </w:rPr>
    </w:lvl>
    <w:lvl w:ilvl="1" w:tplc="D4E638A2" w:tentative="1">
      <w:start w:val="1"/>
      <w:numFmt w:val="bullet"/>
      <w:lvlText w:val="o"/>
      <w:lvlJc w:val="left"/>
      <w:pPr>
        <w:ind w:left="1440" w:hanging="360"/>
      </w:pPr>
      <w:rPr>
        <w:rFonts w:ascii="Courier New" w:hAnsi="Courier New" w:hint="default"/>
      </w:rPr>
    </w:lvl>
    <w:lvl w:ilvl="2" w:tplc="EEC215BE" w:tentative="1">
      <w:start w:val="1"/>
      <w:numFmt w:val="bullet"/>
      <w:lvlText w:val=""/>
      <w:lvlJc w:val="left"/>
      <w:pPr>
        <w:ind w:left="2160" w:hanging="360"/>
      </w:pPr>
      <w:rPr>
        <w:rFonts w:ascii="Wingdings" w:hAnsi="Wingdings" w:hint="default"/>
      </w:rPr>
    </w:lvl>
    <w:lvl w:ilvl="3" w:tplc="98323422" w:tentative="1">
      <w:start w:val="1"/>
      <w:numFmt w:val="bullet"/>
      <w:lvlText w:val=""/>
      <w:lvlJc w:val="left"/>
      <w:pPr>
        <w:ind w:left="2880" w:hanging="360"/>
      </w:pPr>
      <w:rPr>
        <w:rFonts w:ascii="Symbol" w:hAnsi="Symbol" w:hint="default"/>
      </w:rPr>
    </w:lvl>
    <w:lvl w:ilvl="4" w:tplc="6756B3B2" w:tentative="1">
      <w:start w:val="1"/>
      <w:numFmt w:val="bullet"/>
      <w:lvlText w:val="o"/>
      <w:lvlJc w:val="left"/>
      <w:pPr>
        <w:ind w:left="3600" w:hanging="360"/>
      </w:pPr>
      <w:rPr>
        <w:rFonts w:ascii="Courier New" w:hAnsi="Courier New" w:hint="default"/>
      </w:rPr>
    </w:lvl>
    <w:lvl w:ilvl="5" w:tplc="393064EC" w:tentative="1">
      <w:start w:val="1"/>
      <w:numFmt w:val="bullet"/>
      <w:lvlText w:val=""/>
      <w:lvlJc w:val="left"/>
      <w:pPr>
        <w:ind w:left="4320" w:hanging="360"/>
      </w:pPr>
      <w:rPr>
        <w:rFonts w:ascii="Wingdings" w:hAnsi="Wingdings" w:hint="default"/>
      </w:rPr>
    </w:lvl>
    <w:lvl w:ilvl="6" w:tplc="35CAED64" w:tentative="1">
      <w:start w:val="1"/>
      <w:numFmt w:val="bullet"/>
      <w:lvlText w:val=""/>
      <w:lvlJc w:val="left"/>
      <w:pPr>
        <w:ind w:left="5040" w:hanging="360"/>
      </w:pPr>
      <w:rPr>
        <w:rFonts w:ascii="Symbol" w:hAnsi="Symbol" w:hint="default"/>
      </w:rPr>
    </w:lvl>
    <w:lvl w:ilvl="7" w:tplc="D414BA7C" w:tentative="1">
      <w:start w:val="1"/>
      <w:numFmt w:val="bullet"/>
      <w:lvlText w:val="o"/>
      <w:lvlJc w:val="left"/>
      <w:pPr>
        <w:ind w:left="5760" w:hanging="360"/>
      </w:pPr>
      <w:rPr>
        <w:rFonts w:ascii="Courier New" w:hAnsi="Courier New" w:hint="default"/>
      </w:rPr>
    </w:lvl>
    <w:lvl w:ilvl="8" w:tplc="C2C0D9C8" w:tentative="1">
      <w:start w:val="1"/>
      <w:numFmt w:val="bullet"/>
      <w:lvlText w:val=""/>
      <w:lvlJc w:val="left"/>
      <w:pPr>
        <w:ind w:left="6480" w:hanging="360"/>
      </w:pPr>
      <w:rPr>
        <w:rFonts w:ascii="Wingdings" w:hAnsi="Wingdings" w:hint="default"/>
      </w:rPr>
    </w:lvl>
  </w:abstractNum>
  <w:abstractNum w:abstractNumId="424" w15:restartNumberingAfterBreak="0">
    <w:nsid w:val="5CB8398F"/>
    <w:multiLevelType w:val="multilevel"/>
    <w:tmpl w:val="E222A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5" w15:restartNumberingAfterBreak="0">
    <w:nsid w:val="5D014857"/>
    <w:multiLevelType w:val="multilevel"/>
    <w:tmpl w:val="FD2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D107994"/>
    <w:multiLevelType w:val="hybridMultilevel"/>
    <w:tmpl w:val="FFFFFFFF"/>
    <w:lvl w:ilvl="0" w:tplc="7F0E9F28">
      <w:start w:val="1"/>
      <w:numFmt w:val="bullet"/>
      <w:lvlText w:val=""/>
      <w:lvlJc w:val="left"/>
      <w:pPr>
        <w:ind w:left="720" w:hanging="360"/>
      </w:pPr>
      <w:rPr>
        <w:rFonts w:ascii="Symbol" w:hAnsi="Symbol" w:hint="default"/>
      </w:rPr>
    </w:lvl>
    <w:lvl w:ilvl="1" w:tplc="72605B04">
      <w:start w:val="1"/>
      <w:numFmt w:val="bullet"/>
      <w:lvlText w:val="o"/>
      <w:lvlJc w:val="left"/>
      <w:pPr>
        <w:ind w:left="1440" w:hanging="360"/>
      </w:pPr>
      <w:rPr>
        <w:rFonts w:ascii="Courier New" w:hAnsi="Courier New" w:hint="default"/>
      </w:rPr>
    </w:lvl>
    <w:lvl w:ilvl="2" w:tplc="199E3EEC">
      <w:start w:val="1"/>
      <w:numFmt w:val="bullet"/>
      <w:lvlText w:val=""/>
      <w:lvlJc w:val="left"/>
      <w:pPr>
        <w:ind w:left="2160" w:hanging="360"/>
      </w:pPr>
      <w:rPr>
        <w:rFonts w:ascii="Wingdings" w:hAnsi="Wingdings" w:hint="default"/>
      </w:rPr>
    </w:lvl>
    <w:lvl w:ilvl="3" w:tplc="40800436">
      <w:start w:val="1"/>
      <w:numFmt w:val="bullet"/>
      <w:lvlText w:val=""/>
      <w:lvlJc w:val="left"/>
      <w:pPr>
        <w:ind w:left="2880" w:hanging="360"/>
      </w:pPr>
      <w:rPr>
        <w:rFonts w:ascii="Symbol" w:hAnsi="Symbol" w:hint="default"/>
      </w:rPr>
    </w:lvl>
    <w:lvl w:ilvl="4" w:tplc="D5C0E76E">
      <w:start w:val="1"/>
      <w:numFmt w:val="bullet"/>
      <w:lvlText w:val="o"/>
      <w:lvlJc w:val="left"/>
      <w:pPr>
        <w:ind w:left="3600" w:hanging="360"/>
      </w:pPr>
      <w:rPr>
        <w:rFonts w:ascii="Courier New" w:hAnsi="Courier New" w:hint="default"/>
      </w:rPr>
    </w:lvl>
    <w:lvl w:ilvl="5" w:tplc="13783BF2">
      <w:start w:val="1"/>
      <w:numFmt w:val="bullet"/>
      <w:lvlText w:val=""/>
      <w:lvlJc w:val="left"/>
      <w:pPr>
        <w:ind w:left="4320" w:hanging="360"/>
      </w:pPr>
      <w:rPr>
        <w:rFonts w:ascii="Wingdings" w:hAnsi="Wingdings" w:hint="default"/>
      </w:rPr>
    </w:lvl>
    <w:lvl w:ilvl="6" w:tplc="06901F54">
      <w:start w:val="1"/>
      <w:numFmt w:val="bullet"/>
      <w:lvlText w:val=""/>
      <w:lvlJc w:val="left"/>
      <w:pPr>
        <w:ind w:left="5040" w:hanging="360"/>
      </w:pPr>
      <w:rPr>
        <w:rFonts w:ascii="Symbol" w:hAnsi="Symbol" w:hint="default"/>
      </w:rPr>
    </w:lvl>
    <w:lvl w:ilvl="7" w:tplc="5484C594">
      <w:start w:val="1"/>
      <w:numFmt w:val="bullet"/>
      <w:lvlText w:val="o"/>
      <w:lvlJc w:val="left"/>
      <w:pPr>
        <w:ind w:left="5760" w:hanging="360"/>
      </w:pPr>
      <w:rPr>
        <w:rFonts w:ascii="Courier New" w:hAnsi="Courier New" w:hint="default"/>
      </w:rPr>
    </w:lvl>
    <w:lvl w:ilvl="8" w:tplc="5538CB70">
      <w:start w:val="1"/>
      <w:numFmt w:val="bullet"/>
      <w:lvlText w:val=""/>
      <w:lvlJc w:val="left"/>
      <w:pPr>
        <w:ind w:left="6480" w:hanging="360"/>
      </w:pPr>
      <w:rPr>
        <w:rFonts w:ascii="Wingdings" w:hAnsi="Wingdings" w:hint="default"/>
      </w:rPr>
    </w:lvl>
  </w:abstractNum>
  <w:abstractNum w:abstractNumId="427" w15:restartNumberingAfterBreak="0">
    <w:nsid w:val="5D60766E"/>
    <w:multiLevelType w:val="hybridMultilevel"/>
    <w:tmpl w:val="78B8AE18"/>
    <w:lvl w:ilvl="0" w:tplc="B9DE2330">
      <w:start w:val="1"/>
      <w:numFmt w:val="bullet"/>
      <w:lvlText w:val=""/>
      <w:lvlJc w:val="left"/>
      <w:pPr>
        <w:ind w:left="720" w:hanging="360"/>
      </w:pPr>
      <w:rPr>
        <w:rFonts w:ascii="Symbol" w:hAnsi="Symbol" w:hint="default"/>
      </w:rPr>
    </w:lvl>
    <w:lvl w:ilvl="1" w:tplc="63CAABE2" w:tentative="1">
      <w:start w:val="1"/>
      <w:numFmt w:val="bullet"/>
      <w:lvlText w:val="o"/>
      <w:lvlJc w:val="left"/>
      <w:pPr>
        <w:ind w:left="1440" w:hanging="360"/>
      </w:pPr>
      <w:rPr>
        <w:rFonts w:ascii="Courier New" w:hAnsi="Courier New" w:hint="default"/>
      </w:rPr>
    </w:lvl>
    <w:lvl w:ilvl="2" w:tplc="6AC0DBE0" w:tentative="1">
      <w:start w:val="1"/>
      <w:numFmt w:val="bullet"/>
      <w:lvlText w:val=""/>
      <w:lvlJc w:val="left"/>
      <w:pPr>
        <w:ind w:left="2160" w:hanging="360"/>
      </w:pPr>
      <w:rPr>
        <w:rFonts w:ascii="Wingdings" w:hAnsi="Wingdings" w:hint="default"/>
      </w:rPr>
    </w:lvl>
    <w:lvl w:ilvl="3" w:tplc="A6B86024" w:tentative="1">
      <w:start w:val="1"/>
      <w:numFmt w:val="bullet"/>
      <w:lvlText w:val=""/>
      <w:lvlJc w:val="left"/>
      <w:pPr>
        <w:ind w:left="2880" w:hanging="360"/>
      </w:pPr>
      <w:rPr>
        <w:rFonts w:ascii="Symbol" w:hAnsi="Symbol" w:hint="default"/>
      </w:rPr>
    </w:lvl>
    <w:lvl w:ilvl="4" w:tplc="9966673A" w:tentative="1">
      <w:start w:val="1"/>
      <w:numFmt w:val="bullet"/>
      <w:lvlText w:val="o"/>
      <w:lvlJc w:val="left"/>
      <w:pPr>
        <w:ind w:left="3600" w:hanging="360"/>
      </w:pPr>
      <w:rPr>
        <w:rFonts w:ascii="Courier New" w:hAnsi="Courier New" w:hint="default"/>
      </w:rPr>
    </w:lvl>
    <w:lvl w:ilvl="5" w:tplc="AFB4FC12" w:tentative="1">
      <w:start w:val="1"/>
      <w:numFmt w:val="bullet"/>
      <w:lvlText w:val=""/>
      <w:lvlJc w:val="left"/>
      <w:pPr>
        <w:ind w:left="4320" w:hanging="360"/>
      </w:pPr>
      <w:rPr>
        <w:rFonts w:ascii="Wingdings" w:hAnsi="Wingdings" w:hint="default"/>
      </w:rPr>
    </w:lvl>
    <w:lvl w:ilvl="6" w:tplc="C73AB23E" w:tentative="1">
      <w:start w:val="1"/>
      <w:numFmt w:val="bullet"/>
      <w:lvlText w:val=""/>
      <w:lvlJc w:val="left"/>
      <w:pPr>
        <w:ind w:left="5040" w:hanging="360"/>
      </w:pPr>
      <w:rPr>
        <w:rFonts w:ascii="Symbol" w:hAnsi="Symbol" w:hint="default"/>
      </w:rPr>
    </w:lvl>
    <w:lvl w:ilvl="7" w:tplc="9306D1C4" w:tentative="1">
      <w:start w:val="1"/>
      <w:numFmt w:val="bullet"/>
      <w:lvlText w:val="o"/>
      <w:lvlJc w:val="left"/>
      <w:pPr>
        <w:ind w:left="5760" w:hanging="360"/>
      </w:pPr>
      <w:rPr>
        <w:rFonts w:ascii="Courier New" w:hAnsi="Courier New" w:hint="default"/>
      </w:rPr>
    </w:lvl>
    <w:lvl w:ilvl="8" w:tplc="CEC61B46" w:tentative="1">
      <w:start w:val="1"/>
      <w:numFmt w:val="bullet"/>
      <w:lvlText w:val=""/>
      <w:lvlJc w:val="left"/>
      <w:pPr>
        <w:ind w:left="6480" w:hanging="360"/>
      </w:pPr>
      <w:rPr>
        <w:rFonts w:ascii="Wingdings" w:hAnsi="Wingdings" w:hint="default"/>
      </w:rPr>
    </w:lvl>
  </w:abstractNum>
  <w:abstractNum w:abstractNumId="428" w15:restartNumberingAfterBreak="0">
    <w:nsid w:val="5DB23E1E"/>
    <w:multiLevelType w:val="hybridMultilevel"/>
    <w:tmpl w:val="53CE763E"/>
    <w:lvl w:ilvl="0" w:tplc="014E483E">
      <w:start w:val="1"/>
      <w:numFmt w:val="bullet"/>
      <w:lvlText w:val=""/>
      <w:lvlJc w:val="left"/>
      <w:pPr>
        <w:ind w:left="720" w:hanging="360"/>
      </w:pPr>
      <w:rPr>
        <w:rFonts w:ascii="Symbol" w:hAnsi="Symbol" w:hint="default"/>
        <w:color w:val="auto"/>
      </w:rPr>
    </w:lvl>
    <w:lvl w:ilvl="1" w:tplc="D464B454" w:tentative="1">
      <w:start w:val="1"/>
      <w:numFmt w:val="bullet"/>
      <w:lvlText w:val="o"/>
      <w:lvlJc w:val="left"/>
      <w:pPr>
        <w:ind w:left="1440" w:hanging="360"/>
      </w:pPr>
      <w:rPr>
        <w:rFonts w:ascii="Courier New" w:hAnsi="Courier New" w:hint="default"/>
      </w:rPr>
    </w:lvl>
    <w:lvl w:ilvl="2" w:tplc="77905EC8" w:tentative="1">
      <w:start w:val="1"/>
      <w:numFmt w:val="bullet"/>
      <w:lvlText w:val=""/>
      <w:lvlJc w:val="left"/>
      <w:pPr>
        <w:ind w:left="2160" w:hanging="360"/>
      </w:pPr>
      <w:rPr>
        <w:rFonts w:ascii="Wingdings" w:hAnsi="Wingdings" w:hint="default"/>
      </w:rPr>
    </w:lvl>
    <w:lvl w:ilvl="3" w:tplc="B1E2C956" w:tentative="1">
      <w:start w:val="1"/>
      <w:numFmt w:val="bullet"/>
      <w:lvlText w:val=""/>
      <w:lvlJc w:val="left"/>
      <w:pPr>
        <w:ind w:left="2880" w:hanging="360"/>
      </w:pPr>
      <w:rPr>
        <w:rFonts w:ascii="Symbol" w:hAnsi="Symbol" w:hint="default"/>
      </w:rPr>
    </w:lvl>
    <w:lvl w:ilvl="4" w:tplc="93CC9CD6" w:tentative="1">
      <w:start w:val="1"/>
      <w:numFmt w:val="bullet"/>
      <w:lvlText w:val="o"/>
      <w:lvlJc w:val="left"/>
      <w:pPr>
        <w:ind w:left="3600" w:hanging="360"/>
      </w:pPr>
      <w:rPr>
        <w:rFonts w:ascii="Courier New" w:hAnsi="Courier New" w:hint="default"/>
      </w:rPr>
    </w:lvl>
    <w:lvl w:ilvl="5" w:tplc="5FDE4BBA" w:tentative="1">
      <w:start w:val="1"/>
      <w:numFmt w:val="bullet"/>
      <w:lvlText w:val=""/>
      <w:lvlJc w:val="left"/>
      <w:pPr>
        <w:ind w:left="4320" w:hanging="360"/>
      </w:pPr>
      <w:rPr>
        <w:rFonts w:ascii="Wingdings" w:hAnsi="Wingdings" w:hint="default"/>
      </w:rPr>
    </w:lvl>
    <w:lvl w:ilvl="6" w:tplc="AC9EBD7C" w:tentative="1">
      <w:start w:val="1"/>
      <w:numFmt w:val="bullet"/>
      <w:lvlText w:val=""/>
      <w:lvlJc w:val="left"/>
      <w:pPr>
        <w:ind w:left="5040" w:hanging="360"/>
      </w:pPr>
      <w:rPr>
        <w:rFonts w:ascii="Symbol" w:hAnsi="Symbol" w:hint="default"/>
      </w:rPr>
    </w:lvl>
    <w:lvl w:ilvl="7" w:tplc="DB469490" w:tentative="1">
      <w:start w:val="1"/>
      <w:numFmt w:val="bullet"/>
      <w:lvlText w:val="o"/>
      <w:lvlJc w:val="left"/>
      <w:pPr>
        <w:ind w:left="5760" w:hanging="360"/>
      </w:pPr>
      <w:rPr>
        <w:rFonts w:ascii="Courier New" w:hAnsi="Courier New" w:hint="default"/>
      </w:rPr>
    </w:lvl>
    <w:lvl w:ilvl="8" w:tplc="C846D718" w:tentative="1">
      <w:start w:val="1"/>
      <w:numFmt w:val="bullet"/>
      <w:lvlText w:val=""/>
      <w:lvlJc w:val="left"/>
      <w:pPr>
        <w:ind w:left="6480" w:hanging="360"/>
      </w:pPr>
      <w:rPr>
        <w:rFonts w:ascii="Wingdings" w:hAnsi="Wingdings" w:hint="default"/>
      </w:rPr>
    </w:lvl>
  </w:abstractNum>
  <w:abstractNum w:abstractNumId="429" w15:restartNumberingAfterBreak="0">
    <w:nsid w:val="5DC765A8"/>
    <w:multiLevelType w:val="multilevel"/>
    <w:tmpl w:val="36A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E1525D4"/>
    <w:multiLevelType w:val="multilevel"/>
    <w:tmpl w:val="F61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E162A4A"/>
    <w:multiLevelType w:val="hybridMultilevel"/>
    <w:tmpl w:val="11C4E07A"/>
    <w:lvl w:ilvl="0" w:tplc="6A000354">
      <w:start w:val="1"/>
      <w:numFmt w:val="bullet"/>
      <w:lvlText w:val=""/>
      <w:lvlJc w:val="left"/>
      <w:pPr>
        <w:ind w:left="720" w:hanging="360"/>
      </w:pPr>
      <w:rPr>
        <w:rFonts w:ascii="Symbol" w:hAnsi="Symbol" w:hint="default"/>
      </w:rPr>
    </w:lvl>
    <w:lvl w:ilvl="1" w:tplc="F97A676C">
      <w:start w:val="1"/>
      <w:numFmt w:val="bullet"/>
      <w:lvlText w:val="o"/>
      <w:lvlJc w:val="left"/>
      <w:pPr>
        <w:ind w:left="1440" w:hanging="360"/>
      </w:pPr>
      <w:rPr>
        <w:rFonts w:ascii="Courier New" w:hAnsi="Courier New" w:hint="default"/>
      </w:rPr>
    </w:lvl>
    <w:lvl w:ilvl="2" w:tplc="33907F42" w:tentative="1">
      <w:start w:val="1"/>
      <w:numFmt w:val="bullet"/>
      <w:lvlText w:val=""/>
      <w:lvlJc w:val="left"/>
      <w:pPr>
        <w:ind w:left="2160" w:hanging="360"/>
      </w:pPr>
      <w:rPr>
        <w:rFonts w:ascii="Wingdings" w:hAnsi="Wingdings" w:hint="default"/>
      </w:rPr>
    </w:lvl>
    <w:lvl w:ilvl="3" w:tplc="73EEE9CA" w:tentative="1">
      <w:start w:val="1"/>
      <w:numFmt w:val="bullet"/>
      <w:lvlText w:val=""/>
      <w:lvlJc w:val="left"/>
      <w:pPr>
        <w:ind w:left="2880" w:hanging="360"/>
      </w:pPr>
      <w:rPr>
        <w:rFonts w:ascii="Symbol" w:hAnsi="Symbol" w:hint="default"/>
      </w:rPr>
    </w:lvl>
    <w:lvl w:ilvl="4" w:tplc="9FD2B370" w:tentative="1">
      <w:start w:val="1"/>
      <w:numFmt w:val="bullet"/>
      <w:lvlText w:val="o"/>
      <w:lvlJc w:val="left"/>
      <w:pPr>
        <w:ind w:left="3600" w:hanging="360"/>
      </w:pPr>
      <w:rPr>
        <w:rFonts w:ascii="Courier New" w:hAnsi="Courier New" w:hint="default"/>
      </w:rPr>
    </w:lvl>
    <w:lvl w:ilvl="5" w:tplc="82CEADC4" w:tentative="1">
      <w:start w:val="1"/>
      <w:numFmt w:val="bullet"/>
      <w:lvlText w:val=""/>
      <w:lvlJc w:val="left"/>
      <w:pPr>
        <w:ind w:left="4320" w:hanging="360"/>
      </w:pPr>
      <w:rPr>
        <w:rFonts w:ascii="Wingdings" w:hAnsi="Wingdings" w:hint="default"/>
      </w:rPr>
    </w:lvl>
    <w:lvl w:ilvl="6" w:tplc="A61E4DE2" w:tentative="1">
      <w:start w:val="1"/>
      <w:numFmt w:val="bullet"/>
      <w:lvlText w:val=""/>
      <w:lvlJc w:val="left"/>
      <w:pPr>
        <w:ind w:left="5040" w:hanging="360"/>
      </w:pPr>
      <w:rPr>
        <w:rFonts w:ascii="Symbol" w:hAnsi="Symbol" w:hint="default"/>
      </w:rPr>
    </w:lvl>
    <w:lvl w:ilvl="7" w:tplc="4A040462" w:tentative="1">
      <w:start w:val="1"/>
      <w:numFmt w:val="bullet"/>
      <w:lvlText w:val="o"/>
      <w:lvlJc w:val="left"/>
      <w:pPr>
        <w:ind w:left="5760" w:hanging="360"/>
      </w:pPr>
      <w:rPr>
        <w:rFonts w:ascii="Courier New" w:hAnsi="Courier New" w:hint="default"/>
      </w:rPr>
    </w:lvl>
    <w:lvl w:ilvl="8" w:tplc="917A59E6" w:tentative="1">
      <w:start w:val="1"/>
      <w:numFmt w:val="bullet"/>
      <w:lvlText w:val=""/>
      <w:lvlJc w:val="left"/>
      <w:pPr>
        <w:ind w:left="6480" w:hanging="360"/>
      </w:pPr>
      <w:rPr>
        <w:rFonts w:ascii="Wingdings" w:hAnsi="Wingdings" w:hint="default"/>
      </w:rPr>
    </w:lvl>
  </w:abstractNum>
  <w:abstractNum w:abstractNumId="432" w15:restartNumberingAfterBreak="0">
    <w:nsid w:val="5E3D05FA"/>
    <w:multiLevelType w:val="hybridMultilevel"/>
    <w:tmpl w:val="E49CCC2C"/>
    <w:lvl w:ilvl="0" w:tplc="DEFC20D8">
      <w:start w:val="1"/>
      <w:numFmt w:val="bullet"/>
      <w:lvlText w:val=""/>
      <w:lvlJc w:val="left"/>
      <w:pPr>
        <w:ind w:left="720" w:hanging="360"/>
      </w:pPr>
      <w:rPr>
        <w:rFonts w:ascii="Symbol" w:hAnsi="Symbol" w:hint="default"/>
      </w:rPr>
    </w:lvl>
    <w:lvl w:ilvl="1" w:tplc="68528E0A" w:tentative="1">
      <w:start w:val="1"/>
      <w:numFmt w:val="bullet"/>
      <w:lvlText w:val="o"/>
      <w:lvlJc w:val="left"/>
      <w:pPr>
        <w:ind w:left="1440" w:hanging="360"/>
      </w:pPr>
      <w:rPr>
        <w:rFonts w:ascii="Courier New" w:hAnsi="Courier New" w:hint="default"/>
      </w:rPr>
    </w:lvl>
    <w:lvl w:ilvl="2" w:tplc="887A2C30" w:tentative="1">
      <w:start w:val="1"/>
      <w:numFmt w:val="bullet"/>
      <w:lvlText w:val=""/>
      <w:lvlJc w:val="left"/>
      <w:pPr>
        <w:ind w:left="2160" w:hanging="360"/>
      </w:pPr>
      <w:rPr>
        <w:rFonts w:ascii="Wingdings" w:hAnsi="Wingdings" w:hint="default"/>
      </w:rPr>
    </w:lvl>
    <w:lvl w:ilvl="3" w:tplc="AADE8916" w:tentative="1">
      <w:start w:val="1"/>
      <w:numFmt w:val="bullet"/>
      <w:lvlText w:val=""/>
      <w:lvlJc w:val="left"/>
      <w:pPr>
        <w:ind w:left="2880" w:hanging="360"/>
      </w:pPr>
      <w:rPr>
        <w:rFonts w:ascii="Symbol" w:hAnsi="Symbol" w:hint="default"/>
      </w:rPr>
    </w:lvl>
    <w:lvl w:ilvl="4" w:tplc="851AD762" w:tentative="1">
      <w:start w:val="1"/>
      <w:numFmt w:val="bullet"/>
      <w:lvlText w:val="o"/>
      <w:lvlJc w:val="left"/>
      <w:pPr>
        <w:ind w:left="3600" w:hanging="360"/>
      </w:pPr>
      <w:rPr>
        <w:rFonts w:ascii="Courier New" w:hAnsi="Courier New" w:hint="default"/>
      </w:rPr>
    </w:lvl>
    <w:lvl w:ilvl="5" w:tplc="4C3E4704" w:tentative="1">
      <w:start w:val="1"/>
      <w:numFmt w:val="bullet"/>
      <w:lvlText w:val=""/>
      <w:lvlJc w:val="left"/>
      <w:pPr>
        <w:ind w:left="4320" w:hanging="360"/>
      </w:pPr>
      <w:rPr>
        <w:rFonts w:ascii="Wingdings" w:hAnsi="Wingdings" w:hint="default"/>
      </w:rPr>
    </w:lvl>
    <w:lvl w:ilvl="6" w:tplc="D4EAAECA" w:tentative="1">
      <w:start w:val="1"/>
      <w:numFmt w:val="bullet"/>
      <w:lvlText w:val=""/>
      <w:lvlJc w:val="left"/>
      <w:pPr>
        <w:ind w:left="5040" w:hanging="360"/>
      </w:pPr>
      <w:rPr>
        <w:rFonts w:ascii="Symbol" w:hAnsi="Symbol" w:hint="default"/>
      </w:rPr>
    </w:lvl>
    <w:lvl w:ilvl="7" w:tplc="02D63FDE" w:tentative="1">
      <w:start w:val="1"/>
      <w:numFmt w:val="bullet"/>
      <w:lvlText w:val="o"/>
      <w:lvlJc w:val="left"/>
      <w:pPr>
        <w:ind w:left="5760" w:hanging="360"/>
      </w:pPr>
      <w:rPr>
        <w:rFonts w:ascii="Courier New" w:hAnsi="Courier New" w:hint="default"/>
      </w:rPr>
    </w:lvl>
    <w:lvl w:ilvl="8" w:tplc="AE8EF64A" w:tentative="1">
      <w:start w:val="1"/>
      <w:numFmt w:val="bullet"/>
      <w:lvlText w:val=""/>
      <w:lvlJc w:val="left"/>
      <w:pPr>
        <w:ind w:left="6480" w:hanging="360"/>
      </w:pPr>
      <w:rPr>
        <w:rFonts w:ascii="Wingdings" w:hAnsi="Wingdings" w:hint="default"/>
      </w:rPr>
    </w:lvl>
  </w:abstractNum>
  <w:abstractNum w:abstractNumId="433" w15:restartNumberingAfterBreak="0">
    <w:nsid w:val="5E3F687A"/>
    <w:multiLevelType w:val="hybridMultilevel"/>
    <w:tmpl w:val="C49C07B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34" w15:restartNumberingAfterBreak="0">
    <w:nsid w:val="5E842DBB"/>
    <w:multiLevelType w:val="hybridMultilevel"/>
    <w:tmpl w:val="1848E746"/>
    <w:lvl w:ilvl="0" w:tplc="379250C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ymbol" w:hAnsi="Symbol" w:hint="default"/>
      </w:rPr>
    </w:lvl>
    <w:lvl w:ilvl="2" w:tplc="FFFFFFFF" w:tentative="1">
      <w:start w:val="1"/>
      <w:numFmt w:val="bullet"/>
      <w:lvlText w:val="§"/>
      <w:lvlJc w:val="left"/>
      <w:pPr>
        <w:ind w:left="2160" w:hanging="360"/>
      </w:pPr>
      <w:rPr>
        <w:rFonts w:ascii="Symbol" w:hAnsi="Symbol" w:hint="default"/>
      </w:rPr>
    </w:lvl>
    <w:lvl w:ilvl="3" w:tplc="AB429FB2" w:tentative="1">
      <w:start w:val="1"/>
      <w:numFmt w:val="bullet"/>
      <w:lvlText w:val=""/>
      <w:lvlJc w:val="left"/>
      <w:pPr>
        <w:ind w:left="2880" w:hanging="360"/>
      </w:pPr>
      <w:rPr>
        <w:rFonts w:ascii="Symbol" w:hAnsi="Symbol" w:hint="default"/>
      </w:rPr>
    </w:lvl>
    <w:lvl w:ilvl="4" w:tplc="E87A32DE" w:tentative="1">
      <w:start w:val="1"/>
      <w:numFmt w:val="bullet"/>
      <w:lvlText w:val="o"/>
      <w:lvlJc w:val="left"/>
      <w:pPr>
        <w:ind w:left="3600" w:hanging="360"/>
      </w:pPr>
      <w:rPr>
        <w:rFonts w:ascii="Courier New" w:hAnsi="Courier New" w:hint="default"/>
      </w:rPr>
    </w:lvl>
    <w:lvl w:ilvl="5" w:tplc="E024805C" w:tentative="1">
      <w:start w:val="1"/>
      <w:numFmt w:val="bullet"/>
      <w:lvlText w:val=""/>
      <w:lvlJc w:val="left"/>
      <w:pPr>
        <w:ind w:left="4320" w:hanging="360"/>
      </w:pPr>
      <w:rPr>
        <w:rFonts w:ascii="Wingdings" w:hAnsi="Wingdings" w:hint="default"/>
      </w:rPr>
    </w:lvl>
    <w:lvl w:ilvl="6" w:tplc="D3F05E2A" w:tentative="1">
      <w:start w:val="1"/>
      <w:numFmt w:val="bullet"/>
      <w:lvlText w:val=""/>
      <w:lvlJc w:val="left"/>
      <w:pPr>
        <w:ind w:left="5040" w:hanging="360"/>
      </w:pPr>
      <w:rPr>
        <w:rFonts w:ascii="Symbol" w:hAnsi="Symbol" w:hint="default"/>
      </w:rPr>
    </w:lvl>
    <w:lvl w:ilvl="7" w:tplc="FE2EF40E" w:tentative="1">
      <w:start w:val="1"/>
      <w:numFmt w:val="bullet"/>
      <w:lvlText w:val="o"/>
      <w:lvlJc w:val="left"/>
      <w:pPr>
        <w:ind w:left="5760" w:hanging="360"/>
      </w:pPr>
      <w:rPr>
        <w:rFonts w:ascii="Courier New" w:hAnsi="Courier New" w:hint="default"/>
      </w:rPr>
    </w:lvl>
    <w:lvl w:ilvl="8" w:tplc="44DCFA54" w:tentative="1">
      <w:start w:val="1"/>
      <w:numFmt w:val="bullet"/>
      <w:lvlText w:val=""/>
      <w:lvlJc w:val="left"/>
      <w:pPr>
        <w:ind w:left="6480" w:hanging="360"/>
      </w:pPr>
      <w:rPr>
        <w:rFonts w:ascii="Wingdings" w:hAnsi="Wingdings" w:hint="default"/>
      </w:rPr>
    </w:lvl>
  </w:abstractNum>
  <w:abstractNum w:abstractNumId="435" w15:restartNumberingAfterBreak="0">
    <w:nsid w:val="5EBF09A1"/>
    <w:multiLevelType w:val="multilevel"/>
    <w:tmpl w:val="2038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F0C29FB"/>
    <w:multiLevelType w:val="multilevel"/>
    <w:tmpl w:val="5D4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F1159AE"/>
    <w:multiLevelType w:val="multilevel"/>
    <w:tmpl w:val="45CCF0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5FE93BD0"/>
    <w:multiLevelType w:val="hybridMultilevel"/>
    <w:tmpl w:val="AAF05C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9" w15:restartNumberingAfterBreak="0">
    <w:nsid w:val="6055641A"/>
    <w:multiLevelType w:val="hybridMultilevel"/>
    <w:tmpl w:val="0E5C2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0" w15:restartNumberingAfterBreak="0">
    <w:nsid w:val="607A061E"/>
    <w:multiLevelType w:val="multilevel"/>
    <w:tmpl w:val="D23C0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60D104F7"/>
    <w:multiLevelType w:val="multilevel"/>
    <w:tmpl w:val="455A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60E8795B"/>
    <w:multiLevelType w:val="multilevel"/>
    <w:tmpl w:val="F856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60FF6AFC"/>
    <w:multiLevelType w:val="multilevel"/>
    <w:tmpl w:val="4A3E7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13F3CB3"/>
    <w:multiLevelType w:val="hybridMultilevel"/>
    <w:tmpl w:val="28A48D80"/>
    <w:lvl w:ilvl="0" w:tplc="E1F87D60">
      <w:start w:val="1"/>
      <w:numFmt w:val="bullet"/>
      <w:lvlText w:val="·"/>
      <w:lvlJc w:val="left"/>
      <w:pPr>
        <w:ind w:left="720" w:hanging="360"/>
      </w:pPr>
      <w:rPr>
        <w:rFonts w:ascii="Arial, sans-serif" w:hAnsi="Arial, sans-serif" w:hint="default"/>
      </w:rPr>
    </w:lvl>
    <w:lvl w:ilvl="1" w:tplc="296C8D3E">
      <w:start w:val="1"/>
      <w:numFmt w:val="bullet"/>
      <w:lvlText w:val="o"/>
      <w:lvlJc w:val="left"/>
      <w:pPr>
        <w:ind w:left="1440" w:hanging="360"/>
      </w:pPr>
      <w:rPr>
        <w:rFonts w:ascii="Courier New" w:hAnsi="Courier New" w:hint="default"/>
      </w:rPr>
    </w:lvl>
    <w:lvl w:ilvl="2" w:tplc="E460FB10">
      <w:start w:val="1"/>
      <w:numFmt w:val="bullet"/>
      <w:lvlText w:val=""/>
      <w:lvlJc w:val="left"/>
      <w:pPr>
        <w:ind w:left="2160" w:hanging="360"/>
      </w:pPr>
      <w:rPr>
        <w:rFonts w:ascii="Wingdings" w:hAnsi="Wingdings" w:hint="default"/>
      </w:rPr>
    </w:lvl>
    <w:lvl w:ilvl="3" w:tplc="3F88AF42">
      <w:start w:val="1"/>
      <w:numFmt w:val="bullet"/>
      <w:lvlText w:val=""/>
      <w:lvlJc w:val="left"/>
      <w:pPr>
        <w:ind w:left="2880" w:hanging="360"/>
      </w:pPr>
      <w:rPr>
        <w:rFonts w:ascii="Symbol" w:hAnsi="Symbol" w:hint="default"/>
      </w:rPr>
    </w:lvl>
    <w:lvl w:ilvl="4" w:tplc="F95CBF6E">
      <w:start w:val="1"/>
      <w:numFmt w:val="bullet"/>
      <w:lvlText w:val="o"/>
      <w:lvlJc w:val="left"/>
      <w:pPr>
        <w:ind w:left="3600" w:hanging="360"/>
      </w:pPr>
      <w:rPr>
        <w:rFonts w:ascii="Courier New" w:hAnsi="Courier New" w:hint="default"/>
      </w:rPr>
    </w:lvl>
    <w:lvl w:ilvl="5" w:tplc="5CC0AD74">
      <w:start w:val="1"/>
      <w:numFmt w:val="bullet"/>
      <w:lvlText w:val=""/>
      <w:lvlJc w:val="left"/>
      <w:pPr>
        <w:ind w:left="4320" w:hanging="360"/>
      </w:pPr>
      <w:rPr>
        <w:rFonts w:ascii="Wingdings" w:hAnsi="Wingdings" w:hint="default"/>
      </w:rPr>
    </w:lvl>
    <w:lvl w:ilvl="6" w:tplc="E938D0F0">
      <w:start w:val="1"/>
      <w:numFmt w:val="bullet"/>
      <w:lvlText w:val=""/>
      <w:lvlJc w:val="left"/>
      <w:pPr>
        <w:ind w:left="5040" w:hanging="360"/>
      </w:pPr>
      <w:rPr>
        <w:rFonts w:ascii="Symbol" w:hAnsi="Symbol" w:hint="default"/>
      </w:rPr>
    </w:lvl>
    <w:lvl w:ilvl="7" w:tplc="1BA29166">
      <w:start w:val="1"/>
      <w:numFmt w:val="bullet"/>
      <w:lvlText w:val="o"/>
      <w:lvlJc w:val="left"/>
      <w:pPr>
        <w:ind w:left="5760" w:hanging="360"/>
      </w:pPr>
      <w:rPr>
        <w:rFonts w:ascii="Courier New" w:hAnsi="Courier New" w:hint="default"/>
      </w:rPr>
    </w:lvl>
    <w:lvl w:ilvl="8" w:tplc="99F253BA">
      <w:start w:val="1"/>
      <w:numFmt w:val="bullet"/>
      <w:lvlText w:val=""/>
      <w:lvlJc w:val="left"/>
      <w:pPr>
        <w:ind w:left="6480" w:hanging="360"/>
      </w:pPr>
      <w:rPr>
        <w:rFonts w:ascii="Wingdings" w:hAnsi="Wingdings" w:hint="default"/>
      </w:rPr>
    </w:lvl>
  </w:abstractNum>
  <w:abstractNum w:abstractNumId="445" w15:restartNumberingAfterBreak="0">
    <w:nsid w:val="614C64F1"/>
    <w:multiLevelType w:val="multilevel"/>
    <w:tmpl w:val="9654A8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46" w15:restartNumberingAfterBreak="0">
    <w:nsid w:val="61897D68"/>
    <w:multiLevelType w:val="hybridMultilevel"/>
    <w:tmpl w:val="AAB6B100"/>
    <w:lvl w:ilvl="0" w:tplc="122A3240">
      <w:start w:val="1"/>
      <w:numFmt w:val="bullet"/>
      <w:lvlText w:val=""/>
      <w:lvlJc w:val="left"/>
      <w:pPr>
        <w:ind w:left="720" w:hanging="360"/>
      </w:pPr>
      <w:rPr>
        <w:rFonts w:ascii="Symbol" w:hAnsi="Symbol" w:hint="default"/>
      </w:rPr>
    </w:lvl>
    <w:lvl w:ilvl="1" w:tplc="20C22FAA" w:tentative="1">
      <w:start w:val="1"/>
      <w:numFmt w:val="bullet"/>
      <w:lvlText w:val="o"/>
      <w:lvlJc w:val="left"/>
      <w:pPr>
        <w:ind w:left="1440" w:hanging="360"/>
      </w:pPr>
      <w:rPr>
        <w:rFonts w:ascii="Courier New" w:hAnsi="Courier New" w:hint="default"/>
      </w:rPr>
    </w:lvl>
    <w:lvl w:ilvl="2" w:tplc="1848FA36" w:tentative="1">
      <w:start w:val="1"/>
      <w:numFmt w:val="bullet"/>
      <w:lvlText w:val=""/>
      <w:lvlJc w:val="left"/>
      <w:pPr>
        <w:ind w:left="2160" w:hanging="360"/>
      </w:pPr>
      <w:rPr>
        <w:rFonts w:ascii="Wingdings" w:hAnsi="Wingdings" w:hint="default"/>
      </w:rPr>
    </w:lvl>
    <w:lvl w:ilvl="3" w:tplc="A3C44270" w:tentative="1">
      <w:start w:val="1"/>
      <w:numFmt w:val="bullet"/>
      <w:lvlText w:val=""/>
      <w:lvlJc w:val="left"/>
      <w:pPr>
        <w:ind w:left="2880" w:hanging="360"/>
      </w:pPr>
      <w:rPr>
        <w:rFonts w:ascii="Symbol" w:hAnsi="Symbol" w:hint="default"/>
      </w:rPr>
    </w:lvl>
    <w:lvl w:ilvl="4" w:tplc="23909E36" w:tentative="1">
      <w:start w:val="1"/>
      <w:numFmt w:val="bullet"/>
      <w:lvlText w:val="o"/>
      <w:lvlJc w:val="left"/>
      <w:pPr>
        <w:ind w:left="3600" w:hanging="360"/>
      </w:pPr>
      <w:rPr>
        <w:rFonts w:ascii="Courier New" w:hAnsi="Courier New" w:hint="default"/>
      </w:rPr>
    </w:lvl>
    <w:lvl w:ilvl="5" w:tplc="14D0D848" w:tentative="1">
      <w:start w:val="1"/>
      <w:numFmt w:val="bullet"/>
      <w:lvlText w:val=""/>
      <w:lvlJc w:val="left"/>
      <w:pPr>
        <w:ind w:left="4320" w:hanging="360"/>
      </w:pPr>
      <w:rPr>
        <w:rFonts w:ascii="Wingdings" w:hAnsi="Wingdings" w:hint="default"/>
      </w:rPr>
    </w:lvl>
    <w:lvl w:ilvl="6" w:tplc="F9164320" w:tentative="1">
      <w:start w:val="1"/>
      <w:numFmt w:val="bullet"/>
      <w:lvlText w:val=""/>
      <w:lvlJc w:val="left"/>
      <w:pPr>
        <w:ind w:left="5040" w:hanging="360"/>
      </w:pPr>
      <w:rPr>
        <w:rFonts w:ascii="Symbol" w:hAnsi="Symbol" w:hint="default"/>
      </w:rPr>
    </w:lvl>
    <w:lvl w:ilvl="7" w:tplc="9B1AC92C" w:tentative="1">
      <w:start w:val="1"/>
      <w:numFmt w:val="bullet"/>
      <w:lvlText w:val="o"/>
      <w:lvlJc w:val="left"/>
      <w:pPr>
        <w:ind w:left="5760" w:hanging="360"/>
      </w:pPr>
      <w:rPr>
        <w:rFonts w:ascii="Courier New" w:hAnsi="Courier New" w:hint="default"/>
      </w:rPr>
    </w:lvl>
    <w:lvl w:ilvl="8" w:tplc="40A2E4B4" w:tentative="1">
      <w:start w:val="1"/>
      <w:numFmt w:val="bullet"/>
      <w:lvlText w:val=""/>
      <w:lvlJc w:val="left"/>
      <w:pPr>
        <w:ind w:left="6480" w:hanging="360"/>
      </w:pPr>
      <w:rPr>
        <w:rFonts w:ascii="Wingdings" w:hAnsi="Wingdings" w:hint="default"/>
      </w:rPr>
    </w:lvl>
  </w:abstractNum>
  <w:abstractNum w:abstractNumId="447" w15:restartNumberingAfterBreak="0">
    <w:nsid w:val="61D023FB"/>
    <w:multiLevelType w:val="hybridMultilevel"/>
    <w:tmpl w:val="F2F8A860"/>
    <w:lvl w:ilvl="0" w:tplc="D3F85488">
      <w:start w:val="1"/>
      <w:numFmt w:val="bullet"/>
      <w:lvlText w:val=""/>
      <w:lvlJc w:val="left"/>
      <w:pPr>
        <w:ind w:left="360" w:hanging="360"/>
      </w:pPr>
      <w:rPr>
        <w:rFonts w:ascii="Symbol" w:hAnsi="Symbol" w:hint="default"/>
        <w:sz w:val="22"/>
        <w:szCs w:val="22"/>
      </w:rPr>
    </w:lvl>
    <w:lvl w:ilvl="1" w:tplc="37A8B2AA">
      <w:start w:val="1"/>
      <w:numFmt w:val="bullet"/>
      <w:lvlText w:val="o"/>
      <w:lvlJc w:val="left"/>
      <w:pPr>
        <w:ind w:left="1080" w:hanging="360"/>
      </w:pPr>
      <w:rPr>
        <w:rFonts w:ascii="Courier New" w:hAnsi="Courier New" w:hint="default"/>
      </w:rPr>
    </w:lvl>
    <w:lvl w:ilvl="2" w:tplc="BF828BC2">
      <w:start w:val="1"/>
      <w:numFmt w:val="bullet"/>
      <w:lvlText w:val=""/>
      <w:lvlJc w:val="left"/>
      <w:pPr>
        <w:ind w:left="1800" w:hanging="360"/>
      </w:pPr>
      <w:rPr>
        <w:rFonts w:ascii="Wingdings" w:hAnsi="Wingdings" w:hint="default"/>
      </w:rPr>
    </w:lvl>
    <w:lvl w:ilvl="3" w:tplc="1DF81974" w:tentative="1">
      <w:start w:val="1"/>
      <w:numFmt w:val="bullet"/>
      <w:lvlText w:val=""/>
      <w:lvlJc w:val="left"/>
      <w:pPr>
        <w:ind w:left="2520" w:hanging="360"/>
      </w:pPr>
      <w:rPr>
        <w:rFonts w:ascii="Symbol" w:hAnsi="Symbol" w:hint="default"/>
      </w:rPr>
    </w:lvl>
    <w:lvl w:ilvl="4" w:tplc="C7C8F01A" w:tentative="1">
      <w:start w:val="1"/>
      <w:numFmt w:val="bullet"/>
      <w:lvlText w:val="o"/>
      <w:lvlJc w:val="left"/>
      <w:pPr>
        <w:ind w:left="3240" w:hanging="360"/>
      </w:pPr>
      <w:rPr>
        <w:rFonts w:ascii="Courier New" w:hAnsi="Courier New" w:hint="default"/>
      </w:rPr>
    </w:lvl>
    <w:lvl w:ilvl="5" w:tplc="B49A2A84" w:tentative="1">
      <w:start w:val="1"/>
      <w:numFmt w:val="bullet"/>
      <w:lvlText w:val=""/>
      <w:lvlJc w:val="left"/>
      <w:pPr>
        <w:ind w:left="3960" w:hanging="360"/>
      </w:pPr>
      <w:rPr>
        <w:rFonts w:ascii="Wingdings" w:hAnsi="Wingdings" w:hint="default"/>
      </w:rPr>
    </w:lvl>
    <w:lvl w:ilvl="6" w:tplc="77F6B206" w:tentative="1">
      <w:start w:val="1"/>
      <w:numFmt w:val="bullet"/>
      <w:lvlText w:val=""/>
      <w:lvlJc w:val="left"/>
      <w:pPr>
        <w:ind w:left="4680" w:hanging="360"/>
      </w:pPr>
      <w:rPr>
        <w:rFonts w:ascii="Symbol" w:hAnsi="Symbol" w:hint="default"/>
      </w:rPr>
    </w:lvl>
    <w:lvl w:ilvl="7" w:tplc="2828D3DA" w:tentative="1">
      <w:start w:val="1"/>
      <w:numFmt w:val="bullet"/>
      <w:lvlText w:val="o"/>
      <w:lvlJc w:val="left"/>
      <w:pPr>
        <w:ind w:left="5400" w:hanging="360"/>
      </w:pPr>
      <w:rPr>
        <w:rFonts w:ascii="Courier New" w:hAnsi="Courier New" w:hint="default"/>
      </w:rPr>
    </w:lvl>
    <w:lvl w:ilvl="8" w:tplc="0A6A0972" w:tentative="1">
      <w:start w:val="1"/>
      <w:numFmt w:val="bullet"/>
      <w:lvlText w:val=""/>
      <w:lvlJc w:val="left"/>
      <w:pPr>
        <w:ind w:left="6120" w:hanging="360"/>
      </w:pPr>
      <w:rPr>
        <w:rFonts w:ascii="Wingdings" w:hAnsi="Wingdings" w:hint="default"/>
      </w:rPr>
    </w:lvl>
  </w:abstractNum>
  <w:abstractNum w:abstractNumId="448" w15:restartNumberingAfterBreak="0">
    <w:nsid w:val="622D2602"/>
    <w:multiLevelType w:val="hybridMultilevel"/>
    <w:tmpl w:val="96DCDD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9" w15:restartNumberingAfterBreak="0">
    <w:nsid w:val="625D62CE"/>
    <w:multiLevelType w:val="multilevel"/>
    <w:tmpl w:val="AEFEE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6278610E"/>
    <w:multiLevelType w:val="multilevel"/>
    <w:tmpl w:val="648E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62B91931"/>
    <w:multiLevelType w:val="hybridMultilevel"/>
    <w:tmpl w:val="67A4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2" w15:restartNumberingAfterBreak="0">
    <w:nsid w:val="62D42AE9"/>
    <w:multiLevelType w:val="hybridMultilevel"/>
    <w:tmpl w:val="DE20EA66"/>
    <w:lvl w:ilvl="0" w:tplc="8410E878">
      <w:start w:val="1"/>
      <w:numFmt w:val="bullet"/>
      <w:lvlText w:val=""/>
      <w:lvlJc w:val="left"/>
      <w:pPr>
        <w:ind w:left="720" w:hanging="360"/>
      </w:pPr>
      <w:rPr>
        <w:rFonts w:ascii="Symbol" w:hAnsi="Symbol" w:hint="default"/>
      </w:rPr>
    </w:lvl>
    <w:lvl w:ilvl="1" w:tplc="E97E21D4" w:tentative="1">
      <w:start w:val="1"/>
      <w:numFmt w:val="bullet"/>
      <w:lvlText w:val="o"/>
      <w:lvlJc w:val="left"/>
      <w:pPr>
        <w:ind w:left="1440" w:hanging="360"/>
      </w:pPr>
      <w:rPr>
        <w:rFonts w:ascii="Courier New" w:hAnsi="Courier New" w:hint="default"/>
      </w:rPr>
    </w:lvl>
    <w:lvl w:ilvl="2" w:tplc="39420F3C" w:tentative="1">
      <w:start w:val="1"/>
      <w:numFmt w:val="bullet"/>
      <w:lvlText w:val=""/>
      <w:lvlJc w:val="left"/>
      <w:pPr>
        <w:ind w:left="2160" w:hanging="360"/>
      </w:pPr>
      <w:rPr>
        <w:rFonts w:ascii="Wingdings" w:hAnsi="Wingdings" w:hint="default"/>
      </w:rPr>
    </w:lvl>
    <w:lvl w:ilvl="3" w:tplc="BF7EDF72" w:tentative="1">
      <w:start w:val="1"/>
      <w:numFmt w:val="bullet"/>
      <w:lvlText w:val=""/>
      <w:lvlJc w:val="left"/>
      <w:pPr>
        <w:ind w:left="2880" w:hanging="360"/>
      </w:pPr>
      <w:rPr>
        <w:rFonts w:ascii="Symbol" w:hAnsi="Symbol" w:hint="default"/>
      </w:rPr>
    </w:lvl>
    <w:lvl w:ilvl="4" w:tplc="A80E8FA4" w:tentative="1">
      <w:start w:val="1"/>
      <w:numFmt w:val="bullet"/>
      <w:lvlText w:val="o"/>
      <w:lvlJc w:val="left"/>
      <w:pPr>
        <w:ind w:left="3600" w:hanging="360"/>
      </w:pPr>
      <w:rPr>
        <w:rFonts w:ascii="Courier New" w:hAnsi="Courier New" w:hint="default"/>
      </w:rPr>
    </w:lvl>
    <w:lvl w:ilvl="5" w:tplc="F334D576" w:tentative="1">
      <w:start w:val="1"/>
      <w:numFmt w:val="bullet"/>
      <w:lvlText w:val=""/>
      <w:lvlJc w:val="left"/>
      <w:pPr>
        <w:ind w:left="4320" w:hanging="360"/>
      </w:pPr>
      <w:rPr>
        <w:rFonts w:ascii="Wingdings" w:hAnsi="Wingdings" w:hint="default"/>
      </w:rPr>
    </w:lvl>
    <w:lvl w:ilvl="6" w:tplc="85F46C2C" w:tentative="1">
      <w:start w:val="1"/>
      <w:numFmt w:val="bullet"/>
      <w:lvlText w:val=""/>
      <w:lvlJc w:val="left"/>
      <w:pPr>
        <w:ind w:left="5040" w:hanging="360"/>
      </w:pPr>
      <w:rPr>
        <w:rFonts w:ascii="Symbol" w:hAnsi="Symbol" w:hint="default"/>
      </w:rPr>
    </w:lvl>
    <w:lvl w:ilvl="7" w:tplc="35300396" w:tentative="1">
      <w:start w:val="1"/>
      <w:numFmt w:val="bullet"/>
      <w:lvlText w:val="o"/>
      <w:lvlJc w:val="left"/>
      <w:pPr>
        <w:ind w:left="5760" w:hanging="360"/>
      </w:pPr>
      <w:rPr>
        <w:rFonts w:ascii="Courier New" w:hAnsi="Courier New" w:hint="default"/>
      </w:rPr>
    </w:lvl>
    <w:lvl w:ilvl="8" w:tplc="01046200" w:tentative="1">
      <w:start w:val="1"/>
      <w:numFmt w:val="bullet"/>
      <w:lvlText w:val=""/>
      <w:lvlJc w:val="left"/>
      <w:pPr>
        <w:ind w:left="6480" w:hanging="360"/>
      </w:pPr>
      <w:rPr>
        <w:rFonts w:ascii="Wingdings" w:hAnsi="Wingdings" w:hint="default"/>
      </w:rPr>
    </w:lvl>
  </w:abstractNum>
  <w:abstractNum w:abstractNumId="453" w15:restartNumberingAfterBreak="0">
    <w:nsid w:val="632719FC"/>
    <w:multiLevelType w:val="hybridMultilevel"/>
    <w:tmpl w:val="3CE0DD7A"/>
    <w:lvl w:ilvl="0" w:tplc="A76E9E7A">
      <w:start w:val="1"/>
      <w:numFmt w:val="bullet"/>
      <w:lvlText w:val=""/>
      <w:lvlJc w:val="left"/>
      <w:pPr>
        <w:ind w:left="720" w:hanging="360"/>
      </w:pPr>
      <w:rPr>
        <w:rFonts w:ascii="Symbol" w:hAnsi="Symbol" w:hint="default"/>
      </w:rPr>
    </w:lvl>
    <w:lvl w:ilvl="1" w:tplc="42726170" w:tentative="1">
      <w:start w:val="1"/>
      <w:numFmt w:val="bullet"/>
      <w:lvlText w:val="o"/>
      <w:lvlJc w:val="left"/>
      <w:pPr>
        <w:ind w:left="1440" w:hanging="360"/>
      </w:pPr>
      <w:rPr>
        <w:rFonts w:ascii="Courier New" w:hAnsi="Courier New" w:hint="default"/>
      </w:rPr>
    </w:lvl>
    <w:lvl w:ilvl="2" w:tplc="5906A110" w:tentative="1">
      <w:start w:val="1"/>
      <w:numFmt w:val="bullet"/>
      <w:lvlText w:val=""/>
      <w:lvlJc w:val="left"/>
      <w:pPr>
        <w:ind w:left="2160" w:hanging="360"/>
      </w:pPr>
      <w:rPr>
        <w:rFonts w:ascii="Wingdings" w:hAnsi="Wingdings" w:hint="default"/>
      </w:rPr>
    </w:lvl>
    <w:lvl w:ilvl="3" w:tplc="8182EA32" w:tentative="1">
      <w:start w:val="1"/>
      <w:numFmt w:val="bullet"/>
      <w:lvlText w:val=""/>
      <w:lvlJc w:val="left"/>
      <w:pPr>
        <w:ind w:left="2880" w:hanging="360"/>
      </w:pPr>
      <w:rPr>
        <w:rFonts w:ascii="Symbol" w:hAnsi="Symbol" w:hint="default"/>
      </w:rPr>
    </w:lvl>
    <w:lvl w:ilvl="4" w:tplc="1018C444" w:tentative="1">
      <w:start w:val="1"/>
      <w:numFmt w:val="bullet"/>
      <w:lvlText w:val="o"/>
      <w:lvlJc w:val="left"/>
      <w:pPr>
        <w:ind w:left="3600" w:hanging="360"/>
      </w:pPr>
      <w:rPr>
        <w:rFonts w:ascii="Courier New" w:hAnsi="Courier New" w:hint="default"/>
      </w:rPr>
    </w:lvl>
    <w:lvl w:ilvl="5" w:tplc="FCBC4B8C" w:tentative="1">
      <w:start w:val="1"/>
      <w:numFmt w:val="bullet"/>
      <w:lvlText w:val=""/>
      <w:lvlJc w:val="left"/>
      <w:pPr>
        <w:ind w:left="4320" w:hanging="360"/>
      </w:pPr>
      <w:rPr>
        <w:rFonts w:ascii="Wingdings" w:hAnsi="Wingdings" w:hint="default"/>
      </w:rPr>
    </w:lvl>
    <w:lvl w:ilvl="6" w:tplc="D300574E" w:tentative="1">
      <w:start w:val="1"/>
      <w:numFmt w:val="bullet"/>
      <w:lvlText w:val=""/>
      <w:lvlJc w:val="left"/>
      <w:pPr>
        <w:ind w:left="5040" w:hanging="360"/>
      </w:pPr>
      <w:rPr>
        <w:rFonts w:ascii="Symbol" w:hAnsi="Symbol" w:hint="default"/>
      </w:rPr>
    </w:lvl>
    <w:lvl w:ilvl="7" w:tplc="DB48D7FA" w:tentative="1">
      <w:start w:val="1"/>
      <w:numFmt w:val="bullet"/>
      <w:lvlText w:val="o"/>
      <w:lvlJc w:val="left"/>
      <w:pPr>
        <w:ind w:left="5760" w:hanging="360"/>
      </w:pPr>
      <w:rPr>
        <w:rFonts w:ascii="Courier New" w:hAnsi="Courier New" w:hint="default"/>
      </w:rPr>
    </w:lvl>
    <w:lvl w:ilvl="8" w:tplc="3D5C515A" w:tentative="1">
      <w:start w:val="1"/>
      <w:numFmt w:val="bullet"/>
      <w:lvlText w:val=""/>
      <w:lvlJc w:val="left"/>
      <w:pPr>
        <w:ind w:left="6480" w:hanging="360"/>
      </w:pPr>
      <w:rPr>
        <w:rFonts w:ascii="Wingdings" w:hAnsi="Wingdings" w:hint="default"/>
      </w:rPr>
    </w:lvl>
  </w:abstractNum>
  <w:abstractNum w:abstractNumId="454" w15:restartNumberingAfterBreak="0">
    <w:nsid w:val="63627FD7"/>
    <w:multiLevelType w:val="hybridMultilevel"/>
    <w:tmpl w:val="7C6A73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5" w15:restartNumberingAfterBreak="0">
    <w:nsid w:val="638F3075"/>
    <w:multiLevelType w:val="hybridMultilevel"/>
    <w:tmpl w:val="87E02F9E"/>
    <w:lvl w:ilvl="0" w:tplc="12E2EEE0">
      <w:start w:val="1"/>
      <w:numFmt w:val="bullet"/>
      <w:lvlText w:val=""/>
      <w:lvlJc w:val="left"/>
      <w:pPr>
        <w:ind w:left="720" w:hanging="360"/>
      </w:pPr>
      <w:rPr>
        <w:rFonts w:ascii="Symbol" w:hAnsi="Symbol" w:hint="default"/>
      </w:rPr>
    </w:lvl>
    <w:lvl w:ilvl="1" w:tplc="99C6ECB2" w:tentative="1">
      <w:start w:val="1"/>
      <w:numFmt w:val="bullet"/>
      <w:lvlText w:val="o"/>
      <w:lvlJc w:val="left"/>
      <w:pPr>
        <w:ind w:left="1440" w:hanging="360"/>
      </w:pPr>
      <w:rPr>
        <w:rFonts w:ascii="Courier New" w:hAnsi="Courier New" w:hint="default"/>
      </w:rPr>
    </w:lvl>
    <w:lvl w:ilvl="2" w:tplc="296EBF92" w:tentative="1">
      <w:start w:val="1"/>
      <w:numFmt w:val="bullet"/>
      <w:lvlText w:val=""/>
      <w:lvlJc w:val="left"/>
      <w:pPr>
        <w:ind w:left="2160" w:hanging="360"/>
      </w:pPr>
      <w:rPr>
        <w:rFonts w:ascii="Wingdings" w:hAnsi="Wingdings" w:hint="default"/>
      </w:rPr>
    </w:lvl>
    <w:lvl w:ilvl="3" w:tplc="BE16C55C" w:tentative="1">
      <w:start w:val="1"/>
      <w:numFmt w:val="bullet"/>
      <w:lvlText w:val=""/>
      <w:lvlJc w:val="left"/>
      <w:pPr>
        <w:ind w:left="2880" w:hanging="360"/>
      </w:pPr>
      <w:rPr>
        <w:rFonts w:ascii="Symbol" w:hAnsi="Symbol" w:hint="default"/>
      </w:rPr>
    </w:lvl>
    <w:lvl w:ilvl="4" w:tplc="D3E6CEC6" w:tentative="1">
      <w:start w:val="1"/>
      <w:numFmt w:val="bullet"/>
      <w:lvlText w:val="o"/>
      <w:lvlJc w:val="left"/>
      <w:pPr>
        <w:ind w:left="3600" w:hanging="360"/>
      </w:pPr>
      <w:rPr>
        <w:rFonts w:ascii="Courier New" w:hAnsi="Courier New" w:hint="default"/>
      </w:rPr>
    </w:lvl>
    <w:lvl w:ilvl="5" w:tplc="18782F8E" w:tentative="1">
      <w:start w:val="1"/>
      <w:numFmt w:val="bullet"/>
      <w:lvlText w:val=""/>
      <w:lvlJc w:val="left"/>
      <w:pPr>
        <w:ind w:left="4320" w:hanging="360"/>
      </w:pPr>
      <w:rPr>
        <w:rFonts w:ascii="Wingdings" w:hAnsi="Wingdings" w:hint="default"/>
      </w:rPr>
    </w:lvl>
    <w:lvl w:ilvl="6" w:tplc="B58419E8" w:tentative="1">
      <w:start w:val="1"/>
      <w:numFmt w:val="bullet"/>
      <w:lvlText w:val=""/>
      <w:lvlJc w:val="left"/>
      <w:pPr>
        <w:ind w:left="5040" w:hanging="360"/>
      </w:pPr>
      <w:rPr>
        <w:rFonts w:ascii="Symbol" w:hAnsi="Symbol" w:hint="default"/>
      </w:rPr>
    </w:lvl>
    <w:lvl w:ilvl="7" w:tplc="173835A8" w:tentative="1">
      <w:start w:val="1"/>
      <w:numFmt w:val="bullet"/>
      <w:lvlText w:val="o"/>
      <w:lvlJc w:val="left"/>
      <w:pPr>
        <w:ind w:left="5760" w:hanging="360"/>
      </w:pPr>
      <w:rPr>
        <w:rFonts w:ascii="Courier New" w:hAnsi="Courier New" w:hint="default"/>
      </w:rPr>
    </w:lvl>
    <w:lvl w:ilvl="8" w:tplc="D3B2F05A" w:tentative="1">
      <w:start w:val="1"/>
      <w:numFmt w:val="bullet"/>
      <w:lvlText w:val=""/>
      <w:lvlJc w:val="left"/>
      <w:pPr>
        <w:ind w:left="6480" w:hanging="360"/>
      </w:pPr>
      <w:rPr>
        <w:rFonts w:ascii="Wingdings" w:hAnsi="Wingdings" w:hint="default"/>
      </w:rPr>
    </w:lvl>
  </w:abstractNum>
  <w:abstractNum w:abstractNumId="456" w15:restartNumberingAfterBreak="0">
    <w:nsid w:val="642411CD"/>
    <w:multiLevelType w:val="multilevel"/>
    <w:tmpl w:val="55BC82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7" w15:restartNumberingAfterBreak="0">
    <w:nsid w:val="6440352F"/>
    <w:multiLevelType w:val="hybridMultilevel"/>
    <w:tmpl w:val="E72ACB7E"/>
    <w:lvl w:ilvl="0" w:tplc="00089814">
      <w:start w:val="1"/>
      <w:numFmt w:val="bullet"/>
      <w:lvlText w:val=""/>
      <w:lvlJc w:val="left"/>
      <w:pPr>
        <w:ind w:left="360" w:hanging="360"/>
      </w:pPr>
      <w:rPr>
        <w:rFonts w:ascii="Symbol" w:hAnsi="Symbol" w:hint="default"/>
      </w:rPr>
    </w:lvl>
    <w:lvl w:ilvl="1" w:tplc="B8CE3D08" w:tentative="1">
      <w:start w:val="1"/>
      <w:numFmt w:val="bullet"/>
      <w:lvlText w:val="o"/>
      <w:lvlJc w:val="left"/>
      <w:pPr>
        <w:ind w:left="1080" w:hanging="360"/>
      </w:pPr>
      <w:rPr>
        <w:rFonts w:ascii="Courier New" w:hAnsi="Courier New" w:hint="default"/>
      </w:rPr>
    </w:lvl>
    <w:lvl w:ilvl="2" w:tplc="BA9EF5A2" w:tentative="1">
      <w:start w:val="1"/>
      <w:numFmt w:val="bullet"/>
      <w:lvlText w:val=""/>
      <w:lvlJc w:val="left"/>
      <w:pPr>
        <w:ind w:left="1800" w:hanging="360"/>
      </w:pPr>
      <w:rPr>
        <w:rFonts w:ascii="Wingdings" w:hAnsi="Wingdings" w:hint="default"/>
      </w:rPr>
    </w:lvl>
    <w:lvl w:ilvl="3" w:tplc="CB2E4928" w:tentative="1">
      <w:start w:val="1"/>
      <w:numFmt w:val="bullet"/>
      <w:lvlText w:val=""/>
      <w:lvlJc w:val="left"/>
      <w:pPr>
        <w:ind w:left="2520" w:hanging="360"/>
      </w:pPr>
      <w:rPr>
        <w:rFonts w:ascii="Symbol" w:hAnsi="Symbol" w:hint="default"/>
      </w:rPr>
    </w:lvl>
    <w:lvl w:ilvl="4" w:tplc="D7E878D8" w:tentative="1">
      <w:start w:val="1"/>
      <w:numFmt w:val="bullet"/>
      <w:lvlText w:val="o"/>
      <w:lvlJc w:val="left"/>
      <w:pPr>
        <w:ind w:left="3240" w:hanging="360"/>
      </w:pPr>
      <w:rPr>
        <w:rFonts w:ascii="Courier New" w:hAnsi="Courier New" w:hint="default"/>
      </w:rPr>
    </w:lvl>
    <w:lvl w:ilvl="5" w:tplc="7AB4DE3E" w:tentative="1">
      <w:start w:val="1"/>
      <w:numFmt w:val="bullet"/>
      <w:lvlText w:val=""/>
      <w:lvlJc w:val="left"/>
      <w:pPr>
        <w:ind w:left="3960" w:hanging="360"/>
      </w:pPr>
      <w:rPr>
        <w:rFonts w:ascii="Wingdings" w:hAnsi="Wingdings" w:hint="default"/>
      </w:rPr>
    </w:lvl>
    <w:lvl w:ilvl="6" w:tplc="8DF80456" w:tentative="1">
      <w:start w:val="1"/>
      <w:numFmt w:val="bullet"/>
      <w:lvlText w:val=""/>
      <w:lvlJc w:val="left"/>
      <w:pPr>
        <w:ind w:left="4680" w:hanging="360"/>
      </w:pPr>
      <w:rPr>
        <w:rFonts w:ascii="Symbol" w:hAnsi="Symbol" w:hint="default"/>
      </w:rPr>
    </w:lvl>
    <w:lvl w:ilvl="7" w:tplc="D90C3FCC" w:tentative="1">
      <w:start w:val="1"/>
      <w:numFmt w:val="bullet"/>
      <w:lvlText w:val="o"/>
      <w:lvlJc w:val="left"/>
      <w:pPr>
        <w:ind w:left="5400" w:hanging="360"/>
      </w:pPr>
      <w:rPr>
        <w:rFonts w:ascii="Courier New" w:hAnsi="Courier New" w:hint="default"/>
      </w:rPr>
    </w:lvl>
    <w:lvl w:ilvl="8" w:tplc="E4727F3C" w:tentative="1">
      <w:start w:val="1"/>
      <w:numFmt w:val="bullet"/>
      <w:lvlText w:val=""/>
      <w:lvlJc w:val="left"/>
      <w:pPr>
        <w:ind w:left="6120" w:hanging="360"/>
      </w:pPr>
      <w:rPr>
        <w:rFonts w:ascii="Wingdings" w:hAnsi="Wingdings" w:hint="default"/>
      </w:rPr>
    </w:lvl>
  </w:abstractNum>
  <w:abstractNum w:abstractNumId="458" w15:restartNumberingAfterBreak="0">
    <w:nsid w:val="64972E10"/>
    <w:multiLevelType w:val="hybridMultilevel"/>
    <w:tmpl w:val="CD2246A0"/>
    <w:lvl w:ilvl="0" w:tplc="C02CE154">
      <w:start w:val="1"/>
      <w:numFmt w:val="bullet"/>
      <w:lvlText w:val=""/>
      <w:lvlJc w:val="left"/>
      <w:pPr>
        <w:ind w:left="720" w:hanging="360"/>
      </w:pPr>
      <w:rPr>
        <w:rFonts w:ascii="Symbol" w:hAnsi="Symbol" w:hint="default"/>
      </w:rPr>
    </w:lvl>
    <w:lvl w:ilvl="1" w:tplc="DACA0824" w:tentative="1">
      <w:start w:val="1"/>
      <w:numFmt w:val="bullet"/>
      <w:lvlText w:val="o"/>
      <w:lvlJc w:val="left"/>
      <w:pPr>
        <w:ind w:left="1440" w:hanging="360"/>
      </w:pPr>
      <w:rPr>
        <w:rFonts w:ascii="Courier New" w:hAnsi="Courier New" w:hint="default"/>
      </w:rPr>
    </w:lvl>
    <w:lvl w:ilvl="2" w:tplc="A830AF48" w:tentative="1">
      <w:start w:val="1"/>
      <w:numFmt w:val="bullet"/>
      <w:lvlText w:val=""/>
      <w:lvlJc w:val="left"/>
      <w:pPr>
        <w:ind w:left="2160" w:hanging="360"/>
      </w:pPr>
      <w:rPr>
        <w:rFonts w:ascii="Wingdings" w:hAnsi="Wingdings" w:hint="default"/>
      </w:rPr>
    </w:lvl>
    <w:lvl w:ilvl="3" w:tplc="EAA20EE8" w:tentative="1">
      <w:start w:val="1"/>
      <w:numFmt w:val="bullet"/>
      <w:lvlText w:val=""/>
      <w:lvlJc w:val="left"/>
      <w:pPr>
        <w:ind w:left="2880" w:hanging="360"/>
      </w:pPr>
      <w:rPr>
        <w:rFonts w:ascii="Symbol" w:hAnsi="Symbol" w:hint="default"/>
      </w:rPr>
    </w:lvl>
    <w:lvl w:ilvl="4" w:tplc="3DDEDF32" w:tentative="1">
      <w:start w:val="1"/>
      <w:numFmt w:val="bullet"/>
      <w:lvlText w:val="o"/>
      <w:lvlJc w:val="left"/>
      <w:pPr>
        <w:ind w:left="3600" w:hanging="360"/>
      </w:pPr>
      <w:rPr>
        <w:rFonts w:ascii="Courier New" w:hAnsi="Courier New" w:hint="default"/>
      </w:rPr>
    </w:lvl>
    <w:lvl w:ilvl="5" w:tplc="0658D616" w:tentative="1">
      <w:start w:val="1"/>
      <w:numFmt w:val="bullet"/>
      <w:lvlText w:val=""/>
      <w:lvlJc w:val="left"/>
      <w:pPr>
        <w:ind w:left="4320" w:hanging="360"/>
      </w:pPr>
      <w:rPr>
        <w:rFonts w:ascii="Wingdings" w:hAnsi="Wingdings" w:hint="default"/>
      </w:rPr>
    </w:lvl>
    <w:lvl w:ilvl="6" w:tplc="819005C0" w:tentative="1">
      <w:start w:val="1"/>
      <w:numFmt w:val="bullet"/>
      <w:lvlText w:val=""/>
      <w:lvlJc w:val="left"/>
      <w:pPr>
        <w:ind w:left="5040" w:hanging="360"/>
      </w:pPr>
      <w:rPr>
        <w:rFonts w:ascii="Symbol" w:hAnsi="Symbol" w:hint="default"/>
      </w:rPr>
    </w:lvl>
    <w:lvl w:ilvl="7" w:tplc="D5AEF89E" w:tentative="1">
      <w:start w:val="1"/>
      <w:numFmt w:val="bullet"/>
      <w:lvlText w:val="o"/>
      <w:lvlJc w:val="left"/>
      <w:pPr>
        <w:ind w:left="5760" w:hanging="360"/>
      </w:pPr>
      <w:rPr>
        <w:rFonts w:ascii="Courier New" w:hAnsi="Courier New" w:hint="default"/>
      </w:rPr>
    </w:lvl>
    <w:lvl w:ilvl="8" w:tplc="5002D7EA" w:tentative="1">
      <w:start w:val="1"/>
      <w:numFmt w:val="bullet"/>
      <w:lvlText w:val=""/>
      <w:lvlJc w:val="left"/>
      <w:pPr>
        <w:ind w:left="6480" w:hanging="360"/>
      </w:pPr>
      <w:rPr>
        <w:rFonts w:ascii="Wingdings" w:hAnsi="Wingdings" w:hint="default"/>
      </w:rPr>
    </w:lvl>
  </w:abstractNum>
  <w:abstractNum w:abstractNumId="459" w15:restartNumberingAfterBreak="0">
    <w:nsid w:val="658A17EA"/>
    <w:multiLevelType w:val="hybridMultilevel"/>
    <w:tmpl w:val="FFFFFFFF"/>
    <w:lvl w:ilvl="0" w:tplc="0838B100">
      <w:start w:val="1"/>
      <w:numFmt w:val="bullet"/>
      <w:lvlText w:val="·"/>
      <w:lvlJc w:val="left"/>
      <w:pPr>
        <w:ind w:left="720" w:hanging="360"/>
      </w:pPr>
      <w:rPr>
        <w:rFonts w:ascii="Symbol" w:hAnsi="Symbol" w:hint="default"/>
      </w:rPr>
    </w:lvl>
    <w:lvl w:ilvl="1" w:tplc="E342E6E4">
      <w:start w:val="1"/>
      <w:numFmt w:val="bullet"/>
      <w:lvlText w:val="o"/>
      <w:lvlJc w:val="left"/>
      <w:pPr>
        <w:ind w:left="1440" w:hanging="360"/>
      </w:pPr>
      <w:rPr>
        <w:rFonts w:ascii="Courier New" w:hAnsi="Courier New" w:hint="default"/>
      </w:rPr>
    </w:lvl>
    <w:lvl w:ilvl="2" w:tplc="45C63C16">
      <w:start w:val="1"/>
      <w:numFmt w:val="bullet"/>
      <w:lvlText w:val=""/>
      <w:lvlJc w:val="left"/>
      <w:pPr>
        <w:ind w:left="2160" w:hanging="360"/>
      </w:pPr>
      <w:rPr>
        <w:rFonts w:ascii="Wingdings" w:hAnsi="Wingdings" w:hint="default"/>
      </w:rPr>
    </w:lvl>
    <w:lvl w:ilvl="3" w:tplc="658C45EC">
      <w:start w:val="1"/>
      <w:numFmt w:val="bullet"/>
      <w:lvlText w:val=""/>
      <w:lvlJc w:val="left"/>
      <w:pPr>
        <w:ind w:left="2880" w:hanging="360"/>
      </w:pPr>
      <w:rPr>
        <w:rFonts w:ascii="Symbol" w:hAnsi="Symbol" w:hint="default"/>
      </w:rPr>
    </w:lvl>
    <w:lvl w:ilvl="4" w:tplc="CF1E4BDA">
      <w:start w:val="1"/>
      <w:numFmt w:val="bullet"/>
      <w:lvlText w:val="o"/>
      <w:lvlJc w:val="left"/>
      <w:pPr>
        <w:ind w:left="3600" w:hanging="360"/>
      </w:pPr>
      <w:rPr>
        <w:rFonts w:ascii="Courier New" w:hAnsi="Courier New" w:hint="default"/>
      </w:rPr>
    </w:lvl>
    <w:lvl w:ilvl="5" w:tplc="528AFDBE">
      <w:start w:val="1"/>
      <w:numFmt w:val="bullet"/>
      <w:lvlText w:val=""/>
      <w:lvlJc w:val="left"/>
      <w:pPr>
        <w:ind w:left="4320" w:hanging="360"/>
      </w:pPr>
      <w:rPr>
        <w:rFonts w:ascii="Wingdings" w:hAnsi="Wingdings" w:hint="default"/>
      </w:rPr>
    </w:lvl>
    <w:lvl w:ilvl="6" w:tplc="EA765E5C">
      <w:start w:val="1"/>
      <w:numFmt w:val="bullet"/>
      <w:lvlText w:val=""/>
      <w:lvlJc w:val="left"/>
      <w:pPr>
        <w:ind w:left="5040" w:hanging="360"/>
      </w:pPr>
      <w:rPr>
        <w:rFonts w:ascii="Symbol" w:hAnsi="Symbol" w:hint="default"/>
      </w:rPr>
    </w:lvl>
    <w:lvl w:ilvl="7" w:tplc="4EC0A080">
      <w:start w:val="1"/>
      <w:numFmt w:val="bullet"/>
      <w:lvlText w:val="o"/>
      <w:lvlJc w:val="left"/>
      <w:pPr>
        <w:ind w:left="5760" w:hanging="360"/>
      </w:pPr>
      <w:rPr>
        <w:rFonts w:ascii="Courier New" w:hAnsi="Courier New" w:hint="default"/>
      </w:rPr>
    </w:lvl>
    <w:lvl w:ilvl="8" w:tplc="E5BE299A">
      <w:start w:val="1"/>
      <w:numFmt w:val="bullet"/>
      <w:lvlText w:val=""/>
      <w:lvlJc w:val="left"/>
      <w:pPr>
        <w:ind w:left="6480" w:hanging="360"/>
      </w:pPr>
      <w:rPr>
        <w:rFonts w:ascii="Wingdings" w:hAnsi="Wingdings" w:hint="default"/>
      </w:rPr>
    </w:lvl>
  </w:abstractNum>
  <w:abstractNum w:abstractNumId="460" w15:restartNumberingAfterBreak="0">
    <w:nsid w:val="65955340"/>
    <w:multiLevelType w:val="hybridMultilevel"/>
    <w:tmpl w:val="A566A2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1" w15:restartNumberingAfterBreak="0">
    <w:nsid w:val="659A0DA7"/>
    <w:multiLevelType w:val="hybridMultilevel"/>
    <w:tmpl w:val="E51A97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2" w15:restartNumberingAfterBreak="0">
    <w:nsid w:val="65E00551"/>
    <w:multiLevelType w:val="multilevel"/>
    <w:tmpl w:val="5FCCA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6606422E"/>
    <w:multiLevelType w:val="hybridMultilevel"/>
    <w:tmpl w:val="54EA00B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4" w15:restartNumberingAfterBreak="0">
    <w:nsid w:val="661047AB"/>
    <w:multiLevelType w:val="hybridMultilevel"/>
    <w:tmpl w:val="810897A0"/>
    <w:lvl w:ilvl="0" w:tplc="C94E377A">
      <w:start w:val="1"/>
      <w:numFmt w:val="bullet"/>
      <w:lvlText w:val=""/>
      <w:lvlJc w:val="left"/>
      <w:pPr>
        <w:ind w:left="720" w:hanging="360"/>
      </w:pPr>
      <w:rPr>
        <w:rFonts w:ascii="Symbol" w:hAnsi="Symbol" w:hint="default"/>
      </w:rPr>
    </w:lvl>
    <w:lvl w:ilvl="1" w:tplc="C554B734" w:tentative="1">
      <w:start w:val="1"/>
      <w:numFmt w:val="bullet"/>
      <w:lvlText w:val="o"/>
      <w:lvlJc w:val="left"/>
      <w:pPr>
        <w:ind w:left="1440" w:hanging="360"/>
      </w:pPr>
      <w:rPr>
        <w:rFonts w:ascii="Courier New" w:hAnsi="Courier New" w:hint="default"/>
      </w:rPr>
    </w:lvl>
    <w:lvl w:ilvl="2" w:tplc="E1CAA872" w:tentative="1">
      <w:start w:val="1"/>
      <w:numFmt w:val="bullet"/>
      <w:lvlText w:val=""/>
      <w:lvlJc w:val="left"/>
      <w:pPr>
        <w:ind w:left="2160" w:hanging="360"/>
      </w:pPr>
      <w:rPr>
        <w:rFonts w:ascii="Wingdings" w:hAnsi="Wingdings" w:hint="default"/>
      </w:rPr>
    </w:lvl>
    <w:lvl w:ilvl="3" w:tplc="D0306658" w:tentative="1">
      <w:start w:val="1"/>
      <w:numFmt w:val="bullet"/>
      <w:lvlText w:val=""/>
      <w:lvlJc w:val="left"/>
      <w:pPr>
        <w:ind w:left="2880" w:hanging="360"/>
      </w:pPr>
      <w:rPr>
        <w:rFonts w:ascii="Symbol" w:hAnsi="Symbol" w:hint="default"/>
      </w:rPr>
    </w:lvl>
    <w:lvl w:ilvl="4" w:tplc="A8C4FE06" w:tentative="1">
      <w:start w:val="1"/>
      <w:numFmt w:val="bullet"/>
      <w:lvlText w:val="o"/>
      <w:lvlJc w:val="left"/>
      <w:pPr>
        <w:ind w:left="3600" w:hanging="360"/>
      </w:pPr>
      <w:rPr>
        <w:rFonts w:ascii="Courier New" w:hAnsi="Courier New" w:hint="default"/>
      </w:rPr>
    </w:lvl>
    <w:lvl w:ilvl="5" w:tplc="C9BEF470" w:tentative="1">
      <w:start w:val="1"/>
      <w:numFmt w:val="bullet"/>
      <w:lvlText w:val=""/>
      <w:lvlJc w:val="left"/>
      <w:pPr>
        <w:ind w:left="4320" w:hanging="360"/>
      </w:pPr>
      <w:rPr>
        <w:rFonts w:ascii="Wingdings" w:hAnsi="Wingdings" w:hint="default"/>
      </w:rPr>
    </w:lvl>
    <w:lvl w:ilvl="6" w:tplc="075007AA" w:tentative="1">
      <w:start w:val="1"/>
      <w:numFmt w:val="bullet"/>
      <w:lvlText w:val=""/>
      <w:lvlJc w:val="left"/>
      <w:pPr>
        <w:ind w:left="5040" w:hanging="360"/>
      </w:pPr>
      <w:rPr>
        <w:rFonts w:ascii="Symbol" w:hAnsi="Symbol" w:hint="default"/>
      </w:rPr>
    </w:lvl>
    <w:lvl w:ilvl="7" w:tplc="4A74A81E" w:tentative="1">
      <w:start w:val="1"/>
      <w:numFmt w:val="bullet"/>
      <w:lvlText w:val="o"/>
      <w:lvlJc w:val="left"/>
      <w:pPr>
        <w:ind w:left="5760" w:hanging="360"/>
      </w:pPr>
      <w:rPr>
        <w:rFonts w:ascii="Courier New" w:hAnsi="Courier New" w:hint="default"/>
      </w:rPr>
    </w:lvl>
    <w:lvl w:ilvl="8" w:tplc="39365148" w:tentative="1">
      <w:start w:val="1"/>
      <w:numFmt w:val="bullet"/>
      <w:lvlText w:val=""/>
      <w:lvlJc w:val="left"/>
      <w:pPr>
        <w:ind w:left="6480" w:hanging="360"/>
      </w:pPr>
      <w:rPr>
        <w:rFonts w:ascii="Wingdings" w:hAnsi="Wingdings" w:hint="default"/>
      </w:rPr>
    </w:lvl>
  </w:abstractNum>
  <w:abstractNum w:abstractNumId="465" w15:restartNumberingAfterBreak="0">
    <w:nsid w:val="66703222"/>
    <w:multiLevelType w:val="multilevel"/>
    <w:tmpl w:val="0FD2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674E5BCC"/>
    <w:multiLevelType w:val="multilevel"/>
    <w:tmpl w:val="C0E0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7EB7421"/>
    <w:multiLevelType w:val="multilevel"/>
    <w:tmpl w:val="D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806002F"/>
    <w:multiLevelType w:val="multilevel"/>
    <w:tmpl w:val="507C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8252CA4"/>
    <w:multiLevelType w:val="hybridMultilevel"/>
    <w:tmpl w:val="7ACE91B8"/>
    <w:lvl w:ilvl="0" w:tplc="C3F40BA6">
      <w:start w:val="1"/>
      <w:numFmt w:val="bullet"/>
      <w:lvlText w:val=""/>
      <w:lvlJc w:val="left"/>
      <w:pPr>
        <w:ind w:left="1440" w:hanging="360"/>
      </w:pPr>
      <w:rPr>
        <w:rFonts w:ascii="Symbol" w:hAnsi="Symbol"/>
      </w:rPr>
    </w:lvl>
    <w:lvl w:ilvl="1" w:tplc="2E8296F8">
      <w:start w:val="1"/>
      <w:numFmt w:val="bullet"/>
      <w:lvlText w:val=""/>
      <w:lvlJc w:val="left"/>
      <w:pPr>
        <w:ind w:left="1440" w:hanging="360"/>
      </w:pPr>
      <w:rPr>
        <w:rFonts w:ascii="Symbol" w:hAnsi="Symbol"/>
      </w:rPr>
    </w:lvl>
    <w:lvl w:ilvl="2" w:tplc="24A2B9E8">
      <w:start w:val="1"/>
      <w:numFmt w:val="bullet"/>
      <w:lvlText w:val=""/>
      <w:lvlJc w:val="left"/>
      <w:pPr>
        <w:ind w:left="1440" w:hanging="360"/>
      </w:pPr>
      <w:rPr>
        <w:rFonts w:ascii="Symbol" w:hAnsi="Symbol"/>
      </w:rPr>
    </w:lvl>
    <w:lvl w:ilvl="3" w:tplc="71F412DE">
      <w:start w:val="1"/>
      <w:numFmt w:val="bullet"/>
      <w:lvlText w:val=""/>
      <w:lvlJc w:val="left"/>
      <w:pPr>
        <w:ind w:left="1440" w:hanging="360"/>
      </w:pPr>
      <w:rPr>
        <w:rFonts w:ascii="Symbol" w:hAnsi="Symbol"/>
      </w:rPr>
    </w:lvl>
    <w:lvl w:ilvl="4" w:tplc="2A1605BE">
      <w:start w:val="1"/>
      <w:numFmt w:val="bullet"/>
      <w:lvlText w:val=""/>
      <w:lvlJc w:val="left"/>
      <w:pPr>
        <w:ind w:left="1440" w:hanging="360"/>
      </w:pPr>
      <w:rPr>
        <w:rFonts w:ascii="Symbol" w:hAnsi="Symbol"/>
      </w:rPr>
    </w:lvl>
    <w:lvl w:ilvl="5" w:tplc="C1AA3E00">
      <w:start w:val="1"/>
      <w:numFmt w:val="bullet"/>
      <w:lvlText w:val=""/>
      <w:lvlJc w:val="left"/>
      <w:pPr>
        <w:ind w:left="1440" w:hanging="360"/>
      </w:pPr>
      <w:rPr>
        <w:rFonts w:ascii="Symbol" w:hAnsi="Symbol"/>
      </w:rPr>
    </w:lvl>
    <w:lvl w:ilvl="6" w:tplc="F1420856">
      <w:start w:val="1"/>
      <w:numFmt w:val="bullet"/>
      <w:lvlText w:val=""/>
      <w:lvlJc w:val="left"/>
      <w:pPr>
        <w:ind w:left="1440" w:hanging="360"/>
      </w:pPr>
      <w:rPr>
        <w:rFonts w:ascii="Symbol" w:hAnsi="Symbol"/>
      </w:rPr>
    </w:lvl>
    <w:lvl w:ilvl="7" w:tplc="0B2631D8">
      <w:start w:val="1"/>
      <w:numFmt w:val="bullet"/>
      <w:lvlText w:val=""/>
      <w:lvlJc w:val="left"/>
      <w:pPr>
        <w:ind w:left="1440" w:hanging="360"/>
      </w:pPr>
      <w:rPr>
        <w:rFonts w:ascii="Symbol" w:hAnsi="Symbol"/>
      </w:rPr>
    </w:lvl>
    <w:lvl w:ilvl="8" w:tplc="9F2A9924">
      <w:start w:val="1"/>
      <w:numFmt w:val="bullet"/>
      <w:lvlText w:val=""/>
      <w:lvlJc w:val="left"/>
      <w:pPr>
        <w:ind w:left="1440" w:hanging="360"/>
      </w:pPr>
      <w:rPr>
        <w:rFonts w:ascii="Symbol" w:hAnsi="Symbol"/>
      </w:rPr>
    </w:lvl>
  </w:abstractNum>
  <w:abstractNum w:abstractNumId="470" w15:restartNumberingAfterBreak="0">
    <w:nsid w:val="68CC3752"/>
    <w:multiLevelType w:val="hybridMultilevel"/>
    <w:tmpl w:val="E1BA3F2A"/>
    <w:lvl w:ilvl="0" w:tplc="D2EAF7CC">
      <w:start w:val="1"/>
      <w:numFmt w:val="bullet"/>
      <w:lvlText w:val=""/>
      <w:lvlJc w:val="left"/>
      <w:pPr>
        <w:ind w:left="360" w:hanging="360"/>
      </w:pPr>
      <w:rPr>
        <w:rFonts w:ascii="Symbol" w:hAnsi="Symbol" w:hint="default"/>
      </w:rPr>
    </w:lvl>
    <w:lvl w:ilvl="1" w:tplc="0A0838D8" w:tentative="1">
      <w:start w:val="1"/>
      <w:numFmt w:val="bullet"/>
      <w:lvlText w:val="o"/>
      <w:lvlJc w:val="left"/>
      <w:pPr>
        <w:ind w:left="1440" w:hanging="360"/>
      </w:pPr>
      <w:rPr>
        <w:rFonts w:ascii="Courier New" w:hAnsi="Courier New" w:hint="default"/>
      </w:rPr>
    </w:lvl>
    <w:lvl w:ilvl="2" w:tplc="4918A980" w:tentative="1">
      <w:start w:val="1"/>
      <w:numFmt w:val="bullet"/>
      <w:lvlText w:val=""/>
      <w:lvlJc w:val="left"/>
      <w:pPr>
        <w:ind w:left="2160" w:hanging="360"/>
      </w:pPr>
      <w:rPr>
        <w:rFonts w:ascii="Wingdings" w:hAnsi="Wingdings" w:hint="default"/>
      </w:rPr>
    </w:lvl>
    <w:lvl w:ilvl="3" w:tplc="3100535C" w:tentative="1">
      <w:start w:val="1"/>
      <w:numFmt w:val="bullet"/>
      <w:lvlText w:val=""/>
      <w:lvlJc w:val="left"/>
      <w:pPr>
        <w:ind w:left="2880" w:hanging="360"/>
      </w:pPr>
      <w:rPr>
        <w:rFonts w:ascii="Symbol" w:hAnsi="Symbol" w:hint="default"/>
      </w:rPr>
    </w:lvl>
    <w:lvl w:ilvl="4" w:tplc="57304524" w:tentative="1">
      <w:start w:val="1"/>
      <w:numFmt w:val="bullet"/>
      <w:lvlText w:val="o"/>
      <w:lvlJc w:val="left"/>
      <w:pPr>
        <w:ind w:left="3600" w:hanging="360"/>
      </w:pPr>
      <w:rPr>
        <w:rFonts w:ascii="Courier New" w:hAnsi="Courier New" w:hint="default"/>
      </w:rPr>
    </w:lvl>
    <w:lvl w:ilvl="5" w:tplc="FA063B1E" w:tentative="1">
      <w:start w:val="1"/>
      <w:numFmt w:val="bullet"/>
      <w:lvlText w:val=""/>
      <w:lvlJc w:val="left"/>
      <w:pPr>
        <w:ind w:left="4320" w:hanging="360"/>
      </w:pPr>
      <w:rPr>
        <w:rFonts w:ascii="Wingdings" w:hAnsi="Wingdings" w:hint="default"/>
      </w:rPr>
    </w:lvl>
    <w:lvl w:ilvl="6" w:tplc="6C44E1FA" w:tentative="1">
      <w:start w:val="1"/>
      <w:numFmt w:val="bullet"/>
      <w:lvlText w:val=""/>
      <w:lvlJc w:val="left"/>
      <w:pPr>
        <w:ind w:left="5040" w:hanging="360"/>
      </w:pPr>
      <w:rPr>
        <w:rFonts w:ascii="Symbol" w:hAnsi="Symbol" w:hint="default"/>
      </w:rPr>
    </w:lvl>
    <w:lvl w:ilvl="7" w:tplc="C8AAB48E" w:tentative="1">
      <w:start w:val="1"/>
      <w:numFmt w:val="bullet"/>
      <w:lvlText w:val="o"/>
      <w:lvlJc w:val="left"/>
      <w:pPr>
        <w:ind w:left="5760" w:hanging="360"/>
      </w:pPr>
      <w:rPr>
        <w:rFonts w:ascii="Courier New" w:hAnsi="Courier New" w:hint="default"/>
      </w:rPr>
    </w:lvl>
    <w:lvl w:ilvl="8" w:tplc="5EF08226" w:tentative="1">
      <w:start w:val="1"/>
      <w:numFmt w:val="bullet"/>
      <w:lvlText w:val=""/>
      <w:lvlJc w:val="left"/>
      <w:pPr>
        <w:ind w:left="6480" w:hanging="360"/>
      </w:pPr>
      <w:rPr>
        <w:rFonts w:ascii="Wingdings" w:hAnsi="Wingdings" w:hint="default"/>
      </w:rPr>
    </w:lvl>
  </w:abstractNum>
  <w:abstractNum w:abstractNumId="471" w15:restartNumberingAfterBreak="0">
    <w:nsid w:val="68E326E2"/>
    <w:multiLevelType w:val="hybridMultilevel"/>
    <w:tmpl w:val="AC12C8B4"/>
    <w:lvl w:ilvl="0" w:tplc="F1E8095C">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2" w15:restartNumberingAfterBreak="0">
    <w:nsid w:val="69047D21"/>
    <w:multiLevelType w:val="hybridMultilevel"/>
    <w:tmpl w:val="E250B174"/>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3" w15:restartNumberingAfterBreak="0">
    <w:nsid w:val="692871FB"/>
    <w:multiLevelType w:val="multilevel"/>
    <w:tmpl w:val="1386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9ADC719"/>
    <w:multiLevelType w:val="hybridMultilevel"/>
    <w:tmpl w:val="FFFFFFFF"/>
    <w:lvl w:ilvl="0" w:tplc="1E0C30A2">
      <w:start w:val="1"/>
      <w:numFmt w:val="bullet"/>
      <w:lvlText w:val="·"/>
      <w:lvlJc w:val="left"/>
      <w:pPr>
        <w:ind w:left="720" w:hanging="360"/>
      </w:pPr>
      <w:rPr>
        <w:rFonts w:ascii="Symbol" w:hAnsi="Symbol" w:hint="default"/>
      </w:rPr>
    </w:lvl>
    <w:lvl w:ilvl="1" w:tplc="45F06D92">
      <w:start w:val="1"/>
      <w:numFmt w:val="bullet"/>
      <w:lvlText w:val="o"/>
      <w:lvlJc w:val="left"/>
      <w:pPr>
        <w:ind w:left="1440" w:hanging="360"/>
      </w:pPr>
      <w:rPr>
        <w:rFonts w:ascii="Courier New" w:hAnsi="Courier New" w:hint="default"/>
      </w:rPr>
    </w:lvl>
    <w:lvl w:ilvl="2" w:tplc="F064AAD4">
      <w:start w:val="1"/>
      <w:numFmt w:val="bullet"/>
      <w:lvlText w:val=""/>
      <w:lvlJc w:val="left"/>
      <w:pPr>
        <w:ind w:left="2160" w:hanging="360"/>
      </w:pPr>
      <w:rPr>
        <w:rFonts w:ascii="Wingdings" w:hAnsi="Wingdings" w:hint="default"/>
      </w:rPr>
    </w:lvl>
    <w:lvl w:ilvl="3" w:tplc="3202CE32">
      <w:start w:val="1"/>
      <w:numFmt w:val="bullet"/>
      <w:lvlText w:val=""/>
      <w:lvlJc w:val="left"/>
      <w:pPr>
        <w:ind w:left="2880" w:hanging="360"/>
      </w:pPr>
      <w:rPr>
        <w:rFonts w:ascii="Symbol" w:hAnsi="Symbol" w:hint="default"/>
      </w:rPr>
    </w:lvl>
    <w:lvl w:ilvl="4" w:tplc="EBB62D48">
      <w:start w:val="1"/>
      <w:numFmt w:val="bullet"/>
      <w:lvlText w:val="o"/>
      <w:lvlJc w:val="left"/>
      <w:pPr>
        <w:ind w:left="3600" w:hanging="360"/>
      </w:pPr>
      <w:rPr>
        <w:rFonts w:ascii="Courier New" w:hAnsi="Courier New" w:hint="default"/>
      </w:rPr>
    </w:lvl>
    <w:lvl w:ilvl="5" w:tplc="A062682C">
      <w:start w:val="1"/>
      <w:numFmt w:val="bullet"/>
      <w:lvlText w:val=""/>
      <w:lvlJc w:val="left"/>
      <w:pPr>
        <w:ind w:left="4320" w:hanging="360"/>
      </w:pPr>
      <w:rPr>
        <w:rFonts w:ascii="Wingdings" w:hAnsi="Wingdings" w:hint="default"/>
      </w:rPr>
    </w:lvl>
    <w:lvl w:ilvl="6" w:tplc="DDEAEA66">
      <w:start w:val="1"/>
      <w:numFmt w:val="bullet"/>
      <w:lvlText w:val=""/>
      <w:lvlJc w:val="left"/>
      <w:pPr>
        <w:ind w:left="5040" w:hanging="360"/>
      </w:pPr>
      <w:rPr>
        <w:rFonts w:ascii="Symbol" w:hAnsi="Symbol" w:hint="default"/>
      </w:rPr>
    </w:lvl>
    <w:lvl w:ilvl="7" w:tplc="F6965CB6">
      <w:start w:val="1"/>
      <w:numFmt w:val="bullet"/>
      <w:lvlText w:val="o"/>
      <w:lvlJc w:val="left"/>
      <w:pPr>
        <w:ind w:left="5760" w:hanging="360"/>
      </w:pPr>
      <w:rPr>
        <w:rFonts w:ascii="Courier New" w:hAnsi="Courier New" w:hint="default"/>
      </w:rPr>
    </w:lvl>
    <w:lvl w:ilvl="8" w:tplc="2ED054E0">
      <w:start w:val="1"/>
      <w:numFmt w:val="bullet"/>
      <w:lvlText w:val=""/>
      <w:lvlJc w:val="left"/>
      <w:pPr>
        <w:ind w:left="6480" w:hanging="360"/>
      </w:pPr>
      <w:rPr>
        <w:rFonts w:ascii="Wingdings" w:hAnsi="Wingdings" w:hint="default"/>
      </w:rPr>
    </w:lvl>
  </w:abstractNum>
  <w:abstractNum w:abstractNumId="475" w15:restartNumberingAfterBreak="0">
    <w:nsid w:val="69BD454B"/>
    <w:multiLevelType w:val="hybridMultilevel"/>
    <w:tmpl w:val="1D92B44C"/>
    <w:lvl w:ilvl="0" w:tplc="8DCAEF4C">
      <w:start w:val="1"/>
      <w:numFmt w:val="bullet"/>
      <w:lvlText w:val=""/>
      <w:lvlJc w:val="left"/>
      <w:pPr>
        <w:ind w:left="720" w:hanging="360"/>
      </w:pPr>
      <w:rPr>
        <w:rFonts w:ascii="Symbol" w:hAnsi="Symbol" w:hint="default"/>
      </w:rPr>
    </w:lvl>
    <w:lvl w:ilvl="1" w:tplc="B75AA218" w:tentative="1">
      <w:start w:val="1"/>
      <w:numFmt w:val="bullet"/>
      <w:lvlText w:val="o"/>
      <w:lvlJc w:val="left"/>
      <w:pPr>
        <w:ind w:left="1440" w:hanging="360"/>
      </w:pPr>
      <w:rPr>
        <w:rFonts w:ascii="Courier New" w:hAnsi="Courier New" w:hint="default"/>
      </w:rPr>
    </w:lvl>
    <w:lvl w:ilvl="2" w:tplc="E9144D84" w:tentative="1">
      <w:start w:val="1"/>
      <w:numFmt w:val="bullet"/>
      <w:lvlText w:val=""/>
      <w:lvlJc w:val="left"/>
      <w:pPr>
        <w:ind w:left="2160" w:hanging="360"/>
      </w:pPr>
      <w:rPr>
        <w:rFonts w:ascii="Wingdings" w:hAnsi="Wingdings" w:hint="default"/>
      </w:rPr>
    </w:lvl>
    <w:lvl w:ilvl="3" w:tplc="3730AD5E" w:tentative="1">
      <w:start w:val="1"/>
      <w:numFmt w:val="bullet"/>
      <w:lvlText w:val=""/>
      <w:lvlJc w:val="left"/>
      <w:pPr>
        <w:ind w:left="2880" w:hanging="360"/>
      </w:pPr>
      <w:rPr>
        <w:rFonts w:ascii="Symbol" w:hAnsi="Symbol" w:hint="default"/>
      </w:rPr>
    </w:lvl>
    <w:lvl w:ilvl="4" w:tplc="70BC489C" w:tentative="1">
      <w:start w:val="1"/>
      <w:numFmt w:val="bullet"/>
      <w:lvlText w:val="o"/>
      <w:lvlJc w:val="left"/>
      <w:pPr>
        <w:ind w:left="3600" w:hanging="360"/>
      </w:pPr>
      <w:rPr>
        <w:rFonts w:ascii="Courier New" w:hAnsi="Courier New" w:hint="default"/>
      </w:rPr>
    </w:lvl>
    <w:lvl w:ilvl="5" w:tplc="D7D23BEA" w:tentative="1">
      <w:start w:val="1"/>
      <w:numFmt w:val="bullet"/>
      <w:lvlText w:val=""/>
      <w:lvlJc w:val="left"/>
      <w:pPr>
        <w:ind w:left="4320" w:hanging="360"/>
      </w:pPr>
      <w:rPr>
        <w:rFonts w:ascii="Wingdings" w:hAnsi="Wingdings" w:hint="default"/>
      </w:rPr>
    </w:lvl>
    <w:lvl w:ilvl="6" w:tplc="EF4CF98E" w:tentative="1">
      <w:start w:val="1"/>
      <w:numFmt w:val="bullet"/>
      <w:lvlText w:val=""/>
      <w:lvlJc w:val="left"/>
      <w:pPr>
        <w:ind w:left="5040" w:hanging="360"/>
      </w:pPr>
      <w:rPr>
        <w:rFonts w:ascii="Symbol" w:hAnsi="Symbol" w:hint="default"/>
      </w:rPr>
    </w:lvl>
    <w:lvl w:ilvl="7" w:tplc="4B94EF36" w:tentative="1">
      <w:start w:val="1"/>
      <w:numFmt w:val="bullet"/>
      <w:lvlText w:val="o"/>
      <w:lvlJc w:val="left"/>
      <w:pPr>
        <w:ind w:left="5760" w:hanging="360"/>
      </w:pPr>
      <w:rPr>
        <w:rFonts w:ascii="Courier New" w:hAnsi="Courier New" w:hint="default"/>
      </w:rPr>
    </w:lvl>
    <w:lvl w:ilvl="8" w:tplc="6F0A7608" w:tentative="1">
      <w:start w:val="1"/>
      <w:numFmt w:val="bullet"/>
      <w:lvlText w:val=""/>
      <w:lvlJc w:val="left"/>
      <w:pPr>
        <w:ind w:left="6480" w:hanging="360"/>
      </w:pPr>
      <w:rPr>
        <w:rFonts w:ascii="Wingdings" w:hAnsi="Wingdings" w:hint="default"/>
      </w:rPr>
    </w:lvl>
  </w:abstractNum>
  <w:abstractNum w:abstractNumId="476" w15:restartNumberingAfterBreak="0">
    <w:nsid w:val="6A1441D3"/>
    <w:multiLevelType w:val="hybridMultilevel"/>
    <w:tmpl w:val="EA08DD76"/>
    <w:lvl w:ilvl="0" w:tplc="EC8C55CA">
      <w:start w:val="1"/>
      <w:numFmt w:val="bullet"/>
      <w:lvlText w:val=""/>
      <w:lvlJc w:val="left"/>
      <w:pPr>
        <w:ind w:left="720" w:hanging="360"/>
      </w:pPr>
      <w:rPr>
        <w:rFonts w:ascii="Symbol" w:hAnsi="Symbol" w:hint="default"/>
      </w:rPr>
    </w:lvl>
    <w:lvl w:ilvl="1" w:tplc="7A22084C">
      <w:start w:val="1"/>
      <w:numFmt w:val="bullet"/>
      <w:lvlText w:val="o"/>
      <w:lvlJc w:val="left"/>
      <w:pPr>
        <w:ind w:left="1440" w:hanging="360"/>
      </w:pPr>
      <w:rPr>
        <w:rFonts w:ascii="Courier New" w:hAnsi="Courier New" w:hint="default"/>
      </w:rPr>
    </w:lvl>
    <w:lvl w:ilvl="2" w:tplc="B1A0B53E">
      <w:start w:val="1"/>
      <w:numFmt w:val="bullet"/>
      <w:lvlText w:val=""/>
      <w:lvlJc w:val="left"/>
      <w:pPr>
        <w:ind w:left="2160" w:hanging="360"/>
      </w:pPr>
      <w:rPr>
        <w:rFonts w:ascii="Wingdings" w:hAnsi="Wingdings" w:hint="default"/>
      </w:rPr>
    </w:lvl>
    <w:lvl w:ilvl="3" w:tplc="93F82704">
      <w:start w:val="1"/>
      <w:numFmt w:val="bullet"/>
      <w:lvlText w:val=""/>
      <w:lvlJc w:val="left"/>
      <w:pPr>
        <w:ind w:left="2880" w:hanging="360"/>
      </w:pPr>
      <w:rPr>
        <w:rFonts w:ascii="Symbol" w:hAnsi="Symbol" w:hint="default"/>
      </w:rPr>
    </w:lvl>
    <w:lvl w:ilvl="4" w:tplc="1E5AED2E">
      <w:start w:val="1"/>
      <w:numFmt w:val="bullet"/>
      <w:lvlText w:val="o"/>
      <w:lvlJc w:val="left"/>
      <w:pPr>
        <w:ind w:left="3600" w:hanging="360"/>
      </w:pPr>
      <w:rPr>
        <w:rFonts w:ascii="Courier New" w:hAnsi="Courier New" w:hint="default"/>
      </w:rPr>
    </w:lvl>
    <w:lvl w:ilvl="5" w:tplc="7D00E188">
      <w:start w:val="1"/>
      <w:numFmt w:val="bullet"/>
      <w:lvlText w:val=""/>
      <w:lvlJc w:val="left"/>
      <w:pPr>
        <w:ind w:left="4320" w:hanging="360"/>
      </w:pPr>
      <w:rPr>
        <w:rFonts w:ascii="Wingdings" w:hAnsi="Wingdings" w:hint="default"/>
      </w:rPr>
    </w:lvl>
    <w:lvl w:ilvl="6" w:tplc="C72A110C">
      <w:start w:val="1"/>
      <w:numFmt w:val="bullet"/>
      <w:lvlText w:val=""/>
      <w:lvlJc w:val="left"/>
      <w:pPr>
        <w:ind w:left="5040" w:hanging="360"/>
      </w:pPr>
      <w:rPr>
        <w:rFonts w:ascii="Symbol" w:hAnsi="Symbol" w:hint="default"/>
      </w:rPr>
    </w:lvl>
    <w:lvl w:ilvl="7" w:tplc="7B18EDDC">
      <w:start w:val="1"/>
      <w:numFmt w:val="bullet"/>
      <w:lvlText w:val="o"/>
      <w:lvlJc w:val="left"/>
      <w:pPr>
        <w:ind w:left="5760" w:hanging="360"/>
      </w:pPr>
      <w:rPr>
        <w:rFonts w:ascii="Courier New" w:hAnsi="Courier New" w:hint="default"/>
      </w:rPr>
    </w:lvl>
    <w:lvl w:ilvl="8" w:tplc="D5769EF0">
      <w:start w:val="1"/>
      <w:numFmt w:val="bullet"/>
      <w:lvlText w:val=""/>
      <w:lvlJc w:val="left"/>
      <w:pPr>
        <w:ind w:left="6480" w:hanging="360"/>
      </w:pPr>
      <w:rPr>
        <w:rFonts w:ascii="Wingdings" w:hAnsi="Wingdings" w:hint="default"/>
      </w:rPr>
    </w:lvl>
  </w:abstractNum>
  <w:abstractNum w:abstractNumId="477" w15:restartNumberingAfterBreak="0">
    <w:nsid w:val="6A75606E"/>
    <w:multiLevelType w:val="hybridMultilevel"/>
    <w:tmpl w:val="6756B8B2"/>
    <w:lvl w:ilvl="0" w:tplc="106202A0">
      <w:start w:val="1"/>
      <w:numFmt w:val="bullet"/>
      <w:lvlText w:val=""/>
      <w:lvlJc w:val="left"/>
      <w:pPr>
        <w:ind w:left="720" w:hanging="360"/>
      </w:pPr>
      <w:rPr>
        <w:rFonts w:ascii="Symbol" w:hAnsi="Symbol" w:hint="default"/>
      </w:rPr>
    </w:lvl>
    <w:lvl w:ilvl="1" w:tplc="1C122EDA" w:tentative="1">
      <w:start w:val="1"/>
      <w:numFmt w:val="bullet"/>
      <w:lvlText w:val="o"/>
      <w:lvlJc w:val="left"/>
      <w:pPr>
        <w:ind w:left="1440" w:hanging="360"/>
      </w:pPr>
      <w:rPr>
        <w:rFonts w:ascii="Courier New" w:hAnsi="Courier New" w:hint="default"/>
      </w:rPr>
    </w:lvl>
    <w:lvl w:ilvl="2" w:tplc="D4846708" w:tentative="1">
      <w:start w:val="1"/>
      <w:numFmt w:val="bullet"/>
      <w:lvlText w:val=""/>
      <w:lvlJc w:val="left"/>
      <w:pPr>
        <w:ind w:left="2160" w:hanging="360"/>
      </w:pPr>
      <w:rPr>
        <w:rFonts w:ascii="Wingdings" w:hAnsi="Wingdings" w:hint="default"/>
      </w:rPr>
    </w:lvl>
    <w:lvl w:ilvl="3" w:tplc="2AA8DDA6" w:tentative="1">
      <w:start w:val="1"/>
      <w:numFmt w:val="bullet"/>
      <w:lvlText w:val=""/>
      <w:lvlJc w:val="left"/>
      <w:pPr>
        <w:ind w:left="2880" w:hanging="360"/>
      </w:pPr>
      <w:rPr>
        <w:rFonts w:ascii="Symbol" w:hAnsi="Symbol" w:hint="default"/>
      </w:rPr>
    </w:lvl>
    <w:lvl w:ilvl="4" w:tplc="E200B5BE" w:tentative="1">
      <w:start w:val="1"/>
      <w:numFmt w:val="bullet"/>
      <w:lvlText w:val="o"/>
      <w:lvlJc w:val="left"/>
      <w:pPr>
        <w:ind w:left="3600" w:hanging="360"/>
      </w:pPr>
      <w:rPr>
        <w:rFonts w:ascii="Courier New" w:hAnsi="Courier New" w:hint="default"/>
      </w:rPr>
    </w:lvl>
    <w:lvl w:ilvl="5" w:tplc="A6EAEFBE" w:tentative="1">
      <w:start w:val="1"/>
      <w:numFmt w:val="bullet"/>
      <w:lvlText w:val=""/>
      <w:lvlJc w:val="left"/>
      <w:pPr>
        <w:ind w:left="4320" w:hanging="360"/>
      </w:pPr>
      <w:rPr>
        <w:rFonts w:ascii="Wingdings" w:hAnsi="Wingdings" w:hint="default"/>
      </w:rPr>
    </w:lvl>
    <w:lvl w:ilvl="6" w:tplc="0226CEE0" w:tentative="1">
      <w:start w:val="1"/>
      <w:numFmt w:val="bullet"/>
      <w:lvlText w:val=""/>
      <w:lvlJc w:val="left"/>
      <w:pPr>
        <w:ind w:left="5040" w:hanging="360"/>
      </w:pPr>
      <w:rPr>
        <w:rFonts w:ascii="Symbol" w:hAnsi="Symbol" w:hint="default"/>
      </w:rPr>
    </w:lvl>
    <w:lvl w:ilvl="7" w:tplc="E7987780" w:tentative="1">
      <w:start w:val="1"/>
      <w:numFmt w:val="bullet"/>
      <w:lvlText w:val="o"/>
      <w:lvlJc w:val="left"/>
      <w:pPr>
        <w:ind w:left="5760" w:hanging="360"/>
      </w:pPr>
      <w:rPr>
        <w:rFonts w:ascii="Courier New" w:hAnsi="Courier New" w:hint="default"/>
      </w:rPr>
    </w:lvl>
    <w:lvl w:ilvl="8" w:tplc="02E2EFD2" w:tentative="1">
      <w:start w:val="1"/>
      <w:numFmt w:val="bullet"/>
      <w:lvlText w:val=""/>
      <w:lvlJc w:val="left"/>
      <w:pPr>
        <w:ind w:left="6480" w:hanging="360"/>
      </w:pPr>
      <w:rPr>
        <w:rFonts w:ascii="Wingdings" w:hAnsi="Wingdings" w:hint="default"/>
      </w:rPr>
    </w:lvl>
  </w:abstractNum>
  <w:abstractNum w:abstractNumId="478" w15:restartNumberingAfterBreak="0">
    <w:nsid w:val="6A841A1E"/>
    <w:multiLevelType w:val="hybridMultilevel"/>
    <w:tmpl w:val="3D2AF0A4"/>
    <w:lvl w:ilvl="0" w:tplc="884C63BC">
      <w:start w:val="1"/>
      <w:numFmt w:val="bullet"/>
      <w:lvlText w:val=""/>
      <w:lvlJc w:val="left"/>
      <w:pPr>
        <w:ind w:left="766" w:hanging="360"/>
      </w:pPr>
      <w:rPr>
        <w:rFonts w:ascii="Symbol" w:hAnsi="Symbol" w:hint="default"/>
      </w:rPr>
    </w:lvl>
    <w:lvl w:ilvl="1" w:tplc="79FAFD56" w:tentative="1">
      <w:start w:val="1"/>
      <w:numFmt w:val="bullet"/>
      <w:lvlText w:val="o"/>
      <w:lvlJc w:val="left"/>
      <w:pPr>
        <w:ind w:left="1486" w:hanging="360"/>
      </w:pPr>
      <w:rPr>
        <w:rFonts w:ascii="Courier New" w:hAnsi="Courier New" w:hint="default"/>
      </w:rPr>
    </w:lvl>
    <w:lvl w:ilvl="2" w:tplc="8160C360" w:tentative="1">
      <w:start w:val="1"/>
      <w:numFmt w:val="bullet"/>
      <w:lvlText w:val=""/>
      <w:lvlJc w:val="left"/>
      <w:pPr>
        <w:ind w:left="2206" w:hanging="360"/>
      </w:pPr>
      <w:rPr>
        <w:rFonts w:ascii="Wingdings" w:hAnsi="Wingdings" w:hint="default"/>
      </w:rPr>
    </w:lvl>
    <w:lvl w:ilvl="3" w:tplc="DE4CAE9A" w:tentative="1">
      <w:start w:val="1"/>
      <w:numFmt w:val="bullet"/>
      <w:lvlText w:val=""/>
      <w:lvlJc w:val="left"/>
      <w:pPr>
        <w:ind w:left="2926" w:hanging="360"/>
      </w:pPr>
      <w:rPr>
        <w:rFonts w:ascii="Symbol" w:hAnsi="Symbol" w:hint="default"/>
      </w:rPr>
    </w:lvl>
    <w:lvl w:ilvl="4" w:tplc="B6C654C2" w:tentative="1">
      <w:start w:val="1"/>
      <w:numFmt w:val="bullet"/>
      <w:lvlText w:val="o"/>
      <w:lvlJc w:val="left"/>
      <w:pPr>
        <w:ind w:left="3646" w:hanging="360"/>
      </w:pPr>
      <w:rPr>
        <w:rFonts w:ascii="Courier New" w:hAnsi="Courier New" w:hint="default"/>
      </w:rPr>
    </w:lvl>
    <w:lvl w:ilvl="5" w:tplc="21B471D0" w:tentative="1">
      <w:start w:val="1"/>
      <w:numFmt w:val="bullet"/>
      <w:lvlText w:val=""/>
      <w:lvlJc w:val="left"/>
      <w:pPr>
        <w:ind w:left="4366" w:hanging="360"/>
      </w:pPr>
      <w:rPr>
        <w:rFonts w:ascii="Wingdings" w:hAnsi="Wingdings" w:hint="default"/>
      </w:rPr>
    </w:lvl>
    <w:lvl w:ilvl="6" w:tplc="D6E0C986" w:tentative="1">
      <w:start w:val="1"/>
      <w:numFmt w:val="bullet"/>
      <w:lvlText w:val=""/>
      <w:lvlJc w:val="left"/>
      <w:pPr>
        <w:ind w:left="5086" w:hanging="360"/>
      </w:pPr>
      <w:rPr>
        <w:rFonts w:ascii="Symbol" w:hAnsi="Symbol" w:hint="default"/>
      </w:rPr>
    </w:lvl>
    <w:lvl w:ilvl="7" w:tplc="C5307944" w:tentative="1">
      <w:start w:val="1"/>
      <w:numFmt w:val="bullet"/>
      <w:lvlText w:val="o"/>
      <w:lvlJc w:val="left"/>
      <w:pPr>
        <w:ind w:left="5806" w:hanging="360"/>
      </w:pPr>
      <w:rPr>
        <w:rFonts w:ascii="Courier New" w:hAnsi="Courier New" w:hint="default"/>
      </w:rPr>
    </w:lvl>
    <w:lvl w:ilvl="8" w:tplc="CBC27A3A" w:tentative="1">
      <w:start w:val="1"/>
      <w:numFmt w:val="bullet"/>
      <w:lvlText w:val=""/>
      <w:lvlJc w:val="left"/>
      <w:pPr>
        <w:ind w:left="6526" w:hanging="360"/>
      </w:pPr>
      <w:rPr>
        <w:rFonts w:ascii="Wingdings" w:hAnsi="Wingdings" w:hint="default"/>
      </w:rPr>
    </w:lvl>
  </w:abstractNum>
  <w:abstractNum w:abstractNumId="479" w15:restartNumberingAfterBreak="0">
    <w:nsid w:val="6B864504"/>
    <w:multiLevelType w:val="multilevel"/>
    <w:tmpl w:val="CD5A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B8B72F8"/>
    <w:multiLevelType w:val="hybridMultilevel"/>
    <w:tmpl w:val="D246402C"/>
    <w:lvl w:ilvl="0" w:tplc="EEFE0E92">
      <w:start w:val="1"/>
      <w:numFmt w:val="bullet"/>
      <w:lvlText w:val=""/>
      <w:lvlJc w:val="left"/>
      <w:pPr>
        <w:ind w:left="720" w:hanging="360"/>
      </w:pPr>
      <w:rPr>
        <w:rFonts w:ascii="Symbol" w:hAnsi="Symbol" w:hint="default"/>
      </w:rPr>
    </w:lvl>
    <w:lvl w:ilvl="1" w:tplc="6A0CC18A" w:tentative="1">
      <w:start w:val="1"/>
      <w:numFmt w:val="bullet"/>
      <w:lvlText w:val="o"/>
      <w:lvlJc w:val="left"/>
      <w:pPr>
        <w:ind w:left="1440" w:hanging="360"/>
      </w:pPr>
      <w:rPr>
        <w:rFonts w:ascii="Courier New" w:hAnsi="Courier New" w:hint="default"/>
      </w:rPr>
    </w:lvl>
    <w:lvl w:ilvl="2" w:tplc="7E3AEDF8" w:tentative="1">
      <w:start w:val="1"/>
      <w:numFmt w:val="bullet"/>
      <w:lvlText w:val=""/>
      <w:lvlJc w:val="left"/>
      <w:pPr>
        <w:ind w:left="2160" w:hanging="360"/>
      </w:pPr>
      <w:rPr>
        <w:rFonts w:ascii="Wingdings" w:hAnsi="Wingdings" w:hint="default"/>
      </w:rPr>
    </w:lvl>
    <w:lvl w:ilvl="3" w:tplc="C28AB8F6" w:tentative="1">
      <w:start w:val="1"/>
      <w:numFmt w:val="bullet"/>
      <w:lvlText w:val=""/>
      <w:lvlJc w:val="left"/>
      <w:pPr>
        <w:ind w:left="2880" w:hanging="360"/>
      </w:pPr>
      <w:rPr>
        <w:rFonts w:ascii="Symbol" w:hAnsi="Symbol" w:hint="default"/>
      </w:rPr>
    </w:lvl>
    <w:lvl w:ilvl="4" w:tplc="6C34886C" w:tentative="1">
      <w:start w:val="1"/>
      <w:numFmt w:val="bullet"/>
      <w:lvlText w:val="o"/>
      <w:lvlJc w:val="left"/>
      <w:pPr>
        <w:ind w:left="3600" w:hanging="360"/>
      </w:pPr>
      <w:rPr>
        <w:rFonts w:ascii="Courier New" w:hAnsi="Courier New" w:hint="default"/>
      </w:rPr>
    </w:lvl>
    <w:lvl w:ilvl="5" w:tplc="0DCA6882" w:tentative="1">
      <w:start w:val="1"/>
      <w:numFmt w:val="bullet"/>
      <w:lvlText w:val=""/>
      <w:lvlJc w:val="left"/>
      <w:pPr>
        <w:ind w:left="4320" w:hanging="360"/>
      </w:pPr>
      <w:rPr>
        <w:rFonts w:ascii="Wingdings" w:hAnsi="Wingdings" w:hint="default"/>
      </w:rPr>
    </w:lvl>
    <w:lvl w:ilvl="6" w:tplc="A7D4EC3A" w:tentative="1">
      <w:start w:val="1"/>
      <w:numFmt w:val="bullet"/>
      <w:lvlText w:val=""/>
      <w:lvlJc w:val="left"/>
      <w:pPr>
        <w:ind w:left="5040" w:hanging="360"/>
      </w:pPr>
      <w:rPr>
        <w:rFonts w:ascii="Symbol" w:hAnsi="Symbol" w:hint="default"/>
      </w:rPr>
    </w:lvl>
    <w:lvl w:ilvl="7" w:tplc="05DE89F0" w:tentative="1">
      <w:start w:val="1"/>
      <w:numFmt w:val="bullet"/>
      <w:lvlText w:val="o"/>
      <w:lvlJc w:val="left"/>
      <w:pPr>
        <w:ind w:left="5760" w:hanging="360"/>
      </w:pPr>
      <w:rPr>
        <w:rFonts w:ascii="Courier New" w:hAnsi="Courier New" w:hint="default"/>
      </w:rPr>
    </w:lvl>
    <w:lvl w:ilvl="8" w:tplc="32C86B1E" w:tentative="1">
      <w:start w:val="1"/>
      <w:numFmt w:val="bullet"/>
      <w:lvlText w:val=""/>
      <w:lvlJc w:val="left"/>
      <w:pPr>
        <w:ind w:left="6480" w:hanging="360"/>
      </w:pPr>
      <w:rPr>
        <w:rFonts w:ascii="Wingdings" w:hAnsi="Wingdings" w:hint="default"/>
      </w:rPr>
    </w:lvl>
  </w:abstractNum>
  <w:abstractNum w:abstractNumId="481" w15:restartNumberingAfterBreak="0">
    <w:nsid w:val="6B9B7882"/>
    <w:multiLevelType w:val="multilevel"/>
    <w:tmpl w:val="DB5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BE1A1DB"/>
    <w:multiLevelType w:val="multilevel"/>
    <w:tmpl w:val="8E0A8404"/>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3" w15:restartNumberingAfterBreak="0">
    <w:nsid w:val="6BEE4A11"/>
    <w:multiLevelType w:val="multilevel"/>
    <w:tmpl w:val="586C92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84" w15:restartNumberingAfterBreak="0">
    <w:nsid w:val="6BF9D978"/>
    <w:multiLevelType w:val="hybridMultilevel"/>
    <w:tmpl w:val="ED7C6E58"/>
    <w:lvl w:ilvl="0" w:tplc="9B98B046">
      <w:start w:val="1"/>
      <w:numFmt w:val="decimal"/>
      <w:lvlText w:val="%1."/>
      <w:lvlJc w:val="left"/>
      <w:pPr>
        <w:ind w:left="720" w:hanging="360"/>
      </w:pPr>
    </w:lvl>
    <w:lvl w:ilvl="1" w:tplc="F3CC9926">
      <w:start w:val="1"/>
      <w:numFmt w:val="lowerLetter"/>
      <w:lvlText w:val="%2."/>
      <w:lvlJc w:val="left"/>
      <w:pPr>
        <w:ind w:left="1440" w:hanging="360"/>
      </w:pPr>
    </w:lvl>
    <w:lvl w:ilvl="2" w:tplc="D3E48350">
      <w:start w:val="1"/>
      <w:numFmt w:val="lowerRoman"/>
      <w:lvlText w:val="%3."/>
      <w:lvlJc w:val="right"/>
      <w:pPr>
        <w:ind w:left="2160" w:hanging="180"/>
      </w:pPr>
    </w:lvl>
    <w:lvl w:ilvl="3" w:tplc="F89AD8E2">
      <w:start w:val="1"/>
      <w:numFmt w:val="decimal"/>
      <w:lvlText w:val="%4."/>
      <w:lvlJc w:val="left"/>
      <w:pPr>
        <w:ind w:left="2880" w:hanging="360"/>
      </w:pPr>
    </w:lvl>
    <w:lvl w:ilvl="4" w:tplc="F58EF1FE">
      <w:start w:val="1"/>
      <w:numFmt w:val="lowerLetter"/>
      <w:lvlText w:val="%5."/>
      <w:lvlJc w:val="left"/>
      <w:pPr>
        <w:ind w:left="3600" w:hanging="360"/>
      </w:pPr>
    </w:lvl>
    <w:lvl w:ilvl="5" w:tplc="4454D58E">
      <w:start w:val="1"/>
      <w:numFmt w:val="lowerRoman"/>
      <w:lvlText w:val="%6."/>
      <w:lvlJc w:val="right"/>
      <w:pPr>
        <w:ind w:left="4320" w:hanging="180"/>
      </w:pPr>
    </w:lvl>
    <w:lvl w:ilvl="6" w:tplc="65DE5602">
      <w:start w:val="1"/>
      <w:numFmt w:val="decimal"/>
      <w:lvlText w:val="%7."/>
      <w:lvlJc w:val="left"/>
      <w:pPr>
        <w:ind w:left="5040" w:hanging="360"/>
      </w:pPr>
    </w:lvl>
    <w:lvl w:ilvl="7" w:tplc="DECE304C">
      <w:start w:val="1"/>
      <w:numFmt w:val="lowerLetter"/>
      <w:lvlText w:val="%8."/>
      <w:lvlJc w:val="left"/>
      <w:pPr>
        <w:ind w:left="5760" w:hanging="360"/>
      </w:pPr>
    </w:lvl>
    <w:lvl w:ilvl="8" w:tplc="2C865476">
      <w:start w:val="1"/>
      <w:numFmt w:val="lowerRoman"/>
      <w:lvlText w:val="%9."/>
      <w:lvlJc w:val="right"/>
      <w:pPr>
        <w:ind w:left="6480" w:hanging="180"/>
      </w:pPr>
    </w:lvl>
  </w:abstractNum>
  <w:abstractNum w:abstractNumId="485" w15:restartNumberingAfterBreak="0">
    <w:nsid w:val="6C0F5783"/>
    <w:multiLevelType w:val="hybridMultilevel"/>
    <w:tmpl w:val="1DBE8880"/>
    <w:lvl w:ilvl="0" w:tplc="EC3A2760">
      <w:start w:val="1"/>
      <w:numFmt w:val="bullet"/>
      <w:lvlText w:val=""/>
      <w:lvlJc w:val="left"/>
      <w:pPr>
        <w:ind w:left="1494" w:hanging="360"/>
      </w:pPr>
      <w:rPr>
        <w:rFonts w:ascii="Symbol" w:hAnsi="Symbol" w:hint="default"/>
      </w:rPr>
    </w:lvl>
    <w:lvl w:ilvl="1" w:tplc="FE802794" w:tentative="1">
      <w:start w:val="1"/>
      <w:numFmt w:val="bullet"/>
      <w:lvlText w:val="o"/>
      <w:lvlJc w:val="left"/>
      <w:pPr>
        <w:ind w:left="1440" w:hanging="360"/>
      </w:pPr>
      <w:rPr>
        <w:rFonts w:ascii="Courier New" w:hAnsi="Courier New" w:hint="default"/>
      </w:rPr>
    </w:lvl>
    <w:lvl w:ilvl="2" w:tplc="D1A428EC" w:tentative="1">
      <w:start w:val="1"/>
      <w:numFmt w:val="bullet"/>
      <w:lvlText w:val=""/>
      <w:lvlJc w:val="left"/>
      <w:pPr>
        <w:ind w:left="2160" w:hanging="360"/>
      </w:pPr>
      <w:rPr>
        <w:rFonts w:ascii="Wingdings" w:hAnsi="Wingdings" w:hint="default"/>
      </w:rPr>
    </w:lvl>
    <w:lvl w:ilvl="3" w:tplc="658C4988" w:tentative="1">
      <w:start w:val="1"/>
      <w:numFmt w:val="bullet"/>
      <w:lvlText w:val=""/>
      <w:lvlJc w:val="left"/>
      <w:pPr>
        <w:ind w:left="2880" w:hanging="360"/>
      </w:pPr>
      <w:rPr>
        <w:rFonts w:ascii="Symbol" w:hAnsi="Symbol" w:hint="default"/>
      </w:rPr>
    </w:lvl>
    <w:lvl w:ilvl="4" w:tplc="7DB64782" w:tentative="1">
      <w:start w:val="1"/>
      <w:numFmt w:val="bullet"/>
      <w:lvlText w:val="o"/>
      <w:lvlJc w:val="left"/>
      <w:pPr>
        <w:ind w:left="3600" w:hanging="360"/>
      </w:pPr>
      <w:rPr>
        <w:rFonts w:ascii="Courier New" w:hAnsi="Courier New" w:hint="default"/>
      </w:rPr>
    </w:lvl>
    <w:lvl w:ilvl="5" w:tplc="CE424820" w:tentative="1">
      <w:start w:val="1"/>
      <w:numFmt w:val="bullet"/>
      <w:lvlText w:val=""/>
      <w:lvlJc w:val="left"/>
      <w:pPr>
        <w:ind w:left="4320" w:hanging="360"/>
      </w:pPr>
      <w:rPr>
        <w:rFonts w:ascii="Wingdings" w:hAnsi="Wingdings" w:hint="default"/>
      </w:rPr>
    </w:lvl>
    <w:lvl w:ilvl="6" w:tplc="460E00F4" w:tentative="1">
      <w:start w:val="1"/>
      <w:numFmt w:val="bullet"/>
      <w:lvlText w:val=""/>
      <w:lvlJc w:val="left"/>
      <w:pPr>
        <w:ind w:left="5040" w:hanging="360"/>
      </w:pPr>
      <w:rPr>
        <w:rFonts w:ascii="Symbol" w:hAnsi="Symbol" w:hint="default"/>
      </w:rPr>
    </w:lvl>
    <w:lvl w:ilvl="7" w:tplc="F70419E6" w:tentative="1">
      <w:start w:val="1"/>
      <w:numFmt w:val="bullet"/>
      <w:lvlText w:val="o"/>
      <w:lvlJc w:val="left"/>
      <w:pPr>
        <w:ind w:left="5760" w:hanging="360"/>
      </w:pPr>
      <w:rPr>
        <w:rFonts w:ascii="Courier New" w:hAnsi="Courier New" w:hint="default"/>
      </w:rPr>
    </w:lvl>
    <w:lvl w:ilvl="8" w:tplc="D3027E70" w:tentative="1">
      <w:start w:val="1"/>
      <w:numFmt w:val="bullet"/>
      <w:lvlText w:val=""/>
      <w:lvlJc w:val="left"/>
      <w:pPr>
        <w:ind w:left="6480" w:hanging="360"/>
      </w:pPr>
      <w:rPr>
        <w:rFonts w:ascii="Wingdings" w:hAnsi="Wingdings" w:hint="default"/>
      </w:rPr>
    </w:lvl>
  </w:abstractNum>
  <w:abstractNum w:abstractNumId="486" w15:restartNumberingAfterBreak="0">
    <w:nsid w:val="6C209714"/>
    <w:multiLevelType w:val="hybridMultilevel"/>
    <w:tmpl w:val="FFFFFFFF"/>
    <w:lvl w:ilvl="0" w:tplc="8D7C76B8">
      <w:start w:val="1"/>
      <w:numFmt w:val="bullet"/>
      <w:lvlText w:val=""/>
      <w:lvlJc w:val="left"/>
      <w:pPr>
        <w:ind w:left="720" w:hanging="360"/>
      </w:pPr>
      <w:rPr>
        <w:rFonts w:ascii="Symbol" w:hAnsi="Symbol" w:hint="default"/>
      </w:rPr>
    </w:lvl>
    <w:lvl w:ilvl="1" w:tplc="FD74DCF2">
      <w:start w:val="1"/>
      <w:numFmt w:val="bullet"/>
      <w:lvlText w:val="o"/>
      <w:lvlJc w:val="left"/>
      <w:pPr>
        <w:ind w:left="1440" w:hanging="360"/>
      </w:pPr>
      <w:rPr>
        <w:rFonts w:ascii="Courier New" w:hAnsi="Courier New" w:cs="Times New Roman" w:hint="default"/>
      </w:rPr>
    </w:lvl>
    <w:lvl w:ilvl="2" w:tplc="D7741924">
      <w:start w:val="1"/>
      <w:numFmt w:val="bullet"/>
      <w:lvlText w:val=""/>
      <w:lvlJc w:val="left"/>
      <w:pPr>
        <w:ind w:left="2160" w:hanging="360"/>
      </w:pPr>
      <w:rPr>
        <w:rFonts w:ascii="Wingdings" w:hAnsi="Wingdings" w:hint="default"/>
      </w:rPr>
    </w:lvl>
    <w:lvl w:ilvl="3" w:tplc="CC7AD94C">
      <w:start w:val="1"/>
      <w:numFmt w:val="bullet"/>
      <w:lvlText w:val=""/>
      <w:lvlJc w:val="left"/>
      <w:pPr>
        <w:ind w:left="2880" w:hanging="360"/>
      </w:pPr>
      <w:rPr>
        <w:rFonts w:ascii="Symbol" w:hAnsi="Symbol" w:hint="default"/>
      </w:rPr>
    </w:lvl>
    <w:lvl w:ilvl="4" w:tplc="C66C9C8C">
      <w:start w:val="1"/>
      <w:numFmt w:val="bullet"/>
      <w:lvlText w:val="o"/>
      <w:lvlJc w:val="left"/>
      <w:pPr>
        <w:ind w:left="3600" w:hanging="360"/>
      </w:pPr>
      <w:rPr>
        <w:rFonts w:ascii="Courier New" w:hAnsi="Courier New" w:cs="Times New Roman" w:hint="default"/>
      </w:rPr>
    </w:lvl>
    <w:lvl w:ilvl="5" w:tplc="4D7CECC2">
      <w:start w:val="1"/>
      <w:numFmt w:val="bullet"/>
      <w:lvlText w:val=""/>
      <w:lvlJc w:val="left"/>
      <w:pPr>
        <w:ind w:left="4320" w:hanging="360"/>
      </w:pPr>
      <w:rPr>
        <w:rFonts w:ascii="Wingdings" w:hAnsi="Wingdings" w:hint="default"/>
      </w:rPr>
    </w:lvl>
    <w:lvl w:ilvl="6" w:tplc="7C8A2536">
      <w:start w:val="1"/>
      <w:numFmt w:val="bullet"/>
      <w:lvlText w:val=""/>
      <w:lvlJc w:val="left"/>
      <w:pPr>
        <w:ind w:left="5040" w:hanging="360"/>
      </w:pPr>
      <w:rPr>
        <w:rFonts w:ascii="Symbol" w:hAnsi="Symbol" w:hint="default"/>
      </w:rPr>
    </w:lvl>
    <w:lvl w:ilvl="7" w:tplc="02E422FC">
      <w:start w:val="1"/>
      <w:numFmt w:val="bullet"/>
      <w:lvlText w:val="o"/>
      <w:lvlJc w:val="left"/>
      <w:pPr>
        <w:ind w:left="5760" w:hanging="360"/>
      </w:pPr>
      <w:rPr>
        <w:rFonts w:ascii="Courier New" w:hAnsi="Courier New" w:cs="Times New Roman" w:hint="default"/>
      </w:rPr>
    </w:lvl>
    <w:lvl w:ilvl="8" w:tplc="A202B120">
      <w:start w:val="1"/>
      <w:numFmt w:val="bullet"/>
      <w:lvlText w:val=""/>
      <w:lvlJc w:val="left"/>
      <w:pPr>
        <w:ind w:left="6480" w:hanging="360"/>
      </w:pPr>
      <w:rPr>
        <w:rFonts w:ascii="Wingdings" w:hAnsi="Wingdings" w:hint="default"/>
      </w:rPr>
    </w:lvl>
  </w:abstractNum>
  <w:abstractNum w:abstractNumId="487" w15:restartNumberingAfterBreak="0">
    <w:nsid w:val="6C2B691A"/>
    <w:multiLevelType w:val="hybridMultilevel"/>
    <w:tmpl w:val="64A8E1EE"/>
    <w:lvl w:ilvl="0" w:tplc="F766A994">
      <w:start w:val="1"/>
      <w:numFmt w:val="bullet"/>
      <w:pStyle w:val="ListBullet"/>
      <w:lvlText w:val=""/>
      <w:lvlJc w:val="left"/>
      <w:pPr>
        <w:ind w:left="720" w:hanging="360"/>
      </w:pPr>
      <w:rPr>
        <w:rFonts w:ascii="Symbol" w:hAnsi="Symbol" w:hint="default"/>
      </w:rPr>
    </w:lvl>
    <w:lvl w:ilvl="1" w:tplc="45EA8A5A">
      <w:start w:val="1"/>
      <w:numFmt w:val="bullet"/>
      <w:lvlText w:val="o"/>
      <w:lvlJc w:val="left"/>
      <w:pPr>
        <w:ind w:left="1440" w:hanging="360"/>
      </w:pPr>
      <w:rPr>
        <w:rFonts w:ascii="Courier New" w:hAnsi="Courier New" w:hint="default"/>
      </w:rPr>
    </w:lvl>
    <w:lvl w:ilvl="2" w:tplc="0A9EB774" w:tentative="1">
      <w:start w:val="1"/>
      <w:numFmt w:val="bullet"/>
      <w:lvlText w:val=""/>
      <w:lvlJc w:val="left"/>
      <w:pPr>
        <w:ind w:left="2160" w:hanging="360"/>
      </w:pPr>
      <w:rPr>
        <w:rFonts w:ascii="Wingdings" w:hAnsi="Wingdings" w:hint="default"/>
      </w:rPr>
    </w:lvl>
    <w:lvl w:ilvl="3" w:tplc="7B5E520C" w:tentative="1">
      <w:start w:val="1"/>
      <w:numFmt w:val="bullet"/>
      <w:lvlText w:val=""/>
      <w:lvlJc w:val="left"/>
      <w:pPr>
        <w:ind w:left="2880" w:hanging="360"/>
      </w:pPr>
      <w:rPr>
        <w:rFonts w:ascii="Symbol" w:hAnsi="Symbol" w:hint="default"/>
      </w:rPr>
    </w:lvl>
    <w:lvl w:ilvl="4" w:tplc="FA14730C" w:tentative="1">
      <w:start w:val="1"/>
      <w:numFmt w:val="bullet"/>
      <w:lvlText w:val="o"/>
      <w:lvlJc w:val="left"/>
      <w:pPr>
        <w:ind w:left="3600" w:hanging="360"/>
      </w:pPr>
      <w:rPr>
        <w:rFonts w:ascii="Courier New" w:hAnsi="Courier New" w:hint="default"/>
      </w:rPr>
    </w:lvl>
    <w:lvl w:ilvl="5" w:tplc="0AF80B76" w:tentative="1">
      <w:start w:val="1"/>
      <w:numFmt w:val="bullet"/>
      <w:lvlText w:val=""/>
      <w:lvlJc w:val="left"/>
      <w:pPr>
        <w:ind w:left="4320" w:hanging="360"/>
      </w:pPr>
      <w:rPr>
        <w:rFonts w:ascii="Wingdings" w:hAnsi="Wingdings" w:hint="default"/>
      </w:rPr>
    </w:lvl>
    <w:lvl w:ilvl="6" w:tplc="053C4E78" w:tentative="1">
      <w:start w:val="1"/>
      <w:numFmt w:val="bullet"/>
      <w:lvlText w:val=""/>
      <w:lvlJc w:val="left"/>
      <w:pPr>
        <w:ind w:left="5040" w:hanging="360"/>
      </w:pPr>
      <w:rPr>
        <w:rFonts w:ascii="Symbol" w:hAnsi="Symbol" w:hint="default"/>
      </w:rPr>
    </w:lvl>
    <w:lvl w:ilvl="7" w:tplc="CE40FF9E" w:tentative="1">
      <w:start w:val="1"/>
      <w:numFmt w:val="bullet"/>
      <w:lvlText w:val="o"/>
      <w:lvlJc w:val="left"/>
      <w:pPr>
        <w:ind w:left="5760" w:hanging="360"/>
      </w:pPr>
      <w:rPr>
        <w:rFonts w:ascii="Courier New" w:hAnsi="Courier New" w:hint="default"/>
      </w:rPr>
    </w:lvl>
    <w:lvl w:ilvl="8" w:tplc="DFBE4016" w:tentative="1">
      <w:start w:val="1"/>
      <w:numFmt w:val="bullet"/>
      <w:lvlText w:val=""/>
      <w:lvlJc w:val="left"/>
      <w:pPr>
        <w:ind w:left="6480" w:hanging="360"/>
      </w:pPr>
      <w:rPr>
        <w:rFonts w:ascii="Wingdings" w:hAnsi="Wingdings" w:hint="default"/>
      </w:rPr>
    </w:lvl>
  </w:abstractNum>
  <w:abstractNum w:abstractNumId="488" w15:restartNumberingAfterBreak="0">
    <w:nsid w:val="6C93C671"/>
    <w:multiLevelType w:val="hybridMultilevel"/>
    <w:tmpl w:val="FFFFFFFF"/>
    <w:lvl w:ilvl="0" w:tplc="E1FC2158">
      <w:start w:val="1"/>
      <w:numFmt w:val="bullet"/>
      <w:lvlText w:val=""/>
      <w:lvlJc w:val="left"/>
      <w:pPr>
        <w:ind w:left="720" w:hanging="360"/>
      </w:pPr>
      <w:rPr>
        <w:rFonts w:ascii="Symbol" w:hAnsi="Symbol" w:hint="default"/>
      </w:rPr>
    </w:lvl>
    <w:lvl w:ilvl="1" w:tplc="B7E09B9E">
      <w:start w:val="1"/>
      <w:numFmt w:val="bullet"/>
      <w:lvlText w:val="o"/>
      <w:lvlJc w:val="left"/>
      <w:pPr>
        <w:ind w:left="1440" w:hanging="360"/>
      </w:pPr>
      <w:rPr>
        <w:rFonts w:ascii="Courier New" w:hAnsi="Courier New" w:hint="default"/>
      </w:rPr>
    </w:lvl>
    <w:lvl w:ilvl="2" w:tplc="A014887A">
      <w:start w:val="1"/>
      <w:numFmt w:val="bullet"/>
      <w:lvlText w:val=""/>
      <w:lvlJc w:val="left"/>
      <w:pPr>
        <w:ind w:left="2160" w:hanging="360"/>
      </w:pPr>
      <w:rPr>
        <w:rFonts w:ascii="Wingdings" w:hAnsi="Wingdings" w:hint="default"/>
      </w:rPr>
    </w:lvl>
    <w:lvl w:ilvl="3" w:tplc="2BAE0C40">
      <w:start w:val="1"/>
      <w:numFmt w:val="bullet"/>
      <w:lvlText w:val=""/>
      <w:lvlJc w:val="left"/>
      <w:pPr>
        <w:ind w:left="2880" w:hanging="360"/>
      </w:pPr>
      <w:rPr>
        <w:rFonts w:ascii="Symbol" w:hAnsi="Symbol" w:hint="default"/>
      </w:rPr>
    </w:lvl>
    <w:lvl w:ilvl="4" w:tplc="6B02BC88">
      <w:start w:val="1"/>
      <w:numFmt w:val="bullet"/>
      <w:lvlText w:val="o"/>
      <w:lvlJc w:val="left"/>
      <w:pPr>
        <w:ind w:left="3600" w:hanging="360"/>
      </w:pPr>
      <w:rPr>
        <w:rFonts w:ascii="Courier New" w:hAnsi="Courier New" w:hint="default"/>
      </w:rPr>
    </w:lvl>
    <w:lvl w:ilvl="5" w:tplc="34A86280">
      <w:start w:val="1"/>
      <w:numFmt w:val="bullet"/>
      <w:lvlText w:val=""/>
      <w:lvlJc w:val="left"/>
      <w:pPr>
        <w:ind w:left="4320" w:hanging="360"/>
      </w:pPr>
      <w:rPr>
        <w:rFonts w:ascii="Wingdings" w:hAnsi="Wingdings" w:hint="default"/>
      </w:rPr>
    </w:lvl>
    <w:lvl w:ilvl="6" w:tplc="2B64FD0C">
      <w:start w:val="1"/>
      <w:numFmt w:val="bullet"/>
      <w:lvlText w:val=""/>
      <w:lvlJc w:val="left"/>
      <w:pPr>
        <w:ind w:left="5040" w:hanging="360"/>
      </w:pPr>
      <w:rPr>
        <w:rFonts w:ascii="Symbol" w:hAnsi="Symbol" w:hint="default"/>
      </w:rPr>
    </w:lvl>
    <w:lvl w:ilvl="7" w:tplc="71BE1AE2">
      <w:start w:val="1"/>
      <w:numFmt w:val="bullet"/>
      <w:lvlText w:val="o"/>
      <w:lvlJc w:val="left"/>
      <w:pPr>
        <w:ind w:left="5760" w:hanging="360"/>
      </w:pPr>
      <w:rPr>
        <w:rFonts w:ascii="Courier New" w:hAnsi="Courier New" w:hint="default"/>
      </w:rPr>
    </w:lvl>
    <w:lvl w:ilvl="8" w:tplc="D896A81E">
      <w:start w:val="1"/>
      <w:numFmt w:val="bullet"/>
      <w:lvlText w:val=""/>
      <w:lvlJc w:val="left"/>
      <w:pPr>
        <w:ind w:left="6480" w:hanging="360"/>
      </w:pPr>
      <w:rPr>
        <w:rFonts w:ascii="Wingdings" w:hAnsi="Wingdings" w:hint="default"/>
      </w:rPr>
    </w:lvl>
  </w:abstractNum>
  <w:abstractNum w:abstractNumId="489" w15:restartNumberingAfterBreak="0">
    <w:nsid w:val="6CE97D58"/>
    <w:multiLevelType w:val="hybridMultilevel"/>
    <w:tmpl w:val="BDC2605E"/>
    <w:lvl w:ilvl="0" w:tplc="0EB0E5BE">
      <w:start w:val="1"/>
      <w:numFmt w:val="bullet"/>
      <w:lvlText w:val=""/>
      <w:lvlJc w:val="left"/>
      <w:pPr>
        <w:ind w:left="1800" w:hanging="360"/>
      </w:pPr>
      <w:rPr>
        <w:rFonts w:ascii="Symbol" w:hAnsi="Symbol" w:hint="default"/>
      </w:rPr>
    </w:lvl>
    <w:lvl w:ilvl="1" w:tplc="60062EDC" w:tentative="1">
      <w:start w:val="1"/>
      <w:numFmt w:val="bullet"/>
      <w:lvlText w:val="o"/>
      <w:lvlJc w:val="left"/>
      <w:pPr>
        <w:ind w:left="2520" w:hanging="360"/>
      </w:pPr>
      <w:rPr>
        <w:rFonts w:ascii="Courier New" w:hAnsi="Courier New" w:hint="default"/>
      </w:rPr>
    </w:lvl>
    <w:lvl w:ilvl="2" w:tplc="070232D0" w:tentative="1">
      <w:start w:val="1"/>
      <w:numFmt w:val="bullet"/>
      <w:lvlText w:val=""/>
      <w:lvlJc w:val="left"/>
      <w:pPr>
        <w:ind w:left="3240" w:hanging="360"/>
      </w:pPr>
      <w:rPr>
        <w:rFonts w:ascii="Wingdings" w:hAnsi="Wingdings" w:hint="default"/>
      </w:rPr>
    </w:lvl>
    <w:lvl w:ilvl="3" w:tplc="E3CA53CC" w:tentative="1">
      <w:start w:val="1"/>
      <w:numFmt w:val="bullet"/>
      <w:lvlText w:val=""/>
      <w:lvlJc w:val="left"/>
      <w:pPr>
        <w:ind w:left="3960" w:hanging="360"/>
      </w:pPr>
      <w:rPr>
        <w:rFonts w:ascii="Symbol" w:hAnsi="Symbol" w:hint="default"/>
      </w:rPr>
    </w:lvl>
    <w:lvl w:ilvl="4" w:tplc="5498AE2E" w:tentative="1">
      <w:start w:val="1"/>
      <w:numFmt w:val="bullet"/>
      <w:lvlText w:val="o"/>
      <w:lvlJc w:val="left"/>
      <w:pPr>
        <w:ind w:left="4680" w:hanging="360"/>
      </w:pPr>
      <w:rPr>
        <w:rFonts w:ascii="Courier New" w:hAnsi="Courier New" w:hint="default"/>
      </w:rPr>
    </w:lvl>
    <w:lvl w:ilvl="5" w:tplc="A626A18A" w:tentative="1">
      <w:start w:val="1"/>
      <w:numFmt w:val="bullet"/>
      <w:lvlText w:val=""/>
      <w:lvlJc w:val="left"/>
      <w:pPr>
        <w:ind w:left="5400" w:hanging="360"/>
      </w:pPr>
      <w:rPr>
        <w:rFonts w:ascii="Wingdings" w:hAnsi="Wingdings" w:hint="default"/>
      </w:rPr>
    </w:lvl>
    <w:lvl w:ilvl="6" w:tplc="92B219DA" w:tentative="1">
      <w:start w:val="1"/>
      <w:numFmt w:val="bullet"/>
      <w:lvlText w:val=""/>
      <w:lvlJc w:val="left"/>
      <w:pPr>
        <w:ind w:left="6120" w:hanging="360"/>
      </w:pPr>
      <w:rPr>
        <w:rFonts w:ascii="Symbol" w:hAnsi="Symbol" w:hint="default"/>
      </w:rPr>
    </w:lvl>
    <w:lvl w:ilvl="7" w:tplc="22324A34" w:tentative="1">
      <w:start w:val="1"/>
      <w:numFmt w:val="bullet"/>
      <w:lvlText w:val="o"/>
      <w:lvlJc w:val="left"/>
      <w:pPr>
        <w:ind w:left="6840" w:hanging="360"/>
      </w:pPr>
      <w:rPr>
        <w:rFonts w:ascii="Courier New" w:hAnsi="Courier New" w:hint="default"/>
      </w:rPr>
    </w:lvl>
    <w:lvl w:ilvl="8" w:tplc="27CAE800" w:tentative="1">
      <w:start w:val="1"/>
      <w:numFmt w:val="bullet"/>
      <w:lvlText w:val=""/>
      <w:lvlJc w:val="left"/>
      <w:pPr>
        <w:ind w:left="7560" w:hanging="360"/>
      </w:pPr>
      <w:rPr>
        <w:rFonts w:ascii="Wingdings" w:hAnsi="Wingdings" w:hint="default"/>
      </w:rPr>
    </w:lvl>
  </w:abstractNum>
  <w:abstractNum w:abstractNumId="490" w15:restartNumberingAfterBreak="0">
    <w:nsid w:val="6CFB5501"/>
    <w:multiLevelType w:val="hybridMultilevel"/>
    <w:tmpl w:val="FFFFFFFF"/>
    <w:lvl w:ilvl="0" w:tplc="41D858A8">
      <w:start w:val="1"/>
      <w:numFmt w:val="bullet"/>
      <w:lvlText w:val="·"/>
      <w:lvlJc w:val="left"/>
      <w:pPr>
        <w:ind w:left="720" w:hanging="360"/>
      </w:pPr>
      <w:rPr>
        <w:rFonts w:ascii="Symbol" w:hAnsi="Symbol" w:hint="default"/>
      </w:rPr>
    </w:lvl>
    <w:lvl w:ilvl="1" w:tplc="B12219EE">
      <w:start w:val="1"/>
      <w:numFmt w:val="bullet"/>
      <w:lvlText w:val="o"/>
      <w:lvlJc w:val="left"/>
      <w:pPr>
        <w:ind w:left="1440" w:hanging="360"/>
      </w:pPr>
      <w:rPr>
        <w:rFonts w:ascii="Courier New" w:hAnsi="Courier New" w:hint="default"/>
      </w:rPr>
    </w:lvl>
    <w:lvl w:ilvl="2" w:tplc="099AD400">
      <w:start w:val="1"/>
      <w:numFmt w:val="bullet"/>
      <w:lvlText w:val=""/>
      <w:lvlJc w:val="left"/>
      <w:pPr>
        <w:ind w:left="2160" w:hanging="360"/>
      </w:pPr>
      <w:rPr>
        <w:rFonts w:ascii="Wingdings" w:hAnsi="Wingdings" w:hint="default"/>
      </w:rPr>
    </w:lvl>
    <w:lvl w:ilvl="3" w:tplc="7DE41CA4">
      <w:start w:val="1"/>
      <w:numFmt w:val="bullet"/>
      <w:lvlText w:val=""/>
      <w:lvlJc w:val="left"/>
      <w:pPr>
        <w:ind w:left="2880" w:hanging="360"/>
      </w:pPr>
      <w:rPr>
        <w:rFonts w:ascii="Symbol" w:hAnsi="Symbol" w:hint="default"/>
      </w:rPr>
    </w:lvl>
    <w:lvl w:ilvl="4" w:tplc="4586AE92">
      <w:start w:val="1"/>
      <w:numFmt w:val="bullet"/>
      <w:lvlText w:val="o"/>
      <w:lvlJc w:val="left"/>
      <w:pPr>
        <w:ind w:left="3600" w:hanging="360"/>
      </w:pPr>
      <w:rPr>
        <w:rFonts w:ascii="Courier New" w:hAnsi="Courier New" w:hint="default"/>
      </w:rPr>
    </w:lvl>
    <w:lvl w:ilvl="5" w:tplc="C636B9AC">
      <w:start w:val="1"/>
      <w:numFmt w:val="bullet"/>
      <w:lvlText w:val=""/>
      <w:lvlJc w:val="left"/>
      <w:pPr>
        <w:ind w:left="4320" w:hanging="360"/>
      </w:pPr>
      <w:rPr>
        <w:rFonts w:ascii="Wingdings" w:hAnsi="Wingdings" w:hint="default"/>
      </w:rPr>
    </w:lvl>
    <w:lvl w:ilvl="6" w:tplc="93C8D1C6">
      <w:start w:val="1"/>
      <w:numFmt w:val="bullet"/>
      <w:lvlText w:val=""/>
      <w:lvlJc w:val="left"/>
      <w:pPr>
        <w:ind w:left="5040" w:hanging="360"/>
      </w:pPr>
      <w:rPr>
        <w:rFonts w:ascii="Symbol" w:hAnsi="Symbol" w:hint="default"/>
      </w:rPr>
    </w:lvl>
    <w:lvl w:ilvl="7" w:tplc="2D34A87E">
      <w:start w:val="1"/>
      <w:numFmt w:val="bullet"/>
      <w:lvlText w:val="o"/>
      <w:lvlJc w:val="left"/>
      <w:pPr>
        <w:ind w:left="5760" w:hanging="360"/>
      </w:pPr>
      <w:rPr>
        <w:rFonts w:ascii="Courier New" w:hAnsi="Courier New" w:hint="default"/>
      </w:rPr>
    </w:lvl>
    <w:lvl w:ilvl="8" w:tplc="8F10C382">
      <w:start w:val="1"/>
      <w:numFmt w:val="bullet"/>
      <w:lvlText w:val=""/>
      <w:lvlJc w:val="left"/>
      <w:pPr>
        <w:ind w:left="6480" w:hanging="360"/>
      </w:pPr>
      <w:rPr>
        <w:rFonts w:ascii="Wingdings" w:hAnsi="Wingdings" w:hint="default"/>
      </w:rPr>
    </w:lvl>
  </w:abstractNum>
  <w:abstractNum w:abstractNumId="491" w15:restartNumberingAfterBreak="0">
    <w:nsid w:val="6D117B48"/>
    <w:multiLevelType w:val="hybridMultilevel"/>
    <w:tmpl w:val="288E3240"/>
    <w:lvl w:ilvl="0" w:tplc="F4DAF1D2">
      <w:start w:val="1"/>
      <w:numFmt w:val="bullet"/>
      <w:lvlText w:val=""/>
      <w:lvlJc w:val="left"/>
      <w:pPr>
        <w:ind w:left="720" w:hanging="360"/>
      </w:pPr>
      <w:rPr>
        <w:rFonts w:ascii="Symbol" w:hAnsi="Symbol" w:hint="default"/>
      </w:rPr>
    </w:lvl>
    <w:lvl w:ilvl="1" w:tplc="8F543678">
      <w:start w:val="1"/>
      <w:numFmt w:val="bullet"/>
      <w:lvlText w:val="o"/>
      <w:lvlJc w:val="left"/>
      <w:pPr>
        <w:ind w:left="1440" w:hanging="360"/>
      </w:pPr>
      <w:rPr>
        <w:rFonts w:ascii="Courier New" w:hAnsi="Courier New" w:hint="default"/>
      </w:rPr>
    </w:lvl>
    <w:lvl w:ilvl="2" w:tplc="EA380BA2" w:tentative="1">
      <w:start w:val="1"/>
      <w:numFmt w:val="bullet"/>
      <w:lvlText w:val=""/>
      <w:lvlJc w:val="left"/>
      <w:pPr>
        <w:ind w:left="2160" w:hanging="360"/>
      </w:pPr>
      <w:rPr>
        <w:rFonts w:ascii="Wingdings" w:hAnsi="Wingdings" w:hint="default"/>
      </w:rPr>
    </w:lvl>
    <w:lvl w:ilvl="3" w:tplc="C7522ECC" w:tentative="1">
      <w:start w:val="1"/>
      <w:numFmt w:val="bullet"/>
      <w:lvlText w:val=""/>
      <w:lvlJc w:val="left"/>
      <w:pPr>
        <w:ind w:left="2880" w:hanging="360"/>
      </w:pPr>
      <w:rPr>
        <w:rFonts w:ascii="Symbol" w:hAnsi="Symbol" w:hint="default"/>
      </w:rPr>
    </w:lvl>
    <w:lvl w:ilvl="4" w:tplc="C6367C28" w:tentative="1">
      <w:start w:val="1"/>
      <w:numFmt w:val="bullet"/>
      <w:lvlText w:val="o"/>
      <w:lvlJc w:val="left"/>
      <w:pPr>
        <w:ind w:left="3600" w:hanging="360"/>
      </w:pPr>
      <w:rPr>
        <w:rFonts w:ascii="Courier New" w:hAnsi="Courier New" w:hint="default"/>
      </w:rPr>
    </w:lvl>
    <w:lvl w:ilvl="5" w:tplc="AB4CF84C" w:tentative="1">
      <w:start w:val="1"/>
      <w:numFmt w:val="bullet"/>
      <w:lvlText w:val=""/>
      <w:lvlJc w:val="left"/>
      <w:pPr>
        <w:ind w:left="4320" w:hanging="360"/>
      </w:pPr>
      <w:rPr>
        <w:rFonts w:ascii="Wingdings" w:hAnsi="Wingdings" w:hint="default"/>
      </w:rPr>
    </w:lvl>
    <w:lvl w:ilvl="6" w:tplc="44E0B8F4" w:tentative="1">
      <w:start w:val="1"/>
      <w:numFmt w:val="bullet"/>
      <w:lvlText w:val=""/>
      <w:lvlJc w:val="left"/>
      <w:pPr>
        <w:ind w:left="5040" w:hanging="360"/>
      </w:pPr>
      <w:rPr>
        <w:rFonts w:ascii="Symbol" w:hAnsi="Symbol" w:hint="default"/>
      </w:rPr>
    </w:lvl>
    <w:lvl w:ilvl="7" w:tplc="F7728D8C" w:tentative="1">
      <w:start w:val="1"/>
      <w:numFmt w:val="bullet"/>
      <w:lvlText w:val="o"/>
      <w:lvlJc w:val="left"/>
      <w:pPr>
        <w:ind w:left="5760" w:hanging="360"/>
      </w:pPr>
      <w:rPr>
        <w:rFonts w:ascii="Courier New" w:hAnsi="Courier New" w:hint="default"/>
      </w:rPr>
    </w:lvl>
    <w:lvl w:ilvl="8" w:tplc="C9CE6EA2" w:tentative="1">
      <w:start w:val="1"/>
      <w:numFmt w:val="bullet"/>
      <w:lvlText w:val=""/>
      <w:lvlJc w:val="left"/>
      <w:pPr>
        <w:ind w:left="6480" w:hanging="360"/>
      </w:pPr>
      <w:rPr>
        <w:rFonts w:ascii="Wingdings" w:hAnsi="Wingdings" w:hint="default"/>
      </w:rPr>
    </w:lvl>
  </w:abstractNum>
  <w:abstractNum w:abstractNumId="492" w15:restartNumberingAfterBreak="0">
    <w:nsid w:val="6D9E15FF"/>
    <w:multiLevelType w:val="multilevel"/>
    <w:tmpl w:val="0F40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DC57CDC"/>
    <w:multiLevelType w:val="multilevel"/>
    <w:tmpl w:val="AF20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DDB29E7"/>
    <w:multiLevelType w:val="hybridMultilevel"/>
    <w:tmpl w:val="7E94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5" w15:restartNumberingAfterBreak="0">
    <w:nsid w:val="6E226F90"/>
    <w:multiLevelType w:val="hybridMultilevel"/>
    <w:tmpl w:val="6CC2D4CC"/>
    <w:lvl w:ilvl="0" w:tplc="DCE26D2A">
      <w:start w:val="1"/>
      <w:numFmt w:val="bullet"/>
      <w:lvlText w:val=""/>
      <w:lvlJc w:val="left"/>
      <w:pPr>
        <w:ind w:left="720" w:hanging="360"/>
      </w:pPr>
      <w:rPr>
        <w:rFonts w:ascii="Symbol" w:hAnsi="Symbol" w:hint="default"/>
      </w:rPr>
    </w:lvl>
    <w:lvl w:ilvl="1" w:tplc="7102BC78" w:tentative="1">
      <w:start w:val="1"/>
      <w:numFmt w:val="bullet"/>
      <w:lvlText w:val="o"/>
      <w:lvlJc w:val="left"/>
      <w:pPr>
        <w:ind w:left="1440" w:hanging="360"/>
      </w:pPr>
      <w:rPr>
        <w:rFonts w:ascii="Courier New" w:hAnsi="Courier New" w:hint="default"/>
      </w:rPr>
    </w:lvl>
    <w:lvl w:ilvl="2" w:tplc="D1A8C41C" w:tentative="1">
      <w:start w:val="1"/>
      <w:numFmt w:val="bullet"/>
      <w:lvlText w:val=""/>
      <w:lvlJc w:val="left"/>
      <w:pPr>
        <w:ind w:left="2160" w:hanging="360"/>
      </w:pPr>
      <w:rPr>
        <w:rFonts w:ascii="Wingdings" w:hAnsi="Wingdings" w:hint="default"/>
      </w:rPr>
    </w:lvl>
    <w:lvl w:ilvl="3" w:tplc="E79E3952" w:tentative="1">
      <w:start w:val="1"/>
      <w:numFmt w:val="bullet"/>
      <w:lvlText w:val=""/>
      <w:lvlJc w:val="left"/>
      <w:pPr>
        <w:ind w:left="2880" w:hanging="360"/>
      </w:pPr>
      <w:rPr>
        <w:rFonts w:ascii="Symbol" w:hAnsi="Symbol" w:hint="default"/>
      </w:rPr>
    </w:lvl>
    <w:lvl w:ilvl="4" w:tplc="6B70026A" w:tentative="1">
      <w:start w:val="1"/>
      <w:numFmt w:val="bullet"/>
      <w:lvlText w:val="o"/>
      <w:lvlJc w:val="left"/>
      <w:pPr>
        <w:ind w:left="3600" w:hanging="360"/>
      </w:pPr>
      <w:rPr>
        <w:rFonts w:ascii="Courier New" w:hAnsi="Courier New" w:hint="default"/>
      </w:rPr>
    </w:lvl>
    <w:lvl w:ilvl="5" w:tplc="F07EC294" w:tentative="1">
      <w:start w:val="1"/>
      <w:numFmt w:val="bullet"/>
      <w:lvlText w:val=""/>
      <w:lvlJc w:val="left"/>
      <w:pPr>
        <w:ind w:left="4320" w:hanging="360"/>
      </w:pPr>
      <w:rPr>
        <w:rFonts w:ascii="Wingdings" w:hAnsi="Wingdings" w:hint="default"/>
      </w:rPr>
    </w:lvl>
    <w:lvl w:ilvl="6" w:tplc="37A8AD32" w:tentative="1">
      <w:start w:val="1"/>
      <w:numFmt w:val="bullet"/>
      <w:lvlText w:val=""/>
      <w:lvlJc w:val="left"/>
      <w:pPr>
        <w:ind w:left="5040" w:hanging="360"/>
      </w:pPr>
      <w:rPr>
        <w:rFonts w:ascii="Symbol" w:hAnsi="Symbol" w:hint="default"/>
      </w:rPr>
    </w:lvl>
    <w:lvl w:ilvl="7" w:tplc="C48018EC" w:tentative="1">
      <w:start w:val="1"/>
      <w:numFmt w:val="bullet"/>
      <w:lvlText w:val="o"/>
      <w:lvlJc w:val="left"/>
      <w:pPr>
        <w:ind w:left="5760" w:hanging="360"/>
      </w:pPr>
      <w:rPr>
        <w:rFonts w:ascii="Courier New" w:hAnsi="Courier New" w:hint="default"/>
      </w:rPr>
    </w:lvl>
    <w:lvl w:ilvl="8" w:tplc="6D8AA418" w:tentative="1">
      <w:start w:val="1"/>
      <w:numFmt w:val="bullet"/>
      <w:lvlText w:val=""/>
      <w:lvlJc w:val="left"/>
      <w:pPr>
        <w:ind w:left="6480" w:hanging="360"/>
      </w:pPr>
      <w:rPr>
        <w:rFonts w:ascii="Wingdings" w:hAnsi="Wingdings" w:hint="default"/>
      </w:rPr>
    </w:lvl>
  </w:abstractNum>
  <w:abstractNum w:abstractNumId="496" w15:restartNumberingAfterBreak="0">
    <w:nsid w:val="6E700D2A"/>
    <w:multiLevelType w:val="hybridMultilevel"/>
    <w:tmpl w:val="60C00192"/>
    <w:lvl w:ilvl="0" w:tplc="8B9A0FE4">
      <w:start w:val="1"/>
      <w:numFmt w:val="bullet"/>
      <w:lvlText w:val=""/>
      <w:lvlJc w:val="left"/>
      <w:pPr>
        <w:ind w:left="720" w:hanging="360"/>
      </w:pPr>
      <w:rPr>
        <w:rFonts w:ascii="Symbol" w:hAnsi="Symbol" w:hint="default"/>
        <w:color w:val="auto"/>
      </w:rPr>
    </w:lvl>
    <w:lvl w:ilvl="1" w:tplc="049C0FEE">
      <w:start w:val="1"/>
      <w:numFmt w:val="bullet"/>
      <w:lvlText w:val="o"/>
      <w:lvlJc w:val="left"/>
      <w:pPr>
        <w:ind w:left="1440" w:hanging="360"/>
      </w:pPr>
      <w:rPr>
        <w:rFonts w:ascii="Courier New" w:hAnsi="Courier New" w:hint="default"/>
      </w:rPr>
    </w:lvl>
    <w:lvl w:ilvl="2" w:tplc="92786EC6" w:tentative="1">
      <w:start w:val="1"/>
      <w:numFmt w:val="bullet"/>
      <w:lvlText w:val=""/>
      <w:lvlJc w:val="left"/>
      <w:pPr>
        <w:ind w:left="2160" w:hanging="360"/>
      </w:pPr>
      <w:rPr>
        <w:rFonts w:ascii="Wingdings" w:hAnsi="Wingdings" w:hint="default"/>
      </w:rPr>
    </w:lvl>
    <w:lvl w:ilvl="3" w:tplc="053E85B4" w:tentative="1">
      <w:start w:val="1"/>
      <w:numFmt w:val="bullet"/>
      <w:lvlText w:val=""/>
      <w:lvlJc w:val="left"/>
      <w:pPr>
        <w:ind w:left="2880" w:hanging="360"/>
      </w:pPr>
      <w:rPr>
        <w:rFonts w:ascii="Symbol" w:hAnsi="Symbol" w:hint="default"/>
      </w:rPr>
    </w:lvl>
    <w:lvl w:ilvl="4" w:tplc="DEF4CCDE" w:tentative="1">
      <w:start w:val="1"/>
      <w:numFmt w:val="bullet"/>
      <w:lvlText w:val="o"/>
      <w:lvlJc w:val="left"/>
      <w:pPr>
        <w:ind w:left="3600" w:hanging="360"/>
      </w:pPr>
      <w:rPr>
        <w:rFonts w:ascii="Courier New" w:hAnsi="Courier New" w:hint="default"/>
      </w:rPr>
    </w:lvl>
    <w:lvl w:ilvl="5" w:tplc="029C5D7C" w:tentative="1">
      <w:start w:val="1"/>
      <w:numFmt w:val="bullet"/>
      <w:lvlText w:val=""/>
      <w:lvlJc w:val="left"/>
      <w:pPr>
        <w:ind w:left="4320" w:hanging="360"/>
      </w:pPr>
      <w:rPr>
        <w:rFonts w:ascii="Wingdings" w:hAnsi="Wingdings" w:hint="default"/>
      </w:rPr>
    </w:lvl>
    <w:lvl w:ilvl="6" w:tplc="CC9294E2" w:tentative="1">
      <w:start w:val="1"/>
      <w:numFmt w:val="bullet"/>
      <w:lvlText w:val=""/>
      <w:lvlJc w:val="left"/>
      <w:pPr>
        <w:ind w:left="5040" w:hanging="360"/>
      </w:pPr>
      <w:rPr>
        <w:rFonts w:ascii="Symbol" w:hAnsi="Symbol" w:hint="default"/>
      </w:rPr>
    </w:lvl>
    <w:lvl w:ilvl="7" w:tplc="50B498A2" w:tentative="1">
      <w:start w:val="1"/>
      <w:numFmt w:val="bullet"/>
      <w:lvlText w:val="o"/>
      <w:lvlJc w:val="left"/>
      <w:pPr>
        <w:ind w:left="5760" w:hanging="360"/>
      </w:pPr>
      <w:rPr>
        <w:rFonts w:ascii="Courier New" w:hAnsi="Courier New" w:hint="default"/>
      </w:rPr>
    </w:lvl>
    <w:lvl w:ilvl="8" w:tplc="268E5B16" w:tentative="1">
      <w:start w:val="1"/>
      <w:numFmt w:val="bullet"/>
      <w:lvlText w:val=""/>
      <w:lvlJc w:val="left"/>
      <w:pPr>
        <w:ind w:left="6480" w:hanging="360"/>
      </w:pPr>
      <w:rPr>
        <w:rFonts w:ascii="Wingdings" w:hAnsi="Wingdings" w:hint="default"/>
      </w:rPr>
    </w:lvl>
  </w:abstractNum>
  <w:abstractNum w:abstractNumId="497" w15:restartNumberingAfterBreak="0">
    <w:nsid w:val="6EE069E4"/>
    <w:multiLevelType w:val="hybridMultilevel"/>
    <w:tmpl w:val="50949B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8" w15:restartNumberingAfterBreak="0">
    <w:nsid w:val="6EF85F2E"/>
    <w:multiLevelType w:val="hybridMultilevel"/>
    <w:tmpl w:val="72B63A9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9" w15:restartNumberingAfterBreak="0">
    <w:nsid w:val="6F044661"/>
    <w:multiLevelType w:val="multilevel"/>
    <w:tmpl w:val="8B24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F585215"/>
    <w:multiLevelType w:val="multilevel"/>
    <w:tmpl w:val="6B1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FB54362"/>
    <w:multiLevelType w:val="hybridMultilevel"/>
    <w:tmpl w:val="D3503F4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2" w15:restartNumberingAfterBreak="0">
    <w:nsid w:val="6FC64681"/>
    <w:multiLevelType w:val="hybridMultilevel"/>
    <w:tmpl w:val="ED567D7C"/>
    <w:lvl w:ilvl="0" w:tplc="73C486C4">
      <w:start w:val="1"/>
      <w:numFmt w:val="bullet"/>
      <w:lvlText w:val=""/>
      <w:lvlJc w:val="left"/>
      <w:pPr>
        <w:ind w:left="720" w:hanging="360"/>
      </w:pPr>
      <w:rPr>
        <w:rFonts w:ascii="Symbol" w:hAnsi="Symbol" w:hint="default"/>
      </w:rPr>
    </w:lvl>
    <w:lvl w:ilvl="1" w:tplc="7EB0C4F0" w:tentative="1">
      <w:start w:val="1"/>
      <w:numFmt w:val="bullet"/>
      <w:lvlText w:val="o"/>
      <w:lvlJc w:val="left"/>
      <w:pPr>
        <w:ind w:left="1440" w:hanging="360"/>
      </w:pPr>
      <w:rPr>
        <w:rFonts w:ascii="Courier New" w:hAnsi="Courier New" w:hint="default"/>
      </w:rPr>
    </w:lvl>
    <w:lvl w:ilvl="2" w:tplc="AB22EB12" w:tentative="1">
      <w:start w:val="1"/>
      <w:numFmt w:val="bullet"/>
      <w:lvlText w:val=""/>
      <w:lvlJc w:val="left"/>
      <w:pPr>
        <w:ind w:left="2160" w:hanging="360"/>
      </w:pPr>
      <w:rPr>
        <w:rFonts w:ascii="Wingdings" w:hAnsi="Wingdings" w:hint="default"/>
      </w:rPr>
    </w:lvl>
    <w:lvl w:ilvl="3" w:tplc="B5482098" w:tentative="1">
      <w:start w:val="1"/>
      <w:numFmt w:val="bullet"/>
      <w:lvlText w:val=""/>
      <w:lvlJc w:val="left"/>
      <w:pPr>
        <w:ind w:left="2880" w:hanging="360"/>
      </w:pPr>
      <w:rPr>
        <w:rFonts w:ascii="Symbol" w:hAnsi="Symbol" w:hint="default"/>
      </w:rPr>
    </w:lvl>
    <w:lvl w:ilvl="4" w:tplc="B82E7448" w:tentative="1">
      <w:start w:val="1"/>
      <w:numFmt w:val="bullet"/>
      <w:lvlText w:val="o"/>
      <w:lvlJc w:val="left"/>
      <w:pPr>
        <w:ind w:left="3600" w:hanging="360"/>
      </w:pPr>
      <w:rPr>
        <w:rFonts w:ascii="Courier New" w:hAnsi="Courier New" w:hint="default"/>
      </w:rPr>
    </w:lvl>
    <w:lvl w:ilvl="5" w:tplc="8C169DFA" w:tentative="1">
      <w:start w:val="1"/>
      <w:numFmt w:val="bullet"/>
      <w:lvlText w:val=""/>
      <w:lvlJc w:val="left"/>
      <w:pPr>
        <w:ind w:left="4320" w:hanging="360"/>
      </w:pPr>
      <w:rPr>
        <w:rFonts w:ascii="Wingdings" w:hAnsi="Wingdings" w:hint="default"/>
      </w:rPr>
    </w:lvl>
    <w:lvl w:ilvl="6" w:tplc="083C5912" w:tentative="1">
      <w:start w:val="1"/>
      <w:numFmt w:val="bullet"/>
      <w:lvlText w:val=""/>
      <w:lvlJc w:val="left"/>
      <w:pPr>
        <w:ind w:left="5040" w:hanging="360"/>
      </w:pPr>
      <w:rPr>
        <w:rFonts w:ascii="Symbol" w:hAnsi="Symbol" w:hint="default"/>
      </w:rPr>
    </w:lvl>
    <w:lvl w:ilvl="7" w:tplc="9F74B118" w:tentative="1">
      <w:start w:val="1"/>
      <w:numFmt w:val="bullet"/>
      <w:lvlText w:val="o"/>
      <w:lvlJc w:val="left"/>
      <w:pPr>
        <w:ind w:left="5760" w:hanging="360"/>
      </w:pPr>
      <w:rPr>
        <w:rFonts w:ascii="Courier New" w:hAnsi="Courier New" w:hint="default"/>
      </w:rPr>
    </w:lvl>
    <w:lvl w:ilvl="8" w:tplc="6FD6D52A" w:tentative="1">
      <w:start w:val="1"/>
      <w:numFmt w:val="bullet"/>
      <w:lvlText w:val=""/>
      <w:lvlJc w:val="left"/>
      <w:pPr>
        <w:ind w:left="6480" w:hanging="360"/>
      </w:pPr>
      <w:rPr>
        <w:rFonts w:ascii="Wingdings" w:hAnsi="Wingdings" w:hint="default"/>
      </w:rPr>
    </w:lvl>
  </w:abstractNum>
  <w:abstractNum w:abstractNumId="503" w15:restartNumberingAfterBreak="0">
    <w:nsid w:val="6FD756F5"/>
    <w:multiLevelType w:val="multilevel"/>
    <w:tmpl w:val="6D7A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FDB7B1F"/>
    <w:multiLevelType w:val="multilevel"/>
    <w:tmpl w:val="4B46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70455BC9"/>
    <w:multiLevelType w:val="multilevel"/>
    <w:tmpl w:val="F984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705C3818"/>
    <w:multiLevelType w:val="hybridMultilevel"/>
    <w:tmpl w:val="FFFFFFFF"/>
    <w:lvl w:ilvl="0" w:tplc="DBCE10CC">
      <w:start w:val="1"/>
      <w:numFmt w:val="bullet"/>
      <w:lvlText w:val="·"/>
      <w:lvlJc w:val="left"/>
      <w:pPr>
        <w:ind w:left="720" w:hanging="360"/>
      </w:pPr>
      <w:rPr>
        <w:rFonts w:ascii="Symbol" w:hAnsi="Symbol" w:hint="default"/>
      </w:rPr>
    </w:lvl>
    <w:lvl w:ilvl="1" w:tplc="A5204392">
      <w:start w:val="1"/>
      <w:numFmt w:val="bullet"/>
      <w:lvlText w:val="o"/>
      <w:lvlJc w:val="left"/>
      <w:pPr>
        <w:ind w:left="1440" w:hanging="360"/>
      </w:pPr>
      <w:rPr>
        <w:rFonts w:ascii="Courier New" w:hAnsi="Courier New" w:hint="default"/>
      </w:rPr>
    </w:lvl>
    <w:lvl w:ilvl="2" w:tplc="B8DA15F0">
      <w:start w:val="1"/>
      <w:numFmt w:val="bullet"/>
      <w:lvlText w:val=""/>
      <w:lvlJc w:val="left"/>
      <w:pPr>
        <w:ind w:left="2160" w:hanging="360"/>
      </w:pPr>
      <w:rPr>
        <w:rFonts w:ascii="Wingdings" w:hAnsi="Wingdings" w:hint="default"/>
      </w:rPr>
    </w:lvl>
    <w:lvl w:ilvl="3" w:tplc="0E6490CC">
      <w:start w:val="1"/>
      <w:numFmt w:val="bullet"/>
      <w:lvlText w:val=""/>
      <w:lvlJc w:val="left"/>
      <w:pPr>
        <w:ind w:left="2880" w:hanging="360"/>
      </w:pPr>
      <w:rPr>
        <w:rFonts w:ascii="Symbol" w:hAnsi="Symbol" w:hint="default"/>
      </w:rPr>
    </w:lvl>
    <w:lvl w:ilvl="4" w:tplc="60946790">
      <w:start w:val="1"/>
      <w:numFmt w:val="bullet"/>
      <w:lvlText w:val="o"/>
      <w:lvlJc w:val="left"/>
      <w:pPr>
        <w:ind w:left="3600" w:hanging="360"/>
      </w:pPr>
      <w:rPr>
        <w:rFonts w:ascii="Courier New" w:hAnsi="Courier New" w:hint="default"/>
      </w:rPr>
    </w:lvl>
    <w:lvl w:ilvl="5" w:tplc="55449094">
      <w:start w:val="1"/>
      <w:numFmt w:val="bullet"/>
      <w:lvlText w:val=""/>
      <w:lvlJc w:val="left"/>
      <w:pPr>
        <w:ind w:left="4320" w:hanging="360"/>
      </w:pPr>
      <w:rPr>
        <w:rFonts w:ascii="Wingdings" w:hAnsi="Wingdings" w:hint="default"/>
      </w:rPr>
    </w:lvl>
    <w:lvl w:ilvl="6" w:tplc="1AE2AE68">
      <w:start w:val="1"/>
      <w:numFmt w:val="bullet"/>
      <w:lvlText w:val=""/>
      <w:lvlJc w:val="left"/>
      <w:pPr>
        <w:ind w:left="5040" w:hanging="360"/>
      </w:pPr>
      <w:rPr>
        <w:rFonts w:ascii="Symbol" w:hAnsi="Symbol" w:hint="default"/>
      </w:rPr>
    </w:lvl>
    <w:lvl w:ilvl="7" w:tplc="3A345FA0">
      <w:start w:val="1"/>
      <w:numFmt w:val="bullet"/>
      <w:lvlText w:val="o"/>
      <w:lvlJc w:val="left"/>
      <w:pPr>
        <w:ind w:left="5760" w:hanging="360"/>
      </w:pPr>
      <w:rPr>
        <w:rFonts w:ascii="Courier New" w:hAnsi="Courier New" w:hint="default"/>
      </w:rPr>
    </w:lvl>
    <w:lvl w:ilvl="8" w:tplc="FB3CB5BE">
      <w:start w:val="1"/>
      <w:numFmt w:val="bullet"/>
      <w:lvlText w:val=""/>
      <w:lvlJc w:val="left"/>
      <w:pPr>
        <w:ind w:left="6480" w:hanging="360"/>
      </w:pPr>
      <w:rPr>
        <w:rFonts w:ascii="Wingdings" w:hAnsi="Wingdings" w:hint="default"/>
      </w:rPr>
    </w:lvl>
  </w:abstractNum>
  <w:abstractNum w:abstractNumId="507" w15:restartNumberingAfterBreak="0">
    <w:nsid w:val="715E7EDC"/>
    <w:multiLevelType w:val="hybridMultilevel"/>
    <w:tmpl w:val="10A6ECB6"/>
    <w:lvl w:ilvl="0" w:tplc="52A04578">
      <w:start w:val="5"/>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8" w15:restartNumberingAfterBreak="0">
    <w:nsid w:val="716A5061"/>
    <w:multiLevelType w:val="hybridMultilevel"/>
    <w:tmpl w:val="B6E05B5E"/>
    <w:lvl w:ilvl="0" w:tplc="F1AAA3CA">
      <w:start w:val="1"/>
      <w:numFmt w:val="bullet"/>
      <w:lvlText w:val=""/>
      <w:lvlJc w:val="left"/>
      <w:pPr>
        <w:ind w:left="780" w:hanging="360"/>
      </w:pPr>
      <w:rPr>
        <w:rFonts w:ascii="Symbol" w:hAnsi="Symbol" w:hint="default"/>
      </w:rPr>
    </w:lvl>
    <w:lvl w:ilvl="1" w:tplc="ED3E23F2" w:tentative="1">
      <w:start w:val="1"/>
      <w:numFmt w:val="bullet"/>
      <w:lvlText w:val="o"/>
      <w:lvlJc w:val="left"/>
      <w:pPr>
        <w:ind w:left="1500" w:hanging="360"/>
      </w:pPr>
      <w:rPr>
        <w:rFonts w:ascii="Courier New" w:hAnsi="Courier New" w:hint="default"/>
      </w:rPr>
    </w:lvl>
    <w:lvl w:ilvl="2" w:tplc="474CB0AA" w:tentative="1">
      <w:start w:val="1"/>
      <w:numFmt w:val="bullet"/>
      <w:lvlText w:val=""/>
      <w:lvlJc w:val="left"/>
      <w:pPr>
        <w:ind w:left="2220" w:hanging="360"/>
      </w:pPr>
      <w:rPr>
        <w:rFonts w:ascii="Wingdings" w:hAnsi="Wingdings" w:hint="default"/>
      </w:rPr>
    </w:lvl>
    <w:lvl w:ilvl="3" w:tplc="E24289D2" w:tentative="1">
      <w:start w:val="1"/>
      <w:numFmt w:val="bullet"/>
      <w:lvlText w:val=""/>
      <w:lvlJc w:val="left"/>
      <w:pPr>
        <w:ind w:left="2940" w:hanging="360"/>
      </w:pPr>
      <w:rPr>
        <w:rFonts w:ascii="Symbol" w:hAnsi="Symbol" w:hint="default"/>
      </w:rPr>
    </w:lvl>
    <w:lvl w:ilvl="4" w:tplc="A912BF4C" w:tentative="1">
      <w:start w:val="1"/>
      <w:numFmt w:val="bullet"/>
      <w:lvlText w:val="o"/>
      <w:lvlJc w:val="left"/>
      <w:pPr>
        <w:ind w:left="3660" w:hanging="360"/>
      </w:pPr>
      <w:rPr>
        <w:rFonts w:ascii="Courier New" w:hAnsi="Courier New" w:hint="default"/>
      </w:rPr>
    </w:lvl>
    <w:lvl w:ilvl="5" w:tplc="825CA8DE" w:tentative="1">
      <w:start w:val="1"/>
      <w:numFmt w:val="bullet"/>
      <w:lvlText w:val=""/>
      <w:lvlJc w:val="left"/>
      <w:pPr>
        <w:ind w:left="4380" w:hanging="360"/>
      </w:pPr>
      <w:rPr>
        <w:rFonts w:ascii="Wingdings" w:hAnsi="Wingdings" w:hint="default"/>
      </w:rPr>
    </w:lvl>
    <w:lvl w:ilvl="6" w:tplc="E31E73B4" w:tentative="1">
      <w:start w:val="1"/>
      <w:numFmt w:val="bullet"/>
      <w:lvlText w:val=""/>
      <w:lvlJc w:val="left"/>
      <w:pPr>
        <w:ind w:left="5100" w:hanging="360"/>
      </w:pPr>
      <w:rPr>
        <w:rFonts w:ascii="Symbol" w:hAnsi="Symbol" w:hint="default"/>
      </w:rPr>
    </w:lvl>
    <w:lvl w:ilvl="7" w:tplc="5DDEA1F2" w:tentative="1">
      <w:start w:val="1"/>
      <w:numFmt w:val="bullet"/>
      <w:lvlText w:val="o"/>
      <w:lvlJc w:val="left"/>
      <w:pPr>
        <w:ind w:left="5820" w:hanging="360"/>
      </w:pPr>
      <w:rPr>
        <w:rFonts w:ascii="Courier New" w:hAnsi="Courier New" w:hint="default"/>
      </w:rPr>
    </w:lvl>
    <w:lvl w:ilvl="8" w:tplc="4D3A2AD0" w:tentative="1">
      <w:start w:val="1"/>
      <w:numFmt w:val="bullet"/>
      <w:lvlText w:val=""/>
      <w:lvlJc w:val="left"/>
      <w:pPr>
        <w:ind w:left="6540" w:hanging="360"/>
      </w:pPr>
      <w:rPr>
        <w:rFonts w:ascii="Wingdings" w:hAnsi="Wingdings" w:hint="default"/>
      </w:rPr>
    </w:lvl>
  </w:abstractNum>
  <w:abstractNum w:abstractNumId="509" w15:restartNumberingAfterBreak="0">
    <w:nsid w:val="71761E67"/>
    <w:multiLevelType w:val="multilevel"/>
    <w:tmpl w:val="0102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1AA5BE2"/>
    <w:multiLevelType w:val="hybridMultilevel"/>
    <w:tmpl w:val="A8CE9020"/>
    <w:lvl w:ilvl="0" w:tplc="165E91CA">
      <w:start w:val="1"/>
      <w:numFmt w:val="bullet"/>
      <w:lvlText w:val=""/>
      <w:lvlJc w:val="left"/>
      <w:pPr>
        <w:ind w:left="720" w:hanging="360"/>
      </w:pPr>
      <w:rPr>
        <w:rFonts w:ascii="Symbol" w:hAnsi="Symbol" w:hint="default"/>
      </w:rPr>
    </w:lvl>
    <w:lvl w:ilvl="1" w:tplc="6E0E90A6" w:tentative="1">
      <w:start w:val="1"/>
      <w:numFmt w:val="bullet"/>
      <w:lvlText w:val="o"/>
      <w:lvlJc w:val="left"/>
      <w:pPr>
        <w:ind w:left="1440" w:hanging="360"/>
      </w:pPr>
      <w:rPr>
        <w:rFonts w:ascii="Courier New" w:hAnsi="Courier New" w:hint="default"/>
      </w:rPr>
    </w:lvl>
    <w:lvl w:ilvl="2" w:tplc="AD8436E6" w:tentative="1">
      <w:start w:val="1"/>
      <w:numFmt w:val="bullet"/>
      <w:lvlText w:val=""/>
      <w:lvlJc w:val="left"/>
      <w:pPr>
        <w:ind w:left="2160" w:hanging="360"/>
      </w:pPr>
      <w:rPr>
        <w:rFonts w:ascii="Wingdings" w:hAnsi="Wingdings" w:hint="default"/>
      </w:rPr>
    </w:lvl>
    <w:lvl w:ilvl="3" w:tplc="A782C892" w:tentative="1">
      <w:start w:val="1"/>
      <w:numFmt w:val="bullet"/>
      <w:lvlText w:val=""/>
      <w:lvlJc w:val="left"/>
      <w:pPr>
        <w:ind w:left="2880" w:hanging="360"/>
      </w:pPr>
      <w:rPr>
        <w:rFonts w:ascii="Symbol" w:hAnsi="Symbol" w:hint="default"/>
      </w:rPr>
    </w:lvl>
    <w:lvl w:ilvl="4" w:tplc="176E606C" w:tentative="1">
      <w:start w:val="1"/>
      <w:numFmt w:val="bullet"/>
      <w:lvlText w:val="o"/>
      <w:lvlJc w:val="left"/>
      <w:pPr>
        <w:ind w:left="3600" w:hanging="360"/>
      </w:pPr>
      <w:rPr>
        <w:rFonts w:ascii="Courier New" w:hAnsi="Courier New" w:hint="default"/>
      </w:rPr>
    </w:lvl>
    <w:lvl w:ilvl="5" w:tplc="6CCEAF4A" w:tentative="1">
      <w:start w:val="1"/>
      <w:numFmt w:val="bullet"/>
      <w:lvlText w:val=""/>
      <w:lvlJc w:val="left"/>
      <w:pPr>
        <w:ind w:left="4320" w:hanging="360"/>
      </w:pPr>
      <w:rPr>
        <w:rFonts w:ascii="Wingdings" w:hAnsi="Wingdings" w:hint="default"/>
      </w:rPr>
    </w:lvl>
    <w:lvl w:ilvl="6" w:tplc="1A70C370" w:tentative="1">
      <w:start w:val="1"/>
      <w:numFmt w:val="bullet"/>
      <w:lvlText w:val=""/>
      <w:lvlJc w:val="left"/>
      <w:pPr>
        <w:ind w:left="5040" w:hanging="360"/>
      </w:pPr>
      <w:rPr>
        <w:rFonts w:ascii="Symbol" w:hAnsi="Symbol" w:hint="default"/>
      </w:rPr>
    </w:lvl>
    <w:lvl w:ilvl="7" w:tplc="510A689A" w:tentative="1">
      <w:start w:val="1"/>
      <w:numFmt w:val="bullet"/>
      <w:lvlText w:val="o"/>
      <w:lvlJc w:val="left"/>
      <w:pPr>
        <w:ind w:left="5760" w:hanging="360"/>
      </w:pPr>
      <w:rPr>
        <w:rFonts w:ascii="Courier New" w:hAnsi="Courier New" w:hint="default"/>
      </w:rPr>
    </w:lvl>
    <w:lvl w:ilvl="8" w:tplc="71182A58" w:tentative="1">
      <w:start w:val="1"/>
      <w:numFmt w:val="bullet"/>
      <w:lvlText w:val=""/>
      <w:lvlJc w:val="left"/>
      <w:pPr>
        <w:ind w:left="6480" w:hanging="360"/>
      </w:pPr>
      <w:rPr>
        <w:rFonts w:ascii="Wingdings" w:hAnsi="Wingdings" w:hint="default"/>
      </w:rPr>
    </w:lvl>
  </w:abstractNum>
  <w:abstractNum w:abstractNumId="511" w15:restartNumberingAfterBreak="0">
    <w:nsid w:val="72707CC8"/>
    <w:multiLevelType w:val="hybridMultilevel"/>
    <w:tmpl w:val="E1B0D960"/>
    <w:lvl w:ilvl="0" w:tplc="FFFFFFFF">
      <w:start w:val="1"/>
      <w:numFmt w:val="bullet"/>
      <w:lvlText w:val="·"/>
      <w:lvlJc w:val="left"/>
      <w:pPr>
        <w:ind w:left="720" w:hanging="360"/>
      </w:pPr>
      <w:rPr>
        <w:rFonts w:ascii="Symbol" w:hAnsi="Symbol" w:hint="default"/>
      </w:rPr>
    </w:lvl>
    <w:lvl w:ilvl="1" w:tplc="1D26A2B0">
      <w:start w:val="1"/>
      <w:numFmt w:val="bullet"/>
      <w:lvlText w:val="o"/>
      <w:lvlJc w:val="left"/>
      <w:pPr>
        <w:ind w:left="1440" w:hanging="360"/>
      </w:pPr>
      <w:rPr>
        <w:rFonts w:ascii="Courier New" w:hAnsi="Courier New" w:hint="default"/>
      </w:rPr>
    </w:lvl>
    <w:lvl w:ilvl="2" w:tplc="A45CF4D8" w:tentative="1">
      <w:start w:val="1"/>
      <w:numFmt w:val="bullet"/>
      <w:lvlText w:val=""/>
      <w:lvlJc w:val="left"/>
      <w:pPr>
        <w:ind w:left="2160" w:hanging="360"/>
      </w:pPr>
      <w:rPr>
        <w:rFonts w:ascii="Wingdings" w:hAnsi="Wingdings" w:hint="default"/>
      </w:rPr>
    </w:lvl>
    <w:lvl w:ilvl="3" w:tplc="A67EB5C4" w:tentative="1">
      <w:start w:val="1"/>
      <w:numFmt w:val="bullet"/>
      <w:lvlText w:val=""/>
      <w:lvlJc w:val="left"/>
      <w:pPr>
        <w:ind w:left="2880" w:hanging="360"/>
      </w:pPr>
      <w:rPr>
        <w:rFonts w:ascii="Symbol" w:hAnsi="Symbol" w:hint="default"/>
      </w:rPr>
    </w:lvl>
    <w:lvl w:ilvl="4" w:tplc="949495DC" w:tentative="1">
      <w:start w:val="1"/>
      <w:numFmt w:val="bullet"/>
      <w:lvlText w:val="o"/>
      <w:lvlJc w:val="left"/>
      <w:pPr>
        <w:ind w:left="3600" w:hanging="360"/>
      </w:pPr>
      <w:rPr>
        <w:rFonts w:ascii="Courier New" w:hAnsi="Courier New" w:hint="default"/>
      </w:rPr>
    </w:lvl>
    <w:lvl w:ilvl="5" w:tplc="A3C685D4" w:tentative="1">
      <w:start w:val="1"/>
      <w:numFmt w:val="bullet"/>
      <w:lvlText w:val=""/>
      <w:lvlJc w:val="left"/>
      <w:pPr>
        <w:ind w:left="4320" w:hanging="360"/>
      </w:pPr>
      <w:rPr>
        <w:rFonts w:ascii="Wingdings" w:hAnsi="Wingdings" w:hint="default"/>
      </w:rPr>
    </w:lvl>
    <w:lvl w:ilvl="6" w:tplc="A7A61542" w:tentative="1">
      <w:start w:val="1"/>
      <w:numFmt w:val="bullet"/>
      <w:lvlText w:val=""/>
      <w:lvlJc w:val="left"/>
      <w:pPr>
        <w:ind w:left="5040" w:hanging="360"/>
      </w:pPr>
      <w:rPr>
        <w:rFonts w:ascii="Symbol" w:hAnsi="Symbol" w:hint="default"/>
      </w:rPr>
    </w:lvl>
    <w:lvl w:ilvl="7" w:tplc="D530354C" w:tentative="1">
      <w:start w:val="1"/>
      <w:numFmt w:val="bullet"/>
      <w:lvlText w:val="o"/>
      <w:lvlJc w:val="left"/>
      <w:pPr>
        <w:ind w:left="5760" w:hanging="360"/>
      </w:pPr>
      <w:rPr>
        <w:rFonts w:ascii="Courier New" w:hAnsi="Courier New" w:hint="default"/>
      </w:rPr>
    </w:lvl>
    <w:lvl w:ilvl="8" w:tplc="2892C7D6" w:tentative="1">
      <w:start w:val="1"/>
      <w:numFmt w:val="bullet"/>
      <w:lvlText w:val=""/>
      <w:lvlJc w:val="left"/>
      <w:pPr>
        <w:ind w:left="6480" w:hanging="360"/>
      </w:pPr>
      <w:rPr>
        <w:rFonts w:ascii="Wingdings" w:hAnsi="Wingdings" w:hint="default"/>
      </w:rPr>
    </w:lvl>
  </w:abstractNum>
  <w:abstractNum w:abstractNumId="512" w15:restartNumberingAfterBreak="0">
    <w:nsid w:val="72847C5F"/>
    <w:multiLevelType w:val="multilevel"/>
    <w:tmpl w:val="5D88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72EC26AA"/>
    <w:multiLevelType w:val="multilevel"/>
    <w:tmpl w:val="EC1CAD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731E1C3A"/>
    <w:multiLevelType w:val="multilevel"/>
    <w:tmpl w:val="2242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73246CA1"/>
    <w:multiLevelType w:val="hybridMultilevel"/>
    <w:tmpl w:val="66DEAE3C"/>
    <w:lvl w:ilvl="0" w:tplc="1C625C72">
      <w:start w:val="1"/>
      <w:numFmt w:val="bullet"/>
      <w:lvlText w:val=""/>
      <w:lvlJc w:val="left"/>
      <w:pPr>
        <w:ind w:left="360" w:hanging="360"/>
      </w:pPr>
      <w:rPr>
        <w:rFonts w:ascii="Symbol" w:hAnsi="Symbol" w:hint="default"/>
      </w:rPr>
    </w:lvl>
    <w:lvl w:ilvl="1" w:tplc="E530EDEE" w:tentative="1">
      <w:start w:val="1"/>
      <w:numFmt w:val="bullet"/>
      <w:lvlText w:val="o"/>
      <w:lvlJc w:val="left"/>
      <w:pPr>
        <w:ind w:left="1080" w:hanging="360"/>
      </w:pPr>
      <w:rPr>
        <w:rFonts w:ascii="Courier New" w:hAnsi="Courier New" w:hint="default"/>
      </w:rPr>
    </w:lvl>
    <w:lvl w:ilvl="2" w:tplc="81983DF8" w:tentative="1">
      <w:start w:val="1"/>
      <w:numFmt w:val="bullet"/>
      <w:lvlText w:val=""/>
      <w:lvlJc w:val="left"/>
      <w:pPr>
        <w:ind w:left="1800" w:hanging="360"/>
      </w:pPr>
      <w:rPr>
        <w:rFonts w:ascii="Wingdings" w:hAnsi="Wingdings" w:hint="default"/>
      </w:rPr>
    </w:lvl>
    <w:lvl w:ilvl="3" w:tplc="A35A595A" w:tentative="1">
      <w:start w:val="1"/>
      <w:numFmt w:val="bullet"/>
      <w:lvlText w:val=""/>
      <w:lvlJc w:val="left"/>
      <w:pPr>
        <w:ind w:left="2520" w:hanging="360"/>
      </w:pPr>
      <w:rPr>
        <w:rFonts w:ascii="Symbol" w:hAnsi="Symbol" w:hint="default"/>
      </w:rPr>
    </w:lvl>
    <w:lvl w:ilvl="4" w:tplc="3586A666" w:tentative="1">
      <w:start w:val="1"/>
      <w:numFmt w:val="bullet"/>
      <w:lvlText w:val="o"/>
      <w:lvlJc w:val="left"/>
      <w:pPr>
        <w:ind w:left="3240" w:hanging="360"/>
      </w:pPr>
      <w:rPr>
        <w:rFonts w:ascii="Courier New" w:hAnsi="Courier New" w:hint="default"/>
      </w:rPr>
    </w:lvl>
    <w:lvl w:ilvl="5" w:tplc="4ADADBC8" w:tentative="1">
      <w:start w:val="1"/>
      <w:numFmt w:val="bullet"/>
      <w:lvlText w:val=""/>
      <w:lvlJc w:val="left"/>
      <w:pPr>
        <w:ind w:left="3960" w:hanging="360"/>
      </w:pPr>
      <w:rPr>
        <w:rFonts w:ascii="Wingdings" w:hAnsi="Wingdings" w:hint="default"/>
      </w:rPr>
    </w:lvl>
    <w:lvl w:ilvl="6" w:tplc="15DCD794" w:tentative="1">
      <w:start w:val="1"/>
      <w:numFmt w:val="bullet"/>
      <w:lvlText w:val=""/>
      <w:lvlJc w:val="left"/>
      <w:pPr>
        <w:ind w:left="4680" w:hanging="360"/>
      </w:pPr>
      <w:rPr>
        <w:rFonts w:ascii="Symbol" w:hAnsi="Symbol" w:hint="default"/>
      </w:rPr>
    </w:lvl>
    <w:lvl w:ilvl="7" w:tplc="04D4796E" w:tentative="1">
      <w:start w:val="1"/>
      <w:numFmt w:val="bullet"/>
      <w:lvlText w:val="o"/>
      <w:lvlJc w:val="left"/>
      <w:pPr>
        <w:ind w:left="5400" w:hanging="360"/>
      </w:pPr>
      <w:rPr>
        <w:rFonts w:ascii="Courier New" w:hAnsi="Courier New" w:hint="default"/>
      </w:rPr>
    </w:lvl>
    <w:lvl w:ilvl="8" w:tplc="E964620C" w:tentative="1">
      <w:start w:val="1"/>
      <w:numFmt w:val="bullet"/>
      <w:lvlText w:val=""/>
      <w:lvlJc w:val="left"/>
      <w:pPr>
        <w:ind w:left="6120" w:hanging="360"/>
      </w:pPr>
      <w:rPr>
        <w:rFonts w:ascii="Wingdings" w:hAnsi="Wingdings" w:hint="default"/>
      </w:rPr>
    </w:lvl>
  </w:abstractNum>
  <w:abstractNum w:abstractNumId="516" w15:restartNumberingAfterBreak="0">
    <w:nsid w:val="735C6EEA"/>
    <w:multiLevelType w:val="hybridMultilevel"/>
    <w:tmpl w:val="CBA06F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7" w15:restartNumberingAfterBreak="0">
    <w:nsid w:val="735E3325"/>
    <w:multiLevelType w:val="hybridMultilevel"/>
    <w:tmpl w:val="8B7EED5A"/>
    <w:lvl w:ilvl="0" w:tplc="B76C4752">
      <w:start w:val="1"/>
      <w:numFmt w:val="bullet"/>
      <w:lvlText w:val=""/>
      <w:lvlJc w:val="left"/>
      <w:pPr>
        <w:ind w:left="720" w:hanging="360"/>
      </w:pPr>
      <w:rPr>
        <w:rFonts w:ascii="Symbol" w:hAnsi="Symbol" w:hint="default"/>
      </w:rPr>
    </w:lvl>
    <w:lvl w:ilvl="1" w:tplc="638440E4" w:tentative="1">
      <w:start w:val="1"/>
      <w:numFmt w:val="bullet"/>
      <w:lvlText w:val="o"/>
      <w:lvlJc w:val="left"/>
      <w:pPr>
        <w:ind w:left="1440" w:hanging="360"/>
      </w:pPr>
      <w:rPr>
        <w:rFonts w:ascii="Courier New" w:hAnsi="Courier New" w:hint="default"/>
      </w:rPr>
    </w:lvl>
    <w:lvl w:ilvl="2" w:tplc="FC92F4D2" w:tentative="1">
      <w:start w:val="1"/>
      <w:numFmt w:val="bullet"/>
      <w:lvlText w:val=""/>
      <w:lvlJc w:val="left"/>
      <w:pPr>
        <w:ind w:left="2160" w:hanging="360"/>
      </w:pPr>
      <w:rPr>
        <w:rFonts w:ascii="Wingdings" w:hAnsi="Wingdings" w:hint="default"/>
      </w:rPr>
    </w:lvl>
    <w:lvl w:ilvl="3" w:tplc="B0645978" w:tentative="1">
      <w:start w:val="1"/>
      <w:numFmt w:val="bullet"/>
      <w:lvlText w:val=""/>
      <w:lvlJc w:val="left"/>
      <w:pPr>
        <w:ind w:left="2880" w:hanging="360"/>
      </w:pPr>
      <w:rPr>
        <w:rFonts w:ascii="Symbol" w:hAnsi="Symbol" w:hint="default"/>
      </w:rPr>
    </w:lvl>
    <w:lvl w:ilvl="4" w:tplc="E2B268A4" w:tentative="1">
      <w:start w:val="1"/>
      <w:numFmt w:val="bullet"/>
      <w:lvlText w:val="o"/>
      <w:lvlJc w:val="left"/>
      <w:pPr>
        <w:ind w:left="3600" w:hanging="360"/>
      </w:pPr>
      <w:rPr>
        <w:rFonts w:ascii="Courier New" w:hAnsi="Courier New" w:hint="default"/>
      </w:rPr>
    </w:lvl>
    <w:lvl w:ilvl="5" w:tplc="DDA48E44" w:tentative="1">
      <w:start w:val="1"/>
      <w:numFmt w:val="bullet"/>
      <w:lvlText w:val=""/>
      <w:lvlJc w:val="left"/>
      <w:pPr>
        <w:ind w:left="4320" w:hanging="360"/>
      </w:pPr>
      <w:rPr>
        <w:rFonts w:ascii="Wingdings" w:hAnsi="Wingdings" w:hint="default"/>
      </w:rPr>
    </w:lvl>
    <w:lvl w:ilvl="6" w:tplc="34D4EF0A" w:tentative="1">
      <w:start w:val="1"/>
      <w:numFmt w:val="bullet"/>
      <w:lvlText w:val=""/>
      <w:lvlJc w:val="left"/>
      <w:pPr>
        <w:ind w:left="5040" w:hanging="360"/>
      </w:pPr>
      <w:rPr>
        <w:rFonts w:ascii="Symbol" w:hAnsi="Symbol" w:hint="default"/>
      </w:rPr>
    </w:lvl>
    <w:lvl w:ilvl="7" w:tplc="06B80FE6" w:tentative="1">
      <w:start w:val="1"/>
      <w:numFmt w:val="bullet"/>
      <w:lvlText w:val="o"/>
      <w:lvlJc w:val="left"/>
      <w:pPr>
        <w:ind w:left="5760" w:hanging="360"/>
      </w:pPr>
      <w:rPr>
        <w:rFonts w:ascii="Courier New" w:hAnsi="Courier New" w:hint="default"/>
      </w:rPr>
    </w:lvl>
    <w:lvl w:ilvl="8" w:tplc="65CCC444" w:tentative="1">
      <w:start w:val="1"/>
      <w:numFmt w:val="bullet"/>
      <w:lvlText w:val=""/>
      <w:lvlJc w:val="left"/>
      <w:pPr>
        <w:ind w:left="6480" w:hanging="360"/>
      </w:pPr>
      <w:rPr>
        <w:rFonts w:ascii="Wingdings" w:hAnsi="Wingdings" w:hint="default"/>
      </w:rPr>
    </w:lvl>
  </w:abstractNum>
  <w:abstractNum w:abstractNumId="518" w15:restartNumberingAfterBreak="0">
    <w:nsid w:val="7366639C"/>
    <w:multiLevelType w:val="hybridMultilevel"/>
    <w:tmpl w:val="3A74E7E8"/>
    <w:lvl w:ilvl="0" w:tplc="C21AFCFA">
      <w:start w:val="1"/>
      <w:numFmt w:val="bullet"/>
      <w:lvlText w:val=""/>
      <w:lvlJc w:val="left"/>
      <w:pPr>
        <w:ind w:left="720" w:hanging="360"/>
      </w:pPr>
      <w:rPr>
        <w:rFonts w:ascii="Symbol" w:hAnsi="Symbol" w:hint="default"/>
      </w:rPr>
    </w:lvl>
    <w:lvl w:ilvl="1" w:tplc="C4127EE2" w:tentative="1">
      <w:start w:val="1"/>
      <w:numFmt w:val="bullet"/>
      <w:lvlText w:val="o"/>
      <w:lvlJc w:val="left"/>
      <w:pPr>
        <w:ind w:left="1440" w:hanging="360"/>
      </w:pPr>
      <w:rPr>
        <w:rFonts w:ascii="Courier New" w:hAnsi="Courier New" w:hint="default"/>
      </w:rPr>
    </w:lvl>
    <w:lvl w:ilvl="2" w:tplc="065658E8" w:tentative="1">
      <w:start w:val="1"/>
      <w:numFmt w:val="bullet"/>
      <w:lvlText w:val=""/>
      <w:lvlJc w:val="left"/>
      <w:pPr>
        <w:ind w:left="2160" w:hanging="360"/>
      </w:pPr>
      <w:rPr>
        <w:rFonts w:ascii="Wingdings" w:hAnsi="Wingdings" w:hint="default"/>
      </w:rPr>
    </w:lvl>
    <w:lvl w:ilvl="3" w:tplc="27B6FD92" w:tentative="1">
      <w:start w:val="1"/>
      <w:numFmt w:val="bullet"/>
      <w:lvlText w:val=""/>
      <w:lvlJc w:val="left"/>
      <w:pPr>
        <w:ind w:left="2880" w:hanging="360"/>
      </w:pPr>
      <w:rPr>
        <w:rFonts w:ascii="Symbol" w:hAnsi="Symbol" w:hint="default"/>
      </w:rPr>
    </w:lvl>
    <w:lvl w:ilvl="4" w:tplc="72883A26" w:tentative="1">
      <w:start w:val="1"/>
      <w:numFmt w:val="bullet"/>
      <w:lvlText w:val="o"/>
      <w:lvlJc w:val="left"/>
      <w:pPr>
        <w:ind w:left="3600" w:hanging="360"/>
      </w:pPr>
      <w:rPr>
        <w:rFonts w:ascii="Courier New" w:hAnsi="Courier New" w:hint="default"/>
      </w:rPr>
    </w:lvl>
    <w:lvl w:ilvl="5" w:tplc="254A04A0" w:tentative="1">
      <w:start w:val="1"/>
      <w:numFmt w:val="bullet"/>
      <w:lvlText w:val=""/>
      <w:lvlJc w:val="left"/>
      <w:pPr>
        <w:ind w:left="4320" w:hanging="360"/>
      </w:pPr>
      <w:rPr>
        <w:rFonts w:ascii="Wingdings" w:hAnsi="Wingdings" w:hint="default"/>
      </w:rPr>
    </w:lvl>
    <w:lvl w:ilvl="6" w:tplc="ECDAEC44" w:tentative="1">
      <w:start w:val="1"/>
      <w:numFmt w:val="bullet"/>
      <w:lvlText w:val=""/>
      <w:lvlJc w:val="left"/>
      <w:pPr>
        <w:ind w:left="5040" w:hanging="360"/>
      </w:pPr>
      <w:rPr>
        <w:rFonts w:ascii="Symbol" w:hAnsi="Symbol" w:hint="default"/>
      </w:rPr>
    </w:lvl>
    <w:lvl w:ilvl="7" w:tplc="77E03684" w:tentative="1">
      <w:start w:val="1"/>
      <w:numFmt w:val="bullet"/>
      <w:lvlText w:val="o"/>
      <w:lvlJc w:val="left"/>
      <w:pPr>
        <w:ind w:left="5760" w:hanging="360"/>
      </w:pPr>
      <w:rPr>
        <w:rFonts w:ascii="Courier New" w:hAnsi="Courier New" w:hint="default"/>
      </w:rPr>
    </w:lvl>
    <w:lvl w:ilvl="8" w:tplc="C880937A" w:tentative="1">
      <w:start w:val="1"/>
      <w:numFmt w:val="bullet"/>
      <w:lvlText w:val=""/>
      <w:lvlJc w:val="left"/>
      <w:pPr>
        <w:ind w:left="6480" w:hanging="360"/>
      </w:pPr>
      <w:rPr>
        <w:rFonts w:ascii="Wingdings" w:hAnsi="Wingdings" w:hint="default"/>
      </w:rPr>
    </w:lvl>
  </w:abstractNum>
  <w:abstractNum w:abstractNumId="519" w15:restartNumberingAfterBreak="0">
    <w:nsid w:val="73683440"/>
    <w:multiLevelType w:val="hybridMultilevel"/>
    <w:tmpl w:val="BAC00892"/>
    <w:styleLink w:val="CurrentList18"/>
    <w:lvl w:ilvl="0" w:tplc="8922738A">
      <w:start w:val="1"/>
      <w:numFmt w:val="bullet"/>
      <w:lvlText w:val=""/>
      <w:lvlJc w:val="left"/>
      <w:pPr>
        <w:ind w:left="720" w:hanging="360"/>
      </w:pPr>
      <w:rPr>
        <w:rFonts w:ascii="Symbol" w:hAnsi="Symbol" w:hint="default"/>
      </w:rPr>
    </w:lvl>
    <w:lvl w:ilvl="1" w:tplc="0EF07B2E" w:tentative="1">
      <w:start w:val="1"/>
      <w:numFmt w:val="bullet"/>
      <w:lvlText w:val="o"/>
      <w:lvlJc w:val="left"/>
      <w:pPr>
        <w:ind w:left="1440" w:hanging="360"/>
      </w:pPr>
      <w:rPr>
        <w:rFonts w:ascii="Courier New" w:hAnsi="Courier New" w:hint="default"/>
      </w:rPr>
    </w:lvl>
    <w:lvl w:ilvl="2" w:tplc="FFC2721E" w:tentative="1">
      <w:start w:val="1"/>
      <w:numFmt w:val="bullet"/>
      <w:lvlText w:val=""/>
      <w:lvlJc w:val="left"/>
      <w:pPr>
        <w:ind w:left="2160" w:hanging="360"/>
      </w:pPr>
      <w:rPr>
        <w:rFonts w:ascii="Wingdings" w:hAnsi="Wingdings" w:hint="default"/>
      </w:rPr>
    </w:lvl>
    <w:lvl w:ilvl="3" w:tplc="5F56D024" w:tentative="1">
      <w:start w:val="1"/>
      <w:numFmt w:val="bullet"/>
      <w:lvlText w:val=""/>
      <w:lvlJc w:val="left"/>
      <w:pPr>
        <w:ind w:left="2880" w:hanging="360"/>
      </w:pPr>
      <w:rPr>
        <w:rFonts w:ascii="Symbol" w:hAnsi="Symbol" w:hint="default"/>
      </w:rPr>
    </w:lvl>
    <w:lvl w:ilvl="4" w:tplc="6E64920E" w:tentative="1">
      <w:start w:val="1"/>
      <w:numFmt w:val="bullet"/>
      <w:lvlText w:val="o"/>
      <w:lvlJc w:val="left"/>
      <w:pPr>
        <w:ind w:left="3600" w:hanging="360"/>
      </w:pPr>
      <w:rPr>
        <w:rFonts w:ascii="Courier New" w:hAnsi="Courier New" w:hint="default"/>
      </w:rPr>
    </w:lvl>
    <w:lvl w:ilvl="5" w:tplc="B900D4A4" w:tentative="1">
      <w:start w:val="1"/>
      <w:numFmt w:val="bullet"/>
      <w:lvlText w:val=""/>
      <w:lvlJc w:val="left"/>
      <w:pPr>
        <w:ind w:left="4320" w:hanging="360"/>
      </w:pPr>
      <w:rPr>
        <w:rFonts w:ascii="Wingdings" w:hAnsi="Wingdings" w:hint="default"/>
      </w:rPr>
    </w:lvl>
    <w:lvl w:ilvl="6" w:tplc="2488C38A" w:tentative="1">
      <w:start w:val="1"/>
      <w:numFmt w:val="bullet"/>
      <w:lvlText w:val=""/>
      <w:lvlJc w:val="left"/>
      <w:pPr>
        <w:ind w:left="5040" w:hanging="360"/>
      </w:pPr>
      <w:rPr>
        <w:rFonts w:ascii="Symbol" w:hAnsi="Symbol" w:hint="default"/>
      </w:rPr>
    </w:lvl>
    <w:lvl w:ilvl="7" w:tplc="291C8ED4" w:tentative="1">
      <w:start w:val="1"/>
      <w:numFmt w:val="bullet"/>
      <w:lvlText w:val="o"/>
      <w:lvlJc w:val="left"/>
      <w:pPr>
        <w:ind w:left="5760" w:hanging="360"/>
      </w:pPr>
      <w:rPr>
        <w:rFonts w:ascii="Courier New" w:hAnsi="Courier New" w:hint="default"/>
      </w:rPr>
    </w:lvl>
    <w:lvl w:ilvl="8" w:tplc="C9E27034" w:tentative="1">
      <w:start w:val="1"/>
      <w:numFmt w:val="bullet"/>
      <w:lvlText w:val=""/>
      <w:lvlJc w:val="left"/>
      <w:pPr>
        <w:ind w:left="6480" w:hanging="360"/>
      </w:pPr>
      <w:rPr>
        <w:rFonts w:ascii="Wingdings" w:hAnsi="Wingdings" w:hint="default"/>
      </w:rPr>
    </w:lvl>
  </w:abstractNum>
  <w:abstractNum w:abstractNumId="520" w15:restartNumberingAfterBreak="0">
    <w:nsid w:val="73AB4572"/>
    <w:multiLevelType w:val="multilevel"/>
    <w:tmpl w:val="D914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73D164CF"/>
    <w:multiLevelType w:val="multilevel"/>
    <w:tmpl w:val="3DE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73E517C8"/>
    <w:multiLevelType w:val="hybridMultilevel"/>
    <w:tmpl w:val="2FC4BDB0"/>
    <w:lvl w:ilvl="0" w:tplc="B02E6288">
      <w:start w:val="1"/>
      <w:numFmt w:val="bullet"/>
      <w:lvlText w:val=""/>
      <w:lvlJc w:val="left"/>
      <w:pPr>
        <w:ind w:left="720" w:hanging="360"/>
      </w:pPr>
      <w:rPr>
        <w:rFonts w:ascii="Symbol" w:hAnsi="Symbol" w:hint="default"/>
      </w:rPr>
    </w:lvl>
    <w:lvl w:ilvl="1" w:tplc="802A60B6">
      <w:start w:val="1"/>
      <w:numFmt w:val="bullet"/>
      <w:lvlText w:val="o"/>
      <w:lvlJc w:val="left"/>
      <w:pPr>
        <w:ind w:left="1440" w:hanging="360"/>
      </w:pPr>
      <w:rPr>
        <w:rFonts w:ascii="Courier New" w:hAnsi="Courier New" w:hint="default"/>
      </w:rPr>
    </w:lvl>
    <w:lvl w:ilvl="2" w:tplc="B434D6F6">
      <w:start w:val="1"/>
      <w:numFmt w:val="bullet"/>
      <w:lvlText w:val=""/>
      <w:lvlJc w:val="left"/>
      <w:pPr>
        <w:ind w:left="2160" w:hanging="360"/>
      </w:pPr>
      <w:rPr>
        <w:rFonts w:ascii="Wingdings" w:hAnsi="Wingdings" w:hint="default"/>
      </w:rPr>
    </w:lvl>
    <w:lvl w:ilvl="3" w:tplc="4F4433C2">
      <w:start w:val="1"/>
      <w:numFmt w:val="bullet"/>
      <w:lvlText w:val=""/>
      <w:lvlJc w:val="left"/>
      <w:pPr>
        <w:ind w:left="2880" w:hanging="360"/>
      </w:pPr>
      <w:rPr>
        <w:rFonts w:ascii="Symbol" w:hAnsi="Symbol" w:hint="default"/>
      </w:rPr>
    </w:lvl>
    <w:lvl w:ilvl="4" w:tplc="F9F8672A">
      <w:start w:val="1"/>
      <w:numFmt w:val="bullet"/>
      <w:lvlText w:val="o"/>
      <w:lvlJc w:val="left"/>
      <w:pPr>
        <w:ind w:left="3600" w:hanging="360"/>
      </w:pPr>
      <w:rPr>
        <w:rFonts w:ascii="Courier New" w:hAnsi="Courier New" w:hint="default"/>
      </w:rPr>
    </w:lvl>
    <w:lvl w:ilvl="5" w:tplc="2256A564">
      <w:start w:val="1"/>
      <w:numFmt w:val="bullet"/>
      <w:lvlText w:val=""/>
      <w:lvlJc w:val="left"/>
      <w:pPr>
        <w:ind w:left="4320" w:hanging="360"/>
      </w:pPr>
      <w:rPr>
        <w:rFonts w:ascii="Wingdings" w:hAnsi="Wingdings" w:hint="default"/>
      </w:rPr>
    </w:lvl>
    <w:lvl w:ilvl="6" w:tplc="63820D9E">
      <w:start w:val="1"/>
      <w:numFmt w:val="bullet"/>
      <w:lvlText w:val=""/>
      <w:lvlJc w:val="left"/>
      <w:pPr>
        <w:ind w:left="5040" w:hanging="360"/>
      </w:pPr>
      <w:rPr>
        <w:rFonts w:ascii="Symbol" w:hAnsi="Symbol" w:hint="default"/>
      </w:rPr>
    </w:lvl>
    <w:lvl w:ilvl="7" w:tplc="D3C84624">
      <w:start w:val="1"/>
      <w:numFmt w:val="bullet"/>
      <w:lvlText w:val="o"/>
      <w:lvlJc w:val="left"/>
      <w:pPr>
        <w:ind w:left="5760" w:hanging="360"/>
      </w:pPr>
      <w:rPr>
        <w:rFonts w:ascii="Courier New" w:hAnsi="Courier New" w:hint="default"/>
      </w:rPr>
    </w:lvl>
    <w:lvl w:ilvl="8" w:tplc="3E42BB04">
      <w:start w:val="1"/>
      <w:numFmt w:val="bullet"/>
      <w:lvlText w:val=""/>
      <w:lvlJc w:val="left"/>
      <w:pPr>
        <w:ind w:left="6480" w:hanging="360"/>
      </w:pPr>
      <w:rPr>
        <w:rFonts w:ascii="Wingdings" w:hAnsi="Wingdings" w:hint="default"/>
      </w:rPr>
    </w:lvl>
  </w:abstractNum>
  <w:abstractNum w:abstractNumId="523" w15:restartNumberingAfterBreak="0">
    <w:nsid w:val="740200F4"/>
    <w:multiLevelType w:val="multilevel"/>
    <w:tmpl w:val="CC00A578"/>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4" w15:restartNumberingAfterBreak="0">
    <w:nsid w:val="74262C70"/>
    <w:multiLevelType w:val="multilevel"/>
    <w:tmpl w:val="07E8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744C5FB8"/>
    <w:multiLevelType w:val="hybridMultilevel"/>
    <w:tmpl w:val="BA7490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26" w15:restartNumberingAfterBreak="0">
    <w:nsid w:val="748F548E"/>
    <w:multiLevelType w:val="multilevel"/>
    <w:tmpl w:val="2926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74C45A26"/>
    <w:multiLevelType w:val="hybridMultilevel"/>
    <w:tmpl w:val="7BFE3586"/>
    <w:lvl w:ilvl="0" w:tplc="58D093A6">
      <w:start w:val="1"/>
      <w:numFmt w:val="bullet"/>
      <w:lvlText w:val=""/>
      <w:lvlJc w:val="left"/>
      <w:pPr>
        <w:ind w:left="720" w:hanging="360"/>
      </w:pPr>
      <w:rPr>
        <w:rFonts w:ascii="Symbol" w:hAnsi="Symbol" w:hint="default"/>
      </w:rPr>
    </w:lvl>
    <w:lvl w:ilvl="1" w:tplc="D0CCCD2C" w:tentative="1">
      <w:start w:val="1"/>
      <w:numFmt w:val="bullet"/>
      <w:lvlText w:val="o"/>
      <w:lvlJc w:val="left"/>
      <w:pPr>
        <w:ind w:left="1440" w:hanging="360"/>
      </w:pPr>
      <w:rPr>
        <w:rFonts w:ascii="Courier New" w:hAnsi="Courier New" w:hint="default"/>
      </w:rPr>
    </w:lvl>
    <w:lvl w:ilvl="2" w:tplc="908E1746" w:tentative="1">
      <w:start w:val="1"/>
      <w:numFmt w:val="bullet"/>
      <w:lvlText w:val=""/>
      <w:lvlJc w:val="left"/>
      <w:pPr>
        <w:ind w:left="2160" w:hanging="360"/>
      </w:pPr>
      <w:rPr>
        <w:rFonts w:ascii="Wingdings" w:hAnsi="Wingdings" w:hint="default"/>
      </w:rPr>
    </w:lvl>
    <w:lvl w:ilvl="3" w:tplc="440AAD90" w:tentative="1">
      <w:start w:val="1"/>
      <w:numFmt w:val="bullet"/>
      <w:lvlText w:val=""/>
      <w:lvlJc w:val="left"/>
      <w:pPr>
        <w:ind w:left="2880" w:hanging="360"/>
      </w:pPr>
      <w:rPr>
        <w:rFonts w:ascii="Symbol" w:hAnsi="Symbol" w:hint="default"/>
      </w:rPr>
    </w:lvl>
    <w:lvl w:ilvl="4" w:tplc="161C7E8A" w:tentative="1">
      <w:start w:val="1"/>
      <w:numFmt w:val="bullet"/>
      <w:lvlText w:val="o"/>
      <w:lvlJc w:val="left"/>
      <w:pPr>
        <w:ind w:left="3600" w:hanging="360"/>
      </w:pPr>
      <w:rPr>
        <w:rFonts w:ascii="Courier New" w:hAnsi="Courier New" w:hint="default"/>
      </w:rPr>
    </w:lvl>
    <w:lvl w:ilvl="5" w:tplc="089232DE" w:tentative="1">
      <w:start w:val="1"/>
      <w:numFmt w:val="bullet"/>
      <w:lvlText w:val=""/>
      <w:lvlJc w:val="left"/>
      <w:pPr>
        <w:ind w:left="4320" w:hanging="360"/>
      </w:pPr>
      <w:rPr>
        <w:rFonts w:ascii="Wingdings" w:hAnsi="Wingdings" w:hint="default"/>
      </w:rPr>
    </w:lvl>
    <w:lvl w:ilvl="6" w:tplc="BC34A4D8" w:tentative="1">
      <w:start w:val="1"/>
      <w:numFmt w:val="bullet"/>
      <w:lvlText w:val=""/>
      <w:lvlJc w:val="left"/>
      <w:pPr>
        <w:ind w:left="5040" w:hanging="360"/>
      </w:pPr>
      <w:rPr>
        <w:rFonts w:ascii="Symbol" w:hAnsi="Symbol" w:hint="default"/>
      </w:rPr>
    </w:lvl>
    <w:lvl w:ilvl="7" w:tplc="848459C8" w:tentative="1">
      <w:start w:val="1"/>
      <w:numFmt w:val="bullet"/>
      <w:lvlText w:val="o"/>
      <w:lvlJc w:val="left"/>
      <w:pPr>
        <w:ind w:left="5760" w:hanging="360"/>
      </w:pPr>
      <w:rPr>
        <w:rFonts w:ascii="Courier New" w:hAnsi="Courier New" w:hint="default"/>
      </w:rPr>
    </w:lvl>
    <w:lvl w:ilvl="8" w:tplc="C066B8A8" w:tentative="1">
      <w:start w:val="1"/>
      <w:numFmt w:val="bullet"/>
      <w:lvlText w:val=""/>
      <w:lvlJc w:val="left"/>
      <w:pPr>
        <w:ind w:left="6480" w:hanging="360"/>
      </w:pPr>
      <w:rPr>
        <w:rFonts w:ascii="Wingdings" w:hAnsi="Wingdings" w:hint="default"/>
      </w:rPr>
    </w:lvl>
  </w:abstractNum>
  <w:abstractNum w:abstractNumId="528" w15:restartNumberingAfterBreak="0">
    <w:nsid w:val="74D55AAA"/>
    <w:multiLevelType w:val="multilevel"/>
    <w:tmpl w:val="FAB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74EDD75B"/>
    <w:multiLevelType w:val="hybridMultilevel"/>
    <w:tmpl w:val="3AE24AF2"/>
    <w:lvl w:ilvl="0" w:tplc="92288E54">
      <w:start w:val="1"/>
      <w:numFmt w:val="bullet"/>
      <w:lvlText w:val="·"/>
      <w:lvlJc w:val="left"/>
      <w:pPr>
        <w:ind w:left="720" w:hanging="360"/>
      </w:pPr>
      <w:rPr>
        <w:rFonts w:ascii="Symbol" w:hAnsi="Symbol" w:hint="default"/>
      </w:rPr>
    </w:lvl>
    <w:lvl w:ilvl="1" w:tplc="C6263576">
      <w:start w:val="1"/>
      <w:numFmt w:val="bullet"/>
      <w:lvlText w:val="o"/>
      <w:lvlJc w:val="left"/>
      <w:pPr>
        <w:ind w:left="1440" w:hanging="360"/>
      </w:pPr>
      <w:rPr>
        <w:rFonts w:ascii="Courier New" w:hAnsi="Courier New" w:hint="default"/>
      </w:rPr>
    </w:lvl>
    <w:lvl w:ilvl="2" w:tplc="58705CBA">
      <w:start w:val="1"/>
      <w:numFmt w:val="bullet"/>
      <w:lvlText w:val=""/>
      <w:lvlJc w:val="left"/>
      <w:pPr>
        <w:ind w:left="2160" w:hanging="360"/>
      </w:pPr>
      <w:rPr>
        <w:rFonts w:ascii="Wingdings" w:hAnsi="Wingdings" w:hint="default"/>
      </w:rPr>
    </w:lvl>
    <w:lvl w:ilvl="3" w:tplc="A92C8E2C">
      <w:start w:val="1"/>
      <w:numFmt w:val="bullet"/>
      <w:lvlText w:val=""/>
      <w:lvlJc w:val="left"/>
      <w:pPr>
        <w:ind w:left="2880" w:hanging="360"/>
      </w:pPr>
      <w:rPr>
        <w:rFonts w:ascii="Symbol" w:hAnsi="Symbol" w:hint="default"/>
      </w:rPr>
    </w:lvl>
    <w:lvl w:ilvl="4" w:tplc="A1F48450">
      <w:start w:val="1"/>
      <w:numFmt w:val="bullet"/>
      <w:lvlText w:val="o"/>
      <w:lvlJc w:val="left"/>
      <w:pPr>
        <w:ind w:left="3600" w:hanging="360"/>
      </w:pPr>
      <w:rPr>
        <w:rFonts w:ascii="Courier New" w:hAnsi="Courier New" w:hint="default"/>
      </w:rPr>
    </w:lvl>
    <w:lvl w:ilvl="5" w:tplc="575E2E60">
      <w:start w:val="1"/>
      <w:numFmt w:val="bullet"/>
      <w:lvlText w:val=""/>
      <w:lvlJc w:val="left"/>
      <w:pPr>
        <w:ind w:left="4320" w:hanging="360"/>
      </w:pPr>
      <w:rPr>
        <w:rFonts w:ascii="Wingdings" w:hAnsi="Wingdings" w:hint="default"/>
      </w:rPr>
    </w:lvl>
    <w:lvl w:ilvl="6" w:tplc="9B70953E">
      <w:start w:val="1"/>
      <w:numFmt w:val="bullet"/>
      <w:lvlText w:val=""/>
      <w:lvlJc w:val="left"/>
      <w:pPr>
        <w:ind w:left="5040" w:hanging="360"/>
      </w:pPr>
      <w:rPr>
        <w:rFonts w:ascii="Symbol" w:hAnsi="Symbol" w:hint="default"/>
      </w:rPr>
    </w:lvl>
    <w:lvl w:ilvl="7" w:tplc="E0165584">
      <w:start w:val="1"/>
      <w:numFmt w:val="bullet"/>
      <w:lvlText w:val="o"/>
      <w:lvlJc w:val="left"/>
      <w:pPr>
        <w:ind w:left="5760" w:hanging="360"/>
      </w:pPr>
      <w:rPr>
        <w:rFonts w:ascii="Courier New" w:hAnsi="Courier New" w:hint="default"/>
      </w:rPr>
    </w:lvl>
    <w:lvl w:ilvl="8" w:tplc="09EC15C0">
      <w:start w:val="1"/>
      <w:numFmt w:val="bullet"/>
      <w:lvlText w:val=""/>
      <w:lvlJc w:val="left"/>
      <w:pPr>
        <w:ind w:left="6480" w:hanging="360"/>
      </w:pPr>
      <w:rPr>
        <w:rFonts w:ascii="Wingdings" w:hAnsi="Wingdings" w:hint="default"/>
      </w:rPr>
    </w:lvl>
  </w:abstractNum>
  <w:abstractNum w:abstractNumId="530" w15:restartNumberingAfterBreak="0">
    <w:nsid w:val="74F52912"/>
    <w:multiLevelType w:val="hybridMultilevel"/>
    <w:tmpl w:val="BCD84B60"/>
    <w:lvl w:ilvl="0" w:tplc="FFFFFFFF">
      <w:start w:val="1"/>
      <w:numFmt w:val="bullet"/>
      <w:lvlText w:val=""/>
      <w:lvlJc w:val="left"/>
      <w:pPr>
        <w:ind w:left="720" w:hanging="360"/>
      </w:pPr>
      <w:rPr>
        <w:rFonts w:ascii="Symbol" w:hAnsi="Symbol" w:hint="default"/>
      </w:rPr>
    </w:lvl>
    <w:lvl w:ilvl="1" w:tplc="907EB212" w:tentative="1">
      <w:start w:val="1"/>
      <w:numFmt w:val="bullet"/>
      <w:lvlText w:val="o"/>
      <w:lvlJc w:val="left"/>
      <w:pPr>
        <w:ind w:left="1440" w:hanging="360"/>
      </w:pPr>
      <w:rPr>
        <w:rFonts w:ascii="Courier New" w:hAnsi="Courier New" w:hint="default"/>
      </w:rPr>
    </w:lvl>
    <w:lvl w:ilvl="2" w:tplc="D7323278" w:tentative="1">
      <w:start w:val="1"/>
      <w:numFmt w:val="bullet"/>
      <w:lvlText w:val=""/>
      <w:lvlJc w:val="left"/>
      <w:pPr>
        <w:ind w:left="2160" w:hanging="360"/>
      </w:pPr>
      <w:rPr>
        <w:rFonts w:ascii="Wingdings" w:hAnsi="Wingdings" w:hint="default"/>
      </w:rPr>
    </w:lvl>
    <w:lvl w:ilvl="3" w:tplc="7A2C6BF4" w:tentative="1">
      <w:start w:val="1"/>
      <w:numFmt w:val="bullet"/>
      <w:lvlText w:val=""/>
      <w:lvlJc w:val="left"/>
      <w:pPr>
        <w:ind w:left="2880" w:hanging="360"/>
      </w:pPr>
      <w:rPr>
        <w:rFonts w:ascii="Symbol" w:hAnsi="Symbol" w:hint="default"/>
      </w:rPr>
    </w:lvl>
    <w:lvl w:ilvl="4" w:tplc="F62A555C" w:tentative="1">
      <w:start w:val="1"/>
      <w:numFmt w:val="bullet"/>
      <w:lvlText w:val="o"/>
      <w:lvlJc w:val="left"/>
      <w:pPr>
        <w:ind w:left="3600" w:hanging="360"/>
      </w:pPr>
      <w:rPr>
        <w:rFonts w:ascii="Courier New" w:hAnsi="Courier New" w:hint="default"/>
      </w:rPr>
    </w:lvl>
    <w:lvl w:ilvl="5" w:tplc="0BAE8850" w:tentative="1">
      <w:start w:val="1"/>
      <w:numFmt w:val="bullet"/>
      <w:lvlText w:val=""/>
      <w:lvlJc w:val="left"/>
      <w:pPr>
        <w:ind w:left="4320" w:hanging="360"/>
      </w:pPr>
      <w:rPr>
        <w:rFonts w:ascii="Wingdings" w:hAnsi="Wingdings" w:hint="default"/>
      </w:rPr>
    </w:lvl>
    <w:lvl w:ilvl="6" w:tplc="FCF84706" w:tentative="1">
      <w:start w:val="1"/>
      <w:numFmt w:val="bullet"/>
      <w:lvlText w:val=""/>
      <w:lvlJc w:val="left"/>
      <w:pPr>
        <w:ind w:left="5040" w:hanging="360"/>
      </w:pPr>
      <w:rPr>
        <w:rFonts w:ascii="Symbol" w:hAnsi="Symbol" w:hint="default"/>
      </w:rPr>
    </w:lvl>
    <w:lvl w:ilvl="7" w:tplc="3A7405F0" w:tentative="1">
      <w:start w:val="1"/>
      <w:numFmt w:val="bullet"/>
      <w:lvlText w:val="o"/>
      <w:lvlJc w:val="left"/>
      <w:pPr>
        <w:ind w:left="5760" w:hanging="360"/>
      </w:pPr>
      <w:rPr>
        <w:rFonts w:ascii="Courier New" w:hAnsi="Courier New" w:hint="default"/>
      </w:rPr>
    </w:lvl>
    <w:lvl w:ilvl="8" w:tplc="2CA03AAE" w:tentative="1">
      <w:start w:val="1"/>
      <w:numFmt w:val="bullet"/>
      <w:lvlText w:val=""/>
      <w:lvlJc w:val="left"/>
      <w:pPr>
        <w:ind w:left="6480" w:hanging="360"/>
      </w:pPr>
      <w:rPr>
        <w:rFonts w:ascii="Wingdings" w:hAnsi="Wingdings" w:hint="default"/>
      </w:rPr>
    </w:lvl>
  </w:abstractNum>
  <w:abstractNum w:abstractNumId="531" w15:restartNumberingAfterBreak="0">
    <w:nsid w:val="750C17D2"/>
    <w:multiLevelType w:val="multilevel"/>
    <w:tmpl w:val="B05EBC5C"/>
    <w:lvl w:ilvl="0">
      <w:start w:val="1"/>
      <w:numFmt w:val="decimal"/>
      <w:pStyle w:val="H1"/>
      <w:lvlText w:val="%1."/>
      <w:lvlJc w:val="left"/>
      <w:pPr>
        <w:ind w:left="360" w:hanging="360"/>
      </w:pPr>
      <w:rPr>
        <w:rFonts w:hint="default"/>
      </w:rPr>
    </w:lvl>
    <w:lvl w:ilvl="1">
      <w:start w:val="1"/>
      <w:numFmt w:val="decimal"/>
      <w:pStyle w:val="h2"/>
      <w:lvlText w:val="%1.%2."/>
      <w:lvlJc w:val="left"/>
      <w:pPr>
        <w:ind w:left="792" w:hanging="432"/>
      </w:pPr>
      <w:rPr>
        <w:rFonts w:hint="default"/>
        <w:color w:val="358189"/>
      </w:rPr>
    </w:lvl>
    <w:lvl w:ilvl="2">
      <w:start w:val="1"/>
      <w:numFmt w:val="decimal"/>
      <w:pStyle w:val="H3"/>
      <w:lvlText w:val="%1.%2.%3."/>
      <w:lvlJc w:val="left"/>
      <w:pPr>
        <w:ind w:left="1224" w:hanging="504"/>
      </w:pPr>
      <w:rPr>
        <w:rFonts w:hint="default"/>
        <w:i w:val="0"/>
        <w:iCs/>
        <w:color w:val="358189"/>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2" w15:restartNumberingAfterBreak="0">
    <w:nsid w:val="7587F3F1"/>
    <w:multiLevelType w:val="hybridMultilevel"/>
    <w:tmpl w:val="845097E6"/>
    <w:lvl w:ilvl="0" w:tplc="F4ECC310">
      <w:start w:val="1"/>
      <w:numFmt w:val="bullet"/>
      <w:lvlText w:val=""/>
      <w:lvlJc w:val="left"/>
      <w:pPr>
        <w:ind w:left="720" w:hanging="360"/>
      </w:pPr>
      <w:rPr>
        <w:rFonts w:ascii="Symbol" w:hAnsi="Symbol" w:hint="default"/>
      </w:rPr>
    </w:lvl>
    <w:lvl w:ilvl="1" w:tplc="C09A75AC">
      <w:start w:val="1"/>
      <w:numFmt w:val="bullet"/>
      <w:lvlText w:val="o"/>
      <w:lvlJc w:val="left"/>
      <w:pPr>
        <w:ind w:left="1440" w:hanging="360"/>
      </w:pPr>
      <w:rPr>
        <w:rFonts w:ascii="Courier New" w:hAnsi="Courier New" w:hint="default"/>
      </w:rPr>
    </w:lvl>
    <w:lvl w:ilvl="2" w:tplc="C2304BA4">
      <w:start w:val="1"/>
      <w:numFmt w:val="bullet"/>
      <w:lvlText w:val=""/>
      <w:lvlJc w:val="left"/>
      <w:pPr>
        <w:ind w:left="2160" w:hanging="360"/>
      </w:pPr>
      <w:rPr>
        <w:rFonts w:ascii="Wingdings" w:hAnsi="Wingdings" w:hint="default"/>
      </w:rPr>
    </w:lvl>
    <w:lvl w:ilvl="3" w:tplc="564031BE">
      <w:start w:val="1"/>
      <w:numFmt w:val="bullet"/>
      <w:lvlText w:val=""/>
      <w:lvlJc w:val="left"/>
      <w:pPr>
        <w:ind w:left="2880" w:hanging="360"/>
      </w:pPr>
      <w:rPr>
        <w:rFonts w:ascii="Symbol" w:hAnsi="Symbol" w:hint="default"/>
      </w:rPr>
    </w:lvl>
    <w:lvl w:ilvl="4" w:tplc="BCB267DC">
      <w:start w:val="1"/>
      <w:numFmt w:val="bullet"/>
      <w:lvlText w:val="o"/>
      <w:lvlJc w:val="left"/>
      <w:pPr>
        <w:ind w:left="3600" w:hanging="360"/>
      </w:pPr>
      <w:rPr>
        <w:rFonts w:ascii="Courier New" w:hAnsi="Courier New" w:hint="default"/>
      </w:rPr>
    </w:lvl>
    <w:lvl w:ilvl="5" w:tplc="F7287972">
      <w:start w:val="1"/>
      <w:numFmt w:val="bullet"/>
      <w:lvlText w:val=""/>
      <w:lvlJc w:val="left"/>
      <w:pPr>
        <w:ind w:left="4320" w:hanging="360"/>
      </w:pPr>
      <w:rPr>
        <w:rFonts w:ascii="Wingdings" w:hAnsi="Wingdings" w:hint="default"/>
      </w:rPr>
    </w:lvl>
    <w:lvl w:ilvl="6" w:tplc="8CDA073C">
      <w:start w:val="1"/>
      <w:numFmt w:val="bullet"/>
      <w:lvlText w:val=""/>
      <w:lvlJc w:val="left"/>
      <w:pPr>
        <w:ind w:left="5040" w:hanging="360"/>
      </w:pPr>
      <w:rPr>
        <w:rFonts w:ascii="Symbol" w:hAnsi="Symbol" w:hint="default"/>
      </w:rPr>
    </w:lvl>
    <w:lvl w:ilvl="7" w:tplc="F8602DA6">
      <w:start w:val="1"/>
      <w:numFmt w:val="bullet"/>
      <w:lvlText w:val="o"/>
      <w:lvlJc w:val="left"/>
      <w:pPr>
        <w:ind w:left="5760" w:hanging="360"/>
      </w:pPr>
      <w:rPr>
        <w:rFonts w:ascii="Courier New" w:hAnsi="Courier New" w:hint="default"/>
      </w:rPr>
    </w:lvl>
    <w:lvl w:ilvl="8" w:tplc="B5449992">
      <w:start w:val="1"/>
      <w:numFmt w:val="bullet"/>
      <w:lvlText w:val=""/>
      <w:lvlJc w:val="left"/>
      <w:pPr>
        <w:ind w:left="6480" w:hanging="360"/>
      </w:pPr>
      <w:rPr>
        <w:rFonts w:ascii="Wingdings" w:hAnsi="Wingdings" w:hint="default"/>
      </w:rPr>
    </w:lvl>
  </w:abstractNum>
  <w:abstractNum w:abstractNumId="533" w15:restartNumberingAfterBreak="0">
    <w:nsid w:val="759A7090"/>
    <w:multiLevelType w:val="multilevel"/>
    <w:tmpl w:val="206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75D364D0"/>
    <w:multiLevelType w:val="hybridMultilevel"/>
    <w:tmpl w:val="BC221E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5" w15:restartNumberingAfterBreak="0">
    <w:nsid w:val="763E6BCB"/>
    <w:multiLevelType w:val="hybridMultilevel"/>
    <w:tmpl w:val="2E64FEE4"/>
    <w:lvl w:ilvl="0" w:tplc="F738B0F4">
      <w:start w:val="1"/>
      <w:numFmt w:val="bullet"/>
      <w:lvlText w:val=""/>
      <w:lvlJc w:val="left"/>
      <w:pPr>
        <w:ind w:left="1440" w:hanging="360"/>
      </w:pPr>
      <w:rPr>
        <w:rFonts w:ascii="Symbol" w:hAnsi="Symbol" w:hint="default"/>
      </w:rPr>
    </w:lvl>
    <w:lvl w:ilvl="1" w:tplc="F9E09452" w:tentative="1">
      <w:start w:val="1"/>
      <w:numFmt w:val="bullet"/>
      <w:lvlText w:val="o"/>
      <w:lvlJc w:val="left"/>
      <w:pPr>
        <w:ind w:left="2160" w:hanging="360"/>
      </w:pPr>
      <w:rPr>
        <w:rFonts w:ascii="Courier New" w:hAnsi="Courier New" w:hint="default"/>
      </w:rPr>
    </w:lvl>
    <w:lvl w:ilvl="2" w:tplc="767250A0" w:tentative="1">
      <w:start w:val="1"/>
      <w:numFmt w:val="bullet"/>
      <w:lvlText w:val=""/>
      <w:lvlJc w:val="left"/>
      <w:pPr>
        <w:ind w:left="2880" w:hanging="360"/>
      </w:pPr>
      <w:rPr>
        <w:rFonts w:ascii="Wingdings" w:hAnsi="Wingdings" w:hint="default"/>
      </w:rPr>
    </w:lvl>
    <w:lvl w:ilvl="3" w:tplc="7EECCC82" w:tentative="1">
      <w:start w:val="1"/>
      <w:numFmt w:val="bullet"/>
      <w:lvlText w:val=""/>
      <w:lvlJc w:val="left"/>
      <w:pPr>
        <w:ind w:left="3600" w:hanging="360"/>
      </w:pPr>
      <w:rPr>
        <w:rFonts w:ascii="Symbol" w:hAnsi="Symbol" w:hint="default"/>
      </w:rPr>
    </w:lvl>
    <w:lvl w:ilvl="4" w:tplc="4D80A61E" w:tentative="1">
      <w:start w:val="1"/>
      <w:numFmt w:val="bullet"/>
      <w:lvlText w:val="o"/>
      <w:lvlJc w:val="left"/>
      <w:pPr>
        <w:ind w:left="4320" w:hanging="360"/>
      </w:pPr>
      <w:rPr>
        <w:rFonts w:ascii="Courier New" w:hAnsi="Courier New" w:hint="default"/>
      </w:rPr>
    </w:lvl>
    <w:lvl w:ilvl="5" w:tplc="408EF0AA" w:tentative="1">
      <w:start w:val="1"/>
      <w:numFmt w:val="bullet"/>
      <w:lvlText w:val=""/>
      <w:lvlJc w:val="left"/>
      <w:pPr>
        <w:ind w:left="5040" w:hanging="360"/>
      </w:pPr>
      <w:rPr>
        <w:rFonts w:ascii="Wingdings" w:hAnsi="Wingdings" w:hint="default"/>
      </w:rPr>
    </w:lvl>
    <w:lvl w:ilvl="6" w:tplc="5A862B80" w:tentative="1">
      <w:start w:val="1"/>
      <w:numFmt w:val="bullet"/>
      <w:lvlText w:val=""/>
      <w:lvlJc w:val="left"/>
      <w:pPr>
        <w:ind w:left="5760" w:hanging="360"/>
      </w:pPr>
      <w:rPr>
        <w:rFonts w:ascii="Symbol" w:hAnsi="Symbol" w:hint="default"/>
      </w:rPr>
    </w:lvl>
    <w:lvl w:ilvl="7" w:tplc="3A0C35EA" w:tentative="1">
      <w:start w:val="1"/>
      <w:numFmt w:val="bullet"/>
      <w:lvlText w:val="o"/>
      <w:lvlJc w:val="left"/>
      <w:pPr>
        <w:ind w:left="6480" w:hanging="360"/>
      </w:pPr>
      <w:rPr>
        <w:rFonts w:ascii="Courier New" w:hAnsi="Courier New" w:hint="default"/>
      </w:rPr>
    </w:lvl>
    <w:lvl w:ilvl="8" w:tplc="B04CE95A" w:tentative="1">
      <w:start w:val="1"/>
      <w:numFmt w:val="bullet"/>
      <w:lvlText w:val=""/>
      <w:lvlJc w:val="left"/>
      <w:pPr>
        <w:ind w:left="7200" w:hanging="360"/>
      </w:pPr>
      <w:rPr>
        <w:rFonts w:ascii="Wingdings" w:hAnsi="Wingdings" w:hint="default"/>
      </w:rPr>
    </w:lvl>
  </w:abstractNum>
  <w:abstractNum w:abstractNumId="536" w15:restartNumberingAfterBreak="0">
    <w:nsid w:val="764039EF"/>
    <w:multiLevelType w:val="hybridMultilevel"/>
    <w:tmpl w:val="CF663760"/>
    <w:lvl w:ilvl="0" w:tplc="2996D4F2">
      <w:start w:val="1"/>
      <w:numFmt w:val="bullet"/>
      <w:lvlText w:val=""/>
      <w:lvlJc w:val="left"/>
      <w:pPr>
        <w:ind w:left="720" w:hanging="360"/>
      </w:pPr>
      <w:rPr>
        <w:rFonts w:ascii="Symbol" w:hAnsi="Symbol" w:hint="default"/>
      </w:rPr>
    </w:lvl>
    <w:lvl w:ilvl="1" w:tplc="CD00F174" w:tentative="1">
      <w:start w:val="1"/>
      <w:numFmt w:val="bullet"/>
      <w:lvlText w:val="o"/>
      <w:lvlJc w:val="left"/>
      <w:pPr>
        <w:ind w:left="1440" w:hanging="360"/>
      </w:pPr>
      <w:rPr>
        <w:rFonts w:ascii="Courier New" w:hAnsi="Courier New" w:hint="default"/>
      </w:rPr>
    </w:lvl>
    <w:lvl w:ilvl="2" w:tplc="9CBA0862" w:tentative="1">
      <w:start w:val="1"/>
      <w:numFmt w:val="bullet"/>
      <w:lvlText w:val=""/>
      <w:lvlJc w:val="left"/>
      <w:pPr>
        <w:ind w:left="2160" w:hanging="360"/>
      </w:pPr>
      <w:rPr>
        <w:rFonts w:ascii="Wingdings" w:hAnsi="Wingdings" w:hint="default"/>
      </w:rPr>
    </w:lvl>
    <w:lvl w:ilvl="3" w:tplc="FF92076C" w:tentative="1">
      <w:start w:val="1"/>
      <w:numFmt w:val="bullet"/>
      <w:lvlText w:val=""/>
      <w:lvlJc w:val="left"/>
      <w:pPr>
        <w:ind w:left="2880" w:hanging="360"/>
      </w:pPr>
      <w:rPr>
        <w:rFonts w:ascii="Symbol" w:hAnsi="Symbol" w:hint="default"/>
      </w:rPr>
    </w:lvl>
    <w:lvl w:ilvl="4" w:tplc="3AD8D7C4" w:tentative="1">
      <w:start w:val="1"/>
      <w:numFmt w:val="bullet"/>
      <w:lvlText w:val="o"/>
      <w:lvlJc w:val="left"/>
      <w:pPr>
        <w:ind w:left="3600" w:hanging="360"/>
      </w:pPr>
      <w:rPr>
        <w:rFonts w:ascii="Courier New" w:hAnsi="Courier New" w:hint="default"/>
      </w:rPr>
    </w:lvl>
    <w:lvl w:ilvl="5" w:tplc="1EAE754E" w:tentative="1">
      <w:start w:val="1"/>
      <w:numFmt w:val="bullet"/>
      <w:lvlText w:val=""/>
      <w:lvlJc w:val="left"/>
      <w:pPr>
        <w:ind w:left="4320" w:hanging="360"/>
      </w:pPr>
      <w:rPr>
        <w:rFonts w:ascii="Wingdings" w:hAnsi="Wingdings" w:hint="default"/>
      </w:rPr>
    </w:lvl>
    <w:lvl w:ilvl="6" w:tplc="9B5A61EA" w:tentative="1">
      <w:start w:val="1"/>
      <w:numFmt w:val="bullet"/>
      <w:lvlText w:val=""/>
      <w:lvlJc w:val="left"/>
      <w:pPr>
        <w:ind w:left="5040" w:hanging="360"/>
      </w:pPr>
      <w:rPr>
        <w:rFonts w:ascii="Symbol" w:hAnsi="Symbol" w:hint="default"/>
      </w:rPr>
    </w:lvl>
    <w:lvl w:ilvl="7" w:tplc="C44C1A50" w:tentative="1">
      <w:start w:val="1"/>
      <w:numFmt w:val="bullet"/>
      <w:lvlText w:val="o"/>
      <w:lvlJc w:val="left"/>
      <w:pPr>
        <w:ind w:left="5760" w:hanging="360"/>
      </w:pPr>
      <w:rPr>
        <w:rFonts w:ascii="Courier New" w:hAnsi="Courier New" w:hint="default"/>
      </w:rPr>
    </w:lvl>
    <w:lvl w:ilvl="8" w:tplc="CA883DA4" w:tentative="1">
      <w:start w:val="1"/>
      <w:numFmt w:val="bullet"/>
      <w:lvlText w:val=""/>
      <w:lvlJc w:val="left"/>
      <w:pPr>
        <w:ind w:left="6480" w:hanging="360"/>
      </w:pPr>
      <w:rPr>
        <w:rFonts w:ascii="Wingdings" w:hAnsi="Wingdings" w:hint="default"/>
      </w:rPr>
    </w:lvl>
  </w:abstractNum>
  <w:abstractNum w:abstractNumId="537" w15:restartNumberingAfterBreak="0">
    <w:nsid w:val="766675DF"/>
    <w:multiLevelType w:val="hybridMultilevel"/>
    <w:tmpl w:val="5DC0F83E"/>
    <w:lvl w:ilvl="0" w:tplc="E750A040">
      <w:start w:val="1"/>
      <w:numFmt w:val="bullet"/>
      <w:lvlText w:val=""/>
      <w:lvlJc w:val="left"/>
      <w:pPr>
        <w:ind w:left="360" w:hanging="360"/>
      </w:pPr>
      <w:rPr>
        <w:rFonts w:ascii="Symbol" w:hAnsi="Symbol" w:hint="default"/>
      </w:rPr>
    </w:lvl>
    <w:lvl w:ilvl="1" w:tplc="65F848EC">
      <w:start w:val="1"/>
      <w:numFmt w:val="bullet"/>
      <w:lvlText w:val="o"/>
      <w:lvlJc w:val="left"/>
      <w:pPr>
        <w:ind w:left="1080" w:hanging="360"/>
      </w:pPr>
      <w:rPr>
        <w:rFonts w:ascii="Courier New" w:hAnsi="Courier New" w:hint="default"/>
      </w:rPr>
    </w:lvl>
    <w:lvl w:ilvl="2" w:tplc="193E9E38" w:tentative="1">
      <w:start w:val="1"/>
      <w:numFmt w:val="bullet"/>
      <w:lvlText w:val=""/>
      <w:lvlJc w:val="left"/>
      <w:pPr>
        <w:ind w:left="1800" w:hanging="360"/>
      </w:pPr>
      <w:rPr>
        <w:rFonts w:ascii="Wingdings" w:hAnsi="Wingdings" w:hint="default"/>
      </w:rPr>
    </w:lvl>
    <w:lvl w:ilvl="3" w:tplc="33CED484" w:tentative="1">
      <w:start w:val="1"/>
      <w:numFmt w:val="bullet"/>
      <w:lvlText w:val=""/>
      <w:lvlJc w:val="left"/>
      <w:pPr>
        <w:ind w:left="2520" w:hanging="360"/>
      </w:pPr>
      <w:rPr>
        <w:rFonts w:ascii="Symbol" w:hAnsi="Symbol" w:hint="default"/>
      </w:rPr>
    </w:lvl>
    <w:lvl w:ilvl="4" w:tplc="8064EB06" w:tentative="1">
      <w:start w:val="1"/>
      <w:numFmt w:val="bullet"/>
      <w:lvlText w:val="o"/>
      <w:lvlJc w:val="left"/>
      <w:pPr>
        <w:ind w:left="3240" w:hanging="360"/>
      </w:pPr>
      <w:rPr>
        <w:rFonts w:ascii="Courier New" w:hAnsi="Courier New" w:hint="default"/>
      </w:rPr>
    </w:lvl>
    <w:lvl w:ilvl="5" w:tplc="C97C25F4" w:tentative="1">
      <w:start w:val="1"/>
      <w:numFmt w:val="bullet"/>
      <w:lvlText w:val=""/>
      <w:lvlJc w:val="left"/>
      <w:pPr>
        <w:ind w:left="3960" w:hanging="360"/>
      </w:pPr>
      <w:rPr>
        <w:rFonts w:ascii="Wingdings" w:hAnsi="Wingdings" w:hint="default"/>
      </w:rPr>
    </w:lvl>
    <w:lvl w:ilvl="6" w:tplc="8222EEB2" w:tentative="1">
      <w:start w:val="1"/>
      <w:numFmt w:val="bullet"/>
      <w:lvlText w:val=""/>
      <w:lvlJc w:val="left"/>
      <w:pPr>
        <w:ind w:left="4680" w:hanging="360"/>
      </w:pPr>
      <w:rPr>
        <w:rFonts w:ascii="Symbol" w:hAnsi="Symbol" w:hint="default"/>
      </w:rPr>
    </w:lvl>
    <w:lvl w:ilvl="7" w:tplc="A6467606" w:tentative="1">
      <w:start w:val="1"/>
      <w:numFmt w:val="bullet"/>
      <w:lvlText w:val="o"/>
      <w:lvlJc w:val="left"/>
      <w:pPr>
        <w:ind w:left="5400" w:hanging="360"/>
      </w:pPr>
      <w:rPr>
        <w:rFonts w:ascii="Courier New" w:hAnsi="Courier New" w:hint="default"/>
      </w:rPr>
    </w:lvl>
    <w:lvl w:ilvl="8" w:tplc="352E8000" w:tentative="1">
      <w:start w:val="1"/>
      <w:numFmt w:val="bullet"/>
      <w:lvlText w:val=""/>
      <w:lvlJc w:val="left"/>
      <w:pPr>
        <w:ind w:left="6120" w:hanging="360"/>
      </w:pPr>
      <w:rPr>
        <w:rFonts w:ascii="Wingdings" w:hAnsi="Wingdings" w:hint="default"/>
      </w:rPr>
    </w:lvl>
  </w:abstractNum>
  <w:abstractNum w:abstractNumId="538" w15:restartNumberingAfterBreak="0">
    <w:nsid w:val="76AACCD0"/>
    <w:multiLevelType w:val="hybridMultilevel"/>
    <w:tmpl w:val="FFFFFFFF"/>
    <w:lvl w:ilvl="0" w:tplc="9D787528">
      <w:start w:val="1"/>
      <w:numFmt w:val="bullet"/>
      <w:lvlText w:val=""/>
      <w:lvlJc w:val="left"/>
      <w:pPr>
        <w:ind w:left="720" w:hanging="360"/>
      </w:pPr>
      <w:rPr>
        <w:rFonts w:ascii="Symbol" w:hAnsi="Symbol" w:hint="default"/>
      </w:rPr>
    </w:lvl>
    <w:lvl w:ilvl="1" w:tplc="FAC6187E">
      <w:start w:val="1"/>
      <w:numFmt w:val="bullet"/>
      <w:lvlText w:val="o"/>
      <w:lvlJc w:val="left"/>
      <w:pPr>
        <w:ind w:left="1440" w:hanging="360"/>
      </w:pPr>
      <w:rPr>
        <w:rFonts w:ascii="Courier New" w:hAnsi="Courier New" w:hint="default"/>
      </w:rPr>
    </w:lvl>
    <w:lvl w:ilvl="2" w:tplc="E6747EFA">
      <w:start w:val="1"/>
      <w:numFmt w:val="bullet"/>
      <w:lvlText w:val=""/>
      <w:lvlJc w:val="left"/>
      <w:pPr>
        <w:ind w:left="2160" w:hanging="360"/>
      </w:pPr>
      <w:rPr>
        <w:rFonts w:ascii="Wingdings" w:hAnsi="Wingdings" w:hint="default"/>
      </w:rPr>
    </w:lvl>
    <w:lvl w:ilvl="3" w:tplc="BEE27454">
      <w:start w:val="1"/>
      <w:numFmt w:val="bullet"/>
      <w:lvlText w:val=""/>
      <w:lvlJc w:val="left"/>
      <w:pPr>
        <w:ind w:left="2880" w:hanging="360"/>
      </w:pPr>
      <w:rPr>
        <w:rFonts w:ascii="Symbol" w:hAnsi="Symbol" w:hint="default"/>
      </w:rPr>
    </w:lvl>
    <w:lvl w:ilvl="4" w:tplc="28D860EC">
      <w:start w:val="1"/>
      <w:numFmt w:val="bullet"/>
      <w:lvlText w:val="o"/>
      <w:lvlJc w:val="left"/>
      <w:pPr>
        <w:ind w:left="3600" w:hanging="360"/>
      </w:pPr>
      <w:rPr>
        <w:rFonts w:ascii="Courier New" w:hAnsi="Courier New" w:hint="default"/>
      </w:rPr>
    </w:lvl>
    <w:lvl w:ilvl="5" w:tplc="B40A57EA">
      <w:start w:val="1"/>
      <w:numFmt w:val="bullet"/>
      <w:lvlText w:val=""/>
      <w:lvlJc w:val="left"/>
      <w:pPr>
        <w:ind w:left="4320" w:hanging="360"/>
      </w:pPr>
      <w:rPr>
        <w:rFonts w:ascii="Wingdings" w:hAnsi="Wingdings" w:hint="default"/>
      </w:rPr>
    </w:lvl>
    <w:lvl w:ilvl="6" w:tplc="0748C154">
      <w:start w:val="1"/>
      <w:numFmt w:val="bullet"/>
      <w:lvlText w:val=""/>
      <w:lvlJc w:val="left"/>
      <w:pPr>
        <w:ind w:left="5040" w:hanging="360"/>
      </w:pPr>
      <w:rPr>
        <w:rFonts w:ascii="Symbol" w:hAnsi="Symbol" w:hint="default"/>
      </w:rPr>
    </w:lvl>
    <w:lvl w:ilvl="7" w:tplc="5202752C">
      <w:start w:val="1"/>
      <w:numFmt w:val="bullet"/>
      <w:lvlText w:val="o"/>
      <w:lvlJc w:val="left"/>
      <w:pPr>
        <w:ind w:left="5760" w:hanging="360"/>
      </w:pPr>
      <w:rPr>
        <w:rFonts w:ascii="Courier New" w:hAnsi="Courier New" w:hint="default"/>
      </w:rPr>
    </w:lvl>
    <w:lvl w:ilvl="8" w:tplc="98687AAE">
      <w:start w:val="1"/>
      <w:numFmt w:val="bullet"/>
      <w:lvlText w:val=""/>
      <w:lvlJc w:val="left"/>
      <w:pPr>
        <w:ind w:left="6480" w:hanging="360"/>
      </w:pPr>
      <w:rPr>
        <w:rFonts w:ascii="Wingdings" w:hAnsi="Wingdings" w:hint="default"/>
      </w:rPr>
    </w:lvl>
  </w:abstractNum>
  <w:abstractNum w:abstractNumId="539" w15:restartNumberingAfterBreak="0">
    <w:nsid w:val="76C41C73"/>
    <w:multiLevelType w:val="hybridMultilevel"/>
    <w:tmpl w:val="94F282E2"/>
    <w:lvl w:ilvl="0" w:tplc="9690A6EE">
      <w:start w:val="1"/>
      <w:numFmt w:val="bullet"/>
      <w:lvlText w:val=""/>
      <w:lvlJc w:val="left"/>
      <w:pPr>
        <w:ind w:left="720" w:hanging="360"/>
      </w:pPr>
      <w:rPr>
        <w:rFonts w:ascii="Symbol" w:hAnsi="Symbol" w:hint="default"/>
      </w:rPr>
    </w:lvl>
    <w:lvl w:ilvl="1" w:tplc="6C265E4A">
      <w:start w:val="1"/>
      <w:numFmt w:val="bullet"/>
      <w:lvlText w:val="o"/>
      <w:lvlJc w:val="left"/>
      <w:pPr>
        <w:ind w:left="1440" w:hanging="360"/>
      </w:pPr>
      <w:rPr>
        <w:rFonts w:ascii="Courier New" w:hAnsi="Courier New" w:hint="default"/>
      </w:rPr>
    </w:lvl>
    <w:lvl w:ilvl="2" w:tplc="C1E025B2" w:tentative="1">
      <w:start w:val="1"/>
      <w:numFmt w:val="bullet"/>
      <w:lvlText w:val=""/>
      <w:lvlJc w:val="left"/>
      <w:pPr>
        <w:ind w:left="2160" w:hanging="360"/>
      </w:pPr>
      <w:rPr>
        <w:rFonts w:ascii="Wingdings" w:hAnsi="Wingdings" w:hint="default"/>
      </w:rPr>
    </w:lvl>
    <w:lvl w:ilvl="3" w:tplc="7D92DB50" w:tentative="1">
      <w:start w:val="1"/>
      <w:numFmt w:val="bullet"/>
      <w:lvlText w:val=""/>
      <w:lvlJc w:val="left"/>
      <w:pPr>
        <w:ind w:left="2880" w:hanging="360"/>
      </w:pPr>
      <w:rPr>
        <w:rFonts w:ascii="Symbol" w:hAnsi="Symbol" w:hint="default"/>
      </w:rPr>
    </w:lvl>
    <w:lvl w:ilvl="4" w:tplc="0FB858EE" w:tentative="1">
      <w:start w:val="1"/>
      <w:numFmt w:val="bullet"/>
      <w:lvlText w:val="o"/>
      <w:lvlJc w:val="left"/>
      <w:pPr>
        <w:ind w:left="3600" w:hanging="360"/>
      </w:pPr>
      <w:rPr>
        <w:rFonts w:ascii="Courier New" w:hAnsi="Courier New" w:hint="default"/>
      </w:rPr>
    </w:lvl>
    <w:lvl w:ilvl="5" w:tplc="25B4E834" w:tentative="1">
      <w:start w:val="1"/>
      <w:numFmt w:val="bullet"/>
      <w:lvlText w:val=""/>
      <w:lvlJc w:val="left"/>
      <w:pPr>
        <w:ind w:left="4320" w:hanging="360"/>
      </w:pPr>
      <w:rPr>
        <w:rFonts w:ascii="Wingdings" w:hAnsi="Wingdings" w:hint="default"/>
      </w:rPr>
    </w:lvl>
    <w:lvl w:ilvl="6" w:tplc="C7546CC2" w:tentative="1">
      <w:start w:val="1"/>
      <w:numFmt w:val="bullet"/>
      <w:lvlText w:val=""/>
      <w:lvlJc w:val="left"/>
      <w:pPr>
        <w:ind w:left="5040" w:hanging="360"/>
      </w:pPr>
      <w:rPr>
        <w:rFonts w:ascii="Symbol" w:hAnsi="Symbol" w:hint="default"/>
      </w:rPr>
    </w:lvl>
    <w:lvl w:ilvl="7" w:tplc="AB1CC868" w:tentative="1">
      <w:start w:val="1"/>
      <w:numFmt w:val="bullet"/>
      <w:lvlText w:val="o"/>
      <w:lvlJc w:val="left"/>
      <w:pPr>
        <w:ind w:left="5760" w:hanging="360"/>
      </w:pPr>
      <w:rPr>
        <w:rFonts w:ascii="Courier New" w:hAnsi="Courier New" w:hint="default"/>
      </w:rPr>
    </w:lvl>
    <w:lvl w:ilvl="8" w:tplc="CD26E5C0" w:tentative="1">
      <w:start w:val="1"/>
      <w:numFmt w:val="bullet"/>
      <w:lvlText w:val=""/>
      <w:lvlJc w:val="left"/>
      <w:pPr>
        <w:ind w:left="6480" w:hanging="360"/>
      </w:pPr>
      <w:rPr>
        <w:rFonts w:ascii="Wingdings" w:hAnsi="Wingdings" w:hint="default"/>
      </w:rPr>
    </w:lvl>
  </w:abstractNum>
  <w:abstractNum w:abstractNumId="540" w15:restartNumberingAfterBreak="0">
    <w:nsid w:val="76C47F8D"/>
    <w:multiLevelType w:val="multilevel"/>
    <w:tmpl w:val="3F9A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76C7AF15"/>
    <w:multiLevelType w:val="hybridMultilevel"/>
    <w:tmpl w:val="138C6494"/>
    <w:lvl w:ilvl="0" w:tplc="D70CA97C">
      <w:start w:val="1"/>
      <w:numFmt w:val="bullet"/>
      <w:lvlText w:val="·"/>
      <w:lvlJc w:val="left"/>
      <w:pPr>
        <w:ind w:left="720" w:hanging="360"/>
      </w:pPr>
      <w:rPr>
        <w:rFonts w:ascii="Symbol" w:hAnsi="Symbol" w:hint="default"/>
      </w:rPr>
    </w:lvl>
    <w:lvl w:ilvl="1" w:tplc="9AD422C2">
      <w:start w:val="1"/>
      <w:numFmt w:val="bullet"/>
      <w:lvlText w:val="o"/>
      <w:lvlJc w:val="left"/>
      <w:pPr>
        <w:ind w:left="1440" w:hanging="360"/>
      </w:pPr>
      <w:rPr>
        <w:rFonts w:ascii="Courier New" w:hAnsi="Courier New" w:hint="default"/>
      </w:rPr>
    </w:lvl>
    <w:lvl w:ilvl="2" w:tplc="EAB22C3C">
      <w:start w:val="1"/>
      <w:numFmt w:val="bullet"/>
      <w:lvlText w:val=""/>
      <w:lvlJc w:val="left"/>
      <w:pPr>
        <w:ind w:left="2160" w:hanging="360"/>
      </w:pPr>
      <w:rPr>
        <w:rFonts w:ascii="Wingdings" w:hAnsi="Wingdings" w:hint="default"/>
      </w:rPr>
    </w:lvl>
    <w:lvl w:ilvl="3" w:tplc="83B2AF48">
      <w:start w:val="1"/>
      <w:numFmt w:val="bullet"/>
      <w:lvlText w:val=""/>
      <w:lvlJc w:val="left"/>
      <w:pPr>
        <w:ind w:left="2880" w:hanging="360"/>
      </w:pPr>
      <w:rPr>
        <w:rFonts w:ascii="Symbol" w:hAnsi="Symbol" w:hint="default"/>
      </w:rPr>
    </w:lvl>
    <w:lvl w:ilvl="4" w:tplc="D702F5BA">
      <w:start w:val="1"/>
      <w:numFmt w:val="bullet"/>
      <w:lvlText w:val="o"/>
      <w:lvlJc w:val="left"/>
      <w:pPr>
        <w:ind w:left="3600" w:hanging="360"/>
      </w:pPr>
      <w:rPr>
        <w:rFonts w:ascii="Courier New" w:hAnsi="Courier New" w:hint="default"/>
      </w:rPr>
    </w:lvl>
    <w:lvl w:ilvl="5" w:tplc="678A753C">
      <w:start w:val="1"/>
      <w:numFmt w:val="bullet"/>
      <w:lvlText w:val=""/>
      <w:lvlJc w:val="left"/>
      <w:pPr>
        <w:ind w:left="4320" w:hanging="360"/>
      </w:pPr>
      <w:rPr>
        <w:rFonts w:ascii="Wingdings" w:hAnsi="Wingdings" w:hint="default"/>
      </w:rPr>
    </w:lvl>
    <w:lvl w:ilvl="6" w:tplc="0024A8E8">
      <w:start w:val="1"/>
      <w:numFmt w:val="bullet"/>
      <w:lvlText w:val=""/>
      <w:lvlJc w:val="left"/>
      <w:pPr>
        <w:ind w:left="5040" w:hanging="360"/>
      </w:pPr>
      <w:rPr>
        <w:rFonts w:ascii="Symbol" w:hAnsi="Symbol" w:hint="default"/>
      </w:rPr>
    </w:lvl>
    <w:lvl w:ilvl="7" w:tplc="6B563F8A">
      <w:start w:val="1"/>
      <w:numFmt w:val="bullet"/>
      <w:lvlText w:val="o"/>
      <w:lvlJc w:val="left"/>
      <w:pPr>
        <w:ind w:left="5760" w:hanging="360"/>
      </w:pPr>
      <w:rPr>
        <w:rFonts w:ascii="Courier New" w:hAnsi="Courier New" w:hint="default"/>
      </w:rPr>
    </w:lvl>
    <w:lvl w:ilvl="8" w:tplc="0DB2B16E">
      <w:start w:val="1"/>
      <w:numFmt w:val="bullet"/>
      <w:lvlText w:val=""/>
      <w:lvlJc w:val="left"/>
      <w:pPr>
        <w:ind w:left="6480" w:hanging="360"/>
      </w:pPr>
      <w:rPr>
        <w:rFonts w:ascii="Wingdings" w:hAnsi="Wingdings" w:hint="default"/>
      </w:rPr>
    </w:lvl>
  </w:abstractNum>
  <w:abstractNum w:abstractNumId="542" w15:restartNumberingAfterBreak="0">
    <w:nsid w:val="7729D810"/>
    <w:multiLevelType w:val="hybridMultilevel"/>
    <w:tmpl w:val="FFFFFFFF"/>
    <w:lvl w:ilvl="0" w:tplc="507C200C">
      <w:start w:val="1"/>
      <w:numFmt w:val="bullet"/>
      <w:lvlText w:val=""/>
      <w:lvlJc w:val="left"/>
      <w:pPr>
        <w:ind w:left="720" w:hanging="360"/>
      </w:pPr>
      <w:rPr>
        <w:rFonts w:ascii="Symbol" w:hAnsi="Symbol" w:hint="default"/>
      </w:rPr>
    </w:lvl>
    <w:lvl w:ilvl="1" w:tplc="D03E8F9A">
      <w:start w:val="1"/>
      <w:numFmt w:val="bullet"/>
      <w:lvlText w:val="o"/>
      <w:lvlJc w:val="left"/>
      <w:pPr>
        <w:ind w:left="1440" w:hanging="360"/>
      </w:pPr>
      <w:rPr>
        <w:rFonts w:ascii="Courier New" w:hAnsi="Courier New" w:hint="default"/>
      </w:rPr>
    </w:lvl>
    <w:lvl w:ilvl="2" w:tplc="9718122C">
      <w:start w:val="1"/>
      <w:numFmt w:val="bullet"/>
      <w:lvlText w:val=""/>
      <w:lvlJc w:val="left"/>
      <w:pPr>
        <w:ind w:left="2160" w:hanging="360"/>
      </w:pPr>
      <w:rPr>
        <w:rFonts w:ascii="Wingdings" w:hAnsi="Wingdings" w:hint="default"/>
      </w:rPr>
    </w:lvl>
    <w:lvl w:ilvl="3" w:tplc="A074043A">
      <w:start w:val="1"/>
      <w:numFmt w:val="bullet"/>
      <w:lvlText w:val=""/>
      <w:lvlJc w:val="left"/>
      <w:pPr>
        <w:ind w:left="2880" w:hanging="360"/>
      </w:pPr>
      <w:rPr>
        <w:rFonts w:ascii="Symbol" w:hAnsi="Symbol" w:hint="default"/>
      </w:rPr>
    </w:lvl>
    <w:lvl w:ilvl="4" w:tplc="6F08098A">
      <w:start w:val="1"/>
      <w:numFmt w:val="bullet"/>
      <w:lvlText w:val="o"/>
      <w:lvlJc w:val="left"/>
      <w:pPr>
        <w:ind w:left="3600" w:hanging="360"/>
      </w:pPr>
      <w:rPr>
        <w:rFonts w:ascii="Courier New" w:hAnsi="Courier New" w:hint="default"/>
      </w:rPr>
    </w:lvl>
    <w:lvl w:ilvl="5" w:tplc="470C10F0">
      <w:start w:val="1"/>
      <w:numFmt w:val="bullet"/>
      <w:lvlText w:val=""/>
      <w:lvlJc w:val="left"/>
      <w:pPr>
        <w:ind w:left="4320" w:hanging="360"/>
      </w:pPr>
      <w:rPr>
        <w:rFonts w:ascii="Wingdings" w:hAnsi="Wingdings" w:hint="default"/>
      </w:rPr>
    </w:lvl>
    <w:lvl w:ilvl="6" w:tplc="02CCADBC">
      <w:start w:val="1"/>
      <w:numFmt w:val="bullet"/>
      <w:lvlText w:val=""/>
      <w:lvlJc w:val="left"/>
      <w:pPr>
        <w:ind w:left="5040" w:hanging="360"/>
      </w:pPr>
      <w:rPr>
        <w:rFonts w:ascii="Symbol" w:hAnsi="Symbol" w:hint="default"/>
      </w:rPr>
    </w:lvl>
    <w:lvl w:ilvl="7" w:tplc="82E62000">
      <w:start w:val="1"/>
      <w:numFmt w:val="bullet"/>
      <w:lvlText w:val="o"/>
      <w:lvlJc w:val="left"/>
      <w:pPr>
        <w:ind w:left="5760" w:hanging="360"/>
      </w:pPr>
      <w:rPr>
        <w:rFonts w:ascii="Courier New" w:hAnsi="Courier New" w:hint="default"/>
      </w:rPr>
    </w:lvl>
    <w:lvl w:ilvl="8" w:tplc="1F708B6C">
      <w:start w:val="1"/>
      <w:numFmt w:val="bullet"/>
      <w:lvlText w:val=""/>
      <w:lvlJc w:val="left"/>
      <w:pPr>
        <w:ind w:left="6480" w:hanging="360"/>
      </w:pPr>
      <w:rPr>
        <w:rFonts w:ascii="Wingdings" w:hAnsi="Wingdings" w:hint="default"/>
      </w:rPr>
    </w:lvl>
  </w:abstractNum>
  <w:abstractNum w:abstractNumId="543" w15:restartNumberingAfterBreak="0">
    <w:nsid w:val="775D734C"/>
    <w:multiLevelType w:val="multilevel"/>
    <w:tmpl w:val="FF8439C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44" w15:restartNumberingAfterBreak="0">
    <w:nsid w:val="778F7198"/>
    <w:multiLevelType w:val="multilevel"/>
    <w:tmpl w:val="38AA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77914028"/>
    <w:multiLevelType w:val="multilevel"/>
    <w:tmpl w:val="1CB6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779D2694"/>
    <w:multiLevelType w:val="multilevel"/>
    <w:tmpl w:val="4E1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77C47A4C"/>
    <w:multiLevelType w:val="hybridMultilevel"/>
    <w:tmpl w:val="0E8A08BC"/>
    <w:lvl w:ilvl="0" w:tplc="28BAB18C">
      <w:start w:val="1"/>
      <w:numFmt w:val="bullet"/>
      <w:lvlText w:val=""/>
      <w:lvlJc w:val="left"/>
      <w:pPr>
        <w:ind w:left="720" w:hanging="360"/>
      </w:pPr>
      <w:rPr>
        <w:rFonts w:ascii="Symbol" w:hAnsi="Symbol" w:hint="default"/>
      </w:rPr>
    </w:lvl>
    <w:lvl w:ilvl="1" w:tplc="E2EC3A30" w:tentative="1">
      <w:start w:val="1"/>
      <w:numFmt w:val="bullet"/>
      <w:lvlText w:val="o"/>
      <w:lvlJc w:val="left"/>
      <w:pPr>
        <w:ind w:left="1440" w:hanging="360"/>
      </w:pPr>
      <w:rPr>
        <w:rFonts w:ascii="Courier New" w:hAnsi="Courier New" w:hint="default"/>
      </w:rPr>
    </w:lvl>
    <w:lvl w:ilvl="2" w:tplc="8B3C1946" w:tentative="1">
      <w:start w:val="1"/>
      <w:numFmt w:val="bullet"/>
      <w:lvlText w:val=""/>
      <w:lvlJc w:val="left"/>
      <w:pPr>
        <w:ind w:left="2160" w:hanging="360"/>
      </w:pPr>
      <w:rPr>
        <w:rFonts w:ascii="Wingdings" w:hAnsi="Wingdings" w:hint="default"/>
      </w:rPr>
    </w:lvl>
    <w:lvl w:ilvl="3" w:tplc="E98C4D0E" w:tentative="1">
      <w:start w:val="1"/>
      <w:numFmt w:val="bullet"/>
      <w:lvlText w:val=""/>
      <w:lvlJc w:val="left"/>
      <w:pPr>
        <w:ind w:left="2880" w:hanging="360"/>
      </w:pPr>
      <w:rPr>
        <w:rFonts w:ascii="Symbol" w:hAnsi="Symbol" w:hint="default"/>
      </w:rPr>
    </w:lvl>
    <w:lvl w:ilvl="4" w:tplc="9EAE200C" w:tentative="1">
      <w:start w:val="1"/>
      <w:numFmt w:val="bullet"/>
      <w:lvlText w:val="o"/>
      <w:lvlJc w:val="left"/>
      <w:pPr>
        <w:ind w:left="3600" w:hanging="360"/>
      </w:pPr>
      <w:rPr>
        <w:rFonts w:ascii="Courier New" w:hAnsi="Courier New" w:hint="default"/>
      </w:rPr>
    </w:lvl>
    <w:lvl w:ilvl="5" w:tplc="CF28BD8C" w:tentative="1">
      <w:start w:val="1"/>
      <w:numFmt w:val="bullet"/>
      <w:lvlText w:val=""/>
      <w:lvlJc w:val="left"/>
      <w:pPr>
        <w:ind w:left="4320" w:hanging="360"/>
      </w:pPr>
      <w:rPr>
        <w:rFonts w:ascii="Wingdings" w:hAnsi="Wingdings" w:hint="default"/>
      </w:rPr>
    </w:lvl>
    <w:lvl w:ilvl="6" w:tplc="27844D52" w:tentative="1">
      <w:start w:val="1"/>
      <w:numFmt w:val="bullet"/>
      <w:lvlText w:val=""/>
      <w:lvlJc w:val="left"/>
      <w:pPr>
        <w:ind w:left="5040" w:hanging="360"/>
      </w:pPr>
      <w:rPr>
        <w:rFonts w:ascii="Symbol" w:hAnsi="Symbol" w:hint="default"/>
      </w:rPr>
    </w:lvl>
    <w:lvl w:ilvl="7" w:tplc="93163BD0" w:tentative="1">
      <w:start w:val="1"/>
      <w:numFmt w:val="bullet"/>
      <w:lvlText w:val="o"/>
      <w:lvlJc w:val="left"/>
      <w:pPr>
        <w:ind w:left="5760" w:hanging="360"/>
      </w:pPr>
      <w:rPr>
        <w:rFonts w:ascii="Courier New" w:hAnsi="Courier New" w:hint="default"/>
      </w:rPr>
    </w:lvl>
    <w:lvl w:ilvl="8" w:tplc="096A7A34" w:tentative="1">
      <w:start w:val="1"/>
      <w:numFmt w:val="bullet"/>
      <w:lvlText w:val=""/>
      <w:lvlJc w:val="left"/>
      <w:pPr>
        <w:ind w:left="6480" w:hanging="360"/>
      </w:pPr>
      <w:rPr>
        <w:rFonts w:ascii="Wingdings" w:hAnsi="Wingdings" w:hint="default"/>
      </w:rPr>
    </w:lvl>
  </w:abstractNum>
  <w:abstractNum w:abstractNumId="548" w15:restartNumberingAfterBreak="0">
    <w:nsid w:val="781172A8"/>
    <w:multiLevelType w:val="multilevel"/>
    <w:tmpl w:val="D964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7828700B"/>
    <w:multiLevelType w:val="multilevel"/>
    <w:tmpl w:val="43C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78577E75"/>
    <w:multiLevelType w:val="multilevel"/>
    <w:tmpl w:val="662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785C4F72"/>
    <w:multiLevelType w:val="hybridMultilevel"/>
    <w:tmpl w:val="5AA011E6"/>
    <w:lvl w:ilvl="0" w:tplc="EFDA266A">
      <w:start w:val="1"/>
      <w:numFmt w:val="bullet"/>
      <w:lvlText w:val="·"/>
      <w:lvlJc w:val="left"/>
      <w:pPr>
        <w:ind w:left="720" w:hanging="360"/>
      </w:pPr>
      <w:rPr>
        <w:rFonts w:ascii="Symbol" w:hAnsi="Symbol" w:hint="default"/>
      </w:rPr>
    </w:lvl>
    <w:lvl w:ilvl="1" w:tplc="2D381C9A">
      <w:start w:val="1"/>
      <w:numFmt w:val="bullet"/>
      <w:lvlText w:val="o"/>
      <w:lvlJc w:val="left"/>
      <w:pPr>
        <w:ind w:left="1440" w:hanging="360"/>
      </w:pPr>
      <w:rPr>
        <w:rFonts w:ascii="Courier New" w:hAnsi="Courier New" w:hint="default"/>
      </w:rPr>
    </w:lvl>
    <w:lvl w:ilvl="2" w:tplc="80E2037E">
      <w:start w:val="1"/>
      <w:numFmt w:val="bullet"/>
      <w:lvlText w:val=""/>
      <w:lvlJc w:val="left"/>
      <w:pPr>
        <w:ind w:left="2160" w:hanging="360"/>
      </w:pPr>
      <w:rPr>
        <w:rFonts w:ascii="Wingdings" w:hAnsi="Wingdings" w:hint="default"/>
      </w:rPr>
    </w:lvl>
    <w:lvl w:ilvl="3" w:tplc="7436A1A6">
      <w:start w:val="1"/>
      <w:numFmt w:val="bullet"/>
      <w:lvlText w:val=""/>
      <w:lvlJc w:val="left"/>
      <w:pPr>
        <w:ind w:left="2880" w:hanging="360"/>
      </w:pPr>
      <w:rPr>
        <w:rFonts w:ascii="Symbol" w:hAnsi="Symbol" w:hint="default"/>
      </w:rPr>
    </w:lvl>
    <w:lvl w:ilvl="4" w:tplc="D2C8E5BE">
      <w:start w:val="1"/>
      <w:numFmt w:val="bullet"/>
      <w:lvlText w:val="o"/>
      <w:lvlJc w:val="left"/>
      <w:pPr>
        <w:ind w:left="3600" w:hanging="360"/>
      </w:pPr>
      <w:rPr>
        <w:rFonts w:ascii="Courier New" w:hAnsi="Courier New" w:hint="default"/>
      </w:rPr>
    </w:lvl>
    <w:lvl w:ilvl="5" w:tplc="674E9956">
      <w:start w:val="1"/>
      <w:numFmt w:val="bullet"/>
      <w:lvlText w:val=""/>
      <w:lvlJc w:val="left"/>
      <w:pPr>
        <w:ind w:left="4320" w:hanging="360"/>
      </w:pPr>
      <w:rPr>
        <w:rFonts w:ascii="Wingdings" w:hAnsi="Wingdings" w:hint="default"/>
      </w:rPr>
    </w:lvl>
    <w:lvl w:ilvl="6" w:tplc="E5E2BA76">
      <w:start w:val="1"/>
      <w:numFmt w:val="bullet"/>
      <w:lvlText w:val=""/>
      <w:lvlJc w:val="left"/>
      <w:pPr>
        <w:ind w:left="5040" w:hanging="360"/>
      </w:pPr>
      <w:rPr>
        <w:rFonts w:ascii="Symbol" w:hAnsi="Symbol" w:hint="default"/>
      </w:rPr>
    </w:lvl>
    <w:lvl w:ilvl="7" w:tplc="C3A087B8">
      <w:start w:val="1"/>
      <w:numFmt w:val="bullet"/>
      <w:lvlText w:val="o"/>
      <w:lvlJc w:val="left"/>
      <w:pPr>
        <w:ind w:left="5760" w:hanging="360"/>
      </w:pPr>
      <w:rPr>
        <w:rFonts w:ascii="Courier New" w:hAnsi="Courier New" w:hint="default"/>
      </w:rPr>
    </w:lvl>
    <w:lvl w:ilvl="8" w:tplc="2124D608">
      <w:start w:val="1"/>
      <w:numFmt w:val="bullet"/>
      <w:lvlText w:val=""/>
      <w:lvlJc w:val="left"/>
      <w:pPr>
        <w:ind w:left="6480" w:hanging="360"/>
      </w:pPr>
      <w:rPr>
        <w:rFonts w:ascii="Wingdings" w:hAnsi="Wingdings" w:hint="default"/>
      </w:rPr>
    </w:lvl>
  </w:abstractNum>
  <w:abstractNum w:abstractNumId="552" w15:restartNumberingAfterBreak="0">
    <w:nsid w:val="78C618FD"/>
    <w:multiLevelType w:val="hybridMultilevel"/>
    <w:tmpl w:val="91A4BD8C"/>
    <w:lvl w:ilvl="0" w:tplc="441C63C6">
      <w:start w:val="1"/>
      <w:numFmt w:val="bullet"/>
      <w:lvlText w:val=""/>
      <w:lvlJc w:val="left"/>
      <w:pPr>
        <w:ind w:left="360" w:hanging="360"/>
      </w:pPr>
      <w:rPr>
        <w:rFonts w:ascii="Symbol" w:hAnsi="Symbol" w:hint="default"/>
      </w:rPr>
    </w:lvl>
    <w:lvl w:ilvl="1" w:tplc="41CC7DE8" w:tentative="1">
      <w:start w:val="1"/>
      <w:numFmt w:val="bullet"/>
      <w:lvlText w:val="o"/>
      <w:lvlJc w:val="left"/>
      <w:pPr>
        <w:ind w:left="1080" w:hanging="360"/>
      </w:pPr>
      <w:rPr>
        <w:rFonts w:ascii="Courier New" w:hAnsi="Courier New" w:hint="default"/>
      </w:rPr>
    </w:lvl>
    <w:lvl w:ilvl="2" w:tplc="AD089ED2" w:tentative="1">
      <w:start w:val="1"/>
      <w:numFmt w:val="bullet"/>
      <w:lvlText w:val=""/>
      <w:lvlJc w:val="left"/>
      <w:pPr>
        <w:ind w:left="1800" w:hanging="360"/>
      </w:pPr>
      <w:rPr>
        <w:rFonts w:ascii="Wingdings" w:hAnsi="Wingdings" w:hint="default"/>
      </w:rPr>
    </w:lvl>
    <w:lvl w:ilvl="3" w:tplc="53126FCC" w:tentative="1">
      <w:start w:val="1"/>
      <w:numFmt w:val="bullet"/>
      <w:lvlText w:val=""/>
      <w:lvlJc w:val="left"/>
      <w:pPr>
        <w:ind w:left="2520" w:hanging="360"/>
      </w:pPr>
      <w:rPr>
        <w:rFonts w:ascii="Symbol" w:hAnsi="Symbol" w:hint="default"/>
      </w:rPr>
    </w:lvl>
    <w:lvl w:ilvl="4" w:tplc="57C24942" w:tentative="1">
      <w:start w:val="1"/>
      <w:numFmt w:val="bullet"/>
      <w:lvlText w:val="o"/>
      <w:lvlJc w:val="left"/>
      <w:pPr>
        <w:ind w:left="3240" w:hanging="360"/>
      </w:pPr>
      <w:rPr>
        <w:rFonts w:ascii="Courier New" w:hAnsi="Courier New" w:hint="default"/>
      </w:rPr>
    </w:lvl>
    <w:lvl w:ilvl="5" w:tplc="CE02AD72" w:tentative="1">
      <w:start w:val="1"/>
      <w:numFmt w:val="bullet"/>
      <w:lvlText w:val=""/>
      <w:lvlJc w:val="left"/>
      <w:pPr>
        <w:ind w:left="3960" w:hanging="360"/>
      </w:pPr>
      <w:rPr>
        <w:rFonts w:ascii="Wingdings" w:hAnsi="Wingdings" w:hint="default"/>
      </w:rPr>
    </w:lvl>
    <w:lvl w:ilvl="6" w:tplc="7D26C31C" w:tentative="1">
      <w:start w:val="1"/>
      <w:numFmt w:val="bullet"/>
      <w:lvlText w:val=""/>
      <w:lvlJc w:val="left"/>
      <w:pPr>
        <w:ind w:left="4680" w:hanging="360"/>
      </w:pPr>
      <w:rPr>
        <w:rFonts w:ascii="Symbol" w:hAnsi="Symbol" w:hint="default"/>
      </w:rPr>
    </w:lvl>
    <w:lvl w:ilvl="7" w:tplc="828A87B8" w:tentative="1">
      <w:start w:val="1"/>
      <w:numFmt w:val="bullet"/>
      <w:lvlText w:val="o"/>
      <w:lvlJc w:val="left"/>
      <w:pPr>
        <w:ind w:left="5400" w:hanging="360"/>
      </w:pPr>
      <w:rPr>
        <w:rFonts w:ascii="Courier New" w:hAnsi="Courier New" w:hint="default"/>
      </w:rPr>
    </w:lvl>
    <w:lvl w:ilvl="8" w:tplc="40E60C32" w:tentative="1">
      <w:start w:val="1"/>
      <w:numFmt w:val="bullet"/>
      <w:lvlText w:val=""/>
      <w:lvlJc w:val="left"/>
      <w:pPr>
        <w:ind w:left="6120" w:hanging="360"/>
      </w:pPr>
      <w:rPr>
        <w:rFonts w:ascii="Wingdings" w:hAnsi="Wingdings" w:hint="default"/>
      </w:rPr>
    </w:lvl>
  </w:abstractNum>
  <w:abstractNum w:abstractNumId="553" w15:restartNumberingAfterBreak="0">
    <w:nsid w:val="78D5596A"/>
    <w:multiLevelType w:val="hybridMultilevel"/>
    <w:tmpl w:val="16F4133A"/>
    <w:lvl w:ilvl="0" w:tplc="DA1030C0">
      <w:start w:val="1"/>
      <w:numFmt w:val="bullet"/>
      <w:lvlText w:val=""/>
      <w:lvlJc w:val="left"/>
      <w:pPr>
        <w:ind w:left="720" w:hanging="360"/>
      </w:pPr>
      <w:rPr>
        <w:rFonts w:ascii="Symbol" w:hAnsi="Symbol" w:hint="default"/>
      </w:rPr>
    </w:lvl>
    <w:lvl w:ilvl="1" w:tplc="A4F25216" w:tentative="1">
      <w:start w:val="1"/>
      <w:numFmt w:val="bullet"/>
      <w:lvlText w:val="o"/>
      <w:lvlJc w:val="left"/>
      <w:pPr>
        <w:ind w:left="1440" w:hanging="360"/>
      </w:pPr>
      <w:rPr>
        <w:rFonts w:ascii="Courier New" w:hAnsi="Courier New" w:hint="default"/>
      </w:rPr>
    </w:lvl>
    <w:lvl w:ilvl="2" w:tplc="730C041A" w:tentative="1">
      <w:start w:val="1"/>
      <w:numFmt w:val="bullet"/>
      <w:lvlText w:val=""/>
      <w:lvlJc w:val="left"/>
      <w:pPr>
        <w:ind w:left="2160" w:hanging="360"/>
      </w:pPr>
      <w:rPr>
        <w:rFonts w:ascii="Wingdings" w:hAnsi="Wingdings" w:hint="default"/>
      </w:rPr>
    </w:lvl>
    <w:lvl w:ilvl="3" w:tplc="A144451C" w:tentative="1">
      <w:start w:val="1"/>
      <w:numFmt w:val="bullet"/>
      <w:lvlText w:val=""/>
      <w:lvlJc w:val="left"/>
      <w:pPr>
        <w:ind w:left="2880" w:hanging="360"/>
      </w:pPr>
      <w:rPr>
        <w:rFonts w:ascii="Symbol" w:hAnsi="Symbol" w:hint="default"/>
      </w:rPr>
    </w:lvl>
    <w:lvl w:ilvl="4" w:tplc="95649A46" w:tentative="1">
      <w:start w:val="1"/>
      <w:numFmt w:val="bullet"/>
      <w:lvlText w:val="o"/>
      <w:lvlJc w:val="left"/>
      <w:pPr>
        <w:ind w:left="3600" w:hanging="360"/>
      </w:pPr>
      <w:rPr>
        <w:rFonts w:ascii="Courier New" w:hAnsi="Courier New" w:hint="default"/>
      </w:rPr>
    </w:lvl>
    <w:lvl w:ilvl="5" w:tplc="F514A944" w:tentative="1">
      <w:start w:val="1"/>
      <w:numFmt w:val="bullet"/>
      <w:lvlText w:val=""/>
      <w:lvlJc w:val="left"/>
      <w:pPr>
        <w:ind w:left="4320" w:hanging="360"/>
      </w:pPr>
      <w:rPr>
        <w:rFonts w:ascii="Wingdings" w:hAnsi="Wingdings" w:hint="default"/>
      </w:rPr>
    </w:lvl>
    <w:lvl w:ilvl="6" w:tplc="44280A98" w:tentative="1">
      <w:start w:val="1"/>
      <w:numFmt w:val="bullet"/>
      <w:lvlText w:val=""/>
      <w:lvlJc w:val="left"/>
      <w:pPr>
        <w:ind w:left="5040" w:hanging="360"/>
      </w:pPr>
      <w:rPr>
        <w:rFonts w:ascii="Symbol" w:hAnsi="Symbol" w:hint="default"/>
      </w:rPr>
    </w:lvl>
    <w:lvl w:ilvl="7" w:tplc="AA22777A" w:tentative="1">
      <w:start w:val="1"/>
      <w:numFmt w:val="bullet"/>
      <w:lvlText w:val="o"/>
      <w:lvlJc w:val="left"/>
      <w:pPr>
        <w:ind w:left="5760" w:hanging="360"/>
      </w:pPr>
      <w:rPr>
        <w:rFonts w:ascii="Courier New" w:hAnsi="Courier New" w:hint="default"/>
      </w:rPr>
    </w:lvl>
    <w:lvl w:ilvl="8" w:tplc="E1228996" w:tentative="1">
      <w:start w:val="1"/>
      <w:numFmt w:val="bullet"/>
      <w:lvlText w:val=""/>
      <w:lvlJc w:val="left"/>
      <w:pPr>
        <w:ind w:left="6480" w:hanging="360"/>
      </w:pPr>
      <w:rPr>
        <w:rFonts w:ascii="Wingdings" w:hAnsi="Wingdings" w:hint="default"/>
      </w:rPr>
    </w:lvl>
  </w:abstractNum>
  <w:abstractNum w:abstractNumId="554" w15:restartNumberingAfterBreak="0">
    <w:nsid w:val="79093182"/>
    <w:multiLevelType w:val="hybridMultilevel"/>
    <w:tmpl w:val="FEB64EB0"/>
    <w:lvl w:ilvl="0" w:tplc="6108E944">
      <w:start w:val="1"/>
      <w:numFmt w:val="bullet"/>
      <w:lvlText w:val=""/>
      <w:lvlJc w:val="left"/>
      <w:pPr>
        <w:ind w:left="720" w:hanging="360"/>
      </w:pPr>
      <w:rPr>
        <w:rFonts w:ascii="Symbol" w:hAnsi="Symbol" w:hint="default"/>
      </w:rPr>
    </w:lvl>
    <w:lvl w:ilvl="1" w:tplc="7B365404" w:tentative="1">
      <w:start w:val="1"/>
      <w:numFmt w:val="bullet"/>
      <w:lvlText w:val="o"/>
      <w:lvlJc w:val="left"/>
      <w:pPr>
        <w:ind w:left="1440" w:hanging="360"/>
      </w:pPr>
      <w:rPr>
        <w:rFonts w:ascii="Courier New" w:hAnsi="Courier New" w:hint="default"/>
      </w:rPr>
    </w:lvl>
    <w:lvl w:ilvl="2" w:tplc="B01472D4" w:tentative="1">
      <w:start w:val="1"/>
      <w:numFmt w:val="bullet"/>
      <w:lvlText w:val=""/>
      <w:lvlJc w:val="left"/>
      <w:pPr>
        <w:ind w:left="2160" w:hanging="360"/>
      </w:pPr>
      <w:rPr>
        <w:rFonts w:ascii="Wingdings" w:hAnsi="Wingdings" w:hint="default"/>
      </w:rPr>
    </w:lvl>
    <w:lvl w:ilvl="3" w:tplc="C784C812" w:tentative="1">
      <w:start w:val="1"/>
      <w:numFmt w:val="bullet"/>
      <w:lvlText w:val=""/>
      <w:lvlJc w:val="left"/>
      <w:pPr>
        <w:ind w:left="2880" w:hanging="360"/>
      </w:pPr>
      <w:rPr>
        <w:rFonts w:ascii="Symbol" w:hAnsi="Symbol" w:hint="default"/>
      </w:rPr>
    </w:lvl>
    <w:lvl w:ilvl="4" w:tplc="DB04A808" w:tentative="1">
      <w:start w:val="1"/>
      <w:numFmt w:val="bullet"/>
      <w:lvlText w:val="o"/>
      <w:lvlJc w:val="left"/>
      <w:pPr>
        <w:ind w:left="3600" w:hanging="360"/>
      </w:pPr>
      <w:rPr>
        <w:rFonts w:ascii="Courier New" w:hAnsi="Courier New" w:hint="default"/>
      </w:rPr>
    </w:lvl>
    <w:lvl w:ilvl="5" w:tplc="D94CD0FC" w:tentative="1">
      <w:start w:val="1"/>
      <w:numFmt w:val="bullet"/>
      <w:lvlText w:val=""/>
      <w:lvlJc w:val="left"/>
      <w:pPr>
        <w:ind w:left="4320" w:hanging="360"/>
      </w:pPr>
      <w:rPr>
        <w:rFonts w:ascii="Wingdings" w:hAnsi="Wingdings" w:hint="default"/>
      </w:rPr>
    </w:lvl>
    <w:lvl w:ilvl="6" w:tplc="03AC4928" w:tentative="1">
      <w:start w:val="1"/>
      <w:numFmt w:val="bullet"/>
      <w:lvlText w:val=""/>
      <w:lvlJc w:val="left"/>
      <w:pPr>
        <w:ind w:left="5040" w:hanging="360"/>
      </w:pPr>
      <w:rPr>
        <w:rFonts w:ascii="Symbol" w:hAnsi="Symbol" w:hint="default"/>
      </w:rPr>
    </w:lvl>
    <w:lvl w:ilvl="7" w:tplc="0D0498D4" w:tentative="1">
      <w:start w:val="1"/>
      <w:numFmt w:val="bullet"/>
      <w:lvlText w:val="o"/>
      <w:lvlJc w:val="left"/>
      <w:pPr>
        <w:ind w:left="5760" w:hanging="360"/>
      </w:pPr>
      <w:rPr>
        <w:rFonts w:ascii="Courier New" w:hAnsi="Courier New" w:hint="default"/>
      </w:rPr>
    </w:lvl>
    <w:lvl w:ilvl="8" w:tplc="A9268354" w:tentative="1">
      <w:start w:val="1"/>
      <w:numFmt w:val="bullet"/>
      <w:lvlText w:val=""/>
      <w:lvlJc w:val="left"/>
      <w:pPr>
        <w:ind w:left="6480" w:hanging="360"/>
      </w:pPr>
      <w:rPr>
        <w:rFonts w:ascii="Wingdings" w:hAnsi="Wingdings" w:hint="default"/>
      </w:rPr>
    </w:lvl>
  </w:abstractNum>
  <w:abstractNum w:abstractNumId="555" w15:restartNumberingAfterBreak="0">
    <w:nsid w:val="7925661D"/>
    <w:multiLevelType w:val="multilevel"/>
    <w:tmpl w:val="8C84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9435A36"/>
    <w:multiLevelType w:val="hybridMultilevel"/>
    <w:tmpl w:val="395A9098"/>
    <w:lvl w:ilvl="0" w:tplc="5456D998">
      <w:start w:val="1"/>
      <w:numFmt w:val="bullet"/>
      <w:lvlText w:val=""/>
      <w:lvlJc w:val="left"/>
      <w:pPr>
        <w:ind w:left="720" w:hanging="360"/>
      </w:pPr>
      <w:rPr>
        <w:rFonts w:ascii="Symbol" w:hAnsi="Symbol" w:hint="default"/>
      </w:rPr>
    </w:lvl>
    <w:lvl w:ilvl="1" w:tplc="3B1E544A" w:tentative="1">
      <w:start w:val="1"/>
      <w:numFmt w:val="bullet"/>
      <w:lvlText w:val="o"/>
      <w:lvlJc w:val="left"/>
      <w:pPr>
        <w:ind w:left="1440" w:hanging="360"/>
      </w:pPr>
      <w:rPr>
        <w:rFonts w:ascii="Courier New" w:hAnsi="Courier New" w:hint="default"/>
      </w:rPr>
    </w:lvl>
    <w:lvl w:ilvl="2" w:tplc="160E8182" w:tentative="1">
      <w:start w:val="1"/>
      <w:numFmt w:val="bullet"/>
      <w:lvlText w:val=""/>
      <w:lvlJc w:val="left"/>
      <w:pPr>
        <w:ind w:left="2160" w:hanging="360"/>
      </w:pPr>
      <w:rPr>
        <w:rFonts w:ascii="Wingdings" w:hAnsi="Wingdings" w:hint="default"/>
      </w:rPr>
    </w:lvl>
    <w:lvl w:ilvl="3" w:tplc="B776CEF6" w:tentative="1">
      <w:start w:val="1"/>
      <w:numFmt w:val="bullet"/>
      <w:lvlText w:val=""/>
      <w:lvlJc w:val="left"/>
      <w:pPr>
        <w:ind w:left="2880" w:hanging="360"/>
      </w:pPr>
      <w:rPr>
        <w:rFonts w:ascii="Symbol" w:hAnsi="Symbol" w:hint="default"/>
      </w:rPr>
    </w:lvl>
    <w:lvl w:ilvl="4" w:tplc="3FD2DAA2" w:tentative="1">
      <w:start w:val="1"/>
      <w:numFmt w:val="bullet"/>
      <w:lvlText w:val="o"/>
      <w:lvlJc w:val="left"/>
      <w:pPr>
        <w:ind w:left="3600" w:hanging="360"/>
      </w:pPr>
      <w:rPr>
        <w:rFonts w:ascii="Courier New" w:hAnsi="Courier New" w:hint="default"/>
      </w:rPr>
    </w:lvl>
    <w:lvl w:ilvl="5" w:tplc="2E9A3C48" w:tentative="1">
      <w:start w:val="1"/>
      <w:numFmt w:val="bullet"/>
      <w:lvlText w:val=""/>
      <w:lvlJc w:val="left"/>
      <w:pPr>
        <w:ind w:left="4320" w:hanging="360"/>
      </w:pPr>
      <w:rPr>
        <w:rFonts w:ascii="Wingdings" w:hAnsi="Wingdings" w:hint="default"/>
      </w:rPr>
    </w:lvl>
    <w:lvl w:ilvl="6" w:tplc="204A03E4" w:tentative="1">
      <w:start w:val="1"/>
      <w:numFmt w:val="bullet"/>
      <w:lvlText w:val=""/>
      <w:lvlJc w:val="left"/>
      <w:pPr>
        <w:ind w:left="5040" w:hanging="360"/>
      </w:pPr>
      <w:rPr>
        <w:rFonts w:ascii="Symbol" w:hAnsi="Symbol" w:hint="default"/>
      </w:rPr>
    </w:lvl>
    <w:lvl w:ilvl="7" w:tplc="BE44C5F8" w:tentative="1">
      <w:start w:val="1"/>
      <w:numFmt w:val="bullet"/>
      <w:lvlText w:val="o"/>
      <w:lvlJc w:val="left"/>
      <w:pPr>
        <w:ind w:left="5760" w:hanging="360"/>
      </w:pPr>
      <w:rPr>
        <w:rFonts w:ascii="Courier New" w:hAnsi="Courier New" w:hint="default"/>
      </w:rPr>
    </w:lvl>
    <w:lvl w:ilvl="8" w:tplc="321CDBC0" w:tentative="1">
      <w:start w:val="1"/>
      <w:numFmt w:val="bullet"/>
      <w:lvlText w:val=""/>
      <w:lvlJc w:val="left"/>
      <w:pPr>
        <w:ind w:left="6480" w:hanging="360"/>
      </w:pPr>
      <w:rPr>
        <w:rFonts w:ascii="Wingdings" w:hAnsi="Wingdings" w:hint="default"/>
      </w:rPr>
    </w:lvl>
  </w:abstractNum>
  <w:abstractNum w:abstractNumId="557" w15:restartNumberingAfterBreak="0">
    <w:nsid w:val="79592A55"/>
    <w:multiLevelType w:val="hybridMultilevel"/>
    <w:tmpl w:val="68E44DE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558" w15:restartNumberingAfterBreak="0">
    <w:nsid w:val="7987029D"/>
    <w:multiLevelType w:val="multilevel"/>
    <w:tmpl w:val="3088433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9A04B23"/>
    <w:multiLevelType w:val="hybridMultilevel"/>
    <w:tmpl w:val="2BF6DEA8"/>
    <w:lvl w:ilvl="0" w:tplc="BD24C28E">
      <w:start w:val="1"/>
      <w:numFmt w:val="bullet"/>
      <w:lvlText w:val=""/>
      <w:lvlJc w:val="left"/>
      <w:pPr>
        <w:ind w:left="720" w:hanging="360"/>
      </w:pPr>
      <w:rPr>
        <w:rFonts w:ascii="Symbol" w:hAnsi="Symbol" w:hint="default"/>
      </w:rPr>
    </w:lvl>
    <w:lvl w:ilvl="1" w:tplc="4A10C59A">
      <w:start w:val="1"/>
      <w:numFmt w:val="bullet"/>
      <w:lvlText w:val="o"/>
      <w:lvlJc w:val="left"/>
      <w:pPr>
        <w:ind w:left="1440" w:hanging="360"/>
      </w:pPr>
      <w:rPr>
        <w:rFonts w:ascii="Courier New" w:hAnsi="Courier New" w:hint="default"/>
      </w:rPr>
    </w:lvl>
    <w:lvl w:ilvl="2" w:tplc="2FDC6ED0" w:tentative="1">
      <w:start w:val="1"/>
      <w:numFmt w:val="bullet"/>
      <w:lvlText w:val=""/>
      <w:lvlJc w:val="left"/>
      <w:pPr>
        <w:ind w:left="2160" w:hanging="360"/>
      </w:pPr>
      <w:rPr>
        <w:rFonts w:ascii="Wingdings" w:hAnsi="Wingdings" w:hint="default"/>
      </w:rPr>
    </w:lvl>
    <w:lvl w:ilvl="3" w:tplc="9ED27A4E" w:tentative="1">
      <w:start w:val="1"/>
      <w:numFmt w:val="bullet"/>
      <w:lvlText w:val=""/>
      <w:lvlJc w:val="left"/>
      <w:pPr>
        <w:ind w:left="2880" w:hanging="360"/>
      </w:pPr>
      <w:rPr>
        <w:rFonts w:ascii="Symbol" w:hAnsi="Symbol" w:hint="default"/>
      </w:rPr>
    </w:lvl>
    <w:lvl w:ilvl="4" w:tplc="A80A39E4" w:tentative="1">
      <w:start w:val="1"/>
      <w:numFmt w:val="bullet"/>
      <w:lvlText w:val="o"/>
      <w:lvlJc w:val="left"/>
      <w:pPr>
        <w:ind w:left="3600" w:hanging="360"/>
      </w:pPr>
      <w:rPr>
        <w:rFonts w:ascii="Courier New" w:hAnsi="Courier New" w:hint="default"/>
      </w:rPr>
    </w:lvl>
    <w:lvl w:ilvl="5" w:tplc="27542406" w:tentative="1">
      <w:start w:val="1"/>
      <w:numFmt w:val="bullet"/>
      <w:lvlText w:val=""/>
      <w:lvlJc w:val="left"/>
      <w:pPr>
        <w:ind w:left="4320" w:hanging="360"/>
      </w:pPr>
      <w:rPr>
        <w:rFonts w:ascii="Wingdings" w:hAnsi="Wingdings" w:hint="default"/>
      </w:rPr>
    </w:lvl>
    <w:lvl w:ilvl="6" w:tplc="6F5CB34A" w:tentative="1">
      <w:start w:val="1"/>
      <w:numFmt w:val="bullet"/>
      <w:lvlText w:val=""/>
      <w:lvlJc w:val="left"/>
      <w:pPr>
        <w:ind w:left="5040" w:hanging="360"/>
      </w:pPr>
      <w:rPr>
        <w:rFonts w:ascii="Symbol" w:hAnsi="Symbol" w:hint="default"/>
      </w:rPr>
    </w:lvl>
    <w:lvl w:ilvl="7" w:tplc="C70A5E72" w:tentative="1">
      <w:start w:val="1"/>
      <w:numFmt w:val="bullet"/>
      <w:lvlText w:val="o"/>
      <w:lvlJc w:val="left"/>
      <w:pPr>
        <w:ind w:left="5760" w:hanging="360"/>
      </w:pPr>
      <w:rPr>
        <w:rFonts w:ascii="Courier New" w:hAnsi="Courier New" w:hint="default"/>
      </w:rPr>
    </w:lvl>
    <w:lvl w:ilvl="8" w:tplc="D312EDF4" w:tentative="1">
      <w:start w:val="1"/>
      <w:numFmt w:val="bullet"/>
      <w:lvlText w:val=""/>
      <w:lvlJc w:val="left"/>
      <w:pPr>
        <w:ind w:left="6480" w:hanging="360"/>
      </w:pPr>
      <w:rPr>
        <w:rFonts w:ascii="Wingdings" w:hAnsi="Wingdings" w:hint="default"/>
      </w:rPr>
    </w:lvl>
  </w:abstractNum>
  <w:abstractNum w:abstractNumId="560" w15:restartNumberingAfterBreak="0">
    <w:nsid w:val="79FD44CD"/>
    <w:multiLevelType w:val="multilevel"/>
    <w:tmpl w:val="3CB0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A211687"/>
    <w:multiLevelType w:val="multilevel"/>
    <w:tmpl w:val="EC842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A4172CD"/>
    <w:multiLevelType w:val="multilevel"/>
    <w:tmpl w:val="DAB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A4E62E0"/>
    <w:multiLevelType w:val="hybridMultilevel"/>
    <w:tmpl w:val="E4DA2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4" w15:restartNumberingAfterBreak="0">
    <w:nsid w:val="7A544518"/>
    <w:multiLevelType w:val="hybridMultilevel"/>
    <w:tmpl w:val="3B14DD3C"/>
    <w:lvl w:ilvl="0" w:tplc="BDA86B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5" w15:restartNumberingAfterBreak="0">
    <w:nsid w:val="7A667A3C"/>
    <w:multiLevelType w:val="hybridMultilevel"/>
    <w:tmpl w:val="90DE137E"/>
    <w:lvl w:ilvl="0" w:tplc="4FEA4AA0">
      <w:start w:val="1"/>
      <w:numFmt w:val="bullet"/>
      <w:lvlText w:val=""/>
      <w:lvlJc w:val="left"/>
      <w:pPr>
        <w:ind w:left="720" w:hanging="360"/>
      </w:pPr>
      <w:rPr>
        <w:rFonts w:ascii="Symbol" w:hAnsi="Symbol" w:hint="default"/>
      </w:rPr>
    </w:lvl>
    <w:lvl w:ilvl="1" w:tplc="71DA3966" w:tentative="1">
      <w:start w:val="1"/>
      <w:numFmt w:val="bullet"/>
      <w:lvlText w:val="o"/>
      <w:lvlJc w:val="left"/>
      <w:pPr>
        <w:ind w:left="1440" w:hanging="360"/>
      </w:pPr>
      <w:rPr>
        <w:rFonts w:ascii="Courier New" w:hAnsi="Courier New" w:hint="default"/>
      </w:rPr>
    </w:lvl>
    <w:lvl w:ilvl="2" w:tplc="59CC7548">
      <w:start w:val="1"/>
      <w:numFmt w:val="bullet"/>
      <w:lvlText w:val="o"/>
      <w:lvlJc w:val="left"/>
      <w:pPr>
        <w:ind w:left="2160" w:hanging="360"/>
      </w:pPr>
      <w:rPr>
        <w:rFonts w:ascii="Courier New" w:hAnsi="Courier New" w:hint="default"/>
      </w:rPr>
    </w:lvl>
    <w:lvl w:ilvl="3" w:tplc="E3EC742C" w:tentative="1">
      <w:start w:val="1"/>
      <w:numFmt w:val="bullet"/>
      <w:lvlText w:val=""/>
      <w:lvlJc w:val="left"/>
      <w:pPr>
        <w:ind w:left="2880" w:hanging="360"/>
      </w:pPr>
      <w:rPr>
        <w:rFonts w:ascii="Symbol" w:hAnsi="Symbol" w:hint="default"/>
      </w:rPr>
    </w:lvl>
    <w:lvl w:ilvl="4" w:tplc="3702981A" w:tentative="1">
      <w:start w:val="1"/>
      <w:numFmt w:val="bullet"/>
      <w:lvlText w:val="o"/>
      <w:lvlJc w:val="left"/>
      <w:pPr>
        <w:ind w:left="3600" w:hanging="360"/>
      </w:pPr>
      <w:rPr>
        <w:rFonts w:ascii="Courier New" w:hAnsi="Courier New" w:hint="default"/>
      </w:rPr>
    </w:lvl>
    <w:lvl w:ilvl="5" w:tplc="B69640B8" w:tentative="1">
      <w:start w:val="1"/>
      <w:numFmt w:val="bullet"/>
      <w:lvlText w:val=""/>
      <w:lvlJc w:val="left"/>
      <w:pPr>
        <w:ind w:left="4320" w:hanging="360"/>
      </w:pPr>
      <w:rPr>
        <w:rFonts w:ascii="Wingdings" w:hAnsi="Wingdings" w:hint="default"/>
      </w:rPr>
    </w:lvl>
    <w:lvl w:ilvl="6" w:tplc="24043348" w:tentative="1">
      <w:start w:val="1"/>
      <w:numFmt w:val="bullet"/>
      <w:lvlText w:val=""/>
      <w:lvlJc w:val="left"/>
      <w:pPr>
        <w:ind w:left="5040" w:hanging="360"/>
      </w:pPr>
      <w:rPr>
        <w:rFonts w:ascii="Symbol" w:hAnsi="Symbol" w:hint="default"/>
      </w:rPr>
    </w:lvl>
    <w:lvl w:ilvl="7" w:tplc="C0728B90" w:tentative="1">
      <w:start w:val="1"/>
      <w:numFmt w:val="bullet"/>
      <w:lvlText w:val="o"/>
      <w:lvlJc w:val="left"/>
      <w:pPr>
        <w:ind w:left="5760" w:hanging="360"/>
      </w:pPr>
      <w:rPr>
        <w:rFonts w:ascii="Courier New" w:hAnsi="Courier New" w:hint="default"/>
      </w:rPr>
    </w:lvl>
    <w:lvl w:ilvl="8" w:tplc="7EDA0514" w:tentative="1">
      <w:start w:val="1"/>
      <w:numFmt w:val="bullet"/>
      <w:lvlText w:val=""/>
      <w:lvlJc w:val="left"/>
      <w:pPr>
        <w:ind w:left="6480" w:hanging="360"/>
      </w:pPr>
      <w:rPr>
        <w:rFonts w:ascii="Wingdings" w:hAnsi="Wingdings" w:hint="default"/>
      </w:rPr>
    </w:lvl>
  </w:abstractNum>
  <w:abstractNum w:abstractNumId="566" w15:restartNumberingAfterBreak="0">
    <w:nsid w:val="7A7C2DFA"/>
    <w:multiLevelType w:val="multilevel"/>
    <w:tmpl w:val="FD3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ABE35AC"/>
    <w:multiLevelType w:val="hybridMultilevel"/>
    <w:tmpl w:val="FFFFFFFF"/>
    <w:lvl w:ilvl="0" w:tplc="552E3920">
      <w:start w:val="1"/>
      <w:numFmt w:val="bullet"/>
      <w:lvlText w:val=""/>
      <w:lvlJc w:val="left"/>
      <w:pPr>
        <w:ind w:left="720" w:hanging="360"/>
      </w:pPr>
      <w:rPr>
        <w:rFonts w:ascii="Symbol" w:hAnsi="Symbol" w:hint="default"/>
      </w:rPr>
    </w:lvl>
    <w:lvl w:ilvl="1" w:tplc="D05E2CC8">
      <w:start w:val="1"/>
      <w:numFmt w:val="bullet"/>
      <w:lvlText w:val="o"/>
      <w:lvlJc w:val="left"/>
      <w:pPr>
        <w:ind w:left="1440" w:hanging="360"/>
      </w:pPr>
      <w:rPr>
        <w:rFonts w:ascii="Courier New" w:hAnsi="Courier New" w:hint="default"/>
      </w:rPr>
    </w:lvl>
    <w:lvl w:ilvl="2" w:tplc="6AC8FC88">
      <w:start w:val="1"/>
      <w:numFmt w:val="bullet"/>
      <w:lvlText w:val=""/>
      <w:lvlJc w:val="left"/>
      <w:pPr>
        <w:ind w:left="2160" w:hanging="360"/>
      </w:pPr>
      <w:rPr>
        <w:rFonts w:ascii="Wingdings" w:hAnsi="Wingdings" w:hint="default"/>
      </w:rPr>
    </w:lvl>
    <w:lvl w:ilvl="3" w:tplc="B3788AD6">
      <w:start w:val="1"/>
      <w:numFmt w:val="bullet"/>
      <w:lvlText w:val=""/>
      <w:lvlJc w:val="left"/>
      <w:pPr>
        <w:ind w:left="2880" w:hanging="360"/>
      </w:pPr>
      <w:rPr>
        <w:rFonts w:ascii="Symbol" w:hAnsi="Symbol" w:hint="default"/>
      </w:rPr>
    </w:lvl>
    <w:lvl w:ilvl="4" w:tplc="BE3221DE">
      <w:start w:val="1"/>
      <w:numFmt w:val="bullet"/>
      <w:lvlText w:val="o"/>
      <w:lvlJc w:val="left"/>
      <w:pPr>
        <w:ind w:left="3600" w:hanging="360"/>
      </w:pPr>
      <w:rPr>
        <w:rFonts w:ascii="Courier New" w:hAnsi="Courier New" w:hint="default"/>
      </w:rPr>
    </w:lvl>
    <w:lvl w:ilvl="5" w:tplc="CB0CFFFC">
      <w:start w:val="1"/>
      <w:numFmt w:val="bullet"/>
      <w:lvlText w:val=""/>
      <w:lvlJc w:val="left"/>
      <w:pPr>
        <w:ind w:left="4320" w:hanging="360"/>
      </w:pPr>
      <w:rPr>
        <w:rFonts w:ascii="Wingdings" w:hAnsi="Wingdings" w:hint="default"/>
      </w:rPr>
    </w:lvl>
    <w:lvl w:ilvl="6" w:tplc="2460E04C">
      <w:start w:val="1"/>
      <w:numFmt w:val="bullet"/>
      <w:lvlText w:val=""/>
      <w:lvlJc w:val="left"/>
      <w:pPr>
        <w:ind w:left="5040" w:hanging="360"/>
      </w:pPr>
      <w:rPr>
        <w:rFonts w:ascii="Symbol" w:hAnsi="Symbol" w:hint="default"/>
      </w:rPr>
    </w:lvl>
    <w:lvl w:ilvl="7" w:tplc="75BC1DAC">
      <w:start w:val="1"/>
      <w:numFmt w:val="bullet"/>
      <w:lvlText w:val="o"/>
      <w:lvlJc w:val="left"/>
      <w:pPr>
        <w:ind w:left="5760" w:hanging="360"/>
      </w:pPr>
      <w:rPr>
        <w:rFonts w:ascii="Courier New" w:hAnsi="Courier New" w:hint="default"/>
      </w:rPr>
    </w:lvl>
    <w:lvl w:ilvl="8" w:tplc="BF42F912">
      <w:start w:val="1"/>
      <w:numFmt w:val="bullet"/>
      <w:lvlText w:val=""/>
      <w:lvlJc w:val="left"/>
      <w:pPr>
        <w:ind w:left="6480" w:hanging="360"/>
      </w:pPr>
      <w:rPr>
        <w:rFonts w:ascii="Wingdings" w:hAnsi="Wingdings" w:hint="default"/>
      </w:rPr>
    </w:lvl>
  </w:abstractNum>
  <w:abstractNum w:abstractNumId="568" w15:restartNumberingAfterBreak="0">
    <w:nsid w:val="7B280907"/>
    <w:multiLevelType w:val="hybridMultilevel"/>
    <w:tmpl w:val="092E6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9" w15:restartNumberingAfterBreak="0">
    <w:nsid w:val="7B8B5525"/>
    <w:multiLevelType w:val="hybridMultilevel"/>
    <w:tmpl w:val="D0FAB55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570" w15:restartNumberingAfterBreak="0">
    <w:nsid w:val="7BB76DA7"/>
    <w:multiLevelType w:val="hybridMultilevel"/>
    <w:tmpl w:val="FFFFFFFF"/>
    <w:lvl w:ilvl="0" w:tplc="3288078A">
      <w:start w:val="1"/>
      <w:numFmt w:val="bullet"/>
      <w:lvlText w:val=""/>
      <w:lvlJc w:val="left"/>
      <w:pPr>
        <w:ind w:left="720" w:hanging="360"/>
      </w:pPr>
      <w:rPr>
        <w:rFonts w:ascii="Symbol" w:hAnsi="Symbol" w:hint="default"/>
      </w:rPr>
    </w:lvl>
    <w:lvl w:ilvl="1" w:tplc="89E247C6">
      <w:start w:val="1"/>
      <w:numFmt w:val="bullet"/>
      <w:lvlText w:val="o"/>
      <w:lvlJc w:val="left"/>
      <w:pPr>
        <w:ind w:left="1440" w:hanging="360"/>
      </w:pPr>
      <w:rPr>
        <w:rFonts w:ascii="Courier New" w:hAnsi="Courier New" w:hint="default"/>
      </w:rPr>
    </w:lvl>
    <w:lvl w:ilvl="2" w:tplc="DD64EF82">
      <w:start w:val="1"/>
      <w:numFmt w:val="bullet"/>
      <w:lvlText w:val=""/>
      <w:lvlJc w:val="left"/>
      <w:pPr>
        <w:ind w:left="2160" w:hanging="360"/>
      </w:pPr>
      <w:rPr>
        <w:rFonts w:ascii="Wingdings" w:hAnsi="Wingdings" w:hint="default"/>
      </w:rPr>
    </w:lvl>
    <w:lvl w:ilvl="3" w:tplc="07F0E38E">
      <w:start w:val="1"/>
      <w:numFmt w:val="bullet"/>
      <w:lvlText w:val=""/>
      <w:lvlJc w:val="left"/>
      <w:pPr>
        <w:ind w:left="2880" w:hanging="360"/>
      </w:pPr>
      <w:rPr>
        <w:rFonts w:ascii="Symbol" w:hAnsi="Symbol" w:hint="default"/>
      </w:rPr>
    </w:lvl>
    <w:lvl w:ilvl="4" w:tplc="7CAE8E32">
      <w:start w:val="1"/>
      <w:numFmt w:val="bullet"/>
      <w:lvlText w:val="o"/>
      <w:lvlJc w:val="left"/>
      <w:pPr>
        <w:ind w:left="3600" w:hanging="360"/>
      </w:pPr>
      <w:rPr>
        <w:rFonts w:ascii="Courier New" w:hAnsi="Courier New" w:hint="default"/>
      </w:rPr>
    </w:lvl>
    <w:lvl w:ilvl="5" w:tplc="AE962A6C">
      <w:start w:val="1"/>
      <w:numFmt w:val="bullet"/>
      <w:lvlText w:val=""/>
      <w:lvlJc w:val="left"/>
      <w:pPr>
        <w:ind w:left="4320" w:hanging="360"/>
      </w:pPr>
      <w:rPr>
        <w:rFonts w:ascii="Wingdings" w:hAnsi="Wingdings" w:hint="default"/>
      </w:rPr>
    </w:lvl>
    <w:lvl w:ilvl="6" w:tplc="DD8024BE">
      <w:start w:val="1"/>
      <w:numFmt w:val="bullet"/>
      <w:lvlText w:val=""/>
      <w:lvlJc w:val="left"/>
      <w:pPr>
        <w:ind w:left="5040" w:hanging="360"/>
      </w:pPr>
      <w:rPr>
        <w:rFonts w:ascii="Symbol" w:hAnsi="Symbol" w:hint="default"/>
      </w:rPr>
    </w:lvl>
    <w:lvl w:ilvl="7" w:tplc="E81C1808">
      <w:start w:val="1"/>
      <w:numFmt w:val="bullet"/>
      <w:lvlText w:val="o"/>
      <w:lvlJc w:val="left"/>
      <w:pPr>
        <w:ind w:left="5760" w:hanging="360"/>
      </w:pPr>
      <w:rPr>
        <w:rFonts w:ascii="Courier New" w:hAnsi="Courier New" w:hint="default"/>
      </w:rPr>
    </w:lvl>
    <w:lvl w:ilvl="8" w:tplc="67582E14">
      <w:start w:val="1"/>
      <w:numFmt w:val="bullet"/>
      <w:lvlText w:val=""/>
      <w:lvlJc w:val="left"/>
      <w:pPr>
        <w:ind w:left="6480" w:hanging="360"/>
      </w:pPr>
      <w:rPr>
        <w:rFonts w:ascii="Wingdings" w:hAnsi="Wingdings" w:hint="default"/>
      </w:rPr>
    </w:lvl>
  </w:abstractNum>
  <w:abstractNum w:abstractNumId="571" w15:restartNumberingAfterBreak="0">
    <w:nsid w:val="7BFA69D7"/>
    <w:multiLevelType w:val="multilevel"/>
    <w:tmpl w:val="67C2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7C68A073"/>
    <w:multiLevelType w:val="hybridMultilevel"/>
    <w:tmpl w:val="F5322510"/>
    <w:lvl w:ilvl="0" w:tplc="53706B7A">
      <w:start w:val="1"/>
      <w:numFmt w:val="bullet"/>
      <w:lvlText w:val="·"/>
      <w:lvlJc w:val="left"/>
      <w:pPr>
        <w:ind w:left="720" w:hanging="360"/>
      </w:pPr>
      <w:rPr>
        <w:rFonts w:ascii="Symbol" w:hAnsi="Symbol" w:hint="default"/>
      </w:rPr>
    </w:lvl>
    <w:lvl w:ilvl="1" w:tplc="82AA11E4">
      <w:start w:val="1"/>
      <w:numFmt w:val="bullet"/>
      <w:lvlText w:val="o"/>
      <w:lvlJc w:val="left"/>
      <w:pPr>
        <w:ind w:left="1440" w:hanging="360"/>
      </w:pPr>
      <w:rPr>
        <w:rFonts w:ascii="Courier New" w:hAnsi="Courier New" w:hint="default"/>
      </w:rPr>
    </w:lvl>
    <w:lvl w:ilvl="2" w:tplc="BF3A8D98">
      <w:start w:val="1"/>
      <w:numFmt w:val="bullet"/>
      <w:lvlText w:val=""/>
      <w:lvlJc w:val="left"/>
      <w:pPr>
        <w:ind w:left="2160" w:hanging="360"/>
      </w:pPr>
      <w:rPr>
        <w:rFonts w:ascii="Wingdings" w:hAnsi="Wingdings" w:hint="default"/>
      </w:rPr>
    </w:lvl>
    <w:lvl w:ilvl="3" w:tplc="61B82652">
      <w:start w:val="1"/>
      <w:numFmt w:val="bullet"/>
      <w:lvlText w:val=""/>
      <w:lvlJc w:val="left"/>
      <w:pPr>
        <w:ind w:left="2880" w:hanging="360"/>
      </w:pPr>
      <w:rPr>
        <w:rFonts w:ascii="Symbol" w:hAnsi="Symbol" w:hint="default"/>
      </w:rPr>
    </w:lvl>
    <w:lvl w:ilvl="4" w:tplc="5F94123C">
      <w:start w:val="1"/>
      <w:numFmt w:val="bullet"/>
      <w:lvlText w:val="o"/>
      <w:lvlJc w:val="left"/>
      <w:pPr>
        <w:ind w:left="3600" w:hanging="360"/>
      </w:pPr>
      <w:rPr>
        <w:rFonts w:ascii="Courier New" w:hAnsi="Courier New" w:hint="default"/>
      </w:rPr>
    </w:lvl>
    <w:lvl w:ilvl="5" w:tplc="09600766">
      <w:start w:val="1"/>
      <w:numFmt w:val="bullet"/>
      <w:lvlText w:val=""/>
      <w:lvlJc w:val="left"/>
      <w:pPr>
        <w:ind w:left="4320" w:hanging="360"/>
      </w:pPr>
      <w:rPr>
        <w:rFonts w:ascii="Wingdings" w:hAnsi="Wingdings" w:hint="default"/>
      </w:rPr>
    </w:lvl>
    <w:lvl w:ilvl="6" w:tplc="377032B6">
      <w:start w:val="1"/>
      <w:numFmt w:val="bullet"/>
      <w:lvlText w:val=""/>
      <w:lvlJc w:val="left"/>
      <w:pPr>
        <w:ind w:left="5040" w:hanging="360"/>
      </w:pPr>
      <w:rPr>
        <w:rFonts w:ascii="Symbol" w:hAnsi="Symbol" w:hint="default"/>
      </w:rPr>
    </w:lvl>
    <w:lvl w:ilvl="7" w:tplc="F020A2C0">
      <w:start w:val="1"/>
      <w:numFmt w:val="bullet"/>
      <w:lvlText w:val="o"/>
      <w:lvlJc w:val="left"/>
      <w:pPr>
        <w:ind w:left="5760" w:hanging="360"/>
      </w:pPr>
      <w:rPr>
        <w:rFonts w:ascii="Courier New" w:hAnsi="Courier New" w:hint="default"/>
      </w:rPr>
    </w:lvl>
    <w:lvl w:ilvl="8" w:tplc="419A3AA4">
      <w:start w:val="1"/>
      <w:numFmt w:val="bullet"/>
      <w:lvlText w:val=""/>
      <w:lvlJc w:val="left"/>
      <w:pPr>
        <w:ind w:left="6480" w:hanging="360"/>
      </w:pPr>
      <w:rPr>
        <w:rFonts w:ascii="Wingdings" w:hAnsi="Wingdings" w:hint="default"/>
      </w:rPr>
    </w:lvl>
  </w:abstractNum>
  <w:abstractNum w:abstractNumId="573" w15:restartNumberingAfterBreak="0">
    <w:nsid w:val="7C7C7679"/>
    <w:multiLevelType w:val="hybridMultilevel"/>
    <w:tmpl w:val="A1B07FBE"/>
    <w:lvl w:ilvl="0" w:tplc="8EF496A6">
      <w:start w:val="1"/>
      <w:numFmt w:val="bullet"/>
      <w:lvlText w:val="·"/>
      <w:lvlJc w:val="left"/>
      <w:pPr>
        <w:ind w:left="720" w:hanging="360"/>
      </w:pPr>
      <w:rPr>
        <w:rFonts w:ascii="Symbol" w:hAnsi="Symbol" w:hint="default"/>
      </w:rPr>
    </w:lvl>
    <w:lvl w:ilvl="1" w:tplc="D5DACD66" w:tentative="1">
      <w:start w:val="1"/>
      <w:numFmt w:val="bullet"/>
      <w:lvlText w:val="o"/>
      <w:lvlJc w:val="left"/>
      <w:pPr>
        <w:ind w:left="1440" w:hanging="360"/>
      </w:pPr>
      <w:rPr>
        <w:rFonts w:ascii="Courier New" w:hAnsi="Courier New" w:hint="default"/>
      </w:rPr>
    </w:lvl>
    <w:lvl w:ilvl="2" w:tplc="53E60A90" w:tentative="1">
      <w:start w:val="1"/>
      <w:numFmt w:val="bullet"/>
      <w:lvlText w:val=""/>
      <w:lvlJc w:val="left"/>
      <w:pPr>
        <w:ind w:left="2160" w:hanging="360"/>
      </w:pPr>
      <w:rPr>
        <w:rFonts w:ascii="Wingdings" w:hAnsi="Wingdings" w:hint="default"/>
      </w:rPr>
    </w:lvl>
    <w:lvl w:ilvl="3" w:tplc="BBFAEECC" w:tentative="1">
      <w:start w:val="1"/>
      <w:numFmt w:val="bullet"/>
      <w:lvlText w:val=""/>
      <w:lvlJc w:val="left"/>
      <w:pPr>
        <w:ind w:left="2880" w:hanging="360"/>
      </w:pPr>
      <w:rPr>
        <w:rFonts w:ascii="Symbol" w:hAnsi="Symbol" w:hint="default"/>
      </w:rPr>
    </w:lvl>
    <w:lvl w:ilvl="4" w:tplc="8806CE9E" w:tentative="1">
      <w:start w:val="1"/>
      <w:numFmt w:val="bullet"/>
      <w:lvlText w:val="o"/>
      <w:lvlJc w:val="left"/>
      <w:pPr>
        <w:ind w:left="3600" w:hanging="360"/>
      </w:pPr>
      <w:rPr>
        <w:rFonts w:ascii="Courier New" w:hAnsi="Courier New" w:hint="default"/>
      </w:rPr>
    </w:lvl>
    <w:lvl w:ilvl="5" w:tplc="1868B466" w:tentative="1">
      <w:start w:val="1"/>
      <w:numFmt w:val="bullet"/>
      <w:lvlText w:val=""/>
      <w:lvlJc w:val="left"/>
      <w:pPr>
        <w:ind w:left="4320" w:hanging="360"/>
      </w:pPr>
      <w:rPr>
        <w:rFonts w:ascii="Wingdings" w:hAnsi="Wingdings" w:hint="default"/>
      </w:rPr>
    </w:lvl>
    <w:lvl w:ilvl="6" w:tplc="1D1AD4C0" w:tentative="1">
      <w:start w:val="1"/>
      <w:numFmt w:val="bullet"/>
      <w:lvlText w:val=""/>
      <w:lvlJc w:val="left"/>
      <w:pPr>
        <w:ind w:left="5040" w:hanging="360"/>
      </w:pPr>
      <w:rPr>
        <w:rFonts w:ascii="Symbol" w:hAnsi="Symbol" w:hint="default"/>
      </w:rPr>
    </w:lvl>
    <w:lvl w:ilvl="7" w:tplc="5B9E24EE" w:tentative="1">
      <w:start w:val="1"/>
      <w:numFmt w:val="bullet"/>
      <w:lvlText w:val="o"/>
      <w:lvlJc w:val="left"/>
      <w:pPr>
        <w:ind w:left="5760" w:hanging="360"/>
      </w:pPr>
      <w:rPr>
        <w:rFonts w:ascii="Courier New" w:hAnsi="Courier New" w:hint="default"/>
      </w:rPr>
    </w:lvl>
    <w:lvl w:ilvl="8" w:tplc="461041E4" w:tentative="1">
      <w:start w:val="1"/>
      <w:numFmt w:val="bullet"/>
      <w:lvlText w:val=""/>
      <w:lvlJc w:val="left"/>
      <w:pPr>
        <w:ind w:left="6480" w:hanging="360"/>
      </w:pPr>
      <w:rPr>
        <w:rFonts w:ascii="Wingdings" w:hAnsi="Wingdings" w:hint="default"/>
      </w:rPr>
    </w:lvl>
  </w:abstractNum>
  <w:abstractNum w:abstractNumId="574" w15:restartNumberingAfterBreak="0">
    <w:nsid w:val="7CBE54D5"/>
    <w:multiLevelType w:val="hybridMultilevel"/>
    <w:tmpl w:val="1AA6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5" w15:restartNumberingAfterBreak="0">
    <w:nsid w:val="7CD24E4E"/>
    <w:multiLevelType w:val="multilevel"/>
    <w:tmpl w:val="D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D050CC0"/>
    <w:multiLevelType w:val="hybridMultilevel"/>
    <w:tmpl w:val="8FCAC44C"/>
    <w:lvl w:ilvl="0" w:tplc="036C81E0">
      <w:start w:val="1"/>
      <w:numFmt w:val="bullet"/>
      <w:lvlText w:val=""/>
      <w:lvlJc w:val="left"/>
      <w:pPr>
        <w:ind w:left="720" w:hanging="360"/>
      </w:pPr>
      <w:rPr>
        <w:rFonts w:ascii="Symbol" w:hAnsi="Symbol" w:hint="default"/>
      </w:rPr>
    </w:lvl>
    <w:lvl w:ilvl="1" w:tplc="0D806BD2" w:tentative="1">
      <w:start w:val="1"/>
      <w:numFmt w:val="bullet"/>
      <w:lvlText w:val="o"/>
      <w:lvlJc w:val="left"/>
      <w:pPr>
        <w:ind w:left="1440" w:hanging="360"/>
      </w:pPr>
      <w:rPr>
        <w:rFonts w:ascii="Courier New" w:hAnsi="Courier New" w:hint="default"/>
      </w:rPr>
    </w:lvl>
    <w:lvl w:ilvl="2" w:tplc="B4C0A7C0" w:tentative="1">
      <w:start w:val="1"/>
      <w:numFmt w:val="bullet"/>
      <w:lvlText w:val=""/>
      <w:lvlJc w:val="left"/>
      <w:pPr>
        <w:ind w:left="2160" w:hanging="360"/>
      </w:pPr>
      <w:rPr>
        <w:rFonts w:ascii="Wingdings" w:hAnsi="Wingdings" w:hint="default"/>
      </w:rPr>
    </w:lvl>
    <w:lvl w:ilvl="3" w:tplc="14A2E232" w:tentative="1">
      <w:start w:val="1"/>
      <w:numFmt w:val="bullet"/>
      <w:lvlText w:val=""/>
      <w:lvlJc w:val="left"/>
      <w:pPr>
        <w:ind w:left="2880" w:hanging="360"/>
      </w:pPr>
      <w:rPr>
        <w:rFonts w:ascii="Symbol" w:hAnsi="Symbol" w:hint="default"/>
      </w:rPr>
    </w:lvl>
    <w:lvl w:ilvl="4" w:tplc="158600DC" w:tentative="1">
      <w:start w:val="1"/>
      <w:numFmt w:val="bullet"/>
      <w:lvlText w:val="o"/>
      <w:lvlJc w:val="left"/>
      <w:pPr>
        <w:ind w:left="3600" w:hanging="360"/>
      </w:pPr>
      <w:rPr>
        <w:rFonts w:ascii="Courier New" w:hAnsi="Courier New" w:hint="default"/>
      </w:rPr>
    </w:lvl>
    <w:lvl w:ilvl="5" w:tplc="6E2265D8" w:tentative="1">
      <w:start w:val="1"/>
      <w:numFmt w:val="bullet"/>
      <w:lvlText w:val=""/>
      <w:lvlJc w:val="left"/>
      <w:pPr>
        <w:ind w:left="4320" w:hanging="360"/>
      </w:pPr>
      <w:rPr>
        <w:rFonts w:ascii="Wingdings" w:hAnsi="Wingdings" w:hint="default"/>
      </w:rPr>
    </w:lvl>
    <w:lvl w:ilvl="6" w:tplc="8FEA79E0" w:tentative="1">
      <w:start w:val="1"/>
      <w:numFmt w:val="bullet"/>
      <w:lvlText w:val=""/>
      <w:lvlJc w:val="left"/>
      <w:pPr>
        <w:ind w:left="5040" w:hanging="360"/>
      </w:pPr>
      <w:rPr>
        <w:rFonts w:ascii="Symbol" w:hAnsi="Symbol" w:hint="default"/>
      </w:rPr>
    </w:lvl>
    <w:lvl w:ilvl="7" w:tplc="FE3601D4" w:tentative="1">
      <w:start w:val="1"/>
      <w:numFmt w:val="bullet"/>
      <w:lvlText w:val="o"/>
      <w:lvlJc w:val="left"/>
      <w:pPr>
        <w:ind w:left="5760" w:hanging="360"/>
      </w:pPr>
      <w:rPr>
        <w:rFonts w:ascii="Courier New" w:hAnsi="Courier New" w:hint="default"/>
      </w:rPr>
    </w:lvl>
    <w:lvl w:ilvl="8" w:tplc="8702DAF8" w:tentative="1">
      <w:start w:val="1"/>
      <w:numFmt w:val="bullet"/>
      <w:lvlText w:val=""/>
      <w:lvlJc w:val="left"/>
      <w:pPr>
        <w:ind w:left="6480" w:hanging="360"/>
      </w:pPr>
      <w:rPr>
        <w:rFonts w:ascii="Wingdings" w:hAnsi="Wingdings" w:hint="default"/>
      </w:rPr>
    </w:lvl>
  </w:abstractNum>
  <w:abstractNum w:abstractNumId="577" w15:restartNumberingAfterBreak="0">
    <w:nsid w:val="7D1675D2"/>
    <w:multiLevelType w:val="multilevel"/>
    <w:tmpl w:val="A4F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D2970FA"/>
    <w:multiLevelType w:val="multilevel"/>
    <w:tmpl w:val="E6C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D811ECE"/>
    <w:multiLevelType w:val="multilevel"/>
    <w:tmpl w:val="02E6ABC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0" w15:restartNumberingAfterBreak="0">
    <w:nsid w:val="7DCEE0CD"/>
    <w:multiLevelType w:val="hybridMultilevel"/>
    <w:tmpl w:val="FFFFFFFF"/>
    <w:lvl w:ilvl="0" w:tplc="76785140">
      <w:start w:val="1"/>
      <w:numFmt w:val="bullet"/>
      <w:lvlText w:val=""/>
      <w:lvlJc w:val="left"/>
      <w:pPr>
        <w:ind w:left="720" w:hanging="360"/>
      </w:pPr>
      <w:rPr>
        <w:rFonts w:ascii="Symbol" w:hAnsi="Symbol" w:hint="default"/>
      </w:rPr>
    </w:lvl>
    <w:lvl w:ilvl="1" w:tplc="5790BC06">
      <w:start w:val="1"/>
      <w:numFmt w:val="bullet"/>
      <w:lvlText w:val="o"/>
      <w:lvlJc w:val="left"/>
      <w:pPr>
        <w:ind w:left="1440" w:hanging="360"/>
      </w:pPr>
      <w:rPr>
        <w:rFonts w:ascii="Courier New" w:hAnsi="Courier New" w:hint="default"/>
      </w:rPr>
    </w:lvl>
    <w:lvl w:ilvl="2" w:tplc="A51CD4CE">
      <w:start w:val="1"/>
      <w:numFmt w:val="bullet"/>
      <w:lvlText w:val=""/>
      <w:lvlJc w:val="left"/>
      <w:pPr>
        <w:ind w:left="2160" w:hanging="360"/>
      </w:pPr>
      <w:rPr>
        <w:rFonts w:ascii="Wingdings" w:hAnsi="Wingdings" w:hint="default"/>
      </w:rPr>
    </w:lvl>
    <w:lvl w:ilvl="3" w:tplc="94668802">
      <w:start w:val="1"/>
      <w:numFmt w:val="bullet"/>
      <w:lvlText w:val=""/>
      <w:lvlJc w:val="left"/>
      <w:pPr>
        <w:ind w:left="2880" w:hanging="360"/>
      </w:pPr>
      <w:rPr>
        <w:rFonts w:ascii="Symbol" w:hAnsi="Symbol" w:hint="default"/>
      </w:rPr>
    </w:lvl>
    <w:lvl w:ilvl="4" w:tplc="4D68E74A">
      <w:start w:val="1"/>
      <w:numFmt w:val="bullet"/>
      <w:lvlText w:val="o"/>
      <w:lvlJc w:val="left"/>
      <w:pPr>
        <w:ind w:left="3600" w:hanging="360"/>
      </w:pPr>
      <w:rPr>
        <w:rFonts w:ascii="Courier New" w:hAnsi="Courier New" w:hint="default"/>
      </w:rPr>
    </w:lvl>
    <w:lvl w:ilvl="5" w:tplc="8CBEF844">
      <w:start w:val="1"/>
      <w:numFmt w:val="bullet"/>
      <w:lvlText w:val=""/>
      <w:lvlJc w:val="left"/>
      <w:pPr>
        <w:ind w:left="4320" w:hanging="360"/>
      </w:pPr>
      <w:rPr>
        <w:rFonts w:ascii="Wingdings" w:hAnsi="Wingdings" w:hint="default"/>
      </w:rPr>
    </w:lvl>
    <w:lvl w:ilvl="6" w:tplc="EECEF94E">
      <w:start w:val="1"/>
      <w:numFmt w:val="bullet"/>
      <w:lvlText w:val=""/>
      <w:lvlJc w:val="left"/>
      <w:pPr>
        <w:ind w:left="5040" w:hanging="360"/>
      </w:pPr>
      <w:rPr>
        <w:rFonts w:ascii="Symbol" w:hAnsi="Symbol" w:hint="default"/>
      </w:rPr>
    </w:lvl>
    <w:lvl w:ilvl="7" w:tplc="C5D2928E">
      <w:start w:val="1"/>
      <w:numFmt w:val="bullet"/>
      <w:lvlText w:val="o"/>
      <w:lvlJc w:val="left"/>
      <w:pPr>
        <w:ind w:left="5760" w:hanging="360"/>
      </w:pPr>
      <w:rPr>
        <w:rFonts w:ascii="Courier New" w:hAnsi="Courier New" w:hint="default"/>
      </w:rPr>
    </w:lvl>
    <w:lvl w:ilvl="8" w:tplc="F0544C4E">
      <w:start w:val="1"/>
      <w:numFmt w:val="bullet"/>
      <w:lvlText w:val=""/>
      <w:lvlJc w:val="left"/>
      <w:pPr>
        <w:ind w:left="6480" w:hanging="360"/>
      </w:pPr>
      <w:rPr>
        <w:rFonts w:ascii="Wingdings" w:hAnsi="Wingdings" w:hint="default"/>
      </w:rPr>
    </w:lvl>
  </w:abstractNum>
  <w:abstractNum w:abstractNumId="581" w15:restartNumberingAfterBreak="0">
    <w:nsid w:val="7E1E18D2"/>
    <w:multiLevelType w:val="hybridMultilevel"/>
    <w:tmpl w:val="D6EA7920"/>
    <w:lvl w:ilvl="0" w:tplc="4322C9D2">
      <w:start w:val="1"/>
      <w:numFmt w:val="bullet"/>
      <w:lvlText w:val=""/>
      <w:lvlJc w:val="left"/>
      <w:pPr>
        <w:ind w:left="360" w:hanging="360"/>
      </w:pPr>
      <w:rPr>
        <w:rFonts w:ascii="Symbol" w:hAnsi="Symbol" w:hint="default"/>
      </w:rPr>
    </w:lvl>
    <w:lvl w:ilvl="1" w:tplc="1EC03384">
      <w:start w:val="1"/>
      <w:numFmt w:val="bullet"/>
      <w:lvlText w:val="o"/>
      <w:lvlJc w:val="left"/>
      <w:pPr>
        <w:ind w:left="928" w:hanging="360"/>
      </w:pPr>
      <w:rPr>
        <w:rFonts w:ascii="Courier New" w:hAnsi="Courier New" w:hint="default"/>
      </w:rPr>
    </w:lvl>
    <w:lvl w:ilvl="2" w:tplc="B6C63CAA">
      <w:start w:val="1"/>
      <w:numFmt w:val="bullet"/>
      <w:lvlText w:val=""/>
      <w:lvlJc w:val="left"/>
      <w:pPr>
        <w:ind w:left="2236" w:hanging="360"/>
      </w:pPr>
      <w:rPr>
        <w:rFonts w:ascii="Wingdings" w:hAnsi="Wingdings" w:hint="default"/>
      </w:rPr>
    </w:lvl>
    <w:lvl w:ilvl="3" w:tplc="902AFDF4" w:tentative="1">
      <w:start w:val="1"/>
      <w:numFmt w:val="bullet"/>
      <w:lvlText w:val=""/>
      <w:lvlJc w:val="left"/>
      <w:pPr>
        <w:ind w:left="2956" w:hanging="360"/>
      </w:pPr>
      <w:rPr>
        <w:rFonts w:ascii="Symbol" w:hAnsi="Symbol" w:hint="default"/>
      </w:rPr>
    </w:lvl>
    <w:lvl w:ilvl="4" w:tplc="35D44E8C" w:tentative="1">
      <w:start w:val="1"/>
      <w:numFmt w:val="bullet"/>
      <w:lvlText w:val="o"/>
      <w:lvlJc w:val="left"/>
      <w:pPr>
        <w:ind w:left="3676" w:hanging="360"/>
      </w:pPr>
      <w:rPr>
        <w:rFonts w:ascii="Courier New" w:hAnsi="Courier New" w:hint="default"/>
      </w:rPr>
    </w:lvl>
    <w:lvl w:ilvl="5" w:tplc="BBF652D6" w:tentative="1">
      <w:start w:val="1"/>
      <w:numFmt w:val="bullet"/>
      <w:lvlText w:val=""/>
      <w:lvlJc w:val="left"/>
      <w:pPr>
        <w:ind w:left="4396" w:hanging="360"/>
      </w:pPr>
      <w:rPr>
        <w:rFonts w:ascii="Wingdings" w:hAnsi="Wingdings" w:hint="default"/>
      </w:rPr>
    </w:lvl>
    <w:lvl w:ilvl="6" w:tplc="3A54FC66" w:tentative="1">
      <w:start w:val="1"/>
      <w:numFmt w:val="bullet"/>
      <w:lvlText w:val=""/>
      <w:lvlJc w:val="left"/>
      <w:pPr>
        <w:ind w:left="5116" w:hanging="360"/>
      </w:pPr>
      <w:rPr>
        <w:rFonts w:ascii="Symbol" w:hAnsi="Symbol" w:hint="default"/>
      </w:rPr>
    </w:lvl>
    <w:lvl w:ilvl="7" w:tplc="7B2A97D8" w:tentative="1">
      <w:start w:val="1"/>
      <w:numFmt w:val="bullet"/>
      <w:lvlText w:val="o"/>
      <w:lvlJc w:val="left"/>
      <w:pPr>
        <w:ind w:left="5836" w:hanging="360"/>
      </w:pPr>
      <w:rPr>
        <w:rFonts w:ascii="Courier New" w:hAnsi="Courier New" w:hint="default"/>
      </w:rPr>
    </w:lvl>
    <w:lvl w:ilvl="8" w:tplc="C144095E" w:tentative="1">
      <w:start w:val="1"/>
      <w:numFmt w:val="bullet"/>
      <w:lvlText w:val=""/>
      <w:lvlJc w:val="left"/>
      <w:pPr>
        <w:ind w:left="6556" w:hanging="360"/>
      </w:pPr>
      <w:rPr>
        <w:rFonts w:ascii="Wingdings" w:hAnsi="Wingdings" w:hint="default"/>
      </w:rPr>
    </w:lvl>
  </w:abstractNum>
  <w:abstractNum w:abstractNumId="582" w15:restartNumberingAfterBreak="0">
    <w:nsid w:val="7E4857F1"/>
    <w:multiLevelType w:val="multilevel"/>
    <w:tmpl w:val="13F2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7E543FB0"/>
    <w:multiLevelType w:val="multilevel"/>
    <w:tmpl w:val="0F7A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E7C5A29"/>
    <w:multiLevelType w:val="hybridMultilevel"/>
    <w:tmpl w:val="FFFFFFFF"/>
    <w:lvl w:ilvl="0" w:tplc="CD7EF0DA">
      <w:start w:val="1"/>
      <w:numFmt w:val="bullet"/>
      <w:lvlText w:val="·"/>
      <w:lvlJc w:val="left"/>
      <w:pPr>
        <w:ind w:left="720" w:hanging="360"/>
      </w:pPr>
      <w:rPr>
        <w:rFonts w:ascii="Symbol" w:hAnsi="Symbol" w:hint="default"/>
      </w:rPr>
    </w:lvl>
    <w:lvl w:ilvl="1" w:tplc="7BE2E89C">
      <w:start w:val="1"/>
      <w:numFmt w:val="bullet"/>
      <w:lvlText w:val="o"/>
      <w:lvlJc w:val="left"/>
      <w:pPr>
        <w:ind w:left="1440" w:hanging="360"/>
      </w:pPr>
      <w:rPr>
        <w:rFonts w:ascii="Courier New" w:hAnsi="Courier New" w:hint="default"/>
      </w:rPr>
    </w:lvl>
    <w:lvl w:ilvl="2" w:tplc="400217FA">
      <w:start w:val="1"/>
      <w:numFmt w:val="bullet"/>
      <w:lvlText w:val=""/>
      <w:lvlJc w:val="left"/>
      <w:pPr>
        <w:ind w:left="2160" w:hanging="360"/>
      </w:pPr>
      <w:rPr>
        <w:rFonts w:ascii="Wingdings" w:hAnsi="Wingdings" w:hint="default"/>
      </w:rPr>
    </w:lvl>
    <w:lvl w:ilvl="3" w:tplc="21984050">
      <w:start w:val="1"/>
      <w:numFmt w:val="bullet"/>
      <w:lvlText w:val=""/>
      <w:lvlJc w:val="left"/>
      <w:pPr>
        <w:ind w:left="2880" w:hanging="360"/>
      </w:pPr>
      <w:rPr>
        <w:rFonts w:ascii="Symbol" w:hAnsi="Symbol" w:hint="default"/>
      </w:rPr>
    </w:lvl>
    <w:lvl w:ilvl="4" w:tplc="9CCCAC88">
      <w:start w:val="1"/>
      <w:numFmt w:val="bullet"/>
      <w:lvlText w:val="o"/>
      <w:lvlJc w:val="left"/>
      <w:pPr>
        <w:ind w:left="3600" w:hanging="360"/>
      </w:pPr>
      <w:rPr>
        <w:rFonts w:ascii="Courier New" w:hAnsi="Courier New" w:hint="default"/>
      </w:rPr>
    </w:lvl>
    <w:lvl w:ilvl="5" w:tplc="7E48ED6E">
      <w:start w:val="1"/>
      <w:numFmt w:val="bullet"/>
      <w:lvlText w:val=""/>
      <w:lvlJc w:val="left"/>
      <w:pPr>
        <w:ind w:left="4320" w:hanging="360"/>
      </w:pPr>
      <w:rPr>
        <w:rFonts w:ascii="Wingdings" w:hAnsi="Wingdings" w:hint="default"/>
      </w:rPr>
    </w:lvl>
    <w:lvl w:ilvl="6" w:tplc="257C4A96">
      <w:start w:val="1"/>
      <w:numFmt w:val="bullet"/>
      <w:lvlText w:val=""/>
      <w:lvlJc w:val="left"/>
      <w:pPr>
        <w:ind w:left="5040" w:hanging="360"/>
      </w:pPr>
      <w:rPr>
        <w:rFonts w:ascii="Symbol" w:hAnsi="Symbol" w:hint="default"/>
      </w:rPr>
    </w:lvl>
    <w:lvl w:ilvl="7" w:tplc="DEC85BBE">
      <w:start w:val="1"/>
      <w:numFmt w:val="bullet"/>
      <w:lvlText w:val="o"/>
      <w:lvlJc w:val="left"/>
      <w:pPr>
        <w:ind w:left="5760" w:hanging="360"/>
      </w:pPr>
      <w:rPr>
        <w:rFonts w:ascii="Courier New" w:hAnsi="Courier New" w:hint="default"/>
      </w:rPr>
    </w:lvl>
    <w:lvl w:ilvl="8" w:tplc="FB1AD05C">
      <w:start w:val="1"/>
      <w:numFmt w:val="bullet"/>
      <w:lvlText w:val=""/>
      <w:lvlJc w:val="left"/>
      <w:pPr>
        <w:ind w:left="6480" w:hanging="360"/>
      </w:pPr>
      <w:rPr>
        <w:rFonts w:ascii="Wingdings" w:hAnsi="Wingdings" w:hint="default"/>
      </w:rPr>
    </w:lvl>
  </w:abstractNum>
  <w:abstractNum w:abstractNumId="585" w15:restartNumberingAfterBreak="0">
    <w:nsid w:val="7EBA0899"/>
    <w:multiLevelType w:val="multilevel"/>
    <w:tmpl w:val="EF6A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7EC76F1C"/>
    <w:multiLevelType w:val="hybridMultilevel"/>
    <w:tmpl w:val="9FC027A8"/>
    <w:lvl w:ilvl="0" w:tplc="7DA470E4">
      <w:start w:val="1"/>
      <w:numFmt w:val="bullet"/>
      <w:lvlText w:val=""/>
      <w:lvlJc w:val="left"/>
      <w:pPr>
        <w:ind w:left="720" w:hanging="360"/>
      </w:pPr>
      <w:rPr>
        <w:rFonts w:ascii="Symbol" w:hAnsi="Symbol" w:hint="default"/>
      </w:rPr>
    </w:lvl>
    <w:lvl w:ilvl="1" w:tplc="7954FE1C" w:tentative="1">
      <w:start w:val="1"/>
      <w:numFmt w:val="bullet"/>
      <w:lvlText w:val="o"/>
      <w:lvlJc w:val="left"/>
      <w:pPr>
        <w:ind w:left="1440" w:hanging="360"/>
      </w:pPr>
      <w:rPr>
        <w:rFonts w:ascii="Courier New" w:hAnsi="Courier New" w:hint="default"/>
      </w:rPr>
    </w:lvl>
    <w:lvl w:ilvl="2" w:tplc="2362E73C" w:tentative="1">
      <w:start w:val="1"/>
      <w:numFmt w:val="bullet"/>
      <w:lvlText w:val=""/>
      <w:lvlJc w:val="left"/>
      <w:pPr>
        <w:ind w:left="2160" w:hanging="360"/>
      </w:pPr>
      <w:rPr>
        <w:rFonts w:ascii="Wingdings" w:hAnsi="Wingdings" w:hint="default"/>
      </w:rPr>
    </w:lvl>
    <w:lvl w:ilvl="3" w:tplc="A66C2BB0" w:tentative="1">
      <w:start w:val="1"/>
      <w:numFmt w:val="bullet"/>
      <w:lvlText w:val=""/>
      <w:lvlJc w:val="left"/>
      <w:pPr>
        <w:ind w:left="2880" w:hanging="360"/>
      </w:pPr>
      <w:rPr>
        <w:rFonts w:ascii="Symbol" w:hAnsi="Symbol" w:hint="default"/>
      </w:rPr>
    </w:lvl>
    <w:lvl w:ilvl="4" w:tplc="69FEB54E" w:tentative="1">
      <w:start w:val="1"/>
      <w:numFmt w:val="bullet"/>
      <w:lvlText w:val="o"/>
      <w:lvlJc w:val="left"/>
      <w:pPr>
        <w:ind w:left="3600" w:hanging="360"/>
      </w:pPr>
      <w:rPr>
        <w:rFonts w:ascii="Courier New" w:hAnsi="Courier New" w:hint="default"/>
      </w:rPr>
    </w:lvl>
    <w:lvl w:ilvl="5" w:tplc="09846E3A" w:tentative="1">
      <w:start w:val="1"/>
      <w:numFmt w:val="bullet"/>
      <w:lvlText w:val=""/>
      <w:lvlJc w:val="left"/>
      <w:pPr>
        <w:ind w:left="4320" w:hanging="360"/>
      </w:pPr>
      <w:rPr>
        <w:rFonts w:ascii="Wingdings" w:hAnsi="Wingdings" w:hint="default"/>
      </w:rPr>
    </w:lvl>
    <w:lvl w:ilvl="6" w:tplc="46627214" w:tentative="1">
      <w:start w:val="1"/>
      <w:numFmt w:val="bullet"/>
      <w:lvlText w:val=""/>
      <w:lvlJc w:val="left"/>
      <w:pPr>
        <w:ind w:left="5040" w:hanging="360"/>
      </w:pPr>
      <w:rPr>
        <w:rFonts w:ascii="Symbol" w:hAnsi="Symbol" w:hint="default"/>
      </w:rPr>
    </w:lvl>
    <w:lvl w:ilvl="7" w:tplc="CB843F76" w:tentative="1">
      <w:start w:val="1"/>
      <w:numFmt w:val="bullet"/>
      <w:lvlText w:val="o"/>
      <w:lvlJc w:val="left"/>
      <w:pPr>
        <w:ind w:left="5760" w:hanging="360"/>
      </w:pPr>
      <w:rPr>
        <w:rFonts w:ascii="Courier New" w:hAnsi="Courier New" w:hint="default"/>
      </w:rPr>
    </w:lvl>
    <w:lvl w:ilvl="8" w:tplc="EADA311C" w:tentative="1">
      <w:start w:val="1"/>
      <w:numFmt w:val="bullet"/>
      <w:lvlText w:val=""/>
      <w:lvlJc w:val="left"/>
      <w:pPr>
        <w:ind w:left="6480" w:hanging="360"/>
      </w:pPr>
      <w:rPr>
        <w:rFonts w:ascii="Wingdings" w:hAnsi="Wingdings" w:hint="default"/>
      </w:rPr>
    </w:lvl>
  </w:abstractNum>
  <w:abstractNum w:abstractNumId="587" w15:restartNumberingAfterBreak="0">
    <w:nsid w:val="7F5657CF"/>
    <w:multiLevelType w:val="hybridMultilevel"/>
    <w:tmpl w:val="F35A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8" w15:restartNumberingAfterBreak="0">
    <w:nsid w:val="7F680533"/>
    <w:multiLevelType w:val="hybridMultilevel"/>
    <w:tmpl w:val="2F94B318"/>
    <w:lvl w:ilvl="0" w:tplc="FCFC1078">
      <w:start w:val="1"/>
      <w:numFmt w:val="bullet"/>
      <w:lvlText w:val=""/>
      <w:lvlJc w:val="left"/>
      <w:pPr>
        <w:ind w:left="720" w:hanging="360"/>
      </w:pPr>
      <w:rPr>
        <w:rFonts w:ascii="Symbol" w:hAnsi="Symbol" w:hint="default"/>
      </w:rPr>
    </w:lvl>
    <w:lvl w:ilvl="1" w:tplc="09766B66" w:tentative="1">
      <w:start w:val="1"/>
      <w:numFmt w:val="bullet"/>
      <w:lvlText w:val="o"/>
      <w:lvlJc w:val="left"/>
      <w:pPr>
        <w:ind w:left="1440" w:hanging="360"/>
      </w:pPr>
      <w:rPr>
        <w:rFonts w:ascii="Courier New" w:hAnsi="Courier New" w:hint="default"/>
      </w:rPr>
    </w:lvl>
    <w:lvl w:ilvl="2" w:tplc="AAFE45A4" w:tentative="1">
      <w:start w:val="1"/>
      <w:numFmt w:val="bullet"/>
      <w:lvlText w:val=""/>
      <w:lvlJc w:val="left"/>
      <w:pPr>
        <w:ind w:left="2160" w:hanging="360"/>
      </w:pPr>
      <w:rPr>
        <w:rFonts w:ascii="Wingdings" w:hAnsi="Wingdings" w:hint="default"/>
      </w:rPr>
    </w:lvl>
    <w:lvl w:ilvl="3" w:tplc="F3467B5A" w:tentative="1">
      <w:start w:val="1"/>
      <w:numFmt w:val="bullet"/>
      <w:lvlText w:val=""/>
      <w:lvlJc w:val="left"/>
      <w:pPr>
        <w:ind w:left="2880" w:hanging="360"/>
      </w:pPr>
      <w:rPr>
        <w:rFonts w:ascii="Symbol" w:hAnsi="Symbol" w:hint="default"/>
      </w:rPr>
    </w:lvl>
    <w:lvl w:ilvl="4" w:tplc="C41E3C9C" w:tentative="1">
      <w:start w:val="1"/>
      <w:numFmt w:val="bullet"/>
      <w:lvlText w:val="o"/>
      <w:lvlJc w:val="left"/>
      <w:pPr>
        <w:ind w:left="3600" w:hanging="360"/>
      </w:pPr>
      <w:rPr>
        <w:rFonts w:ascii="Courier New" w:hAnsi="Courier New" w:hint="default"/>
      </w:rPr>
    </w:lvl>
    <w:lvl w:ilvl="5" w:tplc="8F56634C" w:tentative="1">
      <w:start w:val="1"/>
      <w:numFmt w:val="bullet"/>
      <w:lvlText w:val=""/>
      <w:lvlJc w:val="left"/>
      <w:pPr>
        <w:ind w:left="4320" w:hanging="360"/>
      </w:pPr>
      <w:rPr>
        <w:rFonts w:ascii="Wingdings" w:hAnsi="Wingdings" w:hint="default"/>
      </w:rPr>
    </w:lvl>
    <w:lvl w:ilvl="6" w:tplc="D0562DF4" w:tentative="1">
      <w:start w:val="1"/>
      <w:numFmt w:val="bullet"/>
      <w:lvlText w:val=""/>
      <w:lvlJc w:val="left"/>
      <w:pPr>
        <w:ind w:left="5040" w:hanging="360"/>
      </w:pPr>
      <w:rPr>
        <w:rFonts w:ascii="Symbol" w:hAnsi="Symbol" w:hint="default"/>
      </w:rPr>
    </w:lvl>
    <w:lvl w:ilvl="7" w:tplc="75F4A7F0" w:tentative="1">
      <w:start w:val="1"/>
      <w:numFmt w:val="bullet"/>
      <w:lvlText w:val="o"/>
      <w:lvlJc w:val="left"/>
      <w:pPr>
        <w:ind w:left="5760" w:hanging="360"/>
      </w:pPr>
      <w:rPr>
        <w:rFonts w:ascii="Courier New" w:hAnsi="Courier New" w:hint="default"/>
      </w:rPr>
    </w:lvl>
    <w:lvl w:ilvl="8" w:tplc="18C6B568" w:tentative="1">
      <w:start w:val="1"/>
      <w:numFmt w:val="bullet"/>
      <w:lvlText w:val=""/>
      <w:lvlJc w:val="left"/>
      <w:pPr>
        <w:ind w:left="6480" w:hanging="360"/>
      </w:pPr>
      <w:rPr>
        <w:rFonts w:ascii="Wingdings" w:hAnsi="Wingdings" w:hint="default"/>
      </w:rPr>
    </w:lvl>
  </w:abstractNum>
  <w:abstractNum w:abstractNumId="589" w15:restartNumberingAfterBreak="0">
    <w:nsid w:val="7F844AC2"/>
    <w:multiLevelType w:val="multilevel"/>
    <w:tmpl w:val="59C0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535197">
    <w:abstractNumId w:val="60"/>
  </w:num>
  <w:num w:numId="2" w16cid:durableId="954216727">
    <w:abstractNumId w:val="576"/>
  </w:num>
  <w:num w:numId="3" w16cid:durableId="1289553572">
    <w:abstractNumId w:val="519"/>
  </w:num>
  <w:num w:numId="4" w16cid:durableId="1179076492">
    <w:abstractNumId w:val="179"/>
  </w:num>
  <w:num w:numId="5" w16cid:durableId="1942376491">
    <w:abstractNumId w:val="487"/>
  </w:num>
  <w:num w:numId="6" w16cid:durableId="744228382">
    <w:abstractNumId w:val="533"/>
  </w:num>
  <w:num w:numId="7" w16cid:durableId="216203539">
    <w:abstractNumId w:val="452"/>
  </w:num>
  <w:num w:numId="8" w16cid:durableId="585961875">
    <w:abstractNumId w:val="263"/>
  </w:num>
  <w:num w:numId="9" w16cid:durableId="824247734">
    <w:abstractNumId w:val="240"/>
  </w:num>
  <w:num w:numId="10" w16cid:durableId="1411388422">
    <w:abstractNumId w:val="42"/>
  </w:num>
  <w:num w:numId="11" w16cid:durableId="1376465921">
    <w:abstractNumId w:val="560"/>
  </w:num>
  <w:num w:numId="12" w16cid:durableId="1909919079">
    <w:abstractNumId w:val="88"/>
  </w:num>
  <w:num w:numId="13" w16cid:durableId="1467358224">
    <w:abstractNumId w:val="175"/>
  </w:num>
  <w:num w:numId="14" w16cid:durableId="640888902">
    <w:abstractNumId w:val="430"/>
  </w:num>
  <w:num w:numId="15" w16cid:durableId="1832136866">
    <w:abstractNumId w:val="161"/>
  </w:num>
  <w:num w:numId="16" w16cid:durableId="1835416816">
    <w:abstractNumId w:val="5"/>
  </w:num>
  <w:num w:numId="17" w16cid:durableId="1283657681">
    <w:abstractNumId w:val="15"/>
  </w:num>
  <w:num w:numId="18" w16cid:durableId="2086877591">
    <w:abstractNumId w:val="12"/>
  </w:num>
  <w:num w:numId="19" w16cid:durableId="1580359887">
    <w:abstractNumId w:val="172"/>
  </w:num>
  <w:num w:numId="20" w16cid:durableId="1656059682">
    <w:abstractNumId w:val="154"/>
  </w:num>
  <w:num w:numId="21" w16cid:durableId="1005597653">
    <w:abstractNumId w:val="124"/>
  </w:num>
  <w:num w:numId="22" w16cid:durableId="528186341">
    <w:abstractNumId w:val="500"/>
  </w:num>
  <w:num w:numId="23" w16cid:durableId="1029834407">
    <w:abstractNumId w:val="403"/>
  </w:num>
  <w:num w:numId="24" w16cid:durableId="1295522489">
    <w:abstractNumId w:val="92"/>
  </w:num>
  <w:num w:numId="25" w16cid:durableId="1607543146">
    <w:abstractNumId w:val="258"/>
  </w:num>
  <w:num w:numId="26" w16cid:durableId="1721393287">
    <w:abstractNumId w:val="157"/>
  </w:num>
  <w:num w:numId="27" w16cid:durableId="1176069151">
    <w:abstractNumId w:val="429"/>
  </w:num>
  <w:num w:numId="28" w16cid:durableId="1473214860">
    <w:abstractNumId w:val="281"/>
  </w:num>
  <w:num w:numId="29" w16cid:durableId="1980181690">
    <w:abstractNumId w:val="449"/>
  </w:num>
  <w:num w:numId="30" w16cid:durableId="1237671264">
    <w:abstractNumId w:val="491"/>
  </w:num>
  <w:num w:numId="31" w16cid:durableId="364015716">
    <w:abstractNumId w:val="535"/>
  </w:num>
  <w:num w:numId="32" w16cid:durableId="1255362439">
    <w:abstractNumId w:val="311"/>
  </w:num>
  <w:num w:numId="33" w16cid:durableId="898326189">
    <w:abstractNumId w:val="428"/>
  </w:num>
  <w:num w:numId="34" w16cid:durableId="1808738417">
    <w:abstractNumId w:val="291"/>
  </w:num>
  <w:num w:numId="35" w16cid:durableId="1741440646">
    <w:abstractNumId w:val="347"/>
  </w:num>
  <w:num w:numId="36" w16cid:durableId="665086117">
    <w:abstractNumId w:val="513"/>
  </w:num>
  <w:num w:numId="37" w16cid:durableId="629558378">
    <w:abstractNumId w:val="565"/>
  </w:num>
  <w:num w:numId="38" w16cid:durableId="231701346">
    <w:abstractNumId w:val="377"/>
  </w:num>
  <w:num w:numId="39" w16cid:durableId="876357947">
    <w:abstractNumId w:val="518"/>
  </w:num>
  <w:num w:numId="40" w16cid:durableId="1855994865">
    <w:abstractNumId w:val="305"/>
  </w:num>
  <w:num w:numId="41" w16cid:durableId="1572688775">
    <w:abstractNumId w:val="237"/>
  </w:num>
  <w:num w:numId="42" w16cid:durableId="12535932">
    <w:abstractNumId w:val="542"/>
  </w:num>
  <w:num w:numId="43" w16cid:durableId="68581541">
    <w:abstractNumId w:val="166"/>
  </w:num>
  <w:num w:numId="44" w16cid:durableId="687171372">
    <w:abstractNumId w:val="321"/>
  </w:num>
  <w:num w:numId="45" w16cid:durableId="1619682123">
    <w:abstractNumId w:val="509"/>
  </w:num>
  <w:num w:numId="46" w16cid:durableId="1233850923">
    <w:abstractNumId w:val="210"/>
  </w:num>
  <w:num w:numId="47" w16cid:durableId="575476202">
    <w:abstractNumId w:val="453"/>
  </w:num>
  <w:num w:numId="48" w16cid:durableId="1064765625">
    <w:abstractNumId w:val="383"/>
  </w:num>
  <w:num w:numId="49" w16cid:durableId="897205614">
    <w:abstractNumId w:val="427"/>
  </w:num>
  <w:num w:numId="50" w16cid:durableId="753474295">
    <w:abstractNumId w:val="550"/>
  </w:num>
  <w:num w:numId="51" w16cid:durableId="1712807798">
    <w:abstractNumId w:val="515"/>
  </w:num>
  <w:num w:numId="52" w16cid:durableId="1306230317">
    <w:abstractNumId w:val="416"/>
  </w:num>
  <w:num w:numId="53" w16cid:durableId="1910116328">
    <w:abstractNumId w:val="113"/>
  </w:num>
  <w:num w:numId="54" w16cid:durableId="819738117">
    <w:abstractNumId w:val="486"/>
  </w:num>
  <w:num w:numId="55" w16cid:durableId="2321843">
    <w:abstractNumId w:val="138"/>
  </w:num>
  <w:num w:numId="56" w16cid:durableId="1426268880">
    <w:abstractNumId w:val="379"/>
  </w:num>
  <w:num w:numId="57" w16cid:durableId="1103309481">
    <w:abstractNumId w:val="353"/>
  </w:num>
  <w:num w:numId="58" w16cid:durableId="1821311934">
    <w:abstractNumId w:val="310"/>
  </w:num>
  <w:num w:numId="59" w16cid:durableId="706639142">
    <w:abstractNumId w:val="6"/>
  </w:num>
  <w:num w:numId="60" w16cid:durableId="1897083311">
    <w:abstractNumId w:val="581"/>
  </w:num>
  <w:num w:numId="61" w16cid:durableId="1058438617">
    <w:abstractNumId w:val="388"/>
  </w:num>
  <w:num w:numId="62" w16cid:durableId="786505877">
    <w:abstractNumId w:val="265"/>
  </w:num>
  <w:num w:numId="63" w16cid:durableId="1204559553">
    <w:abstractNumId w:val="93"/>
  </w:num>
  <w:num w:numId="64" w16cid:durableId="1523012272">
    <w:abstractNumId w:val="35"/>
  </w:num>
  <w:num w:numId="65" w16cid:durableId="72633307">
    <w:abstractNumId w:val="390"/>
  </w:num>
  <w:num w:numId="66" w16cid:durableId="2125271274">
    <w:abstractNumId w:val="197"/>
  </w:num>
  <w:num w:numId="67" w16cid:durableId="961694346">
    <w:abstractNumId w:val="301"/>
  </w:num>
  <w:num w:numId="68" w16cid:durableId="920679200">
    <w:abstractNumId w:val="556"/>
  </w:num>
  <w:num w:numId="69" w16cid:durableId="1394426996">
    <w:abstractNumId w:val="414"/>
  </w:num>
  <w:num w:numId="70" w16cid:durableId="1643732368">
    <w:abstractNumId w:val="139"/>
  </w:num>
  <w:num w:numId="71" w16cid:durableId="413011285">
    <w:abstractNumId w:val="109"/>
  </w:num>
  <w:num w:numId="72" w16cid:durableId="206920871">
    <w:abstractNumId w:val="219"/>
  </w:num>
  <w:num w:numId="73" w16cid:durableId="1820994072">
    <w:abstractNumId w:val="303"/>
  </w:num>
  <w:num w:numId="74" w16cid:durableId="458915014">
    <w:abstractNumId w:val="72"/>
  </w:num>
  <w:num w:numId="75" w16cid:durableId="1049525639">
    <w:abstractNumId w:val="11"/>
  </w:num>
  <w:num w:numId="76" w16cid:durableId="17704783">
    <w:abstractNumId w:val="211"/>
  </w:num>
  <w:num w:numId="77" w16cid:durableId="345788089">
    <w:abstractNumId w:val="410"/>
  </w:num>
  <w:num w:numId="78" w16cid:durableId="1000893207">
    <w:abstractNumId w:val="112"/>
  </w:num>
  <w:num w:numId="79" w16cid:durableId="1340237746">
    <w:abstractNumId w:val="508"/>
  </w:num>
  <w:num w:numId="80" w16cid:durableId="609121597">
    <w:abstractNumId w:val="14"/>
  </w:num>
  <w:num w:numId="81" w16cid:durableId="360283367">
    <w:abstractNumId w:val="296"/>
  </w:num>
  <w:num w:numId="82" w16cid:durableId="651980947">
    <w:abstractNumId w:val="447"/>
  </w:num>
  <w:num w:numId="83" w16cid:durableId="858663214">
    <w:abstractNumId w:val="537"/>
  </w:num>
  <w:num w:numId="84" w16cid:durableId="1864368468">
    <w:abstractNumId w:val="238"/>
  </w:num>
  <w:num w:numId="85" w16cid:durableId="235670051">
    <w:abstractNumId w:val="59"/>
  </w:num>
  <w:num w:numId="86" w16cid:durableId="1159156266">
    <w:abstractNumId w:val="61"/>
  </w:num>
  <w:num w:numId="87" w16cid:durableId="1614704117">
    <w:abstractNumId w:val="496"/>
  </w:num>
  <w:num w:numId="88" w16cid:durableId="351499053">
    <w:abstractNumId w:val="318"/>
  </w:num>
  <w:num w:numId="89" w16cid:durableId="1366901550">
    <w:abstractNumId w:val="554"/>
  </w:num>
  <w:num w:numId="90" w16cid:durableId="248393541">
    <w:abstractNumId w:val="136"/>
  </w:num>
  <w:num w:numId="91" w16cid:durableId="759446885">
    <w:abstractNumId w:val="78"/>
  </w:num>
  <w:num w:numId="92" w16cid:durableId="1949191916">
    <w:abstractNumId w:val="511"/>
  </w:num>
  <w:num w:numId="93" w16cid:durableId="480269354">
    <w:abstractNumId w:val="82"/>
  </w:num>
  <w:num w:numId="94" w16cid:durableId="4291689">
    <w:abstractNumId w:val="160"/>
  </w:num>
  <w:num w:numId="95" w16cid:durableId="663700368">
    <w:abstractNumId w:val="359"/>
  </w:num>
  <w:num w:numId="96" w16cid:durableId="254555835">
    <w:abstractNumId w:val="398"/>
  </w:num>
  <w:num w:numId="97" w16cid:durableId="2088070069">
    <w:abstractNumId w:val="431"/>
  </w:num>
  <w:num w:numId="98" w16cid:durableId="1604070418">
    <w:abstractNumId w:val="432"/>
  </w:num>
  <w:num w:numId="99" w16cid:durableId="1709262778">
    <w:abstractNumId w:val="348"/>
  </w:num>
  <w:num w:numId="100" w16cid:durableId="1016351063">
    <w:abstractNumId w:val="315"/>
  </w:num>
  <w:num w:numId="101" w16cid:durableId="1113017882">
    <w:abstractNumId w:val="107"/>
  </w:num>
  <w:num w:numId="102" w16cid:durableId="313684031">
    <w:abstractNumId w:val="7"/>
  </w:num>
  <w:num w:numId="103" w16cid:durableId="1956668272">
    <w:abstractNumId w:val="135"/>
  </w:num>
  <w:num w:numId="104" w16cid:durableId="1344285751">
    <w:abstractNumId w:val="501"/>
  </w:num>
  <w:num w:numId="105" w16cid:durableId="2085948930">
    <w:abstractNumId w:val="485"/>
  </w:num>
  <w:num w:numId="106" w16cid:durableId="1425419551">
    <w:abstractNumId w:val="287"/>
  </w:num>
  <w:num w:numId="107" w16cid:durableId="661393033">
    <w:abstractNumId w:val="476"/>
  </w:num>
  <w:num w:numId="108" w16cid:durableId="2048332860">
    <w:abstractNumId w:val="32"/>
  </w:num>
  <w:num w:numId="109" w16cid:durableId="1889801612">
    <w:abstractNumId w:val="144"/>
  </w:num>
  <w:num w:numId="110" w16cid:durableId="1676373787">
    <w:abstractNumId w:val="245"/>
  </w:num>
  <w:num w:numId="111" w16cid:durableId="1223830875">
    <w:abstractNumId w:val="33"/>
  </w:num>
  <w:num w:numId="112" w16cid:durableId="329717730">
    <w:abstractNumId w:val="121"/>
  </w:num>
  <w:num w:numId="113" w16cid:durableId="1715080679">
    <w:abstractNumId w:val="198"/>
  </w:num>
  <w:num w:numId="114" w16cid:durableId="2127461730">
    <w:abstractNumId w:val="454"/>
  </w:num>
  <w:num w:numId="115" w16cid:durableId="1387488412">
    <w:abstractNumId w:val="57"/>
  </w:num>
  <w:num w:numId="116" w16cid:durableId="1721248540">
    <w:abstractNumId w:val="8"/>
  </w:num>
  <w:num w:numId="117" w16cid:durableId="1905675769">
    <w:abstractNumId w:val="588"/>
  </w:num>
  <w:num w:numId="118" w16cid:durableId="92479998">
    <w:abstractNumId w:val="293"/>
  </w:num>
  <w:num w:numId="119" w16cid:durableId="387999444">
    <w:abstractNumId w:val="215"/>
  </w:num>
  <w:num w:numId="120" w16cid:durableId="1517380186">
    <w:abstractNumId w:val="97"/>
  </w:num>
  <w:num w:numId="121" w16cid:durableId="1591085943">
    <w:abstractNumId w:val="16"/>
  </w:num>
  <w:num w:numId="122" w16cid:durableId="709458806">
    <w:abstractNumId w:val="334"/>
  </w:num>
  <w:num w:numId="123" w16cid:durableId="2090811953">
    <w:abstractNumId w:val="267"/>
  </w:num>
  <w:num w:numId="124" w16cid:durableId="1764108662">
    <w:abstractNumId w:val="9"/>
  </w:num>
  <w:num w:numId="125" w16cid:durableId="1804927574">
    <w:abstractNumId w:val="546"/>
  </w:num>
  <w:num w:numId="126" w16cid:durableId="2145389540">
    <w:abstractNumId w:val="249"/>
  </w:num>
  <w:num w:numId="127" w16cid:durableId="1385104639">
    <w:abstractNumId w:val="70"/>
  </w:num>
  <w:num w:numId="128" w16cid:durableId="256014798">
    <w:abstractNumId w:val="52"/>
  </w:num>
  <w:num w:numId="129" w16cid:durableId="1286504138">
    <w:abstractNumId w:val="492"/>
  </w:num>
  <w:num w:numId="130" w16cid:durableId="1732384513">
    <w:abstractNumId w:val="282"/>
  </w:num>
  <w:num w:numId="131" w16cid:durableId="900604343">
    <w:abstractNumId w:val="86"/>
  </w:num>
  <w:num w:numId="132" w16cid:durableId="260375256">
    <w:abstractNumId w:val="499"/>
  </w:num>
  <w:num w:numId="133" w16cid:durableId="1869636604">
    <w:abstractNumId w:val="583"/>
  </w:num>
  <w:num w:numId="134" w16cid:durableId="1657957898">
    <w:abstractNumId w:val="79"/>
  </w:num>
  <w:num w:numId="135" w16cid:durableId="413817248">
    <w:abstractNumId w:val="376"/>
  </w:num>
  <w:num w:numId="136" w16cid:durableId="595794064">
    <w:abstractNumId w:val="577"/>
  </w:num>
  <w:num w:numId="137" w16cid:durableId="444078168">
    <w:abstractNumId w:val="54"/>
  </w:num>
  <w:num w:numId="138" w16cid:durableId="750856282">
    <w:abstractNumId w:val="257"/>
  </w:num>
  <w:num w:numId="139" w16cid:durableId="896431167">
    <w:abstractNumId w:val="578"/>
  </w:num>
  <w:num w:numId="140" w16cid:durableId="979070780">
    <w:abstractNumId w:val="532"/>
  </w:num>
  <w:num w:numId="141" w16cid:durableId="1541281072">
    <w:abstractNumId w:val="570"/>
  </w:num>
  <w:num w:numId="142" w16cid:durableId="1999113627">
    <w:abstractNumId w:val="143"/>
  </w:num>
  <w:num w:numId="143" w16cid:durableId="1214734440">
    <w:abstractNumId w:val="426"/>
  </w:num>
  <w:num w:numId="144" w16cid:durableId="773405925">
    <w:abstractNumId w:val="407"/>
  </w:num>
  <w:num w:numId="145" w16cid:durableId="514804006">
    <w:abstractNumId w:val="37"/>
  </w:num>
  <w:num w:numId="146" w16cid:durableId="1894732050">
    <w:abstractNumId w:val="526"/>
  </w:num>
  <w:num w:numId="147" w16cid:durableId="1768039480">
    <w:abstractNumId w:val="436"/>
  </w:num>
  <w:num w:numId="148" w16cid:durableId="1742216590">
    <w:abstractNumId w:val="231"/>
  </w:num>
  <w:num w:numId="149" w16cid:durableId="883368904">
    <w:abstractNumId w:val="277"/>
  </w:num>
  <w:num w:numId="150" w16cid:durableId="1950047536">
    <w:abstractNumId w:val="373"/>
  </w:num>
  <w:num w:numId="151" w16cid:durableId="247930783">
    <w:abstractNumId w:val="589"/>
  </w:num>
  <w:num w:numId="152" w16cid:durableId="1131092661">
    <w:abstractNumId w:val="335"/>
  </w:num>
  <w:num w:numId="153" w16cid:durableId="866260390">
    <w:abstractNumId w:val="337"/>
  </w:num>
  <w:num w:numId="154" w16cid:durableId="127862591">
    <w:abstractNumId w:val="223"/>
  </w:num>
  <w:num w:numId="155" w16cid:durableId="1583830978">
    <w:abstractNumId w:val="527"/>
  </w:num>
  <w:num w:numId="156" w16cid:durableId="1368484943">
    <w:abstractNumId w:val="475"/>
  </w:num>
  <w:num w:numId="157" w16cid:durableId="1939287588">
    <w:abstractNumId w:val="370"/>
  </w:num>
  <w:num w:numId="158" w16cid:durableId="1871531871">
    <w:abstractNumId w:val="253"/>
  </w:num>
  <w:num w:numId="159" w16cid:durableId="461971534">
    <w:abstractNumId w:val="137"/>
  </w:num>
  <w:num w:numId="160" w16cid:durableId="1527334080">
    <w:abstractNumId w:val="522"/>
  </w:num>
  <w:num w:numId="161" w16cid:durableId="2051832476">
    <w:abstractNumId w:val="134"/>
  </w:num>
  <w:num w:numId="162" w16cid:durableId="27143307">
    <w:abstractNumId w:val="63"/>
  </w:num>
  <w:num w:numId="163" w16cid:durableId="155804828">
    <w:abstractNumId w:val="579"/>
  </w:num>
  <w:num w:numId="164" w16cid:durableId="844631300">
    <w:abstractNumId w:val="184"/>
  </w:num>
  <w:num w:numId="165" w16cid:durableId="480391192">
    <w:abstractNumId w:val="302"/>
  </w:num>
  <w:num w:numId="166" w16cid:durableId="250509952">
    <w:abstractNumId w:val="421"/>
  </w:num>
  <w:num w:numId="167" w16cid:durableId="955261079">
    <w:abstractNumId w:val="24"/>
  </w:num>
  <w:num w:numId="168" w16cid:durableId="822425250">
    <w:abstractNumId w:val="133"/>
  </w:num>
  <w:num w:numId="169" w16cid:durableId="1418669455">
    <w:abstractNumId w:val="40"/>
  </w:num>
  <w:num w:numId="170" w16cid:durableId="1112674522">
    <w:abstractNumId w:val="422"/>
  </w:num>
  <w:num w:numId="171" w16cid:durableId="1330594352">
    <w:abstractNumId w:val="171"/>
  </w:num>
  <w:num w:numId="172" w16cid:durableId="222255390">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75546551">
    <w:abstractNumId w:val="39"/>
  </w:num>
  <w:num w:numId="174" w16cid:durableId="185289673">
    <w:abstractNumId w:val="19"/>
  </w:num>
  <w:num w:numId="175" w16cid:durableId="359208325">
    <w:abstractNumId w:val="328"/>
  </w:num>
  <w:num w:numId="176" w16cid:durableId="118954970">
    <w:abstractNumId w:val="269"/>
  </w:num>
  <w:num w:numId="177" w16cid:durableId="1463183810">
    <w:abstractNumId w:val="13"/>
  </w:num>
  <w:num w:numId="178" w16cid:durableId="1178152270">
    <w:abstractNumId w:val="324"/>
  </w:num>
  <w:num w:numId="179" w16cid:durableId="618220072">
    <w:abstractNumId w:val="150"/>
  </w:num>
  <w:num w:numId="180" w16cid:durableId="1343312540">
    <w:abstractNumId w:val="2"/>
  </w:num>
  <w:num w:numId="181" w16cid:durableId="164170970">
    <w:abstractNumId w:val="351"/>
  </w:num>
  <w:num w:numId="182" w16cid:durableId="2046247982">
    <w:abstractNumId w:val="423"/>
  </w:num>
  <w:num w:numId="183" w16cid:durableId="1594049063">
    <w:abstractNumId w:val="31"/>
  </w:num>
  <w:num w:numId="184" w16cid:durableId="2056392827">
    <w:abstractNumId w:val="120"/>
  </w:num>
  <w:num w:numId="185" w16cid:durableId="167255493">
    <w:abstractNumId w:val="380"/>
  </w:num>
  <w:num w:numId="186" w16cid:durableId="810755275">
    <w:abstractNumId w:val="278"/>
  </w:num>
  <w:num w:numId="187" w16cid:durableId="1754548816">
    <w:abstractNumId w:val="250"/>
  </w:num>
  <w:num w:numId="188" w16cid:durableId="1141656534">
    <w:abstractNumId w:val="177"/>
  </w:num>
  <w:num w:numId="189" w16cid:durableId="1786582716">
    <w:abstractNumId w:val="338"/>
  </w:num>
  <w:num w:numId="190" w16cid:durableId="1968077421">
    <w:abstractNumId w:val="536"/>
  </w:num>
  <w:num w:numId="191" w16cid:durableId="1962611906">
    <w:abstractNumId w:val="119"/>
  </w:num>
  <w:num w:numId="192" w16cid:durableId="648631720">
    <w:abstractNumId w:val="412"/>
  </w:num>
  <w:num w:numId="193" w16cid:durableId="196165464">
    <w:abstractNumId w:val="461"/>
  </w:num>
  <w:num w:numId="194" w16cid:durableId="335618862">
    <w:abstractNumId w:val="375"/>
  </w:num>
  <w:num w:numId="195" w16cid:durableId="1641153257">
    <w:abstractNumId w:val="342"/>
  </w:num>
  <w:num w:numId="196" w16cid:durableId="509104724">
    <w:abstractNumId w:val="256"/>
  </w:num>
  <w:num w:numId="197" w16cid:durableId="1160657216">
    <w:abstractNumId w:val="129"/>
  </w:num>
  <w:num w:numId="198" w16cid:durableId="1436097956">
    <w:abstractNumId w:val="371"/>
  </w:num>
  <w:num w:numId="199" w16cid:durableId="1354727171">
    <w:abstractNumId w:val="455"/>
  </w:num>
  <w:num w:numId="200" w16cid:durableId="218059958">
    <w:abstractNumId w:val="50"/>
  </w:num>
  <w:num w:numId="201" w16cid:durableId="1040666650">
    <w:abstractNumId w:val="236"/>
  </w:num>
  <w:num w:numId="202" w16cid:durableId="1792626461">
    <w:abstractNumId w:val="350"/>
  </w:num>
  <w:num w:numId="203" w16cid:durableId="443036328">
    <w:abstractNumId w:val="233"/>
  </w:num>
  <w:num w:numId="204" w16cid:durableId="1420827849">
    <w:abstractNumId w:val="279"/>
  </w:num>
  <w:num w:numId="205" w16cid:durableId="798838189">
    <w:abstractNumId w:val="435"/>
  </w:num>
  <w:num w:numId="206" w16cid:durableId="722295680">
    <w:abstractNumId w:val="68"/>
  </w:num>
  <w:num w:numId="207" w16cid:durableId="100491821">
    <w:abstractNumId w:val="186"/>
  </w:num>
  <w:num w:numId="208" w16cid:durableId="1307399579">
    <w:abstractNumId w:val="344"/>
  </w:num>
  <w:num w:numId="209" w16cid:durableId="769011968">
    <w:abstractNumId w:val="132"/>
  </w:num>
  <w:num w:numId="210" w16cid:durableId="682628093">
    <w:abstractNumId w:val="547"/>
  </w:num>
  <w:num w:numId="211" w16cid:durableId="814302035">
    <w:abstractNumId w:val="76"/>
  </w:num>
  <w:num w:numId="212" w16cid:durableId="1050417782">
    <w:abstractNumId w:val="340"/>
  </w:num>
  <w:num w:numId="213" w16cid:durableId="346449012">
    <w:abstractNumId w:val="96"/>
  </w:num>
  <w:num w:numId="214" w16cid:durableId="1057780285">
    <w:abstractNumId w:val="417"/>
  </w:num>
  <w:num w:numId="215" w16cid:durableId="1296302492">
    <w:abstractNumId w:val="516"/>
  </w:num>
  <w:num w:numId="216" w16cid:durableId="815491400">
    <w:abstractNumId w:val="382"/>
  </w:num>
  <w:num w:numId="217" w16cid:durableId="366835334">
    <w:abstractNumId w:val="208"/>
  </w:num>
  <w:num w:numId="218" w16cid:durableId="901983414">
    <w:abstractNumId w:val="163"/>
  </w:num>
  <w:num w:numId="219" w16cid:durableId="1281571698">
    <w:abstractNumId w:val="90"/>
  </w:num>
  <w:num w:numId="220" w16cid:durableId="1630473330">
    <w:abstractNumId w:val="47"/>
  </w:num>
  <w:num w:numId="221" w16cid:durableId="1663779598">
    <w:abstractNumId w:val="361"/>
  </w:num>
  <w:num w:numId="222" w16cid:durableId="19093765">
    <w:abstractNumId w:val="162"/>
  </w:num>
  <w:num w:numId="223" w16cid:durableId="1716658711">
    <w:abstractNumId w:val="585"/>
  </w:num>
  <w:num w:numId="224" w16cid:durableId="1724712101">
    <w:abstractNumId w:val="418"/>
  </w:num>
  <w:num w:numId="225" w16cid:durableId="920066623">
    <w:abstractNumId w:val="456"/>
  </w:num>
  <w:num w:numId="226" w16cid:durableId="198902799">
    <w:abstractNumId w:val="440"/>
  </w:num>
  <w:num w:numId="227" w16cid:durableId="1299722644">
    <w:abstractNumId w:val="445"/>
  </w:num>
  <w:num w:numId="228" w16cid:durableId="882640690">
    <w:abstractNumId w:val="437"/>
  </w:num>
  <w:num w:numId="229" w16cid:durableId="1054043245">
    <w:abstractNumId w:val="115"/>
  </w:num>
  <w:num w:numId="230" w16cid:durableId="2119905147">
    <w:abstractNumId w:val="571"/>
  </w:num>
  <w:num w:numId="231" w16cid:durableId="2125494319">
    <w:abstractNumId w:val="343"/>
  </w:num>
  <w:num w:numId="232" w16cid:durableId="1799489549">
    <w:abstractNumId w:val="209"/>
  </w:num>
  <w:num w:numId="233" w16cid:durableId="870262646">
    <w:abstractNumId w:val="34"/>
  </w:num>
  <w:num w:numId="234" w16cid:durableId="609355654">
    <w:abstractNumId w:val="402"/>
  </w:num>
  <w:num w:numId="235" w16cid:durableId="641274891">
    <w:abstractNumId w:val="65"/>
  </w:num>
  <w:num w:numId="236" w16cid:durableId="467010897">
    <w:abstractNumId w:val="191"/>
  </w:num>
  <w:num w:numId="237" w16cid:durableId="1430009310">
    <w:abstractNumId w:val="49"/>
  </w:num>
  <w:num w:numId="238" w16cid:durableId="1551574024">
    <w:abstractNumId w:val="67"/>
  </w:num>
  <w:num w:numId="239" w16cid:durableId="1495102313">
    <w:abstractNumId w:val="314"/>
  </w:num>
  <w:num w:numId="240" w16cid:durableId="1911498278">
    <w:abstractNumId w:val="419"/>
  </w:num>
  <w:num w:numId="241" w16cid:durableId="716852377">
    <w:abstractNumId w:val="75"/>
  </w:num>
  <w:num w:numId="242" w16cid:durableId="1669090669">
    <w:abstractNumId w:val="4"/>
  </w:num>
  <w:num w:numId="243" w16cid:durableId="195509607">
    <w:abstractNumId w:val="462"/>
  </w:num>
  <w:num w:numId="244" w16cid:durableId="446391257">
    <w:abstractNumId w:val="216"/>
  </w:num>
  <w:num w:numId="245" w16cid:durableId="1695183517">
    <w:abstractNumId w:val="140"/>
  </w:num>
  <w:num w:numId="246" w16cid:durableId="1287078050">
    <w:abstractNumId w:val="274"/>
  </w:num>
  <w:num w:numId="247" w16cid:durableId="1402366127">
    <w:abstractNumId w:val="399"/>
  </w:num>
  <w:num w:numId="248" w16cid:durableId="1364281664">
    <w:abstractNumId w:val="502"/>
  </w:num>
  <w:num w:numId="249" w16cid:durableId="379940523">
    <w:abstractNumId w:val="242"/>
  </w:num>
  <w:num w:numId="250" w16cid:durableId="1524976550">
    <w:abstractNumId w:val="74"/>
  </w:num>
  <w:num w:numId="251" w16cid:durableId="1921258649">
    <w:abstractNumId w:val="355"/>
  </w:num>
  <w:num w:numId="252" w16cid:durableId="2014213886">
    <w:abstractNumId w:val="357"/>
  </w:num>
  <w:num w:numId="253" w16cid:durableId="1135098541">
    <w:abstractNumId w:val="459"/>
  </w:num>
  <w:num w:numId="254" w16cid:durableId="810025542">
    <w:abstractNumId w:val="391"/>
  </w:num>
  <w:num w:numId="255" w16cid:durableId="1549220680">
    <w:abstractNumId w:val="506"/>
  </w:num>
  <w:num w:numId="256" w16cid:durableId="1836140981">
    <w:abstractNumId w:val="413"/>
  </w:num>
  <w:num w:numId="257" w16cid:durableId="505678976">
    <w:abstractNumId w:val="218"/>
  </w:num>
  <w:num w:numId="258" w16cid:durableId="1289165569">
    <w:abstractNumId w:val="292"/>
  </w:num>
  <w:num w:numId="259" w16cid:durableId="889420792">
    <w:abstractNumId w:val="333"/>
  </w:num>
  <w:num w:numId="260" w16cid:durableId="1005015712">
    <w:abstractNumId w:val="110"/>
  </w:num>
  <w:num w:numId="261" w16cid:durableId="115149849">
    <w:abstractNumId w:val="46"/>
  </w:num>
  <w:num w:numId="262" w16cid:durableId="1211576151">
    <w:abstractNumId w:val="573"/>
  </w:num>
  <w:num w:numId="263" w16cid:durableId="776027274">
    <w:abstractNumId w:val="105"/>
  </w:num>
  <w:num w:numId="264" w16cid:durableId="426198134">
    <w:abstractNumId w:val="81"/>
  </w:num>
  <w:num w:numId="265" w16cid:durableId="2105222677">
    <w:abstractNumId w:val="473"/>
  </w:num>
  <w:num w:numId="266" w16cid:durableId="1071928972">
    <w:abstractNumId w:val="207"/>
  </w:num>
  <w:num w:numId="267" w16cid:durableId="1620987959">
    <w:abstractNumId w:val="117"/>
  </w:num>
  <w:num w:numId="268" w16cid:durableId="304509910">
    <w:abstractNumId w:val="378"/>
  </w:num>
  <w:num w:numId="269" w16cid:durableId="588196974">
    <w:abstractNumId w:val="316"/>
  </w:num>
  <w:num w:numId="270" w16cid:durableId="117574629">
    <w:abstractNumId w:val="170"/>
  </w:num>
  <w:num w:numId="271" w16cid:durableId="1929995772">
    <w:abstractNumId w:val="323"/>
  </w:num>
  <w:num w:numId="272" w16cid:durableId="877939423">
    <w:abstractNumId w:val="466"/>
  </w:num>
  <w:num w:numId="273" w16cid:durableId="197284085">
    <w:abstractNumId w:val="387"/>
  </w:num>
  <w:num w:numId="274" w16cid:durableId="1418090418">
    <w:abstractNumId w:val="300"/>
  </w:num>
  <w:num w:numId="275" w16cid:durableId="446628288">
    <w:abstractNumId w:val="367"/>
  </w:num>
  <w:num w:numId="276" w16cid:durableId="1236938482">
    <w:abstractNumId w:val="204"/>
  </w:num>
  <w:num w:numId="277" w16cid:durableId="605892944">
    <w:abstractNumId w:val="341"/>
  </w:num>
  <w:num w:numId="278" w16cid:durableId="241112531">
    <w:abstractNumId w:val="539"/>
  </w:num>
  <w:num w:numId="279" w16cid:durableId="1739787184">
    <w:abstractNumId w:val="586"/>
  </w:num>
  <w:num w:numId="280" w16cid:durableId="27529552">
    <w:abstractNumId w:val="477"/>
  </w:num>
  <w:num w:numId="281" w16cid:durableId="1497916024">
    <w:abstractNumId w:val="275"/>
  </w:num>
  <w:num w:numId="282" w16cid:durableId="81948650">
    <w:abstractNumId w:val="58"/>
  </w:num>
  <w:num w:numId="283" w16cid:durableId="1143504021">
    <w:abstractNumId w:val="488"/>
  </w:num>
  <w:num w:numId="284" w16cid:durableId="1447387406">
    <w:abstractNumId w:val="524"/>
  </w:num>
  <w:num w:numId="285" w16cid:durableId="443962185">
    <w:abstractNumId w:val="213"/>
  </w:num>
  <w:num w:numId="286" w16cid:durableId="1818255266">
    <w:abstractNumId w:val="190"/>
  </w:num>
  <w:num w:numId="287" w16cid:durableId="599290738">
    <w:abstractNumId w:val="442"/>
  </w:num>
  <w:num w:numId="288" w16cid:durableId="968441827">
    <w:abstractNumId w:val="25"/>
  </w:num>
  <w:num w:numId="289" w16cid:durableId="732579257">
    <w:abstractNumId w:val="322"/>
  </w:num>
  <w:num w:numId="290" w16cid:durableId="2050915035">
    <w:abstractNumId w:val="194"/>
  </w:num>
  <w:num w:numId="291" w16cid:durableId="2121143442">
    <w:abstractNumId w:val="149"/>
  </w:num>
  <w:num w:numId="292" w16cid:durableId="1430466505">
    <w:abstractNumId w:val="222"/>
  </w:num>
  <w:num w:numId="293" w16cid:durableId="1682856860">
    <w:abstractNumId w:val="264"/>
  </w:num>
  <w:num w:numId="294" w16cid:durableId="941303353">
    <w:abstractNumId w:val="365"/>
  </w:num>
  <w:num w:numId="295" w16cid:durableId="102387066">
    <w:abstractNumId w:val="64"/>
  </w:num>
  <w:num w:numId="296" w16cid:durableId="1968733039">
    <w:abstractNumId w:val="10"/>
  </w:num>
  <w:num w:numId="297" w16cid:durableId="1931771175">
    <w:abstractNumId w:val="244"/>
  </w:num>
  <w:num w:numId="298" w16cid:durableId="183252097">
    <w:abstractNumId w:val="153"/>
  </w:num>
  <w:num w:numId="299" w16cid:durableId="1117064895">
    <w:abstractNumId w:val="434"/>
  </w:num>
  <w:num w:numId="300" w16cid:durableId="1117945451">
    <w:abstractNumId w:val="220"/>
  </w:num>
  <w:num w:numId="301" w16cid:durableId="570189910">
    <w:abstractNumId w:val="227"/>
  </w:num>
  <w:num w:numId="302" w16cid:durableId="1671256296">
    <w:abstractNumId w:val="505"/>
  </w:num>
  <w:num w:numId="303" w16cid:durableId="1734157242">
    <w:abstractNumId w:val="185"/>
  </w:num>
  <w:num w:numId="304" w16cid:durableId="204752802">
    <w:abstractNumId w:val="368"/>
  </w:num>
  <w:num w:numId="305" w16cid:durableId="201866320">
    <w:abstractNumId w:val="443"/>
  </w:num>
  <w:num w:numId="306" w16cid:durableId="720053738">
    <w:abstractNumId w:val="558"/>
  </w:num>
  <w:num w:numId="307" w16cid:durableId="2088189528">
    <w:abstractNumId w:val="364"/>
  </w:num>
  <w:num w:numId="308" w16cid:durableId="144200062">
    <w:abstractNumId w:val="142"/>
  </w:num>
  <w:num w:numId="309" w16cid:durableId="695619468">
    <w:abstractNumId w:val="181"/>
  </w:num>
  <w:num w:numId="310" w16cid:durableId="594438837">
    <w:abstractNumId w:val="458"/>
  </w:num>
  <w:num w:numId="311" w16cid:durableId="1322537782">
    <w:abstractNumId w:val="400"/>
  </w:num>
  <w:num w:numId="312" w16cid:durableId="49303620">
    <w:abstractNumId w:val="356"/>
  </w:num>
  <w:num w:numId="313" w16cid:durableId="1364207883">
    <w:abstractNumId w:val="84"/>
  </w:num>
  <w:num w:numId="314" w16cid:durableId="824902530">
    <w:abstractNumId w:val="252"/>
  </w:num>
  <w:num w:numId="315" w16cid:durableId="1341199106">
    <w:abstractNumId w:val="561"/>
  </w:num>
  <w:num w:numId="316" w16cid:durableId="864707608">
    <w:abstractNumId w:val="260"/>
  </w:num>
  <w:num w:numId="317" w16cid:durableId="906035490">
    <w:abstractNumId w:val="251"/>
  </w:num>
  <w:num w:numId="318" w16cid:durableId="428355237">
    <w:abstractNumId w:val="189"/>
  </w:num>
  <w:num w:numId="319" w16cid:durableId="1254628048">
    <w:abstractNumId w:val="540"/>
  </w:num>
  <w:num w:numId="320" w16cid:durableId="1265460399">
    <w:abstractNumId w:val="122"/>
  </w:num>
  <w:num w:numId="321" w16cid:durableId="1404178715">
    <w:abstractNumId w:val="504"/>
  </w:num>
  <w:num w:numId="322" w16cid:durableId="11107611">
    <w:abstractNumId w:val="493"/>
  </w:num>
  <w:num w:numId="323" w16cid:durableId="420875648">
    <w:abstractNumId w:val="384"/>
  </w:num>
  <w:num w:numId="324" w16cid:durableId="190538085">
    <w:abstractNumId w:val="548"/>
  </w:num>
  <w:num w:numId="325" w16cid:durableId="2117484778">
    <w:abstractNumId w:val="125"/>
  </w:num>
  <w:num w:numId="326" w16cid:durableId="1683505920">
    <w:abstractNumId w:val="308"/>
  </w:num>
  <w:num w:numId="327" w16cid:durableId="38476545">
    <w:abstractNumId w:val="268"/>
  </w:num>
  <w:num w:numId="328" w16cid:durableId="515311333">
    <w:abstractNumId w:val="168"/>
  </w:num>
  <w:num w:numId="329" w16cid:durableId="108361991">
    <w:abstractNumId w:val="362"/>
  </w:num>
  <w:num w:numId="330" w16cid:durableId="1206479491">
    <w:abstractNumId w:val="165"/>
  </w:num>
  <w:num w:numId="331" w16cid:durableId="1735201088">
    <w:abstractNumId w:val="36"/>
  </w:num>
  <w:num w:numId="332" w16cid:durableId="1783576840">
    <w:abstractNumId w:val="21"/>
  </w:num>
  <w:num w:numId="333" w16cid:durableId="955528572">
    <w:abstractNumId w:val="545"/>
  </w:num>
  <w:num w:numId="334" w16cid:durableId="500967358">
    <w:abstractNumId w:val="3"/>
  </w:num>
  <w:num w:numId="335" w16cid:durableId="505100058">
    <w:abstractNumId w:val="331"/>
  </w:num>
  <w:num w:numId="336" w16cid:durableId="1580022410">
    <w:abstractNumId w:val="468"/>
  </w:num>
  <w:num w:numId="337" w16cid:durableId="97604830">
    <w:abstractNumId w:val="98"/>
  </w:num>
  <w:num w:numId="338" w16cid:durableId="1243417510">
    <w:abstractNumId w:val="503"/>
  </w:num>
  <w:num w:numId="339" w16cid:durableId="135073094">
    <w:abstractNumId w:val="116"/>
  </w:num>
  <w:num w:numId="340" w16cid:durableId="176506098">
    <w:abstractNumId w:val="41"/>
  </w:num>
  <w:num w:numId="341" w16cid:durableId="1930387193">
    <w:abstractNumId w:val="83"/>
  </w:num>
  <w:num w:numId="342" w16cid:durableId="1446733445">
    <w:abstractNumId w:val="298"/>
  </w:num>
  <w:num w:numId="343" w16cid:durableId="262302058">
    <w:abstractNumId w:val="290"/>
  </w:num>
  <w:num w:numId="344" w16cid:durableId="1803107923">
    <w:abstractNumId w:val="549"/>
  </w:num>
  <w:num w:numId="345" w16cid:durableId="938677198">
    <w:abstractNumId w:val="495"/>
  </w:num>
  <w:num w:numId="346" w16cid:durableId="288556138">
    <w:abstractNumId w:val="174"/>
  </w:num>
  <w:num w:numId="347" w16cid:durableId="1795050895">
    <w:abstractNumId w:val="405"/>
  </w:num>
  <w:num w:numId="348" w16cid:durableId="834564566">
    <w:abstractNumId w:val="530"/>
  </w:num>
  <w:num w:numId="349" w16cid:durableId="940719120">
    <w:abstractNumId w:val="470"/>
  </w:num>
  <w:num w:numId="350" w16cid:durableId="329673289">
    <w:abstractNumId w:val="285"/>
  </w:num>
  <w:num w:numId="351" w16cid:durableId="220750136">
    <w:abstractNumId w:val="91"/>
  </w:num>
  <w:num w:numId="352" w16cid:durableId="1443577299">
    <w:abstractNumId w:val="243"/>
  </w:num>
  <w:num w:numId="353" w16cid:durableId="799421618">
    <w:abstractNumId w:val="195"/>
  </w:num>
  <w:num w:numId="354" w16cid:durableId="955019873">
    <w:abstractNumId w:val="284"/>
  </w:num>
  <w:num w:numId="355" w16cid:durableId="1709452274">
    <w:abstractNumId w:val="555"/>
  </w:num>
  <w:num w:numId="356" w16cid:durableId="1297638219">
    <w:abstractNumId w:val="325"/>
  </w:num>
  <w:num w:numId="357" w16cid:durableId="679817901">
    <w:abstractNumId w:val="202"/>
  </w:num>
  <w:num w:numId="358" w16cid:durableId="233659693">
    <w:abstractNumId w:val="28"/>
  </w:num>
  <w:num w:numId="359" w16cid:durableId="2130851078">
    <w:abstractNumId w:val="346"/>
  </w:num>
  <w:num w:numId="360" w16cid:durableId="1270772617">
    <w:abstractNumId w:val="304"/>
  </w:num>
  <w:num w:numId="361" w16cid:durableId="1795640343">
    <w:abstractNumId w:val="411"/>
  </w:num>
  <w:num w:numId="362" w16cid:durableId="1330258485">
    <w:abstractNumId w:val="147"/>
  </w:num>
  <w:num w:numId="363" w16cid:durableId="621808160">
    <w:abstractNumId w:val="271"/>
  </w:num>
  <w:num w:numId="364" w16cid:durableId="1326203120">
    <w:abstractNumId w:val="552"/>
  </w:num>
  <w:num w:numId="365" w16cid:durableId="1303802243">
    <w:abstractNumId w:val="510"/>
  </w:num>
  <w:num w:numId="366" w16cid:durableId="1795439854">
    <w:abstractNumId w:val="248"/>
  </w:num>
  <w:num w:numId="367" w16cid:durableId="683362516">
    <w:abstractNumId w:val="173"/>
  </w:num>
  <w:num w:numId="368" w16cid:durableId="414976062">
    <w:abstractNumId w:val="394"/>
  </w:num>
  <w:num w:numId="369" w16cid:durableId="38750906">
    <w:abstractNumId w:val="87"/>
  </w:num>
  <w:num w:numId="370" w16cid:durableId="1444298788">
    <w:abstractNumId w:val="512"/>
  </w:num>
  <w:num w:numId="371" w16cid:durableId="1011028103">
    <w:abstractNumId w:val="514"/>
  </w:num>
  <w:num w:numId="372" w16cid:durableId="481195120">
    <w:abstractNumId w:val="424"/>
  </w:num>
  <w:num w:numId="373" w16cid:durableId="1465000504">
    <w:abstractNumId w:val="299"/>
  </w:num>
  <w:num w:numId="374" w16cid:durableId="470749142">
    <w:abstractNumId w:val="111"/>
  </w:num>
  <w:num w:numId="375" w16cid:durableId="50883607">
    <w:abstractNumId w:val="481"/>
  </w:num>
  <w:num w:numId="376" w16cid:durableId="2011444239">
    <w:abstractNumId w:val="450"/>
  </w:num>
  <w:num w:numId="377" w16cid:durableId="622426006">
    <w:abstractNumId w:val="94"/>
  </w:num>
  <w:num w:numId="378" w16cid:durableId="1134451104">
    <w:abstractNumId w:val="544"/>
  </w:num>
  <w:num w:numId="379" w16cid:durableId="936406687">
    <w:abstractNumId w:val="319"/>
  </w:num>
  <w:num w:numId="380" w16cid:durableId="1672756606">
    <w:abstractNumId w:val="17"/>
  </w:num>
  <w:num w:numId="381" w16cid:durableId="1992706866">
    <w:abstractNumId w:val="294"/>
  </w:num>
  <w:num w:numId="382" w16cid:durableId="146896695">
    <w:abstractNumId w:val="180"/>
  </w:num>
  <w:num w:numId="383" w16cid:durableId="660432228">
    <w:abstractNumId w:val="517"/>
  </w:num>
  <w:num w:numId="384" w16cid:durableId="1109856003">
    <w:abstractNumId w:val="156"/>
  </w:num>
  <w:num w:numId="385" w16cid:durableId="885096408">
    <w:abstractNumId w:val="467"/>
  </w:num>
  <w:num w:numId="386" w16cid:durableId="1940868484">
    <w:abstractNumId w:val="575"/>
  </w:num>
  <w:num w:numId="387" w16cid:durableId="472522705">
    <w:abstractNumId w:val="385"/>
  </w:num>
  <w:num w:numId="388" w16cid:durableId="302465353">
    <w:abstractNumId w:val="345"/>
  </w:num>
  <w:num w:numId="389" w16cid:durableId="1431776959">
    <w:abstractNumId w:val="155"/>
  </w:num>
  <w:num w:numId="390" w16cid:durableId="162472138">
    <w:abstractNumId w:val="100"/>
  </w:num>
  <w:num w:numId="391" w16cid:durableId="917324585">
    <w:abstractNumId w:val="56"/>
  </w:num>
  <w:num w:numId="392" w16cid:durableId="462894727">
    <w:abstractNumId w:val="104"/>
  </w:num>
  <w:num w:numId="393" w16cid:durableId="301548020">
    <w:abstractNumId w:val="478"/>
  </w:num>
  <w:num w:numId="394" w16cid:durableId="634871241">
    <w:abstractNumId w:val="230"/>
  </w:num>
  <w:num w:numId="395" w16cid:durableId="1018652509">
    <w:abstractNumId w:val="329"/>
  </w:num>
  <w:num w:numId="396" w16cid:durableId="1725524870">
    <w:abstractNumId w:val="374"/>
  </w:num>
  <w:num w:numId="397" w16cid:durableId="707023631">
    <w:abstractNumId w:val="20"/>
  </w:num>
  <w:num w:numId="398" w16cid:durableId="221016058">
    <w:abstractNumId w:val="520"/>
  </w:num>
  <w:num w:numId="399" w16cid:durableId="39090016">
    <w:abstractNumId w:val="562"/>
  </w:num>
  <w:num w:numId="400" w16cid:durableId="252587664">
    <w:abstractNumId w:val="225"/>
  </w:num>
  <w:num w:numId="401" w16cid:durableId="3745666">
    <w:abstractNumId w:val="366"/>
  </w:num>
  <w:num w:numId="402" w16cid:durableId="171798111">
    <w:abstractNumId w:val="553"/>
  </w:num>
  <w:num w:numId="403" w16cid:durableId="1004475943">
    <w:abstractNumId w:val="71"/>
  </w:num>
  <w:num w:numId="404" w16cid:durableId="1683511730">
    <w:abstractNumId w:val="148"/>
  </w:num>
  <w:num w:numId="405" w16cid:durableId="2063096779">
    <w:abstractNumId w:val="164"/>
  </w:num>
  <w:num w:numId="406" w16cid:durableId="1241721170">
    <w:abstractNumId w:val="167"/>
  </w:num>
  <w:num w:numId="407" w16cid:durableId="1728528636">
    <w:abstractNumId w:val="441"/>
  </w:num>
  <w:num w:numId="408" w16cid:durableId="1012532953">
    <w:abstractNumId w:val="464"/>
  </w:num>
  <w:num w:numId="409" w16cid:durableId="1214269597">
    <w:abstractNumId w:val="457"/>
  </w:num>
  <w:num w:numId="410" w16cid:durableId="1015304">
    <w:abstractNumId w:val="372"/>
  </w:num>
  <w:num w:numId="411" w16cid:durableId="907113539">
    <w:abstractNumId w:val="489"/>
  </w:num>
  <w:num w:numId="412" w16cid:durableId="930629409">
    <w:abstractNumId w:val="559"/>
  </w:num>
  <w:num w:numId="413" w16cid:durableId="527064434">
    <w:abstractNumId w:val="404"/>
  </w:num>
  <w:num w:numId="414" w16cid:durableId="1334918626">
    <w:abstractNumId w:val="409"/>
  </w:num>
  <w:num w:numId="415" w16cid:durableId="440684227">
    <w:abstractNumId w:val="425"/>
  </w:num>
  <w:num w:numId="416" w16cid:durableId="1956478655">
    <w:abstractNumId w:val="408"/>
  </w:num>
  <w:num w:numId="417" w16cid:durableId="684065063">
    <w:abstractNumId w:val="480"/>
  </w:num>
  <w:num w:numId="418" w16cid:durableId="311639051">
    <w:abstractNumId w:val="584"/>
  </w:num>
  <w:num w:numId="419" w16cid:durableId="2122529674">
    <w:abstractNumId w:val="55"/>
  </w:num>
  <w:num w:numId="420" w16cid:durableId="1246495327">
    <w:abstractNumId w:val="45"/>
  </w:num>
  <w:num w:numId="421" w16cid:durableId="896164760">
    <w:abstractNumId w:val="26"/>
  </w:num>
  <w:num w:numId="422" w16cid:durableId="1794977882">
    <w:abstractNumId w:val="490"/>
  </w:num>
  <w:num w:numId="423" w16cid:durableId="2118140308">
    <w:abstractNumId w:val="360"/>
  </w:num>
  <w:num w:numId="424" w16cid:durableId="334039191">
    <w:abstractNumId w:val="474"/>
  </w:num>
  <w:num w:numId="425" w16cid:durableId="187985349">
    <w:abstractNumId w:val="73"/>
  </w:num>
  <w:num w:numId="426" w16cid:durableId="1354302551">
    <w:abstractNumId w:val="192"/>
  </w:num>
  <w:num w:numId="427" w16cid:durableId="1125461454">
    <w:abstractNumId w:val="183"/>
  </w:num>
  <w:num w:numId="428" w16cid:durableId="112752452">
    <w:abstractNumId w:val="103"/>
  </w:num>
  <w:num w:numId="429" w16cid:durableId="1385712535">
    <w:abstractNumId w:val="3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502937649">
    <w:abstractNumId w:val="446"/>
  </w:num>
  <w:num w:numId="431" w16cid:durableId="612593974">
    <w:abstractNumId w:val="415"/>
  </w:num>
  <w:num w:numId="432" w16cid:durableId="12152520">
    <w:abstractNumId w:val="246"/>
  </w:num>
  <w:num w:numId="433" w16cid:durableId="7643">
    <w:abstractNumId w:val="85"/>
  </w:num>
  <w:num w:numId="434" w16cid:durableId="821508710">
    <w:abstractNumId w:val="48"/>
  </w:num>
  <w:num w:numId="435" w16cid:durableId="817453111">
    <w:abstractNumId w:val="472"/>
  </w:num>
  <w:num w:numId="436" w16cid:durableId="796874693">
    <w:abstractNumId w:val="255"/>
  </w:num>
  <w:num w:numId="437" w16cid:durableId="994186059">
    <w:abstractNumId w:val="89"/>
  </w:num>
  <w:num w:numId="438" w16cid:durableId="98910234">
    <w:abstractNumId w:val="465"/>
  </w:num>
  <w:num w:numId="439" w16cid:durableId="439377743">
    <w:abstractNumId w:val="406"/>
  </w:num>
  <w:num w:numId="440" w16cid:durableId="760491521">
    <w:abstractNumId w:val="131"/>
  </w:num>
  <w:num w:numId="441" w16cid:durableId="68774713">
    <w:abstractNumId w:val="234"/>
  </w:num>
  <w:num w:numId="442" w16cid:durableId="1842773936">
    <w:abstractNumId w:val="439"/>
  </w:num>
  <w:num w:numId="443" w16cid:durableId="176581359">
    <w:abstractNumId w:val="152"/>
  </w:num>
  <w:num w:numId="444" w16cid:durableId="9184132">
    <w:abstractNumId w:val="205"/>
  </w:num>
  <w:num w:numId="445" w16cid:durableId="1077018910">
    <w:abstractNumId w:val="102"/>
  </w:num>
  <w:num w:numId="446" w16cid:durableId="1485707308">
    <w:abstractNumId w:val="525"/>
  </w:num>
  <w:num w:numId="447" w16cid:durableId="233006753">
    <w:abstractNumId w:val="587"/>
  </w:num>
  <w:num w:numId="448" w16cid:durableId="1985160668">
    <w:abstractNumId w:val="203"/>
  </w:num>
  <w:num w:numId="449" w16cid:durableId="40054749">
    <w:abstractNumId w:val="564"/>
  </w:num>
  <w:num w:numId="450" w16cid:durableId="606278468">
    <w:abstractNumId w:val="569"/>
  </w:num>
  <w:num w:numId="451" w16cid:durableId="1426223909">
    <w:abstractNumId w:val="141"/>
  </w:num>
  <w:num w:numId="452" w16cid:durableId="1282032307">
    <w:abstractNumId w:val="574"/>
  </w:num>
  <w:num w:numId="453" w16cid:durableId="594827778">
    <w:abstractNumId w:val="0"/>
  </w:num>
  <w:num w:numId="454" w16cid:durableId="1331106840">
    <w:abstractNumId w:val="38"/>
  </w:num>
  <w:num w:numId="455" w16cid:durableId="937761208">
    <w:abstractNumId w:val="451"/>
  </w:num>
  <w:num w:numId="456" w16cid:durableId="1190412948">
    <w:abstractNumId w:val="521"/>
  </w:num>
  <w:num w:numId="457" w16cid:durableId="571695888">
    <w:abstractNumId w:val="229"/>
  </w:num>
  <w:num w:numId="458" w16cid:durableId="140121667">
    <w:abstractNumId w:val="566"/>
  </w:num>
  <w:num w:numId="459" w16cid:durableId="1561282093">
    <w:abstractNumId w:val="151"/>
  </w:num>
  <w:num w:numId="460" w16cid:durableId="53239791">
    <w:abstractNumId w:val="18"/>
  </w:num>
  <w:num w:numId="461" w16cid:durableId="494691875">
    <w:abstractNumId w:val="582"/>
  </w:num>
  <w:num w:numId="462" w16cid:durableId="372996543">
    <w:abstractNumId w:val="433"/>
  </w:num>
  <w:num w:numId="463" w16cid:durableId="1692683071">
    <w:abstractNumId w:val="528"/>
  </w:num>
  <w:num w:numId="464" w16cid:durableId="1840534296">
    <w:abstractNumId w:val="420"/>
  </w:num>
  <w:num w:numId="465" w16cid:durableId="749889744">
    <w:abstractNumId w:val="118"/>
  </w:num>
  <w:num w:numId="466" w16cid:durableId="62336800">
    <w:abstractNumId w:val="106"/>
  </w:num>
  <w:num w:numId="467" w16cid:durableId="1089539938">
    <w:abstractNumId w:val="126"/>
  </w:num>
  <w:num w:numId="468" w16cid:durableId="645816995">
    <w:abstractNumId w:val="69"/>
  </w:num>
  <w:num w:numId="469" w16cid:durableId="872379034">
    <w:abstractNumId w:val="62"/>
  </w:num>
  <w:num w:numId="470" w16cid:durableId="1607734885">
    <w:abstractNumId w:val="327"/>
  </w:num>
  <w:num w:numId="471" w16cid:durableId="906919790">
    <w:abstractNumId w:val="498"/>
  </w:num>
  <w:num w:numId="472" w16cid:durableId="2046757037">
    <w:abstractNumId w:val="224"/>
  </w:num>
  <w:num w:numId="473" w16cid:durableId="582032510">
    <w:abstractNumId w:val="270"/>
  </w:num>
  <w:num w:numId="474" w16cid:durableId="1624775382">
    <w:abstractNumId w:val="313"/>
  </w:num>
  <w:num w:numId="475" w16cid:durableId="1557083914">
    <w:abstractNumId w:val="254"/>
  </w:num>
  <w:num w:numId="476" w16cid:durableId="1963999345">
    <w:abstractNumId w:val="531"/>
  </w:num>
  <w:num w:numId="477" w16cid:durableId="1186403507">
    <w:abstractNumId w:val="312"/>
  </w:num>
  <w:num w:numId="478" w16cid:durableId="814420887">
    <w:abstractNumId w:val="228"/>
  </w:num>
  <w:num w:numId="479" w16cid:durableId="1015882629">
    <w:abstractNumId w:val="393"/>
  </w:num>
  <w:num w:numId="480" w16cid:durableId="1293292794">
    <w:abstractNumId w:val="494"/>
  </w:num>
  <w:num w:numId="481" w16cid:durableId="742022236">
    <w:abstractNumId w:val="497"/>
  </w:num>
  <w:num w:numId="482" w16cid:durableId="860095293">
    <w:abstractNumId w:val="469"/>
  </w:num>
  <w:num w:numId="483" w16cid:durableId="36468738">
    <w:abstractNumId w:val="358"/>
  </w:num>
  <w:num w:numId="484" w16cid:durableId="219288920">
    <w:abstractNumId w:val="386"/>
  </w:num>
  <w:num w:numId="485" w16cid:durableId="484709495">
    <w:abstractNumId w:val="483"/>
  </w:num>
  <w:num w:numId="486" w16cid:durableId="1135565458">
    <w:abstractNumId w:val="543"/>
  </w:num>
  <w:num w:numId="487" w16cid:durableId="1488277464">
    <w:abstractNumId w:val="369"/>
  </w:num>
  <w:num w:numId="488" w16cid:durableId="756710885">
    <w:abstractNumId w:val="276"/>
  </w:num>
  <w:num w:numId="489" w16cid:durableId="300430985">
    <w:abstractNumId w:val="460"/>
  </w:num>
  <w:num w:numId="490" w16cid:durableId="767045351">
    <w:abstractNumId w:val="99"/>
  </w:num>
  <w:num w:numId="491" w16cid:durableId="1677539037">
    <w:abstractNumId w:val="145"/>
  </w:num>
  <w:num w:numId="492" w16cid:durableId="1561163003">
    <w:abstractNumId w:val="123"/>
  </w:num>
  <w:num w:numId="493" w16cid:durableId="2039696664">
    <w:abstractNumId w:val="336"/>
  </w:num>
  <w:num w:numId="494" w16cid:durableId="1438062651">
    <w:abstractNumId w:val="307"/>
  </w:num>
  <w:num w:numId="495" w16cid:durableId="1457217381">
    <w:abstractNumId w:val="51"/>
  </w:num>
  <w:num w:numId="496" w16cid:durableId="1233274364">
    <w:abstractNumId w:val="101"/>
  </w:num>
  <w:num w:numId="497" w16cid:durableId="427970110">
    <w:abstractNumId w:val="66"/>
  </w:num>
  <w:num w:numId="498" w16cid:durableId="25522600">
    <w:abstractNumId w:val="563"/>
  </w:num>
  <w:num w:numId="499" w16cid:durableId="617375738">
    <w:abstractNumId w:val="169"/>
  </w:num>
  <w:num w:numId="500" w16cid:durableId="1176730710">
    <w:abstractNumId w:val="272"/>
  </w:num>
  <w:num w:numId="501" w16cid:durableId="1233589002">
    <w:abstractNumId w:val="463"/>
  </w:num>
  <w:num w:numId="502" w16cid:durableId="357702938">
    <w:abstractNumId w:val="114"/>
  </w:num>
  <w:num w:numId="503" w16cid:durableId="997224104">
    <w:abstractNumId w:val="235"/>
  </w:num>
  <w:num w:numId="504" w16cid:durableId="747189008">
    <w:abstractNumId w:val="200"/>
  </w:num>
  <w:num w:numId="505" w16cid:durableId="1881939887">
    <w:abstractNumId w:val="1"/>
  </w:num>
  <w:num w:numId="506" w16cid:durableId="1523786491">
    <w:abstractNumId w:val="479"/>
  </w:num>
  <w:num w:numId="507" w16cid:durableId="165636875">
    <w:abstractNumId w:val="226"/>
  </w:num>
  <w:num w:numId="508" w16cid:durableId="1351566355">
    <w:abstractNumId w:val="309"/>
  </w:num>
  <w:num w:numId="509" w16cid:durableId="2098549210">
    <w:abstractNumId w:val="262"/>
  </w:num>
  <w:num w:numId="510" w16cid:durableId="2094353377">
    <w:abstractNumId w:val="241"/>
  </w:num>
  <w:num w:numId="511" w16cid:durableId="854928479">
    <w:abstractNumId w:val="507"/>
  </w:num>
  <w:num w:numId="512" w16cid:durableId="1172987372">
    <w:abstractNumId w:val="534"/>
  </w:num>
  <w:num w:numId="513" w16cid:durableId="1001082184">
    <w:abstractNumId w:val="43"/>
  </w:num>
  <w:num w:numId="514" w16cid:durableId="1638299450">
    <w:abstractNumId w:val="206"/>
  </w:num>
  <w:num w:numId="515" w16cid:durableId="1703439082">
    <w:abstractNumId w:val="381"/>
  </w:num>
  <w:num w:numId="516" w16cid:durableId="234904427">
    <w:abstractNumId w:val="214"/>
  </w:num>
  <w:num w:numId="517" w16cid:durableId="976685865">
    <w:abstractNumId w:val="288"/>
  </w:num>
  <w:num w:numId="518" w16cid:durableId="1419670249">
    <w:abstractNumId w:val="128"/>
  </w:num>
  <w:num w:numId="519" w16cid:durableId="114754884">
    <w:abstractNumId w:val="221"/>
  </w:num>
  <w:num w:numId="520" w16cid:durableId="40984642">
    <w:abstractNumId w:val="182"/>
  </w:num>
  <w:num w:numId="521" w16cid:durableId="420874524">
    <w:abstractNumId w:val="531"/>
  </w:num>
  <w:num w:numId="522" w16cid:durableId="248738517">
    <w:abstractNumId w:val="297"/>
  </w:num>
  <w:num w:numId="523" w16cid:durableId="1399665502">
    <w:abstractNumId w:val="401"/>
  </w:num>
  <w:num w:numId="524" w16cid:durableId="1002972866">
    <w:abstractNumId w:val="77"/>
  </w:num>
  <w:num w:numId="525" w16cid:durableId="1950308778">
    <w:abstractNumId w:val="30"/>
  </w:num>
  <w:num w:numId="526" w16cid:durableId="959998681">
    <w:abstractNumId w:val="396"/>
  </w:num>
  <w:num w:numId="527" w16cid:durableId="2006976239">
    <w:abstractNumId w:val="349"/>
  </w:num>
  <w:num w:numId="528" w16cid:durableId="973830471">
    <w:abstractNumId w:val="159"/>
  </w:num>
  <w:num w:numId="529" w16cid:durableId="1585913610">
    <w:abstractNumId w:val="247"/>
  </w:num>
  <w:num w:numId="530" w16cid:durableId="2129005684">
    <w:abstractNumId w:val="352"/>
  </w:num>
  <w:num w:numId="531" w16cid:durableId="393820837">
    <w:abstractNumId w:val="568"/>
  </w:num>
  <w:num w:numId="532" w16cid:durableId="1544714080">
    <w:abstractNumId w:val="557"/>
  </w:num>
  <w:num w:numId="533" w16cid:durableId="1781949067">
    <w:abstractNumId w:val="280"/>
  </w:num>
  <w:num w:numId="534" w16cid:durableId="757098237">
    <w:abstractNumId w:val="306"/>
  </w:num>
  <w:num w:numId="535" w16cid:durableId="1425035640">
    <w:abstractNumId w:val="80"/>
  </w:num>
  <w:num w:numId="536" w16cid:durableId="1675766490">
    <w:abstractNumId w:val="201"/>
  </w:num>
  <w:num w:numId="537" w16cid:durableId="1443501448">
    <w:abstractNumId w:val="283"/>
  </w:num>
  <w:num w:numId="538" w16cid:durableId="1764958854">
    <w:abstractNumId w:val="22"/>
  </w:num>
  <w:num w:numId="539" w16cid:durableId="1073164133">
    <w:abstractNumId w:val="23"/>
  </w:num>
  <w:num w:numId="540" w16cid:durableId="922183649">
    <w:abstractNumId w:val="448"/>
  </w:num>
  <w:num w:numId="541" w16cid:durableId="1130054161">
    <w:abstractNumId w:val="330"/>
  </w:num>
  <w:num w:numId="542" w16cid:durableId="1847287369">
    <w:abstractNumId w:val="438"/>
  </w:num>
  <w:num w:numId="543" w16cid:durableId="1085955008">
    <w:abstractNumId w:val="187"/>
  </w:num>
  <w:num w:numId="544" w16cid:durableId="1310208024">
    <w:abstractNumId w:val="261"/>
  </w:num>
  <w:num w:numId="545" w16cid:durableId="16322147">
    <w:abstractNumId w:val="572"/>
  </w:num>
  <w:num w:numId="546" w16cid:durableId="1497694564">
    <w:abstractNumId w:val="239"/>
  </w:num>
  <w:num w:numId="547" w16cid:durableId="115569915">
    <w:abstractNumId w:val="523"/>
  </w:num>
  <w:num w:numId="548" w16cid:durableId="765728324">
    <w:abstractNumId w:val="392"/>
  </w:num>
  <w:num w:numId="549" w16cid:durableId="1133018961">
    <w:abstractNumId w:val="196"/>
  </w:num>
  <w:num w:numId="550" w16cid:durableId="431626585">
    <w:abstractNumId w:val="29"/>
  </w:num>
  <w:num w:numId="551" w16cid:durableId="1076900155">
    <w:abstractNumId w:val="332"/>
  </w:num>
  <w:num w:numId="552" w16cid:durableId="249195769">
    <w:abstractNumId w:val="320"/>
  </w:num>
  <w:num w:numId="553" w16cid:durableId="1677686923">
    <w:abstractNumId w:val="44"/>
  </w:num>
  <w:num w:numId="554" w16cid:durableId="1365442871">
    <w:abstractNumId w:val="529"/>
  </w:num>
  <w:num w:numId="555" w16cid:durableId="1836874878">
    <w:abstractNumId w:val="199"/>
  </w:num>
  <w:num w:numId="556" w16cid:durableId="1512069189">
    <w:abstractNumId w:val="482"/>
  </w:num>
  <w:num w:numId="557" w16cid:durableId="382294682">
    <w:abstractNumId w:val="444"/>
  </w:num>
  <w:num w:numId="558" w16cid:durableId="1775829708">
    <w:abstractNumId w:val="551"/>
  </w:num>
  <w:num w:numId="559" w16cid:durableId="256136179">
    <w:abstractNumId w:val="176"/>
  </w:num>
  <w:num w:numId="560" w16cid:durableId="621036916">
    <w:abstractNumId w:val="178"/>
  </w:num>
  <w:num w:numId="561" w16cid:durableId="784152740">
    <w:abstractNumId w:val="108"/>
  </w:num>
  <w:num w:numId="562" w16cid:durableId="1846896405">
    <w:abstractNumId w:val="188"/>
  </w:num>
  <w:num w:numId="563" w16cid:durableId="1422216829">
    <w:abstractNumId w:val="484"/>
  </w:num>
  <w:num w:numId="564" w16cid:durableId="268245795">
    <w:abstractNumId w:val="95"/>
  </w:num>
  <w:num w:numId="565" w16cid:durableId="848060913">
    <w:abstractNumId w:val="326"/>
  </w:num>
  <w:num w:numId="566" w16cid:durableId="306790398">
    <w:abstractNumId w:val="232"/>
  </w:num>
  <w:num w:numId="567" w16cid:durableId="324629510">
    <w:abstractNumId w:val="146"/>
  </w:num>
  <w:num w:numId="568" w16cid:durableId="2124226095">
    <w:abstractNumId w:val="193"/>
  </w:num>
  <w:num w:numId="569" w16cid:durableId="1969621074">
    <w:abstractNumId w:val="397"/>
  </w:num>
  <w:num w:numId="570" w16cid:durableId="893321966">
    <w:abstractNumId w:val="289"/>
  </w:num>
  <w:num w:numId="571" w16cid:durableId="494802703">
    <w:abstractNumId w:val="295"/>
  </w:num>
  <w:num w:numId="572" w16cid:durableId="888422265">
    <w:abstractNumId w:val="354"/>
  </w:num>
  <w:num w:numId="573" w16cid:durableId="995299490">
    <w:abstractNumId w:val="389"/>
  </w:num>
  <w:num w:numId="574" w16cid:durableId="1713768645">
    <w:abstractNumId w:val="541"/>
  </w:num>
  <w:num w:numId="575" w16cid:durableId="2073842654">
    <w:abstractNumId w:val="317"/>
  </w:num>
  <w:num w:numId="576" w16cid:durableId="1615945009">
    <w:abstractNumId w:val="266"/>
  </w:num>
  <w:num w:numId="577" w16cid:durableId="810638294">
    <w:abstractNumId w:val="538"/>
  </w:num>
  <w:num w:numId="578" w16cid:durableId="989601286">
    <w:abstractNumId w:val="567"/>
  </w:num>
  <w:num w:numId="579" w16cid:durableId="1029452757">
    <w:abstractNumId w:val="339"/>
  </w:num>
  <w:num w:numId="580" w16cid:durableId="1315373114">
    <w:abstractNumId w:val="273"/>
  </w:num>
  <w:num w:numId="581" w16cid:durableId="1270744255">
    <w:abstractNumId w:val="212"/>
  </w:num>
  <w:num w:numId="582" w16cid:durableId="1794859029">
    <w:abstractNumId w:val="127"/>
  </w:num>
  <w:num w:numId="583" w16cid:durableId="16582157">
    <w:abstractNumId w:val="259"/>
  </w:num>
  <w:num w:numId="584" w16cid:durableId="1059356540">
    <w:abstractNumId w:val="580"/>
  </w:num>
  <w:num w:numId="585" w16cid:durableId="467280557">
    <w:abstractNumId w:val="53"/>
  </w:num>
  <w:num w:numId="586" w16cid:durableId="1753971920">
    <w:abstractNumId w:val="286"/>
    <w:lvlOverride w:ilvl="0">
      <w:startOverride w:val="1"/>
    </w:lvlOverride>
    <w:lvlOverride w:ilvl="1"/>
    <w:lvlOverride w:ilvl="2"/>
    <w:lvlOverride w:ilvl="3"/>
    <w:lvlOverride w:ilvl="4"/>
    <w:lvlOverride w:ilvl="5"/>
    <w:lvlOverride w:ilvl="6"/>
    <w:lvlOverride w:ilvl="7"/>
    <w:lvlOverride w:ilvl="8"/>
  </w:num>
  <w:num w:numId="587" w16cid:durableId="1137181119">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16cid:durableId="865604850">
    <w:abstractNumId w:val="217"/>
  </w:num>
  <w:num w:numId="589" w16cid:durableId="801119599">
    <w:abstractNumId w:val="471"/>
  </w:num>
  <w:num w:numId="590" w16cid:durableId="1373651388">
    <w:abstractNumId w:val="130"/>
  </w:num>
  <w:num w:numId="591" w16cid:durableId="872229023">
    <w:abstractNumId w:val="27"/>
  </w:num>
  <w:num w:numId="592" w16cid:durableId="149366524">
    <w:abstractNumId w:val="395"/>
  </w:num>
  <w:num w:numId="593" w16cid:durableId="532498384">
    <w:abstractNumId w:val="363"/>
  </w:num>
  <w:numIdMacAtCleanup w:val="5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C08"/>
    <w:rsid w:val="00000107"/>
    <w:rsid w:val="000004D8"/>
    <w:rsid w:val="00000626"/>
    <w:rsid w:val="0000064D"/>
    <w:rsid w:val="000007A5"/>
    <w:rsid w:val="00000933"/>
    <w:rsid w:val="00000940"/>
    <w:rsid w:val="00000CDF"/>
    <w:rsid w:val="00000D5B"/>
    <w:rsid w:val="00000E69"/>
    <w:rsid w:val="00001016"/>
    <w:rsid w:val="0000101F"/>
    <w:rsid w:val="000010DD"/>
    <w:rsid w:val="0000113F"/>
    <w:rsid w:val="000011C9"/>
    <w:rsid w:val="0000133E"/>
    <w:rsid w:val="00001372"/>
    <w:rsid w:val="0000140D"/>
    <w:rsid w:val="00001451"/>
    <w:rsid w:val="000014F8"/>
    <w:rsid w:val="0000160D"/>
    <w:rsid w:val="00001655"/>
    <w:rsid w:val="0000174B"/>
    <w:rsid w:val="00001768"/>
    <w:rsid w:val="000018B1"/>
    <w:rsid w:val="000018E1"/>
    <w:rsid w:val="0000197B"/>
    <w:rsid w:val="00001C18"/>
    <w:rsid w:val="00001DE4"/>
    <w:rsid w:val="00001E5E"/>
    <w:rsid w:val="00001E6A"/>
    <w:rsid w:val="00001E89"/>
    <w:rsid w:val="00001EA5"/>
    <w:rsid w:val="00001F77"/>
    <w:rsid w:val="0000217C"/>
    <w:rsid w:val="00002196"/>
    <w:rsid w:val="0000228E"/>
    <w:rsid w:val="00002385"/>
    <w:rsid w:val="0000242C"/>
    <w:rsid w:val="00002453"/>
    <w:rsid w:val="000025B5"/>
    <w:rsid w:val="000025D4"/>
    <w:rsid w:val="000025D5"/>
    <w:rsid w:val="000025F8"/>
    <w:rsid w:val="000025FF"/>
    <w:rsid w:val="000027B8"/>
    <w:rsid w:val="000027E3"/>
    <w:rsid w:val="00002801"/>
    <w:rsid w:val="0000281B"/>
    <w:rsid w:val="00002A0C"/>
    <w:rsid w:val="00002A22"/>
    <w:rsid w:val="00002C41"/>
    <w:rsid w:val="00002CD3"/>
    <w:rsid w:val="00002D98"/>
    <w:rsid w:val="00002E96"/>
    <w:rsid w:val="00002EEF"/>
    <w:rsid w:val="0000310D"/>
    <w:rsid w:val="00003210"/>
    <w:rsid w:val="0000322B"/>
    <w:rsid w:val="00003277"/>
    <w:rsid w:val="00003393"/>
    <w:rsid w:val="0000340B"/>
    <w:rsid w:val="00003445"/>
    <w:rsid w:val="00003620"/>
    <w:rsid w:val="0000368B"/>
    <w:rsid w:val="000036D4"/>
    <w:rsid w:val="0000374E"/>
    <w:rsid w:val="00003816"/>
    <w:rsid w:val="0000386D"/>
    <w:rsid w:val="00003897"/>
    <w:rsid w:val="00003A41"/>
    <w:rsid w:val="00003AC6"/>
    <w:rsid w:val="00003B60"/>
    <w:rsid w:val="00003B9A"/>
    <w:rsid w:val="00003C96"/>
    <w:rsid w:val="00003DC2"/>
    <w:rsid w:val="00003DD3"/>
    <w:rsid w:val="00003EC3"/>
    <w:rsid w:val="0000402D"/>
    <w:rsid w:val="000040E9"/>
    <w:rsid w:val="0000413D"/>
    <w:rsid w:val="0000422B"/>
    <w:rsid w:val="00004257"/>
    <w:rsid w:val="00004279"/>
    <w:rsid w:val="00004287"/>
    <w:rsid w:val="00004468"/>
    <w:rsid w:val="00004517"/>
    <w:rsid w:val="00004573"/>
    <w:rsid w:val="000049C8"/>
    <w:rsid w:val="000049F0"/>
    <w:rsid w:val="00004B1F"/>
    <w:rsid w:val="00004B2F"/>
    <w:rsid w:val="00004B6D"/>
    <w:rsid w:val="00004BF9"/>
    <w:rsid w:val="00004E43"/>
    <w:rsid w:val="00004E64"/>
    <w:rsid w:val="00004E6C"/>
    <w:rsid w:val="00004EE2"/>
    <w:rsid w:val="00004F2F"/>
    <w:rsid w:val="00004F44"/>
    <w:rsid w:val="00004F5C"/>
    <w:rsid w:val="00004FD2"/>
    <w:rsid w:val="000051A5"/>
    <w:rsid w:val="000051CF"/>
    <w:rsid w:val="0000521E"/>
    <w:rsid w:val="0000526D"/>
    <w:rsid w:val="000052DD"/>
    <w:rsid w:val="00005438"/>
    <w:rsid w:val="000056AD"/>
    <w:rsid w:val="0000573F"/>
    <w:rsid w:val="00005771"/>
    <w:rsid w:val="000058BD"/>
    <w:rsid w:val="00005940"/>
    <w:rsid w:val="0000599C"/>
    <w:rsid w:val="00005C08"/>
    <w:rsid w:val="00005CF3"/>
    <w:rsid w:val="00005D01"/>
    <w:rsid w:val="00005E41"/>
    <w:rsid w:val="00005E49"/>
    <w:rsid w:val="00005E87"/>
    <w:rsid w:val="00005FCC"/>
    <w:rsid w:val="00006145"/>
    <w:rsid w:val="00006196"/>
    <w:rsid w:val="000061F3"/>
    <w:rsid w:val="00006209"/>
    <w:rsid w:val="00006226"/>
    <w:rsid w:val="000065BB"/>
    <w:rsid w:val="000065F4"/>
    <w:rsid w:val="000065F9"/>
    <w:rsid w:val="00006622"/>
    <w:rsid w:val="00006665"/>
    <w:rsid w:val="00006669"/>
    <w:rsid w:val="00006725"/>
    <w:rsid w:val="000069C1"/>
    <w:rsid w:val="00006A0E"/>
    <w:rsid w:val="00006A0F"/>
    <w:rsid w:val="00006ACA"/>
    <w:rsid w:val="00006B39"/>
    <w:rsid w:val="00006B76"/>
    <w:rsid w:val="00006C7C"/>
    <w:rsid w:val="00006CE4"/>
    <w:rsid w:val="00006D09"/>
    <w:rsid w:val="00006DBC"/>
    <w:rsid w:val="00006DDA"/>
    <w:rsid w:val="00006E53"/>
    <w:rsid w:val="00006E62"/>
    <w:rsid w:val="00006EB6"/>
    <w:rsid w:val="00006F53"/>
    <w:rsid w:val="00006F5D"/>
    <w:rsid w:val="00006FEF"/>
    <w:rsid w:val="0000701A"/>
    <w:rsid w:val="0000728C"/>
    <w:rsid w:val="000072EC"/>
    <w:rsid w:val="0000739C"/>
    <w:rsid w:val="0000742B"/>
    <w:rsid w:val="000074DC"/>
    <w:rsid w:val="00007525"/>
    <w:rsid w:val="000076CB"/>
    <w:rsid w:val="00007B6B"/>
    <w:rsid w:val="00007E65"/>
    <w:rsid w:val="00010074"/>
    <w:rsid w:val="0001020A"/>
    <w:rsid w:val="0001023D"/>
    <w:rsid w:val="0001039C"/>
    <w:rsid w:val="00010681"/>
    <w:rsid w:val="00010982"/>
    <w:rsid w:val="000109F4"/>
    <w:rsid w:val="00010A1C"/>
    <w:rsid w:val="00010E2E"/>
    <w:rsid w:val="00010E42"/>
    <w:rsid w:val="00010E74"/>
    <w:rsid w:val="00010EAF"/>
    <w:rsid w:val="00011242"/>
    <w:rsid w:val="0001134E"/>
    <w:rsid w:val="000113F1"/>
    <w:rsid w:val="00011594"/>
    <w:rsid w:val="000115F5"/>
    <w:rsid w:val="000118DB"/>
    <w:rsid w:val="000119D4"/>
    <w:rsid w:val="00011A0C"/>
    <w:rsid w:val="00011B06"/>
    <w:rsid w:val="00011B2B"/>
    <w:rsid w:val="00011B91"/>
    <w:rsid w:val="00011CE5"/>
    <w:rsid w:val="00011D7E"/>
    <w:rsid w:val="00011E44"/>
    <w:rsid w:val="00011EF3"/>
    <w:rsid w:val="00011F56"/>
    <w:rsid w:val="00011F8F"/>
    <w:rsid w:val="00012001"/>
    <w:rsid w:val="0001208A"/>
    <w:rsid w:val="00012147"/>
    <w:rsid w:val="00012347"/>
    <w:rsid w:val="000124A7"/>
    <w:rsid w:val="000124FE"/>
    <w:rsid w:val="0001255D"/>
    <w:rsid w:val="000125F7"/>
    <w:rsid w:val="00012710"/>
    <w:rsid w:val="00012779"/>
    <w:rsid w:val="00012902"/>
    <w:rsid w:val="000129A8"/>
    <w:rsid w:val="00012A39"/>
    <w:rsid w:val="00012A79"/>
    <w:rsid w:val="00012AA4"/>
    <w:rsid w:val="00012AC0"/>
    <w:rsid w:val="00012BA7"/>
    <w:rsid w:val="00012BEC"/>
    <w:rsid w:val="00012DAF"/>
    <w:rsid w:val="00012E0A"/>
    <w:rsid w:val="000130B2"/>
    <w:rsid w:val="0001314D"/>
    <w:rsid w:val="0001333B"/>
    <w:rsid w:val="0001340B"/>
    <w:rsid w:val="0001358C"/>
    <w:rsid w:val="00013713"/>
    <w:rsid w:val="0001374E"/>
    <w:rsid w:val="00013785"/>
    <w:rsid w:val="000139A5"/>
    <w:rsid w:val="000139E7"/>
    <w:rsid w:val="00013AD8"/>
    <w:rsid w:val="00013AE4"/>
    <w:rsid w:val="00013AF4"/>
    <w:rsid w:val="00013D45"/>
    <w:rsid w:val="00013E7C"/>
    <w:rsid w:val="00013E8E"/>
    <w:rsid w:val="00013F0C"/>
    <w:rsid w:val="000142CD"/>
    <w:rsid w:val="00014342"/>
    <w:rsid w:val="000144C2"/>
    <w:rsid w:val="00014543"/>
    <w:rsid w:val="000146CF"/>
    <w:rsid w:val="000149F1"/>
    <w:rsid w:val="00014D1B"/>
    <w:rsid w:val="00014D3B"/>
    <w:rsid w:val="00014D7A"/>
    <w:rsid w:val="00014EA9"/>
    <w:rsid w:val="00015177"/>
    <w:rsid w:val="000151BC"/>
    <w:rsid w:val="000151D8"/>
    <w:rsid w:val="000151E9"/>
    <w:rsid w:val="0001528E"/>
    <w:rsid w:val="00015436"/>
    <w:rsid w:val="0001546E"/>
    <w:rsid w:val="000154B5"/>
    <w:rsid w:val="0001551E"/>
    <w:rsid w:val="00015839"/>
    <w:rsid w:val="00015878"/>
    <w:rsid w:val="00015976"/>
    <w:rsid w:val="000159A0"/>
    <w:rsid w:val="00015B94"/>
    <w:rsid w:val="00015C2D"/>
    <w:rsid w:val="00015C76"/>
    <w:rsid w:val="00015CEC"/>
    <w:rsid w:val="00015E64"/>
    <w:rsid w:val="00015EEE"/>
    <w:rsid w:val="00015F12"/>
    <w:rsid w:val="00015F90"/>
    <w:rsid w:val="0001602C"/>
    <w:rsid w:val="00016143"/>
    <w:rsid w:val="0001615B"/>
    <w:rsid w:val="00016312"/>
    <w:rsid w:val="00016318"/>
    <w:rsid w:val="00016359"/>
    <w:rsid w:val="0001642E"/>
    <w:rsid w:val="00016531"/>
    <w:rsid w:val="00016540"/>
    <w:rsid w:val="000165D3"/>
    <w:rsid w:val="0001667D"/>
    <w:rsid w:val="000166EF"/>
    <w:rsid w:val="0001692F"/>
    <w:rsid w:val="00016C35"/>
    <w:rsid w:val="00016D64"/>
    <w:rsid w:val="00016D85"/>
    <w:rsid w:val="00016E50"/>
    <w:rsid w:val="00016FB7"/>
    <w:rsid w:val="000170D8"/>
    <w:rsid w:val="000170E3"/>
    <w:rsid w:val="000171A4"/>
    <w:rsid w:val="0001722D"/>
    <w:rsid w:val="00017273"/>
    <w:rsid w:val="000172CB"/>
    <w:rsid w:val="000173CD"/>
    <w:rsid w:val="00017508"/>
    <w:rsid w:val="00017550"/>
    <w:rsid w:val="00017685"/>
    <w:rsid w:val="00017701"/>
    <w:rsid w:val="00017892"/>
    <w:rsid w:val="000178E0"/>
    <w:rsid w:val="000178F6"/>
    <w:rsid w:val="000179AC"/>
    <w:rsid w:val="00017BAD"/>
    <w:rsid w:val="00017FF1"/>
    <w:rsid w:val="00020022"/>
    <w:rsid w:val="00020052"/>
    <w:rsid w:val="0002007C"/>
    <w:rsid w:val="000201EF"/>
    <w:rsid w:val="0002063C"/>
    <w:rsid w:val="00020666"/>
    <w:rsid w:val="0002091D"/>
    <w:rsid w:val="0002095E"/>
    <w:rsid w:val="00020979"/>
    <w:rsid w:val="00020AA5"/>
    <w:rsid w:val="00020B6B"/>
    <w:rsid w:val="00020D4B"/>
    <w:rsid w:val="00020EDF"/>
    <w:rsid w:val="0002112D"/>
    <w:rsid w:val="000211D5"/>
    <w:rsid w:val="0002124C"/>
    <w:rsid w:val="00021283"/>
    <w:rsid w:val="0002145D"/>
    <w:rsid w:val="000214CB"/>
    <w:rsid w:val="00021637"/>
    <w:rsid w:val="00021781"/>
    <w:rsid w:val="000217D3"/>
    <w:rsid w:val="0002185F"/>
    <w:rsid w:val="0002186A"/>
    <w:rsid w:val="0002198B"/>
    <w:rsid w:val="00021C13"/>
    <w:rsid w:val="000221A9"/>
    <w:rsid w:val="0002236A"/>
    <w:rsid w:val="0002258A"/>
    <w:rsid w:val="000225DE"/>
    <w:rsid w:val="00022612"/>
    <w:rsid w:val="000226AB"/>
    <w:rsid w:val="000226D9"/>
    <w:rsid w:val="00022796"/>
    <w:rsid w:val="000229EC"/>
    <w:rsid w:val="00022A3D"/>
    <w:rsid w:val="00022AB7"/>
    <w:rsid w:val="00022BAD"/>
    <w:rsid w:val="00022DD8"/>
    <w:rsid w:val="00022F9C"/>
    <w:rsid w:val="00023056"/>
    <w:rsid w:val="00023164"/>
    <w:rsid w:val="000231A3"/>
    <w:rsid w:val="0002321C"/>
    <w:rsid w:val="000232DC"/>
    <w:rsid w:val="000232E6"/>
    <w:rsid w:val="00023348"/>
    <w:rsid w:val="000233D1"/>
    <w:rsid w:val="00023448"/>
    <w:rsid w:val="000236F9"/>
    <w:rsid w:val="00023A8E"/>
    <w:rsid w:val="00023B2E"/>
    <w:rsid w:val="00023B34"/>
    <w:rsid w:val="00023BD9"/>
    <w:rsid w:val="00023C3E"/>
    <w:rsid w:val="00023C7F"/>
    <w:rsid w:val="00023C87"/>
    <w:rsid w:val="00023D31"/>
    <w:rsid w:val="00023D5B"/>
    <w:rsid w:val="00023E1F"/>
    <w:rsid w:val="00023FC2"/>
    <w:rsid w:val="00024027"/>
    <w:rsid w:val="000242CC"/>
    <w:rsid w:val="000243E1"/>
    <w:rsid w:val="0002462C"/>
    <w:rsid w:val="00024674"/>
    <w:rsid w:val="0002467A"/>
    <w:rsid w:val="0002479D"/>
    <w:rsid w:val="0002490B"/>
    <w:rsid w:val="000249A5"/>
    <w:rsid w:val="000249C2"/>
    <w:rsid w:val="000249FA"/>
    <w:rsid w:val="00024A55"/>
    <w:rsid w:val="00024BEE"/>
    <w:rsid w:val="00024D14"/>
    <w:rsid w:val="00024D46"/>
    <w:rsid w:val="00024D7C"/>
    <w:rsid w:val="00024E63"/>
    <w:rsid w:val="00024F26"/>
    <w:rsid w:val="00024F9E"/>
    <w:rsid w:val="00024FF4"/>
    <w:rsid w:val="0002507A"/>
    <w:rsid w:val="00025432"/>
    <w:rsid w:val="0002548C"/>
    <w:rsid w:val="000254E1"/>
    <w:rsid w:val="000254E6"/>
    <w:rsid w:val="00025662"/>
    <w:rsid w:val="00025716"/>
    <w:rsid w:val="00025718"/>
    <w:rsid w:val="000257C4"/>
    <w:rsid w:val="000257C9"/>
    <w:rsid w:val="00025AC6"/>
    <w:rsid w:val="00025BC8"/>
    <w:rsid w:val="00025DD0"/>
    <w:rsid w:val="00025E1A"/>
    <w:rsid w:val="00025EAE"/>
    <w:rsid w:val="00025F74"/>
    <w:rsid w:val="00026005"/>
    <w:rsid w:val="0002602F"/>
    <w:rsid w:val="00026145"/>
    <w:rsid w:val="0002626D"/>
    <w:rsid w:val="0002636E"/>
    <w:rsid w:val="0002645A"/>
    <w:rsid w:val="00026497"/>
    <w:rsid w:val="0002660C"/>
    <w:rsid w:val="00026668"/>
    <w:rsid w:val="000266BB"/>
    <w:rsid w:val="000267E3"/>
    <w:rsid w:val="000269A3"/>
    <w:rsid w:val="000269B3"/>
    <w:rsid w:val="00026A23"/>
    <w:rsid w:val="00026A49"/>
    <w:rsid w:val="00026AC9"/>
    <w:rsid w:val="00026C1E"/>
    <w:rsid w:val="00026C50"/>
    <w:rsid w:val="00026CB1"/>
    <w:rsid w:val="00026CC6"/>
    <w:rsid w:val="00026DA9"/>
    <w:rsid w:val="00026E27"/>
    <w:rsid w:val="00027008"/>
    <w:rsid w:val="000271A8"/>
    <w:rsid w:val="000271D1"/>
    <w:rsid w:val="0002734E"/>
    <w:rsid w:val="000273F6"/>
    <w:rsid w:val="00027493"/>
    <w:rsid w:val="0002755F"/>
    <w:rsid w:val="000275E3"/>
    <w:rsid w:val="000276E0"/>
    <w:rsid w:val="0002771C"/>
    <w:rsid w:val="00027802"/>
    <w:rsid w:val="00027890"/>
    <w:rsid w:val="000279E2"/>
    <w:rsid w:val="00027B35"/>
    <w:rsid w:val="00027B69"/>
    <w:rsid w:val="00027BAF"/>
    <w:rsid w:val="00027D6F"/>
    <w:rsid w:val="00030175"/>
    <w:rsid w:val="000301A2"/>
    <w:rsid w:val="000301B1"/>
    <w:rsid w:val="0003023B"/>
    <w:rsid w:val="00030270"/>
    <w:rsid w:val="00030647"/>
    <w:rsid w:val="00030691"/>
    <w:rsid w:val="0003089C"/>
    <w:rsid w:val="000308AF"/>
    <w:rsid w:val="000308E7"/>
    <w:rsid w:val="00030900"/>
    <w:rsid w:val="00030AFF"/>
    <w:rsid w:val="00030B25"/>
    <w:rsid w:val="00030BE6"/>
    <w:rsid w:val="00030CE8"/>
    <w:rsid w:val="00030D25"/>
    <w:rsid w:val="00030DD3"/>
    <w:rsid w:val="00030DF4"/>
    <w:rsid w:val="00030DFF"/>
    <w:rsid w:val="00030EEE"/>
    <w:rsid w:val="00030FF3"/>
    <w:rsid w:val="00031050"/>
    <w:rsid w:val="000310DE"/>
    <w:rsid w:val="0003122F"/>
    <w:rsid w:val="0003124F"/>
    <w:rsid w:val="00031279"/>
    <w:rsid w:val="0003135F"/>
    <w:rsid w:val="000314EE"/>
    <w:rsid w:val="0003166E"/>
    <w:rsid w:val="00031715"/>
    <w:rsid w:val="00031745"/>
    <w:rsid w:val="00031753"/>
    <w:rsid w:val="000317A3"/>
    <w:rsid w:val="00031909"/>
    <w:rsid w:val="00031929"/>
    <w:rsid w:val="00031AC7"/>
    <w:rsid w:val="00031B35"/>
    <w:rsid w:val="00031B5E"/>
    <w:rsid w:val="00031B62"/>
    <w:rsid w:val="00031B65"/>
    <w:rsid w:val="00031C12"/>
    <w:rsid w:val="00031C45"/>
    <w:rsid w:val="00031DBE"/>
    <w:rsid w:val="00031DCE"/>
    <w:rsid w:val="00031E2E"/>
    <w:rsid w:val="00031F1F"/>
    <w:rsid w:val="00032022"/>
    <w:rsid w:val="0003203E"/>
    <w:rsid w:val="000321B7"/>
    <w:rsid w:val="000322CC"/>
    <w:rsid w:val="0003231B"/>
    <w:rsid w:val="0003239B"/>
    <w:rsid w:val="00032522"/>
    <w:rsid w:val="00032570"/>
    <w:rsid w:val="00032795"/>
    <w:rsid w:val="00032838"/>
    <w:rsid w:val="000328BE"/>
    <w:rsid w:val="000329C3"/>
    <w:rsid w:val="00032AF7"/>
    <w:rsid w:val="00032BAD"/>
    <w:rsid w:val="00032BBA"/>
    <w:rsid w:val="00032BD4"/>
    <w:rsid w:val="00032CD1"/>
    <w:rsid w:val="00032DEE"/>
    <w:rsid w:val="00032E02"/>
    <w:rsid w:val="00032F54"/>
    <w:rsid w:val="0003317E"/>
    <w:rsid w:val="000331D6"/>
    <w:rsid w:val="00033214"/>
    <w:rsid w:val="000332E2"/>
    <w:rsid w:val="00033310"/>
    <w:rsid w:val="000333D2"/>
    <w:rsid w:val="000334C4"/>
    <w:rsid w:val="0003357C"/>
    <w:rsid w:val="0003365A"/>
    <w:rsid w:val="0003368A"/>
    <w:rsid w:val="0003374E"/>
    <w:rsid w:val="000337C1"/>
    <w:rsid w:val="00033807"/>
    <w:rsid w:val="00033844"/>
    <w:rsid w:val="0003398D"/>
    <w:rsid w:val="000339BA"/>
    <w:rsid w:val="00033C74"/>
    <w:rsid w:val="00033E78"/>
    <w:rsid w:val="00033F98"/>
    <w:rsid w:val="00033FCC"/>
    <w:rsid w:val="00034084"/>
    <w:rsid w:val="000341BA"/>
    <w:rsid w:val="0003422A"/>
    <w:rsid w:val="0003424B"/>
    <w:rsid w:val="000343C4"/>
    <w:rsid w:val="00034437"/>
    <w:rsid w:val="00034467"/>
    <w:rsid w:val="000346A0"/>
    <w:rsid w:val="000346D1"/>
    <w:rsid w:val="000347B4"/>
    <w:rsid w:val="00034996"/>
    <w:rsid w:val="000349D7"/>
    <w:rsid w:val="00034A57"/>
    <w:rsid w:val="00034CE2"/>
    <w:rsid w:val="00034E36"/>
    <w:rsid w:val="00034F74"/>
    <w:rsid w:val="00034F90"/>
    <w:rsid w:val="00035064"/>
    <w:rsid w:val="0003514E"/>
    <w:rsid w:val="000351F0"/>
    <w:rsid w:val="0003522D"/>
    <w:rsid w:val="00035234"/>
    <w:rsid w:val="0003529F"/>
    <w:rsid w:val="000352C4"/>
    <w:rsid w:val="000355A8"/>
    <w:rsid w:val="000356D3"/>
    <w:rsid w:val="000357F0"/>
    <w:rsid w:val="00035952"/>
    <w:rsid w:val="00035AEB"/>
    <w:rsid w:val="00035B82"/>
    <w:rsid w:val="00035C27"/>
    <w:rsid w:val="00035DA5"/>
    <w:rsid w:val="00035DFD"/>
    <w:rsid w:val="00035F73"/>
    <w:rsid w:val="00035F9A"/>
    <w:rsid w:val="00035FAA"/>
    <w:rsid w:val="000360D1"/>
    <w:rsid w:val="00036173"/>
    <w:rsid w:val="00036258"/>
    <w:rsid w:val="00036354"/>
    <w:rsid w:val="00036547"/>
    <w:rsid w:val="00036692"/>
    <w:rsid w:val="00036698"/>
    <w:rsid w:val="000366BC"/>
    <w:rsid w:val="000367A0"/>
    <w:rsid w:val="00036AF5"/>
    <w:rsid w:val="00036B1B"/>
    <w:rsid w:val="00036BEE"/>
    <w:rsid w:val="00036DEE"/>
    <w:rsid w:val="00036EB7"/>
    <w:rsid w:val="00036EDE"/>
    <w:rsid w:val="00036F8E"/>
    <w:rsid w:val="00037021"/>
    <w:rsid w:val="00037088"/>
    <w:rsid w:val="000370D9"/>
    <w:rsid w:val="00037117"/>
    <w:rsid w:val="0003716D"/>
    <w:rsid w:val="0003728A"/>
    <w:rsid w:val="000373B4"/>
    <w:rsid w:val="0003741A"/>
    <w:rsid w:val="00037481"/>
    <w:rsid w:val="0003749E"/>
    <w:rsid w:val="000374BA"/>
    <w:rsid w:val="00037516"/>
    <w:rsid w:val="00037587"/>
    <w:rsid w:val="000375E5"/>
    <w:rsid w:val="000376A4"/>
    <w:rsid w:val="0003777F"/>
    <w:rsid w:val="0003793D"/>
    <w:rsid w:val="00037945"/>
    <w:rsid w:val="00037D72"/>
    <w:rsid w:val="00037DCE"/>
    <w:rsid w:val="00037E3B"/>
    <w:rsid w:val="00037E5A"/>
    <w:rsid w:val="00037EE5"/>
    <w:rsid w:val="00037F69"/>
    <w:rsid w:val="00040005"/>
    <w:rsid w:val="00040131"/>
    <w:rsid w:val="0004036E"/>
    <w:rsid w:val="000403BB"/>
    <w:rsid w:val="00040464"/>
    <w:rsid w:val="0004048E"/>
    <w:rsid w:val="0004075C"/>
    <w:rsid w:val="00040782"/>
    <w:rsid w:val="0004082F"/>
    <w:rsid w:val="00040A45"/>
    <w:rsid w:val="00040AB2"/>
    <w:rsid w:val="00040B23"/>
    <w:rsid w:val="00040C48"/>
    <w:rsid w:val="00040CCA"/>
    <w:rsid w:val="00040CEB"/>
    <w:rsid w:val="00040D4E"/>
    <w:rsid w:val="00040DF6"/>
    <w:rsid w:val="00040FBD"/>
    <w:rsid w:val="00040FD9"/>
    <w:rsid w:val="000411E0"/>
    <w:rsid w:val="000412E3"/>
    <w:rsid w:val="00041355"/>
    <w:rsid w:val="000416E5"/>
    <w:rsid w:val="000417A8"/>
    <w:rsid w:val="000417B6"/>
    <w:rsid w:val="000418C8"/>
    <w:rsid w:val="000419F2"/>
    <w:rsid w:val="00041A21"/>
    <w:rsid w:val="00041A86"/>
    <w:rsid w:val="00041B89"/>
    <w:rsid w:val="00041C9A"/>
    <w:rsid w:val="00041CF8"/>
    <w:rsid w:val="00041D2B"/>
    <w:rsid w:val="00041D46"/>
    <w:rsid w:val="00041D68"/>
    <w:rsid w:val="00041D8E"/>
    <w:rsid w:val="00041E8A"/>
    <w:rsid w:val="00041FDA"/>
    <w:rsid w:val="000421F3"/>
    <w:rsid w:val="000422E9"/>
    <w:rsid w:val="00042355"/>
    <w:rsid w:val="0004236D"/>
    <w:rsid w:val="0004241C"/>
    <w:rsid w:val="00042430"/>
    <w:rsid w:val="000424E3"/>
    <w:rsid w:val="00042609"/>
    <w:rsid w:val="0004260C"/>
    <w:rsid w:val="0004290C"/>
    <w:rsid w:val="00042BB9"/>
    <w:rsid w:val="00042D1E"/>
    <w:rsid w:val="00042D76"/>
    <w:rsid w:val="00042EA7"/>
    <w:rsid w:val="00042EB6"/>
    <w:rsid w:val="00042FC7"/>
    <w:rsid w:val="00043075"/>
    <w:rsid w:val="00043169"/>
    <w:rsid w:val="000431E3"/>
    <w:rsid w:val="000431EB"/>
    <w:rsid w:val="00043266"/>
    <w:rsid w:val="000432FF"/>
    <w:rsid w:val="00043311"/>
    <w:rsid w:val="0004331A"/>
    <w:rsid w:val="000435AB"/>
    <w:rsid w:val="000435AF"/>
    <w:rsid w:val="00043629"/>
    <w:rsid w:val="000436AC"/>
    <w:rsid w:val="000436C4"/>
    <w:rsid w:val="000436D6"/>
    <w:rsid w:val="000436FE"/>
    <w:rsid w:val="0004372E"/>
    <w:rsid w:val="000437AD"/>
    <w:rsid w:val="00043827"/>
    <w:rsid w:val="000439A7"/>
    <w:rsid w:val="000439C6"/>
    <w:rsid w:val="000439DD"/>
    <w:rsid w:val="00043ADF"/>
    <w:rsid w:val="00043AE0"/>
    <w:rsid w:val="00043B08"/>
    <w:rsid w:val="00043B30"/>
    <w:rsid w:val="00043DB0"/>
    <w:rsid w:val="00043E94"/>
    <w:rsid w:val="00043F52"/>
    <w:rsid w:val="00043F5E"/>
    <w:rsid w:val="00044123"/>
    <w:rsid w:val="000442DF"/>
    <w:rsid w:val="0004430E"/>
    <w:rsid w:val="00044666"/>
    <w:rsid w:val="0004475F"/>
    <w:rsid w:val="0004499F"/>
    <w:rsid w:val="00044B4D"/>
    <w:rsid w:val="00044B71"/>
    <w:rsid w:val="00044B79"/>
    <w:rsid w:val="00044B83"/>
    <w:rsid w:val="00044BE4"/>
    <w:rsid w:val="00044C00"/>
    <w:rsid w:val="00044E06"/>
    <w:rsid w:val="00044E40"/>
    <w:rsid w:val="00044EA5"/>
    <w:rsid w:val="00044F66"/>
    <w:rsid w:val="000450C4"/>
    <w:rsid w:val="00045351"/>
    <w:rsid w:val="000453FF"/>
    <w:rsid w:val="00045662"/>
    <w:rsid w:val="00045798"/>
    <w:rsid w:val="00045808"/>
    <w:rsid w:val="00045878"/>
    <w:rsid w:val="000458B9"/>
    <w:rsid w:val="0004591E"/>
    <w:rsid w:val="00045935"/>
    <w:rsid w:val="00045995"/>
    <w:rsid w:val="00045E33"/>
    <w:rsid w:val="00045E71"/>
    <w:rsid w:val="00046067"/>
    <w:rsid w:val="000461BE"/>
    <w:rsid w:val="000461E8"/>
    <w:rsid w:val="00046342"/>
    <w:rsid w:val="000463E9"/>
    <w:rsid w:val="00046411"/>
    <w:rsid w:val="0004642C"/>
    <w:rsid w:val="00046499"/>
    <w:rsid w:val="0004655F"/>
    <w:rsid w:val="0004678B"/>
    <w:rsid w:val="0004680D"/>
    <w:rsid w:val="00046857"/>
    <w:rsid w:val="000468D5"/>
    <w:rsid w:val="0004691B"/>
    <w:rsid w:val="00046C2A"/>
    <w:rsid w:val="00046DA6"/>
    <w:rsid w:val="00046E22"/>
    <w:rsid w:val="00046E8D"/>
    <w:rsid w:val="00046EF8"/>
    <w:rsid w:val="00046F3B"/>
    <w:rsid w:val="00046FAB"/>
    <w:rsid w:val="00046FC6"/>
    <w:rsid w:val="000470AA"/>
    <w:rsid w:val="00047242"/>
    <w:rsid w:val="000472A0"/>
    <w:rsid w:val="00047370"/>
    <w:rsid w:val="00047479"/>
    <w:rsid w:val="000474DE"/>
    <w:rsid w:val="000474F5"/>
    <w:rsid w:val="000475BE"/>
    <w:rsid w:val="000475E5"/>
    <w:rsid w:val="0004768C"/>
    <w:rsid w:val="00047792"/>
    <w:rsid w:val="000477D1"/>
    <w:rsid w:val="000477F9"/>
    <w:rsid w:val="00047982"/>
    <w:rsid w:val="000479BD"/>
    <w:rsid w:val="000479DC"/>
    <w:rsid w:val="00047A48"/>
    <w:rsid w:val="00047B0F"/>
    <w:rsid w:val="00047B1B"/>
    <w:rsid w:val="00047B94"/>
    <w:rsid w:val="00047D2B"/>
    <w:rsid w:val="00047D82"/>
    <w:rsid w:val="00047D99"/>
    <w:rsid w:val="00047F8F"/>
    <w:rsid w:val="00047F94"/>
    <w:rsid w:val="0004FCCD"/>
    <w:rsid w:val="0005017E"/>
    <w:rsid w:val="000501D6"/>
    <w:rsid w:val="000502D0"/>
    <w:rsid w:val="00050392"/>
    <w:rsid w:val="0005044B"/>
    <w:rsid w:val="00050483"/>
    <w:rsid w:val="000504CE"/>
    <w:rsid w:val="00050564"/>
    <w:rsid w:val="00050565"/>
    <w:rsid w:val="000506C5"/>
    <w:rsid w:val="0005071E"/>
    <w:rsid w:val="0005072C"/>
    <w:rsid w:val="000507A6"/>
    <w:rsid w:val="0005095D"/>
    <w:rsid w:val="00050A5B"/>
    <w:rsid w:val="00050B61"/>
    <w:rsid w:val="00050C0A"/>
    <w:rsid w:val="00050C0C"/>
    <w:rsid w:val="00050C17"/>
    <w:rsid w:val="00050C22"/>
    <w:rsid w:val="00050C9E"/>
    <w:rsid w:val="00050E62"/>
    <w:rsid w:val="00050F88"/>
    <w:rsid w:val="00050FC1"/>
    <w:rsid w:val="00050FC9"/>
    <w:rsid w:val="00051005"/>
    <w:rsid w:val="0005119A"/>
    <w:rsid w:val="00051245"/>
    <w:rsid w:val="000512AA"/>
    <w:rsid w:val="00051376"/>
    <w:rsid w:val="000514A4"/>
    <w:rsid w:val="00051538"/>
    <w:rsid w:val="0005166F"/>
    <w:rsid w:val="00051718"/>
    <w:rsid w:val="0005187E"/>
    <w:rsid w:val="00051AFF"/>
    <w:rsid w:val="00051D02"/>
    <w:rsid w:val="00051F66"/>
    <w:rsid w:val="000520C9"/>
    <w:rsid w:val="000520D5"/>
    <w:rsid w:val="000522C9"/>
    <w:rsid w:val="0005245F"/>
    <w:rsid w:val="0005248C"/>
    <w:rsid w:val="000526F8"/>
    <w:rsid w:val="000527B6"/>
    <w:rsid w:val="00052823"/>
    <w:rsid w:val="00052966"/>
    <w:rsid w:val="000529D4"/>
    <w:rsid w:val="00052C38"/>
    <w:rsid w:val="00052DFD"/>
    <w:rsid w:val="00052F2D"/>
    <w:rsid w:val="000530A2"/>
    <w:rsid w:val="000531B0"/>
    <w:rsid w:val="00053290"/>
    <w:rsid w:val="00053297"/>
    <w:rsid w:val="00053334"/>
    <w:rsid w:val="000533B4"/>
    <w:rsid w:val="000535E4"/>
    <w:rsid w:val="00053682"/>
    <w:rsid w:val="00053A1D"/>
    <w:rsid w:val="00053B61"/>
    <w:rsid w:val="00053B79"/>
    <w:rsid w:val="00053C1E"/>
    <w:rsid w:val="00053C30"/>
    <w:rsid w:val="00053DB1"/>
    <w:rsid w:val="00053F71"/>
    <w:rsid w:val="00054053"/>
    <w:rsid w:val="0005410D"/>
    <w:rsid w:val="0005411D"/>
    <w:rsid w:val="000545FF"/>
    <w:rsid w:val="0005464B"/>
    <w:rsid w:val="000546AC"/>
    <w:rsid w:val="00054707"/>
    <w:rsid w:val="00054836"/>
    <w:rsid w:val="0005496A"/>
    <w:rsid w:val="00054A49"/>
    <w:rsid w:val="00054B2C"/>
    <w:rsid w:val="00054C9F"/>
    <w:rsid w:val="00054CE5"/>
    <w:rsid w:val="00054FF0"/>
    <w:rsid w:val="0005506D"/>
    <w:rsid w:val="00055085"/>
    <w:rsid w:val="000550D6"/>
    <w:rsid w:val="00055131"/>
    <w:rsid w:val="0005513A"/>
    <w:rsid w:val="00055208"/>
    <w:rsid w:val="000552E7"/>
    <w:rsid w:val="0005531E"/>
    <w:rsid w:val="000554DD"/>
    <w:rsid w:val="000554E8"/>
    <w:rsid w:val="0005571F"/>
    <w:rsid w:val="000557B9"/>
    <w:rsid w:val="00055885"/>
    <w:rsid w:val="0005599A"/>
    <w:rsid w:val="00055AC9"/>
    <w:rsid w:val="00055CD5"/>
    <w:rsid w:val="00056092"/>
    <w:rsid w:val="0005623F"/>
    <w:rsid w:val="000562E5"/>
    <w:rsid w:val="00056432"/>
    <w:rsid w:val="000564BC"/>
    <w:rsid w:val="000564C8"/>
    <w:rsid w:val="000564D7"/>
    <w:rsid w:val="00056615"/>
    <w:rsid w:val="00056724"/>
    <w:rsid w:val="0005675C"/>
    <w:rsid w:val="00056768"/>
    <w:rsid w:val="00056797"/>
    <w:rsid w:val="000568B8"/>
    <w:rsid w:val="000569B1"/>
    <w:rsid w:val="00056A15"/>
    <w:rsid w:val="00056A1B"/>
    <w:rsid w:val="00056D1B"/>
    <w:rsid w:val="00056D76"/>
    <w:rsid w:val="00056E6F"/>
    <w:rsid w:val="0005703E"/>
    <w:rsid w:val="000570FD"/>
    <w:rsid w:val="000571A7"/>
    <w:rsid w:val="000572E0"/>
    <w:rsid w:val="00057432"/>
    <w:rsid w:val="00057751"/>
    <w:rsid w:val="000577CF"/>
    <w:rsid w:val="000579B5"/>
    <w:rsid w:val="00057A60"/>
    <w:rsid w:val="00057B3D"/>
    <w:rsid w:val="00057C38"/>
    <w:rsid w:val="00057CA1"/>
    <w:rsid w:val="00057D47"/>
    <w:rsid w:val="00057E38"/>
    <w:rsid w:val="00057E45"/>
    <w:rsid w:val="00057E8B"/>
    <w:rsid w:val="00057EAC"/>
    <w:rsid w:val="00057F07"/>
    <w:rsid w:val="00060097"/>
    <w:rsid w:val="0006012A"/>
    <w:rsid w:val="00060353"/>
    <w:rsid w:val="00060642"/>
    <w:rsid w:val="00060676"/>
    <w:rsid w:val="00060701"/>
    <w:rsid w:val="00060830"/>
    <w:rsid w:val="000609B1"/>
    <w:rsid w:val="00060C25"/>
    <w:rsid w:val="00060D7D"/>
    <w:rsid w:val="00060DC3"/>
    <w:rsid w:val="00060E0E"/>
    <w:rsid w:val="00060F34"/>
    <w:rsid w:val="00060F7F"/>
    <w:rsid w:val="00060FE3"/>
    <w:rsid w:val="0006106E"/>
    <w:rsid w:val="00061245"/>
    <w:rsid w:val="000612A5"/>
    <w:rsid w:val="00061383"/>
    <w:rsid w:val="00061549"/>
    <w:rsid w:val="00061552"/>
    <w:rsid w:val="000616E6"/>
    <w:rsid w:val="000617A6"/>
    <w:rsid w:val="0006182F"/>
    <w:rsid w:val="00061911"/>
    <w:rsid w:val="00061A5C"/>
    <w:rsid w:val="00061AAA"/>
    <w:rsid w:val="00061AD5"/>
    <w:rsid w:val="00061B6B"/>
    <w:rsid w:val="00061B8D"/>
    <w:rsid w:val="00061BAB"/>
    <w:rsid w:val="00061BE2"/>
    <w:rsid w:val="00061C30"/>
    <w:rsid w:val="0006205B"/>
    <w:rsid w:val="00062182"/>
    <w:rsid w:val="000621BF"/>
    <w:rsid w:val="000624D3"/>
    <w:rsid w:val="000625F8"/>
    <w:rsid w:val="00062754"/>
    <w:rsid w:val="0006290D"/>
    <w:rsid w:val="00062A1B"/>
    <w:rsid w:val="00062A9F"/>
    <w:rsid w:val="00062BDD"/>
    <w:rsid w:val="00062CD8"/>
    <w:rsid w:val="00062DD7"/>
    <w:rsid w:val="00062DF4"/>
    <w:rsid w:val="00062E0B"/>
    <w:rsid w:val="00062E63"/>
    <w:rsid w:val="00062FB1"/>
    <w:rsid w:val="0006325D"/>
    <w:rsid w:val="0006328F"/>
    <w:rsid w:val="00063297"/>
    <w:rsid w:val="00063355"/>
    <w:rsid w:val="00063425"/>
    <w:rsid w:val="00063483"/>
    <w:rsid w:val="00063655"/>
    <w:rsid w:val="0006370F"/>
    <w:rsid w:val="0006375B"/>
    <w:rsid w:val="0006386D"/>
    <w:rsid w:val="00063954"/>
    <w:rsid w:val="000639DD"/>
    <w:rsid w:val="00063A5E"/>
    <w:rsid w:val="00063B70"/>
    <w:rsid w:val="00063C6A"/>
    <w:rsid w:val="00063D04"/>
    <w:rsid w:val="00063D78"/>
    <w:rsid w:val="00063DA5"/>
    <w:rsid w:val="00063DA9"/>
    <w:rsid w:val="00063EEC"/>
    <w:rsid w:val="000640C2"/>
    <w:rsid w:val="00064350"/>
    <w:rsid w:val="000643B3"/>
    <w:rsid w:val="0006446C"/>
    <w:rsid w:val="000644F2"/>
    <w:rsid w:val="00064627"/>
    <w:rsid w:val="0006482D"/>
    <w:rsid w:val="00064973"/>
    <w:rsid w:val="00064A19"/>
    <w:rsid w:val="00064C6D"/>
    <w:rsid w:val="00064DA9"/>
    <w:rsid w:val="00064DB2"/>
    <w:rsid w:val="00064E4B"/>
    <w:rsid w:val="00064F49"/>
    <w:rsid w:val="00064FCC"/>
    <w:rsid w:val="0006506F"/>
    <w:rsid w:val="00065091"/>
    <w:rsid w:val="000650BA"/>
    <w:rsid w:val="000650CE"/>
    <w:rsid w:val="000653CE"/>
    <w:rsid w:val="000653D2"/>
    <w:rsid w:val="00065400"/>
    <w:rsid w:val="00065453"/>
    <w:rsid w:val="00065471"/>
    <w:rsid w:val="000656DB"/>
    <w:rsid w:val="00065948"/>
    <w:rsid w:val="00065A2C"/>
    <w:rsid w:val="00065AC7"/>
    <w:rsid w:val="00065BEC"/>
    <w:rsid w:val="00065C18"/>
    <w:rsid w:val="00065C46"/>
    <w:rsid w:val="00065E1C"/>
    <w:rsid w:val="00065ED4"/>
    <w:rsid w:val="00065F02"/>
    <w:rsid w:val="00065F52"/>
    <w:rsid w:val="00065FC3"/>
    <w:rsid w:val="00065FED"/>
    <w:rsid w:val="00065FFA"/>
    <w:rsid w:val="00066127"/>
    <w:rsid w:val="00066172"/>
    <w:rsid w:val="000661FE"/>
    <w:rsid w:val="000662CF"/>
    <w:rsid w:val="000663B6"/>
    <w:rsid w:val="000663CE"/>
    <w:rsid w:val="000663F7"/>
    <w:rsid w:val="00066434"/>
    <w:rsid w:val="00066546"/>
    <w:rsid w:val="0006662D"/>
    <w:rsid w:val="000666D5"/>
    <w:rsid w:val="000668C5"/>
    <w:rsid w:val="000668E3"/>
    <w:rsid w:val="00066959"/>
    <w:rsid w:val="00066A9E"/>
    <w:rsid w:val="00066ADA"/>
    <w:rsid w:val="00066BFA"/>
    <w:rsid w:val="00066C4F"/>
    <w:rsid w:val="00066CCE"/>
    <w:rsid w:val="00066DB1"/>
    <w:rsid w:val="00066E12"/>
    <w:rsid w:val="00066FE7"/>
    <w:rsid w:val="000671C9"/>
    <w:rsid w:val="00067260"/>
    <w:rsid w:val="00067297"/>
    <w:rsid w:val="000673FD"/>
    <w:rsid w:val="00067407"/>
    <w:rsid w:val="0006744D"/>
    <w:rsid w:val="000674CA"/>
    <w:rsid w:val="0006758E"/>
    <w:rsid w:val="00067640"/>
    <w:rsid w:val="00067669"/>
    <w:rsid w:val="0006768D"/>
    <w:rsid w:val="000676BF"/>
    <w:rsid w:val="000676F1"/>
    <w:rsid w:val="000677E1"/>
    <w:rsid w:val="00067913"/>
    <w:rsid w:val="000679EC"/>
    <w:rsid w:val="00067A7C"/>
    <w:rsid w:val="00067B13"/>
    <w:rsid w:val="00067B79"/>
    <w:rsid w:val="00067BDC"/>
    <w:rsid w:val="00067C89"/>
    <w:rsid w:val="00067F42"/>
    <w:rsid w:val="0006E1CB"/>
    <w:rsid w:val="0007013B"/>
    <w:rsid w:val="00070154"/>
    <w:rsid w:val="000701E1"/>
    <w:rsid w:val="000702F6"/>
    <w:rsid w:val="0007058A"/>
    <w:rsid w:val="00070665"/>
    <w:rsid w:val="00070834"/>
    <w:rsid w:val="00070BCD"/>
    <w:rsid w:val="00070C28"/>
    <w:rsid w:val="00070C32"/>
    <w:rsid w:val="00070DAD"/>
    <w:rsid w:val="00070E01"/>
    <w:rsid w:val="00070E02"/>
    <w:rsid w:val="00070F67"/>
    <w:rsid w:val="00070F69"/>
    <w:rsid w:val="00070F7C"/>
    <w:rsid w:val="0007110B"/>
    <w:rsid w:val="000711A3"/>
    <w:rsid w:val="00071216"/>
    <w:rsid w:val="000713E5"/>
    <w:rsid w:val="00071425"/>
    <w:rsid w:val="0007155F"/>
    <w:rsid w:val="0007164D"/>
    <w:rsid w:val="00071694"/>
    <w:rsid w:val="0007178B"/>
    <w:rsid w:val="000717CE"/>
    <w:rsid w:val="000717D4"/>
    <w:rsid w:val="000718BF"/>
    <w:rsid w:val="00071958"/>
    <w:rsid w:val="00071A3C"/>
    <w:rsid w:val="00071A7A"/>
    <w:rsid w:val="00071AEF"/>
    <w:rsid w:val="00071B04"/>
    <w:rsid w:val="00071B76"/>
    <w:rsid w:val="00071BB9"/>
    <w:rsid w:val="00071E45"/>
    <w:rsid w:val="00071E50"/>
    <w:rsid w:val="00072014"/>
    <w:rsid w:val="000721BD"/>
    <w:rsid w:val="00072202"/>
    <w:rsid w:val="0007220F"/>
    <w:rsid w:val="00072233"/>
    <w:rsid w:val="00072239"/>
    <w:rsid w:val="00072249"/>
    <w:rsid w:val="0007224D"/>
    <w:rsid w:val="00072311"/>
    <w:rsid w:val="00072387"/>
    <w:rsid w:val="000723CB"/>
    <w:rsid w:val="0007260B"/>
    <w:rsid w:val="00072733"/>
    <w:rsid w:val="000727DA"/>
    <w:rsid w:val="00072847"/>
    <w:rsid w:val="000729EE"/>
    <w:rsid w:val="00072A19"/>
    <w:rsid w:val="00072ABE"/>
    <w:rsid w:val="00072B46"/>
    <w:rsid w:val="00072C53"/>
    <w:rsid w:val="00072CE6"/>
    <w:rsid w:val="00072D0E"/>
    <w:rsid w:val="00072E24"/>
    <w:rsid w:val="00072EF0"/>
    <w:rsid w:val="0007304B"/>
    <w:rsid w:val="0007305B"/>
    <w:rsid w:val="0007313D"/>
    <w:rsid w:val="00073158"/>
    <w:rsid w:val="00073357"/>
    <w:rsid w:val="0007340E"/>
    <w:rsid w:val="00073451"/>
    <w:rsid w:val="00073518"/>
    <w:rsid w:val="0007356E"/>
    <w:rsid w:val="000736CB"/>
    <w:rsid w:val="00073912"/>
    <w:rsid w:val="00073933"/>
    <w:rsid w:val="000739FD"/>
    <w:rsid w:val="00073A0E"/>
    <w:rsid w:val="00073ACE"/>
    <w:rsid w:val="00073AD8"/>
    <w:rsid w:val="00073AE7"/>
    <w:rsid w:val="00073E29"/>
    <w:rsid w:val="00073EB0"/>
    <w:rsid w:val="00073F18"/>
    <w:rsid w:val="00073F3E"/>
    <w:rsid w:val="00073F5D"/>
    <w:rsid w:val="00074053"/>
    <w:rsid w:val="0007438B"/>
    <w:rsid w:val="00074509"/>
    <w:rsid w:val="00074610"/>
    <w:rsid w:val="000746E3"/>
    <w:rsid w:val="000746E4"/>
    <w:rsid w:val="00074786"/>
    <w:rsid w:val="000747F6"/>
    <w:rsid w:val="00074871"/>
    <w:rsid w:val="0007492D"/>
    <w:rsid w:val="000749DD"/>
    <w:rsid w:val="00074BE5"/>
    <w:rsid w:val="00074C12"/>
    <w:rsid w:val="00074E67"/>
    <w:rsid w:val="00074F68"/>
    <w:rsid w:val="00075038"/>
    <w:rsid w:val="00075067"/>
    <w:rsid w:val="00075178"/>
    <w:rsid w:val="00075309"/>
    <w:rsid w:val="0007533F"/>
    <w:rsid w:val="00075383"/>
    <w:rsid w:val="00075544"/>
    <w:rsid w:val="000755F4"/>
    <w:rsid w:val="000755F5"/>
    <w:rsid w:val="0007569F"/>
    <w:rsid w:val="0007577F"/>
    <w:rsid w:val="000757DD"/>
    <w:rsid w:val="000759C9"/>
    <w:rsid w:val="000759D0"/>
    <w:rsid w:val="00075AC1"/>
    <w:rsid w:val="00075AF4"/>
    <w:rsid w:val="00075D07"/>
    <w:rsid w:val="00075D0E"/>
    <w:rsid w:val="00075D92"/>
    <w:rsid w:val="00075E37"/>
    <w:rsid w:val="00075FB4"/>
    <w:rsid w:val="000761BF"/>
    <w:rsid w:val="00076230"/>
    <w:rsid w:val="00076261"/>
    <w:rsid w:val="000762A0"/>
    <w:rsid w:val="00076333"/>
    <w:rsid w:val="000763B7"/>
    <w:rsid w:val="00076415"/>
    <w:rsid w:val="00076441"/>
    <w:rsid w:val="0007651B"/>
    <w:rsid w:val="00076814"/>
    <w:rsid w:val="00076832"/>
    <w:rsid w:val="00076A81"/>
    <w:rsid w:val="00076C34"/>
    <w:rsid w:val="00076C3A"/>
    <w:rsid w:val="00076FA3"/>
    <w:rsid w:val="0007719C"/>
    <w:rsid w:val="00077248"/>
    <w:rsid w:val="000772A0"/>
    <w:rsid w:val="000772F2"/>
    <w:rsid w:val="00077343"/>
    <w:rsid w:val="000773D3"/>
    <w:rsid w:val="000774D5"/>
    <w:rsid w:val="000775F1"/>
    <w:rsid w:val="000776F9"/>
    <w:rsid w:val="00077759"/>
    <w:rsid w:val="000777AE"/>
    <w:rsid w:val="000778AE"/>
    <w:rsid w:val="000779F8"/>
    <w:rsid w:val="00077A92"/>
    <w:rsid w:val="00077B44"/>
    <w:rsid w:val="00077C3C"/>
    <w:rsid w:val="00077CF2"/>
    <w:rsid w:val="00077D87"/>
    <w:rsid w:val="00077DE8"/>
    <w:rsid w:val="000800EA"/>
    <w:rsid w:val="000802BB"/>
    <w:rsid w:val="000804D3"/>
    <w:rsid w:val="0008066C"/>
    <w:rsid w:val="00080712"/>
    <w:rsid w:val="0008080B"/>
    <w:rsid w:val="00080933"/>
    <w:rsid w:val="00080AFC"/>
    <w:rsid w:val="00080C30"/>
    <w:rsid w:val="00080F70"/>
    <w:rsid w:val="00080F84"/>
    <w:rsid w:val="00080F9F"/>
    <w:rsid w:val="0008107B"/>
    <w:rsid w:val="00081088"/>
    <w:rsid w:val="00081112"/>
    <w:rsid w:val="000811D5"/>
    <w:rsid w:val="0008128D"/>
    <w:rsid w:val="000812FA"/>
    <w:rsid w:val="000812FB"/>
    <w:rsid w:val="00081527"/>
    <w:rsid w:val="000815AB"/>
    <w:rsid w:val="000816C8"/>
    <w:rsid w:val="00081841"/>
    <w:rsid w:val="000819FC"/>
    <w:rsid w:val="00081A16"/>
    <w:rsid w:val="00081B77"/>
    <w:rsid w:val="00081B8F"/>
    <w:rsid w:val="00081D6F"/>
    <w:rsid w:val="00081F7F"/>
    <w:rsid w:val="00081F9D"/>
    <w:rsid w:val="00082207"/>
    <w:rsid w:val="0008222E"/>
    <w:rsid w:val="000822A5"/>
    <w:rsid w:val="000822F8"/>
    <w:rsid w:val="0008235A"/>
    <w:rsid w:val="00082638"/>
    <w:rsid w:val="00082641"/>
    <w:rsid w:val="00082685"/>
    <w:rsid w:val="00082765"/>
    <w:rsid w:val="000827D3"/>
    <w:rsid w:val="00082945"/>
    <w:rsid w:val="000829C6"/>
    <w:rsid w:val="000829FB"/>
    <w:rsid w:val="00082B91"/>
    <w:rsid w:val="00082E16"/>
    <w:rsid w:val="00082FBF"/>
    <w:rsid w:val="000830AA"/>
    <w:rsid w:val="0008311C"/>
    <w:rsid w:val="00083144"/>
    <w:rsid w:val="000831C1"/>
    <w:rsid w:val="0008323E"/>
    <w:rsid w:val="00083284"/>
    <w:rsid w:val="000832C6"/>
    <w:rsid w:val="00083311"/>
    <w:rsid w:val="0008332E"/>
    <w:rsid w:val="000834B4"/>
    <w:rsid w:val="00083588"/>
    <w:rsid w:val="0008359E"/>
    <w:rsid w:val="0008369D"/>
    <w:rsid w:val="000836C4"/>
    <w:rsid w:val="000836DF"/>
    <w:rsid w:val="0008376E"/>
    <w:rsid w:val="000838C8"/>
    <w:rsid w:val="000838C9"/>
    <w:rsid w:val="0008397F"/>
    <w:rsid w:val="00083BA7"/>
    <w:rsid w:val="00083D5B"/>
    <w:rsid w:val="00083E32"/>
    <w:rsid w:val="00083EFE"/>
    <w:rsid w:val="00083F76"/>
    <w:rsid w:val="0008402E"/>
    <w:rsid w:val="00084162"/>
    <w:rsid w:val="00084175"/>
    <w:rsid w:val="00084405"/>
    <w:rsid w:val="000844E6"/>
    <w:rsid w:val="000846A3"/>
    <w:rsid w:val="000846C8"/>
    <w:rsid w:val="000847F9"/>
    <w:rsid w:val="00084A76"/>
    <w:rsid w:val="00084ABA"/>
    <w:rsid w:val="00084C12"/>
    <w:rsid w:val="00084C82"/>
    <w:rsid w:val="00084DCC"/>
    <w:rsid w:val="00084FEA"/>
    <w:rsid w:val="000850F4"/>
    <w:rsid w:val="00085160"/>
    <w:rsid w:val="00085279"/>
    <w:rsid w:val="000852C8"/>
    <w:rsid w:val="000852F6"/>
    <w:rsid w:val="000854AC"/>
    <w:rsid w:val="000856B5"/>
    <w:rsid w:val="0008572D"/>
    <w:rsid w:val="00085781"/>
    <w:rsid w:val="00085835"/>
    <w:rsid w:val="00085891"/>
    <w:rsid w:val="00085946"/>
    <w:rsid w:val="00085A9B"/>
    <w:rsid w:val="00085AED"/>
    <w:rsid w:val="00085C0D"/>
    <w:rsid w:val="00085D00"/>
    <w:rsid w:val="00085E48"/>
    <w:rsid w:val="00085F50"/>
    <w:rsid w:val="00085FA2"/>
    <w:rsid w:val="000861EA"/>
    <w:rsid w:val="0008623C"/>
    <w:rsid w:val="000863DF"/>
    <w:rsid w:val="00086485"/>
    <w:rsid w:val="0008651A"/>
    <w:rsid w:val="00086896"/>
    <w:rsid w:val="000869F6"/>
    <w:rsid w:val="00086B5B"/>
    <w:rsid w:val="00086DD3"/>
    <w:rsid w:val="00086DF8"/>
    <w:rsid w:val="00087002"/>
    <w:rsid w:val="000870FA"/>
    <w:rsid w:val="00087168"/>
    <w:rsid w:val="00087188"/>
    <w:rsid w:val="0008718A"/>
    <w:rsid w:val="0008719A"/>
    <w:rsid w:val="0008723B"/>
    <w:rsid w:val="000872FD"/>
    <w:rsid w:val="00087320"/>
    <w:rsid w:val="00087327"/>
    <w:rsid w:val="000873CC"/>
    <w:rsid w:val="00087510"/>
    <w:rsid w:val="0008753B"/>
    <w:rsid w:val="00087579"/>
    <w:rsid w:val="000875FD"/>
    <w:rsid w:val="000876F5"/>
    <w:rsid w:val="000877F9"/>
    <w:rsid w:val="00087812"/>
    <w:rsid w:val="0008782D"/>
    <w:rsid w:val="00087847"/>
    <w:rsid w:val="00087878"/>
    <w:rsid w:val="000878A1"/>
    <w:rsid w:val="00087C82"/>
    <w:rsid w:val="00087CFA"/>
    <w:rsid w:val="00087D4C"/>
    <w:rsid w:val="00090005"/>
    <w:rsid w:val="00090153"/>
    <w:rsid w:val="000901BB"/>
    <w:rsid w:val="00090208"/>
    <w:rsid w:val="00090321"/>
    <w:rsid w:val="0009040A"/>
    <w:rsid w:val="00090502"/>
    <w:rsid w:val="00090546"/>
    <w:rsid w:val="00090554"/>
    <w:rsid w:val="00090618"/>
    <w:rsid w:val="000906AF"/>
    <w:rsid w:val="00090708"/>
    <w:rsid w:val="00090747"/>
    <w:rsid w:val="0009082A"/>
    <w:rsid w:val="00090932"/>
    <w:rsid w:val="00090B42"/>
    <w:rsid w:val="00090D58"/>
    <w:rsid w:val="00090D7F"/>
    <w:rsid w:val="00090E27"/>
    <w:rsid w:val="00090E50"/>
    <w:rsid w:val="00090EFE"/>
    <w:rsid w:val="00090F2B"/>
    <w:rsid w:val="00090F8D"/>
    <w:rsid w:val="00090FB2"/>
    <w:rsid w:val="00091152"/>
    <w:rsid w:val="0009122C"/>
    <w:rsid w:val="000914EE"/>
    <w:rsid w:val="000916F8"/>
    <w:rsid w:val="0009187A"/>
    <w:rsid w:val="000918A9"/>
    <w:rsid w:val="00091980"/>
    <w:rsid w:val="00091B1D"/>
    <w:rsid w:val="00091B62"/>
    <w:rsid w:val="00091C9A"/>
    <w:rsid w:val="00091CC1"/>
    <w:rsid w:val="00091CC6"/>
    <w:rsid w:val="00091E83"/>
    <w:rsid w:val="00091F40"/>
    <w:rsid w:val="0009201B"/>
    <w:rsid w:val="0009201E"/>
    <w:rsid w:val="000921E3"/>
    <w:rsid w:val="00092227"/>
    <w:rsid w:val="000922E0"/>
    <w:rsid w:val="000923AC"/>
    <w:rsid w:val="0009246A"/>
    <w:rsid w:val="00092553"/>
    <w:rsid w:val="000925C9"/>
    <w:rsid w:val="000925FC"/>
    <w:rsid w:val="00092602"/>
    <w:rsid w:val="0009261D"/>
    <w:rsid w:val="000926B0"/>
    <w:rsid w:val="000927FF"/>
    <w:rsid w:val="0009288F"/>
    <w:rsid w:val="000928CA"/>
    <w:rsid w:val="000928EF"/>
    <w:rsid w:val="00092A86"/>
    <w:rsid w:val="00092BE1"/>
    <w:rsid w:val="00092CB2"/>
    <w:rsid w:val="00092CC6"/>
    <w:rsid w:val="00092CC8"/>
    <w:rsid w:val="00092D95"/>
    <w:rsid w:val="00092DF3"/>
    <w:rsid w:val="00092F37"/>
    <w:rsid w:val="00092F3B"/>
    <w:rsid w:val="0009308E"/>
    <w:rsid w:val="0009314D"/>
    <w:rsid w:val="000931E6"/>
    <w:rsid w:val="00093247"/>
    <w:rsid w:val="00093387"/>
    <w:rsid w:val="0009341F"/>
    <w:rsid w:val="00093544"/>
    <w:rsid w:val="000935F8"/>
    <w:rsid w:val="00093677"/>
    <w:rsid w:val="000936B3"/>
    <w:rsid w:val="000936D7"/>
    <w:rsid w:val="000939DB"/>
    <w:rsid w:val="00093A53"/>
    <w:rsid w:val="00093B22"/>
    <w:rsid w:val="00093B24"/>
    <w:rsid w:val="00093B8E"/>
    <w:rsid w:val="00093CD3"/>
    <w:rsid w:val="00093E24"/>
    <w:rsid w:val="00093E9A"/>
    <w:rsid w:val="0009405B"/>
    <w:rsid w:val="000941B8"/>
    <w:rsid w:val="00094407"/>
    <w:rsid w:val="000944FC"/>
    <w:rsid w:val="00094733"/>
    <w:rsid w:val="00094769"/>
    <w:rsid w:val="00094959"/>
    <w:rsid w:val="00094964"/>
    <w:rsid w:val="000949FB"/>
    <w:rsid w:val="00094A60"/>
    <w:rsid w:val="00094AAF"/>
    <w:rsid w:val="00094AE3"/>
    <w:rsid w:val="00094BDC"/>
    <w:rsid w:val="00094C84"/>
    <w:rsid w:val="00094CEB"/>
    <w:rsid w:val="0009509E"/>
    <w:rsid w:val="000950E8"/>
    <w:rsid w:val="00095141"/>
    <w:rsid w:val="00095323"/>
    <w:rsid w:val="00095352"/>
    <w:rsid w:val="00095452"/>
    <w:rsid w:val="0009553D"/>
    <w:rsid w:val="000955C4"/>
    <w:rsid w:val="00095641"/>
    <w:rsid w:val="000957C8"/>
    <w:rsid w:val="00095931"/>
    <w:rsid w:val="00095973"/>
    <w:rsid w:val="00095A72"/>
    <w:rsid w:val="00095AB3"/>
    <w:rsid w:val="00095B46"/>
    <w:rsid w:val="00095FBA"/>
    <w:rsid w:val="00096062"/>
    <w:rsid w:val="000960F1"/>
    <w:rsid w:val="000960FF"/>
    <w:rsid w:val="00096225"/>
    <w:rsid w:val="0009622B"/>
    <w:rsid w:val="000962AF"/>
    <w:rsid w:val="0009637E"/>
    <w:rsid w:val="000964D0"/>
    <w:rsid w:val="0009656D"/>
    <w:rsid w:val="000966D5"/>
    <w:rsid w:val="0009675F"/>
    <w:rsid w:val="00096840"/>
    <w:rsid w:val="000968BE"/>
    <w:rsid w:val="000968F3"/>
    <w:rsid w:val="00096905"/>
    <w:rsid w:val="00096940"/>
    <w:rsid w:val="00096A17"/>
    <w:rsid w:val="00096A68"/>
    <w:rsid w:val="00096B44"/>
    <w:rsid w:val="00096B94"/>
    <w:rsid w:val="00096CAC"/>
    <w:rsid w:val="00096F0B"/>
    <w:rsid w:val="00096F0F"/>
    <w:rsid w:val="00096F6B"/>
    <w:rsid w:val="00096FA6"/>
    <w:rsid w:val="000970A7"/>
    <w:rsid w:val="00097116"/>
    <w:rsid w:val="0009712D"/>
    <w:rsid w:val="000971CA"/>
    <w:rsid w:val="000972E6"/>
    <w:rsid w:val="000974BE"/>
    <w:rsid w:val="000975A5"/>
    <w:rsid w:val="0009766A"/>
    <w:rsid w:val="00097693"/>
    <w:rsid w:val="000976C5"/>
    <w:rsid w:val="000976C7"/>
    <w:rsid w:val="000976C9"/>
    <w:rsid w:val="000976CA"/>
    <w:rsid w:val="00097938"/>
    <w:rsid w:val="000979E7"/>
    <w:rsid w:val="00097A46"/>
    <w:rsid w:val="00097B09"/>
    <w:rsid w:val="00097BBD"/>
    <w:rsid w:val="00097C16"/>
    <w:rsid w:val="00097C25"/>
    <w:rsid w:val="00097D18"/>
    <w:rsid w:val="00097E02"/>
    <w:rsid w:val="00097E0D"/>
    <w:rsid w:val="00097E37"/>
    <w:rsid w:val="00097ECF"/>
    <w:rsid w:val="00097F05"/>
    <w:rsid w:val="00097F5D"/>
    <w:rsid w:val="00097FCA"/>
    <w:rsid w:val="000A0075"/>
    <w:rsid w:val="000A02A3"/>
    <w:rsid w:val="000A04A8"/>
    <w:rsid w:val="000A0543"/>
    <w:rsid w:val="000A05BE"/>
    <w:rsid w:val="000A0620"/>
    <w:rsid w:val="000A0719"/>
    <w:rsid w:val="000A0744"/>
    <w:rsid w:val="000A0905"/>
    <w:rsid w:val="000A09E2"/>
    <w:rsid w:val="000A0A20"/>
    <w:rsid w:val="000A0A44"/>
    <w:rsid w:val="000A0B05"/>
    <w:rsid w:val="000A0B3A"/>
    <w:rsid w:val="000A0B7A"/>
    <w:rsid w:val="000A0BEB"/>
    <w:rsid w:val="000A0C0E"/>
    <w:rsid w:val="000A0CB5"/>
    <w:rsid w:val="000A0D48"/>
    <w:rsid w:val="000A0DE2"/>
    <w:rsid w:val="000A0F60"/>
    <w:rsid w:val="000A10E7"/>
    <w:rsid w:val="000A11EE"/>
    <w:rsid w:val="000A140C"/>
    <w:rsid w:val="000A1449"/>
    <w:rsid w:val="000A14A5"/>
    <w:rsid w:val="000A176B"/>
    <w:rsid w:val="000A1946"/>
    <w:rsid w:val="000A196A"/>
    <w:rsid w:val="000A1A76"/>
    <w:rsid w:val="000A1B5E"/>
    <w:rsid w:val="000A1BC9"/>
    <w:rsid w:val="000A1C06"/>
    <w:rsid w:val="000A1C6B"/>
    <w:rsid w:val="000A202C"/>
    <w:rsid w:val="000A219C"/>
    <w:rsid w:val="000A2270"/>
    <w:rsid w:val="000A229A"/>
    <w:rsid w:val="000A22E2"/>
    <w:rsid w:val="000A2314"/>
    <w:rsid w:val="000A231D"/>
    <w:rsid w:val="000A237A"/>
    <w:rsid w:val="000A29B8"/>
    <w:rsid w:val="000A2C5A"/>
    <w:rsid w:val="000A2D08"/>
    <w:rsid w:val="000A2E1E"/>
    <w:rsid w:val="000A2E57"/>
    <w:rsid w:val="000A2E74"/>
    <w:rsid w:val="000A2EC6"/>
    <w:rsid w:val="000A2ECB"/>
    <w:rsid w:val="000A2F56"/>
    <w:rsid w:val="000A3243"/>
    <w:rsid w:val="000A33A0"/>
    <w:rsid w:val="000A33F9"/>
    <w:rsid w:val="000A33FD"/>
    <w:rsid w:val="000A3404"/>
    <w:rsid w:val="000A345D"/>
    <w:rsid w:val="000A355D"/>
    <w:rsid w:val="000A3710"/>
    <w:rsid w:val="000A3777"/>
    <w:rsid w:val="000A38E9"/>
    <w:rsid w:val="000A3A7B"/>
    <w:rsid w:val="000A3C17"/>
    <w:rsid w:val="000A3C32"/>
    <w:rsid w:val="000A3CE8"/>
    <w:rsid w:val="000A3D17"/>
    <w:rsid w:val="000A3D71"/>
    <w:rsid w:val="000A3DE8"/>
    <w:rsid w:val="000A3ECF"/>
    <w:rsid w:val="000A3F49"/>
    <w:rsid w:val="000A403F"/>
    <w:rsid w:val="000A4085"/>
    <w:rsid w:val="000A418E"/>
    <w:rsid w:val="000A41F1"/>
    <w:rsid w:val="000A4241"/>
    <w:rsid w:val="000A42DE"/>
    <w:rsid w:val="000A4352"/>
    <w:rsid w:val="000A4431"/>
    <w:rsid w:val="000A4518"/>
    <w:rsid w:val="000A4550"/>
    <w:rsid w:val="000A4609"/>
    <w:rsid w:val="000A465C"/>
    <w:rsid w:val="000A48B5"/>
    <w:rsid w:val="000A49C8"/>
    <w:rsid w:val="000A4A7B"/>
    <w:rsid w:val="000A4C06"/>
    <w:rsid w:val="000A4E74"/>
    <w:rsid w:val="000A4EA2"/>
    <w:rsid w:val="000A4EA6"/>
    <w:rsid w:val="000A4F39"/>
    <w:rsid w:val="000A4FE3"/>
    <w:rsid w:val="000A5006"/>
    <w:rsid w:val="000A53A7"/>
    <w:rsid w:val="000A541B"/>
    <w:rsid w:val="000A54F0"/>
    <w:rsid w:val="000A554A"/>
    <w:rsid w:val="000A55DC"/>
    <w:rsid w:val="000A561D"/>
    <w:rsid w:val="000A5627"/>
    <w:rsid w:val="000A5689"/>
    <w:rsid w:val="000A5887"/>
    <w:rsid w:val="000A58B5"/>
    <w:rsid w:val="000A5B7E"/>
    <w:rsid w:val="000A5BE4"/>
    <w:rsid w:val="000A5C61"/>
    <w:rsid w:val="000A5FD6"/>
    <w:rsid w:val="000A61AB"/>
    <w:rsid w:val="000A6228"/>
    <w:rsid w:val="000A622D"/>
    <w:rsid w:val="000A633D"/>
    <w:rsid w:val="000A634D"/>
    <w:rsid w:val="000A6515"/>
    <w:rsid w:val="000A661D"/>
    <w:rsid w:val="000A665D"/>
    <w:rsid w:val="000A667A"/>
    <w:rsid w:val="000A66CE"/>
    <w:rsid w:val="000A670A"/>
    <w:rsid w:val="000A6746"/>
    <w:rsid w:val="000A67A2"/>
    <w:rsid w:val="000A6800"/>
    <w:rsid w:val="000A6831"/>
    <w:rsid w:val="000A69EC"/>
    <w:rsid w:val="000A6CA1"/>
    <w:rsid w:val="000A6CC5"/>
    <w:rsid w:val="000A6E3C"/>
    <w:rsid w:val="000A6F5A"/>
    <w:rsid w:val="000A7178"/>
    <w:rsid w:val="000A71E8"/>
    <w:rsid w:val="000A722C"/>
    <w:rsid w:val="000A72DB"/>
    <w:rsid w:val="000A736A"/>
    <w:rsid w:val="000A741F"/>
    <w:rsid w:val="000A758A"/>
    <w:rsid w:val="000A75A4"/>
    <w:rsid w:val="000A7617"/>
    <w:rsid w:val="000A7674"/>
    <w:rsid w:val="000A76D0"/>
    <w:rsid w:val="000A76F2"/>
    <w:rsid w:val="000A77E1"/>
    <w:rsid w:val="000A7B4E"/>
    <w:rsid w:val="000A7D15"/>
    <w:rsid w:val="000A7D97"/>
    <w:rsid w:val="000A7E9C"/>
    <w:rsid w:val="000A7EFB"/>
    <w:rsid w:val="000A7F35"/>
    <w:rsid w:val="000B027C"/>
    <w:rsid w:val="000B027E"/>
    <w:rsid w:val="000B0343"/>
    <w:rsid w:val="000B03C8"/>
    <w:rsid w:val="000B03FD"/>
    <w:rsid w:val="000B0529"/>
    <w:rsid w:val="000B05D3"/>
    <w:rsid w:val="000B0609"/>
    <w:rsid w:val="000B0691"/>
    <w:rsid w:val="000B0843"/>
    <w:rsid w:val="000B0966"/>
    <w:rsid w:val="000B0A7F"/>
    <w:rsid w:val="000B0B29"/>
    <w:rsid w:val="000B0C95"/>
    <w:rsid w:val="000B0CC5"/>
    <w:rsid w:val="000B0D36"/>
    <w:rsid w:val="000B0D46"/>
    <w:rsid w:val="000B0E5A"/>
    <w:rsid w:val="000B0ED8"/>
    <w:rsid w:val="000B1009"/>
    <w:rsid w:val="000B106C"/>
    <w:rsid w:val="000B107F"/>
    <w:rsid w:val="000B1108"/>
    <w:rsid w:val="000B11C3"/>
    <w:rsid w:val="000B12FA"/>
    <w:rsid w:val="000B1484"/>
    <w:rsid w:val="000B1554"/>
    <w:rsid w:val="000B1572"/>
    <w:rsid w:val="000B168A"/>
    <w:rsid w:val="000B1700"/>
    <w:rsid w:val="000B1777"/>
    <w:rsid w:val="000B188B"/>
    <w:rsid w:val="000B19BC"/>
    <w:rsid w:val="000B1C62"/>
    <w:rsid w:val="000B1CD6"/>
    <w:rsid w:val="000B1CEF"/>
    <w:rsid w:val="000B1DEF"/>
    <w:rsid w:val="000B2007"/>
    <w:rsid w:val="000B230D"/>
    <w:rsid w:val="000B23DF"/>
    <w:rsid w:val="000B2553"/>
    <w:rsid w:val="000B25B3"/>
    <w:rsid w:val="000B2615"/>
    <w:rsid w:val="000B265B"/>
    <w:rsid w:val="000B267A"/>
    <w:rsid w:val="000B2699"/>
    <w:rsid w:val="000B269A"/>
    <w:rsid w:val="000B270D"/>
    <w:rsid w:val="000B277D"/>
    <w:rsid w:val="000B2A24"/>
    <w:rsid w:val="000B2B9E"/>
    <w:rsid w:val="000B2D41"/>
    <w:rsid w:val="000B2DE1"/>
    <w:rsid w:val="000B2E56"/>
    <w:rsid w:val="000B2F88"/>
    <w:rsid w:val="000B2FCA"/>
    <w:rsid w:val="000B3070"/>
    <w:rsid w:val="000B3307"/>
    <w:rsid w:val="000B33D8"/>
    <w:rsid w:val="000B34AC"/>
    <w:rsid w:val="000B34B0"/>
    <w:rsid w:val="000B352A"/>
    <w:rsid w:val="000B3576"/>
    <w:rsid w:val="000B36D8"/>
    <w:rsid w:val="000B3744"/>
    <w:rsid w:val="000B3987"/>
    <w:rsid w:val="000B39AC"/>
    <w:rsid w:val="000B3F87"/>
    <w:rsid w:val="000B3F9D"/>
    <w:rsid w:val="000B4049"/>
    <w:rsid w:val="000B40FF"/>
    <w:rsid w:val="000B4154"/>
    <w:rsid w:val="000B41BE"/>
    <w:rsid w:val="000B4474"/>
    <w:rsid w:val="000B44AA"/>
    <w:rsid w:val="000B45A3"/>
    <w:rsid w:val="000B4861"/>
    <w:rsid w:val="000B490B"/>
    <w:rsid w:val="000B49AF"/>
    <w:rsid w:val="000B4A16"/>
    <w:rsid w:val="000B4CD2"/>
    <w:rsid w:val="000B4D3E"/>
    <w:rsid w:val="000B4D54"/>
    <w:rsid w:val="000B4E0C"/>
    <w:rsid w:val="000B4F13"/>
    <w:rsid w:val="000B4F5D"/>
    <w:rsid w:val="000B4FC7"/>
    <w:rsid w:val="000B4FEA"/>
    <w:rsid w:val="000B5195"/>
    <w:rsid w:val="000B5267"/>
    <w:rsid w:val="000B53CC"/>
    <w:rsid w:val="000B54A4"/>
    <w:rsid w:val="000B550E"/>
    <w:rsid w:val="000B55EA"/>
    <w:rsid w:val="000B57DC"/>
    <w:rsid w:val="000B5813"/>
    <w:rsid w:val="000B5822"/>
    <w:rsid w:val="000B5886"/>
    <w:rsid w:val="000B5901"/>
    <w:rsid w:val="000B5A6D"/>
    <w:rsid w:val="000B5AC3"/>
    <w:rsid w:val="000B5CAB"/>
    <w:rsid w:val="000B5CE8"/>
    <w:rsid w:val="000B5DF5"/>
    <w:rsid w:val="000B5F96"/>
    <w:rsid w:val="000B6045"/>
    <w:rsid w:val="000B60A8"/>
    <w:rsid w:val="000B6111"/>
    <w:rsid w:val="000B61AB"/>
    <w:rsid w:val="000B61C5"/>
    <w:rsid w:val="000B6278"/>
    <w:rsid w:val="000B6283"/>
    <w:rsid w:val="000B6370"/>
    <w:rsid w:val="000B637F"/>
    <w:rsid w:val="000B63B4"/>
    <w:rsid w:val="000B6526"/>
    <w:rsid w:val="000B6541"/>
    <w:rsid w:val="000B6952"/>
    <w:rsid w:val="000B6970"/>
    <w:rsid w:val="000B6AC4"/>
    <w:rsid w:val="000B6B9D"/>
    <w:rsid w:val="000B6E8F"/>
    <w:rsid w:val="000B6ED2"/>
    <w:rsid w:val="000B6ED9"/>
    <w:rsid w:val="000B7015"/>
    <w:rsid w:val="000B718D"/>
    <w:rsid w:val="000B746B"/>
    <w:rsid w:val="000B7491"/>
    <w:rsid w:val="000B76A2"/>
    <w:rsid w:val="000B7705"/>
    <w:rsid w:val="000B7731"/>
    <w:rsid w:val="000B7771"/>
    <w:rsid w:val="000B7778"/>
    <w:rsid w:val="000B7817"/>
    <w:rsid w:val="000B7836"/>
    <w:rsid w:val="000B78E6"/>
    <w:rsid w:val="000B797E"/>
    <w:rsid w:val="000B7A04"/>
    <w:rsid w:val="000B7B5F"/>
    <w:rsid w:val="000B7B9A"/>
    <w:rsid w:val="000B7C1E"/>
    <w:rsid w:val="000B7D4B"/>
    <w:rsid w:val="000B7D82"/>
    <w:rsid w:val="000B7D8A"/>
    <w:rsid w:val="000B7DD1"/>
    <w:rsid w:val="000B7EDD"/>
    <w:rsid w:val="000B7FEA"/>
    <w:rsid w:val="000C0035"/>
    <w:rsid w:val="000C0085"/>
    <w:rsid w:val="000C01CF"/>
    <w:rsid w:val="000C0233"/>
    <w:rsid w:val="000C0327"/>
    <w:rsid w:val="000C037F"/>
    <w:rsid w:val="000C0386"/>
    <w:rsid w:val="000C041E"/>
    <w:rsid w:val="000C042D"/>
    <w:rsid w:val="000C0531"/>
    <w:rsid w:val="000C078D"/>
    <w:rsid w:val="000C07BC"/>
    <w:rsid w:val="000C0859"/>
    <w:rsid w:val="000C0900"/>
    <w:rsid w:val="000C09B0"/>
    <w:rsid w:val="000C0A49"/>
    <w:rsid w:val="000C0A50"/>
    <w:rsid w:val="000C0ADB"/>
    <w:rsid w:val="000C0B03"/>
    <w:rsid w:val="000C0BA0"/>
    <w:rsid w:val="000C0BBF"/>
    <w:rsid w:val="000C0C4E"/>
    <w:rsid w:val="000C0D69"/>
    <w:rsid w:val="000C0DD1"/>
    <w:rsid w:val="000C1194"/>
    <w:rsid w:val="000C12D4"/>
    <w:rsid w:val="000C12EE"/>
    <w:rsid w:val="000C13DF"/>
    <w:rsid w:val="000C1690"/>
    <w:rsid w:val="000C1718"/>
    <w:rsid w:val="000C179A"/>
    <w:rsid w:val="000C1925"/>
    <w:rsid w:val="000C1983"/>
    <w:rsid w:val="000C19B3"/>
    <w:rsid w:val="000C1AB2"/>
    <w:rsid w:val="000C1AEE"/>
    <w:rsid w:val="000C1B6C"/>
    <w:rsid w:val="000C1CB3"/>
    <w:rsid w:val="000C1D2B"/>
    <w:rsid w:val="000C1D41"/>
    <w:rsid w:val="000C1D6F"/>
    <w:rsid w:val="000C1DD6"/>
    <w:rsid w:val="000C1FFC"/>
    <w:rsid w:val="000C22A9"/>
    <w:rsid w:val="000C239C"/>
    <w:rsid w:val="000C2495"/>
    <w:rsid w:val="000C2557"/>
    <w:rsid w:val="000C2671"/>
    <w:rsid w:val="000C28D9"/>
    <w:rsid w:val="000C28FD"/>
    <w:rsid w:val="000C2A56"/>
    <w:rsid w:val="000C2A9B"/>
    <w:rsid w:val="000C2B44"/>
    <w:rsid w:val="000C2CA6"/>
    <w:rsid w:val="000C2D02"/>
    <w:rsid w:val="000C2DBB"/>
    <w:rsid w:val="000C2F23"/>
    <w:rsid w:val="000C2FF9"/>
    <w:rsid w:val="000C34C7"/>
    <w:rsid w:val="000C34EC"/>
    <w:rsid w:val="000C374C"/>
    <w:rsid w:val="000C374D"/>
    <w:rsid w:val="000C37D9"/>
    <w:rsid w:val="000C3857"/>
    <w:rsid w:val="000C38DC"/>
    <w:rsid w:val="000C3A44"/>
    <w:rsid w:val="000C3AD3"/>
    <w:rsid w:val="000C3BC9"/>
    <w:rsid w:val="000C3DED"/>
    <w:rsid w:val="000C3F16"/>
    <w:rsid w:val="000C3F36"/>
    <w:rsid w:val="000C3F38"/>
    <w:rsid w:val="000C4262"/>
    <w:rsid w:val="000C4296"/>
    <w:rsid w:val="000C42A6"/>
    <w:rsid w:val="000C435D"/>
    <w:rsid w:val="000C43E7"/>
    <w:rsid w:val="000C43F9"/>
    <w:rsid w:val="000C4578"/>
    <w:rsid w:val="000C4607"/>
    <w:rsid w:val="000C4626"/>
    <w:rsid w:val="000C466F"/>
    <w:rsid w:val="000C4750"/>
    <w:rsid w:val="000C48AA"/>
    <w:rsid w:val="000C4A11"/>
    <w:rsid w:val="000C4AB1"/>
    <w:rsid w:val="000C4B62"/>
    <w:rsid w:val="000C4D3E"/>
    <w:rsid w:val="000C4D5F"/>
    <w:rsid w:val="000C4D6E"/>
    <w:rsid w:val="000C5008"/>
    <w:rsid w:val="000C5099"/>
    <w:rsid w:val="000C50FC"/>
    <w:rsid w:val="000C5164"/>
    <w:rsid w:val="000C51F9"/>
    <w:rsid w:val="000C52B3"/>
    <w:rsid w:val="000C5422"/>
    <w:rsid w:val="000C54AE"/>
    <w:rsid w:val="000C54F8"/>
    <w:rsid w:val="000C550B"/>
    <w:rsid w:val="000C56B3"/>
    <w:rsid w:val="000C56D2"/>
    <w:rsid w:val="000C57E7"/>
    <w:rsid w:val="000C59B5"/>
    <w:rsid w:val="000C5B82"/>
    <w:rsid w:val="000C5C1A"/>
    <w:rsid w:val="000C5C55"/>
    <w:rsid w:val="000C5C66"/>
    <w:rsid w:val="000C5D60"/>
    <w:rsid w:val="000C5E5F"/>
    <w:rsid w:val="000C60C3"/>
    <w:rsid w:val="000C6213"/>
    <w:rsid w:val="000C623E"/>
    <w:rsid w:val="000C6539"/>
    <w:rsid w:val="000C657F"/>
    <w:rsid w:val="000C668E"/>
    <w:rsid w:val="000C66B7"/>
    <w:rsid w:val="000C687E"/>
    <w:rsid w:val="000C6900"/>
    <w:rsid w:val="000C6930"/>
    <w:rsid w:val="000C6A2B"/>
    <w:rsid w:val="000C6B36"/>
    <w:rsid w:val="000C6B90"/>
    <w:rsid w:val="000C6C16"/>
    <w:rsid w:val="000C6C32"/>
    <w:rsid w:val="000C6CBE"/>
    <w:rsid w:val="000C6DB6"/>
    <w:rsid w:val="000C6FE0"/>
    <w:rsid w:val="000C737B"/>
    <w:rsid w:val="000C73F8"/>
    <w:rsid w:val="000C7410"/>
    <w:rsid w:val="000C7418"/>
    <w:rsid w:val="000C74BD"/>
    <w:rsid w:val="000C75FB"/>
    <w:rsid w:val="000C760F"/>
    <w:rsid w:val="000C7693"/>
    <w:rsid w:val="000C7862"/>
    <w:rsid w:val="000C7917"/>
    <w:rsid w:val="000C799A"/>
    <w:rsid w:val="000C79F1"/>
    <w:rsid w:val="000C7AE2"/>
    <w:rsid w:val="000C7B48"/>
    <w:rsid w:val="000C7B4E"/>
    <w:rsid w:val="000C7B73"/>
    <w:rsid w:val="000C7C3E"/>
    <w:rsid w:val="000C7C53"/>
    <w:rsid w:val="000C7D3D"/>
    <w:rsid w:val="000C7F02"/>
    <w:rsid w:val="000D0102"/>
    <w:rsid w:val="000D0157"/>
    <w:rsid w:val="000D0303"/>
    <w:rsid w:val="000D05DA"/>
    <w:rsid w:val="000D0706"/>
    <w:rsid w:val="000D07F5"/>
    <w:rsid w:val="000D083D"/>
    <w:rsid w:val="000D089A"/>
    <w:rsid w:val="000D0972"/>
    <w:rsid w:val="000D0CAD"/>
    <w:rsid w:val="000D0E98"/>
    <w:rsid w:val="000D100E"/>
    <w:rsid w:val="000D109D"/>
    <w:rsid w:val="000D10E7"/>
    <w:rsid w:val="000D1186"/>
    <w:rsid w:val="000D1513"/>
    <w:rsid w:val="000D1663"/>
    <w:rsid w:val="000D172A"/>
    <w:rsid w:val="000D185E"/>
    <w:rsid w:val="000D18FF"/>
    <w:rsid w:val="000D190E"/>
    <w:rsid w:val="000D1A42"/>
    <w:rsid w:val="000D1B8F"/>
    <w:rsid w:val="000D1C93"/>
    <w:rsid w:val="000D1DBA"/>
    <w:rsid w:val="000D1E71"/>
    <w:rsid w:val="000D1FD2"/>
    <w:rsid w:val="000D2001"/>
    <w:rsid w:val="000D2014"/>
    <w:rsid w:val="000D207D"/>
    <w:rsid w:val="000D2174"/>
    <w:rsid w:val="000D21CE"/>
    <w:rsid w:val="000D21DC"/>
    <w:rsid w:val="000D2208"/>
    <w:rsid w:val="000D22A7"/>
    <w:rsid w:val="000D22DF"/>
    <w:rsid w:val="000D230B"/>
    <w:rsid w:val="000D2314"/>
    <w:rsid w:val="000D2528"/>
    <w:rsid w:val="000D2828"/>
    <w:rsid w:val="000D2B42"/>
    <w:rsid w:val="000D2BBE"/>
    <w:rsid w:val="000D2D69"/>
    <w:rsid w:val="000D2E08"/>
    <w:rsid w:val="000D2EF8"/>
    <w:rsid w:val="000D2F70"/>
    <w:rsid w:val="000D2FAB"/>
    <w:rsid w:val="000D3059"/>
    <w:rsid w:val="000D3170"/>
    <w:rsid w:val="000D317C"/>
    <w:rsid w:val="000D3234"/>
    <w:rsid w:val="000D329F"/>
    <w:rsid w:val="000D32A9"/>
    <w:rsid w:val="000D331F"/>
    <w:rsid w:val="000D3337"/>
    <w:rsid w:val="000D33B4"/>
    <w:rsid w:val="000D3422"/>
    <w:rsid w:val="000D375D"/>
    <w:rsid w:val="000D3859"/>
    <w:rsid w:val="000D3919"/>
    <w:rsid w:val="000D3BF7"/>
    <w:rsid w:val="000D3CDE"/>
    <w:rsid w:val="000D3CF6"/>
    <w:rsid w:val="000D3D5E"/>
    <w:rsid w:val="000D3DCC"/>
    <w:rsid w:val="000D3E4A"/>
    <w:rsid w:val="000D3EEE"/>
    <w:rsid w:val="000D3FA3"/>
    <w:rsid w:val="000D3FCB"/>
    <w:rsid w:val="000D408D"/>
    <w:rsid w:val="000D41C8"/>
    <w:rsid w:val="000D4298"/>
    <w:rsid w:val="000D431D"/>
    <w:rsid w:val="000D43A9"/>
    <w:rsid w:val="000D4442"/>
    <w:rsid w:val="000D44A7"/>
    <w:rsid w:val="000D456E"/>
    <w:rsid w:val="000D45B7"/>
    <w:rsid w:val="000D4600"/>
    <w:rsid w:val="000D4636"/>
    <w:rsid w:val="000D477A"/>
    <w:rsid w:val="000D47AD"/>
    <w:rsid w:val="000D4861"/>
    <w:rsid w:val="000D49E9"/>
    <w:rsid w:val="000D4AAA"/>
    <w:rsid w:val="000D4AAE"/>
    <w:rsid w:val="000D4BE0"/>
    <w:rsid w:val="000D4D30"/>
    <w:rsid w:val="000D4F21"/>
    <w:rsid w:val="000D5066"/>
    <w:rsid w:val="000D5121"/>
    <w:rsid w:val="000D52AB"/>
    <w:rsid w:val="000D52C3"/>
    <w:rsid w:val="000D532F"/>
    <w:rsid w:val="000D5502"/>
    <w:rsid w:val="000D557D"/>
    <w:rsid w:val="000D5645"/>
    <w:rsid w:val="000D56E6"/>
    <w:rsid w:val="000D5B98"/>
    <w:rsid w:val="000D5C50"/>
    <w:rsid w:val="000D5CE3"/>
    <w:rsid w:val="000D5D01"/>
    <w:rsid w:val="000D5D30"/>
    <w:rsid w:val="000D5E66"/>
    <w:rsid w:val="000D62B0"/>
    <w:rsid w:val="000D62E6"/>
    <w:rsid w:val="000D635C"/>
    <w:rsid w:val="000D657F"/>
    <w:rsid w:val="000D65A2"/>
    <w:rsid w:val="000D6661"/>
    <w:rsid w:val="000D6701"/>
    <w:rsid w:val="000D6861"/>
    <w:rsid w:val="000D687B"/>
    <w:rsid w:val="000D6909"/>
    <w:rsid w:val="000D69F8"/>
    <w:rsid w:val="000D6B31"/>
    <w:rsid w:val="000D6D87"/>
    <w:rsid w:val="000D6E73"/>
    <w:rsid w:val="000D6E98"/>
    <w:rsid w:val="000D6EB3"/>
    <w:rsid w:val="000D6ECA"/>
    <w:rsid w:val="000D705E"/>
    <w:rsid w:val="000D711A"/>
    <w:rsid w:val="000D7137"/>
    <w:rsid w:val="000D734A"/>
    <w:rsid w:val="000D7374"/>
    <w:rsid w:val="000D7520"/>
    <w:rsid w:val="000D77D9"/>
    <w:rsid w:val="000D78B3"/>
    <w:rsid w:val="000D7904"/>
    <w:rsid w:val="000D7999"/>
    <w:rsid w:val="000D7A11"/>
    <w:rsid w:val="000D7B5E"/>
    <w:rsid w:val="000D7C03"/>
    <w:rsid w:val="000D7C2F"/>
    <w:rsid w:val="000D7F43"/>
    <w:rsid w:val="000D7F53"/>
    <w:rsid w:val="000D7F86"/>
    <w:rsid w:val="000E00A9"/>
    <w:rsid w:val="000E00DF"/>
    <w:rsid w:val="000E0128"/>
    <w:rsid w:val="000E0207"/>
    <w:rsid w:val="000E02DF"/>
    <w:rsid w:val="000E055A"/>
    <w:rsid w:val="000E05AD"/>
    <w:rsid w:val="000E08B4"/>
    <w:rsid w:val="000E09FC"/>
    <w:rsid w:val="000E0AA9"/>
    <w:rsid w:val="000E0ADA"/>
    <w:rsid w:val="000E0B6C"/>
    <w:rsid w:val="000E0BC3"/>
    <w:rsid w:val="000E0BC8"/>
    <w:rsid w:val="000E0BD7"/>
    <w:rsid w:val="000E0C02"/>
    <w:rsid w:val="000E0C0E"/>
    <w:rsid w:val="000E0E0A"/>
    <w:rsid w:val="000E0E5D"/>
    <w:rsid w:val="000E0F10"/>
    <w:rsid w:val="000E0FC2"/>
    <w:rsid w:val="000E1103"/>
    <w:rsid w:val="000E1111"/>
    <w:rsid w:val="000E1150"/>
    <w:rsid w:val="000E13CB"/>
    <w:rsid w:val="000E13EC"/>
    <w:rsid w:val="000E1443"/>
    <w:rsid w:val="000E158F"/>
    <w:rsid w:val="000E1630"/>
    <w:rsid w:val="000E16EC"/>
    <w:rsid w:val="000E181F"/>
    <w:rsid w:val="000E1931"/>
    <w:rsid w:val="000E1A3B"/>
    <w:rsid w:val="000E1A63"/>
    <w:rsid w:val="000E1A8C"/>
    <w:rsid w:val="000E1C37"/>
    <w:rsid w:val="000E1CA1"/>
    <w:rsid w:val="000E1D86"/>
    <w:rsid w:val="000E20E7"/>
    <w:rsid w:val="000E2288"/>
    <w:rsid w:val="000E22B1"/>
    <w:rsid w:val="000E231F"/>
    <w:rsid w:val="000E2343"/>
    <w:rsid w:val="000E24F0"/>
    <w:rsid w:val="000E24FB"/>
    <w:rsid w:val="000E24FE"/>
    <w:rsid w:val="000E2545"/>
    <w:rsid w:val="000E2547"/>
    <w:rsid w:val="000E25CC"/>
    <w:rsid w:val="000E25CE"/>
    <w:rsid w:val="000E272E"/>
    <w:rsid w:val="000E28F0"/>
    <w:rsid w:val="000E290F"/>
    <w:rsid w:val="000E2972"/>
    <w:rsid w:val="000E2AD2"/>
    <w:rsid w:val="000E2AE1"/>
    <w:rsid w:val="000E2CC8"/>
    <w:rsid w:val="000E2CF4"/>
    <w:rsid w:val="000E2D7E"/>
    <w:rsid w:val="000E2DB7"/>
    <w:rsid w:val="000E2F15"/>
    <w:rsid w:val="000E3150"/>
    <w:rsid w:val="000E325F"/>
    <w:rsid w:val="000E3645"/>
    <w:rsid w:val="000E36A4"/>
    <w:rsid w:val="000E36D5"/>
    <w:rsid w:val="000E3B52"/>
    <w:rsid w:val="000E3BF9"/>
    <w:rsid w:val="000E3CED"/>
    <w:rsid w:val="000E3E53"/>
    <w:rsid w:val="000E402B"/>
    <w:rsid w:val="000E4058"/>
    <w:rsid w:val="000E4077"/>
    <w:rsid w:val="000E4188"/>
    <w:rsid w:val="000E4201"/>
    <w:rsid w:val="000E427A"/>
    <w:rsid w:val="000E447A"/>
    <w:rsid w:val="000E448C"/>
    <w:rsid w:val="000E4541"/>
    <w:rsid w:val="000E45E8"/>
    <w:rsid w:val="000E495F"/>
    <w:rsid w:val="000E4960"/>
    <w:rsid w:val="000E49E7"/>
    <w:rsid w:val="000E4A84"/>
    <w:rsid w:val="000E4A9B"/>
    <w:rsid w:val="000E4B13"/>
    <w:rsid w:val="000E4C77"/>
    <w:rsid w:val="000E4D8D"/>
    <w:rsid w:val="000E4E99"/>
    <w:rsid w:val="000E4F3A"/>
    <w:rsid w:val="000E4FCA"/>
    <w:rsid w:val="000E501B"/>
    <w:rsid w:val="000E5171"/>
    <w:rsid w:val="000E5177"/>
    <w:rsid w:val="000E51E3"/>
    <w:rsid w:val="000E5230"/>
    <w:rsid w:val="000E5258"/>
    <w:rsid w:val="000E5390"/>
    <w:rsid w:val="000E539C"/>
    <w:rsid w:val="000E53D6"/>
    <w:rsid w:val="000E546B"/>
    <w:rsid w:val="000E54ED"/>
    <w:rsid w:val="000E5530"/>
    <w:rsid w:val="000E5700"/>
    <w:rsid w:val="000E5714"/>
    <w:rsid w:val="000E574B"/>
    <w:rsid w:val="000E5825"/>
    <w:rsid w:val="000E588F"/>
    <w:rsid w:val="000E5985"/>
    <w:rsid w:val="000E59F3"/>
    <w:rsid w:val="000E5A31"/>
    <w:rsid w:val="000E5A32"/>
    <w:rsid w:val="000E5A3E"/>
    <w:rsid w:val="000E5BAA"/>
    <w:rsid w:val="000E5CC2"/>
    <w:rsid w:val="000E5CD2"/>
    <w:rsid w:val="000E5DA5"/>
    <w:rsid w:val="000E5F02"/>
    <w:rsid w:val="000E6015"/>
    <w:rsid w:val="000E609B"/>
    <w:rsid w:val="000E6180"/>
    <w:rsid w:val="000E629F"/>
    <w:rsid w:val="000E62D5"/>
    <w:rsid w:val="000E6323"/>
    <w:rsid w:val="000E64C8"/>
    <w:rsid w:val="000E6597"/>
    <w:rsid w:val="000E6799"/>
    <w:rsid w:val="000E6986"/>
    <w:rsid w:val="000E6B30"/>
    <w:rsid w:val="000E6B35"/>
    <w:rsid w:val="000E6CA9"/>
    <w:rsid w:val="000E6D1B"/>
    <w:rsid w:val="000E6D58"/>
    <w:rsid w:val="000E6F34"/>
    <w:rsid w:val="000E6F53"/>
    <w:rsid w:val="000E70A2"/>
    <w:rsid w:val="000E71F8"/>
    <w:rsid w:val="000E722C"/>
    <w:rsid w:val="000E7604"/>
    <w:rsid w:val="000E761C"/>
    <w:rsid w:val="000E776D"/>
    <w:rsid w:val="000E78A0"/>
    <w:rsid w:val="000E7950"/>
    <w:rsid w:val="000E7AC4"/>
    <w:rsid w:val="000E7BA8"/>
    <w:rsid w:val="000E7BEC"/>
    <w:rsid w:val="000E7C6F"/>
    <w:rsid w:val="000E7D79"/>
    <w:rsid w:val="000E7D89"/>
    <w:rsid w:val="000E7FBC"/>
    <w:rsid w:val="000F008A"/>
    <w:rsid w:val="000F0161"/>
    <w:rsid w:val="000F0196"/>
    <w:rsid w:val="000F056F"/>
    <w:rsid w:val="000F05CC"/>
    <w:rsid w:val="000F081B"/>
    <w:rsid w:val="000F0A89"/>
    <w:rsid w:val="000F0AB3"/>
    <w:rsid w:val="000F0B46"/>
    <w:rsid w:val="000F0B5B"/>
    <w:rsid w:val="000F0C99"/>
    <w:rsid w:val="000F0CAF"/>
    <w:rsid w:val="000F0F3C"/>
    <w:rsid w:val="000F0F49"/>
    <w:rsid w:val="000F0FCF"/>
    <w:rsid w:val="000F111E"/>
    <w:rsid w:val="000F1122"/>
    <w:rsid w:val="000F1285"/>
    <w:rsid w:val="000F13CD"/>
    <w:rsid w:val="000F1527"/>
    <w:rsid w:val="000F15E0"/>
    <w:rsid w:val="000F1660"/>
    <w:rsid w:val="000F1681"/>
    <w:rsid w:val="000F16FE"/>
    <w:rsid w:val="000F179E"/>
    <w:rsid w:val="000F17CD"/>
    <w:rsid w:val="000F182A"/>
    <w:rsid w:val="000F19D1"/>
    <w:rsid w:val="000F1C8D"/>
    <w:rsid w:val="000F1CA6"/>
    <w:rsid w:val="000F1ED7"/>
    <w:rsid w:val="000F1FEC"/>
    <w:rsid w:val="000F209F"/>
    <w:rsid w:val="000F20AA"/>
    <w:rsid w:val="000F22EA"/>
    <w:rsid w:val="000F2329"/>
    <w:rsid w:val="000F239A"/>
    <w:rsid w:val="000F23FA"/>
    <w:rsid w:val="000F243F"/>
    <w:rsid w:val="000F2727"/>
    <w:rsid w:val="000F27A5"/>
    <w:rsid w:val="000F28B7"/>
    <w:rsid w:val="000F28F3"/>
    <w:rsid w:val="000F2BD6"/>
    <w:rsid w:val="000F2C2F"/>
    <w:rsid w:val="000F2CE2"/>
    <w:rsid w:val="000F2E42"/>
    <w:rsid w:val="000F2F7E"/>
    <w:rsid w:val="000F3110"/>
    <w:rsid w:val="000F316C"/>
    <w:rsid w:val="000F31DB"/>
    <w:rsid w:val="000F3320"/>
    <w:rsid w:val="000F3396"/>
    <w:rsid w:val="000F3407"/>
    <w:rsid w:val="000F340B"/>
    <w:rsid w:val="000F363D"/>
    <w:rsid w:val="000F3697"/>
    <w:rsid w:val="000F36F7"/>
    <w:rsid w:val="000F370B"/>
    <w:rsid w:val="000F378A"/>
    <w:rsid w:val="000F379A"/>
    <w:rsid w:val="000F37A8"/>
    <w:rsid w:val="000F37B0"/>
    <w:rsid w:val="000F38C9"/>
    <w:rsid w:val="000F395C"/>
    <w:rsid w:val="000F3A0A"/>
    <w:rsid w:val="000F3A8B"/>
    <w:rsid w:val="000F3BE0"/>
    <w:rsid w:val="000F3C74"/>
    <w:rsid w:val="000F3E4A"/>
    <w:rsid w:val="000F3E4C"/>
    <w:rsid w:val="000F3E54"/>
    <w:rsid w:val="000F3ED8"/>
    <w:rsid w:val="000F3F97"/>
    <w:rsid w:val="000F4116"/>
    <w:rsid w:val="000F418E"/>
    <w:rsid w:val="000F421C"/>
    <w:rsid w:val="000F4245"/>
    <w:rsid w:val="000F42B8"/>
    <w:rsid w:val="000F46AD"/>
    <w:rsid w:val="000F46C8"/>
    <w:rsid w:val="000F47BA"/>
    <w:rsid w:val="000F48A5"/>
    <w:rsid w:val="000F492E"/>
    <w:rsid w:val="000F4998"/>
    <w:rsid w:val="000F49A1"/>
    <w:rsid w:val="000F49C0"/>
    <w:rsid w:val="000F4A46"/>
    <w:rsid w:val="000F4B54"/>
    <w:rsid w:val="000F4BBB"/>
    <w:rsid w:val="000F4CCF"/>
    <w:rsid w:val="000F4E39"/>
    <w:rsid w:val="000F4F0B"/>
    <w:rsid w:val="000F4F25"/>
    <w:rsid w:val="000F5005"/>
    <w:rsid w:val="000F52A1"/>
    <w:rsid w:val="000F5366"/>
    <w:rsid w:val="000F53E0"/>
    <w:rsid w:val="000F54AE"/>
    <w:rsid w:val="000F54EC"/>
    <w:rsid w:val="000F550A"/>
    <w:rsid w:val="000F571A"/>
    <w:rsid w:val="000F581A"/>
    <w:rsid w:val="000F592D"/>
    <w:rsid w:val="000F59BF"/>
    <w:rsid w:val="000F5AB6"/>
    <w:rsid w:val="000F5B09"/>
    <w:rsid w:val="000F5D0B"/>
    <w:rsid w:val="000F5DA5"/>
    <w:rsid w:val="000F5EB0"/>
    <w:rsid w:val="000F5F6E"/>
    <w:rsid w:val="000F5FB3"/>
    <w:rsid w:val="000F5FDF"/>
    <w:rsid w:val="000F6001"/>
    <w:rsid w:val="000F6068"/>
    <w:rsid w:val="000F62CE"/>
    <w:rsid w:val="000F633B"/>
    <w:rsid w:val="000F634B"/>
    <w:rsid w:val="000F6436"/>
    <w:rsid w:val="000F668A"/>
    <w:rsid w:val="000F6758"/>
    <w:rsid w:val="000F684B"/>
    <w:rsid w:val="000F69AC"/>
    <w:rsid w:val="000F6ABD"/>
    <w:rsid w:val="000F6AE6"/>
    <w:rsid w:val="000F6BB7"/>
    <w:rsid w:val="000F6CCA"/>
    <w:rsid w:val="000F6E17"/>
    <w:rsid w:val="000F6EE6"/>
    <w:rsid w:val="000F703D"/>
    <w:rsid w:val="000F7278"/>
    <w:rsid w:val="000F72C2"/>
    <w:rsid w:val="000F73B6"/>
    <w:rsid w:val="000F7459"/>
    <w:rsid w:val="000F7462"/>
    <w:rsid w:val="000F7AB7"/>
    <w:rsid w:val="000F7B06"/>
    <w:rsid w:val="000F7C8A"/>
    <w:rsid w:val="0010009E"/>
    <w:rsid w:val="001000C2"/>
    <w:rsid w:val="0010023B"/>
    <w:rsid w:val="00100286"/>
    <w:rsid w:val="001002A2"/>
    <w:rsid w:val="00100339"/>
    <w:rsid w:val="00100420"/>
    <w:rsid w:val="00100705"/>
    <w:rsid w:val="00100715"/>
    <w:rsid w:val="001008BC"/>
    <w:rsid w:val="0010090E"/>
    <w:rsid w:val="00100A62"/>
    <w:rsid w:val="00100A80"/>
    <w:rsid w:val="00100B49"/>
    <w:rsid w:val="00100C18"/>
    <w:rsid w:val="00100E2B"/>
    <w:rsid w:val="00100EA9"/>
    <w:rsid w:val="00100EEE"/>
    <w:rsid w:val="00100F2B"/>
    <w:rsid w:val="00100F83"/>
    <w:rsid w:val="00100FD2"/>
    <w:rsid w:val="0010105F"/>
    <w:rsid w:val="001010F5"/>
    <w:rsid w:val="00101122"/>
    <w:rsid w:val="001011B1"/>
    <w:rsid w:val="00101356"/>
    <w:rsid w:val="00101444"/>
    <w:rsid w:val="00101503"/>
    <w:rsid w:val="001017E1"/>
    <w:rsid w:val="00101944"/>
    <w:rsid w:val="001019C8"/>
    <w:rsid w:val="00101AB3"/>
    <w:rsid w:val="00101B26"/>
    <w:rsid w:val="00101B66"/>
    <w:rsid w:val="00101CB6"/>
    <w:rsid w:val="00101D19"/>
    <w:rsid w:val="00101D4C"/>
    <w:rsid w:val="00101DC4"/>
    <w:rsid w:val="00101DCD"/>
    <w:rsid w:val="00101DE8"/>
    <w:rsid w:val="00101EC6"/>
    <w:rsid w:val="00101F85"/>
    <w:rsid w:val="0010204C"/>
    <w:rsid w:val="00102185"/>
    <w:rsid w:val="00102248"/>
    <w:rsid w:val="00102405"/>
    <w:rsid w:val="00102511"/>
    <w:rsid w:val="001025DA"/>
    <w:rsid w:val="0010268B"/>
    <w:rsid w:val="001026E5"/>
    <w:rsid w:val="00102813"/>
    <w:rsid w:val="00102854"/>
    <w:rsid w:val="001029B4"/>
    <w:rsid w:val="001029DD"/>
    <w:rsid w:val="00102AC5"/>
    <w:rsid w:val="00102B9B"/>
    <w:rsid w:val="00102CC5"/>
    <w:rsid w:val="00102CE8"/>
    <w:rsid w:val="00102D6F"/>
    <w:rsid w:val="00102DB7"/>
    <w:rsid w:val="00102F3E"/>
    <w:rsid w:val="00103144"/>
    <w:rsid w:val="00103230"/>
    <w:rsid w:val="00103253"/>
    <w:rsid w:val="0010325D"/>
    <w:rsid w:val="00103285"/>
    <w:rsid w:val="0010331B"/>
    <w:rsid w:val="00103496"/>
    <w:rsid w:val="00103605"/>
    <w:rsid w:val="0010372F"/>
    <w:rsid w:val="001037C3"/>
    <w:rsid w:val="001039F2"/>
    <w:rsid w:val="00103A54"/>
    <w:rsid w:val="00103B1A"/>
    <w:rsid w:val="00103B9B"/>
    <w:rsid w:val="00103DEE"/>
    <w:rsid w:val="0010431B"/>
    <w:rsid w:val="0010431C"/>
    <w:rsid w:val="00104559"/>
    <w:rsid w:val="00104685"/>
    <w:rsid w:val="0010472A"/>
    <w:rsid w:val="00104744"/>
    <w:rsid w:val="00104784"/>
    <w:rsid w:val="0010493F"/>
    <w:rsid w:val="001049A8"/>
    <w:rsid w:val="00104AD3"/>
    <w:rsid w:val="00104ADF"/>
    <w:rsid w:val="00104AE1"/>
    <w:rsid w:val="00104CA8"/>
    <w:rsid w:val="00104CC2"/>
    <w:rsid w:val="00104CEE"/>
    <w:rsid w:val="00104D0F"/>
    <w:rsid w:val="00104D5A"/>
    <w:rsid w:val="001051C8"/>
    <w:rsid w:val="001051DF"/>
    <w:rsid w:val="00105358"/>
    <w:rsid w:val="00105502"/>
    <w:rsid w:val="0010552D"/>
    <w:rsid w:val="001055C0"/>
    <w:rsid w:val="00105622"/>
    <w:rsid w:val="001056ED"/>
    <w:rsid w:val="0010574C"/>
    <w:rsid w:val="00105806"/>
    <w:rsid w:val="00105810"/>
    <w:rsid w:val="0010599E"/>
    <w:rsid w:val="00105A10"/>
    <w:rsid w:val="00105A2F"/>
    <w:rsid w:val="00105A40"/>
    <w:rsid w:val="00105BA4"/>
    <w:rsid w:val="00105C22"/>
    <w:rsid w:val="00105D15"/>
    <w:rsid w:val="00105D32"/>
    <w:rsid w:val="00105D50"/>
    <w:rsid w:val="00105EEF"/>
    <w:rsid w:val="00105FB2"/>
    <w:rsid w:val="00106066"/>
    <w:rsid w:val="0010606F"/>
    <w:rsid w:val="00106154"/>
    <w:rsid w:val="00106161"/>
    <w:rsid w:val="0010619C"/>
    <w:rsid w:val="0010627D"/>
    <w:rsid w:val="00106630"/>
    <w:rsid w:val="001066BC"/>
    <w:rsid w:val="0010670B"/>
    <w:rsid w:val="0010676F"/>
    <w:rsid w:val="001067C9"/>
    <w:rsid w:val="001068C7"/>
    <w:rsid w:val="0010693B"/>
    <w:rsid w:val="00106A21"/>
    <w:rsid w:val="00106AF7"/>
    <w:rsid w:val="00106BE2"/>
    <w:rsid w:val="00106C98"/>
    <w:rsid w:val="00106CB0"/>
    <w:rsid w:val="00106D58"/>
    <w:rsid w:val="00106E39"/>
    <w:rsid w:val="00106E82"/>
    <w:rsid w:val="00106EF0"/>
    <w:rsid w:val="00106F23"/>
    <w:rsid w:val="00106FE6"/>
    <w:rsid w:val="00107094"/>
    <w:rsid w:val="001070C0"/>
    <w:rsid w:val="001070CE"/>
    <w:rsid w:val="001071E8"/>
    <w:rsid w:val="001072DF"/>
    <w:rsid w:val="0010760C"/>
    <w:rsid w:val="00107724"/>
    <w:rsid w:val="00107744"/>
    <w:rsid w:val="001079F4"/>
    <w:rsid w:val="00107A90"/>
    <w:rsid w:val="00107AB1"/>
    <w:rsid w:val="00107C85"/>
    <w:rsid w:val="00107DD3"/>
    <w:rsid w:val="00107E00"/>
    <w:rsid w:val="0011014C"/>
    <w:rsid w:val="00110210"/>
    <w:rsid w:val="001105C5"/>
    <w:rsid w:val="001105F6"/>
    <w:rsid w:val="001106D9"/>
    <w:rsid w:val="001107AA"/>
    <w:rsid w:val="00110908"/>
    <w:rsid w:val="00110912"/>
    <w:rsid w:val="00110BCD"/>
    <w:rsid w:val="00110E01"/>
    <w:rsid w:val="00110F99"/>
    <w:rsid w:val="00110FA0"/>
    <w:rsid w:val="0011102B"/>
    <w:rsid w:val="00111126"/>
    <w:rsid w:val="00111370"/>
    <w:rsid w:val="001115C1"/>
    <w:rsid w:val="001115E7"/>
    <w:rsid w:val="00111611"/>
    <w:rsid w:val="0011164E"/>
    <w:rsid w:val="001116BE"/>
    <w:rsid w:val="0011181F"/>
    <w:rsid w:val="00111887"/>
    <w:rsid w:val="001118F0"/>
    <w:rsid w:val="001119AC"/>
    <w:rsid w:val="00111B00"/>
    <w:rsid w:val="00111C32"/>
    <w:rsid w:val="00111CE1"/>
    <w:rsid w:val="00111D85"/>
    <w:rsid w:val="00111E8F"/>
    <w:rsid w:val="00111F45"/>
    <w:rsid w:val="00111F91"/>
    <w:rsid w:val="00112196"/>
    <w:rsid w:val="001122A3"/>
    <w:rsid w:val="00112391"/>
    <w:rsid w:val="001123FC"/>
    <w:rsid w:val="00112470"/>
    <w:rsid w:val="0011248D"/>
    <w:rsid w:val="00112520"/>
    <w:rsid w:val="00112598"/>
    <w:rsid w:val="0011260A"/>
    <w:rsid w:val="00112661"/>
    <w:rsid w:val="001126DE"/>
    <w:rsid w:val="0011278E"/>
    <w:rsid w:val="00112801"/>
    <w:rsid w:val="0011286C"/>
    <w:rsid w:val="00112931"/>
    <w:rsid w:val="00112A51"/>
    <w:rsid w:val="00112A76"/>
    <w:rsid w:val="00112A9D"/>
    <w:rsid w:val="00112BDC"/>
    <w:rsid w:val="00112BF1"/>
    <w:rsid w:val="00112C32"/>
    <w:rsid w:val="00112C67"/>
    <w:rsid w:val="00112C6F"/>
    <w:rsid w:val="00112C87"/>
    <w:rsid w:val="00112DCB"/>
    <w:rsid w:val="00112E3F"/>
    <w:rsid w:val="00112E5E"/>
    <w:rsid w:val="00112FCB"/>
    <w:rsid w:val="00112FDB"/>
    <w:rsid w:val="00113101"/>
    <w:rsid w:val="0011314C"/>
    <w:rsid w:val="00113150"/>
    <w:rsid w:val="001131CD"/>
    <w:rsid w:val="00113243"/>
    <w:rsid w:val="001132A1"/>
    <w:rsid w:val="001132DA"/>
    <w:rsid w:val="001132F9"/>
    <w:rsid w:val="00113317"/>
    <w:rsid w:val="00113328"/>
    <w:rsid w:val="001134AE"/>
    <w:rsid w:val="0011360E"/>
    <w:rsid w:val="001136D5"/>
    <w:rsid w:val="00113762"/>
    <w:rsid w:val="001137B7"/>
    <w:rsid w:val="00113AA1"/>
    <w:rsid w:val="00113B6D"/>
    <w:rsid w:val="00113BEB"/>
    <w:rsid w:val="00113E92"/>
    <w:rsid w:val="00113EE0"/>
    <w:rsid w:val="00113F14"/>
    <w:rsid w:val="00113FEB"/>
    <w:rsid w:val="00114003"/>
    <w:rsid w:val="0011413B"/>
    <w:rsid w:val="00114383"/>
    <w:rsid w:val="001143E6"/>
    <w:rsid w:val="001144C1"/>
    <w:rsid w:val="00114644"/>
    <w:rsid w:val="00114662"/>
    <w:rsid w:val="001146EC"/>
    <w:rsid w:val="00114702"/>
    <w:rsid w:val="0011472F"/>
    <w:rsid w:val="00114945"/>
    <w:rsid w:val="001149EF"/>
    <w:rsid w:val="00114A3A"/>
    <w:rsid w:val="00114B2A"/>
    <w:rsid w:val="00114C2C"/>
    <w:rsid w:val="00114DCE"/>
    <w:rsid w:val="00114F15"/>
    <w:rsid w:val="0011501A"/>
    <w:rsid w:val="00115345"/>
    <w:rsid w:val="00115676"/>
    <w:rsid w:val="00115961"/>
    <w:rsid w:val="00115B77"/>
    <w:rsid w:val="00115BAC"/>
    <w:rsid w:val="00115BE9"/>
    <w:rsid w:val="00115CE0"/>
    <w:rsid w:val="00115DA8"/>
    <w:rsid w:val="00115EEE"/>
    <w:rsid w:val="00115F0A"/>
    <w:rsid w:val="00115F4C"/>
    <w:rsid w:val="00115FDC"/>
    <w:rsid w:val="001163AF"/>
    <w:rsid w:val="001164B3"/>
    <w:rsid w:val="001165DA"/>
    <w:rsid w:val="0011677E"/>
    <w:rsid w:val="001168CB"/>
    <w:rsid w:val="00116BDF"/>
    <w:rsid w:val="00116DAA"/>
    <w:rsid w:val="00116E14"/>
    <w:rsid w:val="00116E1F"/>
    <w:rsid w:val="00116EE9"/>
    <w:rsid w:val="00116FDB"/>
    <w:rsid w:val="0011714F"/>
    <w:rsid w:val="001173B1"/>
    <w:rsid w:val="00117417"/>
    <w:rsid w:val="0011749D"/>
    <w:rsid w:val="00117559"/>
    <w:rsid w:val="00117578"/>
    <w:rsid w:val="001176DD"/>
    <w:rsid w:val="001177D0"/>
    <w:rsid w:val="00117B58"/>
    <w:rsid w:val="00117BC3"/>
    <w:rsid w:val="00117C28"/>
    <w:rsid w:val="00117D4F"/>
    <w:rsid w:val="00117ED1"/>
    <w:rsid w:val="00117F3A"/>
    <w:rsid w:val="00120074"/>
    <w:rsid w:val="0012012F"/>
    <w:rsid w:val="001201EE"/>
    <w:rsid w:val="001201FF"/>
    <w:rsid w:val="00120296"/>
    <w:rsid w:val="00120452"/>
    <w:rsid w:val="001204D2"/>
    <w:rsid w:val="00120580"/>
    <w:rsid w:val="001206C9"/>
    <w:rsid w:val="00120921"/>
    <w:rsid w:val="0012097D"/>
    <w:rsid w:val="001209F4"/>
    <w:rsid w:val="00120A06"/>
    <w:rsid w:val="00120AFA"/>
    <w:rsid w:val="00120B1F"/>
    <w:rsid w:val="00120BD6"/>
    <w:rsid w:val="00120C09"/>
    <w:rsid w:val="00120D88"/>
    <w:rsid w:val="00120EE4"/>
    <w:rsid w:val="00120FA0"/>
    <w:rsid w:val="00120FFA"/>
    <w:rsid w:val="00121021"/>
    <w:rsid w:val="00121109"/>
    <w:rsid w:val="0012142D"/>
    <w:rsid w:val="00121491"/>
    <w:rsid w:val="001217E3"/>
    <w:rsid w:val="00121831"/>
    <w:rsid w:val="00121861"/>
    <w:rsid w:val="00121949"/>
    <w:rsid w:val="0012196A"/>
    <w:rsid w:val="001219AC"/>
    <w:rsid w:val="00121B56"/>
    <w:rsid w:val="00121CAF"/>
    <w:rsid w:val="00121CBA"/>
    <w:rsid w:val="00121CE9"/>
    <w:rsid w:val="00121FF2"/>
    <w:rsid w:val="0012228D"/>
    <w:rsid w:val="001222B5"/>
    <w:rsid w:val="001222E8"/>
    <w:rsid w:val="0012234F"/>
    <w:rsid w:val="00122354"/>
    <w:rsid w:val="001223F1"/>
    <w:rsid w:val="0012249F"/>
    <w:rsid w:val="001225AB"/>
    <w:rsid w:val="001225E8"/>
    <w:rsid w:val="001226C1"/>
    <w:rsid w:val="00122808"/>
    <w:rsid w:val="00122845"/>
    <w:rsid w:val="00122940"/>
    <w:rsid w:val="00122999"/>
    <w:rsid w:val="001229D3"/>
    <w:rsid w:val="00122C21"/>
    <w:rsid w:val="00122CB0"/>
    <w:rsid w:val="00122D27"/>
    <w:rsid w:val="00122DCE"/>
    <w:rsid w:val="00122F28"/>
    <w:rsid w:val="00122FBB"/>
    <w:rsid w:val="00122FE6"/>
    <w:rsid w:val="00123013"/>
    <w:rsid w:val="0012321A"/>
    <w:rsid w:val="0012329E"/>
    <w:rsid w:val="001232E1"/>
    <w:rsid w:val="001232F8"/>
    <w:rsid w:val="001233DF"/>
    <w:rsid w:val="0012354F"/>
    <w:rsid w:val="001235A4"/>
    <w:rsid w:val="0012360F"/>
    <w:rsid w:val="00123628"/>
    <w:rsid w:val="0012364B"/>
    <w:rsid w:val="001236C7"/>
    <w:rsid w:val="00123878"/>
    <w:rsid w:val="00123954"/>
    <w:rsid w:val="00123AA1"/>
    <w:rsid w:val="00123AF3"/>
    <w:rsid w:val="00123C68"/>
    <w:rsid w:val="00123D25"/>
    <w:rsid w:val="00123D35"/>
    <w:rsid w:val="00123D55"/>
    <w:rsid w:val="00123D5F"/>
    <w:rsid w:val="00123D9B"/>
    <w:rsid w:val="00123DDD"/>
    <w:rsid w:val="00123E1E"/>
    <w:rsid w:val="00124045"/>
    <w:rsid w:val="001240AD"/>
    <w:rsid w:val="00124108"/>
    <w:rsid w:val="00124203"/>
    <w:rsid w:val="00124252"/>
    <w:rsid w:val="0012427B"/>
    <w:rsid w:val="001242B9"/>
    <w:rsid w:val="00124354"/>
    <w:rsid w:val="0012444D"/>
    <w:rsid w:val="00124544"/>
    <w:rsid w:val="0012462C"/>
    <w:rsid w:val="00124746"/>
    <w:rsid w:val="001247CD"/>
    <w:rsid w:val="001247E3"/>
    <w:rsid w:val="001249BB"/>
    <w:rsid w:val="001249C6"/>
    <w:rsid w:val="001249E9"/>
    <w:rsid w:val="00124B09"/>
    <w:rsid w:val="00124B58"/>
    <w:rsid w:val="00124B9B"/>
    <w:rsid w:val="00124C6F"/>
    <w:rsid w:val="00124D41"/>
    <w:rsid w:val="00124E05"/>
    <w:rsid w:val="00124F07"/>
    <w:rsid w:val="00125190"/>
    <w:rsid w:val="0012528F"/>
    <w:rsid w:val="00125375"/>
    <w:rsid w:val="00125446"/>
    <w:rsid w:val="001254C9"/>
    <w:rsid w:val="00125550"/>
    <w:rsid w:val="0012558F"/>
    <w:rsid w:val="00125676"/>
    <w:rsid w:val="001258B8"/>
    <w:rsid w:val="00125927"/>
    <w:rsid w:val="00125992"/>
    <w:rsid w:val="00125B47"/>
    <w:rsid w:val="00125B7E"/>
    <w:rsid w:val="00125B97"/>
    <w:rsid w:val="00125E2A"/>
    <w:rsid w:val="0012609F"/>
    <w:rsid w:val="00126155"/>
    <w:rsid w:val="001261DE"/>
    <w:rsid w:val="001262A5"/>
    <w:rsid w:val="001262B2"/>
    <w:rsid w:val="0012631A"/>
    <w:rsid w:val="00126325"/>
    <w:rsid w:val="0012635D"/>
    <w:rsid w:val="00126411"/>
    <w:rsid w:val="00126496"/>
    <w:rsid w:val="001264EE"/>
    <w:rsid w:val="00126564"/>
    <w:rsid w:val="00126605"/>
    <w:rsid w:val="001266BA"/>
    <w:rsid w:val="0012684B"/>
    <w:rsid w:val="001269B7"/>
    <w:rsid w:val="001269F0"/>
    <w:rsid w:val="00126AC2"/>
    <w:rsid w:val="00126B29"/>
    <w:rsid w:val="00126B2E"/>
    <w:rsid w:val="00126BB6"/>
    <w:rsid w:val="00126D39"/>
    <w:rsid w:val="00126D77"/>
    <w:rsid w:val="00126E50"/>
    <w:rsid w:val="001271F5"/>
    <w:rsid w:val="001273A7"/>
    <w:rsid w:val="001273E4"/>
    <w:rsid w:val="001274FB"/>
    <w:rsid w:val="00127585"/>
    <w:rsid w:val="00127588"/>
    <w:rsid w:val="001277BE"/>
    <w:rsid w:val="0012782A"/>
    <w:rsid w:val="001278D1"/>
    <w:rsid w:val="001278D6"/>
    <w:rsid w:val="001279FC"/>
    <w:rsid w:val="00127A15"/>
    <w:rsid w:val="00127B0E"/>
    <w:rsid w:val="00127DB8"/>
    <w:rsid w:val="00127EDD"/>
    <w:rsid w:val="00127F8F"/>
    <w:rsid w:val="001300A0"/>
    <w:rsid w:val="001300C6"/>
    <w:rsid w:val="001300DA"/>
    <w:rsid w:val="0013011A"/>
    <w:rsid w:val="0013012B"/>
    <w:rsid w:val="0013013C"/>
    <w:rsid w:val="001301A7"/>
    <w:rsid w:val="0013025B"/>
    <w:rsid w:val="001302F7"/>
    <w:rsid w:val="001303E2"/>
    <w:rsid w:val="00130426"/>
    <w:rsid w:val="00130467"/>
    <w:rsid w:val="00130617"/>
    <w:rsid w:val="00130735"/>
    <w:rsid w:val="00130777"/>
    <w:rsid w:val="001308AC"/>
    <w:rsid w:val="001308AD"/>
    <w:rsid w:val="001309CD"/>
    <w:rsid w:val="001309D3"/>
    <w:rsid w:val="00130A95"/>
    <w:rsid w:val="00130B27"/>
    <w:rsid w:val="00130BEB"/>
    <w:rsid w:val="00130C27"/>
    <w:rsid w:val="00130C6C"/>
    <w:rsid w:val="00130D29"/>
    <w:rsid w:val="00130D4E"/>
    <w:rsid w:val="00130E4C"/>
    <w:rsid w:val="00130FE9"/>
    <w:rsid w:val="0013106B"/>
    <w:rsid w:val="001312F0"/>
    <w:rsid w:val="0013132C"/>
    <w:rsid w:val="0013133D"/>
    <w:rsid w:val="00131451"/>
    <w:rsid w:val="00131474"/>
    <w:rsid w:val="001314B3"/>
    <w:rsid w:val="001316C9"/>
    <w:rsid w:val="00131731"/>
    <w:rsid w:val="0013179D"/>
    <w:rsid w:val="00131894"/>
    <w:rsid w:val="001319B7"/>
    <w:rsid w:val="00131A16"/>
    <w:rsid w:val="00131AE9"/>
    <w:rsid w:val="00131AFB"/>
    <w:rsid w:val="00131C4B"/>
    <w:rsid w:val="00131C4C"/>
    <w:rsid w:val="00131CD0"/>
    <w:rsid w:val="00131D9D"/>
    <w:rsid w:val="00131EBE"/>
    <w:rsid w:val="00131F69"/>
    <w:rsid w:val="0013203E"/>
    <w:rsid w:val="00132084"/>
    <w:rsid w:val="0013217F"/>
    <w:rsid w:val="0013219F"/>
    <w:rsid w:val="001321C1"/>
    <w:rsid w:val="001322EB"/>
    <w:rsid w:val="0013238B"/>
    <w:rsid w:val="0013245C"/>
    <w:rsid w:val="00132482"/>
    <w:rsid w:val="00132539"/>
    <w:rsid w:val="001327A5"/>
    <w:rsid w:val="00132939"/>
    <w:rsid w:val="001329E3"/>
    <w:rsid w:val="001329E5"/>
    <w:rsid w:val="00132A5E"/>
    <w:rsid w:val="00132A78"/>
    <w:rsid w:val="00132A9A"/>
    <w:rsid w:val="00132ABA"/>
    <w:rsid w:val="00132CB7"/>
    <w:rsid w:val="00132CD3"/>
    <w:rsid w:val="00132CF6"/>
    <w:rsid w:val="00132D22"/>
    <w:rsid w:val="00132D59"/>
    <w:rsid w:val="00132E2A"/>
    <w:rsid w:val="00132EC9"/>
    <w:rsid w:val="00132EEA"/>
    <w:rsid w:val="00132F1D"/>
    <w:rsid w:val="00132FB1"/>
    <w:rsid w:val="00133371"/>
    <w:rsid w:val="00133530"/>
    <w:rsid w:val="001335CB"/>
    <w:rsid w:val="001336C7"/>
    <w:rsid w:val="00133795"/>
    <w:rsid w:val="001337FB"/>
    <w:rsid w:val="00133831"/>
    <w:rsid w:val="0013387C"/>
    <w:rsid w:val="001338C9"/>
    <w:rsid w:val="001339BE"/>
    <w:rsid w:val="00133AB1"/>
    <w:rsid w:val="00133BF1"/>
    <w:rsid w:val="00133D48"/>
    <w:rsid w:val="00133DB1"/>
    <w:rsid w:val="00133E89"/>
    <w:rsid w:val="00133FDE"/>
    <w:rsid w:val="00134210"/>
    <w:rsid w:val="001343AB"/>
    <w:rsid w:val="0013447C"/>
    <w:rsid w:val="00134491"/>
    <w:rsid w:val="001344CD"/>
    <w:rsid w:val="0013456D"/>
    <w:rsid w:val="001345C5"/>
    <w:rsid w:val="0013465B"/>
    <w:rsid w:val="001346FF"/>
    <w:rsid w:val="0013471A"/>
    <w:rsid w:val="00134743"/>
    <w:rsid w:val="001347C6"/>
    <w:rsid w:val="001347FA"/>
    <w:rsid w:val="00134808"/>
    <w:rsid w:val="00134865"/>
    <w:rsid w:val="00134A26"/>
    <w:rsid w:val="00134B6A"/>
    <w:rsid w:val="00134B7E"/>
    <w:rsid w:val="00134B99"/>
    <w:rsid w:val="00134C0A"/>
    <w:rsid w:val="00134C4D"/>
    <w:rsid w:val="00134E9C"/>
    <w:rsid w:val="00134F6D"/>
    <w:rsid w:val="00135072"/>
    <w:rsid w:val="001350CF"/>
    <w:rsid w:val="001352CE"/>
    <w:rsid w:val="00135386"/>
    <w:rsid w:val="00135427"/>
    <w:rsid w:val="00135511"/>
    <w:rsid w:val="00135588"/>
    <w:rsid w:val="0013580B"/>
    <w:rsid w:val="00135939"/>
    <w:rsid w:val="001359A9"/>
    <w:rsid w:val="00135B81"/>
    <w:rsid w:val="00135E9B"/>
    <w:rsid w:val="00135F29"/>
    <w:rsid w:val="00135F31"/>
    <w:rsid w:val="001360B1"/>
    <w:rsid w:val="001360D0"/>
    <w:rsid w:val="001360FE"/>
    <w:rsid w:val="00136159"/>
    <w:rsid w:val="001361CF"/>
    <w:rsid w:val="001361F2"/>
    <w:rsid w:val="00136281"/>
    <w:rsid w:val="00136328"/>
    <w:rsid w:val="001363DC"/>
    <w:rsid w:val="001364A3"/>
    <w:rsid w:val="001364C7"/>
    <w:rsid w:val="001364EF"/>
    <w:rsid w:val="001365EF"/>
    <w:rsid w:val="0013685A"/>
    <w:rsid w:val="0013687F"/>
    <w:rsid w:val="00136A29"/>
    <w:rsid w:val="00136BDC"/>
    <w:rsid w:val="00136C9E"/>
    <w:rsid w:val="00136D2A"/>
    <w:rsid w:val="00136EC2"/>
    <w:rsid w:val="00136F69"/>
    <w:rsid w:val="00136F7F"/>
    <w:rsid w:val="00137075"/>
    <w:rsid w:val="001372B9"/>
    <w:rsid w:val="00137521"/>
    <w:rsid w:val="00137627"/>
    <w:rsid w:val="0013765F"/>
    <w:rsid w:val="0013779D"/>
    <w:rsid w:val="001378A4"/>
    <w:rsid w:val="001378D9"/>
    <w:rsid w:val="00137B48"/>
    <w:rsid w:val="00137B61"/>
    <w:rsid w:val="00137BE0"/>
    <w:rsid w:val="00137C3F"/>
    <w:rsid w:val="00137C78"/>
    <w:rsid w:val="00137CC7"/>
    <w:rsid w:val="00137CD6"/>
    <w:rsid w:val="00137D58"/>
    <w:rsid w:val="00137E51"/>
    <w:rsid w:val="00137EDE"/>
    <w:rsid w:val="00137FE3"/>
    <w:rsid w:val="00140217"/>
    <w:rsid w:val="00140327"/>
    <w:rsid w:val="00140501"/>
    <w:rsid w:val="001406B8"/>
    <w:rsid w:val="001406E4"/>
    <w:rsid w:val="00140877"/>
    <w:rsid w:val="00140A11"/>
    <w:rsid w:val="00140AF3"/>
    <w:rsid w:val="00140BA1"/>
    <w:rsid w:val="00140BE6"/>
    <w:rsid w:val="00140C43"/>
    <w:rsid w:val="00140CA6"/>
    <w:rsid w:val="00140CA7"/>
    <w:rsid w:val="00140DDB"/>
    <w:rsid w:val="00140E53"/>
    <w:rsid w:val="0014102B"/>
    <w:rsid w:val="00141127"/>
    <w:rsid w:val="001411C4"/>
    <w:rsid w:val="00141271"/>
    <w:rsid w:val="001412FA"/>
    <w:rsid w:val="001413D2"/>
    <w:rsid w:val="00141504"/>
    <w:rsid w:val="001415F3"/>
    <w:rsid w:val="0014164B"/>
    <w:rsid w:val="00141662"/>
    <w:rsid w:val="001418BE"/>
    <w:rsid w:val="001419CA"/>
    <w:rsid w:val="001419E4"/>
    <w:rsid w:val="00141AA2"/>
    <w:rsid w:val="00141AB0"/>
    <w:rsid w:val="00141ADF"/>
    <w:rsid w:val="00141B42"/>
    <w:rsid w:val="00141B69"/>
    <w:rsid w:val="00141C52"/>
    <w:rsid w:val="00141C77"/>
    <w:rsid w:val="00141CFA"/>
    <w:rsid w:val="00141DB3"/>
    <w:rsid w:val="00141E05"/>
    <w:rsid w:val="00141E2D"/>
    <w:rsid w:val="00141EE5"/>
    <w:rsid w:val="00141EFE"/>
    <w:rsid w:val="00142037"/>
    <w:rsid w:val="0014204D"/>
    <w:rsid w:val="00142282"/>
    <w:rsid w:val="00142671"/>
    <w:rsid w:val="00142739"/>
    <w:rsid w:val="0014274C"/>
    <w:rsid w:val="0014277E"/>
    <w:rsid w:val="001428D1"/>
    <w:rsid w:val="001429AD"/>
    <w:rsid w:val="001429B7"/>
    <w:rsid w:val="00142A41"/>
    <w:rsid w:val="00142BB6"/>
    <w:rsid w:val="00142E14"/>
    <w:rsid w:val="00142EB0"/>
    <w:rsid w:val="00142F55"/>
    <w:rsid w:val="00143140"/>
    <w:rsid w:val="00143328"/>
    <w:rsid w:val="001433C8"/>
    <w:rsid w:val="001433E8"/>
    <w:rsid w:val="00143597"/>
    <w:rsid w:val="001435CA"/>
    <w:rsid w:val="00143730"/>
    <w:rsid w:val="00143868"/>
    <w:rsid w:val="001438B8"/>
    <w:rsid w:val="001439A8"/>
    <w:rsid w:val="001439F4"/>
    <w:rsid w:val="00143B1F"/>
    <w:rsid w:val="00143BEF"/>
    <w:rsid w:val="00143D54"/>
    <w:rsid w:val="00143DD9"/>
    <w:rsid w:val="00143DF5"/>
    <w:rsid w:val="00143EA3"/>
    <w:rsid w:val="00144043"/>
    <w:rsid w:val="0014407D"/>
    <w:rsid w:val="001440D6"/>
    <w:rsid w:val="00144116"/>
    <w:rsid w:val="001441E3"/>
    <w:rsid w:val="001442CC"/>
    <w:rsid w:val="0014434B"/>
    <w:rsid w:val="001443F9"/>
    <w:rsid w:val="001444AF"/>
    <w:rsid w:val="0014459C"/>
    <w:rsid w:val="001445FE"/>
    <w:rsid w:val="0014498B"/>
    <w:rsid w:val="00144A6F"/>
    <w:rsid w:val="00144AEF"/>
    <w:rsid w:val="00144B10"/>
    <w:rsid w:val="0014510D"/>
    <w:rsid w:val="0014515D"/>
    <w:rsid w:val="001452A2"/>
    <w:rsid w:val="00145356"/>
    <w:rsid w:val="00145401"/>
    <w:rsid w:val="0014548A"/>
    <w:rsid w:val="001454BD"/>
    <w:rsid w:val="001454D7"/>
    <w:rsid w:val="001458DD"/>
    <w:rsid w:val="0014597A"/>
    <w:rsid w:val="0014599F"/>
    <w:rsid w:val="001459AC"/>
    <w:rsid w:val="00145B26"/>
    <w:rsid w:val="00145B2D"/>
    <w:rsid w:val="00145B2F"/>
    <w:rsid w:val="00145B48"/>
    <w:rsid w:val="00145BEE"/>
    <w:rsid w:val="00145D4D"/>
    <w:rsid w:val="00145D7E"/>
    <w:rsid w:val="00145E75"/>
    <w:rsid w:val="00145EDF"/>
    <w:rsid w:val="00145F8F"/>
    <w:rsid w:val="00145FCA"/>
    <w:rsid w:val="00145FE5"/>
    <w:rsid w:val="00146056"/>
    <w:rsid w:val="001461D9"/>
    <w:rsid w:val="00146291"/>
    <w:rsid w:val="00146292"/>
    <w:rsid w:val="00146327"/>
    <w:rsid w:val="001463AA"/>
    <w:rsid w:val="001463E1"/>
    <w:rsid w:val="0014668B"/>
    <w:rsid w:val="00146836"/>
    <w:rsid w:val="001468BA"/>
    <w:rsid w:val="00146A62"/>
    <w:rsid w:val="00146A9D"/>
    <w:rsid w:val="00146BD8"/>
    <w:rsid w:val="00146C0E"/>
    <w:rsid w:val="00146CDE"/>
    <w:rsid w:val="00146FE5"/>
    <w:rsid w:val="001473B4"/>
    <w:rsid w:val="001475B8"/>
    <w:rsid w:val="001475C4"/>
    <w:rsid w:val="00147609"/>
    <w:rsid w:val="00147681"/>
    <w:rsid w:val="0014771D"/>
    <w:rsid w:val="0014774A"/>
    <w:rsid w:val="00147781"/>
    <w:rsid w:val="001477DD"/>
    <w:rsid w:val="00147852"/>
    <w:rsid w:val="001478D1"/>
    <w:rsid w:val="00147943"/>
    <w:rsid w:val="00147BC3"/>
    <w:rsid w:val="00147BF7"/>
    <w:rsid w:val="00147D51"/>
    <w:rsid w:val="00147D6A"/>
    <w:rsid w:val="00147D9C"/>
    <w:rsid w:val="00150126"/>
    <w:rsid w:val="0015039B"/>
    <w:rsid w:val="00150465"/>
    <w:rsid w:val="0015082A"/>
    <w:rsid w:val="001508BD"/>
    <w:rsid w:val="00150925"/>
    <w:rsid w:val="0015096A"/>
    <w:rsid w:val="00150B1C"/>
    <w:rsid w:val="00150B22"/>
    <w:rsid w:val="00150B51"/>
    <w:rsid w:val="00150D6C"/>
    <w:rsid w:val="00150DB0"/>
    <w:rsid w:val="00150E1C"/>
    <w:rsid w:val="0015100F"/>
    <w:rsid w:val="0015101C"/>
    <w:rsid w:val="0015104C"/>
    <w:rsid w:val="0015139C"/>
    <w:rsid w:val="0015140C"/>
    <w:rsid w:val="00151467"/>
    <w:rsid w:val="001514B9"/>
    <w:rsid w:val="00151505"/>
    <w:rsid w:val="0015152A"/>
    <w:rsid w:val="001515D2"/>
    <w:rsid w:val="00151664"/>
    <w:rsid w:val="0015168C"/>
    <w:rsid w:val="00151741"/>
    <w:rsid w:val="001517E2"/>
    <w:rsid w:val="001517EF"/>
    <w:rsid w:val="001519A6"/>
    <w:rsid w:val="00151A24"/>
    <w:rsid w:val="00151BC1"/>
    <w:rsid w:val="00151BC7"/>
    <w:rsid w:val="00151E4D"/>
    <w:rsid w:val="00152033"/>
    <w:rsid w:val="001522D8"/>
    <w:rsid w:val="00152314"/>
    <w:rsid w:val="00152495"/>
    <w:rsid w:val="00152564"/>
    <w:rsid w:val="001525A6"/>
    <w:rsid w:val="001526C6"/>
    <w:rsid w:val="00152713"/>
    <w:rsid w:val="00152715"/>
    <w:rsid w:val="00152793"/>
    <w:rsid w:val="001527F8"/>
    <w:rsid w:val="001527FE"/>
    <w:rsid w:val="00152877"/>
    <w:rsid w:val="001528B1"/>
    <w:rsid w:val="001529DE"/>
    <w:rsid w:val="001529ED"/>
    <w:rsid w:val="00152C87"/>
    <w:rsid w:val="00152C93"/>
    <w:rsid w:val="00152E65"/>
    <w:rsid w:val="00152EC4"/>
    <w:rsid w:val="0015301D"/>
    <w:rsid w:val="0015305A"/>
    <w:rsid w:val="001530A4"/>
    <w:rsid w:val="00153191"/>
    <w:rsid w:val="0015319D"/>
    <w:rsid w:val="00153288"/>
    <w:rsid w:val="001532F1"/>
    <w:rsid w:val="001533D4"/>
    <w:rsid w:val="0015341D"/>
    <w:rsid w:val="00153812"/>
    <w:rsid w:val="00153880"/>
    <w:rsid w:val="001538D4"/>
    <w:rsid w:val="00153977"/>
    <w:rsid w:val="00153A57"/>
    <w:rsid w:val="00153C29"/>
    <w:rsid w:val="00153C40"/>
    <w:rsid w:val="00153E29"/>
    <w:rsid w:val="00153FB9"/>
    <w:rsid w:val="00153FC0"/>
    <w:rsid w:val="0015401E"/>
    <w:rsid w:val="001540AB"/>
    <w:rsid w:val="001540CD"/>
    <w:rsid w:val="001542A1"/>
    <w:rsid w:val="0015439E"/>
    <w:rsid w:val="001544BD"/>
    <w:rsid w:val="001547C7"/>
    <w:rsid w:val="001548A2"/>
    <w:rsid w:val="001549AD"/>
    <w:rsid w:val="00154B61"/>
    <w:rsid w:val="00154B6D"/>
    <w:rsid w:val="00154C67"/>
    <w:rsid w:val="00154CD3"/>
    <w:rsid w:val="00154D69"/>
    <w:rsid w:val="00154DA6"/>
    <w:rsid w:val="00154E65"/>
    <w:rsid w:val="00154F5C"/>
    <w:rsid w:val="001550B3"/>
    <w:rsid w:val="0015514E"/>
    <w:rsid w:val="00155157"/>
    <w:rsid w:val="0015530D"/>
    <w:rsid w:val="00155327"/>
    <w:rsid w:val="001553B3"/>
    <w:rsid w:val="001554C2"/>
    <w:rsid w:val="001555F7"/>
    <w:rsid w:val="00155612"/>
    <w:rsid w:val="00155871"/>
    <w:rsid w:val="00155879"/>
    <w:rsid w:val="0015594F"/>
    <w:rsid w:val="00155A57"/>
    <w:rsid w:val="00155B76"/>
    <w:rsid w:val="00155CA5"/>
    <w:rsid w:val="00155DA3"/>
    <w:rsid w:val="00155DA4"/>
    <w:rsid w:val="00155ECB"/>
    <w:rsid w:val="00155F89"/>
    <w:rsid w:val="00155FE2"/>
    <w:rsid w:val="0015609E"/>
    <w:rsid w:val="00156257"/>
    <w:rsid w:val="00156355"/>
    <w:rsid w:val="00156450"/>
    <w:rsid w:val="0015653D"/>
    <w:rsid w:val="0015655D"/>
    <w:rsid w:val="001566D8"/>
    <w:rsid w:val="0015698E"/>
    <w:rsid w:val="00156995"/>
    <w:rsid w:val="001569C2"/>
    <w:rsid w:val="001569CA"/>
    <w:rsid w:val="00156A17"/>
    <w:rsid w:val="00156C93"/>
    <w:rsid w:val="00156D37"/>
    <w:rsid w:val="00156DAE"/>
    <w:rsid w:val="00156F8F"/>
    <w:rsid w:val="00156FD1"/>
    <w:rsid w:val="00157090"/>
    <w:rsid w:val="0015711E"/>
    <w:rsid w:val="001572D4"/>
    <w:rsid w:val="001575EC"/>
    <w:rsid w:val="00157611"/>
    <w:rsid w:val="0015767B"/>
    <w:rsid w:val="00157730"/>
    <w:rsid w:val="0015789C"/>
    <w:rsid w:val="001578C4"/>
    <w:rsid w:val="001578CB"/>
    <w:rsid w:val="0015795C"/>
    <w:rsid w:val="00157A22"/>
    <w:rsid w:val="00157A4C"/>
    <w:rsid w:val="00157A6E"/>
    <w:rsid w:val="00157B1A"/>
    <w:rsid w:val="00157DAF"/>
    <w:rsid w:val="00157DBA"/>
    <w:rsid w:val="00157DC3"/>
    <w:rsid w:val="00157E5A"/>
    <w:rsid w:val="00157F5F"/>
    <w:rsid w:val="00157FCF"/>
    <w:rsid w:val="001600A4"/>
    <w:rsid w:val="001601C2"/>
    <w:rsid w:val="0016028D"/>
    <w:rsid w:val="001602C3"/>
    <w:rsid w:val="001603AF"/>
    <w:rsid w:val="0016045B"/>
    <w:rsid w:val="00160496"/>
    <w:rsid w:val="0016073D"/>
    <w:rsid w:val="001607F7"/>
    <w:rsid w:val="001608F6"/>
    <w:rsid w:val="00160AA5"/>
    <w:rsid w:val="00160B12"/>
    <w:rsid w:val="00160D3B"/>
    <w:rsid w:val="00160DAE"/>
    <w:rsid w:val="00160EE0"/>
    <w:rsid w:val="0016101E"/>
    <w:rsid w:val="001610C5"/>
    <w:rsid w:val="0016118B"/>
    <w:rsid w:val="00161206"/>
    <w:rsid w:val="00161289"/>
    <w:rsid w:val="00161476"/>
    <w:rsid w:val="00161806"/>
    <w:rsid w:val="00161885"/>
    <w:rsid w:val="001618DA"/>
    <w:rsid w:val="001618FC"/>
    <w:rsid w:val="00161943"/>
    <w:rsid w:val="00161AFE"/>
    <w:rsid w:val="00161C67"/>
    <w:rsid w:val="00161CB6"/>
    <w:rsid w:val="00161D85"/>
    <w:rsid w:val="00161F7A"/>
    <w:rsid w:val="00161FA8"/>
    <w:rsid w:val="00161FB0"/>
    <w:rsid w:val="001621A8"/>
    <w:rsid w:val="0016226D"/>
    <w:rsid w:val="00162312"/>
    <w:rsid w:val="00162477"/>
    <w:rsid w:val="00162589"/>
    <w:rsid w:val="001625C5"/>
    <w:rsid w:val="0016278A"/>
    <w:rsid w:val="00162AC7"/>
    <w:rsid w:val="00162C76"/>
    <w:rsid w:val="00162D75"/>
    <w:rsid w:val="00162DCE"/>
    <w:rsid w:val="0016302C"/>
    <w:rsid w:val="00163127"/>
    <w:rsid w:val="001631F0"/>
    <w:rsid w:val="00163259"/>
    <w:rsid w:val="001633BF"/>
    <w:rsid w:val="001633CF"/>
    <w:rsid w:val="0016345D"/>
    <w:rsid w:val="00163568"/>
    <w:rsid w:val="0016358A"/>
    <w:rsid w:val="001635AC"/>
    <w:rsid w:val="001635EC"/>
    <w:rsid w:val="001636FD"/>
    <w:rsid w:val="00163700"/>
    <w:rsid w:val="0016371C"/>
    <w:rsid w:val="00163783"/>
    <w:rsid w:val="0016380C"/>
    <w:rsid w:val="00163925"/>
    <w:rsid w:val="00163987"/>
    <w:rsid w:val="00163A3B"/>
    <w:rsid w:val="00163AD8"/>
    <w:rsid w:val="00163DE9"/>
    <w:rsid w:val="00163E61"/>
    <w:rsid w:val="0016400A"/>
    <w:rsid w:val="0016406F"/>
    <w:rsid w:val="001640D0"/>
    <w:rsid w:val="0016413B"/>
    <w:rsid w:val="00164395"/>
    <w:rsid w:val="0016441E"/>
    <w:rsid w:val="0016498C"/>
    <w:rsid w:val="00164AAC"/>
    <w:rsid w:val="00164BC6"/>
    <w:rsid w:val="00164BCD"/>
    <w:rsid w:val="00164C51"/>
    <w:rsid w:val="00164E21"/>
    <w:rsid w:val="00164E22"/>
    <w:rsid w:val="00164E6C"/>
    <w:rsid w:val="00164F01"/>
    <w:rsid w:val="001651D7"/>
    <w:rsid w:val="0016528C"/>
    <w:rsid w:val="00165333"/>
    <w:rsid w:val="001653E0"/>
    <w:rsid w:val="00165582"/>
    <w:rsid w:val="00165621"/>
    <w:rsid w:val="00165698"/>
    <w:rsid w:val="0016572A"/>
    <w:rsid w:val="0016578E"/>
    <w:rsid w:val="001657C9"/>
    <w:rsid w:val="00165858"/>
    <w:rsid w:val="001658A5"/>
    <w:rsid w:val="00165966"/>
    <w:rsid w:val="00165BEC"/>
    <w:rsid w:val="00165D2E"/>
    <w:rsid w:val="00165D30"/>
    <w:rsid w:val="00165D73"/>
    <w:rsid w:val="00165FB7"/>
    <w:rsid w:val="001660BE"/>
    <w:rsid w:val="00166202"/>
    <w:rsid w:val="001662B6"/>
    <w:rsid w:val="0016638E"/>
    <w:rsid w:val="00166422"/>
    <w:rsid w:val="00166457"/>
    <w:rsid w:val="00166530"/>
    <w:rsid w:val="0016692C"/>
    <w:rsid w:val="00166C74"/>
    <w:rsid w:val="00166CDA"/>
    <w:rsid w:val="00166D4B"/>
    <w:rsid w:val="00166D54"/>
    <w:rsid w:val="00166E4E"/>
    <w:rsid w:val="001670EB"/>
    <w:rsid w:val="001670F8"/>
    <w:rsid w:val="00167136"/>
    <w:rsid w:val="0016738B"/>
    <w:rsid w:val="0016744D"/>
    <w:rsid w:val="00167625"/>
    <w:rsid w:val="0016763A"/>
    <w:rsid w:val="0016765B"/>
    <w:rsid w:val="00167722"/>
    <w:rsid w:val="0016786A"/>
    <w:rsid w:val="001678EC"/>
    <w:rsid w:val="00167900"/>
    <w:rsid w:val="00167983"/>
    <w:rsid w:val="001679CA"/>
    <w:rsid w:val="00167B50"/>
    <w:rsid w:val="00167C84"/>
    <w:rsid w:val="00167E78"/>
    <w:rsid w:val="001700B2"/>
    <w:rsid w:val="001701C8"/>
    <w:rsid w:val="0017023D"/>
    <w:rsid w:val="0017027B"/>
    <w:rsid w:val="001702A2"/>
    <w:rsid w:val="001702AA"/>
    <w:rsid w:val="001702CE"/>
    <w:rsid w:val="00170371"/>
    <w:rsid w:val="00170375"/>
    <w:rsid w:val="00170392"/>
    <w:rsid w:val="00170428"/>
    <w:rsid w:val="00170483"/>
    <w:rsid w:val="001704B2"/>
    <w:rsid w:val="001704DC"/>
    <w:rsid w:val="001705EE"/>
    <w:rsid w:val="001705FA"/>
    <w:rsid w:val="001705FB"/>
    <w:rsid w:val="0017061D"/>
    <w:rsid w:val="001706A1"/>
    <w:rsid w:val="0017078D"/>
    <w:rsid w:val="001707D9"/>
    <w:rsid w:val="00170C21"/>
    <w:rsid w:val="00170DA8"/>
    <w:rsid w:val="00170DCD"/>
    <w:rsid w:val="00170F0A"/>
    <w:rsid w:val="00170FD0"/>
    <w:rsid w:val="0017105D"/>
    <w:rsid w:val="0017127F"/>
    <w:rsid w:val="001712E7"/>
    <w:rsid w:val="0017134A"/>
    <w:rsid w:val="0017145A"/>
    <w:rsid w:val="001715F1"/>
    <w:rsid w:val="00171838"/>
    <w:rsid w:val="00171863"/>
    <w:rsid w:val="00171864"/>
    <w:rsid w:val="00171906"/>
    <w:rsid w:val="00171B68"/>
    <w:rsid w:val="00171B6F"/>
    <w:rsid w:val="00171D42"/>
    <w:rsid w:val="00171EF7"/>
    <w:rsid w:val="00171F53"/>
    <w:rsid w:val="0017208F"/>
    <w:rsid w:val="001720EB"/>
    <w:rsid w:val="0017218D"/>
    <w:rsid w:val="001722E3"/>
    <w:rsid w:val="001723CF"/>
    <w:rsid w:val="00172450"/>
    <w:rsid w:val="00172570"/>
    <w:rsid w:val="0017257F"/>
    <w:rsid w:val="0017259B"/>
    <w:rsid w:val="0017264F"/>
    <w:rsid w:val="00172745"/>
    <w:rsid w:val="00172855"/>
    <w:rsid w:val="00172987"/>
    <w:rsid w:val="00172A3F"/>
    <w:rsid w:val="00172A6E"/>
    <w:rsid w:val="00172BBC"/>
    <w:rsid w:val="00172C12"/>
    <w:rsid w:val="00172CA7"/>
    <w:rsid w:val="00172CC8"/>
    <w:rsid w:val="00172EAD"/>
    <w:rsid w:val="00172EF3"/>
    <w:rsid w:val="00172F6B"/>
    <w:rsid w:val="0017315C"/>
    <w:rsid w:val="00173168"/>
    <w:rsid w:val="0017327E"/>
    <w:rsid w:val="00173464"/>
    <w:rsid w:val="0017355F"/>
    <w:rsid w:val="0017370F"/>
    <w:rsid w:val="00173763"/>
    <w:rsid w:val="001737DE"/>
    <w:rsid w:val="00173804"/>
    <w:rsid w:val="00173839"/>
    <w:rsid w:val="00173884"/>
    <w:rsid w:val="0017394E"/>
    <w:rsid w:val="00173970"/>
    <w:rsid w:val="00173995"/>
    <w:rsid w:val="00173AB2"/>
    <w:rsid w:val="00173B2F"/>
    <w:rsid w:val="00173C32"/>
    <w:rsid w:val="00173C42"/>
    <w:rsid w:val="00173E14"/>
    <w:rsid w:val="00173E15"/>
    <w:rsid w:val="00173FB1"/>
    <w:rsid w:val="00174082"/>
    <w:rsid w:val="0017414E"/>
    <w:rsid w:val="0017417A"/>
    <w:rsid w:val="0017418A"/>
    <w:rsid w:val="001741BA"/>
    <w:rsid w:val="0017422B"/>
    <w:rsid w:val="0017423F"/>
    <w:rsid w:val="001742DD"/>
    <w:rsid w:val="001742F1"/>
    <w:rsid w:val="0017434E"/>
    <w:rsid w:val="0017436D"/>
    <w:rsid w:val="0017439B"/>
    <w:rsid w:val="00174583"/>
    <w:rsid w:val="001745A8"/>
    <w:rsid w:val="00174638"/>
    <w:rsid w:val="00174741"/>
    <w:rsid w:val="001747E5"/>
    <w:rsid w:val="00174843"/>
    <w:rsid w:val="0017489E"/>
    <w:rsid w:val="001748E8"/>
    <w:rsid w:val="00174968"/>
    <w:rsid w:val="00174A25"/>
    <w:rsid w:val="00174B28"/>
    <w:rsid w:val="00174BA2"/>
    <w:rsid w:val="00174BCE"/>
    <w:rsid w:val="00174BEE"/>
    <w:rsid w:val="00174C4E"/>
    <w:rsid w:val="00174EB2"/>
    <w:rsid w:val="00174EF0"/>
    <w:rsid w:val="00175142"/>
    <w:rsid w:val="00175146"/>
    <w:rsid w:val="0017517D"/>
    <w:rsid w:val="0017534F"/>
    <w:rsid w:val="00175462"/>
    <w:rsid w:val="001755BE"/>
    <w:rsid w:val="00175607"/>
    <w:rsid w:val="001756C7"/>
    <w:rsid w:val="001756FA"/>
    <w:rsid w:val="00175723"/>
    <w:rsid w:val="00175750"/>
    <w:rsid w:val="00175779"/>
    <w:rsid w:val="0017588B"/>
    <w:rsid w:val="001758E0"/>
    <w:rsid w:val="00175986"/>
    <w:rsid w:val="00175AAD"/>
    <w:rsid w:val="00175B10"/>
    <w:rsid w:val="00175C64"/>
    <w:rsid w:val="00175C6A"/>
    <w:rsid w:val="00175E27"/>
    <w:rsid w:val="00175E9A"/>
    <w:rsid w:val="00175F9B"/>
    <w:rsid w:val="00176158"/>
    <w:rsid w:val="00176305"/>
    <w:rsid w:val="0017634C"/>
    <w:rsid w:val="00176371"/>
    <w:rsid w:val="0017637D"/>
    <w:rsid w:val="0017637F"/>
    <w:rsid w:val="001763AB"/>
    <w:rsid w:val="001764A2"/>
    <w:rsid w:val="0017653E"/>
    <w:rsid w:val="00176540"/>
    <w:rsid w:val="001765B5"/>
    <w:rsid w:val="0017674D"/>
    <w:rsid w:val="001767FC"/>
    <w:rsid w:val="0017689D"/>
    <w:rsid w:val="0017691C"/>
    <w:rsid w:val="00176986"/>
    <w:rsid w:val="0017698D"/>
    <w:rsid w:val="00176ABC"/>
    <w:rsid w:val="00176B11"/>
    <w:rsid w:val="00176B15"/>
    <w:rsid w:val="00176B25"/>
    <w:rsid w:val="00176B94"/>
    <w:rsid w:val="00176D8E"/>
    <w:rsid w:val="00176D99"/>
    <w:rsid w:val="00176DFC"/>
    <w:rsid w:val="00176E42"/>
    <w:rsid w:val="00176EAF"/>
    <w:rsid w:val="00176F16"/>
    <w:rsid w:val="00176F26"/>
    <w:rsid w:val="00176F98"/>
    <w:rsid w:val="00177169"/>
    <w:rsid w:val="00177212"/>
    <w:rsid w:val="001772F5"/>
    <w:rsid w:val="0017738B"/>
    <w:rsid w:val="001773D8"/>
    <w:rsid w:val="00177581"/>
    <w:rsid w:val="00177647"/>
    <w:rsid w:val="001776A3"/>
    <w:rsid w:val="001776C3"/>
    <w:rsid w:val="0017778B"/>
    <w:rsid w:val="0017788F"/>
    <w:rsid w:val="00177A78"/>
    <w:rsid w:val="00177B30"/>
    <w:rsid w:val="00177B59"/>
    <w:rsid w:val="00177BC3"/>
    <w:rsid w:val="00177C0C"/>
    <w:rsid w:val="00177D5E"/>
    <w:rsid w:val="00180095"/>
    <w:rsid w:val="001801DD"/>
    <w:rsid w:val="00180289"/>
    <w:rsid w:val="001803CE"/>
    <w:rsid w:val="001803FB"/>
    <w:rsid w:val="001804DE"/>
    <w:rsid w:val="00180565"/>
    <w:rsid w:val="00180586"/>
    <w:rsid w:val="00180592"/>
    <w:rsid w:val="001805AF"/>
    <w:rsid w:val="00180758"/>
    <w:rsid w:val="0018088E"/>
    <w:rsid w:val="0018089F"/>
    <w:rsid w:val="001808B3"/>
    <w:rsid w:val="00180A88"/>
    <w:rsid w:val="00180CB9"/>
    <w:rsid w:val="00180CEE"/>
    <w:rsid w:val="00180DB9"/>
    <w:rsid w:val="00180E3C"/>
    <w:rsid w:val="00181222"/>
    <w:rsid w:val="0018129A"/>
    <w:rsid w:val="001813D1"/>
    <w:rsid w:val="001814ED"/>
    <w:rsid w:val="00181602"/>
    <w:rsid w:val="00181679"/>
    <w:rsid w:val="00181716"/>
    <w:rsid w:val="0018174A"/>
    <w:rsid w:val="001817F9"/>
    <w:rsid w:val="00181842"/>
    <w:rsid w:val="00181867"/>
    <w:rsid w:val="001818DE"/>
    <w:rsid w:val="001818F5"/>
    <w:rsid w:val="00181960"/>
    <w:rsid w:val="001819F1"/>
    <w:rsid w:val="001819FA"/>
    <w:rsid w:val="00181B37"/>
    <w:rsid w:val="00181E66"/>
    <w:rsid w:val="00181FA4"/>
    <w:rsid w:val="00182015"/>
    <w:rsid w:val="001820DA"/>
    <w:rsid w:val="001820F5"/>
    <w:rsid w:val="00182255"/>
    <w:rsid w:val="001823E3"/>
    <w:rsid w:val="001823E8"/>
    <w:rsid w:val="00182517"/>
    <w:rsid w:val="001826E6"/>
    <w:rsid w:val="001827AD"/>
    <w:rsid w:val="001827FE"/>
    <w:rsid w:val="00182886"/>
    <w:rsid w:val="001828C8"/>
    <w:rsid w:val="001829C8"/>
    <w:rsid w:val="00182BE4"/>
    <w:rsid w:val="00182DD8"/>
    <w:rsid w:val="00182E15"/>
    <w:rsid w:val="00182FFD"/>
    <w:rsid w:val="00183116"/>
    <w:rsid w:val="00183247"/>
    <w:rsid w:val="0018324D"/>
    <w:rsid w:val="001832F2"/>
    <w:rsid w:val="00183511"/>
    <w:rsid w:val="00183640"/>
    <w:rsid w:val="00183744"/>
    <w:rsid w:val="00183790"/>
    <w:rsid w:val="001837BF"/>
    <w:rsid w:val="0018381E"/>
    <w:rsid w:val="00183912"/>
    <w:rsid w:val="001839CF"/>
    <w:rsid w:val="001839E9"/>
    <w:rsid w:val="00183B0C"/>
    <w:rsid w:val="00183BEF"/>
    <w:rsid w:val="00183C7C"/>
    <w:rsid w:val="00183CB7"/>
    <w:rsid w:val="00183CDB"/>
    <w:rsid w:val="00183EF3"/>
    <w:rsid w:val="00183F0D"/>
    <w:rsid w:val="00184079"/>
    <w:rsid w:val="001840C8"/>
    <w:rsid w:val="001841C1"/>
    <w:rsid w:val="001841F5"/>
    <w:rsid w:val="001841FD"/>
    <w:rsid w:val="001843A1"/>
    <w:rsid w:val="0018449F"/>
    <w:rsid w:val="001844C0"/>
    <w:rsid w:val="00184577"/>
    <w:rsid w:val="0018466B"/>
    <w:rsid w:val="0018483C"/>
    <w:rsid w:val="00184843"/>
    <w:rsid w:val="00184BEA"/>
    <w:rsid w:val="00184D17"/>
    <w:rsid w:val="00184DCA"/>
    <w:rsid w:val="00184E99"/>
    <w:rsid w:val="00184F6A"/>
    <w:rsid w:val="00184F8C"/>
    <w:rsid w:val="00185163"/>
    <w:rsid w:val="001851B9"/>
    <w:rsid w:val="00185254"/>
    <w:rsid w:val="001852AD"/>
    <w:rsid w:val="00185319"/>
    <w:rsid w:val="0018531B"/>
    <w:rsid w:val="00185374"/>
    <w:rsid w:val="001853A2"/>
    <w:rsid w:val="0018544F"/>
    <w:rsid w:val="001855A8"/>
    <w:rsid w:val="00185647"/>
    <w:rsid w:val="00185760"/>
    <w:rsid w:val="001857CC"/>
    <w:rsid w:val="0018592E"/>
    <w:rsid w:val="00185A37"/>
    <w:rsid w:val="00185A57"/>
    <w:rsid w:val="00185A6A"/>
    <w:rsid w:val="00185AB0"/>
    <w:rsid w:val="00185AB1"/>
    <w:rsid w:val="00185B3C"/>
    <w:rsid w:val="00185BC9"/>
    <w:rsid w:val="00185E14"/>
    <w:rsid w:val="00185E55"/>
    <w:rsid w:val="00185F62"/>
    <w:rsid w:val="00185FC7"/>
    <w:rsid w:val="00186130"/>
    <w:rsid w:val="001863E9"/>
    <w:rsid w:val="001864BF"/>
    <w:rsid w:val="0018672A"/>
    <w:rsid w:val="001867AE"/>
    <w:rsid w:val="0018687B"/>
    <w:rsid w:val="001868C2"/>
    <w:rsid w:val="00186938"/>
    <w:rsid w:val="00186B66"/>
    <w:rsid w:val="00186CF1"/>
    <w:rsid w:val="00186ED5"/>
    <w:rsid w:val="00186FA7"/>
    <w:rsid w:val="001871B7"/>
    <w:rsid w:val="001871C9"/>
    <w:rsid w:val="001871E9"/>
    <w:rsid w:val="001872CD"/>
    <w:rsid w:val="0018745C"/>
    <w:rsid w:val="00187789"/>
    <w:rsid w:val="00187814"/>
    <w:rsid w:val="0018783E"/>
    <w:rsid w:val="001878EF"/>
    <w:rsid w:val="00187916"/>
    <w:rsid w:val="00187931"/>
    <w:rsid w:val="0018794F"/>
    <w:rsid w:val="001879DF"/>
    <w:rsid w:val="00187B92"/>
    <w:rsid w:val="00187D36"/>
    <w:rsid w:val="00187E2B"/>
    <w:rsid w:val="00187EB9"/>
    <w:rsid w:val="00187F4F"/>
    <w:rsid w:val="00187FAF"/>
    <w:rsid w:val="00190057"/>
    <w:rsid w:val="001900FD"/>
    <w:rsid w:val="0019014C"/>
    <w:rsid w:val="001903FD"/>
    <w:rsid w:val="0019055B"/>
    <w:rsid w:val="001905F4"/>
    <w:rsid w:val="0019060E"/>
    <w:rsid w:val="00190626"/>
    <w:rsid w:val="00190C1F"/>
    <w:rsid w:val="00190E2B"/>
    <w:rsid w:val="00190F26"/>
    <w:rsid w:val="00190FD6"/>
    <w:rsid w:val="00191063"/>
    <w:rsid w:val="00191111"/>
    <w:rsid w:val="001911BC"/>
    <w:rsid w:val="001912DC"/>
    <w:rsid w:val="001913C6"/>
    <w:rsid w:val="00191404"/>
    <w:rsid w:val="00191497"/>
    <w:rsid w:val="001914F2"/>
    <w:rsid w:val="0019159A"/>
    <w:rsid w:val="001915A2"/>
    <w:rsid w:val="00191693"/>
    <w:rsid w:val="001916AF"/>
    <w:rsid w:val="001916F5"/>
    <w:rsid w:val="0019182B"/>
    <w:rsid w:val="001918DD"/>
    <w:rsid w:val="00191968"/>
    <w:rsid w:val="00191981"/>
    <w:rsid w:val="00191A69"/>
    <w:rsid w:val="00191ACB"/>
    <w:rsid w:val="00191AFE"/>
    <w:rsid w:val="00191B23"/>
    <w:rsid w:val="00191D3F"/>
    <w:rsid w:val="00191D6B"/>
    <w:rsid w:val="00191D7A"/>
    <w:rsid w:val="00191E8D"/>
    <w:rsid w:val="00191EE6"/>
    <w:rsid w:val="00191F11"/>
    <w:rsid w:val="00191FAC"/>
    <w:rsid w:val="001921C5"/>
    <w:rsid w:val="0019224E"/>
    <w:rsid w:val="0019238F"/>
    <w:rsid w:val="001924B2"/>
    <w:rsid w:val="00192556"/>
    <w:rsid w:val="00192689"/>
    <w:rsid w:val="00192728"/>
    <w:rsid w:val="00192753"/>
    <w:rsid w:val="0019278A"/>
    <w:rsid w:val="001927BA"/>
    <w:rsid w:val="00192896"/>
    <w:rsid w:val="001928F9"/>
    <w:rsid w:val="001929CA"/>
    <w:rsid w:val="00192B65"/>
    <w:rsid w:val="00192FC0"/>
    <w:rsid w:val="00193342"/>
    <w:rsid w:val="001933CE"/>
    <w:rsid w:val="001935A8"/>
    <w:rsid w:val="001935B0"/>
    <w:rsid w:val="0019363C"/>
    <w:rsid w:val="001936FD"/>
    <w:rsid w:val="00193745"/>
    <w:rsid w:val="0019379C"/>
    <w:rsid w:val="0019390D"/>
    <w:rsid w:val="00193A29"/>
    <w:rsid w:val="00193A3D"/>
    <w:rsid w:val="00193AB8"/>
    <w:rsid w:val="00193BDA"/>
    <w:rsid w:val="00193D4B"/>
    <w:rsid w:val="00193DE4"/>
    <w:rsid w:val="00193EE8"/>
    <w:rsid w:val="00193FA0"/>
    <w:rsid w:val="00194067"/>
    <w:rsid w:val="00194095"/>
    <w:rsid w:val="00194163"/>
    <w:rsid w:val="00194229"/>
    <w:rsid w:val="00194356"/>
    <w:rsid w:val="0019441A"/>
    <w:rsid w:val="0019453A"/>
    <w:rsid w:val="001945CA"/>
    <w:rsid w:val="001946C9"/>
    <w:rsid w:val="0019488E"/>
    <w:rsid w:val="00194946"/>
    <w:rsid w:val="001949F9"/>
    <w:rsid w:val="00194B92"/>
    <w:rsid w:val="00194C70"/>
    <w:rsid w:val="00194C73"/>
    <w:rsid w:val="00194D05"/>
    <w:rsid w:val="00194DD8"/>
    <w:rsid w:val="00194F71"/>
    <w:rsid w:val="00195164"/>
    <w:rsid w:val="001951D2"/>
    <w:rsid w:val="00195290"/>
    <w:rsid w:val="00195293"/>
    <w:rsid w:val="001955D4"/>
    <w:rsid w:val="001955EE"/>
    <w:rsid w:val="00195665"/>
    <w:rsid w:val="00195679"/>
    <w:rsid w:val="001957D3"/>
    <w:rsid w:val="00195891"/>
    <w:rsid w:val="001958FF"/>
    <w:rsid w:val="00195A37"/>
    <w:rsid w:val="00195AFC"/>
    <w:rsid w:val="00195C0B"/>
    <w:rsid w:val="00195C53"/>
    <w:rsid w:val="00195CA1"/>
    <w:rsid w:val="00195F81"/>
    <w:rsid w:val="0019646E"/>
    <w:rsid w:val="001964A9"/>
    <w:rsid w:val="00196511"/>
    <w:rsid w:val="00196541"/>
    <w:rsid w:val="0019654C"/>
    <w:rsid w:val="00196671"/>
    <w:rsid w:val="001966E5"/>
    <w:rsid w:val="00196854"/>
    <w:rsid w:val="00196945"/>
    <w:rsid w:val="00196B2D"/>
    <w:rsid w:val="00196C8E"/>
    <w:rsid w:val="00196CAC"/>
    <w:rsid w:val="00196E4C"/>
    <w:rsid w:val="00196F43"/>
    <w:rsid w:val="00196F55"/>
    <w:rsid w:val="0019701B"/>
    <w:rsid w:val="00197125"/>
    <w:rsid w:val="00197133"/>
    <w:rsid w:val="00197360"/>
    <w:rsid w:val="001974ED"/>
    <w:rsid w:val="00197520"/>
    <w:rsid w:val="0019754E"/>
    <w:rsid w:val="00197773"/>
    <w:rsid w:val="0019783C"/>
    <w:rsid w:val="00197A9C"/>
    <w:rsid w:val="00197B85"/>
    <w:rsid w:val="00197D43"/>
    <w:rsid w:val="00197DD0"/>
    <w:rsid w:val="00197E6D"/>
    <w:rsid w:val="00197FC4"/>
    <w:rsid w:val="001A00CD"/>
    <w:rsid w:val="001A0372"/>
    <w:rsid w:val="001A0624"/>
    <w:rsid w:val="001A0671"/>
    <w:rsid w:val="001A06DF"/>
    <w:rsid w:val="001A078D"/>
    <w:rsid w:val="001A07C0"/>
    <w:rsid w:val="001A07F6"/>
    <w:rsid w:val="001A0862"/>
    <w:rsid w:val="001A09C5"/>
    <w:rsid w:val="001A09EC"/>
    <w:rsid w:val="001A0B38"/>
    <w:rsid w:val="001A0ED1"/>
    <w:rsid w:val="001A0F93"/>
    <w:rsid w:val="001A106C"/>
    <w:rsid w:val="001A1126"/>
    <w:rsid w:val="001A114F"/>
    <w:rsid w:val="001A1176"/>
    <w:rsid w:val="001A121A"/>
    <w:rsid w:val="001A122E"/>
    <w:rsid w:val="001A123E"/>
    <w:rsid w:val="001A1528"/>
    <w:rsid w:val="001A157F"/>
    <w:rsid w:val="001A158D"/>
    <w:rsid w:val="001A15A5"/>
    <w:rsid w:val="001A15CB"/>
    <w:rsid w:val="001A1623"/>
    <w:rsid w:val="001A1634"/>
    <w:rsid w:val="001A172F"/>
    <w:rsid w:val="001A1743"/>
    <w:rsid w:val="001A1942"/>
    <w:rsid w:val="001A1A11"/>
    <w:rsid w:val="001A1A9D"/>
    <w:rsid w:val="001A1D41"/>
    <w:rsid w:val="001A1EE4"/>
    <w:rsid w:val="001A1F61"/>
    <w:rsid w:val="001A1F98"/>
    <w:rsid w:val="001A1FBB"/>
    <w:rsid w:val="001A2153"/>
    <w:rsid w:val="001A2170"/>
    <w:rsid w:val="001A2557"/>
    <w:rsid w:val="001A2786"/>
    <w:rsid w:val="001A2844"/>
    <w:rsid w:val="001A285F"/>
    <w:rsid w:val="001A2928"/>
    <w:rsid w:val="001A29D8"/>
    <w:rsid w:val="001A2C8B"/>
    <w:rsid w:val="001A30CD"/>
    <w:rsid w:val="001A311D"/>
    <w:rsid w:val="001A3279"/>
    <w:rsid w:val="001A32AC"/>
    <w:rsid w:val="001A32E2"/>
    <w:rsid w:val="001A32F2"/>
    <w:rsid w:val="001A3358"/>
    <w:rsid w:val="001A3477"/>
    <w:rsid w:val="001A34CB"/>
    <w:rsid w:val="001A34F9"/>
    <w:rsid w:val="001A37A4"/>
    <w:rsid w:val="001A3887"/>
    <w:rsid w:val="001A3908"/>
    <w:rsid w:val="001A3B8B"/>
    <w:rsid w:val="001A3BAE"/>
    <w:rsid w:val="001A3CED"/>
    <w:rsid w:val="001A3DD1"/>
    <w:rsid w:val="001A3E5B"/>
    <w:rsid w:val="001A3EB0"/>
    <w:rsid w:val="001A3FAA"/>
    <w:rsid w:val="001A404A"/>
    <w:rsid w:val="001A4067"/>
    <w:rsid w:val="001A40BB"/>
    <w:rsid w:val="001A43EF"/>
    <w:rsid w:val="001A4449"/>
    <w:rsid w:val="001A4466"/>
    <w:rsid w:val="001A44AE"/>
    <w:rsid w:val="001A44E4"/>
    <w:rsid w:val="001A45CA"/>
    <w:rsid w:val="001A45DF"/>
    <w:rsid w:val="001A4643"/>
    <w:rsid w:val="001A4717"/>
    <w:rsid w:val="001A4756"/>
    <w:rsid w:val="001A4A27"/>
    <w:rsid w:val="001A4A89"/>
    <w:rsid w:val="001A4ACA"/>
    <w:rsid w:val="001A4C10"/>
    <w:rsid w:val="001A4C88"/>
    <w:rsid w:val="001A4CFF"/>
    <w:rsid w:val="001A4D79"/>
    <w:rsid w:val="001A4EA1"/>
    <w:rsid w:val="001A504A"/>
    <w:rsid w:val="001A50DE"/>
    <w:rsid w:val="001A50F7"/>
    <w:rsid w:val="001A5226"/>
    <w:rsid w:val="001A5315"/>
    <w:rsid w:val="001A533E"/>
    <w:rsid w:val="001A535F"/>
    <w:rsid w:val="001A53AE"/>
    <w:rsid w:val="001A53D6"/>
    <w:rsid w:val="001A54B5"/>
    <w:rsid w:val="001A554A"/>
    <w:rsid w:val="001A55C0"/>
    <w:rsid w:val="001A564A"/>
    <w:rsid w:val="001A57B6"/>
    <w:rsid w:val="001A57FE"/>
    <w:rsid w:val="001A58D4"/>
    <w:rsid w:val="001A59F9"/>
    <w:rsid w:val="001A5B64"/>
    <w:rsid w:val="001A5B79"/>
    <w:rsid w:val="001A5C44"/>
    <w:rsid w:val="001A5C66"/>
    <w:rsid w:val="001A5CFD"/>
    <w:rsid w:val="001A5ED6"/>
    <w:rsid w:val="001A5EFC"/>
    <w:rsid w:val="001A60F7"/>
    <w:rsid w:val="001A60F8"/>
    <w:rsid w:val="001A6160"/>
    <w:rsid w:val="001A61FC"/>
    <w:rsid w:val="001A6227"/>
    <w:rsid w:val="001A635A"/>
    <w:rsid w:val="001A63F5"/>
    <w:rsid w:val="001A643D"/>
    <w:rsid w:val="001A663C"/>
    <w:rsid w:val="001A6678"/>
    <w:rsid w:val="001A6742"/>
    <w:rsid w:val="001A6745"/>
    <w:rsid w:val="001A6850"/>
    <w:rsid w:val="001A697B"/>
    <w:rsid w:val="001A69AA"/>
    <w:rsid w:val="001A69E5"/>
    <w:rsid w:val="001A6A09"/>
    <w:rsid w:val="001A6A9C"/>
    <w:rsid w:val="001A6C24"/>
    <w:rsid w:val="001A6CF7"/>
    <w:rsid w:val="001A6DA3"/>
    <w:rsid w:val="001A6F30"/>
    <w:rsid w:val="001A6F37"/>
    <w:rsid w:val="001A6FB4"/>
    <w:rsid w:val="001A7088"/>
    <w:rsid w:val="001A70D0"/>
    <w:rsid w:val="001A7125"/>
    <w:rsid w:val="001A73E7"/>
    <w:rsid w:val="001A7435"/>
    <w:rsid w:val="001A75F9"/>
    <w:rsid w:val="001A775B"/>
    <w:rsid w:val="001A778C"/>
    <w:rsid w:val="001A77AA"/>
    <w:rsid w:val="001A77C6"/>
    <w:rsid w:val="001A78C1"/>
    <w:rsid w:val="001A7CB9"/>
    <w:rsid w:val="001A7DD5"/>
    <w:rsid w:val="001A7E96"/>
    <w:rsid w:val="001A7FE4"/>
    <w:rsid w:val="001B024D"/>
    <w:rsid w:val="001B0297"/>
    <w:rsid w:val="001B02A2"/>
    <w:rsid w:val="001B06F5"/>
    <w:rsid w:val="001B0795"/>
    <w:rsid w:val="001B087C"/>
    <w:rsid w:val="001B0ACD"/>
    <w:rsid w:val="001B0ADC"/>
    <w:rsid w:val="001B0B83"/>
    <w:rsid w:val="001B0C94"/>
    <w:rsid w:val="001B0CAB"/>
    <w:rsid w:val="001B0D9A"/>
    <w:rsid w:val="001B0EB8"/>
    <w:rsid w:val="001B10E2"/>
    <w:rsid w:val="001B1152"/>
    <w:rsid w:val="001B1248"/>
    <w:rsid w:val="001B1253"/>
    <w:rsid w:val="001B1316"/>
    <w:rsid w:val="001B1446"/>
    <w:rsid w:val="001B1673"/>
    <w:rsid w:val="001B1710"/>
    <w:rsid w:val="001B1718"/>
    <w:rsid w:val="001B17A9"/>
    <w:rsid w:val="001B18E7"/>
    <w:rsid w:val="001B191D"/>
    <w:rsid w:val="001B1A10"/>
    <w:rsid w:val="001B1A39"/>
    <w:rsid w:val="001B1A3F"/>
    <w:rsid w:val="001B1E03"/>
    <w:rsid w:val="001B1E25"/>
    <w:rsid w:val="001B1E56"/>
    <w:rsid w:val="001B1E64"/>
    <w:rsid w:val="001B1ECD"/>
    <w:rsid w:val="001B1FA7"/>
    <w:rsid w:val="001B2115"/>
    <w:rsid w:val="001B216A"/>
    <w:rsid w:val="001B21EB"/>
    <w:rsid w:val="001B21F2"/>
    <w:rsid w:val="001B2224"/>
    <w:rsid w:val="001B22D1"/>
    <w:rsid w:val="001B237F"/>
    <w:rsid w:val="001B2595"/>
    <w:rsid w:val="001B25F9"/>
    <w:rsid w:val="001B2883"/>
    <w:rsid w:val="001B2AC8"/>
    <w:rsid w:val="001B2B4A"/>
    <w:rsid w:val="001B2C24"/>
    <w:rsid w:val="001B2C5D"/>
    <w:rsid w:val="001B2CB8"/>
    <w:rsid w:val="001B2D59"/>
    <w:rsid w:val="001B2F44"/>
    <w:rsid w:val="001B307C"/>
    <w:rsid w:val="001B309F"/>
    <w:rsid w:val="001B3213"/>
    <w:rsid w:val="001B321F"/>
    <w:rsid w:val="001B3325"/>
    <w:rsid w:val="001B3449"/>
    <w:rsid w:val="001B3475"/>
    <w:rsid w:val="001B3585"/>
    <w:rsid w:val="001B3617"/>
    <w:rsid w:val="001B3659"/>
    <w:rsid w:val="001B36BF"/>
    <w:rsid w:val="001B36D0"/>
    <w:rsid w:val="001B3729"/>
    <w:rsid w:val="001B37BE"/>
    <w:rsid w:val="001B3939"/>
    <w:rsid w:val="001B39E1"/>
    <w:rsid w:val="001B39F3"/>
    <w:rsid w:val="001B3A04"/>
    <w:rsid w:val="001B3A30"/>
    <w:rsid w:val="001B3AEC"/>
    <w:rsid w:val="001B3AED"/>
    <w:rsid w:val="001B3CEB"/>
    <w:rsid w:val="001B3F22"/>
    <w:rsid w:val="001B4095"/>
    <w:rsid w:val="001B40D6"/>
    <w:rsid w:val="001B42F2"/>
    <w:rsid w:val="001B4363"/>
    <w:rsid w:val="001B4423"/>
    <w:rsid w:val="001B4676"/>
    <w:rsid w:val="001B46D1"/>
    <w:rsid w:val="001B46EC"/>
    <w:rsid w:val="001B46FF"/>
    <w:rsid w:val="001B479C"/>
    <w:rsid w:val="001B47E6"/>
    <w:rsid w:val="001B4873"/>
    <w:rsid w:val="001B4939"/>
    <w:rsid w:val="001B49B9"/>
    <w:rsid w:val="001B49C0"/>
    <w:rsid w:val="001B49D2"/>
    <w:rsid w:val="001B4A8D"/>
    <w:rsid w:val="001B4AA9"/>
    <w:rsid w:val="001B4B52"/>
    <w:rsid w:val="001B4D84"/>
    <w:rsid w:val="001B4DA2"/>
    <w:rsid w:val="001B4E01"/>
    <w:rsid w:val="001B4E85"/>
    <w:rsid w:val="001B4EB8"/>
    <w:rsid w:val="001B5076"/>
    <w:rsid w:val="001B51E7"/>
    <w:rsid w:val="001B5236"/>
    <w:rsid w:val="001B527E"/>
    <w:rsid w:val="001B529C"/>
    <w:rsid w:val="001B52CB"/>
    <w:rsid w:val="001B52EC"/>
    <w:rsid w:val="001B52FB"/>
    <w:rsid w:val="001B53BC"/>
    <w:rsid w:val="001B5419"/>
    <w:rsid w:val="001B549C"/>
    <w:rsid w:val="001B54A4"/>
    <w:rsid w:val="001B5523"/>
    <w:rsid w:val="001B55F1"/>
    <w:rsid w:val="001B55FC"/>
    <w:rsid w:val="001B5700"/>
    <w:rsid w:val="001B57A9"/>
    <w:rsid w:val="001B581D"/>
    <w:rsid w:val="001B58B9"/>
    <w:rsid w:val="001B593F"/>
    <w:rsid w:val="001B59A5"/>
    <w:rsid w:val="001B5ECA"/>
    <w:rsid w:val="001B5F8D"/>
    <w:rsid w:val="001B6093"/>
    <w:rsid w:val="001B60D0"/>
    <w:rsid w:val="001B6107"/>
    <w:rsid w:val="001B613C"/>
    <w:rsid w:val="001B61EF"/>
    <w:rsid w:val="001B622A"/>
    <w:rsid w:val="001B62FB"/>
    <w:rsid w:val="001B6341"/>
    <w:rsid w:val="001B65A6"/>
    <w:rsid w:val="001B65DF"/>
    <w:rsid w:val="001B680F"/>
    <w:rsid w:val="001B6869"/>
    <w:rsid w:val="001B6906"/>
    <w:rsid w:val="001B692E"/>
    <w:rsid w:val="001B6ABE"/>
    <w:rsid w:val="001B6C6B"/>
    <w:rsid w:val="001B6DE7"/>
    <w:rsid w:val="001B6E32"/>
    <w:rsid w:val="001B6E64"/>
    <w:rsid w:val="001B6EC4"/>
    <w:rsid w:val="001B6EFA"/>
    <w:rsid w:val="001B6EFE"/>
    <w:rsid w:val="001B6F5B"/>
    <w:rsid w:val="001B7040"/>
    <w:rsid w:val="001B72FA"/>
    <w:rsid w:val="001B7397"/>
    <w:rsid w:val="001B73A0"/>
    <w:rsid w:val="001B7427"/>
    <w:rsid w:val="001B76E8"/>
    <w:rsid w:val="001B7850"/>
    <w:rsid w:val="001B7874"/>
    <w:rsid w:val="001B7942"/>
    <w:rsid w:val="001B7BC0"/>
    <w:rsid w:val="001B7E12"/>
    <w:rsid w:val="001B7EA2"/>
    <w:rsid w:val="001B7EBE"/>
    <w:rsid w:val="001B7F1D"/>
    <w:rsid w:val="001B7FC2"/>
    <w:rsid w:val="001C0142"/>
    <w:rsid w:val="001C01AF"/>
    <w:rsid w:val="001C0386"/>
    <w:rsid w:val="001C03B8"/>
    <w:rsid w:val="001C03F2"/>
    <w:rsid w:val="001C04A9"/>
    <w:rsid w:val="001C04C8"/>
    <w:rsid w:val="001C060F"/>
    <w:rsid w:val="001C0718"/>
    <w:rsid w:val="001C0B67"/>
    <w:rsid w:val="001C0BF3"/>
    <w:rsid w:val="001C0E39"/>
    <w:rsid w:val="001C0EA6"/>
    <w:rsid w:val="001C0EFA"/>
    <w:rsid w:val="001C11B9"/>
    <w:rsid w:val="001C125B"/>
    <w:rsid w:val="001C127B"/>
    <w:rsid w:val="001C129C"/>
    <w:rsid w:val="001C12EB"/>
    <w:rsid w:val="001C148F"/>
    <w:rsid w:val="001C1700"/>
    <w:rsid w:val="001C18BB"/>
    <w:rsid w:val="001C18CA"/>
    <w:rsid w:val="001C19DC"/>
    <w:rsid w:val="001C1A8F"/>
    <w:rsid w:val="001C1B91"/>
    <w:rsid w:val="001C1BE1"/>
    <w:rsid w:val="001C1D01"/>
    <w:rsid w:val="001C1DE9"/>
    <w:rsid w:val="001C1E30"/>
    <w:rsid w:val="001C1F90"/>
    <w:rsid w:val="001C2020"/>
    <w:rsid w:val="001C205A"/>
    <w:rsid w:val="001C20C0"/>
    <w:rsid w:val="001C22D3"/>
    <w:rsid w:val="001C22FC"/>
    <w:rsid w:val="001C231C"/>
    <w:rsid w:val="001C2357"/>
    <w:rsid w:val="001C23DB"/>
    <w:rsid w:val="001C2480"/>
    <w:rsid w:val="001C25CC"/>
    <w:rsid w:val="001C26E4"/>
    <w:rsid w:val="001C272F"/>
    <w:rsid w:val="001C2C91"/>
    <w:rsid w:val="001C2E0B"/>
    <w:rsid w:val="001C301E"/>
    <w:rsid w:val="001C309F"/>
    <w:rsid w:val="001C30F1"/>
    <w:rsid w:val="001C3349"/>
    <w:rsid w:val="001C3494"/>
    <w:rsid w:val="001C3540"/>
    <w:rsid w:val="001C3912"/>
    <w:rsid w:val="001C39C7"/>
    <w:rsid w:val="001C3A62"/>
    <w:rsid w:val="001C3ACD"/>
    <w:rsid w:val="001C3BBA"/>
    <w:rsid w:val="001C3BFF"/>
    <w:rsid w:val="001C3C5C"/>
    <w:rsid w:val="001C3CBA"/>
    <w:rsid w:val="001C3F4B"/>
    <w:rsid w:val="001C3F78"/>
    <w:rsid w:val="001C3FC5"/>
    <w:rsid w:val="001C4070"/>
    <w:rsid w:val="001C40DB"/>
    <w:rsid w:val="001C419E"/>
    <w:rsid w:val="001C4390"/>
    <w:rsid w:val="001C440C"/>
    <w:rsid w:val="001C4548"/>
    <w:rsid w:val="001C45B9"/>
    <w:rsid w:val="001C45EC"/>
    <w:rsid w:val="001C4628"/>
    <w:rsid w:val="001C4816"/>
    <w:rsid w:val="001C4826"/>
    <w:rsid w:val="001C48B4"/>
    <w:rsid w:val="001C4922"/>
    <w:rsid w:val="001C498D"/>
    <w:rsid w:val="001C4A74"/>
    <w:rsid w:val="001C4B03"/>
    <w:rsid w:val="001C4B83"/>
    <w:rsid w:val="001C4C8A"/>
    <w:rsid w:val="001C4CFA"/>
    <w:rsid w:val="001C4D4C"/>
    <w:rsid w:val="001C500F"/>
    <w:rsid w:val="001C5108"/>
    <w:rsid w:val="001C5120"/>
    <w:rsid w:val="001C5226"/>
    <w:rsid w:val="001C52A7"/>
    <w:rsid w:val="001C52E2"/>
    <w:rsid w:val="001C52E5"/>
    <w:rsid w:val="001C53DF"/>
    <w:rsid w:val="001C54E2"/>
    <w:rsid w:val="001C54E3"/>
    <w:rsid w:val="001C56E1"/>
    <w:rsid w:val="001C5706"/>
    <w:rsid w:val="001C57C5"/>
    <w:rsid w:val="001C5A47"/>
    <w:rsid w:val="001C5B0F"/>
    <w:rsid w:val="001C5B7C"/>
    <w:rsid w:val="001C5E2C"/>
    <w:rsid w:val="001C5E8E"/>
    <w:rsid w:val="001C603B"/>
    <w:rsid w:val="001C6144"/>
    <w:rsid w:val="001C615C"/>
    <w:rsid w:val="001C61DC"/>
    <w:rsid w:val="001C6309"/>
    <w:rsid w:val="001C6537"/>
    <w:rsid w:val="001C6652"/>
    <w:rsid w:val="001C6706"/>
    <w:rsid w:val="001C6773"/>
    <w:rsid w:val="001C6856"/>
    <w:rsid w:val="001C6898"/>
    <w:rsid w:val="001C68FD"/>
    <w:rsid w:val="001C6947"/>
    <w:rsid w:val="001C6ACC"/>
    <w:rsid w:val="001C6BBA"/>
    <w:rsid w:val="001C6C1B"/>
    <w:rsid w:val="001C6CA1"/>
    <w:rsid w:val="001C6CF9"/>
    <w:rsid w:val="001C6D25"/>
    <w:rsid w:val="001C6E02"/>
    <w:rsid w:val="001C6E7D"/>
    <w:rsid w:val="001C6E82"/>
    <w:rsid w:val="001C6ECC"/>
    <w:rsid w:val="001C7060"/>
    <w:rsid w:val="001C70B1"/>
    <w:rsid w:val="001C712D"/>
    <w:rsid w:val="001C7254"/>
    <w:rsid w:val="001C725D"/>
    <w:rsid w:val="001C73F8"/>
    <w:rsid w:val="001C747B"/>
    <w:rsid w:val="001C75A3"/>
    <w:rsid w:val="001C78A3"/>
    <w:rsid w:val="001C790C"/>
    <w:rsid w:val="001C794B"/>
    <w:rsid w:val="001C7A88"/>
    <w:rsid w:val="001C7AEF"/>
    <w:rsid w:val="001C7B5D"/>
    <w:rsid w:val="001C7D91"/>
    <w:rsid w:val="001C7DAA"/>
    <w:rsid w:val="001D0100"/>
    <w:rsid w:val="001D0164"/>
    <w:rsid w:val="001D02AD"/>
    <w:rsid w:val="001D0328"/>
    <w:rsid w:val="001D036F"/>
    <w:rsid w:val="001D0373"/>
    <w:rsid w:val="001D03C6"/>
    <w:rsid w:val="001D0482"/>
    <w:rsid w:val="001D0566"/>
    <w:rsid w:val="001D05DD"/>
    <w:rsid w:val="001D0759"/>
    <w:rsid w:val="001D0912"/>
    <w:rsid w:val="001D09EC"/>
    <w:rsid w:val="001D0B8F"/>
    <w:rsid w:val="001D0BE8"/>
    <w:rsid w:val="001D0C23"/>
    <w:rsid w:val="001D0CCC"/>
    <w:rsid w:val="001D0DD7"/>
    <w:rsid w:val="001D0EC6"/>
    <w:rsid w:val="001D0EE3"/>
    <w:rsid w:val="001D0EF3"/>
    <w:rsid w:val="001D104B"/>
    <w:rsid w:val="001D1119"/>
    <w:rsid w:val="001D11DD"/>
    <w:rsid w:val="001D1252"/>
    <w:rsid w:val="001D151B"/>
    <w:rsid w:val="001D156E"/>
    <w:rsid w:val="001D1578"/>
    <w:rsid w:val="001D1592"/>
    <w:rsid w:val="001D17B7"/>
    <w:rsid w:val="001D18CF"/>
    <w:rsid w:val="001D1D9A"/>
    <w:rsid w:val="001D1DBB"/>
    <w:rsid w:val="001D1DC3"/>
    <w:rsid w:val="001D1DF5"/>
    <w:rsid w:val="001D1F47"/>
    <w:rsid w:val="001D205C"/>
    <w:rsid w:val="001D2068"/>
    <w:rsid w:val="001D2096"/>
    <w:rsid w:val="001D21AF"/>
    <w:rsid w:val="001D238F"/>
    <w:rsid w:val="001D23B6"/>
    <w:rsid w:val="001D23CC"/>
    <w:rsid w:val="001D256E"/>
    <w:rsid w:val="001D26B9"/>
    <w:rsid w:val="001D2789"/>
    <w:rsid w:val="001D2966"/>
    <w:rsid w:val="001D29AE"/>
    <w:rsid w:val="001D2A41"/>
    <w:rsid w:val="001D2AF3"/>
    <w:rsid w:val="001D2E5E"/>
    <w:rsid w:val="001D2E65"/>
    <w:rsid w:val="001D2EEE"/>
    <w:rsid w:val="001D2F3E"/>
    <w:rsid w:val="001D2F8A"/>
    <w:rsid w:val="001D3169"/>
    <w:rsid w:val="001D316D"/>
    <w:rsid w:val="001D3212"/>
    <w:rsid w:val="001D328F"/>
    <w:rsid w:val="001D34B6"/>
    <w:rsid w:val="001D3572"/>
    <w:rsid w:val="001D35DA"/>
    <w:rsid w:val="001D38F6"/>
    <w:rsid w:val="001D397A"/>
    <w:rsid w:val="001D3A65"/>
    <w:rsid w:val="001D3ADC"/>
    <w:rsid w:val="001D3AFF"/>
    <w:rsid w:val="001D3BCA"/>
    <w:rsid w:val="001D3C03"/>
    <w:rsid w:val="001D3DCB"/>
    <w:rsid w:val="001D3E35"/>
    <w:rsid w:val="001D404A"/>
    <w:rsid w:val="001D422B"/>
    <w:rsid w:val="001D4285"/>
    <w:rsid w:val="001D443E"/>
    <w:rsid w:val="001D4449"/>
    <w:rsid w:val="001D463F"/>
    <w:rsid w:val="001D4645"/>
    <w:rsid w:val="001D46CF"/>
    <w:rsid w:val="001D487F"/>
    <w:rsid w:val="001D498C"/>
    <w:rsid w:val="001D49A6"/>
    <w:rsid w:val="001D4A3B"/>
    <w:rsid w:val="001D4B57"/>
    <w:rsid w:val="001D4BB0"/>
    <w:rsid w:val="001D4C2F"/>
    <w:rsid w:val="001D4C4A"/>
    <w:rsid w:val="001D4DE0"/>
    <w:rsid w:val="001D4E15"/>
    <w:rsid w:val="001D5181"/>
    <w:rsid w:val="001D52D2"/>
    <w:rsid w:val="001D536F"/>
    <w:rsid w:val="001D53BE"/>
    <w:rsid w:val="001D53EF"/>
    <w:rsid w:val="001D5447"/>
    <w:rsid w:val="001D553C"/>
    <w:rsid w:val="001D5547"/>
    <w:rsid w:val="001D5560"/>
    <w:rsid w:val="001D5638"/>
    <w:rsid w:val="001D56C9"/>
    <w:rsid w:val="001D570A"/>
    <w:rsid w:val="001D578C"/>
    <w:rsid w:val="001D5903"/>
    <w:rsid w:val="001D59F4"/>
    <w:rsid w:val="001D5A3F"/>
    <w:rsid w:val="001D5B1E"/>
    <w:rsid w:val="001D5C1A"/>
    <w:rsid w:val="001D5C60"/>
    <w:rsid w:val="001D5CC1"/>
    <w:rsid w:val="001D5CEB"/>
    <w:rsid w:val="001D5D0D"/>
    <w:rsid w:val="001D5D61"/>
    <w:rsid w:val="001D5FCE"/>
    <w:rsid w:val="001D6044"/>
    <w:rsid w:val="001D6063"/>
    <w:rsid w:val="001D607C"/>
    <w:rsid w:val="001D6146"/>
    <w:rsid w:val="001D62B6"/>
    <w:rsid w:val="001D647D"/>
    <w:rsid w:val="001D64B7"/>
    <w:rsid w:val="001D6887"/>
    <w:rsid w:val="001D68F0"/>
    <w:rsid w:val="001D6A29"/>
    <w:rsid w:val="001D6A65"/>
    <w:rsid w:val="001D6AC1"/>
    <w:rsid w:val="001D6C95"/>
    <w:rsid w:val="001D6CAF"/>
    <w:rsid w:val="001D6CC9"/>
    <w:rsid w:val="001D6D7D"/>
    <w:rsid w:val="001D6DE2"/>
    <w:rsid w:val="001D6E9E"/>
    <w:rsid w:val="001D6F05"/>
    <w:rsid w:val="001D6F6F"/>
    <w:rsid w:val="001D7038"/>
    <w:rsid w:val="001D7127"/>
    <w:rsid w:val="001D7179"/>
    <w:rsid w:val="001D72B2"/>
    <w:rsid w:val="001D730E"/>
    <w:rsid w:val="001D7381"/>
    <w:rsid w:val="001D73D9"/>
    <w:rsid w:val="001D7439"/>
    <w:rsid w:val="001D74C2"/>
    <w:rsid w:val="001D7540"/>
    <w:rsid w:val="001D7576"/>
    <w:rsid w:val="001D75CF"/>
    <w:rsid w:val="001D75E1"/>
    <w:rsid w:val="001D7619"/>
    <w:rsid w:val="001D768C"/>
    <w:rsid w:val="001D7791"/>
    <w:rsid w:val="001D788D"/>
    <w:rsid w:val="001D793F"/>
    <w:rsid w:val="001D7B5E"/>
    <w:rsid w:val="001D7C4A"/>
    <w:rsid w:val="001D7C5F"/>
    <w:rsid w:val="001D7C69"/>
    <w:rsid w:val="001D7CD9"/>
    <w:rsid w:val="001D7DC9"/>
    <w:rsid w:val="001D7DF9"/>
    <w:rsid w:val="001E0126"/>
    <w:rsid w:val="001E013B"/>
    <w:rsid w:val="001E01A1"/>
    <w:rsid w:val="001E0233"/>
    <w:rsid w:val="001E032C"/>
    <w:rsid w:val="001E0408"/>
    <w:rsid w:val="001E06CE"/>
    <w:rsid w:val="001E06D0"/>
    <w:rsid w:val="001E0885"/>
    <w:rsid w:val="001E08D0"/>
    <w:rsid w:val="001E0906"/>
    <w:rsid w:val="001E0962"/>
    <w:rsid w:val="001E096E"/>
    <w:rsid w:val="001E099D"/>
    <w:rsid w:val="001E09E9"/>
    <w:rsid w:val="001E0A45"/>
    <w:rsid w:val="001E0B3E"/>
    <w:rsid w:val="001E0C50"/>
    <w:rsid w:val="001E0C51"/>
    <w:rsid w:val="001E0D03"/>
    <w:rsid w:val="001E0ED3"/>
    <w:rsid w:val="001E0FD8"/>
    <w:rsid w:val="001E122C"/>
    <w:rsid w:val="001E1285"/>
    <w:rsid w:val="001E14A2"/>
    <w:rsid w:val="001E14F3"/>
    <w:rsid w:val="001E16A1"/>
    <w:rsid w:val="001E17A8"/>
    <w:rsid w:val="001E18D4"/>
    <w:rsid w:val="001E18F7"/>
    <w:rsid w:val="001E1C03"/>
    <w:rsid w:val="001E1DBB"/>
    <w:rsid w:val="001E1F85"/>
    <w:rsid w:val="001E1FBC"/>
    <w:rsid w:val="001E2002"/>
    <w:rsid w:val="001E2028"/>
    <w:rsid w:val="001E21BB"/>
    <w:rsid w:val="001E21E9"/>
    <w:rsid w:val="001E254D"/>
    <w:rsid w:val="001E2567"/>
    <w:rsid w:val="001E266D"/>
    <w:rsid w:val="001E2675"/>
    <w:rsid w:val="001E26B8"/>
    <w:rsid w:val="001E27DA"/>
    <w:rsid w:val="001E2801"/>
    <w:rsid w:val="001E29E2"/>
    <w:rsid w:val="001E2A05"/>
    <w:rsid w:val="001E2B6E"/>
    <w:rsid w:val="001E2D9A"/>
    <w:rsid w:val="001E2F1F"/>
    <w:rsid w:val="001E2F22"/>
    <w:rsid w:val="001E302E"/>
    <w:rsid w:val="001E3098"/>
    <w:rsid w:val="001E30B0"/>
    <w:rsid w:val="001E3111"/>
    <w:rsid w:val="001E3125"/>
    <w:rsid w:val="001E3153"/>
    <w:rsid w:val="001E31A0"/>
    <w:rsid w:val="001E31B6"/>
    <w:rsid w:val="001E328A"/>
    <w:rsid w:val="001E356F"/>
    <w:rsid w:val="001E35B7"/>
    <w:rsid w:val="001E3625"/>
    <w:rsid w:val="001E3686"/>
    <w:rsid w:val="001E373F"/>
    <w:rsid w:val="001E3807"/>
    <w:rsid w:val="001E3882"/>
    <w:rsid w:val="001E38F7"/>
    <w:rsid w:val="001E3988"/>
    <w:rsid w:val="001E3A34"/>
    <w:rsid w:val="001E3B65"/>
    <w:rsid w:val="001E3D75"/>
    <w:rsid w:val="001E3DC5"/>
    <w:rsid w:val="001E3E55"/>
    <w:rsid w:val="001E3ECF"/>
    <w:rsid w:val="001E3F19"/>
    <w:rsid w:val="001E3F3F"/>
    <w:rsid w:val="001E3F6F"/>
    <w:rsid w:val="001E4055"/>
    <w:rsid w:val="001E417E"/>
    <w:rsid w:val="001E41CB"/>
    <w:rsid w:val="001E41D8"/>
    <w:rsid w:val="001E4203"/>
    <w:rsid w:val="001E421E"/>
    <w:rsid w:val="001E4463"/>
    <w:rsid w:val="001E447E"/>
    <w:rsid w:val="001E4594"/>
    <w:rsid w:val="001E45A6"/>
    <w:rsid w:val="001E469B"/>
    <w:rsid w:val="001E47B4"/>
    <w:rsid w:val="001E483B"/>
    <w:rsid w:val="001E4881"/>
    <w:rsid w:val="001E4969"/>
    <w:rsid w:val="001E49C9"/>
    <w:rsid w:val="001E4A25"/>
    <w:rsid w:val="001E4B3B"/>
    <w:rsid w:val="001E4BC0"/>
    <w:rsid w:val="001E4BCE"/>
    <w:rsid w:val="001E4BEC"/>
    <w:rsid w:val="001E4C08"/>
    <w:rsid w:val="001E4C48"/>
    <w:rsid w:val="001E4E1F"/>
    <w:rsid w:val="001E4E31"/>
    <w:rsid w:val="001E5081"/>
    <w:rsid w:val="001E509B"/>
    <w:rsid w:val="001E51A4"/>
    <w:rsid w:val="001E522B"/>
    <w:rsid w:val="001E5236"/>
    <w:rsid w:val="001E5253"/>
    <w:rsid w:val="001E5535"/>
    <w:rsid w:val="001E553C"/>
    <w:rsid w:val="001E556B"/>
    <w:rsid w:val="001E57AA"/>
    <w:rsid w:val="001E57C4"/>
    <w:rsid w:val="001E57D1"/>
    <w:rsid w:val="001E58A2"/>
    <w:rsid w:val="001E59F9"/>
    <w:rsid w:val="001E5A95"/>
    <w:rsid w:val="001E5C7A"/>
    <w:rsid w:val="001E5D3B"/>
    <w:rsid w:val="001E5EBE"/>
    <w:rsid w:val="001E5EC9"/>
    <w:rsid w:val="001E5EE2"/>
    <w:rsid w:val="001E5F6C"/>
    <w:rsid w:val="001E6097"/>
    <w:rsid w:val="001E60DC"/>
    <w:rsid w:val="001E6208"/>
    <w:rsid w:val="001E62E4"/>
    <w:rsid w:val="001E631C"/>
    <w:rsid w:val="001E63AD"/>
    <w:rsid w:val="001E63EE"/>
    <w:rsid w:val="001E6537"/>
    <w:rsid w:val="001E656D"/>
    <w:rsid w:val="001E65E9"/>
    <w:rsid w:val="001E69BA"/>
    <w:rsid w:val="001E6C50"/>
    <w:rsid w:val="001E6C6E"/>
    <w:rsid w:val="001E6C81"/>
    <w:rsid w:val="001E6D04"/>
    <w:rsid w:val="001E6D48"/>
    <w:rsid w:val="001E6E29"/>
    <w:rsid w:val="001E6E6A"/>
    <w:rsid w:val="001E6F2E"/>
    <w:rsid w:val="001E70A8"/>
    <w:rsid w:val="001E70AC"/>
    <w:rsid w:val="001E733B"/>
    <w:rsid w:val="001E7364"/>
    <w:rsid w:val="001E73C3"/>
    <w:rsid w:val="001E73CB"/>
    <w:rsid w:val="001E750E"/>
    <w:rsid w:val="001E7524"/>
    <w:rsid w:val="001E7526"/>
    <w:rsid w:val="001E7584"/>
    <w:rsid w:val="001E7588"/>
    <w:rsid w:val="001E7660"/>
    <w:rsid w:val="001E7742"/>
    <w:rsid w:val="001E77A0"/>
    <w:rsid w:val="001E77FA"/>
    <w:rsid w:val="001E7A01"/>
    <w:rsid w:val="001E7C71"/>
    <w:rsid w:val="001E7CCF"/>
    <w:rsid w:val="001E7E00"/>
    <w:rsid w:val="001E7E73"/>
    <w:rsid w:val="001E7EED"/>
    <w:rsid w:val="001E7FE9"/>
    <w:rsid w:val="001F0168"/>
    <w:rsid w:val="001F0243"/>
    <w:rsid w:val="001F0348"/>
    <w:rsid w:val="001F0394"/>
    <w:rsid w:val="001F04EC"/>
    <w:rsid w:val="001F051D"/>
    <w:rsid w:val="001F066F"/>
    <w:rsid w:val="001F07CE"/>
    <w:rsid w:val="001F08A9"/>
    <w:rsid w:val="001F0908"/>
    <w:rsid w:val="001F096F"/>
    <w:rsid w:val="001F099E"/>
    <w:rsid w:val="001F09CD"/>
    <w:rsid w:val="001F0A08"/>
    <w:rsid w:val="001F0A6C"/>
    <w:rsid w:val="001F0A77"/>
    <w:rsid w:val="001F0A8B"/>
    <w:rsid w:val="001F0D47"/>
    <w:rsid w:val="001F0DB9"/>
    <w:rsid w:val="001F0FE9"/>
    <w:rsid w:val="001F0FF8"/>
    <w:rsid w:val="001F1052"/>
    <w:rsid w:val="001F10AA"/>
    <w:rsid w:val="001F10F1"/>
    <w:rsid w:val="001F1156"/>
    <w:rsid w:val="001F12AC"/>
    <w:rsid w:val="001F130C"/>
    <w:rsid w:val="001F1578"/>
    <w:rsid w:val="001F15F2"/>
    <w:rsid w:val="001F1633"/>
    <w:rsid w:val="001F193B"/>
    <w:rsid w:val="001F1978"/>
    <w:rsid w:val="001F19C2"/>
    <w:rsid w:val="001F1B3F"/>
    <w:rsid w:val="001F1DD3"/>
    <w:rsid w:val="001F1E39"/>
    <w:rsid w:val="001F1EE4"/>
    <w:rsid w:val="001F1F0E"/>
    <w:rsid w:val="001F205D"/>
    <w:rsid w:val="001F20D2"/>
    <w:rsid w:val="001F21B7"/>
    <w:rsid w:val="001F23C2"/>
    <w:rsid w:val="001F2765"/>
    <w:rsid w:val="001F27D9"/>
    <w:rsid w:val="001F28EE"/>
    <w:rsid w:val="001F2A60"/>
    <w:rsid w:val="001F2A8E"/>
    <w:rsid w:val="001F2ABF"/>
    <w:rsid w:val="001F2B1A"/>
    <w:rsid w:val="001F2C38"/>
    <w:rsid w:val="001F2D0B"/>
    <w:rsid w:val="001F2E54"/>
    <w:rsid w:val="001F2ED0"/>
    <w:rsid w:val="001F2FD9"/>
    <w:rsid w:val="001F3023"/>
    <w:rsid w:val="001F305F"/>
    <w:rsid w:val="001F30F1"/>
    <w:rsid w:val="001F3112"/>
    <w:rsid w:val="001F3150"/>
    <w:rsid w:val="001F31CA"/>
    <w:rsid w:val="001F323F"/>
    <w:rsid w:val="001F3296"/>
    <w:rsid w:val="001F332D"/>
    <w:rsid w:val="001F33E2"/>
    <w:rsid w:val="001F33FF"/>
    <w:rsid w:val="001F3464"/>
    <w:rsid w:val="001F34BA"/>
    <w:rsid w:val="001F3596"/>
    <w:rsid w:val="001F36EF"/>
    <w:rsid w:val="001F3796"/>
    <w:rsid w:val="001F3805"/>
    <w:rsid w:val="001F3880"/>
    <w:rsid w:val="001F3915"/>
    <w:rsid w:val="001F3B46"/>
    <w:rsid w:val="001F3C4C"/>
    <w:rsid w:val="001F3E66"/>
    <w:rsid w:val="001F3ECD"/>
    <w:rsid w:val="001F42A8"/>
    <w:rsid w:val="001F42D7"/>
    <w:rsid w:val="001F43AD"/>
    <w:rsid w:val="001F43E3"/>
    <w:rsid w:val="001F460B"/>
    <w:rsid w:val="001F4745"/>
    <w:rsid w:val="001F47CB"/>
    <w:rsid w:val="001F48F1"/>
    <w:rsid w:val="001F4CD7"/>
    <w:rsid w:val="001F4E87"/>
    <w:rsid w:val="001F4EDD"/>
    <w:rsid w:val="001F4EE6"/>
    <w:rsid w:val="001F4F5C"/>
    <w:rsid w:val="001F50F2"/>
    <w:rsid w:val="001F51C5"/>
    <w:rsid w:val="001F5276"/>
    <w:rsid w:val="001F5374"/>
    <w:rsid w:val="001F54AD"/>
    <w:rsid w:val="001F5503"/>
    <w:rsid w:val="001F5549"/>
    <w:rsid w:val="001F554C"/>
    <w:rsid w:val="001F5599"/>
    <w:rsid w:val="001F55A6"/>
    <w:rsid w:val="001F5635"/>
    <w:rsid w:val="001F5946"/>
    <w:rsid w:val="001F5A15"/>
    <w:rsid w:val="001F5A1D"/>
    <w:rsid w:val="001F5AD0"/>
    <w:rsid w:val="001F5BF4"/>
    <w:rsid w:val="001F5CEB"/>
    <w:rsid w:val="001F5CEF"/>
    <w:rsid w:val="001F5DD6"/>
    <w:rsid w:val="001F5E61"/>
    <w:rsid w:val="001F5E90"/>
    <w:rsid w:val="001F5EA9"/>
    <w:rsid w:val="001F6177"/>
    <w:rsid w:val="001F6180"/>
    <w:rsid w:val="001F6263"/>
    <w:rsid w:val="001F643C"/>
    <w:rsid w:val="001F64E2"/>
    <w:rsid w:val="001F67E2"/>
    <w:rsid w:val="001F67F0"/>
    <w:rsid w:val="001F680E"/>
    <w:rsid w:val="001F697E"/>
    <w:rsid w:val="001F6A49"/>
    <w:rsid w:val="001F6B22"/>
    <w:rsid w:val="001F6B2C"/>
    <w:rsid w:val="001F6B35"/>
    <w:rsid w:val="001F6BE4"/>
    <w:rsid w:val="001F6C0D"/>
    <w:rsid w:val="001F6C24"/>
    <w:rsid w:val="001F6DD6"/>
    <w:rsid w:val="001F6DE7"/>
    <w:rsid w:val="001F6FDC"/>
    <w:rsid w:val="001F7003"/>
    <w:rsid w:val="001F703E"/>
    <w:rsid w:val="001F7087"/>
    <w:rsid w:val="001F73B4"/>
    <w:rsid w:val="001F754C"/>
    <w:rsid w:val="001F75FF"/>
    <w:rsid w:val="001F7691"/>
    <w:rsid w:val="001F76BA"/>
    <w:rsid w:val="001F7846"/>
    <w:rsid w:val="001F7918"/>
    <w:rsid w:val="001F7A15"/>
    <w:rsid w:val="001F7A46"/>
    <w:rsid w:val="001F7C95"/>
    <w:rsid w:val="001F7D02"/>
    <w:rsid w:val="001F7D39"/>
    <w:rsid w:val="00200068"/>
    <w:rsid w:val="0020013A"/>
    <w:rsid w:val="002003E0"/>
    <w:rsid w:val="00200697"/>
    <w:rsid w:val="002007FC"/>
    <w:rsid w:val="00200961"/>
    <w:rsid w:val="0020098E"/>
    <w:rsid w:val="00200B1F"/>
    <w:rsid w:val="00200C9A"/>
    <w:rsid w:val="00200CBE"/>
    <w:rsid w:val="00200D3A"/>
    <w:rsid w:val="00200E4B"/>
    <w:rsid w:val="00200EC6"/>
    <w:rsid w:val="00200F1A"/>
    <w:rsid w:val="00200F4E"/>
    <w:rsid w:val="00200FC6"/>
    <w:rsid w:val="002010B4"/>
    <w:rsid w:val="002010D1"/>
    <w:rsid w:val="002011FF"/>
    <w:rsid w:val="0020120A"/>
    <w:rsid w:val="0020135F"/>
    <w:rsid w:val="0020136B"/>
    <w:rsid w:val="002015FB"/>
    <w:rsid w:val="00201629"/>
    <w:rsid w:val="00201800"/>
    <w:rsid w:val="002018DC"/>
    <w:rsid w:val="002018F3"/>
    <w:rsid w:val="00201969"/>
    <w:rsid w:val="00201991"/>
    <w:rsid w:val="002019E3"/>
    <w:rsid w:val="00201A51"/>
    <w:rsid w:val="00201B62"/>
    <w:rsid w:val="00201B77"/>
    <w:rsid w:val="00201C86"/>
    <w:rsid w:val="00201CA9"/>
    <w:rsid w:val="00201FE1"/>
    <w:rsid w:val="00202056"/>
    <w:rsid w:val="00202061"/>
    <w:rsid w:val="00202117"/>
    <w:rsid w:val="00202240"/>
    <w:rsid w:val="0020239B"/>
    <w:rsid w:val="002023A6"/>
    <w:rsid w:val="002023B1"/>
    <w:rsid w:val="002023D7"/>
    <w:rsid w:val="00202454"/>
    <w:rsid w:val="002024E8"/>
    <w:rsid w:val="002026A6"/>
    <w:rsid w:val="002027EC"/>
    <w:rsid w:val="00202994"/>
    <w:rsid w:val="00202A58"/>
    <w:rsid w:val="00202C0A"/>
    <w:rsid w:val="00202E41"/>
    <w:rsid w:val="00202E78"/>
    <w:rsid w:val="00202EC4"/>
    <w:rsid w:val="00202EE7"/>
    <w:rsid w:val="00202F27"/>
    <w:rsid w:val="00202F8E"/>
    <w:rsid w:val="0020300F"/>
    <w:rsid w:val="0020308A"/>
    <w:rsid w:val="002030B4"/>
    <w:rsid w:val="002031ED"/>
    <w:rsid w:val="00203500"/>
    <w:rsid w:val="0020362D"/>
    <w:rsid w:val="00203676"/>
    <w:rsid w:val="0020375C"/>
    <w:rsid w:val="0020390A"/>
    <w:rsid w:val="002039BD"/>
    <w:rsid w:val="00203A05"/>
    <w:rsid w:val="00203ABF"/>
    <w:rsid w:val="00203C72"/>
    <w:rsid w:val="00203D8F"/>
    <w:rsid w:val="00203DAC"/>
    <w:rsid w:val="002040A3"/>
    <w:rsid w:val="002041C4"/>
    <w:rsid w:val="002041DB"/>
    <w:rsid w:val="0020425B"/>
    <w:rsid w:val="002042A0"/>
    <w:rsid w:val="002043D7"/>
    <w:rsid w:val="002045BB"/>
    <w:rsid w:val="00204603"/>
    <w:rsid w:val="002048EA"/>
    <w:rsid w:val="00204908"/>
    <w:rsid w:val="00204A81"/>
    <w:rsid w:val="00204B80"/>
    <w:rsid w:val="00204CB3"/>
    <w:rsid w:val="00204D34"/>
    <w:rsid w:val="00204E69"/>
    <w:rsid w:val="00204F51"/>
    <w:rsid w:val="00205111"/>
    <w:rsid w:val="002051A1"/>
    <w:rsid w:val="00205201"/>
    <w:rsid w:val="0020525B"/>
    <w:rsid w:val="002052BC"/>
    <w:rsid w:val="00205455"/>
    <w:rsid w:val="0020547B"/>
    <w:rsid w:val="00205621"/>
    <w:rsid w:val="002057E8"/>
    <w:rsid w:val="00205987"/>
    <w:rsid w:val="00205998"/>
    <w:rsid w:val="00205A5B"/>
    <w:rsid w:val="00205BBA"/>
    <w:rsid w:val="00205C41"/>
    <w:rsid w:val="00205D4D"/>
    <w:rsid w:val="00205D80"/>
    <w:rsid w:val="00205DC9"/>
    <w:rsid w:val="0020603C"/>
    <w:rsid w:val="0020609D"/>
    <w:rsid w:val="00206107"/>
    <w:rsid w:val="00206149"/>
    <w:rsid w:val="0020619A"/>
    <w:rsid w:val="00206295"/>
    <w:rsid w:val="0020639F"/>
    <w:rsid w:val="00206511"/>
    <w:rsid w:val="002066F5"/>
    <w:rsid w:val="00206A89"/>
    <w:rsid w:val="00206AAF"/>
    <w:rsid w:val="00206AD0"/>
    <w:rsid w:val="00206C82"/>
    <w:rsid w:val="00206D5E"/>
    <w:rsid w:val="00206D79"/>
    <w:rsid w:val="00206EE7"/>
    <w:rsid w:val="00206F56"/>
    <w:rsid w:val="00206F71"/>
    <w:rsid w:val="00206F76"/>
    <w:rsid w:val="00206FB2"/>
    <w:rsid w:val="00207034"/>
    <w:rsid w:val="00207110"/>
    <w:rsid w:val="0020714F"/>
    <w:rsid w:val="00207169"/>
    <w:rsid w:val="00207633"/>
    <w:rsid w:val="00207690"/>
    <w:rsid w:val="002076B2"/>
    <w:rsid w:val="002076C7"/>
    <w:rsid w:val="00207731"/>
    <w:rsid w:val="00207757"/>
    <w:rsid w:val="002078CC"/>
    <w:rsid w:val="0020795F"/>
    <w:rsid w:val="00207A3F"/>
    <w:rsid w:val="00207C06"/>
    <w:rsid w:val="00207F57"/>
    <w:rsid w:val="00207F84"/>
    <w:rsid w:val="00207FA0"/>
    <w:rsid w:val="00207FB3"/>
    <w:rsid w:val="00210199"/>
    <w:rsid w:val="002101B0"/>
    <w:rsid w:val="002102D9"/>
    <w:rsid w:val="002102DB"/>
    <w:rsid w:val="00210362"/>
    <w:rsid w:val="0021037D"/>
    <w:rsid w:val="002103EC"/>
    <w:rsid w:val="00210550"/>
    <w:rsid w:val="0021059A"/>
    <w:rsid w:val="002105E7"/>
    <w:rsid w:val="00210610"/>
    <w:rsid w:val="00210704"/>
    <w:rsid w:val="002107BC"/>
    <w:rsid w:val="00210832"/>
    <w:rsid w:val="0021088D"/>
    <w:rsid w:val="00210990"/>
    <w:rsid w:val="00210A1F"/>
    <w:rsid w:val="00210AF6"/>
    <w:rsid w:val="00210B36"/>
    <w:rsid w:val="00210B77"/>
    <w:rsid w:val="00210DB8"/>
    <w:rsid w:val="00210E7F"/>
    <w:rsid w:val="00210F62"/>
    <w:rsid w:val="00210F7A"/>
    <w:rsid w:val="002110A5"/>
    <w:rsid w:val="002110AC"/>
    <w:rsid w:val="002110B8"/>
    <w:rsid w:val="002111E1"/>
    <w:rsid w:val="002112AA"/>
    <w:rsid w:val="002113C5"/>
    <w:rsid w:val="002114DB"/>
    <w:rsid w:val="002116FC"/>
    <w:rsid w:val="00211745"/>
    <w:rsid w:val="0021183A"/>
    <w:rsid w:val="00211901"/>
    <w:rsid w:val="002119A1"/>
    <w:rsid w:val="00211B7B"/>
    <w:rsid w:val="00211CBA"/>
    <w:rsid w:val="00211CD3"/>
    <w:rsid w:val="00211D08"/>
    <w:rsid w:val="00211D73"/>
    <w:rsid w:val="00211D86"/>
    <w:rsid w:val="00211DB4"/>
    <w:rsid w:val="00211E38"/>
    <w:rsid w:val="00211F8A"/>
    <w:rsid w:val="0021205B"/>
    <w:rsid w:val="00212244"/>
    <w:rsid w:val="00212298"/>
    <w:rsid w:val="0021243C"/>
    <w:rsid w:val="00212480"/>
    <w:rsid w:val="002124DD"/>
    <w:rsid w:val="0021262C"/>
    <w:rsid w:val="00212719"/>
    <w:rsid w:val="00212822"/>
    <w:rsid w:val="00212845"/>
    <w:rsid w:val="00212A4E"/>
    <w:rsid w:val="00212AEB"/>
    <w:rsid w:val="00212B8D"/>
    <w:rsid w:val="00212E3D"/>
    <w:rsid w:val="00212E83"/>
    <w:rsid w:val="00212F0B"/>
    <w:rsid w:val="00212F0E"/>
    <w:rsid w:val="00212FD0"/>
    <w:rsid w:val="00213018"/>
    <w:rsid w:val="0021308A"/>
    <w:rsid w:val="002130A5"/>
    <w:rsid w:val="0021310E"/>
    <w:rsid w:val="002131D1"/>
    <w:rsid w:val="00213263"/>
    <w:rsid w:val="002133F2"/>
    <w:rsid w:val="00213842"/>
    <w:rsid w:val="00213860"/>
    <w:rsid w:val="002138BD"/>
    <w:rsid w:val="002138CC"/>
    <w:rsid w:val="002138F8"/>
    <w:rsid w:val="00213D86"/>
    <w:rsid w:val="00213E53"/>
    <w:rsid w:val="00213F21"/>
    <w:rsid w:val="00213FD3"/>
    <w:rsid w:val="0021404D"/>
    <w:rsid w:val="00214260"/>
    <w:rsid w:val="00214412"/>
    <w:rsid w:val="00214503"/>
    <w:rsid w:val="002145DF"/>
    <w:rsid w:val="0021462C"/>
    <w:rsid w:val="00214711"/>
    <w:rsid w:val="00214756"/>
    <w:rsid w:val="002149CF"/>
    <w:rsid w:val="00214A5B"/>
    <w:rsid w:val="00214D42"/>
    <w:rsid w:val="00214E28"/>
    <w:rsid w:val="00214E82"/>
    <w:rsid w:val="002151B6"/>
    <w:rsid w:val="00215293"/>
    <w:rsid w:val="00215401"/>
    <w:rsid w:val="0021545A"/>
    <w:rsid w:val="002154BE"/>
    <w:rsid w:val="00215562"/>
    <w:rsid w:val="002157B0"/>
    <w:rsid w:val="002157CF"/>
    <w:rsid w:val="0021582E"/>
    <w:rsid w:val="002158B9"/>
    <w:rsid w:val="00215A4B"/>
    <w:rsid w:val="00215AFE"/>
    <w:rsid w:val="00215DE3"/>
    <w:rsid w:val="00216089"/>
    <w:rsid w:val="002162B5"/>
    <w:rsid w:val="002163A3"/>
    <w:rsid w:val="002163FA"/>
    <w:rsid w:val="00216641"/>
    <w:rsid w:val="00216648"/>
    <w:rsid w:val="00216655"/>
    <w:rsid w:val="0021673C"/>
    <w:rsid w:val="00216940"/>
    <w:rsid w:val="00216968"/>
    <w:rsid w:val="00216AD6"/>
    <w:rsid w:val="00216B53"/>
    <w:rsid w:val="00216B84"/>
    <w:rsid w:val="00216B9F"/>
    <w:rsid w:val="00216C2A"/>
    <w:rsid w:val="00216C55"/>
    <w:rsid w:val="00216CC2"/>
    <w:rsid w:val="00216CEB"/>
    <w:rsid w:val="00216E2D"/>
    <w:rsid w:val="00216EC2"/>
    <w:rsid w:val="00216F10"/>
    <w:rsid w:val="00216FCE"/>
    <w:rsid w:val="00216FE6"/>
    <w:rsid w:val="00217030"/>
    <w:rsid w:val="002171DB"/>
    <w:rsid w:val="00217233"/>
    <w:rsid w:val="002172A5"/>
    <w:rsid w:val="002173B7"/>
    <w:rsid w:val="002173C0"/>
    <w:rsid w:val="00217608"/>
    <w:rsid w:val="0021764D"/>
    <w:rsid w:val="002176E4"/>
    <w:rsid w:val="0021774F"/>
    <w:rsid w:val="0021795F"/>
    <w:rsid w:val="002179BE"/>
    <w:rsid w:val="002179EE"/>
    <w:rsid w:val="00217A17"/>
    <w:rsid w:val="00217C84"/>
    <w:rsid w:val="00217C96"/>
    <w:rsid w:val="00217E80"/>
    <w:rsid w:val="00217EFC"/>
    <w:rsid w:val="00217F3D"/>
    <w:rsid w:val="00217F96"/>
    <w:rsid w:val="00217FB4"/>
    <w:rsid w:val="00217FC4"/>
    <w:rsid w:val="002200F4"/>
    <w:rsid w:val="002202B6"/>
    <w:rsid w:val="0022031C"/>
    <w:rsid w:val="00220374"/>
    <w:rsid w:val="00220559"/>
    <w:rsid w:val="002206BF"/>
    <w:rsid w:val="002206E4"/>
    <w:rsid w:val="0022072D"/>
    <w:rsid w:val="002207BF"/>
    <w:rsid w:val="00220824"/>
    <w:rsid w:val="00220909"/>
    <w:rsid w:val="00220CDF"/>
    <w:rsid w:val="00220E16"/>
    <w:rsid w:val="00220F8C"/>
    <w:rsid w:val="00221285"/>
    <w:rsid w:val="002212DC"/>
    <w:rsid w:val="00221456"/>
    <w:rsid w:val="002215E2"/>
    <w:rsid w:val="0022161A"/>
    <w:rsid w:val="0022180E"/>
    <w:rsid w:val="00221858"/>
    <w:rsid w:val="002218D6"/>
    <w:rsid w:val="0022198F"/>
    <w:rsid w:val="002219AF"/>
    <w:rsid w:val="00221AA5"/>
    <w:rsid w:val="00221AEF"/>
    <w:rsid w:val="00221B4C"/>
    <w:rsid w:val="00221C36"/>
    <w:rsid w:val="00221DA1"/>
    <w:rsid w:val="00221DAD"/>
    <w:rsid w:val="00221E98"/>
    <w:rsid w:val="00221F2C"/>
    <w:rsid w:val="00221FF8"/>
    <w:rsid w:val="00222207"/>
    <w:rsid w:val="002222D1"/>
    <w:rsid w:val="00222369"/>
    <w:rsid w:val="002223BB"/>
    <w:rsid w:val="00222429"/>
    <w:rsid w:val="002224A6"/>
    <w:rsid w:val="0022253A"/>
    <w:rsid w:val="0022253B"/>
    <w:rsid w:val="0022256C"/>
    <w:rsid w:val="002226D6"/>
    <w:rsid w:val="0022270C"/>
    <w:rsid w:val="0022271A"/>
    <w:rsid w:val="0022276B"/>
    <w:rsid w:val="002227D3"/>
    <w:rsid w:val="002228FD"/>
    <w:rsid w:val="00222999"/>
    <w:rsid w:val="002229BA"/>
    <w:rsid w:val="00222AC0"/>
    <w:rsid w:val="00222AEE"/>
    <w:rsid w:val="00222BC8"/>
    <w:rsid w:val="00222C3E"/>
    <w:rsid w:val="00222C8A"/>
    <w:rsid w:val="00222D5C"/>
    <w:rsid w:val="00222EE6"/>
    <w:rsid w:val="00222F45"/>
    <w:rsid w:val="00222F8E"/>
    <w:rsid w:val="0022307B"/>
    <w:rsid w:val="002231CE"/>
    <w:rsid w:val="00223268"/>
    <w:rsid w:val="002232BF"/>
    <w:rsid w:val="00223382"/>
    <w:rsid w:val="00223393"/>
    <w:rsid w:val="0022348E"/>
    <w:rsid w:val="002235B2"/>
    <w:rsid w:val="002236E8"/>
    <w:rsid w:val="002236F6"/>
    <w:rsid w:val="00223890"/>
    <w:rsid w:val="002238C3"/>
    <w:rsid w:val="00223A9D"/>
    <w:rsid w:val="00223BF4"/>
    <w:rsid w:val="00223C6B"/>
    <w:rsid w:val="00223C71"/>
    <w:rsid w:val="00223C7C"/>
    <w:rsid w:val="00223CA9"/>
    <w:rsid w:val="00223E01"/>
    <w:rsid w:val="00223E46"/>
    <w:rsid w:val="00223EA9"/>
    <w:rsid w:val="00223F5F"/>
    <w:rsid w:val="00223F7B"/>
    <w:rsid w:val="00223F7E"/>
    <w:rsid w:val="0022409A"/>
    <w:rsid w:val="0022419E"/>
    <w:rsid w:val="002241EC"/>
    <w:rsid w:val="002242F0"/>
    <w:rsid w:val="002244BD"/>
    <w:rsid w:val="002245E5"/>
    <w:rsid w:val="00224761"/>
    <w:rsid w:val="00224919"/>
    <w:rsid w:val="00224AC7"/>
    <w:rsid w:val="00224DCD"/>
    <w:rsid w:val="00224DDF"/>
    <w:rsid w:val="00224DF5"/>
    <w:rsid w:val="00224E38"/>
    <w:rsid w:val="00224E68"/>
    <w:rsid w:val="002251A3"/>
    <w:rsid w:val="002251BD"/>
    <w:rsid w:val="002251F4"/>
    <w:rsid w:val="0022530B"/>
    <w:rsid w:val="002254CA"/>
    <w:rsid w:val="0022570D"/>
    <w:rsid w:val="00225812"/>
    <w:rsid w:val="00225916"/>
    <w:rsid w:val="00225A2E"/>
    <w:rsid w:val="00225A5A"/>
    <w:rsid w:val="00225AF2"/>
    <w:rsid w:val="00225BB9"/>
    <w:rsid w:val="00225CC9"/>
    <w:rsid w:val="00225D50"/>
    <w:rsid w:val="00225EF9"/>
    <w:rsid w:val="00225F5B"/>
    <w:rsid w:val="002260CE"/>
    <w:rsid w:val="002260D5"/>
    <w:rsid w:val="0022631C"/>
    <w:rsid w:val="0022635E"/>
    <w:rsid w:val="002264C2"/>
    <w:rsid w:val="00226695"/>
    <w:rsid w:val="002266C4"/>
    <w:rsid w:val="002267E0"/>
    <w:rsid w:val="00226902"/>
    <w:rsid w:val="00226A3E"/>
    <w:rsid w:val="00226A9C"/>
    <w:rsid w:val="00226EE7"/>
    <w:rsid w:val="00226EEB"/>
    <w:rsid w:val="00227048"/>
    <w:rsid w:val="00227104"/>
    <w:rsid w:val="002272AD"/>
    <w:rsid w:val="0022732B"/>
    <w:rsid w:val="002273F0"/>
    <w:rsid w:val="002273FF"/>
    <w:rsid w:val="00227486"/>
    <w:rsid w:val="002275DF"/>
    <w:rsid w:val="002275FE"/>
    <w:rsid w:val="002276AD"/>
    <w:rsid w:val="00227913"/>
    <w:rsid w:val="00227A16"/>
    <w:rsid w:val="00227B44"/>
    <w:rsid w:val="00227BA0"/>
    <w:rsid w:val="00227C69"/>
    <w:rsid w:val="00227D41"/>
    <w:rsid w:val="00227D52"/>
    <w:rsid w:val="00227E0B"/>
    <w:rsid w:val="00227E45"/>
    <w:rsid w:val="00227E7A"/>
    <w:rsid w:val="002301A0"/>
    <w:rsid w:val="0023035A"/>
    <w:rsid w:val="002303C0"/>
    <w:rsid w:val="0023055D"/>
    <w:rsid w:val="00230609"/>
    <w:rsid w:val="00230733"/>
    <w:rsid w:val="002307A3"/>
    <w:rsid w:val="00230BC7"/>
    <w:rsid w:val="00230C6C"/>
    <w:rsid w:val="00230D59"/>
    <w:rsid w:val="00230E6E"/>
    <w:rsid w:val="00230F92"/>
    <w:rsid w:val="002310FE"/>
    <w:rsid w:val="00231339"/>
    <w:rsid w:val="00231518"/>
    <w:rsid w:val="0023168F"/>
    <w:rsid w:val="002316AC"/>
    <w:rsid w:val="0023170C"/>
    <w:rsid w:val="002318A4"/>
    <w:rsid w:val="00231982"/>
    <w:rsid w:val="00231A35"/>
    <w:rsid w:val="00231C59"/>
    <w:rsid w:val="00231D75"/>
    <w:rsid w:val="00231DB6"/>
    <w:rsid w:val="00231F72"/>
    <w:rsid w:val="002323F6"/>
    <w:rsid w:val="00232434"/>
    <w:rsid w:val="0023245E"/>
    <w:rsid w:val="0023250B"/>
    <w:rsid w:val="002325A3"/>
    <w:rsid w:val="002325F6"/>
    <w:rsid w:val="002326C0"/>
    <w:rsid w:val="00232733"/>
    <w:rsid w:val="002327C2"/>
    <w:rsid w:val="00232877"/>
    <w:rsid w:val="0023298E"/>
    <w:rsid w:val="00232A32"/>
    <w:rsid w:val="00232A92"/>
    <w:rsid w:val="00232B98"/>
    <w:rsid w:val="00232C7D"/>
    <w:rsid w:val="00232D26"/>
    <w:rsid w:val="00232D5D"/>
    <w:rsid w:val="00232E97"/>
    <w:rsid w:val="00233108"/>
    <w:rsid w:val="00233201"/>
    <w:rsid w:val="0023323C"/>
    <w:rsid w:val="0023325B"/>
    <w:rsid w:val="002332D4"/>
    <w:rsid w:val="0023332C"/>
    <w:rsid w:val="002333C4"/>
    <w:rsid w:val="00233763"/>
    <w:rsid w:val="00233879"/>
    <w:rsid w:val="00233907"/>
    <w:rsid w:val="00233948"/>
    <w:rsid w:val="002339F2"/>
    <w:rsid w:val="00233A3E"/>
    <w:rsid w:val="00233AA3"/>
    <w:rsid w:val="00233C5D"/>
    <w:rsid w:val="00233C71"/>
    <w:rsid w:val="00233CA4"/>
    <w:rsid w:val="00233DF7"/>
    <w:rsid w:val="00233EA4"/>
    <w:rsid w:val="00233FA3"/>
    <w:rsid w:val="00234014"/>
    <w:rsid w:val="00234085"/>
    <w:rsid w:val="002340B2"/>
    <w:rsid w:val="002340E9"/>
    <w:rsid w:val="002341A9"/>
    <w:rsid w:val="0023420B"/>
    <w:rsid w:val="00234277"/>
    <w:rsid w:val="00234806"/>
    <w:rsid w:val="0023486F"/>
    <w:rsid w:val="00234AA9"/>
    <w:rsid w:val="00234B86"/>
    <w:rsid w:val="00234CA4"/>
    <w:rsid w:val="00234CA5"/>
    <w:rsid w:val="00234D09"/>
    <w:rsid w:val="00234D11"/>
    <w:rsid w:val="00234D75"/>
    <w:rsid w:val="00234D8A"/>
    <w:rsid w:val="00234DBC"/>
    <w:rsid w:val="00234E03"/>
    <w:rsid w:val="00234E8B"/>
    <w:rsid w:val="00234FE4"/>
    <w:rsid w:val="00235055"/>
    <w:rsid w:val="0023518A"/>
    <w:rsid w:val="002351E5"/>
    <w:rsid w:val="00235241"/>
    <w:rsid w:val="00235254"/>
    <w:rsid w:val="002352B3"/>
    <w:rsid w:val="002355BC"/>
    <w:rsid w:val="0023575F"/>
    <w:rsid w:val="00235934"/>
    <w:rsid w:val="00235AAD"/>
    <w:rsid w:val="00235B18"/>
    <w:rsid w:val="00235B33"/>
    <w:rsid w:val="00235CAC"/>
    <w:rsid w:val="00235CE6"/>
    <w:rsid w:val="00235DDE"/>
    <w:rsid w:val="00235DFD"/>
    <w:rsid w:val="00235E16"/>
    <w:rsid w:val="00235ECD"/>
    <w:rsid w:val="00235F15"/>
    <w:rsid w:val="00235F94"/>
    <w:rsid w:val="002360EC"/>
    <w:rsid w:val="00236154"/>
    <w:rsid w:val="00236315"/>
    <w:rsid w:val="002363D0"/>
    <w:rsid w:val="002364CD"/>
    <w:rsid w:val="002366CF"/>
    <w:rsid w:val="00236742"/>
    <w:rsid w:val="00236783"/>
    <w:rsid w:val="00236841"/>
    <w:rsid w:val="002368A6"/>
    <w:rsid w:val="00236954"/>
    <w:rsid w:val="002369CB"/>
    <w:rsid w:val="00236BA6"/>
    <w:rsid w:val="00236CD9"/>
    <w:rsid w:val="00236E21"/>
    <w:rsid w:val="00236EF2"/>
    <w:rsid w:val="00237137"/>
    <w:rsid w:val="002371DB"/>
    <w:rsid w:val="00237303"/>
    <w:rsid w:val="00237379"/>
    <w:rsid w:val="00237447"/>
    <w:rsid w:val="00237469"/>
    <w:rsid w:val="002375A9"/>
    <w:rsid w:val="002375D5"/>
    <w:rsid w:val="00237718"/>
    <w:rsid w:val="00237724"/>
    <w:rsid w:val="002377CD"/>
    <w:rsid w:val="00237A44"/>
    <w:rsid w:val="00237C93"/>
    <w:rsid w:val="00237D4C"/>
    <w:rsid w:val="00237D56"/>
    <w:rsid w:val="00237DF7"/>
    <w:rsid w:val="00237E51"/>
    <w:rsid w:val="00237E74"/>
    <w:rsid w:val="00237FEC"/>
    <w:rsid w:val="00240000"/>
    <w:rsid w:val="00240021"/>
    <w:rsid w:val="0024010B"/>
    <w:rsid w:val="00240235"/>
    <w:rsid w:val="0024037D"/>
    <w:rsid w:val="00240398"/>
    <w:rsid w:val="002403BE"/>
    <w:rsid w:val="00240458"/>
    <w:rsid w:val="002405BB"/>
    <w:rsid w:val="00240630"/>
    <w:rsid w:val="002406C2"/>
    <w:rsid w:val="00240844"/>
    <w:rsid w:val="0024096C"/>
    <w:rsid w:val="00240A0C"/>
    <w:rsid w:val="00240A63"/>
    <w:rsid w:val="00240AB9"/>
    <w:rsid w:val="00240AC5"/>
    <w:rsid w:val="00240AD7"/>
    <w:rsid w:val="00240BEF"/>
    <w:rsid w:val="00240BFF"/>
    <w:rsid w:val="00240CB3"/>
    <w:rsid w:val="00240D3A"/>
    <w:rsid w:val="00240DC2"/>
    <w:rsid w:val="00240E62"/>
    <w:rsid w:val="002410E9"/>
    <w:rsid w:val="00241110"/>
    <w:rsid w:val="0024134D"/>
    <w:rsid w:val="002413C4"/>
    <w:rsid w:val="0024151A"/>
    <w:rsid w:val="00241584"/>
    <w:rsid w:val="00241797"/>
    <w:rsid w:val="002417A3"/>
    <w:rsid w:val="0024185B"/>
    <w:rsid w:val="00241938"/>
    <w:rsid w:val="002419FA"/>
    <w:rsid w:val="00241CD9"/>
    <w:rsid w:val="00241D3A"/>
    <w:rsid w:val="00241E59"/>
    <w:rsid w:val="00241E9A"/>
    <w:rsid w:val="00241FBC"/>
    <w:rsid w:val="00241FD9"/>
    <w:rsid w:val="0024206F"/>
    <w:rsid w:val="00242091"/>
    <w:rsid w:val="00242203"/>
    <w:rsid w:val="0024240C"/>
    <w:rsid w:val="00242441"/>
    <w:rsid w:val="0024245B"/>
    <w:rsid w:val="0024254D"/>
    <w:rsid w:val="002425B5"/>
    <w:rsid w:val="002425C9"/>
    <w:rsid w:val="00242782"/>
    <w:rsid w:val="002427DC"/>
    <w:rsid w:val="00242854"/>
    <w:rsid w:val="002429A9"/>
    <w:rsid w:val="002429D5"/>
    <w:rsid w:val="002429E9"/>
    <w:rsid w:val="00242AE7"/>
    <w:rsid w:val="00242B61"/>
    <w:rsid w:val="00242B94"/>
    <w:rsid w:val="00242CE4"/>
    <w:rsid w:val="00242F81"/>
    <w:rsid w:val="00243031"/>
    <w:rsid w:val="00243285"/>
    <w:rsid w:val="0024338F"/>
    <w:rsid w:val="002433FA"/>
    <w:rsid w:val="0024345C"/>
    <w:rsid w:val="00243485"/>
    <w:rsid w:val="002436B5"/>
    <w:rsid w:val="002438F8"/>
    <w:rsid w:val="002438FA"/>
    <w:rsid w:val="00243930"/>
    <w:rsid w:val="00243966"/>
    <w:rsid w:val="00243A54"/>
    <w:rsid w:val="00243AA6"/>
    <w:rsid w:val="00243AC7"/>
    <w:rsid w:val="00243AD6"/>
    <w:rsid w:val="00243B4C"/>
    <w:rsid w:val="00243C6B"/>
    <w:rsid w:val="00243D17"/>
    <w:rsid w:val="00243E18"/>
    <w:rsid w:val="00243EE2"/>
    <w:rsid w:val="00243F81"/>
    <w:rsid w:val="00243F9F"/>
    <w:rsid w:val="00243FBF"/>
    <w:rsid w:val="00244110"/>
    <w:rsid w:val="002441AA"/>
    <w:rsid w:val="00244366"/>
    <w:rsid w:val="002443A0"/>
    <w:rsid w:val="00244474"/>
    <w:rsid w:val="002444AC"/>
    <w:rsid w:val="002444F1"/>
    <w:rsid w:val="002446B1"/>
    <w:rsid w:val="002448FE"/>
    <w:rsid w:val="002449E5"/>
    <w:rsid w:val="00244D32"/>
    <w:rsid w:val="00244DDE"/>
    <w:rsid w:val="00244EA7"/>
    <w:rsid w:val="002450C6"/>
    <w:rsid w:val="0024535D"/>
    <w:rsid w:val="002453CE"/>
    <w:rsid w:val="002453D0"/>
    <w:rsid w:val="00245498"/>
    <w:rsid w:val="00245591"/>
    <w:rsid w:val="0024583C"/>
    <w:rsid w:val="00245856"/>
    <w:rsid w:val="00245858"/>
    <w:rsid w:val="00245889"/>
    <w:rsid w:val="002459FE"/>
    <w:rsid w:val="00245A15"/>
    <w:rsid w:val="00245A4E"/>
    <w:rsid w:val="00245BCA"/>
    <w:rsid w:val="00245C09"/>
    <w:rsid w:val="00245D0F"/>
    <w:rsid w:val="00245D6C"/>
    <w:rsid w:val="002460DA"/>
    <w:rsid w:val="002461E0"/>
    <w:rsid w:val="002461EA"/>
    <w:rsid w:val="00246206"/>
    <w:rsid w:val="0024620A"/>
    <w:rsid w:val="00246269"/>
    <w:rsid w:val="002462E4"/>
    <w:rsid w:val="0024675D"/>
    <w:rsid w:val="00246874"/>
    <w:rsid w:val="002469A7"/>
    <w:rsid w:val="00246B9D"/>
    <w:rsid w:val="00246BF0"/>
    <w:rsid w:val="00246C4F"/>
    <w:rsid w:val="00246CDF"/>
    <w:rsid w:val="00246DB5"/>
    <w:rsid w:val="00246EFC"/>
    <w:rsid w:val="00246F72"/>
    <w:rsid w:val="00246FD2"/>
    <w:rsid w:val="00247044"/>
    <w:rsid w:val="00247071"/>
    <w:rsid w:val="002470EF"/>
    <w:rsid w:val="0024715B"/>
    <w:rsid w:val="00247168"/>
    <w:rsid w:val="0024720F"/>
    <w:rsid w:val="00247219"/>
    <w:rsid w:val="002472A1"/>
    <w:rsid w:val="002472CC"/>
    <w:rsid w:val="0024731E"/>
    <w:rsid w:val="002474AB"/>
    <w:rsid w:val="002475E0"/>
    <w:rsid w:val="00247697"/>
    <w:rsid w:val="002476C4"/>
    <w:rsid w:val="00247747"/>
    <w:rsid w:val="002478EA"/>
    <w:rsid w:val="0024796B"/>
    <w:rsid w:val="002479CF"/>
    <w:rsid w:val="00247B51"/>
    <w:rsid w:val="00247B71"/>
    <w:rsid w:val="00247C0E"/>
    <w:rsid w:val="00247E8A"/>
    <w:rsid w:val="00250018"/>
    <w:rsid w:val="002501DB"/>
    <w:rsid w:val="002502A9"/>
    <w:rsid w:val="00250427"/>
    <w:rsid w:val="002506FD"/>
    <w:rsid w:val="00250850"/>
    <w:rsid w:val="0025085C"/>
    <w:rsid w:val="002509F0"/>
    <w:rsid w:val="00250A12"/>
    <w:rsid w:val="00250A7D"/>
    <w:rsid w:val="00250B36"/>
    <w:rsid w:val="00250C1B"/>
    <w:rsid w:val="00250C35"/>
    <w:rsid w:val="00250D98"/>
    <w:rsid w:val="00250FAE"/>
    <w:rsid w:val="00250FEB"/>
    <w:rsid w:val="002511F5"/>
    <w:rsid w:val="00251454"/>
    <w:rsid w:val="002514AD"/>
    <w:rsid w:val="0025152B"/>
    <w:rsid w:val="002516D3"/>
    <w:rsid w:val="00251701"/>
    <w:rsid w:val="002517CB"/>
    <w:rsid w:val="00251828"/>
    <w:rsid w:val="0025183B"/>
    <w:rsid w:val="0025186C"/>
    <w:rsid w:val="00251876"/>
    <w:rsid w:val="002519B2"/>
    <w:rsid w:val="00251AD3"/>
    <w:rsid w:val="00251C25"/>
    <w:rsid w:val="00251D2D"/>
    <w:rsid w:val="00251F1C"/>
    <w:rsid w:val="00251FB4"/>
    <w:rsid w:val="002520C6"/>
    <w:rsid w:val="0025221E"/>
    <w:rsid w:val="002522C0"/>
    <w:rsid w:val="00252320"/>
    <w:rsid w:val="002523C6"/>
    <w:rsid w:val="00252425"/>
    <w:rsid w:val="00252440"/>
    <w:rsid w:val="00252507"/>
    <w:rsid w:val="00252528"/>
    <w:rsid w:val="0025258E"/>
    <w:rsid w:val="002525D1"/>
    <w:rsid w:val="0025260E"/>
    <w:rsid w:val="002526E0"/>
    <w:rsid w:val="002526E2"/>
    <w:rsid w:val="0025288E"/>
    <w:rsid w:val="002528CE"/>
    <w:rsid w:val="002528E9"/>
    <w:rsid w:val="0025294D"/>
    <w:rsid w:val="002529B3"/>
    <w:rsid w:val="00252A9E"/>
    <w:rsid w:val="00252D09"/>
    <w:rsid w:val="00252E89"/>
    <w:rsid w:val="00252ED2"/>
    <w:rsid w:val="002532D5"/>
    <w:rsid w:val="00253539"/>
    <w:rsid w:val="00253656"/>
    <w:rsid w:val="00253952"/>
    <w:rsid w:val="00253AB1"/>
    <w:rsid w:val="00253C45"/>
    <w:rsid w:val="00253CA1"/>
    <w:rsid w:val="00253D62"/>
    <w:rsid w:val="00253DAD"/>
    <w:rsid w:val="00253DD1"/>
    <w:rsid w:val="00253E88"/>
    <w:rsid w:val="0025409E"/>
    <w:rsid w:val="002540C3"/>
    <w:rsid w:val="002543F4"/>
    <w:rsid w:val="0025446A"/>
    <w:rsid w:val="0025451E"/>
    <w:rsid w:val="0025453C"/>
    <w:rsid w:val="0025456F"/>
    <w:rsid w:val="002545CC"/>
    <w:rsid w:val="0025464B"/>
    <w:rsid w:val="00254777"/>
    <w:rsid w:val="00254790"/>
    <w:rsid w:val="002547CD"/>
    <w:rsid w:val="002549F1"/>
    <w:rsid w:val="00254A7D"/>
    <w:rsid w:val="00254B41"/>
    <w:rsid w:val="00254B99"/>
    <w:rsid w:val="00254D62"/>
    <w:rsid w:val="00254E19"/>
    <w:rsid w:val="00254ED9"/>
    <w:rsid w:val="00254FC0"/>
    <w:rsid w:val="0025501C"/>
    <w:rsid w:val="002550BB"/>
    <w:rsid w:val="002550D5"/>
    <w:rsid w:val="0025539E"/>
    <w:rsid w:val="00255417"/>
    <w:rsid w:val="00255459"/>
    <w:rsid w:val="00255655"/>
    <w:rsid w:val="002556C3"/>
    <w:rsid w:val="002556C5"/>
    <w:rsid w:val="0025574C"/>
    <w:rsid w:val="0025577F"/>
    <w:rsid w:val="00255855"/>
    <w:rsid w:val="00255896"/>
    <w:rsid w:val="00255898"/>
    <w:rsid w:val="002559D3"/>
    <w:rsid w:val="00255B21"/>
    <w:rsid w:val="00255B8A"/>
    <w:rsid w:val="00255C8B"/>
    <w:rsid w:val="00255D0F"/>
    <w:rsid w:val="00255EB0"/>
    <w:rsid w:val="00255EC6"/>
    <w:rsid w:val="00255FAA"/>
    <w:rsid w:val="00255FDA"/>
    <w:rsid w:val="00256087"/>
    <w:rsid w:val="00256276"/>
    <w:rsid w:val="002562A1"/>
    <w:rsid w:val="0025645F"/>
    <w:rsid w:val="002565C3"/>
    <w:rsid w:val="0025661C"/>
    <w:rsid w:val="002566A2"/>
    <w:rsid w:val="0025692B"/>
    <w:rsid w:val="00256A5C"/>
    <w:rsid w:val="00256C2B"/>
    <w:rsid w:val="00256C96"/>
    <w:rsid w:val="00256CA5"/>
    <w:rsid w:val="00256D56"/>
    <w:rsid w:val="00256D98"/>
    <w:rsid w:val="00256DD6"/>
    <w:rsid w:val="00256E18"/>
    <w:rsid w:val="00256E9B"/>
    <w:rsid w:val="00256EBA"/>
    <w:rsid w:val="00256EFF"/>
    <w:rsid w:val="00256F11"/>
    <w:rsid w:val="00256F37"/>
    <w:rsid w:val="0025700D"/>
    <w:rsid w:val="00257017"/>
    <w:rsid w:val="0025706B"/>
    <w:rsid w:val="0025717A"/>
    <w:rsid w:val="0025734E"/>
    <w:rsid w:val="00257589"/>
    <w:rsid w:val="00257683"/>
    <w:rsid w:val="002576AC"/>
    <w:rsid w:val="002576EC"/>
    <w:rsid w:val="00257723"/>
    <w:rsid w:val="00257784"/>
    <w:rsid w:val="00257786"/>
    <w:rsid w:val="002578C0"/>
    <w:rsid w:val="002578DB"/>
    <w:rsid w:val="00257976"/>
    <w:rsid w:val="002579C0"/>
    <w:rsid w:val="00257A29"/>
    <w:rsid w:val="00257B76"/>
    <w:rsid w:val="00257CC2"/>
    <w:rsid w:val="00257D34"/>
    <w:rsid w:val="00257F08"/>
    <w:rsid w:val="002600E6"/>
    <w:rsid w:val="0026015F"/>
    <w:rsid w:val="002602D3"/>
    <w:rsid w:val="00260492"/>
    <w:rsid w:val="00260612"/>
    <w:rsid w:val="0026063B"/>
    <w:rsid w:val="002606C0"/>
    <w:rsid w:val="002606DF"/>
    <w:rsid w:val="002606E3"/>
    <w:rsid w:val="00260719"/>
    <w:rsid w:val="00260A3A"/>
    <w:rsid w:val="00260C59"/>
    <w:rsid w:val="00260E25"/>
    <w:rsid w:val="00260E7E"/>
    <w:rsid w:val="00260EB1"/>
    <w:rsid w:val="00260F10"/>
    <w:rsid w:val="00261022"/>
    <w:rsid w:val="002611F0"/>
    <w:rsid w:val="00261271"/>
    <w:rsid w:val="002613A0"/>
    <w:rsid w:val="002613DF"/>
    <w:rsid w:val="002614E3"/>
    <w:rsid w:val="002615D3"/>
    <w:rsid w:val="0026160C"/>
    <w:rsid w:val="002616DF"/>
    <w:rsid w:val="002618CA"/>
    <w:rsid w:val="00261926"/>
    <w:rsid w:val="00261AA3"/>
    <w:rsid w:val="00261AE8"/>
    <w:rsid w:val="00261C17"/>
    <w:rsid w:val="00261D04"/>
    <w:rsid w:val="00261D62"/>
    <w:rsid w:val="00261E94"/>
    <w:rsid w:val="00261E98"/>
    <w:rsid w:val="00261F8B"/>
    <w:rsid w:val="00261FB5"/>
    <w:rsid w:val="002620A7"/>
    <w:rsid w:val="002620C1"/>
    <w:rsid w:val="00262162"/>
    <w:rsid w:val="00262194"/>
    <w:rsid w:val="00262289"/>
    <w:rsid w:val="00262344"/>
    <w:rsid w:val="00262447"/>
    <w:rsid w:val="0026245D"/>
    <w:rsid w:val="002624BC"/>
    <w:rsid w:val="002624DF"/>
    <w:rsid w:val="00262584"/>
    <w:rsid w:val="002625C9"/>
    <w:rsid w:val="0026269A"/>
    <w:rsid w:val="002626D4"/>
    <w:rsid w:val="0026287B"/>
    <w:rsid w:val="00262983"/>
    <w:rsid w:val="00262A18"/>
    <w:rsid w:val="00262B69"/>
    <w:rsid w:val="00262BA4"/>
    <w:rsid w:val="00262C8F"/>
    <w:rsid w:val="00262D30"/>
    <w:rsid w:val="00262D80"/>
    <w:rsid w:val="00262F9E"/>
    <w:rsid w:val="0026309A"/>
    <w:rsid w:val="0026330F"/>
    <w:rsid w:val="0026331A"/>
    <w:rsid w:val="002635B8"/>
    <w:rsid w:val="00263750"/>
    <w:rsid w:val="0026376D"/>
    <w:rsid w:val="0026383F"/>
    <w:rsid w:val="00263867"/>
    <w:rsid w:val="002638B7"/>
    <w:rsid w:val="002638FC"/>
    <w:rsid w:val="00263991"/>
    <w:rsid w:val="002639AA"/>
    <w:rsid w:val="00263B2C"/>
    <w:rsid w:val="00263BCE"/>
    <w:rsid w:val="00263C86"/>
    <w:rsid w:val="00263CBF"/>
    <w:rsid w:val="00263E12"/>
    <w:rsid w:val="00263F2E"/>
    <w:rsid w:val="00263F91"/>
    <w:rsid w:val="00263FA6"/>
    <w:rsid w:val="00263FF8"/>
    <w:rsid w:val="00264499"/>
    <w:rsid w:val="002644E8"/>
    <w:rsid w:val="00264779"/>
    <w:rsid w:val="002647AB"/>
    <w:rsid w:val="002647B0"/>
    <w:rsid w:val="00264852"/>
    <w:rsid w:val="00264A09"/>
    <w:rsid w:val="00264C8D"/>
    <w:rsid w:val="00264D94"/>
    <w:rsid w:val="00264DCC"/>
    <w:rsid w:val="00265065"/>
    <w:rsid w:val="00265177"/>
    <w:rsid w:val="00265234"/>
    <w:rsid w:val="0026525E"/>
    <w:rsid w:val="002652EF"/>
    <w:rsid w:val="00265302"/>
    <w:rsid w:val="0026536E"/>
    <w:rsid w:val="00265435"/>
    <w:rsid w:val="002655C8"/>
    <w:rsid w:val="00265669"/>
    <w:rsid w:val="0026591A"/>
    <w:rsid w:val="002659E4"/>
    <w:rsid w:val="00265ABA"/>
    <w:rsid w:val="00265B41"/>
    <w:rsid w:val="00265CA9"/>
    <w:rsid w:val="00265EDF"/>
    <w:rsid w:val="00265F36"/>
    <w:rsid w:val="002661D7"/>
    <w:rsid w:val="00266333"/>
    <w:rsid w:val="00266383"/>
    <w:rsid w:val="0026642D"/>
    <w:rsid w:val="00266571"/>
    <w:rsid w:val="002666CC"/>
    <w:rsid w:val="0026674E"/>
    <w:rsid w:val="00266761"/>
    <w:rsid w:val="002668C8"/>
    <w:rsid w:val="002668D5"/>
    <w:rsid w:val="0026697A"/>
    <w:rsid w:val="00266A9B"/>
    <w:rsid w:val="00266ACC"/>
    <w:rsid w:val="00266AF8"/>
    <w:rsid w:val="00266B3C"/>
    <w:rsid w:val="00266B91"/>
    <w:rsid w:val="00266B97"/>
    <w:rsid w:val="00266BCC"/>
    <w:rsid w:val="00266CE5"/>
    <w:rsid w:val="00266E5A"/>
    <w:rsid w:val="00266EA0"/>
    <w:rsid w:val="00266EB7"/>
    <w:rsid w:val="00266F22"/>
    <w:rsid w:val="0026700E"/>
    <w:rsid w:val="00267072"/>
    <w:rsid w:val="00267078"/>
    <w:rsid w:val="00267195"/>
    <w:rsid w:val="00267227"/>
    <w:rsid w:val="002672E9"/>
    <w:rsid w:val="0026749C"/>
    <w:rsid w:val="002676FA"/>
    <w:rsid w:val="002677AF"/>
    <w:rsid w:val="0026786A"/>
    <w:rsid w:val="00267882"/>
    <w:rsid w:val="00267AED"/>
    <w:rsid w:val="00267BA6"/>
    <w:rsid w:val="00267BBC"/>
    <w:rsid w:val="00267BDF"/>
    <w:rsid w:val="00267C0F"/>
    <w:rsid w:val="00267D70"/>
    <w:rsid w:val="00267D7E"/>
    <w:rsid w:val="00267D97"/>
    <w:rsid w:val="00267DA3"/>
    <w:rsid w:val="00267E47"/>
    <w:rsid w:val="00267E73"/>
    <w:rsid w:val="00267E82"/>
    <w:rsid w:val="002702E6"/>
    <w:rsid w:val="0027042B"/>
    <w:rsid w:val="00270476"/>
    <w:rsid w:val="002704B1"/>
    <w:rsid w:val="00270523"/>
    <w:rsid w:val="002707AD"/>
    <w:rsid w:val="002707E4"/>
    <w:rsid w:val="002708B1"/>
    <w:rsid w:val="00270B8B"/>
    <w:rsid w:val="00270C6A"/>
    <w:rsid w:val="00270CA2"/>
    <w:rsid w:val="00270D5E"/>
    <w:rsid w:val="00270D64"/>
    <w:rsid w:val="00270F35"/>
    <w:rsid w:val="00270F5C"/>
    <w:rsid w:val="00270F8B"/>
    <w:rsid w:val="002710A0"/>
    <w:rsid w:val="002710EB"/>
    <w:rsid w:val="00271268"/>
    <w:rsid w:val="00271284"/>
    <w:rsid w:val="0027141E"/>
    <w:rsid w:val="00271552"/>
    <w:rsid w:val="0027163C"/>
    <w:rsid w:val="0027165C"/>
    <w:rsid w:val="00271740"/>
    <w:rsid w:val="002717C0"/>
    <w:rsid w:val="002717C8"/>
    <w:rsid w:val="00271898"/>
    <w:rsid w:val="002719F9"/>
    <w:rsid w:val="00271A11"/>
    <w:rsid w:val="00271B79"/>
    <w:rsid w:val="00271B9A"/>
    <w:rsid w:val="00271C4F"/>
    <w:rsid w:val="00271C97"/>
    <w:rsid w:val="00271CDD"/>
    <w:rsid w:val="00271D08"/>
    <w:rsid w:val="00271EED"/>
    <w:rsid w:val="00271F7F"/>
    <w:rsid w:val="00271F85"/>
    <w:rsid w:val="002721DC"/>
    <w:rsid w:val="0027225C"/>
    <w:rsid w:val="002723B0"/>
    <w:rsid w:val="002723E9"/>
    <w:rsid w:val="0027242E"/>
    <w:rsid w:val="00272463"/>
    <w:rsid w:val="00272630"/>
    <w:rsid w:val="002726F1"/>
    <w:rsid w:val="00272730"/>
    <w:rsid w:val="00272733"/>
    <w:rsid w:val="00272831"/>
    <w:rsid w:val="002728E6"/>
    <w:rsid w:val="00272A6C"/>
    <w:rsid w:val="00272BB4"/>
    <w:rsid w:val="00272C5B"/>
    <w:rsid w:val="00272C7A"/>
    <w:rsid w:val="00272DE1"/>
    <w:rsid w:val="002731A1"/>
    <w:rsid w:val="002731A7"/>
    <w:rsid w:val="00273340"/>
    <w:rsid w:val="002733BE"/>
    <w:rsid w:val="00273447"/>
    <w:rsid w:val="002735F0"/>
    <w:rsid w:val="0027373F"/>
    <w:rsid w:val="002737BE"/>
    <w:rsid w:val="0027386D"/>
    <w:rsid w:val="002739FB"/>
    <w:rsid w:val="00273A7B"/>
    <w:rsid w:val="00273CF4"/>
    <w:rsid w:val="00273D1C"/>
    <w:rsid w:val="00273E54"/>
    <w:rsid w:val="00273E7C"/>
    <w:rsid w:val="00273EC3"/>
    <w:rsid w:val="00274087"/>
    <w:rsid w:val="002740DC"/>
    <w:rsid w:val="002740EA"/>
    <w:rsid w:val="0027410A"/>
    <w:rsid w:val="0027422F"/>
    <w:rsid w:val="002744BE"/>
    <w:rsid w:val="002745D7"/>
    <w:rsid w:val="00274651"/>
    <w:rsid w:val="002749D3"/>
    <w:rsid w:val="00274C4C"/>
    <w:rsid w:val="00274C7C"/>
    <w:rsid w:val="00274C95"/>
    <w:rsid w:val="00274CB5"/>
    <w:rsid w:val="00274DB0"/>
    <w:rsid w:val="00274E24"/>
    <w:rsid w:val="00274F31"/>
    <w:rsid w:val="00274F76"/>
    <w:rsid w:val="00274F94"/>
    <w:rsid w:val="00275087"/>
    <w:rsid w:val="00275444"/>
    <w:rsid w:val="0027547B"/>
    <w:rsid w:val="00275531"/>
    <w:rsid w:val="002755CF"/>
    <w:rsid w:val="002756DE"/>
    <w:rsid w:val="00275814"/>
    <w:rsid w:val="0027584C"/>
    <w:rsid w:val="00275A95"/>
    <w:rsid w:val="00275B1A"/>
    <w:rsid w:val="00275C9B"/>
    <w:rsid w:val="00275C9D"/>
    <w:rsid w:val="00275E71"/>
    <w:rsid w:val="00275ECB"/>
    <w:rsid w:val="00275F6E"/>
    <w:rsid w:val="00276039"/>
    <w:rsid w:val="002761A1"/>
    <w:rsid w:val="002763F1"/>
    <w:rsid w:val="00276427"/>
    <w:rsid w:val="00276444"/>
    <w:rsid w:val="00276454"/>
    <w:rsid w:val="002764C7"/>
    <w:rsid w:val="002765B1"/>
    <w:rsid w:val="0027665A"/>
    <w:rsid w:val="0027688E"/>
    <w:rsid w:val="0027691A"/>
    <w:rsid w:val="002769A3"/>
    <w:rsid w:val="00276BF5"/>
    <w:rsid w:val="00276D2A"/>
    <w:rsid w:val="00276D43"/>
    <w:rsid w:val="00276E38"/>
    <w:rsid w:val="00276E9D"/>
    <w:rsid w:val="00276F4D"/>
    <w:rsid w:val="00276FB4"/>
    <w:rsid w:val="00277036"/>
    <w:rsid w:val="00277158"/>
    <w:rsid w:val="00277171"/>
    <w:rsid w:val="002771D8"/>
    <w:rsid w:val="002772C0"/>
    <w:rsid w:val="002772FE"/>
    <w:rsid w:val="0027738D"/>
    <w:rsid w:val="00277592"/>
    <w:rsid w:val="0027767F"/>
    <w:rsid w:val="0027773C"/>
    <w:rsid w:val="00277747"/>
    <w:rsid w:val="00277805"/>
    <w:rsid w:val="00277C55"/>
    <w:rsid w:val="00277C61"/>
    <w:rsid w:val="00277C79"/>
    <w:rsid w:val="00277CBF"/>
    <w:rsid w:val="00277DDC"/>
    <w:rsid w:val="00277DFD"/>
    <w:rsid w:val="00277E5D"/>
    <w:rsid w:val="00277EDB"/>
    <w:rsid w:val="00277FD0"/>
    <w:rsid w:val="00280050"/>
    <w:rsid w:val="00280124"/>
    <w:rsid w:val="002801C3"/>
    <w:rsid w:val="002801D9"/>
    <w:rsid w:val="00280278"/>
    <w:rsid w:val="002802D5"/>
    <w:rsid w:val="0028039B"/>
    <w:rsid w:val="002803B9"/>
    <w:rsid w:val="002803D2"/>
    <w:rsid w:val="00280455"/>
    <w:rsid w:val="0028071B"/>
    <w:rsid w:val="0028081D"/>
    <w:rsid w:val="002808DC"/>
    <w:rsid w:val="002809A3"/>
    <w:rsid w:val="00280A2B"/>
    <w:rsid w:val="00280A7F"/>
    <w:rsid w:val="00280ABD"/>
    <w:rsid w:val="00280BAA"/>
    <w:rsid w:val="00280CFF"/>
    <w:rsid w:val="00280F6F"/>
    <w:rsid w:val="00280F91"/>
    <w:rsid w:val="00281040"/>
    <w:rsid w:val="002810BE"/>
    <w:rsid w:val="002812A9"/>
    <w:rsid w:val="00281350"/>
    <w:rsid w:val="00281518"/>
    <w:rsid w:val="00281697"/>
    <w:rsid w:val="0028169A"/>
    <w:rsid w:val="002816FE"/>
    <w:rsid w:val="00281773"/>
    <w:rsid w:val="0028188A"/>
    <w:rsid w:val="002818CD"/>
    <w:rsid w:val="002818D7"/>
    <w:rsid w:val="0028196C"/>
    <w:rsid w:val="00281B6C"/>
    <w:rsid w:val="00281BE7"/>
    <w:rsid w:val="00281C3B"/>
    <w:rsid w:val="00281D08"/>
    <w:rsid w:val="00281E5A"/>
    <w:rsid w:val="0028203B"/>
    <w:rsid w:val="00282043"/>
    <w:rsid w:val="002820D5"/>
    <w:rsid w:val="0028218B"/>
    <w:rsid w:val="002822AE"/>
    <w:rsid w:val="0028246B"/>
    <w:rsid w:val="002824A0"/>
    <w:rsid w:val="0028250E"/>
    <w:rsid w:val="0028262F"/>
    <w:rsid w:val="0028281E"/>
    <w:rsid w:val="002828CE"/>
    <w:rsid w:val="00282961"/>
    <w:rsid w:val="002829A2"/>
    <w:rsid w:val="00282ADD"/>
    <w:rsid w:val="00282C10"/>
    <w:rsid w:val="00282C7E"/>
    <w:rsid w:val="00282E5E"/>
    <w:rsid w:val="00282E9F"/>
    <w:rsid w:val="00282EB7"/>
    <w:rsid w:val="00282F7B"/>
    <w:rsid w:val="00282FD7"/>
    <w:rsid w:val="00282FE4"/>
    <w:rsid w:val="00282FE5"/>
    <w:rsid w:val="002830BF"/>
    <w:rsid w:val="0028314D"/>
    <w:rsid w:val="002832CB"/>
    <w:rsid w:val="0028334C"/>
    <w:rsid w:val="0028340A"/>
    <w:rsid w:val="002835DA"/>
    <w:rsid w:val="0028370A"/>
    <w:rsid w:val="002837AE"/>
    <w:rsid w:val="00283986"/>
    <w:rsid w:val="00283A2B"/>
    <w:rsid w:val="00283A2C"/>
    <w:rsid w:val="00283B9E"/>
    <w:rsid w:val="00283BF1"/>
    <w:rsid w:val="00284015"/>
    <w:rsid w:val="0028425D"/>
    <w:rsid w:val="002842DA"/>
    <w:rsid w:val="00284343"/>
    <w:rsid w:val="0028439E"/>
    <w:rsid w:val="0028447E"/>
    <w:rsid w:val="002844B8"/>
    <w:rsid w:val="002845F9"/>
    <w:rsid w:val="0028460C"/>
    <w:rsid w:val="002847FA"/>
    <w:rsid w:val="00284903"/>
    <w:rsid w:val="00284928"/>
    <w:rsid w:val="00284A87"/>
    <w:rsid w:val="00284A9F"/>
    <w:rsid w:val="00284AEF"/>
    <w:rsid w:val="00284B51"/>
    <w:rsid w:val="00284B87"/>
    <w:rsid w:val="00284BCA"/>
    <w:rsid w:val="00284D4F"/>
    <w:rsid w:val="00284DE5"/>
    <w:rsid w:val="00284E44"/>
    <w:rsid w:val="00284F8B"/>
    <w:rsid w:val="00285031"/>
    <w:rsid w:val="00285101"/>
    <w:rsid w:val="00285252"/>
    <w:rsid w:val="002852BE"/>
    <w:rsid w:val="002852E7"/>
    <w:rsid w:val="002853A1"/>
    <w:rsid w:val="002853D0"/>
    <w:rsid w:val="00285530"/>
    <w:rsid w:val="00285714"/>
    <w:rsid w:val="00285748"/>
    <w:rsid w:val="0028576A"/>
    <w:rsid w:val="00285851"/>
    <w:rsid w:val="00285876"/>
    <w:rsid w:val="00285A5F"/>
    <w:rsid w:val="00285AD5"/>
    <w:rsid w:val="00285B0D"/>
    <w:rsid w:val="00285BF2"/>
    <w:rsid w:val="00285CB5"/>
    <w:rsid w:val="00285D9D"/>
    <w:rsid w:val="00286091"/>
    <w:rsid w:val="002860A0"/>
    <w:rsid w:val="002860A5"/>
    <w:rsid w:val="0028616A"/>
    <w:rsid w:val="0028630F"/>
    <w:rsid w:val="00286658"/>
    <w:rsid w:val="002866FA"/>
    <w:rsid w:val="0028672C"/>
    <w:rsid w:val="002867CF"/>
    <w:rsid w:val="00286845"/>
    <w:rsid w:val="002868B4"/>
    <w:rsid w:val="0028692F"/>
    <w:rsid w:val="00286AEE"/>
    <w:rsid w:val="00286B07"/>
    <w:rsid w:val="00286B42"/>
    <w:rsid w:val="00286B69"/>
    <w:rsid w:val="00286BB0"/>
    <w:rsid w:val="00286C05"/>
    <w:rsid w:val="00286CE2"/>
    <w:rsid w:val="00286E3F"/>
    <w:rsid w:val="00286E71"/>
    <w:rsid w:val="0028714C"/>
    <w:rsid w:val="0028716D"/>
    <w:rsid w:val="002871B2"/>
    <w:rsid w:val="0028726A"/>
    <w:rsid w:val="00287290"/>
    <w:rsid w:val="00287376"/>
    <w:rsid w:val="002874B9"/>
    <w:rsid w:val="002877B0"/>
    <w:rsid w:val="0028782E"/>
    <w:rsid w:val="00287838"/>
    <w:rsid w:val="00287986"/>
    <w:rsid w:val="00287A95"/>
    <w:rsid w:val="00287C70"/>
    <w:rsid w:val="00287CF2"/>
    <w:rsid w:val="00287DD5"/>
    <w:rsid w:val="00287E6A"/>
    <w:rsid w:val="00287F25"/>
    <w:rsid w:val="00287FF2"/>
    <w:rsid w:val="00290045"/>
    <w:rsid w:val="00290082"/>
    <w:rsid w:val="002900B6"/>
    <w:rsid w:val="00290190"/>
    <w:rsid w:val="00290253"/>
    <w:rsid w:val="00290292"/>
    <w:rsid w:val="00290626"/>
    <w:rsid w:val="0029073B"/>
    <w:rsid w:val="0029094A"/>
    <w:rsid w:val="00290B22"/>
    <w:rsid w:val="00290B81"/>
    <w:rsid w:val="00290B96"/>
    <w:rsid w:val="00290CD1"/>
    <w:rsid w:val="00290DA1"/>
    <w:rsid w:val="00290DF4"/>
    <w:rsid w:val="00290E69"/>
    <w:rsid w:val="00290E83"/>
    <w:rsid w:val="00290F3F"/>
    <w:rsid w:val="00290F74"/>
    <w:rsid w:val="0029104A"/>
    <w:rsid w:val="002910BD"/>
    <w:rsid w:val="00291103"/>
    <w:rsid w:val="0029117F"/>
    <w:rsid w:val="002911A1"/>
    <w:rsid w:val="0029120E"/>
    <w:rsid w:val="0029123D"/>
    <w:rsid w:val="00291244"/>
    <w:rsid w:val="00291254"/>
    <w:rsid w:val="0029133C"/>
    <w:rsid w:val="002913A9"/>
    <w:rsid w:val="0029152E"/>
    <w:rsid w:val="0029168D"/>
    <w:rsid w:val="002918EC"/>
    <w:rsid w:val="002918EF"/>
    <w:rsid w:val="0029199C"/>
    <w:rsid w:val="002919DC"/>
    <w:rsid w:val="00291A44"/>
    <w:rsid w:val="00291ABB"/>
    <w:rsid w:val="00291B57"/>
    <w:rsid w:val="00291C29"/>
    <w:rsid w:val="00291C7F"/>
    <w:rsid w:val="00291DDF"/>
    <w:rsid w:val="00291E0E"/>
    <w:rsid w:val="00291F64"/>
    <w:rsid w:val="00291FA6"/>
    <w:rsid w:val="002921B3"/>
    <w:rsid w:val="002921BD"/>
    <w:rsid w:val="0029224D"/>
    <w:rsid w:val="00292314"/>
    <w:rsid w:val="002923DE"/>
    <w:rsid w:val="00292418"/>
    <w:rsid w:val="002924B7"/>
    <w:rsid w:val="002924D1"/>
    <w:rsid w:val="00292579"/>
    <w:rsid w:val="002925BC"/>
    <w:rsid w:val="00292613"/>
    <w:rsid w:val="0029268D"/>
    <w:rsid w:val="002926A4"/>
    <w:rsid w:val="0029270C"/>
    <w:rsid w:val="00292726"/>
    <w:rsid w:val="0029299D"/>
    <w:rsid w:val="0029299E"/>
    <w:rsid w:val="002929AC"/>
    <w:rsid w:val="00292B70"/>
    <w:rsid w:val="00292CD2"/>
    <w:rsid w:val="0029301C"/>
    <w:rsid w:val="0029302D"/>
    <w:rsid w:val="00293045"/>
    <w:rsid w:val="00293081"/>
    <w:rsid w:val="002931BB"/>
    <w:rsid w:val="0029321C"/>
    <w:rsid w:val="0029341C"/>
    <w:rsid w:val="00293466"/>
    <w:rsid w:val="00293495"/>
    <w:rsid w:val="002934E4"/>
    <w:rsid w:val="002935F5"/>
    <w:rsid w:val="002937A2"/>
    <w:rsid w:val="002937A3"/>
    <w:rsid w:val="002937E9"/>
    <w:rsid w:val="002938B2"/>
    <w:rsid w:val="0029397E"/>
    <w:rsid w:val="00293C5F"/>
    <w:rsid w:val="00293DF9"/>
    <w:rsid w:val="00294134"/>
    <w:rsid w:val="002941CC"/>
    <w:rsid w:val="002941E7"/>
    <w:rsid w:val="002942D7"/>
    <w:rsid w:val="002942F5"/>
    <w:rsid w:val="002942F9"/>
    <w:rsid w:val="00294327"/>
    <w:rsid w:val="00294370"/>
    <w:rsid w:val="00294387"/>
    <w:rsid w:val="002943F7"/>
    <w:rsid w:val="0029448B"/>
    <w:rsid w:val="0029450E"/>
    <w:rsid w:val="002945AA"/>
    <w:rsid w:val="002946CF"/>
    <w:rsid w:val="00294791"/>
    <w:rsid w:val="0029482B"/>
    <w:rsid w:val="0029484C"/>
    <w:rsid w:val="00294BDF"/>
    <w:rsid w:val="00294BF3"/>
    <w:rsid w:val="00294CBF"/>
    <w:rsid w:val="00294E92"/>
    <w:rsid w:val="00294F51"/>
    <w:rsid w:val="002950A0"/>
    <w:rsid w:val="00295109"/>
    <w:rsid w:val="0029511A"/>
    <w:rsid w:val="002951B0"/>
    <w:rsid w:val="002954E5"/>
    <w:rsid w:val="00295522"/>
    <w:rsid w:val="0029563D"/>
    <w:rsid w:val="002957C0"/>
    <w:rsid w:val="002958B7"/>
    <w:rsid w:val="00295931"/>
    <w:rsid w:val="00295A55"/>
    <w:rsid w:val="00295A75"/>
    <w:rsid w:val="00295B10"/>
    <w:rsid w:val="00295B68"/>
    <w:rsid w:val="00295C41"/>
    <w:rsid w:val="00295C65"/>
    <w:rsid w:val="00295CA9"/>
    <w:rsid w:val="00295D80"/>
    <w:rsid w:val="00295D9C"/>
    <w:rsid w:val="00295DFA"/>
    <w:rsid w:val="00295E93"/>
    <w:rsid w:val="00295F89"/>
    <w:rsid w:val="0029605B"/>
    <w:rsid w:val="00296094"/>
    <w:rsid w:val="00296111"/>
    <w:rsid w:val="002963EA"/>
    <w:rsid w:val="00296585"/>
    <w:rsid w:val="002966FB"/>
    <w:rsid w:val="00296852"/>
    <w:rsid w:val="00296949"/>
    <w:rsid w:val="00296979"/>
    <w:rsid w:val="002969CD"/>
    <w:rsid w:val="00296A59"/>
    <w:rsid w:val="00296B52"/>
    <w:rsid w:val="00296D8B"/>
    <w:rsid w:val="00296E4D"/>
    <w:rsid w:val="00296EB5"/>
    <w:rsid w:val="00296ED2"/>
    <w:rsid w:val="00297258"/>
    <w:rsid w:val="0029725F"/>
    <w:rsid w:val="002972EF"/>
    <w:rsid w:val="002973BF"/>
    <w:rsid w:val="00297490"/>
    <w:rsid w:val="002974E5"/>
    <w:rsid w:val="002974FE"/>
    <w:rsid w:val="0029751B"/>
    <w:rsid w:val="002975C9"/>
    <w:rsid w:val="002975E9"/>
    <w:rsid w:val="002975FD"/>
    <w:rsid w:val="00297612"/>
    <w:rsid w:val="0029769D"/>
    <w:rsid w:val="002978D2"/>
    <w:rsid w:val="0029791A"/>
    <w:rsid w:val="00297C34"/>
    <w:rsid w:val="00297C67"/>
    <w:rsid w:val="002A0168"/>
    <w:rsid w:val="002A018E"/>
    <w:rsid w:val="002A0238"/>
    <w:rsid w:val="002A0370"/>
    <w:rsid w:val="002A0412"/>
    <w:rsid w:val="002A0421"/>
    <w:rsid w:val="002A047D"/>
    <w:rsid w:val="002A0597"/>
    <w:rsid w:val="002A05BC"/>
    <w:rsid w:val="002A0728"/>
    <w:rsid w:val="002A08F8"/>
    <w:rsid w:val="002A09F1"/>
    <w:rsid w:val="002A0A1A"/>
    <w:rsid w:val="002A0C9D"/>
    <w:rsid w:val="002A0DF9"/>
    <w:rsid w:val="002A0E1C"/>
    <w:rsid w:val="002A0F8B"/>
    <w:rsid w:val="002A1148"/>
    <w:rsid w:val="002A1302"/>
    <w:rsid w:val="002A1376"/>
    <w:rsid w:val="002A13DA"/>
    <w:rsid w:val="002A13EE"/>
    <w:rsid w:val="002A147F"/>
    <w:rsid w:val="002A1669"/>
    <w:rsid w:val="002A1933"/>
    <w:rsid w:val="002A1A33"/>
    <w:rsid w:val="002A1B14"/>
    <w:rsid w:val="002A1B83"/>
    <w:rsid w:val="002A1B8F"/>
    <w:rsid w:val="002A1BFB"/>
    <w:rsid w:val="002A1C82"/>
    <w:rsid w:val="002A1DB9"/>
    <w:rsid w:val="002A1E23"/>
    <w:rsid w:val="002A1E79"/>
    <w:rsid w:val="002A1EA7"/>
    <w:rsid w:val="002A1F0B"/>
    <w:rsid w:val="002A1F2C"/>
    <w:rsid w:val="002A2241"/>
    <w:rsid w:val="002A247A"/>
    <w:rsid w:val="002A25FF"/>
    <w:rsid w:val="002A26F8"/>
    <w:rsid w:val="002A273D"/>
    <w:rsid w:val="002A27BD"/>
    <w:rsid w:val="002A283C"/>
    <w:rsid w:val="002A2999"/>
    <w:rsid w:val="002A29B1"/>
    <w:rsid w:val="002A2B09"/>
    <w:rsid w:val="002A2B4D"/>
    <w:rsid w:val="002A2CDA"/>
    <w:rsid w:val="002A2F19"/>
    <w:rsid w:val="002A2F8C"/>
    <w:rsid w:val="002A300F"/>
    <w:rsid w:val="002A3013"/>
    <w:rsid w:val="002A306B"/>
    <w:rsid w:val="002A3170"/>
    <w:rsid w:val="002A31B2"/>
    <w:rsid w:val="002A3233"/>
    <w:rsid w:val="002A33B4"/>
    <w:rsid w:val="002A34E4"/>
    <w:rsid w:val="002A3518"/>
    <w:rsid w:val="002A3526"/>
    <w:rsid w:val="002A35FA"/>
    <w:rsid w:val="002A3656"/>
    <w:rsid w:val="002A36D8"/>
    <w:rsid w:val="002A371D"/>
    <w:rsid w:val="002A3720"/>
    <w:rsid w:val="002A3752"/>
    <w:rsid w:val="002A3819"/>
    <w:rsid w:val="002A3835"/>
    <w:rsid w:val="002A3893"/>
    <w:rsid w:val="002A3900"/>
    <w:rsid w:val="002A39E6"/>
    <w:rsid w:val="002A3A48"/>
    <w:rsid w:val="002A3B01"/>
    <w:rsid w:val="002A4181"/>
    <w:rsid w:val="002A4442"/>
    <w:rsid w:val="002A44D6"/>
    <w:rsid w:val="002A468D"/>
    <w:rsid w:val="002A46F0"/>
    <w:rsid w:val="002A487F"/>
    <w:rsid w:val="002A4ABD"/>
    <w:rsid w:val="002A4B5A"/>
    <w:rsid w:val="002A4B91"/>
    <w:rsid w:val="002A4CDB"/>
    <w:rsid w:val="002A4ED5"/>
    <w:rsid w:val="002A50FF"/>
    <w:rsid w:val="002A515C"/>
    <w:rsid w:val="002A52A4"/>
    <w:rsid w:val="002A52CA"/>
    <w:rsid w:val="002A532F"/>
    <w:rsid w:val="002A5383"/>
    <w:rsid w:val="002A563C"/>
    <w:rsid w:val="002A56B1"/>
    <w:rsid w:val="002A56C4"/>
    <w:rsid w:val="002A574A"/>
    <w:rsid w:val="002A5872"/>
    <w:rsid w:val="002A5889"/>
    <w:rsid w:val="002A59A9"/>
    <w:rsid w:val="002A59AB"/>
    <w:rsid w:val="002A5A26"/>
    <w:rsid w:val="002A5A8A"/>
    <w:rsid w:val="002A5BBA"/>
    <w:rsid w:val="002A5C1B"/>
    <w:rsid w:val="002A5DC2"/>
    <w:rsid w:val="002A5E12"/>
    <w:rsid w:val="002A5F8A"/>
    <w:rsid w:val="002A600C"/>
    <w:rsid w:val="002A623F"/>
    <w:rsid w:val="002A62A0"/>
    <w:rsid w:val="002A62C3"/>
    <w:rsid w:val="002A6328"/>
    <w:rsid w:val="002A6386"/>
    <w:rsid w:val="002A63ED"/>
    <w:rsid w:val="002A6448"/>
    <w:rsid w:val="002A64BA"/>
    <w:rsid w:val="002A64CC"/>
    <w:rsid w:val="002A66AF"/>
    <w:rsid w:val="002A66F2"/>
    <w:rsid w:val="002A672E"/>
    <w:rsid w:val="002A673F"/>
    <w:rsid w:val="002A69D8"/>
    <w:rsid w:val="002A6B85"/>
    <w:rsid w:val="002A6B98"/>
    <w:rsid w:val="002A6C32"/>
    <w:rsid w:val="002A6CED"/>
    <w:rsid w:val="002A6CFB"/>
    <w:rsid w:val="002A6D0E"/>
    <w:rsid w:val="002A6D37"/>
    <w:rsid w:val="002A6FA2"/>
    <w:rsid w:val="002A7096"/>
    <w:rsid w:val="002A7159"/>
    <w:rsid w:val="002A71A7"/>
    <w:rsid w:val="002A72FF"/>
    <w:rsid w:val="002A7587"/>
    <w:rsid w:val="002A75E4"/>
    <w:rsid w:val="002A7929"/>
    <w:rsid w:val="002A7A84"/>
    <w:rsid w:val="002A7AAE"/>
    <w:rsid w:val="002A7BCB"/>
    <w:rsid w:val="002A7C57"/>
    <w:rsid w:val="002A7FCE"/>
    <w:rsid w:val="002B0002"/>
    <w:rsid w:val="002B0029"/>
    <w:rsid w:val="002B02C3"/>
    <w:rsid w:val="002B02E6"/>
    <w:rsid w:val="002B03A0"/>
    <w:rsid w:val="002B0488"/>
    <w:rsid w:val="002B050D"/>
    <w:rsid w:val="002B0552"/>
    <w:rsid w:val="002B067A"/>
    <w:rsid w:val="002B093E"/>
    <w:rsid w:val="002B0AAB"/>
    <w:rsid w:val="002B0AB7"/>
    <w:rsid w:val="002B0BD9"/>
    <w:rsid w:val="002B0CC2"/>
    <w:rsid w:val="002B0E3F"/>
    <w:rsid w:val="002B0E5C"/>
    <w:rsid w:val="002B10F3"/>
    <w:rsid w:val="002B1421"/>
    <w:rsid w:val="002B1689"/>
    <w:rsid w:val="002B16E4"/>
    <w:rsid w:val="002B16E7"/>
    <w:rsid w:val="002B1785"/>
    <w:rsid w:val="002B17EA"/>
    <w:rsid w:val="002B1863"/>
    <w:rsid w:val="002B1915"/>
    <w:rsid w:val="002B1923"/>
    <w:rsid w:val="002B1C27"/>
    <w:rsid w:val="002B1C87"/>
    <w:rsid w:val="002B1CF8"/>
    <w:rsid w:val="002B1D49"/>
    <w:rsid w:val="002B1E43"/>
    <w:rsid w:val="002B1ED1"/>
    <w:rsid w:val="002B1F11"/>
    <w:rsid w:val="002B1F39"/>
    <w:rsid w:val="002B2108"/>
    <w:rsid w:val="002B21D9"/>
    <w:rsid w:val="002B21EC"/>
    <w:rsid w:val="002B2243"/>
    <w:rsid w:val="002B231C"/>
    <w:rsid w:val="002B23D3"/>
    <w:rsid w:val="002B240B"/>
    <w:rsid w:val="002B2492"/>
    <w:rsid w:val="002B24B3"/>
    <w:rsid w:val="002B25BE"/>
    <w:rsid w:val="002B26E9"/>
    <w:rsid w:val="002B2840"/>
    <w:rsid w:val="002B28A2"/>
    <w:rsid w:val="002B29CB"/>
    <w:rsid w:val="002B2A9C"/>
    <w:rsid w:val="002B2B11"/>
    <w:rsid w:val="002B2B68"/>
    <w:rsid w:val="002B2B88"/>
    <w:rsid w:val="002B2BE7"/>
    <w:rsid w:val="002B2CF9"/>
    <w:rsid w:val="002B2D1D"/>
    <w:rsid w:val="002B2DA4"/>
    <w:rsid w:val="002B2DF0"/>
    <w:rsid w:val="002B3002"/>
    <w:rsid w:val="002B3094"/>
    <w:rsid w:val="002B351D"/>
    <w:rsid w:val="002B35DA"/>
    <w:rsid w:val="002B38EE"/>
    <w:rsid w:val="002B3925"/>
    <w:rsid w:val="002B3AAA"/>
    <w:rsid w:val="002B3ADE"/>
    <w:rsid w:val="002B3B96"/>
    <w:rsid w:val="002B3C06"/>
    <w:rsid w:val="002B3C67"/>
    <w:rsid w:val="002B3DAB"/>
    <w:rsid w:val="002B3DAE"/>
    <w:rsid w:val="002B3DD9"/>
    <w:rsid w:val="002B3EB3"/>
    <w:rsid w:val="002B3F75"/>
    <w:rsid w:val="002B4111"/>
    <w:rsid w:val="002B413D"/>
    <w:rsid w:val="002B4170"/>
    <w:rsid w:val="002B440B"/>
    <w:rsid w:val="002B4413"/>
    <w:rsid w:val="002B455A"/>
    <w:rsid w:val="002B45BE"/>
    <w:rsid w:val="002B464D"/>
    <w:rsid w:val="002B4690"/>
    <w:rsid w:val="002B48C6"/>
    <w:rsid w:val="002B4969"/>
    <w:rsid w:val="002B4A85"/>
    <w:rsid w:val="002B4DBE"/>
    <w:rsid w:val="002B4E13"/>
    <w:rsid w:val="002B4F6D"/>
    <w:rsid w:val="002B50F5"/>
    <w:rsid w:val="002B517A"/>
    <w:rsid w:val="002B527F"/>
    <w:rsid w:val="002B530B"/>
    <w:rsid w:val="002B5338"/>
    <w:rsid w:val="002B53C9"/>
    <w:rsid w:val="002B541C"/>
    <w:rsid w:val="002B5449"/>
    <w:rsid w:val="002B54A6"/>
    <w:rsid w:val="002B55EC"/>
    <w:rsid w:val="002B5630"/>
    <w:rsid w:val="002B575C"/>
    <w:rsid w:val="002B57B7"/>
    <w:rsid w:val="002B58B0"/>
    <w:rsid w:val="002B5B63"/>
    <w:rsid w:val="002B5BA0"/>
    <w:rsid w:val="002B5DD2"/>
    <w:rsid w:val="002B5E8D"/>
    <w:rsid w:val="002B603F"/>
    <w:rsid w:val="002B6042"/>
    <w:rsid w:val="002B6086"/>
    <w:rsid w:val="002B6093"/>
    <w:rsid w:val="002B60D1"/>
    <w:rsid w:val="002B60E3"/>
    <w:rsid w:val="002B618C"/>
    <w:rsid w:val="002B6266"/>
    <w:rsid w:val="002B6285"/>
    <w:rsid w:val="002B62D5"/>
    <w:rsid w:val="002B648C"/>
    <w:rsid w:val="002B64D5"/>
    <w:rsid w:val="002B64E1"/>
    <w:rsid w:val="002B64F5"/>
    <w:rsid w:val="002B654F"/>
    <w:rsid w:val="002B6560"/>
    <w:rsid w:val="002B660A"/>
    <w:rsid w:val="002B6653"/>
    <w:rsid w:val="002B6A98"/>
    <w:rsid w:val="002B6BE2"/>
    <w:rsid w:val="002B6CBE"/>
    <w:rsid w:val="002B6DD2"/>
    <w:rsid w:val="002B6E5A"/>
    <w:rsid w:val="002B6E7D"/>
    <w:rsid w:val="002B6FC1"/>
    <w:rsid w:val="002B7169"/>
    <w:rsid w:val="002B71DA"/>
    <w:rsid w:val="002B728B"/>
    <w:rsid w:val="002B7393"/>
    <w:rsid w:val="002B73B6"/>
    <w:rsid w:val="002B7424"/>
    <w:rsid w:val="002B7439"/>
    <w:rsid w:val="002B74BD"/>
    <w:rsid w:val="002B7524"/>
    <w:rsid w:val="002B7550"/>
    <w:rsid w:val="002B77AA"/>
    <w:rsid w:val="002B781C"/>
    <w:rsid w:val="002B78A9"/>
    <w:rsid w:val="002B78C7"/>
    <w:rsid w:val="002B78FC"/>
    <w:rsid w:val="002B7927"/>
    <w:rsid w:val="002B7B30"/>
    <w:rsid w:val="002B7C2C"/>
    <w:rsid w:val="002B7FEB"/>
    <w:rsid w:val="002C00E2"/>
    <w:rsid w:val="002C0104"/>
    <w:rsid w:val="002C016C"/>
    <w:rsid w:val="002C023B"/>
    <w:rsid w:val="002C0279"/>
    <w:rsid w:val="002C0328"/>
    <w:rsid w:val="002C037D"/>
    <w:rsid w:val="002C03B7"/>
    <w:rsid w:val="002C04D3"/>
    <w:rsid w:val="002C04D8"/>
    <w:rsid w:val="002C05F7"/>
    <w:rsid w:val="002C06DF"/>
    <w:rsid w:val="002C0747"/>
    <w:rsid w:val="002C078C"/>
    <w:rsid w:val="002C085B"/>
    <w:rsid w:val="002C095B"/>
    <w:rsid w:val="002C0A28"/>
    <w:rsid w:val="002C0AC6"/>
    <w:rsid w:val="002C0AD8"/>
    <w:rsid w:val="002C0AE5"/>
    <w:rsid w:val="002C0C7C"/>
    <w:rsid w:val="002C0E2A"/>
    <w:rsid w:val="002C0E90"/>
    <w:rsid w:val="002C0F38"/>
    <w:rsid w:val="002C0F83"/>
    <w:rsid w:val="002C117F"/>
    <w:rsid w:val="002C129C"/>
    <w:rsid w:val="002C1392"/>
    <w:rsid w:val="002C146A"/>
    <w:rsid w:val="002C14F1"/>
    <w:rsid w:val="002C16B6"/>
    <w:rsid w:val="002C16D7"/>
    <w:rsid w:val="002C1753"/>
    <w:rsid w:val="002C1812"/>
    <w:rsid w:val="002C1820"/>
    <w:rsid w:val="002C1887"/>
    <w:rsid w:val="002C1908"/>
    <w:rsid w:val="002C19F7"/>
    <w:rsid w:val="002C1A6D"/>
    <w:rsid w:val="002C1BAB"/>
    <w:rsid w:val="002C1C14"/>
    <w:rsid w:val="002C1C84"/>
    <w:rsid w:val="002C1D5F"/>
    <w:rsid w:val="002C1E06"/>
    <w:rsid w:val="002C1EC9"/>
    <w:rsid w:val="002C20FD"/>
    <w:rsid w:val="002C218D"/>
    <w:rsid w:val="002C21EE"/>
    <w:rsid w:val="002C22E4"/>
    <w:rsid w:val="002C23C7"/>
    <w:rsid w:val="002C23E3"/>
    <w:rsid w:val="002C259F"/>
    <w:rsid w:val="002C2A0F"/>
    <w:rsid w:val="002C2A19"/>
    <w:rsid w:val="002C2A73"/>
    <w:rsid w:val="002C2B9A"/>
    <w:rsid w:val="002C2BA9"/>
    <w:rsid w:val="002C2E79"/>
    <w:rsid w:val="002C2F00"/>
    <w:rsid w:val="002C2F34"/>
    <w:rsid w:val="002C2FAA"/>
    <w:rsid w:val="002C3071"/>
    <w:rsid w:val="002C31B1"/>
    <w:rsid w:val="002C31CB"/>
    <w:rsid w:val="002C32AD"/>
    <w:rsid w:val="002C331F"/>
    <w:rsid w:val="002C33B4"/>
    <w:rsid w:val="002C3636"/>
    <w:rsid w:val="002C363E"/>
    <w:rsid w:val="002C36A9"/>
    <w:rsid w:val="002C3785"/>
    <w:rsid w:val="002C37E0"/>
    <w:rsid w:val="002C3925"/>
    <w:rsid w:val="002C39E6"/>
    <w:rsid w:val="002C3A68"/>
    <w:rsid w:val="002C3A6D"/>
    <w:rsid w:val="002C3BBC"/>
    <w:rsid w:val="002C3D1B"/>
    <w:rsid w:val="002C3D1F"/>
    <w:rsid w:val="002C3E1D"/>
    <w:rsid w:val="002C3F48"/>
    <w:rsid w:val="002C3FE9"/>
    <w:rsid w:val="002C4043"/>
    <w:rsid w:val="002C40FE"/>
    <w:rsid w:val="002C4171"/>
    <w:rsid w:val="002C447D"/>
    <w:rsid w:val="002C46B7"/>
    <w:rsid w:val="002C46E4"/>
    <w:rsid w:val="002C470B"/>
    <w:rsid w:val="002C4898"/>
    <w:rsid w:val="002C4997"/>
    <w:rsid w:val="002C4A9C"/>
    <w:rsid w:val="002C4AC7"/>
    <w:rsid w:val="002C4AE7"/>
    <w:rsid w:val="002C4B20"/>
    <w:rsid w:val="002C4D00"/>
    <w:rsid w:val="002C4D4A"/>
    <w:rsid w:val="002C4DF0"/>
    <w:rsid w:val="002C4E03"/>
    <w:rsid w:val="002C4F23"/>
    <w:rsid w:val="002C4FA3"/>
    <w:rsid w:val="002C500A"/>
    <w:rsid w:val="002C50DA"/>
    <w:rsid w:val="002C52F8"/>
    <w:rsid w:val="002C5327"/>
    <w:rsid w:val="002C539C"/>
    <w:rsid w:val="002C53DC"/>
    <w:rsid w:val="002C54AD"/>
    <w:rsid w:val="002C54B8"/>
    <w:rsid w:val="002C5684"/>
    <w:rsid w:val="002C56D1"/>
    <w:rsid w:val="002C56DD"/>
    <w:rsid w:val="002C5708"/>
    <w:rsid w:val="002C570B"/>
    <w:rsid w:val="002C57A0"/>
    <w:rsid w:val="002C57E0"/>
    <w:rsid w:val="002C580D"/>
    <w:rsid w:val="002C5A24"/>
    <w:rsid w:val="002C5A6A"/>
    <w:rsid w:val="002C5A9D"/>
    <w:rsid w:val="002C5C3C"/>
    <w:rsid w:val="002C5C41"/>
    <w:rsid w:val="002C5C59"/>
    <w:rsid w:val="002C5C71"/>
    <w:rsid w:val="002C5D22"/>
    <w:rsid w:val="002C5D2D"/>
    <w:rsid w:val="002C5DBB"/>
    <w:rsid w:val="002C5E3A"/>
    <w:rsid w:val="002C5EFF"/>
    <w:rsid w:val="002C6164"/>
    <w:rsid w:val="002C6305"/>
    <w:rsid w:val="002C6318"/>
    <w:rsid w:val="002C631C"/>
    <w:rsid w:val="002C646F"/>
    <w:rsid w:val="002C650E"/>
    <w:rsid w:val="002C658D"/>
    <w:rsid w:val="002C67DD"/>
    <w:rsid w:val="002C685C"/>
    <w:rsid w:val="002C6967"/>
    <w:rsid w:val="002C6A3E"/>
    <w:rsid w:val="002C6A45"/>
    <w:rsid w:val="002C6ABD"/>
    <w:rsid w:val="002C6C57"/>
    <w:rsid w:val="002C6D6F"/>
    <w:rsid w:val="002C6FB0"/>
    <w:rsid w:val="002C704F"/>
    <w:rsid w:val="002C7054"/>
    <w:rsid w:val="002C7078"/>
    <w:rsid w:val="002C7112"/>
    <w:rsid w:val="002C7184"/>
    <w:rsid w:val="002C71D8"/>
    <w:rsid w:val="002C72B3"/>
    <w:rsid w:val="002C7538"/>
    <w:rsid w:val="002C78BE"/>
    <w:rsid w:val="002C7B43"/>
    <w:rsid w:val="002C7B76"/>
    <w:rsid w:val="002C7F1F"/>
    <w:rsid w:val="002D00A5"/>
    <w:rsid w:val="002D0365"/>
    <w:rsid w:val="002D0556"/>
    <w:rsid w:val="002D0686"/>
    <w:rsid w:val="002D0751"/>
    <w:rsid w:val="002D096B"/>
    <w:rsid w:val="002D0AB0"/>
    <w:rsid w:val="002D0AD5"/>
    <w:rsid w:val="002D0AF2"/>
    <w:rsid w:val="002D0C60"/>
    <w:rsid w:val="002D0C7F"/>
    <w:rsid w:val="002D0CD2"/>
    <w:rsid w:val="002D0E08"/>
    <w:rsid w:val="002D0E91"/>
    <w:rsid w:val="002D0EFA"/>
    <w:rsid w:val="002D0F5D"/>
    <w:rsid w:val="002D10CA"/>
    <w:rsid w:val="002D110C"/>
    <w:rsid w:val="002D111A"/>
    <w:rsid w:val="002D118C"/>
    <w:rsid w:val="002D1270"/>
    <w:rsid w:val="002D136F"/>
    <w:rsid w:val="002D13CC"/>
    <w:rsid w:val="002D13CD"/>
    <w:rsid w:val="002D13DD"/>
    <w:rsid w:val="002D1448"/>
    <w:rsid w:val="002D1934"/>
    <w:rsid w:val="002D196C"/>
    <w:rsid w:val="002D1AC8"/>
    <w:rsid w:val="002D1B56"/>
    <w:rsid w:val="002D1C51"/>
    <w:rsid w:val="002D1DBC"/>
    <w:rsid w:val="002D1E34"/>
    <w:rsid w:val="002D1E3C"/>
    <w:rsid w:val="002D1E53"/>
    <w:rsid w:val="002D1EBE"/>
    <w:rsid w:val="002D202F"/>
    <w:rsid w:val="002D2068"/>
    <w:rsid w:val="002D20A4"/>
    <w:rsid w:val="002D2108"/>
    <w:rsid w:val="002D223D"/>
    <w:rsid w:val="002D22B1"/>
    <w:rsid w:val="002D23EF"/>
    <w:rsid w:val="002D2516"/>
    <w:rsid w:val="002D26E0"/>
    <w:rsid w:val="002D27F0"/>
    <w:rsid w:val="002D282A"/>
    <w:rsid w:val="002D29D3"/>
    <w:rsid w:val="002D2BBA"/>
    <w:rsid w:val="002D2D2D"/>
    <w:rsid w:val="002D2E30"/>
    <w:rsid w:val="002D2F67"/>
    <w:rsid w:val="002D2FB0"/>
    <w:rsid w:val="002D2FBC"/>
    <w:rsid w:val="002D3094"/>
    <w:rsid w:val="002D3181"/>
    <w:rsid w:val="002D31CE"/>
    <w:rsid w:val="002D32C4"/>
    <w:rsid w:val="002D335E"/>
    <w:rsid w:val="002D33AC"/>
    <w:rsid w:val="002D34AF"/>
    <w:rsid w:val="002D34EE"/>
    <w:rsid w:val="002D380B"/>
    <w:rsid w:val="002D388C"/>
    <w:rsid w:val="002D38FF"/>
    <w:rsid w:val="002D3903"/>
    <w:rsid w:val="002D3964"/>
    <w:rsid w:val="002D3D7D"/>
    <w:rsid w:val="002D3DD7"/>
    <w:rsid w:val="002D3E3C"/>
    <w:rsid w:val="002D3F44"/>
    <w:rsid w:val="002D3F6D"/>
    <w:rsid w:val="002D4015"/>
    <w:rsid w:val="002D40DA"/>
    <w:rsid w:val="002D4169"/>
    <w:rsid w:val="002D4199"/>
    <w:rsid w:val="002D420F"/>
    <w:rsid w:val="002D42D7"/>
    <w:rsid w:val="002D43B4"/>
    <w:rsid w:val="002D4483"/>
    <w:rsid w:val="002D44AF"/>
    <w:rsid w:val="002D45A3"/>
    <w:rsid w:val="002D4615"/>
    <w:rsid w:val="002D4654"/>
    <w:rsid w:val="002D4819"/>
    <w:rsid w:val="002D4855"/>
    <w:rsid w:val="002D4A12"/>
    <w:rsid w:val="002D4B68"/>
    <w:rsid w:val="002D4F0A"/>
    <w:rsid w:val="002D4FF9"/>
    <w:rsid w:val="002D50A2"/>
    <w:rsid w:val="002D52CC"/>
    <w:rsid w:val="002D5355"/>
    <w:rsid w:val="002D540C"/>
    <w:rsid w:val="002D55C8"/>
    <w:rsid w:val="002D5619"/>
    <w:rsid w:val="002D5629"/>
    <w:rsid w:val="002D56B6"/>
    <w:rsid w:val="002D58CE"/>
    <w:rsid w:val="002D5DB4"/>
    <w:rsid w:val="002D60A6"/>
    <w:rsid w:val="002D60E7"/>
    <w:rsid w:val="002D6112"/>
    <w:rsid w:val="002D61BC"/>
    <w:rsid w:val="002D62C0"/>
    <w:rsid w:val="002D637A"/>
    <w:rsid w:val="002D63AC"/>
    <w:rsid w:val="002D6492"/>
    <w:rsid w:val="002D64BF"/>
    <w:rsid w:val="002D65A8"/>
    <w:rsid w:val="002D6624"/>
    <w:rsid w:val="002D6836"/>
    <w:rsid w:val="002D6A4A"/>
    <w:rsid w:val="002D6ACC"/>
    <w:rsid w:val="002D6D10"/>
    <w:rsid w:val="002D6DB2"/>
    <w:rsid w:val="002D6DC9"/>
    <w:rsid w:val="002D6ED5"/>
    <w:rsid w:val="002D6F87"/>
    <w:rsid w:val="002D70A0"/>
    <w:rsid w:val="002D7106"/>
    <w:rsid w:val="002D7140"/>
    <w:rsid w:val="002D72C7"/>
    <w:rsid w:val="002D74C8"/>
    <w:rsid w:val="002D74F3"/>
    <w:rsid w:val="002D75F9"/>
    <w:rsid w:val="002D7619"/>
    <w:rsid w:val="002D76D1"/>
    <w:rsid w:val="002D787F"/>
    <w:rsid w:val="002D791C"/>
    <w:rsid w:val="002D7935"/>
    <w:rsid w:val="002D7C70"/>
    <w:rsid w:val="002D7FF1"/>
    <w:rsid w:val="002E00C4"/>
    <w:rsid w:val="002E00E9"/>
    <w:rsid w:val="002E0112"/>
    <w:rsid w:val="002E02E0"/>
    <w:rsid w:val="002E04D1"/>
    <w:rsid w:val="002E052F"/>
    <w:rsid w:val="002E06AE"/>
    <w:rsid w:val="002E06E3"/>
    <w:rsid w:val="002E074B"/>
    <w:rsid w:val="002E0763"/>
    <w:rsid w:val="002E0812"/>
    <w:rsid w:val="002E086E"/>
    <w:rsid w:val="002E09CA"/>
    <w:rsid w:val="002E0A39"/>
    <w:rsid w:val="002E0B85"/>
    <w:rsid w:val="002E0BDB"/>
    <w:rsid w:val="002E0CAB"/>
    <w:rsid w:val="002E0D3D"/>
    <w:rsid w:val="002E0D7F"/>
    <w:rsid w:val="002E0EB7"/>
    <w:rsid w:val="002E0ECC"/>
    <w:rsid w:val="002E0F6B"/>
    <w:rsid w:val="002E1022"/>
    <w:rsid w:val="002E107C"/>
    <w:rsid w:val="002E1141"/>
    <w:rsid w:val="002E11C1"/>
    <w:rsid w:val="002E130C"/>
    <w:rsid w:val="002E13DC"/>
    <w:rsid w:val="002E1485"/>
    <w:rsid w:val="002E14D1"/>
    <w:rsid w:val="002E1511"/>
    <w:rsid w:val="002E162C"/>
    <w:rsid w:val="002E16E3"/>
    <w:rsid w:val="002E16EF"/>
    <w:rsid w:val="002E183C"/>
    <w:rsid w:val="002E1B82"/>
    <w:rsid w:val="002E1C26"/>
    <w:rsid w:val="002E1D85"/>
    <w:rsid w:val="002E1DAA"/>
    <w:rsid w:val="002E21A4"/>
    <w:rsid w:val="002E228E"/>
    <w:rsid w:val="002E2335"/>
    <w:rsid w:val="002E235D"/>
    <w:rsid w:val="002E2407"/>
    <w:rsid w:val="002E2432"/>
    <w:rsid w:val="002E25BD"/>
    <w:rsid w:val="002E25EB"/>
    <w:rsid w:val="002E25FC"/>
    <w:rsid w:val="002E2649"/>
    <w:rsid w:val="002E2674"/>
    <w:rsid w:val="002E26AF"/>
    <w:rsid w:val="002E275D"/>
    <w:rsid w:val="002E27AA"/>
    <w:rsid w:val="002E27DA"/>
    <w:rsid w:val="002E288F"/>
    <w:rsid w:val="002E2890"/>
    <w:rsid w:val="002E28ED"/>
    <w:rsid w:val="002E295B"/>
    <w:rsid w:val="002E2B68"/>
    <w:rsid w:val="002E2EA2"/>
    <w:rsid w:val="002E2F77"/>
    <w:rsid w:val="002E308C"/>
    <w:rsid w:val="002E3141"/>
    <w:rsid w:val="002E31D0"/>
    <w:rsid w:val="002E3222"/>
    <w:rsid w:val="002E331D"/>
    <w:rsid w:val="002E33E5"/>
    <w:rsid w:val="002E3403"/>
    <w:rsid w:val="002E34ED"/>
    <w:rsid w:val="002E37D7"/>
    <w:rsid w:val="002E38F8"/>
    <w:rsid w:val="002E397E"/>
    <w:rsid w:val="002E3990"/>
    <w:rsid w:val="002E3A5A"/>
    <w:rsid w:val="002E3AA1"/>
    <w:rsid w:val="002E3AD7"/>
    <w:rsid w:val="002E3B8F"/>
    <w:rsid w:val="002E3C1F"/>
    <w:rsid w:val="002E3CFA"/>
    <w:rsid w:val="002E3DDD"/>
    <w:rsid w:val="002E3E0C"/>
    <w:rsid w:val="002E3E2D"/>
    <w:rsid w:val="002E3ED3"/>
    <w:rsid w:val="002E4023"/>
    <w:rsid w:val="002E415A"/>
    <w:rsid w:val="002E42B6"/>
    <w:rsid w:val="002E434B"/>
    <w:rsid w:val="002E4686"/>
    <w:rsid w:val="002E47D5"/>
    <w:rsid w:val="002E47DF"/>
    <w:rsid w:val="002E48C1"/>
    <w:rsid w:val="002E4972"/>
    <w:rsid w:val="002E49A8"/>
    <w:rsid w:val="002E49C6"/>
    <w:rsid w:val="002E49F0"/>
    <w:rsid w:val="002E4A26"/>
    <w:rsid w:val="002E4AAB"/>
    <w:rsid w:val="002E4B5A"/>
    <w:rsid w:val="002E4BFF"/>
    <w:rsid w:val="002E4D40"/>
    <w:rsid w:val="002E4EEE"/>
    <w:rsid w:val="002E4EF8"/>
    <w:rsid w:val="002E4FCD"/>
    <w:rsid w:val="002E5013"/>
    <w:rsid w:val="002E503B"/>
    <w:rsid w:val="002E5170"/>
    <w:rsid w:val="002E5242"/>
    <w:rsid w:val="002E5283"/>
    <w:rsid w:val="002E5290"/>
    <w:rsid w:val="002E5618"/>
    <w:rsid w:val="002E56BC"/>
    <w:rsid w:val="002E57F5"/>
    <w:rsid w:val="002E581C"/>
    <w:rsid w:val="002E59B9"/>
    <w:rsid w:val="002E5B87"/>
    <w:rsid w:val="002E5D50"/>
    <w:rsid w:val="002E5EB2"/>
    <w:rsid w:val="002E5EE3"/>
    <w:rsid w:val="002E5FAF"/>
    <w:rsid w:val="002E5FCD"/>
    <w:rsid w:val="002E62A7"/>
    <w:rsid w:val="002E63D7"/>
    <w:rsid w:val="002E65A9"/>
    <w:rsid w:val="002E6864"/>
    <w:rsid w:val="002E69A7"/>
    <w:rsid w:val="002E6B44"/>
    <w:rsid w:val="002E6C9B"/>
    <w:rsid w:val="002E6D26"/>
    <w:rsid w:val="002E6D2D"/>
    <w:rsid w:val="002E6DD0"/>
    <w:rsid w:val="002E6E52"/>
    <w:rsid w:val="002E6F7A"/>
    <w:rsid w:val="002E710C"/>
    <w:rsid w:val="002E7134"/>
    <w:rsid w:val="002E7267"/>
    <w:rsid w:val="002E726B"/>
    <w:rsid w:val="002E7494"/>
    <w:rsid w:val="002E74B7"/>
    <w:rsid w:val="002E7685"/>
    <w:rsid w:val="002E771A"/>
    <w:rsid w:val="002E779B"/>
    <w:rsid w:val="002E7B7F"/>
    <w:rsid w:val="002E7C47"/>
    <w:rsid w:val="002E7C8B"/>
    <w:rsid w:val="002E7D17"/>
    <w:rsid w:val="002E7D5F"/>
    <w:rsid w:val="002E7D9A"/>
    <w:rsid w:val="002E7D9F"/>
    <w:rsid w:val="002E7FF4"/>
    <w:rsid w:val="002F00A8"/>
    <w:rsid w:val="002F01AF"/>
    <w:rsid w:val="002F01ED"/>
    <w:rsid w:val="002F0214"/>
    <w:rsid w:val="002F0406"/>
    <w:rsid w:val="002F0473"/>
    <w:rsid w:val="002F07D9"/>
    <w:rsid w:val="002F0805"/>
    <w:rsid w:val="002F0939"/>
    <w:rsid w:val="002F0A21"/>
    <w:rsid w:val="002F0A89"/>
    <w:rsid w:val="002F0C2E"/>
    <w:rsid w:val="002F0E40"/>
    <w:rsid w:val="002F0F1C"/>
    <w:rsid w:val="002F1009"/>
    <w:rsid w:val="002F1084"/>
    <w:rsid w:val="002F1179"/>
    <w:rsid w:val="002F11CD"/>
    <w:rsid w:val="002F124D"/>
    <w:rsid w:val="002F13D2"/>
    <w:rsid w:val="002F146C"/>
    <w:rsid w:val="002F14CD"/>
    <w:rsid w:val="002F15A6"/>
    <w:rsid w:val="002F1688"/>
    <w:rsid w:val="002F16FB"/>
    <w:rsid w:val="002F17B6"/>
    <w:rsid w:val="002F1A6D"/>
    <w:rsid w:val="002F1BA8"/>
    <w:rsid w:val="002F1D3F"/>
    <w:rsid w:val="002F214B"/>
    <w:rsid w:val="002F218C"/>
    <w:rsid w:val="002F224F"/>
    <w:rsid w:val="002F22A5"/>
    <w:rsid w:val="002F231C"/>
    <w:rsid w:val="002F2712"/>
    <w:rsid w:val="002F27C1"/>
    <w:rsid w:val="002F27C7"/>
    <w:rsid w:val="002F27EA"/>
    <w:rsid w:val="002F2843"/>
    <w:rsid w:val="002F28CF"/>
    <w:rsid w:val="002F2960"/>
    <w:rsid w:val="002F2AB0"/>
    <w:rsid w:val="002F2C38"/>
    <w:rsid w:val="002F2EBB"/>
    <w:rsid w:val="002F2F14"/>
    <w:rsid w:val="002F3055"/>
    <w:rsid w:val="002F3121"/>
    <w:rsid w:val="002F317B"/>
    <w:rsid w:val="002F317E"/>
    <w:rsid w:val="002F3282"/>
    <w:rsid w:val="002F32CA"/>
    <w:rsid w:val="002F339A"/>
    <w:rsid w:val="002F347A"/>
    <w:rsid w:val="002F34B7"/>
    <w:rsid w:val="002F3589"/>
    <w:rsid w:val="002F35C4"/>
    <w:rsid w:val="002F36D3"/>
    <w:rsid w:val="002F3793"/>
    <w:rsid w:val="002F3847"/>
    <w:rsid w:val="002F389E"/>
    <w:rsid w:val="002F392E"/>
    <w:rsid w:val="002F3933"/>
    <w:rsid w:val="002F3A0A"/>
    <w:rsid w:val="002F3A52"/>
    <w:rsid w:val="002F3AC5"/>
    <w:rsid w:val="002F3B2B"/>
    <w:rsid w:val="002F3C04"/>
    <w:rsid w:val="002F3CCB"/>
    <w:rsid w:val="002F3D64"/>
    <w:rsid w:val="002F3DA0"/>
    <w:rsid w:val="002F3DC5"/>
    <w:rsid w:val="002F3DD4"/>
    <w:rsid w:val="002F3F29"/>
    <w:rsid w:val="002F3F89"/>
    <w:rsid w:val="002F3FAB"/>
    <w:rsid w:val="002F41F7"/>
    <w:rsid w:val="002F4298"/>
    <w:rsid w:val="002F4341"/>
    <w:rsid w:val="002F439C"/>
    <w:rsid w:val="002F4748"/>
    <w:rsid w:val="002F47E0"/>
    <w:rsid w:val="002F487D"/>
    <w:rsid w:val="002F4A00"/>
    <w:rsid w:val="002F4A01"/>
    <w:rsid w:val="002F4AD4"/>
    <w:rsid w:val="002F4B14"/>
    <w:rsid w:val="002F4B66"/>
    <w:rsid w:val="002F4F12"/>
    <w:rsid w:val="002F4F9A"/>
    <w:rsid w:val="002F4FEA"/>
    <w:rsid w:val="002F50B5"/>
    <w:rsid w:val="002F51F0"/>
    <w:rsid w:val="002F5426"/>
    <w:rsid w:val="002F5441"/>
    <w:rsid w:val="002F55C3"/>
    <w:rsid w:val="002F58E3"/>
    <w:rsid w:val="002F58FA"/>
    <w:rsid w:val="002F5965"/>
    <w:rsid w:val="002F59A1"/>
    <w:rsid w:val="002F5B0C"/>
    <w:rsid w:val="002F5D02"/>
    <w:rsid w:val="002F5DE3"/>
    <w:rsid w:val="002F5FBB"/>
    <w:rsid w:val="002F60A2"/>
    <w:rsid w:val="002F60CA"/>
    <w:rsid w:val="002F61E0"/>
    <w:rsid w:val="002F622C"/>
    <w:rsid w:val="002F63AA"/>
    <w:rsid w:val="002F648F"/>
    <w:rsid w:val="002F64DA"/>
    <w:rsid w:val="002F6503"/>
    <w:rsid w:val="002F6526"/>
    <w:rsid w:val="002F652D"/>
    <w:rsid w:val="002F6560"/>
    <w:rsid w:val="002F65C0"/>
    <w:rsid w:val="002F672D"/>
    <w:rsid w:val="002F6745"/>
    <w:rsid w:val="002F6ADD"/>
    <w:rsid w:val="002F6B91"/>
    <w:rsid w:val="002F6C9E"/>
    <w:rsid w:val="002F6CE1"/>
    <w:rsid w:val="002F6D28"/>
    <w:rsid w:val="002F6D43"/>
    <w:rsid w:val="002F6EE6"/>
    <w:rsid w:val="002F6F3D"/>
    <w:rsid w:val="002F722F"/>
    <w:rsid w:val="002F7285"/>
    <w:rsid w:val="002F72EB"/>
    <w:rsid w:val="002F73F8"/>
    <w:rsid w:val="002F7498"/>
    <w:rsid w:val="002F74A4"/>
    <w:rsid w:val="002F750F"/>
    <w:rsid w:val="002F76B4"/>
    <w:rsid w:val="002F7802"/>
    <w:rsid w:val="002F7807"/>
    <w:rsid w:val="002F7883"/>
    <w:rsid w:val="002F7948"/>
    <w:rsid w:val="002F7BC1"/>
    <w:rsid w:val="002F7C98"/>
    <w:rsid w:val="002F7CD4"/>
    <w:rsid w:val="002F7D60"/>
    <w:rsid w:val="002F7D61"/>
    <w:rsid w:val="002F7EC6"/>
    <w:rsid w:val="002F7EEF"/>
    <w:rsid w:val="00300124"/>
    <w:rsid w:val="0030028C"/>
    <w:rsid w:val="0030028E"/>
    <w:rsid w:val="003002B2"/>
    <w:rsid w:val="0030044A"/>
    <w:rsid w:val="003004B8"/>
    <w:rsid w:val="003004DD"/>
    <w:rsid w:val="00300721"/>
    <w:rsid w:val="00300A61"/>
    <w:rsid w:val="00300A7E"/>
    <w:rsid w:val="00300B09"/>
    <w:rsid w:val="00300C7D"/>
    <w:rsid w:val="00300C9D"/>
    <w:rsid w:val="00300CB8"/>
    <w:rsid w:val="00300CDB"/>
    <w:rsid w:val="00300F1C"/>
    <w:rsid w:val="00301075"/>
    <w:rsid w:val="00301096"/>
    <w:rsid w:val="00301143"/>
    <w:rsid w:val="003012EB"/>
    <w:rsid w:val="0030130F"/>
    <w:rsid w:val="0030165E"/>
    <w:rsid w:val="00301684"/>
    <w:rsid w:val="00301743"/>
    <w:rsid w:val="00301771"/>
    <w:rsid w:val="0030192B"/>
    <w:rsid w:val="00301931"/>
    <w:rsid w:val="00301AAF"/>
    <w:rsid w:val="00301AB1"/>
    <w:rsid w:val="00301AEE"/>
    <w:rsid w:val="00301D67"/>
    <w:rsid w:val="00301D81"/>
    <w:rsid w:val="00301D89"/>
    <w:rsid w:val="00301D8C"/>
    <w:rsid w:val="00301E8D"/>
    <w:rsid w:val="00301F4F"/>
    <w:rsid w:val="00301F8D"/>
    <w:rsid w:val="00302035"/>
    <w:rsid w:val="003021FE"/>
    <w:rsid w:val="003023FD"/>
    <w:rsid w:val="0030240A"/>
    <w:rsid w:val="0030241C"/>
    <w:rsid w:val="003025EE"/>
    <w:rsid w:val="0030260A"/>
    <w:rsid w:val="003026D9"/>
    <w:rsid w:val="003027E2"/>
    <w:rsid w:val="00302938"/>
    <w:rsid w:val="00302AAA"/>
    <w:rsid w:val="00302D15"/>
    <w:rsid w:val="00302E5D"/>
    <w:rsid w:val="00302EEC"/>
    <w:rsid w:val="00302EF4"/>
    <w:rsid w:val="00302EFF"/>
    <w:rsid w:val="00302F19"/>
    <w:rsid w:val="00302FA3"/>
    <w:rsid w:val="00302FA6"/>
    <w:rsid w:val="00302FDD"/>
    <w:rsid w:val="00303251"/>
    <w:rsid w:val="0030339C"/>
    <w:rsid w:val="00303482"/>
    <w:rsid w:val="00303625"/>
    <w:rsid w:val="0030378F"/>
    <w:rsid w:val="003038AA"/>
    <w:rsid w:val="00303A76"/>
    <w:rsid w:val="00303B1B"/>
    <w:rsid w:val="00303CE6"/>
    <w:rsid w:val="00303D60"/>
    <w:rsid w:val="00303D83"/>
    <w:rsid w:val="00303E93"/>
    <w:rsid w:val="00303EE4"/>
    <w:rsid w:val="00304062"/>
    <w:rsid w:val="003040DD"/>
    <w:rsid w:val="0030415C"/>
    <w:rsid w:val="0030426C"/>
    <w:rsid w:val="00304444"/>
    <w:rsid w:val="00304473"/>
    <w:rsid w:val="003044C1"/>
    <w:rsid w:val="00304563"/>
    <w:rsid w:val="003045ED"/>
    <w:rsid w:val="00304612"/>
    <w:rsid w:val="0030482F"/>
    <w:rsid w:val="003048F3"/>
    <w:rsid w:val="003048FE"/>
    <w:rsid w:val="003049AD"/>
    <w:rsid w:val="00304BCE"/>
    <w:rsid w:val="00304C0F"/>
    <w:rsid w:val="00304D2B"/>
    <w:rsid w:val="00304D67"/>
    <w:rsid w:val="00304D9F"/>
    <w:rsid w:val="00304E54"/>
    <w:rsid w:val="00304FDB"/>
    <w:rsid w:val="00305033"/>
    <w:rsid w:val="003051B5"/>
    <w:rsid w:val="003051C0"/>
    <w:rsid w:val="00305350"/>
    <w:rsid w:val="0030547C"/>
    <w:rsid w:val="00305594"/>
    <w:rsid w:val="003055A1"/>
    <w:rsid w:val="003056C9"/>
    <w:rsid w:val="00305920"/>
    <w:rsid w:val="003059F4"/>
    <w:rsid w:val="00305C9B"/>
    <w:rsid w:val="00305E23"/>
    <w:rsid w:val="00305E5F"/>
    <w:rsid w:val="00305EE1"/>
    <w:rsid w:val="00305F7A"/>
    <w:rsid w:val="003061BF"/>
    <w:rsid w:val="00306243"/>
    <w:rsid w:val="003062EA"/>
    <w:rsid w:val="00306386"/>
    <w:rsid w:val="0030648B"/>
    <w:rsid w:val="003065A7"/>
    <w:rsid w:val="0030674F"/>
    <w:rsid w:val="0030692F"/>
    <w:rsid w:val="0030696E"/>
    <w:rsid w:val="00306995"/>
    <w:rsid w:val="003069E9"/>
    <w:rsid w:val="00306EC7"/>
    <w:rsid w:val="00306F50"/>
    <w:rsid w:val="00306F86"/>
    <w:rsid w:val="00306FA3"/>
    <w:rsid w:val="003070A8"/>
    <w:rsid w:val="00307164"/>
    <w:rsid w:val="003072E7"/>
    <w:rsid w:val="003072F9"/>
    <w:rsid w:val="00307304"/>
    <w:rsid w:val="00307317"/>
    <w:rsid w:val="0030734C"/>
    <w:rsid w:val="0030734F"/>
    <w:rsid w:val="0030737E"/>
    <w:rsid w:val="003074A9"/>
    <w:rsid w:val="003076A8"/>
    <w:rsid w:val="003076D1"/>
    <w:rsid w:val="00307758"/>
    <w:rsid w:val="00307915"/>
    <w:rsid w:val="00307A1F"/>
    <w:rsid w:val="00307A3C"/>
    <w:rsid w:val="00307AA2"/>
    <w:rsid w:val="00307B4E"/>
    <w:rsid w:val="00307E7A"/>
    <w:rsid w:val="00307EE4"/>
    <w:rsid w:val="00307EFA"/>
    <w:rsid w:val="0031006B"/>
    <w:rsid w:val="00310175"/>
    <w:rsid w:val="003103F8"/>
    <w:rsid w:val="00310501"/>
    <w:rsid w:val="00310513"/>
    <w:rsid w:val="0031051C"/>
    <w:rsid w:val="00310685"/>
    <w:rsid w:val="00310743"/>
    <w:rsid w:val="003107C0"/>
    <w:rsid w:val="003107FD"/>
    <w:rsid w:val="0031091D"/>
    <w:rsid w:val="00310A7F"/>
    <w:rsid w:val="00310AEB"/>
    <w:rsid w:val="00310AFE"/>
    <w:rsid w:val="00310C60"/>
    <w:rsid w:val="00310E3B"/>
    <w:rsid w:val="00310E4A"/>
    <w:rsid w:val="00310E59"/>
    <w:rsid w:val="00310E98"/>
    <w:rsid w:val="00310EEC"/>
    <w:rsid w:val="00310F4E"/>
    <w:rsid w:val="00310FBB"/>
    <w:rsid w:val="00310FE2"/>
    <w:rsid w:val="0031104C"/>
    <w:rsid w:val="003110D7"/>
    <w:rsid w:val="0031117F"/>
    <w:rsid w:val="00311438"/>
    <w:rsid w:val="00311790"/>
    <w:rsid w:val="0031182C"/>
    <w:rsid w:val="00311963"/>
    <w:rsid w:val="0031198E"/>
    <w:rsid w:val="003119C6"/>
    <w:rsid w:val="00311B6B"/>
    <w:rsid w:val="00311BF5"/>
    <w:rsid w:val="00311CDE"/>
    <w:rsid w:val="00311D1A"/>
    <w:rsid w:val="00311E5C"/>
    <w:rsid w:val="00311E62"/>
    <w:rsid w:val="00311FAF"/>
    <w:rsid w:val="00312088"/>
    <w:rsid w:val="0031245B"/>
    <w:rsid w:val="00312548"/>
    <w:rsid w:val="00312551"/>
    <w:rsid w:val="00312688"/>
    <w:rsid w:val="0031268A"/>
    <w:rsid w:val="00312775"/>
    <w:rsid w:val="003127AA"/>
    <w:rsid w:val="00312816"/>
    <w:rsid w:val="003128FD"/>
    <w:rsid w:val="00312918"/>
    <w:rsid w:val="00312A24"/>
    <w:rsid w:val="00312B44"/>
    <w:rsid w:val="00312C62"/>
    <w:rsid w:val="00312D1B"/>
    <w:rsid w:val="00312E02"/>
    <w:rsid w:val="00312E58"/>
    <w:rsid w:val="00312F71"/>
    <w:rsid w:val="00313212"/>
    <w:rsid w:val="0031332B"/>
    <w:rsid w:val="003134CA"/>
    <w:rsid w:val="003134FB"/>
    <w:rsid w:val="0031365F"/>
    <w:rsid w:val="003137DA"/>
    <w:rsid w:val="00313864"/>
    <w:rsid w:val="00313880"/>
    <w:rsid w:val="00313961"/>
    <w:rsid w:val="003139DC"/>
    <w:rsid w:val="00313B15"/>
    <w:rsid w:val="00313B2D"/>
    <w:rsid w:val="00313B4B"/>
    <w:rsid w:val="00313B8C"/>
    <w:rsid w:val="00313D8B"/>
    <w:rsid w:val="00313E08"/>
    <w:rsid w:val="00313EBD"/>
    <w:rsid w:val="00313ED8"/>
    <w:rsid w:val="00313F2C"/>
    <w:rsid w:val="00313F5F"/>
    <w:rsid w:val="00313F84"/>
    <w:rsid w:val="00314014"/>
    <w:rsid w:val="0031405D"/>
    <w:rsid w:val="0031410B"/>
    <w:rsid w:val="00314338"/>
    <w:rsid w:val="003143C8"/>
    <w:rsid w:val="0031456F"/>
    <w:rsid w:val="00314585"/>
    <w:rsid w:val="003146EE"/>
    <w:rsid w:val="0031474A"/>
    <w:rsid w:val="003147A9"/>
    <w:rsid w:val="0031491F"/>
    <w:rsid w:val="0031495A"/>
    <w:rsid w:val="00314ACE"/>
    <w:rsid w:val="00314E2A"/>
    <w:rsid w:val="00314E3F"/>
    <w:rsid w:val="003151C0"/>
    <w:rsid w:val="00315467"/>
    <w:rsid w:val="00315498"/>
    <w:rsid w:val="0031554E"/>
    <w:rsid w:val="0031560C"/>
    <w:rsid w:val="00315673"/>
    <w:rsid w:val="003156BD"/>
    <w:rsid w:val="003156FD"/>
    <w:rsid w:val="00315877"/>
    <w:rsid w:val="003158B3"/>
    <w:rsid w:val="003159BF"/>
    <w:rsid w:val="00315A00"/>
    <w:rsid w:val="00315B0A"/>
    <w:rsid w:val="00315C1F"/>
    <w:rsid w:val="00315D8A"/>
    <w:rsid w:val="00315E15"/>
    <w:rsid w:val="00315F10"/>
    <w:rsid w:val="00315F22"/>
    <w:rsid w:val="00315FD0"/>
    <w:rsid w:val="003160A4"/>
    <w:rsid w:val="003160C0"/>
    <w:rsid w:val="0031617F"/>
    <w:rsid w:val="0031628B"/>
    <w:rsid w:val="003162A9"/>
    <w:rsid w:val="003162C6"/>
    <w:rsid w:val="0031631C"/>
    <w:rsid w:val="0031634E"/>
    <w:rsid w:val="003163EF"/>
    <w:rsid w:val="00316407"/>
    <w:rsid w:val="00316519"/>
    <w:rsid w:val="0031666A"/>
    <w:rsid w:val="003167CB"/>
    <w:rsid w:val="00316946"/>
    <w:rsid w:val="00316958"/>
    <w:rsid w:val="003169BF"/>
    <w:rsid w:val="00316AFD"/>
    <w:rsid w:val="00316B17"/>
    <w:rsid w:val="00316F1E"/>
    <w:rsid w:val="00316F29"/>
    <w:rsid w:val="00316F2C"/>
    <w:rsid w:val="003171E1"/>
    <w:rsid w:val="0031723B"/>
    <w:rsid w:val="00317302"/>
    <w:rsid w:val="00317425"/>
    <w:rsid w:val="003174C0"/>
    <w:rsid w:val="00317573"/>
    <w:rsid w:val="00317640"/>
    <w:rsid w:val="003176AF"/>
    <w:rsid w:val="00317776"/>
    <w:rsid w:val="00317781"/>
    <w:rsid w:val="003177ED"/>
    <w:rsid w:val="003178D1"/>
    <w:rsid w:val="0031798E"/>
    <w:rsid w:val="00317BC8"/>
    <w:rsid w:val="00317C8A"/>
    <w:rsid w:val="00317D3C"/>
    <w:rsid w:val="00317DEB"/>
    <w:rsid w:val="00317EB0"/>
    <w:rsid w:val="00317FFB"/>
    <w:rsid w:val="0032004F"/>
    <w:rsid w:val="003200BD"/>
    <w:rsid w:val="00320105"/>
    <w:rsid w:val="003201AE"/>
    <w:rsid w:val="003202D9"/>
    <w:rsid w:val="00320349"/>
    <w:rsid w:val="0032034E"/>
    <w:rsid w:val="00320423"/>
    <w:rsid w:val="0032047D"/>
    <w:rsid w:val="00320485"/>
    <w:rsid w:val="0032049C"/>
    <w:rsid w:val="00320594"/>
    <w:rsid w:val="00320712"/>
    <w:rsid w:val="003207E5"/>
    <w:rsid w:val="0032081F"/>
    <w:rsid w:val="0032090C"/>
    <w:rsid w:val="003209CB"/>
    <w:rsid w:val="00320AF3"/>
    <w:rsid w:val="00320DCE"/>
    <w:rsid w:val="00320FB2"/>
    <w:rsid w:val="00321025"/>
    <w:rsid w:val="00321152"/>
    <w:rsid w:val="00321260"/>
    <w:rsid w:val="00321267"/>
    <w:rsid w:val="003212D3"/>
    <w:rsid w:val="00321465"/>
    <w:rsid w:val="00321540"/>
    <w:rsid w:val="00321682"/>
    <w:rsid w:val="003217FE"/>
    <w:rsid w:val="00321837"/>
    <w:rsid w:val="00321882"/>
    <w:rsid w:val="00321887"/>
    <w:rsid w:val="00321AA9"/>
    <w:rsid w:val="00321ADE"/>
    <w:rsid w:val="00321BB5"/>
    <w:rsid w:val="00321C9A"/>
    <w:rsid w:val="00321D7B"/>
    <w:rsid w:val="00321D84"/>
    <w:rsid w:val="00321F38"/>
    <w:rsid w:val="00321F78"/>
    <w:rsid w:val="00322045"/>
    <w:rsid w:val="003220A8"/>
    <w:rsid w:val="00322115"/>
    <w:rsid w:val="00322134"/>
    <w:rsid w:val="00322174"/>
    <w:rsid w:val="003226A5"/>
    <w:rsid w:val="003226E9"/>
    <w:rsid w:val="00322777"/>
    <w:rsid w:val="00322984"/>
    <w:rsid w:val="00322A14"/>
    <w:rsid w:val="00322B39"/>
    <w:rsid w:val="00322D6A"/>
    <w:rsid w:val="0032300A"/>
    <w:rsid w:val="00323071"/>
    <w:rsid w:val="0032318C"/>
    <w:rsid w:val="003231CF"/>
    <w:rsid w:val="00323220"/>
    <w:rsid w:val="0032326C"/>
    <w:rsid w:val="0032348D"/>
    <w:rsid w:val="0032348E"/>
    <w:rsid w:val="0032352D"/>
    <w:rsid w:val="0032357E"/>
    <w:rsid w:val="00323628"/>
    <w:rsid w:val="003236EB"/>
    <w:rsid w:val="00323891"/>
    <w:rsid w:val="003239ED"/>
    <w:rsid w:val="00323A64"/>
    <w:rsid w:val="00323ABE"/>
    <w:rsid w:val="00323AEA"/>
    <w:rsid w:val="00323B08"/>
    <w:rsid w:val="00323BFD"/>
    <w:rsid w:val="00323E05"/>
    <w:rsid w:val="00323E2D"/>
    <w:rsid w:val="00323FD6"/>
    <w:rsid w:val="0032407B"/>
    <w:rsid w:val="003240D8"/>
    <w:rsid w:val="00324199"/>
    <w:rsid w:val="00324223"/>
    <w:rsid w:val="00324228"/>
    <w:rsid w:val="0032440F"/>
    <w:rsid w:val="0032465B"/>
    <w:rsid w:val="00324696"/>
    <w:rsid w:val="00324833"/>
    <w:rsid w:val="003248EB"/>
    <w:rsid w:val="003249A5"/>
    <w:rsid w:val="00324A62"/>
    <w:rsid w:val="00324BD0"/>
    <w:rsid w:val="00324D56"/>
    <w:rsid w:val="00324D6B"/>
    <w:rsid w:val="00324EA4"/>
    <w:rsid w:val="00324ED6"/>
    <w:rsid w:val="00325373"/>
    <w:rsid w:val="0032538D"/>
    <w:rsid w:val="00325425"/>
    <w:rsid w:val="003254C5"/>
    <w:rsid w:val="00325702"/>
    <w:rsid w:val="00325719"/>
    <w:rsid w:val="003258B2"/>
    <w:rsid w:val="003259C3"/>
    <w:rsid w:val="00325AAA"/>
    <w:rsid w:val="00325AAC"/>
    <w:rsid w:val="00325BE9"/>
    <w:rsid w:val="00325CCF"/>
    <w:rsid w:val="00325E0E"/>
    <w:rsid w:val="00325EA1"/>
    <w:rsid w:val="00325FD2"/>
    <w:rsid w:val="0032614A"/>
    <w:rsid w:val="003261AE"/>
    <w:rsid w:val="003261D1"/>
    <w:rsid w:val="00326558"/>
    <w:rsid w:val="003265E0"/>
    <w:rsid w:val="00326761"/>
    <w:rsid w:val="003267DD"/>
    <w:rsid w:val="0032687B"/>
    <w:rsid w:val="00326B01"/>
    <w:rsid w:val="00326B75"/>
    <w:rsid w:val="00326BA0"/>
    <w:rsid w:val="00326D7B"/>
    <w:rsid w:val="00326DA6"/>
    <w:rsid w:val="00326F01"/>
    <w:rsid w:val="00326F49"/>
    <w:rsid w:val="00327070"/>
    <w:rsid w:val="003270B5"/>
    <w:rsid w:val="0032711F"/>
    <w:rsid w:val="003272B4"/>
    <w:rsid w:val="003272F8"/>
    <w:rsid w:val="00327379"/>
    <w:rsid w:val="00327428"/>
    <w:rsid w:val="0032745F"/>
    <w:rsid w:val="003274EC"/>
    <w:rsid w:val="0032753A"/>
    <w:rsid w:val="003276AA"/>
    <w:rsid w:val="0032786A"/>
    <w:rsid w:val="003278B1"/>
    <w:rsid w:val="003278B7"/>
    <w:rsid w:val="0032795D"/>
    <w:rsid w:val="00327975"/>
    <w:rsid w:val="00327B3D"/>
    <w:rsid w:val="00327B5B"/>
    <w:rsid w:val="00327BE8"/>
    <w:rsid w:val="00327CAE"/>
    <w:rsid w:val="00327D9A"/>
    <w:rsid w:val="00327EBC"/>
    <w:rsid w:val="00327F8F"/>
    <w:rsid w:val="003300A5"/>
    <w:rsid w:val="003300B5"/>
    <w:rsid w:val="003300C4"/>
    <w:rsid w:val="00330100"/>
    <w:rsid w:val="00330125"/>
    <w:rsid w:val="003303DB"/>
    <w:rsid w:val="003304D0"/>
    <w:rsid w:val="00330665"/>
    <w:rsid w:val="0033072C"/>
    <w:rsid w:val="00330799"/>
    <w:rsid w:val="003307A0"/>
    <w:rsid w:val="00330898"/>
    <w:rsid w:val="0033098B"/>
    <w:rsid w:val="003309C8"/>
    <w:rsid w:val="003309DD"/>
    <w:rsid w:val="003309EC"/>
    <w:rsid w:val="00330B5D"/>
    <w:rsid w:val="00330B67"/>
    <w:rsid w:val="00330E32"/>
    <w:rsid w:val="00330F28"/>
    <w:rsid w:val="0033105B"/>
    <w:rsid w:val="00331310"/>
    <w:rsid w:val="00331410"/>
    <w:rsid w:val="0033143C"/>
    <w:rsid w:val="00331486"/>
    <w:rsid w:val="003314BB"/>
    <w:rsid w:val="0033157A"/>
    <w:rsid w:val="00331809"/>
    <w:rsid w:val="0033180A"/>
    <w:rsid w:val="0033183A"/>
    <w:rsid w:val="003318B3"/>
    <w:rsid w:val="00331B58"/>
    <w:rsid w:val="00331C97"/>
    <w:rsid w:val="00331CC8"/>
    <w:rsid w:val="00331E83"/>
    <w:rsid w:val="00331FE7"/>
    <w:rsid w:val="00332165"/>
    <w:rsid w:val="003321A0"/>
    <w:rsid w:val="00332222"/>
    <w:rsid w:val="00332255"/>
    <w:rsid w:val="00332285"/>
    <w:rsid w:val="003323F1"/>
    <w:rsid w:val="003323F8"/>
    <w:rsid w:val="003324E9"/>
    <w:rsid w:val="00332573"/>
    <w:rsid w:val="003326A6"/>
    <w:rsid w:val="00332765"/>
    <w:rsid w:val="00332AC4"/>
    <w:rsid w:val="00332B31"/>
    <w:rsid w:val="00332C7A"/>
    <w:rsid w:val="00332C81"/>
    <w:rsid w:val="00332CB7"/>
    <w:rsid w:val="00333067"/>
    <w:rsid w:val="00333338"/>
    <w:rsid w:val="003334CF"/>
    <w:rsid w:val="003335EA"/>
    <w:rsid w:val="00333698"/>
    <w:rsid w:val="003337A6"/>
    <w:rsid w:val="003337FF"/>
    <w:rsid w:val="0033380C"/>
    <w:rsid w:val="0033389B"/>
    <w:rsid w:val="00333916"/>
    <w:rsid w:val="00333988"/>
    <w:rsid w:val="00333AC9"/>
    <w:rsid w:val="00333B03"/>
    <w:rsid w:val="00333D25"/>
    <w:rsid w:val="00333D80"/>
    <w:rsid w:val="00333DB0"/>
    <w:rsid w:val="00333E48"/>
    <w:rsid w:val="00333E73"/>
    <w:rsid w:val="00333F7B"/>
    <w:rsid w:val="00334013"/>
    <w:rsid w:val="00334147"/>
    <w:rsid w:val="0033415E"/>
    <w:rsid w:val="00334366"/>
    <w:rsid w:val="00334371"/>
    <w:rsid w:val="0033437B"/>
    <w:rsid w:val="003343F3"/>
    <w:rsid w:val="003343FB"/>
    <w:rsid w:val="0033442D"/>
    <w:rsid w:val="00334780"/>
    <w:rsid w:val="003347AC"/>
    <w:rsid w:val="003349C3"/>
    <w:rsid w:val="003349C9"/>
    <w:rsid w:val="00334ACC"/>
    <w:rsid w:val="00334AD3"/>
    <w:rsid w:val="00334BC2"/>
    <w:rsid w:val="00334C21"/>
    <w:rsid w:val="00334E21"/>
    <w:rsid w:val="00334FC4"/>
    <w:rsid w:val="00335127"/>
    <w:rsid w:val="00335182"/>
    <w:rsid w:val="003351EB"/>
    <w:rsid w:val="0033520A"/>
    <w:rsid w:val="00335448"/>
    <w:rsid w:val="00335456"/>
    <w:rsid w:val="00335473"/>
    <w:rsid w:val="003354FF"/>
    <w:rsid w:val="00335786"/>
    <w:rsid w:val="00335870"/>
    <w:rsid w:val="003359B2"/>
    <w:rsid w:val="003359F9"/>
    <w:rsid w:val="00335A00"/>
    <w:rsid w:val="00335A83"/>
    <w:rsid w:val="00335B42"/>
    <w:rsid w:val="00335B8B"/>
    <w:rsid w:val="00335BA7"/>
    <w:rsid w:val="00335C4D"/>
    <w:rsid w:val="00335D59"/>
    <w:rsid w:val="00335E50"/>
    <w:rsid w:val="00335FAF"/>
    <w:rsid w:val="0033620F"/>
    <w:rsid w:val="00336345"/>
    <w:rsid w:val="003363A0"/>
    <w:rsid w:val="0033644E"/>
    <w:rsid w:val="00336514"/>
    <w:rsid w:val="00336555"/>
    <w:rsid w:val="00336583"/>
    <w:rsid w:val="0033659F"/>
    <w:rsid w:val="00336774"/>
    <w:rsid w:val="00336853"/>
    <w:rsid w:val="00336AE9"/>
    <w:rsid w:val="00336CE0"/>
    <w:rsid w:val="00336D91"/>
    <w:rsid w:val="00336DE0"/>
    <w:rsid w:val="00336E21"/>
    <w:rsid w:val="00336FA7"/>
    <w:rsid w:val="00337014"/>
    <w:rsid w:val="0033730E"/>
    <w:rsid w:val="0033747D"/>
    <w:rsid w:val="00337708"/>
    <w:rsid w:val="00337709"/>
    <w:rsid w:val="00337759"/>
    <w:rsid w:val="0033775F"/>
    <w:rsid w:val="00337812"/>
    <w:rsid w:val="00337855"/>
    <w:rsid w:val="003378F9"/>
    <w:rsid w:val="003379C0"/>
    <w:rsid w:val="00337B54"/>
    <w:rsid w:val="00337BF0"/>
    <w:rsid w:val="00337C2E"/>
    <w:rsid w:val="00337D1F"/>
    <w:rsid w:val="00337DB6"/>
    <w:rsid w:val="00337F05"/>
    <w:rsid w:val="00340047"/>
    <w:rsid w:val="003400A7"/>
    <w:rsid w:val="00340164"/>
    <w:rsid w:val="00340246"/>
    <w:rsid w:val="003403F0"/>
    <w:rsid w:val="003404AA"/>
    <w:rsid w:val="003407AC"/>
    <w:rsid w:val="003408AF"/>
    <w:rsid w:val="00340A5B"/>
    <w:rsid w:val="00340BA0"/>
    <w:rsid w:val="00340BEC"/>
    <w:rsid w:val="00340D28"/>
    <w:rsid w:val="00340DD6"/>
    <w:rsid w:val="00340DDC"/>
    <w:rsid w:val="00340F12"/>
    <w:rsid w:val="00340FAA"/>
    <w:rsid w:val="003412B3"/>
    <w:rsid w:val="00341344"/>
    <w:rsid w:val="0034161E"/>
    <w:rsid w:val="00341750"/>
    <w:rsid w:val="003417A3"/>
    <w:rsid w:val="003418B3"/>
    <w:rsid w:val="003419EF"/>
    <w:rsid w:val="00341AB9"/>
    <w:rsid w:val="00341B20"/>
    <w:rsid w:val="00341D3C"/>
    <w:rsid w:val="00341E21"/>
    <w:rsid w:val="003420E0"/>
    <w:rsid w:val="0034228B"/>
    <w:rsid w:val="003424F8"/>
    <w:rsid w:val="00342555"/>
    <w:rsid w:val="003425B6"/>
    <w:rsid w:val="00342A57"/>
    <w:rsid w:val="00342ADD"/>
    <w:rsid w:val="00342B20"/>
    <w:rsid w:val="00342BF2"/>
    <w:rsid w:val="00342BFA"/>
    <w:rsid w:val="00342CF7"/>
    <w:rsid w:val="00342D5B"/>
    <w:rsid w:val="00342E2D"/>
    <w:rsid w:val="00342EA8"/>
    <w:rsid w:val="00342F7C"/>
    <w:rsid w:val="0034318D"/>
    <w:rsid w:val="003431F3"/>
    <w:rsid w:val="003432AB"/>
    <w:rsid w:val="003432C4"/>
    <w:rsid w:val="0034335A"/>
    <w:rsid w:val="00343363"/>
    <w:rsid w:val="0034337C"/>
    <w:rsid w:val="003434C8"/>
    <w:rsid w:val="003434F9"/>
    <w:rsid w:val="00343506"/>
    <w:rsid w:val="0034362E"/>
    <w:rsid w:val="00343860"/>
    <w:rsid w:val="003439EC"/>
    <w:rsid w:val="00343AE9"/>
    <w:rsid w:val="00343C6F"/>
    <w:rsid w:val="00343D0F"/>
    <w:rsid w:val="00343D11"/>
    <w:rsid w:val="0034406F"/>
    <w:rsid w:val="003441D2"/>
    <w:rsid w:val="00344251"/>
    <w:rsid w:val="003446EF"/>
    <w:rsid w:val="00344A99"/>
    <w:rsid w:val="00344ACE"/>
    <w:rsid w:val="00344C1A"/>
    <w:rsid w:val="00344CF5"/>
    <w:rsid w:val="00344CF9"/>
    <w:rsid w:val="00344D12"/>
    <w:rsid w:val="00344DDA"/>
    <w:rsid w:val="00344F09"/>
    <w:rsid w:val="00344F45"/>
    <w:rsid w:val="0034500F"/>
    <w:rsid w:val="00345087"/>
    <w:rsid w:val="00345139"/>
    <w:rsid w:val="003452C2"/>
    <w:rsid w:val="00345336"/>
    <w:rsid w:val="003454F0"/>
    <w:rsid w:val="0034550D"/>
    <w:rsid w:val="003456CE"/>
    <w:rsid w:val="0034579C"/>
    <w:rsid w:val="003457FB"/>
    <w:rsid w:val="003458A5"/>
    <w:rsid w:val="003458CD"/>
    <w:rsid w:val="0034598A"/>
    <w:rsid w:val="003459D6"/>
    <w:rsid w:val="00345A32"/>
    <w:rsid w:val="00345A4F"/>
    <w:rsid w:val="00345AC6"/>
    <w:rsid w:val="00345D7F"/>
    <w:rsid w:val="00345DAA"/>
    <w:rsid w:val="00345F17"/>
    <w:rsid w:val="0034609C"/>
    <w:rsid w:val="0034613D"/>
    <w:rsid w:val="00346141"/>
    <w:rsid w:val="00346210"/>
    <w:rsid w:val="00346213"/>
    <w:rsid w:val="00346231"/>
    <w:rsid w:val="0034645D"/>
    <w:rsid w:val="003464C5"/>
    <w:rsid w:val="003465AD"/>
    <w:rsid w:val="0034661B"/>
    <w:rsid w:val="003466E3"/>
    <w:rsid w:val="003466F4"/>
    <w:rsid w:val="003467A7"/>
    <w:rsid w:val="0034693F"/>
    <w:rsid w:val="0034699C"/>
    <w:rsid w:val="00346ABD"/>
    <w:rsid w:val="00346B60"/>
    <w:rsid w:val="00346D2D"/>
    <w:rsid w:val="00346DC2"/>
    <w:rsid w:val="00346DEE"/>
    <w:rsid w:val="00346F03"/>
    <w:rsid w:val="00347038"/>
    <w:rsid w:val="0034711E"/>
    <w:rsid w:val="00347137"/>
    <w:rsid w:val="00347286"/>
    <w:rsid w:val="003472EE"/>
    <w:rsid w:val="00347317"/>
    <w:rsid w:val="003474BC"/>
    <w:rsid w:val="00347511"/>
    <w:rsid w:val="003475C3"/>
    <w:rsid w:val="00347608"/>
    <w:rsid w:val="0034767A"/>
    <w:rsid w:val="003476EA"/>
    <w:rsid w:val="003476FA"/>
    <w:rsid w:val="003478F0"/>
    <w:rsid w:val="00347D2B"/>
    <w:rsid w:val="00347DCD"/>
    <w:rsid w:val="00347E20"/>
    <w:rsid w:val="00347E8C"/>
    <w:rsid w:val="00347EE3"/>
    <w:rsid w:val="00347EEC"/>
    <w:rsid w:val="00347F5A"/>
    <w:rsid w:val="003501DA"/>
    <w:rsid w:val="003501F1"/>
    <w:rsid w:val="00350232"/>
    <w:rsid w:val="0035029E"/>
    <w:rsid w:val="003503B3"/>
    <w:rsid w:val="003503BB"/>
    <w:rsid w:val="00350596"/>
    <w:rsid w:val="00350A06"/>
    <w:rsid w:val="00350AF9"/>
    <w:rsid w:val="00350B5F"/>
    <w:rsid w:val="00350C14"/>
    <w:rsid w:val="00350C84"/>
    <w:rsid w:val="00350E44"/>
    <w:rsid w:val="00350ECD"/>
    <w:rsid w:val="00350EF2"/>
    <w:rsid w:val="00350FA7"/>
    <w:rsid w:val="00350FE2"/>
    <w:rsid w:val="00351024"/>
    <w:rsid w:val="00351065"/>
    <w:rsid w:val="003512B9"/>
    <w:rsid w:val="0035134A"/>
    <w:rsid w:val="003513CE"/>
    <w:rsid w:val="00351478"/>
    <w:rsid w:val="00351532"/>
    <w:rsid w:val="00351552"/>
    <w:rsid w:val="003516B5"/>
    <w:rsid w:val="003518E8"/>
    <w:rsid w:val="003519FD"/>
    <w:rsid w:val="00351ABB"/>
    <w:rsid w:val="00351AC2"/>
    <w:rsid w:val="00351B35"/>
    <w:rsid w:val="00351B8F"/>
    <w:rsid w:val="00351C43"/>
    <w:rsid w:val="00351C4A"/>
    <w:rsid w:val="00351C55"/>
    <w:rsid w:val="00351DA8"/>
    <w:rsid w:val="00351EB3"/>
    <w:rsid w:val="00352013"/>
    <w:rsid w:val="00352043"/>
    <w:rsid w:val="003520AA"/>
    <w:rsid w:val="003520C1"/>
    <w:rsid w:val="0035214D"/>
    <w:rsid w:val="003521EB"/>
    <w:rsid w:val="003521EC"/>
    <w:rsid w:val="003522B9"/>
    <w:rsid w:val="003522C3"/>
    <w:rsid w:val="003522C6"/>
    <w:rsid w:val="003523CC"/>
    <w:rsid w:val="00352440"/>
    <w:rsid w:val="003524D2"/>
    <w:rsid w:val="003524DA"/>
    <w:rsid w:val="0035262B"/>
    <w:rsid w:val="0035281C"/>
    <w:rsid w:val="003528A7"/>
    <w:rsid w:val="003528BE"/>
    <w:rsid w:val="00352ADD"/>
    <w:rsid w:val="00352B2C"/>
    <w:rsid w:val="00352C50"/>
    <w:rsid w:val="00352CD5"/>
    <w:rsid w:val="00352D7B"/>
    <w:rsid w:val="0035308D"/>
    <w:rsid w:val="00353146"/>
    <w:rsid w:val="003531DA"/>
    <w:rsid w:val="00353297"/>
    <w:rsid w:val="003533E4"/>
    <w:rsid w:val="00353420"/>
    <w:rsid w:val="00353470"/>
    <w:rsid w:val="003534A1"/>
    <w:rsid w:val="00353695"/>
    <w:rsid w:val="003536CC"/>
    <w:rsid w:val="0035388A"/>
    <w:rsid w:val="003538A0"/>
    <w:rsid w:val="00353AA7"/>
    <w:rsid w:val="00353C53"/>
    <w:rsid w:val="00353C5D"/>
    <w:rsid w:val="00353CC2"/>
    <w:rsid w:val="00353D06"/>
    <w:rsid w:val="00353D86"/>
    <w:rsid w:val="0035415F"/>
    <w:rsid w:val="0035434C"/>
    <w:rsid w:val="0035440D"/>
    <w:rsid w:val="0035443B"/>
    <w:rsid w:val="00354459"/>
    <w:rsid w:val="00354612"/>
    <w:rsid w:val="003546A8"/>
    <w:rsid w:val="0035485A"/>
    <w:rsid w:val="003548E8"/>
    <w:rsid w:val="00354923"/>
    <w:rsid w:val="0035497C"/>
    <w:rsid w:val="00354B52"/>
    <w:rsid w:val="00354C97"/>
    <w:rsid w:val="00354DF0"/>
    <w:rsid w:val="00354F13"/>
    <w:rsid w:val="00354F93"/>
    <w:rsid w:val="0035509D"/>
    <w:rsid w:val="003550B1"/>
    <w:rsid w:val="00355205"/>
    <w:rsid w:val="00355227"/>
    <w:rsid w:val="00355247"/>
    <w:rsid w:val="0035524F"/>
    <w:rsid w:val="0035532B"/>
    <w:rsid w:val="003553AD"/>
    <w:rsid w:val="003553BC"/>
    <w:rsid w:val="0035549D"/>
    <w:rsid w:val="003554B9"/>
    <w:rsid w:val="00355649"/>
    <w:rsid w:val="003556A5"/>
    <w:rsid w:val="003556D7"/>
    <w:rsid w:val="0035582D"/>
    <w:rsid w:val="00355C0C"/>
    <w:rsid w:val="00355CD2"/>
    <w:rsid w:val="00355D6B"/>
    <w:rsid w:val="00355D92"/>
    <w:rsid w:val="00355E35"/>
    <w:rsid w:val="00355E58"/>
    <w:rsid w:val="00355F10"/>
    <w:rsid w:val="00355FA1"/>
    <w:rsid w:val="00356086"/>
    <w:rsid w:val="0035618F"/>
    <w:rsid w:val="003561D6"/>
    <w:rsid w:val="003561EF"/>
    <w:rsid w:val="0035640F"/>
    <w:rsid w:val="00356426"/>
    <w:rsid w:val="0035650E"/>
    <w:rsid w:val="00356600"/>
    <w:rsid w:val="003566B6"/>
    <w:rsid w:val="003567AE"/>
    <w:rsid w:val="0035699B"/>
    <w:rsid w:val="00356A0A"/>
    <w:rsid w:val="00356B43"/>
    <w:rsid w:val="00356B84"/>
    <w:rsid w:val="00356BF2"/>
    <w:rsid w:val="00356C29"/>
    <w:rsid w:val="00356CA0"/>
    <w:rsid w:val="00356CEE"/>
    <w:rsid w:val="00356DB4"/>
    <w:rsid w:val="00356E27"/>
    <w:rsid w:val="00356E70"/>
    <w:rsid w:val="00356F76"/>
    <w:rsid w:val="00356FC7"/>
    <w:rsid w:val="00357342"/>
    <w:rsid w:val="00357583"/>
    <w:rsid w:val="00357681"/>
    <w:rsid w:val="003576D8"/>
    <w:rsid w:val="003576EF"/>
    <w:rsid w:val="00357722"/>
    <w:rsid w:val="003577DE"/>
    <w:rsid w:val="003577E2"/>
    <w:rsid w:val="0035785F"/>
    <w:rsid w:val="0035799D"/>
    <w:rsid w:val="00357A27"/>
    <w:rsid w:val="00357BB1"/>
    <w:rsid w:val="00357C14"/>
    <w:rsid w:val="00357CA0"/>
    <w:rsid w:val="00357CD3"/>
    <w:rsid w:val="00357F78"/>
    <w:rsid w:val="00357FA7"/>
    <w:rsid w:val="00357FCF"/>
    <w:rsid w:val="00360025"/>
    <w:rsid w:val="0036007E"/>
    <w:rsid w:val="00360393"/>
    <w:rsid w:val="0036042F"/>
    <w:rsid w:val="003605B8"/>
    <w:rsid w:val="00360681"/>
    <w:rsid w:val="00360789"/>
    <w:rsid w:val="003607B5"/>
    <w:rsid w:val="0036099D"/>
    <w:rsid w:val="00360DDA"/>
    <w:rsid w:val="00360EC4"/>
    <w:rsid w:val="00361011"/>
    <w:rsid w:val="003610F7"/>
    <w:rsid w:val="00361185"/>
    <w:rsid w:val="003612F3"/>
    <w:rsid w:val="0036137E"/>
    <w:rsid w:val="003617C0"/>
    <w:rsid w:val="00361BA1"/>
    <w:rsid w:val="00361CC6"/>
    <w:rsid w:val="00361DF1"/>
    <w:rsid w:val="00361E5F"/>
    <w:rsid w:val="00361EB9"/>
    <w:rsid w:val="00361EEA"/>
    <w:rsid w:val="003620A1"/>
    <w:rsid w:val="00362128"/>
    <w:rsid w:val="00362151"/>
    <w:rsid w:val="003621CD"/>
    <w:rsid w:val="00362362"/>
    <w:rsid w:val="0036241D"/>
    <w:rsid w:val="003624C3"/>
    <w:rsid w:val="003625AE"/>
    <w:rsid w:val="003625BC"/>
    <w:rsid w:val="0036261C"/>
    <w:rsid w:val="00362674"/>
    <w:rsid w:val="003626C6"/>
    <w:rsid w:val="00362776"/>
    <w:rsid w:val="003628BD"/>
    <w:rsid w:val="003628D6"/>
    <w:rsid w:val="00362917"/>
    <w:rsid w:val="00362A9E"/>
    <w:rsid w:val="00362AAC"/>
    <w:rsid w:val="00362AD0"/>
    <w:rsid w:val="00362C98"/>
    <w:rsid w:val="00362CBC"/>
    <w:rsid w:val="00362DEB"/>
    <w:rsid w:val="00362FE1"/>
    <w:rsid w:val="00363005"/>
    <w:rsid w:val="003630F6"/>
    <w:rsid w:val="00363238"/>
    <w:rsid w:val="003632F6"/>
    <w:rsid w:val="00363378"/>
    <w:rsid w:val="003633C1"/>
    <w:rsid w:val="0036343F"/>
    <w:rsid w:val="00363444"/>
    <w:rsid w:val="00363488"/>
    <w:rsid w:val="003634BD"/>
    <w:rsid w:val="00363654"/>
    <w:rsid w:val="0036371C"/>
    <w:rsid w:val="00363786"/>
    <w:rsid w:val="00363897"/>
    <w:rsid w:val="0036399E"/>
    <w:rsid w:val="003639DD"/>
    <w:rsid w:val="00363AEF"/>
    <w:rsid w:val="00363B31"/>
    <w:rsid w:val="00363D5F"/>
    <w:rsid w:val="00363EBF"/>
    <w:rsid w:val="00363FE5"/>
    <w:rsid w:val="00363FF4"/>
    <w:rsid w:val="003642AB"/>
    <w:rsid w:val="003642CF"/>
    <w:rsid w:val="00364429"/>
    <w:rsid w:val="0036442C"/>
    <w:rsid w:val="00364648"/>
    <w:rsid w:val="00364828"/>
    <w:rsid w:val="003648F9"/>
    <w:rsid w:val="00364977"/>
    <w:rsid w:val="0036497D"/>
    <w:rsid w:val="00364A91"/>
    <w:rsid w:val="00364A97"/>
    <w:rsid w:val="00364B6F"/>
    <w:rsid w:val="00364BB7"/>
    <w:rsid w:val="00364BF8"/>
    <w:rsid w:val="00364C42"/>
    <w:rsid w:val="00364CB0"/>
    <w:rsid w:val="00364D4A"/>
    <w:rsid w:val="00364DAC"/>
    <w:rsid w:val="00364DB1"/>
    <w:rsid w:val="00364DE1"/>
    <w:rsid w:val="00364EFE"/>
    <w:rsid w:val="00364FC0"/>
    <w:rsid w:val="003650DF"/>
    <w:rsid w:val="003651BC"/>
    <w:rsid w:val="0036520F"/>
    <w:rsid w:val="00365274"/>
    <w:rsid w:val="003653AC"/>
    <w:rsid w:val="003653E8"/>
    <w:rsid w:val="003654E0"/>
    <w:rsid w:val="003655D1"/>
    <w:rsid w:val="0036560C"/>
    <w:rsid w:val="0036561E"/>
    <w:rsid w:val="003656B2"/>
    <w:rsid w:val="003657F0"/>
    <w:rsid w:val="00365841"/>
    <w:rsid w:val="00365894"/>
    <w:rsid w:val="0036590D"/>
    <w:rsid w:val="0036596C"/>
    <w:rsid w:val="003659E4"/>
    <w:rsid w:val="00365AC2"/>
    <w:rsid w:val="00365C3A"/>
    <w:rsid w:val="00365C42"/>
    <w:rsid w:val="00365CC5"/>
    <w:rsid w:val="00365D1B"/>
    <w:rsid w:val="00365DF3"/>
    <w:rsid w:val="00366031"/>
    <w:rsid w:val="003661D9"/>
    <w:rsid w:val="00366271"/>
    <w:rsid w:val="00366600"/>
    <w:rsid w:val="00366692"/>
    <w:rsid w:val="003666B2"/>
    <w:rsid w:val="00366744"/>
    <w:rsid w:val="00366760"/>
    <w:rsid w:val="00366906"/>
    <w:rsid w:val="003669AD"/>
    <w:rsid w:val="00366A97"/>
    <w:rsid w:val="00366AFF"/>
    <w:rsid w:val="00366B32"/>
    <w:rsid w:val="00366BBB"/>
    <w:rsid w:val="00366C38"/>
    <w:rsid w:val="00366F28"/>
    <w:rsid w:val="00366F51"/>
    <w:rsid w:val="00366F65"/>
    <w:rsid w:val="00367104"/>
    <w:rsid w:val="003672EC"/>
    <w:rsid w:val="00367372"/>
    <w:rsid w:val="00367422"/>
    <w:rsid w:val="0036756F"/>
    <w:rsid w:val="003675AA"/>
    <w:rsid w:val="00367860"/>
    <w:rsid w:val="0036793E"/>
    <w:rsid w:val="00367982"/>
    <w:rsid w:val="00367A2C"/>
    <w:rsid w:val="00367A8B"/>
    <w:rsid w:val="00367ADB"/>
    <w:rsid w:val="00367BA3"/>
    <w:rsid w:val="00367C2F"/>
    <w:rsid w:val="00367DBB"/>
    <w:rsid w:val="00367E7F"/>
    <w:rsid w:val="00367E98"/>
    <w:rsid w:val="00367F5E"/>
    <w:rsid w:val="00367FCC"/>
    <w:rsid w:val="0037007A"/>
    <w:rsid w:val="00370263"/>
    <w:rsid w:val="00370293"/>
    <w:rsid w:val="0037036A"/>
    <w:rsid w:val="003703FB"/>
    <w:rsid w:val="0037040D"/>
    <w:rsid w:val="0037050A"/>
    <w:rsid w:val="003705B7"/>
    <w:rsid w:val="003705D4"/>
    <w:rsid w:val="00370789"/>
    <w:rsid w:val="0037083B"/>
    <w:rsid w:val="00370840"/>
    <w:rsid w:val="00370919"/>
    <w:rsid w:val="0037099D"/>
    <w:rsid w:val="00370ACE"/>
    <w:rsid w:val="00370AFD"/>
    <w:rsid w:val="00370B87"/>
    <w:rsid w:val="00370BDE"/>
    <w:rsid w:val="00370C55"/>
    <w:rsid w:val="00370C95"/>
    <w:rsid w:val="00370E88"/>
    <w:rsid w:val="00370F03"/>
    <w:rsid w:val="00370F21"/>
    <w:rsid w:val="00370F26"/>
    <w:rsid w:val="00371148"/>
    <w:rsid w:val="00371340"/>
    <w:rsid w:val="00371354"/>
    <w:rsid w:val="00371412"/>
    <w:rsid w:val="0037145A"/>
    <w:rsid w:val="0037150F"/>
    <w:rsid w:val="003718B0"/>
    <w:rsid w:val="00371A0D"/>
    <w:rsid w:val="00371B82"/>
    <w:rsid w:val="00371BC4"/>
    <w:rsid w:val="00371BFC"/>
    <w:rsid w:val="00371C3B"/>
    <w:rsid w:val="00371C74"/>
    <w:rsid w:val="00371D42"/>
    <w:rsid w:val="00371D54"/>
    <w:rsid w:val="00371D6B"/>
    <w:rsid w:val="00371DF3"/>
    <w:rsid w:val="00371E00"/>
    <w:rsid w:val="00371E33"/>
    <w:rsid w:val="00371E67"/>
    <w:rsid w:val="00371EE4"/>
    <w:rsid w:val="003720B8"/>
    <w:rsid w:val="003721D2"/>
    <w:rsid w:val="003721E8"/>
    <w:rsid w:val="00372235"/>
    <w:rsid w:val="003722B6"/>
    <w:rsid w:val="00372444"/>
    <w:rsid w:val="00372578"/>
    <w:rsid w:val="00372601"/>
    <w:rsid w:val="0037262A"/>
    <w:rsid w:val="00372692"/>
    <w:rsid w:val="0037276E"/>
    <w:rsid w:val="00372782"/>
    <w:rsid w:val="003727E9"/>
    <w:rsid w:val="00372878"/>
    <w:rsid w:val="00372935"/>
    <w:rsid w:val="0037295D"/>
    <w:rsid w:val="003729B6"/>
    <w:rsid w:val="003729D5"/>
    <w:rsid w:val="00372C5F"/>
    <w:rsid w:val="00372CAB"/>
    <w:rsid w:val="00372D31"/>
    <w:rsid w:val="00372DF7"/>
    <w:rsid w:val="00372E7B"/>
    <w:rsid w:val="003731BB"/>
    <w:rsid w:val="00373220"/>
    <w:rsid w:val="0037323F"/>
    <w:rsid w:val="00373246"/>
    <w:rsid w:val="0037351A"/>
    <w:rsid w:val="00373526"/>
    <w:rsid w:val="0037353F"/>
    <w:rsid w:val="00373662"/>
    <w:rsid w:val="003736AB"/>
    <w:rsid w:val="0037381A"/>
    <w:rsid w:val="00373852"/>
    <w:rsid w:val="0037388C"/>
    <w:rsid w:val="0037389A"/>
    <w:rsid w:val="00373A0A"/>
    <w:rsid w:val="00373A92"/>
    <w:rsid w:val="00373B12"/>
    <w:rsid w:val="00373B55"/>
    <w:rsid w:val="00373D2A"/>
    <w:rsid w:val="00373DC9"/>
    <w:rsid w:val="00373E1C"/>
    <w:rsid w:val="003740E0"/>
    <w:rsid w:val="00374394"/>
    <w:rsid w:val="0037441A"/>
    <w:rsid w:val="00374583"/>
    <w:rsid w:val="003745FA"/>
    <w:rsid w:val="003745FE"/>
    <w:rsid w:val="0037465D"/>
    <w:rsid w:val="00374683"/>
    <w:rsid w:val="003748C0"/>
    <w:rsid w:val="00374901"/>
    <w:rsid w:val="00374982"/>
    <w:rsid w:val="00374A20"/>
    <w:rsid w:val="00374D85"/>
    <w:rsid w:val="00374E88"/>
    <w:rsid w:val="00374E9C"/>
    <w:rsid w:val="00374F68"/>
    <w:rsid w:val="00375202"/>
    <w:rsid w:val="00375353"/>
    <w:rsid w:val="00375405"/>
    <w:rsid w:val="003754F0"/>
    <w:rsid w:val="00375699"/>
    <w:rsid w:val="003756C6"/>
    <w:rsid w:val="00375739"/>
    <w:rsid w:val="0037592F"/>
    <w:rsid w:val="00375971"/>
    <w:rsid w:val="003759EB"/>
    <w:rsid w:val="00375AA8"/>
    <w:rsid w:val="00375F5A"/>
    <w:rsid w:val="0037602F"/>
    <w:rsid w:val="00376153"/>
    <w:rsid w:val="003761F8"/>
    <w:rsid w:val="00376219"/>
    <w:rsid w:val="003762F9"/>
    <w:rsid w:val="0037635D"/>
    <w:rsid w:val="0037653D"/>
    <w:rsid w:val="0037653E"/>
    <w:rsid w:val="00376562"/>
    <w:rsid w:val="0037663B"/>
    <w:rsid w:val="00376715"/>
    <w:rsid w:val="00376725"/>
    <w:rsid w:val="003767A8"/>
    <w:rsid w:val="00376822"/>
    <w:rsid w:val="0037698E"/>
    <w:rsid w:val="00376A16"/>
    <w:rsid w:val="00376B47"/>
    <w:rsid w:val="00376B72"/>
    <w:rsid w:val="00376E0B"/>
    <w:rsid w:val="00376E3C"/>
    <w:rsid w:val="00376EC4"/>
    <w:rsid w:val="00376F03"/>
    <w:rsid w:val="00376FA1"/>
    <w:rsid w:val="00376FD1"/>
    <w:rsid w:val="003770E1"/>
    <w:rsid w:val="0037713E"/>
    <w:rsid w:val="003771A9"/>
    <w:rsid w:val="00377223"/>
    <w:rsid w:val="00377354"/>
    <w:rsid w:val="003773AE"/>
    <w:rsid w:val="00377405"/>
    <w:rsid w:val="00377547"/>
    <w:rsid w:val="00377671"/>
    <w:rsid w:val="003776D2"/>
    <w:rsid w:val="00377752"/>
    <w:rsid w:val="0037776D"/>
    <w:rsid w:val="003777CF"/>
    <w:rsid w:val="003779E0"/>
    <w:rsid w:val="00377A44"/>
    <w:rsid w:val="00377AFC"/>
    <w:rsid w:val="00377B37"/>
    <w:rsid w:val="00377B64"/>
    <w:rsid w:val="00377C97"/>
    <w:rsid w:val="00377D30"/>
    <w:rsid w:val="00377DCF"/>
    <w:rsid w:val="00377E53"/>
    <w:rsid w:val="00377EFE"/>
    <w:rsid w:val="00377FAE"/>
    <w:rsid w:val="0038004C"/>
    <w:rsid w:val="003800DE"/>
    <w:rsid w:val="00380209"/>
    <w:rsid w:val="00380244"/>
    <w:rsid w:val="003802AF"/>
    <w:rsid w:val="003802C7"/>
    <w:rsid w:val="0038043F"/>
    <w:rsid w:val="00380482"/>
    <w:rsid w:val="003805A3"/>
    <w:rsid w:val="003806AA"/>
    <w:rsid w:val="003807F1"/>
    <w:rsid w:val="003808BE"/>
    <w:rsid w:val="003809B1"/>
    <w:rsid w:val="00380A8B"/>
    <w:rsid w:val="00380AD8"/>
    <w:rsid w:val="00380C3D"/>
    <w:rsid w:val="00380C9E"/>
    <w:rsid w:val="00380D9C"/>
    <w:rsid w:val="00380DE3"/>
    <w:rsid w:val="00380F33"/>
    <w:rsid w:val="003811FC"/>
    <w:rsid w:val="0038124C"/>
    <w:rsid w:val="00381271"/>
    <w:rsid w:val="003812AC"/>
    <w:rsid w:val="003813DF"/>
    <w:rsid w:val="00381628"/>
    <w:rsid w:val="00381684"/>
    <w:rsid w:val="0038169F"/>
    <w:rsid w:val="003816C0"/>
    <w:rsid w:val="003817C4"/>
    <w:rsid w:val="00381906"/>
    <w:rsid w:val="003819B7"/>
    <w:rsid w:val="00381A42"/>
    <w:rsid w:val="00381A9B"/>
    <w:rsid w:val="00381B2A"/>
    <w:rsid w:val="00381BD3"/>
    <w:rsid w:val="00381FD2"/>
    <w:rsid w:val="003821E7"/>
    <w:rsid w:val="0038220B"/>
    <w:rsid w:val="003823A2"/>
    <w:rsid w:val="003823C6"/>
    <w:rsid w:val="003827F4"/>
    <w:rsid w:val="003829EC"/>
    <w:rsid w:val="00382B70"/>
    <w:rsid w:val="00382C03"/>
    <w:rsid w:val="00382C61"/>
    <w:rsid w:val="00382CE0"/>
    <w:rsid w:val="00382D5C"/>
    <w:rsid w:val="00382F0E"/>
    <w:rsid w:val="00382F81"/>
    <w:rsid w:val="00383083"/>
    <w:rsid w:val="00383133"/>
    <w:rsid w:val="00383197"/>
    <w:rsid w:val="003835DB"/>
    <w:rsid w:val="00383672"/>
    <w:rsid w:val="00383772"/>
    <w:rsid w:val="00383778"/>
    <w:rsid w:val="0038377B"/>
    <w:rsid w:val="00383ACA"/>
    <w:rsid w:val="00383B11"/>
    <w:rsid w:val="00383B39"/>
    <w:rsid w:val="00383BE4"/>
    <w:rsid w:val="00383C2E"/>
    <w:rsid w:val="00383C43"/>
    <w:rsid w:val="00383CE8"/>
    <w:rsid w:val="00383D72"/>
    <w:rsid w:val="00384048"/>
    <w:rsid w:val="00384169"/>
    <w:rsid w:val="003841E1"/>
    <w:rsid w:val="00384252"/>
    <w:rsid w:val="00384260"/>
    <w:rsid w:val="003842B9"/>
    <w:rsid w:val="0038448E"/>
    <w:rsid w:val="00384648"/>
    <w:rsid w:val="0038464C"/>
    <w:rsid w:val="0038467F"/>
    <w:rsid w:val="00384690"/>
    <w:rsid w:val="00384692"/>
    <w:rsid w:val="00384735"/>
    <w:rsid w:val="003849FD"/>
    <w:rsid w:val="00384B5E"/>
    <w:rsid w:val="00384C60"/>
    <w:rsid w:val="00384CE2"/>
    <w:rsid w:val="00384D0D"/>
    <w:rsid w:val="00384F58"/>
    <w:rsid w:val="00385041"/>
    <w:rsid w:val="003851E8"/>
    <w:rsid w:val="003852DC"/>
    <w:rsid w:val="00385309"/>
    <w:rsid w:val="00385376"/>
    <w:rsid w:val="00385387"/>
    <w:rsid w:val="0038546D"/>
    <w:rsid w:val="0038547D"/>
    <w:rsid w:val="0038559D"/>
    <w:rsid w:val="00385657"/>
    <w:rsid w:val="0038574C"/>
    <w:rsid w:val="003857EF"/>
    <w:rsid w:val="003857F6"/>
    <w:rsid w:val="0038599B"/>
    <w:rsid w:val="00385A2B"/>
    <w:rsid w:val="00385A74"/>
    <w:rsid w:val="00385A9F"/>
    <w:rsid w:val="00385B7F"/>
    <w:rsid w:val="00385D2F"/>
    <w:rsid w:val="00385D46"/>
    <w:rsid w:val="00385E67"/>
    <w:rsid w:val="00385F16"/>
    <w:rsid w:val="00385F1D"/>
    <w:rsid w:val="00385FDE"/>
    <w:rsid w:val="00386130"/>
    <w:rsid w:val="003861CC"/>
    <w:rsid w:val="003861E5"/>
    <w:rsid w:val="003862E0"/>
    <w:rsid w:val="003863BD"/>
    <w:rsid w:val="003863C9"/>
    <w:rsid w:val="0038643D"/>
    <w:rsid w:val="00386568"/>
    <w:rsid w:val="00386587"/>
    <w:rsid w:val="00386655"/>
    <w:rsid w:val="003867EC"/>
    <w:rsid w:val="00386993"/>
    <w:rsid w:val="00386A44"/>
    <w:rsid w:val="00386ABB"/>
    <w:rsid w:val="00386B0C"/>
    <w:rsid w:val="00386BE0"/>
    <w:rsid w:val="00386D5C"/>
    <w:rsid w:val="00386DE4"/>
    <w:rsid w:val="00386E50"/>
    <w:rsid w:val="00386EB7"/>
    <w:rsid w:val="00386EC9"/>
    <w:rsid w:val="00387011"/>
    <w:rsid w:val="00387167"/>
    <w:rsid w:val="003872C4"/>
    <w:rsid w:val="00387329"/>
    <w:rsid w:val="00387364"/>
    <w:rsid w:val="003873E7"/>
    <w:rsid w:val="003875F1"/>
    <w:rsid w:val="00387701"/>
    <w:rsid w:val="0038780F"/>
    <w:rsid w:val="00387854"/>
    <w:rsid w:val="00387873"/>
    <w:rsid w:val="00387A35"/>
    <w:rsid w:val="00387AC8"/>
    <w:rsid w:val="00387AD0"/>
    <w:rsid w:val="00387B03"/>
    <w:rsid w:val="00387BB2"/>
    <w:rsid w:val="00387BF6"/>
    <w:rsid w:val="00387BF8"/>
    <w:rsid w:val="00387C5F"/>
    <w:rsid w:val="00387CB5"/>
    <w:rsid w:val="00387D00"/>
    <w:rsid w:val="00387EB1"/>
    <w:rsid w:val="00387F64"/>
    <w:rsid w:val="00390029"/>
    <w:rsid w:val="0039009C"/>
    <w:rsid w:val="003900D9"/>
    <w:rsid w:val="003901E2"/>
    <w:rsid w:val="003902DE"/>
    <w:rsid w:val="003902EB"/>
    <w:rsid w:val="00390471"/>
    <w:rsid w:val="0039063E"/>
    <w:rsid w:val="0039065F"/>
    <w:rsid w:val="003906FA"/>
    <w:rsid w:val="003906FD"/>
    <w:rsid w:val="003907CC"/>
    <w:rsid w:val="003908D0"/>
    <w:rsid w:val="00390925"/>
    <w:rsid w:val="0039097A"/>
    <w:rsid w:val="00390A51"/>
    <w:rsid w:val="00390A60"/>
    <w:rsid w:val="00390A6B"/>
    <w:rsid w:val="00390B60"/>
    <w:rsid w:val="00390C94"/>
    <w:rsid w:val="00390CC7"/>
    <w:rsid w:val="00390F10"/>
    <w:rsid w:val="003911A5"/>
    <w:rsid w:val="00391205"/>
    <w:rsid w:val="00391207"/>
    <w:rsid w:val="0039128F"/>
    <w:rsid w:val="0039141E"/>
    <w:rsid w:val="00391651"/>
    <w:rsid w:val="00391717"/>
    <w:rsid w:val="003918B7"/>
    <w:rsid w:val="00391A47"/>
    <w:rsid w:val="00391A85"/>
    <w:rsid w:val="00391B30"/>
    <w:rsid w:val="00391C13"/>
    <w:rsid w:val="00391C36"/>
    <w:rsid w:val="00391D2F"/>
    <w:rsid w:val="00391DEC"/>
    <w:rsid w:val="00391E99"/>
    <w:rsid w:val="00391EDC"/>
    <w:rsid w:val="00391F70"/>
    <w:rsid w:val="00391FA2"/>
    <w:rsid w:val="00391FC8"/>
    <w:rsid w:val="00392121"/>
    <w:rsid w:val="00392179"/>
    <w:rsid w:val="00392200"/>
    <w:rsid w:val="00392373"/>
    <w:rsid w:val="00392386"/>
    <w:rsid w:val="003925FB"/>
    <w:rsid w:val="003926AA"/>
    <w:rsid w:val="003927F9"/>
    <w:rsid w:val="00392864"/>
    <w:rsid w:val="0039289F"/>
    <w:rsid w:val="00392965"/>
    <w:rsid w:val="003929FE"/>
    <w:rsid w:val="00392AAA"/>
    <w:rsid w:val="00392AAB"/>
    <w:rsid w:val="00392B21"/>
    <w:rsid w:val="00392B32"/>
    <w:rsid w:val="00392B68"/>
    <w:rsid w:val="00392C8F"/>
    <w:rsid w:val="00392CAA"/>
    <w:rsid w:val="00392F0C"/>
    <w:rsid w:val="00392FDC"/>
    <w:rsid w:val="0039305A"/>
    <w:rsid w:val="00393065"/>
    <w:rsid w:val="003930A5"/>
    <w:rsid w:val="003931DD"/>
    <w:rsid w:val="00393303"/>
    <w:rsid w:val="0039332C"/>
    <w:rsid w:val="00393394"/>
    <w:rsid w:val="00393440"/>
    <w:rsid w:val="0039346D"/>
    <w:rsid w:val="00393475"/>
    <w:rsid w:val="00393560"/>
    <w:rsid w:val="003935EB"/>
    <w:rsid w:val="00393907"/>
    <w:rsid w:val="00393B19"/>
    <w:rsid w:val="00393B4E"/>
    <w:rsid w:val="00393E52"/>
    <w:rsid w:val="00393F0E"/>
    <w:rsid w:val="00393FA0"/>
    <w:rsid w:val="003940E9"/>
    <w:rsid w:val="00394179"/>
    <w:rsid w:val="003941A5"/>
    <w:rsid w:val="003941FD"/>
    <w:rsid w:val="00394425"/>
    <w:rsid w:val="0039449B"/>
    <w:rsid w:val="00394529"/>
    <w:rsid w:val="003945F5"/>
    <w:rsid w:val="00394729"/>
    <w:rsid w:val="0039473B"/>
    <w:rsid w:val="0039480A"/>
    <w:rsid w:val="00394ABE"/>
    <w:rsid w:val="00394BA8"/>
    <w:rsid w:val="00394BD2"/>
    <w:rsid w:val="00394C16"/>
    <w:rsid w:val="00394CDA"/>
    <w:rsid w:val="00394D1E"/>
    <w:rsid w:val="00394E02"/>
    <w:rsid w:val="00394EED"/>
    <w:rsid w:val="00394F38"/>
    <w:rsid w:val="00394F9B"/>
    <w:rsid w:val="00394FAB"/>
    <w:rsid w:val="0039504D"/>
    <w:rsid w:val="003950CD"/>
    <w:rsid w:val="003950F9"/>
    <w:rsid w:val="0039520B"/>
    <w:rsid w:val="003952E0"/>
    <w:rsid w:val="0039530C"/>
    <w:rsid w:val="003953CD"/>
    <w:rsid w:val="003953F9"/>
    <w:rsid w:val="00395522"/>
    <w:rsid w:val="0039560E"/>
    <w:rsid w:val="00395740"/>
    <w:rsid w:val="00395B3B"/>
    <w:rsid w:val="00395B73"/>
    <w:rsid w:val="00395C65"/>
    <w:rsid w:val="00395D01"/>
    <w:rsid w:val="00395E64"/>
    <w:rsid w:val="00395FE2"/>
    <w:rsid w:val="00396253"/>
    <w:rsid w:val="003962BA"/>
    <w:rsid w:val="003964F1"/>
    <w:rsid w:val="003966AA"/>
    <w:rsid w:val="0039672B"/>
    <w:rsid w:val="003967CA"/>
    <w:rsid w:val="00396862"/>
    <w:rsid w:val="00396A02"/>
    <w:rsid w:val="00396D3D"/>
    <w:rsid w:val="00396D97"/>
    <w:rsid w:val="00396D9D"/>
    <w:rsid w:val="00396E12"/>
    <w:rsid w:val="00396F94"/>
    <w:rsid w:val="00396FD2"/>
    <w:rsid w:val="00396FEF"/>
    <w:rsid w:val="0039709D"/>
    <w:rsid w:val="00397183"/>
    <w:rsid w:val="00397237"/>
    <w:rsid w:val="00397251"/>
    <w:rsid w:val="00397300"/>
    <w:rsid w:val="00397387"/>
    <w:rsid w:val="00397409"/>
    <w:rsid w:val="003975DA"/>
    <w:rsid w:val="003976BF"/>
    <w:rsid w:val="0039770D"/>
    <w:rsid w:val="0039778D"/>
    <w:rsid w:val="0039784B"/>
    <w:rsid w:val="00397AFA"/>
    <w:rsid w:val="00397C36"/>
    <w:rsid w:val="00397C83"/>
    <w:rsid w:val="00397D06"/>
    <w:rsid w:val="00397E18"/>
    <w:rsid w:val="00397F69"/>
    <w:rsid w:val="00397F91"/>
    <w:rsid w:val="00397FD6"/>
    <w:rsid w:val="003A000C"/>
    <w:rsid w:val="003A0025"/>
    <w:rsid w:val="003A0064"/>
    <w:rsid w:val="003A00E6"/>
    <w:rsid w:val="003A02DC"/>
    <w:rsid w:val="003A03C5"/>
    <w:rsid w:val="003A042B"/>
    <w:rsid w:val="003A04B6"/>
    <w:rsid w:val="003A04C9"/>
    <w:rsid w:val="003A0541"/>
    <w:rsid w:val="003A05DE"/>
    <w:rsid w:val="003A06CD"/>
    <w:rsid w:val="003A0739"/>
    <w:rsid w:val="003A0748"/>
    <w:rsid w:val="003A0859"/>
    <w:rsid w:val="003A0A90"/>
    <w:rsid w:val="003A0AFB"/>
    <w:rsid w:val="003A0B34"/>
    <w:rsid w:val="003A0B88"/>
    <w:rsid w:val="003A0BB3"/>
    <w:rsid w:val="003A0D75"/>
    <w:rsid w:val="003A0DED"/>
    <w:rsid w:val="003A0E5D"/>
    <w:rsid w:val="003A0FCF"/>
    <w:rsid w:val="003A0FE4"/>
    <w:rsid w:val="003A134B"/>
    <w:rsid w:val="003A1374"/>
    <w:rsid w:val="003A1400"/>
    <w:rsid w:val="003A14FA"/>
    <w:rsid w:val="003A15C5"/>
    <w:rsid w:val="003A175A"/>
    <w:rsid w:val="003A18FC"/>
    <w:rsid w:val="003A1932"/>
    <w:rsid w:val="003A19AA"/>
    <w:rsid w:val="003A1A3F"/>
    <w:rsid w:val="003A1A92"/>
    <w:rsid w:val="003A1C71"/>
    <w:rsid w:val="003A1E3B"/>
    <w:rsid w:val="003A1F5D"/>
    <w:rsid w:val="003A2093"/>
    <w:rsid w:val="003A20B9"/>
    <w:rsid w:val="003A2227"/>
    <w:rsid w:val="003A22CC"/>
    <w:rsid w:val="003A2322"/>
    <w:rsid w:val="003A233E"/>
    <w:rsid w:val="003A234A"/>
    <w:rsid w:val="003A23D9"/>
    <w:rsid w:val="003A24FE"/>
    <w:rsid w:val="003A26D1"/>
    <w:rsid w:val="003A271A"/>
    <w:rsid w:val="003A288D"/>
    <w:rsid w:val="003A2957"/>
    <w:rsid w:val="003A29AD"/>
    <w:rsid w:val="003A2BDE"/>
    <w:rsid w:val="003A2CEB"/>
    <w:rsid w:val="003A2F5B"/>
    <w:rsid w:val="003A30CD"/>
    <w:rsid w:val="003A3295"/>
    <w:rsid w:val="003A3356"/>
    <w:rsid w:val="003A335C"/>
    <w:rsid w:val="003A3392"/>
    <w:rsid w:val="003A3419"/>
    <w:rsid w:val="003A3527"/>
    <w:rsid w:val="003A3535"/>
    <w:rsid w:val="003A3694"/>
    <w:rsid w:val="003A37BD"/>
    <w:rsid w:val="003A3940"/>
    <w:rsid w:val="003A39A9"/>
    <w:rsid w:val="003A3B40"/>
    <w:rsid w:val="003A3B43"/>
    <w:rsid w:val="003A4088"/>
    <w:rsid w:val="003A40AB"/>
    <w:rsid w:val="003A40BD"/>
    <w:rsid w:val="003A40DF"/>
    <w:rsid w:val="003A40EC"/>
    <w:rsid w:val="003A41E6"/>
    <w:rsid w:val="003A4287"/>
    <w:rsid w:val="003A4298"/>
    <w:rsid w:val="003A42A3"/>
    <w:rsid w:val="003A4376"/>
    <w:rsid w:val="003A44C1"/>
    <w:rsid w:val="003A45C5"/>
    <w:rsid w:val="003A466E"/>
    <w:rsid w:val="003A47CC"/>
    <w:rsid w:val="003A490C"/>
    <w:rsid w:val="003A4982"/>
    <w:rsid w:val="003A49F3"/>
    <w:rsid w:val="003A4A17"/>
    <w:rsid w:val="003A4A87"/>
    <w:rsid w:val="003A4A99"/>
    <w:rsid w:val="003A4BAE"/>
    <w:rsid w:val="003A4BB4"/>
    <w:rsid w:val="003A4F19"/>
    <w:rsid w:val="003A4F31"/>
    <w:rsid w:val="003A5033"/>
    <w:rsid w:val="003A510C"/>
    <w:rsid w:val="003A52BB"/>
    <w:rsid w:val="003A554F"/>
    <w:rsid w:val="003A5593"/>
    <w:rsid w:val="003A56B9"/>
    <w:rsid w:val="003A580E"/>
    <w:rsid w:val="003A586D"/>
    <w:rsid w:val="003A5911"/>
    <w:rsid w:val="003A5919"/>
    <w:rsid w:val="003A5B95"/>
    <w:rsid w:val="003A5C21"/>
    <w:rsid w:val="003A5ECE"/>
    <w:rsid w:val="003A5F07"/>
    <w:rsid w:val="003A5F0C"/>
    <w:rsid w:val="003A5F6F"/>
    <w:rsid w:val="003A603D"/>
    <w:rsid w:val="003A60BF"/>
    <w:rsid w:val="003A6189"/>
    <w:rsid w:val="003A6263"/>
    <w:rsid w:val="003A62F4"/>
    <w:rsid w:val="003A6483"/>
    <w:rsid w:val="003A6559"/>
    <w:rsid w:val="003A656B"/>
    <w:rsid w:val="003A6571"/>
    <w:rsid w:val="003A6685"/>
    <w:rsid w:val="003A67CD"/>
    <w:rsid w:val="003A6861"/>
    <w:rsid w:val="003A693F"/>
    <w:rsid w:val="003A6A10"/>
    <w:rsid w:val="003A6C01"/>
    <w:rsid w:val="003A6D4C"/>
    <w:rsid w:val="003A6D65"/>
    <w:rsid w:val="003A6D6D"/>
    <w:rsid w:val="003A6D84"/>
    <w:rsid w:val="003A6E85"/>
    <w:rsid w:val="003A6E96"/>
    <w:rsid w:val="003A6F2E"/>
    <w:rsid w:val="003A70B9"/>
    <w:rsid w:val="003A71A0"/>
    <w:rsid w:val="003A72E1"/>
    <w:rsid w:val="003A72EA"/>
    <w:rsid w:val="003A7623"/>
    <w:rsid w:val="003A766C"/>
    <w:rsid w:val="003A7927"/>
    <w:rsid w:val="003A7954"/>
    <w:rsid w:val="003A7B6F"/>
    <w:rsid w:val="003A7C71"/>
    <w:rsid w:val="003A7C88"/>
    <w:rsid w:val="003A7CED"/>
    <w:rsid w:val="003A7D96"/>
    <w:rsid w:val="003A7EFF"/>
    <w:rsid w:val="003A7FDC"/>
    <w:rsid w:val="003B0006"/>
    <w:rsid w:val="003B00A0"/>
    <w:rsid w:val="003B0137"/>
    <w:rsid w:val="003B013B"/>
    <w:rsid w:val="003B0176"/>
    <w:rsid w:val="003B0326"/>
    <w:rsid w:val="003B03E4"/>
    <w:rsid w:val="003B05BF"/>
    <w:rsid w:val="003B0685"/>
    <w:rsid w:val="003B06DF"/>
    <w:rsid w:val="003B0737"/>
    <w:rsid w:val="003B07B0"/>
    <w:rsid w:val="003B07CE"/>
    <w:rsid w:val="003B083A"/>
    <w:rsid w:val="003B09D8"/>
    <w:rsid w:val="003B0A74"/>
    <w:rsid w:val="003B0B01"/>
    <w:rsid w:val="003B0C06"/>
    <w:rsid w:val="003B0C15"/>
    <w:rsid w:val="003B0C9B"/>
    <w:rsid w:val="003B0CC1"/>
    <w:rsid w:val="003B0D1A"/>
    <w:rsid w:val="003B0D2B"/>
    <w:rsid w:val="003B0F36"/>
    <w:rsid w:val="003B1242"/>
    <w:rsid w:val="003B1331"/>
    <w:rsid w:val="003B1377"/>
    <w:rsid w:val="003B13CA"/>
    <w:rsid w:val="003B14A9"/>
    <w:rsid w:val="003B15F1"/>
    <w:rsid w:val="003B184E"/>
    <w:rsid w:val="003B1AE7"/>
    <w:rsid w:val="003B1B6D"/>
    <w:rsid w:val="003B1B74"/>
    <w:rsid w:val="003B1C03"/>
    <w:rsid w:val="003B1D46"/>
    <w:rsid w:val="003B1D87"/>
    <w:rsid w:val="003B1E5C"/>
    <w:rsid w:val="003B1FF4"/>
    <w:rsid w:val="003B2264"/>
    <w:rsid w:val="003B2302"/>
    <w:rsid w:val="003B23E9"/>
    <w:rsid w:val="003B2427"/>
    <w:rsid w:val="003B24C0"/>
    <w:rsid w:val="003B2559"/>
    <w:rsid w:val="003B2674"/>
    <w:rsid w:val="003B269E"/>
    <w:rsid w:val="003B2733"/>
    <w:rsid w:val="003B27A3"/>
    <w:rsid w:val="003B29D1"/>
    <w:rsid w:val="003B2A0E"/>
    <w:rsid w:val="003B2B7B"/>
    <w:rsid w:val="003B2C34"/>
    <w:rsid w:val="003B2CB4"/>
    <w:rsid w:val="003B2CE3"/>
    <w:rsid w:val="003B2CE4"/>
    <w:rsid w:val="003B2D11"/>
    <w:rsid w:val="003B3024"/>
    <w:rsid w:val="003B30AE"/>
    <w:rsid w:val="003B30D6"/>
    <w:rsid w:val="003B3188"/>
    <w:rsid w:val="003B31BC"/>
    <w:rsid w:val="003B3271"/>
    <w:rsid w:val="003B344F"/>
    <w:rsid w:val="003B349E"/>
    <w:rsid w:val="003B3631"/>
    <w:rsid w:val="003B378B"/>
    <w:rsid w:val="003B37CC"/>
    <w:rsid w:val="003B382C"/>
    <w:rsid w:val="003B39B2"/>
    <w:rsid w:val="003B3E9D"/>
    <w:rsid w:val="003B3F61"/>
    <w:rsid w:val="003B3F66"/>
    <w:rsid w:val="003B3FA0"/>
    <w:rsid w:val="003B4242"/>
    <w:rsid w:val="003B433C"/>
    <w:rsid w:val="003B43AB"/>
    <w:rsid w:val="003B450A"/>
    <w:rsid w:val="003B45AF"/>
    <w:rsid w:val="003B4742"/>
    <w:rsid w:val="003B477C"/>
    <w:rsid w:val="003B495F"/>
    <w:rsid w:val="003B49BB"/>
    <w:rsid w:val="003B4BBD"/>
    <w:rsid w:val="003B4C0E"/>
    <w:rsid w:val="003B4C16"/>
    <w:rsid w:val="003B4CF6"/>
    <w:rsid w:val="003B4EE1"/>
    <w:rsid w:val="003B525B"/>
    <w:rsid w:val="003B529E"/>
    <w:rsid w:val="003B53BD"/>
    <w:rsid w:val="003B53C6"/>
    <w:rsid w:val="003B53E4"/>
    <w:rsid w:val="003B54C3"/>
    <w:rsid w:val="003B55EE"/>
    <w:rsid w:val="003B55FA"/>
    <w:rsid w:val="003B56F2"/>
    <w:rsid w:val="003B56FA"/>
    <w:rsid w:val="003B57C4"/>
    <w:rsid w:val="003B5998"/>
    <w:rsid w:val="003B5A1E"/>
    <w:rsid w:val="003B5A70"/>
    <w:rsid w:val="003B5A79"/>
    <w:rsid w:val="003B5BC9"/>
    <w:rsid w:val="003B5BDD"/>
    <w:rsid w:val="003B5BE9"/>
    <w:rsid w:val="003B5D22"/>
    <w:rsid w:val="003B5D37"/>
    <w:rsid w:val="003B5D56"/>
    <w:rsid w:val="003B5D7B"/>
    <w:rsid w:val="003B5D85"/>
    <w:rsid w:val="003B5E00"/>
    <w:rsid w:val="003B5FA4"/>
    <w:rsid w:val="003B613C"/>
    <w:rsid w:val="003B622E"/>
    <w:rsid w:val="003B6263"/>
    <w:rsid w:val="003B62B0"/>
    <w:rsid w:val="003B6326"/>
    <w:rsid w:val="003B6439"/>
    <w:rsid w:val="003B6468"/>
    <w:rsid w:val="003B6531"/>
    <w:rsid w:val="003B6577"/>
    <w:rsid w:val="003B6658"/>
    <w:rsid w:val="003B66A1"/>
    <w:rsid w:val="003B66E9"/>
    <w:rsid w:val="003B6729"/>
    <w:rsid w:val="003B6763"/>
    <w:rsid w:val="003B67DC"/>
    <w:rsid w:val="003B688F"/>
    <w:rsid w:val="003B68AC"/>
    <w:rsid w:val="003B68CB"/>
    <w:rsid w:val="003B6AB6"/>
    <w:rsid w:val="003B6CAA"/>
    <w:rsid w:val="003B6D71"/>
    <w:rsid w:val="003B6E75"/>
    <w:rsid w:val="003B701F"/>
    <w:rsid w:val="003B7081"/>
    <w:rsid w:val="003B715F"/>
    <w:rsid w:val="003B717A"/>
    <w:rsid w:val="003B71AC"/>
    <w:rsid w:val="003B7275"/>
    <w:rsid w:val="003B738E"/>
    <w:rsid w:val="003B75C8"/>
    <w:rsid w:val="003B77C3"/>
    <w:rsid w:val="003B788D"/>
    <w:rsid w:val="003B79AB"/>
    <w:rsid w:val="003B79AE"/>
    <w:rsid w:val="003B7A60"/>
    <w:rsid w:val="003B7B2E"/>
    <w:rsid w:val="003B7BBB"/>
    <w:rsid w:val="003B7D87"/>
    <w:rsid w:val="003B7E05"/>
    <w:rsid w:val="003B7F2D"/>
    <w:rsid w:val="003C00CE"/>
    <w:rsid w:val="003C0461"/>
    <w:rsid w:val="003C04A4"/>
    <w:rsid w:val="003C04EE"/>
    <w:rsid w:val="003C05B6"/>
    <w:rsid w:val="003C0618"/>
    <w:rsid w:val="003C0738"/>
    <w:rsid w:val="003C083C"/>
    <w:rsid w:val="003C0988"/>
    <w:rsid w:val="003C0A7F"/>
    <w:rsid w:val="003C0BD5"/>
    <w:rsid w:val="003C0D6B"/>
    <w:rsid w:val="003C0E01"/>
    <w:rsid w:val="003C0FEE"/>
    <w:rsid w:val="003C1001"/>
    <w:rsid w:val="003C1058"/>
    <w:rsid w:val="003C10DB"/>
    <w:rsid w:val="003C111A"/>
    <w:rsid w:val="003C1159"/>
    <w:rsid w:val="003C123D"/>
    <w:rsid w:val="003C137A"/>
    <w:rsid w:val="003C14C6"/>
    <w:rsid w:val="003C158E"/>
    <w:rsid w:val="003C15DF"/>
    <w:rsid w:val="003C170F"/>
    <w:rsid w:val="003C18C1"/>
    <w:rsid w:val="003C19DF"/>
    <w:rsid w:val="003C19FE"/>
    <w:rsid w:val="003C1C37"/>
    <w:rsid w:val="003C1D74"/>
    <w:rsid w:val="003C1DDE"/>
    <w:rsid w:val="003C1DF3"/>
    <w:rsid w:val="003C1E0E"/>
    <w:rsid w:val="003C1E2B"/>
    <w:rsid w:val="003C1E46"/>
    <w:rsid w:val="003C1FC9"/>
    <w:rsid w:val="003C1FD5"/>
    <w:rsid w:val="003C210A"/>
    <w:rsid w:val="003C2617"/>
    <w:rsid w:val="003C2B7E"/>
    <w:rsid w:val="003C2D02"/>
    <w:rsid w:val="003C2E5F"/>
    <w:rsid w:val="003C2E8E"/>
    <w:rsid w:val="003C2F21"/>
    <w:rsid w:val="003C2F90"/>
    <w:rsid w:val="003C3066"/>
    <w:rsid w:val="003C3673"/>
    <w:rsid w:val="003C36CE"/>
    <w:rsid w:val="003C36DA"/>
    <w:rsid w:val="003C36F9"/>
    <w:rsid w:val="003C373A"/>
    <w:rsid w:val="003C373B"/>
    <w:rsid w:val="003C38BA"/>
    <w:rsid w:val="003C3A74"/>
    <w:rsid w:val="003C3E0D"/>
    <w:rsid w:val="003C3E1E"/>
    <w:rsid w:val="003C3F23"/>
    <w:rsid w:val="003C410D"/>
    <w:rsid w:val="003C41CD"/>
    <w:rsid w:val="003C4440"/>
    <w:rsid w:val="003C45E4"/>
    <w:rsid w:val="003C45FA"/>
    <w:rsid w:val="003C461D"/>
    <w:rsid w:val="003C4664"/>
    <w:rsid w:val="003C46EA"/>
    <w:rsid w:val="003C478A"/>
    <w:rsid w:val="003C49A2"/>
    <w:rsid w:val="003C49A8"/>
    <w:rsid w:val="003C4A45"/>
    <w:rsid w:val="003C4B0A"/>
    <w:rsid w:val="003C4B8A"/>
    <w:rsid w:val="003C4BE0"/>
    <w:rsid w:val="003C4D38"/>
    <w:rsid w:val="003C4D47"/>
    <w:rsid w:val="003C4F51"/>
    <w:rsid w:val="003C5031"/>
    <w:rsid w:val="003C503F"/>
    <w:rsid w:val="003C511E"/>
    <w:rsid w:val="003C5142"/>
    <w:rsid w:val="003C5154"/>
    <w:rsid w:val="003C52CF"/>
    <w:rsid w:val="003C53D7"/>
    <w:rsid w:val="003C53F6"/>
    <w:rsid w:val="003C53FA"/>
    <w:rsid w:val="003C5481"/>
    <w:rsid w:val="003C5482"/>
    <w:rsid w:val="003C55D8"/>
    <w:rsid w:val="003C562E"/>
    <w:rsid w:val="003C56FD"/>
    <w:rsid w:val="003C5752"/>
    <w:rsid w:val="003C5757"/>
    <w:rsid w:val="003C5879"/>
    <w:rsid w:val="003C58B4"/>
    <w:rsid w:val="003C5937"/>
    <w:rsid w:val="003C5970"/>
    <w:rsid w:val="003C59B1"/>
    <w:rsid w:val="003C59F9"/>
    <w:rsid w:val="003C5A05"/>
    <w:rsid w:val="003C5A4E"/>
    <w:rsid w:val="003C5A8B"/>
    <w:rsid w:val="003C5AEE"/>
    <w:rsid w:val="003C5B99"/>
    <w:rsid w:val="003C5C2B"/>
    <w:rsid w:val="003C5CD3"/>
    <w:rsid w:val="003C5D94"/>
    <w:rsid w:val="003C5DCE"/>
    <w:rsid w:val="003C5ED6"/>
    <w:rsid w:val="003C5F32"/>
    <w:rsid w:val="003C61A5"/>
    <w:rsid w:val="003C63D9"/>
    <w:rsid w:val="003C67D4"/>
    <w:rsid w:val="003C67D5"/>
    <w:rsid w:val="003C67D6"/>
    <w:rsid w:val="003C6830"/>
    <w:rsid w:val="003C6836"/>
    <w:rsid w:val="003C69C7"/>
    <w:rsid w:val="003C6A05"/>
    <w:rsid w:val="003C6A75"/>
    <w:rsid w:val="003C6A7B"/>
    <w:rsid w:val="003C6B36"/>
    <w:rsid w:val="003C6B9F"/>
    <w:rsid w:val="003C6C62"/>
    <w:rsid w:val="003C6CE1"/>
    <w:rsid w:val="003C6F32"/>
    <w:rsid w:val="003C7338"/>
    <w:rsid w:val="003C73BA"/>
    <w:rsid w:val="003C7586"/>
    <w:rsid w:val="003C75DD"/>
    <w:rsid w:val="003C77E3"/>
    <w:rsid w:val="003C781B"/>
    <w:rsid w:val="003C7859"/>
    <w:rsid w:val="003C78AD"/>
    <w:rsid w:val="003C7ADE"/>
    <w:rsid w:val="003C7C09"/>
    <w:rsid w:val="003C7C44"/>
    <w:rsid w:val="003C7EC1"/>
    <w:rsid w:val="003D0057"/>
    <w:rsid w:val="003D00B7"/>
    <w:rsid w:val="003D010C"/>
    <w:rsid w:val="003D030F"/>
    <w:rsid w:val="003D036F"/>
    <w:rsid w:val="003D03BE"/>
    <w:rsid w:val="003D0513"/>
    <w:rsid w:val="003D0610"/>
    <w:rsid w:val="003D0706"/>
    <w:rsid w:val="003D077E"/>
    <w:rsid w:val="003D0870"/>
    <w:rsid w:val="003D08D2"/>
    <w:rsid w:val="003D0972"/>
    <w:rsid w:val="003D0B1B"/>
    <w:rsid w:val="003D0C35"/>
    <w:rsid w:val="003D0C42"/>
    <w:rsid w:val="003D0C8D"/>
    <w:rsid w:val="003D0DC3"/>
    <w:rsid w:val="003D1205"/>
    <w:rsid w:val="003D1269"/>
    <w:rsid w:val="003D12B2"/>
    <w:rsid w:val="003D1366"/>
    <w:rsid w:val="003D13A3"/>
    <w:rsid w:val="003D13A7"/>
    <w:rsid w:val="003D13F7"/>
    <w:rsid w:val="003D13FA"/>
    <w:rsid w:val="003D142C"/>
    <w:rsid w:val="003D14EC"/>
    <w:rsid w:val="003D14F8"/>
    <w:rsid w:val="003D1764"/>
    <w:rsid w:val="003D1826"/>
    <w:rsid w:val="003D18BA"/>
    <w:rsid w:val="003D1A1D"/>
    <w:rsid w:val="003D1D00"/>
    <w:rsid w:val="003D1DA8"/>
    <w:rsid w:val="003D1DDA"/>
    <w:rsid w:val="003D1E4F"/>
    <w:rsid w:val="003D1F16"/>
    <w:rsid w:val="003D202D"/>
    <w:rsid w:val="003D20B9"/>
    <w:rsid w:val="003D21F4"/>
    <w:rsid w:val="003D221D"/>
    <w:rsid w:val="003D2259"/>
    <w:rsid w:val="003D225B"/>
    <w:rsid w:val="003D22AA"/>
    <w:rsid w:val="003D2325"/>
    <w:rsid w:val="003D23A5"/>
    <w:rsid w:val="003D24A5"/>
    <w:rsid w:val="003D2AEE"/>
    <w:rsid w:val="003D2B5C"/>
    <w:rsid w:val="003D2B9C"/>
    <w:rsid w:val="003D2D1C"/>
    <w:rsid w:val="003D2D7F"/>
    <w:rsid w:val="003D2E28"/>
    <w:rsid w:val="003D2FE6"/>
    <w:rsid w:val="003D306F"/>
    <w:rsid w:val="003D30B6"/>
    <w:rsid w:val="003D30CC"/>
    <w:rsid w:val="003D32E3"/>
    <w:rsid w:val="003D332F"/>
    <w:rsid w:val="003D34D5"/>
    <w:rsid w:val="003D3577"/>
    <w:rsid w:val="003D35EF"/>
    <w:rsid w:val="003D35FC"/>
    <w:rsid w:val="003D3637"/>
    <w:rsid w:val="003D3658"/>
    <w:rsid w:val="003D3677"/>
    <w:rsid w:val="003D3768"/>
    <w:rsid w:val="003D3799"/>
    <w:rsid w:val="003D380C"/>
    <w:rsid w:val="003D3921"/>
    <w:rsid w:val="003D39FE"/>
    <w:rsid w:val="003D3AFB"/>
    <w:rsid w:val="003D3B7C"/>
    <w:rsid w:val="003D3B8D"/>
    <w:rsid w:val="003D3D85"/>
    <w:rsid w:val="003D3E5C"/>
    <w:rsid w:val="003D3F23"/>
    <w:rsid w:val="003D4271"/>
    <w:rsid w:val="003D4305"/>
    <w:rsid w:val="003D45B0"/>
    <w:rsid w:val="003D4660"/>
    <w:rsid w:val="003D47FD"/>
    <w:rsid w:val="003D481B"/>
    <w:rsid w:val="003D485F"/>
    <w:rsid w:val="003D4876"/>
    <w:rsid w:val="003D4898"/>
    <w:rsid w:val="003D4E50"/>
    <w:rsid w:val="003D4F3D"/>
    <w:rsid w:val="003D4F57"/>
    <w:rsid w:val="003D4FAE"/>
    <w:rsid w:val="003D5020"/>
    <w:rsid w:val="003D517D"/>
    <w:rsid w:val="003D537A"/>
    <w:rsid w:val="003D53FD"/>
    <w:rsid w:val="003D5492"/>
    <w:rsid w:val="003D5621"/>
    <w:rsid w:val="003D5731"/>
    <w:rsid w:val="003D5757"/>
    <w:rsid w:val="003D57C5"/>
    <w:rsid w:val="003D582F"/>
    <w:rsid w:val="003D5865"/>
    <w:rsid w:val="003D58DC"/>
    <w:rsid w:val="003D58F2"/>
    <w:rsid w:val="003D5A90"/>
    <w:rsid w:val="003D5BBC"/>
    <w:rsid w:val="003D5C3D"/>
    <w:rsid w:val="003D5C48"/>
    <w:rsid w:val="003D5CF9"/>
    <w:rsid w:val="003D5E6D"/>
    <w:rsid w:val="003D60A6"/>
    <w:rsid w:val="003D60AD"/>
    <w:rsid w:val="003D60CA"/>
    <w:rsid w:val="003D60CD"/>
    <w:rsid w:val="003D60D5"/>
    <w:rsid w:val="003D6345"/>
    <w:rsid w:val="003D63A5"/>
    <w:rsid w:val="003D6426"/>
    <w:rsid w:val="003D642B"/>
    <w:rsid w:val="003D645A"/>
    <w:rsid w:val="003D64AD"/>
    <w:rsid w:val="003D6547"/>
    <w:rsid w:val="003D6610"/>
    <w:rsid w:val="003D6711"/>
    <w:rsid w:val="003D67A7"/>
    <w:rsid w:val="003D6A25"/>
    <w:rsid w:val="003D6A92"/>
    <w:rsid w:val="003D6AA7"/>
    <w:rsid w:val="003D6B02"/>
    <w:rsid w:val="003D6BAB"/>
    <w:rsid w:val="003D6CD5"/>
    <w:rsid w:val="003D6CFC"/>
    <w:rsid w:val="003D6D1D"/>
    <w:rsid w:val="003D6E11"/>
    <w:rsid w:val="003D6ECC"/>
    <w:rsid w:val="003D6EF2"/>
    <w:rsid w:val="003D6F87"/>
    <w:rsid w:val="003D7049"/>
    <w:rsid w:val="003D706A"/>
    <w:rsid w:val="003D727D"/>
    <w:rsid w:val="003D72AA"/>
    <w:rsid w:val="003D72D3"/>
    <w:rsid w:val="003D7375"/>
    <w:rsid w:val="003D73B9"/>
    <w:rsid w:val="003D7458"/>
    <w:rsid w:val="003D74A1"/>
    <w:rsid w:val="003D7654"/>
    <w:rsid w:val="003D7679"/>
    <w:rsid w:val="003D76CB"/>
    <w:rsid w:val="003D7706"/>
    <w:rsid w:val="003D78F4"/>
    <w:rsid w:val="003D7971"/>
    <w:rsid w:val="003D7A91"/>
    <w:rsid w:val="003D7A9D"/>
    <w:rsid w:val="003D7CC3"/>
    <w:rsid w:val="003D7DDE"/>
    <w:rsid w:val="003D7E17"/>
    <w:rsid w:val="003D7F0A"/>
    <w:rsid w:val="003D7F30"/>
    <w:rsid w:val="003E005D"/>
    <w:rsid w:val="003E0205"/>
    <w:rsid w:val="003E0392"/>
    <w:rsid w:val="003E043C"/>
    <w:rsid w:val="003E0445"/>
    <w:rsid w:val="003E090E"/>
    <w:rsid w:val="003E0915"/>
    <w:rsid w:val="003E0D40"/>
    <w:rsid w:val="003E0E89"/>
    <w:rsid w:val="003E103F"/>
    <w:rsid w:val="003E1043"/>
    <w:rsid w:val="003E122A"/>
    <w:rsid w:val="003E1284"/>
    <w:rsid w:val="003E12BA"/>
    <w:rsid w:val="003E12CC"/>
    <w:rsid w:val="003E1503"/>
    <w:rsid w:val="003E1691"/>
    <w:rsid w:val="003E18B5"/>
    <w:rsid w:val="003E1936"/>
    <w:rsid w:val="003E1965"/>
    <w:rsid w:val="003E1A8E"/>
    <w:rsid w:val="003E1C5E"/>
    <w:rsid w:val="003E1DB4"/>
    <w:rsid w:val="003E1DD9"/>
    <w:rsid w:val="003E1EB4"/>
    <w:rsid w:val="003E1EC8"/>
    <w:rsid w:val="003E1FC9"/>
    <w:rsid w:val="003E22AE"/>
    <w:rsid w:val="003E2316"/>
    <w:rsid w:val="003E234D"/>
    <w:rsid w:val="003E235A"/>
    <w:rsid w:val="003E2380"/>
    <w:rsid w:val="003E23AC"/>
    <w:rsid w:val="003E25A3"/>
    <w:rsid w:val="003E2612"/>
    <w:rsid w:val="003E2747"/>
    <w:rsid w:val="003E286E"/>
    <w:rsid w:val="003E28A3"/>
    <w:rsid w:val="003E2B01"/>
    <w:rsid w:val="003E2CF3"/>
    <w:rsid w:val="003E2E44"/>
    <w:rsid w:val="003E2E50"/>
    <w:rsid w:val="003E2E59"/>
    <w:rsid w:val="003E3009"/>
    <w:rsid w:val="003E3044"/>
    <w:rsid w:val="003E31DF"/>
    <w:rsid w:val="003E31E7"/>
    <w:rsid w:val="003E32C6"/>
    <w:rsid w:val="003E32E9"/>
    <w:rsid w:val="003E3312"/>
    <w:rsid w:val="003E339D"/>
    <w:rsid w:val="003E347C"/>
    <w:rsid w:val="003E3588"/>
    <w:rsid w:val="003E37D3"/>
    <w:rsid w:val="003E3990"/>
    <w:rsid w:val="003E3A0B"/>
    <w:rsid w:val="003E3A30"/>
    <w:rsid w:val="003E3AA7"/>
    <w:rsid w:val="003E3B21"/>
    <w:rsid w:val="003E3C6E"/>
    <w:rsid w:val="003E3D60"/>
    <w:rsid w:val="003E3E6C"/>
    <w:rsid w:val="003E3EDA"/>
    <w:rsid w:val="003E3F49"/>
    <w:rsid w:val="003E406D"/>
    <w:rsid w:val="003E4097"/>
    <w:rsid w:val="003E41E2"/>
    <w:rsid w:val="003E4256"/>
    <w:rsid w:val="003E428D"/>
    <w:rsid w:val="003E474A"/>
    <w:rsid w:val="003E485C"/>
    <w:rsid w:val="003E4A1B"/>
    <w:rsid w:val="003E4BB0"/>
    <w:rsid w:val="003E4CA4"/>
    <w:rsid w:val="003E4D0A"/>
    <w:rsid w:val="003E4D23"/>
    <w:rsid w:val="003E4DE4"/>
    <w:rsid w:val="003E4DF0"/>
    <w:rsid w:val="003E4E4A"/>
    <w:rsid w:val="003E505B"/>
    <w:rsid w:val="003E5105"/>
    <w:rsid w:val="003E5127"/>
    <w:rsid w:val="003E5175"/>
    <w:rsid w:val="003E53E9"/>
    <w:rsid w:val="003E5473"/>
    <w:rsid w:val="003E5516"/>
    <w:rsid w:val="003E55C2"/>
    <w:rsid w:val="003E57D3"/>
    <w:rsid w:val="003E58E9"/>
    <w:rsid w:val="003E5BFA"/>
    <w:rsid w:val="003E5C28"/>
    <w:rsid w:val="003E5CFE"/>
    <w:rsid w:val="003E5D56"/>
    <w:rsid w:val="003E5E11"/>
    <w:rsid w:val="003E5E33"/>
    <w:rsid w:val="003E5E5A"/>
    <w:rsid w:val="003E633D"/>
    <w:rsid w:val="003E6616"/>
    <w:rsid w:val="003E68D4"/>
    <w:rsid w:val="003E6B0B"/>
    <w:rsid w:val="003E6BE7"/>
    <w:rsid w:val="003E6CF1"/>
    <w:rsid w:val="003E72DA"/>
    <w:rsid w:val="003E742E"/>
    <w:rsid w:val="003E7458"/>
    <w:rsid w:val="003E74BC"/>
    <w:rsid w:val="003E76F4"/>
    <w:rsid w:val="003E781D"/>
    <w:rsid w:val="003E79B7"/>
    <w:rsid w:val="003E7AD2"/>
    <w:rsid w:val="003E7BDF"/>
    <w:rsid w:val="003E7CD7"/>
    <w:rsid w:val="003E7DA9"/>
    <w:rsid w:val="003E7DC1"/>
    <w:rsid w:val="003E7ED3"/>
    <w:rsid w:val="003E7EDA"/>
    <w:rsid w:val="003E7F9C"/>
    <w:rsid w:val="003E7FA7"/>
    <w:rsid w:val="003F015F"/>
    <w:rsid w:val="003F01D4"/>
    <w:rsid w:val="003F025E"/>
    <w:rsid w:val="003F03EB"/>
    <w:rsid w:val="003F0407"/>
    <w:rsid w:val="003F0529"/>
    <w:rsid w:val="003F0530"/>
    <w:rsid w:val="003F05ED"/>
    <w:rsid w:val="003F0667"/>
    <w:rsid w:val="003F07D0"/>
    <w:rsid w:val="003F0834"/>
    <w:rsid w:val="003F098C"/>
    <w:rsid w:val="003F09BA"/>
    <w:rsid w:val="003F0A18"/>
    <w:rsid w:val="003F0B59"/>
    <w:rsid w:val="003F0B9E"/>
    <w:rsid w:val="003F0CF7"/>
    <w:rsid w:val="003F0E12"/>
    <w:rsid w:val="003F0EC7"/>
    <w:rsid w:val="003F0F05"/>
    <w:rsid w:val="003F10C4"/>
    <w:rsid w:val="003F10DB"/>
    <w:rsid w:val="003F116F"/>
    <w:rsid w:val="003F13CA"/>
    <w:rsid w:val="003F15D0"/>
    <w:rsid w:val="003F15DD"/>
    <w:rsid w:val="003F15ED"/>
    <w:rsid w:val="003F15EE"/>
    <w:rsid w:val="003F15F6"/>
    <w:rsid w:val="003F1806"/>
    <w:rsid w:val="003F1827"/>
    <w:rsid w:val="003F1A24"/>
    <w:rsid w:val="003F1A76"/>
    <w:rsid w:val="003F1A7D"/>
    <w:rsid w:val="003F1B83"/>
    <w:rsid w:val="003F1BAD"/>
    <w:rsid w:val="003F1C80"/>
    <w:rsid w:val="003F1D54"/>
    <w:rsid w:val="003F1E64"/>
    <w:rsid w:val="003F1E81"/>
    <w:rsid w:val="003F2209"/>
    <w:rsid w:val="003F239E"/>
    <w:rsid w:val="003F23CD"/>
    <w:rsid w:val="003F2495"/>
    <w:rsid w:val="003F24B7"/>
    <w:rsid w:val="003F2651"/>
    <w:rsid w:val="003F267B"/>
    <w:rsid w:val="003F26D6"/>
    <w:rsid w:val="003F26DE"/>
    <w:rsid w:val="003F2749"/>
    <w:rsid w:val="003F2A69"/>
    <w:rsid w:val="003F2AC4"/>
    <w:rsid w:val="003F2B71"/>
    <w:rsid w:val="003F2C96"/>
    <w:rsid w:val="003F2D52"/>
    <w:rsid w:val="003F2E10"/>
    <w:rsid w:val="003F2F61"/>
    <w:rsid w:val="003F32A7"/>
    <w:rsid w:val="003F34D0"/>
    <w:rsid w:val="003F35F5"/>
    <w:rsid w:val="003F36AC"/>
    <w:rsid w:val="003F371E"/>
    <w:rsid w:val="003F380A"/>
    <w:rsid w:val="003F3880"/>
    <w:rsid w:val="003F38B4"/>
    <w:rsid w:val="003F390B"/>
    <w:rsid w:val="003F3B25"/>
    <w:rsid w:val="003F3C57"/>
    <w:rsid w:val="003F3CBC"/>
    <w:rsid w:val="003F3EA6"/>
    <w:rsid w:val="003F3EF9"/>
    <w:rsid w:val="003F3F19"/>
    <w:rsid w:val="003F3F1B"/>
    <w:rsid w:val="003F401F"/>
    <w:rsid w:val="003F4091"/>
    <w:rsid w:val="003F4114"/>
    <w:rsid w:val="003F4181"/>
    <w:rsid w:val="003F41E6"/>
    <w:rsid w:val="003F4233"/>
    <w:rsid w:val="003F4332"/>
    <w:rsid w:val="003F4407"/>
    <w:rsid w:val="003F4437"/>
    <w:rsid w:val="003F44D7"/>
    <w:rsid w:val="003F4516"/>
    <w:rsid w:val="003F4544"/>
    <w:rsid w:val="003F4588"/>
    <w:rsid w:val="003F4681"/>
    <w:rsid w:val="003F4698"/>
    <w:rsid w:val="003F49DA"/>
    <w:rsid w:val="003F49EA"/>
    <w:rsid w:val="003F4AC7"/>
    <w:rsid w:val="003F4CD7"/>
    <w:rsid w:val="003F4D64"/>
    <w:rsid w:val="003F4DAF"/>
    <w:rsid w:val="003F4DFB"/>
    <w:rsid w:val="003F4E40"/>
    <w:rsid w:val="003F4EAB"/>
    <w:rsid w:val="003F4FEA"/>
    <w:rsid w:val="003F505C"/>
    <w:rsid w:val="003F50B1"/>
    <w:rsid w:val="003F5331"/>
    <w:rsid w:val="003F5457"/>
    <w:rsid w:val="003F5820"/>
    <w:rsid w:val="003F5835"/>
    <w:rsid w:val="003F588C"/>
    <w:rsid w:val="003F591E"/>
    <w:rsid w:val="003F5B27"/>
    <w:rsid w:val="003F5B51"/>
    <w:rsid w:val="003F5E28"/>
    <w:rsid w:val="003F5E35"/>
    <w:rsid w:val="003F60BC"/>
    <w:rsid w:val="003F6181"/>
    <w:rsid w:val="003F6265"/>
    <w:rsid w:val="003F628F"/>
    <w:rsid w:val="003F62B8"/>
    <w:rsid w:val="003F6363"/>
    <w:rsid w:val="003F63C2"/>
    <w:rsid w:val="003F6506"/>
    <w:rsid w:val="003F65B7"/>
    <w:rsid w:val="003F6613"/>
    <w:rsid w:val="003F66A4"/>
    <w:rsid w:val="003F67E5"/>
    <w:rsid w:val="003F67FE"/>
    <w:rsid w:val="003F6852"/>
    <w:rsid w:val="003F68B7"/>
    <w:rsid w:val="003F6C54"/>
    <w:rsid w:val="003F6DBE"/>
    <w:rsid w:val="003F6EEC"/>
    <w:rsid w:val="003F7009"/>
    <w:rsid w:val="003F7160"/>
    <w:rsid w:val="003F7366"/>
    <w:rsid w:val="003F783B"/>
    <w:rsid w:val="003F7970"/>
    <w:rsid w:val="003F79E6"/>
    <w:rsid w:val="003F7AC6"/>
    <w:rsid w:val="003F7AFE"/>
    <w:rsid w:val="003F7B81"/>
    <w:rsid w:val="003F7C58"/>
    <w:rsid w:val="003F7C95"/>
    <w:rsid w:val="003F7E39"/>
    <w:rsid w:val="003F7EB8"/>
    <w:rsid w:val="003F7FA7"/>
    <w:rsid w:val="004002EB"/>
    <w:rsid w:val="00400300"/>
    <w:rsid w:val="0040034F"/>
    <w:rsid w:val="00400398"/>
    <w:rsid w:val="004004C1"/>
    <w:rsid w:val="0040054E"/>
    <w:rsid w:val="004005B6"/>
    <w:rsid w:val="0040068A"/>
    <w:rsid w:val="004008AC"/>
    <w:rsid w:val="0040090D"/>
    <w:rsid w:val="004009A5"/>
    <w:rsid w:val="00400A23"/>
    <w:rsid w:val="00400AC0"/>
    <w:rsid w:val="00400B1A"/>
    <w:rsid w:val="00400BD3"/>
    <w:rsid w:val="00400C09"/>
    <w:rsid w:val="00400E8B"/>
    <w:rsid w:val="00400EE5"/>
    <w:rsid w:val="00400EFA"/>
    <w:rsid w:val="0040102F"/>
    <w:rsid w:val="004010CE"/>
    <w:rsid w:val="0040124D"/>
    <w:rsid w:val="00401298"/>
    <w:rsid w:val="0040136F"/>
    <w:rsid w:val="004013B8"/>
    <w:rsid w:val="004013D0"/>
    <w:rsid w:val="0040140E"/>
    <w:rsid w:val="00401487"/>
    <w:rsid w:val="004014EA"/>
    <w:rsid w:val="004015AA"/>
    <w:rsid w:val="004015E3"/>
    <w:rsid w:val="004015E9"/>
    <w:rsid w:val="00401613"/>
    <w:rsid w:val="00401675"/>
    <w:rsid w:val="004016B4"/>
    <w:rsid w:val="00401763"/>
    <w:rsid w:val="00401AAC"/>
    <w:rsid w:val="00401C29"/>
    <w:rsid w:val="00401CA5"/>
    <w:rsid w:val="00401E5E"/>
    <w:rsid w:val="00401E88"/>
    <w:rsid w:val="00401E9A"/>
    <w:rsid w:val="00401E9F"/>
    <w:rsid w:val="00401ECE"/>
    <w:rsid w:val="00402217"/>
    <w:rsid w:val="00402290"/>
    <w:rsid w:val="004024D0"/>
    <w:rsid w:val="004025BB"/>
    <w:rsid w:val="00402625"/>
    <w:rsid w:val="004027AF"/>
    <w:rsid w:val="00402849"/>
    <w:rsid w:val="00402919"/>
    <w:rsid w:val="00402A3D"/>
    <w:rsid w:val="00402B44"/>
    <w:rsid w:val="00402BAC"/>
    <w:rsid w:val="00402D0B"/>
    <w:rsid w:val="00402DA3"/>
    <w:rsid w:val="00402FE7"/>
    <w:rsid w:val="0040306E"/>
    <w:rsid w:val="00403079"/>
    <w:rsid w:val="00403107"/>
    <w:rsid w:val="00403474"/>
    <w:rsid w:val="004034E0"/>
    <w:rsid w:val="0040351A"/>
    <w:rsid w:val="00403631"/>
    <w:rsid w:val="004037CC"/>
    <w:rsid w:val="004038CE"/>
    <w:rsid w:val="00403960"/>
    <w:rsid w:val="00403B38"/>
    <w:rsid w:val="00403B8F"/>
    <w:rsid w:val="00403C53"/>
    <w:rsid w:val="00403DB6"/>
    <w:rsid w:val="00403E52"/>
    <w:rsid w:val="00403F5B"/>
    <w:rsid w:val="00403F6B"/>
    <w:rsid w:val="00404035"/>
    <w:rsid w:val="0040410B"/>
    <w:rsid w:val="00404175"/>
    <w:rsid w:val="0040418C"/>
    <w:rsid w:val="00404229"/>
    <w:rsid w:val="0040438F"/>
    <w:rsid w:val="004044B8"/>
    <w:rsid w:val="0040451B"/>
    <w:rsid w:val="00404548"/>
    <w:rsid w:val="0040460A"/>
    <w:rsid w:val="0040468C"/>
    <w:rsid w:val="0040469D"/>
    <w:rsid w:val="004046B0"/>
    <w:rsid w:val="0040483A"/>
    <w:rsid w:val="00404869"/>
    <w:rsid w:val="004048E3"/>
    <w:rsid w:val="004048E8"/>
    <w:rsid w:val="00404A3C"/>
    <w:rsid w:val="00404B10"/>
    <w:rsid w:val="00404C25"/>
    <w:rsid w:val="00404C77"/>
    <w:rsid w:val="00404C80"/>
    <w:rsid w:val="00404D57"/>
    <w:rsid w:val="00404D96"/>
    <w:rsid w:val="00404DB7"/>
    <w:rsid w:val="00404E21"/>
    <w:rsid w:val="00404EF1"/>
    <w:rsid w:val="00404FA9"/>
    <w:rsid w:val="004050AC"/>
    <w:rsid w:val="00405222"/>
    <w:rsid w:val="004052A1"/>
    <w:rsid w:val="00405304"/>
    <w:rsid w:val="004053A4"/>
    <w:rsid w:val="00405431"/>
    <w:rsid w:val="0040556A"/>
    <w:rsid w:val="0040563E"/>
    <w:rsid w:val="00405681"/>
    <w:rsid w:val="00405718"/>
    <w:rsid w:val="00405761"/>
    <w:rsid w:val="0040590C"/>
    <w:rsid w:val="00405947"/>
    <w:rsid w:val="0040594A"/>
    <w:rsid w:val="004059BB"/>
    <w:rsid w:val="00405A24"/>
    <w:rsid w:val="00405A9C"/>
    <w:rsid w:val="00405AA7"/>
    <w:rsid w:val="00405E43"/>
    <w:rsid w:val="00405F46"/>
    <w:rsid w:val="0040602F"/>
    <w:rsid w:val="004061FC"/>
    <w:rsid w:val="0040621B"/>
    <w:rsid w:val="00406234"/>
    <w:rsid w:val="00406251"/>
    <w:rsid w:val="0040630F"/>
    <w:rsid w:val="004063BA"/>
    <w:rsid w:val="00406496"/>
    <w:rsid w:val="004065F3"/>
    <w:rsid w:val="004066C1"/>
    <w:rsid w:val="00406886"/>
    <w:rsid w:val="00406951"/>
    <w:rsid w:val="004069DF"/>
    <w:rsid w:val="00406AC6"/>
    <w:rsid w:val="00406BB2"/>
    <w:rsid w:val="00406CD6"/>
    <w:rsid w:val="00406D07"/>
    <w:rsid w:val="00406DC7"/>
    <w:rsid w:val="00406DF0"/>
    <w:rsid w:val="00407118"/>
    <w:rsid w:val="00407144"/>
    <w:rsid w:val="00407275"/>
    <w:rsid w:val="0040739C"/>
    <w:rsid w:val="004073BC"/>
    <w:rsid w:val="00407418"/>
    <w:rsid w:val="00407544"/>
    <w:rsid w:val="0040772C"/>
    <w:rsid w:val="004078AC"/>
    <w:rsid w:val="0040797F"/>
    <w:rsid w:val="004079A4"/>
    <w:rsid w:val="00407A4A"/>
    <w:rsid w:val="00407B74"/>
    <w:rsid w:val="00407D63"/>
    <w:rsid w:val="00407E9B"/>
    <w:rsid w:val="00407EE3"/>
    <w:rsid w:val="00407F74"/>
    <w:rsid w:val="00407F85"/>
    <w:rsid w:val="00407FD0"/>
    <w:rsid w:val="00410142"/>
    <w:rsid w:val="00410351"/>
    <w:rsid w:val="004103DA"/>
    <w:rsid w:val="00410479"/>
    <w:rsid w:val="0041047D"/>
    <w:rsid w:val="0041052A"/>
    <w:rsid w:val="00410605"/>
    <w:rsid w:val="004106EF"/>
    <w:rsid w:val="004107E5"/>
    <w:rsid w:val="004108D7"/>
    <w:rsid w:val="00410B2A"/>
    <w:rsid w:val="00410B63"/>
    <w:rsid w:val="00410DBC"/>
    <w:rsid w:val="00410F04"/>
    <w:rsid w:val="00410FAD"/>
    <w:rsid w:val="004110CB"/>
    <w:rsid w:val="0041114E"/>
    <w:rsid w:val="0041123E"/>
    <w:rsid w:val="004115ED"/>
    <w:rsid w:val="0041164C"/>
    <w:rsid w:val="00411690"/>
    <w:rsid w:val="00411710"/>
    <w:rsid w:val="0041182C"/>
    <w:rsid w:val="00411966"/>
    <w:rsid w:val="00411B34"/>
    <w:rsid w:val="00411C89"/>
    <w:rsid w:val="00411CA7"/>
    <w:rsid w:val="00411D8D"/>
    <w:rsid w:val="00411DFC"/>
    <w:rsid w:val="00411E0D"/>
    <w:rsid w:val="00411FA8"/>
    <w:rsid w:val="004120C5"/>
    <w:rsid w:val="00412185"/>
    <w:rsid w:val="004121C4"/>
    <w:rsid w:val="0041227B"/>
    <w:rsid w:val="004123CE"/>
    <w:rsid w:val="004124D5"/>
    <w:rsid w:val="0041252C"/>
    <w:rsid w:val="004125F0"/>
    <w:rsid w:val="004127BF"/>
    <w:rsid w:val="00412816"/>
    <w:rsid w:val="004128F1"/>
    <w:rsid w:val="00412B27"/>
    <w:rsid w:val="00412BDE"/>
    <w:rsid w:val="00412C0A"/>
    <w:rsid w:val="00412C20"/>
    <w:rsid w:val="00412DDA"/>
    <w:rsid w:val="0041323E"/>
    <w:rsid w:val="004132B9"/>
    <w:rsid w:val="00413303"/>
    <w:rsid w:val="0041351F"/>
    <w:rsid w:val="00413609"/>
    <w:rsid w:val="00413623"/>
    <w:rsid w:val="004136A8"/>
    <w:rsid w:val="004137AB"/>
    <w:rsid w:val="00413939"/>
    <w:rsid w:val="004139D3"/>
    <w:rsid w:val="004139D6"/>
    <w:rsid w:val="00413A4A"/>
    <w:rsid w:val="00413A67"/>
    <w:rsid w:val="00413ADC"/>
    <w:rsid w:val="00413B0A"/>
    <w:rsid w:val="00413B29"/>
    <w:rsid w:val="00413B68"/>
    <w:rsid w:val="00413BC1"/>
    <w:rsid w:val="00413CA8"/>
    <w:rsid w:val="00413E3A"/>
    <w:rsid w:val="00413EE2"/>
    <w:rsid w:val="00413F67"/>
    <w:rsid w:val="00414039"/>
    <w:rsid w:val="004140DE"/>
    <w:rsid w:val="0041410B"/>
    <w:rsid w:val="00414166"/>
    <w:rsid w:val="0041420F"/>
    <w:rsid w:val="00414361"/>
    <w:rsid w:val="00414445"/>
    <w:rsid w:val="00414461"/>
    <w:rsid w:val="0041451A"/>
    <w:rsid w:val="0041452B"/>
    <w:rsid w:val="004145AD"/>
    <w:rsid w:val="004146B2"/>
    <w:rsid w:val="00414780"/>
    <w:rsid w:val="004147EB"/>
    <w:rsid w:val="004148E8"/>
    <w:rsid w:val="0041492E"/>
    <w:rsid w:val="004149F8"/>
    <w:rsid w:val="00414A41"/>
    <w:rsid w:val="00414AD1"/>
    <w:rsid w:val="00414B09"/>
    <w:rsid w:val="00414B13"/>
    <w:rsid w:val="00414BF3"/>
    <w:rsid w:val="00414C5C"/>
    <w:rsid w:val="00414CB3"/>
    <w:rsid w:val="00414CD5"/>
    <w:rsid w:val="00414CE0"/>
    <w:rsid w:val="00414E21"/>
    <w:rsid w:val="004151B8"/>
    <w:rsid w:val="00415235"/>
    <w:rsid w:val="00415249"/>
    <w:rsid w:val="00415421"/>
    <w:rsid w:val="0041557A"/>
    <w:rsid w:val="004155B7"/>
    <w:rsid w:val="00415654"/>
    <w:rsid w:val="00415676"/>
    <w:rsid w:val="00415714"/>
    <w:rsid w:val="00415819"/>
    <w:rsid w:val="004158FD"/>
    <w:rsid w:val="00415924"/>
    <w:rsid w:val="00415A9A"/>
    <w:rsid w:val="00415B5E"/>
    <w:rsid w:val="00415D1C"/>
    <w:rsid w:val="00415EA4"/>
    <w:rsid w:val="00415FAE"/>
    <w:rsid w:val="00415FD9"/>
    <w:rsid w:val="00415FF6"/>
    <w:rsid w:val="00416014"/>
    <w:rsid w:val="0041604B"/>
    <w:rsid w:val="00416061"/>
    <w:rsid w:val="0041610B"/>
    <w:rsid w:val="004161FB"/>
    <w:rsid w:val="00416276"/>
    <w:rsid w:val="00416354"/>
    <w:rsid w:val="004163A3"/>
    <w:rsid w:val="004165AD"/>
    <w:rsid w:val="004168EA"/>
    <w:rsid w:val="00416914"/>
    <w:rsid w:val="00416B7C"/>
    <w:rsid w:val="00416BA1"/>
    <w:rsid w:val="00416BDF"/>
    <w:rsid w:val="00416FA6"/>
    <w:rsid w:val="00417069"/>
    <w:rsid w:val="00417101"/>
    <w:rsid w:val="004172D9"/>
    <w:rsid w:val="00417537"/>
    <w:rsid w:val="004175D9"/>
    <w:rsid w:val="00417657"/>
    <w:rsid w:val="004176BB"/>
    <w:rsid w:val="0041778C"/>
    <w:rsid w:val="00417812"/>
    <w:rsid w:val="00417818"/>
    <w:rsid w:val="0041784D"/>
    <w:rsid w:val="004179C0"/>
    <w:rsid w:val="00417A4F"/>
    <w:rsid w:val="00417AE3"/>
    <w:rsid w:val="00417AF6"/>
    <w:rsid w:val="00417B2A"/>
    <w:rsid w:val="00417B56"/>
    <w:rsid w:val="00417BD8"/>
    <w:rsid w:val="00417C2F"/>
    <w:rsid w:val="00417D72"/>
    <w:rsid w:val="00417DAD"/>
    <w:rsid w:val="00417DE2"/>
    <w:rsid w:val="00417E59"/>
    <w:rsid w:val="00417E5D"/>
    <w:rsid w:val="00417E7F"/>
    <w:rsid w:val="00417E92"/>
    <w:rsid w:val="00417FE7"/>
    <w:rsid w:val="00420025"/>
    <w:rsid w:val="004200AC"/>
    <w:rsid w:val="0042023F"/>
    <w:rsid w:val="00420471"/>
    <w:rsid w:val="004205DC"/>
    <w:rsid w:val="00420613"/>
    <w:rsid w:val="00420664"/>
    <w:rsid w:val="00420675"/>
    <w:rsid w:val="0042088F"/>
    <w:rsid w:val="00420936"/>
    <w:rsid w:val="004209ED"/>
    <w:rsid w:val="00420A7C"/>
    <w:rsid w:val="00420A91"/>
    <w:rsid w:val="00420F6B"/>
    <w:rsid w:val="00420FB4"/>
    <w:rsid w:val="00420FE0"/>
    <w:rsid w:val="00421029"/>
    <w:rsid w:val="00421088"/>
    <w:rsid w:val="00421218"/>
    <w:rsid w:val="004212B5"/>
    <w:rsid w:val="004212B7"/>
    <w:rsid w:val="004212EF"/>
    <w:rsid w:val="004212F3"/>
    <w:rsid w:val="00421347"/>
    <w:rsid w:val="004213BB"/>
    <w:rsid w:val="004213F5"/>
    <w:rsid w:val="004215F8"/>
    <w:rsid w:val="004216B0"/>
    <w:rsid w:val="00421809"/>
    <w:rsid w:val="00421887"/>
    <w:rsid w:val="00421A15"/>
    <w:rsid w:val="00421B6E"/>
    <w:rsid w:val="00421BE0"/>
    <w:rsid w:val="00421C0B"/>
    <w:rsid w:val="00421C8D"/>
    <w:rsid w:val="00421CFA"/>
    <w:rsid w:val="00421D59"/>
    <w:rsid w:val="00421D73"/>
    <w:rsid w:val="00422145"/>
    <w:rsid w:val="004221DB"/>
    <w:rsid w:val="004222DB"/>
    <w:rsid w:val="00422375"/>
    <w:rsid w:val="0042247B"/>
    <w:rsid w:val="00422600"/>
    <w:rsid w:val="0042260F"/>
    <w:rsid w:val="00422636"/>
    <w:rsid w:val="0042277F"/>
    <w:rsid w:val="00422794"/>
    <w:rsid w:val="004228B9"/>
    <w:rsid w:val="0042295E"/>
    <w:rsid w:val="0042296F"/>
    <w:rsid w:val="00422AA5"/>
    <w:rsid w:val="00422C30"/>
    <w:rsid w:val="00422CFD"/>
    <w:rsid w:val="00422D29"/>
    <w:rsid w:val="00422E42"/>
    <w:rsid w:val="00423027"/>
    <w:rsid w:val="00423280"/>
    <w:rsid w:val="004232AC"/>
    <w:rsid w:val="004232F1"/>
    <w:rsid w:val="004232F7"/>
    <w:rsid w:val="00423386"/>
    <w:rsid w:val="004234EF"/>
    <w:rsid w:val="0042352C"/>
    <w:rsid w:val="00423591"/>
    <w:rsid w:val="00423710"/>
    <w:rsid w:val="0042371D"/>
    <w:rsid w:val="004237F9"/>
    <w:rsid w:val="00423863"/>
    <w:rsid w:val="0042386B"/>
    <w:rsid w:val="00423907"/>
    <w:rsid w:val="00423979"/>
    <w:rsid w:val="00423A0D"/>
    <w:rsid w:val="00423A86"/>
    <w:rsid w:val="00423AD4"/>
    <w:rsid w:val="00423AD5"/>
    <w:rsid w:val="00423B31"/>
    <w:rsid w:val="00423D3E"/>
    <w:rsid w:val="00423D84"/>
    <w:rsid w:val="00423DDB"/>
    <w:rsid w:val="00423EED"/>
    <w:rsid w:val="00423F20"/>
    <w:rsid w:val="00423FDF"/>
    <w:rsid w:val="00424011"/>
    <w:rsid w:val="00424090"/>
    <w:rsid w:val="0042416E"/>
    <w:rsid w:val="00424271"/>
    <w:rsid w:val="004243B2"/>
    <w:rsid w:val="004245D4"/>
    <w:rsid w:val="004245D8"/>
    <w:rsid w:val="00424702"/>
    <w:rsid w:val="004247C3"/>
    <w:rsid w:val="00424984"/>
    <w:rsid w:val="00424985"/>
    <w:rsid w:val="00424B7F"/>
    <w:rsid w:val="00424C03"/>
    <w:rsid w:val="00424F14"/>
    <w:rsid w:val="004250B8"/>
    <w:rsid w:val="00425115"/>
    <w:rsid w:val="0042518D"/>
    <w:rsid w:val="004251FD"/>
    <w:rsid w:val="0042526A"/>
    <w:rsid w:val="00425325"/>
    <w:rsid w:val="00425570"/>
    <w:rsid w:val="0042561A"/>
    <w:rsid w:val="00425663"/>
    <w:rsid w:val="004257D2"/>
    <w:rsid w:val="0042593B"/>
    <w:rsid w:val="00425AD0"/>
    <w:rsid w:val="00425AD9"/>
    <w:rsid w:val="00425AF4"/>
    <w:rsid w:val="00425B46"/>
    <w:rsid w:val="00425D14"/>
    <w:rsid w:val="00425E2F"/>
    <w:rsid w:val="0042608B"/>
    <w:rsid w:val="004260D7"/>
    <w:rsid w:val="00426111"/>
    <w:rsid w:val="004262AD"/>
    <w:rsid w:val="00426433"/>
    <w:rsid w:val="00426609"/>
    <w:rsid w:val="0042682C"/>
    <w:rsid w:val="004269DE"/>
    <w:rsid w:val="00426AA0"/>
    <w:rsid w:val="00426AC8"/>
    <w:rsid w:val="00426C15"/>
    <w:rsid w:val="00426C63"/>
    <w:rsid w:val="00426C82"/>
    <w:rsid w:val="00426E55"/>
    <w:rsid w:val="00426FD4"/>
    <w:rsid w:val="0042702F"/>
    <w:rsid w:val="004271A9"/>
    <w:rsid w:val="004271FB"/>
    <w:rsid w:val="004272EC"/>
    <w:rsid w:val="00427417"/>
    <w:rsid w:val="004276E0"/>
    <w:rsid w:val="004276E9"/>
    <w:rsid w:val="00427737"/>
    <w:rsid w:val="00427754"/>
    <w:rsid w:val="0042781E"/>
    <w:rsid w:val="00427BA0"/>
    <w:rsid w:val="00427D7C"/>
    <w:rsid w:val="00427F0C"/>
    <w:rsid w:val="00427F73"/>
    <w:rsid w:val="00427F7C"/>
    <w:rsid w:val="00427F97"/>
    <w:rsid w:val="00427FDD"/>
    <w:rsid w:val="0042C868"/>
    <w:rsid w:val="00430163"/>
    <w:rsid w:val="0043017D"/>
    <w:rsid w:val="0043053F"/>
    <w:rsid w:val="00430579"/>
    <w:rsid w:val="0043081C"/>
    <w:rsid w:val="00430907"/>
    <w:rsid w:val="00430963"/>
    <w:rsid w:val="00430BA1"/>
    <w:rsid w:val="00430BC9"/>
    <w:rsid w:val="0043104E"/>
    <w:rsid w:val="00431097"/>
    <w:rsid w:val="004312FA"/>
    <w:rsid w:val="004313C3"/>
    <w:rsid w:val="004314BA"/>
    <w:rsid w:val="00431595"/>
    <w:rsid w:val="00431681"/>
    <w:rsid w:val="00431726"/>
    <w:rsid w:val="00431802"/>
    <w:rsid w:val="0043188F"/>
    <w:rsid w:val="00431A71"/>
    <w:rsid w:val="00431B44"/>
    <w:rsid w:val="00431BE1"/>
    <w:rsid w:val="00431CB8"/>
    <w:rsid w:val="00431CD1"/>
    <w:rsid w:val="00431F9F"/>
    <w:rsid w:val="0043205D"/>
    <w:rsid w:val="004320A6"/>
    <w:rsid w:val="0043228D"/>
    <w:rsid w:val="004322DF"/>
    <w:rsid w:val="004323B8"/>
    <w:rsid w:val="0043245B"/>
    <w:rsid w:val="00432486"/>
    <w:rsid w:val="004325DD"/>
    <w:rsid w:val="004325E3"/>
    <w:rsid w:val="00432636"/>
    <w:rsid w:val="004326BE"/>
    <w:rsid w:val="00432758"/>
    <w:rsid w:val="00432789"/>
    <w:rsid w:val="0043299A"/>
    <w:rsid w:val="004329C9"/>
    <w:rsid w:val="00432B84"/>
    <w:rsid w:val="00432CEB"/>
    <w:rsid w:val="00432EF6"/>
    <w:rsid w:val="00432F0F"/>
    <w:rsid w:val="0043358C"/>
    <w:rsid w:val="0043368E"/>
    <w:rsid w:val="00433740"/>
    <w:rsid w:val="0043393E"/>
    <w:rsid w:val="00433B18"/>
    <w:rsid w:val="00433BF0"/>
    <w:rsid w:val="00433BFB"/>
    <w:rsid w:val="00433C29"/>
    <w:rsid w:val="00433D04"/>
    <w:rsid w:val="00433E40"/>
    <w:rsid w:val="00433EF3"/>
    <w:rsid w:val="00433F41"/>
    <w:rsid w:val="00433FCD"/>
    <w:rsid w:val="00433FE6"/>
    <w:rsid w:val="00434174"/>
    <w:rsid w:val="00434181"/>
    <w:rsid w:val="0043418E"/>
    <w:rsid w:val="00434199"/>
    <w:rsid w:val="004341C1"/>
    <w:rsid w:val="00434568"/>
    <w:rsid w:val="00434726"/>
    <w:rsid w:val="0043474E"/>
    <w:rsid w:val="004347FF"/>
    <w:rsid w:val="00434926"/>
    <w:rsid w:val="004349D9"/>
    <w:rsid w:val="00434B89"/>
    <w:rsid w:val="00434BF1"/>
    <w:rsid w:val="00434DF6"/>
    <w:rsid w:val="0043510F"/>
    <w:rsid w:val="00435580"/>
    <w:rsid w:val="0043558E"/>
    <w:rsid w:val="0043570C"/>
    <w:rsid w:val="00435736"/>
    <w:rsid w:val="00435846"/>
    <w:rsid w:val="00435905"/>
    <w:rsid w:val="00435991"/>
    <w:rsid w:val="004359B0"/>
    <w:rsid w:val="004359B7"/>
    <w:rsid w:val="00435A76"/>
    <w:rsid w:val="00435C42"/>
    <w:rsid w:val="00435CC6"/>
    <w:rsid w:val="00435D77"/>
    <w:rsid w:val="00435D8C"/>
    <w:rsid w:val="00435F2B"/>
    <w:rsid w:val="00436123"/>
    <w:rsid w:val="004361AA"/>
    <w:rsid w:val="004362A7"/>
    <w:rsid w:val="0043638E"/>
    <w:rsid w:val="00436404"/>
    <w:rsid w:val="0043640C"/>
    <w:rsid w:val="00436670"/>
    <w:rsid w:val="004367B7"/>
    <w:rsid w:val="0043686B"/>
    <w:rsid w:val="004369B2"/>
    <w:rsid w:val="004369D5"/>
    <w:rsid w:val="00436A84"/>
    <w:rsid w:val="00436C19"/>
    <w:rsid w:val="00436F51"/>
    <w:rsid w:val="00436FDB"/>
    <w:rsid w:val="00436FED"/>
    <w:rsid w:val="00437089"/>
    <w:rsid w:val="0043711B"/>
    <w:rsid w:val="00437215"/>
    <w:rsid w:val="0043740C"/>
    <w:rsid w:val="0043746A"/>
    <w:rsid w:val="004374F3"/>
    <w:rsid w:val="004375FA"/>
    <w:rsid w:val="004376EF"/>
    <w:rsid w:val="0043776B"/>
    <w:rsid w:val="00437A70"/>
    <w:rsid w:val="00437C6A"/>
    <w:rsid w:val="00437CEE"/>
    <w:rsid w:val="00437DF5"/>
    <w:rsid w:val="00437E0D"/>
    <w:rsid w:val="00437F84"/>
    <w:rsid w:val="00440016"/>
    <w:rsid w:val="004400C1"/>
    <w:rsid w:val="00440187"/>
    <w:rsid w:val="004401F5"/>
    <w:rsid w:val="004403F7"/>
    <w:rsid w:val="004404AE"/>
    <w:rsid w:val="00440743"/>
    <w:rsid w:val="00440753"/>
    <w:rsid w:val="0044077A"/>
    <w:rsid w:val="00440967"/>
    <w:rsid w:val="00440A65"/>
    <w:rsid w:val="00440A88"/>
    <w:rsid w:val="00440C78"/>
    <w:rsid w:val="00440D8C"/>
    <w:rsid w:val="00440E3B"/>
    <w:rsid w:val="00440E84"/>
    <w:rsid w:val="00440F23"/>
    <w:rsid w:val="00440F44"/>
    <w:rsid w:val="00441037"/>
    <w:rsid w:val="00441193"/>
    <w:rsid w:val="004411E1"/>
    <w:rsid w:val="0044120C"/>
    <w:rsid w:val="00441211"/>
    <w:rsid w:val="0044129E"/>
    <w:rsid w:val="00441461"/>
    <w:rsid w:val="004414CB"/>
    <w:rsid w:val="0044174C"/>
    <w:rsid w:val="00441859"/>
    <w:rsid w:val="004419B4"/>
    <w:rsid w:val="004419B9"/>
    <w:rsid w:val="00441A3D"/>
    <w:rsid w:val="00441A6E"/>
    <w:rsid w:val="00441B49"/>
    <w:rsid w:val="00441B6B"/>
    <w:rsid w:val="00441C5C"/>
    <w:rsid w:val="00441CA9"/>
    <w:rsid w:val="00441DF0"/>
    <w:rsid w:val="00441E2B"/>
    <w:rsid w:val="00441F0A"/>
    <w:rsid w:val="00441FF8"/>
    <w:rsid w:val="004420A2"/>
    <w:rsid w:val="0044223D"/>
    <w:rsid w:val="00442453"/>
    <w:rsid w:val="0044257C"/>
    <w:rsid w:val="004425EC"/>
    <w:rsid w:val="00442690"/>
    <w:rsid w:val="0044277D"/>
    <w:rsid w:val="00442787"/>
    <w:rsid w:val="0044290C"/>
    <w:rsid w:val="00442912"/>
    <w:rsid w:val="00442A8B"/>
    <w:rsid w:val="00442B7B"/>
    <w:rsid w:val="00442BB2"/>
    <w:rsid w:val="00442C19"/>
    <w:rsid w:val="00442C74"/>
    <w:rsid w:val="00442C86"/>
    <w:rsid w:val="00442D46"/>
    <w:rsid w:val="00442FBC"/>
    <w:rsid w:val="00443068"/>
    <w:rsid w:val="004430BC"/>
    <w:rsid w:val="00443133"/>
    <w:rsid w:val="00443152"/>
    <w:rsid w:val="004432E7"/>
    <w:rsid w:val="0044370B"/>
    <w:rsid w:val="004438C4"/>
    <w:rsid w:val="0044396F"/>
    <w:rsid w:val="004439D8"/>
    <w:rsid w:val="00443C71"/>
    <w:rsid w:val="00443E4A"/>
    <w:rsid w:val="00443EB6"/>
    <w:rsid w:val="00443F88"/>
    <w:rsid w:val="0044405E"/>
    <w:rsid w:val="0044409B"/>
    <w:rsid w:val="0044416B"/>
    <w:rsid w:val="004441F5"/>
    <w:rsid w:val="00444241"/>
    <w:rsid w:val="00444305"/>
    <w:rsid w:val="00444471"/>
    <w:rsid w:val="00444530"/>
    <w:rsid w:val="0044468A"/>
    <w:rsid w:val="004447CC"/>
    <w:rsid w:val="0044485C"/>
    <w:rsid w:val="00444875"/>
    <w:rsid w:val="00444924"/>
    <w:rsid w:val="00444AE9"/>
    <w:rsid w:val="00444DE4"/>
    <w:rsid w:val="004450A1"/>
    <w:rsid w:val="004450ED"/>
    <w:rsid w:val="00445127"/>
    <w:rsid w:val="00445192"/>
    <w:rsid w:val="0044529F"/>
    <w:rsid w:val="004452FD"/>
    <w:rsid w:val="0044533F"/>
    <w:rsid w:val="00445534"/>
    <w:rsid w:val="00445571"/>
    <w:rsid w:val="004455CC"/>
    <w:rsid w:val="004456A5"/>
    <w:rsid w:val="004457DC"/>
    <w:rsid w:val="00445864"/>
    <w:rsid w:val="00445AA3"/>
    <w:rsid w:val="00445AE9"/>
    <w:rsid w:val="00445B36"/>
    <w:rsid w:val="00445C5C"/>
    <w:rsid w:val="00445CBA"/>
    <w:rsid w:val="00445DDF"/>
    <w:rsid w:val="00445F14"/>
    <w:rsid w:val="00445F9A"/>
    <w:rsid w:val="0044609E"/>
    <w:rsid w:val="004460ED"/>
    <w:rsid w:val="0044619D"/>
    <w:rsid w:val="00446238"/>
    <w:rsid w:val="00446254"/>
    <w:rsid w:val="00446280"/>
    <w:rsid w:val="0044629E"/>
    <w:rsid w:val="004463DC"/>
    <w:rsid w:val="0044640F"/>
    <w:rsid w:val="00446422"/>
    <w:rsid w:val="00446486"/>
    <w:rsid w:val="00446826"/>
    <w:rsid w:val="00446888"/>
    <w:rsid w:val="004468A1"/>
    <w:rsid w:val="00446B4D"/>
    <w:rsid w:val="00446BF1"/>
    <w:rsid w:val="00446C1F"/>
    <w:rsid w:val="00446F7A"/>
    <w:rsid w:val="004470AB"/>
    <w:rsid w:val="004470C3"/>
    <w:rsid w:val="00447128"/>
    <w:rsid w:val="0044719A"/>
    <w:rsid w:val="00447396"/>
    <w:rsid w:val="004473DF"/>
    <w:rsid w:val="00447471"/>
    <w:rsid w:val="00447571"/>
    <w:rsid w:val="0044758C"/>
    <w:rsid w:val="004475AD"/>
    <w:rsid w:val="004475C4"/>
    <w:rsid w:val="004475C8"/>
    <w:rsid w:val="004475F2"/>
    <w:rsid w:val="00447635"/>
    <w:rsid w:val="0044763F"/>
    <w:rsid w:val="004476A1"/>
    <w:rsid w:val="004476D9"/>
    <w:rsid w:val="0044771C"/>
    <w:rsid w:val="004477F9"/>
    <w:rsid w:val="0044786D"/>
    <w:rsid w:val="00447975"/>
    <w:rsid w:val="00447A5E"/>
    <w:rsid w:val="00447A81"/>
    <w:rsid w:val="00447AA8"/>
    <w:rsid w:val="00447B28"/>
    <w:rsid w:val="00447E43"/>
    <w:rsid w:val="00447FC3"/>
    <w:rsid w:val="004500DB"/>
    <w:rsid w:val="00450114"/>
    <w:rsid w:val="00450187"/>
    <w:rsid w:val="0045019A"/>
    <w:rsid w:val="004502D8"/>
    <w:rsid w:val="004502FF"/>
    <w:rsid w:val="0045041A"/>
    <w:rsid w:val="00450482"/>
    <w:rsid w:val="004504FD"/>
    <w:rsid w:val="00450524"/>
    <w:rsid w:val="004506E6"/>
    <w:rsid w:val="004508DB"/>
    <w:rsid w:val="00450914"/>
    <w:rsid w:val="00450B78"/>
    <w:rsid w:val="00451062"/>
    <w:rsid w:val="0045109D"/>
    <w:rsid w:val="004511A6"/>
    <w:rsid w:val="004511D5"/>
    <w:rsid w:val="0045120E"/>
    <w:rsid w:val="0045132F"/>
    <w:rsid w:val="004513AA"/>
    <w:rsid w:val="00451623"/>
    <w:rsid w:val="00451631"/>
    <w:rsid w:val="00451775"/>
    <w:rsid w:val="00451A54"/>
    <w:rsid w:val="00451A60"/>
    <w:rsid w:val="00451AED"/>
    <w:rsid w:val="00451B30"/>
    <w:rsid w:val="00451BC3"/>
    <w:rsid w:val="00451C13"/>
    <w:rsid w:val="00451C28"/>
    <w:rsid w:val="00451D9D"/>
    <w:rsid w:val="00451F0B"/>
    <w:rsid w:val="00451FAD"/>
    <w:rsid w:val="004522C0"/>
    <w:rsid w:val="0045239F"/>
    <w:rsid w:val="004523A8"/>
    <w:rsid w:val="00452485"/>
    <w:rsid w:val="00452505"/>
    <w:rsid w:val="004525FB"/>
    <w:rsid w:val="00452782"/>
    <w:rsid w:val="00452921"/>
    <w:rsid w:val="00452A02"/>
    <w:rsid w:val="00452A73"/>
    <w:rsid w:val="00452AB5"/>
    <w:rsid w:val="00452AD9"/>
    <w:rsid w:val="00452B3B"/>
    <w:rsid w:val="00452B85"/>
    <w:rsid w:val="00452BDD"/>
    <w:rsid w:val="00452C41"/>
    <w:rsid w:val="00452C67"/>
    <w:rsid w:val="00452CAA"/>
    <w:rsid w:val="00452EF3"/>
    <w:rsid w:val="00452F0B"/>
    <w:rsid w:val="00452FE3"/>
    <w:rsid w:val="0045300A"/>
    <w:rsid w:val="00453047"/>
    <w:rsid w:val="00453164"/>
    <w:rsid w:val="004534EE"/>
    <w:rsid w:val="0045351A"/>
    <w:rsid w:val="004535B8"/>
    <w:rsid w:val="004536BE"/>
    <w:rsid w:val="004536C0"/>
    <w:rsid w:val="004536D3"/>
    <w:rsid w:val="00453795"/>
    <w:rsid w:val="00453A1D"/>
    <w:rsid w:val="00453CE9"/>
    <w:rsid w:val="00453D1F"/>
    <w:rsid w:val="00453D60"/>
    <w:rsid w:val="00453D84"/>
    <w:rsid w:val="00453DCB"/>
    <w:rsid w:val="00453E72"/>
    <w:rsid w:val="00453EC3"/>
    <w:rsid w:val="00453FA2"/>
    <w:rsid w:val="00454211"/>
    <w:rsid w:val="0045427C"/>
    <w:rsid w:val="0045431A"/>
    <w:rsid w:val="004543A1"/>
    <w:rsid w:val="00454524"/>
    <w:rsid w:val="004545FD"/>
    <w:rsid w:val="00454671"/>
    <w:rsid w:val="004546B4"/>
    <w:rsid w:val="0045484E"/>
    <w:rsid w:val="004548BA"/>
    <w:rsid w:val="004549FD"/>
    <w:rsid w:val="00454A41"/>
    <w:rsid w:val="00454BBD"/>
    <w:rsid w:val="00454C2B"/>
    <w:rsid w:val="00454C8A"/>
    <w:rsid w:val="00454E89"/>
    <w:rsid w:val="00454FC3"/>
    <w:rsid w:val="00454FC5"/>
    <w:rsid w:val="0045505B"/>
    <w:rsid w:val="00455168"/>
    <w:rsid w:val="00455271"/>
    <w:rsid w:val="0045527A"/>
    <w:rsid w:val="004553A9"/>
    <w:rsid w:val="004553F2"/>
    <w:rsid w:val="0045541E"/>
    <w:rsid w:val="00455425"/>
    <w:rsid w:val="00455464"/>
    <w:rsid w:val="0045558E"/>
    <w:rsid w:val="00455645"/>
    <w:rsid w:val="0045573A"/>
    <w:rsid w:val="004558A4"/>
    <w:rsid w:val="004558D3"/>
    <w:rsid w:val="00455903"/>
    <w:rsid w:val="00455A02"/>
    <w:rsid w:val="00455BAF"/>
    <w:rsid w:val="00455D0F"/>
    <w:rsid w:val="00455D24"/>
    <w:rsid w:val="00455D8A"/>
    <w:rsid w:val="00455E65"/>
    <w:rsid w:val="00455EBE"/>
    <w:rsid w:val="00455F14"/>
    <w:rsid w:val="00455F2D"/>
    <w:rsid w:val="00455FCB"/>
    <w:rsid w:val="00456015"/>
    <w:rsid w:val="004561BC"/>
    <w:rsid w:val="004561D4"/>
    <w:rsid w:val="00456257"/>
    <w:rsid w:val="0045632C"/>
    <w:rsid w:val="00456332"/>
    <w:rsid w:val="004563FA"/>
    <w:rsid w:val="0045640B"/>
    <w:rsid w:val="00456424"/>
    <w:rsid w:val="00456478"/>
    <w:rsid w:val="004565C4"/>
    <w:rsid w:val="004565F0"/>
    <w:rsid w:val="0045664F"/>
    <w:rsid w:val="00456722"/>
    <w:rsid w:val="0045692A"/>
    <w:rsid w:val="00456967"/>
    <w:rsid w:val="004569D9"/>
    <w:rsid w:val="00456A16"/>
    <w:rsid w:val="00456A2F"/>
    <w:rsid w:val="00456AB3"/>
    <w:rsid w:val="00456E93"/>
    <w:rsid w:val="00456E9C"/>
    <w:rsid w:val="00457053"/>
    <w:rsid w:val="00457069"/>
    <w:rsid w:val="00457085"/>
    <w:rsid w:val="0045711F"/>
    <w:rsid w:val="00457159"/>
    <w:rsid w:val="004572A6"/>
    <w:rsid w:val="004573CF"/>
    <w:rsid w:val="004573E8"/>
    <w:rsid w:val="0045745F"/>
    <w:rsid w:val="004574B1"/>
    <w:rsid w:val="004574C8"/>
    <w:rsid w:val="0045752C"/>
    <w:rsid w:val="00457587"/>
    <w:rsid w:val="0045767E"/>
    <w:rsid w:val="004578B8"/>
    <w:rsid w:val="004578E3"/>
    <w:rsid w:val="00457977"/>
    <w:rsid w:val="004579B7"/>
    <w:rsid w:val="004579D1"/>
    <w:rsid w:val="00457A7D"/>
    <w:rsid w:val="00457A9D"/>
    <w:rsid w:val="00457B74"/>
    <w:rsid w:val="00457BF7"/>
    <w:rsid w:val="00457C5D"/>
    <w:rsid w:val="00457DE5"/>
    <w:rsid w:val="00457EF8"/>
    <w:rsid w:val="00457FCB"/>
    <w:rsid w:val="00460244"/>
    <w:rsid w:val="00460420"/>
    <w:rsid w:val="00460427"/>
    <w:rsid w:val="00460441"/>
    <w:rsid w:val="004604CE"/>
    <w:rsid w:val="0046055A"/>
    <w:rsid w:val="00460590"/>
    <w:rsid w:val="004605EF"/>
    <w:rsid w:val="00460647"/>
    <w:rsid w:val="004606DD"/>
    <w:rsid w:val="00460746"/>
    <w:rsid w:val="00460778"/>
    <w:rsid w:val="004608E4"/>
    <w:rsid w:val="00460947"/>
    <w:rsid w:val="00460DE0"/>
    <w:rsid w:val="00460DF0"/>
    <w:rsid w:val="00460DF1"/>
    <w:rsid w:val="00460EB6"/>
    <w:rsid w:val="00460F85"/>
    <w:rsid w:val="00460FE5"/>
    <w:rsid w:val="00460FF2"/>
    <w:rsid w:val="0046106D"/>
    <w:rsid w:val="004610CF"/>
    <w:rsid w:val="00461192"/>
    <w:rsid w:val="0046129C"/>
    <w:rsid w:val="004612CE"/>
    <w:rsid w:val="00461451"/>
    <w:rsid w:val="00461486"/>
    <w:rsid w:val="00461522"/>
    <w:rsid w:val="00461569"/>
    <w:rsid w:val="004616D7"/>
    <w:rsid w:val="004617E2"/>
    <w:rsid w:val="004618E3"/>
    <w:rsid w:val="00461973"/>
    <w:rsid w:val="00461A85"/>
    <w:rsid w:val="00461C6C"/>
    <w:rsid w:val="00461C74"/>
    <w:rsid w:val="00461C8B"/>
    <w:rsid w:val="00461DEA"/>
    <w:rsid w:val="00461E0F"/>
    <w:rsid w:val="00461F79"/>
    <w:rsid w:val="0046206E"/>
    <w:rsid w:val="00462142"/>
    <w:rsid w:val="00462172"/>
    <w:rsid w:val="0046219B"/>
    <w:rsid w:val="004621C7"/>
    <w:rsid w:val="0046226C"/>
    <w:rsid w:val="00462330"/>
    <w:rsid w:val="004623FA"/>
    <w:rsid w:val="0046240C"/>
    <w:rsid w:val="00462563"/>
    <w:rsid w:val="004625F5"/>
    <w:rsid w:val="0046272E"/>
    <w:rsid w:val="00462A34"/>
    <w:rsid w:val="00462B41"/>
    <w:rsid w:val="00462BE8"/>
    <w:rsid w:val="00462CA5"/>
    <w:rsid w:val="00462D2B"/>
    <w:rsid w:val="00462D85"/>
    <w:rsid w:val="00462DAC"/>
    <w:rsid w:val="00462E0E"/>
    <w:rsid w:val="00462F0F"/>
    <w:rsid w:val="00462F66"/>
    <w:rsid w:val="00463007"/>
    <w:rsid w:val="00463051"/>
    <w:rsid w:val="004630F2"/>
    <w:rsid w:val="00463251"/>
    <w:rsid w:val="00463254"/>
    <w:rsid w:val="0046334C"/>
    <w:rsid w:val="00463529"/>
    <w:rsid w:val="00463555"/>
    <w:rsid w:val="00463691"/>
    <w:rsid w:val="00463A43"/>
    <w:rsid w:val="00463AD9"/>
    <w:rsid w:val="00463B27"/>
    <w:rsid w:val="00463D89"/>
    <w:rsid w:val="00463E88"/>
    <w:rsid w:val="00463EE2"/>
    <w:rsid w:val="00463F33"/>
    <w:rsid w:val="0046401F"/>
    <w:rsid w:val="004640E8"/>
    <w:rsid w:val="004641AE"/>
    <w:rsid w:val="00464200"/>
    <w:rsid w:val="0046432D"/>
    <w:rsid w:val="0046439F"/>
    <w:rsid w:val="00464500"/>
    <w:rsid w:val="0046463C"/>
    <w:rsid w:val="00464647"/>
    <w:rsid w:val="00464744"/>
    <w:rsid w:val="00464754"/>
    <w:rsid w:val="0046475E"/>
    <w:rsid w:val="00464914"/>
    <w:rsid w:val="00464C04"/>
    <w:rsid w:val="00464C67"/>
    <w:rsid w:val="00464CE6"/>
    <w:rsid w:val="00464E6B"/>
    <w:rsid w:val="00464E73"/>
    <w:rsid w:val="00464F8C"/>
    <w:rsid w:val="00464F96"/>
    <w:rsid w:val="00465039"/>
    <w:rsid w:val="00465111"/>
    <w:rsid w:val="00465175"/>
    <w:rsid w:val="00465283"/>
    <w:rsid w:val="00465348"/>
    <w:rsid w:val="004653DE"/>
    <w:rsid w:val="004653FD"/>
    <w:rsid w:val="00465522"/>
    <w:rsid w:val="00465554"/>
    <w:rsid w:val="00465555"/>
    <w:rsid w:val="00465561"/>
    <w:rsid w:val="004655DF"/>
    <w:rsid w:val="00465617"/>
    <w:rsid w:val="00465658"/>
    <w:rsid w:val="00465660"/>
    <w:rsid w:val="00465724"/>
    <w:rsid w:val="004658F0"/>
    <w:rsid w:val="00465A03"/>
    <w:rsid w:val="00465B48"/>
    <w:rsid w:val="00465C88"/>
    <w:rsid w:val="00465CB3"/>
    <w:rsid w:val="00465E03"/>
    <w:rsid w:val="00465F96"/>
    <w:rsid w:val="00465FCD"/>
    <w:rsid w:val="00465FE2"/>
    <w:rsid w:val="0046605E"/>
    <w:rsid w:val="004662CF"/>
    <w:rsid w:val="004663CB"/>
    <w:rsid w:val="00466567"/>
    <w:rsid w:val="0046659E"/>
    <w:rsid w:val="004665C2"/>
    <w:rsid w:val="004665D4"/>
    <w:rsid w:val="0046660E"/>
    <w:rsid w:val="004666B6"/>
    <w:rsid w:val="0046672A"/>
    <w:rsid w:val="00466782"/>
    <w:rsid w:val="00466790"/>
    <w:rsid w:val="004667EB"/>
    <w:rsid w:val="004668CC"/>
    <w:rsid w:val="004668E0"/>
    <w:rsid w:val="00466922"/>
    <w:rsid w:val="00466B23"/>
    <w:rsid w:val="00466BD4"/>
    <w:rsid w:val="00466CCD"/>
    <w:rsid w:val="00466CFD"/>
    <w:rsid w:val="004672E5"/>
    <w:rsid w:val="0046734C"/>
    <w:rsid w:val="004673A9"/>
    <w:rsid w:val="00467416"/>
    <w:rsid w:val="0046746D"/>
    <w:rsid w:val="004674D7"/>
    <w:rsid w:val="0046760D"/>
    <w:rsid w:val="004676DA"/>
    <w:rsid w:val="004676E3"/>
    <w:rsid w:val="0046775F"/>
    <w:rsid w:val="00467995"/>
    <w:rsid w:val="004679E9"/>
    <w:rsid w:val="00467B07"/>
    <w:rsid w:val="00467BD0"/>
    <w:rsid w:val="00467D7C"/>
    <w:rsid w:val="00467DF5"/>
    <w:rsid w:val="00467E8F"/>
    <w:rsid w:val="00467ED6"/>
    <w:rsid w:val="0047007F"/>
    <w:rsid w:val="004700D9"/>
    <w:rsid w:val="00470241"/>
    <w:rsid w:val="0047025B"/>
    <w:rsid w:val="00470374"/>
    <w:rsid w:val="004703C0"/>
    <w:rsid w:val="00470413"/>
    <w:rsid w:val="00470450"/>
    <w:rsid w:val="0047046C"/>
    <w:rsid w:val="00470486"/>
    <w:rsid w:val="004705B3"/>
    <w:rsid w:val="004705EA"/>
    <w:rsid w:val="0047074D"/>
    <w:rsid w:val="004707BB"/>
    <w:rsid w:val="00470928"/>
    <w:rsid w:val="004709C4"/>
    <w:rsid w:val="004709C7"/>
    <w:rsid w:val="00470C15"/>
    <w:rsid w:val="00470C7F"/>
    <w:rsid w:val="00470CE1"/>
    <w:rsid w:val="00470D32"/>
    <w:rsid w:val="00470D6E"/>
    <w:rsid w:val="00470EEF"/>
    <w:rsid w:val="00470F9F"/>
    <w:rsid w:val="0047100C"/>
    <w:rsid w:val="0047107C"/>
    <w:rsid w:val="00471131"/>
    <w:rsid w:val="004712DE"/>
    <w:rsid w:val="0047136B"/>
    <w:rsid w:val="004714C3"/>
    <w:rsid w:val="00471541"/>
    <w:rsid w:val="0047154A"/>
    <w:rsid w:val="0047164E"/>
    <w:rsid w:val="00471697"/>
    <w:rsid w:val="0047178A"/>
    <w:rsid w:val="00471800"/>
    <w:rsid w:val="004718D9"/>
    <w:rsid w:val="004719A5"/>
    <w:rsid w:val="00471A3B"/>
    <w:rsid w:val="00471A85"/>
    <w:rsid w:val="00471B9A"/>
    <w:rsid w:val="00471E61"/>
    <w:rsid w:val="00471EE5"/>
    <w:rsid w:val="00472002"/>
    <w:rsid w:val="00472188"/>
    <w:rsid w:val="0047232F"/>
    <w:rsid w:val="004723C4"/>
    <w:rsid w:val="00472531"/>
    <w:rsid w:val="00472610"/>
    <w:rsid w:val="0047267C"/>
    <w:rsid w:val="0047276F"/>
    <w:rsid w:val="00472781"/>
    <w:rsid w:val="004727B0"/>
    <w:rsid w:val="00472885"/>
    <w:rsid w:val="0047288A"/>
    <w:rsid w:val="00472C98"/>
    <w:rsid w:val="00472D72"/>
    <w:rsid w:val="00472E36"/>
    <w:rsid w:val="00472FA4"/>
    <w:rsid w:val="00473069"/>
    <w:rsid w:val="00473359"/>
    <w:rsid w:val="00473471"/>
    <w:rsid w:val="00473788"/>
    <w:rsid w:val="00473904"/>
    <w:rsid w:val="00473938"/>
    <w:rsid w:val="0047394B"/>
    <w:rsid w:val="004739C3"/>
    <w:rsid w:val="004739DE"/>
    <w:rsid w:val="004739EF"/>
    <w:rsid w:val="004739FF"/>
    <w:rsid w:val="00473A8E"/>
    <w:rsid w:val="00473AD5"/>
    <w:rsid w:val="00473B07"/>
    <w:rsid w:val="00473B83"/>
    <w:rsid w:val="00473C25"/>
    <w:rsid w:val="00473C86"/>
    <w:rsid w:val="00473DD8"/>
    <w:rsid w:val="00473EBB"/>
    <w:rsid w:val="00473F20"/>
    <w:rsid w:val="00473F46"/>
    <w:rsid w:val="0047407F"/>
    <w:rsid w:val="004745D5"/>
    <w:rsid w:val="004745F9"/>
    <w:rsid w:val="00474613"/>
    <w:rsid w:val="00474688"/>
    <w:rsid w:val="004746F7"/>
    <w:rsid w:val="00474875"/>
    <w:rsid w:val="00474881"/>
    <w:rsid w:val="00474884"/>
    <w:rsid w:val="00474A0B"/>
    <w:rsid w:val="00474A85"/>
    <w:rsid w:val="00474AFC"/>
    <w:rsid w:val="00474D39"/>
    <w:rsid w:val="00474D4E"/>
    <w:rsid w:val="00474DB9"/>
    <w:rsid w:val="00474E42"/>
    <w:rsid w:val="00474E57"/>
    <w:rsid w:val="00474F25"/>
    <w:rsid w:val="00474F7C"/>
    <w:rsid w:val="00475373"/>
    <w:rsid w:val="0047540F"/>
    <w:rsid w:val="00475722"/>
    <w:rsid w:val="0047578D"/>
    <w:rsid w:val="004757C8"/>
    <w:rsid w:val="00475850"/>
    <w:rsid w:val="004759BF"/>
    <w:rsid w:val="00475A50"/>
    <w:rsid w:val="00475AAF"/>
    <w:rsid w:val="00475AFC"/>
    <w:rsid w:val="00475B9D"/>
    <w:rsid w:val="00475B9E"/>
    <w:rsid w:val="00475D44"/>
    <w:rsid w:val="00475FBB"/>
    <w:rsid w:val="00476054"/>
    <w:rsid w:val="0047608C"/>
    <w:rsid w:val="00476116"/>
    <w:rsid w:val="00476171"/>
    <w:rsid w:val="00476220"/>
    <w:rsid w:val="004762A4"/>
    <w:rsid w:val="0047639A"/>
    <w:rsid w:val="004763E1"/>
    <w:rsid w:val="004764E7"/>
    <w:rsid w:val="00476542"/>
    <w:rsid w:val="0047662E"/>
    <w:rsid w:val="0047673A"/>
    <w:rsid w:val="004767BB"/>
    <w:rsid w:val="00476807"/>
    <w:rsid w:val="0047682C"/>
    <w:rsid w:val="004768B0"/>
    <w:rsid w:val="00476965"/>
    <w:rsid w:val="00476994"/>
    <w:rsid w:val="004769BA"/>
    <w:rsid w:val="00476AE2"/>
    <w:rsid w:val="00476B33"/>
    <w:rsid w:val="00476B66"/>
    <w:rsid w:val="00476D5E"/>
    <w:rsid w:val="00476EA1"/>
    <w:rsid w:val="00476EDD"/>
    <w:rsid w:val="00476F46"/>
    <w:rsid w:val="00476F68"/>
    <w:rsid w:val="00477056"/>
    <w:rsid w:val="00477180"/>
    <w:rsid w:val="0047718E"/>
    <w:rsid w:val="0047724D"/>
    <w:rsid w:val="004773B5"/>
    <w:rsid w:val="00477483"/>
    <w:rsid w:val="004774FE"/>
    <w:rsid w:val="00477634"/>
    <w:rsid w:val="00477667"/>
    <w:rsid w:val="00477733"/>
    <w:rsid w:val="004778CF"/>
    <w:rsid w:val="00477A03"/>
    <w:rsid w:val="00477AD9"/>
    <w:rsid w:val="00477B74"/>
    <w:rsid w:val="00477D8A"/>
    <w:rsid w:val="00477DA1"/>
    <w:rsid w:val="00477F46"/>
    <w:rsid w:val="00477FF9"/>
    <w:rsid w:val="0048014B"/>
    <w:rsid w:val="00480170"/>
    <w:rsid w:val="00480265"/>
    <w:rsid w:val="004802BC"/>
    <w:rsid w:val="004803B9"/>
    <w:rsid w:val="004804FD"/>
    <w:rsid w:val="004805B2"/>
    <w:rsid w:val="00480707"/>
    <w:rsid w:val="004807BD"/>
    <w:rsid w:val="004807F2"/>
    <w:rsid w:val="0048084B"/>
    <w:rsid w:val="00480870"/>
    <w:rsid w:val="00480920"/>
    <w:rsid w:val="0048095E"/>
    <w:rsid w:val="00480A07"/>
    <w:rsid w:val="00480B76"/>
    <w:rsid w:val="00480BB0"/>
    <w:rsid w:val="00480CBB"/>
    <w:rsid w:val="00481404"/>
    <w:rsid w:val="004814F8"/>
    <w:rsid w:val="004817F0"/>
    <w:rsid w:val="004818F5"/>
    <w:rsid w:val="00481912"/>
    <w:rsid w:val="004819F1"/>
    <w:rsid w:val="00481AB7"/>
    <w:rsid w:val="00481B7E"/>
    <w:rsid w:val="00481E43"/>
    <w:rsid w:val="00481FCF"/>
    <w:rsid w:val="00482154"/>
    <w:rsid w:val="004821A6"/>
    <w:rsid w:val="00482637"/>
    <w:rsid w:val="004826F9"/>
    <w:rsid w:val="0048279B"/>
    <w:rsid w:val="004827BB"/>
    <w:rsid w:val="004829EF"/>
    <w:rsid w:val="00482AA2"/>
    <w:rsid w:val="00482AAF"/>
    <w:rsid w:val="00482E12"/>
    <w:rsid w:val="00482F23"/>
    <w:rsid w:val="00482F3E"/>
    <w:rsid w:val="0048305E"/>
    <w:rsid w:val="004830E3"/>
    <w:rsid w:val="00483201"/>
    <w:rsid w:val="00483217"/>
    <w:rsid w:val="00483226"/>
    <w:rsid w:val="00483278"/>
    <w:rsid w:val="00483299"/>
    <w:rsid w:val="004834A0"/>
    <w:rsid w:val="00483590"/>
    <w:rsid w:val="0048360C"/>
    <w:rsid w:val="0048360E"/>
    <w:rsid w:val="004836B5"/>
    <w:rsid w:val="004836F6"/>
    <w:rsid w:val="004838BA"/>
    <w:rsid w:val="00483972"/>
    <w:rsid w:val="00483979"/>
    <w:rsid w:val="004839BD"/>
    <w:rsid w:val="004839E4"/>
    <w:rsid w:val="004839F5"/>
    <w:rsid w:val="00483B9F"/>
    <w:rsid w:val="00483BED"/>
    <w:rsid w:val="00483C68"/>
    <w:rsid w:val="00483D88"/>
    <w:rsid w:val="00483E49"/>
    <w:rsid w:val="00483E67"/>
    <w:rsid w:val="00483F1F"/>
    <w:rsid w:val="00483FB2"/>
    <w:rsid w:val="00484042"/>
    <w:rsid w:val="004840C9"/>
    <w:rsid w:val="0048432D"/>
    <w:rsid w:val="004843DE"/>
    <w:rsid w:val="00484471"/>
    <w:rsid w:val="00484743"/>
    <w:rsid w:val="00484773"/>
    <w:rsid w:val="004848C2"/>
    <w:rsid w:val="00484934"/>
    <w:rsid w:val="0048493E"/>
    <w:rsid w:val="00484A96"/>
    <w:rsid w:val="00484AC1"/>
    <w:rsid w:val="00484B53"/>
    <w:rsid w:val="00484B81"/>
    <w:rsid w:val="00484BD6"/>
    <w:rsid w:val="00484C2F"/>
    <w:rsid w:val="00484CFD"/>
    <w:rsid w:val="00484E2A"/>
    <w:rsid w:val="00484F54"/>
    <w:rsid w:val="00484F97"/>
    <w:rsid w:val="00485021"/>
    <w:rsid w:val="0048517B"/>
    <w:rsid w:val="00485240"/>
    <w:rsid w:val="00485278"/>
    <w:rsid w:val="00485469"/>
    <w:rsid w:val="0048547E"/>
    <w:rsid w:val="00485489"/>
    <w:rsid w:val="0048549B"/>
    <w:rsid w:val="004854F3"/>
    <w:rsid w:val="00485505"/>
    <w:rsid w:val="00485621"/>
    <w:rsid w:val="0048570F"/>
    <w:rsid w:val="0048577A"/>
    <w:rsid w:val="004859FC"/>
    <w:rsid w:val="00485ACE"/>
    <w:rsid w:val="00485B41"/>
    <w:rsid w:val="00485B72"/>
    <w:rsid w:val="00485BC7"/>
    <w:rsid w:val="00485D4B"/>
    <w:rsid w:val="00485D5C"/>
    <w:rsid w:val="00485D85"/>
    <w:rsid w:val="00485E7D"/>
    <w:rsid w:val="0048617B"/>
    <w:rsid w:val="004861F1"/>
    <w:rsid w:val="0048621D"/>
    <w:rsid w:val="00486392"/>
    <w:rsid w:val="00486449"/>
    <w:rsid w:val="0048647A"/>
    <w:rsid w:val="0048673C"/>
    <w:rsid w:val="00486993"/>
    <w:rsid w:val="0048699D"/>
    <w:rsid w:val="004869E8"/>
    <w:rsid w:val="00486A92"/>
    <w:rsid w:val="00486C69"/>
    <w:rsid w:val="00486DD7"/>
    <w:rsid w:val="00486EC7"/>
    <w:rsid w:val="00486ED6"/>
    <w:rsid w:val="00486F93"/>
    <w:rsid w:val="00487042"/>
    <w:rsid w:val="0048711B"/>
    <w:rsid w:val="004871BA"/>
    <w:rsid w:val="00487278"/>
    <w:rsid w:val="00487485"/>
    <w:rsid w:val="0048760E"/>
    <w:rsid w:val="0048772C"/>
    <w:rsid w:val="00487759"/>
    <w:rsid w:val="004879EB"/>
    <w:rsid w:val="004879FC"/>
    <w:rsid w:val="00487A73"/>
    <w:rsid w:val="00487C2A"/>
    <w:rsid w:val="00487CE0"/>
    <w:rsid w:val="00487D0C"/>
    <w:rsid w:val="00487DD7"/>
    <w:rsid w:val="00487E45"/>
    <w:rsid w:val="00487EB8"/>
    <w:rsid w:val="00487EC5"/>
    <w:rsid w:val="00487ED6"/>
    <w:rsid w:val="00487F19"/>
    <w:rsid w:val="004900EF"/>
    <w:rsid w:val="004901E6"/>
    <w:rsid w:val="004902C7"/>
    <w:rsid w:val="0049045D"/>
    <w:rsid w:val="004905D6"/>
    <w:rsid w:val="004907AA"/>
    <w:rsid w:val="00490887"/>
    <w:rsid w:val="004908AB"/>
    <w:rsid w:val="004908CA"/>
    <w:rsid w:val="004908F3"/>
    <w:rsid w:val="0049094A"/>
    <w:rsid w:val="004909AA"/>
    <w:rsid w:val="00490A49"/>
    <w:rsid w:val="00490AC6"/>
    <w:rsid w:val="00490C97"/>
    <w:rsid w:val="00490DEA"/>
    <w:rsid w:val="00490F25"/>
    <w:rsid w:val="00491157"/>
    <w:rsid w:val="004912D2"/>
    <w:rsid w:val="00491562"/>
    <w:rsid w:val="0049157A"/>
    <w:rsid w:val="004915BA"/>
    <w:rsid w:val="004915F4"/>
    <w:rsid w:val="004915FE"/>
    <w:rsid w:val="00491647"/>
    <w:rsid w:val="00491750"/>
    <w:rsid w:val="00491773"/>
    <w:rsid w:val="00491793"/>
    <w:rsid w:val="00491800"/>
    <w:rsid w:val="00491862"/>
    <w:rsid w:val="00491945"/>
    <w:rsid w:val="00491A4A"/>
    <w:rsid w:val="00491BAB"/>
    <w:rsid w:val="00491CC5"/>
    <w:rsid w:val="00491D42"/>
    <w:rsid w:val="00491DE0"/>
    <w:rsid w:val="00491ECE"/>
    <w:rsid w:val="00492049"/>
    <w:rsid w:val="004921DA"/>
    <w:rsid w:val="00492290"/>
    <w:rsid w:val="00492380"/>
    <w:rsid w:val="0049242F"/>
    <w:rsid w:val="00492440"/>
    <w:rsid w:val="0049244F"/>
    <w:rsid w:val="00492497"/>
    <w:rsid w:val="004924FE"/>
    <w:rsid w:val="00492740"/>
    <w:rsid w:val="0049274E"/>
    <w:rsid w:val="004927B2"/>
    <w:rsid w:val="0049283C"/>
    <w:rsid w:val="004928C9"/>
    <w:rsid w:val="00492BF1"/>
    <w:rsid w:val="00492D04"/>
    <w:rsid w:val="00492D06"/>
    <w:rsid w:val="00492D2F"/>
    <w:rsid w:val="00492E05"/>
    <w:rsid w:val="00492F46"/>
    <w:rsid w:val="00492F77"/>
    <w:rsid w:val="00492F94"/>
    <w:rsid w:val="00493299"/>
    <w:rsid w:val="004932DC"/>
    <w:rsid w:val="0049383B"/>
    <w:rsid w:val="004938E7"/>
    <w:rsid w:val="00493934"/>
    <w:rsid w:val="00493AC4"/>
    <w:rsid w:val="00493AE8"/>
    <w:rsid w:val="00493CF4"/>
    <w:rsid w:val="00493D70"/>
    <w:rsid w:val="00493D92"/>
    <w:rsid w:val="00493DA3"/>
    <w:rsid w:val="00493E91"/>
    <w:rsid w:val="004940AE"/>
    <w:rsid w:val="00494184"/>
    <w:rsid w:val="0049419A"/>
    <w:rsid w:val="004941A3"/>
    <w:rsid w:val="004941CF"/>
    <w:rsid w:val="00494417"/>
    <w:rsid w:val="0049441F"/>
    <w:rsid w:val="00494497"/>
    <w:rsid w:val="00494527"/>
    <w:rsid w:val="004945FB"/>
    <w:rsid w:val="00494756"/>
    <w:rsid w:val="0049480F"/>
    <w:rsid w:val="0049481E"/>
    <w:rsid w:val="00494862"/>
    <w:rsid w:val="004948A1"/>
    <w:rsid w:val="0049491F"/>
    <w:rsid w:val="00494923"/>
    <w:rsid w:val="00494A0F"/>
    <w:rsid w:val="00494AB6"/>
    <w:rsid w:val="00494B22"/>
    <w:rsid w:val="00494B5F"/>
    <w:rsid w:val="00494C63"/>
    <w:rsid w:val="004951AD"/>
    <w:rsid w:val="004951C9"/>
    <w:rsid w:val="004951DA"/>
    <w:rsid w:val="00495354"/>
    <w:rsid w:val="004953CB"/>
    <w:rsid w:val="00495415"/>
    <w:rsid w:val="00495421"/>
    <w:rsid w:val="004954EB"/>
    <w:rsid w:val="00495610"/>
    <w:rsid w:val="004956DB"/>
    <w:rsid w:val="00495785"/>
    <w:rsid w:val="004957BE"/>
    <w:rsid w:val="00495858"/>
    <w:rsid w:val="0049589E"/>
    <w:rsid w:val="004959C3"/>
    <w:rsid w:val="00495A52"/>
    <w:rsid w:val="00495C9C"/>
    <w:rsid w:val="00495DCA"/>
    <w:rsid w:val="00495EC4"/>
    <w:rsid w:val="00495EDA"/>
    <w:rsid w:val="00495F90"/>
    <w:rsid w:val="0049602F"/>
    <w:rsid w:val="00496092"/>
    <w:rsid w:val="0049628C"/>
    <w:rsid w:val="0049651F"/>
    <w:rsid w:val="004965D8"/>
    <w:rsid w:val="00496649"/>
    <w:rsid w:val="004966F5"/>
    <w:rsid w:val="004968D5"/>
    <w:rsid w:val="00496C43"/>
    <w:rsid w:val="00496EC3"/>
    <w:rsid w:val="00497018"/>
    <w:rsid w:val="00497109"/>
    <w:rsid w:val="004973AD"/>
    <w:rsid w:val="004974D0"/>
    <w:rsid w:val="004974F2"/>
    <w:rsid w:val="004974F6"/>
    <w:rsid w:val="0049751C"/>
    <w:rsid w:val="004975C6"/>
    <w:rsid w:val="0049761D"/>
    <w:rsid w:val="00497715"/>
    <w:rsid w:val="00497724"/>
    <w:rsid w:val="00497790"/>
    <w:rsid w:val="00497814"/>
    <w:rsid w:val="00497A79"/>
    <w:rsid w:val="00497B23"/>
    <w:rsid w:val="00497D15"/>
    <w:rsid w:val="00497E40"/>
    <w:rsid w:val="00497F01"/>
    <w:rsid w:val="00497F32"/>
    <w:rsid w:val="00497FE9"/>
    <w:rsid w:val="004A01BB"/>
    <w:rsid w:val="004A02F8"/>
    <w:rsid w:val="004A03B9"/>
    <w:rsid w:val="004A03E8"/>
    <w:rsid w:val="004A0601"/>
    <w:rsid w:val="004A065A"/>
    <w:rsid w:val="004A06DD"/>
    <w:rsid w:val="004A0720"/>
    <w:rsid w:val="004A07AC"/>
    <w:rsid w:val="004A07CE"/>
    <w:rsid w:val="004A09C9"/>
    <w:rsid w:val="004A09EF"/>
    <w:rsid w:val="004A0A36"/>
    <w:rsid w:val="004A0A3A"/>
    <w:rsid w:val="004A0B1E"/>
    <w:rsid w:val="004A0B58"/>
    <w:rsid w:val="004A0BB0"/>
    <w:rsid w:val="004A0CA5"/>
    <w:rsid w:val="004A0D46"/>
    <w:rsid w:val="004A0D72"/>
    <w:rsid w:val="004A0EB2"/>
    <w:rsid w:val="004A101F"/>
    <w:rsid w:val="004A10E9"/>
    <w:rsid w:val="004A11CF"/>
    <w:rsid w:val="004A12A9"/>
    <w:rsid w:val="004A14B8"/>
    <w:rsid w:val="004A14F3"/>
    <w:rsid w:val="004A1625"/>
    <w:rsid w:val="004A168A"/>
    <w:rsid w:val="004A18BE"/>
    <w:rsid w:val="004A1A79"/>
    <w:rsid w:val="004A1A97"/>
    <w:rsid w:val="004A1C28"/>
    <w:rsid w:val="004A1C70"/>
    <w:rsid w:val="004A1CBB"/>
    <w:rsid w:val="004A1CE2"/>
    <w:rsid w:val="004A1E3E"/>
    <w:rsid w:val="004A1E4A"/>
    <w:rsid w:val="004A1E50"/>
    <w:rsid w:val="004A1E7E"/>
    <w:rsid w:val="004A1E9F"/>
    <w:rsid w:val="004A2239"/>
    <w:rsid w:val="004A2270"/>
    <w:rsid w:val="004A22AA"/>
    <w:rsid w:val="004A2371"/>
    <w:rsid w:val="004A2492"/>
    <w:rsid w:val="004A24FB"/>
    <w:rsid w:val="004A262A"/>
    <w:rsid w:val="004A26CF"/>
    <w:rsid w:val="004A2718"/>
    <w:rsid w:val="004A2746"/>
    <w:rsid w:val="004A27D1"/>
    <w:rsid w:val="004A2856"/>
    <w:rsid w:val="004A2866"/>
    <w:rsid w:val="004A2978"/>
    <w:rsid w:val="004A2B3A"/>
    <w:rsid w:val="004A2C2D"/>
    <w:rsid w:val="004A2CF4"/>
    <w:rsid w:val="004A2CF7"/>
    <w:rsid w:val="004A2D68"/>
    <w:rsid w:val="004A2E59"/>
    <w:rsid w:val="004A3016"/>
    <w:rsid w:val="004A3110"/>
    <w:rsid w:val="004A316B"/>
    <w:rsid w:val="004A32A8"/>
    <w:rsid w:val="004A3333"/>
    <w:rsid w:val="004A345F"/>
    <w:rsid w:val="004A35BA"/>
    <w:rsid w:val="004A35F3"/>
    <w:rsid w:val="004A3646"/>
    <w:rsid w:val="004A3668"/>
    <w:rsid w:val="004A3715"/>
    <w:rsid w:val="004A3788"/>
    <w:rsid w:val="004A38D5"/>
    <w:rsid w:val="004A3A0E"/>
    <w:rsid w:val="004A3A19"/>
    <w:rsid w:val="004A3BCF"/>
    <w:rsid w:val="004A3DCF"/>
    <w:rsid w:val="004A4018"/>
    <w:rsid w:val="004A40DD"/>
    <w:rsid w:val="004A423D"/>
    <w:rsid w:val="004A428B"/>
    <w:rsid w:val="004A42C5"/>
    <w:rsid w:val="004A4304"/>
    <w:rsid w:val="004A4354"/>
    <w:rsid w:val="004A4391"/>
    <w:rsid w:val="004A44CB"/>
    <w:rsid w:val="004A4504"/>
    <w:rsid w:val="004A472D"/>
    <w:rsid w:val="004A484E"/>
    <w:rsid w:val="004A4882"/>
    <w:rsid w:val="004A489B"/>
    <w:rsid w:val="004A4C4C"/>
    <w:rsid w:val="004A4E81"/>
    <w:rsid w:val="004A4FDA"/>
    <w:rsid w:val="004A51A9"/>
    <w:rsid w:val="004A528B"/>
    <w:rsid w:val="004A54DE"/>
    <w:rsid w:val="004A54F4"/>
    <w:rsid w:val="004A558F"/>
    <w:rsid w:val="004A559F"/>
    <w:rsid w:val="004A5698"/>
    <w:rsid w:val="004A56C4"/>
    <w:rsid w:val="004A5736"/>
    <w:rsid w:val="004A57A7"/>
    <w:rsid w:val="004A5840"/>
    <w:rsid w:val="004A5991"/>
    <w:rsid w:val="004A599E"/>
    <w:rsid w:val="004A5A54"/>
    <w:rsid w:val="004A5A80"/>
    <w:rsid w:val="004A5B55"/>
    <w:rsid w:val="004A5CA3"/>
    <w:rsid w:val="004A5D24"/>
    <w:rsid w:val="004A5E94"/>
    <w:rsid w:val="004A5F5D"/>
    <w:rsid w:val="004A5F82"/>
    <w:rsid w:val="004A5F8B"/>
    <w:rsid w:val="004A5FB8"/>
    <w:rsid w:val="004A609F"/>
    <w:rsid w:val="004A61F5"/>
    <w:rsid w:val="004A625E"/>
    <w:rsid w:val="004A641F"/>
    <w:rsid w:val="004A6493"/>
    <w:rsid w:val="004A6561"/>
    <w:rsid w:val="004A6608"/>
    <w:rsid w:val="004A667E"/>
    <w:rsid w:val="004A6789"/>
    <w:rsid w:val="004A6838"/>
    <w:rsid w:val="004A6853"/>
    <w:rsid w:val="004A68B8"/>
    <w:rsid w:val="004A6A51"/>
    <w:rsid w:val="004A6A7B"/>
    <w:rsid w:val="004A6CD4"/>
    <w:rsid w:val="004A6D41"/>
    <w:rsid w:val="004A6D95"/>
    <w:rsid w:val="004A703F"/>
    <w:rsid w:val="004A72AD"/>
    <w:rsid w:val="004A739F"/>
    <w:rsid w:val="004A74E1"/>
    <w:rsid w:val="004A756D"/>
    <w:rsid w:val="004A77EC"/>
    <w:rsid w:val="004A7C47"/>
    <w:rsid w:val="004A7CC9"/>
    <w:rsid w:val="004A7D4A"/>
    <w:rsid w:val="004A7D8F"/>
    <w:rsid w:val="004B00EA"/>
    <w:rsid w:val="004B0172"/>
    <w:rsid w:val="004B01BF"/>
    <w:rsid w:val="004B02BF"/>
    <w:rsid w:val="004B04F1"/>
    <w:rsid w:val="004B054F"/>
    <w:rsid w:val="004B0597"/>
    <w:rsid w:val="004B062E"/>
    <w:rsid w:val="004B0710"/>
    <w:rsid w:val="004B0724"/>
    <w:rsid w:val="004B079D"/>
    <w:rsid w:val="004B07D7"/>
    <w:rsid w:val="004B08CD"/>
    <w:rsid w:val="004B09B8"/>
    <w:rsid w:val="004B0A6E"/>
    <w:rsid w:val="004B0B47"/>
    <w:rsid w:val="004B0C38"/>
    <w:rsid w:val="004B0CD8"/>
    <w:rsid w:val="004B0D39"/>
    <w:rsid w:val="004B0F76"/>
    <w:rsid w:val="004B1087"/>
    <w:rsid w:val="004B139E"/>
    <w:rsid w:val="004B1441"/>
    <w:rsid w:val="004B144B"/>
    <w:rsid w:val="004B15D4"/>
    <w:rsid w:val="004B18AC"/>
    <w:rsid w:val="004B1910"/>
    <w:rsid w:val="004B1A91"/>
    <w:rsid w:val="004B1B15"/>
    <w:rsid w:val="004B1D77"/>
    <w:rsid w:val="004B1DCC"/>
    <w:rsid w:val="004B1E37"/>
    <w:rsid w:val="004B1E9C"/>
    <w:rsid w:val="004B1FEF"/>
    <w:rsid w:val="004B1FF3"/>
    <w:rsid w:val="004B20C5"/>
    <w:rsid w:val="004B240B"/>
    <w:rsid w:val="004B24AA"/>
    <w:rsid w:val="004B24D5"/>
    <w:rsid w:val="004B2556"/>
    <w:rsid w:val="004B25E6"/>
    <w:rsid w:val="004B262F"/>
    <w:rsid w:val="004B2682"/>
    <w:rsid w:val="004B27CD"/>
    <w:rsid w:val="004B28A9"/>
    <w:rsid w:val="004B292F"/>
    <w:rsid w:val="004B2931"/>
    <w:rsid w:val="004B2B37"/>
    <w:rsid w:val="004B2B55"/>
    <w:rsid w:val="004B2CAB"/>
    <w:rsid w:val="004B2E3A"/>
    <w:rsid w:val="004B314B"/>
    <w:rsid w:val="004B31D0"/>
    <w:rsid w:val="004B31F1"/>
    <w:rsid w:val="004B3246"/>
    <w:rsid w:val="004B330D"/>
    <w:rsid w:val="004B3446"/>
    <w:rsid w:val="004B344F"/>
    <w:rsid w:val="004B347B"/>
    <w:rsid w:val="004B34B2"/>
    <w:rsid w:val="004B357F"/>
    <w:rsid w:val="004B35CE"/>
    <w:rsid w:val="004B35DF"/>
    <w:rsid w:val="004B361A"/>
    <w:rsid w:val="004B36A9"/>
    <w:rsid w:val="004B3856"/>
    <w:rsid w:val="004B38A6"/>
    <w:rsid w:val="004B3932"/>
    <w:rsid w:val="004B3970"/>
    <w:rsid w:val="004B3AC8"/>
    <w:rsid w:val="004B3C48"/>
    <w:rsid w:val="004B3C53"/>
    <w:rsid w:val="004B3CCB"/>
    <w:rsid w:val="004B3CD8"/>
    <w:rsid w:val="004B3DBF"/>
    <w:rsid w:val="004B3E91"/>
    <w:rsid w:val="004B3F06"/>
    <w:rsid w:val="004B3FAD"/>
    <w:rsid w:val="004B4042"/>
    <w:rsid w:val="004B4125"/>
    <w:rsid w:val="004B4165"/>
    <w:rsid w:val="004B4181"/>
    <w:rsid w:val="004B41DA"/>
    <w:rsid w:val="004B4263"/>
    <w:rsid w:val="004B43B2"/>
    <w:rsid w:val="004B43ED"/>
    <w:rsid w:val="004B4410"/>
    <w:rsid w:val="004B445F"/>
    <w:rsid w:val="004B44D8"/>
    <w:rsid w:val="004B451C"/>
    <w:rsid w:val="004B45B9"/>
    <w:rsid w:val="004B46E2"/>
    <w:rsid w:val="004B47AC"/>
    <w:rsid w:val="004B4801"/>
    <w:rsid w:val="004B48EB"/>
    <w:rsid w:val="004B4ACA"/>
    <w:rsid w:val="004B4AF4"/>
    <w:rsid w:val="004B4B63"/>
    <w:rsid w:val="004B4B98"/>
    <w:rsid w:val="004B4C53"/>
    <w:rsid w:val="004B4CB0"/>
    <w:rsid w:val="004B4D4F"/>
    <w:rsid w:val="004B4E3B"/>
    <w:rsid w:val="004B4E6D"/>
    <w:rsid w:val="004B5065"/>
    <w:rsid w:val="004B516D"/>
    <w:rsid w:val="004B519A"/>
    <w:rsid w:val="004B5427"/>
    <w:rsid w:val="004B542C"/>
    <w:rsid w:val="004B5562"/>
    <w:rsid w:val="004B56AA"/>
    <w:rsid w:val="004B572B"/>
    <w:rsid w:val="004B5A24"/>
    <w:rsid w:val="004B5ADF"/>
    <w:rsid w:val="004B5B46"/>
    <w:rsid w:val="004B5C88"/>
    <w:rsid w:val="004B5F8D"/>
    <w:rsid w:val="004B5FE9"/>
    <w:rsid w:val="004B6063"/>
    <w:rsid w:val="004B60F3"/>
    <w:rsid w:val="004B61E0"/>
    <w:rsid w:val="004B623A"/>
    <w:rsid w:val="004B6274"/>
    <w:rsid w:val="004B645E"/>
    <w:rsid w:val="004B6494"/>
    <w:rsid w:val="004B654F"/>
    <w:rsid w:val="004B6724"/>
    <w:rsid w:val="004B674D"/>
    <w:rsid w:val="004B6781"/>
    <w:rsid w:val="004B691C"/>
    <w:rsid w:val="004B692B"/>
    <w:rsid w:val="004B6A3A"/>
    <w:rsid w:val="004B6B0E"/>
    <w:rsid w:val="004B6B7C"/>
    <w:rsid w:val="004B6C17"/>
    <w:rsid w:val="004B6DEF"/>
    <w:rsid w:val="004B6DFD"/>
    <w:rsid w:val="004B6E27"/>
    <w:rsid w:val="004B6EB6"/>
    <w:rsid w:val="004B6F5B"/>
    <w:rsid w:val="004B6FB3"/>
    <w:rsid w:val="004B6FDC"/>
    <w:rsid w:val="004B7112"/>
    <w:rsid w:val="004B7490"/>
    <w:rsid w:val="004B74C1"/>
    <w:rsid w:val="004B7505"/>
    <w:rsid w:val="004B75E9"/>
    <w:rsid w:val="004B761B"/>
    <w:rsid w:val="004B783F"/>
    <w:rsid w:val="004B78DF"/>
    <w:rsid w:val="004B7965"/>
    <w:rsid w:val="004B798A"/>
    <w:rsid w:val="004B7B2F"/>
    <w:rsid w:val="004B7C91"/>
    <w:rsid w:val="004B7D1A"/>
    <w:rsid w:val="004B7D57"/>
    <w:rsid w:val="004B7DE5"/>
    <w:rsid w:val="004B7EC0"/>
    <w:rsid w:val="004B7EFD"/>
    <w:rsid w:val="004B7FBF"/>
    <w:rsid w:val="004C01C2"/>
    <w:rsid w:val="004C023F"/>
    <w:rsid w:val="004C028F"/>
    <w:rsid w:val="004C0303"/>
    <w:rsid w:val="004C0674"/>
    <w:rsid w:val="004C07DD"/>
    <w:rsid w:val="004C0846"/>
    <w:rsid w:val="004C08BA"/>
    <w:rsid w:val="004C08D9"/>
    <w:rsid w:val="004C08E9"/>
    <w:rsid w:val="004C0919"/>
    <w:rsid w:val="004C0B9A"/>
    <w:rsid w:val="004C0BC6"/>
    <w:rsid w:val="004C0C08"/>
    <w:rsid w:val="004C0C0B"/>
    <w:rsid w:val="004C0C17"/>
    <w:rsid w:val="004C0D7F"/>
    <w:rsid w:val="004C0F1D"/>
    <w:rsid w:val="004C0FC5"/>
    <w:rsid w:val="004C0FD6"/>
    <w:rsid w:val="004C0FF7"/>
    <w:rsid w:val="004C1118"/>
    <w:rsid w:val="004C1287"/>
    <w:rsid w:val="004C145A"/>
    <w:rsid w:val="004C16AF"/>
    <w:rsid w:val="004C1702"/>
    <w:rsid w:val="004C1832"/>
    <w:rsid w:val="004C18D7"/>
    <w:rsid w:val="004C1942"/>
    <w:rsid w:val="004C1976"/>
    <w:rsid w:val="004C1A36"/>
    <w:rsid w:val="004C1AA5"/>
    <w:rsid w:val="004C1AE6"/>
    <w:rsid w:val="004C1B06"/>
    <w:rsid w:val="004C1B3E"/>
    <w:rsid w:val="004C1DA2"/>
    <w:rsid w:val="004C1DF2"/>
    <w:rsid w:val="004C1F99"/>
    <w:rsid w:val="004C1F9E"/>
    <w:rsid w:val="004C211B"/>
    <w:rsid w:val="004C2127"/>
    <w:rsid w:val="004C213B"/>
    <w:rsid w:val="004C223C"/>
    <w:rsid w:val="004C22CE"/>
    <w:rsid w:val="004C22D9"/>
    <w:rsid w:val="004C23BD"/>
    <w:rsid w:val="004C2493"/>
    <w:rsid w:val="004C25A9"/>
    <w:rsid w:val="004C261A"/>
    <w:rsid w:val="004C266E"/>
    <w:rsid w:val="004C29AC"/>
    <w:rsid w:val="004C29EF"/>
    <w:rsid w:val="004C2A10"/>
    <w:rsid w:val="004C2AAE"/>
    <w:rsid w:val="004C2B0F"/>
    <w:rsid w:val="004C2C08"/>
    <w:rsid w:val="004C2C59"/>
    <w:rsid w:val="004C2D25"/>
    <w:rsid w:val="004C2E22"/>
    <w:rsid w:val="004C2E50"/>
    <w:rsid w:val="004C2E61"/>
    <w:rsid w:val="004C2F47"/>
    <w:rsid w:val="004C2FCA"/>
    <w:rsid w:val="004C2FED"/>
    <w:rsid w:val="004C2FEF"/>
    <w:rsid w:val="004C302B"/>
    <w:rsid w:val="004C338F"/>
    <w:rsid w:val="004C366F"/>
    <w:rsid w:val="004C36CA"/>
    <w:rsid w:val="004C3B07"/>
    <w:rsid w:val="004C3B8E"/>
    <w:rsid w:val="004C3C0D"/>
    <w:rsid w:val="004C3C67"/>
    <w:rsid w:val="004C3E47"/>
    <w:rsid w:val="004C3EC5"/>
    <w:rsid w:val="004C4054"/>
    <w:rsid w:val="004C41F0"/>
    <w:rsid w:val="004C4242"/>
    <w:rsid w:val="004C428F"/>
    <w:rsid w:val="004C4398"/>
    <w:rsid w:val="004C43EA"/>
    <w:rsid w:val="004C442E"/>
    <w:rsid w:val="004C465F"/>
    <w:rsid w:val="004C4704"/>
    <w:rsid w:val="004C4760"/>
    <w:rsid w:val="004C4818"/>
    <w:rsid w:val="004C487F"/>
    <w:rsid w:val="004C4ACD"/>
    <w:rsid w:val="004C4B20"/>
    <w:rsid w:val="004C4B5C"/>
    <w:rsid w:val="004C4B7E"/>
    <w:rsid w:val="004C4BA6"/>
    <w:rsid w:val="004C4CDE"/>
    <w:rsid w:val="004C4DB7"/>
    <w:rsid w:val="004C4FA8"/>
    <w:rsid w:val="004C5143"/>
    <w:rsid w:val="004C5198"/>
    <w:rsid w:val="004C5219"/>
    <w:rsid w:val="004C52A0"/>
    <w:rsid w:val="004C52D2"/>
    <w:rsid w:val="004C54F4"/>
    <w:rsid w:val="004C557E"/>
    <w:rsid w:val="004C57B5"/>
    <w:rsid w:val="004C5822"/>
    <w:rsid w:val="004C58A5"/>
    <w:rsid w:val="004C5963"/>
    <w:rsid w:val="004C5A1C"/>
    <w:rsid w:val="004C5ADB"/>
    <w:rsid w:val="004C5BCD"/>
    <w:rsid w:val="004C5DF3"/>
    <w:rsid w:val="004C5E70"/>
    <w:rsid w:val="004C5FE7"/>
    <w:rsid w:val="004C6046"/>
    <w:rsid w:val="004C61F4"/>
    <w:rsid w:val="004C6243"/>
    <w:rsid w:val="004C6247"/>
    <w:rsid w:val="004C632D"/>
    <w:rsid w:val="004C6369"/>
    <w:rsid w:val="004C63F8"/>
    <w:rsid w:val="004C6438"/>
    <w:rsid w:val="004C643A"/>
    <w:rsid w:val="004C64F3"/>
    <w:rsid w:val="004C6585"/>
    <w:rsid w:val="004C666A"/>
    <w:rsid w:val="004C6684"/>
    <w:rsid w:val="004C6695"/>
    <w:rsid w:val="004C672B"/>
    <w:rsid w:val="004C67DC"/>
    <w:rsid w:val="004C683B"/>
    <w:rsid w:val="004C683D"/>
    <w:rsid w:val="004C68A4"/>
    <w:rsid w:val="004C68D9"/>
    <w:rsid w:val="004C69B2"/>
    <w:rsid w:val="004C69C1"/>
    <w:rsid w:val="004C6B3A"/>
    <w:rsid w:val="004C6B5A"/>
    <w:rsid w:val="004C6B9B"/>
    <w:rsid w:val="004C6BE3"/>
    <w:rsid w:val="004C6D28"/>
    <w:rsid w:val="004C6E40"/>
    <w:rsid w:val="004C6EE7"/>
    <w:rsid w:val="004C6FE5"/>
    <w:rsid w:val="004C71C6"/>
    <w:rsid w:val="004C726D"/>
    <w:rsid w:val="004C73BB"/>
    <w:rsid w:val="004C73C7"/>
    <w:rsid w:val="004C74D9"/>
    <w:rsid w:val="004C7616"/>
    <w:rsid w:val="004C765B"/>
    <w:rsid w:val="004C77E6"/>
    <w:rsid w:val="004C79FC"/>
    <w:rsid w:val="004C7AF0"/>
    <w:rsid w:val="004C7AF4"/>
    <w:rsid w:val="004C7B69"/>
    <w:rsid w:val="004C7B7E"/>
    <w:rsid w:val="004C7C7E"/>
    <w:rsid w:val="004C7F16"/>
    <w:rsid w:val="004C7F78"/>
    <w:rsid w:val="004C7F99"/>
    <w:rsid w:val="004C7FB9"/>
    <w:rsid w:val="004C7FD7"/>
    <w:rsid w:val="004D0087"/>
    <w:rsid w:val="004D00EC"/>
    <w:rsid w:val="004D0104"/>
    <w:rsid w:val="004D036D"/>
    <w:rsid w:val="004D0371"/>
    <w:rsid w:val="004D0420"/>
    <w:rsid w:val="004D042A"/>
    <w:rsid w:val="004D04AE"/>
    <w:rsid w:val="004D056C"/>
    <w:rsid w:val="004D064F"/>
    <w:rsid w:val="004D06B8"/>
    <w:rsid w:val="004D0819"/>
    <w:rsid w:val="004D08F6"/>
    <w:rsid w:val="004D09B3"/>
    <w:rsid w:val="004D09EC"/>
    <w:rsid w:val="004D0B7F"/>
    <w:rsid w:val="004D0C18"/>
    <w:rsid w:val="004D0C64"/>
    <w:rsid w:val="004D0C73"/>
    <w:rsid w:val="004D0C74"/>
    <w:rsid w:val="004D0E9B"/>
    <w:rsid w:val="004D0EB3"/>
    <w:rsid w:val="004D0F3E"/>
    <w:rsid w:val="004D1060"/>
    <w:rsid w:val="004D107F"/>
    <w:rsid w:val="004D1165"/>
    <w:rsid w:val="004D14EE"/>
    <w:rsid w:val="004D153D"/>
    <w:rsid w:val="004D1613"/>
    <w:rsid w:val="004D16BC"/>
    <w:rsid w:val="004D17F6"/>
    <w:rsid w:val="004D17FF"/>
    <w:rsid w:val="004D1836"/>
    <w:rsid w:val="004D18C2"/>
    <w:rsid w:val="004D1A9F"/>
    <w:rsid w:val="004D1B48"/>
    <w:rsid w:val="004D1B5C"/>
    <w:rsid w:val="004D1B7D"/>
    <w:rsid w:val="004D1C67"/>
    <w:rsid w:val="004D1CDD"/>
    <w:rsid w:val="004D1CF4"/>
    <w:rsid w:val="004D1D0F"/>
    <w:rsid w:val="004D1D7D"/>
    <w:rsid w:val="004D1DE4"/>
    <w:rsid w:val="004D1EC1"/>
    <w:rsid w:val="004D1F9A"/>
    <w:rsid w:val="004D1FD7"/>
    <w:rsid w:val="004D1FE5"/>
    <w:rsid w:val="004D209C"/>
    <w:rsid w:val="004D20E0"/>
    <w:rsid w:val="004D21E5"/>
    <w:rsid w:val="004D220E"/>
    <w:rsid w:val="004D2280"/>
    <w:rsid w:val="004D2343"/>
    <w:rsid w:val="004D23BA"/>
    <w:rsid w:val="004D248A"/>
    <w:rsid w:val="004D24A3"/>
    <w:rsid w:val="004D278B"/>
    <w:rsid w:val="004D28D1"/>
    <w:rsid w:val="004D2A79"/>
    <w:rsid w:val="004D2AD9"/>
    <w:rsid w:val="004D2B09"/>
    <w:rsid w:val="004D2B42"/>
    <w:rsid w:val="004D2CA4"/>
    <w:rsid w:val="004D2CE9"/>
    <w:rsid w:val="004D2D29"/>
    <w:rsid w:val="004D2E46"/>
    <w:rsid w:val="004D2FB1"/>
    <w:rsid w:val="004D2FC6"/>
    <w:rsid w:val="004D30DF"/>
    <w:rsid w:val="004D30EA"/>
    <w:rsid w:val="004D314B"/>
    <w:rsid w:val="004D324F"/>
    <w:rsid w:val="004D32A1"/>
    <w:rsid w:val="004D33E2"/>
    <w:rsid w:val="004D342A"/>
    <w:rsid w:val="004D345C"/>
    <w:rsid w:val="004D34ED"/>
    <w:rsid w:val="004D3590"/>
    <w:rsid w:val="004D35CD"/>
    <w:rsid w:val="004D35E5"/>
    <w:rsid w:val="004D35F7"/>
    <w:rsid w:val="004D36E0"/>
    <w:rsid w:val="004D3716"/>
    <w:rsid w:val="004D376A"/>
    <w:rsid w:val="004D37EB"/>
    <w:rsid w:val="004D37FF"/>
    <w:rsid w:val="004D387D"/>
    <w:rsid w:val="004D38A2"/>
    <w:rsid w:val="004D38BF"/>
    <w:rsid w:val="004D38E7"/>
    <w:rsid w:val="004D3936"/>
    <w:rsid w:val="004D39DA"/>
    <w:rsid w:val="004D3A54"/>
    <w:rsid w:val="004D3A69"/>
    <w:rsid w:val="004D3ADD"/>
    <w:rsid w:val="004D3B0A"/>
    <w:rsid w:val="004D3D01"/>
    <w:rsid w:val="004D3D43"/>
    <w:rsid w:val="004D3EEC"/>
    <w:rsid w:val="004D3F96"/>
    <w:rsid w:val="004D3F9F"/>
    <w:rsid w:val="004D400F"/>
    <w:rsid w:val="004D410F"/>
    <w:rsid w:val="004D41D5"/>
    <w:rsid w:val="004D4211"/>
    <w:rsid w:val="004D4251"/>
    <w:rsid w:val="004D429C"/>
    <w:rsid w:val="004D44F5"/>
    <w:rsid w:val="004D47E5"/>
    <w:rsid w:val="004D47F5"/>
    <w:rsid w:val="004D48B7"/>
    <w:rsid w:val="004D48DF"/>
    <w:rsid w:val="004D4BED"/>
    <w:rsid w:val="004D4C86"/>
    <w:rsid w:val="004D4DC1"/>
    <w:rsid w:val="004D4E4B"/>
    <w:rsid w:val="004D4E9C"/>
    <w:rsid w:val="004D4F1A"/>
    <w:rsid w:val="004D4F61"/>
    <w:rsid w:val="004D4FDB"/>
    <w:rsid w:val="004D5008"/>
    <w:rsid w:val="004D50F2"/>
    <w:rsid w:val="004D51ED"/>
    <w:rsid w:val="004D526D"/>
    <w:rsid w:val="004D52F4"/>
    <w:rsid w:val="004D5319"/>
    <w:rsid w:val="004D5324"/>
    <w:rsid w:val="004D5686"/>
    <w:rsid w:val="004D56C9"/>
    <w:rsid w:val="004D56CE"/>
    <w:rsid w:val="004D578A"/>
    <w:rsid w:val="004D57D3"/>
    <w:rsid w:val="004D5897"/>
    <w:rsid w:val="004D59BD"/>
    <w:rsid w:val="004D59EA"/>
    <w:rsid w:val="004D59EC"/>
    <w:rsid w:val="004D5B2D"/>
    <w:rsid w:val="004D5B34"/>
    <w:rsid w:val="004D5D6B"/>
    <w:rsid w:val="004D5E30"/>
    <w:rsid w:val="004D62D0"/>
    <w:rsid w:val="004D63F1"/>
    <w:rsid w:val="004D6557"/>
    <w:rsid w:val="004D65EB"/>
    <w:rsid w:val="004D663C"/>
    <w:rsid w:val="004D668E"/>
    <w:rsid w:val="004D675C"/>
    <w:rsid w:val="004D6859"/>
    <w:rsid w:val="004D6889"/>
    <w:rsid w:val="004D6988"/>
    <w:rsid w:val="004D6B81"/>
    <w:rsid w:val="004D6BC3"/>
    <w:rsid w:val="004D6C81"/>
    <w:rsid w:val="004D6E2B"/>
    <w:rsid w:val="004D6F65"/>
    <w:rsid w:val="004D7084"/>
    <w:rsid w:val="004D736D"/>
    <w:rsid w:val="004D73CD"/>
    <w:rsid w:val="004D7497"/>
    <w:rsid w:val="004D7601"/>
    <w:rsid w:val="004D7759"/>
    <w:rsid w:val="004D79F6"/>
    <w:rsid w:val="004D7BCC"/>
    <w:rsid w:val="004D7CA4"/>
    <w:rsid w:val="004D7DE8"/>
    <w:rsid w:val="004D7E24"/>
    <w:rsid w:val="004D7E92"/>
    <w:rsid w:val="004E016F"/>
    <w:rsid w:val="004E044E"/>
    <w:rsid w:val="004E0497"/>
    <w:rsid w:val="004E0542"/>
    <w:rsid w:val="004E0549"/>
    <w:rsid w:val="004E0554"/>
    <w:rsid w:val="004E0708"/>
    <w:rsid w:val="004E0A89"/>
    <w:rsid w:val="004E0ADA"/>
    <w:rsid w:val="004E0B7B"/>
    <w:rsid w:val="004E0C69"/>
    <w:rsid w:val="004E0DC5"/>
    <w:rsid w:val="004E1008"/>
    <w:rsid w:val="004E1055"/>
    <w:rsid w:val="004E113E"/>
    <w:rsid w:val="004E122B"/>
    <w:rsid w:val="004E1301"/>
    <w:rsid w:val="004E136F"/>
    <w:rsid w:val="004E1678"/>
    <w:rsid w:val="004E16A0"/>
    <w:rsid w:val="004E176E"/>
    <w:rsid w:val="004E1839"/>
    <w:rsid w:val="004E1882"/>
    <w:rsid w:val="004E18E9"/>
    <w:rsid w:val="004E190D"/>
    <w:rsid w:val="004E1D73"/>
    <w:rsid w:val="004E1E87"/>
    <w:rsid w:val="004E2029"/>
    <w:rsid w:val="004E2071"/>
    <w:rsid w:val="004E2086"/>
    <w:rsid w:val="004E2110"/>
    <w:rsid w:val="004E211B"/>
    <w:rsid w:val="004E2130"/>
    <w:rsid w:val="004E2172"/>
    <w:rsid w:val="004E22C7"/>
    <w:rsid w:val="004E23B5"/>
    <w:rsid w:val="004E24C0"/>
    <w:rsid w:val="004E24D4"/>
    <w:rsid w:val="004E269B"/>
    <w:rsid w:val="004E26F4"/>
    <w:rsid w:val="004E2732"/>
    <w:rsid w:val="004E278E"/>
    <w:rsid w:val="004E27A2"/>
    <w:rsid w:val="004E287E"/>
    <w:rsid w:val="004E2C29"/>
    <w:rsid w:val="004E2C8C"/>
    <w:rsid w:val="004E2D12"/>
    <w:rsid w:val="004E2D32"/>
    <w:rsid w:val="004E2D84"/>
    <w:rsid w:val="004E2E61"/>
    <w:rsid w:val="004E2F51"/>
    <w:rsid w:val="004E3001"/>
    <w:rsid w:val="004E3221"/>
    <w:rsid w:val="004E32C4"/>
    <w:rsid w:val="004E3500"/>
    <w:rsid w:val="004E3521"/>
    <w:rsid w:val="004E35FA"/>
    <w:rsid w:val="004E3681"/>
    <w:rsid w:val="004E369B"/>
    <w:rsid w:val="004E3704"/>
    <w:rsid w:val="004E388E"/>
    <w:rsid w:val="004E38B8"/>
    <w:rsid w:val="004E397A"/>
    <w:rsid w:val="004E3A1A"/>
    <w:rsid w:val="004E3A3E"/>
    <w:rsid w:val="004E3A74"/>
    <w:rsid w:val="004E3B0D"/>
    <w:rsid w:val="004E3BF0"/>
    <w:rsid w:val="004E3F16"/>
    <w:rsid w:val="004E4065"/>
    <w:rsid w:val="004E41AE"/>
    <w:rsid w:val="004E42CC"/>
    <w:rsid w:val="004E42DD"/>
    <w:rsid w:val="004E4321"/>
    <w:rsid w:val="004E4331"/>
    <w:rsid w:val="004E4595"/>
    <w:rsid w:val="004E465C"/>
    <w:rsid w:val="004E4693"/>
    <w:rsid w:val="004E4761"/>
    <w:rsid w:val="004E47FB"/>
    <w:rsid w:val="004E4849"/>
    <w:rsid w:val="004E489B"/>
    <w:rsid w:val="004E4911"/>
    <w:rsid w:val="004E4A25"/>
    <w:rsid w:val="004E4C2E"/>
    <w:rsid w:val="004E4CF3"/>
    <w:rsid w:val="004E4D08"/>
    <w:rsid w:val="004E4D38"/>
    <w:rsid w:val="004E4D49"/>
    <w:rsid w:val="004E4D74"/>
    <w:rsid w:val="004E4D88"/>
    <w:rsid w:val="004E4EE3"/>
    <w:rsid w:val="004E4EF6"/>
    <w:rsid w:val="004E4F2F"/>
    <w:rsid w:val="004E50B2"/>
    <w:rsid w:val="004E50ED"/>
    <w:rsid w:val="004E5116"/>
    <w:rsid w:val="004E5162"/>
    <w:rsid w:val="004E5200"/>
    <w:rsid w:val="004E5250"/>
    <w:rsid w:val="004E5458"/>
    <w:rsid w:val="004E5485"/>
    <w:rsid w:val="004E54E2"/>
    <w:rsid w:val="004E54F2"/>
    <w:rsid w:val="004E54FB"/>
    <w:rsid w:val="004E5652"/>
    <w:rsid w:val="004E566D"/>
    <w:rsid w:val="004E56D6"/>
    <w:rsid w:val="004E5763"/>
    <w:rsid w:val="004E5806"/>
    <w:rsid w:val="004E5888"/>
    <w:rsid w:val="004E5B41"/>
    <w:rsid w:val="004E5BED"/>
    <w:rsid w:val="004E5C06"/>
    <w:rsid w:val="004E5CAD"/>
    <w:rsid w:val="004E5D60"/>
    <w:rsid w:val="004E5EB9"/>
    <w:rsid w:val="004E5FBD"/>
    <w:rsid w:val="004E618A"/>
    <w:rsid w:val="004E6204"/>
    <w:rsid w:val="004E681E"/>
    <w:rsid w:val="004E6852"/>
    <w:rsid w:val="004E6982"/>
    <w:rsid w:val="004E69E2"/>
    <w:rsid w:val="004E69E6"/>
    <w:rsid w:val="004E6A84"/>
    <w:rsid w:val="004E6BE3"/>
    <w:rsid w:val="004E6D46"/>
    <w:rsid w:val="004E6EEE"/>
    <w:rsid w:val="004E6F88"/>
    <w:rsid w:val="004E702B"/>
    <w:rsid w:val="004E718A"/>
    <w:rsid w:val="004E71AF"/>
    <w:rsid w:val="004E7373"/>
    <w:rsid w:val="004E7498"/>
    <w:rsid w:val="004E75AF"/>
    <w:rsid w:val="004E7675"/>
    <w:rsid w:val="004E76AA"/>
    <w:rsid w:val="004E76E8"/>
    <w:rsid w:val="004E770F"/>
    <w:rsid w:val="004E780C"/>
    <w:rsid w:val="004E785C"/>
    <w:rsid w:val="004E7AD4"/>
    <w:rsid w:val="004E7B0F"/>
    <w:rsid w:val="004E7B6F"/>
    <w:rsid w:val="004E7E9D"/>
    <w:rsid w:val="004F0274"/>
    <w:rsid w:val="004F0290"/>
    <w:rsid w:val="004F035F"/>
    <w:rsid w:val="004F08E5"/>
    <w:rsid w:val="004F095A"/>
    <w:rsid w:val="004F0978"/>
    <w:rsid w:val="004F09D4"/>
    <w:rsid w:val="004F0A23"/>
    <w:rsid w:val="004F0AA1"/>
    <w:rsid w:val="004F0AD6"/>
    <w:rsid w:val="004F0C7E"/>
    <w:rsid w:val="004F0CB5"/>
    <w:rsid w:val="004F0CC8"/>
    <w:rsid w:val="004F0CD8"/>
    <w:rsid w:val="004F0E17"/>
    <w:rsid w:val="004F0E82"/>
    <w:rsid w:val="004F0F9D"/>
    <w:rsid w:val="004F1197"/>
    <w:rsid w:val="004F12AF"/>
    <w:rsid w:val="004F12B1"/>
    <w:rsid w:val="004F12C1"/>
    <w:rsid w:val="004F1398"/>
    <w:rsid w:val="004F1458"/>
    <w:rsid w:val="004F15CA"/>
    <w:rsid w:val="004F16A4"/>
    <w:rsid w:val="004F1738"/>
    <w:rsid w:val="004F17C7"/>
    <w:rsid w:val="004F1864"/>
    <w:rsid w:val="004F197C"/>
    <w:rsid w:val="004F1A1D"/>
    <w:rsid w:val="004F1C6F"/>
    <w:rsid w:val="004F1CBC"/>
    <w:rsid w:val="004F1CFB"/>
    <w:rsid w:val="004F1F8F"/>
    <w:rsid w:val="004F1F95"/>
    <w:rsid w:val="004F1FF1"/>
    <w:rsid w:val="004F201D"/>
    <w:rsid w:val="004F2077"/>
    <w:rsid w:val="004F222D"/>
    <w:rsid w:val="004F2345"/>
    <w:rsid w:val="004F256E"/>
    <w:rsid w:val="004F272E"/>
    <w:rsid w:val="004F2859"/>
    <w:rsid w:val="004F294F"/>
    <w:rsid w:val="004F2A22"/>
    <w:rsid w:val="004F2B06"/>
    <w:rsid w:val="004F2B69"/>
    <w:rsid w:val="004F2B6F"/>
    <w:rsid w:val="004F2D59"/>
    <w:rsid w:val="004F2D6E"/>
    <w:rsid w:val="004F2F55"/>
    <w:rsid w:val="004F3055"/>
    <w:rsid w:val="004F307A"/>
    <w:rsid w:val="004F3112"/>
    <w:rsid w:val="004F318B"/>
    <w:rsid w:val="004F3218"/>
    <w:rsid w:val="004F3252"/>
    <w:rsid w:val="004F327B"/>
    <w:rsid w:val="004F3362"/>
    <w:rsid w:val="004F3387"/>
    <w:rsid w:val="004F33A0"/>
    <w:rsid w:val="004F343A"/>
    <w:rsid w:val="004F363E"/>
    <w:rsid w:val="004F37CB"/>
    <w:rsid w:val="004F37DB"/>
    <w:rsid w:val="004F38BF"/>
    <w:rsid w:val="004F3A0C"/>
    <w:rsid w:val="004F3B0F"/>
    <w:rsid w:val="004F42FA"/>
    <w:rsid w:val="004F431E"/>
    <w:rsid w:val="004F4451"/>
    <w:rsid w:val="004F460E"/>
    <w:rsid w:val="004F4627"/>
    <w:rsid w:val="004F46AD"/>
    <w:rsid w:val="004F4720"/>
    <w:rsid w:val="004F48C0"/>
    <w:rsid w:val="004F4974"/>
    <w:rsid w:val="004F4B76"/>
    <w:rsid w:val="004F4C0B"/>
    <w:rsid w:val="004F4C6C"/>
    <w:rsid w:val="004F4C91"/>
    <w:rsid w:val="004F4D61"/>
    <w:rsid w:val="004F4D6F"/>
    <w:rsid w:val="004F4EEF"/>
    <w:rsid w:val="004F50B7"/>
    <w:rsid w:val="004F50EE"/>
    <w:rsid w:val="004F5170"/>
    <w:rsid w:val="004F51E0"/>
    <w:rsid w:val="004F528D"/>
    <w:rsid w:val="004F52FC"/>
    <w:rsid w:val="004F532E"/>
    <w:rsid w:val="004F5357"/>
    <w:rsid w:val="004F536E"/>
    <w:rsid w:val="004F5419"/>
    <w:rsid w:val="004F54B3"/>
    <w:rsid w:val="004F54FD"/>
    <w:rsid w:val="004F559E"/>
    <w:rsid w:val="004F5632"/>
    <w:rsid w:val="004F5665"/>
    <w:rsid w:val="004F567E"/>
    <w:rsid w:val="004F580D"/>
    <w:rsid w:val="004F587B"/>
    <w:rsid w:val="004F594F"/>
    <w:rsid w:val="004F597A"/>
    <w:rsid w:val="004F5A70"/>
    <w:rsid w:val="004F5C2B"/>
    <w:rsid w:val="004F5CB4"/>
    <w:rsid w:val="004F5D42"/>
    <w:rsid w:val="004F5E95"/>
    <w:rsid w:val="004F60AF"/>
    <w:rsid w:val="004F60FD"/>
    <w:rsid w:val="004F62D5"/>
    <w:rsid w:val="004F63FB"/>
    <w:rsid w:val="004F64AB"/>
    <w:rsid w:val="004F656B"/>
    <w:rsid w:val="004F65B7"/>
    <w:rsid w:val="004F66CE"/>
    <w:rsid w:val="004F6762"/>
    <w:rsid w:val="004F6785"/>
    <w:rsid w:val="004F6822"/>
    <w:rsid w:val="004F68D4"/>
    <w:rsid w:val="004F699E"/>
    <w:rsid w:val="004F69E2"/>
    <w:rsid w:val="004F6BCD"/>
    <w:rsid w:val="004F6C76"/>
    <w:rsid w:val="004F6D80"/>
    <w:rsid w:val="004F715B"/>
    <w:rsid w:val="004F71C0"/>
    <w:rsid w:val="004F727C"/>
    <w:rsid w:val="004F7575"/>
    <w:rsid w:val="004F7826"/>
    <w:rsid w:val="004F7AE4"/>
    <w:rsid w:val="004F7CD4"/>
    <w:rsid w:val="004F7D6A"/>
    <w:rsid w:val="004F7DD3"/>
    <w:rsid w:val="004F7FEF"/>
    <w:rsid w:val="005002F2"/>
    <w:rsid w:val="0050039F"/>
    <w:rsid w:val="005003C6"/>
    <w:rsid w:val="005004E1"/>
    <w:rsid w:val="00500502"/>
    <w:rsid w:val="0050076B"/>
    <w:rsid w:val="005007AA"/>
    <w:rsid w:val="005008B2"/>
    <w:rsid w:val="0050094B"/>
    <w:rsid w:val="005009D5"/>
    <w:rsid w:val="005009DB"/>
    <w:rsid w:val="00500A63"/>
    <w:rsid w:val="00500B11"/>
    <w:rsid w:val="00500B33"/>
    <w:rsid w:val="00500B99"/>
    <w:rsid w:val="00500D20"/>
    <w:rsid w:val="00500D56"/>
    <w:rsid w:val="00500D66"/>
    <w:rsid w:val="00500E0B"/>
    <w:rsid w:val="00500E19"/>
    <w:rsid w:val="00500E38"/>
    <w:rsid w:val="00500F2C"/>
    <w:rsid w:val="00501030"/>
    <w:rsid w:val="00501064"/>
    <w:rsid w:val="005010E1"/>
    <w:rsid w:val="005010E3"/>
    <w:rsid w:val="00501255"/>
    <w:rsid w:val="005012D0"/>
    <w:rsid w:val="00501510"/>
    <w:rsid w:val="00501572"/>
    <w:rsid w:val="0050169A"/>
    <w:rsid w:val="005017CC"/>
    <w:rsid w:val="005018D9"/>
    <w:rsid w:val="005018E5"/>
    <w:rsid w:val="005019B8"/>
    <w:rsid w:val="00501A9A"/>
    <w:rsid w:val="00501BF5"/>
    <w:rsid w:val="00501C8B"/>
    <w:rsid w:val="00501DAA"/>
    <w:rsid w:val="00501DCB"/>
    <w:rsid w:val="00501E4E"/>
    <w:rsid w:val="00501E78"/>
    <w:rsid w:val="00501FB4"/>
    <w:rsid w:val="00501FFB"/>
    <w:rsid w:val="0050210A"/>
    <w:rsid w:val="00502272"/>
    <w:rsid w:val="005022A4"/>
    <w:rsid w:val="0050238E"/>
    <w:rsid w:val="005023A1"/>
    <w:rsid w:val="005023EB"/>
    <w:rsid w:val="00502408"/>
    <w:rsid w:val="00502418"/>
    <w:rsid w:val="00502528"/>
    <w:rsid w:val="005026BF"/>
    <w:rsid w:val="00502714"/>
    <w:rsid w:val="00502718"/>
    <w:rsid w:val="005027B0"/>
    <w:rsid w:val="005027CA"/>
    <w:rsid w:val="00502943"/>
    <w:rsid w:val="00502A4D"/>
    <w:rsid w:val="00502B3A"/>
    <w:rsid w:val="00502B8A"/>
    <w:rsid w:val="00502BE4"/>
    <w:rsid w:val="00502CC4"/>
    <w:rsid w:val="00502ECA"/>
    <w:rsid w:val="00502EEB"/>
    <w:rsid w:val="00502F8C"/>
    <w:rsid w:val="00503082"/>
    <w:rsid w:val="0050311C"/>
    <w:rsid w:val="0050326C"/>
    <w:rsid w:val="0050331F"/>
    <w:rsid w:val="005033BA"/>
    <w:rsid w:val="0050348B"/>
    <w:rsid w:val="0050358B"/>
    <w:rsid w:val="005035E3"/>
    <w:rsid w:val="005037A8"/>
    <w:rsid w:val="0050380A"/>
    <w:rsid w:val="00503893"/>
    <w:rsid w:val="00503921"/>
    <w:rsid w:val="00503A26"/>
    <w:rsid w:val="00503B7E"/>
    <w:rsid w:val="00503C1C"/>
    <w:rsid w:val="00503C33"/>
    <w:rsid w:val="00503CDE"/>
    <w:rsid w:val="00503D28"/>
    <w:rsid w:val="00504142"/>
    <w:rsid w:val="0050418A"/>
    <w:rsid w:val="005042D5"/>
    <w:rsid w:val="005043C1"/>
    <w:rsid w:val="005043F3"/>
    <w:rsid w:val="00504792"/>
    <w:rsid w:val="0050495E"/>
    <w:rsid w:val="00504986"/>
    <w:rsid w:val="00504A20"/>
    <w:rsid w:val="00504B2C"/>
    <w:rsid w:val="00504BDE"/>
    <w:rsid w:val="00504BF4"/>
    <w:rsid w:val="00505213"/>
    <w:rsid w:val="00505353"/>
    <w:rsid w:val="00505358"/>
    <w:rsid w:val="00505362"/>
    <w:rsid w:val="005053EB"/>
    <w:rsid w:val="00505598"/>
    <w:rsid w:val="005055D8"/>
    <w:rsid w:val="005055DD"/>
    <w:rsid w:val="00505A68"/>
    <w:rsid w:val="00505BDC"/>
    <w:rsid w:val="00505BF3"/>
    <w:rsid w:val="00505C70"/>
    <w:rsid w:val="00505D29"/>
    <w:rsid w:val="00505DCE"/>
    <w:rsid w:val="00505F36"/>
    <w:rsid w:val="00506018"/>
    <w:rsid w:val="00506053"/>
    <w:rsid w:val="00506109"/>
    <w:rsid w:val="00506115"/>
    <w:rsid w:val="0050613D"/>
    <w:rsid w:val="005063A0"/>
    <w:rsid w:val="005063FD"/>
    <w:rsid w:val="00506404"/>
    <w:rsid w:val="00506596"/>
    <w:rsid w:val="005065BD"/>
    <w:rsid w:val="00506751"/>
    <w:rsid w:val="00506758"/>
    <w:rsid w:val="0050692A"/>
    <w:rsid w:val="005069C9"/>
    <w:rsid w:val="00506A07"/>
    <w:rsid w:val="00506A8E"/>
    <w:rsid w:val="00506D12"/>
    <w:rsid w:val="00506D4C"/>
    <w:rsid w:val="00506D9B"/>
    <w:rsid w:val="00506F7B"/>
    <w:rsid w:val="00507045"/>
    <w:rsid w:val="0050723C"/>
    <w:rsid w:val="0050729C"/>
    <w:rsid w:val="005075B7"/>
    <w:rsid w:val="0050772F"/>
    <w:rsid w:val="005078B0"/>
    <w:rsid w:val="005078B5"/>
    <w:rsid w:val="005078C0"/>
    <w:rsid w:val="00507A24"/>
    <w:rsid w:val="00507A50"/>
    <w:rsid w:val="00507D5F"/>
    <w:rsid w:val="00507D6A"/>
    <w:rsid w:val="00507ECB"/>
    <w:rsid w:val="00507F9D"/>
    <w:rsid w:val="00507FE4"/>
    <w:rsid w:val="00510327"/>
    <w:rsid w:val="005104DF"/>
    <w:rsid w:val="00510646"/>
    <w:rsid w:val="0051071B"/>
    <w:rsid w:val="00510754"/>
    <w:rsid w:val="005107D5"/>
    <w:rsid w:val="005108B4"/>
    <w:rsid w:val="005108BD"/>
    <w:rsid w:val="005108D5"/>
    <w:rsid w:val="005109CF"/>
    <w:rsid w:val="00510DB1"/>
    <w:rsid w:val="00510F20"/>
    <w:rsid w:val="00510FE2"/>
    <w:rsid w:val="00511054"/>
    <w:rsid w:val="005110AF"/>
    <w:rsid w:val="005110B4"/>
    <w:rsid w:val="00511132"/>
    <w:rsid w:val="00511150"/>
    <w:rsid w:val="00511188"/>
    <w:rsid w:val="005111C0"/>
    <w:rsid w:val="005111CB"/>
    <w:rsid w:val="0051124C"/>
    <w:rsid w:val="00511283"/>
    <w:rsid w:val="0051128B"/>
    <w:rsid w:val="0051139A"/>
    <w:rsid w:val="00511426"/>
    <w:rsid w:val="00511750"/>
    <w:rsid w:val="0051194B"/>
    <w:rsid w:val="005119B0"/>
    <w:rsid w:val="005119FD"/>
    <w:rsid w:val="00511A49"/>
    <w:rsid w:val="00511B64"/>
    <w:rsid w:val="00511F96"/>
    <w:rsid w:val="0051210E"/>
    <w:rsid w:val="0051220E"/>
    <w:rsid w:val="00512348"/>
    <w:rsid w:val="0051240F"/>
    <w:rsid w:val="005124EA"/>
    <w:rsid w:val="0051289C"/>
    <w:rsid w:val="005128A8"/>
    <w:rsid w:val="0051290B"/>
    <w:rsid w:val="00512954"/>
    <w:rsid w:val="00512BEC"/>
    <w:rsid w:val="00512CD6"/>
    <w:rsid w:val="00512D89"/>
    <w:rsid w:val="00512DB0"/>
    <w:rsid w:val="00512E0D"/>
    <w:rsid w:val="00512EA1"/>
    <w:rsid w:val="00512EDF"/>
    <w:rsid w:val="00512F3B"/>
    <w:rsid w:val="00512FC2"/>
    <w:rsid w:val="00513038"/>
    <w:rsid w:val="0051313E"/>
    <w:rsid w:val="00513147"/>
    <w:rsid w:val="0051336A"/>
    <w:rsid w:val="00513416"/>
    <w:rsid w:val="0051350A"/>
    <w:rsid w:val="005135F0"/>
    <w:rsid w:val="005136AF"/>
    <w:rsid w:val="0051371A"/>
    <w:rsid w:val="0051383D"/>
    <w:rsid w:val="00513883"/>
    <w:rsid w:val="00513B80"/>
    <w:rsid w:val="00513D4F"/>
    <w:rsid w:val="00513DA2"/>
    <w:rsid w:val="00513F0D"/>
    <w:rsid w:val="005140F7"/>
    <w:rsid w:val="00514134"/>
    <w:rsid w:val="005143A1"/>
    <w:rsid w:val="0051454D"/>
    <w:rsid w:val="005145CE"/>
    <w:rsid w:val="005146B2"/>
    <w:rsid w:val="005146DC"/>
    <w:rsid w:val="005148A6"/>
    <w:rsid w:val="005148C4"/>
    <w:rsid w:val="00514A43"/>
    <w:rsid w:val="00514AAB"/>
    <w:rsid w:val="00514ADF"/>
    <w:rsid w:val="00514AED"/>
    <w:rsid w:val="00514B0C"/>
    <w:rsid w:val="00514BCE"/>
    <w:rsid w:val="00514BEE"/>
    <w:rsid w:val="00514BFE"/>
    <w:rsid w:val="00514CCA"/>
    <w:rsid w:val="00514D4C"/>
    <w:rsid w:val="00514FE1"/>
    <w:rsid w:val="0051501E"/>
    <w:rsid w:val="005150DE"/>
    <w:rsid w:val="00515243"/>
    <w:rsid w:val="00515286"/>
    <w:rsid w:val="00515462"/>
    <w:rsid w:val="00515494"/>
    <w:rsid w:val="005154B9"/>
    <w:rsid w:val="005155CE"/>
    <w:rsid w:val="005157C5"/>
    <w:rsid w:val="005157CF"/>
    <w:rsid w:val="0051583F"/>
    <w:rsid w:val="00515909"/>
    <w:rsid w:val="00515A8A"/>
    <w:rsid w:val="00515B39"/>
    <w:rsid w:val="00515BF8"/>
    <w:rsid w:val="00515CFE"/>
    <w:rsid w:val="00515DC1"/>
    <w:rsid w:val="00515DF6"/>
    <w:rsid w:val="00515E19"/>
    <w:rsid w:val="00515E26"/>
    <w:rsid w:val="00515F39"/>
    <w:rsid w:val="00515FAE"/>
    <w:rsid w:val="005160DB"/>
    <w:rsid w:val="00516140"/>
    <w:rsid w:val="00516206"/>
    <w:rsid w:val="005162CF"/>
    <w:rsid w:val="00516348"/>
    <w:rsid w:val="0051635D"/>
    <w:rsid w:val="005163AE"/>
    <w:rsid w:val="00516586"/>
    <w:rsid w:val="00516698"/>
    <w:rsid w:val="00516976"/>
    <w:rsid w:val="00516ABB"/>
    <w:rsid w:val="00516C3C"/>
    <w:rsid w:val="00516C9D"/>
    <w:rsid w:val="00516D69"/>
    <w:rsid w:val="00516DC4"/>
    <w:rsid w:val="00516E3B"/>
    <w:rsid w:val="00516E52"/>
    <w:rsid w:val="00516E92"/>
    <w:rsid w:val="00517014"/>
    <w:rsid w:val="005171D8"/>
    <w:rsid w:val="00517223"/>
    <w:rsid w:val="005172BA"/>
    <w:rsid w:val="005172F9"/>
    <w:rsid w:val="0051739F"/>
    <w:rsid w:val="005174BD"/>
    <w:rsid w:val="0051759C"/>
    <w:rsid w:val="005175FA"/>
    <w:rsid w:val="00517678"/>
    <w:rsid w:val="005177D4"/>
    <w:rsid w:val="00517894"/>
    <w:rsid w:val="005178CB"/>
    <w:rsid w:val="00517934"/>
    <w:rsid w:val="0051796F"/>
    <w:rsid w:val="005179DD"/>
    <w:rsid w:val="00517ACC"/>
    <w:rsid w:val="00517AFC"/>
    <w:rsid w:val="00517C4B"/>
    <w:rsid w:val="00517C70"/>
    <w:rsid w:val="00517DCF"/>
    <w:rsid w:val="00517E09"/>
    <w:rsid w:val="00517E54"/>
    <w:rsid w:val="00517E6E"/>
    <w:rsid w:val="00517F4A"/>
    <w:rsid w:val="00517F68"/>
    <w:rsid w:val="00517F77"/>
    <w:rsid w:val="00517FC4"/>
    <w:rsid w:val="0052002C"/>
    <w:rsid w:val="0052005D"/>
    <w:rsid w:val="0052005F"/>
    <w:rsid w:val="0052006B"/>
    <w:rsid w:val="005200E3"/>
    <w:rsid w:val="005201F5"/>
    <w:rsid w:val="00520299"/>
    <w:rsid w:val="005202DD"/>
    <w:rsid w:val="00520365"/>
    <w:rsid w:val="00520501"/>
    <w:rsid w:val="005205BA"/>
    <w:rsid w:val="005205E9"/>
    <w:rsid w:val="0052086F"/>
    <w:rsid w:val="005209FB"/>
    <w:rsid w:val="00520A7B"/>
    <w:rsid w:val="00520C62"/>
    <w:rsid w:val="00520C6E"/>
    <w:rsid w:val="00520CDA"/>
    <w:rsid w:val="00520D66"/>
    <w:rsid w:val="00520F21"/>
    <w:rsid w:val="00520F36"/>
    <w:rsid w:val="00521113"/>
    <w:rsid w:val="00521180"/>
    <w:rsid w:val="005211E7"/>
    <w:rsid w:val="005212B2"/>
    <w:rsid w:val="0052142B"/>
    <w:rsid w:val="00521540"/>
    <w:rsid w:val="005215A4"/>
    <w:rsid w:val="00521771"/>
    <w:rsid w:val="00521A4B"/>
    <w:rsid w:val="00521B70"/>
    <w:rsid w:val="00521BB8"/>
    <w:rsid w:val="00521BEF"/>
    <w:rsid w:val="00521C74"/>
    <w:rsid w:val="00521D91"/>
    <w:rsid w:val="00521DCA"/>
    <w:rsid w:val="00521DCD"/>
    <w:rsid w:val="00521E60"/>
    <w:rsid w:val="00521E6E"/>
    <w:rsid w:val="00521FCD"/>
    <w:rsid w:val="00522180"/>
    <w:rsid w:val="005221CA"/>
    <w:rsid w:val="00522239"/>
    <w:rsid w:val="0052228D"/>
    <w:rsid w:val="00522295"/>
    <w:rsid w:val="00522454"/>
    <w:rsid w:val="00522477"/>
    <w:rsid w:val="005226EE"/>
    <w:rsid w:val="00522705"/>
    <w:rsid w:val="0052271D"/>
    <w:rsid w:val="00522817"/>
    <w:rsid w:val="005229BA"/>
    <w:rsid w:val="00522AF6"/>
    <w:rsid w:val="00522B8D"/>
    <w:rsid w:val="00522BEF"/>
    <w:rsid w:val="00522CE6"/>
    <w:rsid w:val="00522D00"/>
    <w:rsid w:val="00522DE0"/>
    <w:rsid w:val="00522E98"/>
    <w:rsid w:val="00522EBF"/>
    <w:rsid w:val="00522FBD"/>
    <w:rsid w:val="0052305C"/>
    <w:rsid w:val="005232AA"/>
    <w:rsid w:val="00523427"/>
    <w:rsid w:val="0052354B"/>
    <w:rsid w:val="0052356D"/>
    <w:rsid w:val="0052365F"/>
    <w:rsid w:val="0052372E"/>
    <w:rsid w:val="00523947"/>
    <w:rsid w:val="00523956"/>
    <w:rsid w:val="00523984"/>
    <w:rsid w:val="00523A41"/>
    <w:rsid w:val="00523ADB"/>
    <w:rsid w:val="00523B01"/>
    <w:rsid w:val="00523B55"/>
    <w:rsid w:val="00523B7D"/>
    <w:rsid w:val="00523B80"/>
    <w:rsid w:val="00523B99"/>
    <w:rsid w:val="00523BAF"/>
    <w:rsid w:val="00523C9F"/>
    <w:rsid w:val="00523D80"/>
    <w:rsid w:val="00523DB8"/>
    <w:rsid w:val="00523DD2"/>
    <w:rsid w:val="00523E67"/>
    <w:rsid w:val="00523FFA"/>
    <w:rsid w:val="0052402D"/>
    <w:rsid w:val="00524089"/>
    <w:rsid w:val="00524169"/>
    <w:rsid w:val="0052422F"/>
    <w:rsid w:val="005242A4"/>
    <w:rsid w:val="005243BA"/>
    <w:rsid w:val="005244CB"/>
    <w:rsid w:val="00524680"/>
    <w:rsid w:val="0052482E"/>
    <w:rsid w:val="00524893"/>
    <w:rsid w:val="005248D3"/>
    <w:rsid w:val="0052491E"/>
    <w:rsid w:val="00524A22"/>
    <w:rsid w:val="00524AD4"/>
    <w:rsid w:val="00524AF6"/>
    <w:rsid w:val="00524C8E"/>
    <w:rsid w:val="00524DC0"/>
    <w:rsid w:val="00524DC9"/>
    <w:rsid w:val="00524E0B"/>
    <w:rsid w:val="00524E24"/>
    <w:rsid w:val="00525158"/>
    <w:rsid w:val="005251E1"/>
    <w:rsid w:val="005252CD"/>
    <w:rsid w:val="00525395"/>
    <w:rsid w:val="005253D5"/>
    <w:rsid w:val="005253E1"/>
    <w:rsid w:val="00525404"/>
    <w:rsid w:val="00525528"/>
    <w:rsid w:val="005255D3"/>
    <w:rsid w:val="00525931"/>
    <w:rsid w:val="00525973"/>
    <w:rsid w:val="00525AA0"/>
    <w:rsid w:val="00525AA6"/>
    <w:rsid w:val="00525AAB"/>
    <w:rsid w:val="00525B60"/>
    <w:rsid w:val="00525BBE"/>
    <w:rsid w:val="00525D41"/>
    <w:rsid w:val="00525D5F"/>
    <w:rsid w:val="00525D81"/>
    <w:rsid w:val="00525E47"/>
    <w:rsid w:val="00525E56"/>
    <w:rsid w:val="00525E86"/>
    <w:rsid w:val="00525E9E"/>
    <w:rsid w:val="00525F1B"/>
    <w:rsid w:val="00525FAF"/>
    <w:rsid w:val="00526103"/>
    <w:rsid w:val="00526223"/>
    <w:rsid w:val="00526318"/>
    <w:rsid w:val="005264AA"/>
    <w:rsid w:val="005264F4"/>
    <w:rsid w:val="0052653C"/>
    <w:rsid w:val="0052673F"/>
    <w:rsid w:val="0052676E"/>
    <w:rsid w:val="00526794"/>
    <w:rsid w:val="005268C8"/>
    <w:rsid w:val="00526975"/>
    <w:rsid w:val="00526B51"/>
    <w:rsid w:val="00526CAD"/>
    <w:rsid w:val="00526D24"/>
    <w:rsid w:val="00526DBE"/>
    <w:rsid w:val="00526DC7"/>
    <w:rsid w:val="0052722B"/>
    <w:rsid w:val="005272AA"/>
    <w:rsid w:val="0052753F"/>
    <w:rsid w:val="0052756C"/>
    <w:rsid w:val="005275B2"/>
    <w:rsid w:val="0052761F"/>
    <w:rsid w:val="005276FD"/>
    <w:rsid w:val="00527745"/>
    <w:rsid w:val="005278F1"/>
    <w:rsid w:val="0052793C"/>
    <w:rsid w:val="00527943"/>
    <w:rsid w:val="0052795A"/>
    <w:rsid w:val="00527963"/>
    <w:rsid w:val="0052799B"/>
    <w:rsid w:val="00527AD9"/>
    <w:rsid w:val="00527DF0"/>
    <w:rsid w:val="00527E1A"/>
    <w:rsid w:val="00527E39"/>
    <w:rsid w:val="00527E3F"/>
    <w:rsid w:val="00527E52"/>
    <w:rsid w:val="00527FFD"/>
    <w:rsid w:val="00530025"/>
    <w:rsid w:val="00530182"/>
    <w:rsid w:val="00530243"/>
    <w:rsid w:val="0053024A"/>
    <w:rsid w:val="0053032D"/>
    <w:rsid w:val="00530710"/>
    <w:rsid w:val="0053071C"/>
    <w:rsid w:val="00530751"/>
    <w:rsid w:val="005307E4"/>
    <w:rsid w:val="005309D7"/>
    <w:rsid w:val="00530B15"/>
    <w:rsid w:val="00530BA5"/>
    <w:rsid w:val="00530BC3"/>
    <w:rsid w:val="00530E20"/>
    <w:rsid w:val="005311A9"/>
    <w:rsid w:val="0053126D"/>
    <w:rsid w:val="00531272"/>
    <w:rsid w:val="00531376"/>
    <w:rsid w:val="00531552"/>
    <w:rsid w:val="00531605"/>
    <w:rsid w:val="00531651"/>
    <w:rsid w:val="0053165A"/>
    <w:rsid w:val="00531786"/>
    <w:rsid w:val="005317C2"/>
    <w:rsid w:val="0053180B"/>
    <w:rsid w:val="00531846"/>
    <w:rsid w:val="0053190D"/>
    <w:rsid w:val="00531A33"/>
    <w:rsid w:val="00531B4F"/>
    <w:rsid w:val="00531B69"/>
    <w:rsid w:val="00531C04"/>
    <w:rsid w:val="00531C75"/>
    <w:rsid w:val="00531CDE"/>
    <w:rsid w:val="00531CE4"/>
    <w:rsid w:val="00531E25"/>
    <w:rsid w:val="00531E3D"/>
    <w:rsid w:val="00531E57"/>
    <w:rsid w:val="00531E6E"/>
    <w:rsid w:val="00531FAF"/>
    <w:rsid w:val="005321EE"/>
    <w:rsid w:val="0053236B"/>
    <w:rsid w:val="005323AA"/>
    <w:rsid w:val="005323B5"/>
    <w:rsid w:val="0053242E"/>
    <w:rsid w:val="0053247F"/>
    <w:rsid w:val="00532581"/>
    <w:rsid w:val="00532584"/>
    <w:rsid w:val="00532676"/>
    <w:rsid w:val="005326D4"/>
    <w:rsid w:val="0053278D"/>
    <w:rsid w:val="00532848"/>
    <w:rsid w:val="0053294C"/>
    <w:rsid w:val="005329F2"/>
    <w:rsid w:val="00532A60"/>
    <w:rsid w:val="00532AC1"/>
    <w:rsid w:val="00532B26"/>
    <w:rsid w:val="00532B69"/>
    <w:rsid w:val="00532B94"/>
    <w:rsid w:val="00532E90"/>
    <w:rsid w:val="00532EBB"/>
    <w:rsid w:val="00532F40"/>
    <w:rsid w:val="00532FEB"/>
    <w:rsid w:val="005330BD"/>
    <w:rsid w:val="0053325E"/>
    <w:rsid w:val="00533269"/>
    <w:rsid w:val="00533333"/>
    <w:rsid w:val="00533340"/>
    <w:rsid w:val="0053334E"/>
    <w:rsid w:val="005333F7"/>
    <w:rsid w:val="00533401"/>
    <w:rsid w:val="005334BE"/>
    <w:rsid w:val="00533761"/>
    <w:rsid w:val="0053377B"/>
    <w:rsid w:val="005338CB"/>
    <w:rsid w:val="005338EE"/>
    <w:rsid w:val="00533990"/>
    <w:rsid w:val="005339C7"/>
    <w:rsid w:val="00533D61"/>
    <w:rsid w:val="00533DF1"/>
    <w:rsid w:val="00533E1C"/>
    <w:rsid w:val="00533ED8"/>
    <w:rsid w:val="00533FEE"/>
    <w:rsid w:val="00534093"/>
    <w:rsid w:val="005340E9"/>
    <w:rsid w:val="00534168"/>
    <w:rsid w:val="005342DC"/>
    <w:rsid w:val="005343A9"/>
    <w:rsid w:val="00534436"/>
    <w:rsid w:val="00534453"/>
    <w:rsid w:val="0053445D"/>
    <w:rsid w:val="005344C7"/>
    <w:rsid w:val="00534515"/>
    <w:rsid w:val="00534656"/>
    <w:rsid w:val="00534681"/>
    <w:rsid w:val="005346B4"/>
    <w:rsid w:val="005347BD"/>
    <w:rsid w:val="005349C7"/>
    <w:rsid w:val="005349FE"/>
    <w:rsid w:val="00534B24"/>
    <w:rsid w:val="00534C2C"/>
    <w:rsid w:val="00534DCA"/>
    <w:rsid w:val="00534DCB"/>
    <w:rsid w:val="00534E8D"/>
    <w:rsid w:val="00534E91"/>
    <w:rsid w:val="00534FB2"/>
    <w:rsid w:val="00534FFC"/>
    <w:rsid w:val="005350A7"/>
    <w:rsid w:val="005350A8"/>
    <w:rsid w:val="005350F0"/>
    <w:rsid w:val="00535130"/>
    <w:rsid w:val="005351D6"/>
    <w:rsid w:val="00535376"/>
    <w:rsid w:val="00535476"/>
    <w:rsid w:val="0053580C"/>
    <w:rsid w:val="00535889"/>
    <w:rsid w:val="00535918"/>
    <w:rsid w:val="005359CE"/>
    <w:rsid w:val="005359E6"/>
    <w:rsid w:val="00535B61"/>
    <w:rsid w:val="00535EDD"/>
    <w:rsid w:val="00535EF7"/>
    <w:rsid w:val="00535F03"/>
    <w:rsid w:val="00535F9E"/>
    <w:rsid w:val="00535FBD"/>
    <w:rsid w:val="0053627C"/>
    <w:rsid w:val="00536444"/>
    <w:rsid w:val="0053658F"/>
    <w:rsid w:val="005365D0"/>
    <w:rsid w:val="00536669"/>
    <w:rsid w:val="0053677E"/>
    <w:rsid w:val="005367B5"/>
    <w:rsid w:val="00536913"/>
    <w:rsid w:val="00536922"/>
    <w:rsid w:val="00536A68"/>
    <w:rsid w:val="00536B1B"/>
    <w:rsid w:val="00536B49"/>
    <w:rsid w:val="00536B5B"/>
    <w:rsid w:val="00536B65"/>
    <w:rsid w:val="00536C16"/>
    <w:rsid w:val="00536F42"/>
    <w:rsid w:val="00536FFE"/>
    <w:rsid w:val="00537038"/>
    <w:rsid w:val="00537118"/>
    <w:rsid w:val="00537142"/>
    <w:rsid w:val="00537235"/>
    <w:rsid w:val="00537242"/>
    <w:rsid w:val="00537294"/>
    <w:rsid w:val="00537304"/>
    <w:rsid w:val="005373B3"/>
    <w:rsid w:val="005373B9"/>
    <w:rsid w:val="00537408"/>
    <w:rsid w:val="00537481"/>
    <w:rsid w:val="00537503"/>
    <w:rsid w:val="005375CA"/>
    <w:rsid w:val="005375ED"/>
    <w:rsid w:val="005376DA"/>
    <w:rsid w:val="00537706"/>
    <w:rsid w:val="0053773F"/>
    <w:rsid w:val="0053783F"/>
    <w:rsid w:val="005378A7"/>
    <w:rsid w:val="005378BA"/>
    <w:rsid w:val="005378D2"/>
    <w:rsid w:val="0053792E"/>
    <w:rsid w:val="00537A62"/>
    <w:rsid w:val="00537C33"/>
    <w:rsid w:val="00537C8F"/>
    <w:rsid w:val="00537CCF"/>
    <w:rsid w:val="00537E7A"/>
    <w:rsid w:val="00537F03"/>
    <w:rsid w:val="00537F92"/>
    <w:rsid w:val="00537FC9"/>
    <w:rsid w:val="00540009"/>
    <w:rsid w:val="0054017F"/>
    <w:rsid w:val="005402B8"/>
    <w:rsid w:val="00540328"/>
    <w:rsid w:val="005403DC"/>
    <w:rsid w:val="0054046F"/>
    <w:rsid w:val="00540726"/>
    <w:rsid w:val="00540910"/>
    <w:rsid w:val="00540A0E"/>
    <w:rsid w:val="00540BEB"/>
    <w:rsid w:val="00540C4B"/>
    <w:rsid w:val="00540D83"/>
    <w:rsid w:val="00540E01"/>
    <w:rsid w:val="00540E4D"/>
    <w:rsid w:val="00540E8F"/>
    <w:rsid w:val="00540EEF"/>
    <w:rsid w:val="005412C9"/>
    <w:rsid w:val="0054133B"/>
    <w:rsid w:val="00541385"/>
    <w:rsid w:val="005413F7"/>
    <w:rsid w:val="005414D2"/>
    <w:rsid w:val="005414F3"/>
    <w:rsid w:val="0054155E"/>
    <w:rsid w:val="00541571"/>
    <w:rsid w:val="005415C9"/>
    <w:rsid w:val="005416C9"/>
    <w:rsid w:val="0054177D"/>
    <w:rsid w:val="00541890"/>
    <w:rsid w:val="00541A71"/>
    <w:rsid w:val="00541B67"/>
    <w:rsid w:val="00541BA1"/>
    <w:rsid w:val="00541BBC"/>
    <w:rsid w:val="00541CED"/>
    <w:rsid w:val="00541D46"/>
    <w:rsid w:val="00541DA9"/>
    <w:rsid w:val="00541F30"/>
    <w:rsid w:val="00541FDF"/>
    <w:rsid w:val="00542022"/>
    <w:rsid w:val="005420BD"/>
    <w:rsid w:val="00542266"/>
    <w:rsid w:val="0054228B"/>
    <w:rsid w:val="005423B3"/>
    <w:rsid w:val="0054245F"/>
    <w:rsid w:val="0054253E"/>
    <w:rsid w:val="005426D1"/>
    <w:rsid w:val="00542770"/>
    <w:rsid w:val="005427A1"/>
    <w:rsid w:val="005427B4"/>
    <w:rsid w:val="0054280F"/>
    <w:rsid w:val="005428A6"/>
    <w:rsid w:val="005429FF"/>
    <w:rsid w:val="00542A35"/>
    <w:rsid w:val="00542BA1"/>
    <w:rsid w:val="00542CD2"/>
    <w:rsid w:val="00542D9D"/>
    <w:rsid w:val="00542DFE"/>
    <w:rsid w:val="00542E48"/>
    <w:rsid w:val="00542E5A"/>
    <w:rsid w:val="00542E94"/>
    <w:rsid w:val="00542EF8"/>
    <w:rsid w:val="00542F86"/>
    <w:rsid w:val="005430BE"/>
    <w:rsid w:val="00543132"/>
    <w:rsid w:val="00543170"/>
    <w:rsid w:val="005431C3"/>
    <w:rsid w:val="0054328E"/>
    <w:rsid w:val="0054332F"/>
    <w:rsid w:val="0054337C"/>
    <w:rsid w:val="00543441"/>
    <w:rsid w:val="0054345A"/>
    <w:rsid w:val="0054347A"/>
    <w:rsid w:val="0054382F"/>
    <w:rsid w:val="0054397D"/>
    <w:rsid w:val="00543A41"/>
    <w:rsid w:val="00543B6F"/>
    <w:rsid w:val="00543C64"/>
    <w:rsid w:val="00543EE4"/>
    <w:rsid w:val="00543F0F"/>
    <w:rsid w:val="00543FE7"/>
    <w:rsid w:val="00544034"/>
    <w:rsid w:val="0054413A"/>
    <w:rsid w:val="00544282"/>
    <w:rsid w:val="0054456A"/>
    <w:rsid w:val="005445F5"/>
    <w:rsid w:val="005446D5"/>
    <w:rsid w:val="0054473E"/>
    <w:rsid w:val="005447A1"/>
    <w:rsid w:val="0054480B"/>
    <w:rsid w:val="00544A7D"/>
    <w:rsid w:val="00544AE7"/>
    <w:rsid w:val="00544BE8"/>
    <w:rsid w:val="00544C7C"/>
    <w:rsid w:val="00544E13"/>
    <w:rsid w:val="00544E77"/>
    <w:rsid w:val="00545036"/>
    <w:rsid w:val="005450F3"/>
    <w:rsid w:val="0054515A"/>
    <w:rsid w:val="0054517D"/>
    <w:rsid w:val="0054518F"/>
    <w:rsid w:val="0054526A"/>
    <w:rsid w:val="005452E9"/>
    <w:rsid w:val="00545390"/>
    <w:rsid w:val="00545394"/>
    <w:rsid w:val="00545567"/>
    <w:rsid w:val="0054556D"/>
    <w:rsid w:val="0054579D"/>
    <w:rsid w:val="00545998"/>
    <w:rsid w:val="005459D9"/>
    <w:rsid w:val="00545AB0"/>
    <w:rsid w:val="00545AC2"/>
    <w:rsid w:val="00545AD9"/>
    <w:rsid w:val="00545B72"/>
    <w:rsid w:val="00545BE7"/>
    <w:rsid w:val="00545C5B"/>
    <w:rsid w:val="00545C8A"/>
    <w:rsid w:val="00545D7D"/>
    <w:rsid w:val="00546021"/>
    <w:rsid w:val="00546036"/>
    <w:rsid w:val="005460B3"/>
    <w:rsid w:val="005460CA"/>
    <w:rsid w:val="005460E1"/>
    <w:rsid w:val="0054610A"/>
    <w:rsid w:val="0054615C"/>
    <w:rsid w:val="00546258"/>
    <w:rsid w:val="005462EF"/>
    <w:rsid w:val="005462F8"/>
    <w:rsid w:val="0054636B"/>
    <w:rsid w:val="00546478"/>
    <w:rsid w:val="005467DE"/>
    <w:rsid w:val="00546825"/>
    <w:rsid w:val="0054692F"/>
    <w:rsid w:val="00546930"/>
    <w:rsid w:val="0054696A"/>
    <w:rsid w:val="005469F4"/>
    <w:rsid w:val="00546E8A"/>
    <w:rsid w:val="005470DF"/>
    <w:rsid w:val="0054734B"/>
    <w:rsid w:val="005474DA"/>
    <w:rsid w:val="00547551"/>
    <w:rsid w:val="00547640"/>
    <w:rsid w:val="005476B0"/>
    <w:rsid w:val="00547718"/>
    <w:rsid w:val="00547728"/>
    <w:rsid w:val="00547765"/>
    <w:rsid w:val="00547833"/>
    <w:rsid w:val="0054793A"/>
    <w:rsid w:val="00547A77"/>
    <w:rsid w:val="00547BE5"/>
    <w:rsid w:val="00547D20"/>
    <w:rsid w:val="00547DE1"/>
    <w:rsid w:val="00547E1C"/>
    <w:rsid w:val="00547F86"/>
    <w:rsid w:val="00547FE1"/>
    <w:rsid w:val="00550061"/>
    <w:rsid w:val="00550218"/>
    <w:rsid w:val="0055026E"/>
    <w:rsid w:val="005502B2"/>
    <w:rsid w:val="005503DF"/>
    <w:rsid w:val="00550518"/>
    <w:rsid w:val="00550588"/>
    <w:rsid w:val="005505D3"/>
    <w:rsid w:val="005506C6"/>
    <w:rsid w:val="005506CF"/>
    <w:rsid w:val="005506EE"/>
    <w:rsid w:val="005507CC"/>
    <w:rsid w:val="005507DB"/>
    <w:rsid w:val="0055088A"/>
    <w:rsid w:val="0055088B"/>
    <w:rsid w:val="0055098F"/>
    <w:rsid w:val="00550A04"/>
    <w:rsid w:val="00550A37"/>
    <w:rsid w:val="00550A6A"/>
    <w:rsid w:val="00550ACC"/>
    <w:rsid w:val="00550E95"/>
    <w:rsid w:val="00550F24"/>
    <w:rsid w:val="0055124E"/>
    <w:rsid w:val="00551264"/>
    <w:rsid w:val="0055131E"/>
    <w:rsid w:val="00551410"/>
    <w:rsid w:val="00551437"/>
    <w:rsid w:val="005514CE"/>
    <w:rsid w:val="00551635"/>
    <w:rsid w:val="00551639"/>
    <w:rsid w:val="0055165B"/>
    <w:rsid w:val="00551673"/>
    <w:rsid w:val="0055174F"/>
    <w:rsid w:val="005518F7"/>
    <w:rsid w:val="00551B61"/>
    <w:rsid w:val="00551C96"/>
    <w:rsid w:val="00551D0F"/>
    <w:rsid w:val="00551F31"/>
    <w:rsid w:val="00552233"/>
    <w:rsid w:val="00552665"/>
    <w:rsid w:val="005527AB"/>
    <w:rsid w:val="00552816"/>
    <w:rsid w:val="005528E7"/>
    <w:rsid w:val="005528F3"/>
    <w:rsid w:val="00552A3F"/>
    <w:rsid w:val="00552A93"/>
    <w:rsid w:val="00552B44"/>
    <w:rsid w:val="00552C81"/>
    <w:rsid w:val="00552DFB"/>
    <w:rsid w:val="00552DFE"/>
    <w:rsid w:val="00552F58"/>
    <w:rsid w:val="00552F6D"/>
    <w:rsid w:val="005530C0"/>
    <w:rsid w:val="0055316C"/>
    <w:rsid w:val="0055325E"/>
    <w:rsid w:val="005532B1"/>
    <w:rsid w:val="00553580"/>
    <w:rsid w:val="005535D5"/>
    <w:rsid w:val="005536AA"/>
    <w:rsid w:val="005536BB"/>
    <w:rsid w:val="0055394D"/>
    <w:rsid w:val="0055395C"/>
    <w:rsid w:val="00553961"/>
    <w:rsid w:val="0055397F"/>
    <w:rsid w:val="00553A04"/>
    <w:rsid w:val="00553A0C"/>
    <w:rsid w:val="00553E17"/>
    <w:rsid w:val="00553E21"/>
    <w:rsid w:val="00553E37"/>
    <w:rsid w:val="00553E48"/>
    <w:rsid w:val="00554073"/>
    <w:rsid w:val="005540FF"/>
    <w:rsid w:val="0055411D"/>
    <w:rsid w:val="005541AF"/>
    <w:rsid w:val="0055429F"/>
    <w:rsid w:val="0055459D"/>
    <w:rsid w:val="005547B6"/>
    <w:rsid w:val="005549C4"/>
    <w:rsid w:val="00554B5D"/>
    <w:rsid w:val="00554C68"/>
    <w:rsid w:val="00554C83"/>
    <w:rsid w:val="00554D5F"/>
    <w:rsid w:val="00554E78"/>
    <w:rsid w:val="00554F34"/>
    <w:rsid w:val="00554F7E"/>
    <w:rsid w:val="005550C5"/>
    <w:rsid w:val="005550FF"/>
    <w:rsid w:val="0055510E"/>
    <w:rsid w:val="005551E8"/>
    <w:rsid w:val="0055529A"/>
    <w:rsid w:val="0055529C"/>
    <w:rsid w:val="005552A4"/>
    <w:rsid w:val="005552FD"/>
    <w:rsid w:val="005553D5"/>
    <w:rsid w:val="00555423"/>
    <w:rsid w:val="005554E6"/>
    <w:rsid w:val="0055579D"/>
    <w:rsid w:val="005558A9"/>
    <w:rsid w:val="005558BE"/>
    <w:rsid w:val="00555A2D"/>
    <w:rsid w:val="00555AA1"/>
    <w:rsid w:val="00555B30"/>
    <w:rsid w:val="00555C29"/>
    <w:rsid w:val="00555C5E"/>
    <w:rsid w:val="00555D0E"/>
    <w:rsid w:val="00555D93"/>
    <w:rsid w:val="00555ECC"/>
    <w:rsid w:val="00556131"/>
    <w:rsid w:val="005561D8"/>
    <w:rsid w:val="00556396"/>
    <w:rsid w:val="00556399"/>
    <w:rsid w:val="00556422"/>
    <w:rsid w:val="00556588"/>
    <w:rsid w:val="005565C3"/>
    <w:rsid w:val="00556612"/>
    <w:rsid w:val="005566A5"/>
    <w:rsid w:val="0055679D"/>
    <w:rsid w:val="0055682C"/>
    <w:rsid w:val="00556887"/>
    <w:rsid w:val="00556933"/>
    <w:rsid w:val="00556999"/>
    <w:rsid w:val="005569C0"/>
    <w:rsid w:val="00556AA7"/>
    <w:rsid w:val="00556AEA"/>
    <w:rsid w:val="00556B24"/>
    <w:rsid w:val="00556C18"/>
    <w:rsid w:val="00556D6D"/>
    <w:rsid w:val="00556D88"/>
    <w:rsid w:val="00556DB7"/>
    <w:rsid w:val="00556EDA"/>
    <w:rsid w:val="00557131"/>
    <w:rsid w:val="00557223"/>
    <w:rsid w:val="00557275"/>
    <w:rsid w:val="005572F0"/>
    <w:rsid w:val="0055732F"/>
    <w:rsid w:val="005576FC"/>
    <w:rsid w:val="00557763"/>
    <w:rsid w:val="00557A82"/>
    <w:rsid w:val="00557B29"/>
    <w:rsid w:val="00557BCD"/>
    <w:rsid w:val="00557C96"/>
    <w:rsid w:val="00557DA6"/>
    <w:rsid w:val="00557F1C"/>
    <w:rsid w:val="00557F94"/>
    <w:rsid w:val="00557FAA"/>
    <w:rsid w:val="0056004F"/>
    <w:rsid w:val="00560057"/>
    <w:rsid w:val="005601CB"/>
    <w:rsid w:val="005601DB"/>
    <w:rsid w:val="00560310"/>
    <w:rsid w:val="00560540"/>
    <w:rsid w:val="00560575"/>
    <w:rsid w:val="00560645"/>
    <w:rsid w:val="0056077C"/>
    <w:rsid w:val="00560A9D"/>
    <w:rsid w:val="00560B0A"/>
    <w:rsid w:val="00560B36"/>
    <w:rsid w:val="00560DEC"/>
    <w:rsid w:val="00560DF5"/>
    <w:rsid w:val="00560DFF"/>
    <w:rsid w:val="00560E0B"/>
    <w:rsid w:val="00560F92"/>
    <w:rsid w:val="0056101C"/>
    <w:rsid w:val="005610E9"/>
    <w:rsid w:val="00561408"/>
    <w:rsid w:val="005614C2"/>
    <w:rsid w:val="00561555"/>
    <w:rsid w:val="0056184B"/>
    <w:rsid w:val="0056186E"/>
    <w:rsid w:val="0056187E"/>
    <w:rsid w:val="00561982"/>
    <w:rsid w:val="005619B3"/>
    <w:rsid w:val="00561ACC"/>
    <w:rsid w:val="00561AFF"/>
    <w:rsid w:val="00561B0C"/>
    <w:rsid w:val="00561C4B"/>
    <w:rsid w:val="00561DF2"/>
    <w:rsid w:val="00561E6B"/>
    <w:rsid w:val="00561F00"/>
    <w:rsid w:val="00562019"/>
    <w:rsid w:val="00562029"/>
    <w:rsid w:val="00562039"/>
    <w:rsid w:val="00562086"/>
    <w:rsid w:val="00562154"/>
    <w:rsid w:val="005621F3"/>
    <w:rsid w:val="005622EC"/>
    <w:rsid w:val="00562342"/>
    <w:rsid w:val="0056251D"/>
    <w:rsid w:val="0056276C"/>
    <w:rsid w:val="0056280B"/>
    <w:rsid w:val="00562A1E"/>
    <w:rsid w:val="00562A59"/>
    <w:rsid w:val="00562AC2"/>
    <w:rsid w:val="00562AF4"/>
    <w:rsid w:val="00562AFD"/>
    <w:rsid w:val="00562BB7"/>
    <w:rsid w:val="00562C5D"/>
    <w:rsid w:val="00562D4E"/>
    <w:rsid w:val="00562DDC"/>
    <w:rsid w:val="00562DFB"/>
    <w:rsid w:val="00562E47"/>
    <w:rsid w:val="00562EF4"/>
    <w:rsid w:val="00562F3E"/>
    <w:rsid w:val="00562FE8"/>
    <w:rsid w:val="0056300F"/>
    <w:rsid w:val="0056303D"/>
    <w:rsid w:val="005630A4"/>
    <w:rsid w:val="005631B2"/>
    <w:rsid w:val="005632A6"/>
    <w:rsid w:val="00563321"/>
    <w:rsid w:val="005633EF"/>
    <w:rsid w:val="005633F4"/>
    <w:rsid w:val="00563509"/>
    <w:rsid w:val="0056350E"/>
    <w:rsid w:val="0056355A"/>
    <w:rsid w:val="0056360F"/>
    <w:rsid w:val="0056363E"/>
    <w:rsid w:val="00563A19"/>
    <w:rsid w:val="00563B17"/>
    <w:rsid w:val="00563C1B"/>
    <w:rsid w:val="00563CD3"/>
    <w:rsid w:val="00563D42"/>
    <w:rsid w:val="00563D89"/>
    <w:rsid w:val="00563DC5"/>
    <w:rsid w:val="00564118"/>
    <w:rsid w:val="00564299"/>
    <w:rsid w:val="00564449"/>
    <w:rsid w:val="00564503"/>
    <w:rsid w:val="0056452D"/>
    <w:rsid w:val="00564591"/>
    <w:rsid w:val="005645E3"/>
    <w:rsid w:val="005646EC"/>
    <w:rsid w:val="00564826"/>
    <w:rsid w:val="00564880"/>
    <w:rsid w:val="0056490F"/>
    <w:rsid w:val="005649FC"/>
    <w:rsid w:val="00564AF2"/>
    <w:rsid w:val="00564B23"/>
    <w:rsid w:val="00564B47"/>
    <w:rsid w:val="00564B6D"/>
    <w:rsid w:val="00564BE7"/>
    <w:rsid w:val="00564C8E"/>
    <w:rsid w:val="00564DDC"/>
    <w:rsid w:val="00564E13"/>
    <w:rsid w:val="00564E2F"/>
    <w:rsid w:val="00564E5F"/>
    <w:rsid w:val="00564ED9"/>
    <w:rsid w:val="00564F34"/>
    <w:rsid w:val="00565135"/>
    <w:rsid w:val="00565185"/>
    <w:rsid w:val="00565301"/>
    <w:rsid w:val="00565313"/>
    <w:rsid w:val="00565358"/>
    <w:rsid w:val="00565383"/>
    <w:rsid w:val="00565387"/>
    <w:rsid w:val="0056550F"/>
    <w:rsid w:val="00565586"/>
    <w:rsid w:val="00565640"/>
    <w:rsid w:val="0056576B"/>
    <w:rsid w:val="0056579D"/>
    <w:rsid w:val="005657F8"/>
    <w:rsid w:val="005658C5"/>
    <w:rsid w:val="00565902"/>
    <w:rsid w:val="00565B26"/>
    <w:rsid w:val="00565BF9"/>
    <w:rsid w:val="00565D38"/>
    <w:rsid w:val="00565DED"/>
    <w:rsid w:val="00566011"/>
    <w:rsid w:val="00566062"/>
    <w:rsid w:val="0056624F"/>
    <w:rsid w:val="005662A6"/>
    <w:rsid w:val="00566356"/>
    <w:rsid w:val="00566451"/>
    <w:rsid w:val="00566689"/>
    <w:rsid w:val="005666D1"/>
    <w:rsid w:val="00566774"/>
    <w:rsid w:val="00566859"/>
    <w:rsid w:val="00566879"/>
    <w:rsid w:val="005669B0"/>
    <w:rsid w:val="00566A57"/>
    <w:rsid w:val="00566C73"/>
    <w:rsid w:val="00566CD9"/>
    <w:rsid w:val="00566DE9"/>
    <w:rsid w:val="00566F5E"/>
    <w:rsid w:val="00567063"/>
    <w:rsid w:val="0056707D"/>
    <w:rsid w:val="005672AC"/>
    <w:rsid w:val="005673BD"/>
    <w:rsid w:val="005675B9"/>
    <w:rsid w:val="005675EC"/>
    <w:rsid w:val="00567653"/>
    <w:rsid w:val="005676D0"/>
    <w:rsid w:val="00567739"/>
    <w:rsid w:val="00567947"/>
    <w:rsid w:val="0056798B"/>
    <w:rsid w:val="00567B6C"/>
    <w:rsid w:val="00567BA8"/>
    <w:rsid w:val="00567BBD"/>
    <w:rsid w:val="00567EDD"/>
    <w:rsid w:val="005700A5"/>
    <w:rsid w:val="00570100"/>
    <w:rsid w:val="0057010F"/>
    <w:rsid w:val="00570180"/>
    <w:rsid w:val="0057020A"/>
    <w:rsid w:val="00570218"/>
    <w:rsid w:val="0057021E"/>
    <w:rsid w:val="00570371"/>
    <w:rsid w:val="00570403"/>
    <w:rsid w:val="00570451"/>
    <w:rsid w:val="00570497"/>
    <w:rsid w:val="00570614"/>
    <w:rsid w:val="005706BC"/>
    <w:rsid w:val="00570721"/>
    <w:rsid w:val="005707D6"/>
    <w:rsid w:val="005707D8"/>
    <w:rsid w:val="0057080E"/>
    <w:rsid w:val="0057089D"/>
    <w:rsid w:val="00570BDE"/>
    <w:rsid w:val="00570D46"/>
    <w:rsid w:val="00570E0E"/>
    <w:rsid w:val="00570E89"/>
    <w:rsid w:val="00570EA4"/>
    <w:rsid w:val="00570F43"/>
    <w:rsid w:val="00570FB2"/>
    <w:rsid w:val="00570FB3"/>
    <w:rsid w:val="00571072"/>
    <w:rsid w:val="005715C8"/>
    <w:rsid w:val="00571819"/>
    <w:rsid w:val="00571879"/>
    <w:rsid w:val="00571A66"/>
    <w:rsid w:val="00571A87"/>
    <w:rsid w:val="00571C9C"/>
    <w:rsid w:val="00571D2D"/>
    <w:rsid w:val="00571D69"/>
    <w:rsid w:val="00571EE2"/>
    <w:rsid w:val="005720E3"/>
    <w:rsid w:val="005721B0"/>
    <w:rsid w:val="005721F4"/>
    <w:rsid w:val="005721FC"/>
    <w:rsid w:val="00572395"/>
    <w:rsid w:val="00572527"/>
    <w:rsid w:val="00572669"/>
    <w:rsid w:val="005726CF"/>
    <w:rsid w:val="005727E4"/>
    <w:rsid w:val="00572896"/>
    <w:rsid w:val="005728E3"/>
    <w:rsid w:val="005728FD"/>
    <w:rsid w:val="005729BC"/>
    <w:rsid w:val="00572A45"/>
    <w:rsid w:val="00572B44"/>
    <w:rsid w:val="00572BD0"/>
    <w:rsid w:val="00572D04"/>
    <w:rsid w:val="00572DAF"/>
    <w:rsid w:val="00572F1A"/>
    <w:rsid w:val="00572F8F"/>
    <w:rsid w:val="00573095"/>
    <w:rsid w:val="00573282"/>
    <w:rsid w:val="005733B2"/>
    <w:rsid w:val="0057344B"/>
    <w:rsid w:val="00573837"/>
    <w:rsid w:val="00573AB4"/>
    <w:rsid w:val="00573D41"/>
    <w:rsid w:val="00573E6B"/>
    <w:rsid w:val="0057400C"/>
    <w:rsid w:val="005740E3"/>
    <w:rsid w:val="0057410D"/>
    <w:rsid w:val="0057413B"/>
    <w:rsid w:val="005743EA"/>
    <w:rsid w:val="00574408"/>
    <w:rsid w:val="005744C8"/>
    <w:rsid w:val="005746FE"/>
    <w:rsid w:val="005747E4"/>
    <w:rsid w:val="0057482A"/>
    <w:rsid w:val="005748DA"/>
    <w:rsid w:val="00574A0C"/>
    <w:rsid w:val="00574A5E"/>
    <w:rsid w:val="00574A7F"/>
    <w:rsid w:val="00574AB6"/>
    <w:rsid w:val="00574AF4"/>
    <w:rsid w:val="00574CA5"/>
    <w:rsid w:val="00574EDF"/>
    <w:rsid w:val="00574FE5"/>
    <w:rsid w:val="005751A3"/>
    <w:rsid w:val="00575249"/>
    <w:rsid w:val="005752C1"/>
    <w:rsid w:val="00575302"/>
    <w:rsid w:val="0057547B"/>
    <w:rsid w:val="005756F6"/>
    <w:rsid w:val="0057577A"/>
    <w:rsid w:val="0057589C"/>
    <w:rsid w:val="00575948"/>
    <w:rsid w:val="00575A17"/>
    <w:rsid w:val="00575C6B"/>
    <w:rsid w:val="00575D4F"/>
    <w:rsid w:val="00575D8B"/>
    <w:rsid w:val="00575E0B"/>
    <w:rsid w:val="00575F75"/>
    <w:rsid w:val="00575F93"/>
    <w:rsid w:val="00576007"/>
    <w:rsid w:val="0057605E"/>
    <w:rsid w:val="00576065"/>
    <w:rsid w:val="005760FC"/>
    <w:rsid w:val="00576264"/>
    <w:rsid w:val="005762B7"/>
    <w:rsid w:val="005762DA"/>
    <w:rsid w:val="005763DE"/>
    <w:rsid w:val="00576430"/>
    <w:rsid w:val="00576505"/>
    <w:rsid w:val="0057653E"/>
    <w:rsid w:val="00576867"/>
    <w:rsid w:val="00576869"/>
    <w:rsid w:val="00576A63"/>
    <w:rsid w:val="00576A73"/>
    <w:rsid w:val="00576BE3"/>
    <w:rsid w:val="00576CA8"/>
    <w:rsid w:val="00576DF7"/>
    <w:rsid w:val="00576E69"/>
    <w:rsid w:val="00576EE1"/>
    <w:rsid w:val="00576F54"/>
    <w:rsid w:val="005770B9"/>
    <w:rsid w:val="00577141"/>
    <w:rsid w:val="00577162"/>
    <w:rsid w:val="005771B7"/>
    <w:rsid w:val="005771C8"/>
    <w:rsid w:val="00577262"/>
    <w:rsid w:val="00577308"/>
    <w:rsid w:val="005773AA"/>
    <w:rsid w:val="0057740C"/>
    <w:rsid w:val="00577429"/>
    <w:rsid w:val="005775A0"/>
    <w:rsid w:val="005775EB"/>
    <w:rsid w:val="00577678"/>
    <w:rsid w:val="005776DB"/>
    <w:rsid w:val="00577910"/>
    <w:rsid w:val="00577991"/>
    <w:rsid w:val="00577A1B"/>
    <w:rsid w:val="00577A4C"/>
    <w:rsid w:val="00577AF6"/>
    <w:rsid w:val="00577B77"/>
    <w:rsid w:val="00577CC5"/>
    <w:rsid w:val="00577E7F"/>
    <w:rsid w:val="00577EC8"/>
    <w:rsid w:val="00577F2D"/>
    <w:rsid w:val="00577F65"/>
    <w:rsid w:val="00580041"/>
    <w:rsid w:val="00580127"/>
    <w:rsid w:val="005801E7"/>
    <w:rsid w:val="00580498"/>
    <w:rsid w:val="005806B3"/>
    <w:rsid w:val="005807EC"/>
    <w:rsid w:val="00580869"/>
    <w:rsid w:val="0058089B"/>
    <w:rsid w:val="00580962"/>
    <w:rsid w:val="00580A0B"/>
    <w:rsid w:val="00580D52"/>
    <w:rsid w:val="00580D80"/>
    <w:rsid w:val="00580F17"/>
    <w:rsid w:val="00580F8B"/>
    <w:rsid w:val="00581026"/>
    <w:rsid w:val="00581075"/>
    <w:rsid w:val="005812C4"/>
    <w:rsid w:val="005812D5"/>
    <w:rsid w:val="00581303"/>
    <w:rsid w:val="00581325"/>
    <w:rsid w:val="005814E6"/>
    <w:rsid w:val="00581541"/>
    <w:rsid w:val="00581588"/>
    <w:rsid w:val="005817F5"/>
    <w:rsid w:val="0058183E"/>
    <w:rsid w:val="00581AAD"/>
    <w:rsid w:val="00581B31"/>
    <w:rsid w:val="00581D6E"/>
    <w:rsid w:val="00581EE5"/>
    <w:rsid w:val="00581F30"/>
    <w:rsid w:val="00581F31"/>
    <w:rsid w:val="00582245"/>
    <w:rsid w:val="005823F5"/>
    <w:rsid w:val="00582426"/>
    <w:rsid w:val="00582465"/>
    <w:rsid w:val="0058255E"/>
    <w:rsid w:val="005825A6"/>
    <w:rsid w:val="005825F5"/>
    <w:rsid w:val="00582695"/>
    <w:rsid w:val="005826AA"/>
    <w:rsid w:val="0058273C"/>
    <w:rsid w:val="00582883"/>
    <w:rsid w:val="00582888"/>
    <w:rsid w:val="005828F1"/>
    <w:rsid w:val="00582957"/>
    <w:rsid w:val="005829A6"/>
    <w:rsid w:val="00582A54"/>
    <w:rsid w:val="00582D6D"/>
    <w:rsid w:val="00583000"/>
    <w:rsid w:val="0058306F"/>
    <w:rsid w:val="0058314E"/>
    <w:rsid w:val="005831A4"/>
    <w:rsid w:val="005832DE"/>
    <w:rsid w:val="005833A0"/>
    <w:rsid w:val="00583739"/>
    <w:rsid w:val="0058376C"/>
    <w:rsid w:val="005837EF"/>
    <w:rsid w:val="00583964"/>
    <w:rsid w:val="00583B15"/>
    <w:rsid w:val="00583D77"/>
    <w:rsid w:val="00583F03"/>
    <w:rsid w:val="00583F4C"/>
    <w:rsid w:val="00583FA5"/>
    <w:rsid w:val="0058409C"/>
    <w:rsid w:val="0058415C"/>
    <w:rsid w:val="0058427A"/>
    <w:rsid w:val="00584302"/>
    <w:rsid w:val="00584594"/>
    <w:rsid w:val="005847BB"/>
    <w:rsid w:val="005847CF"/>
    <w:rsid w:val="0058486E"/>
    <w:rsid w:val="00584949"/>
    <w:rsid w:val="00584A72"/>
    <w:rsid w:val="00584B16"/>
    <w:rsid w:val="00584D33"/>
    <w:rsid w:val="00584DA5"/>
    <w:rsid w:val="00584E70"/>
    <w:rsid w:val="00584EEF"/>
    <w:rsid w:val="00585072"/>
    <w:rsid w:val="00585218"/>
    <w:rsid w:val="00585229"/>
    <w:rsid w:val="0058526D"/>
    <w:rsid w:val="0058526F"/>
    <w:rsid w:val="00585402"/>
    <w:rsid w:val="00585852"/>
    <w:rsid w:val="005859C1"/>
    <w:rsid w:val="00585A6C"/>
    <w:rsid w:val="00585A8F"/>
    <w:rsid w:val="00585B5A"/>
    <w:rsid w:val="00585C0C"/>
    <w:rsid w:val="00585CD9"/>
    <w:rsid w:val="00585DBD"/>
    <w:rsid w:val="00585E79"/>
    <w:rsid w:val="00585EC7"/>
    <w:rsid w:val="00585F03"/>
    <w:rsid w:val="005860F5"/>
    <w:rsid w:val="005862C1"/>
    <w:rsid w:val="00586342"/>
    <w:rsid w:val="005863A0"/>
    <w:rsid w:val="0058673E"/>
    <w:rsid w:val="005867DD"/>
    <w:rsid w:val="005868A3"/>
    <w:rsid w:val="00586943"/>
    <w:rsid w:val="00586A52"/>
    <w:rsid w:val="00586B63"/>
    <w:rsid w:val="00586D9F"/>
    <w:rsid w:val="00587073"/>
    <w:rsid w:val="005870EC"/>
    <w:rsid w:val="00587110"/>
    <w:rsid w:val="005872EB"/>
    <w:rsid w:val="0058736E"/>
    <w:rsid w:val="0058742A"/>
    <w:rsid w:val="005874DE"/>
    <w:rsid w:val="0058753F"/>
    <w:rsid w:val="00587620"/>
    <w:rsid w:val="005876F5"/>
    <w:rsid w:val="00587794"/>
    <w:rsid w:val="005878EA"/>
    <w:rsid w:val="00587900"/>
    <w:rsid w:val="00587929"/>
    <w:rsid w:val="00587961"/>
    <w:rsid w:val="00587AEA"/>
    <w:rsid w:val="00587CA7"/>
    <w:rsid w:val="00587D44"/>
    <w:rsid w:val="00587E3F"/>
    <w:rsid w:val="00587E82"/>
    <w:rsid w:val="00587EE5"/>
    <w:rsid w:val="00587EE6"/>
    <w:rsid w:val="00587F48"/>
    <w:rsid w:val="00590024"/>
    <w:rsid w:val="0059003E"/>
    <w:rsid w:val="0059010F"/>
    <w:rsid w:val="0059021E"/>
    <w:rsid w:val="005903AA"/>
    <w:rsid w:val="00590427"/>
    <w:rsid w:val="00590475"/>
    <w:rsid w:val="005904CE"/>
    <w:rsid w:val="00590566"/>
    <w:rsid w:val="005905CA"/>
    <w:rsid w:val="005905CD"/>
    <w:rsid w:val="00590717"/>
    <w:rsid w:val="0059076B"/>
    <w:rsid w:val="00590815"/>
    <w:rsid w:val="0059084D"/>
    <w:rsid w:val="005908F6"/>
    <w:rsid w:val="00590AFF"/>
    <w:rsid w:val="00590BBD"/>
    <w:rsid w:val="00590D52"/>
    <w:rsid w:val="00590EAC"/>
    <w:rsid w:val="00590EE3"/>
    <w:rsid w:val="0059112A"/>
    <w:rsid w:val="00591258"/>
    <w:rsid w:val="0059129B"/>
    <w:rsid w:val="00591467"/>
    <w:rsid w:val="00591486"/>
    <w:rsid w:val="005914A8"/>
    <w:rsid w:val="005914ED"/>
    <w:rsid w:val="00591635"/>
    <w:rsid w:val="0059163B"/>
    <w:rsid w:val="005916A1"/>
    <w:rsid w:val="0059175D"/>
    <w:rsid w:val="00591771"/>
    <w:rsid w:val="005918AE"/>
    <w:rsid w:val="00591993"/>
    <w:rsid w:val="005919F8"/>
    <w:rsid w:val="00591AF5"/>
    <w:rsid w:val="00591AFC"/>
    <w:rsid w:val="00591B5E"/>
    <w:rsid w:val="00591E50"/>
    <w:rsid w:val="00591F83"/>
    <w:rsid w:val="00592344"/>
    <w:rsid w:val="0059238B"/>
    <w:rsid w:val="005923AA"/>
    <w:rsid w:val="005923FE"/>
    <w:rsid w:val="005926CA"/>
    <w:rsid w:val="00592742"/>
    <w:rsid w:val="0059278E"/>
    <w:rsid w:val="0059279B"/>
    <w:rsid w:val="00592C02"/>
    <w:rsid w:val="00592E17"/>
    <w:rsid w:val="00592EC1"/>
    <w:rsid w:val="00592F4F"/>
    <w:rsid w:val="00592FED"/>
    <w:rsid w:val="005931A8"/>
    <w:rsid w:val="0059333E"/>
    <w:rsid w:val="00593549"/>
    <w:rsid w:val="0059358F"/>
    <w:rsid w:val="005935BC"/>
    <w:rsid w:val="005935E2"/>
    <w:rsid w:val="00593639"/>
    <w:rsid w:val="005937EA"/>
    <w:rsid w:val="00593887"/>
    <w:rsid w:val="0059388F"/>
    <w:rsid w:val="005938CE"/>
    <w:rsid w:val="00593934"/>
    <w:rsid w:val="00593957"/>
    <w:rsid w:val="00593A0B"/>
    <w:rsid w:val="00593B42"/>
    <w:rsid w:val="00593BE3"/>
    <w:rsid w:val="00593C7E"/>
    <w:rsid w:val="00593E99"/>
    <w:rsid w:val="00593F11"/>
    <w:rsid w:val="00593FFC"/>
    <w:rsid w:val="005940EC"/>
    <w:rsid w:val="0059422D"/>
    <w:rsid w:val="005942E6"/>
    <w:rsid w:val="005943D6"/>
    <w:rsid w:val="0059443B"/>
    <w:rsid w:val="005944E3"/>
    <w:rsid w:val="0059471F"/>
    <w:rsid w:val="00594855"/>
    <w:rsid w:val="005948B6"/>
    <w:rsid w:val="00594982"/>
    <w:rsid w:val="00594B94"/>
    <w:rsid w:val="00594C20"/>
    <w:rsid w:val="00594CD5"/>
    <w:rsid w:val="00594EB3"/>
    <w:rsid w:val="00594F5B"/>
    <w:rsid w:val="005950CA"/>
    <w:rsid w:val="0059527D"/>
    <w:rsid w:val="005952D1"/>
    <w:rsid w:val="0059535D"/>
    <w:rsid w:val="00595367"/>
    <w:rsid w:val="00595379"/>
    <w:rsid w:val="005953DB"/>
    <w:rsid w:val="0059565C"/>
    <w:rsid w:val="005956FC"/>
    <w:rsid w:val="00595862"/>
    <w:rsid w:val="005958E6"/>
    <w:rsid w:val="005959F7"/>
    <w:rsid w:val="00595A34"/>
    <w:rsid w:val="00595BC7"/>
    <w:rsid w:val="00595DAD"/>
    <w:rsid w:val="00595DBC"/>
    <w:rsid w:val="00595E39"/>
    <w:rsid w:val="00595EE0"/>
    <w:rsid w:val="005960D3"/>
    <w:rsid w:val="0059629C"/>
    <w:rsid w:val="005963D0"/>
    <w:rsid w:val="005965A6"/>
    <w:rsid w:val="005966AA"/>
    <w:rsid w:val="00596736"/>
    <w:rsid w:val="005967C7"/>
    <w:rsid w:val="005967D1"/>
    <w:rsid w:val="005968F5"/>
    <w:rsid w:val="00596AEE"/>
    <w:rsid w:val="00596B6B"/>
    <w:rsid w:val="00596C1D"/>
    <w:rsid w:val="00596D79"/>
    <w:rsid w:val="00596DD8"/>
    <w:rsid w:val="00596E71"/>
    <w:rsid w:val="00596F6B"/>
    <w:rsid w:val="00596FF6"/>
    <w:rsid w:val="00597087"/>
    <w:rsid w:val="005970EC"/>
    <w:rsid w:val="005970FE"/>
    <w:rsid w:val="005971FB"/>
    <w:rsid w:val="00597450"/>
    <w:rsid w:val="0059748B"/>
    <w:rsid w:val="0059751F"/>
    <w:rsid w:val="005975BF"/>
    <w:rsid w:val="005975EC"/>
    <w:rsid w:val="0059778C"/>
    <w:rsid w:val="00597836"/>
    <w:rsid w:val="005978BC"/>
    <w:rsid w:val="00597D9B"/>
    <w:rsid w:val="00597E0D"/>
    <w:rsid w:val="00597EE0"/>
    <w:rsid w:val="00597F7F"/>
    <w:rsid w:val="005A0220"/>
    <w:rsid w:val="005A025C"/>
    <w:rsid w:val="005A02F4"/>
    <w:rsid w:val="005A0342"/>
    <w:rsid w:val="005A0531"/>
    <w:rsid w:val="005A058C"/>
    <w:rsid w:val="005A079E"/>
    <w:rsid w:val="005A085C"/>
    <w:rsid w:val="005A0B47"/>
    <w:rsid w:val="005A0B57"/>
    <w:rsid w:val="005A0E5A"/>
    <w:rsid w:val="005A0FA3"/>
    <w:rsid w:val="005A1006"/>
    <w:rsid w:val="005A1128"/>
    <w:rsid w:val="005A12E7"/>
    <w:rsid w:val="005A143E"/>
    <w:rsid w:val="005A1475"/>
    <w:rsid w:val="005A1694"/>
    <w:rsid w:val="005A16CC"/>
    <w:rsid w:val="005A171E"/>
    <w:rsid w:val="005A179C"/>
    <w:rsid w:val="005A1822"/>
    <w:rsid w:val="005A1892"/>
    <w:rsid w:val="005A18DE"/>
    <w:rsid w:val="005A19DE"/>
    <w:rsid w:val="005A19E0"/>
    <w:rsid w:val="005A1AC7"/>
    <w:rsid w:val="005A1AD1"/>
    <w:rsid w:val="005A1B00"/>
    <w:rsid w:val="005A1C48"/>
    <w:rsid w:val="005A1C52"/>
    <w:rsid w:val="005A1C7A"/>
    <w:rsid w:val="005A1C9D"/>
    <w:rsid w:val="005A1CA7"/>
    <w:rsid w:val="005A1E10"/>
    <w:rsid w:val="005A1E42"/>
    <w:rsid w:val="005A1F94"/>
    <w:rsid w:val="005A2066"/>
    <w:rsid w:val="005A209B"/>
    <w:rsid w:val="005A21BE"/>
    <w:rsid w:val="005A21EA"/>
    <w:rsid w:val="005A228C"/>
    <w:rsid w:val="005A2369"/>
    <w:rsid w:val="005A2426"/>
    <w:rsid w:val="005A24E0"/>
    <w:rsid w:val="005A250F"/>
    <w:rsid w:val="005A25F7"/>
    <w:rsid w:val="005A299C"/>
    <w:rsid w:val="005A29D8"/>
    <w:rsid w:val="005A2BBE"/>
    <w:rsid w:val="005A2BE0"/>
    <w:rsid w:val="005A2BF9"/>
    <w:rsid w:val="005A2CDF"/>
    <w:rsid w:val="005A2D59"/>
    <w:rsid w:val="005A2E0F"/>
    <w:rsid w:val="005A2E4B"/>
    <w:rsid w:val="005A3222"/>
    <w:rsid w:val="005A322C"/>
    <w:rsid w:val="005A32E9"/>
    <w:rsid w:val="005A3342"/>
    <w:rsid w:val="005A3441"/>
    <w:rsid w:val="005A34B9"/>
    <w:rsid w:val="005A34D7"/>
    <w:rsid w:val="005A35D6"/>
    <w:rsid w:val="005A3712"/>
    <w:rsid w:val="005A3799"/>
    <w:rsid w:val="005A3A83"/>
    <w:rsid w:val="005A3B72"/>
    <w:rsid w:val="005A3BD5"/>
    <w:rsid w:val="005A3C5D"/>
    <w:rsid w:val="005A3CE3"/>
    <w:rsid w:val="005A3E48"/>
    <w:rsid w:val="005A401B"/>
    <w:rsid w:val="005A4481"/>
    <w:rsid w:val="005A4515"/>
    <w:rsid w:val="005A453B"/>
    <w:rsid w:val="005A4541"/>
    <w:rsid w:val="005A46DC"/>
    <w:rsid w:val="005A474F"/>
    <w:rsid w:val="005A47B7"/>
    <w:rsid w:val="005A47C1"/>
    <w:rsid w:val="005A47F1"/>
    <w:rsid w:val="005A4865"/>
    <w:rsid w:val="005A48BA"/>
    <w:rsid w:val="005A48D4"/>
    <w:rsid w:val="005A48DD"/>
    <w:rsid w:val="005A4940"/>
    <w:rsid w:val="005A4B42"/>
    <w:rsid w:val="005A4B57"/>
    <w:rsid w:val="005A4B75"/>
    <w:rsid w:val="005A4C5C"/>
    <w:rsid w:val="005A4D1A"/>
    <w:rsid w:val="005A4D83"/>
    <w:rsid w:val="005A4DBA"/>
    <w:rsid w:val="005A4E8F"/>
    <w:rsid w:val="005A502B"/>
    <w:rsid w:val="005A5067"/>
    <w:rsid w:val="005A5175"/>
    <w:rsid w:val="005A5253"/>
    <w:rsid w:val="005A5277"/>
    <w:rsid w:val="005A53BF"/>
    <w:rsid w:val="005A55DC"/>
    <w:rsid w:val="005A57BE"/>
    <w:rsid w:val="005A5807"/>
    <w:rsid w:val="005A5830"/>
    <w:rsid w:val="005A583C"/>
    <w:rsid w:val="005A58C5"/>
    <w:rsid w:val="005A5BA2"/>
    <w:rsid w:val="005A5CDE"/>
    <w:rsid w:val="005A5D31"/>
    <w:rsid w:val="005A5DB0"/>
    <w:rsid w:val="005A5E06"/>
    <w:rsid w:val="005A5EA3"/>
    <w:rsid w:val="005A5EFF"/>
    <w:rsid w:val="005A5FC7"/>
    <w:rsid w:val="005A5FED"/>
    <w:rsid w:val="005A6118"/>
    <w:rsid w:val="005A64FB"/>
    <w:rsid w:val="005A6638"/>
    <w:rsid w:val="005A6658"/>
    <w:rsid w:val="005A66B7"/>
    <w:rsid w:val="005A66C8"/>
    <w:rsid w:val="005A67C2"/>
    <w:rsid w:val="005A6831"/>
    <w:rsid w:val="005A6869"/>
    <w:rsid w:val="005A68BE"/>
    <w:rsid w:val="005A68C8"/>
    <w:rsid w:val="005A69CE"/>
    <w:rsid w:val="005A69E2"/>
    <w:rsid w:val="005A6ACA"/>
    <w:rsid w:val="005A6BE7"/>
    <w:rsid w:val="005A6C0C"/>
    <w:rsid w:val="005A6EA6"/>
    <w:rsid w:val="005A7005"/>
    <w:rsid w:val="005A703A"/>
    <w:rsid w:val="005A719C"/>
    <w:rsid w:val="005A71C0"/>
    <w:rsid w:val="005A7365"/>
    <w:rsid w:val="005A740E"/>
    <w:rsid w:val="005A775B"/>
    <w:rsid w:val="005A7BB7"/>
    <w:rsid w:val="005A7D0A"/>
    <w:rsid w:val="005B01A4"/>
    <w:rsid w:val="005B034C"/>
    <w:rsid w:val="005B03B8"/>
    <w:rsid w:val="005B0459"/>
    <w:rsid w:val="005B0503"/>
    <w:rsid w:val="005B05DC"/>
    <w:rsid w:val="005B05F9"/>
    <w:rsid w:val="005B06C5"/>
    <w:rsid w:val="005B0773"/>
    <w:rsid w:val="005B07C5"/>
    <w:rsid w:val="005B07D4"/>
    <w:rsid w:val="005B07D7"/>
    <w:rsid w:val="005B09D4"/>
    <w:rsid w:val="005B0A6E"/>
    <w:rsid w:val="005B0AD4"/>
    <w:rsid w:val="005B0B95"/>
    <w:rsid w:val="005B0BAD"/>
    <w:rsid w:val="005B0C95"/>
    <w:rsid w:val="005B0E19"/>
    <w:rsid w:val="005B0E76"/>
    <w:rsid w:val="005B0EC6"/>
    <w:rsid w:val="005B0F77"/>
    <w:rsid w:val="005B0FF5"/>
    <w:rsid w:val="005B1115"/>
    <w:rsid w:val="005B127C"/>
    <w:rsid w:val="005B1380"/>
    <w:rsid w:val="005B14D4"/>
    <w:rsid w:val="005B1562"/>
    <w:rsid w:val="005B1592"/>
    <w:rsid w:val="005B15F5"/>
    <w:rsid w:val="005B16C8"/>
    <w:rsid w:val="005B181F"/>
    <w:rsid w:val="005B1956"/>
    <w:rsid w:val="005B19C3"/>
    <w:rsid w:val="005B1BE9"/>
    <w:rsid w:val="005B1BF6"/>
    <w:rsid w:val="005B1C3C"/>
    <w:rsid w:val="005B1D79"/>
    <w:rsid w:val="005B2053"/>
    <w:rsid w:val="005B20DB"/>
    <w:rsid w:val="005B210E"/>
    <w:rsid w:val="005B22CB"/>
    <w:rsid w:val="005B23F1"/>
    <w:rsid w:val="005B291C"/>
    <w:rsid w:val="005B2934"/>
    <w:rsid w:val="005B2994"/>
    <w:rsid w:val="005B2B78"/>
    <w:rsid w:val="005B2BF0"/>
    <w:rsid w:val="005B2C20"/>
    <w:rsid w:val="005B2CE5"/>
    <w:rsid w:val="005B2E77"/>
    <w:rsid w:val="005B2E9A"/>
    <w:rsid w:val="005B3007"/>
    <w:rsid w:val="005B300A"/>
    <w:rsid w:val="005B3074"/>
    <w:rsid w:val="005B3121"/>
    <w:rsid w:val="005B3437"/>
    <w:rsid w:val="005B3442"/>
    <w:rsid w:val="005B3468"/>
    <w:rsid w:val="005B362E"/>
    <w:rsid w:val="005B3776"/>
    <w:rsid w:val="005B3881"/>
    <w:rsid w:val="005B38AF"/>
    <w:rsid w:val="005B3933"/>
    <w:rsid w:val="005B3936"/>
    <w:rsid w:val="005B3B1A"/>
    <w:rsid w:val="005B3BC8"/>
    <w:rsid w:val="005B3BDA"/>
    <w:rsid w:val="005B3CC2"/>
    <w:rsid w:val="005B3CCC"/>
    <w:rsid w:val="005B3DC4"/>
    <w:rsid w:val="005B3DF3"/>
    <w:rsid w:val="005B3DF7"/>
    <w:rsid w:val="005B3E05"/>
    <w:rsid w:val="005B3E1D"/>
    <w:rsid w:val="005B3E53"/>
    <w:rsid w:val="005B3F9E"/>
    <w:rsid w:val="005B3FEA"/>
    <w:rsid w:val="005B40CF"/>
    <w:rsid w:val="005B433E"/>
    <w:rsid w:val="005B44BD"/>
    <w:rsid w:val="005B465D"/>
    <w:rsid w:val="005B466C"/>
    <w:rsid w:val="005B4698"/>
    <w:rsid w:val="005B47F5"/>
    <w:rsid w:val="005B49CD"/>
    <w:rsid w:val="005B4A7D"/>
    <w:rsid w:val="005B4AB1"/>
    <w:rsid w:val="005B4BA1"/>
    <w:rsid w:val="005B4BCB"/>
    <w:rsid w:val="005B4C27"/>
    <w:rsid w:val="005B4DA3"/>
    <w:rsid w:val="005B500E"/>
    <w:rsid w:val="005B5067"/>
    <w:rsid w:val="005B50B4"/>
    <w:rsid w:val="005B5190"/>
    <w:rsid w:val="005B51E1"/>
    <w:rsid w:val="005B51EC"/>
    <w:rsid w:val="005B531B"/>
    <w:rsid w:val="005B5420"/>
    <w:rsid w:val="005B54F2"/>
    <w:rsid w:val="005B553F"/>
    <w:rsid w:val="005B55B7"/>
    <w:rsid w:val="005B5743"/>
    <w:rsid w:val="005B57AF"/>
    <w:rsid w:val="005B57D4"/>
    <w:rsid w:val="005B5880"/>
    <w:rsid w:val="005B5926"/>
    <w:rsid w:val="005B595E"/>
    <w:rsid w:val="005B5B2C"/>
    <w:rsid w:val="005B633B"/>
    <w:rsid w:val="005B6352"/>
    <w:rsid w:val="005B63FE"/>
    <w:rsid w:val="005B6469"/>
    <w:rsid w:val="005B6623"/>
    <w:rsid w:val="005B6793"/>
    <w:rsid w:val="005B67DF"/>
    <w:rsid w:val="005B685B"/>
    <w:rsid w:val="005B69B7"/>
    <w:rsid w:val="005B6B93"/>
    <w:rsid w:val="005B6C65"/>
    <w:rsid w:val="005B6D33"/>
    <w:rsid w:val="005B6DCC"/>
    <w:rsid w:val="005B6E6F"/>
    <w:rsid w:val="005B6E8E"/>
    <w:rsid w:val="005B6EE5"/>
    <w:rsid w:val="005B6F8A"/>
    <w:rsid w:val="005B6FD6"/>
    <w:rsid w:val="005B7013"/>
    <w:rsid w:val="005B70AD"/>
    <w:rsid w:val="005B71DD"/>
    <w:rsid w:val="005B71E3"/>
    <w:rsid w:val="005B723C"/>
    <w:rsid w:val="005B748C"/>
    <w:rsid w:val="005B74FF"/>
    <w:rsid w:val="005B7521"/>
    <w:rsid w:val="005B75A7"/>
    <w:rsid w:val="005B7660"/>
    <w:rsid w:val="005B785B"/>
    <w:rsid w:val="005B791F"/>
    <w:rsid w:val="005B797F"/>
    <w:rsid w:val="005B7BE6"/>
    <w:rsid w:val="005B7C17"/>
    <w:rsid w:val="005B7C33"/>
    <w:rsid w:val="005B7C46"/>
    <w:rsid w:val="005B7CEF"/>
    <w:rsid w:val="005B7D9D"/>
    <w:rsid w:val="005B7DBD"/>
    <w:rsid w:val="005B7E03"/>
    <w:rsid w:val="005B7E87"/>
    <w:rsid w:val="005B7F6D"/>
    <w:rsid w:val="005B7FB5"/>
    <w:rsid w:val="005C00B3"/>
    <w:rsid w:val="005C00BF"/>
    <w:rsid w:val="005C0135"/>
    <w:rsid w:val="005C02A3"/>
    <w:rsid w:val="005C0324"/>
    <w:rsid w:val="005C0363"/>
    <w:rsid w:val="005C0376"/>
    <w:rsid w:val="005C0454"/>
    <w:rsid w:val="005C04F6"/>
    <w:rsid w:val="005C0607"/>
    <w:rsid w:val="005C06F2"/>
    <w:rsid w:val="005C081F"/>
    <w:rsid w:val="005C0884"/>
    <w:rsid w:val="005C0899"/>
    <w:rsid w:val="005C0921"/>
    <w:rsid w:val="005C0943"/>
    <w:rsid w:val="005C09C5"/>
    <w:rsid w:val="005C0B96"/>
    <w:rsid w:val="005C0BF6"/>
    <w:rsid w:val="005C0C16"/>
    <w:rsid w:val="005C0D1C"/>
    <w:rsid w:val="005C0E40"/>
    <w:rsid w:val="005C0E62"/>
    <w:rsid w:val="005C0F74"/>
    <w:rsid w:val="005C0FD6"/>
    <w:rsid w:val="005C105A"/>
    <w:rsid w:val="005C11C7"/>
    <w:rsid w:val="005C1428"/>
    <w:rsid w:val="005C14CB"/>
    <w:rsid w:val="005C14D3"/>
    <w:rsid w:val="005C1501"/>
    <w:rsid w:val="005C193B"/>
    <w:rsid w:val="005C1A6D"/>
    <w:rsid w:val="005C1AA4"/>
    <w:rsid w:val="005C1BB2"/>
    <w:rsid w:val="005C1BE8"/>
    <w:rsid w:val="005C1D67"/>
    <w:rsid w:val="005C1D69"/>
    <w:rsid w:val="005C1DE9"/>
    <w:rsid w:val="005C1F54"/>
    <w:rsid w:val="005C20CB"/>
    <w:rsid w:val="005C20ED"/>
    <w:rsid w:val="005C2251"/>
    <w:rsid w:val="005C22CC"/>
    <w:rsid w:val="005C2470"/>
    <w:rsid w:val="005C2538"/>
    <w:rsid w:val="005C2564"/>
    <w:rsid w:val="005C260F"/>
    <w:rsid w:val="005C27A4"/>
    <w:rsid w:val="005C2833"/>
    <w:rsid w:val="005C2B2E"/>
    <w:rsid w:val="005C2B5B"/>
    <w:rsid w:val="005C2BC9"/>
    <w:rsid w:val="005C2C92"/>
    <w:rsid w:val="005C2CC5"/>
    <w:rsid w:val="005C2E3E"/>
    <w:rsid w:val="005C2EA5"/>
    <w:rsid w:val="005C3012"/>
    <w:rsid w:val="005C3160"/>
    <w:rsid w:val="005C31BB"/>
    <w:rsid w:val="005C32C4"/>
    <w:rsid w:val="005C35D6"/>
    <w:rsid w:val="005C366A"/>
    <w:rsid w:val="005C367C"/>
    <w:rsid w:val="005C3975"/>
    <w:rsid w:val="005C39AD"/>
    <w:rsid w:val="005C3A71"/>
    <w:rsid w:val="005C3ABA"/>
    <w:rsid w:val="005C3BCE"/>
    <w:rsid w:val="005C3C61"/>
    <w:rsid w:val="005C3EBC"/>
    <w:rsid w:val="005C4156"/>
    <w:rsid w:val="005C42F6"/>
    <w:rsid w:val="005C433E"/>
    <w:rsid w:val="005C438F"/>
    <w:rsid w:val="005C43BC"/>
    <w:rsid w:val="005C454A"/>
    <w:rsid w:val="005C4652"/>
    <w:rsid w:val="005C46D4"/>
    <w:rsid w:val="005C47D1"/>
    <w:rsid w:val="005C4872"/>
    <w:rsid w:val="005C49D9"/>
    <w:rsid w:val="005C4CA8"/>
    <w:rsid w:val="005C4D45"/>
    <w:rsid w:val="005C4D4A"/>
    <w:rsid w:val="005C4DB6"/>
    <w:rsid w:val="005C513B"/>
    <w:rsid w:val="005C51EE"/>
    <w:rsid w:val="005C54BF"/>
    <w:rsid w:val="005C5592"/>
    <w:rsid w:val="005C5743"/>
    <w:rsid w:val="005C5957"/>
    <w:rsid w:val="005C59A2"/>
    <w:rsid w:val="005C5AC3"/>
    <w:rsid w:val="005C5B27"/>
    <w:rsid w:val="005C5BA8"/>
    <w:rsid w:val="005C5BAD"/>
    <w:rsid w:val="005C5BF5"/>
    <w:rsid w:val="005C5CAD"/>
    <w:rsid w:val="005C5E5B"/>
    <w:rsid w:val="005C5F0B"/>
    <w:rsid w:val="005C5F0E"/>
    <w:rsid w:val="005C6028"/>
    <w:rsid w:val="005C6125"/>
    <w:rsid w:val="005C61C4"/>
    <w:rsid w:val="005C6259"/>
    <w:rsid w:val="005C62ED"/>
    <w:rsid w:val="005C631E"/>
    <w:rsid w:val="005C635C"/>
    <w:rsid w:val="005C67BF"/>
    <w:rsid w:val="005C6945"/>
    <w:rsid w:val="005C6982"/>
    <w:rsid w:val="005C69ED"/>
    <w:rsid w:val="005C6B6F"/>
    <w:rsid w:val="005C6C4B"/>
    <w:rsid w:val="005C6C81"/>
    <w:rsid w:val="005C6CDD"/>
    <w:rsid w:val="005C6DB6"/>
    <w:rsid w:val="005C6DBE"/>
    <w:rsid w:val="005C6DCD"/>
    <w:rsid w:val="005C6DF3"/>
    <w:rsid w:val="005C6E37"/>
    <w:rsid w:val="005C6E60"/>
    <w:rsid w:val="005C6E6E"/>
    <w:rsid w:val="005C6EEA"/>
    <w:rsid w:val="005C6EF3"/>
    <w:rsid w:val="005C718B"/>
    <w:rsid w:val="005C7195"/>
    <w:rsid w:val="005C72A8"/>
    <w:rsid w:val="005C738F"/>
    <w:rsid w:val="005C744F"/>
    <w:rsid w:val="005C757D"/>
    <w:rsid w:val="005C75AF"/>
    <w:rsid w:val="005C76F6"/>
    <w:rsid w:val="005C7908"/>
    <w:rsid w:val="005C7A82"/>
    <w:rsid w:val="005C7D04"/>
    <w:rsid w:val="005C7E07"/>
    <w:rsid w:val="005C7E7B"/>
    <w:rsid w:val="005C7ED2"/>
    <w:rsid w:val="005C7F1E"/>
    <w:rsid w:val="005C7F99"/>
    <w:rsid w:val="005C7FD4"/>
    <w:rsid w:val="005D0031"/>
    <w:rsid w:val="005D016D"/>
    <w:rsid w:val="005D020A"/>
    <w:rsid w:val="005D03A8"/>
    <w:rsid w:val="005D0530"/>
    <w:rsid w:val="005D05FB"/>
    <w:rsid w:val="005D074D"/>
    <w:rsid w:val="005D075A"/>
    <w:rsid w:val="005D09D9"/>
    <w:rsid w:val="005D0A69"/>
    <w:rsid w:val="005D0A90"/>
    <w:rsid w:val="005D0AB0"/>
    <w:rsid w:val="005D0B99"/>
    <w:rsid w:val="005D0BA3"/>
    <w:rsid w:val="005D0E45"/>
    <w:rsid w:val="005D1181"/>
    <w:rsid w:val="005D11E0"/>
    <w:rsid w:val="005D12C2"/>
    <w:rsid w:val="005D13E1"/>
    <w:rsid w:val="005D1493"/>
    <w:rsid w:val="005D1622"/>
    <w:rsid w:val="005D174A"/>
    <w:rsid w:val="005D186D"/>
    <w:rsid w:val="005D18D8"/>
    <w:rsid w:val="005D1C1B"/>
    <w:rsid w:val="005D1D4D"/>
    <w:rsid w:val="005D1DCF"/>
    <w:rsid w:val="005D1DE5"/>
    <w:rsid w:val="005D1E5B"/>
    <w:rsid w:val="005D1E64"/>
    <w:rsid w:val="005D1FC2"/>
    <w:rsid w:val="005D2108"/>
    <w:rsid w:val="005D239E"/>
    <w:rsid w:val="005D251B"/>
    <w:rsid w:val="005D2540"/>
    <w:rsid w:val="005D2558"/>
    <w:rsid w:val="005D2632"/>
    <w:rsid w:val="005D27A1"/>
    <w:rsid w:val="005D2A7F"/>
    <w:rsid w:val="005D2AFA"/>
    <w:rsid w:val="005D2BC0"/>
    <w:rsid w:val="005D2C45"/>
    <w:rsid w:val="005D2C8F"/>
    <w:rsid w:val="005D2CC2"/>
    <w:rsid w:val="005D2D76"/>
    <w:rsid w:val="005D2DDB"/>
    <w:rsid w:val="005D2F2A"/>
    <w:rsid w:val="005D313B"/>
    <w:rsid w:val="005D3177"/>
    <w:rsid w:val="005D31BA"/>
    <w:rsid w:val="005D3392"/>
    <w:rsid w:val="005D3425"/>
    <w:rsid w:val="005D345C"/>
    <w:rsid w:val="005D34AB"/>
    <w:rsid w:val="005D3597"/>
    <w:rsid w:val="005D3693"/>
    <w:rsid w:val="005D36DE"/>
    <w:rsid w:val="005D3741"/>
    <w:rsid w:val="005D3897"/>
    <w:rsid w:val="005D3A56"/>
    <w:rsid w:val="005D3C91"/>
    <w:rsid w:val="005D3E28"/>
    <w:rsid w:val="005D3F6F"/>
    <w:rsid w:val="005D40C9"/>
    <w:rsid w:val="005D40DA"/>
    <w:rsid w:val="005D416C"/>
    <w:rsid w:val="005D41B3"/>
    <w:rsid w:val="005D41E7"/>
    <w:rsid w:val="005D42CC"/>
    <w:rsid w:val="005D42E2"/>
    <w:rsid w:val="005D4393"/>
    <w:rsid w:val="005D442D"/>
    <w:rsid w:val="005D46E6"/>
    <w:rsid w:val="005D476B"/>
    <w:rsid w:val="005D48B0"/>
    <w:rsid w:val="005D48CD"/>
    <w:rsid w:val="005D4918"/>
    <w:rsid w:val="005D4A3D"/>
    <w:rsid w:val="005D4AC1"/>
    <w:rsid w:val="005D4B0E"/>
    <w:rsid w:val="005D4B8B"/>
    <w:rsid w:val="005D4CA8"/>
    <w:rsid w:val="005D4D35"/>
    <w:rsid w:val="005D4F79"/>
    <w:rsid w:val="005D5028"/>
    <w:rsid w:val="005D50B7"/>
    <w:rsid w:val="005D50D1"/>
    <w:rsid w:val="005D5167"/>
    <w:rsid w:val="005D520B"/>
    <w:rsid w:val="005D52F2"/>
    <w:rsid w:val="005D5419"/>
    <w:rsid w:val="005D541A"/>
    <w:rsid w:val="005D546E"/>
    <w:rsid w:val="005D55C0"/>
    <w:rsid w:val="005D56E0"/>
    <w:rsid w:val="005D56E2"/>
    <w:rsid w:val="005D571A"/>
    <w:rsid w:val="005D57C3"/>
    <w:rsid w:val="005D58C7"/>
    <w:rsid w:val="005D58D5"/>
    <w:rsid w:val="005D5998"/>
    <w:rsid w:val="005D5A1A"/>
    <w:rsid w:val="005D5AE2"/>
    <w:rsid w:val="005D5DD2"/>
    <w:rsid w:val="005D5DF5"/>
    <w:rsid w:val="005D6204"/>
    <w:rsid w:val="005D6221"/>
    <w:rsid w:val="005D6361"/>
    <w:rsid w:val="005D6408"/>
    <w:rsid w:val="005D6487"/>
    <w:rsid w:val="005D64C6"/>
    <w:rsid w:val="005D65AA"/>
    <w:rsid w:val="005D666A"/>
    <w:rsid w:val="005D6679"/>
    <w:rsid w:val="005D68A2"/>
    <w:rsid w:val="005D6B89"/>
    <w:rsid w:val="005D6C0F"/>
    <w:rsid w:val="005D6C4B"/>
    <w:rsid w:val="005D6C7B"/>
    <w:rsid w:val="005D6CBE"/>
    <w:rsid w:val="005D715A"/>
    <w:rsid w:val="005D7282"/>
    <w:rsid w:val="005D728C"/>
    <w:rsid w:val="005D72A3"/>
    <w:rsid w:val="005D736E"/>
    <w:rsid w:val="005D7388"/>
    <w:rsid w:val="005D740D"/>
    <w:rsid w:val="005D747D"/>
    <w:rsid w:val="005D75F0"/>
    <w:rsid w:val="005D7635"/>
    <w:rsid w:val="005D76C9"/>
    <w:rsid w:val="005D76CE"/>
    <w:rsid w:val="005D772C"/>
    <w:rsid w:val="005D7779"/>
    <w:rsid w:val="005D77DD"/>
    <w:rsid w:val="005D7916"/>
    <w:rsid w:val="005D7923"/>
    <w:rsid w:val="005D79E8"/>
    <w:rsid w:val="005D7CFA"/>
    <w:rsid w:val="005D7F52"/>
    <w:rsid w:val="005D7F7B"/>
    <w:rsid w:val="005E015E"/>
    <w:rsid w:val="005E01D8"/>
    <w:rsid w:val="005E0248"/>
    <w:rsid w:val="005E037E"/>
    <w:rsid w:val="005E04EA"/>
    <w:rsid w:val="005E0580"/>
    <w:rsid w:val="005E05D4"/>
    <w:rsid w:val="005E062B"/>
    <w:rsid w:val="005E0692"/>
    <w:rsid w:val="005E06A8"/>
    <w:rsid w:val="005E07A9"/>
    <w:rsid w:val="005E0802"/>
    <w:rsid w:val="005E090C"/>
    <w:rsid w:val="005E0B30"/>
    <w:rsid w:val="005E0D5C"/>
    <w:rsid w:val="005E0DEC"/>
    <w:rsid w:val="005E0E64"/>
    <w:rsid w:val="005E0F55"/>
    <w:rsid w:val="005E0FB0"/>
    <w:rsid w:val="005E1063"/>
    <w:rsid w:val="005E1163"/>
    <w:rsid w:val="005E1346"/>
    <w:rsid w:val="005E1397"/>
    <w:rsid w:val="005E14E1"/>
    <w:rsid w:val="005E15FF"/>
    <w:rsid w:val="005E1A80"/>
    <w:rsid w:val="005E1A8F"/>
    <w:rsid w:val="005E1B37"/>
    <w:rsid w:val="005E1B89"/>
    <w:rsid w:val="005E1BCB"/>
    <w:rsid w:val="005E1BE5"/>
    <w:rsid w:val="005E1BEF"/>
    <w:rsid w:val="005E1CCE"/>
    <w:rsid w:val="005E1E09"/>
    <w:rsid w:val="005E1F28"/>
    <w:rsid w:val="005E2050"/>
    <w:rsid w:val="005E2055"/>
    <w:rsid w:val="005E2161"/>
    <w:rsid w:val="005E21F8"/>
    <w:rsid w:val="005E222A"/>
    <w:rsid w:val="005E2287"/>
    <w:rsid w:val="005E2451"/>
    <w:rsid w:val="005E24ED"/>
    <w:rsid w:val="005E2577"/>
    <w:rsid w:val="005E25A5"/>
    <w:rsid w:val="005E25DC"/>
    <w:rsid w:val="005E263D"/>
    <w:rsid w:val="005E2692"/>
    <w:rsid w:val="005E2848"/>
    <w:rsid w:val="005E286D"/>
    <w:rsid w:val="005E28A0"/>
    <w:rsid w:val="005E28D2"/>
    <w:rsid w:val="005E2B68"/>
    <w:rsid w:val="005E2BEF"/>
    <w:rsid w:val="005E2C0E"/>
    <w:rsid w:val="005E2F6B"/>
    <w:rsid w:val="005E31FC"/>
    <w:rsid w:val="005E352C"/>
    <w:rsid w:val="005E3534"/>
    <w:rsid w:val="005E3577"/>
    <w:rsid w:val="005E36DE"/>
    <w:rsid w:val="005E36EE"/>
    <w:rsid w:val="005E3736"/>
    <w:rsid w:val="005E37A8"/>
    <w:rsid w:val="005E386C"/>
    <w:rsid w:val="005E38DA"/>
    <w:rsid w:val="005E391D"/>
    <w:rsid w:val="005E39BA"/>
    <w:rsid w:val="005E3B63"/>
    <w:rsid w:val="005E3CFD"/>
    <w:rsid w:val="005E3F59"/>
    <w:rsid w:val="005E41D3"/>
    <w:rsid w:val="005E42FB"/>
    <w:rsid w:val="005E4328"/>
    <w:rsid w:val="005E445A"/>
    <w:rsid w:val="005E44D3"/>
    <w:rsid w:val="005E4653"/>
    <w:rsid w:val="005E47EC"/>
    <w:rsid w:val="005E4807"/>
    <w:rsid w:val="005E48B8"/>
    <w:rsid w:val="005E493A"/>
    <w:rsid w:val="005E496B"/>
    <w:rsid w:val="005E4A37"/>
    <w:rsid w:val="005E4A58"/>
    <w:rsid w:val="005E4B7A"/>
    <w:rsid w:val="005E4BA7"/>
    <w:rsid w:val="005E4BB5"/>
    <w:rsid w:val="005E4BE6"/>
    <w:rsid w:val="005E4C9E"/>
    <w:rsid w:val="005E4D71"/>
    <w:rsid w:val="005E4DD7"/>
    <w:rsid w:val="005E4EB9"/>
    <w:rsid w:val="005E5108"/>
    <w:rsid w:val="005E51CB"/>
    <w:rsid w:val="005E5278"/>
    <w:rsid w:val="005E55AE"/>
    <w:rsid w:val="005E5744"/>
    <w:rsid w:val="005E5886"/>
    <w:rsid w:val="005E5939"/>
    <w:rsid w:val="005E5AD0"/>
    <w:rsid w:val="005E5B53"/>
    <w:rsid w:val="005E5B90"/>
    <w:rsid w:val="005E5BC4"/>
    <w:rsid w:val="005E5BCF"/>
    <w:rsid w:val="005E5BFD"/>
    <w:rsid w:val="005E5C29"/>
    <w:rsid w:val="005E5D93"/>
    <w:rsid w:val="005E5DE1"/>
    <w:rsid w:val="005E5F1C"/>
    <w:rsid w:val="005E5FDF"/>
    <w:rsid w:val="005E61A2"/>
    <w:rsid w:val="005E6414"/>
    <w:rsid w:val="005E6464"/>
    <w:rsid w:val="005E64CC"/>
    <w:rsid w:val="005E6520"/>
    <w:rsid w:val="005E6581"/>
    <w:rsid w:val="005E6584"/>
    <w:rsid w:val="005E6698"/>
    <w:rsid w:val="005E67DC"/>
    <w:rsid w:val="005E687F"/>
    <w:rsid w:val="005E68A7"/>
    <w:rsid w:val="005E6AF4"/>
    <w:rsid w:val="005E6B64"/>
    <w:rsid w:val="005E6BD0"/>
    <w:rsid w:val="005E6BE1"/>
    <w:rsid w:val="005E6C5A"/>
    <w:rsid w:val="005E6C97"/>
    <w:rsid w:val="005E6D41"/>
    <w:rsid w:val="005E6E5A"/>
    <w:rsid w:val="005E6E5E"/>
    <w:rsid w:val="005E6EF3"/>
    <w:rsid w:val="005E7053"/>
    <w:rsid w:val="005E7355"/>
    <w:rsid w:val="005E752E"/>
    <w:rsid w:val="005E75EF"/>
    <w:rsid w:val="005E75FC"/>
    <w:rsid w:val="005E7904"/>
    <w:rsid w:val="005E7D27"/>
    <w:rsid w:val="005E7FD8"/>
    <w:rsid w:val="005F01C6"/>
    <w:rsid w:val="005F026B"/>
    <w:rsid w:val="005F040F"/>
    <w:rsid w:val="005F04BA"/>
    <w:rsid w:val="005F05C9"/>
    <w:rsid w:val="005F073C"/>
    <w:rsid w:val="005F0806"/>
    <w:rsid w:val="005F08C9"/>
    <w:rsid w:val="005F0937"/>
    <w:rsid w:val="005F0943"/>
    <w:rsid w:val="005F0B06"/>
    <w:rsid w:val="005F0B2F"/>
    <w:rsid w:val="005F0CAB"/>
    <w:rsid w:val="005F0E26"/>
    <w:rsid w:val="005F0F23"/>
    <w:rsid w:val="005F0FCF"/>
    <w:rsid w:val="005F1017"/>
    <w:rsid w:val="005F10AD"/>
    <w:rsid w:val="005F10D4"/>
    <w:rsid w:val="005F10FF"/>
    <w:rsid w:val="005F1207"/>
    <w:rsid w:val="005F1427"/>
    <w:rsid w:val="005F1506"/>
    <w:rsid w:val="005F162A"/>
    <w:rsid w:val="005F1732"/>
    <w:rsid w:val="005F18ED"/>
    <w:rsid w:val="005F1A8E"/>
    <w:rsid w:val="005F1ABC"/>
    <w:rsid w:val="005F1CD2"/>
    <w:rsid w:val="005F1D5D"/>
    <w:rsid w:val="005F1DF7"/>
    <w:rsid w:val="005F1EEB"/>
    <w:rsid w:val="005F1F60"/>
    <w:rsid w:val="005F20F3"/>
    <w:rsid w:val="005F217A"/>
    <w:rsid w:val="005F217C"/>
    <w:rsid w:val="005F21E6"/>
    <w:rsid w:val="005F2245"/>
    <w:rsid w:val="005F23AE"/>
    <w:rsid w:val="005F23C1"/>
    <w:rsid w:val="005F23DB"/>
    <w:rsid w:val="005F24B4"/>
    <w:rsid w:val="005F24E4"/>
    <w:rsid w:val="005F25B1"/>
    <w:rsid w:val="005F2667"/>
    <w:rsid w:val="005F2880"/>
    <w:rsid w:val="005F2A1E"/>
    <w:rsid w:val="005F2B25"/>
    <w:rsid w:val="005F2BD9"/>
    <w:rsid w:val="005F2C89"/>
    <w:rsid w:val="005F2E11"/>
    <w:rsid w:val="005F2F61"/>
    <w:rsid w:val="005F2FA6"/>
    <w:rsid w:val="005F30BE"/>
    <w:rsid w:val="005F3250"/>
    <w:rsid w:val="005F3273"/>
    <w:rsid w:val="005F3279"/>
    <w:rsid w:val="005F3359"/>
    <w:rsid w:val="005F3388"/>
    <w:rsid w:val="005F33C6"/>
    <w:rsid w:val="005F3427"/>
    <w:rsid w:val="005F3444"/>
    <w:rsid w:val="005F371E"/>
    <w:rsid w:val="005F375A"/>
    <w:rsid w:val="005F3785"/>
    <w:rsid w:val="005F378B"/>
    <w:rsid w:val="005F3861"/>
    <w:rsid w:val="005F3A76"/>
    <w:rsid w:val="005F3D9B"/>
    <w:rsid w:val="005F3FE4"/>
    <w:rsid w:val="005F406C"/>
    <w:rsid w:val="005F410C"/>
    <w:rsid w:val="005F418E"/>
    <w:rsid w:val="005F41ED"/>
    <w:rsid w:val="005F4210"/>
    <w:rsid w:val="005F4321"/>
    <w:rsid w:val="005F443A"/>
    <w:rsid w:val="005F44A5"/>
    <w:rsid w:val="005F4615"/>
    <w:rsid w:val="005F4823"/>
    <w:rsid w:val="005F4946"/>
    <w:rsid w:val="005F4BC7"/>
    <w:rsid w:val="005F4C53"/>
    <w:rsid w:val="005F4C59"/>
    <w:rsid w:val="005F4CA6"/>
    <w:rsid w:val="005F4D35"/>
    <w:rsid w:val="005F4D66"/>
    <w:rsid w:val="005F4DAB"/>
    <w:rsid w:val="005F4DF7"/>
    <w:rsid w:val="005F4E9E"/>
    <w:rsid w:val="005F4FAA"/>
    <w:rsid w:val="005F5002"/>
    <w:rsid w:val="005F50D4"/>
    <w:rsid w:val="005F520F"/>
    <w:rsid w:val="005F5388"/>
    <w:rsid w:val="005F54CC"/>
    <w:rsid w:val="005F55BC"/>
    <w:rsid w:val="005F5786"/>
    <w:rsid w:val="005F578A"/>
    <w:rsid w:val="005F5882"/>
    <w:rsid w:val="005F590E"/>
    <w:rsid w:val="005F5999"/>
    <w:rsid w:val="005F5A3A"/>
    <w:rsid w:val="005F5AAC"/>
    <w:rsid w:val="005F5C69"/>
    <w:rsid w:val="005F5C80"/>
    <w:rsid w:val="005F5CDB"/>
    <w:rsid w:val="005F5D0D"/>
    <w:rsid w:val="005F5E41"/>
    <w:rsid w:val="005F5F2C"/>
    <w:rsid w:val="005F6025"/>
    <w:rsid w:val="005F634E"/>
    <w:rsid w:val="005F646C"/>
    <w:rsid w:val="005F647D"/>
    <w:rsid w:val="005F6485"/>
    <w:rsid w:val="005F648F"/>
    <w:rsid w:val="005F6521"/>
    <w:rsid w:val="005F661E"/>
    <w:rsid w:val="005F6644"/>
    <w:rsid w:val="005F66C8"/>
    <w:rsid w:val="005F66F7"/>
    <w:rsid w:val="005F66FB"/>
    <w:rsid w:val="005F672A"/>
    <w:rsid w:val="005F6816"/>
    <w:rsid w:val="005F68EB"/>
    <w:rsid w:val="005F69AB"/>
    <w:rsid w:val="005F6AB3"/>
    <w:rsid w:val="005F6B39"/>
    <w:rsid w:val="005F6BA5"/>
    <w:rsid w:val="005F6BED"/>
    <w:rsid w:val="005F6DA9"/>
    <w:rsid w:val="005F6DFA"/>
    <w:rsid w:val="005F6E5D"/>
    <w:rsid w:val="005F6F8F"/>
    <w:rsid w:val="005F6F9B"/>
    <w:rsid w:val="005F71A7"/>
    <w:rsid w:val="005F72A0"/>
    <w:rsid w:val="005F734D"/>
    <w:rsid w:val="005F7447"/>
    <w:rsid w:val="005F744E"/>
    <w:rsid w:val="005F7584"/>
    <w:rsid w:val="005F7598"/>
    <w:rsid w:val="005F77BF"/>
    <w:rsid w:val="005F77FF"/>
    <w:rsid w:val="005F783F"/>
    <w:rsid w:val="005F78D0"/>
    <w:rsid w:val="005F7999"/>
    <w:rsid w:val="005F79B8"/>
    <w:rsid w:val="005F79F6"/>
    <w:rsid w:val="005F7A88"/>
    <w:rsid w:val="005F7B2D"/>
    <w:rsid w:val="005F7D79"/>
    <w:rsid w:val="005F7DA3"/>
    <w:rsid w:val="005F7E1B"/>
    <w:rsid w:val="005F7ED2"/>
    <w:rsid w:val="005F7F93"/>
    <w:rsid w:val="005F7F96"/>
    <w:rsid w:val="005F7F97"/>
    <w:rsid w:val="005F7FC0"/>
    <w:rsid w:val="006001A4"/>
    <w:rsid w:val="006001C4"/>
    <w:rsid w:val="006001CE"/>
    <w:rsid w:val="006002D5"/>
    <w:rsid w:val="006005E8"/>
    <w:rsid w:val="00600896"/>
    <w:rsid w:val="006008CE"/>
    <w:rsid w:val="00600C9E"/>
    <w:rsid w:val="00600CFB"/>
    <w:rsid w:val="00600F24"/>
    <w:rsid w:val="00600F31"/>
    <w:rsid w:val="0060109C"/>
    <w:rsid w:val="00601314"/>
    <w:rsid w:val="0060134B"/>
    <w:rsid w:val="00601377"/>
    <w:rsid w:val="00601541"/>
    <w:rsid w:val="00601593"/>
    <w:rsid w:val="006015CC"/>
    <w:rsid w:val="006016FA"/>
    <w:rsid w:val="00601702"/>
    <w:rsid w:val="006017A5"/>
    <w:rsid w:val="00601802"/>
    <w:rsid w:val="0060182E"/>
    <w:rsid w:val="006018E4"/>
    <w:rsid w:val="0060196A"/>
    <w:rsid w:val="006019B9"/>
    <w:rsid w:val="00601A34"/>
    <w:rsid w:val="00601AFC"/>
    <w:rsid w:val="00601B23"/>
    <w:rsid w:val="00601BBD"/>
    <w:rsid w:val="00601C1D"/>
    <w:rsid w:val="00601C25"/>
    <w:rsid w:val="00601CE2"/>
    <w:rsid w:val="00601D26"/>
    <w:rsid w:val="00601D82"/>
    <w:rsid w:val="00601E7C"/>
    <w:rsid w:val="00601EBC"/>
    <w:rsid w:val="00601EE6"/>
    <w:rsid w:val="00601F04"/>
    <w:rsid w:val="00601F52"/>
    <w:rsid w:val="00601F76"/>
    <w:rsid w:val="00601FC7"/>
    <w:rsid w:val="0060207C"/>
    <w:rsid w:val="006020DA"/>
    <w:rsid w:val="006020F4"/>
    <w:rsid w:val="0060213C"/>
    <w:rsid w:val="00602161"/>
    <w:rsid w:val="0060216D"/>
    <w:rsid w:val="006021B6"/>
    <w:rsid w:val="006021E7"/>
    <w:rsid w:val="0060221E"/>
    <w:rsid w:val="006025F4"/>
    <w:rsid w:val="00602630"/>
    <w:rsid w:val="006027D0"/>
    <w:rsid w:val="006027E9"/>
    <w:rsid w:val="0060283A"/>
    <w:rsid w:val="00602898"/>
    <w:rsid w:val="00602950"/>
    <w:rsid w:val="00602C24"/>
    <w:rsid w:val="00602DA9"/>
    <w:rsid w:val="00602DAB"/>
    <w:rsid w:val="00602E08"/>
    <w:rsid w:val="00602F96"/>
    <w:rsid w:val="0060304B"/>
    <w:rsid w:val="006030F3"/>
    <w:rsid w:val="006031EC"/>
    <w:rsid w:val="006033D5"/>
    <w:rsid w:val="00603418"/>
    <w:rsid w:val="006034C9"/>
    <w:rsid w:val="0060352D"/>
    <w:rsid w:val="00603551"/>
    <w:rsid w:val="00603671"/>
    <w:rsid w:val="006036E0"/>
    <w:rsid w:val="0060380A"/>
    <w:rsid w:val="0060382E"/>
    <w:rsid w:val="0060388A"/>
    <w:rsid w:val="0060398C"/>
    <w:rsid w:val="006039AE"/>
    <w:rsid w:val="006039E5"/>
    <w:rsid w:val="00603A0A"/>
    <w:rsid w:val="00603B0B"/>
    <w:rsid w:val="00603B46"/>
    <w:rsid w:val="00603D5E"/>
    <w:rsid w:val="00603FA0"/>
    <w:rsid w:val="00604036"/>
    <w:rsid w:val="00604202"/>
    <w:rsid w:val="00604321"/>
    <w:rsid w:val="006044A4"/>
    <w:rsid w:val="006045CF"/>
    <w:rsid w:val="006045D5"/>
    <w:rsid w:val="00604629"/>
    <w:rsid w:val="006046CF"/>
    <w:rsid w:val="00604731"/>
    <w:rsid w:val="00604737"/>
    <w:rsid w:val="0060498B"/>
    <w:rsid w:val="00604A55"/>
    <w:rsid w:val="00604A86"/>
    <w:rsid w:val="00604B34"/>
    <w:rsid w:val="00604BD0"/>
    <w:rsid w:val="00604BE7"/>
    <w:rsid w:val="00604CA6"/>
    <w:rsid w:val="00604DC4"/>
    <w:rsid w:val="00604E8F"/>
    <w:rsid w:val="006050AC"/>
    <w:rsid w:val="00605147"/>
    <w:rsid w:val="006051A5"/>
    <w:rsid w:val="006051EC"/>
    <w:rsid w:val="0060547E"/>
    <w:rsid w:val="00605628"/>
    <w:rsid w:val="00605683"/>
    <w:rsid w:val="006056D6"/>
    <w:rsid w:val="006059EA"/>
    <w:rsid w:val="00605AED"/>
    <w:rsid w:val="00605AF5"/>
    <w:rsid w:val="00605B90"/>
    <w:rsid w:val="00605C7E"/>
    <w:rsid w:val="00605C84"/>
    <w:rsid w:val="00605E56"/>
    <w:rsid w:val="00605E58"/>
    <w:rsid w:val="006062F7"/>
    <w:rsid w:val="0060633E"/>
    <w:rsid w:val="0060637A"/>
    <w:rsid w:val="00606386"/>
    <w:rsid w:val="006063A2"/>
    <w:rsid w:val="006063C5"/>
    <w:rsid w:val="006064D2"/>
    <w:rsid w:val="00606523"/>
    <w:rsid w:val="0060657D"/>
    <w:rsid w:val="0060658E"/>
    <w:rsid w:val="006065D7"/>
    <w:rsid w:val="00606680"/>
    <w:rsid w:val="006067A7"/>
    <w:rsid w:val="006067C8"/>
    <w:rsid w:val="00606ACC"/>
    <w:rsid w:val="00606BAB"/>
    <w:rsid w:val="00606C48"/>
    <w:rsid w:val="00606D06"/>
    <w:rsid w:val="00606EF0"/>
    <w:rsid w:val="00607078"/>
    <w:rsid w:val="0060716E"/>
    <w:rsid w:val="006071DD"/>
    <w:rsid w:val="006071FC"/>
    <w:rsid w:val="00607281"/>
    <w:rsid w:val="0060738D"/>
    <w:rsid w:val="00607418"/>
    <w:rsid w:val="00607503"/>
    <w:rsid w:val="00607529"/>
    <w:rsid w:val="0060754D"/>
    <w:rsid w:val="00607677"/>
    <w:rsid w:val="00607872"/>
    <w:rsid w:val="006078A0"/>
    <w:rsid w:val="00607951"/>
    <w:rsid w:val="00607A0F"/>
    <w:rsid w:val="00607B9A"/>
    <w:rsid w:val="00607C6B"/>
    <w:rsid w:val="00607DE2"/>
    <w:rsid w:val="00607E72"/>
    <w:rsid w:val="006100F4"/>
    <w:rsid w:val="00610197"/>
    <w:rsid w:val="00610202"/>
    <w:rsid w:val="00610246"/>
    <w:rsid w:val="006102C6"/>
    <w:rsid w:val="006102D7"/>
    <w:rsid w:val="00610403"/>
    <w:rsid w:val="00610435"/>
    <w:rsid w:val="0061060F"/>
    <w:rsid w:val="006106B0"/>
    <w:rsid w:val="006106EC"/>
    <w:rsid w:val="006107BE"/>
    <w:rsid w:val="0061080C"/>
    <w:rsid w:val="00610861"/>
    <w:rsid w:val="0061090B"/>
    <w:rsid w:val="00610A16"/>
    <w:rsid w:val="00610D7B"/>
    <w:rsid w:val="00610DE8"/>
    <w:rsid w:val="00610E4F"/>
    <w:rsid w:val="00610F08"/>
    <w:rsid w:val="00610FB5"/>
    <w:rsid w:val="00610FB6"/>
    <w:rsid w:val="00611027"/>
    <w:rsid w:val="00611093"/>
    <w:rsid w:val="00611162"/>
    <w:rsid w:val="00611228"/>
    <w:rsid w:val="00611269"/>
    <w:rsid w:val="00611457"/>
    <w:rsid w:val="00611506"/>
    <w:rsid w:val="00611522"/>
    <w:rsid w:val="006115FC"/>
    <w:rsid w:val="006116D3"/>
    <w:rsid w:val="0061178C"/>
    <w:rsid w:val="006117CC"/>
    <w:rsid w:val="006118A2"/>
    <w:rsid w:val="006118A4"/>
    <w:rsid w:val="00611952"/>
    <w:rsid w:val="006119DC"/>
    <w:rsid w:val="00611A90"/>
    <w:rsid w:val="00611B56"/>
    <w:rsid w:val="00611B8D"/>
    <w:rsid w:val="00611BB3"/>
    <w:rsid w:val="00611C85"/>
    <w:rsid w:val="00611E57"/>
    <w:rsid w:val="00611EF6"/>
    <w:rsid w:val="00611F82"/>
    <w:rsid w:val="00611FB2"/>
    <w:rsid w:val="0061221A"/>
    <w:rsid w:val="00612261"/>
    <w:rsid w:val="00612299"/>
    <w:rsid w:val="006124A9"/>
    <w:rsid w:val="00612654"/>
    <w:rsid w:val="0061267A"/>
    <w:rsid w:val="0061283F"/>
    <w:rsid w:val="0061284B"/>
    <w:rsid w:val="00612941"/>
    <w:rsid w:val="00612B04"/>
    <w:rsid w:val="00612BF7"/>
    <w:rsid w:val="00612DCB"/>
    <w:rsid w:val="00612DFD"/>
    <w:rsid w:val="00612F37"/>
    <w:rsid w:val="0061300D"/>
    <w:rsid w:val="0061301A"/>
    <w:rsid w:val="00613092"/>
    <w:rsid w:val="0061317D"/>
    <w:rsid w:val="006132FE"/>
    <w:rsid w:val="00613302"/>
    <w:rsid w:val="0061346C"/>
    <w:rsid w:val="006134AF"/>
    <w:rsid w:val="006137D4"/>
    <w:rsid w:val="00613892"/>
    <w:rsid w:val="006138CC"/>
    <w:rsid w:val="00613E6D"/>
    <w:rsid w:val="00613E7B"/>
    <w:rsid w:val="00613F10"/>
    <w:rsid w:val="00614119"/>
    <w:rsid w:val="00614178"/>
    <w:rsid w:val="00614328"/>
    <w:rsid w:val="006144AE"/>
    <w:rsid w:val="006144BB"/>
    <w:rsid w:val="0061466A"/>
    <w:rsid w:val="00614700"/>
    <w:rsid w:val="00614767"/>
    <w:rsid w:val="006147EF"/>
    <w:rsid w:val="006147F6"/>
    <w:rsid w:val="0061482E"/>
    <w:rsid w:val="00614875"/>
    <w:rsid w:val="006148C0"/>
    <w:rsid w:val="00614A5A"/>
    <w:rsid w:val="00614AD7"/>
    <w:rsid w:val="00614B14"/>
    <w:rsid w:val="00614B83"/>
    <w:rsid w:val="00614CB8"/>
    <w:rsid w:val="00614D21"/>
    <w:rsid w:val="00614E0E"/>
    <w:rsid w:val="00614E2C"/>
    <w:rsid w:val="00614F01"/>
    <w:rsid w:val="00615041"/>
    <w:rsid w:val="0061513B"/>
    <w:rsid w:val="00615168"/>
    <w:rsid w:val="006151BA"/>
    <w:rsid w:val="00615288"/>
    <w:rsid w:val="006153CB"/>
    <w:rsid w:val="006153E0"/>
    <w:rsid w:val="0061543A"/>
    <w:rsid w:val="0061553C"/>
    <w:rsid w:val="00615588"/>
    <w:rsid w:val="00615655"/>
    <w:rsid w:val="006156E2"/>
    <w:rsid w:val="00615785"/>
    <w:rsid w:val="006157D5"/>
    <w:rsid w:val="006157DA"/>
    <w:rsid w:val="00615871"/>
    <w:rsid w:val="00615873"/>
    <w:rsid w:val="00615947"/>
    <w:rsid w:val="00615AAF"/>
    <w:rsid w:val="00615ABF"/>
    <w:rsid w:val="00615B97"/>
    <w:rsid w:val="00615CA8"/>
    <w:rsid w:val="00615D7F"/>
    <w:rsid w:val="00615E79"/>
    <w:rsid w:val="00615EB4"/>
    <w:rsid w:val="0061610D"/>
    <w:rsid w:val="006162E5"/>
    <w:rsid w:val="006162FD"/>
    <w:rsid w:val="0061637D"/>
    <w:rsid w:val="006163CB"/>
    <w:rsid w:val="0061645A"/>
    <w:rsid w:val="0061645B"/>
    <w:rsid w:val="00616490"/>
    <w:rsid w:val="00616522"/>
    <w:rsid w:val="00616541"/>
    <w:rsid w:val="00616686"/>
    <w:rsid w:val="00616723"/>
    <w:rsid w:val="006167A1"/>
    <w:rsid w:val="00616970"/>
    <w:rsid w:val="00616976"/>
    <w:rsid w:val="00616C70"/>
    <w:rsid w:val="00616D48"/>
    <w:rsid w:val="00616DA2"/>
    <w:rsid w:val="00616E76"/>
    <w:rsid w:val="00616EBB"/>
    <w:rsid w:val="006172EC"/>
    <w:rsid w:val="00617443"/>
    <w:rsid w:val="006174C4"/>
    <w:rsid w:val="0061799B"/>
    <w:rsid w:val="00617ABF"/>
    <w:rsid w:val="00617AF4"/>
    <w:rsid w:val="00617BC9"/>
    <w:rsid w:val="00617DD4"/>
    <w:rsid w:val="00617EA2"/>
    <w:rsid w:val="00617EDA"/>
    <w:rsid w:val="00617EEA"/>
    <w:rsid w:val="00617F3D"/>
    <w:rsid w:val="00617F8F"/>
    <w:rsid w:val="00617FAB"/>
    <w:rsid w:val="00620078"/>
    <w:rsid w:val="006203C4"/>
    <w:rsid w:val="00620403"/>
    <w:rsid w:val="006206EC"/>
    <w:rsid w:val="00620710"/>
    <w:rsid w:val="0062071D"/>
    <w:rsid w:val="006207B8"/>
    <w:rsid w:val="006207D6"/>
    <w:rsid w:val="00620915"/>
    <w:rsid w:val="00620937"/>
    <w:rsid w:val="00620A37"/>
    <w:rsid w:val="00620AF8"/>
    <w:rsid w:val="00620DC6"/>
    <w:rsid w:val="00620E4C"/>
    <w:rsid w:val="00620E8D"/>
    <w:rsid w:val="00620EE1"/>
    <w:rsid w:val="00620F87"/>
    <w:rsid w:val="00621019"/>
    <w:rsid w:val="0062103D"/>
    <w:rsid w:val="0062109B"/>
    <w:rsid w:val="006210AB"/>
    <w:rsid w:val="006210FC"/>
    <w:rsid w:val="006213DB"/>
    <w:rsid w:val="00621550"/>
    <w:rsid w:val="006215AF"/>
    <w:rsid w:val="00621767"/>
    <w:rsid w:val="006217CB"/>
    <w:rsid w:val="00621812"/>
    <w:rsid w:val="00621830"/>
    <w:rsid w:val="006219C6"/>
    <w:rsid w:val="00621AB7"/>
    <w:rsid w:val="00621BE3"/>
    <w:rsid w:val="00621FB4"/>
    <w:rsid w:val="00622071"/>
    <w:rsid w:val="006220CD"/>
    <w:rsid w:val="00622243"/>
    <w:rsid w:val="006222E8"/>
    <w:rsid w:val="00622347"/>
    <w:rsid w:val="0062237B"/>
    <w:rsid w:val="006224AD"/>
    <w:rsid w:val="00622543"/>
    <w:rsid w:val="00622614"/>
    <w:rsid w:val="0062263A"/>
    <w:rsid w:val="00622666"/>
    <w:rsid w:val="006226D3"/>
    <w:rsid w:val="00622785"/>
    <w:rsid w:val="006227A6"/>
    <w:rsid w:val="006227C0"/>
    <w:rsid w:val="0062291C"/>
    <w:rsid w:val="006229A2"/>
    <w:rsid w:val="00622AA9"/>
    <w:rsid w:val="00622BB4"/>
    <w:rsid w:val="00622CFF"/>
    <w:rsid w:val="00622D1D"/>
    <w:rsid w:val="00622D93"/>
    <w:rsid w:val="00622E00"/>
    <w:rsid w:val="00622EBA"/>
    <w:rsid w:val="006230C6"/>
    <w:rsid w:val="00623298"/>
    <w:rsid w:val="006232C4"/>
    <w:rsid w:val="0062339F"/>
    <w:rsid w:val="0062343A"/>
    <w:rsid w:val="00623527"/>
    <w:rsid w:val="006235F4"/>
    <w:rsid w:val="006235F8"/>
    <w:rsid w:val="00623673"/>
    <w:rsid w:val="006236C3"/>
    <w:rsid w:val="006238E9"/>
    <w:rsid w:val="00623928"/>
    <w:rsid w:val="006239A3"/>
    <w:rsid w:val="00623B8B"/>
    <w:rsid w:val="00623B94"/>
    <w:rsid w:val="00623C24"/>
    <w:rsid w:val="00623D2B"/>
    <w:rsid w:val="00623FF0"/>
    <w:rsid w:val="0062408B"/>
    <w:rsid w:val="006240A5"/>
    <w:rsid w:val="00624191"/>
    <w:rsid w:val="006242FB"/>
    <w:rsid w:val="0062439D"/>
    <w:rsid w:val="006243AF"/>
    <w:rsid w:val="0062449F"/>
    <w:rsid w:val="0062453F"/>
    <w:rsid w:val="00624566"/>
    <w:rsid w:val="006245C9"/>
    <w:rsid w:val="00624692"/>
    <w:rsid w:val="0062469C"/>
    <w:rsid w:val="0062471B"/>
    <w:rsid w:val="0062475A"/>
    <w:rsid w:val="00624944"/>
    <w:rsid w:val="00624C07"/>
    <w:rsid w:val="00624CBA"/>
    <w:rsid w:val="00624D2B"/>
    <w:rsid w:val="00624DCB"/>
    <w:rsid w:val="00624E66"/>
    <w:rsid w:val="00624EAA"/>
    <w:rsid w:val="00624F67"/>
    <w:rsid w:val="00624FAD"/>
    <w:rsid w:val="0062504B"/>
    <w:rsid w:val="00625224"/>
    <w:rsid w:val="00625243"/>
    <w:rsid w:val="006252FB"/>
    <w:rsid w:val="006253B3"/>
    <w:rsid w:val="0062540E"/>
    <w:rsid w:val="0062543D"/>
    <w:rsid w:val="0062571F"/>
    <w:rsid w:val="006258BC"/>
    <w:rsid w:val="006258EC"/>
    <w:rsid w:val="00625A0B"/>
    <w:rsid w:val="00625B50"/>
    <w:rsid w:val="00625BE6"/>
    <w:rsid w:val="00625D0F"/>
    <w:rsid w:val="00625DF5"/>
    <w:rsid w:val="00625EAE"/>
    <w:rsid w:val="00625F29"/>
    <w:rsid w:val="0062615E"/>
    <w:rsid w:val="0062634F"/>
    <w:rsid w:val="0062648D"/>
    <w:rsid w:val="00626492"/>
    <w:rsid w:val="006264D6"/>
    <w:rsid w:val="0062660F"/>
    <w:rsid w:val="00626685"/>
    <w:rsid w:val="006268C7"/>
    <w:rsid w:val="006269C7"/>
    <w:rsid w:val="006269CD"/>
    <w:rsid w:val="00626CF2"/>
    <w:rsid w:val="00626D3B"/>
    <w:rsid w:val="00626D42"/>
    <w:rsid w:val="00626DC0"/>
    <w:rsid w:val="00626E07"/>
    <w:rsid w:val="00626F5B"/>
    <w:rsid w:val="0062702E"/>
    <w:rsid w:val="00627031"/>
    <w:rsid w:val="0062733B"/>
    <w:rsid w:val="0062745F"/>
    <w:rsid w:val="00627474"/>
    <w:rsid w:val="006274E5"/>
    <w:rsid w:val="006276AB"/>
    <w:rsid w:val="006277BA"/>
    <w:rsid w:val="006278B7"/>
    <w:rsid w:val="00627BCA"/>
    <w:rsid w:val="00627E15"/>
    <w:rsid w:val="00627E3E"/>
    <w:rsid w:val="00627E5D"/>
    <w:rsid w:val="00627EE4"/>
    <w:rsid w:val="00627F07"/>
    <w:rsid w:val="00627F22"/>
    <w:rsid w:val="00627FB0"/>
    <w:rsid w:val="00627FCD"/>
    <w:rsid w:val="006300A3"/>
    <w:rsid w:val="006301AD"/>
    <w:rsid w:val="006301AE"/>
    <w:rsid w:val="0063027A"/>
    <w:rsid w:val="0063027D"/>
    <w:rsid w:val="006302C8"/>
    <w:rsid w:val="006302EE"/>
    <w:rsid w:val="006303E6"/>
    <w:rsid w:val="00630481"/>
    <w:rsid w:val="006305EE"/>
    <w:rsid w:val="00630679"/>
    <w:rsid w:val="00630787"/>
    <w:rsid w:val="006307F0"/>
    <w:rsid w:val="006308AB"/>
    <w:rsid w:val="006308BB"/>
    <w:rsid w:val="0063092D"/>
    <w:rsid w:val="0063097D"/>
    <w:rsid w:val="00630AF5"/>
    <w:rsid w:val="00630BA4"/>
    <w:rsid w:val="00630C63"/>
    <w:rsid w:val="00630C6D"/>
    <w:rsid w:val="00630D03"/>
    <w:rsid w:val="00630E3E"/>
    <w:rsid w:val="00630FED"/>
    <w:rsid w:val="00630FF0"/>
    <w:rsid w:val="00631006"/>
    <w:rsid w:val="00631028"/>
    <w:rsid w:val="00631069"/>
    <w:rsid w:val="0063106D"/>
    <w:rsid w:val="006311BC"/>
    <w:rsid w:val="00631235"/>
    <w:rsid w:val="0063129C"/>
    <w:rsid w:val="006312E8"/>
    <w:rsid w:val="0063132D"/>
    <w:rsid w:val="00631443"/>
    <w:rsid w:val="00631492"/>
    <w:rsid w:val="0063149D"/>
    <w:rsid w:val="006314AC"/>
    <w:rsid w:val="006315E9"/>
    <w:rsid w:val="00631758"/>
    <w:rsid w:val="0063180F"/>
    <w:rsid w:val="006319B2"/>
    <w:rsid w:val="00631AB1"/>
    <w:rsid w:val="00631AD2"/>
    <w:rsid w:val="00631C47"/>
    <w:rsid w:val="00631CE3"/>
    <w:rsid w:val="00631D1F"/>
    <w:rsid w:val="00631D7B"/>
    <w:rsid w:val="00631DD5"/>
    <w:rsid w:val="00631DDA"/>
    <w:rsid w:val="00631DF3"/>
    <w:rsid w:val="00631E2F"/>
    <w:rsid w:val="00631EA4"/>
    <w:rsid w:val="00631F3B"/>
    <w:rsid w:val="00631F89"/>
    <w:rsid w:val="00631FC2"/>
    <w:rsid w:val="00632212"/>
    <w:rsid w:val="00632300"/>
    <w:rsid w:val="006323C8"/>
    <w:rsid w:val="00632475"/>
    <w:rsid w:val="0063260E"/>
    <w:rsid w:val="0063262F"/>
    <w:rsid w:val="00632960"/>
    <w:rsid w:val="006329D4"/>
    <w:rsid w:val="00632ACD"/>
    <w:rsid w:val="00632BE2"/>
    <w:rsid w:val="00632C93"/>
    <w:rsid w:val="00632D01"/>
    <w:rsid w:val="00632D88"/>
    <w:rsid w:val="00632DC3"/>
    <w:rsid w:val="00632EBB"/>
    <w:rsid w:val="00632F06"/>
    <w:rsid w:val="00632F2D"/>
    <w:rsid w:val="00632F41"/>
    <w:rsid w:val="00632F72"/>
    <w:rsid w:val="00633113"/>
    <w:rsid w:val="00633125"/>
    <w:rsid w:val="00633175"/>
    <w:rsid w:val="0063319E"/>
    <w:rsid w:val="006331F2"/>
    <w:rsid w:val="0063320B"/>
    <w:rsid w:val="0063324C"/>
    <w:rsid w:val="00633384"/>
    <w:rsid w:val="006333BE"/>
    <w:rsid w:val="006333F4"/>
    <w:rsid w:val="00633403"/>
    <w:rsid w:val="006334BB"/>
    <w:rsid w:val="00633653"/>
    <w:rsid w:val="0063371E"/>
    <w:rsid w:val="00633728"/>
    <w:rsid w:val="00633747"/>
    <w:rsid w:val="006337AA"/>
    <w:rsid w:val="006338CD"/>
    <w:rsid w:val="006339FB"/>
    <w:rsid w:val="00633A03"/>
    <w:rsid w:val="00633A09"/>
    <w:rsid w:val="00633BC3"/>
    <w:rsid w:val="00633E49"/>
    <w:rsid w:val="00633E5C"/>
    <w:rsid w:val="00633F2E"/>
    <w:rsid w:val="006340A8"/>
    <w:rsid w:val="006340D2"/>
    <w:rsid w:val="00634160"/>
    <w:rsid w:val="006341A5"/>
    <w:rsid w:val="0063420B"/>
    <w:rsid w:val="0063432F"/>
    <w:rsid w:val="00634368"/>
    <w:rsid w:val="0063436C"/>
    <w:rsid w:val="006344E4"/>
    <w:rsid w:val="00634526"/>
    <w:rsid w:val="0063454E"/>
    <w:rsid w:val="00634633"/>
    <w:rsid w:val="00634660"/>
    <w:rsid w:val="0063483D"/>
    <w:rsid w:val="006348C0"/>
    <w:rsid w:val="00634ABA"/>
    <w:rsid w:val="00634AE4"/>
    <w:rsid w:val="00634B26"/>
    <w:rsid w:val="00634E5C"/>
    <w:rsid w:val="00634FD2"/>
    <w:rsid w:val="00635061"/>
    <w:rsid w:val="00635078"/>
    <w:rsid w:val="006351CB"/>
    <w:rsid w:val="00635207"/>
    <w:rsid w:val="00635242"/>
    <w:rsid w:val="00635290"/>
    <w:rsid w:val="00635390"/>
    <w:rsid w:val="0063541A"/>
    <w:rsid w:val="0063542E"/>
    <w:rsid w:val="0063558B"/>
    <w:rsid w:val="006355EE"/>
    <w:rsid w:val="00635620"/>
    <w:rsid w:val="00635624"/>
    <w:rsid w:val="006356EF"/>
    <w:rsid w:val="006358C8"/>
    <w:rsid w:val="006358CC"/>
    <w:rsid w:val="006358E4"/>
    <w:rsid w:val="00635919"/>
    <w:rsid w:val="0063594B"/>
    <w:rsid w:val="006359EF"/>
    <w:rsid w:val="00635A4D"/>
    <w:rsid w:val="00635A82"/>
    <w:rsid w:val="00635A97"/>
    <w:rsid w:val="00635DA5"/>
    <w:rsid w:val="00635DDD"/>
    <w:rsid w:val="00635F23"/>
    <w:rsid w:val="00635F9E"/>
    <w:rsid w:val="00635FE1"/>
    <w:rsid w:val="00636107"/>
    <w:rsid w:val="00636349"/>
    <w:rsid w:val="00636397"/>
    <w:rsid w:val="0063646B"/>
    <w:rsid w:val="00636563"/>
    <w:rsid w:val="00636701"/>
    <w:rsid w:val="00636911"/>
    <w:rsid w:val="0063695E"/>
    <w:rsid w:val="00636AF2"/>
    <w:rsid w:val="00636B40"/>
    <w:rsid w:val="00636CF8"/>
    <w:rsid w:val="00636E4B"/>
    <w:rsid w:val="00636E57"/>
    <w:rsid w:val="00636EA0"/>
    <w:rsid w:val="00636EA5"/>
    <w:rsid w:val="00636F2B"/>
    <w:rsid w:val="00636F83"/>
    <w:rsid w:val="0063703C"/>
    <w:rsid w:val="00637286"/>
    <w:rsid w:val="006372A3"/>
    <w:rsid w:val="006374A8"/>
    <w:rsid w:val="0063766B"/>
    <w:rsid w:val="006376E6"/>
    <w:rsid w:val="006377CB"/>
    <w:rsid w:val="006378EE"/>
    <w:rsid w:val="0063791E"/>
    <w:rsid w:val="00637B02"/>
    <w:rsid w:val="00637BEB"/>
    <w:rsid w:val="00637C69"/>
    <w:rsid w:val="00637E58"/>
    <w:rsid w:val="00640011"/>
    <w:rsid w:val="006400BF"/>
    <w:rsid w:val="0064024C"/>
    <w:rsid w:val="006402EB"/>
    <w:rsid w:val="006403F2"/>
    <w:rsid w:val="00640401"/>
    <w:rsid w:val="0064042F"/>
    <w:rsid w:val="00640463"/>
    <w:rsid w:val="00640466"/>
    <w:rsid w:val="0064063F"/>
    <w:rsid w:val="006409F8"/>
    <w:rsid w:val="00640BA4"/>
    <w:rsid w:val="00641087"/>
    <w:rsid w:val="006410BC"/>
    <w:rsid w:val="0064129C"/>
    <w:rsid w:val="0064134F"/>
    <w:rsid w:val="00641363"/>
    <w:rsid w:val="00641447"/>
    <w:rsid w:val="00641483"/>
    <w:rsid w:val="00641492"/>
    <w:rsid w:val="00641561"/>
    <w:rsid w:val="006415DC"/>
    <w:rsid w:val="00641602"/>
    <w:rsid w:val="0064165C"/>
    <w:rsid w:val="0064177E"/>
    <w:rsid w:val="00641793"/>
    <w:rsid w:val="00641B16"/>
    <w:rsid w:val="00641B69"/>
    <w:rsid w:val="00641C3B"/>
    <w:rsid w:val="00641CC4"/>
    <w:rsid w:val="00641D0E"/>
    <w:rsid w:val="00641E5D"/>
    <w:rsid w:val="00641F7C"/>
    <w:rsid w:val="00641F9F"/>
    <w:rsid w:val="00642099"/>
    <w:rsid w:val="006423A7"/>
    <w:rsid w:val="00642443"/>
    <w:rsid w:val="0064254E"/>
    <w:rsid w:val="00642714"/>
    <w:rsid w:val="00642783"/>
    <w:rsid w:val="006427E4"/>
    <w:rsid w:val="0064290E"/>
    <w:rsid w:val="00642AC7"/>
    <w:rsid w:val="00642B72"/>
    <w:rsid w:val="00642B9B"/>
    <w:rsid w:val="00642C99"/>
    <w:rsid w:val="00642E52"/>
    <w:rsid w:val="00642F88"/>
    <w:rsid w:val="00642F95"/>
    <w:rsid w:val="00642FE7"/>
    <w:rsid w:val="0064309E"/>
    <w:rsid w:val="006430A7"/>
    <w:rsid w:val="0064324F"/>
    <w:rsid w:val="006432F8"/>
    <w:rsid w:val="00643306"/>
    <w:rsid w:val="006433EF"/>
    <w:rsid w:val="0064353A"/>
    <w:rsid w:val="00643552"/>
    <w:rsid w:val="006436A0"/>
    <w:rsid w:val="006436E8"/>
    <w:rsid w:val="006436F0"/>
    <w:rsid w:val="0064381B"/>
    <w:rsid w:val="00643894"/>
    <w:rsid w:val="0064391C"/>
    <w:rsid w:val="00643923"/>
    <w:rsid w:val="006439C8"/>
    <w:rsid w:val="006439FE"/>
    <w:rsid w:val="00643A1B"/>
    <w:rsid w:val="00643A3E"/>
    <w:rsid w:val="00643A84"/>
    <w:rsid w:val="00643B29"/>
    <w:rsid w:val="00643B49"/>
    <w:rsid w:val="00643B92"/>
    <w:rsid w:val="00643B9F"/>
    <w:rsid w:val="00643C9B"/>
    <w:rsid w:val="00643D8D"/>
    <w:rsid w:val="00643E7D"/>
    <w:rsid w:val="00643ECD"/>
    <w:rsid w:val="00643F29"/>
    <w:rsid w:val="00643FD9"/>
    <w:rsid w:val="006440BD"/>
    <w:rsid w:val="00644103"/>
    <w:rsid w:val="0064418D"/>
    <w:rsid w:val="0064435D"/>
    <w:rsid w:val="006444A8"/>
    <w:rsid w:val="00644627"/>
    <w:rsid w:val="00644631"/>
    <w:rsid w:val="00644715"/>
    <w:rsid w:val="006448AC"/>
    <w:rsid w:val="0064498D"/>
    <w:rsid w:val="00644BC3"/>
    <w:rsid w:val="00644BCB"/>
    <w:rsid w:val="00644CD4"/>
    <w:rsid w:val="00644CF5"/>
    <w:rsid w:val="00644D59"/>
    <w:rsid w:val="00644D6F"/>
    <w:rsid w:val="00644DC0"/>
    <w:rsid w:val="00644E35"/>
    <w:rsid w:val="00644E94"/>
    <w:rsid w:val="00644EC6"/>
    <w:rsid w:val="00644EC7"/>
    <w:rsid w:val="00644F88"/>
    <w:rsid w:val="00645296"/>
    <w:rsid w:val="0064552E"/>
    <w:rsid w:val="006455CB"/>
    <w:rsid w:val="006455F0"/>
    <w:rsid w:val="00645684"/>
    <w:rsid w:val="006457F2"/>
    <w:rsid w:val="0064580C"/>
    <w:rsid w:val="006459BE"/>
    <w:rsid w:val="00645AF7"/>
    <w:rsid w:val="00645BBB"/>
    <w:rsid w:val="00645D58"/>
    <w:rsid w:val="00645E1B"/>
    <w:rsid w:val="00645E28"/>
    <w:rsid w:val="00645E35"/>
    <w:rsid w:val="0064604E"/>
    <w:rsid w:val="006460D2"/>
    <w:rsid w:val="006460FB"/>
    <w:rsid w:val="00646257"/>
    <w:rsid w:val="0064639A"/>
    <w:rsid w:val="006463DE"/>
    <w:rsid w:val="00646402"/>
    <w:rsid w:val="00646518"/>
    <w:rsid w:val="006466D6"/>
    <w:rsid w:val="0064670F"/>
    <w:rsid w:val="00646711"/>
    <w:rsid w:val="00646769"/>
    <w:rsid w:val="006467B1"/>
    <w:rsid w:val="00646A10"/>
    <w:rsid w:val="00646A1A"/>
    <w:rsid w:val="00646A4D"/>
    <w:rsid w:val="00646AB7"/>
    <w:rsid w:val="00646B47"/>
    <w:rsid w:val="00646B8A"/>
    <w:rsid w:val="00646BA9"/>
    <w:rsid w:val="00646BDD"/>
    <w:rsid w:val="00646C7E"/>
    <w:rsid w:val="00646D6A"/>
    <w:rsid w:val="00646E4E"/>
    <w:rsid w:val="00646F92"/>
    <w:rsid w:val="006471D0"/>
    <w:rsid w:val="006472EE"/>
    <w:rsid w:val="0064740E"/>
    <w:rsid w:val="00647747"/>
    <w:rsid w:val="00647754"/>
    <w:rsid w:val="00647871"/>
    <w:rsid w:val="00647962"/>
    <w:rsid w:val="00647AB5"/>
    <w:rsid w:val="00647AD0"/>
    <w:rsid w:val="00647B29"/>
    <w:rsid w:val="00647C3E"/>
    <w:rsid w:val="00647F9D"/>
    <w:rsid w:val="00647FB9"/>
    <w:rsid w:val="0065005A"/>
    <w:rsid w:val="006500CA"/>
    <w:rsid w:val="00650111"/>
    <w:rsid w:val="00650113"/>
    <w:rsid w:val="00650281"/>
    <w:rsid w:val="0065030C"/>
    <w:rsid w:val="006503B0"/>
    <w:rsid w:val="006504EB"/>
    <w:rsid w:val="006505F6"/>
    <w:rsid w:val="00650631"/>
    <w:rsid w:val="00650AE7"/>
    <w:rsid w:val="00650AFD"/>
    <w:rsid w:val="00650B8D"/>
    <w:rsid w:val="00650C21"/>
    <w:rsid w:val="00650DC3"/>
    <w:rsid w:val="00650EDD"/>
    <w:rsid w:val="00651008"/>
    <w:rsid w:val="00651061"/>
    <w:rsid w:val="00651087"/>
    <w:rsid w:val="00651092"/>
    <w:rsid w:val="0065115A"/>
    <w:rsid w:val="006511DF"/>
    <w:rsid w:val="0065124A"/>
    <w:rsid w:val="0065124C"/>
    <w:rsid w:val="00651294"/>
    <w:rsid w:val="006512C4"/>
    <w:rsid w:val="0065138E"/>
    <w:rsid w:val="00651547"/>
    <w:rsid w:val="0065162A"/>
    <w:rsid w:val="006516C0"/>
    <w:rsid w:val="00651863"/>
    <w:rsid w:val="006519D4"/>
    <w:rsid w:val="00651B63"/>
    <w:rsid w:val="00651C76"/>
    <w:rsid w:val="00651DA7"/>
    <w:rsid w:val="00651FE6"/>
    <w:rsid w:val="0065201B"/>
    <w:rsid w:val="00652175"/>
    <w:rsid w:val="0065224E"/>
    <w:rsid w:val="006522AC"/>
    <w:rsid w:val="00652464"/>
    <w:rsid w:val="00652639"/>
    <w:rsid w:val="0065273D"/>
    <w:rsid w:val="00652751"/>
    <w:rsid w:val="0065282D"/>
    <w:rsid w:val="00652883"/>
    <w:rsid w:val="00652906"/>
    <w:rsid w:val="00652A5D"/>
    <w:rsid w:val="00652A85"/>
    <w:rsid w:val="00652D2B"/>
    <w:rsid w:val="00652D50"/>
    <w:rsid w:val="00652D5B"/>
    <w:rsid w:val="00652EAB"/>
    <w:rsid w:val="00652ED9"/>
    <w:rsid w:val="00652F4F"/>
    <w:rsid w:val="0065306B"/>
    <w:rsid w:val="0065307B"/>
    <w:rsid w:val="006530A1"/>
    <w:rsid w:val="006530CB"/>
    <w:rsid w:val="006532BB"/>
    <w:rsid w:val="0065351D"/>
    <w:rsid w:val="00653A71"/>
    <w:rsid w:val="00653CA9"/>
    <w:rsid w:val="00653E19"/>
    <w:rsid w:val="00653E9E"/>
    <w:rsid w:val="00653F5B"/>
    <w:rsid w:val="0065406D"/>
    <w:rsid w:val="006541DD"/>
    <w:rsid w:val="00654287"/>
    <w:rsid w:val="0065439C"/>
    <w:rsid w:val="0065451C"/>
    <w:rsid w:val="00654602"/>
    <w:rsid w:val="0065464E"/>
    <w:rsid w:val="006547DB"/>
    <w:rsid w:val="00654A05"/>
    <w:rsid w:val="00654C8B"/>
    <w:rsid w:val="00654DC8"/>
    <w:rsid w:val="00654ED2"/>
    <w:rsid w:val="00654EEF"/>
    <w:rsid w:val="00654FC2"/>
    <w:rsid w:val="006550BF"/>
    <w:rsid w:val="006550DD"/>
    <w:rsid w:val="006551E2"/>
    <w:rsid w:val="0065522B"/>
    <w:rsid w:val="006552CF"/>
    <w:rsid w:val="00655300"/>
    <w:rsid w:val="006553D7"/>
    <w:rsid w:val="0065553F"/>
    <w:rsid w:val="0065556A"/>
    <w:rsid w:val="006555C6"/>
    <w:rsid w:val="0065560F"/>
    <w:rsid w:val="00655798"/>
    <w:rsid w:val="0065579E"/>
    <w:rsid w:val="0065582D"/>
    <w:rsid w:val="00655936"/>
    <w:rsid w:val="00655A22"/>
    <w:rsid w:val="00655A8E"/>
    <w:rsid w:val="00655C0F"/>
    <w:rsid w:val="00655C39"/>
    <w:rsid w:val="00655FA7"/>
    <w:rsid w:val="0065618A"/>
    <w:rsid w:val="006561E5"/>
    <w:rsid w:val="0065622F"/>
    <w:rsid w:val="00656280"/>
    <w:rsid w:val="006562A4"/>
    <w:rsid w:val="00656360"/>
    <w:rsid w:val="0065648A"/>
    <w:rsid w:val="006564E0"/>
    <w:rsid w:val="00656768"/>
    <w:rsid w:val="0065678C"/>
    <w:rsid w:val="006568A6"/>
    <w:rsid w:val="006568B2"/>
    <w:rsid w:val="0065690F"/>
    <w:rsid w:val="00656A6F"/>
    <w:rsid w:val="00656E4C"/>
    <w:rsid w:val="00656F02"/>
    <w:rsid w:val="00656F2D"/>
    <w:rsid w:val="00656F8B"/>
    <w:rsid w:val="00657039"/>
    <w:rsid w:val="006573C3"/>
    <w:rsid w:val="00657414"/>
    <w:rsid w:val="00657514"/>
    <w:rsid w:val="00657542"/>
    <w:rsid w:val="0065762A"/>
    <w:rsid w:val="0065763F"/>
    <w:rsid w:val="0065764A"/>
    <w:rsid w:val="00657771"/>
    <w:rsid w:val="00657960"/>
    <w:rsid w:val="006579B2"/>
    <w:rsid w:val="00657B17"/>
    <w:rsid w:val="00657BB7"/>
    <w:rsid w:val="00657BC6"/>
    <w:rsid w:val="00657C16"/>
    <w:rsid w:val="00657C9A"/>
    <w:rsid w:val="00657D1D"/>
    <w:rsid w:val="00657DBE"/>
    <w:rsid w:val="00657DFA"/>
    <w:rsid w:val="0066001C"/>
    <w:rsid w:val="00660023"/>
    <w:rsid w:val="0066008E"/>
    <w:rsid w:val="00660177"/>
    <w:rsid w:val="006601BA"/>
    <w:rsid w:val="00660240"/>
    <w:rsid w:val="00660309"/>
    <w:rsid w:val="00660455"/>
    <w:rsid w:val="006604E0"/>
    <w:rsid w:val="0066059C"/>
    <w:rsid w:val="00660625"/>
    <w:rsid w:val="0066074F"/>
    <w:rsid w:val="006607DD"/>
    <w:rsid w:val="006608DB"/>
    <w:rsid w:val="0066092D"/>
    <w:rsid w:val="006609FA"/>
    <w:rsid w:val="00660A4C"/>
    <w:rsid w:val="00660B4F"/>
    <w:rsid w:val="00660BA4"/>
    <w:rsid w:val="00660CB6"/>
    <w:rsid w:val="00660D1E"/>
    <w:rsid w:val="00660DD5"/>
    <w:rsid w:val="00660EA2"/>
    <w:rsid w:val="00660F30"/>
    <w:rsid w:val="006610C2"/>
    <w:rsid w:val="006611D9"/>
    <w:rsid w:val="00661462"/>
    <w:rsid w:val="006615C7"/>
    <w:rsid w:val="00661609"/>
    <w:rsid w:val="0066176C"/>
    <w:rsid w:val="00661815"/>
    <w:rsid w:val="0066186B"/>
    <w:rsid w:val="006618B4"/>
    <w:rsid w:val="0066198D"/>
    <w:rsid w:val="00661ABB"/>
    <w:rsid w:val="00661AC3"/>
    <w:rsid w:val="00661B15"/>
    <w:rsid w:val="00661C10"/>
    <w:rsid w:val="00661C4F"/>
    <w:rsid w:val="00661CD4"/>
    <w:rsid w:val="00661EA4"/>
    <w:rsid w:val="00661F85"/>
    <w:rsid w:val="0066208A"/>
    <w:rsid w:val="006622A5"/>
    <w:rsid w:val="006623AA"/>
    <w:rsid w:val="00662550"/>
    <w:rsid w:val="00662566"/>
    <w:rsid w:val="006625E0"/>
    <w:rsid w:val="006625E6"/>
    <w:rsid w:val="00662738"/>
    <w:rsid w:val="006628A0"/>
    <w:rsid w:val="0066298B"/>
    <w:rsid w:val="00662C52"/>
    <w:rsid w:val="00662CEF"/>
    <w:rsid w:val="00662D59"/>
    <w:rsid w:val="00662DA4"/>
    <w:rsid w:val="00662E3B"/>
    <w:rsid w:val="00662EAD"/>
    <w:rsid w:val="00663203"/>
    <w:rsid w:val="00663375"/>
    <w:rsid w:val="006635BC"/>
    <w:rsid w:val="00663698"/>
    <w:rsid w:val="00663741"/>
    <w:rsid w:val="006638A3"/>
    <w:rsid w:val="006638EE"/>
    <w:rsid w:val="006639C3"/>
    <w:rsid w:val="00663C6B"/>
    <w:rsid w:val="00663CFA"/>
    <w:rsid w:val="00663D32"/>
    <w:rsid w:val="00663D71"/>
    <w:rsid w:val="00663F0A"/>
    <w:rsid w:val="00663F79"/>
    <w:rsid w:val="00663FF2"/>
    <w:rsid w:val="00664109"/>
    <w:rsid w:val="00664114"/>
    <w:rsid w:val="006641BC"/>
    <w:rsid w:val="0066428B"/>
    <w:rsid w:val="0066442D"/>
    <w:rsid w:val="00664516"/>
    <w:rsid w:val="0066462D"/>
    <w:rsid w:val="00664705"/>
    <w:rsid w:val="006647B1"/>
    <w:rsid w:val="0066485E"/>
    <w:rsid w:val="006648BB"/>
    <w:rsid w:val="00664919"/>
    <w:rsid w:val="00664A79"/>
    <w:rsid w:val="00664D03"/>
    <w:rsid w:val="00664DED"/>
    <w:rsid w:val="00664E14"/>
    <w:rsid w:val="00664F86"/>
    <w:rsid w:val="00664F88"/>
    <w:rsid w:val="00664FFC"/>
    <w:rsid w:val="00665161"/>
    <w:rsid w:val="00665386"/>
    <w:rsid w:val="006653B8"/>
    <w:rsid w:val="006653DB"/>
    <w:rsid w:val="00665477"/>
    <w:rsid w:val="00665559"/>
    <w:rsid w:val="00665722"/>
    <w:rsid w:val="006657B2"/>
    <w:rsid w:val="006658D0"/>
    <w:rsid w:val="006659ED"/>
    <w:rsid w:val="00665B46"/>
    <w:rsid w:val="00665D9F"/>
    <w:rsid w:val="00665DC1"/>
    <w:rsid w:val="00665E03"/>
    <w:rsid w:val="00665E3B"/>
    <w:rsid w:val="00665F75"/>
    <w:rsid w:val="0066606B"/>
    <w:rsid w:val="006660C6"/>
    <w:rsid w:val="006660DC"/>
    <w:rsid w:val="00666131"/>
    <w:rsid w:val="0066619B"/>
    <w:rsid w:val="0066656B"/>
    <w:rsid w:val="006665E5"/>
    <w:rsid w:val="00666890"/>
    <w:rsid w:val="00666A20"/>
    <w:rsid w:val="00666A2F"/>
    <w:rsid w:val="00666B22"/>
    <w:rsid w:val="00666DCD"/>
    <w:rsid w:val="00666E91"/>
    <w:rsid w:val="006670E5"/>
    <w:rsid w:val="00667271"/>
    <w:rsid w:val="006672B2"/>
    <w:rsid w:val="0066739C"/>
    <w:rsid w:val="006673F0"/>
    <w:rsid w:val="006675B6"/>
    <w:rsid w:val="0066761E"/>
    <w:rsid w:val="0066775E"/>
    <w:rsid w:val="006678DB"/>
    <w:rsid w:val="00667994"/>
    <w:rsid w:val="00667A7F"/>
    <w:rsid w:val="00667B75"/>
    <w:rsid w:val="00667B97"/>
    <w:rsid w:val="00667C2A"/>
    <w:rsid w:val="00667EC8"/>
    <w:rsid w:val="00667F37"/>
    <w:rsid w:val="00667F79"/>
    <w:rsid w:val="0067019B"/>
    <w:rsid w:val="006702B0"/>
    <w:rsid w:val="0067049C"/>
    <w:rsid w:val="006704BB"/>
    <w:rsid w:val="006704C7"/>
    <w:rsid w:val="006706A0"/>
    <w:rsid w:val="006706C2"/>
    <w:rsid w:val="00670713"/>
    <w:rsid w:val="006707DE"/>
    <w:rsid w:val="006708DA"/>
    <w:rsid w:val="0067098C"/>
    <w:rsid w:val="006709B2"/>
    <w:rsid w:val="006709BA"/>
    <w:rsid w:val="00670B4A"/>
    <w:rsid w:val="00670BAC"/>
    <w:rsid w:val="00670BBC"/>
    <w:rsid w:val="00670C6C"/>
    <w:rsid w:val="00670F8C"/>
    <w:rsid w:val="0067102C"/>
    <w:rsid w:val="006711F0"/>
    <w:rsid w:val="006712A4"/>
    <w:rsid w:val="006712B7"/>
    <w:rsid w:val="00671348"/>
    <w:rsid w:val="006713C1"/>
    <w:rsid w:val="006713C8"/>
    <w:rsid w:val="00671422"/>
    <w:rsid w:val="00671514"/>
    <w:rsid w:val="00671541"/>
    <w:rsid w:val="00671570"/>
    <w:rsid w:val="00671655"/>
    <w:rsid w:val="00671679"/>
    <w:rsid w:val="0067169B"/>
    <w:rsid w:val="00671791"/>
    <w:rsid w:val="006717EC"/>
    <w:rsid w:val="00671803"/>
    <w:rsid w:val="006718F1"/>
    <w:rsid w:val="00671A42"/>
    <w:rsid w:val="00671A91"/>
    <w:rsid w:val="00671AFA"/>
    <w:rsid w:val="00671C62"/>
    <w:rsid w:val="00671CFE"/>
    <w:rsid w:val="0067226E"/>
    <w:rsid w:val="00672270"/>
    <w:rsid w:val="00672299"/>
    <w:rsid w:val="00672331"/>
    <w:rsid w:val="00672366"/>
    <w:rsid w:val="00672597"/>
    <w:rsid w:val="0067269E"/>
    <w:rsid w:val="00672722"/>
    <w:rsid w:val="0067284F"/>
    <w:rsid w:val="0067285C"/>
    <w:rsid w:val="0067287E"/>
    <w:rsid w:val="00672891"/>
    <w:rsid w:val="006728DE"/>
    <w:rsid w:val="006731D3"/>
    <w:rsid w:val="00673221"/>
    <w:rsid w:val="00673280"/>
    <w:rsid w:val="00673390"/>
    <w:rsid w:val="00673451"/>
    <w:rsid w:val="006736B6"/>
    <w:rsid w:val="006736BC"/>
    <w:rsid w:val="00673747"/>
    <w:rsid w:val="00673800"/>
    <w:rsid w:val="0067382A"/>
    <w:rsid w:val="006738D2"/>
    <w:rsid w:val="00673A05"/>
    <w:rsid w:val="00673A4F"/>
    <w:rsid w:val="00673A92"/>
    <w:rsid w:val="00673B8C"/>
    <w:rsid w:val="00673E44"/>
    <w:rsid w:val="00673F2B"/>
    <w:rsid w:val="00673F46"/>
    <w:rsid w:val="00673F74"/>
    <w:rsid w:val="00673FC9"/>
    <w:rsid w:val="00674120"/>
    <w:rsid w:val="00674122"/>
    <w:rsid w:val="00674226"/>
    <w:rsid w:val="00674236"/>
    <w:rsid w:val="00674247"/>
    <w:rsid w:val="006743A5"/>
    <w:rsid w:val="006743A8"/>
    <w:rsid w:val="0067446E"/>
    <w:rsid w:val="006744FA"/>
    <w:rsid w:val="00674538"/>
    <w:rsid w:val="00674659"/>
    <w:rsid w:val="0067493C"/>
    <w:rsid w:val="006749BB"/>
    <w:rsid w:val="00674B24"/>
    <w:rsid w:val="00674B44"/>
    <w:rsid w:val="00674B68"/>
    <w:rsid w:val="00674CAD"/>
    <w:rsid w:val="00674CDD"/>
    <w:rsid w:val="00674FC8"/>
    <w:rsid w:val="006750CF"/>
    <w:rsid w:val="00675109"/>
    <w:rsid w:val="006752C0"/>
    <w:rsid w:val="006752FB"/>
    <w:rsid w:val="00675302"/>
    <w:rsid w:val="006753F3"/>
    <w:rsid w:val="00675C34"/>
    <w:rsid w:val="00675C99"/>
    <w:rsid w:val="00675E0F"/>
    <w:rsid w:val="00675F00"/>
    <w:rsid w:val="00675F2D"/>
    <w:rsid w:val="00676001"/>
    <w:rsid w:val="0067601B"/>
    <w:rsid w:val="0067604E"/>
    <w:rsid w:val="00676080"/>
    <w:rsid w:val="00676092"/>
    <w:rsid w:val="0067612B"/>
    <w:rsid w:val="00676277"/>
    <w:rsid w:val="006762A9"/>
    <w:rsid w:val="00676363"/>
    <w:rsid w:val="006763FF"/>
    <w:rsid w:val="00676487"/>
    <w:rsid w:val="00676521"/>
    <w:rsid w:val="00676593"/>
    <w:rsid w:val="0067669B"/>
    <w:rsid w:val="006767D4"/>
    <w:rsid w:val="006767FB"/>
    <w:rsid w:val="00676A7D"/>
    <w:rsid w:val="00676B8A"/>
    <w:rsid w:val="00676B99"/>
    <w:rsid w:val="00676BEE"/>
    <w:rsid w:val="00676C00"/>
    <w:rsid w:val="00676D11"/>
    <w:rsid w:val="00676E4A"/>
    <w:rsid w:val="00676EE1"/>
    <w:rsid w:val="00676EEC"/>
    <w:rsid w:val="00676F14"/>
    <w:rsid w:val="00676F25"/>
    <w:rsid w:val="00677007"/>
    <w:rsid w:val="00677021"/>
    <w:rsid w:val="0067703D"/>
    <w:rsid w:val="0067709D"/>
    <w:rsid w:val="00677106"/>
    <w:rsid w:val="006771AC"/>
    <w:rsid w:val="00677637"/>
    <w:rsid w:val="00677656"/>
    <w:rsid w:val="006776DA"/>
    <w:rsid w:val="00677708"/>
    <w:rsid w:val="006777B5"/>
    <w:rsid w:val="006777D1"/>
    <w:rsid w:val="0067782F"/>
    <w:rsid w:val="006778FA"/>
    <w:rsid w:val="00677911"/>
    <w:rsid w:val="00677A58"/>
    <w:rsid w:val="00677B11"/>
    <w:rsid w:val="00677B37"/>
    <w:rsid w:val="00677B95"/>
    <w:rsid w:val="00677BF9"/>
    <w:rsid w:val="00677C3A"/>
    <w:rsid w:val="00677D9B"/>
    <w:rsid w:val="00677E1E"/>
    <w:rsid w:val="00677FBC"/>
    <w:rsid w:val="00680061"/>
    <w:rsid w:val="006800D1"/>
    <w:rsid w:val="006800DA"/>
    <w:rsid w:val="00680111"/>
    <w:rsid w:val="00680435"/>
    <w:rsid w:val="006804CD"/>
    <w:rsid w:val="00680576"/>
    <w:rsid w:val="006805B9"/>
    <w:rsid w:val="00680622"/>
    <w:rsid w:val="0068072C"/>
    <w:rsid w:val="006807C9"/>
    <w:rsid w:val="006809C6"/>
    <w:rsid w:val="00680B05"/>
    <w:rsid w:val="00680B23"/>
    <w:rsid w:val="00680E60"/>
    <w:rsid w:val="00680E6B"/>
    <w:rsid w:val="00681208"/>
    <w:rsid w:val="006813E1"/>
    <w:rsid w:val="006814EB"/>
    <w:rsid w:val="00681551"/>
    <w:rsid w:val="006815F1"/>
    <w:rsid w:val="006816D3"/>
    <w:rsid w:val="006816E0"/>
    <w:rsid w:val="006817A1"/>
    <w:rsid w:val="00681C5B"/>
    <w:rsid w:val="00681C91"/>
    <w:rsid w:val="00681D51"/>
    <w:rsid w:val="00681E13"/>
    <w:rsid w:val="00681ECD"/>
    <w:rsid w:val="00682089"/>
    <w:rsid w:val="006820D8"/>
    <w:rsid w:val="00682715"/>
    <w:rsid w:val="0068277C"/>
    <w:rsid w:val="006827CB"/>
    <w:rsid w:val="0068288E"/>
    <w:rsid w:val="00682A06"/>
    <w:rsid w:val="00682A0A"/>
    <w:rsid w:val="00682BF9"/>
    <w:rsid w:val="00682C0A"/>
    <w:rsid w:val="00682C6E"/>
    <w:rsid w:val="00682CC7"/>
    <w:rsid w:val="00682CE1"/>
    <w:rsid w:val="00682D7F"/>
    <w:rsid w:val="00682F97"/>
    <w:rsid w:val="0068309D"/>
    <w:rsid w:val="006830EF"/>
    <w:rsid w:val="00683167"/>
    <w:rsid w:val="0068316C"/>
    <w:rsid w:val="00683370"/>
    <w:rsid w:val="006833FC"/>
    <w:rsid w:val="00683548"/>
    <w:rsid w:val="006837CB"/>
    <w:rsid w:val="00683A3A"/>
    <w:rsid w:val="00683B14"/>
    <w:rsid w:val="00683BCF"/>
    <w:rsid w:val="00683C01"/>
    <w:rsid w:val="00683C29"/>
    <w:rsid w:val="00683C48"/>
    <w:rsid w:val="00683D04"/>
    <w:rsid w:val="00683DDC"/>
    <w:rsid w:val="00683F98"/>
    <w:rsid w:val="00683FD9"/>
    <w:rsid w:val="00683FDA"/>
    <w:rsid w:val="00684003"/>
    <w:rsid w:val="00684004"/>
    <w:rsid w:val="00684111"/>
    <w:rsid w:val="00684236"/>
    <w:rsid w:val="00684271"/>
    <w:rsid w:val="006843D5"/>
    <w:rsid w:val="0068454A"/>
    <w:rsid w:val="00684562"/>
    <w:rsid w:val="006848E3"/>
    <w:rsid w:val="006848EA"/>
    <w:rsid w:val="00684B0C"/>
    <w:rsid w:val="00684B25"/>
    <w:rsid w:val="00684BFB"/>
    <w:rsid w:val="00684C01"/>
    <w:rsid w:val="00684E7A"/>
    <w:rsid w:val="00684F4E"/>
    <w:rsid w:val="00685228"/>
    <w:rsid w:val="00685244"/>
    <w:rsid w:val="006854FE"/>
    <w:rsid w:val="00685532"/>
    <w:rsid w:val="0068556A"/>
    <w:rsid w:val="00685604"/>
    <w:rsid w:val="0068581B"/>
    <w:rsid w:val="006858A3"/>
    <w:rsid w:val="006859FD"/>
    <w:rsid w:val="00685A0D"/>
    <w:rsid w:val="00685A1A"/>
    <w:rsid w:val="00685A72"/>
    <w:rsid w:val="00685A77"/>
    <w:rsid w:val="00685BAD"/>
    <w:rsid w:val="00685BBA"/>
    <w:rsid w:val="00685DBC"/>
    <w:rsid w:val="006860DE"/>
    <w:rsid w:val="006860F2"/>
    <w:rsid w:val="00686255"/>
    <w:rsid w:val="006862EF"/>
    <w:rsid w:val="00686491"/>
    <w:rsid w:val="00686516"/>
    <w:rsid w:val="00686628"/>
    <w:rsid w:val="00686634"/>
    <w:rsid w:val="006866AC"/>
    <w:rsid w:val="006866B6"/>
    <w:rsid w:val="0068686D"/>
    <w:rsid w:val="006868BC"/>
    <w:rsid w:val="0068692C"/>
    <w:rsid w:val="00686A68"/>
    <w:rsid w:val="00686C64"/>
    <w:rsid w:val="00686DBB"/>
    <w:rsid w:val="00686DF3"/>
    <w:rsid w:val="00686F06"/>
    <w:rsid w:val="00686F99"/>
    <w:rsid w:val="00687030"/>
    <w:rsid w:val="00687075"/>
    <w:rsid w:val="006870E6"/>
    <w:rsid w:val="006871BB"/>
    <w:rsid w:val="00687239"/>
    <w:rsid w:val="0068736F"/>
    <w:rsid w:val="0068737E"/>
    <w:rsid w:val="006873C7"/>
    <w:rsid w:val="006873F1"/>
    <w:rsid w:val="00687511"/>
    <w:rsid w:val="0068782B"/>
    <w:rsid w:val="0068788B"/>
    <w:rsid w:val="00687924"/>
    <w:rsid w:val="00687A9A"/>
    <w:rsid w:val="00687CCB"/>
    <w:rsid w:val="00687D57"/>
    <w:rsid w:val="00687D84"/>
    <w:rsid w:val="00687E6F"/>
    <w:rsid w:val="0069011D"/>
    <w:rsid w:val="00690170"/>
    <w:rsid w:val="0069019E"/>
    <w:rsid w:val="00690213"/>
    <w:rsid w:val="00690270"/>
    <w:rsid w:val="006903AD"/>
    <w:rsid w:val="006903CC"/>
    <w:rsid w:val="00690405"/>
    <w:rsid w:val="00690430"/>
    <w:rsid w:val="00690518"/>
    <w:rsid w:val="00690646"/>
    <w:rsid w:val="006907AC"/>
    <w:rsid w:val="0069096C"/>
    <w:rsid w:val="006909AD"/>
    <w:rsid w:val="00690CAA"/>
    <w:rsid w:val="00690CB0"/>
    <w:rsid w:val="00690CD3"/>
    <w:rsid w:val="00690DCE"/>
    <w:rsid w:val="00690DE2"/>
    <w:rsid w:val="00690E0B"/>
    <w:rsid w:val="00690E91"/>
    <w:rsid w:val="00691139"/>
    <w:rsid w:val="00691269"/>
    <w:rsid w:val="006912C7"/>
    <w:rsid w:val="006912F8"/>
    <w:rsid w:val="00691361"/>
    <w:rsid w:val="0069139D"/>
    <w:rsid w:val="006914BA"/>
    <w:rsid w:val="006914BE"/>
    <w:rsid w:val="0069156A"/>
    <w:rsid w:val="006915BB"/>
    <w:rsid w:val="0069172E"/>
    <w:rsid w:val="00691945"/>
    <w:rsid w:val="0069196E"/>
    <w:rsid w:val="006919B4"/>
    <w:rsid w:val="00691A68"/>
    <w:rsid w:val="00691A8B"/>
    <w:rsid w:val="00691ADD"/>
    <w:rsid w:val="00691B46"/>
    <w:rsid w:val="00691BEE"/>
    <w:rsid w:val="00691D03"/>
    <w:rsid w:val="00691D33"/>
    <w:rsid w:val="00691DE5"/>
    <w:rsid w:val="00691E32"/>
    <w:rsid w:val="00691F74"/>
    <w:rsid w:val="0069234E"/>
    <w:rsid w:val="0069243A"/>
    <w:rsid w:val="006924C4"/>
    <w:rsid w:val="0069256B"/>
    <w:rsid w:val="006926FA"/>
    <w:rsid w:val="00692786"/>
    <w:rsid w:val="00692821"/>
    <w:rsid w:val="0069294C"/>
    <w:rsid w:val="00692A10"/>
    <w:rsid w:val="00692AF7"/>
    <w:rsid w:val="00692BB7"/>
    <w:rsid w:val="00692D6E"/>
    <w:rsid w:val="00693015"/>
    <w:rsid w:val="006930EF"/>
    <w:rsid w:val="006931C8"/>
    <w:rsid w:val="00693403"/>
    <w:rsid w:val="0069348F"/>
    <w:rsid w:val="00693501"/>
    <w:rsid w:val="00693503"/>
    <w:rsid w:val="0069351E"/>
    <w:rsid w:val="00693546"/>
    <w:rsid w:val="00693556"/>
    <w:rsid w:val="0069376C"/>
    <w:rsid w:val="00693912"/>
    <w:rsid w:val="006939B2"/>
    <w:rsid w:val="006939EB"/>
    <w:rsid w:val="00693AB0"/>
    <w:rsid w:val="00693C72"/>
    <w:rsid w:val="00693D06"/>
    <w:rsid w:val="00693D1F"/>
    <w:rsid w:val="00693E29"/>
    <w:rsid w:val="00693F29"/>
    <w:rsid w:val="00693F86"/>
    <w:rsid w:val="00693FD0"/>
    <w:rsid w:val="00694014"/>
    <w:rsid w:val="0069404E"/>
    <w:rsid w:val="006941BD"/>
    <w:rsid w:val="006942E5"/>
    <w:rsid w:val="006942FA"/>
    <w:rsid w:val="006943B0"/>
    <w:rsid w:val="006943BB"/>
    <w:rsid w:val="00694491"/>
    <w:rsid w:val="006945F8"/>
    <w:rsid w:val="006945FA"/>
    <w:rsid w:val="0069466B"/>
    <w:rsid w:val="0069476D"/>
    <w:rsid w:val="006947D3"/>
    <w:rsid w:val="006947F4"/>
    <w:rsid w:val="00694890"/>
    <w:rsid w:val="00694B12"/>
    <w:rsid w:val="00694E38"/>
    <w:rsid w:val="00694EC7"/>
    <w:rsid w:val="00694EEF"/>
    <w:rsid w:val="00694EF7"/>
    <w:rsid w:val="00695001"/>
    <w:rsid w:val="00695014"/>
    <w:rsid w:val="006950C3"/>
    <w:rsid w:val="00695147"/>
    <w:rsid w:val="006952FD"/>
    <w:rsid w:val="0069531D"/>
    <w:rsid w:val="006953A5"/>
    <w:rsid w:val="00695645"/>
    <w:rsid w:val="00695685"/>
    <w:rsid w:val="0069569A"/>
    <w:rsid w:val="006956AE"/>
    <w:rsid w:val="006956E2"/>
    <w:rsid w:val="0069572F"/>
    <w:rsid w:val="00695747"/>
    <w:rsid w:val="00695767"/>
    <w:rsid w:val="006958B7"/>
    <w:rsid w:val="00695926"/>
    <w:rsid w:val="00695937"/>
    <w:rsid w:val="00695B40"/>
    <w:rsid w:val="00695C32"/>
    <w:rsid w:val="00695CE2"/>
    <w:rsid w:val="00695DC4"/>
    <w:rsid w:val="00695E0B"/>
    <w:rsid w:val="0069600B"/>
    <w:rsid w:val="00696078"/>
    <w:rsid w:val="0069608C"/>
    <w:rsid w:val="0069611C"/>
    <w:rsid w:val="00696139"/>
    <w:rsid w:val="0069615F"/>
    <w:rsid w:val="006961A9"/>
    <w:rsid w:val="006962F6"/>
    <w:rsid w:val="006963A7"/>
    <w:rsid w:val="00696418"/>
    <w:rsid w:val="006964A8"/>
    <w:rsid w:val="006964E3"/>
    <w:rsid w:val="006964E6"/>
    <w:rsid w:val="00696572"/>
    <w:rsid w:val="006965B4"/>
    <w:rsid w:val="0069663F"/>
    <w:rsid w:val="00696B05"/>
    <w:rsid w:val="00696D2C"/>
    <w:rsid w:val="00696E3E"/>
    <w:rsid w:val="00696EA2"/>
    <w:rsid w:val="00696EE4"/>
    <w:rsid w:val="00697217"/>
    <w:rsid w:val="00697246"/>
    <w:rsid w:val="00697329"/>
    <w:rsid w:val="006973D1"/>
    <w:rsid w:val="00697422"/>
    <w:rsid w:val="0069747C"/>
    <w:rsid w:val="0069747F"/>
    <w:rsid w:val="006974A2"/>
    <w:rsid w:val="0069750D"/>
    <w:rsid w:val="00697518"/>
    <w:rsid w:val="006975CB"/>
    <w:rsid w:val="00697839"/>
    <w:rsid w:val="00697889"/>
    <w:rsid w:val="006978C2"/>
    <w:rsid w:val="00697B27"/>
    <w:rsid w:val="00697B4D"/>
    <w:rsid w:val="00697CCC"/>
    <w:rsid w:val="00697DB2"/>
    <w:rsid w:val="00697DE7"/>
    <w:rsid w:val="00697EA2"/>
    <w:rsid w:val="00697F00"/>
    <w:rsid w:val="006A00DD"/>
    <w:rsid w:val="006A00E6"/>
    <w:rsid w:val="006A00F8"/>
    <w:rsid w:val="006A0282"/>
    <w:rsid w:val="006A04AE"/>
    <w:rsid w:val="006A055F"/>
    <w:rsid w:val="006A064E"/>
    <w:rsid w:val="006A073A"/>
    <w:rsid w:val="006A075D"/>
    <w:rsid w:val="006A078F"/>
    <w:rsid w:val="006A07A7"/>
    <w:rsid w:val="006A0968"/>
    <w:rsid w:val="006A09F8"/>
    <w:rsid w:val="006A0AB5"/>
    <w:rsid w:val="006A0B33"/>
    <w:rsid w:val="006A0BA8"/>
    <w:rsid w:val="006A0C5D"/>
    <w:rsid w:val="006A0DCE"/>
    <w:rsid w:val="006A0E34"/>
    <w:rsid w:val="006A0E96"/>
    <w:rsid w:val="006A0EA6"/>
    <w:rsid w:val="006A0FAA"/>
    <w:rsid w:val="006A0FB5"/>
    <w:rsid w:val="006A1042"/>
    <w:rsid w:val="006A1253"/>
    <w:rsid w:val="006A145C"/>
    <w:rsid w:val="006A15E7"/>
    <w:rsid w:val="006A1675"/>
    <w:rsid w:val="006A1707"/>
    <w:rsid w:val="006A170D"/>
    <w:rsid w:val="006A1770"/>
    <w:rsid w:val="006A1937"/>
    <w:rsid w:val="006A1A91"/>
    <w:rsid w:val="006A1ABE"/>
    <w:rsid w:val="006A1AC7"/>
    <w:rsid w:val="006A1B8B"/>
    <w:rsid w:val="006A1C26"/>
    <w:rsid w:val="006A1C5D"/>
    <w:rsid w:val="006A1D1F"/>
    <w:rsid w:val="006A1D4A"/>
    <w:rsid w:val="006A1E7D"/>
    <w:rsid w:val="006A1EDD"/>
    <w:rsid w:val="006A1F7A"/>
    <w:rsid w:val="006A2186"/>
    <w:rsid w:val="006A2206"/>
    <w:rsid w:val="006A23E5"/>
    <w:rsid w:val="006A2464"/>
    <w:rsid w:val="006A2694"/>
    <w:rsid w:val="006A26AC"/>
    <w:rsid w:val="006A26E0"/>
    <w:rsid w:val="006A2795"/>
    <w:rsid w:val="006A27F2"/>
    <w:rsid w:val="006A27FF"/>
    <w:rsid w:val="006A2C36"/>
    <w:rsid w:val="006A2C7B"/>
    <w:rsid w:val="006A2CFA"/>
    <w:rsid w:val="006A2F04"/>
    <w:rsid w:val="006A3010"/>
    <w:rsid w:val="006A3113"/>
    <w:rsid w:val="006A3211"/>
    <w:rsid w:val="006A3248"/>
    <w:rsid w:val="006A32D9"/>
    <w:rsid w:val="006A3321"/>
    <w:rsid w:val="006A346F"/>
    <w:rsid w:val="006A3546"/>
    <w:rsid w:val="006A35DC"/>
    <w:rsid w:val="006A3729"/>
    <w:rsid w:val="006A37DE"/>
    <w:rsid w:val="006A3816"/>
    <w:rsid w:val="006A3AD8"/>
    <w:rsid w:val="006A3B40"/>
    <w:rsid w:val="006A3BA7"/>
    <w:rsid w:val="006A3CE2"/>
    <w:rsid w:val="006A3F78"/>
    <w:rsid w:val="006A402F"/>
    <w:rsid w:val="006A403D"/>
    <w:rsid w:val="006A4264"/>
    <w:rsid w:val="006A433D"/>
    <w:rsid w:val="006A4584"/>
    <w:rsid w:val="006A47E1"/>
    <w:rsid w:val="006A4884"/>
    <w:rsid w:val="006A48D3"/>
    <w:rsid w:val="006A496B"/>
    <w:rsid w:val="006A49C1"/>
    <w:rsid w:val="006A49FB"/>
    <w:rsid w:val="006A4CEC"/>
    <w:rsid w:val="006A4EA8"/>
    <w:rsid w:val="006A4F00"/>
    <w:rsid w:val="006A4F6F"/>
    <w:rsid w:val="006A50F9"/>
    <w:rsid w:val="006A50FD"/>
    <w:rsid w:val="006A5166"/>
    <w:rsid w:val="006A52C8"/>
    <w:rsid w:val="006A5459"/>
    <w:rsid w:val="006A5C20"/>
    <w:rsid w:val="006A5DBD"/>
    <w:rsid w:val="006A5E4B"/>
    <w:rsid w:val="006A5E54"/>
    <w:rsid w:val="006A5E75"/>
    <w:rsid w:val="006A5E77"/>
    <w:rsid w:val="006A5ECF"/>
    <w:rsid w:val="006A6017"/>
    <w:rsid w:val="006A6060"/>
    <w:rsid w:val="006A60F2"/>
    <w:rsid w:val="006A6114"/>
    <w:rsid w:val="006A6228"/>
    <w:rsid w:val="006A630D"/>
    <w:rsid w:val="006A6361"/>
    <w:rsid w:val="006A642A"/>
    <w:rsid w:val="006A6454"/>
    <w:rsid w:val="006A648D"/>
    <w:rsid w:val="006A67A1"/>
    <w:rsid w:val="006A68D1"/>
    <w:rsid w:val="006A6936"/>
    <w:rsid w:val="006A6A0D"/>
    <w:rsid w:val="006A6A48"/>
    <w:rsid w:val="006A6AB6"/>
    <w:rsid w:val="006A6CAE"/>
    <w:rsid w:val="006A6D8E"/>
    <w:rsid w:val="006A6DB0"/>
    <w:rsid w:val="006A6DB7"/>
    <w:rsid w:val="006A6DD6"/>
    <w:rsid w:val="006A6E7A"/>
    <w:rsid w:val="006A6F54"/>
    <w:rsid w:val="006A6FAB"/>
    <w:rsid w:val="006A70DF"/>
    <w:rsid w:val="006A7159"/>
    <w:rsid w:val="006A717C"/>
    <w:rsid w:val="006A71C3"/>
    <w:rsid w:val="006A73C8"/>
    <w:rsid w:val="006A7511"/>
    <w:rsid w:val="006A7563"/>
    <w:rsid w:val="006A75E0"/>
    <w:rsid w:val="006A7604"/>
    <w:rsid w:val="006A7699"/>
    <w:rsid w:val="006A7713"/>
    <w:rsid w:val="006A786A"/>
    <w:rsid w:val="006A7960"/>
    <w:rsid w:val="006A7C5A"/>
    <w:rsid w:val="006A7D0D"/>
    <w:rsid w:val="006A7DF0"/>
    <w:rsid w:val="006A7E0F"/>
    <w:rsid w:val="006A7E4B"/>
    <w:rsid w:val="006A7F5B"/>
    <w:rsid w:val="006B0003"/>
    <w:rsid w:val="006B0230"/>
    <w:rsid w:val="006B0257"/>
    <w:rsid w:val="006B03AB"/>
    <w:rsid w:val="006B0415"/>
    <w:rsid w:val="006B04D2"/>
    <w:rsid w:val="006B0523"/>
    <w:rsid w:val="006B055E"/>
    <w:rsid w:val="006B05DB"/>
    <w:rsid w:val="006B07FD"/>
    <w:rsid w:val="006B08A2"/>
    <w:rsid w:val="006B0B1B"/>
    <w:rsid w:val="006B0B1C"/>
    <w:rsid w:val="006B0B3B"/>
    <w:rsid w:val="006B0CED"/>
    <w:rsid w:val="006B0D22"/>
    <w:rsid w:val="006B0D3D"/>
    <w:rsid w:val="006B0D98"/>
    <w:rsid w:val="006B0EDA"/>
    <w:rsid w:val="006B0F4B"/>
    <w:rsid w:val="006B0F72"/>
    <w:rsid w:val="006B10CC"/>
    <w:rsid w:val="006B1180"/>
    <w:rsid w:val="006B1228"/>
    <w:rsid w:val="006B1480"/>
    <w:rsid w:val="006B169A"/>
    <w:rsid w:val="006B16ED"/>
    <w:rsid w:val="006B16F5"/>
    <w:rsid w:val="006B196B"/>
    <w:rsid w:val="006B196D"/>
    <w:rsid w:val="006B1ADE"/>
    <w:rsid w:val="006B1BF1"/>
    <w:rsid w:val="006B1BF5"/>
    <w:rsid w:val="006B1CA9"/>
    <w:rsid w:val="006B1CB4"/>
    <w:rsid w:val="006B1DA3"/>
    <w:rsid w:val="006B1E01"/>
    <w:rsid w:val="006B1E24"/>
    <w:rsid w:val="006B1E9C"/>
    <w:rsid w:val="006B1F72"/>
    <w:rsid w:val="006B21AD"/>
    <w:rsid w:val="006B222A"/>
    <w:rsid w:val="006B22B4"/>
    <w:rsid w:val="006B23D9"/>
    <w:rsid w:val="006B2450"/>
    <w:rsid w:val="006B24CA"/>
    <w:rsid w:val="006B2957"/>
    <w:rsid w:val="006B2979"/>
    <w:rsid w:val="006B29C4"/>
    <w:rsid w:val="006B2AAA"/>
    <w:rsid w:val="006B2C22"/>
    <w:rsid w:val="006B2C51"/>
    <w:rsid w:val="006B2C53"/>
    <w:rsid w:val="006B2D1F"/>
    <w:rsid w:val="006B2DF4"/>
    <w:rsid w:val="006B2E16"/>
    <w:rsid w:val="006B2E84"/>
    <w:rsid w:val="006B2EE5"/>
    <w:rsid w:val="006B2F46"/>
    <w:rsid w:val="006B2FE2"/>
    <w:rsid w:val="006B327E"/>
    <w:rsid w:val="006B3323"/>
    <w:rsid w:val="006B3615"/>
    <w:rsid w:val="006B366D"/>
    <w:rsid w:val="006B3670"/>
    <w:rsid w:val="006B368C"/>
    <w:rsid w:val="006B37DB"/>
    <w:rsid w:val="006B37E3"/>
    <w:rsid w:val="006B37ED"/>
    <w:rsid w:val="006B3955"/>
    <w:rsid w:val="006B39B1"/>
    <w:rsid w:val="006B3A30"/>
    <w:rsid w:val="006B3B58"/>
    <w:rsid w:val="006B3B87"/>
    <w:rsid w:val="006B3D88"/>
    <w:rsid w:val="006B3DA4"/>
    <w:rsid w:val="006B3E14"/>
    <w:rsid w:val="006B3EAC"/>
    <w:rsid w:val="006B3F5E"/>
    <w:rsid w:val="006B410F"/>
    <w:rsid w:val="006B4161"/>
    <w:rsid w:val="006B4193"/>
    <w:rsid w:val="006B43BF"/>
    <w:rsid w:val="006B44A8"/>
    <w:rsid w:val="006B44BC"/>
    <w:rsid w:val="006B467C"/>
    <w:rsid w:val="006B4755"/>
    <w:rsid w:val="006B478B"/>
    <w:rsid w:val="006B47A0"/>
    <w:rsid w:val="006B47FA"/>
    <w:rsid w:val="006B4AB0"/>
    <w:rsid w:val="006B4BA4"/>
    <w:rsid w:val="006B4BEE"/>
    <w:rsid w:val="006B4BEF"/>
    <w:rsid w:val="006B4C01"/>
    <w:rsid w:val="006B4CF0"/>
    <w:rsid w:val="006B4D38"/>
    <w:rsid w:val="006B4ED2"/>
    <w:rsid w:val="006B4FA8"/>
    <w:rsid w:val="006B5065"/>
    <w:rsid w:val="006B51D4"/>
    <w:rsid w:val="006B524A"/>
    <w:rsid w:val="006B5272"/>
    <w:rsid w:val="006B5563"/>
    <w:rsid w:val="006B5604"/>
    <w:rsid w:val="006B5649"/>
    <w:rsid w:val="006B5773"/>
    <w:rsid w:val="006B57C9"/>
    <w:rsid w:val="006B58C0"/>
    <w:rsid w:val="006B5929"/>
    <w:rsid w:val="006B5AC3"/>
    <w:rsid w:val="006B5BED"/>
    <w:rsid w:val="006B5BFE"/>
    <w:rsid w:val="006B5DA1"/>
    <w:rsid w:val="006B6036"/>
    <w:rsid w:val="006B6113"/>
    <w:rsid w:val="006B6254"/>
    <w:rsid w:val="006B6288"/>
    <w:rsid w:val="006B630A"/>
    <w:rsid w:val="006B6445"/>
    <w:rsid w:val="006B6491"/>
    <w:rsid w:val="006B64E4"/>
    <w:rsid w:val="006B6523"/>
    <w:rsid w:val="006B6574"/>
    <w:rsid w:val="006B667D"/>
    <w:rsid w:val="006B67E8"/>
    <w:rsid w:val="006B682B"/>
    <w:rsid w:val="006B687A"/>
    <w:rsid w:val="006B6969"/>
    <w:rsid w:val="006B69A1"/>
    <w:rsid w:val="006B6A64"/>
    <w:rsid w:val="006B6B1F"/>
    <w:rsid w:val="006B6BB6"/>
    <w:rsid w:val="006B6D5D"/>
    <w:rsid w:val="006B6FAB"/>
    <w:rsid w:val="006B70D5"/>
    <w:rsid w:val="006B7128"/>
    <w:rsid w:val="006B7383"/>
    <w:rsid w:val="006B738B"/>
    <w:rsid w:val="006B73A5"/>
    <w:rsid w:val="006B73CC"/>
    <w:rsid w:val="006B74B3"/>
    <w:rsid w:val="006B77D2"/>
    <w:rsid w:val="006B7AAC"/>
    <w:rsid w:val="006B7CB3"/>
    <w:rsid w:val="006B7DEC"/>
    <w:rsid w:val="006B7DFC"/>
    <w:rsid w:val="006B7E2D"/>
    <w:rsid w:val="006C00D4"/>
    <w:rsid w:val="006C01EB"/>
    <w:rsid w:val="006C0255"/>
    <w:rsid w:val="006C02A6"/>
    <w:rsid w:val="006C02E0"/>
    <w:rsid w:val="006C0447"/>
    <w:rsid w:val="006C0478"/>
    <w:rsid w:val="006C04A8"/>
    <w:rsid w:val="006C070A"/>
    <w:rsid w:val="006C075B"/>
    <w:rsid w:val="006C087F"/>
    <w:rsid w:val="006C08B1"/>
    <w:rsid w:val="006C09CC"/>
    <w:rsid w:val="006C0A58"/>
    <w:rsid w:val="006C0C75"/>
    <w:rsid w:val="006C0D5E"/>
    <w:rsid w:val="006C0D9D"/>
    <w:rsid w:val="006C0EC9"/>
    <w:rsid w:val="006C10C1"/>
    <w:rsid w:val="006C1184"/>
    <w:rsid w:val="006C11EF"/>
    <w:rsid w:val="006C127F"/>
    <w:rsid w:val="006C1359"/>
    <w:rsid w:val="006C13B3"/>
    <w:rsid w:val="006C14C6"/>
    <w:rsid w:val="006C1580"/>
    <w:rsid w:val="006C1733"/>
    <w:rsid w:val="006C177A"/>
    <w:rsid w:val="006C181B"/>
    <w:rsid w:val="006C185B"/>
    <w:rsid w:val="006C18BF"/>
    <w:rsid w:val="006C192D"/>
    <w:rsid w:val="006C1B73"/>
    <w:rsid w:val="006C1B9B"/>
    <w:rsid w:val="006C1BB0"/>
    <w:rsid w:val="006C1C1A"/>
    <w:rsid w:val="006C1E2F"/>
    <w:rsid w:val="006C1EE1"/>
    <w:rsid w:val="006C1F9C"/>
    <w:rsid w:val="006C20E4"/>
    <w:rsid w:val="006C2133"/>
    <w:rsid w:val="006C21E1"/>
    <w:rsid w:val="006C228E"/>
    <w:rsid w:val="006C2309"/>
    <w:rsid w:val="006C2366"/>
    <w:rsid w:val="006C25E4"/>
    <w:rsid w:val="006C267D"/>
    <w:rsid w:val="006C2787"/>
    <w:rsid w:val="006C2797"/>
    <w:rsid w:val="006C2863"/>
    <w:rsid w:val="006C2891"/>
    <w:rsid w:val="006C28DF"/>
    <w:rsid w:val="006C28FB"/>
    <w:rsid w:val="006C2979"/>
    <w:rsid w:val="006C2992"/>
    <w:rsid w:val="006C2A8F"/>
    <w:rsid w:val="006C2AE5"/>
    <w:rsid w:val="006C2B00"/>
    <w:rsid w:val="006C2C68"/>
    <w:rsid w:val="006C2CF8"/>
    <w:rsid w:val="006C2E43"/>
    <w:rsid w:val="006C2FC0"/>
    <w:rsid w:val="006C2FF9"/>
    <w:rsid w:val="006C30E6"/>
    <w:rsid w:val="006C30FB"/>
    <w:rsid w:val="006C316F"/>
    <w:rsid w:val="006C3325"/>
    <w:rsid w:val="006C3484"/>
    <w:rsid w:val="006C355D"/>
    <w:rsid w:val="006C3625"/>
    <w:rsid w:val="006C377C"/>
    <w:rsid w:val="006C3807"/>
    <w:rsid w:val="006C3993"/>
    <w:rsid w:val="006C3A42"/>
    <w:rsid w:val="006C3B17"/>
    <w:rsid w:val="006C3B4B"/>
    <w:rsid w:val="006C3B51"/>
    <w:rsid w:val="006C3E65"/>
    <w:rsid w:val="006C3FEF"/>
    <w:rsid w:val="006C401B"/>
    <w:rsid w:val="006C4112"/>
    <w:rsid w:val="006C41B2"/>
    <w:rsid w:val="006C4323"/>
    <w:rsid w:val="006C4423"/>
    <w:rsid w:val="006C446C"/>
    <w:rsid w:val="006C4484"/>
    <w:rsid w:val="006C44F2"/>
    <w:rsid w:val="006C4734"/>
    <w:rsid w:val="006C48FB"/>
    <w:rsid w:val="006C497F"/>
    <w:rsid w:val="006C49CC"/>
    <w:rsid w:val="006C4A38"/>
    <w:rsid w:val="006C4AC2"/>
    <w:rsid w:val="006C4AC3"/>
    <w:rsid w:val="006C4B97"/>
    <w:rsid w:val="006C4CAD"/>
    <w:rsid w:val="006C4E64"/>
    <w:rsid w:val="006C4E7A"/>
    <w:rsid w:val="006C50FE"/>
    <w:rsid w:val="006C5375"/>
    <w:rsid w:val="006C5425"/>
    <w:rsid w:val="006C5462"/>
    <w:rsid w:val="006C56AD"/>
    <w:rsid w:val="006C575B"/>
    <w:rsid w:val="006C588A"/>
    <w:rsid w:val="006C58D0"/>
    <w:rsid w:val="006C5A74"/>
    <w:rsid w:val="006C5AF8"/>
    <w:rsid w:val="006C5BBC"/>
    <w:rsid w:val="006C5D6D"/>
    <w:rsid w:val="006C5DAF"/>
    <w:rsid w:val="006C5DC0"/>
    <w:rsid w:val="006C5F1B"/>
    <w:rsid w:val="006C5FFE"/>
    <w:rsid w:val="006C6153"/>
    <w:rsid w:val="006C6206"/>
    <w:rsid w:val="006C62F7"/>
    <w:rsid w:val="006C631C"/>
    <w:rsid w:val="006C6438"/>
    <w:rsid w:val="006C64C6"/>
    <w:rsid w:val="006C653F"/>
    <w:rsid w:val="006C6593"/>
    <w:rsid w:val="006C65C5"/>
    <w:rsid w:val="006C661A"/>
    <w:rsid w:val="006C672D"/>
    <w:rsid w:val="006C681F"/>
    <w:rsid w:val="006C6882"/>
    <w:rsid w:val="006C69BA"/>
    <w:rsid w:val="006C6BDD"/>
    <w:rsid w:val="006C6C3C"/>
    <w:rsid w:val="006C6D11"/>
    <w:rsid w:val="006C6DA8"/>
    <w:rsid w:val="006C6E8B"/>
    <w:rsid w:val="006C6F6A"/>
    <w:rsid w:val="006C6FF4"/>
    <w:rsid w:val="006C71A0"/>
    <w:rsid w:val="006C71DE"/>
    <w:rsid w:val="006C72CA"/>
    <w:rsid w:val="006C7323"/>
    <w:rsid w:val="006C7388"/>
    <w:rsid w:val="006C73E2"/>
    <w:rsid w:val="006C75FD"/>
    <w:rsid w:val="006C768C"/>
    <w:rsid w:val="006C7806"/>
    <w:rsid w:val="006C7851"/>
    <w:rsid w:val="006C795A"/>
    <w:rsid w:val="006C7ADF"/>
    <w:rsid w:val="006C7AEB"/>
    <w:rsid w:val="006C7B6B"/>
    <w:rsid w:val="006C7C42"/>
    <w:rsid w:val="006C7C60"/>
    <w:rsid w:val="006C7CF2"/>
    <w:rsid w:val="006C7D47"/>
    <w:rsid w:val="006C7EF4"/>
    <w:rsid w:val="006C7F9F"/>
    <w:rsid w:val="006C7FB3"/>
    <w:rsid w:val="006D000C"/>
    <w:rsid w:val="006D013C"/>
    <w:rsid w:val="006D0186"/>
    <w:rsid w:val="006D033E"/>
    <w:rsid w:val="006D03EA"/>
    <w:rsid w:val="006D04F9"/>
    <w:rsid w:val="006D059C"/>
    <w:rsid w:val="006D05D2"/>
    <w:rsid w:val="006D067F"/>
    <w:rsid w:val="006D073E"/>
    <w:rsid w:val="006D07C3"/>
    <w:rsid w:val="006D0854"/>
    <w:rsid w:val="006D08AF"/>
    <w:rsid w:val="006D09DB"/>
    <w:rsid w:val="006D09FB"/>
    <w:rsid w:val="006D0A7A"/>
    <w:rsid w:val="006D0AAC"/>
    <w:rsid w:val="006D0ADC"/>
    <w:rsid w:val="006D0BBA"/>
    <w:rsid w:val="006D0C55"/>
    <w:rsid w:val="006D0C58"/>
    <w:rsid w:val="006D106A"/>
    <w:rsid w:val="006D10BF"/>
    <w:rsid w:val="006D10F3"/>
    <w:rsid w:val="006D1318"/>
    <w:rsid w:val="006D13BC"/>
    <w:rsid w:val="006D13FC"/>
    <w:rsid w:val="006D144F"/>
    <w:rsid w:val="006D147D"/>
    <w:rsid w:val="006D1535"/>
    <w:rsid w:val="006D15C2"/>
    <w:rsid w:val="006D15E0"/>
    <w:rsid w:val="006D1742"/>
    <w:rsid w:val="006D19C0"/>
    <w:rsid w:val="006D1B00"/>
    <w:rsid w:val="006D1CA7"/>
    <w:rsid w:val="006D1E26"/>
    <w:rsid w:val="006D1E5E"/>
    <w:rsid w:val="006D1E5F"/>
    <w:rsid w:val="006D1EC2"/>
    <w:rsid w:val="006D1EFA"/>
    <w:rsid w:val="006D212A"/>
    <w:rsid w:val="006D212C"/>
    <w:rsid w:val="006D219D"/>
    <w:rsid w:val="006D21D9"/>
    <w:rsid w:val="006D223F"/>
    <w:rsid w:val="006D2285"/>
    <w:rsid w:val="006D249F"/>
    <w:rsid w:val="006D26CE"/>
    <w:rsid w:val="006D2703"/>
    <w:rsid w:val="006D2758"/>
    <w:rsid w:val="006D27E6"/>
    <w:rsid w:val="006D283E"/>
    <w:rsid w:val="006D2878"/>
    <w:rsid w:val="006D2900"/>
    <w:rsid w:val="006D29A2"/>
    <w:rsid w:val="006D2CAA"/>
    <w:rsid w:val="006D2D28"/>
    <w:rsid w:val="006D2D35"/>
    <w:rsid w:val="006D2EB3"/>
    <w:rsid w:val="006D2F92"/>
    <w:rsid w:val="006D3240"/>
    <w:rsid w:val="006D3345"/>
    <w:rsid w:val="006D3364"/>
    <w:rsid w:val="006D3573"/>
    <w:rsid w:val="006D36A6"/>
    <w:rsid w:val="006D3729"/>
    <w:rsid w:val="006D3763"/>
    <w:rsid w:val="006D3A14"/>
    <w:rsid w:val="006D3B72"/>
    <w:rsid w:val="006D3C42"/>
    <w:rsid w:val="006D3C93"/>
    <w:rsid w:val="006D3D17"/>
    <w:rsid w:val="006D3D45"/>
    <w:rsid w:val="006D3EAB"/>
    <w:rsid w:val="006D3FD3"/>
    <w:rsid w:val="006D4032"/>
    <w:rsid w:val="006D4080"/>
    <w:rsid w:val="006D42E8"/>
    <w:rsid w:val="006D432B"/>
    <w:rsid w:val="006D43D0"/>
    <w:rsid w:val="006D4534"/>
    <w:rsid w:val="006D4662"/>
    <w:rsid w:val="006D47FF"/>
    <w:rsid w:val="006D499B"/>
    <w:rsid w:val="006D4A26"/>
    <w:rsid w:val="006D4A5E"/>
    <w:rsid w:val="006D4B53"/>
    <w:rsid w:val="006D4B6C"/>
    <w:rsid w:val="006D4C47"/>
    <w:rsid w:val="006D4CB2"/>
    <w:rsid w:val="006D4E8D"/>
    <w:rsid w:val="006D4EE6"/>
    <w:rsid w:val="006D5074"/>
    <w:rsid w:val="006D50BD"/>
    <w:rsid w:val="006D50D9"/>
    <w:rsid w:val="006D5203"/>
    <w:rsid w:val="006D5264"/>
    <w:rsid w:val="006D5329"/>
    <w:rsid w:val="006D5362"/>
    <w:rsid w:val="006D5381"/>
    <w:rsid w:val="006D5382"/>
    <w:rsid w:val="006D539A"/>
    <w:rsid w:val="006D53BC"/>
    <w:rsid w:val="006D53E8"/>
    <w:rsid w:val="006D5428"/>
    <w:rsid w:val="006D5552"/>
    <w:rsid w:val="006D56AF"/>
    <w:rsid w:val="006D5AE3"/>
    <w:rsid w:val="006D5C1B"/>
    <w:rsid w:val="006D5C8E"/>
    <w:rsid w:val="006D5CFF"/>
    <w:rsid w:val="006D5E4D"/>
    <w:rsid w:val="006D5F16"/>
    <w:rsid w:val="006D5F27"/>
    <w:rsid w:val="006D5FB7"/>
    <w:rsid w:val="006D6085"/>
    <w:rsid w:val="006D60D8"/>
    <w:rsid w:val="006D6110"/>
    <w:rsid w:val="006D613D"/>
    <w:rsid w:val="006D614B"/>
    <w:rsid w:val="006D6161"/>
    <w:rsid w:val="006D6244"/>
    <w:rsid w:val="006D624A"/>
    <w:rsid w:val="006D62CA"/>
    <w:rsid w:val="006D62F0"/>
    <w:rsid w:val="006D6492"/>
    <w:rsid w:val="006D6526"/>
    <w:rsid w:val="006D653D"/>
    <w:rsid w:val="006D6653"/>
    <w:rsid w:val="006D66C1"/>
    <w:rsid w:val="006D681E"/>
    <w:rsid w:val="006D689A"/>
    <w:rsid w:val="006D6913"/>
    <w:rsid w:val="006D696C"/>
    <w:rsid w:val="006D69B1"/>
    <w:rsid w:val="006D69D3"/>
    <w:rsid w:val="006D6A56"/>
    <w:rsid w:val="006D6B96"/>
    <w:rsid w:val="006D6C1D"/>
    <w:rsid w:val="006D6C22"/>
    <w:rsid w:val="006D6E3D"/>
    <w:rsid w:val="006D6E96"/>
    <w:rsid w:val="006D6F94"/>
    <w:rsid w:val="006D6FB9"/>
    <w:rsid w:val="006D7026"/>
    <w:rsid w:val="006D71D5"/>
    <w:rsid w:val="006D738B"/>
    <w:rsid w:val="006D73DF"/>
    <w:rsid w:val="006D73FD"/>
    <w:rsid w:val="006D750F"/>
    <w:rsid w:val="006D7538"/>
    <w:rsid w:val="006D758C"/>
    <w:rsid w:val="006D7636"/>
    <w:rsid w:val="006D76A0"/>
    <w:rsid w:val="006D7782"/>
    <w:rsid w:val="006D7800"/>
    <w:rsid w:val="006D7843"/>
    <w:rsid w:val="006D792F"/>
    <w:rsid w:val="006D7D2A"/>
    <w:rsid w:val="006D7DA9"/>
    <w:rsid w:val="006D7F29"/>
    <w:rsid w:val="006E024C"/>
    <w:rsid w:val="006E0344"/>
    <w:rsid w:val="006E0380"/>
    <w:rsid w:val="006E0529"/>
    <w:rsid w:val="006E05B6"/>
    <w:rsid w:val="006E05D2"/>
    <w:rsid w:val="006E07DB"/>
    <w:rsid w:val="006E0805"/>
    <w:rsid w:val="006E08AA"/>
    <w:rsid w:val="006E0958"/>
    <w:rsid w:val="006E09F4"/>
    <w:rsid w:val="006E0AEB"/>
    <w:rsid w:val="006E0AF4"/>
    <w:rsid w:val="006E0B19"/>
    <w:rsid w:val="006E0B6F"/>
    <w:rsid w:val="006E0BC4"/>
    <w:rsid w:val="006E0BEC"/>
    <w:rsid w:val="006E0D89"/>
    <w:rsid w:val="006E0DED"/>
    <w:rsid w:val="006E0F9A"/>
    <w:rsid w:val="006E122A"/>
    <w:rsid w:val="006E12EA"/>
    <w:rsid w:val="006E132E"/>
    <w:rsid w:val="006E17F5"/>
    <w:rsid w:val="006E1815"/>
    <w:rsid w:val="006E1818"/>
    <w:rsid w:val="006E1967"/>
    <w:rsid w:val="006E1A0D"/>
    <w:rsid w:val="006E1A1D"/>
    <w:rsid w:val="006E1B3F"/>
    <w:rsid w:val="006E1B8F"/>
    <w:rsid w:val="006E1C03"/>
    <w:rsid w:val="006E2067"/>
    <w:rsid w:val="006E2210"/>
    <w:rsid w:val="006E24D3"/>
    <w:rsid w:val="006E24D8"/>
    <w:rsid w:val="006E2680"/>
    <w:rsid w:val="006E2714"/>
    <w:rsid w:val="006E27D2"/>
    <w:rsid w:val="006E27DA"/>
    <w:rsid w:val="006E2826"/>
    <w:rsid w:val="006E2875"/>
    <w:rsid w:val="006E29A2"/>
    <w:rsid w:val="006E2A4E"/>
    <w:rsid w:val="006E2B7E"/>
    <w:rsid w:val="006E2BF2"/>
    <w:rsid w:val="006E2CC0"/>
    <w:rsid w:val="006E2CDD"/>
    <w:rsid w:val="006E2D8C"/>
    <w:rsid w:val="006E2E12"/>
    <w:rsid w:val="006E2E24"/>
    <w:rsid w:val="006E2E8F"/>
    <w:rsid w:val="006E2F00"/>
    <w:rsid w:val="006E2FEF"/>
    <w:rsid w:val="006E3014"/>
    <w:rsid w:val="006E30AD"/>
    <w:rsid w:val="006E30CF"/>
    <w:rsid w:val="006E3166"/>
    <w:rsid w:val="006E32A9"/>
    <w:rsid w:val="006E34AD"/>
    <w:rsid w:val="006E383B"/>
    <w:rsid w:val="006E391A"/>
    <w:rsid w:val="006E3996"/>
    <w:rsid w:val="006E3ACA"/>
    <w:rsid w:val="006E3B90"/>
    <w:rsid w:val="006E3BB4"/>
    <w:rsid w:val="006E3BF9"/>
    <w:rsid w:val="006E3E50"/>
    <w:rsid w:val="006E3F19"/>
    <w:rsid w:val="006E3F9D"/>
    <w:rsid w:val="006E415C"/>
    <w:rsid w:val="006E4315"/>
    <w:rsid w:val="006E4749"/>
    <w:rsid w:val="006E4A89"/>
    <w:rsid w:val="006E4AD2"/>
    <w:rsid w:val="006E4B04"/>
    <w:rsid w:val="006E4BBE"/>
    <w:rsid w:val="006E4C3A"/>
    <w:rsid w:val="006E4C58"/>
    <w:rsid w:val="006E4DEE"/>
    <w:rsid w:val="006E4E78"/>
    <w:rsid w:val="006E4F36"/>
    <w:rsid w:val="006E4F5E"/>
    <w:rsid w:val="006E4FC2"/>
    <w:rsid w:val="006E516F"/>
    <w:rsid w:val="006E51BA"/>
    <w:rsid w:val="006E523A"/>
    <w:rsid w:val="006E52D4"/>
    <w:rsid w:val="006E5394"/>
    <w:rsid w:val="006E53FF"/>
    <w:rsid w:val="006E5711"/>
    <w:rsid w:val="006E573B"/>
    <w:rsid w:val="006E5858"/>
    <w:rsid w:val="006E5893"/>
    <w:rsid w:val="006E59AF"/>
    <w:rsid w:val="006E59B0"/>
    <w:rsid w:val="006E59E5"/>
    <w:rsid w:val="006E5A2E"/>
    <w:rsid w:val="006E5C48"/>
    <w:rsid w:val="006E5D9B"/>
    <w:rsid w:val="006E6008"/>
    <w:rsid w:val="006E62C2"/>
    <w:rsid w:val="006E6411"/>
    <w:rsid w:val="006E6454"/>
    <w:rsid w:val="006E64C9"/>
    <w:rsid w:val="006E65CD"/>
    <w:rsid w:val="006E65F1"/>
    <w:rsid w:val="006E66CD"/>
    <w:rsid w:val="006E685A"/>
    <w:rsid w:val="006E690A"/>
    <w:rsid w:val="006E6948"/>
    <w:rsid w:val="006E6AD2"/>
    <w:rsid w:val="006E6AEF"/>
    <w:rsid w:val="006E6B09"/>
    <w:rsid w:val="006E6B42"/>
    <w:rsid w:val="006E6C26"/>
    <w:rsid w:val="006E6C58"/>
    <w:rsid w:val="006E6D37"/>
    <w:rsid w:val="006E6D5D"/>
    <w:rsid w:val="006E6D5E"/>
    <w:rsid w:val="006E6E68"/>
    <w:rsid w:val="006E6FDC"/>
    <w:rsid w:val="006E70F4"/>
    <w:rsid w:val="006E7150"/>
    <w:rsid w:val="006E71FB"/>
    <w:rsid w:val="006E7476"/>
    <w:rsid w:val="006E747F"/>
    <w:rsid w:val="006E74E5"/>
    <w:rsid w:val="006E7898"/>
    <w:rsid w:val="006E78E0"/>
    <w:rsid w:val="006E792F"/>
    <w:rsid w:val="006E7A3C"/>
    <w:rsid w:val="006E7A72"/>
    <w:rsid w:val="006E7AA1"/>
    <w:rsid w:val="006E7ABF"/>
    <w:rsid w:val="006E7BCC"/>
    <w:rsid w:val="006E7DB1"/>
    <w:rsid w:val="006E7EFA"/>
    <w:rsid w:val="006E7F83"/>
    <w:rsid w:val="006F03D5"/>
    <w:rsid w:val="006F052D"/>
    <w:rsid w:val="006F0600"/>
    <w:rsid w:val="006F0801"/>
    <w:rsid w:val="006F0802"/>
    <w:rsid w:val="006F08C7"/>
    <w:rsid w:val="006F0942"/>
    <w:rsid w:val="006F0993"/>
    <w:rsid w:val="006F0998"/>
    <w:rsid w:val="006F0AF7"/>
    <w:rsid w:val="006F0CAB"/>
    <w:rsid w:val="006F0DFF"/>
    <w:rsid w:val="006F0ECD"/>
    <w:rsid w:val="006F0F10"/>
    <w:rsid w:val="006F0FA1"/>
    <w:rsid w:val="006F1074"/>
    <w:rsid w:val="006F11D1"/>
    <w:rsid w:val="006F1383"/>
    <w:rsid w:val="006F139A"/>
    <w:rsid w:val="006F145D"/>
    <w:rsid w:val="006F1466"/>
    <w:rsid w:val="006F173A"/>
    <w:rsid w:val="006F1935"/>
    <w:rsid w:val="006F19E4"/>
    <w:rsid w:val="006F19F2"/>
    <w:rsid w:val="006F1BAD"/>
    <w:rsid w:val="006F1BE3"/>
    <w:rsid w:val="006F1D49"/>
    <w:rsid w:val="006F1D5C"/>
    <w:rsid w:val="006F1DA6"/>
    <w:rsid w:val="006F2022"/>
    <w:rsid w:val="006F2330"/>
    <w:rsid w:val="006F2569"/>
    <w:rsid w:val="006F257A"/>
    <w:rsid w:val="006F2668"/>
    <w:rsid w:val="006F27A6"/>
    <w:rsid w:val="006F27AF"/>
    <w:rsid w:val="006F2844"/>
    <w:rsid w:val="006F29F8"/>
    <w:rsid w:val="006F2A25"/>
    <w:rsid w:val="006F2B07"/>
    <w:rsid w:val="006F2BD6"/>
    <w:rsid w:val="006F2CF4"/>
    <w:rsid w:val="006F2DAA"/>
    <w:rsid w:val="006F2E82"/>
    <w:rsid w:val="006F2EC3"/>
    <w:rsid w:val="006F2F26"/>
    <w:rsid w:val="006F2F40"/>
    <w:rsid w:val="006F2F8D"/>
    <w:rsid w:val="006F30EE"/>
    <w:rsid w:val="006F3133"/>
    <w:rsid w:val="006F3205"/>
    <w:rsid w:val="006F325B"/>
    <w:rsid w:val="006F327F"/>
    <w:rsid w:val="006F32CB"/>
    <w:rsid w:val="006F36B0"/>
    <w:rsid w:val="006F36CF"/>
    <w:rsid w:val="006F3704"/>
    <w:rsid w:val="006F3737"/>
    <w:rsid w:val="006F37BF"/>
    <w:rsid w:val="006F3841"/>
    <w:rsid w:val="006F384B"/>
    <w:rsid w:val="006F399F"/>
    <w:rsid w:val="006F3A2C"/>
    <w:rsid w:val="006F3A62"/>
    <w:rsid w:val="006F3B05"/>
    <w:rsid w:val="006F3BE6"/>
    <w:rsid w:val="006F3CEF"/>
    <w:rsid w:val="006F3E6E"/>
    <w:rsid w:val="006F4109"/>
    <w:rsid w:val="006F42FE"/>
    <w:rsid w:val="006F43E0"/>
    <w:rsid w:val="006F44C8"/>
    <w:rsid w:val="006F45E8"/>
    <w:rsid w:val="006F48BC"/>
    <w:rsid w:val="006F4952"/>
    <w:rsid w:val="006F49CB"/>
    <w:rsid w:val="006F4B6A"/>
    <w:rsid w:val="006F4C0F"/>
    <w:rsid w:val="006F4DCB"/>
    <w:rsid w:val="006F4EB9"/>
    <w:rsid w:val="006F4EE2"/>
    <w:rsid w:val="006F509D"/>
    <w:rsid w:val="006F50B4"/>
    <w:rsid w:val="006F50D1"/>
    <w:rsid w:val="006F5188"/>
    <w:rsid w:val="006F5195"/>
    <w:rsid w:val="006F5319"/>
    <w:rsid w:val="006F5322"/>
    <w:rsid w:val="006F547E"/>
    <w:rsid w:val="006F5545"/>
    <w:rsid w:val="006F55E9"/>
    <w:rsid w:val="006F561B"/>
    <w:rsid w:val="006F56EA"/>
    <w:rsid w:val="006F5739"/>
    <w:rsid w:val="006F595B"/>
    <w:rsid w:val="006F59B0"/>
    <w:rsid w:val="006F59B4"/>
    <w:rsid w:val="006F5A8C"/>
    <w:rsid w:val="006F5A9A"/>
    <w:rsid w:val="006F5BDB"/>
    <w:rsid w:val="006F5C6D"/>
    <w:rsid w:val="006F5DBC"/>
    <w:rsid w:val="006F6034"/>
    <w:rsid w:val="006F61EA"/>
    <w:rsid w:val="006F621E"/>
    <w:rsid w:val="006F623F"/>
    <w:rsid w:val="006F6281"/>
    <w:rsid w:val="006F6315"/>
    <w:rsid w:val="006F636B"/>
    <w:rsid w:val="006F640D"/>
    <w:rsid w:val="006F64F1"/>
    <w:rsid w:val="006F6845"/>
    <w:rsid w:val="006F6960"/>
    <w:rsid w:val="006F6C50"/>
    <w:rsid w:val="006F6CFF"/>
    <w:rsid w:val="006F6EEA"/>
    <w:rsid w:val="006F6F72"/>
    <w:rsid w:val="006F6FE8"/>
    <w:rsid w:val="006F716D"/>
    <w:rsid w:val="006F7197"/>
    <w:rsid w:val="006F719E"/>
    <w:rsid w:val="006F7231"/>
    <w:rsid w:val="006F72FD"/>
    <w:rsid w:val="006F7377"/>
    <w:rsid w:val="006F73BD"/>
    <w:rsid w:val="006F74E6"/>
    <w:rsid w:val="006F7540"/>
    <w:rsid w:val="006F75B6"/>
    <w:rsid w:val="006F767E"/>
    <w:rsid w:val="006F783E"/>
    <w:rsid w:val="006F7861"/>
    <w:rsid w:val="006F78CA"/>
    <w:rsid w:val="006F7994"/>
    <w:rsid w:val="006F7B6F"/>
    <w:rsid w:val="006F7BFC"/>
    <w:rsid w:val="006F7C18"/>
    <w:rsid w:val="006F7C2C"/>
    <w:rsid w:val="006F7D8C"/>
    <w:rsid w:val="006F7DB2"/>
    <w:rsid w:val="006F7E8D"/>
    <w:rsid w:val="007000CE"/>
    <w:rsid w:val="007000EB"/>
    <w:rsid w:val="0070028B"/>
    <w:rsid w:val="0070034D"/>
    <w:rsid w:val="00700450"/>
    <w:rsid w:val="00700507"/>
    <w:rsid w:val="00700549"/>
    <w:rsid w:val="0070061F"/>
    <w:rsid w:val="00700624"/>
    <w:rsid w:val="00700661"/>
    <w:rsid w:val="0070071F"/>
    <w:rsid w:val="00700740"/>
    <w:rsid w:val="0070092F"/>
    <w:rsid w:val="00700A5F"/>
    <w:rsid w:val="00700ACC"/>
    <w:rsid w:val="00700B3B"/>
    <w:rsid w:val="00700D11"/>
    <w:rsid w:val="00700E94"/>
    <w:rsid w:val="007011CB"/>
    <w:rsid w:val="007013CE"/>
    <w:rsid w:val="00701631"/>
    <w:rsid w:val="00701664"/>
    <w:rsid w:val="0070169D"/>
    <w:rsid w:val="007017A0"/>
    <w:rsid w:val="0070183E"/>
    <w:rsid w:val="00701851"/>
    <w:rsid w:val="007018D7"/>
    <w:rsid w:val="00701933"/>
    <w:rsid w:val="00701A7B"/>
    <w:rsid w:val="00701C2F"/>
    <w:rsid w:val="00701C97"/>
    <w:rsid w:val="00701DDF"/>
    <w:rsid w:val="00701E3B"/>
    <w:rsid w:val="00701E54"/>
    <w:rsid w:val="007022D4"/>
    <w:rsid w:val="00702319"/>
    <w:rsid w:val="0070238E"/>
    <w:rsid w:val="007023A3"/>
    <w:rsid w:val="0070265D"/>
    <w:rsid w:val="007026FE"/>
    <w:rsid w:val="007027B9"/>
    <w:rsid w:val="00702825"/>
    <w:rsid w:val="0070290B"/>
    <w:rsid w:val="0070291D"/>
    <w:rsid w:val="00702925"/>
    <w:rsid w:val="00702943"/>
    <w:rsid w:val="00702AE5"/>
    <w:rsid w:val="00702AEE"/>
    <w:rsid w:val="00702B0C"/>
    <w:rsid w:val="00702B8A"/>
    <w:rsid w:val="00702DEA"/>
    <w:rsid w:val="00702E5C"/>
    <w:rsid w:val="00703058"/>
    <w:rsid w:val="00703344"/>
    <w:rsid w:val="00703395"/>
    <w:rsid w:val="007033AB"/>
    <w:rsid w:val="007034EE"/>
    <w:rsid w:val="007035B2"/>
    <w:rsid w:val="007035F3"/>
    <w:rsid w:val="00703603"/>
    <w:rsid w:val="007037B4"/>
    <w:rsid w:val="007039ED"/>
    <w:rsid w:val="00703C94"/>
    <w:rsid w:val="00703DE0"/>
    <w:rsid w:val="00703E1A"/>
    <w:rsid w:val="00703E3B"/>
    <w:rsid w:val="0070411A"/>
    <w:rsid w:val="00704182"/>
    <w:rsid w:val="007041F2"/>
    <w:rsid w:val="0070429D"/>
    <w:rsid w:val="00704320"/>
    <w:rsid w:val="0070438A"/>
    <w:rsid w:val="0070439D"/>
    <w:rsid w:val="007043BB"/>
    <w:rsid w:val="007043E9"/>
    <w:rsid w:val="007044CE"/>
    <w:rsid w:val="00704698"/>
    <w:rsid w:val="0070486C"/>
    <w:rsid w:val="007048C7"/>
    <w:rsid w:val="007048F5"/>
    <w:rsid w:val="00704A79"/>
    <w:rsid w:val="00704BA9"/>
    <w:rsid w:val="00704D34"/>
    <w:rsid w:val="00704E48"/>
    <w:rsid w:val="007051E1"/>
    <w:rsid w:val="007053EE"/>
    <w:rsid w:val="00705426"/>
    <w:rsid w:val="0070542C"/>
    <w:rsid w:val="0070552B"/>
    <w:rsid w:val="0070554B"/>
    <w:rsid w:val="0070563E"/>
    <w:rsid w:val="00705669"/>
    <w:rsid w:val="0070566A"/>
    <w:rsid w:val="00705805"/>
    <w:rsid w:val="00705868"/>
    <w:rsid w:val="007058B5"/>
    <w:rsid w:val="0070596A"/>
    <w:rsid w:val="00705B92"/>
    <w:rsid w:val="00705C50"/>
    <w:rsid w:val="00705C63"/>
    <w:rsid w:val="00705C91"/>
    <w:rsid w:val="00705CB3"/>
    <w:rsid w:val="00705D48"/>
    <w:rsid w:val="00705D81"/>
    <w:rsid w:val="00705EA7"/>
    <w:rsid w:val="00705F36"/>
    <w:rsid w:val="0070601C"/>
    <w:rsid w:val="007062A5"/>
    <w:rsid w:val="0070644E"/>
    <w:rsid w:val="007064E9"/>
    <w:rsid w:val="007065A1"/>
    <w:rsid w:val="00706636"/>
    <w:rsid w:val="007066A3"/>
    <w:rsid w:val="00706704"/>
    <w:rsid w:val="00706795"/>
    <w:rsid w:val="0070686D"/>
    <w:rsid w:val="00706AA0"/>
    <w:rsid w:val="00706AFD"/>
    <w:rsid w:val="00706B1C"/>
    <w:rsid w:val="00706B64"/>
    <w:rsid w:val="00706C4A"/>
    <w:rsid w:val="00706C78"/>
    <w:rsid w:val="00706C99"/>
    <w:rsid w:val="00706CAB"/>
    <w:rsid w:val="00706CC5"/>
    <w:rsid w:val="00706CCE"/>
    <w:rsid w:val="00706D2E"/>
    <w:rsid w:val="00706E03"/>
    <w:rsid w:val="00706F02"/>
    <w:rsid w:val="00706FC0"/>
    <w:rsid w:val="00707076"/>
    <w:rsid w:val="00707182"/>
    <w:rsid w:val="00707194"/>
    <w:rsid w:val="0070728D"/>
    <w:rsid w:val="007074CF"/>
    <w:rsid w:val="00707549"/>
    <w:rsid w:val="007075A7"/>
    <w:rsid w:val="0070762B"/>
    <w:rsid w:val="00707652"/>
    <w:rsid w:val="0070767C"/>
    <w:rsid w:val="0070796E"/>
    <w:rsid w:val="00707DC5"/>
    <w:rsid w:val="00707DCA"/>
    <w:rsid w:val="00707E03"/>
    <w:rsid w:val="00707F8F"/>
    <w:rsid w:val="00708BFE"/>
    <w:rsid w:val="00710117"/>
    <w:rsid w:val="007102B7"/>
    <w:rsid w:val="007102FC"/>
    <w:rsid w:val="007104F0"/>
    <w:rsid w:val="0071074E"/>
    <w:rsid w:val="00710870"/>
    <w:rsid w:val="00710A18"/>
    <w:rsid w:val="00710AB1"/>
    <w:rsid w:val="00710ACD"/>
    <w:rsid w:val="00710AF0"/>
    <w:rsid w:val="00710CEA"/>
    <w:rsid w:val="00710E5D"/>
    <w:rsid w:val="00710EC0"/>
    <w:rsid w:val="007110C2"/>
    <w:rsid w:val="007110F1"/>
    <w:rsid w:val="00711122"/>
    <w:rsid w:val="007111CB"/>
    <w:rsid w:val="00711284"/>
    <w:rsid w:val="00711384"/>
    <w:rsid w:val="00711540"/>
    <w:rsid w:val="00711564"/>
    <w:rsid w:val="00711672"/>
    <w:rsid w:val="007116CF"/>
    <w:rsid w:val="00711B0A"/>
    <w:rsid w:val="00711B63"/>
    <w:rsid w:val="00711C01"/>
    <w:rsid w:val="00711C76"/>
    <w:rsid w:val="00711C7D"/>
    <w:rsid w:val="00711CEE"/>
    <w:rsid w:val="00711D5A"/>
    <w:rsid w:val="00711D7D"/>
    <w:rsid w:val="00711DD8"/>
    <w:rsid w:val="00711FA3"/>
    <w:rsid w:val="00711FB0"/>
    <w:rsid w:val="00712129"/>
    <w:rsid w:val="0071214F"/>
    <w:rsid w:val="0071237D"/>
    <w:rsid w:val="007125D7"/>
    <w:rsid w:val="00712602"/>
    <w:rsid w:val="007127C8"/>
    <w:rsid w:val="00712896"/>
    <w:rsid w:val="00712961"/>
    <w:rsid w:val="0071296B"/>
    <w:rsid w:val="007129C2"/>
    <w:rsid w:val="00712ADB"/>
    <w:rsid w:val="00712D38"/>
    <w:rsid w:val="00712D52"/>
    <w:rsid w:val="00712D6B"/>
    <w:rsid w:val="00712DF4"/>
    <w:rsid w:val="00712E1E"/>
    <w:rsid w:val="00712EDF"/>
    <w:rsid w:val="00712F3B"/>
    <w:rsid w:val="00712FB1"/>
    <w:rsid w:val="00713062"/>
    <w:rsid w:val="00713129"/>
    <w:rsid w:val="007131F1"/>
    <w:rsid w:val="007131FB"/>
    <w:rsid w:val="007132A4"/>
    <w:rsid w:val="0071331E"/>
    <w:rsid w:val="00713351"/>
    <w:rsid w:val="00713392"/>
    <w:rsid w:val="007133A4"/>
    <w:rsid w:val="0071351E"/>
    <w:rsid w:val="00713559"/>
    <w:rsid w:val="00713881"/>
    <w:rsid w:val="007138A1"/>
    <w:rsid w:val="007138D6"/>
    <w:rsid w:val="00713960"/>
    <w:rsid w:val="007139E3"/>
    <w:rsid w:val="00713A56"/>
    <w:rsid w:val="00713B7A"/>
    <w:rsid w:val="00713D42"/>
    <w:rsid w:val="00713DE9"/>
    <w:rsid w:val="00713E09"/>
    <w:rsid w:val="00713E67"/>
    <w:rsid w:val="0071401E"/>
    <w:rsid w:val="00714040"/>
    <w:rsid w:val="007140BE"/>
    <w:rsid w:val="00714210"/>
    <w:rsid w:val="0071422E"/>
    <w:rsid w:val="0071439B"/>
    <w:rsid w:val="007143E5"/>
    <w:rsid w:val="0071441E"/>
    <w:rsid w:val="007144FA"/>
    <w:rsid w:val="007145C9"/>
    <w:rsid w:val="007147C7"/>
    <w:rsid w:val="00714818"/>
    <w:rsid w:val="0071487D"/>
    <w:rsid w:val="0071496D"/>
    <w:rsid w:val="007149B4"/>
    <w:rsid w:val="00714A83"/>
    <w:rsid w:val="00714AA6"/>
    <w:rsid w:val="00714AFA"/>
    <w:rsid w:val="00714DD9"/>
    <w:rsid w:val="00714E70"/>
    <w:rsid w:val="00714F17"/>
    <w:rsid w:val="00714F33"/>
    <w:rsid w:val="00714FF3"/>
    <w:rsid w:val="007150CE"/>
    <w:rsid w:val="0071512C"/>
    <w:rsid w:val="00715453"/>
    <w:rsid w:val="0071560B"/>
    <w:rsid w:val="007156BB"/>
    <w:rsid w:val="0071580B"/>
    <w:rsid w:val="00715B3E"/>
    <w:rsid w:val="00715D0B"/>
    <w:rsid w:val="00715D85"/>
    <w:rsid w:val="00715E05"/>
    <w:rsid w:val="00715E7E"/>
    <w:rsid w:val="00715E9A"/>
    <w:rsid w:val="00715EBD"/>
    <w:rsid w:val="0071607F"/>
    <w:rsid w:val="007162EF"/>
    <w:rsid w:val="00716418"/>
    <w:rsid w:val="007167A5"/>
    <w:rsid w:val="007169E1"/>
    <w:rsid w:val="00716B8F"/>
    <w:rsid w:val="00716C14"/>
    <w:rsid w:val="00716DDE"/>
    <w:rsid w:val="00716EE0"/>
    <w:rsid w:val="00716FA2"/>
    <w:rsid w:val="00716FFF"/>
    <w:rsid w:val="00717030"/>
    <w:rsid w:val="00717113"/>
    <w:rsid w:val="0071721F"/>
    <w:rsid w:val="007172D4"/>
    <w:rsid w:val="007172D9"/>
    <w:rsid w:val="007172E8"/>
    <w:rsid w:val="00717484"/>
    <w:rsid w:val="007174AF"/>
    <w:rsid w:val="007174B2"/>
    <w:rsid w:val="007174BC"/>
    <w:rsid w:val="007174D0"/>
    <w:rsid w:val="00717561"/>
    <w:rsid w:val="0071756B"/>
    <w:rsid w:val="007178AD"/>
    <w:rsid w:val="007178DB"/>
    <w:rsid w:val="00717AEC"/>
    <w:rsid w:val="00717C62"/>
    <w:rsid w:val="00717CBC"/>
    <w:rsid w:val="00717D9F"/>
    <w:rsid w:val="00717EFE"/>
    <w:rsid w:val="00717F49"/>
    <w:rsid w:val="00717F7C"/>
    <w:rsid w:val="007200FB"/>
    <w:rsid w:val="0072010F"/>
    <w:rsid w:val="00720122"/>
    <w:rsid w:val="007201CF"/>
    <w:rsid w:val="007201F1"/>
    <w:rsid w:val="00720206"/>
    <w:rsid w:val="00720259"/>
    <w:rsid w:val="00720522"/>
    <w:rsid w:val="00720555"/>
    <w:rsid w:val="007205B9"/>
    <w:rsid w:val="007206AA"/>
    <w:rsid w:val="007206C9"/>
    <w:rsid w:val="007208B4"/>
    <w:rsid w:val="007208FE"/>
    <w:rsid w:val="00720975"/>
    <w:rsid w:val="00720A4F"/>
    <w:rsid w:val="00720A5A"/>
    <w:rsid w:val="00720ABE"/>
    <w:rsid w:val="00720E88"/>
    <w:rsid w:val="00720EBE"/>
    <w:rsid w:val="0072107D"/>
    <w:rsid w:val="007210A2"/>
    <w:rsid w:val="007210D4"/>
    <w:rsid w:val="007211FC"/>
    <w:rsid w:val="00721239"/>
    <w:rsid w:val="0072149C"/>
    <w:rsid w:val="007214AD"/>
    <w:rsid w:val="007214C7"/>
    <w:rsid w:val="00721540"/>
    <w:rsid w:val="007217F6"/>
    <w:rsid w:val="00721838"/>
    <w:rsid w:val="007218FE"/>
    <w:rsid w:val="00721A28"/>
    <w:rsid w:val="00721A7B"/>
    <w:rsid w:val="00721B4D"/>
    <w:rsid w:val="00721CF4"/>
    <w:rsid w:val="00721D3F"/>
    <w:rsid w:val="00721F5C"/>
    <w:rsid w:val="00721FD0"/>
    <w:rsid w:val="00722004"/>
    <w:rsid w:val="00722107"/>
    <w:rsid w:val="0072226D"/>
    <w:rsid w:val="00722498"/>
    <w:rsid w:val="00722539"/>
    <w:rsid w:val="007225B3"/>
    <w:rsid w:val="007228BA"/>
    <w:rsid w:val="0072297B"/>
    <w:rsid w:val="00722AAC"/>
    <w:rsid w:val="00722CB4"/>
    <w:rsid w:val="00722D25"/>
    <w:rsid w:val="00722DCC"/>
    <w:rsid w:val="00722E1E"/>
    <w:rsid w:val="00722E3B"/>
    <w:rsid w:val="00722EDC"/>
    <w:rsid w:val="00722F28"/>
    <w:rsid w:val="00723027"/>
    <w:rsid w:val="00723253"/>
    <w:rsid w:val="0072356B"/>
    <w:rsid w:val="00723698"/>
    <w:rsid w:val="00723973"/>
    <w:rsid w:val="00723A9F"/>
    <w:rsid w:val="00723AB9"/>
    <w:rsid w:val="00723B7B"/>
    <w:rsid w:val="00723BA3"/>
    <w:rsid w:val="00723BD0"/>
    <w:rsid w:val="00723BD6"/>
    <w:rsid w:val="00723BEA"/>
    <w:rsid w:val="00723C88"/>
    <w:rsid w:val="00723E82"/>
    <w:rsid w:val="00723ED1"/>
    <w:rsid w:val="00723F96"/>
    <w:rsid w:val="00723FC1"/>
    <w:rsid w:val="007241DE"/>
    <w:rsid w:val="00724206"/>
    <w:rsid w:val="007242A6"/>
    <w:rsid w:val="007242B8"/>
    <w:rsid w:val="00724326"/>
    <w:rsid w:val="007244C8"/>
    <w:rsid w:val="00724576"/>
    <w:rsid w:val="007245C1"/>
    <w:rsid w:val="007246C6"/>
    <w:rsid w:val="00724984"/>
    <w:rsid w:val="00724BC2"/>
    <w:rsid w:val="00724C38"/>
    <w:rsid w:val="00724C85"/>
    <w:rsid w:val="00724D2F"/>
    <w:rsid w:val="00724D4C"/>
    <w:rsid w:val="00724E36"/>
    <w:rsid w:val="00724ECD"/>
    <w:rsid w:val="00724F75"/>
    <w:rsid w:val="00724FA1"/>
    <w:rsid w:val="0072500A"/>
    <w:rsid w:val="00725027"/>
    <w:rsid w:val="0072511F"/>
    <w:rsid w:val="00725188"/>
    <w:rsid w:val="0072528F"/>
    <w:rsid w:val="007252F6"/>
    <w:rsid w:val="00725344"/>
    <w:rsid w:val="007253B8"/>
    <w:rsid w:val="007253D8"/>
    <w:rsid w:val="0072548A"/>
    <w:rsid w:val="007254A3"/>
    <w:rsid w:val="00725658"/>
    <w:rsid w:val="007257D7"/>
    <w:rsid w:val="0072589F"/>
    <w:rsid w:val="007258BC"/>
    <w:rsid w:val="00725992"/>
    <w:rsid w:val="007259CF"/>
    <w:rsid w:val="00725AD1"/>
    <w:rsid w:val="00725B01"/>
    <w:rsid w:val="00725B18"/>
    <w:rsid w:val="00725B2A"/>
    <w:rsid w:val="00725BB2"/>
    <w:rsid w:val="00725BFB"/>
    <w:rsid w:val="00725C4B"/>
    <w:rsid w:val="00725C55"/>
    <w:rsid w:val="00725CDB"/>
    <w:rsid w:val="00725DA6"/>
    <w:rsid w:val="00725ED8"/>
    <w:rsid w:val="00726006"/>
    <w:rsid w:val="0072607D"/>
    <w:rsid w:val="00726121"/>
    <w:rsid w:val="007261F1"/>
    <w:rsid w:val="00726319"/>
    <w:rsid w:val="00726394"/>
    <w:rsid w:val="00726442"/>
    <w:rsid w:val="00726507"/>
    <w:rsid w:val="0072654C"/>
    <w:rsid w:val="00726597"/>
    <w:rsid w:val="0072666E"/>
    <w:rsid w:val="0072682B"/>
    <w:rsid w:val="00726844"/>
    <w:rsid w:val="007268BA"/>
    <w:rsid w:val="00726909"/>
    <w:rsid w:val="0072691B"/>
    <w:rsid w:val="00726C2B"/>
    <w:rsid w:val="00726C89"/>
    <w:rsid w:val="00726CA9"/>
    <w:rsid w:val="00726CC8"/>
    <w:rsid w:val="00726D6F"/>
    <w:rsid w:val="00726E7B"/>
    <w:rsid w:val="00726ECF"/>
    <w:rsid w:val="00726F56"/>
    <w:rsid w:val="00726FA4"/>
    <w:rsid w:val="0072730C"/>
    <w:rsid w:val="007273A7"/>
    <w:rsid w:val="007274B5"/>
    <w:rsid w:val="00727504"/>
    <w:rsid w:val="00727690"/>
    <w:rsid w:val="00727815"/>
    <w:rsid w:val="0072784A"/>
    <w:rsid w:val="00727855"/>
    <w:rsid w:val="00727B65"/>
    <w:rsid w:val="00727C51"/>
    <w:rsid w:val="00727C64"/>
    <w:rsid w:val="00727ECB"/>
    <w:rsid w:val="00727ED6"/>
    <w:rsid w:val="0073007A"/>
    <w:rsid w:val="007300A0"/>
    <w:rsid w:val="0073015C"/>
    <w:rsid w:val="0073015F"/>
    <w:rsid w:val="007301FB"/>
    <w:rsid w:val="007302A4"/>
    <w:rsid w:val="0073031B"/>
    <w:rsid w:val="00730395"/>
    <w:rsid w:val="007305B1"/>
    <w:rsid w:val="00730A55"/>
    <w:rsid w:val="00730B1C"/>
    <w:rsid w:val="00730C2A"/>
    <w:rsid w:val="00730D00"/>
    <w:rsid w:val="00730DAF"/>
    <w:rsid w:val="00730EC8"/>
    <w:rsid w:val="00731070"/>
    <w:rsid w:val="007310A6"/>
    <w:rsid w:val="007311B5"/>
    <w:rsid w:val="00731247"/>
    <w:rsid w:val="007312F3"/>
    <w:rsid w:val="00731312"/>
    <w:rsid w:val="00731388"/>
    <w:rsid w:val="0073139C"/>
    <w:rsid w:val="007314F0"/>
    <w:rsid w:val="0073154E"/>
    <w:rsid w:val="00731651"/>
    <w:rsid w:val="007316FA"/>
    <w:rsid w:val="007318A6"/>
    <w:rsid w:val="007318B6"/>
    <w:rsid w:val="007318F6"/>
    <w:rsid w:val="00731A04"/>
    <w:rsid w:val="00731A2B"/>
    <w:rsid w:val="00731BC1"/>
    <w:rsid w:val="00731D12"/>
    <w:rsid w:val="00731D2D"/>
    <w:rsid w:val="00731FCA"/>
    <w:rsid w:val="00732080"/>
    <w:rsid w:val="0073217C"/>
    <w:rsid w:val="0073217D"/>
    <w:rsid w:val="00732276"/>
    <w:rsid w:val="007323FD"/>
    <w:rsid w:val="0073251F"/>
    <w:rsid w:val="00732841"/>
    <w:rsid w:val="0073296A"/>
    <w:rsid w:val="00732978"/>
    <w:rsid w:val="00732C07"/>
    <w:rsid w:val="00732DB1"/>
    <w:rsid w:val="00732F68"/>
    <w:rsid w:val="00732F76"/>
    <w:rsid w:val="00733075"/>
    <w:rsid w:val="007330D8"/>
    <w:rsid w:val="007330F4"/>
    <w:rsid w:val="0073316B"/>
    <w:rsid w:val="00733238"/>
    <w:rsid w:val="00733277"/>
    <w:rsid w:val="007332BE"/>
    <w:rsid w:val="007332D7"/>
    <w:rsid w:val="00733396"/>
    <w:rsid w:val="007333CC"/>
    <w:rsid w:val="00733456"/>
    <w:rsid w:val="007335A4"/>
    <w:rsid w:val="00733614"/>
    <w:rsid w:val="007336EC"/>
    <w:rsid w:val="007337BA"/>
    <w:rsid w:val="0073384B"/>
    <w:rsid w:val="007338FE"/>
    <w:rsid w:val="00733A60"/>
    <w:rsid w:val="00733AA6"/>
    <w:rsid w:val="00733AB6"/>
    <w:rsid w:val="00733D52"/>
    <w:rsid w:val="00733ECC"/>
    <w:rsid w:val="00733F5C"/>
    <w:rsid w:val="00733FAC"/>
    <w:rsid w:val="0073421C"/>
    <w:rsid w:val="007342F2"/>
    <w:rsid w:val="007343A4"/>
    <w:rsid w:val="007343F4"/>
    <w:rsid w:val="0073470C"/>
    <w:rsid w:val="0073474A"/>
    <w:rsid w:val="0073481D"/>
    <w:rsid w:val="00734843"/>
    <w:rsid w:val="0073487D"/>
    <w:rsid w:val="0073488A"/>
    <w:rsid w:val="00734946"/>
    <w:rsid w:val="0073498A"/>
    <w:rsid w:val="00734A0E"/>
    <w:rsid w:val="00734D6D"/>
    <w:rsid w:val="00734DBD"/>
    <w:rsid w:val="00734EA5"/>
    <w:rsid w:val="00734EB6"/>
    <w:rsid w:val="00734F79"/>
    <w:rsid w:val="0073534A"/>
    <w:rsid w:val="00735420"/>
    <w:rsid w:val="007355DC"/>
    <w:rsid w:val="007356A0"/>
    <w:rsid w:val="007356B8"/>
    <w:rsid w:val="007356C9"/>
    <w:rsid w:val="007356D0"/>
    <w:rsid w:val="007356D7"/>
    <w:rsid w:val="0073573E"/>
    <w:rsid w:val="0073584D"/>
    <w:rsid w:val="00735945"/>
    <w:rsid w:val="007359A0"/>
    <w:rsid w:val="00735BD5"/>
    <w:rsid w:val="00735D64"/>
    <w:rsid w:val="00735E07"/>
    <w:rsid w:val="00735F2B"/>
    <w:rsid w:val="00735FAB"/>
    <w:rsid w:val="00735FBE"/>
    <w:rsid w:val="00735FCD"/>
    <w:rsid w:val="00736154"/>
    <w:rsid w:val="00736181"/>
    <w:rsid w:val="00736265"/>
    <w:rsid w:val="007362DB"/>
    <w:rsid w:val="0073632A"/>
    <w:rsid w:val="00736336"/>
    <w:rsid w:val="00736379"/>
    <w:rsid w:val="00736456"/>
    <w:rsid w:val="0073645A"/>
    <w:rsid w:val="007365D1"/>
    <w:rsid w:val="007365EF"/>
    <w:rsid w:val="007365F2"/>
    <w:rsid w:val="0073661F"/>
    <w:rsid w:val="0073668C"/>
    <w:rsid w:val="007366DE"/>
    <w:rsid w:val="00736804"/>
    <w:rsid w:val="0073681E"/>
    <w:rsid w:val="0073685F"/>
    <w:rsid w:val="0073688A"/>
    <w:rsid w:val="00736904"/>
    <w:rsid w:val="00736CA9"/>
    <w:rsid w:val="00736CBA"/>
    <w:rsid w:val="00736D91"/>
    <w:rsid w:val="00736F44"/>
    <w:rsid w:val="00737236"/>
    <w:rsid w:val="007372A5"/>
    <w:rsid w:val="007374CE"/>
    <w:rsid w:val="0073750A"/>
    <w:rsid w:val="007375B0"/>
    <w:rsid w:val="0073773C"/>
    <w:rsid w:val="007377E3"/>
    <w:rsid w:val="007379AD"/>
    <w:rsid w:val="00737B01"/>
    <w:rsid w:val="00737B4C"/>
    <w:rsid w:val="00737CC7"/>
    <w:rsid w:val="00737D57"/>
    <w:rsid w:val="00737E3E"/>
    <w:rsid w:val="00737E40"/>
    <w:rsid w:val="00740079"/>
    <w:rsid w:val="007400F7"/>
    <w:rsid w:val="00740244"/>
    <w:rsid w:val="00740276"/>
    <w:rsid w:val="007403A0"/>
    <w:rsid w:val="007404B5"/>
    <w:rsid w:val="007405A7"/>
    <w:rsid w:val="007405E3"/>
    <w:rsid w:val="00740638"/>
    <w:rsid w:val="007407D3"/>
    <w:rsid w:val="007407D4"/>
    <w:rsid w:val="00740882"/>
    <w:rsid w:val="007408A0"/>
    <w:rsid w:val="007408B6"/>
    <w:rsid w:val="007409ED"/>
    <w:rsid w:val="00740AD6"/>
    <w:rsid w:val="00740AEF"/>
    <w:rsid w:val="00740BF0"/>
    <w:rsid w:val="00740C34"/>
    <w:rsid w:val="00740D4E"/>
    <w:rsid w:val="00740FA1"/>
    <w:rsid w:val="00741019"/>
    <w:rsid w:val="007410EC"/>
    <w:rsid w:val="007412B5"/>
    <w:rsid w:val="00741370"/>
    <w:rsid w:val="00741745"/>
    <w:rsid w:val="007418C6"/>
    <w:rsid w:val="00741A1B"/>
    <w:rsid w:val="00741A4B"/>
    <w:rsid w:val="00741AC1"/>
    <w:rsid w:val="00741D1E"/>
    <w:rsid w:val="00741D68"/>
    <w:rsid w:val="00741DFF"/>
    <w:rsid w:val="00741E6D"/>
    <w:rsid w:val="007420B6"/>
    <w:rsid w:val="00742149"/>
    <w:rsid w:val="0074222C"/>
    <w:rsid w:val="00742284"/>
    <w:rsid w:val="007423C5"/>
    <w:rsid w:val="007425DD"/>
    <w:rsid w:val="00742670"/>
    <w:rsid w:val="0074268E"/>
    <w:rsid w:val="007427BD"/>
    <w:rsid w:val="0074280B"/>
    <w:rsid w:val="0074285E"/>
    <w:rsid w:val="007428DD"/>
    <w:rsid w:val="00742AAF"/>
    <w:rsid w:val="00742AF7"/>
    <w:rsid w:val="00742BD9"/>
    <w:rsid w:val="00742C30"/>
    <w:rsid w:val="00742C47"/>
    <w:rsid w:val="00742CFE"/>
    <w:rsid w:val="00742D7C"/>
    <w:rsid w:val="00742DFE"/>
    <w:rsid w:val="00742EB4"/>
    <w:rsid w:val="00742F82"/>
    <w:rsid w:val="00742F83"/>
    <w:rsid w:val="00742FDD"/>
    <w:rsid w:val="00743020"/>
    <w:rsid w:val="00743717"/>
    <w:rsid w:val="00743837"/>
    <w:rsid w:val="00743BB6"/>
    <w:rsid w:val="00743C5F"/>
    <w:rsid w:val="00743CED"/>
    <w:rsid w:val="00743DFB"/>
    <w:rsid w:val="00744074"/>
    <w:rsid w:val="0074419A"/>
    <w:rsid w:val="00744238"/>
    <w:rsid w:val="00744299"/>
    <w:rsid w:val="007442B8"/>
    <w:rsid w:val="007442D2"/>
    <w:rsid w:val="007443E9"/>
    <w:rsid w:val="00744438"/>
    <w:rsid w:val="007444CA"/>
    <w:rsid w:val="007446F4"/>
    <w:rsid w:val="0074493C"/>
    <w:rsid w:val="00744B14"/>
    <w:rsid w:val="00744BD2"/>
    <w:rsid w:val="00744CBA"/>
    <w:rsid w:val="00744CF3"/>
    <w:rsid w:val="00745053"/>
    <w:rsid w:val="00745110"/>
    <w:rsid w:val="0074538D"/>
    <w:rsid w:val="0074541E"/>
    <w:rsid w:val="00745622"/>
    <w:rsid w:val="00745681"/>
    <w:rsid w:val="007456D2"/>
    <w:rsid w:val="00745797"/>
    <w:rsid w:val="0074579D"/>
    <w:rsid w:val="00745815"/>
    <w:rsid w:val="00745920"/>
    <w:rsid w:val="0074595C"/>
    <w:rsid w:val="00745A55"/>
    <w:rsid w:val="00745B30"/>
    <w:rsid w:val="00745B57"/>
    <w:rsid w:val="00745B75"/>
    <w:rsid w:val="00745C3D"/>
    <w:rsid w:val="00745CE6"/>
    <w:rsid w:val="00745D74"/>
    <w:rsid w:val="00745DE5"/>
    <w:rsid w:val="00746058"/>
    <w:rsid w:val="007460CF"/>
    <w:rsid w:val="00746209"/>
    <w:rsid w:val="007462F4"/>
    <w:rsid w:val="007462F5"/>
    <w:rsid w:val="00746459"/>
    <w:rsid w:val="0074645B"/>
    <w:rsid w:val="007464FA"/>
    <w:rsid w:val="0074664D"/>
    <w:rsid w:val="00746816"/>
    <w:rsid w:val="00746894"/>
    <w:rsid w:val="00746902"/>
    <w:rsid w:val="0074692A"/>
    <w:rsid w:val="00746A6F"/>
    <w:rsid w:val="00746A9C"/>
    <w:rsid w:val="00746C4C"/>
    <w:rsid w:val="00746CA3"/>
    <w:rsid w:val="00746E8E"/>
    <w:rsid w:val="00746F66"/>
    <w:rsid w:val="00746F86"/>
    <w:rsid w:val="00747033"/>
    <w:rsid w:val="0074715E"/>
    <w:rsid w:val="007471B5"/>
    <w:rsid w:val="007472A1"/>
    <w:rsid w:val="007472C9"/>
    <w:rsid w:val="00747365"/>
    <w:rsid w:val="007474DF"/>
    <w:rsid w:val="00747643"/>
    <w:rsid w:val="007476A3"/>
    <w:rsid w:val="00747737"/>
    <w:rsid w:val="00747864"/>
    <w:rsid w:val="007479EA"/>
    <w:rsid w:val="00747A06"/>
    <w:rsid w:val="00747BE0"/>
    <w:rsid w:val="00747C2A"/>
    <w:rsid w:val="00747EAD"/>
    <w:rsid w:val="00747FCD"/>
    <w:rsid w:val="00750233"/>
    <w:rsid w:val="00750243"/>
    <w:rsid w:val="0075039A"/>
    <w:rsid w:val="007504E8"/>
    <w:rsid w:val="0075050B"/>
    <w:rsid w:val="00750573"/>
    <w:rsid w:val="007505D7"/>
    <w:rsid w:val="0075067E"/>
    <w:rsid w:val="007506DA"/>
    <w:rsid w:val="0075070D"/>
    <w:rsid w:val="007507A9"/>
    <w:rsid w:val="0075087C"/>
    <w:rsid w:val="007508FA"/>
    <w:rsid w:val="00750A14"/>
    <w:rsid w:val="00750B6A"/>
    <w:rsid w:val="00750B85"/>
    <w:rsid w:val="00750BF7"/>
    <w:rsid w:val="00750D9C"/>
    <w:rsid w:val="00750EDB"/>
    <w:rsid w:val="00750F35"/>
    <w:rsid w:val="00750F61"/>
    <w:rsid w:val="00750FBE"/>
    <w:rsid w:val="00750FD2"/>
    <w:rsid w:val="007510FB"/>
    <w:rsid w:val="0075118F"/>
    <w:rsid w:val="0075127C"/>
    <w:rsid w:val="00751348"/>
    <w:rsid w:val="00751358"/>
    <w:rsid w:val="00751381"/>
    <w:rsid w:val="007513D7"/>
    <w:rsid w:val="0075172D"/>
    <w:rsid w:val="007517AF"/>
    <w:rsid w:val="007517E8"/>
    <w:rsid w:val="007519CB"/>
    <w:rsid w:val="00751B93"/>
    <w:rsid w:val="00751C28"/>
    <w:rsid w:val="00751C57"/>
    <w:rsid w:val="00751C89"/>
    <w:rsid w:val="00751D8A"/>
    <w:rsid w:val="00751DD6"/>
    <w:rsid w:val="00751E77"/>
    <w:rsid w:val="00751F64"/>
    <w:rsid w:val="00752037"/>
    <w:rsid w:val="007520D8"/>
    <w:rsid w:val="0075210F"/>
    <w:rsid w:val="007523B0"/>
    <w:rsid w:val="0075258C"/>
    <w:rsid w:val="007525BF"/>
    <w:rsid w:val="007528EF"/>
    <w:rsid w:val="00752A44"/>
    <w:rsid w:val="00752A6B"/>
    <w:rsid w:val="00752A73"/>
    <w:rsid w:val="00752A97"/>
    <w:rsid w:val="00752EF5"/>
    <w:rsid w:val="00752F84"/>
    <w:rsid w:val="00753172"/>
    <w:rsid w:val="00753205"/>
    <w:rsid w:val="007532EA"/>
    <w:rsid w:val="007534A0"/>
    <w:rsid w:val="00753637"/>
    <w:rsid w:val="007537AC"/>
    <w:rsid w:val="0075384A"/>
    <w:rsid w:val="00753891"/>
    <w:rsid w:val="00753A2D"/>
    <w:rsid w:val="00753A4C"/>
    <w:rsid w:val="00753C08"/>
    <w:rsid w:val="00753C57"/>
    <w:rsid w:val="00753C7E"/>
    <w:rsid w:val="00754007"/>
    <w:rsid w:val="00754018"/>
    <w:rsid w:val="00754033"/>
    <w:rsid w:val="007540AF"/>
    <w:rsid w:val="00754104"/>
    <w:rsid w:val="0075415A"/>
    <w:rsid w:val="00754180"/>
    <w:rsid w:val="00754184"/>
    <w:rsid w:val="0075424F"/>
    <w:rsid w:val="00754260"/>
    <w:rsid w:val="00754284"/>
    <w:rsid w:val="007542F3"/>
    <w:rsid w:val="00754417"/>
    <w:rsid w:val="00754510"/>
    <w:rsid w:val="00754540"/>
    <w:rsid w:val="00754EE3"/>
    <w:rsid w:val="007550DB"/>
    <w:rsid w:val="007550FD"/>
    <w:rsid w:val="0075519E"/>
    <w:rsid w:val="00755298"/>
    <w:rsid w:val="0075529E"/>
    <w:rsid w:val="007553A5"/>
    <w:rsid w:val="007555CD"/>
    <w:rsid w:val="00755729"/>
    <w:rsid w:val="00755761"/>
    <w:rsid w:val="00755800"/>
    <w:rsid w:val="00755805"/>
    <w:rsid w:val="0075584C"/>
    <w:rsid w:val="007558EA"/>
    <w:rsid w:val="00755A01"/>
    <w:rsid w:val="00755A28"/>
    <w:rsid w:val="00755AFE"/>
    <w:rsid w:val="00755B0E"/>
    <w:rsid w:val="00755B49"/>
    <w:rsid w:val="00755BC5"/>
    <w:rsid w:val="00755C4C"/>
    <w:rsid w:val="00755EB9"/>
    <w:rsid w:val="00755F5C"/>
    <w:rsid w:val="00755F70"/>
    <w:rsid w:val="00755FBD"/>
    <w:rsid w:val="0075605D"/>
    <w:rsid w:val="007560B0"/>
    <w:rsid w:val="007562B5"/>
    <w:rsid w:val="007563DD"/>
    <w:rsid w:val="00756460"/>
    <w:rsid w:val="00756678"/>
    <w:rsid w:val="0075668B"/>
    <w:rsid w:val="00756705"/>
    <w:rsid w:val="0075671E"/>
    <w:rsid w:val="00756895"/>
    <w:rsid w:val="00756983"/>
    <w:rsid w:val="00756AF1"/>
    <w:rsid w:val="00756B7C"/>
    <w:rsid w:val="00756BC4"/>
    <w:rsid w:val="00756C82"/>
    <w:rsid w:val="00756DC6"/>
    <w:rsid w:val="00756DE7"/>
    <w:rsid w:val="00756E6E"/>
    <w:rsid w:val="00756FAD"/>
    <w:rsid w:val="00757017"/>
    <w:rsid w:val="0075716B"/>
    <w:rsid w:val="007571DE"/>
    <w:rsid w:val="00757415"/>
    <w:rsid w:val="007575BE"/>
    <w:rsid w:val="007578B6"/>
    <w:rsid w:val="0075792F"/>
    <w:rsid w:val="0075798C"/>
    <w:rsid w:val="00757A23"/>
    <w:rsid w:val="00757B0E"/>
    <w:rsid w:val="00757B41"/>
    <w:rsid w:val="00757B7C"/>
    <w:rsid w:val="00757C3A"/>
    <w:rsid w:val="00757D12"/>
    <w:rsid w:val="00757D66"/>
    <w:rsid w:val="00757ED4"/>
    <w:rsid w:val="00757F29"/>
    <w:rsid w:val="00757FA3"/>
    <w:rsid w:val="007601F4"/>
    <w:rsid w:val="0076032B"/>
    <w:rsid w:val="00760579"/>
    <w:rsid w:val="007605D8"/>
    <w:rsid w:val="00760601"/>
    <w:rsid w:val="0076063C"/>
    <w:rsid w:val="0076065E"/>
    <w:rsid w:val="0076070F"/>
    <w:rsid w:val="007607B9"/>
    <w:rsid w:val="0076082A"/>
    <w:rsid w:val="00760915"/>
    <w:rsid w:val="00760971"/>
    <w:rsid w:val="007609E7"/>
    <w:rsid w:val="00760AE2"/>
    <w:rsid w:val="00760AFD"/>
    <w:rsid w:val="00760B99"/>
    <w:rsid w:val="00760C2B"/>
    <w:rsid w:val="00760C8F"/>
    <w:rsid w:val="00760D54"/>
    <w:rsid w:val="00760EFA"/>
    <w:rsid w:val="00760F27"/>
    <w:rsid w:val="00760F90"/>
    <w:rsid w:val="00761034"/>
    <w:rsid w:val="0076106F"/>
    <w:rsid w:val="0076111F"/>
    <w:rsid w:val="00761171"/>
    <w:rsid w:val="0076118B"/>
    <w:rsid w:val="007611BA"/>
    <w:rsid w:val="007613FF"/>
    <w:rsid w:val="0076142B"/>
    <w:rsid w:val="00761508"/>
    <w:rsid w:val="00761577"/>
    <w:rsid w:val="007618A8"/>
    <w:rsid w:val="00761B00"/>
    <w:rsid w:val="00761B17"/>
    <w:rsid w:val="00761BB8"/>
    <w:rsid w:val="00761BCC"/>
    <w:rsid w:val="00761CD2"/>
    <w:rsid w:val="00761D79"/>
    <w:rsid w:val="00761D8F"/>
    <w:rsid w:val="00761F6C"/>
    <w:rsid w:val="00761F80"/>
    <w:rsid w:val="0076203D"/>
    <w:rsid w:val="0076213C"/>
    <w:rsid w:val="0076215E"/>
    <w:rsid w:val="0076239B"/>
    <w:rsid w:val="007624F9"/>
    <w:rsid w:val="00762581"/>
    <w:rsid w:val="007625BA"/>
    <w:rsid w:val="0076264B"/>
    <w:rsid w:val="00762708"/>
    <w:rsid w:val="0076277C"/>
    <w:rsid w:val="00762A0D"/>
    <w:rsid w:val="00762A2C"/>
    <w:rsid w:val="00762AA0"/>
    <w:rsid w:val="00762BA4"/>
    <w:rsid w:val="00762C0B"/>
    <w:rsid w:val="00762C1C"/>
    <w:rsid w:val="00762C58"/>
    <w:rsid w:val="00763045"/>
    <w:rsid w:val="00763079"/>
    <w:rsid w:val="00763141"/>
    <w:rsid w:val="007631F2"/>
    <w:rsid w:val="007632E9"/>
    <w:rsid w:val="00763357"/>
    <w:rsid w:val="0076336A"/>
    <w:rsid w:val="0076343A"/>
    <w:rsid w:val="00763690"/>
    <w:rsid w:val="0076389D"/>
    <w:rsid w:val="007639BA"/>
    <w:rsid w:val="007639BD"/>
    <w:rsid w:val="00763A3E"/>
    <w:rsid w:val="00763DF1"/>
    <w:rsid w:val="00763E23"/>
    <w:rsid w:val="00763E5E"/>
    <w:rsid w:val="00763F2A"/>
    <w:rsid w:val="00763F3F"/>
    <w:rsid w:val="00763F77"/>
    <w:rsid w:val="007640A3"/>
    <w:rsid w:val="007640B3"/>
    <w:rsid w:val="00764179"/>
    <w:rsid w:val="00764272"/>
    <w:rsid w:val="007642CD"/>
    <w:rsid w:val="0076451D"/>
    <w:rsid w:val="00764691"/>
    <w:rsid w:val="007646A2"/>
    <w:rsid w:val="007646CD"/>
    <w:rsid w:val="007647EE"/>
    <w:rsid w:val="00764842"/>
    <w:rsid w:val="00764880"/>
    <w:rsid w:val="007648B2"/>
    <w:rsid w:val="00764B1F"/>
    <w:rsid w:val="00764CF2"/>
    <w:rsid w:val="00764F36"/>
    <w:rsid w:val="00764F73"/>
    <w:rsid w:val="00764F8C"/>
    <w:rsid w:val="00765192"/>
    <w:rsid w:val="007651A5"/>
    <w:rsid w:val="00765305"/>
    <w:rsid w:val="007653E4"/>
    <w:rsid w:val="00765401"/>
    <w:rsid w:val="00765432"/>
    <w:rsid w:val="00765776"/>
    <w:rsid w:val="0076589E"/>
    <w:rsid w:val="0076589F"/>
    <w:rsid w:val="00765A1A"/>
    <w:rsid w:val="00765A73"/>
    <w:rsid w:val="00765ABF"/>
    <w:rsid w:val="00765B36"/>
    <w:rsid w:val="00765BC1"/>
    <w:rsid w:val="00765C29"/>
    <w:rsid w:val="00765C86"/>
    <w:rsid w:val="00765CDD"/>
    <w:rsid w:val="00765D70"/>
    <w:rsid w:val="00765E35"/>
    <w:rsid w:val="00766116"/>
    <w:rsid w:val="007661E7"/>
    <w:rsid w:val="00766365"/>
    <w:rsid w:val="00766440"/>
    <w:rsid w:val="00766559"/>
    <w:rsid w:val="00766564"/>
    <w:rsid w:val="00766700"/>
    <w:rsid w:val="007667C7"/>
    <w:rsid w:val="00766B3F"/>
    <w:rsid w:val="00766DC9"/>
    <w:rsid w:val="00766F5F"/>
    <w:rsid w:val="00766FB0"/>
    <w:rsid w:val="00767097"/>
    <w:rsid w:val="00767169"/>
    <w:rsid w:val="0076717E"/>
    <w:rsid w:val="007672DB"/>
    <w:rsid w:val="00767465"/>
    <w:rsid w:val="00767668"/>
    <w:rsid w:val="00767674"/>
    <w:rsid w:val="00767681"/>
    <w:rsid w:val="00767762"/>
    <w:rsid w:val="007677C6"/>
    <w:rsid w:val="007677DE"/>
    <w:rsid w:val="00767863"/>
    <w:rsid w:val="007679B8"/>
    <w:rsid w:val="00767A95"/>
    <w:rsid w:val="00767ACA"/>
    <w:rsid w:val="00767BCA"/>
    <w:rsid w:val="00767BCC"/>
    <w:rsid w:val="00767D4E"/>
    <w:rsid w:val="00767D55"/>
    <w:rsid w:val="0076E08A"/>
    <w:rsid w:val="00770096"/>
    <w:rsid w:val="0077015A"/>
    <w:rsid w:val="00770183"/>
    <w:rsid w:val="007701C5"/>
    <w:rsid w:val="007701D4"/>
    <w:rsid w:val="00770471"/>
    <w:rsid w:val="0077049D"/>
    <w:rsid w:val="007704BF"/>
    <w:rsid w:val="00770572"/>
    <w:rsid w:val="007706CC"/>
    <w:rsid w:val="007706D3"/>
    <w:rsid w:val="007707B9"/>
    <w:rsid w:val="00770DDE"/>
    <w:rsid w:val="00770E1C"/>
    <w:rsid w:val="00770F41"/>
    <w:rsid w:val="00770FAC"/>
    <w:rsid w:val="0077111F"/>
    <w:rsid w:val="00771167"/>
    <w:rsid w:val="00771355"/>
    <w:rsid w:val="0077144E"/>
    <w:rsid w:val="00771478"/>
    <w:rsid w:val="007714AB"/>
    <w:rsid w:val="007714C0"/>
    <w:rsid w:val="007717A6"/>
    <w:rsid w:val="007717B4"/>
    <w:rsid w:val="00771837"/>
    <w:rsid w:val="007718AC"/>
    <w:rsid w:val="00771982"/>
    <w:rsid w:val="00771AA7"/>
    <w:rsid w:val="00771C07"/>
    <w:rsid w:val="00771C18"/>
    <w:rsid w:val="00771D7F"/>
    <w:rsid w:val="00771DA7"/>
    <w:rsid w:val="00771F85"/>
    <w:rsid w:val="007721B7"/>
    <w:rsid w:val="007723D7"/>
    <w:rsid w:val="007725EC"/>
    <w:rsid w:val="0077280E"/>
    <w:rsid w:val="00772846"/>
    <w:rsid w:val="00772899"/>
    <w:rsid w:val="00772F1F"/>
    <w:rsid w:val="00772F7B"/>
    <w:rsid w:val="00772FBB"/>
    <w:rsid w:val="00773138"/>
    <w:rsid w:val="007731E3"/>
    <w:rsid w:val="00773256"/>
    <w:rsid w:val="0077344A"/>
    <w:rsid w:val="00773507"/>
    <w:rsid w:val="00773686"/>
    <w:rsid w:val="007736F9"/>
    <w:rsid w:val="007737DB"/>
    <w:rsid w:val="00773997"/>
    <w:rsid w:val="007739A0"/>
    <w:rsid w:val="00773A60"/>
    <w:rsid w:val="00773B16"/>
    <w:rsid w:val="00773CBB"/>
    <w:rsid w:val="00773D83"/>
    <w:rsid w:val="00773E87"/>
    <w:rsid w:val="00773FC3"/>
    <w:rsid w:val="00774120"/>
    <w:rsid w:val="0077431B"/>
    <w:rsid w:val="00774346"/>
    <w:rsid w:val="0077437A"/>
    <w:rsid w:val="007745F6"/>
    <w:rsid w:val="007746A0"/>
    <w:rsid w:val="00774813"/>
    <w:rsid w:val="007749AD"/>
    <w:rsid w:val="00774B8F"/>
    <w:rsid w:val="00774B91"/>
    <w:rsid w:val="00774BB6"/>
    <w:rsid w:val="00774C22"/>
    <w:rsid w:val="00774CA3"/>
    <w:rsid w:val="00774E96"/>
    <w:rsid w:val="00774F73"/>
    <w:rsid w:val="00774FB7"/>
    <w:rsid w:val="007751F1"/>
    <w:rsid w:val="0077520B"/>
    <w:rsid w:val="007752A9"/>
    <w:rsid w:val="007752B4"/>
    <w:rsid w:val="0077531D"/>
    <w:rsid w:val="00775608"/>
    <w:rsid w:val="007756B3"/>
    <w:rsid w:val="00775702"/>
    <w:rsid w:val="0077585F"/>
    <w:rsid w:val="0077586C"/>
    <w:rsid w:val="0077586F"/>
    <w:rsid w:val="007758C4"/>
    <w:rsid w:val="007758C5"/>
    <w:rsid w:val="00775909"/>
    <w:rsid w:val="00775961"/>
    <w:rsid w:val="00775981"/>
    <w:rsid w:val="00775AF7"/>
    <w:rsid w:val="00775B32"/>
    <w:rsid w:val="00775B37"/>
    <w:rsid w:val="00775DC3"/>
    <w:rsid w:val="00775F0C"/>
    <w:rsid w:val="00775F42"/>
    <w:rsid w:val="00775F87"/>
    <w:rsid w:val="00775FC5"/>
    <w:rsid w:val="007761BB"/>
    <w:rsid w:val="00776252"/>
    <w:rsid w:val="0077626E"/>
    <w:rsid w:val="007763A7"/>
    <w:rsid w:val="00776428"/>
    <w:rsid w:val="00776499"/>
    <w:rsid w:val="00776574"/>
    <w:rsid w:val="007765E9"/>
    <w:rsid w:val="00776642"/>
    <w:rsid w:val="007766FD"/>
    <w:rsid w:val="00776838"/>
    <w:rsid w:val="00776842"/>
    <w:rsid w:val="00776843"/>
    <w:rsid w:val="0077699A"/>
    <w:rsid w:val="007769C6"/>
    <w:rsid w:val="00776AB0"/>
    <w:rsid w:val="00776E29"/>
    <w:rsid w:val="00776FAC"/>
    <w:rsid w:val="0077710C"/>
    <w:rsid w:val="00777327"/>
    <w:rsid w:val="0077734E"/>
    <w:rsid w:val="0077745D"/>
    <w:rsid w:val="00777465"/>
    <w:rsid w:val="007774B1"/>
    <w:rsid w:val="00777554"/>
    <w:rsid w:val="007775B9"/>
    <w:rsid w:val="00777880"/>
    <w:rsid w:val="00777958"/>
    <w:rsid w:val="00777A94"/>
    <w:rsid w:val="00777B5F"/>
    <w:rsid w:val="00777BB2"/>
    <w:rsid w:val="00777CA2"/>
    <w:rsid w:val="00777D36"/>
    <w:rsid w:val="00777D5B"/>
    <w:rsid w:val="00777D9F"/>
    <w:rsid w:val="00777DDD"/>
    <w:rsid w:val="00777E43"/>
    <w:rsid w:val="00777F82"/>
    <w:rsid w:val="00777FCB"/>
    <w:rsid w:val="00777FD6"/>
    <w:rsid w:val="00780087"/>
    <w:rsid w:val="007803A6"/>
    <w:rsid w:val="007804AE"/>
    <w:rsid w:val="007804BB"/>
    <w:rsid w:val="00780568"/>
    <w:rsid w:val="00780585"/>
    <w:rsid w:val="007808AA"/>
    <w:rsid w:val="00780A0B"/>
    <w:rsid w:val="00780A97"/>
    <w:rsid w:val="00780CAC"/>
    <w:rsid w:val="00780D44"/>
    <w:rsid w:val="00780D55"/>
    <w:rsid w:val="00780F5E"/>
    <w:rsid w:val="007810D8"/>
    <w:rsid w:val="00781216"/>
    <w:rsid w:val="0078127B"/>
    <w:rsid w:val="0078132C"/>
    <w:rsid w:val="0078135B"/>
    <w:rsid w:val="0078138F"/>
    <w:rsid w:val="007813D4"/>
    <w:rsid w:val="0078145D"/>
    <w:rsid w:val="007816A9"/>
    <w:rsid w:val="00781783"/>
    <w:rsid w:val="00781814"/>
    <w:rsid w:val="0078199E"/>
    <w:rsid w:val="007819F0"/>
    <w:rsid w:val="00781A07"/>
    <w:rsid w:val="00781C33"/>
    <w:rsid w:val="00781C85"/>
    <w:rsid w:val="00781C9E"/>
    <w:rsid w:val="00781D1E"/>
    <w:rsid w:val="00781D8C"/>
    <w:rsid w:val="00781D92"/>
    <w:rsid w:val="00781F41"/>
    <w:rsid w:val="00781FEB"/>
    <w:rsid w:val="00782014"/>
    <w:rsid w:val="0078209C"/>
    <w:rsid w:val="007821F6"/>
    <w:rsid w:val="00782259"/>
    <w:rsid w:val="007822D5"/>
    <w:rsid w:val="00782303"/>
    <w:rsid w:val="007823E1"/>
    <w:rsid w:val="007824B0"/>
    <w:rsid w:val="007825A9"/>
    <w:rsid w:val="00782684"/>
    <w:rsid w:val="007826B7"/>
    <w:rsid w:val="00782723"/>
    <w:rsid w:val="00782814"/>
    <w:rsid w:val="00782924"/>
    <w:rsid w:val="00782994"/>
    <w:rsid w:val="00782BD8"/>
    <w:rsid w:val="00782C5E"/>
    <w:rsid w:val="00782C5F"/>
    <w:rsid w:val="00782CC4"/>
    <w:rsid w:val="00782CDC"/>
    <w:rsid w:val="00782EA9"/>
    <w:rsid w:val="00782EB8"/>
    <w:rsid w:val="00782FD7"/>
    <w:rsid w:val="007830EF"/>
    <w:rsid w:val="0078321A"/>
    <w:rsid w:val="0078326F"/>
    <w:rsid w:val="00783270"/>
    <w:rsid w:val="007834C7"/>
    <w:rsid w:val="007834CD"/>
    <w:rsid w:val="007834D1"/>
    <w:rsid w:val="0078367D"/>
    <w:rsid w:val="007836DF"/>
    <w:rsid w:val="0078376F"/>
    <w:rsid w:val="007838E6"/>
    <w:rsid w:val="007839E6"/>
    <w:rsid w:val="00783A2C"/>
    <w:rsid w:val="00783B44"/>
    <w:rsid w:val="00783C02"/>
    <w:rsid w:val="00783CE7"/>
    <w:rsid w:val="00783E41"/>
    <w:rsid w:val="00783E43"/>
    <w:rsid w:val="00784020"/>
    <w:rsid w:val="00784046"/>
    <w:rsid w:val="00784095"/>
    <w:rsid w:val="0078420F"/>
    <w:rsid w:val="0078429A"/>
    <w:rsid w:val="0078437A"/>
    <w:rsid w:val="00784431"/>
    <w:rsid w:val="00784450"/>
    <w:rsid w:val="007844A0"/>
    <w:rsid w:val="0078462E"/>
    <w:rsid w:val="007846A9"/>
    <w:rsid w:val="007846EA"/>
    <w:rsid w:val="007847A8"/>
    <w:rsid w:val="00784A6A"/>
    <w:rsid w:val="00784AA1"/>
    <w:rsid w:val="00784C2B"/>
    <w:rsid w:val="00784C3A"/>
    <w:rsid w:val="00784E98"/>
    <w:rsid w:val="00784F2F"/>
    <w:rsid w:val="00784F6D"/>
    <w:rsid w:val="00784F82"/>
    <w:rsid w:val="00784FE9"/>
    <w:rsid w:val="00785021"/>
    <w:rsid w:val="00785093"/>
    <w:rsid w:val="0078511E"/>
    <w:rsid w:val="00785436"/>
    <w:rsid w:val="00785575"/>
    <w:rsid w:val="00785579"/>
    <w:rsid w:val="007855A6"/>
    <w:rsid w:val="007856A7"/>
    <w:rsid w:val="00785879"/>
    <w:rsid w:val="007858FF"/>
    <w:rsid w:val="00785974"/>
    <w:rsid w:val="00785A09"/>
    <w:rsid w:val="00785A2D"/>
    <w:rsid w:val="00785AD5"/>
    <w:rsid w:val="00785B5C"/>
    <w:rsid w:val="00785B89"/>
    <w:rsid w:val="00785CBC"/>
    <w:rsid w:val="00785CE7"/>
    <w:rsid w:val="00785CFD"/>
    <w:rsid w:val="00785D0B"/>
    <w:rsid w:val="00785EB1"/>
    <w:rsid w:val="00785F09"/>
    <w:rsid w:val="00785F2B"/>
    <w:rsid w:val="00785FD8"/>
    <w:rsid w:val="00786111"/>
    <w:rsid w:val="00786168"/>
    <w:rsid w:val="00786329"/>
    <w:rsid w:val="00786367"/>
    <w:rsid w:val="00786376"/>
    <w:rsid w:val="00786563"/>
    <w:rsid w:val="00786573"/>
    <w:rsid w:val="00786592"/>
    <w:rsid w:val="007866ED"/>
    <w:rsid w:val="007868B2"/>
    <w:rsid w:val="007868B6"/>
    <w:rsid w:val="00786927"/>
    <w:rsid w:val="0078694C"/>
    <w:rsid w:val="00786B39"/>
    <w:rsid w:val="00786B5C"/>
    <w:rsid w:val="00786BAB"/>
    <w:rsid w:val="00786D14"/>
    <w:rsid w:val="00786DD9"/>
    <w:rsid w:val="00786E1C"/>
    <w:rsid w:val="00786E38"/>
    <w:rsid w:val="00786E88"/>
    <w:rsid w:val="00786E9E"/>
    <w:rsid w:val="00786F72"/>
    <w:rsid w:val="0078730D"/>
    <w:rsid w:val="00787481"/>
    <w:rsid w:val="0078749E"/>
    <w:rsid w:val="007876AB"/>
    <w:rsid w:val="0078778F"/>
    <w:rsid w:val="007878FA"/>
    <w:rsid w:val="00787B3E"/>
    <w:rsid w:val="00787C1B"/>
    <w:rsid w:val="00787C38"/>
    <w:rsid w:val="00787C7B"/>
    <w:rsid w:val="00787CBC"/>
    <w:rsid w:val="00787E5C"/>
    <w:rsid w:val="0079008C"/>
    <w:rsid w:val="007903D8"/>
    <w:rsid w:val="007904A3"/>
    <w:rsid w:val="00790558"/>
    <w:rsid w:val="007906FC"/>
    <w:rsid w:val="007907B8"/>
    <w:rsid w:val="00790974"/>
    <w:rsid w:val="00790A53"/>
    <w:rsid w:val="00790B93"/>
    <w:rsid w:val="00790C09"/>
    <w:rsid w:val="00790F61"/>
    <w:rsid w:val="00791112"/>
    <w:rsid w:val="0079112E"/>
    <w:rsid w:val="00791188"/>
    <w:rsid w:val="007911AC"/>
    <w:rsid w:val="00791215"/>
    <w:rsid w:val="007912E0"/>
    <w:rsid w:val="007913B5"/>
    <w:rsid w:val="007914F9"/>
    <w:rsid w:val="00791524"/>
    <w:rsid w:val="00791765"/>
    <w:rsid w:val="007917D4"/>
    <w:rsid w:val="007918C8"/>
    <w:rsid w:val="0079199D"/>
    <w:rsid w:val="00791AC9"/>
    <w:rsid w:val="00791C9F"/>
    <w:rsid w:val="00791E5D"/>
    <w:rsid w:val="00791F8F"/>
    <w:rsid w:val="00792231"/>
    <w:rsid w:val="0079228B"/>
    <w:rsid w:val="007923EF"/>
    <w:rsid w:val="0079247A"/>
    <w:rsid w:val="0079259D"/>
    <w:rsid w:val="007925EA"/>
    <w:rsid w:val="0079260C"/>
    <w:rsid w:val="0079265D"/>
    <w:rsid w:val="0079275C"/>
    <w:rsid w:val="00792BAC"/>
    <w:rsid w:val="00792DB4"/>
    <w:rsid w:val="00792EFB"/>
    <w:rsid w:val="00792FD9"/>
    <w:rsid w:val="0079333C"/>
    <w:rsid w:val="0079334B"/>
    <w:rsid w:val="0079335F"/>
    <w:rsid w:val="00793436"/>
    <w:rsid w:val="00793590"/>
    <w:rsid w:val="00793698"/>
    <w:rsid w:val="00793806"/>
    <w:rsid w:val="00793918"/>
    <w:rsid w:val="00793936"/>
    <w:rsid w:val="00793A11"/>
    <w:rsid w:val="00793A60"/>
    <w:rsid w:val="00793C11"/>
    <w:rsid w:val="00793C93"/>
    <w:rsid w:val="00793D2D"/>
    <w:rsid w:val="00793D94"/>
    <w:rsid w:val="00793DFA"/>
    <w:rsid w:val="00793F26"/>
    <w:rsid w:val="00793FA6"/>
    <w:rsid w:val="00794023"/>
    <w:rsid w:val="0079424C"/>
    <w:rsid w:val="007942AF"/>
    <w:rsid w:val="007942B6"/>
    <w:rsid w:val="00794327"/>
    <w:rsid w:val="0079437A"/>
    <w:rsid w:val="00794592"/>
    <w:rsid w:val="007945AB"/>
    <w:rsid w:val="00794609"/>
    <w:rsid w:val="0079471E"/>
    <w:rsid w:val="007947B5"/>
    <w:rsid w:val="00794824"/>
    <w:rsid w:val="0079488B"/>
    <w:rsid w:val="007949E7"/>
    <w:rsid w:val="00794AFA"/>
    <w:rsid w:val="00794B02"/>
    <w:rsid w:val="00794BE2"/>
    <w:rsid w:val="00794CCC"/>
    <w:rsid w:val="00794D19"/>
    <w:rsid w:val="00794D31"/>
    <w:rsid w:val="00794D8A"/>
    <w:rsid w:val="00794DAD"/>
    <w:rsid w:val="00794E3B"/>
    <w:rsid w:val="00794F81"/>
    <w:rsid w:val="00794FA1"/>
    <w:rsid w:val="007950C3"/>
    <w:rsid w:val="007950C9"/>
    <w:rsid w:val="007954A5"/>
    <w:rsid w:val="007954C3"/>
    <w:rsid w:val="007955AE"/>
    <w:rsid w:val="0079573E"/>
    <w:rsid w:val="007957BB"/>
    <w:rsid w:val="007959D5"/>
    <w:rsid w:val="00795BE8"/>
    <w:rsid w:val="00795C11"/>
    <w:rsid w:val="00795C5D"/>
    <w:rsid w:val="00795CAF"/>
    <w:rsid w:val="00795CD3"/>
    <w:rsid w:val="00796022"/>
    <w:rsid w:val="007960A4"/>
    <w:rsid w:val="0079611C"/>
    <w:rsid w:val="0079612B"/>
    <w:rsid w:val="007961CE"/>
    <w:rsid w:val="00796202"/>
    <w:rsid w:val="0079622D"/>
    <w:rsid w:val="007962B9"/>
    <w:rsid w:val="007962ED"/>
    <w:rsid w:val="007962F8"/>
    <w:rsid w:val="00796315"/>
    <w:rsid w:val="00796347"/>
    <w:rsid w:val="00796478"/>
    <w:rsid w:val="0079650F"/>
    <w:rsid w:val="0079656B"/>
    <w:rsid w:val="00796696"/>
    <w:rsid w:val="007967C8"/>
    <w:rsid w:val="007968BF"/>
    <w:rsid w:val="007968EF"/>
    <w:rsid w:val="00796AAD"/>
    <w:rsid w:val="00796B93"/>
    <w:rsid w:val="00796CD4"/>
    <w:rsid w:val="007970D5"/>
    <w:rsid w:val="0079710F"/>
    <w:rsid w:val="007971D4"/>
    <w:rsid w:val="007973E1"/>
    <w:rsid w:val="007974CC"/>
    <w:rsid w:val="00797570"/>
    <w:rsid w:val="007978DD"/>
    <w:rsid w:val="00797A45"/>
    <w:rsid w:val="00797B57"/>
    <w:rsid w:val="00797E68"/>
    <w:rsid w:val="00797EE0"/>
    <w:rsid w:val="00797FB3"/>
    <w:rsid w:val="007A020C"/>
    <w:rsid w:val="007A0342"/>
    <w:rsid w:val="007A05F2"/>
    <w:rsid w:val="007A086E"/>
    <w:rsid w:val="007A099E"/>
    <w:rsid w:val="007A0A84"/>
    <w:rsid w:val="007A0B9A"/>
    <w:rsid w:val="007A0C44"/>
    <w:rsid w:val="007A0CB4"/>
    <w:rsid w:val="007A0D09"/>
    <w:rsid w:val="007A0D8A"/>
    <w:rsid w:val="007A0E19"/>
    <w:rsid w:val="007A0E48"/>
    <w:rsid w:val="007A0E8D"/>
    <w:rsid w:val="007A0FA1"/>
    <w:rsid w:val="007A108E"/>
    <w:rsid w:val="007A108F"/>
    <w:rsid w:val="007A11CF"/>
    <w:rsid w:val="007A1215"/>
    <w:rsid w:val="007A1248"/>
    <w:rsid w:val="007A12D4"/>
    <w:rsid w:val="007A134D"/>
    <w:rsid w:val="007A13B4"/>
    <w:rsid w:val="007A146F"/>
    <w:rsid w:val="007A14D3"/>
    <w:rsid w:val="007A15B0"/>
    <w:rsid w:val="007A166C"/>
    <w:rsid w:val="007A17A5"/>
    <w:rsid w:val="007A17B4"/>
    <w:rsid w:val="007A1929"/>
    <w:rsid w:val="007A1BA0"/>
    <w:rsid w:val="007A1C5A"/>
    <w:rsid w:val="007A1E23"/>
    <w:rsid w:val="007A1EEC"/>
    <w:rsid w:val="007A1F03"/>
    <w:rsid w:val="007A1F56"/>
    <w:rsid w:val="007A20BD"/>
    <w:rsid w:val="007A20CA"/>
    <w:rsid w:val="007A21D3"/>
    <w:rsid w:val="007A21F3"/>
    <w:rsid w:val="007A2207"/>
    <w:rsid w:val="007A22BC"/>
    <w:rsid w:val="007A22C0"/>
    <w:rsid w:val="007A2325"/>
    <w:rsid w:val="007A237C"/>
    <w:rsid w:val="007A252D"/>
    <w:rsid w:val="007A25D7"/>
    <w:rsid w:val="007A2654"/>
    <w:rsid w:val="007A280C"/>
    <w:rsid w:val="007A2A81"/>
    <w:rsid w:val="007A2AB6"/>
    <w:rsid w:val="007A2C15"/>
    <w:rsid w:val="007A2C1F"/>
    <w:rsid w:val="007A2DAD"/>
    <w:rsid w:val="007A2F6D"/>
    <w:rsid w:val="007A2FFE"/>
    <w:rsid w:val="007A314D"/>
    <w:rsid w:val="007A3152"/>
    <w:rsid w:val="007A3304"/>
    <w:rsid w:val="007A3330"/>
    <w:rsid w:val="007A358D"/>
    <w:rsid w:val="007A359F"/>
    <w:rsid w:val="007A35FF"/>
    <w:rsid w:val="007A3630"/>
    <w:rsid w:val="007A3824"/>
    <w:rsid w:val="007A3843"/>
    <w:rsid w:val="007A3944"/>
    <w:rsid w:val="007A3974"/>
    <w:rsid w:val="007A3A82"/>
    <w:rsid w:val="007A3C53"/>
    <w:rsid w:val="007A3D08"/>
    <w:rsid w:val="007A3D90"/>
    <w:rsid w:val="007A3DF3"/>
    <w:rsid w:val="007A3E07"/>
    <w:rsid w:val="007A3F0C"/>
    <w:rsid w:val="007A413A"/>
    <w:rsid w:val="007A417D"/>
    <w:rsid w:val="007A42A3"/>
    <w:rsid w:val="007A42D7"/>
    <w:rsid w:val="007A45B7"/>
    <w:rsid w:val="007A45E4"/>
    <w:rsid w:val="007A465F"/>
    <w:rsid w:val="007A46A3"/>
    <w:rsid w:val="007A46DB"/>
    <w:rsid w:val="007A4823"/>
    <w:rsid w:val="007A486B"/>
    <w:rsid w:val="007A48B4"/>
    <w:rsid w:val="007A4C05"/>
    <w:rsid w:val="007A4C9F"/>
    <w:rsid w:val="007A4CDA"/>
    <w:rsid w:val="007A4D03"/>
    <w:rsid w:val="007A4D55"/>
    <w:rsid w:val="007A4E70"/>
    <w:rsid w:val="007A501B"/>
    <w:rsid w:val="007A5141"/>
    <w:rsid w:val="007A5242"/>
    <w:rsid w:val="007A52CB"/>
    <w:rsid w:val="007A53C5"/>
    <w:rsid w:val="007A53EF"/>
    <w:rsid w:val="007A54FF"/>
    <w:rsid w:val="007A55F4"/>
    <w:rsid w:val="007A56A9"/>
    <w:rsid w:val="007A5889"/>
    <w:rsid w:val="007A5AA1"/>
    <w:rsid w:val="007A5C00"/>
    <w:rsid w:val="007A5C3D"/>
    <w:rsid w:val="007A5C6A"/>
    <w:rsid w:val="007A5D8D"/>
    <w:rsid w:val="007A6001"/>
    <w:rsid w:val="007A61CE"/>
    <w:rsid w:val="007A62A9"/>
    <w:rsid w:val="007A6318"/>
    <w:rsid w:val="007A6395"/>
    <w:rsid w:val="007A6532"/>
    <w:rsid w:val="007A6535"/>
    <w:rsid w:val="007A6591"/>
    <w:rsid w:val="007A65CB"/>
    <w:rsid w:val="007A6889"/>
    <w:rsid w:val="007A68C1"/>
    <w:rsid w:val="007A695D"/>
    <w:rsid w:val="007A69D5"/>
    <w:rsid w:val="007A6A31"/>
    <w:rsid w:val="007A6B90"/>
    <w:rsid w:val="007A6EED"/>
    <w:rsid w:val="007A6FB5"/>
    <w:rsid w:val="007A6FFE"/>
    <w:rsid w:val="007A7065"/>
    <w:rsid w:val="007A70BD"/>
    <w:rsid w:val="007A7175"/>
    <w:rsid w:val="007A72D6"/>
    <w:rsid w:val="007A72EF"/>
    <w:rsid w:val="007A7433"/>
    <w:rsid w:val="007A743C"/>
    <w:rsid w:val="007A74B0"/>
    <w:rsid w:val="007A76B8"/>
    <w:rsid w:val="007A773B"/>
    <w:rsid w:val="007A7790"/>
    <w:rsid w:val="007A789E"/>
    <w:rsid w:val="007A78CD"/>
    <w:rsid w:val="007A795A"/>
    <w:rsid w:val="007A79FC"/>
    <w:rsid w:val="007A7B2A"/>
    <w:rsid w:val="007A7BC2"/>
    <w:rsid w:val="007A7C07"/>
    <w:rsid w:val="007A7C10"/>
    <w:rsid w:val="007A7C3C"/>
    <w:rsid w:val="007A7CB3"/>
    <w:rsid w:val="007A7D74"/>
    <w:rsid w:val="007A7EA0"/>
    <w:rsid w:val="007A7EBA"/>
    <w:rsid w:val="007A7ECC"/>
    <w:rsid w:val="007A7F37"/>
    <w:rsid w:val="007B00C1"/>
    <w:rsid w:val="007B020F"/>
    <w:rsid w:val="007B050E"/>
    <w:rsid w:val="007B05CF"/>
    <w:rsid w:val="007B0626"/>
    <w:rsid w:val="007B06F3"/>
    <w:rsid w:val="007B0739"/>
    <w:rsid w:val="007B07C2"/>
    <w:rsid w:val="007B07F7"/>
    <w:rsid w:val="007B085D"/>
    <w:rsid w:val="007B08C3"/>
    <w:rsid w:val="007B09F4"/>
    <w:rsid w:val="007B0AC4"/>
    <w:rsid w:val="007B0D3F"/>
    <w:rsid w:val="007B0ED4"/>
    <w:rsid w:val="007B0EFC"/>
    <w:rsid w:val="007B0F53"/>
    <w:rsid w:val="007B101C"/>
    <w:rsid w:val="007B109B"/>
    <w:rsid w:val="007B1101"/>
    <w:rsid w:val="007B124A"/>
    <w:rsid w:val="007B14CC"/>
    <w:rsid w:val="007B155A"/>
    <w:rsid w:val="007B158A"/>
    <w:rsid w:val="007B1621"/>
    <w:rsid w:val="007B1703"/>
    <w:rsid w:val="007B17DA"/>
    <w:rsid w:val="007B1806"/>
    <w:rsid w:val="007B18AA"/>
    <w:rsid w:val="007B1AA9"/>
    <w:rsid w:val="007B1AAF"/>
    <w:rsid w:val="007B1B28"/>
    <w:rsid w:val="007B1C86"/>
    <w:rsid w:val="007B1CF0"/>
    <w:rsid w:val="007B1DBA"/>
    <w:rsid w:val="007B1F03"/>
    <w:rsid w:val="007B1F27"/>
    <w:rsid w:val="007B2375"/>
    <w:rsid w:val="007B2475"/>
    <w:rsid w:val="007B2513"/>
    <w:rsid w:val="007B25D2"/>
    <w:rsid w:val="007B25FA"/>
    <w:rsid w:val="007B26D2"/>
    <w:rsid w:val="007B273E"/>
    <w:rsid w:val="007B2894"/>
    <w:rsid w:val="007B2CD2"/>
    <w:rsid w:val="007B2D0C"/>
    <w:rsid w:val="007B2EAD"/>
    <w:rsid w:val="007B3022"/>
    <w:rsid w:val="007B317B"/>
    <w:rsid w:val="007B31B4"/>
    <w:rsid w:val="007B31D3"/>
    <w:rsid w:val="007B31DB"/>
    <w:rsid w:val="007B326C"/>
    <w:rsid w:val="007B3484"/>
    <w:rsid w:val="007B351F"/>
    <w:rsid w:val="007B3522"/>
    <w:rsid w:val="007B353A"/>
    <w:rsid w:val="007B35CD"/>
    <w:rsid w:val="007B35D3"/>
    <w:rsid w:val="007B3685"/>
    <w:rsid w:val="007B371F"/>
    <w:rsid w:val="007B38D1"/>
    <w:rsid w:val="007B392E"/>
    <w:rsid w:val="007B39AE"/>
    <w:rsid w:val="007B39DC"/>
    <w:rsid w:val="007B39F6"/>
    <w:rsid w:val="007B3CB7"/>
    <w:rsid w:val="007B3CE7"/>
    <w:rsid w:val="007B3D0F"/>
    <w:rsid w:val="007B3D56"/>
    <w:rsid w:val="007B3DCD"/>
    <w:rsid w:val="007B3DD1"/>
    <w:rsid w:val="007B3EB1"/>
    <w:rsid w:val="007B3F71"/>
    <w:rsid w:val="007B3FD0"/>
    <w:rsid w:val="007B415A"/>
    <w:rsid w:val="007B41CD"/>
    <w:rsid w:val="007B42F2"/>
    <w:rsid w:val="007B449C"/>
    <w:rsid w:val="007B4880"/>
    <w:rsid w:val="007B4897"/>
    <w:rsid w:val="007B49D4"/>
    <w:rsid w:val="007B4A0D"/>
    <w:rsid w:val="007B4ADF"/>
    <w:rsid w:val="007B4B13"/>
    <w:rsid w:val="007B4BB5"/>
    <w:rsid w:val="007B4BCF"/>
    <w:rsid w:val="007B4BD7"/>
    <w:rsid w:val="007B4CB7"/>
    <w:rsid w:val="007B4CBD"/>
    <w:rsid w:val="007B4EC4"/>
    <w:rsid w:val="007B4F62"/>
    <w:rsid w:val="007B4F8C"/>
    <w:rsid w:val="007B5157"/>
    <w:rsid w:val="007B51FD"/>
    <w:rsid w:val="007B52DD"/>
    <w:rsid w:val="007B533A"/>
    <w:rsid w:val="007B5437"/>
    <w:rsid w:val="007B54F5"/>
    <w:rsid w:val="007B580E"/>
    <w:rsid w:val="007B5838"/>
    <w:rsid w:val="007B59AA"/>
    <w:rsid w:val="007B59B8"/>
    <w:rsid w:val="007B5B5E"/>
    <w:rsid w:val="007B5B88"/>
    <w:rsid w:val="007B5C4D"/>
    <w:rsid w:val="007B5C5C"/>
    <w:rsid w:val="007B5D7C"/>
    <w:rsid w:val="007B5DC8"/>
    <w:rsid w:val="007B6057"/>
    <w:rsid w:val="007B60A7"/>
    <w:rsid w:val="007B616B"/>
    <w:rsid w:val="007B61DC"/>
    <w:rsid w:val="007B6251"/>
    <w:rsid w:val="007B6272"/>
    <w:rsid w:val="007B62CB"/>
    <w:rsid w:val="007B635D"/>
    <w:rsid w:val="007B647D"/>
    <w:rsid w:val="007B6513"/>
    <w:rsid w:val="007B6591"/>
    <w:rsid w:val="007B6668"/>
    <w:rsid w:val="007B6729"/>
    <w:rsid w:val="007B688A"/>
    <w:rsid w:val="007B68BE"/>
    <w:rsid w:val="007B68D3"/>
    <w:rsid w:val="007B6D0A"/>
    <w:rsid w:val="007B6D6E"/>
    <w:rsid w:val="007B6D92"/>
    <w:rsid w:val="007B6F27"/>
    <w:rsid w:val="007B7008"/>
    <w:rsid w:val="007B7088"/>
    <w:rsid w:val="007B7089"/>
    <w:rsid w:val="007B70A1"/>
    <w:rsid w:val="007B7315"/>
    <w:rsid w:val="007B7593"/>
    <w:rsid w:val="007B7849"/>
    <w:rsid w:val="007B799F"/>
    <w:rsid w:val="007B79ED"/>
    <w:rsid w:val="007B7B05"/>
    <w:rsid w:val="007B7DB6"/>
    <w:rsid w:val="007B7E5E"/>
    <w:rsid w:val="007B7E6D"/>
    <w:rsid w:val="007B7E75"/>
    <w:rsid w:val="007B7F3E"/>
    <w:rsid w:val="007C008C"/>
    <w:rsid w:val="007C02BA"/>
    <w:rsid w:val="007C0452"/>
    <w:rsid w:val="007C0510"/>
    <w:rsid w:val="007C054D"/>
    <w:rsid w:val="007C05BD"/>
    <w:rsid w:val="007C062A"/>
    <w:rsid w:val="007C066B"/>
    <w:rsid w:val="007C070D"/>
    <w:rsid w:val="007C07C0"/>
    <w:rsid w:val="007C085B"/>
    <w:rsid w:val="007C0877"/>
    <w:rsid w:val="007C094D"/>
    <w:rsid w:val="007C0A42"/>
    <w:rsid w:val="007C0CB9"/>
    <w:rsid w:val="007C0CCB"/>
    <w:rsid w:val="007C0E19"/>
    <w:rsid w:val="007C0EA0"/>
    <w:rsid w:val="007C1227"/>
    <w:rsid w:val="007C1317"/>
    <w:rsid w:val="007C142E"/>
    <w:rsid w:val="007C1438"/>
    <w:rsid w:val="007C14A8"/>
    <w:rsid w:val="007C14F8"/>
    <w:rsid w:val="007C1515"/>
    <w:rsid w:val="007C156F"/>
    <w:rsid w:val="007C1598"/>
    <w:rsid w:val="007C18AC"/>
    <w:rsid w:val="007C2123"/>
    <w:rsid w:val="007C2258"/>
    <w:rsid w:val="007C22CC"/>
    <w:rsid w:val="007C22E4"/>
    <w:rsid w:val="007C2368"/>
    <w:rsid w:val="007C24C1"/>
    <w:rsid w:val="007C2736"/>
    <w:rsid w:val="007C277E"/>
    <w:rsid w:val="007C2818"/>
    <w:rsid w:val="007C2A1B"/>
    <w:rsid w:val="007C2B7D"/>
    <w:rsid w:val="007C2CA4"/>
    <w:rsid w:val="007C2D29"/>
    <w:rsid w:val="007C2E0B"/>
    <w:rsid w:val="007C2EFE"/>
    <w:rsid w:val="007C2F91"/>
    <w:rsid w:val="007C2FAD"/>
    <w:rsid w:val="007C3177"/>
    <w:rsid w:val="007C341C"/>
    <w:rsid w:val="007C348C"/>
    <w:rsid w:val="007C36AF"/>
    <w:rsid w:val="007C371A"/>
    <w:rsid w:val="007C3848"/>
    <w:rsid w:val="007C3B71"/>
    <w:rsid w:val="007C3B75"/>
    <w:rsid w:val="007C3C31"/>
    <w:rsid w:val="007C3C63"/>
    <w:rsid w:val="007C3CF8"/>
    <w:rsid w:val="007C3E4A"/>
    <w:rsid w:val="007C3E64"/>
    <w:rsid w:val="007C3F26"/>
    <w:rsid w:val="007C3F6B"/>
    <w:rsid w:val="007C3F82"/>
    <w:rsid w:val="007C3F97"/>
    <w:rsid w:val="007C3FF1"/>
    <w:rsid w:val="007C402B"/>
    <w:rsid w:val="007C40C0"/>
    <w:rsid w:val="007C410F"/>
    <w:rsid w:val="007C4171"/>
    <w:rsid w:val="007C4218"/>
    <w:rsid w:val="007C4225"/>
    <w:rsid w:val="007C423C"/>
    <w:rsid w:val="007C4342"/>
    <w:rsid w:val="007C4488"/>
    <w:rsid w:val="007C4569"/>
    <w:rsid w:val="007C45C4"/>
    <w:rsid w:val="007C45D6"/>
    <w:rsid w:val="007C4627"/>
    <w:rsid w:val="007C4660"/>
    <w:rsid w:val="007C46DA"/>
    <w:rsid w:val="007C48AD"/>
    <w:rsid w:val="007C493B"/>
    <w:rsid w:val="007C495F"/>
    <w:rsid w:val="007C4AE9"/>
    <w:rsid w:val="007C4CCF"/>
    <w:rsid w:val="007C4D3A"/>
    <w:rsid w:val="007C4E41"/>
    <w:rsid w:val="007C4EAC"/>
    <w:rsid w:val="007C4F98"/>
    <w:rsid w:val="007C5036"/>
    <w:rsid w:val="007C5065"/>
    <w:rsid w:val="007C5099"/>
    <w:rsid w:val="007C5173"/>
    <w:rsid w:val="007C53EA"/>
    <w:rsid w:val="007C54A5"/>
    <w:rsid w:val="007C54F4"/>
    <w:rsid w:val="007C5621"/>
    <w:rsid w:val="007C5850"/>
    <w:rsid w:val="007C5952"/>
    <w:rsid w:val="007C5A51"/>
    <w:rsid w:val="007C5C5F"/>
    <w:rsid w:val="007C5C83"/>
    <w:rsid w:val="007C5F9B"/>
    <w:rsid w:val="007C60DF"/>
    <w:rsid w:val="007C60E1"/>
    <w:rsid w:val="007C61D7"/>
    <w:rsid w:val="007C6283"/>
    <w:rsid w:val="007C62A4"/>
    <w:rsid w:val="007C62AC"/>
    <w:rsid w:val="007C6335"/>
    <w:rsid w:val="007C639C"/>
    <w:rsid w:val="007C6527"/>
    <w:rsid w:val="007C65BD"/>
    <w:rsid w:val="007C65FD"/>
    <w:rsid w:val="007C67DE"/>
    <w:rsid w:val="007C6862"/>
    <w:rsid w:val="007C68AA"/>
    <w:rsid w:val="007C68B8"/>
    <w:rsid w:val="007C690B"/>
    <w:rsid w:val="007C6945"/>
    <w:rsid w:val="007C69A3"/>
    <w:rsid w:val="007C69DF"/>
    <w:rsid w:val="007C6A1E"/>
    <w:rsid w:val="007C6ABF"/>
    <w:rsid w:val="007C6C87"/>
    <w:rsid w:val="007C6D5F"/>
    <w:rsid w:val="007C6EE7"/>
    <w:rsid w:val="007C6FED"/>
    <w:rsid w:val="007C707B"/>
    <w:rsid w:val="007C723F"/>
    <w:rsid w:val="007C731F"/>
    <w:rsid w:val="007C7324"/>
    <w:rsid w:val="007C7373"/>
    <w:rsid w:val="007C7454"/>
    <w:rsid w:val="007C74EB"/>
    <w:rsid w:val="007C75D4"/>
    <w:rsid w:val="007C76F0"/>
    <w:rsid w:val="007C791E"/>
    <w:rsid w:val="007C79BF"/>
    <w:rsid w:val="007C79EA"/>
    <w:rsid w:val="007C7B3B"/>
    <w:rsid w:val="007C7BD1"/>
    <w:rsid w:val="007C7C13"/>
    <w:rsid w:val="007C7CB0"/>
    <w:rsid w:val="007C7CFB"/>
    <w:rsid w:val="007C7DA1"/>
    <w:rsid w:val="007C7DA4"/>
    <w:rsid w:val="007C7E4E"/>
    <w:rsid w:val="007C7E8A"/>
    <w:rsid w:val="007C7EFA"/>
    <w:rsid w:val="007C7FBB"/>
    <w:rsid w:val="007C7FD9"/>
    <w:rsid w:val="007C7FE4"/>
    <w:rsid w:val="007D0023"/>
    <w:rsid w:val="007D0073"/>
    <w:rsid w:val="007D00C8"/>
    <w:rsid w:val="007D012E"/>
    <w:rsid w:val="007D02D4"/>
    <w:rsid w:val="007D0467"/>
    <w:rsid w:val="007D046D"/>
    <w:rsid w:val="007D0540"/>
    <w:rsid w:val="007D05E7"/>
    <w:rsid w:val="007D06C1"/>
    <w:rsid w:val="007D08A1"/>
    <w:rsid w:val="007D08D5"/>
    <w:rsid w:val="007D0923"/>
    <w:rsid w:val="007D09ED"/>
    <w:rsid w:val="007D0B5B"/>
    <w:rsid w:val="007D0B92"/>
    <w:rsid w:val="007D0C57"/>
    <w:rsid w:val="007D0CD0"/>
    <w:rsid w:val="007D0D12"/>
    <w:rsid w:val="007D0E13"/>
    <w:rsid w:val="007D0E99"/>
    <w:rsid w:val="007D0F5B"/>
    <w:rsid w:val="007D1101"/>
    <w:rsid w:val="007D12C8"/>
    <w:rsid w:val="007D16BB"/>
    <w:rsid w:val="007D182F"/>
    <w:rsid w:val="007D1C90"/>
    <w:rsid w:val="007D1CC6"/>
    <w:rsid w:val="007D1D6F"/>
    <w:rsid w:val="007D1EF7"/>
    <w:rsid w:val="007D1F6E"/>
    <w:rsid w:val="007D1FCD"/>
    <w:rsid w:val="007D203F"/>
    <w:rsid w:val="007D2182"/>
    <w:rsid w:val="007D2196"/>
    <w:rsid w:val="007D2238"/>
    <w:rsid w:val="007D22A6"/>
    <w:rsid w:val="007D23D0"/>
    <w:rsid w:val="007D25C5"/>
    <w:rsid w:val="007D2692"/>
    <w:rsid w:val="007D29C5"/>
    <w:rsid w:val="007D29DD"/>
    <w:rsid w:val="007D2BE5"/>
    <w:rsid w:val="007D2CA2"/>
    <w:rsid w:val="007D2F0E"/>
    <w:rsid w:val="007D30A1"/>
    <w:rsid w:val="007D3132"/>
    <w:rsid w:val="007D31C7"/>
    <w:rsid w:val="007D31D4"/>
    <w:rsid w:val="007D32C5"/>
    <w:rsid w:val="007D3369"/>
    <w:rsid w:val="007D3447"/>
    <w:rsid w:val="007D3480"/>
    <w:rsid w:val="007D34E1"/>
    <w:rsid w:val="007D376B"/>
    <w:rsid w:val="007D379C"/>
    <w:rsid w:val="007D3A1C"/>
    <w:rsid w:val="007D3C00"/>
    <w:rsid w:val="007D3CC7"/>
    <w:rsid w:val="007D3D2B"/>
    <w:rsid w:val="007D3E36"/>
    <w:rsid w:val="007D3F5F"/>
    <w:rsid w:val="007D404C"/>
    <w:rsid w:val="007D410F"/>
    <w:rsid w:val="007D4293"/>
    <w:rsid w:val="007D42B2"/>
    <w:rsid w:val="007D4318"/>
    <w:rsid w:val="007D434E"/>
    <w:rsid w:val="007D436C"/>
    <w:rsid w:val="007D4373"/>
    <w:rsid w:val="007D4529"/>
    <w:rsid w:val="007D4552"/>
    <w:rsid w:val="007D47CD"/>
    <w:rsid w:val="007D4C40"/>
    <w:rsid w:val="007D4CF4"/>
    <w:rsid w:val="007D4E1C"/>
    <w:rsid w:val="007D4E43"/>
    <w:rsid w:val="007D4E9E"/>
    <w:rsid w:val="007D4F32"/>
    <w:rsid w:val="007D4F83"/>
    <w:rsid w:val="007D5069"/>
    <w:rsid w:val="007D5174"/>
    <w:rsid w:val="007D53EF"/>
    <w:rsid w:val="007D5462"/>
    <w:rsid w:val="007D54B1"/>
    <w:rsid w:val="007D54E4"/>
    <w:rsid w:val="007D560B"/>
    <w:rsid w:val="007D5645"/>
    <w:rsid w:val="007D5732"/>
    <w:rsid w:val="007D5739"/>
    <w:rsid w:val="007D57F0"/>
    <w:rsid w:val="007D5850"/>
    <w:rsid w:val="007D58A6"/>
    <w:rsid w:val="007D58A9"/>
    <w:rsid w:val="007D591F"/>
    <w:rsid w:val="007D5AE4"/>
    <w:rsid w:val="007D5D16"/>
    <w:rsid w:val="007D61E0"/>
    <w:rsid w:val="007D61ED"/>
    <w:rsid w:val="007D62D1"/>
    <w:rsid w:val="007D6331"/>
    <w:rsid w:val="007D6371"/>
    <w:rsid w:val="007D63FC"/>
    <w:rsid w:val="007D656F"/>
    <w:rsid w:val="007D6596"/>
    <w:rsid w:val="007D66E4"/>
    <w:rsid w:val="007D6747"/>
    <w:rsid w:val="007D67CA"/>
    <w:rsid w:val="007D67D2"/>
    <w:rsid w:val="007D6A50"/>
    <w:rsid w:val="007D6ADE"/>
    <w:rsid w:val="007D6BD3"/>
    <w:rsid w:val="007D6C5A"/>
    <w:rsid w:val="007D6CB2"/>
    <w:rsid w:val="007D6DB5"/>
    <w:rsid w:val="007D6F48"/>
    <w:rsid w:val="007D715A"/>
    <w:rsid w:val="007D718A"/>
    <w:rsid w:val="007D71E2"/>
    <w:rsid w:val="007D736C"/>
    <w:rsid w:val="007D740B"/>
    <w:rsid w:val="007D74B3"/>
    <w:rsid w:val="007D7618"/>
    <w:rsid w:val="007D7637"/>
    <w:rsid w:val="007D7763"/>
    <w:rsid w:val="007D780F"/>
    <w:rsid w:val="007D783B"/>
    <w:rsid w:val="007D7A50"/>
    <w:rsid w:val="007D7A5B"/>
    <w:rsid w:val="007D7A7D"/>
    <w:rsid w:val="007D7AD0"/>
    <w:rsid w:val="007D7BC4"/>
    <w:rsid w:val="007D7C74"/>
    <w:rsid w:val="007D7C87"/>
    <w:rsid w:val="007D7DAD"/>
    <w:rsid w:val="007D7EDD"/>
    <w:rsid w:val="007D7F52"/>
    <w:rsid w:val="007D7FDF"/>
    <w:rsid w:val="007E005E"/>
    <w:rsid w:val="007E0074"/>
    <w:rsid w:val="007E00E4"/>
    <w:rsid w:val="007E012A"/>
    <w:rsid w:val="007E014F"/>
    <w:rsid w:val="007E01A6"/>
    <w:rsid w:val="007E02AB"/>
    <w:rsid w:val="007E0347"/>
    <w:rsid w:val="007E04A0"/>
    <w:rsid w:val="007E059A"/>
    <w:rsid w:val="007E06B4"/>
    <w:rsid w:val="007E0831"/>
    <w:rsid w:val="007E0A3B"/>
    <w:rsid w:val="007E0A4D"/>
    <w:rsid w:val="007E0D5F"/>
    <w:rsid w:val="007E0D89"/>
    <w:rsid w:val="007E0DA0"/>
    <w:rsid w:val="007E0E2E"/>
    <w:rsid w:val="007E105A"/>
    <w:rsid w:val="007E1085"/>
    <w:rsid w:val="007E10F6"/>
    <w:rsid w:val="007E1367"/>
    <w:rsid w:val="007E1406"/>
    <w:rsid w:val="007E1439"/>
    <w:rsid w:val="007E154F"/>
    <w:rsid w:val="007E1603"/>
    <w:rsid w:val="007E16E6"/>
    <w:rsid w:val="007E170B"/>
    <w:rsid w:val="007E177B"/>
    <w:rsid w:val="007E17E9"/>
    <w:rsid w:val="007E1826"/>
    <w:rsid w:val="007E18A4"/>
    <w:rsid w:val="007E18C9"/>
    <w:rsid w:val="007E18CF"/>
    <w:rsid w:val="007E1A53"/>
    <w:rsid w:val="007E1B2A"/>
    <w:rsid w:val="007E1B7A"/>
    <w:rsid w:val="007E1D6B"/>
    <w:rsid w:val="007E1DEA"/>
    <w:rsid w:val="007E2042"/>
    <w:rsid w:val="007E2185"/>
    <w:rsid w:val="007E21D1"/>
    <w:rsid w:val="007E23B7"/>
    <w:rsid w:val="007E2551"/>
    <w:rsid w:val="007E2576"/>
    <w:rsid w:val="007E25EF"/>
    <w:rsid w:val="007E2992"/>
    <w:rsid w:val="007E29FF"/>
    <w:rsid w:val="007E2A8C"/>
    <w:rsid w:val="007E2C2C"/>
    <w:rsid w:val="007E2CA0"/>
    <w:rsid w:val="007E2CCA"/>
    <w:rsid w:val="007E2D48"/>
    <w:rsid w:val="007E2DFC"/>
    <w:rsid w:val="007E30FF"/>
    <w:rsid w:val="007E31AE"/>
    <w:rsid w:val="007E320C"/>
    <w:rsid w:val="007E32ED"/>
    <w:rsid w:val="007E3321"/>
    <w:rsid w:val="007E332E"/>
    <w:rsid w:val="007E34B5"/>
    <w:rsid w:val="007E3506"/>
    <w:rsid w:val="007E3530"/>
    <w:rsid w:val="007E358F"/>
    <w:rsid w:val="007E36A8"/>
    <w:rsid w:val="007E36D9"/>
    <w:rsid w:val="007E3746"/>
    <w:rsid w:val="007E37F0"/>
    <w:rsid w:val="007E3823"/>
    <w:rsid w:val="007E38F6"/>
    <w:rsid w:val="007E3A3D"/>
    <w:rsid w:val="007E3A3F"/>
    <w:rsid w:val="007E3AAE"/>
    <w:rsid w:val="007E3BBA"/>
    <w:rsid w:val="007E3E1A"/>
    <w:rsid w:val="007E3E83"/>
    <w:rsid w:val="007E3EA9"/>
    <w:rsid w:val="007E3ECA"/>
    <w:rsid w:val="007E3FF8"/>
    <w:rsid w:val="007E43BB"/>
    <w:rsid w:val="007E446C"/>
    <w:rsid w:val="007E453B"/>
    <w:rsid w:val="007E455F"/>
    <w:rsid w:val="007E45CC"/>
    <w:rsid w:val="007E45EE"/>
    <w:rsid w:val="007E4660"/>
    <w:rsid w:val="007E469F"/>
    <w:rsid w:val="007E471F"/>
    <w:rsid w:val="007E4C29"/>
    <w:rsid w:val="007E4F09"/>
    <w:rsid w:val="007E4F84"/>
    <w:rsid w:val="007E5037"/>
    <w:rsid w:val="007E50B0"/>
    <w:rsid w:val="007E5133"/>
    <w:rsid w:val="007E51E8"/>
    <w:rsid w:val="007E5299"/>
    <w:rsid w:val="007E52D4"/>
    <w:rsid w:val="007E5550"/>
    <w:rsid w:val="007E55A4"/>
    <w:rsid w:val="007E55A5"/>
    <w:rsid w:val="007E55C9"/>
    <w:rsid w:val="007E55D5"/>
    <w:rsid w:val="007E5659"/>
    <w:rsid w:val="007E5682"/>
    <w:rsid w:val="007E574A"/>
    <w:rsid w:val="007E587F"/>
    <w:rsid w:val="007E59B0"/>
    <w:rsid w:val="007E5A93"/>
    <w:rsid w:val="007E5B59"/>
    <w:rsid w:val="007E5D42"/>
    <w:rsid w:val="007E5F6F"/>
    <w:rsid w:val="007E601B"/>
    <w:rsid w:val="007E6031"/>
    <w:rsid w:val="007E611E"/>
    <w:rsid w:val="007E61A5"/>
    <w:rsid w:val="007E61A8"/>
    <w:rsid w:val="007E61C1"/>
    <w:rsid w:val="007E62AE"/>
    <w:rsid w:val="007E65C6"/>
    <w:rsid w:val="007E66A2"/>
    <w:rsid w:val="007E673D"/>
    <w:rsid w:val="007E678B"/>
    <w:rsid w:val="007E6B53"/>
    <w:rsid w:val="007E6C16"/>
    <w:rsid w:val="007E6C89"/>
    <w:rsid w:val="007E6CED"/>
    <w:rsid w:val="007E6D61"/>
    <w:rsid w:val="007E6DB4"/>
    <w:rsid w:val="007E6E57"/>
    <w:rsid w:val="007E70ED"/>
    <w:rsid w:val="007E73F7"/>
    <w:rsid w:val="007E744E"/>
    <w:rsid w:val="007E7465"/>
    <w:rsid w:val="007E74B7"/>
    <w:rsid w:val="007E7559"/>
    <w:rsid w:val="007E75E9"/>
    <w:rsid w:val="007E7676"/>
    <w:rsid w:val="007E793C"/>
    <w:rsid w:val="007E7A47"/>
    <w:rsid w:val="007E7A77"/>
    <w:rsid w:val="007E7B3A"/>
    <w:rsid w:val="007E7C56"/>
    <w:rsid w:val="007E7C7A"/>
    <w:rsid w:val="007E7CAD"/>
    <w:rsid w:val="007E7CCD"/>
    <w:rsid w:val="007E7CDC"/>
    <w:rsid w:val="007E7CFC"/>
    <w:rsid w:val="007F004F"/>
    <w:rsid w:val="007F0434"/>
    <w:rsid w:val="007F08ED"/>
    <w:rsid w:val="007F0C25"/>
    <w:rsid w:val="007F0CC5"/>
    <w:rsid w:val="007F0D2C"/>
    <w:rsid w:val="007F0D90"/>
    <w:rsid w:val="007F1022"/>
    <w:rsid w:val="007F1249"/>
    <w:rsid w:val="007F12ED"/>
    <w:rsid w:val="007F1309"/>
    <w:rsid w:val="007F155F"/>
    <w:rsid w:val="007F1630"/>
    <w:rsid w:val="007F1645"/>
    <w:rsid w:val="007F1779"/>
    <w:rsid w:val="007F179D"/>
    <w:rsid w:val="007F1AF2"/>
    <w:rsid w:val="007F1B4C"/>
    <w:rsid w:val="007F1C8B"/>
    <w:rsid w:val="007F1D52"/>
    <w:rsid w:val="007F1EB0"/>
    <w:rsid w:val="007F1EB6"/>
    <w:rsid w:val="007F1F1A"/>
    <w:rsid w:val="007F1F2C"/>
    <w:rsid w:val="007F1F57"/>
    <w:rsid w:val="007F1F87"/>
    <w:rsid w:val="007F1FD7"/>
    <w:rsid w:val="007F2056"/>
    <w:rsid w:val="007F20BC"/>
    <w:rsid w:val="007F22CF"/>
    <w:rsid w:val="007F22E5"/>
    <w:rsid w:val="007F22E6"/>
    <w:rsid w:val="007F2322"/>
    <w:rsid w:val="007F2491"/>
    <w:rsid w:val="007F24F9"/>
    <w:rsid w:val="007F2548"/>
    <w:rsid w:val="007F29F0"/>
    <w:rsid w:val="007F2C8B"/>
    <w:rsid w:val="007F2DE6"/>
    <w:rsid w:val="007F3095"/>
    <w:rsid w:val="007F3240"/>
    <w:rsid w:val="007F32AB"/>
    <w:rsid w:val="007F380C"/>
    <w:rsid w:val="007F3830"/>
    <w:rsid w:val="007F383C"/>
    <w:rsid w:val="007F38C0"/>
    <w:rsid w:val="007F3A46"/>
    <w:rsid w:val="007F3B48"/>
    <w:rsid w:val="007F3BE2"/>
    <w:rsid w:val="007F3C18"/>
    <w:rsid w:val="007F3C20"/>
    <w:rsid w:val="007F3C50"/>
    <w:rsid w:val="007F3C93"/>
    <w:rsid w:val="007F3E23"/>
    <w:rsid w:val="007F3E71"/>
    <w:rsid w:val="007F3EC9"/>
    <w:rsid w:val="007F3F64"/>
    <w:rsid w:val="007F3FC2"/>
    <w:rsid w:val="007F4200"/>
    <w:rsid w:val="007F4266"/>
    <w:rsid w:val="007F439C"/>
    <w:rsid w:val="007F4585"/>
    <w:rsid w:val="007F4819"/>
    <w:rsid w:val="007F4906"/>
    <w:rsid w:val="007F490B"/>
    <w:rsid w:val="007F4972"/>
    <w:rsid w:val="007F4B5D"/>
    <w:rsid w:val="007F4C2D"/>
    <w:rsid w:val="007F4C65"/>
    <w:rsid w:val="007F4CB1"/>
    <w:rsid w:val="007F4FCE"/>
    <w:rsid w:val="007F5043"/>
    <w:rsid w:val="007F509D"/>
    <w:rsid w:val="007F50A9"/>
    <w:rsid w:val="007F50C0"/>
    <w:rsid w:val="007F5194"/>
    <w:rsid w:val="007F5208"/>
    <w:rsid w:val="007F5214"/>
    <w:rsid w:val="007F521F"/>
    <w:rsid w:val="007F522F"/>
    <w:rsid w:val="007F536F"/>
    <w:rsid w:val="007F5381"/>
    <w:rsid w:val="007F5383"/>
    <w:rsid w:val="007F5402"/>
    <w:rsid w:val="007F543C"/>
    <w:rsid w:val="007F548D"/>
    <w:rsid w:val="007F54D3"/>
    <w:rsid w:val="007F5528"/>
    <w:rsid w:val="007F5654"/>
    <w:rsid w:val="007F5749"/>
    <w:rsid w:val="007F57C1"/>
    <w:rsid w:val="007F5885"/>
    <w:rsid w:val="007F58CA"/>
    <w:rsid w:val="007F58EE"/>
    <w:rsid w:val="007F595F"/>
    <w:rsid w:val="007F5A0B"/>
    <w:rsid w:val="007F5A30"/>
    <w:rsid w:val="007F5A8E"/>
    <w:rsid w:val="007F5ADB"/>
    <w:rsid w:val="007F5B4C"/>
    <w:rsid w:val="007F5E7C"/>
    <w:rsid w:val="007F6076"/>
    <w:rsid w:val="007F6144"/>
    <w:rsid w:val="007F6204"/>
    <w:rsid w:val="007F62FD"/>
    <w:rsid w:val="007F64C1"/>
    <w:rsid w:val="007F67E6"/>
    <w:rsid w:val="007F67F0"/>
    <w:rsid w:val="007F691E"/>
    <w:rsid w:val="007F6943"/>
    <w:rsid w:val="007F69D8"/>
    <w:rsid w:val="007F6ABF"/>
    <w:rsid w:val="007F6B9B"/>
    <w:rsid w:val="007F6D0A"/>
    <w:rsid w:val="007F6D63"/>
    <w:rsid w:val="007F6EEA"/>
    <w:rsid w:val="007F6F3E"/>
    <w:rsid w:val="007F6F54"/>
    <w:rsid w:val="007F70E9"/>
    <w:rsid w:val="007F7161"/>
    <w:rsid w:val="007F7194"/>
    <w:rsid w:val="007F72C3"/>
    <w:rsid w:val="007F7517"/>
    <w:rsid w:val="007F76BC"/>
    <w:rsid w:val="007F7705"/>
    <w:rsid w:val="007F7742"/>
    <w:rsid w:val="007F77DD"/>
    <w:rsid w:val="007F7A1C"/>
    <w:rsid w:val="007F7ABB"/>
    <w:rsid w:val="007F7C77"/>
    <w:rsid w:val="007F7D6A"/>
    <w:rsid w:val="007F7FDB"/>
    <w:rsid w:val="008000CE"/>
    <w:rsid w:val="0080017C"/>
    <w:rsid w:val="0080069A"/>
    <w:rsid w:val="008006BA"/>
    <w:rsid w:val="008007E2"/>
    <w:rsid w:val="00800802"/>
    <w:rsid w:val="0080094E"/>
    <w:rsid w:val="008009F5"/>
    <w:rsid w:val="00800C10"/>
    <w:rsid w:val="00800D93"/>
    <w:rsid w:val="00800E21"/>
    <w:rsid w:val="00800E9D"/>
    <w:rsid w:val="00800EBB"/>
    <w:rsid w:val="00801009"/>
    <w:rsid w:val="0080102E"/>
    <w:rsid w:val="008010EF"/>
    <w:rsid w:val="008011E8"/>
    <w:rsid w:val="00801283"/>
    <w:rsid w:val="008014C6"/>
    <w:rsid w:val="0080158D"/>
    <w:rsid w:val="008015B9"/>
    <w:rsid w:val="00801681"/>
    <w:rsid w:val="008016E5"/>
    <w:rsid w:val="0080178E"/>
    <w:rsid w:val="008017F8"/>
    <w:rsid w:val="0080180E"/>
    <w:rsid w:val="0080184C"/>
    <w:rsid w:val="0080184E"/>
    <w:rsid w:val="008018D1"/>
    <w:rsid w:val="00801987"/>
    <w:rsid w:val="00801A70"/>
    <w:rsid w:val="00801B13"/>
    <w:rsid w:val="00801BF6"/>
    <w:rsid w:val="00801C38"/>
    <w:rsid w:val="00801C96"/>
    <w:rsid w:val="00801D2F"/>
    <w:rsid w:val="00801E78"/>
    <w:rsid w:val="00801F54"/>
    <w:rsid w:val="00801F64"/>
    <w:rsid w:val="00801F76"/>
    <w:rsid w:val="00801FB8"/>
    <w:rsid w:val="0080205C"/>
    <w:rsid w:val="008020E5"/>
    <w:rsid w:val="008022DA"/>
    <w:rsid w:val="00802497"/>
    <w:rsid w:val="008024A5"/>
    <w:rsid w:val="008024EA"/>
    <w:rsid w:val="008027AC"/>
    <w:rsid w:val="008028DC"/>
    <w:rsid w:val="00802A88"/>
    <w:rsid w:val="00802AF2"/>
    <w:rsid w:val="00802B46"/>
    <w:rsid w:val="00802BD5"/>
    <w:rsid w:val="00802CA4"/>
    <w:rsid w:val="00802E24"/>
    <w:rsid w:val="00802E6B"/>
    <w:rsid w:val="00802E75"/>
    <w:rsid w:val="00802FB6"/>
    <w:rsid w:val="008030A4"/>
    <w:rsid w:val="00803146"/>
    <w:rsid w:val="008031FB"/>
    <w:rsid w:val="00803216"/>
    <w:rsid w:val="00803532"/>
    <w:rsid w:val="00803538"/>
    <w:rsid w:val="00803560"/>
    <w:rsid w:val="00803612"/>
    <w:rsid w:val="0080365A"/>
    <w:rsid w:val="008036BF"/>
    <w:rsid w:val="008037D2"/>
    <w:rsid w:val="00803816"/>
    <w:rsid w:val="008039EC"/>
    <w:rsid w:val="00803B36"/>
    <w:rsid w:val="00803B7F"/>
    <w:rsid w:val="00803C4F"/>
    <w:rsid w:val="00803DA4"/>
    <w:rsid w:val="00803E66"/>
    <w:rsid w:val="00803F8E"/>
    <w:rsid w:val="00804015"/>
    <w:rsid w:val="008040C4"/>
    <w:rsid w:val="008040DD"/>
    <w:rsid w:val="0080411E"/>
    <w:rsid w:val="0080414F"/>
    <w:rsid w:val="0080416E"/>
    <w:rsid w:val="008041E7"/>
    <w:rsid w:val="00804211"/>
    <w:rsid w:val="00804297"/>
    <w:rsid w:val="008043B2"/>
    <w:rsid w:val="008043B9"/>
    <w:rsid w:val="008043D4"/>
    <w:rsid w:val="008043E7"/>
    <w:rsid w:val="0080486C"/>
    <w:rsid w:val="00804BCE"/>
    <w:rsid w:val="00804C20"/>
    <w:rsid w:val="00804C9D"/>
    <w:rsid w:val="00804D9B"/>
    <w:rsid w:val="00804FA8"/>
    <w:rsid w:val="00805337"/>
    <w:rsid w:val="00805341"/>
    <w:rsid w:val="008053B3"/>
    <w:rsid w:val="00805591"/>
    <w:rsid w:val="00805639"/>
    <w:rsid w:val="008056E1"/>
    <w:rsid w:val="00805B9A"/>
    <w:rsid w:val="00805C31"/>
    <w:rsid w:val="00805E95"/>
    <w:rsid w:val="00805E96"/>
    <w:rsid w:val="0080609F"/>
    <w:rsid w:val="00806120"/>
    <w:rsid w:val="00806291"/>
    <w:rsid w:val="00806333"/>
    <w:rsid w:val="0080634A"/>
    <w:rsid w:val="00806356"/>
    <w:rsid w:val="00806394"/>
    <w:rsid w:val="008064AB"/>
    <w:rsid w:val="008064C4"/>
    <w:rsid w:val="0080670A"/>
    <w:rsid w:val="00806998"/>
    <w:rsid w:val="00806B1A"/>
    <w:rsid w:val="00806B7D"/>
    <w:rsid w:val="00806BD7"/>
    <w:rsid w:val="00806D8D"/>
    <w:rsid w:val="00806F31"/>
    <w:rsid w:val="00806F3C"/>
    <w:rsid w:val="00807008"/>
    <w:rsid w:val="00807043"/>
    <w:rsid w:val="00807399"/>
    <w:rsid w:val="008074CB"/>
    <w:rsid w:val="008075D3"/>
    <w:rsid w:val="008075FC"/>
    <w:rsid w:val="0080776A"/>
    <w:rsid w:val="00807921"/>
    <w:rsid w:val="00807A07"/>
    <w:rsid w:val="00807A0A"/>
    <w:rsid w:val="00807B28"/>
    <w:rsid w:val="00807B5D"/>
    <w:rsid w:val="00807B99"/>
    <w:rsid w:val="00807BC1"/>
    <w:rsid w:val="00807C6D"/>
    <w:rsid w:val="00810064"/>
    <w:rsid w:val="00810121"/>
    <w:rsid w:val="0081015D"/>
    <w:rsid w:val="008101D7"/>
    <w:rsid w:val="00810227"/>
    <w:rsid w:val="00810250"/>
    <w:rsid w:val="00810332"/>
    <w:rsid w:val="00810370"/>
    <w:rsid w:val="0081047E"/>
    <w:rsid w:val="0081053C"/>
    <w:rsid w:val="00810736"/>
    <w:rsid w:val="00810860"/>
    <w:rsid w:val="008109AC"/>
    <w:rsid w:val="00810A9E"/>
    <w:rsid w:val="00810AA7"/>
    <w:rsid w:val="00810AFF"/>
    <w:rsid w:val="00810B32"/>
    <w:rsid w:val="00810C02"/>
    <w:rsid w:val="00810E29"/>
    <w:rsid w:val="00810EA0"/>
    <w:rsid w:val="00810F30"/>
    <w:rsid w:val="00810F60"/>
    <w:rsid w:val="00810F91"/>
    <w:rsid w:val="00811050"/>
    <w:rsid w:val="00811075"/>
    <w:rsid w:val="00811182"/>
    <w:rsid w:val="008111A1"/>
    <w:rsid w:val="0081155B"/>
    <w:rsid w:val="00811685"/>
    <w:rsid w:val="00811752"/>
    <w:rsid w:val="00811792"/>
    <w:rsid w:val="00811A22"/>
    <w:rsid w:val="00811C2D"/>
    <w:rsid w:val="00811CA0"/>
    <w:rsid w:val="00811F34"/>
    <w:rsid w:val="00811F4F"/>
    <w:rsid w:val="00812042"/>
    <w:rsid w:val="008120B7"/>
    <w:rsid w:val="008120F5"/>
    <w:rsid w:val="00812343"/>
    <w:rsid w:val="0081234A"/>
    <w:rsid w:val="00812411"/>
    <w:rsid w:val="008124FB"/>
    <w:rsid w:val="00812708"/>
    <w:rsid w:val="00812903"/>
    <w:rsid w:val="00812B7F"/>
    <w:rsid w:val="00812DA9"/>
    <w:rsid w:val="00812DC0"/>
    <w:rsid w:val="00812DC4"/>
    <w:rsid w:val="00812DFB"/>
    <w:rsid w:val="00812E6C"/>
    <w:rsid w:val="00812FD0"/>
    <w:rsid w:val="00813028"/>
    <w:rsid w:val="00813031"/>
    <w:rsid w:val="00813073"/>
    <w:rsid w:val="0081314A"/>
    <w:rsid w:val="008134E8"/>
    <w:rsid w:val="008134EB"/>
    <w:rsid w:val="0081354D"/>
    <w:rsid w:val="0081358C"/>
    <w:rsid w:val="00813691"/>
    <w:rsid w:val="00813876"/>
    <w:rsid w:val="0081392E"/>
    <w:rsid w:val="00813D10"/>
    <w:rsid w:val="00813E15"/>
    <w:rsid w:val="00813E5D"/>
    <w:rsid w:val="00813FD8"/>
    <w:rsid w:val="00814163"/>
    <w:rsid w:val="0081421E"/>
    <w:rsid w:val="00814449"/>
    <w:rsid w:val="00814468"/>
    <w:rsid w:val="00814495"/>
    <w:rsid w:val="008144D5"/>
    <w:rsid w:val="008144F8"/>
    <w:rsid w:val="0081458F"/>
    <w:rsid w:val="008146EE"/>
    <w:rsid w:val="0081477F"/>
    <w:rsid w:val="008147D4"/>
    <w:rsid w:val="008147EB"/>
    <w:rsid w:val="00814825"/>
    <w:rsid w:val="0081488E"/>
    <w:rsid w:val="008148F6"/>
    <w:rsid w:val="008149A3"/>
    <w:rsid w:val="008149E9"/>
    <w:rsid w:val="00814A3A"/>
    <w:rsid w:val="00814B56"/>
    <w:rsid w:val="00814B66"/>
    <w:rsid w:val="00814BB7"/>
    <w:rsid w:val="00814C1A"/>
    <w:rsid w:val="00814DA1"/>
    <w:rsid w:val="00814DD2"/>
    <w:rsid w:val="00814EB0"/>
    <w:rsid w:val="0081501A"/>
    <w:rsid w:val="0081503A"/>
    <w:rsid w:val="0081517F"/>
    <w:rsid w:val="00815387"/>
    <w:rsid w:val="0081542E"/>
    <w:rsid w:val="00815476"/>
    <w:rsid w:val="008155AC"/>
    <w:rsid w:val="008155FF"/>
    <w:rsid w:val="008156D0"/>
    <w:rsid w:val="0081575F"/>
    <w:rsid w:val="008157CE"/>
    <w:rsid w:val="0081583F"/>
    <w:rsid w:val="00815973"/>
    <w:rsid w:val="00815BEA"/>
    <w:rsid w:val="00815F75"/>
    <w:rsid w:val="0081603E"/>
    <w:rsid w:val="008160C0"/>
    <w:rsid w:val="0081623B"/>
    <w:rsid w:val="00816359"/>
    <w:rsid w:val="0081643E"/>
    <w:rsid w:val="0081643F"/>
    <w:rsid w:val="0081646A"/>
    <w:rsid w:val="00816477"/>
    <w:rsid w:val="0081647C"/>
    <w:rsid w:val="008164B9"/>
    <w:rsid w:val="0081663F"/>
    <w:rsid w:val="008169F1"/>
    <w:rsid w:val="008169FE"/>
    <w:rsid w:val="00816B0A"/>
    <w:rsid w:val="00816C77"/>
    <w:rsid w:val="00816CA4"/>
    <w:rsid w:val="00816D55"/>
    <w:rsid w:val="00816E77"/>
    <w:rsid w:val="00816F13"/>
    <w:rsid w:val="0081718E"/>
    <w:rsid w:val="00817255"/>
    <w:rsid w:val="00817275"/>
    <w:rsid w:val="0081744B"/>
    <w:rsid w:val="008175AB"/>
    <w:rsid w:val="00817680"/>
    <w:rsid w:val="008176B2"/>
    <w:rsid w:val="00817769"/>
    <w:rsid w:val="0081779C"/>
    <w:rsid w:val="0081781C"/>
    <w:rsid w:val="0081782D"/>
    <w:rsid w:val="0081788E"/>
    <w:rsid w:val="008178D0"/>
    <w:rsid w:val="00817970"/>
    <w:rsid w:val="008179B7"/>
    <w:rsid w:val="00817A65"/>
    <w:rsid w:val="00817BA2"/>
    <w:rsid w:val="00817BBF"/>
    <w:rsid w:val="00817D08"/>
    <w:rsid w:val="00817E76"/>
    <w:rsid w:val="00817E98"/>
    <w:rsid w:val="00817EF3"/>
    <w:rsid w:val="00817EFA"/>
    <w:rsid w:val="00817F3B"/>
    <w:rsid w:val="00817FC9"/>
    <w:rsid w:val="00820217"/>
    <w:rsid w:val="00820237"/>
    <w:rsid w:val="0082026D"/>
    <w:rsid w:val="008202A7"/>
    <w:rsid w:val="008202E6"/>
    <w:rsid w:val="00820547"/>
    <w:rsid w:val="00820648"/>
    <w:rsid w:val="008206B9"/>
    <w:rsid w:val="00820823"/>
    <w:rsid w:val="00820A06"/>
    <w:rsid w:val="00820AA9"/>
    <w:rsid w:val="00820ACA"/>
    <w:rsid w:val="00820B8C"/>
    <w:rsid w:val="00820CB6"/>
    <w:rsid w:val="00820DB1"/>
    <w:rsid w:val="00820E1E"/>
    <w:rsid w:val="00820EE5"/>
    <w:rsid w:val="0082101E"/>
    <w:rsid w:val="00821103"/>
    <w:rsid w:val="0082121E"/>
    <w:rsid w:val="0082134E"/>
    <w:rsid w:val="0082156D"/>
    <w:rsid w:val="00821752"/>
    <w:rsid w:val="00821823"/>
    <w:rsid w:val="0082199F"/>
    <w:rsid w:val="00821A09"/>
    <w:rsid w:val="00821C90"/>
    <w:rsid w:val="00821EDB"/>
    <w:rsid w:val="00821F13"/>
    <w:rsid w:val="00821FDE"/>
    <w:rsid w:val="00822222"/>
    <w:rsid w:val="00822487"/>
    <w:rsid w:val="008227CA"/>
    <w:rsid w:val="008228A8"/>
    <w:rsid w:val="00822A9A"/>
    <w:rsid w:val="00822B51"/>
    <w:rsid w:val="00822C5A"/>
    <w:rsid w:val="00822EF2"/>
    <w:rsid w:val="00823169"/>
    <w:rsid w:val="00823277"/>
    <w:rsid w:val="008232AA"/>
    <w:rsid w:val="008232E8"/>
    <w:rsid w:val="008232F6"/>
    <w:rsid w:val="0082338E"/>
    <w:rsid w:val="008234BA"/>
    <w:rsid w:val="008234E3"/>
    <w:rsid w:val="00823537"/>
    <w:rsid w:val="008235FC"/>
    <w:rsid w:val="00823851"/>
    <w:rsid w:val="00823A28"/>
    <w:rsid w:val="00823A4A"/>
    <w:rsid w:val="00823B5D"/>
    <w:rsid w:val="00823C0A"/>
    <w:rsid w:val="00823C8E"/>
    <w:rsid w:val="00823CC9"/>
    <w:rsid w:val="00823E40"/>
    <w:rsid w:val="00823E4B"/>
    <w:rsid w:val="00823F5A"/>
    <w:rsid w:val="00823FA6"/>
    <w:rsid w:val="0082406D"/>
    <w:rsid w:val="008241C5"/>
    <w:rsid w:val="00824251"/>
    <w:rsid w:val="0082431A"/>
    <w:rsid w:val="0082435D"/>
    <w:rsid w:val="00824382"/>
    <w:rsid w:val="00824427"/>
    <w:rsid w:val="008244BF"/>
    <w:rsid w:val="008244C7"/>
    <w:rsid w:val="00824619"/>
    <w:rsid w:val="008247DC"/>
    <w:rsid w:val="00824828"/>
    <w:rsid w:val="00824839"/>
    <w:rsid w:val="008248DE"/>
    <w:rsid w:val="00824923"/>
    <w:rsid w:val="00824AE7"/>
    <w:rsid w:val="00824B0A"/>
    <w:rsid w:val="00824B16"/>
    <w:rsid w:val="00824C33"/>
    <w:rsid w:val="00824C5F"/>
    <w:rsid w:val="00824CF3"/>
    <w:rsid w:val="00824CF5"/>
    <w:rsid w:val="00824D5F"/>
    <w:rsid w:val="00824DBA"/>
    <w:rsid w:val="00824E21"/>
    <w:rsid w:val="00824F79"/>
    <w:rsid w:val="008250FE"/>
    <w:rsid w:val="0082521A"/>
    <w:rsid w:val="00825364"/>
    <w:rsid w:val="00825391"/>
    <w:rsid w:val="008253F5"/>
    <w:rsid w:val="008253F9"/>
    <w:rsid w:val="00825436"/>
    <w:rsid w:val="00825646"/>
    <w:rsid w:val="008256C4"/>
    <w:rsid w:val="00825908"/>
    <w:rsid w:val="008259E8"/>
    <w:rsid w:val="00825A22"/>
    <w:rsid w:val="00825BB1"/>
    <w:rsid w:val="00825C30"/>
    <w:rsid w:val="00825C61"/>
    <w:rsid w:val="00825E1B"/>
    <w:rsid w:val="008260E4"/>
    <w:rsid w:val="00826108"/>
    <w:rsid w:val="008263AE"/>
    <w:rsid w:val="008263B6"/>
    <w:rsid w:val="00826493"/>
    <w:rsid w:val="00826517"/>
    <w:rsid w:val="0082652E"/>
    <w:rsid w:val="00826567"/>
    <w:rsid w:val="00826586"/>
    <w:rsid w:val="00826659"/>
    <w:rsid w:val="008266D4"/>
    <w:rsid w:val="0082671C"/>
    <w:rsid w:val="0082697F"/>
    <w:rsid w:val="008269A2"/>
    <w:rsid w:val="00826AD8"/>
    <w:rsid w:val="00826C7D"/>
    <w:rsid w:val="00826D55"/>
    <w:rsid w:val="00826DD5"/>
    <w:rsid w:val="00826F42"/>
    <w:rsid w:val="00826F8D"/>
    <w:rsid w:val="00826FA6"/>
    <w:rsid w:val="00827044"/>
    <w:rsid w:val="008270D3"/>
    <w:rsid w:val="008270F6"/>
    <w:rsid w:val="008271BC"/>
    <w:rsid w:val="0082720F"/>
    <w:rsid w:val="008272AD"/>
    <w:rsid w:val="00827336"/>
    <w:rsid w:val="0082736E"/>
    <w:rsid w:val="008273CD"/>
    <w:rsid w:val="008273E4"/>
    <w:rsid w:val="0082748E"/>
    <w:rsid w:val="0082749A"/>
    <w:rsid w:val="008274D7"/>
    <w:rsid w:val="008274F4"/>
    <w:rsid w:val="0082751A"/>
    <w:rsid w:val="00827602"/>
    <w:rsid w:val="0082762B"/>
    <w:rsid w:val="00827667"/>
    <w:rsid w:val="00827682"/>
    <w:rsid w:val="0082779B"/>
    <w:rsid w:val="008277B7"/>
    <w:rsid w:val="008279CB"/>
    <w:rsid w:val="008279F3"/>
    <w:rsid w:val="00827B4E"/>
    <w:rsid w:val="00827B73"/>
    <w:rsid w:val="00827B89"/>
    <w:rsid w:val="00827E1E"/>
    <w:rsid w:val="00827E87"/>
    <w:rsid w:val="00827F29"/>
    <w:rsid w:val="00830133"/>
    <w:rsid w:val="00830269"/>
    <w:rsid w:val="00830351"/>
    <w:rsid w:val="00830448"/>
    <w:rsid w:val="0083045D"/>
    <w:rsid w:val="008304D3"/>
    <w:rsid w:val="00830509"/>
    <w:rsid w:val="00830580"/>
    <w:rsid w:val="00830587"/>
    <w:rsid w:val="00830591"/>
    <w:rsid w:val="008306CF"/>
    <w:rsid w:val="00830717"/>
    <w:rsid w:val="0083073D"/>
    <w:rsid w:val="0083074C"/>
    <w:rsid w:val="00830794"/>
    <w:rsid w:val="00830AED"/>
    <w:rsid w:val="00830BEA"/>
    <w:rsid w:val="00830DB4"/>
    <w:rsid w:val="00830E78"/>
    <w:rsid w:val="008311A3"/>
    <w:rsid w:val="008311E3"/>
    <w:rsid w:val="0083127A"/>
    <w:rsid w:val="008313D3"/>
    <w:rsid w:val="00831512"/>
    <w:rsid w:val="0083155D"/>
    <w:rsid w:val="0083166F"/>
    <w:rsid w:val="00831698"/>
    <w:rsid w:val="00831731"/>
    <w:rsid w:val="00831739"/>
    <w:rsid w:val="008317EC"/>
    <w:rsid w:val="008317F2"/>
    <w:rsid w:val="0083180A"/>
    <w:rsid w:val="0083189A"/>
    <w:rsid w:val="00831AC4"/>
    <w:rsid w:val="00831CB1"/>
    <w:rsid w:val="00831D5D"/>
    <w:rsid w:val="00831E41"/>
    <w:rsid w:val="00831F56"/>
    <w:rsid w:val="00831FCF"/>
    <w:rsid w:val="008320A4"/>
    <w:rsid w:val="00832155"/>
    <w:rsid w:val="00832188"/>
    <w:rsid w:val="008321B4"/>
    <w:rsid w:val="008321DB"/>
    <w:rsid w:val="00832481"/>
    <w:rsid w:val="008324B4"/>
    <w:rsid w:val="008324E9"/>
    <w:rsid w:val="008324EF"/>
    <w:rsid w:val="00832777"/>
    <w:rsid w:val="00832915"/>
    <w:rsid w:val="008329D4"/>
    <w:rsid w:val="00832BA2"/>
    <w:rsid w:val="00832E3B"/>
    <w:rsid w:val="00832F6B"/>
    <w:rsid w:val="00832FDD"/>
    <w:rsid w:val="008330A1"/>
    <w:rsid w:val="00833269"/>
    <w:rsid w:val="0083327A"/>
    <w:rsid w:val="00833340"/>
    <w:rsid w:val="008333FF"/>
    <w:rsid w:val="0083343A"/>
    <w:rsid w:val="008334DF"/>
    <w:rsid w:val="0083350C"/>
    <w:rsid w:val="0083356E"/>
    <w:rsid w:val="008335AD"/>
    <w:rsid w:val="008336FB"/>
    <w:rsid w:val="008337A5"/>
    <w:rsid w:val="00833A9F"/>
    <w:rsid w:val="00833ACC"/>
    <w:rsid w:val="00833BEE"/>
    <w:rsid w:val="00833CCB"/>
    <w:rsid w:val="00833D1B"/>
    <w:rsid w:val="00833E22"/>
    <w:rsid w:val="008341D0"/>
    <w:rsid w:val="008343F7"/>
    <w:rsid w:val="008344A3"/>
    <w:rsid w:val="008346DB"/>
    <w:rsid w:val="00834992"/>
    <w:rsid w:val="00834A38"/>
    <w:rsid w:val="00834B4B"/>
    <w:rsid w:val="00834B65"/>
    <w:rsid w:val="00834C5E"/>
    <w:rsid w:val="00834D1E"/>
    <w:rsid w:val="00834D97"/>
    <w:rsid w:val="00834DB4"/>
    <w:rsid w:val="00834E03"/>
    <w:rsid w:val="00835071"/>
    <w:rsid w:val="008350A5"/>
    <w:rsid w:val="0083524C"/>
    <w:rsid w:val="008353CE"/>
    <w:rsid w:val="008353DB"/>
    <w:rsid w:val="00835481"/>
    <w:rsid w:val="008355EA"/>
    <w:rsid w:val="00835645"/>
    <w:rsid w:val="008356C5"/>
    <w:rsid w:val="0083581C"/>
    <w:rsid w:val="00835969"/>
    <w:rsid w:val="00835A2C"/>
    <w:rsid w:val="00835B43"/>
    <w:rsid w:val="00835BA8"/>
    <w:rsid w:val="00835BAA"/>
    <w:rsid w:val="00835BC2"/>
    <w:rsid w:val="00835C0E"/>
    <w:rsid w:val="00835ED0"/>
    <w:rsid w:val="00835F56"/>
    <w:rsid w:val="0083601E"/>
    <w:rsid w:val="008360B1"/>
    <w:rsid w:val="00836182"/>
    <w:rsid w:val="0083618E"/>
    <w:rsid w:val="00836242"/>
    <w:rsid w:val="0083626B"/>
    <w:rsid w:val="00836447"/>
    <w:rsid w:val="00836487"/>
    <w:rsid w:val="00836497"/>
    <w:rsid w:val="008365B1"/>
    <w:rsid w:val="0083667E"/>
    <w:rsid w:val="0083668B"/>
    <w:rsid w:val="008367C8"/>
    <w:rsid w:val="008369FD"/>
    <w:rsid w:val="00836A3D"/>
    <w:rsid w:val="00836A82"/>
    <w:rsid w:val="00836BF0"/>
    <w:rsid w:val="00836D26"/>
    <w:rsid w:val="00836E18"/>
    <w:rsid w:val="0083712B"/>
    <w:rsid w:val="008371CF"/>
    <w:rsid w:val="008372BA"/>
    <w:rsid w:val="008374A6"/>
    <w:rsid w:val="0083755C"/>
    <w:rsid w:val="00837629"/>
    <w:rsid w:val="008376CD"/>
    <w:rsid w:val="0083776F"/>
    <w:rsid w:val="00837A06"/>
    <w:rsid w:val="00837A4B"/>
    <w:rsid w:val="00837B8A"/>
    <w:rsid w:val="00837C12"/>
    <w:rsid w:val="00837C9D"/>
    <w:rsid w:val="00837D5A"/>
    <w:rsid w:val="00837DA3"/>
    <w:rsid w:val="00837DF8"/>
    <w:rsid w:val="00837F2E"/>
    <w:rsid w:val="00837F5C"/>
    <w:rsid w:val="00837F7D"/>
    <w:rsid w:val="00840015"/>
    <w:rsid w:val="0084006D"/>
    <w:rsid w:val="008400B9"/>
    <w:rsid w:val="008401DA"/>
    <w:rsid w:val="008403E3"/>
    <w:rsid w:val="008403E5"/>
    <w:rsid w:val="00840586"/>
    <w:rsid w:val="008405B0"/>
    <w:rsid w:val="00840696"/>
    <w:rsid w:val="008406A6"/>
    <w:rsid w:val="0084070A"/>
    <w:rsid w:val="00840844"/>
    <w:rsid w:val="00840863"/>
    <w:rsid w:val="008409C4"/>
    <w:rsid w:val="00840A7E"/>
    <w:rsid w:val="00840AB6"/>
    <w:rsid w:val="00840B2B"/>
    <w:rsid w:val="00840C5F"/>
    <w:rsid w:val="00840C80"/>
    <w:rsid w:val="00840D7B"/>
    <w:rsid w:val="00840D84"/>
    <w:rsid w:val="00840ED1"/>
    <w:rsid w:val="00840F7C"/>
    <w:rsid w:val="008410BA"/>
    <w:rsid w:val="00841137"/>
    <w:rsid w:val="00841144"/>
    <w:rsid w:val="00841190"/>
    <w:rsid w:val="008411CF"/>
    <w:rsid w:val="008412DA"/>
    <w:rsid w:val="0084131C"/>
    <w:rsid w:val="00841324"/>
    <w:rsid w:val="008415A1"/>
    <w:rsid w:val="00841738"/>
    <w:rsid w:val="00841912"/>
    <w:rsid w:val="0084194B"/>
    <w:rsid w:val="00841956"/>
    <w:rsid w:val="0084196A"/>
    <w:rsid w:val="008419FA"/>
    <w:rsid w:val="00841A28"/>
    <w:rsid w:val="00841A9B"/>
    <w:rsid w:val="00841B1D"/>
    <w:rsid w:val="00841B2B"/>
    <w:rsid w:val="00841C11"/>
    <w:rsid w:val="00841E41"/>
    <w:rsid w:val="00841F29"/>
    <w:rsid w:val="00841F62"/>
    <w:rsid w:val="00841FBC"/>
    <w:rsid w:val="00841FFA"/>
    <w:rsid w:val="00842004"/>
    <w:rsid w:val="0084200B"/>
    <w:rsid w:val="00842085"/>
    <w:rsid w:val="00842128"/>
    <w:rsid w:val="00842178"/>
    <w:rsid w:val="008421A4"/>
    <w:rsid w:val="00842312"/>
    <w:rsid w:val="0084239F"/>
    <w:rsid w:val="00842576"/>
    <w:rsid w:val="0084258F"/>
    <w:rsid w:val="008427B0"/>
    <w:rsid w:val="008427C0"/>
    <w:rsid w:val="008427D8"/>
    <w:rsid w:val="008427DA"/>
    <w:rsid w:val="008428A4"/>
    <w:rsid w:val="00842AB2"/>
    <w:rsid w:val="00842B36"/>
    <w:rsid w:val="00842BAA"/>
    <w:rsid w:val="00842CA5"/>
    <w:rsid w:val="00842E15"/>
    <w:rsid w:val="00842EA1"/>
    <w:rsid w:val="00842F25"/>
    <w:rsid w:val="00842F4D"/>
    <w:rsid w:val="00843005"/>
    <w:rsid w:val="00843101"/>
    <w:rsid w:val="00843243"/>
    <w:rsid w:val="00843255"/>
    <w:rsid w:val="0084326A"/>
    <w:rsid w:val="00843384"/>
    <w:rsid w:val="00843588"/>
    <w:rsid w:val="008435F6"/>
    <w:rsid w:val="00843673"/>
    <w:rsid w:val="00843679"/>
    <w:rsid w:val="0084370A"/>
    <w:rsid w:val="008437B6"/>
    <w:rsid w:val="0084382A"/>
    <w:rsid w:val="008439AE"/>
    <w:rsid w:val="008439F1"/>
    <w:rsid w:val="00843A54"/>
    <w:rsid w:val="00843AE1"/>
    <w:rsid w:val="00843BE0"/>
    <w:rsid w:val="00843C62"/>
    <w:rsid w:val="00843F14"/>
    <w:rsid w:val="00843F95"/>
    <w:rsid w:val="00844139"/>
    <w:rsid w:val="00844274"/>
    <w:rsid w:val="00844343"/>
    <w:rsid w:val="00844493"/>
    <w:rsid w:val="00844494"/>
    <w:rsid w:val="008444D3"/>
    <w:rsid w:val="008446DB"/>
    <w:rsid w:val="008446E6"/>
    <w:rsid w:val="008448AF"/>
    <w:rsid w:val="00844A4C"/>
    <w:rsid w:val="00844BAF"/>
    <w:rsid w:val="00844CB3"/>
    <w:rsid w:val="00844D68"/>
    <w:rsid w:val="00844EB0"/>
    <w:rsid w:val="00844F1B"/>
    <w:rsid w:val="00844FC8"/>
    <w:rsid w:val="00845023"/>
    <w:rsid w:val="00845295"/>
    <w:rsid w:val="008452AC"/>
    <w:rsid w:val="0084538E"/>
    <w:rsid w:val="00845422"/>
    <w:rsid w:val="00845549"/>
    <w:rsid w:val="008455F6"/>
    <w:rsid w:val="008456A9"/>
    <w:rsid w:val="00845716"/>
    <w:rsid w:val="008458B9"/>
    <w:rsid w:val="0084591B"/>
    <w:rsid w:val="00845A09"/>
    <w:rsid w:val="00845A0E"/>
    <w:rsid w:val="00845BC3"/>
    <w:rsid w:val="00845C21"/>
    <w:rsid w:val="00845C70"/>
    <w:rsid w:val="00845CAC"/>
    <w:rsid w:val="00845D9E"/>
    <w:rsid w:val="00845E4B"/>
    <w:rsid w:val="00845FF4"/>
    <w:rsid w:val="00845FF6"/>
    <w:rsid w:val="00846066"/>
    <w:rsid w:val="008460AD"/>
    <w:rsid w:val="00846439"/>
    <w:rsid w:val="008464CF"/>
    <w:rsid w:val="008464F7"/>
    <w:rsid w:val="00846585"/>
    <w:rsid w:val="008465A4"/>
    <w:rsid w:val="0084668F"/>
    <w:rsid w:val="00846747"/>
    <w:rsid w:val="0084698A"/>
    <w:rsid w:val="008469FB"/>
    <w:rsid w:val="00846A01"/>
    <w:rsid w:val="00846A31"/>
    <w:rsid w:val="00846A79"/>
    <w:rsid w:val="00846AFF"/>
    <w:rsid w:val="00846B67"/>
    <w:rsid w:val="00846B8E"/>
    <w:rsid w:val="00846BAA"/>
    <w:rsid w:val="00846CEA"/>
    <w:rsid w:val="00846D85"/>
    <w:rsid w:val="00846E1C"/>
    <w:rsid w:val="00846E4E"/>
    <w:rsid w:val="00846EBF"/>
    <w:rsid w:val="00846ED1"/>
    <w:rsid w:val="00846FB7"/>
    <w:rsid w:val="008470F4"/>
    <w:rsid w:val="008470FD"/>
    <w:rsid w:val="0084724C"/>
    <w:rsid w:val="008472CD"/>
    <w:rsid w:val="008472E3"/>
    <w:rsid w:val="0084737D"/>
    <w:rsid w:val="00847411"/>
    <w:rsid w:val="008476CC"/>
    <w:rsid w:val="0084772C"/>
    <w:rsid w:val="008478C4"/>
    <w:rsid w:val="0084798E"/>
    <w:rsid w:val="00847AA7"/>
    <w:rsid w:val="00847C53"/>
    <w:rsid w:val="00847C7A"/>
    <w:rsid w:val="00847C98"/>
    <w:rsid w:val="00847FB7"/>
    <w:rsid w:val="0085002C"/>
    <w:rsid w:val="008500B8"/>
    <w:rsid w:val="008500B9"/>
    <w:rsid w:val="008500BE"/>
    <w:rsid w:val="008500F6"/>
    <w:rsid w:val="00850125"/>
    <w:rsid w:val="0085035A"/>
    <w:rsid w:val="00850365"/>
    <w:rsid w:val="00850430"/>
    <w:rsid w:val="008505BA"/>
    <w:rsid w:val="008505D9"/>
    <w:rsid w:val="00850663"/>
    <w:rsid w:val="00850791"/>
    <w:rsid w:val="008508CF"/>
    <w:rsid w:val="00850916"/>
    <w:rsid w:val="0085094A"/>
    <w:rsid w:val="00850A82"/>
    <w:rsid w:val="00850ACC"/>
    <w:rsid w:val="00850B5E"/>
    <w:rsid w:val="00850D0B"/>
    <w:rsid w:val="00850D54"/>
    <w:rsid w:val="00850E69"/>
    <w:rsid w:val="00850F7F"/>
    <w:rsid w:val="00851010"/>
    <w:rsid w:val="0085109B"/>
    <w:rsid w:val="008511B3"/>
    <w:rsid w:val="00851251"/>
    <w:rsid w:val="00851418"/>
    <w:rsid w:val="00851761"/>
    <w:rsid w:val="0085179A"/>
    <w:rsid w:val="008518E4"/>
    <w:rsid w:val="0085195E"/>
    <w:rsid w:val="00851B36"/>
    <w:rsid w:val="00851D07"/>
    <w:rsid w:val="00851D14"/>
    <w:rsid w:val="00851D34"/>
    <w:rsid w:val="008520CD"/>
    <w:rsid w:val="00852135"/>
    <w:rsid w:val="0085213E"/>
    <w:rsid w:val="00852174"/>
    <w:rsid w:val="00852198"/>
    <w:rsid w:val="008522C2"/>
    <w:rsid w:val="008523B2"/>
    <w:rsid w:val="00852462"/>
    <w:rsid w:val="00852513"/>
    <w:rsid w:val="00852532"/>
    <w:rsid w:val="0085259F"/>
    <w:rsid w:val="008525B2"/>
    <w:rsid w:val="008525DC"/>
    <w:rsid w:val="00852676"/>
    <w:rsid w:val="0085289F"/>
    <w:rsid w:val="00852A2E"/>
    <w:rsid w:val="00852B3C"/>
    <w:rsid w:val="00852D2B"/>
    <w:rsid w:val="00852D41"/>
    <w:rsid w:val="00852D59"/>
    <w:rsid w:val="00852D9F"/>
    <w:rsid w:val="00852E23"/>
    <w:rsid w:val="0085309C"/>
    <w:rsid w:val="0085319F"/>
    <w:rsid w:val="0085346F"/>
    <w:rsid w:val="0085354C"/>
    <w:rsid w:val="00853734"/>
    <w:rsid w:val="00853790"/>
    <w:rsid w:val="008538C2"/>
    <w:rsid w:val="00853976"/>
    <w:rsid w:val="00853AD6"/>
    <w:rsid w:val="00853BB8"/>
    <w:rsid w:val="00853BBB"/>
    <w:rsid w:val="00853C77"/>
    <w:rsid w:val="00853D8A"/>
    <w:rsid w:val="00853E08"/>
    <w:rsid w:val="00853EA3"/>
    <w:rsid w:val="00853FD3"/>
    <w:rsid w:val="008540D0"/>
    <w:rsid w:val="0085411F"/>
    <w:rsid w:val="008541E7"/>
    <w:rsid w:val="008543CB"/>
    <w:rsid w:val="00854417"/>
    <w:rsid w:val="00854441"/>
    <w:rsid w:val="00854459"/>
    <w:rsid w:val="0085448B"/>
    <w:rsid w:val="008546AA"/>
    <w:rsid w:val="008546E0"/>
    <w:rsid w:val="008547A4"/>
    <w:rsid w:val="00854889"/>
    <w:rsid w:val="008548AD"/>
    <w:rsid w:val="008548CC"/>
    <w:rsid w:val="008549BF"/>
    <w:rsid w:val="00854A6A"/>
    <w:rsid w:val="00854A6D"/>
    <w:rsid w:val="00854AAB"/>
    <w:rsid w:val="00854B30"/>
    <w:rsid w:val="00854D2E"/>
    <w:rsid w:val="00854FFC"/>
    <w:rsid w:val="00855013"/>
    <w:rsid w:val="0085506F"/>
    <w:rsid w:val="008552F8"/>
    <w:rsid w:val="0085543C"/>
    <w:rsid w:val="00855509"/>
    <w:rsid w:val="0085561C"/>
    <w:rsid w:val="00855681"/>
    <w:rsid w:val="008556D9"/>
    <w:rsid w:val="0085575D"/>
    <w:rsid w:val="00855767"/>
    <w:rsid w:val="00855780"/>
    <w:rsid w:val="008557D2"/>
    <w:rsid w:val="0085581A"/>
    <w:rsid w:val="00855885"/>
    <w:rsid w:val="008558DC"/>
    <w:rsid w:val="008558F5"/>
    <w:rsid w:val="00855949"/>
    <w:rsid w:val="008559EF"/>
    <w:rsid w:val="00855BA6"/>
    <w:rsid w:val="00855BA7"/>
    <w:rsid w:val="00855C97"/>
    <w:rsid w:val="00855D74"/>
    <w:rsid w:val="00855E4E"/>
    <w:rsid w:val="00855E99"/>
    <w:rsid w:val="008560EC"/>
    <w:rsid w:val="0085611D"/>
    <w:rsid w:val="00856152"/>
    <w:rsid w:val="00856170"/>
    <w:rsid w:val="00856304"/>
    <w:rsid w:val="00856312"/>
    <w:rsid w:val="00856600"/>
    <w:rsid w:val="00856618"/>
    <w:rsid w:val="0085665F"/>
    <w:rsid w:val="008566C0"/>
    <w:rsid w:val="008566C6"/>
    <w:rsid w:val="008566D6"/>
    <w:rsid w:val="0085676B"/>
    <w:rsid w:val="0085678C"/>
    <w:rsid w:val="008567BA"/>
    <w:rsid w:val="008567F1"/>
    <w:rsid w:val="00856882"/>
    <w:rsid w:val="008568F8"/>
    <w:rsid w:val="008569B8"/>
    <w:rsid w:val="00856B11"/>
    <w:rsid w:val="00856B96"/>
    <w:rsid w:val="00856CDA"/>
    <w:rsid w:val="00856DBB"/>
    <w:rsid w:val="00856E19"/>
    <w:rsid w:val="00856E7B"/>
    <w:rsid w:val="00856F18"/>
    <w:rsid w:val="00856F7E"/>
    <w:rsid w:val="00857084"/>
    <w:rsid w:val="00857156"/>
    <w:rsid w:val="008571F5"/>
    <w:rsid w:val="00857356"/>
    <w:rsid w:val="008573C7"/>
    <w:rsid w:val="0085743F"/>
    <w:rsid w:val="00857460"/>
    <w:rsid w:val="008574CC"/>
    <w:rsid w:val="008575FD"/>
    <w:rsid w:val="00857693"/>
    <w:rsid w:val="00857A7F"/>
    <w:rsid w:val="00857BAF"/>
    <w:rsid w:val="00857CBE"/>
    <w:rsid w:val="00857E39"/>
    <w:rsid w:val="00857E81"/>
    <w:rsid w:val="00860166"/>
    <w:rsid w:val="008601C1"/>
    <w:rsid w:val="008602F5"/>
    <w:rsid w:val="00860394"/>
    <w:rsid w:val="00860623"/>
    <w:rsid w:val="0086077E"/>
    <w:rsid w:val="0086097C"/>
    <w:rsid w:val="00860A0B"/>
    <w:rsid w:val="00860A16"/>
    <w:rsid w:val="00860AB5"/>
    <w:rsid w:val="00860B22"/>
    <w:rsid w:val="00860B41"/>
    <w:rsid w:val="00860BA0"/>
    <w:rsid w:val="00860C31"/>
    <w:rsid w:val="00860C47"/>
    <w:rsid w:val="00860D14"/>
    <w:rsid w:val="00860D68"/>
    <w:rsid w:val="00861035"/>
    <w:rsid w:val="008611BD"/>
    <w:rsid w:val="008612B9"/>
    <w:rsid w:val="0086135F"/>
    <w:rsid w:val="008616B7"/>
    <w:rsid w:val="0086171F"/>
    <w:rsid w:val="00861722"/>
    <w:rsid w:val="00861794"/>
    <w:rsid w:val="00861AEC"/>
    <w:rsid w:val="00861FC5"/>
    <w:rsid w:val="00861FD7"/>
    <w:rsid w:val="0086204C"/>
    <w:rsid w:val="008621BF"/>
    <w:rsid w:val="00862202"/>
    <w:rsid w:val="008622D6"/>
    <w:rsid w:val="00862518"/>
    <w:rsid w:val="00862544"/>
    <w:rsid w:val="008626A3"/>
    <w:rsid w:val="008626DC"/>
    <w:rsid w:val="00862749"/>
    <w:rsid w:val="0086274A"/>
    <w:rsid w:val="008627C5"/>
    <w:rsid w:val="0086283D"/>
    <w:rsid w:val="00862884"/>
    <w:rsid w:val="00862999"/>
    <w:rsid w:val="008629EA"/>
    <w:rsid w:val="00862A48"/>
    <w:rsid w:val="00862A68"/>
    <w:rsid w:val="00862C3E"/>
    <w:rsid w:val="00862D66"/>
    <w:rsid w:val="00862D6A"/>
    <w:rsid w:val="00862D89"/>
    <w:rsid w:val="00862F78"/>
    <w:rsid w:val="00862FB2"/>
    <w:rsid w:val="00863290"/>
    <w:rsid w:val="00863414"/>
    <w:rsid w:val="00863478"/>
    <w:rsid w:val="00863772"/>
    <w:rsid w:val="00863818"/>
    <w:rsid w:val="0086385A"/>
    <w:rsid w:val="00863913"/>
    <w:rsid w:val="00863A46"/>
    <w:rsid w:val="00863BDF"/>
    <w:rsid w:val="00863DB9"/>
    <w:rsid w:val="00863DE1"/>
    <w:rsid w:val="00863DEA"/>
    <w:rsid w:val="00863E09"/>
    <w:rsid w:val="00863E31"/>
    <w:rsid w:val="00863EBF"/>
    <w:rsid w:val="00863F09"/>
    <w:rsid w:val="00863F65"/>
    <w:rsid w:val="00863F68"/>
    <w:rsid w:val="00863FCC"/>
    <w:rsid w:val="0086401F"/>
    <w:rsid w:val="0086411A"/>
    <w:rsid w:val="008647B5"/>
    <w:rsid w:val="00864893"/>
    <w:rsid w:val="0086489C"/>
    <w:rsid w:val="008648B1"/>
    <w:rsid w:val="00864A72"/>
    <w:rsid w:val="00864DCE"/>
    <w:rsid w:val="00864E48"/>
    <w:rsid w:val="0086504F"/>
    <w:rsid w:val="0086540A"/>
    <w:rsid w:val="008656B8"/>
    <w:rsid w:val="0086577C"/>
    <w:rsid w:val="0086578E"/>
    <w:rsid w:val="008657D7"/>
    <w:rsid w:val="008658E6"/>
    <w:rsid w:val="008659B9"/>
    <w:rsid w:val="008659F5"/>
    <w:rsid w:val="00865D3E"/>
    <w:rsid w:val="00865D62"/>
    <w:rsid w:val="00865D8C"/>
    <w:rsid w:val="00865DB6"/>
    <w:rsid w:val="00865DD0"/>
    <w:rsid w:val="00865E3E"/>
    <w:rsid w:val="00865E82"/>
    <w:rsid w:val="00865ECE"/>
    <w:rsid w:val="008660DC"/>
    <w:rsid w:val="0086611B"/>
    <w:rsid w:val="00866218"/>
    <w:rsid w:val="0086626C"/>
    <w:rsid w:val="00866323"/>
    <w:rsid w:val="00866344"/>
    <w:rsid w:val="00866484"/>
    <w:rsid w:val="00866506"/>
    <w:rsid w:val="008665A2"/>
    <w:rsid w:val="008665F9"/>
    <w:rsid w:val="008667A0"/>
    <w:rsid w:val="0086690D"/>
    <w:rsid w:val="00866A4F"/>
    <w:rsid w:val="00866A8E"/>
    <w:rsid w:val="00866AD6"/>
    <w:rsid w:val="00866B5B"/>
    <w:rsid w:val="00866C0D"/>
    <w:rsid w:val="00866EB5"/>
    <w:rsid w:val="00867018"/>
    <w:rsid w:val="008670AE"/>
    <w:rsid w:val="008670C4"/>
    <w:rsid w:val="008670F3"/>
    <w:rsid w:val="00867179"/>
    <w:rsid w:val="0086724E"/>
    <w:rsid w:val="008674B7"/>
    <w:rsid w:val="00867505"/>
    <w:rsid w:val="00867515"/>
    <w:rsid w:val="00867541"/>
    <w:rsid w:val="00867856"/>
    <w:rsid w:val="00867AEA"/>
    <w:rsid w:val="00867B41"/>
    <w:rsid w:val="00867C03"/>
    <w:rsid w:val="00867C2D"/>
    <w:rsid w:val="00867C3D"/>
    <w:rsid w:val="00867F1E"/>
    <w:rsid w:val="00867FA5"/>
    <w:rsid w:val="00870112"/>
    <w:rsid w:val="00870183"/>
    <w:rsid w:val="008701DB"/>
    <w:rsid w:val="0087043C"/>
    <w:rsid w:val="008704D8"/>
    <w:rsid w:val="008705D1"/>
    <w:rsid w:val="0087062D"/>
    <w:rsid w:val="00870657"/>
    <w:rsid w:val="00870781"/>
    <w:rsid w:val="008707E7"/>
    <w:rsid w:val="0087081D"/>
    <w:rsid w:val="0087089F"/>
    <w:rsid w:val="0087093C"/>
    <w:rsid w:val="00870AA2"/>
    <w:rsid w:val="00870B4B"/>
    <w:rsid w:val="00870BEB"/>
    <w:rsid w:val="00870C7C"/>
    <w:rsid w:val="00870DAF"/>
    <w:rsid w:val="00870EB8"/>
    <w:rsid w:val="00870EBD"/>
    <w:rsid w:val="00870FC9"/>
    <w:rsid w:val="00871079"/>
    <w:rsid w:val="00871188"/>
    <w:rsid w:val="00871215"/>
    <w:rsid w:val="00871239"/>
    <w:rsid w:val="0087140D"/>
    <w:rsid w:val="00871466"/>
    <w:rsid w:val="0087148A"/>
    <w:rsid w:val="00871520"/>
    <w:rsid w:val="00871595"/>
    <w:rsid w:val="008715DA"/>
    <w:rsid w:val="008716A7"/>
    <w:rsid w:val="00871718"/>
    <w:rsid w:val="00871722"/>
    <w:rsid w:val="00871753"/>
    <w:rsid w:val="008718DD"/>
    <w:rsid w:val="0087194A"/>
    <w:rsid w:val="00871AF5"/>
    <w:rsid w:val="00871BD0"/>
    <w:rsid w:val="00871C27"/>
    <w:rsid w:val="00871CF0"/>
    <w:rsid w:val="00871DAF"/>
    <w:rsid w:val="00871EB9"/>
    <w:rsid w:val="00871F7E"/>
    <w:rsid w:val="00871FBA"/>
    <w:rsid w:val="00872137"/>
    <w:rsid w:val="00872165"/>
    <w:rsid w:val="008721D7"/>
    <w:rsid w:val="008722E2"/>
    <w:rsid w:val="00872441"/>
    <w:rsid w:val="00872464"/>
    <w:rsid w:val="0087285D"/>
    <w:rsid w:val="00872A45"/>
    <w:rsid w:val="00872C4E"/>
    <w:rsid w:val="00872D96"/>
    <w:rsid w:val="00872E60"/>
    <w:rsid w:val="00872EB1"/>
    <w:rsid w:val="00872F79"/>
    <w:rsid w:val="00872FC9"/>
    <w:rsid w:val="00872FF8"/>
    <w:rsid w:val="0087307E"/>
    <w:rsid w:val="00873139"/>
    <w:rsid w:val="0087313F"/>
    <w:rsid w:val="008732B2"/>
    <w:rsid w:val="008733D3"/>
    <w:rsid w:val="00873461"/>
    <w:rsid w:val="008736A1"/>
    <w:rsid w:val="008736FB"/>
    <w:rsid w:val="00873779"/>
    <w:rsid w:val="0087392A"/>
    <w:rsid w:val="008739BD"/>
    <w:rsid w:val="00873AA8"/>
    <w:rsid w:val="00873CAF"/>
    <w:rsid w:val="00873D40"/>
    <w:rsid w:val="00873DE4"/>
    <w:rsid w:val="00873F8B"/>
    <w:rsid w:val="00874131"/>
    <w:rsid w:val="00874153"/>
    <w:rsid w:val="00874214"/>
    <w:rsid w:val="00874273"/>
    <w:rsid w:val="008742A6"/>
    <w:rsid w:val="00874508"/>
    <w:rsid w:val="00874511"/>
    <w:rsid w:val="008745CB"/>
    <w:rsid w:val="0087474F"/>
    <w:rsid w:val="008747BB"/>
    <w:rsid w:val="008748A9"/>
    <w:rsid w:val="00874991"/>
    <w:rsid w:val="008749C0"/>
    <w:rsid w:val="00874AFB"/>
    <w:rsid w:val="00874B0B"/>
    <w:rsid w:val="00874C45"/>
    <w:rsid w:val="00874C52"/>
    <w:rsid w:val="00874C95"/>
    <w:rsid w:val="00874CBB"/>
    <w:rsid w:val="00874CBC"/>
    <w:rsid w:val="00874DFC"/>
    <w:rsid w:val="00874EE9"/>
    <w:rsid w:val="00874F90"/>
    <w:rsid w:val="00875108"/>
    <w:rsid w:val="0087528E"/>
    <w:rsid w:val="00875306"/>
    <w:rsid w:val="008757A2"/>
    <w:rsid w:val="00875854"/>
    <w:rsid w:val="00875863"/>
    <w:rsid w:val="008759C2"/>
    <w:rsid w:val="00875A7F"/>
    <w:rsid w:val="00875A92"/>
    <w:rsid w:val="00875A94"/>
    <w:rsid w:val="00875B41"/>
    <w:rsid w:val="00875B4E"/>
    <w:rsid w:val="00875BCE"/>
    <w:rsid w:val="00875C07"/>
    <w:rsid w:val="00875C7E"/>
    <w:rsid w:val="00875E0F"/>
    <w:rsid w:val="00875EB4"/>
    <w:rsid w:val="00875EF6"/>
    <w:rsid w:val="00875FC7"/>
    <w:rsid w:val="0087613A"/>
    <w:rsid w:val="0087618C"/>
    <w:rsid w:val="00876325"/>
    <w:rsid w:val="00876463"/>
    <w:rsid w:val="008764DD"/>
    <w:rsid w:val="00876515"/>
    <w:rsid w:val="00876537"/>
    <w:rsid w:val="00876580"/>
    <w:rsid w:val="008766D8"/>
    <w:rsid w:val="00876733"/>
    <w:rsid w:val="00876A72"/>
    <w:rsid w:val="00876AC3"/>
    <w:rsid w:val="00876B55"/>
    <w:rsid w:val="00876B68"/>
    <w:rsid w:val="00876BE8"/>
    <w:rsid w:val="00876D0C"/>
    <w:rsid w:val="00876DB4"/>
    <w:rsid w:val="00876DB9"/>
    <w:rsid w:val="00876E0B"/>
    <w:rsid w:val="00876EAD"/>
    <w:rsid w:val="00876F9C"/>
    <w:rsid w:val="00876FAC"/>
    <w:rsid w:val="00876FAE"/>
    <w:rsid w:val="00876FFE"/>
    <w:rsid w:val="0087703E"/>
    <w:rsid w:val="008770F5"/>
    <w:rsid w:val="008772B4"/>
    <w:rsid w:val="008772FA"/>
    <w:rsid w:val="00877391"/>
    <w:rsid w:val="008774FF"/>
    <w:rsid w:val="00877623"/>
    <w:rsid w:val="00877663"/>
    <w:rsid w:val="00877733"/>
    <w:rsid w:val="00877850"/>
    <w:rsid w:val="008778E6"/>
    <w:rsid w:val="00877902"/>
    <w:rsid w:val="008779CF"/>
    <w:rsid w:val="00877B3C"/>
    <w:rsid w:val="00877C5B"/>
    <w:rsid w:val="0088004F"/>
    <w:rsid w:val="008800BB"/>
    <w:rsid w:val="0088021C"/>
    <w:rsid w:val="008802EC"/>
    <w:rsid w:val="00880303"/>
    <w:rsid w:val="0088036D"/>
    <w:rsid w:val="00880571"/>
    <w:rsid w:val="00880572"/>
    <w:rsid w:val="00880595"/>
    <w:rsid w:val="00880650"/>
    <w:rsid w:val="008806A3"/>
    <w:rsid w:val="008806C2"/>
    <w:rsid w:val="00880764"/>
    <w:rsid w:val="00880801"/>
    <w:rsid w:val="00880860"/>
    <w:rsid w:val="0088088A"/>
    <w:rsid w:val="008808A8"/>
    <w:rsid w:val="008808D2"/>
    <w:rsid w:val="008808E3"/>
    <w:rsid w:val="00880A63"/>
    <w:rsid w:val="00880A68"/>
    <w:rsid w:val="00880BAA"/>
    <w:rsid w:val="00880C81"/>
    <w:rsid w:val="00880E2F"/>
    <w:rsid w:val="00880FC3"/>
    <w:rsid w:val="0088114B"/>
    <w:rsid w:val="008811FC"/>
    <w:rsid w:val="00881315"/>
    <w:rsid w:val="0088137A"/>
    <w:rsid w:val="008813AC"/>
    <w:rsid w:val="008813B9"/>
    <w:rsid w:val="008813C7"/>
    <w:rsid w:val="00881481"/>
    <w:rsid w:val="0088150E"/>
    <w:rsid w:val="00881533"/>
    <w:rsid w:val="008815D1"/>
    <w:rsid w:val="0088163F"/>
    <w:rsid w:val="00881729"/>
    <w:rsid w:val="0088174B"/>
    <w:rsid w:val="00881755"/>
    <w:rsid w:val="008817BE"/>
    <w:rsid w:val="0088182A"/>
    <w:rsid w:val="008819FE"/>
    <w:rsid w:val="00881AA3"/>
    <w:rsid w:val="00881C7E"/>
    <w:rsid w:val="00881CB7"/>
    <w:rsid w:val="00881E97"/>
    <w:rsid w:val="00881EA0"/>
    <w:rsid w:val="00882116"/>
    <w:rsid w:val="0088213C"/>
    <w:rsid w:val="0088217D"/>
    <w:rsid w:val="00882194"/>
    <w:rsid w:val="008822A1"/>
    <w:rsid w:val="008824AF"/>
    <w:rsid w:val="008824C0"/>
    <w:rsid w:val="00882562"/>
    <w:rsid w:val="00882576"/>
    <w:rsid w:val="0088262A"/>
    <w:rsid w:val="0088263C"/>
    <w:rsid w:val="0088269F"/>
    <w:rsid w:val="00882745"/>
    <w:rsid w:val="0088279E"/>
    <w:rsid w:val="0088282B"/>
    <w:rsid w:val="0088290D"/>
    <w:rsid w:val="00882920"/>
    <w:rsid w:val="008829DD"/>
    <w:rsid w:val="00882A3A"/>
    <w:rsid w:val="00882AE0"/>
    <w:rsid w:val="00882B88"/>
    <w:rsid w:val="00882C17"/>
    <w:rsid w:val="00882CE1"/>
    <w:rsid w:val="00882EC0"/>
    <w:rsid w:val="00882EE9"/>
    <w:rsid w:val="0088300B"/>
    <w:rsid w:val="0088323F"/>
    <w:rsid w:val="008832E8"/>
    <w:rsid w:val="0088338B"/>
    <w:rsid w:val="008833F4"/>
    <w:rsid w:val="008834E7"/>
    <w:rsid w:val="008834F9"/>
    <w:rsid w:val="008835D5"/>
    <w:rsid w:val="008836EA"/>
    <w:rsid w:val="0088370E"/>
    <w:rsid w:val="008837C5"/>
    <w:rsid w:val="00883888"/>
    <w:rsid w:val="008838C0"/>
    <w:rsid w:val="00883ACF"/>
    <w:rsid w:val="00883C78"/>
    <w:rsid w:val="00883CEF"/>
    <w:rsid w:val="00883D0E"/>
    <w:rsid w:val="00883D24"/>
    <w:rsid w:val="00883E00"/>
    <w:rsid w:val="00883E83"/>
    <w:rsid w:val="00883F4C"/>
    <w:rsid w:val="00883F64"/>
    <w:rsid w:val="00884085"/>
    <w:rsid w:val="008840DC"/>
    <w:rsid w:val="00884148"/>
    <w:rsid w:val="008841CF"/>
    <w:rsid w:val="00884244"/>
    <w:rsid w:val="00884336"/>
    <w:rsid w:val="00884483"/>
    <w:rsid w:val="008844E6"/>
    <w:rsid w:val="00884611"/>
    <w:rsid w:val="008846A1"/>
    <w:rsid w:val="008847EE"/>
    <w:rsid w:val="00884855"/>
    <w:rsid w:val="008848E1"/>
    <w:rsid w:val="008849EC"/>
    <w:rsid w:val="00884A0F"/>
    <w:rsid w:val="00884A2E"/>
    <w:rsid w:val="00884BA2"/>
    <w:rsid w:val="00884E4A"/>
    <w:rsid w:val="00884F0E"/>
    <w:rsid w:val="00885111"/>
    <w:rsid w:val="00885190"/>
    <w:rsid w:val="0088526C"/>
    <w:rsid w:val="00885426"/>
    <w:rsid w:val="00885496"/>
    <w:rsid w:val="008854DC"/>
    <w:rsid w:val="00885555"/>
    <w:rsid w:val="0088560E"/>
    <w:rsid w:val="008856A6"/>
    <w:rsid w:val="008856C5"/>
    <w:rsid w:val="0088593B"/>
    <w:rsid w:val="00885ABB"/>
    <w:rsid w:val="00885B1C"/>
    <w:rsid w:val="00885C08"/>
    <w:rsid w:val="00885C46"/>
    <w:rsid w:val="00885DEC"/>
    <w:rsid w:val="00885F8E"/>
    <w:rsid w:val="008861F6"/>
    <w:rsid w:val="0088628D"/>
    <w:rsid w:val="00886490"/>
    <w:rsid w:val="008865A1"/>
    <w:rsid w:val="00886612"/>
    <w:rsid w:val="00886678"/>
    <w:rsid w:val="008866B8"/>
    <w:rsid w:val="0088673B"/>
    <w:rsid w:val="0088687B"/>
    <w:rsid w:val="00886995"/>
    <w:rsid w:val="00886BA7"/>
    <w:rsid w:val="00886BC4"/>
    <w:rsid w:val="00886BC5"/>
    <w:rsid w:val="00886E59"/>
    <w:rsid w:val="00887050"/>
    <w:rsid w:val="008870A2"/>
    <w:rsid w:val="00887278"/>
    <w:rsid w:val="0088738A"/>
    <w:rsid w:val="00887774"/>
    <w:rsid w:val="008877A9"/>
    <w:rsid w:val="0088788B"/>
    <w:rsid w:val="00887900"/>
    <w:rsid w:val="008879F3"/>
    <w:rsid w:val="00887A92"/>
    <w:rsid w:val="00887B14"/>
    <w:rsid w:val="00887E82"/>
    <w:rsid w:val="00887F70"/>
    <w:rsid w:val="00890016"/>
    <w:rsid w:val="00890230"/>
    <w:rsid w:val="0089026A"/>
    <w:rsid w:val="0089026B"/>
    <w:rsid w:val="008902FB"/>
    <w:rsid w:val="00890334"/>
    <w:rsid w:val="00890377"/>
    <w:rsid w:val="008903FC"/>
    <w:rsid w:val="0089046A"/>
    <w:rsid w:val="008905D9"/>
    <w:rsid w:val="008905EF"/>
    <w:rsid w:val="00890638"/>
    <w:rsid w:val="008906A9"/>
    <w:rsid w:val="008907F8"/>
    <w:rsid w:val="008908FE"/>
    <w:rsid w:val="00890AAF"/>
    <w:rsid w:val="00890B27"/>
    <w:rsid w:val="00890B6B"/>
    <w:rsid w:val="00890D2A"/>
    <w:rsid w:val="00890D9B"/>
    <w:rsid w:val="00890DE5"/>
    <w:rsid w:val="00890E6A"/>
    <w:rsid w:val="00890E8E"/>
    <w:rsid w:val="008910DC"/>
    <w:rsid w:val="00891134"/>
    <w:rsid w:val="008911F1"/>
    <w:rsid w:val="00891212"/>
    <w:rsid w:val="00891224"/>
    <w:rsid w:val="008912C3"/>
    <w:rsid w:val="008913FA"/>
    <w:rsid w:val="00891539"/>
    <w:rsid w:val="0089161E"/>
    <w:rsid w:val="00891692"/>
    <w:rsid w:val="0089174A"/>
    <w:rsid w:val="00891964"/>
    <w:rsid w:val="00891984"/>
    <w:rsid w:val="00891ACF"/>
    <w:rsid w:val="00891B33"/>
    <w:rsid w:val="00891B64"/>
    <w:rsid w:val="00891C8E"/>
    <w:rsid w:val="00891CF4"/>
    <w:rsid w:val="00891E17"/>
    <w:rsid w:val="00891EC7"/>
    <w:rsid w:val="00892040"/>
    <w:rsid w:val="00892098"/>
    <w:rsid w:val="008920A7"/>
    <w:rsid w:val="00892125"/>
    <w:rsid w:val="00892154"/>
    <w:rsid w:val="00892295"/>
    <w:rsid w:val="0089240D"/>
    <w:rsid w:val="008924A6"/>
    <w:rsid w:val="00892609"/>
    <w:rsid w:val="00892689"/>
    <w:rsid w:val="0089272F"/>
    <w:rsid w:val="0089273A"/>
    <w:rsid w:val="008927A2"/>
    <w:rsid w:val="00892886"/>
    <w:rsid w:val="00892A07"/>
    <w:rsid w:val="00892BCC"/>
    <w:rsid w:val="00892CAB"/>
    <w:rsid w:val="00892E9B"/>
    <w:rsid w:val="00892EFC"/>
    <w:rsid w:val="00893081"/>
    <w:rsid w:val="00893165"/>
    <w:rsid w:val="008934EA"/>
    <w:rsid w:val="00893728"/>
    <w:rsid w:val="008937DF"/>
    <w:rsid w:val="00893803"/>
    <w:rsid w:val="00893848"/>
    <w:rsid w:val="00893866"/>
    <w:rsid w:val="0089389D"/>
    <w:rsid w:val="008938D6"/>
    <w:rsid w:val="0089396F"/>
    <w:rsid w:val="00893B63"/>
    <w:rsid w:val="00893BA7"/>
    <w:rsid w:val="00893C87"/>
    <w:rsid w:val="00893D24"/>
    <w:rsid w:val="00893DB2"/>
    <w:rsid w:val="00893F96"/>
    <w:rsid w:val="00894051"/>
    <w:rsid w:val="00894079"/>
    <w:rsid w:val="008940CB"/>
    <w:rsid w:val="00894351"/>
    <w:rsid w:val="008943C7"/>
    <w:rsid w:val="008943D4"/>
    <w:rsid w:val="008943F8"/>
    <w:rsid w:val="008944AF"/>
    <w:rsid w:val="00894658"/>
    <w:rsid w:val="008946A8"/>
    <w:rsid w:val="00894779"/>
    <w:rsid w:val="00894881"/>
    <w:rsid w:val="00894923"/>
    <w:rsid w:val="008949D8"/>
    <w:rsid w:val="008949F3"/>
    <w:rsid w:val="00894D41"/>
    <w:rsid w:val="00894D64"/>
    <w:rsid w:val="00894D80"/>
    <w:rsid w:val="00894D9D"/>
    <w:rsid w:val="00894DBC"/>
    <w:rsid w:val="00894E75"/>
    <w:rsid w:val="00894F6E"/>
    <w:rsid w:val="00895091"/>
    <w:rsid w:val="00895434"/>
    <w:rsid w:val="00895447"/>
    <w:rsid w:val="0089557A"/>
    <w:rsid w:val="008955A5"/>
    <w:rsid w:val="00895637"/>
    <w:rsid w:val="00895690"/>
    <w:rsid w:val="0089569C"/>
    <w:rsid w:val="00895800"/>
    <w:rsid w:val="00895ADD"/>
    <w:rsid w:val="00895B46"/>
    <w:rsid w:val="00895B91"/>
    <w:rsid w:val="00895BC2"/>
    <w:rsid w:val="00895C5C"/>
    <w:rsid w:val="00895CAB"/>
    <w:rsid w:val="00895E88"/>
    <w:rsid w:val="00895F22"/>
    <w:rsid w:val="00895FCC"/>
    <w:rsid w:val="008961AF"/>
    <w:rsid w:val="008961E9"/>
    <w:rsid w:val="0089622D"/>
    <w:rsid w:val="008966D4"/>
    <w:rsid w:val="008967A1"/>
    <w:rsid w:val="00896954"/>
    <w:rsid w:val="00896AAA"/>
    <w:rsid w:val="00896ABE"/>
    <w:rsid w:val="00896AC6"/>
    <w:rsid w:val="00896B3F"/>
    <w:rsid w:val="00896BB5"/>
    <w:rsid w:val="00896BBB"/>
    <w:rsid w:val="00896C26"/>
    <w:rsid w:val="00896CB4"/>
    <w:rsid w:val="00896D6B"/>
    <w:rsid w:val="00896E32"/>
    <w:rsid w:val="00896E78"/>
    <w:rsid w:val="00896F7D"/>
    <w:rsid w:val="008972D5"/>
    <w:rsid w:val="008972ED"/>
    <w:rsid w:val="00897376"/>
    <w:rsid w:val="00897392"/>
    <w:rsid w:val="00897400"/>
    <w:rsid w:val="00897405"/>
    <w:rsid w:val="0089745D"/>
    <w:rsid w:val="008974F3"/>
    <w:rsid w:val="00897542"/>
    <w:rsid w:val="0089764E"/>
    <w:rsid w:val="008978D2"/>
    <w:rsid w:val="0089796D"/>
    <w:rsid w:val="008979A9"/>
    <w:rsid w:val="00897AA9"/>
    <w:rsid w:val="00897AFC"/>
    <w:rsid w:val="00897B96"/>
    <w:rsid w:val="00897D2F"/>
    <w:rsid w:val="00897D6D"/>
    <w:rsid w:val="00897F0E"/>
    <w:rsid w:val="00897FE2"/>
    <w:rsid w:val="00897FE3"/>
    <w:rsid w:val="008A024A"/>
    <w:rsid w:val="008A039F"/>
    <w:rsid w:val="008A047E"/>
    <w:rsid w:val="008A04C9"/>
    <w:rsid w:val="008A050E"/>
    <w:rsid w:val="008A0644"/>
    <w:rsid w:val="008A07A6"/>
    <w:rsid w:val="008A0A8F"/>
    <w:rsid w:val="008A0B74"/>
    <w:rsid w:val="008A0C26"/>
    <w:rsid w:val="008A0C53"/>
    <w:rsid w:val="008A0C57"/>
    <w:rsid w:val="008A0C93"/>
    <w:rsid w:val="008A0D7D"/>
    <w:rsid w:val="008A0FAA"/>
    <w:rsid w:val="008A1104"/>
    <w:rsid w:val="008A11AA"/>
    <w:rsid w:val="008A11F5"/>
    <w:rsid w:val="008A126F"/>
    <w:rsid w:val="008A1337"/>
    <w:rsid w:val="008A1477"/>
    <w:rsid w:val="008A151A"/>
    <w:rsid w:val="008A1564"/>
    <w:rsid w:val="008A159D"/>
    <w:rsid w:val="008A1731"/>
    <w:rsid w:val="008A17A8"/>
    <w:rsid w:val="008A18BC"/>
    <w:rsid w:val="008A19AD"/>
    <w:rsid w:val="008A19E0"/>
    <w:rsid w:val="008A1A98"/>
    <w:rsid w:val="008A1ABB"/>
    <w:rsid w:val="008A1B2F"/>
    <w:rsid w:val="008A1B97"/>
    <w:rsid w:val="008A1BF8"/>
    <w:rsid w:val="008A1C29"/>
    <w:rsid w:val="008A1C77"/>
    <w:rsid w:val="008A1D9E"/>
    <w:rsid w:val="008A1DD8"/>
    <w:rsid w:val="008A1DF5"/>
    <w:rsid w:val="008A1E77"/>
    <w:rsid w:val="008A1ECE"/>
    <w:rsid w:val="008A1FA5"/>
    <w:rsid w:val="008A20DC"/>
    <w:rsid w:val="008A21D1"/>
    <w:rsid w:val="008A21D8"/>
    <w:rsid w:val="008A2202"/>
    <w:rsid w:val="008A221E"/>
    <w:rsid w:val="008A2308"/>
    <w:rsid w:val="008A2439"/>
    <w:rsid w:val="008A25AE"/>
    <w:rsid w:val="008A2655"/>
    <w:rsid w:val="008A2681"/>
    <w:rsid w:val="008A27AE"/>
    <w:rsid w:val="008A2806"/>
    <w:rsid w:val="008A283D"/>
    <w:rsid w:val="008A2979"/>
    <w:rsid w:val="008A2A57"/>
    <w:rsid w:val="008A2C24"/>
    <w:rsid w:val="008A2CFB"/>
    <w:rsid w:val="008A2D0E"/>
    <w:rsid w:val="008A2DD6"/>
    <w:rsid w:val="008A2E98"/>
    <w:rsid w:val="008A2FC0"/>
    <w:rsid w:val="008A31E6"/>
    <w:rsid w:val="008A32A1"/>
    <w:rsid w:val="008A339C"/>
    <w:rsid w:val="008A3529"/>
    <w:rsid w:val="008A366C"/>
    <w:rsid w:val="008A36ED"/>
    <w:rsid w:val="008A38DD"/>
    <w:rsid w:val="008A392E"/>
    <w:rsid w:val="008A3D99"/>
    <w:rsid w:val="008A3DB1"/>
    <w:rsid w:val="008A3F8B"/>
    <w:rsid w:val="008A4045"/>
    <w:rsid w:val="008A4062"/>
    <w:rsid w:val="008A40C2"/>
    <w:rsid w:val="008A40D2"/>
    <w:rsid w:val="008A425D"/>
    <w:rsid w:val="008A444E"/>
    <w:rsid w:val="008A4644"/>
    <w:rsid w:val="008A46E2"/>
    <w:rsid w:val="008A4718"/>
    <w:rsid w:val="008A4747"/>
    <w:rsid w:val="008A47AC"/>
    <w:rsid w:val="008A47AE"/>
    <w:rsid w:val="008A49EF"/>
    <w:rsid w:val="008A4C4A"/>
    <w:rsid w:val="008A510D"/>
    <w:rsid w:val="008A5201"/>
    <w:rsid w:val="008A5254"/>
    <w:rsid w:val="008A5257"/>
    <w:rsid w:val="008A5293"/>
    <w:rsid w:val="008A5301"/>
    <w:rsid w:val="008A5507"/>
    <w:rsid w:val="008A55CB"/>
    <w:rsid w:val="008A5616"/>
    <w:rsid w:val="008A5637"/>
    <w:rsid w:val="008A573B"/>
    <w:rsid w:val="008A57A8"/>
    <w:rsid w:val="008A5845"/>
    <w:rsid w:val="008A5972"/>
    <w:rsid w:val="008A5A95"/>
    <w:rsid w:val="008A5B51"/>
    <w:rsid w:val="008A5C29"/>
    <w:rsid w:val="008A5C32"/>
    <w:rsid w:val="008A5DB2"/>
    <w:rsid w:val="008A5FB6"/>
    <w:rsid w:val="008A6137"/>
    <w:rsid w:val="008A6147"/>
    <w:rsid w:val="008A61F7"/>
    <w:rsid w:val="008A6449"/>
    <w:rsid w:val="008A6725"/>
    <w:rsid w:val="008A6768"/>
    <w:rsid w:val="008A677F"/>
    <w:rsid w:val="008A68C6"/>
    <w:rsid w:val="008A68C8"/>
    <w:rsid w:val="008A6ADB"/>
    <w:rsid w:val="008A6B1A"/>
    <w:rsid w:val="008A6BAE"/>
    <w:rsid w:val="008A6C9F"/>
    <w:rsid w:val="008A6CFF"/>
    <w:rsid w:val="008A6F32"/>
    <w:rsid w:val="008A7374"/>
    <w:rsid w:val="008A73E0"/>
    <w:rsid w:val="008A74CE"/>
    <w:rsid w:val="008A74E2"/>
    <w:rsid w:val="008A7592"/>
    <w:rsid w:val="008A7644"/>
    <w:rsid w:val="008A76F3"/>
    <w:rsid w:val="008A77EC"/>
    <w:rsid w:val="008A788D"/>
    <w:rsid w:val="008A7904"/>
    <w:rsid w:val="008A7A4F"/>
    <w:rsid w:val="008A7BAF"/>
    <w:rsid w:val="008A7CD9"/>
    <w:rsid w:val="008A7D95"/>
    <w:rsid w:val="008A7E67"/>
    <w:rsid w:val="008A7EE3"/>
    <w:rsid w:val="008A7F2F"/>
    <w:rsid w:val="008B0021"/>
    <w:rsid w:val="008B01F6"/>
    <w:rsid w:val="008B0221"/>
    <w:rsid w:val="008B0238"/>
    <w:rsid w:val="008B0388"/>
    <w:rsid w:val="008B04F1"/>
    <w:rsid w:val="008B0737"/>
    <w:rsid w:val="008B0741"/>
    <w:rsid w:val="008B081A"/>
    <w:rsid w:val="008B08BC"/>
    <w:rsid w:val="008B09AF"/>
    <w:rsid w:val="008B0C08"/>
    <w:rsid w:val="008B0CC8"/>
    <w:rsid w:val="008B0DB0"/>
    <w:rsid w:val="008B0FEF"/>
    <w:rsid w:val="008B1265"/>
    <w:rsid w:val="008B12E0"/>
    <w:rsid w:val="008B133E"/>
    <w:rsid w:val="008B1388"/>
    <w:rsid w:val="008B13C2"/>
    <w:rsid w:val="008B1474"/>
    <w:rsid w:val="008B14A5"/>
    <w:rsid w:val="008B15D9"/>
    <w:rsid w:val="008B15F0"/>
    <w:rsid w:val="008B165F"/>
    <w:rsid w:val="008B16D1"/>
    <w:rsid w:val="008B16F9"/>
    <w:rsid w:val="008B1762"/>
    <w:rsid w:val="008B17DF"/>
    <w:rsid w:val="008B1859"/>
    <w:rsid w:val="008B1876"/>
    <w:rsid w:val="008B18A9"/>
    <w:rsid w:val="008B1B67"/>
    <w:rsid w:val="008B1B94"/>
    <w:rsid w:val="008B1B95"/>
    <w:rsid w:val="008B1B9E"/>
    <w:rsid w:val="008B1BC2"/>
    <w:rsid w:val="008B1CC7"/>
    <w:rsid w:val="008B1CFD"/>
    <w:rsid w:val="008B1D12"/>
    <w:rsid w:val="008B20B3"/>
    <w:rsid w:val="008B22CF"/>
    <w:rsid w:val="008B23AB"/>
    <w:rsid w:val="008B2439"/>
    <w:rsid w:val="008B253C"/>
    <w:rsid w:val="008B282D"/>
    <w:rsid w:val="008B288E"/>
    <w:rsid w:val="008B2920"/>
    <w:rsid w:val="008B2A02"/>
    <w:rsid w:val="008B2BFA"/>
    <w:rsid w:val="008B2BFD"/>
    <w:rsid w:val="008B2CBA"/>
    <w:rsid w:val="008B2D22"/>
    <w:rsid w:val="008B2D85"/>
    <w:rsid w:val="008B2DE0"/>
    <w:rsid w:val="008B2E39"/>
    <w:rsid w:val="008B2F91"/>
    <w:rsid w:val="008B2FE9"/>
    <w:rsid w:val="008B3057"/>
    <w:rsid w:val="008B3082"/>
    <w:rsid w:val="008B30E6"/>
    <w:rsid w:val="008B314A"/>
    <w:rsid w:val="008B3217"/>
    <w:rsid w:val="008B333C"/>
    <w:rsid w:val="008B3388"/>
    <w:rsid w:val="008B3402"/>
    <w:rsid w:val="008B3403"/>
    <w:rsid w:val="008B3420"/>
    <w:rsid w:val="008B342E"/>
    <w:rsid w:val="008B3634"/>
    <w:rsid w:val="008B36FD"/>
    <w:rsid w:val="008B3729"/>
    <w:rsid w:val="008B3749"/>
    <w:rsid w:val="008B3896"/>
    <w:rsid w:val="008B396E"/>
    <w:rsid w:val="008B39C8"/>
    <w:rsid w:val="008B3AAE"/>
    <w:rsid w:val="008B3C04"/>
    <w:rsid w:val="008B3C4A"/>
    <w:rsid w:val="008B3C5A"/>
    <w:rsid w:val="008B3D7B"/>
    <w:rsid w:val="008B3D87"/>
    <w:rsid w:val="008B3E2A"/>
    <w:rsid w:val="008B3E5B"/>
    <w:rsid w:val="008B3FC9"/>
    <w:rsid w:val="008B4002"/>
    <w:rsid w:val="008B402B"/>
    <w:rsid w:val="008B403B"/>
    <w:rsid w:val="008B40BF"/>
    <w:rsid w:val="008B4192"/>
    <w:rsid w:val="008B44A1"/>
    <w:rsid w:val="008B49A9"/>
    <w:rsid w:val="008B4A60"/>
    <w:rsid w:val="008B4D35"/>
    <w:rsid w:val="008B4EBA"/>
    <w:rsid w:val="008B4EC4"/>
    <w:rsid w:val="008B4EFA"/>
    <w:rsid w:val="008B50D9"/>
    <w:rsid w:val="008B5146"/>
    <w:rsid w:val="008B524B"/>
    <w:rsid w:val="008B5271"/>
    <w:rsid w:val="008B5346"/>
    <w:rsid w:val="008B54E1"/>
    <w:rsid w:val="008B558F"/>
    <w:rsid w:val="008B55EC"/>
    <w:rsid w:val="008B5667"/>
    <w:rsid w:val="008B56A6"/>
    <w:rsid w:val="008B5964"/>
    <w:rsid w:val="008B5A7E"/>
    <w:rsid w:val="008B5AA6"/>
    <w:rsid w:val="008B5ABE"/>
    <w:rsid w:val="008B5C44"/>
    <w:rsid w:val="008B5FEA"/>
    <w:rsid w:val="008B61F0"/>
    <w:rsid w:val="008B6223"/>
    <w:rsid w:val="008B633C"/>
    <w:rsid w:val="008B6387"/>
    <w:rsid w:val="008B64BC"/>
    <w:rsid w:val="008B661E"/>
    <w:rsid w:val="008B6819"/>
    <w:rsid w:val="008B68F7"/>
    <w:rsid w:val="008B69DB"/>
    <w:rsid w:val="008B69FB"/>
    <w:rsid w:val="008B6B13"/>
    <w:rsid w:val="008B6C46"/>
    <w:rsid w:val="008B6CB4"/>
    <w:rsid w:val="008B6CBB"/>
    <w:rsid w:val="008B6FA7"/>
    <w:rsid w:val="008B711C"/>
    <w:rsid w:val="008B7211"/>
    <w:rsid w:val="008B745C"/>
    <w:rsid w:val="008B756E"/>
    <w:rsid w:val="008B7577"/>
    <w:rsid w:val="008B75F1"/>
    <w:rsid w:val="008B7697"/>
    <w:rsid w:val="008B76D4"/>
    <w:rsid w:val="008B7717"/>
    <w:rsid w:val="008B78D0"/>
    <w:rsid w:val="008B7B0A"/>
    <w:rsid w:val="008B7CEB"/>
    <w:rsid w:val="008B7D89"/>
    <w:rsid w:val="008B7E0E"/>
    <w:rsid w:val="008B7EE5"/>
    <w:rsid w:val="008B7FF3"/>
    <w:rsid w:val="008C0068"/>
    <w:rsid w:val="008C00C2"/>
    <w:rsid w:val="008C02B9"/>
    <w:rsid w:val="008C02D2"/>
    <w:rsid w:val="008C02DC"/>
    <w:rsid w:val="008C038C"/>
    <w:rsid w:val="008C05A2"/>
    <w:rsid w:val="008C06C5"/>
    <w:rsid w:val="008C0864"/>
    <w:rsid w:val="008C0884"/>
    <w:rsid w:val="008C088C"/>
    <w:rsid w:val="008C09D7"/>
    <w:rsid w:val="008C0CA9"/>
    <w:rsid w:val="008C0D81"/>
    <w:rsid w:val="008C0DB3"/>
    <w:rsid w:val="008C0E87"/>
    <w:rsid w:val="008C0E9D"/>
    <w:rsid w:val="008C1007"/>
    <w:rsid w:val="008C118C"/>
    <w:rsid w:val="008C11C8"/>
    <w:rsid w:val="008C1348"/>
    <w:rsid w:val="008C13A6"/>
    <w:rsid w:val="008C1575"/>
    <w:rsid w:val="008C15CE"/>
    <w:rsid w:val="008C1608"/>
    <w:rsid w:val="008C1A85"/>
    <w:rsid w:val="008C1ACD"/>
    <w:rsid w:val="008C1BB4"/>
    <w:rsid w:val="008C1C3D"/>
    <w:rsid w:val="008C1DB4"/>
    <w:rsid w:val="008C1E1F"/>
    <w:rsid w:val="008C1E74"/>
    <w:rsid w:val="008C1E8C"/>
    <w:rsid w:val="008C1F2E"/>
    <w:rsid w:val="008C2025"/>
    <w:rsid w:val="008C21FF"/>
    <w:rsid w:val="008C2234"/>
    <w:rsid w:val="008C2258"/>
    <w:rsid w:val="008C2350"/>
    <w:rsid w:val="008C2441"/>
    <w:rsid w:val="008C2483"/>
    <w:rsid w:val="008C24A4"/>
    <w:rsid w:val="008C24DE"/>
    <w:rsid w:val="008C25EC"/>
    <w:rsid w:val="008C2610"/>
    <w:rsid w:val="008C2622"/>
    <w:rsid w:val="008C2697"/>
    <w:rsid w:val="008C26B4"/>
    <w:rsid w:val="008C284D"/>
    <w:rsid w:val="008C28D6"/>
    <w:rsid w:val="008C290E"/>
    <w:rsid w:val="008C2BFB"/>
    <w:rsid w:val="008C2C32"/>
    <w:rsid w:val="008C2CE3"/>
    <w:rsid w:val="008C2DA6"/>
    <w:rsid w:val="008C2E0D"/>
    <w:rsid w:val="008C2EE3"/>
    <w:rsid w:val="008C307E"/>
    <w:rsid w:val="008C3098"/>
    <w:rsid w:val="008C30D5"/>
    <w:rsid w:val="008C3392"/>
    <w:rsid w:val="008C33A4"/>
    <w:rsid w:val="008C3478"/>
    <w:rsid w:val="008C34B6"/>
    <w:rsid w:val="008C34FE"/>
    <w:rsid w:val="008C3506"/>
    <w:rsid w:val="008C35D7"/>
    <w:rsid w:val="008C35F1"/>
    <w:rsid w:val="008C360D"/>
    <w:rsid w:val="008C36B3"/>
    <w:rsid w:val="008C36B9"/>
    <w:rsid w:val="008C3737"/>
    <w:rsid w:val="008C3800"/>
    <w:rsid w:val="008C3971"/>
    <w:rsid w:val="008C3A12"/>
    <w:rsid w:val="008C3AC9"/>
    <w:rsid w:val="008C3C11"/>
    <w:rsid w:val="008C3CAF"/>
    <w:rsid w:val="008C3CF9"/>
    <w:rsid w:val="008C4129"/>
    <w:rsid w:val="008C413C"/>
    <w:rsid w:val="008C441E"/>
    <w:rsid w:val="008C4566"/>
    <w:rsid w:val="008C463D"/>
    <w:rsid w:val="008C4835"/>
    <w:rsid w:val="008C487C"/>
    <w:rsid w:val="008C4959"/>
    <w:rsid w:val="008C4A2B"/>
    <w:rsid w:val="008C4AFB"/>
    <w:rsid w:val="008C4B4D"/>
    <w:rsid w:val="008C4B97"/>
    <w:rsid w:val="008C4BD5"/>
    <w:rsid w:val="008C4C1A"/>
    <w:rsid w:val="008C4CB9"/>
    <w:rsid w:val="008C4D01"/>
    <w:rsid w:val="008C4DC2"/>
    <w:rsid w:val="008C5041"/>
    <w:rsid w:val="008C504B"/>
    <w:rsid w:val="008C5108"/>
    <w:rsid w:val="008C5324"/>
    <w:rsid w:val="008C5388"/>
    <w:rsid w:val="008C54B9"/>
    <w:rsid w:val="008C54BE"/>
    <w:rsid w:val="008C5631"/>
    <w:rsid w:val="008C5672"/>
    <w:rsid w:val="008C591A"/>
    <w:rsid w:val="008C594D"/>
    <w:rsid w:val="008C5C19"/>
    <w:rsid w:val="008C5E1B"/>
    <w:rsid w:val="008C5F33"/>
    <w:rsid w:val="008C5FF3"/>
    <w:rsid w:val="008C6018"/>
    <w:rsid w:val="008C60AF"/>
    <w:rsid w:val="008C60D9"/>
    <w:rsid w:val="008C617B"/>
    <w:rsid w:val="008C61B7"/>
    <w:rsid w:val="008C6240"/>
    <w:rsid w:val="008C6274"/>
    <w:rsid w:val="008C63D6"/>
    <w:rsid w:val="008C6592"/>
    <w:rsid w:val="008C6613"/>
    <w:rsid w:val="008C699B"/>
    <w:rsid w:val="008C69A2"/>
    <w:rsid w:val="008C69DD"/>
    <w:rsid w:val="008C6AD7"/>
    <w:rsid w:val="008C6B40"/>
    <w:rsid w:val="008C6BF2"/>
    <w:rsid w:val="008C6CD4"/>
    <w:rsid w:val="008C6D38"/>
    <w:rsid w:val="008C6D53"/>
    <w:rsid w:val="008C6DA8"/>
    <w:rsid w:val="008C6DF4"/>
    <w:rsid w:val="008C6EC3"/>
    <w:rsid w:val="008C6ECE"/>
    <w:rsid w:val="008C6ED3"/>
    <w:rsid w:val="008C6FFC"/>
    <w:rsid w:val="008C704A"/>
    <w:rsid w:val="008C712B"/>
    <w:rsid w:val="008C72EE"/>
    <w:rsid w:val="008C731B"/>
    <w:rsid w:val="008C7657"/>
    <w:rsid w:val="008C7743"/>
    <w:rsid w:val="008C7B6C"/>
    <w:rsid w:val="008C7D6E"/>
    <w:rsid w:val="008C7DAC"/>
    <w:rsid w:val="008C7F94"/>
    <w:rsid w:val="008D0006"/>
    <w:rsid w:val="008D0069"/>
    <w:rsid w:val="008D006A"/>
    <w:rsid w:val="008D0153"/>
    <w:rsid w:val="008D0304"/>
    <w:rsid w:val="008D036E"/>
    <w:rsid w:val="008D044B"/>
    <w:rsid w:val="008D0597"/>
    <w:rsid w:val="008D06D5"/>
    <w:rsid w:val="008D074D"/>
    <w:rsid w:val="008D0762"/>
    <w:rsid w:val="008D0A53"/>
    <w:rsid w:val="008D0AC5"/>
    <w:rsid w:val="008D0C16"/>
    <w:rsid w:val="008D0CBB"/>
    <w:rsid w:val="008D0D66"/>
    <w:rsid w:val="008D0ED7"/>
    <w:rsid w:val="008D0F44"/>
    <w:rsid w:val="008D0F70"/>
    <w:rsid w:val="008D101C"/>
    <w:rsid w:val="008D1059"/>
    <w:rsid w:val="008D1154"/>
    <w:rsid w:val="008D11AD"/>
    <w:rsid w:val="008D124F"/>
    <w:rsid w:val="008D128F"/>
    <w:rsid w:val="008D129D"/>
    <w:rsid w:val="008D12E6"/>
    <w:rsid w:val="008D13A7"/>
    <w:rsid w:val="008D13EC"/>
    <w:rsid w:val="008D1462"/>
    <w:rsid w:val="008D1482"/>
    <w:rsid w:val="008D1524"/>
    <w:rsid w:val="008D1738"/>
    <w:rsid w:val="008D1801"/>
    <w:rsid w:val="008D191E"/>
    <w:rsid w:val="008D193A"/>
    <w:rsid w:val="008D1998"/>
    <w:rsid w:val="008D1A2B"/>
    <w:rsid w:val="008D1AA6"/>
    <w:rsid w:val="008D1B9C"/>
    <w:rsid w:val="008D1BB9"/>
    <w:rsid w:val="008D1DB8"/>
    <w:rsid w:val="008D1DFE"/>
    <w:rsid w:val="008D1EC3"/>
    <w:rsid w:val="008D1F31"/>
    <w:rsid w:val="008D1F48"/>
    <w:rsid w:val="008D1F7B"/>
    <w:rsid w:val="008D2092"/>
    <w:rsid w:val="008D2268"/>
    <w:rsid w:val="008D2339"/>
    <w:rsid w:val="008D24C3"/>
    <w:rsid w:val="008D254D"/>
    <w:rsid w:val="008D25DD"/>
    <w:rsid w:val="008D2735"/>
    <w:rsid w:val="008D286E"/>
    <w:rsid w:val="008D2AD6"/>
    <w:rsid w:val="008D2AF8"/>
    <w:rsid w:val="008D2BD2"/>
    <w:rsid w:val="008D2DAD"/>
    <w:rsid w:val="008D2DD5"/>
    <w:rsid w:val="008D2EB5"/>
    <w:rsid w:val="008D2F2E"/>
    <w:rsid w:val="008D2FC7"/>
    <w:rsid w:val="008D306C"/>
    <w:rsid w:val="008D3130"/>
    <w:rsid w:val="008D33DF"/>
    <w:rsid w:val="008D341F"/>
    <w:rsid w:val="008D3468"/>
    <w:rsid w:val="008D3473"/>
    <w:rsid w:val="008D34AC"/>
    <w:rsid w:val="008D34BB"/>
    <w:rsid w:val="008D35FD"/>
    <w:rsid w:val="008D369A"/>
    <w:rsid w:val="008D36F9"/>
    <w:rsid w:val="008D376F"/>
    <w:rsid w:val="008D37AB"/>
    <w:rsid w:val="008D37D0"/>
    <w:rsid w:val="008D3915"/>
    <w:rsid w:val="008D39B0"/>
    <w:rsid w:val="008D3A30"/>
    <w:rsid w:val="008D3B28"/>
    <w:rsid w:val="008D3CD8"/>
    <w:rsid w:val="008D3DE1"/>
    <w:rsid w:val="008D3FFB"/>
    <w:rsid w:val="008D405F"/>
    <w:rsid w:val="008D40BC"/>
    <w:rsid w:val="008D414F"/>
    <w:rsid w:val="008D4199"/>
    <w:rsid w:val="008D41BC"/>
    <w:rsid w:val="008D436A"/>
    <w:rsid w:val="008D43F6"/>
    <w:rsid w:val="008D444C"/>
    <w:rsid w:val="008D44CA"/>
    <w:rsid w:val="008D467E"/>
    <w:rsid w:val="008D46A6"/>
    <w:rsid w:val="008D47C4"/>
    <w:rsid w:val="008D4802"/>
    <w:rsid w:val="008D481F"/>
    <w:rsid w:val="008D485F"/>
    <w:rsid w:val="008D4862"/>
    <w:rsid w:val="008D48FD"/>
    <w:rsid w:val="008D494C"/>
    <w:rsid w:val="008D497E"/>
    <w:rsid w:val="008D4B1B"/>
    <w:rsid w:val="008D4B1D"/>
    <w:rsid w:val="008D4C41"/>
    <w:rsid w:val="008D4D3C"/>
    <w:rsid w:val="008D4F3D"/>
    <w:rsid w:val="008D5194"/>
    <w:rsid w:val="008D524D"/>
    <w:rsid w:val="008D52CC"/>
    <w:rsid w:val="008D5320"/>
    <w:rsid w:val="008D53D9"/>
    <w:rsid w:val="008D5401"/>
    <w:rsid w:val="008D5483"/>
    <w:rsid w:val="008D5502"/>
    <w:rsid w:val="008D5621"/>
    <w:rsid w:val="008D56A0"/>
    <w:rsid w:val="008D56CB"/>
    <w:rsid w:val="008D56FA"/>
    <w:rsid w:val="008D57E2"/>
    <w:rsid w:val="008D5881"/>
    <w:rsid w:val="008D5A00"/>
    <w:rsid w:val="008D5A36"/>
    <w:rsid w:val="008D5AA8"/>
    <w:rsid w:val="008D5B16"/>
    <w:rsid w:val="008D5BF0"/>
    <w:rsid w:val="008D5C7F"/>
    <w:rsid w:val="008D5EA5"/>
    <w:rsid w:val="008D5EE7"/>
    <w:rsid w:val="008D6142"/>
    <w:rsid w:val="008D6170"/>
    <w:rsid w:val="008D61B5"/>
    <w:rsid w:val="008D6339"/>
    <w:rsid w:val="008D64FD"/>
    <w:rsid w:val="008D659E"/>
    <w:rsid w:val="008D66F7"/>
    <w:rsid w:val="008D6951"/>
    <w:rsid w:val="008D6CC2"/>
    <w:rsid w:val="008D6CCF"/>
    <w:rsid w:val="008D6F2C"/>
    <w:rsid w:val="008D7161"/>
    <w:rsid w:val="008D7164"/>
    <w:rsid w:val="008D716E"/>
    <w:rsid w:val="008D729E"/>
    <w:rsid w:val="008D72DE"/>
    <w:rsid w:val="008D72FF"/>
    <w:rsid w:val="008D78A8"/>
    <w:rsid w:val="008D78AA"/>
    <w:rsid w:val="008D7A4C"/>
    <w:rsid w:val="008D7AFC"/>
    <w:rsid w:val="008D7B3E"/>
    <w:rsid w:val="008D7CB7"/>
    <w:rsid w:val="008D7D3D"/>
    <w:rsid w:val="008D7D57"/>
    <w:rsid w:val="008D7D59"/>
    <w:rsid w:val="008D7E05"/>
    <w:rsid w:val="008D7E0D"/>
    <w:rsid w:val="008D7E17"/>
    <w:rsid w:val="008D7EAE"/>
    <w:rsid w:val="008D7F83"/>
    <w:rsid w:val="008E013D"/>
    <w:rsid w:val="008E01C1"/>
    <w:rsid w:val="008E030A"/>
    <w:rsid w:val="008E030F"/>
    <w:rsid w:val="008E03B9"/>
    <w:rsid w:val="008E03DB"/>
    <w:rsid w:val="008E0713"/>
    <w:rsid w:val="008E078F"/>
    <w:rsid w:val="008E07A4"/>
    <w:rsid w:val="008E0843"/>
    <w:rsid w:val="008E08CA"/>
    <w:rsid w:val="008E097E"/>
    <w:rsid w:val="008E0A4C"/>
    <w:rsid w:val="008E0A69"/>
    <w:rsid w:val="008E0C48"/>
    <w:rsid w:val="008E0D8A"/>
    <w:rsid w:val="008E0E6B"/>
    <w:rsid w:val="008E0ED6"/>
    <w:rsid w:val="008E0FA4"/>
    <w:rsid w:val="008E0FCD"/>
    <w:rsid w:val="008E1086"/>
    <w:rsid w:val="008E109D"/>
    <w:rsid w:val="008E10E2"/>
    <w:rsid w:val="008E10FD"/>
    <w:rsid w:val="008E1238"/>
    <w:rsid w:val="008E1311"/>
    <w:rsid w:val="008E1360"/>
    <w:rsid w:val="008E13C9"/>
    <w:rsid w:val="008E142F"/>
    <w:rsid w:val="008E1441"/>
    <w:rsid w:val="008E14E7"/>
    <w:rsid w:val="008E1504"/>
    <w:rsid w:val="008E1538"/>
    <w:rsid w:val="008E15EC"/>
    <w:rsid w:val="008E177D"/>
    <w:rsid w:val="008E1877"/>
    <w:rsid w:val="008E1A31"/>
    <w:rsid w:val="008E1AD3"/>
    <w:rsid w:val="008E1B11"/>
    <w:rsid w:val="008E1DC8"/>
    <w:rsid w:val="008E1DCC"/>
    <w:rsid w:val="008E1F21"/>
    <w:rsid w:val="008E1F34"/>
    <w:rsid w:val="008E2122"/>
    <w:rsid w:val="008E2405"/>
    <w:rsid w:val="008E24EC"/>
    <w:rsid w:val="008E2578"/>
    <w:rsid w:val="008E276F"/>
    <w:rsid w:val="008E27C5"/>
    <w:rsid w:val="008E27F3"/>
    <w:rsid w:val="008E2850"/>
    <w:rsid w:val="008E2851"/>
    <w:rsid w:val="008E285D"/>
    <w:rsid w:val="008E2865"/>
    <w:rsid w:val="008E2974"/>
    <w:rsid w:val="008E2A46"/>
    <w:rsid w:val="008E2B8B"/>
    <w:rsid w:val="008E2C67"/>
    <w:rsid w:val="008E2C7E"/>
    <w:rsid w:val="008E2CD9"/>
    <w:rsid w:val="008E2D6D"/>
    <w:rsid w:val="008E2FCD"/>
    <w:rsid w:val="008E3036"/>
    <w:rsid w:val="008E3049"/>
    <w:rsid w:val="008E318C"/>
    <w:rsid w:val="008E325F"/>
    <w:rsid w:val="008E331F"/>
    <w:rsid w:val="008E3369"/>
    <w:rsid w:val="008E33F3"/>
    <w:rsid w:val="008E3607"/>
    <w:rsid w:val="008E3615"/>
    <w:rsid w:val="008E36C0"/>
    <w:rsid w:val="008E3741"/>
    <w:rsid w:val="008E374F"/>
    <w:rsid w:val="008E39D4"/>
    <w:rsid w:val="008E39F1"/>
    <w:rsid w:val="008E3A21"/>
    <w:rsid w:val="008E3A87"/>
    <w:rsid w:val="008E3B8E"/>
    <w:rsid w:val="008E3B9D"/>
    <w:rsid w:val="008E3BBD"/>
    <w:rsid w:val="008E3C3B"/>
    <w:rsid w:val="008E3C77"/>
    <w:rsid w:val="008E3CFB"/>
    <w:rsid w:val="008E3D1B"/>
    <w:rsid w:val="008E3D54"/>
    <w:rsid w:val="008E3FE4"/>
    <w:rsid w:val="008E4063"/>
    <w:rsid w:val="008E4212"/>
    <w:rsid w:val="008E42CF"/>
    <w:rsid w:val="008E43C0"/>
    <w:rsid w:val="008E443D"/>
    <w:rsid w:val="008E4528"/>
    <w:rsid w:val="008E452E"/>
    <w:rsid w:val="008E4689"/>
    <w:rsid w:val="008E469F"/>
    <w:rsid w:val="008E46C1"/>
    <w:rsid w:val="008E492D"/>
    <w:rsid w:val="008E4A65"/>
    <w:rsid w:val="008E4B5D"/>
    <w:rsid w:val="008E4BE1"/>
    <w:rsid w:val="008E4CE2"/>
    <w:rsid w:val="008E510B"/>
    <w:rsid w:val="008E525B"/>
    <w:rsid w:val="008E5347"/>
    <w:rsid w:val="008E5464"/>
    <w:rsid w:val="008E548B"/>
    <w:rsid w:val="008E54BA"/>
    <w:rsid w:val="008E5550"/>
    <w:rsid w:val="008E561F"/>
    <w:rsid w:val="008E5844"/>
    <w:rsid w:val="008E5895"/>
    <w:rsid w:val="008E590F"/>
    <w:rsid w:val="008E597E"/>
    <w:rsid w:val="008E5B20"/>
    <w:rsid w:val="008E5C74"/>
    <w:rsid w:val="008E5E1C"/>
    <w:rsid w:val="008E5E71"/>
    <w:rsid w:val="008E5F3A"/>
    <w:rsid w:val="008E6079"/>
    <w:rsid w:val="008E609F"/>
    <w:rsid w:val="008E6123"/>
    <w:rsid w:val="008E6308"/>
    <w:rsid w:val="008E6396"/>
    <w:rsid w:val="008E656A"/>
    <w:rsid w:val="008E664C"/>
    <w:rsid w:val="008E6674"/>
    <w:rsid w:val="008E6691"/>
    <w:rsid w:val="008E66DF"/>
    <w:rsid w:val="008E692D"/>
    <w:rsid w:val="008E6B38"/>
    <w:rsid w:val="008E6B5A"/>
    <w:rsid w:val="008E6CEF"/>
    <w:rsid w:val="008E6D95"/>
    <w:rsid w:val="008E6E84"/>
    <w:rsid w:val="008E6F1F"/>
    <w:rsid w:val="008E6F4D"/>
    <w:rsid w:val="008E6F5C"/>
    <w:rsid w:val="008E6FD7"/>
    <w:rsid w:val="008E70F6"/>
    <w:rsid w:val="008E7155"/>
    <w:rsid w:val="008E7233"/>
    <w:rsid w:val="008E7238"/>
    <w:rsid w:val="008E7239"/>
    <w:rsid w:val="008E730A"/>
    <w:rsid w:val="008E7364"/>
    <w:rsid w:val="008E73D9"/>
    <w:rsid w:val="008E748A"/>
    <w:rsid w:val="008E765B"/>
    <w:rsid w:val="008E77B6"/>
    <w:rsid w:val="008E77F8"/>
    <w:rsid w:val="008E781F"/>
    <w:rsid w:val="008E7908"/>
    <w:rsid w:val="008E79CD"/>
    <w:rsid w:val="008E79FF"/>
    <w:rsid w:val="008E7B08"/>
    <w:rsid w:val="008E7CC9"/>
    <w:rsid w:val="008E7D30"/>
    <w:rsid w:val="008E7EEE"/>
    <w:rsid w:val="008E7F64"/>
    <w:rsid w:val="008F019B"/>
    <w:rsid w:val="008F0313"/>
    <w:rsid w:val="008F041C"/>
    <w:rsid w:val="008F042F"/>
    <w:rsid w:val="008F04CC"/>
    <w:rsid w:val="008F0587"/>
    <w:rsid w:val="008F05AD"/>
    <w:rsid w:val="008F0628"/>
    <w:rsid w:val="008F080E"/>
    <w:rsid w:val="008F0851"/>
    <w:rsid w:val="008F0855"/>
    <w:rsid w:val="008F089E"/>
    <w:rsid w:val="008F097D"/>
    <w:rsid w:val="008F0B23"/>
    <w:rsid w:val="008F0BA1"/>
    <w:rsid w:val="008F0C3E"/>
    <w:rsid w:val="008F0EA3"/>
    <w:rsid w:val="008F0F4D"/>
    <w:rsid w:val="008F1187"/>
    <w:rsid w:val="008F1230"/>
    <w:rsid w:val="008F12FD"/>
    <w:rsid w:val="008F140A"/>
    <w:rsid w:val="008F1419"/>
    <w:rsid w:val="008F1469"/>
    <w:rsid w:val="008F156F"/>
    <w:rsid w:val="008F15C8"/>
    <w:rsid w:val="008F1607"/>
    <w:rsid w:val="008F178C"/>
    <w:rsid w:val="008F17AA"/>
    <w:rsid w:val="008F182F"/>
    <w:rsid w:val="008F18EA"/>
    <w:rsid w:val="008F1904"/>
    <w:rsid w:val="008F19FC"/>
    <w:rsid w:val="008F1ACD"/>
    <w:rsid w:val="008F1B70"/>
    <w:rsid w:val="008F1C6A"/>
    <w:rsid w:val="008F1CC1"/>
    <w:rsid w:val="008F1E47"/>
    <w:rsid w:val="008F1EA1"/>
    <w:rsid w:val="008F1EAE"/>
    <w:rsid w:val="008F1F99"/>
    <w:rsid w:val="008F202B"/>
    <w:rsid w:val="008F20A6"/>
    <w:rsid w:val="008F2262"/>
    <w:rsid w:val="008F2282"/>
    <w:rsid w:val="008F24D6"/>
    <w:rsid w:val="008F2529"/>
    <w:rsid w:val="008F25BC"/>
    <w:rsid w:val="008F25CD"/>
    <w:rsid w:val="008F2646"/>
    <w:rsid w:val="008F2690"/>
    <w:rsid w:val="008F27EF"/>
    <w:rsid w:val="008F2880"/>
    <w:rsid w:val="008F2A3C"/>
    <w:rsid w:val="008F2A6E"/>
    <w:rsid w:val="008F2B24"/>
    <w:rsid w:val="008F2B8B"/>
    <w:rsid w:val="008F2DB3"/>
    <w:rsid w:val="008F309E"/>
    <w:rsid w:val="008F3130"/>
    <w:rsid w:val="008F316E"/>
    <w:rsid w:val="008F3205"/>
    <w:rsid w:val="008F3272"/>
    <w:rsid w:val="008F335E"/>
    <w:rsid w:val="008F33A7"/>
    <w:rsid w:val="008F33D0"/>
    <w:rsid w:val="008F34E6"/>
    <w:rsid w:val="008F3552"/>
    <w:rsid w:val="008F355D"/>
    <w:rsid w:val="008F3591"/>
    <w:rsid w:val="008F35BD"/>
    <w:rsid w:val="008F3665"/>
    <w:rsid w:val="008F3749"/>
    <w:rsid w:val="008F37AA"/>
    <w:rsid w:val="008F38D9"/>
    <w:rsid w:val="008F3944"/>
    <w:rsid w:val="008F3970"/>
    <w:rsid w:val="008F3AB2"/>
    <w:rsid w:val="008F3B46"/>
    <w:rsid w:val="008F3BC6"/>
    <w:rsid w:val="008F3C79"/>
    <w:rsid w:val="008F3EAD"/>
    <w:rsid w:val="008F3F2B"/>
    <w:rsid w:val="008F42ED"/>
    <w:rsid w:val="008F45AD"/>
    <w:rsid w:val="008F45C8"/>
    <w:rsid w:val="008F4604"/>
    <w:rsid w:val="008F467B"/>
    <w:rsid w:val="008F4684"/>
    <w:rsid w:val="008F475C"/>
    <w:rsid w:val="008F48B8"/>
    <w:rsid w:val="008F498C"/>
    <w:rsid w:val="008F4D2B"/>
    <w:rsid w:val="008F4D9F"/>
    <w:rsid w:val="008F4DB5"/>
    <w:rsid w:val="008F4E25"/>
    <w:rsid w:val="008F4E39"/>
    <w:rsid w:val="008F4E96"/>
    <w:rsid w:val="008F4FF2"/>
    <w:rsid w:val="008F5116"/>
    <w:rsid w:val="008F51F5"/>
    <w:rsid w:val="008F53CB"/>
    <w:rsid w:val="008F5457"/>
    <w:rsid w:val="008F546B"/>
    <w:rsid w:val="008F552C"/>
    <w:rsid w:val="008F559A"/>
    <w:rsid w:val="008F560A"/>
    <w:rsid w:val="008F5660"/>
    <w:rsid w:val="008F56F9"/>
    <w:rsid w:val="008F5774"/>
    <w:rsid w:val="008F57B9"/>
    <w:rsid w:val="008F57C7"/>
    <w:rsid w:val="008F5896"/>
    <w:rsid w:val="008F5932"/>
    <w:rsid w:val="008F5D75"/>
    <w:rsid w:val="008F5EC8"/>
    <w:rsid w:val="008F5F5A"/>
    <w:rsid w:val="008F5F7E"/>
    <w:rsid w:val="008F5FCB"/>
    <w:rsid w:val="008F5FD5"/>
    <w:rsid w:val="008F6065"/>
    <w:rsid w:val="008F60A6"/>
    <w:rsid w:val="008F61C9"/>
    <w:rsid w:val="008F6203"/>
    <w:rsid w:val="008F626B"/>
    <w:rsid w:val="008F658D"/>
    <w:rsid w:val="008F66CB"/>
    <w:rsid w:val="008F6AF8"/>
    <w:rsid w:val="008F6B0F"/>
    <w:rsid w:val="008F6BAF"/>
    <w:rsid w:val="008F6C11"/>
    <w:rsid w:val="008F6C4A"/>
    <w:rsid w:val="008F6EC2"/>
    <w:rsid w:val="008F6FAE"/>
    <w:rsid w:val="008F70C5"/>
    <w:rsid w:val="008F715E"/>
    <w:rsid w:val="008F7183"/>
    <w:rsid w:val="008F72A8"/>
    <w:rsid w:val="008F7528"/>
    <w:rsid w:val="008F75D6"/>
    <w:rsid w:val="008F7641"/>
    <w:rsid w:val="008F77D7"/>
    <w:rsid w:val="008F780E"/>
    <w:rsid w:val="008F7819"/>
    <w:rsid w:val="008F788A"/>
    <w:rsid w:val="008F78A4"/>
    <w:rsid w:val="008F7A6B"/>
    <w:rsid w:val="008F7AC1"/>
    <w:rsid w:val="008F7C7B"/>
    <w:rsid w:val="008F7CBE"/>
    <w:rsid w:val="008F7D37"/>
    <w:rsid w:val="008F7EA6"/>
    <w:rsid w:val="008F7F22"/>
    <w:rsid w:val="008F7F7B"/>
    <w:rsid w:val="008F7FFB"/>
    <w:rsid w:val="009000F5"/>
    <w:rsid w:val="00900292"/>
    <w:rsid w:val="00900408"/>
    <w:rsid w:val="00900415"/>
    <w:rsid w:val="00900448"/>
    <w:rsid w:val="00900555"/>
    <w:rsid w:val="0090060C"/>
    <w:rsid w:val="00900699"/>
    <w:rsid w:val="0090083C"/>
    <w:rsid w:val="00900945"/>
    <w:rsid w:val="00900959"/>
    <w:rsid w:val="00900AC8"/>
    <w:rsid w:val="00900B88"/>
    <w:rsid w:val="00900C50"/>
    <w:rsid w:val="00900E50"/>
    <w:rsid w:val="00900E69"/>
    <w:rsid w:val="00900F94"/>
    <w:rsid w:val="009010AD"/>
    <w:rsid w:val="009012F3"/>
    <w:rsid w:val="0090141A"/>
    <w:rsid w:val="009014AA"/>
    <w:rsid w:val="009014B4"/>
    <w:rsid w:val="009014D2"/>
    <w:rsid w:val="00901559"/>
    <w:rsid w:val="009015B6"/>
    <w:rsid w:val="009017F3"/>
    <w:rsid w:val="009018B3"/>
    <w:rsid w:val="00901A84"/>
    <w:rsid w:val="00901B91"/>
    <w:rsid w:val="00901BFA"/>
    <w:rsid w:val="00901E94"/>
    <w:rsid w:val="00901F2C"/>
    <w:rsid w:val="00902047"/>
    <w:rsid w:val="009020E2"/>
    <w:rsid w:val="009021E1"/>
    <w:rsid w:val="0090225E"/>
    <w:rsid w:val="009023AC"/>
    <w:rsid w:val="00902435"/>
    <w:rsid w:val="00902451"/>
    <w:rsid w:val="00902662"/>
    <w:rsid w:val="00902782"/>
    <w:rsid w:val="00902947"/>
    <w:rsid w:val="00902A00"/>
    <w:rsid w:val="00902AC4"/>
    <w:rsid w:val="00902B18"/>
    <w:rsid w:val="00902BBB"/>
    <w:rsid w:val="00902C87"/>
    <w:rsid w:val="00902D48"/>
    <w:rsid w:val="00902E51"/>
    <w:rsid w:val="00902EF5"/>
    <w:rsid w:val="00902F64"/>
    <w:rsid w:val="00902FA0"/>
    <w:rsid w:val="00902FAA"/>
    <w:rsid w:val="00903001"/>
    <w:rsid w:val="00903052"/>
    <w:rsid w:val="009030C2"/>
    <w:rsid w:val="00903231"/>
    <w:rsid w:val="0090325E"/>
    <w:rsid w:val="0090327B"/>
    <w:rsid w:val="009032BF"/>
    <w:rsid w:val="00903332"/>
    <w:rsid w:val="00903333"/>
    <w:rsid w:val="00903469"/>
    <w:rsid w:val="00903587"/>
    <w:rsid w:val="00903763"/>
    <w:rsid w:val="009037B8"/>
    <w:rsid w:val="009037D8"/>
    <w:rsid w:val="00903806"/>
    <w:rsid w:val="0090388B"/>
    <w:rsid w:val="00903932"/>
    <w:rsid w:val="00903CAF"/>
    <w:rsid w:val="00903D38"/>
    <w:rsid w:val="00903DC4"/>
    <w:rsid w:val="00903E73"/>
    <w:rsid w:val="00903E9C"/>
    <w:rsid w:val="00903EAB"/>
    <w:rsid w:val="00903F04"/>
    <w:rsid w:val="0090405E"/>
    <w:rsid w:val="009040B0"/>
    <w:rsid w:val="009040EC"/>
    <w:rsid w:val="0090414D"/>
    <w:rsid w:val="00904192"/>
    <w:rsid w:val="009041A7"/>
    <w:rsid w:val="00904252"/>
    <w:rsid w:val="0090435E"/>
    <w:rsid w:val="00904813"/>
    <w:rsid w:val="00904843"/>
    <w:rsid w:val="009048B9"/>
    <w:rsid w:val="009048D6"/>
    <w:rsid w:val="00904A5A"/>
    <w:rsid w:val="00904CDF"/>
    <w:rsid w:val="00904F5A"/>
    <w:rsid w:val="009050D0"/>
    <w:rsid w:val="00905214"/>
    <w:rsid w:val="009052FD"/>
    <w:rsid w:val="00905522"/>
    <w:rsid w:val="009055C6"/>
    <w:rsid w:val="00905629"/>
    <w:rsid w:val="00905704"/>
    <w:rsid w:val="009058E0"/>
    <w:rsid w:val="00905A44"/>
    <w:rsid w:val="00905EBF"/>
    <w:rsid w:val="00905FC7"/>
    <w:rsid w:val="0090605F"/>
    <w:rsid w:val="00906102"/>
    <w:rsid w:val="00906199"/>
    <w:rsid w:val="0090619F"/>
    <w:rsid w:val="00906287"/>
    <w:rsid w:val="009063A8"/>
    <w:rsid w:val="009063DD"/>
    <w:rsid w:val="0090661B"/>
    <w:rsid w:val="0090664E"/>
    <w:rsid w:val="00906671"/>
    <w:rsid w:val="009066D7"/>
    <w:rsid w:val="00906762"/>
    <w:rsid w:val="0090683A"/>
    <w:rsid w:val="00906877"/>
    <w:rsid w:val="00906C16"/>
    <w:rsid w:val="00906C29"/>
    <w:rsid w:val="00906CDF"/>
    <w:rsid w:val="00906E1B"/>
    <w:rsid w:val="00906E69"/>
    <w:rsid w:val="00906EFF"/>
    <w:rsid w:val="00906FF2"/>
    <w:rsid w:val="0090709E"/>
    <w:rsid w:val="00907107"/>
    <w:rsid w:val="0090711C"/>
    <w:rsid w:val="00907182"/>
    <w:rsid w:val="00907315"/>
    <w:rsid w:val="00907319"/>
    <w:rsid w:val="00907381"/>
    <w:rsid w:val="009074BF"/>
    <w:rsid w:val="00907595"/>
    <w:rsid w:val="00907722"/>
    <w:rsid w:val="00907807"/>
    <w:rsid w:val="009078AF"/>
    <w:rsid w:val="00907ABD"/>
    <w:rsid w:val="00907B5C"/>
    <w:rsid w:val="00907B90"/>
    <w:rsid w:val="00907C26"/>
    <w:rsid w:val="00907C7C"/>
    <w:rsid w:val="00907CDF"/>
    <w:rsid w:val="00907F77"/>
    <w:rsid w:val="00907FC2"/>
    <w:rsid w:val="00910037"/>
    <w:rsid w:val="00910144"/>
    <w:rsid w:val="00910217"/>
    <w:rsid w:val="0091045A"/>
    <w:rsid w:val="00910460"/>
    <w:rsid w:val="0091065E"/>
    <w:rsid w:val="00910662"/>
    <w:rsid w:val="0091073D"/>
    <w:rsid w:val="00910766"/>
    <w:rsid w:val="009107FC"/>
    <w:rsid w:val="0091082B"/>
    <w:rsid w:val="009108C7"/>
    <w:rsid w:val="009109A9"/>
    <w:rsid w:val="00910A40"/>
    <w:rsid w:val="00910BDE"/>
    <w:rsid w:val="00910BFB"/>
    <w:rsid w:val="00910D3A"/>
    <w:rsid w:val="00910E50"/>
    <w:rsid w:val="00910EA3"/>
    <w:rsid w:val="00910F3E"/>
    <w:rsid w:val="009110C4"/>
    <w:rsid w:val="009110EE"/>
    <w:rsid w:val="00911134"/>
    <w:rsid w:val="00911145"/>
    <w:rsid w:val="00911163"/>
    <w:rsid w:val="00911199"/>
    <w:rsid w:val="00911281"/>
    <w:rsid w:val="009112A8"/>
    <w:rsid w:val="009112FA"/>
    <w:rsid w:val="0091148C"/>
    <w:rsid w:val="009114DC"/>
    <w:rsid w:val="00911550"/>
    <w:rsid w:val="00911560"/>
    <w:rsid w:val="009117A8"/>
    <w:rsid w:val="00911820"/>
    <w:rsid w:val="00911AD4"/>
    <w:rsid w:val="00911DB9"/>
    <w:rsid w:val="00911F03"/>
    <w:rsid w:val="00911F45"/>
    <w:rsid w:val="00911FA4"/>
    <w:rsid w:val="00911FEF"/>
    <w:rsid w:val="00912002"/>
    <w:rsid w:val="0091201F"/>
    <w:rsid w:val="00912072"/>
    <w:rsid w:val="009120C1"/>
    <w:rsid w:val="00912175"/>
    <w:rsid w:val="0091219B"/>
    <w:rsid w:val="009121B9"/>
    <w:rsid w:val="00912239"/>
    <w:rsid w:val="009122B7"/>
    <w:rsid w:val="00912302"/>
    <w:rsid w:val="0091233D"/>
    <w:rsid w:val="00912357"/>
    <w:rsid w:val="009123AA"/>
    <w:rsid w:val="0091240C"/>
    <w:rsid w:val="0091246F"/>
    <w:rsid w:val="00912630"/>
    <w:rsid w:val="0091268A"/>
    <w:rsid w:val="009126A3"/>
    <w:rsid w:val="009127D7"/>
    <w:rsid w:val="009128FF"/>
    <w:rsid w:val="00912A31"/>
    <w:rsid w:val="00912A9F"/>
    <w:rsid w:val="00912B52"/>
    <w:rsid w:val="00912C28"/>
    <w:rsid w:val="00912C91"/>
    <w:rsid w:val="00912CAD"/>
    <w:rsid w:val="00912CF5"/>
    <w:rsid w:val="00912E24"/>
    <w:rsid w:val="00912F80"/>
    <w:rsid w:val="00912FA7"/>
    <w:rsid w:val="00912FBC"/>
    <w:rsid w:val="0091301C"/>
    <w:rsid w:val="00913032"/>
    <w:rsid w:val="00913035"/>
    <w:rsid w:val="009130CE"/>
    <w:rsid w:val="00913154"/>
    <w:rsid w:val="0091322D"/>
    <w:rsid w:val="00913536"/>
    <w:rsid w:val="00913688"/>
    <w:rsid w:val="009136C0"/>
    <w:rsid w:val="00913756"/>
    <w:rsid w:val="00913770"/>
    <w:rsid w:val="0091384E"/>
    <w:rsid w:val="009138DC"/>
    <w:rsid w:val="00913924"/>
    <w:rsid w:val="00913991"/>
    <w:rsid w:val="009139FF"/>
    <w:rsid w:val="00913A00"/>
    <w:rsid w:val="00913A85"/>
    <w:rsid w:val="00913B24"/>
    <w:rsid w:val="00913D4E"/>
    <w:rsid w:val="00913E0A"/>
    <w:rsid w:val="00913F0C"/>
    <w:rsid w:val="00913F32"/>
    <w:rsid w:val="009140F7"/>
    <w:rsid w:val="00914107"/>
    <w:rsid w:val="0091417F"/>
    <w:rsid w:val="009142E7"/>
    <w:rsid w:val="009142FF"/>
    <w:rsid w:val="0091432E"/>
    <w:rsid w:val="00914397"/>
    <w:rsid w:val="0091466E"/>
    <w:rsid w:val="0091469F"/>
    <w:rsid w:val="009146CD"/>
    <w:rsid w:val="0091472B"/>
    <w:rsid w:val="00914734"/>
    <w:rsid w:val="0091477E"/>
    <w:rsid w:val="009147AA"/>
    <w:rsid w:val="0091487D"/>
    <w:rsid w:val="009148AD"/>
    <w:rsid w:val="00914A7A"/>
    <w:rsid w:val="00914ADF"/>
    <w:rsid w:val="00914B76"/>
    <w:rsid w:val="00914B87"/>
    <w:rsid w:val="00914C58"/>
    <w:rsid w:val="00914E10"/>
    <w:rsid w:val="00914E54"/>
    <w:rsid w:val="00914EA7"/>
    <w:rsid w:val="00914F79"/>
    <w:rsid w:val="00914FF0"/>
    <w:rsid w:val="009150E3"/>
    <w:rsid w:val="00915289"/>
    <w:rsid w:val="009153E9"/>
    <w:rsid w:val="0091540F"/>
    <w:rsid w:val="0091546B"/>
    <w:rsid w:val="00915481"/>
    <w:rsid w:val="009154E2"/>
    <w:rsid w:val="009155A5"/>
    <w:rsid w:val="00915647"/>
    <w:rsid w:val="00915710"/>
    <w:rsid w:val="00915785"/>
    <w:rsid w:val="009157A6"/>
    <w:rsid w:val="00915817"/>
    <w:rsid w:val="009159AF"/>
    <w:rsid w:val="009159FB"/>
    <w:rsid w:val="00915B88"/>
    <w:rsid w:val="00915C21"/>
    <w:rsid w:val="00915C60"/>
    <w:rsid w:val="00915C8E"/>
    <w:rsid w:val="00915CBF"/>
    <w:rsid w:val="00915CE6"/>
    <w:rsid w:val="00915D9D"/>
    <w:rsid w:val="00915E1C"/>
    <w:rsid w:val="00915EA6"/>
    <w:rsid w:val="0091621D"/>
    <w:rsid w:val="009162AE"/>
    <w:rsid w:val="0091636B"/>
    <w:rsid w:val="009163B1"/>
    <w:rsid w:val="009164CB"/>
    <w:rsid w:val="009165E3"/>
    <w:rsid w:val="0091678F"/>
    <w:rsid w:val="009167EA"/>
    <w:rsid w:val="0091680C"/>
    <w:rsid w:val="00916856"/>
    <w:rsid w:val="009168BA"/>
    <w:rsid w:val="009168BD"/>
    <w:rsid w:val="009168EB"/>
    <w:rsid w:val="009169CA"/>
    <w:rsid w:val="00916BC4"/>
    <w:rsid w:val="00916C43"/>
    <w:rsid w:val="00916CF6"/>
    <w:rsid w:val="00916E3B"/>
    <w:rsid w:val="00916F50"/>
    <w:rsid w:val="00916FDC"/>
    <w:rsid w:val="00917032"/>
    <w:rsid w:val="00917398"/>
    <w:rsid w:val="0091747C"/>
    <w:rsid w:val="0091751F"/>
    <w:rsid w:val="0091752C"/>
    <w:rsid w:val="00917600"/>
    <w:rsid w:val="00917602"/>
    <w:rsid w:val="00917606"/>
    <w:rsid w:val="00917609"/>
    <w:rsid w:val="009176F8"/>
    <w:rsid w:val="00917704"/>
    <w:rsid w:val="009178FB"/>
    <w:rsid w:val="009179AF"/>
    <w:rsid w:val="00917C92"/>
    <w:rsid w:val="00917CE1"/>
    <w:rsid w:val="00917D05"/>
    <w:rsid w:val="00917D48"/>
    <w:rsid w:val="00917D61"/>
    <w:rsid w:val="00917E3A"/>
    <w:rsid w:val="00917F06"/>
    <w:rsid w:val="00917FCC"/>
    <w:rsid w:val="009200E7"/>
    <w:rsid w:val="00920164"/>
    <w:rsid w:val="00920180"/>
    <w:rsid w:val="00920213"/>
    <w:rsid w:val="0092021A"/>
    <w:rsid w:val="009202A4"/>
    <w:rsid w:val="00920331"/>
    <w:rsid w:val="0092048D"/>
    <w:rsid w:val="009204F3"/>
    <w:rsid w:val="00920712"/>
    <w:rsid w:val="00920823"/>
    <w:rsid w:val="0092090B"/>
    <w:rsid w:val="009209E1"/>
    <w:rsid w:val="00920B7C"/>
    <w:rsid w:val="00920CA1"/>
    <w:rsid w:val="00920D6F"/>
    <w:rsid w:val="00920E17"/>
    <w:rsid w:val="00920E2C"/>
    <w:rsid w:val="00921015"/>
    <w:rsid w:val="00921039"/>
    <w:rsid w:val="0092105C"/>
    <w:rsid w:val="009210B0"/>
    <w:rsid w:val="00921203"/>
    <w:rsid w:val="0092120B"/>
    <w:rsid w:val="00921357"/>
    <w:rsid w:val="00921403"/>
    <w:rsid w:val="00921513"/>
    <w:rsid w:val="009215D9"/>
    <w:rsid w:val="009215F0"/>
    <w:rsid w:val="009216CF"/>
    <w:rsid w:val="00921985"/>
    <w:rsid w:val="00921A76"/>
    <w:rsid w:val="00921B56"/>
    <w:rsid w:val="00921CD6"/>
    <w:rsid w:val="00921E62"/>
    <w:rsid w:val="00921E89"/>
    <w:rsid w:val="00921EAB"/>
    <w:rsid w:val="00921EAD"/>
    <w:rsid w:val="00921EF9"/>
    <w:rsid w:val="00921F81"/>
    <w:rsid w:val="009220B7"/>
    <w:rsid w:val="009220F6"/>
    <w:rsid w:val="0092210B"/>
    <w:rsid w:val="00922137"/>
    <w:rsid w:val="00922249"/>
    <w:rsid w:val="00922269"/>
    <w:rsid w:val="00922280"/>
    <w:rsid w:val="00922412"/>
    <w:rsid w:val="00922437"/>
    <w:rsid w:val="00922538"/>
    <w:rsid w:val="009226B7"/>
    <w:rsid w:val="0092275A"/>
    <w:rsid w:val="009227CF"/>
    <w:rsid w:val="00922909"/>
    <w:rsid w:val="00922943"/>
    <w:rsid w:val="00922ADB"/>
    <w:rsid w:val="00922BED"/>
    <w:rsid w:val="00922C23"/>
    <w:rsid w:val="00922C5B"/>
    <w:rsid w:val="00922E51"/>
    <w:rsid w:val="00922EA1"/>
    <w:rsid w:val="00922F23"/>
    <w:rsid w:val="00922F44"/>
    <w:rsid w:val="00923089"/>
    <w:rsid w:val="0092319E"/>
    <w:rsid w:val="009231B8"/>
    <w:rsid w:val="0092320B"/>
    <w:rsid w:val="00923276"/>
    <w:rsid w:val="009232A4"/>
    <w:rsid w:val="00923329"/>
    <w:rsid w:val="009233C0"/>
    <w:rsid w:val="00923480"/>
    <w:rsid w:val="009235DF"/>
    <w:rsid w:val="00923690"/>
    <w:rsid w:val="009237CD"/>
    <w:rsid w:val="00923809"/>
    <w:rsid w:val="0092386E"/>
    <w:rsid w:val="0092394A"/>
    <w:rsid w:val="009239FB"/>
    <w:rsid w:val="00923A0A"/>
    <w:rsid w:val="00923A66"/>
    <w:rsid w:val="00923AA2"/>
    <w:rsid w:val="00923ACB"/>
    <w:rsid w:val="00923ADB"/>
    <w:rsid w:val="00923AEE"/>
    <w:rsid w:val="00923B9C"/>
    <w:rsid w:val="00923C16"/>
    <w:rsid w:val="00923C26"/>
    <w:rsid w:val="00923C35"/>
    <w:rsid w:val="00923CAC"/>
    <w:rsid w:val="00923D1B"/>
    <w:rsid w:val="00923DDA"/>
    <w:rsid w:val="00923F23"/>
    <w:rsid w:val="00923FB9"/>
    <w:rsid w:val="0092421F"/>
    <w:rsid w:val="00924368"/>
    <w:rsid w:val="009243B5"/>
    <w:rsid w:val="0092459A"/>
    <w:rsid w:val="009246B3"/>
    <w:rsid w:val="009246FD"/>
    <w:rsid w:val="00924829"/>
    <w:rsid w:val="0092488D"/>
    <w:rsid w:val="009249A2"/>
    <w:rsid w:val="00924C96"/>
    <w:rsid w:val="00924CD3"/>
    <w:rsid w:val="00924DE0"/>
    <w:rsid w:val="00924EDE"/>
    <w:rsid w:val="00924F29"/>
    <w:rsid w:val="00924F70"/>
    <w:rsid w:val="00924F77"/>
    <w:rsid w:val="00924FC0"/>
    <w:rsid w:val="00925030"/>
    <w:rsid w:val="009251BD"/>
    <w:rsid w:val="00925223"/>
    <w:rsid w:val="00925284"/>
    <w:rsid w:val="00925332"/>
    <w:rsid w:val="00925558"/>
    <w:rsid w:val="0092598C"/>
    <w:rsid w:val="00925A47"/>
    <w:rsid w:val="00925B11"/>
    <w:rsid w:val="00925BFB"/>
    <w:rsid w:val="00925C63"/>
    <w:rsid w:val="00925D8D"/>
    <w:rsid w:val="00925E5F"/>
    <w:rsid w:val="00925E88"/>
    <w:rsid w:val="00925EC2"/>
    <w:rsid w:val="00925F55"/>
    <w:rsid w:val="00925F80"/>
    <w:rsid w:val="00925FDF"/>
    <w:rsid w:val="00925FFD"/>
    <w:rsid w:val="00926085"/>
    <w:rsid w:val="0092611C"/>
    <w:rsid w:val="00926142"/>
    <w:rsid w:val="009262CF"/>
    <w:rsid w:val="009263CD"/>
    <w:rsid w:val="009263F4"/>
    <w:rsid w:val="009263F9"/>
    <w:rsid w:val="0092651B"/>
    <w:rsid w:val="00926566"/>
    <w:rsid w:val="009265B6"/>
    <w:rsid w:val="009266EA"/>
    <w:rsid w:val="0092672C"/>
    <w:rsid w:val="009268BC"/>
    <w:rsid w:val="00926962"/>
    <w:rsid w:val="009269A2"/>
    <w:rsid w:val="009269F4"/>
    <w:rsid w:val="009269F7"/>
    <w:rsid w:val="00926A97"/>
    <w:rsid w:val="00926AA3"/>
    <w:rsid w:val="00926B14"/>
    <w:rsid w:val="00926B68"/>
    <w:rsid w:val="00926B71"/>
    <w:rsid w:val="00926C7D"/>
    <w:rsid w:val="00926EDA"/>
    <w:rsid w:val="00926F2A"/>
    <w:rsid w:val="009271C1"/>
    <w:rsid w:val="009273D2"/>
    <w:rsid w:val="00927410"/>
    <w:rsid w:val="00927430"/>
    <w:rsid w:val="0092753D"/>
    <w:rsid w:val="00927625"/>
    <w:rsid w:val="00927686"/>
    <w:rsid w:val="0092773B"/>
    <w:rsid w:val="00927A0C"/>
    <w:rsid w:val="00927A40"/>
    <w:rsid w:val="00927B14"/>
    <w:rsid w:val="00927BF7"/>
    <w:rsid w:val="00927C1A"/>
    <w:rsid w:val="00927C50"/>
    <w:rsid w:val="00927CA1"/>
    <w:rsid w:val="00927D27"/>
    <w:rsid w:val="00927E6F"/>
    <w:rsid w:val="00927E78"/>
    <w:rsid w:val="00927FA9"/>
    <w:rsid w:val="00927FFC"/>
    <w:rsid w:val="00930096"/>
    <w:rsid w:val="00930285"/>
    <w:rsid w:val="0093031C"/>
    <w:rsid w:val="0093031D"/>
    <w:rsid w:val="00930352"/>
    <w:rsid w:val="00930366"/>
    <w:rsid w:val="0093048B"/>
    <w:rsid w:val="009305F2"/>
    <w:rsid w:val="009305F8"/>
    <w:rsid w:val="00930615"/>
    <w:rsid w:val="0093069B"/>
    <w:rsid w:val="00930777"/>
    <w:rsid w:val="009308D0"/>
    <w:rsid w:val="00930953"/>
    <w:rsid w:val="009309A5"/>
    <w:rsid w:val="009309C2"/>
    <w:rsid w:val="00930A1E"/>
    <w:rsid w:val="00930B5E"/>
    <w:rsid w:val="00930D95"/>
    <w:rsid w:val="00930E1A"/>
    <w:rsid w:val="00930FE7"/>
    <w:rsid w:val="009310BF"/>
    <w:rsid w:val="00931287"/>
    <w:rsid w:val="0093129E"/>
    <w:rsid w:val="009312C2"/>
    <w:rsid w:val="009314E7"/>
    <w:rsid w:val="00931581"/>
    <w:rsid w:val="00931593"/>
    <w:rsid w:val="0093159E"/>
    <w:rsid w:val="00931688"/>
    <w:rsid w:val="00931A31"/>
    <w:rsid w:val="00931A65"/>
    <w:rsid w:val="00931B23"/>
    <w:rsid w:val="00931BF2"/>
    <w:rsid w:val="00931BFB"/>
    <w:rsid w:val="00931C5D"/>
    <w:rsid w:val="00931ECB"/>
    <w:rsid w:val="0093201F"/>
    <w:rsid w:val="009321D9"/>
    <w:rsid w:val="00932226"/>
    <w:rsid w:val="009322BE"/>
    <w:rsid w:val="00932312"/>
    <w:rsid w:val="00932335"/>
    <w:rsid w:val="00932474"/>
    <w:rsid w:val="00932484"/>
    <w:rsid w:val="009325F5"/>
    <w:rsid w:val="00932755"/>
    <w:rsid w:val="0093277B"/>
    <w:rsid w:val="00932810"/>
    <w:rsid w:val="009329B8"/>
    <w:rsid w:val="00932A87"/>
    <w:rsid w:val="00932AB6"/>
    <w:rsid w:val="00932BAB"/>
    <w:rsid w:val="00932E74"/>
    <w:rsid w:val="00932EE6"/>
    <w:rsid w:val="00932FD5"/>
    <w:rsid w:val="009330C9"/>
    <w:rsid w:val="009330F1"/>
    <w:rsid w:val="0093315B"/>
    <w:rsid w:val="009331A3"/>
    <w:rsid w:val="0093325E"/>
    <w:rsid w:val="00933299"/>
    <w:rsid w:val="00933349"/>
    <w:rsid w:val="00933366"/>
    <w:rsid w:val="00933545"/>
    <w:rsid w:val="009335DF"/>
    <w:rsid w:val="0093365E"/>
    <w:rsid w:val="00933729"/>
    <w:rsid w:val="00933743"/>
    <w:rsid w:val="009337EB"/>
    <w:rsid w:val="009337F9"/>
    <w:rsid w:val="00933802"/>
    <w:rsid w:val="0093382F"/>
    <w:rsid w:val="00933895"/>
    <w:rsid w:val="00933D59"/>
    <w:rsid w:val="00933DCE"/>
    <w:rsid w:val="00933E50"/>
    <w:rsid w:val="00933F05"/>
    <w:rsid w:val="00934050"/>
    <w:rsid w:val="00934163"/>
    <w:rsid w:val="009341E2"/>
    <w:rsid w:val="00934235"/>
    <w:rsid w:val="0093446D"/>
    <w:rsid w:val="0093453D"/>
    <w:rsid w:val="00934573"/>
    <w:rsid w:val="009345B2"/>
    <w:rsid w:val="009345D3"/>
    <w:rsid w:val="00934689"/>
    <w:rsid w:val="009347C5"/>
    <w:rsid w:val="0093482E"/>
    <w:rsid w:val="00934848"/>
    <w:rsid w:val="00934A09"/>
    <w:rsid w:val="00934BD4"/>
    <w:rsid w:val="00934BF5"/>
    <w:rsid w:val="00934CAD"/>
    <w:rsid w:val="00934ECA"/>
    <w:rsid w:val="00934FEF"/>
    <w:rsid w:val="00935003"/>
    <w:rsid w:val="009350E6"/>
    <w:rsid w:val="00935142"/>
    <w:rsid w:val="0093515F"/>
    <w:rsid w:val="009351DB"/>
    <w:rsid w:val="009352CC"/>
    <w:rsid w:val="009353CD"/>
    <w:rsid w:val="009353FB"/>
    <w:rsid w:val="0093582B"/>
    <w:rsid w:val="0093584D"/>
    <w:rsid w:val="00935893"/>
    <w:rsid w:val="00935A0B"/>
    <w:rsid w:val="00935B25"/>
    <w:rsid w:val="00935E3F"/>
    <w:rsid w:val="00935E8E"/>
    <w:rsid w:val="00935F2E"/>
    <w:rsid w:val="00936053"/>
    <w:rsid w:val="0093606C"/>
    <w:rsid w:val="0093607C"/>
    <w:rsid w:val="0093608F"/>
    <w:rsid w:val="0093609F"/>
    <w:rsid w:val="009360D2"/>
    <w:rsid w:val="0093610C"/>
    <w:rsid w:val="00936121"/>
    <w:rsid w:val="00936225"/>
    <w:rsid w:val="009364AD"/>
    <w:rsid w:val="009364D7"/>
    <w:rsid w:val="0093669B"/>
    <w:rsid w:val="00936773"/>
    <w:rsid w:val="009369CC"/>
    <w:rsid w:val="009369FB"/>
    <w:rsid w:val="00936A9D"/>
    <w:rsid w:val="00936B8B"/>
    <w:rsid w:val="00936D63"/>
    <w:rsid w:val="00936D7D"/>
    <w:rsid w:val="00936DD3"/>
    <w:rsid w:val="00936EC2"/>
    <w:rsid w:val="00936FDA"/>
    <w:rsid w:val="00936FEE"/>
    <w:rsid w:val="00936FF1"/>
    <w:rsid w:val="00937044"/>
    <w:rsid w:val="009370BB"/>
    <w:rsid w:val="009371A9"/>
    <w:rsid w:val="00937252"/>
    <w:rsid w:val="00937498"/>
    <w:rsid w:val="00937548"/>
    <w:rsid w:val="009375BA"/>
    <w:rsid w:val="0093762F"/>
    <w:rsid w:val="009377A5"/>
    <w:rsid w:val="009377BE"/>
    <w:rsid w:val="00937B33"/>
    <w:rsid w:val="00937B84"/>
    <w:rsid w:val="00937B9E"/>
    <w:rsid w:val="00937C85"/>
    <w:rsid w:val="00937D76"/>
    <w:rsid w:val="00937E25"/>
    <w:rsid w:val="00937E42"/>
    <w:rsid w:val="00937EE1"/>
    <w:rsid w:val="00937F5A"/>
    <w:rsid w:val="00937F91"/>
    <w:rsid w:val="00940024"/>
    <w:rsid w:val="00940127"/>
    <w:rsid w:val="009402DE"/>
    <w:rsid w:val="00940488"/>
    <w:rsid w:val="009404BC"/>
    <w:rsid w:val="009406B0"/>
    <w:rsid w:val="009406DD"/>
    <w:rsid w:val="00940710"/>
    <w:rsid w:val="00940775"/>
    <w:rsid w:val="00940947"/>
    <w:rsid w:val="0094098A"/>
    <w:rsid w:val="00940A20"/>
    <w:rsid w:val="00940AE3"/>
    <w:rsid w:val="00940B6E"/>
    <w:rsid w:val="00940CD2"/>
    <w:rsid w:val="00940CEA"/>
    <w:rsid w:val="00940F16"/>
    <w:rsid w:val="00940F9C"/>
    <w:rsid w:val="009410EF"/>
    <w:rsid w:val="00941173"/>
    <w:rsid w:val="00941262"/>
    <w:rsid w:val="009412E8"/>
    <w:rsid w:val="0094135E"/>
    <w:rsid w:val="009413DD"/>
    <w:rsid w:val="009413FE"/>
    <w:rsid w:val="009415A9"/>
    <w:rsid w:val="0094162F"/>
    <w:rsid w:val="00941683"/>
    <w:rsid w:val="009416FE"/>
    <w:rsid w:val="00941788"/>
    <w:rsid w:val="0094185A"/>
    <w:rsid w:val="00941957"/>
    <w:rsid w:val="00941A25"/>
    <w:rsid w:val="00941A56"/>
    <w:rsid w:val="00941A8C"/>
    <w:rsid w:val="00941C32"/>
    <w:rsid w:val="00941C5D"/>
    <w:rsid w:val="00941C90"/>
    <w:rsid w:val="00941C9D"/>
    <w:rsid w:val="00941DA1"/>
    <w:rsid w:val="00941E45"/>
    <w:rsid w:val="00941E73"/>
    <w:rsid w:val="00941F1A"/>
    <w:rsid w:val="00941F33"/>
    <w:rsid w:val="009420DE"/>
    <w:rsid w:val="0094215B"/>
    <w:rsid w:val="009422DC"/>
    <w:rsid w:val="00942441"/>
    <w:rsid w:val="00942485"/>
    <w:rsid w:val="00942574"/>
    <w:rsid w:val="009425DF"/>
    <w:rsid w:val="0094270D"/>
    <w:rsid w:val="009427E7"/>
    <w:rsid w:val="00942819"/>
    <w:rsid w:val="00942A1E"/>
    <w:rsid w:val="00942C0C"/>
    <w:rsid w:val="00942C50"/>
    <w:rsid w:val="00942C98"/>
    <w:rsid w:val="00942E48"/>
    <w:rsid w:val="00942F53"/>
    <w:rsid w:val="00943244"/>
    <w:rsid w:val="0094338B"/>
    <w:rsid w:val="00943396"/>
    <w:rsid w:val="0094361B"/>
    <w:rsid w:val="0094363C"/>
    <w:rsid w:val="0094365C"/>
    <w:rsid w:val="00943736"/>
    <w:rsid w:val="009437D3"/>
    <w:rsid w:val="0094394B"/>
    <w:rsid w:val="00943A46"/>
    <w:rsid w:val="00943A73"/>
    <w:rsid w:val="00943BBA"/>
    <w:rsid w:val="00943C38"/>
    <w:rsid w:val="00943C5D"/>
    <w:rsid w:val="00943D38"/>
    <w:rsid w:val="00943D59"/>
    <w:rsid w:val="00943E47"/>
    <w:rsid w:val="00943F5D"/>
    <w:rsid w:val="00944072"/>
    <w:rsid w:val="0094418E"/>
    <w:rsid w:val="009447A9"/>
    <w:rsid w:val="0094490F"/>
    <w:rsid w:val="0094495F"/>
    <w:rsid w:val="00944AFC"/>
    <w:rsid w:val="00944B72"/>
    <w:rsid w:val="00944C18"/>
    <w:rsid w:val="00944CDB"/>
    <w:rsid w:val="00944DA7"/>
    <w:rsid w:val="00944E52"/>
    <w:rsid w:val="00944E84"/>
    <w:rsid w:val="00944EE6"/>
    <w:rsid w:val="00945269"/>
    <w:rsid w:val="0094529E"/>
    <w:rsid w:val="00945528"/>
    <w:rsid w:val="0094556B"/>
    <w:rsid w:val="009455F1"/>
    <w:rsid w:val="0094570F"/>
    <w:rsid w:val="0094571A"/>
    <w:rsid w:val="00945895"/>
    <w:rsid w:val="009458BD"/>
    <w:rsid w:val="00945961"/>
    <w:rsid w:val="00945A52"/>
    <w:rsid w:val="00945CF1"/>
    <w:rsid w:val="00945D13"/>
    <w:rsid w:val="00945DCD"/>
    <w:rsid w:val="00945E6D"/>
    <w:rsid w:val="00946106"/>
    <w:rsid w:val="0094614D"/>
    <w:rsid w:val="009461B3"/>
    <w:rsid w:val="0094622E"/>
    <w:rsid w:val="009462E1"/>
    <w:rsid w:val="0094646F"/>
    <w:rsid w:val="009464C8"/>
    <w:rsid w:val="00946805"/>
    <w:rsid w:val="00946882"/>
    <w:rsid w:val="009468EC"/>
    <w:rsid w:val="00946922"/>
    <w:rsid w:val="00946976"/>
    <w:rsid w:val="00946ACD"/>
    <w:rsid w:val="00946C70"/>
    <w:rsid w:val="00946D29"/>
    <w:rsid w:val="00946E77"/>
    <w:rsid w:val="00946F33"/>
    <w:rsid w:val="00946F56"/>
    <w:rsid w:val="00946F5A"/>
    <w:rsid w:val="00946FC7"/>
    <w:rsid w:val="00947019"/>
    <w:rsid w:val="009471AA"/>
    <w:rsid w:val="009471DB"/>
    <w:rsid w:val="00947210"/>
    <w:rsid w:val="009473B6"/>
    <w:rsid w:val="00947453"/>
    <w:rsid w:val="00947909"/>
    <w:rsid w:val="009479BE"/>
    <w:rsid w:val="009479F2"/>
    <w:rsid w:val="00947A0A"/>
    <w:rsid w:val="00947B40"/>
    <w:rsid w:val="00947C64"/>
    <w:rsid w:val="00947CA4"/>
    <w:rsid w:val="00947DC8"/>
    <w:rsid w:val="00947E92"/>
    <w:rsid w:val="00947FA7"/>
    <w:rsid w:val="009500CC"/>
    <w:rsid w:val="00950125"/>
    <w:rsid w:val="00950134"/>
    <w:rsid w:val="009501E5"/>
    <w:rsid w:val="00950290"/>
    <w:rsid w:val="0095031A"/>
    <w:rsid w:val="009503A1"/>
    <w:rsid w:val="00950404"/>
    <w:rsid w:val="00950464"/>
    <w:rsid w:val="009504B3"/>
    <w:rsid w:val="009504FE"/>
    <w:rsid w:val="00950624"/>
    <w:rsid w:val="00950761"/>
    <w:rsid w:val="009507B6"/>
    <w:rsid w:val="009509CC"/>
    <w:rsid w:val="00950A92"/>
    <w:rsid w:val="00950EC0"/>
    <w:rsid w:val="00950EDF"/>
    <w:rsid w:val="00950FA3"/>
    <w:rsid w:val="0095100C"/>
    <w:rsid w:val="00951043"/>
    <w:rsid w:val="00951106"/>
    <w:rsid w:val="009511D8"/>
    <w:rsid w:val="009511F8"/>
    <w:rsid w:val="00951218"/>
    <w:rsid w:val="00951251"/>
    <w:rsid w:val="00951620"/>
    <w:rsid w:val="0095162C"/>
    <w:rsid w:val="0095167C"/>
    <w:rsid w:val="009516E5"/>
    <w:rsid w:val="009517D3"/>
    <w:rsid w:val="009518B5"/>
    <w:rsid w:val="009518D7"/>
    <w:rsid w:val="00951A59"/>
    <w:rsid w:val="00951A9B"/>
    <w:rsid w:val="00951C7A"/>
    <w:rsid w:val="00951C93"/>
    <w:rsid w:val="00951D6A"/>
    <w:rsid w:val="00951DF5"/>
    <w:rsid w:val="00951E15"/>
    <w:rsid w:val="00951ED4"/>
    <w:rsid w:val="00951FCE"/>
    <w:rsid w:val="009523F9"/>
    <w:rsid w:val="00952451"/>
    <w:rsid w:val="009524AF"/>
    <w:rsid w:val="00952690"/>
    <w:rsid w:val="009528BE"/>
    <w:rsid w:val="0095290B"/>
    <w:rsid w:val="00952941"/>
    <w:rsid w:val="00952AB3"/>
    <w:rsid w:val="00952B31"/>
    <w:rsid w:val="00952BFA"/>
    <w:rsid w:val="00952C93"/>
    <w:rsid w:val="00952D73"/>
    <w:rsid w:val="00952E4D"/>
    <w:rsid w:val="00952F13"/>
    <w:rsid w:val="00952F3F"/>
    <w:rsid w:val="00952F59"/>
    <w:rsid w:val="00952F7A"/>
    <w:rsid w:val="00952FD8"/>
    <w:rsid w:val="009530B2"/>
    <w:rsid w:val="009532A0"/>
    <w:rsid w:val="00953406"/>
    <w:rsid w:val="00953441"/>
    <w:rsid w:val="009534F6"/>
    <w:rsid w:val="00953500"/>
    <w:rsid w:val="00953523"/>
    <w:rsid w:val="00953561"/>
    <w:rsid w:val="009536BD"/>
    <w:rsid w:val="0095370F"/>
    <w:rsid w:val="0095372E"/>
    <w:rsid w:val="0095384F"/>
    <w:rsid w:val="00953998"/>
    <w:rsid w:val="00953A0F"/>
    <w:rsid w:val="00953D22"/>
    <w:rsid w:val="00953E62"/>
    <w:rsid w:val="00953ED7"/>
    <w:rsid w:val="00954007"/>
    <w:rsid w:val="009541C2"/>
    <w:rsid w:val="00954210"/>
    <w:rsid w:val="0095427D"/>
    <w:rsid w:val="009542B5"/>
    <w:rsid w:val="00954389"/>
    <w:rsid w:val="00954412"/>
    <w:rsid w:val="00954559"/>
    <w:rsid w:val="0095456D"/>
    <w:rsid w:val="00954591"/>
    <w:rsid w:val="009546FB"/>
    <w:rsid w:val="00954742"/>
    <w:rsid w:val="00954863"/>
    <w:rsid w:val="009548E5"/>
    <w:rsid w:val="00954A30"/>
    <w:rsid w:val="00954A77"/>
    <w:rsid w:val="00954AB8"/>
    <w:rsid w:val="00954AFB"/>
    <w:rsid w:val="00954BF4"/>
    <w:rsid w:val="00954C38"/>
    <w:rsid w:val="00954E29"/>
    <w:rsid w:val="00954E55"/>
    <w:rsid w:val="00954E61"/>
    <w:rsid w:val="00954F75"/>
    <w:rsid w:val="00954FF1"/>
    <w:rsid w:val="00955024"/>
    <w:rsid w:val="00955040"/>
    <w:rsid w:val="009550A4"/>
    <w:rsid w:val="009550BC"/>
    <w:rsid w:val="009553AF"/>
    <w:rsid w:val="009554A2"/>
    <w:rsid w:val="009554F6"/>
    <w:rsid w:val="0095560C"/>
    <w:rsid w:val="009557BE"/>
    <w:rsid w:val="009557E8"/>
    <w:rsid w:val="0095585C"/>
    <w:rsid w:val="009559AD"/>
    <w:rsid w:val="009559C3"/>
    <w:rsid w:val="009559F4"/>
    <w:rsid w:val="00955CF7"/>
    <w:rsid w:val="00955D55"/>
    <w:rsid w:val="00955D89"/>
    <w:rsid w:val="00955E5F"/>
    <w:rsid w:val="00955EC2"/>
    <w:rsid w:val="00955F2B"/>
    <w:rsid w:val="009560FF"/>
    <w:rsid w:val="00956245"/>
    <w:rsid w:val="00956286"/>
    <w:rsid w:val="009562DE"/>
    <w:rsid w:val="00956342"/>
    <w:rsid w:val="0095641C"/>
    <w:rsid w:val="009564D2"/>
    <w:rsid w:val="009564F0"/>
    <w:rsid w:val="009566A3"/>
    <w:rsid w:val="00956968"/>
    <w:rsid w:val="009569FE"/>
    <w:rsid w:val="00956B2D"/>
    <w:rsid w:val="00956B3D"/>
    <w:rsid w:val="00956C0F"/>
    <w:rsid w:val="00956C63"/>
    <w:rsid w:val="00956CDA"/>
    <w:rsid w:val="00956DF1"/>
    <w:rsid w:val="00956DFE"/>
    <w:rsid w:val="00956F21"/>
    <w:rsid w:val="00956F28"/>
    <w:rsid w:val="00957040"/>
    <w:rsid w:val="00957098"/>
    <w:rsid w:val="00957203"/>
    <w:rsid w:val="0095723F"/>
    <w:rsid w:val="00957357"/>
    <w:rsid w:val="009573F1"/>
    <w:rsid w:val="0095745C"/>
    <w:rsid w:val="0095755B"/>
    <w:rsid w:val="00957566"/>
    <w:rsid w:val="0095764D"/>
    <w:rsid w:val="00957652"/>
    <w:rsid w:val="009576C5"/>
    <w:rsid w:val="009576CC"/>
    <w:rsid w:val="009578D6"/>
    <w:rsid w:val="00957917"/>
    <w:rsid w:val="00957964"/>
    <w:rsid w:val="00957B57"/>
    <w:rsid w:val="00957BD0"/>
    <w:rsid w:val="00957BD9"/>
    <w:rsid w:val="00957BE9"/>
    <w:rsid w:val="00957C3D"/>
    <w:rsid w:val="00957E16"/>
    <w:rsid w:val="00957F9F"/>
    <w:rsid w:val="00957FA0"/>
    <w:rsid w:val="00957FC9"/>
    <w:rsid w:val="0096009F"/>
    <w:rsid w:val="009601A6"/>
    <w:rsid w:val="009601B3"/>
    <w:rsid w:val="00960239"/>
    <w:rsid w:val="00960240"/>
    <w:rsid w:val="00960393"/>
    <w:rsid w:val="009603C4"/>
    <w:rsid w:val="009603F5"/>
    <w:rsid w:val="00960419"/>
    <w:rsid w:val="00960476"/>
    <w:rsid w:val="00960484"/>
    <w:rsid w:val="00960487"/>
    <w:rsid w:val="00960564"/>
    <w:rsid w:val="009605DA"/>
    <w:rsid w:val="0096062B"/>
    <w:rsid w:val="009606F4"/>
    <w:rsid w:val="00960707"/>
    <w:rsid w:val="009607D1"/>
    <w:rsid w:val="009607EB"/>
    <w:rsid w:val="009608BC"/>
    <w:rsid w:val="009609AB"/>
    <w:rsid w:val="00960A04"/>
    <w:rsid w:val="00960A13"/>
    <w:rsid w:val="00960D05"/>
    <w:rsid w:val="00960DC9"/>
    <w:rsid w:val="00960E22"/>
    <w:rsid w:val="00960F5B"/>
    <w:rsid w:val="00960FC7"/>
    <w:rsid w:val="00960FDF"/>
    <w:rsid w:val="00961204"/>
    <w:rsid w:val="009612A0"/>
    <w:rsid w:val="009612E2"/>
    <w:rsid w:val="0096132A"/>
    <w:rsid w:val="0096138C"/>
    <w:rsid w:val="00961445"/>
    <w:rsid w:val="009614AC"/>
    <w:rsid w:val="00961566"/>
    <w:rsid w:val="0096158A"/>
    <w:rsid w:val="0096160C"/>
    <w:rsid w:val="00961649"/>
    <w:rsid w:val="009616F1"/>
    <w:rsid w:val="009617B7"/>
    <w:rsid w:val="00961910"/>
    <w:rsid w:val="00961A36"/>
    <w:rsid w:val="00961AB2"/>
    <w:rsid w:val="00961AC9"/>
    <w:rsid w:val="00961ADE"/>
    <w:rsid w:val="00961BEB"/>
    <w:rsid w:val="00961D2A"/>
    <w:rsid w:val="00961D44"/>
    <w:rsid w:val="00961D50"/>
    <w:rsid w:val="00961D88"/>
    <w:rsid w:val="00961E1E"/>
    <w:rsid w:val="00961E6E"/>
    <w:rsid w:val="00961FEA"/>
    <w:rsid w:val="00962054"/>
    <w:rsid w:val="0096219C"/>
    <w:rsid w:val="009623F1"/>
    <w:rsid w:val="0096240D"/>
    <w:rsid w:val="0096250A"/>
    <w:rsid w:val="0096258A"/>
    <w:rsid w:val="009625FA"/>
    <w:rsid w:val="00962633"/>
    <w:rsid w:val="00962656"/>
    <w:rsid w:val="009627B1"/>
    <w:rsid w:val="00962947"/>
    <w:rsid w:val="00962A31"/>
    <w:rsid w:val="00962BCD"/>
    <w:rsid w:val="00962D00"/>
    <w:rsid w:val="00962D13"/>
    <w:rsid w:val="00962E2B"/>
    <w:rsid w:val="00962EAD"/>
    <w:rsid w:val="00963000"/>
    <w:rsid w:val="009630B9"/>
    <w:rsid w:val="00963110"/>
    <w:rsid w:val="00963260"/>
    <w:rsid w:val="00963383"/>
    <w:rsid w:val="009634BA"/>
    <w:rsid w:val="00963506"/>
    <w:rsid w:val="00963568"/>
    <w:rsid w:val="0096371E"/>
    <w:rsid w:val="00963781"/>
    <w:rsid w:val="009639DC"/>
    <w:rsid w:val="00963A9F"/>
    <w:rsid w:val="00963B95"/>
    <w:rsid w:val="00963BD1"/>
    <w:rsid w:val="00963C07"/>
    <w:rsid w:val="00963C4A"/>
    <w:rsid w:val="00963D3C"/>
    <w:rsid w:val="00963D69"/>
    <w:rsid w:val="00963E53"/>
    <w:rsid w:val="00963F0F"/>
    <w:rsid w:val="00963F65"/>
    <w:rsid w:val="00964024"/>
    <w:rsid w:val="00964171"/>
    <w:rsid w:val="009641E7"/>
    <w:rsid w:val="009641F0"/>
    <w:rsid w:val="0096423E"/>
    <w:rsid w:val="00964334"/>
    <w:rsid w:val="00964431"/>
    <w:rsid w:val="0096457B"/>
    <w:rsid w:val="00964614"/>
    <w:rsid w:val="0096462F"/>
    <w:rsid w:val="00964631"/>
    <w:rsid w:val="0096469D"/>
    <w:rsid w:val="009647E3"/>
    <w:rsid w:val="00964981"/>
    <w:rsid w:val="00964BAE"/>
    <w:rsid w:val="00964BBA"/>
    <w:rsid w:val="00964BFA"/>
    <w:rsid w:val="00964DB4"/>
    <w:rsid w:val="00964E36"/>
    <w:rsid w:val="00964F39"/>
    <w:rsid w:val="00964F45"/>
    <w:rsid w:val="00964FAD"/>
    <w:rsid w:val="009651D3"/>
    <w:rsid w:val="00965230"/>
    <w:rsid w:val="009653FC"/>
    <w:rsid w:val="009654D4"/>
    <w:rsid w:val="00965679"/>
    <w:rsid w:val="009656FA"/>
    <w:rsid w:val="009657E7"/>
    <w:rsid w:val="00965981"/>
    <w:rsid w:val="00965A7B"/>
    <w:rsid w:val="00965D21"/>
    <w:rsid w:val="00965D82"/>
    <w:rsid w:val="00965F1F"/>
    <w:rsid w:val="00965F4A"/>
    <w:rsid w:val="00965FFD"/>
    <w:rsid w:val="00965FFF"/>
    <w:rsid w:val="009660D2"/>
    <w:rsid w:val="009660DD"/>
    <w:rsid w:val="009660EE"/>
    <w:rsid w:val="00966181"/>
    <w:rsid w:val="0096629B"/>
    <w:rsid w:val="0096639C"/>
    <w:rsid w:val="009663B7"/>
    <w:rsid w:val="00966434"/>
    <w:rsid w:val="0096674A"/>
    <w:rsid w:val="009667B9"/>
    <w:rsid w:val="00966830"/>
    <w:rsid w:val="00966833"/>
    <w:rsid w:val="0096684C"/>
    <w:rsid w:val="00966880"/>
    <w:rsid w:val="00966A5B"/>
    <w:rsid w:val="00966AA4"/>
    <w:rsid w:val="00966B03"/>
    <w:rsid w:val="00966BB2"/>
    <w:rsid w:val="00966C3A"/>
    <w:rsid w:val="00966C3C"/>
    <w:rsid w:val="00966CB0"/>
    <w:rsid w:val="00966DA6"/>
    <w:rsid w:val="009670C6"/>
    <w:rsid w:val="00967106"/>
    <w:rsid w:val="009671DE"/>
    <w:rsid w:val="00967264"/>
    <w:rsid w:val="009673B1"/>
    <w:rsid w:val="0096751D"/>
    <w:rsid w:val="0096759A"/>
    <w:rsid w:val="00967659"/>
    <w:rsid w:val="0096777F"/>
    <w:rsid w:val="0096787C"/>
    <w:rsid w:val="009678F8"/>
    <w:rsid w:val="0096790B"/>
    <w:rsid w:val="0096793E"/>
    <w:rsid w:val="0096798B"/>
    <w:rsid w:val="00967B19"/>
    <w:rsid w:val="00967BBB"/>
    <w:rsid w:val="00967BD6"/>
    <w:rsid w:val="00967BF4"/>
    <w:rsid w:val="00967CD6"/>
    <w:rsid w:val="00967D84"/>
    <w:rsid w:val="00967D88"/>
    <w:rsid w:val="00967FFD"/>
    <w:rsid w:val="009700AA"/>
    <w:rsid w:val="009701BA"/>
    <w:rsid w:val="00970267"/>
    <w:rsid w:val="0097030E"/>
    <w:rsid w:val="0097039D"/>
    <w:rsid w:val="00970409"/>
    <w:rsid w:val="0097047A"/>
    <w:rsid w:val="009704E7"/>
    <w:rsid w:val="009706C4"/>
    <w:rsid w:val="00970762"/>
    <w:rsid w:val="009707BA"/>
    <w:rsid w:val="009707F3"/>
    <w:rsid w:val="0097091A"/>
    <w:rsid w:val="009709A2"/>
    <w:rsid w:val="009709EC"/>
    <w:rsid w:val="00970C32"/>
    <w:rsid w:val="00970D71"/>
    <w:rsid w:val="00970DB8"/>
    <w:rsid w:val="00970DE3"/>
    <w:rsid w:val="00970E8E"/>
    <w:rsid w:val="00970EB0"/>
    <w:rsid w:val="00970EE1"/>
    <w:rsid w:val="00970FDE"/>
    <w:rsid w:val="00971124"/>
    <w:rsid w:val="00971177"/>
    <w:rsid w:val="00971195"/>
    <w:rsid w:val="00971485"/>
    <w:rsid w:val="009714F8"/>
    <w:rsid w:val="009715FF"/>
    <w:rsid w:val="00971619"/>
    <w:rsid w:val="00971633"/>
    <w:rsid w:val="00971640"/>
    <w:rsid w:val="009716FF"/>
    <w:rsid w:val="009718A0"/>
    <w:rsid w:val="00971B12"/>
    <w:rsid w:val="00971BD0"/>
    <w:rsid w:val="00971C4C"/>
    <w:rsid w:val="00971C75"/>
    <w:rsid w:val="00971D30"/>
    <w:rsid w:val="00971E11"/>
    <w:rsid w:val="00971F33"/>
    <w:rsid w:val="009720CD"/>
    <w:rsid w:val="009720D7"/>
    <w:rsid w:val="00972484"/>
    <w:rsid w:val="009724B8"/>
    <w:rsid w:val="009725AB"/>
    <w:rsid w:val="009725F7"/>
    <w:rsid w:val="009726BC"/>
    <w:rsid w:val="0097272D"/>
    <w:rsid w:val="00972919"/>
    <w:rsid w:val="00972A4E"/>
    <w:rsid w:val="00972AEB"/>
    <w:rsid w:val="00972E23"/>
    <w:rsid w:val="00972E6B"/>
    <w:rsid w:val="00972EB6"/>
    <w:rsid w:val="00972EFF"/>
    <w:rsid w:val="00972F39"/>
    <w:rsid w:val="00972FBF"/>
    <w:rsid w:val="00973036"/>
    <w:rsid w:val="009730FD"/>
    <w:rsid w:val="00973144"/>
    <w:rsid w:val="00973182"/>
    <w:rsid w:val="009731B3"/>
    <w:rsid w:val="0097322A"/>
    <w:rsid w:val="009733C1"/>
    <w:rsid w:val="00973427"/>
    <w:rsid w:val="0097353D"/>
    <w:rsid w:val="0097362D"/>
    <w:rsid w:val="009736F6"/>
    <w:rsid w:val="00973717"/>
    <w:rsid w:val="009737E6"/>
    <w:rsid w:val="00973908"/>
    <w:rsid w:val="00973929"/>
    <w:rsid w:val="00973A16"/>
    <w:rsid w:val="00973A73"/>
    <w:rsid w:val="00973BAF"/>
    <w:rsid w:val="00973CD0"/>
    <w:rsid w:val="00973EFA"/>
    <w:rsid w:val="00973FC8"/>
    <w:rsid w:val="00974002"/>
    <w:rsid w:val="009740C9"/>
    <w:rsid w:val="00974172"/>
    <w:rsid w:val="00974282"/>
    <w:rsid w:val="00974404"/>
    <w:rsid w:val="00974460"/>
    <w:rsid w:val="009744F3"/>
    <w:rsid w:val="00974555"/>
    <w:rsid w:val="009745F5"/>
    <w:rsid w:val="00974804"/>
    <w:rsid w:val="0097489F"/>
    <w:rsid w:val="00974AC2"/>
    <w:rsid w:val="00974B54"/>
    <w:rsid w:val="00974CB7"/>
    <w:rsid w:val="00974D8D"/>
    <w:rsid w:val="00974DBF"/>
    <w:rsid w:val="00975030"/>
    <w:rsid w:val="009751AD"/>
    <w:rsid w:val="009751C3"/>
    <w:rsid w:val="009752A0"/>
    <w:rsid w:val="009752EC"/>
    <w:rsid w:val="0097549B"/>
    <w:rsid w:val="009756A0"/>
    <w:rsid w:val="009756B8"/>
    <w:rsid w:val="009756D6"/>
    <w:rsid w:val="0097574C"/>
    <w:rsid w:val="009757D6"/>
    <w:rsid w:val="00975925"/>
    <w:rsid w:val="0097594C"/>
    <w:rsid w:val="00975A5F"/>
    <w:rsid w:val="00975C1D"/>
    <w:rsid w:val="00975D04"/>
    <w:rsid w:val="00975EB1"/>
    <w:rsid w:val="00975EE2"/>
    <w:rsid w:val="0097614D"/>
    <w:rsid w:val="00976193"/>
    <w:rsid w:val="00976284"/>
    <w:rsid w:val="00976515"/>
    <w:rsid w:val="009765FF"/>
    <w:rsid w:val="0097662D"/>
    <w:rsid w:val="00976663"/>
    <w:rsid w:val="00976679"/>
    <w:rsid w:val="00976731"/>
    <w:rsid w:val="00976834"/>
    <w:rsid w:val="00976AB3"/>
    <w:rsid w:val="00976AEE"/>
    <w:rsid w:val="00976B6A"/>
    <w:rsid w:val="00976C2F"/>
    <w:rsid w:val="00976C52"/>
    <w:rsid w:val="00976C59"/>
    <w:rsid w:val="00976CCB"/>
    <w:rsid w:val="00976CF8"/>
    <w:rsid w:val="00976FFC"/>
    <w:rsid w:val="0097703E"/>
    <w:rsid w:val="00977060"/>
    <w:rsid w:val="0097710F"/>
    <w:rsid w:val="0097715C"/>
    <w:rsid w:val="009771EA"/>
    <w:rsid w:val="00977253"/>
    <w:rsid w:val="00977350"/>
    <w:rsid w:val="00977368"/>
    <w:rsid w:val="009773F9"/>
    <w:rsid w:val="0097746E"/>
    <w:rsid w:val="009775A7"/>
    <w:rsid w:val="009776DA"/>
    <w:rsid w:val="009777E9"/>
    <w:rsid w:val="00977860"/>
    <w:rsid w:val="00977A12"/>
    <w:rsid w:val="00977B37"/>
    <w:rsid w:val="00977BA6"/>
    <w:rsid w:val="00977BE1"/>
    <w:rsid w:val="00977C3B"/>
    <w:rsid w:val="00977CCB"/>
    <w:rsid w:val="00977CE5"/>
    <w:rsid w:val="00977D56"/>
    <w:rsid w:val="00977EB9"/>
    <w:rsid w:val="00977F23"/>
    <w:rsid w:val="00977F8B"/>
    <w:rsid w:val="00980003"/>
    <w:rsid w:val="00980165"/>
    <w:rsid w:val="00980362"/>
    <w:rsid w:val="009803C8"/>
    <w:rsid w:val="0098047A"/>
    <w:rsid w:val="009805AC"/>
    <w:rsid w:val="009805E8"/>
    <w:rsid w:val="0098090B"/>
    <w:rsid w:val="009809EB"/>
    <w:rsid w:val="00980A91"/>
    <w:rsid w:val="00980B8F"/>
    <w:rsid w:val="00980B97"/>
    <w:rsid w:val="00980BFE"/>
    <w:rsid w:val="00980CFD"/>
    <w:rsid w:val="00980D31"/>
    <w:rsid w:val="00980DC3"/>
    <w:rsid w:val="00980EDE"/>
    <w:rsid w:val="00981019"/>
    <w:rsid w:val="0098112D"/>
    <w:rsid w:val="00981239"/>
    <w:rsid w:val="009814D9"/>
    <w:rsid w:val="009815BE"/>
    <w:rsid w:val="00981659"/>
    <w:rsid w:val="00981788"/>
    <w:rsid w:val="00981A62"/>
    <w:rsid w:val="00981BFE"/>
    <w:rsid w:val="00981DB2"/>
    <w:rsid w:val="00981EB5"/>
    <w:rsid w:val="00981F08"/>
    <w:rsid w:val="00981F57"/>
    <w:rsid w:val="00981FF1"/>
    <w:rsid w:val="00982040"/>
    <w:rsid w:val="0098212B"/>
    <w:rsid w:val="00982255"/>
    <w:rsid w:val="0098237E"/>
    <w:rsid w:val="009823CF"/>
    <w:rsid w:val="009824CD"/>
    <w:rsid w:val="00982581"/>
    <w:rsid w:val="009826B3"/>
    <w:rsid w:val="00982739"/>
    <w:rsid w:val="00982761"/>
    <w:rsid w:val="009827AF"/>
    <w:rsid w:val="00982960"/>
    <w:rsid w:val="00982B6D"/>
    <w:rsid w:val="00982B9B"/>
    <w:rsid w:val="00982BA8"/>
    <w:rsid w:val="00982C68"/>
    <w:rsid w:val="00982C9A"/>
    <w:rsid w:val="00982DCB"/>
    <w:rsid w:val="00982F73"/>
    <w:rsid w:val="00983164"/>
    <w:rsid w:val="0098316A"/>
    <w:rsid w:val="0098337D"/>
    <w:rsid w:val="00983504"/>
    <w:rsid w:val="00983657"/>
    <w:rsid w:val="009836A2"/>
    <w:rsid w:val="00983757"/>
    <w:rsid w:val="009837A1"/>
    <w:rsid w:val="00983810"/>
    <w:rsid w:val="00983B38"/>
    <w:rsid w:val="00983B4F"/>
    <w:rsid w:val="00983C4D"/>
    <w:rsid w:val="00983CCC"/>
    <w:rsid w:val="00983CF4"/>
    <w:rsid w:val="00983D0C"/>
    <w:rsid w:val="00983E89"/>
    <w:rsid w:val="00984071"/>
    <w:rsid w:val="00984261"/>
    <w:rsid w:val="009842AB"/>
    <w:rsid w:val="009844BD"/>
    <w:rsid w:val="009844C4"/>
    <w:rsid w:val="009846CA"/>
    <w:rsid w:val="0098473F"/>
    <w:rsid w:val="0098479D"/>
    <w:rsid w:val="00984877"/>
    <w:rsid w:val="009848DC"/>
    <w:rsid w:val="00984918"/>
    <w:rsid w:val="00984A27"/>
    <w:rsid w:val="00984A5B"/>
    <w:rsid w:val="00984A77"/>
    <w:rsid w:val="00984ABB"/>
    <w:rsid w:val="00984B37"/>
    <w:rsid w:val="00984B3E"/>
    <w:rsid w:val="00984BD7"/>
    <w:rsid w:val="00984D3A"/>
    <w:rsid w:val="00984DE7"/>
    <w:rsid w:val="00984E46"/>
    <w:rsid w:val="00985229"/>
    <w:rsid w:val="00985356"/>
    <w:rsid w:val="00985763"/>
    <w:rsid w:val="00985778"/>
    <w:rsid w:val="00985812"/>
    <w:rsid w:val="0098587D"/>
    <w:rsid w:val="00985880"/>
    <w:rsid w:val="00985922"/>
    <w:rsid w:val="0098598A"/>
    <w:rsid w:val="00985A16"/>
    <w:rsid w:val="00985A89"/>
    <w:rsid w:val="00985AE2"/>
    <w:rsid w:val="00985B61"/>
    <w:rsid w:val="00985BF8"/>
    <w:rsid w:val="00985CE8"/>
    <w:rsid w:val="00985D45"/>
    <w:rsid w:val="00985DC7"/>
    <w:rsid w:val="00985E86"/>
    <w:rsid w:val="00985FC6"/>
    <w:rsid w:val="00986027"/>
    <w:rsid w:val="009861D2"/>
    <w:rsid w:val="009863D8"/>
    <w:rsid w:val="00986448"/>
    <w:rsid w:val="0098644A"/>
    <w:rsid w:val="0098650D"/>
    <w:rsid w:val="00986521"/>
    <w:rsid w:val="009867BE"/>
    <w:rsid w:val="00986827"/>
    <w:rsid w:val="00986892"/>
    <w:rsid w:val="0098691E"/>
    <w:rsid w:val="00986A3C"/>
    <w:rsid w:val="00986A60"/>
    <w:rsid w:val="00986BFC"/>
    <w:rsid w:val="00986C3B"/>
    <w:rsid w:val="00986C79"/>
    <w:rsid w:val="00986D92"/>
    <w:rsid w:val="00986DF9"/>
    <w:rsid w:val="00986F65"/>
    <w:rsid w:val="00986FA9"/>
    <w:rsid w:val="00987035"/>
    <w:rsid w:val="009870AD"/>
    <w:rsid w:val="009872C5"/>
    <w:rsid w:val="0098730E"/>
    <w:rsid w:val="009874EE"/>
    <w:rsid w:val="009875F4"/>
    <w:rsid w:val="00987A15"/>
    <w:rsid w:val="00987ADF"/>
    <w:rsid w:val="00987B09"/>
    <w:rsid w:val="00987B95"/>
    <w:rsid w:val="00987BD5"/>
    <w:rsid w:val="00987C10"/>
    <w:rsid w:val="00987C18"/>
    <w:rsid w:val="00987C6F"/>
    <w:rsid w:val="00987D49"/>
    <w:rsid w:val="00987DB1"/>
    <w:rsid w:val="009900B4"/>
    <w:rsid w:val="009903A2"/>
    <w:rsid w:val="00990515"/>
    <w:rsid w:val="009905DB"/>
    <w:rsid w:val="0099075C"/>
    <w:rsid w:val="009907C3"/>
    <w:rsid w:val="0099081B"/>
    <w:rsid w:val="0099089E"/>
    <w:rsid w:val="009908A9"/>
    <w:rsid w:val="0099091E"/>
    <w:rsid w:val="00990948"/>
    <w:rsid w:val="00990A1D"/>
    <w:rsid w:val="00990A39"/>
    <w:rsid w:val="00990A69"/>
    <w:rsid w:val="00990AEA"/>
    <w:rsid w:val="00990B5D"/>
    <w:rsid w:val="00990DB5"/>
    <w:rsid w:val="00990F18"/>
    <w:rsid w:val="0099100D"/>
    <w:rsid w:val="009910D7"/>
    <w:rsid w:val="0099114B"/>
    <w:rsid w:val="009914C5"/>
    <w:rsid w:val="00991560"/>
    <w:rsid w:val="009915BA"/>
    <w:rsid w:val="009916B2"/>
    <w:rsid w:val="0099171D"/>
    <w:rsid w:val="00991734"/>
    <w:rsid w:val="00991817"/>
    <w:rsid w:val="00991897"/>
    <w:rsid w:val="00991922"/>
    <w:rsid w:val="00991923"/>
    <w:rsid w:val="0099194D"/>
    <w:rsid w:val="00991C3F"/>
    <w:rsid w:val="00991C6C"/>
    <w:rsid w:val="00991DB9"/>
    <w:rsid w:val="00991E30"/>
    <w:rsid w:val="00991E61"/>
    <w:rsid w:val="00991F91"/>
    <w:rsid w:val="00992088"/>
    <w:rsid w:val="009920F3"/>
    <w:rsid w:val="00992179"/>
    <w:rsid w:val="009921C0"/>
    <w:rsid w:val="009922EF"/>
    <w:rsid w:val="00992350"/>
    <w:rsid w:val="00992422"/>
    <w:rsid w:val="009924BE"/>
    <w:rsid w:val="00992529"/>
    <w:rsid w:val="009925B9"/>
    <w:rsid w:val="009925EA"/>
    <w:rsid w:val="00992627"/>
    <w:rsid w:val="0099262C"/>
    <w:rsid w:val="009927DB"/>
    <w:rsid w:val="0099299D"/>
    <w:rsid w:val="00992B9F"/>
    <w:rsid w:val="00992BEB"/>
    <w:rsid w:val="00992CA5"/>
    <w:rsid w:val="00992E7A"/>
    <w:rsid w:val="00992E94"/>
    <w:rsid w:val="00992F2F"/>
    <w:rsid w:val="00993182"/>
    <w:rsid w:val="009931E4"/>
    <w:rsid w:val="009931EE"/>
    <w:rsid w:val="0099322D"/>
    <w:rsid w:val="00993276"/>
    <w:rsid w:val="00993400"/>
    <w:rsid w:val="0099356E"/>
    <w:rsid w:val="0099361A"/>
    <w:rsid w:val="00993A7F"/>
    <w:rsid w:val="00993BDB"/>
    <w:rsid w:val="00993C60"/>
    <w:rsid w:val="00993F39"/>
    <w:rsid w:val="00993FFF"/>
    <w:rsid w:val="00994003"/>
    <w:rsid w:val="009940A8"/>
    <w:rsid w:val="00994116"/>
    <w:rsid w:val="00994168"/>
    <w:rsid w:val="009941CF"/>
    <w:rsid w:val="00994215"/>
    <w:rsid w:val="00994413"/>
    <w:rsid w:val="00994440"/>
    <w:rsid w:val="009945FB"/>
    <w:rsid w:val="0099466D"/>
    <w:rsid w:val="00994700"/>
    <w:rsid w:val="00994718"/>
    <w:rsid w:val="00994783"/>
    <w:rsid w:val="009947D9"/>
    <w:rsid w:val="009949C2"/>
    <w:rsid w:val="00994C08"/>
    <w:rsid w:val="00994C18"/>
    <w:rsid w:val="00994E3A"/>
    <w:rsid w:val="00994E4C"/>
    <w:rsid w:val="00994E5B"/>
    <w:rsid w:val="0099507B"/>
    <w:rsid w:val="0099510E"/>
    <w:rsid w:val="0099511E"/>
    <w:rsid w:val="00995196"/>
    <w:rsid w:val="009951BA"/>
    <w:rsid w:val="00995270"/>
    <w:rsid w:val="009953E4"/>
    <w:rsid w:val="0099577C"/>
    <w:rsid w:val="00995846"/>
    <w:rsid w:val="009958B0"/>
    <w:rsid w:val="009958B8"/>
    <w:rsid w:val="009958C3"/>
    <w:rsid w:val="00995993"/>
    <w:rsid w:val="00995B2E"/>
    <w:rsid w:val="00995B39"/>
    <w:rsid w:val="00995BD9"/>
    <w:rsid w:val="00995E20"/>
    <w:rsid w:val="00995EC6"/>
    <w:rsid w:val="00995F74"/>
    <w:rsid w:val="00995FD6"/>
    <w:rsid w:val="009960DE"/>
    <w:rsid w:val="009961B0"/>
    <w:rsid w:val="00996222"/>
    <w:rsid w:val="0099624E"/>
    <w:rsid w:val="0099626A"/>
    <w:rsid w:val="009962E6"/>
    <w:rsid w:val="0099633C"/>
    <w:rsid w:val="009963E4"/>
    <w:rsid w:val="0099642C"/>
    <w:rsid w:val="009964AA"/>
    <w:rsid w:val="009964C8"/>
    <w:rsid w:val="0099661B"/>
    <w:rsid w:val="009966B5"/>
    <w:rsid w:val="00996796"/>
    <w:rsid w:val="009967F9"/>
    <w:rsid w:val="00996930"/>
    <w:rsid w:val="00996948"/>
    <w:rsid w:val="00996D3F"/>
    <w:rsid w:val="00996D8D"/>
    <w:rsid w:val="00996E7B"/>
    <w:rsid w:val="00996EC3"/>
    <w:rsid w:val="00996EFD"/>
    <w:rsid w:val="00996F18"/>
    <w:rsid w:val="00996F5B"/>
    <w:rsid w:val="00997116"/>
    <w:rsid w:val="009971C6"/>
    <w:rsid w:val="00997285"/>
    <w:rsid w:val="00997361"/>
    <w:rsid w:val="0099738A"/>
    <w:rsid w:val="009975F4"/>
    <w:rsid w:val="0099761A"/>
    <w:rsid w:val="00997631"/>
    <w:rsid w:val="00997685"/>
    <w:rsid w:val="009977BA"/>
    <w:rsid w:val="0099789D"/>
    <w:rsid w:val="00997A53"/>
    <w:rsid w:val="00997A99"/>
    <w:rsid w:val="00997CA7"/>
    <w:rsid w:val="00997CF9"/>
    <w:rsid w:val="00997D20"/>
    <w:rsid w:val="00997E1F"/>
    <w:rsid w:val="00997EAA"/>
    <w:rsid w:val="00997F11"/>
    <w:rsid w:val="009A02EF"/>
    <w:rsid w:val="009A0323"/>
    <w:rsid w:val="009A0396"/>
    <w:rsid w:val="009A03C2"/>
    <w:rsid w:val="009A051A"/>
    <w:rsid w:val="009A062C"/>
    <w:rsid w:val="009A0878"/>
    <w:rsid w:val="009A0A08"/>
    <w:rsid w:val="009A0C96"/>
    <w:rsid w:val="009A0D9B"/>
    <w:rsid w:val="009A0EC6"/>
    <w:rsid w:val="009A0EF9"/>
    <w:rsid w:val="009A1080"/>
    <w:rsid w:val="009A1096"/>
    <w:rsid w:val="009A1293"/>
    <w:rsid w:val="009A1300"/>
    <w:rsid w:val="009A1315"/>
    <w:rsid w:val="009A13CE"/>
    <w:rsid w:val="009A16F8"/>
    <w:rsid w:val="009A170D"/>
    <w:rsid w:val="009A1808"/>
    <w:rsid w:val="009A18EE"/>
    <w:rsid w:val="009A1A16"/>
    <w:rsid w:val="009A1AA9"/>
    <w:rsid w:val="009A1B65"/>
    <w:rsid w:val="009A1B8F"/>
    <w:rsid w:val="009A1B91"/>
    <w:rsid w:val="009A1D6F"/>
    <w:rsid w:val="009A1E3F"/>
    <w:rsid w:val="009A1EF2"/>
    <w:rsid w:val="009A227B"/>
    <w:rsid w:val="009A22AC"/>
    <w:rsid w:val="009A260E"/>
    <w:rsid w:val="009A2693"/>
    <w:rsid w:val="009A26EA"/>
    <w:rsid w:val="009A2791"/>
    <w:rsid w:val="009A27A5"/>
    <w:rsid w:val="009A27CB"/>
    <w:rsid w:val="009A28AE"/>
    <w:rsid w:val="009A28EC"/>
    <w:rsid w:val="009A29B2"/>
    <w:rsid w:val="009A2E57"/>
    <w:rsid w:val="009A32C3"/>
    <w:rsid w:val="009A32CD"/>
    <w:rsid w:val="009A3344"/>
    <w:rsid w:val="009A335E"/>
    <w:rsid w:val="009A3364"/>
    <w:rsid w:val="009A3432"/>
    <w:rsid w:val="009A3466"/>
    <w:rsid w:val="009A3624"/>
    <w:rsid w:val="009A3626"/>
    <w:rsid w:val="009A3726"/>
    <w:rsid w:val="009A3842"/>
    <w:rsid w:val="009A396A"/>
    <w:rsid w:val="009A3B92"/>
    <w:rsid w:val="009A3C59"/>
    <w:rsid w:val="009A3CDF"/>
    <w:rsid w:val="009A3D8F"/>
    <w:rsid w:val="009A3E2A"/>
    <w:rsid w:val="009A3F71"/>
    <w:rsid w:val="009A41B3"/>
    <w:rsid w:val="009A421F"/>
    <w:rsid w:val="009A4321"/>
    <w:rsid w:val="009A4496"/>
    <w:rsid w:val="009A44CE"/>
    <w:rsid w:val="009A4501"/>
    <w:rsid w:val="009A45DE"/>
    <w:rsid w:val="009A477E"/>
    <w:rsid w:val="009A47F7"/>
    <w:rsid w:val="009A4908"/>
    <w:rsid w:val="009A4931"/>
    <w:rsid w:val="009A4962"/>
    <w:rsid w:val="009A49C8"/>
    <w:rsid w:val="009A49F6"/>
    <w:rsid w:val="009A4A67"/>
    <w:rsid w:val="009A4BDD"/>
    <w:rsid w:val="009A4D12"/>
    <w:rsid w:val="009A4EB6"/>
    <w:rsid w:val="009A50DA"/>
    <w:rsid w:val="009A5121"/>
    <w:rsid w:val="009A51DA"/>
    <w:rsid w:val="009A51DC"/>
    <w:rsid w:val="009A524E"/>
    <w:rsid w:val="009A5500"/>
    <w:rsid w:val="009A5696"/>
    <w:rsid w:val="009A5882"/>
    <w:rsid w:val="009A58D3"/>
    <w:rsid w:val="009A5954"/>
    <w:rsid w:val="009A5A15"/>
    <w:rsid w:val="009A5B40"/>
    <w:rsid w:val="009A5BDD"/>
    <w:rsid w:val="009A5D6F"/>
    <w:rsid w:val="009A5F73"/>
    <w:rsid w:val="009A5FDB"/>
    <w:rsid w:val="009A6113"/>
    <w:rsid w:val="009A626D"/>
    <w:rsid w:val="009A6277"/>
    <w:rsid w:val="009A62C4"/>
    <w:rsid w:val="009A62CD"/>
    <w:rsid w:val="009A6459"/>
    <w:rsid w:val="009A6558"/>
    <w:rsid w:val="009A661E"/>
    <w:rsid w:val="009A6634"/>
    <w:rsid w:val="009A6652"/>
    <w:rsid w:val="009A671C"/>
    <w:rsid w:val="009A697F"/>
    <w:rsid w:val="009A69D8"/>
    <w:rsid w:val="009A6AFB"/>
    <w:rsid w:val="009A6CB5"/>
    <w:rsid w:val="009A6D27"/>
    <w:rsid w:val="009A6D49"/>
    <w:rsid w:val="009A6D96"/>
    <w:rsid w:val="009A6FF9"/>
    <w:rsid w:val="009A7045"/>
    <w:rsid w:val="009A71B8"/>
    <w:rsid w:val="009A72B2"/>
    <w:rsid w:val="009A72E8"/>
    <w:rsid w:val="009A7588"/>
    <w:rsid w:val="009A7595"/>
    <w:rsid w:val="009A78C2"/>
    <w:rsid w:val="009A7911"/>
    <w:rsid w:val="009A7A23"/>
    <w:rsid w:val="009A7A3E"/>
    <w:rsid w:val="009A7B7A"/>
    <w:rsid w:val="009A7B99"/>
    <w:rsid w:val="009A7BDD"/>
    <w:rsid w:val="009A7C24"/>
    <w:rsid w:val="009A7C2C"/>
    <w:rsid w:val="009A7E88"/>
    <w:rsid w:val="009A7F0F"/>
    <w:rsid w:val="009B004A"/>
    <w:rsid w:val="009B00AA"/>
    <w:rsid w:val="009B0152"/>
    <w:rsid w:val="009B0229"/>
    <w:rsid w:val="009B02F5"/>
    <w:rsid w:val="009B044C"/>
    <w:rsid w:val="009B06BA"/>
    <w:rsid w:val="009B0721"/>
    <w:rsid w:val="009B0813"/>
    <w:rsid w:val="009B08C8"/>
    <w:rsid w:val="009B09BC"/>
    <w:rsid w:val="009B0AA5"/>
    <w:rsid w:val="009B0B86"/>
    <w:rsid w:val="009B0BB0"/>
    <w:rsid w:val="009B0CA4"/>
    <w:rsid w:val="009B0E50"/>
    <w:rsid w:val="009B1065"/>
    <w:rsid w:val="009B11A4"/>
    <w:rsid w:val="009B139D"/>
    <w:rsid w:val="009B1417"/>
    <w:rsid w:val="009B148C"/>
    <w:rsid w:val="009B15A5"/>
    <w:rsid w:val="009B1760"/>
    <w:rsid w:val="009B17F0"/>
    <w:rsid w:val="009B18B7"/>
    <w:rsid w:val="009B18BC"/>
    <w:rsid w:val="009B1933"/>
    <w:rsid w:val="009B1976"/>
    <w:rsid w:val="009B1B1F"/>
    <w:rsid w:val="009B1F78"/>
    <w:rsid w:val="009B1FB1"/>
    <w:rsid w:val="009B2015"/>
    <w:rsid w:val="009B2209"/>
    <w:rsid w:val="009B230E"/>
    <w:rsid w:val="009B2479"/>
    <w:rsid w:val="009B249F"/>
    <w:rsid w:val="009B24AE"/>
    <w:rsid w:val="009B2572"/>
    <w:rsid w:val="009B26B6"/>
    <w:rsid w:val="009B278C"/>
    <w:rsid w:val="009B27C6"/>
    <w:rsid w:val="009B2887"/>
    <w:rsid w:val="009B297B"/>
    <w:rsid w:val="009B2983"/>
    <w:rsid w:val="009B2C8F"/>
    <w:rsid w:val="009B2CF3"/>
    <w:rsid w:val="009B2D17"/>
    <w:rsid w:val="009B2D71"/>
    <w:rsid w:val="009B2E0D"/>
    <w:rsid w:val="009B2EA5"/>
    <w:rsid w:val="009B2EB7"/>
    <w:rsid w:val="009B3204"/>
    <w:rsid w:val="009B3275"/>
    <w:rsid w:val="009B32FF"/>
    <w:rsid w:val="009B3310"/>
    <w:rsid w:val="009B3315"/>
    <w:rsid w:val="009B3650"/>
    <w:rsid w:val="009B365B"/>
    <w:rsid w:val="009B3708"/>
    <w:rsid w:val="009B377A"/>
    <w:rsid w:val="009B3842"/>
    <w:rsid w:val="009B3943"/>
    <w:rsid w:val="009B394D"/>
    <w:rsid w:val="009B3A9B"/>
    <w:rsid w:val="009B3AEF"/>
    <w:rsid w:val="009B3D04"/>
    <w:rsid w:val="009B3F28"/>
    <w:rsid w:val="009B3F38"/>
    <w:rsid w:val="009B3F92"/>
    <w:rsid w:val="009B4006"/>
    <w:rsid w:val="009B415C"/>
    <w:rsid w:val="009B41AB"/>
    <w:rsid w:val="009B41D9"/>
    <w:rsid w:val="009B443C"/>
    <w:rsid w:val="009B4452"/>
    <w:rsid w:val="009B4456"/>
    <w:rsid w:val="009B44B3"/>
    <w:rsid w:val="009B44B5"/>
    <w:rsid w:val="009B46BC"/>
    <w:rsid w:val="009B4750"/>
    <w:rsid w:val="009B47E4"/>
    <w:rsid w:val="009B481A"/>
    <w:rsid w:val="009B48D2"/>
    <w:rsid w:val="009B48F2"/>
    <w:rsid w:val="009B4976"/>
    <w:rsid w:val="009B4AAB"/>
    <w:rsid w:val="009B4B25"/>
    <w:rsid w:val="009B4BC3"/>
    <w:rsid w:val="009B4C1A"/>
    <w:rsid w:val="009B4F9F"/>
    <w:rsid w:val="009B53B1"/>
    <w:rsid w:val="009B5444"/>
    <w:rsid w:val="009B55F3"/>
    <w:rsid w:val="009B561B"/>
    <w:rsid w:val="009B5627"/>
    <w:rsid w:val="009B57D1"/>
    <w:rsid w:val="009B588D"/>
    <w:rsid w:val="009B59B1"/>
    <w:rsid w:val="009B5A31"/>
    <w:rsid w:val="009B5AB3"/>
    <w:rsid w:val="009B5AC1"/>
    <w:rsid w:val="009B5DD9"/>
    <w:rsid w:val="009B5E31"/>
    <w:rsid w:val="009B5E85"/>
    <w:rsid w:val="009B5F15"/>
    <w:rsid w:val="009B60B1"/>
    <w:rsid w:val="009B60EF"/>
    <w:rsid w:val="009B6189"/>
    <w:rsid w:val="009B61C1"/>
    <w:rsid w:val="009B6321"/>
    <w:rsid w:val="009B633E"/>
    <w:rsid w:val="009B6508"/>
    <w:rsid w:val="009B6523"/>
    <w:rsid w:val="009B659F"/>
    <w:rsid w:val="009B6781"/>
    <w:rsid w:val="009B67BD"/>
    <w:rsid w:val="009B6830"/>
    <w:rsid w:val="009B6939"/>
    <w:rsid w:val="009B697C"/>
    <w:rsid w:val="009B6A5E"/>
    <w:rsid w:val="009B6A91"/>
    <w:rsid w:val="009B6B0A"/>
    <w:rsid w:val="009B6B73"/>
    <w:rsid w:val="009B6BB3"/>
    <w:rsid w:val="009B6DFB"/>
    <w:rsid w:val="009B6ECD"/>
    <w:rsid w:val="009B6F14"/>
    <w:rsid w:val="009B6F3D"/>
    <w:rsid w:val="009B70A7"/>
    <w:rsid w:val="009B70AB"/>
    <w:rsid w:val="009B70CC"/>
    <w:rsid w:val="009B721E"/>
    <w:rsid w:val="009B723C"/>
    <w:rsid w:val="009B7396"/>
    <w:rsid w:val="009B7420"/>
    <w:rsid w:val="009B7476"/>
    <w:rsid w:val="009B7554"/>
    <w:rsid w:val="009B7575"/>
    <w:rsid w:val="009B7594"/>
    <w:rsid w:val="009B7701"/>
    <w:rsid w:val="009B7980"/>
    <w:rsid w:val="009B79C0"/>
    <w:rsid w:val="009B7B11"/>
    <w:rsid w:val="009B7B25"/>
    <w:rsid w:val="009B7C56"/>
    <w:rsid w:val="009B7CD0"/>
    <w:rsid w:val="009B7EB3"/>
    <w:rsid w:val="009B7F6F"/>
    <w:rsid w:val="009C0000"/>
    <w:rsid w:val="009C02BA"/>
    <w:rsid w:val="009C02D8"/>
    <w:rsid w:val="009C02EE"/>
    <w:rsid w:val="009C03A1"/>
    <w:rsid w:val="009C0633"/>
    <w:rsid w:val="009C0798"/>
    <w:rsid w:val="009C07D0"/>
    <w:rsid w:val="009C07D2"/>
    <w:rsid w:val="009C0B2A"/>
    <w:rsid w:val="009C0B66"/>
    <w:rsid w:val="009C0C21"/>
    <w:rsid w:val="009C0C5A"/>
    <w:rsid w:val="009C0EC0"/>
    <w:rsid w:val="009C1249"/>
    <w:rsid w:val="009C1308"/>
    <w:rsid w:val="009C1352"/>
    <w:rsid w:val="009C154A"/>
    <w:rsid w:val="009C17A7"/>
    <w:rsid w:val="009C1866"/>
    <w:rsid w:val="009C1A27"/>
    <w:rsid w:val="009C1A75"/>
    <w:rsid w:val="009C1AC8"/>
    <w:rsid w:val="009C1B7C"/>
    <w:rsid w:val="009C1BAA"/>
    <w:rsid w:val="009C1C69"/>
    <w:rsid w:val="009C1D9F"/>
    <w:rsid w:val="009C2029"/>
    <w:rsid w:val="009C2164"/>
    <w:rsid w:val="009C23F8"/>
    <w:rsid w:val="009C2533"/>
    <w:rsid w:val="009C25F1"/>
    <w:rsid w:val="009C25F6"/>
    <w:rsid w:val="009C28A1"/>
    <w:rsid w:val="009C28AD"/>
    <w:rsid w:val="009C2906"/>
    <w:rsid w:val="009C2B45"/>
    <w:rsid w:val="009C2B81"/>
    <w:rsid w:val="009C2BC1"/>
    <w:rsid w:val="009C2C66"/>
    <w:rsid w:val="009C2C9B"/>
    <w:rsid w:val="009C2E10"/>
    <w:rsid w:val="009C300B"/>
    <w:rsid w:val="009C34CE"/>
    <w:rsid w:val="009C3521"/>
    <w:rsid w:val="009C353D"/>
    <w:rsid w:val="009C35F5"/>
    <w:rsid w:val="009C3665"/>
    <w:rsid w:val="009C3672"/>
    <w:rsid w:val="009C36EF"/>
    <w:rsid w:val="009C3745"/>
    <w:rsid w:val="009C3759"/>
    <w:rsid w:val="009C38FE"/>
    <w:rsid w:val="009C3972"/>
    <w:rsid w:val="009C39EA"/>
    <w:rsid w:val="009C3AB8"/>
    <w:rsid w:val="009C3C64"/>
    <w:rsid w:val="009C3D26"/>
    <w:rsid w:val="009C3D85"/>
    <w:rsid w:val="009C3F73"/>
    <w:rsid w:val="009C3FA7"/>
    <w:rsid w:val="009C3FD8"/>
    <w:rsid w:val="009C4065"/>
    <w:rsid w:val="009C40B0"/>
    <w:rsid w:val="009C40BF"/>
    <w:rsid w:val="009C44E0"/>
    <w:rsid w:val="009C4550"/>
    <w:rsid w:val="009C4600"/>
    <w:rsid w:val="009C4629"/>
    <w:rsid w:val="009C4668"/>
    <w:rsid w:val="009C46B7"/>
    <w:rsid w:val="009C4830"/>
    <w:rsid w:val="009C4850"/>
    <w:rsid w:val="009C4886"/>
    <w:rsid w:val="009C48E1"/>
    <w:rsid w:val="009C4950"/>
    <w:rsid w:val="009C4965"/>
    <w:rsid w:val="009C4AB1"/>
    <w:rsid w:val="009C4B49"/>
    <w:rsid w:val="009C4B73"/>
    <w:rsid w:val="009C4B87"/>
    <w:rsid w:val="009C4D67"/>
    <w:rsid w:val="009C4D8B"/>
    <w:rsid w:val="009C4E10"/>
    <w:rsid w:val="009C4E49"/>
    <w:rsid w:val="009C5197"/>
    <w:rsid w:val="009C51D1"/>
    <w:rsid w:val="009C529D"/>
    <w:rsid w:val="009C530B"/>
    <w:rsid w:val="009C531F"/>
    <w:rsid w:val="009C5360"/>
    <w:rsid w:val="009C537C"/>
    <w:rsid w:val="009C54E0"/>
    <w:rsid w:val="009C56F8"/>
    <w:rsid w:val="009C5709"/>
    <w:rsid w:val="009C57E7"/>
    <w:rsid w:val="009C5810"/>
    <w:rsid w:val="009C5923"/>
    <w:rsid w:val="009C5A09"/>
    <w:rsid w:val="009C5A1C"/>
    <w:rsid w:val="009C5B69"/>
    <w:rsid w:val="009C5CCA"/>
    <w:rsid w:val="009C5E97"/>
    <w:rsid w:val="009C5F9C"/>
    <w:rsid w:val="009C60C4"/>
    <w:rsid w:val="009C6114"/>
    <w:rsid w:val="009C6166"/>
    <w:rsid w:val="009C62D7"/>
    <w:rsid w:val="009C65D4"/>
    <w:rsid w:val="009C66C3"/>
    <w:rsid w:val="009C66E4"/>
    <w:rsid w:val="009C66E6"/>
    <w:rsid w:val="009C67A4"/>
    <w:rsid w:val="009C6887"/>
    <w:rsid w:val="009C688B"/>
    <w:rsid w:val="009C689E"/>
    <w:rsid w:val="009C68AC"/>
    <w:rsid w:val="009C6A05"/>
    <w:rsid w:val="009C6A6B"/>
    <w:rsid w:val="009C6AC0"/>
    <w:rsid w:val="009C6B6F"/>
    <w:rsid w:val="009C6D38"/>
    <w:rsid w:val="009C6E31"/>
    <w:rsid w:val="009C6E83"/>
    <w:rsid w:val="009C6F3A"/>
    <w:rsid w:val="009C709E"/>
    <w:rsid w:val="009C70D8"/>
    <w:rsid w:val="009C70F5"/>
    <w:rsid w:val="009C72D5"/>
    <w:rsid w:val="009C735D"/>
    <w:rsid w:val="009C74EE"/>
    <w:rsid w:val="009C7539"/>
    <w:rsid w:val="009C7652"/>
    <w:rsid w:val="009C7699"/>
    <w:rsid w:val="009C778B"/>
    <w:rsid w:val="009C77E7"/>
    <w:rsid w:val="009C782A"/>
    <w:rsid w:val="009C788A"/>
    <w:rsid w:val="009C79B1"/>
    <w:rsid w:val="009C7B64"/>
    <w:rsid w:val="009C7B77"/>
    <w:rsid w:val="009C7B93"/>
    <w:rsid w:val="009C7D35"/>
    <w:rsid w:val="009C7DCC"/>
    <w:rsid w:val="009D0085"/>
    <w:rsid w:val="009D00BC"/>
    <w:rsid w:val="009D00C7"/>
    <w:rsid w:val="009D0150"/>
    <w:rsid w:val="009D01EE"/>
    <w:rsid w:val="009D02CD"/>
    <w:rsid w:val="009D032E"/>
    <w:rsid w:val="009D045A"/>
    <w:rsid w:val="009D08C1"/>
    <w:rsid w:val="009D09CF"/>
    <w:rsid w:val="009D0AA8"/>
    <w:rsid w:val="009D0AEC"/>
    <w:rsid w:val="009D0BBB"/>
    <w:rsid w:val="009D0D9F"/>
    <w:rsid w:val="009D0DE8"/>
    <w:rsid w:val="009D0E02"/>
    <w:rsid w:val="009D0EE9"/>
    <w:rsid w:val="009D12F6"/>
    <w:rsid w:val="009D1526"/>
    <w:rsid w:val="009D1599"/>
    <w:rsid w:val="009D15DD"/>
    <w:rsid w:val="009D15E5"/>
    <w:rsid w:val="009D1613"/>
    <w:rsid w:val="009D18AA"/>
    <w:rsid w:val="009D1971"/>
    <w:rsid w:val="009D1AC7"/>
    <w:rsid w:val="009D1BD5"/>
    <w:rsid w:val="009D1C32"/>
    <w:rsid w:val="009D1C8F"/>
    <w:rsid w:val="009D1D22"/>
    <w:rsid w:val="009D1D26"/>
    <w:rsid w:val="009D1E40"/>
    <w:rsid w:val="009D1EB1"/>
    <w:rsid w:val="009D1F27"/>
    <w:rsid w:val="009D2012"/>
    <w:rsid w:val="009D20A0"/>
    <w:rsid w:val="009D2135"/>
    <w:rsid w:val="009D24B5"/>
    <w:rsid w:val="009D24D2"/>
    <w:rsid w:val="009D26B0"/>
    <w:rsid w:val="009D27DA"/>
    <w:rsid w:val="009D2805"/>
    <w:rsid w:val="009D2927"/>
    <w:rsid w:val="009D2A29"/>
    <w:rsid w:val="009D2B1B"/>
    <w:rsid w:val="009D2B43"/>
    <w:rsid w:val="009D2D99"/>
    <w:rsid w:val="009D2E1C"/>
    <w:rsid w:val="009D2E83"/>
    <w:rsid w:val="009D2F6D"/>
    <w:rsid w:val="009D3031"/>
    <w:rsid w:val="009D30FE"/>
    <w:rsid w:val="009D31AB"/>
    <w:rsid w:val="009D3414"/>
    <w:rsid w:val="009D3492"/>
    <w:rsid w:val="009D34CC"/>
    <w:rsid w:val="009D34D7"/>
    <w:rsid w:val="009D355C"/>
    <w:rsid w:val="009D37FD"/>
    <w:rsid w:val="009D383C"/>
    <w:rsid w:val="009D3C73"/>
    <w:rsid w:val="009D3CF3"/>
    <w:rsid w:val="009D3D89"/>
    <w:rsid w:val="009D3E83"/>
    <w:rsid w:val="009D3EBB"/>
    <w:rsid w:val="009D3F39"/>
    <w:rsid w:val="009D3FE8"/>
    <w:rsid w:val="009D4059"/>
    <w:rsid w:val="009D415B"/>
    <w:rsid w:val="009D41C8"/>
    <w:rsid w:val="009D4217"/>
    <w:rsid w:val="009D4263"/>
    <w:rsid w:val="009D43A8"/>
    <w:rsid w:val="009D4446"/>
    <w:rsid w:val="009D445F"/>
    <w:rsid w:val="009D448A"/>
    <w:rsid w:val="009D4528"/>
    <w:rsid w:val="009D4581"/>
    <w:rsid w:val="009D45F6"/>
    <w:rsid w:val="009D4634"/>
    <w:rsid w:val="009D4657"/>
    <w:rsid w:val="009D4760"/>
    <w:rsid w:val="009D47AA"/>
    <w:rsid w:val="009D487E"/>
    <w:rsid w:val="009D49DF"/>
    <w:rsid w:val="009D49FF"/>
    <w:rsid w:val="009D4A20"/>
    <w:rsid w:val="009D4A59"/>
    <w:rsid w:val="009D4AD0"/>
    <w:rsid w:val="009D4AF0"/>
    <w:rsid w:val="009D4B1D"/>
    <w:rsid w:val="009D4B55"/>
    <w:rsid w:val="009D4DB8"/>
    <w:rsid w:val="009D4E4D"/>
    <w:rsid w:val="009D4F6F"/>
    <w:rsid w:val="009D4F81"/>
    <w:rsid w:val="009D4FE9"/>
    <w:rsid w:val="009D4FF6"/>
    <w:rsid w:val="009D5008"/>
    <w:rsid w:val="009D51EA"/>
    <w:rsid w:val="009D53CA"/>
    <w:rsid w:val="009D543C"/>
    <w:rsid w:val="009D5519"/>
    <w:rsid w:val="009D57B1"/>
    <w:rsid w:val="009D5943"/>
    <w:rsid w:val="009D5975"/>
    <w:rsid w:val="009D5A09"/>
    <w:rsid w:val="009D5A61"/>
    <w:rsid w:val="009D5AA0"/>
    <w:rsid w:val="009D5B5A"/>
    <w:rsid w:val="009D5BA6"/>
    <w:rsid w:val="009D5C10"/>
    <w:rsid w:val="009D5DCA"/>
    <w:rsid w:val="009D6061"/>
    <w:rsid w:val="009D627F"/>
    <w:rsid w:val="009D637F"/>
    <w:rsid w:val="009D66AE"/>
    <w:rsid w:val="009D6776"/>
    <w:rsid w:val="009D68DF"/>
    <w:rsid w:val="009D69BB"/>
    <w:rsid w:val="009D6BC4"/>
    <w:rsid w:val="009D6C5A"/>
    <w:rsid w:val="009D6C6E"/>
    <w:rsid w:val="009D6CC2"/>
    <w:rsid w:val="009D6F85"/>
    <w:rsid w:val="009D6FF9"/>
    <w:rsid w:val="009D70AB"/>
    <w:rsid w:val="009D714C"/>
    <w:rsid w:val="009D748F"/>
    <w:rsid w:val="009D7597"/>
    <w:rsid w:val="009D75AB"/>
    <w:rsid w:val="009D75AF"/>
    <w:rsid w:val="009D76F7"/>
    <w:rsid w:val="009D7704"/>
    <w:rsid w:val="009D778A"/>
    <w:rsid w:val="009D7829"/>
    <w:rsid w:val="009D78AD"/>
    <w:rsid w:val="009D7906"/>
    <w:rsid w:val="009D7911"/>
    <w:rsid w:val="009D7962"/>
    <w:rsid w:val="009D7A00"/>
    <w:rsid w:val="009D7A02"/>
    <w:rsid w:val="009D7B2D"/>
    <w:rsid w:val="009D7D1F"/>
    <w:rsid w:val="009D7D6A"/>
    <w:rsid w:val="009D7E44"/>
    <w:rsid w:val="009D7E6F"/>
    <w:rsid w:val="009D7E91"/>
    <w:rsid w:val="009D7F45"/>
    <w:rsid w:val="009E0113"/>
    <w:rsid w:val="009E0118"/>
    <w:rsid w:val="009E0130"/>
    <w:rsid w:val="009E0286"/>
    <w:rsid w:val="009E02C3"/>
    <w:rsid w:val="009E032A"/>
    <w:rsid w:val="009E033E"/>
    <w:rsid w:val="009E0348"/>
    <w:rsid w:val="009E04AA"/>
    <w:rsid w:val="009E0896"/>
    <w:rsid w:val="009E08FD"/>
    <w:rsid w:val="009E0B20"/>
    <w:rsid w:val="009E0C0C"/>
    <w:rsid w:val="009E0DB6"/>
    <w:rsid w:val="009E0E63"/>
    <w:rsid w:val="009E0E9D"/>
    <w:rsid w:val="009E0FCD"/>
    <w:rsid w:val="009E0FF4"/>
    <w:rsid w:val="009E108A"/>
    <w:rsid w:val="009E120B"/>
    <w:rsid w:val="009E1263"/>
    <w:rsid w:val="009E1376"/>
    <w:rsid w:val="009E1446"/>
    <w:rsid w:val="009E160B"/>
    <w:rsid w:val="009E1657"/>
    <w:rsid w:val="009E16AA"/>
    <w:rsid w:val="009E16BA"/>
    <w:rsid w:val="009E16C0"/>
    <w:rsid w:val="009E1B17"/>
    <w:rsid w:val="009E1B2F"/>
    <w:rsid w:val="009E1B85"/>
    <w:rsid w:val="009E1D03"/>
    <w:rsid w:val="009E1EDF"/>
    <w:rsid w:val="009E1EF5"/>
    <w:rsid w:val="009E2048"/>
    <w:rsid w:val="009E20B4"/>
    <w:rsid w:val="009E2118"/>
    <w:rsid w:val="009E213E"/>
    <w:rsid w:val="009E2194"/>
    <w:rsid w:val="009E222A"/>
    <w:rsid w:val="009E2288"/>
    <w:rsid w:val="009E22BA"/>
    <w:rsid w:val="009E22DA"/>
    <w:rsid w:val="009E2765"/>
    <w:rsid w:val="009E2802"/>
    <w:rsid w:val="009E29E5"/>
    <w:rsid w:val="009E2A45"/>
    <w:rsid w:val="009E2AAC"/>
    <w:rsid w:val="009E2BF5"/>
    <w:rsid w:val="009E2E94"/>
    <w:rsid w:val="009E2ED0"/>
    <w:rsid w:val="009E2ED1"/>
    <w:rsid w:val="009E2F3E"/>
    <w:rsid w:val="009E2F9E"/>
    <w:rsid w:val="009E3154"/>
    <w:rsid w:val="009E31F9"/>
    <w:rsid w:val="009E327B"/>
    <w:rsid w:val="009E33D0"/>
    <w:rsid w:val="009E3535"/>
    <w:rsid w:val="009E3539"/>
    <w:rsid w:val="009E3568"/>
    <w:rsid w:val="009E3642"/>
    <w:rsid w:val="009E3654"/>
    <w:rsid w:val="009E3786"/>
    <w:rsid w:val="009E37D3"/>
    <w:rsid w:val="009E3992"/>
    <w:rsid w:val="009E3A21"/>
    <w:rsid w:val="009E3AFC"/>
    <w:rsid w:val="009E3C0A"/>
    <w:rsid w:val="009E3C35"/>
    <w:rsid w:val="009E3C98"/>
    <w:rsid w:val="009E3CF7"/>
    <w:rsid w:val="009E3DC5"/>
    <w:rsid w:val="009E3E35"/>
    <w:rsid w:val="009E3E41"/>
    <w:rsid w:val="009E3E9E"/>
    <w:rsid w:val="009E3F0D"/>
    <w:rsid w:val="009E3F43"/>
    <w:rsid w:val="009E3F98"/>
    <w:rsid w:val="009E4199"/>
    <w:rsid w:val="009E41B0"/>
    <w:rsid w:val="009E4238"/>
    <w:rsid w:val="009E42DB"/>
    <w:rsid w:val="009E44AC"/>
    <w:rsid w:val="009E4524"/>
    <w:rsid w:val="009E45BA"/>
    <w:rsid w:val="009E45F9"/>
    <w:rsid w:val="009E4614"/>
    <w:rsid w:val="009E4675"/>
    <w:rsid w:val="009E4766"/>
    <w:rsid w:val="009E496B"/>
    <w:rsid w:val="009E4AB0"/>
    <w:rsid w:val="009E4C8B"/>
    <w:rsid w:val="009E4E60"/>
    <w:rsid w:val="009E4F35"/>
    <w:rsid w:val="009E4F4D"/>
    <w:rsid w:val="009E4FAA"/>
    <w:rsid w:val="009E510F"/>
    <w:rsid w:val="009E52CD"/>
    <w:rsid w:val="009E54EE"/>
    <w:rsid w:val="009E5542"/>
    <w:rsid w:val="009E55E3"/>
    <w:rsid w:val="009E56A7"/>
    <w:rsid w:val="009E57C4"/>
    <w:rsid w:val="009E584F"/>
    <w:rsid w:val="009E5A2B"/>
    <w:rsid w:val="009E5C5F"/>
    <w:rsid w:val="009E5DBE"/>
    <w:rsid w:val="009E5DE4"/>
    <w:rsid w:val="009E5E41"/>
    <w:rsid w:val="009E5FCA"/>
    <w:rsid w:val="009E60B0"/>
    <w:rsid w:val="009E61EC"/>
    <w:rsid w:val="009E63E9"/>
    <w:rsid w:val="009E64C8"/>
    <w:rsid w:val="009E675F"/>
    <w:rsid w:val="009E685A"/>
    <w:rsid w:val="009E6929"/>
    <w:rsid w:val="009E6945"/>
    <w:rsid w:val="009E6B36"/>
    <w:rsid w:val="009E6BA1"/>
    <w:rsid w:val="009E6CE3"/>
    <w:rsid w:val="009E6EA6"/>
    <w:rsid w:val="009E6ED8"/>
    <w:rsid w:val="009E6FD3"/>
    <w:rsid w:val="009E71A9"/>
    <w:rsid w:val="009E7247"/>
    <w:rsid w:val="009E724A"/>
    <w:rsid w:val="009E7250"/>
    <w:rsid w:val="009E74AA"/>
    <w:rsid w:val="009E74D1"/>
    <w:rsid w:val="009E74DF"/>
    <w:rsid w:val="009E74E5"/>
    <w:rsid w:val="009E74E8"/>
    <w:rsid w:val="009E74F3"/>
    <w:rsid w:val="009E760B"/>
    <w:rsid w:val="009E764B"/>
    <w:rsid w:val="009E7783"/>
    <w:rsid w:val="009E77A9"/>
    <w:rsid w:val="009E7802"/>
    <w:rsid w:val="009E7A05"/>
    <w:rsid w:val="009E7B4B"/>
    <w:rsid w:val="009E7BD2"/>
    <w:rsid w:val="009E7CB3"/>
    <w:rsid w:val="009E7D80"/>
    <w:rsid w:val="009E7DE8"/>
    <w:rsid w:val="009E7F1D"/>
    <w:rsid w:val="009E7FD9"/>
    <w:rsid w:val="009F0383"/>
    <w:rsid w:val="009F07C5"/>
    <w:rsid w:val="009F084F"/>
    <w:rsid w:val="009F089B"/>
    <w:rsid w:val="009F08BB"/>
    <w:rsid w:val="009F0903"/>
    <w:rsid w:val="009F0915"/>
    <w:rsid w:val="009F0964"/>
    <w:rsid w:val="009F0BEC"/>
    <w:rsid w:val="009F0BEE"/>
    <w:rsid w:val="009F0D26"/>
    <w:rsid w:val="009F0D81"/>
    <w:rsid w:val="009F0FFB"/>
    <w:rsid w:val="009F115E"/>
    <w:rsid w:val="009F1300"/>
    <w:rsid w:val="009F1603"/>
    <w:rsid w:val="009F1654"/>
    <w:rsid w:val="009F165C"/>
    <w:rsid w:val="009F16B5"/>
    <w:rsid w:val="009F1706"/>
    <w:rsid w:val="009F181F"/>
    <w:rsid w:val="009F1B23"/>
    <w:rsid w:val="009F1D26"/>
    <w:rsid w:val="009F1D46"/>
    <w:rsid w:val="009F1DB5"/>
    <w:rsid w:val="009F1DCA"/>
    <w:rsid w:val="009F1E1A"/>
    <w:rsid w:val="009F1E96"/>
    <w:rsid w:val="009F1F39"/>
    <w:rsid w:val="009F20C9"/>
    <w:rsid w:val="009F245C"/>
    <w:rsid w:val="009F24CB"/>
    <w:rsid w:val="009F259B"/>
    <w:rsid w:val="009F267D"/>
    <w:rsid w:val="009F27F5"/>
    <w:rsid w:val="009F292C"/>
    <w:rsid w:val="009F2964"/>
    <w:rsid w:val="009F29F2"/>
    <w:rsid w:val="009F2C12"/>
    <w:rsid w:val="009F2C55"/>
    <w:rsid w:val="009F2CA5"/>
    <w:rsid w:val="009F2D2B"/>
    <w:rsid w:val="009F302A"/>
    <w:rsid w:val="009F3035"/>
    <w:rsid w:val="009F3315"/>
    <w:rsid w:val="009F342B"/>
    <w:rsid w:val="009F3508"/>
    <w:rsid w:val="009F3532"/>
    <w:rsid w:val="009F3556"/>
    <w:rsid w:val="009F3572"/>
    <w:rsid w:val="009F3728"/>
    <w:rsid w:val="009F3742"/>
    <w:rsid w:val="009F3813"/>
    <w:rsid w:val="009F383F"/>
    <w:rsid w:val="009F389D"/>
    <w:rsid w:val="009F38FF"/>
    <w:rsid w:val="009F3941"/>
    <w:rsid w:val="009F3AA1"/>
    <w:rsid w:val="009F3B32"/>
    <w:rsid w:val="009F3BA0"/>
    <w:rsid w:val="009F3C49"/>
    <w:rsid w:val="009F3C9B"/>
    <w:rsid w:val="009F3D16"/>
    <w:rsid w:val="009F3D19"/>
    <w:rsid w:val="009F3D4B"/>
    <w:rsid w:val="009F3E26"/>
    <w:rsid w:val="009F3E43"/>
    <w:rsid w:val="009F410C"/>
    <w:rsid w:val="009F4299"/>
    <w:rsid w:val="009F4340"/>
    <w:rsid w:val="009F4477"/>
    <w:rsid w:val="009F44A8"/>
    <w:rsid w:val="009F456B"/>
    <w:rsid w:val="009F459D"/>
    <w:rsid w:val="009F45BB"/>
    <w:rsid w:val="009F4786"/>
    <w:rsid w:val="009F4AE7"/>
    <w:rsid w:val="009F4B5D"/>
    <w:rsid w:val="009F4CE2"/>
    <w:rsid w:val="009F4CE6"/>
    <w:rsid w:val="009F4D2A"/>
    <w:rsid w:val="009F4DAA"/>
    <w:rsid w:val="009F50B2"/>
    <w:rsid w:val="009F51A4"/>
    <w:rsid w:val="009F523D"/>
    <w:rsid w:val="009F5245"/>
    <w:rsid w:val="009F528B"/>
    <w:rsid w:val="009F54B0"/>
    <w:rsid w:val="009F54E6"/>
    <w:rsid w:val="009F557B"/>
    <w:rsid w:val="009F55F2"/>
    <w:rsid w:val="009F585F"/>
    <w:rsid w:val="009F587B"/>
    <w:rsid w:val="009F59DB"/>
    <w:rsid w:val="009F5A4D"/>
    <w:rsid w:val="009F5C6E"/>
    <w:rsid w:val="009F5D0B"/>
    <w:rsid w:val="009F5EBF"/>
    <w:rsid w:val="009F5F56"/>
    <w:rsid w:val="009F6463"/>
    <w:rsid w:val="009F6567"/>
    <w:rsid w:val="009F6642"/>
    <w:rsid w:val="009F6649"/>
    <w:rsid w:val="009F6991"/>
    <w:rsid w:val="009F6B88"/>
    <w:rsid w:val="009F6C8F"/>
    <w:rsid w:val="009F6EF0"/>
    <w:rsid w:val="009F6F0D"/>
    <w:rsid w:val="009F71B8"/>
    <w:rsid w:val="009F71D9"/>
    <w:rsid w:val="009F73AB"/>
    <w:rsid w:val="009F7493"/>
    <w:rsid w:val="009F75E6"/>
    <w:rsid w:val="009F76F5"/>
    <w:rsid w:val="009F771A"/>
    <w:rsid w:val="009F7891"/>
    <w:rsid w:val="009F7894"/>
    <w:rsid w:val="009F78D4"/>
    <w:rsid w:val="009F7930"/>
    <w:rsid w:val="009F7960"/>
    <w:rsid w:val="009F7A29"/>
    <w:rsid w:val="009F7B35"/>
    <w:rsid w:val="009F7B8F"/>
    <w:rsid w:val="009F7BA7"/>
    <w:rsid w:val="009F7D75"/>
    <w:rsid w:val="009F7EA8"/>
    <w:rsid w:val="009F7F0F"/>
    <w:rsid w:val="00A00321"/>
    <w:rsid w:val="00A00452"/>
    <w:rsid w:val="00A0052E"/>
    <w:rsid w:val="00A008F0"/>
    <w:rsid w:val="00A00922"/>
    <w:rsid w:val="00A00C3A"/>
    <w:rsid w:val="00A00C4E"/>
    <w:rsid w:val="00A00CA6"/>
    <w:rsid w:val="00A00D2B"/>
    <w:rsid w:val="00A00E05"/>
    <w:rsid w:val="00A00FAC"/>
    <w:rsid w:val="00A01167"/>
    <w:rsid w:val="00A012C8"/>
    <w:rsid w:val="00A01340"/>
    <w:rsid w:val="00A01688"/>
    <w:rsid w:val="00A01782"/>
    <w:rsid w:val="00A01928"/>
    <w:rsid w:val="00A0198F"/>
    <w:rsid w:val="00A01B5D"/>
    <w:rsid w:val="00A01C4F"/>
    <w:rsid w:val="00A01C73"/>
    <w:rsid w:val="00A01E29"/>
    <w:rsid w:val="00A01F26"/>
    <w:rsid w:val="00A01FBA"/>
    <w:rsid w:val="00A02047"/>
    <w:rsid w:val="00A02109"/>
    <w:rsid w:val="00A0258B"/>
    <w:rsid w:val="00A025D2"/>
    <w:rsid w:val="00A0283E"/>
    <w:rsid w:val="00A02ADB"/>
    <w:rsid w:val="00A02BAC"/>
    <w:rsid w:val="00A02BEC"/>
    <w:rsid w:val="00A02E1D"/>
    <w:rsid w:val="00A02E98"/>
    <w:rsid w:val="00A02E9E"/>
    <w:rsid w:val="00A0302E"/>
    <w:rsid w:val="00A03156"/>
    <w:rsid w:val="00A031D7"/>
    <w:rsid w:val="00A031E1"/>
    <w:rsid w:val="00A031F9"/>
    <w:rsid w:val="00A03333"/>
    <w:rsid w:val="00A03369"/>
    <w:rsid w:val="00A033C9"/>
    <w:rsid w:val="00A03728"/>
    <w:rsid w:val="00A0388E"/>
    <w:rsid w:val="00A03B10"/>
    <w:rsid w:val="00A03CE0"/>
    <w:rsid w:val="00A03D24"/>
    <w:rsid w:val="00A03D4E"/>
    <w:rsid w:val="00A03E70"/>
    <w:rsid w:val="00A03EED"/>
    <w:rsid w:val="00A040F5"/>
    <w:rsid w:val="00A0413D"/>
    <w:rsid w:val="00A042A0"/>
    <w:rsid w:val="00A0434E"/>
    <w:rsid w:val="00A0444B"/>
    <w:rsid w:val="00A0448F"/>
    <w:rsid w:val="00A04490"/>
    <w:rsid w:val="00A044A1"/>
    <w:rsid w:val="00A04602"/>
    <w:rsid w:val="00A046DD"/>
    <w:rsid w:val="00A04786"/>
    <w:rsid w:val="00A04A50"/>
    <w:rsid w:val="00A04BCC"/>
    <w:rsid w:val="00A04BF3"/>
    <w:rsid w:val="00A04C9C"/>
    <w:rsid w:val="00A04D24"/>
    <w:rsid w:val="00A04EDF"/>
    <w:rsid w:val="00A04F15"/>
    <w:rsid w:val="00A04FEB"/>
    <w:rsid w:val="00A0511E"/>
    <w:rsid w:val="00A05120"/>
    <w:rsid w:val="00A0516D"/>
    <w:rsid w:val="00A0516F"/>
    <w:rsid w:val="00A0519E"/>
    <w:rsid w:val="00A051E5"/>
    <w:rsid w:val="00A0520B"/>
    <w:rsid w:val="00A05325"/>
    <w:rsid w:val="00A0547F"/>
    <w:rsid w:val="00A054F6"/>
    <w:rsid w:val="00A05623"/>
    <w:rsid w:val="00A0573C"/>
    <w:rsid w:val="00A05787"/>
    <w:rsid w:val="00A057BD"/>
    <w:rsid w:val="00A057D7"/>
    <w:rsid w:val="00A057EB"/>
    <w:rsid w:val="00A0583E"/>
    <w:rsid w:val="00A05910"/>
    <w:rsid w:val="00A059D7"/>
    <w:rsid w:val="00A05B23"/>
    <w:rsid w:val="00A05B76"/>
    <w:rsid w:val="00A05B9A"/>
    <w:rsid w:val="00A05BDD"/>
    <w:rsid w:val="00A05C20"/>
    <w:rsid w:val="00A05D37"/>
    <w:rsid w:val="00A05D49"/>
    <w:rsid w:val="00A05DE9"/>
    <w:rsid w:val="00A05DEC"/>
    <w:rsid w:val="00A05F46"/>
    <w:rsid w:val="00A05F53"/>
    <w:rsid w:val="00A05FAD"/>
    <w:rsid w:val="00A0601C"/>
    <w:rsid w:val="00A06108"/>
    <w:rsid w:val="00A06169"/>
    <w:rsid w:val="00A0616D"/>
    <w:rsid w:val="00A061AA"/>
    <w:rsid w:val="00A061F7"/>
    <w:rsid w:val="00A0622F"/>
    <w:rsid w:val="00A06404"/>
    <w:rsid w:val="00A06550"/>
    <w:rsid w:val="00A06588"/>
    <w:rsid w:val="00A06668"/>
    <w:rsid w:val="00A06705"/>
    <w:rsid w:val="00A067F4"/>
    <w:rsid w:val="00A06814"/>
    <w:rsid w:val="00A068E4"/>
    <w:rsid w:val="00A0696A"/>
    <w:rsid w:val="00A06A41"/>
    <w:rsid w:val="00A06A54"/>
    <w:rsid w:val="00A06A8B"/>
    <w:rsid w:val="00A06BB2"/>
    <w:rsid w:val="00A06C3A"/>
    <w:rsid w:val="00A06D14"/>
    <w:rsid w:val="00A06D93"/>
    <w:rsid w:val="00A06E0E"/>
    <w:rsid w:val="00A07026"/>
    <w:rsid w:val="00A070E5"/>
    <w:rsid w:val="00A0729E"/>
    <w:rsid w:val="00A0732B"/>
    <w:rsid w:val="00A074A7"/>
    <w:rsid w:val="00A074E9"/>
    <w:rsid w:val="00A0756B"/>
    <w:rsid w:val="00A07935"/>
    <w:rsid w:val="00A07966"/>
    <w:rsid w:val="00A07BB4"/>
    <w:rsid w:val="00A07D83"/>
    <w:rsid w:val="00A07E94"/>
    <w:rsid w:val="00A07F33"/>
    <w:rsid w:val="00A07F54"/>
    <w:rsid w:val="00A10016"/>
    <w:rsid w:val="00A101F6"/>
    <w:rsid w:val="00A102E4"/>
    <w:rsid w:val="00A10401"/>
    <w:rsid w:val="00A10411"/>
    <w:rsid w:val="00A10441"/>
    <w:rsid w:val="00A1057B"/>
    <w:rsid w:val="00A10674"/>
    <w:rsid w:val="00A10777"/>
    <w:rsid w:val="00A10A40"/>
    <w:rsid w:val="00A10C4D"/>
    <w:rsid w:val="00A10CB2"/>
    <w:rsid w:val="00A10CF6"/>
    <w:rsid w:val="00A10E6B"/>
    <w:rsid w:val="00A10ED4"/>
    <w:rsid w:val="00A11183"/>
    <w:rsid w:val="00A111DB"/>
    <w:rsid w:val="00A1166F"/>
    <w:rsid w:val="00A11765"/>
    <w:rsid w:val="00A11823"/>
    <w:rsid w:val="00A11987"/>
    <w:rsid w:val="00A11AB3"/>
    <w:rsid w:val="00A11AFE"/>
    <w:rsid w:val="00A11DF6"/>
    <w:rsid w:val="00A11EF5"/>
    <w:rsid w:val="00A11EF7"/>
    <w:rsid w:val="00A11FC8"/>
    <w:rsid w:val="00A11FE5"/>
    <w:rsid w:val="00A11FF6"/>
    <w:rsid w:val="00A1227A"/>
    <w:rsid w:val="00A1242C"/>
    <w:rsid w:val="00A1245D"/>
    <w:rsid w:val="00A12530"/>
    <w:rsid w:val="00A125D8"/>
    <w:rsid w:val="00A1265B"/>
    <w:rsid w:val="00A12669"/>
    <w:rsid w:val="00A12758"/>
    <w:rsid w:val="00A1282B"/>
    <w:rsid w:val="00A128BB"/>
    <w:rsid w:val="00A128E7"/>
    <w:rsid w:val="00A12A2A"/>
    <w:rsid w:val="00A12AD9"/>
    <w:rsid w:val="00A12C8D"/>
    <w:rsid w:val="00A12D6A"/>
    <w:rsid w:val="00A12EDE"/>
    <w:rsid w:val="00A12EE2"/>
    <w:rsid w:val="00A12F0E"/>
    <w:rsid w:val="00A13014"/>
    <w:rsid w:val="00A1313B"/>
    <w:rsid w:val="00A131AB"/>
    <w:rsid w:val="00A13225"/>
    <w:rsid w:val="00A132A7"/>
    <w:rsid w:val="00A132C7"/>
    <w:rsid w:val="00A1345D"/>
    <w:rsid w:val="00A134FE"/>
    <w:rsid w:val="00A13501"/>
    <w:rsid w:val="00A135B3"/>
    <w:rsid w:val="00A1366F"/>
    <w:rsid w:val="00A137E6"/>
    <w:rsid w:val="00A1387C"/>
    <w:rsid w:val="00A1390D"/>
    <w:rsid w:val="00A139F2"/>
    <w:rsid w:val="00A13AC7"/>
    <w:rsid w:val="00A13BBF"/>
    <w:rsid w:val="00A13D66"/>
    <w:rsid w:val="00A13DB3"/>
    <w:rsid w:val="00A13DD5"/>
    <w:rsid w:val="00A13ED9"/>
    <w:rsid w:val="00A13F7D"/>
    <w:rsid w:val="00A13FB8"/>
    <w:rsid w:val="00A14157"/>
    <w:rsid w:val="00A14240"/>
    <w:rsid w:val="00A145C2"/>
    <w:rsid w:val="00A147E5"/>
    <w:rsid w:val="00A148F8"/>
    <w:rsid w:val="00A14C00"/>
    <w:rsid w:val="00A14C0A"/>
    <w:rsid w:val="00A14C88"/>
    <w:rsid w:val="00A14D05"/>
    <w:rsid w:val="00A14DC4"/>
    <w:rsid w:val="00A14E54"/>
    <w:rsid w:val="00A14E97"/>
    <w:rsid w:val="00A14EDB"/>
    <w:rsid w:val="00A14F15"/>
    <w:rsid w:val="00A14F2E"/>
    <w:rsid w:val="00A15051"/>
    <w:rsid w:val="00A1508E"/>
    <w:rsid w:val="00A1518F"/>
    <w:rsid w:val="00A1533A"/>
    <w:rsid w:val="00A1538D"/>
    <w:rsid w:val="00A153B6"/>
    <w:rsid w:val="00A154E7"/>
    <w:rsid w:val="00A157C8"/>
    <w:rsid w:val="00A157EE"/>
    <w:rsid w:val="00A15853"/>
    <w:rsid w:val="00A158F0"/>
    <w:rsid w:val="00A15973"/>
    <w:rsid w:val="00A159C0"/>
    <w:rsid w:val="00A15A22"/>
    <w:rsid w:val="00A15A70"/>
    <w:rsid w:val="00A16275"/>
    <w:rsid w:val="00A162E7"/>
    <w:rsid w:val="00A166DE"/>
    <w:rsid w:val="00A1689D"/>
    <w:rsid w:val="00A1689E"/>
    <w:rsid w:val="00A1689F"/>
    <w:rsid w:val="00A168B2"/>
    <w:rsid w:val="00A16907"/>
    <w:rsid w:val="00A16A81"/>
    <w:rsid w:val="00A16AD1"/>
    <w:rsid w:val="00A16D32"/>
    <w:rsid w:val="00A16E7D"/>
    <w:rsid w:val="00A16ED3"/>
    <w:rsid w:val="00A16FC6"/>
    <w:rsid w:val="00A17002"/>
    <w:rsid w:val="00A17182"/>
    <w:rsid w:val="00A171F5"/>
    <w:rsid w:val="00A17203"/>
    <w:rsid w:val="00A172A7"/>
    <w:rsid w:val="00A172B7"/>
    <w:rsid w:val="00A172FE"/>
    <w:rsid w:val="00A17466"/>
    <w:rsid w:val="00A17586"/>
    <w:rsid w:val="00A176BE"/>
    <w:rsid w:val="00A176D9"/>
    <w:rsid w:val="00A176FE"/>
    <w:rsid w:val="00A1776A"/>
    <w:rsid w:val="00A177AD"/>
    <w:rsid w:val="00A17B82"/>
    <w:rsid w:val="00A17DC7"/>
    <w:rsid w:val="00A17E53"/>
    <w:rsid w:val="00A20014"/>
    <w:rsid w:val="00A20044"/>
    <w:rsid w:val="00A201EA"/>
    <w:rsid w:val="00A20306"/>
    <w:rsid w:val="00A2030B"/>
    <w:rsid w:val="00A2039D"/>
    <w:rsid w:val="00A203A3"/>
    <w:rsid w:val="00A2049E"/>
    <w:rsid w:val="00A205A9"/>
    <w:rsid w:val="00A20645"/>
    <w:rsid w:val="00A20704"/>
    <w:rsid w:val="00A208F8"/>
    <w:rsid w:val="00A20904"/>
    <w:rsid w:val="00A20A36"/>
    <w:rsid w:val="00A20A81"/>
    <w:rsid w:val="00A20AAF"/>
    <w:rsid w:val="00A20AFD"/>
    <w:rsid w:val="00A20B86"/>
    <w:rsid w:val="00A20E4E"/>
    <w:rsid w:val="00A20F5D"/>
    <w:rsid w:val="00A20F7F"/>
    <w:rsid w:val="00A20F9B"/>
    <w:rsid w:val="00A21073"/>
    <w:rsid w:val="00A213CB"/>
    <w:rsid w:val="00A213EB"/>
    <w:rsid w:val="00A214FE"/>
    <w:rsid w:val="00A2167F"/>
    <w:rsid w:val="00A216E5"/>
    <w:rsid w:val="00A21A18"/>
    <w:rsid w:val="00A21BC4"/>
    <w:rsid w:val="00A21C91"/>
    <w:rsid w:val="00A21DB2"/>
    <w:rsid w:val="00A21F36"/>
    <w:rsid w:val="00A223F1"/>
    <w:rsid w:val="00A2257F"/>
    <w:rsid w:val="00A225A7"/>
    <w:rsid w:val="00A2261A"/>
    <w:rsid w:val="00A2262E"/>
    <w:rsid w:val="00A2268F"/>
    <w:rsid w:val="00A2275B"/>
    <w:rsid w:val="00A227FA"/>
    <w:rsid w:val="00A2281C"/>
    <w:rsid w:val="00A229C9"/>
    <w:rsid w:val="00A22BC5"/>
    <w:rsid w:val="00A22BF0"/>
    <w:rsid w:val="00A22D47"/>
    <w:rsid w:val="00A22FEB"/>
    <w:rsid w:val="00A22FF2"/>
    <w:rsid w:val="00A2311E"/>
    <w:rsid w:val="00A23155"/>
    <w:rsid w:val="00A23449"/>
    <w:rsid w:val="00A2354F"/>
    <w:rsid w:val="00A237F4"/>
    <w:rsid w:val="00A238A7"/>
    <w:rsid w:val="00A23A8E"/>
    <w:rsid w:val="00A23B39"/>
    <w:rsid w:val="00A23C01"/>
    <w:rsid w:val="00A23C04"/>
    <w:rsid w:val="00A23D91"/>
    <w:rsid w:val="00A23EEC"/>
    <w:rsid w:val="00A23F1E"/>
    <w:rsid w:val="00A24018"/>
    <w:rsid w:val="00A2415C"/>
    <w:rsid w:val="00A24235"/>
    <w:rsid w:val="00A24274"/>
    <w:rsid w:val="00A24293"/>
    <w:rsid w:val="00A24294"/>
    <w:rsid w:val="00A242A0"/>
    <w:rsid w:val="00A242C3"/>
    <w:rsid w:val="00A242D9"/>
    <w:rsid w:val="00A24369"/>
    <w:rsid w:val="00A243DD"/>
    <w:rsid w:val="00A24421"/>
    <w:rsid w:val="00A24437"/>
    <w:rsid w:val="00A24549"/>
    <w:rsid w:val="00A2460E"/>
    <w:rsid w:val="00A2483A"/>
    <w:rsid w:val="00A249B1"/>
    <w:rsid w:val="00A24AFE"/>
    <w:rsid w:val="00A24C5F"/>
    <w:rsid w:val="00A24DB3"/>
    <w:rsid w:val="00A24E26"/>
    <w:rsid w:val="00A24EA3"/>
    <w:rsid w:val="00A2500D"/>
    <w:rsid w:val="00A25090"/>
    <w:rsid w:val="00A250DA"/>
    <w:rsid w:val="00A252E8"/>
    <w:rsid w:val="00A252ED"/>
    <w:rsid w:val="00A254DA"/>
    <w:rsid w:val="00A2557D"/>
    <w:rsid w:val="00A2585C"/>
    <w:rsid w:val="00A25AFF"/>
    <w:rsid w:val="00A25B22"/>
    <w:rsid w:val="00A25B2F"/>
    <w:rsid w:val="00A25B31"/>
    <w:rsid w:val="00A25BB6"/>
    <w:rsid w:val="00A25C5A"/>
    <w:rsid w:val="00A25E51"/>
    <w:rsid w:val="00A25E9C"/>
    <w:rsid w:val="00A25EDD"/>
    <w:rsid w:val="00A25FA1"/>
    <w:rsid w:val="00A26386"/>
    <w:rsid w:val="00A26439"/>
    <w:rsid w:val="00A26630"/>
    <w:rsid w:val="00A2683E"/>
    <w:rsid w:val="00A268FF"/>
    <w:rsid w:val="00A26990"/>
    <w:rsid w:val="00A26A80"/>
    <w:rsid w:val="00A26B4F"/>
    <w:rsid w:val="00A26D36"/>
    <w:rsid w:val="00A26D7F"/>
    <w:rsid w:val="00A26DDE"/>
    <w:rsid w:val="00A27171"/>
    <w:rsid w:val="00A27278"/>
    <w:rsid w:val="00A27286"/>
    <w:rsid w:val="00A27472"/>
    <w:rsid w:val="00A274D8"/>
    <w:rsid w:val="00A2758C"/>
    <w:rsid w:val="00A27714"/>
    <w:rsid w:val="00A27729"/>
    <w:rsid w:val="00A27932"/>
    <w:rsid w:val="00A27BAE"/>
    <w:rsid w:val="00A27C1F"/>
    <w:rsid w:val="00A27CA8"/>
    <w:rsid w:val="00A27CBE"/>
    <w:rsid w:val="00A27CFF"/>
    <w:rsid w:val="00A27D43"/>
    <w:rsid w:val="00A27DC5"/>
    <w:rsid w:val="00A27DCE"/>
    <w:rsid w:val="00A27E06"/>
    <w:rsid w:val="00A27EC6"/>
    <w:rsid w:val="00A27FA4"/>
    <w:rsid w:val="00A27FD7"/>
    <w:rsid w:val="00A30157"/>
    <w:rsid w:val="00A302A4"/>
    <w:rsid w:val="00A302C4"/>
    <w:rsid w:val="00A30342"/>
    <w:rsid w:val="00A30346"/>
    <w:rsid w:val="00A303EB"/>
    <w:rsid w:val="00A3066A"/>
    <w:rsid w:val="00A306CF"/>
    <w:rsid w:val="00A3071C"/>
    <w:rsid w:val="00A3079C"/>
    <w:rsid w:val="00A30851"/>
    <w:rsid w:val="00A3097F"/>
    <w:rsid w:val="00A309E3"/>
    <w:rsid w:val="00A30A42"/>
    <w:rsid w:val="00A30AAE"/>
    <w:rsid w:val="00A30B84"/>
    <w:rsid w:val="00A30BB3"/>
    <w:rsid w:val="00A30C5F"/>
    <w:rsid w:val="00A30CB2"/>
    <w:rsid w:val="00A30DF7"/>
    <w:rsid w:val="00A30EFE"/>
    <w:rsid w:val="00A31063"/>
    <w:rsid w:val="00A31110"/>
    <w:rsid w:val="00A31174"/>
    <w:rsid w:val="00A31307"/>
    <w:rsid w:val="00A31397"/>
    <w:rsid w:val="00A31566"/>
    <w:rsid w:val="00A316C4"/>
    <w:rsid w:val="00A3174E"/>
    <w:rsid w:val="00A31865"/>
    <w:rsid w:val="00A318CF"/>
    <w:rsid w:val="00A31C06"/>
    <w:rsid w:val="00A31C91"/>
    <w:rsid w:val="00A31DAF"/>
    <w:rsid w:val="00A31F9B"/>
    <w:rsid w:val="00A31FA5"/>
    <w:rsid w:val="00A32030"/>
    <w:rsid w:val="00A321B4"/>
    <w:rsid w:val="00A323EB"/>
    <w:rsid w:val="00A32468"/>
    <w:rsid w:val="00A3257E"/>
    <w:rsid w:val="00A32644"/>
    <w:rsid w:val="00A32692"/>
    <w:rsid w:val="00A32902"/>
    <w:rsid w:val="00A3298D"/>
    <w:rsid w:val="00A32C12"/>
    <w:rsid w:val="00A32CAA"/>
    <w:rsid w:val="00A32E34"/>
    <w:rsid w:val="00A32F89"/>
    <w:rsid w:val="00A333BD"/>
    <w:rsid w:val="00A334E1"/>
    <w:rsid w:val="00A3355F"/>
    <w:rsid w:val="00A337F7"/>
    <w:rsid w:val="00A33A0E"/>
    <w:rsid w:val="00A33A7C"/>
    <w:rsid w:val="00A33AA9"/>
    <w:rsid w:val="00A33AF3"/>
    <w:rsid w:val="00A33B25"/>
    <w:rsid w:val="00A33C45"/>
    <w:rsid w:val="00A33E18"/>
    <w:rsid w:val="00A33E4C"/>
    <w:rsid w:val="00A33EDB"/>
    <w:rsid w:val="00A33F26"/>
    <w:rsid w:val="00A34097"/>
    <w:rsid w:val="00A341E1"/>
    <w:rsid w:val="00A343A2"/>
    <w:rsid w:val="00A343F2"/>
    <w:rsid w:val="00A34410"/>
    <w:rsid w:val="00A3455A"/>
    <w:rsid w:val="00A346E7"/>
    <w:rsid w:val="00A346EA"/>
    <w:rsid w:val="00A346F0"/>
    <w:rsid w:val="00A3475F"/>
    <w:rsid w:val="00A347F6"/>
    <w:rsid w:val="00A3481B"/>
    <w:rsid w:val="00A34A2B"/>
    <w:rsid w:val="00A34A8C"/>
    <w:rsid w:val="00A34E15"/>
    <w:rsid w:val="00A350A8"/>
    <w:rsid w:val="00A352A9"/>
    <w:rsid w:val="00A352B5"/>
    <w:rsid w:val="00A352E6"/>
    <w:rsid w:val="00A353A2"/>
    <w:rsid w:val="00A353BA"/>
    <w:rsid w:val="00A353C7"/>
    <w:rsid w:val="00A35487"/>
    <w:rsid w:val="00A354AA"/>
    <w:rsid w:val="00A35508"/>
    <w:rsid w:val="00A357BB"/>
    <w:rsid w:val="00A3586F"/>
    <w:rsid w:val="00A35AFD"/>
    <w:rsid w:val="00A35B45"/>
    <w:rsid w:val="00A35BC5"/>
    <w:rsid w:val="00A35C1E"/>
    <w:rsid w:val="00A35C23"/>
    <w:rsid w:val="00A35C4D"/>
    <w:rsid w:val="00A35D97"/>
    <w:rsid w:val="00A35FBA"/>
    <w:rsid w:val="00A36204"/>
    <w:rsid w:val="00A36296"/>
    <w:rsid w:val="00A362EA"/>
    <w:rsid w:val="00A36376"/>
    <w:rsid w:val="00A3637F"/>
    <w:rsid w:val="00A3641F"/>
    <w:rsid w:val="00A36424"/>
    <w:rsid w:val="00A36485"/>
    <w:rsid w:val="00A365F0"/>
    <w:rsid w:val="00A3674B"/>
    <w:rsid w:val="00A3674F"/>
    <w:rsid w:val="00A3679A"/>
    <w:rsid w:val="00A36828"/>
    <w:rsid w:val="00A368A0"/>
    <w:rsid w:val="00A369BE"/>
    <w:rsid w:val="00A369CD"/>
    <w:rsid w:val="00A369D7"/>
    <w:rsid w:val="00A36B23"/>
    <w:rsid w:val="00A36B79"/>
    <w:rsid w:val="00A36C7F"/>
    <w:rsid w:val="00A36E42"/>
    <w:rsid w:val="00A36EC4"/>
    <w:rsid w:val="00A36EE5"/>
    <w:rsid w:val="00A3706F"/>
    <w:rsid w:val="00A37175"/>
    <w:rsid w:val="00A372B3"/>
    <w:rsid w:val="00A37347"/>
    <w:rsid w:val="00A37381"/>
    <w:rsid w:val="00A37505"/>
    <w:rsid w:val="00A37732"/>
    <w:rsid w:val="00A379FB"/>
    <w:rsid w:val="00A37A0A"/>
    <w:rsid w:val="00A37AA1"/>
    <w:rsid w:val="00A37B4D"/>
    <w:rsid w:val="00A37BC9"/>
    <w:rsid w:val="00A37CE0"/>
    <w:rsid w:val="00A37DCF"/>
    <w:rsid w:val="00A40083"/>
    <w:rsid w:val="00A400DD"/>
    <w:rsid w:val="00A4038B"/>
    <w:rsid w:val="00A405F7"/>
    <w:rsid w:val="00A40AC7"/>
    <w:rsid w:val="00A40B17"/>
    <w:rsid w:val="00A40B61"/>
    <w:rsid w:val="00A40B9B"/>
    <w:rsid w:val="00A40D4F"/>
    <w:rsid w:val="00A40DC0"/>
    <w:rsid w:val="00A40E6C"/>
    <w:rsid w:val="00A410A2"/>
    <w:rsid w:val="00A410EF"/>
    <w:rsid w:val="00A410FF"/>
    <w:rsid w:val="00A412E7"/>
    <w:rsid w:val="00A41457"/>
    <w:rsid w:val="00A416AA"/>
    <w:rsid w:val="00A416C0"/>
    <w:rsid w:val="00A4172B"/>
    <w:rsid w:val="00A41770"/>
    <w:rsid w:val="00A417B5"/>
    <w:rsid w:val="00A417F7"/>
    <w:rsid w:val="00A4181E"/>
    <w:rsid w:val="00A4182C"/>
    <w:rsid w:val="00A41856"/>
    <w:rsid w:val="00A41893"/>
    <w:rsid w:val="00A418AC"/>
    <w:rsid w:val="00A418B6"/>
    <w:rsid w:val="00A418D7"/>
    <w:rsid w:val="00A4192D"/>
    <w:rsid w:val="00A41965"/>
    <w:rsid w:val="00A41A2E"/>
    <w:rsid w:val="00A41A39"/>
    <w:rsid w:val="00A41AD3"/>
    <w:rsid w:val="00A41D6A"/>
    <w:rsid w:val="00A41E68"/>
    <w:rsid w:val="00A41EC9"/>
    <w:rsid w:val="00A41F75"/>
    <w:rsid w:val="00A41FAE"/>
    <w:rsid w:val="00A41FB2"/>
    <w:rsid w:val="00A420FF"/>
    <w:rsid w:val="00A4212B"/>
    <w:rsid w:val="00A4221F"/>
    <w:rsid w:val="00A42280"/>
    <w:rsid w:val="00A4228F"/>
    <w:rsid w:val="00A422D3"/>
    <w:rsid w:val="00A4235B"/>
    <w:rsid w:val="00A4238E"/>
    <w:rsid w:val="00A423AA"/>
    <w:rsid w:val="00A42463"/>
    <w:rsid w:val="00A425B8"/>
    <w:rsid w:val="00A425FC"/>
    <w:rsid w:val="00A42654"/>
    <w:rsid w:val="00A42791"/>
    <w:rsid w:val="00A427DB"/>
    <w:rsid w:val="00A4283C"/>
    <w:rsid w:val="00A42AE5"/>
    <w:rsid w:val="00A42CBA"/>
    <w:rsid w:val="00A42CCE"/>
    <w:rsid w:val="00A42D60"/>
    <w:rsid w:val="00A42DB0"/>
    <w:rsid w:val="00A42DE2"/>
    <w:rsid w:val="00A42E53"/>
    <w:rsid w:val="00A42E7F"/>
    <w:rsid w:val="00A42EB4"/>
    <w:rsid w:val="00A42FC1"/>
    <w:rsid w:val="00A42FCD"/>
    <w:rsid w:val="00A430C0"/>
    <w:rsid w:val="00A430FC"/>
    <w:rsid w:val="00A4314F"/>
    <w:rsid w:val="00A43248"/>
    <w:rsid w:val="00A432C2"/>
    <w:rsid w:val="00A43742"/>
    <w:rsid w:val="00A43762"/>
    <w:rsid w:val="00A43845"/>
    <w:rsid w:val="00A4395B"/>
    <w:rsid w:val="00A439F0"/>
    <w:rsid w:val="00A439FD"/>
    <w:rsid w:val="00A43A3A"/>
    <w:rsid w:val="00A43A4C"/>
    <w:rsid w:val="00A43AD9"/>
    <w:rsid w:val="00A43BB2"/>
    <w:rsid w:val="00A43BBD"/>
    <w:rsid w:val="00A43F4E"/>
    <w:rsid w:val="00A43F88"/>
    <w:rsid w:val="00A43F99"/>
    <w:rsid w:val="00A44071"/>
    <w:rsid w:val="00A4413E"/>
    <w:rsid w:val="00A441D9"/>
    <w:rsid w:val="00A44268"/>
    <w:rsid w:val="00A44477"/>
    <w:rsid w:val="00A444AE"/>
    <w:rsid w:val="00A4451C"/>
    <w:rsid w:val="00A4451D"/>
    <w:rsid w:val="00A44520"/>
    <w:rsid w:val="00A4453A"/>
    <w:rsid w:val="00A445D4"/>
    <w:rsid w:val="00A44661"/>
    <w:rsid w:val="00A446E1"/>
    <w:rsid w:val="00A4478F"/>
    <w:rsid w:val="00A44800"/>
    <w:rsid w:val="00A448F3"/>
    <w:rsid w:val="00A44918"/>
    <w:rsid w:val="00A44999"/>
    <w:rsid w:val="00A44A57"/>
    <w:rsid w:val="00A44B7D"/>
    <w:rsid w:val="00A44CA2"/>
    <w:rsid w:val="00A44CAA"/>
    <w:rsid w:val="00A44CB2"/>
    <w:rsid w:val="00A44F05"/>
    <w:rsid w:val="00A44F21"/>
    <w:rsid w:val="00A44F24"/>
    <w:rsid w:val="00A4513E"/>
    <w:rsid w:val="00A45289"/>
    <w:rsid w:val="00A45382"/>
    <w:rsid w:val="00A454CA"/>
    <w:rsid w:val="00A454FF"/>
    <w:rsid w:val="00A456F7"/>
    <w:rsid w:val="00A4578F"/>
    <w:rsid w:val="00A457A2"/>
    <w:rsid w:val="00A457A9"/>
    <w:rsid w:val="00A457ED"/>
    <w:rsid w:val="00A45A02"/>
    <w:rsid w:val="00A45A70"/>
    <w:rsid w:val="00A45B96"/>
    <w:rsid w:val="00A45BA7"/>
    <w:rsid w:val="00A45CC4"/>
    <w:rsid w:val="00A45D13"/>
    <w:rsid w:val="00A45EF1"/>
    <w:rsid w:val="00A460EB"/>
    <w:rsid w:val="00A46132"/>
    <w:rsid w:val="00A46226"/>
    <w:rsid w:val="00A4624B"/>
    <w:rsid w:val="00A462CD"/>
    <w:rsid w:val="00A46645"/>
    <w:rsid w:val="00A4664A"/>
    <w:rsid w:val="00A466E9"/>
    <w:rsid w:val="00A4676D"/>
    <w:rsid w:val="00A46818"/>
    <w:rsid w:val="00A4682D"/>
    <w:rsid w:val="00A4685B"/>
    <w:rsid w:val="00A468F8"/>
    <w:rsid w:val="00A4692C"/>
    <w:rsid w:val="00A469D9"/>
    <w:rsid w:val="00A46A2D"/>
    <w:rsid w:val="00A46AEE"/>
    <w:rsid w:val="00A46B05"/>
    <w:rsid w:val="00A46C89"/>
    <w:rsid w:val="00A46CBA"/>
    <w:rsid w:val="00A46CF3"/>
    <w:rsid w:val="00A46D2F"/>
    <w:rsid w:val="00A46DDF"/>
    <w:rsid w:val="00A46EB3"/>
    <w:rsid w:val="00A46FB0"/>
    <w:rsid w:val="00A47077"/>
    <w:rsid w:val="00A47084"/>
    <w:rsid w:val="00A4714D"/>
    <w:rsid w:val="00A472C0"/>
    <w:rsid w:val="00A47320"/>
    <w:rsid w:val="00A4755C"/>
    <w:rsid w:val="00A475FA"/>
    <w:rsid w:val="00A476EA"/>
    <w:rsid w:val="00A47968"/>
    <w:rsid w:val="00A4798B"/>
    <w:rsid w:val="00A47B3B"/>
    <w:rsid w:val="00A47B9B"/>
    <w:rsid w:val="00A47BDA"/>
    <w:rsid w:val="00A47C7B"/>
    <w:rsid w:val="00A47CC0"/>
    <w:rsid w:val="00A47CC3"/>
    <w:rsid w:val="00A47D30"/>
    <w:rsid w:val="00A47E2F"/>
    <w:rsid w:val="00A47FD8"/>
    <w:rsid w:val="00A47FE4"/>
    <w:rsid w:val="00A502DC"/>
    <w:rsid w:val="00A50399"/>
    <w:rsid w:val="00A503B9"/>
    <w:rsid w:val="00A504B6"/>
    <w:rsid w:val="00A50740"/>
    <w:rsid w:val="00A5088D"/>
    <w:rsid w:val="00A50A98"/>
    <w:rsid w:val="00A50AF7"/>
    <w:rsid w:val="00A50B5F"/>
    <w:rsid w:val="00A50D5A"/>
    <w:rsid w:val="00A50D60"/>
    <w:rsid w:val="00A50DF2"/>
    <w:rsid w:val="00A50EDD"/>
    <w:rsid w:val="00A50F4F"/>
    <w:rsid w:val="00A50FEE"/>
    <w:rsid w:val="00A51070"/>
    <w:rsid w:val="00A510C7"/>
    <w:rsid w:val="00A510FA"/>
    <w:rsid w:val="00A51273"/>
    <w:rsid w:val="00A513EE"/>
    <w:rsid w:val="00A514AE"/>
    <w:rsid w:val="00A5156B"/>
    <w:rsid w:val="00A515B1"/>
    <w:rsid w:val="00A517FE"/>
    <w:rsid w:val="00A51927"/>
    <w:rsid w:val="00A519BE"/>
    <w:rsid w:val="00A51A5E"/>
    <w:rsid w:val="00A51CAF"/>
    <w:rsid w:val="00A51D6F"/>
    <w:rsid w:val="00A51E19"/>
    <w:rsid w:val="00A51F8B"/>
    <w:rsid w:val="00A52055"/>
    <w:rsid w:val="00A52130"/>
    <w:rsid w:val="00A522DD"/>
    <w:rsid w:val="00A52564"/>
    <w:rsid w:val="00A525D1"/>
    <w:rsid w:val="00A525F8"/>
    <w:rsid w:val="00A526F2"/>
    <w:rsid w:val="00A5274A"/>
    <w:rsid w:val="00A5278C"/>
    <w:rsid w:val="00A52859"/>
    <w:rsid w:val="00A52875"/>
    <w:rsid w:val="00A528D6"/>
    <w:rsid w:val="00A528DC"/>
    <w:rsid w:val="00A52943"/>
    <w:rsid w:val="00A52991"/>
    <w:rsid w:val="00A52C37"/>
    <w:rsid w:val="00A52C63"/>
    <w:rsid w:val="00A52DA2"/>
    <w:rsid w:val="00A52EA7"/>
    <w:rsid w:val="00A53018"/>
    <w:rsid w:val="00A53035"/>
    <w:rsid w:val="00A531F0"/>
    <w:rsid w:val="00A5325C"/>
    <w:rsid w:val="00A53273"/>
    <w:rsid w:val="00A53401"/>
    <w:rsid w:val="00A53424"/>
    <w:rsid w:val="00A535CF"/>
    <w:rsid w:val="00A5362D"/>
    <w:rsid w:val="00A536C4"/>
    <w:rsid w:val="00A5373B"/>
    <w:rsid w:val="00A53801"/>
    <w:rsid w:val="00A53863"/>
    <w:rsid w:val="00A53A85"/>
    <w:rsid w:val="00A53B13"/>
    <w:rsid w:val="00A53C86"/>
    <w:rsid w:val="00A53E68"/>
    <w:rsid w:val="00A53E99"/>
    <w:rsid w:val="00A53FE9"/>
    <w:rsid w:val="00A5400A"/>
    <w:rsid w:val="00A5414A"/>
    <w:rsid w:val="00A5422D"/>
    <w:rsid w:val="00A542AF"/>
    <w:rsid w:val="00A542D8"/>
    <w:rsid w:val="00A542FC"/>
    <w:rsid w:val="00A54377"/>
    <w:rsid w:val="00A54391"/>
    <w:rsid w:val="00A54517"/>
    <w:rsid w:val="00A54755"/>
    <w:rsid w:val="00A54946"/>
    <w:rsid w:val="00A549D5"/>
    <w:rsid w:val="00A54A10"/>
    <w:rsid w:val="00A54A11"/>
    <w:rsid w:val="00A54A26"/>
    <w:rsid w:val="00A54A3F"/>
    <w:rsid w:val="00A54C2C"/>
    <w:rsid w:val="00A54C3C"/>
    <w:rsid w:val="00A54DE7"/>
    <w:rsid w:val="00A54E07"/>
    <w:rsid w:val="00A54E59"/>
    <w:rsid w:val="00A54EE5"/>
    <w:rsid w:val="00A54F8A"/>
    <w:rsid w:val="00A55022"/>
    <w:rsid w:val="00A55057"/>
    <w:rsid w:val="00A55248"/>
    <w:rsid w:val="00A55540"/>
    <w:rsid w:val="00A557C6"/>
    <w:rsid w:val="00A55907"/>
    <w:rsid w:val="00A55918"/>
    <w:rsid w:val="00A55B10"/>
    <w:rsid w:val="00A55BA5"/>
    <w:rsid w:val="00A55C17"/>
    <w:rsid w:val="00A55D07"/>
    <w:rsid w:val="00A55D34"/>
    <w:rsid w:val="00A55E20"/>
    <w:rsid w:val="00A56067"/>
    <w:rsid w:val="00A56116"/>
    <w:rsid w:val="00A56208"/>
    <w:rsid w:val="00A5621B"/>
    <w:rsid w:val="00A562AE"/>
    <w:rsid w:val="00A562C4"/>
    <w:rsid w:val="00A56481"/>
    <w:rsid w:val="00A565EC"/>
    <w:rsid w:val="00A567CC"/>
    <w:rsid w:val="00A568AE"/>
    <w:rsid w:val="00A56906"/>
    <w:rsid w:val="00A56949"/>
    <w:rsid w:val="00A56A26"/>
    <w:rsid w:val="00A56A88"/>
    <w:rsid w:val="00A56BB1"/>
    <w:rsid w:val="00A56BB3"/>
    <w:rsid w:val="00A56CF3"/>
    <w:rsid w:val="00A56D68"/>
    <w:rsid w:val="00A56DDA"/>
    <w:rsid w:val="00A56DEE"/>
    <w:rsid w:val="00A56E47"/>
    <w:rsid w:val="00A56EB0"/>
    <w:rsid w:val="00A56F1B"/>
    <w:rsid w:val="00A56F7F"/>
    <w:rsid w:val="00A56F9A"/>
    <w:rsid w:val="00A570DE"/>
    <w:rsid w:val="00A57117"/>
    <w:rsid w:val="00A5712C"/>
    <w:rsid w:val="00A57144"/>
    <w:rsid w:val="00A571D1"/>
    <w:rsid w:val="00A57239"/>
    <w:rsid w:val="00A572B9"/>
    <w:rsid w:val="00A57315"/>
    <w:rsid w:val="00A57532"/>
    <w:rsid w:val="00A57545"/>
    <w:rsid w:val="00A575F0"/>
    <w:rsid w:val="00A57767"/>
    <w:rsid w:val="00A57802"/>
    <w:rsid w:val="00A579C2"/>
    <w:rsid w:val="00A57BA3"/>
    <w:rsid w:val="00A57BE2"/>
    <w:rsid w:val="00A57CAC"/>
    <w:rsid w:val="00A57D1A"/>
    <w:rsid w:val="00A57DDF"/>
    <w:rsid w:val="00A60195"/>
    <w:rsid w:val="00A60413"/>
    <w:rsid w:val="00A60638"/>
    <w:rsid w:val="00A60687"/>
    <w:rsid w:val="00A60729"/>
    <w:rsid w:val="00A6074C"/>
    <w:rsid w:val="00A6095E"/>
    <w:rsid w:val="00A60A16"/>
    <w:rsid w:val="00A60AB2"/>
    <w:rsid w:val="00A60BBA"/>
    <w:rsid w:val="00A60DD5"/>
    <w:rsid w:val="00A60DDC"/>
    <w:rsid w:val="00A60DEC"/>
    <w:rsid w:val="00A61145"/>
    <w:rsid w:val="00A6117C"/>
    <w:rsid w:val="00A6118A"/>
    <w:rsid w:val="00A61393"/>
    <w:rsid w:val="00A61410"/>
    <w:rsid w:val="00A61547"/>
    <w:rsid w:val="00A6181E"/>
    <w:rsid w:val="00A61878"/>
    <w:rsid w:val="00A61894"/>
    <w:rsid w:val="00A61A62"/>
    <w:rsid w:val="00A61B7F"/>
    <w:rsid w:val="00A61C27"/>
    <w:rsid w:val="00A61C9B"/>
    <w:rsid w:val="00A61CB7"/>
    <w:rsid w:val="00A61CC4"/>
    <w:rsid w:val="00A61D6C"/>
    <w:rsid w:val="00A61F19"/>
    <w:rsid w:val="00A61F36"/>
    <w:rsid w:val="00A61F4F"/>
    <w:rsid w:val="00A61F5C"/>
    <w:rsid w:val="00A61FE8"/>
    <w:rsid w:val="00A620CC"/>
    <w:rsid w:val="00A62258"/>
    <w:rsid w:val="00A6235B"/>
    <w:rsid w:val="00A625F1"/>
    <w:rsid w:val="00A6271F"/>
    <w:rsid w:val="00A627E5"/>
    <w:rsid w:val="00A628D1"/>
    <w:rsid w:val="00A629D3"/>
    <w:rsid w:val="00A62A1C"/>
    <w:rsid w:val="00A62D5A"/>
    <w:rsid w:val="00A62DE6"/>
    <w:rsid w:val="00A62E4C"/>
    <w:rsid w:val="00A62EF3"/>
    <w:rsid w:val="00A62FA0"/>
    <w:rsid w:val="00A62FA6"/>
    <w:rsid w:val="00A63150"/>
    <w:rsid w:val="00A63159"/>
    <w:rsid w:val="00A6318D"/>
    <w:rsid w:val="00A63346"/>
    <w:rsid w:val="00A633B8"/>
    <w:rsid w:val="00A6340F"/>
    <w:rsid w:val="00A634BC"/>
    <w:rsid w:val="00A634E0"/>
    <w:rsid w:val="00A634ED"/>
    <w:rsid w:val="00A63684"/>
    <w:rsid w:val="00A63789"/>
    <w:rsid w:val="00A63821"/>
    <w:rsid w:val="00A63880"/>
    <w:rsid w:val="00A63B35"/>
    <w:rsid w:val="00A63DAD"/>
    <w:rsid w:val="00A63FE4"/>
    <w:rsid w:val="00A64017"/>
    <w:rsid w:val="00A64053"/>
    <w:rsid w:val="00A640FA"/>
    <w:rsid w:val="00A6412A"/>
    <w:rsid w:val="00A643B3"/>
    <w:rsid w:val="00A64611"/>
    <w:rsid w:val="00A64688"/>
    <w:rsid w:val="00A6470F"/>
    <w:rsid w:val="00A64728"/>
    <w:rsid w:val="00A64789"/>
    <w:rsid w:val="00A6481C"/>
    <w:rsid w:val="00A64877"/>
    <w:rsid w:val="00A64BB6"/>
    <w:rsid w:val="00A64BCB"/>
    <w:rsid w:val="00A64C99"/>
    <w:rsid w:val="00A64CF9"/>
    <w:rsid w:val="00A64D1F"/>
    <w:rsid w:val="00A64D6C"/>
    <w:rsid w:val="00A64EB6"/>
    <w:rsid w:val="00A64EB8"/>
    <w:rsid w:val="00A64F80"/>
    <w:rsid w:val="00A64FFD"/>
    <w:rsid w:val="00A6507E"/>
    <w:rsid w:val="00A6509E"/>
    <w:rsid w:val="00A65181"/>
    <w:rsid w:val="00A65244"/>
    <w:rsid w:val="00A65267"/>
    <w:rsid w:val="00A6531F"/>
    <w:rsid w:val="00A65320"/>
    <w:rsid w:val="00A653E5"/>
    <w:rsid w:val="00A654D4"/>
    <w:rsid w:val="00A6552B"/>
    <w:rsid w:val="00A6558A"/>
    <w:rsid w:val="00A657F1"/>
    <w:rsid w:val="00A65888"/>
    <w:rsid w:val="00A65A4A"/>
    <w:rsid w:val="00A65ABE"/>
    <w:rsid w:val="00A65AC6"/>
    <w:rsid w:val="00A65ADF"/>
    <w:rsid w:val="00A65B5E"/>
    <w:rsid w:val="00A65B86"/>
    <w:rsid w:val="00A65BDC"/>
    <w:rsid w:val="00A65D01"/>
    <w:rsid w:val="00A65DD4"/>
    <w:rsid w:val="00A65F47"/>
    <w:rsid w:val="00A65FDD"/>
    <w:rsid w:val="00A66232"/>
    <w:rsid w:val="00A66259"/>
    <w:rsid w:val="00A66360"/>
    <w:rsid w:val="00A663EC"/>
    <w:rsid w:val="00A666C3"/>
    <w:rsid w:val="00A66732"/>
    <w:rsid w:val="00A667FE"/>
    <w:rsid w:val="00A6682A"/>
    <w:rsid w:val="00A66965"/>
    <w:rsid w:val="00A6698D"/>
    <w:rsid w:val="00A669D3"/>
    <w:rsid w:val="00A66AD6"/>
    <w:rsid w:val="00A66BFD"/>
    <w:rsid w:val="00A66CD4"/>
    <w:rsid w:val="00A66CDA"/>
    <w:rsid w:val="00A66E7D"/>
    <w:rsid w:val="00A66F75"/>
    <w:rsid w:val="00A66F90"/>
    <w:rsid w:val="00A67013"/>
    <w:rsid w:val="00A672F5"/>
    <w:rsid w:val="00A6738F"/>
    <w:rsid w:val="00A67484"/>
    <w:rsid w:val="00A67493"/>
    <w:rsid w:val="00A67725"/>
    <w:rsid w:val="00A67787"/>
    <w:rsid w:val="00A677C9"/>
    <w:rsid w:val="00A67855"/>
    <w:rsid w:val="00A679B4"/>
    <w:rsid w:val="00A67AEA"/>
    <w:rsid w:val="00A67D1E"/>
    <w:rsid w:val="00A67D52"/>
    <w:rsid w:val="00A67D9B"/>
    <w:rsid w:val="00A67E37"/>
    <w:rsid w:val="00A7008D"/>
    <w:rsid w:val="00A701F3"/>
    <w:rsid w:val="00A70229"/>
    <w:rsid w:val="00A70265"/>
    <w:rsid w:val="00A702F6"/>
    <w:rsid w:val="00A703C9"/>
    <w:rsid w:val="00A70410"/>
    <w:rsid w:val="00A70474"/>
    <w:rsid w:val="00A7053D"/>
    <w:rsid w:val="00A70769"/>
    <w:rsid w:val="00A7085C"/>
    <w:rsid w:val="00A70CC7"/>
    <w:rsid w:val="00A70DD9"/>
    <w:rsid w:val="00A70F80"/>
    <w:rsid w:val="00A70FE9"/>
    <w:rsid w:val="00A71002"/>
    <w:rsid w:val="00A71265"/>
    <w:rsid w:val="00A71279"/>
    <w:rsid w:val="00A71350"/>
    <w:rsid w:val="00A713EB"/>
    <w:rsid w:val="00A714F5"/>
    <w:rsid w:val="00A7174D"/>
    <w:rsid w:val="00A7186E"/>
    <w:rsid w:val="00A71900"/>
    <w:rsid w:val="00A71A31"/>
    <w:rsid w:val="00A71B98"/>
    <w:rsid w:val="00A71C2E"/>
    <w:rsid w:val="00A71C3B"/>
    <w:rsid w:val="00A71CEA"/>
    <w:rsid w:val="00A71D96"/>
    <w:rsid w:val="00A71EFA"/>
    <w:rsid w:val="00A72168"/>
    <w:rsid w:val="00A72384"/>
    <w:rsid w:val="00A723B5"/>
    <w:rsid w:val="00A723EC"/>
    <w:rsid w:val="00A7252F"/>
    <w:rsid w:val="00A72587"/>
    <w:rsid w:val="00A725AA"/>
    <w:rsid w:val="00A72600"/>
    <w:rsid w:val="00A726A1"/>
    <w:rsid w:val="00A727E1"/>
    <w:rsid w:val="00A728DA"/>
    <w:rsid w:val="00A729D2"/>
    <w:rsid w:val="00A72E74"/>
    <w:rsid w:val="00A72EB7"/>
    <w:rsid w:val="00A72F11"/>
    <w:rsid w:val="00A72FC9"/>
    <w:rsid w:val="00A7300F"/>
    <w:rsid w:val="00A73032"/>
    <w:rsid w:val="00A7318A"/>
    <w:rsid w:val="00A73201"/>
    <w:rsid w:val="00A7324B"/>
    <w:rsid w:val="00A732AD"/>
    <w:rsid w:val="00A7338C"/>
    <w:rsid w:val="00A735A1"/>
    <w:rsid w:val="00A736A7"/>
    <w:rsid w:val="00A73779"/>
    <w:rsid w:val="00A737B6"/>
    <w:rsid w:val="00A7384C"/>
    <w:rsid w:val="00A7387D"/>
    <w:rsid w:val="00A73EF8"/>
    <w:rsid w:val="00A73FC5"/>
    <w:rsid w:val="00A74095"/>
    <w:rsid w:val="00A74107"/>
    <w:rsid w:val="00A74150"/>
    <w:rsid w:val="00A74215"/>
    <w:rsid w:val="00A7437D"/>
    <w:rsid w:val="00A74516"/>
    <w:rsid w:val="00A745B9"/>
    <w:rsid w:val="00A7461D"/>
    <w:rsid w:val="00A7469F"/>
    <w:rsid w:val="00A7481E"/>
    <w:rsid w:val="00A74943"/>
    <w:rsid w:val="00A74B92"/>
    <w:rsid w:val="00A74C0E"/>
    <w:rsid w:val="00A74C29"/>
    <w:rsid w:val="00A74E7E"/>
    <w:rsid w:val="00A74FDA"/>
    <w:rsid w:val="00A75045"/>
    <w:rsid w:val="00A751DE"/>
    <w:rsid w:val="00A7525B"/>
    <w:rsid w:val="00A753B9"/>
    <w:rsid w:val="00A7543F"/>
    <w:rsid w:val="00A7560A"/>
    <w:rsid w:val="00A756DA"/>
    <w:rsid w:val="00A7576D"/>
    <w:rsid w:val="00A758DF"/>
    <w:rsid w:val="00A75A5B"/>
    <w:rsid w:val="00A75A60"/>
    <w:rsid w:val="00A75AF5"/>
    <w:rsid w:val="00A75CB5"/>
    <w:rsid w:val="00A75CF7"/>
    <w:rsid w:val="00A75D0A"/>
    <w:rsid w:val="00A75D2D"/>
    <w:rsid w:val="00A7607D"/>
    <w:rsid w:val="00A7611B"/>
    <w:rsid w:val="00A761B6"/>
    <w:rsid w:val="00A7633F"/>
    <w:rsid w:val="00A76448"/>
    <w:rsid w:val="00A764D3"/>
    <w:rsid w:val="00A764F6"/>
    <w:rsid w:val="00A7665C"/>
    <w:rsid w:val="00A76661"/>
    <w:rsid w:val="00A766C9"/>
    <w:rsid w:val="00A767F2"/>
    <w:rsid w:val="00A76871"/>
    <w:rsid w:val="00A768A9"/>
    <w:rsid w:val="00A76A36"/>
    <w:rsid w:val="00A76ACA"/>
    <w:rsid w:val="00A76B6D"/>
    <w:rsid w:val="00A76B93"/>
    <w:rsid w:val="00A76BD7"/>
    <w:rsid w:val="00A76BFD"/>
    <w:rsid w:val="00A76EB3"/>
    <w:rsid w:val="00A770B1"/>
    <w:rsid w:val="00A77163"/>
    <w:rsid w:val="00A7728F"/>
    <w:rsid w:val="00A7731D"/>
    <w:rsid w:val="00A7741F"/>
    <w:rsid w:val="00A776D9"/>
    <w:rsid w:val="00A777ED"/>
    <w:rsid w:val="00A77950"/>
    <w:rsid w:val="00A77DB3"/>
    <w:rsid w:val="00A77E0E"/>
    <w:rsid w:val="00A77E41"/>
    <w:rsid w:val="00A80060"/>
    <w:rsid w:val="00A80204"/>
    <w:rsid w:val="00A80248"/>
    <w:rsid w:val="00A80365"/>
    <w:rsid w:val="00A8040B"/>
    <w:rsid w:val="00A80422"/>
    <w:rsid w:val="00A8042D"/>
    <w:rsid w:val="00A80501"/>
    <w:rsid w:val="00A80680"/>
    <w:rsid w:val="00A806A6"/>
    <w:rsid w:val="00A806F2"/>
    <w:rsid w:val="00A80712"/>
    <w:rsid w:val="00A807AE"/>
    <w:rsid w:val="00A808C2"/>
    <w:rsid w:val="00A80910"/>
    <w:rsid w:val="00A809BB"/>
    <w:rsid w:val="00A809E8"/>
    <w:rsid w:val="00A80A48"/>
    <w:rsid w:val="00A80B3E"/>
    <w:rsid w:val="00A80C45"/>
    <w:rsid w:val="00A80C4F"/>
    <w:rsid w:val="00A80C6A"/>
    <w:rsid w:val="00A80C73"/>
    <w:rsid w:val="00A80C96"/>
    <w:rsid w:val="00A80ED0"/>
    <w:rsid w:val="00A80F10"/>
    <w:rsid w:val="00A80F45"/>
    <w:rsid w:val="00A80FB4"/>
    <w:rsid w:val="00A80FE5"/>
    <w:rsid w:val="00A8118D"/>
    <w:rsid w:val="00A811B2"/>
    <w:rsid w:val="00A811DA"/>
    <w:rsid w:val="00A81206"/>
    <w:rsid w:val="00A81219"/>
    <w:rsid w:val="00A81263"/>
    <w:rsid w:val="00A812EF"/>
    <w:rsid w:val="00A81332"/>
    <w:rsid w:val="00A815FA"/>
    <w:rsid w:val="00A8165A"/>
    <w:rsid w:val="00A81764"/>
    <w:rsid w:val="00A817F7"/>
    <w:rsid w:val="00A81813"/>
    <w:rsid w:val="00A818A6"/>
    <w:rsid w:val="00A819E5"/>
    <w:rsid w:val="00A81C5E"/>
    <w:rsid w:val="00A81D71"/>
    <w:rsid w:val="00A81E82"/>
    <w:rsid w:val="00A81F13"/>
    <w:rsid w:val="00A81F88"/>
    <w:rsid w:val="00A82190"/>
    <w:rsid w:val="00A821F5"/>
    <w:rsid w:val="00A82222"/>
    <w:rsid w:val="00A8229E"/>
    <w:rsid w:val="00A8230B"/>
    <w:rsid w:val="00A823F9"/>
    <w:rsid w:val="00A82437"/>
    <w:rsid w:val="00A826EF"/>
    <w:rsid w:val="00A827E8"/>
    <w:rsid w:val="00A829C1"/>
    <w:rsid w:val="00A829EE"/>
    <w:rsid w:val="00A82A20"/>
    <w:rsid w:val="00A82A68"/>
    <w:rsid w:val="00A82BDA"/>
    <w:rsid w:val="00A82DDA"/>
    <w:rsid w:val="00A82F83"/>
    <w:rsid w:val="00A83070"/>
    <w:rsid w:val="00A83077"/>
    <w:rsid w:val="00A832BC"/>
    <w:rsid w:val="00A832DE"/>
    <w:rsid w:val="00A8335B"/>
    <w:rsid w:val="00A83514"/>
    <w:rsid w:val="00A835E3"/>
    <w:rsid w:val="00A83647"/>
    <w:rsid w:val="00A836FE"/>
    <w:rsid w:val="00A83747"/>
    <w:rsid w:val="00A83787"/>
    <w:rsid w:val="00A8384F"/>
    <w:rsid w:val="00A83A0A"/>
    <w:rsid w:val="00A83A9E"/>
    <w:rsid w:val="00A83D00"/>
    <w:rsid w:val="00A84024"/>
    <w:rsid w:val="00A84120"/>
    <w:rsid w:val="00A8416D"/>
    <w:rsid w:val="00A84231"/>
    <w:rsid w:val="00A84244"/>
    <w:rsid w:val="00A843B4"/>
    <w:rsid w:val="00A843BE"/>
    <w:rsid w:val="00A843F8"/>
    <w:rsid w:val="00A84459"/>
    <w:rsid w:val="00A84471"/>
    <w:rsid w:val="00A845A5"/>
    <w:rsid w:val="00A845DB"/>
    <w:rsid w:val="00A845E8"/>
    <w:rsid w:val="00A84696"/>
    <w:rsid w:val="00A846D2"/>
    <w:rsid w:val="00A847AD"/>
    <w:rsid w:val="00A848D2"/>
    <w:rsid w:val="00A84B78"/>
    <w:rsid w:val="00A84C84"/>
    <w:rsid w:val="00A84CF7"/>
    <w:rsid w:val="00A84D6E"/>
    <w:rsid w:val="00A85086"/>
    <w:rsid w:val="00A8531C"/>
    <w:rsid w:val="00A853D4"/>
    <w:rsid w:val="00A854DC"/>
    <w:rsid w:val="00A85659"/>
    <w:rsid w:val="00A856AE"/>
    <w:rsid w:val="00A85704"/>
    <w:rsid w:val="00A85757"/>
    <w:rsid w:val="00A857A4"/>
    <w:rsid w:val="00A857DC"/>
    <w:rsid w:val="00A85820"/>
    <w:rsid w:val="00A8589F"/>
    <w:rsid w:val="00A858EF"/>
    <w:rsid w:val="00A85943"/>
    <w:rsid w:val="00A85B0F"/>
    <w:rsid w:val="00A85C17"/>
    <w:rsid w:val="00A85D21"/>
    <w:rsid w:val="00A85E58"/>
    <w:rsid w:val="00A85EC9"/>
    <w:rsid w:val="00A85ED8"/>
    <w:rsid w:val="00A85F97"/>
    <w:rsid w:val="00A86009"/>
    <w:rsid w:val="00A86079"/>
    <w:rsid w:val="00A8629C"/>
    <w:rsid w:val="00A86308"/>
    <w:rsid w:val="00A8640D"/>
    <w:rsid w:val="00A8648D"/>
    <w:rsid w:val="00A86785"/>
    <w:rsid w:val="00A867F0"/>
    <w:rsid w:val="00A86813"/>
    <w:rsid w:val="00A86948"/>
    <w:rsid w:val="00A86959"/>
    <w:rsid w:val="00A86A32"/>
    <w:rsid w:val="00A86C54"/>
    <w:rsid w:val="00A86C6A"/>
    <w:rsid w:val="00A86D31"/>
    <w:rsid w:val="00A86D93"/>
    <w:rsid w:val="00A86F2A"/>
    <w:rsid w:val="00A87019"/>
    <w:rsid w:val="00A8704B"/>
    <w:rsid w:val="00A870DB"/>
    <w:rsid w:val="00A87401"/>
    <w:rsid w:val="00A874ED"/>
    <w:rsid w:val="00A875AA"/>
    <w:rsid w:val="00A87712"/>
    <w:rsid w:val="00A87753"/>
    <w:rsid w:val="00A87AD6"/>
    <w:rsid w:val="00A87B9A"/>
    <w:rsid w:val="00A87BFA"/>
    <w:rsid w:val="00A87DD1"/>
    <w:rsid w:val="00A87E22"/>
    <w:rsid w:val="00A87FD9"/>
    <w:rsid w:val="00A901E7"/>
    <w:rsid w:val="00A90561"/>
    <w:rsid w:val="00A9065F"/>
    <w:rsid w:val="00A9080E"/>
    <w:rsid w:val="00A9082B"/>
    <w:rsid w:val="00A908E6"/>
    <w:rsid w:val="00A90A09"/>
    <w:rsid w:val="00A90A14"/>
    <w:rsid w:val="00A90B0F"/>
    <w:rsid w:val="00A90C48"/>
    <w:rsid w:val="00A90CFD"/>
    <w:rsid w:val="00A90D50"/>
    <w:rsid w:val="00A90D86"/>
    <w:rsid w:val="00A90EFA"/>
    <w:rsid w:val="00A90F40"/>
    <w:rsid w:val="00A90FB2"/>
    <w:rsid w:val="00A91102"/>
    <w:rsid w:val="00A91103"/>
    <w:rsid w:val="00A91140"/>
    <w:rsid w:val="00A91163"/>
    <w:rsid w:val="00A9120A"/>
    <w:rsid w:val="00A91241"/>
    <w:rsid w:val="00A912B6"/>
    <w:rsid w:val="00A912C0"/>
    <w:rsid w:val="00A91361"/>
    <w:rsid w:val="00A913EC"/>
    <w:rsid w:val="00A91441"/>
    <w:rsid w:val="00A91475"/>
    <w:rsid w:val="00A914B0"/>
    <w:rsid w:val="00A9150E"/>
    <w:rsid w:val="00A91605"/>
    <w:rsid w:val="00A916C1"/>
    <w:rsid w:val="00A91712"/>
    <w:rsid w:val="00A91798"/>
    <w:rsid w:val="00A917D6"/>
    <w:rsid w:val="00A91A9B"/>
    <w:rsid w:val="00A91BA7"/>
    <w:rsid w:val="00A91D21"/>
    <w:rsid w:val="00A91E49"/>
    <w:rsid w:val="00A91EE0"/>
    <w:rsid w:val="00A91FA5"/>
    <w:rsid w:val="00A92122"/>
    <w:rsid w:val="00A92150"/>
    <w:rsid w:val="00A9221A"/>
    <w:rsid w:val="00A92290"/>
    <w:rsid w:val="00A92301"/>
    <w:rsid w:val="00A92376"/>
    <w:rsid w:val="00A923D3"/>
    <w:rsid w:val="00A924B0"/>
    <w:rsid w:val="00A9258B"/>
    <w:rsid w:val="00A926A7"/>
    <w:rsid w:val="00A92779"/>
    <w:rsid w:val="00A9284E"/>
    <w:rsid w:val="00A9292C"/>
    <w:rsid w:val="00A92A51"/>
    <w:rsid w:val="00A92AA1"/>
    <w:rsid w:val="00A92B6C"/>
    <w:rsid w:val="00A92C64"/>
    <w:rsid w:val="00A92CBD"/>
    <w:rsid w:val="00A92CD1"/>
    <w:rsid w:val="00A92D92"/>
    <w:rsid w:val="00A92E0E"/>
    <w:rsid w:val="00A92E35"/>
    <w:rsid w:val="00A92F50"/>
    <w:rsid w:val="00A92F6C"/>
    <w:rsid w:val="00A92FA1"/>
    <w:rsid w:val="00A92FC0"/>
    <w:rsid w:val="00A92FDB"/>
    <w:rsid w:val="00A9303F"/>
    <w:rsid w:val="00A93049"/>
    <w:rsid w:val="00A930A9"/>
    <w:rsid w:val="00A93117"/>
    <w:rsid w:val="00A93174"/>
    <w:rsid w:val="00A93198"/>
    <w:rsid w:val="00A933C9"/>
    <w:rsid w:val="00A93503"/>
    <w:rsid w:val="00A93610"/>
    <w:rsid w:val="00A937D1"/>
    <w:rsid w:val="00A939CA"/>
    <w:rsid w:val="00A939CF"/>
    <w:rsid w:val="00A93BCB"/>
    <w:rsid w:val="00A93BD5"/>
    <w:rsid w:val="00A93C4F"/>
    <w:rsid w:val="00A93CFD"/>
    <w:rsid w:val="00A93D12"/>
    <w:rsid w:val="00A93E4C"/>
    <w:rsid w:val="00A93E55"/>
    <w:rsid w:val="00A93F3F"/>
    <w:rsid w:val="00A93F52"/>
    <w:rsid w:val="00A93FA9"/>
    <w:rsid w:val="00A94103"/>
    <w:rsid w:val="00A94162"/>
    <w:rsid w:val="00A94225"/>
    <w:rsid w:val="00A9457B"/>
    <w:rsid w:val="00A945B5"/>
    <w:rsid w:val="00A94670"/>
    <w:rsid w:val="00A94AA1"/>
    <w:rsid w:val="00A94AE2"/>
    <w:rsid w:val="00A94C4D"/>
    <w:rsid w:val="00A94D92"/>
    <w:rsid w:val="00A94DD7"/>
    <w:rsid w:val="00A94F7E"/>
    <w:rsid w:val="00A94F8F"/>
    <w:rsid w:val="00A94F9D"/>
    <w:rsid w:val="00A95036"/>
    <w:rsid w:val="00A95122"/>
    <w:rsid w:val="00A951B5"/>
    <w:rsid w:val="00A951D9"/>
    <w:rsid w:val="00A951F8"/>
    <w:rsid w:val="00A95229"/>
    <w:rsid w:val="00A95269"/>
    <w:rsid w:val="00A952B4"/>
    <w:rsid w:val="00A9538F"/>
    <w:rsid w:val="00A9560F"/>
    <w:rsid w:val="00A957C0"/>
    <w:rsid w:val="00A95842"/>
    <w:rsid w:val="00A9585E"/>
    <w:rsid w:val="00A958B4"/>
    <w:rsid w:val="00A95A23"/>
    <w:rsid w:val="00A95BF2"/>
    <w:rsid w:val="00A95C5F"/>
    <w:rsid w:val="00A95CEE"/>
    <w:rsid w:val="00A95E0E"/>
    <w:rsid w:val="00A95E23"/>
    <w:rsid w:val="00A95E4A"/>
    <w:rsid w:val="00A95E97"/>
    <w:rsid w:val="00A95ED6"/>
    <w:rsid w:val="00A95FD1"/>
    <w:rsid w:val="00A95FEF"/>
    <w:rsid w:val="00A9614A"/>
    <w:rsid w:val="00A96186"/>
    <w:rsid w:val="00A96188"/>
    <w:rsid w:val="00A9619C"/>
    <w:rsid w:val="00A961C4"/>
    <w:rsid w:val="00A96283"/>
    <w:rsid w:val="00A96306"/>
    <w:rsid w:val="00A965F3"/>
    <w:rsid w:val="00A9677C"/>
    <w:rsid w:val="00A96880"/>
    <w:rsid w:val="00A968D6"/>
    <w:rsid w:val="00A96D20"/>
    <w:rsid w:val="00A96FD3"/>
    <w:rsid w:val="00A970EF"/>
    <w:rsid w:val="00A97137"/>
    <w:rsid w:val="00A9721B"/>
    <w:rsid w:val="00A97574"/>
    <w:rsid w:val="00A976BE"/>
    <w:rsid w:val="00A976C8"/>
    <w:rsid w:val="00A976E4"/>
    <w:rsid w:val="00A9796E"/>
    <w:rsid w:val="00A97A5C"/>
    <w:rsid w:val="00A97A6F"/>
    <w:rsid w:val="00A97CDA"/>
    <w:rsid w:val="00A97DB1"/>
    <w:rsid w:val="00A97E57"/>
    <w:rsid w:val="00A97E6A"/>
    <w:rsid w:val="00A97F5C"/>
    <w:rsid w:val="00A97F9F"/>
    <w:rsid w:val="00AA00B9"/>
    <w:rsid w:val="00AA00FC"/>
    <w:rsid w:val="00AA01BD"/>
    <w:rsid w:val="00AA020B"/>
    <w:rsid w:val="00AA0297"/>
    <w:rsid w:val="00AA0521"/>
    <w:rsid w:val="00AA0559"/>
    <w:rsid w:val="00AA05B7"/>
    <w:rsid w:val="00AA0723"/>
    <w:rsid w:val="00AA0797"/>
    <w:rsid w:val="00AA095A"/>
    <w:rsid w:val="00AA0977"/>
    <w:rsid w:val="00AA099F"/>
    <w:rsid w:val="00AA0A2E"/>
    <w:rsid w:val="00AA0A9B"/>
    <w:rsid w:val="00AA0CAB"/>
    <w:rsid w:val="00AA0CF9"/>
    <w:rsid w:val="00AA0D79"/>
    <w:rsid w:val="00AA0DDE"/>
    <w:rsid w:val="00AA0E8A"/>
    <w:rsid w:val="00AA12BB"/>
    <w:rsid w:val="00AA14EE"/>
    <w:rsid w:val="00AA16D5"/>
    <w:rsid w:val="00AA1783"/>
    <w:rsid w:val="00AA18A4"/>
    <w:rsid w:val="00AA1949"/>
    <w:rsid w:val="00AA1BE0"/>
    <w:rsid w:val="00AA1CA5"/>
    <w:rsid w:val="00AA1CD2"/>
    <w:rsid w:val="00AA1D8D"/>
    <w:rsid w:val="00AA1EFC"/>
    <w:rsid w:val="00AA21B0"/>
    <w:rsid w:val="00AA21B1"/>
    <w:rsid w:val="00AA21DA"/>
    <w:rsid w:val="00AA2281"/>
    <w:rsid w:val="00AA2282"/>
    <w:rsid w:val="00AA22CD"/>
    <w:rsid w:val="00AA2345"/>
    <w:rsid w:val="00AA24D6"/>
    <w:rsid w:val="00AA2655"/>
    <w:rsid w:val="00AA2738"/>
    <w:rsid w:val="00AA2754"/>
    <w:rsid w:val="00AA2C25"/>
    <w:rsid w:val="00AA2C37"/>
    <w:rsid w:val="00AA2D02"/>
    <w:rsid w:val="00AA2E22"/>
    <w:rsid w:val="00AA302A"/>
    <w:rsid w:val="00AA303F"/>
    <w:rsid w:val="00AA3129"/>
    <w:rsid w:val="00AA317E"/>
    <w:rsid w:val="00AA31AA"/>
    <w:rsid w:val="00AA3311"/>
    <w:rsid w:val="00AA334C"/>
    <w:rsid w:val="00AA334F"/>
    <w:rsid w:val="00AA3373"/>
    <w:rsid w:val="00AA3512"/>
    <w:rsid w:val="00AA36B4"/>
    <w:rsid w:val="00AA38A0"/>
    <w:rsid w:val="00AA3A0E"/>
    <w:rsid w:val="00AA3AE7"/>
    <w:rsid w:val="00AA3B43"/>
    <w:rsid w:val="00AA3BD8"/>
    <w:rsid w:val="00AA3BF1"/>
    <w:rsid w:val="00AA3C25"/>
    <w:rsid w:val="00AA3C42"/>
    <w:rsid w:val="00AA3CEE"/>
    <w:rsid w:val="00AA3E2E"/>
    <w:rsid w:val="00AA3E36"/>
    <w:rsid w:val="00AA3E57"/>
    <w:rsid w:val="00AA3E58"/>
    <w:rsid w:val="00AA3EEC"/>
    <w:rsid w:val="00AA3EF2"/>
    <w:rsid w:val="00AA40CC"/>
    <w:rsid w:val="00AA40DB"/>
    <w:rsid w:val="00AA4168"/>
    <w:rsid w:val="00AA41A4"/>
    <w:rsid w:val="00AA43C3"/>
    <w:rsid w:val="00AA44C0"/>
    <w:rsid w:val="00AA4716"/>
    <w:rsid w:val="00AA4752"/>
    <w:rsid w:val="00AA495B"/>
    <w:rsid w:val="00AA49DD"/>
    <w:rsid w:val="00AA49F4"/>
    <w:rsid w:val="00AA4EF9"/>
    <w:rsid w:val="00AA4F59"/>
    <w:rsid w:val="00AA4FCD"/>
    <w:rsid w:val="00AA515C"/>
    <w:rsid w:val="00AA515D"/>
    <w:rsid w:val="00AA519C"/>
    <w:rsid w:val="00AA5584"/>
    <w:rsid w:val="00AA55B7"/>
    <w:rsid w:val="00AA5689"/>
    <w:rsid w:val="00AA56CF"/>
    <w:rsid w:val="00AA5998"/>
    <w:rsid w:val="00AA59A8"/>
    <w:rsid w:val="00AA59C2"/>
    <w:rsid w:val="00AA5B65"/>
    <w:rsid w:val="00AA5C4D"/>
    <w:rsid w:val="00AA5D1D"/>
    <w:rsid w:val="00AA5E4F"/>
    <w:rsid w:val="00AA5EEE"/>
    <w:rsid w:val="00AA5F6B"/>
    <w:rsid w:val="00AA5F92"/>
    <w:rsid w:val="00AA5FEB"/>
    <w:rsid w:val="00AA60CD"/>
    <w:rsid w:val="00AA612D"/>
    <w:rsid w:val="00AA6133"/>
    <w:rsid w:val="00AA6216"/>
    <w:rsid w:val="00AA6255"/>
    <w:rsid w:val="00AA62DA"/>
    <w:rsid w:val="00AA6318"/>
    <w:rsid w:val="00AA638F"/>
    <w:rsid w:val="00AA63CA"/>
    <w:rsid w:val="00AA63CC"/>
    <w:rsid w:val="00AA63FC"/>
    <w:rsid w:val="00AA6569"/>
    <w:rsid w:val="00AA65B5"/>
    <w:rsid w:val="00AA660E"/>
    <w:rsid w:val="00AA668D"/>
    <w:rsid w:val="00AA6789"/>
    <w:rsid w:val="00AA682F"/>
    <w:rsid w:val="00AA68EF"/>
    <w:rsid w:val="00AA6925"/>
    <w:rsid w:val="00AA6963"/>
    <w:rsid w:val="00AA69C5"/>
    <w:rsid w:val="00AA6A5B"/>
    <w:rsid w:val="00AA6ADB"/>
    <w:rsid w:val="00AA6C08"/>
    <w:rsid w:val="00AA6C3C"/>
    <w:rsid w:val="00AA6C5B"/>
    <w:rsid w:val="00AA6DC0"/>
    <w:rsid w:val="00AA6EAE"/>
    <w:rsid w:val="00AA6EE8"/>
    <w:rsid w:val="00AA6F79"/>
    <w:rsid w:val="00AA6F81"/>
    <w:rsid w:val="00AA707E"/>
    <w:rsid w:val="00AA7256"/>
    <w:rsid w:val="00AA73A0"/>
    <w:rsid w:val="00AA73C5"/>
    <w:rsid w:val="00AA7415"/>
    <w:rsid w:val="00AA7538"/>
    <w:rsid w:val="00AA75AB"/>
    <w:rsid w:val="00AA7600"/>
    <w:rsid w:val="00AA777B"/>
    <w:rsid w:val="00AA7794"/>
    <w:rsid w:val="00AA77D0"/>
    <w:rsid w:val="00AA7828"/>
    <w:rsid w:val="00AA78E2"/>
    <w:rsid w:val="00AA79E3"/>
    <w:rsid w:val="00AA7A00"/>
    <w:rsid w:val="00AA7AAE"/>
    <w:rsid w:val="00AA7BDC"/>
    <w:rsid w:val="00AA7BF6"/>
    <w:rsid w:val="00AA7C09"/>
    <w:rsid w:val="00AA7F55"/>
    <w:rsid w:val="00AA7F62"/>
    <w:rsid w:val="00AB018D"/>
    <w:rsid w:val="00AB0230"/>
    <w:rsid w:val="00AB0268"/>
    <w:rsid w:val="00AB0327"/>
    <w:rsid w:val="00AB03E4"/>
    <w:rsid w:val="00AB0516"/>
    <w:rsid w:val="00AB051B"/>
    <w:rsid w:val="00AB051F"/>
    <w:rsid w:val="00AB0528"/>
    <w:rsid w:val="00AB0551"/>
    <w:rsid w:val="00AB05DA"/>
    <w:rsid w:val="00AB07A7"/>
    <w:rsid w:val="00AB07CE"/>
    <w:rsid w:val="00AB089F"/>
    <w:rsid w:val="00AB09A7"/>
    <w:rsid w:val="00AB0A50"/>
    <w:rsid w:val="00AB0B29"/>
    <w:rsid w:val="00AB0E66"/>
    <w:rsid w:val="00AB1211"/>
    <w:rsid w:val="00AB12AD"/>
    <w:rsid w:val="00AB148B"/>
    <w:rsid w:val="00AB149A"/>
    <w:rsid w:val="00AB1571"/>
    <w:rsid w:val="00AB15C8"/>
    <w:rsid w:val="00AB18BA"/>
    <w:rsid w:val="00AB18E3"/>
    <w:rsid w:val="00AB1919"/>
    <w:rsid w:val="00AB1977"/>
    <w:rsid w:val="00AB1A4F"/>
    <w:rsid w:val="00AB1C68"/>
    <w:rsid w:val="00AB1DA6"/>
    <w:rsid w:val="00AB1F43"/>
    <w:rsid w:val="00AB2292"/>
    <w:rsid w:val="00AB22F9"/>
    <w:rsid w:val="00AB23F5"/>
    <w:rsid w:val="00AB27ED"/>
    <w:rsid w:val="00AB296D"/>
    <w:rsid w:val="00AB2981"/>
    <w:rsid w:val="00AB2AEE"/>
    <w:rsid w:val="00AB2B76"/>
    <w:rsid w:val="00AB2C6B"/>
    <w:rsid w:val="00AB2CD2"/>
    <w:rsid w:val="00AB2DB1"/>
    <w:rsid w:val="00AB2E4E"/>
    <w:rsid w:val="00AB2F0A"/>
    <w:rsid w:val="00AB2F6A"/>
    <w:rsid w:val="00AB2FC1"/>
    <w:rsid w:val="00AB31C9"/>
    <w:rsid w:val="00AB31F5"/>
    <w:rsid w:val="00AB3320"/>
    <w:rsid w:val="00AB3409"/>
    <w:rsid w:val="00AB3434"/>
    <w:rsid w:val="00AB35C5"/>
    <w:rsid w:val="00AB36D3"/>
    <w:rsid w:val="00AB3849"/>
    <w:rsid w:val="00AB3876"/>
    <w:rsid w:val="00AB3AB8"/>
    <w:rsid w:val="00AB3C30"/>
    <w:rsid w:val="00AB3D11"/>
    <w:rsid w:val="00AB4068"/>
    <w:rsid w:val="00AB4071"/>
    <w:rsid w:val="00AB41A7"/>
    <w:rsid w:val="00AB43EF"/>
    <w:rsid w:val="00AB44AF"/>
    <w:rsid w:val="00AB4519"/>
    <w:rsid w:val="00AB45B0"/>
    <w:rsid w:val="00AB4605"/>
    <w:rsid w:val="00AB47F5"/>
    <w:rsid w:val="00AB489C"/>
    <w:rsid w:val="00AB4964"/>
    <w:rsid w:val="00AB49E2"/>
    <w:rsid w:val="00AB49EB"/>
    <w:rsid w:val="00AB4B01"/>
    <w:rsid w:val="00AB4B13"/>
    <w:rsid w:val="00AB4B62"/>
    <w:rsid w:val="00AB4B7B"/>
    <w:rsid w:val="00AB4BD2"/>
    <w:rsid w:val="00AB4C3D"/>
    <w:rsid w:val="00AB4C42"/>
    <w:rsid w:val="00AB4CC3"/>
    <w:rsid w:val="00AB4DD0"/>
    <w:rsid w:val="00AB4F11"/>
    <w:rsid w:val="00AB5163"/>
    <w:rsid w:val="00AB51F0"/>
    <w:rsid w:val="00AB531A"/>
    <w:rsid w:val="00AB53D6"/>
    <w:rsid w:val="00AB543C"/>
    <w:rsid w:val="00AB5466"/>
    <w:rsid w:val="00AB55B5"/>
    <w:rsid w:val="00AB5614"/>
    <w:rsid w:val="00AB5627"/>
    <w:rsid w:val="00AB570F"/>
    <w:rsid w:val="00AB573B"/>
    <w:rsid w:val="00AB57F0"/>
    <w:rsid w:val="00AB587B"/>
    <w:rsid w:val="00AB58EB"/>
    <w:rsid w:val="00AB5A17"/>
    <w:rsid w:val="00AB5B29"/>
    <w:rsid w:val="00AB5B46"/>
    <w:rsid w:val="00AB5B53"/>
    <w:rsid w:val="00AB5B80"/>
    <w:rsid w:val="00AB5BB2"/>
    <w:rsid w:val="00AB5BE5"/>
    <w:rsid w:val="00AB5E1E"/>
    <w:rsid w:val="00AB5F1A"/>
    <w:rsid w:val="00AB5F91"/>
    <w:rsid w:val="00AB5FEA"/>
    <w:rsid w:val="00AB61D3"/>
    <w:rsid w:val="00AB6264"/>
    <w:rsid w:val="00AB62CA"/>
    <w:rsid w:val="00AB6317"/>
    <w:rsid w:val="00AB6319"/>
    <w:rsid w:val="00AB6461"/>
    <w:rsid w:val="00AB6513"/>
    <w:rsid w:val="00AB6541"/>
    <w:rsid w:val="00AB674D"/>
    <w:rsid w:val="00AB67D5"/>
    <w:rsid w:val="00AB6872"/>
    <w:rsid w:val="00AB688A"/>
    <w:rsid w:val="00AB688C"/>
    <w:rsid w:val="00AB6AE6"/>
    <w:rsid w:val="00AB6C88"/>
    <w:rsid w:val="00AB6CB0"/>
    <w:rsid w:val="00AB6CE7"/>
    <w:rsid w:val="00AB6CE8"/>
    <w:rsid w:val="00AB6FA8"/>
    <w:rsid w:val="00AB6FCB"/>
    <w:rsid w:val="00AB71C2"/>
    <w:rsid w:val="00AB7211"/>
    <w:rsid w:val="00AB7255"/>
    <w:rsid w:val="00AB7295"/>
    <w:rsid w:val="00AB74C2"/>
    <w:rsid w:val="00AB789A"/>
    <w:rsid w:val="00AB7CC2"/>
    <w:rsid w:val="00AB7CDA"/>
    <w:rsid w:val="00AB7D7D"/>
    <w:rsid w:val="00AB7DB8"/>
    <w:rsid w:val="00AB7FD5"/>
    <w:rsid w:val="00AC0041"/>
    <w:rsid w:val="00AC01E8"/>
    <w:rsid w:val="00AC0305"/>
    <w:rsid w:val="00AC031D"/>
    <w:rsid w:val="00AC0503"/>
    <w:rsid w:val="00AC050C"/>
    <w:rsid w:val="00AC07F5"/>
    <w:rsid w:val="00AC096A"/>
    <w:rsid w:val="00AC098E"/>
    <w:rsid w:val="00AC09AD"/>
    <w:rsid w:val="00AC0A54"/>
    <w:rsid w:val="00AC0A6A"/>
    <w:rsid w:val="00AC0BCC"/>
    <w:rsid w:val="00AC0C3B"/>
    <w:rsid w:val="00AC0CD4"/>
    <w:rsid w:val="00AC0E20"/>
    <w:rsid w:val="00AC0F89"/>
    <w:rsid w:val="00AC1152"/>
    <w:rsid w:val="00AC11B4"/>
    <w:rsid w:val="00AC1238"/>
    <w:rsid w:val="00AC12A4"/>
    <w:rsid w:val="00AC12CC"/>
    <w:rsid w:val="00AC1363"/>
    <w:rsid w:val="00AC152C"/>
    <w:rsid w:val="00AC15B3"/>
    <w:rsid w:val="00AC16D2"/>
    <w:rsid w:val="00AC187E"/>
    <w:rsid w:val="00AC18D9"/>
    <w:rsid w:val="00AC19A5"/>
    <w:rsid w:val="00AC19E6"/>
    <w:rsid w:val="00AC1A47"/>
    <w:rsid w:val="00AC1B41"/>
    <w:rsid w:val="00AC1C18"/>
    <w:rsid w:val="00AC1C7B"/>
    <w:rsid w:val="00AC1C86"/>
    <w:rsid w:val="00AC1DCD"/>
    <w:rsid w:val="00AC1E0D"/>
    <w:rsid w:val="00AC2098"/>
    <w:rsid w:val="00AC2197"/>
    <w:rsid w:val="00AC21FD"/>
    <w:rsid w:val="00AC248B"/>
    <w:rsid w:val="00AC24FE"/>
    <w:rsid w:val="00AC2524"/>
    <w:rsid w:val="00AC252D"/>
    <w:rsid w:val="00AC25CE"/>
    <w:rsid w:val="00AC25D7"/>
    <w:rsid w:val="00AC2870"/>
    <w:rsid w:val="00AC289A"/>
    <w:rsid w:val="00AC297F"/>
    <w:rsid w:val="00AC2A96"/>
    <w:rsid w:val="00AC2B5C"/>
    <w:rsid w:val="00AC2C06"/>
    <w:rsid w:val="00AC2CBB"/>
    <w:rsid w:val="00AC2DCF"/>
    <w:rsid w:val="00AC3081"/>
    <w:rsid w:val="00AC309C"/>
    <w:rsid w:val="00AC319E"/>
    <w:rsid w:val="00AC31DD"/>
    <w:rsid w:val="00AC320F"/>
    <w:rsid w:val="00AC3286"/>
    <w:rsid w:val="00AC32B4"/>
    <w:rsid w:val="00AC3494"/>
    <w:rsid w:val="00AC34F2"/>
    <w:rsid w:val="00AC364B"/>
    <w:rsid w:val="00AC3741"/>
    <w:rsid w:val="00AC3886"/>
    <w:rsid w:val="00AC39F8"/>
    <w:rsid w:val="00AC3AE1"/>
    <w:rsid w:val="00AC3C1F"/>
    <w:rsid w:val="00AC3E5D"/>
    <w:rsid w:val="00AC3E5E"/>
    <w:rsid w:val="00AC3EB3"/>
    <w:rsid w:val="00AC3EF4"/>
    <w:rsid w:val="00AC3F76"/>
    <w:rsid w:val="00AC3F84"/>
    <w:rsid w:val="00AC3FD3"/>
    <w:rsid w:val="00AC4048"/>
    <w:rsid w:val="00AC407B"/>
    <w:rsid w:val="00AC4085"/>
    <w:rsid w:val="00AC40C1"/>
    <w:rsid w:val="00AC4256"/>
    <w:rsid w:val="00AC42E0"/>
    <w:rsid w:val="00AC4447"/>
    <w:rsid w:val="00AC4485"/>
    <w:rsid w:val="00AC451B"/>
    <w:rsid w:val="00AC4597"/>
    <w:rsid w:val="00AC45C1"/>
    <w:rsid w:val="00AC465A"/>
    <w:rsid w:val="00AC4752"/>
    <w:rsid w:val="00AC47B6"/>
    <w:rsid w:val="00AC49A7"/>
    <w:rsid w:val="00AC49D8"/>
    <w:rsid w:val="00AC4AA1"/>
    <w:rsid w:val="00AC4B30"/>
    <w:rsid w:val="00AC4B7E"/>
    <w:rsid w:val="00AC4C12"/>
    <w:rsid w:val="00AC4C9E"/>
    <w:rsid w:val="00AC4CD9"/>
    <w:rsid w:val="00AC4DDC"/>
    <w:rsid w:val="00AC4E65"/>
    <w:rsid w:val="00AC507B"/>
    <w:rsid w:val="00AC5122"/>
    <w:rsid w:val="00AC5140"/>
    <w:rsid w:val="00AC5215"/>
    <w:rsid w:val="00AC5282"/>
    <w:rsid w:val="00AC52BB"/>
    <w:rsid w:val="00AC5329"/>
    <w:rsid w:val="00AC5492"/>
    <w:rsid w:val="00AC54DA"/>
    <w:rsid w:val="00AC55FE"/>
    <w:rsid w:val="00AC55FF"/>
    <w:rsid w:val="00AC5671"/>
    <w:rsid w:val="00AC572E"/>
    <w:rsid w:val="00AC581D"/>
    <w:rsid w:val="00AC5962"/>
    <w:rsid w:val="00AC5C8A"/>
    <w:rsid w:val="00AC5DAE"/>
    <w:rsid w:val="00AC5EA8"/>
    <w:rsid w:val="00AC60EE"/>
    <w:rsid w:val="00AC618D"/>
    <w:rsid w:val="00AC622E"/>
    <w:rsid w:val="00AC6240"/>
    <w:rsid w:val="00AC624E"/>
    <w:rsid w:val="00AC62C7"/>
    <w:rsid w:val="00AC6495"/>
    <w:rsid w:val="00AC6577"/>
    <w:rsid w:val="00AC65CC"/>
    <w:rsid w:val="00AC6686"/>
    <w:rsid w:val="00AC6841"/>
    <w:rsid w:val="00AC68BE"/>
    <w:rsid w:val="00AC69D5"/>
    <w:rsid w:val="00AC6B9D"/>
    <w:rsid w:val="00AC6D7D"/>
    <w:rsid w:val="00AC6E13"/>
    <w:rsid w:val="00AC700B"/>
    <w:rsid w:val="00AC7060"/>
    <w:rsid w:val="00AC7192"/>
    <w:rsid w:val="00AC7287"/>
    <w:rsid w:val="00AC728E"/>
    <w:rsid w:val="00AC73A7"/>
    <w:rsid w:val="00AC746F"/>
    <w:rsid w:val="00AC74B6"/>
    <w:rsid w:val="00AC764A"/>
    <w:rsid w:val="00AC76AE"/>
    <w:rsid w:val="00AC777D"/>
    <w:rsid w:val="00AC7886"/>
    <w:rsid w:val="00AC7906"/>
    <w:rsid w:val="00AC790E"/>
    <w:rsid w:val="00AC7976"/>
    <w:rsid w:val="00AC7A2A"/>
    <w:rsid w:val="00AC7A2E"/>
    <w:rsid w:val="00AC7B0D"/>
    <w:rsid w:val="00AC7CDC"/>
    <w:rsid w:val="00AC7D85"/>
    <w:rsid w:val="00AC7E38"/>
    <w:rsid w:val="00AC7E51"/>
    <w:rsid w:val="00AC7E54"/>
    <w:rsid w:val="00AC7E84"/>
    <w:rsid w:val="00AD0382"/>
    <w:rsid w:val="00AD03BC"/>
    <w:rsid w:val="00AD040A"/>
    <w:rsid w:val="00AD0589"/>
    <w:rsid w:val="00AD078D"/>
    <w:rsid w:val="00AD07AD"/>
    <w:rsid w:val="00AD07B3"/>
    <w:rsid w:val="00AD08B7"/>
    <w:rsid w:val="00AD08C3"/>
    <w:rsid w:val="00AD0A3E"/>
    <w:rsid w:val="00AD0BE9"/>
    <w:rsid w:val="00AD0C3F"/>
    <w:rsid w:val="00AD0EA3"/>
    <w:rsid w:val="00AD0EEE"/>
    <w:rsid w:val="00AD0F68"/>
    <w:rsid w:val="00AD0F92"/>
    <w:rsid w:val="00AD1012"/>
    <w:rsid w:val="00AD1021"/>
    <w:rsid w:val="00AD109E"/>
    <w:rsid w:val="00AD10FD"/>
    <w:rsid w:val="00AD1116"/>
    <w:rsid w:val="00AD1157"/>
    <w:rsid w:val="00AD125A"/>
    <w:rsid w:val="00AD129F"/>
    <w:rsid w:val="00AD1305"/>
    <w:rsid w:val="00AD140E"/>
    <w:rsid w:val="00AD15C2"/>
    <w:rsid w:val="00AD166B"/>
    <w:rsid w:val="00AD176F"/>
    <w:rsid w:val="00AD177B"/>
    <w:rsid w:val="00AD17E3"/>
    <w:rsid w:val="00AD17E5"/>
    <w:rsid w:val="00AD1C9B"/>
    <w:rsid w:val="00AD1D15"/>
    <w:rsid w:val="00AD1E13"/>
    <w:rsid w:val="00AD1E32"/>
    <w:rsid w:val="00AD1E76"/>
    <w:rsid w:val="00AD1FE5"/>
    <w:rsid w:val="00AD20D0"/>
    <w:rsid w:val="00AD22A9"/>
    <w:rsid w:val="00AD22C4"/>
    <w:rsid w:val="00AD2316"/>
    <w:rsid w:val="00AD2523"/>
    <w:rsid w:val="00AD260A"/>
    <w:rsid w:val="00AD2719"/>
    <w:rsid w:val="00AD2745"/>
    <w:rsid w:val="00AD2B8E"/>
    <w:rsid w:val="00AD2BB6"/>
    <w:rsid w:val="00AD2C8A"/>
    <w:rsid w:val="00AD2C90"/>
    <w:rsid w:val="00AD2D41"/>
    <w:rsid w:val="00AD2DB3"/>
    <w:rsid w:val="00AD302F"/>
    <w:rsid w:val="00AD3030"/>
    <w:rsid w:val="00AD31B5"/>
    <w:rsid w:val="00AD31D6"/>
    <w:rsid w:val="00AD31E0"/>
    <w:rsid w:val="00AD32E4"/>
    <w:rsid w:val="00AD334A"/>
    <w:rsid w:val="00AD3395"/>
    <w:rsid w:val="00AD341F"/>
    <w:rsid w:val="00AD3538"/>
    <w:rsid w:val="00AD37DD"/>
    <w:rsid w:val="00AD39AA"/>
    <w:rsid w:val="00AD3A41"/>
    <w:rsid w:val="00AD3A47"/>
    <w:rsid w:val="00AD3E21"/>
    <w:rsid w:val="00AD3F4A"/>
    <w:rsid w:val="00AD4140"/>
    <w:rsid w:val="00AD42A5"/>
    <w:rsid w:val="00AD42F4"/>
    <w:rsid w:val="00AD454B"/>
    <w:rsid w:val="00AD469E"/>
    <w:rsid w:val="00AD4879"/>
    <w:rsid w:val="00AD4955"/>
    <w:rsid w:val="00AD4A12"/>
    <w:rsid w:val="00AD4B34"/>
    <w:rsid w:val="00AD4C5B"/>
    <w:rsid w:val="00AD4D6E"/>
    <w:rsid w:val="00AD4EC9"/>
    <w:rsid w:val="00AD4F23"/>
    <w:rsid w:val="00AD4F75"/>
    <w:rsid w:val="00AD5008"/>
    <w:rsid w:val="00AD5031"/>
    <w:rsid w:val="00AD5151"/>
    <w:rsid w:val="00AD519B"/>
    <w:rsid w:val="00AD53A0"/>
    <w:rsid w:val="00AD561F"/>
    <w:rsid w:val="00AD5633"/>
    <w:rsid w:val="00AD56DF"/>
    <w:rsid w:val="00AD57BC"/>
    <w:rsid w:val="00AD5A2F"/>
    <w:rsid w:val="00AD5A50"/>
    <w:rsid w:val="00AD5AA3"/>
    <w:rsid w:val="00AD5AC6"/>
    <w:rsid w:val="00AD5B18"/>
    <w:rsid w:val="00AD5D3C"/>
    <w:rsid w:val="00AD5D87"/>
    <w:rsid w:val="00AD5D9A"/>
    <w:rsid w:val="00AD5D9F"/>
    <w:rsid w:val="00AD5DC7"/>
    <w:rsid w:val="00AD6067"/>
    <w:rsid w:val="00AD610A"/>
    <w:rsid w:val="00AD62CA"/>
    <w:rsid w:val="00AD64AC"/>
    <w:rsid w:val="00AD64B6"/>
    <w:rsid w:val="00AD6786"/>
    <w:rsid w:val="00AD68DE"/>
    <w:rsid w:val="00AD690F"/>
    <w:rsid w:val="00AD6A0F"/>
    <w:rsid w:val="00AD6A5D"/>
    <w:rsid w:val="00AD6A71"/>
    <w:rsid w:val="00AD6A9B"/>
    <w:rsid w:val="00AD6C39"/>
    <w:rsid w:val="00AD6E40"/>
    <w:rsid w:val="00AD6E44"/>
    <w:rsid w:val="00AD7096"/>
    <w:rsid w:val="00AD70AC"/>
    <w:rsid w:val="00AD710D"/>
    <w:rsid w:val="00AD713E"/>
    <w:rsid w:val="00AD71F2"/>
    <w:rsid w:val="00AD723F"/>
    <w:rsid w:val="00AD73B7"/>
    <w:rsid w:val="00AD74A9"/>
    <w:rsid w:val="00AD7510"/>
    <w:rsid w:val="00AD76D8"/>
    <w:rsid w:val="00AD77CE"/>
    <w:rsid w:val="00AD77E8"/>
    <w:rsid w:val="00AD7884"/>
    <w:rsid w:val="00AD78C0"/>
    <w:rsid w:val="00AD78DD"/>
    <w:rsid w:val="00AD7919"/>
    <w:rsid w:val="00AD7988"/>
    <w:rsid w:val="00AD79EC"/>
    <w:rsid w:val="00AD7A21"/>
    <w:rsid w:val="00AD7AB0"/>
    <w:rsid w:val="00AD7AFC"/>
    <w:rsid w:val="00AD7BA8"/>
    <w:rsid w:val="00AD7CDA"/>
    <w:rsid w:val="00AD7D59"/>
    <w:rsid w:val="00AD7E5A"/>
    <w:rsid w:val="00AD7F9F"/>
    <w:rsid w:val="00AE0100"/>
    <w:rsid w:val="00AE0162"/>
    <w:rsid w:val="00AE03B0"/>
    <w:rsid w:val="00AE051F"/>
    <w:rsid w:val="00AE0551"/>
    <w:rsid w:val="00AE05C2"/>
    <w:rsid w:val="00AE084D"/>
    <w:rsid w:val="00AE0953"/>
    <w:rsid w:val="00AE09E3"/>
    <w:rsid w:val="00AE0BFF"/>
    <w:rsid w:val="00AE0CAF"/>
    <w:rsid w:val="00AE0CD4"/>
    <w:rsid w:val="00AE0CF6"/>
    <w:rsid w:val="00AE0D34"/>
    <w:rsid w:val="00AE0DFC"/>
    <w:rsid w:val="00AE0E2B"/>
    <w:rsid w:val="00AE0E83"/>
    <w:rsid w:val="00AE0EE2"/>
    <w:rsid w:val="00AE0EE3"/>
    <w:rsid w:val="00AE0FC5"/>
    <w:rsid w:val="00AE1207"/>
    <w:rsid w:val="00AE121C"/>
    <w:rsid w:val="00AE12FF"/>
    <w:rsid w:val="00AE142B"/>
    <w:rsid w:val="00AE149B"/>
    <w:rsid w:val="00AE159D"/>
    <w:rsid w:val="00AE162E"/>
    <w:rsid w:val="00AE183E"/>
    <w:rsid w:val="00AE19D9"/>
    <w:rsid w:val="00AE1A21"/>
    <w:rsid w:val="00AE1A75"/>
    <w:rsid w:val="00AE1BD5"/>
    <w:rsid w:val="00AE1C50"/>
    <w:rsid w:val="00AE1F0B"/>
    <w:rsid w:val="00AE2152"/>
    <w:rsid w:val="00AE2372"/>
    <w:rsid w:val="00AE23FD"/>
    <w:rsid w:val="00AE2480"/>
    <w:rsid w:val="00AE28FF"/>
    <w:rsid w:val="00AE29FA"/>
    <w:rsid w:val="00AE2AAD"/>
    <w:rsid w:val="00AE2B5C"/>
    <w:rsid w:val="00AE2C22"/>
    <w:rsid w:val="00AE2DDC"/>
    <w:rsid w:val="00AE2E2F"/>
    <w:rsid w:val="00AE2F75"/>
    <w:rsid w:val="00AE3087"/>
    <w:rsid w:val="00AE30BD"/>
    <w:rsid w:val="00AE3147"/>
    <w:rsid w:val="00AE3251"/>
    <w:rsid w:val="00AE3371"/>
    <w:rsid w:val="00AE33BF"/>
    <w:rsid w:val="00AE351B"/>
    <w:rsid w:val="00AE35AC"/>
    <w:rsid w:val="00AE35F9"/>
    <w:rsid w:val="00AE3607"/>
    <w:rsid w:val="00AE3787"/>
    <w:rsid w:val="00AE379B"/>
    <w:rsid w:val="00AE3B4F"/>
    <w:rsid w:val="00AE3C55"/>
    <w:rsid w:val="00AE3D62"/>
    <w:rsid w:val="00AE3DA5"/>
    <w:rsid w:val="00AE3DE1"/>
    <w:rsid w:val="00AE3E0B"/>
    <w:rsid w:val="00AE4328"/>
    <w:rsid w:val="00AE445C"/>
    <w:rsid w:val="00AE44FF"/>
    <w:rsid w:val="00AE46C8"/>
    <w:rsid w:val="00AE46FD"/>
    <w:rsid w:val="00AE49B0"/>
    <w:rsid w:val="00AE49E4"/>
    <w:rsid w:val="00AE4A6C"/>
    <w:rsid w:val="00AE4AA7"/>
    <w:rsid w:val="00AE4AF7"/>
    <w:rsid w:val="00AE4D68"/>
    <w:rsid w:val="00AE4DB1"/>
    <w:rsid w:val="00AE4ECC"/>
    <w:rsid w:val="00AE4FD9"/>
    <w:rsid w:val="00AE5012"/>
    <w:rsid w:val="00AE537D"/>
    <w:rsid w:val="00AE548B"/>
    <w:rsid w:val="00AE55D4"/>
    <w:rsid w:val="00AE55EF"/>
    <w:rsid w:val="00AE56D9"/>
    <w:rsid w:val="00AE57A3"/>
    <w:rsid w:val="00AE595D"/>
    <w:rsid w:val="00AE5B3C"/>
    <w:rsid w:val="00AE5CE6"/>
    <w:rsid w:val="00AE5F4D"/>
    <w:rsid w:val="00AE5F83"/>
    <w:rsid w:val="00AE5FDC"/>
    <w:rsid w:val="00AE5FFD"/>
    <w:rsid w:val="00AE6029"/>
    <w:rsid w:val="00AE607C"/>
    <w:rsid w:val="00AE6091"/>
    <w:rsid w:val="00AE652B"/>
    <w:rsid w:val="00AE659D"/>
    <w:rsid w:val="00AE66F5"/>
    <w:rsid w:val="00AE68AA"/>
    <w:rsid w:val="00AE6905"/>
    <w:rsid w:val="00AE69FB"/>
    <w:rsid w:val="00AE6A2D"/>
    <w:rsid w:val="00AE6B2B"/>
    <w:rsid w:val="00AE6B87"/>
    <w:rsid w:val="00AE6C03"/>
    <w:rsid w:val="00AE6C2D"/>
    <w:rsid w:val="00AE6C38"/>
    <w:rsid w:val="00AE6C97"/>
    <w:rsid w:val="00AE6E39"/>
    <w:rsid w:val="00AE6E6C"/>
    <w:rsid w:val="00AE6FFB"/>
    <w:rsid w:val="00AE7072"/>
    <w:rsid w:val="00AE7092"/>
    <w:rsid w:val="00AE712D"/>
    <w:rsid w:val="00AE7428"/>
    <w:rsid w:val="00AE74EF"/>
    <w:rsid w:val="00AE7566"/>
    <w:rsid w:val="00AE758C"/>
    <w:rsid w:val="00AE787E"/>
    <w:rsid w:val="00AE7B1A"/>
    <w:rsid w:val="00AE7B3F"/>
    <w:rsid w:val="00AE7C2D"/>
    <w:rsid w:val="00AE7C95"/>
    <w:rsid w:val="00AE7D19"/>
    <w:rsid w:val="00AE7DDD"/>
    <w:rsid w:val="00AE7F2A"/>
    <w:rsid w:val="00AE7FBB"/>
    <w:rsid w:val="00AF019B"/>
    <w:rsid w:val="00AF01DC"/>
    <w:rsid w:val="00AF01F2"/>
    <w:rsid w:val="00AF02D2"/>
    <w:rsid w:val="00AF038D"/>
    <w:rsid w:val="00AF0482"/>
    <w:rsid w:val="00AF069F"/>
    <w:rsid w:val="00AF0777"/>
    <w:rsid w:val="00AF082C"/>
    <w:rsid w:val="00AF09BF"/>
    <w:rsid w:val="00AF0A3B"/>
    <w:rsid w:val="00AF0B59"/>
    <w:rsid w:val="00AF0D3B"/>
    <w:rsid w:val="00AF0F13"/>
    <w:rsid w:val="00AF0FBF"/>
    <w:rsid w:val="00AF1048"/>
    <w:rsid w:val="00AF10F0"/>
    <w:rsid w:val="00AF110C"/>
    <w:rsid w:val="00AF113B"/>
    <w:rsid w:val="00AF1324"/>
    <w:rsid w:val="00AF1513"/>
    <w:rsid w:val="00AF1519"/>
    <w:rsid w:val="00AF15C7"/>
    <w:rsid w:val="00AF16A9"/>
    <w:rsid w:val="00AF1735"/>
    <w:rsid w:val="00AF18A0"/>
    <w:rsid w:val="00AF194D"/>
    <w:rsid w:val="00AF19ED"/>
    <w:rsid w:val="00AF1AF5"/>
    <w:rsid w:val="00AF1B06"/>
    <w:rsid w:val="00AF1B57"/>
    <w:rsid w:val="00AF1F76"/>
    <w:rsid w:val="00AF2132"/>
    <w:rsid w:val="00AF2366"/>
    <w:rsid w:val="00AF23AA"/>
    <w:rsid w:val="00AF23AB"/>
    <w:rsid w:val="00AF27AF"/>
    <w:rsid w:val="00AF27EC"/>
    <w:rsid w:val="00AF28E5"/>
    <w:rsid w:val="00AF2921"/>
    <w:rsid w:val="00AF29AD"/>
    <w:rsid w:val="00AF2B12"/>
    <w:rsid w:val="00AF2C91"/>
    <w:rsid w:val="00AF2D11"/>
    <w:rsid w:val="00AF2D67"/>
    <w:rsid w:val="00AF2DA3"/>
    <w:rsid w:val="00AF2DA4"/>
    <w:rsid w:val="00AF2E11"/>
    <w:rsid w:val="00AF2F61"/>
    <w:rsid w:val="00AF309F"/>
    <w:rsid w:val="00AF3110"/>
    <w:rsid w:val="00AF32BE"/>
    <w:rsid w:val="00AF339A"/>
    <w:rsid w:val="00AF34EB"/>
    <w:rsid w:val="00AF36EC"/>
    <w:rsid w:val="00AF376C"/>
    <w:rsid w:val="00AF3863"/>
    <w:rsid w:val="00AF3A1C"/>
    <w:rsid w:val="00AF3A9E"/>
    <w:rsid w:val="00AF3AA5"/>
    <w:rsid w:val="00AF3E3D"/>
    <w:rsid w:val="00AF3EF3"/>
    <w:rsid w:val="00AF3F67"/>
    <w:rsid w:val="00AF3F6C"/>
    <w:rsid w:val="00AF3F84"/>
    <w:rsid w:val="00AF3F9A"/>
    <w:rsid w:val="00AF3FE2"/>
    <w:rsid w:val="00AF40F0"/>
    <w:rsid w:val="00AF420A"/>
    <w:rsid w:val="00AF4286"/>
    <w:rsid w:val="00AF42C4"/>
    <w:rsid w:val="00AF44B9"/>
    <w:rsid w:val="00AF4500"/>
    <w:rsid w:val="00AF451C"/>
    <w:rsid w:val="00AF464A"/>
    <w:rsid w:val="00AF47A0"/>
    <w:rsid w:val="00AF4861"/>
    <w:rsid w:val="00AF4888"/>
    <w:rsid w:val="00AF48CD"/>
    <w:rsid w:val="00AF4950"/>
    <w:rsid w:val="00AF4CF1"/>
    <w:rsid w:val="00AF4DC4"/>
    <w:rsid w:val="00AF4EEE"/>
    <w:rsid w:val="00AF4F5C"/>
    <w:rsid w:val="00AF4F9B"/>
    <w:rsid w:val="00AF4FD1"/>
    <w:rsid w:val="00AF4FFD"/>
    <w:rsid w:val="00AF506C"/>
    <w:rsid w:val="00AF50AA"/>
    <w:rsid w:val="00AF518D"/>
    <w:rsid w:val="00AF52C7"/>
    <w:rsid w:val="00AF52F8"/>
    <w:rsid w:val="00AF533D"/>
    <w:rsid w:val="00AF5374"/>
    <w:rsid w:val="00AF53F2"/>
    <w:rsid w:val="00AF54EC"/>
    <w:rsid w:val="00AF5580"/>
    <w:rsid w:val="00AF567C"/>
    <w:rsid w:val="00AF56A1"/>
    <w:rsid w:val="00AF590E"/>
    <w:rsid w:val="00AF5A11"/>
    <w:rsid w:val="00AF5B71"/>
    <w:rsid w:val="00AF5BB9"/>
    <w:rsid w:val="00AF5C01"/>
    <w:rsid w:val="00AF5D35"/>
    <w:rsid w:val="00AF5D77"/>
    <w:rsid w:val="00AF5FDA"/>
    <w:rsid w:val="00AF61F5"/>
    <w:rsid w:val="00AF6218"/>
    <w:rsid w:val="00AF62F1"/>
    <w:rsid w:val="00AF65C5"/>
    <w:rsid w:val="00AF66B3"/>
    <w:rsid w:val="00AF6709"/>
    <w:rsid w:val="00AF6719"/>
    <w:rsid w:val="00AF68F6"/>
    <w:rsid w:val="00AF691F"/>
    <w:rsid w:val="00AF6A5E"/>
    <w:rsid w:val="00AF6A68"/>
    <w:rsid w:val="00AF6B34"/>
    <w:rsid w:val="00AF6C33"/>
    <w:rsid w:val="00AF6C85"/>
    <w:rsid w:val="00AF6ECC"/>
    <w:rsid w:val="00AF6EED"/>
    <w:rsid w:val="00AF7036"/>
    <w:rsid w:val="00AF7147"/>
    <w:rsid w:val="00AF7270"/>
    <w:rsid w:val="00AF73D9"/>
    <w:rsid w:val="00AF7506"/>
    <w:rsid w:val="00AF761C"/>
    <w:rsid w:val="00AF7693"/>
    <w:rsid w:val="00AF776F"/>
    <w:rsid w:val="00AF77A9"/>
    <w:rsid w:val="00AF77CE"/>
    <w:rsid w:val="00AF7840"/>
    <w:rsid w:val="00AF79AF"/>
    <w:rsid w:val="00AF7ABC"/>
    <w:rsid w:val="00AF7C38"/>
    <w:rsid w:val="00AF7D49"/>
    <w:rsid w:val="00AF7D7D"/>
    <w:rsid w:val="00AF7DC5"/>
    <w:rsid w:val="00AF7DED"/>
    <w:rsid w:val="00AF7F99"/>
    <w:rsid w:val="00AF7FCF"/>
    <w:rsid w:val="00AF7FD5"/>
    <w:rsid w:val="00AF7FE8"/>
    <w:rsid w:val="00B000F2"/>
    <w:rsid w:val="00B0028D"/>
    <w:rsid w:val="00B003AC"/>
    <w:rsid w:val="00B003F7"/>
    <w:rsid w:val="00B00451"/>
    <w:rsid w:val="00B00514"/>
    <w:rsid w:val="00B00602"/>
    <w:rsid w:val="00B00648"/>
    <w:rsid w:val="00B00782"/>
    <w:rsid w:val="00B007D1"/>
    <w:rsid w:val="00B007EF"/>
    <w:rsid w:val="00B00819"/>
    <w:rsid w:val="00B00B13"/>
    <w:rsid w:val="00B00BE1"/>
    <w:rsid w:val="00B01123"/>
    <w:rsid w:val="00B0114D"/>
    <w:rsid w:val="00B01170"/>
    <w:rsid w:val="00B01220"/>
    <w:rsid w:val="00B012EF"/>
    <w:rsid w:val="00B0136E"/>
    <w:rsid w:val="00B01390"/>
    <w:rsid w:val="00B013EE"/>
    <w:rsid w:val="00B01414"/>
    <w:rsid w:val="00B01467"/>
    <w:rsid w:val="00B01597"/>
    <w:rsid w:val="00B01606"/>
    <w:rsid w:val="00B017C2"/>
    <w:rsid w:val="00B0199C"/>
    <w:rsid w:val="00B019CF"/>
    <w:rsid w:val="00B01D10"/>
    <w:rsid w:val="00B01D3E"/>
    <w:rsid w:val="00B01D46"/>
    <w:rsid w:val="00B01D8D"/>
    <w:rsid w:val="00B01DAD"/>
    <w:rsid w:val="00B01DE7"/>
    <w:rsid w:val="00B02131"/>
    <w:rsid w:val="00B021C7"/>
    <w:rsid w:val="00B021FE"/>
    <w:rsid w:val="00B022D6"/>
    <w:rsid w:val="00B02403"/>
    <w:rsid w:val="00B02536"/>
    <w:rsid w:val="00B0263B"/>
    <w:rsid w:val="00B02736"/>
    <w:rsid w:val="00B027EA"/>
    <w:rsid w:val="00B0280F"/>
    <w:rsid w:val="00B02B52"/>
    <w:rsid w:val="00B02C30"/>
    <w:rsid w:val="00B02CE1"/>
    <w:rsid w:val="00B02DC7"/>
    <w:rsid w:val="00B02EA5"/>
    <w:rsid w:val="00B02F77"/>
    <w:rsid w:val="00B030BA"/>
    <w:rsid w:val="00B030BF"/>
    <w:rsid w:val="00B0311D"/>
    <w:rsid w:val="00B03165"/>
    <w:rsid w:val="00B032CC"/>
    <w:rsid w:val="00B03382"/>
    <w:rsid w:val="00B0345F"/>
    <w:rsid w:val="00B03614"/>
    <w:rsid w:val="00B03A36"/>
    <w:rsid w:val="00B03B94"/>
    <w:rsid w:val="00B03D54"/>
    <w:rsid w:val="00B03E9B"/>
    <w:rsid w:val="00B03F22"/>
    <w:rsid w:val="00B03F3B"/>
    <w:rsid w:val="00B04029"/>
    <w:rsid w:val="00B0413E"/>
    <w:rsid w:val="00B0422B"/>
    <w:rsid w:val="00B04344"/>
    <w:rsid w:val="00B0447A"/>
    <w:rsid w:val="00B045C0"/>
    <w:rsid w:val="00B04646"/>
    <w:rsid w:val="00B0491C"/>
    <w:rsid w:val="00B04987"/>
    <w:rsid w:val="00B04A20"/>
    <w:rsid w:val="00B04A51"/>
    <w:rsid w:val="00B04AD4"/>
    <w:rsid w:val="00B04B5D"/>
    <w:rsid w:val="00B04C77"/>
    <w:rsid w:val="00B04CA8"/>
    <w:rsid w:val="00B04DC7"/>
    <w:rsid w:val="00B04E6B"/>
    <w:rsid w:val="00B05071"/>
    <w:rsid w:val="00B050DC"/>
    <w:rsid w:val="00B050EB"/>
    <w:rsid w:val="00B05130"/>
    <w:rsid w:val="00B05481"/>
    <w:rsid w:val="00B05512"/>
    <w:rsid w:val="00B05516"/>
    <w:rsid w:val="00B05528"/>
    <w:rsid w:val="00B055A8"/>
    <w:rsid w:val="00B05664"/>
    <w:rsid w:val="00B05A53"/>
    <w:rsid w:val="00B05B08"/>
    <w:rsid w:val="00B05BFE"/>
    <w:rsid w:val="00B05ED8"/>
    <w:rsid w:val="00B05FF4"/>
    <w:rsid w:val="00B05FF7"/>
    <w:rsid w:val="00B06003"/>
    <w:rsid w:val="00B0610A"/>
    <w:rsid w:val="00B06140"/>
    <w:rsid w:val="00B06329"/>
    <w:rsid w:val="00B066A3"/>
    <w:rsid w:val="00B066E3"/>
    <w:rsid w:val="00B06914"/>
    <w:rsid w:val="00B06971"/>
    <w:rsid w:val="00B06A3F"/>
    <w:rsid w:val="00B06C7B"/>
    <w:rsid w:val="00B06C91"/>
    <w:rsid w:val="00B06DC2"/>
    <w:rsid w:val="00B06DC3"/>
    <w:rsid w:val="00B06E4D"/>
    <w:rsid w:val="00B06FEE"/>
    <w:rsid w:val="00B07049"/>
    <w:rsid w:val="00B07141"/>
    <w:rsid w:val="00B07271"/>
    <w:rsid w:val="00B0728D"/>
    <w:rsid w:val="00B07535"/>
    <w:rsid w:val="00B07608"/>
    <w:rsid w:val="00B0764D"/>
    <w:rsid w:val="00B0790D"/>
    <w:rsid w:val="00B07957"/>
    <w:rsid w:val="00B079F6"/>
    <w:rsid w:val="00B07E57"/>
    <w:rsid w:val="00B07F71"/>
    <w:rsid w:val="00B07FD8"/>
    <w:rsid w:val="00B101E4"/>
    <w:rsid w:val="00B10279"/>
    <w:rsid w:val="00B1038E"/>
    <w:rsid w:val="00B10489"/>
    <w:rsid w:val="00B104D8"/>
    <w:rsid w:val="00B10521"/>
    <w:rsid w:val="00B1055F"/>
    <w:rsid w:val="00B105AD"/>
    <w:rsid w:val="00B1062D"/>
    <w:rsid w:val="00B1068A"/>
    <w:rsid w:val="00B10739"/>
    <w:rsid w:val="00B10892"/>
    <w:rsid w:val="00B109FD"/>
    <w:rsid w:val="00B10A76"/>
    <w:rsid w:val="00B10BD4"/>
    <w:rsid w:val="00B10C90"/>
    <w:rsid w:val="00B10CA3"/>
    <w:rsid w:val="00B10DAE"/>
    <w:rsid w:val="00B10E1A"/>
    <w:rsid w:val="00B10E8C"/>
    <w:rsid w:val="00B10F49"/>
    <w:rsid w:val="00B10F77"/>
    <w:rsid w:val="00B10FA2"/>
    <w:rsid w:val="00B11088"/>
    <w:rsid w:val="00B11092"/>
    <w:rsid w:val="00B11116"/>
    <w:rsid w:val="00B11167"/>
    <w:rsid w:val="00B111CA"/>
    <w:rsid w:val="00B1122C"/>
    <w:rsid w:val="00B112DF"/>
    <w:rsid w:val="00B113B2"/>
    <w:rsid w:val="00B11576"/>
    <w:rsid w:val="00B1166E"/>
    <w:rsid w:val="00B1177B"/>
    <w:rsid w:val="00B11848"/>
    <w:rsid w:val="00B119FC"/>
    <w:rsid w:val="00B11A81"/>
    <w:rsid w:val="00B11BBC"/>
    <w:rsid w:val="00B11D35"/>
    <w:rsid w:val="00B11DA4"/>
    <w:rsid w:val="00B11E72"/>
    <w:rsid w:val="00B11F94"/>
    <w:rsid w:val="00B120A4"/>
    <w:rsid w:val="00B12173"/>
    <w:rsid w:val="00B121F4"/>
    <w:rsid w:val="00B12292"/>
    <w:rsid w:val="00B123C4"/>
    <w:rsid w:val="00B1242A"/>
    <w:rsid w:val="00B12469"/>
    <w:rsid w:val="00B12502"/>
    <w:rsid w:val="00B125C3"/>
    <w:rsid w:val="00B1264E"/>
    <w:rsid w:val="00B12651"/>
    <w:rsid w:val="00B12862"/>
    <w:rsid w:val="00B12868"/>
    <w:rsid w:val="00B128F3"/>
    <w:rsid w:val="00B129D8"/>
    <w:rsid w:val="00B12B7F"/>
    <w:rsid w:val="00B12BFB"/>
    <w:rsid w:val="00B12DD9"/>
    <w:rsid w:val="00B12F17"/>
    <w:rsid w:val="00B13162"/>
    <w:rsid w:val="00B134BE"/>
    <w:rsid w:val="00B134C4"/>
    <w:rsid w:val="00B13654"/>
    <w:rsid w:val="00B13726"/>
    <w:rsid w:val="00B13812"/>
    <w:rsid w:val="00B1391A"/>
    <w:rsid w:val="00B13A72"/>
    <w:rsid w:val="00B13A82"/>
    <w:rsid w:val="00B13B8F"/>
    <w:rsid w:val="00B13BB1"/>
    <w:rsid w:val="00B13E74"/>
    <w:rsid w:val="00B13EC0"/>
    <w:rsid w:val="00B13ED4"/>
    <w:rsid w:val="00B13F83"/>
    <w:rsid w:val="00B14061"/>
    <w:rsid w:val="00B140E8"/>
    <w:rsid w:val="00B1419A"/>
    <w:rsid w:val="00B141D4"/>
    <w:rsid w:val="00B142CD"/>
    <w:rsid w:val="00B142E8"/>
    <w:rsid w:val="00B146A1"/>
    <w:rsid w:val="00B14743"/>
    <w:rsid w:val="00B147A2"/>
    <w:rsid w:val="00B147CF"/>
    <w:rsid w:val="00B147F3"/>
    <w:rsid w:val="00B14820"/>
    <w:rsid w:val="00B14850"/>
    <w:rsid w:val="00B148EE"/>
    <w:rsid w:val="00B1492A"/>
    <w:rsid w:val="00B14934"/>
    <w:rsid w:val="00B14957"/>
    <w:rsid w:val="00B14965"/>
    <w:rsid w:val="00B14D0A"/>
    <w:rsid w:val="00B14D2E"/>
    <w:rsid w:val="00B14EB1"/>
    <w:rsid w:val="00B14ECE"/>
    <w:rsid w:val="00B14EE7"/>
    <w:rsid w:val="00B14FEF"/>
    <w:rsid w:val="00B1522B"/>
    <w:rsid w:val="00B15244"/>
    <w:rsid w:val="00B1530F"/>
    <w:rsid w:val="00B15351"/>
    <w:rsid w:val="00B15416"/>
    <w:rsid w:val="00B154D3"/>
    <w:rsid w:val="00B154F5"/>
    <w:rsid w:val="00B15661"/>
    <w:rsid w:val="00B157A4"/>
    <w:rsid w:val="00B15807"/>
    <w:rsid w:val="00B1591E"/>
    <w:rsid w:val="00B15995"/>
    <w:rsid w:val="00B1599C"/>
    <w:rsid w:val="00B15A50"/>
    <w:rsid w:val="00B15E7E"/>
    <w:rsid w:val="00B15FCC"/>
    <w:rsid w:val="00B1605C"/>
    <w:rsid w:val="00B160FB"/>
    <w:rsid w:val="00B161FE"/>
    <w:rsid w:val="00B16270"/>
    <w:rsid w:val="00B162B5"/>
    <w:rsid w:val="00B162D6"/>
    <w:rsid w:val="00B1633A"/>
    <w:rsid w:val="00B165EC"/>
    <w:rsid w:val="00B16859"/>
    <w:rsid w:val="00B1688C"/>
    <w:rsid w:val="00B16943"/>
    <w:rsid w:val="00B1695D"/>
    <w:rsid w:val="00B16965"/>
    <w:rsid w:val="00B1697E"/>
    <w:rsid w:val="00B169E2"/>
    <w:rsid w:val="00B169EC"/>
    <w:rsid w:val="00B16A28"/>
    <w:rsid w:val="00B16AC5"/>
    <w:rsid w:val="00B16AFA"/>
    <w:rsid w:val="00B16C5F"/>
    <w:rsid w:val="00B16D1E"/>
    <w:rsid w:val="00B16DE8"/>
    <w:rsid w:val="00B16F1C"/>
    <w:rsid w:val="00B17185"/>
    <w:rsid w:val="00B171C1"/>
    <w:rsid w:val="00B1731B"/>
    <w:rsid w:val="00B17378"/>
    <w:rsid w:val="00B174B3"/>
    <w:rsid w:val="00B174EF"/>
    <w:rsid w:val="00B175A8"/>
    <w:rsid w:val="00B176CC"/>
    <w:rsid w:val="00B176D9"/>
    <w:rsid w:val="00B17814"/>
    <w:rsid w:val="00B178B5"/>
    <w:rsid w:val="00B1791C"/>
    <w:rsid w:val="00B179FD"/>
    <w:rsid w:val="00B17AB1"/>
    <w:rsid w:val="00B17B4A"/>
    <w:rsid w:val="00B17CA6"/>
    <w:rsid w:val="00B17DDE"/>
    <w:rsid w:val="00B17DF2"/>
    <w:rsid w:val="00B17E7C"/>
    <w:rsid w:val="00B17EBF"/>
    <w:rsid w:val="00B17F02"/>
    <w:rsid w:val="00B17F43"/>
    <w:rsid w:val="00B17F5A"/>
    <w:rsid w:val="00B17F5C"/>
    <w:rsid w:val="00B17F97"/>
    <w:rsid w:val="00B1AE3A"/>
    <w:rsid w:val="00B20103"/>
    <w:rsid w:val="00B2016D"/>
    <w:rsid w:val="00B204E6"/>
    <w:rsid w:val="00B206BD"/>
    <w:rsid w:val="00B20720"/>
    <w:rsid w:val="00B20742"/>
    <w:rsid w:val="00B20743"/>
    <w:rsid w:val="00B20842"/>
    <w:rsid w:val="00B2084E"/>
    <w:rsid w:val="00B208D6"/>
    <w:rsid w:val="00B20963"/>
    <w:rsid w:val="00B2096C"/>
    <w:rsid w:val="00B2099F"/>
    <w:rsid w:val="00B209B8"/>
    <w:rsid w:val="00B209F9"/>
    <w:rsid w:val="00B20A00"/>
    <w:rsid w:val="00B20ABD"/>
    <w:rsid w:val="00B20CAC"/>
    <w:rsid w:val="00B20E28"/>
    <w:rsid w:val="00B2109D"/>
    <w:rsid w:val="00B210A6"/>
    <w:rsid w:val="00B2112E"/>
    <w:rsid w:val="00B21150"/>
    <w:rsid w:val="00B211C9"/>
    <w:rsid w:val="00B211DF"/>
    <w:rsid w:val="00B21237"/>
    <w:rsid w:val="00B214ED"/>
    <w:rsid w:val="00B215B0"/>
    <w:rsid w:val="00B21663"/>
    <w:rsid w:val="00B216FC"/>
    <w:rsid w:val="00B21726"/>
    <w:rsid w:val="00B2172B"/>
    <w:rsid w:val="00B21766"/>
    <w:rsid w:val="00B2176F"/>
    <w:rsid w:val="00B21871"/>
    <w:rsid w:val="00B2195A"/>
    <w:rsid w:val="00B21BA2"/>
    <w:rsid w:val="00B21CAF"/>
    <w:rsid w:val="00B21E21"/>
    <w:rsid w:val="00B220C7"/>
    <w:rsid w:val="00B22109"/>
    <w:rsid w:val="00B221BD"/>
    <w:rsid w:val="00B222FA"/>
    <w:rsid w:val="00B223FF"/>
    <w:rsid w:val="00B22472"/>
    <w:rsid w:val="00B2250C"/>
    <w:rsid w:val="00B2251B"/>
    <w:rsid w:val="00B22619"/>
    <w:rsid w:val="00B226B7"/>
    <w:rsid w:val="00B22883"/>
    <w:rsid w:val="00B228B0"/>
    <w:rsid w:val="00B22904"/>
    <w:rsid w:val="00B22C4C"/>
    <w:rsid w:val="00B22C52"/>
    <w:rsid w:val="00B22C56"/>
    <w:rsid w:val="00B22C86"/>
    <w:rsid w:val="00B22F8B"/>
    <w:rsid w:val="00B23219"/>
    <w:rsid w:val="00B232AD"/>
    <w:rsid w:val="00B23358"/>
    <w:rsid w:val="00B23525"/>
    <w:rsid w:val="00B23596"/>
    <w:rsid w:val="00B23629"/>
    <w:rsid w:val="00B236F6"/>
    <w:rsid w:val="00B23827"/>
    <w:rsid w:val="00B23917"/>
    <w:rsid w:val="00B23946"/>
    <w:rsid w:val="00B239E5"/>
    <w:rsid w:val="00B23A3D"/>
    <w:rsid w:val="00B23A51"/>
    <w:rsid w:val="00B23AB0"/>
    <w:rsid w:val="00B23BF1"/>
    <w:rsid w:val="00B23C69"/>
    <w:rsid w:val="00B23D2F"/>
    <w:rsid w:val="00B23D3C"/>
    <w:rsid w:val="00B23E34"/>
    <w:rsid w:val="00B23E76"/>
    <w:rsid w:val="00B240FB"/>
    <w:rsid w:val="00B24292"/>
    <w:rsid w:val="00B24310"/>
    <w:rsid w:val="00B2432C"/>
    <w:rsid w:val="00B2433B"/>
    <w:rsid w:val="00B2469D"/>
    <w:rsid w:val="00B2477D"/>
    <w:rsid w:val="00B24894"/>
    <w:rsid w:val="00B2495D"/>
    <w:rsid w:val="00B24A3A"/>
    <w:rsid w:val="00B24B78"/>
    <w:rsid w:val="00B24D1E"/>
    <w:rsid w:val="00B24E96"/>
    <w:rsid w:val="00B24EB8"/>
    <w:rsid w:val="00B24F08"/>
    <w:rsid w:val="00B24F17"/>
    <w:rsid w:val="00B25077"/>
    <w:rsid w:val="00B251B3"/>
    <w:rsid w:val="00B251EB"/>
    <w:rsid w:val="00B25423"/>
    <w:rsid w:val="00B256B6"/>
    <w:rsid w:val="00B257DD"/>
    <w:rsid w:val="00B25961"/>
    <w:rsid w:val="00B25A17"/>
    <w:rsid w:val="00B25A7D"/>
    <w:rsid w:val="00B25BAA"/>
    <w:rsid w:val="00B25C95"/>
    <w:rsid w:val="00B25CE3"/>
    <w:rsid w:val="00B25F1C"/>
    <w:rsid w:val="00B25F75"/>
    <w:rsid w:val="00B25FAE"/>
    <w:rsid w:val="00B2604D"/>
    <w:rsid w:val="00B261A5"/>
    <w:rsid w:val="00B261CD"/>
    <w:rsid w:val="00B262D1"/>
    <w:rsid w:val="00B262FB"/>
    <w:rsid w:val="00B26342"/>
    <w:rsid w:val="00B2650A"/>
    <w:rsid w:val="00B26626"/>
    <w:rsid w:val="00B26672"/>
    <w:rsid w:val="00B2684F"/>
    <w:rsid w:val="00B26A22"/>
    <w:rsid w:val="00B26AC4"/>
    <w:rsid w:val="00B26B42"/>
    <w:rsid w:val="00B26C2A"/>
    <w:rsid w:val="00B26C3E"/>
    <w:rsid w:val="00B26C9B"/>
    <w:rsid w:val="00B26C9C"/>
    <w:rsid w:val="00B26D01"/>
    <w:rsid w:val="00B26DF8"/>
    <w:rsid w:val="00B26F69"/>
    <w:rsid w:val="00B271E4"/>
    <w:rsid w:val="00B273AA"/>
    <w:rsid w:val="00B274FD"/>
    <w:rsid w:val="00B27514"/>
    <w:rsid w:val="00B27535"/>
    <w:rsid w:val="00B276E4"/>
    <w:rsid w:val="00B27865"/>
    <w:rsid w:val="00B27866"/>
    <w:rsid w:val="00B279A7"/>
    <w:rsid w:val="00B279AF"/>
    <w:rsid w:val="00B27A3D"/>
    <w:rsid w:val="00B27B2E"/>
    <w:rsid w:val="00B27C21"/>
    <w:rsid w:val="00B27C3B"/>
    <w:rsid w:val="00B27CC2"/>
    <w:rsid w:val="00B27D43"/>
    <w:rsid w:val="00B27DFB"/>
    <w:rsid w:val="00B27E17"/>
    <w:rsid w:val="00B27EDD"/>
    <w:rsid w:val="00B300F6"/>
    <w:rsid w:val="00B3019E"/>
    <w:rsid w:val="00B3039C"/>
    <w:rsid w:val="00B303CD"/>
    <w:rsid w:val="00B30537"/>
    <w:rsid w:val="00B30629"/>
    <w:rsid w:val="00B3070C"/>
    <w:rsid w:val="00B30722"/>
    <w:rsid w:val="00B3089E"/>
    <w:rsid w:val="00B3095F"/>
    <w:rsid w:val="00B30982"/>
    <w:rsid w:val="00B30A4D"/>
    <w:rsid w:val="00B30A55"/>
    <w:rsid w:val="00B30BFB"/>
    <w:rsid w:val="00B30D9A"/>
    <w:rsid w:val="00B30DA1"/>
    <w:rsid w:val="00B30E8B"/>
    <w:rsid w:val="00B30EEB"/>
    <w:rsid w:val="00B30FBA"/>
    <w:rsid w:val="00B3101A"/>
    <w:rsid w:val="00B3103F"/>
    <w:rsid w:val="00B310A7"/>
    <w:rsid w:val="00B311BC"/>
    <w:rsid w:val="00B311F4"/>
    <w:rsid w:val="00B3121C"/>
    <w:rsid w:val="00B31230"/>
    <w:rsid w:val="00B31261"/>
    <w:rsid w:val="00B31299"/>
    <w:rsid w:val="00B31371"/>
    <w:rsid w:val="00B31398"/>
    <w:rsid w:val="00B3144B"/>
    <w:rsid w:val="00B31541"/>
    <w:rsid w:val="00B31626"/>
    <w:rsid w:val="00B31651"/>
    <w:rsid w:val="00B3199B"/>
    <w:rsid w:val="00B31BC2"/>
    <w:rsid w:val="00B31D70"/>
    <w:rsid w:val="00B31DC0"/>
    <w:rsid w:val="00B31E22"/>
    <w:rsid w:val="00B31E24"/>
    <w:rsid w:val="00B31F12"/>
    <w:rsid w:val="00B31FB1"/>
    <w:rsid w:val="00B31FEC"/>
    <w:rsid w:val="00B321E4"/>
    <w:rsid w:val="00B32256"/>
    <w:rsid w:val="00B3237B"/>
    <w:rsid w:val="00B324A6"/>
    <w:rsid w:val="00B32932"/>
    <w:rsid w:val="00B32A13"/>
    <w:rsid w:val="00B32A23"/>
    <w:rsid w:val="00B32A88"/>
    <w:rsid w:val="00B32B16"/>
    <w:rsid w:val="00B32BBD"/>
    <w:rsid w:val="00B32D7B"/>
    <w:rsid w:val="00B32D86"/>
    <w:rsid w:val="00B32DC7"/>
    <w:rsid w:val="00B32E47"/>
    <w:rsid w:val="00B32E4E"/>
    <w:rsid w:val="00B3312B"/>
    <w:rsid w:val="00B33190"/>
    <w:rsid w:val="00B333F4"/>
    <w:rsid w:val="00B3345F"/>
    <w:rsid w:val="00B336E9"/>
    <w:rsid w:val="00B3372D"/>
    <w:rsid w:val="00B33832"/>
    <w:rsid w:val="00B33924"/>
    <w:rsid w:val="00B33BC5"/>
    <w:rsid w:val="00B33CA1"/>
    <w:rsid w:val="00B33CA8"/>
    <w:rsid w:val="00B33E3B"/>
    <w:rsid w:val="00B34074"/>
    <w:rsid w:val="00B341C2"/>
    <w:rsid w:val="00B341C3"/>
    <w:rsid w:val="00B343B7"/>
    <w:rsid w:val="00B345BA"/>
    <w:rsid w:val="00B34640"/>
    <w:rsid w:val="00B346C1"/>
    <w:rsid w:val="00B3472A"/>
    <w:rsid w:val="00B3476C"/>
    <w:rsid w:val="00B34774"/>
    <w:rsid w:val="00B347C7"/>
    <w:rsid w:val="00B3486D"/>
    <w:rsid w:val="00B3488B"/>
    <w:rsid w:val="00B34A77"/>
    <w:rsid w:val="00B34B7C"/>
    <w:rsid w:val="00B34BD0"/>
    <w:rsid w:val="00B34D2F"/>
    <w:rsid w:val="00B34D40"/>
    <w:rsid w:val="00B34E11"/>
    <w:rsid w:val="00B34EFF"/>
    <w:rsid w:val="00B34F51"/>
    <w:rsid w:val="00B3500D"/>
    <w:rsid w:val="00B35116"/>
    <w:rsid w:val="00B351E8"/>
    <w:rsid w:val="00B353DE"/>
    <w:rsid w:val="00B3547A"/>
    <w:rsid w:val="00B35536"/>
    <w:rsid w:val="00B3554F"/>
    <w:rsid w:val="00B35663"/>
    <w:rsid w:val="00B3577E"/>
    <w:rsid w:val="00B357DC"/>
    <w:rsid w:val="00B359AB"/>
    <w:rsid w:val="00B35A1B"/>
    <w:rsid w:val="00B35A24"/>
    <w:rsid w:val="00B35AA4"/>
    <w:rsid w:val="00B35ADF"/>
    <w:rsid w:val="00B35AF0"/>
    <w:rsid w:val="00B35B0A"/>
    <w:rsid w:val="00B35B8A"/>
    <w:rsid w:val="00B35C39"/>
    <w:rsid w:val="00B35C67"/>
    <w:rsid w:val="00B35E74"/>
    <w:rsid w:val="00B35E9E"/>
    <w:rsid w:val="00B35F8C"/>
    <w:rsid w:val="00B35FEF"/>
    <w:rsid w:val="00B36017"/>
    <w:rsid w:val="00B360B3"/>
    <w:rsid w:val="00B3612F"/>
    <w:rsid w:val="00B36203"/>
    <w:rsid w:val="00B36517"/>
    <w:rsid w:val="00B365A7"/>
    <w:rsid w:val="00B365C7"/>
    <w:rsid w:val="00B365CB"/>
    <w:rsid w:val="00B36665"/>
    <w:rsid w:val="00B3696D"/>
    <w:rsid w:val="00B36A2F"/>
    <w:rsid w:val="00B36BAB"/>
    <w:rsid w:val="00B36BAD"/>
    <w:rsid w:val="00B36C8B"/>
    <w:rsid w:val="00B36D2B"/>
    <w:rsid w:val="00B36D2F"/>
    <w:rsid w:val="00B36E44"/>
    <w:rsid w:val="00B36E6D"/>
    <w:rsid w:val="00B36F79"/>
    <w:rsid w:val="00B36FF2"/>
    <w:rsid w:val="00B3707F"/>
    <w:rsid w:val="00B370BA"/>
    <w:rsid w:val="00B3727A"/>
    <w:rsid w:val="00B3743A"/>
    <w:rsid w:val="00B37505"/>
    <w:rsid w:val="00B37510"/>
    <w:rsid w:val="00B3757B"/>
    <w:rsid w:val="00B375FF"/>
    <w:rsid w:val="00B37804"/>
    <w:rsid w:val="00B3794D"/>
    <w:rsid w:val="00B37ACF"/>
    <w:rsid w:val="00B37C0A"/>
    <w:rsid w:val="00B37D73"/>
    <w:rsid w:val="00B4007D"/>
    <w:rsid w:val="00B40235"/>
    <w:rsid w:val="00B4028D"/>
    <w:rsid w:val="00B40292"/>
    <w:rsid w:val="00B4061A"/>
    <w:rsid w:val="00B40651"/>
    <w:rsid w:val="00B40741"/>
    <w:rsid w:val="00B40990"/>
    <w:rsid w:val="00B409DF"/>
    <w:rsid w:val="00B40A01"/>
    <w:rsid w:val="00B40A4E"/>
    <w:rsid w:val="00B40AB9"/>
    <w:rsid w:val="00B40BDE"/>
    <w:rsid w:val="00B40CE3"/>
    <w:rsid w:val="00B40EE7"/>
    <w:rsid w:val="00B40F6A"/>
    <w:rsid w:val="00B40F7C"/>
    <w:rsid w:val="00B40FD8"/>
    <w:rsid w:val="00B41058"/>
    <w:rsid w:val="00B41105"/>
    <w:rsid w:val="00B411AC"/>
    <w:rsid w:val="00B411FE"/>
    <w:rsid w:val="00B4122C"/>
    <w:rsid w:val="00B4122F"/>
    <w:rsid w:val="00B41331"/>
    <w:rsid w:val="00B4136D"/>
    <w:rsid w:val="00B41439"/>
    <w:rsid w:val="00B4160C"/>
    <w:rsid w:val="00B41623"/>
    <w:rsid w:val="00B416F0"/>
    <w:rsid w:val="00B4173A"/>
    <w:rsid w:val="00B41817"/>
    <w:rsid w:val="00B418FD"/>
    <w:rsid w:val="00B4190B"/>
    <w:rsid w:val="00B419AD"/>
    <w:rsid w:val="00B41B3C"/>
    <w:rsid w:val="00B41BEF"/>
    <w:rsid w:val="00B41D09"/>
    <w:rsid w:val="00B41E6A"/>
    <w:rsid w:val="00B41EAA"/>
    <w:rsid w:val="00B41ED1"/>
    <w:rsid w:val="00B41F13"/>
    <w:rsid w:val="00B42099"/>
    <w:rsid w:val="00B423B3"/>
    <w:rsid w:val="00B423EC"/>
    <w:rsid w:val="00B424CD"/>
    <w:rsid w:val="00B425D0"/>
    <w:rsid w:val="00B4266F"/>
    <w:rsid w:val="00B42744"/>
    <w:rsid w:val="00B42765"/>
    <w:rsid w:val="00B427F7"/>
    <w:rsid w:val="00B42893"/>
    <w:rsid w:val="00B428D7"/>
    <w:rsid w:val="00B42986"/>
    <w:rsid w:val="00B42A3C"/>
    <w:rsid w:val="00B42AA7"/>
    <w:rsid w:val="00B42B61"/>
    <w:rsid w:val="00B42D57"/>
    <w:rsid w:val="00B42E63"/>
    <w:rsid w:val="00B42ED9"/>
    <w:rsid w:val="00B42F44"/>
    <w:rsid w:val="00B42FEE"/>
    <w:rsid w:val="00B433BA"/>
    <w:rsid w:val="00B43721"/>
    <w:rsid w:val="00B43809"/>
    <w:rsid w:val="00B43925"/>
    <w:rsid w:val="00B43CD4"/>
    <w:rsid w:val="00B43D48"/>
    <w:rsid w:val="00B43D8C"/>
    <w:rsid w:val="00B43DF0"/>
    <w:rsid w:val="00B43EAC"/>
    <w:rsid w:val="00B4404B"/>
    <w:rsid w:val="00B4421B"/>
    <w:rsid w:val="00B4429C"/>
    <w:rsid w:val="00B4433B"/>
    <w:rsid w:val="00B4445E"/>
    <w:rsid w:val="00B44569"/>
    <w:rsid w:val="00B4461A"/>
    <w:rsid w:val="00B44659"/>
    <w:rsid w:val="00B44865"/>
    <w:rsid w:val="00B4493E"/>
    <w:rsid w:val="00B44947"/>
    <w:rsid w:val="00B44C2F"/>
    <w:rsid w:val="00B44CE0"/>
    <w:rsid w:val="00B44D8A"/>
    <w:rsid w:val="00B44DEE"/>
    <w:rsid w:val="00B44E5B"/>
    <w:rsid w:val="00B44EE8"/>
    <w:rsid w:val="00B44EFF"/>
    <w:rsid w:val="00B450F5"/>
    <w:rsid w:val="00B4511C"/>
    <w:rsid w:val="00B4514C"/>
    <w:rsid w:val="00B451E3"/>
    <w:rsid w:val="00B45200"/>
    <w:rsid w:val="00B452B1"/>
    <w:rsid w:val="00B453D9"/>
    <w:rsid w:val="00B45481"/>
    <w:rsid w:val="00B4548E"/>
    <w:rsid w:val="00B454C6"/>
    <w:rsid w:val="00B454E7"/>
    <w:rsid w:val="00B457F3"/>
    <w:rsid w:val="00B4585F"/>
    <w:rsid w:val="00B4591D"/>
    <w:rsid w:val="00B459BB"/>
    <w:rsid w:val="00B459FB"/>
    <w:rsid w:val="00B45BDA"/>
    <w:rsid w:val="00B45CF0"/>
    <w:rsid w:val="00B45D1A"/>
    <w:rsid w:val="00B45ED0"/>
    <w:rsid w:val="00B46015"/>
    <w:rsid w:val="00B46033"/>
    <w:rsid w:val="00B4608E"/>
    <w:rsid w:val="00B46118"/>
    <w:rsid w:val="00B46178"/>
    <w:rsid w:val="00B461BF"/>
    <w:rsid w:val="00B46456"/>
    <w:rsid w:val="00B46468"/>
    <w:rsid w:val="00B464DB"/>
    <w:rsid w:val="00B4656D"/>
    <w:rsid w:val="00B466D0"/>
    <w:rsid w:val="00B466EE"/>
    <w:rsid w:val="00B46751"/>
    <w:rsid w:val="00B46774"/>
    <w:rsid w:val="00B469B0"/>
    <w:rsid w:val="00B46A73"/>
    <w:rsid w:val="00B46A78"/>
    <w:rsid w:val="00B46BC4"/>
    <w:rsid w:val="00B46C3E"/>
    <w:rsid w:val="00B46E2A"/>
    <w:rsid w:val="00B46F36"/>
    <w:rsid w:val="00B4709B"/>
    <w:rsid w:val="00B47348"/>
    <w:rsid w:val="00B4734A"/>
    <w:rsid w:val="00B474B7"/>
    <w:rsid w:val="00B47569"/>
    <w:rsid w:val="00B475F1"/>
    <w:rsid w:val="00B477F1"/>
    <w:rsid w:val="00B4781F"/>
    <w:rsid w:val="00B4793B"/>
    <w:rsid w:val="00B47A65"/>
    <w:rsid w:val="00B47AE0"/>
    <w:rsid w:val="00B47B0E"/>
    <w:rsid w:val="00B47C3E"/>
    <w:rsid w:val="00B47E37"/>
    <w:rsid w:val="00B47E3D"/>
    <w:rsid w:val="00B47E47"/>
    <w:rsid w:val="00B47F9A"/>
    <w:rsid w:val="00B47FFC"/>
    <w:rsid w:val="00B50061"/>
    <w:rsid w:val="00B50129"/>
    <w:rsid w:val="00B50181"/>
    <w:rsid w:val="00B502B5"/>
    <w:rsid w:val="00B5045A"/>
    <w:rsid w:val="00B50570"/>
    <w:rsid w:val="00B50577"/>
    <w:rsid w:val="00B505EA"/>
    <w:rsid w:val="00B5064C"/>
    <w:rsid w:val="00B506B1"/>
    <w:rsid w:val="00B50738"/>
    <w:rsid w:val="00B50814"/>
    <w:rsid w:val="00B50A99"/>
    <w:rsid w:val="00B50AD3"/>
    <w:rsid w:val="00B50ADA"/>
    <w:rsid w:val="00B50BBB"/>
    <w:rsid w:val="00B50C1D"/>
    <w:rsid w:val="00B50CAA"/>
    <w:rsid w:val="00B50D41"/>
    <w:rsid w:val="00B50F64"/>
    <w:rsid w:val="00B50FAF"/>
    <w:rsid w:val="00B510B3"/>
    <w:rsid w:val="00B51167"/>
    <w:rsid w:val="00B511F3"/>
    <w:rsid w:val="00B51247"/>
    <w:rsid w:val="00B5135C"/>
    <w:rsid w:val="00B513DE"/>
    <w:rsid w:val="00B51503"/>
    <w:rsid w:val="00B5152E"/>
    <w:rsid w:val="00B5157F"/>
    <w:rsid w:val="00B517E9"/>
    <w:rsid w:val="00B517F3"/>
    <w:rsid w:val="00B51AAE"/>
    <w:rsid w:val="00B51AED"/>
    <w:rsid w:val="00B51B44"/>
    <w:rsid w:val="00B51B9E"/>
    <w:rsid w:val="00B51C50"/>
    <w:rsid w:val="00B51C94"/>
    <w:rsid w:val="00B51D47"/>
    <w:rsid w:val="00B51DA9"/>
    <w:rsid w:val="00B520A5"/>
    <w:rsid w:val="00B522A1"/>
    <w:rsid w:val="00B522E8"/>
    <w:rsid w:val="00B52407"/>
    <w:rsid w:val="00B52433"/>
    <w:rsid w:val="00B527BE"/>
    <w:rsid w:val="00B529A3"/>
    <w:rsid w:val="00B529F2"/>
    <w:rsid w:val="00B52A54"/>
    <w:rsid w:val="00B52A75"/>
    <w:rsid w:val="00B52AB4"/>
    <w:rsid w:val="00B52AF7"/>
    <w:rsid w:val="00B52B19"/>
    <w:rsid w:val="00B52C42"/>
    <w:rsid w:val="00B52C86"/>
    <w:rsid w:val="00B52CC7"/>
    <w:rsid w:val="00B52D09"/>
    <w:rsid w:val="00B52E93"/>
    <w:rsid w:val="00B52EEC"/>
    <w:rsid w:val="00B52F8F"/>
    <w:rsid w:val="00B53007"/>
    <w:rsid w:val="00B53187"/>
    <w:rsid w:val="00B53325"/>
    <w:rsid w:val="00B53539"/>
    <w:rsid w:val="00B535AD"/>
    <w:rsid w:val="00B53688"/>
    <w:rsid w:val="00B537C0"/>
    <w:rsid w:val="00B53823"/>
    <w:rsid w:val="00B53896"/>
    <w:rsid w:val="00B538E6"/>
    <w:rsid w:val="00B53908"/>
    <w:rsid w:val="00B53A3A"/>
    <w:rsid w:val="00B53A89"/>
    <w:rsid w:val="00B53C5D"/>
    <w:rsid w:val="00B53D29"/>
    <w:rsid w:val="00B53D73"/>
    <w:rsid w:val="00B53E14"/>
    <w:rsid w:val="00B53E93"/>
    <w:rsid w:val="00B53F07"/>
    <w:rsid w:val="00B53F14"/>
    <w:rsid w:val="00B540F1"/>
    <w:rsid w:val="00B54134"/>
    <w:rsid w:val="00B541CC"/>
    <w:rsid w:val="00B54224"/>
    <w:rsid w:val="00B54253"/>
    <w:rsid w:val="00B54273"/>
    <w:rsid w:val="00B5428C"/>
    <w:rsid w:val="00B54296"/>
    <w:rsid w:val="00B542E5"/>
    <w:rsid w:val="00B54353"/>
    <w:rsid w:val="00B543B6"/>
    <w:rsid w:val="00B54536"/>
    <w:rsid w:val="00B5461F"/>
    <w:rsid w:val="00B5466C"/>
    <w:rsid w:val="00B546AE"/>
    <w:rsid w:val="00B546FB"/>
    <w:rsid w:val="00B548D0"/>
    <w:rsid w:val="00B54971"/>
    <w:rsid w:val="00B54BCF"/>
    <w:rsid w:val="00B54CB0"/>
    <w:rsid w:val="00B54CF1"/>
    <w:rsid w:val="00B54FD9"/>
    <w:rsid w:val="00B550D9"/>
    <w:rsid w:val="00B551DB"/>
    <w:rsid w:val="00B55226"/>
    <w:rsid w:val="00B5524A"/>
    <w:rsid w:val="00B55339"/>
    <w:rsid w:val="00B55378"/>
    <w:rsid w:val="00B5540F"/>
    <w:rsid w:val="00B55438"/>
    <w:rsid w:val="00B555D2"/>
    <w:rsid w:val="00B5597D"/>
    <w:rsid w:val="00B55995"/>
    <w:rsid w:val="00B559C3"/>
    <w:rsid w:val="00B55A0E"/>
    <w:rsid w:val="00B55ADE"/>
    <w:rsid w:val="00B55B4D"/>
    <w:rsid w:val="00B55B51"/>
    <w:rsid w:val="00B55DA4"/>
    <w:rsid w:val="00B55DC7"/>
    <w:rsid w:val="00B55E93"/>
    <w:rsid w:val="00B55F04"/>
    <w:rsid w:val="00B56037"/>
    <w:rsid w:val="00B56045"/>
    <w:rsid w:val="00B56047"/>
    <w:rsid w:val="00B56111"/>
    <w:rsid w:val="00B561DD"/>
    <w:rsid w:val="00B56235"/>
    <w:rsid w:val="00B5632A"/>
    <w:rsid w:val="00B5632F"/>
    <w:rsid w:val="00B56601"/>
    <w:rsid w:val="00B56665"/>
    <w:rsid w:val="00B567B9"/>
    <w:rsid w:val="00B56827"/>
    <w:rsid w:val="00B56892"/>
    <w:rsid w:val="00B56AFF"/>
    <w:rsid w:val="00B56B30"/>
    <w:rsid w:val="00B56B8D"/>
    <w:rsid w:val="00B56C1F"/>
    <w:rsid w:val="00B56C5F"/>
    <w:rsid w:val="00B56CDC"/>
    <w:rsid w:val="00B56D4E"/>
    <w:rsid w:val="00B56F3E"/>
    <w:rsid w:val="00B56F6C"/>
    <w:rsid w:val="00B5712B"/>
    <w:rsid w:val="00B57162"/>
    <w:rsid w:val="00B57188"/>
    <w:rsid w:val="00B5737B"/>
    <w:rsid w:val="00B573CD"/>
    <w:rsid w:val="00B57530"/>
    <w:rsid w:val="00B5756C"/>
    <w:rsid w:val="00B57626"/>
    <w:rsid w:val="00B57782"/>
    <w:rsid w:val="00B577A3"/>
    <w:rsid w:val="00B577BA"/>
    <w:rsid w:val="00B57940"/>
    <w:rsid w:val="00B57AFB"/>
    <w:rsid w:val="00B57B0B"/>
    <w:rsid w:val="00B57BDC"/>
    <w:rsid w:val="00B57C65"/>
    <w:rsid w:val="00B57D53"/>
    <w:rsid w:val="00B57E10"/>
    <w:rsid w:val="00B57FBB"/>
    <w:rsid w:val="00B60055"/>
    <w:rsid w:val="00B60142"/>
    <w:rsid w:val="00B6014F"/>
    <w:rsid w:val="00B60188"/>
    <w:rsid w:val="00B60195"/>
    <w:rsid w:val="00B601C7"/>
    <w:rsid w:val="00B6046F"/>
    <w:rsid w:val="00B606F5"/>
    <w:rsid w:val="00B6073C"/>
    <w:rsid w:val="00B60752"/>
    <w:rsid w:val="00B608BB"/>
    <w:rsid w:val="00B609DE"/>
    <w:rsid w:val="00B60BFA"/>
    <w:rsid w:val="00B60C35"/>
    <w:rsid w:val="00B60DAD"/>
    <w:rsid w:val="00B60E3C"/>
    <w:rsid w:val="00B60F2F"/>
    <w:rsid w:val="00B60F61"/>
    <w:rsid w:val="00B615A8"/>
    <w:rsid w:val="00B616ED"/>
    <w:rsid w:val="00B6173E"/>
    <w:rsid w:val="00B61904"/>
    <w:rsid w:val="00B61B4F"/>
    <w:rsid w:val="00B61CEB"/>
    <w:rsid w:val="00B61E2E"/>
    <w:rsid w:val="00B61F28"/>
    <w:rsid w:val="00B620A4"/>
    <w:rsid w:val="00B620E7"/>
    <w:rsid w:val="00B6221F"/>
    <w:rsid w:val="00B622C1"/>
    <w:rsid w:val="00B62430"/>
    <w:rsid w:val="00B624EF"/>
    <w:rsid w:val="00B626B6"/>
    <w:rsid w:val="00B627FB"/>
    <w:rsid w:val="00B6283E"/>
    <w:rsid w:val="00B628BA"/>
    <w:rsid w:val="00B6297D"/>
    <w:rsid w:val="00B62A58"/>
    <w:rsid w:val="00B62C3C"/>
    <w:rsid w:val="00B62C87"/>
    <w:rsid w:val="00B62E43"/>
    <w:rsid w:val="00B62F14"/>
    <w:rsid w:val="00B62F2A"/>
    <w:rsid w:val="00B62F55"/>
    <w:rsid w:val="00B62F69"/>
    <w:rsid w:val="00B62FDF"/>
    <w:rsid w:val="00B63062"/>
    <w:rsid w:val="00B63130"/>
    <w:rsid w:val="00B63180"/>
    <w:rsid w:val="00B631AB"/>
    <w:rsid w:val="00B6334D"/>
    <w:rsid w:val="00B635E3"/>
    <w:rsid w:val="00B63606"/>
    <w:rsid w:val="00B636EA"/>
    <w:rsid w:val="00B6379E"/>
    <w:rsid w:val="00B6383D"/>
    <w:rsid w:val="00B638C7"/>
    <w:rsid w:val="00B639D2"/>
    <w:rsid w:val="00B63BA1"/>
    <w:rsid w:val="00B63C9C"/>
    <w:rsid w:val="00B63E2F"/>
    <w:rsid w:val="00B63F62"/>
    <w:rsid w:val="00B63FB0"/>
    <w:rsid w:val="00B63FEE"/>
    <w:rsid w:val="00B64087"/>
    <w:rsid w:val="00B6409D"/>
    <w:rsid w:val="00B640B4"/>
    <w:rsid w:val="00B640FC"/>
    <w:rsid w:val="00B64173"/>
    <w:rsid w:val="00B64284"/>
    <w:rsid w:val="00B642B9"/>
    <w:rsid w:val="00B64649"/>
    <w:rsid w:val="00B6469B"/>
    <w:rsid w:val="00B6473C"/>
    <w:rsid w:val="00B64881"/>
    <w:rsid w:val="00B648CF"/>
    <w:rsid w:val="00B6498F"/>
    <w:rsid w:val="00B64B57"/>
    <w:rsid w:val="00B64B5C"/>
    <w:rsid w:val="00B64C9F"/>
    <w:rsid w:val="00B64E5A"/>
    <w:rsid w:val="00B64F41"/>
    <w:rsid w:val="00B6513F"/>
    <w:rsid w:val="00B65169"/>
    <w:rsid w:val="00B65273"/>
    <w:rsid w:val="00B65425"/>
    <w:rsid w:val="00B65847"/>
    <w:rsid w:val="00B65972"/>
    <w:rsid w:val="00B65AE5"/>
    <w:rsid w:val="00B65AE8"/>
    <w:rsid w:val="00B65BA0"/>
    <w:rsid w:val="00B65D60"/>
    <w:rsid w:val="00B65FB3"/>
    <w:rsid w:val="00B66180"/>
    <w:rsid w:val="00B66243"/>
    <w:rsid w:val="00B66485"/>
    <w:rsid w:val="00B664A1"/>
    <w:rsid w:val="00B6655B"/>
    <w:rsid w:val="00B6696E"/>
    <w:rsid w:val="00B66AB4"/>
    <w:rsid w:val="00B66B5B"/>
    <w:rsid w:val="00B66DD7"/>
    <w:rsid w:val="00B66EF3"/>
    <w:rsid w:val="00B67061"/>
    <w:rsid w:val="00B67078"/>
    <w:rsid w:val="00B67091"/>
    <w:rsid w:val="00B67150"/>
    <w:rsid w:val="00B67161"/>
    <w:rsid w:val="00B6723C"/>
    <w:rsid w:val="00B67269"/>
    <w:rsid w:val="00B673C0"/>
    <w:rsid w:val="00B67443"/>
    <w:rsid w:val="00B67533"/>
    <w:rsid w:val="00B67606"/>
    <w:rsid w:val="00B6772C"/>
    <w:rsid w:val="00B678A1"/>
    <w:rsid w:val="00B678E8"/>
    <w:rsid w:val="00B6790C"/>
    <w:rsid w:val="00B6797D"/>
    <w:rsid w:val="00B67B6C"/>
    <w:rsid w:val="00B67B70"/>
    <w:rsid w:val="00B67C74"/>
    <w:rsid w:val="00B67EB5"/>
    <w:rsid w:val="00B67EEA"/>
    <w:rsid w:val="00B70022"/>
    <w:rsid w:val="00B700A9"/>
    <w:rsid w:val="00B7023E"/>
    <w:rsid w:val="00B70334"/>
    <w:rsid w:val="00B70485"/>
    <w:rsid w:val="00B70495"/>
    <w:rsid w:val="00B704EE"/>
    <w:rsid w:val="00B7058D"/>
    <w:rsid w:val="00B705D6"/>
    <w:rsid w:val="00B7062E"/>
    <w:rsid w:val="00B70664"/>
    <w:rsid w:val="00B70703"/>
    <w:rsid w:val="00B7074B"/>
    <w:rsid w:val="00B70813"/>
    <w:rsid w:val="00B709BC"/>
    <w:rsid w:val="00B70A4C"/>
    <w:rsid w:val="00B70AB0"/>
    <w:rsid w:val="00B70CD6"/>
    <w:rsid w:val="00B70D24"/>
    <w:rsid w:val="00B70EAA"/>
    <w:rsid w:val="00B70F5C"/>
    <w:rsid w:val="00B7111D"/>
    <w:rsid w:val="00B7112F"/>
    <w:rsid w:val="00B71142"/>
    <w:rsid w:val="00B71204"/>
    <w:rsid w:val="00B71207"/>
    <w:rsid w:val="00B71228"/>
    <w:rsid w:val="00B712CC"/>
    <w:rsid w:val="00B713A1"/>
    <w:rsid w:val="00B713B9"/>
    <w:rsid w:val="00B7152F"/>
    <w:rsid w:val="00B7157E"/>
    <w:rsid w:val="00B715D4"/>
    <w:rsid w:val="00B715E3"/>
    <w:rsid w:val="00B7161F"/>
    <w:rsid w:val="00B7164E"/>
    <w:rsid w:val="00B7168F"/>
    <w:rsid w:val="00B71690"/>
    <w:rsid w:val="00B716EA"/>
    <w:rsid w:val="00B71781"/>
    <w:rsid w:val="00B717CA"/>
    <w:rsid w:val="00B71892"/>
    <w:rsid w:val="00B71941"/>
    <w:rsid w:val="00B71969"/>
    <w:rsid w:val="00B71BD0"/>
    <w:rsid w:val="00B71C0B"/>
    <w:rsid w:val="00B71C27"/>
    <w:rsid w:val="00B71C63"/>
    <w:rsid w:val="00B71E19"/>
    <w:rsid w:val="00B71F3A"/>
    <w:rsid w:val="00B722AB"/>
    <w:rsid w:val="00B722AF"/>
    <w:rsid w:val="00B7235B"/>
    <w:rsid w:val="00B72392"/>
    <w:rsid w:val="00B724CA"/>
    <w:rsid w:val="00B72576"/>
    <w:rsid w:val="00B725D9"/>
    <w:rsid w:val="00B72664"/>
    <w:rsid w:val="00B72695"/>
    <w:rsid w:val="00B726B6"/>
    <w:rsid w:val="00B7273A"/>
    <w:rsid w:val="00B7285E"/>
    <w:rsid w:val="00B7292A"/>
    <w:rsid w:val="00B72AE9"/>
    <w:rsid w:val="00B72B1A"/>
    <w:rsid w:val="00B72CE0"/>
    <w:rsid w:val="00B72D8D"/>
    <w:rsid w:val="00B72F03"/>
    <w:rsid w:val="00B72FB2"/>
    <w:rsid w:val="00B730A5"/>
    <w:rsid w:val="00B7316D"/>
    <w:rsid w:val="00B73456"/>
    <w:rsid w:val="00B73461"/>
    <w:rsid w:val="00B7348A"/>
    <w:rsid w:val="00B73507"/>
    <w:rsid w:val="00B73534"/>
    <w:rsid w:val="00B735C0"/>
    <w:rsid w:val="00B736AE"/>
    <w:rsid w:val="00B73776"/>
    <w:rsid w:val="00B73826"/>
    <w:rsid w:val="00B73AE1"/>
    <w:rsid w:val="00B73C5F"/>
    <w:rsid w:val="00B73D9A"/>
    <w:rsid w:val="00B73DEF"/>
    <w:rsid w:val="00B73DF6"/>
    <w:rsid w:val="00B7408A"/>
    <w:rsid w:val="00B740A2"/>
    <w:rsid w:val="00B74641"/>
    <w:rsid w:val="00B746E1"/>
    <w:rsid w:val="00B74705"/>
    <w:rsid w:val="00B7470A"/>
    <w:rsid w:val="00B7473E"/>
    <w:rsid w:val="00B74A0D"/>
    <w:rsid w:val="00B74A3B"/>
    <w:rsid w:val="00B74ABB"/>
    <w:rsid w:val="00B74C02"/>
    <w:rsid w:val="00B74CE2"/>
    <w:rsid w:val="00B74E01"/>
    <w:rsid w:val="00B74E86"/>
    <w:rsid w:val="00B74F12"/>
    <w:rsid w:val="00B7518B"/>
    <w:rsid w:val="00B751D6"/>
    <w:rsid w:val="00B752EE"/>
    <w:rsid w:val="00B7540B"/>
    <w:rsid w:val="00B75454"/>
    <w:rsid w:val="00B75482"/>
    <w:rsid w:val="00B75483"/>
    <w:rsid w:val="00B75504"/>
    <w:rsid w:val="00B75541"/>
    <w:rsid w:val="00B7584D"/>
    <w:rsid w:val="00B7587C"/>
    <w:rsid w:val="00B75B05"/>
    <w:rsid w:val="00B75B1B"/>
    <w:rsid w:val="00B75BB0"/>
    <w:rsid w:val="00B75C2D"/>
    <w:rsid w:val="00B75C44"/>
    <w:rsid w:val="00B75CD0"/>
    <w:rsid w:val="00B75D74"/>
    <w:rsid w:val="00B75D77"/>
    <w:rsid w:val="00B75DA0"/>
    <w:rsid w:val="00B75EB3"/>
    <w:rsid w:val="00B75FB8"/>
    <w:rsid w:val="00B760CB"/>
    <w:rsid w:val="00B764DA"/>
    <w:rsid w:val="00B76514"/>
    <w:rsid w:val="00B76604"/>
    <w:rsid w:val="00B7676A"/>
    <w:rsid w:val="00B767BC"/>
    <w:rsid w:val="00B768D9"/>
    <w:rsid w:val="00B76911"/>
    <w:rsid w:val="00B76ADB"/>
    <w:rsid w:val="00B76AE6"/>
    <w:rsid w:val="00B76B9C"/>
    <w:rsid w:val="00B76BB5"/>
    <w:rsid w:val="00B76CA4"/>
    <w:rsid w:val="00B76CAB"/>
    <w:rsid w:val="00B76D65"/>
    <w:rsid w:val="00B76E1F"/>
    <w:rsid w:val="00B76E3C"/>
    <w:rsid w:val="00B76F2F"/>
    <w:rsid w:val="00B76F71"/>
    <w:rsid w:val="00B76FFD"/>
    <w:rsid w:val="00B77152"/>
    <w:rsid w:val="00B772BD"/>
    <w:rsid w:val="00B773EF"/>
    <w:rsid w:val="00B77463"/>
    <w:rsid w:val="00B7749C"/>
    <w:rsid w:val="00B7755B"/>
    <w:rsid w:val="00B77687"/>
    <w:rsid w:val="00B776EA"/>
    <w:rsid w:val="00B778AB"/>
    <w:rsid w:val="00B7795B"/>
    <w:rsid w:val="00B779F0"/>
    <w:rsid w:val="00B77B09"/>
    <w:rsid w:val="00B77D54"/>
    <w:rsid w:val="00B77E10"/>
    <w:rsid w:val="00B77E4A"/>
    <w:rsid w:val="00B77EC8"/>
    <w:rsid w:val="00B77FCD"/>
    <w:rsid w:val="00B77FD8"/>
    <w:rsid w:val="00B800D1"/>
    <w:rsid w:val="00B80147"/>
    <w:rsid w:val="00B8019C"/>
    <w:rsid w:val="00B801D4"/>
    <w:rsid w:val="00B801E0"/>
    <w:rsid w:val="00B802FE"/>
    <w:rsid w:val="00B803E3"/>
    <w:rsid w:val="00B80434"/>
    <w:rsid w:val="00B8046B"/>
    <w:rsid w:val="00B80488"/>
    <w:rsid w:val="00B805A3"/>
    <w:rsid w:val="00B805BC"/>
    <w:rsid w:val="00B80767"/>
    <w:rsid w:val="00B80A19"/>
    <w:rsid w:val="00B80B84"/>
    <w:rsid w:val="00B80C7D"/>
    <w:rsid w:val="00B80D3F"/>
    <w:rsid w:val="00B80DD3"/>
    <w:rsid w:val="00B80E07"/>
    <w:rsid w:val="00B80F9F"/>
    <w:rsid w:val="00B81035"/>
    <w:rsid w:val="00B81089"/>
    <w:rsid w:val="00B810D0"/>
    <w:rsid w:val="00B81284"/>
    <w:rsid w:val="00B813AF"/>
    <w:rsid w:val="00B813E3"/>
    <w:rsid w:val="00B8140B"/>
    <w:rsid w:val="00B81528"/>
    <w:rsid w:val="00B81650"/>
    <w:rsid w:val="00B81746"/>
    <w:rsid w:val="00B818A0"/>
    <w:rsid w:val="00B8196E"/>
    <w:rsid w:val="00B81A03"/>
    <w:rsid w:val="00B81AC8"/>
    <w:rsid w:val="00B81AF1"/>
    <w:rsid w:val="00B81B55"/>
    <w:rsid w:val="00B81D55"/>
    <w:rsid w:val="00B81ED9"/>
    <w:rsid w:val="00B820D2"/>
    <w:rsid w:val="00B8214C"/>
    <w:rsid w:val="00B8216A"/>
    <w:rsid w:val="00B8218D"/>
    <w:rsid w:val="00B82222"/>
    <w:rsid w:val="00B82350"/>
    <w:rsid w:val="00B824D3"/>
    <w:rsid w:val="00B82555"/>
    <w:rsid w:val="00B82566"/>
    <w:rsid w:val="00B82567"/>
    <w:rsid w:val="00B82575"/>
    <w:rsid w:val="00B8258B"/>
    <w:rsid w:val="00B827D3"/>
    <w:rsid w:val="00B8282D"/>
    <w:rsid w:val="00B82830"/>
    <w:rsid w:val="00B828D1"/>
    <w:rsid w:val="00B82936"/>
    <w:rsid w:val="00B82994"/>
    <w:rsid w:val="00B82995"/>
    <w:rsid w:val="00B82B01"/>
    <w:rsid w:val="00B82BA4"/>
    <w:rsid w:val="00B82CC1"/>
    <w:rsid w:val="00B82D49"/>
    <w:rsid w:val="00B82D50"/>
    <w:rsid w:val="00B8306E"/>
    <w:rsid w:val="00B83115"/>
    <w:rsid w:val="00B83231"/>
    <w:rsid w:val="00B8356B"/>
    <w:rsid w:val="00B835DC"/>
    <w:rsid w:val="00B837C5"/>
    <w:rsid w:val="00B83A7C"/>
    <w:rsid w:val="00B83A94"/>
    <w:rsid w:val="00B83C5B"/>
    <w:rsid w:val="00B83D25"/>
    <w:rsid w:val="00B83E01"/>
    <w:rsid w:val="00B83E0B"/>
    <w:rsid w:val="00B83E2C"/>
    <w:rsid w:val="00B83EC2"/>
    <w:rsid w:val="00B83F7E"/>
    <w:rsid w:val="00B84196"/>
    <w:rsid w:val="00B84281"/>
    <w:rsid w:val="00B842AB"/>
    <w:rsid w:val="00B843D3"/>
    <w:rsid w:val="00B8443E"/>
    <w:rsid w:val="00B84760"/>
    <w:rsid w:val="00B849AA"/>
    <w:rsid w:val="00B84B77"/>
    <w:rsid w:val="00B84C44"/>
    <w:rsid w:val="00B84C82"/>
    <w:rsid w:val="00B84CA0"/>
    <w:rsid w:val="00B84D3D"/>
    <w:rsid w:val="00B84DEB"/>
    <w:rsid w:val="00B84E0A"/>
    <w:rsid w:val="00B84EF3"/>
    <w:rsid w:val="00B851CF"/>
    <w:rsid w:val="00B85325"/>
    <w:rsid w:val="00B85673"/>
    <w:rsid w:val="00B8580D"/>
    <w:rsid w:val="00B858B2"/>
    <w:rsid w:val="00B85AD3"/>
    <w:rsid w:val="00B85B56"/>
    <w:rsid w:val="00B85B91"/>
    <w:rsid w:val="00B85DE5"/>
    <w:rsid w:val="00B85FA5"/>
    <w:rsid w:val="00B86078"/>
    <w:rsid w:val="00B8607F"/>
    <w:rsid w:val="00B860DF"/>
    <w:rsid w:val="00B86160"/>
    <w:rsid w:val="00B861C1"/>
    <w:rsid w:val="00B861C9"/>
    <w:rsid w:val="00B8637F"/>
    <w:rsid w:val="00B863F5"/>
    <w:rsid w:val="00B865F6"/>
    <w:rsid w:val="00B8662E"/>
    <w:rsid w:val="00B86768"/>
    <w:rsid w:val="00B86771"/>
    <w:rsid w:val="00B869C4"/>
    <w:rsid w:val="00B86A90"/>
    <w:rsid w:val="00B86EEE"/>
    <w:rsid w:val="00B8701D"/>
    <w:rsid w:val="00B871A8"/>
    <w:rsid w:val="00B87217"/>
    <w:rsid w:val="00B873F2"/>
    <w:rsid w:val="00B8755A"/>
    <w:rsid w:val="00B875A3"/>
    <w:rsid w:val="00B875BD"/>
    <w:rsid w:val="00B8781C"/>
    <w:rsid w:val="00B87928"/>
    <w:rsid w:val="00B879C4"/>
    <w:rsid w:val="00B87C8B"/>
    <w:rsid w:val="00B87CC8"/>
    <w:rsid w:val="00B88D57"/>
    <w:rsid w:val="00B9012C"/>
    <w:rsid w:val="00B90157"/>
    <w:rsid w:val="00B901BF"/>
    <w:rsid w:val="00B902CD"/>
    <w:rsid w:val="00B9034C"/>
    <w:rsid w:val="00B9043D"/>
    <w:rsid w:val="00B904B4"/>
    <w:rsid w:val="00B90672"/>
    <w:rsid w:val="00B906BA"/>
    <w:rsid w:val="00B90749"/>
    <w:rsid w:val="00B90788"/>
    <w:rsid w:val="00B90B5D"/>
    <w:rsid w:val="00B90D8F"/>
    <w:rsid w:val="00B90E17"/>
    <w:rsid w:val="00B90FB8"/>
    <w:rsid w:val="00B9101F"/>
    <w:rsid w:val="00B9107E"/>
    <w:rsid w:val="00B910C9"/>
    <w:rsid w:val="00B910F0"/>
    <w:rsid w:val="00B91415"/>
    <w:rsid w:val="00B914D6"/>
    <w:rsid w:val="00B91559"/>
    <w:rsid w:val="00B91611"/>
    <w:rsid w:val="00B917CE"/>
    <w:rsid w:val="00B9197C"/>
    <w:rsid w:val="00B919B3"/>
    <w:rsid w:val="00B919C9"/>
    <w:rsid w:val="00B919D2"/>
    <w:rsid w:val="00B91B38"/>
    <w:rsid w:val="00B91BE7"/>
    <w:rsid w:val="00B91DF4"/>
    <w:rsid w:val="00B91F08"/>
    <w:rsid w:val="00B91F5F"/>
    <w:rsid w:val="00B91FCF"/>
    <w:rsid w:val="00B91FFC"/>
    <w:rsid w:val="00B92006"/>
    <w:rsid w:val="00B92196"/>
    <w:rsid w:val="00B9246C"/>
    <w:rsid w:val="00B926B4"/>
    <w:rsid w:val="00B926CB"/>
    <w:rsid w:val="00B927C6"/>
    <w:rsid w:val="00B9282A"/>
    <w:rsid w:val="00B92862"/>
    <w:rsid w:val="00B92928"/>
    <w:rsid w:val="00B9295B"/>
    <w:rsid w:val="00B929B8"/>
    <w:rsid w:val="00B929F0"/>
    <w:rsid w:val="00B92B71"/>
    <w:rsid w:val="00B92C68"/>
    <w:rsid w:val="00B92CFB"/>
    <w:rsid w:val="00B92D35"/>
    <w:rsid w:val="00B92D3C"/>
    <w:rsid w:val="00B92F0B"/>
    <w:rsid w:val="00B92FC0"/>
    <w:rsid w:val="00B92FE3"/>
    <w:rsid w:val="00B9307E"/>
    <w:rsid w:val="00B9308B"/>
    <w:rsid w:val="00B930F3"/>
    <w:rsid w:val="00B931A0"/>
    <w:rsid w:val="00B931DE"/>
    <w:rsid w:val="00B933AB"/>
    <w:rsid w:val="00B934E8"/>
    <w:rsid w:val="00B937B0"/>
    <w:rsid w:val="00B937C3"/>
    <w:rsid w:val="00B9384B"/>
    <w:rsid w:val="00B93970"/>
    <w:rsid w:val="00B93B02"/>
    <w:rsid w:val="00B93B21"/>
    <w:rsid w:val="00B93B40"/>
    <w:rsid w:val="00B93B92"/>
    <w:rsid w:val="00B93D4E"/>
    <w:rsid w:val="00B93E5F"/>
    <w:rsid w:val="00B93EAC"/>
    <w:rsid w:val="00B93EF6"/>
    <w:rsid w:val="00B941E6"/>
    <w:rsid w:val="00B9432F"/>
    <w:rsid w:val="00B94335"/>
    <w:rsid w:val="00B943D6"/>
    <w:rsid w:val="00B94433"/>
    <w:rsid w:val="00B94505"/>
    <w:rsid w:val="00B94574"/>
    <w:rsid w:val="00B945CB"/>
    <w:rsid w:val="00B94631"/>
    <w:rsid w:val="00B9489F"/>
    <w:rsid w:val="00B9491E"/>
    <w:rsid w:val="00B94A5C"/>
    <w:rsid w:val="00B94A60"/>
    <w:rsid w:val="00B94AC9"/>
    <w:rsid w:val="00B94B56"/>
    <w:rsid w:val="00B94BB8"/>
    <w:rsid w:val="00B94BDF"/>
    <w:rsid w:val="00B94C26"/>
    <w:rsid w:val="00B94C6B"/>
    <w:rsid w:val="00B94CA9"/>
    <w:rsid w:val="00B950E9"/>
    <w:rsid w:val="00B952BE"/>
    <w:rsid w:val="00B9536C"/>
    <w:rsid w:val="00B953F2"/>
    <w:rsid w:val="00B9543A"/>
    <w:rsid w:val="00B954B4"/>
    <w:rsid w:val="00B95617"/>
    <w:rsid w:val="00B95728"/>
    <w:rsid w:val="00B95894"/>
    <w:rsid w:val="00B95A94"/>
    <w:rsid w:val="00B95AF3"/>
    <w:rsid w:val="00B95B2E"/>
    <w:rsid w:val="00B95BC9"/>
    <w:rsid w:val="00B95C29"/>
    <w:rsid w:val="00B95D95"/>
    <w:rsid w:val="00B95DA6"/>
    <w:rsid w:val="00B95E4C"/>
    <w:rsid w:val="00B95F17"/>
    <w:rsid w:val="00B96001"/>
    <w:rsid w:val="00B96011"/>
    <w:rsid w:val="00B9602B"/>
    <w:rsid w:val="00B96071"/>
    <w:rsid w:val="00B960A4"/>
    <w:rsid w:val="00B96304"/>
    <w:rsid w:val="00B9699C"/>
    <w:rsid w:val="00B96AB9"/>
    <w:rsid w:val="00B96C3A"/>
    <w:rsid w:val="00B96D25"/>
    <w:rsid w:val="00B96DEB"/>
    <w:rsid w:val="00B96EB2"/>
    <w:rsid w:val="00B9703A"/>
    <w:rsid w:val="00B97196"/>
    <w:rsid w:val="00B97224"/>
    <w:rsid w:val="00B97227"/>
    <w:rsid w:val="00B97229"/>
    <w:rsid w:val="00B9722E"/>
    <w:rsid w:val="00B97248"/>
    <w:rsid w:val="00B97334"/>
    <w:rsid w:val="00B973A4"/>
    <w:rsid w:val="00B97563"/>
    <w:rsid w:val="00B9763B"/>
    <w:rsid w:val="00B9766A"/>
    <w:rsid w:val="00B977D6"/>
    <w:rsid w:val="00B97818"/>
    <w:rsid w:val="00B97859"/>
    <w:rsid w:val="00B979ED"/>
    <w:rsid w:val="00B97A28"/>
    <w:rsid w:val="00B97B8C"/>
    <w:rsid w:val="00B97C0E"/>
    <w:rsid w:val="00B97C67"/>
    <w:rsid w:val="00B97C70"/>
    <w:rsid w:val="00B97D73"/>
    <w:rsid w:val="00B97F50"/>
    <w:rsid w:val="00BA00BC"/>
    <w:rsid w:val="00BA02F9"/>
    <w:rsid w:val="00BA0361"/>
    <w:rsid w:val="00BA04D7"/>
    <w:rsid w:val="00BA0525"/>
    <w:rsid w:val="00BA0595"/>
    <w:rsid w:val="00BA05B3"/>
    <w:rsid w:val="00BA05FA"/>
    <w:rsid w:val="00BA07E6"/>
    <w:rsid w:val="00BA086E"/>
    <w:rsid w:val="00BA08A1"/>
    <w:rsid w:val="00BA08E4"/>
    <w:rsid w:val="00BA0930"/>
    <w:rsid w:val="00BA0AAD"/>
    <w:rsid w:val="00BA0B06"/>
    <w:rsid w:val="00BA0C21"/>
    <w:rsid w:val="00BA0CEE"/>
    <w:rsid w:val="00BA0CF8"/>
    <w:rsid w:val="00BA0D1C"/>
    <w:rsid w:val="00BA0E40"/>
    <w:rsid w:val="00BA0EDB"/>
    <w:rsid w:val="00BA0FAA"/>
    <w:rsid w:val="00BA0FEB"/>
    <w:rsid w:val="00BA114E"/>
    <w:rsid w:val="00BA1539"/>
    <w:rsid w:val="00BA15F7"/>
    <w:rsid w:val="00BA16DC"/>
    <w:rsid w:val="00BA17CE"/>
    <w:rsid w:val="00BA18D8"/>
    <w:rsid w:val="00BA1EEE"/>
    <w:rsid w:val="00BA1EF7"/>
    <w:rsid w:val="00BA1F45"/>
    <w:rsid w:val="00BA1F49"/>
    <w:rsid w:val="00BA2092"/>
    <w:rsid w:val="00BA2536"/>
    <w:rsid w:val="00BA26AD"/>
    <w:rsid w:val="00BA2871"/>
    <w:rsid w:val="00BA2908"/>
    <w:rsid w:val="00BA29D4"/>
    <w:rsid w:val="00BA29E4"/>
    <w:rsid w:val="00BA29F2"/>
    <w:rsid w:val="00BA2BE3"/>
    <w:rsid w:val="00BA2CD0"/>
    <w:rsid w:val="00BA2E18"/>
    <w:rsid w:val="00BA3144"/>
    <w:rsid w:val="00BA3202"/>
    <w:rsid w:val="00BA3362"/>
    <w:rsid w:val="00BA3524"/>
    <w:rsid w:val="00BA35B9"/>
    <w:rsid w:val="00BA35E8"/>
    <w:rsid w:val="00BA35F1"/>
    <w:rsid w:val="00BA36D0"/>
    <w:rsid w:val="00BA3897"/>
    <w:rsid w:val="00BA38F3"/>
    <w:rsid w:val="00BA39DE"/>
    <w:rsid w:val="00BA3A51"/>
    <w:rsid w:val="00BA3CC6"/>
    <w:rsid w:val="00BA3D29"/>
    <w:rsid w:val="00BA3DCF"/>
    <w:rsid w:val="00BA3E4E"/>
    <w:rsid w:val="00BA3E5D"/>
    <w:rsid w:val="00BA4038"/>
    <w:rsid w:val="00BA4061"/>
    <w:rsid w:val="00BA4071"/>
    <w:rsid w:val="00BA4082"/>
    <w:rsid w:val="00BA40A5"/>
    <w:rsid w:val="00BA4172"/>
    <w:rsid w:val="00BA4182"/>
    <w:rsid w:val="00BA432A"/>
    <w:rsid w:val="00BA4585"/>
    <w:rsid w:val="00BA4661"/>
    <w:rsid w:val="00BA46A8"/>
    <w:rsid w:val="00BA47DE"/>
    <w:rsid w:val="00BA4818"/>
    <w:rsid w:val="00BA4879"/>
    <w:rsid w:val="00BA48EC"/>
    <w:rsid w:val="00BA4A73"/>
    <w:rsid w:val="00BA4B93"/>
    <w:rsid w:val="00BA4C89"/>
    <w:rsid w:val="00BA4CB9"/>
    <w:rsid w:val="00BA4CEB"/>
    <w:rsid w:val="00BA4DB7"/>
    <w:rsid w:val="00BA500B"/>
    <w:rsid w:val="00BA5024"/>
    <w:rsid w:val="00BA5129"/>
    <w:rsid w:val="00BA5190"/>
    <w:rsid w:val="00BA535D"/>
    <w:rsid w:val="00BA5367"/>
    <w:rsid w:val="00BA5446"/>
    <w:rsid w:val="00BA5474"/>
    <w:rsid w:val="00BA5496"/>
    <w:rsid w:val="00BA549B"/>
    <w:rsid w:val="00BA54BC"/>
    <w:rsid w:val="00BA5514"/>
    <w:rsid w:val="00BA55EB"/>
    <w:rsid w:val="00BA55FE"/>
    <w:rsid w:val="00BA5709"/>
    <w:rsid w:val="00BA5735"/>
    <w:rsid w:val="00BA5822"/>
    <w:rsid w:val="00BA5A09"/>
    <w:rsid w:val="00BA5A29"/>
    <w:rsid w:val="00BA5BB3"/>
    <w:rsid w:val="00BA5D35"/>
    <w:rsid w:val="00BA5D51"/>
    <w:rsid w:val="00BA5ED1"/>
    <w:rsid w:val="00BA5F6A"/>
    <w:rsid w:val="00BA5FFB"/>
    <w:rsid w:val="00BA603C"/>
    <w:rsid w:val="00BA619A"/>
    <w:rsid w:val="00BA6205"/>
    <w:rsid w:val="00BA62D2"/>
    <w:rsid w:val="00BA648F"/>
    <w:rsid w:val="00BA65B5"/>
    <w:rsid w:val="00BA6824"/>
    <w:rsid w:val="00BA6861"/>
    <w:rsid w:val="00BA6B4B"/>
    <w:rsid w:val="00BA6C4F"/>
    <w:rsid w:val="00BA6D92"/>
    <w:rsid w:val="00BA6E10"/>
    <w:rsid w:val="00BA6E56"/>
    <w:rsid w:val="00BA6F71"/>
    <w:rsid w:val="00BA6FCE"/>
    <w:rsid w:val="00BA709F"/>
    <w:rsid w:val="00BA7134"/>
    <w:rsid w:val="00BA7278"/>
    <w:rsid w:val="00BA72BD"/>
    <w:rsid w:val="00BA731A"/>
    <w:rsid w:val="00BA7461"/>
    <w:rsid w:val="00BA7843"/>
    <w:rsid w:val="00BA791D"/>
    <w:rsid w:val="00BA7988"/>
    <w:rsid w:val="00BA7B70"/>
    <w:rsid w:val="00BA7B9E"/>
    <w:rsid w:val="00BA7C21"/>
    <w:rsid w:val="00BA7C94"/>
    <w:rsid w:val="00BA7F0A"/>
    <w:rsid w:val="00BB01AD"/>
    <w:rsid w:val="00BB01F3"/>
    <w:rsid w:val="00BB033F"/>
    <w:rsid w:val="00BB03FC"/>
    <w:rsid w:val="00BB04C3"/>
    <w:rsid w:val="00BB04CE"/>
    <w:rsid w:val="00BB051E"/>
    <w:rsid w:val="00BB0531"/>
    <w:rsid w:val="00BB0543"/>
    <w:rsid w:val="00BB074A"/>
    <w:rsid w:val="00BB0970"/>
    <w:rsid w:val="00BB09A1"/>
    <w:rsid w:val="00BB0A6D"/>
    <w:rsid w:val="00BB0B0A"/>
    <w:rsid w:val="00BB0BD6"/>
    <w:rsid w:val="00BB0C8E"/>
    <w:rsid w:val="00BB0DFC"/>
    <w:rsid w:val="00BB0FA6"/>
    <w:rsid w:val="00BB1190"/>
    <w:rsid w:val="00BB119E"/>
    <w:rsid w:val="00BB11DE"/>
    <w:rsid w:val="00BB1339"/>
    <w:rsid w:val="00BB15F7"/>
    <w:rsid w:val="00BB1721"/>
    <w:rsid w:val="00BB1754"/>
    <w:rsid w:val="00BB1805"/>
    <w:rsid w:val="00BB182F"/>
    <w:rsid w:val="00BB18FB"/>
    <w:rsid w:val="00BB1939"/>
    <w:rsid w:val="00BB197E"/>
    <w:rsid w:val="00BB19EC"/>
    <w:rsid w:val="00BB1BDE"/>
    <w:rsid w:val="00BB1D0E"/>
    <w:rsid w:val="00BB1DC2"/>
    <w:rsid w:val="00BB1E8A"/>
    <w:rsid w:val="00BB1FB7"/>
    <w:rsid w:val="00BB207B"/>
    <w:rsid w:val="00BB2366"/>
    <w:rsid w:val="00BB23E8"/>
    <w:rsid w:val="00BB2476"/>
    <w:rsid w:val="00BB251D"/>
    <w:rsid w:val="00BB292E"/>
    <w:rsid w:val="00BB2A19"/>
    <w:rsid w:val="00BB2B28"/>
    <w:rsid w:val="00BB2B31"/>
    <w:rsid w:val="00BB2C1F"/>
    <w:rsid w:val="00BB2C29"/>
    <w:rsid w:val="00BB2CA9"/>
    <w:rsid w:val="00BB2CAC"/>
    <w:rsid w:val="00BB2D3C"/>
    <w:rsid w:val="00BB2D77"/>
    <w:rsid w:val="00BB2E70"/>
    <w:rsid w:val="00BB2EE8"/>
    <w:rsid w:val="00BB3081"/>
    <w:rsid w:val="00BB3200"/>
    <w:rsid w:val="00BB325E"/>
    <w:rsid w:val="00BB32C3"/>
    <w:rsid w:val="00BB32C6"/>
    <w:rsid w:val="00BB35A1"/>
    <w:rsid w:val="00BB35AF"/>
    <w:rsid w:val="00BB3684"/>
    <w:rsid w:val="00BB36C9"/>
    <w:rsid w:val="00BB36CF"/>
    <w:rsid w:val="00BB36FD"/>
    <w:rsid w:val="00BB3741"/>
    <w:rsid w:val="00BB3785"/>
    <w:rsid w:val="00BB37F0"/>
    <w:rsid w:val="00BB3863"/>
    <w:rsid w:val="00BB392E"/>
    <w:rsid w:val="00BB398D"/>
    <w:rsid w:val="00BB3A49"/>
    <w:rsid w:val="00BB3A60"/>
    <w:rsid w:val="00BB3AF8"/>
    <w:rsid w:val="00BB3BA4"/>
    <w:rsid w:val="00BB3BFB"/>
    <w:rsid w:val="00BB3C41"/>
    <w:rsid w:val="00BB3F66"/>
    <w:rsid w:val="00BB3F9F"/>
    <w:rsid w:val="00BB4036"/>
    <w:rsid w:val="00BB412C"/>
    <w:rsid w:val="00BB413A"/>
    <w:rsid w:val="00BB425C"/>
    <w:rsid w:val="00BB42BE"/>
    <w:rsid w:val="00BB43A1"/>
    <w:rsid w:val="00BB441B"/>
    <w:rsid w:val="00BB4559"/>
    <w:rsid w:val="00BB4575"/>
    <w:rsid w:val="00BB46C8"/>
    <w:rsid w:val="00BB47A3"/>
    <w:rsid w:val="00BB48A7"/>
    <w:rsid w:val="00BB49C6"/>
    <w:rsid w:val="00BB49D1"/>
    <w:rsid w:val="00BB4A34"/>
    <w:rsid w:val="00BB4C3C"/>
    <w:rsid w:val="00BB4D00"/>
    <w:rsid w:val="00BB4DF6"/>
    <w:rsid w:val="00BB4E95"/>
    <w:rsid w:val="00BB4EF3"/>
    <w:rsid w:val="00BB4F42"/>
    <w:rsid w:val="00BB4F6B"/>
    <w:rsid w:val="00BB50C4"/>
    <w:rsid w:val="00BB50E3"/>
    <w:rsid w:val="00BB5219"/>
    <w:rsid w:val="00BB5262"/>
    <w:rsid w:val="00BB52A3"/>
    <w:rsid w:val="00BB546E"/>
    <w:rsid w:val="00BB54F8"/>
    <w:rsid w:val="00BB563B"/>
    <w:rsid w:val="00BB57D9"/>
    <w:rsid w:val="00BB5876"/>
    <w:rsid w:val="00BB5908"/>
    <w:rsid w:val="00BB5CED"/>
    <w:rsid w:val="00BB5D1A"/>
    <w:rsid w:val="00BB5D57"/>
    <w:rsid w:val="00BB5DFE"/>
    <w:rsid w:val="00BB5E40"/>
    <w:rsid w:val="00BB5F5B"/>
    <w:rsid w:val="00BB5F6C"/>
    <w:rsid w:val="00BB6138"/>
    <w:rsid w:val="00BB6260"/>
    <w:rsid w:val="00BB6523"/>
    <w:rsid w:val="00BB6729"/>
    <w:rsid w:val="00BB6747"/>
    <w:rsid w:val="00BB67F2"/>
    <w:rsid w:val="00BB6CDF"/>
    <w:rsid w:val="00BB6D29"/>
    <w:rsid w:val="00BB6D43"/>
    <w:rsid w:val="00BB6DB5"/>
    <w:rsid w:val="00BB6E4E"/>
    <w:rsid w:val="00BB6ED9"/>
    <w:rsid w:val="00BB7045"/>
    <w:rsid w:val="00BB7133"/>
    <w:rsid w:val="00BB7166"/>
    <w:rsid w:val="00BB7210"/>
    <w:rsid w:val="00BB723C"/>
    <w:rsid w:val="00BB743E"/>
    <w:rsid w:val="00BB76BF"/>
    <w:rsid w:val="00BB76DB"/>
    <w:rsid w:val="00BB7707"/>
    <w:rsid w:val="00BB78D2"/>
    <w:rsid w:val="00BB78E5"/>
    <w:rsid w:val="00BB7935"/>
    <w:rsid w:val="00BB7A1A"/>
    <w:rsid w:val="00BB7AA1"/>
    <w:rsid w:val="00BB7C2D"/>
    <w:rsid w:val="00BB7C9C"/>
    <w:rsid w:val="00BB7D4B"/>
    <w:rsid w:val="00BB7D8E"/>
    <w:rsid w:val="00BB7DA8"/>
    <w:rsid w:val="00BB7F7C"/>
    <w:rsid w:val="00BC0138"/>
    <w:rsid w:val="00BC0313"/>
    <w:rsid w:val="00BC03D0"/>
    <w:rsid w:val="00BC04E2"/>
    <w:rsid w:val="00BC0801"/>
    <w:rsid w:val="00BC0808"/>
    <w:rsid w:val="00BC083E"/>
    <w:rsid w:val="00BC08FF"/>
    <w:rsid w:val="00BC09FC"/>
    <w:rsid w:val="00BC0A05"/>
    <w:rsid w:val="00BC0ADD"/>
    <w:rsid w:val="00BC0B12"/>
    <w:rsid w:val="00BC0D8E"/>
    <w:rsid w:val="00BC102C"/>
    <w:rsid w:val="00BC1226"/>
    <w:rsid w:val="00BC128D"/>
    <w:rsid w:val="00BC12C1"/>
    <w:rsid w:val="00BC1381"/>
    <w:rsid w:val="00BC13D9"/>
    <w:rsid w:val="00BC1453"/>
    <w:rsid w:val="00BC151E"/>
    <w:rsid w:val="00BC1526"/>
    <w:rsid w:val="00BC1654"/>
    <w:rsid w:val="00BC16F1"/>
    <w:rsid w:val="00BC1705"/>
    <w:rsid w:val="00BC18CF"/>
    <w:rsid w:val="00BC18D0"/>
    <w:rsid w:val="00BC1ACB"/>
    <w:rsid w:val="00BC1B28"/>
    <w:rsid w:val="00BC1BC6"/>
    <w:rsid w:val="00BC1BF0"/>
    <w:rsid w:val="00BC1C1F"/>
    <w:rsid w:val="00BC1D8D"/>
    <w:rsid w:val="00BC1DA1"/>
    <w:rsid w:val="00BC1ECA"/>
    <w:rsid w:val="00BC203D"/>
    <w:rsid w:val="00BC21D8"/>
    <w:rsid w:val="00BC248D"/>
    <w:rsid w:val="00BC26E3"/>
    <w:rsid w:val="00BC29E3"/>
    <w:rsid w:val="00BC2A98"/>
    <w:rsid w:val="00BC2AF7"/>
    <w:rsid w:val="00BC2B49"/>
    <w:rsid w:val="00BC2B58"/>
    <w:rsid w:val="00BC2DED"/>
    <w:rsid w:val="00BC2F54"/>
    <w:rsid w:val="00BC31A1"/>
    <w:rsid w:val="00BC31E9"/>
    <w:rsid w:val="00BC321A"/>
    <w:rsid w:val="00BC3231"/>
    <w:rsid w:val="00BC327D"/>
    <w:rsid w:val="00BC335C"/>
    <w:rsid w:val="00BC33B9"/>
    <w:rsid w:val="00BC33C3"/>
    <w:rsid w:val="00BC3417"/>
    <w:rsid w:val="00BC361D"/>
    <w:rsid w:val="00BC3632"/>
    <w:rsid w:val="00BC3696"/>
    <w:rsid w:val="00BC371B"/>
    <w:rsid w:val="00BC372A"/>
    <w:rsid w:val="00BC3854"/>
    <w:rsid w:val="00BC3B10"/>
    <w:rsid w:val="00BC3C83"/>
    <w:rsid w:val="00BC3F18"/>
    <w:rsid w:val="00BC3FC1"/>
    <w:rsid w:val="00BC3FC3"/>
    <w:rsid w:val="00BC4036"/>
    <w:rsid w:val="00BC40EF"/>
    <w:rsid w:val="00BC41D5"/>
    <w:rsid w:val="00BC4211"/>
    <w:rsid w:val="00BC42D3"/>
    <w:rsid w:val="00BC42DA"/>
    <w:rsid w:val="00BC4470"/>
    <w:rsid w:val="00BC449F"/>
    <w:rsid w:val="00BC458B"/>
    <w:rsid w:val="00BC45AA"/>
    <w:rsid w:val="00BC45C0"/>
    <w:rsid w:val="00BC47FB"/>
    <w:rsid w:val="00BC4A24"/>
    <w:rsid w:val="00BC4A61"/>
    <w:rsid w:val="00BC4B04"/>
    <w:rsid w:val="00BC4B56"/>
    <w:rsid w:val="00BC4BDE"/>
    <w:rsid w:val="00BC4CCB"/>
    <w:rsid w:val="00BC4E6B"/>
    <w:rsid w:val="00BC505B"/>
    <w:rsid w:val="00BC51D3"/>
    <w:rsid w:val="00BC52BA"/>
    <w:rsid w:val="00BC52DF"/>
    <w:rsid w:val="00BC5787"/>
    <w:rsid w:val="00BC579A"/>
    <w:rsid w:val="00BC583C"/>
    <w:rsid w:val="00BC586D"/>
    <w:rsid w:val="00BC5997"/>
    <w:rsid w:val="00BC59AC"/>
    <w:rsid w:val="00BC5A05"/>
    <w:rsid w:val="00BC5AE8"/>
    <w:rsid w:val="00BC5BA3"/>
    <w:rsid w:val="00BC5E2A"/>
    <w:rsid w:val="00BC61FA"/>
    <w:rsid w:val="00BC624D"/>
    <w:rsid w:val="00BC6337"/>
    <w:rsid w:val="00BC667E"/>
    <w:rsid w:val="00BC679B"/>
    <w:rsid w:val="00BC681F"/>
    <w:rsid w:val="00BC6825"/>
    <w:rsid w:val="00BC68F6"/>
    <w:rsid w:val="00BC690A"/>
    <w:rsid w:val="00BC6A6D"/>
    <w:rsid w:val="00BC6B00"/>
    <w:rsid w:val="00BC6B19"/>
    <w:rsid w:val="00BC6C77"/>
    <w:rsid w:val="00BC6C9D"/>
    <w:rsid w:val="00BC6D1F"/>
    <w:rsid w:val="00BC6D73"/>
    <w:rsid w:val="00BC6E09"/>
    <w:rsid w:val="00BC6F7E"/>
    <w:rsid w:val="00BC71A7"/>
    <w:rsid w:val="00BC7221"/>
    <w:rsid w:val="00BC733A"/>
    <w:rsid w:val="00BC74A5"/>
    <w:rsid w:val="00BC74D0"/>
    <w:rsid w:val="00BC75B7"/>
    <w:rsid w:val="00BC75E4"/>
    <w:rsid w:val="00BC75F4"/>
    <w:rsid w:val="00BC763E"/>
    <w:rsid w:val="00BC7641"/>
    <w:rsid w:val="00BC7676"/>
    <w:rsid w:val="00BC7773"/>
    <w:rsid w:val="00BC7A31"/>
    <w:rsid w:val="00BC7B8C"/>
    <w:rsid w:val="00BC7C3A"/>
    <w:rsid w:val="00BC7D53"/>
    <w:rsid w:val="00BC7DD7"/>
    <w:rsid w:val="00BC7E67"/>
    <w:rsid w:val="00BC7EA9"/>
    <w:rsid w:val="00BC7F3B"/>
    <w:rsid w:val="00BC7F88"/>
    <w:rsid w:val="00BC7FBD"/>
    <w:rsid w:val="00BD0111"/>
    <w:rsid w:val="00BD0135"/>
    <w:rsid w:val="00BD0231"/>
    <w:rsid w:val="00BD0264"/>
    <w:rsid w:val="00BD02B2"/>
    <w:rsid w:val="00BD02DD"/>
    <w:rsid w:val="00BD02FA"/>
    <w:rsid w:val="00BD0335"/>
    <w:rsid w:val="00BD03A5"/>
    <w:rsid w:val="00BD0619"/>
    <w:rsid w:val="00BD06AE"/>
    <w:rsid w:val="00BD06CA"/>
    <w:rsid w:val="00BD0780"/>
    <w:rsid w:val="00BD0957"/>
    <w:rsid w:val="00BD09FC"/>
    <w:rsid w:val="00BD0A9C"/>
    <w:rsid w:val="00BD0BD5"/>
    <w:rsid w:val="00BD0DD9"/>
    <w:rsid w:val="00BD0F63"/>
    <w:rsid w:val="00BD1114"/>
    <w:rsid w:val="00BD1132"/>
    <w:rsid w:val="00BD119A"/>
    <w:rsid w:val="00BD139E"/>
    <w:rsid w:val="00BD1474"/>
    <w:rsid w:val="00BD1691"/>
    <w:rsid w:val="00BD172F"/>
    <w:rsid w:val="00BD17C1"/>
    <w:rsid w:val="00BD1925"/>
    <w:rsid w:val="00BD1AF9"/>
    <w:rsid w:val="00BD1B0B"/>
    <w:rsid w:val="00BD1BF4"/>
    <w:rsid w:val="00BD1C27"/>
    <w:rsid w:val="00BD1D5E"/>
    <w:rsid w:val="00BD1D5F"/>
    <w:rsid w:val="00BD1EC1"/>
    <w:rsid w:val="00BD1F15"/>
    <w:rsid w:val="00BD2014"/>
    <w:rsid w:val="00BD222D"/>
    <w:rsid w:val="00BD2230"/>
    <w:rsid w:val="00BD230C"/>
    <w:rsid w:val="00BD2458"/>
    <w:rsid w:val="00BD246B"/>
    <w:rsid w:val="00BD250E"/>
    <w:rsid w:val="00BD2856"/>
    <w:rsid w:val="00BD291A"/>
    <w:rsid w:val="00BD2A0A"/>
    <w:rsid w:val="00BD2AF2"/>
    <w:rsid w:val="00BD2BB8"/>
    <w:rsid w:val="00BD2D1D"/>
    <w:rsid w:val="00BD2DA2"/>
    <w:rsid w:val="00BD2DFE"/>
    <w:rsid w:val="00BD2E7A"/>
    <w:rsid w:val="00BD2F99"/>
    <w:rsid w:val="00BD30D8"/>
    <w:rsid w:val="00BD31F1"/>
    <w:rsid w:val="00BD34A1"/>
    <w:rsid w:val="00BD36EB"/>
    <w:rsid w:val="00BD3761"/>
    <w:rsid w:val="00BD38A6"/>
    <w:rsid w:val="00BD38D9"/>
    <w:rsid w:val="00BD3C6C"/>
    <w:rsid w:val="00BD3E84"/>
    <w:rsid w:val="00BD3E88"/>
    <w:rsid w:val="00BD3EA3"/>
    <w:rsid w:val="00BD406B"/>
    <w:rsid w:val="00BD40BE"/>
    <w:rsid w:val="00BD422B"/>
    <w:rsid w:val="00BD427A"/>
    <w:rsid w:val="00BD4437"/>
    <w:rsid w:val="00BD448A"/>
    <w:rsid w:val="00BD44CA"/>
    <w:rsid w:val="00BD4576"/>
    <w:rsid w:val="00BD45E0"/>
    <w:rsid w:val="00BD46A6"/>
    <w:rsid w:val="00BD46D2"/>
    <w:rsid w:val="00BD47AF"/>
    <w:rsid w:val="00BD47BA"/>
    <w:rsid w:val="00BD4942"/>
    <w:rsid w:val="00BD4A63"/>
    <w:rsid w:val="00BD4A81"/>
    <w:rsid w:val="00BD4AC0"/>
    <w:rsid w:val="00BD4B2E"/>
    <w:rsid w:val="00BD4B5A"/>
    <w:rsid w:val="00BD4BB8"/>
    <w:rsid w:val="00BD4C80"/>
    <w:rsid w:val="00BD4C81"/>
    <w:rsid w:val="00BD4D7B"/>
    <w:rsid w:val="00BD4DFD"/>
    <w:rsid w:val="00BD4FF0"/>
    <w:rsid w:val="00BD51B9"/>
    <w:rsid w:val="00BD54BD"/>
    <w:rsid w:val="00BD550F"/>
    <w:rsid w:val="00BD5558"/>
    <w:rsid w:val="00BD557D"/>
    <w:rsid w:val="00BD5889"/>
    <w:rsid w:val="00BD58DC"/>
    <w:rsid w:val="00BD592B"/>
    <w:rsid w:val="00BD59F0"/>
    <w:rsid w:val="00BD5B46"/>
    <w:rsid w:val="00BD5C1E"/>
    <w:rsid w:val="00BD5C44"/>
    <w:rsid w:val="00BD5D62"/>
    <w:rsid w:val="00BD5E92"/>
    <w:rsid w:val="00BD5F91"/>
    <w:rsid w:val="00BD6055"/>
    <w:rsid w:val="00BD60B7"/>
    <w:rsid w:val="00BD613F"/>
    <w:rsid w:val="00BD6279"/>
    <w:rsid w:val="00BD6353"/>
    <w:rsid w:val="00BD6484"/>
    <w:rsid w:val="00BD6512"/>
    <w:rsid w:val="00BD6588"/>
    <w:rsid w:val="00BD674B"/>
    <w:rsid w:val="00BD6897"/>
    <w:rsid w:val="00BD6B2A"/>
    <w:rsid w:val="00BD6B54"/>
    <w:rsid w:val="00BD6C34"/>
    <w:rsid w:val="00BD6D33"/>
    <w:rsid w:val="00BD6F42"/>
    <w:rsid w:val="00BD7051"/>
    <w:rsid w:val="00BD70A7"/>
    <w:rsid w:val="00BD70D9"/>
    <w:rsid w:val="00BD7134"/>
    <w:rsid w:val="00BD71B3"/>
    <w:rsid w:val="00BD733D"/>
    <w:rsid w:val="00BD7356"/>
    <w:rsid w:val="00BD73E8"/>
    <w:rsid w:val="00BD742C"/>
    <w:rsid w:val="00BD7576"/>
    <w:rsid w:val="00BD763C"/>
    <w:rsid w:val="00BD764D"/>
    <w:rsid w:val="00BD76AF"/>
    <w:rsid w:val="00BD76ED"/>
    <w:rsid w:val="00BD7731"/>
    <w:rsid w:val="00BD7741"/>
    <w:rsid w:val="00BD77F4"/>
    <w:rsid w:val="00BD7957"/>
    <w:rsid w:val="00BD7A06"/>
    <w:rsid w:val="00BD7B56"/>
    <w:rsid w:val="00BD7C11"/>
    <w:rsid w:val="00BD7C91"/>
    <w:rsid w:val="00BD7CDA"/>
    <w:rsid w:val="00BD7DCC"/>
    <w:rsid w:val="00BD7DF1"/>
    <w:rsid w:val="00BD7E5B"/>
    <w:rsid w:val="00BD7EA0"/>
    <w:rsid w:val="00BD7F25"/>
    <w:rsid w:val="00BE0241"/>
    <w:rsid w:val="00BE040C"/>
    <w:rsid w:val="00BE04D6"/>
    <w:rsid w:val="00BE0633"/>
    <w:rsid w:val="00BE0640"/>
    <w:rsid w:val="00BE0989"/>
    <w:rsid w:val="00BE0A05"/>
    <w:rsid w:val="00BE0A74"/>
    <w:rsid w:val="00BE0AA7"/>
    <w:rsid w:val="00BE0AB8"/>
    <w:rsid w:val="00BE0ADD"/>
    <w:rsid w:val="00BE0CCA"/>
    <w:rsid w:val="00BE0D11"/>
    <w:rsid w:val="00BE0F58"/>
    <w:rsid w:val="00BE0FAF"/>
    <w:rsid w:val="00BE1072"/>
    <w:rsid w:val="00BE1232"/>
    <w:rsid w:val="00BE12E8"/>
    <w:rsid w:val="00BE12F2"/>
    <w:rsid w:val="00BE14C0"/>
    <w:rsid w:val="00BE153B"/>
    <w:rsid w:val="00BE15AB"/>
    <w:rsid w:val="00BE166C"/>
    <w:rsid w:val="00BE17A0"/>
    <w:rsid w:val="00BE1874"/>
    <w:rsid w:val="00BE18E9"/>
    <w:rsid w:val="00BE1A76"/>
    <w:rsid w:val="00BE1C5D"/>
    <w:rsid w:val="00BE1CBB"/>
    <w:rsid w:val="00BE1D75"/>
    <w:rsid w:val="00BE1D82"/>
    <w:rsid w:val="00BE1DF5"/>
    <w:rsid w:val="00BE1EA9"/>
    <w:rsid w:val="00BE1F14"/>
    <w:rsid w:val="00BE1F1A"/>
    <w:rsid w:val="00BE1F54"/>
    <w:rsid w:val="00BE2079"/>
    <w:rsid w:val="00BE2158"/>
    <w:rsid w:val="00BE235F"/>
    <w:rsid w:val="00BE2508"/>
    <w:rsid w:val="00BE259D"/>
    <w:rsid w:val="00BE2616"/>
    <w:rsid w:val="00BE27DD"/>
    <w:rsid w:val="00BE29DA"/>
    <w:rsid w:val="00BE29E4"/>
    <w:rsid w:val="00BE2A03"/>
    <w:rsid w:val="00BE2AE2"/>
    <w:rsid w:val="00BE2B46"/>
    <w:rsid w:val="00BE2BE1"/>
    <w:rsid w:val="00BE2CCF"/>
    <w:rsid w:val="00BE2D2D"/>
    <w:rsid w:val="00BE2DA1"/>
    <w:rsid w:val="00BE2DC0"/>
    <w:rsid w:val="00BE2E98"/>
    <w:rsid w:val="00BE2F87"/>
    <w:rsid w:val="00BE3101"/>
    <w:rsid w:val="00BE31BC"/>
    <w:rsid w:val="00BE3209"/>
    <w:rsid w:val="00BE3417"/>
    <w:rsid w:val="00BE34BC"/>
    <w:rsid w:val="00BE367B"/>
    <w:rsid w:val="00BE39A9"/>
    <w:rsid w:val="00BE39C5"/>
    <w:rsid w:val="00BE3A6A"/>
    <w:rsid w:val="00BE3AC5"/>
    <w:rsid w:val="00BE3ADA"/>
    <w:rsid w:val="00BE3B56"/>
    <w:rsid w:val="00BE3D13"/>
    <w:rsid w:val="00BE3D7B"/>
    <w:rsid w:val="00BE3FFB"/>
    <w:rsid w:val="00BE401B"/>
    <w:rsid w:val="00BE40D1"/>
    <w:rsid w:val="00BE40E2"/>
    <w:rsid w:val="00BE41BB"/>
    <w:rsid w:val="00BE41F6"/>
    <w:rsid w:val="00BE420B"/>
    <w:rsid w:val="00BE425A"/>
    <w:rsid w:val="00BE42BD"/>
    <w:rsid w:val="00BE43CA"/>
    <w:rsid w:val="00BE4408"/>
    <w:rsid w:val="00BE444D"/>
    <w:rsid w:val="00BE4492"/>
    <w:rsid w:val="00BE45F1"/>
    <w:rsid w:val="00BE4628"/>
    <w:rsid w:val="00BE46B1"/>
    <w:rsid w:val="00BE4772"/>
    <w:rsid w:val="00BE4936"/>
    <w:rsid w:val="00BE4A04"/>
    <w:rsid w:val="00BE4A9F"/>
    <w:rsid w:val="00BE4AEA"/>
    <w:rsid w:val="00BE4CDF"/>
    <w:rsid w:val="00BE4CF4"/>
    <w:rsid w:val="00BE4F61"/>
    <w:rsid w:val="00BE4F6A"/>
    <w:rsid w:val="00BE505A"/>
    <w:rsid w:val="00BE50D0"/>
    <w:rsid w:val="00BE52BF"/>
    <w:rsid w:val="00BE537B"/>
    <w:rsid w:val="00BE53EB"/>
    <w:rsid w:val="00BE5534"/>
    <w:rsid w:val="00BE58A7"/>
    <w:rsid w:val="00BE58A9"/>
    <w:rsid w:val="00BE5A56"/>
    <w:rsid w:val="00BE5B45"/>
    <w:rsid w:val="00BE5C2C"/>
    <w:rsid w:val="00BE5C79"/>
    <w:rsid w:val="00BE5DDD"/>
    <w:rsid w:val="00BE5E1A"/>
    <w:rsid w:val="00BE5EA9"/>
    <w:rsid w:val="00BE5EF4"/>
    <w:rsid w:val="00BE5FC5"/>
    <w:rsid w:val="00BE60AA"/>
    <w:rsid w:val="00BE61AF"/>
    <w:rsid w:val="00BE62F4"/>
    <w:rsid w:val="00BE62F6"/>
    <w:rsid w:val="00BE64E1"/>
    <w:rsid w:val="00BE6567"/>
    <w:rsid w:val="00BE67C8"/>
    <w:rsid w:val="00BE6B1F"/>
    <w:rsid w:val="00BE6C16"/>
    <w:rsid w:val="00BE6C3D"/>
    <w:rsid w:val="00BE6CD0"/>
    <w:rsid w:val="00BE6E33"/>
    <w:rsid w:val="00BE6E7E"/>
    <w:rsid w:val="00BE6F9C"/>
    <w:rsid w:val="00BE711E"/>
    <w:rsid w:val="00BE71B8"/>
    <w:rsid w:val="00BE721C"/>
    <w:rsid w:val="00BE7261"/>
    <w:rsid w:val="00BE745B"/>
    <w:rsid w:val="00BE7576"/>
    <w:rsid w:val="00BE7604"/>
    <w:rsid w:val="00BE77CD"/>
    <w:rsid w:val="00BE7963"/>
    <w:rsid w:val="00BE7A97"/>
    <w:rsid w:val="00BE7AB5"/>
    <w:rsid w:val="00BE7BF8"/>
    <w:rsid w:val="00BE7BFD"/>
    <w:rsid w:val="00BE7C73"/>
    <w:rsid w:val="00BE7C81"/>
    <w:rsid w:val="00BE7D08"/>
    <w:rsid w:val="00BE7D16"/>
    <w:rsid w:val="00BE7DC0"/>
    <w:rsid w:val="00BE7FEE"/>
    <w:rsid w:val="00BE7FFE"/>
    <w:rsid w:val="00BF017A"/>
    <w:rsid w:val="00BF01BF"/>
    <w:rsid w:val="00BF0247"/>
    <w:rsid w:val="00BF043F"/>
    <w:rsid w:val="00BF05A9"/>
    <w:rsid w:val="00BF068D"/>
    <w:rsid w:val="00BF06BC"/>
    <w:rsid w:val="00BF07DC"/>
    <w:rsid w:val="00BF0818"/>
    <w:rsid w:val="00BF081D"/>
    <w:rsid w:val="00BF08AC"/>
    <w:rsid w:val="00BF0B37"/>
    <w:rsid w:val="00BF0B70"/>
    <w:rsid w:val="00BF0BA1"/>
    <w:rsid w:val="00BF0BBF"/>
    <w:rsid w:val="00BF0C9D"/>
    <w:rsid w:val="00BF0CC1"/>
    <w:rsid w:val="00BF0D2E"/>
    <w:rsid w:val="00BF0E2E"/>
    <w:rsid w:val="00BF0E5A"/>
    <w:rsid w:val="00BF1110"/>
    <w:rsid w:val="00BF1377"/>
    <w:rsid w:val="00BF16DA"/>
    <w:rsid w:val="00BF19C6"/>
    <w:rsid w:val="00BF1A2E"/>
    <w:rsid w:val="00BF1C9C"/>
    <w:rsid w:val="00BF1CFB"/>
    <w:rsid w:val="00BF1D01"/>
    <w:rsid w:val="00BF1E32"/>
    <w:rsid w:val="00BF1EBC"/>
    <w:rsid w:val="00BF1F5C"/>
    <w:rsid w:val="00BF1FBE"/>
    <w:rsid w:val="00BF200F"/>
    <w:rsid w:val="00BF205B"/>
    <w:rsid w:val="00BF20F3"/>
    <w:rsid w:val="00BF2122"/>
    <w:rsid w:val="00BF2171"/>
    <w:rsid w:val="00BF2192"/>
    <w:rsid w:val="00BF2277"/>
    <w:rsid w:val="00BF22BB"/>
    <w:rsid w:val="00BF22E3"/>
    <w:rsid w:val="00BF246C"/>
    <w:rsid w:val="00BF2476"/>
    <w:rsid w:val="00BF2480"/>
    <w:rsid w:val="00BF262E"/>
    <w:rsid w:val="00BF26CC"/>
    <w:rsid w:val="00BF29CA"/>
    <w:rsid w:val="00BF2A14"/>
    <w:rsid w:val="00BF2A4F"/>
    <w:rsid w:val="00BF2B8C"/>
    <w:rsid w:val="00BF2BA5"/>
    <w:rsid w:val="00BF2BB9"/>
    <w:rsid w:val="00BF2C10"/>
    <w:rsid w:val="00BF2CB1"/>
    <w:rsid w:val="00BF2CBE"/>
    <w:rsid w:val="00BF2E3B"/>
    <w:rsid w:val="00BF2E56"/>
    <w:rsid w:val="00BF2F0B"/>
    <w:rsid w:val="00BF2F6D"/>
    <w:rsid w:val="00BF3036"/>
    <w:rsid w:val="00BF30DE"/>
    <w:rsid w:val="00BF3153"/>
    <w:rsid w:val="00BF316D"/>
    <w:rsid w:val="00BF3218"/>
    <w:rsid w:val="00BF359A"/>
    <w:rsid w:val="00BF35C1"/>
    <w:rsid w:val="00BF37BB"/>
    <w:rsid w:val="00BF38CF"/>
    <w:rsid w:val="00BF3993"/>
    <w:rsid w:val="00BF39E5"/>
    <w:rsid w:val="00BF3AE8"/>
    <w:rsid w:val="00BF3B0D"/>
    <w:rsid w:val="00BF3B70"/>
    <w:rsid w:val="00BF3C71"/>
    <w:rsid w:val="00BF3CA8"/>
    <w:rsid w:val="00BF3D7A"/>
    <w:rsid w:val="00BF3D9B"/>
    <w:rsid w:val="00BF3D9F"/>
    <w:rsid w:val="00BF3E8A"/>
    <w:rsid w:val="00BF3EB8"/>
    <w:rsid w:val="00BF3ECC"/>
    <w:rsid w:val="00BF3F1E"/>
    <w:rsid w:val="00BF3FD9"/>
    <w:rsid w:val="00BF4058"/>
    <w:rsid w:val="00BF40AC"/>
    <w:rsid w:val="00BF40C0"/>
    <w:rsid w:val="00BF414F"/>
    <w:rsid w:val="00BF433F"/>
    <w:rsid w:val="00BF45CC"/>
    <w:rsid w:val="00BF4653"/>
    <w:rsid w:val="00BF46E6"/>
    <w:rsid w:val="00BF4830"/>
    <w:rsid w:val="00BF48F8"/>
    <w:rsid w:val="00BF491D"/>
    <w:rsid w:val="00BF49DB"/>
    <w:rsid w:val="00BF49E3"/>
    <w:rsid w:val="00BF4AD2"/>
    <w:rsid w:val="00BF4AFB"/>
    <w:rsid w:val="00BF4C3A"/>
    <w:rsid w:val="00BF4CEC"/>
    <w:rsid w:val="00BF4D4C"/>
    <w:rsid w:val="00BF4DE8"/>
    <w:rsid w:val="00BF4E57"/>
    <w:rsid w:val="00BF4E86"/>
    <w:rsid w:val="00BF4F81"/>
    <w:rsid w:val="00BF4F9D"/>
    <w:rsid w:val="00BF4FB8"/>
    <w:rsid w:val="00BF501E"/>
    <w:rsid w:val="00BF508E"/>
    <w:rsid w:val="00BF50CA"/>
    <w:rsid w:val="00BF50E9"/>
    <w:rsid w:val="00BF51BE"/>
    <w:rsid w:val="00BF52A5"/>
    <w:rsid w:val="00BF53A2"/>
    <w:rsid w:val="00BF53D3"/>
    <w:rsid w:val="00BF5439"/>
    <w:rsid w:val="00BF54E3"/>
    <w:rsid w:val="00BF553F"/>
    <w:rsid w:val="00BF55C6"/>
    <w:rsid w:val="00BF5851"/>
    <w:rsid w:val="00BF5A4B"/>
    <w:rsid w:val="00BF5A4D"/>
    <w:rsid w:val="00BF5BA3"/>
    <w:rsid w:val="00BF5C48"/>
    <w:rsid w:val="00BF5C68"/>
    <w:rsid w:val="00BF5CDC"/>
    <w:rsid w:val="00BF5CE3"/>
    <w:rsid w:val="00BF5E08"/>
    <w:rsid w:val="00BF5E0F"/>
    <w:rsid w:val="00BF6105"/>
    <w:rsid w:val="00BF6145"/>
    <w:rsid w:val="00BF6376"/>
    <w:rsid w:val="00BF6425"/>
    <w:rsid w:val="00BF6494"/>
    <w:rsid w:val="00BF6526"/>
    <w:rsid w:val="00BF6544"/>
    <w:rsid w:val="00BF67DB"/>
    <w:rsid w:val="00BF67F4"/>
    <w:rsid w:val="00BF68A3"/>
    <w:rsid w:val="00BF6A1C"/>
    <w:rsid w:val="00BF6B50"/>
    <w:rsid w:val="00BF6C45"/>
    <w:rsid w:val="00BF6CEA"/>
    <w:rsid w:val="00BF6E6A"/>
    <w:rsid w:val="00BF6F5F"/>
    <w:rsid w:val="00BF6FFC"/>
    <w:rsid w:val="00BF7027"/>
    <w:rsid w:val="00BF71C7"/>
    <w:rsid w:val="00BF73E4"/>
    <w:rsid w:val="00BF75E6"/>
    <w:rsid w:val="00BF77D5"/>
    <w:rsid w:val="00BF781F"/>
    <w:rsid w:val="00BF790B"/>
    <w:rsid w:val="00BF7B8E"/>
    <w:rsid w:val="00BF7BB9"/>
    <w:rsid w:val="00BF7C6E"/>
    <w:rsid w:val="00BF7C75"/>
    <w:rsid w:val="00BF7D6F"/>
    <w:rsid w:val="00BF7E33"/>
    <w:rsid w:val="00BF7E7F"/>
    <w:rsid w:val="00BF7FC9"/>
    <w:rsid w:val="00BF7FF7"/>
    <w:rsid w:val="00C00046"/>
    <w:rsid w:val="00C000CC"/>
    <w:rsid w:val="00C00108"/>
    <w:rsid w:val="00C001AF"/>
    <w:rsid w:val="00C001E3"/>
    <w:rsid w:val="00C001F5"/>
    <w:rsid w:val="00C00206"/>
    <w:rsid w:val="00C0043A"/>
    <w:rsid w:val="00C004C6"/>
    <w:rsid w:val="00C00684"/>
    <w:rsid w:val="00C0069D"/>
    <w:rsid w:val="00C00704"/>
    <w:rsid w:val="00C00826"/>
    <w:rsid w:val="00C0094A"/>
    <w:rsid w:val="00C00A3D"/>
    <w:rsid w:val="00C00A7A"/>
    <w:rsid w:val="00C00D21"/>
    <w:rsid w:val="00C00DBA"/>
    <w:rsid w:val="00C00DE0"/>
    <w:rsid w:val="00C00FB6"/>
    <w:rsid w:val="00C01195"/>
    <w:rsid w:val="00C012A7"/>
    <w:rsid w:val="00C012B5"/>
    <w:rsid w:val="00C01315"/>
    <w:rsid w:val="00C0137F"/>
    <w:rsid w:val="00C0145F"/>
    <w:rsid w:val="00C017F8"/>
    <w:rsid w:val="00C018F3"/>
    <w:rsid w:val="00C01C1C"/>
    <w:rsid w:val="00C01C7F"/>
    <w:rsid w:val="00C01CDE"/>
    <w:rsid w:val="00C01E86"/>
    <w:rsid w:val="00C02008"/>
    <w:rsid w:val="00C020D0"/>
    <w:rsid w:val="00C0267F"/>
    <w:rsid w:val="00C027C1"/>
    <w:rsid w:val="00C028AC"/>
    <w:rsid w:val="00C0290C"/>
    <w:rsid w:val="00C0293D"/>
    <w:rsid w:val="00C02B52"/>
    <w:rsid w:val="00C02C02"/>
    <w:rsid w:val="00C02C9D"/>
    <w:rsid w:val="00C02D87"/>
    <w:rsid w:val="00C02EA6"/>
    <w:rsid w:val="00C02F01"/>
    <w:rsid w:val="00C02FCF"/>
    <w:rsid w:val="00C0319E"/>
    <w:rsid w:val="00C031BE"/>
    <w:rsid w:val="00C031CF"/>
    <w:rsid w:val="00C03205"/>
    <w:rsid w:val="00C0326F"/>
    <w:rsid w:val="00C032AF"/>
    <w:rsid w:val="00C0341C"/>
    <w:rsid w:val="00C0347E"/>
    <w:rsid w:val="00C035BC"/>
    <w:rsid w:val="00C037A7"/>
    <w:rsid w:val="00C037D9"/>
    <w:rsid w:val="00C0390B"/>
    <w:rsid w:val="00C039A9"/>
    <w:rsid w:val="00C03D33"/>
    <w:rsid w:val="00C03DA5"/>
    <w:rsid w:val="00C03DFC"/>
    <w:rsid w:val="00C03E75"/>
    <w:rsid w:val="00C03E95"/>
    <w:rsid w:val="00C04010"/>
    <w:rsid w:val="00C04064"/>
    <w:rsid w:val="00C0415A"/>
    <w:rsid w:val="00C04168"/>
    <w:rsid w:val="00C0428A"/>
    <w:rsid w:val="00C042A9"/>
    <w:rsid w:val="00C04363"/>
    <w:rsid w:val="00C044EE"/>
    <w:rsid w:val="00C0455E"/>
    <w:rsid w:val="00C045CD"/>
    <w:rsid w:val="00C04899"/>
    <w:rsid w:val="00C04904"/>
    <w:rsid w:val="00C04921"/>
    <w:rsid w:val="00C04937"/>
    <w:rsid w:val="00C04974"/>
    <w:rsid w:val="00C049AF"/>
    <w:rsid w:val="00C04A6A"/>
    <w:rsid w:val="00C04C5E"/>
    <w:rsid w:val="00C04D23"/>
    <w:rsid w:val="00C04D7A"/>
    <w:rsid w:val="00C04EF4"/>
    <w:rsid w:val="00C05162"/>
    <w:rsid w:val="00C051D3"/>
    <w:rsid w:val="00C051DA"/>
    <w:rsid w:val="00C052F2"/>
    <w:rsid w:val="00C05457"/>
    <w:rsid w:val="00C0548C"/>
    <w:rsid w:val="00C054B8"/>
    <w:rsid w:val="00C0551B"/>
    <w:rsid w:val="00C057CF"/>
    <w:rsid w:val="00C05847"/>
    <w:rsid w:val="00C0595A"/>
    <w:rsid w:val="00C0597B"/>
    <w:rsid w:val="00C05A4B"/>
    <w:rsid w:val="00C05ACE"/>
    <w:rsid w:val="00C05ADD"/>
    <w:rsid w:val="00C05B0F"/>
    <w:rsid w:val="00C05B85"/>
    <w:rsid w:val="00C05C06"/>
    <w:rsid w:val="00C05C2B"/>
    <w:rsid w:val="00C05D47"/>
    <w:rsid w:val="00C05EDF"/>
    <w:rsid w:val="00C05EEA"/>
    <w:rsid w:val="00C06075"/>
    <w:rsid w:val="00C06113"/>
    <w:rsid w:val="00C0613B"/>
    <w:rsid w:val="00C06186"/>
    <w:rsid w:val="00C061FD"/>
    <w:rsid w:val="00C06278"/>
    <w:rsid w:val="00C06316"/>
    <w:rsid w:val="00C063BC"/>
    <w:rsid w:val="00C063E1"/>
    <w:rsid w:val="00C063FD"/>
    <w:rsid w:val="00C06449"/>
    <w:rsid w:val="00C06479"/>
    <w:rsid w:val="00C064D1"/>
    <w:rsid w:val="00C06666"/>
    <w:rsid w:val="00C0667C"/>
    <w:rsid w:val="00C06690"/>
    <w:rsid w:val="00C066C0"/>
    <w:rsid w:val="00C068A6"/>
    <w:rsid w:val="00C068CB"/>
    <w:rsid w:val="00C06999"/>
    <w:rsid w:val="00C069C1"/>
    <w:rsid w:val="00C06B73"/>
    <w:rsid w:val="00C06C68"/>
    <w:rsid w:val="00C06C6B"/>
    <w:rsid w:val="00C06D1E"/>
    <w:rsid w:val="00C06E45"/>
    <w:rsid w:val="00C06FA2"/>
    <w:rsid w:val="00C06FE3"/>
    <w:rsid w:val="00C07061"/>
    <w:rsid w:val="00C070C0"/>
    <w:rsid w:val="00C0721F"/>
    <w:rsid w:val="00C073B3"/>
    <w:rsid w:val="00C073E5"/>
    <w:rsid w:val="00C07401"/>
    <w:rsid w:val="00C07421"/>
    <w:rsid w:val="00C07470"/>
    <w:rsid w:val="00C074AC"/>
    <w:rsid w:val="00C0767C"/>
    <w:rsid w:val="00C0771B"/>
    <w:rsid w:val="00C07931"/>
    <w:rsid w:val="00C07999"/>
    <w:rsid w:val="00C07A60"/>
    <w:rsid w:val="00C07A62"/>
    <w:rsid w:val="00C07B78"/>
    <w:rsid w:val="00C07C70"/>
    <w:rsid w:val="00C07DF6"/>
    <w:rsid w:val="00C07F2A"/>
    <w:rsid w:val="00C10105"/>
    <w:rsid w:val="00C10125"/>
    <w:rsid w:val="00C101AB"/>
    <w:rsid w:val="00C101D3"/>
    <w:rsid w:val="00C10356"/>
    <w:rsid w:val="00C10372"/>
    <w:rsid w:val="00C103CE"/>
    <w:rsid w:val="00C1044B"/>
    <w:rsid w:val="00C105F1"/>
    <w:rsid w:val="00C10910"/>
    <w:rsid w:val="00C10ACA"/>
    <w:rsid w:val="00C10B79"/>
    <w:rsid w:val="00C10D10"/>
    <w:rsid w:val="00C10D8D"/>
    <w:rsid w:val="00C1106E"/>
    <w:rsid w:val="00C11120"/>
    <w:rsid w:val="00C1113D"/>
    <w:rsid w:val="00C11163"/>
    <w:rsid w:val="00C111D3"/>
    <w:rsid w:val="00C112D2"/>
    <w:rsid w:val="00C1132D"/>
    <w:rsid w:val="00C1143D"/>
    <w:rsid w:val="00C11487"/>
    <w:rsid w:val="00C115CB"/>
    <w:rsid w:val="00C1161A"/>
    <w:rsid w:val="00C116A9"/>
    <w:rsid w:val="00C11909"/>
    <w:rsid w:val="00C11987"/>
    <w:rsid w:val="00C119C4"/>
    <w:rsid w:val="00C119D9"/>
    <w:rsid w:val="00C11A7B"/>
    <w:rsid w:val="00C11C10"/>
    <w:rsid w:val="00C11CB4"/>
    <w:rsid w:val="00C11E6D"/>
    <w:rsid w:val="00C11EEE"/>
    <w:rsid w:val="00C11F59"/>
    <w:rsid w:val="00C11FC9"/>
    <w:rsid w:val="00C11FD1"/>
    <w:rsid w:val="00C120BD"/>
    <w:rsid w:val="00C12210"/>
    <w:rsid w:val="00C122CD"/>
    <w:rsid w:val="00C12502"/>
    <w:rsid w:val="00C12527"/>
    <w:rsid w:val="00C12579"/>
    <w:rsid w:val="00C1260B"/>
    <w:rsid w:val="00C12616"/>
    <w:rsid w:val="00C126D7"/>
    <w:rsid w:val="00C1289C"/>
    <w:rsid w:val="00C12A27"/>
    <w:rsid w:val="00C12B81"/>
    <w:rsid w:val="00C12C0F"/>
    <w:rsid w:val="00C12C64"/>
    <w:rsid w:val="00C12FA2"/>
    <w:rsid w:val="00C13099"/>
    <w:rsid w:val="00C13128"/>
    <w:rsid w:val="00C131C7"/>
    <w:rsid w:val="00C132CA"/>
    <w:rsid w:val="00C13341"/>
    <w:rsid w:val="00C13556"/>
    <w:rsid w:val="00C135C9"/>
    <w:rsid w:val="00C135D0"/>
    <w:rsid w:val="00C139BB"/>
    <w:rsid w:val="00C13B93"/>
    <w:rsid w:val="00C13C03"/>
    <w:rsid w:val="00C13D6B"/>
    <w:rsid w:val="00C13F95"/>
    <w:rsid w:val="00C1430D"/>
    <w:rsid w:val="00C1433B"/>
    <w:rsid w:val="00C143AA"/>
    <w:rsid w:val="00C14439"/>
    <w:rsid w:val="00C1446F"/>
    <w:rsid w:val="00C145C7"/>
    <w:rsid w:val="00C145CB"/>
    <w:rsid w:val="00C14722"/>
    <w:rsid w:val="00C14793"/>
    <w:rsid w:val="00C14AAF"/>
    <w:rsid w:val="00C14B0D"/>
    <w:rsid w:val="00C14B45"/>
    <w:rsid w:val="00C14B9D"/>
    <w:rsid w:val="00C14C88"/>
    <w:rsid w:val="00C14EBA"/>
    <w:rsid w:val="00C14FE4"/>
    <w:rsid w:val="00C14FE8"/>
    <w:rsid w:val="00C150A4"/>
    <w:rsid w:val="00C150D5"/>
    <w:rsid w:val="00C150EC"/>
    <w:rsid w:val="00C15211"/>
    <w:rsid w:val="00C154D0"/>
    <w:rsid w:val="00C1551C"/>
    <w:rsid w:val="00C15674"/>
    <w:rsid w:val="00C1568C"/>
    <w:rsid w:val="00C15725"/>
    <w:rsid w:val="00C15988"/>
    <w:rsid w:val="00C1598D"/>
    <w:rsid w:val="00C15AC6"/>
    <w:rsid w:val="00C15AFF"/>
    <w:rsid w:val="00C15B7B"/>
    <w:rsid w:val="00C15CD5"/>
    <w:rsid w:val="00C15E46"/>
    <w:rsid w:val="00C161A0"/>
    <w:rsid w:val="00C162E1"/>
    <w:rsid w:val="00C1635E"/>
    <w:rsid w:val="00C16370"/>
    <w:rsid w:val="00C1638E"/>
    <w:rsid w:val="00C163C3"/>
    <w:rsid w:val="00C163EB"/>
    <w:rsid w:val="00C16691"/>
    <w:rsid w:val="00C166DC"/>
    <w:rsid w:val="00C16760"/>
    <w:rsid w:val="00C1676D"/>
    <w:rsid w:val="00C1679E"/>
    <w:rsid w:val="00C169EF"/>
    <w:rsid w:val="00C16AC1"/>
    <w:rsid w:val="00C16AD9"/>
    <w:rsid w:val="00C16AF0"/>
    <w:rsid w:val="00C16B68"/>
    <w:rsid w:val="00C16D18"/>
    <w:rsid w:val="00C16DA0"/>
    <w:rsid w:val="00C16DFA"/>
    <w:rsid w:val="00C16E3B"/>
    <w:rsid w:val="00C16F01"/>
    <w:rsid w:val="00C17037"/>
    <w:rsid w:val="00C17109"/>
    <w:rsid w:val="00C1712D"/>
    <w:rsid w:val="00C17139"/>
    <w:rsid w:val="00C17199"/>
    <w:rsid w:val="00C171A6"/>
    <w:rsid w:val="00C17208"/>
    <w:rsid w:val="00C17238"/>
    <w:rsid w:val="00C1732C"/>
    <w:rsid w:val="00C17370"/>
    <w:rsid w:val="00C174CD"/>
    <w:rsid w:val="00C1750E"/>
    <w:rsid w:val="00C1757B"/>
    <w:rsid w:val="00C1762C"/>
    <w:rsid w:val="00C17842"/>
    <w:rsid w:val="00C17976"/>
    <w:rsid w:val="00C17992"/>
    <w:rsid w:val="00C17C20"/>
    <w:rsid w:val="00C17C3C"/>
    <w:rsid w:val="00C17C79"/>
    <w:rsid w:val="00C17D45"/>
    <w:rsid w:val="00C17F64"/>
    <w:rsid w:val="00C17FE0"/>
    <w:rsid w:val="00C20068"/>
    <w:rsid w:val="00C20101"/>
    <w:rsid w:val="00C2010B"/>
    <w:rsid w:val="00C2011F"/>
    <w:rsid w:val="00C2018F"/>
    <w:rsid w:val="00C2029B"/>
    <w:rsid w:val="00C20480"/>
    <w:rsid w:val="00C205A0"/>
    <w:rsid w:val="00C2083F"/>
    <w:rsid w:val="00C2084E"/>
    <w:rsid w:val="00C208AA"/>
    <w:rsid w:val="00C20964"/>
    <w:rsid w:val="00C20989"/>
    <w:rsid w:val="00C20A69"/>
    <w:rsid w:val="00C20A99"/>
    <w:rsid w:val="00C20BF4"/>
    <w:rsid w:val="00C20D2F"/>
    <w:rsid w:val="00C20E3E"/>
    <w:rsid w:val="00C20ECE"/>
    <w:rsid w:val="00C20F2B"/>
    <w:rsid w:val="00C21041"/>
    <w:rsid w:val="00C21102"/>
    <w:rsid w:val="00C2111B"/>
    <w:rsid w:val="00C2124D"/>
    <w:rsid w:val="00C2131E"/>
    <w:rsid w:val="00C2145B"/>
    <w:rsid w:val="00C214EE"/>
    <w:rsid w:val="00C2150F"/>
    <w:rsid w:val="00C2155F"/>
    <w:rsid w:val="00C21617"/>
    <w:rsid w:val="00C217D1"/>
    <w:rsid w:val="00C2186F"/>
    <w:rsid w:val="00C21920"/>
    <w:rsid w:val="00C21A9C"/>
    <w:rsid w:val="00C21B8D"/>
    <w:rsid w:val="00C21C9D"/>
    <w:rsid w:val="00C21CEA"/>
    <w:rsid w:val="00C21D2F"/>
    <w:rsid w:val="00C21D9D"/>
    <w:rsid w:val="00C21DDC"/>
    <w:rsid w:val="00C21E0C"/>
    <w:rsid w:val="00C21ED5"/>
    <w:rsid w:val="00C21F1D"/>
    <w:rsid w:val="00C21FB0"/>
    <w:rsid w:val="00C221FE"/>
    <w:rsid w:val="00C222ED"/>
    <w:rsid w:val="00C222FB"/>
    <w:rsid w:val="00C223E9"/>
    <w:rsid w:val="00C22656"/>
    <w:rsid w:val="00C226CE"/>
    <w:rsid w:val="00C22915"/>
    <w:rsid w:val="00C22928"/>
    <w:rsid w:val="00C2293C"/>
    <w:rsid w:val="00C22961"/>
    <w:rsid w:val="00C22981"/>
    <w:rsid w:val="00C2299F"/>
    <w:rsid w:val="00C22A5A"/>
    <w:rsid w:val="00C22B3C"/>
    <w:rsid w:val="00C22C43"/>
    <w:rsid w:val="00C22CCA"/>
    <w:rsid w:val="00C22CD7"/>
    <w:rsid w:val="00C22D8F"/>
    <w:rsid w:val="00C22FB0"/>
    <w:rsid w:val="00C230FB"/>
    <w:rsid w:val="00C231B3"/>
    <w:rsid w:val="00C231CA"/>
    <w:rsid w:val="00C231E9"/>
    <w:rsid w:val="00C23306"/>
    <w:rsid w:val="00C234B7"/>
    <w:rsid w:val="00C235FD"/>
    <w:rsid w:val="00C23642"/>
    <w:rsid w:val="00C237D2"/>
    <w:rsid w:val="00C2393F"/>
    <w:rsid w:val="00C239F5"/>
    <w:rsid w:val="00C23A8D"/>
    <w:rsid w:val="00C23B4A"/>
    <w:rsid w:val="00C23E1F"/>
    <w:rsid w:val="00C23ECA"/>
    <w:rsid w:val="00C23EE3"/>
    <w:rsid w:val="00C23FA6"/>
    <w:rsid w:val="00C241D1"/>
    <w:rsid w:val="00C243AB"/>
    <w:rsid w:val="00C243C5"/>
    <w:rsid w:val="00C243DB"/>
    <w:rsid w:val="00C244D2"/>
    <w:rsid w:val="00C24505"/>
    <w:rsid w:val="00C24545"/>
    <w:rsid w:val="00C24676"/>
    <w:rsid w:val="00C248F3"/>
    <w:rsid w:val="00C2492B"/>
    <w:rsid w:val="00C249BB"/>
    <w:rsid w:val="00C24A7C"/>
    <w:rsid w:val="00C24AB4"/>
    <w:rsid w:val="00C24ACE"/>
    <w:rsid w:val="00C24AD0"/>
    <w:rsid w:val="00C24D05"/>
    <w:rsid w:val="00C24D6F"/>
    <w:rsid w:val="00C24FDD"/>
    <w:rsid w:val="00C2502A"/>
    <w:rsid w:val="00C250BA"/>
    <w:rsid w:val="00C25157"/>
    <w:rsid w:val="00C25158"/>
    <w:rsid w:val="00C251FC"/>
    <w:rsid w:val="00C253C0"/>
    <w:rsid w:val="00C2550E"/>
    <w:rsid w:val="00C2559E"/>
    <w:rsid w:val="00C25665"/>
    <w:rsid w:val="00C25677"/>
    <w:rsid w:val="00C2574B"/>
    <w:rsid w:val="00C25781"/>
    <w:rsid w:val="00C257D1"/>
    <w:rsid w:val="00C258A4"/>
    <w:rsid w:val="00C258B3"/>
    <w:rsid w:val="00C258DE"/>
    <w:rsid w:val="00C2590D"/>
    <w:rsid w:val="00C25A66"/>
    <w:rsid w:val="00C25C2B"/>
    <w:rsid w:val="00C25D46"/>
    <w:rsid w:val="00C25F93"/>
    <w:rsid w:val="00C25FD7"/>
    <w:rsid w:val="00C2607E"/>
    <w:rsid w:val="00C26111"/>
    <w:rsid w:val="00C26196"/>
    <w:rsid w:val="00C266FB"/>
    <w:rsid w:val="00C26801"/>
    <w:rsid w:val="00C26B5B"/>
    <w:rsid w:val="00C270A0"/>
    <w:rsid w:val="00C2728D"/>
    <w:rsid w:val="00C272E5"/>
    <w:rsid w:val="00C27300"/>
    <w:rsid w:val="00C27470"/>
    <w:rsid w:val="00C274A2"/>
    <w:rsid w:val="00C27541"/>
    <w:rsid w:val="00C275CD"/>
    <w:rsid w:val="00C27644"/>
    <w:rsid w:val="00C2769E"/>
    <w:rsid w:val="00C27829"/>
    <w:rsid w:val="00C27914"/>
    <w:rsid w:val="00C2791A"/>
    <w:rsid w:val="00C279AF"/>
    <w:rsid w:val="00C27A9E"/>
    <w:rsid w:val="00C27ACF"/>
    <w:rsid w:val="00C27AD8"/>
    <w:rsid w:val="00C27D1B"/>
    <w:rsid w:val="00C27D6C"/>
    <w:rsid w:val="00C27D78"/>
    <w:rsid w:val="00C2D8F1"/>
    <w:rsid w:val="00C30205"/>
    <w:rsid w:val="00C302EB"/>
    <w:rsid w:val="00C3032B"/>
    <w:rsid w:val="00C30558"/>
    <w:rsid w:val="00C3066E"/>
    <w:rsid w:val="00C3075A"/>
    <w:rsid w:val="00C30762"/>
    <w:rsid w:val="00C30963"/>
    <w:rsid w:val="00C3096D"/>
    <w:rsid w:val="00C309F7"/>
    <w:rsid w:val="00C30A63"/>
    <w:rsid w:val="00C30D93"/>
    <w:rsid w:val="00C30DD0"/>
    <w:rsid w:val="00C30FBF"/>
    <w:rsid w:val="00C31022"/>
    <w:rsid w:val="00C3106D"/>
    <w:rsid w:val="00C310EB"/>
    <w:rsid w:val="00C312B3"/>
    <w:rsid w:val="00C315AB"/>
    <w:rsid w:val="00C31634"/>
    <w:rsid w:val="00C3166B"/>
    <w:rsid w:val="00C316E7"/>
    <w:rsid w:val="00C31803"/>
    <w:rsid w:val="00C31952"/>
    <w:rsid w:val="00C31C6C"/>
    <w:rsid w:val="00C31DE8"/>
    <w:rsid w:val="00C31F51"/>
    <w:rsid w:val="00C320BC"/>
    <w:rsid w:val="00C320F2"/>
    <w:rsid w:val="00C32154"/>
    <w:rsid w:val="00C32457"/>
    <w:rsid w:val="00C3248E"/>
    <w:rsid w:val="00C324D4"/>
    <w:rsid w:val="00C324F1"/>
    <w:rsid w:val="00C3256A"/>
    <w:rsid w:val="00C325AD"/>
    <w:rsid w:val="00C325C6"/>
    <w:rsid w:val="00C32645"/>
    <w:rsid w:val="00C326E2"/>
    <w:rsid w:val="00C327E0"/>
    <w:rsid w:val="00C32808"/>
    <w:rsid w:val="00C32882"/>
    <w:rsid w:val="00C32933"/>
    <w:rsid w:val="00C329D2"/>
    <w:rsid w:val="00C32BC3"/>
    <w:rsid w:val="00C32C02"/>
    <w:rsid w:val="00C32C14"/>
    <w:rsid w:val="00C32D6F"/>
    <w:rsid w:val="00C32DE1"/>
    <w:rsid w:val="00C32E04"/>
    <w:rsid w:val="00C32E07"/>
    <w:rsid w:val="00C32EC0"/>
    <w:rsid w:val="00C32EE3"/>
    <w:rsid w:val="00C33276"/>
    <w:rsid w:val="00C33377"/>
    <w:rsid w:val="00C3341F"/>
    <w:rsid w:val="00C33449"/>
    <w:rsid w:val="00C3350B"/>
    <w:rsid w:val="00C3356E"/>
    <w:rsid w:val="00C3365D"/>
    <w:rsid w:val="00C336FD"/>
    <w:rsid w:val="00C337AD"/>
    <w:rsid w:val="00C3380F"/>
    <w:rsid w:val="00C3391A"/>
    <w:rsid w:val="00C339E7"/>
    <w:rsid w:val="00C33AC9"/>
    <w:rsid w:val="00C33BA9"/>
    <w:rsid w:val="00C33E0C"/>
    <w:rsid w:val="00C33F48"/>
    <w:rsid w:val="00C33FBC"/>
    <w:rsid w:val="00C34022"/>
    <w:rsid w:val="00C341DF"/>
    <w:rsid w:val="00C342F2"/>
    <w:rsid w:val="00C34310"/>
    <w:rsid w:val="00C343EE"/>
    <w:rsid w:val="00C34415"/>
    <w:rsid w:val="00C34662"/>
    <w:rsid w:val="00C346DC"/>
    <w:rsid w:val="00C347E3"/>
    <w:rsid w:val="00C347E5"/>
    <w:rsid w:val="00C34864"/>
    <w:rsid w:val="00C34A3E"/>
    <w:rsid w:val="00C34B4C"/>
    <w:rsid w:val="00C34CC5"/>
    <w:rsid w:val="00C34D81"/>
    <w:rsid w:val="00C35052"/>
    <w:rsid w:val="00C350B4"/>
    <w:rsid w:val="00C351BC"/>
    <w:rsid w:val="00C352BC"/>
    <w:rsid w:val="00C353B8"/>
    <w:rsid w:val="00C354AC"/>
    <w:rsid w:val="00C35592"/>
    <w:rsid w:val="00C35631"/>
    <w:rsid w:val="00C3581B"/>
    <w:rsid w:val="00C35820"/>
    <w:rsid w:val="00C35887"/>
    <w:rsid w:val="00C35999"/>
    <w:rsid w:val="00C35ABB"/>
    <w:rsid w:val="00C35CA2"/>
    <w:rsid w:val="00C35D14"/>
    <w:rsid w:val="00C3618E"/>
    <w:rsid w:val="00C361B1"/>
    <w:rsid w:val="00C362DB"/>
    <w:rsid w:val="00C3636A"/>
    <w:rsid w:val="00C363C8"/>
    <w:rsid w:val="00C3651C"/>
    <w:rsid w:val="00C365F1"/>
    <w:rsid w:val="00C3661D"/>
    <w:rsid w:val="00C3664B"/>
    <w:rsid w:val="00C36669"/>
    <w:rsid w:val="00C36737"/>
    <w:rsid w:val="00C3677E"/>
    <w:rsid w:val="00C367CA"/>
    <w:rsid w:val="00C367F1"/>
    <w:rsid w:val="00C3688E"/>
    <w:rsid w:val="00C368CE"/>
    <w:rsid w:val="00C369C9"/>
    <w:rsid w:val="00C369D7"/>
    <w:rsid w:val="00C36C0D"/>
    <w:rsid w:val="00C36D11"/>
    <w:rsid w:val="00C36F27"/>
    <w:rsid w:val="00C370DF"/>
    <w:rsid w:val="00C3716B"/>
    <w:rsid w:val="00C37178"/>
    <w:rsid w:val="00C37205"/>
    <w:rsid w:val="00C3727B"/>
    <w:rsid w:val="00C3735A"/>
    <w:rsid w:val="00C3737D"/>
    <w:rsid w:val="00C37548"/>
    <w:rsid w:val="00C375AA"/>
    <w:rsid w:val="00C375C1"/>
    <w:rsid w:val="00C37602"/>
    <w:rsid w:val="00C3764D"/>
    <w:rsid w:val="00C37698"/>
    <w:rsid w:val="00C3798C"/>
    <w:rsid w:val="00C37A42"/>
    <w:rsid w:val="00C37A51"/>
    <w:rsid w:val="00C37B13"/>
    <w:rsid w:val="00C37C88"/>
    <w:rsid w:val="00C37CD8"/>
    <w:rsid w:val="00C37E29"/>
    <w:rsid w:val="00C37EAF"/>
    <w:rsid w:val="00C37EBF"/>
    <w:rsid w:val="00C400CC"/>
    <w:rsid w:val="00C400EF"/>
    <w:rsid w:val="00C401E3"/>
    <w:rsid w:val="00C40219"/>
    <w:rsid w:val="00C40291"/>
    <w:rsid w:val="00C40524"/>
    <w:rsid w:val="00C405E0"/>
    <w:rsid w:val="00C405FE"/>
    <w:rsid w:val="00C407BC"/>
    <w:rsid w:val="00C4080A"/>
    <w:rsid w:val="00C40859"/>
    <w:rsid w:val="00C408B2"/>
    <w:rsid w:val="00C40912"/>
    <w:rsid w:val="00C409DB"/>
    <w:rsid w:val="00C40A8A"/>
    <w:rsid w:val="00C40A99"/>
    <w:rsid w:val="00C40AFF"/>
    <w:rsid w:val="00C40C3F"/>
    <w:rsid w:val="00C40D20"/>
    <w:rsid w:val="00C40E70"/>
    <w:rsid w:val="00C410B5"/>
    <w:rsid w:val="00C41151"/>
    <w:rsid w:val="00C41362"/>
    <w:rsid w:val="00C4168D"/>
    <w:rsid w:val="00C4172D"/>
    <w:rsid w:val="00C41A0C"/>
    <w:rsid w:val="00C41A46"/>
    <w:rsid w:val="00C41A7C"/>
    <w:rsid w:val="00C41CC7"/>
    <w:rsid w:val="00C41E20"/>
    <w:rsid w:val="00C41EAC"/>
    <w:rsid w:val="00C4210E"/>
    <w:rsid w:val="00C42194"/>
    <w:rsid w:val="00C421E2"/>
    <w:rsid w:val="00C42483"/>
    <w:rsid w:val="00C42489"/>
    <w:rsid w:val="00C4256C"/>
    <w:rsid w:val="00C425FC"/>
    <w:rsid w:val="00C4270B"/>
    <w:rsid w:val="00C4270F"/>
    <w:rsid w:val="00C42750"/>
    <w:rsid w:val="00C427C3"/>
    <w:rsid w:val="00C428EA"/>
    <w:rsid w:val="00C4290D"/>
    <w:rsid w:val="00C4296E"/>
    <w:rsid w:val="00C42989"/>
    <w:rsid w:val="00C42A7C"/>
    <w:rsid w:val="00C42B27"/>
    <w:rsid w:val="00C42B28"/>
    <w:rsid w:val="00C42CB4"/>
    <w:rsid w:val="00C42D3C"/>
    <w:rsid w:val="00C42DEA"/>
    <w:rsid w:val="00C42F0B"/>
    <w:rsid w:val="00C43078"/>
    <w:rsid w:val="00C431FF"/>
    <w:rsid w:val="00C4333A"/>
    <w:rsid w:val="00C43434"/>
    <w:rsid w:val="00C4368E"/>
    <w:rsid w:val="00C436C9"/>
    <w:rsid w:val="00C437A2"/>
    <w:rsid w:val="00C437A8"/>
    <w:rsid w:val="00C437BE"/>
    <w:rsid w:val="00C4391D"/>
    <w:rsid w:val="00C4397F"/>
    <w:rsid w:val="00C43993"/>
    <w:rsid w:val="00C43C6B"/>
    <w:rsid w:val="00C43CC5"/>
    <w:rsid w:val="00C43CF2"/>
    <w:rsid w:val="00C43F5A"/>
    <w:rsid w:val="00C43F7C"/>
    <w:rsid w:val="00C43FF3"/>
    <w:rsid w:val="00C4407E"/>
    <w:rsid w:val="00C440A3"/>
    <w:rsid w:val="00C4422C"/>
    <w:rsid w:val="00C442B9"/>
    <w:rsid w:val="00C44482"/>
    <w:rsid w:val="00C444EE"/>
    <w:rsid w:val="00C444F6"/>
    <w:rsid w:val="00C44849"/>
    <w:rsid w:val="00C44858"/>
    <w:rsid w:val="00C448DA"/>
    <w:rsid w:val="00C44980"/>
    <w:rsid w:val="00C44CFF"/>
    <w:rsid w:val="00C44EC8"/>
    <w:rsid w:val="00C44FC8"/>
    <w:rsid w:val="00C4503D"/>
    <w:rsid w:val="00C4515A"/>
    <w:rsid w:val="00C4519A"/>
    <w:rsid w:val="00C45381"/>
    <w:rsid w:val="00C45386"/>
    <w:rsid w:val="00C453C9"/>
    <w:rsid w:val="00C453DA"/>
    <w:rsid w:val="00C454B9"/>
    <w:rsid w:val="00C457D2"/>
    <w:rsid w:val="00C458DA"/>
    <w:rsid w:val="00C45981"/>
    <w:rsid w:val="00C45B6A"/>
    <w:rsid w:val="00C45CC5"/>
    <w:rsid w:val="00C45DCA"/>
    <w:rsid w:val="00C45EDF"/>
    <w:rsid w:val="00C45EF7"/>
    <w:rsid w:val="00C45FA1"/>
    <w:rsid w:val="00C46139"/>
    <w:rsid w:val="00C46150"/>
    <w:rsid w:val="00C461B2"/>
    <w:rsid w:val="00C4628E"/>
    <w:rsid w:val="00C46371"/>
    <w:rsid w:val="00C46483"/>
    <w:rsid w:val="00C464A9"/>
    <w:rsid w:val="00C4656D"/>
    <w:rsid w:val="00C465C0"/>
    <w:rsid w:val="00C46740"/>
    <w:rsid w:val="00C46766"/>
    <w:rsid w:val="00C467FE"/>
    <w:rsid w:val="00C4681E"/>
    <w:rsid w:val="00C46880"/>
    <w:rsid w:val="00C46889"/>
    <w:rsid w:val="00C46924"/>
    <w:rsid w:val="00C46CB7"/>
    <w:rsid w:val="00C46F53"/>
    <w:rsid w:val="00C46F8A"/>
    <w:rsid w:val="00C46FE5"/>
    <w:rsid w:val="00C47010"/>
    <w:rsid w:val="00C47158"/>
    <w:rsid w:val="00C473C1"/>
    <w:rsid w:val="00C47446"/>
    <w:rsid w:val="00C47492"/>
    <w:rsid w:val="00C4752A"/>
    <w:rsid w:val="00C47660"/>
    <w:rsid w:val="00C47771"/>
    <w:rsid w:val="00C477E1"/>
    <w:rsid w:val="00C478CB"/>
    <w:rsid w:val="00C47908"/>
    <w:rsid w:val="00C4796D"/>
    <w:rsid w:val="00C47AA5"/>
    <w:rsid w:val="00C47AAD"/>
    <w:rsid w:val="00C47C3F"/>
    <w:rsid w:val="00C47C44"/>
    <w:rsid w:val="00C47CBF"/>
    <w:rsid w:val="00C47D24"/>
    <w:rsid w:val="00C47D7F"/>
    <w:rsid w:val="00C47E44"/>
    <w:rsid w:val="00C47EA4"/>
    <w:rsid w:val="00C47F31"/>
    <w:rsid w:val="00C47FF7"/>
    <w:rsid w:val="00C50031"/>
    <w:rsid w:val="00C5005E"/>
    <w:rsid w:val="00C500EF"/>
    <w:rsid w:val="00C500F7"/>
    <w:rsid w:val="00C50114"/>
    <w:rsid w:val="00C5021D"/>
    <w:rsid w:val="00C50239"/>
    <w:rsid w:val="00C503B0"/>
    <w:rsid w:val="00C503C1"/>
    <w:rsid w:val="00C503DE"/>
    <w:rsid w:val="00C50420"/>
    <w:rsid w:val="00C505F0"/>
    <w:rsid w:val="00C505FB"/>
    <w:rsid w:val="00C50693"/>
    <w:rsid w:val="00C508B7"/>
    <w:rsid w:val="00C50914"/>
    <w:rsid w:val="00C50983"/>
    <w:rsid w:val="00C50B9C"/>
    <w:rsid w:val="00C50BAF"/>
    <w:rsid w:val="00C50C05"/>
    <w:rsid w:val="00C50C4D"/>
    <w:rsid w:val="00C50D14"/>
    <w:rsid w:val="00C50D2B"/>
    <w:rsid w:val="00C50D80"/>
    <w:rsid w:val="00C50DA0"/>
    <w:rsid w:val="00C50F53"/>
    <w:rsid w:val="00C50FE1"/>
    <w:rsid w:val="00C510F2"/>
    <w:rsid w:val="00C51243"/>
    <w:rsid w:val="00C51388"/>
    <w:rsid w:val="00C513BE"/>
    <w:rsid w:val="00C515E1"/>
    <w:rsid w:val="00C5160F"/>
    <w:rsid w:val="00C51763"/>
    <w:rsid w:val="00C5184B"/>
    <w:rsid w:val="00C5187A"/>
    <w:rsid w:val="00C51899"/>
    <w:rsid w:val="00C51A53"/>
    <w:rsid w:val="00C51AEC"/>
    <w:rsid w:val="00C51C3E"/>
    <w:rsid w:val="00C51CF0"/>
    <w:rsid w:val="00C51CF8"/>
    <w:rsid w:val="00C51D06"/>
    <w:rsid w:val="00C51D64"/>
    <w:rsid w:val="00C51E9D"/>
    <w:rsid w:val="00C52044"/>
    <w:rsid w:val="00C5220E"/>
    <w:rsid w:val="00C522AE"/>
    <w:rsid w:val="00C524E7"/>
    <w:rsid w:val="00C52504"/>
    <w:rsid w:val="00C525C3"/>
    <w:rsid w:val="00C52606"/>
    <w:rsid w:val="00C527F0"/>
    <w:rsid w:val="00C52884"/>
    <w:rsid w:val="00C528A2"/>
    <w:rsid w:val="00C528BD"/>
    <w:rsid w:val="00C529FD"/>
    <w:rsid w:val="00C52BE7"/>
    <w:rsid w:val="00C52C2C"/>
    <w:rsid w:val="00C52CE6"/>
    <w:rsid w:val="00C52D2E"/>
    <w:rsid w:val="00C52DB2"/>
    <w:rsid w:val="00C52F67"/>
    <w:rsid w:val="00C530E8"/>
    <w:rsid w:val="00C5311B"/>
    <w:rsid w:val="00C53133"/>
    <w:rsid w:val="00C53183"/>
    <w:rsid w:val="00C531AC"/>
    <w:rsid w:val="00C532E5"/>
    <w:rsid w:val="00C532F6"/>
    <w:rsid w:val="00C53312"/>
    <w:rsid w:val="00C53437"/>
    <w:rsid w:val="00C53463"/>
    <w:rsid w:val="00C53644"/>
    <w:rsid w:val="00C536E5"/>
    <w:rsid w:val="00C536F6"/>
    <w:rsid w:val="00C53752"/>
    <w:rsid w:val="00C537C6"/>
    <w:rsid w:val="00C53832"/>
    <w:rsid w:val="00C5384C"/>
    <w:rsid w:val="00C53BDF"/>
    <w:rsid w:val="00C53CDB"/>
    <w:rsid w:val="00C53CFF"/>
    <w:rsid w:val="00C53D3E"/>
    <w:rsid w:val="00C53E33"/>
    <w:rsid w:val="00C53E7F"/>
    <w:rsid w:val="00C53E89"/>
    <w:rsid w:val="00C53EDD"/>
    <w:rsid w:val="00C53EEA"/>
    <w:rsid w:val="00C53F9E"/>
    <w:rsid w:val="00C54126"/>
    <w:rsid w:val="00C541DC"/>
    <w:rsid w:val="00C542B2"/>
    <w:rsid w:val="00C5435A"/>
    <w:rsid w:val="00C54390"/>
    <w:rsid w:val="00C543F6"/>
    <w:rsid w:val="00C54427"/>
    <w:rsid w:val="00C5442C"/>
    <w:rsid w:val="00C54687"/>
    <w:rsid w:val="00C54784"/>
    <w:rsid w:val="00C548FC"/>
    <w:rsid w:val="00C549D3"/>
    <w:rsid w:val="00C54B1B"/>
    <w:rsid w:val="00C54B34"/>
    <w:rsid w:val="00C54B95"/>
    <w:rsid w:val="00C54F46"/>
    <w:rsid w:val="00C54F9F"/>
    <w:rsid w:val="00C54FC3"/>
    <w:rsid w:val="00C5500E"/>
    <w:rsid w:val="00C55011"/>
    <w:rsid w:val="00C5504C"/>
    <w:rsid w:val="00C550B7"/>
    <w:rsid w:val="00C55284"/>
    <w:rsid w:val="00C553ED"/>
    <w:rsid w:val="00C55524"/>
    <w:rsid w:val="00C55556"/>
    <w:rsid w:val="00C5559F"/>
    <w:rsid w:val="00C55669"/>
    <w:rsid w:val="00C5576A"/>
    <w:rsid w:val="00C557CC"/>
    <w:rsid w:val="00C557D1"/>
    <w:rsid w:val="00C557D4"/>
    <w:rsid w:val="00C558A3"/>
    <w:rsid w:val="00C5598A"/>
    <w:rsid w:val="00C55A19"/>
    <w:rsid w:val="00C55A31"/>
    <w:rsid w:val="00C55A91"/>
    <w:rsid w:val="00C55B02"/>
    <w:rsid w:val="00C55B24"/>
    <w:rsid w:val="00C55BA0"/>
    <w:rsid w:val="00C55C6B"/>
    <w:rsid w:val="00C55F96"/>
    <w:rsid w:val="00C56020"/>
    <w:rsid w:val="00C562B2"/>
    <w:rsid w:val="00C56363"/>
    <w:rsid w:val="00C5636D"/>
    <w:rsid w:val="00C56393"/>
    <w:rsid w:val="00C563EE"/>
    <w:rsid w:val="00C564A0"/>
    <w:rsid w:val="00C564D2"/>
    <w:rsid w:val="00C567E5"/>
    <w:rsid w:val="00C56803"/>
    <w:rsid w:val="00C568E5"/>
    <w:rsid w:val="00C5693E"/>
    <w:rsid w:val="00C5694D"/>
    <w:rsid w:val="00C56A00"/>
    <w:rsid w:val="00C56A0D"/>
    <w:rsid w:val="00C56ADD"/>
    <w:rsid w:val="00C56AE6"/>
    <w:rsid w:val="00C56B14"/>
    <w:rsid w:val="00C56CEC"/>
    <w:rsid w:val="00C56F22"/>
    <w:rsid w:val="00C5715F"/>
    <w:rsid w:val="00C571EE"/>
    <w:rsid w:val="00C57303"/>
    <w:rsid w:val="00C57398"/>
    <w:rsid w:val="00C57672"/>
    <w:rsid w:val="00C576D2"/>
    <w:rsid w:val="00C5773A"/>
    <w:rsid w:val="00C578D4"/>
    <w:rsid w:val="00C578F5"/>
    <w:rsid w:val="00C579A2"/>
    <w:rsid w:val="00C57A35"/>
    <w:rsid w:val="00C57B74"/>
    <w:rsid w:val="00C57B9B"/>
    <w:rsid w:val="00C57CCC"/>
    <w:rsid w:val="00C57D2F"/>
    <w:rsid w:val="00C57D3F"/>
    <w:rsid w:val="00C57DA7"/>
    <w:rsid w:val="00C57E2B"/>
    <w:rsid w:val="00C57E37"/>
    <w:rsid w:val="00C57F3B"/>
    <w:rsid w:val="00C57F9D"/>
    <w:rsid w:val="00C60246"/>
    <w:rsid w:val="00C60268"/>
    <w:rsid w:val="00C602B4"/>
    <w:rsid w:val="00C6035A"/>
    <w:rsid w:val="00C6037A"/>
    <w:rsid w:val="00C607E5"/>
    <w:rsid w:val="00C6080C"/>
    <w:rsid w:val="00C6096D"/>
    <w:rsid w:val="00C609C5"/>
    <w:rsid w:val="00C60BE0"/>
    <w:rsid w:val="00C60D2E"/>
    <w:rsid w:val="00C60E29"/>
    <w:rsid w:val="00C60ECA"/>
    <w:rsid w:val="00C60ECC"/>
    <w:rsid w:val="00C61081"/>
    <w:rsid w:val="00C610B7"/>
    <w:rsid w:val="00C6115C"/>
    <w:rsid w:val="00C611EA"/>
    <w:rsid w:val="00C611F7"/>
    <w:rsid w:val="00C614F7"/>
    <w:rsid w:val="00C6162D"/>
    <w:rsid w:val="00C61672"/>
    <w:rsid w:val="00C616B8"/>
    <w:rsid w:val="00C61753"/>
    <w:rsid w:val="00C618B3"/>
    <w:rsid w:val="00C61C20"/>
    <w:rsid w:val="00C61CF2"/>
    <w:rsid w:val="00C61DD8"/>
    <w:rsid w:val="00C61E4C"/>
    <w:rsid w:val="00C61E60"/>
    <w:rsid w:val="00C61F21"/>
    <w:rsid w:val="00C6206F"/>
    <w:rsid w:val="00C620B7"/>
    <w:rsid w:val="00C62300"/>
    <w:rsid w:val="00C62393"/>
    <w:rsid w:val="00C623B8"/>
    <w:rsid w:val="00C623F8"/>
    <w:rsid w:val="00C62427"/>
    <w:rsid w:val="00C6252E"/>
    <w:rsid w:val="00C6257C"/>
    <w:rsid w:val="00C627A5"/>
    <w:rsid w:val="00C627C4"/>
    <w:rsid w:val="00C628D9"/>
    <w:rsid w:val="00C628FA"/>
    <w:rsid w:val="00C6295B"/>
    <w:rsid w:val="00C629BD"/>
    <w:rsid w:val="00C62ACD"/>
    <w:rsid w:val="00C62B94"/>
    <w:rsid w:val="00C62CD6"/>
    <w:rsid w:val="00C62D53"/>
    <w:rsid w:val="00C62F5E"/>
    <w:rsid w:val="00C63038"/>
    <w:rsid w:val="00C63044"/>
    <w:rsid w:val="00C6313B"/>
    <w:rsid w:val="00C631F0"/>
    <w:rsid w:val="00C6327D"/>
    <w:rsid w:val="00C63399"/>
    <w:rsid w:val="00C63484"/>
    <w:rsid w:val="00C636D3"/>
    <w:rsid w:val="00C636FF"/>
    <w:rsid w:val="00C63AE1"/>
    <w:rsid w:val="00C63B43"/>
    <w:rsid w:val="00C63B93"/>
    <w:rsid w:val="00C63C9C"/>
    <w:rsid w:val="00C63E22"/>
    <w:rsid w:val="00C64151"/>
    <w:rsid w:val="00C641E8"/>
    <w:rsid w:val="00C641F7"/>
    <w:rsid w:val="00C642CB"/>
    <w:rsid w:val="00C6448B"/>
    <w:rsid w:val="00C644AA"/>
    <w:rsid w:val="00C644CA"/>
    <w:rsid w:val="00C644E2"/>
    <w:rsid w:val="00C64591"/>
    <w:rsid w:val="00C64658"/>
    <w:rsid w:val="00C64745"/>
    <w:rsid w:val="00C64868"/>
    <w:rsid w:val="00C6494D"/>
    <w:rsid w:val="00C64B60"/>
    <w:rsid w:val="00C64C44"/>
    <w:rsid w:val="00C64D69"/>
    <w:rsid w:val="00C64EAE"/>
    <w:rsid w:val="00C64F52"/>
    <w:rsid w:val="00C64F79"/>
    <w:rsid w:val="00C64FC9"/>
    <w:rsid w:val="00C65162"/>
    <w:rsid w:val="00C6520E"/>
    <w:rsid w:val="00C65315"/>
    <w:rsid w:val="00C65462"/>
    <w:rsid w:val="00C654D5"/>
    <w:rsid w:val="00C65526"/>
    <w:rsid w:val="00C6552C"/>
    <w:rsid w:val="00C656E8"/>
    <w:rsid w:val="00C65720"/>
    <w:rsid w:val="00C6576C"/>
    <w:rsid w:val="00C6581B"/>
    <w:rsid w:val="00C65833"/>
    <w:rsid w:val="00C65A1B"/>
    <w:rsid w:val="00C65B14"/>
    <w:rsid w:val="00C65B97"/>
    <w:rsid w:val="00C65BB6"/>
    <w:rsid w:val="00C65BC6"/>
    <w:rsid w:val="00C65C56"/>
    <w:rsid w:val="00C65C9C"/>
    <w:rsid w:val="00C6603F"/>
    <w:rsid w:val="00C66098"/>
    <w:rsid w:val="00C660C1"/>
    <w:rsid w:val="00C6615D"/>
    <w:rsid w:val="00C66259"/>
    <w:rsid w:val="00C66488"/>
    <w:rsid w:val="00C66554"/>
    <w:rsid w:val="00C66610"/>
    <w:rsid w:val="00C666EE"/>
    <w:rsid w:val="00C6672D"/>
    <w:rsid w:val="00C66755"/>
    <w:rsid w:val="00C66783"/>
    <w:rsid w:val="00C66A95"/>
    <w:rsid w:val="00C66B68"/>
    <w:rsid w:val="00C66BBC"/>
    <w:rsid w:val="00C66CF7"/>
    <w:rsid w:val="00C66D0E"/>
    <w:rsid w:val="00C66D0F"/>
    <w:rsid w:val="00C66D46"/>
    <w:rsid w:val="00C66FCA"/>
    <w:rsid w:val="00C6711C"/>
    <w:rsid w:val="00C67184"/>
    <w:rsid w:val="00C67244"/>
    <w:rsid w:val="00C67281"/>
    <w:rsid w:val="00C672B6"/>
    <w:rsid w:val="00C672E4"/>
    <w:rsid w:val="00C67404"/>
    <w:rsid w:val="00C6742C"/>
    <w:rsid w:val="00C675BB"/>
    <w:rsid w:val="00C676E7"/>
    <w:rsid w:val="00C676ED"/>
    <w:rsid w:val="00C677EC"/>
    <w:rsid w:val="00C6783C"/>
    <w:rsid w:val="00C6786C"/>
    <w:rsid w:val="00C679BC"/>
    <w:rsid w:val="00C67A0D"/>
    <w:rsid w:val="00C67A4B"/>
    <w:rsid w:val="00C67BBA"/>
    <w:rsid w:val="00C67CDD"/>
    <w:rsid w:val="00C67D3B"/>
    <w:rsid w:val="00C704E9"/>
    <w:rsid w:val="00C7057C"/>
    <w:rsid w:val="00C7073D"/>
    <w:rsid w:val="00C70862"/>
    <w:rsid w:val="00C70890"/>
    <w:rsid w:val="00C70928"/>
    <w:rsid w:val="00C70BD0"/>
    <w:rsid w:val="00C70C48"/>
    <w:rsid w:val="00C70D6D"/>
    <w:rsid w:val="00C70D8D"/>
    <w:rsid w:val="00C70E09"/>
    <w:rsid w:val="00C70EE6"/>
    <w:rsid w:val="00C70F73"/>
    <w:rsid w:val="00C70F83"/>
    <w:rsid w:val="00C7102F"/>
    <w:rsid w:val="00C710CB"/>
    <w:rsid w:val="00C711BD"/>
    <w:rsid w:val="00C711E9"/>
    <w:rsid w:val="00C712D4"/>
    <w:rsid w:val="00C7137D"/>
    <w:rsid w:val="00C71532"/>
    <w:rsid w:val="00C71603"/>
    <w:rsid w:val="00C71611"/>
    <w:rsid w:val="00C7166F"/>
    <w:rsid w:val="00C716C5"/>
    <w:rsid w:val="00C7186A"/>
    <w:rsid w:val="00C718E9"/>
    <w:rsid w:val="00C71953"/>
    <w:rsid w:val="00C71A54"/>
    <w:rsid w:val="00C71C6D"/>
    <w:rsid w:val="00C71E60"/>
    <w:rsid w:val="00C71F42"/>
    <w:rsid w:val="00C72006"/>
    <w:rsid w:val="00C720C8"/>
    <w:rsid w:val="00C72126"/>
    <w:rsid w:val="00C72458"/>
    <w:rsid w:val="00C72459"/>
    <w:rsid w:val="00C7248E"/>
    <w:rsid w:val="00C724B8"/>
    <w:rsid w:val="00C724EE"/>
    <w:rsid w:val="00C724F7"/>
    <w:rsid w:val="00C72587"/>
    <w:rsid w:val="00C72765"/>
    <w:rsid w:val="00C7290A"/>
    <w:rsid w:val="00C72BF0"/>
    <w:rsid w:val="00C72DCA"/>
    <w:rsid w:val="00C72E35"/>
    <w:rsid w:val="00C72F9B"/>
    <w:rsid w:val="00C72FB4"/>
    <w:rsid w:val="00C73012"/>
    <w:rsid w:val="00C731FD"/>
    <w:rsid w:val="00C73281"/>
    <w:rsid w:val="00C73370"/>
    <w:rsid w:val="00C734E6"/>
    <w:rsid w:val="00C73508"/>
    <w:rsid w:val="00C73587"/>
    <w:rsid w:val="00C73660"/>
    <w:rsid w:val="00C736C6"/>
    <w:rsid w:val="00C73832"/>
    <w:rsid w:val="00C7385F"/>
    <w:rsid w:val="00C73874"/>
    <w:rsid w:val="00C73A00"/>
    <w:rsid w:val="00C73B04"/>
    <w:rsid w:val="00C73B34"/>
    <w:rsid w:val="00C73BD5"/>
    <w:rsid w:val="00C73C70"/>
    <w:rsid w:val="00C73D23"/>
    <w:rsid w:val="00C740AE"/>
    <w:rsid w:val="00C74153"/>
    <w:rsid w:val="00C742C3"/>
    <w:rsid w:val="00C74316"/>
    <w:rsid w:val="00C74391"/>
    <w:rsid w:val="00C7449D"/>
    <w:rsid w:val="00C744B5"/>
    <w:rsid w:val="00C7467A"/>
    <w:rsid w:val="00C746AF"/>
    <w:rsid w:val="00C747AE"/>
    <w:rsid w:val="00C747AF"/>
    <w:rsid w:val="00C749AA"/>
    <w:rsid w:val="00C749D0"/>
    <w:rsid w:val="00C74B13"/>
    <w:rsid w:val="00C74B39"/>
    <w:rsid w:val="00C74C3F"/>
    <w:rsid w:val="00C74DC1"/>
    <w:rsid w:val="00C7502E"/>
    <w:rsid w:val="00C750C5"/>
    <w:rsid w:val="00C750FC"/>
    <w:rsid w:val="00C75135"/>
    <w:rsid w:val="00C75333"/>
    <w:rsid w:val="00C75358"/>
    <w:rsid w:val="00C75452"/>
    <w:rsid w:val="00C754F0"/>
    <w:rsid w:val="00C754F1"/>
    <w:rsid w:val="00C7581B"/>
    <w:rsid w:val="00C758AA"/>
    <w:rsid w:val="00C75938"/>
    <w:rsid w:val="00C75963"/>
    <w:rsid w:val="00C759E6"/>
    <w:rsid w:val="00C75B03"/>
    <w:rsid w:val="00C75DC3"/>
    <w:rsid w:val="00C75F67"/>
    <w:rsid w:val="00C75FB6"/>
    <w:rsid w:val="00C75FBA"/>
    <w:rsid w:val="00C75FDF"/>
    <w:rsid w:val="00C76252"/>
    <w:rsid w:val="00C76453"/>
    <w:rsid w:val="00C7652C"/>
    <w:rsid w:val="00C765F3"/>
    <w:rsid w:val="00C76738"/>
    <w:rsid w:val="00C7684D"/>
    <w:rsid w:val="00C769A1"/>
    <w:rsid w:val="00C769E1"/>
    <w:rsid w:val="00C76A07"/>
    <w:rsid w:val="00C76B68"/>
    <w:rsid w:val="00C76C3B"/>
    <w:rsid w:val="00C76C71"/>
    <w:rsid w:val="00C76CE6"/>
    <w:rsid w:val="00C76D0B"/>
    <w:rsid w:val="00C76D3F"/>
    <w:rsid w:val="00C76D53"/>
    <w:rsid w:val="00C76E5D"/>
    <w:rsid w:val="00C76EFB"/>
    <w:rsid w:val="00C77026"/>
    <w:rsid w:val="00C77119"/>
    <w:rsid w:val="00C7711C"/>
    <w:rsid w:val="00C77128"/>
    <w:rsid w:val="00C772A5"/>
    <w:rsid w:val="00C775B0"/>
    <w:rsid w:val="00C775FD"/>
    <w:rsid w:val="00C7765F"/>
    <w:rsid w:val="00C776CE"/>
    <w:rsid w:val="00C77821"/>
    <w:rsid w:val="00C7791C"/>
    <w:rsid w:val="00C77964"/>
    <w:rsid w:val="00C77977"/>
    <w:rsid w:val="00C7797B"/>
    <w:rsid w:val="00C77991"/>
    <w:rsid w:val="00C77A6C"/>
    <w:rsid w:val="00C77AF0"/>
    <w:rsid w:val="00C77E24"/>
    <w:rsid w:val="00C77F4B"/>
    <w:rsid w:val="00C8013C"/>
    <w:rsid w:val="00C802F9"/>
    <w:rsid w:val="00C805FF"/>
    <w:rsid w:val="00C8063B"/>
    <w:rsid w:val="00C806C5"/>
    <w:rsid w:val="00C806CB"/>
    <w:rsid w:val="00C8091A"/>
    <w:rsid w:val="00C80960"/>
    <w:rsid w:val="00C809DF"/>
    <w:rsid w:val="00C80A19"/>
    <w:rsid w:val="00C80CAD"/>
    <w:rsid w:val="00C80D70"/>
    <w:rsid w:val="00C80DBB"/>
    <w:rsid w:val="00C80E0B"/>
    <w:rsid w:val="00C8119F"/>
    <w:rsid w:val="00C81214"/>
    <w:rsid w:val="00C81313"/>
    <w:rsid w:val="00C81334"/>
    <w:rsid w:val="00C8148E"/>
    <w:rsid w:val="00C8149F"/>
    <w:rsid w:val="00C81692"/>
    <w:rsid w:val="00C8171B"/>
    <w:rsid w:val="00C8183E"/>
    <w:rsid w:val="00C818CD"/>
    <w:rsid w:val="00C81900"/>
    <w:rsid w:val="00C819CA"/>
    <w:rsid w:val="00C81D15"/>
    <w:rsid w:val="00C81D25"/>
    <w:rsid w:val="00C81D2B"/>
    <w:rsid w:val="00C81DA5"/>
    <w:rsid w:val="00C81DB1"/>
    <w:rsid w:val="00C81DDD"/>
    <w:rsid w:val="00C81E25"/>
    <w:rsid w:val="00C81EDC"/>
    <w:rsid w:val="00C81FFF"/>
    <w:rsid w:val="00C82046"/>
    <w:rsid w:val="00C8208B"/>
    <w:rsid w:val="00C820D2"/>
    <w:rsid w:val="00C821FE"/>
    <w:rsid w:val="00C82277"/>
    <w:rsid w:val="00C8228B"/>
    <w:rsid w:val="00C82296"/>
    <w:rsid w:val="00C822A1"/>
    <w:rsid w:val="00C822B6"/>
    <w:rsid w:val="00C82315"/>
    <w:rsid w:val="00C824D3"/>
    <w:rsid w:val="00C825CE"/>
    <w:rsid w:val="00C826E9"/>
    <w:rsid w:val="00C82733"/>
    <w:rsid w:val="00C828F6"/>
    <w:rsid w:val="00C8298C"/>
    <w:rsid w:val="00C82D42"/>
    <w:rsid w:val="00C82D55"/>
    <w:rsid w:val="00C82FC3"/>
    <w:rsid w:val="00C82FF8"/>
    <w:rsid w:val="00C83134"/>
    <w:rsid w:val="00C83139"/>
    <w:rsid w:val="00C831D1"/>
    <w:rsid w:val="00C832F1"/>
    <w:rsid w:val="00C83627"/>
    <w:rsid w:val="00C83648"/>
    <w:rsid w:val="00C836B0"/>
    <w:rsid w:val="00C83753"/>
    <w:rsid w:val="00C8384F"/>
    <w:rsid w:val="00C83A00"/>
    <w:rsid w:val="00C83AFF"/>
    <w:rsid w:val="00C83B3A"/>
    <w:rsid w:val="00C83D5C"/>
    <w:rsid w:val="00C83D5E"/>
    <w:rsid w:val="00C83DC6"/>
    <w:rsid w:val="00C83E89"/>
    <w:rsid w:val="00C84053"/>
    <w:rsid w:val="00C8406C"/>
    <w:rsid w:val="00C840E7"/>
    <w:rsid w:val="00C842BF"/>
    <w:rsid w:val="00C84315"/>
    <w:rsid w:val="00C8435D"/>
    <w:rsid w:val="00C84559"/>
    <w:rsid w:val="00C845E2"/>
    <w:rsid w:val="00C8460C"/>
    <w:rsid w:val="00C84675"/>
    <w:rsid w:val="00C84719"/>
    <w:rsid w:val="00C84858"/>
    <w:rsid w:val="00C8489F"/>
    <w:rsid w:val="00C84BBD"/>
    <w:rsid w:val="00C84C07"/>
    <w:rsid w:val="00C84C59"/>
    <w:rsid w:val="00C84D6D"/>
    <w:rsid w:val="00C84EB1"/>
    <w:rsid w:val="00C84EF2"/>
    <w:rsid w:val="00C84F55"/>
    <w:rsid w:val="00C84FAC"/>
    <w:rsid w:val="00C84FE6"/>
    <w:rsid w:val="00C8523B"/>
    <w:rsid w:val="00C85258"/>
    <w:rsid w:val="00C85460"/>
    <w:rsid w:val="00C854F3"/>
    <w:rsid w:val="00C85766"/>
    <w:rsid w:val="00C857E4"/>
    <w:rsid w:val="00C85882"/>
    <w:rsid w:val="00C858AA"/>
    <w:rsid w:val="00C8595C"/>
    <w:rsid w:val="00C85C36"/>
    <w:rsid w:val="00C85D14"/>
    <w:rsid w:val="00C85E22"/>
    <w:rsid w:val="00C85F69"/>
    <w:rsid w:val="00C85F9E"/>
    <w:rsid w:val="00C85FC3"/>
    <w:rsid w:val="00C8603C"/>
    <w:rsid w:val="00C86062"/>
    <w:rsid w:val="00C860F9"/>
    <w:rsid w:val="00C86171"/>
    <w:rsid w:val="00C86190"/>
    <w:rsid w:val="00C86309"/>
    <w:rsid w:val="00C8664D"/>
    <w:rsid w:val="00C86819"/>
    <w:rsid w:val="00C869B8"/>
    <w:rsid w:val="00C86A53"/>
    <w:rsid w:val="00C86AAF"/>
    <w:rsid w:val="00C86AE2"/>
    <w:rsid w:val="00C86B81"/>
    <w:rsid w:val="00C86CF3"/>
    <w:rsid w:val="00C86CF4"/>
    <w:rsid w:val="00C86E69"/>
    <w:rsid w:val="00C86F22"/>
    <w:rsid w:val="00C8714B"/>
    <w:rsid w:val="00C8733D"/>
    <w:rsid w:val="00C8737C"/>
    <w:rsid w:val="00C87396"/>
    <w:rsid w:val="00C87428"/>
    <w:rsid w:val="00C8749E"/>
    <w:rsid w:val="00C8750E"/>
    <w:rsid w:val="00C8755D"/>
    <w:rsid w:val="00C87623"/>
    <w:rsid w:val="00C876F2"/>
    <w:rsid w:val="00C878CF"/>
    <w:rsid w:val="00C87943"/>
    <w:rsid w:val="00C879C8"/>
    <w:rsid w:val="00C87A69"/>
    <w:rsid w:val="00C87AE2"/>
    <w:rsid w:val="00C87C4B"/>
    <w:rsid w:val="00C87EC5"/>
    <w:rsid w:val="00C87F0F"/>
    <w:rsid w:val="00C9001B"/>
    <w:rsid w:val="00C90041"/>
    <w:rsid w:val="00C90154"/>
    <w:rsid w:val="00C90232"/>
    <w:rsid w:val="00C90392"/>
    <w:rsid w:val="00C906BF"/>
    <w:rsid w:val="00C90821"/>
    <w:rsid w:val="00C90A61"/>
    <w:rsid w:val="00C90A7A"/>
    <w:rsid w:val="00C90C14"/>
    <w:rsid w:val="00C90D0A"/>
    <w:rsid w:val="00C90DD7"/>
    <w:rsid w:val="00C90EFF"/>
    <w:rsid w:val="00C90FAC"/>
    <w:rsid w:val="00C9112D"/>
    <w:rsid w:val="00C9116C"/>
    <w:rsid w:val="00C91255"/>
    <w:rsid w:val="00C912D5"/>
    <w:rsid w:val="00C91363"/>
    <w:rsid w:val="00C913DE"/>
    <w:rsid w:val="00C91431"/>
    <w:rsid w:val="00C91476"/>
    <w:rsid w:val="00C914BF"/>
    <w:rsid w:val="00C9153D"/>
    <w:rsid w:val="00C915D2"/>
    <w:rsid w:val="00C9195A"/>
    <w:rsid w:val="00C91961"/>
    <w:rsid w:val="00C919A9"/>
    <w:rsid w:val="00C919DC"/>
    <w:rsid w:val="00C91A38"/>
    <w:rsid w:val="00C91A66"/>
    <w:rsid w:val="00C91AF0"/>
    <w:rsid w:val="00C91B4D"/>
    <w:rsid w:val="00C91BA6"/>
    <w:rsid w:val="00C91CCF"/>
    <w:rsid w:val="00C91D22"/>
    <w:rsid w:val="00C92014"/>
    <w:rsid w:val="00C92086"/>
    <w:rsid w:val="00C9236B"/>
    <w:rsid w:val="00C92442"/>
    <w:rsid w:val="00C9255C"/>
    <w:rsid w:val="00C926D0"/>
    <w:rsid w:val="00C92815"/>
    <w:rsid w:val="00C92827"/>
    <w:rsid w:val="00C929AC"/>
    <w:rsid w:val="00C92A24"/>
    <w:rsid w:val="00C92A98"/>
    <w:rsid w:val="00C92ABD"/>
    <w:rsid w:val="00C92C8A"/>
    <w:rsid w:val="00C92E90"/>
    <w:rsid w:val="00C92FE9"/>
    <w:rsid w:val="00C93080"/>
    <w:rsid w:val="00C93131"/>
    <w:rsid w:val="00C9317B"/>
    <w:rsid w:val="00C931B8"/>
    <w:rsid w:val="00C9325C"/>
    <w:rsid w:val="00C932B2"/>
    <w:rsid w:val="00C9336B"/>
    <w:rsid w:val="00C9356C"/>
    <w:rsid w:val="00C93584"/>
    <w:rsid w:val="00C9366E"/>
    <w:rsid w:val="00C936A8"/>
    <w:rsid w:val="00C93710"/>
    <w:rsid w:val="00C9379D"/>
    <w:rsid w:val="00C937AA"/>
    <w:rsid w:val="00C938DB"/>
    <w:rsid w:val="00C93913"/>
    <w:rsid w:val="00C93A3E"/>
    <w:rsid w:val="00C93BC5"/>
    <w:rsid w:val="00C93C1F"/>
    <w:rsid w:val="00C93C42"/>
    <w:rsid w:val="00C93EF4"/>
    <w:rsid w:val="00C93F38"/>
    <w:rsid w:val="00C93F5C"/>
    <w:rsid w:val="00C94078"/>
    <w:rsid w:val="00C940B3"/>
    <w:rsid w:val="00C94109"/>
    <w:rsid w:val="00C94264"/>
    <w:rsid w:val="00C943D3"/>
    <w:rsid w:val="00C944A2"/>
    <w:rsid w:val="00C944A4"/>
    <w:rsid w:val="00C944DF"/>
    <w:rsid w:val="00C944E4"/>
    <w:rsid w:val="00C94545"/>
    <w:rsid w:val="00C9458E"/>
    <w:rsid w:val="00C947B2"/>
    <w:rsid w:val="00C94918"/>
    <w:rsid w:val="00C94A4F"/>
    <w:rsid w:val="00C94AB2"/>
    <w:rsid w:val="00C94CDD"/>
    <w:rsid w:val="00C94D52"/>
    <w:rsid w:val="00C94DC7"/>
    <w:rsid w:val="00C94E06"/>
    <w:rsid w:val="00C94E43"/>
    <w:rsid w:val="00C94F4D"/>
    <w:rsid w:val="00C94F58"/>
    <w:rsid w:val="00C950E0"/>
    <w:rsid w:val="00C9518C"/>
    <w:rsid w:val="00C952EC"/>
    <w:rsid w:val="00C95389"/>
    <w:rsid w:val="00C954ED"/>
    <w:rsid w:val="00C95519"/>
    <w:rsid w:val="00C95687"/>
    <w:rsid w:val="00C956B9"/>
    <w:rsid w:val="00C9570B"/>
    <w:rsid w:val="00C9581D"/>
    <w:rsid w:val="00C95832"/>
    <w:rsid w:val="00C958BC"/>
    <w:rsid w:val="00C95A4C"/>
    <w:rsid w:val="00C95AB8"/>
    <w:rsid w:val="00C95BCB"/>
    <w:rsid w:val="00C95BE3"/>
    <w:rsid w:val="00C95BFF"/>
    <w:rsid w:val="00C95DE1"/>
    <w:rsid w:val="00C95E1D"/>
    <w:rsid w:val="00C96055"/>
    <w:rsid w:val="00C96314"/>
    <w:rsid w:val="00C96320"/>
    <w:rsid w:val="00C9650D"/>
    <w:rsid w:val="00C96521"/>
    <w:rsid w:val="00C96601"/>
    <w:rsid w:val="00C96619"/>
    <w:rsid w:val="00C96656"/>
    <w:rsid w:val="00C967DA"/>
    <w:rsid w:val="00C967E7"/>
    <w:rsid w:val="00C96800"/>
    <w:rsid w:val="00C9688F"/>
    <w:rsid w:val="00C9697F"/>
    <w:rsid w:val="00C96A3D"/>
    <w:rsid w:val="00C96A64"/>
    <w:rsid w:val="00C96ABD"/>
    <w:rsid w:val="00C96B16"/>
    <w:rsid w:val="00C96B4A"/>
    <w:rsid w:val="00C96B57"/>
    <w:rsid w:val="00C97178"/>
    <w:rsid w:val="00C972DE"/>
    <w:rsid w:val="00C974CF"/>
    <w:rsid w:val="00C97546"/>
    <w:rsid w:val="00C975FA"/>
    <w:rsid w:val="00C97696"/>
    <w:rsid w:val="00C97731"/>
    <w:rsid w:val="00C977D0"/>
    <w:rsid w:val="00C97925"/>
    <w:rsid w:val="00C979AE"/>
    <w:rsid w:val="00C97A19"/>
    <w:rsid w:val="00C97AE1"/>
    <w:rsid w:val="00C97B6D"/>
    <w:rsid w:val="00C97CD8"/>
    <w:rsid w:val="00C97E73"/>
    <w:rsid w:val="00CA000B"/>
    <w:rsid w:val="00CA0036"/>
    <w:rsid w:val="00CA0151"/>
    <w:rsid w:val="00CA01A5"/>
    <w:rsid w:val="00CA01B7"/>
    <w:rsid w:val="00CA022C"/>
    <w:rsid w:val="00CA047F"/>
    <w:rsid w:val="00CA04CA"/>
    <w:rsid w:val="00CA0593"/>
    <w:rsid w:val="00CA05AA"/>
    <w:rsid w:val="00CA069B"/>
    <w:rsid w:val="00CA0720"/>
    <w:rsid w:val="00CA072B"/>
    <w:rsid w:val="00CA0811"/>
    <w:rsid w:val="00CA0827"/>
    <w:rsid w:val="00CA0874"/>
    <w:rsid w:val="00CA0A53"/>
    <w:rsid w:val="00CA0A6A"/>
    <w:rsid w:val="00CA0ADE"/>
    <w:rsid w:val="00CA0B21"/>
    <w:rsid w:val="00CA0B44"/>
    <w:rsid w:val="00CA0B70"/>
    <w:rsid w:val="00CA0B85"/>
    <w:rsid w:val="00CA0BF9"/>
    <w:rsid w:val="00CA0DAC"/>
    <w:rsid w:val="00CA0DC6"/>
    <w:rsid w:val="00CA0E23"/>
    <w:rsid w:val="00CA0E3C"/>
    <w:rsid w:val="00CA0FC5"/>
    <w:rsid w:val="00CA0FF1"/>
    <w:rsid w:val="00CA132D"/>
    <w:rsid w:val="00CA1513"/>
    <w:rsid w:val="00CA1687"/>
    <w:rsid w:val="00CA1694"/>
    <w:rsid w:val="00CA18C7"/>
    <w:rsid w:val="00CA1AE0"/>
    <w:rsid w:val="00CA1B4D"/>
    <w:rsid w:val="00CA1C45"/>
    <w:rsid w:val="00CA1D8E"/>
    <w:rsid w:val="00CA1E26"/>
    <w:rsid w:val="00CA1F2F"/>
    <w:rsid w:val="00CA1F5D"/>
    <w:rsid w:val="00CA1FE0"/>
    <w:rsid w:val="00CA2114"/>
    <w:rsid w:val="00CA21D0"/>
    <w:rsid w:val="00CA2360"/>
    <w:rsid w:val="00CA23EA"/>
    <w:rsid w:val="00CA26D2"/>
    <w:rsid w:val="00CA272E"/>
    <w:rsid w:val="00CA28E0"/>
    <w:rsid w:val="00CA2AA0"/>
    <w:rsid w:val="00CA2B11"/>
    <w:rsid w:val="00CA2B4D"/>
    <w:rsid w:val="00CA2B53"/>
    <w:rsid w:val="00CA2B60"/>
    <w:rsid w:val="00CA2D69"/>
    <w:rsid w:val="00CA2DF0"/>
    <w:rsid w:val="00CA2E53"/>
    <w:rsid w:val="00CA2EAA"/>
    <w:rsid w:val="00CA2EC6"/>
    <w:rsid w:val="00CA2EEE"/>
    <w:rsid w:val="00CA2FB6"/>
    <w:rsid w:val="00CA2FE6"/>
    <w:rsid w:val="00CA3015"/>
    <w:rsid w:val="00CA302D"/>
    <w:rsid w:val="00CA3099"/>
    <w:rsid w:val="00CA3133"/>
    <w:rsid w:val="00CA3136"/>
    <w:rsid w:val="00CA317A"/>
    <w:rsid w:val="00CA3297"/>
    <w:rsid w:val="00CA347B"/>
    <w:rsid w:val="00CA353B"/>
    <w:rsid w:val="00CA354C"/>
    <w:rsid w:val="00CA35B8"/>
    <w:rsid w:val="00CA36BB"/>
    <w:rsid w:val="00CA373C"/>
    <w:rsid w:val="00CA3760"/>
    <w:rsid w:val="00CA37E8"/>
    <w:rsid w:val="00CA37F1"/>
    <w:rsid w:val="00CA3854"/>
    <w:rsid w:val="00CA39BE"/>
    <w:rsid w:val="00CA39FE"/>
    <w:rsid w:val="00CA3AEA"/>
    <w:rsid w:val="00CA3B34"/>
    <w:rsid w:val="00CA3BDC"/>
    <w:rsid w:val="00CA3DEF"/>
    <w:rsid w:val="00CA404D"/>
    <w:rsid w:val="00CA40F6"/>
    <w:rsid w:val="00CA428A"/>
    <w:rsid w:val="00CA4427"/>
    <w:rsid w:val="00CA45B4"/>
    <w:rsid w:val="00CA480D"/>
    <w:rsid w:val="00CA4870"/>
    <w:rsid w:val="00CA4873"/>
    <w:rsid w:val="00CA4A79"/>
    <w:rsid w:val="00CA4AE9"/>
    <w:rsid w:val="00CA4B0E"/>
    <w:rsid w:val="00CA4D55"/>
    <w:rsid w:val="00CA4DC4"/>
    <w:rsid w:val="00CA4E1F"/>
    <w:rsid w:val="00CA4E30"/>
    <w:rsid w:val="00CA4FF8"/>
    <w:rsid w:val="00CA507A"/>
    <w:rsid w:val="00CA50F3"/>
    <w:rsid w:val="00CA5338"/>
    <w:rsid w:val="00CA53B9"/>
    <w:rsid w:val="00CA5441"/>
    <w:rsid w:val="00CA566B"/>
    <w:rsid w:val="00CA578F"/>
    <w:rsid w:val="00CA57AA"/>
    <w:rsid w:val="00CA5811"/>
    <w:rsid w:val="00CA5913"/>
    <w:rsid w:val="00CA5921"/>
    <w:rsid w:val="00CA5A2D"/>
    <w:rsid w:val="00CA5A3A"/>
    <w:rsid w:val="00CA5A45"/>
    <w:rsid w:val="00CA5C30"/>
    <w:rsid w:val="00CA5D70"/>
    <w:rsid w:val="00CA5DD6"/>
    <w:rsid w:val="00CA5F01"/>
    <w:rsid w:val="00CA5F80"/>
    <w:rsid w:val="00CA5F85"/>
    <w:rsid w:val="00CA5FD1"/>
    <w:rsid w:val="00CA608D"/>
    <w:rsid w:val="00CA60B2"/>
    <w:rsid w:val="00CA6114"/>
    <w:rsid w:val="00CA6194"/>
    <w:rsid w:val="00CA636C"/>
    <w:rsid w:val="00CA6540"/>
    <w:rsid w:val="00CA66FC"/>
    <w:rsid w:val="00CA6864"/>
    <w:rsid w:val="00CA689E"/>
    <w:rsid w:val="00CA6938"/>
    <w:rsid w:val="00CA6A2E"/>
    <w:rsid w:val="00CA6B85"/>
    <w:rsid w:val="00CA6E86"/>
    <w:rsid w:val="00CA6EA0"/>
    <w:rsid w:val="00CA6F3E"/>
    <w:rsid w:val="00CA6F98"/>
    <w:rsid w:val="00CA7141"/>
    <w:rsid w:val="00CA71B4"/>
    <w:rsid w:val="00CA71ED"/>
    <w:rsid w:val="00CA72E1"/>
    <w:rsid w:val="00CA77AC"/>
    <w:rsid w:val="00CA783B"/>
    <w:rsid w:val="00CA78A6"/>
    <w:rsid w:val="00CA7A19"/>
    <w:rsid w:val="00CA7AB0"/>
    <w:rsid w:val="00CA7AF5"/>
    <w:rsid w:val="00CA7B1B"/>
    <w:rsid w:val="00CA7B38"/>
    <w:rsid w:val="00CA7BCA"/>
    <w:rsid w:val="00CA7DE7"/>
    <w:rsid w:val="00CA7F12"/>
    <w:rsid w:val="00CB0001"/>
    <w:rsid w:val="00CB0188"/>
    <w:rsid w:val="00CB0225"/>
    <w:rsid w:val="00CB026F"/>
    <w:rsid w:val="00CB0361"/>
    <w:rsid w:val="00CB04AA"/>
    <w:rsid w:val="00CB0AAB"/>
    <w:rsid w:val="00CB0BB5"/>
    <w:rsid w:val="00CB0C90"/>
    <w:rsid w:val="00CB0E36"/>
    <w:rsid w:val="00CB0E56"/>
    <w:rsid w:val="00CB0E5C"/>
    <w:rsid w:val="00CB0FA2"/>
    <w:rsid w:val="00CB0FBE"/>
    <w:rsid w:val="00CB10A1"/>
    <w:rsid w:val="00CB121F"/>
    <w:rsid w:val="00CB1571"/>
    <w:rsid w:val="00CB16F2"/>
    <w:rsid w:val="00CB172D"/>
    <w:rsid w:val="00CB1836"/>
    <w:rsid w:val="00CB1998"/>
    <w:rsid w:val="00CB1AC2"/>
    <w:rsid w:val="00CB1AF7"/>
    <w:rsid w:val="00CB1CA8"/>
    <w:rsid w:val="00CB1D02"/>
    <w:rsid w:val="00CB1D5F"/>
    <w:rsid w:val="00CB1D9D"/>
    <w:rsid w:val="00CB1F5B"/>
    <w:rsid w:val="00CB2058"/>
    <w:rsid w:val="00CB2186"/>
    <w:rsid w:val="00CB2224"/>
    <w:rsid w:val="00CB2283"/>
    <w:rsid w:val="00CB22CE"/>
    <w:rsid w:val="00CB23EF"/>
    <w:rsid w:val="00CB2414"/>
    <w:rsid w:val="00CB2487"/>
    <w:rsid w:val="00CB2543"/>
    <w:rsid w:val="00CB2625"/>
    <w:rsid w:val="00CB280E"/>
    <w:rsid w:val="00CB296F"/>
    <w:rsid w:val="00CB2B64"/>
    <w:rsid w:val="00CB2BFB"/>
    <w:rsid w:val="00CB2C12"/>
    <w:rsid w:val="00CB2CD4"/>
    <w:rsid w:val="00CB2DCF"/>
    <w:rsid w:val="00CB2DF2"/>
    <w:rsid w:val="00CB2E29"/>
    <w:rsid w:val="00CB2F43"/>
    <w:rsid w:val="00CB2F4B"/>
    <w:rsid w:val="00CB2F4C"/>
    <w:rsid w:val="00CB2FDB"/>
    <w:rsid w:val="00CB3264"/>
    <w:rsid w:val="00CB326D"/>
    <w:rsid w:val="00CB3425"/>
    <w:rsid w:val="00CB34BD"/>
    <w:rsid w:val="00CB34FC"/>
    <w:rsid w:val="00CB3572"/>
    <w:rsid w:val="00CB3711"/>
    <w:rsid w:val="00CB3797"/>
    <w:rsid w:val="00CB37B9"/>
    <w:rsid w:val="00CB37EF"/>
    <w:rsid w:val="00CB38AD"/>
    <w:rsid w:val="00CB3911"/>
    <w:rsid w:val="00CB395B"/>
    <w:rsid w:val="00CB3965"/>
    <w:rsid w:val="00CB3A1B"/>
    <w:rsid w:val="00CB3B03"/>
    <w:rsid w:val="00CB3B4A"/>
    <w:rsid w:val="00CB3B4D"/>
    <w:rsid w:val="00CB3B9F"/>
    <w:rsid w:val="00CB3BCE"/>
    <w:rsid w:val="00CB3C26"/>
    <w:rsid w:val="00CB3C5A"/>
    <w:rsid w:val="00CB3C87"/>
    <w:rsid w:val="00CB3DE5"/>
    <w:rsid w:val="00CB3DE7"/>
    <w:rsid w:val="00CB3E0A"/>
    <w:rsid w:val="00CB40A4"/>
    <w:rsid w:val="00CB40FF"/>
    <w:rsid w:val="00CB4157"/>
    <w:rsid w:val="00CB424D"/>
    <w:rsid w:val="00CB43E6"/>
    <w:rsid w:val="00CB4416"/>
    <w:rsid w:val="00CB4598"/>
    <w:rsid w:val="00CB45EC"/>
    <w:rsid w:val="00CB45EE"/>
    <w:rsid w:val="00CB45F6"/>
    <w:rsid w:val="00CB475B"/>
    <w:rsid w:val="00CB4787"/>
    <w:rsid w:val="00CB4968"/>
    <w:rsid w:val="00CB49D4"/>
    <w:rsid w:val="00CB49F0"/>
    <w:rsid w:val="00CB4A08"/>
    <w:rsid w:val="00CB4B92"/>
    <w:rsid w:val="00CB4BE5"/>
    <w:rsid w:val="00CB4D11"/>
    <w:rsid w:val="00CB4FEC"/>
    <w:rsid w:val="00CB5013"/>
    <w:rsid w:val="00CB50DA"/>
    <w:rsid w:val="00CB5125"/>
    <w:rsid w:val="00CB5237"/>
    <w:rsid w:val="00CB53E8"/>
    <w:rsid w:val="00CB5449"/>
    <w:rsid w:val="00CB54A4"/>
    <w:rsid w:val="00CB5595"/>
    <w:rsid w:val="00CB55F6"/>
    <w:rsid w:val="00CB5680"/>
    <w:rsid w:val="00CB5847"/>
    <w:rsid w:val="00CB588C"/>
    <w:rsid w:val="00CB59EF"/>
    <w:rsid w:val="00CB5A19"/>
    <w:rsid w:val="00CB5C07"/>
    <w:rsid w:val="00CB5C79"/>
    <w:rsid w:val="00CB5F63"/>
    <w:rsid w:val="00CB6064"/>
    <w:rsid w:val="00CB61DE"/>
    <w:rsid w:val="00CB627F"/>
    <w:rsid w:val="00CB6345"/>
    <w:rsid w:val="00CB65FC"/>
    <w:rsid w:val="00CB68ED"/>
    <w:rsid w:val="00CB6BCF"/>
    <w:rsid w:val="00CB6C12"/>
    <w:rsid w:val="00CB6D40"/>
    <w:rsid w:val="00CB6EA2"/>
    <w:rsid w:val="00CB6F0F"/>
    <w:rsid w:val="00CB6FBF"/>
    <w:rsid w:val="00CB71F4"/>
    <w:rsid w:val="00CB7272"/>
    <w:rsid w:val="00CB72BD"/>
    <w:rsid w:val="00CB7334"/>
    <w:rsid w:val="00CB74D2"/>
    <w:rsid w:val="00CB7508"/>
    <w:rsid w:val="00CB7510"/>
    <w:rsid w:val="00CB7577"/>
    <w:rsid w:val="00CB7584"/>
    <w:rsid w:val="00CB7780"/>
    <w:rsid w:val="00CB77E4"/>
    <w:rsid w:val="00CB7942"/>
    <w:rsid w:val="00CB7B71"/>
    <w:rsid w:val="00CB7BF5"/>
    <w:rsid w:val="00CB7CC5"/>
    <w:rsid w:val="00CB7F30"/>
    <w:rsid w:val="00CC002B"/>
    <w:rsid w:val="00CC0063"/>
    <w:rsid w:val="00CC0119"/>
    <w:rsid w:val="00CC01AF"/>
    <w:rsid w:val="00CC01B7"/>
    <w:rsid w:val="00CC0316"/>
    <w:rsid w:val="00CC0323"/>
    <w:rsid w:val="00CC038C"/>
    <w:rsid w:val="00CC04F4"/>
    <w:rsid w:val="00CC0970"/>
    <w:rsid w:val="00CC0B0E"/>
    <w:rsid w:val="00CC0C59"/>
    <w:rsid w:val="00CC0D09"/>
    <w:rsid w:val="00CC0E57"/>
    <w:rsid w:val="00CC0E81"/>
    <w:rsid w:val="00CC0F69"/>
    <w:rsid w:val="00CC0FD9"/>
    <w:rsid w:val="00CC1110"/>
    <w:rsid w:val="00CC11BE"/>
    <w:rsid w:val="00CC11C6"/>
    <w:rsid w:val="00CC1205"/>
    <w:rsid w:val="00CC1234"/>
    <w:rsid w:val="00CC1453"/>
    <w:rsid w:val="00CC14EF"/>
    <w:rsid w:val="00CC14FE"/>
    <w:rsid w:val="00CC17D0"/>
    <w:rsid w:val="00CC18C0"/>
    <w:rsid w:val="00CC1A94"/>
    <w:rsid w:val="00CC1ADD"/>
    <w:rsid w:val="00CC1DBA"/>
    <w:rsid w:val="00CC1EE4"/>
    <w:rsid w:val="00CC2076"/>
    <w:rsid w:val="00CC20FD"/>
    <w:rsid w:val="00CC21A8"/>
    <w:rsid w:val="00CC231D"/>
    <w:rsid w:val="00CC2382"/>
    <w:rsid w:val="00CC249A"/>
    <w:rsid w:val="00CC2520"/>
    <w:rsid w:val="00CC256E"/>
    <w:rsid w:val="00CC2733"/>
    <w:rsid w:val="00CC27E2"/>
    <w:rsid w:val="00CC2847"/>
    <w:rsid w:val="00CC28DE"/>
    <w:rsid w:val="00CC2904"/>
    <w:rsid w:val="00CC298E"/>
    <w:rsid w:val="00CC2BE3"/>
    <w:rsid w:val="00CC2CF6"/>
    <w:rsid w:val="00CC2D1E"/>
    <w:rsid w:val="00CC2D3B"/>
    <w:rsid w:val="00CC2D46"/>
    <w:rsid w:val="00CC2D54"/>
    <w:rsid w:val="00CC2E76"/>
    <w:rsid w:val="00CC2F77"/>
    <w:rsid w:val="00CC32A2"/>
    <w:rsid w:val="00CC3363"/>
    <w:rsid w:val="00CC3532"/>
    <w:rsid w:val="00CC3580"/>
    <w:rsid w:val="00CC36B7"/>
    <w:rsid w:val="00CC374B"/>
    <w:rsid w:val="00CC3796"/>
    <w:rsid w:val="00CC3800"/>
    <w:rsid w:val="00CC38A5"/>
    <w:rsid w:val="00CC38C8"/>
    <w:rsid w:val="00CC3A9C"/>
    <w:rsid w:val="00CC3CAB"/>
    <w:rsid w:val="00CC3CDC"/>
    <w:rsid w:val="00CC3DC6"/>
    <w:rsid w:val="00CC3ECC"/>
    <w:rsid w:val="00CC3FB9"/>
    <w:rsid w:val="00CC3FE5"/>
    <w:rsid w:val="00CC44EB"/>
    <w:rsid w:val="00CC46E6"/>
    <w:rsid w:val="00CC4743"/>
    <w:rsid w:val="00CC4924"/>
    <w:rsid w:val="00CC49B8"/>
    <w:rsid w:val="00CC4A33"/>
    <w:rsid w:val="00CC4A68"/>
    <w:rsid w:val="00CC4A8D"/>
    <w:rsid w:val="00CC4B4D"/>
    <w:rsid w:val="00CC4B7D"/>
    <w:rsid w:val="00CC4BDB"/>
    <w:rsid w:val="00CC4DA2"/>
    <w:rsid w:val="00CC4EFB"/>
    <w:rsid w:val="00CC5055"/>
    <w:rsid w:val="00CC50CC"/>
    <w:rsid w:val="00CC50D8"/>
    <w:rsid w:val="00CC52A2"/>
    <w:rsid w:val="00CC52E0"/>
    <w:rsid w:val="00CC534E"/>
    <w:rsid w:val="00CC53A5"/>
    <w:rsid w:val="00CC53FA"/>
    <w:rsid w:val="00CC5432"/>
    <w:rsid w:val="00CC543A"/>
    <w:rsid w:val="00CC54B1"/>
    <w:rsid w:val="00CC54BE"/>
    <w:rsid w:val="00CC54C6"/>
    <w:rsid w:val="00CC562B"/>
    <w:rsid w:val="00CC5796"/>
    <w:rsid w:val="00CC57C0"/>
    <w:rsid w:val="00CC57D5"/>
    <w:rsid w:val="00CC583F"/>
    <w:rsid w:val="00CC597E"/>
    <w:rsid w:val="00CC59E1"/>
    <w:rsid w:val="00CC5A20"/>
    <w:rsid w:val="00CC5A69"/>
    <w:rsid w:val="00CC5C72"/>
    <w:rsid w:val="00CC5CC6"/>
    <w:rsid w:val="00CC5CE5"/>
    <w:rsid w:val="00CC5E19"/>
    <w:rsid w:val="00CC5E21"/>
    <w:rsid w:val="00CC5E6C"/>
    <w:rsid w:val="00CC5F6C"/>
    <w:rsid w:val="00CC5FD4"/>
    <w:rsid w:val="00CC5FE0"/>
    <w:rsid w:val="00CC6081"/>
    <w:rsid w:val="00CC6082"/>
    <w:rsid w:val="00CC60B8"/>
    <w:rsid w:val="00CC6104"/>
    <w:rsid w:val="00CC6178"/>
    <w:rsid w:val="00CC6225"/>
    <w:rsid w:val="00CC6232"/>
    <w:rsid w:val="00CC6293"/>
    <w:rsid w:val="00CC62A3"/>
    <w:rsid w:val="00CC630E"/>
    <w:rsid w:val="00CC6329"/>
    <w:rsid w:val="00CC632E"/>
    <w:rsid w:val="00CC63CD"/>
    <w:rsid w:val="00CC64CB"/>
    <w:rsid w:val="00CC64DD"/>
    <w:rsid w:val="00CC6703"/>
    <w:rsid w:val="00CC6755"/>
    <w:rsid w:val="00CC6776"/>
    <w:rsid w:val="00CC6782"/>
    <w:rsid w:val="00CC67C3"/>
    <w:rsid w:val="00CC6A86"/>
    <w:rsid w:val="00CC6AB8"/>
    <w:rsid w:val="00CC6BBC"/>
    <w:rsid w:val="00CC6C6E"/>
    <w:rsid w:val="00CC6DAD"/>
    <w:rsid w:val="00CC6DCD"/>
    <w:rsid w:val="00CC6FC2"/>
    <w:rsid w:val="00CC76D1"/>
    <w:rsid w:val="00CC7737"/>
    <w:rsid w:val="00CC7803"/>
    <w:rsid w:val="00CC79B0"/>
    <w:rsid w:val="00CC79D3"/>
    <w:rsid w:val="00CC7ABE"/>
    <w:rsid w:val="00CC7BC2"/>
    <w:rsid w:val="00CC7C8A"/>
    <w:rsid w:val="00CC7CBB"/>
    <w:rsid w:val="00CC7CC7"/>
    <w:rsid w:val="00CC7E89"/>
    <w:rsid w:val="00CC7ED7"/>
    <w:rsid w:val="00CC7EFA"/>
    <w:rsid w:val="00CC7F1C"/>
    <w:rsid w:val="00CD013A"/>
    <w:rsid w:val="00CD0496"/>
    <w:rsid w:val="00CD056C"/>
    <w:rsid w:val="00CD05D1"/>
    <w:rsid w:val="00CD06CF"/>
    <w:rsid w:val="00CD07AE"/>
    <w:rsid w:val="00CD0838"/>
    <w:rsid w:val="00CD0924"/>
    <w:rsid w:val="00CD0978"/>
    <w:rsid w:val="00CD0C6F"/>
    <w:rsid w:val="00CD0CC5"/>
    <w:rsid w:val="00CD0DE5"/>
    <w:rsid w:val="00CD0E16"/>
    <w:rsid w:val="00CD0E8C"/>
    <w:rsid w:val="00CD1005"/>
    <w:rsid w:val="00CD118B"/>
    <w:rsid w:val="00CD11B0"/>
    <w:rsid w:val="00CD12A6"/>
    <w:rsid w:val="00CD1491"/>
    <w:rsid w:val="00CD14AB"/>
    <w:rsid w:val="00CD1560"/>
    <w:rsid w:val="00CD15E2"/>
    <w:rsid w:val="00CD1610"/>
    <w:rsid w:val="00CD168B"/>
    <w:rsid w:val="00CD17AC"/>
    <w:rsid w:val="00CD1865"/>
    <w:rsid w:val="00CD1AD8"/>
    <w:rsid w:val="00CD1B0D"/>
    <w:rsid w:val="00CD1BC2"/>
    <w:rsid w:val="00CD1D13"/>
    <w:rsid w:val="00CD1D3D"/>
    <w:rsid w:val="00CD1EA6"/>
    <w:rsid w:val="00CD2113"/>
    <w:rsid w:val="00CD2243"/>
    <w:rsid w:val="00CD231B"/>
    <w:rsid w:val="00CD2474"/>
    <w:rsid w:val="00CD2594"/>
    <w:rsid w:val="00CD270C"/>
    <w:rsid w:val="00CD2759"/>
    <w:rsid w:val="00CD27D3"/>
    <w:rsid w:val="00CD28CB"/>
    <w:rsid w:val="00CD28EF"/>
    <w:rsid w:val="00CD2928"/>
    <w:rsid w:val="00CD29B6"/>
    <w:rsid w:val="00CD29F8"/>
    <w:rsid w:val="00CD2AFF"/>
    <w:rsid w:val="00CD2BB3"/>
    <w:rsid w:val="00CD2BDB"/>
    <w:rsid w:val="00CD2C54"/>
    <w:rsid w:val="00CD2D10"/>
    <w:rsid w:val="00CD2F4B"/>
    <w:rsid w:val="00CD2F59"/>
    <w:rsid w:val="00CD31C3"/>
    <w:rsid w:val="00CD320B"/>
    <w:rsid w:val="00CD32CA"/>
    <w:rsid w:val="00CD341B"/>
    <w:rsid w:val="00CD345C"/>
    <w:rsid w:val="00CD3578"/>
    <w:rsid w:val="00CD35D6"/>
    <w:rsid w:val="00CD361D"/>
    <w:rsid w:val="00CD37ED"/>
    <w:rsid w:val="00CD383B"/>
    <w:rsid w:val="00CD38EA"/>
    <w:rsid w:val="00CD3922"/>
    <w:rsid w:val="00CD3989"/>
    <w:rsid w:val="00CD3A54"/>
    <w:rsid w:val="00CD3AF6"/>
    <w:rsid w:val="00CD3C22"/>
    <w:rsid w:val="00CD3DD4"/>
    <w:rsid w:val="00CD3DF3"/>
    <w:rsid w:val="00CD3E23"/>
    <w:rsid w:val="00CD413F"/>
    <w:rsid w:val="00CD414A"/>
    <w:rsid w:val="00CD41E2"/>
    <w:rsid w:val="00CD4244"/>
    <w:rsid w:val="00CD43B3"/>
    <w:rsid w:val="00CD4539"/>
    <w:rsid w:val="00CD47AE"/>
    <w:rsid w:val="00CD485F"/>
    <w:rsid w:val="00CD4AD0"/>
    <w:rsid w:val="00CD4C39"/>
    <w:rsid w:val="00CD4CCD"/>
    <w:rsid w:val="00CD4D1D"/>
    <w:rsid w:val="00CD4F70"/>
    <w:rsid w:val="00CD5160"/>
    <w:rsid w:val="00CD523A"/>
    <w:rsid w:val="00CD533F"/>
    <w:rsid w:val="00CD53DC"/>
    <w:rsid w:val="00CD54A9"/>
    <w:rsid w:val="00CD5511"/>
    <w:rsid w:val="00CD5595"/>
    <w:rsid w:val="00CD5672"/>
    <w:rsid w:val="00CD568E"/>
    <w:rsid w:val="00CD5768"/>
    <w:rsid w:val="00CD5915"/>
    <w:rsid w:val="00CD5993"/>
    <w:rsid w:val="00CD599D"/>
    <w:rsid w:val="00CD59A6"/>
    <w:rsid w:val="00CD5B0C"/>
    <w:rsid w:val="00CD5C09"/>
    <w:rsid w:val="00CD5C2E"/>
    <w:rsid w:val="00CD5F1B"/>
    <w:rsid w:val="00CD5F62"/>
    <w:rsid w:val="00CD6024"/>
    <w:rsid w:val="00CD604F"/>
    <w:rsid w:val="00CD611D"/>
    <w:rsid w:val="00CD61EC"/>
    <w:rsid w:val="00CD6241"/>
    <w:rsid w:val="00CD6260"/>
    <w:rsid w:val="00CD633F"/>
    <w:rsid w:val="00CD6425"/>
    <w:rsid w:val="00CD6472"/>
    <w:rsid w:val="00CD64D0"/>
    <w:rsid w:val="00CD64D1"/>
    <w:rsid w:val="00CD64DB"/>
    <w:rsid w:val="00CD6573"/>
    <w:rsid w:val="00CD6593"/>
    <w:rsid w:val="00CD65BB"/>
    <w:rsid w:val="00CD6681"/>
    <w:rsid w:val="00CD68A0"/>
    <w:rsid w:val="00CD6901"/>
    <w:rsid w:val="00CD6909"/>
    <w:rsid w:val="00CD69B2"/>
    <w:rsid w:val="00CD6A13"/>
    <w:rsid w:val="00CD6BFE"/>
    <w:rsid w:val="00CD6C02"/>
    <w:rsid w:val="00CD6CE1"/>
    <w:rsid w:val="00CD6E13"/>
    <w:rsid w:val="00CD6E39"/>
    <w:rsid w:val="00CD6EAE"/>
    <w:rsid w:val="00CD6FC6"/>
    <w:rsid w:val="00CD6FDA"/>
    <w:rsid w:val="00CD7043"/>
    <w:rsid w:val="00CD70A7"/>
    <w:rsid w:val="00CD7100"/>
    <w:rsid w:val="00CD719E"/>
    <w:rsid w:val="00CD7219"/>
    <w:rsid w:val="00CD7280"/>
    <w:rsid w:val="00CD728A"/>
    <w:rsid w:val="00CD73D5"/>
    <w:rsid w:val="00CD7500"/>
    <w:rsid w:val="00CD7595"/>
    <w:rsid w:val="00CD75AF"/>
    <w:rsid w:val="00CD761C"/>
    <w:rsid w:val="00CD764E"/>
    <w:rsid w:val="00CD77DC"/>
    <w:rsid w:val="00CD784F"/>
    <w:rsid w:val="00CD78E7"/>
    <w:rsid w:val="00CD7A05"/>
    <w:rsid w:val="00CD7A22"/>
    <w:rsid w:val="00CD7A4F"/>
    <w:rsid w:val="00CD7A6C"/>
    <w:rsid w:val="00CD7CE0"/>
    <w:rsid w:val="00CD7EA6"/>
    <w:rsid w:val="00CD7F3C"/>
    <w:rsid w:val="00CE016B"/>
    <w:rsid w:val="00CE01C1"/>
    <w:rsid w:val="00CE063D"/>
    <w:rsid w:val="00CE0649"/>
    <w:rsid w:val="00CE06C9"/>
    <w:rsid w:val="00CE076D"/>
    <w:rsid w:val="00CE0801"/>
    <w:rsid w:val="00CE0834"/>
    <w:rsid w:val="00CE0840"/>
    <w:rsid w:val="00CE0850"/>
    <w:rsid w:val="00CE0863"/>
    <w:rsid w:val="00CE096A"/>
    <w:rsid w:val="00CE099B"/>
    <w:rsid w:val="00CE09C7"/>
    <w:rsid w:val="00CE0A72"/>
    <w:rsid w:val="00CE0A7E"/>
    <w:rsid w:val="00CE0AA8"/>
    <w:rsid w:val="00CE0B2F"/>
    <w:rsid w:val="00CE0B80"/>
    <w:rsid w:val="00CE0C97"/>
    <w:rsid w:val="00CE0D6D"/>
    <w:rsid w:val="00CE0F96"/>
    <w:rsid w:val="00CE0FFD"/>
    <w:rsid w:val="00CE1106"/>
    <w:rsid w:val="00CE1187"/>
    <w:rsid w:val="00CE1218"/>
    <w:rsid w:val="00CE1321"/>
    <w:rsid w:val="00CE13A6"/>
    <w:rsid w:val="00CE13BE"/>
    <w:rsid w:val="00CE1468"/>
    <w:rsid w:val="00CE14F2"/>
    <w:rsid w:val="00CE14FF"/>
    <w:rsid w:val="00CE1543"/>
    <w:rsid w:val="00CE1564"/>
    <w:rsid w:val="00CE1580"/>
    <w:rsid w:val="00CE1693"/>
    <w:rsid w:val="00CE16B3"/>
    <w:rsid w:val="00CE16EE"/>
    <w:rsid w:val="00CE174B"/>
    <w:rsid w:val="00CE180F"/>
    <w:rsid w:val="00CE19A7"/>
    <w:rsid w:val="00CE19D2"/>
    <w:rsid w:val="00CE1ABF"/>
    <w:rsid w:val="00CE1CDB"/>
    <w:rsid w:val="00CE1D32"/>
    <w:rsid w:val="00CE1D43"/>
    <w:rsid w:val="00CE1D84"/>
    <w:rsid w:val="00CE1E35"/>
    <w:rsid w:val="00CE1FA4"/>
    <w:rsid w:val="00CE1FD4"/>
    <w:rsid w:val="00CE2099"/>
    <w:rsid w:val="00CE218B"/>
    <w:rsid w:val="00CE22A5"/>
    <w:rsid w:val="00CE2374"/>
    <w:rsid w:val="00CE25B1"/>
    <w:rsid w:val="00CE262E"/>
    <w:rsid w:val="00CE267F"/>
    <w:rsid w:val="00CE272C"/>
    <w:rsid w:val="00CE278D"/>
    <w:rsid w:val="00CE27F4"/>
    <w:rsid w:val="00CE288C"/>
    <w:rsid w:val="00CE29F1"/>
    <w:rsid w:val="00CE2ABA"/>
    <w:rsid w:val="00CE2AF0"/>
    <w:rsid w:val="00CE2B84"/>
    <w:rsid w:val="00CE2C1F"/>
    <w:rsid w:val="00CE2D9D"/>
    <w:rsid w:val="00CE2DC4"/>
    <w:rsid w:val="00CE2EE4"/>
    <w:rsid w:val="00CE3094"/>
    <w:rsid w:val="00CE30E0"/>
    <w:rsid w:val="00CE30FD"/>
    <w:rsid w:val="00CE31C3"/>
    <w:rsid w:val="00CE32B9"/>
    <w:rsid w:val="00CE3344"/>
    <w:rsid w:val="00CE33C7"/>
    <w:rsid w:val="00CE33DD"/>
    <w:rsid w:val="00CE3585"/>
    <w:rsid w:val="00CE369E"/>
    <w:rsid w:val="00CE3772"/>
    <w:rsid w:val="00CE379D"/>
    <w:rsid w:val="00CE37CC"/>
    <w:rsid w:val="00CE37E6"/>
    <w:rsid w:val="00CE3871"/>
    <w:rsid w:val="00CE38E0"/>
    <w:rsid w:val="00CE3963"/>
    <w:rsid w:val="00CE396F"/>
    <w:rsid w:val="00CE3A30"/>
    <w:rsid w:val="00CE3A75"/>
    <w:rsid w:val="00CE40EE"/>
    <w:rsid w:val="00CE4124"/>
    <w:rsid w:val="00CE413D"/>
    <w:rsid w:val="00CE4161"/>
    <w:rsid w:val="00CE4191"/>
    <w:rsid w:val="00CE4223"/>
    <w:rsid w:val="00CE4466"/>
    <w:rsid w:val="00CE4657"/>
    <w:rsid w:val="00CE46E6"/>
    <w:rsid w:val="00CE4808"/>
    <w:rsid w:val="00CE4830"/>
    <w:rsid w:val="00CE4852"/>
    <w:rsid w:val="00CE48EA"/>
    <w:rsid w:val="00CE4941"/>
    <w:rsid w:val="00CE497C"/>
    <w:rsid w:val="00CE4A0F"/>
    <w:rsid w:val="00CE4A21"/>
    <w:rsid w:val="00CE4A57"/>
    <w:rsid w:val="00CE4AA6"/>
    <w:rsid w:val="00CE4ACF"/>
    <w:rsid w:val="00CE4AE5"/>
    <w:rsid w:val="00CE4B3A"/>
    <w:rsid w:val="00CE4B4A"/>
    <w:rsid w:val="00CE50FB"/>
    <w:rsid w:val="00CE51A7"/>
    <w:rsid w:val="00CE51EE"/>
    <w:rsid w:val="00CE5218"/>
    <w:rsid w:val="00CE555B"/>
    <w:rsid w:val="00CE56EB"/>
    <w:rsid w:val="00CE5748"/>
    <w:rsid w:val="00CE5887"/>
    <w:rsid w:val="00CE5A94"/>
    <w:rsid w:val="00CE5AA0"/>
    <w:rsid w:val="00CE5B6D"/>
    <w:rsid w:val="00CE5C16"/>
    <w:rsid w:val="00CE5F54"/>
    <w:rsid w:val="00CE61C8"/>
    <w:rsid w:val="00CE639B"/>
    <w:rsid w:val="00CE642F"/>
    <w:rsid w:val="00CE6685"/>
    <w:rsid w:val="00CE67AE"/>
    <w:rsid w:val="00CE6AFD"/>
    <w:rsid w:val="00CE6B80"/>
    <w:rsid w:val="00CE6C14"/>
    <w:rsid w:val="00CE6C4A"/>
    <w:rsid w:val="00CE6C73"/>
    <w:rsid w:val="00CE6CCD"/>
    <w:rsid w:val="00CE6D58"/>
    <w:rsid w:val="00CE6EF5"/>
    <w:rsid w:val="00CE703A"/>
    <w:rsid w:val="00CE71F2"/>
    <w:rsid w:val="00CE7229"/>
    <w:rsid w:val="00CE7230"/>
    <w:rsid w:val="00CE72C1"/>
    <w:rsid w:val="00CE740F"/>
    <w:rsid w:val="00CE7424"/>
    <w:rsid w:val="00CE772D"/>
    <w:rsid w:val="00CE781B"/>
    <w:rsid w:val="00CE79B0"/>
    <w:rsid w:val="00CE7A1B"/>
    <w:rsid w:val="00CE7A9E"/>
    <w:rsid w:val="00CE7BC3"/>
    <w:rsid w:val="00CE7CF2"/>
    <w:rsid w:val="00CE7D39"/>
    <w:rsid w:val="00CE7EF2"/>
    <w:rsid w:val="00CF0013"/>
    <w:rsid w:val="00CF0016"/>
    <w:rsid w:val="00CF001F"/>
    <w:rsid w:val="00CF007F"/>
    <w:rsid w:val="00CF0266"/>
    <w:rsid w:val="00CF0270"/>
    <w:rsid w:val="00CF02E0"/>
    <w:rsid w:val="00CF0365"/>
    <w:rsid w:val="00CF043B"/>
    <w:rsid w:val="00CF054F"/>
    <w:rsid w:val="00CF065E"/>
    <w:rsid w:val="00CF0687"/>
    <w:rsid w:val="00CF0792"/>
    <w:rsid w:val="00CF0A96"/>
    <w:rsid w:val="00CF0B07"/>
    <w:rsid w:val="00CF0C9D"/>
    <w:rsid w:val="00CF0CAF"/>
    <w:rsid w:val="00CF0CDB"/>
    <w:rsid w:val="00CF0DBF"/>
    <w:rsid w:val="00CF0E09"/>
    <w:rsid w:val="00CF0E3A"/>
    <w:rsid w:val="00CF103A"/>
    <w:rsid w:val="00CF1199"/>
    <w:rsid w:val="00CF1221"/>
    <w:rsid w:val="00CF1273"/>
    <w:rsid w:val="00CF13DC"/>
    <w:rsid w:val="00CF13DE"/>
    <w:rsid w:val="00CF13F7"/>
    <w:rsid w:val="00CF14BC"/>
    <w:rsid w:val="00CF152C"/>
    <w:rsid w:val="00CF17C9"/>
    <w:rsid w:val="00CF17F2"/>
    <w:rsid w:val="00CF180B"/>
    <w:rsid w:val="00CF1838"/>
    <w:rsid w:val="00CF1868"/>
    <w:rsid w:val="00CF1A30"/>
    <w:rsid w:val="00CF1A8F"/>
    <w:rsid w:val="00CF1B05"/>
    <w:rsid w:val="00CF1B08"/>
    <w:rsid w:val="00CF1D28"/>
    <w:rsid w:val="00CF1DD3"/>
    <w:rsid w:val="00CF1DD5"/>
    <w:rsid w:val="00CF1F61"/>
    <w:rsid w:val="00CF208D"/>
    <w:rsid w:val="00CF2211"/>
    <w:rsid w:val="00CF23F4"/>
    <w:rsid w:val="00CF249B"/>
    <w:rsid w:val="00CF24BB"/>
    <w:rsid w:val="00CF2691"/>
    <w:rsid w:val="00CF26AF"/>
    <w:rsid w:val="00CF27EE"/>
    <w:rsid w:val="00CF2864"/>
    <w:rsid w:val="00CF287F"/>
    <w:rsid w:val="00CF290D"/>
    <w:rsid w:val="00CF293C"/>
    <w:rsid w:val="00CF293E"/>
    <w:rsid w:val="00CF2947"/>
    <w:rsid w:val="00CF29AB"/>
    <w:rsid w:val="00CF2A85"/>
    <w:rsid w:val="00CF2C21"/>
    <w:rsid w:val="00CF2D7B"/>
    <w:rsid w:val="00CF2D92"/>
    <w:rsid w:val="00CF2E14"/>
    <w:rsid w:val="00CF2F33"/>
    <w:rsid w:val="00CF3153"/>
    <w:rsid w:val="00CF3208"/>
    <w:rsid w:val="00CF34B7"/>
    <w:rsid w:val="00CF360F"/>
    <w:rsid w:val="00CF3899"/>
    <w:rsid w:val="00CF39B5"/>
    <w:rsid w:val="00CF39BC"/>
    <w:rsid w:val="00CF3B45"/>
    <w:rsid w:val="00CF3BCE"/>
    <w:rsid w:val="00CF3BF0"/>
    <w:rsid w:val="00CF3C52"/>
    <w:rsid w:val="00CF3C5D"/>
    <w:rsid w:val="00CF3D21"/>
    <w:rsid w:val="00CF3D8B"/>
    <w:rsid w:val="00CF3E16"/>
    <w:rsid w:val="00CF3E2E"/>
    <w:rsid w:val="00CF3E4B"/>
    <w:rsid w:val="00CF3EA3"/>
    <w:rsid w:val="00CF3EE5"/>
    <w:rsid w:val="00CF3FE7"/>
    <w:rsid w:val="00CF40FE"/>
    <w:rsid w:val="00CF41B1"/>
    <w:rsid w:val="00CF4203"/>
    <w:rsid w:val="00CF433B"/>
    <w:rsid w:val="00CF4364"/>
    <w:rsid w:val="00CF4453"/>
    <w:rsid w:val="00CF4556"/>
    <w:rsid w:val="00CF45F0"/>
    <w:rsid w:val="00CF47D2"/>
    <w:rsid w:val="00CF47FB"/>
    <w:rsid w:val="00CF4846"/>
    <w:rsid w:val="00CF4890"/>
    <w:rsid w:val="00CF48C3"/>
    <w:rsid w:val="00CF4A78"/>
    <w:rsid w:val="00CF4B7A"/>
    <w:rsid w:val="00CF4B86"/>
    <w:rsid w:val="00CF4C05"/>
    <w:rsid w:val="00CF4CF4"/>
    <w:rsid w:val="00CF4DF1"/>
    <w:rsid w:val="00CF4EE1"/>
    <w:rsid w:val="00CF4F28"/>
    <w:rsid w:val="00CF504F"/>
    <w:rsid w:val="00CF5076"/>
    <w:rsid w:val="00CF5103"/>
    <w:rsid w:val="00CF5106"/>
    <w:rsid w:val="00CF5110"/>
    <w:rsid w:val="00CF51D4"/>
    <w:rsid w:val="00CF5200"/>
    <w:rsid w:val="00CF5291"/>
    <w:rsid w:val="00CF5341"/>
    <w:rsid w:val="00CF534F"/>
    <w:rsid w:val="00CF54A6"/>
    <w:rsid w:val="00CF5508"/>
    <w:rsid w:val="00CF55A2"/>
    <w:rsid w:val="00CF55CD"/>
    <w:rsid w:val="00CF577E"/>
    <w:rsid w:val="00CF57A2"/>
    <w:rsid w:val="00CF5A0A"/>
    <w:rsid w:val="00CF5A1A"/>
    <w:rsid w:val="00CF5AF7"/>
    <w:rsid w:val="00CF5C89"/>
    <w:rsid w:val="00CF5DB4"/>
    <w:rsid w:val="00CF5E8B"/>
    <w:rsid w:val="00CF5F93"/>
    <w:rsid w:val="00CF603A"/>
    <w:rsid w:val="00CF614B"/>
    <w:rsid w:val="00CF6296"/>
    <w:rsid w:val="00CF636B"/>
    <w:rsid w:val="00CF643F"/>
    <w:rsid w:val="00CF649D"/>
    <w:rsid w:val="00CF6576"/>
    <w:rsid w:val="00CF6887"/>
    <w:rsid w:val="00CF68B2"/>
    <w:rsid w:val="00CF6CD7"/>
    <w:rsid w:val="00CF6E1E"/>
    <w:rsid w:val="00CF6F8B"/>
    <w:rsid w:val="00CF7097"/>
    <w:rsid w:val="00CF71AD"/>
    <w:rsid w:val="00CF726F"/>
    <w:rsid w:val="00CF738B"/>
    <w:rsid w:val="00CF7459"/>
    <w:rsid w:val="00CF7483"/>
    <w:rsid w:val="00CF7546"/>
    <w:rsid w:val="00CF75EB"/>
    <w:rsid w:val="00CF773A"/>
    <w:rsid w:val="00CF7897"/>
    <w:rsid w:val="00CF79ED"/>
    <w:rsid w:val="00CF7AD3"/>
    <w:rsid w:val="00CF7AF1"/>
    <w:rsid w:val="00CF7AF8"/>
    <w:rsid w:val="00CF7C8F"/>
    <w:rsid w:val="00CF7DB4"/>
    <w:rsid w:val="00CF7E31"/>
    <w:rsid w:val="00CF7FFE"/>
    <w:rsid w:val="00D00046"/>
    <w:rsid w:val="00D00190"/>
    <w:rsid w:val="00D001B4"/>
    <w:rsid w:val="00D001B6"/>
    <w:rsid w:val="00D0028B"/>
    <w:rsid w:val="00D00381"/>
    <w:rsid w:val="00D003B1"/>
    <w:rsid w:val="00D004AB"/>
    <w:rsid w:val="00D0055C"/>
    <w:rsid w:val="00D00627"/>
    <w:rsid w:val="00D00913"/>
    <w:rsid w:val="00D00B27"/>
    <w:rsid w:val="00D00BE9"/>
    <w:rsid w:val="00D00C89"/>
    <w:rsid w:val="00D00CB1"/>
    <w:rsid w:val="00D00CEA"/>
    <w:rsid w:val="00D00D5C"/>
    <w:rsid w:val="00D00DF9"/>
    <w:rsid w:val="00D00E8B"/>
    <w:rsid w:val="00D00EFB"/>
    <w:rsid w:val="00D01122"/>
    <w:rsid w:val="00D011D4"/>
    <w:rsid w:val="00D014B4"/>
    <w:rsid w:val="00D014BF"/>
    <w:rsid w:val="00D01544"/>
    <w:rsid w:val="00D0165C"/>
    <w:rsid w:val="00D01679"/>
    <w:rsid w:val="00D01691"/>
    <w:rsid w:val="00D016EC"/>
    <w:rsid w:val="00D017E6"/>
    <w:rsid w:val="00D01ACF"/>
    <w:rsid w:val="00D01AD4"/>
    <w:rsid w:val="00D01E44"/>
    <w:rsid w:val="00D01F84"/>
    <w:rsid w:val="00D01FFC"/>
    <w:rsid w:val="00D02100"/>
    <w:rsid w:val="00D02122"/>
    <w:rsid w:val="00D0214B"/>
    <w:rsid w:val="00D023C8"/>
    <w:rsid w:val="00D02472"/>
    <w:rsid w:val="00D02488"/>
    <w:rsid w:val="00D02590"/>
    <w:rsid w:val="00D025D7"/>
    <w:rsid w:val="00D02794"/>
    <w:rsid w:val="00D027DF"/>
    <w:rsid w:val="00D02811"/>
    <w:rsid w:val="00D028AB"/>
    <w:rsid w:val="00D02996"/>
    <w:rsid w:val="00D029C4"/>
    <w:rsid w:val="00D02AE6"/>
    <w:rsid w:val="00D02C7C"/>
    <w:rsid w:val="00D02CAD"/>
    <w:rsid w:val="00D02D72"/>
    <w:rsid w:val="00D032B5"/>
    <w:rsid w:val="00D03328"/>
    <w:rsid w:val="00D03416"/>
    <w:rsid w:val="00D034D8"/>
    <w:rsid w:val="00D03546"/>
    <w:rsid w:val="00D035CD"/>
    <w:rsid w:val="00D0369C"/>
    <w:rsid w:val="00D037AD"/>
    <w:rsid w:val="00D0396A"/>
    <w:rsid w:val="00D03AD8"/>
    <w:rsid w:val="00D03B1E"/>
    <w:rsid w:val="00D03B48"/>
    <w:rsid w:val="00D03C35"/>
    <w:rsid w:val="00D03D1B"/>
    <w:rsid w:val="00D03D81"/>
    <w:rsid w:val="00D03DEF"/>
    <w:rsid w:val="00D03EB3"/>
    <w:rsid w:val="00D03FB1"/>
    <w:rsid w:val="00D04082"/>
    <w:rsid w:val="00D040B7"/>
    <w:rsid w:val="00D04170"/>
    <w:rsid w:val="00D04237"/>
    <w:rsid w:val="00D04379"/>
    <w:rsid w:val="00D04472"/>
    <w:rsid w:val="00D0447F"/>
    <w:rsid w:val="00D044F8"/>
    <w:rsid w:val="00D045F0"/>
    <w:rsid w:val="00D0478D"/>
    <w:rsid w:val="00D04A1D"/>
    <w:rsid w:val="00D04A27"/>
    <w:rsid w:val="00D04AEA"/>
    <w:rsid w:val="00D04B97"/>
    <w:rsid w:val="00D04D2F"/>
    <w:rsid w:val="00D04EFD"/>
    <w:rsid w:val="00D0507E"/>
    <w:rsid w:val="00D05102"/>
    <w:rsid w:val="00D0511C"/>
    <w:rsid w:val="00D051D0"/>
    <w:rsid w:val="00D052AD"/>
    <w:rsid w:val="00D0542B"/>
    <w:rsid w:val="00D05547"/>
    <w:rsid w:val="00D05692"/>
    <w:rsid w:val="00D05737"/>
    <w:rsid w:val="00D0598D"/>
    <w:rsid w:val="00D05A94"/>
    <w:rsid w:val="00D05B1A"/>
    <w:rsid w:val="00D05DB1"/>
    <w:rsid w:val="00D06046"/>
    <w:rsid w:val="00D0606F"/>
    <w:rsid w:val="00D061F1"/>
    <w:rsid w:val="00D0624D"/>
    <w:rsid w:val="00D062CF"/>
    <w:rsid w:val="00D062FB"/>
    <w:rsid w:val="00D06359"/>
    <w:rsid w:val="00D06604"/>
    <w:rsid w:val="00D06668"/>
    <w:rsid w:val="00D066EB"/>
    <w:rsid w:val="00D067A9"/>
    <w:rsid w:val="00D06889"/>
    <w:rsid w:val="00D06917"/>
    <w:rsid w:val="00D06945"/>
    <w:rsid w:val="00D06965"/>
    <w:rsid w:val="00D06A17"/>
    <w:rsid w:val="00D06B40"/>
    <w:rsid w:val="00D06C0F"/>
    <w:rsid w:val="00D06C28"/>
    <w:rsid w:val="00D06C87"/>
    <w:rsid w:val="00D06CB8"/>
    <w:rsid w:val="00D06CDC"/>
    <w:rsid w:val="00D06D1E"/>
    <w:rsid w:val="00D06D67"/>
    <w:rsid w:val="00D06ECC"/>
    <w:rsid w:val="00D07217"/>
    <w:rsid w:val="00D0733E"/>
    <w:rsid w:val="00D0770F"/>
    <w:rsid w:val="00D077A7"/>
    <w:rsid w:val="00D077F8"/>
    <w:rsid w:val="00D07845"/>
    <w:rsid w:val="00D07BDC"/>
    <w:rsid w:val="00D07E4A"/>
    <w:rsid w:val="00D10089"/>
    <w:rsid w:val="00D1010C"/>
    <w:rsid w:val="00D10219"/>
    <w:rsid w:val="00D102B7"/>
    <w:rsid w:val="00D103BF"/>
    <w:rsid w:val="00D1048E"/>
    <w:rsid w:val="00D105BE"/>
    <w:rsid w:val="00D105F3"/>
    <w:rsid w:val="00D10637"/>
    <w:rsid w:val="00D10741"/>
    <w:rsid w:val="00D1076B"/>
    <w:rsid w:val="00D107CB"/>
    <w:rsid w:val="00D108B3"/>
    <w:rsid w:val="00D108B7"/>
    <w:rsid w:val="00D10AE5"/>
    <w:rsid w:val="00D10B76"/>
    <w:rsid w:val="00D10B80"/>
    <w:rsid w:val="00D10C8A"/>
    <w:rsid w:val="00D10D0D"/>
    <w:rsid w:val="00D10DE1"/>
    <w:rsid w:val="00D10E0E"/>
    <w:rsid w:val="00D10E1C"/>
    <w:rsid w:val="00D10E2C"/>
    <w:rsid w:val="00D1136D"/>
    <w:rsid w:val="00D11420"/>
    <w:rsid w:val="00D1150B"/>
    <w:rsid w:val="00D1167A"/>
    <w:rsid w:val="00D11894"/>
    <w:rsid w:val="00D11A33"/>
    <w:rsid w:val="00D11AA6"/>
    <w:rsid w:val="00D11AB0"/>
    <w:rsid w:val="00D11B4A"/>
    <w:rsid w:val="00D11C0D"/>
    <w:rsid w:val="00D11D14"/>
    <w:rsid w:val="00D11DBD"/>
    <w:rsid w:val="00D11FD6"/>
    <w:rsid w:val="00D1200E"/>
    <w:rsid w:val="00D120C8"/>
    <w:rsid w:val="00D12281"/>
    <w:rsid w:val="00D122D1"/>
    <w:rsid w:val="00D126C1"/>
    <w:rsid w:val="00D126D4"/>
    <w:rsid w:val="00D1271C"/>
    <w:rsid w:val="00D12854"/>
    <w:rsid w:val="00D12B27"/>
    <w:rsid w:val="00D12CCF"/>
    <w:rsid w:val="00D12E19"/>
    <w:rsid w:val="00D12EC4"/>
    <w:rsid w:val="00D131C6"/>
    <w:rsid w:val="00D13290"/>
    <w:rsid w:val="00D133A6"/>
    <w:rsid w:val="00D13478"/>
    <w:rsid w:val="00D13581"/>
    <w:rsid w:val="00D1360C"/>
    <w:rsid w:val="00D13775"/>
    <w:rsid w:val="00D137B1"/>
    <w:rsid w:val="00D1388B"/>
    <w:rsid w:val="00D138A7"/>
    <w:rsid w:val="00D13A16"/>
    <w:rsid w:val="00D13A7C"/>
    <w:rsid w:val="00D13A98"/>
    <w:rsid w:val="00D13B52"/>
    <w:rsid w:val="00D13B94"/>
    <w:rsid w:val="00D13ED0"/>
    <w:rsid w:val="00D13EEB"/>
    <w:rsid w:val="00D13FE1"/>
    <w:rsid w:val="00D141A6"/>
    <w:rsid w:val="00D1422E"/>
    <w:rsid w:val="00D1428B"/>
    <w:rsid w:val="00D14326"/>
    <w:rsid w:val="00D143F7"/>
    <w:rsid w:val="00D14416"/>
    <w:rsid w:val="00D14532"/>
    <w:rsid w:val="00D14557"/>
    <w:rsid w:val="00D145B0"/>
    <w:rsid w:val="00D14614"/>
    <w:rsid w:val="00D14780"/>
    <w:rsid w:val="00D14783"/>
    <w:rsid w:val="00D1481B"/>
    <w:rsid w:val="00D14975"/>
    <w:rsid w:val="00D14A30"/>
    <w:rsid w:val="00D14C80"/>
    <w:rsid w:val="00D14DD0"/>
    <w:rsid w:val="00D14DD6"/>
    <w:rsid w:val="00D14E0D"/>
    <w:rsid w:val="00D14E81"/>
    <w:rsid w:val="00D1505D"/>
    <w:rsid w:val="00D150CD"/>
    <w:rsid w:val="00D15257"/>
    <w:rsid w:val="00D1531B"/>
    <w:rsid w:val="00D15442"/>
    <w:rsid w:val="00D154D2"/>
    <w:rsid w:val="00D156F2"/>
    <w:rsid w:val="00D157EF"/>
    <w:rsid w:val="00D158DE"/>
    <w:rsid w:val="00D15979"/>
    <w:rsid w:val="00D159B2"/>
    <w:rsid w:val="00D159CE"/>
    <w:rsid w:val="00D159D2"/>
    <w:rsid w:val="00D15A16"/>
    <w:rsid w:val="00D15B2A"/>
    <w:rsid w:val="00D15B87"/>
    <w:rsid w:val="00D15C33"/>
    <w:rsid w:val="00D15C8B"/>
    <w:rsid w:val="00D15F35"/>
    <w:rsid w:val="00D16054"/>
    <w:rsid w:val="00D16114"/>
    <w:rsid w:val="00D161D1"/>
    <w:rsid w:val="00D1644A"/>
    <w:rsid w:val="00D16519"/>
    <w:rsid w:val="00D16595"/>
    <w:rsid w:val="00D16668"/>
    <w:rsid w:val="00D16709"/>
    <w:rsid w:val="00D167E3"/>
    <w:rsid w:val="00D167F4"/>
    <w:rsid w:val="00D1680E"/>
    <w:rsid w:val="00D16855"/>
    <w:rsid w:val="00D168DC"/>
    <w:rsid w:val="00D16B28"/>
    <w:rsid w:val="00D16CED"/>
    <w:rsid w:val="00D16D0C"/>
    <w:rsid w:val="00D16D55"/>
    <w:rsid w:val="00D16E7A"/>
    <w:rsid w:val="00D16FC0"/>
    <w:rsid w:val="00D170C7"/>
    <w:rsid w:val="00D17215"/>
    <w:rsid w:val="00D174A3"/>
    <w:rsid w:val="00D17530"/>
    <w:rsid w:val="00D1767D"/>
    <w:rsid w:val="00D1768D"/>
    <w:rsid w:val="00D177FE"/>
    <w:rsid w:val="00D17880"/>
    <w:rsid w:val="00D178D0"/>
    <w:rsid w:val="00D179D3"/>
    <w:rsid w:val="00D17A56"/>
    <w:rsid w:val="00D17CA3"/>
    <w:rsid w:val="00D17DF2"/>
    <w:rsid w:val="00D17EBE"/>
    <w:rsid w:val="00D2005F"/>
    <w:rsid w:val="00D202B8"/>
    <w:rsid w:val="00D2037B"/>
    <w:rsid w:val="00D20542"/>
    <w:rsid w:val="00D2055F"/>
    <w:rsid w:val="00D20685"/>
    <w:rsid w:val="00D20740"/>
    <w:rsid w:val="00D2076D"/>
    <w:rsid w:val="00D2078A"/>
    <w:rsid w:val="00D207F4"/>
    <w:rsid w:val="00D20843"/>
    <w:rsid w:val="00D2088F"/>
    <w:rsid w:val="00D2098A"/>
    <w:rsid w:val="00D2099E"/>
    <w:rsid w:val="00D209A9"/>
    <w:rsid w:val="00D209B9"/>
    <w:rsid w:val="00D20A7F"/>
    <w:rsid w:val="00D20DA0"/>
    <w:rsid w:val="00D20E58"/>
    <w:rsid w:val="00D20E71"/>
    <w:rsid w:val="00D20E72"/>
    <w:rsid w:val="00D20EED"/>
    <w:rsid w:val="00D210CA"/>
    <w:rsid w:val="00D2111B"/>
    <w:rsid w:val="00D21124"/>
    <w:rsid w:val="00D213C6"/>
    <w:rsid w:val="00D213F3"/>
    <w:rsid w:val="00D21724"/>
    <w:rsid w:val="00D218AE"/>
    <w:rsid w:val="00D21957"/>
    <w:rsid w:val="00D21A00"/>
    <w:rsid w:val="00D21B87"/>
    <w:rsid w:val="00D21D2B"/>
    <w:rsid w:val="00D21D96"/>
    <w:rsid w:val="00D21FE2"/>
    <w:rsid w:val="00D22273"/>
    <w:rsid w:val="00D22277"/>
    <w:rsid w:val="00D222EC"/>
    <w:rsid w:val="00D223D9"/>
    <w:rsid w:val="00D22556"/>
    <w:rsid w:val="00D225AA"/>
    <w:rsid w:val="00D22622"/>
    <w:rsid w:val="00D2267A"/>
    <w:rsid w:val="00D22814"/>
    <w:rsid w:val="00D2283B"/>
    <w:rsid w:val="00D22967"/>
    <w:rsid w:val="00D22A02"/>
    <w:rsid w:val="00D22A32"/>
    <w:rsid w:val="00D22B68"/>
    <w:rsid w:val="00D22C16"/>
    <w:rsid w:val="00D22D50"/>
    <w:rsid w:val="00D22DCE"/>
    <w:rsid w:val="00D22F1D"/>
    <w:rsid w:val="00D2308F"/>
    <w:rsid w:val="00D23154"/>
    <w:rsid w:val="00D232E9"/>
    <w:rsid w:val="00D2331A"/>
    <w:rsid w:val="00D23326"/>
    <w:rsid w:val="00D2336E"/>
    <w:rsid w:val="00D233C0"/>
    <w:rsid w:val="00D23595"/>
    <w:rsid w:val="00D2359D"/>
    <w:rsid w:val="00D235AD"/>
    <w:rsid w:val="00D235BC"/>
    <w:rsid w:val="00D2368A"/>
    <w:rsid w:val="00D236A1"/>
    <w:rsid w:val="00D23752"/>
    <w:rsid w:val="00D2375B"/>
    <w:rsid w:val="00D238A3"/>
    <w:rsid w:val="00D2396D"/>
    <w:rsid w:val="00D23992"/>
    <w:rsid w:val="00D239F6"/>
    <w:rsid w:val="00D23A56"/>
    <w:rsid w:val="00D23ABB"/>
    <w:rsid w:val="00D23C2E"/>
    <w:rsid w:val="00D24210"/>
    <w:rsid w:val="00D2425A"/>
    <w:rsid w:val="00D242BD"/>
    <w:rsid w:val="00D24418"/>
    <w:rsid w:val="00D2443E"/>
    <w:rsid w:val="00D2449E"/>
    <w:rsid w:val="00D245F9"/>
    <w:rsid w:val="00D24664"/>
    <w:rsid w:val="00D246BD"/>
    <w:rsid w:val="00D24712"/>
    <w:rsid w:val="00D2484B"/>
    <w:rsid w:val="00D2495B"/>
    <w:rsid w:val="00D2497D"/>
    <w:rsid w:val="00D24A1B"/>
    <w:rsid w:val="00D24AF3"/>
    <w:rsid w:val="00D24BB9"/>
    <w:rsid w:val="00D24D30"/>
    <w:rsid w:val="00D24F12"/>
    <w:rsid w:val="00D2507E"/>
    <w:rsid w:val="00D25142"/>
    <w:rsid w:val="00D252D9"/>
    <w:rsid w:val="00D25323"/>
    <w:rsid w:val="00D25371"/>
    <w:rsid w:val="00D25444"/>
    <w:rsid w:val="00D25490"/>
    <w:rsid w:val="00D255A8"/>
    <w:rsid w:val="00D257D7"/>
    <w:rsid w:val="00D25AFA"/>
    <w:rsid w:val="00D25B04"/>
    <w:rsid w:val="00D25B26"/>
    <w:rsid w:val="00D25C5F"/>
    <w:rsid w:val="00D25E0E"/>
    <w:rsid w:val="00D260C2"/>
    <w:rsid w:val="00D26182"/>
    <w:rsid w:val="00D262A7"/>
    <w:rsid w:val="00D26433"/>
    <w:rsid w:val="00D2655C"/>
    <w:rsid w:val="00D26562"/>
    <w:rsid w:val="00D26662"/>
    <w:rsid w:val="00D26A1F"/>
    <w:rsid w:val="00D26A4A"/>
    <w:rsid w:val="00D26B91"/>
    <w:rsid w:val="00D26BBB"/>
    <w:rsid w:val="00D26DD9"/>
    <w:rsid w:val="00D26E26"/>
    <w:rsid w:val="00D26EC5"/>
    <w:rsid w:val="00D26F22"/>
    <w:rsid w:val="00D26FAA"/>
    <w:rsid w:val="00D26FFD"/>
    <w:rsid w:val="00D2700F"/>
    <w:rsid w:val="00D270C9"/>
    <w:rsid w:val="00D27185"/>
    <w:rsid w:val="00D27198"/>
    <w:rsid w:val="00D2737F"/>
    <w:rsid w:val="00D273DA"/>
    <w:rsid w:val="00D27496"/>
    <w:rsid w:val="00D274CB"/>
    <w:rsid w:val="00D275F2"/>
    <w:rsid w:val="00D275FC"/>
    <w:rsid w:val="00D27680"/>
    <w:rsid w:val="00D2768A"/>
    <w:rsid w:val="00D276CF"/>
    <w:rsid w:val="00D2778E"/>
    <w:rsid w:val="00D27807"/>
    <w:rsid w:val="00D27899"/>
    <w:rsid w:val="00D278DC"/>
    <w:rsid w:val="00D27989"/>
    <w:rsid w:val="00D279AC"/>
    <w:rsid w:val="00D279BE"/>
    <w:rsid w:val="00D27A34"/>
    <w:rsid w:val="00D27A6B"/>
    <w:rsid w:val="00D27B65"/>
    <w:rsid w:val="00D27DD2"/>
    <w:rsid w:val="00D27ECF"/>
    <w:rsid w:val="00D27F21"/>
    <w:rsid w:val="00D27F51"/>
    <w:rsid w:val="00D30020"/>
    <w:rsid w:val="00D30087"/>
    <w:rsid w:val="00D30153"/>
    <w:rsid w:val="00D3015D"/>
    <w:rsid w:val="00D30312"/>
    <w:rsid w:val="00D30356"/>
    <w:rsid w:val="00D303CF"/>
    <w:rsid w:val="00D30507"/>
    <w:rsid w:val="00D305D7"/>
    <w:rsid w:val="00D30656"/>
    <w:rsid w:val="00D30683"/>
    <w:rsid w:val="00D30739"/>
    <w:rsid w:val="00D3075E"/>
    <w:rsid w:val="00D3079D"/>
    <w:rsid w:val="00D307F3"/>
    <w:rsid w:val="00D30882"/>
    <w:rsid w:val="00D309DB"/>
    <w:rsid w:val="00D30AAC"/>
    <w:rsid w:val="00D30BAC"/>
    <w:rsid w:val="00D30C06"/>
    <w:rsid w:val="00D30E75"/>
    <w:rsid w:val="00D3101E"/>
    <w:rsid w:val="00D31059"/>
    <w:rsid w:val="00D31084"/>
    <w:rsid w:val="00D310C8"/>
    <w:rsid w:val="00D312A9"/>
    <w:rsid w:val="00D313B1"/>
    <w:rsid w:val="00D31403"/>
    <w:rsid w:val="00D3142A"/>
    <w:rsid w:val="00D31517"/>
    <w:rsid w:val="00D31693"/>
    <w:rsid w:val="00D316AC"/>
    <w:rsid w:val="00D316BE"/>
    <w:rsid w:val="00D317FD"/>
    <w:rsid w:val="00D318C2"/>
    <w:rsid w:val="00D31DC7"/>
    <w:rsid w:val="00D3208A"/>
    <w:rsid w:val="00D3215F"/>
    <w:rsid w:val="00D3217E"/>
    <w:rsid w:val="00D321C8"/>
    <w:rsid w:val="00D323CB"/>
    <w:rsid w:val="00D3257E"/>
    <w:rsid w:val="00D3283B"/>
    <w:rsid w:val="00D328B3"/>
    <w:rsid w:val="00D328E6"/>
    <w:rsid w:val="00D329BD"/>
    <w:rsid w:val="00D329E6"/>
    <w:rsid w:val="00D329EB"/>
    <w:rsid w:val="00D32AB5"/>
    <w:rsid w:val="00D32ADF"/>
    <w:rsid w:val="00D32BEF"/>
    <w:rsid w:val="00D32BF1"/>
    <w:rsid w:val="00D32C6F"/>
    <w:rsid w:val="00D32CAD"/>
    <w:rsid w:val="00D32CD6"/>
    <w:rsid w:val="00D32F0F"/>
    <w:rsid w:val="00D32FE5"/>
    <w:rsid w:val="00D3300C"/>
    <w:rsid w:val="00D3315F"/>
    <w:rsid w:val="00D33180"/>
    <w:rsid w:val="00D3321E"/>
    <w:rsid w:val="00D33340"/>
    <w:rsid w:val="00D33556"/>
    <w:rsid w:val="00D3371D"/>
    <w:rsid w:val="00D338FF"/>
    <w:rsid w:val="00D33920"/>
    <w:rsid w:val="00D33956"/>
    <w:rsid w:val="00D3396C"/>
    <w:rsid w:val="00D339E0"/>
    <w:rsid w:val="00D339FC"/>
    <w:rsid w:val="00D33A5C"/>
    <w:rsid w:val="00D33A77"/>
    <w:rsid w:val="00D33B2C"/>
    <w:rsid w:val="00D33BDE"/>
    <w:rsid w:val="00D33C41"/>
    <w:rsid w:val="00D33C84"/>
    <w:rsid w:val="00D33CAC"/>
    <w:rsid w:val="00D33D5B"/>
    <w:rsid w:val="00D33E2F"/>
    <w:rsid w:val="00D33ED0"/>
    <w:rsid w:val="00D33F2D"/>
    <w:rsid w:val="00D33F44"/>
    <w:rsid w:val="00D33F4D"/>
    <w:rsid w:val="00D33FB5"/>
    <w:rsid w:val="00D33FEB"/>
    <w:rsid w:val="00D3401A"/>
    <w:rsid w:val="00D3415B"/>
    <w:rsid w:val="00D341FF"/>
    <w:rsid w:val="00D34355"/>
    <w:rsid w:val="00D343E9"/>
    <w:rsid w:val="00D34648"/>
    <w:rsid w:val="00D347B9"/>
    <w:rsid w:val="00D34937"/>
    <w:rsid w:val="00D349AD"/>
    <w:rsid w:val="00D34B04"/>
    <w:rsid w:val="00D34B50"/>
    <w:rsid w:val="00D34B99"/>
    <w:rsid w:val="00D34CBA"/>
    <w:rsid w:val="00D34D8F"/>
    <w:rsid w:val="00D35075"/>
    <w:rsid w:val="00D351CA"/>
    <w:rsid w:val="00D35293"/>
    <w:rsid w:val="00D35359"/>
    <w:rsid w:val="00D35381"/>
    <w:rsid w:val="00D354AA"/>
    <w:rsid w:val="00D3559A"/>
    <w:rsid w:val="00D35644"/>
    <w:rsid w:val="00D3567F"/>
    <w:rsid w:val="00D357B2"/>
    <w:rsid w:val="00D3591A"/>
    <w:rsid w:val="00D35AF5"/>
    <w:rsid w:val="00D35B15"/>
    <w:rsid w:val="00D35B55"/>
    <w:rsid w:val="00D35B9E"/>
    <w:rsid w:val="00D36044"/>
    <w:rsid w:val="00D36158"/>
    <w:rsid w:val="00D36188"/>
    <w:rsid w:val="00D361E5"/>
    <w:rsid w:val="00D36258"/>
    <w:rsid w:val="00D36328"/>
    <w:rsid w:val="00D36391"/>
    <w:rsid w:val="00D36510"/>
    <w:rsid w:val="00D36611"/>
    <w:rsid w:val="00D368CA"/>
    <w:rsid w:val="00D369E9"/>
    <w:rsid w:val="00D36AB3"/>
    <w:rsid w:val="00D36AB6"/>
    <w:rsid w:val="00D36B4C"/>
    <w:rsid w:val="00D36B7A"/>
    <w:rsid w:val="00D36BC1"/>
    <w:rsid w:val="00D36C4D"/>
    <w:rsid w:val="00D36C84"/>
    <w:rsid w:val="00D36D3B"/>
    <w:rsid w:val="00D36D5A"/>
    <w:rsid w:val="00D36FB9"/>
    <w:rsid w:val="00D3706D"/>
    <w:rsid w:val="00D37270"/>
    <w:rsid w:val="00D372B2"/>
    <w:rsid w:val="00D37515"/>
    <w:rsid w:val="00D37546"/>
    <w:rsid w:val="00D375A1"/>
    <w:rsid w:val="00D375F0"/>
    <w:rsid w:val="00D3762C"/>
    <w:rsid w:val="00D37702"/>
    <w:rsid w:val="00D3772C"/>
    <w:rsid w:val="00D37738"/>
    <w:rsid w:val="00D377CD"/>
    <w:rsid w:val="00D377D5"/>
    <w:rsid w:val="00D37A3A"/>
    <w:rsid w:val="00D37B0B"/>
    <w:rsid w:val="00D37BDF"/>
    <w:rsid w:val="00D37BE7"/>
    <w:rsid w:val="00D37CCE"/>
    <w:rsid w:val="00D37D18"/>
    <w:rsid w:val="00D37D3D"/>
    <w:rsid w:val="00D37E05"/>
    <w:rsid w:val="00D37ECE"/>
    <w:rsid w:val="00D37F49"/>
    <w:rsid w:val="00D40112"/>
    <w:rsid w:val="00D402A3"/>
    <w:rsid w:val="00D402AC"/>
    <w:rsid w:val="00D40317"/>
    <w:rsid w:val="00D406FC"/>
    <w:rsid w:val="00D4074B"/>
    <w:rsid w:val="00D4086E"/>
    <w:rsid w:val="00D4088D"/>
    <w:rsid w:val="00D409B3"/>
    <w:rsid w:val="00D40A2B"/>
    <w:rsid w:val="00D40A9E"/>
    <w:rsid w:val="00D40AD9"/>
    <w:rsid w:val="00D40B18"/>
    <w:rsid w:val="00D40B55"/>
    <w:rsid w:val="00D40C24"/>
    <w:rsid w:val="00D40C48"/>
    <w:rsid w:val="00D40C60"/>
    <w:rsid w:val="00D40CD2"/>
    <w:rsid w:val="00D40D87"/>
    <w:rsid w:val="00D40E48"/>
    <w:rsid w:val="00D40E66"/>
    <w:rsid w:val="00D40F8C"/>
    <w:rsid w:val="00D40F9A"/>
    <w:rsid w:val="00D40FE2"/>
    <w:rsid w:val="00D41135"/>
    <w:rsid w:val="00D4116F"/>
    <w:rsid w:val="00D412D1"/>
    <w:rsid w:val="00D4132D"/>
    <w:rsid w:val="00D41438"/>
    <w:rsid w:val="00D415F8"/>
    <w:rsid w:val="00D4178B"/>
    <w:rsid w:val="00D418AA"/>
    <w:rsid w:val="00D419C6"/>
    <w:rsid w:val="00D41B3F"/>
    <w:rsid w:val="00D41BA9"/>
    <w:rsid w:val="00D41E7A"/>
    <w:rsid w:val="00D421DD"/>
    <w:rsid w:val="00D42226"/>
    <w:rsid w:val="00D422FD"/>
    <w:rsid w:val="00D42381"/>
    <w:rsid w:val="00D42403"/>
    <w:rsid w:val="00D4244A"/>
    <w:rsid w:val="00D424BC"/>
    <w:rsid w:val="00D42654"/>
    <w:rsid w:val="00D4280D"/>
    <w:rsid w:val="00D42833"/>
    <w:rsid w:val="00D428A5"/>
    <w:rsid w:val="00D428C3"/>
    <w:rsid w:val="00D42B3E"/>
    <w:rsid w:val="00D42D9D"/>
    <w:rsid w:val="00D42DCC"/>
    <w:rsid w:val="00D42DD1"/>
    <w:rsid w:val="00D42EF7"/>
    <w:rsid w:val="00D42FA0"/>
    <w:rsid w:val="00D42FD5"/>
    <w:rsid w:val="00D43065"/>
    <w:rsid w:val="00D43096"/>
    <w:rsid w:val="00D4314E"/>
    <w:rsid w:val="00D43189"/>
    <w:rsid w:val="00D43194"/>
    <w:rsid w:val="00D43239"/>
    <w:rsid w:val="00D43297"/>
    <w:rsid w:val="00D432BB"/>
    <w:rsid w:val="00D43359"/>
    <w:rsid w:val="00D43372"/>
    <w:rsid w:val="00D434B9"/>
    <w:rsid w:val="00D434DC"/>
    <w:rsid w:val="00D43597"/>
    <w:rsid w:val="00D435AE"/>
    <w:rsid w:val="00D43786"/>
    <w:rsid w:val="00D43967"/>
    <w:rsid w:val="00D43CDC"/>
    <w:rsid w:val="00D43E4B"/>
    <w:rsid w:val="00D43F24"/>
    <w:rsid w:val="00D43F6A"/>
    <w:rsid w:val="00D43F9A"/>
    <w:rsid w:val="00D43FAB"/>
    <w:rsid w:val="00D440F3"/>
    <w:rsid w:val="00D441B3"/>
    <w:rsid w:val="00D4428C"/>
    <w:rsid w:val="00D446FD"/>
    <w:rsid w:val="00D44793"/>
    <w:rsid w:val="00D447B8"/>
    <w:rsid w:val="00D448A9"/>
    <w:rsid w:val="00D44A7C"/>
    <w:rsid w:val="00D44A93"/>
    <w:rsid w:val="00D44B7B"/>
    <w:rsid w:val="00D44BD7"/>
    <w:rsid w:val="00D44BDB"/>
    <w:rsid w:val="00D44C19"/>
    <w:rsid w:val="00D44C6D"/>
    <w:rsid w:val="00D44D54"/>
    <w:rsid w:val="00D44E31"/>
    <w:rsid w:val="00D44EE4"/>
    <w:rsid w:val="00D452AB"/>
    <w:rsid w:val="00D452E6"/>
    <w:rsid w:val="00D453A6"/>
    <w:rsid w:val="00D45425"/>
    <w:rsid w:val="00D45429"/>
    <w:rsid w:val="00D45471"/>
    <w:rsid w:val="00D45530"/>
    <w:rsid w:val="00D458E8"/>
    <w:rsid w:val="00D45920"/>
    <w:rsid w:val="00D45B95"/>
    <w:rsid w:val="00D45D7B"/>
    <w:rsid w:val="00D45FAA"/>
    <w:rsid w:val="00D46036"/>
    <w:rsid w:val="00D461E0"/>
    <w:rsid w:val="00D46248"/>
    <w:rsid w:val="00D46254"/>
    <w:rsid w:val="00D462C5"/>
    <w:rsid w:val="00D463DA"/>
    <w:rsid w:val="00D464E1"/>
    <w:rsid w:val="00D466E5"/>
    <w:rsid w:val="00D46738"/>
    <w:rsid w:val="00D4676E"/>
    <w:rsid w:val="00D4693D"/>
    <w:rsid w:val="00D46990"/>
    <w:rsid w:val="00D46A56"/>
    <w:rsid w:val="00D46B0C"/>
    <w:rsid w:val="00D46C22"/>
    <w:rsid w:val="00D46CCD"/>
    <w:rsid w:val="00D46E6E"/>
    <w:rsid w:val="00D46F27"/>
    <w:rsid w:val="00D46F3B"/>
    <w:rsid w:val="00D47017"/>
    <w:rsid w:val="00D470D2"/>
    <w:rsid w:val="00D47111"/>
    <w:rsid w:val="00D47127"/>
    <w:rsid w:val="00D47306"/>
    <w:rsid w:val="00D47352"/>
    <w:rsid w:val="00D47373"/>
    <w:rsid w:val="00D47479"/>
    <w:rsid w:val="00D475F7"/>
    <w:rsid w:val="00D4777D"/>
    <w:rsid w:val="00D477DC"/>
    <w:rsid w:val="00D4794A"/>
    <w:rsid w:val="00D479BF"/>
    <w:rsid w:val="00D47BCD"/>
    <w:rsid w:val="00D47D3C"/>
    <w:rsid w:val="00D47D93"/>
    <w:rsid w:val="00D47D94"/>
    <w:rsid w:val="00D47E72"/>
    <w:rsid w:val="00D47EA6"/>
    <w:rsid w:val="00D47F07"/>
    <w:rsid w:val="00D47F13"/>
    <w:rsid w:val="00D500DE"/>
    <w:rsid w:val="00D501E1"/>
    <w:rsid w:val="00D50273"/>
    <w:rsid w:val="00D503D7"/>
    <w:rsid w:val="00D505DA"/>
    <w:rsid w:val="00D50781"/>
    <w:rsid w:val="00D508CF"/>
    <w:rsid w:val="00D50A13"/>
    <w:rsid w:val="00D50BA9"/>
    <w:rsid w:val="00D50BEE"/>
    <w:rsid w:val="00D50C32"/>
    <w:rsid w:val="00D50C81"/>
    <w:rsid w:val="00D50E50"/>
    <w:rsid w:val="00D50F10"/>
    <w:rsid w:val="00D50F9C"/>
    <w:rsid w:val="00D5105E"/>
    <w:rsid w:val="00D51162"/>
    <w:rsid w:val="00D51170"/>
    <w:rsid w:val="00D5119A"/>
    <w:rsid w:val="00D512DC"/>
    <w:rsid w:val="00D51338"/>
    <w:rsid w:val="00D51520"/>
    <w:rsid w:val="00D5152C"/>
    <w:rsid w:val="00D51625"/>
    <w:rsid w:val="00D51641"/>
    <w:rsid w:val="00D51704"/>
    <w:rsid w:val="00D51773"/>
    <w:rsid w:val="00D51997"/>
    <w:rsid w:val="00D519BE"/>
    <w:rsid w:val="00D51BC2"/>
    <w:rsid w:val="00D51C89"/>
    <w:rsid w:val="00D51CBA"/>
    <w:rsid w:val="00D51E07"/>
    <w:rsid w:val="00D51E3E"/>
    <w:rsid w:val="00D51FC0"/>
    <w:rsid w:val="00D51FE8"/>
    <w:rsid w:val="00D52024"/>
    <w:rsid w:val="00D52171"/>
    <w:rsid w:val="00D52222"/>
    <w:rsid w:val="00D52246"/>
    <w:rsid w:val="00D52296"/>
    <w:rsid w:val="00D522CF"/>
    <w:rsid w:val="00D523C4"/>
    <w:rsid w:val="00D523DC"/>
    <w:rsid w:val="00D52532"/>
    <w:rsid w:val="00D526A8"/>
    <w:rsid w:val="00D52769"/>
    <w:rsid w:val="00D527B4"/>
    <w:rsid w:val="00D52923"/>
    <w:rsid w:val="00D5292A"/>
    <w:rsid w:val="00D529A6"/>
    <w:rsid w:val="00D529C9"/>
    <w:rsid w:val="00D529F9"/>
    <w:rsid w:val="00D52AE2"/>
    <w:rsid w:val="00D52B20"/>
    <w:rsid w:val="00D52B31"/>
    <w:rsid w:val="00D52C61"/>
    <w:rsid w:val="00D52E38"/>
    <w:rsid w:val="00D52F0B"/>
    <w:rsid w:val="00D52FE6"/>
    <w:rsid w:val="00D52FFA"/>
    <w:rsid w:val="00D5327C"/>
    <w:rsid w:val="00D533F8"/>
    <w:rsid w:val="00D534B4"/>
    <w:rsid w:val="00D5354D"/>
    <w:rsid w:val="00D53623"/>
    <w:rsid w:val="00D536D9"/>
    <w:rsid w:val="00D5377B"/>
    <w:rsid w:val="00D539AD"/>
    <w:rsid w:val="00D53AF5"/>
    <w:rsid w:val="00D53B32"/>
    <w:rsid w:val="00D53B57"/>
    <w:rsid w:val="00D53BD2"/>
    <w:rsid w:val="00D53D90"/>
    <w:rsid w:val="00D53DC4"/>
    <w:rsid w:val="00D53DF5"/>
    <w:rsid w:val="00D53DF8"/>
    <w:rsid w:val="00D53DF9"/>
    <w:rsid w:val="00D53E65"/>
    <w:rsid w:val="00D53E94"/>
    <w:rsid w:val="00D5427C"/>
    <w:rsid w:val="00D54351"/>
    <w:rsid w:val="00D54353"/>
    <w:rsid w:val="00D543BA"/>
    <w:rsid w:val="00D5449B"/>
    <w:rsid w:val="00D54543"/>
    <w:rsid w:val="00D54573"/>
    <w:rsid w:val="00D54615"/>
    <w:rsid w:val="00D5463C"/>
    <w:rsid w:val="00D547D7"/>
    <w:rsid w:val="00D5491B"/>
    <w:rsid w:val="00D54A11"/>
    <w:rsid w:val="00D54A4F"/>
    <w:rsid w:val="00D54B50"/>
    <w:rsid w:val="00D54B95"/>
    <w:rsid w:val="00D54C4C"/>
    <w:rsid w:val="00D54DA2"/>
    <w:rsid w:val="00D54E45"/>
    <w:rsid w:val="00D54F0F"/>
    <w:rsid w:val="00D5515F"/>
    <w:rsid w:val="00D55328"/>
    <w:rsid w:val="00D55490"/>
    <w:rsid w:val="00D55561"/>
    <w:rsid w:val="00D5557A"/>
    <w:rsid w:val="00D55597"/>
    <w:rsid w:val="00D5567A"/>
    <w:rsid w:val="00D556E8"/>
    <w:rsid w:val="00D55834"/>
    <w:rsid w:val="00D55948"/>
    <w:rsid w:val="00D559A7"/>
    <w:rsid w:val="00D559F0"/>
    <w:rsid w:val="00D55A9E"/>
    <w:rsid w:val="00D55B2F"/>
    <w:rsid w:val="00D55B54"/>
    <w:rsid w:val="00D55C17"/>
    <w:rsid w:val="00D55C90"/>
    <w:rsid w:val="00D55CFA"/>
    <w:rsid w:val="00D55D32"/>
    <w:rsid w:val="00D55D3F"/>
    <w:rsid w:val="00D55E52"/>
    <w:rsid w:val="00D55E91"/>
    <w:rsid w:val="00D56042"/>
    <w:rsid w:val="00D56078"/>
    <w:rsid w:val="00D56130"/>
    <w:rsid w:val="00D56283"/>
    <w:rsid w:val="00D56444"/>
    <w:rsid w:val="00D56499"/>
    <w:rsid w:val="00D565B3"/>
    <w:rsid w:val="00D565C0"/>
    <w:rsid w:val="00D56892"/>
    <w:rsid w:val="00D56982"/>
    <w:rsid w:val="00D56B62"/>
    <w:rsid w:val="00D56B89"/>
    <w:rsid w:val="00D56C77"/>
    <w:rsid w:val="00D56D58"/>
    <w:rsid w:val="00D56FBF"/>
    <w:rsid w:val="00D57128"/>
    <w:rsid w:val="00D57165"/>
    <w:rsid w:val="00D57364"/>
    <w:rsid w:val="00D57514"/>
    <w:rsid w:val="00D5758E"/>
    <w:rsid w:val="00D5759B"/>
    <w:rsid w:val="00D577F5"/>
    <w:rsid w:val="00D5789B"/>
    <w:rsid w:val="00D5792D"/>
    <w:rsid w:val="00D579B3"/>
    <w:rsid w:val="00D57B9D"/>
    <w:rsid w:val="00D57D0A"/>
    <w:rsid w:val="00D57D95"/>
    <w:rsid w:val="00D57E69"/>
    <w:rsid w:val="00D57EF7"/>
    <w:rsid w:val="00D57F3D"/>
    <w:rsid w:val="00D57FAB"/>
    <w:rsid w:val="00D600FD"/>
    <w:rsid w:val="00D60122"/>
    <w:rsid w:val="00D602C8"/>
    <w:rsid w:val="00D60303"/>
    <w:rsid w:val="00D60714"/>
    <w:rsid w:val="00D6093B"/>
    <w:rsid w:val="00D60A2E"/>
    <w:rsid w:val="00D60A48"/>
    <w:rsid w:val="00D60B1F"/>
    <w:rsid w:val="00D60FB7"/>
    <w:rsid w:val="00D61014"/>
    <w:rsid w:val="00D61083"/>
    <w:rsid w:val="00D61113"/>
    <w:rsid w:val="00D61215"/>
    <w:rsid w:val="00D61303"/>
    <w:rsid w:val="00D613C1"/>
    <w:rsid w:val="00D613C2"/>
    <w:rsid w:val="00D61416"/>
    <w:rsid w:val="00D614E2"/>
    <w:rsid w:val="00D615D1"/>
    <w:rsid w:val="00D61845"/>
    <w:rsid w:val="00D6188A"/>
    <w:rsid w:val="00D618BC"/>
    <w:rsid w:val="00D6195B"/>
    <w:rsid w:val="00D619C4"/>
    <w:rsid w:val="00D61AA0"/>
    <w:rsid w:val="00D61AE1"/>
    <w:rsid w:val="00D61AE3"/>
    <w:rsid w:val="00D61DB9"/>
    <w:rsid w:val="00D61E9B"/>
    <w:rsid w:val="00D61FB9"/>
    <w:rsid w:val="00D61FF5"/>
    <w:rsid w:val="00D62069"/>
    <w:rsid w:val="00D62075"/>
    <w:rsid w:val="00D6207D"/>
    <w:rsid w:val="00D620CB"/>
    <w:rsid w:val="00D6213C"/>
    <w:rsid w:val="00D62423"/>
    <w:rsid w:val="00D6246C"/>
    <w:rsid w:val="00D62495"/>
    <w:rsid w:val="00D624DE"/>
    <w:rsid w:val="00D62562"/>
    <w:rsid w:val="00D62636"/>
    <w:rsid w:val="00D626C1"/>
    <w:rsid w:val="00D627DF"/>
    <w:rsid w:val="00D628E9"/>
    <w:rsid w:val="00D6296C"/>
    <w:rsid w:val="00D62A92"/>
    <w:rsid w:val="00D62B68"/>
    <w:rsid w:val="00D62C85"/>
    <w:rsid w:val="00D62C93"/>
    <w:rsid w:val="00D62D02"/>
    <w:rsid w:val="00D62E4F"/>
    <w:rsid w:val="00D62F96"/>
    <w:rsid w:val="00D62FA9"/>
    <w:rsid w:val="00D62FAB"/>
    <w:rsid w:val="00D6307C"/>
    <w:rsid w:val="00D6313B"/>
    <w:rsid w:val="00D631CC"/>
    <w:rsid w:val="00D632D3"/>
    <w:rsid w:val="00D63527"/>
    <w:rsid w:val="00D635FE"/>
    <w:rsid w:val="00D63658"/>
    <w:rsid w:val="00D63976"/>
    <w:rsid w:val="00D63A7A"/>
    <w:rsid w:val="00D63A8E"/>
    <w:rsid w:val="00D63AB0"/>
    <w:rsid w:val="00D63BC4"/>
    <w:rsid w:val="00D63CA3"/>
    <w:rsid w:val="00D63D17"/>
    <w:rsid w:val="00D63DC1"/>
    <w:rsid w:val="00D63DE7"/>
    <w:rsid w:val="00D63DEA"/>
    <w:rsid w:val="00D63ECB"/>
    <w:rsid w:val="00D63F03"/>
    <w:rsid w:val="00D640FA"/>
    <w:rsid w:val="00D64121"/>
    <w:rsid w:val="00D64144"/>
    <w:rsid w:val="00D64176"/>
    <w:rsid w:val="00D641D5"/>
    <w:rsid w:val="00D643C2"/>
    <w:rsid w:val="00D643D5"/>
    <w:rsid w:val="00D644D8"/>
    <w:rsid w:val="00D644E3"/>
    <w:rsid w:val="00D64506"/>
    <w:rsid w:val="00D64584"/>
    <w:rsid w:val="00D645D5"/>
    <w:rsid w:val="00D64612"/>
    <w:rsid w:val="00D6467C"/>
    <w:rsid w:val="00D646D4"/>
    <w:rsid w:val="00D6472C"/>
    <w:rsid w:val="00D647C4"/>
    <w:rsid w:val="00D647FC"/>
    <w:rsid w:val="00D64801"/>
    <w:rsid w:val="00D6483E"/>
    <w:rsid w:val="00D648A4"/>
    <w:rsid w:val="00D64925"/>
    <w:rsid w:val="00D64C71"/>
    <w:rsid w:val="00D64D91"/>
    <w:rsid w:val="00D64E39"/>
    <w:rsid w:val="00D64F4E"/>
    <w:rsid w:val="00D6511D"/>
    <w:rsid w:val="00D651BB"/>
    <w:rsid w:val="00D65261"/>
    <w:rsid w:val="00D655BC"/>
    <w:rsid w:val="00D65608"/>
    <w:rsid w:val="00D65787"/>
    <w:rsid w:val="00D657E0"/>
    <w:rsid w:val="00D657FB"/>
    <w:rsid w:val="00D6592C"/>
    <w:rsid w:val="00D659AF"/>
    <w:rsid w:val="00D65AE6"/>
    <w:rsid w:val="00D65B50"/>
    <w:rsid w:val="00D65C6C"/>
    <w:rsid w:val="00D65FAE"/>
    <w:rsid w:val="00D65FDE"/>
    <w:rsid w:val="00D6603C"/>
    <w:rsid w:val="00D6606F"/>
    <w:rsid w:val="00D660A2"/>
    <w:rsid w:val="00D660F3"/>
    <w:rsid w:val="00D66222"/>
    <w:rsid w:val="00D66269"/>
    <w:rsid w:val="00D662D2"/>
    <w:rsid w:val="00D663DE"/>
    <w:rsid w:val="00D6641E"/>
    <w:rsid w:val="00D66CC8"/>
    <w:rsid w:val="00D66D02"/>
    <w:rsid w:val="00D66DBB"/>
    <w:rsid w:val="00D66F47"/>
    <w:rsid w:val="00D66F4E"/>
    <w:rsid w:val="00D66F8F"/>
    <w:rsid w:val="00D67284"/>
    <w:rsid w:val="00D672DC"/>
    <w:rsid w:val="00D67487"/>
    <w:rsid w:val="00D6750D"/>
    <w:rsid w:val="00D676AD"/>
    <w:rsid w:val="00D67771"/>
    <w:rsid w:val="00D677F2"/>
    <w:rsid w:val="00D67828"/>
    <w:rsid w:val="00D67884"/>
    <w:rsid w:val="00D67914"/>
    <w:rsid w:val="00D67B01"/>
    <w:rsid w:val="00D67C6F"/>
    <w:rsid w:val="00D67CB9"/>
    <w:rsid w:val="00D67D07"/>
    <w:rsid w:val="00D67E9B"/>
    <w:rsid w:val="00D67ED7"/>
    <w:rsid w:val="00D70061"/>
    <w:rsid w:val="00D70302"/>
    <w:rsid w:val="00D70482"/>
    <w:rsid w:val="00D7051C"/>
    <w:rsid w:val="00D70535"/>
    <w:rsid w:val="00D706C1"/>
    <w:rsid w:val="00D707C3"/>
    <w:rsid w:val="00D707E0"/>
    <w:rsid w:val="00D7080F"/>
    <w:rsid w:val="00D7083A"/>
    <w:rsid w:val="00D70917"/>
    <w:rsid w:val="00D70924"/>
    <w:rsid w:val="00D70988"/>
    <w:rsid w:val="00D70A30"/>
    <w:rsid w:val="00D70AF1"/>
    <w:rsid w:val="00D70B42"/>
    <w:rsid w:val="00D70D7C"/>
    <w:rsid w:val="00D70E71"/>
    <w:rsid w:val="00D70EC2"/>
    <w:rsid w:val="00D7114B"/>
    <w:rsid w:val="00D712E2"/>
    <w:rsid w:val="00D71340"/>
    <w:rsid w:val="00D71355"/>
    <w:rsid w:val="00D713D5"/>
    <w:rsid w:val="00D7156D"/>
    <w:rsid w:val="00D7158A"/>
    <w:rsid w:val="00D715D1"/>
    <w:rsid w:val="00D716F7"/>
    <w:rsid w:val="00D71865"/>
    <w:rsid w:val="00D71A02"/>
    <w:rsid w:val="00D71A5C"/>
    <w:rsid w:val="00D71A6A"/>
    <w:rsid w:val="00D71AC7"/>
    <w:rsid w:val="00D71B5E"/>
    <w:rsid w:val="00D71BA2"/>
    <w:rsid w:val="00D71E2F"/>
    <w:rsid w:val="00D720DB"/>
    <w:rsid w:val="00D720ED"/>
    <w:rsid w:val="00D721EB"/>
    <w:rsid w:val="00D72240"/>
    <w:rsid w:val="00D72559"/>
    <w:rsid w:val="00D7258F"/>
    <w:rsid w:val="00D725F0"/>
    <w:rsid w:val="00D727A0"/>
    <w:rsid w:val="00D727FF"/>
    <w:rsid w:val="00D729BC"/>
    <w:rsid w:val="00D72A2F"/>
    <w:rsid w:val="00D72AA4"/>
    <w:rsid w:val="00D72AB9"/>
    <w:rsid w:val="00D72B9F"/>
    <w:rsid w:val="00D72C1B"/>
    <w:rsid w:val="00D72D52"/>
    <w:rsid w:val="00D72E03"/>
    <w:rsid w:val="00D72F19"/>
    <w:rsid w:val="00D72F3F"/>
    <w:rsid w:val="00D72F67"/>
    <w:rsid w:val="00D72FEE"/>
    <w:rsid w:val="00D7307A"/>
    <w:rsid w:val="00D730B6"/>
    <w:rsid w:val="00D73331"/>
    <w:rsid w:val="00D7335D"/>
    <w:rsid w:val="00D73678"/>
    <w:rsid w:val="00D73801"/>
    <w:rsid w:val="00D7392D"/>
    <w:rsid w:val="00D73A08"/>
    <w:rsid w:val="00D73A27"/>
    <w:rsid w:val="00D73A3E"/>
    <w:rsid w:val="00D73A4D"/>
    <w:rsid w:val="00D73C08"/>
    <w:rsid w:val="00D73C66"/>
    <w:rsid w:val="00D73C75"/>
    <w:rsid w:val="00D73C97"/>
    <w:rsid w:val="00D73DD8"/>
    <w:rsid w:val="00D73E14"/>
    <w:rsid w:val="00D73F74"/>
    <w:rsid w:val="00D74034"/>
    <w:rsid w:val="00D740D8"/>
    <w:rsid w:val="00D74137"/>
    <w:rsid w:val="00D74158"/>
    <w:rsid w:val="00D741F4"/>
    <w:rsid w:val="00D7421E"/>
    <w:rsid w:val="00D7426D"/>
    <w:rsid w:val="00D742AE"/>
    <w:rsid w:val="00D7432C"/>
    <w:rsid w:val="00D7449C"/>
    <w:rsid w:val="00D74529"/>
    <w:rsid w:val="00D74562"/>
    <w:rsid w:val="00D745E2"/>
    <w:rsid w:val="00D7468F"/>
    <w:rsid w:val="00D747F6"/>
    <w:rsid w:val="00D74916"/>
    <w:rsid w:val="00D7495C"/>
    <w:rsid w:val="00D74990"/>
    <w:rsid w:val="00D749C7"/>
    <w:rsid w:val="00D74A3C"/>
    <w:rsid w:val="00D74B28"/>
    <w:rsid w:val="00D74B6B"/>
    <w:rsid w:val="00D74B86"/>
    <w:rsid w:val="00D74BF6"/>
    <w:rsid w:val="00D74D8A"/>
    <w:rsid w:val="00D74DB6"/>
    <w:rsid w:val="00D74E94"/>
    <w:rsid w:val="00D74FD8"/>
    <w:rsid w:val="00D7510C"/>
    <w:rsid w:val="00D75166"/>
    <w:rsid w:val="00D7529A"/>
    <w:rsid w:val="00D7536E"/>
    <w:rsid w:val="00D753A9"/>
    <w:rsid w:val="00D753F7"/>
    <w:rsid w:val="00D754D3"/>
    <w:rsid w:val="00D7554A"/>
    <w:rsid w:val="00D755D9"/>
    <w:rsid w:val="00D755F2"/>
    <w:rsid w:val="00D75735"/>
    <w:rsid w:val="00D757C2"/>
    <w:rsid w:val="00D757C8"/>
    <w:rsid w:val="00D758BF"/>
    <w:rsid w:val="00D75900"/>
    <w:rsid w:val="00D7591E"/>
    <w:rsid w:val="00D75A38"/>
    <w:rsid w:val="00D75C17"/>
    <w:rsid w:val="00D75C89"/>
    <w:rsid w:val="00D75CE8"/>
    <w:rsid w:val="00D75CF2"/>
    <w:rsid w:val="00D75D41"/>
    <w:rsid w:val="00D75E5C"/>
    <w:rsid w:val="00D75E6A"/>
    <w:rsid w:val="00D75EC5"/>
    <w:rsid w:val="00D75FC3"/>
    <w:rsid w:val="00D76034"/>
    <w:rsid w:val="00D76042"/>
    <w:rsid w:val="00D760B0"/>
    <w:rsid w:val="00D76111"/>
    <w:rsid w:val="00D76169"/>
    <w:rsid w:val="00D76198"/>
    <w:rsid w:val="00D761BB"/>
    <w:rsid w:val="00D762BF"/>
    <w:rsid w:val="00D7633A"/>
    <w:rsid w:val="00D76385"/>
    <w:rsid w:val="00D763BC"/>
    <w:rsid w:val="00D76616"/>
    <w:rsid w:val="00D766A8"/>
    <w:rsid w:val="00D7686C"/>
    <w:rsid w:val="00D768A9"/>
    <w:rsid w:val="00D76A16"/>
    <w:rsid w:val="00D76AC6"/>
    <w:rsid w:val="00D76CEC"/>
    <w:rsid w:val="00D76CF4"/>
    <w:rsid w:val="00D76D32"/>
    <w:rsid w:val="00D76DCB"/>
    <w:rsid w:val="00D76DD1"/>
    <w:rsid w:val="00D7707E"/>
    <w:rsid w:val="00D770BB"/>
    <w:rsid w:val="00D77273"/>
    <w:rsid w:val="00D773E0"/>
    <w:rsid w:val="00D773E5"/>
    <w:rsid w:val="00D77429"/>
    <w:rsid w:val="00D77471"/>
    <w:rsid w:val="00D77793"/>
    <w:rsid w:val="00D777EF"/>
    <w:rsid w:val="00D7796F"/>
    <w:rsid w:val="00D77B8F"/>
    <w:rsid w:val="00D77BFD"/>
    <w:rsid w:val="00D77F16"/>
    <w:rsid w:val="00D801A8"/>
    <w:rsid w:val="00D80322"/>
    <w:rsid w:val="00D805A0"/>
    <w:rsid w:val="00D807B9"/>
    <w:rsid w:val="00D80941"/>
    <w:rsid w:val="00D80A28"/>
    <w:rsid w:val="00D80A52"/>
    <w:rsid w:val="00D80B10"/>
    <w:rsid w:val="00D80C3B"/>
    <w:rsid w:val="00D80CCB"/>
    <w:rsid w:val="00D80D12"/>
    <w:rsid w:val="00D8116C"/>
    <w:rsid w:val="00D81189"/>
    <w:rsid w:val="00D812D5"/>
    <w:rsid w:val="00D81363"/>
    <w:rsid w:val="00D813A9"/>
    <w:rsid w:val="00D81420"/>
    <w:rsid w:val="00D8146B"/>
    <w:rsid w:val="00D816E6"/>
    <w:rsid w:val="00D81893"/>
    <w:rsid w:val="00D818C0"/>
    <w:rsid w:val="00D819F6"/>
    <w:rsid w:val="00D81A23"/>
    <w:rsid w:val="00D81A48"/>
    <w:rsid w:val="00D81AEC"/>
    <w:rsid w:val="00D81AFB"/>
    <w:rsid w:val="00D81B02"/>
    <w:rsid w:val="00D81B33"/>
    <w:rsid w:val="00D81B8D"/>
    <w:rsid w:val="00D81BF0"/>
    <w:rsid w:val="00D81C36"/>
    <w:rsid w:val="00D82056"/>
    <w:rsid w:val="00D82136"/>
    <w:rsid w:val="00D82298"/>
    <w:rsid w:val="00D82306"/>
    <w:rsid w:val="00D8237D"/>
    <w:rsid w:val="00D82656"/>
    <w:rsid w:val="00D82888"/>
    <w:rsid w:val="00D82909"/>
    <w:rsid w:val="00D82A9C"/>
    <w:rsid w:val="00D82AC2"/>
    <w:rsid w:val="00D82BD3"/>
    <w:rsid w:val="00D82C6F"/>
    <w:rsid w:val="00D82C81"/>
    <w:rsid w:val="00D82C8B"/>
    <w:rsid w:val="00D82DAF"/>
    <w:rsid w:val="00D82E6B"/>
    <w:rsid w:val="00D82EB2"/>
    <w:rsid w:val="00D82F84"/>
    <w:rsid w:val="00D83001"/>
    <w:rsid w:val="00D832DC"/>
    <w:rsid w:val="00D833D5"/>
    <w:rsid w:val="00D834ED"/>
    <w:rsid w:val="00D8360F"/>
    <w:rsid w:val="00D837F9"/>
    <w:rsid w:val="00D83896"/>
    <w:rsid w:val="00D83C1F"/>
    <w:rsid w:val="00D83CE9"/>
    <w:rsid w:val="00D83E21"/>
    <w:rsid w:val="00D83F26"/>
    <w:rsid w:val="00D84094"/>
    <w:rsid w:val="00D8411F"/>
    <w:rsid w:val="00D84252"/>
    <w:rsid w:val="00D84535"/>
    <w:rsid w:val="00D8454C"/>
    <w:rsid w:val="00D845CB"/>
    <w:rsid w:val="00D84755"/>
    <w:rsid w:val="00D84872"/>
    <w:rsid w:val="00D848E0"/>
    <w:rsid w:val="00D84AE2"/>
    <w:rsid w:val="00D84B8C"/>
    <w:rsid w:val="00D84BE2"/>
    <w:rsid w:val="00D84CA3"/>
    <w:rsid w:val="00D84E5A"/>
    <w:rsid w:val="00D84F75"/>
    <w:rsid w:val="00D8506E"/>
    <w:rsid w:val="00D850D9"/>
    <w:rsid w:val="00D850F8"/>
    <w:rsid w:val="00D85170"/>
    <w:rsid w:val="00D853E3"/>
    <w:rsid w:val="00D85640"/>
    <w:rsid w:val="00D85674"/>
    <w:rsid w:val="00D85757"/>
    <w:rsid w:val="00D8579D"/>
    <w:rsid w:val="00D85873"/>
    <w:rsid w:val="00D859CF"/>
    <w:rsid w:val="00D85A29"/>
    <w:rsid w:val="00D85A5F"/>
    <w:rsid w:val="00D85AE3"/>
    <w:rsid w:val="00D85BB1"/>
    <w:rsid w:val="00D85DB9"/>
    <w:rsid w:val="00D85E3B"/>
    <w:rsid w:val="00D85E96"/>
    <w:rsid w:val="00D85E98"/>
    <w:rsid w:val="00D85EA0"/>
    <w:rsid w:val="00D85F41"/>
    <w:rsid w:val="00D85FFD"/>
    <w:rsid w:val="00D86093"/>
    <w:rsid w:val="00D863F2"/>
    <w:rsid w:val="00D86489"/>
    <w:rsid w:val="00D86523"/>
    <w:rsid w:val="00D865D0"/>
    <w:rsid w:val="00D86A7F"/>
    <w:rsid w:val="00D86B29"/>
    <w:rsid w:val="00D86C65"/>
    <w:rsid w:val="00D86E64"/>
    <w:rsid w:val="00D86F4A"/>
    <w:rsid w:val="00D87085"/>
    <w:rsid w:val="00D87100"/>
    <w:rsid w:val="00D8724A"/>
    <w:rsid w:val="00D8727C"/>
    <w:rsid w:val="00D872E1"/>
    <w:rsid w:val="00D87300"/>
    <w:rsid w:val="00D87460"/>
    <w:rsid w:val="00D87495"/>
    <w:rsid w:val="00D874FE"/>
    <w:rsid w:val="00D87591"/>
    <w:rsid w:val="00D875DB"/>
    <w:rsid w:val="00D875E8"/>
    <w:rsid w:val="00D876DD"/>
    <w:rsid w:val="00D87719"/>
    <w:rsid w:val="00D87973"/>
    <w:rsid w:val="00D87C65"/>
    <w:rsid w:val="00D87C8E"/>
    <w:rsid w:val="00D87C91"/>
    <w:rsid w:val="00D87EE0"/>
    <w:rsid w:val="00D900C4"/>
    <w:rsid w:val="00D9021E"/>
    <w:rsid w:val="00D90279"/>
    <w:rsid w:val="00D9030C"/>
    <w:rsid w:val="00D9036B"/>
    <w:rsid w:val="00D903A6"/>
    <w:rsid w:val="00D903C0"/>
    <w:rsid w:val="00D905C5"/>
    <w:rsid w:val="00D90607"/>
    <w:rsid w:val="00D906A8"/>
    <w:rsid w:val="00D906C7"/>
    <w:rsid w:val="00D906FD"/>
    <w:rsid w:val="00D90708"/>
    <w:rsid w:val="00D908F0"/>
    <w:rsid w:val="00D909AC"/>
    <w:rsid w:val="00D90B39"/>
    <w:rsid w:val="00D90BF7"/>
    <w:rsid w:val="00D90C7B"/>
    <w:rsid w:val="00D90C88"/>
    <w:rsid w:val="00D90CAE"/>
    <w:rsid w:val="00D90CF4"/>
    <w:rsid w:val="00D90D38"/>
    <w:rsid w:val="00D90FD1"/>
    <w:rsid w:val="00D90FDC"/>
    <w:rsid w:val="00D9107A"/>
    <w:rsid w:val="00D910C5"/>
    <w:rsid w:val="00D9118C"/>
    <w:rsid w:val="00D91293"/>
    <w:rsid w:val="00D91318"/>
    <w:rsid w:val="00D913B2"/>
    <w:rsid w:val="00D913CC"/>
    <w:rsid w:val="00D9152C"/>
    <w:rsid w:val="00D91587"/>
    <w:rsid w:val="00D91699"/>
    <w:rsid w:val="00D9171E"/>
    <w:rsid w:val="00D91760"/>
    <w:rsid w:val="00D917D4"/>
    <w:rsid w:val="00D918BB"/>
    <w:rsid w:val="00D91BC3"/>
    <w:rsid w:val="00D91BC6"/>
    <w:rsid w:val="00D91D81"/>
    <w:rsid w:val="00D91D8C"/>
    <w:rsid w:val="00D91E32"/>
    <w:rsid w:val="00D91EC6"/>
    <w:rsid w:val="00D9201B"/>
    <w:rsid w:val="00D920C5"/>
    <w:rsid w:val="00D920F2"/>
    <w:rsid w:val="00D922B6"/>
    <w:rsid w:val="00D92383"/>
    <w:rsid w:val="00D925AA"/>
    <w:rsid w:val="00D926CE"/>
    <w:rsid w:val="00D92723"/>
    <w:rsid w:val="00D9279B"/>
    <w:rsid w:val="00D9279C"/>
    <w:rsid w:val="00D927AC"/>
    <w:rsid w:val="00D92974"/>
    <w:rsid w:val="00D92987"/>
    <w:rsid w:val="00D92A36"/>
    <w:rsid w:val="00D92A65"/>
    <w:rsid w:val="00D92AAC"/>
    <w:rsid w:val="00D92B89"/>
    <w:rsid w:val="00D92C1F"/>
    <w:rsid w:val="00D92D1C"/>
    <w:rsid w:val="00D92DDA"/>
    <w:rsid w:val="00D92E13"/>
    <w:rsid w:val="00D92ED5"/>
    <w:rsid w:val="00D930A4"/>
    <w:rsid w:val="00D93205"/>
    <w:rsid w:val="00D932F2"/>
    <w:rsid w:val="00D93318"/>
    <w:rsid w:val="00D935C8"/>
    <w:rsid w:val="00D9369B"/>
    <w:rsid w:val="00D93727"/>
    <w:rsid w:val="00D938ED"/>
    <w:rsid w:val="00D9393F"/>
    <w:rsid w:val="00D93991"/>
    <w:rsid w:val="00D93ADB"/>
    <w:rsid w:val="00D93AF6"/>
    <w:rsid w:val="00D93CE1"/>
    <w:rsid w:val="00D940C4"/>
    <w:rsid w:val="00D94157"/>
    <w:rsid w:val="00D94190"/>
    <w:rsid w:val="00D9423C"/>
    <w:rsid w:val="00D9425D"/>
    <w:rsid w:val="00D9426E"/>
    <w:rsid w:val="00D94397"/>
    <w:rsid w:val="00D9456E"/>
    <w:rsid w:val="00D945F5"/>
    <w:rsid w:val="00D94649"/>
    <w:rsid w:val="00D9497A"/>
    <w:rsid w:val="00D94ACC"/>
    <w:rsid w:val="00D94BB3"/>
    <w:rsid w:val="00D9513B"/>
    <w:rsid w:val="00D95228"/>
    <w:rsid w:val="00D95260"/>
    <w:rsid w:val="00D95299"/>
    <w:rsid w:val="00D9543D"/>
    <w:rsid w:val="00D9557B"/>
    <w:rsid w:val="00D9561B"/>
    <w:rsid w:val="00D95808"/>
    <w:rsid w:val="00D9587C"/>
    <w:rsid w:val="00D95AF2"/>
    <w:rsid w:val="00D95BD6"/>
    <w:rsid w:val="00D95DC2"/>
    <w:rsid w:val="00D95DF4"/>
    <w:rsid w:val="00D95E47"/>
    <w:rsid w:val="00D95E76"/>
    <w:rsid w:val="00D95F9B"/>
    <w:rsid w:val="00D95FB3"/>
    <w:rsid w:val="00D96181"/>
    <w:rsid w:val="00D961C8"/>
    <w:rsid w:val="00D96287"/>
    <w:rsid w:val="00D962F4"/>
    <w:rsid w:val="00D96323"/>
    <w:rsid w:val="00D964F8"/>
    <w:rsid w:val="00D96646"/>
    <w:rsid w:val="00D967FC"/>
    <w:rsid w:val="00D9682B"/>
    <w:rsid w:val="00D96A05"/>
    <w:rsid w:val="00D96B25"/>
    <w:rsid w:val="00D96B7D"/>
    <w:rsid w:val="00D96BB8"/>
    <w:rsid w:val="00D96CD0"/>
    <w:rsid w:val="00D96DC1"/>
    <w:rsid w:val="00D96F0A"/>
    <w:rsid w:val="00D96F5F"/>
    <w:rsid w:val="00D96F7D"/>
    <w:rsid w:val="00D9701D"/>
    <w:rsid w:val="00D9707E"/>
    <w:rsid w:val="00D97094"/>
    <w:rsid w:val="00D970EC"/>
    <w:rsid w:val="00D9713E"/>
    <w:rsid w:val="00D971CB"/>
    <w:rsid w:val="00D971E2"/>
    <w:rsid w:val="00D971FC"/>
    <w:rsid w:val="00D97251"/>
    <w:rsid w:val="00D972B4"/>
    <w:rsid w:val="00D97343"/>
    <w:rsid w:val="00D97523"/>
    <w:rsid w:val="00D9763D"/>
    <w:rsid w:val="00D97700"/>
    <w:rsid w:val="00D977E6"/>
    <w:rsid w:val="00D978E4"/>
    <w:rsid w:val="00D97A16"/>
    <w:rsid w:val="00D97BEF"/>
    <w:rsid w:val="00D97CD0"/>
    <w:rsid w:val="00D97D04"/>
    <w:rsid w:val="00D97D9E"/>
    <w:rsid w:val="00D97EFB"/>
    <w:rsid w:val="00D97FAA"/>
    <w:rsid w:val="00DA0113"/>
    <w:rsid w:val="00DA014C"/>
    <w:rsid w:val="00DA027D"/>
    <w:rsid w:val="00DA0304"/>
    <w:rsid w:val="00DA03E9"/>
    <w:rsid w:val="00DA0486"/>
    <w:rsid w:val="00DA04CF"/>
    <w:rsid w:val="00DA051E"/>
    <w:rsid w:val="00DA060F"/>
    <w:rsid w:val="00DA082D"/>
    <w:rsid w:val="00DA0895"/>
    <w:rsid w:val="00DA0B47"/>
    <w:rsid w:val="00DA0BF9"/>
    <w:rsid w:val="00DA0D89"/>
    <w:rsid w:val="00DA0E1A"/>
    <w:rsid w:val="00DA0E1D"/>
    <w:rsid w:val="00DA0E33"/>
    <w:rsid w:val="00DA0FBE"/>
    <w:rsid w:val="00DA1124"/>
    <w:rsid w:val="00DA1140"/>
    <w:rsid w:val="00DA1145"/>
    <w:rsid w:val="00DA1290"/>
    <w:rsid w:val="00DA129D"/>
    <w:rsid w:val="00DA12CE"/>
    <w:rsid w:val="00DA1555"/>
    <w:rsid w:val="00DA1614"/>
    <w:rsid w:val="00DA1636"/>
    <w:rsid w:val="00DA1829"/>
    <w:rsid w:val="00DA1A64"/>
    <w:rsid w:val="00DA1C4D"/>
    <w:rsid w:val="00DA1D01"/>
    <w:rsid w:val="00DA1E8A"/>
    <w:rsid w:val="00DA1EF6"/>
    <w:rsid w:val="00DA1EFD"/>
    <w:rsid w:val="00DA1F0F"/>
    <w:rsid w:val="00DA1FE6"/>
    <w:rsid w:val="00DA1FF6"/>
    <w:rsid w:val="00DA2135"/>
    <w:rsid w:val="00DA21E7"/>
    <w:rsid w:val="00DA2257"/>
    <w:rsid w:val="00DA23B2"/>
    <w:rsid w:val="00DA23DA"/>
    <w:rsid w:val="00DA24BA"/>
    <w:rsid w:val="00DA24D9"/>
    <w:rsid w:val="00DA28FF"/>
    <w:rsid w:val="00DA29AD"/>
    <w:rsid w:val="00DA2A41"/>
    <w:rsid w:val="00DA2AC5"/>
    <w:rsid w:val="00DA2ACB"/>
    <w:rsid w:val="00DA2B4E"/>
    <w:rsid w:val="00DA2C05"/>
    <w:rsid w:val="00DA2D23"/>
    <w:rsid w:val="00DA2D7E"/>
    <w:rsid w:val="00DA2FB2"/>
    <w:rsid w:val="00DA2FE8"/>
    <w:rsid w:val="00DA342E"/>
    <w:rsid w:val="00DA3500"/>
    <w:rsid w:val="00DA359A"/>
    <w:rsid w:val="00DA36B6"/>
    <w:rsid w:val="00DA3756"/>
    <w:rsid w:val="00DA377C"/>
    <w:rsid w:val="00DA37E7"/>
    <w:rsid w:val="00DA3823"/>
    <w:rsid w:val="00DA39E6"/>
    <w:rsid w:val="00DA3A5D"/>
    <w:rsid w:val="00DA3B5C"/>
    <w:rsid w:val="00DA3CAB"/>
    <w:rsid w:val="00DA3D03"/>
    <w:rsid w:val="00DA3DC0"/>
    <w:rsid w:val="00DA3DF8"/>
    <w:rsid w:val="00DA3EBB"/>
    <w:rsid w:val="00DA406B"/>
    <w:rsid w:val="00DA4081"/>
    <w:rsid w:val="00DA40F2"/>
    <w:rsid w:val="00DA4459"/>
    <w:rsid w:val="00DA45A1"/>
    <w:rsid w:val="00DA465B"/>
    <w:rsid w:val="00DA46AB"/>
    <w:rsid w:val="00DA4728"/>
    <w:rsid w:val="00DA4959"/>
    <w:rsid w:val="00DA499B"/>
    <w:rsid w:val="00DA49CC"/>
    <w:rsid w:val="00DA4A3F"/>
    <w:rsid w:val="00DA4C62"/>
    <w:rsid w:val="00DA4D4E"/>
    <w:rsid w:val="00DA4D75"/>
    <w:rsid w:val="00DA4DCB"/>
    <w:rsid w:val="00DA4DEB"/>
    <w:rsid w:val="00DA4FD6"/>
    <w:rsid w:val="00DA5000"/>
    <w:rsid w:val="00DA50DC"/>
    <w:rsid w:val="00DA5213"/>
    <w:rsid w:val="00DA53CE"/>
    <w:rsid w:val="00DA55C5"/>
    <w:rsid w:val="00DA57FF"/>
    <w:rsid w:val="00DA5951"/>
    <w:rsid w:val="00DA5987"/>
    <w:rsid w:val="00DA59EB"/>
    <w:rsid w:val="00DA5A0D"/>
    <w:rsid w:val="00DA5B59"/>
    <w:rsid w:val="00DA5CB3"/>
    <w:rsid w:val="00DA5D38"/>
    <w:rsid w:val="00DA5DBF"/>
    <w:rsid w:val="00DA5E7F"/>
    <w:rsid w:val="00DA5E93"/>
    <w:rsid w:val="00DA5EC6"/>
    <w:rsid w:val="00DA5ED4"/>
    <w:rsid w:val="00DA5EF8"/>
    <w:rsid w:val="00DA5F08"/>
    <w:rsid w:val="00DA5F41"/>
    <w:rsid w:val="00DA6144"/>
    <w:rsid w:val="00DA61A5"/>
    <w:rsid w:val="00DA62E1"/>
    <w:rsid w:val="00DA62E3"/>
    <w:rsid w:val="00DA64C3"/>
    <w:rsid w:val="00DA65F1"/>
    <w:rsid w:val="00DA66D5"/>
    <w:rsid w:val="00DA66DF"/>
    <w:rsid w:val="00DA66F3"/>
    <w:rsid w:val="00DA6755"/>
    <w:rsid w:val="00DA6837"/>
    <w:rsid w:val="00DA697B"/>
    <w:rsid w:val="00DA69CD"/>
    <w:rsid w:val="00DA6AA4"/>
    <w:rsid w:val="00DA6AE5"/>
    <w:rsid w:val="00DA6B19"/>
    <w:rsid w:val="00DA6B2B"/>
    <w:rsid w:val="00DA6B44"/>
    <w:rsid w:val="00DA6D0E"/>
    <w:rsid w:val="00DA6FD3"/>
    <w:rsid w:val="00DA7198"/>
    <w:rsid w:val="00DA71F3"/>
    <w:rsid w:val="00DA74DE"/>
    <w:rsid w:val="00DA7547"/>
    <w:rsid w:val="00DA759C"/>
    <w:rsid w:val="00DA75D5"/>
    <w:rsid w:val="00DA7619"/>
    <w:rsid w:val="00DA7770"/>
    <w:rsid w:val="00DA7837"/>
    <w:rsid w:val="00DA7A6A"/>
    <w:rsid w:val="00DA7B13"/>
    <w:rsid w:val="00DA7C73"/>
    <w:rsid w:val="00DA7E82"/>
    <w:rsid w:val="00DA7F70"/>
    <w:rsid w:val="00DB000C"/>
    <w:rsid w:val="00DB00BD"/>
    <w:rsid w:val="00DB0197"/>
    <w:rsid w:val="00DB01B4"/>
    <w:rsid w:val="00DB0285"/>
    <w:rsid w:val="00DB042A"/>
    <w:rsid w:val="00DB0444"/>
    <w:rsid w:val="00DB07F2"/>
    <w:rsid w:val="00DB07F6"/>
    <w:rsid w:val="00DB085A"/>
    <w:rsid w:val="00DB0887"/>
    <w:rsid w:val="00DB0995"/>
    <w:rsid w:val="00DB0A37"/>
    <w:rsid w:val="00DB0C5F"/>
    <w:rsid w:val="00DB0CDB"/>
    <w:rsid w:val="00DB0D9E"/>
    <w:rsid w:val="00DB0F13"/>
    <w:rsid w:val="00DB0F24"/>
    <w:rsid w:val="00DB0FA8"/>
    <w:rsid w:val="00DB1023"/>
    <w:rsid w:val="00DB10AB"/>
    <w:rsid w:val="00DB11BC"/>
    <w:rsid w:val="00DB129D"/>
    <w:rsid w:val="00DB131E"/>
    <w:rsid w:val="00DB1510"/>
    <w:rsid w:val="00DB1569"/>
    <w:rsid w:val="00DB15A8"/>
    <w:rsid w:val="00DB1697"/>
    <w:rsid w:val="00DB1822"/>
    <w:rsid w:val="00DB18B1"/>
    <w:rsid w:val="00DB18EE"/>
    <w:rsid w:val="00DB19C1"/>
    <w:rsid w:val="00DB1A64"/>
    <w:rsid w:val="00DB1B13"/>
    <w:rsid w:val="00DB1B30"/>
    <w:rsid w:val="00DB1BC6"/>
    <w:rsid w:val="00DB1C77"/>
    <w:rsid w:val="00DB1C7B"/>
    <w:rsid w:val="00DB1E06"/>
    <w:rsid w:val="00DB1F78"/>
    <w:rsid w:val="00DB1F8A"/>
    <w:rsid w:val="00DB1F91"/>
    <w:rsid w:val="00DB207A"/>
    <w:rsid w:val="00DB2109"/>
    <w:rsid w:val="00DB2280"/>
    <w:rsid w:val="00DB232C"/>
    <w:rsid w:val="00DB24A6"/>
    <w:rsid w:val="00DB24CB"/>
    <w:rsid w:val="00DB24D9"/>
    <w:rsid w:val="00DB2619"/>
    <w:rsid w:val="00DB273F"/>
    <w:rsid w:val="00DB2821"/>
    <w:rsid w:val="00DB285D"/>
    <w:rsid w:val="00DB2B06"/>
    <w:rsid w:val="00DB2D2F"/>
    <w:rsid w:val="00DB2DD3"/>
    <w:rsid w:val="00DB2DE8"/>
    <w:rsid w:val="00DB2E2B"/>
    <w:rsid w:val="00DB2E3C"/>
    <w:rsid w:val="00DB2E9B"/>
    <w:rsid w:val="00DB303D"/>
    <w:rsid w:val="00DB3257"/>
    <w:rsid w:val="00DB32FF"/>
    <w:rsid w:val="00DB33F0"/>
    <w:rsid w:val="00DB34FA"/>
    <w:rsid w:val="00DB35F7"/>
    <w:rsid w:val="00DB380C"/>
    <w:rsid w:val="00DB38E9"/>
    <w:rsid w:val="00DB3905"/>
    <w:rsid w:val="00DB3ABE"/>
    <w:rsid w:val="00DB3B0B"/>
    <w:rsid w:val="00DB3D79"/>
    <w:rsid w:val="00DB3DF8"/>
    <w:rsid w:val="00DB3EE1"/>
    <w:rsid w:val="00DB3F9E"/>
    <w:rsid w:val="00DB4049"/>
    <w:rsid w:val="00DB4219"/>
    <w:rsid w:val="00DB44C3"/>
    <w:rsid w:val="00DB4930"/>
    <w:rsid w:val="00DB49BA"/>
    <w:rsid w:val="00DB49EE"/>
    <w:rsid w:val="00DB4ADA"/>
    <w:rsid w:val="00DB4B5C"/>
    <w:rsid w:val="00DB4C36"/>
    <w:rsid w:val="00DB4CD4"/>
    <w:rsid w:val="00DB4DB6"/>
    <w:rsid w:val="00DB4E31"/>
    <w:rsid w:val="00DB4E5F"/>
    <w:rsid w:val="00DB4ED3"/>
    <w:rsid w:val="00DB5007"/>
    <w:rsid w:val="00DB5238"/>
    <w:rsid w:val="00DB52F7"/>
    <w:rsid w:val="00DB52F8"/>
    <w:rsid w:val="00DB5414"/>
    <w:rsid w:val="00DB5476"/>
    <w:rsid w:val="00DB55E9"/>
    <w:rsid w:val="00DB563E"/>
    <w:rsid w:val="00DB591B"/>
    <w:rsid w:val="00DB592C"/>
    <w:rsid w:val="00DB5A20"/>
    <w:rsid w:val="00DB5A22"/>
    <w:rsid w:val="00DB5A54"/>
    <w:rsid w:val="00DB5C7D"/>
    <w:rsid w:val="00DB5DA7"/>
    <w:rsid w:val="00DB5EA1"/>
    <w:rsid w:val="00DB5EDC"/>
    <w:rsid w:val="00DB5F28"/>
    <w:rsid w:val="00DB6042"/>
    <w:rsid w:val="00DB60AE"/>
    <w:rsid w:val="00DB60DC"/>
    <w:rsid w:val="00DB6298"/>
    <w:rsid w:val="00DB64BC"/>
    <w:rsid w:val="00DB64C6"/>
    <w:rsid w:val="00DB650C"/>
    <w:rsid w:val="00DB660E"/>
    <w:rsid w:val="00DB662D"/>
    <w:rsid w:val="00DB663B"/>
    <w:rsid w:val="00DB6706"/>
    <w:rsid w:val="00DB6744"/>
    <w:rsid w:val="00DB6773"/>
    <w:rsid w:val="00DB6A6B"/>
    <w:rsid w:val="00DB6A91"/>
    <w:rsid w:val="00DB6A96"/>
    <w:rsid w:val="00DB6BD1"/>
    <w:rsid w:val="00DB6CA8"/>
    <w:rsid w:val="00DB6D5B"/>
    <w:rsid w:val="00DB6DC9"/>
    <w:rsid w:val="00DB6F81"/>
    <w:rsid w:val="00DB70DF"/>
    <w:rsid w:val="00DB70E5"/>
    <w:rsid w:val="00DB71AA"/>
    <w:rsid w:val="00DB71FB"/>
    <w:rsid w:val="00DB728F"/>
    <w:rsid w:val="00DB73EA"/>
    <w:rsid w:val="00DB74EB"/>
    <w:rsid w:val="00DB759D"/>
    <w:rsid w:val="00DB75DA"/>
    <w:rsid w:val="00DB76CE"/>
    <w:rsid w:val="00DB76ED"/>
    <w:rsid w:val="00DB76F2"/>
    <w:rsid w:val="00DB78A1"/>
    <w:rsid w:val="00DB7943"/>
    <w:rsid w:val="00DB7A2E"/>
    <w:rsid w:val="00DB7DE8"/>
    <w:rsid w:val="00DB7E47"/>
    <w:rsid w:val="00DC0074"/>
    <w:rsid w:val="00DC0155"/>
    <w:rsid w:val="00DC015B"/>
    <w:rsid w:val="00DC020C"/>
    <w:rsid w:val="00DC0298"/>
    <w:rsid w:val="00DC03B8"/>
    <w:rsid w:val="00DC04D4"/>
    <w:rsid w:val="00DC064B"/>
    <w:rsid w:val="00DC064C"/>
    <w:rsid w:val="00DC07AA"/>
    <w:rsid w:val="00DC07C9"/>
    <w:rsid w:val="00DC08DD"/>
    <w:rsid w:val="00DC0918"/>
    <w:rsid w:val="00DC0969"/>
    <w:rsid w:val="00DC0B30"/>
    <w:rsid w:val="00DC0EA7"/>
    <w:rsid w:val="00DC0EC1"/>
    <w:rsid w:val="00DC1078"/>
    <w:rsid w:val="00DC1198"/>
    <w:rsid w:val="00DC1363"/>
    <w:rsid w:val="00DC1413"/>
    <w:rsid w:val="00DC166E"/>
    <w:rsid w:val="00DC167F"/>
    <w:rsid w:val="00DC1ADF"/>
    <w:rsid w:val="00DC1D40"/>
    <w:rsid w:val="00DC1F26"/>
    <w:rsid w:val="00DC206D"/>
    <w:rsid w:val="00DC214A"/>
    <w:rsid w:val="00DC23E6"/>
    <w:rsid w:val="00DC24D3"/>
    <w:rsid w:val="00DC2502"/>
    <w:rsid w:val="00DC250B"/>
    <w:rsid w:val="00DC2529"/>
    <w:rsid w:val="00DC25FA"/>
    <w:rsid w:val="00DC261C"/>
    <w:rsid w:val="00DC2626"/>
    <w:rsid w:val="00DC275A"/>
    <w:rsid w:val="00DC27B1"/>
    <w:rsid w:val="00DC27ED"/>
    <w:rsid w:val="00DC27F2"/>
    <w:rsid w:val="00DC2835"/>
    <w:rsid w:val="00DC28D8"/>
    <w:rsid w:val="00DC28FB"/>
    <w:rsid w:val="00DC2A60"/>
    <w:rsid w:val="00DC2BC1"/>
    <w:rsid w:val="00DC2CC0"/>
    <w:rsid w:val="00DC2D0C"/>
    <w:rsid w:val="00DC2D7B"/>
    <w:rsid w:val="00DC2DA1"/>
    <w:rsid w:val="00DC2E03"/>
    <w:rsid w:val="00DC2E3A"/>
    <w:rsid w:val="00DC2EEF"/>
    <w:rsid w:val="00DC2FCD"/>
    <w:rsid w:val="00DC3088"/>
    <w:rsid w:val="00DC313D"/>
    <w:rsid w:val="00DC3224"/>
    <w:rsid w:val="00DC3294"/>
    <w:rsid w:val="00DC34DD"/>
    <w:rsid w:val="00DC3658"/>
    <w:rsid w:val="00DC3A32"/>
    <w:rsid w:val="00DC3AC3"/>
    <w:rsid w:val="00DC3DF9"/>
    <w:rsid w:val="00DC3FEE"/>
    <w:rsid w:val="00DC4021"/>
    <w:rsid w:val="00DC4178"/>
    <w:rsid w:val="00DC41AC"/>
    <w:rsid w:val="00DC431C"/>
    <w:rsid w:val="00DC4320"/>
    <w:rsid w:val="00DC448B"/>
    <w:rsid w:val="00DC45C1"/>
    <w:rsid w:val="00DC466F"/>
    <w:rsid w:val="00DC48FE"/>
    <w:rsid w:val="00DC4962"/>
    <w:rsid w:val="00DC4AAA"/>
    <w:rsid w:val="00DC4AB9"/>
    <w:rsid w:val="00DC4D86"/>
    <w:rsid w:val="00DC4F2D"/>
    <w:rsid w:val="00DC4FB5"/>
    <w:rsid w:val="00DC52C9"/>
    <w:rsid w:val="00DC5410"/>
    <w:rsid w:val="00DC545A"/>
    <w:rsid w:val="00DC55A1"/>
    <w:rsid w:val="00DC57CD"/>
    <w:rsid w:val="00DC5A00"/>
    <w:rsid w:val="00DC5AF6"/>
    <w:rsid w:val="00DC5B17"/>
    <w:rsid w:val="00DC5B1D"/>
    <w:rsid w:val="00DC5CDA"/>
    <w:rsid w:val="00DC5D2F"/>
    <w:rsid w:val="00DC5D66"/>
    <w:rsid w:val="00DC5DB5"/>
    <w:rsid w:val="00DC5ED3"/>
    <w:rsid w:val="00DC619D"/>
    <w:rsid w:val="00DC6314"/>
    <w:rsid w:val="00DC6357"/>
    <w:rsid w:val="00DC63BE"/>
    <w:rsid w:val="00DC6746"/>
    <w:rsid w:val="00DC677C"/>
    <w:rsid w:val="00DC67A6"/>
    <w:rsid w:val="00DC67BA"/>
    <w:rsid w:val="00DC68D1"/>
    <w:rsid w:val="00DC693E"/>
    <w:rsid w:val="00DC6ABE"/>
    <w:rsid w:val="00DC6E1A"/>
    <w:rsid w:val="00DC6E32"/>
    <w:rsid w:val="00DC6F0C"/>
    <w:rsid w:val="00DC7361"/>
    <w:rsid w:val="00DC74EA"/>
    <w:rsid w:val="00DC7525"/>
    <w:rsid w:val="00DC753E"/>
    <w:rsid w:val="00DC75A8"/>
    <w:rsid w:val="00DC76B7"/>
    <w:rsid w:val="00DC76F1"/>
    <w:rsid w:val="00DC7742"/>
    <w:rsid w:val="00DC7784"/>
    <w:rsid w:val="00DC782C"/>
    <w:rsid w:val="00DC7AE3"/>
    <w:rsid w:val="00DC7AF5"/>
    <w:rsid w:val="00DC7BD3"/>
    <w:rsid w:val="00DC7CA0"/>
    <w:rsid w:val="00DC7D30"/>
    <w:rsid w:val="00DC7E59"/>
    <w:rsid w:val="00DC7F93"/>
    <w:rsid w:val="00DD007E"/>
    <w:rsid w:val="00DD00B3"/>
    <w:rsid w:val="00DD00E7"/>
    <w:rsid w:val="00DD019A"/>
    <w:rsid w:val="00DD01F8"/>
    <w:rsid w:val="00DD0361"/>
    <w:rsid w:val="00DD038D"/>
    <w:rsid w:val="00DD0473"/>
    <w:rsid w:val="00DD0480"/>
    <w:rsid w:val="00DD0504"/>
    <w:rsid w:val="00DD0687"/>
    <w:rsid w:val="00DD06BC"/>
    <w:rsid w:val="00DD092A"/>
    <w:rsid w:val="00DD0975"/>
    <w:rsid w:val="00DD0A20"/>
    <w:rsid w:val="00DD0ADA"/>
    <w:rsid w:val="00DD0AEE"/>
    <w:rsid w:val="00DD0AFB"/>
    <w:rsid w:val="00DD0D31"/>
    <w:rsid w:val="00DD0D65"/>
    <w:rsid w:val="00DD0E98"/>
    <w:rsid w:val="00DD0F04"/>
    <w:rsid w:val="00DD0F51"/>
    <w:rsid w:val="00DD0FE7"/>
    <w:rsid w:val="00DD108B"/>
    <w:rsid w:val="00DD110D"/>
    <w:rsid w:val="00DD12A4"/>
    <w:rsid w:val="00DD1409"/>
    <w:rsid w:val="00DD140E"/>
    <w:rsid w:val="00DD15CA"/>
    <w:rsid w:val="00DD15CD"/>
    <w:rsid w:val="00DD1796"/>
    <w:rsid w:val="00DD1807"/>
    <w:rsid w:val="00DD1821"/>
    <w:rsid w:val="00DD184E"/>
    <w:rsid w:val="00DD1928"/>
    <w:rsid w:val="00DD1AE2"/>
    <w:rsid w:val="00DD1BF0"/>
    <w:rsid w:val="00DD1CCF"/>
    <w:rsid w:val="00DD1D4F"/>
    <w:rsid w:val="00DD2000"/>
    <w:rsid w:val="00DD2021"/>
    <w:rsid w:val="00DD2073"/>
    <w:rsid w:val="00DD20FB"/>
    <w:rsid w:val="00DD22B0"/>
    <w:rsid w:val="00DD22FB"/>
    <w:rsid w:val="00DD24D0"/>
    <w:rsid w:val="00DD2571"/>
    <w:rsid w:val="00DD25B6"/>
    <w:rsid w:val="00DD25B7"/>
    <w:rsid w:val="00DD2618"/>
    <w:rsid w:val="00DD2619"/>
    <w:rsid w:val="00DD2631"/>
    <w:rsid w:val="00DD2694"/>
    <w:rsid w:val="00DD2761"/>
    <w:rsid w:val="00DD29E6"/>
    <w:rsid w:val="00DD2A33"/>
    <w:rsid w:val="00DD2A7A"/>
    <w:rsid w:val="00DD2B5F"/>
    <w:rsid w:val="00DD2B81"/>
    <w:rsid w:val="00DD2C73"/>
    <w:rsid w:val="00DD2CB7"/>
    <w:rsid w:val="00DD2D15"/>
    <w:rsid w:val="00DD2E53"/>
    <w:rsid w:val="00DD2F30"/>
    <w:rsid w:val="00DD2F51"/>
    <w:rsid w:val="00DD2F68"/>
    <w:rsid w:val="00DD2FB2"/>
    <w:rsid w:val="00DD2FE2"/>
    <w:rsid w:val="00DD3104"/>
    <w:rsid w:val="00DD32B2"/>
    <w:rsid w:val="00DD33E1"/>
    <w:rsid w:val="00DD3476"/>
    <w:rsid w:val="00DD35A0"/>
    <w:rsid w:val="00DD38F0"/>
    <w:rsid w:val="00DD3941"/>
    <w:rsid w:val="00DD3972"/>
    <w:rsid w:val="00DD3B48"/>
    <w:rsid w:val="00DD3BA6"/>
    <w:rsid w:val="00DD3C53"/>
    <w:rsid w:val="00DD3CBF"/>
    <w:rsid w:val="00DD3CCC"/>
    <w:rsid w:val="00DD3FF4"/>
    <w:rsid w:val="00DD3FF6"/>
    <w:rsid w:val="00DD4019"/>
    <w:rsid w:val="00DD4031"/>
    <w:rsid w:val="00DD40A2"/>
    <w:rsid w:val="00DD41B6"/>
    <w:rsid w:val="00DD42BC"/>
    <w:rsid w:val="00DD4470"/>
    <w:rsid w:val="00DD44ED"/>
    <w:rsid w:val="00DD4535"/>
    <w:rsid w:val="00DD45C1"/>
    <w:rsid w:val="00DD4708"/>
    <w:rsid w:val="00DD4792"/>
    <w:rsid w:val="00DD47EC"/>
    <w:rsid w:val="00DD494F"/>
    <w:rsid w:val="00DD49A7"/>
    <w:rsid w:val="00DD4A18"/>
    <w:rsid w:val="00DD4A1B"/>
    <w:rsid w:val="00DD4D54"/>
    <w:rsid w:val="00DD4DC5"/>
    <w:rsid w:val="00DD4E42"/>
    <w:rsid w:val="00DD5364"/>
    <w:rsid w:val="00DD55A5"/>
    <w:rsid w:val="00DD581E"/>
    <w:rsid w:val="00DD58C2"/>
    <w:rsid w:val="00DD58FF"/>
    <w:rsid w:val="00DD592D"/>
    <w:rsid w:val="00DD5CB6"/>
    <w:rsid w:val="00DD5CC4"/>
    <w:rsid w:val="00DD5D4D"/>
    <w:rsid w:val="00DD5DBC"/>
    <w:rsid w:val="00DD5DFF"/>
    <w:rsid w:val="00DD5F6F"/>
    <w:rsid w:val="00DD5F8D"/>
    <w:rsid w:val="00DD6088"/>
    <w:rsid w:val="00DD61C0"/>
    <w:rsid w:val="00DD6262"/>
    <w:rsid w:val="00DD64AA"/>
    <w:rsid w:val="00DD6538"/>
    <w:rsid w:val="00DD695B"/>
    <w:rsid w:val="00DD69FB"/>
    <w:rsid w:val="00DD6B72"/>
    <w:rsid w:val="00DD6D24"/>
    <w:rsid w:val="00DD6D86"/>
    <w:rsid w:val="00DD6FA3"/>
    <w:rsid w:val="00DD70C7"/>
    <w:rsid w:val="00DD7147"/>
    <w:rsid w:val="00DD714F"/>
    <w:rsid w:val="00DD7286"/>
    <w:rsid w:val="00DD73A4"/>
    <w:rsid w:val="00DD7536"/>
    <w:rsid w:val="00DD7603"/>
    <w:rsid w:val="00DD7635"/>
    <w:rsid w:val="00DD763A"/>
    <w:rsid w:val="00DD798F"/>
    <w:rsid w:val="00DD79C2"/>
    <w:rsid w:val="00DD7AC1"/>
    <w:rsid w:val="00DD7AD3"/>
    <w:rsid w:val="00DD7AE0"/>
    <w:rsid w:val="00DD7C87"/>
    <w:rsid w:val="00DD7CDE"/>
    <w:rsid w:val="00DD7D12"/>
    <w:rsid w:val="00DD7D59"/>
    <w:rsid w:val="00DD7E28"/>
    <w:rsid w:val="00DD7FB7"/>
    <w:rsid w:val="00DE0084"/>
    <w:rsid w:val="00DE016F"/>
    <w:rsid w:val="00DE02D0"/>
    <w:rsid w:val="00DE03A1"/>
    <w:rsid w:val="00DE0420"/>
    <w:rsid w:val="00DE0912"/>
    <w:rsid w:val="00DE0C7A"/>
    <w:rsid w:val="00DE0C7B"/>
    <w:rsid w:val="00DE0CB8"/>
    <w:rsid w:val="00DE0DE3"/>
    <w:rsid w:val="00DE0F23"/>
    <w:rsid w:val="00DE0F4F"/>
    <w:rsid w:val="00DE0FA5"/>
    <w:rsid w:val="00DE0FF6"/>
    <w:rsid w:val="00DE12C3"/>
    <w:rsid w:val="00DE1390"/>
    <w:rsid w:val="00DE1445"/>
    <w:rsid w:val="00DE14BF"/>
    <w:rsid w:val="00DE14E6"/>
    <w:rsid w:val="00DE157A"/>
    <w:rsid w:val="00DE1729"/>
    <w:rsid w:val="00DE1784"/>
    <w:rsid w:val="00DE1840"/>
    <w:rsid w:val="00DE18A8"/>
    <w:rsid w:val="00DE196B"/>
    <w:rsid w:val="00DE1AB1"/>
    <w:rsid w:val="00DE1B1C"/>
    <w:rsid w:val="00DE1BE2"/>
    <w:rsid w:val="00DE1BF5"/>
    <w:rsid w:val="00DE1C36"/>
    <w:rsid w:val="00DE1DCD"/>
    <w:rsid w:val="00DE1E1B"/>
    <w:rsid w:val="00DE1E38"/>
    <w:rsid w:val="00DE1EF0"/>
    <w:rsid w:val="00DE1FBB"/>
    <w:rsid w:val="00DE2049"/>
    <w:rsid w:val="00DE20A1"/>
    <w:rsid w:val="00DE2151"/>
    <w:rsid w:val="00DE2183"/>
    <w:rsid w:val="00DE221D"/>
    <w:rsid w:val="00DE22C7"/>
    <w:rsid w:val="00DE2313"/>
    <w:rsid w:val="00DE2343"/>
    <w:rsid w:val="00DE23D4"/>
    <w:rsid w:val="00DE2447"/>
    <w:rsid w:val="00DE24FB"/>
    <w:rsid w:val="00DE2591"/>
    <w:rsid w:val="00DE25CD"/>
    <w:rsid w:val="00DE26CA"/>
    <w:rsid w:val="00DE272B"/>
    <w:rsid w:val="00DE27F1"/>
    <w:rsid w:val="00DE2865"/>
    <w:rsid w:val="00DE29CF"/>
    <w:rsid w:val="00DE2A7F"/>
    <w:rsid w:val="00DE2B33"/>
    <w:rsid w:val="00DE2C8D"/>
    <w:rsid w:val="00DE2CA0"/>
    <w:rsid w:val="00DE2E4D"/>
    <w:rsid w:val="00DE3076"/>
    <w:rsid w:val="00DE30E3"/>
    <w:rsid w:val="00DE3247"/>
    <w:rsid w:val="00DE3265"/>
    <w:rsid w:val="00DE32E7"/>
    <w:rsid w:val="00DE357C"/>
    <w:rsid w:val="00DE3756"/>
    <w:rsid w:val="00DE382D"/>
    <w:rsid w:val="00DE3834"/>
    <w:rsid w:val="00DE3A32"/>
    <w:rsid w:val="00DE3A36"/>
    <w:rsid w:val="00DE3B03"/>
    <w:rsid w:val="00DE3B0E"/>
    <w:rsid w:val="00DE3B68"/>
    <w:rsid w:val="00DE3BB5"/>
    <w:rsid w:val="00DE3BC9"/>
    <w:rsid w:val="00DE3BEF"/>
    <w:rsid w:val="00DE3C17"/>
    <w:rsid w:val="00DE3E22"/>
    <w:rsid w:val="00DE3E5E"/>
    <w:rsid w:val="00DE3E96"/>
    <w:rsid w:val="00DE3ED6"/>
    <w:rsid w:val="00DE3F16"/>
    <w:rsid w:val="00DE3FE6"/>
    <w:rsid w:val="00DE4140"/>
    <w:rsid w:val="00DE43EF"/>
    <w:rsid w:val="00DE4418"/>
    <w:rsid w:val="00DE4464"/>
    <w:rsid w:val="00DE449C"/>
    <w:rsid w:val="00DE4527"/>
    <w:rsid w:val="00DE472C"/>
    <w:rsid w:val="00DE4BBE"/>
    <w:rsid w:val="00DE4BCC"/>
    <w:rsid w:val="00DE4F4E"/>
    <w:rsid w:val="00DE4FE4"/>
    <w:rsid w:val="00DE51CD"/>
    <w:rsid w:val="00DE52F3"/>
    <w:rsid w:val="00DE5347"/>
    <w:rsid w:val="00DE5383"/>
    <w:rsid w:val="00DE543A"/>
    <w:rsid w:val="00DE5455"/>
    <w:rsid w:val="00DE55BD"/>
    <w:rsid w:val="00DE5613"/>
    <w:rsid w:val="00DE56D7"/>
    <w:rsid w:val="00DE5723"/>
    <w:rsid w:val="00DE573C"/>
    <w:rsid w:val="00DE57C2"/>
    <w:rsid w:val="00DE59FF"/>
    <w:rsid w:val="00DE5B09"/>
    <w:rsid w:val="00DE5BDF"/>
    <w:rsid w:val="00DE5C1F"/>
    <w:rsid w:val="00DE5D0E"/>
    <w:rsid w:val="00DE5DA8"/>
    <w:rsid w:val="00DE5DEE"/>
    <w:rsid w:val="00DE5EF3"/>
    <w:rsid w:val="00DE61F4"/>
    <w:rsid w:val="00DE6219"/>
    <w:rsid w:val="00DE62C5"/>
    <w:rsid w:val="00DE6378"/>
    <w:rsid w:val="00DE63A7"/>
    <w:rsid w:val="00DE644F"/>
    <w:rsid w:val="00DE65D6"/>
    <w:rsid w:val="00DE6677"/>
    <w:rsid w:val="00DE67D3"/>
    <w:rsid w:val="00DE67D7"/>
    <w:rsid w:val="00DE6830"/>
    <w:rsid w:val="00DE6958"/>
    <w:rsid w:val="00DE6AA9"/>
    <w:rsid w:val="00DE6ABF"/>
    <w:rsid w:val="00DE6C43"/>
    <w:rsid w:val="00DE6F02"/>
    <w:rsid w:val="00DE6F81"/>
    <w:rsid w:val="00DE6FC6"/>
    <w:rsid w:val="00DE704B"/>
    <w:rsid w:val="00DE706E"/>
    <w:rsid w:val="00DE70C5"/>
    <w:rsid w:val="00DE722F"/>
    <w:rsid w:val="00DE7287"/>
    <w:rsid w:val="00DE7397"/>
    <w:rsid w:val="00DE73D2"/>
    <w:rsid w:val="00DE7432"/>
    <w:rsid w:val="00DE749B"/>
    <w:rsid w:val="00DE74AB"/>
    <w:rsid w:val="00DE7669"/>
    <w:rsid w:val="00DE76A8"/>
    <w:rsid w:val="00DE775D"/>
    <w:rsid w:val="00DE7766"/>
    <w:rsid w:val="00DE77C5"/>
    <w:rsid w:val="00DE78B1"/>
    <w:rsid w:val="00DE78C0"/>
    <w:rsid w:val="00DE7932"/>
    <w:rsid w:val="00DE798B"/>
    <w:rsid w:val="00DE7A57"/>
    <w:rsid w:val="00DE7C1D"/>
    <w:rsid w:val="00DE7E9B"/>
    <w:rsid w:val="00DE7F35"/>
    <w:rsid w:val="00DF0164"/>
    <w:rsid w:val="00DF01B9"/>
    <w:rsid w:val="00DF0350"/>
    <w:rsid w:val="00DF0379"/>
    <w:rsid w:val="00DF0396"/>
    <w:rsid w:val="00DF0592"/>
    <w:rsid w:val="00DF061F"/>
    <w:rsid w:val="00DF07FF"/>
    <w:rsid w:val="00DF0988"/>
    <w:rsid w:val="00DF0AAA"/>
    <w:rsid w:val="00DF0D77"/>
    <w:rsid w:val="00DF0DFF"/>
    <w:rsid w:val="00DF0E90"/>
    <w:rsid w:val="00DF0EBB"/>
    <w:rsid w:val="00DF126A"/>
    <w:rsid w:val="00DF131C"/>
    <w:rsid w:val="00DF13C1"/>
    <w:rsid w:val="00DF14D5"/>
    <w:rsid w:val="00DF14DB"/>
    <w:rsid w:val="00DF1685"/>
    <w:rsid w:val="00DF169D"/>
    <w:rsid w:val="00DF16F7"/>
    <w:rsid w:val="00DF17AC"/>
    <w:rsid w:val="00DF1939"/>
    <w:rsid w:val="00DF1969"/>
    <w:rsid w:val="00DF1A79"/>
    <w:rsid w:val="00DF1B1E"/>
    <w:rsid w:val="00DF1B6B"/>
    <w:rsid w:val="00DF1C3B"/>
    <w:rsid w:val="00DF1C67"/>
    <w:rsid w:val="00DF1DC0"/>
    <w:rsid w:val="00DF1DE5"/>
    <w:rsid w:val="00DF1E87"/>
    <w:rsid w:val="00DF2428"/>
    <w:rsid w:val="00DF2465"/>
    <w:rsid w:val="00DF2570"/>
    <w:rsid w:val="00DF25B9"/>
    <w:rsid w:val="00DF262C"/>
    <w:rsid w:val="00DF26C3"/>
    <w:rsid w:val="00DF27AC"/>
    <w:rsid w:val="00DF27DE"/>
    <w:rsid w:val="00DF27E4"/>
    <w:rsid w:val="00DF2939"/>
    <w:rsid w:val="00DF29AF"/>
    <w:rsid w:val="00DF2A89"/>
    <w:rsid w:val="00DF2B65"/>
    <w:rsid w:val="00DF2BEE"/>
    <w:rsid w:val="00DF2D23"/>
    <w:rsid w:val="00DF2D77"/>
    <w:rsid w:val="00DF2F51"/>
    <w:rsid w:val="00DF30A9"/>
    <w:rsid w:val="00DF3203"/>
    <w:rsid w:val="00DF3221"/>
    <w:rsid w:val="00DF333B"/>
    <w:rsid w:val="00DF3359"/>
    <w:rsid w:val="00DF3463"/>
    <w:rsid w:val="00DF3464"/>
    <w:rsid w:val="00DF348C"/>
    <w:rsid w:val="00DF34E5"/>
    <w:rsid w:val="00DF3721"/>
    <w:rsid w:val="00DF37FA"/>
    <w:rsid w:val="00DF3934"/>
    <w:rsid w:val="00DF3961"/>
    <w:rsid w:val="00DF3973"/>
    <w:rsid w:val="00DF39AB"/>
    <w:rsid w:val="00DF39FD"/>
    <w:rsid w:val="00DF3B54"/>
    <w:rsid w:val="00DF3BC0"/>
    <w:rsid w:val="00DF3C04"/>
    <w:rsid w:val="00DF3DCB"/>
    <w:rsid w:val="00DF3F6B"/>
    <w:rsid w:val="00DF401B"/>
    <w:rsid w:val="00DF4043"/>
    <w:rsid w:val="00DF415F"/>
    <w:rsid w:val="00DF422B"/>
    <w:rsid w:val="00DF423E"/>
    <w:rsid w:val="00DF4291"/>
    <w:rsid w:val="00DF43D2"/>
    <w:rsid w:val="00DF4434"/>
    <w:rsid w:val="00DF4651"/>
    <w:rsid w:val="00DF46AE"/>
    <w:rsid w:val="00DF475F"/>
    <w:rsid w:val="00DF4848"/>
    <w:rsid w:val="00DF4A65"/>
    <w:rsid w:val="00DF4B10"/>
    <w:rsid w:val="00DF4D40"/>
    <w:rsid w:val="00DF4D4D"/>
    <w:rsid w:val="00DF4D7F"/>
    <w:rsid w:val="00DF4DE9"/>
    <w:rsid w:val="00DF505F"/>
    <w:rsid w:val="00DF50F6"/>
    <w:rsid w:val="00DF5172"/>
    <w:rsid w:val="00DF5272"/>
    <w:rsid w:val="00DF532C"/>
    <w:rsid w:val="00DF535C"/>
    <w:rsid w:val="00DF5373"/>
    <w:rsid w:val="00DF540C"/>
    <w:rsid w:val="00DF5465"/>
    <w:rsid w:val="00DF54BB"/>
    <w:rsid w:val="00DF55A5"/>
    <w:rsid w:val="00DF55CC"/>
    <w:rsid w:val="00DF55FE"/>
    <w:rsid w:val="00DF561A"/>
    <w:rsid w:val="00DF5682"/>
    <w:rsid w:val="00DF57B6"/>
    <w:rsid w:val="00DF5823"/>
    <w:rsid w:val="00DF5849"/>
    <w:rsid w:val="00DF5A99"/>
    <w:rsid w:val="00DF5B2B"/>
    <w:rsid w:val="00DF5DB3"/>
    <w:rsid w:val="00DF5F66"/>
    <w:rsid w:val="00DF5F69"/>
    <w:rsid w:val="00DF61A6"/>
    <w:rsid w:val="00DF6567"/>
    <w:rsid w:val="00DF674F"/>
    <w:rsid w:val="00DF6820"/>
    <w:rsid w:val="00DF682C"/>
    <w:rsid w:val="00DF691E"/>
    <w:rsid w:val="00DF699F"/>
    <w:rsid w:val="00DF6A40"/>
    <w:rsid w:val="00DF6E46"/>
    <w:rsid w:val="00DF7107"/>
    <w:rsid w:val="00DF71F6"/>
    <w:rsid w:val="00DF72BD"/>
    <w:rsid w:val="00DF72E0"/>
    <w:rsid w:val="00DF7333"/>
    <w:rsid w:val="00DF7370"/>
    <w:rsid w:val="00DF7410"/>
    <w:rsid w:val="00DF741F"/>
    <w:rsid w:val="00DF748B"/>
    <w:rsid w:val="00DF74A1"/>
    <w:rsid w:val="00DF7883"/>
    <w:rsid w:val="00DF7A83"/>
    <w:rsid w:val="00DF7AE0"/>
    <w:rsid w:val="00DF7BEE"/>
    <w:rsid w:val="00DF7C6C"/>
    <w:rsid w:val="00DF7C8D"/>
    <w:rsid w:val="00DF7CA9"/>
    <w:rsid w:val="00DF7CD1"/>
    <w:rsid w:val="00DF7E8A"/>
    <w:rsid w:val="00DF7EE3"/>
    <w:rsid w:val="00DF7EF0"/>
    <w:rsid w:val="00E000AE"/>
    <w:rsid w:val="00E0010D"/>
    <w:rsid w:val="00E00212"/>
    <w:rsid w:val="00E00280"/>
    <w:rsid w:val="00E002D3"/>
    <w:rsid w:val="00E00307"/>
    <w:rsid w:val="00E0035C"/>
    <w:rsid w:val="00E00369"/>
    <w:rsid w:val="00E00516"/>
    <w:rsid w:val="00E0065D"/>
    <w:rsid w:val="00E006C5"/>
    <w:rsid w:val="00E006E7"/>
    <w:rsid w:val="00E00991"/>
    <w:rsid w:val="00E00B23"/>
    <w:rsid w:val="00E00B3B"/>
    <w:rsid w:val="00E00B78"/>
    <w:rsid w:val="00E00BCF"/>
    <w:rsid w:val="00E00BD2"/>
    <w:rsid w:val="00E00D5B"/>
    <w:rsid w:val="00E00E0E"/>
    <w:rsid w:val="00E00E1F"/>
    <w:rsid w:val="00E00EC9"/>
    <w:rsid w:val="00E00F1A"/>
    <w:rsid w:val="00E0115E"/>
    <w:rsid w:val="00E0137C"/>
    <w:rsid w:val="00E0141D"/>
    <w:rsid w:val="00E0151B"/>
    <w:rsid w:val="00E01586"/>
    <w:rsid w:val="00E01854"/>
    <w:rsid w:val="00E0187E"/>
    <w:rsid w:val="00E018DE"/>
    <w:rsid w:val="00E01AEA"/>
    <w:rsid w:val="00E01B07"/>
    <w:rsid w:val="00E01B72"/>
    <w:rsid w:val="00E01E04"/>
    <w:rsid w:val="00E01F12"/>
    <w:rsid w:val="00E01F3A"/>
    <w:rsid w:val="00E01FFB"/>
    <w:rsid w:val="00E02059"/>
    <w:rsid w:val="00E02110"/>
    <w:rsid w:val="00E02135"/>
    <w:rsid w:val="00E022B7"/>
    <w:rsid w:val="00E0235E"/>
    <w:rsid w:val="00E0273C"/>
    <w:rsid w:val="00E0279E"/>
    <w:rsid w:val="00E0284F"/>
    <w:rsid w:val="00E02876"/>
    <w:rsid w:val="00E0287B"/>
    <w:rsid w:val="00E029A3"/>
    <w:rsid w:val="00E02C62"/>
    <w:rsid w:val="00E02CE6"/>
    <w:rsid w:val="00E02EDD"/>
    <w:rsid w:val="00E03028"/>
    <w:rsid w:val="00E03079"/>
    <w:rsid w:val="00E030DA"/>
    <w:rsid w:val="00E032CF"/>
    <w:rsid w:val="00E033DE"/>
    <w:rsid w:val="00E03491"/>
    <w:rsid w:val="00E0352B"/>
    <w:rsid w:val="00E03584"/>
    <w:rsid w:val="00E03619"/>
    <w:rsid w:val="00E03948"/>
    <w:rsid w:val="00E03B97"/>
    <w:rsid w:val="00E03CA4"/>
    <w:rsid w:val="00E03CB8"/>
    <w:rsid w:val="00E03DA0"/>
    <w:rsid w:val="00E03DDC"/>
    <w:rsid w:val="00E03E04"/>
    <w:rsid w:val="00E03E9C"/>
    <w:rsid w:val="00E0409E"/>
    <w:rsid w:val="00E04157"/>
    <w:rsid w:val="00E041D6"/>
    <w:rsid w:val="00E0421A"/>
    <w:rsid w:val="00E04244"/>
    <w:rsid w:val="00E0429E"/>
    <w:rsid w:val="00E0438A"/>
    <w:rsid w:val="00E04423"/>
    <w:rsid w:val="00E0443D"/>
    <w:rsid w:val="00E04504"/>
    <w:rsid w:val="00E0451A"/>
    <w:rsid w:val="00E04528"/>
    <w:rsid w:val="00E0459C"/>
    <w:rsid w:val="00E045CB"/>
    <w:rsid w:val="00E047D5"/>
    <w:rsid w:val="00E0496A"/>
    <w:rsid w:val="00E04997"/>
    <w:rsid w:val="00E04A5C"/>
    <w:rsid w:val="00E04AB8"/>
    <w:rsid w:val="00E04D35"/>
    <w:rsid w:val="00E05024"/>
    <w:rsid w:val="00E05103"/>
    <w:rsid w:val="00E0510A"/>
    <w:rsid w:val="00E05157"/>
    <w:rsid w:val="00E051C7"/>
    <w:rsid w:val="00E053B8"/>
    <w:rsid w:val="00E0542A"/>
    <w:rsid w:val="00E05459"/>
    <w:rsid w:val="00E05522"/>
    <w:rsid w:val="00E055CF"/>
    <w:rsid w:val="00E05665"/>
    <w:rsid w:val="00E056D4"/>
    <w:rsid w:val="00E058EC"/>
    <w:rsid w:val="00E05940"/>
    <w:rsid w:val="00E0594E"/>
    <w:rsid w:val="00E059AD"/>
    <w:rsid w:val="00E05B09"/>
    <w:rsid w:val="00E05C23"/>
    <w:rsid w:val="00E05C91"/>
    <w:rsid w:val="00E05D2E"/>
    <w:rsid w:val="00E05D99"/>
    <w:rsid w:val="00E05E28"/>
    <w:rsid w:val="00E05E6B"/>
    <w:rsid w:val="00E05EB4"/>
    <w:rsid w:val="00E05F0C"/>
    <w:rsid w:val="00E05F17"/>
    <w:rsid w:val="00E0604D"/>
    <w:rsid w:val="00E0606C"/>
    <w:rsid w:val="00E060B2"/>
    <w:rsid w:val="00E06228"/>
    <w:rsid w:val="00E06280"/>
    <w:rsid w:val="00E062A8"/>
    <w:rsid w:val="00E06368"/>
    <w:rsid w:val="00E06442"/>
    <w:rsid w:val="00E06860"/>
    <w:rsid w:val="00E069F5"/>
    <w:rsid w:val="00E06D32"/>
    <w:rsid w:val="00E06D70"/>
    <w:rsid w:val="00E06D8B"/>
    <w:rsid w:val="00E06DCF"/>
    <w:rsid w:val="00E06ED1"/>
    <w:rsid w:val="00E06F96"/>
    <w:rsid w:val="00E07057"/>
    <w:rsid w:val="00E070BF"/>
    <w:rsid w:val="00E071E9"/>
    <w:rsid w:val="00E0734D"/>
    <w:rsid w:val="00E0758C"/>
    <w:rsid w:val="00E075CA"/>
    <w:rsid w:val="00E07726"/>
    <w:rsid w:val="00E0772A"/>
    <w:rsid w:val="00E0775F"/>
    <w:rsid w:val="00E0789B"/>
    <w:rsid w:val="00E07987"/>
    <w:rsid w:val="00E07A15"/>
    <w:rsid w:val="00E07AE2"/>
    <w:rsid w:val="00E07D06"/>
    <w:rsid w:val="00E07D76"/>
    <w:rsid w:val="00E07E6D"/>
    <w:rsid w:val="00E07EED"/>
    <w:rsid w:val="00E07FF1"/>
    <w:rsid w:val="00E10149"/>
    <w:rsid w:val="00E10213"/>
    <w:rsid w:val="00E1040B"/>
    <w:rsid w:val="00E10418"/>
    <w:rsid w:val="00E10494"/>
    <w:rsid w:val="00E104C1"/>
    <w:rsid w:val="00E104EB"/>
    <w:rsid w:val="00E104F9"/>
    <w:rsid w:val="00E1079D"/>
    <w:rsid w:val="00E107AD"/>
    <w:rsid w:val="00E1086A"/>
    <w:rsid w:val="00E1090A"/>
    <w:rsid w:val="00E109F7"/>
    <w:rsid w:val="00E10A4F"/>
    <w:rsid w:val="00E10ADF"/>
    <w:rsid w:val="00E10BEC"/>
    <w:rsid w:val="00E10C05"/>
    <w:rsid w:val="00E10E16"/>
    <w:rsid w:val="00E10F0D"/>
    <w:rsid w:val="00E110F9"/>
    <w:rsid w:val="00E112A6"/>
    <w:rsid w:val="00E118B1"/>
    <w:rsid w:val="00E1192A"/>
    <w:rsid w:val="00E11B35"/>
    <w:rsid w:val="00E11C47"/>
    <w:rsid w:val="00E11CA6"/>
    <w:rsid w:val="00E11CE0"/>
    <w:rsid w:val="00E11D15"/>
    <w:rsid w:val="00E11D9E"/>
    <w:rsid w:val="00E11E45"/>
    <w:rsid w:val="00E11F17"/>
    <w:rsid w:val="00E12000"/>
    <w:rsid w:val="00E12037"/>
    <w:rsid w:val="00E120A8"/>
    <w:rsid w:val="00E12215"/>
    <w:rsid w:val="00E12367"/>
    <w:rsid w:val="00E12373"/>
    <w:rsid w:val="00E125EC"/>
    <w:rsid w:val="00E12625"/>
    <w:rsid w:val="00E12776"/>
    <w:rsid w:val="00E12780"/>
    <w:rsid w:val="00E127A1"/>
    <w:rsid w:val="00E127D4"/>
    <w:rsid w:val="00E127F1"/>
    <w:rsid w:val="00E12832"/>
    <w:rsid w:val="00E129A0"/>
    <w:rsid w:val="00E12A2C"/>
    <w:rsid w:val="00E12A3F"/>
    <w:rsid w:val="00E12B25"/>
    <w:rsid w:val="00E12B79"/>
    <w:rsid w:val="00E12B84"/>
    <w:rsid w:val="00E12C00"/>
    <w:rsid w:val="00E12C59"/>
    <w:rsid w:val="00E12CEE"/>
    <w:rsid w:val="00E12E07"/>
    <w:rsid w:val="00E12E4C"/>
    <w:rsid w:val="00E13069"/>
    <w:rsid w:val="00E1312C"/>
    <w:rsid w:val="00E13165"/>
    <w:rsid w:val="00E1316C"/>
    <w:rsid w:val="00E13209"/>
    <w:rsid w:val="00E1324E"/>
    <w:rsid w:val="00E13330"/>
    <w:rsid w:val="00E133B2"/>
    <w:rsid w:val="00E134AF"/>
    <w:rsid w:val="00E135BF"/>
    <w:rsid w:val="00E13632"/>
    <w:rsid w:val="00E1363D"/>
    <w:rsid w:val="00E1377B"/>
    <w:rsid w:val="00E13819"/>
    <w:rsid w:val="00E138FF"/>
    <w:rsid w:val="00E13928"/>
    <w:rsid w:val="00E13A1B"/>
    <w:rsid w:val="00E13AE8"/>
    <w:rsid w:val="00E13BE1"/>
    <w:rsid w:val="00E13C5A"/>
    <w:rsid w:val="00E13D52"/>
    <w:rsid w:val="00E13DB1"/>
    <w:rsid w:val="00E13E47"/>
    <w:rsid w:val="00E13ED5"/>
    <w:rsid w:val="00E14236"/>
    <w:rsid w:val="00E14320"/>
    <w:rsid w:val="00E145CC"/>
    <w:rsid w:val="00E14623"/>
    <w:rsid w:val="00E14625"/>
    <w:rsid w:val="00E146CB"/>
    <w:rsid w:val="00E147C5"/>
    <w:rsid w:val="00E14833"/>
    <w:rsid w:val="00E1489D"/>
    <w:rsid w:val="00E14916"/>
    <w:rsid w:val="00E149BD"/>
    <w:rsid w:val="00E14A05"/>
    <w:rsid w:val="00E14AA9"/>
    <w:rsid w:val="00E14AD6"/>
    <w:rsid w:val="00E14B31"/>
    <w:rsid w:val="00E14B93"/>
    <w:rsid w:val="00E14BB4"/>
    <w:rsid w:val="00E14C45"/>
    <w:rsid w:val="00E14D1D"/>
    <w:rsid w:val="00E14D33"/>
    <w:rsid w:val="00E14E86"/>
    <w:rsid w:val="00E14EA2"/>
    <w:rsid w:val="00E1508E"/>
    <w:rsid w:val="00E150A5"/>
    <w:rsid w:val="00E15111"/>
    <w:rsid w:val="00E15137"/>
    <w:rsid w:val="00E151F9"/>
    <w:rsid w:val="00E1528A"/>
    <w:rsid w:val="00E155F3"/>
    <w:rsid w:val="00E1566C"/>
    <w:rsid w:val="00E1569D"/>
    <w:rsid w:val="00E156A3"/>
    <w:rsid w:val="00E156F9"/>
    <w:rsid w:val="00E157EE"/>
    <w:rsid w:val="00E1585C"/>
    <w:rsid w:val="00E15891"/>
    <w:rsid w:val="00E15B29"/>
    <w:rsid w:val="00E15B91"/>
    <w:rsid w:val="00E15C9B"/>
    <w:rsid w:val="00E15D32"/>
    <w:rsid w:val="00E16191"/>
    <w:rsid w:val="00E1634E"/>
    <w:rsid w:val="00E1635F"/>
    <w:rsid w:val="00E16361"/>
    <w:rsid w:val="00E1636B"/>
    <w:rsid w:val="00E164B6"/>
    <w:rsid w:val="00E1663B"/>
    <w:rsid w:val="00E16745"/>
    <w:rsid w:val="00E1682C"/>
    <w:rsid w:val="00E1683A"/>
    <w:rsid w:val="00E16847"/>
    <w:rsid w:val="00E16890"/>
    <w:rsid w:val="00E16955"/>
    <w:rsid w:val="00E16C22"/>
    <w:rsid w:val="00E16C7B"/>
    <w:rsid w:val="00E16EA9"/>
    <w:rsid w:val="00E16F1C"/>
    <w:rsid w:val="00E1704A"/>
    <w:rsid w:val="00E170E2"/>
    <w:rsid w:val="00E17211"/>
    <w:rsid w:val="00E172A9"/>
    <w:rsid w:val="00E17438"/>
    <w:rsid w:val="00E174A6"/>
    <w:rsid w:val="00E176F9"/>
    <w:rsid w:val="00E1780D"/>
    <w:rsid w:val="00E1788B"/>
    <w:rsid w:val="00E179B7"/>
    <w:rsid w:val="00E179F2"/>
    <w:rsid w:val="00E17AEC"/>
    <w:rsid w:val="00E17B6A"/>
    <w:rsid w:val="00E17DF0"/>
    <w:rsid w:val="00E17EF9"/>
    <w:rsid w:val="00E20019"/>
    <w:rsid w:val="00E20020"/>
    <w:rsid w:val="00E20149"/>
    <w:rsid w:val="00E2019E"/>
    <w:rsid w:val="00E202E4"/>
    <w:rsid w:val="00E20339"/>
    <w:rsid w:val="00E20526"/>
    <w:rsid w:val="00E20539"/>
    <w:rsid w:val="00E20625"/>
    <w:rsid w:val="00E20635"/>
    <w:rsid w:val="00E20707"/>
    <w:rsid w:val="00E2070C"/>
    <w:rsid w:val="00E20807"/>
    <w:rsid w:val="00E2081D"/>
    <w:rsid w:val="00E209C4"/>
    <w:rsid w:val="00E209CC"/>
    <w:rsid w:val="00E209DB"/>
    <w:rsid w:val="00E20BB9"/>
    <w:rsid w:val="00E20EF4"/>
    <w:rsid w:val="00E210DA"/>
    <w:rsid w:val="00E2121E"/>
    <w:rsid w:val="00E212A1"/>
    <w:rsid w:val="00E212C5"/>
    <w:rsid w:val="00E212E2"/>
    <w:rsid w:val="00E21392"/>
    <w:rsid w:val="00E21441"/>
    <w:rsid w:val="00E21646"/>
    <w:rsid w:val="00E216A0"/>
    <w:rsid w:val="00E21777"/>
    <w:rsid w:val="00E217A1"/>
    <w:rsid w:val="00E21861"/>
    <w:rsid w:val="00E21907"/>
    <w:rsid w:val="00E21A3A"/>
    <w:rsid w:val="00E21CBF"/>
    <w:rsid w:val="00E21CEE"/>
    <w:rsid w:val="00E21D02"/>
    <w:rsid w:val="00E21D67"/>
    <w:rsid w:val="00E21DD7"/>
    <w:rsid w:val="00E21E26"/>
    <w:rsid w:val="00E21EFA"/>
    <w:rsid w:val="00E2209F"/>
    <w:rsid w:val="00E220A8"/>
    <w:rsid w:val="00E221DD"/>
    <w:rsid w:val="00E2233D"/>
    <w:rsid w:val="00E22369"/>
    <w:rsid w:val="00E22394"/>
    <w:rsid w:val="00E22456"/>
    <w:rsid w:val="00E22537"/>
    <w:rsid w:val="00E225FD"/>
    <w:rsid w:val="00E22684"/>
    <w:rsid w:val="00E226D0"/>
    <w:rsid w:val="00E227FC"/>
    <w:rsid w:val="00E22989"/>
    <w:rsid w:val="00E2298E"/>
    <w:rsid w:val="00E22A46"/>
    <w:rsid w:val="00E22B1D"/>
    <w:rsid w:val="00E22CE3"/>
    <w:rsid w:val="00E22F17"/>
    <w:rsid w:val="00E22F6A"/>
    <w:rsid w:val="00E23063"/>
    <w:rsid w:val="00E2308D"/>
    <w:rsid w:val="00E231B2"/>
    <w:rsid w:val="00E23214"/>
    <w:rsid w:val="00E2321B"/>
    <w:rsid w:val="00E232AA"/>
    <w:rsid w:val="00E23339"/>
    <w:rsid w:val="00E2334B"/>
    <w:rsid w:val="00E233C5"/>
    <w:rsid w:val="00E233E8"/>
    <w:rsid w:val="00E234F4"/>
    <w:rsid w:val="00E23530"/>
    <w:rsid w:val="00E235D7"/>
    <w:rsid w:val="00E235E1"/>
    <w:rsid w:val="00E23707"/>
    <w:rsid w:val="00E23797"/>
    <w:rsid w:val="00E2388D"/>
    <w:rsid w:val="00E23991"/>
    <w:rsid w:val="00E239BC"/>
    <w:rsid w:val="00E239C3"/>
    <w:rsid w:val="00E23B3D"/>
    <w:rsid w:val="00E23B4E"/>
    <w:rsid w:val="00E23BCC"/>
    <w:rsid w:val="00E23BD1"/>
    <w:rsid w:val="00E23C82"/>
    <w:rsid w:val="00E23CCC"/>
    <w:rsid w:val="00E23CF3"/>
    <w:rsid w:val="00E23D6A"/>
    <w:rsid w:val="00E23E45"/>
    <w:rsid w:val="00E23EAC"/>
    <w:rsid w:val="00E23F14"/>
    <w:rsid w:val="00E23F47"/>
    <w:rsid w:val="00E23F6A"/>
    <w:rsid w:val="00E23F88"/>
    <w:rsid w:val="00E2444D"/>
    <w:rsid w:val="00E245C5"/>
    <w:rsid w:val="00E24658"/>
    <w:rsid w:val="00E247F7"/>
    <w:rsid w:val="00E24954"/>
    <w:rsid w:val="00E24AC6"/>
    <w:rsid w:val="00E24B00"/>
    <w:rsid w:val="00E24BEC"/>
    <w:rsid w:val="00E24CAD"/>
    <w:rsid w:val="00E24D6A"/>
    <w:rsid w:val="00E24DA2"/>
    <w:rsid w:val="00E24DCE"/>
    <w:rsid w:val="00E24E04"/>
    <w:rsid w:val="00E24E78"/>
    <w:rsid w:val="00E2517D"/>
    <w:rsid w:val="00E2522C"/>
    <w:rsid w:val="00E253AD"/>
    <w:rsid w:val="00E2552F"/>
    <w:rsid w:val="00E2554C"/>
    <w:rsid w:val="00E25565"/>
    <w:rsid w:val="00E2589F"/>
    <w:rsid w:val="00E258A5"/>
    <w:rsid w:val="00E2591E"/>
    <w:rsid w:val="00E25B25"/>
    <w:rsid w:val="00E25B34"/>
    <w:rsid w:val="00E25C55"/>
    <w:rsid w:val="00E25DCD"/>
    <w:rsid w:val="00E261DC"/>
    <w:rsid w:val="00E26260"/>
    <w:rsid w:val="00E262C9"/>
    <w:rsid w:val="00E264C1"/>
    <w:rsid w:val="00E26553"/>
    <w:rsid w:val="00E265F7"/>
    <w:rsid w:val="00E26892"/>
    <w:rsid w:val="00E2689B"/>
    <w:rsid w:val="00E26918"/>
    <w:rsid w:val="00E26ADC"/>
    <w:rsid w:val="00E26AFC"/>
    <w:rsid w:val="00E26AFD"/>
    <w:rsid w:val="00E26B9F"/>
    <w:rsid w:val="00E26CA0"/>
    <w:rsid w:val="00E26CAA"/>
    <w:rsid w:val="00E26D4C"/>
    <w:rsid w:val="00E26DC0"/>
    <w:rsid w:val="00E26E99"/>
    <w:rsid w:val="00E26EE0"/>
    <w:rsid w:val="00E26FAC"/>
    <w:rsid w:val="00E26FEB"/>
    <w:rsid w:val="00E27028"/>
    <w:rsid w:val="00E27165"/>
    <w:rsid w:val="00E2737A"/>
    <w:rsid w:val="00E278A7"/>
    <w:rsid w:val="00E279BB"/>
    <w:rsid w:val="00E27A04"/>
    <w:rsid w:val="00E27A97"/>
    <w:rsid w:val="00E27C26"/>
    <w:rsid w:val="00E27C91"/>
    <w:rsid w:val="00E27CA6"/>
    <w:rsid w:val="00E27DCF"/>
    <w:rsid w:val="00E27F7F"/>
    <w:rsid w:val="00E27F84"/>
    <w:rsid w:val="00E27F99"/>
    <w:rsid w:val="00E27FA6"/>
    <w:rsid w:val="00E2CE08"/>
    <w:rsid w:val="00E300E2"/>
    <w:rsid w:val="00E300F7"/>
    <w:rsid w:val="00E3017E"/>
    <w:rsid w:val="00E301D5"/>
    <w:rsid w:val="00E301FC"/>
    <w:rsid w:val="00E30347"/>
    <w:rsid w:val="00E303E6"/>
    <w:rsid w:val="00E30400"/>
    <w:rsid w:val="00E304DA"/>
    <w:rsid w:val="00E30548"/>
    <w:rsid w:val="00E305AF"/>
    <w:rsid w:val="00E307AE"/>
    <w:rsid w:val="00E30896"/>
    <w:rsid w:val="00E308AC"/>
    <w:rsid w:val="00E30972"/>
    <w:rsid w:val="00E30A37"/>
    <w:rsid w:val="00E30B60"/>
    <w:rsid w:val="00E30CD7"/>
    <w:rsid w:val="00E30D37"/>
    <w:rsid w:val="00E30D84"/>
    <w:rsid w:val="00E30E91"/>
    <w:rsid w:val="00E30EA4"/>
    <w:rsid w:val="00E310C1"/>
    <w:rsid w:val="00E31159"/>
    <w:rsid w:val="00E3139E"/>
    <w:rsid w:val="00E313DA"/>
    <w:rsid w:val="00E31403"/>
    <w:rsid w:val="00E31491"/>
    <w:rsid w:val="00E314AF"/>
    <w:rsid w:val="00E3161C"/>
    <w:rsid w:val="00E316D2"/>
    <w:rsid w:val="00E316D9"/>
    <w:rsid w:val="00E3171E"/>
    <w:rsid w:val="00E3184A"/>
    <w:rsid w:val="00E318E7"/>
    <w:rsid w:val="00E31D82"/>
    <w:rsid w:val="00E31DD4"/>
    <w:rsid w:val="00E31EAC"/>
    <w:rsid w:val="00E32209"/>
    <w:rsid w:val="00E32251"/>
    <w:rsid w:val="00E32356"/>
    <w:rsid w:val="00E32404"/>
    <w:rsid w:val="00E325E4"/>
    <w:rsid w:val="00E32637"/>
    <w:rsid w:val="00E3269C"/>
    <w:rsid w:val="00E326C5"/>
    <w:rsid w:val="00E326EE"/>
    <w:rsid w:val="00E327C6"/>
    <w:rsid w:val="00E327D7"/>
    <w:rsid w:val="00E328FC"/>
    <w:rsid w:val="00E32A17"/>
    <w:rsid w:val="00E32B6D"/>
    <w:rsid w:val="00E32BCD"/>
    <w:rsid w:val="00E32D5F"/>
    <w:rsid w:val="00E32E81"/>
    <w:rsid w:val="00E32EAE"/>
    <w:rsid w:val="00E32ED3"/>
    <w:rsid w:val="00E32F34"/>
    <w:rsid w:val="00E330AF"/>
    <w:rsid w:val="00E330C8"/>
    <w:rsid w:val="00E330D9"/>
    <w:rsid w:val="00E33128"/>
    <w:rsid w:val="00E33180"/>
    <w:rsid w:val="00E331BE"/>
    <w:rsid w:val="00E331DB"/>
    <w:rsid w:val="00E331FC"/>
    <w:rsid w:val="00E332A7"/>
    <w:rsid w:val="00E3335C"/>
    <w:rsid w:val="00E3342B"/>
    <w:rsid w:val="00E334C6"/>
    <w:rsid w:val="00E3351C"/>
    <w:rsid w:val="00E335B8"/>
    <w:rsid w:val="00E336C1"/>
    <w:rsid w:val="00E33740"/>
    <w:rsid w:val="00E33949"/>
    <w:rsid w:val="00E33950"/>
    <w:rsid w:val="00E33A0C"/>
    <w:rsid w:val="00E33A69"/>
    <w:rsid w:val="00E33AC1"/>
    <w:rsid w:val="00E33B0C"/>
    <w:rsid w:val="00E33BFB"/>
    <w:rsid w:val="00E33C35"/>
    <w:rsid w:val="00E33D44"/>
    <w:rsid w:val="00E33D7F"/>
    <w:rsid w:val="00E340A7"/>
    <w:rsid w:val="00E340F7"/>
    <w:rsid w:val="00E341CB"/>
    <w:rsid w:val="00E34228"/>
    <w:rsid w:val="00E34229"/>
    <w:rsid w:val="00E342DA"/>
    <w:rsid w:val="00E3430D"/>
    <w:rsid w:val="00E343BB"/>
    <w:rsid w:val="00E34500"/>
    <w:rsid w:val="00E34514"/>
    <w:rsid w:val="00E3464D"/>
    <w:rsid w:val="00E3471F"/>
    <w:rsid w:val="00E34914"/>
    <w:rsid w:val="00E34ADF"/>
    <w:rsid w:val="00E34C22"/>
    <w:rsid w:val="00E34C29"/>
    <w:rsid w:val="00E34DAF"/>
    <w:rsid w:val="00E34E2A"/>
    <w:rsid w:val="00E3510D"/>
    <w:rsid w:val="00E35219"/>
    <w:rsid w:val="00E3526E"/>
    <w:rsid w:val="00E352E0"/>
    <w:rsid w:val="00E35448"/>
    <w:rsid w:val="00E354A1"/>
    <w:rsid w:val="00E3552D"/>
    <w:rsid w:val="00E356AF"/>
    <w:rsid w:val="00E356D4"/>
    <w:rsid w:val="00E35750"/>
    <w:rsid w:val="00E357BE"/>
    <w:rsid w:val="00E358CD"/>
    <w:rsid w:val="00E359EC"/>
    <w:rsid w:val="00E35A43"/>
    <w:rsid w:val="00E35BB4"/>
    <w:rsid w:val="00E35BBB"/>
    <w:rsid w:val="00E35BC0"/>
    <w:rsid w:val="00E35D56"/>
    <w:rsid w:val="00E35DD6"/>
    <w:rsid w:val="00E35ED6"/>
    <w:rsid w:val="00E35F3B"/>
    <w:rsid w:val="00E360A0"/>
    <w:rsid w:val="00E36209"/>
    <w:rsid w:val="00E3623E"/>
    <w:rsid w:val="00E36283"/>
    <w:rsid w:val="00E36362"/>
    <w:rsid w:val="00E363AB"/>
    <w:rsid w:val="00E365F6"/>
    <w:rsid w:val="00E36633"/>
    <w:rsid w:val="00E36669"/>
    <w:rsid w:val="00E3670A"/>
    <w:rsid w:val="00E367DB"/>
    <w:rsid w:val="00E368B7"/>
    <w:rsid w:val="00E369A2"/>
    <w:rsid w:val="00E369B4"/>
    <w:rsid w:val="00E369CB"/>
    <w:rsid w:val="00E36A40"/>
    <w:rsid w:val="00E36B49"/>
    <w:rsid w:val="00E36C18"/>
    <w:rsid w:val="00E36D78"/>
    <w:rsid w:val="00E36F20"/>
    <w:rsid w:val="00E36FFD"/>
    <w:rsid w:val="00E37042"/>
    <w:rsid w:val="00E3711F"/>
    <w:rsid w:val="00E371E2"/>
    <w:rsid w:val="00E371E6"/>
    <w:rsid w:val="00E3734B"/>
    <w:rsid w:val="00E3734E"/>
    <w:rsid w:val="00E37434"/>
    <w:rsid w:val="00E3760A"/>
    <w:rsid w:val="00E377F0"/>
    <w:rsid w:val="00E3795F"/>
    <w:rsid w:val="00E37997"/>
    <w:rsid w:val="00E37A4C"/>
    <w:rsid w:val="00E37BD9"/>
    <w:rsid w:val="00E37C4D"/>
    <w:rsid w:val="00E37D5B"/>
    <w:rsid w:val="00E37DDF"/>
    <w:rsid w:val="00E37E3A"/>
    <w:rsid w:val="00E37E79"/>
    <w:rsid w:val="00E402AE"/>
    <w:rsid w:val="00E4046F"/>
    <w:rsid w:val="00E40626"/>
    <w:rsid w:val="00E40652"/>
    <w:rsid w:val="00E406B2"/>
    <w:rsid w:val="00E40726"/>
    <w:rsid w:val="00E4072E"/>
    <w:rsid w:val="00E40749"/>
    <w:rsid w:val="00E4085D"/>
    <w:rsid w:val="00E409BE"/>
    <w:rsid w:val="00E409F2"/>
    <w:rsid w:val="00E40A1B"/>
    <w:rsid w:val="00E40B25"/>
    <w:rsid w:val="00E40B2B"/>
    <w:rsid w:val="00E40D13"/>
    <w:rsid w:val="00E40D28"/>
    <w:rsid w:val="00E40D35"/>
    <w:rsid w:val="00E40E9B"/>
    <w:rsid w:val="00E41021"/>
    <w:rsid w:val="00E4105E"/>
    <w:rsid w:val="00E4126E"/>
    <w:rsid w:val="00E41328"/>
    <w:rsid w:val="00E41402"/>
    <w:rsid w:val="00E41418"/>
    <w:rsid w:val="00E41426"/>
    <w:rsid w:val="00E41522"/>
    <w:rsid w:val="00E4152C"/>
    <w:rsid w:val="00E415C8"/>
    <w:rsid w:val="00E4164A"/>
    <w:rsid w:val="00E4177B"/>
    <w:rsid w:val="00E418E4"/>
    <w:rsid w:val="00E418F4"/>
    <w:rsid w:val="00E419BB"/>
    <w:rsid w:val="00E41BCE"/>
    <w:rsid w:val="00E41BEF"/>
    <w:rsid w:val="00E41C36"/>
    <w:rsid w:val="00E41C58"/>
    <w:rsid w:val="00E41C78"/>
    <w:rsid w:val="00E41DF8"/>
    <w:rsid w:val="00E41E2E"/>
    <w:rsid w:val="00E41E4F"/>
    <w:rsid w:val="00E41FB6"/>
    <w:rsid w:val="00E41FDE"/>
    <w:rsid w:val="00E42150"/>
    <w:rsid w:val="00E42156"/>
    <w:rsid w:val="00E42183"/>
    <w:rsid w:val="00E4225C"/>
    <w:rsid w:val="00E4229B"/>
    <w:rsid w:val="00E422E7"/>
    <w:rsid w:val="00E422EA"/>
    <w:rsid w:val="00E42399"/>
    <w:rsid w:val="00E423CB"/>
    <w:rsid w:val="00E423FB"/>
    <w:rsid w:val="00E42526"/>
    <w:rsid w:val="00E42547"/>
    <w:rsid w:val="00E42560"/>
    <w:rsid w:val="00E426BD"/>
    <w:rsid w:val="00E4271D"/>
    <w:rsid w:val="00E4273C"/>
    <w:rsid w:val="00E427C4"/>
    <w:rsid w:val="00E427E9"/>
    <w:rsid w:val="00E4286D"/>
    <w:rsid w:val="00E429A5"/>
    <w:rsid w:val="00E429B7"/>
    <w:rsid w:val="00E42B1C"/>
    <w:rsid w:val="00E42BCD"/>
    <w:rsid w:val="00E42BEB"/>
    <w:rsid w:val="00E42C5F"/>
    <w:rsid w:val="00E42CD2"/>
    <w:rsid w:val="00E42D55"/>
    <w:rsid w:val="00E430CD"/>
    <w:rsid w:val="00E430D6"/>
    <w:rsid w:val="00E4317E"/>
    <w:rsid w:val="00E4328A"/>
    <w:rsid w:val="00E43561"/>
    <w:rsid w:val="00E43593"/>
    <w:rsid w:val="00E435B7"/>
    <w:rsid w:val="00E4361D"/>
    <w:rsid w:val="00E43635"/>
    <w:rsid w:val="00E43831"/>
    <w:rsid w:val="00E43842"/>
    <w:rsid w:val="00E43AD8"/>
    <w:rsid w:val="00E43DBA"/>
    <w:rsid w:val="00E43F0E"/>
    <w:rsid w:val="00E43F7E"/>
    <w:rsid w:val="00E43F8A"/>
    <w:rsid w:val="00E43F9F"/>
    <w:rsid w:val="00E44248"/>
    <w:rsid w:val="00E44365"/>
    <w:rsid w:val="00E4436E"/>
    <w:rsid w:val="00E444F2"/>
    <w:rsid w:val="00E4468C"/>
    <w:rsid w:val="00E44764"/>
    <w:rsid w:val="00E44765"/>
    <w:rsid w:val="00E4482A"/>
    <w:rsid w:val="00E4492C"/>
    <w:rsid w:val="00E44989"/>
    <w:rsid w:val="00E4498B"/>
    <w:rsid w:val="00E44B70"/>
    <w:rsid w:val="00E44BB1"/>
    <w:rsid w:val="00E44BBC"/>
    <w:rsid w:val="00E44C4D"/>
    <w:rsid w:val="00E44C87"/>
    <w:rsid w:val="00E44CE4"/>
    <w:rsid w:val="00E44CFC"/>
    <w:rsid w:val="00E44D75"/>
    <w:rsid w:val="00E44D90"/>
    <w:rsid w:val="00E44F79"/>
    <w:rsid w:val="00E44FA9"/>
    <w:rsid w:val="00E4502F"/>
    <w:rsid w:val="00E45062"/>
    <w:rsid w:val="00E4506F"/>
    <w:rsid w:val="00E45095"/>
    <w:rsid w:val="00E450B3"/>
    <w:rsid w:val="00E4538C"/>
    <w:rsid w:val="00E453CF"/>
    <w:rsid w:val="00E45420"/>
    <w:rsid w:val="00E45477"/>
    <w:rsid w:val="00E454A1"/>
    <w:rsid w:val="00E454BA"/>
    <w:rsid w:val="00E456D0"/>
    <w:rsid w:val="00E458C0"/>
    <w:rsid w:val="00E45A3F"/>
    <w:rsid w:val="00E45A60"/>
    <w:rsid w:val="00E45A8D"/>
    <w:rsid w:val="00E45B13"/>
    <w:rsid w:val="00E45B38"/>
    <w:rsid w:val="00E45B54"/>
    <w:rsid w:val="00E45C5C"/>
    <w:rsid w:val="00E45E5F"/>
    <w:rsid w:val="00E4610B"/>
    <w:rsid w:val="00E46112"/>
    <w:rsid w:val="00E46172"/>
    <w:rsid w:val="00E4637C"/>
    <w:rsid w:val="00E4646B"/>
    <w:rsid w:val="00E467DE"/>
    <w:rsid w:val="00E46AC6"/>
    <w:rsid w:val="00E46AE3"/>
    <w:rsid w:val="00E46B60"/>
    <w:rsid w:val="00E46BBE"/>
    <w:rsid w:val="00E46BEC"/>
    <w:rsid w:val="00E46CA7"/>
    <w:rsid w:val="00E46CC1"/>
    <w:rsid w:val="00E46E1B"/>
    <w:rsid w:val="00E46F8A"/>
    <w:rsid w:val="00E4709E"/>
    <w:rsid w:val="00E47158"/>
    <w:rsid w:val="00E47192"/>
    <w:rsid w:val="00E47289"/>
    <w:rsid w:val="00E474BE"/>
    <w:rsid w:val="00E474ED"/>
    <w:rsid w:val="00E4750E"/>
    <w:rsid w:val="00E47519"/>
    <w:rsid w:val="00E47576"/>
    <w:rsid w:val="00E475AF"/>
    <w:rsid w:val="00E47653"/>
    <w:rsid w:val="00E4766F"/>
    <w:rsid w:val="00E476E7"/>
    <w:rsid w:val="00E47761"/>
    <w:rsid w:val="00E4778C"/>
    <w:rsid w:val="00E47804"/>
    <w:rsid w:val="00E47875"/>
    <w:rsid w:val="00E47921"/>
    <w:rsid w:val="00E47A0A"/>
    <w:rsid w:val="00E47CF2"/>
    <w:rsid w:val="00E5003F"/>
    <w:rsid w:val="00E500BE"/>
    <w:rsid w:val="00E50175"/>
    <w:rsid w:val="00E50223"/>
    <w:rsid w:val="00E50240"/>
    <w:rsid w:val="00E502A1"/>
    <w:rsid w:val="00E50343"/>
    <w:rsid w:val="00E503A5"/>
    <w:rsid w:val="00E50413"/>
    <w:rsid w:val="00E504A7"/>
    <w:rsid w:val="00E504BF"/>
    <w:rsid w:val="00E5054A"/>
    <w:rsid w:val="00E505BD"/>
    <w:rsid w:val="00E50777"/>
    <w:rsid w:val="00E50792"/>
    <w:rsid w:val="00E508BA"/>
    <w:rsid w:val="00E5096C"/>
    <w:rsid w:val="00E50987"/>
    <w:rsid w:val="00E50A4D"/>
    <w:rsid w:val="00E50B2F"/>
    <w:rsid w:val="00E50BD0"/>
    <w:rsid w:val="00E50BF4"/>
    <w:rsid w:val="00E50D33"/>
    <w:rsid w:val="00E50D9A"/>
    <w:rsid w:val="00E510E7"/>
    <w:rsid w:val="00E5114A"/>
    <w:rsid w:val="00E51159"/>
    <w:rsid w:val="00E5160B"/>
    <w:rsid w:val="00E51628"/>
    <w:rsid w:val="00E5162E"/>
    <w:rsid w:val="00E517D2"/>
    <w:rsid w:val="00E51B54"/>
    <w:rsid w:val="00E51B7A"/>
    <w:rsid w:val="00E51BDA"/>
    <w:rsid w:val="00E51C5B"/>
    <w:rsid w:val="00E51C89"/>
    <w:rsid w:val="00E51CBB"/>
    <w:rsid w:val="00E51CC3"/>
    <w:rsid w:val="00E51CEC"/>
    <w:rsid w:val="00E51D12"/>
    <w:rsid w:val="00E51E7A"/>
    <w:rsid w:val="00E51F23"/>
    <w:rsid w:val="00E522DB"/>
    <w:rsid w:val="00E522ED"/>
    <w:rsid w:val="00E5232A"/>
    <w:rsid w:val="00E5243E"/>
    <w:rsid w:val="00E524BA"/>
    <w:rsid w:val="00E52644"/>
    <w:rsid w:val="00E52815"/>
    <w:rsid w:val="00E52898"/>
    <w:rsid w:val="00E529A9"/>
    <w:rsid w:val="00E529F4"/>
    <w:rsid w:val="00E52A3E"/>
    <w:rsid w:val="00E52E38"/>
    <w:rsid w:val="00E52FC7"/>
    <w:rsid w:val="00E530B7"/>
    <w:rsid w:val="00E5324A"/>
    <w:rsid w:val="00E533F6"/>
    <w:rsid w:val="00E534A9"/>
    <w:rsid w:val="00E53512"/>
    <w:rsid w:val="00E5360A"/>
    <w:rsid w:val="00E53614"/>
    <w:rsid w:val="00E53723"/>
    <w:rsid w:val="00E53944"/>
    <w:rsid w:val="00E5396A"/>
    <w:rsid w:val="00E53A19"/>
    <w:rsid w:val="00E53AA0"/>
    <w:rsid w:val="00E53AC9"/>
    <w:rsid w:val="00E53AEF"/>
    <w:rsid w:val="00E53CD4"/>
    <w:rsid w:val="00E53D46"/>
    <w:rsid w:val="00E53E49"/>
    <w:rsid w:val="00E53EC4"/>
    <w:rsid w:val="00E53F37"/>
    <w:rsid w:val="00E53F5A"/>
    <w:rsid w:val="00E53FB5"/>
    <w:rsid w:val="00E54084"/>
    <w:rsid w:val="00E540C5"/>
    <w:rsid w:val="00E542AA"/>
    <w:rsid w:val="00E5454F"/>
    <w:rsid w:val="00E5456B"/>
    <w:rsid w:val="00E546A0"/>
    <w:rsid w:val="00E546BD"/>
    <w:rsid w:val="00E5475A"/>
    <w:rsid w:val="00E5489A"/>
    <w:rsid w:val="00E549F0"/>
    <w:rsid w:val="00E54B3F"/>
    <w:rsid w:val="00E54B61"/>
    <w:rsid w:val="00E54C35"/>
    <w:rsid w:val="00E54C96"/>
    <w:rsid w:val="00E54DBA"/>
    <w:rsid w:val="00E54DCF"/>
    <w:rsid w:val="00E54E72"/>
    <w:rsid w:val="00E54EA0"/>
    <w:rsid w:val="00E54FE8"/>
    <w:rsid w:val="00E55042"/>
    <w:rsid w:val="00E55180"/>
    <w:rsid w:val="00E5534C"/>
    <w:rsid w:val="00E55392"/>
    <w:rsid w:val="00E5544A"/>
    <w:rsid w:val="00E554BF"/>
    <w:rsid w:val="00E554EF"/>
    <w:rsid w:val="00E55504"/>
    <w:rsid w:val="00E55547"/>
    <w:rsid w:val="00E5556F"/>
    <w:rsid w:val="00E555B5"/>
    <w:rsid w:val="00E557AD"/>
    <w:rsid w:val="00E55807"/>
    <w:rsid w:val="00E558FC"/>
    <w:rsid w:val="00E55921"/>
    <w:rsid w:val="00E55B6F"/>
    <w:rsid w:val="00E55B9D"/>
    <w:rsid w:val="00E55C32"/>
    <w:rsid w:val="00E55D1A"/>
    <w:rsid w:val="00E55E07"/>
    <w:rsid w:val="00E55FC2"/>
    <w:rsid w:val="00E56053"/>
    <w:rsid w:val="00E56075"/>
    <w:rsid w:val="00E560E3"/>
    <w:rsid w:val="00E56172"/>
    <w:rsid w:val="00E5622F"/>
    <w:rsid w:val="00E563C3"/>
    <w:rsid w:val="00E563E5"/>
    <w:rsid w:val="00E564DC"/>
    <w:rsid w:val="00E5652C"/>
    <w:rsid w:val="00E56547"/>
    <w:rsid w:val="00E5668D"/>
    <w:rsid w:val="00E569D4"/>
    <w:rsid w:val="00E56ABC"/>
    <w:rsid w:val="00E56B52"/>
    <w:rsid w:val="00E56C4F"/>
    <w:rsid w:val="00E56C90"/>
    <w:rsid w:val="00E56D01"/>
    <w:rsid w:val="00E56DE1"/>
    <w:rsid w:val="00E56EAB"/>
    <w:rsid w:val="00E56FE3"/>
    <w:rsid w:val="00E5707A"/>
    <w:rsid w:val="00E5713B"/>
    <w:rsid w:val="00E571D1"/>
    <w:rsid w:val="00E5721A"/>
    <w:rsid w:val="00E57341"/>
    <w:rsid w:val="00E573D0"/>
    <w:rsid w:val="00E5757A"/>
    <w:rsid w:val="00E576A9"/>
    <w:rsid w:val="00E57A32"/>
    <w:rsid w:val="00E57A91"/>
    <w:rsid w:val="00E57BBD"/>
    <w:rsid w:val="00E57C5B"/>
    <w:rsid w:val="00E57C66"/>
    <w:rsid w:val="00E57DAB"/>
    <w:rsid w:val="00E57DE7"/>
    <w:rsid w:val="00E57EAD"/>
    <w:rsid w:val="00E6001E"/>
    <w:rsid w:val="00E60073"/>
    <w:rsid w:val="00E60139"/>
    <w:rsid w:val="00E601CB"/>
    <w:rsid w:val="00E60214"/>
    <w:rsid w:val="00E60348"/>
    <w:rsid w:val="00E603BD"/>
    <w:rsid w:val="00E604B2"/>
    <w:rsid w:val="00E604BD"/>
    <w:rsid w:val="00E60667"/>
    <w:rsid w:val="00E60702"/>
    <w:rsid w:val="00E60747"/>
    <w:rsid w:val="00E607CB"/>
    <w:rsid w:val="00E60849"/>
    <w:rsid w:val="00E609B0"/>
    <w:rsid w:val="00E60A05"/>
    <w:rsid w:val="00E60A77"/>
    <w:rsid w:val="00E60ADA"/>
    <w:rsid w:val="00E60C96"/>
    <w:rsid w:val="00E60D3B"/>
    <w:rsid w:val="00E60E6F"/>
    <w:rsid w:val="00E60E93"/>
    <w:rsid w:val="00E60F49"/>
    <w:rsid w:val="00E60F93"/>
    <w:rsid w:val="00E61085"/>
    <w:rsid w:val="00E610AB"/>
    <w:rsid w:val="00E6112D"/>
    <w:rsid w:val="00E61161"/>
    <w:rsid w:val="00E611D4"/>
    <w:rsid w:val="00E61225"/>
    <w:rsid w:val="00E61270"/>
    <w:rsid w:val="00E613E9"/>
    <w:rsid w:val="00E614EC"/>
    <w:rsid w:val="00E61532"/>
    <w:rsid w:val="00E61536"/>
    <w:rsid w:val="00E6154C"/>
    <w:rsid w:val="00E6158D"/>
    <w:rsid w:val="00E616F0"/>
    <w:rsid w:val="00E61A4C"/>
    <w:rsid w:val="00E61A53"/>
    <w:rsid w:val="00E61B32"/>
    <w:rsid w:val="00E61BBE"/>
    <w:rsid w:val="00E61C2E"/>
    <w:rsid w:val="00E61D8B"/>
    <w:rsid w:val="00E61E76"/>
    <w:rsid w:val="00E61EF3"/>
    <w:rsid w:val="00E61FDF"/>
    <w:rsid w:val="00E625EF"/>
    <w:rsid w:val="00E62707"/>
    <w:rsid w:val="00E627F8"/>
    <w:rsid w:val="00E6283C"/>
    <w:rsid w:val="00E62989"/>
    <w:rsid w:val="00E6298F"/>
    <w:rsid w:val="00E62A0F"/>
    <w:rsid w:val="00E62B75"/>
    <w:rsid w:val="00E62BC5"/>
    <w:rsid w:val="00E62BF3"/>
    <w:rsid w:val="00E62C68"/>
    <w:rsid w:val="00E62C6E"/>
    <w:rsid w:val="00E62D22"/>
    <w:rsid w:val="00E62E71"/>
    <w:rsid w:val="00E62F64"/>
    <w:rsid w:val="00E63105"/>
    <w:rsid w:val="00E63138"/>
    <w:rsid w:val="00E63141"/>
    <w:rsid w:val="00E631E8"/>
    <w:rsid w:val="00E63236"/>
    <w:rsid w:val="00E6327A"/>
    <w:rsid w:val="00E63469"/>
    <w:rsid w:val="00E63570"/>
    <w:rsid w:val="00E63575"/>
    <w:rsid w:val="00E635B5"/>
    <w:rsid w:val="00E635F1"/>
    <w:rsid w:val="00E63830"/>
    <w:rsid w:val="00E63836"/>
    <w:rsid w:val="00E6387C"/>
    <w:rsid w:val="00E639AD"/>
    <w:rsid w:val="00E63A85"/>
    <w:rsid w:val="00E63A97"/>
    <w:rsid w:val="00E63B07"/>
    <w:rsid w:val="00E63BE3"/>
    <w:rsid w:val="00E63D2A"/>
    <w:rsid w:val="00E63DE1"/>
    <w:rsid w:val="00E63E1E"/>
    <w:rsid w:val="00E63FDA"/>
    <w:rsid w:val="00E64093"/>
    <w:rsid w:val="00E640C3"/>
    <w:rsid w:val="00E64145"/>
    <w:rsid w:val="00E6424F"/>
    <w:rsid w:val="00E64252"/>
    <w:rsid w:val="00E6431F"/>
    <w:rsid w:val="00E64360"/>
    <w:rsid w:val="00E644FE"/>
    <w:rsid w:val="00E645DF"/>
    <w:rsid w:val="00E64643"/>
    <w:rsid w:val="00E64646"/>
    <w:rsid w:val="00E648AB"/>
    <w:rsid w:val="00E648C7"/>
    <w:rsid w:val="00E649DF"/>
    <w:rsid w:val="00E64AAB"/>
    <w:rsid w:val="00E64B27"/>
    <w:rsid w:val="00E64C29"/>
    <w:rsid w:val="00E64DDD"/>
    <w:rsid w:val="00E64E45"/>
    <w:rsid w:val="00E64F30"/>
    <w:rsid w:val="00E64F36"/>
    <w:rsid w:val="00E64F89"/>
    <w:rsid w:val="00E65107"/>
    <w:rsid w:val="00E6525A"/>
    <w:rsid w:val="00E65283"/>
    <w:rsid w:val="00E652A5"/>
    <w:rsid w:val="00E653FC"/>
    <w:rsid w:val="00E656BE"/>
    <w:rsid w:val="00E65721"/>
    <w:rsid w:val="00E65754"/>
    <w:rsid w:val="00E657B8"/>
    <w:rsid w:val="00E6590B"/>
    <w:rsid w:val="00E65A41"/>
    <w:rsid w:val="00E65DDC"/>
    <w:rsid w:val="00E66101"/>
    <w:rsid w:val="00E66187"/>
    <w:rsid w:val="00E66240"/>
    <w:rsid w:val="00E6625D"/>
    <w:rsid w:val="00E66260"/>
    <w:rsid w:val="00E66261"/>
    <w:rsid w:val="00E663BD"/>
    <w:rsid w:val="00E6647F"/>
    <w:rsid w:val="00E66580"/>
    <w:rsid w:val="00E666D3"/>
    <w:rsid w:val="00E6686A"/>
    <w:rsid w:val="00E66AA8"/>
    <w:rsid w:val="00E66AF1"/>
    <w:rsid w:val="00E66D97"/>
    <w:rsid w:val="00E67054"/>
    <w:rsid w:val="00E6712E"/>
    <w:rsid w:val="00E67149"/>
    <w:rsid w:val="00E671A9"/>
    <w:rsid w:val="00E6722A"/>
    <w:rsid w:val="00E67317"/>
    <w:rsid w:val="00E67369"/>
    <w:rsid w:val="00E673BE"/>
    <w:rsid w:val="00E67415"/>
    <w:rsid w:val="00E6742A"/>
    <w:rsid w:val="00E674D0"/>
    <w:rsid w:val="00E6754A"/>
    <w:rsid w:val="00E6761B"/>
    <w:rsid w:val="00E676C8"/>
    <w:rsid w:val="00E67759"/>
    <w:rsid w:val="00E6780A"/>
    <w:rsid w:val="00E67875"/>
    <w:rsid w:val="00E6797F"/>
    <w:rsid w:val="00E67AA3"/>
    <w:rsid w:val="00E67B03"/>
    <w:rsid w:val="00E67B4F"/>
    <w:rsid w:val="00E67BA2"/>
    <w:rsid w:val="00E67BF4"/>
    <w:rsid w:val="00E67C6F"/>
    <w:rsid w:val="00E67D81"/>
    <w:rsid w:val="00E67DF5"/>
    <w:rsid w:val="00E67F36"/>
    <w:rsid w:val="00E700C2"/>
    <w:rsid w:val="00E700E3"/>
    <w:rsid w:val="00E70119"/>
    <w:rsid w:val="00E701D5"/>
    <w:rsid w:val="00E70286"/>
    <w:rsid w:val="00E70548"/>
    <w:rsid w:val="00E706BF"/>
    <w:rsid w:val="00E708E6"/>
    <w:rsid w:val="00E70989"/>
    <w:rsid w:val="00E70991"/>
    <w:rsid w:val="00E709FF"/>
    <w:rsid w:val="00E70B0F"/>
    <w:rsid w:val="00E70C5A"/>
    <w:rsid w:val="00E70D06"/>
    <w:rsid w:val="00E70DAC"/>
    <w:rsid w:val="00E70E7F"/>
    <w:rsid w:val="00E70F0B"/>
    <w:rsid w:val="00E71117"/>
    <w:rsid w:val="00E7112B"/>
    <w:rsid w:val="00E7115C"/>
    <w:rsid w:val="00E712A4"/>
    <w:rsid w:val="00E713D1"/>
    <w:rsid w:val="00E71440"/>
    <w:rsid w:val="00E71560"/>
    <w:rsid w:val="00E715E0"/>
    <w:rsid w:val="00E71672"/>
    <w:rsid w:val="00E716B0"/>
    <w:rsid w:val="00E717C3"/>
    <w:rsid w:val="00E717F8"/>
    <w:rsid w:val="00E71861"/>
    <w:rsid w:val="00E71AE7"/>
    <w:rsid w:val="00E71AEE"/>
    <w:rsid w:val="00E71B0F"/>
    <w:rsid w:val="00E71B38"/>
    <w:rsid w:val="00E71CB9"/>
    <w:rsid w:val="00E71D80"/>
    <w:rsid w:val="00E71E2A"/>
    <w:rsid w:val="00E71EB4"/>
    <w:rsid w:val="00E720D9"/>
    <w:rsid w:val="00E721D2"/>
    <w:rsid w:val="00E722E4"/>
    <w:rsid w:val="00E7243F"/>
    <w:rsid w:val="00E72553"/>
    <w:rsid w:val="00E7265D"/>
    <w:rsid w:val="00E726A4"/>
    <w:rsid w:val="00E7273C"/>
    <w:rsid w:val="00E72758"/>
    <w:rsid w:val="00E72787"/>
    <w:rsid w:val="00E7278D"/>
    <w:rsid w:val="00E727C5"/>
    <w:rsid w:val="00E727F6"/>
    <w:rsid w:val="00E72948"/>
    <w:rsid w:val="00E729BC"/>
    <w:rsid w:val="00E72A03"/>
    <w:rsid w:val="00E72B55"/>
    <w:rsid w:val="00E72B84"/>
    <w:rsid w:val="00E72BA7"/>
    <w:rsid w:val="00E72C6D"/>
    <w:rsid w:val="00E72D15"/>
    <w:rsid w:val="00E72E86"/>
    <w:rsid w:val="00E72F15"/>
    <w:rsid w:val="00E73195"/>
    <w:rsid w:val="00E73325"/>
    <w:rsid w:val="00E7335B"/>
    <w:rsid w:val="00E73395"/>
    <w:rsid w:val="00E735E1"/>
    <w:rsid w:val="00E73775"/>
    <w:rsid w:val="00E737B9"/>
    <w:rsid w:val="00E739AE"/>
    <w:rsid w:val="00E739C2"/>
    <w:rsid w:val="00E73A00"/>
    <w:rsid w:val="00E73BA9"/>
    <w:rsid w:val="00E73C10"/>
    <w:rsid w:val="00E73E95"/>
    <w:rsid w:val="00E73EF9"/>
    <w:rsid w:val="00E7403D"/>
    <w:rsid w:val="00E741A4"/>
    <w:rsid w:val="00E742D9"/>
    <w:rsid w:val="00E74379"/>
    <w:rsid w:val="00E744AB"/>
    <w:rsid w:val="00E74506"/>
    <w:rsid w:val="00E74572"/>
    <w:rsid w:val="00E745BF"/>
    <w:rsid w:val="00E7465D"/>
    <w:rsid w:val="00E7469E"/>
    <w:rsid w:val="00E7485B"/>
    <w:rsid w:val="00E74902"/>
    <w:rsid w:val="00E74AED"/>
    <w:rsid w:val="00E74B08"/>
    <w:rsid w:val="00E74D2C"/>
    <w:rsid w:val="00E74DBD"/>
    <w:rsid w:val="00E74DC2"/>
    <w:rsid w:val="00E74E40"/>
    <w:rsid w:val="00E74F4D"/>
    <w:rsid w:val="00E74FB2"/>
    <w:rsid w:val="00E7506F"/>
    <w:rsid w:val="00E7508D"/>
    <w:rsid w:val="00E75475"/>
    <w:rsid w:val="00E754DE"/>
    <w:rsid w:val="00E7550D"/>
    <w:rsid w:val="00E7550F"/>
    <w:rsid w:val="00E755B0"/>
    <w:rsid w:val="00E75621"/>
    <w:rsid w:val="00E756AE"/>
    <w:rsid w:val="00E75712"/>
    <w:rsid w:val="00E757A0"/>
    <w:rsid w:val="00E75880"/>
    <w:rsid w:val="00E75953"/>
    <w:rsid w:val="00E759AF"/>
    <w:rsid w:val="00E75ACD"/>
    <w:rsid w:val="00E75B8A"/>
    <w:rsid w:val="00E75CAC"/>
    <w:rsid w:val="00E75D1E"/>
    <w:rsid w:val="00E75FA3"/>
    <w:rsid w:val="00E7625D"/>
    <w:rsid w:val="00E76399"/>
    <w:rsid w:val="00E76548"/>
    <w:rsid w:val="00E765D6"/>
    <w:rsid w:val="00E766B0"/>
    <w:rsid w:val="00E7679A"/>
    <w:rsid w:val="00E7689A"/>
    <w:rsid w:val="00E7694C"/>
    <w:rsid w:val="00E76B4B"/>
    <w:rsid w:val="00E76D1F"/>
    <w:rsid w:val="00E76D8C"/>
    <w:rsid w:val="00E76EA4"/>
    <w:rsid w:val="00E76EB5"/>
    <w:rsid w:val="00E76EF6"/>
    <w:rsid w:val="00E76F5F"/>
    <w:rsid w:val="00E76F84"/>
    <w:rsid w:val="00E76F8E"/>
    <w:rsid w:val="00E7702D"/>
    <w:rsid w:val="00E7712E"/>
    <w:rsid w:val="00E77140"/>
    <w:rsid w:val="00E77149"/>
    <w:rsid w:val="00E771C1"/>
    <w:rsid w:val="00E772C8"/>
    <w:rsid w:val="00E77330"/>
    <w:rsid w:val="00E77372"/>
    <w:rsid w:val="00E7741C"/>
    <w:rsid w:val="00E775BE"/>
    <w:rsid w:val="00E77783"/>
    <w:rsid w:val="00E777F7"/>
    <w:rsid w:val="00E77827"/>
    <w:rsid w:val="00E7785B"/>
    <w:rsid w:val="00E77898"/>
    <w:rsid w:val="00E77AB5"/>
    <w:rsid w:val="00E77ABC"/>
    <w:rsid w:val="00E77CEE"/>
    <w:rsid w:val="00E77D9E"/>
    <w:rsid w:val="00E77E4C"/>
    <w:rsid w:val="00E77E68"/>
    <w:rsid w:val="00E77F6D"/>
    <w:rsid w:val="00E801E9"/>
    <w:rsid w:val="00E80202"/>
    <w:rsid w:val="00E80397"/>
    <w:rsid w:val="00E803E2"/>
    <w:rsid w:val="00E8042A"/>
    <w:rsid w:val="00E804A8"/>
    <w:rsid w:val="00E80506"/>
    <w:rsid w:val="00E8059F"/>
    <w:rsid w:val="00E805A1"/>
    <w:rsid w:val="00E8060E"/>
    <w:rsid w:val="00E807C9"/>
    <w:rsid w:val="00E807D5"/>
    <w:rsid w:val="00E809D0"/>
    <w:rsid w:val="00E80A0F"/>
    <w:rsid w:val="00E80A9E"/>
    <w:rsid w:val="00E80B06"/>
    <w:rsid w:val="00E80B7D"/>
    <w:rsid w:val="00E80BBA"/>
    <w:rsid w:val="00E80F51"/>
    <w:rsid w:val="00E80FE6"/>
    <w:rsid w:val="00E81049"/>
    <w:rsid w:val="00E8112D"/>
    <w:rsid w:val="00E8126D"/>
    <w:rsid w:val="00E81334"/>
    <w:rsid w:val="00E81414"/>
    <w:rsid w:val="00E8155E"/>
    <w:rsid w:val="00E81576"/>
    <w:rsid w:val="00E81B48"/>
    <w:rsid w:val="00E81B6D"/>
    <w:rsid w:val="00E81CBF"/>
    <w:rsid w:val="00E81D00"/>
    <w:rsid w:val="00E81D9B"/>
    <w:rsid w:val="00E81DC9"/>
    <w:rsid w:val="00E81E46"/>
    <w:rsid w:val="00E81E73"/>
    <w:rsid w:val="00E81F22"/>
    <w:rsid w:val="00E82186"/>
    <w:rsid w:val="00E82434"/>
    <w:rsid w:val="00E8247D"/>
    <w:rsid w:val="00E824F2"/>
    <w:rsid w:val="00E82561"/>
    <w:rsid w:val="00E82582"/>
    <w:rsid w:val="00E82711"/>
    <w:rsid w:val="00E82715"/>
    <w:rsid w:val="00E82993"/>
    <w:rsid w:val="00E829E3"/>
    <w:rsid w:val="00E829F2"/>
    <w:rsid w:val="00E82AFA"/>
    <w:rsid w:val="00E82B1F"/>
    <w:rsid w:val="00E82C14"/>
    <w:rsid w:val="00E82C36"/>
    <w:rsid w:val="00E82ED8"/>
    <w:rsid w:val="00E83110"/>
    <w:rsid w:val="00E8331E"/>
    <w:rsid w:val="00E83B32"/>
    <w:rsid w:val="00E83BD8"/>
    <w:rsid w:val="00E83CC5"/>
    <w:rsid w:val="00E83D71"/>
    <w:rsid w:val="00E83E29"/>
    <w:rsid w:val="00E83E78"/>
    <w:rsid w:val="00E83F6F"/>
    <w:rsid w:val="00E84335"/>
    <w:rsid w:val="00E8471A"/>
    <w:rsid w:val="00E84A16"/>
    <w:rsid w:val="00E84A6B"/>
    <w:rsid w:val="00E84A90"/>
    <w:rsid w:val="00E84B53"/>
    <w:rsid w:val="00E84C24"/>
    <w:rsid w:val="00E84C9C"/>
    <w:rsid w:val="00E84D9E"/>
    <w:rsid w:val="00E84E5F"/>
    <w:rsid w:val="00E84F40"/>
    <w:rsid w:val="00E85001"/>
    <w:rsid w:val="00E85053"/>
    <w:rsid w:val="00E8516F"/>
    <w:rsid w:val="00E85273"/>
    <w:rsid w:val="00E8530E"/>
    <w:rsid w:val="00E853C7"/>
    <w:rsid w:val="00E85544"/>
    <w:rsid w:val="00E85724"/>
    <w:rsid w:val="00E85A10"/>
    <w:rsid w:val="00E85AF4"/>
    <w:rsid w:val="00E85AFE"/>
    <w:rsid w:val="00E85C5D"/>
    <w:rsid w:val="00E85D13"/>
    <w:rsid w:val="00E85E13"/>
    <w:rsid w:val="00E85E91"/>
    <w:rsid w:val="00E85FE8"/>
    <w:rsid w:val="00E860F8"/>
    <w:rsid w:val="00E8612C"/>
    <w:rsid w:val="00E8614E"/>
    <w:rsid w:val="00E86306"/>
    <w:rsid w:val="00E86387"/>
    <w:rsid w:val="00E863AD"/>
    <w:rsid w:val="00E864D7"/>
    <w:rsid w:val="00E86691"/>
    <w:rsid w:val="00E866E3"/>
    <w:rsid w:val="00E86719"/>
    <w:rsid w:val="00E8672E"/>
    <w:rsid w:val="00E86765"/>
    <w:rsid w:val="00E867BE"/>
    <w:rsid w:val="00E8686D"/>
    <w:rsid w:val="00E86AB7"/>
    <w:rsid w:val="00E86AF6"/>
    <w:rsid w:val="00E86BBA"/>
    <w:rsid w:val="00E86D4F"/>
    <w:rsid w:val="00E86D66"/>
    <w:rsid w:val="00E86DA7"/>
    <w:rsid w:val="00E86FCD"/>
    <w:rsid w:val="00E870D8"/>
    <w:rsid w:val="00E871B9"/>
    <w:rsid w:val="00E87248"/>
    <w:rsid w:val="00E874C5"/>
    <w:rsid w:val="00E8756A"/>
    <w:rsid w:val="00E87596"/>
    <w:rsid w:val="00E87641"/>
    <w:rsid w:val="00E8781C"/>
    <w:rsid w:val="00E878DC"/>
    <w:rsid w:val="00E87960"/>
    <w:rsid w:val="00E879AA"/>
    <w:rsid w:val="00E879C6"/>
    <w:rsid w:val="00E87AAA"/>
    <w:rsid w:val="00E87AB2"/>
    <w:rsid w:val="00E87D75"/>
    <w:rsid w:val="00E87E42"/>
    <w:rsid w:val="00E87E6F"/>
    <w:rsid w:val="00E87EDF"/>
    <w:rsid w:val="00E87F3D"/>
    <w:rsid w:val="00E9000A"/>
    <w:rsid w:val="00E90073"/>
    <w:rsid w:val="00E90105"/>
    <w:rsid w:val="00E90110"/>
    <w:rsid w:val="00E9024A"/>
    <w:rsid w:val="00E9026E"/>
    <w:rsid w:val="00E9030C"/>
    <w:rsid w:val="00E90395"/>
    <w:rsid w:val="00E903B8"/>
    <w:rsid w:val="00E90495"/>
    <w:rsid w:val="00E9053D"/>
    <w:rsid w:val="00E905B1"/>
    <w:rsid w:val="00E905D7"/>
    <w:rsid w:val="00E905F2"/>
    <w:rsid w:val="00E906AD"/>
    <w:rsid w:val="00E9080B"/>
    <w:rsid w:val="00E90A5E"/>
    <w:rsid w:val="00E90AEB"/>
    <w:rsid w:val="00E90AFF"/>
    <w:rsid w:val="00E90B5D"/>
    <w:rsid w:val="00E90BA9"/>
    <w:rsid w:val="00E90D4D"/>
    <w:rsid w:val="00E90DF8"/>
    <w:rsid w:val="00E91006"/>
    <w:rsid w:val="00E91108"/>
    <w:rsid w:val="00E911AC"/>
    <w:rsid w:val="00E9122A"/>
    <w:rsid w:val="00E913EB"/>
    <w:rsid w:val="00E91567"/>
    <w:rsid w:val="00E9157C"/>
    <w:rsid w:val="00E91615"/>
    <w:rsid w:val="00E91660"/>
    <w:rsid w:val="00E917FC"/>
    <w:rsid w:val="00E91824"/>
    <w:rsid w:val="00E91833"/>
    <w:rsid w:val="00E91880"/>
    <w:rsid w:val="00E919A3"/>
    <w:rsid w:val="00E91A25"/>
    <w:rsid w:val="00E91ABF"/>
    <w:rsid w:val="00E91D23"/>
    <w:rsid w:val="00E91DB8"/>
    <w:rsid w:val="00E91E26"/>
    <w:rsid w:val="00E91F23"/>
    <w:rsid w:val="00E920A8"/>
    <w:rsid w:val="00E920BE"/>
    <w:rsid w:val="00E920F6"/>
    <w:rsid w:val="00E92108"/>
    <w:rsid w:val="00E92147"/>
    <w:rsid w:val="00E92155"/>
    <w:rsid w:val="00E92197"/>
    <w:rsid w:val="00E92312"/>
    <w:rsid w:val="00E9231E"/>
    <w:rsid w:val="00E92357"/>
    <w:rsid w:val="00E92385"/>
    <w:rsid w:val="00E925C9"/>
    <w:rsid w:val="00E9273B"/>
    <w:rsid w:val="00E92783"/>
    <w:rsid w:val="00E92839"/>
    <w:rsid w:val="00E92901"/>
    <w:rsid w:val="00E92A89"/>
    <w:rsid w:val="00E92AC2"/>
    <w:rsid w:val="00E92AE0"/>
    <w:rsid w:val="00E92BAA"/>
    <w:rsid w:val="00E92D87"/>
    <w:rsid w:val="00E93079"/>
    <w:rsid w:val="00E930AD"/>
    <w:rsid w:val="00E930AE"/>
    <w:rsid w:val="00E93158"/>
    <w:rsid w:val="00E931CF"/>
    <w:rsid w:val="00E932F9"/>
    <w:rsid w:val="00E9336B"/>
    <w:rsid w:val="00E9355D"/>
    <w:rsid w:val="00E9372F"/>
    <w:rsid w:val="00E938CC"/>
    <w:rsid w:val="00E93CCD"/>
    <w:rsid w:val="00E93CD2"/>
    <w:rsid w:val="00E93E7E"/>
    <w:rsid w:val="00E940BE"/>
    <w:rsid w:val="00E94141"/>
    <w:rsid w:val="00E942AD"/>
    <w:rsid w:val="00E9444A"/>
    <w:rsid w:val="00E94473"/>
    <w:rsid w:val="00E94503"/>
    <w:rsid w:val="00E945E0"/>
    <w:rsid w:val="00E947FF"/>
    <w:rsid w:val="00E94824"/>
    <w:rsid w:val="00E94847"/>
    <w:rsid w:val="00E94A21"/>
    <w:rsid w:val="00E94B66"/>
    <w:rsid w:val="00E94C14"/>
    <w:rsid w:val="00E94CF2"/>
    <w:rsid w:val="00E94D2B"/>
    <w:rsid w:val="00E94D49"/>
    <w:rsid w:val="00E94D7F"/>
    <w:rsid w:val="00E94DEC"/>
    <w:rsid w:val="00E94F6A"/>
    <w:rsid w:val="00E94F71"/>
    <w:rsid w:val="00E94FE2"/>
    <w:rsid w:val="00E95221"/>
    <w:rsid w:val="00E9537D"/>
    <w:rsid w:val="00E9550C"/>
    <w:rsid w:val="00E9550F"/>
    <w:rsid w:val="00E955CD"/>
    <w:rsid w:val="00E95790"/>
    <w:rsid w:val="00E9597C"/>
    <w:rsid w:val="00E9598D"/>
    <w:rsid w:val="00E959D5"/>
    <w:rsid w:val="00E95B00"/>
    <w:rsid w:val="00E95BA3"/>
    <w:rsid w:val="00E95CE4"/>
    <w:rsid w:val="00E95D92"/>
    <w:rsid w:val="00E95EFB"/>
    <w:rsid w:val="00E95F0D"/>
    <w:rsid w:val="00E96026"/>
    <w:rsid w:val="00E96082"/>
    <w:rsid w:val="00E962E9"/>
    <w:rsid w:val="00E963D2"/>
    <w:rsid w:val="00E963F9"/>
    <w:rsid w:val="00E96432"/>
    <w:rsid w:val="00E9647D"/>
    <w:rsid w:val="00E9649B"/>
    <w:rsid w:val="00E9651F"/>
    <w:rsid w:val="00E96701"/>
    <w:rsid w:val="00E96787"/>
    <w:rsid w:val="00E967C6"/>
    <w:rsid w:val="00E9687B"/>
    <w:rsid w:val="00E96B68"/>
    <w:rsid w:val="00E96D86"/>
    <w:rsid w:val="00E96E7A"/>
    <w:rsid w:val="00E96ECC"/>
    <w:rsid w:val="00E96ECD"/>
    <w:rsid w:val="00E970B0"/>
    <w:rsid w:val="00E9730C"/>
    <w:rsid w:val="00E974D2"/>
    <w:rsid w:val="00E974D4"/>
    <w:rsid w:val="00E974EE"/>
    <w:rsid w:val="00E97544"/>
    <w:rsid w:val="00E97619"/>
    <w:rsid w:val="00E9769B"/>
    <w:rsid w:val="00E976A8"/>
    <w:rsid w:val="00E9771B"/>
    <w:rsid w:val="00E977A7"/>
    <w:rsid w:val="00E97808"/>
    <w:rsid w:val="00E978F1"/>
    <w:rsid w:val="00E97906"/>
    <w:rsid w:val="00E9790F"/>
    <w:rsid w:val="00E9792A"/>
    <w:rsid w:val="00E979EB"/>
    <w:rsid w:val="00E97A16"/>
    <w:rsid w:val="00E97A1A"/>
    <w:rsid w:val="00E97A33"/>
    <w:rsid w:val="00E97A5E"/>
    <w:rsid w:val="00E97ADF"/>
    <w:rsid w:val="00E97B71"/>
    <w:rsid w:val="00E97B87"/>
    <w:rsid w:val="00E97C88"/>
    <w:rsid w:val="00E97C99"/>
    <w:rsid w:val="00E97CBF"/>
    <w:rsid w:val="00E97CCF"/>
    <w:rsid w:val="00E97CD7"/>
    <w:rsid w:val="00E97DB2"/>
    <w:rsid w:val="00E97E3E"/>
    <w:rsid w:val="00E97EBE"/>
    <w:rsid w:val="00E97F7F"/>
    <w:rsid w:val="00EA0021"/>
    <w:rsid w:val="00EA0059"/>
    <w:rsid w:val="00EA0087"/>
    <w:rsid w:val="00EA008C"/>
    <w:rsid w:val="00EA00CB"/>
    <w:rsid w:val="00EA0132"/>
    <w:rsid w:val="00EA023B"/>
    <w:rsid w:val="00EA039A"/>
    <w:rsid w:val="00EA039C"/>
    <w:rsid w:val="00EA03CE"/>
    <w:rsid w:val="00EA03CF"/>
    <w:rsid w:val="00EA0524"/>
    <w:rsid w:val="00EA0527"/>
    <w:rsid w:val="00EA0578"/>
    <w:rsid w:val="00EA05F7"/>
    <w:rsid w:val="00EA0601"/>
    <w:rsid w:val="00EA0787"/>
    <w:rsid w:val="00EA07E3"/>
    <w:rsid w:val="00EA09AE"/>
    <w:rsid w:val="00EA0AF7"/>
    <w:rsid w:val="00EA0B55"/>
    <w:rsid w:val="00EA0B6B"/>
    <w:rsid w:val="00EA0C82"/>
    <w:rsid w:val="00EA0F56"/>
    <w:rsid w:val="00EA109B"/>
    <w:rsid w:val="00EA10AA"/>
    <w:rsid w:val="00EA10DE"/>
    <w:rsid w:val="00EA12A3"/>
    <w:rsid w:val="00EA1383"/>
    <w:rsid w:val="00EA13EE"/>
    <w:rsid w:val="00EA1498"/>
    <w:rsid w:val="00EA1808"/>
    <w:rsid w:val="00EA192F"/>
    <w:rsid w:val="00EA1972"/>
    <w:rsid w:val="00EA197C"/>
    <w:rsid w:val="00EA1B3E"/>
    <w:rsid w:val="00EA1B63"/>
    <w:rsid w:val="00EA1B6C"/>
    <w:rsid w:val="00EA1BD9"/>
    <w:rsid w:val="00EA1C3B"/>
    <w:rsid w:val="00EA1C8F"/>
    <w:rsid w:val="00EA1CDD"/>
    <w:rsid w:val="00EA1D10"/>
    <w:rsid w:val="00EA1D3D"/>
    <w:rsid w:val="00EA1D9D"/>
    <w:rsid w:val="00EA1DF5"/>
    <w:rsid w:val="00EA1F81"/>
    <w:rsid w:val="00EA2062"/>
    <w:rsid w:val="00EA2084"/>
    <w:rsid w:val="00EA21F9"/>
    <w:rsid w:val="00EA2304"/>
    <w:rsid w:val="00EA2332"/>
    <w:rsid w:val="00EA2354"/>
    <w:rsid w:val="00EA23BB"/>
    <w:rsid w:val="00EA25C6"/>
    <w:rsid w:val="00EA267C"/>
    <w:rsid w:val="00EA2969"/>
    <w:rsid w:val="00EA298F"/>
    <w:rsid w:val="00EA2A4D"/>
    <w:rsid w:val="00EA2A9A"/>
    <w:rsid w:val="00EA2B41"/>
    <w:rsid w:val="00EA2B6D"/>
    <w:rsid w:val="00EA2C58"/>
    <w:rsid w:val="00EA2D93"/>
    <w:rsid w:val="00EA2DE9"/>
    <w:rsid w:val="00EA2FBB"/>
    <w:rsid w:val="00EA3033"/>
    <w:rsid w:val="00EA3086"/>
    <w:rsid w:val="00EA30B3"/>
    <w:rsid w:val="00EA3123"/>
    <w:rsid w:val="00EA3124"/>
    <w:rsid w:val="00EA32DD"/>
    <w:rsid w:val="00EA3411"/>
    <w:rsid w:val="00EA3513"/>
    <w:rsid w:val="00EA36A8"/>
    <w:rsid w:val="00EA3861"/>
    <w:rsid w:val="00EA39B7"/>
    <w:rsid w:val="00EA39BA"/>
    <w:rsid w:val="00EA3A95"/>
    <w:rsid w:val="00EA3B28"/>
    <w:rsid w:val="00EA3BE4"/>
    <w:rsid w:val="00EA3C7D"/>
    <w:rsid w:val="00EA3DA9"/>
    <w:rsid w:val="00EA3DFE"/>
    <w:rsid w:val="00EA3E1A"/>
    <w:rsid w:val="00EA3EAD"/>
    <w:rsid w:val="00EA3F50"/>
    <w:rsid w:val="00EA40FE"/>
    <w:rsid w:val="00EA4163"/>
    <w:rsid w:val="00EA426D"/>
    <w:rsid w:val="00EA4316"/>
    <w:rsid w:val="00EA443F"/>
    <w:rsid w:val="00EA455C"/>
    <w:rsid w:val="00EA47C3"/>
    <w:rsid w:val="00EA4844"/>
    <w:rsid w:val="00EA4A72"/>
    <w:rsid w:val="00EA4A87"/>
    <w:rsid w:val="00EA4AEA"/>
    <w:rsid w:val="00EA4B01"/>
    <w:rsid w:val="00EA4BB1"/>
    <w:rsid w:val="00EA4C56"/>
    <w:rsid w:val="00EA4C8A"/>
    <w:rsid w:val="00EA4CD9"/>
    <w:rsid w:val="00EA4FC5"/>
    <w:rsid w:val="00EA4FDE"/>
    <w:rsid w:val="00EA5114"/>
    <w:rsid w:val="00EA517A"/>
    <w:rsid w:val="00EA5197"/>
    <w:rsid w:val="00EA524F"/>
    <w:rsid w:val="00EA5250"/>
    <w:rsid w:val="00EA52B9"/>
    <w:rsid w:val="00EA52CD"/>
    <w:rsid w:val="00EA52DE"/>
    <w:rsid w:val="00EA5305"/>
    <w:rsid w:val="00EA5321"/>
    <w:rsid w:val="00EA5472"/>
    <w:rsid w:val="00EA5567"/>
    <w:rsid w:val="00EA55BD"/>
    <w:rsid w:val="00EA56EE"/>
    <w:rsid w:val="00EA5705"/>
    <w:rsid w:val="00EA5903"/>
    <w:rsid w:val="00EA5995"/>
    <w:rsid w:val="00EA5AD7"/>
    <w:rsid w:val="00EA5B49"/>
    <w:rsid w:val="00EA5B6E"/>
    <w:rsid w:val="00EA5B9E"/>
    <w:rsid w:val="00EA5BB3"/>
    <w:rsid w:val="00EA5C2C"/>
    <w:rsid w:val="00EA5DE5"/>
    <w:rsid w:val="00EA5EE5"/>
    <w:rsid w:val="00EA5F6E"/>
    <w:rsid w:val="00EA6081"/>
    <w:rsid w:val="00EA6225"/>
    <w:rsid w:val="00EA651E"/>
    <w:rsid w:val="00EA656D"/>
    <w:rsid w:val="00EA66D6"/>
    <w:rsid w:val="00EA672A"/>
    <w:rsid w:val="00EA67D1"/>
    <w:rsid w:val="00EA68C9"/>
    <w:rsid w:val="00EA6923"/>
    <w:rsid w:val="00EA6B05"/>
    <w:rsid w:val="00EA6B3F"/>
    <w:rsid w:val="00EA6BAD"/>
    <w:rsid w:val="00EA6CA1"/>
    <w:rsid w:val="00EA6CA4"/>
    <w:rsid w:val="00EA6D11"/>
    <w:rsid w:val="00EA6E1F"/>
    <w:rsid w:val="00EA713D"/>
    <w:rsid w:val="00EA71F0"/>
    <w:rsid w:val="00EA73DF"/>
    <w:rsid w:val="00EA742B"/>
    <w:rsid w:val="00EA7510"/>
    <w:rsid w:val="00EA7578"/>
    <w:rsid w:val="00EA75EF"/>
    <w:rsid w:val="00EA771B"/>
    <w:rsid w:val="00EA772B"/>
    <w:rsid w:val="00EA78F9"/>
    <w:rsid w:val="00EA7A01"/>
    <w:rsid w:val="00EA7A79"/>
    <w:rsid w:val="00EA7AD2"/>
    <w:rsid w:val="00EA7AE3"/>
    <w:rsid w:val="00EA7E05"/>
    <w:rsid w:val="00EA7E4E"/>
    <w:rsid w:val="00EA7E84"/>
    <w:rsid w:val="00EB00CF"/>
    <w:rsid w:val="00EB0104"/>
    <w:rsid w:val="00EB0158"/>
    <w:rsid w:val="00EB01BB"/>
    <w:rsid w:val="00EB028B"/>
    <w:rsid w:val="00EB0324"/>
    <w:rsid w:val="00EB0347"/>
    <w:rsid w:val="00EB0398"/>
    <w:rsid w:val="00EB03A7"/>
    <w:rsid w:val="00EB0467"/>
    <w:rsid w:val="00EB046D"/>
    <w:rsid w:val="00EB04AC"/>
    <w:rsid w:val="00EB06DA"/>
    <w:rsid w:val="00EB0751"/>
    <w:rsid w:val="00EB0771"/>
    <w:rsid w:val="00EB08D8"/>
    <w:rsid w:val="00EB0A35"/>
    <w:rsid w:val="00EB0ACC"/>
    <w:rsid w:val="00EB0B16"/>
    <w:rsid w:val="00EB0B46"/>
    <w:rsid w:val="00EB0BAE"/>
    <w:rsid w:val="00EB0BE0"/>
    <w:rsid w:val="00EB0D04"/>
    <w:rsid w:val="00EB0FB9"/>
    <w:rsid w:val="00EB1069"/>
    <w:rsid w:val="00EB10FA"/>
    <w:rsid w:val="00EB1147"/>
    <w:rsid w:val="00EB11D9"/>
    <w:rsid w:val="00EB1261"/>
    <w:rsid w:val="00EB126A"/>
    <w:rsid w:val="00EB1395"/>
    <w:rsid w:val="00EB18D4"/>
    <w:rsid w:val="00EB18DF"/>
    <w:rsid w:val="00EB19C0"/>
    <w:rsid w:val="00EB1F47"/>
    <w:rsid w:val="00EB20B4"/>
    <w:rsid w:val="00EB20DD"/>
    <w:rsid w:val="00EB2249"/>
    <w:rsid w:val="00EB229F"/>
    <w:rsid w:val="00EB239E"/>
    <w:rsid w:val="00EB244D"/>
    <w:rsid w:val="00EB2476"/>
    <w:rsid w:val="00EB24BF"/>
    <w:rsid w:val="00EB2533"/>
    <w:rsid w:val="00EB256A"/>
    <w:rsid w:val="00EB2639"/>
    <w:rsid w:val="00EB265A"/>
    <w:rsid w:val="00EB26B8"/>
    <w:rsid w:val="00EB27A5"/>
    <w:rsid w:val="00EB295D"/>
    <w:rsid w:val="00EB297D"/>
    <w:rsid w:val="00EB2A3B"/>
    <w:rsid w:val="00EB2AC7"/>
    <w:rsid w:val="00EB2BF3"/>
    <w:rsid w:val="00EB2CE2"/>
    <w:rsid w:val="00EB2DD8"/>
    <w:rsid w:val="00EB2E48"/>
    <w:rsid w:val="00EB2E69"/>
    <w:rsid w:val="00EB2E78"/>
    <w:rsid w:val="00EB2E84"/>
    <w:rsid w:val="00EB2E99"/>
    <w:rsid w:val="00EB3094"/>
    <w:rsid w:val="00EB31D4"/>
    <w:rsid w:val="00EB333F"/>
    <w:rsid w:val="00EB349B"/>
    <w:rsid w:val="00EB350B"/>
    <w:rsid w:val="00EB384A"/>
    <w:rsid w:val="00EB38A8"/>
    <w:rsid w:val="00EB38B3"/>
    <w:rsid w:val="00EB3A63"/>
    <w:rsid w:val="00EB3AC6"/>
    <w:rsid w:val="00EB3B8B"/>
    <w:rsid w:val="00EB3BBB"/>
    <w:rsid w:val="00EB3C42"/>
    <w:rsid w:val="00EB3FC4"/>
    <w:rsid w:val="00EB418D"/>
    <w:rsid w:val="00EB41BE"/>
    <w:rsid w:val="00EB434C"/>
    <w:rsid w:val="00EB446F"/>
    <w:rsid w:val="00EB44E5"/>
    <w:rsid w:val="00EB4569"/>
    <w:rsid w:val="00EB4598"/>
    <w:rsid w:val="00EB4637"/>
    <w:rsid w:val="00EB46FD"/>
    <w:rsid w:val="00EB477B"/>
    <w:rsid w:val="00EB47E4"/>
    <w:rsid w:val="00EB48DF"/>
    <w:rsid w:val="00EB4BB5"/>
    <w:rsid w:val="00EB4BC8"/>
    <w:rsid w:val="00EB4C3B"/>
    <w:rsid w:val="00EB4D7A"/>
    <w:rsid w:val="00EB4DC5"/>
    <w:rsid w:val="00EB4E3A"/>
    <w:rsid w:val="00EB4E69"/>
    <w:rsid w:val="00EB5003"/>
    <w:rsid w:val="00EB5183"/>
    <w:rsid w:val="00EB51BC"/>
    <w:rsid w:val="00EB5235"/>
    <w:rsid w:val="00EB52B6"/>
    <w:rsid w:val="00EB52E6"/>
    <w:rsid w:val="00EB547E"/>
    <w:rsid w:val="00EB54E6"/>
    <w:rsid w:val="00EB55DE"/>
    <w:rsid w:val="00EB57FE"/>
    <w:rsid w:val="00EB584D"/>
    <w:rsid w:val="00EB5890"/>
    <w:rsid w:val="00EB5B75"/>
    <w:rsid w:val="00EB5B7F"/>
    <w:rsid w:val="00EB5B87"/>
    <w:rsid w:val="00EB5C35"/>
    <w:rsid w:val="00EB5C4E"/>
    <w:rsid w:val="00EB5D78"/>
    <w:rsid w:val="00EB5D7E"/>
    <w:rsid w:val="00EB5D94"/>
    <w:rsid w:val="00EB5E3F"/>
    <w:rsid w:val="00EB5EFD"/>
    <w:rsid w:val="00EB5F72"/>
    <w:rsid w:val="00EB5FDF"/>
    <w:rsid w:val="00EB606B"/>
    <w:rsid w:val="00EB630D"/>
    <w:rsid w:val="00EB6318"/>
    <w:rsid w:val="00EB638A"/>
    <w:rsid w:val="00EB6401"/>
    <w:rsid w:val="00EB6506"/>
    <w:rsid w:val="00EB65CD"/>
    <w:rsid w:val="00EB6642"/>
    <w:rsid w:val="00EB678E"/>
    <w:rsid w:val="00EB67B3"/>
    <w:rsid w:val="00EB67CD"/>
    <w:rsid w:val="00EB6931"/>
    <w:rsid w:val="00EB6CB6"/>
    <w:rsid w:val="00EB6D43"/>
    <w:rsid w:val="00EB6D4E"/>
    <w:rsid w:val="00EB707F"/>
    <w:rsid w:val="00EB7279"/>
    <w:rsid w:val="00EB72ED"/>
    <w:rsid w:val="00EB730F"/>
    <w:rsid w:val="00EB7387"/>
    <w:rsid w:val="00EB745E"/>
    <w:rsid w:val="00EB7644"/>
    <w:rsid w:val="00EB7773"/>
    <w:rsid w:val="00EB7915"/>
    <w:rsid w:val="00EB7A30"/>
    <w:rsid w:val="00EB7A52"/>
    <w:rsid w:val="00EB7D3B"/>
    <w:rsid w:val="00EB7DE1"/>
    <w:rsid w:val="00EB7E92"/>
    <w:rsid w:val="00EB7EE3"/>
    <w:rsid w:val="00EB7FE1"/>
    <w:rsid w:val="00EC0067"/>
    <w:rsid w:val="00EC00A6"/>
    <w:rsid w:val="00EC00BD"/>
    <w:rsid w:val="00EC0128"/>
    <w:rsid w:val="00EC055C"/>
    <w:rsid w:val="00EC05B9"/>
    <w:rsid w:val="00EC05F0"/>
    <w:rsid w:val="00EC0817"/>
    <w:rsid w:val="00EC0878"/>
    <w:rsid w:val="00EC0A32"/>
    <w:rsid w:val="00EC0AE5"/>
    <w:rsid w:val="00EC0B0D"/>
    <w:rsid w:val="00EC0C80"/>
    <w:rsid w:val="00EC0F2C"/>
    <w:rsid w:val="00EC0FF1"/>
    <w:rsid w:val="00EC1079"/>
    <w:rsid w:val="00EC1264"/>
    <w:rsid w:val="00EC129B"/>
    <w:rsid w:val="00EC12D2"/>
    <w:rsid w:val="00EC13FF"/>
    <w:rsid w:val="00EC1450"/>
    <w:rsid w:val="00EC14A8"/>
    <w:rsid w:val="00EC14CF"/>
    <w:rsid w:val="00EC16AE"/>
    <w:rsid w:val="00EC17A5"/>
    <w:rsid w:val="00EC17EA"/>
    <w:rsid w:val="00EC196B"/>
    <w:rsid w:val="00EC1988"/>
    <w:rsid w:val="00EC1CA5"/>
    <w:rsid w:val="00EC1CEA"/>
    <w:rsid w:val="00EC1D1F"/>
    <w:rsid w:val="00EC1D24"/>
    <w:rsid w:val="00EC1E2A"/>
    <w:rsid w:val="00EC1F99"/>
    <w:rsid w:val="00EC2048"/>
    <w:rsid w:val="00EC2181"/>
    <w:rsid w:val="00EC226F"/>
    <w:rsid w:val="00EC233F"/>
    <w:rsid w:val="00EC2422"/>
    <w:rsid w:val="00EC2537"/>
    <w:rsid w:val="00EC2581"/>
    <w:rsid w:val="00EC25B9"/>
    <w:rsid w:val="00EC268B"/>
    <w:rsid w:val="00EC28BC"/>
    <w:rsid w:val="00EC292A"/>
    <w:rsid w:val="00EC295B"/>
    <w:rsid w:val="00EC29A4"/>
    <w:rsid w:val="00EC2A32"/>
    <w:rsid w:val="00EC2B08"/>
    <w:rsid w:val="00EC2BFA"/>
    <w:rsid w:val="00EC2C0D"/>
    <w:rsid w:val="00EC2C31"/>
    <w:rsid w:val="00EC2DFA"/>
    <w:rsid w:val="00EC2E97"/>
    <w:rsid w:val="00EC2EF9"/>
    <w:rsid w:val="00EC30F1"/>
    <w:rsid w:val="00EC322B"/>
    <w:rsid w:val="00EC3393"/>
    <w:rsid w:val="00EC359D"/>
    <w:rsid w:val="00EC361D"/>
    <w:rsid w:val="00EC36C2"/>
    <w:rsid w:val="00EC372F"/>
    <w:rsid w:val="00EC3801"/>
    <w:rsid w:val="00EC38B1"/>
    <w:rsid w:val="00EC39C3"/>
    <w:rsid w:val="00EC3A15"/>
    <w:rsid w:val="00EC3C61"/>
    <w:rsid w:val="00EC3CE3"/>
    <w:rsid w:val="00EC3D1E"/>
    <w:rsid w:val="00EC3D48"/>
    <w:rsid w:val="00EC3F43"/>
    <w:rsid w:val="00EC3F8F"/>
    <w:rsid w:val="00EC4086"/>
    <w:rsid w:val="00EC411C"/>
    <w:rsid w:val="00EC424D"/>
    <w:rsid w:val="00EC4280"/>
    <w:rsid w:val="00EC42C5"/>
    <w:rsid w:val="00EC42E6"/>
    <w:rsid w:val="00EC4716"/>
    <w:rsid w:val="00EC4754"/>
    <w:rsid w:val="00EC4789"/>
    <w:rsid w:val="00EC4837"/>
    <w:rsid w:val="00EC4A31"/>
    <w:rsid w:val="00EC4AFB"/>
    <w:rsid w:val="00EC4B99"/>
    <w:rsid w:val="00EC4BAD"/>
    <w:rsid w:val="00EC4BE6"/>
    <w:rsid w:val="00EC4BF4"/>
    <w:rsid w:val="00EC4C4C"/>
    <w:rsid w:val="00EC4D2C"/>
    <w:rsid w:val="00EC4D3E"/>
    <w:rsid w:val="00EC4E30"/>
    <w:rsid w:val="00EC4EFD"/>
    <w:rsid w:val="00EC4FBF"/>
    <w:rsid w:val="00EC5085"/>
    <w:rsid w:val="00EC518F"/>
    <w:rsid w:val="00EC51EC"/>
    <w:rsid w:val="00EC53C1"/>
    <w:rsid w:val="00EC546A"/>
    <w:rsid w:val="00EC54F4"/>
    <w:rsid w:val="00EC55EB"/>
    <w:rsid w:val="00EC55F1"/>
    <w:rsid w:val="00EC56E0"/>
    <w:rsid w:val="00EC572B"/>
    <w:rsid w:val="00EC588B"/>
    <w:rsid w:val="00EC5BF5"/>
    <w:rsid w:val="00EC5C1E"/>
    <w:rsid w:val="00EC5CB4"/>
    <w:rsid w:val="00EC5CFA"/>
    <w:rsid w:val="00EC5E12"/>
    <w:rsid w:val="00EC6058"/>
    <w:rsid w:val="00EC60AA"/>
    <w:rsid w:val="00EC61DC"/>
    <w:rsid w:val="00EC625D"/>
    <w:rsid w:val="00EC638F"/>
    <w:rsid w:val="00EC63B9"/>
    <w:rsid w:val="00EC6771"/>
    <w:rsid w:val="00EC6778"/>
    <w:rsid w:val="00EC685E"/>
    <w:rsid w:val="00EC69D3"/>
    <w:rsid w:val="00EC6A16"/>
    <w:rsid w:val="00EC6B88"/>
    <w:rsid w:val="00EC6B93"/>
    <w:rsid w:val="00EC6C48"/>
    <w:rsid w:val="00EC6EB3"/>
    <w:rsid w:val="00EC70BE"/>
    <w:rsid w:val="00EC713F"/>
    <w:rsid w:val="00EC71EB"/>
    <w:rsid w:val="00EC727E"/>
    <w:rsid w:val="00EC7373"/>
    <w:rsid w:val="00EC73D6"/>
    <w:rsid w:val="00EC73DE"/>
    <w:rsid w:val="00EC76B3"/>
    <w:rsid w:val="00EC7721"/>
    <w:rsid w:val="00EC793A"/>
    <w:rsid w:val="00EC7A4D"/>
    <w:rsid w:val="00EC7A86"/>
    <w:rsid w:val="00EC7B8C"/>
    <w:rsid w:val="00EC7CCF"/>
    <w:rsid w:val="00EC7CF8"/>
    <w:rsid w:val="00EC7D2A"/>
    <w:rsid w:val="00EC7D72"/>
    <w:rsid w:val="00EC7E52"/>
    <w:rsid w:val="00EC7FD3"/>
    <w:rsid w:val="00EC7FE3"/>
    <w:rsid w:val="00ED0039"/>
    <w:rsid w:val="00ED0089"/>
    <w:rsid w:val="00ED00D9"/>
    <w:rsid w:val="00ED00E4"/>
    <w:rsid w:val="00ED0114"/>
    <w:rsid w:val="00ED0141"/>
    <w:rsid w:val="00ED017C"/>
    <w:rsid w:val="00ED021E"/>
    <w:rsid w:val="00ED0275"/>
    <w:rsid w:val="00ED0348"/>
    <w:rsid w:val="00ED03BF"/>
    <w:rsid w:val="00ED0450"/>
    <w:rsid w:val="00ED0541"/>
    <w:rsid w:val="00ED05BC"/>
    <w:rsid w:val="00ED05F1"/>
    <w:rsid w:val="00ED0731"/>
    <w:rsid w:val="00ED07DD"/>
    <w:rsid w:val="00ED0938"/>
    <w:rsid w:val="00ED0B92"/>
    <w:rsid w:val="00ED0C8D"/>
    <w:rsid w:val="00ED0C9E"/>
    <w:rsid w:val="00ED0D9C"/>
    <w:rsid w:val="00ED0DB8"/>
    <w:rsid w:val="00ED0DEB"/>
    <w:rsid w:val="00ED0E04"/>
    <w:rsid w:val="00ED0EC0"/>
    <w:rsid w:val="00ED0F5C"/>
    <w:rsid w:val="00ED0FA7"/>
    <w:rsid w:val="00ED1047"/>
    <w:rsid w:val="00ED1070"/>
    <w:rsid w:val="00ED10B9"/>
    <w:rsid w:val="00ED11AE"/>
    <w:rsid w:val="00ED127D"/>
    <w:rsid w:val="00ED1291"/>
    <w:rsid w:val="00ED12AF"/>
    <w:rsid w:val="00ED1331"/>
    <w:rsid w:val="00ED156C"/>
    <w:rsid w:val="00ED1607"/>
    <w:rsid w:val="00ED1679"/>
    <w:rsid w:val="00ED17CB"/>
    <w:rsid w:val="00ED17D1"/>
    <w:rsid w:val="00ED181F"/>
    <w:rsid w:val="00ED18B4"/>
    <w:rsid w:val="00ED18B9"/>
    <w:rsid w:val="00ED18CB"/>
    <w:rsid w:val="00ED19E1"/>
    <w:rsid w:val="00ED1A8D"/>
    <w:rsid w:val="00ED1B02"/>
    <w:rsid w:val="00ED1B09"/>
    <w:rsid w:val="00ED1C94"/>
    <w:rsid w:val="00ED1CF6"/>
    <w:rsid w:val="00ED1EC0"/>
    <w:rsid w:val="00ED1EC6"/>
    <w:rsid w:val="00ED1ECA"/>
    <w:rsid w:val="00ED21C5"/>
    <w:rsid w:val="00ED2300"/>
    <w:rsid w:val="00ED232A"/>
    <w:rsid w:val="00ED251C"/>
    <w:rsid w:val="00ED254E"/>
    <w:rsid w:val="00ED258F"/>
    <w:rsid w:val="00ED2880"/>
    <w:rsid w:val="00ED29D5"/>
    <w:rsid w:val="00ED2A68"/>
    <w:rsid w:val="00ED2AA8"/>
    <w:rsid w:val="00ED2AEB"/>
    <w:rsid w:val="00ED2B0C"/>
    <w:rsid w:val="00ED2BA3"/>
    <w:rsid w:val="00ED2D28"/>
    <w:rsid w:val="00ED2DBF"/>
    <w:rsid w:val="00ED2E14"/>
    <w:rsid w:val="00ED2F21"/>
    <w:rsid w:val="00ED2F48"/>
    <w:rsid w:val="00ED3018"/>
    <w:rsid w:val="00ED30E6"/>
    <w:rsid w:val="00ED32A5"/>
    <w:rsid w:val="00ED35E1"/>
    <w:rsid w:val="00ED35FD"/>
    <w:rsid w:val="00ED3667"/>
    <w:rsid w:val="00ED3702"/>
    <w:rsid w:val="00ED3966"/>
    <w:rsid w:val="00ED39E1"/>
    <w:rsid w:val="00ED3A07"/>
    <w:rsid w:val="00ED3A23"/>
    <w:rsid w:val="00ED3A48"/>
    <w:rsid w:val="00ED3B63"/>
    <w:rsid w:val="00ED3C45"/>
    <w:rsid w:val="00ED3C7D"/>
    <w:rsid w:val="00ED3D3F"/>
    <w:rsid w:val="00ED3D7F"/>
    <w:rsid w:val="00ED3D92"/>
    <w:rsid w:val="00ED3E10"/>
    <w:rsid w:val="00ED3E97"/>
    <w:rsid w:val="00ED41EE"/>
    <w:rsid w:val="00ED426D"/>
    <w:rsid w:val="00ED438A"/>
    <w:rsid w:val="00ED43BA"/>
    <w:rsid w:val="00ED4417"/>
    <w:rsid w:val="00ED4450"/>
    <w:rsid w:val="00ED4726"/>
    <w:rsid w:val="00ED479A"/>
    <w:rsid w:val="00ED49DF"/>
    <w:rsid w:val="00ED4BF3"/>
    <w:rsid w:val="00ED4C77"/>
    <w:rsid w:val="00ED4E3A"/>
    <w:rsid w:val="00ED4EB5"/>
    <w:rsid w:val="00ED4EDB"/>
    <w:rsid w:val="00ED4F00"/>
    <w:rsid w:val="00ED5069"/>
    <w:rsid w:val="00ED519C"/>
    <w:rsid w:val="00ED51C1"/>
    <w:rsid w:val="00ED5289"/>
    <w:rsid w:val="00ED5298"/>
    <w:rsid w:val="00ED5492"/>
    <w:rsid w:val="00ED54A7"/>
    <w:rsid w:val="00ED54DE"/>
    <w:rsid w:val="00ED551E"/>
    <w:rsid w:val="00ED55BE"/>
    <w:rsid w:val="00ED5641"/>
    <w:rsid w:val="00ED5727"/>
    <w:rsid w:val="00ED5868"/>
    <w:rsid w:val="00ED588D"/>
    <w:rsid w:val="00ED5A16"/>
    <w:rsid w:val="00ED5A67"/>
    <w:rsid w:val="00ED5B18"/>
    <w:rsid w:val="00ED5B75"/>
    <w:rsid w:val="00ED5B86"/>
    <w:rsid w:val="00ED5D28"/>
    <w:rsid w:val="00ED5D68"/>
    <w:rsid w:val="00ED5D80"/>
    <w:rsid w:val="00ED5F03"/>
    <w:rsid w:val="00ED5F2B"/>
    <w:rsid w:val="00ED60EE"/>
    <w:rsid w:val="00ED628E"/>
    <w:rsid w:val="00ED631B"/>
    <w:rsid w:val="00ED6332"/>
    <w:rsid w:val="00ED65CC"/>
    <w:rsid w:val="00ED67FC"/>
    <w:rsid w:val="00ED69BB"/>
    <w:rsid w:val="00ED6B51"/>
    <w:rsid w:val="00ED6C7C"/>
    <w:rsid w:val="00ED6DC1"/>
    <w:rsid w:val="00ED6EB7"/>
    <w:rsid w:val="00ED709E"/>
    <w:rsid w:val="00ED70CD"/>
    <w:rsid w:val="00ED7163"/>
    <w:rsid w:val="00ED72D4"/>
    <w:rsid w:val="00ED7340"/>
    <w:rsid w:val="00ED737B"/>
    <w:rsid w:val="00ED7393"/>
    <w:rsid w:val="00ED73B7"/>
    <w:rsid w:val="00ED7486"/>
    <w:rsid w:val="00ED7549"/>
    <w:rsid w:val="00ED767C"/>
    <w:rsid w:val="00ED774A"/>
    <w:rsid w:val="00ED77FF"/>
    <w:rsid w:val="00ED78C4"/>
    <w:rsid w:val="00ED78EA"/>
    <w:rsid w:val="00ED79B6"/>
    <w:rsid w:val="00ED7B18"/>
    <w:rsid w:val="00ED7C32"/>
    <w:rsid w:val="00ED7C3B"/>
    <w:rsid w:val="00ED7C70"/>
    <w:rsid w:val="00ED7C8A"/>
    <w:rsid w:val="00ED7E8D"/>
    <w:rsid w:val="00ED7FB6"/>
    <w:rsid w:val="00EE00DA"/>
    <w:rsid w:val="00EE01C2"/>
    <w:rsid w:val="00EE044E"/>
    <w:rsid w:val="00EE0460"/>
    <w:rsid w:val="00EE0478"/>
    <w:rsid w:val="00EE049C"/>
    <w:rsid w:val="00EE07BF"/>
    <w:rsid w:val="00EE08DC"/>
    <w:rsid w:val="00EE091B"/>
    <w:rsid w:val="00EE0B14"/>
    <w:rsid w:val="00EE0B25"/>
    <w:rsid w:val="00EE0CDD"/>
    <w:rsid w:val="00EE0E79"/>
    <w:rsid w:val="00EE0F71"/>
    <w:rsid w:val="00EE1026"/>
    <w:rsid w:val="00EE123E"/>
    <w:rsid w:val="00EE1263"/>
    <w:rsid w:val="00EE12D5"/>
    <w:rsid w:val="00EE1353"/>
    <w:rsid w:val="00EE156F"/>
    <w:rsid w:val="00EE15D0"/>
    <w:rsid w:val="00EE1968"/>
    <w:rsid w:val="00EE1AD2"/>
    <w:rsid w:val="00EE1B28"/>
    <w:rsid w:val="00EE1B78"/>
    <w:rsid w:val="00EE1C70"/>
    <w:rsid w:val="00EE1C79"/>
    <w:rsid w:val="00EE1C91"/>
    <w:rsid w:val="00EE1C9C"/>
    <w:rsid w:val="00EE1CCF"/>
    <w:rsid w:val="00EE1D91"/>
    <w:rsid w:val="00EE1FF1"/>
    <w:rsid w:val="00EE2089"/>
    <w:rsid w:val="00EE2146"/>
    <w:rsid w:val="00EE224C"/>
    <w:rsid w:val="00EE24C0"/>
    <w:rsid w:val="00EE258F"/>
    <w:rsid w:val="00EE25D7"/>
    <w:rsid w:val="00EE25D8"/>
    <w:rsid w:val="00EE2652"/>
    <w:rsid w:val="00EE296B"/>
    <w:rsid w:val="00EE2A0F"/>
    <w:rsid w:val="00EE2A24"/>
    <w:rsid w:val="00EE2A4B"/>
    <w:rsid w:val="00EE2AF7"/>
    <w:rsid w:val="00EE2BBF"/>
    <w:rsid w:val="00EE2D65"/>
    <w:rsid w:val="00EE2DAE"/>
    <w:rsid w:val="00EE2E03"/>
    <w:rsid w:val="00EE2F2B"/>
    <w:rsid w:val="00EE3222"/>
    <w:rsid w:val="00EE32F7"/>
    <w:rsid w:val="00EE34FE"/>
    <w:rsid w:val="00EE35B1"/>
    <w:rsid w:val="00EE3608"/>
    <w:rsid w:val="00EE3675"/>
    <w:rsid w:val="00EE3753"/>
    <w:rsid w:val="00EE3917"/>
    <w:rsid w:val="00EE3AE4"/>
    <w:rsid w:val="00EE3B40"/>
    <w:rsid w:val="00EE3B83"/>
    <w:rsid w:val="00EE3BB9"/>
    <w:rsid w:val="00EE3C9A"/>
    <w:rsid w:val="00EE3CC2"/>
    <w:rsid w:val="00EE3E24"/>
    <w:rsid w:val="00EE3E84"/>
    <w:rsid w:val="00EE3F96"/>
    <w:rsid w:val="00EE3FDA"/>
    <w:rsid w:val="00EE40BD"/>
    <w:rsid w:val="00EE41C9"/>
    <w:rsid w:val="00EE422F"/>
    <w:rsid w:val="00EE4261"/>
    <w:rsid w:val="00EE439A"/>
    <w:rsid w:val="00EE4552"/>
    <w:rsid w:val="00EE46B2"/>
    <w:rsid w:val="00EE46BA"/>
    <w:rsid w:val="00EE476F"/>
    <w:rsid w:val="00EE4776"/>
    <w:rsid w:val="00EE4836"/>
    <w:rsid w:val="00EE486E"/>
    <w:rsid w:val="00EE497B"/>
    <w:rsid w:val="00EE49EF"/>
    <w:rsid w:val="00EE4B31"/>
    <w:rsid w:val="00EE4C0B"/>
    <w:rsid w:val="00EE4CC1"/>
    <w:rsid w:val="00EE4D74"/>
    <w:rsid w:val="00EE4ECD"/>
    <w:rsid w:val="00EE4F48"/>
    <w:rsid w:val="00EE50EA"/>
    <w:rsid w:val="00EE513D"/>
    <w:rsid w:val="00EE51C3"/>
    <w:rsid w:val="00EE5278"/>
    <w:rsid w:val="00EE5362"/>
    <w:rsid w:val="00EE543C"/>
    <w:rsid w:val="00EE5512"/>
    <w:rsid w:val="00EE5574"/>
    <w:rsid w:val="00EE57C2"/>
    <w:rsid w:val="00EE5959"/>
    <w:rsid w:val="00EE5A2B"/>
    <w:rsid w:val="00EE5A7A"/>
    <w:rsid w:val="00EE5C06"/>
    <w:rsid w:val="00EE5D96"/>
    <w:rsid w:val="00EE5FE8"/>
    <w:rsid w:val="00EE6005"/>
    <w:rsid w:val="00EE60FB"/>
    <w:rsid w:val="00EE6174"/>
    <w:rsid w:val="00EE61D1"/>
    <w:rsid w:val="00EE6347"/>
    <w:rsid w:val="00EE63EB"/>
    <w:rsid w:val="00EE64F6"/>
    <w:rsid w:val="00EE650A"/>
    <w:rsid w:val="00EE652D"/>
    <w:rsid w:val="00EE65FD"/>
    <w:rsid w:val="00EE6752"/>
    <w:rsid w:val="00EE6938"/>
    <w:rsid w:val="00EE6B14"/>
    <w:rsid w:val="00EE6B76"/>
    <w:rsid w:val="00EE6C14"/>
    <w:rsid w:val="00EE6DB3"/>
    <w:rsid w:val="00EE6DBA"/>
    <w:rsid w:val="00EE6EE9"/>
    <w:rsid w:val="00EE7191"/>
    <w:rsid w:val="00EE7297"/>
    <w:rsid w:val="00EE736A"/>
    <w:rsid w:val="00EE7401"/>
    <w:rsid w:val="00EE7546"/>
    <w:rsid w:val="00EE75F8"/>
    <w:rsid w:val="00EE7641"/>
    <w:rsid w:val="00EE7834"/>
    <w:rsid w:val="00EE78B2"/>
    <w:rsid w:val="00EE78DA"/>
    <w:rsid w:val="00EE792A"/>
    <w:rsid w:val="00EE79A0"/>
    <w:rsid w:val="00EE79C8"/>
    <w:rsid w:val="00EE7A1D"/>
    <w:rsid w:val="00EE7A68"/>
    <w:rsid w:val="00EE7A9A"/>
    <w:rsid w:val="00EE7CAB"/>
    <w:rsid w:val="00EE7D49"/>
    <w:rsid w:val="00EE7D8A"/>
    <w:rsid w:val="00EE7F24"/>
    <w:rsid w:val="00EF01A1"/>
    <w:rsid w:val="00EF01C2"/>
    <w:rsid w:val="00EF0269"/>
    <w:rsid w:val="00EF02F0"/>
    <w:rsid w:val="00EF037D"/>
    <w:rsid w:val="00EF03D4"/>
    <w:rsid w:val="00EF03F2"/>
    <w:rsid w:val="00EF078A"/>
    <w:rsid w:val="00EF083F"/>
    <w:rsid w:val="00EF098F"/>
    <w:rsid w:val="00EF09C5"/>
    <w:rsid w:val="00EF0BDC"/>
    <w:rsid w:val="00EF0CC2"/>
    <w:rsid w:val="00EF0E25"/>
    <w:rsid w:val="00EF135A"/>
    <w:rsid w:val="00EF1429"/>
    <w:rsid w:val="00EF1573"/>
    <w:rsid w:val="00EF157C"/>
    <w:rsid w:val="00EF15A5"/>
    <w:rsid w:val="00EF1684"/>
    <w:rsid w:val="00EF16B4"/>
    <w:rsid w:val="00EF173E"/>
    <w:rsid w:val="00EF184F"/>
    <w:rsid w:val="00EF1960"/>
    <w:rsid w:val="00EF19FC"/>
    <w:rsid w:val="00EF1BFC"/>
    <w:rsid w:val="00EF1C5B"/>
    <w:rsid w:val="00EF1DB8"/>
    <w:rsid w:val="00EF1DC9"/>
    <w:rsid w:val="00EF1ECD"/>
    <w:rsid w:val="00EF1F9C"/>
    <w:rsid w:val="00EF2042"/>
    <w:rsid w:val="00EF2086"/>
    <w:rsid w:val="00EF20E6"/>
    <w:rsid w:val="00EF21BA"/>
    <w:rsid w:val="00EF2283"/>
    <w:rsid w:val="00EF253B"/>
    <w:rsid w:val="00EF25F7"/>
    <w:rsid w:val="00EF261A"/>
    <w:rsid w:val="00EF270D"/>
    <w:rsid w:val="00EF2804"/>
    <w:rsid w:val="00EF280A"/>
    <w:rsid w:val="00EF28A1"/>
    <w:rsid w:val="00EF2936"/>
    <w:rsid w:val="00EF2955"/>
    <w:rsid w:val="00EF29C8"/>
    <w:rsid w:val="00EF2A5E"/>
    <w:rsid w:val="00EF2B8E"/>
    <w:rsid w:val="00EF2BA4"/>
    <w:rsid w:val="00EF2C0C"/>
    <w:rsid w:val="00EF2D5C"/>
    <w:rsid w:val="00EF2E07"/>
    <w:rsid w:val="00EF2E9B"/>
    <w:rsid w:val="00EF2F95"/>
    <w:rsid w:val="00EF303E"/>
    <w:rsid w:val="00EF308F"/>
    <w:rsid w:val="00EF30F8"/>
    <w:rsid w:val="00EF3113"/>
    <w:rsid w:val="00EF3129"/>
    <w:rsid w:val="00EF334C"/>
    <w:rsid w:val="00EF33FF"/>
    <w:rsid w:val="00EF3444"/>
    <w:rsid w:val="00EF3516"/>
    <w:rsid w:val="00EF37A0"/>
    <w:rsid w:val="00EF3852"/>
    <w:rsid w:val="00EF3A09"/>
    <w:rsid w:val="00EF3A3C"/>
    <w:rsid w:val="00EF3AB2"/>
    <w:rsid w:val="00EF3C68"/>
    <w:rsid w:val="00EF3DAA"/>
    <w:rsid w:val="00EF4091"/>
    <w:rsid w:val="00EF4152"/>
    <w:rsid w:val="00EF41A9"/>
    <w:rsid w:val="00EF43D4"/>
    <w:rsid w:val="00EF4471"/>
    <w:rsid w:val="00EF4864"/>
    <w:rsid w:val="00EF48A8"/>
    <w:rsid w:val="00EF4952"/>
    <w:rsid w:val="00EF496A"/>
    <w:rsid w:val="00EF49F5"/>
    <w:rsid w:val="00EF4AD0"/>
    <w:rsid w:val="00EF4B2D"/>
    <w:rsid w:val="00EF4B69"/>
    <w:rsid w:val="00EF4CA5"/>
    <w:rsid w:val="00EF4DA1"/>
    <w:rsid w:val="00EF4E75"/>
    <w:rsid w:val="00EF4F05"/>
    <w:rsid w:val="00EF510F"/>
    <w:rsid w:val="00EF5113"/>
    <w:rsid w:val="00EF51F6"/>
    <w:rsid w:val="00EF5221"/>
    <w:rsid w:val="00EF524A"/>
    <w:rsid w:val="00EF5301"/>
    <w:rsid w:val="00EF5430"/>
    <w:rsid w:val="00EF548C"/>
    <w:rsid w:val="00EF54AE"/>
    <w:rsid w:val="00EF5669"/>
    <w:rsid w:val="00EF56FC"/>
    <w:rsid w:val="00EF5728"/>
    <w:rsid w:val="00EF5811"/>
    <w:rsid w:val="00EF5871"/>
    <w:rsid w:val="00EF5881"/>
    <w:rsid w:val="00EF58BE"/>
    <w:rsid w:val="00EF58FD"/>
    <w:rsid w:val="00EF5AD3"/>
    <w:rsid w:val="00EF5AE3"/>
    <w:rsid w:val="00EF5AF3"/>
    <w:rsid w:val="00EF5BEB"/>
    <w:rsid w:val="00EF5C0F"/>
    <w:rsid w:val="00EF5C53"/>
    <w:rsid w:val="00EF5E53"/>
    <w:rsid w:val="00EF5EFE"/>
    <w:rsid w:val="00EF6051"/>
    <w:rsid w:val="00EF60E5"/>
    <w:rsid w:val="00EF619F"/>
    <w:rsid w:val="00EF6303"/>
    <w:rsid w:val="00EF630C"/>
    <w:rsid w:val="00EF646B"/>
    <w:rsid w:val="00EF66AD"/>
    <w:rsid w:val="00EF66B4"/>
    <w:rsid w:val="00EF67CD"/>
    <w:rsid w:val="00EF6A97"/>
    <w:rsid w:val="00EF6AC8"/>
    <w:rsid w:val="00EF6B5A"/>
    <w:rsid w:val="00EF6C9D"/>
    <w:rsid w:val="00EF6F91"/>
    <w:rsid w:val="00EF6F99"/>
    <w:rsid w:val="00EF701B"/>
    <w:rsid w:val="00EF7058"/>
    <w:rsid w:val="00EF71FE"/>
    <w:rsid w:val="00EF7230"/>
    <w:rsid w:val="00EF7593"/>
    <w:rsid w:val="00EF75A5"/>
    <w:rsid w:val="00EF75B5"/>
    <w:rsid w:val="00EF75FB"/>
    <w:rsid w:val="00EF76C8"/>
    <w:rsid w:val="00EF7841"/>
    <w:rsid w:val="00EF784B"/>
    <w:rsid w:val="00EF79D4"/>
    <w:rsid w:val="00EF79DB"/>
    <w:rsid w:val="00EF7B1D"/>
    <w:rsid w:val="00EF7B83"/>
    <w:rsid w:val="00EF7BC3"/>
    <w:rsid w:val="00EF7C63"/>
    <w:rsid w:val="00EF7CAF"/>
    <w:rsid w:val="00EF7D85"/>
    <w:rsid w:val="00EF7DE9"/>
    <w:rsid w:val="00EF7E2D"/>
    <w:rsid w:val="00EF7F78"/>
    <w:rsid w:val="00F00065"/>
    <w:rsid w:val="00F000E3"/>
    <w:rsid w:val="00F00226"/>
    <w:rsid w:val="00F00357"/>
    <w:rsid w:val="00F0079C"/>
    <w:rsid w:val="00F00912"/>
    <w:rsid w:val="00F00920"/>
    <w:rsid w:val="00F00990"/>
    <w:rsid w:val="00F009A4"/>
    <w:rsid w:val="00F00BB5"/>
    <w:rsid w:val="00F00C9A"/>
    <w:rsid w:val="00F00D8B"/>
    <w:rsid w:val="00F00DF5"/>
    <w:rsid w:val="00F00F8E"/>
    <w:rsid w:val="00F010C3"/>
    <w:rsid w:val="00F0110D"/>
    <w:rsid w:val="00F011EA"/>
    <w:rsid w:val="00F01377"/>
    <w:rsid w:val="00F01383"/>
    <w:rsid w:val="00F0144B"/>
    <w:rsid w:val="00F01767"/>
    <w:rsid w:val="00F01792"/>
    <w:rsid w:val="00F017F2"/>
    <w:rsid w:val="00F01983"/>
    <w:rsid w:val="00F019F2"/>
    <w:rsid w:val="00F01A9C"/>
    <w:rsid w:val="00F01B80"/>
    <w:rsid w:val="00F01C80"/>
    <w:rsid w:val="00F01CD5"/>
    <w:rsid w:val="00F01DE1"/>
    <w:rsid w:val="00F01E4C"/>
    <w:rsid w:val="00F01E5C"/>
    <w:rsid w:val="00F01EAC"/>
    <w:rsid w:val="00F01EEF"/>
    <w:rsid w:val="00F01F01"/>
    <w:rsid w:val="00F01F53"/>
    <w:rsid w:val="00F01F59"/>
    <w:rsid w:val="00F01FED"/>
    <w:rsid w:val="00F020A8"/>
    <w:rsid w:val="00F021BD"/>
    <w:rsid w:val="00F02201"/>
    <w:rsid w:val="00F023F8"/>
    <w:rsid w:val="00F0254B"/>
    <w:rsid w:val="00F025DE"/>
    <w:rsid w:val="00F02915"/>
    <w:rsid w:val="00F029B1"/>
    <w:rsid w:val="00F02A94"/>
    <w:rsid w:val="00F02B28"/>
    <w:rsid w:val="00F02BAE"/>
    <w:rsid w:val="00F02C01"/>
    <w:rsid w:val="00F02C32"/>
    <w:rsid w:val="00F02C4B"/>
    <w:rsid w:val="00F02D47"/>
    <w:rsid w:val="00F02FA7"/>
    <w:rsid w:val="00F03098"/>
    <w:rsid w:val="00F03335"/>
    <w:rsid w:val="00F033CD"/>
    <w:rsid w:val="00F0342D"/>
    <w:rsid w:val="00F03431"/>
    <w:rsid w:val="00F034C2"/>
    <w:rsid w:val="00F036F1"/>
    <w:rsid w:val="00F03764"/>
    <w:rsid w:val="00F03903"/>
    <w:rsid w:val="00F03926"/>
    <w:rsid w:val="00F03A05"/>
    <w:rsid w:val="00F03A25"/>
    <w:rsid w:val="00F03A31"/>
    <w:rsid w:val="00F03A68"/>
    <w:rsid w:val="00F03C1F"/>
    <w:rsid w:val="00F03C3D"/>
    <w:rsid w:val="00F03D9F"/>
    <w:rsid w:val="00F03FF9"/>
    <w:rsid w:val="00F04024"/>
    <w:rsid w:val="00F04107"/>
    <w:rsid w:val="00F0411D"/>
    <w:rsid w:val="00F04237"/>
    <w:rsid w:val="00F04247"/>
    <w:rsid w:val="00F0431C"/>
    <w:rsid w:val="00F04340"/>
    <w:rsid w:val="00F04397"/>
    <w:rsid w:val="00F047F4"/>
    <w:rsid w:val="00F0480B"/>
    <w:rsid w:val="00F04837"/>
    <w:rsid w:val="00F04957"/>
    <w:rsid w:val="00F0498C"/>
    <w:rsid w:val="00F04B65"/>
    <w:rsid w:val="00F04BFF"/>
    <w:rsid w:val="00F04D40"/>
    <w:rsid w:val="00F04EEA"/>
    <w:rsid w:val="00F04F61"/>
    <w:rsid w:val="00F0507F"/>
    <w:rsid w:val="00F050A0"/>
    <w:rsid w:val="00F05181"/>
    <w:rsid w:val="00F056FD"/>
    <w:rsid w:val="00F05802"/>
    <w:rsid w:val="00F0583C"/>
    <w:rsid w:val="00F05910"/>
    <w:rsid w:val="00F059C1"/>
    <w:rsid w:val="00F05AB9"/>
    <w:rsid w:val="00F05B6B"/>
    <w:rsid w:val="00F05B7A"/>
    <w:rsid w:val="00F05D9F"/>
    <w:rsid w:val="00F0607D"/>
    <w:rsid w:val="00F060C5"/>
    <w:rsid w:val="00F06344"/>
    <w:rsid w:val="00F06410"/>
    <w:rsid w:val="00F06454"/>
    <w:rsid w:val="00F06499"/>
    <w:rsid w:val="00F0649B"/>
    <w:rsid w:val="00F064B0"/>
    <w:rsid w:val="00F066CF"/>
    <w:rsid w:val="00F066DF"/>
    <w:rsid w:val="00F06858"/>
    <w:rsid w:val="00F0689F"/>
    <w:rsid w:val="00F06906"/>
    <w:rsid w:val="00F06943"/>
    <w:rsid w:val="00F06BDE"/>
    <w:rsid w:val="00F06C81"/>
    <w:rsid w:val="00F06DA6"/>
    <w:rsid w:val="00F06EBD"/>
    <w:rsid w:val="00F0708E"/>
    <w:rsid w:val="00F07285"/>
    <w:rsid w:val="00F0728A"/>
    <w:rsid w:val="00F074DF"/>
    <w:rsid w:val="00F0759B"/>
    <w:rsid w:val="00F07633"/>
    <w:rsid w:val="00F077A4"/>
    <w:rsid w:val="00F077E9"/>
    <w:rsid w:val="00F07965"/>
    <w:rsid w:val="00F0797F"/>
    <w:rsid w:val="00F079D2"/>
    <w:rsid w:val="00F07A29"/>
    <w:rsid w:val="00F07AF9"/>
    <w:rsid w:val="00F07BB8"/>
    <w:rsid w:val="00F07DC7"/>
    <w:rsid w:val="00F10022"/>
    <w:rsid w:val="00F100FB"/>
    <w:rsid w:val="00F101CD"/>
    <w:rsid w:val="00F10325"/>
    <w:rsid w:val="00F103F1"/>
    <w:rsid w:val="00F10519"/>
    <w:rsid w:val="00F10534"/>
    <w:rsid w:val="00F10547"/>
    <w:rsid w:val="00F10606"/>
    <w:rsid w:val="00F106D0"/>
    <w:rsid w:val="00F106FE"/>
    <w:rsid w:val="00F10748"/>
    <w:rsid w:val="00F109CE"/>
    <w:rsid w:val="00F10A7E"/>
    <w:rsid w:val="00F10FBC"/>
    <w:rsid w:val="00F1102B"/>
    <w:rsid w:val="00F110A2"/>
    <w:rsid w:val="00F110A5"/>
    <w:rsid w:val="00F110FE"/>
    <w:rsid w:val="00F112C8"/>
    <w:rsid w:val="00F112EB"/>
    <w:rsid w:val="00F11487"/>
    <w:rsid w:val="00F11580"/>
    <w:rsid w:val="00F1182A"/>
    <w:rsid w:val="00F11855"/>
    <w:rsid w:val="00F119D2"/>
    <w:rsid w:val="00F11B8E"/>
    <w:rsid w:val="00F11BAF"/>
    <w:rsid w:val="00F11C33"/>
    <w:rsid w:val="00F11D18"/>
    <w:rsid w:val="00F11D1A"/>
    <w:rsid w:val="00F11DF5"/>
    <w:rsid w:val="00F12035"/>
    <w:rsid w:val="00F1212F"/>
    <w:rsid w:val="00F1218D"/>
    <w:rsid w:val="00F122F7"/>
    <w:rsid w:val="00F12410"/>
    <w:rsid w:val="00F12549"/>
    <w:rsid w:val="00F125EB"/>
    <w:rsid w:val="00F126E6"/>
    <w:rsid w:val="00F127CE"/>
    <w:rsid w:val="00F127D9"/>
    <w:rsid w:val="00F127F5"/>
    <w:rsid w:val="00F128F0"/>
    <w:rsid w:val="00F129D8"/>
    <w:rsid w:val="00F12C48"/>
    <w:rsid w:val="00F12C52"/>
    <w:rsid w:val="00F12CB3"/>
    <w:rsid w:val="00F13043"/>
    <w:rsid w:val="00F1305D"/>
    <w:rsid w:val="00F13108"/>
    <w:rsid w:val="00F131AA"/>
    <w:rsid w:val="00F13289"/>
    <w:rsid w:val="00F133C4"/>
    <w:rsid w:val="00F13503"/>
    <w:rsid w:val="00F13595"/>
    <w:rsid w:val="00F13725"/>
    <w:rsid w:val="00F13846"/>
    <w:rsid w:val="00F138AB"/>
    <w:rsid w:val="00F138C4"/>
    <w:rsid w:val="00F138FD"/>
    <w:rsid w:val="00F13BBA"/>
    <w:rsid w:val="00F13C04"/>
    <w:rsid w:val="00F13C0C"/>
    <w:rsid w:val="00F13C3A"/>
    <w:rsid w:val="00F13D0D"/>
    <w:rsid w:val="00F13D26"/>
    <w:rsid w:val="00F13DA3"/>
    <w:rsid w:val="00F13DFC"/>
    <w:rsid w:val="00F13E51"/>
    <w:rsid w:val="00F13EB2"/>
    <w:rsid w:val="00F1417A"/>
    <w:rsid w:val="00F14184"/>
    <w:rsid w:val="00F141B2"/>
    <w:rsid w:val="00F1421B"/>
    <w:rsid w:val="00F143C0"/>
    <w:rsid w:val="00F144A0"/>
    <w:rsid w:val="00F14795"/>
    <w:rsid w:val="00F1498B"/>
    <w:rsid w:val="00F149D0"/>
    <w:rsid w:val="00F14C8A"/>
    <w:rsid w:val="00F14C9F"/>
    <w:rsid w:val="00F14CEE"/>
    <w:rsid w:val="00F14D6C"/>
    <w:rsid w:val="00F14DEC"/>
    <w:rsid w:val="00F14E9E"/>
    <w:rsid w:val="00F14EFB"/>
    <w:rsid w:val="00F14F35"/>
    <w:rsid w:val="00F150B5"/>
    <w:rsid w:val="00F1517C"/>
    <w:rsid w:val="00F15194"/>
    <w:rsid w:val="00F153C5"/>
    <w:rsid w:val="00F155B5"/>
    <w:rsid w:val="00F157E6"/>
    <w:rsid w:val="00F158DD"/>
    <w:rsid w:val="00F1593F"/>
    <w:rsid w:val="00F159BD"/>
    <w:rsid w:val="00F15A42"/>
    <w:rsid w:val="00F15A44"/>
    <w:rsid w:val="00F15C0C"/>
    <w:rsid w:val="00F15C16"/>
    <w:rsid w:val="00F15C1B"/>
    <w:rsid w:val="00F15C33"/>
    <w:rsid w:val="00F15EC0"/>
    <w:rsid w:val="00F16035"/>
    <w:rsid w:val="00F16078"/>
    <w:rsid w:val="00F1607E"/>
    <w:rsid w:val="00F161AC"/>
    <w:rsid w:val="00F162E5"/>
    <w:rsid w:val="00F1632B"/>
    <w:rsid w:val="00F163DE"/>
    <w:rsid w:val="00F163FD"/>
    <w:rsid w:val="00F16434"/>
    <w:rsid w:val="00F16480"/>
    <w:rsid w:val="00F164EF"/>
    <w:rsid w:val="00F16523"/>
    <w:rsid w:val="00F165EC"/>
    <w:rsid w:val="00F16682"/>
    <w:rsid w:val="00F16687"/>
    <w:rsid w:val="00F166CE"/>
    <w:rsid w:val="00F16714"/>
    <w:rsid w:val="00F16813"/>
    <w:rsid w:val="00F16A43"/>
    <w:rsid w:val="00F16C29"/>
    <w:rsid w:val="00F16D3C"/>
    <w:rsid w:val="00F16D90"/>
    <w:rsid w:val="00F16DBF"/>
    <w:rsid w:val="00F16DCD"/>
    <w:rsid w:val="00F16EA9"/>
    <w:rsid w:val="00F1700C"/>
    <w:rsid w:val="00F172CC"/>
    <w:rsid w:val="00F176A7"/>
    <w:rsid w:val="00F176BA"/>
    <w:rsid w:val="00F177C7"/>
    <w:rsid w:val="00F177D2"/>
    <w:rsid w:val="00F177EA"/>
    <w:rsid w:val="00F17881"/>
    <w:rsid w:val="00F17993"/>
    <w:rsid w:val="00F179D1"/>
    <w:rsid w:val="00F17A3B"/>
    <w:rsid w:val="00F17A94"/>
    <w:rsid w:val="00F17AF5"/>
    <w:rsid w:val="00F17C46"/>
    <w:rsid w:val="00F17C97"/>
    <w:rsid w:val="00F17CC5"/>
    <w:rsid w:val="00F17D15"/>
    <w:rsid w:val="00F17E94"/>
    <w:rsid w:val="00F200E5"/>
    <w:rsid w:val="00F201C4"/>
    <w:rsid w:val="00F201CA"/>
    <w:rsid w:val="00F20207"/>
    <w:rsid w:val="00F2022C"/>
    <w:rsid w:val="00F20246"/>
    <w:rsid w:val="00F20271"/>
    <w:rsid w:val="00F2027B"/>
    <w:rsid w:val="00F202B4"/>
    <w:rsid w:val="00F20304"/>
    <w:rsid w:val="00F20310"/>
    <w:rsid w:val="00F20348"/>
    <w:rsid w:val="00F203AA"/>
    <w:rsid w:val="00F20401"/>
    <w:rsid w:val="00F2043C"/>
    <w:rsid w:val="00F20716"/>
    <w:rsid w:val="00F207C4"/>
    <w:rsid w:val="00F207D7"/>
    <w:rsid w:val="00F20802"/>
    <w:rsid w:val="00F20813"/>
    <w:rsid w:val="00F20966"/>
    <w:rsid w:val="00F209DE"/>
    <w:rsid w:val="00F20A6D"/>
    <w:rsid w:val="00F20B61"/>
    <w:rsid w:val="00F20B99"/>
    <w:rsid w:val="00F20C2F"/>
    <w:rsid w:val="00F20CE9"/>
    <w:rsid w:val="00F20D0F"/>
    <w:rsid w:val="00F20DFC"/>
    <w:rsid w:val="00F20FE4"/>
    <w:rsid w:val="00F21063"/>
    <w:rsid w:val="00F21260"/>
    <w:rsid w:val="00F2132B"/>
    <w:rsid w:val="00F21370"/>
    <w:rsid w:val="00F21510"/>
    <w:rsid w:val="00F2177B"/>
    <w:rsid w:val="00F217BE"/>
    <w:rsid w:val="00F218BD"/>
    <w:rsid w:val="00F218E9"/>
    <w:rsid w:val="00F218F4"/>
    <w:rsid w:val="00F21922"/>
    <w:rsid w:val="00F21947"/>
    <w:rsid w:val="00F21AA9"/>
    <w:rsid w:val="00F21AD0"/>
    <w:rsid w:val="00F21B22"/>
    <w:rsid w:val="00F21B7C"/>
    <w:rsid w:val="00F21C62"/>
    <w:rsid w:val="00F21C93"/>
    <w:rsid w:val="00F21F85"/>
    <w:rsid w:val="00F2216A"/>
    <w:rsid w:val="00F221A8"/>
    <w:rsid w:val="00F223D3"/>
    <w:rsid w:val="00F2247B"/>
    <w:rsid w:val="00F224C2"/>
    <w:rsid w:val="00F2252E"/>
    <w:rsid w:val="00F22534"/>
    <w:rsid w:val="00F225B4"/>
    <w:rsid w:val="00F225BF"/>
    <w:rsid w:val="00F22623"/>
    <w:rsid w:val="00F2262F"/>
    <w:rsid w:val="00F2264A"/>
    <w:rsid w:val="00F22755"/>
    <w:rsid w:val="00F22770"/>
    <w:rsid w:val="00F22829"/>
    <w:rsid w:val="00F2289B"/>
    <w:rsid w:val="00F22935"/>
    <w:rsid w:val="00F22B38"/>
    <w:rsid w:val="00F22B7B"/>
    <w:rsid w:val="00F22CEC"/>
    <w:rsid w:val="00F22E61"/>
    <w:rsid w:val="00F22F02"/>
    <w:rsid w:val="00F22F83"/>
    <w:rsid w:val="00F230C2"/>
    <w:rsid w:val="00F23211"/>
    <w:rsid w:val="00F2321E"/>
    <w:rsid w:val="00F23258"/>
    <w:rsid w:val="00F23384"/>
    <w:rsid w:val="00F234E2"/>
    <w:rsid w:val="00F23521"/>
    <w:rsid w:val="00F23554"/>
    <w:rsid w:val="00F23750"/>
    <w:rsid w:val="00F23973"/>
    <w:rsid w:val="00F23C3F"/>
    <w:rsid w:val="00F23D89"/>
    <w:rsid w:val="00F23F11"/>
    <w:rsid w:val="00F23FF3"/>
    <w:rsid w:val="00F24104"/>
    <w:rsid w:val="00F2446F"/>
    <w:rsid w:val="00F244A4"/>
    <w:rsid w:val="00F248B2"/>
    <w:rsid w:val="00F248F3"/>
    <w:rsid w:val="00F24A01"/>
    <w:rsid w:val="00F24A6D"/>
    <w:rsid w:val="00F24A86"/>
    <w:rsid w:val="00F24ADF"/>
    <w:rsid w:val="00F24B23"/>
    <w:rsid w:val="00F24B5A"/>
    <w:rsid w:val="00F24C53"/>
    <w:rsid w:val="00F24D55"/>
    <w:rsid w:val="00F24D87"/>
    <w:rsid w:val="00F25268"/>
    <w:rsid w:val="00F252D5"/>
    <w:rsid w:val="00F2541F"/>
    <w:rsid w:val="00F254F5"/>
    <w:rsid w:val="00F25559"/>
    <w:rsid w:val="00F255E3"/>
    <w:rsid w:val="00F2562C"/>
    <w:rsid w:val="00F2575E"/>
    <w:rsid w:val="00F257B7"/>
    <w:rsid w:val="00F258DF"/>
    <w:rsid w:val="00F25C48"/>
    <w:rsid w:val="00F25D54"/>
    <w:rsid w:val="00F25DB4"/>
    <w:rsid w:val="00F25EFD"/>
    <w:rsid w:val="00F25FD5"/>
    <w:rsid w:val="00F25FD9"/>
    <w:rsid w:val="00F261EB"/>
    <w:rsid w:val="00F2633D"/>
    <w:rsid w:val="00F26630"/>
    <w:rsid w:val="00F266CC"/>
    <w:rsid w:val="00F266F4"/>
    <w:rsid w:val="00F268E3"/>
    <w:rsid w:val="00F269C6"/>
    <w:rsid w:val="00F269CF"/>
    <w:rsid w:val="00F26BEA"/>
    <w:rsid w:val="00F26CF6"/>
    <w:rsid w:val="00F26E6D"/>
    <w:rsid w:val="00F26F43"/>
    <w:rsid w:val="00F27005"/>
    <w:rsid w:val="00F270CC"/>
    <w:rsid w:val="00F2711A"/>
    <w:rsid w:val="00F27128"/>
    <w:rsid w:val="00F2716A"/>
    <w:rsid w:val="00F272A0"/>
    <w:rsid w:val="00F274C0"/>
    <w:rsid w:val="00F274D6"/>
    <w:rsid w:val="00F274F7"/>
    <w:rsid w:val="00F274FB"/>
    <w:rsid w:val="00F27563"/>
    <w:rsid w:val="00F276A2"/>
    <w:rsid w:val="00F27707"/>
    <w:rsid w:val="00F2795D"/>
    <w:rsid w:val="00F27A85"/>
    <w:rsid w:val="00F27AAC"/>
    <w:rsid w:val="00F27ABC"/>
    <w:rsid w:val="00F27AE5"/>
    <w:rsid w:val="00F27C0E"/>
    <w:rsid w:val="00F27CA3"/>
    <w:rsid w:val="00F27D7C"/>
    <w:rsid w:val="00F27F4B"/>
    <w:rsid w:val="00F30152"/>
    <w:rsid w:val="00F302EC"/>
    <w:rsid w:val="00F30482"/>
    <w:rsid w:val="00F304A1"/>
    <w:rsid w:val="00F30547"/>
    <w:rsid w:val="00F30580"/>
    <w:rsid w:val="00F30599"/>
    <w:rsid w:val="00F305B7"/>
    <w:rsid w:val="00F3064A"/>
    <w:rsid w:val="00F307AA"/>
    <w:rsid w:val="00F3083D"/>
    <w:rsid w:val="00F308C9"/>
    <w:rsid w:val="00F30998"/>
    <w:rsid w:val="00F3099B"/>
    <w:rsid w:val="00F30B22"/>
    <w:rsid w:val="00F30B2D"/>
    <w:rsid w:val="00F30B64"/>
    <w:rsid w:val="00F30BFE"/>
    <w:rsid w:val="00F30CA0"/>
    <w:rsid w:val="00F30CD5"/>
    <w:rsid w:val="00F30D85"/>
    <w:rsid w:val="00F30DFA"/>
    <w:rsid w:val="00F3116F"/>
    <w:rsid w:val="00F3126D"/>
    <w:rsid w:val="00F313FA"/>
    <w:rsid w:val="00F314F1"/>
    <w:rsid w:val="00F31528"/>
    <w:rsid w:val="00F3154A"/>
    <w:rsid w:val="00F31605"/>
    <w:rsid w:val="00F3164A"/>
    <w:rsid w:val="00F31689"/>
    <w:rsid w:val="00F31698"/>
    <w:rsid w:val="00F316A9"/>
    <w:rsid w:val="00F31710"/>
    <w:rsid w:val="00F318B7"/>
    <w:rsid w:val="00F318C2"/>
    <w:rsid w:val="00F31900"/>
    <w:rsid w:val="00F31A8E"/>
    <w:rsid w:val="00F31BFB"/>
    <w:rsid w:val="00F31C0B"/>
    <w:rsid w:val="00F31CCA"/>
    <w:rsid w:val="00F31D2D"/>
    <w:rsid w:val="00F31E61"/>
    <w:rsid w:val="00F31E6B"/>
    <w:rsid w:val="00F31EEA"/>
    <w:rsid w:val="00F31FA1"/>
    <w:rsid w:val="00F32015"/>
    <w:rsid w:val="00F32084"/>
    <w:rsid w:val="00F3211D"/>
    <w:rsid w:val="00F321FF"/>
    <w:rsid w:val="00F322CF"/>
    <w:rsid w:val="00F32385"/>
    <w:rsid w:val="00F323C0"/>
    <w:rsid w:val="00F32404"/>
    <w:rsid w:val="00F325FD"/>
    <w:rsid w:val="00F32756"/>
    <w:rsid w:val="00F32789"/>
    <w:rsid w:val="00F3291D"/>
    <w:rsid w:val="00F3295B"/>
    <w:rsid w:val="00F32960"/>
    <w:rsid w:val="00F32AC5"/>
    <w:rsid w:val="00F32AE3"/>
    <w:rsid w:val="00F32AE7"/>
    <w:rsid w:val="00F32B04"/>
    <w:rsid w:val="00F32E4E"/>
    <w:rsid w:val="00F32ECB"/>
    <w:rsid w:val="00F32F00"/>
    <w:rsid w:val="00F330A8"/>
    <w:rsid w:val="00F330CD"/>
    <w:rsid w:val="00F33197"/>
    <w:rsid w:val="00F33360"/>
    <w:rsid w:val="00F334A6"/>
    <w:rsid w:val="00F334D2"/>
    <w:rsid w:val="00F3350A"/>
    <w:rsid w:val="00F335C6"/>
    <w:rsid w:val="00F33741"/>
    <w:rsid w:val="00F33A7B"/>
    <w:rsid w:val="00F33BB0"/>
    <w:rsid w:val="00F33CB3"/>
    <w:rsid w:val="00F33D25"/>
    <w:rsid w:val="00F33D55"/>
    <w:rsid w:val="00F33DB8"/>
    <w:rsid w:val="00F33F47"/>
    <w:rsid w:val="00F33F8A"/>
    <w:rsid w:val="00F3416A"/>
    <w:rsid w:val="00F34508"/>
    <w:rsid w:val="00F345C6"/>
    <w:rsid w:val="00F34655"/>
    <w:rsid w:val="00F348A1"/>
    <w:rsid w:val="00F348BB"/>
    <w:rsid w:val="00F34CF2"/>
    <w:rsid w:val="00F34E39"/>
    <w:rsid w:val="00F35063"/>
    <w:rsid w:val="00F350C9"/>
    <w:rsid w:val="00F3519F"/>
    <w:rsid w:val="00F35206"/>
    <w:rsid w:val="00F35244"/>
    <w:rsid w:val="00F352C8"/>
    <w:rsid w:val="00F35319"/>
    <w:rsid w:val="00F35479"/>
    <w:rsid w:val="00F3549B"/>
    <w:rsid w:val="00F3554F"/>
    <w:rsid w:val="00F355D3"/>
    <w:rsid w:val="00F35728"/>
    <w:rsid w:val="00F358EA"/>
    <w:rsid w:val="00F35935"/>
    <w:rsid w:val="00F35A27"/>
    <w:rsid w:val="00F35AB7"/>
    <w:rsid w:val="00F35BE3"/>
    <w:rsid w:val="00F35D80"/>
    <w:rsid w:val="00F35E1E"/>
    <w:rsid w:val="00F35FF5"/>
    <w:rsid w:val="00F36051"/>
    <w:rsid w:val="00F362CE"/>
    <w:rsid w:val="00F363A2"/>
    <w:rsid w:val="00F364E7"/>
    <w:rsid w:val="00F36506"/>
    <w:rsid w:val="00F36555"/>
    <w:rsid w:val="00F36609"/>
    <w:rsid w:val="00F367F3"/>
    <w:rsid w:val="00F3686E"/>
    <w:rsid w:val="00F3687C"/>
    <w:rsid w:val="00F36D06"/>
    <w:rsid w:val="00F36D35"/>
    <w:rsid w:val="00F36EB0"/>
    <w:rsid w:val="00F3711F"/>
    <w:rsid w:val="00F373D9"/>
    <w:rsid w:val="00F37429"/>
    <w:rsid w:val="00F37481"/>
    <w:rsid w:val="00F37493"/>
    <w:rsid w:val="00F3757A"/>
    <w:rsid w:val="00F37791"/>
    <w:rsid w:val="00F377DC"/>
    <w:rsid w:val="00F377E1"/>
    <w:rsid w:val="00F378B5"/>
    <w:rsid w:val="00F37995"/>
    <w:rsid w:val="00F37AD9"/>
    <w:rsid w:val="00F37BB2"/>
    <w:rsid w:val="00F37D08"/>
    <w:rsid w:val="00F37DCA"/>
    <w:rsid w:val="00F37E31"/>
    <w:rsid w:val="00F37F02"/>
    <w:rsid w:val="00F37F87"/>
    <w:rsid w:val="00F40106"/>
    <w:rsid w:val="00F4017C"/>
    <w:rsid w:val="00F4019D"/>
    <w:rsid w:val="00F40325"/>
    <w:rsid w:val="00F40349"/>
    <w:rsid w:val="00F4050B"/>
    <w:rsid w:val="00F4073F"/>
    <w:rsid w:val="00F4074B"/>
    <w:rsid w:val="00F40769"/>
    <w:rsid w:val="00F40794"/>
    <w:rsid w:val="00F4097B"/>
    <w:rsid w:val="00F409D6"/>
    <w:rsid w:val="00F40A02"/>
    <w:rsid w:val="00F40AD5"/>
    <w:rsid w:val="00F40B08"/>
    <w:rsid w:val="00F40C4B"/>
    <w:rsid w:val="00F40C65"/>
    <w:rsid w:val="00F40CD3"/>
    <w:rsid w:val="00F40D90"/>
    <w:rsid w:val="00F40DA6"/>
    <w:rsid w:val="00F40F68"/>
    <w:rsid w:val="00F411DB"/>
    <w:rsid w:val="00F41220"/>
    <w:rsid w:val="00F412C7"/>
    <w:rsid w:val="00F4134E"/>
    <w:rsid w:val="00F413EE"/>
    <w:rsid w:val="00F4142F"/>
    <w:rsid w:val="00F414A5"/>
    <w:rsid w:val="00F41649"/>
    <w:rsid w:val="00F41771"/>
    <w:rsid w:val="00F4180A"/>
    <w:rsid w:val="00F419AD"/>
    <w:rsid w:val="00F41C4F"/>
    <w:rsid w:val="00F41CB6"/>
    <w:rsid w:val="00F41CDE"/>
    <w:rsid w:val="00F41CE3"/>
    <w:rsid w:val="00F41E23"/>
    <w:rsid w:val="00F41E74"/>
    <w:rsid w:val="00F420A6"/>
    <w:rsid w:val="00F420BA"/>
    <w:rsid w:val="00F4224C"/>
    <w:rsid w:val="00F4230D"/>
    <w:rsid w:val="00F423C0"/>
    <w:rsid w:val="00F42664"/>
    <w:rsid w:val="00F4269B"/>
    <w:rsid w:val="00F4281A"/>
    <w:rsid w:val="00F428AA"/>
    <w:rsid w:val="00F428CC"/>
    <w:rsid w:val="00F42947"/>
    <w:rsid w:val="00F42A77"/>
    <w:rsid w:val="00F42BB1"/>
    <w:rsid w:val="00F42CAF"/>
    <w:rsid w:val="00F42CDC"/>
    <w:rsid w:val="00F42D1C"/>
    <w:rsid w:val="00F42D9F"/>
    <w:rsid w:val="00F42EB3"/>
    <w:rsid w:val="00F42EC0"/>
    <w:rsid w:val="00F42EFA"/>
    <w:rsid w:val="00F42F32"/>
    <w:rsid w:val="00F42F7C"/>
    <w:rsid w:val="00F430D2"/>
    <w:rsid w:val="00F4317E"/>
    <w:rsid w:val="00F431FB"/>
    <w:rsid w:val="00F432A4"/>
    <w:rsid w:val="00F43381"/>
    <w:rsid w:val="00F43397"/>
    <w:rsid w:val="00F433D4"/>
    <w:rsid w:val="00F434F3"/>
    <w:rsid w:val="00F43787"/>
    <w:rsid w:val="00F43848"/>
    <w:rsid w:val="00F4390C"/>
    <w:rsid w:val="00F43946"/>
    <w:rsid w:val="00F439C8"/>
    <w:rsid w:val="00F43A16"/>
    <w:rsid w:val="00F43A2B"/>
    <w:rsid w:val="00F43B19"/>
    <w:rsid w:val="00F43C05"/>
    <w:rsid w:val="00F43D25"/>
    <w:rsid w:val="00F43D34"/>
    <w:rsid w:val="00F43E0D"/>
    <w:rsid w:val="00F43E7C"/>
    <w:rsid w:val="00F43EE2"/>
    <w:rsid w:val="00F44020"/>
    <w:rsid w:val="00F441A3"/>
    <w:rsid w:val="00F44201"/>
    <w:rsid w:val="00F442ED"/>
    <w:rsid w:val="00F44345"/>
    <w:rsid w:val="00F4436C"/>
    <w:rsid w:val="00F4444F"/>
    <w:rsid w:val="00F4448C"/>
    <w:rsid w:val="00F444BE"/>
    <w:rsid w:val="00F4451B"/>
    <w:rsid w:val="00F4463B"/>
    <w:rsid w:val="00F446D5"/>
    <w:rsid w:val="00F4487C"/>
    <w:rsid w:val="00F44990"/>
    <w:rsid w:val="00F449EE"/>
    <w:rsid w:val="00F44AC7"/>
    <w:rsid w:val="00F44B8D"/>
    <w:rsid w:val="00F44BBD"/>
    <w:rsid w:val="00F44BE8"/>
    <w:rsid w:val="00F44CDB"/>
    <w:rsid w:val="00F44CEA"/>
    <w:rsid w:val="00F44D46"/>
    <w:rsid w:val="00F44DC5"/>
    <w:rsid w:val="00F44F52"/>
    <w:rsid w:val="00F45049"/>
    <w:rsid w:val="00F4504E"/>
    <w:rsid w:val="00F45088"/>
    <w:rsid w:val="00F45106"/>
    <w:rsid w:val="00F45178"/>
    <w:rsid w:val="00F4524B"/>
    <w:rsid w:val="00F45258"/>
    <w:rsid w:val="00F45266"/>
    <w:rsid w:val="00F453BF"/>
    <w:rsid w:val="00F453D6"/>
    <w:rsid w:val="00F454B5"/>
    <w:rsid w:val="00F45708"/>
    <w:rsid w:val="00F45755"/>
    <w:rsid w:val="00F457E2"/>
    <w:rsid w:val="00F4588D"/>
    <w:rsid w:val="00F458B2"/>
    <w:rsid w:val="00F4590D"/>
    <w:rsid w:val="00F45936"/>
    <w:rsid w:val="00F45A74"/>
    <w:rsid w:val="00F45B34"/>
    <w:rsid w:val="00F45BDD"/>
    <w:rsid w:val="00F45C1F"/>
    <w:rsid w:val="00F45C5F"/>
    <w:rsid w:val="00F45C85"/>
    <w:rsid w:val="00F45CFD"/>
    <w:rsid w:val="00F45D0B"/>
    <w:rsid w:val="00F45D4A"/>
    <w:rsid w:val="00F45D4F"/>
    <w:rsid w:val="00F45EBB"/>
    <w:rsid w:val="00F45EE6"/>
    <w:rsid w:val="00F45F05"/>
    <w:rsid w:val="00F45F31"/>
    <w:rsid w:val="00F45FCD"/>
    <w:rsid w:val="00F46048"/>
    <w:rsid w:val="00F460C7"/>
    <w:rsid w:val="00F46157"/>
    <w:rsid w:val="00F4624A"/>
    <w:rsid w:val="00F462D9"/>
    <w:rsid w:val="00F4634B"/>
    <w:rsid w:val="00F464CC"/>
    <w:rsid w:val="00F46595"/>
    <w:rsid w:val="00F465A1"/>
    <w:rsid w:val="00F46630"/>
    <w:rsid w:val="00F4676C"/>
    <w:rsid w:val="00F4677F"/>
    <w:rsid w:val="00F46949"/>
    <w:rsid w:val="00F46F14"/>
    <w:rsid w:val="00F4700E"/>
    <w:rsid w:val="00F47017"/>
    <w:rsid w:val="00F47080"/>
    <w:rsid w:val="00F47306"/>
    <w:rsid w:val="00F4739F"/>
    <w:rsid w:val="00F4741D"/>
    <w:rsid w:val="00F474D9"/>
    <w:rsid w:val="00F475B3"/>
    <w:rsid w:val="00F4776A"/>
    <w:rsid w:val="00F4776F"/>
    <w:rsid w:val="00F478B7"/>
    <w:rsid w:val="00F4793E"/>
    <w:rsid w:val="00F47B1B"/>
    <w:rsid w:val="00F47B2F"/>
    <w:rsid w:val="00F47C86"/>
    <w:rsid w:val="00F47DD5"/>
    <w:rsid w:val="00F47E6B"/>
    <w:rsid w:val="00F47E9D"/>
    <w:rsid w:val="00F500BC"/>
    <w:rsid w:val="00F5020F"/>
    <w:rsid w:val="00F50586"/>
    <w:rsid w:val="00F50630"/>
    <w:rsid w:val="00F506C0"/>
    <w:rsid w:val="00F50816"/>
    <w:rsid w:val="00F50861"/>
    <w:rsid w:val="00F50999"/>
    <w:rsid w:val="00F509BE"/>
    <w:rsid w:val="00F509CD"/>
    <w:rsid w:val="00F50A97"/>
    <w:rsid w:val="00F50A9E"/>
    <w:rsid w:val="00F50AF4"/>
    <w:rsid w:val="00F50C2F"/>
    <w:rsid w:val="00F50D89"/>
    <w:rsid w:val="00F50E20"/>
    <w:rsid w:val="00F50E2D"/>
    <w:rsid w:val="00F50EB8"/>
    <w:rsid w:val="00F50FFB"/>
    <w:rsid w:val="00F5100C"/>
    <w:rsid w:val="00F51018"/>
    <w:rsid w:val="00F51085"/>
    <w:rsid w:val="00F510D4"/>
    <w:rsid w:val="00F51271"/>
    <w:rsid w:val="00F51272"/>
    <w:rsid w:val="00F512AD"/>
    <w:rsid w:val="00F512C1"/>
    <w:rsid w:val="00F5133B"/>
    <w:rsid w:val="00F513C3"/>
    <w:rsid w:val="00F5146F"/>
    <w:rsid w:val="00F51615"/>
    <w:rsid w:val="00F51649"/>
    <w:rsid w:val="00F51650"/>
    <w:rsid w:val="00F51714"/>
    <w:rsid w:val="00F5199E"/>
    <w:rsid w:val="00F51B3C"/>
    <w:rsid w:val="00F51B9A"/>
    <w:rsid w:val="00F51C17"/>
    <w:rsid w:val="00F51D1E"/>
    <w:rsid w:val="00F51F5C"/>
    <w:rsid w:val="00F51FA4"/>
    <w:rsid w:val="00F5218A"/>
    <w:rsid w:val="00F521C1"/>
    <w:rsid w:val="00F52231"/>
    <w:rsid w:val="00F52299"/>
    <w:rsid w:val="00F5242B"/>
    <w:rsid w:val="00F52500"/>
    <w:rsid w:val="00F5253C"/>
    <w:rsid w:val="00F525D8"/>
    <w:rsid w:val="00F525ED"/>
    <w:rsid w:val="00F52659"/>
    <w:rsid w:val="00F52732"/>
    <w:rsid w:val="00F528A8"/>
    <w:rsid w:val="00F5295E"/>
    <w:rsid w:val="00F529D0"/>
    <w:rsid w:val="00F52B41"/>
    <w:rsid w:val="00F52B8A"/>
    <w:rsid w:val="00F52BBD"/>
    <w:rsid w:val="00F52C8A"/>
    <w:rsid w:val="00F52D6D"/>
    <w:rsid w:val="00F52DBB"/>
    <w:rsid w:val="00F52ED7"/>
    <w:rsid w:val="00F53045"/>
    <w:rsid w:val="00F534ED"/>
    <w:rsid w:val="00F534F0"/>
    <w:rsid w:val="00F5379B"/>
    <w:rsid w:val="00F53927"/>
    <w:rsid w:val="00F539F0"/>
    <w:rsid w:val="00F53CEB"/>
    <w:rsid w:val="00F53E5F"/>
    <w:rsid w:val="00F53ED3"/>
    <w:rsid w:val="00F53EE3"/>
    <w:rsid w:val="00F53EF6"/>
    <w:rsid w:val="00F53F5A"/>
    <w:rsid w:val="00F5401B"/>
    <w:rsid w:val="00F5408C"/>
    <w:rsid w:val="00F54096"/>
    <w:rsid w:val="00F5434E"/>
    <w:rsid w:val="00F54444"/>
    <w:rsid w:val="00F5452A"/>
    <w:rsid w:val="00F5458C"/>
    <w:rsid w:val="00F54693"/>
    <w:rsid w:val="00F546E9"/>
    <w:rsid w:val="00F5476E"/>
    <w:rsid w:val="00F547FD"/>
    <w:rsid w:val="00F549C1"/>
    <w:rsid w:val="00F549FF"/>
    <w:rsid w:val="00F54A53"/>
    <w:rsid w:val="00F54A8E"/>
    <w:rsid w:val="00F54B6E"/>
    <w:rsid w:val="00F54F02"/>
    <w:rsid w:val="00F54F07"/>
    <w:rsid w:val="00F54F6B"/>
    <w:rsid w:val="00F54FA0"/>
    <w:rsid w:val="00F54FC7"/>
    <w:rsid w:val="00F5528B"/>
    <w:rsid w:val="00F5538F"/>
    <w:rsid w:val="00F553BB"/>
    <w:rsid w:val="00F553F4"/>
    <w:rsid w:val="00F55459"/>
    <w:rsid w:val="00F554A8"/>
    <w:rsid w:val="00F55614"/>
    <w:rsid w:val="00F55637"/>
    <w:rsid w:val="00F556CD"/>
    <w:rsid w:val="00F5571C"/>
    <w:rsid w:val="00F55738"/>
    <w:rsid w:val="00F55798"/>
    <w:rsid w:val="00F55863"/>
    <w:rsid w:val="00F55954"/>
    <w:rsid w:val="00F559E0"/>
    <w:rsid w:val="00F55A96"/>
    <w:rsid w:val="00F55C58"/>
    <w:rsid w:val="00F55C62"/>
    <w:rsid w:val="00F55CAF"/>
    <w:rsid w:val="00F55D88"/>
    <w:rsid w:val="00F55DF9"/>
    <w:rsid w:val="00F55E25"/>
    <w:rsid w:val="00F55F24"/>
    <w:rsid w:val="00F55F71"/>
    <w:rsid w:val="00F55FAD"/>
    <w:rsid w:val="00F56033"/>
    <w:rsid w:val="00F56108"/>
    <w:rsid w:val="00F56175"/>
    <w:rsid w:val="00F5626B"/>
    <w:rsid w:val="00F5629C"/>
    <w:rsid w:val="00F56300"/>
    <w:rsid w:val="00F5658D"/>
    <w:rsid w:val="00F56604"/>
    <w:rsid w:val="00F566A7"/>
    <w:rsid w:val="00F56703"/>
    <w:rsid w:val="00F56812"/>
    <w:rsid w:val="00F56A11"/>
    <w:rsid w:val="00F56B0B"/>
    <w:rsid w:val="00F56C7F"/>
    <w:rsid w:val="00F56F6C"/>
    <w:rsid w:val="00F56FDA"/>
    <w:rsid w:val="00F57092"/>
    <w:rsid w:val="00F5710E"/>
    <w:rsid w:val="00F5718C"/>
    <w:rsid w:val="00F571D0"/>
    <w:rsid w:val="00F57377"/>
    <w:rsid w:val="00F574CA"/>
    <w:rsid w:val="00F57520"/>
    <w:rsid w:val="00F575F4"/>
    <w:rsid w:val="00F57600"/>
    <w:rsid w:val="00F576DE"/>
    <w:rsid w:val="00F5794D"/>
    <w:rsid w:val="00F57B2D"/>
    <w:rsid w:val="00F57BF8"/>
    <w:rsid w:val="00F57D57"/>
    <w:rsid w:val="00F57E73"/>
    <w:rsid w:val="00F57EE1"/>
    <w:rsid w:val="00F57F35"/>
    <w:rsid w:val="00F57F6E"/>
    <w:rsid w:val="00F57FDE"/>
    <w:rsid w:val="00F57FEE"/>
    <w:rsid w:val="00F600AA"/>
    <w:rsid w:val="00F602D6"/>
    <w:rsid w:val="00F603C0"/>
    <w:rsid w:val="00F6046E"/>
    <w:rsid w:val="00F604CE"/>
    <w:rsid w:val="00F605CF"/>
    <w:rsid w:val="00F60644"/>
    <w:rsid w:val="00F60699"/>
    <w:rsid w:val="00F608DA"/>
    <w:rsid w:val="00F60901"/>
    <w:rsid w:val="00F609E3"/>
    <w:rsid w:val="00F60DE2"/>
    <w:rsid w:val="00F60F74"/>
    <w:rsid w:val="00F6113B"/>
    <w:rsid w:val="00F613B7"/>
    <w:rsid w:val="00F61414"/>
    <w:rsid w:val="00F6145F"/>
    <w:rsid w:val="00F6155B"/>
    <w:rsid w:val="00F61605"/>
    <w:rsid w:val="00F61613"/>
    <w:rsid w:val="00F616B5"/>
    <w:rsid w:val="00F61843"/>
    <w:rsid w:val="00F6186B"/>
    <w:rsid w:val="00F6190C"/>
    <w:rsid w:val="00F61A1A"/>
    <w:rsid w:val="00F61C7C"/>
    <w:rsid w:val="00F61CD9"/>
    <w:rsid w:val="00F61CE4"/>
    <w:rsid w:val="00F61E22"/>
    <w:rsid w:val="00F61E4F"/>
    <w:rsid w:val="00F61EF7"/>
    <w:rsid w:val="00F620FE"/>
    <w:rsid w:val="00F6214A"/>
    <w:rsid w:val="00F6214B"/>
    <w:rsid w:val="00F622AC"/>
    <w:rsid w:val="00F6237B"/>
    <w:rsid w:val="00F623E4"/>
    <w:rsid w:val="00F6244A"/>
    <w:rsid w:val="00F6244B"/>
    <w:rsid w:val="00F62568"/>
    <w:rsid w:val="00F6274F"/>
    <w:rsid w:val="00F6280C"/>
    <w:rsid w:val="00F62A46"/>
    <w:rsid w:val="00F62A5E"/>
    <w:rsid w:val="00F62D50"/>
    <w:rsid w:val="00F62D54"/>
    <w:rsid w:val="00F62D9D"/>
    <w:rsid w:val="00F62EDA"/>
    <w:rsid w:val="00F631B0"/>
    <w:rsid w:val="00F633C1"/>
    <w:rsid w:val="00F633D5"/>
    <w:rsid w:val="00F633E7"/>
    <w:rsid w:val="00F63415"/>
    <w:rsid w:val="00F634CD"/>
    <w:rsid w:val="00F6353C"/>
    <w:rsid w:val="00F63565"/>
    <w:rsid w:val="00F63666"/>
    <w:rsid w:val="00F636DD"/>
    <w:rsid w:val="00F639ED"/>
    <w:rsid w:val="00F63A7D"/>
    <w:rsid w:val="00F63ADB"/>
    <w:rsid w:val="00F63C16"/>
    <w:rsid w:val="00F63D7F"/>
    <w:rsid w:val="00F63E31"/>
    <w:rsid w:val="00F63E4D"/>
    <w:rsid w:val="00F64115"/>
    <w:rsid w:val="00F643B0"/>
    <w:rsid w:val="00F64747"/>
    <w:rsid w:val="00F6478C"/>
    <w:rsid w:val="00F648D3"/>
    <w:rsid w:val="00F64951"/>
    <w:rsid w:val="00F64973"/>
    <w:rsid w:val="00F64A2E"/>
    <w:rsid w:val="00F64A44"/>
    <w:rsid w:val="00F64B37"/>
    <w:rsid w:val="00F64CB2"/>
    <w:rsid w:val="00F64DF9"/>
    <w:rsid w:val="00F64E3D"/>
    <w:rsid w:val="00F64E92"/>
    <w:rsid w:val="00F64F02"/>
    <w:rsid w:val="00F64FD9"/>
    <w:rsid w:val="00F65055"/>
    <w:rsid w:val="00F65096"/>
    <w:rsid w:val="00F6531B"/>
    <w:rsid w:val="00F6542E"/>
    <w:rsid w:val="00F65552"/>
    <w:rsid w:val="00F6556B"/>
    <w:rsid w:val="00F65675"/>
    <w:rsid w:val="00F6573E"/>
    <w:rsid w:val="00F6576A"/>
    <w:rsid w:val="00F6576E"/>
    <w:rsid w:val="00F657BE"/>
    <w:rsid w:val="00F6580E"/>
    <w:rsid w:val="00F6587B"/>
    <w:rsid w:val="00F65A26"/>
    <w:rsid w:val="00F65A50"/>
    <w:rsid w:val="00F65A92"/>
    <w:rsid w:val="00F65BC7"/>
    <w:rsid w:val="00F65C10"/>
    <w:rsid w:val="00F65C53"/>
    <w:rsid w:val="00F65CD1"/>
    <w:rsid w:val="00F65CD6"/>
    <w:rsid w:val="00F65DFE"/>
    <w:rsid w:val="00F65E43"/>
    <w:rsid w:val="00F65E6A"/>
    <w:rsid w:val="00F65EB7"/>
    <w:rsid w:val="00F65ECA"/>
    <w:rsid w:val="00F65ED4"/>
    <w:rsid w:val="00F65F26"/>
    <w:rsid w:val="00F660D3"/>
    <w:rsid w:val="00F66101"/>
    <w:rsid w:val="00F6617D"/>
    <w:rsid w:val="00F66212"/>
    <w:rsid w:val="00F66596"/>
    <w:rsid w:val="00F667C5"/>
    <w:rsid w:val="00F66C89"/>
    <w:rsid w:val="00F66DED"/>
    <w:rsid w:val="00F66F2A"/>
    <w:rsid w:val="00F66F59"/>
    <w:rsid w:val="00F672CD"/>
    <w:rsid w:val="00F67357"/>
    <w:rsid w:val="00F6739B"/>
    <w:rsid w:val="00F67566"/>
    <w:rsid w:val="00F6769F"/>
    <w:rsid w:val="00F676C4"/>
    <w:rsid w:val="00F67744"/>
    <w:rsid w:val="00F67844"/>
    <w:rsid w:val="00F678F5"/>
    <w:rsid w:val="00F67934"/>
    <w:rsid w:val="00F67A84"/>
    <w:rsid w:val="00F67AE2"/>
    <w:rsid w:val="00F67AE7"/>
    <w:rsid w:val="00F67BFA"/>
    <w:rsid w:val="00F67E82"/>
    <w:rsid w:val="00F67F0E"/>
    <w:rsid w:val="00F67FB6"/>
    <w:rsid w:val="00F70007"/>
    <w:rsid w:val="00F70010"/>
    <w:rsid w:val="00F700F0"/>
    <w:rsid w:val="00F701EA"/>
    <w:rsid w:val="00F70201"/>
    <w:rsid w:val="00F70257"/>
    <w:rsid w:val="00F703AB"/>
    <w:rsid w:val="00F7041C"/>
    <w:rsid w:val="00F704C7"/>
    <w:rsid w:val="00F70695"/>
    <w:rsid w:val="00F708E0"/>
    <w:rsid w:val="00F70A1F"/>
    <w:rsid w:val="00F70B5C"/>
    <w:rsid w:val="00F70BF6"/>
    <w:rsid w:val="00F70DE4"/>
    <w:rsid w:val="00F70E42"/>
    <w:rsid w:val="00F71279"/>
    <w:rsid w:val="00F7130C"/>
    <w:rsid w:val="00F71524"/>
    <w:rsid w:val="00F71584"/>
    <w:rsid w:val="00F71616"/>
    <w:rsid w:val="00F7172F"/>
    <w:rsid w:val="00F717E4"/>
    <w:rsid w:val="00F71861"/>
    <w:rsid w:val="00F7198A"/>
    <w:rsid w:val="00F719D3"/>
    <w:rsid w:val="00F71A29"/>
    <w:rsid w:val="00F71A5E"/>
    <w:rsid w:val="00F71C60"/>
    <w:rsid w:val="00F71CC1"/>
    <w:rsid w:val="00F71CDE"/>
    <w:rsid w:val="00F71CF7"/>
    <w:rsid w:val="00F71D4F"/>
    <w:rsid w:val="00F71E91"/>
    <w:rsid w:val="00F71F0B"/>
    <w:rsid w:val="00F7217B"/>
    <w:rsid w:val="00F722E8"/>
    <w:rsid w:val="00F72438"/>
    <w:rsid w:val="00F726AD"/>
    <w:rsid w:val="00F726EC"/>
    <w:rsid w:val="00F72899"/>
    <w:rsid w:val="00F7294A"/>
    <w:rsid w:val="00F72966"/>
    <w:rsid w:val="00F729D8"/>
    <w:rsid w:val="00F72AA0"/>
    <w:rsid w:val="00F72AA4"/>
    <w:rsid w:val="00F72AD9"/>
    <w:rsid w:val="00F72AEC"/>
    <w:rsid w:val="00F72BD3"/>
    <w:rsid w:val="00F72BFA"/>
    <w:rsid w:val="00F72CE0"/>
    <w:rsid w:val="00F72DFE"/>
    <w:rsid w:val="00F72EA6"/>
    <w:rsid w:val="00F72F2C"/>
    <w:rsid w:val="00F7316C"/>
    <w:rsid w:val="00F73276"/>
    <w:rsid w:val="00F732EC"/>
    <w:rsid w:val="00F7339B"/>
    <w:rsid w:val="00F73428"/>
    <w:rsid w:val="00F73453"/>
    <w:rsid w:val="00F7363A"/>
    <w:rsid w:val="00F7366D"/>
    <w:rsid w:val="00F7372B"/>
    <w:rsid w:val="00F73796"/>
    <w:rsid w:val="00F73851"/>
    <w:rsid w:val="00F738A4"/>
    <w:rsid w:val="00F739FC"/>
    <w:rsid w:val="00F73A11"/>
    <w:rsid w:val="00F73A2C"/>
    <w:rsid w:val="00F73A3C"/>
    <w:rsid w:val="00F73A80"/>
    <w:rsid w:val="00F73B70"/>
    <w:rsid w:val="00F73D36"/>
    <w:rsid w:val="00F73F00"/>
    <w:rsid w:val="00F7404B"/>
    <w:rsid w:val="00F741FC"/>
    <w:rsid w:val="00F74200"/>
    <w:rsid w:val="00F74279"/>
    <w:rsid w:val="00F74326"/>
    <w:rsid w:val="00F743D2"/>
    <w:rsid w:val="00F74495"/>
    <w:rsid w:val="00F74539"/>
    <w:rsid w:val="00F7467E"/>
    <w:rsid w:val="00F7485B"/>
    <w:rsid w:val="00F74965"/>
    <w:rsid w:val="00F74999"/>
    <w:rsid w:val="00F74A1E"/>
    <w:rsid w:val="00F74AD5"/>
    <w:rsid w:val="00F74B91"/>
    <w:rsid w:val="00F74BDC"/>
    <w:rsid w:val="00F74CE4"/>
    <w:rsid w:val="00F74E37"/>
    <w:rsid w:val="00F74F2D"/>
    <w:rsid w:val="00F74F4A"/>
    <w:rsid w:val="00F75063"/>
    <w:rsid w:val="00F75071"/>
    <w:rsid w:val="00F750AC"/>
    <w:rsid w:val="00F7511A"/>
    <w:rsid w:val="00F75292"/>
    <w:rsid w:val="00F7533D"/>
    <w:rsid w:val="00F75376"/>
    <w:rsid w:val="00F753D0"/>
    <w:rsid w:val="00F75537"/>
    <w:rsid w:val="00F75671"/>
    <w:rsid w:val="00F757AB"/>
    <w:rsid w:val="00F75847"/>
    <w:rsid w:val="00F75952"/>
    <w:rsid w:val="00F7598F"/>
    <w:rsid w:val="00F7599B"/>
    <w:rsid w:val="00F75E51"/>
    <w:rsid w:val="00F75EA0"/>
    <w:rsid w:val="00F75F00"/>
    <w:rsid w:val="00F75F68"/>
    <w:rsid w:val="00F75FFB"/>
    <w:rsid w:val="00F7600C"/>
    <w:rsid w:val="00F7624B"/>
    <w:rsid w:val="00F762FA"/>
    <w:rsid w:val="00F76374"/>
    <w:rsid w:val="00F76698"/>
    <w:rsid w:val="00F766A6"/>
    <w:rsid w:val="00F76712"/>
    <w:rsid w:val="00F767C3"/>
    <w:rsid w:val="00F767D5"/>
    <w:rsid w:val="00F768FB"/>
    <w:rsid w:val="00F76979"/>
    <w:rsid w:val="00F769FA"/>
    <w:rsid w:val="00F76A90"/>
    <w:rsid w:val="00F76AE0"/>
    <w:rsid w:val="00F76B65"/>
    <w:rsid w:val="00F76B98"/>
    <w:rsid w:val="00F76C61"/>
    <w:rsid w:val="00F76F10"/>
    <w:rsid w:val="00F770A1"/>
    <w:rsid w:val="00F772EE"/>
    <w:rsid w:val="00F773C6"/>
    <w:rsid w:val="00F773D5"/>
    <w:rsid w:val="00F774F0"/>
    <w:rsid w:val="00F7751A"/>
    <w:rsid w:val="00F77555"/>
    <w:rsid w:val="00F7757A"/>
    <w:rsid w:val="00F77636"/>
    <w:rsid w:val="00F776C8"/>
    <w:rsid w:val="00F776E2"/>
    <w:rsid w:val="00F77805"/>
    <w:rsid w:val="00F778A9"/>
    <w:rsid w:val="00F77926"/>
    <w:rsid w:val="00F77997"/>
    <w:rsid w:val="00F77AB2"/>
    <w:rsid w:val="00F77B94"/>
    <w:rsid w:val="00F77CE7"/>
    <w:rsid w:val="00F77E20"/>
    <w:rsid w:val="00F77E8E"/>
    <w:rsid w:val="00F77F24"/>
    <w:rsid w:val="00F77F71"/>
    <w:rsid w:val="00F77FA6"/>
    <w:rsid w:val="00F800C6"/>
    <w:rsid w:val="00F806F8"/>
    <w:rsid w:val="00F80B31"/>
    <w:rsid w:val="00F80BA8"/>
    <w:rsid w:val="00F80BF5"/>
    <w:rsid w:val="00F80D60"/>
    <w:rsid w:val="00F80D9B"/>
    <w:rsid w:val="00F80F12"/>
    <w:rsid w:val="00F80F2D"/>
    <w:rsid w:val="00F810BF"/>
    <w:rsid w:val="00F8115E"/>
    <w:rsid w:val="00F8120C"/>
    <w:rsid w:val="00F81593"/>
    <w:rsid w:val="00F815E9"/>
    <w:rsid w:val="00F81600"/>
    <w:rsid w:val="00F81602"/>
    <w:rsid w:val="00F8162A"/>
    <w:rsid w:val="00F817F7"/>
    <w:rsid w:val="00F81922"/>
    <w:rsid w:val="00F8197A"/>
    <w:rsid w:val="00F81AC4"/>
    <w:rsid w:val="00F81AE6"/>
    <w:rsid w:val="00F81AED"/>
    <w:rsid w:val="00F81B39"/>
    <w:rsid w:val="00F81F56"/>
    <w:rsid w:val="00F8210F"/>
    <w:rsid w:val="00F82157"/>
    <w:rsid w:val="00F82197"/>
    <w:rsid w:val="00F822D6"/>
    <w:rsid w:val="00F8233C"/>
    <w:rsid w:val="00F823A6"/>
    <w:rsid w:val="00F826E4"/>
    <w:rsid w:val="00F8273E"/>
    <w:rsid w:val="00F82789"/>
    <w:rsid w:val="00F827A9"/>
    <w:rsid w:val="00F82879"/>
    <w:rsid w:val="00F828D9"/>
    <w:rsid w:val="00F828E0"/>
    <w:rsid w:val="00F82907"/>
    <w:rsid w:val="00F82A1D"/>
    <w:rsid w:val="00F82A5B"/>
    <w:rsid w:val="00F82B1E"/>
    <w:rsid w:val="00F82D89"/>
    <w:rsid w:val="00F83062"/>
    <w:rsid w:val="00F8323D"/>
    <w:rsid w:val="00F832F1"/>
    <w:rsid w:val="00F8331B"/>
    <w:rsid w:val="00F8359A"/>
    <w:rsid w:val="00F83619"/>
    <w:rsid w:val="00F83806"/>
    <w:rsid w:val="00F8386E"/>
    <w:rsid w:val="00F83890"/>
    <w:rsid w:val="00F838FA"/>
    <w:rsid w:val="00F839E6"/>
    <w:rsid w:val="00F83C97"/>
    <w:rsid w:val="00F83C9A"/>
    <w:rsid w:val="00F83D54"/>
    <w:rsid w:val="00F83E92"/>
    <w:rsid w:val="00F83FAD"/>
    <w:rsid w:val="00F840AC"/>
    <w:rsid w:val="00F84159"/>
    <w:rsid w:val="00F841B3"/>
    <w:rsid w:val="00F841DD"/>
    <w:rsid w:val="00F84216"/>
    <w:rsid w:val="00F8424F"/>
    <w:rsid w:val="00F84315"/>
    <w:rsid w:val="00F8445F"/>
    <w:rsid w:val="00F84527"/>
    <w:rsid w:val="00F84534"/>
    <w:rsid w:val="00F845EB"/>
    <w:rsid w:val="00F8472D"/>
    <w:rsid w:val="00F8475F"/>
    <w:rsid w:val="00F8476D"/>
    <w:rsid w:val="00F84793"/>
    <w:rsid w:val="00F847B5"/>
    <w:rsid w:val="00F84800"/>
    <w:rsid w:val="00F84807"/>
    <w:rsid w:val="00F84947"/>
    <w:rsid w:val="00F84978"/>
    <w:rsid w:val="00F84998"/>
    <w:rsid w:val="00F849D7"/>
    <w:rsid w:val="00F84A3B"/>
    <w:rsid w:val="00F84A71"/>
    <w:rsid w:val="00F84A72"/>
    <w:rsid w:val="00F84A88"/>
    <w:rsid w:val="00F84AF6"/>
    <w:rsid w:val="00F84B18"/>
    <w:rsid w:val="00F84DAC"/>
    <w:rsid w:val="00F84DD6"/>
    <w:rsid w:val="00F85006"/>
    <w:rsid w:val="00F8501B"/>
    <w:rsid w:val="00F85165"/>
    <w:rsid w:val="00F851AA"/>
    <w:rsid w:val="00F851FE"/>
    <w:rsid w:val="00F852C0"/>
    <w:rsid w:val="00F853A0"/>
    <w:rsid w:val="00F853B8"/>
    <w:rsid w:val="00F8544E"/>
    <w:rsid w:val="00F85496"/>
    <w:rsid w:val="00F85595"/>
    <w:rsid w:val="00F85647"/>
    <w:rsid w:val="00F85678"/>
    <w:rsid w:val="00F856F7"/>
    <w:rsid w:val="00F858DF"/>
    <w:rsid w:val="00F8591F"/>
    <w:rsid w:val="00F85986"/>
    <w:rsid w:val="00F85A7E"/>
    <w:rsid w:val="00F85AAC"/>
    <w:rsid w:val="00F85CD5"/>
    <w:rsid w:val="00F86043"/>
    <w:rsid w:val="00F8620C"/>
    <w:rsid w:val="00F862F2"/>
    <w:rsid w:val="00F86336"/>
    <w:rsid w:val="00F86538"/>
    <w:rsid w:val="00F86555"/>
    <w:rsid w:val="00F867C7"/>
    <w:rsid w:val="00F867F3"/>
    <w:rsid w:val="00F8689B"/>
    <w:rsid w:val="00F86A4F"/>
    <w:rsid w:val="00F86AAB"/>
    <w:rsid w:val="00F86B81"/>
    <w:rsid w:val="00F86C9B"/>
    <w:rsid w:val="00F86DD8"/>
    <w:rsid w:val="00F86E10"/>
    <w:rsid w:val="00F86EFF"/>
    <w:rsid w:val="00F86F2E"/>
    <w:rsid w:val="00F86F74"/>
    <w:rsid w:val="00F86FE6"/>
    <w:rsid w:val="00F8719B"/>
    <w:rsid w:val="00F871BD"/>
    <w:rsid w:val="00F871BE"/>
    <w:rsid w:val="00F871C5"/>
    <w:rsid w:val="00F8721E"/>
    <w:rsid w:val="00F87279"/>
    <w:rsid w:val="00F87283"/>
    <w:rsid w:val="00F87491"/>
    <w:rsid w:val="00F8756C"/>
    <w:rsid w:val="00F87628"/>
    <w:rsid w:val="00F87690"/>
    <w:rsid w:val="00F876E7"/>
    <w:rsid w:val="00F877B8"/>
    <w:rsid w:val="00F87983"/>
    <w:rsid w:val="00F87A20"/>
    <w:rsid w:val="00F87AC0"/>
    <w:rsid w:val="00F87B54"/>
    <w:rsid w:val="00F87B6D"/>
    <w:rsid w:val="00F87DD0"/>
    <w:rsid w:val="00F87EDA"/>
    <w:rsid w:val="00F87F46"/>
    <w:rsid w:val="00F87F67"/>
    <w:rsid w:val="00F87F74"/>
    <w:rsid w:val="00F9002F"/>
    <w:rsid w:val="00F90086"/>
    <w:rsid w:val="00F900F3"/>
    <w:rsid w:val="00F900F6"/>
    <w:rsid w:val="00F90138"/>
    <w:rsid w:val="00F90158"/>
    <w:rsid w:val="00F9029D"/>
    <w:rsid w:val="00F903CD"/>
    <w:rsid w:val="00F904C2"/>
    <w:rsid w:val="00F90525"/>
    <w:rsid w:val="00F90566"/>
    <w:rsid w:val="00F905F8"/>
    <w:rsid w:val="00F90695"/>
    <w:rsid w:val="00F906DE"/>
    <w:rsid w:val="00F90950"/>
    <w:rsid w:val="00F90A51"/>
    <w:rsid w:val="00F90BC5"/>
    <w:rsid w:val="00F90BFE"/>
    <w:rsid w:val="00F90EEF"/>
    <w:rsid w:val="00F91110"/>
    <w:rsid w:val="00F912F0"/>
    <w:rsid w:val="00F91359"/>
    <w:rsid w:val="00F9142E"/>
    <w:rsid w:val="00F9145B"/>
    <w:rsid w:val="00F91766"/>
    <w:rsid w:val="00F91798"/>
    <w:rsid w:val="00F918D7"/>
    <w:rsid w:val="00F91972"/>
    <w:rsid w:val="00F9198C"/>
    <w:rsid w:val="00F91AD9"/>
    <w:rsid w:val="00F91B62"/>
    <w:rsid w:val="00F91C24"/>
    <w:rsid w:val="00F91DA8"/>
    <w:rsid w:val="00F91EC6"/>
    <w:rsid w:val="00F91EEE"/>
    <w:rsid w:val="00F91F64"/>
    <w:rsid w:val="00F91F68"/>
    <w:rsid w:val="00F92324"/>
    <w:rsid w:val="00F924E3"/>
    <w:rsid w:val="00F928BD"/>
    <w:rsid w:val="00F928ED"/>
    <w:rsid w:val="00F92A50"/>
    <w:rsid w:val="00F92A77"/>
    <w:rsid w:val="00F92B1A"/>
    <w:rsid w:val="00F92C76"/>
    <w:rsid w:val="00F92CE4"/>
    <w:rsid w:val="00F93046"/>
    <w:rsid w:val="00F9315C"/>
    <w:rsid w:val="00F9320A"/>
    <w:rsid w:val="00F93244"/>
    <w:rsid w:val="00F93310"/>
    <w:rsid w:val="00F93408"/>
    <w:rsid w:val="00F934AE"/>
    <w:rsid w:val="00F934B9"/>
    <w:rsid w:val="00F9357F"/>
    <w:rsid w:val="00F936A7"/>
    <w:rsid w:val="00F93736"/>
    <w:rsid w:val="00F938C1"/>
    <w:rsid w:val="00F93907"/>
    <w:rsid w:val="00F93A17"/>
    <w:rsid w:val="00F93C3F"/>
    <w:rsid w:val="00F93CF8"/>
    <w:rsid w:val="00F93CFE"/>
    <w:rsid w:val="00F93D5C"/>
    <w:rsid w:val="00F93DE5"/>
    <w:rsid w:val="00F93EAE"/>
    <w:rsid w:val="00F93F0D"/>
    <w:rsid w:val="00F94075"/>
    <w:rsid w:val="00F940CB"/>
    <w:rsid w:val="00F94149"/>
    <w:rsid w:val="00F94209"/>
    <w:rsid w:val="00F943E4"/>
    <w:rsid w:val="00F94567"/>
    <w:rsid w:val="00F9456E"/>
    <w:rsid w:val="00F94606"/>
    <w:rsid w:val="00F94674"/>
    <w:rsid w:val="00F94872"/>
    <w:rsid w:val="00F94879"/>
    <w:rsid w:val="00F94902"/>
    <w:rsid w:val="00F94A0E"/>
    <w:rsid w:val="00F94BB6"/>
    <w:rsid w:val="00F94C91"/>
    <w:rsid w:val="00F94C97"/>
    <w:rsid w:val="00F94F0B"/>
    <w:rsid w:val="00F94F3E"/>
    <w:rsid w:val="00F951B4"/>
    <w:rsid w:val="00F954D7"/>
    <w:rsid w:val="00F95556"/>
    <w:rsid w:val="00F957BB"/>
    <w:rsid w:val="00F958AE"/>
    <w:rsid w:val="00F95A12"/>
    <w:rsid w:val="00F95A3D"/>
    <w:rsid w:val="00F95B51"/>
    <w:rsid w:val="00F95BA0"/>
    <w:rsid w:val="00F95C5F"/>
    <w:rsid w:val="00F95C64"/>
    <w:rsid w:val="00F95CED"/>
    <w:rsid w:val="00F95D0B"/>
    <w:rsid w:val="00F95D3E"/>
    <w:rsid w:val="00F95F62"/>
    <w:rsid w:val="00F9603D"/>
    <w:rsid w:val="00F960D6"/>
    <w:rsid w:val="00F9613E"/>
    <w:rsid w:val="00F96399"/>
    <w:rsid w:val="00F964BD"/>
    <w:rsid w:val="00F96606"/>
    <w:rsid w:val="00F966DE"/>
    <w:rsid w:val="00F96764"/>
    <w:rsid w:val="00F967EA"/>
    <w:rsid w:val="00F9689B"/>
    <w:rsid w:val="00F96970"/>
    <w:rsid w:val="00F969B6"/>
    <w:rsid w:val="00F96C93"/>
    <w:rsid w:val="00F96D30"/>
    <w:rsid w:val="00F96D37"/>
    <w:rsid w:val="00F96D69"/>
    <w:rsid w:val="00F96DAF"/>
    <w:rsid w:val="00F971C5"/>
    <w:rsid w:val="00F97254"/>
    <w:rsid w:val="00F972FE"/>
    <w:rsid w:val="00F97518"/>
    <w:rsid w:val="00F97546"/>
    <w:rsid w:val="00F9762D"/>
    <w:rsid w:val="00F978C8"/>
    <w:rsid w:val="00F97902"/>
    <w:rsid w:val="00F97942"/>
    <w:rsid w:val="00F979F9"/>
    <w:rsid w:val="00F97A39"/>
    <w:rsid w:val="00F97B83"/>
    <w:rsid w:val="00F97C2F"/>
    <w:rsid w:val="00F97D64"/>
    <w:rsid w:val="00FA01FF"/>
    <w:rsid w:val="00FA02BF"/>
    <w:rsid w:val="00FA034B"/>
    <w:rsid w:val="00FA0359"/>
    <w:rsid w:val="00FA035E"/>
    <w:rsid w:val="00FA0386"/>
    <w:rsid w:val="00FA066E"/>
    <w:rsid w:val="00FA0903"/>
    <w:rsid w:val="00FA09AC"/>
    <w:rsid w:val="00FA0BBD"/>
    <w:rsid w:val="00FA0C41"/>
    <w:rsid w:val="00FA0C85"/>
    <w:rsid w:val="00FA0CC2"/>
    <w:rsid w:val="00FA0DEF"/>
    <w:rsid w:val="00FA0FA3"/>
    <w:rsid w:val="00FA1327"/>
    <w:rsid w:val="00FA1429"/>
    <w:rsid w:val="00FA1798"/>
    <w:rsid w:val="00FA17B5"/>
    <w:rsid w:val="00FA18CB"/>
    <w:rsid w:val="00FA18DD"/>
    <w:rsid w:val="00FA18E2"/>
    <w:rsid w:val="00FA1957"/>
    <w:rsid w:val="00FA19B3"/>
    <w:rsid w:val="00FA1CC1"/>
    <w:rsid w:val="00FA1D4B"/>
    <w:rsid w:val="00FA1DDD"/>
    <w:rsid w:val="00FA1F21"/>
    <w:rsid w:val="00FA200D"/>
    <w:rsid w:val="00FA20A4"/>
    <w:rsid w:val="00FA2192"/>
    <w:rsid w:val="00FA2483"/>
    <w:rsid w:val="00FA2594"/>
    <w:rsid w:val="00FA2702"/>
    <w:rsid w:val="00FA2712"/>
    <w:rsid w:val="00FA27A2"/>
    <w:rsid w:val="00FA2855"/>
    <w:rsid w:val="00FA2914"/>
    <w:rsid w:val="00FA2991"/>
    <w:rsid w:val="00FA2AD0"/>
    <w:rsid w:val="00FA2D7C"/>
    <w:rsid w:val="00FA2DAF"/>
    <w:rsid w:val="00FA2DC2"/>
    <w:rsid w:val="00FA2DF2"/>
    <w:rsid w:val="00FA2E14"/>
    <w:rsid w:val="00FA2F0D"/>
    <w:rsid w:val="00FA31AA"/>
    <w:rsid w:val="00FA31EE"/>
    <w:rsid w:val="00FA31F1"/>
    <w:rsid w:val="00FA3262"/>
    <w:rsid w:val="00FA33CF"/>
    <w:rsid w:val="00FA33FB"/>
    <w:rsid w:val="00FA3617"/>
    <w:rsid w:val="00FA36F2"/>
    <w:rsid w:val="00FA372D"/>
    <w:rsid w:val="00FA3778"/>
    <w:rsid w:val="00FA3835"/>
    <w:rsid w:val="00FA3897"/>
    <w:rsid w:val="00FA3A5F"/>
    <w:rsid w:val="00FA3A86"/>
    <w:rsid w:val="00FA3ADC"/>
    <w:rsid w:val="00FA3B8F"/>
    <w:rsid w:val="00FA3C1F"/>
    <w:rsid w:val="00FA3C22"/>
    <w:rsid w:val="00FA3CFB"/>
    <w:rsid w:val="00FA3D85"/>
    <w:rsid w:val="00FA3DC6"/>
    <w:rsid w:val="00FA3E4B"/>
    <w:rsid w:val="00FA4271"/>
    <w:rsid w:val="00FA4518"/>
    <w:rsid w:val="00FA4682"/>
    <w:rsid w:val="00FA4689"/>
    <w:rsid w:val="00FA46EE"/>
    <w:rsid w:val="00FA47D0"/>
    <w:rsid w:val="00FA483B"/>
    <w:rsid w:val="00FA4CA6"/>
    <w:rsid w:val="00FA4D3A"/>
    <w:rsid w:val="00FA4DB5"/>
    <w:rsid w:val="00FA4E3A"/>
    <w:rsid w:val="00FA4EB3"/>
    <w:rsid w:val="00FA4F1B"/>
    <w:rsid w:val="00FA5047"/>
    <w:rsid w:val="00FA504A"/>
    <w:rsid w:val="00FA511C"/>
    <w:rsid w:val="00FA5232"/>
    <w:rsid w:val="00FA5352"/>
    <w:rsid w:val="00FA5358"/>
    <w:rsid w:val="00FA53A8"/>
    <w:rsid w:val="00FA545E"/>
    <w:rsid w:val="00FA54D3"/>
    <w:rsid w:val="00FA56A4"/>
    <w:rsid w:val="00FA56F6"/>
    <w:rsid w:val="00FA58E4"/>
    <w:rsid w:val="00FA59B4"/>
    <w:rsid w:val="00FA59F4"/>
    <w:rsid w:val="00FA5B7B"/>
    <w:rsid w:val="00FA5D45"/>
    <w:rsid w:val="00FA5D90"/>
    <w:rsid w:val="00FA5DAD"/>
    <w:rsid w:val="00FA5DFE"/>
    <w:rsid w:val="00FA5E0D"/>
    <w:rsid w:val="00FA5E35"/>
    <w:rsid w:val="00FA5F1B"/>
    <w:rsid w:val="00FA6043"/>
    <w:rsid w:val="00FA6059"/>
    <w:rsid w:val="00FA614A"/>
    <w:rsid w:val="00FA619D"/>
    <w:rsid w:val="00FA64C9"/>
    <w:rsid w:val="00FA64D8"/>
    <w:rsid w:val="00FA64EE"/>
    <w:rsid w:val="00FA65C5"/>
    <w:rsid w:val="00FA66A5"/>
    <w:rsid w:val="00FA6737"/>
    <w:rsid w:val="00FA6763"/>
    <w:rsid w:val="00FA68D8"/>
    <w:rsid w:val="00FA6990"/>
    <w:rsid w:val="00FA6A72"/>
    <w:rsid w:val="00FA6B7C"/>
    <w:rsid w:val="00FA6B99"/>
    <w:rsid w:val="00FA6D07"/>
    <w:rsid w:val="00FA6D29"/>
    <w:rsid w:val="00FA6D91"/>
    <w:rsid w:val="00FA6EF9"/>
    <w:rsid w:val="00FA6F13"/>
    <w:rsid w:val="00FA6F7F"/>
    <w:rsid w:val="00FA70D7"/>
    <w:rsid w:val="00FA7152"/>
    <w:rsid w:val="00FA718B"/>
    <w:rsid w:val="00FA71ED"/>
    <w:rsid w:val="00FA7251"/>
    <w:rsid w:val="00FA727A"/>
    <w:rsid w:val="00FA73A4"/>
    <w:rsid w:val="00FA7482"/>
    <w:rsid w:val="00FA75A4"/>
    <w:rsid w:val="00FA76CD"/>
    <w:rsid w:val="00FA7894"/>
    <w:rsid w:val="00FA78A9"/>
    <w:rsid w:val="00FA7AE4"/>
    <w:rsid w:val="00FA7DFF"/>
    <w:rsid w:val="00FA7E3F"/>
    <w:rsid w:val="00FA7FEA"/>
    <w:rsid w:val="00FA7FEE"/>
    <w:rsid w:val="00FB00F1"/>
    <w:rsid w:val="00FB024C"/>
    <w:rsid w:val="00FB0265"/>
    <w:rsid w:val="00FB0310"/>
    <w:rsid w:val="00FB047E"/>
    <w:rsid w:val="00FB0523"/>
    <w:rsid w:val="00FB0564"/>
    <w:rsid w:val="00FB05E2"/>
    <w:rsid w:val="00FB0623"/>
    <w:rsid w:val="00FB069A"/>
    <w:rsid w:val="00FB069D"/>
    <w:rsid w:val="00FB087E"/>
    <w:rsid w:val="00FB08AF"/>
    <w:rsid w:val="00FB0918"/>
    <w:rsid w:val="00FB0B6E"/>
    <w:rsid w:val="00FB0B96"/>
    <w:rsid w:val="00FB0BD5"/>
    <w:rsid w:val="00FB0C0C"/>
    <w:rsid w:val="00FB0D23"/>
    <w:rsid w:val="00FB0DBF"/>
    <w:rsid w:val="00FB0F45"/>
    <w:rsid w:val="00FB11E8"/>
    <w:rsid w:val="00FB124B"/>
    <w:rsid w:val="00FB1315"/>
    <w:rsid w:val="00FB156F"/>
    <w:rsid w:val="00FB1591"/>
    <w:rsid w:val="00FB185B"/>
    <w:rsid w:val="00FB1861"/>
    <w:rsid w:val="00FB1982"/>
    <w:rsid w:val="00FB1A26"/>
    <w:rsid w:val="00FB1A4B"/>
    <w:rsid w:val="00FB1C87"/>
    <w:rsid w:val="00FB1D36"/>
    <w:rsid w:val="00FB1ED8"/>
    <w:rsid w:val="00FB1EFF"/>
    <w:rsid w:val="00FB1FA2"/>
    <w:rsid w:val="00FB22CE"/>
    <w:rsid w:val="00FB22D4"/>
    <w:rsid w:val="00FB22E7"/>
    <w:rsid w:val="00FB2301"/>
    <w:rsid w:val="00FB2620"/>
    <w:rsid w:val="00FB27F9"/>
    <w:rsid w:val="00FB28AD"/>
    <w:rsid w:val="00FB2BC1"/>
    <w:rsid w:val="00FB2BDB"/>
    <w:rsid w:val="00FB2C63"/>
    <w:rsid w:val="00FB2DE7"/>
    <w:rsid w:val="00FB2E88"/>
    <w:rsid w:val="00FB2F10"/>
    <w:rsid w:val="00FB2F24"/>
    <w:rsid w:val="00FB2F75"/>
    <w:rsid w:val="00FB3142"/>
    <w:rsid w:val="00FB319E"/>
    <w:rsid w:val="00FB326E"/>
    <w:rsid w:val="00FB340F"/>
    <w:rsid w:val="00FB34B8"/>
    <w:rsid w:val="00FB357B"/>
    <w:rsid w:val="00FB357C"/>
    <w:rsid w:val="00FB3606"/>
    <w:rsid w:val="00FB3721"/>
    <w:rsid w:val="00FB3793"/>
    <w:rsid w:val="00FB37FB"/>
    <w:rsid w:val="00FB3875"/>
    <w:rsid w:val="00FB38CA"/>
    <w:rsid w:val="00FB3A2E"/>
    <w:rsid w:val="00FB3B02"/>
    <w:rsid w:val="00FB3B07"/>
    <w:rsid w:val="00FB3B2F"/>
    <w:rsid w:val="00FB3B4D"/>
    <w:rsid w:val="00FB3F91"/>
    <w:rsid w:val="00FB3F99"/>
    <w:rsid w:val="00FB40B9"/>
    <w:rsid w:val="00FB4150"/>
    <w:rsid w:val="00FB4182"/>
    <w:rsid w:val="00FB4210"/>
    <w:rsid w:val="00FB421A"/>
    <w:rsid w:val="00FB464A"/>
    <w:rsid w:val="00FB466D"/>
    <w:rsid w:val="00FB4714"/>
    <w:rsid w:val="00FB48A0"/>
    <w:rsid w:val="00FB48A4"/>
    <w:rsid w:val="00FB48B8"/>
    <w:rsid w:val="00FB496B"/>
    <w:rsid w:val="00FB4A0C"/>
    <w:rsid w:val="00FB4A16"/>
    <w:rsid w:val="00FB4AA4"/>
    <w:rsid w:val="00FB4AF3"/>
    <w:rsid w:val="00FB4B31"/>
    <w:rsid w:val="00FB4C13"/>
    <w:rsid w:val="00FB4C8E"/>
    <w:rsid w:val="00FB4CD9"/>
    <w:rsid w:val="00FB4DCA"/>
    <w:rsid w:val="00FB4E63"/>
    <w:rsid w:val="00FB4EF3"/>
    <w:rsid w:val="00FB4EFE"/>
    <w:rsid w:val="00FB4FE8"/>
    <w:rsid w:val="00FB5025"/>
    <w:rsid w:val="00FB50C0"/>
    <w:rsid w:val="00FB511A"/>
    <w:rsid w:val="00FB51C4"/>
    <w:rsid w:val="00FB53E8"/>
    <w:rsid w:val="00FB54FB"/>
    <w:rsid w:val="00FB5508"/>
    <w:rsid w:val="00FB5673"/>
    <w:rsid w:val="00FB56B3"/>
    <w:rsid w:val="00FB5825"/>
    <w:rsid w:val="00FB5927"/>
    <w:rsid w:val="00FB59CB"/>
    <w:rsid w:val="00FB5A10"/>
    <w:rsid w:val="00FB5A65"/>
    <w:rsid w:val="00FB5A9D"/>
    <w:rsid w:val="00FB5B49"/>
    <w:rsid w:val="00FB5B57"/>
    <w:rsid w:val="00FB5BCB"/>
    <w:rsid w:val="00FB5BEB"/>
    <w:rsid w:val="00FB5C17"/>
    <w:rsid w:val="00FB5C8E"/>
    <w:rsid w:val="00FB5CA9"/>
    <w:rsid w:val="00FB5D66"/>
    <w:rsid w:val="00FB5E44"/>
    <w:rsid w:val="00FB6098"/>
    <w:rsid w:val="00FB60B6"/>
    <w:rsid w:val="00FB61C5"/>
    <w:rsid w:val="00FB6265"/>
    <w:rsid w:val="00FB626F"/>
    <w:rsid w:val="00FB63CA"/>
    <w:rsid w:val="00FB64B5"/>
    <w:rsid w:val="00FB6511"/>
    <w:rsid w:val="00FB65BB"/>
    <w:rsid w:val="00FB6672"/>
    <w:rsid w:val="00FB674E"/>
    <w:rsid w:val="00FB67B1"/>
    <w:rsid w:val="00FB6A22"/>
    <w:rsid w:val="00FB6A75"/>
    <w:rsid w:val="00FB6AC0"/>
    <w:rsid w:val="00FB6B69"/>
    <w:rsid w:val="00FB6BAC"/>
    <w:rsid w:val="00FB6BBD"/>
    <w:rsid w:val="00FB6BC8"/>
    <w:rsid w:val="00FB6BFD"/>
    <w:rsid w:val="00FB6C60"/>
    <w:rsid w:val="00FB6D29"/>
    <w:rsid w:val="00FB6E0D"/>
    <w:rsid w:val="00FB6E49"/>
    <w:rsid w:val="00FB6F01"/>
    <w:rsid w:val="00FB6F8E"/>
    <w:rsid w:val="00FB702E"/>
    <w:rsid w:val="00FB75AC"/>
    <w:rsid w:val="00FB7873"/>
    <w:rsid w:val="00FB79F9"/>
    <w:rsid w:val="00FB7AB6"/>
    <w:rsid w:val="00FB7AF2"/>
    <w:rsid w:val="00FB7BC7"/>
    <w:rsid w:val="00FB7E85"/>
    <w:rsid w:val="00FB7F49"/>
    <w:rsid w:val="00FC00E4"/>
    <w:rsid w:val="00FC01A7"/>
    <w:rsid w:val="00FC01BB"/>
    <w:rsid w:val="00FC01CB"/>
    <w:rsid w:val="00FC0310"/>
    <w:rsid w:val="00FC05A2"/>
    <w:rsid w:val="00FC0603"/>
    <w:rsid w:val="00FC06FC"/>
    <w:rsid w:val="00FC078C"/>
    <w:rsid w:val="00FC0A3C"/>
    <w:rsid w:val="00FC0A4F"/>
    <w:rsid w:val="00FC0B65"/>
    <w:rsid w:val="00FC0BBE"/>
    <w:rsid w:val="00FC0C68"/>
    <w:rsid w:val="00FC0CF3"/>
    <w:rsid w:val="00FC0D95"/>
    <w:rsid w:val="00FC0DAF"/>
    <w:rsid w:val="00FC0F22"/>
    <w:rsid w:val="00FC113B"/>
    <w:rsid w:val="00FC12CA"/>
    <w:rsid w:val="00FC1322"/>
    <w:rsid w:val="00FC1772"/>
    <w:rsid w:val="00FC18C8"/>
    <w:rsid w:val="00FC1AC1"/>
    <w:rsid w:val="00FC1B25"/>
    <w:rsid w:val="00FC1C46"/>
    <w:rsid w:val="00FC1D9E"/>
    <w:rsid w:val="00FC1F41"/>
    <w:rsid w:val="00FC20C5"/>
    <w:rsid w:val="00FC21FA"/>
    <w:rsid w:val="00FC233A"/>
    <w:rsid w:val="00FC238F"/>
    <w:rsid w:val="00FC24B7"/>
    <w:rsid w:val="00FC251B"/>
    <w:rsid w:val="00FC2777"/>
    <w:rsid w:val="00FC2835"/>
    <w:rsid w:val="00FC28AA"/>
    <w:rsid w:val="00FC28DB"/>
    <w:rsid w:val="00FC28E4"/>
    <w:rsid w:val="00FC2A0C"/>
    <w:rsid w:val="00FC2A40"/>
    <w:rsid w:val="00FC2C19"/>
    <w:rsid w:val="00FC2D21"/>
    <w:rsid w:val="00FC2E2B"/>
    <w:rsid w:val="00FC3039"/>
    <w:rsid w:val="00FC30EF"/>
    <w:rsid w:val="00FC34BB"/>
    <w:rsid w:val="00FC34F3"/>
    <w:rsid w:val="00FC36C3"/>
    <w:rsid w:val="00FC373F"/>
    <w:rsid w:val="00FC3749"/>
    <w:rsid w:val="00FC3767"/>
    <w:rsid w:val="00FC3B00"/>
    <w:rsid w:val="00FC3C61"/>
    <w:rsid w:val="00FC3CC7"/>
    <w:rsid w:val="00FC3D08"/>
    <w:rsid w:val="00FC3E36"/>
    <w:rsid w:val="00FC3F31"/>
    <w:rsid w:val="00FC3FA3"/>
    <w:rsid w:val="00FC4076"/>
    <w:rsid w:val="00FC4272"/>
    <w:rsid w:val="00FC427C"/>
    <w:rsid w:val="00FC4365"/>
    <w:rsid w:val="00FC437E"/>
    <w:rsid w:val="00FC4383"/>
    <w:rsid w:val="00FC445F"/>
    <w:rsid w:val="00FC45C1"/>
    <w:rsid w:val="00FC46C0"/>
    <w:rsid w:val="00FC470E"/>
    <w:rsid w:val="00FC4757"/>
    <w:rsid w:val="00FC4761"/>
    <w:rsid w:val="00FC4A65"/>
    <w:rsid w:val="00FC4AE5"/>
    <w:rsid w:val="00FC4B35"/>
    <w:rsid w:val="00FC4C3C"/>
    <w:rsid w:val="00FC4C82"/>
    <w:rsid w:val="00FC4CDB"/>
    <w:rsid w:val="00FC4D95"/>
    <w:rsid w:val="00FC4E42"/>
    <w:rsid w:val="00FC4EA8"/>
    <w:rsid w:val="00FC50D2"/>
    <w:rsid w:val="00FC515D"/>
    <w:rsid w:val="00FC51FB"/>
    <w:rsid w:val="00FC5433"/>
    <w:rsid w:val="00FC5541"/>
    <w:rsid w:val="00FC5546"/>
    <w:rsid w:val="00FC5691"/>
    <w:rsid w:val="00FC5711"/>
    <w:rsid w:val="00FC57D3"/>
    <w:rsid w:val="00FC58ED"/>
    <w:rsid w:val="00FC5B42"/>
    <w:rsid w:val="00FC5B97"/>
    <w:rsid w:val="00FC5E1E"/>
    <w:rsid w:val="00FC5F74"/>
    <w:rsid w:val="00FC615D"/>
    <w:rsid w:val="00FC6257"/>
    <w:rsid w:val="00FC6331"/>
    <w:rsid w:val="00FC6390"/>
    <w:rsid w:val="00FC6394"/>
    <w:rsid w:val="00FC6424"/>
    <w:rsid w:val="00FC6666"/>
    <w:rsid w:val="00FC6906"/>
    <w:rsid w:val="00FC6A55"/>
    <w:rsid w:val="00FC6AB4"/>
    <w:rsid w:val="00FC6ACA"/>
    <w:rsid w:val="00FC6CB6"/>
    <w:rsid w:val="00FC6D13"/>
    <w:rsid w:val="00FC6D2E"/>
    <w:rsid w:val="00FC6D3C"/>
    <w:rsid w:val="00FC6EC2"/>
    <w:rsid w:val="00FC6FC1"/>
    <w:rsid w:val="00FC7005"/>
    <w:rsid w:val="00FC70B0"/>
    <w:rsid w:val="00FC7143"/>
    <w:rsid w:val="00FC720E"/>
    <w:rsid w:val="00FC726E"/>
    <w:rsid w:val="00FC735C"/>
    <w:rsid w:val="00FC738E"/>
    <w:rsid w:val="00FC73AE"/>
    <w:rsid w:val="00FC73CE"/>
    <w:rsid w:val="00FC7579"/>
    <w:rsid w:val="00FC757C"/>
    <w:rsid w:val="00FC7582"/>
    <w:rsid w:val="00FC7699"/>
    <w:rsid w:val="00FC77DD"/>
    <w:rsid w:val="00FC783D"/>
    <w:rsid w:val="00FC7867"/>
    <w:rsid w:val="00FC79E6"/>
    <w:rsid w:val="00FC7A93"/>
    <w:rsid w:val="00FC7B6E"/>
    <w:rsid w:val="00FC7BA6"/>
    <w:rsid w:val="00FC7BCF"/>
    <w:rsid w:val="00FC7C50"/>
    <w:rsid w:val="00FC7CFD"/>
    <w:rsid w:val="00FC7D34"/>
    <w:rsid w:val="00FC7DB2"/>
    <w:rsid w:val="00FC7E8F"/>
    <w:rsid w:val="00FC7F4E"/>
    <w:rsid w:val="00FC7F6C"/>
    <w:rsid w:val="00FC7FBE"/>
    <w:rsid w:val="00FD0229"/>
    <w:rsid w:val="00FD02E5"/>
    <w:rsid w:val="00FD02F7"/>
    <w:rsid w:val="00FD043F"/>
    <w:rsid w:val="00FD04A5"/>
    <w:rsid w:val="00FD0528"/>
    <w:rsid w:val="00FD057C"/>
    <w:rsid w:val="00FD0581"/>
    <w:rsid w:val="00FD0656"/>
    <w:rsid w:val="00FD0803"/>
    <w:rsid w:val="00FD0827"/>
    <w:rsid w:val="00FD0847"/>
    <w:rsid w:val="00FD0A37"/>
    <w:rsid w:val="00FD0A8B"/>
    <w:rsid w:val="00FD0ADC"/>
    <w:rsid w:val="00FD0C8D"/>
    <w:rsid w:val="00FD0D0A"/>
    <w:rsid w:val="00FD0DCB"/>
    <w:rsid w:val="00FD0F63"/>
    <w:rsid w:val="00FD0F86"/>
    <w:rsid w:val="00FD1146"/>
    <w:rsid w:val="00FD11E9"/>
    <w:rsid w:val="00FD125F"/>
    <w:rsid w:val="00FD12C3"/>
    <w:rsid w:val="00FD141C"/>
    <w:rsid w:val="00FD149B"/>
    <w:rsid w:val="00FD15E2"/>
    <w:rsid w:val="00FD182B"/>
    <w:rsid w:val="00FD1D72"/>
    <w:rsid w:val="00FD1F27"/>
    <w:rsid w:val="00FD1F6F"/>
    <w:rsid w:val="00FD20CC"/>
    <w:rsid w:val="00FD211F"/>
    <w:rsid w:val="00FD2142"/>
    <w:rsid w:val="00FD21A2"/>
    <w:rsid w:val="00FD221D"/>
    <w:rsid w:val="00FD22B2"/>
    <w:rsid w:val="00FD2306"/>
    <w:rsid w:val="00FD2351"/>
    <w:rsid w:val="00FD2630"/>
    <w:rsid w:val="00FD26C8"/>
    <w:rsid w:val="00FD27C3"/>
    <w:rsid w:val="00FD280D"/>
    <w:rsid w:val="00FD2825"/>
    <w:rsid w:val="00FD290F"/>
    <w:rsid w:val="00FD29EF"/>
    <w:rsid w:val="00FD2AE2"/>
    <w:rsid w:val="00FD2B46"/>
    <w:rsid w:val="00FD2C56"/>
    <w:rsid w:val="00FD2CC8"/>
    <w:rsid w:val="00FD2F71"/>
    <w:rsid w:val="00FD2F82"/>
    <w:rsid w:val="00FD3014"/>
    <w:rsid w:val="00FD3046"/>
    <w:rsid w:val="00FD3083"/>
    <w:rsid w:val="00FD32AA"/>
    <w:rsid w:val="00FD33A3"/>
    <w:rsid w:val="00FD340F"/>
    <w:rsid w:val="00FD36BC"/>
    <w:rsid w:val="00FD3835"/>
    <w:rsid w:val="00FD3938"/>
    <w:rsid w:val="00FD394C"/>
    <w:rsid w:val="00FD39C1"/>
    <w:rsid w:val="00FD3A21"/>
    <w:rsid w:val="00FD3ABE"/>
    <w:rsid w:val="00FD3ABF"/>
    <w:rsid w:val="00FD3CA8"/>
    <w:rsid w:val="00FD3D0B"/>
    <w:rsid w:val="00FD3E5D"/>
    <w:rsid w:val="00FD3E95"/>
    <w:rsid w:val="00FD410D"/>
    <w:rsid w:val="00FD418B"/>
    <w:rsid w:val="00FD4486"/>
    <w:rsid w:val="00FD4550"/>
    <w:rsid w:val="00FD45E5"/>
    <w:rsid w:val="00FD4709"/>
    <w:rsid w:val="00FD4752"/>
    <w:rsid w:val="00FD47CB"/>
    <w:rsid w:val="00FD47E9"/>
    <w:rsid w:val="00FD4927"/>
    <w:rsid w:val="00FD4AC8"/>
    <w:rsid w:val="00FD4AE3"/>
    <w:rsid w:val="00FD4D86"/>
    <w:rsid w:val="00FD4DE8"/>
    <w:rsid w:val="00FD4E12"/>
    <w:rsid w:val="00FD4E3E"/>
    <w:rsid w:val="00FD4F3A"/>
    <w:rsid w:val="00FD506A"/>
    <w:rsid w:val="00FD53A0"/>
    <w:rsid w:val="00FD55AF"/>
    <w:rsid w:val="00FD563A"/>
    <w:rsid w:val="00FD5652"/>
    <w:rsid w:val="00FD576F"/>
    <w:rsid w:val="00FD57D7"/>
    <w:rsid w:val="00FD5829"/>
    <w:rsid w:val="00FD5883"/>
    <w:rsid w:val="00FD5C2F"/>
    <w:rsid w:val="00FD5D45"/>
    <w:rsid w:val="00FD5E20"/>
    <w:rsid w:val="00FD5E72"/>
    <w:rsid w:val="00FD5E73"/>
    <w:rsid w:val="00FD5ECE"/>
    <w:rsid w:val="00FD61AE"/>
    <w:rsid w:val="00FD61F7"/>
    <w:rsid w:val="00FD6233"/>
    <w:rsid w:val="00FD62AC"/>
    <w:rsid w:val="00FD6475"/>
    <w:rsid w:val="00FD6583"/>
    <w:rsid w:val="00FD6639"/>
    <w:rsid w:val="00FD6789"/>
    <w:rsid w:val="00FD67D9"/>
    <w:rsid w:val="00FD6875"/>
    <w:rsid w:val="00FD6A8B"/>
    <w:rsid w:val="00FD6B9E"/>
    <w:rsid w:val="00FD6C52"/>
    <w:rsid w:val="00FD6D67"/>
    <w:rsid w:val="00FD6D77"/>
    <w:rsid w:val="00FD6FD7"/>
    <w:rsid w:val="00FD708F"/>
    <w:rsid w:val="00FD7135"/>
    <w:rsid w:val="00FD71B9"/>
    <w:rsid w:val="00FD71FC"/>
    <w:rsid w:val="00FD72F0"/>
    <w:rsid w:val="00FD73C7"/>
    <w:rsid w:val="00FD7514"/>
    <w:rsid w:val="00FD76E9"/>
    <w:rsid w:val="00FD7718"/>
    <w:rsid w:val="00FD7724"/>
    <w:rsid w:val="00FD773F"/>
    <w:rsid w:val="00FD779F"/>
    <w:rsid w:val="00FD77B6"/>
    <w:rsid w:val="00FD7963"/>
    <w:rsid w:val="00FD79E5"/>
    <w:rsid w:val="00FD7B70"/>
    <w:rsid w:val="00FD7BAB"/>
    <w:rsid w:val="00FD7D4C"/>
    <w:rsid w:val="00FD7E6C"/>
    <w:rsid w:val="00FD7E7E"/>
    <w:rsid w:val="00FD7F2B"/>
    <w:rsid w:val="00FD7FDF"/>
    <w:rsid w:val="00FE01B2"/>
    <w:rsid w:val="00FE0224"/>
    <w:rsid w:val="00FE0246"/>
    <w:rsid w:val="00FE0253"/>
    <w:rsid w:val="00FE02B4"/>
    <w:rsid w:val="00FE0342"/>
    <w:rsid w:val="00FE034B"/>
    <w:rsid w:val="00FE04B1"/>
    <w:rsid w:val="00FE0562"/>
    <w:rsid w:val="00FE0673"/>
    <w:rsid w:val="00FE07F5"/>
    <w:rsid w:val="00FE0804"/>
    <w:rsid w:val="00FE089F"/>
    <w:rsid w:val="00FE096E"/>
    <w:rsid w:val="00FE09EF"/>
    <w:rsid w:val="00FE0A48"/>
    <w:rsid w:val="00FE0B2A"/>
    <w:rsid w:val="00FE0B3E"/>
    <w:rsid w:val="00FE0B87"/>
    <w:rsid w:val="00FE0DCB"/>
    <w:rsid w:val="00FE0E12"/>
    <w:rsid w:val="00FE0ECF"/>
    <w:rsid w:val="00FE0F24"/>
    <w:rsid w:val="00FE0FAF"/>
    <w:rsid w:val="00FE0FD5"/>
    <w:rsid w:val="00FE0FF4"/>
    <w:rsid w:val="00FE1042"/>
    <w:rsid w:val="00FE10C5"/>
    <w:rsid w:val="00FE128D"/>
    <w:rsid w:val="00FE1422"/>
    <w:rsid w:val="00FE14C1"/>
    <w:rsid w:val="00FE14C9"/>
    <w:rsid w:val="00FE1679"/>
    <w:rsid w:val="00FE16ED"/>
    <w:rsid w:val="00FE175B"/>
    <w:rsid w:val="00FE17F4"/>
    <w:rsid w:val="00FE1843"/>
    <w:rsid w:val="00FE1862"/>
    <w:rsid w:val="00FE1981"/>
    <w:rsid w:val="00FE1999"/>
    <w:rsid w:val="00FE1B5E"/>
    <w:rsid w:val="00FE1B99"/>
    <w:rsid w:val="00FE1BEC"/>
    <w:rsid w:val="00FE1C40"/>
    <w:rsid w:val="00FE1C6D"/>
    <w:rsid w:val="00FE1D4E"/>
    <w:rsid w:val="00FE1E0A"/>
    <w:rsid w:val="00FE1E55"/>
    <w:rsid w:val="00FE23C1"/>
    <w:rsid w:val="00FE2455"/>
    <w:rsid w:val="00FE249F"/>
    <w:rsid w:val="00FE24FC"/>
    <w:rsid w:val="00FE282A"/>
    <w:rsid w:val="00FE2AB6"/>
    <w:rsid w:val="00FE2BC6"/>
    <w:rsid w:val="00FE2C53"/>
    <w:rsid w:val="00FE2C6B"/>
    <w:rsid w:val="00FE2D40"/>
    <w:rsid w:val="00FE3111"/>
    <w:rsid w:val="00FE3182"/>
    <w:rsid w:val="00FE34A5"/>
    <w:rsid w:val="00FE34D1"/>
    <w:rsid w:val="00FE354C"/>
    <w:rsid w:val="00FE3675"/>
    <w:rsid w:val="00FE3817"/>
    <w:rsid w:val="00FE38AF"/>
    <w:rsid w:val="00FE3987"/>
    <w:rsid w:val="00FE39E0"/>
    <w:rsid w:val="00FE3BD1"/>
    <w:rsid w:val="00FE3DB5"/>
    <w:rsid w:val="00FE3DF4"/>
    <w:rsid w:val="00FE3E71"/>
    <w:rsid w:val="00FE3F6C"/>
    <w:rsid w:val="00FE402D"/>
    <w:rsid w:val="00FE404E"/>
    <w:rsid w:val="00FE40C9"/>
    <w:rsid w:val="00FE418B"/>
    <w:rsid w:val="00FE420C"/>
    <w:rsid w:val="00FE42AD"/>
    <w:rsid w:val="00FE433C"/>
    <w:rsid w:val="00FE438A"/>
    <w:rsid w:val="00FE43C5"/>
    <w:rsid w:val="00FE43F5"/>
    <w:rsid w:val="00FE441F"/>
    <w:rsid w:val="00FE4502"/>
    <w:rsid w:val="00FE458B"/>
    <w:rsid w:val="00FE4625"/>
    <w:rsid w:val="00FE4697"/>
    <w:rsid w:val="00FE475D"/>
    <w:rsid w:val="00FE4995"/>
    <w:rsid w:val="00FE4B70"/>
    <w:rsid w:val="00FE4CCC"/>
    <w:rsid w:val="00FE4D39"/>
    <w:rsid w:val="00FE4E81"/>
    <w:rsid w:val="00FE4F63"/>
    <w:rsid w:val="00FE4F66"/>
    <w:rsid w:val="00FE5124"/>
    <w:rsid w:val="00FE519F"/>
    <w:rsid w:val="00FE51A7"/>
    <w:rsid w:val="00FE551D"/>
    <w:rsid w:val="00FE55F9"/>
    <w:rsid w:val="00FE5663"/>
    <w:rsid w:val="00FE56E4"/>
    <w:rsid w:val="00FE5788"/>
    <w:rsid w:val="00FE579B"/>
    <w:rsid w:val="00FE581D"/>
    <w:rsid w:val="00FE59DB"/>
    <w:rsid w:val="00FE59E9"/>
    <w:rsid w:val="00FE5A5B"/>
    <w:rsid w:val="00FE5CAA"/>
    <w:rsid w:val="00FE5FE5"/>
    <w:rsid w:val="00FE5FF4"/>
    <w:rsid w:val="00FE60F6"/>
    <w:rsid w:val="00FE61DE"/>
    <w:rsid w:val="00FE6204"/>
    <w:rsid w:val="00FE62F0"/>
    <w:rsid w:val="00FE6586"/>
    <w:rsid w:val="00FE673E"/>
    <w:rsid w:val="00FE67FD"/>
    <w:rsid w:val="00FE685F"/>
    <w:rsid w:val="00FE6883"/>
    <w:rsid w:val="00FE6B29"/>
    <w:rsid w:val="00FE6BB7"/>
    <w:rsid w:val="00FE6C10"/>
    <w:rsid w:val="00FE6C4A"/>
    <w:rsid w:val="00FE6C9A"/>
    <w:rsid w:val="00FE6F71"/>
    <w:rsid w:val="00FE6FBA"/>
    <w:rsid w:val="00FE7018"/>
    <w:rsid w:val="00FE70F3"/>
    <w:rsid w:val="00FE71C0"/>
    <w:rsid w:val="00FE7275"/>
    <w:rsid w:val="00FE7308"/>
    <w:rsid w:val="00FE7309"/>
    <w:rsid w:val="00FE747D"/>
    <w:rsid w:val="00FE7532"/>
    <w:rsid w:val="00FE7648"/>
    <w:rsid w:val="00FE7672"/>
    <w:rsid w:val="00FE7773"/>
    <w:rsid w:val="00FE777C"/>
    <w:rsid w:val="00FE77B8"/>
    <w:rsid w:val="00FE7811"/>
    <w:rsid w:val="00FE7983"/>
    <w:rsid w:val="00FE7A92"/>
    <w:rsid w:val="00FE7B64"/>
    <w:rsid w:val="00FE7BB6"/>
    <w:rsid w:val="00FE7C2A"/>
    <w:rsid w:val="00FE7D67"/>
    <w:rsid w:val="00FE7E0D"/>
    <w:rsid w:val="00FE7E1F"/>
    <w:rsid w:val="00FE7E63"/>
    <w:rsid w:val="00FE7E7F"/>
    <w:rsid w:val="00FE7F05"/>
    <w:rsid w:val="00FF00DD"/>
    <w:rsid w:val="00FF0149"/>
    <w:rsid w:val="00FF0158"/>
    <w:rsid w:val="00FF026E"/>
    <w:rsid w:val="00FF02D2"/>
    <w:rsid w:val="00FF0365"/>
    <w:rsid w:val="00FF03B0"/>
    <w:rsid w:val="00FF03B5"/>
    <w:rsid w:val="00FF0470"/>
    <w:rsid w:val="00FF04DD"/>
    <w:rsid w:val="00FF050F"/>
    <w:rsid w:val="00FF070C"/>
    <w:rsid w:val="00FF0712"/>
    <w:rsid w:val="00FF0723"/>
    <w:rsid w:val="00FF07E2"/>
    <w:rsid w:val="00FF09D3"/>
    <w:rsid w:val="00FF0A4A"/>
    <w:rsid w:val="00FF0A68"/>
    <w:rsid w:val="00FF0A7B"/>
    <w:rsid w:val="00FF0ABC"/>
    <w:rsid w:val="00FF0B04"/>
    <w:rsid w:val="00FF0BF1"/>
    <w:rsid w:val="00FF0C02"/>
    <w:rsid w:val="00FF0D07"/>
    <w:rsid w:val="00FF0D2E"/>
    <w:rsid w:val="00FF0DC9"/>
    <w:rsid w:val="00FF0E0F"/>
    <w:rsid w:val="00FF0F6F"/>
    <w:rsid w:val="00FF0FA9"/>
    <w:rsid w:val="00FF1063"/>
    <w:rsid w:val="00FF11E7"/>
    <w:rsid w:val="00FF138C"/>
    <w:rsid w:val="00FF1482"/>
    <w:rsid w:val="00FF16D1"/>
    <w:rsid w:val="00FF1939"/>
    <w:rsid w:val="00FF1ADF"/>
    <w:rsid w:val="00FF1B56"/>
    <w:rsid w:val="00FF1B6E"/>
    <w:rsid w:val="00FF1B76"/>
    <w:rsid w:val="00FF1D2B"/>
    <w:rsid w:val="00FF1D44"/>
    <w:rsid w:val="00FF1F3A"/>
    <w:rsid w:val="00FF215A"/>
    <w:rsid w:val="00FF216E"/>
    <w:rsid w:val="00FF21AC"/>
    <w:rsid w:val="00FF2338"/>
    <w:rsid w:val="00FF2383"/>
    <w:rsid w:val="00FF23FE"/>
    <w:rsid w:val="00FF255A"/>
    <w:rsid w:val="00FF257D"/>
    <w:rsid w:val="00FF268F"/>
    <w:rsid w:val="00FF2696"/>
    <w:rsid w:val="00FF26E8"/>
    <w:rsid w:val="00FF297A"/>
    <w:rsid w:val="00FF29B9"/>
    <w:rsid w:val="00FF29C2"/>
    <w:rsid w:val="00FF29CC"/>
    <w:rsid w:val="00FF29D6"/>
    <w:rsid w:val="00FF2A7A"/>
    <w:rsid w:val="00FF2A97"/>
    <w:rsid w:val="00FF2D03"/>
    <w:rsid w:val="00FF2E54"/>
    <w:rsid w:val="00FF30BE"/>
    <w:rsid w:val="00FF3133"/>
    <w:rsid w:val="00FF3199"/>
    <w:rsid w:val="00FF3211"/>
    <w:rsid w:val="00FF332E"/>
    <w:rsid w:val="00FF343E"/>
    <w:rsid w:val="00FF355F"/>
    <w:rsid w:val="00FF3617"/>
    <w:rsid w:val="00FF364E"/>
    <w:rsid w:val="00FF3726"/>
    <w:rsid w:val="00FF3A32"/>
    <w:rsid w:val="00FF3A75"/>
    <w:rsid w:val="00FF3B7F"/>
    <w:rsid w:val="00FF3D82"/>
    <w:rsid w:val="00FF3DA9"/>
    <w:rsid w:val="00FF3F65"/>
    <w:rsid w:val="00FF3FB4"/>
    <w:rsid w:val="00FF4091"/>
    <w:rsid w:val="00FF40C2"/>
    <w:rsid w:val="00FF40F7"/>
    <w:rsid w:val="00FF4191"/>
    <w:rsid w:val="00FF41BC"/>
    <w:rsid w:val="00FF4692"/>
    <w:rsid w:val="00FF46F1"/>
    <w:rsid w:val="00FF484F"/>
    <w:rsid w:val="00FF485E"/>
    <w:rsid w:val="00FF48CA"/>
    <w:rsid w:val="00FF4915"/>
    <w:rsid w:val="00FF4A09"/>
    <w:rsid w:val="00FF4A17"/>
    <w:rsid w:val="00FF4B02"/>
    <w:rsid w:val="00FF4B28"/>
    <w:rsid w:val="00FF4B39"/>
    <w:rsid w:val="00FF4BD8"/>
    <w:rsid w:val="00FF4C53"/>
    <w:rsid w:val="00FF4C5B"/>
    <w:rsid w:val="00FF4CFE"/>
    <w:rsid w:val="00FF4D31"/>
    <w:rsid w:val="00FF4D85"/>
    <w:rsid w:val="00FF4E1C"/>
    <w:rsid w:val="00FF4F6F"/>
    <w:rsid w:val="00FF4F7D"/>
    <w:rsid w:val="00FF5076"/>
    <w:rsid w:val="00FF50B2"/>
    <w:rsid w:val="00FF50E2"/>
    <w:rsid w:val="00FF532E"/>
    <w:rsid w:val="00FF54BC"/>
    <w:rsid w:val="00FF556B"/>
    <w:rsid w:val="00FF558F"/>
    <w:rsid w:val="00FF55BE"/>
    <w:rsid w:val="00FF5665"/>
    <w:rsid w:val="00FF587F"/>
    <w:rsid w:val="00FF593E"/>
    <w:rsid w:val="00FF59C0"/>
    <w:rsid w:val="00FF5BB0"/>
    <w:rsid w:val="00FF5C68"/>
    <w:rsid w:val="00FF5C9A"/>
    <w:rsid w:val="00FF5CE5"/>
    <w:rsid w:val="00FF5DDF"/>
    <w:rsid w:val="00FF5DEF"/>
    <w:rsid w:val="00FF5F13"/>
    <w:rsid w:val="00FF5F39"/>
    <w:rsid w:val="00FF5FDF"/>
    <w:rsid w:val="00FF6018"/>
    <w:rsid w:val="00FF6038"/>
    <w:rsid w:val="00FF60AD"/>
    <w:rsid w:val="00FF60CA"/>
    <w:rsid w:val="00FF613D"/>
    <w:rsid w:val="00FF6179"/>
    <w:rsid w:val="00FF6205"/>
    <w:rsid w:val="00FF629D"/>
    <w:rsid w:val="00FF6314"/>
    <w:rsid w:val="00FF6332"/>
    <w:rsid w:val="00FF6384"/>
    <w:rsid w:val="00FF650F"/>
    <w:rsid w:val="00FF6527"/>
    <w:rsid w:val="00FF6765"/>
    <w:rsid w:val="00FF677E"/>
    <w:rsid w:val="00FF6853"/>
    <w:rsid w:val="00FF6880"/>
    <w:rsid w:val="00FF6A17"/>
    <w:rsid w:val="00FF6BE5"/>
    <w:rsid w:val="00FF6CD7"/>
    <w:rsid w:val="00FF6CE2"/>
    <w:rsid w:val="00FF6CED"/>
    <w:rsid w:val="00FF6D2C"/>
    <w:rsid w:val="00FF6D40"/>
    <w:rsid w:val="00FF6DCC"/>
    <w:rsid w:val="00FF6E8A"/>
    <w:rsid w:val="00FF6F7A"/>
    <w:rsid w:val="00FF6FAD"/>
    <w:rsid w:val="00FF7025"/>
    <w:rsid w:val="00FF70DF"/>
    <w:rsid w:val="00FF72C0"/>
    <w:rsid w:val="00FF7457"/>
    <w:rsid w:val="00FF74B4"/>
    <w:rsid w:val="00FF74F7"/>
    <w:rsid w:val="00FF7530"/>
    <w:rsid w:val="00FF7659"/>
    <w:rsid w:val="00FF76B2"/>
    <w:rsid w:val="00FF78C0"/>
    <w:rsid w:val="00FF796F"/>
    <w:rsid w:val="00FF7BD3"/>
    <w:rsid w:val="00FF7C6B"/>
    <w:rsid w:val="00FF7CF7"/>
    <w:rsid w:val="00FF7D38"/>
    <w:rsid w:val="00FF7E01"/>
    <w:rsid w:val="00FF7E05"/>
    <w:rsid w:val="011604D2"/>
    <w:rsid w:val="014B11E5"/>
    <w:rsid w:val="01534658"/>
    <w:rsid w:val="015AACA2"/>
    <w:rsid w:val="0169377A"/>
    <w:rsid w:val="01758E5D"/>
    <w:rsid w:val="017842E1"/>
    <w:rsid w:val="01851CB8"/>
    <w:rsid w:val="01AE3676"/>
    <w:rsid w:val="01B5CB6B"/>
    <w:rsid w:val="02182358"/>
    <w:rsid w:val="02204F00"/>
    <w:rsid w:val="0236807C"/>
    <w:rsid w:val="02707ABB"/>
    <w:rsid w:val="02765456"/>
    <w:rsid w:val="027C059F"/>
    <w:rsid w:val="02ABCA45"/>
    <w:rsid w:val="02BBBFEA"/>
    <w:rsid w:val="02C671B2"/>
    <w:rsid w:val="02E2A5C8"/>
    <w:rsid w:val="0312F2FE"/>
    <w:rsid w:val="036B9C01"/>
    <w:rsid w:val="038407FC"/>
    <w:rsid w:val="038A04B8"/>
    <w:rsid w:val="03C7BE5C"/>
    <w:rsid w:val="03C9A8E9"/>
    <w:rsid w:val="03DC6BA5"/>
    <w:rsid w:val="03DD84F1"/>
    <w:rsid w:val="042016BC"/>
    <w:rsid w:val="043B62E4"/>
    <w:rsid w:val="044C28B8"/>
    <w:rsid w:val="045BC0FA"/>
    <w:rsid w:val="0475F72B"/>
    <w:rsid w:val="0476ACD4"/>
    <w:rsid w:val="048912AF"/>
    <w:rsid w:val="04B3F452"/>
    <w:rsid w:val="04BA2DF0"/>
    <w:rsid w:val="04BC8EDA"/>
    <w:rsid w:val="04D87A54"/>
    <w:rsid w:val="04E52460"/>
    <w:rsid w:val="04F37148"/>
    <w:rsid w:val="04FB7FFA"/>
    <w:rsid w:val="050FD385"/>
    <w:rsid w:val="0515703D"/>
    <w:rsid w:val="051E6F6F"/>
    <w:rsid w:val="052C3445"/>
    <w:rsid w:val="052EE07A"/>
    <w:rsid w:val="05362625"/>
    <w:rsid w:val="053A4231"/>
    <w:rsid w:val="053EA4A2"/>
    <w:rsid w:val="054BE6A0"/>
    <w:rsid w:val="0559E47E"/>
    <w:rsid w:val="0563D514"/>
    <w:rsid w:val="0565333E"/>
    <w:rsid w:val="0565D2F2"/>
    <w:rsid w:val="056E8BE1"/>
    <w:rsid w:val="056EDFF9"/>
    <w:rsid w:val="0570E2CE"/>
    <w:rsid w:val="05799E0B"/>
    <w:rsid w:val="05932764"/>
    <w:rsid w:val="059732F2"/>
    <w:rsid w:val="05B79CD2"/>
    <w:rsid w:val="05CD75AD"/>
    <w:rsid w:val="05D4594F"/>
    <w:rsid w:val="05DD305A"/>
    <w:rsid w:val="05F68C6C"/>
    <w:rsid w:val="05F793C4"/>
    <w:rsid w:val="05F7F883"/>
    <w:rsid w:val="0601CFCF"/>
    <w:rsid w:val="06062D5A"/>
    <w:rsid w:val="0610200E"/>
    <w:rsid w:val="0612AD2A"/>
    <w:rsid w:val="0625E4D4"/>
    <w:rsid w:val="0626DE6C"/>
    <w:rsid w:val="0628677C"/>
    <w:rsid w:val="06614C8E"/>
    <w:rsid w:val="06688C97"/>
    <w:rsid w:val="0670F1F9"/>
    <w:rsid w:val="0675FCB6"/>
    <w:rsid w:val="067774BB"/>
    <w:rsid w:val="067971A3"/>
    <w:rsid w:val="068C5EF2"/>
    <w:rsid w:val="0690B754"/>
    <w:rsid w:val="06BF5745"/>
    <w:rsid w:val="06CC873A"/>
    <w:rsid w:val="06D021E0"/>
    <w:rsid w:val="06D7E3DD"/>
    <w:rsid w:val="06E31FE3"/>
    <w:rsid w:val="06EFED24"/>
    <w:rsid w:val="072090E0"/>
    <w:rsid w:val="0722A664"/>
    <w:rsid w:val="0737EAC4"/>
    <w:rsid w:val="0742C90B"/>
    <w:rsid w:val="0742DE1D"/>
    <w:rsid w:val="07454CA6"/>
    <w:rsid w:val="075BF061"/>
    <w:rsid w:val="076C9081"/>
    <w:rsid w:val="07761C63"/>
    <w:rsid w:val="0784D6B9"/>
    <w:rsid w:val="07948767"/>
    <w:rsid w:val="07CAE1FA"/>
    <w:rsid w:val="07CF3D73"/>
    <w:rsid w:val="07D7238B"/>
    <w:rsid w:val="080270C9"/>
    <w:rsid w:val="0802F37E"/>
    <w:rsid w:val="080779BF"/>
    <w:rsid w:val="0811DB55"/>
    <w:rsid w:val="0851B121"/>
    <w:rsid w:val="085808E7"/>
    <w:rsid w:val="0868D823"/>
    <w:rsid w:val="0869794D"/>
    <w:rsid w:val="08748E1D"/>
    <w:rsid w:val="0875CC3F"/>
    <w:rsid w:val="087640AE"/>
    <w:rsid w:val="08766E26"/>
    <w:rsid w:val="087CA367"/>
    <w:rsid w:val="087D9049"/>
    <w:rsid w:val="08875326"/>
    <w:rsid w:val="088ECD54"/>
    <w:rsid w:val="089EA568"/>
    <w:rsid w:val="08A0EF66"/>
    <w:rsid w:val="08BC51D1"/>
    <w:rsid w:val="08D6BD9B"/>
    <w:rsid w:val="08E218AE"/>
    <w:rsid w:val="08FBA39C"/>
    <w:rsid w:val="09347675"/>
    <w:rsid w:val="093C1579"/>
    <w:rsid w:val="094CBF77"/>
    <w:rsid w:val="09655A71"/>
    <w:rsid w:val="097EE197"/>
    <w:rsid w:val="0983A572"/>
    <w:rsid w:val="0985220D"/>
    <w:rsid w:val="09AE1147"/>
    <w:rsid w:val="09B4D337"/>
    <w:rsid w:val="09CF7D6E"/>
    <w:rsid w:val="09CFC91F"/>
    <w:rsid w:val="09D7DB8A"/>
    <w:rsid w:val="0A093ED6"/>
    <w:rsid w:val="0A0E4958"/>
    <w:rsid w:val="0A42F0E4"/>
    <w:rsid w:val="0A579568"/>
    <w:rsid w:val="0A5CA5CC"/>
    <w:rsid w:val="0A619205"/>
    <w:rsid w:val="0A70848A"/>
    <w:rsid w:val="0A8186A0"/>
    <w:rsid w:val="0AAC9D9E"/>
    <w:rsid w:val="0AB53F8D"/>
    <w:rsid w:val="0ABB0CA3"/>
    <w:rsid w:val="0AD590C6"/>
    <w:rsid w:val="0AF10C22"/>
    <w:rsid w:val="0AFC6A65"/>
    <w:rsid w:val="0B09B757"/>
    <w:rsid w:val="0B26A6A5"/>
    <w:rsid w:val="0B413465"/>
    <w:rsid w:val="0B684D20"/>
    <w:rsid w:val="0B719E07"/>
    <w:rsid w:val="0B8818AE"/>
    <w:rsid w:val="0B8D8F76"/>
    <w:rsid w:val="0BA50104"/>
    <w:rsid w:val="0BC8FA13"/>
    <w:rsid w:val="0BCCC82E"/>
    <w:rsid w:val="0BD6F5A8"/>
    <w:rsid w:val="0BD782A0"/>
    <w:rsid w:val="0BE50ADE"/>
    <w:rsid w:val="0BE92F1C"/>
    <w:rsid w:val="0BF8D71E"/>
    <w:rsid w:val="0BFCAD83"/>
    <w:rsid w:val="0C017215"/>
    <w:rsid w:val="0C2D275F"/>
    <w:rsid w:val="0C2E4ED1"/>
    <w:rsid w:val="0C2E94B6"/>
    <w:rsid w:val="0C3070A8"/>
    <w:rsid w:val="0C3F42E3"/>
    <w:rsid w:val="0C70118D"/>
    <w:rsid w:val="0C701CD4"/>
    <w:rsid w:val="0C78F4B2"/>
    <w:rsid w:val="0C800244"/>
    <w:rsid w:val="0C87EED4"/>
    <w:rsid w:val="0CA30588"/>
    <w:rsid w:val="0CB4DB6A"/>
    <w:rsid w:val="0CB5FFE1"/>
    <w:rsid w:val="0CCF52AF"/>
    <w:rsid w:val="0CD50693"/>
    <w:rsid w:val="0CDADCB2"/>
    <w:rsid w:val="0CE91E08"/>
    <w:rsid w:val="0D0C0B9B"/>
    <w:rsid w:val="0D0D3E6C"/>
    <w:rsid w:val="0D1641CC"/>
    <w:rsid w:val="0D23C94C"/>
    <w:rsid w:val="0D2C5638"/>
    <w:rsid w:val="0D371AC5"/>
    <w:rsid w:val="0D44692A"/>
    <w:rsid w:val="0D5AFB54"/>
    <w:rsid w:val="0D6233DC"/>
    <w:rsid w:val="0D6F7540"/>
    <w:rsid w:val="0D89EAE9"/>
    <w:rsid w:val="0D8C8F59"/>
    <w:rsid w:val="0D99E91B"/>
    <w:rsid w:val="0D9CF420"/>
    <w:rsid w:val="0DF40A7E"/>
    <w:rsid w:val="0DF5D8EF"/>
    <w:rsid w:val="0DF91F98"/>
    <w:rsid w:val="0DFD71FD"/>
    <w:rsid w:val="0E117C3A"/>
    <w:rsid w:val="0E1CFC31"/>
    <w:rsid w:val="0E20155C"/>
    <w:rsid w:val="0E2128FC"/>
    <w:rsid w:val="0E347756"/>
    <w:rsid w:val="0E46FFB4"/>
    <w:rsid w:val="0E4E667C"/>
    <w:rsid w:val="0E4F2A62"/>
    <w:rsid w:val="0E509EC8"/>
    <w:rsid w:val="0E78BFD2"/>
    <w:rsid w:val="0E83C6CC"/>
    <w:rsid w:val="0E88DCBE"/>
    <w:rsid w:val="0E8B78CC"/>
    <w:rsid w:val="0E945537"/>
    <w:rsid w:val="0E9CE4AA"/>
    <w:rsid w:val="0EA17FB0"/>
    <w:rsid w:val="0EB050DB"/>
    <w:rsid w:val="0EBF26B7"/>
    <w:rsid w:val="0EC9789A"/>
    <w:rsid w:val="0ED321FE"/>
    <w:rsid w:val="0EDA4114"/>
    <w:rsid w:val="0EDC4992"/>
    <w:rsid w:val="0EDD0DA1"/>
    <w:rsid w:val="0EF22114"/>
    <w:rsid w:val="0EFC4FF1"/>
    <w:rsid w:val="0F29E970"/>
    <w:rsid w:val="0F4D601C"/>
    <w:rsid w:val="0F545B50"/>
    <w:rsid w:val="0F6AF3F3"/>
    <w:rsid w:val="0F6EEF48"/>
    <w:rsid w:val="0F794942"/>
    <w:rsid w:val="0FF7432C"/>
    <w:rsid w:val="10034FDE"/>
    <w:rsid w:val="101E3A6F"/>
    <w:rsid w:val="10275FC6"/>
    <w:rsid w:val="10574445"/>
    <w:rsid w:val="105E6978"/>
    <w:rsid w:val="1062E2ED"/>
    <w:rsid w:val="10954BA8"/>
    <w:rsid w:val="10990D5D"/>
    <w:rsid w:val="10CB51FE"/>
    <w:rsid w:val="10CF7519"/>
    <w:rsid w:val="10D033F8"/>
    <w:rsid w:val="10D1C12C"/>
    <w:rsid w:val="10E410FD"/>
    <w:rsid w:val="10ED6D53"/>
    <w:rsid w:val="1117204C"/>
    <w:rsid w:val="11315056"/>
    <w:rsid w:val="113D2327"/>
    <w:rsid w:val="114001B2"/>
    <w:rsid w:val="114D0190"/>
    <w:rsid w:val="11625D1E"/>
    <w:rsid w:val="116F805B"/>
    <w:rsid w:val="118CC8A7"/>
    <w:rsid w:val="11A3A687"/>
    <w:rsid w:val="11A6DB50"/>
    <w:rsid w:val="11D1E7D4"/>
    <w:rsid w:val="11D38CA9"/>
    <w:rsid w:val="11E65C1A"/>
    <w:rsid w:val="11EA8D83"/>
    <w:rsid w:val="11EBFCBB"/>
    <w:rsid w:val="11F8C33F"/>
    <w:rsid w:val="11F9A814"/>
    <w:rsid w:val="12042BF7"/>
    <w:rsid w:val="120CD347"/>
    <w:rsid w:val="12124F8E"/>
    <w:rsid w:val="121C3925"/>
    <w:rsid w:val="122C8255"/>
    <w:rsid w:val="12316E96"/>
    <w:rsid w:val="1247E175"/>
    <w:rsid w:val="125FA26F"/>
    <w:rsid w:val="1291F0C2"/>
    <w:rsid w:val="12935D81"/>
    <w:rsid w:val="129BCC67"/>
    <w:rsid w:val="12A2FEEA"/>
    <w:rsid w:val="12CF6E54"/>
    <w:rsid w:val="12D9CE7A"/>
    <w:rsid w:val="12DF35BD"/>
    <w:rsid w:val="12EEB964"/>
    <w:rsid w:val="12F63CAC"/>
    <w:rsid w:val="1336E031"/>
    <w:rsid w:val="1337D6C2"/>
    <w:rsid w:val="13496E90"/>
    <w:rsid w:val="134C10BE"/>
    <w:rsid w:val="1358250E"/>
    <w:rsid w:val="13594052"/>
    <w:rsid w:val="13A324A2"/>
    <w:rsid w:val="13BFE70B"/>
    <w:rsid w:val="13C837A5"/>
    <w:rsid w:val="13D77EBA"/>
    <w:rsid w:val="13DE068F"/>
    <w:rsid w:val="13DFA324"/>
    <w:rsid w:val="13E38E10"/>
    <w:rsid w:val="13F7B916"/>
    <w:rsid w:val="13FFE430"/>
    <w:rsid w:val="141FF351"/>
    <w:rsid w:val="14213917"/>
    <w:rsid w:val="144602A6"/>
    <w:rsid w:val="145BAF4D"/>
    <w:rsid w:val="1470EF80"/>
    <w:rsid w:val="1474CCBB"/>
    <w:rsid w:val="147803E0"/>
    <w:rsid w:val="14889F29"/>
    <w:rsid w:val="1497D884"/>
    <w:rsid w:val="149BD09A"/>
    <w:rsid w:val="149F19D8"/>
    <w:rsid w:val="14AA6FB2"/>
    <w:rsid w:val="14ACDE66"/>
    <w:rsid w:val="14B347E5"/>
    <w:rsid w:val="14D5C04F"/>
    <w:rsid w:val="14DA174E"/>
    <w:rsid w:val="14E031C6"/>
    <w:rsid w:val="14E07101"/>
    <w:rsid w:val="14ECFE0A"/>
    <w:rsid w:val="14ED1290"/>
    <w:rsid w:val="15098514"/>
    <w:rsid w:val="15257FE7"/>
    <w:rsid w:val="1536CEF0"/>
    <w:rsid w:val="15465738"/>
    <w:rsid w:val="1564AECD"/>
    <w:rsid w:val="1575CD73"/>
    <w:rsid w:val="157FD20B"/>
    <w:rsid w:val="15AA730D"/>
    <w:rsid w:val="15DAF43C"/>
    <w:rsid w:val="15DC00B3"/>
    <w:rsid w:val="15F8B323"/>
    <w:rsid w:val="161E07BA"/>
    <w:rsid w:val="161EB2FD"/>
    <w:rsid w:val="1632E84B"/>
    <w:rsid w:val="16482D0C"/>
    <w:rsid w:val="164C7545"/>
    <w:rsid w:val="165AE230"/>
    <w:rsid w:val="1660B402"/>
    <w:rsid w:val="1667C257"/>
    <w:rsid w:val="16683152"/>
    <w:rsid w:val="166FEE7A"/>
    <w:rsid w:val="166FFCF3"/>
    <w:rsid w:val="167C806A"/>
    <w:rsid w:val="1689DCCA"/>
    <w:rsid w:val="16AB9134"/>
    <w:rsid w:val="16ADFE06"/>
    <w:rsid w:val="16AF25B0"/>
    <w:rsid w:val="16DB9E80"/>
    <w:rsid w:val="16E106BF"/>
    <w:rsid w:val="16EA9ADA"/>
    <w:rsid w:val="16F29505"/>
    <w:rsid w:val="16F71915"/>
    <w:rsid w:val="17045C23"/>
    <w:rsid w:val="17168DD5"/>
    <w:rsid w:val="171D0FE2"/>
    <w:rsid w:val="172FAF8A"/>
    <w:rsid w:val="17463F08"/>
    <w:rsid w:val="176E0343"/>
    <w:rsid w:val="1778AADF"/>
    <w:rsid w:val="17885EFA"/>
    <w:rsid w:val="178C8D93"/>
    <w:rsid w:val="17D59AF9"/>
    <w:rsid w:val="17DC83B9"/>
    <w:rsid w:val="17E31626"/>
    <w:rsid w:val="17F11744"/>
    <w:rsid w:val="18149950"/>
    <w:rsid w:val="181D11A3"/>
    <w:rsid w:val="181E35AE"/>
    <w:rsid w:val="18302065"/>
    <w:rsid w:val="183D4FCC"/>
    <w:rsid w:val="186CC791"/>
    <w:rsid w:val="189B4612"/>
    <w:rsid w:val="189E7868"/>
    <w:rsid w:val="18A3D1BD"/>
    <w:rsid w:val="18ACB31B"/>
    <w:rsid w:val="18AFC4F1"/>
    <w:rsid w:val="18B748E6"/>
    <w:rsid w:val="18BDEF11"/>
    <w:rsid w:val="18D69119"/>
    <w:rsid w:val="18E31676"/>
    <w:rsid w:val="18E94C2A"/>
    <w:rsid w:val="190167F7"/>
    <w:rsid w:val="1906035C"/>
    <w:rsid w:val="190F7F76"/>
    <w:rsid w:val="1932BB07"/>
    <w:rsid w:val="19594582"/>
    <w:rsid w:val="196BB2EB"/>
    <w:rsid w:val="196C21ED"/>
    <w:rsid w:val="199A6872"/>
    <w:rsid w:val="199B8761"/>
    <w:rsid w:val="19B44412"/>
    <w:rsid w:val="19B7D8D3"/>
    <w:rsid w:val="19C72457"/>
    <w:rsid w:val="19D3DBF6"/>
    <w:rsid w:val="19D71B4A"/>
    <w:rsid w:val="19DD6DD6"/>
    <w:rsid w:val="19EF0358"/>
    <w:rsid w:val="1A0452E4"/>
    <w:rsid w:val="1A04E588"/>
    <w:rsid w:val="1A0734A8"/>
    <w:rsid w:val="1A114804"/>
    <w:rsid w:val="1A14CDF1"/>
    <w:rsid w:val="1A14DCA7"/>
    <w:rsid w:val="1A19281C"/>
    <w:rsid w:val="1A2F6190"/>
    <w:rsid w:val="1A60493A"/>
    <w:rsid w:val="1A74E661"/>
    <w:rsid w:val="1A77114C"/>
    <w:rsid w:val="1A7858B1"/>
    <w:rsid w:val="1A78EF25"/>
    <w:rsid w:val="1A7CCBAE"/>
    <w:rsid w:val="1A9E9274"/>
    <w:rsid w:val="1ABBE5F7"/>
    <w:rsid w:val="1AC01113"/>
    <w:rsid w:val="1ACA7DE3"/>
    <w:rsid w:val="1ADD24FF"/>
    <w:rsid w:val="1AE400D9"/>
    <w:rsid w:val="1B051493"/>
    <w:rsid w:val="1B193E54"/>
    <w:rsid w:val="1B256E01"/>
    <w:rsid w:val="1B34630F"/>
    <w:rsid w:val="1B454C0D"/>
    <w:rsid w:val="1B4F113E"/>
    <w:rsid w:val="1B66AF38"/>
    <w:rsid w:val="1B816A98"/>
    <w:rsid w:val="1B96F9B0"/>
    <w:rsid w:val="1BAD5D09"/>
    <w:rsid w:val="1BB45D70"/>
    <w:rsid w:val="1BC12B93"/>
    <w:rsid w:val="1BCB5459"/>
    <w:rsid w:val="1BCCF5EE"/>
    <w:rsid w:val="1BD47D43"/>
    <w:rsid w:val="1BDBF0FA"/>
    <w:rsid w:val="1C0F8D71"/>
    <w:rsid w:val="1C173A34"/>
    <w:rsid w:val="1C2205C2"/>
    <w:rsid w:val="1C3066F1"/>
    <w:rsid w:val="1C33BA6B"/>
    <w:rsid w:val="1C433717"/>
    <w:rsid w:val="1C6497E3"/>
    <w:rsid w:val="1C7389DF"/>
    <w:rsid w:val="1C80DAB6"/>
    <w:rsid w:val="1C909D30"/>
    <w:rsid w:val="1C915FCE"/>
    <w:rsid w:val="1C9E81E5"/>
    <w:rsid w:val="1CA48C5C"/>
    <w:rsid w:val="1CA69592"/>
    <w:rsid w:val="1CD32824"/>
    <w:rsid w:val="1CE24729"/>
    <w:rsid w:val="1CE5F0B4"/>
    <w:rsid w:val="1CEA76F7"/>
    <w:rsid w:val="1CF25D79"/>
    <w:rsid w:val="1D560402"/>
    <w:rsid w:val="1D638940"/>
    <w:rsid w:val="1D745D86"/>
    <w:rsid w:val="1D7BB005"/>
    <w:rsid w:val="1D98D6E4"/>
    <w:rsid w:val="1DA0BEBE"/>
    <w:rsid w:val="1DAA3F45"/>
    <w:rsid w:val="1DAF2F10"/>
    <w:rsid w:val="1DC3A271"/>
    <w:rsid w:val="1DCFFED0"/>
    <w:rsid w:val="1DD5E905"/>
    <w:rsid w:val="1DDDDC26"/>
    <w:rsid w:val="1DDF0044"/>
    <w:rsid w:val="1DEA73F3"/>
    <w:rsid w:val="1E0BE84E"/>
    <w:rsid w:val="1E18D206"/>
    <w:rsid w:val="1E425BDD"/>
    <w:rsid w:val="1E63CD71"/>
    <w:rsid w:val="1E6E586A"/>
    <w:rsid w:val="1E862733"/>
    <w:rsid w:val="1ECC4680"/>
    <w:rsid w:val="1ED99BF8"/>
    <w:rsid w:val="1EDAF49A"/>
    <w:rsid w:val="1EDD231F"/>
    <w:rsid w:val="1EE48264"/>
    <w:rsid w:val="1EE5F6C5"/>
    <w:rsid w:val="1EEB7DB0"/>
    <w:rsid w:val="1EF41DB4"/>
    <w:rsid w:val="1EF770F5"/>
    <w:rsid w:val="1F059AE3"/>
    <w:rsid w:val="1F157DA2"/>
    <w:rsid w:val="1F15C55A"/>
    <w:rsid w:val="1F2037FA"/>
    <w:rsid w:val="1F208B32"/>
    <w:rsid w:val="1F240C23"/>
    <w:rsid w:val="1F24647F"/>
    <w:rsid w:val="1F2B88A0"/>
    <w:rsid w:val="1F32DFB9"/>
    <w:rsid w:val="1F38E532"/>
    <w:rsid w:val="1F397377"/>
    <w:rsid w:val="1F3A9105"/>
    <w:rsid w:val="1F5DEEB5"/>
    <w:rsid w:val="1F64AFFD"/>
    <w:rsid w:val="1F65D98C"/>
    <w:rsid w:val="1F71CFE5"/>
    <w:rsid w:val="1F780928"/>
    <w:rsid w:val="1F909549"/>
    <w:rsid w:val="1F952DA1"/>
    <w:rsid w:val="1F9B68C4"/>
    <w:rsid w:val="1F9EF4A5"/>
    <w:rsid w:val="1FA44779"/>
    <w:rsid w:val="1FC35B64"/>
    <w:rsid w:val="1FCD3F7F"/>
    <w:rsid w:val="1FD85986"/>
    <w:rsid w:val="1FE455C1"/>
    <w:rsid w:val="2008AF80"/>
    <w:rsid w:val="20188CF2"/>
    <w:rsid w:val="203D6484"/>
    <w:rsid w:val="2043F1FF"/>
    <w:rsid w:val="205D4225"/>
    <w:rsid w:val="20645B57"/>
    <w:rsid w:val="20863C94"/>
    <w:rsid w:val="2094C25C"/>
    <w:rsid w:val="20A430D1"/>
    <w:rsid w:val="20B12B88"/>
    <w:rsid w:val="20BBB7AF"/>
    <w:rsid w:val="20BC8E57"/>
    <w:rsid w:val="20C21369"/>
    <w:rsid w:val="20C26F47"/>
    <w:rsid w:val="20E3A8D4"/>
    <w:rsid w:val="20EE8F79"/>
    <w:rsid w:val="20FE3008"/>
    <w:rsid w:val="211FEC65"/>
    <w:rsid w:val="2124F960"/>
    <w:rsid w:val="2130078B"/>
    <w:rsid w:val="2135A10E"/>
    <w:rsid w:val="213D7410"/>
    <w:rsid w:val="2141F67E"/>
    <w:rsid w:val="216DF506"/>
    <w:rsid w:val="216FC0D9"/>
    <w:rsid w:val="218B2C7C"/>
    <w:rsid w:val="218D60C0"/>
    <w:rsid w:val="21915773"/>
    <w:rsid w:val="2193C2E4"/>
    <w:rsid w:val="21BFF32C"/>
    <w:rsid w:val="21EE0385"/>
    <w:rsid w:val="21F8493A"/>
    <w:rsid w:val="21F9603C"/>
    <w:rsid w:val="22011562"/>
    <w:rsid w:val="2222BB1F"/>
    <w:rsid w:val="2228E70C"/>
    <w:rsid w:val="22780CE4"/>
    <w:rsid w:val="229EF9B3"/>
    <w:rsid w:val="22ABEC9F"/>
    <w:rsid w:val="22FC7D61"/>
    <w:rsid w:val="230DD8EF"/>
    <w:rsid w:val="231056B2"/>
    <w:rsid w:val="2311F66A"/>
    <w:rsid w:val="23173E82"/>
    <w:rsid w:val="231AC2D3"/>
    <w:rsid w:val="235D699E"/>
    <w:rsid w:val="238F8D75"/>
    <w:rsid w:val="23AB4E1E"/>
    <w:rsid w:val="23BB0484"/>
    <w:rsid w:val="23DB3A99"/>
    <w:rsid w:val="23E5751B"/>
    <w:rsid w:val="23F6EA60"/>
    <w:rsid w:val="24186390"/>
    <w:rsid w:val="24361902"/>
    <w:rsid w:val="2444D04B"/>
    <w:rsid w:val="246F02C3"/>
    <w:rsid w:val="249FCA13"/>
    <w:rsid w:val="24AA52BB"/>
    <w:rsid w:val="24C0E0DD"/>
    <w:rsid w:val="24DA5CF2"/>
    <w:rsid w:val="25028F75"/>
    <w:rsid w:val="250BBBFC"/>
    <w:rsid w:val="2517BC4D"/>
    <w:rsid w:val="253C6537"/>
    <w:rsid w:val="253C7A60"/>
    <w:rsid w:val="25526AF1"/>
    <w:rsid w:val="25572F36"/>
    <w:rsid w:val="255D6C04"/>
    <w:rsid w:val="256361D3"/>
    <w:rsid w:val="25767D18"/>
    <w:rsid w:val="25768CAB"/>
    <w:rsid w:val="25807FAC"/>
    <w:rsid w:val="25927645"/>
    <w:rsid w:val="25981C9F"/>
    <w:rsid w:val="25AD974F"/>
    <w:rsid w:val="25BEC104"/>
    <w:rsid w:val="25BEC7D3"/>
    <w:rsid w:val="25C85EAB"/>
    <w:rsid w:val="25F57375"/>
    <w:rsid w:val="25FEB56B"/>
    <w:rsid w:val="26258A63"/>
    <w:rsid w:val="26351991"/>
    <w:rsid w:val="264B99F2"/>
    <w:rsid w:val="264F4D65"/>
    <w:rsid w:val="2676020A"/>
    <w:rsid w:val="267CF39C"/>
    <w:rsid w:val="26A3B3AB"/>
    <w:rsid w:val="26C27EE7"/>
    <w:rsid w:val="26D23F22"/>
    <w:rsid w:val="26D751E3"/>
    <w:rsid w:val="26D9934F"/>
    <w:rsid w:val="26DCC21E"/>
    <w:rsid w:val="26E593D3"/>
    <w:rsid w:val="26F52A25"/>
    <w:rsid w:val="26FF820D"/>
    <w:rsid w:val="27013B10"/>
    <w:rsid w:val="271E8768"/>
    <w:rsid w:val="2725C467"/>
    <w:rsid w:val="2737BBFB"/>
    <w:rsid w:val="273919C0"/>
    <w:rsid w:val="2745903F"/>
    <w:rsid w:val="2772E318"/>
    <w:rsid w:val="2774B3B5"/>
    <w:rsid w:val="278E3724"/>
    <w:rsid w:val="278FB4F8"/>
    <w:rsid w:val="27A66334"/>
    <w:rsid w:val="27C6798D"/>
    <w:rsid w:val="27D34A99"/>
    <w:rsid w:val="27EB8C8C"/>
    <w:rsid w:val="281FCE71"/>
    <w:rsid w:val="2846309C"/>
    <w:rsid w:val="28542883"/>
    <w:rsid w:val="285E6815"/>
    <w:rsid w:val="286148BD"/>
    <w:rsid w:val="286E7728"/>
    <w:rsid w:val="28DB2DB3"/>
    <w:rsid w:val="28DCD846"/>
    <w:rsid w:val="28E6BB5D"/>
    <w:rsid w:val="28F4B414"/>
    <w:rsid w:val="29041E2A"/>
    <w:rsid w:val="290A720A"/>
    <w:rsid w:val="290BBB8B"/>
    <w:rsid w:val="293C5FD7"/>
    <w:rsid w:val="293DD181"/>
    <w:rsid w:val="2957A627"/>
    <w:rsid w:val="298788F1"/>
    <w:rsid w:val="29B63F1B"/>
    <w:rsid w:val="29BD5380"/>
    <w:rsid w:val="29BFB2DF"/>
    <w:rsid w:val="29C5767C"/>
    <w:rsid w:val="29C92452"/>
    <w:rsid w:val="29C9FCF8"/>
    <w:rsid w:val="29D00037"/>
    <w:rsid w:val="29E3476B"/>
    <w:rsid w:val="29E52491"/>
    <w:rsid w:val="2A1F854C"/>
    <w:rsid w:val="2A248F70"/>
    <w:rsid w:val="2A432AE3"/>
    <w:rsid w:val="2A533055"/>
    <w:rsid w:val="2A896CA7"/>
    <w:rsid w:val="2AA3CA1A"/>
    <w:rsid w:val="2AA99444"/>
    <w:rsid w:val="2AE76089"/>
    <w:rsid w:val="2AEDB085"/>
    <w:rsid w:val="2AFC19B0"/>
    <w:rsid w:val="2B016008"/>
    <w:rsid w:val="2B18A856"/>
    <w:rsid w:val="2B3163DB"/>
    <w:rsid w:val="2B44B816"/>
    <w:rsid w:val="2B4A09C8"/>
    <w:rsid w:val="2B5A8A8A"/>
    <w:rsid w:val="2B6BD8B8"/>
    <w:rsid w:val="2B76CBF9"/>
    <w:rsid w:val="2B83F7E4"/>
    <w:rsid w:val="2B8A6066"/>
    <w:rsid w:val="2B9652D9"/>
    <w:rsid w:val="2BAF6D32"/>
    <w:rsid w:val="2BB8148D"/>
    <w:rsid w:val="2BC3EC0D"/>
    <w:rsid w:val="2BD7BD59"/>
    <w:rsid w:val="2BE1B353"/>
    <w:rsid w:val="2BE8D496"/>
    <w:rsid w:val="2BEB9D1A"/>
    <w:rsid w:val="2BEC22DA"/>
    <w:rsid w:val="2BFA02B7"/>
    <w:rsid w:val="2BFD8E1D"/>
    <w:rsid w:val="2C08DBCB"/>
    <w:rsid w:val="2C39CB69"/>
    <w:rsid w:val="2C58B518"/>
    <w:rsid w:val="2C67688F"/>
    <w:rsid w:val="2C7ED283"/>
    <w:rsid w:val="2C7FE162"/>
    <w:rsid w:val="2C978E38"/>
    <w:rsid w:val="2CA360B7"/>
    <w:rsid w:val="2CC03C3B"/>
    <w:rsid w:val="2CC0B500"/>
    <w:rsid w:val="2CE870A9"/>
    <w:rsid w:val="2D36E8CC"/>
    <w:rsid w:val="2D386C71"/>
    <w:rsid w:val="2D543FCA"/>
    <w:rsid w:val="2D638A19"/>
    <w:rsid w:val="2D651024"/>
    <w:rsid w:val="2D6B5336"/>
    <w:rsid w:val="2D76C6EA"/>
    <w:rsid w:val="2DE2BD60"/>
    <w:rsid w:val="2DE463BD"/>
    <w:rsid w:val="2DF68DC3"/>
    <w:rsid w:val="2DFD80B4"/>
    <w:rsid w:val="2E014984"/>
    <w:rsid w:val="2E01F4C4"/>
    <w:rsid w:val="2E0B87FF"/>
    <w:rsid w:val="2E0DD09D"/>
    <w:rsid w:val="2E108772"/>
    <w:rsid w:val="2E201B3B"/>
    <w:rsid w:val="2E41BC89"/>
    <w:rsid w:val="2E49017F"/>
    <w:rsid w:val="2E4CA890"/>
    <w:rsid w:val="2E839B0A"/>
    <w:rsid w:val="2E852F7A"/>
    <w:rsid w:val="2E9EF325"/>
    <w:rsid w:val="2ECD9D26"/>
    <w:rsid w:val="2ED1FEE1"/>
    <w:rsid w:val="2F094654"/>
    <w:rsid w:val="2F17FE3B"/>
    <w:rsid w:val="2F1BB1CD"/>
    <w:rsid w:val="2F208093"/>
    <w:rsid w:val="2F378A3C"/>
    <w:rsid w:val="2F37A47C"/>
    <w:rsid w:val="2F380B94"/>
    <w:rsid w:val="2F4B2090"/>
    <w:rsid w:val="2F4CB27E"/>
    <w:rsid w:val="2F625511"/>
    <w:rsid w:val="2F9558E7"/>
    <w:rsid w:val="2FAC7490"/>
    <w:rsid w:val="2FC6ED0C"/>
    <w:rsid w:val="2FCCE679"/>
    <w:rsid w:val="2FE12D6A"/>
    <w:rsid w:val="2FE22EDE"/>
    <w:rsid w:val="30133666"/>
    <w:rsid w:val="30160E36"/>
    <w:rsid w:val="3019FC5A"/>
    <w:rsid w:val="301A5327"/>
    <w:rsid w:val="301DA91E"/>
    <w:rsid w:val="304A4854"/>
    <w:rsid w:val="3064CDB4"/>
    <w:rsid w:val="3077D119"/>
    <w:rsid w:val="309A85D6"/>
    <w:rsid w:val="30A0B96B"/>
    <w:rsid w:val="30A5ED64"/>
    <w:rsid w:val="30AAB976"/>
    <w:rsid w:val="30D35EE6"/>
    <w:rsid w:val="30DACAAE"/>
    <w:rsid w:val="30EB4C03"/>
    <w:rsid w:val="30F5A2C0"/>
    <w:rsid w:val="30F8EFF5"/>
    <w:rsid w:val="30FB5A54"/>
    <w:rsid w:val="3102E586"/>
    <w:rsid w:val="311E6DA6"/>
    <w:rsid w:val="312241B2"/>
    <w:rsid w:val="312E815E"/>
    <w:rsid w:val="3146C5F1"/>
    <w:rsid w:val="3152353A"/>
    <w:rsid w:val="31587432"/>
    <w:rsid w:val="3178693B"/>
    <w:rsid w:val="317EFC75"/>
    <w:rsid w:val="3192762E"/>
    <w:rsid w:val="31970266"/>
    <w:rsid w:val="31989EDC"/>
    <w:rsid w:val="31BE400D"/>
    <w:rsid w:val="31D95B3D"/>
    <w:rsid w:val="3205990D"/>
    <w:rsid w:val="320BC8E2"/>
    <w:rsid w:val="32210D13"/>
    <w:rsid w:val="32574B23"/>
    <w:rsid w:val="3274B360"/>
    <w:rsid w:val="328B6668"/>
    <w:rsid w:val="32ADA0F4"/>
    <w:rsid w:val="32C4E1F9"/>
    <w:rsid w:val="32C878D7"/>
    <w:rsid w:val="32D2536C"/>
    <w:rsid w:val="32E44D58"/>
    <w:rsid w:val="32EC9226"/>
    <w:rsid w:val="331463A1"/>
    <w:rsid w:val="331BF6B8"/>
    <w:rsid w:val="33257197"/>
    <w:rsid w:val="332B734F"/>
    <w:rsid w:val="335C6B08"/>
    <w:rsid w:val="3388C867"/>
    <w:rsid w:val="33B06F81"/>
    <w:rsid w:val="33B113E9"/>
    <w:rsid w:val="3419F2BF"/>
    <w:rsid w:val="341A0F38"/>
    <w:rsid w:val="341B5B1E"/>
    <w:rsid w:val="3446EF61"/>
    <w:rsid w:val="345104FF"/>
    <w:rsid w:val="3456193B"/>
    <w:rsid w:val="348C6098"/>
    <w:rsid w:val="348E35D7"/>
    <w:rsid w:val="349BC6E9"/>
    <w:rsid w:val="34A7ED0B"/>
    <w:rsid w:val="34AC4073"/>
    <w:rsid w:val="34AF2AAA"/>
    <w:rsid w:val="34BF651E"/>
    <w:rsid w:val="34C2732C"/>
    <w:rsid w:val="34C453B9"/>
    <w:rsid w:val="34C7D41B"/>
    <w:rsid w:val="34D6828A"/>
    <w:rsid w:val="34E1BCEC"/>
    <w:rsid w:val="34E93778"/>
    <w:rsid w:val="34EA95A7"/>
    <w:rsid w:val="351655D4"/>
    <w:rsid w:val="353E2F3E"/>
    <w:rsid w:val="35450C8B"/>
    <w:rsid w:val="356CA526"/>
    <w:rsid w:val="35755998"/>
    <w:rsid w:val="359C56A0"/>
    <w:rsid w:val="35A7448D"/>
    <w:rsid w:val="35C6EE3F"/>
    <w:rsid w:val="35CCCA48"/>
    <w:rsid w:val="35DCA432"/>
    <w:rsid w:val="35EE9CC8"/>
    <w:rsid w:val="35F02E6E"/>
    <w:rsid w:val="360954A2"/>
    <w:rsid w:val="360CC854"/>
    <w:rsid w:val="361636FD"/>
    <w:rsid w:val="361A5797"/>
    <w:rsid w:val="362B8A0A"/>
    <w:rsid w:val="362E8406"/>
    <w:rsid w:val="36529A88"/>
    <w:rsid w:val="365D0E84"/>
    <w:rsid w:val="36624AC4"/>
    <w:rsid w:val="3663ECD0"/>
    <w:rsid w:val="366A4A7D"/>
    <w:rsid w:val="36784456"/>
    <w:rsid w:val="367B8A75"/>
    <w:rsid w:val="367F4C13"/>
    <w:rsid w:val="369DCE7B"/>
    <w:rsid w:val="36B3C766"/>
    <w:rsid w:val="36CA6533"/>
    <w:rsid w:val="36CE8145"/>
    <w:rsid w:val="36E938D3"/>
    <w:rsid w:val="36FC8CA1"/>
    <w:rsid w:val="370C824C"/>
    <w:rsid w:val="3717C6B1"/>
    <w:rsid w:val="3736F08E"/>
    <w:rsid w:val="3745A37E"/>
    <w:rsid w:val="37486B8C"/>
    <w:rsid w:val="374A68DA"/>
    <w:rsid w:val="375A4728"/>
    <w:rsid w:val="375A4F58"/>
    <w:rsid w:val="377C8871"/>
    <w:rsid w:val="37B115FC"/>
    <w:rsid w:val="37BDA39D"/>
    <w:rsid w:val="37DF5E5B"/>
    <w:rsid w:val="37E13124"/>
    <w:rsid w:val="38247A45"/>
    <w:rsid w:val="382A41C3"/>
    <w:rsid w:val="3858BB6C"/>
    <w:rsid w:val="385D1E80"/>
    <w:rsid w:val="38748560"/>
    <w:rsid w:val="387B75F8"/>
    <w:rsid w:val="388FD15E"/>
    <w:rsid w:val="38979ACA"/>
    <w:rsid w:val="38A2E0AF"/>
    <w:rsid w:val="38B886B2"/>
    <w:rsid w:val="38CB1B7E"/>
    <w:rsid w:val="38D7E1A6"/>
    <w:rsid w:val="38E809F3"/>
    <w:rsid w:val="39086005"/>
    <w:rsid w:val="39164C94"/>
    <w:rsid w:val="39247C0D"/>
    <w:rsid w:val="3938B9D1"/>
    <w:rsid w:val="3938FE05"/>
    <w:rsid w:val="39459721"/>
    <w:rsid w:val="3945F0D9"/>
    <w:rsid w:val="3958025F"/>
    <w:rsid w:val="396028E2"/>
    <w:rsid w:val="397219E6"/>
    <w:rsid w:val="3993C713"/>
    <w:rsid w:val="39AD5EF2"/>
    <w:rsid w:val="39BDD661"/>
    <w:rsid w:val="39C0C800"/>
    <w:rsid w:val="39EB3BCD"/>
    <w:rsid w:val="39F96E9F"/>
    <w:rsid w:val="3A056B28"/>
    <w:rsid w:val="3A24B0F7"/>
    <w:rsid w:val="3A3E7E3B"/>
    <w:rsid w:val="3A7BAC96"/>
    <w:rsid w:val="3A7F82F0"/>
    <w:rsid w:val="3A8D5720"/>
    <w:rsid w:val="3A90F2A5"/>
    <w:rsid w:val="3A96EDE4"/>
    <w:rsid w:val="3AA725E5"/>
    <w:rsid w:val="3AA96C1F"/>
    <w:rsid w:val="3AB61CB3"/>
    <w:rsid w:val="3AC062B2"/>
    <w:rsid w:val="3AE0BC93"/>
    <w:rsid w:val="3AEA1FA3"/>
    <w:rsid w:val="3AEF3AFD"/>
    <w:rsid w:val="3AF21776"/>
    <w:rsid w:val="3AF92EAB"/>
    <w:rsid w:val="3B0A408E"/>
    <w:rsid w:val="3B0E7F91"/>
    <w:rsid w:val="3B24126E"/>
    <w:rsid w:val="3B26B388"/>
    <w:rsid w:val="3B2A7B39"/>
    <w:rsid w:val="3B7FA5A9"/>
    <w:rsid w:val="3B879A80"/>
    <w:rsid w:val="3BB80C51"/>
    <w:rsid w:val="3BD3AA48"/>
    <w:rsid w:val="3BDA7F5E"/>
    <w:rsid w:val="3BDDED6C"/>
    <w:rsid w:val="3BE777E2"/>
    <w:rsid w:val="3BE850D9"/>
    <w:rsid w:val="3BF90753"/>
    <w:rsid w:val="3C00DF96"/>
    <w:rsid w:val="3C0F79D0"/>
    <w:rsid w:val="3C4F7712"/>
    <w:rsid w:val="3C4F8872"/>
    <w:rsid w:val="3C7296E0"/>
    <w:rsid w:val="3C84F115"/>
    <w:rsid w:val="3C974228"/>
    <w:rsid w:val="3C99C70A"/>
    <w:rsid w:val="3CB836ED"/>
    <w:rsid w:val="3CBDC256"/>
    <w:rsid w:val="3CBE4D6A"/>
    <w:rsid w:val="3CC2FFF2"/>
    <w:rsid w:val="3CD62726"/>
    <w:rsid w:val="3CD7003E"/>
    <w:rsid w:val="3D28E42B"/>
    <w:rsid w:val="3D359DDB"/>
    <w:rsid w:val="3D3B2148"/>
    <w:rsid w:val="3D3DA493"/>
    <w:rsid w:val="3D6402DA"/>
    <w:rsid w:val="3D6F318C"/>
    <w:rsid w:val="3D98E043"/>
    <w:rsid w:val="3D9E4D20"/>
    <w:rsid w:val="3D9EB332"/>
    <w:rsid w:val="3DAFE8C6"/>
    <w:rsid w:val="3DC51964"/>
    <w:rsid w:val="3DE62076"/>
    <w:rsid w:val="3E3EA274"/>
    <w:rsid w:val="3E478240"/>
    <w:rsid w:val="3E657295"/>
    <w:rsid w:val="3E68C117"/>
    <w:rsid w:val="3E95AA7E"/>
    <w:rsid w:val="3E9608B5"/>
    <w:rsid w:val="3EB40502"/>
    <w:rsid w:val="3EBA8F59"/>
    <w:rsid w:val="3EBDF801"/>
    <w:rsid w:val="3EC1B4D6"/>
    <w:rsid w:val="3EC670EF"/>
    <w:rsid w:val="3EC82B53"/>
    <w:rsid w:val="3EC9140C"/>
    <w:rsid w:val="3F06CEFD"/>
    <w:rsid w:val="3F122723"/>
    <w:rsid w:val="3F31D433"/>
    <w:rsid w:val="3F331200"/>
    <w:rsid w:val="3F38EE8F"/>
    <w:rsid w:val="3F3F116B"/>
    <w:rsid w:val="3F4D598B"/>
    <w:rsid w:val="3F6C3A8E"/>
    <w:rsid w:val="3F7C15FB"/>
    <w:rsid w:val="3F8324DF"/>
    <w:rsid w:val="3F95D9CC"/>
    <w:rsid w:val="3F9908CD"/>
    <w:rsid w:val="3FB7F59A"/>
    <w:rsid w:val="3FCEFD52"/>
    <w:rsid w:val="3FD93375"/>
    <w:rsid w:val="3FEC2116"/>
    <w:rsid w:val="3FF2767D"/>
    <w:rsid w:val="400166C3"/>
    <w:rsid w:val="40026FF8"/>
    <w:rsid w:val="4007A4BB"/>
    <w:rsid w:val="403C29E3"/>
    <w:rsid w:val="40497F94"/>
    <w:rsid w:val="404CC3EF"/>
    <w:rsid w:val="40937312"/>
    <w:rsid w:val="40A4A3B8"/>
    <w:rsid w:val="40AC3647"/>
    <w:rsid w:val="40B63243"/>
    <w:rsid w:val="40BB519F"/>
    <w:rsid w:val="411994A0"/>
    <w:rsid w:val="414974E0"/>
    <w:rsid w:val="41507263"/>
    <w:rsid w:val="4156C9F8"/>
    <w:rsid w:val="4169A2B1"/>
    <w:rsid w:val="417AAF91"/>
    <w:rsid w:val="41984942"/>
    <w:rsid w:val="41D82C9B"/>
    <w:rsid w:val="41E04397"/>
    <w:rsid w:val="41E2C473"/>
    <w:rsid w:val="4225E685"/>
    <w:rsid w:val="423679EC"/>
    <w:rsid w:val="42376B7C"/>
    <w:rsid w:val="424D8BA9"/>
    <w:rsid w:val="42795F72"/>
    <w:rsid w:val="42804601"/>
    <w:rsid w:val="42812559"/>
    <w:rsid w:val="42A9625C"/>
    <w:rsid w:val="42AE58C3"/>
    <w:rsid w:val="42B94919"/>
    <w:rsid w:val="42DB622D"/>
    <w:rsid w:val="42DBF098"/>
    <w:rsid w:val="42F5EC61"/>
    <w:rsid w:val="4330A8CF"/>
    <w:rsid w:val="4362AFDA"/>
    <w:rsid w:val="4368DFFE"/>
    <w:rsid w:val="436A7EED"/>
    <w:rsid w:val="4380401C"/>
    <w:rsid w:val="4381B343"/>
    <w:rsid w:val="4399AEA7"/>
    <w:rsid w:val="43B5FA80"/>
    <w:rsid w:val="43EF4FA6"/>
    <w:rsid w:val="43F3CFBF"/>
    <w:rsid w:val="43FA0E29"/>
    <w:rsid w:val="440D60BA"/>
    <w:rsid w:val="4426D427"/>
    <w:rsid w:val="4428FE5E"/>
    <w:rsid w:val="442FAEDB"/>
    <w:rsid w:val="4433C95E"/>
    <w:rsid w:val="4454D86E"/>
    <w:rsid w:val="445CA5DA"/>
    <w:rsid w:val="448CE4F7"/>
    <w:rsid w:val="44AF1D65"/>
    <w:rsid w:val="44C5CB51"/>
    <w:rsid w:val="44D2354C"/>
    <w:rsid w:val="44EDCB1D"/>
    <w:rsid w:val="4504E926"/>
    <w:rsid w:val="45108F72"/>
    <w:rsid w:val="4515107E"/>
    <w:rsid w:val="45582E71"/>
    <w:rsid w:val="455970AC"/>
    <w:rsid w:val="4583D5A7"/>
    <w:rsid w:val="458B4B6A"/>
    <w:rsid w:val="45A10F72"/>
    <w:rsid w:val="45B2D37C"/>
    <w:rsid w:val="45C6644A"/>
    <w:rsid w:val="45E74F83"/>
    <w:rsid w:val="45F3F035"/>
    <w:rsid w:val="45FFC4A2"/>
    <w:rsid w:val="4617C89E"/>
    <w:rsid w:val="462EBA85"/>
    <w:rsid w:val="463640D0"/>
    <w:rsid w:val="4640BDB2"/>
    <w:rsid w:val="4645B0AB"/>
    <w:rsid w:val="4650FF9A"/>
    <w:rsid w:val="468119DD"/>
    <w:rsid w:val="4695E999"/>
    <w:rsid w:val="46ABA1BA"/>
    <w:rsid w:val="46ABFC6C"/>
    <w:rsid w:val="46AC1F0D"/>
    <w:rsid w:val="46B6E13C"/>
    <w:rsid w:val="46BC7E79"/>
    <w:rsid w:val="46BF7CE9"/>
    <w:rsid w:val="46C7B76E"/>
    <w:rsid w:val="46C9DF8D"/>
    <w:rsid w:val="46CC681C"/>
    <w:rsid w:val="46E2D8A8"/>
    <w:rsid w:val="46F046E8"/>
    <w:rsid w:val="46FBE997"/>
    <w:rsid w:val="47193497"/>
    <w:rsid w:val="4720B3DF"/>
    <w:rsid w:val="4723BDE9"/>
    <w:rsid w:val="47335B03"/>
    <w:rsid w:val="4738BA28"/>
    <w:rsid w:val="475DAC81"/>
    <w:rsid w:val="4762867F"/>
    <w:rsid w:val="4763181A"/>
    <w:rsid w:val="4770AA5F"/>
    <w:rsid w:val="47823FBD"/>
    <w:rsid w:val="47A89D6D"/>
    <w:rsid w:val="47BC12B3"/>
    <w:rsid w:val="47BD759B"/>
    <w:rsid w:val="47D88BD6"/>
    <w:rsid w:val="48097686"/>
    <w:rsid w:val="48126886"/>
    <w:rsid w:val="481BF4F4"/>
    <w:rsid w:val="482BB76B"/>
    <w:rsid w:val="48310C97"/>
    <w:rsid w:val="484351B6"/>
    <w:rsid w:val="484412BD"/>
    <w:rsid w:val="484E2B63"/>
    <w:rsid w:val="48559748"/>
    <w:rsid w:val="48771A08"/>
    <w:rsid w:val="48812F3A"/>
    <w:rsid w:val="4884AEE8"/>
    <w:rsid w:val="4888E200"/>
    <w:rsid w:val="48893C4D"/>
    <w:rsid w:val="489BD948"/>
    <w:rsid w:val="48AA8009"/>
    <w:rsid w:val="48AFE2BF"/>
    <w:rsid w:val="48B9AFDB"/>
    <w:rsid w:val="48C7D1C9"/>
    <w:rsid w:val="48CFA5C6"/>
    <w:rsid w:val="48D04C28"/>
    <w:rsid w:val="48F86B15"/>
    <w:rsid w:val="48FCEC25"/>
    <w:rsid w:val="493EC531"/>
    <w:rsid w:val="4943203C"/>
    <w:rsid w:val="494D90C4"/>
    <w:rsid w:val="495303EE"/>
    <w:rsid w:val="495B0D0A"/>
    <w:rsid w:val="495E5F55"/>
    <w:rsid w:val="495E7CB7"/>
    <w:rsid w:val="496CC342"/>
    <w:rsid w:val="496DAD63"/>
    <w:rsid w:val="499B028C"/>
    <w:rsid w:val="49AAE6ED"/>
    <w:rsid w:val="49AE4BAD"/>
    <w:rsid w:val="49C73E6F"/>
    <w:rsid w:val="49C89B84"/>
    <w:rsid w:val="49DAA285"/>
    <w:rsid w:val="49F16E27"/>
    <w:rsid w:val="4A027156"/>
    <w:rsid w:val="4A0DD96B"/>
    <w:rsid w:val="4A23B73B"/>
    <w:rsid w:val="4A34FED2"/>
    <w:rsid w:val="4A3CF24A"/>
    <w:rsid w:val="4A5EA613"/>
    <w:rsid w:val="4A635D26"/>
    <w:rsid w:val="4A7BC182"/>
    <w:rsid w:val="4A7DD4E5"/>
    <w:rsid w:val="4A8C054F"/>
    <w:rsid w:val="4A9A4A66"/>
    <w:rsid w:val="4A9AFAAB"/>
    <w:rsid w:val="4A9D3575"/>
    <w:rsid w:val="4AACCBB9"/>
    <w:rsid w:val="4AB88F92"/>
    <w:rsid w:val="4ACE5C60"/>
    <w:rsid w:val="4AD41728"/>
    <w:rsid w:val="4AEDACC2"/>
    <w:rsid w:val="4AEDD28A"/>
    <w:rsid w:val="4B0A4DF4"/>
    <w:rsid w:val="4B1DFE6E"/>
    <w:rsid w:val="4B38E6BB"/>
    <w:rsid w:val="4B4490B2"/>
    <w:rsid w:val="4B627451"/>
    <w:rsid w:val="4B6A1629"/>
    <w:rsid w:val="4B6CF7F5"/>
    <w:rsid w:val="4B7E5258"/>
    <w:rsid w:val="4B7FC464"/>
    <w:rsid w:val="4B8F74D4"/>
    <w:rsid w:val="4B979159"/>
    <w:rsid w:val="4BAB87CC"/>
    <w:rsid w:val="4BB12EE0"/>
    <w:rsid w:val="4BCB8E8C"/>
    <w:rsid w:val="4BCE76DD"/>
    <w:rsid w:val="4C2B5F6C"/>
    <w:rsid w:val="4C2F7653"/>
    <w:rsid w:val="4C574632"/>
    <w:rsid w:val="4C5FBF7A"/>
    <w:rsid w:val="4C67A05B"/>
    <w:rsid w:val="4CA1A85F"/>
    <w:rsid w:val="4CB1832D"/>
    <w:rsid w:val="4CB38293"/>
    <w:rsid w:val="4CB3DBA3"/>
    <w:rsid w:val="4CBCF77B"/>
    <w:rsid w:val="4CD44DAC"/>
    <w:rsid w:val="4CEF810D"/>
    <w:rsid w:val="4D0B49D0"/>
    <w:rsid w:val="4D10DEA4"/>
    <w:rsid w:val="4D18201B"/>
    <w:rsid w:val="4D25B381"/>
    <w:rsid w:val="4D306EE8"/>
    <w:rsid w:val="4D38885E"/>
    <w:rsid w:val="4D39FAE7"/>
    <w:rsid w:val="4D5FC501"/>
    <w:rsid w:val="4D69FE75"/>
    <w:rsid w:val="4D7773C2"/>
    <w:rsid w:val="4D7B2E4E"/>
    <w:rsid w:val="4D8C8A7A"/>
    <w:rsid w:val="4DD25DB3"/>
    <w:rsid w:val="4DE22B4D"/>
    <w:rsid w:val="4DEEAABC"/>
    <w:rsid w:val="4E1B6702"/>
    <w:rsid w:val="4E2D9FD2"/>
    <w:rsid w:val="4E49A1AA"/>
    <w:rsid w:val="4E4E825C"/>
    <w:rsid w:val="4E53C17C"/>
    <w:rsid w:val="4E7ED096"/>
    <w:rsid w:val="4E8AE1D4"/>
    <w:rsid w:val="4E8FD057"/>
    <w:rsid w:val="4EAE2165"/>
    <w:rsid w:val="4EC4C713"/>
    <w:rsid w:val="4EDEBC42"/>
    <w:rsid w:val="4EE3741A"/>
    <w:rsid w:val="4EE8D788"/>
    <w:rsid w:val="4F120E1D"/>
    <w:rsid w:val="4F1561BA"/>
    <w:rsid w:val="4F37BCAA"/>
    <w:rsid w:val="4F44890B"/>
    <w:rsid w:val="4F48C256"/>
    <w:rsid w:val="4F67212C"/>
    <w:rsid w:val="4F680C53"/>
    <w:rsid w:val="4F6A6B16"/>
    <w:rsid w:val="4F6C5857"/>
    <w:rsid w:val="4F98FF13"/>
    <w:rsid w:val="4FA12F86"/>
    <w:rsid w:val="4FC0D10A"/>
    <w:rsid w:val="4FC6DE41"/>
    <w:rsid w:val="4FD6948E"/>
    <w:rsid w:val="4FEC1003"/>
    <w:rsid w:val="4FFBE049"/>
    <w:rsid w:val="501B0DD1"/>
    <w:rsid w:val="50478BEE"/>
    <w:rsid w:val="50800CBA"/>
    <w:rsid w:val="5098453F"/>
    <w:rsid w:val="50C27A85"/>
    <w:rsid w:val="50E05D6B"/>
    <w:rsid w:val="50E6D8F2"/>
    <w:rsid w:val="50FB7ABA"/>
    <w:rsid w:val="50FCF864"/>
    <w:rsid w:val="510F77EE"/>
    <w:rsid w:val="511E1343"/>
    <w:rsid w:val="513E846D"/>
    <w:rsid w:val="51457E53"/>
    <w:rsid w:val="5161BD62"/>
    <w:rsid w:val="51B38498"/>
    <w:rsid w:val="51C06BDF"/>
    <w:rsid w:val="51C0F74C"/>
    <w:rsid w:val="51C3D858"/>
    <w:rsid w:val="51E54BB2"/>
    <w:rsid w:val="51EB4665"/>
    <w:rsid w:val="51EBA386"/>
    <w:rsid w:val="51F82CB8"/>
    <w:rsid w:val="5216ABB7"/>
    <w:rsid w:val="521C5666"/>
    <w:rsid w:val="52323E1F"/>
    <w:rsid w:val="52385D27"/>
    <w:rsid w:val="523A9457"/>
    <w:rsid w:val="526311DB"/>
    <w:rsid w:val="52877F40"/>
    <w:rsid w:val="5288220E"/>
    <w:rsid w:val="528CF21E"/>
    <w:rsid w:val="529FE229"/>
    <w:rsid w:val="52B3EFD9"/>
    <w:rsid w:val="52BA2BCF"/>
    <w:rsid w:val="52C889B6"/>
    <w:rsid w:val="52CE63DC"/>
    <w:rsid w:val="52FC6A06"/>
    <w:rsid w:val="530F9441"/>
    <w:rsid w:val="5311F847"/>
    <w:rsid w:val="5315089E"/>
    <w:rsid w:val="531E6D1D"/>
    <w:rsid w:val="53262AB6"/>
    <w:rsid w:val="53355C42"/>
    <w:rsid w:val="53479AE9"/>
    <w:rsid w:val="5363EE4E"/>
    <w:rsid w:val="538463A3"/>
    <w:rsid w:val="53965884"/>
    <w:rsid w:val="53B04FC3"/>
    <w:rsid w:val="53DE00A3"/>
    <w:rsid w:val="53F00233"/>
    <w:rsid w:val="53FDA39E"/>
    <w:rsid w:val="53FEA5CA"/>
    <w:rsid w:val="542ABAB7"/>
    <w:rsid w:val="5433FCF5"/>
    <w:rsid w:val="54444186"/>
    <w:rsid w:val="54589E60"/>
    <w:rsid w:val="54655BBF"/>
    <w:rsid w:val="546C42B5"/>
    <w:rsid w:val="547D5DBD"/>
    <w:rsid w:val="548C9D59"/>
    <w:rsid w:val="54943978"/>
    <w:rsid w:val="549A5871"/>
    <w:rsid w:val="549E8B69"/>
    <w:rsid w:val="54A97C60"/>
    <w:rsid w:val="54CCC794"/>
    <w:rsid w:val="54CD9AC9"/>
    <w:rsid w:val="54CFAC04"/>
    <w:rsid w:val="54DD5C80"/>
    <w:rsid w:val="54EEFF7C"/>
    <w:rsid w:val="54F9196E"/>
    <w:rsid w:val="55081EA6"/>
    <w:rsid w:val="5509146F"/>
    <w:rsid w:val="550C6ADD"/>
    <w:rsid w:val="551EF3A0"/>
    <w:rsid w:val="55263F9E"/>
    <w:rsid w:val="55333DA4"/>
    <w:rsid w:val="5533CAB4"/>
    <w:rsid w:val="554CFB15"/>
    <w:rsid w:val="5556A171"/>
    <w:rsid w:val="55652461"/>
    <w:rsid w:val="55826CB4"/>
    <w:rsid w:val="5589457D"/>
    <w:rsid w:val="558A0AB2"/>
    <w:rsid w:val="55A3E0D2"/>
    <w:rsid w:val="55BB168A"/>
    <w:rsid w:val="55CC39F1"/>
    <w:rsid w:val="55FCDEB4"/>
    <w:rsid w:val="56032B97"/>
    <w:rsid w:val="561EDFCE"/>
    <w:rsid w:val="56328CBC"/>
    <w:rsid w:val="56360424"/>
    <w:rsid w:val="56537FAC"/>
    <w:rsid w:val="5665423D"/>
    <w:rsid w:val="5671484E"/>
    <w:rsid w:val="569A3F52"/>
    <w:rsid w:val="56C63D43"/>
    <w:rsid w:val="56C87E01"/>
    <w:rsid w:val="56CC9783"/>
    <w:rsid w:val="56D21F03"/>
    <w:rsid w:val="56F73B03"/>
    <w:rsid w:val="56F831DE"/>
    <w:rsid w:val="5709B121"/>
    <w:rsid w:val="5724828C"/>
    <w:rsid w:val="57249BB2"/>
    <w:rsid w:val="573943BE"/>
    <w:rsid w:val="5760B16F"/>
    <w:rsid w:val="576132E6"/>
    <w:rsid w:val="576B4B42"/>
    <w:rsid w:val="576FCD35"/>
    <w:rsid w:val="57786429"/>
    <w:rsid w:val="577932BC"/>
    <w:rsid w:val="5780CD49"/>
    <w:rsid w:val="57AB9D32"/>
    <w:rsid w:val="57B3DA89"/>
    <w:rsid w:val="57B7B850"/>
    <w:rsid w:val="57C8B08D"/>
    <w:rsid w:val="57F5CCDC"/>
    <w:rsid w:val="57FCC06E"/>
    <w:rsid w:val="58031CCA"/>
    <w:rsid w:val="58123343"/>
    <w:rsid w:val="581AD744"/>
    <w:rsid w:val="583E2E43"/>
    <w:rsid w:val="58403B5B"/>
    <w:rsid w:val="584DAF8C"/>
    <w:rsid w:val="5851C8E5"/>
    <w:rsid w:val="58589080"/>
    <w:rsid w:val="5863E211"/>
    <w:rsid w:val="58718CE8"/>
    <w:rsid w:val="5876B6FA"/>
    <w:rsid w:val="588144F9"/>
    <w:rsid w:val="588A298B"/>
    <w:rsid w:val="588A85BF"/>
    <w:rsid w:val="588E6B69"/>
    <w:rsid w:val="58BC5B5F"/>
    <w:rsid w:val="58C05D8A"/>
    <w:rsid w:val="58C42DD5"/>
    <w:rsid w:val="58F6272A"/>
    <w:rsid w:val="590554EF"/>
    <w:rsid w:val="5905F94F"/>
    <w:rsid w:val="593BC7A3"/>
    <w:rsid w:val="594D01DB"/>
    <w:rsid w:val="5965F0B8"/>
    <w:rsid w:val="596BFBA0"/>
    <w:rsid w:val="5996A8A9"/>
    <w:rsid w:val="59A0F1FC"/>
    <w:rsid w:val="59AD4408"/>
    <w:rsid w:val="59BB98FA"/>
    <w:rsid w:val="59BECC91"/>
    <w:rsid w:val="59C61C4B"/>
    <w:rsid w:val="59C64138"/>
    <w:rsid w:val="59D1543D"/>
    <w:rsid w:val="59D253CA"/>
    <w:rsid w:val="59D30BDC"/>
    <w:rsid w:val="59D6BF6F"/>
    <w:rsid w:val="59E45E92"/>
    <w:rsid w:val="5A0ED473"/>
    <w:rsid w:val="5A1323B1"/>
    <w:rsid w:val="5A2F25C2"/>
    <w:rsid w:val="5A3153C0"/>
    <w:rsid w:val="5A394D7E"/>
    <w:rsid w:val="5A3C12AF"/>
    <w:rsid w:val="5A485A22"/>
    <w:rsid w:val="5A5458C1"/>
    <w:rsid w:val="5A551DE7"/>
    <w:rsid w:val="5A5CC163"/>
    <w:rsid w:val="5A5E4E0A"/>
    <w:rsid w:val="5A7C2ADA"/>
    <w:rsid w:val="5A8EE2E6"/>
    <w:rsid w:val="5A99A5E7"/>
    <w:rsid w:val="5AA008B5"/>
    <w:rsid w:val="5AABF925"/>
    <w:rsid w:val="5B0925AF"/>
    <w:rsid w:val="5B1D1F77"/>
    <w:rsid w:val="5B291932"/>
    <w:rsid w:val="5B36408F"/>
    <w:rsid w:val="5B53FF91"/>
    <w:rsid w:val="5B6F0C09"/>
    <w:rsid w:val="5B9ECC19"/>
    <w:rsid w:val="5BA5D35B"/>
    <w:rsid w:val="5BB7CCE9"/>
    <w:rsid w:val="5BCC88CB"/>
    <w:rsid w:val="5BE686DB"/>
    <w:rsid w:val="5BF3C092"/>
    <w:rsid w:val="5C0220E5"/>
    <w:rsid w:val="5C1E04DC"/>
    <w:rsid w:val="5C415E34"/>
    <w:rsid w:val="5C4575A4"/>
    <w:rsid w:val="5C4EBA73"/>
    <w:rsid w:val="5C523B6A"/>
    <w:rsid w:val="5C57F08D"/>
    <w:rsid w:val="5C639D23"/>
    <w:rsid w:val="5C7129A0"/>
    <w:rsid w:val="5C77233D"/>
    <w:rsid w:val="5C823E68"/>
    <w:rsid w:val="5C9B7B3E"/>
    <w:rsid w:val="5C9FC3BE"/>
    <w:rsid w:val="5CB3871C"/>
    <w:rsid w:val="5CB61177"/>
    <w:rsid w:val="5CC9DD26"/>
    <w:rsid w:val="5CCF8D76"/>
    <w:rsid w:val="5CE363CD"/>
    <w:rsid w:val="5CFAA4A8"/>
    <w:rsid w:val="5D1E6CAF"/>
    <w:rsid w:val="5D237028"/>
    <w:rsid w:val="5D24484C"/>
    <w:rsid w:val="5D2D89DA"/>
    <w:rsid w:val="5D4D615B"/>
    <w:rsid w:val="5D514B64"/>
    <w:rsid w:val="5D69F0EB"/>
    <w:rsid w:val="5D77092C"/>
    <w:rsid w:val="5D79E8D1"/>
    <w:rsid w:val="5D8D57F2"/>
    <w:rsid w:val="5E439D2D"/>
    <w:rsid w:val="5E62102B"/>
    <w:rsid w:val="5E6384F9"/>
    <w:rsid w:val="5E84E693"/>
    <w:rsid w:val="5E863244"/>
    <w:rsid w:val="5E8D6253"/>
    <w:rsid w:val="5E96696F"/>
    <w:rsid w:val="5EA363E7"/>
    <w:rsid w:val="5EBBB523"/>
    <w:rsid w:val="5EE6361E"/>
    <w:rsid w:val="5EF042F5"/>
    <w:rsid w:val="5F0D965B"/>
    <w:rsid w:val="5F546A33"/>
    <w:rsid w:val="5F9FD601"/>
    <w:rsid w:val="5FAD1AC6"/>
    <w:rsid w:val="5FD26EAA"/>
    <w:rsid w:val="5FE90F3C"/>
    <w:rsid w:val="5FEAF4FE"/>
    <w:rsid w:val="60146DEB"/>
    <w:rsid w:val="602CE5E0"/>
    <w:rsid w:val="605E4DA4"/>
    <w:rsid w:val="606231D1"/>
    <w:rsid w:val="60942C80"/>
    <w:rsid w:val="60B2D09D"/>
    <w:rsid w:val="60BCE279"/>
    <w:rsid w:val="60C1F191"/>
    <w:rsid w:val="60CD6061"/>
    <w:rsid w:val="60E232B2"/>
    <w:rsid w:val="60EE8B12"/>
    <w:rsid w:val="60F957DE"/>
    <w:rsid w:val="60FFE330"/>
    <w:rsid w:val="6124EB75"/>
    <w:rsid w:val="614436EA"/>
    <w:rsid w:val="6161CAC0"/>
    <w:rsid w:val="6169FCD5"/>
    <w:rsid w:val="617BE0D3"/>
    <w:rsid w:val="6185EFC3"/>
    <w:rsid w:val="619B9EA0"/>
    <w:rsid w:val="61C92E6C"/>
    <w:rsid w:val="61F7DAD0"/>
    <w:rsid w:val="62342746"/>
    <w:rsid w:val="626829C7"/>
    <w:rsid w:val="6286CB3E"/>
    <w:rsid w:val="628EF8D5"/>
    <w:rsid w:val="62A4ED62"/>
    <w:rsid w:val="62B1DF5C"/>
    <w:rsid w:val="62B225E3"/>
    <w:rsid w:val="62C779B4"/>
    <w:rsid w:val="62CB3027"/>
    <w:rsid w:val="62CD70A3"/>
    <w:rsid w:val="62E650FB"/>
    <w:rsid w:val="62FECF76"/>
    <w:rsid w:val="630846CE"/>
    <w:rsid w:val="630EFF98"/>
    <w:rsid w:val="630F7A11"/>
    <w:rsid w:val="631324C1"/>
    <w:rsid w:val="631AAD06"/>
    <w:rsid w:val="63479120"/>
    <w:rsid w:val="635881D0"/>
    <w:rsid w:val="638FA691"/>
    <w:rsid w:val="639437A3"/>
    <w:rsid w:val="63A7C9DC"/>
    <w:rsid w:val="63AF63AD"/>
    <w:rsid w:val="63BF5CAE"/>
    <w:rsid w:val="63CA90B5"/>
    <w:rsid w:val="63D392FC"/>
    <w:rsid w:val="63E86265"/>
    <w:rsid w:val="63FC2555"/>
    <w:rsid w:val="64055655"/>
    <w:rsid w:val="640FF3A8"/>
    <w:rsid w:val="6412239D"/>
    <w:rsid w:val="64273C54"/>
    <w:rsid w:val="645105CB"/>
    <w:rsid w:val="646643C1"/>
    <w:rsid w:val="64946E2B"/>
    <w:rsid w:val="64BF25F4"/>
    <w:rsid w:val="64C7D3A0"/>
    <w:rsid w:val="64CED487"/>
    <w:rsid w:val="64E0DE61"/>
    <w:rsid w:val="64E8B732"/>
    <w:rsid w:val="65116876"/>
    <w:rsid w:val="651974AF"/>
    <w:rsid w:val="6524FE82"/>
    <w:rsid w:val="652B20F0"/>
    <w:rsid w:val="656043CA"/>
    <w:rsid w:val="656DC3F4"/>
    <w:rsid w:val="6586320F"/>
    <w:rsid w:val="658D5EBC"/>
    <w:rsid w:val="659636B9"/>
    <w:rsid w:val="6598EE2D"/>
    <w:rsid w:val="659E08EB"/>
    <w:rsid w:val="65AAE21E"/>
    <w:rsid w:val="65B99792"/>
    <w:rsid w:val="65BA397C"/>
    <w:rsid w:val="65BA7259"/>
    <w:rsid w:val="65C23DC4"/>
    <w:rsid w:val="65C84643"/>
    <w:rsid w:val="65E2E6F7"/>
    <w:rsid w:val="65F14A89"/>
    <w:rsid w:val="65F37CC0"/>
    <w:rsid w:val="65FE9D38"/>
    <w:rsid w:val="65FEBC3F"/>
    <w:rsid w:val="6602C5F7"/>
    <w:rsid w:val="6605ECBE"/>
    <w:rsid w:val="66222D19"/>
    <w:rsid w:val="6625DC06"/>
    <w:rsid w:val="6631CDA5"/>
    <w:rsid w:val="66423B04"/>
    <w:rsid w:val="667B141D"/>
    <w:rsid w:val="66A6DDA6"/>
    <w:rsid w:val="66B5D95C"/>
    <w:rsid w:val="66BAB544"/>
    <w:rsid w:val="66BD34A0"/>
    <w:rsid w:val="66C260D3"/>
    <w:rsid w:val="66E5DDCC"/>
    <w:rsid w:val="67028382"/>
    <w:rsid w:val="6728D4F9"/>
    <w:rsid w:val="6733C712"/>
    <w:rsid w:val="674F5884"/>
    <w:rsid w:val="67732F52"/>
    <w:rsid w:val="6791F758"/>
    <w:rsid w:val="67A81253"/>
    <w:rsid w:val="67BF7746"/>
    <w:rsid w:val="67DD57F0"/>
    <w:rsid w:val="67E8EE0F"/>
    <w:rsid w:val="67FDBFDF"/>
    <w:rsid w:val="6826AD14"/>
    <w:rsid w:val="6828E7EE"/>
    <w:rsid w:val="682F5E82"/>
    <w:rsid w:val="683DAB0E"/>
    <w:rsid w:val="685F109C"/>
    <w:rsid w:val="686A8A18"/>
    <w:rsid w:val="6876CE2D"/>
    <w:rsid w:val="687AB67D"/>
    <w:rsid w:val="68841D03"/>
    <w:rsid w:val="688C9AB9"/>
    <w:rsid w:val="68938B9E"/>
    <w:rsid w:val="689B1D36"/>
    <w:rsid w:val="689EF6C7"/>
    <w:rsid w:val="68A29A8D"/>
    <w:rsid w:val="68B0FE43"/>
    <w:rsid w:val="68CC0435"/>
    <w:rsid w:val="68DBCFF9"/>
    <w:rsid w:val="68E3AAAD"/>
    <w:rsid w:val="68F573C4"/>
    <w:rsid w:val="690AD9D2"/>
    <w:rsid w:val="691BBAA0"/>
    <w:rsid w:val="69261CAB"/>
    <w:rsid w:val="69297E19"/>
    <w:rsid w:val="692AF24D"/>
    <w:rsid w:val="693930D5"/>
    <w:rsid w:val="697030D7"/>
    <w:rsid w:val="699441A5"/>
    <w:rsid w:val="69BC08B5"/>
    <w:rsid w:val="69C16565"/>
    <w:rsid w:val="69C4D4AB"/>
    <w:rsid w:val="69C84AEE"/>
    <w:rsid w:val="69E1F194"/>
    <w:rsid w:val="69F2F828"/>
    <w:rsid w:val="6A017987"/>
    <w:rsid w:val="6A027961"/>
    <w:rsid w:val="6A16FCDA"/>
    <w:rsid w:val="6A1C4298"/>
    <w:rsid w:val="6A334AA1"/>
    <w:rsid w:val="6A3E02AC"/>
    <w:rsid w:val="6A542D8B"/>
    <w:rsid w:val="6A580BF1"/>
    <w:rsid w:val="6A62C923"/>
    <w:rsid w:val="6A641F4A"/>
    <w:rsid w:val="6A6E6299"/>
    <w:rsid w:val="6A74F546"/>
    <w:rsid w:val="6A75DDF2"/>
    <w:rsid w:val="6A947F05"/>
    <w:rsid w:val="6AA3328D"/>
    <w:rsid w:val="6AB0702A"/>
    <w:rsid w:val="6AB854A4"/>
    <w:rsid w:val="6AE02D54"/>
    <w:rsid w:val="6B05DF2B"/>
    <w:rsid w:val="6B09A6C0"/>
    <w:rsid w:val="6B0DB729"/>
    <w:rsid w:val="6B1EC9AF"/>
    <w:rsid w:val="6B2B3F4F"/>
    <w:rsid w:val="6B3921F5"/>
    <w:rsid w:val="6B53D220"/>
    <w:rsid w:val="6B789650"/>
    <w:rsid w:val="6B86A5B8"/>
    <w:rsid w:val="6B9C02D3"/>
    <w:rsid w:val="6B9E321C"/>
    <w:rsid w:val="6B9FE7BB"/>
    <w:rsid w:val="6BA844CF"/>
    <w:rsid w:val="6BDF2806"/>
    <w:rsid w:val="6BF48887"/>
    <w:rsid w:val="6BFFA1ED"/>
    <w:rsid w:val="6C0C641B"/>
    <w:rsid w:val="6C194317"/>
    <w:rsid w:val="6C2D3E22"/>
    <w:rsid w:val="6C3BA5C0"/>
    <w:rsid w:val="6C40D2C0"/>
    <w:rsid w:val="6C72F43A"/>
    <w:rsid w:val="6C974552"/>
    <w:rsid w:val="6C99C410"/>
    <w:rsid w:val="6CAE6A69"/>
    <w:rsid w:val="6CB53B16"/>
    <w:rsid w:val="6CB79490"/>
    <w:rsid w:val="6CD8002D"/>
    <w:rsid w:val="6CDDA0C6"/>
    <w:rsid w:val="6CF46889"/>
    <w:rsid w:val="6CF9B42D"/>
    <w:rsid w:val="6D028D13"/>
    <w:rsid w:val="6D107E6E"/>
    <w:rsid w:val="6D529050"/>
    <w:rsid w:val="6D701AC6"/>
    <w:rsid w:val="6D83F0AA"/>
    <w:rsid w:val="6D94B580"/>
    <w:rsid w:val="6DCA4A05"/>
    <w:rsid w:val="6DD5FEDB"/>
    <w:rsid w:val="6DF509C4"/>
    <w:rsid w:val="6DF62CC1"/>
    <w:rsid w:val="6DFD4E59"/>
    <w:rsid w:val="6E00ACED"/>
    <w:rsid w:val="6E353C01"/>
    <w:rsid w:val="6E4E55E1"/>
    <w:rsid w:val="6E595715"/>
    <w:rsid w:val="6E6DCF67"/>
    <w:rsid w:val="6E79DD3C"/>
    <w:rsid w:val="6E8519D0"/>
    <w:rsid w:val="6E872A57"/>
    <w:rsid w:val="6E94D35D"/>
    <w:rsid w:val="6EA5341F"/>
    <w:rsid w:val="6EB1EB84"/>
    <w:rsid w:val="6ECFE97C"/>
    <w:rsid w:val="6ED5C5D3"/>
    <w:rsid w:val="6EDB848D"/>
    <w:rsid w:val="6EEEB275"/>
    <w:rsid w:val="6EF101C3"/>
    <w:rsid w:val="6F123882"/>
    <w:rsid w:val="6F1D6274"/>
    <w:rsid w:val="6F2CF872"/>
    <w:rsid w:val="6F3D3130"/>
    <w:rsid w:val="6F569D4E"/>
    <w:rsid w:val="6F59EEF9"/>
    <w:rsid w:val="6F7AF823"/>
    <w:rsid w:val="6F7D1EF1"/>
    <w:rsid w:val="6F972192"/>
    <w:rsid w:val="6FB37EEC"/>
    <w:rsid w:val="6FB92604"/>
    <w:rsid w:val="6FC88FBF"/>
    <w:rsid w:val="6FC8C31F"/>
    <w:rsid w:val="6FE7B3BD"/>
    <w:rsid w:val="6FE952D3"/>
    <w:rsid w:val="6FEDC61C"/>
    <w:rsid w:val="6FF34B60"/>
    <w:rsid w:val="70119CC2"/>
    <w:rsid w:val="70189BB2"/>
    <w:rsid w:val="701E6FB4"/>
    <w:rsid w:val="7042D11B"/>
    <w:rsid w:val="70557822"/>
    <w:rsid w:val="705C1B29"/>
    <w:rsid w:val="7061E745"/>
    <w:rsid w:val="706A7567"/>
    <w:rsid w:val="706D08DC"/>
    <w:rsid w:val="70765FE1"/>
    <w:rsid w:val="7098CDEC"/>
    <w:rsid w:val="70B2F3D1"/>
    <w:rsid w:val="70B72C65"/>
    <w:rsid w:val="70E97642"/>
    <w:rsid w:val="70ECAA0F"/>
    <w:rsid w:val="70F618C3"/>
    <w:rsid w:val="70F77DBC"/>
    <w:rsid w:val="70F9CAC9"/>
    <w:rsid w:val="7127B4E5"/>
    <w:rsid w:val="712B2199"/>
    <w:rsid w:val="713A8975"/>
    <w:rsid w:val="71436536"/>
    <w:rsid w:val="714AC8CA"/>
    <w:rsid w:val="71623F90"/>
    <w:rsid w:val="71648EC2"/>
    <w:rsid w:val="717D8FDA"/>
    <w:rsid w:val="719B0D7E"/>
    <w:rsid w:val="71AB99F2"/>
    <w:rsid w:val="71D69502"/>
    <w:rsid w:val="71E9D695"/>
    <w:rsid w:val="71EC2622"/>
    <w:rsid w:val="720156BB"/>
    <w:rsid w:val="720696D2"/>
    <w:rsid w:val="72255DD5"/>
    <w:rsid w:val="72296EE6"/>
    <w:rsid w:val="722AC753"/>
    <w:rsid w:val="7245138B"/>
    <w:rsid w:val="72562440"/>
    <w:rsid w:val="72709034"/>
    <w:rsid w:val="727343B2"/>
    <w:rsid w:val="727DF9CB"/>
    <w:rsid w:val="7295CDE8"/>
    <w:rsid w:val="72B58B04"/>
    <w:rsid w:val="72C33666"/>
    <w:rsid w:val="72C6C09D"/>
    <w:rsid w:val="72C9EA41"/>
    <w:rsid w:val="72E2CAB0"/>
    <w:rsid w:val="72F01BFD"/>
    <w:rsid w:val="72F76E0A"/>
    <w:rsid w:val="72FE64A7"/>
    <w:rsid w:val="730437B8"/>
    <w:rsid w:val="730B4E95"/>
    <w:rsid w:val="730FC9D7"/>
    <w:rsid w:val="7319FFA1"/>
    <w:rsid w:val="731B0D74"/>
    <w:rsid w:val="731D33EB"/>
    <w:rsid w:val="7333CFED"/>
    <w:rsid w:val="7348F6DC"/>
    <w:rsid w:val="734DE725"/>
    <w:rsid w:val="735BDF98"/>
    <w:rsid w:val="7360345E"/>
    <w:rsid w:val="736F5178"/>
    <w:rsid w:val="73880A23"/>
    <w:rsid w:val="7390E4CD"/>
    <w:rsid w:val="7398CDB5"/>
    <w:rsid w:val="73B5A641"/>
    <w:rsid w:val="73B75993"/>
    <w:rsid w:val="73B77A83"/>
    <w:rsid w:val="73B8231D"/>
    <w:rsid w:val="73D1ACC3"/>
    <w:rsid w:val="73D9E90D"/>
    <w:rsid w:val="740B08A9"/>
    <w:rsid w:val="7416AEF5"/>
    <w:rsid w:val="742825CF"/>
    <w:rsid w:val="74486B82"/>
    <w:rsid w:val="74515494"/>
    <w:rsid w:val="74553195"/>
    <w:rsid w:val="745B1C79"/>
    <w:rsid w:val="745B8A0A"/>
    <w:rsid w:val="746A2032"/>
    <w:rsid w:val="746A4CF4"/>
    <w:rsid w:val="7470374B"/>
    <w:rsid w:val="7481E81E"/>
    <w:rsid w:val="74936D83"/>
    <w:rsid w:val="74AFB268"/>
    <w:rsid w:val="74B36B04"/>
    <w:rsid w:val="74B38DEF"/>
    <w:rsid w:val="74C74FE0"/>
    <w:rsid w:val="75097BAD"/>
    <w:rsid w:val="75124624"/>
    <w:rsid w:val="751FCBC3"/>
    <w:rsid w:val="752FEE0B"/>
    <w:rsid w:val="753ACF5F"/>
    <w:rsid w:val="753D9B5A"/>
    <w:rsid w:val="754934E6"/>
    <w:rsid w:val="7570A080"/>
    <w:rsid w:val="7572B207"/>
    <w:rsid w:val="759C9575"/>
    <w:rsid w:val="75A5BAA6"/>
    <w:rsid w:val="75A66057"/>
    <w:rsid w:val="75B6CE79"/>
    <w:rsid w:val="75CFEBAC"/>
    <w:rsid w:val="75D5DC7C"/>
    <w:rsid w:val="75ED166C"/>
    <w:rsid w:val="75FDCE0E"/>
    <w:rsid w:val="76014349"/>
    <w:rsid w:val="76022E3C"/>
    <w:rsid w:val="760422D2"/>
    <w:rsid w:val="76067F27"/>
    <w:rsid w:val="760AB658"/>
    <w:rsid w:val="761498C4"/>
    <w:rsid w:val="761A1153"/>
    <w:rsid w:val="762C4D0D"/>
    <w:rsid w:val="762E0EA1"/>
    <w:rsid w:val="762FAFE8"/>
    <w:rsid w:val="76460399"/>
    <w:rsid w:val="765EB055"/>
    <w:rsid w:val="767CBFE2"/>
    <w:rsid w:val="769AFF85"/>
    <w:rsid w:val="76B3FBF4"/>
    <w:rsid w:val="76BBAA01"/>
    <w:rsid w:val="76D28205"/>
    <w:rsid w:val="7715A178"/>
    <w:rsid w:val="77184F12"/>
    <w:rsid w:val="77206D34"/>
    <w:rsid w:val="773F9003"/>
    <w:rsid w:val="7741FD52"/>
    <w:rsid w:val="7742C930"/>
    <w:rsid w:val="7752A2AC"/>
    <w:rsid w:val="775817E2"/>
    <w:rsid w:val="776DFFB7"/>
    <w:rsid w:val="77804109"/>
    <w:rsid w:val="778D6561"/>
    <w:rsid w:val="77AD8DEC"/>
    <w:rsid w:val="77C6594C"/>
    <w:rsid w:val="77C8C7A1"/>
    <w:rsid w:val="77D52F84"/>
    <w:rsid w:val="77E56AD9"/>
    <w:rsid w:val="77EB5EB4"/>
    <w:rsid w:val="77F72EEC"/>
    <w:rsid w:val="77F93C69"/>
    <w:rsid w:val="77F95ACE"/>
    <w:rsid w:val="77FAB702"/>
    <w:rsid w:val="77FE4ED4"/>
    <w:rsid w:val="780F1135"/>
    <w:rsid w:val="780F5A2B"/>
    <w:rsid w:val="782950C8"/>
    <w:rsid w:val="78444863"/>
    <w:rsid w:val="7847A2C1"/>
    <w:rsid w:val="78493CF9"/>
    <w:rsid w:val="785F3607"/>
    <w:rsid w:val="787B2EDC"/>
    <w:rsid w:val="78D4028D"/>
    <w:rsid w:val="78D8007D"/>
    <w:rsid w:val="78E1E5EE"/>
    <w:rsid w:val="78F161BD"/>
    <w:rsid w:val="78F72C76"/>
    <w:rsid w:val="78FA5BC7"/>
    <w:rsid w:val="78FC2295"/>
    <w:rsid w:val="791D9CFE"/>
    <w:rsid w:val="79208BAC"/>
    <w:rsid w:val="7922AF39"/>
    <w:rsid w:val="79275C47"/>
    <w:rsid w:val="7929B8E6"/>
    <w:rsid w:val="7933FB4C"/>
    <w:rsid w:val="793D6B27"/>
    <w:rsid w:val="794297CE"/>
    <w:rsid w:val="7942A16B"/>
    <w:rsid w:val="79551FE8"/>
    <w:rsid w:val="795555AC"/>
    <w:rsid w:val="7974BC5E"/>
    <w:rsid w:val="79756CC4"/>
    <w:rsid w:val="799454A7"/>
    <w:rsid w:val="79B2A17D"/>
    <w:rsid w:val="79B6E357"/>
    <w:rsid w:val="79CB62D8"/>
    <w:rsid w:val="79DB67A2"/>
    <w:rsid w:val="79DD40A7"/>
    <w:rsid w:val="79E0989B"/>
    <w:rsid w:val="79F8DA45"/>
    <w:rsid w:val="7A1358A6"/>
    <w:rsid w:val="7A148EC1"/>
    <w:rsid w:val="7A29C7C6"/>
    <w:rsid w:val="7A4A52F5"/>
    <w:rsid w:val="7A5244E4"/>
    <w:rsid w:val="7A62E7FC"/>
    <w:rsid w:val="7A757B01"/>
    <w:rsid w:val="7A867FBC"/>
    <w:rsid w:val="7A9CC589"/>
    <w:rsid w:val="7A9E2511"/>
    <w:rsid w:val="7AB2AA93"/>
    <w:rsid w:val="7ABBFC79"/>
    <w:rsid w:val="7ABC1BE0"/>
    <w:rsid w:val="7ABD203D"/>
    <w:rsid w:val="7ACF4A6E"/>
    <w:rsid w:val="7ACFF1E8"/>
    <w:rsid w:val="7AF855D2"/>
    <w:rsid w:val="7B0B161D"/>
    <w:rsid w:val="7B362EBC"/>
    <w:rsid w:val="7B476F58"/>
    <w:rsid w:val="7B47D507"/>
    <w:rsid w:val="7B586A84"/>
    <w:rsid w:val="7B6425DE"/>
    <w:rsid w:val="7B8A7EB9"/>
    <w:rsid w:val="7BE4BF2B"/>
    <w:rsid w:val="7BE4D536"/>
    <w:rsid w:val="7C1BFBD0"/>
    <w:rsid w:val="7C20BD06"/>
    <w:rsid w:val="7C333B03"/>
    <w:rsid w:val="7C48AD22"/>
    <w:rsid w:val="7C496651"/>
    <w:rsid w:val="7C53869A"/>
    <w:rsid w:val="7CB53B5B"/>
    <w:rsid w:val="7CBD92D7"/>
    <w:rsid w:val="7CC11334"/>
    <w:rsid w:val="7CD581F8"/>
    <w:rsid w:val="7CD64B72"/>
    <w:rsid w:val="7CE2FCB3"/>
    <w:rsid w:val="7CE4604C"/>
    <w:rsid w:val="7CF40B6F"/>
    <w:rsid w:val="7CF79E1C"/>
    <w:rsid w:val="7D0D8072"/>
    <w:rsid w:val="7D179BE2"/>
    <w:rsid w:val="7D4D4AAF"/>
    <w:rsid w:val="7D60C498"/>
    <w:rsid w:val="7D683822"/>
    <w:rsid w:val="7D8617AA"/>
    <w:rsid w:val="7D8FD24E"/>
    <w:rsid w:val="7DA5DA2F"/>
    <w:rsid w:val="7DB24B57"/>
    <w:rsid w:val="7DC0C285"/>
    <w:rsid w:val="7DD1F2C7"/>
    <w:rsid w:val="7DD2F3F9"/>
    <w:rsid w:val="7DD55CF5"/>
    <w:rsid w:val="7DDAEB88"/>
    <w:rsid w:val="7DDF12CE"/>
    <w:rsid w:val="7DE59753"/>
    <w:rsid w:val="7DFD2E39"/>
    <w:rsid w:val="7E048D10"/>
    <w:rsid w:val="7E538D8D"/>
    <w:rsid w:val="7E633E03"/>
    <w:rsid w:val="7E9D5084"/>
    <w:rsid w:val="7ECBBD8F"/>
    <w:rsid w:val="7EE6657C"/>
    <w:rsid w:val="7EF32AAA"/>
    <w:rsid w:val="7F090D41"/>
    <w:rsid w:val="7F1AD150"/>
    <w:rsid w:val="7F1D6B80"/>
    <w:rsid w:val="7F28E98A"/>
    <w:rsid w:val="7F362699"/>
    <w:rsid w:val="7F4D8E8A"/>
    <w:rsid w:val="7F58B410"/>
    <w:rsid w:val="7F5FC307"/>
    <w:rsid w:val="7F72C586"/>
    <w:rsid w:val="7F74E793"/>
    <w:rsid w:val="7F7D45C3"/>
    <w:rsid w:val="7F8B2916"/>
    <w:rsid w:val="7F8C16E2"/>
    <w:rsid w:val="7F932FAE"/>
    <w:rsid w:val="7F989E4E"/>
    <w:rsid w:val="7F99384E"/>
    <w:rsid w:val="7F9A9FE8"/>
    <w:rsid w:val="7FA3BAF2"/>
    <w:rsid w:val="7FAA70C7"/>
    <w:rsid w:val="7FAD03E3"/>
    <w:rsid w:val="7FDD4698"/>
    <w:rsid w:val="7FF32E0B"/>
    <w:rsid w:val="7FF928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492CA"/>
  <w15:chartTrackingRefBased/>
  <w15:docId w15:val="{32D116AE-CE2A-4886-A98C-07CB2094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CD3"/>
    <w:rPr>
      <w:rFonts w:ascii="Arial" w:eastAsiaTheme="majorEastAsia" w:hAnsi="Arial" w:cs="Arial"/>
      <w:kern w:val="0"/>
      <w:sz w:val="22"/>
      <w:lang w:val="en-GB" w:eastAsia="en-AU"/>
      <w14:ligatures w14:val="none"/>
    </w:rPr>
  </w:style>
  <w:style w:type="paragraph" w:styleId="Heading1">
    <w:name w:val="heading 1"/>
    <w:basedOn w:val="Normal"/>
    <w:next w:val="Normal"/>
    <w:link w:val="Heading1Char"/>
    <w:uiPriority w:val="9"/>
    <w:qFormat/>
    <w:rsid w:val="00005C08"/>
    <w:pPr>
      <w:keepNext/>
      <w:keepLines/>
      <w:spacing w:before="360" w:after="80"/>
      <w:outlineLvl w:val="0"/>
    </w:pPr>
    <w:rPr>
      <w:rFonts w:asciiTheme="majorHAnsi" w:hAnsiTheme="majorHAnsi" w:cstheme="majorBidi"/>
      <w:color w:val="2E74B5" w:themeColor="accent1" w:themeShade="BF"/>
      <w:sz w:val="40"/>
      <w:szCs w:val="40"/>
    </w:rPr>
  </w:style>
  <w:style w:type="paragraph" w:styleId="Heading2">
    <w:name w:val="heading 2"/>
    <w:aliases w:val="Heading 2 - Op2"/>
    <w:basedOn w:val="Normal"/>
    <w:next w:val="Normal"/>
    <w:link w:val="Heading2Char"/>
    <w:uiPriority w:val="9"/>
    <w:unhideWhenUsed/>
    <w:qFormat/>
    <w:rsid w:val="00005C08"/>
    <w:pPr>
      <w:keepNext/>
      <w:keepLines/>
      <w:spacing w:before="160" w:after="80"/>
      <w:outlineLvl w:val="1"/>
    </w:pPr>
    <w:rPr>
      <w:rFonts w:asciiTheme="majorHAnsi"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005C08"/>
    <w:pPr>
      <w:keepNext/>
      <w:keepLines/>
      <w:spacing w:before="160" w:after="80"/>
      <w:outlineLvl w:val="2"/>
    </w:pPr>
    <w:rPr>
      <w:rFonts w:asciiTheme="minorHAnsi" w:hAnsiTheme="min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005C08"/>
    <w:pPr>
      <w:keepNext/>
      <w:keepLines/>
      <w:spacing w:before="80" w:after="40"/>
      <w:outlineLvl w:val="3"/>
    </w:pPr>
    <w:rPr>
      <w:rFonts w:asciiTheme="minorHAnsi" w:hAnsiTheme="minorHAnsi" w:cstheme="majorBidi"/>
      <w:i/>
      <w:iCs/>
      <w:color w:val="2E74B5" w:themeColor="accent1" w:themeShade="BF"/>
    </w:rPr>
  </w:style>
  <w:style w:type="paragraph" w:styleId="Heading5">
    <w:name w:val="heading 5"/>
    <w:basedOn w:val="Normal"/>
    <w:next w:val="Normal"/>
    <w:link w:val="Heading5Char"/>
    <w:uiPriority w:val="9"/>
    <w:unhideWhenUsed/>
    <w:qFormat/>
    <w:rsid w:val="00005C08"/>
    <w:pPr>
      <w:keepNext/>
      <w:keepLines/>
      <w:spacing w:before="80" w:after="40"/>
      <w:outlineLvl w:val="4"/>
    </w:pPr>
    <w:rPr>
      <w:rFonts w:asciiTheme="minorHAnsi" w:hAnsiTheme="minorHAnsi" w:cstheme="majorBidi"/>
      <w:color w:val="2E74B5" w:themeColor="accent1" w:themeShade="BF"/>
    </w:rPr>
  </w:style>
  <w:style w:type="paragraph" w:styleId="Heading6">
    <w:name w:val="heading 6"/>
    <w:basedOn w:val="Normal"/>
    <w:next w:val="Normal"/>
    <w:link w:val="Heading6Char"/>
    <w:uiPriority w:val="9"/>
    <w:unhideWhenUsed/>
    <w:qFormat/>
    <w:rsid w:val="00005C08"/>
    <w:pPr>
      <w:keepNext/>
      <w:keepLines/>
      <w:spacing w:before="40" w:after="0"/>
      <w:outlineLvl w:val="5"/>
    </w:pPr>
    <w:rPr>
      <w:rFonts w:asciiTheme="minorHAnsi"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5C08"/>
    <w:pPr>
      <w:keepNext/>
      <w:keepLines/>
      <w:spacing w:before="40" w:after="0"/>
      <w:outlineLvl w:val="6"/>
    </w:pPr>
    <w:rPr>
      <w:rFonts w:asciiTheme="minorHAnsi"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5C08"/>
    <w:pPr>
      <w:keepNext/>
      <w:keepLines/>
      <w:spacing w:after="0"/>
      <w:outlineLvl w:val="7"/>
    </w:pPr>
    <w:rPr>
      <w:rFonts w:asciiTheme="minorHAnsi"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5C08"/>
    <w:pPr>
      <w:keepNext/>
      <w:keepLines/>
      <w:spacing w:after="0"/>
      <w:outlineLvl w:val="8"/>
    </w:pPr>
    <w:rPr>
      <w:rFonts w:asciiTheme="minorHAnsi"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C08"/>
    <w:rPr>
      <w:rFonts w:asciiTheme="majorHAnsi" w:eastAsiaTheme="majorEastAsia" w:hAnsiTheme="majorHAnsi" w:cstheme="majorBidi"/>
      <w:color w:val="2E74B5" w:themeColor="accent1" w:themeShade="BF"/>
      <w:sz w:val="40"/>
      <w:szCs w:val="40"/>
    </w:rPr>
  </w:style>
  <w:style w:type="character" w:customStyle="1" w:styleId="Heading2Char">
    <w:name w:val="Heading 2 Char"/>
    <w:aliases w:val="Heading 2 - Op2 Char"/>
    <w:basedOn w:val="DefaultParagraphFont"/>
    <w:link w:val="Heading2"/>
    <w:uiPriority w:val="9"/>
    <w:rsid w:val="00005C0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005C08"/>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rsid w:val="00005C08"/>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rsid w:val="00005C08"/>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rsid w:val="00005C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05C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05C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05C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05C08"/>
    <w:pPr>
      <w:spacing w:after="8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005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C08"/>
    <w:pPr>
      <w:numPr>
        <w:ilvl w:val="1"/>
      </w:numPr>
    </w:pPr>
    <w:rPr>
      <w:rFonts w:asciiTheme="minorHAnsi"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C0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05C08"/>
    <w:pPr>
      <w:spacing w:before="160"/>
      <w:jc w:val="center"/>
    </w:pPr>
    <w:rPr>
      <w:i/>
      <w:iCs/>
      <w:color w:val="404040" w:themeColor="text1" w:themeTint="BF"/>
    </w:rPr>
  </w:style>
  <w:style w:type="character" w:customStyle="1" w:styleId="QuoteChar">
    <w:name w:val="Quote Char"/>
    <w:basedOn w:val="DefaultParagraphFont"/>
    <w:link w:val="Quote"/>
    <w:uiPriority w:val="29"/>
    <w:rsid w:val="00005C08"/>
    <w:rPr>
      <w:i/>
      <w:iCs/>
      <w:color w:val="404040" w:themeColor="text1" w:themeTint="BF"/>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005C08"/>
    <w:pPr>
      <w:ind w:left="720"/>
      <w:contextualSpacing/>
    </w:pPr>
  </w:style>
  <w:style w:type="character" w:styleId="IntenseEmphasis">
    <w:name w:val="Intense Emphasis"/>
    <w:basedOn w:val="DefaultParagraphFont"/>
    <w:uiPriority w:val="21"/>
    <w:qFormat/>
    <w:rsid w:val="00005C08"/>
    <w:rPr>
      <w:i/>
      <w:iCs/>
      <w:color w:val="2E74B5" w:themeColor="accent1" w:themeShade="BF"/>
    </w:rPr>
  </w:style>
  <w:style w:type="paragraph" w:styleId="IntenseQuote">
    <w:name w:val="Intense Quote"/>
    <w:basedOn w:val="Normal"/>
    <w:next w:val="Normal"/>
    <w:link w:val="IntenseQuoteChar"/>
    <w:uiPriority w:val="30"/>
    <w:qFormat/>
    <w:rsid w:val="00005C0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05C08"/>
    <w:rPr>
      <w:i/>
      <w:iCs/>
      <w:color w:val="2E74B5" w:themeColor="accent1" w:themeShade="BF"/>
    </w:rPr>
  </w:style>
  <w:style w:type="character" w:styleId="IntenseReference">
    <w:name w:val="Intense Reference"/>
    <w:basedOn w:val="DefaultParagraphFont"/>
    <w:uiPriority w:val="32"/>
    <w:qFormat/>
    <w:rsid w:val="00005C08"/>
    <w:rPr>
      <w:b/>
      <w:bCs/>
      <w:smallCaps/>
      <w:color w:val="2E74B5" w:themeColor="accent1" w:themeShade="BF"/>
      <w:spacing w:val="5"/>
    </w:rPr>
  </w:style>
  <w:style w:type="paragraph" w:customStyle="1" w:styleId="Heading1option2">
    <w:name w:val="Heading 1 option 2"/>
    <w:basedOn w:val="Normal"/>
    <w:autoRedefine/>
    <w:qFormat/>
    <w:rsid w:val="00005C08"/>
    <w:pPr>
      <w:spacing w:after="120" w:line="276" w:lineRule="auto"/>
      <w:outlineLvl w:val="0"/>
    </w:pPr>
    <w:rPr>
      <w:b/>
      <w:bCs/>
      <w:color w:val="1E1444"/>
      <w:sz w:val="44"/>
      <w:szCs w:val="36"/>
      <w:lang w:val="en-US"/>
    </w:rPr>
  </w:style>
  <w:style w:type="paragraph" w:styleId="Header">
    <w:name w:val="header"/>
    <w:aliases w:val="Arial 12 Body Text"/>
    <w:basedOn w:val="Normal"/>
    <w:link w:val="HeaderChar"/>
    <w:uiPriority w:val="1"/>
    <w:unhideWhenUsed/>
    <w:qFormat/>
    <w:rsid w:val="00005C08"/>
    <w:pPr>
      <w:shd w:val="clear" w:color="auto" w:fill="F2F2F2" w:themeFill="background1" w:themeFillShade="F2"/>
    </w:pPr>
    <w:rPr>
      <w:rFonts w:eastAsiaTheme="minorEastAsia"/>
      <w:b/>
      <w:bCs/>
    </w:rPr>
  </w:style>
  <w:style w:type="character" w:customStyle="1" w:styleId="HeaderChar">
    <w:name w:val="Header Char"/>
    <w:aliases w:val="Arial 12 Body Text Char"/>
    <w:basedOn w:val="DefaultParagraphFont"/>
    <w:link w:val="Header"/>
    <w:uiPriority w:val="1"/>
    <w:rsid w:val="00005C08"/>
    <w:rPr>
      <w:rFonts w:ascii="Arial" w:eastAsiaTheme="minorEastAsia" w:hAnsi="Arial" w:cs="Arial"/>
      <w:b/>
      <w:bCs/>
      <w:kern w:val="0"/>
      <w:shd w:val="clear" w:color="auto" w:fill="F2F2F2" w:themeFill="background1" w:themeFillShade="F2"/>
      <w:lang w:val="en-GB" w:eastAsia="en-AU"/>
      <w14:ligatures w14:val="none"/>
    </w:rPr>
  </w:style>
  <w:style w:type="paragraph" w:styleId="Footer">
    <w:name w:val="footer"/>
    <w:basedOn w:val="Normal"/>
    <w:link w:val="FooterChar"/>
    <w:uiPriority w:val="99"/>
    <w:unhideWhenUsed/>
    <w:rsid w:val="00005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C08"/>
    <w:rPr>
      <w:rFonts w:ascii="Arial" w:eastAsiaTheme="majorEastAsia" w:hAnsi="Arial" w:cs="Arial"/>
      <w:kern w:val="0"/>
      <w:lang w:val="en-GB" w:eastAsia="en-AU"/>
      <w14:ligatures w14:val="none"/>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005C08"/>
  </w:style>
  <w:style w:type="character" w:styleId="CommentReference">
    <w:name w:val="annotation reference"/>
    <w:basedOn w:val="DefaultParagraphFont"/>
    <w:uiPriority w:val="99"/>
    <w:unhideWhenUsed/>
    <w:rsid w:val="00005C08"/>
    <w:rPr>
      <w:sz w:val="16"/>
      <w:szCs w:val="16"/>
    </w:rPr>
  </w:style>
  <w:style w:type="paragraph" w:styleId="CommentText">
    <w:name w:val="annotation text"/>
    <w:basedOn w:val="Normal"/>
    <w:link w:val="CommentTextChar"/>
    <w:uiPriority w:val="99"/>
    <w:unhideWhenUsed/>
    <w:rsid w:val="00005C08"/>
    <w:pPr>
      <w:spacing w:line="240" w:lineRule="auto"/>
    </w:pPr>
    <w:rPr>
      <w:sz w:val="20"/>
      <w:szCs w:val="20"/>
    </w:rPr>
  </w:style>
  <w:style w:type="character" w:customStyle="1" w:styleId="CommentTextChar">
    <w:name w:val="Comment Text Char"/>
    <w:basedOn w:val="DefaultParagraphFont"/>
    <w:link w:val="CommentText"/>
    <w:uiPriority w:val="99"/>
    <w:rsid w:val="00005C08"/>
    <w:rPr>
      <w:rFonts w:ascii="Arial" w:eastAsiaTheme="majorEastAsia" w:hAnsi="Arial" w:cs="Arial"/>
      <w:kern w:val="0"/>
      <w:sz w:val="20"/>
      <w:szCs w:val="20"/>
      <w:lang w:val="en-GB" w:eastAsia="en-AU"/>
      <w14:ligatures w14:val="none"/>
    </w:rPr>
  </w:style>
  <w:style w:type="paragraph" w:styleId="CommentSubject">
    <w:name w:val="annotation subject"/>
    <w:basedOn w:val="CommentText"/>
    <w:next w:val="CommentText"/>
    <w:link w:val="CommentSubjectChar"/>
    <w:uiPriority w:val="99"/>
    <w:semiHidden/>
    <w:unhideWhenUsed/>
    <w:rsid w:val="00005C08"/>
    <w:rPr>
      <w:b/>
      <w:bCs/>
    </w:rPr>
  </w:style>
  <w:style w:type="character" w:customStyle="1" w:styleId="CommentSubjectChar">
    <w:name w:val="Comment Subject Char"/>
    <w:basedOn w:val="CommentTextChar"/>
    <w:link w:val="CommentSubject"/>
    <w:uiPriority w:val="99"/>
    <w:semiHidden/>
    <w:rsid w:val="00005C08"/>
    <w:rPr>
      <w:rFonts w:ascii="Arial" w:eastAsiaTheme="majorEastAsia" w:hAnsi="Arial" w:cs="Arial"/>
      <w:b/>
      <w:bCs/>
      <w:kern w:val="0"/>
      <w:sz w:val="20"/>
      <w:szCs w:val="20"/>
      <w:lang w:val="en-GB" w:eastAsia="en-AU"/>
      <w14:ligatures w14:val="none"/>
    </w:rPr>
  </w:style>
  <w:style w:type="numbering" w:customStyle="1" w:styleId="CurrentList18">
    <w:name w:val="Current List18"/>
    <w:uiPriority w:val="99"/>
    <w:rsid w:val="00005C08"/>
    <w:pPr>
      <w:numPr>
        <w:numId w:val="3"/>
      </w:numPr>
    </w:pPr>
  </w:style>
  <w:style w:type="character" w:styleId="Hyperlink">
    <w:name w:val="Hyperlink"/>
    <w:uiPriority w:val="99"/>
    <w:qFormat/>
    <w:rsid w:val="00005C08"/>
    <w:rPr>
      <w:rFonts w:ascii="Arial" w:hAnsi="Arial" w:cs="Arial"/>
      <w:color w:val="2BB1BB"/>
      <w:u w:val="single"/>
    </w:rPr>
  </w:style>
  <w:style w:type="character" w:customStyle="1" w:styleId="eop">
    <w:name w:val="eop"/>
    <w:basedOn w:val="DefaultParagraphFont"/>
    <w:rsid w:val="00005C08"/>
  </w:style>
  <w:style w:type="paragraph" w:styleId="BodyText2">
    <w:name w:val="Body Text 2"/>
    <w:basedOn w:val="Normal"/>
    <w:link w:val="BodyText2Char"/>
    <w:unhideWhenUsed/>
    <w:rsid w:val="00005C08"/>
    <w:pPr>
      <w:spacing w:before="120" w:after="120" w:line="480" w:lineRule="auto"/>
    </w:pPr>
    <w:rPr>
      <w:rFonts w:eastAsia="Times New Roman"/>
      <w:color w:val="000000" w:themeColor="text1"/>
    </w:rPr>
  </w:style>
  <w:style w:type="character" w:customStyle="1" w:styleId="BodyText2Char">
    <w:name w:val="Body Text 2 Char"/>
    <w:basedOn w:val="DefaultParagraphFont"/>
    <w:link w:val="BodyText2"/>
    <w:rsid w:val="00005C08"/>
    <w:rPr>
      <w:rFonts w:ascii="Arial" w:eastAsia="Times New Roman" w:hAnsi="Arial" w:cs="Arial"/>
      <w:color w:val="000000" w:themeColor="text1"/>
      <w:kern w:val="0"/>
      <w:lang w:val="en-GB" w:eastAsia="en-AU"/>
      <w14:ligatures w14:val="none"/>
    </w:rPr>
  </w:style>
  <w:style w:type="character" w:customStyle="1" w:styleId="normaltextrun">
    <w:name w:val="normaltextrun"/>
    <w:basedOn w:val="DefaultParagraphFont"/>
    <w:rsid w:val="00005C08"/>
  </w:style>
  <w:style w:type="character" w:styleId="FollowedHyperlink">
    <w:name w:val="FollowedHyperlink"/>
    <w:basedOn w:val="DefaultParagraphFont"/>
    <w:uiPriority w:val="99"/>
    <w:semiHidden/>
    <w:unhideWhenUsed/>
    <w:rsid w:val="00005C08"/>
    <w:rPr>
      <w:color w:val="954F72" w:themeColor="followedHyperlink"/>
      <w:u w:val="single"/>
    </w:rPr>
  </w:style>
  <w:style w:type="character" w:styleId="UnresolvedMention">
    <w:name w:val="Unresolved Mention"/>
    <w:basedOn w:val="DefaultParagraphFont"/>
    <w:uiPriority w:val="99"/>
    <w:semiHidden/>
    <w:unhideWhenUsed/>
    <w:rsid w:val="00005C08"/>
    <w:rPr>
      <w:color w:val="605E5C"/>
      <w:shd w:val="clear" w:color="auto" w:fill="E1DFDD"/>
    </w:rPr>
  </w:style>
  <w:style w:type="character" w:styleId="Mention">
    <w:name w:val="Mention"/>
    <w:basedOn w:val="DefaultParagraphFont"/>
    <w:uiPriority w:val="99"/>
    <w:unhideWhenUsed/>
    <w:rsid w:val="00005C08"/>
    <w:rPr>
      <w:color w:val="2B579A"/>
      <w:shd w:val="clear" w:color="auto" w:fill="E1DFDD"/>
    </w:rPr>
  </w:style>
  <w:style w:type="paragraph" w:customStyle="1" w:styleId="Boxwithcolouredkeyline">
    <w:name w:val="Box with coloured keyline"/>
    <w:basedOn w:val="Normal"/>
    <w:qFormat/>
    <w:rsid w:val="00005C08"/>
    <w:pPr>
      <w:pBdr>
        <w:top w:val="single" w:sz="4" w:space="8" w:color="434967"/>
        <w:left w:val="single" w:sz="4" w:space="8" w:color="434967"/>
        <w:bottom w:val="single" w:sz="4" w:space="8" w:color="434967"/>
        <w:right w:val="single" w:sz="4" w:space="8" w:color="434967"/>
      </w:pBdr>
      <w:spacing w:after="120" w:line="276" w:lineRule="auto"/>
      <w:ind w:left="198" w:right="198"/>
    </w:pPr>
    <w:rPr>
      <w:rFonts w:eastAsia="Calibri"/>
      <w:szCs w:val="21"/>
    </w:rPr>
  </w:style>
  <w:style w:type="table" w:styleId="TableGrid">
    <w:name w:val="Table Grid"/>
    <w:basedOn w:val="TableNormal"/>
    <w:uiPriority w:val="39"/>
    <w:rsid w:val="00005C08"/>
    <w:pPr>
      <w:spacing w:after="0" w:line="240" w:lineRule="auto"/>
    </w:pPr>
    <w:tblPr/>
  </w:style>
  <w:style w:type="paragraph" w:customStyle="1" w:styleId="Default">
    <w:name w:val="Default"/>
    <w:rsid w:val="00005C08"/>
    <w:pPr>
      <w:autoSpaceDE w:val="0"/>
      <w:autoSpaceDN w:val="0"/>
      <w:adjustRightInd w:val="0"/>
      <w:spacing w:after="0" w:line="240" w:lineRule="auto"/>
    </w:pPr>
    <w:rPr>
      <w:rFonts w:ascii="Calibri" w:hAnsi="Calibri" w:cs="Calibri"/>
      <w:color w:val="000000"/>
      <w:kern w:val="0"/>
    </w:rPr>
  </w:style>
  <w:style w:type="paragraph" w:styleId="TOC1">
    <w:name w:val="toc 1"/>
    <w:basedOn w:val="Normal"/>
    <w:next w:val="Normal"/>
    <w:autoRedefine/>
    <w:uiPriority w:val="39"/>
    <w:unhideWhenUsed/>
    <w:rsid w:val="00005C08"/>
    <w:pPr>
      <w:spacing w:after="100"/>
    </w:pPr>
  </w:style>
  <w:style w:type="paragraph" w:styleId="TOCHeading">
    <w:name w:val="TOC Heading"/>
    <w:basedOn w:val="Heading1"/>
    <w:next w:val="Normal"/>
    <w:uiPriority w:val="39"/>
    <w:unhideWhenUsed/>
    <w:qFormat/>
    <w:rsid w:val="00005C08"/>
    <w:pPr>
      <w:spacing w:before="240" w:after="0"/>
      <w:outlineLvl w:val="9"/>
    </w:pPr>
    <w:rPr>
      <w:sz w:val="32"/>
      <w:szCs w:val="32"/>
      <w:lang w:val="en-US"/>
    </w:rPr>
  </w:style>
  <w:style w:type="paragraph" w:styleId="TOC2">
    <w:name w:val="toc 2"/>
    <w:basedOn w:val="Normal"/>
    <w:next w:val="Normal"/>
    <w:autoRedefine/>
    <w:uiPriority w:val="39"/>
    <w:unhideWhenUsed/>
    <w:rsid w:val="00005C08"/>
    <w:pPr>
      <w:spacing w:after="100"/>
      <w:ind w:left="240"/>
    </w:pPr>
  </w:style>
  <w:style w:type="paragraph" w:styleId="TOC3">
    <w:name w:val="toc 3"/>
    <w:basedOn w:val="Normal"/>
    <w:next w:val="Normal"/>
    <w:autoRedefine/>
    <w:uiPriority w:val="39"/>
    <w:unhideWhenUsed/>
    <w:rsid w:val="00005C08"/>
    <w:pPr>
      <w:spacing w:after="100"/>
      <w:ind w:left="480"/>
    </w:pPr>
  </w:style>
  <w:style w:type="paragraph" w:customStyle="1" w:styleId="Sub-headings">
    <w:name w:val="Sub-headings"/>
    <w:basedOn w:val="Header"/>
    <w:link w:val="Sub-headingsChar"/>
    <w:autoRedefine/>
    <w:uiPriority w:val="1"/>
    <w:qFormat/>
    <w:rsid w:val="00E21CBF"/>
    <w:pPr>
      <w:pBdr>
        <w:top w:val="single" w:sz="4" w:space="1" w:color="auto"/>
        <w:left w:val="single" w:sz="4" w:space="4" w:color="auto"/>
        <w:bottom w:val="single" w:sz="4" w:space="1" w:color="auto"/>
        <w:right w:val="single" w:sz="4" w:space="4" w:color="auto"/>
      </w:pBdr>
      <w:spacing w:before="240" w:after="240" w:line="240" w:lineRule="auto"/>
      <w:ind w:left="709" w:firstLine="11"/>
    </w:pPr>
    <w:rPr>
      <w:rFonts w:eastAsiaTheme="majorEastAsia"/>
      <w:b w:val="0"/>
      <w:lang w:val="en-US" w:eastAsia="ko-KR"/>
    </w:rPr>
  </w:style>
  <w:style w:type="character" w:customStyle="1" w:styleId="Sub-headingsChar">
    <w:name w:val="Sub-headings Char"/>
    <w:basedOn w:val="HeaderChar"/>
    <w:link w:val="Sub-headings"/>
    <w:uiPriority w:val="1"/>
    <w:rsid w:val="00E21CBF"/>
    <w:rPr>
      <w:rFonts w:ascii="Arial" w:eastAsiaTheme="majorEastAsia" w:hAnsi="Arial" w:cs="Arial"/>
      <w:b w:val="0"/>
      <w:bCs/>
      <w:kern w:val="0"/>
      <w:sz w:val="22"/>
      <w:shd w:val="clear" w:color="auto" w:fill="F2F2F2" w:themeFill="background1" w:themeFillShade="F2"/>
      <w:lang w:val="en-US" w:eastAsia="ko-KR"/>
      <w14:ligatures w14:val="none"/>
    </w:rPr>
  </w:style>
  <w:style w:type="paragraph" w:styleId="Revision">
    <w:name w:val="Revision"/>
    <w:hidden/>
    <w:uiPriority w:val="99"/>
    <w:semiHidden/>
    <w:rsid w:val="00005C08"/>
    <w:pPr>
      <w:spacing w:after="0" w:line="240" w:lineRule="auto"/>
    </w:pPr>
  </w:style>
  <w:style w:type="paragraph" w:customStyle="1" w:styleId="notetext">
    <w:name w:val="notetext"/>
    <w:basedOn w:val="Normal"/>
    <w:rsid w:val="00005C08"/>
    <w:pPr>
      <w:spacing w:before="100" w:beforeAutospacing="1" w:after="100" w:afterAutospacing="1" w:line="240" w:lineRule="auto"/>
    </w:pPr>
    <w:rPr>
      <w:rFonts w:eastAsia="Times New Roman"/>
    </w:rPr>
  </w:style>
  <w:style w:type="character" w:styleId="Strong">
    <w:name w:val="Strong"/>
    <w:aliases w:val="Bold"/>
    <w:uiPriority w:val="22"/>
    <w:qFormat/>
    <w:rsid w:val="00005C08"/>
    <w:rPr>
      <w:b/>
      <w:bCs/>
    </w:rPr>
  </w:style>
  <w:style w:type="paragraph" w:styleId="BodyText">
    <w:name w:val="Body Text"/>
    <w:basedOn w:val="Normal"/>
    <w:link w:val="BodyTextChar"/>
    <w:rsid w:val="00005C08"/>
    <w:pPr>
      <w:spacing w:after="120" w:line="276" w:lineRule="auto"/>
    </w:pPr>
    <w:rPr>
      <w:szCs w:val="20"/>
      <w:lang w:val="en-US"/>
    </w:rPr>
  </w:style>
  <w:style w:type="character" w:customStyle="1" w:styleId="BodyTextChar">
    <w:name w:val="Body Text Char"/>
    <w:basedOn w:val="DefaultParagraphFont"/>
    <w:link w:val="BodyText"/>
    <w:rsid w:val="00005C08"/>
    <w:rPr>
      <w:rFonts w:ascii="Arial" w:eastAsiaTheme="majorEastAsia" w:hAnsi="Arial" w:cs="Arial"/>
      <w:kern w:val="0"/>
      <w:szCs w:val="20"/>
      <w:lang w:val="en-US" w:eastAsia="en-AU"/>
      <w14:ligatures w14:val="none"/>
    </w:rPr>
  </w:style>
  <w:style w:type="table" w:styleId="TableGridLight">
    <w:name w:val="Grid Table Light"/>
    <w:basedOn w:val="TableNormal"/>
    <w:uiPriority w:val="40"/>
    <w:rsid w:val="00005C08"/>
    <w:pPr>
      <w:spacing w:after="0" w:line="240" w:lineRule="auto"/>
    </w:pPr>
    <w:tblPr/>
  </w:style>
  <w:style w:type="paragraph" w:customStyle="1" w:styleId="Introduction">
    <w:name w:val="Introduction"/>
    <w:basedOn w:val="Normal"/>
    <w:qFormat/>
    <w:rsid w:val="00005C08"/>
    <w:pPr>
      <w:spacing w:after="120" w:line="276" w:lineRule="auto"/>
    </w:pPr>
    <w:rPr>
      <w:rFonts w:cstheme="minorBidi"/>
      <w:color w:val="000000" w:themeColor="text1"/>
      <w:sz w:val="32"/>
      <w:szCs w:val="32"/>
    </w:rPr>
  </w:style>
  <w:style w:type="table" w:styleId="GridTable5Dark-Accent4">
    <w:name w:val="Grid Table 5 Dark Accent 4"/>
    <w:basedOn w:val="TableNormal"/>
    <w:uiPriority w:val="50"/>
    <w:rsid w:val="00005C08"/>
    <w:pPr>
      <w:spacing w:after="0" w:line="240" w:lineRule="auto"/>
    </w:pPr>
    <w:rPr>
      <w:rFonts w:asciiTheme="minorHAnsi" w:hAnsiTheme="minorHAnsi" w:cstheme="minorBidi"/>
      <w:kern w:val="0"/>
      <w14:ligatures w14:val="none"/>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customStyle="1" w:styleId="paragraph">
    <w:name w:val="paragraph"/>
    <w:basedOn w:val="Normal"/>
    <w:rsid w:val="00005C08"/>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unhideWhenUsed/>
    <w:rsid w:val="00005C08"/>
    <w:pPr>
      <w:spacing w:after="0" w:line="240" w:lineRule="auto"/>
    </w:pPr>
    <w:rPr>
      <w:sz w:val="20"/>
      <w:szCs w:val="20"/>
    </w:rPr>
  </w:style>
  <w:style w:type="character" w:customStyle="1" w:styleId="FootnoteTextChar">
    <w:name w:val="Footnote Text Char"/>
    <w:basedOn w:val="DefaultParagraphFont"/>
    <w:link w:val="FootnoteText"/>
    <w:uiPriority w:val="99"/>
    <w:rsid w:val="00005C08"/>
    <w:rPr>
      <w:rFonts w:ascii="Arial" w:eastAsiaTheme="majorEastAsia" w:hAnsi="Arial" w:cs="Arial"/>
      <w:kern w:val="0"/>
      <w:sz w:val="20"/>
      <w:szCs w:val="20"/>
      <w:lang w:val="en-GB" w:eastAsia="en-AU"/>
      <w14:ligatures w14:val="none"/>
    </w:rPr>
  </w:style>
  <w:style w:type="character" w:styleId="FootnoteReference">
    <w:name w:val="footnote reference"/>
    <w:basedOn w:val="DefaultParagraphFont"/>
    <w:uiPriority w:val="99"/>
    <w:unhideWhenUsed/>
    <w:rsid w:val="00005C08"/>
    <w:rPr>
      <w:vertAlign w:val="superscript"/>
    </w:rPr>
  </w:style>
  <w:style w:type="paragraph" w:customStyle="1" w:styleId="Tablehead">
    <w:name w:val="Table_head"/>
    <w:basedOn w:val="Normal"/>
    <w:uiPriority w:val="99"/>
    <w:locked/>
    <w:rsid w:val="00005C08"/>
    <w:pPr>
      <w:spacing w:before="120" w:after="120" w:line="276" w:lineRule="auto"/>
    </w:pPr>
    <w:rPr>
      <w:rFonts w:eastAsia="Times New Roman"/>
      <w:b/>
      <w:bCs/>
      <w:color w:val="FFFFFF" w:themeColor="background1"/>
      <w:szCs w:val="20"/>
    </w:rPr>
  </w:style>
  <w:style w:type="paragraph" w:styleId="TOC4">
    <w:name w:val="toc 4"/>
    <w:basedOn w:val="Normal"/>
    <w:next w:val="Normal"/>
    <w:autoRedefine/>
    <w:uiPriority w:val="39"/>
    <w:unhideWhenUsed/>
    <w:rsid w:val="00005C08"/>
    <w:pPr>
      <w:spacing w:after="100" w:line="278" w:lineRule="auto"/>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005C08"/>
    <w:pPr>
      <w:spacing w:after="100" w:line="278" w:lineRule="auto"/>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05C08"/>
    <w:pPr>
      <w:spacing w:after="100" w:line="278" w:lineRule="auto"/>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05C08"/>
    <w:pPr>
      <w:spacing w:after="100" w:line="278" w:lineRule="auto"/>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05C08"/>
    <w:pPr>
      <w:spacing w:after="100" w:line="278" w:lineRule="auto"/>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05C08"/>
    <w:pPr>
      <w:spacing w:after="100" w:line="278" w:lineRule="auto"/>
      <w:ind w:left="1920"/>
    </w:pPr>
    <w:rPr>
      <w:rFonts w:asciiTheme="minorHAnsi" w:eastAsiaTheme="minorEastAsia" w:hAnsiTheme="minorHAnsi" w:cstheme="minorBidi"/>
    </w:rPr>
  </w:style>
  <w:style w:type="paragraph" w:customStyle="1" w:styleId="TableBodyText">
    <w:name w:val="Table Body Text"/>
    <w:basedOn w:val="Normal"/>
    <w:qFormat/>
    <w:rsid w:val="00005C08"/>
    <w:pPr>
      <w:spacing w:after="0" w:line="240" w:lineRule="auto"/>
    </w:pPr>
    <w:rPr>
      <w:sz w:val="20"/>
      <w:szCs w:val="20"/>
      <w:lang w:val="en-US"/>
    </w:rPr>
  </w:style>
  <w:style w:type="paragraph" w:customStyle="1" w:styleId="h2">
    <w:name w:val="h2"/>
    <w:basedOn w:val="Heading2"/>
    <w:autoRedefine/>
    <w:qFormat/>
    <w:rsid w:val="00E262C9"/>
    <w:pPr>
      <w:numPr>
        <w:ilvl w:val="1"/>
        <w:numId w:val="587"/>
      </w:numPr>
      <w:spacing w:after="240"/>
    </w:pPr>
    <w:rPr>
      <w:rFonts w:ascii="Arial" w:hAnsi="Arial" w:cs="Arial"/>
      <w:b/>
      <w:bCs/>
      <w:color w:val="358189"/>
      <w:sz w:val="36"/>
      <w:szCs w:val="36"/>
      <w:lang w:val="en-US"/>
    </w:rPr>
  </w:style>
  <w:style w:type="paragraph" w:customStyle="1" w:styleId="H1">
    <w:name w:val="H1"/>
    <w:basedOn w:val="Heading1option2"/>
    <w:autoRedefine/>
    <w:qFormat/>
    <w:rsid w:val="007E6E57"/>
    <w:pPr>
      <w:numPr>
        <w:numId w:val="587"/>
      </w:numPr>
      <w:spacing w:after="245"/>
    </w:pPr>
    <w:rPr>
      <w:bCs w:val="0"/>
      <w:color w:val="002060"/>
    </w:rPr>
  </w:style>
  <w:style w:type="paragraph" w:customStyle="1" w:styleId="H3">
    <w:name w:val="H3"/>
    <w:basedOn w:val="Heading3"/>
    <w:autoRedefine/>
    <w:qFormat/>
    <w:rsid w:val="007C68AA"/>
    <w:pPr>
      <w:numPr>
        <w:ilvl w:val="2"/>
        <w:numId w:val="587"/>
      </w:numPr>
      <w:spacing w:before="240" w:after="240" w:line="240" w:lineRule="auto"/>
    </w:pPr>
    <w:rPr>
      <w:rFonts w:ascii="Arial" w:eastAsia="Yu Gothic Light" w:hAnsi="Arial" w:cs="Arial"/>
      <w:b/>
      <w:bCs/>
      <w:color w:val="358189"/>
      <w:sz w:val="32"/>
      <w:szCs w:val="32"/>
      <w:lang w:val="en-US"/>
    </w:rPr>
  </w:style>
  <w:style w:type="paragraph" w:customStyle="1" w:styleId="H4">
    <w:name w:val="H4"/>
    <w:basedOn w:val="Heading4"/>
    <w:autoRedefine/>
    <w:qFormat/>
    <w:rsid w:val="00BE34BC"/>
    <w:pPr>
      <w:spacing w:before="240" w:after="240" w:line="240" w:lineRule="auto"/>
    </w:pPr>
    <w:rPr>
      <w:rFonts w:ascii="Arial" w:eastAsia="Yu Gothic Light" w:hAnsi="Arial" w:cs="Arial"/>
      <w:b/>
      <w:i w:val="0"/>
      <w:iCs w:val="0"/>
      <w:color w:val="auto"/>
      <w:szCs w:val="22"/>
    </w:rPr>
  </w:style>
  <w:style w:type="paragraph" w:customStyle="1" w:styleId="H5">
    <w:name w:val="H5"/>
    <w:basedOn w:val="Normal"/>
    <w:qFormat/>
    <w:rsid w:val="00005C08"/>
    <w:rPr>
      <w:b/>
      <w:bCs/>
      <w:color w:val="1E1444"/>
    </w:rPr>
  </w:style>
  <w:style w:type="paragraph" w:styleId="NormalWeb">
    <w:name w:val="Normal (Web)"/>
    <w:basedOn w:val="Normal"/>
    <w:uiPriority w:val="99"/>
    <w:unhideWhenUsed/>
    <w:rsid w:val="00005C08"/>
    <w:pPr>
      <w:spacing w:before="100" w:beforeAutospacing="1" w:after="100" w:afterAutospacing="1" w:line="240" w:lineRule="auto"/>
    </w:pPr>
    <w:rPr>
      <w:rFonts w:ascii="Times New Roman" w:eastAsia="Times New Roman" w:hAnsi="Times New Roman" w:cs="Times New Roman"/>
      <w:lang w:val="en-AU"/>
    </w:rPr>
  </w:style>
  <w:style w:type="paragraph" w:customStyle="1" w:styleId="Normal1stParaafterHeading1">
    <w:name w:val="Normal 1st Para after Heading 1"/>
    <w:basedOn w:val="Normal"/>
    <w:next w:val="Normal"/>
    <w:rsid w:val="00005C08"/>
    <w:pPr>
      <w:spacing w:before="480" w:after="200" w:line="300" w:lineRule="auto"/>
    </w:pPr>
    <w:rPr>
      <w:szCs w:val="20"/>
      <w:lang w:val="en-AU"/>
    </w:rPr>
  </w:style>
  <w:style w:type="paragraph" w:customStyle="1" w:styleId="NumberedList">
    <w:name w:val="Numbered List"/>
    <w:basedOn w:val="Normal"/>
    <w:qFormat/>
    <w:rsid w:val="00005C08"/>
    <w:pPr>
      <w:spacing w:after="100" w:line="300" w:lineRule="auto"/>
    </w:pPr>
    <w:rPr>
      <w:szCs w:val="20"/>
      <w:lang w:val="en"/>
    </w:rPr>
  </w:style>
  <w:style w:type="paragraph" w:customStyle="1" w:styleId="Heading3Numbered">
    <w:name w:val="Heading 3 Numbered"/>
    <w:basedOn w:val="Heading3"/>
    <w:link w:val="Heading3NumberedChar"/>
    <w:autoRedefine/>
    <w:qFormat/>
    <w:rsid w:val="00005C08"/>
    <w:pPr>
      <w:spacing w:before="240" w:after="120" w:line="300" w:lineRule="exact"/>
    </w:pPr>
    <w:rPr>
      <w:rFonts w:ascii="Arial" w:hAnsi="Arial" w:cs="Arial"/>
      <w:color w:val="434967"/>
      <w:spacing w:val="5"/>
    </w:rPr>
  </w:style>
  <w:style w:type="paragraph" w:customStyle="1" w:styleId="Sub-headingnon-contentpage">
    <w:name w:val="Sub-heading (non-content page)"/>
    <w:basedOn w:val="Normal"/>
    <w:autoRedefine/>
    <w:qFormat/>
    <w:rsid w:val="00436FED"/>
    <w:pPr>
      <w:tabs>
        <w:tab w:val="left" w:pos="739"/>
      </w:tabs>
      <w:spacing w:before="120" w:after="120" w:line="240" w:lineRule="auto"/>
    </w:pPr>
    <w:rPr>
      <w:rFonts w:eastAsia="MS Mincho" w:cstheme="minorBidi"/>
      <w:szCs w:val="22"/>
      <w:lang w:val="en-AU" w:eastAsia="en-GB"/>
    </w:rPr>
  </w:style>
  <w:style w:type="character" w:customStyle="1" w:styleId="Heading3NumberedChar">
    <w:name w:val="Heading 3 Numbered Char"/>
    <w:basedOn w:val="Heading3Char"/>
    <w:link w:val="Heading3Numbered"/>
    <w:rsid w:val="00005C08"/>
    <w:rPr>
      <w:rFonts w:ascii="Arial" w:eastAsiaTheme="majorEastAsia" w:hAnsi="Arial" w:cs="Arial"/>
      <w:color w:val="434967"/>
      <w:spacing w:val="5"/>
      <w:kern w:val="0"/>
      <w:sz w:val="28"/>
      <w:szCs w:val="28"/>
      <w:lang w:eastAsia="en-AU"/>
      <w14:ligatures w14:val="none"/>
    </w:rPr>
  </w:style>
  <w:style w:type="character" w:styleId="Emphasis">
    <w:name w:val="Emphasis"/>
    <w:uiPriority w:val="20"/>
    <w:qFormat/>
    <w:rsid w:val="00005C08"/>
    <w:rPr>
      <w:b/>
      <w:bCs/>
      <w:i/>
      <w:iCs/>
      <w:spacing w:val="10"/>
    </w:rPr>
  </w:style>
  <w:style w:type="paragraph" w:customStyle="1" w:styleId="Heading2Numbered">
    <w:name w:val="Heading 2 Numbered"/>
    <w:basedOn w:val="Heading2"/>
    <w:link w:val="Heading2NumberedChar"/>
    <w:autoRedefine/>
    <w:qFormat/>
    <w:rsid w:val="00005C08"/>
    <w:pPr>
      <w:keepNext w:val="0"/>
      <w:keepLines w:val="0"/>
      <w:spacing w:before="300" w:after="100" w:line="271" w:lineRule="auto"/>
    </w:pPr>
    <w:rPr>
      <w:rFonts w:ascii="Arial" w:hAnsi="Arial" w:cs="Arial"/>
      <w:b/>
      <w:bCs/>
      <w:color w:val="434967"/>
      <w:sz w:val="36"/>
      <w:szCs w:val="25"/>
      <w:lang w:val="en"/>
    </w:rPr>
  </w:style>
  <w:style w:type="table" w:customStyle="1" w:styleId="TableGrid2">
    <w:name w:val="Table Grid2"/>
    <w:basedOn w:val="TableNormal"/>
    <w:next w:val="TableGrid"/>
    <w:rsid w:val="00005C08"/>
    <w:pPr>
      <w:spacing w:after="0" w:line="240" w:lineRule="auto"/>
    </w:pPr>
    <w:rPr>
      <w:rFonts w:eastAsia="Times New Roman"/>
      <w:kern w:val="0"/>
      <w:sz w:val="20"/>
      <w:szCs w:val="20"/>
      <w:lang w:eastAsia="en-AU"/>
      <w14:ligatures w14:val="none"/>
    </w:rPr>
    <w:tblPr/>
  </w:style>
  <w:style w:type="character" w:customStyle="1" w:styleId="Heading2NumberedChar">
    <w:name w:val="Heading 2 Numbered Char"/>
    <w:basedOn w:val="Heading2Char"/>
    <w:link w:val="Heading2Numbered"/>
    <w:rsid w:val="00005C08"/>
    <w:rPr>
      <w:rFonts w:ascii="Arial" w:eastAsiaTheme="majorEastAsia" w:hAnsi="Arial" w:cs="Arial"/>
      <w:b/>
      <w:bCs/>
      <w:color w:val="434967"/>
      <w:kern w:val="0"/>
      <w:sz w:val="36"/>
      <w:szCs w:val="25"/>
      <w:lang w:val="en" w:eastAsia="en-AU"/>
      <w14:ligatures w14:val="none"/>
    </w:rPr>
  </w:style>
  <w:style w:type="paragraph" w:customStyle="1" w:styleId="Customlevel3">
    <w:name w:val="Custom level 3"/>
    <w:basedOn w:val="Heading4"/>
    <w:link w:val="Customlevel3Char"/>
    <w:autoRedefine/>
    <w:qFormat/>
    <w:rsid w:val="00005C08"/>
    <w:pPr>
      <w:keepNext w:val="0"/>
      <w:keepLines w:val="0"/>
      <w:spacing w:before="240" w:after="60" w:line="276" w:lineRule="auto"/>
    </w:pPr>
    <w:rPr>
      <w:rFonts w:ascii="Arial" w:eastAsia="Arial" w:hAnsi="Arial" w:cs="Arial"/>
      <w:b/>
      <w:bCs/>
      <w:color w:val="1E1444"/>
      <w:sz w:val="28"/>
      <w:szCs w:val="20"/>
      <w:u w:val="single"/>
      <w:lang w:val="en-US"/>
    </w:rPr>
  </w:style>
  <w:style w:type="character" w:customStyle="1" w:styleId="Customlevel3Char">
    <w:name w:val="Custom level 3 Char"/>
    <w:basedOn w:val="Heading4Char"/>
    <w:link w:val="Customlevel3"/>
    <w:rsid w:val="00005C08"/>
    <w:rPr>
      <w:rFonts w:ascii="Arial" w:eastAsia="Arial" w:hAnsi="Arial" w:cs="Arial"/>
      <w:b/>
      <w:bCs/>
      <w:i/>
      <w:iCs/>
      <w:color w:val="1E1444"/>
      <w:kern w:val="0"/>
      <w:sz w:val="28"/>
      <w:szCs w:val="20"/>
      <w:u w:val="single"/>
      <w:lang w:val="en-US" w:eastAsia="en-AU"/>
      <w14:ligatures w14:val="none"/>
    </w:rPr>
  </w:style>
  <w:style w:type="paragraph" w:customStyle="1" w:styleId="NormalText">
    <w:name w:val="Normal Text"/>
    <w:basedOn w:val="Normal"/>
    <w:qFormat/>
    <w:rsid w:val="00005C08"/>
    <w:pPr>
      <w:spacing w:before="120" w:after="120" w:line="288" w:lineRule="auto"/>
    </w:pPr>
    <w:rPr>
      <w:rFonts w:eastAsia="Times New Roman" w:cstheme="minorBidi"/>
      <w:color w:val="000000" w:themeColor="text1"/>
      <w:szCs w:val="20"/>
      <w:shd w:val="clear" w:color="auto" w:fill="FFFFFF"/>
      <w:lang w:val="en-AU" w:eastAsia="en-GB"/>
    </w:rPr>
  </w:style>
  <w:style w:type="character" w:styleId="SubtleEmphasis">
    <w:name w:val="Subtle Emphasis"/>
    <w:uiPriority w:val="19"/>
    <w:qFormat/>
    <w:rsid w:val="00005C08"/>
    <w:rPr>
      <w:i/>
      <w:iCs/>
    </w:rPr>
  </w:style>
  <w:style w:type="paragraph" w:customStyle="1" w:styleId="pf0">
    <w:name w:val="pf0"/>
    <w:basedOn w:val="Normal"/>
    <w:rsid w:val="00005C08"/>
    <w:pPr>
      <w:spacing w:before="100" w:beforeAutospacing="1" w:after="100" w:afterAutospacing="1" w:line="240" w:lineRule="auto"/>
      <w:ind w:left="300"/>
    </w:pPr>
    <w:rPr>
      <w:rFonts w:ascii="Times New Roman" w:eastAsia="Times New Roman" w:hAnsi="Times New Roman" w:cs="Times New Roman"/>
      <w:lang w:val="en-AU"/>
    </w:rPr>
  </w:style>
  <w:style w:type="character" w:customStyle="1" w:styleId="cf01">
    <w:name w:val="cf01"/>
    <w:basedOn w:val="DefaultParagraphFont"/>
    <w:rsid w:val="00005C08"/>
    <w:rPr>
      <w:rFonts w:ascii="Segoe UI" w:hAnsi="Segoe UI" w:cs="Segoe UI" w:hint="default"/>
      <w:sz w:val="28"/>
      <w:szCs w:val="28"/>
    </w:rPr>
  </w:style>
  <w:style w:type="paragraph" w:styleId="ListBullet">
    <w:name w:val="List Bullet"/>
    <w:aliases w:val="Bullit"/>
    <w:basedOn w:val="Normal"/>
    <w:link w:val="ListBulletChar"/>
    <w:uiPriority w:val="99"/>
    <w:qFormat/>
    <w:rsid w:val="00005C08"/>
    <w:pPr>
      <w:numPr>
        <w:numId w:val="5"/>
      </w:numPr>
      <w:tabs>
        <w:tab w:val="left" w:pos="170"/>
      </w:tabs>
      <w:spacing w:after="80" w:line="260" w:lineRule="atLeast"/>
    </w:pPr>
    <w:rPr>
      <w:rFonts w:eastAsia="Times New Roman" w:cs="Times New Roman"/>
      <w:lang w:val="en-AU" w:eastAsia="en-US"/>
    </w:rPr>
  </w:style>
  <w:style w:type="character" w:customStyle="1" w:styleId="ListBulletChar">
    <w:name w:val="List Bullet Char"/>
    <w:aliases w:val="Bullit Char"/>
    <w:link w:val="ListBullet"/>
    <w:uiPriority w:val="99"/>
    <w:locked/>
    <w:rsid w:val="00005C08"/>
    <w:rPr>
      <w:rFonts w:ascii="Arial" w:eastAsia="Times New Roman" w:hAnsi="Arial"/>
      <w:kern w:val="0"/>
      <w:sz w:val="22"/>
      <w14:ligatures w14:val="none"/>
    </w:rPr>
  </w:style>
  <w:style w:type="paragraph" w:styleId="PlainText">
    <w:name w:val="Plain Text"/>
    <w:basedOn w:val="Normal"/>
    <w:link w:val="PlainTextChar"/>
    <w:uiPriority w:val="99"/>
    <w:rsid w:val="00005C08"/>
    <w:pPr>
      <w:keepLines/>
      <w:spacing w:after="240" w:line="240" w:lineRule="auto"/>
    </w:pPr>
    <w:rPr>
      <w:rFonts w:ascii="Courier" w:eastAsia="Times New Roman" w:hAnsi="Courier" w:cs="Courier"/>
      <w:lang w:val="en-AU" w:eastAsia="en-US"/>
    </w:rPr>
  </w:style>
  <w:style w:type="character" w:customStyle="1" w:styleId="PlainTextChar">
    <w:name w:val="Plain Text Char"/>
    <w:basedOn w:val="DefaultParagraphFont"/>
    <w:link w:val="PlainText"/>
    <w:uiPriority w:val="99"/>
    <w:rsid w:val="00005C08"/>
    <w:rPr>
      <w:rFonts w:ascii="Courier" w:eastAsia="Times New Roman" w:hAnsi="Courier" w:cs="Courier"/>
      <w:kern w:val="0"/>
      <w14:ligatures w14:val="none"/>
    </w:rPr>
  </w:style>
  <w:style w:type="table" w:styleId="GridTable4-Accent1">
    <w:name w:val="Grid Table 4 Accent 1"/>
    <w:basedOn w:val="TableNormal"/>
    <w:uiPriority w:val="49"/>
    <w:rsid w:val="00005C08"/>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NoSpacing">
    <w:name w:val="No Spacing"/>
    <w:link w:val="NoSpacingChar"/>
    <w:uiPriority w:val="1"/>
    <w:qFormat/>
    <w:rsid w:val="00005C08"/>
    <w:pPr>
      <w:spacing w:after="0"/>
    </w:pPr>
  </w:style>
  <w:style w:type="paragraph" w:styleId="Caption">
    <w:name w:val="caption"/>
    <w:basedOn w:val="Normal"/>
    <w:next w:val="Normal"/>
    <w:uiPriority w:val="35"/>
    <w:unhideWhenUsed/>
    <w:qFormat/>
    <w:rsid w:val="00032CD1"/>
    <w:pPr>
      <w:spacing w:after="200" w:line="240" w:lineRule="auto"/>
    </w:pPr>
    <w:rPr>
      <w:b/>
      <w:iCs/>
      <w:color w:val="44546A" w:themeColor="text2"/>
      <w:sz w:val="21"/>
      <w:szCs w:val="18"/>
    </w:rPr>
  </w:style>
  <w:style w:type="character" w:customStyle="1" w:styleId="NoSpacingChar">
    <w:name w:val="No Spacing Char"/>
    <w:basedOn w:val="DefaultParagraphFont"/>
    <w:link w:val="NoSpacing"/>
    <w:uiPriority w:val="1"/>
    <w:locked/>
    <w:rsid w:val="007A743C"/>
  </w:style>
  <w:style w:type="paragraph" w:customStyle="1" w:styleId="Heading11">
    <w:name w:val="Heading 11"/>
    <w:basedOn w:val="Normal"/>
    <w:next w:val="Normal"/>
    <w:uiPriority w:val="9"/>
    <w:qFormat/>
    <w:rsid w:val="005D728C"/>
    <w:pPr>
      <w:keepNext/>
      <w:keepLines/>
      <w:spacing w:before="360" w:after="80"/>
      <w:outlineLvl w:val="0"/>
    </w:pPr>
    <w:rPr>
      <w:rFonts w:ascii="Aptos Display" w:eastAsia="Yu Gothic Light" w:hAnsi="Aptos Display" w:cs="Times New Roman"/>
      <w:color w:val="2E74B5"/>
      <w:sz w:val="40"/>
      <w:szCs w:val="40"/>
      <w:lang w:val="en-US" w:eastAsia="ja-JP"/>
    </w:rPr>
  </w:style>
  <w:style w:type="paragraph" w:customStyle="1" w:styleId="Heading2-Op21">
    <w:name w:val="Heading 2 - Op21"/>
    <w:basedOn w:val="Normal"/>
    <w:next w:val="Normal"/>
    <w:uiPriority w:val="9"/>
    <w:unhideWhenUsed/>
    <w:qFormat/>
    <w:rsid w:val="005D728C"/>
    <w:pPr>
      <w:keepNext/>
      <w:keepLines/>
      <w:spacing w:before="160" w:after="80"/>
      <w:outlineLvl w:val="1"/>
    </w:pPr>
    <w:rPr>
      <w:rFonts w:ascii="Aptos Display" w:eastAsia="Yu Gothic Light" w:hAnsi="Aptos Display" w:cs="Times New Roman"/>
      <w:color w:val="2E74B5"/>
      <w:sz w:val="32"/>
      <w:szCs w:val="32"/>
    </w:rPr>
  </w:style>
  <w:style w:type="paragraph" w:customStyle="1" w:styleId="Heading31">
    <w:name w:val="Heading 31"/>
    <w:basedOn w:val="Normal"/>
    <w:next w:val="Normal"/>
    <w:unhideWhenUsed/>
    <w:qFormat/>
    <w:rsid w:val="005D728C"/>
    <w:pPr>
      <w:keepNext/>
      <w:keepLines/>
      <w:spacing w:before="160" w:after="80"/>
      <w:outlineLvl w:val="2"/>
    </w:pPr>
    <w:rPr>
      <w:rFonts w:asciiTheme="minorHAnsi" w:eastAsia="Yu Gothic Light" w:hAnsiTheme="minorHAnsi" w:cs="Times New Roman"/>
      <w:color w:val="2E74B5"/>
      <w:sz w:val="28"/>
      <w:szCs w:val="28"/>
    </w:rPr>
  </w:style>
  <w:style w:type="paragraph" w:customStyle="1" w:styleId="Heading41">
    <w:name w:val="Heading 41"/>
    <w:basedOn w:val="Normal"/>
    <w:next w:val="Normal"/>
    <w:uiPriority w:val="9"/>
    <w:unhideWhenUsed/>
    <w:qFormat/>
    <w:rsid w:val="005D728C"/>
    <w:pPr>
      <w:keepNext/>
      <w:keepLines/>
      <w:spacing w:before="80" w:after="40"/>
      <w:outlineLvl w:val="3"/>
    </w:pPr>
    <w:rPr>
      <w:rFonts w:asciiTheme="minorHAnsi" w:eastAsia="Yu Gothic Light" w:hAnsiTheme="minorHAnsi" w:cs="Times New Roman"/>
      <w:i/>
      <w:iCs/>
      <w:color w:val="2E74B5"/>
    </w:rPr>
  </w:style>
  <w:style w:type="paragraph" w:customStyle="1" w:styleId="Heading51">
    <w:name w:val="Heading 51"/>
    <w:basedOn w:val="Normal"/>
    <w:next w:val="Normal"/>
    <w:uiPriority w:val="9"/>
    <w:unhideWhenUsed/>
    <w:qFormat/>
    <w:rsid w:val="005D728C"/>
    <w:pPr>
      <w:keepNext/>
      <w:keepLines/>
      <w:spacing w:before="80" w:after="40"/>
      <w:outlineLvl w:val="4"/>
    </w:pPr>
    <w:rPr>
      <w:rFonts w:asciiTheme="minorHAnsi" w:eastAsia="Yu Gothic Light" w:hAnsiTheme="minorHAnsi" w:cs="Times New Roman"/>
      <w:color w:val="2E74B5"/>
    </w:rPr>
  </w:style>
  <w:style w:type="paragraph" w:customStyle="1" w:styleId="Heading61">
    <w:name w:val="Heading 61"/>
    <w:basedOn w:val="Normal"/>
    <w:next w:val="Normal"/>
    <w:uiPriority w:val="9"/>
    <w:unhideWhenUsed/>
    <w:qFormat/>
    <w:rsid w:val="005D728C"/>
    <w:pPr>
      <w:keepNext/>
      <w:keepLines/>
      <w:spacing w:before="40" w:after="0"/>
      <w:outlineLvl w:val="5"/>
    </w:pPr>
    <w:rPr>
      <w:rFonts w:asciiTheme="minorHAnsi" w:eastAsia="Yu Gothic Light" w:hAnsiTheme="minorHAnsi" w:cs="Times New Roman"/>
      <w:i/>
      <w:iCs/>
      <w:color w:val="595959"/>
    </w:rPr>
  </w:style>
  <w:style w:type="paragraph" w:customStyle="1" w:styleId="Heading71">
    <w:name w:val="Heading 71"/>
    <w:basedOn w:val="Normal"/>
    <w:next w:val="Normal"/>
    <w:uiPriority w:val="9"/>
    <w:semiHidden/>
    <w:unhideWhenUsed/>
    <w:qFormat/>
    <w:rsid w:val="005D728C"/>
    <w:pPr>
      <w:keepNext/>
      <w:keepLines/>
      <w:spacing w:before="40" w:after="0"/>
      <w:outlineLvl w:val="6"/>
    </w:pPr>
    <w:rPr>
      <w:rFonts w:asciiTheme="minorHAnsi" w:eastAsia="Yu Gothic Light" w:hAnsiTheme="minorHAnsi" w:cs="Times New Roman"/>
      <w:color w:val="595959"/>
    </w:rPr>
  </w:style>
  <w:style w:type="paragraph" w:customStyle="1" w:styleId="Heading81">
    <w:name w:val="Heading 81"/>
    <w:basedOn w:val="Normal"/>
    <w:next w:val="Normal"/>
    <w:uiPriority w:val="9"/>
    <w:semiHidden/>
    <w:unhideWhenUsed/>
    <w:qFormat/>
    <w:rsid w:val="005D728C"/>
    <w:pPr>
      <w:keepNext/>
      <w:keepLines/>
      <w:spacing w:after="0"/>
      <w:outlineLvl w:val="7"/>
    </w:pPr>
    <w:rPr>
      <w:rFonts w:asciiTheme="minorHAnsi" w:eastAsia="Yu Gothic Light" w:hAnsiTheme="minorHAnsi" w:cs="Times New Roman"/>
      <w:i/>
      <w:iCs/>
      <w:color w:val="272727"/>
    </w:rPr>
  </w:style>
  <w:style w:type="paragraph" w:customStyle="1" w:styleId="Heading91">
    <w:name w:val="Heading 91"/>
    <w:basedOn w:val="Normal"/>
    <w:next w:val="Normal"/>
    <w:uiPriority w:val="9"/>
    <w:semiHidden/>
    <w:unhideWhenUsed/>
    <w:qFormat/>
    <w:rsid w:val="005D728C"/>
    <w:pPr>
      <w:keepNext/>
      <w:keepLines/>
      <w:spacing w:after="0"/>
      <w:outlineLvl w:val="8"/>
    </w:pPr>
    <w:rPr>
      <w:rFonts w:asciiTheme="minorHAnsi" w:eastAsia="Yu Gothic Light" w:hAnsiTheme="minorHAnsi" w:cs="Times New Roman"/>
      <w:color w:val="272727"/>
    </w:rPr>
  </w:style>
  <w:style w:type="numbering" w:customStyle="1" w:styleId="NoList1">
    <w:name w:val="No List1"/>
    <w:next w:val="NoList"/>
    <w:uiPriority w:val="99"/>
    <w:semiHidden/>
    <w:unhideWhenUsed/>
    <w:rsid w:val="005D728C"/>
  </w:style>
  <w:style w:type="paragraph" w:customStyle="1" w:styleId="Title1">
    <w:name w:val="Title1"/>
    <w:basedOn w:val="Normal"/>
    <w:next w:val="Normal"/>
    <w:uiPriority w:val="10"/>
    <w:qFormat/>
    <w:rsid w:val="005D728C"/>
    <w:pPr>
      <w:spacing w:after="80" w:line="240" w:lineRule="auto"/>
      <w:contextualSpacing/>
    </w:pPr>
    <w:rPr>
      <w:rFonts w:ascii="Aptos Display" w:eastAsia="Yu Gothic Light" w:hAnsi="Aptos Display" w:cs="Times New Roman"/>
      <w:spacing w:val="-10"/>
      <w:kern w:val="28"/>
      <w:sz w:val="56"/>
      <w:szCs w:val="56"/>
    </w:rPr>
  </w:style>
  <w:style w:type="paragraph" w:customStyle="1" w:styleId="Subtitle1">
    <w:name w:val="Subtitle1"/>
    <w:basedOn w:val="Normal"/>
    <w:next w:val="Normal"/>
    <w:uiPriority w:val="11"/>
    <w:qFormat/>
    <w:rsid w:val="005D728C"/>
    <w:pPr>
      <w:numPr>
        <w:ilvl w:val="1"/>
      </w:numPr>
    </w:pPr>
    <w:rPr>
      <w:rFonts w:asciiTheme="minorHAnsi" w:eastAsia="Yu Gothic Light" w:hAnsiTheme="minorHAnsi" w:cs="Times New Roman"/>
      <w:color w:val="595959"/>
      <w:spacing w:val="15"/>
      <w:sz w:val="28"/>
      <w:szCs w:val="28"/>
    </w:rPr>
  </w:style>
  <w:style w:type="paragraph" w:customStyle="1" w:styleId="Quote1">
    <w:name w:val="Quote1"/>
    <w:basedOn w:val="Normal"/>
    <w:next w:val="Normal"/>
    <w:uiPriority w:val="29"/>
    <w:qFormat/>
    <w:rsid w:val="005D728C"/>
    <w:pPr>
      <w:spacing w:before="160"/>
      <w:jc w:val="center"/>
    </w:pPr>
    <w:rPr>
      <w:rFonts w:eastAsia="Yu Gothic Light"/>
      <w:i/>
      <w:iCs/>
      <w:color w:val="404040"/>
    </w:rPr>
  </w:style>
  <w:style w:type="character" w:customStyle="1" w:styleId="IntenseEmphasis1">
    <w:name w:val="Intense Emphasis1"/>
    <w:basedOn w:val="DefaultParagraphFont"/>
    <w:uiPriority w:val="21"/>
    <w:qFormat/>
    <w:rsid w:val="005D728C"/>
    <w:rPr>
      <w:i/>
      <w:iCs/>
      <w:color w:val="2E74B5"/>
    </w:rPr>
  </w:style>
  <w:style w:type="paragraph" w:customStyle="1" w:styleId="IntenseQuote1">
    <w:name w:val="Intense Quote1"/>
    <w:basedOn w:val="Normal"/>
    <w:next w:val="Normal"/>
    <w:uiPriority w:val="30"/>
    <w:qFormat/>
    <w:rsid w:val="005D728C"/>
    <w:pPr>
      <w:pBdr>
        <w:top w:val="single" w:sz="4" w:space="10" w:color="2E74B5"/>
        <w:bottom w:val="single" w:sz="4" w:space="10" w:color="2E74B5"/>
      </w:pBdr>
      <w:spacing w:before="360" w:after="360"/>
      <w:ind w:left="864" w:right="864"/>
      <w:jc w:val="center"/>
    </w:pPr>
    <w:rPr>
      <w:rFonts w:eastAsia="Yu Gothic Light"/>
      <w:i/>
      <w:iCs/>
      <w:color w:val="2E74B5"/>
    </w:rPr>
  </w:style>
  <w:style w:type="character" w:customStyle="1" w:styleId="IntenseReference1">
    <w:name w:val="Intense Reference1"/>
    <w:basedOn w:val="DefaultParagraphFont"/>
    <w:uiPriority w:val="32"/>
    <w:qFormat/>
    <w:rsid w:val="005D728C"/>
    <w:rPr>
      <w:b/>
      <w:bCs/>
      <w:smallCaps/>
      <w:color w:val="2E74B5"/>
      <w:spacing w:val="5"/>
    </w:rPr>
  </w:style>
  <w:style w:type="paragraph" w:customStyle="1" w:styleId="BodyText21">
    <w:name w:val="Body Text 21"/>
    <w:basedOn w:val="Normal"/>
    <w:next w:val="BodyText2"/>
    <w:unhideWhenUsed/>
    <w:rsid w:val="005D728C"/>
    <w:pPr>
      <w:spacing w:before="120" w:after="120" w:line="480" w:lineRule="auto"/>
    </w:pPr>
    <w:rPr>
      <w:rFonts w:eastAsia="Times New Roman"/>
      <w:color w:val="000000"/>
      <w:sz w:val="24"/>
    </w:rPr>
  </w:style>
  <w:style w:type="character" w:customStyle="1" w:styleId="FollowedHyperlink1">
    <w:name w:val="FollowedHyperlink1"/>
    <w:basedOn w:val="DefaultParagraphFont"/>
    <w:uiPriority w:val="99"/>
    <w:semiHidden/>
    <w:unhideWhenUsed/>
    <w:rsid w:val="005D728C"/>
    <w:rPr>
      <w:color w:val="954F72"/>
      <w:u w:val="single"/>
    </w:rPr>
  </w:style>
  <w:style w:type="character" w:customStyle="1" w:styleId="Heading1Char1">
    <w:name w:val="Heading 1 Char1"/>
    <w:basedOn w:val="DefaultParagraphFont"/>
    <w:uiPriority w:val="9"/>
    <w:rsid w:val="005D728C"/>
    <w:rPr>
      <w:rFonts w:asciiTheme="majorHAnsi" w:eastAsiaTheme="majorEastAsia" w:hAnsiTheme="majorHAnsi" w:cstheme="majorBidi"/>
      <w:color w:val="2E74B5" w:themeColor="accent1" w:themeShade="BF"/>
      <w:sz w:val="32"/>
      <w:szCs w:val="32"/>
    </w:rPr>
  </w:style>
  <w:style w:type="table" w:customStyle="1" w:styleId="TableGridLight1">
    <w:name w:val="Table Grid Light1"/>
    <w:basedOn w:val="TableNormal"/>
    <w:next w:val="TableGridLight"/>
    <w:uiPriority w:val="40"/>
    <w:rsid w:val="005D728C"/>
    <w:pPr>
      <w:spacing w:after="0" w:line="240" w:lineRule="auto"/>
    </w:pPr>
    <w:rPr>
      <w:rFonts w:eastAsia="Aptos"/>
    </w:rPr>
    <w:tblPr/>
  </w:style>
  <w:style w:type="table" w:customStyle="1" w:styleId="GridTable5Dark-Accent41">
    <w:name w:val="Grid Table 5 Dark - Accent 41"/>
    <w:basedOn w:val="TableNormal"/>
    <w:next w:val="GridTable5Dark-Accent4"/>
    <w:uiPriority w:val="50"/>
    <w:rsid w:val="005D728C"/>
    <w:pPr>
      <w:spacing w:after="0" w:line="240" w:lineRule="auto"/>
    </w:pPr>
    <w:rPr>
      <w:rFonts w:asciiTheme="minorHAnsi" w:eastAsia="Aptos" w:hAnsiTheme="minorHAnsi" w:cstheme="minorBidi"/>
      <w:kern w:val="0"/>
      <w14:ligatures w14:val="none"/>
    </w:rPr>
    <w:tblPr>
      <w:tblStyleColBandSize w:val="1"/>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paragraph" w:customStyle="1" w:styleId="TOC41">
    <w:name w:val="TOC 41"/>
    <w:basedOn w:val="Normal"/>
    <w:next w:val="Normal"/>
    <w:autoRedefine/>
    <w:uiPriority w:val="39"/>
    <w:unhideWhenUsed/>
    <w:rsid w:val="005D728C"/>
    <w:pPr>
      <w:spacing w:after="100" w:line="278" w:lineRule="auto"/>
      <w:ind w:left="720"/>
    </w:pPr>
    <w:rPr>
      <w:rFonts w:asciiTheme="minorHAnsi" w:eastAsiaTheme="minorEastAsia" w:hAnsiTheme="minorHAnsi" w:cstheme="minorBidi"/>
    </w:rPr>
  </w:style>
  <w:style w:type="paragraph" w:customStyle="1" w:styleId="TOC51">
    <w:name w:val="TOC 51"/>
    <w:basedOn w:val="Normal"/>
    <w:next w:val="Normal"/>
    <w:autoRedefine/>
    <w:uiPriority w:val="39"/>
    <w:unhideWhenUsed/>
    <w:rsid w:val="005D728C"/>
    <w:pPr>
      <w:spacing w:after="100" w:line="278" w:lineRule="auto"/>
      <w:ind w:left="960"/>
    </w:pPr>
    <w:rPr>
      <w:rFonts w:asciiTheme="minorHAnsi" w:eastAsiaTheme="minorEastAsia" w:hAnsiTheme="minorHAnsi" w:cstheme="minorBidi"/>
    </w:rPr>
  </w:style>
  <w:style w:type="paragraph" w:customStyle="1" w:styleId="TOC61">
    <w:name w:val="TOC 61"/>
    <w:basedOn w:val="Normal"/>
    <w:next w:val="Normal"/>
    <w:autoRedefine/>
    <w:uiPriority w:val="39"/>
    <w:unhideWhenUsed/>
    <w:rsid w:val="005D728C"/>
    <w:pPr>
      <w:spacing w:after="100" w:line="278" w:lineRule="auto"/>
      <w:ind w:left="1200"/>
    </w:pPr>
    <w:rPr>
      <w:rFonts w:asciiTheme="minorHAnsi" w:eastAsiaTheme="minorEastAsia" w:hAnsiTheme="minorHAnsi" w:cstheme="minorBidi"/>
    </w:rPr>
  </w:style>
  <w:style w:type="paragraph" w:customStyle="1" w:styleId="TOC71">
    <w:name w:val="TOC 71"/>
    <w:basedOn w:val="Normal"/>
    <w:next w:val="Normal"/>
    <w:autoRedefine/>
    <w:uiPriority w:val="39"/>
    <w:unhideWhenUsed/>
    <w:rsid w:val="005D728C"/>
    <w:pPr>
      <w:spacing w:after="100" w:line="278" w:lineRule="auto"/>
      <w:ind w:left="1440"/>
    </w:pPr>
    <w:rPr>
      <w:rFonts w:asciiTheme="minorHAnsi" w:eastAsiaTheme="minorEastAsia" w:hAnsiTheme="minorHAnsi" w:cstheme="minorBidi"/>
    </w:rPr>
  </w:style>
  <w:style w:type="paragraph" w:customStyle="1" w:styleId="TOC81">
    <w:name w:val="TOC 81"/>
    <w:basedOn w:val="Normal"/>
    <w:next w:val="Normal"/>
    <w:autoRedefine/>
    <w:uiPriority w:val="39"/>
    <w:unhideWhenUsed/>
    <w:rsid w:val="005D728C"/>
    <w:pPr>
      <w:spacing w:after="100" w:line="278" w:lineRule="auto"/>
      <w:ind w:left="1680"/>
    </w:pPr>
    <w:rPr>
      <w:rFonts w:asciiTheme="minorHAnsi" w:eastAsiaTheme="minorEastAsia" w:hAnsiTheme="minorHAnsi" w:cstheme="minorBidi"/>
    </w:rPr>
  </w:style>
  <w:style w:type="paragraph" w:customStyle="1" w:styleId="TOC91">
    <w:name w:val="TOC 91"/>
    <w:basedOn w:val="Normal"/>
    <w:next w:val="Normal"/>
    <w:autoRedefine/>
    <w:uiPriority w:val="39"/>
    <w:unhideWhenUsed/>
    <w:rsid w:val="005D728C"/>
    <w:pPr>
      <w:spacing w:after="100" w:line="278" w:lineRule="auto"/>
      <w:ind w:left="1920"/>
    </w:pPr>
    <w:rPr>
      <w:rFonts w:asciiTheme="minorHAnsi" w:eastAsiaTheme="minorEastAsia" w:hAnsiTheme="minorHAnsi" w:cstheme="minorBidi"/>
    </w:rPr>
  </w:style>
  <w:style w:type="table" w:customStyle="1" w:styleId="GridTable4-Accent11">
    <w:name w:val="Grid Table 4 - Accent 11"/>
    <w:basedOn w:val="TableNormal"/>
    <w:next w:val="GridTable4-Accent1"/>
    <w:uiPriority w:val="49"/>
    <w:rsid w:val="005D728C"/>
    <w:pPr>
      <w:spacing w:after="0" w:line="240" w:lineRule="auto"/>
    </w:pPr>
    <w:rPr>
      <w:rFonts w:eastAsia="Aptos"/>
    </w:rPr>
    <w:tblPr/>
    <w:tblStylePr w:type="firstRow">
      <w:rPr>
        <w:b/>
        <w:bCs/>
        <w:color w:val="FFFFFF"/>
      </w:rPr>
    </w:tblStylePr>
    <w:tblStylePr w:type="lastRow">
      <w:rPr>
        <w:b/>
        <w:bCs/>
      </w:r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5D728C"/>
    <w:pPr>
      <w:spacing w:after="0" w:line="240" w:lineRule="auto"/>
    </w:pPr>
    <w:rPr>
      <w:rFonts w:ascii="Aptos" w:eastAsia="Aptos" w:hAnsi="Aptos" w:cs="Arial"/>
      <w:sz w:val="22"/>
      <w:szCs w:val="22"/>
    </w:rPr>
    <w:tblPr/>
  </w:style>
  <w:style w:type="paragraph" w:customStyle="1" w:styleId="StylePlainTextBefore6ptAfter6pt3">
    <w:name w:val="Style Plain Text + Before:  6 pt After:  6 pt3"/>
    <w:link w:val="StylePlainTextBefore6ptAfter6pt3Char"/>
    <w:rsid w:val="005D728C"/>
    <w:pPr>
      <w:tabs>
        <w:tab w:val="num" w:pos="360"/>
      </w:tabs>
      <w:spacing w:before="120" w:after="120" w:line="240" w:lineRule="auto"/>
      <w:ind w:left="360" w:hanging="360"/>
    </w:pPr>
    <w:rPr>
      <w:rFonts w:eastAsia="MS Mincho" w:cs="Courier"/>
      <w:noProof/>
      <w:kern w:val="0"/>
      <w14:ligatures w14:val="none"/>
    </w:rPr>
  </w:style>
  <w:style w:type="character" w:customStyle="1" w:styleId="StylePlainTextBefore6ptAfter6pt3Char">
    <w:name w:val="Style Plain Text + Before:  6 pt After:  6 pt3 Char"/>
    <w:link w:val="StylePlainTextBefore6ptAfter6pt3"/>
    <w:rsid w:val="005D728C"/>
    <w:rPr>
      <w:rFonts w:eastAsia="MS Mincho" w:cs="Courier"/>
      <w:noProof/>
      <w:kern w:val="0"/>
      <w14:ligatures w14:val="none"/>
    </w:rPr>
  </w:style>
  <w:style w:type="table" w:customStyle="1" w:styleId="GridTable5Dark-Accent11">
    <w:name w:val="Grid Table 5 Dark - Accent 11"/>
    <w:basedOn w:val="TableNormal"/>
    <w:next w:val="GridTable5Dark-Accent1"/>
    <w:uiPriority w:val="50"/>
    <w:rsid w:val="005D728C"/>
    <w:pPr>
      <w:spacing w:after="0" w:line="240" w:lineRule="auto"/>
    </w:pPr>
    <w:rPr>
      <w:rFonts w:asciiTheme="minorHAnsi" w:eastAsia="Aptos" w:hAnsiTheme="minorHAnsi" w:cstheme="minorBidi"/>
      <w:sz w:val="22"/>
      <w:szCs w:val="22"/>
    </w:rPr>
    <w:tblPr>
      <w:tblStyleColBandSize w:val="1"/>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character" w:customStyle="1" w:styleId="Heading2Char1">
    <w:name w:val="Heading 2 Char1"/>
    <w:basedOn w:val="DefaultParagraphFont"/>
    <w:uiPriority w:val="9"/>
    <w:semiHidden/>
    <w:rsid w:val="005D728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D728C"/>
    <w:rPr>
      <w:rFonts w:asciiTheme="majorHAnsi" w:eastAsiaTheme="majorEastAsia" w:hAnsiTheme="majorHAnsi" w:cstheme="majorBidi"/>
      <w:color w:val="1F4D78" w:themeColor="accent1" w:themeShade="7F"/>
    </w:rPr>
  </w:style>
  <w:style w:type="character" w:customStyle="1" w:styleId="Heading4Char1">
    <w:name w:val="Heading 4 Char1"/>
    <w:basedOn w:val="DefaultParagraphFont"/>
    <w:uiPriority w:val="9"/>
    <w:semiHidden/>
    <w:rsid w:val="005D728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D728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5D728C"/>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5D728C"/>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D728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D728C"/>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5D728C"/>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5D728C"/>
    <w:rPr>
      <w:color w:val="5A5A5A" w:themeColor="text1" w:themeTint="A5"/>
      <w:spacing w:val="15"/>
      <w:sz w:val="22"/>
      <w:szCs w:val="22"/>
    </w:rPr>
  </w:style>
  <w:style w:type="character" w:customStyle="1" w:styleId="QuoteChar1">
    <w:name w:val="Quote Char1"/>
    <w:basedOn w:val="DefaultParagraphFont"/>
    <w:uiPriority w:val="29"/>
    <w:rsid w:val="005D728C"/>
    <w:rPr>
      <w:i/>
      <w:iCs/>
      <w:color w:val="404040" w:themeColor="text1" w:themeTint="BF"/>
    </w:rPr>
  </w:style>
  <w:style w:type="character" w:customStyle="1" w:styleId="IntenseQuoteChar1">
    <w:name w:val="Intense Quote Char1"/>
    <w:basedOn w:val="DefaultParagraphFont"/>
    <w:uiPriority w:val="30"/>
    <w:rsid w:val="005D728C"/>
    <w:rPr>
      <w:i/>
      <w:iCs/>
      <w:color w:val="5B9BD5" w:themeColor="accent1"/>
    </w:rPr>
  </w:style>
  <w:style w:type="character" w:customStyle="1" w:styleId="BodyText2Char1">
    <w:name w:val="Body Text 2 Char1"/>
    <w:basedOn w:val="DefaultParagraphFont"/>
    <w:uiPriority w:val="99"/>
    <w:semiHidden/>
    <w:rsid w:val="005D728C"/>
  </w:style>
  <w:style w:type="table" w:styleId="GridTable5Dark-Accent1">
    <w:name w:val="Grid Table 5 Dark Accent 1"/>
    <w:basedOn w:val="TableNormal"/>
    <w:uiPriority w:val="50"/>
    <w:rsid w:val="005D728C"/>
    <w:pPr>
      <w:spacing w:after="0" w:line="240" w:lineRule="auto"/>
    </w:pPr>
    <w:rPr>
      <w:rFonts w:asciiTheme="minorHAnsi" w:eastAsiaTheme="minorEastAsia" w:hAnsiTheme="minorHAnsi" w:cstheme="minorBidi"/>
      <w:kern w:val="0"/>
      <w:lang w:val="en-US" w:eastAsia="ja-JP"/>
      <w14:ligatures w14:val="none"/>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customStyle="1" w:styleId="PartL3">
    <w:name w:val="Part L3"/>
    <w:basedOn w:val="Normal"/>
    <w:next w:val="Normal"/>
    <w:uiPriority w:val="3"/>
    <w:qFormat/>
    <w:rsid w:val="00370263"/>
    <w:pPr>
      <w:spacing w:before="200" w:after="120" w:line="240" w:lineRule="auto"/>
    </w:pPr>
    <w:rPr>
      <w:rFonts w:asciiTheme="minorHAnsi" w:eastAsia="Times New Roman" w:hAnsiTheme="minorHAnsi" w:cs="Angsana New"/>
      <w:szCs w:val="22"/>
      <w:lang w:val="en-AU" w:eastAsia="zh-CN" w:bidi="th-TH"/>
    </w:rPr>
  </w:style>
  <w:style w:type="character" w:customStyle="1" w:styleId="scxw45893679">
    <w:name w:val="scxw45893679"/>
    <w:basedOn w:val="DefaultParagraphFont"/>
    <w:rsid w:val="00976FFC"/>
  </w:style>
  <w:style w:type="paragraph" w:styleId="ListBullet2">
    <w:name w:val="List Bullet 2"/>
    <w:basedOn w:val="Normal"/>
    <w:uiPriority w:val="99"/>
    <w:semiHidden/>
    <w:unhideWhenUsed/>
    <w:rsid w:val="00801C38"/>
    <w:pPr>
      <w:numPr>
        <w:numId w:val="453"/>
      </w:numPr>
      <w:contextualSpacing/>
    </w:pPr>
  </w:style>
  <w:style w:type="character" w:customStyle="1" w:styleId="cf11">
    <w:name w:val="cf11"/>
    <w:basedOn w:val="DefaultParagraphFont"/>
    <w:rsid w:val="008472E3"/>
    <w:rPr>
      <w:rFonts w:ascii="Segoe UI" w:hAnsi="Segoe UI" w:cs="Segoe UI" w:hint="default"/>
      <w:i/>
      <w:iCs/>
      <w:sz w:val="18"/>
      <w:szCs w:val="18"/>
    </w:rPr>
  </w:style>
  <w:style w:type="paragraph" w:styleId="EndnoteText">
    <w:name w:val="endnote text"/>
    <w:basedOn w:val="Normal"/>
    <w:link w:val="EndnoteTextChar"/>
    <w:uiPriority w:val="99"/>
    <w:semiHidden/>
    <w:unhideWhenUsed/>
    <w:rsid w:val="00C63A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3AE1"/>
    <w:rPr>
      <w:rFonts w:ascii="Arial" w:eastAsiaTheme="majorEastAsia" w:hAnsi="Arial" w:cs="Arial"/>
      <w:kern w:val="0"/>
      <w:sz w:val="20"/>
      <w:szCs w:val="20"/>
      <w:lang w:val="en-GB" w:eastAsia="en-AU"/>
      <w14:ligatures w14:val="none"/>
    </w:rPr>
  </w:style>
  <w:style w:type="character" w:styleId="EndnoteReference">
    <w:name w:val="endnote reference"/>
    <w:basedOn w:val="DefaultParagraphFont"/>
    <w:uiPriority w:val="99"/>
    <w:semiHidden/>
    <w:unhideWhenUsed/>
    <w:rsid w:val="00C63AE1"/>
    <w:rPr>
      <w:vertAlign w:val="superscript"/>
    </w:rPr>
  </w:style>
  <w:style w:type="character" w:customStyle="1" w:styleId="TPslevel1Char">
    <w:name w:val="TPs level 1 Char"/>
    <w:basedOn w:val="DefaultParagraphFont"/>
    <w:link w:val="TPslevel1"/>
    <w:locked/>
    <w:rsid w:val="000C623E"/>
  </w:style>
  <w:style w:type="paragraph" w:customStyle="1" w:styleId="TPslevel1">
    <w:name w:val="TPs level 1"/>
    <w:basedOn w:val="ListParagraph"/>
    <w:link w:val="TPslevel1Char"/>
    <w:qFormat/>
    <w:rsid w:val="00DE1C36"/>
    <w:pPr>
      <w:numPr>
        <w:numId w:val="586"/>
      </w:numPr>
      <w:spacing w:line="256" w:lineRule="auto"/>
      <w:contextualSpacing w:val="0"/>
    </w:pPr>
    <w:rPr>
      <w:rFonts w:ascii="Times New Roman" w:eastAsiaTheme="minorHAnsi" w:hAnsi="Times New Roman" w:cs="Times New Roman"/>
      <w:kern w:val="2"/>
      <w:sz w:val="24"/>
      <w:lang w:val="en-AU" w:eastAsia="en-US"/>
      <w14:ligatures w14:val="standardContextual"/>
    </w:rPr>
  </w:style>
  <w:style w:type="paragraph" w:customStyle="1" w:styleId="TPslevel2">
    <w:name w:val="TPs level 2"/>
    <w:basedOn w:val="TPslevel1"/>
    <w:qFormat/>
    <w:rsid w:val="00DE1C36"/>
    <w:pPr>
      <w:numPr>
        <w:ilvl w:val="1"/>
      </w:numPr>
      <w:tabs>
        <w:tab w:val="num" w:pos="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971">
      <w:bodyDiv w:val="1"/>
      <w:marLeft w:val="0"/>
      <w:marRight w:val="0"/>
      <w:marTop w:val="0"/>
      <w:marBottom w:val="0"/>
      <w:divBdr>
        <w:top w:val="none" w:sz="0" w:space="0" w:color="auto"/>
        <w:left w:val="none" w:sz="0" w:space="0" w:color="auto"/>
        <w:bottom w:val="none" w:sz="0" w:space="0" w:color="auto"/>
        <w:right w:val="none" w:sz="0" w:space="0" w:color="auto"/>
      </w:divBdr>
    </w:div>
    <w:div w:id="37171148">
      <w:bodyDiv w:val="1"/>
      <w:marLeft w:val="0"/>
      <w:marRight w:val="0"/>
      <w:marTop w:val="0"/>
      <w:marBottom w:val="0"/>
      <w:divBdr>
        <w:top w:val="none" w:sz="0" w:space="0" w:color="auto"/>
        <w:left w:val="none" w:sz="0" w:space="0" w:color="auto"/>
        <w:bottom w:val="none" w:sz="0" w:space="0" w:color="auto"/>
        <w:right w:val="none" w:sz="0" w:space="0" w:color="auto"/>
      </w:divBdr>
    </w:div>
    <w:div w:id="75250874">
      <w:bodyDiv w:val="1"/>
      <w:marLeft w:val="0"/>
      <w:marRight w:val="0"/>
      <w:marTop w:val="0"/>
      <w:marBottom w:val="0"/>
      <w:divBdr>
        <w:top w:val="none" w:sz="0" w:space="0" w:color="auto"/>
        <w:left w:val="none" w:sz="0" w:space="0" w:color="auto"/>
        <w:bottom w:val="none" w:sz="0" w:space="0" w:color="auto"/>
        <w:right w:val="none" w:sz="0" w:space="0" w:color="auto"/>
      </w:divBdr>
    </w:div>
    <w:div w:id="85001183">
      <w:bodyDiv w:val="1"/>
      <w:marLeft w:val="0"/>
      <w:marRight w:val="0"/>
      <w:marTop w:val="0"/>
      <w:marBottom w:val="0"/>
      <w:divBdr>
        <w:top w:val="none" w:sz="0" w:space="0" w:color="auto"/>
        <w:left w:val="none" w:sz="0" w:space="0" w:color="auto"/>
        <w:bottom w:val="none" w:sz="0" w:space="0" w:color="auto"/>
        <w:right w:val="none" w:sz="0" w:space="0" w:color="auto"/>
      </w:divBdr>
    </w:div>
    <w:div w:id="103422130">
      <w:bodyDiv w:val="1"/>
      <w:marLeft w:val="0"/>
      <w:marRight w:val="0"/>
      <w:marTop w:val="0"/>
      <w:marBottom w:val="0"/>
      <w:divBdr>
        <w:top w:val="none" w:sz="0" w:space="0" w:color="auto"/>
        <w:left w:val="none" w:sz="0" w:space="0" w:color="auto"/>
        <w:bottom w:val="none" w:sz="0" w:space="0" w:color="auto"/>
        <w:right w:val="none" w:sz="0" w:space="0" w:color="auto"/>
      </w:divBdr>
      <w:divsChild>
        <w:div w:id="777872356">
          <w:marLeft w:val="0"/>
          <w:marRight w:val="0"/>
          <w:marTop w:val="0"/>
          <w:marBottom w:val="0"/>
          <w:divBdr>
            <w:top w:val="none" w:sz="0" w:space="0" w:color="auto"/>
            <w:left w:val="none" w:sz="0" w:space="0" w:color="auto"/>
            <w:bottom w:val="none" w:sz="0" w:space="0" w:color="auto"/>
            <w:right w:val="none" w:sz="0" w:space="0" w:color="auto"/>
          </w:divBdr>
        </w:div>
        <w:div w:id="1437939913">
          <w:marLeft w:val="0"/>
          <w:marRight w:val="0"/>
          <w:marTop w:val="0"/>
          <w:marBottom w:val="0"/>
          <w:divBdr>
            <w:top w:val="none" w:sz="0" w:space="0" w:color="auto"/>
            <w:left w:val="none" w:sz="0" w:space="0" w:color="auto"/>
            <w:bottom w:val="none" w:sz="0" w:space="0" w:color="auto"/>
            <w:right w:val="none" w:sz="0" w:space="0" w:color="auto"/>
          </w:divBdr>
        </w:div>
      </w:divsChild>
    </w:div>
    <w:div w:id="103774309">
      <w:bodyDiv w:val="1"/>
      <w:marLeft w:val="0"/>
      <w:marRight w:val="0"/>
      <w:marTop w:val="0"/>
      <w:marBottom w:val="0"/>
      <w:divBdr>
        <w:top w:val="none" w:sz="0" w:space="0" w:color="auto"/>
        <w:left w:val="none" w:sz="0" w:space="0" w:color="auto"/>
        <w:bottom w:val="none" w:sz="0" w:space="0" w:color="auto"/>
        <w:right w:val="none" w:sz="0" w:space="0" w:color="auto"/>
      </w:divBdr>
      <w:divsChild>
        <w:div w:id="1611473696">
          <w:marLeft w:val="0"/>
          <w:marRight w:val="0"/>
          <w:marTop w:val="0"/>
          <w:marBottom w:val="0"/>
          <w:divBdr>
            <w:top w:val="none" w:sz="0" w:space="0" w:color="auto"/>
            <w:left w:val="none" w:sz="0" w:space="0" w:color="auto"/>
            <w:bottom w:val="none" w:sz="0" w:space="0" w:color="auto"/>
            <w:right w:val="none" w:sz="0" w:space="0" w:color="auto"/>
          </w:divBdr>
        </w:div>
        <w:div w:id="1867055220">
          <w:marLeft w:val="0"/>
          <w:marRight w:val="0"/>
          <w:marTop w:val="0"/>
          <w:marBottom w:val="0"/>
          <w:divBdr>
            <w:top w:val="none" w:sz="0" w:space="0" w:color="auto"/>
            <w:left w:val="none" w:sz="0" w:space="0" w:color="auto"/>
            <w:bottom w:val="none" w:sz="0" w:space="0" w:color="auto"/>
            <w:right w:val="none" w:sz="0" w:space="0" w:color="auto"/>
          </w:divBdr>
        </w:div>
      </w:divsChild>
    </w:div>
    <w:div w:id="136650598">
      <w:bodyDiv w:val="1"/>
      <w:marLeft w:val="0"/>
      <w:marRight w:val="0"/>
      <w:marTop w:val="0"/>
      <w:marBottom w:val="0"/>
      <w:divBdr>
        <w:top w:val="none" w:sz="0" w:space="0" w:color="auto"/>
        <w:left w:val="none" w:sz="0" w:space="0" w:color="auto"/>
        <w:bottom w:val="none" w:sz="0" w:space="0" w:color="auto"/>
        <w:right w:val="none" w:sz="0" w:space="0" w:color="auto"/>
      </w:divBdr>
      <w:divsChild>
        <w:div w:id="167058040">
          <w:marLeft w:val="0"/>
          <w:marRight w:val="0"/>
          <w:marTop w:val="0"/>
          <w:marBottom w:val="0"/>
          <w:divBdr>
            <w:top w:val="none" w:sz="0" w:space="0" w:color="auto"/>
            <w:left w:val="none" w:sz="0" w:space="0" w:color="auto"/>
            <w:bottom w:val="none" w:sz="0" w:space="0" w:color="auto"/>
            <w:right w:val="none" w:sz="0" w:space="0" w:color="auto"/>
          </w:divBdr>
          <w:divsChild>
            <w:div w:id="1590312931">
              <w:marLeft w:val="0"/>
              <w:marRight w:val="0"/>
              <w:marTop w:val="0"/>
              <w:marBottom w:val="0"/>
              <w:divBdr>
                <w:top w:val="none" w:sz="0" w:space="0" w:color="auto"/>
                <w:left w:val="none" w:sz="0" w:space="0" w:color="auto"/>
                <w:bottom w:val="none" w:sz="0" w:space="0" w:color="auto"/>
                <w:right w:val="none" w:sz="0" w:space="0" w:color="auto"/>
              </w:divBdr>
            </w:div>
          </w:divsChild>
        </w:div>
        <w:div w:id="242643972">
          <w:marLeft w:val="0"/>
          <w:marRight w:val="0"/>
          <w:marTop w:val="0"/>
          <w:marBottom w:val="0"/>
          <w:divBdr>
            <w:top w:val="none" w:sz="0" w:space="0" w:color="auto"/>
            <w:left w:val="none" w:sz="0" w:space="0" w:color="auto"/>
            <w:bottom w:val="none" w:sz="0" w:space="0" w:color="auto"/>
            <w:right w:val="none" w:sz="0" w:space="0" w:color="auto"/>
          </w:divBdr>
          <w:divsChild>
            <w:div w:id="1548644337">
              <w:marLeft w:val="0"/>
              <w:marRight w:val="0"/>
              <w:marTop w:val="0"/>
              <w:marBottom w:val="0"/>
              <w:divBdr>
                <w:top w:val="none" w:sz="0" w:space="0" w:color="auto"/>
                <w:left w:val="none" w:sz="0" w:space="0" w:color="auto"/>
                <w:bottom w:val="none" w:sz="0" w:space="0" w:color="auto"/>
                <w:right w:val="none" w:sz="0" w:space="0" w:color="auto"/>
              </w:divBdr>
            </w:div>
          </w:divsChild>
        </w:div>
        <w:div w:id="250966618">
          <w:marLeft w:val="0"/>
          <w:marRight w:val="0"/>
          <w:marTop w:val="0"/>
          <w:marBottom w:val="0"/>
          <w:divBdr>
            <w:top w:val="none" w:sz="0" w:space="0" w:color="auto"/>
            <w:left w:val="none" w:sz="0" w:space="0" w:color="auto"/>
            <w:bottom w:val="none" w:sz="0" w:space="0" w:color="auto"/>
            <w:right w:val="none" w:sz="0" w:space="0" w:color="auto"/>
          </w:divBdr>
          <w:divsChild>
            <w:div w:id="1650550384">
              <w:marLeft w:val="0"/>
              <w:marRight w:val="0"/>
              <w:marTop w:val="0"/>
              <w:marBottom w:val="0"/>
              <w:divBdr>
                <w:top w:val="none" w:sz="0" w:space="0" w:color="auto"/>
                <w:left w:val="none" w:sz="0" w:space="0" w:color="auto"/>
                <w:bottom w:val="none" w:sz="0" w:space="0" w:color="auto"/>
                <w:right w:val="none" w:sz="0" w:space="0" w:color="auto"/>
              </w:divBdr>
            </w:div>
            <w:div w:id="1748960796">
              <w:marLeft w:val="0"/>
              <w:marRight w:val="0"/>
              <w:marTop w:val="0"/>
              <w:marBottom w:val="0"/>
              <w:divBdr>
                <w:top w:val="none" w:sz="0" w:space="0" w:color="auto"/>
                <w:left w:val="none" w:sz="0" w:space="0" w:color="auto"/>
                <w:bottom w:val="none" w:sz="0" w:space="0" w:color="auto"/>
                <w:right w:val="none" w:sz="0" w:space="0" w:color="auto"/>
              </w:divBdr>
            </w:div>
          </w:divsChild>
        </w:div>
        <w:div w:id="332538739">
          <w:marLeft w:val="0"/>
          <w:marRight w:val="0"/>
          <w:marTop w:val="0"/>
          <w:marBottom w:val="0"/>
          <w:divBdr>
            <w:top w:val="none" w:sz="0" w:space="0" w:color="auto"/>
            <w:left w:val="none" w:sz="0" w:space="0" w:color="auto"/>
            <w:bottom w:val="none" w:sz="0" w:space="0" w:color="auto"/>
            <w:right w:val="none" w:sz="0" w:space="0" w:color="auto"/>
          </w:divBdr>
          <w:divsChild>
            <w:div w:id="1773085712">
              <w:marLeft w:val="0"/>
              <w:marRight w:val="0"/>
              <w:marTop w:val="0"/>
              <w:marBottom w:val="0"/>
              <w:divBdr>
                <w:top w:val="none" w:sz="0" w:space="0" w:color="auto"/>
                <w:left w:val="none" w:sz="0" w:space="0" w:color="auto"/>
                <w:bottom w:val="none" w:sz="0" w:space="0" w:color="auto"/>
                <w:right w:val="none" w:sz="0" w:space="0" w:color="auto"/>
              </w:divBdr>
            </w:div>
          </w:divsChild>
        </w:div>
        <w:div w:id="352076287">
          <w:marLeft w:val="0"/>
          <w:marRight w:val="0"/>
          <w:marTop w:val="0"/>
          <w:marBottom w:val="0"/>
          <w:divBdr>
            <w:top w:val="none" w:sz="0" w:space="0" w:color="auto"/>
            <w:left w:val="none" w:sz="0" w:space="0" w:color="auto"/>
            <w:bottom w:val="none" w:sz="0" w:space="0" w:color="auto"/>
            <w:right w:val="none" w:sz="0" w:space="0" w:color="auto"/>
          </w:divBdr>
          <w:divsChild>
            <w:div w:id="593170430">
              <w:marLeft w:val="0"/>
              <w:marRight w:val="0"/>
              <w:marTop w:val="0"/>
              <w:marBottom w:val="0"/>
              <w:divBdr>
                <w:top w:val="none" w:sz="0" w:space="0" w:color="auto"/>
                <w:left w:val="none" w:sz="0" w:space="0" w:color="auto"/>
                <w:bottom w:val="none" w:sz="0" w:space="0" w:color="auto"/>
                <w:right w:val="none" w:sz="0" w:space="0" w:color="auto"/>
              </w:divBdr>
            </w:div>
            <w:div w:id="791097241">
              <w:marLeft w:val="0"/>
              <w:marRight w:val="0"/>
              <w:marTop w:val="0"/>
              <w:marBottom w:val="0"/>
              <w:divBdr>
                <w:top w:val="none" w:sz="0" w:space="0" w:color="auto"/>
                <w:left w:val="none" w:sz="0" w:space="0" w:color="auto"/>
                <w:bottom w:val="none" w:sz="0" w:space="0" w:color="auto"/>
                <w:right w:val="none" w:sz="0" w:space="0" w:color="auto"/>
              </w:divBdr>
            </w:div>
            <w:div w:id="1815103485">
              <w:marLeft w:val="0"/>
              <w:marRight w:val="0"/>
              <w:marTop w:val="0"/>
              <w:marBottom w:val="0"/>
              <w:divBdr>
                <w:top w:val="none" w:sz="0" w:space="0" w:color="auto"/>
                <w:left w:val="none" w:sz="0" w:space="0" w:color="auto"/>
                <w:bottom w:val="none" w:sz="0" w:space="0" w:color="auto"/>
                <w:right w:val="none" w:sz="0" w:space="0" w:color="auto"/>
              </w:divBdr>
            </w:div>
          </w:divsChild>
        </w:div>
        <w:div w:id="385380065">
          <w:marLeft w:val="0"/>
          <w:marRight w:val="0"/>
          <w:marTop w:val="0"/>
          <w:marBottom w:val="0"/>
          <w:divBdr>
            <w:top w:val="none" w:sz="0" w:space="0" w:color="auto"/>
            <w:left w:val="none" w:sz="0" w:space="0" w:color="auto"/>
            <w:bottom w:val="none" w:sz="0" w:space="0" w:color="auto"/>
            <w:right w:val="none" w:sz="0" w:space="0" w:color="auto"/>
          </w:divBdr>
          <w:divsChild>
            <w:div w:id="136185863">
              <w:marLeft w:val="0"/>
              <w:marRight w:val="0"/>
              <w:marTop w:val="0"/>
              <w:marBottom w:val="0"/>
              <w:divBdr>
                <w:top w:val="none" w:sz="0" w:space="0" w:color="auto"/>
                <w:left w:val="none" w:sz="0" w:space="0" w:color="auto"/>
                <w:bottom w:val="none" w:sz="0" w:space="0" w:color="auto"/>
                <w:right w:val="none" w:sz="0" w:space="0" w:color="auto"/>
              </w:divBdr>
            </w:div>
            <w:div w:id="220599918">
              <w:marLeft w:val="0"/>
              <w:marRight w:val="0"/>
              <w:marTop w:val="0"/>
              <w:marBottom w:val="0"/>
              <w:divBdr>
                <w:top w:val="none" w:sz="0" w:space="0" w:color="auto"/>
                <w:left w:val="none" w:sz="0" w:space="0" w:color="auto"/>
                <w:bottom w:val="none" w:sz="0" w:space="0" w:color="auto"/>
                <w:right w:val="none" w:sz="0" w:space="0" w:color="auto"/>
              </w:divBdr>
            </w:div>
            <w:div w:id="249317942">
              <w:marLeft w:val="0"/>
              <w:marRight w:val="0"/>
              <w:marTop w:val="0"/>
              <w:marBottom w:val="0"/>
              <w:divBdr>
                <w:top w:val="none" w:sz="0" w:space="0" w:color="auto"/>
                <w:left w:val="none" w:sz="0" w:space="0" w:color="auto"/>
                <w:bottom w:val="none" w:sz="0" w:space="0" w:color="auto"/>
                <w:right w:val="none" w:sz="0" w:space="0" w:color="auto"/>
              </w:divBdr>
            </w:div>
            <w:div w:id="2068528162">
              <w:marLeft w:val="0"/>
              <w:marRight w:val="0"/>
              <w:marTop w:val="0"/>
              <w:marBottom w:val="0"/>
              <w:divBdr>
                <w:top w:val="none" w:sz="0" w:space="0" w:color="auto"/>
                <w:left w:val="none" w:sz="0" w:space="0" w:color="auto"/>
                <w:bottom w:val="none" w:sz="0" w:space="0" w:color="auto"/>
                <w:right w:val="none" w:sz="0" w:space="0" w:color="auto"/>
              </w:divBdr>
            </w:div>
          </w:divsChild>
        </w:div>
        <w:div w:id="465397416">
          <w:marLeft w:val="0"/>
          <w:marRight w:val="0"/>
          <w:marTop w:val="0"/>
          <w:marBottom w:val="0"/>
          <w:divBdr>
            <w:top w:val="none" w:sz="0" w:space="0" w:color="auto"/>
            <w:left w:val="none" w:sz="0" w:space="0" w:color="auto"/>
            <w:bottom w:val="none" w:sz="0" w:space="0" w:color="auto"/>
            <w:right w:val="none" w:sz="0" w:space="0" w:color="auto"/>
          </w:divBdr>
          <w:divsChild>
            <w:div w:id="1537087273">
              <w:marLeft w:val="0"/>
              <w:marRight w:val="0"/>
              <w:marTop w:val="0"/>
              <w:marBottom w:val="0"/>
              <w:divBdr>
                <w:top w:val="none" w:sz="0" w:space="0" w:color="auto"/>
                <w:left w:val="none" w:sz="0" w:space="0" w:color="auto"/>
                <w:bottom w:val="none" w:sz="0" w:space="0" w:color="auto"/>
                <w:right w:val="none" w:sz="0" w:space="0" w:color="auto"/>
              </w:divBdr>
            </w:div>
          </w:divsChild>
        </w:div>
        <w:div w:id="486942279">
          <w:marLeft w:val="0"/>
          <w:marRight w:val="0"/>
          <w:marTop w:val="0"/>
          <w:marBottom w:val="0"/>
          <w:divBdr>
            <w:top w:val="none" w:sz="0" w:space="0" w:color="auto"/>
            <w:left w:val="none" w:sz="0" w:space="0" w:color="auto"/>
            <w:bottom w:val="none" w:sz="0" w:space="0" w:color="auto"/>
            <w:right w:val="none" w:sz="0" w:space="0" w:color="auto"/>
          </w:divBdr>
          <w:divsChild>
            <w:div w:id="85924520">
              <w:marLeft w:val="0"/>
              <w:marRight w:val="0"/>
              <w:marTop w:val="0"/>
              <w:marBottom w:val="0"/>
              <w:divBdr>
                <w:top w:val="none" w:sz="0" w:space="0" w:color="auto"/>
                <w:left w:val="none" w:sz="0" w:space="0" w:color="auto"/>
                <w:bottom w:val="none" w:sz="0" w:space="0" w:color="auto"/>
                <w:right w:val="none" w:sz="0" w:space="0" w:color="auto"/>
              </w:divBdr>
            </w:div>
            <w:div w:id="1695809553">
              <w:marLeft w:val="0"/>
              <w:marRight w:val="0"/>
              <w:marTop w:val="0"/>
              <w:marBottom w:val="0"/>
              <w:divBdr>
                <w:top w:val="none" w:sz="0" w:space="0" w:color="auto"/>
                <w:left w:val="none" w:sz="0" w:space="0" w:color="auto"/>
                <w:bottom w:val="none" w:sz="0" w:space="0" w:color="auto"/>
                <w:right w:val="none" w:sz="0" w:space="0" w:color="auto"/>
              </w:divBdr>
            </w:div>
            <w:div w:id="1845243236">
              <w:marLeft w:val="0"/>
              <w:marRight w:val="0"/>
              <w:marTop w:val="0"/>
              <w:marBottom w:val="0"/>
              <w:divBdr>
                <w:top w:val="none" w:sz="0" w:space="0" w:color="auto"/>
                <w:left w:val="none" w:sz="0" w:space="0" w:color="auto"/>
                <w:bottom w:val="none" w:sz="0" w:space="0" w:color="auto"/>
                <w:right w:val="none" w:sz="0" w:space="0" w:color="auto"/>
              </w:divBdr>
            </w:div>
            <w:div w:id="1938251678">
              <w:marLeft w:val="0"/>
              <w:marRight w:val="0"/>
              <w:marTop w:val="0"/>
              <w:marBottom w:val="0"/>
              <w:divBdr>
                <w:top w:val="none" w:sz="0" w:space="0" w:color="auto"/>
                <w:left w:val="none" w:sz="0" w:space="0" w:color="auto"/>
                <w:bottom w:val="none" w:sz="0" w:space="0" w:color="auto"/>
                <w:right w:val="none" w:sz="0" w:space="0" w:color="auto"/>
              </w:divBdr>
            </w:div>
          </w:divsChild>
        </w:div>
        <w:div w:id="487745344">
          <w:marLeft w:val="0"/>
          <w:marRight w:val="0"/>
          <w:marTop w:val="0"/>
          <w:marBottom w:val="0"/>
          <w:divBdr>
            <w:top w:val="none" w:sz="0" w:space="0" w:color="auto"/>
            <w:left w:val="none" w:sz="0" w:space="0" w:color="auto"/>
            <w:bottom w:val="none" w:sz="0" w:space="0" w:color="auto"/>
            <w:right w:val="none" w:sz="0" w:space="0" w:color="auto"/>
          </w:divBdr>
          <w:divsChild>
            <w:div w:id="21908890">
              <w:marLeft w:val="0"/>
              <w:marRight w:val="0"/>
              <w:marTop w:val="0"/>
              <w:marBottom w:val="0"/>
              <w:divBdr>
                <w:top w:val="none" w:sz="0" w:space="0" w:color="auto"/>
                <w:left w:val="none" w:sz="0" w:space="0" w:color="auto"/>
                <w:bottom w:val="none" w:sz="0" w:space="0" w:color="auto"/>
                <w:right w:val="none" w:sz="0" w:space="0" w:color="auto"/>
              </w:divBdr>
            </w:div>
            <w:div w:id="642932280">
              <w:marLeft w:val="0"/>
              <w:marRight w:val="0"/>
              <w:marTop w:val="0"/>
              <w:marBottom w:val="0"/>
              <w:divBdr>
                <w:top w:val="none" w:sz="0" w:space="0" w:color="auto"/>
                <w:left w:val="none" w:sz="0" w:space="0" w:color="auto"/>
                <w:bottom w:val="none" w:sz="0" w:space="0" w:color="auto"/>
                <w:right w:val="none" w:sz="0" w:space="0" w:color="auto"/>
              </w:divBdr>
            </w:div>
            <w:div w:id="933318230">
              <w:marLeft w:val="0"/>
              <w:marRight w:val="0"/>
              <w:marTop w:val="0"/>
              <w:marBottom w:val="0"/>
              <w:divBdr>
                <w:top w:val="none" w:sz="0" w:space="0" w:color="auto"/>
                <w:left w:val="none" w:sz="0" w:space="0" w:color="auto"/>
                <w:bottom w:val="none" w:sz="0" w:space="0" w:color="auto"/>
                <w:right w:val="none" w:sz="0" w:space="0" w:color="auto"/>
              </w:divBdr>
            </w:div>
            <w:div w:id="1009870052">
              <w:marLeft w:val="0"/>
              <w:marRight w:val="0"/>
              <w:marTop w:val="0"/>
              <w:marBottom w:val="0"/>
              <w:divBdr>
                <w:top w:val="none" w:sz="0" w:space="0" w:color="auto"/>
                <w:left w:val="none" w:sz="0" w:space="0" w:color="auto"/>
                <w:bottom w:val="none" w:sz="0" w:space="0" w:color="auto"/>
                <w:right w:val="none" w:sz="0" w:space="0" w:color="auto"/>
              </w:divBdr>
            </w:div>
          </w:divsChild>
        </w:div>
        <w:div w:id="491919664">
          <w:marLeft w:val="0"/>
          <w:marRight w:val="0"/>
          <w:marTop w:val="0"/>
          <w:marBottom w:val="0"/>
          <w:divBdr>
            <w:top w:val="none" w:sz="0" w:space="0" w:color="auto"/>
            <w:left w:val="none" w:sz="0" w:space="0" w:color="auto"/>
            <w:bottom w:val="none" w:sz="0" w:space="0" w:color="auto"/>
            <w:right w:val="none" w:sz="0" w:space="0" w:color="auto"/>
          </w:divBdr>
          <w:divsChild>
            <w:div w:id="379748212">
              <w:marLeft w:val="0"/>
              <w:marRight w:val="0"/>
              <w:marTop w:val="0"/>
              <w:marBottom w:val="0"/>
              <w:divBdr>
                <w:top w:val="none" w:sz="0" w:space="0" w:color="auto"/>
                <w:left w:val="none" w:sz="0" w:space="0" w:color="auto"/>
                <w:bottom w:val="none" w:sz="0" w:space="0" w:color="auto"/>
                <w:right w:val="none" w:sz="0" w:space="0" w:color="auto"/>
              </w:divBdr>
            </w:div>
            <w:div w:id="478379055">
              <w:marLeft w:val="0"/>
              <w:marRight w:val="0"/>
              <w:marTop w:val="0"/>
              <w:marBottom w:val="0"/>
              <w:divBdr>
                <w:top w:val="none" w:sz="0" w:space="0" w:color="auto"/>
                <w:left w:val="none" w:sz="0" w:space="0" w:color="auto"/>
                <w:bottom w:val="none" w:sz="0" w:space="0" w:color="auto"/>
                <w:right w:val="none" w:sz="0" w:space="0" w:color="auto"/>
              </w:divBdr>
            </w:div>
            <w:div w:id="618148521">
              <w:marLeft w:val="0"/>
              <w:marRight w:val="0"/>
              <w:marTop w:val="0"/>
              <w:marBottom w:val="0"/>
              <w:divBdr>
                <w:top w:val="none" w:sz="0" w:space="0" w:color="auto"/>
                <w:left w:val="none" w:sz="0" w:space="0" w:color="auto"/>
                <w:bottom w:val="none" w:sz="0" w:space="0" w:color="auto"/>
                <w:right w:val="none" w:sz="0" w:space="0" w:color="auto"/>
              </w:divBdr>
            </w:div>
            <w:div w:id="793014684">
              <w:marLeft w:val="0"/>
              <w:marRight w:val="0"/>
              <w:marTop w:val="0"/>
              <w:marBottom w:val="0"/>
              <w:divBdr>
                <w:top w:val="none" w:sz="0" w:space="0" w:color="auto"/>
                <w:left w:val="none" w:sz="0" w:space="0" w:color="auto"/>
                <w:bottom w:val="none" w:sz="0" w:space="0" w:color="auto"/>
                <w:right w:val="none" w:sz="0" w:space="0" w:color="auto"/>
              </w:divBdr>
            </w:div>
          </w:divsChild>
        </w:div>
        <w:div w:id="581914351">
          <w:marLeft w:val="0"/>
          <w:marRight w:val="0"/>
          <w:marTop w:val="0"/>
          <w:marBottom w:val="0"/>
          <w:divBdr>
            <w:top w:val="none" w:sz="0" w:space="0" w:color="auto"/>
            <w:left w:val="none" w:sz="0" w:space="0" w:color="auto"/>
            <w:bottom w:val="none" w:sz="0" w:space="0" w:color="auto"/>
            <w:right w:val="none" w:sz="0" w:space="0" w:color="auto"/>
          </w:divBdr>
          <w:divsChild>
            <w:div w:id="564798779">
              <w:marLeft w:val="0"/>
              <w:marRight w:val="0"/>
              <w:marTop w:val="0"/>
              <w:marBottom w:val="0"/>
              <w:divBdr>
                <w:top w:val="none" w:sz="0" w:space="0" w:color="auto"/>
                <w:left w:val="none" w:sz="0" w:space="0" w:color="auto"/>
                <w:bottom w:val="none" w:sz="0" w:space="0" w:color="auto"/>
                <w:right w:val="none" w:sz="0" w:space="0" w:color="auto"/>
              </w:divBdr>
            </w:div>
            <w:div w:id="972100795">
              <w:marLeft w:val="0"/>
              <w:marRight w:val="0"/>
              <w:marTop w:val="0"/>
              <w:marBottom w:val="0"/>
              <w:divBdr>
                <w:top w:val="none" w:sz="0" w:space="0" w:color="auto"/>
                <w:left w:val="none" w:sz="0" w:space="0" w:color="auto"/>
                <w:bottom w:val="none" w:sz="0" w:space="0" w:color="auto"/>
                <w:right w:val="none" w:sz="0" w:space="0" w:color="auto"/>
              </w:divBdr>
            </w:div>
            <w:div w:id="1191335950">
              <w:marLeft w:val="0"/>
              <w:marRight w:val="0"/>
              <w:marTop w:val="0"/>
              <w:marBottom w:val="0"/>
              <w:divBdr>
                <w:top w:val="none" w:sz="0" w:space="0" w:color="auto"/>
                <w:left w:val="none" w:sz="0" w:space="0" w:color="auto"/>
                <w:bottom w:val="none" w:sz="0" w:space="0" w:color="auto"/>
                <w:right w:val="none" w:sz="0" w:space="0" w:color="auto"/>
              </w:divBdr>
            </w:div>
            <w:div w:id="1534612847">
              <w:marLeft w:val="0"/>
              <w:marRight w:val="0"/>
              <w:marTop w:val="0"/>
              <w:marBottom w:val="0"/>
              <w:divBdr>
                <w:top w:val="none" w:sz="0" w:space="0" w:color="auto"/>
                <w:left w:val="none" w:sz="0" w:space="0" w:color="auto"/>
                <w:bottom w:val="none" w:sz="0" w:space="0" w:color="auto"/>
                <w:right w:val="none" w:sz="0" w:space="0" w:color="auto"/>
              </w:divBdr>
            </w:div>
            <w:div w:id="1732732023">
              <w:marLeft w:val="0"/>
              <w:marRight w:val="0"/>
              <w:marTop w:val="0"/>
              <w:marBottom w:val="0"/>
              <w:divBdr>
                <w:top w:val="none" w:sz="0" w:space="0" w:color="auto"/>
                <w:left w:val="none" w:sz="0" w:space="0" w:color="auto"/>
                <w:bottom w:val="none" w:sz="0" w:space="0" w:color="auto"/>
                <w:right w:val="none" w:sz="0" w:space="0" w:color="auto"/>
              </w:divBdr>
            </w:div>
          </w:divsChild>
        </w:div>
        <w:div w:id="650595625">
          <w:marLeft w:val="0"/>
          <w:marRight w:val="0"/>
          <w:marTop w:val="0"/>
          <w:marBottom w:val="0"/>
          <w:divBdr>
            <w:top w:val="none" w:sz="0" w:space="0" w:color="auto"/>
            <w:left w:val="none" w:sz="0" w:space="0" w:color="auto"/>
            <w:bottom w:val="none" w:sz="0" w:space="0" w:color="auto"/>
            <w:right w:val="none" w:sz="0" w:space="0" w:color="auto"/>
          </w:divBdr>
          <w:divsChild>
            <w:div w:id="1328291326">
              <w:marLeft w:val="0"/>
              <w:marRight w:val="0"/>
              <w:marTop w:val="0"/>
              <w:marBottom w:val="0"/>
              <w:divBdr>
                <w:top w:val="none" w:sz="0" w:space="0" w:color="auto"/>
                <w:left w:val="none" w:sz="0" w:space="0" w:color="auto"/>
                <w:bottom w:val="none" w:sz="0" w:space="0" w:color="auto"/>
                <w:right w:val="none" w:sz="0" w:space="0" w:color="auto"/>
              </w:divBdr>
            </w:div>
          </w:divsChild>
        </w:div>
        <w:div w:id="694042485">
          <w:marLeft w:val="0"/>
          <w:marRight w:val="0"/>
          <w:marTop w:val="0"/>
          <w:marBottom w:val="0"/>
          <w:divBdr>
            <w:top w:val="none" w:sz="0" w:space="0" w:color="auto"/>
            <w:left w:val="none" w:sz="0" w:space="0" w:color="auto"/>
            <w:bottom w:val="none" w:sz="0" w:space="0" w:color="auto"/>
            <w:right w:val="none" w:sz="0" w:space="0" w:color="auto"/>
          </w:divBdr>
          <w:divsChild>
            <w:div w:id="57637060">
              <w:marLeft w:val="0"/>
              <w:marRight w:val="0"/>
              <w:marTop w:val="0"/>
              <w:marBottom w:val="0"/>
              <w:divBdr>
                <w:top w:val="none" w:sz="0" w:space="0" w:color="auto"/>
                <w:left w:val="none" w:sz="0" w:space="0" w:color="auto"/>
                <w:bottom w:val="none" w:sz="0" w:space="0" w:color="auto"/>
                <w:right w:val="none" w:sz="0" w:space="0" w:color="auto"/>
              </w:divBdr>
            </w:div>
            <w:div w:id="1048650357">
              <w:marLeft w:val="0"/>
              <w:marRight w:val="0"/>
              <w:marTop w:val="0"/>
              <w:marBottom w:val="0"/>
              <w:divBdr>
                <w:top w:val="none" w:sz="0" w:space="0" w:color="auto"/>
                <w:left w:val="none" w:sz="0" w:space="0" w:color="auto"/>
                <w:bottom w:val="none" w:sz="0" w:space="0" w:color="auto"/>
                <w:right w:val="none" w:sz="0" w:space="0" w:color="auto"/>
              </w:divBdr>
            </w:div>
          </w:divsChild>
        </w:div>
        <w:div w:id="766122501">
          <w:marLeft w:val="0"/>
          <w:marRight w:val="0"/>
          <w:marTop w:val="0"/>
          <w:marBottom w:val="0"/>
          <w:divBdr>
            <w:top w:val="none" w:sz="0" w:space="0" w:color="auto"/>
            <w:left w:val="none" w:sz="0" w:space="0" w:color="auto"/>
            <w:bottom w:val="none" w:sz="0" w:space="0" w:color="auto"/>
            <w:right w:val="none" w:sz="0" w:space="0" w:color="auto"/>
          </w:divBdr>
          <w:divsChild>
            <w:div w:id="519127330">
              <w:marLeft w:val="0"/>
              <w:marRight w:val="0"/>
              <w:marTop w:val="0"/>
              <w:marBottom w:val="0"/>
              <w:divBdr>
                <w:top w:val="none" w:sz="0" w:space="0" w:color="auto"/>
                <w:left w:val="none" w:sz="0" w:space="0" w:color="auto"/>
                <w:bottom w:val="none" w:sz="0" w:space="0" w:color="auto"/>
                <w:right w:val="none" w:sz="0" w:space="0" w:color="auto"/>
              </w:divBdr>
            </w:div>
            <w:div w:id="920599506">
              <w:marLeft w:val="0"/>
              <w:marRight w:val="0"/>
              <w:marTop w:val="0"/>
              <w:marBottom w:val="0"/>
              <w:divBdr>
                <w:top w:val="none" w:sz="0" w:space="0" w:color="auto"/>
                <w:left w:val="none" w:sz="0" w:space="0" w:color="auto"/>
                <w:bottom w:val="none" w:sz="0" w:space="0" w:color="auto"/>
                <w:right w:val="none" w:sz="0" w:space="0" w:color="auto"/>
              </w:divBdr>
            </w:div>
            <w:div w:id="1456750744">
              <w:marLeft w:val="0"/>
              <w:marRight w:val="0"/>
              <w:marTop w:val="0"/>
              <w:marBottom w:val="0"/>
              <w:divBdr>
                <w:top w:val="none" w:sz="0" w:space="0" w:color="auto"/>
                <w:left w:val="none" w:sz="0" w:space="0" w:color="auto"/>
                <w:bottom w:val="none" w:sz="0" w:space="0" w:color="auto"/>
                <w:right w:val="none" w:sz="0" w:space="0" w:color="auto"/>
              </w:divBdr>
            </w:div>
            <w:div w:id="1760253581">
              <w:marLeft w:val="0"/>
              <w:marRight w:val="0"/>
              <w:marTop w:val="0"/>
              <w:marBottom w:val="0"/>
              <w:divBdr>
                <w:top w:val="none" w:sz="0" w:space="0" w:color="auto"/>
                <w:left w:val="none" w:sz="0" w:space="0" w:color="auto"/>
                <w:bottom w:val="none" w:sz="0" w:space="0" w:color="auto"/>
                <w:right w:val="none" w:sz="0" w:space="0" w:color="auto"/>
              </w:divBdr>
            </w:div>
          </w:divsChild>
        </w:div>
        <w:div w:id="789206748">
          <w:marLeft w:val="0"/>
          <w:marRight w:val="0"/>
          <w:marTop w:val="0"/>
          <w:marBottom w:val="0"/>
          <w:divBdr>
            <w:top w:val="none" w:sz="0" w:space="0" w:color="auto"/>
            <w:left w:val="none" w:sz="0" w:space="0" w:color="auto"/>
            <w:bottom w:val="none" w:sz="0" w:space="0" w:color="auto"/>
            <w:right w:val="none" w:sz="0" w:space="0" w:color="auto"/>
          </w:divBdr>
          <w:divsChild>
            <w:div w:id="561252616">
              <w:marLeft w:val="0"/>
              <w:marRight w:val="0"/>
              <w:marTop w:val="0"/>
              <w:marBottom w:val="0"/>
              <w:divBdr>
                <w:top w:val="none" w:sz="0" w:space="0" w:color="auto"/>
                <w:left w:val="none" w:sz="0" w:space="0" w:color="auto"/>
                <w:bottom w:val="none" w:sz="0" w:space="0" w:color="auto"/>
                <w:right w:val="none" w:sz="0" w:space="0" w:color="auto"/>
              </w:divBdr>
            </w:div>
            <w:div w:id="1367294846">
              <w:marLeft w:val="0"/>
              <w:marRight w:val="0"/>
              <w:marTop w:val="0"/>
              <w:marBottom w:val="0"/>
              <w:divBdr>
                <w:top w:val="none" w:sz="0" w:space="0" w:color="auto"/>
                <w:left w:val="none" w:sz="0" w:space="0" w:color="auto"/>
                <w:bottom w:val="none" w:sz="0" w:space="0" w:color="auto"/>
                <w:right w:val="none" w:sz="0" w:space="0" w:color="auto"/>
              </w:divBdr>
            </w:div>
            <w:div w:id="1480347423">
              <w:marLeft w:val="0"/>
              <w:marRight w:val="0"/>
              <w:marTop w:val="0"/>
              <w:marBottom w:val="0"/>
              <w:divBdr>
                <w:top w:val="none" w:sz="0" w:space="0" w:color="auto"/>
                <w:left w:val="none" w:sz="0" w:space="0" w:color="auto"/>
                <w:bottom w:val="none" w:sz="0" w:space="0" w:color="auto"/>
                <w:right w:val="none" w:sz="0" w:space="0" w:color="auto"/>
              </w:divBdr>
            </w:div>
            <w:div w:id="1871184626">
              <w:marLeft w:val="0"/>
              <w:marRight w:val="0"/>
              <w:marTop w:val="0"/>
              <w:marBottom w:val="0"/>
              <w:divBdr>
                <w:top w:val="none" w:sz="0" w:space="0" w:color="auto"/>
                <w:left w:val="none" w:sz="0" w:space="0" w:color="auto"/>
                <w:bottom w:val="none" w:sz="0" w:space="0" w:color="auto"/>
                <w:right w:val="none" w:sz="0" w:space="0" w:color="auto"/>
              </w:divBdr>
            </w:div>
            <w:div w:id="2020230366">
              <w:marLeft w:val="0"/>
              <w:marRight w:val="0"/>
              <w:marTop w:val="0"/>
              <w:marBottom w:val="0"/>
              <w:divBdr>
                <w:top w:val="none" w:sz="0" w:space="0" w:color="auto"/>
                <w:left w:val="none" w:sz="0" w:space="0" w:color="auto"/>
                <w:bottom w:val="none" w:sz="0" w:space="0" w:color="auto"/>
                <w:right w:val="none" w:sz="0" w:space="0" w:color="auto"/>
              </w:divBdr>
            </w:div>
            <w:div w:id="2045130834">
              <w:marLeft w:val="0"/>
              <w:marRight w:val="0"/>
              <w:marTop w:val="0"/>
              <w:marBottom w:val="0"/>
              <w:divBdr>
                <w:top w:val="none" w:sz="0" w:space="0" w:color="auto"/>
                <w:left w:val="none" w:sz="0" w:space="0" w:color="auto"/>
                <w:bottom w:val="none" w:sz="0" w:space="0" w:color="auto"/>
                <w:right w:val="none" w:sz="0" w:space="0" w:color="auto"/>
              </w:divBdr>
            </w:div>
            <w:div w:id="2066758748">
              <w:marLeft w:val="0"/>
              <w:marRight w:val="0"/>
              <w:marTop w:val="0"/>
              <w:marBottom w:val="0"/>
              <w:divBdr>
                <w:top w:val="none" w:sz="0" w:space="0" w:color="auto"/>
                <w:left w:val="none" w:sz="0" w:space="0" w:color="auto"/>
                <w:bottom w:val="none" w:sz="0" w:space="0" w:color="auto"/>
                <w:right w:val="none" w:sz="0" w:space="0" w:color="auto"/>
              </w:divBdr>
            </w:div>
          </w:divsChild>
        </w:div>
        <w:div w:id="789398225">
          <w:marLeft w:val="0"/>
          <w:marRight w:val="0"/>
          <w:marTop w:val="0"/>
          <w:marBottom w:val="0"/>
          <w:divBdr>
            <w:top w:val="none" w:sz="0" w:space="0" w:color="auto"/>
            <w:left w:val="none" w:sz="0" w:space="0" w:color="auto"/>
            <w:bottom w:val="none" w:sz="0" w:space="0" w:color="auto"/>
            <w:right w:val="none" w:sz="0" w:space="0" w:color="auto"/>
          </w:divBdr>
          <w:divsChild>
            <w:div w:id="80564526">
              <w:marLeft w:val="0"/>
              <w:marRight w:val="0"/>
              <w:marTop w:val="0"/>
              <w:marBottom w:val="0"/>
              <w:divBdr>
                <w:top w:val="none" w:sz="0" w:space="0" w:color="auto"/>
                <w:left w:val="none" w:sz="0" w:space="0" w:color="auto"/>
                <w:bottom w:val="none" w:sz="0" w:space="0" w:color="auto"/>
                <w:right w:val="none" w:sz="0" w:space="0" w:color="auto"/>
              </w:divBdr>
            </w:div>
            <w:div w:id="971056209">
              <w:marLeft w:val="0"/>
              <w:marRight w:val="0"/>
              <w:marTop w:val="0"/>
              <w:marBottom w:val="0"/>
              <w:divBdr>
                <w:top w:val="none" w:sz="0" w:space="0" w:color="auto"/>
                <w:left w:val="none" w:sz="0" w:space="0" w:color="auto"/>
                <w:bottom w:val="none" w:sz="0" w:space="0" w:color="auto"/>
                <w:right w:val="none" w:sz="0" w:space="0" w:color="auto"/>
              </w:divBdr>
            </w:div>
            <w:div w:id="1305817559">
              <w:marLeft w:val="0"/>
              <w:marRight w:val="0"/>
              <w:marTop w:val="0"/>
              <w:marBottom w:val="0"/>
              <w:divBdr>
                <w:top w:val="none" w:sz="0" w:space="0" w:color="auto"/>
                <w:left w:val="none" w:sz="0" w:space="0" w:color="auto"/>
                <w:bottom w:val="none" w:sz="0" w:space="0" w:color="auto"/>
                <w:right w:val="none" w:sz="0" w:space="0" w:color="auto"/>
              </w:divBdr>
            </w:div>
            <w:div w:id="1573198627">
              <w:marLeft w:val="0"/>
              <w:marRight w:val="0"/>
              <w:marTop w:val="0"/>
              <w:marBottom w:val="0"/>
              <w:divBdr>
                <w:top w:val="none" w:sz="0" w:space="0" w:color="auto"/>
                <w:left w:val="none" w:sz="0" w:space="0" w:color="auto"/>
                <w:bottom w:val="none" w:sz="0" w:space="0" w:color="auto"/>
                <w:right w:val="none" w:sz="0" w:space="0" w:color="auto"/>
              </w:divBdr>
            </w:div>
            <w:div w:id="2064720142">
              <w:marLeft w:val="0"/>
              <w:marRight w:val="0"/>
              <w:marTop w:val="0"/>
              <w:marBottom w:val="0"/>
              <w:divBdr>
                <w:top w:val="none" w:sz="0" w:space="0" w:color="auto"/>
                <w:left w:val="none" w:sz="0" w:space="0" w:color="auto"/>
                <w:bottom w:val="none" w:sz="0" w:space="0" w:color="auto"/>
                <w:right w:val="none" w:sz="0" w:space="0" w:color="auto"/>
              </w:divBdr>
            </w:div>
            <w:div w:id="2065717312">
              <w:marLeft w:val="0"/>
              <w:marRight w:val="0"/>
              <w:marTop w:val="0"/>
              <w:marBottom w:val="0"/>
              <w:divBdr>
                <w:top w:val="none" w:sz="0" w:space="0" w:color="auto"/>
                <w:left w:val="none" w:sz="0" w:space="0" w:color="auto"/>
                <w:bottom w:val="none" w:sz="0" w:space="0" w:color="auto"/>
                <w:right w:val="none" w:sz="0" w:space="0" w:color="auto"/>
              </w:divBdr>
            </w:div>
          </w:divsChild>
        </w:div>
        <w:div w:id="887229926">
          <w:marLeft w:val="0"/>
          <w:marRight w:val="0"/>
          <w:marTop w:val="0"/>
          <w:marBottom w:val="0"/>
          <w:divBdr>
            <w:top w:val="none" w:sz="0" w:space="0" w:color="auto"/>
            <w:left w:val="none" w:sz="0" w:space="0" w:color="auto"/>
            <w:bottom w:val="none" w:sz="0" w:space="0" w:color="auto"/>
            <w:right w:val="none" w:sz="0" w:space="0" w:color="auto"/>
          </w:divBdr>
          <w:divsChild>
            <w:div w:id="24798076">
              <w:marLeft w:val="0"/>
              <w:marRight w:val="0"/>
              <w:marTop w:val="0"/>
              <w:marBottom w:val="0"/>
              <w:divBdr>
                <w:top w:val="none" w:sz="0" w:space="0" w:color="auto"/>
                <w:left w:val="none" w:sz="0" w:space="0" w:color="auto"/>
                <w:bottom w:val="none" w:sz="0" w:space="0" w:color="auto"/>
                <w:right w:val="none" w:sz="0" w:space="0" w:color="auto"/>
              </w:divBdr>
            </w:div>
          </w:divsChild>
        </w:div>
        <w:div w:id="896740354">
          <w:marLeft w:val="0"/>
          <w:marRight w:val="0"/>
          <w:marTop w:val="0"/>
          <w:marBottom w:val="0"/>
          <w:divBdr>
            <w:top w:val="none" w:sz="0" w:space="0" w:color="auto"/>
            <w:left w:val="none" w:sz="0" w:space="0" w:color="auto"/>
            <w:bottom w:val="none" w:sz="0" w:space="0" w:color="auto"/>
            <w:right w:val="none" w:sz="0" w:space="0" w:color="auto"/>
          </w:divBdr>
          <w:divsChild>
            <w:div w:id="265189809">
              <w:marLeft w:val="0"/>
              <w:marRight w:val="0"/>
              <w:marTop w:val="0"/>
              <w:marBottom w:val="0"/>
              <w:divBdr>
                <w:top w:val="none" w:sz="0" w:space="0" w:color="auto"/>
                <w:left w:val="none" w:sz="0" w:space="0" w:color="auto"/>
                <w:bottom w:val="none" w:sz="0" w:space="0" w:color="auto"/>
                <w:right w:val="none" w:sz="0" w:space="0" w:color="auto"/>
              </w:divBdr>
            </w:div>
          </w:divsChild>
        </w:div>
        <w:div w:id="946812351">
          <w:marLeft w:val="0"/>
          <w:marRight w:val="0"/>
          <w:marTop w:val="0"/>
          <w:marBottom w:val="0"/>
          <w:divBdr>
            <w:top w:val="none" w:sz="0" w:space="0" w:color="auto"/>
            <w:left w:val="none" w:sz="0" w:space="0" w:color="auto"/>
            <w:bottom w:val="none" w:sz="0" w:space="0" w:color="auto"/>
            <w:right w:val="none" w:sz="0" w:space="0" w:color="auto"/>
          </w:divBdr>
          <w:divsChild>
            <w:div w:id="1171137713">
              <w:marLeft w:val="0"/>
              <w:marRight w:val="0"/>
              <w:marTop w:val="0"/>
              <w:marBottom w:val="0"/>
              <w:divBdr>
                <w:top w:val="none" w:sz="0" w:space="0" w:color="auto"/>
                <w:left w:val="none" w:sz="0" w:space="0" w:color="auto"/>
                <w:bottom w:val="none" w:sz="0" w:space="0" w:color="auto"/>
                <w:right w:val="none" w:sz="0" w:space="0" w:color="auto"/>
              </w:divBdr>
            </w:div>
          </w:divsChild>
        </w:div>
        <w:div w:id="971519938">
          <w:marLeft w:val="0"/>
          <w:marRight w:val="0"/>
          <w:marTop w:val="0"/>
          <w:marBottom w:val="0"/>
          <w:divBdr>
            <w:top w:val="none" w:sz="0" w:space="0" w:color="auto"/>
            <w:left w:val="none" w:sz="0" w:space="0" w:color="auto"/>
            <w:bottom w:val="none" w:sz="0" w:space="0" w:color="auto"/>
            <w:right w:val="none" w:sz="0" w:space="0" w:color="auto"/>
          </w:divBdr>
          <w:divsChild>
            <w:div w:id="1517882784">
              <w:marLeft w:val="0"/>
              <w:marRight w:val="0"/>
              <w:marTop w:val="0"/>
              <w:marBottom w:val="0"/>
              <w:divBdr>
                <w:top w:val="none" w:sz="0" w:space="0" w:color="auto"/>
                <w:left w:val="none" w:sz="0" w:space="0" w:color="auto"/>
                <w:bottom w:val="none" w:sz="0" w:space="0" w:color="auto"/>
                <w:right w:val="none" w:sz="0" w:space="0" w:color="auto"/>
              </w:divBdr>
            </w:div>
          </w:divsChild>
        </w:div>
        <w:div w:id="1020662452">
          <w:marLeft w:val="0"/>
          <w:marRight w:val="0"/>
          <w:marTop w:val="0"/>
          <w:marBottom w:val="0"/>
          <w:divBdr>
            <w:top w:val="none" w:sz="0" w:space="0" w:color="auto"/>
            <w:left w:val="none" w:sz="0" w:space="0" w:color="auto"/>
            <w:bottom w:val="none" w:sz="0" w:space="0" w:color="auto"/>
            <w:right w:val="none" w:sz="0" w:space="0" w:color="auto"/>
          </w:divBdr>
          <w:divsChild>
            <w:div w:id="1921985035">
              <w:marLeft w:val="0"/>
              <w:marRight w:val="0"/>
              <w:marTop w:val="0"/>
              <w:marBottom w:val="0"/>
              <w:divBdr>
                <w:top w:val="none" w:sz="0" w:space="0" w:color="auto"/>
                <w:left w:val="none" w:sz="0" w:space="0" w:color="auto"/>
                <w:bottom w:val="none" w:sz="0" w:space="0" w:color="auto"/>
                <w:right w:val="none" w:sz="0" w:space="0" w:color="auto"/>
              </w:divBdr>
            </w:div>
            <w:div w:id="2019652047">
              <w:marLeft w:val="0"/>
              <w:marRight w:val="0"/>
              <w:marTop w:val="0"/>
              <w:marBottom w:val="0"/>
              <w:divBdr>
                <w:top w:val="none" w:sz="0" w:space="0" w:color="auto"/>
                <w:left w:val="none" w:sz="0" w:space="0" w:color="auto"/>
                <w:bottom w:val="none" w:sz="0" w:space="0" w:color="auto"/>
                <w:right w:val="none" w:sz="0" w:space="0" w:color="auto"/>
              </w:divBdr>
            </w:div>
          </w:divsChild>
        </w:div>
        <w:div w:id="1093741202">
          <w:marLeft w:val="0"/>
          <w:marRight w:val="0"/>
          <w:marTop w:val="0"/>
          <w:marBottom w:val="0"/>
          <w:divBdr>
            <w:top w:val="none" w:sz="0" w:space="0" w:color="auto"/>
            <w:left w:val="none" w:sz="0" w:space="0" w:color="auto"/>
            <w:bottom w:val="none" w:sz="0" w:space="0" w:color="auto"/>
            <w:right w:val="none" w:sz="0" w:space="0" w:color="auto"/>
          </w:divBdr>
          <w:divsChild>
            <w:div w:id="1756633502">
              <w:marLeft w:val="0"/>
              <w:marRight w:val="0"/>
              <w:marTop w:val="0"/>
              <w:marBottom w:val="0"/>
              <w:divBdr>
                <w:top w:val="none" w:sz="0" w:space="0" w:color="auto"/>
                <w:left w:val="none" w:sz="0" w:space="0" w:color="auto"/>
                <w:bottom w:val="none" w:sz="0" w:space="0" w:color="auto"/>
                <w:right w:val="none" w:sz="0" w:space="0" w:color="auto"/>
              </w:divBdr>
            </w:div>
            <w:div w:id="1886404618">
              <w:marLeft w:val="0"/>
              <w:marRight w:val="0"/>
              <w:marTop w:val="0"/>
              <w:marBottom w:val="0"/>
              <w:divBdr>
                <w:top w:val="none" w:sz="0" w:space="0" w:color="auto"/>
                <w:left w:val="none" w:sz="0" w:space="0" w:color="auto"/>
                <w:bottom w:val="none" w:sz="0" w:space="0" w:color="auto"/>
                <w:right w:val="none" w:sz="0" w:space="0" w:color="auto"/>
              </w:divBdr>
            </w:div>
          </w:divsChild>
        </w:div>
        <w:div w:id="1108964158">
          <w:marLeft w:val="0"/>
          <w:marRight w:val="0"/>
          <w:marTop w:val="0"/>
          <w:marBottom w:val="0"/>
          <w:divBdr>
            <w:top w:val="none" w:sz="0" w:space="0" w:color="auto"/>
            <w:left w:val="none" w:sz="0" w:space="0" w:color="auto"/>
            <w:bottom w:val="none" w:sz="0" w:space="0" w:color="auto"/>
            <w:right w:val="none" w:sz="0" w:space="0" w:color="auto"/>
          </w:divBdr>
          <w:divsChild>
            <w:div w:id="1222906593">
              <w:marLeft w:val="0"/>
              <w:marRight w:val="0"/>
              <w:marTop w:val="0"/>
              <w:marBottom w:val="0"/>
              <w:divBdr>
                <w:top w:val="none" w:sz="0" w:space="0" w:color="auto"/>
                <w:left w:val="none" w:sz="0" w:space="0" w:color="auto"/>
                <w:bottom w:val="none" w:sz="0" w:space="0" w:color="auto"/>
                <w:right w:val="none" w:sz="0" w:space="0" w:color="auto"/>
              </w:divBdr>
            </w:div>
            <w:div w:id="2132745423">
              <w:marLeft w:val="0"/>
              <w:marRight w:val="0"/>
              <w:marTop w:val="0"/>
              <w:marBottom w:val="0"/>
              <w:divBdr>
                <w:top w:val="none" w:sz="0" w:space="0" w:color="auto"/>
                <w:left w:val="none" w:sz="0" w:space="0" w:color="auto"/>
                <w:bottom w:val="none" w:sz="0" w:space="0" w:color="auto"/>
                <w:right w:val="none" w:sz="0" w:space="0" w:color="auto"/>
              </w:divBdr>
            </w:div>
          </w:divsChild>
        </w:div>
        <w:div w:id="1235967410">
          <w:marLeft w:val="0"/>
          <w:marRight w:val="0"/>
          <w:marTop w:val="0"/>
          <w:marBottom w:val="0"/>
          <w:divBdr>
            <w:top w:val="none" w:sz="0" w:space="0" w:color="auto"/>
            <w:left w:val="none" w:sz="0" w:space="0" w:color="auto"/>
            <w:bottom w:val="none" w:sz="0" w:space="0" w:color="auto"/>
            <w:right w:val="none" w:sz="0" w:space="0" w:color="auto"/>
          </w:divBdr>
          <w:divsChild>
            <w:div w:id="135687159">
              <w:marLeft w:val="0"/>
              <w:marRight w:val="0"/>
              <w:marTop w:val="0"/>
              <w:marBottom w:val="0"/>
              <w:divBdr>
                <w:top w:val="none" w:sz="0" w:space="0" w:color="auto"/>
                <w:left w:val="none" w:sz="0" w:space="0" w:color="auto"/>
                <w:bottom w:val="none" w:sz="0" w:space="0" w:color="auto"/>
                <w:right w:val="none" w:sz="0" w:space="0" w:color="auto"/>
              </w:divBdr>
            </w:div>
            <w:div w:id="210575742">
              <w:marLeft w:val="0"/>
              <w:marRight w:val="0"/>
              <w:marTop w:val="0"/>
              <w:marBottom w:val="0"/>
              <w:divBdr>
                <w:top w:val="none" w:sz="0" w:space="0" w:color="auto"/>
                <w:left w:val="none" w:sz="0" w:space="0" w:color="auto"/>
                <w:bottom w:val="none" w:sz="0" w:space="0" w:color="auto"/>
                <w:right w:val="none" w:sz="0" w:space="0" w:color="auto"/>
              </w:divBdr>
            </w:div>
            <w:div w:id="232355404">
              <w:marLeft w:val="0"/>
              <w:marRight w:val="0"/>
              <w:marTop w:val="0"/>
              <w:marBottom w:val="0"/>
              <w:divBdr>
                <w:top w:val="none" w:sz="0" w:space="0" w:color="auto"/>
                <w:left w:val="none" w:sz="0" w:space="0" w:color="auto"/>
                <w:bottom w:val="none" w:sz="0" w:space="0" w:color="auto"/>
                <w:right w:val="none" w:sz="0" w:space="0" w:color="auto"/>
              </w:divBdr>
            </w:div>
            <w:div w:id="355817465">
              <w:marLeft w:val="0"/>
              <w:marRight w:val="0"/>
              <w:marTop w:val="0"/>
              <w:marBottom w:val="0"/>
              <w:divBdr>
                <w:top w:val="none" w:sz="0" w:space="0" w:color="auto"/>
                <w:left w:val="none" w:sz="0" w:space="0" w:color="auto"/>
                <w:bottom w:val="none" w:sz="0" w:space="0" w:color="auto"/>
                <w:right w:val="none" w:sz="0" w:space="0" w:color="auto"/>
              </w:divBdr>
            </w:div>
            <w:div w:id="399252576">
              <w:marLeft w:val="0"/>
              <w:marRight w:val="0"/>
              <w:marTop w:val="0"/>
              <w:marBottom w:val="0"/>
              <w:divBdr>
                <w:top w:val="none" w:sz="0" w:space="0" w:color="auto"/>
                <w:left w:val="none" w:sz="0" w:space="0" w:color="auto"/>
                <w:bottom w:val="none" w:sz="0" w:space="0" w:color="auto"/>
                <w:right w:val="none" w:sz="0" w:space="0" w:color="auto"/>
              </w:divBdr>
            </w:div>
            <w:div w:id="469712326">
              <w:marLeft w:val="0"/>
              <w:marRight w:val="0"/>
              <w:marTop w:val="0"/>
              <w:marBottom w:val="0"/>
              <w:divBdr>
                <w:top w:val="none" w:sz="0" w:space="0" w:color="auto"/>
                <w:left w:val="none" w:sz="0" w:space="0" w:color="auto"/>
                <w:bottom w:val="none" w:sz="0" w:space="0" w:color="auto"/>
                <w:right w:val="none" w:sz="0" w:space="0" w:color="auto"/>
              </w:divBdr>
            </w:div>
            <w:div w:id="676268429">
              <w:marLeft w:val="0"/>
              <w:marRight w:val="0"/>
              <w:marTop w:val="0"/>
              <w:marBottom w:val="0"/>
              <w:divBdr>
                <w:top w:val="none" w:sz="0" w:space="0" w:color="auto"/>
                <w:left w:val="none" w:sz="0" w:space="0" w:color="auto"/>
                <w:bottom w:val="none" w:sz="0" w:space="0" w:color="auto"/>
                <w:right w:val="none" w:sz="0" w:space="0" w:color="auto"/>
              </w:divBdr>
            </w:div>
            <w:div w:id="882596405">
              <w:marLeft w:val="0"/>
              <w:marRight w:val="0"/>
              <w:marTop w:val="0"/>
              <w:marBottom w:val="0"/>
              <w:divBdr>
                <w:top w:val="none" w:sz="0" w:space="0" w:color="auto"/>
                <w:left w:val="none" w:sz="0" w:space="0" w:color="auto"/>
                <w:bottom w:val="none" w:sz="0" w:space="0" w:color="auto"/>
                <w:right w:val="none" w:sz="0" w:space="0" w:color="auto"/>
              </w:divBdr>
            </w:div>
            <w:div w:id="939751551">
              <w:marLeft w:val="0"/>
              <w:marRight w:val="0"/>
              <w:marTop w:val="0"/>
              <w:marBottom w:val="0"/>
              <w:divBdr>
                <w:top w:val="none" w:sz="0" w:space="0" w:color="auto"/>
                <w:left w:val="none" w:sz="0" w:space="0" w:color="auto"/>
                <w:bottom w:val="none" w:sz="0" w:space="0" w:color="auto"/>
                <w:right w:val="none" w:sz="0" w:space="0" w:color="auto"/>
              </w:divBdr>
            </w:div>
            <w:div w:id="995765296">
              <w:marLeft w:val="0"/>
              <w:marRight w:val="0"/>
              <w:marTop w:val="0"/>
              <w:marBottom w:val="0"/>
              <w:divBdr>
                <w:top w:val="none" w:sz="0" w:space="0" w:color="auto"/>
                <w:left w:val="none" w:sz="0" w:space="0" w:color="auto"/>
                <w:bottom w:val="none" w:sz="0" w:space="0" w:color="auto"/>
                <w:right w:val="none" w:sz="0" w:space="0" w:color="auto"/>
              </w:divBdr>
            </w:div>
            <w:div w:id="1115095377">
              <w:marLeft w:val="0"/>
              <w:marRight w:val="0"/>
              <w:marTop w:val="0"/>
              <w:marBottom w:val="0"/>
              <w:divBdr>
                <w:top w:val="none" w:sz="0" w:space="0" w:color="auto"/>
                <w:left w:val="none" w:sz="0" w:space="0" w:color="auto"/>
                <w:bottom w:val="none" w:sz="0" w:space="0" w:color="auto"/>
                <w:right w:val="none" w:sz="0" w:space="0" w:color="auto"/>
              </w:divBdr>
            </w:div>
            <w:div w:id="1433210178">
              <w:marLeft w:val="0"/>
              <w:marRight w:val="0"/>
              <w:marTop w:val="0"/>
              <w:marBottom w:val="0"/>
              <w:divBdr>
                <w:top w:val="none" w:sz="0" w:space="0" w:color="auto"/>
                <w:left w:val="none" w:sz="0" w:space="0" w:color="auto"/>
                <w:bottom w:val="none" w:sz="0" w:space="0" w:color="auto"/>
                <w:right w:val="none" w:sz="0" w:space="0" w:color="auto"/>
              </w:divBdr>
            </w:div>
            <w:div w:id="1671325220">
              <w:marLeft w:val="0"/>
              <w:marRight w:val="0"/>
              <w:marTop w:val="0"/>
              <w:marBottom w:val="0"/>
              <w:divBdr>
                <w:top w:val="none" w:sz="0" w:space="0" w:color="auto"/>
                <w:left w:val="none" w:sz="0" w:space="0" w:color="auto"/>
                <w:bottom w:val="none" w:sz="0" w:space="0" w:color="auto"/>
                <w:right w:val="none" w:sz="0" w:space="0" w:color="auto"/>
              </w:divBdr>
            </w:div>
            <w:div w:id="1798255748">
              <w:marLeft w:val="0"/>
              <w:marRight w:val="0"/>
              <w:marTop w:val="0"/>
              <w:marBottom w:val="0"/>
              <w:divBdr>
                <w:top w:val="none" w:sz="0" w:space="0" w:color="auto"/>
                <w:left w:val="none" w:sz="0" w:space="0" w:color="auto"/>
                <w:bottom w:val="none" w:sz="0" w:space="0" w:color="auto"/>
                <w:right w:val="none" w:sz="0" w:space="0" w:color="auto"/>
              </w:divBdr>
            </w:div>
            <w:div w:id="1815684783">
              <w:marLeft w:val="0"/>
              <w:marRight w:val="0"/>
              <w:marTop w:val="0"/>
              <w:marBottom w:val="0"/>
              <w:divBdr>
                <w:top w:val="none" w:sz="0" w:space="0" w:color="auto"/>
                <w:left w:val="none" w:sz="0" w:space="0" w:color="auto"/>
                <w:bottom w:val="none" w:sz="0" w:space="0" w:color="auto"/>
                <w:right w:val="none" w:sz="0" w:space="0" w:color="auto"/>
              </w:divBdr>
            </w:div>
            <w:div w:id="1951355707">
              <w:marLeft w:val="0"/>
              <w:marRight w:val="0"/>
              <w:marTop w:val="0"/>
              <w:marBottom w:val="0"/>
              <w:divBdr>
                <w:top w:val="none" w:sz="0" w:space="0" w:color="auto"/>
                <w:left w:val="none" w:sz="0" w:space="0" w:color="auto"/>
                <w:bottom w:val="none" w:sz="0" w:space="0" w:color="auto"/>
                <w:right w:val="none" w:sz="0" w:space="0" w:color="auto"/>
              </w:divBdr>
            </w:div>
            <w:div w:id="2027828347">
              <w:marLeft w:val="0"/>
              <w:marRight w:val="0"/>
              <w:marTop w:val="0"/>
              <w:marBottom w:val="0"/>
              <w:divBdr>
                <w:top w:val="none" w:sz="0" w:space="0" w:color="auto"/>
                <w:left w:val="none" w:sz="0" w:space="0" w:color="auto"/>
                <w:bottom w:val="none" w:sz="0" w:space="0" w:color="auto"/>
                <w:right w:val="none" w:sz="0" w:space="0" w:color="auto"/>
              </w:divBdr>
            </w:div>
          </w:divsChild>
        </w:div>
        <w:div w:id="1261985019">
          <w:marLeft w:val="0"/>
          <w:marRight w:val="0"/>
          <w:marTop w:val="0"/>
          <w:marBottom w:val="0"/>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
            <w:div w:id="1840346029">
              <w:marLeft w:val="0"/>
              <w:marRight w:val="0"/>
              <w:marTop w:val="0"/>
              <w:marBottom w:val="0"/>
              <w:divBdr>
                <w:top w:val="none" w:sz="0" w:space="0" w:color="auto"/>
                <w:left w:val="none" w:sz="0" w:space="0" w:color="auto"/>
                <w:bottom w:val="none" w:sz="0" w:space="0" w:color="auto"/>
                <w:right w:val="none" w:sz="0" w:space="0" w:color="auto"/>
              </w:divBdr>
            </w:div>
          </w:divsChild>
        </w:div>
        <w:div w:id="1316253481">
          <w:marLeft w:val="0"/>
          <w:marRight w:val="0"/>
          <w:marTop w:val="0"/>
          <w:marBottom w:val="0"/>
          <w:divBdr>
            <w:top w:val="none" w:sz="0" w:space="0" w:color="auto"/>
            <w:left w:val="none" w:sz="0" w:space="0" w:color="auto"/>
            <w:bottom w:val="none" w:sz="0" w:space="0" w:color="auto"/>
            <w:right w:val="none" w:sz="0" w:space="0" w:color="auto"/>
          </w:divBdr>
          <w:divsChild>
            <w:div w:id="1518735173">
              <w:marLeft w:val="0"/>
              <w:marRight w:val="0"/>
              <w:marTop w:val="0"/>
              <w:marBottom w:val="0"/>
              <w:divBdr>
                <w:top w:val="none" w:sz="0" w:space="0" w:color="auto"/>
                <w:left w:val="none" w:sz="0" w:space="0" w:color="auto"/>
                <w:bottom w:val="none" w:sz="0" w:space="0" w:color="auto"/>
                <w:right w:val="none" w:sz="0" w:space="0" w:color="auto"/>
              </w:divBdr>
            </w:div>
            <w:div w:id="1633514009">
              <w:marLeft w:val="0"/>
              <w:marRight w:val="0"/>
              <w:marTop w:val="0"/>
              <w:marBottom w:val="0"/>
              <w:divBdr>
                <w:top w:val="none" w:sz="0" w:space="0" w:color="auto"/>
                <w:left w:val="none" w:sz="0" w:space="0" w:color="auto"/>
                <w:bottom w:val="none" w:sz="0" w:space="0" w:color="auto"/>
                <w:right w:val="none" w:sz="0" w:space="0" w:color="auto"/>
              </w:divBdr>
            </w:div>
          </w:divsChild>
        </w:div>
        <w:div w:id="1347828207">
          <w:marLeft w:val="0"/>
          <w:marRight w:val="0"/>
          <w:marTop w:val="0"/>
          <w:marBottom w:val="0"/>
          <w:divBdr>
            <w:top w:val="none" w:sz="0" w:space="0" w:color="auto"/>
            <w:left w:val="none" w:sz="0" w:space="0" w:color="auto"/>
            <w:bottom w:val="none" w:sz="0" w:space="0" w:color="auto"/>
            <w:right w:val="none" w:sz="0" w:space="0" w:color="auto"/>
          </w:divBdr>
          <w:divsChild>
            <w:div w:id="1557006435">
              <w:marLeft w:val="0"/>
              <w:marRight w:val="0"/>
              <w:marTop w:val="0"/>
              <w:marBottom w:val="0"/>
              <w:divBdr>
                <w:top w:val="none" w:sz="0" w:space="0" w:color="auto"/>
                <w:left w:val="none" w:sz="0" w:space="0" w:color="auto"/>
                <w:bottom w:val="none" w:sz="0" w:space="0" w:color="auto"/>
                <w:right w:val="none" w:sz="0" w:space="0" w:color="auto"/>
              </w:divBdr>
            </w:div>
            <w:div w:id="2067603517">
              <w:marLeft w:val="0"/>
              <w:marRight w:val="0"/>
              <w:marTop w:val="0"/>
              <w:marBottom w:val="0"/>
              <w:divBdr>
                <w:top w:val="none" w:sz="0" w:space="0" w:color="auto"/>
                <w:left w:val="none" w:sz="0" w:space="0" w:color="auto"/>
                <w:bottom w:val="none" w:sz="0" w:space="0" w:color="auto"/>
                <w:right w:val="none" w:sz="0" w:space="0" w:color="auto"/>
              </w:divBdr>
            </w:div>
          </w:divsChild>
        </w:div>
        <w:div w:id="1363631318">
          <w:marLeft w:val="0"/>
          <w:marRight w:val="0"/>
          <w:marTop w:val="0"/>
          <w:marBottom w:val="0"/>
          <w:divBdr>
            <w:top w:val="none" w:sz="0" w:space="0" w:color="auto"/>
            <w:left w:val="none" w:sz="0" w:space="0" w:color="auto"/>
            <w:bottom w:val="none" w:sz="0" w:space="0" w:color="auto"/>
            <w:right w:val="none" w:sz="0" w:space="0" w:color="auto"/>
          </w:divBdr>
          <w:divsChild>
            <w:div w:id="597643829">
              <w:marLeft w:val="0"/>
              <w:marRight w:val="0"/>
              <w:marTop w:val="0"/>
              <w:marBottom w:val="0"/>
              <w:divBdr>
                <w:top w:val="none" w:sz="0" w:space="0" w:color="auto"/>
                <w:left w:val="none" w:sz="0" w:space="0" w:color="auto"/>
                <w:bottom w:val="none" w:sz="0" w:space="0" w:color="auto"/>
                <w:right w:val="none" w:sz="0" w:space="0" w:color="auto"/>
              </w:divBdr>
            </w:div>
            <w:div w:id="1383140007">
              <w:marLeft w:val="0"/>
              <w:marRight w:val="0"/>
              <w:marTop w:val="0"/>
              <w:marBottom w:val="0"/>
              <w:divBdr>
                <w:top w:val="none" w:sz="0" w:space="0" w:color="auto"/>
                <w:left w:val="none" w:sz="0" w:space="0" w:color="auto"/>
                <w:bottom w:val="none" w:sz="0" w:space="0" w:color="auto"/>
                <w:right w:val="none" w:sz="0" w:space="0" w:color="auto"/>
              </w:divBdr>
            </w:div>
          </w:divsChild>
        </w:div>
        <w:div w:id="1380931005">
          <w:marLeft w:val="0"/>
          <w:marRight w:val="0"/>
          <w:marTop w:val="0"/>
          <w:marBottom w:val="0"/>
          <w:divBdr>
            <w:top w:val="none" w:sz="0" w:space="0" w:color="auto"/>
            <w:left w:val="none" w:sz="0" w:space="0" w:color="auto"/>
            <w:bottom w:val="none" w:sz="0" w:space="0" w:color="auto"/>
            <w:right w:val="none" w:sz="0" w:space="0" w:color="auto"/>
          </w:divBdr>
          <w:divsChild>
            <w:div w:id="1963026965">
              <w:marLeft w:val="0"/>
              <w:marRight w:val="0"/>
              <w:marTop w:val="0"/>
              <w:marBottom w:val="0"/>
              <w:divBdr>
                <w:top w:val="none" w:sz="0" w:space="0" w:color="auto"/>
                <w:left w:val="none" w:sz="0" w:space="0" w:color="auto"/>
                <w:bottom w:val="none" w:sz="0" w:space="0" w:color="auto"/>
                <w:right w:val="none" w:sz="0" w:space="0" w:color="auto"/>
              </w:divBdr>
            </w:div>
            <w:div w:id="2074698604">
              <w:marLeft w:val="0"/>
              <w:marRight w:val="0"/>
              <w:marTop w:val="0"/>
              <w:marBottom w:val="0"/>
              <w:divBdr>
                <w:top w:val="none" w:sz="0" w:space="0" w:color="auto"/>
                <w:left w:val="none" w:sz="0" w:space="0" w:color="auto"/>
                <w:bottom w:val="none" w:sz="0" w:space="0" w:color="auto"/>
                <w:right w:val="none" w:sz="0" w:space="0" w:color="auto"/>
              </w:divBdr>
            </w:div>
          </w:divsChild>
        </w:div>
        <w:div w:id="1430539319">
          <w:marLeft w:val="0"/>
          <w:marRight w:val="0"/>
          <w:marTop w:val="0"/>
          <w:marBottom w:val="0"/>
          <w:divBdr>
            <w:top w:val="none" w:sz="0" w:space="0" w:color="auto"/>
            <w:left w:val="none" w:sz="0" w:space="0" w:color="auto"/>
            <w:bottom w:val="none" w:sz="0" w:space="0" w:color="auto"/>
            <w:right w:val="none" w:sz="0" w:space="0" w:color="auto"/>
          </w:divBdr>
          <w:divsChild>
            <w:div w:id="2827179">
              <w:marLeft w:val="0"/>
              <w:marRight w:val="0"/>
              <w:marTop w:val="0"/>
              <w:marBottom w:val="0"/>
              <w:divBdr>
                <w:top w:val="none" w:sz="0" w:space="0" w:color="auto"/>
                <w:left w:val="none" w:sz="0" w:space="0" w:color="auto"/>
                <w:bottom w:val="none" w:sz="0" w:space="0" w:color="auto"/>
                <w:right w:val="none" w:sz="0" w:space="0" w:color="auto"/>
              </w:divBdr>
            </w:div>
            <w:div w:id="212888396">
              <w:marLeft w:val="0"/>
              <w:marRight w:val="0"/>
              <w:marTop w:val="0"/>
              <w:marBottom w:val="0"/>
              <w:divBdr>
                <w:top w:val="none" w:sz="0" w:space="0" w:color="auto"/>
                <w:left w:val="none" w:sz="0" w:space="0" w:color="auto"/>
                <w:bottom w:val="none" w:sz="0" w:space="0" w:color="auto"/>
                <w:right w:val="none" w:sz="0" w:space="0" w:color="auto"/>
              </w:divBdr>
            </w:div>
            <w:div w:id="349065064">
              <w:marLeft w:val="0"/>
              <w:marRight w:val="0"/>
              <w:marTop w:val="0"/>
              <w:marBottom w:val="0"/>
              <w:divBdr>
                <w:top w:val="none" w:sz="0" w:space="0" w:color="auto"/>
                <w:left w:val="none" w:sz="0" w:space="0" w:color="auto"/>
                <w:bottom w:val="none" w:sz="0" w:space="0" w:color="auto"/>
                <w:right w:val="none" w:sz="0" w:space="0" w:color="auto"/>
              </w:divBdr>
            </w:div>
            <w:div w:id="586232609">
              <w:marLeft w:val="0"/>
              <w:marRight w:val="0"/>
              <w:marTop w:val="0"/>
              <w:marBottom w:val="0"/>
              <w:divBdr>
                <w:top w:val="none" w:sz="0" w:space="0" w:color="auto"/>
                <w:left w:val="none" w:sz="0" w:space="0" w:color="auto"/>
                <w:bottom w:val="none" w:sz="0" w:space="0" w:color="auto"/>
                <w:right w:val="none" w:sz="0" w:space="0" w:color="auto"/>
              </w:divBdr>
            </w:div>
            <w:div w:id="662242878">
              <w:marLeft w:val="0"/>
              <w:marRight w:val="0"/>
              <w:marTop w:val="0"/>
              <w:marBottom w:val="0"/>
              <w:divBdr>
                <w:top w:val="none" w:sz="0" w:space="0" w:color="auto"/>
                <w:left w:val="none" w:sz="0" w:space="0" w:color="auto"/>
                <w:bottom w:val="none" w:sz="0" w:space="0" w:color="auto"/>
                <w:right w:val="none" w:sz="0" w:space="0" w:color="auto"/>
              </w:divBdr>
            </w:div>
            <w:div w:id="1009017010">
              <w:marLeft w:val="0"/>
              <w:marRight w:val="0"/>
              <w:marTop w:val="0"/>
              <w:marBottom w:val="0"/>
              <w:divBdr>
                <w:top w:val="none" w:sz="0" w:space="0" w:color="auto"/>
                <w:left w:val="none" w:sz="0" w:space="0" w:color="auto"/>
                <w:bottom w:val="none" w:sz="0" w:space="0" w:color="auto"/>
                <w:right w:val="none" w:sz="0" w:space="0" w:color="auto"/>
              </w:divBdr>
            </w:div>
            <w:div w:id="1677684846">
              <w:marLeft w:val="0"/>
              <w:marRight w:val="0"/>
              <w:marTop w:val="0"/>
              <w:marBottom w:val="0"/>
              <w:divBdr>
                <w:top w:val="none" w:sz="0" w:space="0" w:color="auto"/>
                <w:left w:val="none" w:sz="0" w:space="0" w:color="auto"/>
                <w:bottom w:val="none" w:sz="0" w:space="0" w:color="auto"/>
                <w:right w:val="none" w:sz="0" w:space="0" w:color="auto"/>
              </w:divBdr>
            </w:div>
          </w:divsChild>
        </w:div>
        <w:div w:id="1449471012">
          <w:marLeft w:val="0"/>
          <w:marRight w:val="0"/>
          <w:marTop w:val="0"/>
          <w:marBottom w:val="0"/>
          <w:divBdr>
            <w:top w:val="none" w:sz="0" w:space="0" w:color="auto"/>
            <w:left w:val="none" w:sz="0" w:space="0" w:color="auto"/>
            <w:bottom w:val="none" w:sz="0" w:space="0" w:color="auto"/>
            <w:right w:val="none" w:sz="0" w:space="0" w:color="auto"/>
          </w:divBdr>
          <w:divsChild>
            <w:div w:id="883058046">
              <w:marLeft w:val="0"/>
              <w:marRight w:val="0"/>
              <w:marTop w:val="0"/>
              <w:marBottom w:val="0"/>
              <w:divBdr>
                <w:top w:val="none" w:sz="0" w:space="0" w:color="auto"/>
                <w:left w:val="none" w:sz="0" w:space="0" w:color="auto"/>
                <w:bottom w:val="none" w:sz="0" w:space="0" w:color="auto"/>
                <w:right w:val="none" w:sz="0" w:space="0" w:color="auto"/>
              </w:divBdr>
            </w:div>
            <w:div w:id="896207905">
              <w:marLeft w:val="0"/>
              <w:marRight w:val="0"/>
              <w:marTop w:val="0"/>
              <w:marBottom w:val="0"/>
              <w:divBdr>
                <w:top w:val="none" w:sz="0" w:space="0" w:color="auto"/>
                <w:left w:val="none" w:sz="0" w:space="0" w:color="auto"/>
                <w:bottom w:val="none" w:sz="0" w:space="0" w:color="auto"/>
                <w:right w:val="none" w:sz="0" w:space="0" w:color="auto"/>
              </w:divBdr>
            </w:div>
          </w:divsChild>
        </w:div>
        <w:div w:id="1488207973">
          <w:marLeft w:val="0"/>
          <w:marRight w:val="0"/>
          <w:marTop w:val="0"/>
          <w:marBottom w:val="0"/>
          <w:divBdr>
            <w:top w:val="none" w:sz="0" w:space="0" w:color="auto"/>
            <w:left w:val="none" w:sz="0" w:space="0" w:color="auto"/>
            <w:bottom w:val="none" w:sz="0" w:space="0" w:color="auto"/>
            <w:right w:val="none" w:sz="0" w:space="0" w:color="auto"/>
          </w:divBdr>
          <w:divsChild>
            <w:div w:id="412049129">
              <w:marLeft w:val="0"/>
              <w:marRight w:val="0"/>
              <w:marTop w:val="0"/>
              <w:marBottom w:val="0"/>
              <w:divBdr>
                <w:top w:val="none" w:sz="0" w:space="0" w:color="auto"/>
                <w:left w:val="none" w:sz="0" w:space="0" w:color="auto"/>
                <w:bottom w:val="none" w:sz="0" w:space="0" w:color="auto"/>
                <w:right w:val="none" w:sz="0" w:space="0" w:color="auto"/>
              </w:divBdr>
            </w:div>
            <w:div w:id="901057969">
              <w:marLeft w:val="0"/>
              <w:marRight w:val="0"/>
              <w:marTop w:val="0"/>
              <w:marBottom w:val="0"/>
              <w:divBdr>
                <w:top w:val="none" w:sz="0" w:space="0" w:color="auto"/>
                <w:left w:val="none" w:sz="0" w:space="0" w:color="auto"/>
                <w:bottom w:val="none" w:sz="0" w:space="0" w:color="auto"/>
                <w:right w:val="none" w:sz="0" w:space="0" w:color="auto"/>
              </w:divBdr>
            </w:div>
          </w:divsChild>
        </w:div>
        <w:div w:id="1497648838">
          <w:marLeft w:val="0"/>
          <w:marRight w:val="0"/>
          <w:marTop w:val="0"/>
          <w:marBottom w:val="0"/>
          <w:divBdr>
            <w:top w:val="none" w:sz="0" w:space="0" w:color="auto"/>
            <w:left w:val="none" w:sz="0" w:space="0" w:color="auto"/>
            <w:bottom w:val="none" w:sz="0" w:space="0" w:color="auto"/>
            <w:right w:val="none" w:sz="0" w:space="0" w:color="auto"/>
          </w:divBdr>
          <w:divsChild>
            <w:div w:id="86729597">
              <w:marLeft w:val="0"/>
              <w:marRight w:val="0"/>
              <w:marTop w:val="0"/>
              <w:marBottom w:val="0"/>
              <w:divBdr>
                <w:top w:val="none" w:sz="0" w:space="0" w:color="auto"/>
                <w:left w:val="none" w:sz="0" w:space="0" w:color="auto"/>
                <w:bottom w:val="none" w:sz="0" w:space="0" w:color="auto"/>
                <w:right w:val="none" w:sz="0" w:space="0" w:color="auto"/>
              </w:divBdr>
            </w:div>
            <w:div w:id="1909345532">
              <w:marLeft w:val="0"/>
              <w:marRight w:val="0"/>
              <w:marTop w:val="0"/>
              <w:marBottom w:val="0"/>
              <w:divBdr>
                <w:top w:val="none" w:sz="0" w:space="0" w:color="auto"/>
                <w:left w:val="none" w:sz="0" w:space="0" w:color="auto"/>
                <w:bottom w:val="none" w:sz="0" w:space="0" w:color="auto"/>
                <w:right w:val="none" w:sz="0" w:space="0" w:color="auto"/>
              </w:divBdr>
            </w:div>
          </w:divsChild>
        </w:div>
        <w:div w:id="1513253137">
          <w:marLeft w:val="0"/>
          <w:marRight w:val="0"/>
          <w:marTop w:val="0"/>
          <w:marBottom w:val="0"/>
          <w:divBdr>
            <w:top w:val="none" w:sz="0" w:space="0" w:color="auto"/>
            <w:left w:val="none" w:sz="0" w:space="0" w:color="auto"/>
            <w:bottom w:val="none" w:sz="0" w:space="0" w:color="auto"/>
            <w:right w:val="none" w:sz="0" w:space="0" w:color="auto"/>
          </w:divBdr>
          <w:divsChild>
            <w:div w:id="334112833">
              <w:marLeft w:val="0"/>
              <w:marRight w:val="0"/>
              <w:marTop w:val="0"/>
              <w:marBottom w:val="0"/>
              <w:divBdr>
                <w:top w:val="none" w:sz="0" w:space="0" w:color="auto"/>
                <w:left w:val="none" w:sz="0" w:space="0" w:color="auto"/>
                <w:bottom w:val="none" w:sz="0" w:space="0" w:color="auto"/>
                <w:right w:val="none" w:sz="0" w:space="0" w:color="auto"/>
              </w:divBdr>
            </w:div>
          </w:divsChild>
        </w:div>
        <w:div w:id="1643584804">
          <w:marLeft w:val="0"/>
          <w:marRight w:val="0"/>
          <w:marTop w:val="0"/>
          <w:marBottom w:val="0"/>
          <w:divBdr>
            <w:top w:val="none" w:sz="0" w:space="0" w:color="auto"/>
            <w:left w:val="none" w:sz="0" w:space="0" w:color="auto"/>
            <w:bottom w:val="none" w:sz="0" w:space="0" w:color="auto"/>
            <w:right w:val="none" w:sz="0" w:space="0" w:color="auto"/>
          </w:divBdr>
          <w:divsChild>
            <w:div w:id="819272875">
              <w:marLeft w:val="0"/>
              <w:marRight w:val="0"/>
              <w:marTop w:val="0"/>
              <w:marBottom w:val="0"/>
              <w:divBdr>
                <w:top w:val="none" w:sz="0" w:space="0" w:color="auto"/>
                <w:left w:val="none" w:sz="0" w:space="0" w:color="auto"/>
                <w:bottom w:val="none" w:sz="0" w:space="0" w:color="auto"/>
                <w:right w:val="none" w:sz="0" w:space="0" w:color="auto"/>
              </w:divBdr>
            </w:div>
          </w:divsChild>
        </w:div>
        <w:div w:id="1659843687">
          <w:marLeft w:val="0"/>
          <w:marRight w:val="0"/>
          <w:marTop w:val="0"/>
          <w:marBottom w:val="0"/>
          <w:divBdr>
            <w:top w:val="none" w:sz="0" w:space="0" w:color="auto"/>
            <w:left w:val="none" w:sz="0" w:space="0" w:color="auto"/>
            <w:bottom w:val="none" w:sz="0" w:space="0" w:color="auto"/>
            <w:right w:val="none" w:sz="0" w:space="0" w:color="auto"/>
          </w:divBdr>
          <w:divsChild>
            <w:div w:id="1570263789">
              <w:marLeft w:val="0"/>
              <w:marRight w:val="0"/>
              <w:marTop w:val="0"/>
              <w:marBottom w:val="0"/>
              <w:divBdr>
                <w:top w:val="none" w:sz="0" w:space="0" w:color="auto"/>
                <w:left w:val="none" w:sz="0" w:space="0" w:color="auto"/>
                <w:bottom w:val="none" w:sz="0" w:space="0" w:color="auto"/>
                <w:right w:val="none" w:sz="0" w:space="0" w:color="auto"/>
              </w:divBdr>
            </w:div>
            <w:div w:id="1869756986">
              <w:marLeft w:val="0"/>
              <w:marRight w:val="0"/>
              <w:marTop w:val="0"/>
              <w:marBottom w:val="0"/>
              <w:divBdr>
                <w:top w:val="none" w:sz="0" w:space="0" w:color="auto"/>
                <w:left w:val="none" w:sz="0" w:space="0" w:color="auto"/>
                <w:bottom w:val="none" w:sz="0" w:space="0" w:color="auto"/>
                <w:right w:val="none" w:sz="0" w:space="0" w:color="auto"/>
              </w:divBdr>
            </w:div>
          </w:divsChild>
        </w:div>
        <w:div w:id="1720204195">
          <w:marLeft w:val="0"/>
          <w:marRight w:val="0"/>
          <w:marTop w:val="0"/>
          <w:marBottom w:val="0"/>
          <w:divBdr>
            <w:top w:val="none" w:sz="0" w:space="0" w:color="auto"/>
            <w:left w:val="none" w:sz="0" w:space="0" w:color="auto"/>
            <w:bottom w:val="none" w:sz="0" w:space="0" w:color="auto"/>
            <w:right w:val="none" w:sz="0" w:space="0" w:color="auto"/>
          </w:divBdr>
          <w:divsChild>
            <w:div w:id="92554174">
              <w:marLeft w:val="0"/>
              <w:marRight w:val="0"/>
              <w:marTop w:val="0"/>
              <w:marBottom w:val="0"/>
              <w:divBdr>
                <w:top w:val="none" w:sz="0" w:space="0" w:color="auto"/>
                <w:left w:val="none" w:sz="0" w:space="0" w:color="auto"/>
                <w:bottom w:val="none" w:sz="0" w:space="0" w:color="auto"/>
                <w:right w:val="none" w:sz="0" w:space="0" w:color="auto"/>
              </w:divBdr>
            </w:div>
            <w:div w:id="1265725987">
              <w:marLeft w:val="0"/>
              <w:marRight w:val="0"/>
              <w:marTop w:val="0"/>
              <w:marBottom w:val="0"/>
              <w:divBdr>
                <w:top w:val="none" w:sz="0" w:space="0" w:color="auto"/>
                <w:left w:val="none" w:sz="0" w:space="0" w:color="auto"/>
                <w:bottom w:val="none" w:sz="0" w:space="0" w:color="auto"/>
                <w:right w:val="none" w:sz="0" w:space="0" w:color="auto"/>
              </w:divBdr>
            </w:div>
          </w:divsChild>
        </w:div>
        <w:div w:id="1742798926">
          <w:marLeft w:val="0"/>
          <w:marRight w:val="0"/>
          <w:marTop w:val="0"/>
          <w:marBottom w:val="0"/>
          <w:divBdr>
            <w:top w:val="none" w:sz="0" w:space="0" w:color="auto"/>
            <w:left w:val="none" w:sz="0" w:space="0" w:color="auto"/>
            <w:bottom w:val="none" w:sz="0" w:space="0" w:color="auto"/>
            <w:right w:val="none" w:sz="0" w:space="0" w:color="auto"/>
          </w:divBdr>
          <w:divsChild>
            <w:div w:id="12729777">
              <w:marLeft w:val="0"/>
              <w:marRight w:val="0"/>
              <w:marTop w:val="0"/>
              <w:marBottom w:val="0"/>
              <w:divBdr>
                <w:top w:val="none" w:sz="0" w:space="0" w:color="auto"/>
                <w:left w:val="none" w:sz="0" w:space="0" w:color="auto"/>
                <w:bottom w:val="none" w:sz="0" w:space="0" w:color="auto"/>
                <w:right w:val="none" w:sz="0" w:space="0" w:color="auto"/>
              </w:divBdr>
            </w:div>
            <w:div w:id="1471946603">
              <w:marLeft w:val="0"/>
              <w:marRight w:val="0"/>
              <w:marTop w:val="0"/>
              <w:marBottom w:val="0"/>
              <w:divBdr>
                <w:top w:val="none" w:sz="0" w:space="0" w:color="auto"/>
                <w:left w:val="none" w:sz="0" w:space="0" w:color="auto"/>
                <w:bottom w:val="none" w:sz="0" w:space="0" w:color="auto"/>
                <w:right w:val="none" w:sz="0" w:space="0" w:color="auto"/>
              </w:divBdr>
            </w:div>
          </w:divsChild>
        </w:div>
        <w:div w:id="1772969835">
          <w:marLeft w:val="0"/>
          <w:marRight w:val="0"/>
          <w:marTop w:val="0"/>
          <w:marBottom w:val="0"/>
          <w:divBdr>
            <w:top w:val="none" w:sz="0" w:space="0" w:color="auto"/>
            <w:left w:val="none" w:sz="0" w:space="0" w:color="auto"/>
            <w:bottom w:val="none" w:sz="0" w:space="0" w:color="auto"/>
            <w:right w:val="none" w:sz="0" w:space="0" w:color="auto"/>
          </w:divBdr>
          <w:divsChild>
            <w:div w:id="328025833">
              <w:marLeft w:val="0"/>
              <w:marRight w:val="0"/>
              <w:marTop w:val="0"/>
              <w:marBottom w:val="0"/>
              <w:divBdr>
                <w:top w:val="none" w:sz="0" w:space="0" w:color="auto"/>
                <w:left w:val="none" w:sz="0" w:space="0" w:color="auto"/>
                <w:bottom w:val="none" w:sz="0" w:space="0" w:color="auto"/>
                <w:right w:val="none" w:sz="0" w:space="0" w:color="auto"/>
              </w:divBdr>
            </w:div>
            <w:div w:id="1159884353">
              <w:marLeft w:val="0"/>
              <w:marRight w:val="0"/>
              <w:marTop w:val="0"/>
              <w:marBottom w:val="0"/>
              <w:divBdr>
                <w:top w:val="none" w:sz="0" w:space="0" w:color="auto"/>
                <w:left w:val="none" w:sz="0" w:space="0" w:color="auto"/>
                <w:bottom w:val="none" w:sz="0" w:space="0" w:color="auto"/>
                <w:right w:val="none" w:sz="0" w:space="0" w:color="auto"/>
              </w:divBdr>
            </w:div>
            <w:div w:id="2026245187">
              <w:marLeft w:val="0"/>
              <w:marRight w:val="0"/>
              <w:marTop w:val="0"/>
              <w:marBottom w:val="0"/>
              <w:divBdr>
                <w:top w:val="none" w:sz="0" w:space="0" w:color="auto"/>
                <w:left w:val="none" w:sz="0" w:space="0" w:color="auto"/>
                <w:bottom w:val="none" w:sz="0" w:space="0" w:color="auto"/>
                <w:right w:val="none" w:sz="0" w:space="0" w:color="auto"/>
              </w:divBdr>
            </w:div>
          </w:divsChild>
        </w:div>
        <w:div w:id="1801217668">
          <w:marLeft w:val="0"/>
          <w:marRight w:val="0"/>
          <w:marTop w:val="0"/>
          <w:marBottom w:val="0"/>
          <w:divBdr>
            <w:top w:val="none" w:sz="0" w:space="0" w:color="auto"/>
            <w:left w:val="none" w:sz="0" w:space="0" w:color="auto"/>
            <w:bottom w:val="none" w:sz="0" w:space="0" w:color="auto"/>
            <w:right w:val="none" w:sz="0" w:space="0" w:color="auto"/>
          </w:divBdr>
          <w:divsChild>
            <w:div w:id="561063756">
              <w:marLeft w:val="0"/>
              <w:marRight w:val="0"/>
              <w:marTop w:val="0"/>
              <w:marBottom w:val="0"/>
              <w:divBdr>
                <w:top w:val="none" w:sz="0" w:space="0" w:color="auto"/>
                <w:left w:val="none" w:sz="0" w:space="0" w:color="auto"/>
                <w:bottom w:val="none" w:sz="0" w:space="0" w:color="auto"/>
                <w:right w:val="none" w:sz="0" w:space="0" w:color="auto"/>
              </w:divBdr>
            </w:div>
            <w:div w:id="1104227900">
              <w:marLeft w:val="0"/>
              <w:marRight w:val="0"/>
              <w:marTop w:val="0"/>
              <w:marBottom w:val="0"/>
              <w:divBdr>
                <w:top w:val="none" w:sz="0" w:space="0" w:color="auto"/>
                <w:left w:val="none" w:sz="0" w:space="0" w:color="auto"/>
                <w:bottom w:val="none" w:sz="0" w:space="0" w:color="auto"/>
                <w:right w:val="none" w:sz="0" w:space="0" w:color="auto"/>
              </w:divBdr>
            </w:div>
            <w:div w:id="1180509796">
              <w:marLeft w:val="0"/>
              <w:marRight w:val="0"/>
              <w:marTop w:val="0"/>
              <w:marBottom w:val="0"/>
              <w:divBdr>
                <w:top w:val="none" w:sz="0" w:space="0" w:color="auto"/>
                <w:left w:val="none" w:sz="0" w:space="0" w:color="auto"/>
                <w:bottom w:val="none" w:sz="0" w:space="0" w:color="auto"/>
                <w:right w:val="none" w:sz="0" w:space="0" w:color="auto"/>
              </w:divBdr>
            </w:div>
            <w:div w:id="1331903732">
              <w:marLeft w:val="0"/>
              <w:marRight w:val="0"/>
              <w:marTop w:val="0"/>
              <w:marBottom w:val="0"/>
              <w:divBdr>
                <w:top w:val="none" w:sz="0" w:space="0" w:color="auto"/>
                <w:left w:val="none" w:sz="0" w:space="0" w:color="auto"/>
                <w:bottom w:val="none" w:sz="0" w:space="0" w:color="auto"/>
                <w:right w:val="none" w:sz="0" w:space="0" w:color="auto"/>
              </w:divBdr>
            </w:div>
            <w:div w:id="1530873545">
              <w:marLeft w:val="0"/>
              <w:marRight w:val="0"/>
              <w:marTop w:val="0"/>
              <w:marBottom w:val="0"/>
              <w:divBdr>
                <w:top w:val="none" w:sz="0" w:space="0" w:color="auto"/>
                <w:left w:val="none" w:sz="0" w:space="0" w:color="auto"/>
                <w:bottom w:val="none" w:sz="0" w:space="0" w:color="auto"/>
                <w:right w:val="none" w:sz="0" w:space="0" w:color="auto"/>
              </w:divBdr>
            </w:div>
            <w:div w:id="1604460401">
              <w:marLeft w:val="0"/>
              <w:marRight w:val="0"/>
              <w:marTop w:val="0"/>
              <w:marBottom w:val="0"/>
              <w:divBdr>
                <w:top w:val="none" w:sz="0" w:space="0" w:color="auto"/>
                <w:left w:val="none" w:sz="0" w:space="0" w:color="auto"/>
                <w:bottom w:val="none" w:sz="0" w:space="0" w:color="auto"/>
                <w:right w:val="none" w:sz="0" w:space="0" w:color="auto"/>
              </w:divBdr>
            </w:div>
            <w:div w:id="1785418955">
              <w:marLeft w:val="0"/>
              <w:marRight w:val="0"/>
              <w:marTop w:val="0"/>
              <w:marBottom w:val="0"/>
              <w:divBdr>
                <w:top w:val="none" w:sz="0" w:space="0" w:color="auto"/>
                <w:left w:val="none" w:sz="0" w:space="0" w:color="auto"/>
                <w:bottom w:val="none" w:sz="0" w:space="0" w:color="auto"/>
                <w:right w:val="none" w:sz="0" w:space="0" w:color="auto"/>
              </w:divBdr>
            </w:div>
            <w:div w:id="1838963045">
              <w:marLeft w:val="0"/>
              <w:marRight w:val="0"/>
              <w:marTop w:val="0"/>
              <w:marBottom w:val="0"/>
              <w:divBdr>
                <w:top w:val="none" w:sz="0" w:space="0" w:color="auto"/>
                <w:left w:val="none" w:sz="0" w:space="0" w:color="auto"/>
                <w:bottom w:val="none" w:sz="0" w:space="0" w:color="auto"/>
                <w:right w:val="none" w:sz="0" w:space="0" w:color="auto"/>
              </w:divBdr>
            </w:div>
            <w:div w:id="1854488568">
              <w:marLeft w:val="0"/>
              <w:marRight w:val="0"/>
              <w:marTop w:val="0"/>
              <w:marBottom w:val="0"/>
              <w:divBdr>
                <w:top w:val="none" w:sz="0" w:space="0" w:color="auto"/>
                <w:left w:val="none" w:sz="0" w:space="0" w:color="auto"/>
                <w:bottom w:val="none" w:sz="0" w:space="0" w:color="auto"/>
                <w:right w:val="none" w:sz="0" w:space="0" w:color="auto"/>
              </w:divBdr>
            </w:div>
            <w:div w:id="2064475812">
              <w:marLeft w:val="0"/>
              <w:marRight w:val="0"/>
              <w:marTop w:val="0"/>
              <w:marBottom w:val="0"/>
              <w:divBdr>
                <w:top w:val="none" w:sz="0" w:space="0" w:color="auto"/>
                <w:left w:val="none" w:sz="0" w:space="0" w:color="auto"/>
                <w:bottom w:val="none" w:sz="0" w:space="0" w:color="auto"/>
                <w:right w:val="none" w:sz="0" w:space="0" w:color="auto"/>
              </w:divBdr>
            </w:div>
          </w:divsChild>
        </w:div>
        <w:div w:id="1837453543">
          <w:marLeft w:val="0"/>
          <w:marRight w:val="0"/>
          <w:marTop w:val="0"/>
          <w:marBottom w:val="0"/>
          <w:divBdr>
            <w:top w:val="none" w:sz="0" w:space="0" w:color="auto"/>
            <w:left w:val="none" w:sz="0" w:space="0" w:color="auto"/>
            <w:bottom w:val="none" w:sz="0" w:space="0" w:color="auto"/>
            <w:right w:val="none" w:sz="0" w:space="0" w:color="auto"/>
          </w:divBdr>
          <w:divsChild>
            <w:div w:id="157159972">
              <w:marLeft w:val="0"/>
              <w:marRight w:val="0"/>
              <w:marTop w:val="0"/>
              <w:marBottom w:val="0"/>
              <w:divBdr>
                <w:top w:val="none" w:sz="0" w:space="0" w:color="auto"/>
                <w:left w:val="none" w:sz="0" w:space="0" w:color="auto"/>
                <w:bottom w:val="none" w:sz="0" w:space="0" w:color="auto"/>
                <w:right w:val="none" w:sz="0" w:space="0" w:color="auto"/>
              </w:divBdr>
            </w:div>
            <w:div w:id="211968525">
              <w:marLeft w:val="0"/>
              <w:marRight w:val="0"/>
              <w:marTop w:val="0"/>
              <w:marBottom w:val="0"/>
              <w:divBdr>
                <w:top w:val="none" w:sz="0" w:space="0" w:color="auto"/>
                <w:left w:val="none" w:sz="0" w:space="0" w:color="auto"/>
                <w:bottom w:val="none" w:sz="0" w:space="0" w:color="auto"/>
                <w:right w:val="none" w:sz="0" w:space="0" w:color="auto"/>
              </w:divBdr>
            </w:div>
            <w:div w:id="334112910">
              <w:marLeft w:val="0"/>
              <w:marRight w:val="0"/>
              <w:marTop w:val="0"/>
              <w:marBottom w:val="0"/>
              <w:divBdr>
                <w:top w:val="none" w:sz="0" w:space="0" w:color="auto"/>
                <w:left w:val="none" w:sz="0" w:space="0" w:color="auto"/>
                <w:bottom w:val="none" w:sz="0" w:space="0" w:color="auto"/>
                <w:right w:val="none" w:sz="0" w:space="0" w:color="auto"/>
              </w:divBdr>
            </w:div>
            <w:div w:id="518586835">
              <w:marLeft w:val="0"/>
              <w:marRight w:val="0"/>
              <w:marTop w:val="0"/>
              <w:marBottom w:val="0"/>
              <w:divBdr>
                <w:top w:val="none" w:sz="0" w:space="0" w:color="auto"/>
                <w:left w:val="none" w:sz="0" w:space="0" w:color="auto"/>
                <w:bottom w:val="none" w:sz="0" w:space="0" w:color="auto"/>
                <w:right w:val="none" w:sz="0" w:space="0" w:color="auto"/>
              </w:divBdr>
            </w:div>
            <w:div w:id="783037827">
              <w:marLeft w:val="0"/>
              <w:marRight w:val="0"/>
              <w:marTop w:val="0"/>
              <w:marBottom w:val="0"/>
              <w:divBdr>
                <w:top w:val="none" w:sz="0" w:space="0" w:color="auto"/>
                <w:left w:val="none" w:sz="0" w:space="0" w:color="auto"/>
                <w:bottom w:val="none" w:sz="0" w:space="0" w:color="auto"/>
                <w:right w:val="none" w:sz="0" w:space="0" w:color="auto"/>
              </w:divBdr>
            </w:div>
            <w:div w:id="968753285">
              <w:marLeft w:val="0"/>
              <w:marRight w:val="0"/>
              <w:marTop w:val="0"/>
              <w:marBottom w:val="0"/>
              <w:divBdr>
                <w:top w:val="none" w:sz="0" w:space="0" w:color="auto"/>
                <w:left w:val="none" w:sz="0" w:space="0" w:color="auto"/>
                <w:bottom w:val="none" w:sz="0" w:space="0" w:color="auto"/>
                <w:right w:val="none" w:sz="0" w:space="0" w:color="auto"/>
              </w:divBdr>
            </w:div>
            <w:div w:id="1507863208">
              <w:marLeft w:val="0"/>
              <w:marRight w:val="0"/>
              <w:marTop w:val="0"/>
              <w:marBottom w:val="0"/>
              <w:divBdr>
                <w:top w:val="none" w:sz="0" w:space="0" w:color="auto"/>
                <w:left w:val="none" w:sz="0" w:space="0" w:color="auto"/>
                <w:bottom w:val="none" w:sz="0" w:space="0" w:color="auto"/>
                <w:right w:val="none" w:sz="0" w:space="0" w:color="auto"/>
              </w:divBdr>
            </w:div>
            <w:div w:id="1521772985">
              <w:marLeft w:val="0"/>
              <w:marRight w:val="0"/>
              <w:marTop w:val="0"/>
              <w:marBottom w:val="0"/>
              <w:divBdr>
                <w:top w:val="none" w:sz="0" w:space="0" w:color="auto"/>
                <w:left w:val="none" w:sz="0" w:space="0" w:color="auto"/>
                <w:bottom w:val="none" w:sz="0" w:space="0" w:color="auto"/>
                <w:right w:val="none" w:sz="0" w:space="0" w:color="auto"/>
              </w:divBdr>
            </w:div>
            <w:div w:id="1813518489">
              <w:marLeft w:val="0"/>
              <w:marRight w:val="0"/>
              <w:marTop w:val="0"/>
              <w:marBottom w:val="0"/>
              <w:divBdr>
                <w:top w:val="none" w:sz="0" w:space="0" w:color="auto"/>
                <w:left w:val="none" w:sz="0" w:space="0" w:color="auto"/>
                <w:bottom w:val="none" w:sz="0" w:space="0" w:color="auto"/>
                <w:right w:val="none" w:sz="0" w:space="0" w:color="auto"/>
              </w:divBdr>
            </w:div>
          </w:divsChild>
        </w:div>
        <w:div w:id="1901944728">
          <w:marLeft w:val="0"/>
          <w:marRight w:val="0"/>
          <w:marTop w:val="0"/>
          <w:marBottom w:val="0"/>
          <w:divBdr>
            <w:top w:val="none" w:sz="0" w:space="0" w:color="auto"/>
            <w:left w:val="none" w:sz="0" w:space="0" w:color="auto"/>
            <w:bottom w:val="none" w:sz="0" w:space="0" w:color="auto"/>
            <w:right w:val="none" w:sz="0" w:space="0" w:color="auto"/>
          </w:divBdr>
          <w:divsChild>
            <w:div w:id="835070188">
              <w:marLeft w:val="0"/>
              <w:marRight w:val="0"/>
              <w:marTop w:val="0"/>
              <w:marBottom w:val="0"/>
              <w:divBdr>
                <w:top w:val="none" w:sz="0" w:space="0" w:color="auto"/>
                <w:left w:val="none" w:sz="0" w:space="0" w:color="auto"/>
                <w:bottom w:val="none" w:sz="0" w:space="0" w:color="auto"/>
                <w:right w:val="none" w:sz="0" w:space="0" w:color="auto"/>
              </w:divBdr>
            </w:div>
          </w:divsChild>
        </w:div>
        <w:div w:id="1904369074">
          <w:marLeft w:val="0"/>
          <w:marRight w:val="0"/>
          <w:marTop w:val="0"/>
          <w:marBottom w:val="0"/>
          <w:divBdr>
            <w:top w:val="none" w:sz="0" w:space="0" w:color="auto"/>
            <w:left w:val="none" w:sz="0" w:space="0" w:color="auto"/>
            <w:bottom w:val="none" w:sz="0" w:space="0" w:color="auto"/>
            <w:right w:val="none" w:sz="0" w:space="0" w:color="auto"/>
          </w:divBdr>
          <w:divsChild>
            <w:div w:id="43189034">
              <w:marLeft w:val="0"/>
              <w:marRight w:val="0"/>
              <w:marTop w:val="0"/>
              <w:marBottom w:val="0"/>
              <w:divBdr>
                <w:top w:val="none" w:sz="0" w:space="0" w:color="auto"/>
                <w:left w:val="none" w:sz="0" w:space="0" w:color="auto"/>
                <w:bottom w:val="none" w:sz="0" w:space="0" w:color="auto"/>
                <w:right w:val="none" w:sz="0" w:space="0" w:color="auto"/>
              </w:divBdr>
            </w:div>
            <w:div w:id="236745115">
              <w:marLeft w:val="0"/>
              <w:marRight w:val="0"/>
              <w:marTop w:val="0"/>
              <w:marBottom w:val="0"/>
              <w:divBdr>
                <w:top w:val="none" w:sz="0" w:space="0" w:color="auto"/>
                <w:left w:val="none" w:sz="0" w:space="0" w:color="auto"/>
                <w:bottom w:val="none" w:sz="0" w:space="0" w:color="auto"/>
                <w:right w:val="none" w:sz="0" w:space="0" w:color="auto"/>
              </w:divBdr>
            </w:div>
            <w:div w:id="245847305">
              <w:marLeft w:val="0"/>
              <w:marRight w:val="0"/>
              <w:marTop w:val="0"/>
              <w:marBottom w:val="0"/>
              <w:divBdr>
                <w:top w:val="none" w:sz="0" w:space="0" w:color="auto"/>
                <w:left w:val="none" w:sz="0" w:space="0" w:color="auto"/>
                <w:bottom w:val="none" w:sz="0" w:space="0" w:color="auto"/>
                <w:right w:val="none" w:sz="0" w:space="0" w:color="auto"/>
              </w:divBdr>
            </w:div>
            <w:div w:id="574586828">
              <w:marLeft w:val="0"/>
              <w:marRight w:val="0"/>
              <w:marTop w:val="0"/>
              <w:marBottom w:val="0"/>
              <w:divBdr>
                <w:top w:val="none" w:sz="0" w:space="0" w:color="auto"/>
                <w:left w:val="none" w:sz="0" w:space="0" w:color="auto"/>
                <w:bottom w:val="none" w:sz="0" w:space="0" w:color="auto"/>
                <w:right w:val="none" w:sz="0" w:space="0" w:color="auto"/>
              </w:divBdr>
            </w:div>
            <w:div w:id="1246961272">
              <w:marLeft w:val="0"/>
              <w:marRight w:val="0"/>
              <w:marTop w:val="0"/>
              <w:marBottom w:val="0"/>
              <w:divBdr>
                <w:top w:val="none" w:sz="0" w:space="0" w:color="auto"/>
                <w:left w:val="none" w:sz="0" w:space="0" w:color="auto"/>
                <w:bottom w:val="none" w:sz="0" w:space="0" w:color="auto"/>
                <w:right w:val="none" w:sz="0" w:space="0" w:color="auto"/>
              </w:divBdr>
            </w:div>
            <w:div w:id="1279678530">
              <w:marLeft w:val="0"/>
              <w:marRight w:val="0"/>
              <w:marTop w:val="0"/>
              <w:marBottom w:val="0"/>
              <w:divBdr>
                <w:top w:val="none" w:sz="0" w:space="0" w:color="auto"/>
                <w:left w:val="none" w:sz="0" w:space="0" w:color="auto"/>
                <w:bottom w:val="none" w:sz="0" w:space="0" w:color="auto"/>
                <w:right w:val="none" w:sz="0" w:space="0" w:color="auto"/>
              </w:divBdr>
            </w:div>
            <w:div w:id="1583293936">
              <w:marLeft w:val="0"/>
              <w:marRight w:val="0"/>
              <w:marTop w:val="0"/>
              <w:marBottom w:val="0"/>
              <w:divBdr>
                <w:top w:val="none" w:sz="0" w:space="0" w:color="auto"/>
                <w:left w:val="none" w:sz="0" w:space="0" w:color="auto"/>
                <w:bottom w:val="none" w:sz="0" w:space="0" w:color="auto"/>
                <w:right w:val="none" w:sz="0" w:space="0" w:color="auto"/>
              </w:divBdr>
            </w:div>
            <w:div w:id="1609502764">
              <w:marLeft w:val="0"/>
              <w:marRight w:val="0"/>
              <w:marTop w:val="0"/>
              <w:marBottom w:val="0"/>
              <w:divBdr>
                <w:top w:val="none" w:sz="0" w:space="0" w:color="auto"/>
                <w:left w:val="none" w:sz="0" w:space="0" w:color="auto"/>
                <w:bottom w:val="none" w:sz="0" w:space="0" w:color="auto"/>
                <w:right w:val="none" w:sz="0" w:space="0" w:color="auto"/>
              </w:divBdr>
            </w:div>
            <w:div w:id="1963731634">
              <w:marLeft w:val="0"/>
              <w:marRight w:val="0"/>
              <w:marTop w:val="0"/>
              <w:marBottom w:val="0"/>
              <w:divBdr>
                <w:top w:val="none" w:sz="0" w:space="0" w:color="auto"/>
                <w:left w:val="none" w:sz="0" w:space="0" w:color="auto"/>
                <w:bottom w:val="none" w:sz="0" w:space="0" w:color="auto"/>
                <w:right w:val="none" w:sz="0" w:space="0" w:color="auto"/>
              </w:divBdr>
            </w:div>
          </w:divsChild>
        </w:div>
        <w:div w:id="1982073697">
          <w:marLeft w:val="0"/>
          <w:marRight w:val="0"/>
          <w:marTop w:val="0"/>
          <w:marBottom w:val="0"/>
          <w:divBdr>
            <w:top w:val="none" w:sz="0" w:space="0" w:color="auto"/>
            <w:left w:val="none" w:sz="0" w:space="0" w:color="auto"/>
            <w:bottom w:val="none" w:sz="0" w:space="0" w:color="auto"/>
            <w:right w:val="none" w:sz="0" w:space="0" w:color="auto"/>
          </w:divBdr>
          <w:divsChild>
            <w:div w:id="1424455092">
              <w:marLeft w:val="0"/>
              <w:marRight w:val="0"/>
              <w:marTop w:val="0"/>
              <w:marBottom w:val="0"/>
              <w:divBdr>
                <w:top w:val="none" w:sz="0" w:space="0" w:color="auto"/>
                <w:left w:val="none" w:sz="0" w:space="0" w:color="auto"/>
                <w:bottom w:val="none" w:sz="0" w:space="0" w:color="auto"/>
                <w:right w:val="none" w:sz="0" w:space="0" w:color="auto"/>
              </w:divBdr>
            </w:div>
            <w:div w:id="1491602009">
              <w:marLeft w:val="0"/>
              <w:marRight w:val="0"/>
              <w:marTop w:val="0"/>
              <w:marBottom w:val="0"/>
              <w:divBdr>
                <w:top w:val="none" w:sz="0" w:space="0" w:color="auto"/>
                <w:left w:val="none" w:sz="0" w:space="0" w:color="auto"/>
                <w:bottom w:val="none" w:sz="0" w:space="0" w:color="auto"/>
                <w:right w:val="none" w:sz="0" w:space="0" w:color="auto"/>
              </w:divBdr>
            </w:div>
          </w:divsChild>
        </w:div>
        <w:div w:id="1995840547">
          <w:marLeft w:val="0"/>
          <w:marRight w:val="0"/>
          <w:marTop w:val="0"/>
          <w:marBottom w:val="0"/>
          <w:divBdr>
            <w:top w:val="none" w:sz="0" w:space="0" w:color="auto"/>
            <w:left w:val="none" w:sz="0" w:space="0" w:color="auto"/>
            <w:bottom w:val="none" w:sz="0" w:space="0" w:color="auto"/>
            <w:right w:val="none" w:sz="0" w:space="0" w:color="auto"/>
          </w:divBdr>
          <w:divsChild>
            <w:div w:id="228151882">
              <w:marLeft w:val="0"/>
              <w:marRight w:val="0"/>
              <w:marTop w:val="0"/>
              <w:marBottom w:val="0"/>
              <w:divBdr>
                <w:top w:val="none" w:sz="0" w:space="0" w:color="auto"/>
                <w:left w:val="none" w:sz="0" w:space="0" w:color="auto"/>
                <w:bottom w:val="none" w:sz="0" w:space="0" w:color="auto"/>
                <w:right w:val="none" w:sz="0" w:space="0" w:color="auto"/>
              </w:divBdr>
            </w:div>
            <w:div w:id="1328822073">
              <w:marLeft w:val="0"/>
              <w:marRight w:val="0"/>
              <w:marTop w:val="0"/>
              <w:marBottom w:val="0"/>
              <w:divBdr>
                <w:top w:val="none" w:sz="0" w:space="0" w:color="auto"/>
                <w:left w:val="none" w:sz="0" w:space="0" w:color="auto"/>
                <w:bottom w:val="none" w:sz="0" w:space="0" w:color="auto"/>
                <w:right w:val="none" w:sz="0" w:space="0" w:color="auto"/>
              </w:divBdr>
            </w:div>
          </w:divsChild>
        </w:div>
        <w:div w:id="2057702937">
          <w:marLeft w:val="0"/>
          <w:marRight w:val="0"/>
          <w:marTop w:val="0"/>
          <w:marBottom w:val="0"/>
          <w:divBdr>
            <w:top w:val="none" w:sz="0" w:space="0" w:color="auto"/>
            <w:left w:val="none" w:sz="0" w:space="0" w:color="auto"/>
            <w:bottom w:val="none" w:sz="0" w:space="0" w:color="auto"/>
            <w:right w:val="none" w:sz="0" w:space="0" w:color="auto"/>
          </w:divBdr>
          <w:divsChild>
            <w:div w:id="590816672">
              <w:marLeft w:val="0"/>
              <w:marRight w:val="0"/>
              <w:marTop w:val="0"/>
              <w:marBottom w:val="0"/>
              <w:divBdr>
                <w:top w:val="none" w:sz="0" w:space="0" w:color="auto"/>
                <w:left w:val="none" w:sz="0" w:space="0" w:color="auto"/>
                <w:bottom w:val="none" w:sz="0" w:space="0" w:color="auto"/>
                <w:right w:val="none" w:sz="0" w:space="0" w:color="auto"/>
              </w:divBdr>
            </w:div>
            <w:div w:id="783041711">
              <w:marLeft w:val="0"/>
              <w:marRight w:val="0"/>
              <w:marTop w:val="0"/>
              <w:marBottom w:val="0"/>
              <w:divBdr>
                <w:top w:val="none" w:sz="0" w:space="0" w:color="auto"/>
                <w:left w:val="none" w:sz="0" w:space="0" w:color="auto"/>
                <w:bottom w:val="none" w:sz="0" w:space="0" w:color="auto"/>
                <w:right w:val="none" w:sz="0" w:space="0" w:color="auto"/>
              </w:divBdr>
            </w:div>
            <w:div w:id="783887639">
              <w:marLeft w:val="0"/>
              <w:marRight w:val="0"/>
              <w:marTop w:val="0"/>
              <w:marBottom w:val="0"/>
              <w:divBdr>
                <w:top w:val="none" w:sz="0" w:space="0" w:color="auto"/>
                <w:left w:val="none" w:sz="0" w:space="0" w:color="auto"/>
                <w:bottom w:val="none" w:sz="0" w:space="0" w:color="auto"/>
                <w:right w:val="none" w:sz="0" w:space="0" w:color="auto"/>
              </w:divBdr>
            </w:div>
            <w:div w:id="1483111029">
              <w:marLeft w:val="0"/>
              <w:marRight w:val="0"/>
              <w:marTop w:val="0"/>
              <w:marBottom w:val="0"/>
              <w:divBdr>
                <w:top w:val="none" w:sz="0" w:space="0" w:color="auto"/>
                <w:left w:val="none" w:sz="0" w:space="0" w:color="auto"/>
                <w:bottom w:val="none" w:sz="0" w:space="0" w:color="auto"/>
                <w:right w:val="none" w:sz="0" w:space="0" w:color="auto"/>
              </w:divBdr>
            </w:div>
          </w:divsChild>
        </w:div>
        <w:div w:id="2130464149">
          <w:marLeft w:val="0"/>
          <w:marRight w:val="0"/>
          <w:marTop w:val="0"/>
          <w:marBottom w:val="0"/>
          <w:divBdr>
            <w:top w:val="none" w:sz="0" w:space="0" w:color="auto"/>
            <w:left w:val="none" w:sz="0" w:space="0" w:color="auto"/>
            <w:bottom w:val="none" w:sz="0" w:space="0" w:color="auto"/>
            <w:right w:val="none" w:sz="0" w:space="0" w:color="auto"/>
          </w:divBdr>
          <w:divsChild>
            <w:div w:id="876937286">
              <w:marLeft w:val="0"/>
              <w:marRight w:val="0"/>
              <w:marTop w:val="0"/>
              <w:marBottom w:val="0"/>
              <w:divBdr>
                <w:top w:val="none" w:sz="0" w:space="0" w:color="auto"/>
                <w:left w:val="none" w:sz="0" w:space="0" w:color="auto"/>
                <w:bottom w:val="none" w:sz="0" w:space="0" w:color="auto"/>
                <w:right w:val="none" w:sz="0" w:space="0" w:color="auto"/>
              </w:divBdr>
            </w:div>
          </w:divsChild>
        </w:div>
        <w:div w:id="2133211053">
          <w:marLeft w:val="0"/>
          <w:marRight w:val="0"/>
          <w:marTop w:val="0"/>
          <w:marBottom w:val="0"/>
          <w:divBdr>
            <w:top w:val="none" w:sz="0" w:space="0" w:color="auto"/>
            <w:left w:val="none" w:sz="0" w:space="0" w:color="auto"/>
            <w:bottom w:val="none" w:sz="0" w:space="0" w:color="auto"/>
            <w:right w:val="none" w:sz="0" w:space="0" w:color="auto"/>
          </w:divBdr>
          <w:divsChild>
            <w:div w:id="156574682">
              <w:marLeft w:val="0"/>
              <w:marRight w:val="0"/>
              <w:marTop w:val="0"/>
              <w:marBottom w:val="0"/>
              <w:divBdr>
                <w:top w:val="none" w:sz="0" w:space="0" w:color="auto"/>
                <w:left w:val="none" w:sz="0" w:space="0" w:color="auto"/>
                <w:bottom w:val="none" w:sz="0" w:space="0" w:color="auto"/>
                <w:right w:val="none" w:sz="0" w:space="0" w:color="auto"/>
              </w:divBdr>
            </w:div>
            <w:div w:id="412972248">
              <w:marLeft w:val="0"/>
              <w:marRight w:val="0"/>
              <w:marTop w:val="0"/>
              <w:marBottom w:val="0"/>
              <w:divBdr>
                <w:top w:val="none" w:sz="0" w:space="0" w:color="auto"/>
                <w:left w:val="none" w:sz="0" w:space="0" w:color="auto"/>
                <w:bottom w:val="none" w:sz="0" w:space="0" w:color="auto"/>
                <w:right w:val="none" w:sz="0" w:space="0" w:color="auto"/>
              </w:divBdr>
            </w:div>
            <w:div w:id="914971504">
              <w:marLeft w:val="0"/>
              <w:marRight w:val="0"/>
              <w:marTop w:val="0"/>
              <w:marBottom w:val="0"/>
              <w:divBdr>
                <w:top w:val="none" w:sz="0" w:space="0" w:color="auto"/>
                <w:left w:val="none" w:sz="0" w:space="0" w:color="auto"/>
                <w:bottom w:val="none" w:sz="0" w:space="0" w:color="auto"/>
                <w:right w:val="none" w:sz="0" w:space="0" w:color="auto"/>
              </w:divBdr>
            </w:div>
            <w:div w:id="1130396121">
              <w:marLeft w:val="0"/>
              <w:marRight w:val="0"/>
              <w:marTop w:val="0"/>
              <w:marBottom w:val="0"/>
              <w:divBdr>
                <w:top w:val="none" w:sz="0" w:space="0" w:color="auto"/>
                <w:left w:val="none" w:sz="0" w:space="0" w:color="auto"/>
                <w:bottom w:val="none" w:sz="0" w:space="0" w:color="auto"/>
                <w:right w:val="none" w:sz="0" w:space="0" w:color="auto"/>
              </w:divBdr>
            </w:div>
            <w:div w:id="1148128571">
              <w:marLeft w:val="0"/>
              <w:marRight w:val="0"/>
              <w:marTop w:val="0"/>
              <w:marBottom w:val="0"/>
              <w:divBdr>
                <w:top w:val="none" w:sz="0" w:space="0" w:color="auto"/>
                <w:left w:val="none" w:sz="0" w:space="0" w:color="auto"/>
                <w:bottom w:val="none" w:sz="0" w:space="0" w:color="auto"/>
                <w:right w:val="none" w:sz="0" w:space="0" w:color="auto"/>
              </w:divBdr>
            </w:div>
            <w:div w:id="1715690340">
              <w:marLeft w:val="0"/>
              <w:marRight w:val="0"/>
              <w:marTop w:val="0"/>
              <w:marBottom w:val="0"/>
              <w:divBdr>
                <w:top w:val="none" w:sz="0" w:space="0" w:color="auto"/>
                <w:left w:val="none" w:sz="0" w:space="0" w:color="auto"/>
                <w:bottom w:val="none" w:sz="0" w:space="0" w:color="auto"/>
                <w:right w:val="none" w:sz="0" w:space="0" w:color="auto"/>
              </w:divBdr>
            </w:div>
            <w:div w:id="19331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8977">
      <w:bodyDiv w:val="1"/>
      <w:marLeft w:val="0"/>
      <w:marRight w:val="0"/>
      <w:marTop w:val="0"/>
      <w:marBottom w:val="0"/>
      <w:divBdr>
        <w:top w:val="none" w:sz="0" w:space="0" w:color="auto"/>
        <w:left w:val="none" w:sz="0" w:space="0" w:color="auto"/>
        <w:bottom w:val="none" w:sz="0" w:space="0" w:color="auto"/>
        <w:right w:val="none" w:sz="0" w:space="0" w:color="auto"/>
      </w:divBdr>
    </w:div>
    <w:div w:id="213587888">
      <w:bodyDiv w:val="1"/>
      <w:marLeft w:val="0"/>
      <w:marRight w:val="0"/>
      <w:marTop w:val="0"/>
      <w:marBottom w:val="0"/>
      <w:divBdr>
        <w:top w:val="none" w:sz="0" w:space="0" w:color="auto"/>
        <w:left w:val="none" w:sz="0" w:space="0" w:color="auto"/>
        <w:bottom w:val="none" w:sz="0" w:space="0" w:color="auto"/>
        <w:right w:val="none" w:sz="0" w:space="0" w:color="auto"/>
      </w:divBdr>
    </w:div>
    <w:div w:id="241182630">
      <w:bodyDiv w:val="1"/>
      <w:marLeft w:val="0"/>
      <w:marRight w:val="0"/>
      <w:marTop w:val="0"/>
      <w:marBottom w:val="0"/>
      <w:divBdr>
        <w:top w:val="none" w:sz="0" w:space="0" w:color="auto"/>
        <w:left w:val="none" w:sz="0" w:space="0" w:color="auto"/>
        <w:bottom w:val="none" w:sz="0" w:space="0" w:color="auto"/>
        <w:right w:val="none" w:sz="0" w:space="0" w:color="auto"/>
      </w:divBdr>
      <w:divsChild>
        <w:div w:id="242029293">
          <w:marLeft w:val="0"/>
          <w:marRight w:val="0"/>
          <w:marTop w:val="0"/>
          <w:marBottom w:val="0"/>
          <w:divBdr>
            <w:top w:val="none" w:sz="0" w:space="0" w:color="auto"/>
            <w:left w:val="none" w:sz="0" w:space="0" w:color="auto"/>
            <w:bottom w:val="none" w:sz="0" w:space="0" w:color="auto"/>
            <w:right w:val="none" w:sz="0" w:space="0" w:color="auto"/>
          </w:divBdr>
        </w:div>
        <w:div w:id="1046875772">
          <w:marLeft w:val="0"/>
          <w:marRight w:val="0"/>
          <w:marTop w:val="0"/>
          <w:marBottom w:val="0"/>
          <w:divBdr>
            <w:top w:val="none" w:sz="0" w:space="0" w:color="auto"/>
            <w:left w:val="none" w:sz="0" w:space="0" w:color="auto"/>
            <w:bottom w:val="none" w:sz="0" w:space="0" w:color="auto"/>
            <w:right w:val="none" w:sz="0" w:space="0" w:color="auto"/>
          </w:divBdr>
        </w:div>
        <w:div w:id="1198851616">
          <w:marLeft w:val="0"/>
          <w:marRight w:val="0"/>
          <w:marTop w:val="0"/>
          <w:marBottom w:val="0"/>
          <w:divBdr>
            <w:top w:val="none" w:sz="0" w:space="0" w:color="auto"/>
            <w:left w:val="none" w:sz="0" w:space="0" w:color="auto"/>
            <w:bottom w:val="none" w:sz="0" w:space="0" w:color="auto"/>
            <w:right w:val="none" w:sz="0" w:space="0" w:color="auto"/>
          </w:divBdr>
        </w:div>
        <w:div w:id="1211914130">
          <w:marLeft w:val="0"/>
          <w:marRight w:val="0"/>
          <w:marTop w:val="0"/>
          <w:marBottom w:val="0"/>
          <w:divBdr>
            <w:top w:val="none" w:sz="0" w:space="0" w:color="auto"/>
            <w:left w:val="none" w:sz="0" w:space="0" w:color="auto"/>
            <w:bottom w:val="none" w:sz="0" w:space="0" w:color="auto"/>
            <w:right w:val="none" w:sz="0" w:space="0" w:color="auto"/>
          </w:divBdr>
        </w:div>
        <w:div w:id="1243418682">
          <w:marLeft w:val="0"/>
          <w:marRight w:val="0"/>
          <w:marTop w:val="0"/>
          <w:marBottom w:val="0"/>
          <w:divBdr>
            <w:top w:val="none" w:sz="0" w:space="0" w:color="auto"/>
            <w:left w:val="none" w:sz="0" w:space="0" w:color="auto"/>
            <w:bottom w:val="none" w:sz="0" w:space="0" w:color="auto"/>
            <w:right w:val="none" w:sz="0" w:space="0" w:color="auto"/>
          </w:divBdr>
        </w:div>
        <w:div w:id="1542477317">
          <w:marLeft w:val="0"/>
          <w:marRight w:val="0"/>
          <w:marTop w:val="0"/>
          <w:marBottom w:val="0"/>
          <w:divBdr>
            <w:top w:val="none" w:sz="0" w:space="0" w:color="auto"/>
            <w:left w:val="none" w:sz="0" w:space="0" w:color="auto"/>
            <w:bottom w:val="none" w:sz="0" w:space="0" w:color="auto"/>
            <w:right w:val="none" w:sz="0" w:space="0" w:color="auto"/>
          </w:divBdr>
        </w:div>
        <w:div w:id="1828934124">
          <w:marLeft w:val="0"/>
          <w:marRight w:val="0"/>
          <w:marTop w:val="0"/>
          <w:marBottom w:val="0"/>
          <w:divBdr>
            <w:top w:val="none" w:sz="0" w:space="0" w:color="auto"/>
            <w:left w:val="none" w:sz="0" w:space="0" w:color="auto"/>
            <w:bottom w:val="none" w:sz="0" w:space="0" w:color="auto"/>
            <w:right w:val="none" w:sz="0" w:space="0" w:color="auto"/>
          </w:divBdr>
        </w:div>
      </w:divsChild>
    </w:div>
    <w:div w:id="244077269">
      <w:bodyDiv w:val="1"/>
      <w:marLeft w:val="0"/>
      <w:marRight w:val="0"/>
      <w:marTop w:val="0"/>
      <w:marBottom w:val="0"/>
      <w:divBdr>
        <w:top w:val="none" w:sz="0" w:space="0" w:color="auto"/>
        <w:left w:val="none" w:sz="0" w:space="0" w:color="auto"/>
        <w:bottom w:val="none" w:sz="0" w:space="0" w:color="auto"/>
        <w:right w:val="none" w:sz="0" w:space="0" w:color="auto"/>
      </w:divBdr>
    </w:div>
    <w:div w:id="283268577">
      <w:bodyDiv w:val="1"/>
      <w:marLeft w:val="0"/>
      <w:marRight w:val="0"/>
      <w:marTop w:val="0"/>
      <w:marBottom w:val="0"/>
      <w:divBdr>
        <w:top w:val="none" w:sz="0" w:space="0" w:color="auto"/>
        <w:left w:val="none" w:sz="0" w:space="0" w:color="auto"/>
        <w:bottom w:val="none" w:sz="0" w:space="0" w:color="auto"/>
        <w:right w:val="none" w:sz="0" w:space="0" w:color="auto"/>
      </w:divBdr>
    </w:div>
    <w:div w:id="313142690">
      <w:bodyDiv w:val="1"/>
      <w:marLeft w:val="0"/>
      <w:marRight w:val="0"/>
      <w:marTop w:val="0"/>
      <w:marBottom w:val="0"/>
      <w:divBdr>
        <w:top w:val="none" w:sz="0" w:space="0" w:color="auto"/>
        <w:left w:val="none" w:sz="0" w:space="0" w:color="auto"/>
        <w:bottom w:val="none" w:sz="0" w:space="0" w:color="auto"/>
        <w:right w:val="none" w:sz="0" w:space="0" w:color="auto"/>
      </w:divBdr>
    </w:div>
    <w:div w:id="328217185">
      <w:bodyDiv w:val="1"/>
      <w:marLeft w:val="0"/>
      <w:marRight w:val="0"/>
      <w:marTop w:val="0"/>
      <w:marBottom w:val="0"/>
      <w:divBdr>
        <w:top w:val="none" w:sz="0" w:space="0" w:color="auto"/>
        <w:left w:val="none" w:sz="0" w:space="0" w:color="auto"/>
        <w:bottom w:val="none" w:sz="0" w:space="0" w:color="auto"/>
        <w:right w:val="none" w:sz="0" w:space="0" w:color="auto"/>
      </w:divBdr>
    </w:div>
    <w:div w:id="366831910">
      <w:bodyDiv w:val="1"/>
      <w:marLeft w:val="0"/>
      <w:marRight w:val="0"/>
      <w:marTop w:val="0"/>
      <w:marBottom w:val="0"/>
      <w:divBdr>
        <w:top w:val="none" w:sz="0" w:space="0" w:color="auto"/>
        <w:left w:val="none" w:sz="0" w:space="0" w:color="auto"/>
        <w:bottom w:val="none" w:sz="0" w:space="0" w:color="auto"/>
        <w:right w:val="none" w:sz="0" w:space="0" w:color="auto"/>
      </w:divBdr>
      <w:divsChild>
        <w:div w:id="360281903">
          <w:marLeft w:val="0"/>
          <w:marRight w:val="0"/>
          <w:marTop w:val="0"/>
          <w:marBottom w:val="0"/>
          <w:divBdr>
            <w:top w:val="none" w:sz="0" w:space="0" w:color="auto"/>
            <w:left w:val="none" w:sz="0" w:space="0" w:color="auto"/>
            <w:bottom w:val="none" w:sz="0" w:space="0" w:color="auto"/>
            <w:right w:val="none" w:sz="0" w:space="0" w:color="auto"/>
          </w:divBdr>
        </w:div>
        <w:div w:id="1300721327">
          <w:marLeft w:val="0"/>
          <w:marRight w:val="0"/>
          <w:marTop w:val="0"/>
          <w:marBottom w:val="0"/>
          <w:divBdr>
            <w:top w:val="none" w:sz="0" w:space="0" w:color="auto"/>
            <w:left w:val="none" w:sz="0" w:space="0" w:color="auto"/>
            <w:bottom w:val="none" w:sz="0" w:space="0" w:color="auto"/>
            <w:right w:val="none" w:sz="0" w:space="0" w:color="auto"/>
          </w:divBdr>
        </w:div>
        <w:div w:id="1455102764">
          <w:marLeft w:val="0"/>
          <w:marRight w:val="0"/>
          <w:marTop w:val="0"/>
          <w:marBottom w:val="0"/>
          <w:divBdr>
            <w:top w:val="none" w:sz="0" w:space="0" w:color="auto"/>
            <w:left w:val="none" w:sz="0" w:space="0" w:color="auto"/>
            <w:bottom w:val="none" w:sz="0" w:space="0" w:color="auto"/>
            <w:right w:val="none" w:sz="0" w:space="0" w:color="auto"/>
          </w:divBdr>
        </w:div>
        <w:div w:id="1930697585">
          <w:marLeft w:val="0"/>
          <w:marRight w:val="0"/>
          <w:marTop w:val="0"/>
          <w:marBottom w:val="0"/>
          <w:divBdr>
            <w:top w:val="none" w:sz="0" w:space="0" w:color="auto"/>
            <w:left w:val="none" w:sz="0" w:space="0" w:color="auto"/>
            <w:bottom w:val="none" w:sz="0" w:space="0" w:color="auto"/>
            <w:right w:val="none" w:sz="0" w:space="0" w:color="auto"/>
          </w:divBdr>
        </w:div>
        <w:div w:id="2050177789">
          <w:marLeft w:val="0"/>
          <w:marRight w:val="0"/>
          <w:marTop w:val="0"/>
          <w:marBottom w:val="0"/>
          <w:divBdr>
            <w:top w:val="none" w:sz="0" w:space="0" w:color="auto"/>
            <w:left w:val="none" w:sz="0" w:space="0" w:color="auto"/>
            <w:bottom w:val="none" w:sz="0" w:space="0" w:color="auto"/>
            <w:right w:val="none" w:sz="0" w:space="0" w:color="auto"/>
          </w:divBdr>
        </w:div>
      </w:divsChild>
    </w:div>
    <w:div w:id="378012507">
      <w:bodyDiv w:val="1"/>
      <w:marLeft w:val="0"/>
      <w:marRight w:val="0"/>
      <w:marTop w:val="0"/>
      <w:marBottom w:val="0"/>
      <w:divBdr>
        <w:top w:val="none" w:sz="0" w:space="0" w:color="auto"/>
        <w:left w:val="none" w:sz="0" w:space="0" w:color="auto"/>
        <w:bottom w:val="none" w:sz="0" w:space="0" w:color="auto"/>
        <w:right w:val="none" w:sz="0" w:space="0" w:color="auto"/>
      </w:divBdr>
      <w:divsChild>
        <w:div w:id="859706715">
          <w:marLeft w:val="0"/>
          <w:marRight w:val="0"/>
          <w:marTop w:val="0"/>
          <w:marBottom w:val="0"/>
          <w:divBdr>
            <w:top w:val="none" w:sz="0" w:space="0" w:color="auto"/>
            <w:left w:val="none" w:sz="0" w:space="0" w:color="auto"/>
            <w:bottom w:val="none" w:sz="0" w:space="0" w:color="auto"/>
            <w:right w:val="none" w:sz="0" w:space="0" w:color="auto"/>
          </w:divBdr>
        </w:div>
        <w:div w:id="961108301">
          <w:marLeft w:val="0"/>
          <w:marRight w:val="0"/>
          <w:marTop w:val="0"/>
          <w:marBottom w:val="0"/>
          <w:divBdr>
            <w:top w:val="none" w:sz="0" w:space="0" w:color="auto"/>
            <w:left w:val="none" w:sz="0" w:space="0" w:color="auto"/>
            <w:bottom w:val="none" w:sz="0" w:space="0" w:color="auto"/>
            <w:right w:val="none" w:sz="0" w:space="0" w:color="auto"/>
          </w:divBdr>
        </w:div>
        <w:div w:id="1153912318">
          <w:marLeft w:val="0"/>
          <w:marRight w:val="0"/>
          <w:marTop w:val="0"/>
          <w:marBottom w:val="0"/>
          <w:divBdr>
            <w:top w:val="none" w:sz="0" w:space="0" w:color="auto"/>
            <w:left w:val="none" w:sz="0" w:space="0" w:color="auto"/>
            <w:bottom w:val="none" w:sz="0" w:space="0" w:color="auto"/>
            <w:right w:val="none" w:sz="0" w:space="0" w:color="auto"/>
          </w:divBdr>
        </w:div>
        <w:div w:id="1267813720">
          <w:marLeft w:val="0"/>
          <w:marRight w:val="0"/>
          <w:marTop w:val="0"/>
          <w:marBottom w:val="0"/>
          <w:divBdr>
            <w:top w:val="none" w:sz="0" w:space="0" w:color="auto"/>
            <w:left w:val="none" w:sz="0" w:space="0" w:color="auto"/>
            <w:bottom w:val="none" w:sz="0" w:space="0" w:color="auto"/>
            <w:right w:val="none" w:sz="0" w:space="0" w:color="auto"/>
          </w:divBdr>
        </w:div>
        <w:div w:id="1908999106">
          <w:marLeft w:val="0"/>
          <w:marRight w:val="0"/>
          <w:marTop w:val="0"/>
          <w:marBottom w:val="0"/>
          <w:divBdr>
            <w:top w:val="none" w:sz="0" w:space="0" w:color="auto"/>
            <w:left w:val="none" w:sz="0" w:space="0" w:color="auto"/>
            <w:bottom w:val="none" w:sz="0" w:space="0" w:color="auto"/>
            <w:right w:val="none" w:sz="0" w:space="0" w:color="auto"/>
          </w:divBdr>
        </w:div>
      </w:divsChild>
    </w:div>
    <w:div w:id="418648270">
      <w:bodyDiv w:val="1"/>
      <w:marLeft w:val="0"/>
      <w:marRight w:val="0"/>
      <w:marTop w:val="0"/>
      <w:marBottom w:val="0"/>
      <w:divBdr>
        <w:top w:val="none" w:sz="0" w:space="0" w:color="auto"/>
        <w:left w:val="none" w:sz="0" w:space="0" w:color="auto"/>
        <w:bottom w:val="none" w:sz="0" w:space="0" w:color="auto"/>
        <w:right w:val="none" w:sz="0" w:space="0" w:color="auto"/>
      </w:divBdr>
      <w:divsChild>
        <w:div w:id="511919526">
          <w:marLeft w:val="274"/>
          <w:marRight w:val="0"/>
          <w:marTop w:val="0"/>
          <w:marBottom w:val="0"/>
          <w:divBdr>
            <w:top w:val="none" w:sz="0" w:space="0" w:color="auto"/>
            <w:left w:val="none" w:sz="0" w:space="0" w:color="auto"/>
            <w:bottom w:val="none" w:sz="0" w:space="0" w:color="auto"/>
            <w:right w:val="none" w:sz="0" w:space="0" w:color="auto"/>
          </w:divBdr>
        </w:div>
      </w:divsChild>
    </w:div>
    <w:div w:id="449935745">
      <w:bodyDiv w:val="1"/>
      <w:marLeft w:val="0"/>
      <w:marRight w:val="0"/>
      <w:marTop w:val="0"/>
      <w:marBottom w:val="0"/>
      <w:divBdr>
        <w:top w:val="none" w:sz="0" w:space="0" w:color="auto"/>
        <w:left w:val="none" w:sz="0" w:space="0" w:color="auto"/>
        <w:bottom w:val="none" w:sz="0" w:space="0" w:color="auto"/>
        <w:right w:val="none" w:sz="0" w:space="0" w:color="auto"/>
      </w:divBdr>
      <w:divsChild>
        <w:div w:id="980498934">
          <w:marLeft w:val="0"/>
          <w:marRight w:val="0"/>
          <w:marTop w:val="0"/>
          <w:marBottom w:val="0"/>
          <w:divBdr>
            <w:top w:val="none" w:sz="0" w:space="0" w:color="auto"/>
            <w:left w:val="none" w:sz="0" w:space="0" w:color="auto"/>
            <w:bottom w:val="none" w:sz="0" w:space="0" w:color="auto"/>
            <w:right w:val="none" w:sz="0" w:space="0" w:color="auto"/>
          </w:divBdr>
        </w:div>
        <w:div w:id="1585337551">
          <w:marLeft w:val="0"/>
          <w:marRight w:val="0"/>
          <w:marTop w:val="0"/>
          <w:marBottom w:val="0"/>
          <w:divBdr>
            <w:top w:val="none" w:sz="0" w:space="0" w:color="auto"/>
            <w:left w:val="none" w:sz="0" w:space="0" w:color="auto"/>
            <w:bottom w:val="none" w:sz="0" w:space="0" w:color="auto"/>
            <w:right w:val="none" w:sz="0" w:space="0" w:color="auto"/>
          </w:divBdr>
        </w:div>
      </w:divsChild>
    </w:div>
    <w:div w:id="452600225">
      <w:bodyDiv w:val="1"/>
      <w:marLeft w:val="0"/>
      <w:marRight w:val="0"/>
      <w:marTop w:val="0"/>
      <w:marBottom w:val="0"/>
      <w:divBdr>
        <w:top w:val="none" w:sz="0" w:space="0" w:color="auto"/>
        <w:left w:val="none" w:sz="0" w:space="0" w:color="auto"/>
        <w:bottom w:val="none" w:sz="0" w:space="0" w:color="auto"/>
        <w:right w:val="none" w:sz="0" w:space="0" w:color="auto"/>
      </w:divBdr>
    </w:div>
    <w:div w:id="501897855">
      <w:bodyDiv w:val="1"/>
      <w:marLeft w:val="0"/>
      <w:marRight w:val="0"/>
      <w:marTop w:val="0"/>
      <w:marBottom w:val="0"/>
      <w:divBdr>
        <w:top w:val="none" w:sz="0" w:space="0" w:color="auto"/>
        <w:left w:val="none" w:sz="0" w:space="0" w:color="auto"/>
        <w:bottom w:val="none" w:sz="0" w:space="0" w:color="auto"/>
        <w:right w:val="none" w:sz="0" w:space="0" w:color="auto"/>
      </w:divBdr>
    </w:div>
    <w:div w:id="602538047">
      <w:bodyDiv w:val="1"/>
      <w:marLeft w:val="0"/>
      <w:marRight w:val="0"/>
      <w:marTop w:val="0"/>
      <w:marBottom w:val="0"/>
      <w:divBdr>
        <w:top w:val="none" w:sz="0" w:space="0" w:color="auto"/>
        <w:left w:val="none" w:sz="0" w:space="0" w:color="auto"/>
        <w:bottom w:val="none" w:sz="0" w:space="0" w:color="auto"/>
        <w:right w:val="none" w:sz="0" w:space="0" w:color="auto"/>
      </w:divBdr>
    </w:div>
    <w:div w:id="615327869">
      <w:bodyDiv w:val="1"/>
      <w:marLeft w:val="0"/>
      <w:marRight w:val="0"/>
      <w:marTop w:val="0"/>
      <w:marBottom w:val="0"/>
      <w:divBdr>
        <w:top w:val="none" w:sz="0" w:space="0" w:color="auto"/>
        <w:left w:val="none" w:sz="0" w:space="0" w:color="auto"/>
        <w:bottom w:val="none" w:sz="0" w:space="0" w:color="auto"/>
        <w:right w:val="none" w:sz="0" w:space="0" w:color="auto"/>
      </w:divBdr>
    </w:div>
    <w:div w:id="626476297">
      <w:bodyDiv w:val="1"/>
      <w:marLeft w:val="0"/>
      <w:marRight w:val="0"/>
      <w:marTop w:val="0"/>
      <w:marBottom w:val="0"/>
      <w:divBdr>
        <w:top w:val="none" w:sz="0" w:space="0" w:color="auto"/>
        <w:left w:val="none" w:sz="0" w:space="0" w:color="auto"/>
        <w:bottom w:val="none" w:sz="0" w:space="0" w:color="auto"/>
        <w:right w:val="none" w:sz="0" w:space="0" w:color="auto"/>
      </w:divBdr>
    </w:div>
    <w:div w:id="628359900">
      <w:bodyDiv w:val="1"/>
      <w:marLeft w:val="0"/>
      <w:marRight w:val="0"/>
      <w:marTop w:val="0"/>
      <w:marBottom w:val="0"/>
      <w:divBdr>
        <w:top w:val="none" w:sz="0" w:space="0" w:color="auto"/>
        <w:left w:val="none" w:sz="0" w:space="0" w:color="auto"/>
        <w:bottom w:val="none" w:sz="0" w:space="0" w:color="auto"/>
        <w:right w:val="none" w:sz="0" w:space="0" w:color="auto"/>
      </w:divBdr>
      <w:divsChild>
        <w:div w:id="138155474">
          <w:marLeft w:val="0"/>
          <w:marRight w:val="0"/>
          <w:marTop w:val="0"/>
          <w:marBottom w:val="0"/>
          <w:divBdr>
            <w:top w:val="none" w:sz="0" w:space="0" w:color="auto"/>
            <w:left w:val="none" w:sz="0" w:space="0" w:color="auto"/>
            <w:bottom w:val="none" w:sz="0" w:space="0" w:color="auto"/>
            <w:right w:val="none" w:sz="0" w:space="0" w:color="auto"/>
          </w:divBdr>
        </w:div>
        <w:div w:id="682784615">
          <w:marLeft w:val="0"/>
          <w:marRight w:val="0"/>
          <w:marTop w:val="0"/>
          <w:marBottom w:val="0"/>
          <w:divBdr>
            <w:top w:val="none" w:sz="0" w:space="0" w:color="auto"/>
            <w:left w:val="none" w:sz="0" w:space="0" w:color="auto"/>
            <w:bottom w:val="none" w:sz="0" w:space="0" w:color="auto"/>
            <w:right w:val="none" w:sz="0" w:space="0" w:color="auto"/>
          </w:divBdr>
        </w:div>
        <w:div w:id="947926321">
          <w:marLeft w:val="0"/>
          <w:marRight w:val="0"/>
          <w:marTop w:val="0"/>
          <w:marBottom w:val="0"/>
          <w:divBdr>
            <w:top w:val="none" w:sz="0" w:space="0" w:color="auto"/>
            <w:left w:val="none" w:sz="0" w:space="0" w:color="auto"/>
            <w:bottom w:val="none" w:sz="0" w:space="0" w:color="auto"/>
            <w:right w:val="none" w:sz="0" w:space="0" w:color="auto"/>
          </w:divBdr>
        </w:div>
        <w:div w:id="1443963466">
          <w:marLeft w:val="0"/>
          <w:marRight w:val="0"/>
          <w:marTop w:val="0"/>
          <w:marBottom w:val="0"/>
          <w:divBdr>
            <w:top w:val="none" w:sz="0" w:space="0" w:color="auto"/>
            <w:left w:val="none" w:sz="0" w:space="0" w:color="auto"/>
            <w:bottom w:val="none" w:sz="0" w:space="0" w:color="auto"/>
            <w:right w:val="none" w:sz="0" w:space="0" w:color="auto"/>
          </w:divBdr>
        </w:div>
        <w:div w:id="1477256474">
          <w:marLeft w:val="0"/>
          <w:marRight w:val="0"/>
          <w:marTop w:val="0"/>
          <w:marBottom w:val="0"/>
          <w:divBdr>
            <w:top w:val="none" w:sz="0" w:space="0" w:color="auto"/>
            <w:left w:val="none" w:sz="0" w:space="0" w:color="auto"/>
            <w:bottom w:val="none" w:sz="0" w:space="0" w:color="auto"/>
            <w:right w:val="none" w:sz="0" w:space="0" w:color="auto"/>
          </w:divBdr>
        </w:div>
        <w:div w:id="2108574675">
          <w:marLeft w:val="0"/>
          <w:marRight w:val="0"/>
          <w:marTop w:val="0"/>
          <w:marBottom w:val="0"/>
          <w:divBdr>
            <w:top w:val="none" w:sz="0" w:space="0" w:color="auto"/>
            <w:left w:val="none" w:sz="0" w:space="0" w:color="auto"/>
            <w:bottom w:val="none" w:sz="0" w:space="0" w:color="auto"/>
            <w:right w:val="none" w:sz="0" w:space="0" w:color="auto"/>
          </w:divBdr>
        </w:div>
      </w:divsChild>
    </w:div>
    <w:div w:id="638071880">
      <w:bodyDiv w:val="1"/>
      <w:marLeft w:val="0"/>
      <w:marRight w:val="0"/>
      <w:marTop w:val="0"/>
      <w:marBottom w:val="0"/>
      <w:divBdr>
        <w:top w:val="none" w:sz="0" w:space="0" w:color="auto"/>
        <w:left w:val="none" w:sz="0" w:space="0" w:color="auto"/>
        <w:bottom w:val="none" w:sz="0" w:space="0" w:color="auto"/>
        <w:right w:val="none" w:sz="0" w:space="0" w:color="auto"/>
      </w:divBdr>
    </w:div>
    <w:div w:id="694888641">
      <w:bodyDiv w:val="1"/>
      <w:marLeft w:val="0"/>
      <w:marRight w:val="0"/>
      <w:marTop w:val="0"/>
      <w:marBottom w:val="0"/>
      <w:divBdr>
        <w:top w:val="none" w:sz="0" w:space="0" w:color="auto"/>
        <w:left w:val="none" w:sz="0" w:space="0" w:color="auto"/>
        <w:bottom w:val="none" w:sz="0" w:space="0" w:color="auto"/>
        <w:right w:val="none" w:sz="0" w:space="0" w:color="auto"/>
      </w:divBdr>
    </w:div>
    <w:div w:id="713311420">
      <w:bodyDiv w:val="1"/>
      <w:marLeft w:val="0"/>
      <w:marRight w:val="0"/>
      <w:marTop w:val="0"/>
      <w:marBottom w:val="0"/>
      <w:divBdr>
        <w:top w:val="none" w:sz="0" w:space="0" w:color="auto"/>
        <w:left w:val="none" w:sz="0" w:space="0" w:color="auto"/>
        <w:bottom w:val="none" w:sz="0" w:space="0" w:color="auto"/>
        <w:right w:val="none" w:sz="0" w:space="0" w:color="auto"/>
      </w:divBdr>
    </w:div>
    <w:div w:id="723797792">
      <w:bodyDiv w:val="1"/>
      <w:marLeft w:val="0"/>
      <w:marRight w:val="0"/>
      <w:marTop w:val="0"/>
      <w:marBottom w:val="0"/>
      <w:divBdr>
        <w:top w:val="none" w:sz="0" w:space="0" w:color="auto"/>
        <w:left w:val="none" w:sz="0" w:space="0" w:color="auto"/>
        <w:bottom w:val="none" w:sz="0" w:space="0" w:color="auto"/>
        <w:right w:val="none" w:sz="0" w:space="0" w:color="auto"/>
      </w:divBdr>
      <w:divsChild>
        <w:div w:id="268322723">
          <w:marLeft w:val="0"/>
          <w:marRight w:val="0"/>
          <w:marTop w:val="0"/>
          <w:marBottom w:val="0"/>
          <w:divBdr>
            <w:top w:val="none" w:sz="0" w:space="0" w:color="auto"/>
            <w:left w:val="none" w:sz="0" w:space="0" w:color="auto"/>
            <w:bottom w:val="none" w:sz="0" w:space="0" w:color="auto"/>
            <w:right w:val="none" w:sz="0" w:space="0" w:color="auto"/>
          </w:divBdr>
        </w:div>
        <w:div w:id="536357388">
          <w:marLeft w:val="0"/>
          <w:marRight w:val="0"/>
          <w:marTop w:val="0"/>
          <w:marBottom w:val="0"/>
          <w:divBdr>
            <w:top w:val="none" w:sz="0" w:space="0" w:color="auto"/>
            <w:left w:val="none" w:sz="0" w:space="0" w:color="auto"/>
            <w:bottom w:val="none" w:sz="0" w:space="0" w:color="auto"/>
            <w:right w:val="none" w:sz="0" w:space="0" w:color="auto"/>
          </w:divBdr>
        </w:div>
        <w:div w:id="545529364">
          <w:marLeft w:val="0"/>
          <w:marRight w:val="0"/>
          <w:marTop w:val="0"/>
          <w:marBottom w:val="0"/>
          <w:divBdr>
            <w:top w:val="none" w:sz="0" w:space="0" w:color="auto"/>
            <w:left w:val="none" w:sz="0" w:space="0" w:color="auto"/>
            <w:bottom w:val="none" w:sz="0" w:space="0" w:color="auto"/>
            <w:right w:val="none" w:sz="0" w:space="0" w:color="auto"/>
          </w:divBdr>
        </w:div>
        <w:div w:id="598297139">
          <w:marLeft w:val="0"/>
          <w:marRight w:val="0"/>
          <w:marTop w:val="0"/>
          <w:marBottom w:val="0"/>
          <w:divBdr>
            <w:top w:val="none" w:sz="0" w:space="0" w:color="auto"/>
            <w:left w:val="none" w:sz="0" w:space="0" w:color="auto"/>
            <w:bottom w:val="none" w:sz="0" w:space="0" w:color="auto"/>
            <w:right w:val="none" w:sz="0" w:space="0" w:color="auto"/>
          </w:divBdr>
        </w:div>
        <w:div w:id="1392848636">
          <w:marLeft w:val="0"/>
          <w:marRight w:val="0"/>
          <w:marTop w:val="0"/>
          <w:marBottom w:val="0"/>
          <w:divBdr>
            <w:top w:val="none" w:sz="0" w:space="0" w:color="auto"/>
            <w:left w:val="none" w:sz="0" w:space="0" w:color="auto"/>
            <w:bottom w:val="none" w:sz="0" w:space="0" w:color="auto"/>
            <w:right w:val="none" w:sz="0" w:space="0" w:color="auto"/>
          </w:divBdr>
        </w:div>
        <w:div w:id="1755740716">
          <w:marLeft w:val="0"/>
          <w:marRight w:val="0"/>
          <w:marTop w:val="0"/>
          <w:marBottom w:val="0"/>
          <w:divBdr>
            <w:top w:val="none" w:sz="0" w:space="0" w:color="auto"/>
            <w:left w:val="none" w:sz="0" w:space="0" w:color="auto"/>
            <w:bottom w:val="none" w:sz="0" w:space="0" w:color="auto"/>
            <w:right w:val="none" w:sz="0" w:space="0" w:color="auto"/>
          </w:divBdr>
        </w:div>
        <w:div w:id="1821918157">
          <w:marLeft w:val="0"/>
          <w:marRight w:val="0"/>
          <w:marTop w:val="0"/>
          <w:marBottom w:val="0"/>
          <w:divBdr>
            <w:top w:val="none" w:sz="0" w:space="0" w:color="auto"/>
            <w:left w:val="none" w:sz="0" w:space="0" w:color="auto"/>
            <w:bottom w:val="none" w:sz="0" w:space="0" w:color="auto"/>
            <w:right w:val="none" w:sz="0" w:space="0" w:color="auto"/>
          </w:divBdr>
        </w:div>
      </w:divsChild>
    </w:div>
    <w:div w:id="747922492">
      <w:bodyDiv w:val="1"/>
      <w:marLeft w:val="0"/>
      <w:marRight w:val="0"/>
      <w:marTop w:val="0"/>
      <w:marBottom w:val="0"/>
      <w:divBdr>
        <w:top w:val="none" w:sz="0" w:space="0" w:color="auto"/>
        <w:left w:val="none" w:sz="0" w:space="0" w:color="auto"/>
        <w:bottom w:val="none" w:sz="0" w:space="0" w:color="auto"/>
        <w:right w:val="none" w:sz="0" w:space="0" w:color="auto"/>
      </w:divBdr>
      <w:divsChild>
        <w:div w:id="866258149">
          <w:marLeft w:val="0"/>
          <w:marRight w:val="0"/>
          <w:marTop w:val="0"/>
          <w:marBottom w:val="0"/>
          <w:divBdr>
            <w:top w:val="none" w:sz="0" w:space="0" w:color="auto"/>
            <w:left w:val="none" w:sz="0" w:space="0" w:color="auto"/>
            <w:bottom w:val="none" w:sz="0" w:space="0" w:color="auto"/>
            <w:right w:val="none" w:sz="0" w:space="0" w:color="auto"/>
          </w:divBdr>
        </w:div>
        <w:div w:id="875703043">
          <w:marLeft w:val="0"/>
          <w:marRight w:val="0"/>
          <w:marTop w:val="0"/>
          <w:marBottom w:val="0"/>
          <w:divBdr>
            <w:top w:val="none" w:sz="0" w:space="0" w:color="auto"/>
            <w:left w:val="none" w:sz="0" w:space="0" w:color="auto"/>
            <w:bottom w:val="none" w:sz="0" w:space="0" w:color="auto"/>
            <w:right w:val="none" w:sz="0" w:space="0" w:color="auto"/>
          </w:divBdr>
        </w:div>
      </w:divsChild>
    </w:div>
    <w:div w:id="756902533">
      <w:bodyDiv w:val="1"/>
      <w:marLeft w:val="0"/>
      <w:marRight w:val="0"/>
      <w:marTop w:val="0"/>
      <w:marBottom w:val="0"/>
      <w:divBdr>
        <w:top w:val="none" w:sz="0" w:space="0" w:color="auto"/>
        <w:left w:val="none" w:sz="0" w:space="0" w:color="auto"/>
        <w:bottom w:val="none" w:sz="0" w:space="0" w:color="auto"/>
        <w:right w:val="none" w:sz="0" w:space="0" w:color="auto"/>
      </w:divBdr>
    </w:div>
    <w:div w:id="774901906">
      <w:bodyDiv w:val="1"/>
      <w:marLeft w:val="0"/>
      <w:marRight w:val="0"/>
      <w:marTop w:val="0"/>
      <w:marBottom w:val="0"/>
      <w:divBdr>
        <w:top w:val="none" w:sz="0" w:space="0" w:color="auto"/>
        <w:left w:val="none" w:sz="0" w:space="0" w:color="auto"/>
        <w:bottom w:val="none" w:sz="0" w:space="0" w:color="auto"/>
        <w:right w:val="none" w:sz="0" w:space="0" w:color="auto"/>
      </w:divBdr>
    </w:div>
    <w:div w:id="821577980">
      <w:bodyDiv w:val="1"/>
      <w:marLeft w:val="0"/>
      <w:marRight w:val="0"/>
      <w:marTop w:val="0"/>
      <w:marBottom w:val="0"/>
      <w:divBdr>
        <w:top w:val="none" w:sz="0" w:space="0" w:color="auto"/>
        <w:left w:val="none" w:sz="0" w:space="0" w:color="auto"/>
        <w:bottom w:val="none" w:sz="0" w:space="0" w:color="auto"/>
        <w:right w:val="none" w:sz="0" w:space="0" w:color="auto"/>
      </w:divBdr>
    </w:div>
    <w:div w:id="857886367">
      <w:bodyDiv w:val="1"/>
      <w:marLeft w:val="0"/>
      <w:marRight w:val="0"/>
      <w:marTop w:val="0"/>
      <w:marBottom w:val="0"/>
      <w:divBdr>
        <w:top w:val="none" w:sz="0" w:space="0" w:color="auto"/>
        <w:left w:val="none" w:sz="0" w:space="0" w:color="auto"/>
        <w:bottom w:val="none" w:sz="0" w:space="0" w:color="auto"/>
        <w:right w:val="none" w:sz="0" w:space="0" w:color="auto"/>
      </w:divBdr>
    </w:div>
    <w:div w:id="864903604">
      <w:bodyDiv w:val="1"/>
      <w:marLeft w:val="0"/>
      <w:marRight w:val="0"/>
      <w:marTop w:val="0"/>
      <w:marBottom w:val="0"/>
      <w:divBdr>
        <w:top w:val="none" w:sz="0" w:space="0" w:color="auto"/>
        <w:left w:val="none" w:sz="0" w:space="0" w:color="auto"/>
        <w:bottom w:val="none" w:sz="0" w:space="0" w:color="auto"/>
        <w:right w:val="none" w:sz="0" w:space="0" w:color="auto"/>
      </w:divBdr>
    </w:div>
    <w:div w:id="874732822">
      <w:bodyDiv w:val="1"/>
      <w:marLeft w:val="0"/>
      <w:marRight w:val="0"/>
      <w:marTop w:val="0"/>
      <w:marBottom w:val="0"/>
      <w:divBdr>
        <w:top w:val="none" w:sz="0" w:space="0" w:color="auto"/>
        <w:left w:val="none" w:sz="0" w:space="0" w:color="auto"/>
        <w:bottom w:val="none" w:sz="0" w:space="0" w:color="auto"/>
        <w:right w:val="none" w:sz="0" w:space="0" w:color="auto"/>
      </w:divBdr>
      <w:divsChild>
        <w:div w:id="84152042">
          <w:marLeft w:val="0"/>
          <w:marRight w:val="0"/>
          <w:marTop w:val="0"/>
          <w:marBottom w:val="0"/>
          <w:divBdr>
            <w:top w:val="none" w:sz="0" w:space="0" w:color="auto"/>
            <w:left w:val="none" w:sz="0" w:space="0" w:color="auto"/>
            <w:bottom w:val="none" w:sz="0" w:space="0" w:color="auto"/>
            <w:right w:val="none" w:sz="0" w:space="0" w:color="auto"/>
          </w:divBdr>
        </w:div>
        <w:div w:id="169374252">
          <w:marLeft w:val="0"/>
          <w:marRight w:val="0"/>
          <w:marTop w:val="0"/>
          <w:marBottom w:val="0"/>
          <w:divBdr>
            <w:top w:val="none" w:sz="0" w:space="0" w:color="auto"/>
            <w:left w:val="none" w:sz="0" w:space="0" w:color="auto"/>
            <w:bottom w:val="none" w:sz="0" w:space="0" w:color="auto"/>
            <w:right w:val="none" w:sz="0" w:space="0" w:color="auto"/>
          </w:divBdr>
        </w:div>
        <w:div w:id="423918446">
          <w:marLeft w:val="0"/>
          <w:marRight w:val="0"/>
          <w:marTop w:val="0"/>
          <w:marBottom w:val="0"/>
          <w:divBdr>
            <w:top w:val="none" w:sz="0" w:space="0" w:color="auto"/>
            <w:left w:val="none" w:sz="0" w:space="0" w:color="auto"/>
            <w:bottom w:val="none" w:sz="0" w:space="0" w:color="auto"/>
            <w:right w:val="none" w:sz="0" w:space="0" w:color="auto"/>
          </w:divBdr>
        </w:div>
        <w:div w:id="928271925">
          <w:marLeft w:val="0"/>
          <w:marRight w:val="0"/>
          <w:marTop w:val="0"/>
          <w:marBottom w:val="0"/>
          <w:divBdr>
            <w:top w:val="none" w:sz="0" w:space="0" w:color="auto"/>
            <w:left w:val="none" w:sz="0" w:space="0" w:color="auto"/>
            <w:bottom w:val="none" w:sz="0" w:space="0" w:color="auto"/>
            <w:right w:val="none" w:sz="0" w:space="0" w:color="auto"/>
          </w:divBdr>
        </w:div>
        <w:div w:id="1454710466">
          <w:marLeft w:val="0"/>
          <w:marRight w:val="0"/>
          <w:marTop w:val="0"/>
          <w:marBottom w:val="0"/>
          <w:divBdr>
            <w:top w:val="none" w:sz="0" w:space="0" w:color="auto"/>
            <w:left w:val="none" w:sz="0" w:space="0" w:color="auto"/>
            <w:bottom w:val="none" w:sz="0" w:space="0" w:color="auto"/>
            <w:right w:val="none" w:sz="0" w:space="0" w:color="auto"/>
          </w:divBdr>
        </w:div>
        <w:div w:id="1656186019">
          <w:marLeft w:val="0"/>
          <w:marRight w:val="0"/>
          <w:marTop w:val="0"/>
          <w:marBottom w:val="0"/>
          <w:divBdr>
            <w:top w:val="none" w:sz="0" w:space="0" w:color="auto"/>
            <w:left w:val="none" w:sz="0" w:space="0" w:color="auto"/>
            <w:bottom w:val="none" w:sz="0" w:space="0" w:color="auto"/>
            <w:right w:val="none" w:sz="0" w:space="0" w:color="auto"/>
          </w:divBdr>
        </w:div>
        <w:div w:id="1660770696">
          <w:marLeft w:val="0"/>
          <w:marRight w:val="0"/>
          <w:marTop w:val="0"/>
          <w:marBottom w:val="0"/>
          <w:divBdr>
            <w:top w:val="none" w:sz="0" w:space="0" w:color="auto"/>
            <w:left w:val="none" w:sz="0" w:space="0" w:color="auto"/>
            <w:bottom w:val="none" w:sz="0" w:space="0" w:color="auto"/>
            <w:right w:val="none" w:sz="0" w:space="0" w:color="auto"/>
          </w:divBdr>
        </w:div>
      </w:divsChild>
    </w:div>
    <w:div w:id="914898582">
      <w:bodyDiv w:val="1"/>
      <w:marLeft w:val="0"/>
      <w:marRight w:val="0"/>
      <w:marTop w:val="0"/>
      <w:marBottom w:val="0"/>
      <w:divBdr>
        <w:top w:val="none" w:sz="0" w:space="0" w:color="auto"/>
        <w:left w:val="none" w:sz="0" w:space="0" w:color="auto"/>
        <w:bottom w:val="none" w:sz="0" w:space="0" w:color="auto"/>
        <w:right w:val="none" w:sz="0" w:space="0" w:color="auto"/>
      </w:divBdr>
    </w:div>
    <w:div w:id="933368230">
      <w:bodyDiv w:val="1"/>
      <w:marLeft w:val="0"/>
      <w:marRight w:val="0"/>
      <w:marTop w:val="0"/>
      <w:marBottom w:val="0"/>
      <w:divBdr>
        <w:top w:val="none" w:sz="0" w:space="0" w:color="auto"/>
        <w:left w:val="none" w:sz="0" w:space="0" w:color="auto"/>
        <w:bottom w:val="none" w:sz="0" w:space="0" w:color="auto"/>
        <w:right w:val="none" w:sz="0" w:space="0" w:color="auto"/>
      </w:divBdr>
    </w:div>
    <w:div w:id="987438859">
      <w:bodyDiv w:val="1"/>
      <w:marLeft w:val="0"/>
      <w:marRight w:val="0"/>
      <w:marTop w:val="0"/>
      <w:marBottom w:val="0"/>
      <w:divBdr>
        <w:top w:val="none" w:sz="0" w:space="0" w:color="auto"/>
        <w:left w:val="none" w:sz="0" w:space="0" w:color="auto"/>
        <w:bottom w:val="none" w:sz="0" w:space="0" w:color="auto"/>
        <w:right w:val="none" w:sz="0" w:space="0" w:color="auto"/>
      </w:divBdr>
      <w:divsChild>
        <w:div w:id="771434864">
          <w:marLeft w:val="0"/>
          <w:marRight w:val="0"/>
          <w:marTop w:val="0"/>
          <w:marBottom w:val="0"/>
          <w:divBdr>
            <w:top w:val="none" w:sz="0" w:space="0" w:color="auto"/>
            <w:left w:val="none" w:sz="0" w:space="0" w:color="auto"/>
            <w:bottom w:val="none" w:sz="0" w:space="0" w:color="auto"/>
            <w:right w:val="none" w:sz="0" w:space="0" w:color="auto"/>
          </w:divBdr>
        </w:div>
        <w:div w:id="1381318884">
          <w:marLeft w:val="0"/>
          <w:marRight w:val="0"/>
          <w:marTop w:val="0"/>
          <w:marBottom w:val="0"/>
          <w:divBdr>
            <w:top w:val="none" w:sz="0" w:space="0" w:color="auto"/>
            <w:left w:val="none" w:sz="0" w:space="0" w:color="auto"/>
            <w:bottom w:val="none" w:sz="0" w:space="0" w:color="auto"/>
            <w:right w:val="none" w:sz="0" w:space="0" w:color="auto"/>
          </w:divBdr>
        </w:div>
      </w:divsChild>
    </w:div>
    <w:div w:id="989746488">
      <w:bodyDiv w:val="1"/>
      <w:marLeft w:val="0"/>
      <w:marRight w:val="0"/>
      <w:marTop w:val="0"/>
      <w:marBottom w:val="0"/>
      <w:divBdr>
        <w:top w:val="none" w:sz="0" w:space="0" w:color="auto"/>
        <w:left w:val="none" w:sz="0" w:space="0" w:color="auto"/>
        <w:bottom w:val="none" w:sz="0" w:space="0" w:color="auto"/>
        <w:right w:val="none" w:sz="0" w:space="0" w:color="auto"/>
      </w:divBdr>
    </w:div>
    <w:div w:id="1058238045">
      <w:bodyDiv w:val="1"/>
      <w:marLeft w:val="0"/>
      <w:marRight w:val="0"/>
      <w:marTop w:val="0"/>
      <w:marBottom w:val="0"/>
      <w:divBdr>
        <w:top w:val="none" w:sz="0" w:space="0" w:color="auto"/>
        <w:left w:val="none" w:sz="0" w:space="0" w:color="auto"/>
        <w:bottom w:val="none" w:sz="0" w:space="0" w:color="auto"/>
        <w:right w:val="none" w:sz="0" w:space="0" w:color="auto"/>
      </w:divBdr>
    </w:div>
    <w:div w:id="1069614864">
      <w:bodyDiv w:val="1"/>
      <w:marLeft w:val="0"/>
      <w:marRight w:val="0"/>
      <w:marTop w:val="0"/>
      <w:marBottom w:val="0"/>
      <w:divBdr>
        <w:top w:val="none" w:sz="0" w:space="0" w:color="auto"/>
        <w:left w:val="none" w:sz="0" w:space="0" w:color="auto"/>
        <w:bottom w:val="none" w:sz="0" w:space="0" w:color="auto"/>
        <w:right w:val="none" w:sz="0" w:space="0" w:color="auto"/>
      </w:divBdr>
    </w:div>
    <w:div w:id="1089810322">
      <w:bodyDiv w:val="1"/>
      <w:marLeft w:val="0"/>
      <w:marRight w:val="0"/>
      <w:marTop w:val="0"/>
      <w:marBottom w:val="0"/>
      <w:divBdr>
        <w:top w:val="none" w:sz="0" w:space="0" w:color="auto"/>
        <w:left w:val="none" w:sz="0" w:space="0" w:color="auto"/>
        <w:bottom w:val="none" w:sz="0" w:space="0" w:color="auto"/>
        <w:right w:val="none" w:sz="0" w:space="0" w:color="auto"/>
      </w:divBdr>
    </w:div>
    <w:div w:id="1131097755">
      <w:bodyDiv w:val="1"/>
      <w:marLeft w:val="0"/>
      <w:marRight w:val="0"/>
      <w:marTop w:val="0"/>
      <w:marBottom w:val="0"/>
      <w:divBdr>
        <w:top w:val="none" w:sz="0" w:space="0" w:color="auto"/>
        <w:left w:val="none" w:sz="0" w:space="0" w:color="auto"/>
        <w:bottom w:val="none" w:sz="0" w:space="0" w:color="auto"/>
        <w:right w:val="none" w:sz="0" w:space="0" w:color="auto"/>
      </w:divBdr>
    </w:div>
    <w:div w:id="1141383641">
      <w:bodyDiv w:val="1"/>
      <w:marLeft w:val="0"/>
      <w:marRight w:val="0"/>
      <w:marTop w:val="0"/>
      <w:marBottom w:val="0"/>
      <w:divBdr>
        <w:top w:val="none" w:sz="0" w:space="0" w:color="auto"/>
        <w:left w:val="none" w:sz="0" w:space="0" w:color="auto"/>
        <w:bottom w:val="none" w:sz="0" w:space="0" w:color="auto"/>
        <w:right w:val="none" w:sz="0" w:space="0" w:color="auto"/>
      </w:divBdr>
    </w:div>
    <w:div w:id="1147631616">
      <w:bodyDiv w:val="1"/>
      <w:marLeft w:val="0"/>
      <w:marRight w:val="0"/>
      <w:marTop w:val="0"/>
      <w:marBottom w:val="0"/>
      <w:divBdr>
        <w:top w:val="none" w:sz="0" w:space="0" w:color="auto"/>
        <w:left w:val="none" w:sz="0" w:space="0" w:color="auto"/>
        <w:bottom w:val="none" w:sz="0" w:space="0" w:color="auto"/>
        <w:right w:val="none" w:sz="0" w:space="0" w:color="auto"/>
      </w:divBdr>
    </w:div>
    <w:div w:id="1156191503">
      <w:bodyDiv w:val="1"/>
      <w:marLeft w:val="0"/>
      <w:marRight w:val="0"/>
      <w:marTop w:val="0"/>
      <w:marBottom w:val="0"/>
      <w:divBdr>
        <w:top w:val="none" w:sz="0" w:space="0" w:color="auto"/>
        <w:left w:val="none" w:sz="0" w:space="0" w:color="auto"/>
        <w:bottom w:val="none" w:sz="0" w:space="0" w:color="auto"/>
        <w:right w:val="none" w:sz="0" w:space="0" w:color="auto"/>
      </w:divBdr>
    </w:div>
    <w:div w:id="1185052330">
      <w:bodyDiv w:val="1"/>
      <w:marLeft w:val="0"/>
      <w:marRight w:val="0"/>
      <w:marTop w:val="0"/>
      <w:marBottom w:val="0"/>
      <w:divBdr>
        <w:top w:val="none" w:sz="0" w:space="0" w:color="auto"/>
        <w:left w:val="none" w:sz="0" w:space="0" w:color="auto"/>
        <w:bottom w:val="none" w:sz="0" w:space="0" w:color="auto"/>
        <w:right w:val="none" w:sz="0" w:space="0" w:color="auto"/>
      </w:divBdr>
    </w:div>
    <w:div w:id="1188832038">
      <w:bodyDiv w:val="1"/>
      <w:marLeft w:val="0"/>
      <w:marRight w:val="0"/>
      <w:marTop w:val="0"/>
      <w:marBottom w:val="0"/>
      <w:divBdr>
        <w:top w:val="none" w:sz="0" w:space="0" w:color="auto"/>
        <w:left w:val="none" w:sz="0" w:space="0" w:color="auto"/>
        <w:bottom w:val="none" w:sz="0" w:space="0" w:color="auto"/>
        <w:right w:val="none" w:sz="0" w:space="0" w:color="auto"/>
      </w:divBdr>
    </w:div>
    <w:div w:id="1251307323">
      <w:bodyDiv w:val="1"/>
      <w:marLeft w:val="0"/>
      <w:marRight w:val="0"/>
      <w:marTop w:val="0"/>
      <w:marBottom w:val="0"/>
      <w:divBdr>
        <w:top w:val="none" w:sz="0" w:space="0" w:color="auto"/>
        <w:left w:val="none" w:sz="0" w:space="0" w:color="auto"/>
        <w:bottom w:val="none" w:sz="0" w:space="0" w:color="auto"/>
        <w:right w:val="none" w:sz="0" w:space="0" w:color="auto"/>
      </w:divBdr>
    </w:div>
    <w:div w:id="1272738584">
      <w:bodyDiv w:val="1"/>
      <w:marLeft w:val="0"/>
      <w:marRight w:val="0"/>
      <w:marTop w:val="0"/>
      <w:marBottom w:val="0"/>
      <w:divBdr>
        <w:top w:val="none" w:sz="0" w:space="0" w:color="auto"/>
        <w:left w:val="none" w:sz="0" w:space="0" w:color="auto"/>
        <w:bottom w:val="none" w:sz="0" w:space="0" w:color="auto"/>
        <w:right w:val="none" w:sz="0" w:space="0" w:color="auto"/>
      </w:divBdr>
    </w:div>
    <w:div w:id="1275091764">
      <w:bodyDiv w:val="1"/>
      <w:marLeft w:val="0"/>
      <w:marRight w:val="0"/>
      <w:marTop w:val="0"/>
      <w:marBottom w:val="0"/>
      <w:divBdr>
        <w:top w:val="none" w:sz="0" w:space="0" w:color="auto"/>
        <w:left w:val="none" w:sz="0" w:space="0" w:color="auto"/>
        <w:bottom w:val="none" w:sz="0" w:space="0" w:color="auto"/>
        <w:right w:val="none" w:sz="0" w:space="0" w:color="auto"/>
      </w:divBdr>
    </w:div>
    <w:div w:id="1302419060">
      <w:bodyDiv w:val="1"/>
      <w:marLeft w:val="0"/>
      <w:marRight w:val="0"/>
      <w:marTop w:val="0"/>
      <w:marBottom w:val="0"/>
      <w:divBdr>
        <w:top w:val="none" w:sz="0" w:space="0" w:color="auto"/>
        <w:left w:val="none" w:sz="0" w:space="0" w:color="auto"/>
        <w:bottom w:val="none" w:sz="0" w:space="0" w:color="auto"/>
        <w:right w:val="none" w:sz="0" w:space="0" w:color="auto"/>
      </w:divBdr>
      <w:divsChild>
        <w:div w:id="69814789">
          <w:marLeft w:val="0"/>
          <w:marRight w:val="0"/>
          <w:marTop w:val="0"/>
          <w:marBottom w:val="0"/>
          <w:divBdr>
            <w:top w:val="none" w:sz="0" w:space="0" w:color="auto"/>
            <w:left w:val="none" w:sz="0" w:space="0" w:color="auto"/>
            <w:bottom w:val="none" w:sz="0" w:space="0" w:color="auto"/>
            <w:right w:val="none" w:sz="0" w:space="0" w:color="auto"/>
          </w:divBdr>
        </w:div>
        <w:div w:id="1081634472">
          <w:marLeft w:val="0"/>
          <w:marRight w:val="0"/>
          <w:marTop w:val="0"/>
          <w:marBottom w:val="0"/>
          <w:divBdr>
            <w:top w:val="none" w:sz="0" w:space="0" w:color="auto"/>
            <w:left w:val="none" w:sz="0" w:space="0" w:color="auto"/>
            <w:bottom w:val="none" w:sz="0" w:space="0" w:color="auto"/>
            <w:right w:val="none" w:sz="0" w:space="0" w:color="auto"/>
          </w:divBdr>
        </w:div>
      </w:divsChild>
    </w:div>
    <w:div w:id="1332027006">
      <w:bodyDiv w:val="1"/>
      <w:marLeft w:val="0"/>
      <w:marRight w:val="0"/>
      <w:marTop w:val="0"/>
      <w:marBottom w:val="0"/>
      <w:divBdr>
        <w:top w:val="none" w:sz="0" w:space="0" w:color="auto"/>
        <w:left w:val="none" w:sz="0" w:space="0" w:color="auto"/>
        <w:bottom w:val="none" w:sz="0" w:space="0" w:color="auto"/>
        <w:right w:val="none" w:sz="0" w:space="0" w:color="auto"/>
      </w:divBdr>
    </w:div>
    <w:div w:id="1335957410">
      <w:bodyDiv w:val="1"/>
      <w:marLeft w:val="0"/>
      <w:marRight w:val="0"/>
      <w:marTop w:val="0"/>
      <w:marBottom w:val="0"/>
      <w:divBdr>
        <w:top w:val="none" w:sz="0" w:space="0" w:color="auto"/>
        <w:left w:val="none" w:sz="0" w:space="0" w:color="auto"/>
        <w:bottom w:val="none" w:sz="0" w:space="0" w:color="auto"/>
        <w:right w:val="none" w:sz="0" w:space="0" w:color="auto"/>
      </w:divBdr>
      <w:divsChild>
        <w:div w:id="1298342637">
          <w:marLeft w:val="0"/>
          <w:marRight w:val="0"/>
          <w:marTop w:val="0"/>
          <w:marBottom w:val="0"/>
          <w:divBdr>
            <w:top w:val="none" w:sz="0" w:space="0" w:color="auto"/>
            <w:left w:val="none" w:sz="0" w:space="0" w:color="auto"/>
            <w:bottom w:val="none" w:sz="0" w:space="0" w:color="auto"/>
            <w:right w:val="none" w:sz="0" w:space="0" w:color="auto"/>
          </w:divBdr>
        </w:div>
        <w:div w:id="1930309941">
          <w:marLeft w:val="0"/>
          <w:marRight w:val="0"/>
          <w:marTop w:val="0"/>
          <w:marBottom w:val="0"/>
          <w:divBdr>
            <w:top w:val="none" w:sz="0" w:space="0" w:color="auto"/>
            <w:left w:val="none" w:sz="0" w:space="0" w:color="auto"/>
            <w:bottom w:val="none" w:sz="0" w:space="0" w:color="auto"/>
            <w:right w:val="none" w:sz="0" w:space="0" w:color="auto"/>
          </w:divBdr>
        </w:div>
      </w:divsChild>
    </w:div>
    <w:div w:id="1346513458">
      <w:bodyDiv w:val="1"/>
      <w:marLeft w:val="0"/>
      <w:marRight w:val="0"/>
      <w:marTop w:val="0"/>
      <w:marBottom w:val="0"/>
      <w:divBdr>
        <w:top w:val="none" w:sz="0" w:space="0" w:color="auto"/>
        <w:left w:val="none" w:sz="0" w:space="0" w:color="auto"/>
        <w:bottom w:val="none" w:sz="0" w:space="0" w:color="auto"/>
        <w:right w:val="none" w:sz="0" w:space="0" w:color="auto"/>
      </w:divBdr>
    </w:div>
    <w:div w:id="1348562387">
      <w:bodyDiv w:val="1"/>
      <w:marLeft w:val="0"/>
      <w:marRight w:val="0"/>
      <w:marTop w:val="0"/>
      <w:marBottom w:val="0"/>
      <w:divBdr>
        <w:top w:val="none" w:sz="0" w:space="0" w:color="auto"/>
        <w:left w:val="none" w:sz="0" w:space="0" w:color="auto"/>
        <w:bottom w:val="none" w:sz="0" w:space="0" w:color="auto"/>
        <w:right w:val="none" w:sz="0" w:space="0" w:color="auto"/>
      </w:divBdr>
    </w:div>
    <w:div w:id="1401053083">
      <w:bodyDiv w:val="1"/>
      <w:marLeft w:val="0"/>
      <w:marRight w:val="0"/>
      <w:marTop w:val="0"/>
      <w:marBottom w:val="0"/>
      <w:divBdr>
        <w:top w:val="none" w:sz="0" w:space="0" w:color="auto"/>
        <w:left w:val="none" w:sz="0" w:space="0" w:color="auto"/>
        <w:bottom w:val="none" w:sz="0" w:space="0" w:color="auto"/>
        <w:right w:val="none" w:sz="0" w:space="0" w:color="auto"/>
      </w:divBdr>
    </w:div>
    <w:div w:id="1417283846">
      <w:bodyDiv w:val="1"/>
      <w:marLeft w:val="0"/>
      <w:marRight w:val="0"/>
      <w:marTop w:val="0"/>
      <w:marBottom w:val="0"/>
      <w:divBdr>
        <w:top w:val="none" w:sz="0" w:space="0" w:color="auto"/>
        <w:left w:val="none" w:sz="0" w:space="0" w:color="auto"/>
        <w:bottom w:val="none" w:sz="0" w:space="0" w:color="auto"/>
        <w:right w:val="none" w:sz="0" w:space="0" w:color="auto"/>
      </w:divBdr>
    </w:div>
    <w:div w:id="1424254299">
      <w:bodyDiv w:val="1"/>
      <w:marLeft w:val="0"/>
      <w:marRight w:val="0"/>
      <w:marTop w:val="0"/>
      <w:marBottom w:val="0"/>
      <w:divBdr>
        <w:top w:val="none" w:sz="0" w:space="0" w:color="auto"/>
        <w:left w:val="none" w:sz="0" w:space="0" w:color="auto"/>
        <w:bottom w:val="none" w:sz="0" w:space="0" w:color="auto"/>
        <w:right w:val="none" w:sz="0" w:space="0" w:color="auto"/>
      </w:divBdr>
    </w:div>
    <w:div w:id="1443190910">
      <w:bodyDiv w:val="1"/>
      <w:marLeft w:val="0"/>
      <w:marRight w:val="0"/>
      <w:marTop w:val="0"/>
      <w:marBottom w:val="0"/>
      <w:divBdr>
        <w:top w:val="none" w:sz="0" w:space="0" w:color="auto"/>
        <w:left w:val="none" w:sz="0" w:space="0" w:color="auto"/>
        <w:bottom w:val="none" w:sz="0" w:space="0" w:color="auto"/>
        <w:right w:val="none" w:sz="0" w:space="0" w:color="auto"/>
      </w:divBdr>
      <w:divsChild>
        <w:div w:id="767845749">
          <w:marLeft w:val="0"/>
          <w:marRight w:val="0"/>
          <w:marTop w:val="0"/>
          <w:marBottom w:val="0"/>
          <w:divBdr>
            <w:top w:val="none" w:sz="0" w:space="0" w:color="auto"/>
            <w:left w:val="none" w:sz="0" w:space="0" w:color="auto"/>
            <w:bottom w:val="none" w:sz="0" w:space="0" w:color="auto"/>
            <w:right w:val="none" w:sz="0" w:space="0" w:color="auto"/>
          </w:divBdr>
          <w:divsChild>
            <w:div w:id="1261837185">
              <w:marLeft w:val="0"/>
              <w:marRight w:val="0"/>
              <w:marTop w:val="0"/>
              <w:marBottom w:val="0"/>
              <w:divBdr>
                <w:top w:val="none" w:sz="0" w:space="0" w:color="auto"/>
                <w:left w:val="none" w:sz="0" w:space="0" w:color="auto"/>
                <w:bottom w:val="none" w:sz="0" w:space="0" w:color="auto"/>
                <w:right w:val="none" w:sz="0" w:space="0" w:color="auto"/>
              </w:divBdr>
              <w:divsChild>
                <w:div w:id="913665407">
                  <w:marLeft w:val="0"/>
                  <w:marRight w:val="0"/>
                  <w:marTop w:val="0"/>
                  <w:marBottom w:val="0"/>
                  <w:divBdr>
                    <w:top w:val="none" w:sz="0" w:space="0" w:color="auto"/>
                    <w:left w:val="none" w:sz="0" w:space="0" w:color="auto"/>
                    <w:bottom w:val="none" w:sz="0" w:space="0" w:color="auto"/>
                    <w:right w:val="none" w:sz="0" w:space="0" w:color="auto"/>
                  </w:divBdr>
                  <w:divsChild>
                    <w:div w:id="17915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4095">
          <w:marLeft w:val="0"/>
          <w:marRight w:val="0"/>
          <w:marTop w:val="0"/>
          <w:marBottom w:val="0"/>
          <w:divBdr>
            <w:top w:val="none" w:sz="0" w:space="0" w:color="auto"/>
            <w:left w:val="none" w:sz="0" w:space="0" w:color="auto"/>
            <w:bottom w:val="none" w:sz="0" w:space="0" w:color="auto"/>
            <w:right w:val="none" w:sz="0" w:space="0" w:color="auto"/>
          </w:divBdr>
          <w:divsChild>
            <w:div w:id="1497187311">
              <w:marLeft w:val="0"/>
              <w:marRight w:val="0"/>
              <w:marTop w:val="0"/>
              <w:marBottom w:val="0"/>
              <w:divBdr>
                <w:top w:val="none" w:sz="0" w:space="0" w:color="auto"/>
                <w:left w:val="none" w:sz="0" w:space="0" w:color="auto"/>
                <w:bottom w:val="none" w:sz="0" w:space="0" w:color="auto"/>
                <w:right w:val="none" w:sz="0" w:space="0" w:color="auto"/>
              </w:divBdr>
              <w:divsChild>
                <w:div w:id="1033655498">
                  <w:marLeft w:val="0"/>
                  <w:marRight w:val="0"/>
                  <w:marTop w:val="0"/>
                  <w:marBottom w:val="0"/>
                  <w:divBdr>
                    <w:top w:val="none" w:sz="0" w:space="0" w:color="auto"/>
                    <w:left w:val="none" w:sz="0" w:space="0" w:color="auto"/>
                    <w:bottom w:val="none" w:sz="0" w:space="0" w:color="auto"/>
                    <w:right w:val="none" w:sz="0" w:space="0" w:color="auto"/>
                  </w:divBdr>
                  <w:divsChild>
                    <w:div w:id="1352299763">
                      <w:marLeft w:val="0"/>
                      <w:marRight w:val="0"/>
                      <w:marTop w:val="0"/>
                      <w:marBottom w:val="0"/>
                      <w:divBdr>
                        <w:top w:val="none" w:sz="0" w:space="0" w:color="auto"/>
                        <w:left w:val="none" w:sz="0" w:space="0" w:color="auto"/>
                        <w:bottom w:val="none" w:sz="0" w:space="0" w:color="auto"/>
                        <w:right w:val="none" w:sz="0" w:space="0" w:color="auto"/>
                      </w:divBdr>
                      <w:divsChild>
                        <w:div w:id="910457476">
                          <w:marLeft w:val="0"/>
                          <w:marRight w:val="0"/>
                          <w:marTop w:val="0"/>
                          <w:marBottom w:val="0"/>
                          <w:divBdr>
                            <w:top w:val="none" w:sz="0" w:space="0" w:color="auto"/>
                            <w:left w:val="none" w:sz="0" w:space="0" w:color="auto"/>
                            <w:bottom w:val="none" w:sz="0" w:space="0" w:color="auto"/>
                            <w:right w:val="none" w:sz="0" w:space="0" w:color="auto"/>
                          </w:divBdr>
                          <w:divsChild>
                            <w:div w:id="121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7108">
      <w:bodyDiv w:val="1"/>
      <w:marLeft w:val="0"/>
      <w:marRight w:val="0"/>
      <w:marTop w:val="0"/>
      <w:marBottom w:val="0"/>
      <w:divBdr>
        <w:top w:val="none" w:sz="0" w:space="0" w:color="auto"/>
        <w:left w:val="none" w:sz="0" w:space="0" w:color="auto"/>
        <w:bottom w:val="none" w:sz="0" w:space="0" w:color="auto"/>
        <w:right w:val="none" w:sz="0" w:space="0" w:color="auto"/>
      </w:divBdr>
      <w:divsChild>
        <w:div w:id="170877956">
          <w:marLeft w:val="0"/>
          <w:marRight w:val="0"/>
          <w:marTop w:val="0"/>
          <w:marBottom w:val="0"/>
          <w:divBdr>
            <w:top w:val="none" w:sz="0" w:space="0" w:color="auto"/>
            <w:left w:val="none" w:sz="0" w:space="0" w:color="auto"/>
            <w:bottom w:val="none" w:sz="0" w:space="0" w:color="auto"/>
            <w:right w:val="none" w:sz="0" w:space="0" w:color="auto"/>
          </w:divBdr>
          <w:divsChild>
            <w:div w:id="99033454">
              <w:marLeft w:val="0"/>
              <w:marRight w:val="0"/>
              <w:marTop w:val="0"/>
              <w:marBottom w:val="0"/>
              <w:divBdr>
                <w:top w:val="none" w:sz="0" w:space="0" w:color="auto"/>
                <w:left w:val="none" w:sz="0" w:space="0" w:color="auto"/>
                <w:bottom w:val="none" w:sz="0" w:space="0" w:color="auto"/>
                <w:right w:val="none" w:sz="0" w:space="0" w:color="auto"/>
              </w:divBdr>
              <w:divsChild>
                <w:div w:id="1128165944">
                  <w:marLeft w:val="0"/>
                  <w:marRight w:val="0"/>
                  <w:marTop w:val="0"/>
                  <w:marBottom w:val="0"/>
                  <w:divBdr>
                    <w:top w:val="none" w:sz="0" w:space="0" w:color="auto"/>
                    <w:left w:val="none" w:sz="0" w:space="0" w:color="auto"/>
                    <w:bottom w:val="none" w:sz="0" w:space="0" w:color="auto"/>
                    <w:right w:val="none" w:sz="0" w:space="0" w:color="auto"/>
                  </w:divBdr>
                  <w:divsChild>
                    <w:div w:id="157111127">
                      <w:marLeft w:val="0"/>
                      <w:marRight w:val="0"/>
                      <w:marTop w:val="0"/>
                      <w:marBottom w:val="0"/>
                      <w:divBdr>
                        <w:top w:val="none" w:sz="0" w:space="0" w:color="auto"/>
                        <w:left w:val="none" w:sz="0" w:space="0" w:color="auto"/>
                        <w:bottom w:val="none" w:sz="0" w:space="0" w:color="auto"/>
                        <w:right w:val="none" w:sz="0" w:space="0" w:color="auto"/>
                      </w:divBdr>
                      <w:divsChild>
                        <w:div w:id="1384719239">
                          <w:marLeft w:val="0"/>
                          <w:marRight w:val="0"/>
                          <w:marTop w:val="0"/>
                          <w:marBottom w:val="0"/>
                          <w:divBdr>
                            <w:top w:val="none" w:sz="0" w:space="0" w:color="auto"/>
                            <w:left w:val="none" w:sz="0" w:space="0" w:color="auto"/>
                            <w:bottom w:val="none" w:sz="0" w:space="0" w:color="auto"/>
                            <w:right w:val="none" w:sz="0" w:space="0" w:color="auto"/>
                          </w:divBdr>
                          <w:divsChild>
                            <w:div w:id="14904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23206">
          <w:marLeft w:val="0"/>
          <w:marRight w:val="0"/>
          <w:marTop w:val="0"/>
          <w:marBottom w:val="0"/>
          <w:divBdr>
            <w:top w:val="none" w:sz="0" w:space="0" w:color="auto"/>
            <w:left w:val="none" w:sz="0" w:space="0" w:color="auto"/>
            <w:bottom w:val="none" w:sz="0" w:space="0" w:color="auto"/>
            <w:right w:val="none" w:sz="0" w:space="0" w:color="auto"/>
          </w:divBdr>
          <w:divsChild>
            <w:div w:id="26685119">
              <w:marLeft w:val="0"/>
              <w:marRight w:val="0"/>
              <w:marTop w:val="0"/>
              <w:marBottom w:val="0"/>
              <w:divBdr>
                <w:top w:val="none" w:sz="0" w:space="0" w:color="auto"/>
                <w:left w:val="none" w:sz="0" w:space="0" w:color="auto"/>
                <w:bottom w:val="none" w:sz="0" w:space="0" w:color="auto"/>
                <w:right w:val="none" w:sz="0" w:space="0" w:color="auto"/>
              </w:divBdr>
              <w:divsChild>
                <w:div w:id="806360032">
                  <w:marLeft w:val="0"/>
                  <w:marRight w:val="0"/>
                  <w:marTop w:val="0"/>
                  <w:marBottom w:val="0"/>
                  <w:divBdr>
                    <w:top w:val="none" w:sz="0" w:space="0" w:color="auto"/>
                    <w:left w:val="none" w:sz="0" w:space="0" w:color="auto"/>
                    <w:bottom w:val="none" w:sz="0" w:space="0" w:color="auto"/>
                    <w:right w:val="none" w:sz="0" w:space="0" w:color="auto"/>
                  </w:divBdr>
                  <w:divsChild>
                    <w:div w:id="5205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89287">
      <w:bodyDiv w:val="1"/>
      <w:marLeft w:val="0"/>
      <w:marRight w:val="0"/>
      <w:marTop w:val="0"/>
      <w:marBottom w:val="0"/>
      <w:divBdr>
        <w:top w:val="none" w:sz="0" w:space="0" w:color="auto"/>
        <w:left w:val="none" w:sz="0" w:space="0" w:color="auto"/>
        <w:bottom w:val="none" w:sz="0" w:space="0" w:color="auto"/>
        <w:right w:val="none" w:sz="0" w:space="0" w:color="auto"/>
      </w:divBdr>
    </w:div>
    <w:div w:id="1491828105">
      <w:bodyDiv w:val="1"/>
      <w:marLeft w:val="0"/>
      <w:marRight w:val="0"/>
      <w:marTop w:val="0"/>
      <w:marBottom w:val="0"/>
      <w:divBdr>
        <w:top w:val="none" w:sz="0" w:space="0" w:color="auto"/>
        <w:left w:val="none" w:sz="0" w:space="0" w:color="auto"/>
        <w:bottom w:val="none" w:sz="0" w:space="0" w:color="auto"/>
        <w:right w:val="none" w:sz="0" w:space="0" w:color="auto"/>
      </w:divBdr>
    </w:div>
    <w:div w:id="1504079347">
      <w:bodyDiv w:val="1"/>
      <w:marLeft w:val="0"/>
      <w:marRight w:val="0"/>
      <w:marTop w:val="0"/>
      <w:marBottom w:val="0"/>
      <w:divBdr>
        <w:top w:val="none" w:sz="0" w:space="0" w:color="auto"/>
        <w:left w:val="none" w:sz="0" w:space="0" w:color="auto"/>
        <w:bottom w:val="none" w:sz="0" w:space="0" w:color="auto"/>
        <w:right w:val="none" w:sz="0" w:space="0" w:color="auto"/>
      </w:divBdr>
      <w:divsChild>
        <w:div w:id="2068608718">
          <w:marLeft w:val="274"/>
          <w:marRight w:val="0"/>
          <w:marTop w:val="0"/>
          <w:marBottom w:val="0"/>
          <w:divBdr>
            <w:top w:val="none" w:sz="0" w:space="0" w:color="auto"/>
            <w:left w:val="none" w:sz="0" w:space="0" w:color="auto"/>
            <w:bottom w:val="none" w:sz="0" w:space="0" w:color="auto"/>
            <w:right w:val="none" w:sz="0" w:space="0" w:color="auto"/>
          </w:divBdr>
        </w:div>
      </w:divsChild>
    </w:div>
    <w:div w:id="1519468450">
      <w:bodyDiv w:val="1"/>
      <w:marLeft w:val="0"/>
      <w:marRight w:val="0"/>
      <w:marTop w:val="0"/>
      <w:marBottom w:val="0"/>
      <w:divBdr>
        <w:top w:val="none" w:sz="0" w:space="0" w:color="auto"/>
        <w:left w:val="none" w:sz="0" w:space="0" w:color="auto"/>
        <w:bottom w:val="none" w:sz="0" w:space="0" w:color="auto"/>
        <w:right w:val="none" w:sz="0" w:space="0" w:color="auto"/>
      </w:divBdr>
    </w:div>
    <w:div w:id="1525553430">
      <w:bodyDiv w:val="1"/>
      <w:marLeft w:val="0"/>
      <w:marRight w:val="0"/>
      <w:marTop w:val="0"/>
      <w:marBottom w:val="0"/>
      <w:divBdr>
        <w:top w:val="none" w:sz="0" w:space="0" w:color="auto"/>
        <w:left w:val="none" w:sz="0" w:space="0" w:color="auto"/>
        <w:bottom w:val="none" w:sz="0" w:space="0" w:color="auto"/>
        <w:right w:val="none" w:sz="0" w:space="0" w:color="auto"/>
      </w:divBdr>
    </w:div>
    <w:div w:id="1543518929">
      <w:bodyDiv w:val="1"/>
      <w:marLeft w:val="0"/>
      <w:marRight w:val="0"/>
      <w:marTop w:val="0"/>
      <w:marBottom w:val="0"/>
      <w:divBdr>
        <w:top w:val="none" w:sz="0" w:space="0" w:color="auto"/>
        <w:left w:val="none" w:sz="0" w:space="0" w:color="auto"/>
        <w:bottom w:val="none" w:sz="0" w:space="0" w:color="auto"/>
        <w:right w:val="none" w:sz="0" w:space="0" w:color="auto"/>
      </w:divBdr>
      <w:divsChild>
        <w:div w:id="433984796">
          <w:marLeft w:val="0"/>
          <w:marRight w:val="0"/>
          <w:marTop w:val="0"/>
          <w:marBottom w:val="0"/>
          <w:divBdr>
            <w:top w:val="none" w:sz="0" w:space="0" w:color="auto"/>
            <w:left w:val="none" w:sz="0" w:space="0" w:color="auto"/>
            <w:bottom w:val="none" w:sz="0" w:space="0" w:color="auto"/>
            <w:right w:val="none" w:sz="0" w:space="0" w:color="auto"/>
          </w:divBdr>
          <w:divsChild>
            <w:div w:id="41906698">
              <w:marLeft w:val="0"/>
              <w:marRight w:val="0"/>
              <w:marTop w:val="0"/>
              <w:marBottom w:val="0"/>
              <w:divBdr>
                <w:top w:val="none" w:sz="0" w:space="0" w:color="auto"/>
                <w:left w:val="none" w:sz="0" w:space="0" w:color="auto"/>
                <w:bottom w:val="none" w:sz="0" w:space="0" w:color="auto"/>
                <w:right w:val="none" w:sz="0" w:space="0" w:color="auto"/>
              </w:divBdr>
            </w:div>
            <w:div w:id="104466257">
              <w:marLeft w:val="0"/>
              <w:marRight w:val="0"/>
              <w:marTop w:val="0"/>
              <w:marBottom w:val="0"/>
              <w:divBdr>
                <w:top w:val="none" w:sz="0" w:space="0" w:color="auto"/>
                <w:left w:val="none" w:sz="0" w:space="0" w:color="auto"/>
                <w:bottom w:val="none" w:sz="0" w:space="0" w:color="auto"/>
                <w:right w:val="none" w:sz="0" w:space="0" w:color="auto"/>
              </w:divBdr>
            </w:div>
            <w:div w:id="175121803">
              <w:marLeft w:val="0"/>
              <w:marRight w:val="0"/>
              <w:marTop w:val="0"/>
              <w:marBottom w:val="0"/>
              <w:divBdr>
                <w:top w:val="none" w:sz="0" w:space="0" w:color="auto"/>
                <w:left w:val="none" w:sz="0" w:space="0" w:color="auto"/>
                <w:bottom w:val="none" w:sz="0" w:space="0" w:color="auto"/>
                <w:right w:val="none" w:sz="0" w:space="0" w:color="auto"/>
              </w:divBdr>
            </w:div>
            <w:div w:id="320429420">
              <w:marLeft w:val="0"/>
              <w:marRight w:val="0"/>
              <w:marTop w:val="0"/>
              <w:marBottom w:val="0"/>
              <w:divBdr>
                <w:top w:val="none" w:sz="0" w:space="0" w:color="auto"/>
                <w:left w:val="none" w:sz="0" w:space="0" w:color="auto"/>
                <w:bottom w:val="none" w:sz="0" w:space="0" w:color="auto"/>
                <w:right w:val="none" w:sz="0" w:space="0" w:color="auto"/>
              </w:divBdr>
            </w:div>
            <w:div w:id="396976315">
              <w:marLeft w:val="0"/>
              <w:marRight w:val="0"/>
              <w:marTop w:val="0"/>
              <w:marBottom w:val="0"/>
              <w:divBdr>
                <w:top w:val="none" w:sz="0" w:space="0" w:color="auto"/>
                <w:left w:val="none" w:sz="0" w:space="0" w:color="auto"/>
                <w:bottom w:val="none" w:sz="0" w:space="0" w:color="auto"/>
                <w:right w:val="none" w:sz="0" w:space="0" w:color="auto"/>
              </w:divBdr>
            </w:div>
            <w:div w:id="418210386">
              <w:marLeft w:val="0"/>
              <w:marRight w:val="0"/>
              <w:marTop w:val="0"/>
              <w:marBottom w:val="0"/>
              <w:divBdr>
                <w:top w:val="none" w:sz="0" w:space="0" w:color="auto"/>
                <w:left w:val="none" w:sz="0" w:space="0" w:color="auto"/>
                <w:bottom w:val="none" w:sz="0" w:space="0" w:color="auto"/>
                <w:right w:val="none" w:sz="0" w:space="0" w:color="auto"/>
              </w:divBdr>
            </w:div>
            <w:div w:id="425854996">
              <w:marLeft w:val="0"/>
              <w:marRight w:val="0"/>
              <w:marTop w:val="0"/>
              <w:marBottom w:val="0"/>
              <w:divBdr>
                <w:top w:val="none" w:sz="0" w:space="0" w:color="auto"/>
                <w:left w:val="none" w:sz="0" w:space="0" w:color="auto"/>
                <w:bottom w:val="none" w:sz="0" w:space="0" w:color="auto"/>
                <w:right w:val="none" w:sz="0" w:space="0" w:color="auto"/>
              </w:divBdr>
            </w:div>
            <w:div w:id="578559055">
              <w:marLeft w:val="0"/>
              <w:marRight w:val="0"/>
              <w:marTop w:val="0"/>
              <w:marBottom w:val="0"/>
              <w:divBdr>
                <w:top w:val="none" w:sz="0" w:space="0" w:color="auto"/>
                <w:left w:val="none" w:sz="0" w:space="0" w:color="auto"/>
                <w:bottom w:val="none" w:sz="0" w:space="0" w:color="auto"/>
                <w:right w:val="none" w:sz="0" w:space="0" w:color="auto"/>
              </w:divBdr>
            </w:div>
            <w:div w:id="842549600">
              <w:marLeft w:val="0"/>
              <w:marRight w:val="0"/>
              <w:marTop w:val="0"/>
              <w:marBottom w:val="0"/>
              <w:divBdr>
                <w:top w:val="none" w:sz="0" w:space="0" w:color="auto"/>
                <w:left w:val="none" w:sz="0" w:space="0" w:color="auto"/>
                <w:bottom w:val="none" w:sz="0" w:space="0" w:color="auto"/>
                <w:right w:val="none" w:sz="0" w:space="0" w:color="auto"/>
              </w:divBdr>
            </w:div>
            <w:div w:id="900360121">
              <w:marLeft w:val="0"/>
              <w:marRight w:val="0"/>
              <w:marTop w:val="0"/>
              <w:marBottom w:val="0"/>
              <w:divBdr>
                <w:top w:val="none" w:sz="0" w:space="0" w:color="auto"/>
                <w:left w:val="none" w:sz="0" w:space="0" w:color="auto"/>
                <w:bottom w:val="none" w:sz="0" w:space="0" w:color="auto"/>
                <w:right w:val="none" w:sz="0" w:space="0" w:color="auto"/>
              </w:divBdr>
            </w:div>
            <w:div w:id="1009940432">
              <w:marLeft w:val="0"/>
              <w:marRight w:val="0"/>
              <w:marTop w:val="0"/>
              <w:marBottom w:val="0"/>
              <w:divBdr>
                <w:top w:val="none" w:sz="0" w:space="0" w:color="auto"/>
                <w:left w:val="none" w:sz="0" w:space="0" w:color="auto"/>
                <w:bottom w:val="none" w:sz="0" w:space="0" w:color="auto"/>
                <w:right w:val="none" w:sz="0" w:space="0" w:color="auto"/>
              </w:divBdr>
            </w:div>
            <w:div w:id="1124350410">
              <w:marLeft w:val="0"/>
              <w:marRight w:val="0"/>
              <w:marTop w:val="0"/>
              <w:marBottom w:val="0"/>
              <w:divBdr>
                <w:top w:val="none" w:sz="0" w:space="0" w:color="auto"/>
                <w:left w:val="none" w:sz="0" w:space="0" w:color="auto"/>
                <w:bottom w:val="none" w:sz="0" w:space="0" w:color="auto"/>
                <w:right w:val="none" w:sz="0" w:space="0" w:color="auto"/>
              </w:divBdr>
            </w:div>
            <w:div w:id="2068530062">
              <w:marLeft w:val="0"/>
              <w:marRight w:val="0"/>
              <w:marTop w:val="0"/>
              <w:marBottom w:val="0"/>
              <w:divBdr>
                <w:top w:val="none" w:sz="0" w:space="0" w:color="auto"/>
                <w:left w:val="none" w:sz="0" w:space="0" w:color="auto"/>
                <w:bottom w:val="none" w:sz="0" w:space="0" w:color="auto"/>
                <w:right w:val="none" w:sz="0" w:space="0" w:color="auto"/>
              </w:divBdr>
            </w:div>
          </w:divsChild>
        </w:div>
        <w:div w:id="1338075825">
          <w:marLeft w:val="0"/>
          <w:marRight w:val="0"/>
          <w:marTop w:val="0"/>
          <w:marBottom w:val="0"/>
          <w:divBdr>
            <w:top w:val="none" w:sz="0" w:space="0" w:color="auto"/>
            <w:left w:val="none" w:sz="0" w:space="0" w:color="auto"/>
            <w:bottom w:val="none" w:sz="0" w:space="0" w:color="auto"/>
            <w:right w:val="none" w:sz="0" w:space="0" w:color="auto"/>
          </w:divBdr>
          <w:divsChild>
            <w:div w:id="340131983">
              <w:marLeft w:val="0"/>
              <w:marRight w:val="0"/>
              <w:marTop w:val="0"/>
              <w:marBottom w:val="0"/>
              <w:divBdr>
                <w:top w:val="none" w:sz="0" w:space="0" w:color="auto"/>
                <w:left w:val="none" w:sz="0" w:space="0" w:color="auto"/>
                <w:bottom w:val="none" w:sz="0" w:space="0" w:color="auto"/>
                <w:right w:val="none" w:sz="0" w:space="0" w:color="auto"/>
              </w:divBdr>
            </w:div>
            <w:div w:id="1145508190">
              <w:marLeft w:val="0"/>
              <w:marRight w:val="0"/>
              <w:marTop w:val="0"/>
              <w:marBottom w:val="0"/>
              <w:divBdr>
                <w:top w:val="none" w:sz="0" w:space="0" w:color="auto"/>
                <w:left w:val="none" w:sz="0" w:space="0" w:color="auto"/>
                <w:bottom w:val="none" w:sz="0" w:space="0" w:color="auto"/>
                <w:right w:val="none" w:sz="0" w:space="0" w:color="auto"/>
              </w:divBdr>
            </w:div>
            <w:div w:id="1263412890">
              <w:marLeft w:val="0"/>
              <w:marRight w:val="0"/>
              <w:marTop w:val="0"/>
              <w:marBottom w:val="0"/>
              <w:divBdr>
                <w:top w:val="none" w:sz="0" w:space="0" w:color="auto"/>
                <w:left w:val="none" w:sz="0" w:space="0" w:color="auto"/>
                <w:bottom w:val="none" w:sz="0" w:space="0" w:color="auto"/>
                <w:right w:val="none" w:sz="0" w:space="0" w:color="auto"/>
              </w:divBdr>
            </w:div>
            <w:div w:id="1593081308">
              <w:marLeft w:val="0"/>
              <w:marRight w:val="0"/>
              <w:marTop w:val="0"/>
              <w:marBottom w:val="0"/>
              <w:divBdr>
                <w:top w:val="none" w:sz="0" w:space="0" w:color="auto"/>
                <w:left w:val="none" w:sz="0" w:space="0" w:color="auto"/>
                <w:bottom w:val="none" w:sz="0" w:space="0" w:color="auto"/>
                <w:right w:val="none" w:sz="0" w:space="0" w:color="auto"/>
              </w:divBdr>
            </w:div>
            <w:div w:id="1638535028">
              <w:marLeft w:val="0"/>
              <w:marRight w:val="0"/>
              <w:marTop w:val="0"/>
              <w:marBottom w:val="0"/>
              <w:divBdr>
                <w:top w:val="none" w:sz="0" w:space="0" w:color="auto"/>
                <w:left w:val="none" w:sz="0" w:space="0" w:color="auto"/>
                <w:bottom w:val="none" w:sz="0" w:space="0" w:color="auto"/>
                <w:right w:val="none" w:sz="0" w:space="0" w:color="auto"/>
              </w:divBdr>
            </w:div>
            <w:div w:id="17372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935">
      <w:bodyDiv w:val="1"/>
      <w:marLeft w:val="0"/>
      <w:marRight w:val="0"/>
      <w:marTop w:val="0"/>
      <w:marBottom w:val="0"/>
      <w:divBdr>
        <w:top w:val="none" w:sz="0" w:space="0" w:color="auto"/>
        <w:left w:val="none" w:sz="0" w:space="0" w:color="auto"/>
        <w:bottom w:val="none" w:sz="0" w:space="0" w:color="auto"/>
        <w:right w:val="none" w:sz="0" w:space="0" w:color="auto"/>
      </w:divBdr>
    </w:div>
    <w:div w:id="1641687567">
      <w:bodyDiv w:val="1"/>
      <w:marLeft w:val="0"/>
      <w:marRight w:val="0"/>
      <w:marTop w:val="0"/>
      <w:marBottom w:val="0"/>
      <w:divBdr>
        <w:top w:val="none" w:sz="0" w:space="0" w:color="auto"/>
        <w:left w:val="none" w:sz="0" w:space="0" w:color="auto"/>
        <w:bottom w:val="none" w:sz="0" w:space="0" w:color="auto"/>
        <w:right w:val="none" w:sz="0" w:space="0" w:color="auto"/>
      </w:divBdr>
      <w:divsChild>
        <w:div w:id="875043093">
          <w:marLeft w:val="0"/>
          <w:marRight w:val="0"/>
          <w:marTop w:val="0"/>
          <w:marBottom w:val="0"/>
          <w:divBdr>
            <w:top w:val="none" w:sz="0" w:space="0" w:color="auto"/>
            <w:left w:val="none" w:sz="0" w:space="0" w:color="auto"/>
            <w:bottom w:val="none" w:sz="0" w:space="0" w:color="auto"/>
            <w:right w:val="none" w:sz="0" w:space="0" w:color="auto"/>
          </w:divBdr>
        </w:div>
        <w:div w:id="1127815762">
          <w:marLeft w:val="0"/>
          <w:marRight w:val="0"/>
          <w:marTop w:val="0"/>
          <w:marBottom w:val="0"/>
          <w:divBdr>
            <w:top w:val="none" w:sz="0" w:space="0" w:color="auto"/>
            <w:left w:val="none" w:sz="0" w:space="0" w:color="auto"/>
            <w:bottom w:val="none" w:sz="0" w:space="0" w:color="auto"/>
            <w:right w:val="none" w:sz="0" w:space="0" w:color="auto"/>
          </w:divBdr>
        </w:div>
        <w:div w:id="1375497730">
          <w:marLeft w:val="0"/>
          <w:marRight w:val="0"/>
          <w:marTop w:val="0"/>
          <w:marBottom w:val="0"/>
          <w:divBdr>
            <w:top w:val="none" w:sz="0" w:space="0" w:color="auto"/>
            <w:left w:val="none" w:sz="0" w:space="0" w:color="auto"/>
            <w:bottom w:val="none" w:sz="0" w:space="0" w:color="auto"/>
            <w:right w:val="none" w:sz="0" w:space="0" w:color="auto"/>
          </w:divBdr>
        </w:div>
        <w:div w:id="1421871906">
          <w:marLeft w:val="0"/>
          <w:marRight w:val="0"/>
          <w:marTop w:val="0"/>
          <w:marBottom w:val="0"/>
          <w:divBdr>
            <w:top w:val="none" w:sz="0" w:space="0" w:color="auto"/>
            <w:left w:val="none" w:sz="0" w:space="0" w:color="auto"/>
            <w:bottom w:val="none" w:sz="0" w:space="0" w:color="auto"/>
            <w:right w:val="none" w:sz="0" w:space="0" w:color="auto"/>
          </w:divBdr>
        </w:div>
      </w:divsChild>
    </w:div>
    <w:div w:id="1645502949">
      <w:bodyDiv w:val="1"/>
      <w:marLeft w:val="0"/>
      <w:marRight w:val="0"/>
      <w:marTop w:val="0"/>
      <w:marBottom w:val="0"/>
      <w:divBdr>
        <w:top w:val="none" w:sz="0" w:space="0" w:color="auto"/>
        <w:left w:val="none" w:sz="0" w:space="0" w:color="auto"/>
        <w:bottom w:val="none" w:sz="0" w:space="0" w:color="auto"/>
        <w:right w:val="none" w:sz="0" w:space="0" w:color="auto"/>
      </w:divBdr>
      <w:divsChild>
        <w:div w:id="19625879">
          <w:marLeft w:val="0"/>
          <w:marRight w:val="0"/>
          <w:marTop w:val="0"/>
          <w:marBottom w:val="0"/>
          <w:divBdr>
            <w:top w:val="none" w:sz="0" w:space="0" w:color="auto"/>
            <w:left w:val="none" w:sz="0" w:space="0" w:color="auto"/>
            <w:bottom w:val="none" w:sz="0" w:space="0" w:color="auto"/>
            <w:right w:val="none" w:sz="0" w:space="0" w:color="auto"/>
          </w:divBdr>
        </w:div>
        <w:div w:id="227034543">
          <w:marLeft w:val="0"/>
          <w:marRight w:val="0"/>
          <w:marTop w:val="0"/>
          <w:marBottom w:val="0"/>
          <w:divBdr>
            <w:top w:val="none" w:sz="0" w:space="0" w:color="auto"/>
            <w:left w:val="none" w:sz="0" w:space="0" w:color="auto"/>
            <w:bottom w:val="none" w:sz="0" w:space="0" w:color="auto"/>
            <w:right w:val="none" w:sz="0" w:space="0" w:color="auto"/>
          </w:divBdr>
        </w:div>
        <w:div w:id="303044868">
          <w:marLeft w:val="0"/>
          <w:marRight w:val="0"/>
          <w:marTop w:val="0"/>
          <w:marBottom w:val="0"/>
          <w:divBdr>
            <w:top w:val="none" w:sz="0" w:space="0" w:color="auto"/>
            <w:left w:val="none" w:sz="0" w:space="0" w:color="auto"/>
            <w:bottom w:val="none" w:sz="0" w:space="0" w:color="auto"/>
            <w:right w:val="none" w:sz="0" w:space="0" w:color="auto"/>
          </w:divBdr>
        </w:div>
        <w:div w:id="483934549">
          <w:marLeft w:val="0"/>
          <w:marRight w:val="0"/>
          <w:marTop w:val="0"/>
          <w:marBottom w:val="0"/>
          <w:divBdr>
            <w:top w:val="none" w:sz="0" w:space="0" w:color="auto"/>
            <w:left w:val="none" w:sz="0" w:space="0" w:color="auto"/>
            <w:bottom w:val="none" w:sz="0" w:space="0" w:color="auto"/>
            <w:right w:val="none" w:sz="0" w:space="0" w:color="auto"/>
          </w:divBdr>
        </w:div>
        <w:div w:id="651829306">
          <w:marLeft w:val="0"/>
          <w:marRight w:val="0"/>
          <w:marTop w:val="0"/>
          <w:marBottom w:val="0"/>
          <w:divBdr>
            <w:top w:val="none" w:sz="0" w:space="0" w:color="auto"/>
            <w:left w:val="none" w:sz="0" w:space="0" w:color="auto"/>
            <w:bottom w:val="none" w:sz="0" w:space="0" w:color="auto"/>
            <w:right w:val="none" w:sz="0" w:space="0" w:color="auto"/>
          </w:divBdr>
        </w:div>
        <w:div w:id="953365630">
          <w:marLeft w:val="0"/>
          <w:marRight w:val="0"/>
          <w:marTop w:val="0"/>
          <w:marBottom w:val="0"/>
          <w:divBdr>
            <w:top w:val="none" w:sz="0" w:space="0" w:color="auto"/>
            <w:left w:val="none" w:sz="0" w:space="0" w:color="auto"/>
            <w:bottom w:val="none" w:sz="0" w:space="0" w:color="auto"/>
            <w:right w:val="none" w:sz="0" w:space="0" w:color="auto"/>
          </w:divBdr>
        </w:div>
        <w:div w:id="1123033796">
          <w:marLeft w:val="0"/>
          <w:marRight w:val="0"/>
          <w:marTop w:val="0"/>
          <w:marBottom w:val="0"/>
          <w:divBdr>
            <w:top w:val="none" w:sz="0" w:space="0" w:color="auto"/>
            <w:left w:val="none" w:sz="0" w:space="0" w:color="auto"/>
            <w:bottom w:val="none" w:sz="0" w:space="0" w:color="auto"/>
            <w:right w:val="none" w:sz="0" w:space="0" w:color="auto"/>
          </w:divBdr>
        </w:div>
        <w:div w:id="1322613609">
          <w:marLeft w:val="0"/>
          <w:marRight w:val="0"/>
          <w:marTop w:val="0"/>
          <w:marBottom w:val="0"/>
          <w:divBdr>
            <w:top w:val="none" w:sz="0" w:space="0" w:color="auto"/>
            <w:left w:val="none" w:sz="0" w:space="0" w:color="auto"/>
            <w:bottom w:val="none" w:sz="0" w:space="0" w:color="auto"/>
            <w:right w:val="none" w:sz="0" w:space="0" w:color="auto"/>
          </w:divBdr>
        </w:div>
        <w:div w:id="1324119586">
          <w:marLeft w:val="0"/>
          <w:marRight w:val="0"/>
          <w:marTop w:val="0"/>
          <w:marBottom w:val="0"/>
          <w:divBdr>
            <w:top w:val="none" w:sz="0" w:space="0" w:color="auto"/>
            <w:left w:val="none" w:sz="0" w:space="0" w:color="auto"/>
            <w:bottom w:val="none" w:sz="0" w:space="0" w:color="auto"/>
            <w:right w:val="none" w:sz="0" w:space="0" w:color="auto"/>
          </w:divBdr>
        </w:div>
        <w:div w:id="1523744706">
          <w:marLeft w:val="0"/>
          <w:marRight w:val="0"/>
          <w:marTop w:val="0"/>
          <w:marBottom w:val="0"/>
          <w:divBdr>
            <w:top w:val="none" w:sz="0" w:space="0" w:color="auto"/>
            <w:left w:val="none" w:sz="0" w:space="0" w:color="auto"/>
            <w:bottom w:val="none" w:sz="0" w:space="0" w:color="auto"/>
            <w:right w:val="none" w:sz="0" w:space="0" w:color="auto"/>
          </w:divBdr>
        </w:div>
        <w:div w:id="1579360347">
          <w:marLeft w:val="0"/>
          <w:marRight w:val="0"/>
          <w:marTop w:val="0"/>
          <w:marBottom w:val="0"/>
          <w:divBdr>
            <w:top w:val="none" w:sz="0" w:space="0" w:color="auto"/>
            <w:left w:val="none" w:sz="0" w:space="0" w:color="auto"/>
            <w:bottom w:val="none" w:sz="0" w:space="0" w:color="auto"/>
            <w:right w:val="none" w:sz="0" w:space="0" w:color="auto"/>
          </w:divBdr>
        </w:div>
        <w:div w:id="1615868784">
          <w:marLeft w:val="0"/>
          <w:marRight w:val="0"/>
          <w:marTop w:val="0"/>
          <w:marBottom w:val="0"/>
          <w:divBdr>
            <w:top w:val="none" w:sz="0" w:space="0" w:color="auto"/>
            <w:left w:val="none" w:sz="0" w:space="0" w:color="auto"/>
            <w:bottom w:val="none" w:sz="0" w:space="0" w:color="auto"/>
            <w:right w:val="none" w:sz="0" w:space="0" w:color="auto"/>
          </w:divBdr>
        </w:div>
        <w:div w:id="1661469698">
          <w:marLeft w:val="0"/>
          <w:marRight w:val="0"/>
          <w:marTop w:val="0"/>
          <w:marBottom w:val="0"/>
          <w:divBdr>
            <w:top w:val="none" w:sz="0" w:space="0" w:color="auto"/>
            <w:left w:val="none" w:sz="0" w:space="0" w:color="auto"/>
            <w:bottom w:val="none" w:sz="0" w:space="0" w:color="auto"/>
            <w:right w:val="none" w:sz="0" w:space="0" w:color="auto"/>
          </w:divBdr>
        </w:div>
        <w:div w:id="1746955298">
          <w:marLeft w:val="0"/>
          <w:marRight w:val="0"/>
          <w:marTop w:val="0"/>
          <w:marBottom w:val="0"/>
          <w:divBdr>
            <w:top w:val="none" w:sz="0" w:space="0" w:color="auto"/>
            <w:left w:val="none" w:sz="0" w:space="0" w:color="auto"/>
            <w:bottom w:val="none" w:sz="0" w:space="0" w:color="auto"/>
            <w:right w:val="none" w:sz="0" w:space="0" w:color="auto"/>
          </w:divBdr>
        </w:div>
        <w:div w:id="1805273552">
          <w:marLeft w:val="0"/>
          <w:marRight w:val="0"/>
          <w:marTop w:val="0"/>
          <w:marBottom w:val="0"/>
          <w:divBdr>
            <w:top w:val="none" w:sz="0" w:space="0" w:color="auto"/>
            <w:left w:val="none" w:sz="0" w:space="0" w:color="auto"/>
            <w:bottom w:val="none" w:sz="0" w:space="0" w:color="auto"/>
            <w:right w:val="none" w:sz="0" w:space="0" w:color="auto"/>
          </w:divBdr>
        </w:div>
      </w:divsChild>
    </w:div>
    <w:div w:id="1646593035">
      <w:bodyDiv w:val="1"/>
      <w:marLeft w:val="0"/>
      <w:marRight w:val="0"/>
      <w:marTop w:val="0"/>
      <w:marBottom w:val="0"/>
      <w:divBdr>
        <w:top w:val="none" w:sz="0" w:space="0" w:color="auto"/>
        <w:left w:val="none" w:sz="0" w:space="0" w:color="auto"/>
        <w:bottom w:val="none" w:sz="0" w:space="0" w:color="auto"/>
        <w:right w:val="none" w:sz="0" w:space="0" w:color="auto"/>
      </w:divBdr>
    </w:div>
    <w:div w:id="1668825040">
      <w:bodyDiv w:val="1"/>
      <w:marLeft w:val="0"/>
      <w:marRight w:val="0"/>
      <w:marTop w:val="0"/>
      <w:marBottom w:val="0"/>
      <w:divBdr>
        <w:top w:val="none" w:sz="0" w:space="0" w:color="auto"/>
        <w:left w:val="none" w:sz="0" w:space="0" w:color="auto"/>
        <w:bottom w:val="none" w:sz="0" w:space="0" w:color="auto"/>
        <w:right w:val="none" w:sz="0" w:space="0" w:color="auto"/>
      </w:divBdr>
      <w:divsChild>
        <w:div w:id="50737560">
          <w:marLeft w:val="0"/>
          <w:marRight w:val="0"/>
          <w:marTop w:val="0"/>
          <w:marBottom w:val="0"/>
          <w:divBdr>
            <w:top w:val="none" w:sz="0" w:space="0" w:color="auto"/>
            <w:left w:val="none" w:sz="0" w:space="0" w:color="auto"/>
            <w:bottom w:val="none" w:sz="0" w:space="0" w:color="auto"/>
            <w:right w:val="none" w:sz="0" w:space="0" w:color="auto"/>
          </w:divBdr>
        </w:div>
        <w:div w:id="904677920">
          <w:marLeft w:val="0"/>
          <w:marRight w:val="0"/>
          <w:marTop w:val="0"/>
          <w:marBottom w:val="0"/>
          <w:divBdr>
            <w:top w:val="none" w:sz="0" w:space="0" w:color="auto"/>
            <w:left w:val="none" w:sz="0" w:space="0" w:color="auto"/>
            <w:bottom w:val="none" w:sz="0" w:space="0" w:color="auto"/>
            <w:right w:val="none" w:sz="0" w:space="0" w:color="auto"/>
          </w:divBdr>
        </w:div>
        <w:div w:id="1362509064">
          <w:marLeft w:val="0"/>
          <w:marRight w:val="0"/>
          <w:marTop w:val="0"/>
          <w:marBottom w:val="0"/>
          <w:divBdr>
            <w:top w:val="none" w:sz="0" w:space="0" w:color="auto"/>
            <w:left w:val="none" w:sz="0" w:space="0" w:color="auto"/>
            <w:bottom w:val="none" w:sz="0" w:space="0" w:color="auto"/>
            <w:right w:val="none" w:sz="0" w:space="0" w:color="auto"/>
          </w:divBdr>
        </w:div>
        <w:div w:id="1678995374">
          <w:marLeft w:val="0"/>
          <w:marRight w:val="0"/>
          <w:marTop w:val="0"/>
          <w:marBottom w:val="0"/>
          <w:divBdr>
            <w:top w:val="none" w:sz="0" w:space="0" w:color="auto"/>
            <w:left w:val="none" w:sz="0" w:space="0" w:color="auto"/>
            <w:bottom w:val="none" w:sz="0" w:space="0" w:color="auto"/>
            <w:right w:val="none" w:sz="0" w:space="0" w:color="auto"/>
          </w:divBdr>
        </w:div>
      </w:divsChild>
    </w:div>
    <w:div w:id="1687291059">
      <w:bodyDiv w:val="1"/>
      <w:marLeft w:val="0"/>
      <w:marRight w:val="0"/>
      <w:marTop w:val="0"/>
      <w:marBottom w:val="0"/>
      <w:divBdr>
        <w:top w:val="none" w:sz="0" w:space="0" w:color="auto"/>
        <w:left w:val="none" w:sz="0" w:space="0" w:color="auto"/>
        <w:bottom w:val="none" w:sz="0" w:space="0" w:color="auto"/>
        <w:right w:val="none" w:sz="0" w:space="0" w:color="auto"/>
      </w:divBdr>
    </w:div>
    <w:div w:id="1721899875">
      <w:bodyDiv w:val="1"/>
      <w:marLeft w:val="0"/>
      <w:marRight w:val="0"/>
      <w:marTop w:val="0"/>
      <w:marBottom w:val="0"/>
      <w:divBdr>
        <w:top w:val="none" w:sz="0" w:space="0" w:color="auto"/>
        <w:left w:val="none" w:sz="0" w:space="0" w:color="auto"/>
        <w:bottom w:val="none" w:sz="0" w:space="0" w:color="auto"/>
        <w:right w:val="none" w:sz="0" w:space="0" w:color="auto"/>
      </w:divBdr>
    </w:div>
    <w:div w:id="1736390046">
      <w:bodyDiv w:val="1"/>
      <w:marLeft w:val="0"/>
      <w:marRight w:val="0"/>
      <w:marTop w:val="0"/>
      <w:marBottom w:val="0"/>
      <w:divBdr>
        <w:top w:val="none" w:sz="0" w:space="0" w:color="auto"/>
        <w:left w:val="none" w:sz="0" w:space="0" w:color="auto"/>
        <w:bottom w:val="none" w:sz="0" w:space="0" w:color="auto"/>
        <w:right w:val="none" w:sz="0" w:space="0" w:color="auto"/>
      </w:divBdr>
    </w:div>
    <w:div w:id="1770925277">
      <w:bodyDiv w:val="1"/>
      <w:marLeft w:val="0"/>
      <w:marRight w:val="0"/>
      <w:marTop w:val="0"/>
      <w:marBottom w:val="0"/>
      <w:divBdr>
        <w:top w:val="none" w:sz="0" w:space="0" w:color="auto"/>
        <w:left w:val="none" w:sz="0" w:space="0" w:color="auto"/>
        <w:bottom w:val="none" w:sz="0" w:space="0" w:color="auto"/>
        <w:right w:val="none" w:sz="0" w:space="0" w:color="auto"/>
      </w:divBdr>
      <w:divsChild>
        <w:div w:id="78870729">
          <w:marLeft w:val="0"/>
          <w:marRight w:val="0"/>
          <w:marTop w:val="0"/>
          <w:marBottom w:val="0"/>
          <w:divBdr>
            <w:top w:val="none" w:sz="0" w:space="0" w:color="auto"/>
            <w:left w:val="none" w:sz="0" w:space="0" w:color="auto"/>
            <w:bottom w:val="none" w:sz="0" w:space="0" w:color="auto"/>
            <w:right w:val="none" w:sz="0" w:space="0" w:color="auto"/>
          </w:divBdr>
          <w:divsChild>
            <w:div w:id="26295905">
              <w:marLeft w:val="0"/>
              <w:marRight w:val="0"/>
              <w:marTop w:val="0"/>
              <w:marBottom w:val="0"/>
              <w:divBdr>
                <w:top w:val="none" w:sz="0" w:space="0" w:color="auto"/>
                <w:left w:val="none" w:sz="0" w:space="0" w:color="auto"/>
                <w:bottom w:val="none" w:sz="0" w:space="0" w:color="auto"/>
                <w:right w:val="none" w:sz="0" w:space="0" w:color="auto"/>
              </w:divBdr>
            </w:div>
            <w:div w:id="383136929">
              <w:marLeft w:val="0"/>
              <w:marRight w:val="0"/>
              <w:marTop w:val="0"/>
              <w:marBottom w:val="0"/>
              <w:divBdr>
                <w:top w:val="none" w:sz="0" w:space="0" w:color="auto"/>
                <w:left w:val="none" w:sz="0" w:space="0" w:color="auto"/>
                <w:bottom w:val="none" w:sz="0" w:space="0" w:color="auto"/>
                <w:right w:val="none" w:sz="0" w:space="0" w:color="auto"/>
              </w:divBdr>
            </w:div>
            <w:div w:id="455871706">
              <w:marLeft w:val="0"/>
              <w:marRight w:val="0"/>
              <w:marTop w:val="0"/>
              <w:marBottom w:val="0"/>
              <w:divBdr>
                <w:top w:val="none" w:sz="0" w:space="0" w:color="auto"/>
                <w:left w:val="none" w:sz="0" w:space="0" w:color="auto"/>
                <w:bottom w:val="none" w:sz="0" w:space="0" w:color="auto"/>
                <w:right w:val="none" w:sz="0" w:space="0" w:color="auto"/>
              </w:divBdr>
            </w:div>
            <w:div w:id="609434763">
              <w:marLeft w:val="0"/>
              <w:marRight w:val="0"/>
              <w:marTop w:val="0"/>
              <w:marBottom w:val="0"/>
              <w:divBdr>
                <w:top w:val="none" w:sz="0" w:space="0" w:color="auto"/>
                <w:left w:val="none" w:sz="0" w:space="0" w:color="auto"/>
                <w:bottom w:val="none" w:sz="0" w:space="0" w:color="auto"/>
                <w:right w:val="none" w:sz="0" w:space="0" w:color="auto"/>
              </w:divBdr>
            </w:div>
            <w:div w:id="730347502">
              <w:marLeft w:val="0"/>
              <w:marRight w:val="0"/>
              <w:marTop w:val="0"/>
              <w:marBottom w:val="0"/>
              <w:divBdr>
                <w:top w:val="none" w:sz="0" w:space="0" w:color="auto"/>
                <w:left w:val="none" w:sz="0" w:space="0" w:color="auto"/>
                <w:bottom w:val="none" w:sz="0" w:space="0" w:color="auto"/>
                <w:right w:val="none" w:sz="0" w:space="0" w:color="auto"/>
              </w:divBdr>
            </w:div>
            <w:div w:id="781607535">
              <w:marLeft w:val="0"/>
              <w:marRight w:val="0"/>
              <w:marTop w:val="0"/>
              <w:marBottom w:val="0"/>
              <w:divBdr>
                <w:top w:val="none" w:sz="0" w:space="0" w:color="auto"/>
                <w:left w:val="none" w:sz="0" w:space="0" w:color="auto"/>
                <w:bottom w:val="none" w:sz="0" w:space="0" w:color="auto"/>
                <w:right w:val="none" w:sz="0" w:space="0" w:color="auto"/>
              </w:divBdr>
            </w:div>
            <w:div w:id="803811165">
              <w:marLeft w:val="0"/>
              <w:marRight w:val="0"/>
              <w:marTop w:val="0"/>
              <w:marBottom w:val="0"/>
              <w:divBdr>
                <w:top w:val="none" w:sz="0" w:space="0" w:color="auto"/>
                <w:left w:val="none" w:sz="0" w:space="0" w:color="auto"/>
                <w:bottom w:val="none" w:sz="0" w:space="0" w:color="auto"/>
                <w:right w:val="none" w:sz="0" w:space="0" w:color="auto"/>
              </w:divBdr>
            </w:div>
            <w:div w:id="960695407">
              <w:marLeft w:val="0"/>
              <w:marRight w:val="0"/>
              <w:marTop w:val="0"/>
              <w:marBottom w:val="0"/>
              <w:divBdr>
                <w:top w:val="none" w:sz="0" w:space="0" w:color="auto"/>
                <w:left w:val="none" w:sz="0" w:space="0" w:color="auto"/>
                <w:bottom w:val="none" w:sz="0" w:space="0" w:color="auto"/>
                <w:right w:val="none" w:sz="0" w:space="0" w:color="auto"/>
              </w:divBdr>
            </w:div>
            <w:div w:id="968629864">
              <w:marLeft w:val="0"/>
              <w:marRight w:val="0"/>
              <w:marTop w:val="0"/>
              <w:marBottom w:val="0"/>
              <w:divBdr>
                <w:top w:val="none" w:sz="0" w:space="0" w:color="auto"/>
                <w:left w:val="none" w:sz="0" w:space="0" w:color="auto"/>
                <w:bottom w:val="none" w:sz="0" w:space="0" w:color="auto"/>
                <w:right w:val="none" w:sz="0" w:space="0" w:color="auto"/>
              </w:divBdr>
            </w:div>
            <w:div w:id="1844078399">
              <w:marLeft w:val="0"/>
              <w:marRight w:val="0"/>
              <w:marTop w:val="0"/>
              <w:marBottom w:val="0"/>
              <w:divBdr>
                <w:top w:val="none" w:sz="0" w:space="0" w:color="auto"/>
                <w:left w:val="none" w:sz="0" w:space="0" w:color="auto"/>
                <w:bottom w:val="none" w:sz="0" w:space="0" w:color="auto"/>
                <w:right w:val="none" w:sz="0" w:space="0" w:color="auto"/>
              </w:divBdr>
            </w:div>
            <w:div w:id="1917399510">
              <w:marLeft w:val="0"/>
              <w:marRight w:val="0"/>
              <w:marTop w:val="0"/>
              <w:marBottom w:val="0"/>
              <w:divBdr>
                <w:top w:val="none" w:sz="0" w:space="0" w:color="auto"/>
                <w:left w:val="none" w:sz="0" w:space="0" w:color="auto"/>
                <w:bottom w:val="none" w:sz="0" w:space="0" w:color="auto"/>
                <w:right w:val="none" w:sz="0" w:space="0" w:color="auto"/>
              </w:divBdr>
            </w:div>
            <w:div w:id="1985740978">
              <w:marLeft w:val="0"/>
              <w:marRight w:val="0"/>
              <w:marTop w:val="0"/>
              <w:marBottom w:val="0"/>
              <w:divBdr>
                <w:top w:val="none" w:sz="0" w:space="0" w:color="auto"/>
                <w:left w:val="none" w:sz="0" w:space="0" w:color="auto"/>
                <w:bottom w:val="none" w:sz="0" w:space="0" w:color="auto"/>
                <w:right w:val="none" w:sz="0" w:space="0" w:color="auto"/>
              </w:divBdr>
            </w:div>
            <w:div w:id="1999845729">
              <w:marLeft w:val="0"/>
              <w:marRight w:val="0"/>
              <w:marTop w:val="0"/>
              <w:marBottom w:val="0"/>
              <w:divBdr>
                <w:top w:val="none" w:sz="0" w:space="0" w:color="auto"/>
                <w:left w:val="none" w:sz="0" w:space="0" w:color="auto"/>
                <w:bottom w:val="none" w:sz="0" w:space="0" w:color="auto"/>
                <w:right w:val="none" w:sz="0" w:space="0" w:color="auto"/>
              </w:divBdr>
            </w:div>
          </w:divsChild>
        </w:div>
        <w:div w:id="1583100354">
          <w:marLeft w:val="0"/>
          <w:marRight w:val="0"/>
          <w:marTop w:val="0"/>
          <w:marBottom w:val="0"/>
          <w:divBdr>
            <w:top w:val="none" w:sz="0" w:space="0" w:color="auto"/>
            <w:left w:val="none" w:sz="0" w:space="0" w:color="auto"/>
            <w:bottom w:val="none" w:sz="0" w:space="0" w:color="auto"/>
            <w:right w:val="none" w:sz="0" w:space="0" w:color="auto"/>
          </w:divBdr>
          <w:divsChild>
            <w:div w:id="84495594">
              <w:marLeft w:val="0"/>
              <w:marRight w:val="0"/>
              <w:marTop w:val="0"/>
              <w:marBottom w:val="0"/>
              <w:divBdr>
                <w:top w:val="none" w:sz="0" w:space="0" w:color="auto"/>
                <w:left w:val="none" w:sz="0" w:space="0" w:color="auto"/>
                <w:bottom w:val="none" w:sz="0" w:space="0" w:color="auto"/>
                <w:right w:val="none" w:sz="0" w:space="0" w:color="auto"/>
              </w:divBdr>
            </w:div>
            <w:div w:id="191724644">
              <w:marLeft w:val="0"/>
              <w:marRight w:val="0"/>
              <w:marTop w:val="0"/>
              <w:marBottom w:val="0"/>
              <w:divBdr>
                <w:top w:val="none" w:sz="0" w:space="0" w:color="auto"/>
                <w:left w:val="none" w:sz="0" w:space="0" w:color="auto"/>
                <w:bottom w:val="none" w:sz="0" w:space="0" w:color="auto"/>
                <w:right w:val="none" w:sz="0" w:space="0" w:color="auto"/>
              </w:divBdr>
            </w:div>
            <w:div w:id="257756299">
              <w:marLeft w:val="0"/>
              <w:marRight w:val="0"/>
              <w:marTop w:val="0"/>
              <w:marBottom w:val="0"/>
              <w:divBdr>
                <w:top w:val="none" w:sz="0" w:space="0" w:color="auto"/>
                <w:left w:val="none" w:sz="0" w:space="0" w:color="auto"/>
                <w:bottom w:val="none" w:sz="0" w:space="0" w:color="auto"/>
                <w:right w:val="none" w:sz="0" w:space="0" w:color="auto"/>
              </w:divBdr>
            </w:div>
            <w:div w:id="305669956">
              <w:marLeft w:val="0"/>
              <w:marRight w:val="0"/>
              <w:marTop w:val="0"/>
              <w:marBottom w:val="0"/>
              <w:divBdr>
                <w:top w:val="none" w:sz="0" w:space="0" w:color="auto"/>
                <w:left w:val="none" w:sz="0" w:space="0" w:color="auto"/>
                <w:bottom w:val="none" w:sz="0" w:space="0" w:color="auto"/>
                <w:right w:val="none" w:sz="0" w:space="0" w:color="auto"/>
              </w:divBdr>
            </w:div>
            <w:div w:id="839197842">
              <w:marLeft w:val="0"/>
              <w:marRight w:val="0"/>
              <w:marTop w:val="0"/>
              <w:marBottom w:val="0"/>
              <w:divBdr>
                <w:top w:val="none" w:sz="0" w:space="0" w:color="auto"/>
                <w:left w:val="none" w:sz="0" w:space="0" w:color="auto"/>
                <w:bottom w:val="none" w:sz="0" w:space="0" w:color="auto"/>
                <w:right w:val="none" w:sz="0" w:space="0" w:color="auto"/>
              </w:divBdr>
            </w:div>
            <w:div w:id="8770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9831">
      <w:bodyDiv w:val="1"/>
      <w:marLeft w:val="0"/>
      <w:marRight w:val="0"/>
      <w:marTop w:val="0"/>
      <w:marBottom w:val="0"/>
      <w:divBdr>
        <w:top w:val="none" w:sz="0" w:space="0" w:color="auto"/>
        <w:left w:val="none" w:sz="0" w:space="0" w:color="auto"/>
        <w:bottom w:val="none" w:sz="0" w:space="0" w:color="auto"/>
        <w:right w:val="none" w:sz="0" w:space="0" w:color="auto"/>
      </w:divBdr>
    </w:div>
    <w:div w:id="1825244901">
      <w:bodyDiv w:val="1"/>
      <w:marLeft w:val="0"/>
      <w:marRight w:val="0"/>
      <w:marTop w:val="0"/>
      <w:marBottom w:val="0"/>
      <w:divBdr>
        <w:top w:val="none" w:sz="0" w:space="0" w:color="auto"/>
        <w:left w:val="none" w:sz="0" w:space="0" w:color="auto"/>
        <w:bottom w:val="none" w:sz="0" w:space="0" w:color="auto"/>
        <w:right w:val="none" w:sz="0" w:space="0" w:color="auto"/>
      </w:divBdr>
    </w:div>
    <w:div w:id="1827550756">
      <w:bodyDiv w:val="1"/>
      <w:marLeft w:val="0"/>
      <w:marRight w:val="0"/>
      <w:marTop w:val="0"/>
      <w:marBottom w:val="0"/>
      <w:divBdr>
        <w:top w:val="none" w:sz="0" w:space="0" w:color="auto"/>
        <w:left w:val="none" w:sz="0" w:space="0" w:color="auto"/>
        <w:bottom w:val="none" w:sz="0" w:space="0" w:color="auto"/>
        <w:right w:val="none" w:sz="0" w:space="0" w:color="auto"/>
      </w:divBdr>
      <w:divsChild>
        <w:div w:id="526451734">
          <w:marLeft w:val="0"/>
          <w:marRight w:val="0"/>
          <w:marTop w:val="0"/>
          <w:marBottom w:val="0"/>
          <w:divBdr>
            <w:top w:val="none" w:sz="0" w:space="0" w:color="auto"/>
            <w:left w:val="none" w:sz="0" w:space="0" w:color="auto"/>
            <w:bottom w:val="none" w:sz="0" w:space="0" w:color="auto"/>
            <w:right w:val="none" w:sz="0" w:space="0" w:color="auto"/>
          </w:divBdr>
        </w:div>
        <w:div w:id="764812992">
          <w:marLeft w:val="0"/>
          <w:marRight w:val="0"/>
          <w:marTop w:val="0"/>
          <w:marBottom w:val="0"/>
          <w:divBdr>
            <w:top w:val="none" w:sz="0" w:space="0" w:color="auto"/>
            <w:left w:val="none" w:sz="0" w:space="0" w:color="auto"/>
            <w:bottom w:val="none" w:sz="0" w:space="0" w:color="auto"/>
            <w:right w:val="none" w:sz="0" w:space="0" w:color="auto"/>
          </w:divBdr>
        </w:div>
        <w:div w:id="1886333004">
          <w:marLeft w:val="0"/>
          <w:marRight w:val="0"/>
          <w:marTop w:val="0"/>
          <w:marBottom w:val="0"/>
          <w:divBdr>
            <w:top w:val="none" w:sz="0" w:space="0" w:color="auto"/>
            <w:left w:val="none" w:sz="0" w:space="0" w:color="auto"/>
            <w:bottom w:val="none" w:sz="0" w:space="0" w:color="auto"/>
            <w:right w:val="none" w:sz="0" w:space="0" w:color="auto"/>
          </w:divBdr>
        </w:div>
        <w:div w:id="1894268858">
          <w:marLeft w:val="0"/>
          <w:marRight w:val="0"/>
          <w:marTop w:val="0"/>
          <w:marBottom w:val="0"/>
          <w:divBdr>
            <w:top w:val="none" w:sz="0" w:space="0" w:color="auto"/>
            <w:left w:val="none" w:sz="0" w:space="0" w:color="auto"/>
            <w:bottom w:val="none" w:sz="0" w:space="0" w:color="auto"/>
            <w:right w:val="none" w:sz="0" w:space="0" w:color="auto"/>
          </w:divBdr>
        </w:div>
        <w:div w:id="1981492710">
          <w:marLeft w:val="0"/>
          <w:marRight w:val="0"/>
          <w:marTop w:val="0"/>
          <w:marBottom w:val="0"/>
          <w:divBdr>
            <w:top w:val="none" w:sz="0" w:space="0" w:color="auto"/>
            <w:left w:val="none" w:sz="0" w:space="0" w:color="auto"/>
            <w:bottom w:val="none" w:sz="0" w:space="0" w:color="auto"/>
            <w:right w:val="none" w:sz="0" w:space="0" w:color="auto"/>
          </w:divBdr>
        </w:div>
        <w:div w:id="2009549969">
          <w:marLeft w:val="0"/>
          <w:marRight w:val="0"/>
          <w:marTop w:val="0"/>
          <w:marBottom w:val="0"/>
          <w:divBdr>
            <w:top w:val="none" w:sz="0" w:space="0" w:color="auto"/>
            <w:left w:val="none" w:sz="0" w:space="0" w:color="auto"/>
            <w:bottom w:val="none" w:sz="0" w:space="0" w:color="auto"/>
            <w:right w:val="none" w:sz="0" w:space="0" w:color="auto"/>
          </w:divBdr>
        </w:div>
      </w:divsChild>
    </w:div>
    <w:div w:id="1830368017">
      <w:bodyDiv w:val="1"/>
      <w:marLeft w:val="0"/>
      <w:marRight w:val="0"/>
      <w:marTop w:val="0"/>
      <w:marBottom w:val="0"/>
      <w:divBdr>
        <w:top w:val="none" w:sz="0" w:space="0" w:color="auto"/>
        <w:left w:val="none" w:sz="0" w:space="0" w:color="auto"/>
        <w:bottom w:val="none" w:sz="0" w:space="0" w:color="auto"/>
        <w:right w:val="none" w:sz="0" w:space="0" w:color="auto"/>
      </w:divBdr>
      <w:divsChild>
        <w:div w:id="943263728">
          <w:marLeft w:val="274"/>
          <w:marRight w:val="0"/>
          <w:marTop w:val="0"/>
          <w:marBottom w:val="0"/>
          <w:divBdr>
            <w:top w:val="none" w:sz="0" w:space="0" w:color="auto"/>
            <w:left w:val="none" w:sz="0" w:space="0" w:color="auto"/>
            <w:bottom w:val="none" w:sz="0" w:space="0" w:color="auto"/>
            <w:right w:val="none" w:sz="0" w:space="0" w:color="auto"/>
          </w:divBdr>
        </w:div>
      </w:divsChild>
    </w:div>
    <w:div w:id="1837182159">
      <w:bodyDiv w:val="1"/>
      <w:marLeft w:val="0"/>
      <w:marRight w:val="0"/>
      <w:marTop w:val="0"/>
      <w:marBottom w:val="0"/>
      <w:divBdr>
        <w:top w:val="none" w:sz="0" w:space="0" w:color="auto"/>
        <w:left w:val="none" w:sz="0" w:space="0" w:color="auto"/>
        <w:bottom w:val="none" w:sz="0" w:space="0" w:color="auto"/>
        <w:right w:val="none" w:sz="0" w:space="0" w:color="auto"/>
      </w:divBdr>
    </w:div>
    <w:div w:id="1837919492">
      <w:bodyDiv w:val="1"/>
      <w:marLeft w:val="0"/>
      <w:marRight w:val="0"/>
      <w:marTop w:val="0"/>
      <w:marBottom w:val="0"/>
      <w:divBdr>
        <w:top w:val="none" w:sz="0" w:space="0" w:color="auto"/>
        <w:left w:val="none" w:sz="0" w:space="0" w:color="auto"/>
        <w:bottom w:val="none" w:sz="0" w:space="0" w:color="auto"/>
        <w:right w:val="none" w:sz="0" w:space="0" w:color="auto"/>
      </w:divBdr>
    </w:div>
    <w:div w:id="1841313250">
      <w:bodyDiv w:val="1"/>
      <w:marLeft w:val="0"/>
      <w:marRight w:val="0"/>
      <w:marTop w:val="0"/>
      <w:marBottom w:val="0"/>
      <w:divBdr>
        <w:top w:val="none" w:sz="0" w:space="0" w:color="auto"/>
        <w:left w:val="none" w:sz="0" w:space="0" w:color="auto"/>
        <w:bottom w:val="none" w:sz="0" w:space="0" w:color="auto"/>
        <w:right w:val="none" w:sz="0" w:space="0" w:color="auto"/>
      </w:divBdr>
      <w:divsChild>
        <w:div w:id="72821456">
          <w:marLeft w:val="0"/>
          <w:marRight w:val="0"/>
          <w:marTop w:val="0"/>
          <w:marBottom w:val="0"/>
          <w:divBdr>
            <w:top w:val="none" w:sz="0" w:space="0" w:color="auto"/>
            <w:left w:val="none" w:sz="0" w:space="0" w:color="auto"/>
            <w:bottom w:val="none" w:sz="0" w:space="0" w:color="auto"/>
            <w:right w:val="none" w:sz="0" w:space="0" w:color="auto"/>
          </w:divBdr>
        </w:div>
        <w:div w:id="192351138">
          <w:marLeft w:val="0"/>
          <w:marRight w:val="0"/>
          <w:marTop w:val="0"/>
          <w:marBottom w:val="0"/>
          <w:divBdr>
            <w:top w:val="none" w:sz="0" w:space="0" w:color="auto"/>
            <w:left w:val="none" w:sz="0" w:space="0" w:color="auto"/>
            <w:bottom w:val="none" w:sz="0" w:space="0" w:color="auto"/>
            <w:right w:val="none" w:sz="0" w:space="0" w:color="auto"/>
          </w:divBdr>
        </w:div>
        <w:div w:id="546993707">
          <w:marLeft w:val="0"/>
          <w:marRight w:val="0"/>
          <w:marTop w:val="0"/>
          <w:marBottom w:val="0"/>
          <w:divBdr>
            <w:top w:val="none" w:sz="0" w:space="0" w:color="auto"/>
            <w:left w:val="none" w:sz="0" w:space="0" w:color="auto"/>
            <w:bottom w:val="none" w:sz="0" w:space="0" w:color="auto"/>
            <w:right w:val="none" w:sz="0" w:space="0" w:color="auto"/>
          </w:divBdr>
        </w:div>
        <w:div w:id="1286496956">
          <w:marLeft w:val="0"/>
          <w:marRight w:val="0"/>
          <w:marTop w:val="0"/>
          <w:marBottom w:val="0"/>
          <w:divBdr>
            <w:top w:val="none" w:sz="0" w:space="0" w:color="auto"/>
            <w:left w:val="none" w:sz="0" w:space="0" w:color="auto"/>
            <w:bottom w:val="none" w:sz="0" w:space="0" w:color="auto"/>
            <w:right w:val="none" w:sz="0" w:space="0" w:color="auto"/>
          </w:divBdr>
        </w:div>
        <w:div w:id="1324118730">
          <w:marLeft w:val="0"/>
          <w:marRight w:val="0"/>
          <w:marTop w:val="0"/>
          <w:marBottom w:val="0"/>
          <w:divBdr>
            <w:top w:val="none" w:sz="0" w:space="0" w:color="auto"/>
            <w:left w:val="none" w:sz="0" w:space="0" w:color="auto"/>
            <w:bottom w:val="none" w:sz="0" w:space="0" w:color="auto"/>
            <w:right w:val="none" w:sz="0" w:space="0" w:color="auto"/>
          </w:divBdr>
        </w:div>
        <w:div w:id="1430199408">
          <w:marLeft w:val="0"/>
          <w:marRight w:val="0"/>
          <w:marTop w:val="0"/>
          <w:marBottom w:val="0"/>
          <w:divBdr>
            <w:top w:val="none" w:sz="0" w:space="0" w:color="auto"/>
            <w:left w:val="none" w:sz="0" w:space="0" w:color="auto"/>
            <w:bottom w:val="none" w:sz="0" w:space="0" w:color="auto"/>
            <w:right w:val="none" w:sz="0" w:space="0" w:color="auto"/>
          </w:divBdr>
        </w:div>
        <w:div w:id="1466897829">
          <w:marLeft w:val="0"/>
          <w:marRight w:val="0"/>
          <w:marTop w:val="0"/>
          <w:marBottom w:val="0"/>
          <w:divBdr>
            <w:top w:val="none" w:sz="0" w:space="0" w:color="auto"/>
            <w:left w:val="none" w:sz="0" w:space="0" w:color="auto"/>
            <w:bottom w:val="none" w:sz="0" w:space="0" w:color="auto"/>
            <w:right w:val="none" w:sz="0" w:space="0" w:color="auto"/>
          </w:divBdr>
        </w:div>
        <w:div w:id="1514956049">
          <w:marLeft w:val="0"/>
          <w:marRight w:val="0"/>
          <w:marTop w:val="0"/>
          <w:marBottom w:val="0"/>
          <w:divBdr>
            <w:top w:val="none" w:sz="0" w:space="0" w:color="auto"/>
            <w:left w:val="none" w:sz="0" w:space="0" w:color="auto"/>
            <w:bottom w:val="none" w:sz="0" w:space="0" w:color="auto"/>
            <w:right w:val="none" w:sz="0" w:space="0" w:color="auto"/>
          </w:divBdr>
        </w:div>
        <w:div w:id="1536850425">
          <w:marLeft w:val="0"/>
          <w:marRight w:val="0"/>
          <w:marTop w:val="0"/>
          <w:marBottom w:val="0"/>
          <w:divBdr>
            <w:top w:val="none" w:sz="0" w:space="0" w:color="auto"/>
            <w:left w:val="none" w:sz="0" w:space="0" w:color="auto"/>
            <w:bottom w:val="none" w:sz="0" w:space="0" w:color="auto"/>
            <w:right w:val="none" w:sz="0" w:space="0" w:color="auto"/>
          </w:divBdr>
        </w:div>
        <w:div w:id="1565873983">
          <w:marLeft w:val="0"/>
          <w:marRight w:val="0"/>
          <w:marTop w:val="0"/>
          <w:marBottom w:val="0"/>
          <w:divBdr>
            <w:top w:val="none" w:sz="0" w:space="0" w:color="auto"/>
            <w:left w:val="none" w:sz="0" w:space="0" w:color="auto"/>
            <w:bottom w:val="none" w:sz="0" w:space="0" w:color="auto"/>
            <w:right w:val="none" w:sz="0" w:space="0" w:color="auto"/>
          </w:divBdr>
        </w:div>
        <w:div w:id="1630699051">
          <w:marLeft w:val="0"/>
          <w:marRight w:val="0"/>
          <w:marTop w:val="0"/>
          <w:marBottom w:val="0"/>
          <w:divBdr>
            <w:top w:val="none" w:sz="0" w:space="0" w:color="auto"/>
            <w:left w:val="none" w:sz="0" w:space="0" w:color="auto"/>
            <w:bottom w:val="none" w:sz="0" w:space="0" w:color="auto"/>
            <w:right w:val="none" w:sz="0" w:space="0" w:color="auto"/>
          </w:divBdr>
        </w:div>
        <w:div w:id="1853185720">
          <w:marLeft w:val="0"/>
          <w:marRight w:val="0"/>
          <w:marTop w:val="0"/>
          <w:marBottom w:val="0"/>
          <w:divBdr>
            <w:top w:val="none" w:sz="0" w:space="0" w:color="auto"/>
            <w:left w:val="none" w:sz="0" w:space="0" w:color="auto"/>
            <w:bottom w:val="none" w:sz="0" w:space="0" w:color="auto"/>
            <w:right w:val="none" w:sz="0" w:space="0" w:color="auto"/>
          </w:divBdr>
        </w:div>
        <w:div w:id="1902595127">
          <w:marLeft w:val="0"/>
          <w:marRight w:val="0"/>
          <w:marTop w:val="0"/>
          <w:marBottom w:val="0"/>
          <w:divBdr>
            <w:top w:val="none" w:sz="0" w:space="0" w:color="auto"/>
            <w:left w:val="none" w:sz="0" w:space="0" w:color="auto"/>
            <w:bottom w:val="none" w:sz="0" w:space="0" w:color="auto"/>
            <w:right w:val="none" w:sz="0" w:space="0" w:color="auto"/>
          </w:divBdr>
        </w:div>
        <w:div w:id="1990479946">
          <w:marLeft w:val="0"/>
          <w:marRight w:val="0"/>
          <w:marTop w:val="0"/>
          <w:marBottom w:val="0"/>
          <w:divBdr>
            <w:top w:val="none" w:sz="0" w:space="0" w:color="auto"/>
            <w:left w:val="none" w:sz="0" w:space="0" w:color="auto"/>
            <w:bottom w:val="none" w:sz="0" w:space="0" w:color="auto"/>
            <w:right w:val="none" w:sz="0" w:space="0" w:color="auto"/>
          </w:divBdr>
        </w:div>
        <w:div w:id="2080203535">
          <w:marLeft w:val="0"/>
          <w:marRight w:val="0"/>
          <w:marTop w:val="0"/>
          <w:marBottom w:val="0"/>
          <w:divBdr>
            <w:top w:val="none" w:sz="0" w:space="0" w:color="auto"/>
            <w:left w:val="none" w:sz="0" w:space="0" w:color="auto"/>
            <w:bottom w:val="none" w:sz="0" w:space="0" w:color="auto"/>
            <w:right w:val="none" w:sz="0" w:space="0" w:color="auto"/>
          </w:divBdr>
        </w:div>
      </w:divsChild>
    </w:div>
    <w:div w:id="1878883980">
      <w:bodyDiv w:val="1"/>
      <w:marLeft w:val="0"/>
      <w:marRight w:val="0"/>
      <w:marTop w:val="0"/>
      <w:marBottom w:val="0"/>
      <w:divBdr>
        <w:top w:val="none" w:sz="0" w:space="0" w:color="auto"/>
        <w:left w:val="none" w:sz="0" w:space="0" w:color="auto"/>
        <w:bottom w:val="none" w:sz="0" w:space="0" w:color="auto"/>
        <w:right w:val="none" w:sz="0" w:space="0" w:color="auto"/>
      </w:divBdr>
    </w:div>
    <w:div w:id="1879975876">
      <w:bodyDiv w:val="1"/>
      <w:marLeft w:val="0"/>
      <w:marRight w:val="0"/>
      <w:marTop w:val="0"/>
      <w:marBottom w:val="0"/>
      <w:divBdr>
        <w:top w:val="none" w:sz="0" w:space="0" w:color="auto"/>
        <w:left w:val="none" w:sz="0" w:space="0" w:color="auto"/>
        <w:bottom w:val="none" w:sz="0" w:space="0" w:color="auto"/>
        <w:right w:val="none" w:sz="0" w:space="0" w:color="auto"/>
      </w:divBdr>
    </w:div>
    <w:div w:id="1896042396">
      <w:bodyDiv w:val="1"/>
      <w:marLeft w:val="0"/>
      <w:marRight w:val="0"/>
      <w:marTop w:val="0"/>
      <w:marBottom w:val="0"/>
      <w:divBdr>
        <w:top w:val="none" w:sz="0" w:space="0" w:color="auto"/>
        <w:left w:val="none" w:sz="0" w:space="0" w:color="auto"/>
        <w:bottom w:val="none" w:sz="0" w:space="0" w:color="auto"/>
        <w:right w:val="none" w:sz="0" w:space="0" w:color="auto"/>
      </w:divBdr>
    </w:div>
    <w:div w:id="1908491444">
      <w:bodyDiv w:val="1"/>
      <w:marLeft w:val="0"/>
      <w:marRight w:val="0"/>
      <w:marTop w:val="0"/>
      <w:marBottom w:val="0"/>
      <w:divBdr>
        <w:top w:val="none" w:sz="0" w:space="0" w:color="auto"/>
        <w:left w:val="none" w:sz="0" w:space="0" w:color="auto"/>
        <w:bottom w:val="none" w:sz="0" w:space="0" w:color="auto"/>
        <w:right w:val="none" w:sz="0" w:space="0" w:color="auto"/>
      </w:divBdr>
      <w:divsChild>
        <w:div w:id="566762298">
          <w:marLeft w:val="0"/>
          <w:marRight w:val="0"/>
          <w:marTop w:val="0"/>
          <w:marBottom w:val="0"/>
          <w:divBdr>
            <w:top w:val="none" w:sz="0" w:space="0" w:color="auto"/>
            <w:left w:val="none" w:sz="0" w:space="0" w:color="auto"/>
            <w:bottom w:val="none" w:sz="0" w:space="0" w:color="auto"/>
            <w:right w:val="none" w:sz="0" w:space="0" w:color="auto"/>
          </w:divBdr>
        </w:div>
        <w:div w:id="582377228">
          <w:marLeft w:val="0"/>
          <w:marRight w:val="0"/>
          <w:marTop w:val="0"/>
          <w:marBottom w:val="0"/>
          <w:divBdr>
            <w:top w:val="none" w:sz="0" w:space="0" w:color="auto"/>
            <w:left w:val="none" w:sz="0" w:space="0" w:color="auto"/>
            <w:bottom w:val="none" w:sz="0" w:space="0" w:color="auto"/>
            <w:right w:val="none" w:sz="0" w:space="0" w:color="auto"/>
          </w:divBdr>
        </w:div>
      </w:divsChild>
    </w:div>
    <w:div w:id="1914267417">
      <w:bodyDiv w:val="1"/>
      <w:marLeft w:val="0"/>
      <w:marRight w:val="0"/>
      <w:marTop w:val="0"/>
      <w:marBottom w:val="0"/>
      <w:divBdr>
        <w:top w:val="none" w:sz="0" w:space="0" w:color="auto"/>
        <w:left w:val="none" w:sz="0" w:space="0" w:color="auto"/>
        <w:bottom w:val="none" w:sz="0" w:space="0" w:color="auto"/>
        <w:right w:val="none" w:sz="0" w:space="0" w:color="auto"/>
      </w:divBdr>
    </w:div>
    <w:div w:id="1960181959">
      <w:bodyDiv w:val="1"/>
      <w:marLeft w:val="0"/>
      <w:marRight w:val="0"/>
      <w:marTop w:val="0"/>
      <w:marBottom w:val="0"/>
      <w:divBdr>
        <w:top w:val="none" w:sz="0" w:space="0" w:color="auto"/>
        <w:left w:val="none" w:sz="0" w:space="0" w:color="auto"/>
        <w:bottom w:val="none" w:sz="0" w:space="0" w:color="auto"/>
        <w:right w:val="none" w:sz="0" w:space="0" w:color="auto"/>
      </w:divBdr>
    </w:div>
    <w:div w:id="1977642486">
      <w:bodyDiv w:val="1"/>
      <w:marLeft w:val="0"/>
      <w:marRight w:val="0"/>
      <w:marTop w:val="0"/>
      <w:marBottom w:val="0"/>
      <w:divBdr>
        <w:top w:val="none" w:sz="0" w:space="0" w:color="auto"/>
        <w:left w:val="none" w:sz="0" w:space="0" w:color="auto"/>
        <w:bottom w:val="none" w:sz="0" w:space="0" w:color="auto"/>
        <w:right w:val="none" w:sz="0" w:space="0" w:color="auto"/>
      </w:divBdr>
    </w:div>
    <w:div w:id="2027907135">
      <w:bodyDiv w:val="1"/>
      <w:marLeft w:val="0"/>
      <w:marRight w:val="0"/>
      <w:marTop w:val="0"/>
      <w:marBottom w:val="0"/>
      <w:divBdr>
        <w:top w:val="none" w:sz="0" w:space="0" w:color="auto"/>
        <w:left w:val="none" w:sz="0" w:space="0" w:color="auto"/>
        <w:bottom w:val="none" w:sz="0" w:space="0" w:color="auto"/>
        <w:right w:val="none" w:sz="0" w:space="0" w:color="auto"/>
      </w:divBdr>
      <w:divsChild>
        <w:div w:id="271209413">
          <w:marLeft w:val="0"/>
          <w:marRight w:val="0"/>
          <w:marTop w:val="0"/>
          <w:marBottom w:val="0"/>
          <w:divBdr>
            <w:top w:val="none" w:sz="0" w:space="0" w:color="auto"/>
            <w:left w:val="none" w:sz="0" w:space="0" w:color="auto"/>
            <w:bottom w:val="none" w:sz="0" w:space="0" w:color="auto"/>
            <w:right w:val="none" w:sz="0" w:space="0" w:color="auto"/>
          </w:divBdr>
        </w:div>
        <w:div w:id="440800182">
          <w:marLeft w:val="0"/>
          <w:marRight w:val="0"/>
          <w:marTop w:val="0"/>
          <w:marBottom w:val="0"/>
          <w:divBdr>
            <w:top w:val="none" w:sz="0" w:space="0" w:color="auto"/>
            <w:left w:val="none" w:sz="0" w:space="0" w:color="auto"/>
            <w:bottom w:val="none" w:sz="0" w:space="0" w:color="auto"/>
            <w:right w:val="none" w:sz="0" w:space="0" w:color="auto"/>
          </w:divBdr>
        </w:div>
        <w:div w:id="478965173">
          <w:marLeft w:val="0"/>
          <w:marRight w:val="0"/>
          <w:marTop w:val="0"/>
          <w:marBottom w:val="0"/>
          <w:divBdr>
            <w:top w:val="none" w:sz="0" w:space="0" w:color="auto"/>
            <w:left w:val="none" w:sz="0" w:space="0" w:color="auto"/>
            <w:bottom w:val="none" w:sz="0" w:space="0" w:color="auto"/>
            <w:right w:val="none" w:sz="0" w:space="0" w:color="auto"/>
          </w:divBdr>
        </w:div>
        <w:div w:id="504516876">
          <w:marLeft w:val="0"/>
          <w:marRight w:val="0"/>
          <w:marTop w:val="0"/>
          <w:marBottom w:val="0"/>
          <w:divBdr>
            <w:top w:val="none" w:sz="0" w:space="0" w:color="auto"/>
            <w:left w:val="none" w:sz="0" w:space="0" w:color="auto"/>
            <w:bottom w:val="none" w:sz="0" w:space="0" w:color="auto"/>
            <w:right w:val="none" w:sz="0" w:space="0" w:color="auto"/>
          </w:divBdr>
        </w:div>
        <w:div w:id="588850859">
          <w:marLeft w:val="0"/>
          <w:marRight w:val="0"/>
          <w:marTop w:val="0"/>
          <w:marBottom w:val="0"/>
          <w:divBdr>
            <w:top w:val="none" w:sz="0" w:space="0" w:color="auto"/>
            <w:left w:val="none" w:sz="0" w:space="0" w:color="auto"/>
            <w:bottom w:val="none" w:sz="0" w:space="0" w:color="auto"/>
            <w:right w:val="none" w:sz="0" w:space="0" w:color="auto"/>
          </w:divBdr>
        </w:div>
        <w:div w:id="748188869">
          <w:marLeft w:val="0"/>
          <w:marRight w:val="0"/>
          <w:marTop w:val="0"/>
          <w:marBottom w:val="0"/>
          <w:divBdr>
            <w:top w:val="none" w:sz="0" w:space="0" w:color="auto"/>
            <w:left w:val="none" w:sz="0" w:space="0" w:color="auto"/>
            <w:bottom w:val="none" w:sz="0" w:space="0" w:color="auto"/>
            <w:right w:val="none" w:sz="0" w:space="0" w:color="auto"/>
          </w:divBdr>
        </w:div>
        <w:div w:id="1183085569">
          <w:marLeft w:val="0"/>
          <w:marRight w:val="0"/>
          <w:marTop w:val="0"/>
          <w:marBottom w:val="0"/>
          <w:divBdr>
            <w:top w:val="none" w:sz="0" w:space="0" w:color="auto"/>
            <w:left w:val="none" w:sz="0" w:space="0" w:color="auto"/>
            <w:bottom w:val="none" w:sz="0" w:space="0" w:color="auto"/>
            <w:right w:val="none" w:sz="0" w:space="0" w:color="auto"/>
          </w:divBdr>
        </w:div>
      </w:divsChild>
    </w:div>
    <w:div w:id="2039117152">
      <w:bodyDiv w:val="1"/>
      <w:marLeft w:val="0"/>
      <w:marRight w:val="0"/>
      <w:marTop w:val="0"/>
      <w:marBottom w:val="0"/>
      <w:divBdr>
        <w:top w:val="none" w:sz="0" w:space="0" w:color="auto"/>
        <w:left w:val="none" w:sz="0" w:space="0" w:color="auto"/>
        <w:bottom w:val="none" w:sz="0" w:space="0" w:color="auto"/>
        <w:right w:val="none" w:sz="0" w:space="0" w:color="auto"/>
      </w:divBdr>
    </w:div>
    <w:div w:id="211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99" Type="http://schemas.openxmlformats.org/officeDocument/2006/relationships/hyperlink" Target="https://www.health.gov.au/initiatives-and-programs/an-acc/providers/palliative-care" TargetMode="External"/><Relationship Id="rId21" Type="http://schemas.openxmlformats.org/officeDocument/2006/relationships/hyperlink" Target="http://www.servicesaustralia.gov.au/" TargetMode="External"/><Relationship Id="rId63" Type="http://schemas.openxmlformats.org/officeDocument/2006/relationships/hyperlink" Target="https://www.health.gov.au/resources/publications/aged-care-assessment-quality-framework?language=en" TargetMode="External"/><Relationship Id="rId159" Type="http://schemas.openxmlformats.org/officeDocument/2006/relationships/hyperlink" Target="https://www.health.gov.au/resources/collections/wellness-and-reablement-resources?language=en" TargetMode="External"/><Relationship Id="rId324" Type="http://schemas.openxmlformats.org/officeDocument/2006/relationships/hyperlink" Target="https://www.facebook.com/groups/AgedCareCouncilOfElders" TargetMode="External"/><Relationship Id="rId366" Type="http://schemas.openxmlformats.org/officeDocument/2006/relationships/header" Target="header9.xml"/><Relationship Id="rId170" Type="http://schemas.openxmlformats.org/officeDocument/2006/relationships/hyperlink" Target="https://www.assistancedogs.org.au/services/service-dog/" TargetMode="External"/><Relationship Id="rId226" Type="http://schemas.openxmlformats.org/officeDocument/2006/relationships/header" Target="header8.xml"/><Relationship Id="rId268" Type="http://schemas.openxmlformats.org/officeDocument/2006/relationships/hyperlink" Target="https://www.health.gov.au/resources/collections/aged-care-diversity-framework-action-plans" TargetMode="External"/><Relationship Id="rId32" Type="http://schemas.openxmlformats.org/officeDocument/2006/relationships/hyperlink" Target="https://www.health.gov.au/resources/collections/my-aged-care-assessor-portal-resources" TargetMode="External"/><Relationship Id="rId74" Type="http://schemas.openxmlformats.org/officeDocument/2006/relationships/hyperlink" Target="https://www.mdcalc.com/calc/2047/revised-urinary-incontinence-scale-ruis" TargetMode="External"/><Relationship Id="rId128" Type="http://schemas.openxmlformats.org/officeDocument/2006/relationships/hyperlink" Target="https://www.myagedcare.gov.au/help-care-finder" TargetMode="External"/><Relationship Id="rId335" Type="http://schemas.openxmlformats.org/officeDocument/2006/relationships/hyperlink" Target="https://www.servicesaustralia.gov.au/providing-residential-care?context=20" TargetMode="External"/><Relationship Id="rId377" Type="http://schemas.openxmlformats.org/officeDocument/2006/relationships/fontTable" Target="fontTable.xml"/><Relationship Id="rId5" Type="http://schemas.openxmlformats.org/officeDocument/2006/relationships/numbering" Target="numbering.xml"/><Relationship Id="rId181" Type="http://schemas.openxmlformats.org/officeDocument/2006/relationships/image" Target="media/image12.png"/><Relationship Id="rId237" Type="http://schemas.openxmlformats.org/officeDocument/2006/relationships/hyperlink" Target="https://www.health.gov.au/resources/publications/at-hm-scheme-guidelines?language=en" TargetMode="External"/><Relationship Id="rId279" Type="http://schemas.openxmlformats.org/officeDocument/2006/relationships/hyperlink" Target="https://www.health.gov.au/resources/publications/my-aged-care-assessor-portal-user-guide-2-registering-support-people-and-adding-relationships" TargetMode="External"/><Relationship Id="rId43" Type="http://schemas.openxmlformats.org/officeDocument/2006/relationships/hyperlink" Target="https://www.health.gov.au/our-work/aged-care-act/about" TargetMode="External"/><Relationship Id="rId139" Type="http://schemas.openxmlformats.org/officeDocument/2006/relationships/hyperlink" Target="https://www.health.gov.au/our-work/sign-language-interpreting-and-captioning-services-for-australian-government-subsidised-aged-care-services" TargetMode="External"/><Relationship Id="rId290" Type="http://schemas.openxmlformats.org/officeDocument/2006/relationships/hyperlink" Target="https://www.health.gov.au/resources/publications/actions-to-support-lgbti-elders-a-guide-for-aged-care-providers" TargetMode="External"/><Relationship Id="rId304" Type="http://schemas.openxmlformats.org/officeDocument/2006/relationships/hyperlink" Target="https://www.protectivesecurity.gov.au/about" TargetMode="External"/><Relationship Id="rId346" Type="http://schemas.openxmlformats.org/officeDocument/2006/relationships/hyperlink" Target="https://www.health.gov.au/resources/publications/aged-care-assessment-quality-framework?language=en" TargetMode="External"/><Relationship Id="rId85" Type="http://schemas.openxmlformats.org/officeDocument/2006/relationships/hyperlink" Target="https://www.servicesaustralia.gov.au/aged-care-specialist-officer-my-aged-care-face-to-face-services?context=55715" TargetMode="External"/><Relationship Id="rId150" Type="http://schemas.openxmlformats.org/officeDocument/2006/relationships/hyperlink" Target="https://www.health.gov.au/resources/publications/integrated-assessment-tool-iat-user-guide?language=en" TargetMode="External"/><Relationship Id="rId192" Type="http://schemas.openxmlformats.org/officeDocument/2006/relationships/hyperlink" Target="https://www.dementia.com.au/hacdsp" TargetMode="External"/><Relationship Id="rId206" Type="http://schemas.openxmlformats.org/officeDocument/2006/relationships/hyperlink" Target="http://www.carergateway.gov.au/" TargetMode="External"/><Relationship Id="rId248" Type="http://schemas.openxmlformats.org/officeDocument/2006/relationships/hyperlink" Target="https://www.health.gov.au/our-work/star-ratings-for-residential-aged-care" TargetMode="External"/><Relationship Id="rId12" Type="http://schemas.openxmlformats.org/officeDocument/2006/relationships/image" Target="media/image2.jpeg"/><Relationship Id="rId108" Type="http://schemas.openxmlformats.org/officeDocument/2006/relationships/hyperlink" Target="mailto:MyAgedCare.Assessment@health.gov.au" TargetMode="External"/><Relationship Id="rId315" Type="http://schemas.openxmlformats.org/officeDocument/2006/relationships/hyperlink" Target="https://www.niaa.gov.au/sites/default/files/documents/2024-05/framework-governance-indigenous-data.pdf" TargetMode="External"/><Relationship Id="rId357" Type="http://schemas.openxmlformats.org/officeDocument/2006/relationships/hyperlink" Target="https://www.health.gov.au/resources/publications/my-aged-care-integrated-assessment-tool-iat-user-guide?language=en" TargetMode="External"/><Relationship Id="rId54" Type="http://schemas.openxmlformats.org/officeDocument/2006/relationships/hyperlink" Target="https://www.health.gov.au/resources/publications/supporting-clients-with-the-rollout-of-aboriginal-and-torres-strait-islander-assessment-organisations?language=en" TargetMode="External"/><Relationship Id="rId96" Type="http://schemas.openxmlformats.org/officeDocument/2006/relationships/hyperlink" Target="https://www.health.gov.au/our-work/aged-care-act/about/registered-supporters" TargetMode="External"/><Relationship Id="rId161" Type="http://schemas.openxmlformats.org/officeDocument/2006/relationships/hyperlink" Target="https://www.health.gov.au/resources/publications/list-of-elder-care-support-providers" TargetMode="External"/><Relationship Id="rId217" Type="http://schemas.openxmlformats.org/officeDocument/2006/relationships/hyperlink" Target="https://www.naccho.org.au/elder-care-support-program/" TargetMode="External"/><Relationship Id="rId259" Type="http://schemas.openxmlformats.org/officeDocument/2006/relationships/hyperlink" Target="https://www.myagedcare.gov.au/quality-aged-care" TargetMode="External"/><Relationship Id="rId23" Type="http://schemas.openxmlformats.org/officeDocument/2006/relationships/hyperlink" Target="http://www.myagedcare.gov.au/" TargetMode="External"/><Relationship Id="rId119" Type="http://schemas.openxmlformats.org/officeDocument/2006/relationships/footer" Target="footer6.xml"/><Relationship Id="rId270" Type="http://schemas.openxmlformats.org/officeDocument/2006/relationships/hyperlink" Target="https://www.health.gov.au/health-topics/aged-care/providing-aged-care-services/working-in-aged-care/working-with-diverse-groups-in-aged-care" TargetMode="External"/><Relationship Id="rId326" Type="http://schemas.openxmlformats.org/officeDocument/2006/relationships/hyperlink" Target="mailto:AgedCare.Assessment.Reporting@health.gov.au" TargetMode="External"/><Relationship Id="rId65" Type="http://schemas.openxmlformats.org/officeDocument/2006/relationships/hyperlink" Target="https://www.health.gov.au/resources/publications/my-aged-care-integrated-assessment-tool-iat-user-guide?language=en" TargetMode="External"/><Relationship Id="rId130" Type="http://schemas.openxmlformats.org/officeDocument/2006/relationships/hyperlink" Target="http://www.myagedcare.gov.au/registering-supporter" TargetMode="External"/><Relationship Id="rId368" Type="http://schemas.openxmlformats.org/officeDocument/2006/relationships/footer" Target="footer10.xml"/><Relationship Id="rId172" Type="http://schemas.openxmlformats.org/officeDocument/2006/relationships/hyperlink" Target="https://www.health.gov.au/resources/publications/at-hm-scheme-guidelines?language=en" TargetMode="External"/><Relationship Id="rId228" Type="http://schemas.openxmlformats.org/officeDocument/2006/relationships/image" Target="media/image14.png"/><Relationship Id="rId281" Type="http://schemas.openxmlformats.org/officeDocument/2006/relationships/hyperlink" Target="https://cdpc.sydney.edu.au/research/clinical-guidelines-for-dementia/" TargetMode="External"/><Relationship Id="rId337" Type="http://schemas.openxmlformats.org/officeDocument/2006/relationships/hyperlink" Target="https://www.health.gov.au/our-work/residential-aged-care/charging/means-assessment" TargetMode="External"/><Relationship Id="rId34" Type="http://schemas.openxmlformats.org/officeDocument/2006/relationships/hyperlink" Target="https://www.health.gov.au/resources/publications/support-at-home-program-manual-a-guide-for-registered-providers?language=en" TargetMode="External"/><Relationship Id="rId76" Type="http://schemas.openxmlformats.org/officeDocument/2006/relationships/hyperlink" Target="https://www.health.gov.au/topics/bladder-and-bowel?utm_source=bladderbowel.gov.au&amp;utm_medium=redirect&amp;utm_campaign=digital_transformation&amp;utm_content=bladderbowel" TargetMode="External"/><Relationship Id="rId141" Type="http://schemas.openxmlformats.org/officeDocument/2006/relationships/hyperlink" Target="https://www.myagedcare.gov.au/accessible-all" TargetMode="External"/><Relationship Id="rId379" Type="http://schemas.microsoft.com/office/2019/05/relationships/documenttasks" Target="documenttasks/documenttasks1.xml"/><Relationship Id="rId7" Type="http://schemas.openxmlformats.org/officeDocument/2006/relationships/settings" Target="settings.xml"/><Relationship Id="rId183" Type="http://schemas.openxmlformats.org/officeDocument/2006/relationships/image" Target="media/image13.png"/><Relationship Id="rId239" Type="http://schemas.openxmlformats.org/officeDocument/2006/relationships/hyperlink" Target="https://www.health.gov.au/our-work/residential-aged-care/managing-residential-aged-care-services/managing-residential-respite-care-allowances" TargetMode="External"/><Relationship Id="rId250" Type="http://schemas.openxmlformats.org/officeDocument/2006/relationships/hyperlink" Target="https://www.health.gov.au/resources/publications/support-at-home-program-manual-a-guide-for-registered-providers?language=en" TargetMode="External"/><Relationship Id="rId292" Type="http://schemas.openxmlformats.org/officeDocument/2006/relationships/hyperlink" Target="https://www.legislation.gov.au/C2024A00104/asmade/text" TargetMode="External"/><Relationship Id="rId306" Type="http://schemas.openxmlformats.org/officeDocument/2006/relationships/hyperlink" Target="https://www.legislation.gov.au/C2024A00104/asmade/text" TargetMode="External"/><Relationship Id="rId45" Type="http://schemas.openxmlformats.org/officeDocument/2006/relationships/hyperlink" Target="https://www.health.gov.au/sites/default/files/2025-05/support-at-home-program-manual-a-guide-for-registered-providers_0.pdf" TargetMode="External"/><Relationship Id="rId87" Type="http://schemas.openxmlformats.org/officeDocument/2006/relationships/hyperlink" Target="https://www.health.gov.au/resources/publications/my-aged-care-application-for-care-form?language=en" TargetMode="External"/><Relationship Id="rId110" Type="http://schemas.openxmlformats.org/officeDocument/2006/relationships/hyperlink" Target="https://www.health.gov.au/resources/publications/my-aged-care-assessor-portal-user-guide-3-managing-referrals-for-assessment-and-support-plan-reviews?language=en" TargetMode="External"/><Relationship Id="rId348" Type="http://schemas.openxmlformats.org/officeDocument/2006/relationships/hyperlink" Target="https://www.servicesaustralia.gov.au/aged-care-specialist-officer-my-aged-care-face-to-face-services?context=55715" TargetMode="External"/><Relationship Id="rId152" Type="http://schemas.openxmlformats.org/officeDocument/2006/relationships/hyperlink" Target="https://www.health.gov.au/resources/publications/integrated-assessment-tool-iat-user-guide?language=en" TargetMode="External"/><Relationship Id="rId194" Type="http://schemas.openxmlformats.org/officeDocument/2006/relationships/hyperlink" Target="https://www.dementia.com.au/dsa-staying-at-home" TargetMode="External"/><Relationship Id="rId208" Type="http://schemas.openxmlformats.org/officeDocument/2006/relationships/hyperlink" Target="https://www.carergateway.gov.au/" TargetMode="External"/><Relationship Id="rId261" Type="http://schemas.openxmlformats.org/officeDocument/2006/relationships/hyperlink" Target="https://www.agedcarequality.gov.au/making-complaint" TargetMode="External"/><Relationship Id="rId14" Type="http://schemas.openxmlformats.org/officeDocument/2006/relationships/footer" Target="footer1.xml"/><Relationship Id="rId56" Type="http://schemas.openxmlformats.org/officeDocument/2006/relationships/hyperlink" Target="https://www.health.gov.au/resources/publications/my-aged-care-assessor-portal-organisation-administrator-user-guide" TargetMode="External"/><Relationship Id="rId317" Type="http://schemas.openxmlformats.org/officeDocument/2006/relationships/hyperlink" Target="https://www.pmc.gov.au/resources/australian-government-branding-guidelines" TargetMode="External"/><Relationship Id="rId359" Type="http://schemas.openxmlformats.org/officeDocument/2006/relationships/hyperlink" Target="https://www.researchgate.net/publication/304216825_Technical_Manual_and_Instructions_Revised_Incontinence_and_Patient_Satisfaction_Tools_Version_2" TargetMode="External"/><Relationship Id="rId98" Type="http://schemas.openxmlformats.org/officeDocument/2006/relationships/hyperlink" Target="http://www.myagedcare.gov.au/registering-supporter/appointed-decision-makers" TargetMode="External"/><Relationship Id="rId121" Type="http://schemas.openxmlformats.org/officeDocument/2006/relationships/hyperlink" Target="https://www.legislation.gov.au/C2024A00104/asmade/text" TargetMode="External"/><Relationship Id="rId163" Type="http://schemas.openxmlformats.org/officeDocument/2006/relationships/hyperlink" Target="https://www.health.gov.au/our-work/elder-care-support" TargetMode="External"/><Relationship Id="rId219" Type="http://schemas.openxmlformats.org/officeDocument/2006/relationships/hyperlink" Target="https://www.health.gov.au/our-work/elder-care-support" TargetMode="External"/><Relationship Id="rId370" Type="http://schemas.openxmlformats.org/officeDocument/2006/relationships/header" Target="header11.xml"/><Relationship Id="rId230" Type="http://schemas.openxmlformats.org/officeDocument/2006/relationships/image" Target="media/image16.png"/><Relationship Id="rId25" Type="http://schemas.openxmlformats.org/officeDocument/2006/relationships/hyperlink" Target="http://www.servicesaustralia.gov.au/" TargetMode="External"/><Relationship Id="rId67" Type="http://schemas.openxmlformats.org/officeDocument/2006/relationships/hyperlink" Target="https://alswh.org.au/wp-content/uploads/2020/08/DDSSection2.7DSSI.pdf" TargetMode="External"/><Relationship Id="rId272" Type="http://schemas.openxmlformats.org/officeDocument/2006/relationships/image" Target="media/image19.png"/><Relationship Id="rId328" Type="http://schemas.openxmlformats.org/officeDocument/2006/relationships/hyperlink" Target="https://www.health.gov.au/our-work/chsp/resources" TargetMode="External"/><Relationship Id="rId132" Type="http://schemas.openxmlformats.org/officeDocument/2006/relationships/hyperlink" Target="https://www.myagedcare.gov.au/support-people-culturally-and-linguistically-diverse-backgrounds" TargetMode="External"/><Relationship Id="rId174" Type="http://schemas.openxmlformats.org/officeDocument/2006/relationships/hyperlink" Target="https://www.health.gov.au/node/56679?language=en" TargetMode="External"/><Relationship Id="rId241" Type="http://schemas.openxmlformats.org/officeDocument/2006/relationships/hyperlink" Target="mailto:AssessorSupport@health.gov.au" TargetMode="External"/><Relationship Id="rId36" Type="http://schemas.openxmlformats.org/officeDocument/2006/relationships/hyperlink" Target="https://www.health.gov.au/resources/collections/resources-on-the-multi-purpose-service-program-for-older-people" TargetMode="External"/><Relationship Id="rId283" Type="http://schemas.openxmlformats.org/officeDocument/2006/relationships/hyperlink" Target="https://www.health.gov.au/sites/default/files/2025-06/hardship-assistance-for-aged-care-fact-sheet.pdf" TargetMode="External"/><Relationship Id="rId339" Type="http://schemas.openxmlformats.org/officeDocument/2006/relationships/hyperlink" Target="https://www.health.gov.au/resources/publications/understanding-fees-for-aged-care-homes-1-november-2025-fee-arrangements" TargetMode="External"/><Relationship Id="rId78" Type="http://schemas.openxmlformats.org/officeDocument/2006/relationships/hyperlink" Target="https://journals.lww.com/dcrjournal/abstract/2013/05000/the_revised_faecal_incontinence_scale__a_clinical.16.aspx" TargetMode="External"/><Relationship Id="rId101" Type="http://schemas.openxmlformats.org/officeDocument/2006/relationships/hyperlink" Target="https://www.health.gov.au/our-work/aged-care-act/about/registered-supporters-in-aged-care/transition-arrangements-for-the-new-registered-supporter-role" TargetMode="External"/><Relationship Id="rId143" Type="http://schemas.openxmlformats.org/officeDocument/2006/relationships/hyperlink" Target="https://www.health.gov.au/resources/apps-and-tools/health-workforce-locator" TargetMode="External"/><Relationship Id="rId185" Type="http://schemas.openxmlformats.org/officeDocument/2006/relationships/hyperlink" Target="https://www.health.gov.au/resources/publications/transition-care-program-guidelines-november-2025" TargetMode="External"/><Relationship Id="rId350" Type="http://schemas.openxmlformats.org/officeDocument/2006/relationships/hyperlink" Target="https://www.myagedcare.gov.au/contact-us" TargetMode="External"/><Relationship Id="rId9" Type="http://schemas.openxmlformats.org/officeDocument/2006/relationships/footnotes" Target="footnotes.xml"/><Relationship Id="rId210" Type="http://schemas.openxmlformats.org/officeDocument/2006/relationships/hyperlink" Target="https://youngcarersnetwork.com.au/" TargetMode="External"/><Relationship Id="rId26" Type="http://schemas.openxmlformats.org/officeDocument/2006/relationships/hyperlink" Target="https://www.health.gov.au/resources/publications/aged-care-assessment-quality-framework?language=en" TargetMode="External"/><Relationship Id="rId231" Type="http://schemas.openxmlformats.org/officeDocument/2006/relationships/image" Target="media/image17.png"/><Relationship Id="rId252" Type="http://schemas.openxmlformats.org/officeDocument/2006/relationships/hyperlink" Target="https://www.health.gov.au/resources/publications/my-aged-care-assessor-portal-user-guide-7-completing-a-support-plan-and-support-plan-review" TargetMode="External"/><Relationship Id="rId273" Type="http://schemas.openxmlformats.org/officeDocument/2006/relationships/hyperlink" Target="https://www.health.gov.au/our-work/single-assessment-system/needs/aboriginal-and-torres-strait-islander-aged-care-assessment-organisations" TargetMode="External"/><Relationship Id="rId294" Type="http://schemas.openxmlformats.org/officeDocument/2006/relationships/hyperlink" Target="https://www.health.gov.au/topics/dementia/related-work" TargetMode="External"/><Relationship Id="rId308" Type="http://schemas.openxmlformats.org/officeDocument/2006/relationships/hyperlink" Target="https://www.legislation.gov.au/Series/C2004A00553" TargetMode="External"/><Relationship Id="rId329" Type="http://schemas.openxmlformats.org/officeDocument/2006/relationships/hyperlink" Target="https://www.health.gov.au/our-work/support-at-home/support-at-home-participant-contributions" TargetMode="External"/><Relationship Id="rId47" Type="http://schemas.openxmlformats.org/officeDocument/2006/relationships/hyperlink" Target="https://www.health.gov.au/resources/publications/leaving-the-multi-purpose-service-program-mpsp-consumer-fact-sheet?language=en" TargetMode="External"/><Relationship Id="rId68" Type="http://schemas.openxmlformats.org/officeDocument/2006/relationships/hyperlink" Target="https://gpcog.com.au/" TargetMode="External"/><Relationship Id="rId89" Type="http://schemas.openxmlformats.org/officeDocument/2006/relationships/hyperlink" Target="https://www.health.gov.au/our-work/aged-care-act/about/registered-supporters" TargetMode="External"/><Relationship Id="rId112" Type="http://schemas.openxmlformats.org/officeDocument/2006/relationships/hyperlink" Target="https://www.health.gov.au/resources/publications/my-aged-care-assessor-portal-user-guide-3-managing-referrals-for-assessment-and-support-plan-reviews" TargetMode="External"/><Relationship Id="rId133" Type="http://schemas.openxmlformats.org/officeDocument/2006/relationships/hyperlink" Target="https://www.myagedcare.gov.au/getting-support" TargetMode="External"/><Relationship Id="rId154" Type="http://schemas.openxmlformats.org/officeDocument/2006/relationships/hyperlink" Target="https://www.health.gov.au/resources/publications/aged-care-assessment-quality-framework?language=en" TargetMode="External"/><Relationship Id="rId175" Type="http://schemas.openxmlformats.org/officeDocument/2006/relationships/hyperlink" Target="https://www.health.gov.au/our-work/elder-care-support" TargetMode="External"/><Relationship Id="rId340" Type="http://schemas.openxmlformats.org/officeDocument/2006/relationships/hyperlink" Target="https://www.health.gov.au/our-work/residential-aged-care/charging/means-assessment" TargetMode="External"/><Relationship Id="rId361" Type="http://schemas.openxmlformats.org/officeDocument/2006/relationships/hyperlink" Target="https://gpcog.com.au/" TargetMode="External"/><Relationship Id="rId196" Type="http://schemas.openxmlformats.org/officeDocument/2006/relationships/hyperlink" Target="https://www.health.gov.au/resources/publications/specialist-dementia-care-program-sdcp-information-booklet?language=en" TargetMode="External"/><Relationship Id="rId200" Type="http://schemas.openxmlformats.org/officeDocument/2006/relationships/hyperlink" Target="https://www.dva.gov.au/providers/health-programs-and-services-our-clients/community-nursing-services-and-providers" TargetMode="External"/><Relationship Id="rId16" Type="http://schemas.openxmlformats.org/officeDocument/2006/relationships/header" Target="header2.xml"/><Relationship Id="rId221" Type="http://schemas.openxmlformats.org/officeDocument/2006/relationships/hyperlink" Target="https://www.health.gov.au/our-work/care-finder-program" TargetMode="External"/><Relationship Id="rId242" Type="http://schemas.openxmlformats.org/officeDocument/2006/relationships/hyperlink" Target="mailto:MyAgedCareAssessment@health.gov.au" TargetMode="External"/><Relationship Id="rId263" Type="http://schemas.openxmlformats.org/officeDocument/2006/relationships/hyperlink" Target="https://www.health.gov.au/our-work/aged-care-act/about/registered-supporters" TargetMode="External"/><Relationship Id="rId284" Type="http://schemas.openxmlformats.org/officeDocument/2006/relationships/hyperlink" Target="https://www.myagedcare.gov.au/financial-hardship-assistance" TargetMode="External"/><Relationship Id="rId319" Type="http://schemas.openxmlformats.org/officeDocument/2006/relationships/hyperlink" Target="https://www.w3.org/TR/wcag/" TargetMode="External"/><Relationship Id="rId37" Type="http://schemas.openxmlformats.org/officeDocument/2006/relationships/hyperlink" Target="https://www.health.gov.au/resources/publications/aboriginal-and-torres-strait-islander-aged-care-framework?language=en" TargetMode="External"/><Relationship Id="rId58" Type="http://schemas.openxmlformats.org/officeDocument/2006/relationships/hyperlink" Target="mailto:maclearninghelp@Health.gov.au" TargetMode="External"/><Relationship Id="rId79" Type="http://schemas.openxmlformats.org/officeDocument/2006/relationships/hyperlink" Target="https://www.researchgate.net/publication/304216825_Technical_Manual_and_Instructions_Revised_Incontinence_and_Patient_Satisfaction_Tools_Version_2" TargetMode="External"/><Relationship Id="rId102" Type="http://schemas.openxmlformats.org/officeDocument/2006/relationships/hyperlink" Target="https://www.myagedcare.gov.au/sites/default/files/documents/registration-of-a-supporter-form.pdf" TargetMode="External"/><Relationship Id="rId123" Type="http://schemas.openxmlformats.org/officeDocument/2006/relationships/hyperlink" Target="https://www.healthdirect.gov.au/privacy-policy" TargetMode="External"/><Relationship Id="rId144" Type="http://schemas.openxmlformats.org/officeDocument/2006/relationships/hyperlink" Target="https://www.health.gov.au/resources/publications/my-aged-care-assessor-portal-user-guide-6-completing-an-assessment" TargetMode="External"/><Relationship Id="rId330" Type="http://schemas.openxmlformats.org/officeDocument/2006/relationships/hyperlink" Target="https://www.health.gov.au/resources/publications/support-at-home-program-manual-version-3-a-guide-for-registered-providers?language=en" TargetMode="External"/><Relationship Id="rId90" Type="http://schemas.openxmlformats.org/officeDocument/2006/relationships/hyperlink" Target="https://www.health.gov.au/resources/publications/duties-policy?language=en" TargetMode="External"/><Relationship Id="rId165" Type="http://schemas.openxmlformats.org/officeDocument/2006/relationships/hyperlink" Target="https://www.myagedcare.gov.au/resources" TargetMode="External"/><Relationship Id="rId186" Type="http://schemas.openxmlformats.org/officeDocument/2006/relationships/hyperlink" Target="https://www.health.gov.au/topics/rural-health-workforce/classifications/mmm" TargetMode="External"/><Relationship Id="rId351" Type="http://schemas.openxmlformats.org/officeDocument/2006/relationships/hyperlink" Target="https://www.health.gov.au/resources/publications/my-aged-care-workforce-learning-strategy-2023?language=en" TargetMode="External"/><Relationship Id="rId372" Type="http://schemas.openxmlformats.org/officeDocument/2006/relationships/image" Target="media/image21.png"/><Relationship Id="rId211" Type="http://schemas.openxmlformats.org/officeDocument/2006/relationships/hyperlink" Target="https://www.dementia.org.au" TargetMode="External"/><Relationship Id="rId232" Type="http://schemas.openxmlformats.org/officeDocument/2006/relationships/hyperlink" Target="https://www.health.gov.au/resources/publications/at-hm-scheme-guidelines?language=en" TargetMode="External"/><Relationship Id="rId253" Type="http://schemas.openxmlformats.org/officeDocument/2006/relationships/hyperlink" Target="mailto:agedcarereviews@health.gov.au" TargetMode="External"/><Relationship Id="rId274" Type="http://schemas.openxmlformats.org/officeDocument/2006/relationships/hyperlink" Target="https://www.dementia.org.au/news/communication-and-engagement-people-living-dementia" TargetMode="External"/><Relationship Id="rId295" Type="http://schemas.openxmlformats.org/officeDocument/2006/relationships/hyperlink" Target="https://www.health.gov.au/resources/publications/my-aged-care-assessor-portal-user-guide-2-registering-support-people-and-adding-relationships" TargetMode="External"/><Relationship Id="rId309" Type="http://schemas.openxmlformats.org/officeDocument/2006/relationships/hyperlink" Target="https://www.legislation.gov.au/C2004A03712/latest/text" TargetMode="External"/><Relationship Id="rId27" Type="http://schemas.openxmlformats.org/officeDocument/2006/relationships/hyperlink" Target="https://www.health.gov.au/resources/publications/my-aged-care-integrated-assessment-tool-iat-user-guide?language=en" TargetMode="External"/><Relationship Id="rId48" Type="http://schemas.openxmlformats.org/officeDocument/2006/relationships/hyperlink" Target="https://www.health.gov.au/resources/publications/leaving-the-multi-purpose-service-program-mpsp-consumer-fact-sheet?language=en" TargetMode="External"/><Relationship Id="rId69" Type="http://schemas.openxmlformats.org/officeDocument/2006/relationships/hyperlink" Target="https://www.mcgill.ca/schoolofmedicine-learneraffairs/pgme/wellness-support/self-screening-tools/anxiety-and-depression-phq-4" TargetMode="External"/><Relationship Id="rId113" Type="http://schemas.openxmlformats.org/officeDocument/2006/relationships/hyperlink" Target="https://www.health.gov.au/resources/publications/my-aged-care-assessor-portal-user-guide-4-navigating-and-updating-the-client-record" TargetMode="External"/><Relationship Id="rId134" Type="http://schemas.openxmlformats.org/officeDocument/2006/relationships/hyperlink" Target="https://www.myagedcare.gov.au/help-care-finder" TargetMode="External"/><Relationship Id="rId320" Type="http://schemas.openxmlformats.org/officeDocument/2006/relationships/hyperlink" Target="mailto:health@nationalmailing.com.au" TargetMode="External"/><Relationship Id="rId80" Type="http://schemas.openxmlformats.org/officeDocument/2006/relationships/hyperlink" Target="https://www.health.gov.au/topics/bladder-and-bowel?utm_source=bladderbowel.gov.au&amp;utm_medium=redirect&amp;utm_campaign=digital_transformation&amp;utm_content=bladderbowel" TargetMode="External"/><Relationship Id="rId155" Type="http://schemas.openxmlformats.org/officeDocument/2006/relationships/hyperlink" Target="https://www.health.gov.au/resources/publications/my-aged-care-assessor-portal-user-guide-4-navigating-and-updating-the-client-record" TargetMode="External"/><Relationship Id="rId176" Type="http://schemas.openxmlformats.org/officeDocument/2006/relationships/hyperlink" Target="https://www.myagedcare.gov.au/help-care-finder" TargetMode="External"/><Relationship Id="rId197" Type="http://schemas.openxmlformats.org/officeDocument/2006/relationships/hyperlink" Target="https://www.dva.gov.au/" TargetMode="External"/><Relationship Id="rId341" Type="http://schemas.openxmlformats.org/officeDocument/2006/relationships/hyperlink" Target="https://www.health.gov.au/sites/default/files/2025-06/hardship-assistance-for-aged-care-fact-sheet.pdf" TargetMode="External"/><Relationship Id="rId362" Type="http://schemas.openxmlformats.org/officeDocument/2006/relationships/hyperlink" Target="https://gpcog.com.au/uploads/ckfinder/userfiles/files/Brodaty2002%20The%20GPCOG.pdf" TargetMode="External"/><Relationship Id="rId201" Type="http://schemas.openxmlformats.org/officeDocument/2006/relationships/hyperlink" Target="https://www.health.gov.au/resources/publications/disability-support-for-older-australians-program-program-manual" TargetMode="External"/><Relationship Id="rId222" Type="http://schemas.openxmlformats.org/officeDocument/2006/relationships/header" Target="header6.xml"/><Relationship Id="rId243" Type="http://schemas.openxmlformats.org/officeDocument/2006/relationships/hyperlink" Target="mailto:myagedcare.assessment@health.gov.au" TargetMode="External"/><Relationship Id="rId264" Type="http://schemas.openxmlformats.org/officeDocument/2006/relationships/hyperlink" Target="https://www.health.gov.au/resources/collections/registered-supporter-resources" TargetMode="External"/><Relationship Id="rId285" Type="http://schemas.openxmlformats.org/officeDocument/2006/relationships/hyperlink" Target="https://www.dva.gov.au/" TargetMode="External"/><Relationship Id="rId17" Type="http://schemas.openxmlformats.org/officeDocument/2006/relationships/footer" Target="footer3.xml"/><Relationship Id="rId38" Type="http://schemas.openxmlformats.org/officeDocument/2006/relationships/hyperlink" Target="https://www.health.gov.au/resources/publications/support-at-home-program-assistive-technology-and-home-modifications-at-hm-scheme?language=en" TargetMode="External"/><Relationship Id="rId59" Type="http://schemas.openxmlformats.org/officeDocument/2006/relationships/hyperlink" Target="https://www.health.gov.au/resources/publications/my-aged-care-workforce-learning-strategy-2023?language=en" TargetMode="External"/><Relationship Id="rId103" Type="http://schemas.openxmlformats.org/officeDocument/2006/relationships/hyperlink" Target="https://www.myagedcare.gov.au/translated" TargetMode="External"/><Relationship Id="rId124" Type="http://schemas.openxmlformats.org/officeDocument/2006/relationships/hyperlink" Target="https://www.myagedcare.gov.au/privacy" TargetMode="External"/><Relationship Id="rId310" Type="http://schemas.openxmlformats.org/officeDocument/2006/relationships/hyperlink" Target="https://www.naa.gov.au/sites/default/files/2019-12/agency-ra-2011-00396196.pdf" TargetMode="External"/><Relationship Id="rId70" Type="http://schemas.openxmlformats.org/officeDocument/2006/relationships/hyperlink" Target="https://www.iawr.com.au/kica" TargetMode="External"/><Relationship Id="rId91" Type="http://schemas.openxmlformats.org/officeDocument/2006/relationships/hyperlink" Target="https://www.myagedcare.gov.au/registering-supporter/appointed-decision-makers" TargetMode="External"/><Relationship Id="rId145" Type="http://schemas.openxmlformats.org/officeDocument/2006/relationships/hyperlink" Target="https://www.myagedcare.gov.au/publications/registration-supporter-form" TargetMode="External"/><Relationship Id="rId166" Type="http://schemas.openxmlformats.org/officeDocument/2006/relationships/hyperlink" Target="https://www.myagedcare.gov.au/resources" TargetMode="External"/><Relationship Id="rId187" Type="http://schemas.openxmlformats.org/officeDocument/2006/relationships/hyperlink" Target="https://www.health.gov.au/our-work/places-to-people-embedding-choice-in-residential-aged-care" TargetMode="External"/><Relationship Id="rId331" Type="http://schemas.openxmlformats.org/officeDocument/2006/relationships/hyperlink" Target="https://www.health.gov.au/resources/publications/schedule-of-fees-and-charges-for-residential-and-home-care" TargetMode="External"/><Relationship Id="rId352" Type="http://schemas.openxmlformats.org/officeDocument/2006/relationships/hyperlink" Target="https://www.healthdirect.gov.au/myagedcareupload" TargetMode="External"/><Relationship Id="rId373" Type="http://schemas.openxmlformats.org/officeDocument/2006/relationships/image" Target="cid:image003.png@01D64B01.E5281C70" TargetMode="External"/><Relationship Id="rId1" Type="http://schemas.openxmlformats.org/officeDocument/2006/relationships/customXml" Target="../customXml/item1.xml"/><Relationship Id="rId212" Type="http://schemas.openxmlformats.org/officeDocument/2006/relationships/hyperlink" Target="https://www.health.gov.au/our-work/aged-care-volunteer-visitors-scheme-acvvs/request" TargetMode="External"/><Relationship Id="rId233" Type="http://schemas.openxmlformats.org/officeDocument/2006/relationships/hyperlink" Target="https://www.ag.gov.au/legal-system/administrative-law/administrative-review-council/administrative-review-council-publications" TargetMode="External"/><Relationship Id="rId254" Type="http://schemas.openxmlformats.org/officeDocument/2006/relationships/hyperlink" Target="mailto:AssessmentRevocations@health.gov.au" TargetMode="External"/><Relationship Id="rId28" Type="http://schemas.openxmlformats.org/officeDocument/2006/relationships/hyperlink" Target="https://www.legislation.gov.au/C2024A00104/asmade/text" TargetMode="External"/><Relationship Id="rId49" Type="http://schemas.openxmlformats.org/officeDocument/2006/relationships/hyperlink" Target="https://www.health.gov.au/resources/publications/guide-for-short-term-restorative-care-providers-transitioning-to-the-restorative-care-pathway?language=en" TargetMode="External"/><Relationship Id="rId114" Type="http://schemas.openxmlformats.org/officeDocument/2006/relationships/header" Target="header3.xml"/><Relationship Id="rId275" Type="http://schemas.openxmlformats.org/officeDocument/2006/relationships/hyperlink" Target="https://cdpc.sydney.edu.au/research/clinical-guidelines-for-dementia/" TargetMode="External"/><Relationship Id="rId296" Type="http://schemas.openxmlformats.org/officeDocument/2006/relationships/hyperlink" Target="https://www.dementia.org.au" TargetMode="External"/><Relationship Id="rId300" Type="http://schemas.openxmlformats.org/officeDocument/2006/relationships/hyperlink" Target="https://www.health.gov.au/resources/publications/the-national-palliative-care-strategy-2018" TargetMode="External"/><Relationship Id="rId60" Type="http://schemas.openxmlformats.org/officeDocument/2006/relationships/hyperlink" Target="https://www.health.gov.au/resources/publications/my-aged-care-quality-learning-framework?language=en" TargetMode="External"/><Relationship Id="rId81" Type="http://schemas.openxmlformats.org/officeDocument/2006/relationships/hyperlink" Target="https://www.myagedcare.gov.au/assessment/apply-online" TargetMode="External"/><Relationship Id="rId135" Type="http://schemas.openxmlformats.org/officeDocument/2006/relationships/hyperlink" Target="https://www.health.gov.au/our-work/elder-care-support" TargetMode="External"/><Relationship Id="rId156" Type="http://schemas.openxmlformats.org/officeDocument/2006/relationships/image" Target="media/image10.png"/><Relationship Id="rId177" Type="http://schemas.openxmlformats.org/officeDocument/2006/relationships/hyperlink" Target="https://www.health.gov.au/resources/publications/commonwealth-home-support-program-chsp-2025-27-manual?language=en" TargetMode="External"/><Relationship Id="rId198" Type="http://schemas.openxmlformats.org/officeDocument/2006/relationships/hyperlink" Target="https://www.dva.gov.au/what-we-help-with/care-at-home-and-aged-care-services" TargetMode="External"/><Relationship Id="rId321" Type="http://schemas.openxmlformats.org/officeDocument/2006/relationships/hyperlink" Target="https://www.myagedcare.gov.au/resources" TargetMode="External"/><Relationship Id="rId342" Type="http://schemas.openxmlformats.org/officeDocument/2006/relationships/hyperlink" Target="https://www.myagedcare.gov.au/financial-hardship-assistance" TargetMode="External"/><Relationship Id="rId363" Type="http://schemas.openxmlformats.org/officeDocument/2006/relationships/hyperlink" Target="https://www.health.gov.au/resources/publications/my-aged-care-integrated-assessment-tool-iat-user-guide?language=en" TargetMode="External"/><Relationship Id="rId202" Type="http://schemas.openxmlformats.org/officeDocument/2006/relationships/hyperlink" Target="https://www.health.gov.au/our-work/disability-support-for-older-australians-dsoa-program/about-the-disability-support-for-older-australians-program" TargetMode="External"/><Relationship Id="rId223" Type="http://schemas.openxmlformats.org/officeDocument/2006/relationships/header" Target="header7.xml"/><Relationship Id="rId244" Type="http://schemas.openxmlformats.org/officeDocument/2006/relationships/image" Target="media/image18.jpg"/><Relationship Id="rId18" Type="http://schemas.openxmlformats.org/officeDocument/2006/relationships/hyperlink" Target="https://www.health.gov.au/" TargetMode="External"/><Relationship Id="rId39" Type="http://schemas.openxmlformats.org/officeDocument/2006/relationships/hyperlink" Target="https://www.health.gov.au/our-work/transition-care-programme" TargetMode="External"/><Relationship Id="rId265" Type="http://schemas.openxmlformats.org/officeDocument/2006/relationships/hyperlink" Target="https://www.health.gov.au/our-work/aged-care-diversity-framework-initiative" TargetMode="External"/><Relationship Id="rId286" Type="http://schemas.openxmlformats.org/officeDocument/2006/relationships/hyperlink" Target="https://www.health.gov.au/resources/collections/caring-for-forgotten-australians-former-child-migrants-and-stolen-generations-information-package" TargetMode="External"/><Relationship Id="rId50" Type="http://schemas.openxmlformats.org/officeDocument/2006/relationships/hyperlink" Target="http://www.myagedcare.gov.au/" TargetMode="External"/><Relationship Id="rId104" Type="http://schemas.openxmlformats.org/officeDocument/2006/relationships/hyperlink" Target="https://www.myagedcare.gov.au/gettting-support-navigate-aged-care" TargetMode="External"/><Relationship Id="rId125" Type="http://schemas.openxmlformats.org/officeDocument/2006/relationships/hyperlink" Target="https://www.myagedcare.gov.au/registering-supporter" TargetMode="External"/><Relationship Id="rId146" Type="http://schemas.openxmlformats.org/officeDocument/2006/relationships/hyperlink" Target="https://www.myagedcare.gov.au/registering-supporter-form" TargetMode="External"/><Relationship Id="rId167" Type="http://schemas.openxmlformats.org/officeDocument/2006/relationships/hyperlink" Target="https://www.health.gov.au/resources/publications/support-at-home-program-manual-a-guide-for-registered-providers?language=en" TargetMode="External"/><Relationship Id="rId188" Type="http://schemas.openxmlformats.org/officeDocument/2006/relationships/hyperlink" Target="https://www.health.gov.au/our-work/residential-aged-care/managing-residential-aged-care-services/managing-residential-respite-care-allowances" TargetMode="External"/><Relationship Id="rId311" Type="http://schemas.openxmlformats.org/officeDocument/2006/relationships/hyperlink" Target="https://www.oaic.gov.au/privacy/australian-privacy-principles/" TargetMode="External"/><Relationship Id="rId332" Type="http://schemas.openxmlformats.org/officeDocument/2006/relationships/hyperlink" Target="https://www.myagedcare.gov.au/resources" TargetMode="External"/><Relationship Id="rId353" Type="http://schemas.openxmlformats.org/officeDocument/2006/relationships/hyperlink" Target="https://www.myagedcare.gov.au/contact-form" TargetMode="External"/><Relationship Id="rId374" Type="http://schemas.openxmlformats.org/officeDocument/2006/relationships/hyperlink" Target="https://www.health.gov.au/initiatives-and-programs/wellness-and-reablement-initiative" TargetMode="External"/><Relationship Id="rId71" Type="http://schemas.openxmlformats.org/officeDocument/2006/relationships/hyperlink" Target="https://www.iawr.com.au/Profiles/aww/Assets/ClientData/KICA_instruction_booklet_v1_2.pdf" TargetMode="External"/><Relationship Id="rId92" Type="http://schemas.openxmlformats.org/officeDocument/2006/relationships/image" Target="media/image8.jpg"/><Relationship Id="rId213" Type="http://schemas.openxmlformats.org/officeDocument/2006/relationships/hyperlink" Target="https://www.health.gov.au/our-work/aged-care-volunteer-visitors-scheme-acvvs" TargetMode="External"/><Relationship Id="rId234" Type="http://schemas.openxmlformats.org/officeDocument/2006/relationships/hyperlink" Target="https://www.health.gov.au/resources/publications/my-aged-care-application-for-care-form?language=en" TargetMode="External"/><Relationship Id="rId2" Type="http://schemas.openxmlformats.org/officeDocument/2006/relationships/customXml" Target="../customXml/item2.xml"/><Relationship Id="rId29" Type="http://schemas.openxmlformats.org/officeDocument/2006/relationships/hyperlink" Target="https://www.legislation.gov.au/F2025L01173/asmade/text" TargetMode="External"/><Relationship Id="rId255" Type="http://schemas.openxmlformats.org/officeDocument/2006/relationships/hyperlink" Target="mailto:reviewable.decisions@health.gov.au" TargetMode="External"/><Relationship Id="rId276" Type="http://schemas.openxmlformats.org/officeDocument/2006/relationships/hyperlink" Target="https://dta.com.au/" TargetMode="External"/><Relationship Id="rId297" Type="http://schemas.openxmlformats.org/officeDocument/2006/relationships/hyperlink" Target="https://www.dementia.com.au" TargetMode="External"/><Relationship Id="rId40" Type="http://schemas.openxmlformats.org/officeDocument/2006/relationships/hyperlink" Target="https://www.health.gov.au/resources/collections/support-at-home-pricing-resources" TargetMode="External"/><Relationship Id="rId115" Type="http://schemas.openxmlformats.org/officeDocument/2006/relationships/header" Target="header4.xml"/><Relationship Id="rId136" Type="http://schemas.openxmlformats.org/officeDocument/2006/relationships/hyperlink" Target="https://www.myagedcare.gov.au/support-for-lgbti-people" TargetMode="External"/><Relationship Id="rId157" Type="http://schemas.openxmlformats.org/officeDocument/2006/relationships/image" Target="media/image11.png"/><Relationship Id="rId178" Type="http://schemas.openxmlformats.org/officeDocument/2006/relationships/hyperlink" Target="https://www.health.gov.au/resources/collections/wellness-and-reablement-resources?language=en" TargetMode="External"/><Relationship Id="rId301" Type="http://schemas.openxmlformats.org/officeDocument/2006/relationships/hyperlink" Target="https://www.health.gov.au/topics/palliative-care/palliative-care-education-and-training" TargetMode="External"/><Relationship Id="rId322" Type="http://schemas.openxmlformats.org/officeDocument/2006/relationships/hyperlink" Target="https://www.health.gov.au/resources/publications/exploring-aged-care?language=en" TargetMode="External"/><Relationship Id="rId343" Type="http://schemas.openxmlformats.org/officeDocument/2006/relationships/hyperlink" Target="https://www.myagedcare.gov.au/short-term-care/transition-care" TargetMode="External"/><Relationship Id="rId364" Type="http://schemas.openxmlformats.org/officeDocument/2006/relationships/hyperlink" Target="https://www.health.gov.au/resources/publications/my-aged-care-integrated-assessment-tool-iat-user-guide?language=en" TargetMode="External"/><Relationship Id="rId61" Type="http://schemas.openxmlformats.org/officeDocument/2006/relationships/hyperlink" Target="https://www.health.gov.au/resources/collections/new-training-and-learning-system-for-my-aged-care-workforce" TargetMode="External"/><Relationship Id="rId82" Type="http://schemas.openxmlformats.org/officeDocument/2006/relationships/hyperlink" Target="https://www.myagedcare.gov.au/health-professionals" TargetMode="External"/><Relationship Id="rId199" Type="http://schemas.openxmlformats.org/officeDocument/2006/relationships/hyperlink" Target="https://www.dva.gov.au/health-and-treatment/care-home-or-aged-care/community-nursing" TargetMode="External"/><Relationship Id="rId203" Type="http://schemas.openxmlformats.org/officeDocument/2006/relationships/hyperlink" Target="http://www.carergateway.gov.au" TargetMode="External"/><Relationship Id="rId19" Type="http://schemas.openxmlformats.org/officeDocument/2006/relationships/hyperlink" Target="http://www.myagedcare.gov.au/" TargetMode="External"/><Relationship Id="rId224" Type="http://schemas.openxmlformats.org/officeDocument/2006/relationships/footer" Target="footer7.xml"/><Relationship Id="rId245" Type="http://schemas.openxmlformats.org/officeDocument/2006/relationships/hyperlink" Target="https://www.legislation.gov.au/C2004A00553/latest/text" TargetMode="External"/><Relationship Id="rId266" Type="http://schemas.openxmlformats.org/officeDocument/2006/relationships/hyperlink" Target="https://www.health.gov.au/topics/aboriginal-and-torres-strait-islander-health/aged-care" TargetMode="External"/><Relationship Id="rId287" Type="http://schemas.openxmlformats.org/officeDocument/2006/relationships/hyperlink" Target="https://www.helpinghand.org.au/wp-content/uploads/2022/07/FA-practical-tips-booklet-web-version-v2.pdf" TargetMode="External"/><Relationship Id="rId30" Type="http://schemas.openxmlformats.org/officeDocument/2006/relationships/hyperlink" Target="https://www.myagedcare.gov.au/" TargetMode="External"/><Relationship Id="rId105" Type="http://schemas.openxmlformats.org/officeDocument/2006/relationships/hyperlink" Target="https://www.health.gov.au/resources/apps-and-tools/my-aged-care-service-and-support-portal" TargetMode="External"/><Relationship Id="rId126" Type="http://schemas.openxmlformats.org/officeDocument/2006/relationships/hyperlink" Target="https://www.health.gov.au/resources/publications/aboriginal-and-torres-strait-islander-aged-care-framework?language=en" TargetMode="External"/><Relationship Id="rId147" Type="http://schemas.openxmlformats.org/officeDocument/2006/relationships/hyperlink" Target="http://www.myagedcare.gov.au/registering-supporter" TargetMode="External"/><Relationship Id="rId168" Type="http://schemas.openxmlformats.org/officeDocument/2006/relationships/hyperlink" Target="https://www.health.gov.au/resources/publications/assistive-technology-and-home-modifications-list-at-hm-list" TargetMode="External"/><Relationship Id="rId312" Type="http://schemas.openxmlformats.org/officeDocument/2006/relationships/hyperlink" Target="https://www.legislation.gov.au/Series/C2004A02562" TargetMode="External"/><Relationship Id="rId333" Type="http://schemas.openxmlformats.org/officeDocument/2006/relationships/hyperlink" Target="https://www.myagedcare.gov.au/media/282740" TargetMode="External"/><Relationship Id="rId354" Type="http://schemas.openxmlformats.org/officeDocument/2006/relationships/hyperlink" Target="http://www.myagedcare.gov.au/contact-form" TargetMode="External"/><Relationship Id="rId51" Type="http://schemas.openxmlformats.org/officeDocument/2006/relationships/image" Target="media/image6.png"/><Relationship Id="rId72" Type="http://schemas.openxmlformats.org/officeDocument/2006/relationships/hyperlink" Target="https://www.nari.net.au/indigenous-cognitive-assessment" TargetMode="External"/><Relationship Id="rId93" Type="http://schemas.openxmlformats.org/officeDocument/2006/relationships/hyperlink" Target="https://www.health.gov.au/resources/publications/conflicts-of-interest-policy?language=en" TargetMode="External"/><Relationship Id="rId189" Type="http://schemas.openxmlformats.org/officeDocument/2006/relationships/hyperlink" Target="http://www.dementia.org.au" TargetMode="External"/><Relationship Id="rId375" Type="http://schemas.openxmlformats.org/officeDocument/2006/relationships/hyperlink" Target="https://www.health.gov.au/resources/collections/wellness-and-reablement-resources?language=en" TargetMode="External"/><Relationship Id="rId3" Type="http://schemas.openxmlformats.org/officeDocument/2006/relationships/customXml" Target="../customXml/item3.xml"/><Relationship Id="rId214" Type="http://schemas.openxmlformats.org/officeDocument/2006/relationships/hyperlink" Target="https://www.myagedcare.gov.au/accessible-all" TargetMode="External"/><Relationship Id="rId235" Type="http://schemas.openxmlformats.org/officeDocument/2006/relationships/hyperlink" Target="https://www.myagedcare.gov.au/access-your-online-account" TargetMode="External"/><Relationship Id="rId256" Type="http://schemas.openxmlformats.org/officeDocument/2006/relationships/hyperlink" Target="mailto:reviewable.decisions@health.gov.au" TargetMode="External"/><Relationship Id="rId277" Type="http://schemas.openxmlformats.org/officeDocument/2006/relationships/hyperlink" Target="https://www.dementia.org.au/" TargetMode="External"/><Relationship Id="rId298" Type="http://schemas.openxmlformats.org/officeDocument/2006/relationships/image" Target="media/image20.png"/><Relationship Id="rId116" Type="http://schemas.openxmlformats.org/officeDocument/2006/relationships/footer" Target="footer4.xml"/><Relationship Id="rId137" Type="http://schemas.openxmlformats.org/officeDocument/2006/relationships/hyperlink" Target="https://www.health.gov.au/resources/publications/integrated-assessment-tool-iat-user-guide?language=en" TargetMode="External"/><Relationship Id="rId158" Type="http://schemas.openxmlformats.org/officeDocument/2006/relationships/hyperlink" Target="https://www.health.gov.au/resources/publications/commonwealth-home-support-program-chsp-2025-27-manual?language=en" TargetMode="External"/><Relationship Id="rId302" Type="http://schemas.openxmlformats.org/officeDocument/2006/relationships/hyperlink" Target="https://www.health.gov.au/resources/publications/my-aged-care-workforce-learning-strategy-2025?language=en" TargetMode="External"/><Relationship Id="rId323" Type="http://schemas.openxmlformats.org/officeDocument/2006/relationships/hyperlink" Target="https://www.health.gov.au/using-our-websites/subscriptions/subscribe-to-aged-care-newsletters-and-alerts?language=und" TargetMode="External"/><Relationship Id="rId344" Type="http://schemas.openxmlformats.org/officeDocument/2006/relationships/hyperlink" Target="https://www.health.gov.au/resources/publications/transition-care-program-guidelines-november-2025" TargetMode="External"/><Relationship Id="rId20" Type="http://schemas.openxmlformats.org/officeDocument/2006/relationships/hyperlink" Target="http://www.agedcarequality.gov.au/" TargetMode="External"/><Relationship Id="rId41" Type="http://schemas.openxmlformats.org/officeDocument/2006/relationships/image" Target="media/image3.png"/><Relationship Id="rId62" Type="http://schemas.openxmlformats.org/officeDocument/2006/relationships/hyperlink" Target="https://www.health.gov.au/resources/publications/aged-care-assessment-quality-framework?language=en" TargetMode="External"/><Relationship Id="rId83" Type="http://schemas.openxmlformats.org/officeDocument/2006/relationships/hyperlink" Target="https://www.healthlink.com.au/my-aged-care/" TargetMode="External"/><Relationship Id="rId179" Type="http://schemas.openxmlformats.org/officeDocument/2006/relationships/hyperlink" Target="https://www.health.gov.au/resources/publications/living-well-at-home-chsp-good-practice-guide" TargetMode="External"/><Relationship Id="rId365" Type="http://schemas.openxmlformats.org/officeDocument/2006/relationships/hyperlink" Target="https://web.stanford.edu/~yesavage/GDS.html" TargetMode="External"/><Relationship Id="rId190" Type="http://schemas.openxmlformats.org/officeDocument/2006/relationships/hyperlink" Target="https://www.dementia.com.au" TargetMode="External"/><Relationship Id="rId204" Type="http://schemas.openxmlformats.org/officeDocument/2006/relationships/hyperlink" Target="https://www.carergateway.gov.au/" TargetMode="External"/><Relationship Id="rId225" Type="http://schemas.openxmlformats.org/officeDocument/2006/relationships/footer" Target="footer8.xml"/><Relationship Id="rId246" Type="http://schemas.openxmlformats.org/officeDocument/2006/relationships/hyperlink" Target="https://www.ag.gov.au/legal-system/electronic-signatures-documents-and-transactions/electronic-signatures" TargetMode="External"/><Relationship Id="rId267" Type="http://schemas.openxmlformats.org/officeDocument/2006/relationships/hyperlink" Target="https://www.health.gov.au/resources/publications/my-aged-care-integrated-assessment-tool-iat-user-guide?language=en" TargetMode="External"/><Relationship Id="rId288" Type="http://schemas.openxmlformats.org/officeDocument/2006/relationships/hyperlink" Target="https://www.dss.gov.au/our-responsibilities/families-and-children/programs-services/forced-adoption-practices" TargetMode="External"/><Relationship Id="rId106" Type="http://schemas.openxmlformats.org/officeDocument/2006/relationships/hyperlink" Target="mailto:MyAgedCareAssessment@health.gov.au" TargetMode="External"/><Relationship Id="rId127" Type="http://schemas.openxmlformats.org/officeDocument/2006/relationships/image" Target="media/image9.png"/><Relationship Id="rId313" Type="http://schemas.openxmlformats.org/officeDocument/2006/relationships/hyperlink" Target="https://www.oaic.gov.au/freedom-of-information/your-freedom-of-information-rights/what-is-freedom-of-information" TargetMode="External"/><Relationship Id="rId10" Type="http://schemas.openxmlformats.org/officeDocument/2006/relationships/endnotes" Target="endnotes.xml"/><Relationship Id="rId31" Type="http://schemas.openxmlformats.org/officeDocument/2006/relationships/hyperlink" Target="https://www.health.gov.au/our-work/single-assessment-system/resources" TargetMode="External"/><Relationship Id="rId52" Type="http://schemas.openxmlformats.org/officeDocument/2006/relationships/hyperlink" Target="https://www.health.gov.au/our-work/single-assessment-system" TargetMode="External"/><Relationship Id="rId73" Type="http://schemas.openxmlformats.org/officeDocument/2006/relationships/hyperlink" Target="https://www.iawr.com.au/kica" TargetMode="External"/><Relationship Id="rId94" Type="http://schemas.openxmlformats.org/officeDocument/2006/relationships/hyperlink" Target="https://www.health.gov.au/resources/publications/conflicts-of-interest-policy?language=en" TargetMode="External"/><Relationship Id="rId148" Type="http://schemas.openxmlformats.org/officeDocument/2006/relationships/hyperlink" Target="https://www.health.gov.au/resources/collections/registered-supporter-resources" TargetMode="External"/><Relationship Id="rId169" Type="http://schemas.openxmlformats.org/officeDocument/2006/relationships/hyperlink" Target="https://www.health.gov.au/resources/publications/assistive-technology-and-home-modifications-list-at-hm-list" TargetMode="External"/><Relationship Id="rId334" Type="http://schemas.openxmlformats.org/officeDocument/2006/relationships/hyperlink" Target="https://www.servicesaustralia.gov.au/providing-home-care?context=20" TargetMode="External"/><Relationship Id="rId355" Type="http://schemas.openxmlformats.org/officeDocument/2006/relationships/hyperlink" Target="https://www.agedcarequality.gov.au/resources/clinical-governance" TargetMode="External"/><Relationship Id="rId376" Type="http://schemas.openxmlformats.org/officeDocument/2006/relationships/hyperlink" Target="https://www.health.gov.au/resources/publications/living-well-at-home-chsp-good-practice-guide" TargetMode="External"/><Relationship Id="rId4" Type="http://schemas.openxmlformats.org/officeDocument/2006/relationships/customXml" Target="../customXml/item4.xml"/><Relationship Id="rId180" Type="http://schemas.openxmlformats.org/officeDocument/2006/relationships/hyperlink" Target="https://www.health.gov.au/our-work/national-aboriginal-and-torres-strait-islander-flexible-aged-care-program" TargetMode="External"/><Relationship Id="rId215" Type="http://schemas.openxmlformats.org/officeDocument/2006/relationships/hyperlink" Target="https://deafconnect.org.au/" TargetMode="External"/><Relationship Id="rId236" Type="http://schemas.openxmlformats.org/officeDocument/2006/relationships/hyperlink" Target="https://www.health.gov.au/resources/publications/assistive-technology-and-home-modifications-list-at-hm-list?language=en" TargetMode="External"/><Relationship Id="rId257" Type="http://schemas.openxmlformats.org/officeDocument/2006/relationships/hyperlink" Target="mailto:myagedcaresupport@health.gov.au" TargetMode="External"/><Relationship Id="rId278" Type="http://schemas.openxmlformats.org/officeDocument/2006/relationships/hyperlink" Target="https://www.dementia.com.au/" TargetMode="External"/><Relationship Id="rId303" Type="http://schemas.openxmlformats.org/officeDocument/2006/relationships/hyperlink" Target="https://www.health.gov.au/resources/collections/my-aged-care-assessor-portal-resources" TargetMode="External"/><Relationship Id="rId42" Type="http://schemas.openxmlformats.org/officeDocument/2006/relationships/image" Target="media/image4.png"/><Relationship Id="rId84" Type="http://schemas.openxmlformats.org/officeDocument/2006/relationships/hyperlink" Target="https://www.servicesaustralia.gov.au/aged-care-specialist-officer-my-aged-care-face-to-face-services?context=55715" TargetMode="External"/><Relationship Id="rId138" Type="http://schemas.openxmlformats.org/officeDocument/2006/relationships/hyperlink" Target="https://www.health.gov.au/resources/publications/fact-sheet-for-assessors-and-triage-delegates-on-support-plan-reviews-that-initiate-a-new-assessment?language=en" TargetMode="External"/><Relationship Id="rId345" Type="http://schemas.openxmlformats.org/officeDocument/2006/relationships/hyperlink" Target="https://www.myagedcare.gov.au/income-and-means-assessments" TargetMode="External"/><Relationship Id="rId191" Type="http://schemas.openxmlformats.org/officeDocument/2006/relationships/hyperlink" Target="mailto:HACDSP@health.gov.au" TargetMode="External"/><Relationship Id="rId205" Type="http://schemas.openxmlformats.org/officeDocument/2006/relationships/hyperlink" Target="http://www.carergateway.gov.au/" TargetMode="External"/><Relationship Id="rId247" Type="http://schemas.openxmlformats.org/officeDocument/2006/relationships/hyperlink" Target="https://www.health.gov.au/resources/publications/support-at-home-program-manual-a-guide-for-registered-providers?language=en" TargetMode="External"/><Relationship Id="rId107" Type="http://schemas.openxmlformats.org/officeDocument/2006/relationships/hyperlink" Target="https://www.health.gov.au/resources/publications/my-aged-care-application-for-care-form?language=en" TargetMode="External"/><Relationship Id="rId289" Type="http://schemas.openxmlformats.org/officeDocument/2006/relationships/hyperlink" Target="https://www.health.gov.au/resources/publications/actions-to-support-lgbti-elders-a-guide-for-consumers" TargetMode="External"/><Relationship Id="rId11" Type="http://schemas.openxmlformats.org/officeDocument/2006/relationships/image" Target="media/image1.png"/><Relationship Id="rId53" Type="http://schemas.openxmlformats.org/officeDocument/2006/relationships/hyperlink" Target="https://www.health.gov.au/our-work/single-assessment-system/needs/first-nations-aged-care-assessments" TargetMode="External"/><Relationship Id="rId149" Type="http://schemas.openxmlformats.org/officeDocument/2006/relationships/hyperlink" Target="https://www.health.gov.au/resources/publications/integrated-assessment-tool-iat-user-guide?language=en" TargetMode="External"/><Relationship Id="rId314" Type="http://schemas.openxmlformats.org/officeDocument/2006/relationships/hyperlink" Target="https://www.oaic.gov.au/privacy/the-privacy-act/" TargetMode="External"/><Relationship Id="rId356" Type="http://schemas.openxmlformats.org/officeDocument/2006/relationships/hyperlink" Target="https://www.health.gov.au/resources/publications/aged-care-assessment-quality-framework?language=en" TargetMode="External"/><Relationship Id="rId95" Type="http://schemas.openxmlformats.org/officeDocument/2006/relationships/hyperlink" Target="https://www.health.gov.au/resources/collections/registered-supporter-resources" TargetMode="External"/><Relationship Id="rId160" Type="http://schemas.openxmlformats.org/officeDocument/2006/relationships/hyperlink" Target="https://www.health.gov.au/resources/publications/living-well-at-home-chsp-good-practice-guide" TargetMode="External"/><Relationship Id="rId216" Type="http://schemas.openxmlformats.org/officeDocument/2006/relationships/hyperlink" Target="https://deafconnect.org.au/services/interpreting" TargetMode="External"/><Relationship Id="rId258" Type="http://schemas.openxmlformats.org/officeDocument/2006/relationships/hyperlink" Target="https://www.myagedcare.gov.au/contact-us/complaints" TargetMode="External"/><Relationship Id="rId22" Type="http://schemas.openxmlformats.org/officeDocument/2006/relationships/hyperlink" Target="https://www.health.gov.au/" TargetMode="External"/><Relationship Id="rId64" Type="http://schemas.openxmlformats.org/officeDocument/2006/relationships/hyperlink" Target="https://www.health.gov.au/resources/publications/integrated-assessment-tool-iat-offline-form?language=en" TargetMode="External"/><Relationship Id="rId118" Type="http://schemas.openxmlformats.org/officeDocument/2006/relationships/header" Target="header5.xml"/><Relationship Id="rId325" Type="http://schemas.openxmlformats.org/officeDocument/2006/relationships/hyperlink" Target="https://www.health.gov.au/topics/positive-ageing-is-ageing-well" TargetMode="External"/><Relationship Id="rId367" Type="http://schemas.openxmlformats.org/officeDocument/2006/relationships/header" Target="header10.xml"/><Relationship Id="rId171" Type="http://schemas.openxmlformats.org/officeDocument/2006/relationships/hyperlink" Target="https://www.healthdirect.gov.au/assistance-dogs" TargetMode="External"/><Relationship Id="rId227" Type="http://schemas.openxmlformats.org/officeDocument/2006/relationships/footer" Target="footer9.xml"/><Relationship Id="rId269" Type="http://schemas.openxmlformats.org/officeDocument/2006/relationships/hyperlink" Target="https://www.health.gov.au/initiatives-and-programs/partners-in-culturally-appropriate-care-picac" TargetMode="External"/><Relationship Id="rId33" Type="http://schemas.openxmlformats.org/officeDocument/2006/relationships/hyperlink" Target="https://www.health.gov.au/sites/default/files/2025-04/my-aged-care-workforce-learning-strategy-2025.pdf" TargetMode="External"/><Relationship Id="rId129" Type="http://schemas.openxmlformats.org/officeDocument/2006/relationships/hyperlink" Target="https://www.myagedcare.gov.au/elder-care-support-program" TargetMode="External"/><Relationship Id="rId280" Type="http://schemas.openxmlformats.org/officeDocument/2006/relationships/hyperlink" Target="https://www.health.gov.au/topics/dementia/what-were-doing-about-dementia" TargetMode="External"/><Relationship Id="rId336" Type="http://schemas.openxmlformats.org/officeDocument/2006/relationships/hyperlink" Target="https://www.health.gov.au/resources/publications/understanding-fees-for-aged-care-homes" TargetMode="External"/><Relationship Id="rId75" Type="http://schemas.openxmlformats.org/officeDocument/2006/relationships/hyperlink" Target="https://www.researchgate.net/publication/304216825_Technical_Manual_and_Instructions_Revised_Incontinence_and_Patient_Satisfaction_Tools_Version_2" TargetMode="External"/><Relationship Id="rId140" Type="http://schemas.openxmlformats.org/officeDocument/2006/relationships/hyperlink" Target="https://www.health.gov.au/resources/publications/fact-sheet-for-ras-and-acat-assessors-on-care-finders?language=en" TargetMode="External"/><Relationship Id="rId182" Type="http://schemas.openxmlformats.org/officeDocument/2006/relationships/hyperlink" Target="https://www.health.gov.au/resources/publications/natsifac-program-manual?language=en" TargetMode="External"/><Relationship Id="rId378"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myagedcare.gov.au/access-your-online-account" TargetMode="External"/><Relationship Id="rId291" Type="http://schemas.openxmlformats.org/officeDocument/2006/relationships/hyperlink" Target="https://www.health.gov.au/health-topics/aged-care/providing-aged-care-services/working-in-aged-care/working-with-diverse-groups-in-aged-care" TargetMode="External"/><Relationship Id="rId305" Type="http://schemas.openxmlformats.org/officeDocument/2006/relationships/hyperlink" Target="https://www.asio.gov.au/asio-t4-protective-security.html" TargetMode="External"/><Relationship Id="rId347" Type="http://schemas.openxmlformats.org/officeDocument/2006/relationships/hyperlink" Target="https://www.health.gov.au/resources/publications/aged-care-diversity-framework" TargetMode="External"/><Relationship Id="rId44" Type="http://schemas.openxmlformats.org/officeDocument/2006/relationships/image" Target="media/image5.png"/><Relationship Id="rId86" Type="http://schemas.openxmlformats.org/officeDocument/2006/relationships/hyperlink" Target="https://www.myagedcare.gov.au/access-your-online-account" TargetMode="External"/><Relationship Id="rId151" Type="http://schemas.openxmlformats.org/officeDocument/2006/relationships/hyperlink" Target="https://www.health.gov.au/resources/publications/my-aged-care-integrated-assessment-tool-iat-user-guide?language=en" TargetMode="External"/><Relationship Id="rId193" Type="http://schemas.openxmlformats.org/officeDocument/2006/relationships/hyperlink" Target="https://www.dementia.com.au" TargetMode="External"/><Relationship Id="rId207" Type="http://schemas.openxmlformats.org/officeDocument/2006/relationships/hyperlink" Target="http://www.youngcarersnetwork.com.au/young-carer-bursary" TargetMode="External"/><Relationship Id="rId249" Type="http://schemas.openxmlformats.org/officeDocument/2006/relationships/hyperlink" Target="https://www.myagedcare.gov.au/find-a-provider/" TargetMode="External"/><Relationship Id="rId13" Type="http://schemas.openxmlformats.org/officeDocument/2006/relationships/header" Target="header1.xml"/><Relationship Id="rId109" Type="http://schemas.openxmlformats.org/officeDocument/2006/relationships/hyperlink" Target="https://experience.arcgis.com/experience/ccd77404d8b04524b871edbfb76fa69c" TargetMode="External"/><Relationship Id="rId260" Type="http://schemas.openxmlformats.org/officeDocument/2006/relationships/hyperlink" Target="https://www.agedcarequality.gov.au/contact-us/complaints-concerns" TargetMode="External"/><Relationship Id="rId316" Type="http://schemas.openxmlformats.org/officeDocument/2006/relationships/hyperlink" Target="http://www.w3.org/TR/WCAG" TargetMode="External"/><Relationship Id="rId55" Type="http://schemas.openxmlformats.org/officeDocument/2006/relationships/image" Target="media/image7.png"/><Relationship Id="rId97" Type="http://schemas.openxmlformats.org/officeDocument/2006/relationships/hyperlink" Target="http://www.myagedcare.gov.au/registering-supporter" TargetMode="External"/><Relationship Id="rId120" Type="http://schemas.openxmlformats.org/officeDocument/2006/relationships/hyperlink" Target="https://www.health.gov.au/using-our-websites/website-privacy-policy/privacy-notice-for-single-assessment" TargetMode="External"/><Relationship Id="rId358" Type="http://schemas.openxmlformats.org/officeDocument/2006/relationships/hyperlink" Target="https://www.healthdirect.gov.au/urinary-incontinence" TargetMode="External"/><Relationship Id="rId162" Type="http://schemas.openxmlformats.org/officeDocument/2006/relationships/hyperlink" Target="https://www.health.gov.au/our-work/care-finder-program" TargetMode="External"/><Relationship Id="rId218" Type="http://schemas.openxmlformats.org/officeDocument/2006/relationships/hyperlink" Target="mailto:%20agedcare@naccho.org.au" TargetMode="External"/><Relationship Id="rId271" Type="http://schemas.openxmlformats.org/officeDocument/2006/relationships/hyperlink" Target="https://amrc.org.au/" TargetMode="External"/><Relationship Id="rId24" Type="http://schemas.openxmlformats.org/officeDocument/2006/relationships/hyperlink" Target="http://www.agedcarequality.gov.au/" TargetMode="External"/><Relationship Id="rId66" Type="http://schemas.openxmlformats.org/officeDocument/2006/relationships/hyperlink" Target="https://www.aboriginalageingwellresearch.com/gsgl-resources" TargetMode="External"/><Relationship Id="rId131" Type="http://schemas.openxmlformats.org/officeDocument/2006/relationships/hyperlink" Target="https://opan.org.au/" TargetMode="External"/><Relationship Id="rId327" Type="http://schemas.openxmlformats.org/officeDocument/2006/relationships/hyperlink" Target="https://www.health.gov.au/resources/publications/commonwealth-home-support-program-chsp-2025-27-manual-from-1-november-2025" TargetMode="External"/><Relationship Id="rId369" Type="http://schemas.openxmlformats.org/officeDocument/2006/relationships/footer" Target="footer11.xml"/><Relationship Id="rId173" Type="http://schemas.openxmlformats.org/officeDocument/2006/relationships/hyperlink" Target="https://www.health.gov.au/resources/publications/chsp-service-catalogue-2025-27" TargetMode="External"/><Relationship Id="rId229" Type="http://schemas.openxmlformats.org/officeDocument/2006/relationships/image" Target="media/image15.png"/><Relationship Id="rId380" Type="http://schemas.microsoft.com/office/2020/10/relationships/intelligence" Target="intelligence2.xml"/><Relationship Id="rId240" Type="http://schemas.openxmlformats.org/officeDocument/2006/relationships/hyperlink" Target="https://www.health.gov.au/resources/publications/transition-care-program-guidelines-november-2025" TargetMode="External"/><Relationship Id="rId35" Type="http://schemas.openxmlformats.org/officeDocument/2006/relationships/hyperlink" Target="https://www.health.gov.au/our-work/chsp/reforms" TargetMode="External"/><Relationship Id="rId77" Type="http://schemas.openxmlformats.org/officeDocument/2006/relationships/hyperlink" Target="https://www.ics.org/Abstracts/Publish/134/000370.pdf" TargetMode="External"/><Relationship Id="rId100" Type="http://schemas.openxmlformats.org/officeDocument/2006/relationships/hyperlink" Target="https://www.health.gov.au/resources/publications/my-aged-care-assessor-portal-user-guide-2-registering-support-people-and-adding-relationships" TargetMode="External"/><Relationship Id="rId282" Type="http://schemas.openxmlformats.org/officeDocument/2006/relationships/hyperlink" Target="https://mooc.utas.edu.au/" TargetMode="External"/><Relationship Id="rId338" Type="http://schemas.openxmlformats.org/officeDocument/2006/relationships/hyperlink" Target="https://www.health.gov.au/our-work/residential-aged-care/charging/means-tested-fees" TargetMode="External"/><Relationship Id="rId8" Type="http://schemas.openxmlformats.org/officeDocument/2006/relationships/webSettings" Target="webSettings.xml"/><Relationship Id="rId142" Type="http://schemas.openxmlformats.org/officeDocument/2006/relationships/hyperlink" Target="https://www.myagedcare.gov.au/help-care-finder" TargetMode="External"/><Relationship Id="rId184" Type="http://schemas.openxmlformats.org/officeDocument/2006/relationships/hyperlink" Target="https://www.health.gov.au/our-work/the-multi-purpose-service-program/about-the-multi-purpose-service-program" TargetMode="External"/><Relationship Id="rId251" Type="http://schemas.openxmlformats.org/officeDocument/2006/relationships/hyperlink" Target="https://www.health.gov.au/resources/publications/my-aged-care-assessor-portal-user-guide-3-managing-referrals-for-assessment-and-support-plan-reviews" TargetMode="External"/><Relationship Id="rId46" Type="http://schemas.openxmlformats.org/officeDocument/2006/relationships/hyperlink" Target="https://www.health.gov.au/resources/publications/assistive-technology-and-home-modifications-list-at-hm-list?language=en" TargetMode="External"/><Relationship Id="rId293" Type="http://schemas.openxmlformats.org/officeDocument/2006/relationships/hyperlink" Target="https://www.carergateway.gov.au/" TargetMode="External"/><Relationship Id="rId307" Type="http://schemas.openxmlformats.org/officeDocument/2006/relationships/hyperlink" Target="https://www.legislation.gov.au/Series/C2004A02796" TargetMode="External"/><Relationship Id="rId349" Type="http://schemas.openxmlformats.org/officeDocument/2006/relationships/hyperlink" Target="https://www.myagedcare.gov.au/help-care-finder" TargetMode="External"/><Relationship Id="rId88" Type="http://schemas.openxmlformats.org/officeDocument/2006/relationships/hyperlink" Target="https://www.health.gov.au/resources/publications/my-aged-care-application-for-care-form?language=en" TargetMode="External"/><Relationship Id="rId111" Type="http://schemas.openxmlformats.org/officeDocument/2006/relationships/hyperlink" Target="https://www.health.gov.au/resources/publications/my-aged-care-assessor-portal-user-guide-1-registering-and-referring-clients" TargetMode="External"/><Relationship Id="rId153" Type="http://schemas.openxmlformats.org/officeDocument/2006/relationships/hyperlink" Target="https://www.health.gov.au/resources/publications/aged-care-assessment-quality-framework?language=en" TargetMode="External"/><Relationship Id="rId195" Type="http://schemas.openxmlformats.org/officeDocument/2006/relationships/hyperlink" Target="https://www.dementia.com.au/sdcp" TargetMode="External"/><Relationship Id="rId209" Type="http://schemas.openxmlformats.org/officeDocument/2006/relationships/hyperlink" Target="https://www.health.gov.au/resources/publications/my-aged-care-assessor-portal-user-guide-2-registering-support-people-and-adding-relationships" TargetMode="External"/><Relationship Id="rId360" Type="http://schemas.openxmlformats.org/officeDocument/2006/relationships/hyperlink" Target="https://www.anzctr.org.au/AnzctrAttachments/372846-RFISBrochure.pdf" TargetMode="External"/><Relationship Id="rId220" Type="http://schemas.openxmlformats.org/officeDocument/2006/relationships/hyperlink" Target="https://www.myagedcare.gov.au/help-care-finder" TargetMode="External"/><Relationship Id="rId15" Type="http://schemas.openxmlformats.org/officeDocument/2006/relationships/footer" Target="footer2.xml"/><Relationship Id="rId57" Type="http://schemas.openxmlformats.org/officeDocument/2006/relationships/hyperlink" Target="mailto:myagedcare.capability@health.gov.au" TargetMode="External"/><Relationship Id="rId262" Type="http://schemas.openxmlformats.org/officeDocument/2006/relationships/hyperlink" Target="https://www.agedcarequality.gov.au/making-complaint/lodge-complaint" TargetMode="External"/><Relationship Id="rId318" Type="http://schemas.openxmlformats.org/officeDocument/2006/relationships/hyperlink" Target="https://www.dta.gov.au/getting-help-dta" TargetMode="External"/><Relationship Id="rId99" Type="http://schemas.openxmlformats.org/officeDocument/2006/relationships/hyperlink" Target="https://www.health.gov.au/resources/collections/registered-supporter-resources" TargetMode="External"/><Relationship Id="rId122" Type="http://schemas.openxmlformats.org/officeDocument/2006/relationships/hyperlink" Target="https://www.legislation.gov.au/Series/C2004A03712" TargetMode="External"/><Relationship Id="rId164" Type="http://schemas.openxmlformats.org/officeDocument/2006/relationships/hyperlink" Target="https://www.myagedcare.gov.au/access-your-online-account" TargetMode="External"/><Relationship Id="rId371" Type="http://schemas.openxmlformats.org/officeDocument/2006/relationships/footer" Target="footer12.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F2025L01173/latest/text" TargetMode="External"/></Relationships>
</file>

<file path=word/documenttasks/documenttasks1.xml><?xml version="1.0" encoding="utf-8"?>
<t:Tasks xmlns:t="http://schemas.microsoft.com/office/tasks/2019/documenttasks" xmlns:oel="http://schemas.microsoft.com/office/2019/extlst">
  <t:Task id="{5B30AF87-12DD-4FC1-93DF-DD8ECD022628}">
    <t:Anchor>
      <t:Comment id="183444796"/>
    </t:Anchor>
    <t:History>
      <t:Event id="{3FFBA283-3ECA-4125-8BCB-0DD36AFDB437}" time="2025-08-25T07:07:50.974Z">
        <t:Attribution userId="S::Cristina.DEJONGH@Health.gov.au::a9d59746-864d-47ac-83d3-aa0b8abec74c" userProvider="AD" userName="DE JONGH, Cristina"/>
        <t:Anchor>
          <t:Comment id="764697307"/>
        </t:Anchor>
        <t:Create/>
      </t:Event>
      <t:Event id="{B3C98E07-5140-4495-B57D-4BC07CBDC8CA}" time="2025-08-25T07:07:50.974Z">
        <t:Attribution userId="S::Cristina.DEJONGH@Health.gov.au::a9d59746-864d-47ac-83d3-aa0b8abec74c" userProvider="AD" userName="DE JONGH, Cristina"/>
        <t:Anchor>
          <t:Comment id="764697307"/>
        </t:Anchor>
        <t:Assign userId="S::Becc.BLUNDELL@Health.gov.au::a580d90a-4528-43c2-a3cc-8cbf155cfccd" userProvider="AD" userName="BLUNDELL, Becc"/>
      </t:Event>
      <t:Event id="{733B36A6-B19A-492A-866A-08C6C4240424}" time="2025-08-25T07:07:50.974Z">
        <t:Attribution userId="S::Cristina.DEJONGH@Health.gov.au::a9d59746-864d-47ac-83d3-aa0b8abec74c" userProvider="AD" userName="DE JONGH, Cristina"/>
        <t:Anchor>
          <t:Comment id="764697307"/>
        </t:Anchor>
        <t:SetTitle title="@BLUNDELL, Becc "/>
      </t:Event>
    </t:History>
  </t:Task>
  <t:Task id="{18BC419F-8F0A-42A0-BB30-17011408223A}">
    <t:Anchor>
      <t:Comment id="804987122"/>
    </t:Anchor>
    <t:History>
      <t:Event id="{C8817807-4832-4073-AAC2-9DDA147C04D4}" time="2025-08-25T07:20:15.445Z">
        <t:Attribution userId="S::Cristina.DEJONGH@Health.gov.au::a9d59746-864d-47ac-83d3-aa0b8abec74c" userProvider="AD" userName="DE JONGH, Cristina"/>
        <t:Anchor>
          <t:Comment id="1227879590"/>
        </t:Anchor>
        <t:Create/>
      </t:Event>
      <t:Event id="{B6667CC1-B7AF-46AE-8B10-92EA93E2550A}" time="2025-08-25T07:20:15.445Z">
        <t:Attribution userId="S::Cristina.DEJONGH@Health.gov.au::a9d59746-864d-47ac-83d3-aa0b8abec74c" userProvider="AD" userName="DE JONGH, Cristina"/>
        <t:Anchor>
          <t:Comment id="1227879590"/>
        </t:Anchor>
        <t:Assign userId="S::Jodie.SCHRODER@Health.gov.au::f558279d-d18b-4506-9dfb-3244f505f2ff" userProvider="AD" userName="SCHRODER, Jodie"/>
      </t:Event>
      <t:Event id="{0986EE13-D1C2-4A41-A27A-5FC6BA7F4A59}" time="2025-08-25T07:20:15.445Z">
        <t:Attribution userId="S::Cristina.DEJONGH@Health.gov.au::a9d59746-864d-47ac-83d3-aa0b8abec74c" userProvider="AD" userName="DE JONGH, Cristina"/>
        <t:Anchor>
          <t:Comment id="1227879590"/>
        </t:Anchor>
        <t:SetTitle title="@SCHRODER, Jodie "/>
      </t:Event>
      <t:Event id="{4B217B71-C2E5-4020-86E0-9F23DA792510}" time="2025-09-11T03:02:09.475Z">
        <t:Attribution userId="S::Cristina.DEJONGH@Health.gov.au::a9d59746-864d-47ac-83d3-aa0b8abec74c" userProvider="AD" userName="DE JONGH, Cristina"/>
        <t:Progress percentComplete="100"/>
      </t:Event>
    </t:History>
  </t:Task>
  <t:Task id="{B2D83308-DA09-4068-9930-29C3D8969BE1}">
    <t:Anchor>
      <t:Comment id="704733424"/>
    </t:Anchor>
    <t:History>
      <t:Event id="{D4280C1C-C176-459D-A819-BBBAC0766E9F}" time="2025-10-15T23:27:08.425Z">
        <t:Attribution userId="S::Cristina.DEJONGH@Health.gov.au::a9d59746-864d-47ac-83d3-aa0b8abec74c" userProvider="AD" userName="DE JONGH, Cristina"/>
        <t:Anchor>
          <t:Comment id="704733424"/>
        </t:Anchor>
        <t:Create/>
      </t:Event>
      <t:Event id="{C0AFCB3E-FDBD-4569-84F9-A33BA36B34EE}" time="2025-10-15T23:27:08.425Z">
        <t:Attribution userId="S::Cristina.DEJONGH@Health.gov.au::a9d59746-864d-47ac-83d3-aa0b8abec74c" userProvider="AD" userName="DE JONGH, Cristina"/>
        <t:Anchor>
          <t:Comment id="704733424"/>
        </t:Anchor>
        <t:Assign userId="S::Caitlin.PARKER@Health.gov.au::5d84c021-eb64-44ee-aca6-f40e68574873" userProvider="AD" userName="PARKER, Caitlin"/>
      </t:Event>
      <t:Event id="{6B3A33E1-92F4-4203-BEBA-6A49FDF595F6}" time="2025-10-15T23:27:08.425Z">
        <t:Attribution userId="S::Cristina.DEJONGH@Health.gov.au::a9d59746-864d-47ac-83d3-aa0b8abec74c" userProvider="AD" userName="DE JONGH, Cristina"/>
        <t:Anchor>
          <t:Comment id="704733424"/>
        </t:Anchor>
        <t:SetTitle title="@PARKER, Caitlin is this numbering supposed to start at 7?"/>
      </t:Event>
      <t:Event id="{2FFB239A-4180-49BF-B2FB-6FF2840AB99F}" time="2025-10-15T23:30:04.353Z">
        <t:Attribution userId="S::Caitlin.PARKER@Health.gov.au::5d84c021-eb64-44ee-aca6-f40e68574873" userProvider="AD" userName="PARKER, Caitlin"/>
        <t:Progress percentComplete="100"/>
      </t:Event>
    </t:History>
  </t:Task>
  <t:Task id="{0EF79B9E-FAD4-4E11-8B1D-F31A4F34AB4B}">
    <t:Anchor>
      <t:Comment id="188985214"/>
    </t:Anchor>
    <t:History>
      <t:Event id="{7BBAA28C-8E8D-4173-B1A7-E8D28DCB591E}" time="2025-12-22T01:02:20.832Z">
        <t:Attribution userId="S::bridget.bell@health.gov.au::70d5ab1c-b6ac-415b-83fe-9c266ebd954c" userProvider="AD" userName="BELL, Bridget"/>
        <t:Anchor>
          <t:Comment id="188985214"/>
        </t:Anchor>
        <t:Create/>
      </t:Event>
      <t:Event id="{0CA913DF-2B81-4C38-9D20-ADE9B3868ADA}" time="2025-12-22T01:02:20.832Z">
        <t:Attribution userId="S::bridget.bell@health.gov.au::70d5ab1c-b6ac-415b-83fe-9c266ebd954c" userProvider="AD" userName="BELL, Bridget"/>
        <t:Anchor>
          <t:Comment id="188985214"/>
        </t:Anchor>
        <t:Assign userId="S::Naomi.Brydon@health.gov.au::0dafb3d8-0597-41a9-8624-3224cdbc25c9" userProvider="AD" userName="BRYDON, Naomi"/>
      </t:Event>
      <t:Event id="{7E601D22-14FD-43F6-8CE3-729D0D80FB40}" time="2025-12-22T01:02:20.832Z">
        <t:Attribution userId="S::bridget.bell@health.gov.au::70d5ab1c-b6ac-415b-83fe-9c266ebd954c" userProvider="AD" userName="BELL, Bridget"/>
        <t:Anchor>
          <t:Comment id="188985214"/>
        </t:Anchor>
        <t:SetTitle title="@BRYDON, Naomi - for review"/>
      </t:Event>
    </t:History>
  </t:Task>
  <t:Task id="{BA1681F5-1005-4477-AB70-D787A2B95A6D}">
    <t:Anchor>
      <t:Comment id="981889871"/>
    </t:Anchor>
    <t:History>
      <t:Event id="{40064FBA-2422-452C-B2C3-C1C174F6DF3F}" time="2026-02-20T05:33:31.353Z">
        <t:Attribution userId="S::Jodi.SLATER@Health.gov.au::15c65fb7-2d02-4f38-9822-fa91f1e2e116" userProvider="AD" userName="SLATER, Jodi"/>
        <t:Anchor>
          <t:Comment id="981889871"/>
        </t:Anchor>
        <t:Create/>
      </t:Event>
      <t:Event id="{DB5E5994-479B-4BE7-8036-626F62D426F8}" time="2026-02-20T05:33:31.353Z">
        <t:Attribution userId="S::Jodi.SLATER@Health.gov.au::15c65fb7-2d02-4f38-9822-fa91f1e2e116" userProvider="AD" userName="SLATER, Jodi"/>
        <t:Anchor>
          <t:Comment id="981889871"/>
        </t:Anchor>
        <t:Assign userId="S::SokHeng.CHHEANG-GOH@Health.gov.au::49f7fe5c-7390-41be-84db-c556a5e92681" userProvider="AD" userName="CHHEANG-GOH, Sokheng"/>
      </t:Event>
      <t:Event id="{D6C89D8E-FA15-4846-85F8-540CB3A40EDA}" time="2026-02-20T05:33:31.353Z">
        <t:Attribution userId="S::Jodi.SLATER@Health.gov.au::15c65fb7-2d02-4f38-9822-fa91f1e2e116" userProvider="AD" userName="SLATER, Jodi"/>
        <t:Anchor>
          <t:Comment id="981889871"/>
        </t:Anchor>
        <t:SetTitle title="@CHHEANG-GOH, Sokheng @PERERA, Minu could you please have a look at this section to expand it to cover other VATs too"/>
      </t:Event>
      <t:Event id="{F4B80144-4704-43F2-A915-14C4325A9CB8}" time="2026-03-19T03:19:48.245Z">
        <t:Attribution userId="S::Jodi.SLATER@Health.gov.au::15c65fb7-2d02-4f38-9822-fa91f1e2e116" userProvider="AD" userName="SLATER, Jod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a8e7f045-b04d-4721-90df-3d20b12e3837">In draft</Status>
    <EL2Cleared xmlns="a8e7f045-b04d-4721-90df-3d20b12e3837" xsi:nil="true"/>
    <lastmodifed xmlns="a8e7f045-b04d-4721-90df-3d20b12e3837">2025-08-04T08:58:11+00:00</lastmodifed>
    <Commentsonredactionsorinclusion xmlns="a8e7f045-b04d-4721-90df-3d20b12e3837" xsi:nil="true"/>
    <ASCleared xmlns="a8e7f045-b04d-4721-90df-3d20b12e3837" xsi:nil="true"/>
    <TaxCatchAll xmlns="afdf4c61-ea28-4495-b02b-62b6a7da3a8f" xsi:nil="true"/>
    <lcf76f155ced4ddcb4097134ff3c332f xmlns="a8e7f045-b04d-4721-90df-3d20b12e3837">
      <Terms xmlns="http://schemas.microsoft.com/office/infopath/2007/PartnerControls"/>
    </lcf76f155ced4ddcb4097134ff3c332f>
    <SeekingClearance xmlns="a8e7f045-b04d-4721-90df-3d20b12e3837">EL2</SeekingClearance>
    <HighPriority xmlns="a8e7f045-b04d-4721-90df-3d20b12e383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1124591A98BB48A5400B3B9D7C155D" ma:contentTypeVersion="25" ma:contentTypeDescription="Create a new document." ma:contentTypeScope="" ma:versionID="6797543b66cd8705586822fbba49287c">
  <xsd:schema xmlns:xsd="http://www.w3.org/2001/XMLSchema" xmlns:xs="http://www.w3.org/2001/XMLSchema" xmlns:p="http://schemas.microsoft.com/office/2006/metadata/properties" xmlns:ns2="a8e7f045-b04d-4721-90df-3d20b12e3837" xmlns:ns3="afdf4c61-ea28-4495-b02b-62b6a7da3a8f" targetNamespace="http://schemas.microsoft.com/office/2006/metadata/properties" ma:root="true" ma:fieldsID="6a3c7d9d45c0cbc2f241258d6414369f" ns2:_="" ns3:_="">
    <xsd:import namespace="a8e7f045-b04d-4721-90df-3d20b12e3837"/>
    <xsd:import namespace="afdf4c61-ea28-4495-b02b-62b6a7da3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astmodif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SeekingClearance" minOccurs="0"/>
                <xsd:element ref="ns2:Commentsonredactionsorinclusion" minOccurs="0"/>
                <xsd:element ref="ns2:MediaServiceObjectDetectorVersions" minOccurs="0"/>
                <xsd:element ref="ns2:MediaLengthInSeconds" minOccurs="0"/>
                <xsd:element ref="ns2:MediaServiceSearchProperties" minOccurs="0"/>
                <xsd:element ref="ns2:Status"/>
                <xsd:element ref="ns2:EL2Cleared" minOccurs="0"/>
                <xsd:element ref="ns2:ASCleared" minOccurs="0"/>
                <xsd:element ref="ns2:HighPriorit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f045-b04d-4721-90df-3d20b12e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modifed" ma:index="14" nillable="true" ma:displayName="last modified" ma:default="[today]" ma:format="DateOnly" ma:internalName="lastmodifed">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SeekingClearance" ma:index="22" nillable="true" ma:displayName="Seeking Clearance" ma:default="EL2" ma:format="Dropdown" ma:internalName="SeekingClearance">
      <xsd:simpleType>
        <xsd:restriction base="dms:Choice">
          <xsd:enumeration value="EL1"/>
          <xsd:enumeration value="EL2"/>
          <xsd:enumeration value="AS"/>
          <xsd:enumeration value="FAS"/>
        </xsd:restriction>
      </xsd:simpleType>
    </xsd:element>
    <xsd:element name="Commentsonredactionsorinclusion" ma:index="23" nillable="true" ma:displayName="Comments on redactions or inclusion" ma:format="Dropdown" ma:internalName="Commentsonredactionsorinclusion">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tatus" ma:index="27" ma:displayName="Status" ma:default="In draft" ma:format="RadioButtons" ma:internalName="Status">
      <xsd:simpleType>
        <xsd:restriction base="dms:Choice">
          <xsd:enumeration value="Approved"/>
          <xsd:enumeration value="In draft"/>
          <xsd:enumeration value="Choice 3"/>
        </xsd:restriction>
      </xsd:simpleType>
    </xsd:element>
    <xsd:element name="EL2Cleared" ma:index="28" nillable="true" ma:displayName="EL2 Cleared" ma:format="RadioButtons" ma:internalName="EL2Cleared">
      <xsd:simpleType>
        <xsd:union memberTypes="dms:Text">
          <xsd:simpleType>
            <xsd:restriction base="dms:Choice">
              <xsd:enumeration value="Yes"/>
              <xsd:enumeration value="No"/>
              <xsd:enumeration value="Choice 3"/>
            </xsd:restriction>
          </xsd:simpleType>
        </xsd:union>
      </xsd:simpleType>
    </xsd:element>
    <xsd:element name="ASCleared" ma:index="29" nillable="true" ma:displayName="AS Cleared" ma:format="RadioButtons" ma:internalName="ASCleared">
      <xsd:simpleType>
        <xsd:restriction base="dms:Choice">
          <xsd:enumeration value="Yes"/>
          <xsd:enumeration value="No"/>
          <xsd:enumeration value="Choice 3"/>
        </xsd:restriction>
      </xsd:simpleType>
    </xsd:element>
    <xsd:element name="HighPriority" ma:index="30" nillable="true" ma:displayName="High Priority" ma:description="Priority Review" ma:format="Dropdown" ma:internalName="HighPriority">
      <xsd:simpleType>
        <xsd:union memberTypes="dms:Text">
          <xsd:simpleType>
            <xsd:restriction base="dms:Choice">
              <xsd:enumeration value="High Priority"/>
              <xsd:enumeration value="Medium Priority"/>
              <xsd:enumeration value="Low Priority"/>
            </xsd:restriction>
          </xsd:simpleType>
        </xsd:un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f4c61-ea28-4495-b02b-62b6a7da3a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5878d9-693f-4bbf-954f-f38481e72560}" ma:internalName="TaxCatchAll" ma:showField="CatchAllData" ma:web="afdf4c61-ea28-4495-b02b-62b6a7da3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B28E24-5467-457F-A9A4-09CD6E38140D}">
  <ds:schemaRefs>
    <ds:schemaRef ds:uri="http://schemas.microsoft.com/office/2006/metadata/properties"/>
    <ds:schemaRef ds:uri="http://schemas.microsoft.com/office/infopath/2007/PartnerControls"/>
    <ds:schemaRef ds:uri="a8e7f045-b04d-4721-90df-3d20b12e3837"/>
    <ds:schemaRef ds:uri="afdf4c61-ea28-4495-b02b-62b6a7da3a8f"/>
  </ds:schemaRefs>
</ds:datastoreItem>
</file>

<file path=customXml/itemProps2.xml><?xml version="1.0" encoding="utf-8"?>
<ds:datastoreItem xmlns:ds="http://schemas.openxmlformats.org/officeDocument/2006/customXml" ds:itemID="{90E8EA28-743C-455F-9839-1E82C6F61D95}">
  <ds:schemaRefs>
    <ds:schemaRef ds:uri="http://schemas.openxmlformats.org/officeDocument/2006/bibliography"/>
  </ds:schemaRefs>
</ds:datastoreItem>
</file>

<file path=customXml/itemProps3.xml><?xml version="1.0" encoding="utf-8"?>
<ds:datastoreItem xmlns:ds="http://schemas.openxmlformats.org/officeDocument/2006/customXml" ds:itemID="{94D3FF62-76A7-4A2E-856E-F223A1C2FE46}">
  <ds:schemaRefs>
    <ds:schemaRef ds:uri="http://schemas.microsoft.com/sharepoint/v3/contenttype/forms"/>
  </ds:schemaRefs>
</ds:datastoreItem>
</file>

<file path=customXml/itemProps4.xml><?xml version="1.0" encoding="utf-8"?>
<ds:datastoreItem xmlns:ds="http://schemas.openxmlformats.org/officeDocument/2006/customXml" ds:itemID="{DB2C3AA0-7B8B-4D24-864A-E68EA2B60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f045-b04d-4721-90df-3d20b12e3837"/>
    <ds:schemaRef ds:uri="afdf4c61-ea28-4495-b02b-62b6a7da3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153530</Words>
  <Characters>875124</Characters>
  <Application>Microsoft Office Word</Application>
  <DocSecurity>4</DocSecurity>
  <Lines>7292</Lines>
  <Paragraphs>2053</Paragraphs>
  <ScaleCrop>false</ScaleCrop>
  <Company/>
  <LinksUpToDate>false</LinksUpToDate>
  <CharactersWithSpaces>1026601</CharactersWithSpaces>
  <SharedDoc>false</SharedDoc>
  <HLinks>
    <vt:vector size="2754" baseType="variant">
      <vt:variant>
        <vt:i4>4980818</vt:i4>
      </vt:variant>
      <vt:variant>
        <vt:i4>1980</vt:i4>
      </vt:variant>
      <vt:variant>
        <vt:i4>0</vt:i4>
      </vt:variant>
      <vt:variant>
        <vt:i4>5</vt:i4>
      </vt:variant>
      <vt:variant>
        <vt:lpwstr>https://www.health.gov.au/resources/publications/living-well-at-home-chsp-good-practice-guide</vt:lpwstr>
      </vt:variant>
      <vt:variant>
        <vt:lpwstr/>
      </vt:variant>
      <vt:variant>
        <vt:i4>131091</vt:i4>
      </vt:variant>
      <vt:variant>
        <vt:i4>1977</vt:i4>
      </vt:variant>
      <vt:variant>
        <vt:i4>0</vt:i4>
      </vt:variant>
      <vt:variant>
        <vt:i4>5</vt:i4>
      </vt:variant>
      <vt:variant>
        <vt:lpwstr>https://www.health.gov.au/resources/collections/wellness-and-reablement-resources?language=en</vt:lpwstr>
      </vt:variant>
      <vt:variant>
        <vt:lpwstr/>
      </vt:variant>
      <vt:variant>
        <vt:i4>1572940</vt:i4>
      </vt:variant>
      <vt:variant>
        <vt:i4>1974</vt:i4>
      </vt:variant>
      <vt:variant>
        <vt:i4>0</vt:i4>
      </vt:variant>
      <vt:variant>
        <vt:i4>5</vt:i4>
      </vt:variant>
      <vt:variant>
        <vt:lpwstr>https://www.health.gov.au/initiatives-and-programs/wellness-and-reablement-initiative</vt:lpwstr>
      </vt:variant>
      <vt:variant>
        <vt:lpwstr/>
      </vt:variant>
      <vt:variant>
        <vt:i4>3407932</vt:i4>
      </vt:variant>
      <vt:variant>
        <vt:i4>1971</vt:i4>
      </vt:variant>
      <vt:variant>
        <vt:i4>0</vt:i4>
      </vt:variant>
      <vt:variant>
        <vt:i4>5</vt:i4>
      </vt:variant>
      <vt:variant>
        <vt:lpwstr>https://web.stanford.edu/~yesavage/GDS.html</vt:lpwstr>
      </vt:variant>
      <vt:variant>
        <vt:lpwstr/>
      </vt:variant>
      <vt:variant>
        <vt:i4>6619199</vt:i4>
      </vt:variant>
      <vt:variant>
        <vt:i4>1968</vt:i4>
      </vt:variant>
      <vt:variant>
        <vt:i4>0</vt:i4>
      </vt:variant>
      <vt:variant>
        <vt:i4>5</vt:i4>
      </vt:variant>
      <vt:variant>
        <vt:lpwstr>https://www.health.gov.au/resources/publications/my-aged-care-integrated-assessment-tool-iat-user-guide?language=en</vt:lpwstr>
      </vt:variant>
      <vt:variant>
        <vt:lpwstr/>
      </vt:variant>
      <vt:variant>
        <vt:i4>6619199</vt:i4>
      </vt:variant>
      <vt:variant>
        <vt:i4>1965</vt:i4>
      </vt:variant>
      <vt:variant>
        <vt:i4>0</vt:i4>
      </vt:variant>
      <vt:variant>
        <vt:i4>5</vt:i4>
      </vt:variant>
      <vt:variant>
        <vt:lpwstr>https://www.health.gov.au/resources/publications/my-aged-care-integrated-assessment-tool-iat-user-guide?language=en</vt:lpwstr>
      </vt:variant>
      <vt:variant>
        <vt:lpwstr/>
      </vt:variant>
      <vt:variant>
        <vt:i4>6422566</vt:i4>
      </vt:variant>
      <vt:variant>
        <vt:i4>1962</vt:i4>
      </vt:variant>
      <vt:variant>
        <vt:i4>0</vt:i4>
      </vt:variant>
      <vt:variant>
        <vt:i4>5</vt:i4>
      </vt:variant>
      <vt:variant>
        <vt:lpwstr>https://gpcog.com.au/uploads/ckfinder/userfiles/files/Brodaty2002 The GPCOG.pdf</vt:lpwstr>
      </vt:variant>
      <vt:variant>
        <vt:lpwstr/>
      </vt:variant>
      <vt:variant>
        <vt:i4>1310796</vt:i4>
      </vt:variant>
      <vt:variant>
        <vt:i4>1959</vt:i4>
      </vt:variant>
      <vt:variant>
        <vt:i4>0</vt:i4>
      </vt:variant>
      <vt:variant>
        <vt:i4>5</vt:i4>
      </vt:variant>
      <vt:variant>
        <vt:lpwstr>https://gpcog.com.au/</vt:lpwstr>
      </vt:variant>
      <vt:variant>
        <vt:lpwstr/>
      </vt:variant>
      <vt:variant>
        <vt:i4>3276861</vt:i4>
      </vt:variant>
      <vt:variant>
        <vt:i4>1956</vt:i4>
      </vt:variant>
      <vt:variant>
        <vt:i4>0</vt:i4>
      </vt:variant>
      <vt:variant>
        <vt:i4>5</vt:i4>
      </vt:variant>
      <vt:variant>
        <vt:lpwstr>https://www.anzctr.org.au/AnzctrAttachments/372846-RFISBrochure.pdf</vt:lpwstr>
      </vt:variant>
      <vt:variant>
        <vt:lpwstr/>
      </vt:variant>
      <vt:variant>
        <vt:i4>720970</vt:i4>
      </vt:variant>
      <vt:variant>
        <vt:i4>1953</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6094941</vt:i4>
      </vt:variant>
      <vt:variant>
        <vt:i4>1950</vt:i4>
      </vt:variant>
      <vt:variant>
        <vt:i4>0</vt:i4>
      </vt:variant>
      <vt:variant>
        <vt:i4>5</vt:i4>
      </vt:variant>
      <vt:variant>
        <vt:lpwstr>https://www.healthdirect.gov.au/urinary-incontinence</vt:lpwstr>
      </vt:variant>
      <vt:variant>
        <vt:lpwstr/>
      </vt:variant>
      <vt:variant>
        <vt:i4>6619199</vt:i4>
      </vt:variant>
      <vt:variant>
        <vt:i4>1947</vt:i4>
      </vt:variant>
      <vt:variant>
        <vt:i4>0</vt:i4>
      </vt:variant>
      <vt:variant>
        <vt:i4>5</vt:i4>
      </vt:variant>
      <vt:variant>
        <vt:lpwstr>https://www.health.gov.au/resources/publications/my-aged-care-integrated-assessment-tool-iat-user-guide?language=en</vt:lpwstr>
      </vt:variant>
      <vt:variant>
        <vt:lpwstr/>
      </vt:variant>
      <vt:variant>
        <vt:i4>3539057</vt:i4>
      </vt:variant>
      <vt:variant>
        <vt:i4>1944</vt:i4>
      </vt:variant>
      <vt:variant>
        <vt:i4>0</vt:i4>
      </vt:variant>
      <vt:variant>
        <vt:i4>5</vt:i4>
      </vt:variant>
      <vt:variant>
        <vt:lpwstr>https://www.health.gov.au/resources/publications/aged-care-assessment-quality-framework?language=en</vt:lpwstr>
      </vt:variant>
      <vt:variant>
        <vt:lpwstr/>
      </vt:variant>
      <vt:variant>
        <vt:i4>1835092</vt:i4>
      </vt:variant>
      <vt:variant>
        <vt:i4>1941</vt:i4>
      </vt:variant>
      <vt:variant>
        <vt:i4>0</vt:i4>
      </vt:variant>
      <vt:variant>
        <vt:i4>5</vt:i4>
      </vt:variant>
      <vt:variant>
        <vt:lpwstr>https://www.agedcarequality.gov.au/resources/clinical-governance</vt:lpwstr>
      </vt:variant>
      <vt:variant>
        <vt:lpwstr/>
      </vt:variant>
      <vt:variant>
        <vt:i4>4522059</vt:i4>
      </vt:variant>
      <vt:variant>
        <vt:i4>1938</vt:i4>
      </vt:variant>
      <vt:variant>
        <vt:i4>0</vt:i4>
      </vt:variant>
      <vt:variant>
        <vt:i4>5</vt:i4>
      </vt:variant>
      <vt:variant>
        <vt:lpwstr>http://www.myagedcare.gov.au/contact-form</vt:lpwstr>
      </vt:variant>
      <vt:variant>
        <vt:lpwstr/>
      </vt:variant>
      <vt:variant>
        <vt:i4>4063278</vt:i4>
      </vt:variant>
      <vt:variant>
        <vt:i4>1935</vt:i4>
      </vt:variant>
      <vt:variant>
        <vt:i4>0</vt:i4>
      </vt:variant>
      <vt:variant>
        <vt:i4>5</vt:i4>
      </vt:variant>
      <vt:variant>
        <vt:lpwstr>https://www.myagedcare.gov.au/contact-form</vt:lpwstr>
      </vt:variant>
      <vt:variant>
        <vt:lpwstr/>
      </vt:variant>
      <vt:variant>
        <vt:i4>720978</vt:i4>
      </vt:variant>
      <vt:variant>
        <vt:i4>1932</vt:i4>
      </vt:variant>
      <vt:variant>
        <vt:i4>0</vt:i4>
      </vt:variant>
      <vt:variant>
        <vt:i4>5</vt:i4>
      </vt:variant>
      <vt:variant>
        <vt:lpwstr>https://www.healthdirect.gov.au/myagedcareupload</vt:lpwstr>
      </vt:variant>
      <vt:variant>
        <vt:lpwstr/>
      </vt:variant>
      <vt:variant>
        <vt:i4>6946848</vt:i4>
      </vt:variant>
      <vt:variant>
        <vt:i4>1929</vt:i4>
      </vt:variant>
      <vt:variant>
        <vt:i4>0</vt:i4>
      </vt:variant>
      <vt:variant>
        <vt:i4>5</vt:i4>
      </vt:variant>
      <vt:variant>
        <vt:lpwstr>https://www.health.gov.au/resources/publications/my-aged-care-workforce-learning-strategy-2023?language=en</vt:lpwstr>
      </vt:variant>
      <vt:variant>
        <vt:lpwstr/>
      </vt:variant>
      <vt:variant>
        <vt:i4>5177423</vt:i4>
      </vt:variant>
      <vt:variant>
        <vt:i4>1926</vt:i4>
      </vt:variant>
      <vt:variant>
        <vt:i4>0</vt:i4>
      </vt:variant>
      <vt:variant>
        <vt:i4>5</vt:i4>
      </vt:variant>
      <vt:variant>
        <vt:lpwstr>https://www.myagedcare.gov.au/contact-us</vt:lpwstr>
      </vt:variant>
      <vt:variant>
        <vt:lpwstr/>
      </vt:variant>
      <vt:variant>
        <vt:i4>4128866</vt:i4>
      </vt:variant>
      <vt:variant>
        <vt:i4>1923</vt:i4>
      </vt:variant>
      <vt:variant>
        <vt:i4>0</vt:i4>
      </vt:variant>
      <vt:variant>
        <vt:i4>5</vt:i4>
      </vt:variant>
      <vt:variant>
        <vt:lpwstr>https://www.myagedcare.gov.au/help-care-finder</vt:lpwstr>
      </vt:variant>
      <vt:variant>
        <vt:lpwstr/>
      </vt:variant>
      <vt:variant>
        <vt:i4>7078009</vt:i4>
      </vt:variant>
      <vt:variant>
        <vt:i4>1920</vt:i4>
      </vt:variant>
      <vt:variant>
        <vt:i4>0</vt:i4>
      </vt:variant>
      <vt:variant>
        <vt:i4>5</vt:i4>
      </vt:variant>
      <vt:variant>
        <vt:lpwstr>https://www.servicesaustralia.gov.au/aged-care-specialist-officer-my-aged-care-face-to-face-services?context=55715</vt:lpwstr>
      </vt:variant>
      <vt:variant>
        <vt:lpwstr/>
      </vt:variant>
      <vt:variant>
        <vt:i4>7143538</vt:i4>
      </vt:variant>
      <vt:variant>
        <vt:i4>1917</vt:i4>
      </vt:variant>
      <vt:variant>
        <vt:i4>0</vt:i4>
      </vt:variant>
      <vt:variant>
        <vt:i4>5</vt:i4>
      </vt:variant>
      <vt:variant>
        <vt:lpwstr>https://www.health.gov.au/resources/publications/aged-care-diversity-framework</vt:lpwstr>
      </vt:variant>
      <vt:variant>
        <vt:lpwstr/>
      </vt:variant>
      <vt:variant>
        <vt:i4>3539057</vt:i4>
      </vt:variant>
      <vt:variant>
        <vt:i4>1914</vt:i4>
      </vt:variant>
      <vt:variant>
        <vt:i4>0</vt:i4>
      </vt:variant>
      <vt:variant>
        <vt:i4>5</vt:i4>
      </vt:variant>
      <vt:variant>
        <vt:lpwstr>https://www.health.gov.au/resources/publications/aged-care-assessment-quality-framework?language=en</vt:lpwstr>
      </vt:variant>
      <vt:variant>
        <vt:lpwstr/>
      </vt:variant>
      <vt:variant>
        <vt:i4>6684793</vt:i4>
      </vt:variant>
      <vt:variant>
        <vt:i4>1911</vt:i4>
      </vt:variant>
      <vt:variant>
        <vt:i4>0</vt:i4>
      </vt:variant>
      <vt:variant>
        <vt:i4>5</vt:i4>
      </vt:variant>
      <vt:variant>
        <vt:lpwstr>https://www.myagedcare.gov.au/income-and-means-assessments</vt:lpwstr>
      </vt:variant>
      <vt:variant>
        <vt:lpwstr/>
      </vt:variant>
      <vt:variant>
        <vt:i4>5373963</vt:i4>
      </vt:variant>
      <vt:variant>
        <vt:i4>1908</vt:i4>
      </vt:variant>
      <vt:variant>
        <vt:i4>0</vt:i4>
      </vt:variant>
      <vt:variant>
        <vt:i4>5</vt:i4>
      </vt:variant>
      <vt:variant>
        <vt:lpwstr>https://www.health.gov.au/resources/publications/transition-care-program-guidelines-november-2025</vt:lpwstr>
      </vt:variant>
      <vt:variant>
        <vt:lpwstr/>
      </vt:variant>
      <vt:variant>
        <vt:i4>720980</vt:i4>
      </vt:variant>
      <vt:variant>
        <vt:i4>1905</vt:i4>
      </vt:variant>
      <vt:variant>
        <vt:i4>0</vt:i4>
      </vt:variant>
      <vt:variant>
        <vt:i4>5</vt:i4>
      </vt:variant>
      <vt:variant>
        <vt:lpwstr>https://www.myagedcare.gov.au/short-term-care/transition-care</vt:lpwstr>
      </vt:variant>
      <vt:variant>
        <vt:lpwstr/>
      </vt:variant>
      <vt:variant>
        <vt:i4>2490488</vt:i4>
      </vt:variant>
      <vt:variant>
        <vt:i4>1902</vt:i4>
      </vt:variant>
      <vt:variant>
        <vt:i4>0</vt:i4>
      </vt:variant>
      <vt:variant>
        <vt:i4>5</vt:i4>
      </vt:variant>
      <vt:variant>
        <vt:lpwstr>https://www.myagedcare.gov.au/financial-hardship-assistance</vt:lpwstr>
      </vt:variant>
      <vt:variant>
        <vt:lpwstr>how-apply-assistance</vt:lpwstr>
      </vt:variant>
      <vt:variant>
        <vt:i4>6553644</vt:i4>
      </vt:variant>
      <vt:variant>
        <vt:i4>1899</vt:i4>
      </vt:variant>
      <vt:variant>
        <vt:i4>0</vt:i4>
      </vt:variant>
      <vt:variant>
        <vt:i4>5</vt:i4>
      </vt:variant>
      <vt:variant>
        <vt:lpwstr>https://www.health.gov.au/sites/default/files/2025-06/hardship-assistance-for-aged-care-fact-sheet.pdf</vt:lpwstr>
      </vt:variant>
      <vt:variant>
        <vt:lpwstr/>
      </vt:variant>
      <vt:variant>
        <vt:i4>8323189</vt:i4>
      </vt:variant>
      <vt:variant>
        <vt:i4>1896</vt:i4>
      </vt:variant>
      <vt:variant>
        <vt:i4>0</vt:i4>
      </vt:variant>
      <vt:variant>
        <vt:i4>5</vt:i4>
      </vt:variant>
      <vt:variant>
        <vt:lpwstr>https://www.health.gov.au/our-work/residential-aged-care/charging/means-assessment</vt:lpwstr>
      </vt:variant>
      <vt:variant>
        <vt:lpwstr/>
      </vt:variant>
      <vt:variant>
        <vt:i4>196629</vt:i4>
      </vt:variant>
      <vt:variant>
        <vt:i4>1893</vt:i4>
      </vt:variant>
      <vt:variant>
        <vt:i4>0</vt:i4>
      </vt:variant>
      <vt:variant>
        <vt:i4>5</vt:i4>
      </vt:variant>
      <vt:variant>
        <vt:lpwstr>https://www.health.gov.au/resources/publications/understanding-fees-for-aged-care-homes-1-november-2025-fee-arrangements</vt:lpwstr>
      </vt:variant>
      <vt:variant>
        <vt:lpwstr/>
      </vt:variant>
      <vt:variant>
        <vt:i4>8192061</vt:i4>
      </vt:variant>
      <vt:variant>
        <vt:i4>1890</vt:i4>
      </vt:variant>
      <vt:variant>
        <vt:i4>0</vt:i4>
      </vt:variant>
      <vt:variant>
        <vt:i4>5</vt:i4>
      </vt:variant>
      <vt:variant>
        <vt:lpwstr>https://www.health.gov.au/our-work/residential-aged-care/charging/means-tested-fees</vt:lpwstr>
      </vt:variant>
      <vt:variant>
        <vt:lpwstr/>
      </vt:variant>
      <vt:variant>
        <vt:i4>8323189</vt:i4>
      </vt:variant>
      <vt:variant>
        <vt:i4>1887</vt:i4>
      </vt:variant>
      <vt:variant>
        <vt:i4>0</vt:i4>
      </vt:variant>
      <vt:variant>
        <vt:i4>5</vt:i4>
      </vt:variant>
      <vt:variant>
        <vt:lpwstr>https://www.health.gov.au/our-work/residential-aged-care/charging/means-assessment</vt:lpwstr>
      </vt:variant>
      <vt:variant>
        <vt:lpwstr/>
      </vt:variant>
      <vt:variant>
        <vt:i4>7864421</vt:i4>
      </vt:variant>
      <vt:variant>
        <vt:i4>1884</vt:i4>
      </vt:variant>
      <vt:variant>
        <vt:i4>0</vt:i4>
      </vt:variant>
      <vt:variant>
        <vt:i4>5</vt:i4>
      </vt:variant>
      <vt:variant>
        <vt:lpwstr>https://www.health.gov.au/resources/publications/understanding-fees-for-aged-care-homes</vt:lpwstr>
      </vt:variant>
      <vt:variant>
        <vt:lpwstr/>
      </vt:variant>
      <vt:variant>
        <vt:i4>7208999</vt:i4>
      </vt:variant>
      <vt:variant>
        <vt:i4>1881</vt:i4>
      </vt:variant>
      <vt:variant>
        <vt:i4>0</vt:i4>
      </vt:variant>
      <vt:variant>
        <vt:i4>5</vt:i4>
      </vt:variant>
      <vt:variant>
        <vt:lpwstr>https://www.servicesaustralia.gov.au/providing-residential-care?context=20</vt:lpwstr>
      </vt:variant>
      <vt:variant>
        <vt:lpwstr/>
      </vt:variant>
      <vt:variant>
        <vt:i4>2228262</vt:i4>
      </vt:variant>
      <vt:variant>
        <vt:i4>1878</vt:i4>
      </vt:variant>
      <vt:variant>
        <vt:i4>0</vt:i4>
      </vt:variant>
      <vt:variant>
        <vt:i4>5</vt:i4>
      </vt:variant>
      <vt:variant>
        <vt:lpwstr>https://www.servicesaustralia.gov.au/providing-home-care?context=20</vt:lpwstr>
      </vt:variant>
      <vt:variant>
        <vt:lpwstr/>
      </vt:variant>
      <vt:variant>
        <vt:i4>7667838</vt:i4>
      </vt:variant>
      <vt:variant>
        <vt:i4>1875</vt:i4>
      </vt:variant>
      <vt:variant>
        <vt:i4>0</vt:i4>
      </vt:variant>
      <vt:variant>
        <vt:i4>5</vt:i4>
      </vt:variant>
      <vt:variant>
        <vt:lpwstr>https://www.myagedcare.gov.au/media/282740</vt:lpwstr>
      </vt:variant>
      <vt:variant>
        <vt:lpwstr/>
      </vt:variant>
      <vt:variant>
        <vt:i4>7602229</vt:i4>
      </vt:variant>
      <vt:variant>
        <vt:i4>1872</vt:i4>
      </vt:variant>
      <vt:variant>
        <vt:i4>0</vt:i4>
      </vt:variant>
      <vt:variant>
        <vt:i4>5</vt:i4>
      </vt:variant>
      <vt:variant>
        <vt:lpwstr>https://www.myagedcare.gov.au/resources</vt:lpwstr>
      </vt:variant>
      <vt:variant>
        <vt:lpwstr/>
      </vt:variant>
      <vt:variant>
        <vt:i4>7995510</vt:i4>
      </vt:variant>
      <vt:variant>
        <vt:i4>1869</vt:i4>
      </vt:variant>
      <vt:variant>
        <vt:i4>0</vt:i4>
      </vt:variant>
      <vt:variant>
        <vt:i4>5</vt:i4>
      </vt:variant>
      <vt:variant>
        <vt:lpwstr>https://www.health.gov.au/resources/publications/schedule-of-fees-and-charges-for-residential-and-home-care</vt:lpwstr>
      </vt:variant>
      <vt:variant>
        <vt:lpwstr/>
      </vt:variant>
      <vt:variant>
        <vt:i4>2097273</vt:i4>
      </vt:variant>
      <vt:variant>
        <vt:i4>1866</vt:i4>
      </vt:variant>
      <vt:variant>
        <vt:i4>0</vt:i4>
      </vt:variant>
      <vt:variant>
        <vt:i4>5</vt:i4>
      </vt:variant>
      <vt:variant>
        <vt:lpwstr>https://www.health.gov.au/resources/publications/support-at-home-program-manual-version-3-a-guide-for-registered-providers?language=en</vt:lpwstr>
      </vt:variant>
      <vt:variant>
        <vt:lpwstr/>
      </vt:variant>
      <vt:variant>
        <vt:i4>4718679</vt:i4>
      </vt:variant>
      <vt:variant>
        <vt:i4>1863</vt:i4>
      </vt:variant>
      <vt:variant>
        <vt:i4>0</vt:i4>
      </vt:variant>
      <vt:variant>
        <vt:i4>5</vt:i4>
      </vt:variant>
      <vt:variant>
        <vt:lpwstr>https://www.health.gov.au/our-work/support-at-home/support-at-home-participant-contributions</vt:lpwstr>
      </vt:variant>
      <vt:variant>
        <vt:lpwstr/>
      </vt:variant>
      <vt:variant>
        <vt:i4>524319</vt:i4>
      </vt:variant>
      <vt:variant>
        <vt:i4>1857</vt:i4>
      </vt:variant>
      <vt:variant>
        <vt:i4>0</vt:i4>
      </vt:variant>
      <vt:variant>
        <vt:i4>5</vt:i4>
      </vt:variant>
      <vt:variant>
        <vt:lpwstr>https://www.health.gov.au/our-work/chsp/resources</vt:lpwstr>
      </vt:variant>
      <vt:variant>
        <vt:lpwstr/>
      </vt:variant>
      <vt:variant>
        <vt:i4>2490425</vt:i4>
      </vt:variant>
      <vt:variant>
        <vt:i4>1854</vt:i4>
      </vt:variant>
      <vt:variant>
        <vt:i4>0</vt:i4>
      </vt:variant>
      <vt:variant>
        <vt:i4>5</vt:i4>
      </vt:variant>
      <vt:variant>
        <vt:lpwstr>https://www.health.gov.au/resources/publications/commonwealth-home-support-program-chsp-2025-27-manual-from-1-november-2025</vt:lpwstr>
      </vt:variant>
      <vt:variant>
        <vt:lpwstr/>
      </vt:variant>
      <vt:variant>
        <vt:i4>3407936</vt:i4>
      </vt:variant>
      <vt:variant>
        <vt:i4>1845</vt:i4>
      </vt:variant>
      <vt:variant>
        <vt:i4>0</vt:i4>
      </vt:variant>
      <vt:variant>
        <vt:i4>5</vt:i4>
      </vt:variant>
      <vt:variant>
        <vt:lpwstr>mailto:AgedCare.Assessment.Reporting@health.gov.au</vt:lpwstr>
      </vt:variant>
      <vt:variant>
        <vt:lpwstr/>
      </vt:variant>
      <vt:variant>
        <vt:i4>7340147</vt:i4>
      </vt:variant>
      <vt:variant>
        <vt:i4>1842</vt:i4>
      </vt:variant>
      <vt:variant>
        <vt:i4>0</vt:i4>
      </vt:variant>
      <vt:variant>
        <vt:i4>5</vt:i4>
      </vt:variant>
      <vt:variant>
        <vt:lpwstr>https://www.health.gov.au/topics/positive-ageing-is-ageing-well</vt:lpwstr>
      </vt:variant>
      <vt:variant>
        <vt:lpwstr/>
      </vt:variant>
      <vt:variant>
        <vt:i4>6422577</vt:i4>
      </vt:variant>
      <vt:variant>
        <vt:i4>1839</vt:i4>
      </vt:variant>
      <vt:variant>
        <vt:i4>0</vt:i4>
      </vt:variant>
      <vt:variant>
        <vt:i4>5</vt:i4>
      </vt:variant>
      <vt:variant>
        <vt:lpwstr>https://www.facebook.com/groups/AgedCareCouncilOfElders</vt:lpwstr>
      </vt:variant>
      <vt:variant>
        <vt:lpwstr/>
      </vt:variant>
      <vt:variant>
        <vt:i4>5308424</vt:i4>
      </vt:variant>
      <vt:variant>
        <vt:i4>1836</vt:i4>
      </vt:variant>
      <vt:variant>
        <vt:i4>0</vt:i4>
      </vt:variant>
      <vt:variant>
        <vt:i4>5</vt:i4>
      </vt:variant>
      <vt:variant>
        <vt:lpwstr>https://www.health.gov.au/using-our-websites/subscriptions/subscribe-to-aged-care-newsletters-and-alerts?language=und</vt:lpwstr>
      </vt:variant>
      <vt:variant>
        <vt:lpwstr/>
      </vt:variant>
      <vt:variant>
        <vt:i4>4980766</vt:i4>
      </vt:variant>
      <vt:variant>
        <vt:i4>1833</vt:i4>
      </vt:variant>
      <vt:variant>
        <vt:i4>0</vt:i4>
      </vt:variant>
      <vt:variant>
        <vt:i4>5</vt:i4>
      </vt:variant>
      <vt:variant>
        <vt:lpwstr>https://www.health.gov.au/resources/publications/exploring-aged-care?language=en</vt:lpwstr>
      </vt:variant>
      <vt:variant>
        <vt:lpwstr/>
      </vt:variant>
      <vt:variant>
        <vt:i4>7602229</vt:i4>
      </vt:variant>
      <vt:variant>
        <vt:i4>1830</vt:i4>
      </vt:variant>
      <vt:variant>
        <vt:i4>0</vt:i4>
      </vt:variant>
      <vt:variant>
        <vt:i4>5</vt:i4>
      </vt:variant>
      <vt:variant>
        <vt:lpwstr>https://www.myagedcare.gov.au/resources</vt:lpwstr>
      </vt:variant>
      <vt:variant>
        <vt:lpwstr/>
      </vt:variant>
      <vt:variant>
        <vt:i4>2883674</vt:i4>
      </vt:variant>
      <vt:variant>
        <vt:i4>1827</vt:i4>
      </vt:variant>
      <vt:variant>
        <vt:i4>0</vt:i4>
      </vt:variant>
      <vt:variant>
        <vt:i4>5</vt:i4>
      </vt:variant>
      <vt:variant>
        <vt:lpwstr>mailto:health@nationalmailing.com.au</vt:lpwstr>
      </vt:variant>
      <vt:variant>
        <vt:lpwstr/>
      </vt:variant>
      <vt:variant>
        <vt:i4>2883616</vt:i4>
      </vt:variant>
      <vt:variant>
        <vt:i4>1824</vt:i4>
      </vt:variant>
      <vt:variant>
        <vt:i4>0</vt:i4>
      </vt:variant>
      <vt:variant>
        <vt:i4>5</vt:i4>
      </vt:variant>
      <vt:variant>
        <vt:lpwstr>https://www.w3.org/TR/wcag/</vt:lpwstr>
      </vt:variant>
      <vt:variant>
        <vt:lpwstr/>
      </vt:variant>
      <vt:variant>
        <vt:i4>6684729</vt:i4>
      </vt:variant>
      <vt:variant>
        <vt:i4>1821</vt:i4>
      </vt:variant>
      <vt:variant>
        <vt:i4>0</vt:i4>
      </vt:variant>
      <vt:variant>
        <vt:i4>5</vt:i4>
      </vt:variant>
      <vt:variant>
        <vt:lpwstr>https://www.dta.gov.au/getting-help-dta</vt:lpwstr>
      </vt:variant>
      <vt:variant>
        <vt:lpwstr/>
      </vt:variant>
      <vt:variant>
        <vt:i4>2752609</vt:i4>
      </vt:variant>
      <vt:variant>
        <vt:i4>1818</vt:i4>
      </vt:variant>
      <vt:variant>
        <vt:i4>0</vt:i4>
      </vt:variant>
      <vt:variant>
        <vt:i4>5</vt:i4>
      </vt:variant>
      <vt:variant>
        <vt:lpwstr>https://www.pmc.gov.au/resources/australian-government-branding-guidelines</vt:lpwstr>
      </vt:variant>
      <vt:variant>
        <vt:lpwstr/>
      </vt:variant>
      <vt:variant>
        <vt:i4>4915283</vt:i4>
      </vt:variant>
      <vt:variant>
        <vt:i4>1815</vt:i4>
      </vt:variant>
      <vt:variant>
        <vt:i4>0</vt:i4>
      </vt:variant>
      <vt:variant>
        <vt:i4>5</vt:i4>
      </vt:variant>
      <vt:variant>
        <vt:lpwstr>http://www.w3.org/TR/WCAG</vt:lpwstr>
      </vt:variant>
      <vt:variant>
        <vt:lpwstr/>
      </vt:variant>
      <vt:variant>
        <vt:i4>7667770</vt:i4>
      </vt:variant>
      <vt:variant>
        <vt:i4>1812</vt:i4>
      </vt:variant>
      <vt:variant>
        <vt:i4>0</vt:i4>
      </vt:variant>
      <vt:variant>
        <vt:i4>5</vt:i4>
      </vt:variant>
      <vt:variant>
        <vt:lpwstr>https://www.niaa.gov.au/sites/default/files/documents/2024-05/framework-governance-indigenous-data.pdf</vt:lpwstr>
      </vt:variant>
      <vt:variant>
        <vt:lpwstr/>
      </vt:variant>
      <vt:variant>
        <vt:i4>1966168</vt:i4>
      </vt:variant>
      <vt:variant>
        <vt:i4>1809</vt:i4>
      </vt:variant>
      <vt:variant>
        <vt:i4>0</vt:i4>
      </vt:variant>
      <vt:variant>
        <vt:i4>5</vt:i4>
      </vt:variant>
      <vt:variant>
        <vt:lpwstr>https://www.oaic.gov.au/privacy/the-privacy-act/</vt:lpwstr>
      </vt:variant>
      <vt:variant>
        <vt:lpwstr/>
      </vt:variant>
      <vt:variant>
        <vt:i4>655430</vt:i4>
      </vt:variant>
      <vt:variant>
        <vt:i4>1806</vt:i4>
      </vt:variant>
      <vt:variant>
        <vt:i4>0</vt:i4>
      </vt:variant>
      <vt:variant>
        <vt:i4>5</vt:i4>
      </vt:variant>
      <vt:variant>
        <vt:lpwstr>https://www.oaic.gov.au/freedom-of-information/your-freedom-of-information-rights/what-is-freedom-of-information</vt:lpwstr>
      </vt:variant>
      <vt:variant>
        <vt:lpwstr/>
      </vt:variant>
      <vt:variant>
        <vt:i4>327708</vt:i4>
      </vt:variant>
      <vt:variant>
        <vt:i4>1803</vt:i4>
      </vt:variant>
      <vt:variant>
        <vt:i4>0</vt:i4>
      </vt:variant>
      <vt:variant>
        <vt:i4>5</vt:i4>
      </vt:variant>
      <vt:variant>
        <vt:lpwstr>https://www.legislation.gov.au/Series/C2004A02562</vt:lpwstr>
      </vt:variant>
      <vt:variant>
        <vt:lpwstr/>
      </vt:variant>
      <vt:variant>
        <vt:i4>8060989</vt:i4>
      </vt:variant>
      <vt:variant>
        <vt:i4>1800</vt:i4>
      </vt:variant>
      <vt:variant>
        <vt:i4>0</vt:i4>
      </vt:variant>
      <vt:variant>
        <vt:i4>5</vt:i4>
      </vt:variant>
      <vt:variant>
        <vt:lpwstr>https://www.oaic.gov.au/privacy/australian-privacy-principles/</vt:lpwstr>
      </vt:variant>
      <vt:variant>
        <vt:lpwstr/>
      </vt:variant>
      <vt:variant>
        <vt:i4>3932200</vt:i4>
      </vt:variant>
      <vt:variant>
        <vt:i4>1797</vt:i4>
      </vt:variant>
      <vt:variant>
        <vt:i4>0</vt:i4>
      </vt:variant>
      <vt:variant>
        <vt:i4>5</vt:i4>
      </vt:variant>
      <vt:variant>
        <vt:lpwstr>https://www.naa.gov.au/sites/default/files/2019-12/agency-ra-2011-00396196.pdf</vt:lpwstr>
      </vt:variant>
      <vt:variant>
        <vt:lpwstr/>
      </vt:variant>
      <vt:variant>
        <vt:i4>3014707</vt:i4>
      </vt:variant>
      <vt:variant>
        <vt:i4>1794</vt:i4>
      </vt:variant>
      <vt:variant>
        <vt:i4>0</vt:i4>
      </vt:variant>
      <vt:variant>
        <vt:i4>5</vt:i4>
      </vt:variant>
      <vt:variant>
        <vt:lpwstr>https://www.legislation.gov.au/C2004A03712/latest/text</vt:lpwstr>
      </vt:variant>
      <vt:variant>
        <vt:lpwstr/>
      </vt:variant>
      <vt:variant>
        <vt:i4>262172</vt:i4>
      </vt:variant>
      <vt:variant>
        <vt:i4>1791</vt:i4>
      </vt:variant>
      <vt:variant>
        <vt:i4>0</vt:i4>
      </vt:variant>
      <vt:variant>
        <vt:i4>5</vt:i4>
      </vt:variant>
      <vt:variant>
        <vt:lpwstr>https://www.legislation.gov.au/Series/C2004A00553</vt:lpwstr>
      </vt:variant>
      <vt:variant>
        <vt:lpwstr/>
      </vt:variant>
      <vt:variant>
        <vt:i4>655390</vt:i4>
      </vt:variant>
      <vt:variant>
        <vt:i4>1788</vt:i4>
      </vt:variant>
      <vt:variant>
        <vt:i4>0</vt:i4>
      </vt:variant>
      <vt:variant>
        <vt:i4>5</vt:i4>
      </vt:variant>
      <vt:variant>
        <vt:lpwstr>https://www.legislation.gov.au/Series/C2004A02796</vt:lpwstr>
      </vt:variant>
      <vt:variant>
        <vt:lpwstr/>
      </vt:variant>
      <vt:variant>
        <vt:i4>2949172</vt:i4>
      </vt:variant>
      <vt:variant>
        <vt:i4>1785</vt:i4>
      </vt:variant>
      <vt:variant>
        <vt:i4>0</vt:i4>
      </vt:variant>
      <vt:variant>
        <vt:i4>5</vt:i4>
      </vt:variant>
      <vt:variant>
        <vt:lpwstr>https://www.legislation.gov.au/C2024A00104/asmade/text</vt:lpwstr>
      </vt:variant>
      <vt:variant>
        <vt:lpwstr/>
      </vt:variant>
      <vt:variant>
        <vt:i4>458771</vt:i4>
      </vt:variant>
      <vt:variant>
        <vt:i4>1782</vt:i4>
      </vt:variant>
      <vt:variant>
        <vt:i4>0</vt:i4>
      </vt:variant>
      <vt:variant>
        <vt:i4>5</vt:i4>
      </vt:variant>
      <vt:variant>
        <vt:lpwstr>https://www.asio.gov.au/asio-t4-protective-security.html</vt:lpwstr>
      </vt:variant>
      <vt:variant>
        <vt:lpwstr/>
      </vt:variant>
      <vt:variant>
        <vt:i4>6881338</vt:i4>
      </vt:variant>
      <vt:variant>
        <vt:i4>1779</vt:i4>
      </vt:variant>
      <vt:variant>
        <vt:i4>0</vt:i4>
      </vt:variant>
      <vt:variant>
        <vt:i4>5</vt:i4>
      </vt:variant>
      <vt:variant>
        <vt:lpwstr>https://www.protectivesecurity.gov.au/about</vt:lpwstr>
      </vt:variant>
      <vt:variant>
        <vt:lpwstr/>
      </vt:variant>
      <vt:variant>
        <vt:i4>6815866</vt:i4>
      </vt:variant>
      <vt:variant>
        <vt:i4>1776</vt:i4>
      </vt:variant>
      <vt:variant>
        <vt:i4>0</vt:i4>
      </vt:variant>
      <vt:variant>
        <vt:i4>5</vt:i4>
      </vt:variant>
      <vt:variant>
        <vt:lpwstr>https://www.health.gov.au/resources/collections/my-aged-care-assessor-portal-resources</vt:lpwstr>
      </vt:variant>
      <vt:variant>
        <vt:lpwstr/>
      </vt:variant>
      <vt:variant>
        <vt:i4>7077920</vt:i4>
      </vt:variant>
      <vt:variant>
        <vt:i4>1773</vt:i4>
      </vt:variant>
      <vt:variant>
        <vt:i4>0</vt:i4>
      </vt:variant>
      <vt:variant>
        <vt:i4>5</vt:i4>
      </vt:variant>
      <vt:variant>
        <vt:lpwstr>https://www.health.gov.au/resources/publications/my-aged-care-workforce-learning-strategy-2025?language=en</vt:lpwstr>
      </vt:variant>
      <vt:variant>
        <vt:lpwstr/>
      </vt:variant>
      <vt:variant>
        <vt:i4>6619245</vt:i4>
      </vt:variant>
      <vt:variant>
        <vt:i4>1761</vt:i4>
      </vt:variant>
      <vt:variant>
        <vt:i4>0</vt:i4>
      </vt:variant>
      <vt:variant>
        <vt:i4>5</vt:i4>
      </vt:variant>
      <vt:variant>
        <vt:lpwstr>https://www.health.gov.au/topics/palliative-care/palliative-care-education-and-training</vt:lpwstr>
      </vt:variant>
      <vt:variant>
        <vt:lpwstr/>
      </vt:variant>
      <vt:variant>
        <vt:i4>2621551</vt:i4>
      </vt:variant>
      <vt:variant>
        <vt:i4>1758</vt:i4>
      </vt:variant>
      <vt:variant>
        <vt:i4>0</vt:i4>
      </vt:variant>
      <vt:variant>
        <vt:i4>5</vt:i4>
      </vt:variant>
      <vt:variant>
        <vt:lpwstr>https://www.health.gov.au/resources/publications/the-national-palliative-care-strategy-2018</vt:lpwstr>
      </vt:variant>
      <vt:variant>
        <vt:lpwstr/>
      </vt:variant>
      <vt:variant>
        <vt:i4>2359330</vt:i4>
      </vt:variant>
      <vt:variant>
        <vt:i4>1755</vt:i4>
      </vt:variant>
      <vt:variant>
        <vt:i4>0</vt:i4>
      </vt:variant>
      <vt:variant>
        <vt:i4>5</vt:i4>
      </vt:variant>
      <vt:variant>
        <vt:lpwstr>https://www.health.gov.au/initiatives-and-programs/an-acc/providers/palliative-care</vt:lpwstr>
      </vt:variant>
      <vt:variant>
        <vt:lpwstr/>
      </vt:variant>
      <vt:variant>
        <vt:i4>1900628</vt:i4>
      </vt:variant>
      <vt:variant>
        <vt:i4>1749</vt:i4>
      </vt:variant>
      <vt:variant>
        <vt:i4>0</vt:i4>
      </vt:variant>
      <vt:variant>
        <vt:i4>5</vt:i4>
      </vt:variant>
      <vt:variant>
        <vt:lpwstr>https://www.dementia.com.au/</vt:lpwstr>
      </vt:variant>
      <vt:variant>
        <vt:lpwstr/>
      </vt:variant>
      <vt:variant>
        <vt:i4>1769545</vt:i4>
      </vt:variant>
      <vt:variant>
        <vt:i4>1746</vt:i4>
      </vt:variant>
      <vt:variant>
        <vt:i4>0</vt:i4>
      </vt:variant>
      <vt:variant>
        <vt:i4>5</vt:i4>
      </vt:variant>
      <vt:variant>
        <vt:lpwstr>https://www.dementia.org.au/</vt:lpwstr>
      </vt:variant>
      <vt:variant>
        <vt:lpwstr/>
      </vt:variant>
      <vt:variant>
        <vt:i4>2490470</vt:i4>
      </vt:variant>
      <vt:variant>
        <vt:i4>1743</vt:i4>
      </vt:variant>
      <vt:variant>
        <vt:i4>0</vt:i4>
      </vt:variant>
      <vt:variant>
        <vt:i4>5</vt:i4>
      </vt:variant>
      <vt:variant>
        <vt:lpwstr>https://www.health.gov.au/resources/publications/my-aged-care-assessor-portal-user-guide-2-registering-support-people-and-adding-relationships</vt:lpwstr>
      </vt:variant>
      <vt:variant>
        <vt:lpwstr/>
      </vt:variant>
      <vt:variant>
        <vt:i4>6946929</vt:i4>
      </vt:variant>
      <vt:variant>
        <vt:i4>1740</vt:i4>
      </vt:variant>
      <vt:variant>
        <vt:i4>0</vt:i4>
      </vt:variant>
      <vt:variant>
        <vt:i4>5</vt:i4>
      </vt:variant>
      <vt:variant>
        <vt:lpwstr>https://www.health.gov.au/topics/dementia/related-work</vt:lpwstr>
      </vt:variant>
      <vt:variant>
        <vt:lpwstr/>
      </vt:variant>
      <vt:variant>
        <vt:i4>917596</vt:i4>
      </vt:variant>
      <vt:variant>
        <vt:i4>1737</vt:i4>
      </vt:variant>
      <vt:variant>
        <vt:i4>0</vt:i4>
      </vt:variant>
      <vt:variant>
        <vt:i4>5</vt:i4>
      </vt:variant>
      <vt:variant>
        <vt:lpwstr>https://www.carergateway.gov.au/</vt:lpwstr>
      </vt:variant>
      <vt:variant>
        <vt:lpwstr/>
      </vt:variant>
      <vt:variant>
        <vt:i4>2949172</vt:i4>
      </vt:variant>
      <vt:variant>
        <vt:i4>1734</vt:i4>
      </vt:variant>
      <vt:variant>
        <vt:i4>0</vt:i4>
      </vt:variant>
      <vt:variant>
        <vt:i4>5</vt:i4>
      </vt:variant>
      <vt:variant>
        <vt:lpwstr>https://www.legislation.gov.au/C2024A00104/asmade/text</vt:lpwstr>
      </vt:variant>
      <vt:variant>
        <vt:lpwstr/>
      </vt:variant>
      <vt:variant>
        <vt:i4>5898249</vt:i4>
      </vt:variant>
      <vt:variant>
        <vt:i4>1731</vt:i4>
      </vt:variant>
      <vt:variant>
        <vt:i4>0</vt:i4>
      </vt:variant>
      <vt:variant>
        <vt:i4>5</vt:i4>
      </vt:variant>
      <vt:variant>
        <vt:lpwstr>https://www.health.gov.au/health-topics/aged-care/providing-aged-care-services/working-in-aged-care/working-with-diverse-groups-in-aged-care</vt:lpwstr>
      </vt:variant>
      <vt:variant>
        <vt:lpwstr/>
      </vt:variant>
      <vt:variant>
        <vt:i4>4915208</vt:i4>
      </vt:variant>
      <vt:variant>
        <vt:i4>1728</vt:i4>
      </vt:variant>
      <vt:variant>
        <vt:i4>0</vt:i4>
      </vt:variant>
      <vt:variant>
        <vt:i4>5</vt:i4>
      </vt:variant>
      <vt:variant>
        <vt:lpwstr>https://www.health.gov.au/resources/publications/actions-to-support-lgbti-elders-a-guide-for-aged-care-providers</vt:lpwstr>
      </vt:variant>
      <vt:variant>
        <vt:lpwstr/>
      </vt:variant>
      <vt:variant>
        <vt:i4>6815782</vt:i4>
      </vt:variant>
      <vt:variant>
        <vt:i4>1725</vt:i4>
      </vt:variant>
      <vt:variant>
        <vt:i4>0</vt:i4>
      </vt:variant>
      <vt:variant>
        <vt:i4>5</vt:i4>
      </vt:variant>
      <vt:variant>
        <vt:lpwstr>https://www.health.gov.au/resources/publications/actions-to-support-lgbti-elders-a-guide-for-consumers</vt:lpwstr>
      </vt:variant>
      <vt:variant>
        <vt:lpwstr/>
      </vt:variant>
      <vt:variant>
        <vt:i4>4849739</vt:i4>
      </vt:variant>
      <vt:variant>
        <vt:i4>1722</vt:i4>
      </vt:variant>
      <vt:variant>
        <vt:i4>0</vt:i4>
      </vt:variant>
      <vt:variant>
        <vt:i4>5</vt:i4>
      </vt:variant>
      <vt:variant>
        <vt:lpwstr>https://www.dss.gov.au/our-responsibilities/families-and-children/programs-services/forced-adoption-practices</vt:lpwstr>
      </vt:variant>
      <vt:variant>
        <vt:lpwstr/>
      </vt:variant>
      <vt:variant>
        <vt:i4>2949164</vt:i4>
      </vt:variant>
      <vt:variant>
        <vt:i4>1719</vt:i4>
      </vt:variant>
      <vt:variant>
        <vt:i4>0</vt:i4>
      </vt:variant>
      <vt:variant>
        <vt:i4>5</vt:i4>
      </vt:variant>
      <vt:variant>
        <vt:lpwstr>https://www.helpinghand.org.au/wp-content/uploads/2022/07/FA-practical-tips-booklet-web-version-v2.pdf</vt:lpwstr>
      </vt:variant>
      <vt:variant>
        <vt:lpwstr/>
      </vt:variant>
      <vt:variant>
        <vt:i4>5636172</vt:i4>
      </vt:variant>
      <vt:variant>
        <vt:i4>1716</vt:i4>
      </vt:variant>
      <vt:variant>
        <vt:i4>0</vt:i4>
      </vt:variant>
      <vt:variant>
        <vt:i4>5</vt:i4>
      </vt:variant>
      <vt:variant>
        <vt:lpwstr>https://www.health.gov.au/resources/collections/caring-for-forgotten-australians-former-child-migrants-and-stolen-generations-information-package</vt:lpwstr>
      </vt:variant>
      <vt:variant>
        <vt:lpwstr/>
      </vt:variant>
      <vt:variant>
        <vt:i4>2359349</vt:i4>
      </vt:variant>
      <vt:variant>
        <vt:i4>1707</vt:i4>
      </vt:variant>
      <vt:variant>
        <vt:i4>0</vt:i4>
      </vt:variant>
      <vt:variant>
        <vt:i4>5</vt:i4>
      </vt:variant>
      <vt:variant>
        <vt:lpwstr>https://www.dva.gov.au/</vt:lpwstr>
      </vt:variant>
      <vt:variant>
        <vt:lpwstr/>
      </vt:variant>
      <vt:variant>
        <vt:i4>2490488</vt:i4>
      </vt:variant>
      <vt:variant>
        <vt:i4>1704</vt:i4>
      </vt:variant>
      <vt:variant>
        <vt:i4>0</vt:i4>
      </vt:variant>
      <vt:variant>
        <vt:i4>5</vt:i4>
      </vt:variant>
      <vt:variant>
        <vt:lpwstr>https://www.myagedcare.gov.au/financial-hardship-assistance</vt:lpwstr>
      </vt:variant>
      <vt:variant>
        <vt:lpwstr>how-apply-assistance</vt:lpwstr>
      </vt:variant>
      <vt:variant>
        <vt:i4>6553644</vt:i4>
      </vt:variant>
      <vt:variant>
        <vt:i4>1701</vt:i4>
      </vt:variant>
      <vt:variant>
        <vt:i4>0</vt:i4>
      </vt:variant>
      <vt:variant>
        <vt:i4>5</vt:i4>
      </vt:variant>
      <vt:variant>
        <vt:lpwstr>https://www.health.gov.au/sites/default/files/2025-06/hardship-assistance-for-aged-care-fact-sheet.pdf</vt:lpwstr>
      </vt:variant>
      <vt:variant>
        <vt:lpwstr/>
      </vt:variant>
      <vt:variant>
        <vt:i4>1572890</vt:i4>
      </vt:variant>
      <vt:variant>
        <vt:i4>1698</vt:i4>
      </vt:variant>
      <vt:variant>
        <vt:i4>0</vt:i4>
      </vt:variant>
      <vt:variant>
        <vt:i4>5</vt:i4>
      </vt:variant>
      <vt:variant>
        <vt:lpwstr>https://mooc.utas.edu.au/</vt:lpwstr>
      </vt:variant>
      <vt:variant>
        <vt:lpwstr/>
      </vt:variant>
      <vt:variant>
        <vt:i4>4784130</vt:i4>
      </vt:variant>
      <vt:variant>
        <vt:i4>1695</vt:i4>
      </vt:variant>
      <vt:variant>
        <vt:i4>0</vt:i4>
      </vt:variant>
      <vt:variant>
        <vt:i4>5</vt:i4>
      </vt:variant>
      <vt:variant>
        <vt:lpwstr>https://cdpc.sydney.edu.au/research/clinical-guidelines-for-dementia/</vt:lpwstr>
      </vt:variant>
      <vt:variant>
        <vt:lpwstr/>
      </vt:variant>
      <vt:variant>
        <vt:i4>1376351</vt:i4>
      </vt:variant>
      <vt:variant>
        <vt:i4>1692</vt:i4>
      </vt:variant>
      <vt:variant>
        <vt:i4>0</vt:i4>
      </vt:variant>
      <vt:variant>
        <vt:i4>5</vt:i4>
      </vt:variant>
      <vt:variant>
        <vt:lpwstr>https://www.health.gov.au/topics/dementia/what-were-doing-about-dementia</vt:lpwstr>
      </vt:variant>
      <vt:variant>
        <vt:lpwstr/>
      </vt:variant>
      <vt:variant>
        <vt:i4>2490470</vt:i4>
      </vt:variant>
      <vt:variant>
        <vt:i4>1689</vt:i4>
      </vt:variant>
      <vt:variant>
        <vt:i4>0</vt:i4>
      </vt:variant>
      <vt:variant>
        <vt:i4>5</vt:i4>
      </vt:variant>
      <vt:variant>
        <vt:lpwstr>https://www.health.gov.au/resources/publications/my-aged-care-assessor-portal-user-guide-2-registering-support-people-and-adding-relationships</vt:lpwstr>
      </vt:variant>
      <vt:variant>
        <vt:lpwstr/>
      </vt:variant>
      <vt:variant>
        <vt:i4>1900628</vt:i4>
      </vt:variant>
      <vt:variant>
        <vt:i4>1686</vt:i4>
      </vt:variant>
      <vt:variant>
        <vt:i4>0</vt:i4>
      </vt:variant>
      <vt:variant>
        <vt:i4>5</vt:i4>
      </vt:variant>
      <vt:variant>
        <vt:lpwstr>https://www.dementia.com.au/</vt:lpwstr>
      </vt:variant>
      <vt:variant>
        <vt:lpwstr/>
      </vt:variant>
      <vt:variant>
        <vt:i4>1769545</vt:i4>
      </vt:variant>
      <vt:variant>
        <vt:i4>1683</vt:i4>
      </vt:variant>
      <vt:variant>
        <vt:i4>0</vt:i4>
      </vt:variant>
      <vt:variant>
        <vt:i4>5</vt:i4>
      </vt:variant>
      <vt:variant>
        <vt:lpwstr>https://www.dementia.org.au/</vt:lpwstr>
      </vt:variant>
      <vt:variant>
        <vt:lpwstr/>
      </vt:variant>
      <vt:variant>
        <vt:i4>8323114</vt:i4>
      </vt:variant>
      <vt:variant>
        <vt:i4>1680</vt:i4>
      </vt:variant>
      <vt:variant>
        <vt:i4>0</vt:i4>
      </vt:variant>
      <vt:variant>
        <vt:i4>5</vt:i4>
      </vt:variant>
      <vt:variant>
        <vt:lpwstr>https://dta.com.au/</vt:lpwstr>
      </vt:variant>
      <vt:variant>
        <vt:lpwstr/>
      </vt:variant>
      <vt:variant>
        <vt:i4>4784130</vt:i4>
      </vt:variant>
      <vt:variant>
        <vt:i4>1677</vt:i4>
      </vt:variant>
      <vt:variant>
        <vt:i4>0</vt:i4>
      </vt:variant>
      <vt:variant>
        <vt:i4>5</vt:i4>
      </vt:variant>
      <vt:variant>
        <vt:lpwstr>https://cdpc.sydney.edu.au/research/clinical-guidelines-for-dementia/</vt:lpwstr>
      </vt:variant>
      <vt:variant>
        <vt:lpwstr/>
      </vt:variant>
      <vt:variant>
        <vt:i4>720969</vt:i4>
      </vt:variant>
      <vt:variant>
        <vt:i4>1674</vt:i4>
      </vt:variant>
      <vt:variant>
        <vt:i4>0</vt:i4>
      </vt:variant>
      <vt:variant>
        <vt:i4>5</vt:i4>
      </vt:variant>
      <vt:variant>
        <vt:lpwstr>https://www.dementia.org.au/news/communication-and-engagement-people-living-dementia</vt:lpwstr>
      </vt:variant>
      <vt:variant>
        <vt:lpwstr/>
      </vt:variant>
      <vt:variant>
        <vt:i4>2883708</vt:i4>
      </vt:variant>
      <vt:variant>
        <vt:i4>1671</vt:i4>
      </vt:variant>
      <vt:variant>
        <vt:i4>0</vt:i4>
      </vt:variant>
      <vt:variant>
        <vt:i4>5</vt:i4>
      </vt:variant>
      <vt:variant>
        <vt:lpwstr>https://www.health.gov.au/our-work/single-assessment-system/needs/aboriginal-and-torres-strait-islander-aged-care-assessment-organisations</vt:lpwstr>
      </vt:variant>
      <vt:variant>
        <vt:lpwstr/>
      </vt:variant>
      <vt:variant>
        <vt:i4>5832788</vt:i4>
      </vt:variant>
      <vt:variant>
        <vt:i4>1668</vt:i4>
      </vt:variant>
      <vt:variant>
        <vt:i4>0</vt:i4>
      </vt:variant>
      <vt:variant>
        <vt:i4>5</vt:i4>
      </vt:variant>
      <vt:variant>
        <vt:lpwstr>https://amrc.org.au/</vt:lpwstr>
      </vt:variant>
      <vt:variant>
        <vt:lpwstr/>
      </vt:variant>
      <vt:variant>
        <vt:i4>5898249</vt:i4>
      </vt:variant>
      <vt:variant>
        <vt:i4>1665</vt:i4>
      </vt:variant>
      <vt:variant>
        <vt:i4>0</vt:i4>
      </vt:variant>
      <vt:variant>
        <vt:i4>5</vt:i4>
      </vt:variant>
      <vt:variant>
        <vt:lpwstr>https://www.health.gov.au/health-topics/aged-care/providing-aged-care-services/working-in-aged-care/working-with-diverse-groups-in-aged-care</vt:lpwstr>
      </vt:variant>
      <vt:variant>
        <vt:lpwstr/>
      </vt:variant>
      <vt:variant>
        <vt:i4>5832712</vt:i4>
      </vt:variant>
      <vt:variant>
        <vt:i4>1662</vt:i4>
      </vt:variant>
      <vt:variant>
        <vt:i4>0</vt:i4>
      </vt:variant>
      <vt:variant>
        <vt:i4>5</vt:i4>
      </vt:variant>
      <vt:variant>
        <vt:lpwstr>https://www.health.gov.au/initiatives-and-programs/partners-in-culturally-appropriate-care-picac</vt:lpwstr>
      </vt:variant>
      <vt:variant>
        <vt:lpwstr/>
      </vt:variant>
      <vt:variant>
        <vt:i4>2359343</vt:i4>
      </vt:variant>
      <vt:variant>
        <vt:i4>1659</vt:i4>
      </vt:variant>
      <vt:variant>
        <vt:i4>0</vt:i4>
      </vt:variant>
      <vt:variant>
        <vt:i4>5</vt:i4>
      </vt:variant>
      <vt:variant>
        <vt:lpwstr>https://www.health.gov.au/resources/collections/aged-care-diversity-framework-action-plans</vt:lpwstr>
      </vt:variant>
      <vt:variant>
        <vt:lpwstr/>
      </vt:variant>
      <vt:variant>
        <vt:i4>6619199</vt:i4>
      </vt:variant>
      <vt:variant>
        <vt:i4>1656</vt:i4>
      </vt:variant>
      <vt:variant>
        <vt:i4>0</vt:i4>
      </vt:variant>
      <vt:variant>
        <vt:i4>5</vt:i4>
      </vt:variant>
      <vt:variant>
        <vt:lpwstr>https://www.health.gov.au/resources/publications/my-aged-care-integrated-assessment-tool-iat-user-guide?language=en</vt:lpwstr>
      </vt:variant>
      <vt:variant>
        <vt:lpwstr/>
      </vt:variant>
      <vt:variant>
        <vt:i4>7143482</vt:i4>
      </vt:variant>
      <vt:variant>
        <vt:i4>1653</vt:i4>
      </vt:variant>
      <vt:variant>
        <vt:i4>0</vt:i4>
      </vt:variant>
      <vt:variant>
        <vt:i4>5</vt:i4>
      </vt:variant>
      <vt:variant>
        <vt:lpwstr>https://www.health.gov.au/topics/aboriginal-and-torres-strait-islander-health/aged-care</vt:lpwstr>
      </vt:variant>
      <vt:variant>
        <vt:lpwstr/>
      </vt:variant>
      <vt:variant>
        <vt:i4>7995436</vt:i4>
      </vt:variant>
      <vt:variant>
        <vt:i4>1650</vt:i4>
      </vt:variant>
      <vt:variant>
        <vt:i4>0</vt:i4>
      </vt:variant>
      <vt:variant>
        <vt:i4>5</vt:i4>
      </vt:variant>
      <vt:variant>
        <vt:lpwstr>https://www.health.gov.au/our-work/aged-care-diversity-framework-initiative</vt:lpwstr>
      </vt:variant>
      <vt:variant>
        <vt:lpwstr/>
      </vt:variant>
      <vt:variant>
        <vt:i4>7077928</vt:i4>
      </vt:variant>
      <vt:variant>
        <vt:i4>1647</vt:i4>
      </vt:variant>
      <vt:variant>
        <vt:i4>0</vt:i4>
      </vt:variant>
      <vt:variant>
        <vt:i4>5</vt:i4>
      </vt:variant>
      <vt:variant>
        <vt:lpwstr>https://www.health.gov.au/resources/collections/registered-supporter-resources</vt:lpwstr>
      </vt:variant>
      <vt:variant>
        <vt:lpwstr/>
      </vt:variant>
      <vt:variant>
        <vt:i4>1245201</vt:i4>
      </vt:variant>
      <vt:variant>
        <vt:i4>1644</vt:i4>
      </vt:variant>
      <vt:variant>
        <vt:i4>0</vt:i4>
      </vt:variant>
      <vt:variant>
        <vt:i4>5</vt:i4>
      </vt:variant>
      <vt:variant>
        <vt:lpwstr>https://www.health.gov.au/our-work/aged-care-act/about/registered-supporters</vt:lpwstr>
      </vt:variant>
      <vt:variant>
        <vt:lpwstr>make-a-complaint-or-submit-a-document</vt:lpwstr>
      </vt:variant>
      <vt:variant>
        <vt:i4>7798908</vt:i4>
      </vt:variant>
      <vt:variant>
        <vt:i4>1641</vt:i4>
      </vt:variant>
      <vt:variant>
        <vt:i4>0</vt:i4>
      </vt:variant>
      <vt:variant>
        <vt:i4>5</vt:i4>
      </vt:variant>
      <vt:variant>
        <vt:lpwstr>https://www.agedcarequality.gov.au/making-complaint/lodge-complaint</vt:lpwstr>
      </vt:variant>
      <vt:variant>
        <vt:lpwstr/>
      </vt:variant>
      <vt:variant>
        <vt:i4>7143534</vt:i4>
      </vt:variant>
      <vt:variant>
        <vt:i4>1638</vt:i4>
      </vt:variant>
      <vt:variant>
        <vt:i4>0</vt:i4>
      </vt:variant>
      <vt:variant>
        <vt:i4>5</vt:i4>
      </vt:variant>
      <vt:variant>
        <vt:lpwstr>https://www.agedcarequality.gov.au/making-complaint</vt:lpwstr>
      </vt:variant>
      <vt:variant>
        <vt:lpwstr/>
      </vt:variant>
      <vt:variant>
        <vt:i4>2031616</vt:i4>
      </vt:variant>
      <vt:variant>
        <vt:i4>1635</vt:i4>
      </vt:variant>
      <vt:variant>
        <vt:i4>0</vt:i4>
      </vt:variant>
      <vt:variant>
        <vt:i4>5</vt:i4>
      </vt:variant>
      <vt:variant>
        <vt:lpwstr>https://www.agedcarequality.gov.au/contact-us/complaints-concerns</vt:lpwstr>
      </vt:variant>
      <vt:variant>
        <vt:lpwstr/>
      </vt:variant>
      <vt:variant>
        <vt:i4>3866730</vt:i4>
      </vt:variant>
      <vt:variant>
        <vt:i4>1632</vt:i4>
      </vt:variant>
      <vt:variant>
        <vt:i4>0</vt:i4>
      </vt:variant>
      <vt:variant>
        <vt:i4>5</vt:i4>
      </vt:variant>
      <vt:variant>
        <vt:lpwstr>https://www.myagedcare.gov.au/quality-aged-care</vt:lpwstr>
      </vt:variant>
      <vt:variant>
        <vt:lpwstr/>
      </vt:variant>
      <vt:variant>
        <vt:i4>3145840</vt:i4>
      </vt:variant>
      <vt:variant>
        <vt:i4>1629</vt:i4>
      </vt:variant>
      <vt:variant>
        <vt:i4>0</vt:i4>
      </vt:variant>
      <vt:variant>
        <vt:i4>5</vt:i4>
      </vt:variant>
      <vt:variant>
        <vt:lpwstr>https://www.myagedcare.gov.au/contact-us/complaints</vt:lpwstr>
      </vt:variant>
      <vt:variant>
        <vt:lpwstr/>
      </vt:variant>
      <vt:variant>
        <vt:i4>6619154</vt:i4>
      </vt:variant>
      <vt:variant>
        <vt:i4>1626</vt:i4>
      </vt:variant>
      <vt:variant>
        <vt:i4>0</vt:i4>
      </vt:variant>
      <vt:variant>
        <vt:i4>5</vt:i4>
      </vt:variant>
      <vt:variant>
        <vt:lpwstr>mailto:myagedcaresupport@health.gov.au</vt:lpwstr>
      </vt:variant>
      <vt:variant>
        <vt:lpwstr/>
      </vt:variant>
      <vt:variant>
        <vt:i4>7995468</vt:i4>
      </vt:variant>
      <vt:variant>
        <vt:i4>1623</vt:i4>
      </vt:variant>
      <vt:variant>
        <vt:i4>0</vt:i4>
      </vt:variant>
      <vt:variant>
        <vt:i4>5</vt:i4>
      </vt:variant>
      <vt:variant>
        <vt:lpwstr>mailto:reviewable.decisions@health.gov.au</vt:lpwstr>
      </vt:variant>
      <vt:variant>
        <vt:lpwstr/>
      </vt:variant>
      <vt:variant>
        <vt:i4>7995468</vt:i4>
      </vt:variant>
      <vt:variant>
        <vt:i4>1620</vt:i4>
      </vt:variant>
      <vt:variant>
        <vt:i4>0</vt:i4>
      </vt:variant>
      <vt:variant>
        <vt:i4>5</vt:i4>
      </vt:variant>
      <vt:variant>
        <vt:lpwstr>mailto:reviewable.decisions@health.gov.au</vt:lpwstr>
      </vt:variant>
      <vt:variant>
        <vt:lpwstr/>
      </vt:variant>
      <vt:variant>
        <vt:i4>6815747</vt:i4>
      </vt:variant>
      <vt:variant>
        <vt:i4>1617</vt:i4>
      </vt:variant>
      <vt:variant>
        <vt:i4>0</vt:i4>
      </vt:variant>
      <vt:variant>
        <vt:i4>5</vt:i4>
      </vt:variant>
      <vt:variant>
        <vt:lpwstr>mailto:AssessmentRevocations@health.gov.au</vt:lpwstr>
      </vt:variant>
      <vt:variant>
        <vt:lpwstr/>
      </vt:variant>
      <vt:variant>
        <vt:i4>131175</vt:i4>
      </vt:variant>
      <vt:variant>
        <vt:i4>1614</vt:i4>
      </vt:variant>
      <vt:variant>
        <vt:i4>0</vt:i4>
      </vt:variant>
      <vt:variant>
        <vt:i4>5</vt:i4>
      </vt:variant>
      <vt:variant>
        <vt:lpwstr>mailto:agedcarereviews@health.gov.au</vt:lpwstr>
      </vt:variant>
      <vt:variant>
        <vt:lpwstr/>
      </vt:variant>
      <vt:variant>
        <vt:i4>5701654</vt:i4>
      </vt:variant>
      <vt:variant>
        <vt:i4>1611</vt:i4>
      </vt:variant>
      <vt:variant>
        <vt:i4>0</vt:i4>
      </vt:variant>
      <vt:variant>
        <vt:i4>5</vt:i4>
      </vt:variant>
      <vt:variant>
        <vt:lpwstr>https://www.health.gov.au/resources/publications/my-aged-care-assessor-portal-user-guide-7-completing-a-support-plan-and-support-plan-review</vt:lpwstr>
      </vt:variant>
      <vt:variant>
        <vt:lpwstr/>
      </vt:variant>
      <vt:variant>
        <vt:i4>5308422</vt:i4>
      </vt:variant>
      <vt:variant>
        <vt:i4>1608</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5832777</vt:i4>
      </vt:variant>
      <vt:variant>
        <vt:i4>1605</vt:i4>
      </vt:variant>
      <vt:variant>
        <vt:i4>0</vt:i4>
      </vt:variant>
      <vt:variant>
        <vt:i4>5</vt:i4>
      </vt:variant>
      <vt:variant>
        <vt:lpwstr>https://www.health.gov.au/resources/publications/support-at-home-program-manual-a-guide-for-registered-providers?language=en</vt:lpwstr>
      </vt:variant>
      <vt:variant>
        <vt:lpwstr/>
      </vt:variant>
      <vt:variant>
        <vt:i4>3735608</vt:i4>
      </vt:variant>
      <vt:variant>
        <vt:i4>1593</vt:i4>
      </vt:variant>
      <vt:variant>
        <vt:i4>0</vt:i4>
      </vt:variant>
      <vt:variant>
        <vt:i4>5</vt:i4>
      </vt:variant>
      <vt:variant>
        <vt:lpwstr>https://www.myagedcare.gov.au/find-a-provider/</vt:lpwstr>
      </vt:variant>
      <vt:variant>
        <vt:lpwstr/>
      </vt:variant>
      <vt:variant>
        <vt:i4>5636191</vt:i4>
      </vt:variant>
      <vt:variant>
        <vt:i4>1590</vt:i4>
      </vt:variant>
      <vt:variant>
        <vt:i4>0</vt:i4>
      </vt:variant>
      <vt:variant>
        <vt:i4>5</vt:i4>
      </vt:variant>
      <vt:variant>
        <vt:lpwstr>https://www.health.gov.au/our-work/star-ratings-for-residential-aged-care</vt:lpwstr>
      </vt:variant>
      <vt:variant>
        <vt:lpwstr/>
      </vt:variant>
      <vt:variant>
        <vt:i4>5832777</vt:i4>
      </vt:variant>
      <vt:variant>
        <vt:i4>1587</vt:i4>
      </vt:variant>
      <vt:variant>
        <vt:i4>0</vt:i4>
      </vt:variant>
      <vt:variant>
        <vt:i4>5</vt:i4>
      </vt:variant>
      <vt:variant>
        <vt:lpwstr>https://www.health.gov.au/resources/publications/support-at-home-program-manual-a-guide-for-registered-providers?language=en</vt:lpwstr>
      </vt:variant>
      <vt:variant>
        <vt:lpwstr/>
      </vt:variant>
      <vt:variant>
        <vt:i4>6160384</vt:i4>
      </vt:variant>
      <vt:variant>
        <vt:i4>1584</vt:i4>
      </vt:variant>
      <vt:variant>
        <vt:i4>0</vt:i4>
      </vt:variant>
      <vt:variant>
        <vt:i4>5</vt:i4>
      </vt:variant>
      <vt:variant>
        <vt:lpwstr>https://www.ag.gov.au/legal-system/electronic-signatures-documents-and-transactions/electronic-signatures</vt:lpwstr>
      </vt:variant>
      <vt:variant>
        <vt:lpwstr/>
      </vt:variant>
      <vt:variant>
        <vt:i4>2949172</vt:i4>
      </vt:variant>
      <vt:variant>
        <vt:i4>1581</vt:i4>
      </vt:variant>
      <vt:variant>
        <vt:i4>0</vt:i4>
      </vt:variant>
      <vt:variant>
        <vt:i4>5</vt:i4>
      </vt:variant>
      <vt:variant>
        <vt:lpwstr>https://www.legislation.gov.au/C2004A00553/latest/text</vt:lpwstr>
      </vt:variant>
      <vt:variant>
        <vt:lpwstr/>
      </vt:variant>
      <vt:variant>
        <vt:i4>2555911</vt:i4>
      </vt:variant>
      <vt:variant>
        <vt:i4>1578</vt:i4>
      </vt:variant>
      <vt:variant>
        <vt:i4>0</vt:i4>
      </vt:variant>
      <vt:variant>
        <vt:i4>5</vt:i4>
      </vt:variant>
      <vt:variant>
        <vt:lpwstr>mailto:myagedcare.assessment@health.gov.au</vt:lpwstr>
      </vt:variant>
      <vt:variant>
        <vt:lpwstr/>
      </vt:variant>
      <vt:variant>
        <vt:i4>2687058</vt:i4>
      </vt:variant>
      <vt:variant>
        <vt:i4>1575</vt:i4>
      </vt:variant>
      <vt:variant>
        <vt:i4>0</vt:i4>
      </vt:variant>
      <vt:variant>
        <vt:i4>5</vt:i4>
      </vt:variant>
      <vt:variant>
        <vt:lpwstr>mailto:MyAgedCareAssessment@health.gov.au</vt:lpwstr>
      </vt:variant>
      <vt:variant>
        <vt:lpwstr/>
      </vt:variant>
      <vt:variant>
        <vt:i4>1245307</vt:i4>
      </vt:variant>
      <vt:variant>
        <vt:i4>1572</vt:i4>
      </vt:variant>
      <vt:variant>
        <vt:i4>0</vt:i4>
      </vt:variant>
      <vt:variant>
        <vt:i4>5</vt:i4>
      </vt:variant>
      <vt:variant>
        <vt:lpwstr>mailto:AssessorSupport@health.gov.au</vt:lpwstr>
      </vt:variant>
      <vt:variant>
        <vt:lpwstr/>
      </vt:variant>
      <vt:variant>
        <vt:i4>5373963</vt:i4>
      </vt:variant>
      <vt:variant>
        <vt:i4>1566</vt:i4>
      </vt:variant>
      <vt:variant>
        <vt:i4>0</vt:i4>
      </vt:variant>
      <vt:variant>
        <vt:i4>5</vt:i4>
      </vt:variant>
      <vt:variant>
        <vt:lpwstr>https://www.health.gov.au/resources/publications/transition-care-program-guidelines-november-2025</vt:lpwstr>
      </vt:variant>
      <vt:variant>
        <vt:lpwstr/>
      </vt:variant>
      <vt:variant>
        <vt:i4>786499</vt:i4>
      </vt:variant>
      <vt:variant>
        <vt:i4>1563</vt:i4>
      </vt:variant>
      <vt:variant>
        <vt:i4>0</vt:i4>
      </vt:variant>
      <vt:variant>
        <vt:i4>5</vt:i4>
      </vt:variant>
      <vt:variant>
        <vt:lpwstr>https://www.health.gov.au/our-work/residential-aged-care/managing-residential-aged-care-services/managing-residential-respite-care-allowances</vt:lpwstr>
      </vt:variant>
      <vt:variant>
        <vt:lpwstr/>
      </vt:variant>
      <vt:variant>
        <vt:i4>6029377</vt:i4>
      </vt:variant>
      <vt:variant>
        <vt:i4>1557</vt:i4>
      </vt:variant>
      <vt:variant>
        <vt:i4>0</vt:i4>
      </vt:variant>
      <vt:variant>
        <vt:i4>5</vt:i4>
      </vt:variant>
      <vt:variant>
        <vt:lpwstr>https://www.myagedcare.gov.au/access-your-online-account</vt:lpwstr>
      </vt:variant>
      <vt:variant>
        <vt:lpwstr/>
      </vt:variant>
      <vt:variant>
        <vt:i4>983068</vt:i4>
      </vt:variant>
      <vt:variant>
        <vt:i4>1554</vt:i4>
      </vt:variant>
      <vt:variant>
        <vt:i4>0</vt:i4>
      </vt:variant>
      <vt:variant>
        <vt:i4>5</vt:i4>
      </vt:variant>
      <vt:variant>
        <vt:lpwstr>https://www.health.gov.au/resources/publications/at-hm-scheme-guidelines?language=en</vt:lpwstr>
      </vt:variant>
      <vt:variant>
        <vt:lpwstr/>
      </vt:variant>
      <vt:variant>
        <vt:i4>1310786</vt:i4>
      </vt:variant>
      <vt:variant>
        <vt:i4>1551</vt:i4>
      </vt:variant>
      <vt:variant>
        <vt:i4>0</vt:i4>
      </vt:variant>
      <vt:variant>
        <vt:i4>5</vt:i4>
      </vt:variant>
      <vt:variant>
        <vt:lpwstr>https://www.health.gov.au/resources/publications/assistive-technology-and-home-modifications-list-at-hm-list?language=en</vt:lpwstr>
      </vt:variant>
      <vt:variant>
        <vt:lpwstr/>
      </vt:variant>
      <vt:variant>
        <vt:i4>6029377</vt:i4>
      </vt:variant>
      <vt:variant>
        <vt:i4>1548</vt:i4>
      </vt:variant>
      <vt:variant>
        <vt:i4>0</vt:i4>
      </vt:variant>
      <vt:variant>
        <vt:i4>5</vt:i4>
      </vt:variant>
      <vt:variant>
        <vt:lpwstr>https://www.myagedcare.gov.au/access-your-online-account</vt:lpwstr>
      </vt:variant>
      <vt:variant>
        <vt:lpwstr/>
      </vt:variant>
      <vt:variant>
        <vt:i4>6946876</vt:i4>
      </vt:variant>
      <vt:variant>
        <vt:i4>1539</vt:i4>
      </vt:variant>
      <vt:variant>
        <vt:i4>0</vt:i4>
      </vt:variant>
      <vt:variant>
        <vt:i4>5</vt:i4>
      </vt:variant>
      <vt:variant>
        <vt:lpwstr>https://www.health.gov.au/resources/publications/my-aged-care-application-for-care-form?language=en</vt:lpwstr>
      </vt:variant>
      <vt:variant>
        <vt:lpwstr/>
      </vt:variant>
      <vt:variant>
        <vt:i4>2818157</vt:i4>
      </vt:variant>
      <vt:variant>
        <vt:i4>1524</vt:i4>
      </vt:variant>
      <vt:variant>
        <vt:i4>0</vt:i4>
      </vt:variant>
      <vt:variant>
        <vt:i4>5</vt:i4>
      </vt:variant>
      <vt:variant>
        <vt:lpwstr>https://www.ag.gov.au/legal-system/administrative-law/administrative-review-council/administrative-review-council-publications</vt:lpwstr>
      </vt:variant>
      <vt:variant>
        <vt:lpwstr/>
      </vt:variant>
      <vt:variant>
        <vt:i4>983068</vt:i4>
      </vt:variant>
      <vt:variant>
        <vt:i4>1521</vt:i4>
      </vt:variant>
      <vt:variant>
        <vt:i4>0</vt:i4>
      </vt:variant>
      <vt:variant>
        <vt:i4>5</vt:i4>
      </vt:variant>
      <vt:variant>
        <vt:lpwstr>https://www.health.gov.au/resources/publications/at-hm-scheme-guidelines?language=en</vt:lpwstr>
      </vt:variant>
      <vt:variant>
        <vt:lpwstr/>
      </vt:variant>
      <vt:variant>
        <vt:i4>6881312</vt:i4>
      </vt:variant>
      <vt:variant>
        <vt:i4>1512</vt:i4>
      </vt:variant>
      <vt:variant>
        <vt:i4>0</vt:i4>
      </vt:variant>
      <vt:variant>
        <vt:i4>5</vt:i4>
      </vt:variant>
      <vt:variant>
        <vt:lpwstr>https://www.health.gov.au/our-work/care-finder-program</vt:lpwstr>
      </vt:variant>
      <vt:variant>
        <vt:lpwstr/>
      </vt:variant>
      <vt:variant>
        <vt:i4>4128866</vt:i4>
      </vt:variant>
      <vt:variant>
        <vt:i4>1509</vt:i4>
      </vt:variant>
      <vt:variant>
        <vt:i4>0</vt:i4>
      </vt:variant>
      <vt:variant>
        <vt:i4>5</vt:i4>
      </vt:variant>
      <vt:variant>
        <vt:lpwstr>https://www.myagedcare.gov.au/help-care-finder</vt:lpwstr>
      </vt:variant>
      <vt:variant>
        <vt:lpwstr/>
      </vt:variant>
      <vt:variant>
        <vt:i4>1179740</vt:i4>
      </vt:variant>
      <vt:variant>
        <vt:i4>1506</vt:i4>
      </vt:variant>
      <vt:variant>
        <vt:i4>0</vt:i4>
      </vt:variant>
      <vt:variant>
        <vt:i4>5</vt:i4>
      </vt:variant>
      <vt:variant>
        <vt:lpwstr>https://www.health.gov.au/our-work/elder-care-support</vt:lpwstr>
      </vt:variant>
      <vt:variant>
        <vt:lpwstr/>
      </vt:variant>
      <vt:variant>
        <vt:i4>2555931</vt:i4>
      </vt:variant>
      <vt:variant>
        <vt:i4>1503</vt:i4>
      </vt:variant>
      <vt:variant>
        <vt:i4>0</vt:i4>
      </vt:variant>
      <vt:variant>
        <vt:i4>5</vt:i4>
      </vt:variant>
      <vt:variant>
        <vt:lpwstr>mailto: agedcare@naccho.org.au</vt:lpwstr>
      </vt:variant>
      <vt:variant>
        <vt:lpwstr/>
      </vt:variant>
      <vt:variant>
        <vt:i4>5963843</vt:i4>
      </vt:variant>
      <vt:variant>
        <vt:i4>1500</vt:i4>
      </vt:variant>
      <vt:variant>
        <vt:i4>0</vt:i4>
      </vt:variant>
      <vt:variant>
        <vt:i4>5</vt:i4>
      </vt:variant>
      <vt:variant>
        <vt:lpwstr>https://www.naccho.org.au/elder-care-support-program/</vt:lpwstr>
      </vt:variant>
      <vt:variant>
        <vt:lpwstr/>
      </vt:variant>
      <vt:variant>
        <vt:i4>4522011</vt:i4>
      </vt:variant>
      <vt:variant>
        <vt:i4>1497</vt:i4>
      </vt:variant>
      <vt:variant>
        <vt:i4>0</vt:i4>
      </vt:variant>
      <vt:variant>
        <vt:i4>5</vt:i4>
      </vt:variant>
      <vt:variant>
        <vt:lpwstr>https://deafconnect.org.au/services/interpreting</vt:lpwstr>
      </vt:variant>
      <vt:variant>
        <vt:lpwstr/>
      </vt:variant>
      <vt:variant>
        <vt:i4>7798832</vt:i4>
      </vt:variant>
      <vt:variant>
        <vt:i4>1494</vt:i4>
      </vt:variant>
      <vt:variant>
        <vt:i4>0</vt:i4>
      </vt:variant>
      <vt:variant>
        <vt:i4>5</vt:i4>
      </vt:variant>
      <vt:variant>
        <vt:lpwstr>https://deafconnect.org.au/</vt:lpwstr>
      </vt:variant>
      <vt:variant>
        <vt:lpwstr/>
      </vt:variant>
      <vt:variant>
        <vt:i4>1179657</vt:i4>
      </vt:variant>
      <vt:variant>
        <vt:i4>1491</vt:i4>
      </vt:variant>
      <vt:variant>
        <vt:i4>0</vt:i4>
      </vt:variant>
      <vt:variant>
        <vt:i4>5</vt:i4>
      </vt:variant>
      <vt:variant>
        <vt:lpwstr>https://www.myagedcare.gov.au/accessible-all</vt:lpwstr>
      </vt:variant>
      <vt:variant>
        <vt:lpwstr>relay</vt:lpwstr>
      </vt:variant>
      <vt:variant>
        <vt:i4>5046363</vt:i4>
      </vt:variant>
      <vt:variant>
        <vt:i4>1488</vt:i4>
      </vt:variant>
      <vt:variant>
        <vt:i4>0</vt:i4>
      </vt:variant>
      <vt:variant>
        <vt:i4>5</vt:i4>
      </vt:variant>
      <vt:variant>
        <vt:lpwstr>https://www.health.gov.au/our-work/aged-care-volunteer-visitors-scheme-acvvs</vt:lpwstr>
      </vt:variant>
      <vt:variant>
        <vt:lpwstr/>
      </vt:variant>
      <vt:variant>
        <vt:i4>6225943</vt:i4>
      </vt:variant>
      <vt:variant>
        <vt:i4>1485</vt:i4>
      </vt:variant>
      <vt:variant>
        <vt:i4>0</vt:i4>
      </vt:variant>
      <vt:variant>
        <vt:i4>5</vt:i4>
      </vt:variant>
      <vt:variant>
        <vt:lpwstr>https://www.health.gov.au/our-work/aged-care-volunteer-visitors-scheme-acvvs/request</vt:lpwstr>
      </vt:variant>
      <vt:variant>
        <vt:lpwstr/>
      </vt:variant>
      <vt:variant>
        <vt:i4>1769545</vt:i4>
      </vt:variant>
      <vt:variant>
        <vt:i4>1482</vt:i4>
      </vt:variant>
      <vt:variant>
        <vt:i4>0</vt:i4>
      </vt:variant>
      <vt:variant>
        <vt:i4>5</vt:i4>
      </vt:variant>
      <vt:variant>
        <vt:lpwstr>https://www.dementia.org.au/</vt:lpwstr>
      </vt:variant>
      <vt:variant>
        <vt:lpwstr/>
      </vt:variant>
      <vt:variant>
        <vt:i4>2949158</vt:i4>
      </vt:variant>
      <vt:variant>
        <vt:i4>1479</vt:i4>
      </vt:variant>
      <vt:variant>
        <vt:i4>0</vt:i4>
      </vt:variant>
      <vt:variant>
        <vt:i4>5</vt:i4>
      </vt:variant>
      <vt:variant>
        <vt:lpwstr>https://youngcarersnetwork.com.au/</vt:lpwstr>
      </vt:variant>
      <vt:variant>
        <vt:lpwstr/>
      </vt:variant>
      <vt:variant>
        <vt:i4>2490470</vt:i4>
      </vt:variant>
      <vt:variant>
        <vt:i4>1476</vt:i4>
      </vt:variant>
      <vt:variant>
        <vt:i4>0</vt:i4>
      </vt:variant>
      <vt:variant>
        <vt:i4>5</vt:i4>
      </vt:variant>
      <vt:variant>
        <vt:lpwstr>https://www.health.gov.au/resources/publications/my-aged-care-assessor-portal-user-guide-2-registering-support-people-and-adding-relationships</vt:lpwstr>
      </vt:variant>
      <vt:variant>
        <vt:lpwstr/>
      </vt:variant>
      <vt:variant>
        <vt:i4>917596</vt:i4>
      </vt:variant>
      <vt:variant>
        <vt:i4>1473</vt:i4>
      </vt:variant>
      <vt:variant>
        <vt:i4>0</vt:i4>
      </vt:variant>
      <vt:variant>
        <vt:i4>5</vt:i4>
      </vt:variant>
      <vt:variant>
        <vt:lpwstr>https://www.carergateway.gov.au/</vt:lpwstr>
      </vt:variant>
      <vt:variant>
        <vt:lpwstr/>
      </vt:variant>
      <vt:variant>
        <vt:i4>5046301</vt:i4>
      </vt:variant>
      <vt:variant>
        <vt:i4>1470</vt:i4>
      </vt:variant>
      <vt:variant>
        <vt:i4>0</vt:i4>
      </vt:variant>
      <vt:variant>
        <vt:i4>5</vt:i4>
      </vt:variant>
      <vt:variant>
        <vt:lpwstr>http://www.youngcarersnetwork.com.au/young-carer-bursary</vt:lpwstr>
      </vt:variant>
      <vt:variant>
        <vt:lpwstr/>
      </vt:variant>
      <vt:variant>
        <vt:i4>3604537</vt:i4>
      </vt:variant>
      <vt:variant>
        <vt:i4>1467</vt:i4>
      </vt:variant>
      <vt:variant>
        <vt:i4>0</vt:i4>
      </vt:variant>
      <vt:variant>
        <vt:i4>5</vt:i4>
      </vt:variant>
      <vt:variant>
        <vt:lpwstr>http://www.carergateway.gov.au/</vt:lpwstr>
      </vt:variant>
      <vt:variant>
        <vt:lpwstr/>
      </vt:variant>
      <vt:variant>
        <vt:i4>3604537</vt:i4>
      </vt:variant>
      <vt:variant>
        <vt:i4>1464</vt:i4>
      </vt:variant>
      <vt:variant>
        <vt:i4>0</vt:i4>
      </vt:variant>
      <vt:variant>
        <vt:i4>5</vt:i4>
      </vt:variant>
      <vt:variant>
        <vt:lpwstr>http://www.carergateway.gov.au/</vt:lpwstr>
      </vt:variant>
      <vt:variant>
        <vt:lpwstr/>
      </vt:variant>
      <vt:variant>
        <vt:i4>917596</vt:i4>
      </vt:variant>
      <vt:variant>
        <vt:i4>1461</vt:i4>
      </vt:variant>
      <vt:variant>
        <vt:i4>0</vt:i4>
      </vt:variant>
      <vt:variant>
        <vt:i4>5</vt:i4>
      </vt:variant>
      <vt:variant>
        <vt:lpwstr>https://www.carergateway.gov.au/</vt:lpwstr>
      </vt:variant>
      <vt:variant>
        <vt:lpwstr/>
      </vt:variant>
      <vt:variant>
        <vt:i4>3604537</vt:i4>
      </vt:variant>
      <vt:variant>
        <vt:i4>1458</vt:i4>
      </vt:variant>
      <vt:variant>
        <vt:i4>0</vt:i4>
      </vt:variant>
      <vt:variant>
        <vt:i4>5</vt:i4>
      </vt:variant>
      <vt:variant>
        <vt:lpwstr>http://www.carergateway.gov.au/</vt:lpwstr>
      </vt:variant>
      <vt:variant>
        <vt:lpwstr/>
      </vt:variant>
      <vt:variant>
        <vt:i4>2556031</vt:i4>
      </vt:variant>
      <vt:variant>
        <vt:i4>1455</vt:i4>
      </vt:variant>
      <vt:variant>
        <vt:i4>0</vt:i4>
      </vt:variant>
      <vt:variant>
        <vt:i4>5</vt:i4>
      </vt:variant>
      <vt:variant>
        <vt:lpwstr>https://www.health.gov.au/our-work/disability-support-for-older-australians-dsoa-program/about-the-disability-support-for-older-australians-program</vt:lpwstr>
      </vt:variant>
      <vt:variant>
        <vt:lpwstr/>
      </vt:variant>
      <vt:variant>
        <vt:i4>1572873</vt:i4>
      </vt:variant>
      <vt:variant>
        <vt:i4>1452</vt:i4>
      </vt:variant>
      <vt:variant>
        <vt:i4>0</vt:i4>
      </vt:variant>
      <vt:variant>
        <vt:i4>5</vt:i4>
      </vt:variant>
      <vt:variant>
        <vt:lpwstr>https://www.health.gov.au/resources/publications/disability-support-for-older-australians-program-program-manual</vt:lpwstr>
      </vt:variant>
      <vt:variant>
        <vt:lpwstr/>
      </vt:variant>
      <vt:variant>
        <vt:i4>2752553</vt:i4>
      </vt:variant>
      <vt:variant>
        <vt:i4>1449</vt:i4>
      </vt:variant>
      <vt:variant>
        <vt:i4>0</vt:i4>
      </vt:variant>
      <vt:variant>
        <vt:i4>5</vt:i4>
      </vt:variant>
      <vt:variant>
        <vt:lpwstr>https://www.dva.gov.au/providers/health-programs-and-services-our-clients/community-nursing-services-and-providers</vt:lpwstr>
      </vt:variant>
      <vt:variant>
        <vt:lpwstr/>
      </vt:variant>
      <vt:variant>
        <vt:i4>131102</vt:i4>
      </vt:variant>
      <vt:variant>
        <vt:i4>1446</vt:i4>
      </vt:variant>
      <vt:variant>
        <vt:i4>0</vt:i4>
      </vt:variant>
      <vt:variant>
        <vt:i4>5</vt:i4>
      </vt:variant>
      <vt:variant>
        <vt:lpwstr>https://www.dva.gov.au/health-and-treatment/care-home-or-aged-care/community-nursing</vt:lpwstr>
      </vt:variant>
      <vt:variant>
        <vt:lpwstr/>
      </vt:variant>
      <vt:variant>
        <vt:i4>5046274</vt:i4>
      </vt:variant>
      <vt:variant>
        <vt:i4>1443</vt:i4>
      </vt:variant>
      <vt:variant>
        <vt:i4>0</vt:i4>
      </vt:variant>
      <vt:variant>
        <vt:i4>5</vt:i4>
      </vt:variant>
      <vt:variant>
        <vt:lpwstr>https://www.dva.gov.au/what-we-help-with/care-at-home-and-aged-care-services</vt:lpwstr>
      </vt:variant>
      <vt:variant>
        <vt:lpwstr/>
      </vt:variant>
      <vt:variant>
        <vt:i4>2359349</vt:i4>
      </vt:variant>
      <vt:variant>
        <vt:i4>1440</vt:i4>
      </vt:variant>
      <vt:variant>
        <vt:i4>0</vt:i4>
      </vt:variant>
      <vt:variant>
        <vt:i4>5</vt:i4>
      </vt:variant>
      <vt:variant>
        <vt:lpwstr>https://www.dva.gov.au/</vt:lpwstr>
      </vt:variant>
      <vt:variant>
        <vt:lpwstr/>
      </vt:variant>
      <vt:variant>
        <vt:i4>3276903</vt:i4>
      </vt:variant>
      <vt:variant>
        <vt:i4>1437</vt:i4>
      </vt:variant>
      <vt:variant>
        <vt:i4>0</vt:i4>
      </vt:variant>
      <vt:variant>
        <vt:i4>5</vt:i4>
      </vt:variant>
      <vt:variant>
        <vt:lpwstr>https://www.health.gov.au/resources/publications/specialist-dementia-care-program-sdcp-information-booklet?language=en</vt:lpwstr>
      </vt:variant>
      <vt:variant>
        <vt:lpwstr/>
      </vt:variant>
      <vt:variant>
        <vt:i4>589892</vt:i4>
      </vt:variant>
      <vt:variant>
        <vt:i4>1434</vt:i4>
      </vt:variant>
      <vt:variant>
        <vt:i4>0</vt:i4>
      </vt:variant>
      <vt:variant>
        <vt:i4>5</vt:i4>
      </vt:variant>
      <vt:variant>
        <vt:lpwstr>https://www.dementia.com.au/sdcp</vt:lpwstr>
      </vt:variant>
      <vt:variant>
        <vt:lpwstr/>
      </vt:variant>
      <vt:variant>
        <vt:i4>8126574</vt:i4>
      </vt:variant>
      <vt:variant>
        <vt:i4>1431</vt:i4>
      </vt:variant>
      <vt:variant>
        <vt:i4>0</vt:i4>
      </vt:variant>
      <vt:variant>
        <vt:i4>5</vt:i4>
      </vt:variant>
      <vt:variant>
        <vt:lpwstr>https://www.dementia.com.au/dsa-staying-at-home</vt:lpwstr>
      </vt:variant>
      <vt:variant>
        <vt:lpwstr/>
      </vt:variant>
      <vt:variant>
        <vt:i4>1900628</vt:i4>
      </vt:variant>
      <vt:variant>
        <vt:i4>1428</vt:i4>
      </vt:variant>
      <vt:variant>
        <vt:i4>0</vt:i4>
      </vt:variant>
      <vt:variant>
        <vt:i4>5</vt:i4>
      </vt:variant>
      <vt:variant>
        <vt:lpwstr>https://www.dementia.com.au/</vt:lpwstr>
      </vt:variant>
      <vt:variant>
        <vt:lpwstr/>
      </vt:variant>
      <vt:variant>
        <vt:i4>6815788</vt:i4>
      </vt:variant>
      <vt:variant>
        <vt:i4>1425</vt:i4>
      </vt:variant>
      <vt:variant>
        <vt:i4>0</vt:i4>
      </vt:variant>
      <vt:variant>
        <vt:i4>5</vt:i4>
      </vt:variant>
      <vt:variant>
        <vt:lpwstr>https://www.dementia.com.au/hacdsp</vt:lpwstr>
      </vt:variant>
      <vt:variant>
        <vt:lpwstr/>
      </vt:variant>
      <vt:variant>
        <vt:i4>4915245</vt:i4>
      </vt:variant>
      <vt:variant>
        <vt:i4>1422</vt:i4>
      </vt:variant>
      <vt:variant>
        <vt:i4>0</vt:i4>
      </vt:variant>
      <vt:variant>
        <vt:i4>5</vt:i4>
      </vt:variant>
      <vt:variant>
        <vt:lpwstr>mailto:HACDSP@health.gov.au</vt:lpwstr>
      </vt:variant>
      <vt:variant>
        <vt:lpwstr/>
      </vt:variant>
      <vt:variant>
        <vt:i4>1900628</vt:i4>
      </vt:variant>
      <vt:variant>
        <vt:i4>1419</vt:i4>
      </vt:variant>
      <vt:variant>
        <vt:i4>0</vt:i4>
      </vt:variant>
      <vt:variant>
        <vt:i4>5</vt:i4>
      </vt:variant>
      <vt:variant>
        <vt:lpwstr>https://www.dementia.com.au/</vt:lpwstr>
      </vt:variant>
      <vt:variant>
        <vt:lpwstr/>
      </vt:variant>
      <vt:variant>
        <vt:i4>2228268</vt:i4>
      </vt:variant>
      <vt:variant>
        <vt:i4>1413</vt:i4>
      </vt:variant>
      <vt:variant>
        <vt:i4>0</vt:i4>
      </vt:variant>
      <vt:variant>
        <vt:i4>5</vt:i4>
      </vt:variant>
      <vt:variant>
        <vt:lpwstr>http://www.dementia.org.au/</vt:lpwstr>
      </vt:variant>
      <vt:variant>
        <vt:lpwstr/>
      </vt:variant>
      <vt:variant>
        <vt:i4>786499</vt:i4>
      </vt:variant>
      <vt:variant>
        <vt:i4>1410</vt:i4>
      </vt:variant>
      <vt:variant>
        <vt:i4>0</vt:i4>
      </vt:variant>
      <vt:variant>
        <vt:i4>5</vt:i4>
      </vt:variant>
      <vt:variant>
        <vt:lpwstr>https://www.health.gov.au/our-work/residential-aged-care/managing-residential-aged-care-services/managing-residential-respite-care-allowances</vt:lpwstr>
      </vt:variant>
      <vt:variant>
        <vt:lpwstr/>
      </vt:variant>
      <vt:variant>
        <vt:i4>917570</vt:i4>
      </vt:variant>
      <vt:variant>
        <vt:i4>1407</vt:i4>
      </vt:variant>
      <vt:variant>
        <vt:i4>0</vt:i4>
      </vt:variant>
      <vt:variant>
        <vt:i4>5</vt:i4>
      </vt:variant>
      <vt:variant>
        <vt:lpwstr>https://www.health.gov.au/our-work/places-to-people-embedding-choice-in-residential-aged-care</vt:lpwstr>
      </vt:variant>
      <vt:variant>
        <vt:lpwstr/>
      </vt:variant>
      <vt:variant>
        <vt:i4>2293810</vt:i4>
      </vt:variant>
      <vt:variant>
        <vt:i4>1404</vt:i4>
      </vt:variant>
      <vt:variant>
        <vt:i4>0</vt:i4>
      </vt:variant>
      <vt:variant>
        <vt:i4>5</vt:i4>
      </vt:variant>
      <vt:variant>
        <vt:lpwstr>https://www.health.gov.au/topics/rural-health-workforce/classifications/mmm</vt:lpwstr>
      </vt:variant>
      <vt:variant>
        <vt:lpwstr/>
      </vt:variant>
      <vt:variant>
        <vt:i4>5373963</vt:i4>
      </vt:variant>
      <vt:variant>
        <vt:i4>1395</vt:i4>
      </vt:variant>
      <vt:variant>
        <vt:i4>0</vt:i4>
      </vt:variant>
      <vt:variant>
        <vt:i4>5</vt:i4>
      </vt:variant>
      <vt:variant>
        <vt:lpwstr>https://www.health.gov.au/resources/publications/transition-care-program-guidelines-november-2025</vt:lpwstr>
      </vt:variant>
      <vt:variant>
        <vt:lpwstr/>
      </vt:variant>
      <vt:variant>
        <vt:i4>5242885</vt:i4>
      </vt:variant>
      <vt:variant>
        <vt:i4>1392</vt:i4>
      </vt:variant>
      <vt:variant>
        <vt:i4>0</vt:i4>
      </vt:variant>
      <vt:variant>
        <vt:i4>5</vt:i4>
      </vt:variant>
      <vt:variant>
        <vt:lpwstr>https://www.health.gov.au/our-work/the-multi-purpose-service-program/about-the-multi-purpose-service-program</vt:lpwstr>
      </vt:variant>
      <vt:variant>
        <vt:lpwstr/>
      </vt:variant>
      <vt:variant>
        <vt:i4>720988</vt:i4>
      </vt:variant>
      <vt:variant>
        <vt:i4>1389</vt:i4>
      </vt:variant>
      <vt:variant>
        <vt:i4>0</vt:i4>
      </vt:variant>
      <vt:variant>
        <vt:i4>5</vt:i4>
      </vt:variant>
      <vt:variant>
        <vt:lpwstr>https://www.health.gov.au/resources/publications/natsifac-program-manual?language=en</vt:lpwstr>
      </vt:variant>
      <vt:variant>
        <vt:lpwstr/>
      </vt:variant>
      <vt:variant>
        <vt:i4>5308500</vt:i4>
      </vt:variant>
      <vt:variant>
        <vt:i4>1386</vt:i4>
      </vt:variant>
      <vt:variant>
        <vt:i4>0</vt:i4>
      </vt:variant>
      <vt:variant>
        <vt:i4>5</vt:i4>
      </vt:variant>
      <vt:variant>
        <vt:lpwstr>https://www.health.gov.au/our-work/national-aboriginal-and-torres-strait-islander-flexible-aged-care-program</vt:lpwstr>
      </vt:variant>
      <vt:variant>
        <vt:lpwstr/>
      </vt:variant>
      <vt:variant>
        <vt:i4>4980818</vt:i4>
      </vt:variant>
      <vt:variant>
        <vt:i4>1383</vt:i4>
      </vt:variant>
      <vt:variant>
        <vt:i4>0</vt:i4>
      </vt:variant>
      <vt:variant>
        <vt:i4>5</vt:i4>
      </vt:variant>
      <vt:variant>
        <vt:lpwstr>https://www.health.gov.au/resources/publications/living-well-at-home-chsp-good-practice-guide</vt:lpwstr>
      </vt:variant>
      <vt:variant>
        <vt:lpwstr/>
      </vt:variant>
      <vt:variant>
        <vt:i4>131091</vt:i4>
      </vt:variant>
      <vt:variant>
        <vt:i4>1380</vt:i4>
      </vt:variant>
      <vt:variant>
        <vt:i4>0</vt:i4>
      </vt:variant>
      <vt:variant>
        <vt:i4>5</vt:i4>
      </vt:variant>
      <vt:variant>
        <vt:lpwstr>https://www.health.gov.au/resources/collections/wellness-and-reablement-resources?language=en</vt:lpwstr>
      </vt:variant>
      <vt:variant>
        <vt:lpwstr/>
      </vt:variant>
      <vt:variant>
        <vt:i4>7733359</vt:i4>
      </vt:variant>
      <vt:variant>
        <vt:i4>1377</vt:i4>
      </vt:variant>
      <vt:variant>
        <vt:i4>0</vt:i4>
      </vt:variant>
      <vt:variant>
        <vt:i4>5</vt:i4>
      </vt:variant>
      <vt:variant>
        <vt:lpwstr>https://www.health.gov.au/resources/publications/commonwealth-home-support-program-chsp-2025-27-manual?language=en</vt:lpwstr>
      </vt:variant>
      <vt:variant>
        <vt:lpwstr/>
      </vt:variant>
      <vt:variant>
        <vt:i4>1638493</vt:i4>
      </vt:variant>
      <vt:variant>
        <vt:i4>1368</vt:i4>
      </vt:variant>
      <vt:variant>
        <vt:i4>0</vt:i4>
      </vt:variant>
      <vt:variant>
        <vt:i4>5</vt:i4>
      </vt:variant>
      <vt:variant>
        <vt:lpwstr>https://www.myagedcare.gov.au/help-care-finder</vt:lpwstr>
      </vt:variant>
      <vt:variant>
        <vt:lpwstr>who-can-use-the-care-finder-service</vt:lpwstr>
      </vt:variant>
      <vt:variant>
        <vt:i4>1179740</vt:i4>
      </vt:variant>
      <vt:variant>
        <vt:i4>1365</vt:i4>
      </vt:variant>
      <vt:variant>
        <vt:i4>0</vt:i4>
      </vt:variant>
      <vt:variant>
        <vt:i4>5</vt:i4>
      </vt:variant>
      <vt:variant>
        <vt:lpwstr>https://www.health.gov.au/our-work/elder-care-support</vt:lpwstr>
      </vt:variant>
      <vt:variant>
        <vt:lpwstr/>
      </vt:variant>
      <vt:variant>
        <vt:i4>327771</vt:i4>
      </vt:variant>
      <vt:variant>
        <vt:i4>1362</vt:i4>
      </vt:variant>
      <vt:variant>
        <vt:i4>0</vt:i4>
      </vt:variant>
      <vt:variant>
        <vt:i4>5</vt:i4>
      </vt:variant>
      <vt:variant>
        <vt:lpwstr>https://www.health.gov.au/node/56679?language=en</vt:lpwstr>
      </vt:variant>
      <vt:variant>
        <vt:lpwstr/>
      </vt:variant>
      <vt:variant>
        <vt:i4>3538992</vt:i4>
      </vt:variant>
      <vt:variant>
        <vt:i4>1359</vt:i4>
      </vt:variant>
      <vt:variant>
        <vt:i4>0</vt:i4>
      </vt:variant>
      <vt:variant>
        <vt:i4>5</vt:i4>
      </vt:variant>
      <vt:variant>
        <vt:lpwstr>https://www.health.gov.au/resources/publications/chsp-service-catalogue-2025-27</vt:lpwstr>
      </vt:variant>
      <vt:variant>
        <vt:lpwstr/>
      </vt:variant>
      <vt:variant>
        <vt:i4>983068</vt:i4>
      </vt:variant>
      <vt:variant>
        <vt:i4>1356</vt:i4>
      </vt:variant>
      <vt:variant>
        <vt:i4>0</vt:i4>
      </vt:variant>
      <vt:variant>
        <vt:i4>5</vt:i4>
      </vt:variant>
      <vt:variant>
        <vt:lpwstr>https://www.health.gov.au/resources/publications/at-hm-scheme-guidelines?language=en</vt:lpwstr>
      </vt:variant>
      <vt:variant>
        <vt:lpwstr/>
      </vt:variant>
      <vt:variant>
        <vt:i4>3735594</vt:i4>
      </vt:variant>
      <vt:variant>
        <vt:i4>1353</vt:i4>
      </vt:variant>
      <vt:variant>
        <vt:i4>0</vt:i4>
      </vt:variant>
      <vt:variant>
        <vt:i4>5</vt:i4>
      </vt:variant>
      <vt:variant>
        <vt:lpwstr>https://www.healthdirect.gov.au/assistance-dogs</vt:lpwstr>
      </vt:variant>
      <vt:variant>
        <vt:lpwstr>:~:text=An%20assistance%20dog%20is%20a,are%20individually%20trained%20in%20obedience</vt:lpwstr>
      </vt:variant>
      <vt:variant>
        <vt:i4>7995447</vt:i4>
      </vt:variant>
      <vt:variant>
        <vt:i4>1350</vt:i4>
      </vt:variant>
      <vt:variant>
        <vt:i4>0</vt:i4>
      </vt:variant>
      <vt:variant>
        <vt:i4>5</vt:i4>
      </vt:variant>
      <vt:variant>
        <vt:lpwstr>https://www.assistancedogs.org.au/services/service-dog/</vt:lpwstr>
      </vt:variant>
      <vt:variant>
        <vt:lpwstr/>
      </vt:variant>
      <vt:variant>
        <vt:i4>5701658</vt:i4>
      </vt:variant>
      <vt:variant>
        <vt:i4>1347</vt:i4>
      </vt:variant>
      <vt:variant>
        <vt:i4>0</vt:i4>
      </vt:variant>
      <vt:variant>
        <vt:i4>5</vt:i4>
      </vt:variant>
      <vt:variant>
        <vt:lpwstr>https://www.health.gov.au/resources/publications/assistive-technology-and-home-modifications-list-at-hm-list</vt:lpwstr>
      </vt:variant>
      <vt:variant>
        <vt:lpwstr/>
      </vt:variant>
      <vt:variant>
        <vt:i4>5701658</vt:i4>
      </vt:variant>
      <vt:variant>
        <vt:i4>1344</vt:i4>
      </vt:variant>
      <vt:variant>
        <vt:i4>0</vt:i4>
      </vt:variant>
      <vt:variant>
        <vt:i4>5</vt:i4>
      </vt:variant>
      <vt:variant>
        <vt:lpwstr>https://www.health.gov.au/resources/publications/assistive-technology-and-home-modifications-list-at-hm-list</vt:lpwstr>
      </vt:variant>
      <vt:variant>
        <vt:lpwstr/>
      </vt:variant>
      <vt:variant>
        <vt:i4>5832777</vt:i4>
      </vt:variant>
      <vt:variant>
        <vt:i4>1338</vt:i4>
      </vt:variant>
      <vt:variant>
        <vt:i4>0</vt:i4>
      </vt:variant>
      <vt:variant>
        <vt:i4>5</vt:i4>
      </vt:variant>
      <vt:variant>
        <vt:lpwstr>https://www.health.gov.au/resources/publications/support-at-home-program-manual-a-guide-for-registered-providers?language=en</vt:lpwstr>
      </vt:variant>
      <vt:variant>
        <vt:lpwstr/>
      </vt:variant>
      <vt:variant>
        <vt:i4>7602229</vt:i4>
      </vt:variant>
      <vt:variant>
        <vt:i4>1335</vt:i4>
      </vt:variant>
      <vt:variant>
        <vt:i4>0</vt:i4>
      </vt:variant>
      <vt:variant>
        <vt:i4>5</vt:i4>
      </vt:variant>
      <vt:variant>
        <vt:lpwstr>https://www.myagedcare.gov.au/resources</vt:lpwstr>
      </vt:variant>
      <vt:variant>
        <vt:lpwstr/>
      </vt:variant>
      <vt:variant>
        <vt:i4>7602229</vt:i4>
      </vt:variant>
      <vt:variant>
        <vt:i4>1329</vt:i4>
      </vt:variant>
      <vt:variant>
        <vt:i4>0</vt:i4>
      </vt:variant>
      <vt:variant>
        <vt:i4>5</vt:i4>
      </vt:variant>
      <vt:variant>
        <vt:lpwstr>https://www.myagedcare.gov.au/resources</vt:lpwstr>
      </vt:variant>
      <vt:variant>
        <vt:lpwstr/>
      </vt:variant>
      <vt:variant>
        <vt:i4>6029377</vt:i4>
      </vt:variant>
      <vt:variant>
        <vt:i4>1326</vt:i4>
      </vt:variant>
      <vt:variant>
        <vt:i4>0</vt:i4>
      </vt:variant>
      <vt:variant>
        <vt:i4>5</vt:i4>
      </vt:variant>
      <vt:variant>
        <vt:lpwstr>https://www.myagedcare.gov.au/access-your-online-account</vt:lpwstr>
      </vt:variant>
      <vt:variant>
        <vt:lpwstr/>
      </vt:variant>
      <vt:variant>
        <vt:i4>1179740</vt:i4>
      </vt:variant>
      <vt:variant>
        <vt:i4>1323</vt:i4>
      </vt:variant>
      <vt:variant>
        <vt:i4>0</vt:i4>
      </vt:variant>
      <vt:variant>
        <vt:i4>5</vt:i4>
      </vt:variant>
      <vt:variant>
        <vt:lpwstr>https://www.health.gov.au/our-work/elder-care-support</vt:lpwstr>
      </vt:variant>
      <vt:variant>
        <vt:lpwstr/>
      </vt:variant>
      <vt:variant>
        <vt:i4>6881312</vt:i4>
      </vt:variant>
      <vt:variant>
        <vt:i4>1320</vt:i4>
      </vt:variant>
      <vt:variant>
        <vt:i4>0</vt:i4>
      </vt:variant>
      <vt:variant>
        <vt:i4>5</vt:i4>
      </vt:variant>
      <vt:variant>
        <vt:lpwstr>https://www.health.gov.au/our-work/care-finder-program</vt:lpwstr>
      </vt:variant>
      <vt:variant>
        <vt:lpwstr/>
      </vt:variant>
      <vt:variant>
        <vt:i4>327685</vt:i4>
      </vt:variant>
      <vt:variant>
        <vt:i4>1311</vt:i4>
      </vt:variant>
      <vt:variant>
        <vt:i4>0</vt:i4>
      </vt:variant>
      <vt:variant>
        <vt:i4>5</vt:i4>
      </vt:variant>
      <vt:variant>
        <vt:lpwstr>https://www.health.gov.au/resources/publications/list-of-elder-care-support-providers</vt:lpwstr>
      </vt:variant>
      <vt:variant>
        <vt:lpwstr/>
      </vt:variant>
      <vt:variant>
        <vt:i4>4980818</vt:i4>
      </vt:variant>
      <vt:variant>
        <vt:i4>1308</vt:i4>
      </vt:variant>
      <vt:variant>
        <vt:i4>0</vt:i4>
      </vt:variant>
      <vt:variant>
        <vt:i4>5</vt:i4>
      </vt:variant>
      <vt:variant>
        <vt:lpwstr>https://www.health.gov.au/resources/publications/living-well-at-home-chsp-good-practice-guide</vt:lpwstr>
      </vt:variant>
      <vt:variant>
        <vt:lpwstr/>
      </vt:variant>
      <vt:variant>
        <vt:i4>131091</vt:i4>
      </vt:variant>
      <vt:variant>
        <vt:i4>1305</vt:i4>
      </vt:variant>
      <vt:variant>
        <vt:i4>0</vt:i4>
      </vt:variant>
      <vt:variant>
        <vt:i4>5</vt:i4>
      </vt:variant>
      <vt:variant>
        <vt:lpwstr>https://www.health.gov.au/resources/collections/wellness-and-reablement-resources?language=en</vt:lpwstr>
      </vt:variant>
      <vt:variant>
        <vt:lpwstr/>
      </vt:variant>
      <vt:variant>
        <vt:i4>7733359</vt:i4>
      </vt:variant>
      <vt:variant>
        <vt:i4>1302</vt:i4>
      </vt:variant>
      <vt:variant>
        <vt:i4>0</vt:i4>
      </vt:variant>
      <vt:variant>
        <vt:i4>5</vt:i4>
      </vt:variant>
      <vt:variant>
        <vt:lpwstr>https://www.health.gov.au/resources/publications/commonwealth-home-support-program-chsp-2025-27-manual?language=en</vt:lpwstr>
      </vt:variant>
      <vt:variant>
        <vt:lpwstr/>
      </vt:variant>
      <vt:variant>
        <vt:i4>786498</vt:i4>
      </vt:variant>
      <vt:variant>
        <vt:i4>1296</vt:i4>
      </vt:variant>
      <vt:variant>
        <vt:i4>0</vt:i4>
      </vt:variant>
      <vt:variant>
        <vt:i4>5</vt:i4>
      </vt:variant>
      <vt:variant>
        <vt:lpwstr>https://www.health.gov.au/resources/publications/my-aged-care-assessor-portal-user-guide-4-navigating-and-updating-the-client-record</vt:lpwstr>
      </vt:variant>
      <vt:variant>
        <vt:lpwstr/>
      </vt:variant>
      <vt:variant>
        <vt:i4>3539057</vt:i4>
      </vt:variant>
      <vt:variant>
        <vt:i4>1290</vt:i4>
      </vt:variant>
      <vt:variant>
        <vt:i4>0</vt:i4>
      </vt:variant>
      <vt:variant>
        <vt:i4>5</vt:i4>
      </vt:variant>
      <vt:variant>
        <vt:lpwstr>https://www.health.gov.au/resources/publications/aged-care-assessment-quality-framework?language=en</vt:lpwstr>
      </vt:variant>
      <vt:variant>
        <vt:lpwstr/>
      </vt:variant>
      <vt:variant>
        <vt:i4>3539057</vt:i4>
      </vt:variant>
      <vt:variant>
        <vt:i4>1287</vt:i4>
      </vt:variant>
      <vt:variant>
        <vt:i4>0</vt:i4>
      </vt:variant>
      <vt:variant>
        <vt:i4>5</vt:i4>
      </vt:variant>
      <vt:variant>
        <vt:lpwstr>https://www.health.gov.au/resources/publications/aged-care-assessment-quality-framework?language=en</vt:lpwstr>
      </vt:variant>
      <vt:variant>
        <vt:lpwstr/>
      </vt:variant>
      <vt:variant>
        <vt:i4>2228285</vt:i4>
      </vt:variant>
      <vt:variant>
        <vt:i4>1284</vt:i4>
      </vt:variant>
      <vt:variant>
        <vt:i4>0</vt:i4>
      </vt:variant>
      <vt:variant>
        <vt:i4>5</vt:i4>
      </vt:variant>
      <vt:variant>
        <vt:lpwstr>https://www.health.gov.au/resources/publications/integrated-assessment-tool-iat-user-guide?language=en</vt:lpwstr>
      </vt:variant>
      <vt:variant>
        <vt:lpwstr/>
      </vt:variant>
      <vt:variant>
        <vt:i4>6619199</vt:i4>
      </vt:variant>
      <vt:variant>
        <vt:i4>1281</vt:i4>
      </vt:variant>
      <vt:variant>
        <vt:i4>0</vt:i4>
      </vt:variant>
      <vt:variant>
        <vt:i4>5</vt:i4>
      </vt:variant>
      <vt:variant>
        <vt:lpwstr>https://www.health.gov.au/resources/publications/my-aged-care-integrated-assessment-tool-iat-user-guide?language=en</vt:lpwstr>
      </vt:variant>
      <vt:variant>
        <vt:lpwstr/>
      </vt:variant>
      <vt:variant>
        <vt:i4>2228285</vt:i4>
      </vt:variant>
      <vt:variant>
        <vt:i4>1278</vt:i4>
      </vt:variant>
      <vt:variant>
        <vt:i4>0</vt:i4>
      </vt:variant>
      <vt:variant>
        <vt:i4>5</vt:i4>
      </vt:variant>
      <vt:variant>
        <vt:lpwstr>https://www.health.gov.au/resources/publications/integrated-assessment-tool-iat-user-guide?language=en</vt:lpwstr>
      </vt:variant>
      <vt:variant>
        <vt:lpwstr/>
      </vt:variant>
      <vt:variant>
        <vt:i4>2228285</vt:i4>
      </vt:variant>
      <vt:variant>
        <vt:i4>1275</vt:i4>
      </vt:variant>
      <vt:variant>
        <vt:i4>0</vt:i4>
      </vt:variant>
      <vt:variant>
        <vt:i4>5</vt:i4>
      </vt:variant>
      <vt:variant>
        <vt:lpwstr>https://www.health.gov.au/resources/publications/integrated-assessment-tool-iat-user-guide?language=en</vt:lpwstr>
      </vt:variant>
      <vt:variant>
        <vt:lpwstr/>
      </vt:variant>
      <vt:variant>
        <vt:i4>7077928</vt:i4>
      </vt:variant>
      <vt:variant>
        <vt:i4>1272</vt:i4>
      </vt:variant>
      <vt:variant>
        <vt:i4>0</vt:i4>
      </vt:variant>
      <vt:variant>
        <vt:i4>5</vt:i4>
      </vt:variant>
      <vt:variant>
        <vt:lpwstr>https://www.health.gov.au/resources/collections/registered-supporter-resources</vt:lpwstr>
      </vt:variant>
      <vt:variant>
        <vt:lpwstr/>
      </vt:variant>
      <vt:variant>
        <vt:i4>3014698</vt:i4>
      </vt:variant>
      <vt:variant>
        <vt:i4>1269</vt:i4>
      </vt:variant>
      <vt:variant>
        <vt:i4>0</vt:i4>
      </vt:variant>
      <vt:variant>
        <vt:i4>5</vt:i4>
      </vt:variant>
      <vt:variant>
        <vt:lpwstr>http://www.myagedcare.gov.au/registering-supporter</vt:lpwstr>
      </vt:variant>
      <vt:variant>
        <vt:lpwstr/>
      </vt:variant>
      <vt:variant>
        <vt:i4>1900625</vt:i4>
      </vt:variant>
      <vt:variant>
        <vt:i4>1266</vt:i4>
      </vt:variant>
      <vt:variant>
        <vt:i4>0</vt:i4>
      </vt:variant>
      <vt:variant>
        <vt:i4>5</vt:i4>
      </vt:variant>
      <vt:variant>
        <vt:lpwstr>https://www.myagedcare.gov.au/registering-supporter-form</vt:lpwstr>
      </vt:variant>
      <vt:variant>
        <vt:lpwstr/>
      </vt:variant>
      <vt:variant>
        <vt:i4>6553712</vt:i4>
      </vt:variant>
      <vt:variant>
        <vt:i4>1263</vt:i4>
      </vt:variant>
      <vt:variant>
        <vt:i4>0</vt:i4>
      </vt:variant>
      <vt:variant>
        <vt:i4>5</vt:i4>
      </vt:variant>
      <vt:variant>
        <vt:lpwstr>https://www.myagedcare.gov.au/publications/registration-supporter-form</vt:lpwstr>
      </vt:variant>
      <vt:variant>
        <vt:lpwstr/>
      </vt:variant>
      <vt:variant>
        <vt:i4>7667813</vt:i4>
      </vt:variant>
      <vt:variant>
        <vt:i4>1257</vt:i4>
      </vt:variant>
      <vt:variant>
        <vt:i4>0</vt:i4>
      </vt:variant>
      <vt:variant>
        <vt:i4>5</vt:i4>
      </vt:variant>
      <vt:variant>
        <vt:lpwstr>https://www.health.gov.au/resources/publications/my-aged-care-assessor-portal-user-guide-6-completing-an-assessment</vt:lpwstr>
      </vt:variant>
      <vt:variant>
        <vt:lpwstr/>
      </vt:variant>
      <vt:variant>
        <vt:i4>4063358</vt:i4>
      </vt:variant>
      <vt:variant>
        <vt:i4>1254</vt:i4>
      </vt:variant>
      <vt:variant>
        <vt:i4>0</vt:i4>
      </vt:variant>
      <vt:variant>
        <vt:i4>5</vt:i4>
      </vt:variant>
      <vt:variant>
        <vt:lpwstr>https://www.health.gov.au/resources/apps-and-tools/health-workforce-locator</vt:lpwstr>
      </vt:variant>
      <vt:variant>
        <vt:lpwstr/>
      </vt:variant>
      <vt:variant>
        <vt:i4>4128866</vt:i4>
      </vt:variant>
      <vt:variant>
        <vt:i4>1248</vt:i4>
      </vt:variant>
      <vt:variant>
        <vt:i4>0</vt:i4>
      </vt:variant>
      <vt:variant>
        <vt:i4>5</vt:i4>
      </vt:variant>
      <vt:variant>
        <vt:lpwstr>https://www.myagedcare.gov.au/help-care-finder</vt:lpwstr>
      </vt:variant>
      <vt:variant>
        <vt:lpwstr/>
      </vt:variant>
      <vt:variant>
        <vt:i4>1441815</vt:i4>
      </vt:variant>
      <vt:variant>
        <vt:i4>1245</vt:i4>
      </vt:variant>
      <vt:variant>
        <vt:i4>0</vt:i4>
      </vt:variant>
      <vt:variant>
        <vt:i4>5</vt:i4>
      </vt:variant>
      <vt:variant>
        <vt:lpwstr>https://www.myagedcare.gov.au/accessible-all</vt:lpwstr>
      </vt:variant>
      <vt:variant>
        <vt:lpwstr/>
      </vt:variant>
      <vt:variant>
        <vt:i4>6422644</vt:i4>
      </vt:variant>
      <vt:variant>
        <vt:i4>1242</vt:i4>
      </vt:variant>
      <vt:variant>
        <vt:i4>0</vt:i4>
      </vt:variant>
      <vt:variant>
        <vt:i4>5</vt:i4>
      </vt:variant>
      <vt:variant>
        <vt:lpwstr>https://www.health.gov.au/resources/publications/fact-sheet-for-ras-and-acat-assessors-on-care-finders?language=en</vt:lpwstr>
      </vt:variant>
      <vt:variant>
        <vt:lpwstr/>
      </vt:variant>
      <vt:variant>
        <vt:i4>1114204</vt:i4>
      </vt:variant>
      <vt:variant>
        <vt:i4>1239</vt:i4>
      </vt:variant>
      <vt:variant>
        <vt:i4>0</vt:i4>
      </vt:variant>
      <vt:variant>
        <vt:i4>5</vt:i4>
      </vt:variant>
      <vt:variant>
        <vt:lpwstr>https://www.health.gov.au/our-work/sign-language-interpreting-and-captioning-services-for-australian-government-subsidised-aged-care-services</vt:lpwstr>
      </vt:variant>
      <vt:variant>
        <vt:lpwstr/>
      </vt:variant>
      <vt:variant>
        <vt:i4>1507352</vt:i4>
      </vt:variant>
      <vt:variant>
        <vt:i4>1236</vt:i4>
      </vt:variant>
      <vt:variant>
        <vt:i4>0</vt:i4>
      </vt:variant>
      <vt:variant>
        <vt:i4>5</vt:i4>
      </vt:variant>
      <vt:variant>
        <vt:lpwstr>https://www.health.gov.au/resources/publications/fact-sheet-for-assessors-and-triage-delegates-on-support-plan-reviews-that-initiate-a-new-assessment?language=en</vt:lpwstr>
      </vt:variant>
      <vt:variant>
        <vt:lpwstr/>
      </vt:variant>
      <vt:variant>
        <vt:i4>2228285</vt:i4>
      </vt:variant>
      <vt:variant>
        <vt:i4>1230</vt:i4>
      </vt:variant>
      <vt:variant>
        <vt:i4>0</vt:i4>
      </vt:variant>
      <vt:variant>
        <vt:i4>5</vt:i4>
      </vt:variant>
      <vt:variant>
        <vt:lpwstr>https://www.health.gov.au/resources/publications/integrated-assessment-tool-iat-user-guide?language=en</vt:lpwstr>
      </vt:variant>
      <vt:variant>
        <vt:lpwstr/>
      </vt:variant>
      <vt:variant>
        <vt:i4>4128826</vt:i4>
      </vt:variant>
      <vt:variant>
        <vt:i4>1224</vt:i4>
      </vt:variant>
      <vt:variant>
        <vt:i4>0</vt:i4>
      </vt:variant>
      <vt:variant>
        <vt:i4>5</vt:i4>
      </vt:variant>
      <vt:variant>
        <vt:lpwstr>https://www.myagedcare.gov.au/support-for-lgbti-people</vt:lpwstr>
      </vt:variant>
      <vt:variant>
        <vt:lpwstr/>
      </vt:variant>
      <vt:variant>
        <vt:i4>1179740</vt:i4>
      </vt:variant>
      <vt:variant>
        <vt:i4>1221</vt:i4>
      </vt:variant>
      <vt:variant>
        <vt:i4>0</vt:i4>
      </vt:variant>
      <vt:variant>
        <vt:i4>5</vt:i4>
      </vt:variant>
      <vt:variant>
        <vt:lpwstr>https://www.health.gov.au/our-work/elder-care-support</vt:lpwstr>
      </vt:variant>
      <vt:variant>
        <vt:lpwstr/>
      </vt:variant>
      <vt:variant>
        <vt:i4>4128866</vt:i4>
      </vt:variant>
      <vt:variant>
        <vt:i4>1218</vt:i4>
      </vt:variant>
      <vt:variant>
        <vt:i4>0</vt:i4>
      </vt:variant>
      <vt:variant>
        <vt:i4>5</vt:i4>
      </vt:variant>
      <vt:variant>
        <vt:lpwstr>https://www.myagedcare.gov.au/help-care-finder</vt:lpwstr>
      </vt:variant>
      <vt:variant>
        <vt:lpwstr/>
      </vt:variant>
      <vt:variant>
        <vt:i4>4980819</vt:i4>
      </vt:variant>
      <vt:variant>
        <vt:i4>1215</vt:i4>
      </vt:variant>
      <vt:variant>
        <vt:i4>0</vt:i4>
      </vt:variant>
      <vt:variant>
        <vt:i4>5</vt:i4>
      </vt:variant>
      <vt:variant>
        <vt:lpwstr>https://www.myagedcare.gov.au/getting-support</vt:lpwstr>
      </vt:variant>
      <vt:variant>
        <vt:lpwstr/>
      </vt:variant>
      <vt:variant>
        <vt:i4>3014769</vt:i4>
      </vt:variant>
      <vt:variant>
        <vt:i4>1212</vt:i4>
      </vt:variant>
      <vt:variant>
        <vt:i4>0</vt:i4>
      </vt:variant>
      <vt:variant>
        <vt:i4>5</vt:i4>
      </vt:variant>
      <vt:variant>
        <vt:lpwstr>https://www.myagedcare.gov.au/support-people-culturally-and-linguistically-diverse-backgrounds</vt:lpwstr>
      </vt:variant>
      <vt:variant>
        <vt:lpwstr/>
      </vt:variant>
      <vt:variant>
        <vt:i4>4784201</vt:i4>
      </vt:variant>
      <vt:variant>
        <vt:i4>1209</vt:i4>
      </vt:variant>
      <vt:variant>
        <vt:i4>0</vt:i4>
      </vt:variant>
      <vt:variant>
        <vt:i4>5</vt:i4>
      </vt:variant>
      <vt:variant>
        <vt:lpwstr>https://opan.org.au/</vt:lpwstr>
      </vt:variant>
      <vt:variant>
        <vt:lpwstr/>
      </vt:variant>
      <vt:variant>
        <vt:i4>3014698</vt:i4>
      </vt:variant>
      <vt:variant>
        <vt:i4>1206</vt:i4>
      </vt:variant>
      <vt:variant>
        <vt:i4>0</vt:i4>
      </vt:variant>
      <vt:variant>
        <vt:i4>5</vt:i4>
      </vt:variant>
      <vt:variant>
        <vt:lpwstr>http://www.myagedcare.gov.au/registering-supporter</vt:lpwstr>
      </vt:variant>
      <vt:variant>
        <vt:lpwstr/>
      </vt:variant>
      <vt:variant>
        <vt:i4>5308483</vt:i4>
      </vt:variant>
      <vt:variant>
        <vt:i4>1197</vt:i4>
      </vt:variant>
      <vt:variant>
        <vt:i4>0</vt:i4>
      </vt:variant>
      <vt:variant>
        <vt:i4>5</vt:i4>
      </vt:variant>
      <vt:variant>
        <vt:lpwstr>https://www.myagedcare.gov.au/elder-care-support-program</vt:lpwstr>
      </vt:variant>
      <vt:variant>
        <vt:lpwstr/>
      </vt:variant>
      <vt:variant>
        <vt:i4>4128866</vt:i4>
      </vt:variant>
      <vt:variant>
        <vt:i4>1194</vt:i4>
      </vt:variant>
      <vt:variant>
        <vt:i4>0</vt:i4>
      </vt:variant>
      <vt:variant>
        <vt:i4>5</vt:i4>
      </vt:variant>
      <vt:variant>
        <vt:lpwstr>https://www.myagedcare.gov.au/help-care-finder</vt:lpwstr>
      </vt:variant>
      <vt:variant>
        <vt:lpwstr/>
      </vt:variant>
      <vt:variant>
        <vt:i4>7340144</vt:i4>
      </vt:variant>
      <vt:variant>
        <vt:i4>1185</vt:i4>
      </vt:variant>
      <vt:variant>
        <vt:i4>0</vt:i4>
      </vt:variant>
      <vt:variant>
        <vt:i4>5</vt:i4>
      </vt:variant>
      <vt:variant>
        <vt:lpwstr>https://www.health.gov.au/resources/publications/aboriginal-and-torres-strait-islander-aged-care-framework?language=en</vt:lpwstr>
      </vt:variant>
      <vt:variant>
        <vt:lpwstr/>
      </vt:variant>
      <vt:variant>
        <vt:i4>3276855</vt:i4>
      </vt:variant>
      <vt:variant>
        <vt:i4>1182</vt:i4>
      </vt:variant>
      <vt:variant>
        <vt:i4>0</vt:i4>
      </vt:variant>
      <vt:variant>
        <vt:i4>5</vt:i4>
      </vt:variant>
      <vt:variant>
        <vt:lpwstr>https://www.myagedcare.gov.au/registering-supporter</vt:lpwstr>
      </vt:variant>
      <vt:variant>
        <vt:lpwstr/>
      </vt:variant>
      <vt:variant>
        <vt:i4>917594</vt:i4>
      </vt:variant>
      <vt:variant>
        <vt:i4>1179</vt:i4>
      </vt:variant>
      <vt:variant>
        <vt:i4>0</vt:i4>
      </vt:variant>
      <vt:variant>
        <vt:i4>5</vt:i4>
      </vt:variant>
      <vt:variant>
        <vt:lpwstr>https://www.myagedcare.gov.au/privacy</vt:lpwstr>
      </vt:variant>
      <vt:variant>
        <vt:lpwstr/>
      </vt:variant>
      <vt:variant>
        <vt:i4>3866668</vt:i4>
      </vt:variant>
      <vt:variant>
        <vt:i4>1176</vt:i4>
      </vt:variant>
      <vt:variant>
        <vt:i4>0</vt:i4>
      </vt:variant>
      <vt:variant>
        <vt:i4>5</vt:i4>
      </vt:variant>
      <vt:variant>
        <vt:lpwstr>https://www.healthdirect.gov.au/privacy-policy</vt:lpwstr>
      </vt:variant>
      <vt:variant>
        <vt:lpwstr/>
      </vt:variant>
      <vt:variant>
        <vt:i4>196638</vt:i4>
      </vt:variant>
      <vt:variant>
        <vt:i4>1173</vt:i4>
      </vt:variant>
      <vt:variant>
        <vt:i4>0</vt:i4>
      </vt:variant>
      <vt:variant>
        <vt:i4>5</vt:i4>
      </vt:variant>
      <vt:variant>
        <vt:lpwstr>https://www.legislation.gov.au/Series/C2004A03712</vt:lpwstr>
      </vt:variant>
      <vt:variant>
        <vt:lpwstr/>
      </vt:variant>
      <vt:variant>
        <vt:i4>2949172</vt:i4>
      </vt:variant>
      <vt:variant>
        <vt:i4>1170</vt:i4>
      </vt:variant>
      <vt:variant>
        <vt:i4>0</vt:i4>
      </vt:variant>
      <vt:variant>
        <vt:i4>5</vt:i4>
      </vt:variant>
      <vt:variant>
        <vt:lpwstr>https://www.legislation.gov.au/C2024A00104/asmade/text</vt:lpwstr>
      </vt:variant>
      <vt:variant>
        <vt:lpwstr/>
      </vt:variant>
      <vt:variant>
        <vt:i4>5373971</vt:i4>
      </vt:variant>
      <vt:variant>
        <vt:i4>1167</vt:i4>
      </vt:variant>
      <vt:variant>
        <vt:i4>0</vt:i4>
      </vt:variant>
      <vt:variant>
        <vt:i4>5</vt:i4>
      </vt:variant>
      <vt:variant>
        <vt:lpwstr>https://www.health.gov.au/using-our-websites/website-privacy-policy/privacy-notice-for-single-assessment</vt:lpwstr>
      </vt:variant>
      <vt:variant>
        <vt:lpwstr/>
      </vt:variant>
      <vt:variant>
        <vt:i4>5636141</vt:i4>
      </vt:variant>
      <vt:variant>
        <vt:i4>1161</vt:i4>
      </vt:variant>
      <vt:variant>
        <vt:i4>0</vt:i4>
      </vt:variant>
      <vt:variant>
        <vt:i4>5</vt:i4>
      </vt:variant>
      <vt:variant>
        <vt:lpwstr/>
      </vt:variant>
      <vt:variant>
        <vt:lpwstr>CH1_SupportedDecisionMaking</vt:lpwstr>
      </vt:variant>
      <vt:variant>
        <vt:i4>5636141</vt:i4>
      </vt:variant>
      <vt:variant>
        <vt:i4>1158</vt:i4>
      </vt:variant>
      <vt:variant>
        <vt:i4>0</vt:i4>
      </vt:variant>
      <vt:variant>
        <vt:i4>5</vt:i4>
      </vt:variant>
      <vt:variant>
        <vt:lpwstr/>
      </vt:variant>
      <vt:variant>
        <vt:lpwstr>CH1_SupportedDecisionMaking</vt:lpwstr>
      </vt:variant>
      <vt:variant>
        <vt:i4>786498</vt:i4>
      </vt:variant>
      <vt:variant>
        <vt:i4>1155</vt:i4>
      </vt:variant>
      <vt:variant>
        <vt:i4>0</vt:i4>
      </vt:variant>
      <vt:variant>
        <vt:i4>5</vt:i4>
      </vt:variant>
      <vt:variant>
        <vt:lpwstr>https://www.health.gov.au/resources/publications/my-aged-care-assessor-portal-user-guide-4-navigating-and-updating-the-client-record</vt:lpwstr>
      </vt:variant>
      <vt:variant>
        <vt:lpwstr/>
      </vt:variant>
      <vt:variant>
        <vt:i4>5308422</vt:i4>
      </vt:variant>
      <vt:variant>
        <vt:i4>1152</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6029339</vt:i4>
      </vt:variant>
      <vt:variant>
        <vt:i4>1149</vt:i4>
      </vt:variant>
      <vt:variant>
        <vt:i4>0</vt:i4>
      </vt:variant>
      <vt:variant>
        <vt:i4>5</vt:i4>
      </vt:variant>
      <vt:variant>
        <vt:lpwstr>https://www.health.gov.au/resources/publications/my-aged-care-assessor-portal-user-guide-1-registering-and-referring-clients</vt:lpwstr>
      </vt:variant>
      <vt:variant>
        <vt:lpwstr/>
      </vt:variant>
      <vt:variant>
        <vt:i4>589912</vt:i4>
      </vt:variant>
      <vt:variant>
        <vt:i4>1125</vt:i4>
      </vt:variant>
      <vt:variant>
        <vt:i4>0</vt:i4>
      </vt:variant>
      <vt:variant>
        <vt:i4>5</vt:i4>
      </vt:variant>
      <vt:variant>
        <vt:lpwstr>https://www.health.gov.au/resources/publications/my-aged-care-assessor-portal-user-guide-3-managing-referrals-for-assessment-and-support-plan-reviews?language=en</vt:lpwstr>
      </vt:variant>
      <vt:variant>
        <vt:lpwstr/>
      </vt:variant>
      <vt:variant>
        <vt:i4>4849688</vt:i4>
      </vt:variant>
      <vt:variant>
        <vt:i4>1119</vt:i4>
      </vt:variant>
      <vt:variant>
        <vt:i4>0</vt:i4>
      </vt:variant>
      <vt:variant>
        <vt:i4>5</vt:i4>
      </vt:variant>
      <vt:variant>
        <vt:lpwstr>https://experience.arcgis.com/experience/ccd77404d8b04524b871edbfb76fa69c</vt:lpwstr>
      </vt:variant>
      <vt:variant>
        <vt:lpwstr/>
      </vt:variant>
      <vt:variant>
        <vt:i4>2555911</vt:i4>
      </vt:variant>
      <vt:variant>
        <vt:i4>1110</vt:i4>
      </vt:variant>
      <vt:variant>
        <vt:i4>0</vt:i4>
      </vt:variant>
      <vt:variant>
        <vt:i4>5</vt:i4>
      </vt:variant>
      <vt:variant>
        <vt:lpwstr>mailto:MyAgedCare.Assessment@health.gov.au</vt:lpwstr>
      </vt:variant>
      <vt:variant>
        <vt:lpwstr/>
      </vt:variant>
      <vt:variant>
        <vt:i4>6946876</vt:i4>
      </vt:variant>
      <vt:variant>
        <vt:i4>1107</vt:i4>
      </vt:variant>
      <vt:variant>
        <vt:i4>0</vt:i4>
      </vt:variant>
      <vt:variant>
        <vt:i4>5</vt:i4>
      </vt:variant>
      <vt:variant>
        <vt:lpwstr>https://www.health.gov.au/resources/publications/my-aged-care-application-for-care-form?language=en</vt:lpwstr>
      </vt:variant>
      <vt:variant>
        <vt:lpwstr/>
      </vt:variant>
      <vt:variant>
        <vt:i4>2687058</vt:i4>
      </vt:variant>
      <vt:variant>
        <vt:i4>1104</vt:i4>
      </vt:variant>
      <vt:variant>
        <vt:i4>0</vt:i4>
      </vt:variant>
      <vt:variant>
        <vt:i4>5</vt:i4>
      </vt:variant>
      <vt:variant>
        <vt:lpwstr>mailto:MyAgedCareAssessment@health.gov.au</vt:lpwstr>
      </vt:variant>
      <vt:variant>
        <vt:lpwstr/>
      </vt:variant>
      <vt:variant>
        <vt:i4>6684727</vt:i4>
      </vt:variant>
      <vt:variant>
        <vt:i4>1101</vt:i4>
      </vt:variant>
      <vt:variant>
        <vt:i4>0</vt:i4>
      </vt:variant>
      <vt:variant>
        <vt:i4>5</vt:i4>
      </vt:variant>
      <vt:variant>
        <vt:lpwstr>https://www.health.gov.au/resources/apps-and-tools/my-aged-care-service-and-support-portal</vt:lpwstr>
      </vt:variant>
      <vt:variant>
        <vt:lpwstr/>
      </vt:variant>
      <vt:variant>
        <vt:i4>6684793</vt:i4>
      </vt:variant>
      <vt:variant>
        <vt:i4>1098</vt:i4>
      </vt:variant>
      <vt:variant>
        <vt:i4>0</vt:i4>
      </vt:variant>
      <vt:variant>
        <vt:i4>5</vt:i4>
      </vt:variant>
      <vt:variant>
        <vt:lpwstr>https://www.myagedcare.gov.au/gettting-support-navigate-aged-care</vt:lpwstr>
      </vt:variant>
      <vt:variant>
        <vt:lpwstr>changes-to-agent-roles</vt:lpwstr>
      </vt:variant>
      <vt:variant>
        <vt:i4>589888</vt:i4>
      </vt:variant>
      <vt:variant>
        <vt:i4>1095</vt:i4>
      </vt:variant>
      <vt:variant>
        <vt:i4>0</vt:i4>
      </vt:variant>
      <vt:variant>
        <vt:i4>5</vt:i4>
      </vt:variant>
      <vt:variant>
        <vt:lpwstr>https://www.myagedcare.gov.au/translated</vt:lpwstr>
      </vt:variant>
      <vt:variant>
        <vt:lpwstr/>
      </vt:variant>
      <vt:variant>
        <vt:i4>5242954</vt:i4>
      </vt:variant>
      <vt:variant>
        <vt:i4>1092</vt:i4>
      </vt:variant>
      <vt:variant>
        <vt:i4>0</vt:i4>
      </vt:variant>
      <vt:variant>
        <vt:i4>5</vt:i4>
      </vt:variant>
      <vt:variant>
        <vt:lpwstr>https://www.myagedcare.gov.au/sites/default/files/documents/registration-of-a-supporter-form.pdf</vt:lpwstr>
      </vt:variant>
      <vt:variant>
        <vt:lpwstr/>
      </vt:variant>
      <vt:variant>
        <vt:i4>3670114</vt:i4>
      </vt:variant>
      <vt:variant>
        <vt:i4>1089</vt:i4>
      </vt:variant>
      <vt:variant>
        <vt:i4>0</vt:i4>
      </vt:variant>
      <vt:variant>
        <vt:i4>5</vt:i4>
      </vt:variant>
      <vt:variant>
        <vt:lpwstr>https://www.health.gov.au/our-work/aged-care-act/about/registered-supporters-in-aged-care/transition-arrangements-for-the-new-registered-supporter-role</vt:lpwstr>
      </vt:variant>
      <vt:variant>
        <vt:lpwstr/>
      </vt:variant>
      <vt:variant>
        <vt:i4>2490470</vt:i4>
      </vt:variant>
      <vt:variant>
        <vt:i4>1086</vt:i4>
      </vt:variant>
      <vt:variant>
        <vt:i4>0</vt:i4>
      </vt:variant>
      <vt:variant>
        <vt:i4>5</vt:i4>
      </vt:variant>
      <vt:variant>
        <vt:lpwstr>https://www.health.gov.au/resources/publications/my-aged-care-assessor-portal-user-guide-2-registering-support-people-and-adding-relationships</vt:lpwstr>
      </vt:variant>
      <vt:variant>
        <vt:lpwstr/>
      </vt:variant>
      <vt:variant>
        <vt:i4>7077928</vt:i4>
      </vt:variant>
      <vt:variant>
        <vt:i4>1083</vt:i4>
      </vt:variant>
      <vt:variant>
        <vt:i4>0</vt:i4>
      </vt:variant>
      <vt:variant>
        <vt:i4>5</vt:i4>
      </vt:variant>
      <vt:variant>
        <vt:lpwstr>https://www.health.gov.au/resources/collections/registered-supporter-resources</vt:lpwstr>
      </vt:variant>
      <vt:variant>
        <vt:lpwstr/>
      </vt:variant>
      <vt:variant>
        <vt:i4>458819</vt:i4>
      </vt:variant>
      <vt:variant>
        <vt:i4>1080</vt:i4>
      </vt:variant>
      <vt:variant>
        <vt:i4>0</vt:i4>
      </vt:variant>
      <vt:variant>
        <vt:i4>5</vt:i4>
      </vt:variant>
      <vt:variant>
        <vt:lpwstr>http://www.myagedcare.gov.au/registering-supporter/appointed-decision-makers</vt:lpwstr>
      </vt:variant>
      <vt:variant>
        <vt:lpwstr/>
      </vt:variant>
      <vt:variant>
        <vt:i4>3014698</vt:i4>
      </vt:variant>
      <vt:variant>
        <vt:i4>1077</vt:i4>
      </vt:variant>
      <vt:variant>
        <vt:i4>0</vt:i4>
      </vt:variant>
      <vt:variant>
        <vt:i4>5</vt:i4>
      </vt:variant>
      <vt:variant>
        <vt:lpwstr>http://www.myagedcare.gov.au/registering-supporter</vt:lpwstr>
      </vt:variant>
      <vt:variant>
        <vt:lpwstr/>
      </vt:variant>
      <vt:variant>
        <vt:i4>1245201</vt:i4>
      </vt:variant>
      <vt:variant>
        <vt:i4>1074</vt:i4>
      </vt:variant>
      <vt:variant>
        <vt:i4>0</vt:i4>
      </vt:variant>
      <vt:variant>
        <vt:i4>5</vt:i4>
      </vt:variant>
      <vt:variant>
        <vt:lpwstr>https://www.health.gov.au/our-work/aged-care-act/about/registered-supporters</vt:lpwstr>
      </vt:variant>
      <vt:variant>
        <vt:lpwstr>make-a-complaint-or-submit-a-document</vt:lpwstr>
      </vt:variant>
      <vt:variant>
        <vt:i4>7077928</vt:i4>
      </vt:variant>
      <vt:variant>
        <vt:i4>1071</vt:i4>
      </vt:variant>
      <vt:variant>
        <vt:i4>0</vt:i4>
      </vt:variant>
      <vt:variant>
        <vt:i4>5</vt:i4>
      </vt:variant>
      <vt:variant>
        <vt:lpwstr>https://www.health.gov.au/resources/collections/registered-supporter-resources</vt:lpwstr>
      </vt:variant>
      <vt:variant>
        <vt:lpwstr/>
      </vt:variant>
      <vt:variant>
        <vt:i4>5767245</vt:i4>
      </vt:variant>
      <vt:variant>
        <vt:i4>1068</vt:i4>
      </vt:variant>
      <vt:variant>
        <vt:i4>0</vt:i4>
      </vt:variant>
      <vt:variant>
        <vt:i4>5</vt:i4>
      </vt:variant>
      <vt:variant>
        <vt:lpwstr>https://www.health.gov.au/resources/publications/conflicts-of-interest-policy?language=en</vt:lpwstr>
      </vt:variant>
      <vt:variant>
        <vt:lpwstr/>
      </vt:variant>
      <vt:variant>
        <vt:i4>5767245</vt:i4>
      </vt:variant>
      <vt:variant>
        <vt:i4>1065</vt:i4>
      </vt:variant>
      <vt:variant>
        <vt:i4>0</vt:i4>
      </vt:variant>
      <vt:variant>
        <vt:i4>5</vt:i4>
      </vt:variant>
      <vt:variant>
        <vt:lpwstr>https://www.health.gov.au/resources/publications/conflicts-of-interest-policy?language=en</vt:lpwstr>
      </vt:variant>
      <vt:variant>
        <vt:lpwstr/>
      </vt:variant>
      <vt:variant>
        <vt:i4>5963807</vt:i4>
      </vt:variant>
      <vt:variant>
        <vt:i4>1062</vt:i4>
      </vt:variant>
      <vt:variant>
        <vt:i4>0</vt:i4>
      </vt:variant>
      <vt:variant>
        <vt:i4>5</vt:i4>
      </vt:variant>
      <vt:variant>
        <vt:lpwstr>https://www.myagedcare.gov.au/registering-supporter/appointed-decision-makers</vt:lpwstr>
      </vt:variant>
      <vt:variant>
        <vt:lpwstr/>
      </vt:variant>
      <vt:variant>
        <vt:i4>3276857</vt:i4>
      </vt:variant>
      <vt:variant>
        <vt:i4>1059</vt:i4>
      </vt:variant>
      <vt:variant>
        <vt:i4>0</vt:i4>
      </vt:variant>
      <vt:variant>
        <vt:i4>5</vt:i4>
      </vt:variant>
      <vt:variant>
        <vt:lpwstr>https://www.health.gov.au/resources/publications/duties-policy?language=en</vt:lpwstr>
      </vt:variant>
      <vt:variant>
        <vt:lpwstr/>
      </vt:variant>
      <vt:variant>
        <vt:i4>4325471</vt:i4>
      </vt:variant>
      <vt:variant>
        <vt:i4>1056</vt:i4>
      </vt:variant>
      <vt:variant>
        <vt:i4>0</vt:i4>
      </vt:variant>
      <vt:variant>
        <vt:i4>5</vt:i4>
      </vt:variant>
      <vt:variant>
        <vt:lpwstr>https://www.health.gov.au/our-work/aged-care-act/about/registered-supporters</vt:lpwstr>
      </vt:variant>
      <vt:variant>
        <vt:lpwstr/>
      </vt:variant>
      <vt:variant>
        <vt:i4>6946876</vt:i4>
      </vt:variant>
      <vt:variant>
        <vt:i4>1044</vt:i4>
      </vt:variant>
      <vt:variant>
        <vt:i4>0</vt:i4>
      </vt:variant>
      <vt:variant>
        <vt:i4>5</vt:i4>
      </vt:variant>
      <vt:variant>
        <vt:lpwstr>https://www.health.gov.au/resources/publications/my-aged-care-application-for-care-form?language=en</vt:lpwstr>
      </vt:variant>
      <vt:variant>
        <vt:lpwstr/>
      </vt:variant>
      <vt:variant>
        <vt:i4>6946876</vt:i4>
      </vt:variant>
      <vt:variant>
        <vt:i4>1032</vt:i4>
      </vt:variant>
      <vt:variant>
        <vt:i4>0</vt:i4>
      </vt:variant>
      <vt:variant>
        <vt:i4>5</vt:i4>
      </vt:variant>
      <vt:variant>
        <vt:lpwstr>https://www.health.gov.au/resources/publications/my-aged-care-application-for-care-form?language=en</vt:lpwstr>
      </vt:variant>
      <vt:variant>
        <vt:lpwstr/>
      </vt:variant>
      <vt:variant>
        <vt:i4>6029377</vt:i4>
      </vt:variant>
      <vt:variant>
        <vt:i4>1029</vt:i4>
      </vt:variant>
      <vt:variant>
        <vt:i4>0</vt:i4>
      </vt:variant>
      <vt:variant>
        <vt:i4>5</vt:i4>
      </vt:variant>
      <vt:variant>
        <vt:lpwstr>https://www.myagedcare.gov.au/access-your-online-account</vt:lpwstr>
      </vt:variant>
      <vt:variant>
        <vt:lpwstr/>
      </vt:variant>
      <vt:variant>
        <vt:i4>7078009</vt:i4>
      </vt:variant>
      <vt:variant>
        <vt:i4>1026</vt:i4>
      </vt:variant>
      <vt:variant>
        <vt:i4>0</vt:i4>
      </vt:variant>
      <vt:variant>
        <vt:i4>5</vt:i4>
      </vt:variant>
      <vt:variant>
        <vt:lpwstr>https://www.servicesaustralia.gov.au/aged-care-specialist-officer-my-aged-care-face-to-face-services?context=55715</vt:lpwstr>
      </vt:variant>
      <vt:variant>
        <vt:lpwstr/>
      </vt:variant>
      <vt:variant>
        <vt:i4>7078009</vt:i4>
      </vt:variant>
      <vt:variant>
        <vt:i4>1023</vt:i4>
      </vt:variant>
      <vt:variant>
        <vt:i4>0</vt:i4>
      </vt:variant>
      <vt:variant>
        <vt:i4>5</vt:i4>
      </vt:variant>
      <vt:variant>
        <vt:lpwstr>https://www.servicesaustralia.gov.au/aged-care-specialist-officer-my-aged-care-face-to-face-services?context=55715</vt:lpwstr>
      </vt:variant>
      <vt:variant>
        <vt:lpwstr/>
      </vt:variant>
      <vt:variant>
        <vt:i4>4128887</vt:i4>
      </vt:variant>
      <vt:variant>
        <vt:i4>1020</vt:i4>
      </vt:variant>
      <vt:variant>
        <vt:i4>0</vt:i4>
      </vt:variant>
      <vt:variant>
        <vt:i4>5</vt:i4>
      </vt:variant>
      <vt:variant>
        <vt:lpwstr>https://www.healthlink.com.au/my-aged-care/</vt:lpwstr>
      </vt:variant>
      <vt:variant>
        <vt:lpwstr/>
      </vt:variant>
      <vt:variant>
        <vt:i4>8126590</vt:i4>
      </vt:variant>
      <vt:variant>
        <vt:i4>1017</vt:i4>
      </vt:variant>
      <vt:variant>
        <vt:i4>0</vt:i4>
      </vt:variant>
      <vt:variant>
        <vt:i4>5</vt:i4>
      </vt:variant>
      <vt:variant>
        <vt:lpwstr>https://www.myagedcare.gov.au/health-professionals</vt:lpwstr>
      </vt:variant>
      <vt:variant>
        <vt:lpwstr/>
      </vt:variant>
      <vt:variant>
        <vt:i4>1572953</vt:i4>
      </vt:variant>
      <vt:variant>
        <vt:i4>1014</vt:i4>
      </vt:variant>
      <vt:variant>
        <vt:i4>0</vt:i4>
      </vt:variant>
      <vt:variant>
        <vt:i4>5</vt:i4>
      </vt:variant>
      <vt:variant>
        <vt:lpwstr>https://www.myagedcare.gov.au/assessment/apply-online</vt:lpwstr>
      </vt:variant>
      <vt:variant>
        <vt:lpwstr/>
      </vt:variant>
      <vt:variant>
        <vt:i4>720941</vt:i4>
      </vt:variant>
      <vt:variant>
        <vt:i4>1011</vt:i4>
      </vt:variant>
      <vt:variant>
        <vt:i4>0</vt:i4>
      </vt:variant>
      <vt:variant>
        <vt:i4>5</vt:i4>
      </vt:variant>
      <vt:variant>
        <vt:lpwstr>https://www.health.gov.au/topics/bladder-and-bowel?utm_source=bladderbowel.gov.au&amp;utm_medium=redirect&amp;utm_campaign=digital_transformation&amp;utm_content=bladderbowel</vt:lpwstr>
      </vt:variant>
      <vt:variant>
        <vt:lpwstr/>
      </vt:variant>
      <vt:variant>
        <vt:i4>720970</vt:i4>
      </vt:variant>
      <vt:variant>
        <vt:i4>1008</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4849714</vt:i4>
      </vt:variant>
      <vt:variant>
        <vt:i4>1005</vt:i4>
      </vt:variant>
      <vt:variant>
        <vt:i4>0</vt:i4>
      </vt:variant>
      <vt:variant>
        <vt:i4>5</vt:i4>
      </vt:variant>
      <vt:variant>
        <vt:lpwstr>https://journals.lww.com/dcrjournal/abstract/2013/05000/the_revised_faecal_incontinence_scale__a_clinical.16.aspx</vt:lpwstr>
      </vt:variant>
      <vt:variant>
        <vt:lpwstr/>
      </vt:variant>
      <vt:variant>
        <vt:i4>524361</vt:i4>
      </vt:variant>
      <vt:variant>
        <vt:i4>1002</vt:i4>
      </vt:variant>
      <vt:variant>
        <vt:i4>0</vt:i4>
      </vt:variant>
      <vt:variant>
        <vt:i4>5</vt:i4>
      </vt:variant>
      <vt:variant>
        <vt:lpwstr>https://www.ics.org/Abstracts/Publish/134/000370.pdf</vt:lpwstr>
      </vt:variant>
      <vt:variant>
        <vt:lpwstr/>
      </vt:variant>
      <vt:variant>
        <vt:i4>720941</vt:i4>
      </vt:variant>
      <vt:variant>
        <vt:i4>999</vt:i4>
      </vt:variant>
      <vt:variant>
        <vt:i4>0</vt:i4>
      </vt:variant>
      <vt:variant>
        <vt:i4>5</vt:i4>
      </vt:variant>
      <vt:variant>
        <vt:lpwstr>https://www.health.gov.au/topics/bladder-and-bowel?utm_source=bladderbowel.gov.au&amp;utm_medium=redirect&amp;utm_campaign=digital_transformation&amp;utm_content=bladderbowel</vt:lpwstr>
      </vt:variant>
      <vt:variant>
        <vt:lpwstr/>
      </vt:variant>
      <vt:variant>
        <vt:i4>720970</vt:i4>
      </vt:variant>
      <vt:variant>
        <vt:i4>996</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1179676</vt:i4>
      </vt:variant>
      <vt:variant>
        <vt:i4>993</vt:i4>
      </vt:variant>
      <vt:variant>
        <vt:i4>0</vt:i4>
      </vt:variant>
      <vt:variant>
        <vt:i4>5</vt:i4>
      </vt:variant>
      <vt:variant>
        <vt:lpwstr>https://www.mdcalc.com/calc/2047/revised-urinary-incontinence-scale-ruis</vt:lpwstr>
      </vt:variant>
      <vt:variant>
        <vt:lpwstr/>
      </vt:variant>
      <vt:variant>
        <vt:i4>1245260</vt:i4>
      </vt:variant>
      <vt:variant>
        <vt:i4>990</vt:i4>
      </vt:variant>
      <vt:variant>
        <vt:i4>0</vt:i4>
      </vt:variant>
      <vt:variant>
        <vt:i4>5</vt:i4>
      </vt:variant>
      <vt:variant>
        <vt:lpwstr>https://www.iawr.com.au/kica</vt:lpwstr>
      </vt:variant>
      <vt:variant>
        <vt:lpwstr/>
      </vt:variant>
      <vt:variant>
        <vt:i4>6881342</vt:i4>
      </vt:variant>
      <vt:variant>
        <vt:i4>987</vt:i4>
      </vt:variant>
      <vt:variant>
        <vt:i4>0</vt:i4>
      </vt:variant>
      <vt:variant>
        <vt:i4>5</vt:i4>
      </vt:variant>
      <vt:variant>
        <vt:lpwstr>https://www.nari.net.au/indigenous-cognitive-assessment</vt:lpwstr>
      </vt:variant>
      <vt:variant>
        <vt:lpwstr/>
      </vt:variant>
      <vt:variant>
        <vt:i4>6619244</vt:i4>
      </vt:variant>
      <vt:variant>
        <vt:i4>984</vt:i4>
      </vt:variant>
      <vt:variant>
        <vt:i4>0</vt:i4>
      </vt:variant>
      <vt:variant>
        <vt:i4>5</vt:i4>
      </vt:variant>
      <vt:variant>
        <vt:lpwstr>https://www.iawr.com.au/Profiles/aww/Assets/ClientData/KICA_instruction_booklet_v1_2.pdf</vt:lpwstr>
      </vt:variant>
      <vt:variant>
        <vt:lpwstr/>
      </vt:variant>
      <vt:variant>
        <vt:i4>1245260</vt:i4>
      </vt:variant>
      <vt:variant>
        <vt:i4>981</vt:i4>
      </vt:variant>
      <vt:variant>
        <vt:i4>0</vt:i4>
      </vt:variant>
      <vt:variant>
        <vt:i4>5</vt:i4>
      </vt:variant>
      <vt:variant>
        <vt:lpwstr>https://www.iawr.com.au/kica</vt:lpwstr>
      </vt:variant>
      <vt:variant>
        <vt:lpwstr/>
      </vt:variant>
      <vt:variant>
        <vt:i4>5898315</vt:i4>
      </vt:variant>
      <vt:variant>
        <vt:i4>978</vt:i4>
      </vt:variant>
      <vt:variant>
        <vt:i4>0</vt:i4>
      </vt:variant>
      <vt:variant>
        <vt:i4>5</vt:i4>
      </vt:variant>
      <vt:variant>
        <vt:lpwstr>https://www.mcgill.ca/schoolofmedicine-learneraffairs/pgme/wellness-support/self-screening-tools/anxiety-and-depression-phq-4</vt:lpwstr>
      </vt:variant>
      <vt:variant>
        <vt:lpwstr/>
      </vt:variant>
      <vt:variant>
        <vt:i4>1310796</vt:i4>
      </vt:variant>
      <vt:variant>
        <vt:i4>975</vt:i4>
      </vt:variant>
      <vt:variant>
        <vt:i4>0</vt:i4>
      </vt:variant>
      <vt:variant>
        <vt:i4>5</vt:i4>
      </vt:variant>
      <vt:variant>
        <vt:lpwstr>https://gpcog.com.au/</vt:lpwstr>
      </vt:variant>
      <vt:variant>
        <vt:lpwstr/>
      </vt:variant>
      <vt:variant>
        <vt:i4>4587530</vt:i4>
      </vt:variant>
      <vt:variant>
        <vt:i4>972</vt:i4>
      </vt:variant>
      <vt:variant>
        <vt:i4>0</vt:i4>
      </vt:variant>
      <vt:variant>
        <vt:i4>5</vt:i4>
      </vt:variant>
      <vt:variant>
        <vt:lpwstr>https://alswh.org.au/wp-content/uploads/2020/08/DDSSection2.7DSSI.pdf</vt:lpwstr>
      </vt:variant>
      <vt:variant>
        <vt:lpwstr/>
      </vt:variant>
      <vt:variant>
        <vt:i4>7929915</vt:i4>
      </vt:variant>
      <vt:variant>
        <vt:i4>969</vt:i4>
      </vt:variant>
      <vt:variant>
        <vt:i4>0</vt:i4>
      </vt:variant>
      <vt:variant>
        <vt:i4>5</vt:i4>
      </vt:variant>
      <vt:variant>
        <vt:lpwstr>https://www.aboriginalageingwellresearch.com/gsgl-resources</vt:lpwstr>
      </vt:variant>
      <vt:variant>
        <vt:lpwstr/>
      </vt:variant>
      <vt:variant>
        <vt:i4>6619199</vt:i4>
      </vt:variant>
      <vt:variant>
        <vt:i4>966</vt:i4>
      </vt:variant>
      <vt:variant>
        <vt:i4>0</vt:i4>
      </vt:variant>
      <vt:variant>
        <vt:i4>5</vt:i4>
      </vt:variant>
      <vt:variant>
        <vt:lpwstr>https://www.health.gov.au/resources/publications/my-aged-care-integrated-assessment-tool-iat-user-guide?language=en</vt:lpwstr>
      </vt:variant>
      <vt:variant>
        <vt:lpwstr/>
      </vt:variant>
      <vt:variant>
        <vt:i4>196608</vt:i4>
      </vt:variant>
      <vt:variant>
        <vt:i4>963</vt:i4>
      </vt:variant>
      <vt:variant>
        <vt:i4>0</vt:i4>
      </vt:variant>
      <vt:variant>
        <vt:i4>5</vt:i4>
      </vt:variant>
      <vt:variant>
        <vt:lpwstr>https://www.health.gov.au/resources/publications/integrated-assessment-tool-iat-offline-form?language=en</vt:lpwstr>
      </vt:variant>
      <vt:variant>
        <vt:lpwstr/>
      </vt:variant>
      <vt:variant>
        <vt:i4>3539057</vt:i4>
      </vt:variant>
      <vt:variant>
        <vt:i4>960</vt:i4>
      </vt:variant>
      <vt:variant>
        <vt:i4>0</vt:i4>
      </vt:variant>
      <vt:variant>
        <vt:i4>5</vt:i4>
      </vt:variant>
      <vt:variant>
        <vt:lpwstr>https://www.health.gov.au/resources/publications/aged-care-assessment-quality-framework?language=en</vt:lpwstr>
      </vt:variant>
      <vt:variant>
        <vt:lpwstr/>
      </vt:variant>
      <vt:variant>
        <vt:i4>3539057</vt:i4>
      </vt:variant>
      <vt:variant>
        <vt:i4>957</vt:i4>
      </vt:variant>
      <vt:variant>
        <vt:i4>0</vt:i4>
      </vt:variant>
      <vt:variant>
        <vt:i4>5</vt:i4>
      </vt:variant>
      <vt:variant>
        <vt:lpwstr>https://www.health.gov.au/resources/publications/aged-care-assessment-quality-framework?language=en</vt:lpwstr>
      </vt:variant>
      <vt:variant>
        <vt:lpwstr/>
      </vt:variant>
      <vt:variant>
        <vt:i4>7798901</vt:i4>
      </vt:variant>
      <vt:variant>
        <vt:i4>939</vt:i4>
      </vt:variant>
      <vt:variant>
        <vt:i4>0</vt:i4>
      </vt:variant>
      <vt:variant>
        <vt:i4>5</vt:i4>
      </vt:variant>
      <vt:variant>
        <vt:lpwstr>https://www.health.gov.au/resources/collections/new-training-and-learning-system-for-my-aged-care-workforce</vt:lpwstr>
      </vt:variant>
      <vt:variant>
        <vt:lpwstr/>
      </vt:variant>
      <vt:variant>
        <vt:i4>5570631</vt:i4>
      </vt:variant>
      <vt:variant>
        <vt:i4>936</vt:i4>
      </vt:variant>
      <vt:variant>
        <vt:i4>0</vt:i4>
      </vt:variant>
      <vt:variant>
        <vt:i4>5</vt:i4>
      </vt:variant>
      <vt:variant>
        <vt:lpwstr>https://www.health.gov.au/resources/publications/my-aged-care-quality-learning-framework?language=en</vt:lpwstr>
      </vt:variant>
      <vt:variant>
        <vt:lpwstr/>
      </vt:variant>
      <vt:variant>
        <vt:i4>6946848</vt:i4>
      </vt:variant>
      <vt:variant>
        <vt:i4>933</vt:i4>
      </vt:variant>
      <vt:variant>
        <vt:i4>0</vt:i4>
      </vt:variant>
      <vt:variant>
        <vt:i4>5</vt:i4>
      </vt:variant>
      <vt:variant>
        <vt:lpwstr>https://www.health.gov.au/resources/publications/my-aged-care-workforce-learning-strategy-2023?language=en</vt:lpwstr>
      </vt:variant>
      <vt:variant>
        <vt:lpwstr/>
      </vt:variant>
      <vt:variant>
        <vt:i4>458867</vt:i4>
      </vt:variant>
      <vt:variant>
        <vt:i4>930</vt:i4>
      </vt:variant>
      <vt:variant>
        <vt:i4>0</vt:i4>
      </vt:variant>
      <vt:variant>
        <vt:i4>5</vt:i4>
      </vt:variant>
      <vt:variant>
        <vt:lpwstr>mailto:maclearninghelp@Health.gov.au</vt:lpwstr>
      </vt:variant>
      <vt:variant>
        <vt:lpwstr/>
      </vt:variant>
      <vt:variant>
        <vt:i4>2752524</vt:i4>
      </vt:variant>
      <vt:variant>
        <vt:i4>927</vt:i4>
      </vt:variant>
      <vt:variant>
        <vt:i4>0</vt:i4>
      </vt:variant>
      <vt:variant>
        <vt:i4>5</vt:i4>
      </vt:variant>
      <vt:variant>
        <vt:lpwstr>mailto:myagedcare.capability@health.gov.au</vt:lpwstr>
      </vt:variant>
      <vt:variant>
        <vt:lpwstr/>
      </vt:variant>
      <vt:variant>
        <vt:i4>2424942</vt:i4>
      </vt:variant>
      <vt:variant>
        <vt:i4>924</vt:i4>
      </vt:variant>
      <vt:variant>
        <vt:i4>0</vt:i4>
      </vt:variant>
      <vt:variant>
        <vt:i4>5</vt:i4>
      </vt:variant>
      <vt:variant>
        <vt:lpwstr>https://www.health.gov.au/resources/publications/my-aged-care-assessor-portal-organisation-administrator-user-guide</vt:lpwstr>
      </vt:variant>
      <vt:variant>
        <vt:lpwstr/>
      </vt:variant>
      <vt:variant>
        <vt:i4>3932268</vt:i4>
      </vt:variant>
      <vt:variant>
        <vt:i4>921</vt:i4>
      </vt:variant>
      <vt:variant>
        <vt:i4>0</vt:i4>
      </vt:variant>
      <vt:variant>
        <vt:i4>5</vt:i4>
      </vt:variant>
      <vt:variant>
        <vt:lpwstr>https://www.health.gov.au/resources/publications/supporting-clients-with-the-rollout-of-aboriginal-and-torres-strait-islander-assessment-organisations?language=en</vt:lpwstr>
      </vt:variant>
      <vt:variant>
        <vt:lpwstr/>
      </vt:variant>
      <vt:variant>
        <vt:i4>5308421</vt:i4>
      </vt:variant>
      <vt:variant>
        <vt:i4>918</vt:i4>
      </vt:variant>
      <vt:variant>
        <vt:i4>0</vt:i4>
      </vt:variant>
      <vt:variant>
        <vt:i4>5</vt:i4>
      </vt:variant>
      <vt:variant>
        <vt:lpwstr>https://www.health.gov.au/our-work/single-assessment-system/needs/first-nations-aged-care-assessments</vt:lpwstr>
      </vt:variant>
      <vt:variant>
        <vt:lpwstr/>
      </vt:variant>
      <vt:variant>
        <vt:i4>6750265</vt:i4>
      </vt:variant>
      <vt:variant>
        <vt:i4>915</vt:i4>
      </vt:variant>
      <vt:variant>
        <vt:i4>0</vt:i4>
      </vt:variant>
      <vt:variant>
        <vt:i4>5</vt:i4>
      </vt:variant>
      <vt:variant>
        <vt:lpwstr>https://www.health.gov.au/our-work/single-assessment-system</vt:lpwstr>
      </vt:variant>
      <vt:variant>
        <vt:lpwstr/>
      </vt:variant>
      <vt:variant>
        <vt:i4>4784222</vt:i4>
      </vt:variant>
      <vt:variant>
        <vt:i4>912</vt:i4>
      </vt:variant>
      <vt:variant>
        <vt:i4>0</vt:i4>
      </vt:variant>
      <vt:variant>
        <vt:i4>5</vt:i4>
      </vt:variant>
      <vt:variant>
        <vt:lpwstr>http://www.myagedcare.gov.au/</vt:lpwstr>
      </vt:variant>
      <vt:variant>
        <vt:lpwstr/>
      </vt:variant>
      <vt:variant>
        <vt:i4>2883696</vt:i4>
      </vt:variant>
      <vt:variant>
        <vt:i4>894</vt:i4>
      </vt:variant>
      <vt:variant>
        <vt:i4>0</vt:i4>
      </vt:variant>
      <vt:variant>
        <vt:i4>5</vt:i4>
      </vt:variant>
      <vt:variant>
        <vt:lpwstr>https://www.health.gov.au/resources/publications/guide-for-short-term-restorative-care-providers-transitioning-to-the-restorative-care-pathway?language=en</vt:lpwstr>
      </vt:variant>
      <vt:variant>
        <vt:lpwstr/>
      </vt:variant>
      <vt:variant>
        <vt:i4>6553725</vt:i4>
      </vt:variant>
      <vt:variant>
        <vt:i4>891</vt:i4>
      </vt:variant>
      <vt:variant>
        <vt:i4>0</vt:i4>
      </vt:variant>
      <vt:variant>
        <vt:i4>5</vt:i4>
      </vt:variant>
      <vt:variant>
        <vt:lpwstr>https://www.health.gov.au/resources/publications/leaving-the-multi-purpose-service-program-mpsp-consumer-fact-sheet?language=en</vt:lpwstr>
      </vt:variant>
      <vt:variant>
        <vt:lpwstr/>
      </vt:variant>
      <vt:variant>
        <vt:i4>6553725</vt:i4>
      </vt:variant>
      <vt:variant>
        <vt:i4>888</vt:i4>
      </vt:variant>
      <vt:variant>
        <vt:i4>0</vt:i4>
      </vt:variant>
      <vt:variant>
        <vt:i4>5</vt:i4>
      </vt:variant>
      <vt:variant>
        <vt:lpwstr>https://www.health.gov.au/resources/publications/leaving-the-multi-purpose-service-program-mpsp-consumer-fact-sheet?language=en</vt:lpwstr>
      </vt:variant>
      <vt:variant>
        <vt:lpwstr/>
      </vt:variant>
      <vt:variant>
        <vt:i4>1310786</vt:i4>
      </vt:variant>
      <vt:variant>
        <vt:i4>885</vt:i4>
      </vt:variant>
      <vt:variant>
        <vt:i4>0</vt:i4>
      </vt:variant>
      <vt:variant>
        <vt:i4>5</vt:i4>
      </vt:variant>
      <vt:variant>
        <vt:lpwstr>https://www.health.gov.au/resources/publications/assistive-technology-and-home-modifications-list-at-hm-list?language=en</vt:lpwstr>
      </vt:variant>
      <vt:variant>
        <vt:lpwstr/>
      </vt:variant>
      <vt:variant>
        <vt:i4>6160445</vt:i4>
      </vt:variant>
      <vt:variant>
        <vt:i4>882</vt:i4>
      </vt:variant>
      <vt:variant>
        <vt:i4>0</vt:i4>
      </vt:variant>
      <vt:variant>
        <vt:i4>5</vt:i4>
      </vt:variant>
      <vt:variant>
        <vt:lpwstr>https://www.health.gov.au/sites/default/files/2025-05/support-at-home-program-manual-a-guide-for-registered-providers_0.pdf</vt:lpwstr>
      </vt:variant>
      <vt:variant>
        <vt:lpwstr/>
      </vt:variant>
      <vt:variant>
        <vt:i4>6815860</vt:i4>
      </vt:variant>
      <vt:variant>
        <vt:i4>876</vt:i4>
      </vt:variant>
      <vt:variant>
        <vt:i4>0</vt:i4>
      </vt:variant>
      <vt:variant>
        <vt:i4>5</vt:i4>
      </vt:variant>
      <vt:variant>
        <vt:lpwstr>https://www.health.gov.au/our-work/aged-care-act/about</vt:lpwstr>
      </vt:variant>
      <vt:variant>
        <vt:lpwstr/>
      </vt:variant>
      <vt:variant>
        <vt:i4>4522015</vt:i4>
      </vt:variant>
      <vt:variant>
        <vt:i4>873</vt:i4>
      </vt:variant>
      <vt:variant>
        <vt:i4>0</vt:i4>
      </vt:variant>
      <vt:variant>
        <vt:i4>5</vt:i4>
      </vt:variant>
      <vt:variant>
        <vt:lpwstr>https://www.health.gov.au/resources/collections/support-at-home-pricing-resources</vt:lpwstr>
      </vt:variant>
      <vt:variant>
        <vt:lpwstr/>
      </vt:variant>
      <vt:variant>
        <vt:i4>1769543</vt:i4>
      </vt:variant>
      <vt:variant>
        <vt:i4>870</vt:i4>
      </vt:variant>
      <vt:variant>
        <vt:i4>0</vt:i4>
      </vt:variant>
      <vt:variant>
        <vt:i4>5</vt:i4>
      </vt:variant>
      <vt:variant>
        <vt:lpwstr>https://www.health.gov.au/our-work/transition-care-programme</vt:lpwstr>
      </vt:variant>
      <vt:variant>
        <vt:lpwstr/>
      </vt:variant>
      <vt:variant>
        <vt:i4>1572889</vt:i4>
      </vt:variant>
      <vt:variant>
        <vt:i4>867</vt:i4>
      </vt:variant>
      <vt:variant>
        <vt:i4>0</vt:i4>
      </vt:variant>
      <vt:variant>
        <vt:i4>5</vt:i4>
      </vt:variant>
      <vt:variant>
        <vt:lpwstr>https://www.health.gov.au/resources/publications/support-at-home-program-assistive-technology-and-home-modifications-at-hm-scheme?language=en</vt:lpwstr>
      </vt:variant>
      <vt:variant>
        <vt:lpwstr/>
      </vt:variant>
      <vt:variant>
        <vt:i4>7340144</vt:i4>
      </vt:variant>
      <vt:variant>
        <vt:i4>864</vt:i4>
      </vt:variant>
      <vt:variant>
        <vt:i4>0</vt:i4>
      </vt:variant>
      <vt:variant>
        <vt:i4>5</vt:i4>
      </vt:variant>
      <vt:variant>
        <vt:lpwstr>https://www.health.gov.au/resources/publications/aboriginal-and-torres-strait-islander-aged-care-framework?language=en</vt:lpwstr>
      </vt:variant>
      <vt:variant>
        <vt:lpwstr/>
      </vt:variant>
      <vt:variant>
        <vt:i4>720988</vt:i4>
      </vt:variant>
      <vt:variant>
        <vt:i4>861</vt:i4>
      </vt:variant>
      <vt:variant>
        <vt:i4>0</vt:i4>
      </vt:variant>
      <vt:variant>
        <vt:i4>5</vt:i4>
      </vt:variant>
      <vt:variant>
        <vt:lpwstr>https://www.health.gov.au/resources/publications/natsifac-program-manual?language=en</vt:lpwstr>
      </vt:variant>
      <vt:variant>
        <vt:lpwstr/>
      </vt:variant>
      <vt:variant>
        <vt:i4>3145762</vt:i4>
      </vt:variant>
      <vt:variant>
        <vt:i4>858</vt:i4>
      </vt:variant>
      <vt:variant>
        <vt:i4>0</vt:i4>
      </vt:variant>
      <vt:variant>
        <vt:i4>5</vt:i4>
      </vt:variant>
      <vt:variant>
        <vt:lpwstr>https://www.health.gov.au/resources/collections/resources-on-the-multi-purpose-service-program-for-older-people</vt:lpwstr>
      </vt:variant>
      <vt:variant>
        <vt:lpwstr/>
      </vt:variant>
      <vt:variant>
        <vt:i4>7471214</vt:i4>
      </vt:variant>
      <vt:variant>
        <vt:i4>855</vt:i4>
      </vt:variant>
      <vt:variant>
        <vt:i4>0</vt:i4>
      </vt:variant>
      <vt:variant>
        <vt:i4>5</vt:i4>
      </vt:variant>
      <vt:variant>
        <vt:lpwstr>https://www.health.gov.au/our-work/chsp/reforms</vt:lpwstr>
      </vt:variant>
      <vt:variant>
        <vt:lpwstr/>
      </vt:variant>
      <vt:variant>
        <vt:i4>5832777</vt:i4>
      </vt:variant>
      <vt:variant>
        <vt:i4>852</vt:i4>
      </vt:variant>
      <vt:variant>
        <vt:i4>0</vt:i4>
      </vt:variant>
      <vt:variant>
        <vt:i4>5</vt:i4>
      </vt:variant>
      <vt:variant>
        <vt:lpwstr>https://www.health.gov.au/resources/publications/support-at-home-program-manual-a-guide-for-registered-providers?language=en</vt:lpwstr>
      </vt:variant>
      <vt:variant>
        <vt:lpwstr/>
      </vt:variant>
      <vt:variant>
        <vt:i4>6815801</vt:i4>
      </vt:variant>
      <vt:variant>
        <vt:i4>849</vt:i4>
      </vt:variant>
      <vt:variant>
        <vt:i4>0</vt:i4>
      </vt:variant>
      <vt:variant>
        <vt:i4>5</vt:i4>
      </vt:variant>
      <vt:variant>
        <vt:lpwstr>https://www.health.gov.au/sites/default/files/2025-04/my-aged-care-workforce-learning-strategy-2025.pdf</vt:lpwstr>
      </vt:variant>
      <vt:variant>
        <vt:lpwstr/>
      </vt:variant>
      <vt:variant>
        <vt:i4>6815866</vt:i4>
      </vt:variant>
      <vt:variant>
        <vt:i4>846</vt:i4>
      </vt:variant>
      <vt:variant>
        <vt:i4>0</vt:i4>
      </vt:variant>
      <vt:variant>
        <vt:i4>5</vt:i4>
      </vt:variant>
      <vt:variant>
        <vt:lpwstr>https://www.health.gov.au/resources/collections/my-aged-care-assessor-portal-resources</vt:lpwstr>
      </vt:variant>
      <vt:variant>
        <vt:lpwstr/>
      </vt:variant>
      <vt:variant>
        <vt:i4>2228326</vt:i4>
      </vt:variant>
      <vt:variant>
        <vt:i4>843</vt:i4>
      </vt:variant>
      <vt:variant>
        <vt:i4>0</vt:i4>
      </vt:variant>
      <vt:variant>
        <vt:i4>5</vt:i4>
      </vt:variant>
      <vt:variant>
        <vt:lpwstr>https://www.health.gov.au/our-work/single-assessment-system/resources</vt:lpwstr>
      </vt:variant>
      <vt:variant>
        <vt:lpwstr>fact-sheets</vt:lpwstr>
      </vt:variant>
      <vt:variant>
        <vt:i4>6881314</vt:i4>
      </vt:variant>
      <vt:variant>
        <vt:i4>840</vt:i4>
      </vt:variant>
      <vt:variant>
        <vt:i4>0</vt:i4>
      </vt:variant>
      <vt:variant>
        <vt:i4>5</vt:i4>
      </vt:variant>
      <vt:variant>
        <vt:lpwstr>https://www.myagedcare.gov.au/</vt:lpwstr>
      </vt:variant>
      <vt:variant>
        <vt:lpwstr/>
      </vt:variant>
      <vt:variant>
        <vt:i4>3014719</vt:i4>
      </vt:variant>
      <vt:variant>
        <vt:i4>837</vt:i4>
      </vt:variant>
      <vt:variant>
        <vt:i4>0</vt:i4>
      </vt:variant>
      <vt:variant>
        <vt:i4>5</vt:i4>
      </vt:variant>
      <vt:variant>
        <vt:lpwstr>https://www.legislation.gov.au/F2025L01173/asmade/text</vt:lpwstr>
      </vt:variant>
      <vt:variant>
        <vt:lpwstr/>
      </vt:variant>
      <vt:variant>
        <vt:i4>2949172</vt:i4>
      </vt:variant>
      <vt:variant>
        <vt:i4>834</vt:i4>
      </vt:variant>
      <vt:variant>
        <vt:i4>0</vt:i4>
      </vt:variant>
      <vt:variant>
        <vt:i4>5</vt:i4>
      </vt:variant>
      <vt:variant>
        <vt:lpwstr>https://www.legislation.gov.au/C2024A00104/asmade/text</vt:lpwstr>
      </vt:variant>
      <vt:variant>
        <vt:lpwstr/>
      </vt:variant>
      <vt:variant>
        <vt:i4>3539057</vt:i4>
      </vt:variant>
      <vt:variant>
        <vt:i4>831</vt:i4>
      </vt:variant>
      <vt:variant>
        <vt:i4>0</vt:i4>
      </vt:variant>
      <vt:variant>
        <vt:i4>5</vt:i4>
      </vt:variant>
      <vt:variant>
        <vt:lpwstr>https://www.health.gov.au/resources/publications/aged-care-assessment-quality-framework?language=en</vt:lpwstr>
      </vt:variant>
      <vt:variant>
        <vt:lpwstr/>
      </vt:variant>
      <vt:variant>
        <vt:i4>6619199</vt:i4>
      </vt:variant>
      <vt:variant>
        <vt:i4>828</vt:i4>
      </vt:variant>
      <vt:variant>
        <vt:i4>0</vt:i4>
      </vt:variant>
      <vt:variant>
        <vt:i4>5</vt:i4>
      </vt:variant>
      <vt:variant>
        <vt:lpwstr>https://www.health.gov.au/resources/publications/my-aged-care-integrated-assessment-tool-iat-user-guide?language=en</vt:lpwstr>
      </vt:variant>
      <vt:variant>
        <vt:lpwstr/>
      </vt:variant>
      <vt:variant>
        <vt:i4>3539057</vt:i4>
      </vt:variant>
      <vt:variant>
        <vt:i4>825</vt:i4>
      </vt:variant>
      <vt:variant>
        <vt:i4>0</vt:i4>
      </vt:variant>
      <vt:variant>
        <vt:i4>5</vt:i4>
      </vt:variant>
      <vt:variant>
        <vt:lpwstr>https://www.health.gov.au/resources/publications/aged-care-assessment-quality-framework?language=en</vt:lpwstr>
      </vt:variant>
      <vt:variant>
        <vt:lpwstr/>
      </vt:variant>
      <vt:variant>
        <vt:i4>1638448</vt:i4>
      </vt:variant>
      <vt:variant>
        <vt:i4>818</vt:i4>
      </vt:variant>
      <vt:variant>
        <vt:i4>0</vt:i4>
      </vt:variant>
      <vt:variant>
        <vt:i4>5</vt:i4>
      </vt:variant>
      <vt:variant>
        <vt:lpwstr/>
      </vt:variant>
      <vt:variant>
        <vt:lpwstr>_Toc224916734</vt:lpwstr>
      </vt:variant>
      <vt:variant>
        <vt:i4>1638448</vt:i4>
      </vt:variant>
      <vt:variant>
        <vt:i4>812</vt:i4>
      </vt:variant>
      <vt:variant>
        <vt:i4>0</vt:i4>
      </vt:variant>
      <vt:variant>
        <vt:i4>5</vt:i4>
      </vt:variant>
      <vt:variant>
        <vt:lpwstr/>
      </vt:variant>
      <vt:variant>
        <vt:lpwstr>_Toc224916733</vt:lpwstr>
      </vt:variant>
      <vt:variant>
        <vt:i4>1638448</vt:i4>
      </vt:variant>
      <vt:variant>
        <vt:i4>806</vt:i4>
      </vt:variant>
      <vt:variant>
        <vt:i4>0</vt:i4>
      </vt:variant>
      <vt:variant>
        <vt:i4>5</vt:i4>
      </vt:variant>
      <vt:variant>
        <vt:lpwstr/>
      </vt:variant>
      <vt:variant>
        <vt:lpwstr>_Toc224916732</vt:lpwstr>
      </vt:variant>
      <vt:variant>
        <vt:i4>1638448</vt:i4>
      </vt:variant>
      <vt:variant>
        <vt:i4>800</vt:i4>
      </vt:variant>
      <vt:variant>
        <vt:i4>0</vt:i4>
      </vt:variant>
      <vt:variant>
        <vt:i4>5</vt:i4>
      </vt:variant>
      <vt:variant>
        <vt:lpwstr/>
      </vt:variant>
      <vt:variant>
        <vt:lpwstr>_Toc224916731</vt:lpwstr>
      </vt:variant>
      <vt:variant>
        <vt:i4>1638448</vt:i4>
      </vt:variant>
      <vt:variant>
        <vt:i4>794</vt:i4>
      </vt:variant>
      <vt:variant>
        <vt:i4>0</vt:i4>
      </vt:variant>
      <vt:variant>
        <vt:i4>5</vt:i4>
      </vt:variant>
      <vt:variant>
        <vt:lpwstr/>
      </vt:variant>
      <vt:variant>
        <vt:lpwstr>_Toc224916730</vt:lpwstr>
      </vt:variant>
      <vt:variant>
        <vt:i4>1572912</vt:i4>
      </vt:variant>
      <vt:variant>
        <vt:i4>788</vt:i4>
      </vt:variant>
      <vt:variant>
        <vt:i4>0</vt:i4>
      </vt:variant>
      <vt:variant>
        <vt:i4>5</vt:i4>
      </vt:variant>
      <vt:variant>
        <vt:lpwstr/>
      </vt:variant>
      <vt:variant>
        <vt:lpwstr>_Toc224916729</vt:lpwstr>
      </vt:variant>
      <vt:variant>
        <vt:i4>1572912</vt:i4>
      </vt:variant>
      <vt:variant>
        <vt:i4>782</vt:i4>
      </vt:variant>
      <vt:variant>
        <vt:i4>0</vt:i4>
      </vt:variant>
      <vt:variant>
        <vt:i4>5</vt:i4>
      </vt:variant>
      <vt:variant>
        <vt:lpwstr/>
      </vt:variant>
      <vt:variant>
        <vt:lpwstr>_Toc224916728</vt:lpwstr>
      </vt:variant>
      <vt:variant>
        <vt:i4>1572912</vt:i4>
      </vt:variant>
      <vt:variant>
        <vt:i4>776</vt:i4>
      </vt:variant>
      <vt:variant>
        <vt:i4>0</vt:i4>
      </vt:variant>
      <vt:variant>
        <vt:i4>5</vt:i4>
      </vt:variant>
      <vt:variant>
        <vt:lpwstr/>
      </vt:variant>
      <vt:variant>
        <vt:lpwstr>_Toc224916727</vt:lpwstr>
      </vt:variant>
      <vt:variant>
        <vt:i4>1572912</vt:i4>
      </vt:variant>
      <vt:variant>
        <vt:i4>770</vt:i4>
      </vt:variant>
      <vt:variant>
        <vt:i4>0</vt:i4>
      </vt:variant>
      <vt:variant>
        <vt:i4>5</vt:i4>
      </vt:variant>
      <vt:variant>
        <vt:lpwstr/>
      </vt:variant>
      <vt:variant>
        <vt:lpwstr>_Toc224916726</vt:lpwstr>
      </vt:variant>
      <vt:variant>
        <vt:i4>1572912</vt:i4>
      </vt:variant>
      <vt:variant>
        <vt:i4>764</vt:i4>
      </vt:variant>
      <vt:variant>
        <vt:i4>0</vt:i4>
      </vt:variant>
      <vt:variant>
        <vt:i4>5</vt:i4>
      </vt:variant>
      <vt:variant>
        <vt:lpwstr/>
      </vt:variant>
      <vt:variant>
        <vt:lpwstr>_Toc224916725</vt:lpwstr>
      </vt:variant>
      <vt:variant>
        <vt:i4>1572912</vt:i4>
      </vt:variant>
      <vt:variant>
        <vt:i4>758</vt:i4>
      </vt:variant>
      <vt:variant>
        <vt:i4>0</vt:i4>
      </vt:variant>
      <vt:variant>
        <vt:i4>5</vt:i4>
      </vt:variant>
      <vt:variant>
        <vt:lpwstr/>
      </vt:variant>
      <vt:variant>
        <vt:lpwstr>_Toc224916724</vt:lpwstr>
      </vt:variant>
      <vt:variant>
        <vt:i4>1572912</vt:i4>
      </vt:variant>
      <vt:variant>
        <vt:i4>752</vt:i4>
      </vt:variant>
      <vt:variant>
        <vt:i4>0</vt:i4>
      </vt:variant>
      <vt:variant>
        <vt:i4>5</vt:i4>
      </vt:variant>
      <vt:variant>
        <vt:lpwstr/>
      </vt:variant>
      <vt:variant>
        <vt:lpwstr>_Toc224916723</vt:lpwstr>
      </vt:variant>
      <vt:variant>
        <vt:i4>1572912</vt:i4>
      </vt:variant>
      <vt:variant>
        <vt:i4>746</vt:i4>
      </vt:variant>
      <vt:variant>
        <vt:i4>0</vt:i4>
      </vt:variant>
      <vt:variant>
        <vt:i4>5</vt:i4>
      </vt:variant>
      <vt:variant>
        <vt:lpwstr/>
      </vt:variant>
      <vt:variant>
        <vt:lpwstr>_Toc224916722</vt:lpwstr>
      </vt:variant>
      <vt:variant>
        <vt:i4>1572912</vt:i4>
      </vt:variant>
      <vt:variant>
        <vt:i4>740</vt:i4>
      </vt:variant>
      <vt:variant>
        <vt:i4>0</vt:i4>
      </vt:variant>
      <vt:variant>
        <vt:i4>5</vt:i4>
      </vt:variant>
      <vt:variant>
        <vt:lpwstr/>
      </vt:variant>
      <vt:variant>
        <vt:lpwstr>_Toc224916721</vt:lpwstr>
      </vt:variant>
      <vt:variant>
        <vt:i4>1572912</vt:i4>
      </vt:variant>
      <vt:variant>
        <vt:i4>734</vt:i4>
      </vt:variant>
      <vt:variant>
        <vt:i4>0</vt:i4>
      </vt:variant>
      <vt:variant>
        <vt:i4>5</vt:i4>
      </vt:variant>
      <vt:variant>
        <vt:lpwstr/>
      </vt:variant>
      <vt:variant>
        <vt:lpwstr>_Toc224916720</vt:lpwstr>
      </vt:variant>
      <vt:variant>
        <vt:i4>1769520</vt:i4>
      </vt:variant>
      <vt:variant>
        <vt:i4>728</vt:i4>
      </vt:variant>
      <vt:variant>
        <vt:i4>0</vt:i4>
      </vt:variant>
      <vt:variant>
        <vt:i4>5</vt:i4>
      </vt:variant>
      <vt:variant>
        <vt:lpwstr/>
      </vt:variant>
      <vt:variant>
        <vt:lpwstr>_Toc224916719</vt:lpwstr>
      </vt:variant>
      <vt:variant>
        <vt:i4>1769520</vt:i4>
      </vt:variant>
      <vt:variant>
        <vt:i4>722</vt:i4>
      </vt:variant>
      <vt:variant>
        <vt:i4>0</vt:i4>
      </vt:variant>
      <vt:variant>
        <vt:i4>5</vt:i4>
      </vt:variant>
      <vt:variant>
        <vt:lpwstr/>
      </vt:variant>
      <vt:variant>
        <vt:lpwstr>_Toc224916718</vt:lpwstr>
      </vt:variant>
      <vt:variant>
        <vt:i4>1769520</vt:i4>
      </vt:variant>
      <vt:variant>
        <vt:i4>716</vt:i4>
      </vt:variant>
      <vt:variant>
        <vt:i4>0</vt:i4>
      </vt:variant>
      <vt:variant>
        <vt:i4>5</vt:i4>
      </vt:variant>
      <vt:variant>
        <vt:lpwstr/>
      </vt:variant>
      <vt:variant>
        <vt:lpwstr>_Toc224916717</vt:lpwstr>
      </vt:variant>
      <vt:variant>
        <vt:i4>1769520</vt:i4>
      </vt:variant>
      <vt:variant>
        <vt:i4>710</vt:i4>
      </vt:variant>
      <vt:variant>
        <vt:i4>0</vt:i4>
      </vt:variant>
      <vt:variant>
        <vt:i4>5</vt:i4>
      </vt:variant>
      <vt:variant>
        <vt:lpwstr/>
      </vt:variant>
      <vt:variant>
        <vt:lpwstr>_Toc224916716</vt:lpwstr>
      </vt:variant>
      <vt:variant>
        <vt:i4>1769520</vt:i4>
      </vt:variant>
      <vt:variant>
        <vt:i4>704</vt:i4>
      </vt:variant>
      <vt:variant>
        <vt:i4>0</vt:i4>
      </vt:variant>
      <vt:variant>
        <vt:i4>5</vt:i4>
      </vt:variant>
      <vt:variant>
        <vt:lpwstr/>
      </vt:variant>
      <vt:variant>
        <vt:lpwstr>_Toc224916715</vt:lpwstr>
      </vt:variant>
      <vt:variant>
        <vt:i4>1769520</vt:i4>
      </vt:variant>
      <vt:variant>
        <vt:i4>698</vt:i4>
      </vt:variant>
      <vt:variant>
        <vt:i4>0</vt:i4>
      </vt:variant>
      <vt:variant>
        <vt:i4>5</vt:i4>
      </vt:variant>
      <vt:variant>
        <vt:lpwstr/>
      </vt:variant>
      <vt:variant>
        <vt:lpwstr>_Toc224916714</vt:lpwstr>
      </vt:variant>
      <vt:variant>
        <vt:i4>1769520</vt:i4>
      </vt:variant>
      <vt:variant>
        <vt:i4>692</vt:i4>
      </vt:variant>
      <vt:variant>
        <vt:i4>0</vt:i4>
      </vt:variant>
      <vt:variant>
        <vt:i4>5</vt:i4>
      </vt:variant>
      <vt:variant>
        <vt:lpwstr/>
      </vt:variant>
      <vt:variant>
        <vt:lpwstr>_Toc224916713</vt:lpwstr>
      </vt:variant>
      <vt:variant>
        <vt:i4>1769520</vt:i4>
      </vt:variant>
      <vt:variant>
        <vt:i4>686</vt:i4>
      </vt:variant>
      <vt:variant>
        <vt:i4>0</vt:i4>
      </vt:variant>
      <vt:variant>
        <vt:i4>5</vt:i4>
      </vt:variant>
      <vt:variant>
        <vt:lpwstr/>
      </vt:variant>
      <vt:variant>
        <vt:lpwstr>_Toc224916712</vt:lpwstr>
      </vt:variant>
      <vt:variant>
        <vt:i4>1769520</vt:i4>
      </vt:variant>
      <vt:variant>
        <vt:i4>680</vt:i4>
      </vt:variant>
      <vt:variant>
        <vt:i4>0</vt:i4>
      </vt:variant>
      <vt:variant>
        <vt:i4>5</vt:i4>
      </vt:variant>
      <vt:variant>
        <vt:lpwstr/>
      </vt:variant>
      <vt:variant>
        <vt:lpwstr>_Toc224916711</vt:lpwstr>
      </vt:variant>
      <vt:variant>
        <vt:i4>1769520</vt:i4>
      </vt:variant>
      <vt:variant>
        <vt:i4>674</vt:i4>
      </vt:variant>
      <vt:variant>
        <vt:i4>0</vt:i4>
      </vt:variant>
      <vt:variant>
        <vt:i4>5</vt:i4>
      </vt:variant>
      <vt:variant>
        <vt:lpwstr/>
      </vt:variant>
      <vt:variant>
        <vt:lpwstr>_Toc224916710</vt:lpwstr>
      </vt:variant>
      <vt:variant>
        <vt:i4>1703984</vt:i4>
      </vt:variant>
      <vt:variant>
        <vt:i4>668</vt:i4>
      </vt:variant>
      <vt:variant>
        <vt:i4>0</vt:i4>
      </vt:variant>
      <vt:variant>
        <vt:i4>5</vt:i4>
      </vt:variant>
      <vt:variant>
        <vt:lpwstr/>
      </vt:variant>
      <vt:variant>
        <vt:lpwstr>_Toc224916709</vt:lpwstr>
      </vt:variant>
      <vt:variant>
        <vt:i4>1703984</vt:i4>
      </vt:variant>
      <vt:variant>
        <vt:i4>662</vt:i4>
      </vt:variant>
      <vt:variant>
        <vt:i4>0</vt:i4>
      </vt:variant>
      <vt:variant>
        <vt:i4>5</vt:i4>
      </vt:variant>
      <vt:variant>
        <vt:lpwstr/>
      </vt:variant>
      <vt:variant>
        <vt:lpwstr>_Toc224916708</vt:lpwstr>
      </vt:variant>
      <vt:variant>
        <vt:i4>1703984</vt:i4>
      </vt:variant>
      <vt:variant>
        <vt:i4>656</vt:i4>
      </vt:variant>
      <vt:variant>
        <vt:i4>0</vt:i4>
      </vt:variant>
      <vt:variant>
        <vt:i4>5</vt:i4>
      </vt:variant>
      <vt:variant>
        <vt:lpwstr/>
      </vt:variant>
      <vt:variant>
        <vt:lpwstr>_Toc224916707</vt:lpwstr>
      </vt:variant>
      <vt:variant>
        <vt:i4>1703984</vt:i4>
      </vt:variant>
      <vt:variant>
        <vt:i4>650</vt:i4>
      </vt:variant>
      <vt:variant>
        <vt:i4>0</vt:i4>
      </vt:variant>
      <vt:variant>
        <vt:i4>5</vt:i4>
      </vt:variant>
      <vt:variant>
        <vt:lpwstr/>
      </vt:variant>
      <vt:variant>
        <vt:lpwstr>_Toc224916706</vt:lpwstr>
      </vt:variant>
      <vt:variant>
        <vt:i4>1703984</vt:i4>
      </vt:variant>
      <vt:variant>
        <vt:i4>644</vt:i4>
      </vt:variant>
      <vt:variant>
        <vt:i4>0</vt:i4>
      </vt:variant>
      <vt:variant>
        <vt:i4>5</vt:i4>
      </vt:variant>
      <vt:variant>
        <vt:lpwstr/>
      </vt:variant>
      <vt:variant>
        <vt:lpwstr>_Toc224916705</vt:lpwstr>
      </vt:variant>
      <vt:variant>
        <vt:i4>1703984</vt:i4>
      </vt:variant>
      <vt:variant>
        <vt:i4>638</vt:i4>
      </vt:variant>
      <vt:variant>
        <vt:i4>0</vt:i4>
      </vt:variant>
      <vt:variant>
        <vt:i4>5</vt:i4>
      </vt:variant>
      <vt:variant>
        <vt:lpwstr/>
      </vt:variant>
      <vt:variant>
        <vt:lpwstr>_Toc224916704</vt:lpwstr>
      </vt:variant>
      <vt:variant>
        <vt:i4>1703984</vt:i4>
      </vt:variant>
      <vt:variant>
        <vt:i4>632</vt:i4>
      </vt:variant>
      <vt:variant>
        <vt:i4>0</vt:i4>
      </vt:variant>
      <vt:variant>
        <vt:i4>5</vt:i4>
      </vt:variant>
      <vt:variant>
        <vt:lpwstr/>
      </vt:variant>
      <vt:variant>
        <vt:lpwstr>_Toc224916703</vt:lpwstr>
      </vt:variant>
      <vt:variant>
        <vt:i4>1703984</vt:i4>
      </vt:variant>
      <vt:variant>
        <vt:i4>626</vt:i4>
      </vt:variant>
      <vt:variant>
        <vt:i4>0</vt:i4>
      </vt:variant>
      <vt:variant>
        <vt:i4>5</vt:i4>
      </vt:variant>
      <vt:variant>
        <vt:lpwstr/>
      </vt:variant>
      <vt:variant>
        <vt:lpwstr>_Toc224916702</vt:lpwstr>
      </vt:variant>
      <vt:variant>
        <vt:i4>1703984</vt:i4>
      </vt:variant>
      <vt:variant>
        <vt:i4>620</vt:i4>
      </vt:variant>
      <vt:variant>
        <vt:i4>0</vt:i4>
      </vt:variant>
      <vt:variant>
        <vt:i4>5</vt:i4>
      </vt:variant>
      <vt:variant>
        <vt:lpwstr/>
      </vt:variant>
      <vt:variant>
        <vt:lpwstr>_Toc224916701</vt:lpwstr>
      </vt:variant>
      <vt:variant>
        <vt:i4>1703984</vt:i4>
      </vt:variant>
      <vt:variant>
        <vt:i4>614</vt:i4>
      </vt:variant>
      <vt:variant>
        <vt:i4>0</vt:i4>
      </vt:variant>
      <vt:variant>
        <vt:i4>5</vt:i4>
      </vt:variant>
      <vt:variant>
        <vt:lpwstr/>
      </vt:variant>
      <vt:variant>
        <vt:lpwstr>_Toc224916700</vt:lpwstr>
      </vt:variant>
      <vt:variant>
        <vt:i4>1245233</vt:i4>
      </vt:variant>
      <vt:variant>
        <vt:i4>608</vt:i4>
      </vt:variant>
      <vt:variant>
        <vt:i4>0</vt:i4>
      </vt:variant>
      <vt:variant>
        <vt:i4>5</vt:i4>
      </vt:variant>
      <vt:variant>
        <vt:lpwstr/>
      </vt:variant>
      <vt:variant>
        <vt:lpwstr>_Toc224916699</vt:lpwstr>
      </vt:variant>
      <vt:variant>
        <vt:i4>1245233</vt:i4>
      </vt:variant>
      <vt:variant>
        <vt:i4>602</vt:i4>
      </vt:variant>
      <vt:variant>
        <vt:i4>0</vt:i4>
      </vt:variant>
      <vt:variant>
        <vt:i4>5</vt:i4>
      </vt:variant>
      <vt:variant>
        <vt:lpwstr/>
      </vt:variant>
      <vt:variant>
        <vt:lpwstr>_Toc224916698</vt:lpwstr>
      </vt:variant>
      <vt:variant>
        <vt:i4>1245233</vt:i4>
      </vt:variant>
      <vt:variant>
        <vt:i4>596</vt:i4>
      </vt:variant>
      <vt:variant>
        <vt:i4>0</vt:i4>
      </vt:variant>
      <vt:variant>
        <vt:i4>5</vt:i4>
      </vt:variant>
      <vt:variant>
        <vt:lpwstr/>
      </vt:variant>
      <vt:variant>
        <vt:lpwstr>_Toc224916697</vt:lpwstr>
      </vt:variant>
      <vt:variant>
        <vt:i4>1245233</vt:i4>
      </vt:variant>
      <vt:variant>
        <vt:i4>590</vt:i4>
      </vt:variant>
      <vt:variant>
        <vt:i4>0</vt:i4>
      </vt:variant>
      <vt:variant>
        <vt:i4>5</vt:i4>
      </vt:variant>
      <vt:variant>
        <vt:lpwstr/>
      </vt:variant>
      <vt:variant>
        <vt:lpwstr>_Toc224916696</vt:lpwstr>
      </vt:variant>
      <vt:variant>
        <vt:i4>1245233</vt:i4>
      </vt:variant>
      <vt:variant>
        <vt:i4>584</vt:i4>
      </vt:variant>
      <vt:variant>
        <vt:i4>0</vt:i4>
      </vt:variant>
      <vt:variant>
        <vt:i4>5</vt:i4>
      </vt:variant>
      <vt:variant>
        <vt:lpwstr/>
      </vt:variant>
      <vt:variant>
        <vt:lpwstr>_Toc224916695</vt:lpwstr>
      </vt:variant>
      <vt:variant>
        <vt:i4>1245233</vt:i4>
      </vt:variant>
      <vt:variant>
        <vt:i4>578</vt:i4>
      </vt:variant>
      <vt:variant>
        <vt:i4>0</vt:i4>
      </vt:variant>
      <vt:variant>
        <vt:i4>5</vt:i4>
      </vt:variant>
      <vt:variant>
        <vt:lpwstr/>
      </vt:variant>
      <vt:variant>
        <vt:lpwstr>_Toc224916694</vt:lpwstr>
      </vt:variant>
      <vt:variant>
        <vt:i4>1245233</vt:i4>
      </vt:variant>
      <vt:variant>
        <vt:i4>572</vt:i4>
      </vt:variant>
      <vt:variant>
        <vt:i4>0</vt:i4>
      </vt:variant>
      <vt:variant>
        <vt:i4>5</vt:i4>
      </vt:variant>
      <vt:variant>
        <vt:lpwstr/>
      </vt:variant>
      <vt:variant>
        <vt:lpwstr>_Toc224916693</vt:lpwstr>
      </vt:variant>
      <vt:variant>
        <vt:i4>1245233</vt:i4>
      </vt:variant>
      <vt:variant>
        <vt:i4>566</vt:i4>
      </vt:variant>
      <vt:variant>
        <vt:i4>0</vt:i4>
      </vt:variant>
      <vt:variant>
        <vt:i4>5</vt:i4>
      </vt:variant>
      <vt:variant>
        <vt:lpwstr/>
      </vt:variant>
      <vt:variant>
        <vt:lpwstr>_Toc224916692</vt:lpwstr>
      </vt:variant>
      <vt:variant>
        <vt:i4>1245233</vt:i4>
      </vt:variant>
      <vt:variant>
        <vt:i4>560</vt:i4>
      </vt:variant>
      <vt:variant>
        <vt:i4>0</vt:i4>
      </vt:variant>
      <vt:variant>
        <vt:i4>5</vt:i4>
      </vt:variant>
      <vt:variant>
        <vt:lpwstr/>
      </vt:variant>
      <vt:variant>
        <vt:lpwstr>_Toc224916691</vt:lpwstr>
      </vt:variant>
      <vt:variant>
        <vt:i4>1245233</vt:i4>
      </vt:variant>
      <vt:variant>
        <vt:i4>554</vt:i4>
      </vt:variant>
      <vt:variant>
        <vt:i4>0</vt:i4>
      </vt:variant>
      <vt:variant>
        <vt:i4>5</vt:i4>
      </vt:variant>
      <vt:variant>
        <vt:lpwstr/>
      </vt:variant>
      <vt:variant>
        <vt:lpwstr>_Toc224916690</vt:lpwstr>
      </vt:variant>
      <vt:variant>
        <vt:i4>1179697</vt:i4>
      </vt:variant>
      <vt:variant>
        <vt:i4>548</vt:i4>
      </vt:variant>
      <vt:variant>
        <vt:i4>0</vt:i4>
      </vt:variant>
      <vt:variant>
        <vt:i4>5</vt:i4>
      </vt:variant>
      <vt:variant>
        <vt:lpwstr/>
      </vt:variant>
      <vt:variant>
        <vt:lpwstr>_Toc224916689</vt:lpwstr>
      </vt:variant>
      <vt:variant>
        <vt:i4>1179697</vt:i4>
      </vt:variant>
      <vt:variant>
        <vt:i4>542</vt:i4>
      </vt:variant>
      <vt:variant>
        <vt:i4>0</vt:i4>
      </vt:variant>
      <vt:variant>
        <vt:i4>5</vt:i4>
      </vt:variant>
      <vt:variant>
        <vt:lpwstr/>
      </vt:variant>
      <vt:variant>
        <vt:lpwstr>_Toc224916688</vt:lpwstr>
      </vt:variant>
      <vt:variant>
        <vt:i4>1179697</vt:i4>
      </vt:variant>
      <vt:variant>
        <vt:i4>536</vt:i4>
      </vt:variant>
      <vt:variant>
        <vt:i4>0</vt:i4>
      </vt:variant>
      <vt:variant>
        <vt:i4>5</vt:i4>
      </vt:variant>
      <vt:variant>
        <vt:lpwstr/>
      </vt:variant>
      <vt:variant>
        <vt:lpwstr>_Toc224916687</vt:lpwstr>
      </vt:variant>
      <vt:variant>
        <vt:i4>1179697</vt:i4>
      </vt:variant>
      <vt:variant>
        <vt:i4>530</vt:i4>
      </vt:variant>
      <vt:variant>
        <vt:i4>0</vt:i4>
      </vt:variant>
      <vt:variant>
        <vt:i4>5</vt:i4>
      </vt:variant>
      <vt:variant>
        <vt:lpwstr/>
      </vt:variant>
      <vt:variant>
        <vt:lpwstr>_Toc224916686</vt:lpwstr>
      </vt:variant>
      <vt:variant>
        <vt:i4>1179697</vt:i4>
      </vt:variant>
      <vt:variant>
        <vt:i4>524</vt:i4>
      </vt:variant>
      <vt:variant>
        <vt:i4>0</vt:i4>
      </vt:variant>
      <vt:variant>
        <vt:i4>5</vt:i4>
      </vt:variant>
      <vt:variant>
        <vt:lpwstr/>
      </vt:variant>
      <vt:variant>
        <vt:lpwstr>_Toc224916685</vt:lpwstr>
      </vt:variant>
      <vt:variant>
        <vt:i4>1179697</vt:i4>
      </vt:variant>
      <vt:variant>
        <vt:i4>518</vt:i4>
      </vt:variant>
      <vt:variant>
        <vt:i4>0</vt:i4>
      </vt:variant>
      <vt:variant>
        <vt:i4>5</vt:i4>
      </vt:variant>
      <vt:variant>
        <vt:lpwstr/>
      </vt:variant>
      <vt:variant>
        <vt:lpwstr>_Toc224916684</vt:lpwstr>
      </vt:variant>
      <vt:variant>
        <vt:i4>1179697</vt:i4>
      </vt:variant>
      <vt:variant>
        <vt:i4>512</vt:i4>
      </vt:variant>
      <vt:variant>
        <vt:i4>0</vt:i4>
      </vt:variant>
      <vt:variant>
        <vt:i4>5</vt:i4>
      </vt:variant>
      <vt:variant>
        <vt:lpwstr/>
      </vt:variant>
      <vt:variant>
        <vt:lpwstr>_Toc224916683</vt:lpwstr>
      </vt:variant>
      <vt:variant>
        <vt:i4>1179697</vt:i4>
      </vt:variant>
      <vt:variant>
        <vt:i4>506</vt:i4>
      </vt:variant>
      <vt:variant>
        <vt:i4>0</vt:i4>
      </vt:variant>
      <vt:variant>
        <vt:i4>5</vt:i4>
      </vt:variant>
      <vt:variant>
        <vt:lpwstr/>
      </vt:variant>
      <vt:variant>
        <vt:lpwstr>_Toc224916682</vt:lpwstr>
      </vt:variant>
      <vt:variant>
        <vt:i4>1179697</vt:i4>
      </vt:variant>
      <vt:variant>
        <vt:i4>500</vt:i4>
      </vt:variant>
      <vt:variant>
        <vt:i4>0</vt:i4>
      </vt:variant>
      <vt:variant>
        <vt:i4>5</vt:i4>
      </vt:variant>
      <vt:variant>
        <vt:lpwstr/>
      </vt:variant>
      <vt:variant>
        <vt:lpwstr>_Toc224916681</vt:lpwstr>
      </vt:variant>
      <vt:variant>
        <vt:i4>1179697</vt:i4>
      </vt:variant>
      <vt:variant>
        <vt:i4>494</vt:i4>
      </vt:variant>
      <vt:variant>
        <vt:i4>0</vt:i4>
      </vt:variant>
      <vt:variant>
        <vt:i4>5</vt:i4>
      </vt:variant>
      <vt:variant>
        <vt:lpwstr/>
      </vt:variant>
      <vt:variant>
        <vt:lpwstr>_Toc224916680</vt:lpwstr>
      </vt:variant>
      <vt:variant>
        <vt:i4>1900593</vt:i4>
      </vt:variant>
      <vt:variant>
        <vt:i4>488</vt:i4>
      </vt:variant>
      <vt:variant>
        <vt:i4>0</vt:i4>
      </vt:variant>
      <vt:variant>
        <vt:i4>5</vt:i4>
      </vt:variant>
      <vt:variant>
        <vt:lpwstr/>
      </vt:variant>
      <vt:variant>
        <vt:lpwstr>_Toc224916679</vt:lpwstr>
      </vt:variant>
      <vt:variant>
        <vt:i4>1900593</vt:i4>
      </vt:variant>
      <vt:variant>
        <vt:i4>482</vt:i4>
      </vt:variant>
      <vt:variant>
        <vt:i4>0</vt:i4>
      </vt:variant>
      <vt:variant>
        <vt:i4>5</vt:i4>
      </vt:variant>
      <vt:variant>
        <vt:lpwstr/>
      </vt:variant>
      <vt:variant>
        <vt:lpwstr>_Toc224916678</vt:lpwstr>
      </vt:variant>
      <vt:variant>
        <vt:i4>1900593</vt:i4>
      </vt:variant>
      <vt:variant>
        <vt:i4>476</vt:i4>
      </vt:variant>
      <vt:variant>
        <vt:i4>0</vt:i4>
      </vt:variant>
      <vt:variant>
        <vt:i4>5</vt:i4>
      </vt:variant>
      <vt:variant>
        <vt:lpwstr/>
      </vt:variant>
      <vt:variant>
        <vt:lpwstr>_Toc224916677</vt:lpwstr>
      </vt:variant>
      <vt:variant>
        <vt:i4>1900593</vt:i4>
      </vt:variant>
      <vt:variant>
        <vt:i4>470</vt:i4>
      </vt:variant>
      <vt:variant>
        <vt:i4>0</vt:i4>
      </vt:variant>
      <vt:variant>
        <vt:i4>5</vt:i4>
      </vt:variant>
      <vt:variant>
        <vt:lpwstr/>
      </vt:variant>
      <vt:variant>
        <vt:lpwstr>_Toc224916676</vt:lpwstr>
      </vt:variant>
      <vt:variant>
        <vt:i4>1900593</vt:i4>
      </vt:variant>
      <vt:variant>
        <vt:i4>464</vt:i4>
      </vt:variant>
      <vt:variant>
        <vt:i4>0</vt:i4>
      </vt:variant>
      <vt:variant>
        <vt:i4>5</vt:i4>
      </vt:variant>
      <vt:variant>
        <vt:lpwstr/>
      </vt:variant>
      <vt:variant>
        <vt:lpwstr>_Toc224916675</vt:lpwstr>
      </vt:variant>
      <vt:variant>
        <vt:i4>1900593</vt:i4>
      </vt:variant>
      <vt:variant>
        <vt:i4>458</vt:i4>
      </vt:variant>
      <vt:variant>
        <vt:i4>0</vt:i4>
      </vt:variant>
      <vt:variant>
        <vt:i4>5</vt:i4>
      </vt:variant>
      <vt:variant>
        <vt:lpwstr/>
      </vt:variant>
      <vt:variant>
        <vt:lpwstr>_Toc224916674</vt:lpwstr>
      </vt:variant>
      <vt:variant>
        <vt:i4>1900593</vt:i4>
      </vt:variant>
      <vt:variant>
        <vt:i4>452</vt:i4>
      </vt:variant>
      <vt:variant>
        <vt:i4>0</vt:i4>
      </vt:variant>
      <vt:variant>
        <vt:i4>5</vt:i4>
      </vt:variant>
      <vt:variant>
        <vt:lpwstr/>
      </vt:variant>
      <vt:variant>
        <vt:lpwstr>_Toc224916673</vt:lpwstr>
      </vt:variant>
      <vt:variant>
        <vt:i4>1900593</vt:i4>
      </vt:variant>
      <vt:variant>
        <vt:i4>446</vt:i4>
      </vt:variant>
      <vt:variant>
        <vt:i4>0</vt:i4>
      </vt:variant>
      <vt:variant>
        <vt:i4>5</vt:i4>
      </vt:variant>
      <vt:variant>
        <vt:lpwstr/>
      </vt:variant>
      <vt:variant>
        <vt:lpwstr>_Toc224916672</vt:lpwstr>
      </vt:variant>
      <vt:variant>
        <vt:i4>1900593</vt:i4>
      </vt:variant>
      <vt:variant>
        <vt:i4>440</vt:i4>
      </vt:variant>
      <vt:variant>
        <vt:i4>0</vt:i4>
      </vt:variant>
      <vt:variant>
        <vt:i4>5</vt:i4>
      </vt:variant>
      <vt:variant>
        <vt:lpwstr/>
      </vt:variant>
      <vt:variant>
        <vt:lpwstr>_Toc224916671</vt:lpwstr>
      </vt:variant>
      <vt:variant>
        <vt:i4>1900593</vt:i4>
      </vt:variant>
      <vt:variant>
        <vt:i4>434</vt:i4>
      </vt:variant>
      <vt:variant>
        <vt:i4>0</vt:i4>
      </vt:variant>
      <vt:variant>
        <vt:i4>5</vt:i4>
      </vt:variant>
      <vt:variant>
        <vt:lpwstr/>
      </vt:variant>
      <vt:variant>
        <vt:lpwstr>_Toc224916670</vt:lpwstr>
      </vt:variant>
      <vt:variant>
        <vt:i4>1835057</vt:i4>
      </vt:variant>
      <vt:variant>
        <vt:i4>428</vt:i4>
      </vt:variant>
      <vt:variant>
        <vt:i4>0</vt:i4>
      </vt:variant>
      <vt:variant>
        <vt:i4>5</vt:i4>
      </vt:variant>
      <vt:variant>
        <vt:lpwstr/>
      </vt:variant>
      <vt:variant>
        <vt:lpwstr>_Toc224916669</vt:lpwstr>
      </vt:variant>
      <vt:variant>
        <vt:i4>1835057</vt:i4>
      </vt:variant>
      <vt:variant>
        <vt:i4>422</vt:i4>
      </vt:variant>
      <vt:variant>
        <vt:i4>0</vt:i4>
      </vt:variant>
      <vt:variant>
        <vt:i4>5</vt:i4>
      </vt:variant>
      <vt:variant>
        <vt:lpwstr/>
      </vt:variant>
      <vt:variant>
        <vt:lpwstr>_Toc224916668</vt:lpwstr>
      </vt:variant>
      <vt:variant>
        <vt:i4>1835057</vt:i4>
      </vt:variant>
      <vt:variant>
        <vt:i4>416</vt:i4>
      </vt:variant>
      <vt:variant>
        <vt:i4>0</vt:i4>
      </vt:variant>
      <vt:variant>
        <vt:i4>5</vt:i4>
      </vt:variant>
      <vt:variant>
        <vt:lpwstr/>
      </vt:variant>
      <vt:variant>
        <vt:lpwstr>_Toc224916667</vt:lpwstr>
      </vt:variant>
      <vt:variant>
        <vt:i4>1835057</vt:i4>
      </vt:variant>
      <vt:variant>
        <vt:i4>410</vt:i4>
      </vt:variant>
      <vt:variant>
        <vt:i4>0</vt:i4>
      </vt:variant>
      <vt:variant>
        <vt:i4>5</vt:i4>
      </vt:variant>
      <vt:variant>
        <vt:lpwstr/>
      </vt:variant>
      <vt:variant>
        <vt:lpwstr>_Toc224916666</vt:lpwstr>
      </vt:variant>
      <vt:variant>
        <vt:i4>1835057</vt:i4>
      </vt:variant>
      <vt:variant>
        <vt:i4>404</vt:i4>
      </vt:variant>
      <vt:variant>
        <vt:i4>0</vt:i4>
      </vt:variant>
      <vt:variant>
        <vt:i4>5</vt:i4>
      </vt:variant>
      <vt:variant>
        <vt:lpwstr/>
      </vt:variant>
      <vt:variant>
        <vt:lpwstr>_Toc224916665</vt:lpwstr>
      </vt:variant>
      <vt:variant>
        <vt:i4>1835057</vt:i4>
      </vt:variant>
      <vt:variant>
        <vt:i4>398</vt:i4>
      </vt:variant>
      <vt:variant>
        <vt:i4>0</vt:i4>
      </vt:variant>
      <vt:variant>
        <vt:i4>5</vt:i4>
      </vt:variant>
      <vt:variant>
        <vt:lpwstr/>
      </vt:variant>
      <vt:variant>
        <vt:lpwstr>_Toc224916664</vt:lpwstr>
      </vt:variant>
      <vt:variant>
        <vt:i4>1835057</vt:i4>
      </vt:variant>
      <vt:variant>
        <vt:i4>392</vt:i4>
      </vt:variant>
      <vt:variant>
        <vt:i4>0</vt:i4>
      </vt:variant>
      <vt:variant>
        <vt:i4>5</vt:i4>
      </vt:variant>
      <vt:variant>
        <vt:lpwstr/>
      </vt:variant>
      <vt:variant>
        <vt:lpwstr>_Toc224916663</vt:lpwstr>
      </vt:variant>
      <vt:variant>
        <vt:i4>1835057</vt:i4>
      </vt:variant>
      <vt:variant>
        <vt:i4>386</vt:i4>
      </vt:variant>
      <vt:variant>
        <vt:i4>0</vt:i4>
      </vt:variant>
      <vt:variant>
        <vt:i4>5</vt:i4>
      </vt:variant>
      <vt:variant>
        <vt:lpwstr/>
      </vt:variant>
      <vt:variant>
        <vt:lpwstr>_Toc224916662</vt:lpwstr>
      </vt:variant>
      <vt:variant>
        <vt:i4>1835057</vt:i4>
      </vt:variant>
      <vt:variant>
        <vt:i4>380</vt:i4>
      </vt:variant>
      <vt:variant>
        <vt:i4>0</vt:i4>
      </vt:variant>
      <vt:variant>
        <vt:i4>5</vt:i4>
      </vt:variant>
      <vt:variant>
        <vt:lpwstr/>
      </vt:variant>
      <vt:variant>
        <vt:lpwstr>_Toc224916661</vt:lpwstr>
      </vt:variant>
      <vt:variant>
        <vt:i4>1835057</vt:i4>
      </vt:variant>
      <vt:variant>
        <vt:i4>374</vt:i4>
      </vt:variant>
      <vt:variant>
        <vt:i4>0</vt:i4>
      </vt:variant>
      <vt:variant>
        <vt:i4>5</vt:i4>
      </vt:variant>
      <vt:variant>
        <vt:lpwstr/>
      </vt:variant>
      <vt:variant>
        <vt:lpwstr>_Toc224916660</vt:lpwstr>
      </vt:variant>
      <vt:variant>
        <vt:i4>2031665</vt:i4>
      </vt:variant>
      <vt:variant>
        <vt:i4>368</vt:i4>
      </vt:variant>
      <vt:variant>
        <vt:i4>0</vt:i4>
      </vt:variant>
      <vt:variant>
        <vt:i4>5</vt:i4>
      </vt:variant>
      <vt:variant>
        <vt:lpwstr/>
      </vt:variant>
      <vt:variant>
        <vt:lpwstr>_Toc224916659</vt:lpwstr>
      </vt:variant>
      <vt:variant>
        <vt:i4>2031665</vt:i4>
      </vt:variant>
      <vt:variant>
        <vt:i4>362</vt:i4>
      </vt:variant>
      <vt:variant>
        <vt:i4>0</vt:i4>
      </vt:variant>
      <vt:variant>
        <vt:i4>5</vt:i4>
      </vt:variant>
      <vt:variant>
        <vt:lpwstr/>
      </vt:variant>
      <vt:variant>
        <vt:lpwstr>_Toc224916658</vt:lpwstr>
      </vt:variant>
      <vt:variant>
        <vt:i4>2031665</vt:i4>
      </vt:variant>
      <vt:variant>
        <vt:i4>356</vt:i4>
      </vt:variant>
      <vt:variant>
        <vt:i4>0</vt:i4>
      </vt:variant>
      <vt:variant>
        <vt:i4>5</vt:i4>
      </vt:variant>
      <vt:variant>
        <vt:lpwstr/>
      </vt:variant>
      <vt:variant>
        <vt:lpwstr>_Toc224916657</vt:lpwstr>
      </vt:variant>
      <vt:variant>
        <vt:i4>2031665</vt:i4>
      </vt:variant>
      <vt:variant>
        <vt:i4>350</vt:i4>
      </vt:variant>
      <vt:variant>
        <vt:i4>0</vt:i4>
      </vt:variant>
      <vt:variant>
        <vt:i4>5</vt:i4>
      </vt:variant>
      <vt:variant>
        <vt:lpwstr/>
      </vt:variant>
      <vt:variant>
        <vt:lpwstr>_Toc224916656</vt:lpwstr>
      </vt:variant>
      <vt:variant>
        <vt:i4>2031665</vt:i4>
      </vt:variant>
      <vt:variant>
        <vt:i4>344</vt:i4>
      </vt:variant>
      <vt:variant>
        <vt:i4>0</vt:i4>
      </vt:variant>
      <vt:variant>
        <vt:i4>5</vt:i4>
      </vt:variant>
      <vt:variant>
        <vt:lpwstr/>
      </vt:variant>
      <vt:variant>
        <vt:lpwstr>_Toc224916655</vt:lpwstr>
      </vt:variant>
      <vt:variant>
        <vt:i4>2031665</vt:i4>
      </vt:variant>
      <vt:variant>
        <vt:i4>338</vt:i4>
      </vt:variant>
      <vt:variant>
        <vt:i4>0</vt:i4>
      </vt:variant>
      <vt:variant>
        <vt:i4>5</vt:i4>
      </vt:variant>
      <vt:variant>
        <vt:lpwstr/>
      </vt:variant>
      <vt:variant>
        <vt:lpwstr>_Toc224916654</vt:lpwstr>
      </vt:variant>
      <vt:variant>
        <vt:i4>2031665</vt:i4>
      </vt:variant>
      <vt:variant>
        <vt:i4>332</vt:i4>
      </vt:variant>
      <vt:variant>
        <vt:i4>0</vt:i4>
      </vt:variant>
      <vt:variant>
        <vt:i4>5</vt:i4>
      </vt:variant>
      <vt:variant>
        <vt:lpwstr/>
      </vt:variant>
      <vt:variant>
        <vt:lpwstr>_Toc224916653</vt:lpwstr>
      </vt:variant>
      <vt:variant>
        <vt:i4>2031665</vt:i4>
      </vt:variant>
      <vt:variant>
        <vt:i4>326</vt:i4>
      </vt:variant>
      <vt:variant>
        <vt:i4>0</vt:i4>
      </vt:variant>
      <vt:variant>
        <vt:i4>5</vt:i4>
      </vt:variant>
      <vt:variant>
        <vt:lpwstr/>
      </vt:variant>
      <vt:variant>
        <vt:lpwstr>_Toc224916652</vt:lpwstr>
      </vt:variant>
      <vt:variant>
        <vt:i4>2031665</vt:i4>
      </vt:variant>
      <vt:variant>
        <vt:i4>320</vt:i4>
      </vt:variant>
      <vt:variant>
        <vt:i4>0</vt:i4>
      </vt:variant>
      <vt:variant>
        <vt:i4>5</vt:i4>
      </vt:variant>
      <vt:variant>
        <vt:lpwstr/>
      </vt:variant>
      <vt:variant>
        <vt:lpwstr>_Toc224916651</vt:lpwstr>
      </vt:variant>
      <vt:variant>
        <vt:i4>2031665</vt:i4>
      </vt:variant>
      <vt:variant>
        <vt:i4>314</vt:i4>
      </vt:variant>
      <vt:variant>
        <vt:i4>0</vt:i4>
      </vt:variant>
      <vt:variant>
        <vt:i4>5</vt:i4>
      </vt:variant>
      <vt:variant>
        <vt:lpwstr/>
      </vt:variant>
      <vt:variant>
        <vt:lpwstr>_Toc224916650</vt:lpwstr>
      </vt:variant>
      <vt:variant>
        <vt:i4>1966129</vt:i4>
      </vt:variant>
      <vt:variant>
        <vt:i4>308</vt:i4>
      </vt:variant>
      <vt:variant>
        <vt:i4>0</vt:i4>
      </vt:variant>
      <vt:variant>
        <vt:i4>5</vt:i4>
      </vt:variant>
      <vt:variant>
        <vt:lpwstr/>
      </vt:variant>
      <vt:variant>
        <vt:lpwstr>_Toc224916649</vt:lpwstr>
      </vt:variant>
      <vt:variant>
        <vt:i4>1966129</vt:i4>
      </vt:variant>
      <vt:variant>
        <vt:i4>302</vt:i4>
      </vt:variant>
      <vt:variant>
        <vt:i4>0</vt:i4>
      </vt:variant>
      <vt:variant>
        <vt:i4>5</vt:i4>
      </vt:variant>
      <vt:variant>
        <vt:lpwstr/>
      </vt:variant>
      <vt:variant>
        <vt:lpwstr>_Toc224916648</vt:lpwstr>
      </vt:variant>
      <vt:variant>
        <vt:i4>1966129</vt:i4>
      </vt:variant>
      <vt:variant>
        <vt:i4>296</vt:i4>
      </vt:variant>
      <vt:variant>
        <vt:i4>0</vt:i4>
      </vt:variant>
      <vt:variant>
        <vt:i4>5</vt:i4>
      </vt:variant>
      <vt:variant>
        <vt:lpwstr/>
      </vt:variant>
      <vt:variant>
        <vt:lpwstr>_Toc224916647</vt:lpwstr>
      </vt:variant>
      <vt:variant>
        <vt:i4>1966129</vt:i4>
      </vt:variant>
      <vt:variant>
        <vt:i4>290</vt:i4>
      </vt:variant>
      <vt:variant>
        <vt:i4>0</vt:i4>
      </vt:variant>
      <vt:variant>
        <vt:i4>5</vt:i4>
      </vt:variant>
      <vt:variant>
        <vt:lpwstr/>
      </vt:variant>
      <vt:variant>
        <vt:lpwstr>_Toc224916646</vt:lpwstr>
      </vt:variant>
      <vt:variant>
        <vt:i4>1966129</vt:i4>
      </vt:variant>
      <vt:variant>
        <vt:i4>284</vt:i4>
      </vt:variant>
      <vt:variant>
        <vt:i4>0</vt:i4>
      </vt:variant>
      <vt:variant>
        <vt:i4>5</vt:i4>
      </vt:variant>
      <vt:variant>
        <vt:lpwstr/>
      </vt:variant>
      <vt:variant>
        <vt:lpwstr>_Toc224916645</vt:lpwstr>
      </vt:variant>
      <vt:variant>
        <vt:i4>1966129</vt:i4>
      </vt:variant>
      <vt:variant>
        <vt:i4>278</vt:i4>
      </vt:variant>
      <vt:variant>
        <vt:i4>0</vt:i4>
      </vt:variant>
      <vt:variant>
        <vt:i4>5</vt:i4>
      </vt:variant>
      <vt:variant>
        <vt:lpwstr/>
      </vt:variant>
      <vt:variant>
        <vt:lpwstr>_Toc224916644</vt:lpwstr>
      </vt:variant>
      <vt:variant>
        <vt:i4>1966129</vt:i4>
      </vt:variant>
      <vt:variant>
        <vt:i4>272</vt:i4>
      </vt:variant>
      <vt:variant>
        <vt:i4>0</vt:i4>
      </vt:variant>
      <vt:variant>
        <vt:i4>5</vt:i4>
      </vt:variant>
      <vt:variant>
        <vt:lpwstr/>
      </vt:variant>
      <vt:variant>
        <vt:lpwstr>_Toc224916643</vt:lpwstr>
      </vt:variant>
      <vt:variant>
        <vt:i4>1966129</vt:i4>
      </vt:variant>
      <vt:variant>
        <vt:i4>266</vt:i4>
      </vt:variant>
      <vt:variant>
        <vt:i4>0</vt:i4>
      </vt:variant>
      <vt:variant>
        <vt:i4>5</vt:i4>
      </vt:variant>
      <vt:variant>
        <vt:lpwstr/>
      </vt:variant>
      <vt:variant>
        <vt:lpwstr>_Toc224916642</vt:lpwstr>
      </vt:variant>
      <vt:variant>
        <vt:i4>1966129</vt:i4>
      </vt:variant>
      <vt:variant>
        <vt:i4>260</vt:i4>
      </vt:variant>
      <vt:variant>
        <vt:i4>0</vt:i4>
      </vt:variant>
      <vt:variant>
        <vt:i4>5</vt:i4>
      </vt:variant>
      <vt:variant>
        <vt:lpwstr/>
      </vt:variant>
      <vt:variant>
        <vt:lpwstr>_Toc224916641</vt:lpwstr>
      </vt:variant>
      <vt:variant>
        <vt:i4>1966129</vt:i4>
      </vt:variant>
      <vt:variant>
        <vt:i4>254</vt:i4>
      </vt:variant>
      <vt:variant>
        <vt:i4>0</vt:i4>
      </vt:variant>
      <vt:variant>
        <vt:i4>5</vt:i4>
      </vt:variant>
      <vt:variant>
        <vt:lpwstr/>
      </vt:variant>
      <vt:variant>
        <vt:lpwstr>_Toc224916640</vt:lpwstr>
      </vt:variant>
      <vt:variant>
        <vt:i4>1638449</vt:i4>
      </vt:variant>
      <vt:variant>
        <vt:i4>248</vt:i4>
      </vt:variant>
      <vt:variant>
        <vt:i4>0</vt:i4>
      </vt:variant>
      <vt:variant>
        <vt:i4>5</vt:i4>
      </vt:variant>
      <vt:variant>
        <vt:lpwstr/>
      </vt:variant>
      <vt:variant>
        <vt:lpwstr>_Toc224916639</vt:lpwstr>
      </vt:variant>
      <vt:variant>
        <vt:i4>1638449</vt:i4>
      </vt:variant>
      <vt:variant>
        <vt:i4>242</vt:i4>
      </vt:variant>
      <vt:variant>
        <vt:i4>0</vt:i4>
      </vt:variant>
      <vt:variant>
        <vt:i4>5</vt:i4>
      </vt:variant>
      <vt:variant>
        <vt:lpwstr/>
      </vt:variant>
      <vt:variant>
        <vt:lpwstr>_Toc224916638</vt:lpwstr>
      </vt:variant>
      <vt:variant>
        <vt:i4>1638449</vt:i4>
      </vt:variant>
      <vt:variant>
        <vt:i4>236</vt:i4>
      </vt:variant>
      <vt:variant>
        <vt:i4>0</vt:i4>
      </vt:variant>
      <vt:variant>
        <vt:i4>5</vt:i4>
      </vt:variant>
      <vt:variant>
        <vt:lpwstr/>
      </vt:variant>
      <vt:variant>
        <vt:lpwstr>_Toc224916637</vt:lpwstr>
      </vt:variant>
      <vt:variant>
        <vt:i4>1638449</vt:i4>
      </vt:variant>
      <vt:variant>
        <vt:i4>230</vt:i4>
      </vt:variant>
      <vt:variant>
        <vt:i4>0</vt:i4>
      </vt:variant>
      <vt:variant>
        <vt:i4>5</vt:i4>
      </vt:variant>
      <vt:variant>
        <vt:lpwstr/>
      </vt:variant>
      <vt:variant>
        <vt:lpwstr>_Toc224916636</vt:lpwstr>
      </vt:variant>
      <vt:variant>
        <vt:i4>1638449</vt:i4>
      </vt:variant>
      <vt:variant>
        <vt:i4>224</vt:i4>
      </vt:variant>
      <vt:variant>
        <vt:i4>0</vt:i4>
      </vt:variant>
      <vt:variant>
        <vt:i4>5</vt:i4>
      </vt:variant>
      <vt:variant>
        <vt:lpwstr/>
      </vt:variant>
      <vt:variant>
        <vt:lpwstr>_Toc224916635</vt:lpwstr>
      </vt:variant>
      <vt:variant>
        <vt:i4>1638449</vt:i4>
      </vt:variant>
      <vt:variant>
        <vt:i4>218</vt:i4>
      </vt:variant>
      <vt:variant>
        <vt:i4>0</vt:i4>
      </vt:variant>
      <vt:variant>
        <vt:i4>5</vt:i4>
      </vt:variant>
      <vt:variant>
        <vt:lpwstr/>
      </vt:variant>
      <vt:variant>
        <vt:lpwstr>_Toc224916634</vt:lpwstr>
      </vt:variant>
      <vt:variant>
        <vt:i4>1638449</vt:i4>
      </vt:variant>
      <vt:variant>
        <vt:i4>212</vt:i4>
      </vt:variant>
      <vt:variant>
        <vt:i4>0</vt:i4>
      </vt:variant>
      <vt:variant>
        <vt:i4>5</vt:i4>
      </vt:variant>
      <vt:variant>
        <vt:lpwstr/>
      </vt:variant>
      <vt:variant>
        <vt:lpwstr>_Toc224916633</vt:lpwstr>
      </vt:variant>
      <vt:variant>
        <vt:i4>1638449</vt:i4>
      </vt:variant>
      <vt:variant>
        <vt:i4>206</vt:i4>
      </vt:variant>
      <vt:variant>
        <vt:i4>0</vt:i4>
      </vt:variant>
      <vt:variant>
        <vt:i4>5</vt:i4>
      </vt:variant>
      <vt:variant>
        <vt:lpwstr/>
      </vt:variant>
      <vt:variant>
        <vt:lpwstr>_Toc224916632</vt:lpwstr>
      </vt:variant>
      <vt:variant>
        <vt:i4>1638449</vt:i4>
      </vt:variant>
      <vt:variant>
        <vt:i4>200</vt:i4>
      </vt:variant>
      <vt:variant>
        <vt:i4>0</vt:i4>
      </vt:variant>
      <vt:variant>
        <vt:i4>5</vt:i4>
      </vt:variant>
      <vt:variant>
        <vt:lpwstr/>
      </vt:variant>
      <vt:variant>
        <vt:lpwstr>_Toc224916631</vt:lpwstr>
      </vt:variant>
      <vt:variant>
        <vt:i4>1638449</vt:i4>
      </vt:variant>
      <vt:variant>
        <vt:i4>194</vt:i4>
      </vt:variant>
      <vt:variant>
        <vt:i4>0</vt:i4>
      </vt:variant>
      <vt:variant>
        <vt:i4>5</vt:i4>
      </vt:variant>
      <vt:variant>
        <vt:lpwstr/>
      </vt:variant>
      <vt:variant>
        <vt:lpwstr>_Toc224916630</vt:lpwstr>
      </vt:variant>
      <vt:variant>
        <vt:i4>1572913</vt:i4>
      </vt:variant>
      <vt:variant>
        <vt:i4>188</vt:i4>
      </vt:variant>
      <vt:variant>
        <vt:i4>0</vt:i4>
      </vt:variant>
      <vt:variant>
        <vt:i4>5</vt:i4>
      </vt:variant>
      <vt:variant>
        <vt:lpwstr/>
      </vt:variant>
      <vt:variant>
        <vt:lpwstr>_Toc224916629</vt:lpwstr>
      </vt:variant>
      <vt:variant>
        <vt:i4>1572913</vt:i4>
      </vt:variant>
      <vt:variant>
        <vt:i4>182</vt:i4>
      </vt:variant>
      <vt:variant>
        <vt:i4>0</vt:i4>
      </vt:variant>
      <vt:variant>
        <vt:i4>5</vt:i4>
      </vt:variant>
      <vt:variant>
        <vt:lpwstr/>
      </vt:variant>
      <vt:variant>
        <vt:lpwstr>_Toc224916628</vt:lpwstr>
      </vt:variant>
      <vt:variant>
        <vt:i4>1572913</vt:i4>
      </vt:variant>
      <vt:variant>
        <vt:i4>176</vt:i4>
      </vt:variant>
      <vt:variant>
        <vt:i4>0</vt:i4>
      </vt:variant>
      <vt:variant>
        <vt:i4>5</vt:i4>
      </vt:variant>
      <vt:variant>
        <vt:lpwstr/>
      </vt:variant>
      <vt:variant>
        <vt:lpwstr>_Toc224916627</vt:lpwstr>
      </vt:variant>
      <vt:variant>
        <vt:i4>1572913</vt:i4>
      </vt:variant>
      <vt:variant>
        <vt:i4>170</vt:i4>
      </vt:variant>
      <vt:variant>
        <vt:i4>0</vt:i4>
      </vt:variant>
      <vt:variant>
        <vt:i4>5</vt:i4>
      </vt:variant>
      <vt:variant>
        <vt:lpwstr/>
      </vt:variant>
      <vt:variant>
        <vt:lpwstr>_Toc224916626</vt:lpwstr>
      </vt:variant>
      <vt:variant>
        <vt:i4>1572913</vt:i4>
      </vt:variant>
      <vt:variant>
        <vt:i4>164</vt:i4>
      </vt:variant>
      <vt:variant>
        <vt:i4>0</vt:i4>
      </vt:variant>
      <vt:variant>
        <vt:i4>5</vt:i4>
      </vt:variant>
      <vt:variant>
        <vt:lpwstr/>
      </vt:variant>
      <vt:variant>
        <vt:lpwstr>_Toc224916625</vt:lpwstr>
      </vt:variant>
      <vt:variant>
        <vt:i4>1572913</vt:i4>
      </vt:variant>
      <vt:variant>
        <vt:i4>158</vt:i4>
      </vt:variant>
      <vt:variant>
        <vt:i4>0</vt:i4>
      </vt:variant>
      <vt:variant>
        <vt:i4>5</vt:i4>
      </vt:variant>
      <vt:variant>
        <vt:lpwstr/>
      </vt:variant>
      <vt:variant>
        <vt:lpwstr>_Toc224916624</vt:lpwstr>
      </vt:variant>
      <vt:variant>
        <vt:i4>1572913</vt:i4>
      </vt:variant>
      <vt:variant>
        <vt:i4>152</vt:i4>
      </vt:variant>
      <vt:variant>
        <vt:i4>0</vt:i4>
      </vt:variant>
      <vt:variant>
        <vt:i4>5</vt:i4>
      </vt:variant>
      <vt:variant>
        <vt:lpwstr/>
      </vt:variant>
      <vt:variant>
        <vt:lpwstr>_Toc224916623</vt:lpwstr>
      </vt:variant>
      <vt:variant>
        <vt:i4>1572913</vt:i4>
      </vt:variant>
      <vt:variant>
        <vt:i4>146</vt:i4>
      </vt:variant>
      <vt:variant>
        <vt:i4>0</vt:i4>
      </vt:variant>
      <vt:variant>
        <vt:i4>5</vt:i4>
      </vt:variant>
      <vt:variant>
        <vt:lpwstr/>
      </vt:variant>
      <vt:variant>
        <vt:lpwstr>_Toc224916622</vt:lpwstr>
      </vt:variant>
      <vt:variant>
        <vt:i4>1572913</vt:i4>
      </vt:variant>
      <vt:variant>
        <vt:i4>140</vt:i4>
      </vt:variant>
      <vt:variant>
        <vt:i4>0</vt:i4>
      </vt:variant>
      <vt:variant>
        <vt:i4>5</vt:i4>
      </vt:variant>
      <vt:variant>
        <vt:lpwstr/>
      </vt:variant>
      <vt:variant>
        <vt:lpwstr>_Toc224916621</vt:lpwstr>
      </vt:variant>
      <vt:variant>
        <vt:i4>1572913</vt:i4>
      </vt:variant>
      <vt:variant>
        <vt:i4>134</vt:i4>
      </vt:variant>
      <vt:variant>
        <vt:i4>0</vt:i4>
      </vt:variant>
      <vt:variant>
        <vt:i4>5</vt:i4>
      </vt:variant>
      <vt:variant>
        <vt:lpwstr/>
      </vt:variant>
      <vt:variant>
        <vt:lpwstr>_Toc224916620</vt:lpwstr>
      </vt:variant>
      <vt:variant>
        <vt:i4>1769521</vt:i4>
      </vt:variant>
      <vt:variant>
        <vt:i4>128</vt:i4>
      </vt:variant>
      <vt:variant>
        <vt:i4>0</vt:i4>
      </vt:variant>
      <vt:variant>
        <vt:i4>5</vt:i4>
      </vt:variant>
      <vt:variant>
        <vt:lpwstr/>
      </vt:variant>
      <vt:variant>
        <vt:lpwstr>_Toc224916619</vt:lpwstr>
      </vt:variant>
      <vt:variant>
        <vt:i4>1769521</vt:i4>
      </vt:variant>
      <vt:variant>
        <vt:i4>122</vt:i4>
      </vt:variant>
      <vt:variant>
        <vt:i4>0</vt:i4>
      </vt:variant>
      <vt:variant>
        <vt:i4>5</vt:i4>
      </vt:variant>
      <vt:variant>
        <vt:lpwstr/>
      </vt:variant>
      <vt:variant>
        <vt:lpwstr>_Toc224916618</vt:lpwstr>
      </vt:variant>
      <vt:variant>
        <vt:i4>1769521</vt:i4>
      </vt:variant>
      <vt:variant>
        <vt:i4>116</vt:i4>
      </vt:variant>
      <vt:variant>
        <vt:i4>0</vt:i4>
      </vt:variant>
      <vt:variant>
        <vt:i4>5</vt:i4>
      </vt:variant>
      <vt:variant>
        <vt:lpwstr/>
      </vt:variant>
      <vt:variant>
        <vt:lpwstr>_Toc224916617</vt:lpwstr>
      </vt:variant>
      <vt:variant>
        <vt:i4>1769521</vt:i4>
      </vt:variant>
      <vt:variant>
        <vt:i4>110</vt:i4>
      </vt:variant>
      <vt:variant>
        <vt:i4>0</vt:i4>
      </vt:variant>
      <vt:variant>
        <vt:i4>5</vt:i4>
      </vt:variant>
      <vt:variant>
        <vt:lpwstr/>
      </vt:variant>
      <vt:variant>
        <vt:lpwstr>_Toc224916616</vt:lpwstr>
      </vt:variant>
      <vt:variant>
        <vt:i4>1769521</vt:i4>
      </vt:variant>
      <vt:variant>
        <vt:i4>104</vt:i4>
      </vt:variant>
      <vt:variant>
        <vt:i4>0</vt:i4>
      </vt:variant>
      <vt:variant>
        <vt:i4>5</vt:i4>
      </vt:variant>
      <vt:variant>
        <vt:lpwstr/>
      </vt:variant>
      <vt:variant>
        <vt:lpwstr>_Toc224916615</vt:lpwstr>
      </vt:variant>
      <vt:variant>
        <vt:i4>1769521</vt:i4>
      </vt:variant>
      <vt:variant>
        <vt:i4>98</vt:i4>
      </vt:variant>
      <vt:variant>
        <vt:i4>0</vt:i4>
      </vt:variant>
      <vt:variant>
        <vt:i4>5</vt:i4>
      </vt:variant>
      <vt:variant>
        <vt:lpwstr/>
      </vt:variant>
      <vt:variant>
        <vt:lpwstr>_Toc224916614</vt:lpwstr>
      </vt:variant>
      <vt:variant>
        <vt:i4>1769521</vt:i4>
      </vt:variant>
      <vt:variant>
        <vt:i4>92</vt:i4>
      </vt:variant>
      <vt:variant>
        <vt:i4>0</vt:i4>
      </vt:variant>
      <vt:variant>
        <vt:i4>5</vt:i4>
      </vt:variant>
      <vt:variant>
        <vt:lpwstr/>
      </vt:variant>
      <vt:variant>
        <vt:lpwstr>_Toc224916613</vt:lpwstr>
      </vt:variant>
      <vt:variant>
        <vt:i4>1769521</vt:i4>
      </vt:variant>
      <vt:variant>
        <vt:i4>86</vt:i4>
      </vt:variant>
      <vt:variant>
        <vt:i4>0</vt:i4>
      </vt:variant>
      <vt:variant>
        <vt:i4>5</vt:i4>
      </vt:variant>
      <vt:variant>
        <vt:lpwstr/>
      </vt:variant>
      <vt:variant>
        <vt:lpwstr>_Toc224916612</vt:lpwstr>
      </vt:variant>
      <vt:variant>
        <vt:i4>1769521</vt:i4>
      </vt:variant>
      <vt:variant>
        <vt:i4>80</vt:i4>
      </vt:variant>
      <vt:variant>
        <vt:i4>0</vt:i4>
      </vt:variant>
      <vt:variant>
        <vt:i4>5</vt:i4>
      </vt:variant>
      <vt:variant>
        <vt:lpwstr/>
      </vt:variant>
      <vt:variant>
        <vt:lpwstr>_Toc224916611</vt:lpwstr>
      </vt:variant>
      <vt:variant>
        <vt:i4>1769521</vt:i4>
      </vt:variant>
      <vt:variant>
        <vt:i4>74</vt:i4>
      </vt:variant>
      <vt:variant>
        <vt:i4>0</vt:i4>
      </vt:variant>
      <vt:variant>
        <vt:i4>5</vt:i4>
      </vt:variant>
      <vt:variant>
        <vt:lpwstr/>
      </vt:variant>
      <vt:variant>
        <vt:lpwstr>_Toc224916610</vt:lpwstr>
      </vt:variant>
      <vt:variant>
        <vt:i4>1703985</vt:i4>
      </vt:variant>
      <vt:variant>
        <vt:i4>68</vt:i4>
      </vt:variant>
      <vt:variant>
        <vt:i4>0</vt:i4>
      </vt:variant>
      <vt:variant>
        <vt:i4>5</vt:i4>
      </vt:variant>
      <vt:variant>
        <vt:lpwstr/>
      </vt:variant>
      <vt:variant>
        <vt:lpwstr>_Toc224916609</vt:lpwstr>
      </vt:variant>
      <vt:variant>
        <vt:i4>1703985</vt:i4>
      </vt:variant>
      <vt:variant>
        <vt:i4>62</vt:i4>
      </vt:variant>
      <vt:variant>
        <vt:i4>0</vt:i4>
      </vt:variant>
      <vt:variant>
        <vt:i4>5</vt:i4>
      </vt:variant>
      <vt:variant>
        <vt:lpwstr/>
      </vt:variant>
      <vt:variant>
        <vt:lpwstr>_Toc224916608</vt:lpwstr>
      </vt:variant>
      <vt:variant>
        <vt:i4>1703985</vt:i4>
      </vt:variant>
      <vt:variant>
        <vt:i4>56</vt:i4>
      </vt:variant>
      <vt:variant>
        <vt:i4>0</vt:i4>
      </vt:variant>
      <vt:variant>
        <vt:i4>5</vt:i4>
      </vt:variant>
      <vt:variant>
        <vt:lpwstr/>
      </vt:variant>
      <vt:variant>
        <vt:lpwstr>_Toc224916607</vt:lpwstr>
      </vt:variant>
      <vt:variant>
        <vt:i4>1703985</vt:i4>
      </vt:variant>
      <vt:variant>
        <vt:i4>50</vt:i4>
      </vt:variant>
      <vt:variant>
        <vt:i4>0</vt:i4>
      </vt:variant>
      <vt:variant>
        <vt:i4>5</vt:i4>
      </vt:variant>
      <vt:variant>
        <vt:lpwstr/>
      </vt:variant>
      <vt:variant>
        <vt:lpwstr>_Toc224916606</vt:lpwstr>
      </vt:variant>
      <vt:variant>
        <vt:i4>1703985</vt:i4>
      </vt:variant>
      <vt:variant>
        <vt:i4>44</vt:i4>
      </vt:variant>
      <vt:variant>
        <vt:i4>0</vt:i4>
      </vt:variant>
      <vt:variant>
        <vt:i4>5</vt:i4>
      </vt:variant>
      <vt:variant>
        <vt:lpwstr/>
      </vt:variant>
      <vt:variant>
        <vt:lpwstr>_Toc224916605</vt:lpwstr>
      </vt:variant>
      <vt:variant>
        <vt:i4>1703985</vt:i4>
      </vt:variant>
      <vt:variant>
        <vt:i4>38</vt:i4>
      </vt:variant>
      <vt:variant>
        <vt:i4>0</vt:i4>
      </vt:variant>
      <vt:variant>
        <vt:i4>5</vt:i4>
      </vt:variant>
      <vt:variant>
        <vt:lpwstr/>
      </vt:variant>
      <vt:variant>
        <vt:lpwstr>_Toc224916604</vt:lpwstr>
      </vt:variant>
      <vt:variant>
        <vt:i4>1703985</vt:i4>
      </vt:variant>
      <vt:variant>
        <vt:i4>32</vt:i4>
      </vt:variant>
      <vt:variant>
        <vt:i4>0</vt:i4>
      </vt:variant>
      <vt:variant>
        <vt:i4>5</vt:i4>
      </vt:variant>
      <vt:variant>
        <vt:lpwstr/>
      </vt:variant>
      <vt:variant>
        <vt:lpwstr>_Toc224916603</vt:lpwstr>
      </vt:variant>
      <vt:variant>
        <vt:i4>1703985</vt:i4>
      </vt:variant>
      <vt:variant>
        <vt:i4>26</vt:i4>
      </vt:variant>
      <vt:variant>
        <vt:i4>0</vt:i4>
      </vt:variant>
      <vt:variant>
        <vt:i4>5</vt:i4>
      </vt:variant>
      <vt:variant>
        <vt:lpwstr/>
      </vt:variant>
      <vt:variant>
        <vt:lpwstr>_Toc224916602</vt:lpwstr>
      </vt:variant>
      <vt:variant>
        <vt:i4>1703985</vt:i4>
      </vt:variant>
      <vt:variant>
        <vt:i4>20</vt:i4>
      </vt:variant>
      <vt:variant>
        <vt:i4>0</vt:i4>
      </vt:variant>
      <vt:variant>
        <vt:i4>5</vt:i4>
      </vt:variant>
      <vt:variant>
        <vt:lpwstr/>
      </vt:variant>
      <vt:variant>
        <vt:lpwstr>_Toc224916601</vt:lpwstr>
      </vt:variant>
      <vt:variant>
        <vt:i4>1703985</vt:i4>
      </vt:variant>
      <vt:variant>
        <vt:i4>14</vt:i4>
      </vt:variant>
      <vt:variant>
        <vt:i4>0</vt:i4>
      </vt:variant>
      <vt:variant>
        <vt:i4>5</vt:i4>
      </vt:variant>
      <vt:variant>
        <vt:lpwstr/>
      </vt:variant>
      <vt:variant>
        <vt:lpwstr>_Toc224916600</vt:lpwstr>
      </vt:variant>
      <vt:variant>
        <vt:i4>1245234</vt:i4>
      </vt:variant>
      <vt:variant>
        <vt:i4>8</vt:i4>
      </vt:variant>
      <vt:variant>
        <vt:i4>0</vt:i4>
      </vt:variant>
      <vt:variant>
        <vt:i4>5</vt:i4>
      </vt:variant>
      <vt:variant>
        <vt:lpwstr/>
      </vt:variant>
      <vt:variant>
        <vt:lpwstr>_Toc224916599</vt:lpwstr>
      </vt:variant>
      <vt:variant>
        <vt:i4>1245234</vt:i4>
      </vt:variant>
      <vt:variant>
        <vt:i4>2</vt:i4>
      </vt:variant>
      <vt:variant>
        <vt:i4>0</vt:i4>
      </vt:variant>
      <vt:variant>
        <vt:i4>5</vt:i4>
      </vt:variant>
      <vt:variant>
        <vt:lpwstr/>
      </vt:variant>
      <vt:variant>
        <vt:lpwstr>_Toc224916598</vt:lpwstr>
      </vt:variant>
      <vt:variant>
        <vt:i4>2949176</vt:i4>
      </vt:variant>
      <vt:variant>
        <vt:i4>0</vt:i4>
      </vt:variant>
      <vt:variant>
        <vt:i4>0</vt:i4>
      </vt:variant>
      <vt:variant>
        <vt:i4>5</vt:i4>
      </vt:variant>
      <vt:variant>
        <vt:lpwstr>https://www.legislation.gov.au/F2025L01173/latest/text</vt:lpwstr>
      </vt:variant>
      <vt:variant>
        <vt:lpwstr/>
      </vt:variant>
      <vt:variant>
        <vt:i4>1310784</vt:i4>
      </vt:variant>
      <vt:variant>
        <vt:i4>9</vt:i4>
      </vt:variant>
      <vt:variant>
        <vt:i4>0</vt:i4>
      </vt:variant>
      <vt:variant>
        <vt:i4>5</vt:i4>
      </vt:variant>
      <vt:variant>
        <vt:lpwstr>http://www.servicesaustralia.gov.au/</vt:lpwstr>
      </vt:variant>
      <vt:variant>
        <vt:lpwstr/>
      </vt:variant>
      <vt:variant>
        <vt:i4>6357024</vt:i4>
      </vt:variant>
      <vt:variant>
        <vt:i4>6</vt:i4>
      </vt:variant>
      <vt:variant>
        <vt:i4>0</vt:i4>
      </vt:variant>
      <vt:variant>
        <vt:i4>5</vt:i4>
      </vt:variant>
      <vt:variant>
        <vt:lpwstr>http://www.agedcarequality.gov.au/</vt:lpwstr>
      </vt:variant>
      <vt:variant>
        <vt:lpwstr/>
      </vt:variant>
      <vt:variant>
        <vt:i4>4784222</vt:i4>
      </vt:variant>
      <vt:variant>
        <vt:i4>3</vt:i4>
      </vt:variant>
      <vt:variant>
        <vt:i4>0</vt:i4>
      </vt:variant>
      <vt:variant>
        <vt:i4>5</vt:i4>
      </vt:variant>
      <vt:variant>
        <vt:lpwstr>http://www.myagedcare.gov.au/</vt:lpwstr>
      </vt:variant>
      <vt:variant>
        <vt:lpwstr/>
      </vt:variant>
      <vt:variant>
        <vt:i4>7733287</vt:i4>
      </vt:variant>
      <vt:variant>
        <vt:i4>0</vt:i4>
      </vt:variant>
      <vt:variant>
        <vt:i4>0</vt:i4>
      </vt:variant>
      <vt:variant>
        <vt:i4>5</vt:i4>
      </vt:variant>
      <vt:variant>
        <vt:lpwstr>https://www.health.gov.au/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Assessment Manual</dc:title>
  <dc:subject/>
  <dc:creator>Australian Government Department of Health, Disability and Ageing</dc:creator>
  <cp:keywords/>
  <dc:description/>
  <cp:revision>54</cp:revision>
  <cp:lastPrinted>2026-03-23T19:29:00Z</cp:lastPrinted>
  <dcterms:created xsi:type="dcterms:W3CDTF">2026-03-20T23:18:00Z</dcterms:created>
  <dcterms:modified xsi:type="dcterms:W3CDTF">2026-03-23T01:59:00Z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0x010100511124591A98BB48A5400B3B9D7C155D</vt:lpwstr>
  </property>
  <property fmtid="{D5CDD505-2E9C-101B-9397-08002B2CF9AE}" pid="3" name="MediaServiceImageTags">
    <vt:lpwstr/>
  </property>
  <property fmtid="{D5CDD505-2E9C-101B-9397-08002B2CF9AE}" pid="4" name="ClassificationContentMarkingHeaderShapeIds">
    <vt:lpwstr>2ade402a,6b17abc2,4e33d272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5ef6d8bc,1e375af0,7651bac1</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2025-08-05T02:56:25Z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4e588162-8b2d-4448-a53d-f667f64b5a0b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